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charts/chart11.xml" ContentType="application/vnd.openxmlformats-officedocument.drawingml.chart+xml"/>
  <Override PartName="/word/theme/themeOverride10.xml" ContentType="application/vnd.openxmlformats-officedocument.themeOverride+xml"/>
  <Override PartName="/word/charts/chart12.xml" ContentType="application/vnd.openxmlformats-officedocument.drawingml.chart+xml"/>
  <Override PartName="/word/theme/themeOverride11.xml" ContentType="application/vnd.openxmlformats-officedocument.themeOverride+xml"/>
  <Override PartName="/word/charts/chart13.xml" ContentType="application/vnd.openxmlformats-officedocument.drawingml.chart+xml"/>
  <Override PartName="/word/theme/themeOverride12.xml" ContentType="application/vnd.openxmlformats-officedocument.themeOverride+xml"/>
  <Override PartName="/word/charts/chart14.xml" ContentType="application/vnd.openxmlformats-officedocument.drawingml.chart+xml"/>
  <Override PartName="/word/header2.xml" ContentType="application/vnd.openxmlformats-officedocument.wordprocessingml.header+xml"/>
  <Override PartName="/word/footer2.xml" ContentType="application/vnd.openxmlformats-officedocument.wordprocessingml.footer+xml"/>
  <Override PartName="/word/charts/chart15.xml" ContentType="application/vnd.openxmlformats-officedocument.drawingml.chart+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charts/chart16.xml" ContentType="application/vnd.openxmlformats-officedocument.drawingml.chart+xml"/>
  <Override PartName="/word/theme/themeOverride13.xml" ContentType="application/vnd.openxmlformats-officedocument.themeOverride+xml"/>
  <Override PartName="/word/charts/chart17.xml" ContentType="application/vnd.openxmlformats-officedocument.drawingml.chart+xml"/>
  <Override PartName="/word/theme/themeOverride14.xml" ContentType="application/vnd.openxmlformats-officedocument.themeOverride+xml"/>
  <Override PartName="/word/charts/chart18.xml" ContentType="application/vnd.openxmlformats-officedocument.drawingml.chart+xml"/>
  <Override PartName="/word/theme/themeOverride15.xml" ContentType="application/vnd.openxmlformats-officedocument.themeOverride+xml"/>
  <Override PartName="/word/charts/chart19.xml" ContentType="application/vnd.openxmlformats-officedocument.drawingml.chart+xml"/>
  <Override PartName="/word/theme/themeOverride16.xml" ContentType="application/vnd.openxmlformats-officedocument.themeOverride+xml"/>
  <Override PartName="/word/charts/chart20.xml" ContentType="application/vnd.openxmlformats-officedocument.drawingml.chart+xml"/>
  <Override PartName="/word/theme/themeOverride17.xml" ContentType="application/vnd.openxmlformats-officedocument.themeOverride+xml"/>
  <Override PartName="/word/charts/chart21.xml" ContentType="application/vnd.openxmlformats-officedocument.drawingml.chart+xml"/>
  <Override PartName="/word/theme/themeOverride18.xml" ContentType="application/vnd.openxmlformats-officedocument.themeOverride+xml"/>
  <Override PartName="/word/charts/chart22.xml" ContentType="application/vnd.openxmlformats-officedocument.drawingml.chart+xml"/>
  <Override PartName="/word/theme/themeOverride19.xml" ContentType="application/vnd.openxmlformats-officedocument.themeOverride+xml"/>
  <Override PartName="/word/charts/chart23.xml" ContentType="application/vnd.openxmlformats-officedocument.drawingml.chart+xml"/>
  <Override PartName="/word/theme/themeOverride20.xml" ContentType="application/vnd.openxmlformats-officedocument.themeOverride+xml"/>
  <Override PartName="/word/charts/chart24.xml" ContentType="application/vnd.openxmlformats-officedocument.drawingml.chart+xml"/>
  <Override PartName="/word/theme/themeOverride21.xml" ContentType="application/vnd.openxmlformats-officedocument.themeOverride+xml"/>
  <Override PartName="/word/charts/chart25.xml" ContentType="application/vnd.openxmlformats-officedocument.drawingml.chart+xml"/>
  <Override PartName="/word/theme/themeOverride22.xml" ContentType="application/vnd.openxmlformats-officedocument.themeOverride+xml"/>
  <Override PartName="/word/header5.xml" ContentType="application/vnd.openxmlformats-officedocument.wordprocessingml.header+xml"/>
  <Override PartName="/word/footer5.xml" ContentType="application/vnd.openxmlformats-officedocument.wordprocessingml.footer+xml"/>
  <Override PartName="/word/charts/chart26.xml" ContentType="application/vnd.openxmlformats-officedocument.drawingml.chart+xml"/>
  <Override PartName="/word/theme/themeOverride23.xml" ContentType="application/vnd.openxmlformats-officedocument.themeOverride+xml"/>
  <Override PartName="/word/charts/chart27.xml" ContentType="application/vnd.openxmlformats-officedocument.drawingml.chart+xml"/>
  <Override PartName="/word/theme/themeOverride24.xml" ContentType="application/vnd.openxmlformats-officedocument.themeOverride+xml"/>
  <Override PartName="/word/charts/chart28.xml" ContentType="application/vnd.openxmlformats-officedocument.drawingml.chart+xml"/>
  <Override PartName="/word/theme/themeOverride25.xml" ContentType="application/vnd.openxmlformats-officedocument.themeOverride+xml"/>
  <Override PartName="/word/charts/chart29.xml" ContentType="application/vnd.openxmlformats-officedocument.drawingml.chart+xml"/>
  <Override PartName="/word/theme/themeOverride26.xml" ContentType="application/vnd.openxmlformats-officedocument.themeOverride+xml"/>
  <Override PartName="/word/charts/chart30.xml" ContentType="application/vnd.openxmlformats-officedocument.drawingml.chart+xml"/>
  <Override PartName="/word/theme/themeOverride27.xml" ContentType="application/vnd.openxmlformats-officedocument.themeOverride+xml"/>
  <Override PartName="/word/charts/chart31.xml" ContentType="application/vnd.openxmlformats-officedocument.drawingml.chart+xml"/>
  <Override PartName="/word/theme/themeOverride28.xml" ContentType="application/vnd.openxmlformats-officedocument.themeOverride+xml"/>
  <Override PartName="/word/charts/chart32.xml" ContentType="application/vnd.openxmlformats-officedocument.drawingml.chart+xml"/>
  <Override PartName="/word/theme/themeOverride29.xml" ContentType="application/vnd.openxmlformats-officedocument.themeOverride+xml"/>
  <Override PartName="/word/charts/chart33.xml" ContentType="application/vnd.openxmlformats-officedocument.drawingml.chart+xml"/>
  <Override PartName="/word/theme/themeOverride30.xml" ContentType="application/vnd.openxmlformats-officedocument.themeOverride+xml"/>
  <Override PartName="/word/charts/chart34.xml" ContentType="application/vnd.openxmlformats-officedocument.drawingml.chart+xml"/>
  <Override PartName="/word/theme/themeOverride31.xml" ContentType="application/vnd.openxmlformats-officedocument.themeOverride+xml"/>
  <Override PartName="/word/header6.xml" ContentType="application/vnd.openxmlformats-officedocument.wordprocessingml.header+xml"/>
  <Override PartName="/word/footer6.xml" ContentType="application/vnd.openxmlformats-officedocument.wordprocessingml.footer+xml"/>
  <Override PartName="/word/charts/chart35.xml" ContentType="application/vnd.openxmlformats-officedocument.drawingml.chart+xml"/>
  <Override PartName="/word/theme/themeOverride32.xml" ContentType="application/vnd.openxmlformats-officedocument.themeOverride+xml"/>
  <Override PartName="/word/charts/chart36.xml" ContentType="application/vnd.openxmlformats-officedocument.drawingml.chart+xml"/>
  <Override PartName="/word/theme/themeOverride33.xml" ContentType="application/vnd.openxmlformats-officedocument.themeOverride+xml"/>
  <Override PartName="/word/charts/chart37.xml" ContentType="application/vnd.openxmlformats-officedocument.drawingml.chart+xml"/>
  <Override PartName="/word/theme/themeOverride34.xml" ContentType="application/vnd.openxmlformats-officedocument.themeOverride+xml"/>
  <Override PartName="/word/charts/chart38.xml" ContentType="application/vnd.openxmlformats-officedocument.drawingml.chart+xml"/>
  <Override PartName="/word/theme/themeOverride35.xml" ContentType="application/vnd.openxmlformats-officedocument.themeOverride+xml"/>
  <Override PartName="/word/charts/chart39.xml" ContentType="application/vnd.openxmlformats-officedocument.drawingml.chart+xml"/>
  <Override PartName="/word/theme/themeOverride36.xml" ContentType="application/vnd.openxmlformats-officedocument.themeOverride+xml"/>
  <Override PartName="/word/charts/chart40.xml" ContentType="application/vnd.openxmlformats-officedocument.drawingml.chart+xml"/>
  <Override PartName="/word/theme/themeOverride37.xml" ContentType="application/vnd.openxmlformats-officedocument.themeOverride+xml"/>
  <Override PartName="/word/charts/chart41.xml" ContentType="application/vnd.openxmlformats-officedocument.drawingml.chart+xml"/>
  <Override PartName="/word/theme/themeOverride38.xml" ContentType="application/vnd.openxmlformats-officedocument.themeOverride+xml"/>
  <Override PartName="/word/charts/chart42.xml" ContentType="application/vnd.openxmlformats-officedocument.drawingml.chart+xml"/>
  <Override PartName="/word/theme/themeOverride39.xml" ContentType="application/vnd.openxmlformats-officedocument.themeOverride+xml"/>
  <Override PartName="/word/charts/chart43.xml" ContentType="application/vnd.openxmlformats-officedocument.drawingml.chart+xml"/>
  <Override PartName="/word/theme/themeOverride40.xml" ContentType="application/vnd.openxmlformats-officedocument.themeOverride+xml"/>
  <Override PartName="/word/charts/chart44.xml" ContentType="application/vnd.openxmlformats-officedocument.drawingml.chart+xml"/>
  <Override PartName="/word/theme/themeOverride41.xml" ContentType="application/vnd.openxmlformats-officedocument.themeOverride+xml"/>
  <Override PartName="/word/charts/chart45.xml" ContentType="application/vnd.openxmlformats-officedocument.drawingml.chart+xml"/>
  <Override PartName="/word/theme/themeOverride42.xml" ContentType="application/vnd.openxmlformats-officedocument.themeOverride+xml"/>
  <Override PartName="/word/charts/chart46.xml" ContentType="application/vnd.openxmlformats-officedocument.drawingml.chart+xml"/>
  <Override PartName="/word/theme/themeOverride43.xml" ContentType="application/vnd.openxmlformats-officedocument.themeOverride+xml"/>
  <Override PartName="/word/charts/chart47.xml" ContentType="application/vnd.openxmlformats-officedocument.drawingml.chart+xml"/>
  <Override PartName="/word/theme/themeOverride44.xml" ContentType="application/vnd.openxmlformats-officedocument.themeOverride+xml"/>
  <Override PartName="/word/charts/chart48.xml" ContentType="application/vnd.openxmlformats-officedocument.drawingml.chart+xml"/>
  <Override PartName="/word/theme/themeOverride45.xml" ContentType="application/vnd.openxmlformats-officedocument.themeOverride+xml"/>
  <Override PartName="/word/charts/chart49.xml" ContentType="application/vnd.openxmlformats-officedocument.drawingml.chart+xml"/>
  <Override PartName="/word/theme/themeOverride46.xml" ContentType="application/vnd.openxmlformats-officedocument.themeOverride+xml"/>
  <Override PartName="/word/charts/chart50.xml" ContentType="application/vnd.openxmlformats-officedocument.drawingml.chart+xml"/>
  <Override PartName="/word/theme/themeOverride47.xml" ContentType="application/vnd.openxmlformats-officedocument.themeOverride+xml"/>
  <Override PartName="/word/charts/chart51.xml" ContentType="application/vnd.openxmlformats-officedocument.drawingml.chart+xml"/>
  <Override PartName="/word/theme/themeOverride48.xml" ContentType="application/vnd.openxmlformats-officedocument.themeOverride+xml"/>
  <Override PartName="/word/charts/chart52.xml" ContentType="application/vnd.openxmlformats-officedocument.drawingml.chart+xml"/>
  <Override PartName="/word/theme/themeOverride49.xml" ContentType="application/vnd.openxmlformats-officedocument.themeOverride+xml"/>
  <Override PartName="/word/charts/chart53.xml" ContentType="application/vnd.openxmlformats-officedocument.drawingml.chart+xml"/>
  <Override PartName="/word/theme/themeOverride50.xml" ContentType="application/vnd.openxmlformats-officedocument.themeOverride+xml"/>
  <Override PartName="/word/charts/chart54.xml" ContentType="application/vnd.openxmlformats-officedocument.drawingml.chart+xml"/>
  <Override PartName="/word/theme/themeOverride51.xml" ContentType="application/vnd.openxmlformats-officedocument.themeOverride+xml"/>
  <Override PartName="/word/charts/chart55.xml" ContentType="application/vnd.openxmlformats-officedocument.drawingml.chart+xml"/>
  <Override PartName="/word/theme/themeOverride52.xml" ContentType="application/vnd.openxmlformats-officedocument.themeOverride+xml"/>
  <Override PartName="/word/charts/chart56.xml" ContentType="application/vnd.openxmlformats-officedocument.drawingml.chart+xml"/>
  <Override PartName="/word/theme/themeOverride53.xml" ContentType="application/vnd.openxmlformats-officedocument.themeOverride+xml"/>
  <Override PartName="/word/charts/chart57.xml" ContentType="application/vnd.openxmlformats-officedocument.drawingml.chart+xml"/>
  <Override PartName="/word/theme/themeOverride54.xml" ContentType="application/vnd.openxmlformats-officedocument.themeOverride+xml"/>
  <Override PartName="/word/charts/chart58.xml" ContentType="application/vnd.openxmlformats-officedocument.drawingml.chart+xml"/>
  <Override PartName="/word/theme/themeOverride55.xml" ContentType="application/vnd.openxmlformats-officedocument.themeOverride+xml"/>
  <Override PartName="/word/charts/chart59.xml" ContentType="application/vnd.openxmlformats-officedocument.drawingml.chart+xml"/>
  <Override PartName="/word/theme/themeOverride56.xml" ContentType="application/vnd.openxmlformats-officedocument.themeOverride+xml"/>
  <Override PartName="/word/charts/chart60.xml" ContentType="application/vnd.openxmlformats-officedocument.drawingml.chart+xml"/>
  <Override PartName="/word/theme/themeOverride57.xml" ContentType="application/vnd.openxmlformats-officedocument.themeOverride+xml"/>
  <Override PartName="/word/charts/chart61.xml" ContentType="application/vnd.openxmlformats-officedocument.drawingml.chart+xml"/>
  <Override PartName="/word/theme/themeOverride58.xml" ContentType="application/vnd.openxmlformats-officedocument.themeOverride+xml"/>
  <Override PartName="/word/charts/chart62.xml" ContentType="application/vnd.openxmlformats-officedocument.drawingml.chart+xml"/>
  <Override PartName="/word/theme/themeOverride59.xml" ContentType="application/vnd.openxmlformats-officedocument.themeOverride+xml"/>
  <Override PartName="/word/header7.xml" ContentType="application/vnd.openxmlformats-officedocument.wordprocessingml.header+xml"/>
  <Override PartName="/word/footer7.xml" ContentType="application/vnd.openxmlformats-officedocument.wordprocessingml.footer+xml"/>
  <Override PartName="/word/charts/chart63.xml" ContentType="application/vnd.openxmlformats-officedocument.drawingml.chart+xml"/>
  <Override PartName="/word/theme/themeOverride60.xml" ContentType="application/vnd.openxmlformats-officedocument.themeOverride+xml"/>
  <Override PartName="/word/header8.xml" ContentType="application/vnd.openxmlformats-officedocument.wordprocessingml.header+xml"/>
  <Override PartName="/word/footer8.xml" ContentType="application/vnd.openxmlformats-officedocument.wordprocessingml.footer+xml"/>
  <Override PartName="/word/charts/chart64.xml" ContentType="application/vnd.openxmlformats-officedocument.drawingml.chart+xml"/>
  <Override PartName="/word/theme/themeOverride61.xml" ContentType="application/vnd.openxmlformats-officedocument.themeOverride+xml"/>
  <Override PartName="/word/charts/chart65.xml" ContentType="application/vnd.openxmlformats-officedocument.drawingml.chart+xml"/>
  <Override PartName="/word/theme/themeOverride62.xml" ContentType="application/vnd.openxmlformats-officedocument.themeOverride+xml"/>
  <Override PartName="/word/charts/chart66.xml" ContentType="application/vnd.openxmlformats-officedocument.drawingml.chart+xml"/>
  <Override PartName="/word/theme/themeOverride63.xml" ContentType="application/vnd.openxmlformats-officedocument.themeOverride+xml"/>
  <Override PartName="/word/charts/chart67.xml" ContentType="application/vnd.openxmlformats-officedocument.drawingml.chart+xml"/>
  <Override PartName="/word/theme/themeOverride64.xml" ContentType="application/vnd.openxmlformats-officedocument.themeOverride+xml"/>
  <Override PartName="/word/charts/chart68.xml" ContentType="application/vnd.openxmlformats-officedocument.drawingml.chart+xml"/>
  <Override PartName="/word/theme/themeOverride65.xml" ContentType="application/vnd.openxmlformats-officedocument.themeOverride+xml"/>
  <Override PartName="/word/charts/chart69.xml" ContentType="application/vnd.openxmlformats-officedocument.drawingml.chart+xml"/>
  <Override PartName="/word/theme/themeOverride66.xml" ContentType="application/vnd.openxmlformats-officedocument.themeOverride+xml"/>
  <Override PartName="/word/charts/chart70.xml" ContentType="application/vnd.openxmlformats-officedocument.drawingml.chart+xml"/>
  <Override PartName="/word/theme/themeOverride67.xml" ContentType="application/vnd.openxmlformats-officedocument.themeOverride+xml"/>
  <Override PartName="/word/charts/chart71.xml" ContentType="application/vnd.openxmlformats-officedocument.drawingml.chart+xml"/>
  <Override PartName="/word/theme/themeOverride68.xml" ContentType="application/vnd.openxmlformats-officedocument.themeOverride+xml"/>
  <Override PartName="/word/charts/chart72.xml" ContentType="application/vnd.openxmlformats-officedocument.drawingml.chart+xml"/>
  <Override PartName="/word/theme/themeOverride69.xml" ContentType="application/vnd.openxmlformats-officedocument.themeOverride+xml"/>
  <Override PartName="/word/charts/chart73.xml" ContentType="application/vnd.openxmlformats-officedocument.drawingml.chart+xml"/>
  <Override PartName="/word/theme/themeOverride70.xml" ContentType="application/vnd.openxmlformats-officedocument.themeOverride+xml"/>
  <Override PartName="/word/charts/chart74.xml" ContentType="application/vnd.openxmlformats-officedocument.drawingml.chart+xml"/>
  <Override PartName="/word/theme/themeOverride71.xml" ContentType="application/vnd.openxmlformats-officedocument.themeOverride+xml"/>
  <Override PartName="/word/charts/chart75.xml" ContentType="application/vnd.openxmlformats-officedocument.drawingml.chart+xml"/>
  <Override PartName="/word/theme/themeOverride72.xml" ContentType="application/vnd.openxmlformats-officedocument.themeOverride+xml"/>
  <Override PartName="/word/charts/chart76.xml" ContentType="application/vnd.openxmlformats-officedocument.drawingml.chart+xml"/>
  <Override PartName="/word/theme/themeOverride73.xml" ContentType="application/vnd.openxmlformats-officedocument.themeOverride+xml"/>
  <Override PartName="/word/charts/chart77.xml" ContentType="application/vnd.openxmlformats-officedocument.drawingml.chart+xml"/>
  <Override PartName="/word/theme/themeOverride74.xml" ContentType="application/vnd.openxmlformats-officedocument.themeOverride+xml"/>
  <Override PartName="/word/charts/chart78.xml" ContentType="application/vnd.openxmlformats-officedocument.drawingml.chart+xml"/>
  <Override PartName="/word/theme/themeOverride75.xml" ContentType="application/vnd.openxmlformats-officedocument.themeOverride+xml"/>
  <Override PartName="/word/charts/chart79.xml" ContentType="application/vnd.openxmlformats-officedocument.drawingml.chart+xml"/>
  <Override PartName="/word/theme/themeOverride76.xml" ContentType="application/vnd.openxmlformats-officedocument.themeOverride+xml"/>
  <Override PartName="/word/charts/chart80.xml" ContentType="application/vnd.openxmlformats-officedocument.drawingml.chart+xml"/>
  <Override PartName="/word/theme/themeOverride77.xml" ContentType="application/vnd.openxmlformats-officedocument.themeOverride+xml"/>
  <Override PartName="/word/charts/chart81.xml" ContentType="application/vnd.openxmlformats-officedocument.drawingml.chart+xml"/>
  <Override PartName="/word/theme/themeOverride78.xml" ContentType="application/vnd.openxmlformats-officedocument.themeOverride+xml"/>
  <Override PartName="/word/charts/chart82.xml" ContentType="application/vnd.openxmlformats-officedocument.drawingml.chart+xml"/>
  <Override PartName="/word/theme/themeOverride79.xml" ContentType="application/vnd.openxmlformats-officedocument.themeOverride+xml"/>
  <Override PartName="/word/charts/chart83.xml" ContentType="application/vnd.openxmlformats-officedocument.drawingml.chart+xml"/>
  <Override PartName="/word/theme/themeOverride80.xml" ContentType="application/vnd.openxmlformats-officedocument.themeOverride+xml"/>
  <Override PartName="/word/charts/chart84.xml" ContentType="application/vnd.openxmlformats-officedocument.drawingml.chart+xml"/>
  <Override PartName="/word/theme/themeOverride81.xml" ContentType="application/vnd.openxmlformats-officedocument.themeOverride+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4B29191" w14:textId="77777777" w:rsidR="000561CF" w:rsidRPr="00EA1BB2" w:rsidRDefault="000561CF" w:rsidP="002C3811">
      <w:pPr>
        <w:spacing w:line="360" w:lineRule="auto"/>
        <w:rPr>
          <w:rFonts w:ascii="Cambria" w:hAnsi="Cambria" w:cs="Times New Roman"/>
          <w:sz w:val="24"/>
          <w:szCs w:val="24"/>
          <w:vertAlign w:val="superscript"/>
        </w:rPr>
      </w:pPr>
    </w:p>
    <w:p w14:paraId="31874EB4" w14:textId="77777777" w:rsidR="000561CF" w:rsidRPr="00EA1BB2" w:rsidRDefault="000561CF" w:rsidP="002C3811">
      <w:pPr>
        <w:spacing w:line="360" w:lineRule="auto"/>
        <w:rPr>
          <w:rFonts w:ascii="Cambria" w:hAnsi="Cambria" w:cs="Times New Roman"/>
          <w:sz w:val="24"/>
          <w:szCs w:val="24"/>
        </w:rPr>
      </w:pPr>
    </w:p>
    <w:p w14:paraId="2EE31FDD" w14:textId="77777777" w:rsidR="000561CF" w:rsidRPr="00EA1BB2" w:rsidRDefault="008E2852" w:rsidP="008E2852">
      <w:pPr>
        <w:spacing w:line="360" w:lineRule="auto"/>
        <w:jc w:val="center"/>
        <w:rPr>
          <w:rFonts w:ascii="Cambria" w:hAnsi="Cambria" w:cs="Times New Roman"/>
          <w:sz w:val="24"/>
          <w:szCs w:val="24"/>
        </w:rPr>
      </w:pPr>
      <w:r w:rsidRPr="00EA1BB2">
        <w:rPr>
          <w:rFonts w:ascii="Cambria" w:eastAsia="Calibri" w:hAnsi="Cambria" w:cs="Arial"/>
          <w:b/>
          <w:noProof/>
          <w:sz w:val="24"/>
          <w:szCs w:val="24"/>
          <w:lang w:val="en-US"/>
        </w:rPr>
        <w:drawing>
          <wp:inline distT="0" distB="0" distL="0" distR="0" wp14:anchorId="02D1105E" wp14:editId="296DA012">
            <wp:extent cx="1387365" cy="1509967"/>
            <wp:effectExtent l="0" t="0" r="381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actual_galati_coa stema.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400063" cy="1523787"/>
                    </a:xfrm>
                    <a:prstGeom prst="rect">
                      <a:avLst/>
                    </a:prstGeom>
                  </pic:spPr>
                </pic:pic>
              </a:graphicData>
            </a:graphic>
          </wp:inline>
        </w:drawing>
      </w:r>
    </w:p>
    <w:p w14:paraId="5A4A3E45" w14:textId="77777777" w:rsidR="000561CF" w:rsidRPr="00EA1BB2" w:rsidRDefault="008E2852" w:rsidP="008E2852">
      <w:pPr>
        <w:spacing w:line="360" w:lineRule="auto"/>
        <w:jc w:val="center"/>
        <w:rPr>
          <w:rFonts w:ascii="Cambria" w:hAnsi="Cambria" w:cs="Times New Roman"/>
          <w:b/>
          <w:sz w:val="32"/>
          <w:szCs w:val="24"/>
        </w:rPr>
      </w:pPr>
      <w:r w:rsidRPr="00EA1BB2">
        <w:rPr>
          <w:rFonts w:ascii="Cambria" w:hAnsi="Cambria" w:cs="Times New Roman"/>
          <w:b/>
          <w:sz w:val="32"/>
          <w:szCs w:val="24"/>
        </w:rPr>
        <w:t>CONSILIUL JUDEȚEAN BRĂILA</w:t>
      </w:r>
    </w:p>
    <w:p w14:paraId="6D43C6DD" w14:textId="77777777" w:rsidR="002E66CD" w:rsidRPr="00EA1BB2" w:rsidRDefault="002E66CD" w:rsidP="002C3811">
      <w:pPr>
        <w:spacing w:line="360" w:lineRule="auto"/>
        <w:rPr>
          <w:rFonts w:ascii="Cambria" w:hAnsi="Cambria" w:cs="Times New Roman"/>
          <w:sz w:val="24"/>
          <w:szCs w:val="24"/>
        </w:rPr>
      </w:pPr>
    </w:p>
    <w:p w14:paraId="5C30F868" w14:textId="77777777" w:rsidR="008E2852" w:rsidRPr="00EA1BB2" w:rsidRDefault="008E2852" w:rsidP="002C3811">
      <w:pPr>
        <w:spacing w:line="360" w:lineRule="auto"/>
        <w:rPr>
          <w:rFonts w:ascii="Cambria" w:hAnsi="Cambria" w:cs="Times New Roman"/>
          <w:sz w:val="24"/>
          <w:szCs w:val="24"/>
        </w:rPr>
      </w:pPr>
    </w:p>
    <w:p w14:paraId="5DB68BD1" w14:textId="77777777" w:rsidR="00046929" w:rsidRPr="00EA1BB2" w:rsidRDefault="002E66CD" w:rsidP="008E2852">
      <w:pPr>
        <w:spacing w:line="360" w:lineRule="auto"/>
        <w:jc w:val="center"/>
        <w:rPr>
          <w:rFonts w:ascii="Cambria" w:hAnsi="Cambria" w:cs="Times New Roman"/>
          <w:color w:val="0070C0"/>
          <w:sz w:val="44"/>
          <w:szCs w:val="24"/>
        </w:rPr>
      </w:pPr>
      <w:r w:rsidRPr="00EA1BB2">
        <w:rPr>
          <w:rFonts w:ascii="Cambria" w:hAnsi="Cambria" w:cs="Times New Roman"/>
          <w:color w:val="0070C0"/>
          <w:sz w:val="44"/>
          <w:szCs w:val="24"/>
        </w:rPr>
        <w:t>PLANUL DE MEN</w:t>
      </w:r>
      <w:r w:rsidR="00054880" w:rsidRPr="00EA1BB2">
        <w:rPr>
          <w:rFonts w:ascii="Cambria" w:hAnsi="Cambria" w:cs="Times New Roman"/>
          <w:color w:val="0070C0"/>
          <w:sz w:val="44"/>
          <w:szCs w:val="24"/>
        </w:rPr>
        <w:t>Ț</w:t>
      </w:r>
      <w:r w:rsidRPr="00EA1BB2">
        <w:rPr>
          <w:rFonts w:ascii="Cambria" w:hAnsi="Cambria" w:cs="Times New Roman"/>
          <w:color w:val="0070C0"/>
          <w:sz w:val="44"/>
          <w:szCs w:val="24"/>
        </w:rPr>
        <w:t>INERE A CALITĂ</w:t>
      </w:r>
      <w:r w:rsidR="00054880" w:rsidRPr="00EA1BB2">
        <w:rPr>
          <w:rFonts w:ascii="Cambria" w:hAnsi="Cambria" w:cs="Times New Roman"/>
          <w:color w:val="0070C0"/>
          <w:sz w:val="44"/>
          <w:szCs w:val="24"/>
        </w:rPr>
        <w:t>Ț</w:t>
      </w:r>
      <w:r w:rsidRPr="00EA1BB2">
        <w:rPr>
          <w:rFonts w:ascii="Cambria" w:hAnsi="Cambria" w:cs="Times New Roman"/>
          <w:color w:val="0070C0"/>
          <w:sz w:val="44"/>
          <w:szCs w:val="24"/>
        </w:rPr>
        <w:t>II AERULUI</w:t>
      </w:r>
    </w:p>
    <w:p w14:paraId="3F1EA931" w14:textId="41D2274B" w:rsidR="000C4FBA" w:rsidRPr="00EA1BB2" w:rsidRDefault="001B20AE" w:rsidP="008E2852">
      <w:pPr>
        <w:spacing w:line="360" w:lineRule="auto"/>
        <w:jc w:val="center"/>
        <w:rPr>
          <w:rFonts w:ascii="Cambria" w:hAnsi="Cambria" w:cs="Times New Roman"/>
          <w:color w:val="0070C0"/>
          <w:sz w:val="44"/>
          <w:szCs w:val="24"/>
        </w:rPr>
      </w:pPr>
      <w:r w:rsidRPr="00EA1BB2">
        <w:rPr>
          <w:rFonts w:ascii="Cambria" w:hAnsi="Cambria" w:cs="Times New Roman"/>
          <w:color w:val="0070C0"/>
          <w:sz w:val="44"/>
          <w:szCs w:val="24"/>
        </w:rPr>
        <w:t>ÎN</w:t>
      </w:r>
      <w:r w:rsidR="00980FEE">
        <w:rPr>
          <w:rFonts w:ascii="Cambria" w:hAnsi="Cambria" w:cs="Times New Roman"/>
          <w:color w:val="0070C0"/>
          <w:sz w:val="44"/>
          <w:szCs w:val="24"/>
        </w:rPr>
        <w:t xml:space="preserve"> </w:t>
      </w:r>
      <w:r w:rsidR="00675DE7" w:rsidRPr="00EA1BB2">
        <w:rPr>
          <w:rFonts w:ascii="Cambria" w:hAnsi="Cambria" w:cs="Times New Roman"/>
          <w:color w:val="0070C0"/>
          <w:sz w:val="44"/>
          <w:szCs w:val="24"/>
        </w:rPr>
        <w:t>JUDE</w:t>
      </w:r>
      <w:r w:rsidR="00054880" w:rsidRPr="00EA1BB2">
        <w:rPr>
          <w:rFonts w:ascii="Cambria" w:hAnsi="Cambria" w:cs="Times New Roman"/>
          <w:color w:val="0070C0"/>
          <w:sz w:val="44"/>
          <w:szCs w:val="24"/>
        </w:rPr>
        <w:t>Ț</w:t>
      </w:r>
      <w:r w:rsidR="00675DE7" w:rsidRPr="00EA1BB2">
        <w:rPr>
          <w:rFonts w:ascii="Cambria" w:hAnsi="Cambria" w:cs="Times New Roman"/>
          <w:color w:val="0070C0"/>
          <w:sz w:val="44"/>
          <w:szCs w:val="24"/>
        </w:rPr>
        <w:t>UL BRĂILA</w:t>
      </w:r>
    </w:p>
    <w:p w14:paraId="164D9598" w14:textId="77777777" w:rsidR="0001322C" w:rsidRPr="00EA1BB2" w:rsidRDefault="008E2852" w:rsidP="008E2852">
      <w:pPr>
        <w:spacing w:line="360" w:lineRule="auto"/>
        <w:jc w:val="center"/>
        <w:rPr>
          <w:rFonts w:ascii="Cambria" w:hAnsi="Cambria" w:cs="Times New Roman"/>
          <w:color w:val="0070C0"/>
          <w:sz w:val="44"/>
          <w:szCs w:val="24"/>
        </w:rPr>
      </w:pPr>
      <w:r w:rsidRPr="00EA1BB2">
        <w:rPr>
          <w:rFonts w:ascii="Cambria" w:hAnsi="Cambria" w:cs="Times New Roman"/>
          <w:color w:val="0070C0"/>
          <w:sz w:val="44"/>
          <w:szCs w:val="24"/>
        </w:rPr>
        <w:t>2018-2022</w:t>
      </w:r>
    </w:p>
    <w:p w14:paraId="3970A510" w14:textId="77777777" w:rsidR="00FF1946" w:rsidRPr="00EA1BB2" w:rsidRDefault="00FF1946" w:rsidP="002C3811">
      <w:pPr>
        <w:spacing w:line="360" w:lineRule="auto"/>
        <w:rPr>
          <w:rFonts w:ascii="Cambria" w:hAnsi="Cambria" w:cs="Times New Roman"/>
          <w:sz w:val="24"/>
          <w:szCs w:val="24"/>
        </w:rPr>
      </w:pPr>
    </w:p>
    <w:p w14:paraId="31791D2C" w14:textId="77777777" w:rsidR="002E66CD" w:rsidRPr="00EA1BB2" w:rsidRDefault="002E66CD" w:rsidP="002C3811">
      <w:pPr>
        <w:spacing w:line="360" w:lineRule="auto"/>
        <w:rPr>
          <w:rFonts w:ascii="Cambria" w:hAnsi="Cambria" w:cs="Times New Roman"/>
          <w:sz w:val="24"/>
          <w:szCs w:val="24"/>
        </w:rPr>
      </w:pPr>
    </w:p>
    <w:p w14:paraId="0E60E9F8" w14:textId="77777777" w:rsidR="002E66CD" w:rsidRPr="00EA1BB2" w:rsidRDefault="002E66CD" w:rsidP="002C3811">
      <w:pPr>
        <w:spacing w:line="360" w:lineRule="auto"/>
        <w:rPr>
          <w:rFonts w:ascii="Cambria" w:hAnsi="Cambria" w:cs="Times New Roman"/>
          <w:sz w:val="24"/>
          <w:szCs w:val="24"/>
        </w:rPr>
      </w:pPr>
    </w:p>
    <w:p w14:paraId="36FC7F6C" w14:textId="77777777" w:rsidR="002E66CD" w:rsidRPr="00EA1BB2" w:rsidRDefault="002E66CD" w:rsidP="002C3811">
      <w:pPr>
        <w:spacing w:line="360" w:lineRule="auto"/>
        <w:rPr>
          <w:rFonts w:ascii="Cambria" w:hAnsi="Cambria" w:cs="Times New Roman"/>
          <w:sz w:val="24"/>
          <w:szCs w:val="24"/>
        </w:rPr>
      </w:pPr>
    </w:p>
    <w:p w14:paraId="0FB13225" w14:textId="77777777" w:rsidR="000561CF" w:rsidRPr="00EA1BB2" w:rsidRDefault="000561CF" w:rsidP="002C3811">
      <w:pPr>
        <w:spacing w:line="360" w:lineRule="auto"/>
        <w:rPr>
          <w:rFonts w:ascii="Cambria" w:hAnsi="Cambria" w:cs="Times New Roman"/>
          <w:sz w:val="24"/>
          <w:szCs w:val="24"/>
        </w:rPr>
      </w:pPr>
    </w:p>
    <w:p w14:paraId="1BDD7C1A" w14:textId="77777777" w:rsidR="000561CF" w:rsidRPr="00EA1BB2" w:rsidRDefault="000561CF" w:rsidP="002C3811">
      <w:pPr>
        <w:spacing w:line="360" w:lineRule="auto"/>
        <w:rPr>
          <w:rFonts w:ascii="Cambria" w:hAnsi="Cambria" w:cs="Times New Roman"/>
          <w:sz w:val="24"/>
          <w:szCs w:val="24"/>
        </w:rPr>
      </w:pPr>
    </w:p>
    <w:p w14:paraId="1AEEAFF0" w14:textId="77777777" w:rsidR="000561CF" w:rsidRPr="00EA1BB2" w:rsidRDefault="000561CF" w:rsidP="002C3811">
      <w:pPr>
        <w:spacing w:line="360" w:lineRule="auto"/>
        <w:rPr>
          <w:rFonts w:ascii="Cambria" w:hAnsi="Cambria" w:cs="Times New Roman"/>
          <w:sz w:val="24"/>
          <w:szCs w:val="24"/>
        </w:rPr>
      </w:pPr>
    </w:p>
    <w:p w14:paraId="51E05065" w14:textId="77777777" w:rsidR="000561CF" w:rsidRPr="00EA1BB2" w:rsidRDefault="000561CF" w:rsidP="002C3811">
      <w:pPr>
        <w:spacing w:line="360" w:lineRule="auto"/>
        <w:rPr>
          <w:rFonts w:ascii="Cambria" w:hAnsi="Cambria" w:cs="Times New Roman"/>
          <w:sz w:val="24"/>
          <w:szCs w:val="24"/>
        </w:rPr>
      </w:pPr>
    </w:p>
    <w:p w14:paraId="2579141A" w14:textId="77777777" w:rsidR="000561CF" w:rsidRPr="00EA1BB2" w:rsidRDefault="000561CF" w:rsidP="000561CF">
      <w:pPr>
        <w:spacing w:line="360" w:lineRule="auto"/>
        <w:jc w:val="both"/>
        <w:rPr>
          <w:rFonts w:ascii="Cambria" w:eastAsia="Calibri" w:hAnsi="Cambria" w:cs="Arial"/>
          <w:b/>
        </w:rPr>
      </w:pPr>
    </w:p>
    <w:p w14:paraId="3104E204" w14:textId="77777777" w:rsidR="000561CF" w:rsidRPr="00EA1BB2" w:rsidRDefault="000561CF" w:rsidP="000561CF">
      <w:pPr>
        <w:spacing w:line="360" w:lineRule="auto"/>
        <w:jc w:val="both"/>
        <w:rPr>
          <w:rFonts w:ascii="Cambria" w:eastAsia="Calibri" w:hAnsi="Cambria" w:cs="Arial"/>
          <w:b/>
        </w:rPr>
      </w:pPr>
    </w:p>
    <w:p w14:paraId="235F929D" w14:textId="77777777" w:rsidR="000561CF" w:rsidRPr="00EA1BB2" w:rsidRDefault="000561CF" w:rsidP="000561CF">
      <w:pPr>
        <w:spacing w:line="360" w:lineRule="auto"/>
        <w:jc w:val="center"/>
        <w:rPr>
          <w:rFonts w:ascii="Cambria" w:eastAsia="Calibri" w:hAnsi="Cambria" w:cs="Times New Roman"/>
          <w:b/>
          <w:sz w:val="24"/>
        </w:rPr>
      </w:pPr>
    </w:p>
    <w:p w14:paraId="24885EBD" w14:textId="77777777" w:rsidR="000561CF" w:rsidRPr="00EA1BB2" w:rsidRDefault="000561CF" w:rsidP="000561CF">
      <w:pPr>
        <w:spacing w:line="360" w:lineRule="auto"/>
        <w:rPr>
          <w:rFonts w:ascii="Cambria" w:eastAsia="Calibri" w:hAnsi="Cambria" w:cs="Times New Roman"/>
          <w:sz w:val="24"/>
        </w:rPr>
      </w:pPr>
    </w:p>
    <w:p w14:paraId="1EA73A00" w14:textId="77777777" w:rsidR="0060625A" w:rsidRPr="00EA1BB2" w:rsidRDefault="00C45C60" w:rsidP="00C45C60">
      <w:pPr>
        <w:jc w:val="center"/>
        <w:rPr>
          <w:rFonts w:ascii="Cambria" w:hAnsi="Cambria" w:cs="Times New Roman"/>
          <w:b/>
          <w:sz w:val="32"/>
          <w:szCs w:val="24"/>
        </w:rPr>
      </w:pPr>
      <w:r w:rsidRPr="00EA1BB2">
        <w:rPr>
          <w:rFonts w:ascii="Cambria" w:hAnsi="Cambria" w:cs="Times New Roman"/>
          <w:b/>
          <w:sz w:val="32"/>
          <w:szCs w:val="24"/>
        </w:rPr>
        <w:t>2018</w:t>
      </w:r>
    </w:p>
    <w:p w14:paraId="1068D477" w14:textId="77777777" w:rsidR="0060625A" w:rsidRPr="00EA1BB2" w:rsidRDefault="0060625A">
      <w:pPr>
        <w:rPr>
          <w:rFonts w:ascii="Cambria" w:hAnsi="Cambria" w:cs="Times New Roman"/>
          <w:sz w:val="24"/>
          <w:szCs w:val="24"/>
        </w:rPr>
      </w:pPr>
    </w:p>
    <w:p w14:paraId="20AB9121" w14:textId="77777777" w:rsidR="0060625A" w:rsidRPr="00EA1BB2" w:rsidRDefault="0060625A">
      <w:pPr>
        <w:rPr>
          <w:rFonts w:ascii="Cambria" w:hAnsi="Cambria" w:cs="Times New Roman"/>
          <w:sz w:val="24"/>
          <w:szCs w:val="24"/>
        </w:rPr>
      </w:pPr>
      <w:r w:rsidRPr="00EA1BB2">
        <w:rPr>
          <w:rFonts w:ascii="Cambria" w:hAnsi="Cambria" w:cs="Times New Roman"/>
          <w:sz w:val="24"/>
          <w:szCs w:val="24"/>
        </w:rPr>
        <w:br w:type="page"/>
      </w:r>
    </w:p>
    <w:p w14:paraId="70EB65CB" w14:textId="77777777" w:rsidR="00706505" w:rsidRPr="00EA1BB2" w:rsidRDefault="00706505" w:rsidP="0054032E">
      <w:pPr>
        <w:spacing w:line="360" w:lineRule="auto"/>
        <w:jc w:val="both"/>
        <w:rPr>
          <w:rFonts w:ascii="Cambria" w:hAnsi="Cambria" w:cs="Times New Roman"/>
          <w:b/>
          <w:sz w:val="24"/>
          <w:szCs w:val="24"/>
        </w:rPr>
      </w:pPr>
    </w:p>
    <w:p w14:paraId="11AD0F8A" w14:textId="77777777" w:rsidR="007360F5" w:rsidRPr="00EA1BB2" w:rsidRDefault="007360F5" w:rsidP="007360F5">
      <w:pPr>
        <w:spacing w:line="360" w:lineRule="auto"/>
        <w:jc w:val="both"/>
        <w:rPr>
          <w:rFonts w:ascii="Cambria" w:hAnsi="Cambria" w:cs="Times New Roman"/>
          <w:sz w:val="24"/>
          <w:szCs w:val="24"/>
        </w:rPr>
      </w:pPr>
      <w:r w:rsidRPr="00EA1BB2">
        <w:rPr>
          <w:rFonts w:ascii="Cambria" w:hAnsi="Cambria" w:cs="Times New Roman"/>
          <w:sz w:val="24"/>
          <w:szCs w:val="24"/>
        </w:rPr>
        <w:t>Informa</w:t>
      </w:r>
      <w:r w:rsidR="00054880" w:rsidRPr="00EA1BB2">
        <w:rPr>
          <w:rFonts w:ascii="Cambria" w:hAnsi="Cambria" w:cs="Times New Roman"/>
          <w:sz w:val="24"/>
          <w:szCs w:val="24"/>
        </w:rPr>
        <w:t>ț</w:t>
      </w:r>
      <w:r w:rsidRPr="00EA1BB2">
        <w:rPr>
          <w:rFonts w:ascii="Cambria" w:hAnsi="Cambria" w:cs="Times New Roman"/>
          <w:sz w:val="24"/>
          <w:szCs w:val="24"/>
        </w:rPr>
        <w:t xml:space="preserve">ii generale pentru planul de </w:t>
      </w:r>
      <w:r w:rsidR="00E83343" w:rsidRPr="00EA1BB2">
        <w:rPr>
          <w:rFonts w:ascii="Cambria" w:hAnsi="Cambria" w:cs="Times New Roman"/>
          <w:sz w:val="24"/>
          <w:szCs w:val="24"/>
        </w:rPr>
        <w:t>menținere a calității</w:t>
      </w:r>
      <w:r w:rsidRPr="00EA1BB2">
        <w:rPr>
          <w:rFonts w:ascii="Cambria" w:hAnsi="Cambria" w:cs="Times New Roman"/>
          <w:sz w:val="24"/>
          <w:szCs w:val="24"/>
        </w:rPr>
        <w:t xml:space="preserve"> aerului:</w:t>
      </w:r>
    </w:p>
    <w:p w14:paraId="3739DF19" w14:textId="77777777" w:rsidR="007360F5" w:rsidRPr="00EA1BB2" w:rsidRDefault="007360F5" w:rsidP="007360F5">
      <w:pPr>
        <w:spacing w:line="360" w:lineRule="auto"/>
        <w:jc w:val="both"/>
        <w:rPr>
          <w:rFonts w:ascii="Cambria" w:hAnsi="Cambria" w:cs="Times New Roman"/>
          <w:sz w:val="24"/>
          <w:szCs w:val="24"/>
        </w:rPr>
      </w:pPr>
      <w:r w:rsidRPr="00EA1BB2">
        <w:rPr>
          <w:rFonts w:ascii="Cambria" w:hAnsi="Cambria" w:cs="Times New Roman"/>
          <w:sz w:val="24"/>
          <w:szCs w:val="24"/>
        </w:rPr>
        <w:t>a) PLANUL DE MEN</w:t>
      </w:r>
      <w:r w:rsidR="00054880" w:rsidRPr="00EA1BB2">
        <w:rPr>
          <w:rFonts w:ascii="Cambria" w:hAnsi="Cambria" w:cs="Times New Roman"/>
          <w:sz w:val="24"/>
          <w:szCs w:val="24"/>
        </w:rPr>
        <w:t>Ț</w:t>
      </w:r>
      <w:r w:rsidRPr="00EA1BB2">
        <w:rPr>
          <w:rFonts w:ascii="Cambria" w:hAnsi="Cambria" w:cs="Times New Roman"/>
          <w:sz w:val="24"/>
          <w:szCs w:val="24"/>
        </w:rPr>
        <w:t>INERE A CALITĂ</w:t>
      </w:r>
      <w:r w:rsidR="00054880" w:rsidRPr="00EA1BB2">
        <w:rPr>
          <w:rFonts w:ascii="Cambria" w:hAnsi="Cambria" w:cs="Times New Roman"/>
          <w:sz w:val="24"/>
          <w:szCs w:val="24"/>
        </w:rPr>
        <w:t>Ț</w:t>
      </w:r>
      <w:r w:rsidRPr="00EA1BB2">
        <w:rPr>
          <w:rFonts w:ascii="Cambria" w:hAnsi="Cambria" w:cs="Times New Roman"/>
          <w:sz w:val="24"/>
          <w:szCs w:val="24"/>
        </w:rPr>
        <w:t>II AERULUI ÎN JUDE</w:t>
      </w:r>
      <w:r w:rsidR="00054880" w:rsidRPr="00EA1BB2">
        <w:rPr>
          <w:rFonts w:ascii="Cambria" w:hAnsi="Cambria" w:cs="Times New Roman"/>
          <w:sz w:val="24"/>
          <w:szCs w:val="24"/>
        </w:rPr>
        <w:t>Ț</w:t>
      </w:r>
      <w:r w:rsidRPr="00EA1BB2">
        <w:rPr>
          <w:rFonts w:ascii="Cambria" w:hAnsi="Cambria" w:cs="Times New Roman"/>
          <w:sz w:val="24"/>
          <w:szCs w:val="24"/>
        </w:rPr>
        <w:t>UL BRĂILA</w:t>
      </w:r>
    </w:p>
    <w:p w14:paraId="4230A43D" w14:textId="77777777" w:rsidR="007360F5" w:rsidRPr="00EA1BB2" w:rsidRDefault="008C5CE0" w:rsidP="007360F5">
      <w:pPr>
        <w:spacing w:line="360" w:lineRule="auto"/>
        <w:jc w:val="both"/>
        <w:rPr>
          <w:rFonts w:ascii="Cambria" w:hAnsi="Cambria" w:cs="Times New Roman"/>
          <w:sz w:val="24"/>
          <w:szCs w:val="24"/>
        </w:rPr>
      </w:pPr>
      <w:r w:rsidRPr="00EA1BB2">
        <w:rPr>
          <w:rFonts w:ascii="Cambria" w:hAnsi="Cambria" w:cs="Times New Roman"/>
          <w:sz w:val="24"/>
          <w:szCs w:val="24"/>
        </w:rPr>
        <w:t>b</w:t>
      </w:r>
      <w:r w:rsidR="009E33D3" w:rsidRPr="00EA1BB2">
        <w:rPr>
          <w:rFonts w:ascii="Cambria" w:hAnsi="Cambria" w:cs="Times New Roman"/>
          <w:sz w:val="24"/>
          <w:szCs w:val="24"/>
        </w:rPr>
        <w:t>) A</w:t>
      </w:r>
      <w:r w:rsidR="007360F5" w:rsidRPr="00EA1BB2">
        <w:rPr>
          <w:rFonts w:ascii="Cambria" w:hAnsi="Cambria" w:cs="Times New Roman"/>
          <w:sz w:val="24"/>
          <w:szCs w:val="24"/>
        </w:rPr>
        <w:t xml:space="preserve">utoritatea responsabilă de elaborarea </w:t>
      </w:r>
      <w:r w:rsidR="00054880" w:rsidRPr="00EA1BB2">
        <w:rPr>
          <w:rFonts w:ascii="Cambria" w:hAnsi="Cambria" w:cs="Times New Roman"/>
          <w:sz w:val="24"/>
          <w:szCs w:val="24"/>
        </w:rPr>
        <w:t>ș</w:t>
      </w:r>
      <w:r w:rsidR="007360F5" w:rsidRPr="00EA1BB2">
        <w:rPr>
          <w:rFonts w:ascii="Cambria" w:hAnsi="Cambria" w:cs="Times New Roman"/>
          <w:sz w:val="24"/>
          <w:szCs w:val="24"/>
        </w:rPr>
        <w:t xml:space="preserve">i punerea în practică a planului de </w:t>
      </w:r>
      <w:r w:rsidRPr="00EA1BB2">
        <w:rPr>
          <w:rFonts w:ascii="Cambria" w:hAnsi="Cambria" w:cs="Times New Roman"/>
          <w:sz w:val="24"/>
          <w:szCs w:val="24"/>
        </w:rPr>
        <w:t>men</w:t>
      </w:r>
      <w:r w:rsidR="00054880" w:rsidRPr="00EA1BB2">
        <w:rPr>
          <w:rFonts w:ascii="Cambria" w:hAnsi="Cambria" w:cs="Times New Roman"/>
          <w:sz w:val="24"/>
          <w:szCs w:val="24"/>
        </w:rPr>
        <w:t>ț</w:t>
      </w:r>
      <w:r w:rsidRPr="00EA1BB2">
        <w:rPr>
          <w:rFonts w:ascii="Cambria" w:hAnsi="Cambria" w:cs="Times New Roman"/>
          <w:sz w:val="24"/>
          <w:szCs w:val="24"/>
        </w:rPr>
        <w:t>inere a calită</w:t>
      </w:r>
      <w:r w:rsidR="00054880" w:rsidRPr="00EA1BB2">
        <w:rPr>
          <w:rFonts w:ascii="Cambria" w:hAnsi="Cambria" w:cs="Times New Roman"/>
          <w:sz w:val="24"/>
          <w:szCs w:val="24"/>
        </w:rPr>
        <w:t>ț</w:t>
      </w:r>
      <w:r w:rsidRPr="00EA1BB2">
        <w:rPr>
          <w:rFonts w:ascii="Cambria" w:hAnsi="Cambria" w:cs="Times New Roman"/>
          <w:sz w:val="24"/>
          <w:szCs w:val="24"/>
        </w:rPr>
        <w:t>ii aerului:</w:t>
      </w:r>
    </w:p>
    <w:p w14:paraId="5F19900D" w14:textId="77777777" w:rsidR="0098139A" w:rsidRPr="00EA1BB2" w:rsidRDefault="0098139A" w:rsidP="003A520C">
      <w:pPr>
        <w:numPr>
          <w:ilvl w:val="0"/>
          <w:numId w:val="31"/>
        </w:numPr>
        <w:spacing w:line="360" w:lineRule="auto"/>
        <w:contextualSpacing/>
        <w:jc w:val="both"/>
        <w:rPr>
          <w:rFonts w:ascii="Cambria" w:hAnsi="Cambria"/>
          <w:sz w:val="24"/>
          <w:szCs w:val="24"/>
        </w:rPr>
      </w:pPr>
      <w:r w:rsidRPr="00EA1BB2">
        <w:rPr>
          <w:rFonts w:ascii="Cambria" w:hAnsi="Cambria"/>
          <w:bCs/>
          <w:sz w:val="24"/>
          <w:szCs w:val="24"/>
        </w:rPr>
        <w:t>CONSILIUL JUDE</w:t>
      </w:r>
      <w:r w:rsidR="00054880" w:rsidRPr="00EA1BB2">
        <w:rPr>
          <w:rFonts w:ascii="Cambria" w:hAnsi="Cambria"/>
          <w:bCs/>
          <w:sz w:val="24"/>
          <w:szCs w:val="24"/>
        </w:rPr>
        <w:t>Ț</w:t>
      </w:r>
      <w:r w:rsidRPr="00EA1BB2">
        <w:rPr>
          <w:rFonts w:ascii="Cambria" w:hAnsi="Cambria"/>
          <w:bCs/>
          <w:sz w:val="24"/>
          <w:szCs w:val="24"/>
        </w:rPr>
        <w:t>EAN BRĂILA</w:t>
      </w:r>
    </w:p>
    <w:p w14:paraId="72B81F08" w14:textId="77777777" w:rsidR="0098139A" w:rsidRPr="00EA1BB2" w:rsidRDefault="0098139A" w:rsidP="0098139A">
      <w:pPr>
        <w:spacing w:line="360" w:lineRule="auto"/>
        <w:ind w:left="720"/>
        <w:contextualSpacing/>
        <w:jc w:val="both"/>
        <w:rPr>
          <w:rFonts w:ascii="Cambria" w:hAnsi="Cambria" w:cs="Times New Roman"/>
          <w:bCs/>
          <w:sz w:val="24"/>
          <w:szCs w:val="24"/>
        </w:rPr>
      </w:pPr>
      <w:r w:rsidRPr="00EA1BB2">
        <w:rPr>
          <w:rFonts w:ascii="Cambria" w:hAnsi="Cambria" w:cs="Times New Roman"/>
          <w:bCs/>
          <w:sz w:val="24"/>
          <w:szCs w:val="24"/>
        </w:rPr>
        <w:t>Pia</w:t>
      </w:r>
      <w:r w:rsidR="00054880" w:rsidRPr="00EA1BB2">
        <w:rPr>
          <w:rFonts w:ascii="Cambria" w:hAnsi="Cambria" w:cs="Times New Roman"/>
          <w:bCs/>
          <w:sz w:val="24"/>
          <w:szCs w:val="24"/>
        </w:rPr>
        <w:t>ț</w:t>
      </w:r>
      <w:r w:rsidRPr="00EA1BB2">
        <w:rPr>
          <w:rFonts w:ascii="Cambria" w:hAnsi="Cambria" w:cs="Times New Roman"/>
          <w:bCs/>
          <w:sz w:val="24"/>
          <w:szCs w:val="24"/>
        </w:rPr>
        <w:t>a Independentei nr. 1, Brăila</w:t>
      </w:r>
      <w:r w:rsidR="004E3CD3" w:rsidRPr="00EA1BB2">
        <w:rPr>
          <w:rFonts w:ascii="Cambria" w:hAnsi="Cambria" w:cs="Times New Roman"/>
          <w:bCs/>
          <w:sz w:val="24"/>
          <w:szCs w:val="24"/>
        </w:rPr>
        <w:t>,</w:t>
      </w:r>
      <w:r w:rsidRPr="00EA1BB2">
        <w:rPr>
          <w:rFonts w:ascii="Cambria" w:hAnsi="Cambria" w:cs="Times New Roman"/>
          <w:bCs/>
          <w:sz w:val="24"/>
          <w:szCs w:val="24"/>
        </w:rPr>
        <w:t xml:space="preserve"> Tel.: 0239.619.600, 0239.619.700 (centrala),  0239.619.945 (cabinet pre</w:t>
      </w:r>
      <w:r w:rsidR="00054880" w:rsidRPr="00EA1BB2">
        <w:rPr>
          <w:rFonts w:ascii="Cambria" w:hAnsi="Cambria" w:cs="Times New Roman"/>
          <w:bCs/>
          <w:sz w:val="24"/>
          <w:szCs w:val="24"/>
        </w:rPr>
        <w:t>ș</w:t>
      </w:r>
      <w:r w:rsidRPr="00EA1BB2">
        <w:rPr>
          <w:rFonts w:ascii="Cambria" w:hAnsi="Cambria" w:cs="Times New Roman"/>
          <w:bCs/>
          <w:sz w:val="24"/>
          <w:szCs w:val="24"/>
        </w:rPr>
        <w:t>edinte) Fax: 0239.611.765 (cabinet pre</w:t>
      </w:r>
      <w:r w:rsidR="00054880" w:rsidRPr="00EA1BB2">
        <w:rPr>
          <w:rFonts w:ascii="Cambria" w:hAnsi="Cambria" w:cs="Times New Roman"/>
          <w:bCs/>
          <w:sz w:val="24"/>
          <w:szCs w:val="24"/>
        </w:rPr>
        <w:t>ș</w:t>
      </w:r>
      <w:r w:rsidRPr="00EA1BB2">
        <w:rPr>
          <w:rFonts w:ascii="Cambria" w:hAnsi="Cambria" w:cs="Times New Roman"/>
          <w:bCs/>
          <w:sz w:val="24"/>
          <w:szCs w:val="24"/>
        </w:rPr>
        <w:t>edinte) E-mail: </w:t>
      </w:r>
      <w:hyperlink r:id="rId9" w:history="1">
        <w:r w:rsidRPr="00EA1BB2">
          <w:rPr>
            <w:rStyle w:val="Hyperlink"/>
            <w:rFonts w:ascii="Cambria" w:hAnsi="Cambria" w:cs="Times New Roman"/>
            <w:bCs/>
            <w:color w:val="auto"/>
            <w:sz w:val="24"/>
            <w:szCs w:val="24"/>
            <w:u w:val="none"/>
          </w:rPr>
          <w:t>consiliu@cjbraila.ro</w:t>
        </w:r>
      </w:hyperlink>
      <w:r w:rsidRPr="00EA1BB2">
        <w:rPr>
          <w:rFonts w:ascii="Cambria" w:hAnsi="Cambria" w:cs="Times New Roman"/>
          <w:bCs/>
          <w:i/>
          <w:iCs/>
          <w:sz w:val="24"/>
          <w:szCs w:val="24"/>
        </w:rPr>
        <w:t> </w:t>
      </w:r>
    </w:p>
    <w:p w14:paraId="1C8B6DB8" w14:textId="77777777" w:rsidR="005662F5" w:rsidRPr="00EA1BB2" w:rsidRDefault="007360F5" w:rsidP="003A520C">
      <w:pPr>
        <w:numPr>
          <w:ilvl w:val="0"/>
          <w:numId w:val="31"/>
        </w:numPr>
        <w:spacing w:line="360" w:lineRule="auto"/>
        <w:contextualSpacing/>
        <w:jc w:val="both"/>
        <w:rPr>
          <w:rFonts w:ascii="Cambria" w:hAnsi="Cambria" w:cs="Times New Roman"/>
          <w:sz w:val="24"/>
          <w:szCs w:val="24"/>
        </w:rPr>
      </w:pPr>
      <w:r w:rsidRPr="00EA1BB2">
        <w:rPr>
          <w:rFonts w:ascii="Cambria" w:hAnsi="Cambria" w:cs="Times New Roman"/>
          <w:sz w:val="24"/>
          <w:szCs w:val="24"/>
        </w:rPr>
        <w:t>numele persoanei responsabile</w:t>
      </w:r>
      <w:r w:rsidR="004E3CD3" w:rsidRPr="00EA1BB2">
        <w:rPr>
          <w:rFonts w:ascii="Cambria" w:hAnsi="Cambria" w:cs="Times New Roman"/>
          <w:sz w:val="24"/>
          <w:szCs w:val="24"/>
        </w:rPr>
        <w:t>:</w:t>
      </w:r>
    </w:p>
    <w:p w14:paraId="2BFCF068" w14:textId="77777777" w:rsidR="004E3CD3" w:rsidRPr="00EA1BB2" w:rsidRDefault="00415289" w:rsidP="00B30B02">
      <w:pPr>
        <w:spacing w:line="360" w:lineRule="auto"/>
        <w:ind w:left="708"/>
        <w:jc w:val="both"/>
        <w:rPr>
          <w:rFonts w:ascii="Cambria" w:hAnsi="Cambria" w:cs="Times New Roman"/>
          <w:sz w:val="24"/>
          <w:szCs w:val="24"/>
        </w:rPr>
      </w:pPr>
      <w:r w:rsidRPr="00EA1BB2">
        <w:rPr>
          <w:rFonts w:ascii="Cambria" w:hAnsi="Cambria" w:cs="Times New Roman"/>
          <w:sz w:val="24"/>
          <w:szCs w:val="24"/>
        </w:rPr>
        <w:t>Pre</w:t>
      </w:r>
      <w:r w:rsidR="00054880" w:rsidRPr="00EA1BB2">
        <w:rPr>
          <w:rFonts w:ascii="Cambria" w:hAnsi="Cambria" w:cs="Times New Roman"/>
          <w:sz w:val="24"/>
          <w:szCs w:val="24"/>
        </w:rPr>
        <w:t>ș</w:t>
      </w:r>
      <w:r w:rsidR="00853521" w:rsidRPr="00EA1BB2">
        <w:rPr>
          <w:rFonts w:ascii="Cambria" w:hAnsi="Cambria" w:cs="Times New Roman"/>
          <w:sz w:val="24"/>
          <w:szCs w:val="24"/>
        </w:rPr>
        <w:t>edintele Consili</w:t>
      </w:r>
      <w:r w:rsidRPr="00EA1BB2">
        <w:rPr>
          <w:rFonts w:ascii="Cambria" w:hAnsi="Cambria" w:cs="Times New Roman"/>
          <w:sz w:val="24"/>
          <w:szCs w:val="24"/>
        </w:rPr>
        <w:t>ului Jude</w:t>
      </w:r>
      <w:r w:rsidR="00054880" w:rsidRPr="00EA1BB2">
        <w:rPr>
          <w:rFonts w:ascii="Cambria" w:hAnsi="Cambria" w:cs="Times New Roman"/>
          <w:sz w:val="24"/>
          <w:szCs w:val="24"/>
        </w:rPr>
        <w:t>ț</w:t>
      </w:r>
      <w:r w:rsidRPr="00EA1BB2">
        <w:rPr>
          <w:rFonts w:ascii="Cambria" w:hAnsi="Cambria" w:cs="Times New Roman"/>
          <w:sz w:val="24"/>
          <w:szCs w:val="24"/>
        </w:rPr>
        <w:t>ean Brăila: Chiriac Francisk-Iulian</w:t>
      </w:r>
    </w:p>
    <w:p w14:paraId="219F80FA" w14:textId="77777777" w:rsidR="007360F5" w:rsidRPr="00EA1BB2" w:rsidRDefault="008C5CE0" w:rsidP="004E3CD3">
      <w:pPr>
        <w:spacing w:line="360" w:lineRule="auto"/>
        <w:jc w:val="both"/>
        <w:rPr>
          <w:rFonts w:ascii="Cambria" w:hAnsi="Cambria" w:cs="Times New Roman"/>
          <w:sz w:val="24"/>
          <w:szCs w:val="24"/>
        </w:rPr>
      </w:pPr>
      <w:r w:rsidRPr="00EA1BB2">
        <w:rPr>
          <w:rFonts w:ascii="Cambria" w:hAnsi="Cambria" w:cs="Times New Roman"/>
          <w:sz w:val="24"/>
          <w:szCs w:val="24"/>
        </w:rPr>
        <w:t>c</w:t>
      </w:r>
      <w:r w:rsidR="007360F5" w:rsidRPr="00EA1BB2">
        <w:rPr>
          <w:rFonts w:ascii="Cambria" w:hAnsi="Cambria" w:cs="Times New Roman"/>
          <w:sz w:val="24"/>
          <w:szCs w:val="24"/>
        </w:rPr>
        <w:t xml:space="preserve">) </w:t>
      </w:r>
      <w:r w:rsidR="005662F5" w:rsidRPr="00EA1BB2">
        <w:rPr>
          <w:rFonts w:ascii="Cambria" w:hAnsi="Cambria" w:cs="Times New Roman"/>
          <w:sz w:val="24"/>
          <w:szCs w:val="24"/>
        </w:rPr>
        <w:t xml:space="preserve">Stadiu </w:t>
      </w:r>
      <w:r w:rsidR="009E33D3" w:rsidRPr="00EA1BB2">
        <w:rPr>
          <w:rFonts w:ascii="Cambria" w:hAnsi="Cambria" w:cs="Times New Roman"/>
          <w:sz w:val="24"/>
          <w:szCs w:val="24"/>
        </w:rPr>
        <w:t>P</w:t>
      </w:r>
      <w:r w:rsidR="007360F5" w:rsidRPr="00EA1BB2">
        <w:rPr>
          <w:rFonts w:ascii="Cambria" w:hAnsi="Cambria" w:cs="Times New Roman"/>
          <w:sz w:val="24"/>
          <w:szCs w:val="24"/>
        </w:rPr>
        <w:t>lan de men</w:t>
      </w:r>
      <w:r w:rsidR="00054880" w:rsidRPr="00EA1BB2">
        <w:rPr>
          <w:rFonts w:ascii="Cambria" w:hAnsi="Cambria" w:cs="Times New Roman"/>
          <w:sz w:val="24"/>
          <w:szCs w:val="24"/>
        </w:rPr>
        <w:t>ț</w:t>
      </w:r>
      <w:r w:rsidR="007360F5" w:rsidRPr="00EA1BB2">
        <w:rPr>
          <w:rFonts w:ascii="Cambria" w:hAnsi="Cambria" w:cs="Times New Roman"/>
          <w:sz w:val="24"/>
          <w:szCs w:val="24"/>
        </w:rPr>
        <w:t>inere a calită</w:t>
      </w:r>
      <w:r w:rsidR="00054880" w:rsidRPr="00EA1BB2">
        <w:rPr>
          <w:rFonts w:ascii="Cambria" w:hAnsi="Cambria" w:cs="Times New Roman"/>
          <w:sz w:val="24"/>
          <w:szCs w:val="24"/>
        </w:rPr>
        <w:t>ț</w:t>
      </w:r>
      <w:r w:rsidR="007360F5" w:rsidRPr="00EA1BB2">
        <w:rPr>
          <w:rFonts w:ascii="Cambria" w:hAnsi="Cambria" w:cs="Times New Roman"/>
          <w:sz w:val="24"/>
          <w:szCs w:val="24"/>
        </w:rPr>
        <w:t xml:space="preserve">ii aerului: </w:t>
      </w:r>
      <w:r w:rsidR="00050BCA" w:rsidRPr="00EA1BB2">
        <w:rPr>
          <w:rFonts w:ascii="Cambria" w:hAnsi="Cambria" w:cs="Times New Roman"/>
          <w:sz w:val="24"/>
          <w:szCs w:val="24"/>
        </w:rPr>
        <w:t>în pregătire</w:t>
      </w:r>
    </w:p>
    <w:p w14:paraId="7F23BD53" w14:textId="77777777" w:rsidR="007360F5" w:rsidRPr="00EA1BB2" w:rsidRDefault="008C5CE0" w:rsidP="007360F5">
      <w:pPr>
        <w:spacing w:line="360" w:lineRule="auto"/>
        <w:jc w:val="both"/>
        <w:rPr>
          <w:rFonts w:ascii="Cambria" w:hAnsi="Cambria" w:cs="Times New Roman"/>
          <w:sz w:val="24"/>
          <w:szCs w:val="24"/>
        </w:rPr>
      </w:pPr>
      <w:r w:rsidRPr="00EA1BB2">
        <w:rPr>
          <w:rFonts w:ascii="Cambria" w:hAnsi="Cambria" w:cs="Times New Roman"/>
          <w:sz w:val="24"/>
          <w:szCs w:val="24"/>
        </w:rPr>
        <w:t>d</w:t>
      </w:r>
      <w:r w:rsidR="007360F5" w:rsidRPr="00EA1BB2">
        <w:rPr>
          <w:rFonts w:ascii="Cambria" w:hAnsi="Cambria" w:cs="Times New Roman"/>
          <w:sz w:val="24"/>
          <w:szCs w:val="24"/>
        </w:rPr>
        <w:t xml:space="preserve">) </w:t>
      </w:r>
      <w:r w:rsidR="009E33D3" w:rsidRPr="00EA1BB2">
        <w:rPr>
          <w:rFonts w:ascii="Cambria" w:hAnsi="Cambria" w:cs="Times New Roman"/>
          <w:sz w:val="24"/>
          <w:szCs w:val="24"/>
        </w:rPr>
        <w:t>D</w:t>
      </w:r>
      <w:r w:rsidR="007360F5" w:rsidRPr="00EA1BB2">
        <w:rPr>
          <w:rFonts w:ascii="Cambria" w:hAnsi="Cambria" w:cs="Times New Roman"/>
          <w:sz w:val="24"/>
          <w:szCs w:val="24"/>
        </w:rPr>
        <w:t xml:space="preserve">ata adoptării oficiale: </w:t>
      </w:r>
      <w:r w:rsidR="00D837A5" w:rsidRPr="00EA1BB2">
        <w:rPr>
          <w:rFonts w:ascii="Cambria" w:hAnsi="Cambria" w:cs="Times New Roman"/>
          <w:sz w:val="24"/>
          <w:szCs w:val="24"/>
        </w:rPr>
        <w:t>HCJ nr. xx/xx.xx.201</w:t>
      </w:r>
      <w:r w:rsidR="008E2852" w:rsidRPr="00EA1BB2">
        <w:rPr>
          <w:rFonts w:ascii="Cambria" w:hAnsi="Cambria" w:cs="Times New Roman"/>
          <w:sz w:val="24"/>
          <w:szCs w:val="24"/>
        </w:rPr>
        <w:t>8</w:t>
      </w:r>
    </w:p>
    <w:p w14:paraId="1923166F" w14:textId="77777777" w:rsidR="007360F5" w:rsidRPr="00EA1BB2" w:rsidRDefault="008C5CE0" w:rsidP="007360F5">
      <w:pPr>
        <w:spacing w:line="360" w:lineRule="auto"/>
        <w:jc w:val="both"/>
        <w:rPr>
          <w:rFonts w:ascii="Cambria" w:hAnsi="Cambria" w:cs="Times New Roman"/>
          <w:sz w:val="24"/>
          <w:szCs w:val="24"/>
        </w:rPr>
      </w:pPr>
      <w:r w:rsidRPr="00EA1BB2">
        <w:rPr>
          <w:rFonts w:ascii="Cambria" w:hAnsi="Cambria" w:cs="Times New Roman"/>
          <w:sz w:val="24"/>
          <w:szCs w:val="24"/>
        </w:rPr>
        <w:t>e</w:t>
      </w:r>
      <w:r w:rsidR="007360F5" w:rsidRPr="00EA1BB2">
        <w:rPr>
          <w:rFonts w:ascii="Cambria" w:hAnsi="Cambria" w:cs="Times New Roman"/>
          <w:sz w:val="24"/>
          <w:szCs w:val="24"/>
        </w:rPr>
        <w:t xml:space="preserve">) </w:t>
      </w:r>
      <w:r w:rsidR="009E33D3" w:rsidRPr="00EA1BB2">
        <w:rPr>
          <w:rFonts w:ascii="Cambria" w:hAnsi="Cambria" w:cs="Times New Roman"/>
          <w:sz w:val="24"/>
          <w:szCs w:val="24"/>
        </w:rPr>
        <w:t>C</w:t>
      </w:r>
      <w:r w:rsidR="007360F5" w:rsidRPr="00EA1BB2">
        <w:rPr>
          <w:rFonts w:ascii="Cambria" w:hAnsi="Cambria" w:cs="Times New Roman"/>
          <w:sz w:val="24"/>
          <w:szCs w:val="24"/>
        </w:rPr>
        <w:t xml:space="preserve">alendarul punerii în aplicare: </w:t>
      </w:r>
      <w:r w:rsidR="008E2852" w:rsidRPr="00EA1BB2">
        <w:rPr>
          <w:rFonts w:ascii="Cambria" w:hAnsi="Cambria" w:cs="Times New Roman"/>
          <w:sz w:val="24"/>
          <w:szCs w:val="24"/>
        </w:rPr>
        <w:t>2018-2022</w:t>
      </w:r>
    </w:p>
    <w:p w14:paraId="72206EC5" w14:textId="77777777" w:rsidR="007360F5" w:rsidRPr="00EA1BB2" w:rsidRDefault="008C5CE0" w:rsidP="007360F5">
      <w:pPr>
        <w:spacing w:line="360" w:lineRule="auto"/>
        <w:jc w:val="both"/>
        <w:rPr>
          <w:rFonts w:ascii="Cambria" w:hAnsi="Cambria" w:cs="Times New Roman"/>
          <w:sz w:val="24"/>
          <w:szCs w:val="24"/>
        </w:rPr>
      </w:pPr>
      <w:r w:rsidRPr="00EA1BB2">
        <w:rPr>
          <w:rFonts w:ascii="Cambria" w:hAnsi="Cambria" w:cs="Times New Roman"/>
          <w:sz w:val="24"/>
          <w:szCs w:val="24"/>
        </w:rPr>
        <w:t>f</w:t>
      </w:r>
      <w:r w:rsidR="007360F5" w:rsidRPr="00EA1BB2">
        <w:rPr>
          <w:rFonts w:ascii="Cambria" w:hAnsi="Cambria" w:cs="Times New Roman"/>
          <w:sz w:val="24"/>
          <w:szCs w:val="24"/>
        </w:rPr>
        <w:t xml:space="preserve">) </w:t>
      </w:r>
      <w:r w:rsidR="009E33D3" w:rsidRPr="00EA1BB2">
        <w:rPr>
          <w:rFonts w:ascii="Cambria" w:hAnsi="Cambria" w:cs="Times New Roman"/>
          <w:sz w:val="24"/>
          <w:szCs w:val="24"/>
        </w:rPr>
        <w:t>T</w:t>
      </w:r>
      <w:r w:rsidR="007360F5" w:rsidRPr="00EA1BB2">
        <w:rPr>
          <w:rFonts w:ascii="Cambria" w:hAnsi="Cambria" w:cs="Times New Roman"/>
          <w:sz w:val="24"/>
          <w:szCs w:val="24"/>
        </w:rPr>
        <w:t xml:space="preserve">rimitere la planul </w:t>
      </w:r>
      <w:r w:rsidR="00E83343" w:rsidRPr="00EA1BB2">
        <w:rPr>
          <w:rFonts w:ascii="Cambria" w:hAnsi="Cambria" w:cs="Times New Roman"/>
          <w:sz w:val="24"/>
          <w:szCs w:val="24"/>
        </w:rPr>
        <w:t xml:space="preserve">de menținere a calității </w:t>
      </w:r>
      <w:r w:rsidR="007360F5" w:rsidRPr="00EA1BB2">
        <w:rPr>
          <w:rFonts w:ascii="Cambria" w:hAnsi="Cambria" w:cs="Times New Roman"/>
          <w:sz w:val="24"/>
          <w:szCs w:val="24"/>
        </w:rPr>
        <w:t>aerului</w:t>
      </w:r>
      <w:r w:rsidR="00B30B02" w:rsidRPr="00EA1BB2">
        <w:rPr>
          <w:rFonts w:ascii="Cambria" w:hAnsi="Cambria" w:cs="Times New Roman"/>
          <w:sz w:val="24"/>
          <w:szCs w:val="24"/>
        </w:rPr>
        <w:t>:</w:t>
      </w:r>
      <w:hyperlink r:id="rId10" w:history="1">
        <w:r w:rsidR="00491A83" w:rsidRPr="00EA1BB2">
          <w:rPr>
            <w:rStyle w:val="Hyperlink"/>
            <w:rFonts w:ascii="Cambria" w:hAnsi="Cambria" w:cs="Times New Roman"/>
            <w:sz w:val="24"/>
            <w:szCs w:val="24"/>
          </w:rPr>
          <w:t>http://www.portal-braila.ro/dm/portal.nsf/AllByUNID/Planului-de-mentinerea-calitatii-aerului--Dezbatere-Publica-00008392?OpenDocument</w:t>
        </w:r>
      </w:hyperlink>
      <w:r w:rsidR="00491A83" w:rsidRPr="00EA1BB2">
        <w:rPr>
          <w:rFonts w:ascii="Cambria" w:hAnsi="Cambria" w:cs="Times New Roman"/>
          <w:sz w:val="24"/>
          <w:szCs w:val="24"/>
        </w:rPr>
        <w:t xml:space="preserve"> (va fi actualizat după avizare)</w:t>
      </w:r>
    </w:p>
    <w:p w14:paraId="61468296" w14:textId="77777777" w:rsidR="007360F5" w:rsidRPr="00EA1BB2" w:rsidRDefault="008C5CE0" w:rsidP="007360F5">
      <w:pPr>
        <w:spacing w:line="360" w:lineRule="auto"/>
        <w:jc w:val="both"/>
        <w:rPr>
          <w:rFonts w:ascii="Cambria" w:hAnsi="Cambria" w:cs="Times New Roman"/>
          <w:sz w:val="24"/>
          <w:szCs w:val="24"/>
        </w:rPr>
      </w:pPr>
      <w:r w:rsidRPr="00EA1BB2">
        <w:rPr>
          <w:rFonts w:ascii="Cambria" w:hAnsi="Cambria" w:cs="Times New Roman"/>
          <w:sz w:val="24"/>
          <w:szCs w:val="24"/>
        </w:rPr>
        <w:t>g</w:t>
      </w:r>
      <w:r w:rsidR="007360F5" w:rsidRPr="00EA1BB2">
        <w:rPr>
          <w:rFonts w:ascii="Cambria" w:hAnsi="Cambria" w:cs="Times New Roman"/>
          <w:sz w:val="24"/>
          <w:szCs w:val="24"/>
        </w:rPr>
        <w:t xml:space="preserve">) </w:t>
      </w:r>
      <w:r w:rsidR="009E33D3" w:rsidRPr="00EA1BB2">
        <w:rPr>
          <w:rFonts w:ascii="Cambria" w:hAnsi="Cambria" w:cs="Times New Roman"/>
          <w:sz w:val="24"/>
          <w:szCs w:val="24"/>
        </w:rPr>
        <w:t>T</w:t>
      </w:r>
      <w:r w:rsidR="00D837A5" w:rsidRPr="00EA1BB2">
        <w:rPr>
          <w:rFonts w:ascii="Cambria" w:hAnsi="Cambria" w:cs="Times New Roman"/>
          <w:sz w:val="24"/>
          <w:szCs w:val="24"/>
        </w:rPr>
        <w:t xml:space="preserve">rimitere la punerea în aplicare: </w:t>
      </w:r>
      <w:hyperlink r:id="rId11" w:history="1">
        <w:r w:rsidR="00491A83" w:rsidRPr="00EA1BB2">
          <w:rPr>
            <w:rStyle w:val="Hyperlink"/>
            <w:rFonts w:ascii="Cambria" w:hAnsi="Cambria" w:cs="Times New Roman"/>
            <w:sz w:val="24"/>
            <w:szCs w:val="24"/>
          </w:rPr>
          <w:t>http://www.cjbraila.ro</w:t>
        </w:r>
      </w:hyperlink>
      <w:r w:rsidR="00491A83" w:rsidRPr="00EA1BB2">
        <w:rPr>
          <w:rFonts w:ascii="Cambria" w:hAnsi="Cambria" w:cs="Times New Roman"/>
          <w:sz w:val="24"/>
          <w:szCs w:val="24"/>
        </w:rPr>
        <w:t xml:space="preserve"> (va fi actualizat după avizare)</w:t>
      </w:r>
    </w:p>
    <w:p w14:paraId="690C9A9E" w14:textId="77777777" w:rsidR="0060625A" w:rsidRPr="00EA1BB2" w:rsidRDefault="0060625A">
      <w:pPr>
        <w:rPr>
          <w:rFonts w:ascii="Cambria" w:eastAsia="Calibri" w:hAnsi="Cambria" w:cs="Times New Roman"/>
          <w:sz w:val="24"/>
        </w:rPr>
      </w:pPr>
      <w:r w:rsidRPr="00EA1BB2">
        <w:rPr>
          <w:rFonts w:ascii="Cambria" w:eastAsia="Calibri" w:hAnsi="Cambria" w:cs="Times New Roman"/>
          <w:sz w:val="24"/>
        </w:rPr>
        <w:br w:type="page"/>
      </w:r>
    </w:p>
    <w:p w14:paraId="23948F58" w14:textId="77777777" w:rsidR="00FF1946" w:rsidRPr="00EA1BB2" w:rsidRDefault="008C2083" w:rsidP="001F2C0A">
      <w:pPr>
        <w:spacing w:line="360" w:lineRule="auto"/>
        <w:ind w:firstLine="708"/>
        <w:rPr>
          <w:rFonts w:ascii="Cambria" w:hAnsi="Cambria" w:cs="Times New Roman"/>
          <w:b/>
          <w:sz w:val="24"/>
          <w:szCs w:val="24"/>
        </w:rPr>
      </w:pPr>
      <w:r w:rsidRPr="00EA1BB2">
        <w:rPr>
          <w:rFonts w:ascii="Cambria" w:hAnsi="Cambria" w:cs="Times New Roman"/>
          <w:b/>
          <w:sz w:val="24"/>
          <w:szCs w:val="24"/>
        </w:rPr>
        <w:lastRenderedPageBreak/>
        <w:t>CUPRINS</w:t>
      </w:r>
    </w:p>
    <w:p w14:paraId="0D02C90B" w14:textId="06ACBDB7" w:rsidR="00A96DD2" w:rsidRPr="00EA1BB2" w:rsidRDefault="00280BC9" w:rsidP="00A96DD2">
      <w:pPr>
        <w:pStyle w:val="TOC1"/>
        <w:rPr>
          <w:rFonts w:eastAsiaTheme="minorEastAsia"/>
          <w:noProof/>
          <w:szCs w:val="24"/>
          <w:lang w:val="ro-RO"/>
        </w:rPr>
      </w:pPr>
      <w:r w:rsidRPr="00EA1BB2">
        <w:rPr>
          <w:szCs w:val="24"/>
          <w:lang w:val="ro-RO"/>
        </w:rPr>
        <w:fldChar w:fldCharType="begin"/>
      </w:r>
      <w:r w:rsidR="005662F5" w:rsidRPr="00EA1BB2">
        <w:rPr>
          <w:szCs w:val="24"/>
          <w:lang w:val="ro-RO"/>
        </w:rPr>
        <w:instrText xml:space="preserve"> TOC \o "1-4" \h \z \u </w:instrText>
      </w:r>
      <w:r w:rsidRPr="00EA1BB2">
        <w:rPr>
          <w:szCs w:val="24"/>
          <w:lang w:val="ro-RO"/>
        </w:rPr>
        <w:fldChar w:fldCharType="separate"/>
      </w:r>
      <w:hyperlink w:anchor="_Toc526889690" w:history="1">
        <w:r w:rsidR="00A96DD2" w:rsidRPr="00EA1BB2">
          <w:rPr>
            <w:rStyle w:val="Hyperlink"/>
            <w:rFonts w:cs="Times New Roman"/>
            <w:noProof/>
            <w:szCs w:val="24"/>
            <w:lang w:val="ro-RO"/>
          </w:rPr>
          <w:t>1.</w:t>
        </w:r>
        <w:r w:rsidR="00A96DD2" w:rsidRPr="00EA1BB2">
          <w:rPr>
            <w:rFonts w:eastAsiaTheme="minorEastAsia"/>
            <w:noProof/>
            <w:szCs w:val="24"/>
            <w:lang w:val="ro-RO"/>
          </w:rPr>
          <w:tab/>
        </w:r>
        <w:r w:rsidR="00A96DD2" w:rsidRPr="00EA1BB2">
          <w:rPr>
            <w:rStyle w:val="Hyperlink"/>
            <w:rFonts w:cs="Times New Roman"/>
            <w:noProof/>
            <w:szCs w:val="24"/>
            <w:lang w:val="ro-RO"/>
          </w:rPr>
          <w:t>DESCRIEREA MODULUI DE REALIZARE A STUDIULUI CARE A STAT LA BAZA ELABORĂRII PLANULUI, INCLUSIV DESCRIEREA MODELULUI MATEMATIC UTILIZAT PENTRU DISPERSIA POLUANȚILOR ÎN ATMOSFERĂ ÎN VEDEREA ELABORĂRII SCENARIILOR/ MĂSURILOR ȘI ESTIMĂRII EFECTELOR ACESTORA</w:t>
        </w:r>
        <w:r w:rsidR="00A96DD2" w:rsidRPr="00EA1BB2">
          <w:rPr>
            <w:noProof/>
            <w:webHidden/>
            <w:szCs w:val="24"/>
            <w:lang w:val="ro-RO"/>
          </w:rPr>
          <w:tab/>
        </w:r>
        <w:r w:rsidR="00A96DD2" w:rsidRPr="00EA1BB2">
          <w:rPr>
            <w:noProof/>
            <w:webHidden/>
            <w:szCs w:val="24"/>
            <w:lang w:val="ro-RO"/>
          </w:rPr>
          <w:fldChar w:fldCharType="begin"/>
        </w:r>
        <w:r w:rsidR="00A96DD2" w:rsidRPr="00EA1BB2">
          <w:rPr>
            <w:noProof/>
            <w:webHidden/>
            <w:szCs w:val="24"/>
            <w:lang w:val="ro-RO"/>
          </w:rPr>
          <w:instrText xml:space="preserve"> PAGEREF _Toc526889690 \h </w:instrText>
        </w:r>
        <w:r w:rsidR="00A96DD2" w:rsidRPr="00EA1BB2">
          <w:rPr>
            <w:noProof/>
            <w:webHidden/>
            <w:szCs w:val="24"/>
            <w:lang w:val="ro-RO"/>
          </w:rPr>
        </w:r>
        <w:r w:rsidR="00A96DD2" w:rsidRPr="00EA1BB2">
          <w:rPr>
            <w:noProof/>
            <w:webHidden/>
            <w:szCs w:val="24"/>
            <w:lang w:val="ro-RO"/>
          </w:rPr>
          <w:fldChar w:fldCharType="separate"/>
        </w:r>
        <w:r w:rsidR="00567555">
          <w:rPr>
            <w:noProof/>
            <w:webHidden/>
            <w:szCs w:val="24"/>
            <w:lang w:val="ro-RO"/>
          </w:rPr>
          <w:t>17</w:t>
        </w:r>
        <w:r w:rsidR="00A96DD2" w:rsidRPr="00EA1BB2">
          <w:rPr>
            <w:noProof/>
            <w:webHidden/>
            <w:szCs w:val="24"/>
            <w:lang w:val="ro-RO"/>
          </w:rPr>
          <w:fldChar w:fldCharType="end"/>
        </w:r>
      </w:hyperlink>
    </w:p>
    <w:p w14:paraId="3EE76BCF" w14:textId="1271FDD9" w:rsidR="00A96DD2" w:rsidRPr="00EA1BB2" w:rsidRDefault="009A1372" w:rsidP="00A96DD2">
      <w:pPr>
        <w:pStyle w:val="TOC2"/>
        <w:tabs>
          <w:tab w:val="left" w:pos="880"/>
          <w:tab w:val="right" w:leader="dot" w:pos="9060"/>
        </w:tabs>
        <w:jc w:val="both"/>
        <w:rPr>
          <w:rFonts w:ascii="Cambria" w:eastAsiaTheme="minorEastAsia" w:hAnsi="Cambria"/>
          <w:noProof/>
          <w:szCs w:val="24"/>
          <w:lang w:val="ro-RO"/>
        </w:rPr>
      </w:pPr>
      <w:hyperlink w:anchor="_Toc526889691" w:history="1">
        <w:r w:rsidR="00A96DD2" w:rsidRPr="00EA1BB2">
          <w:rPr>
            <w:rStyle w:val="Hyperlink"/>
            <w:rFonts w:ascii="Cambria" w:hAnsi="Cambria" w:cs="Times New Roman"/>
            <w:noProof/>
            <w:szCs w:val="24"/>
            <w:lang w:val="ro-RO"/>
          </w:rPr>
          <w:t>1.1.</w:t>
        </w:r>
        <w:r w:rsidR="00A96DD2" w:rsidRPr="00EA1BB2">
          <w:rPr>
            <w:rFonts w:ascii="Cambria" w:eastAsiaTheme="minorEastAsia" w:hAnsi="Cambria"/>
            <w:noProof/>
            <w:szCs w:val="24"/>
            <w:lang w:val="ro-RO"/>
          </w:rPr>
          <w:tab/>
        </w:r>
        <w:r w:rsidR="00A96DD2" w:rsidRPr="00EA1BB2">
          <w:rPr>
            <w:rStyle w:val="Hyperlink"/>
            <w:rFonts w:ascii="Cambria" w:hAnsi="Cambria" w:cs="Times New Roman"/>
            <w:noProof/>
            <w:szCs w:val="24"/>
            <w:lang w:val="ro-RO"/>
          </w:rPr>
          <w:t>Descrierea modului de realizare a studiului de calitate a aerului care a stat la baza elaborării Planului</w:t>
        </w:r>
        <w:r w:rsidR="00A96DD2" w:rsidRPr="00EA1BB2">
          <w:rPr>
            <w:rFonts w:ascii="Cambria" w:hAnsi="Cambria"/>
            <w:noProof/>
            <w:webHidden/>
            <w:szCs w:val="24"/>
            <w:lang w:val="ro-RO"/>
          </w:rPr>
          <w:tab/>
        </w:r>
        <w:r w:rsidR="00A96DD2" w:rsidRPr="00EA1BB2">
          <w:rPr>
            <w:rFonts w:ascii="Cambria" w:hAnsi="Cambria"/>
            <w:noProof/>
            <w:webHidden/>
            <w:szCs w:val="24"/>
            <w:lang w:val="ro-RO"/>
          </w:rPr>
          <w:fldChar w:fldCharType="begin"/>
        </w:r>
        <w:r w:rsidR="00A96DD2" w:rsidRPr="00EA1BB2">
          <w:rPr>
            <w:rFonts w:ascii="Cambria" w:hAnsi="Cambria"/>
            <w:noProof/>
            <w:webHidden/>
            <w:szCs w:val="24"/>
            <w:lang w:val="ro-RO"/>
          </w:rPr>
          <w:instrText xml:space="preserve"> PAGEREF _Toc526889691 \h </w:instrText>
        </w:r>
        <w:r w:rsidR="00A96DD2" w:rsidRPr="00EA1BB2">
          <w:rPr>
            <w:rFonts w:ascii="Cambria" w:hAnsi="Cambria"/>
            <w:noProof/>
            <w:webHidden/>
            <w:szCs w:val="24"/>
            <w:lang w:val="ro-RO"/>
          </w:rPr>
        </w:r>
        <w:r w:rsidR="00A96DD2" w:rsidRPr="00EA1BB2">
          <w:rPr>
            <w:rFonts w:ascii="Cambria" w:hAnsi="Cambria"/>
            <w:noProof/>
            <w:webHidden/>
            <w:szCs w:val="24"/>
            <w:lang w:val="ro-RO"/>
          </w:rPr>
          <w:fldChar w:fldCharType="separate"/>
        </w:r>
        <w:r w:rsidR="00567555">
          <w:rPr>
            <w:rFonts w:ascii="Cambria" w:hAnsi="Cambria"/>
            <w:noProof/>
            <w:webHidden/>
            <w:szCs w:val="24"/>
            <w:lang w:val="ro-RO"/>
          </w:rPr>
          <w:t>19</w:t>
        </w:r>
        <w:r w:rsidR="00A96DD2" w:rsidRPr="00EA1BB2">
          <w:rPr>
            <w:rFonts w:ascii="Cambria" w:hAnsi="Cambria"/>
            <w:noProof/>
            <w:webHidden/>
            <w:szCs w:val="24"/>
            <w:lang w:val="ro-RO"/>
          </w:rPr>
          <w:fldChar w:fldCharType="end"/>
        </w:r>
      </w:hyperlink>
    </w:p>
    <w:p w14:paraId="4F1FC29C" w14:textId="1597B6F6" w:rsidR="00A96DD2" w:rsidRPr="00EA1BB2" w:rsidRDefault="009A1372" w:rsidP="00A96DD2">
      <w:pPr>
        <w:pStyle w:val="TOC2"/>
        <w:tabs>
          <w:tab w:val="left" w:pos="880"/>
          <w:tab w:val="right" w:leader="dot" w:pos="9060"/>
        </w:tabs>
        <w:jc w:val="both"/>
        <w:rPr>
          <w:rFonts w:ascii="Cambria" w:eastAsiaTheme="minorEastAsia" w:hAnsi="Cambria"/>
          <w:noProof/>
          <w:szCs w:val="24"/>
          <w:lang w:val="ro-RO"/>
        </w:rPr>
      </w:pPr>
      <w:hyperlink w:anchor="_Toc526889692" w:history="1">
        <w:r w:rsidR="00A96DD2" w:rsidRPr="00EA1BB2">
          <w:rPr>
            <w:rStyle w:val="Hyperlink"/>
            <w:rFonts w:ascii="Cambria" w:hAnsi="Cambria" w:cs="Times New Roman"/>
            <w:noProof/>
            <w:szCs w:val="24"/>
            <w:lang w:val="ro-RO"/>
          </w:rPr>
          <w:t>1.2.</w:t>
        </w:r>
        <w:r w:rsidR="00A96DD2" w:rsidRPr="00EA1BB2">
          <w:rPr>
            <w:rFonts w:ascii="Cambria" w:eastAsiaTheme="minorEastAsia" w:hAnsi="Cambria"/>
            <w:noProof/>
            <w:szCs w:val="24"/>
            <w:lang w:val="ro-RO"/>
          </w:rPr>
          <w:tab/>
        </w:r>
        <w:r w:rsidR="00A96DD2" w:rsidRPr="00EA1BB2">
          <w:rPr>
            <w:rStyle w:val="Hyperlink"/>
            <w:rFonts w:ascii="Cambria" w:hAnsi="Cambria" w:cs="Times New Roman"/>
            <w:noProof/>
            <w:szCs w:val="24"/>
            <w:lang w:val="ro-RO"/>
          </w:rPr>
          <w:t>Autorități responsabile</w:t>
        </w:r>
        <w:r w:rsidR="00A96DD2" w:rsidRPr="00EA1BB2">
          <w:rPr>
            <w:rFonts w:ascii="Cambria" w:hAnsi="Cambria"/>
            <w:noProof/>
            <w:webHidden/>
            <w:szCs w:val="24"/>
            <w:lang w:val="ro-RO"/>
          </w:rPr>
          <w:tab/>
        </w:r>
        <w:r w:rsidR="00A96DD2" w:rsidRPr="00EA1BB2">
          <w:rPr>
            <w:rFonts w:ascii="Cambria" w:hAnsi="Cambria"/>
            <w:noProof/>
            <w:webHidden/>
            <w:szCs w:val="24"/>
            <w:lang w:val="ro-RO"/>
          </w:rPr>
          <w:fldChar w:fldCharType="begin"/>
        </w:r>
        <w:r w:rsidR="00A96DD2" w:rsidRPr="00EA1BB2">
          <w:rPr>
            <w:rFonts w:ascii="Cambria" w:hAnsi="Cambria"/>
            <w:noProof/>
            <w:webHidden/>
            <w:szCs w:val="24"/>
            <w:lang w:val="ro-RO"/>
          </w:rPr>
          <w:instrText xml:space="preserve"> PAGEREF _Toc526889692 \h </w:instrText>
        </w:r>
        <w:r w:rsidR="00A96DD2" w:rsidRPr="00EA1BB2">
          <w:rPr>
            <w:rFonts w:ascii="Cambria" w:hAnsi="Cambria"/>
            <w:noProof/>
            <w:webHidden/>
            <w:szCs w:val="24"/>
            <w:lang w:val="ro-RO"/>
          </w:rPr>
        </w:r>
        <w:r w:rsidR="00A96DD2" w:rsidRPr="00EA1BB2">
          <w:rPr>
            <w:rFonts w:ascii="Cambria" w:hAnsi="Cambria"/>
            <w:noProof/>
            <w:webHidden/>
            <w:szCs w:val="24"/>
            <w:lang w:val="ro-RO"/>
          </w:rPr>
          <w:fldChar w:fldCharType="separate"/>
        </w:r>
        <w:r w:rsidR="00567555">
          <w:rPr>
            <w:rFonts w:ascii="Cambria" w:hAnsi="Cambria"/>
            <w:noProof/>
            <w:webHidden/>
            <w:szCs w:val="24"/>
            <w:lang w:val="ro-RO"/>
          </w:rPr>
          <w:t>21</w:t>
        </w:r>
        <w:r w:rsidR="00A96DD2" w:rsidRPr="00EA1BB2">
          <w:rPr>
            <w:rFonts w:ascii="Cambria" w:hAnsi="Cambria"/>
            <w:noProof/>
            <w:webHidden/>
            <w:szCs w:val="24"/>
            <w:lang w:val="ro-RO"/>
          </w:rPr>
          <w:fldChar w:fldCharType="end"/>
        </w:r>
      </w:hyperlink>
    </w:p>
    <w:p w14:paraId="1079AF6B" w14:textId="1A79FE92" w:rsidR="00A96DD2" w:rsidRPr="00EA1BB2" w:rsidRDefault="009A1372" w:rsidP="00A96DD2">
      <w:pPr>
        <w:pStyle w:val="TOC1"/>
        <w:rPr>
          <w:rFonts w:eastAsiaTheme="minorEastAsia"/>
          <w:noProof/>
          <w:szCs w:val="24"/>
          <w:lang w:val="ro-RO"/>
        </w:rPr>
      </w:pPr>
      <w:hyperlink w:anchor="_Toc526889693" w:history="1">
        <w:r w:rsidR="00A96DD2" w:rsidRPr="00EA1BB2">
          <w:rPr>
            <w:rStyle w:val="Hyperlink"/>
            <w:rFonts w:cs="Times New Roman"/>
            <w:noProof/>
            <w:szCs w:val="24"/>
            <w:lang w:val="ro-RO"/>
          </w:rPr>
          <w:t>2.</w:t>
        </w:r>
        <w:r w:rsidR="00A96DD2" w:rsidRPr="00EA1BB2">
          <w:rPr>
            <w:rFonts w:eastAsiaTheme="minorEastAsia"/>
            <w:noProof/>
            <w:szCs w:val="24"/>
            <w:lang w:val="ro-RO"/>
          </w:rPr>
          <w:tab/>
        </w:r>
        <w:r w:rsidR="00A96DD2" w:rsidRPr="00EA1BB2">
          <w:rPr>
            <w:rStyle w:val="Hyperlink"/>
            <w:rFonts w:cs="Times New Roman"/>
            <w:noProof/>
            <w:szCs w:val="24"/>
            <w:lang w:val="ro-RO"/>
          </w:rPr>
          <w:t>LOCALIZAREA ZONEI</w:t>
        </w:r>
        <w:r w:rsidR="00A96DD2" w:rsidRPr="00EA1BB2">
          <w:rPr>
            <w:noProof/>
            <w:webHidden/>
            <w:szCs w:val="24"/>
            <w:lang w:val="ro-RO"/>
          </w:rPr>
          <w:tab/>
        </w:r>
        <w:r w:rsidR="00A96DD2" w:rsidRPr="00EA1BB2">
          <w:rPr>
            <w:noProof/>
            <w:webHidden/>
            <w:szCs w:val="24"/>
            <w:lang w:val="ro-RO"/>
          </w:rPr>
          <w:fldChar w:fldCharType="begin"/>
        </w:r>
        <w:r w:rsidR="00A96DD2" w:rsidRPr="00EA1BB2">
          <w:rPr>
            <w:noProof/>
            <w:webHidden/>
            <w:szCs w:val="24"/>
            <w:lang w:val="ro-RO"/>
          </w:rPr>
          <w:instrText xml:space="preserve"> PAGEREF _Toc526889693 \h </w:instrText>
        </w:r>
        <w:r w:rsidR="00A96DD2" w:rsidRPr="00EA1BB2">
          <w:rPr>
            <w:noProof/>
            <w:webHidden/>
            <w:szCs w:val="24"/>
            <w:lang w:val="ro-RO"/>
          </w:rPr>
        </w:r>
        <w:r w:rsidR="00A96DD2" w:rsidRPr="00EA1BB2">
          <w:rPr>
            <w:noProof/>
            <w:webHidden/>
            <w:szCs w:val="24"/>
            <w:lang w:val="ro-RO"/>
          </w:rPr>
          <w:fldChar w:fldCharType="separate"/>
        </w:r>
        <w:r w:rsidR="00567555">
          <w:rPr>
            <w:noProof/>
            <w:webHidden/>
            <w:szCs w:val="24"/>
            <w:lang w:val="ro-RO"/>
          </w:rPr>
          <w:t>23</w:t>
        </w:r>
        <w:r w:rsidR="00A96DD2" w:rsidRPr="00EA1BB2">
          <w:rPr>
            <w:noProof/>
            <w:webHidden/>
            <w:szCs w:val="24"/>
            <w:lang w:val="ro-RO"/>
          </w:rPr>
          <w:fldChar w:fldCharType="end"/>
        </w:r>
      </w:hyperlink>
    </w:p>
    <w:p w14:paraId="11B0DE2B" w14:textId="75A343DD" w:rsidR="00A96DD2" w:rsidRPr="00EA1BB2" w:rsidRDefault="009A1372" w:rsidP="00371699">
      <w:pPr>
        <w:pStyle w:val="TOC2"/>
        <w:tabs>
          <w:tab w:val="left" w:pos="880"/>
          <w:tab w:val="right" w:leader="dot" w:pos="9060"/>
        </w:tabs>
        <w:jc w:val="both"/>
        <w:rPr>
          <w:rFonts w:eastAsiaTheme="minorEastAsia"/>
          <w:noProof/>
          <w:szCs w:val="24"/>
          <w:lang w:val="ro-RO"/>
        </w:rPr>
      </w:pPr>
      <w:hyperlink w:anchor="_Toc526889694" w:history="1">
        <w:r w:rsidR="00A96DD2" w:rsidRPr="00EA1BB2">
          <w:rPr>
            <w:rStyle w:val="Hyperlink"/>
            <w:rFonts w:ascii="Cambria" w:hAnsi="Cambria" w:cs="Times New Roman"/>
            <w:noProof/>
            <w:szCs w:val="24"/>
            <w:lang w:val="ro-RO"/>
          </w:rPr>
          <w:t>2.1.</w:t>
        </w:r>
        <w:r w:rsidR="00A96DD2" w:rsidRPr="00EA1BB2">
          <w:rPr>
            <w:rFonts w:ascii="Cambria" w:eastAsiaTheme="minorEastAsia" w:hAnsi="Cambria"/>
            <w:noProof/>
            <w:szCs w:val="24"/>
            <w:lang w:val="ro-RO"/>
          </w:rPr>
          <w:tab/>
        </w:r>
        <w:r w:rsidR="00A96DD2" w:rsidRPr="00EA1BB2">
          <w:rPr>
            <w:rStyle w:val="Hyperlink"/>
            <w:rFonts w:ascii="Cambria" w:hAnsi="Cambria" w:cs="Times New Roman"/>
            <w:noProof/>
            <w:szCs w:val="24"/>
            <w:lang w:val="ro-RO"/>
          </w:rPr>
          <w:t>Încadrarea zonei în regimul de gestionare II, conform Ordinului Nr. 598/2018 pentru aprobarea listelor cu unitățile administrativ-teritoriale întocmite în urma încadrării în regimuri de gestionare a ariilor din zonele și aglomerările prevăzute în anexa nr. 2 la Legea nr. 104/2011 privind calitatea aerului înconjurător</w:t>
        </w:r>
        <w:r w:rsidR="00A96DD2" w:rsidRPr="00EA1BB2">
          <w:rPr>
            <w:rFonts w:ascii="Cambria" w:hAnsi="Cambria"/>
            <w:noProof/>
            <w:webHidden/>
            <w:szCs w:val="24"/>
            <w:lang w:val="ro-RO"/>
          </w:rPr>
          <w:tab/>
        </w:r>
        <w:r w:rsidR="00A96DD2" w:rsidRPr="00EA1BB2">
          <w:rPr>
            <w:rFonts w:ascii="Cambria" w:hAnsi="Cambria"/>
            <w:noProof/>
            <w:webHidden/>
            <w:szCs w:val="24"/>
            <w:lang w:val="ro-RO"/>
          </w:rPr>
          <w:fldChar w:fldCharType="begin"/>
        </w:r>
        <w:r w:rsidR="00A96DD2" w:rsidRPr="00EA1BB2">
          <w:rPr>
            <w:rFonts w:ascii="Cambria" w:hAnsi="Cambria"/>
            <w:noProof/>
            <w:webHidden/>
            <w:szCs w:val="24"/>
            <w:lang w:val="ro-RO"/>
          </w:rPr>
          <w:instrText xml:space="preserve"> PAGEREF _Toc526889694 \h </w:instrText>
        </w:r>
        <w:r w:rsidR="00A96DD2" w:rsidRPr="00EA1BB2">
          <w:rPr>
            <w:rFonts w:ascii="Cambria" w:hAnsi="Cambria"/>
            <w:noProof/>
            <w:webHidden/>
            <w:szCs w:val="24"/>
            <w:lang w:val="ro-RO"/>
          </w:rPr>
        </w:r>
        <w:r w:rsidR="00A96DD2" w:rsidRPr="00EA1BB2">
          <w:rPr>
            <w:rFonts w:ascii="Cambria" w:hAnsi="Cambria"/>
            <w:noProof/>
            <w:webHidden/>
            <w:szCs w:val="24"/>
            <w:lang w:val="ro-RO"/>
          </w:rPr>
          <w:fldChar w:fldCharType="separate"/>
        </w:r>
        <w:r w:rsidR="00567555">
          <w:rPr>
            <w:rFonts w:ascii="Cambria" w:hAnsi="Cambria"/>
            <w:noProof/>
            <w:webHidden/>
            <w:szCs w:val="24"/>
            <w:lang w:val="ro-RO"/>
          </w:rPr>
          <w:t>23</w:t>
        </w:r>
        <w:r w:rsidR="00A96DD2" w:rsidRPr="00EA1BB2">
          <w:rPr>
            <w:rFonts w:ascii="Cambria" w:hAnsi="Cambria"/>
            <w:noProof/>
            <w:webHidden/>
            <w:szCs w:val="24"/>
            <w:lang w:val="ro-RO"/>
          </w:rPr>
          <w:fldChar w:fldCharType="end"/>
        </w:r>
      </w:hyperlink>
    </w:p>
    <w:p w14:paraId="4947CC5F" w14:textId="335A6C6C" w:rsidR="00A96DD2" w:rsidRPr="00EA1BB2" w:rsidRDefault="009A1372" w:rsidP="00A96DD2">
      <w:pPr>
        <w:pStyle w:val="TOC2"/>
        <w:tabs>
          <w:tab w:val="left" w:pos="880"/>
          <w:tab w:val="right" w:leader="dot" w:pos="9060"/>
        </w:tabs>
        <w:jc w:val="both"/>
        <w:rPr>
          <w:rFonts w:ascii="Cambria" w:eastAsiaTheme="minorEastAsia" w:hAnsi="Cambria"/>
          <w:noProof/>
          <w:szCs w:val="24"/>
          <w:lang w:val="ro-RO"/>
        </w:rPr>
      </w:pPr>
      <w:hyperlink w:anchor="_Toc526889696" w:history="1">
        <w:r w:rsidR="00A96DD2" w:rsidRPr="00EA1BB2">
          <w:rPr>
            <w:rStyle w:val="Hyperlink"/>
            <w:rFonts w:ascii="Cambria" w:hAnsi="Cambria" w:cs="Times New Roman"/>
            <w:noProof/>
            <w:szCs w:val="24"/>
            <w:lang w:val="ro-RO"/>
          </w:rPr>
          <w:t>2.2.</w:t>
        </w:r>
        <w:r w:rsidR="00A96DD2" w:rsidRPr="00EA1BB2">
          <w:rPr>
            <w:rFonts w:ascii="Cambria" w:eastAsiaTheme="minorEastAsia" w:hAnsi="Cambria"/>
            <w:noProof/>
            <w:szCs w:val="24"/>
            <w:lang w:val="ro-RO"/>
          </w:rPr>
          <w:tab/>
        </w:r>
        <w:r w:rsidR="00A96DD2" w:rsidRPr="00EA1BB2">
          <w:rPr>
            <w:rStyle w:val="Hyperlink"/>
            <w:rFonts w:ascii="Cambria" w:hAnsi="Cambria" w:cs="Times New Roman"/>
            <w:noProof/>
            <w:szCs w:val="24"/>
            <w:lang w:val="ro-RO"/>
          </w:rPr>
          <w:t>Descrierea zonei</w:t>
        </w:r>
        <w:r w:rsidR="00A96DD2" w:rsidRPr="00EA1BB2">
          <w:rPr>
            <w:rFonts w:ascii="Cambria" w:hAnsi="Cambria"/>
            <w:noProof/>
            <w:webHidden/>
            <w:szCs w:val="24"/>
            <w:lang w:val="ro-RO"/>
          </w:rPr>
          <w:tab/>
        </w:r>
        <w:r w:rsidR="00A96DD2" w:rsidRPr="00EA1BB2">
          <w:rPr>
            <w:rFonts w:ascii="Cambria" w:hAnsi="Cambria"/>
            <w:noProof/>
            <w:webHidden/>
            <w:szCs w:val="24"/>
            <w:lang w:val="ro-RO"/>
          </w:rPr>
          <w:fldChar w:fldCharType="begin"/>
        </w:r>
        <w:r w:rsidR="00A96DD2" w:rsidRPr="00EA1BB2">
          <w:rPr>
            <w:rFonts w:ascii="Cambria" w:hAnsi="Cambria"/>
            <w:noProof/>
            <w:webHidden/>
            <w:szCs w:val="24"/>
            <w:lang w:val="ro-RO"/>
          </w:rPr>
          <w:instrText xml:space="preserve"> PAGEREF _Toc526889696 \h </w:instrText>
        </w:r>
        <w:r w:rsidR="00A96DD2" w:rsidRPr="00EA1BB2">
          <w:rPr>
            <w:rFonts w:ascii="Cambria" w:hAnsi="Cambria"/>
            <w:noProof/>
            <w:webHidden/>
            <w:szCs w:val="24"/>
            <w:lang w:val="ro-RO"/>
          </w:rPr>
        </w:r>
        <w:r w:rsidR="00A96DD2" w:rsidRPr="00EA1BB2">
          <w:rPr>
            <w:rFonts w:ascii="Cambria" w:hAnsi="Cambria"/>
            <w:noProof/>
            <w:webHidden/>
            <w:szCs w:val="24"/>
            <w:lang w:val="ro-RO"/>
          </w:rPr>
          <w:fldChar w:fldCharType="separate"/>
        </w:r>
        <w:r w:rsidR="00567555">
          <w:rPr>
            <w:rFonts w:ascii="Cambria" w:hAnsi="Cambria"/>
            <w:noProof/>
            <w:webHidden/>
            <w:szCs w:val="24"/>
            <w:lang w:val="ro-RO"/>
          </w:rPr>
          <w:t>27</w:t>
        </w:r>
        <w:r w:rsidR="00A96DD2" w:rsidRPr="00EA1BB2">
          <w:rPr>
            <w:rFonts w:ascii="Cambria" w:hAnsi="Cambria"/>
            <w:noProof/>
            <w:webHidden/>
            <w:szCs w:val="24"/>
            <w:lang w:val="ro-RO"/>
          </w:rPr>
          <w:fldChar w:fldCharType="end"/>
        </w:r>
      </w:hyperlink>
    </w:p>
    <w:p w14:paraId="62782D8E" w14:textId="67B0497C" w:rsidR="00A96DD2" w:rsidRPr="00EA1BB2" w:rsidRDefault="009A1372" w:rsidP="00A96DD2">
      <w:pPr>
        <w:pStyle w:val="TOC2"/>
        <w:tabs>
          <w:tab w:val="left" w:pos="880"/>
          <w:tab w:val="right" w:leader="dot" w:pos="9060"/>
        </w:tabs>
        <w:jc w:val="both"/>
        <w:rPr>
          <w:rFonts w:ascii="Cambria" w:eastAsiaTheme="minorEastAsia" w:hAnsi="Cambria"/>
          <w:noProof/>
          <w:szCs w:val="24"/>
          <w:lang w:val="ro-RO"/>
        </w:rPr>
      </w:pPr>
      <w:hyperlink w:anchor="_Toc526889697" w:history="1">
        <w:r w:rsidR="00A96DD2" w:rsidRPr="00EA1BB2">
          <w:rPr>
            <w:rStyle w:val="Hyperlink"/>
            <w:rFonts w:ascii="Cambria" w:hAnsi="Cambria" w:cs="Times New Roman"/>
            <w:noProof/>
            <w:szCs w:val="24"/>
            <w:lang w:val="ro-RO"/>
          </w:rPr>
          <w:t>2.3.</w:t>
        </w:r>
        <w:r w:rsidR="00A96DD2" w:rsidRPr="00EA1BB2">
          <w:rPr>
            <w:rFonts w:ascii="Cambria" w:eastAsiaTheme="minorEastAsia" w:hAnsi="Cambria"/>
            <w:noProof/>
            <w:szCs w:val="24"/>
            <w:lang w:val="ro-RO"/>
          </w:rPr>
          <w:tab/>
        </w:r>
        <w:r w:rsidR="00A96DD2" w:rsidRPr="00EA1BB2">
          <w:rPr>
            <w:rStyle w:val="Hyperlink"/>
            <w:rFonts w:ascii="Cambria" w:hAnsi="Cambria" w:cs="Times New Roman"/>
            <w:noProof/>
            <w:szCs w:val="24"/>
            <w:lang w:val="ro-RO"/>
          </w:rPr>
          <w:t>Estimarea suprafeței zonei și a populației posibil expusă poluării</w:t>
        </w:r>
        <w:r w:rsidR="00A96DD2" w:rsidRPr="00EA1BB2">
          <w:rPr>
            <w:rFonts w:ascii="Cambria" w:hAnsi="Cambria"/>
            <w:noProof/>
            <w:webHidden/>
            <w:szCs w:val="24"/>
            <w:lang w:val="ro-RO"/>
          </w:rPr>
          <w:tab/>
        </w:r>
        <w:r w:rsidR="00A96DD2" w:rsidRPr="00EA1BB2">
          <w:rPr>
            <w:rFonts w:ascii="Cambria" w:hAnsi="Cambria"/>
            <w:noProof/>
            <w:webHidden/>
            <w:szCs w:val="24"/>
            <w:lang w:val="ro-RO"/>
          </w:rPr>
          <w:fldChar w:fldCharType="begin"/>
        </w:r>
        <w:r w:rsidR="00A96DD2" w:rsidRPr="00EA1BB2">
          <w:rPr>
            <w:rFonts w:ascii="Cambria" w:hAnsi="Cambria"/>
            <w:noProof/>
            <w:webHidden/>
            <w:szCs w:val="24"/>
            <w:lang w:val="ro-RO"/>
          </w:rPr>
          <w:instrText xml:space="preserve"> PAGEREF _Toc526889697 \h </w:instrText>
        </w:r>
        <w:r w:rsidR="00A96DD2" w:rsidRPr="00EA1BB2">
          <w:rPr>
            <w:rFonts w:ascii="Cambria" w:hAnsi="Cambria"/>
            <w:noProof/>
            <w:webHidden/>
            <w:szCs w:val="24"/>
            <w:lang w:val="ro-RO"/>
          </w:rPr>
        </w:r>
        <w:r w:rsidR="00A96DD2" w:rsidRPr="00EA1BB2">
          <w:rPr>
            <w:rFonts w:ascii="Cambria" w:hAnsi="Cambria"/>
            <w:noProof/>
            <w:webHidden/>
            <w:szCs w:val="24"/>
            <w:lang w:val="ro-RO"/>
          </w:rPr>
          <w:fldChar w:fldCharType="separate"/>
        </w:r>
        <w:r w:rsidR="00567555">
          <w:rPr>
            <w:rFonts w:ascii="Cambria" w:hAnsi="Cambria"/>
            <w:noProof/>
            <w:webHidden/>
            <w:szCs w:val="24"/>
            <w:lang w:val="ro-RO"/>
          </w:rPr>
          <w:t>31</w:t>
        </w:r>
        <w:r w:rsidR="00A96DD2" w:rsidRPr="00EA1BB2">
          <w:rPr>
            <w:rFonts w:ascii="Cambria" w:hAnsi="Cambria"/>
            <w:noProof/>
            <w:webHidden/>
            <w:szCs w:val="24"/>
            <w:lang w:val="ro-RO"/>
          </w:rPr>
          <w:fldChar w:fldCharType="end"/>
        </w:r>
      </w:hyperlink>
    </w:p>
    <w:p w14:paraId="377880A5" w14:textId="26F134FE" w:rsidR="00A96DD2" w:rsidRPr="00EA1BB2" w:rsidRDefault="009A1372" w:rsidP="00A96DD2">
      <w:pPr>
        <w:pStyle w:val="TOC2"/>
        <w:tabs>
          <w:tab w:val="left" w:pos="880"/>
          <w:tab w:val="right" w:leader="dot" w:pos="9060"/>
        </w:tabs>
        <w:jc w:val="both"/>
        <w:rPr>
          <w:rFonts w:ascii="Cambria" w:eastAsiaTheme="minorEastAsia" w:hAnsi="Cambria"/>
          <w:noProof/>
          <w:szCs w:val="24"/>
          <w:lang w:val="ro-RO"/>
        </w:rPr>
      </w:pPr>
      <w:hyperlink w:anchor="_Toc526889698" w:history="1">
        <w:r w:rsidR="00A96DD2" w:rsidRPr="00EA1BB2">
          <w:rPr>
            <w:rStyle w:val="Hyperlink"/>
            <w:rFonts w:ascii="Cambria" w:hAnsi="Cambria" w:cs="Times New Roman"/>
            <w:noProof/>
            <w:szCs w:val="24"/>
            <w:lang w:val="ro-RO"/>
          </w:rPr>
          <w:t>2.4.</w:t>
        </w:r>
        <w:r w:rsidR="00A96DD2" w:rsidRPr="00EA1BB2">
          <w:rPr>
            <w:rFonts w:ascii="Cambria" w:eastAsiaTheme="minorEastAsia" w:hAnsi="Cambria"/>
            <w:noProof/>
            <w:szCs w:val="24"/>
            <w:lang w:val="ro-RO"/>
          </w:rPr>
          <w:tab/>
        </w:r>
        <w:r w:rsidR="00A96DD2" w:rsidRPr="00EA1BB2">
          <w:rPr>
            <w:rStyle w:val="Hyperlink"/>
            <w:rFonts w:ascii="Cambria" w:hAnsi="Cambria" w:cs="Times New Roman"/>
            <w:noProof/>
            <w:szCs w:val="24"/>
            <w:lang w:val="ro-RO"/>
          </w:rPr>
          <w:t>Date climatice utile</w:t>
        </w:r>
        <w:r w:rsidR="00A96DD2" w:rsidRPr="00EA1BB2">
          <w:rPr>
            <w:rFonts w:ascii="Cambria" w:hAnsi="Cambria"/>
            <w:noProof/>
            <w:webHidden/>
            <w:szCs w:val="24"/>
            <w:lang w:val="ro-RO"/>
          </w:rPr>
          <w:tab/>
        </w:r>
        <w:r w:rsidR="00A96DD2" w:rsidRPr="00EA1BB2">
          <w:rPr>
            <w:rFonts w:ascii="Cambria" w:hAnsi="Cambria"/>
            <w:noProof/>
            <w:webHidden/>
            <w:szCs w:val="24"/>
            <w:lang w:val="ro-RO"/>
          </w:rPr>
          <w:fldChar w:fldCharType="begin"/>
        </w:r>
        <w:r w:rsidR="00A96DD2" w:rsidRPr="00EA1BB2">
          <w:rPr>
            <w:rFonts w:ascii="Cambria" w:hAnsi="Cambria"/>
            <w:noProof/>
            <w:webHidden/>
            <w:szCs w:val="24"/>
            <w:lang w:val="ro-RO"/>
          </w:rPr>
          <w:instrText xml:space="preserve"> PAGEREF _Toc526889698 \h </w:instrText>
        </w:r>
        <w:r w:rsidR="00A96DD2" w:rsidRPr="00EA1BB2">
          <w:rPr>
            <w:rFonts w:ascii="Cambria" w:hAnsi="Cambria"/>
            <w:noProof/>
            <w:webHidden/>
            <w:szCs w:val="24"/>
            <w:lang w:val="ro-RO"/>
          </w:rPr>
        </w:r>
        <w:r w:rsidR="00A96DD2" w:rsidRPr="00EA1BB2">
          <w:rPr>
            <w:rFonts w:ascii="Cambria" w:hAnsi="Cambria"/>
            <w:noProof/>
            <w:webHidden/>
            <w:szCs w:val="24"/>
            <w:lang w:val="ro-RO"/>
          </w:rPr>
          <w:fldChar w:fldCharType="separate"/>
        </w:r>
        <w:r w:rsidR="00567555">
          <w:rPr>
            <w:rFonts w:ascii="Cambria" w:hAnsi="Cambria"/>
            <w:noProof/>
            <w:webHidden/>
            <w:szCs w:val="24"/>
            <w:lang w:val="ro-RO"/>
          </w:rPr>
          <w:t>32</w:t>
        </w:r>
        <w:r w:rsidR="00A96DD2" w:rsidRPr="00EA1BB2">
          <w:rPr>
            <w:rFonts w:ascii="Cambria" w:hAnsi="Cambria"/>
            <w:noProof/>
            <w:webHidden/>
            <w:szCs w:val="24"/>
            <w:lang w:val="ro-RO"/>
          </w:rPr>
          <w:fldChar w:fldCharType="end"/>
        </w:r>
      </w:hyperlink>
    </w:p>
    <w:p w14:paraId="24EC0E8A" w14:textId="7999F3AD" w:rsidR="00A96DD2" w:rsidRPr="00EA1BB2" w:rsidRDefault="009A1372" w:rsidP="00A96DD2">
      <w:pPr>
        <w:pStyle w:val="TOC2"/>
        <w:tabs>
          <w:tab w:val="left" w:pos="880"/>
          <w:tab w:val="right" w:leader="dot" w:pos="9060"/>
        </w:tabs>
        <w:jc w:val="both"/>
        <w:rPr>
          <w:rFonts w:ascii="Cambria" w:eastAsiaTheme="minorEastAsia" w:hAnsi="Cambria"/>
          <w:noProof/>
          <w:szCs w:val="24"/>
          <w:lang w:val="ro-RO"/>
        </w:rPr>
      </w:pPr>
      <w:hyperlink w:anchor="_Toc526889699" w:history="1">
        <w:r w:rsidR="00A96DD2" w:rsidRPr="00EA1BB2">
          <w:rPr>
            <w:rStyle w:val="Hyperlink"/>
            <w:rFonts w:ascii="Cambria" w:hAnsi="Cambria" w:cs="Times New Roman"/>
            <w:noProof/>
            <w:szCs w:val="24"/>
            <w:lang w:val="ro-RO"/>
          </w:rPr>
          <w:t>2.5.</w:t>
        </w:r>
        <w:r w:rsidR="00A96DD2" w:rsidRPr="00EA1BB2">
          <w:rPr>
            <w:rFonts w:ascii="Cambria" w:eastAsiaTheme="minorEastAsia" w:hAnsi="Cambria"/>
            <w:noProof/>
            <w:szCs w:val="24"/>
            <w:lang w:val="ro-RO"/>
          </w:rPr>
          <w:tab/>
        </w:r>
        <w:r w:rsidR="00A96DD2" w:rsidRPr="00EA1BB2">
          <w:rPr>
            <w:rStyle w:val="Hyperlink"/>
            <w:rFonts w:ascii="Cambria" w:hAnsi="Cambria" w:cs="Times New Roman"/>
            <w:noProof/>
            <w:szCs w:val="24"/>
            <w:lang w:val="ro-RO"/>
          </w:rPr>
          <w:t>Date relevante privind topografia</w:t>
        </w:r>
        <w:r w:rsidR="00A96DD2" w:rsidRPr="00EA1BB2">
          <w:rPr>
            <w:rFonts w:ascii="Cambria" w:hAnsi="Cambria"/>
            <w:noProof/>
            <w:webHidden/>
            <w:szCs w:val="24"/>
            <w:lang w:val="ro-RO"/>
          </w:rPr>
          <w:tab/>
        </w:r>
        <w:r w:rsidR="00A96DD2" w:rsidRPr="00EA1BB2">
          <w:rPr>
            <w:rFonts w:ascii="Cambria" w:hAnsi="Cambria"/>
            <w:noProof/>
            <w:webHidden/>
            <w:szCs w:val="24"/>
            <w:lang w:val="ro-RO"/>
          </w:rPr>
          <w:fldChar w:fldCharType="begin"/>
        </w:r>
        <w:r w:rsidR="00A96DD2" w:rsidRPr="00EA1BB2">
          <w:rPr>
            <w:rFonts w:ascii="Cambria" w:hAnsi="Cambria"/>
            <w:noProof/>
            <w:webHidden/>
            <w:szCs w:val="24"/>
            <w:lang w:val="ro-RO"/>
          </w:rPr>
          <w:instrText xml:space="preserve"> PAGEREF _Toc526889699 \h </w:instrText>
        </w:r>
        <w:r w:rsidR="00A96DD2" w:rsidRPr="00EA1BB2">
          <w:rPr>
            <w:rFonts w:ascii="Cambria" w:hAnsi="Cambria"/>
            <w:noProof/>
            <w:webHidden/>
            <w:szCs w:val="24"/>
            <w:lang w:val="ro-RO"/>
          </w:rPr>
        </w:r>
        <w:r w:rsidR="00A96DD2" w:rsidRPr="00EA1BB2">
          <w:rPr>
            <w:rFonts w:ascii="Cambria" w:hAnsi="Cambria"/>
            <w:noProof/>
            <w:webHidden/>
            <w:szCs w:val="24"/>
            <w:lang w:val="ro-RO"/>
          </w:rPr>
          <w:fldChar w:fldCharType="separate"/>
        </w:r>
        <w:r w:rsidR="00567555">
          <w:rPr>
            <w:rFonts w:ascii="Cambria" w:hAnsi="Cambria"/>
            <w:noProof/>
            <w:webHidden/>
            <w:szCs w:val="24"/>
            <w:lang w:val="ro-RO"/>
          </w:rPr>
          <w:t>37</w:t>
        </w:r>
        <w:r w:rsidR="00A96DD2" w:rsidRPr="00EA1BB2">
          <w:rPr>
            <w:rFonts w:ascii="Cambria" w:hAnsi="Cambria"/>
            <w:noProof/>
            <w:webHidden/>
            <w:szCs w:val="24"/>
            <w:lang w:val="ro-RO"/>
          </w:rPr>
          <w:fldChar w:fldCharType="end"/>
        </w:r>
      </w:hyperlink>
    </w:p>
    <w:p w14:paraId="0EF67A62" w14:textId="2D2C398B" w:rsidR="00A96DD2" w:rsidRPr="00EA1BB2" w:rsidRDefault="009A1372" w:rsidP="00A96DD2">
      <w:pPr>
        <w:pStyle w:val="TOC3"/>
        <w:tabs>
          <w:tab w:val="left" w:pos="1320"/>
          <w:tab w:val="right" w:leader="dot" w:pos="9060"/>
        </w:tabs>
        <w:jc w:val="both"/>
        <w:rPr>
          <w:rFonts w:ascii="Cambria" w:eastAsiaTheme="minorEastAsia" w:hAnsi="Cambria"/>
          <w:noProof/>
          <w:sz w:val="24"/>
          <w:szCs w:val="24"/>
          <w:lang w:val="ro-RO"/>
        </w:rPr>
      </w:pPr>
      <w:hyperlink w:anchor="_Toc526889700" w:history="1">
        <w:r w:rsidR="00A96DD2" w:rsidRPr="00EA1BB2">
          <w:rPr>
            <w:rStyle w:val="Hyperlink"/>
            <w:rFonts w:ascii="Cambria" w:eastAsia="Times New Roman" w:hAnsi="Cambria" w:cs="Times New Roman"/>
            <w:noProof/>
            <w:sz w:val="24"/>
            <w:szCs w:val="24"/>
            <w:lang w:val="ro-RO"/>
          </w:rPr>
          <w:t>2.5.1.</w:t>
        </w:r>
        <w:r w:rsidR="00A96DD2" w:rsidRPr="00EA1BB2">
          <w:rPr>
            <w:rFonts w:ascii="Cambria" w:eastAsiaTheme="minorEastAsia" w:hAnsi="Cambria"/>
            <w:noProof/>
            <w:sz w:val="24"/>
            <w:szCs w:val="24"/>
            <w:lang w:val="ro-RO"/>
          </w:rPr>
          <w:tab/>
        </w:r>
        <w:r w:rsidR="00A96DD2" w:rsidRPr="00EA1BB2">
          <w:rPr>
            <w:rStyle w:val="Hyperlink"/>
            <w:rFonts w:ascii="Cambria" w:eastAsia="Times New Roman" w:hAnsi="Cambria" w:cs="Times New Roman"/>
            <w:noProof/>
            <w:sz w:val="24"/>
            <w:szCs w:val="24"/>
            <w:lang w:val="ro-RO"/>
          </w:rPr>
          <w:t>Relieful</w:t>
        </w:r>
        <w:r w:rsidR="00A96DD2" w:rsidRPr="00EA1BB2">
          <w:rPr>
            <w:rFonts w:ascii="Cambria" w:hAnsi="Cambria"/>
            <w:noProof/>
            <w:webHidden/>
            <w:sz w:val="24"/>
            <w:szCs w:val="24"/>
            <w:lang w:val="ro-RO"/>
          </w:rPr>
          <w:tab/>
        </w:r>
        <w:r w:rsidR="00A96DD2" w:rsidRPr="00EA1BB2">
          <w:rPr>
            <w:rFonts w:ascii="Cambria" w:hAnsi="Cambria"/>
            <w:noProof/>
            <w:webHidden/>
            <w:sz w:val="24"/>
            <w:szCs w:val="24"/>
            <w:lang w:val="ro-RO"/>
          </w:rPr>
          <w:fldChar w:fldCharType="begin"/>
        </w:r>
        <w:r w:rsidR="00A96DD2" w:rsidRPr="00EA1BB2">
          <w:rPr>
            <w:rFonts w:ascii="Cambria" w:hAnsi="Cambria"/>
            <w:noProof/>
            <w:webHidden/>
            <w:sz w:val="24"/>
            <w:szCs w:val="24"/>
            <w:lang w:val="ro-RO"/>
          </w:rPr>
          <w:instrText xml:space="preserve"> PAGEREF _Toc526889700 \h </w:instrText>
        </w:r>
        <w:r w:rsidR="00A96DD2" w:rsidRPr="00EA1BB2">
          <w:rPr>
            <w:rFonts w:ascii="Cambria" w:hAnsi="Cambria"/>
            <w:noProof/>
            <w:webHidden/>
            <w:sz w:val="24"/>
            <w:szCs w:val="24"/>
            <w:lang w:val="ro-RO"/>
          </w:rPr>
        </w:r>
        <w:r w:rsidR="00A96DD2" w:rsidRPr="00EA1BB2">
          <w:rPr>
            <w:rFonts w:ascii="Cambria" w:hAnsi="Cambria"/>
            <w:noProof/>
            <w:webHidden/>
            <w:sz w:val="24"/>
            <w:szCs w:val="24"/>
            <w:lang w:val="ro-RO"/>
          </w:rPr>
          <w:fldChar w:fldCharType="separate"/>
        </w:r>
        <w:r w:rsidR="00567555">
          <w:rPr>
            <w:rFonts w:ascii="Cambria" w:hAnsi="Cambria"/>
            <w:noProof/>
            <w:webHidden/>
            <w:sz w:val="24"/>
            <w:szCs w:val="24"/>
            <w:lang w:val="ro-RO"/>
          </w:rPr>
          <w:t>37</w:t>
        </w:r>
        <w:r w:rsidR="00A96DD2" w:rsidRPr="00EA1BB2">
          <w:rPr>
            <w:rFonts w:ascii="Cambria" w:hAnsi="Cambria"/>
            <w:noProof/>
            <w:webHidden/>
            <w:sz w:val="24"/>
            <w:szCs w:val="24"/>
            <w:lang w:val="ro-RO"/>
          </w:rPr>
          <w:fldChar w:fldCharType="end"/>
        </w:r>
      </w:hyperlink>
    </w:p>
    <w:p w14:paraId="20C1C890" w14:textId="173A76FB" w:rsidR="00A96DD2" w:rsidRPr="00EA1BB2" w:rsidRDefault="009A1372" w:rsidP="00A96DD2">
      <w:pPr>
        <w:pStyle w:val="TOC3"/>
        <w:tabs>
          <w:tab w:val="left" w:pos="1320"/>
          <w:tab w:val="right" w:leader="dot" w:pos="9060"/>
        </w:tabs>
        <w:jc w:val="both"/>
        <w:rPr>
          <w:rFonts w:ascii="Cambria" w:eastAsiaTheme="minorEastAsia" w:hAnsi="Cambria"/>
          <w:noProof/>
          <w:sz w:val="24"/>
          <w:szCs w:val="24"/>
          <w:lang w:val="ro-RO"/>
        </w:rPr>
      </w:pPr>
      <w:hyperlink w:anchor="_Toc526889701" w:history="1">
        <w:r w:rsidR="00A96DD2" w:rsidRPr="00EA1BB2">
          <w:rPr>
            <w:rStyle w:val="Hyperlink"/>
            <w:rFonts w:ascii="Cambria" w:eastAsia="Times New Roman" w:hAnsi="Cambria" w:cs="Times New Roman"/>
            <w:noProof/>
            <w:sz w:val="24"/>
            <w:szCs w:val="24"/>
            <w:lang w:val="ro-RO"/>
          </w:rPr>
          <w:t>2.5.2.</w:t>
        </w:r>
        <w:r w:rsidR="00A96DD2" w:rsidRPr="00EA1BB2">
          <w:rPr>
            <w:rFonts w:ascii="Cambria" w:eastAsiaTheme="minorEastAsia" w:hAnsi="Cambria"/>
            <w:noProof/>
            <w:sz w:val="24"/>
            <w:szCs w:val="24"/>
            <w:lang w:val="ro-RO"/>
          </w:rPr>
          <w:tab/>
        </w:r>
        <w:r w:rsidR="00A96DD2" w:rsidRPr="00EA1BB2">
          <w:rPr>
            <w:rStyle w:val="Hyperlink"/>
            <w:rFonts w:ascii="Cambria" w:eastAsia="Times New Roman" w:hAnsi="Cambria" w:cs="Times New Roman"/>
            <w:noProof/>
            <w:sz w:val="24"/>
            <w:szCs w:val="24"/>
            <w:lang w:val="ro-RO"/>
          </w:rPr>
          <w:t>Hidrografia</w:t>
        </w:r>
        <w:r w:rsidR="00A96DD2" w:rsidRPr="00EA1BB2">
          <w:rPr>
            <w:rFonts w:ascii="Cambria" w:hAnsi="Cambria"/>
            <w:noProof/>
            <w:webHidden/>
            <w:sz w:val="24"/>
            <w:szCs w:val="24"/>
            <w:lang w:val="ro-RO"/>
          </w:rPr>
          <w:tab/>
        </w:r>
        <w:r w:rsidR="00A96DD2" w:rsidRPr="00EA1BB2">
          <w:rPr>
            <w:rFonts w:ascii="Cambria" w:hAnsi="Cambria"/>
            <w:noProof/>
            <w:webHidden/>
            <w:sz w:val="24"/>
            <w:szCs w:val="24"/>
            <w:lang w:val="ro-RO"/>
          </w:rPr>
          <w:fldChar w:fldCharType="begin"/>
        </w:r>
        <w:r w:rsidR="00A96DD2" w:rsidRPr="00EA1BB2">
          <w:rPr>
            <w:rFonts w:ascii="Cambria" w:hAnsi="Cambria"/>
            <w:noProof/>
            <w:webHidden/>
            <w:sz w:val="24"/>
            <w:szCs w:val="24"/>
            <w:lang w:val="ro-RO"/>
          </w:rPr>
          <w:instrText xml:space="preserve"> PAGEREF _Toc526889701 \h </w:instrText>
        </w:r>
        <w:r w:rsidR="00A96DD2" w:rsidRPr="00EA1BB2">
          <w:rPr>
            <w:rFonts w:ascii="Cambria" w:hAnsi="Cambria"/>
            <w:noProof/>
            <w:webHidden/>
            <w:sz w:val="24"/>
            <w:szCs w:val="24"/>
            <w:lang w:val="ro-RO"/>
          </w:rPr>
        </w:r>
        <w:r w:rsidR="00A96DD2" w:rsidRPr="00EA1BB2">
          <w:rPr>
            <w:rFonts w:ascii="Cambria" w:hAnsi="Cambria"/>
            <w:noProof/>
            <w:webHidden/>
            <w:sz w:val="24"/>
            <w:szCs w:val="24"/>
            <w:lang w:val="ro-RO"/>
          </w:rPr>
          <w:fldChar w:fldCharType="separate"/>
        </w:r>
        <w:r w:rsidR="00567555">
          <w:rPr>
            <w:rFonts w:ascii="Cambria" w:hAnsi="Cambria"/>
            <w:noProof/>
            <w:webHidden/>
            <w:sz w:val="24"/>
            <w:szCs w:val="24"/>
            <w:lang w:val="ro-RO"/>
          </w:rPr>
          <w:t>39</w:t>
        </w:r>
        <w:r w:rsidR="00A96DD2" w:rsidRPr="00EA1BB2">
          <w:rPr>
            <w:rFonts w:ascii="Cambria" w:hAnsi="Cambria"/>
            <w:noProof/>
            <w:webHidden/>
            <w:sz w:val="24"/>
            <w:szCs w:val="24"/>
            <w:lang w:val="ro-RO"/>
          </w:rPr>
          <w:fldChar w:fldCharType="end"/>
        </w:r>
      </w:hyperlink>
    </w:p>
    <w:p w14:paraId="4537F050" w14:textId="68B008C2" w:rsidR="00A96DD2" w:rsidRPr="00EA1BB2" w:rsidRDefault="009A1372" w:rsidP="00A96DD2">
      <w:pPr>
        <w:pStyle w:val="TOC3"/>
        <w:tabs>
          <w:tab w:val="left" w:pos="1320"/>
          <w:tab w:val="right" w:leader="dot" w:pos="9060"/>
        </w:tabs>
        <w:jc w:val="both"/>
        <w:rPr>
          <w:rFonts w:ascii="Cambria" w:eastAsiaTheme="minorEastAsia" w:hAnsi="Cambria"/>
          <w:noProof/>
          <w:sz w:val="24"/>
          <w:szCs w:val="24"/>
          <w:lang w:val="ro-RO"/>
        </w:rPr>
      </w:pPr>
      <w:hyperlink w:anchor="_Toc526889702" w:history="1">
        <w:r w:rsidR="00A96DD2" w:rsidRPr="00EA1BB2">
          <w:rPr>
            <w:rStyle w:val="Hyperlink"/>
            <w:rFonts w:ascii="Cambria" w:eastAsia="Times New Roman" w:hAnsi="Cambria" w:cs="Times New Roman"/>
            <w:noProof/>
            <w:sz w:val="24"/>
            <w:szCs w:val="24"/>
            <w:lang w:val="ro-RO"/>
          </w:rPr>
          <w:t>2.5.3.</w:t>
        </w:r>
        <w:r w:rsidR="00A96DD2" w:rsidRPr="00EA1BB2">
          <w:rPr>
            <w:rFonts w:ascii="Cambria" w:eastAsiaTheme="minorEastAsia" w:hAnsi="Cambria"/>
            <w:noProof/>
            <w:sz w:val="24"/>
            <w:szCs w:val="24"/>
            <w:lang w:val="ro-RO"/>
          </w:rPr>
          <w:tab/>
        </w:r>
        <w:r w:rsidR="00A96DD2" w:rsidRPr="00EA1BB2">
          <w:rPr>
            <w:rStyle w:val="Hyperlink"/>
            <w:rFonts w:ascii="Cambria" w:eastAsia="Times New Roman" w:hAnsi="Cambria" w:cs="Times New Roman"/>
            <w:noProof/>
            <w:sz w:val="24"/>
            <w:szCs w:val="24"/>
            <w:lang w:val="ro-RO"/>
          </w:rPr>
          <w:t>Utilizarea terenurilor</w:t>
        </w:r>
        <w:r w:rsidR="00A96DD2" w:rsidRPr="00EA1BB2">
          <w:rPr>
            <w:rFonts w:ascii="Cambria" w:hAnsi="Cambria"/>
            <w:noProof/>
            <w:webHidden/>
            <w:sz w:val="24"/>
            <w:szCs w:val="24"/>
            <w:lang w:val="ro-RO"/>
          </w:rPr>
          <w:tab/>
        </w:r>
        <w:r w:rsidR="00A96DD2" w:rsidRPr="00EA1BB2">
          <w:rPr>
            <w:rFonts w:ascii="Cambria" w:hAnsi="Cambria"/>
            <w:noProof/>
            <w:webHidden/>
            <w:sz w:val="24"/>
            <w:szCs w:val="24"/>
            <w:lang w:val="ro-RO"/>
          </w:rPr>
          <w:fldChar w:fldCharType="begin"/>
        </w:r>
        <w:r w:rsidR="00A96DD2" w:rsidRPr="00EA1BB2">
          <w:rPr>
            <w:rFonts w:ascii="Cambria" w:hAnsi="Cambria"/>
            <w:noProof/>
            <w:webHidden/>
            <w:sz w:val="24"/>
            <w:szCs w:val="24"/>
            <w:lang w:val="ro-RO"/>
          </w:rPr>
          <w:instrText xml:space="preserve"> PAGEREF _Toc526889702 \h </w:instrText>
        </w:r>
        <w:r w:rsidR="00A96DD2" w:rsidRPr="00EA1BB2">
          <w:rPr>
            <w:rFonts w:ascii="Cambria" w:hAnsi="Cambria"/>
            <w:noProof/>
            <w:webHidden/>
            <w:sz w:val="24"/>
            <w:szCs w:val="24"/>
            <w:lang w:val="ro-RO"/>
          </w:rPr>
        </w:r>
        <w:r w:rsidR="00A96DD2" w:rsidRPr="00EA1BB2">
          <w:rPr>
            <w:rFonts w:ascii="Cambria" w:hAnsi="Cambria"/>
            <w:noProof/>
            <w:webHidden/>
            <w:sz w:val="24"/>
            <w:szCs w:val="24"/>
            <w:lang w:val="ro-RO"/>
          </w:rPr>
          <w:fldChar w:fldCharType="separate"/>
        </w:r>
        <w:r w:rsidR="00567555">
          <w:rPr>
            <w:rFonts w:ascii="Cambria" w:hAnsi="Cambria"/>
            <w:noProof/>
            <w:webHidden/>
            <w:sz w:val="24"/>
            <w:szCs w:val="24"/>
            <w:lang w:val="ro-RO"/>
          </w:rPr>
          <w:t>41</w:t>
        </w:r>
        <w:r w:rsidR="00A96DD2" w:rsidRPr="00EA1BB2">
          <w:rPr>
            <w:rFonts w:ascii="Cambria" w:hAnsi="Cambria"/>
            <w:noProof/>
            <w:webHidden/>
            <w:sz w:val="24"/>
            <w:szCs w:val="24"/>
            <w:lang w:val="ro-RO"/>
          </w:rPr>
          <w:fldChar w:fldCharType="end"/>
        </w:r>
      </w:hyperlink>
    </w:p>
    <w:p w14:paraId="0E0B0927" w14:textId="53A20BC7" w:rsidR="00A96DD2" w:rsidRPr="00EA1BB2" w:rsidRDefault="009A1372" w:rsidP="00A96DD2">
      <w:pPr>
        <w:pStyle w:val="TOC3"/>
        <w:tabs>
          <w:tab w:val="left" w:pos="1320"/>
          <w:tab w:val="right" w:leader="dot" w:pos="9060"/>
        </w:tabs>
        <w:jc w:val="both"/>
        <w:rPr>
          <w:rFonts w:ascii="Cambria" w:eastAsiaTheme="minorEastAsia" w:hAnsi="Cambria"/>
          <w:noProof/>
          <w:sz w:val="24"/>
          <w:szCs w:val="24"/>
          <w:lang w:val="ro-RO"/>
        </w:rPr>
      </w:pPr>
      <w:hyperlink w:anchor="_Toc526889703" w:history="1">
        <w:r w:rsidR="00A96DD2" w:rsidRPr="00EA1BB2">
          <w:rPr>
            <w:rStyle w:val="Hyperlink"/>
            <w:rFonts w:ascii="Cambria" w:eastAsia="Times New Roman" w:hAnsi="Cambria" w:cs="Times New Roman"/>
            <w:noProof/>
            <w:sz w:val="24"/>
            <w:szCs w:val="24"/>
            <w:lang w:val="ro-RO"/>
          </w:rPr>
          <w:t>2.5.4.</w:t>
        </w:r>
        <w:r w:rsidR="00A96DD2" w:rsidRPr="00EA1BB2">
          <w:rPr>
            <w:rFonts w:ascii="Cambria" w:eastAsiaTheme="minorEastAsia" w:hAnsi="Cambria"/>
            <w:noProof/>
            <w:sz w:val="24"/>
            <w:szCs w:val="24"/>
            <w:lang w:val="ro-RO"/>
          </w:rPr>
          <w:tab/>
        </w:r>
        <w:r w:rsidR="00A96DD2" w:rsidRPr="00EA1BB2">
          <w:rPr>
            <w:rStyle w:val="Hyperlink"/>
            <w:rFonts w:ascii="Cambria" w:eastAsia="Times New Roman" w:hAnsi="Cambria" w:cs="Times New Roman"/>
            <w:noProof/>
            <w:sz w:val="24"/>
            <w:szCs w:val="24"/>
            <w:lang w:val="ro-RO"/>
          </w:rPr>
          <w:t>Biodiversitatea</w:t>
        </w:r>
        <w:r w:rsidR="00A96DD2" w:rsidRPr="00EA1BB2">
          <w:rPr>
            <w:rFonts w:ascii="Cambria" w:hAnsi="Cambria"/>
            <w:noProof/>
            <w:webHidden/>
            <w:sz w:val="24"/>
            <w:szCs w:val="24"/>
            <w:lang w:val="ro-RO"/>
          </w:rPr>
          <w:tab/>
        </w:r>
        <w:r w:rsidR="00A96DD2" w:rsidRPr="00EA1BB2">
          <w:rPr>
            <w:rFonts w:ascii="Cambria" w:hAnsi="Cambria"/>
            <w:noProof/>
            <w:webHidden/>
            <w:sz w:val="24"/>
            <w:szCs w:val="24"/>
            <w:lang w:val="ro-RO"/>
          </w:rPr>
          <w:fldChar w:fldCharType="begin"/>
        </w:r>
        <w:r w:rsidR="00A96DD2" w:rsidRPr="00EA1BB2">
          <w:rPr>
            <w:rFonts w:ascii="Cambria" w:hAnsi="Cambria"/>
            <w:noProof/>
            <w:webHidden/>
            <w:sz w:val="24"/>
            <w:szCs w:val="24"/>
            <w:lang w:val="ro-RO"/>
          </w:rPr>
          <w:instrText xml:space="preserve"> PAGEREF _Toc526889703 \h </w:instrText>
        </w:r>
        <w:r w:rsidR="00A96DD2" w:rsidRPr="00EA1BB2">
          <w:rPr>
            <w:rFonts w:ascii="Cambria" w:hAnsi="Cambria"/>
            <w:noProof/>
            <w:webHidden/>
            <w:sz w:val="24"/>
            <w:szCs w:val="24"/>
            <w:lang w:val="ro-RO"/>
          </w:rPr>
        </w:r>
        <w:r w:rsidR="00A96DD2" w:rsidRPr="00EA1BB2">
          <w:rPr>
            <w:rFonts w:ascii="Cambria" w:hAnsi="Cambria"/>
            <w:noProof/>
            <w:webHidden/>
            <w:sz w:val="24"/>
            <w:szCs w:val="24"/>
            <w:lang w:val="ro-RO"/>
          </w:rPr>
          <w:fldChar w:fldCharType="separate"/>
        </w:r>
        <w:r w:rsidR="00567555">
          <w:rPr>
            <w:rFonts w:ascii="Cambria" w:hAnsi="Cambria"/>
            <w:noProof/>
            <w:webHidden/>
            <w:sz w:val="24"/>
            <w:szCs w:val="24"/>
            <w:lang w:val="ro-RO"/>
          </w:rPr>
          <w:t>45</w:t>
        </w:r>
        <w:r w:rsidR="00A96DD2" w:rsidRPr="00EA1BB2">
          <w:rPr>
            <w:rFonts w:ascii="Cambria" w:hAnsi="Cambria"/>
            <w:noProof/>
            <w:webHidden/>
            <w:sz w:val="24"/>
            <w:szCs w:val="24"/>
            <w:lang w:val="ro-RO"/>
          </w:rPr>
          <w:fldChar w:fldCharType="end"/>
        </w:r>
      </w:hyperlink>
    </w:p>
    <w:p w14:paraId="586AD9B5" w14:textId="5003EE11" w:rsidR="00A96DD2" w:rsidRPr="00EA1BB2" w:rsidRDefault="009A1372" w:rsidP="00A96DD2">
      <w:pPr>
        <w:pStyle w:val="TOC2"/>
        <w:tabs>
          <w:tab w:val="left" w:pos="880"/>
          <w:tab w:val="right" w:leader="dot" w:pos="9060"/>
        </w:tabs>
        <w:jc w:val="both"/>
        <w:rPr>
          <w:rFonts w:ascii="Cambria" w:eastAsiaTheme="minorEastAsia" w:hAnsi="Cambria"/>
          <w:noProof/>
          <w:szCs w:val="24"/>
          <w:lang w:val="ro-RO"/>
        </w:rPr>
      </w:pPr>
      <w:hyperlink w:anchor="_Toc526889704" w:history="1">
        <w:r w:rsidR="00A96DD2" w:rsidRPr="00EA1BB2">
          <w:rPr>
            <w:rStyle w:val="Hyperlink"/>
            <w:rFonts w:ascii="Cambria" w:hAnsi="Cambria" w:cs="Times New Roman"/>
            <w:noProof/>
            <w:szCs w:val="24"/>
            <w:lang w:val="ro-RO"/>
          </w:rPr>
          <w:t>2.6.</w:t>
        </w:r>
        <w:r w:rsidR="00A96DD2" w:rsidRPr="00EA1BB2">
          <w:rPr>
            <w:rFonts w:ascii="Cambria" w:eastAsiaTheme="minorEastAsia" w:hAnsi="Cambria"/>
            <w:noProof/>
            <w:szCs w:val="24"/>
            <w:lang w:val="ro-RO"/>
          </w:rPr>
          <w:tab/>
        </w:r>
        <w:r w:rsidR="00A96DD2" w:rsidRPr="00EA1BB2">
          <w:rPr>
            <w:rStyle w:val="Hyperlink"/>
            <w:rFonts w:ascii="Cambria" w:hAnsi="Cambria" w:cs="Times New Roman"/>
            <w:noProof/>
            <w:szCs w:val="24"/>
            <w:lang w:val="ro-RO"/>
          </w:rPr>
          <w:t>Informații privind tipul de ținte care necesită protecție în zonă</w:t>
        </w:r>
        <w:r w:rsidR="00A96DD2" w:rsidRPr="00EA1BB2">
          <w:rPr>
            <w:rFonts w:ascii="Cambria" w:hAnsi="Cambria"/>
            <w:noProof/>
            <w:webHidden/>
            <w:szCs w:val="24"/>
            <w:lang w:val="ro-RO"/>
          </w:rPr>
          <w:tab/>
        </w:r>
        <w:r w:rsidR="00A96DD2" w:rsidRPr="00EA1BB2">
          <w:rPr>
            <w:rFonts w:ascii="Cambria" w:hAnsi="Cambria"/>
            <w:noProof/>
            <w:webHidden/>
            <w:szCs w:val="24"/>
            <w:lang w:val="ro-RO"/>
          </w:rPr>
          <w:fldChar w:fldCharType="begin"/>
        </w:r>
        <w:r w:rsidR="00A96DD2" w:rsidRPr="00EA1BB2">
          <w:rPr>
            <w:rFonts w:ascii="Cambria" w:hAnsi="Cambria"/>
            <w:noProof/>
            <w:webHidden/>
            <w:szCs w:val="24"/>
            <w:lang w:val="ro-RO"/>
          </w:rPr>
          <w:instrText xml:space="preserve"> PAGEREF _Toc526889704 \h </w:instrText>
        </w:r>
        <w:r w:rsidR="00A96DD2" w:rsidRPr="00EA1BB2">
          <w:rPr>
            <w:rFonts w:ascii="Cambria" w:hAnsi="Cambria"/>
            <w:noProof/>
            <w:webHidden/>
            <w:szCs w:val="24"/>
            <w:lang w:val="ro-RO"/>
          </w:rPr>
        </w:r>
        <w:r w:rsidR="00A96DD2" w:rsidRPr="00EA1BB2">
          <w:rPr>
            <w:rFonts w:ascii="Cambria" w:hAnsi="Cambria"/>
            <w:noProof/>
            <w:webHidden/>
            <w:szCs w:val="24"/>
            <w:lang w:val="ro-RO"/>
          </w:rPr>
          <w:fldChar w:fldCharType="separate"/>
        </w:r>
        <w:r w:rsidR="00567555">
          <w:rPr>
            <w:rFonts w:ascii="Cambria" w:hAnsi="Cambria"/>
            <w:noProof/>
            <w:webHidden/>
            <w:szCs w:val="24"/>
            <w:lang w:val="ro-RO"/>
          </w:rPr>
          <w:t>49</w:t>
        </w:r>
        <w:r w:rsidR="00A96DD2" w:rsidRPr="00EA1BB2">
          <w:rPr>
            <w:rFonts w:ascii="Cambria" w:hAnsi="Cambria"/>
            <w:noProof/>
            <w:webHidden/>
            <w:szCs w:val="24"/>
            <w:lang w:val="ro-RO"/>
          </w:rPr>
          <w:fldChar w:fldCharType="end"/>
        </w:r>
      </w:hyperlink>
    </w:p>
    <w:p w14:paraId="162EEBF8" w14:textId="059AEB5C" w:rsidR="00A96DD2" w:rsidRPr="00EA1BB2" w:rsidRDefault="009A1372" w:rsidP="00A96DD2">
      <w:pPr>
        <w:pStyle w:val="TOC2"/>
        <w:tabs>
          <w:tab w:val="left" w:pos="880"/>
          <w:tab w:val="right" w:leader="dot" w:pos="9060"/>
        </w:tabs>
        <w:jc w:val="both"/>
        <w:rPr>
          <w:rFonts w:ascii="Cambria" w:eastAsiaTheme="minorEastAsia" w:hAnsi="Cambria"/>
          <w:noProof/>
          <w:szCs w:val="24"/>
          <w:lang w:val="ro-RO"/>
        </w:rPr>
      </w:pPr>
      <w:hyperlink w:anchor="_Toc526889705" w:history="1">
        <w:r w:rsidR="00A96DD2" w:rsidRPr="00EA1BB2">
          <w:rPr>
            <w:rStyle w:val="Hyperlink"/>
            <w:rFonts w:ascii="Cambria" w:hAnsi="Cambria" w:cs="Times New Roman"/>
            <w:noProof/>
            <w:szCs w:val="24"/>
            <w:lang w:val="ro-RO"/>
          </w:rPr>
          <w:t>2.7.</w:t>
        </w:r>
        <w:r w:rsidR="00A96DD2" w:rsidRPr="00EA1BB2">
          <w:rPr>
            <w:rFonts w:ascii="Cambria" w:eastAsiaTheme="minorEastAsia" w:hAnsi="Cambria"/>
            <w:noProof/>
            <w:szCs w:val="24"/>
            <w:lang w:val="ro-RO"/>
          </w:rPr>
          <w:tab/>
        </w:r>
        <w:r w:rsidR="00A96DD2" w:rsidRPr="00EA1BB2">
          <w:rPr>
            <w:rStyle w:val="Hyperlink"/>
            <w:rFonts w:ascii="Cambria" w:hAnsi="Cambria" w:cs="Times New Roman"/>
            <w:noProof/>
            <w:szCs w:val="24"/>
            <w:lang w:val="ro-RO"/>
          </w:rPr>
          <w:t>Stații de măsurare (hartă, coordonate geografice) a calității aerului din județul Brăila</w:t>
        </w:r>
        <w:r w:rsidR="00A96DD2" w:rsidRPr="00EA1BB2">
          <w:rPr>
            <w:rFonts w:ascii="Cambria" w:hAnsi="Cambria"/>
            <w:noProof/>
            <w:webHidden/>
            <w:szCs w:val="24"/>
            <w:lang w:val="ro-RO"/>
          </w:rPr>
          <w:tab/>
          <w:t>…………………………………………………………………………………………………………………...</w:t>
        </w:r>
        <w:r w:rsidR="00A96DD2" w:rsidRPr="00EA1BB2">
          <w:rPr>
            <w:rFonts w:ascii="Cambria" w:hAnsi="Cambria"/>
            <w:noProof/>
            <w:webHidden/>
            <w:szCs w:val="24"/>
            <w:lang w:val="ro-RO"/>
          </w:rPr>
          <w:fldChar w:fldCharType="begin"/>
        </w:r>
        <w:r w:rsidR="00A96DD2" w:rsidRPr="00EA1BB2">
          <w:rPr>
            <w:rFonts w:ascii="Cambria" w:hAnsi="Cambria"/>
            <w:noProof/>
            <w:webHidden/>
            <w:szCs w:val="24"/>
            <w:lang w:val="ro-RO"/>
          </w:rPr>
          <w:instrText xml:space="preserve"> PAGEREF _Toc526889705 \h </w:instrText>
        </w:r>
        <w:r w:rsidR="00A96DD2" w:rsidRPr="00EA1BB2">
          <w:rPr>
            <w:rFonts w:ascii="Cambria" w:hAnsi="Cambria"/>
            <w:noProof/>
            <w:webHidden/>
            <w:szCs w:val="24"/>
            <w:lang w:val="ro-RO"/>
          </w:rPr>
        </w:r>
        <w:r w:rsidR="00A96DD2" w:rsidRPr="00EA1BB2">
          <w:rPr>
            <w:rFonts w:ascii="Cambria" w:hAnsi="Cambria"/>
            <w:noProof/>
            <w:webHidden/>
            <w:szCs w:val="24"/>
            <w:lang w:val="ro-RO"/>
          </w:rPr>
          <w:fldChar w:fldCharType="separate"/>
        </w:r>
        <w:r w:rsidR="00567555">
          <w:rPr>
            <w:rFonts w:ascii="Cambria" w:hAnsi="Cambria"/>
            <w:noProof/>
            <w:webHidden/>
            <w:szCs w:val="24"/>
            <w:lang w:val="ro-RO"/>
          </w:rPr>
          <w:t>52</w:t>
        </w:r>
        <w:r w:rsidR="00A96DD2" w:rsidRPr="00EA1BB2">
          <w:rPr>
            <w:rFonts w:ascii="Cambria" w:hAnsi="Cambria"/>
            <w:noProof/>
            <w:webHidden/>
            <w:szCs w:val="24"/>
            <w:lang w:val="ro-RO"/>
          </w:rPr>
          <w:fldChar w:fldCharType="end"/>
        </w:r>
      </w:hyperlink>
    </w:p>
    <w:p w14:paraId="211F3C32" w14:textId="7E912A20" w:rsidR="00A96DD2" w:rsidRPr="00EA1BB2" w:rsidRDefault="009A1372" w:rsidP="00A96DD2">
      <w:pPr>
        <w:pStyle w:val="TOC1"/>
        <w:rPr>
          <w:rFonts w:eastAsiaTheme="minorEastAsia"/>
          <w:noProof/>
          <w:szCs w:val="24"/>
          <w:lang w:val="ro-RO"/>
        </w:rPr>
      </w:pPr>
      <w:hyperlink w:anchor="_Toc526889706" w:history="1">
        <w:r w:rsidR="00A96DD2" w:rsidRPr="00EA1BB2">
          <w:rPr>
            <w:rStyle w:val="Hyperlink"/>
            <w:rFonts w:cs="Times New Roman"/>
            <w:noProof/>
            <w:szCs w:val="24"/>
            <w:lang w:val="ro-RO"/>
          </w:rPr>
          <w:t>3.</w:t>
        </w:r>
        <w:r w:rsidR="00A96DD2" w:rsidRPr="00EA1BB2">
          <w:rPr>
            <w:rFonts w:eastAsiaTheme="minorEastAsia"/>
            <w:noProof/>
            <w:szCs w:val="24"/>
            <w:lang w:val="ro-RO"/>
          </w:rPr>
          <w:tab/>
        </w:r>
        <w:r w:rsidR="00A96DD2" w:rsidRPr="00EA1BB2">
          <w:rPr>
            <w:rStyle w:val="Hyperlink"/>
            <w:rFonts w:cs="Times New Roman"/>
            <w:noProof/>
            <w:szCs w:val="24"/>
            <w:lang w:val="ro-RO"/>
          </w:rPr>
          <w:t>ANALIZA SITUAȚIEI EXISTENTE</w:t>
        </w:r>
        <w:r w:rsidR="00A96DD2" w:rsidRPr="00EA1BB2">
          <w:rPr>
            <w:noProof/>
            <w:webHidden/>
            <w:szCs w:val="24"/>
            <w:lang w:val="ro-RO"/>
          </w:rPr>
          <w:tab/>
        </w:r>
        <w:r w:rsidR="00A96DD2" w:rsidRPr="00EA1BB2">
          <w:rPr>
            <w:noProof/>
            <w:webHidden/>
            <w:szCs w:val="24"/>
            <w:lang w:val="ro-RO"/>
          </w:rPr>
          <w:fldChar w:fldCharType="begin"/>
        </w:r>
        <w:r w:rsidR="00A96DD2" w:rsidRPr="00EA1BB2">
          <w:rPr>
            <w:noProof/>
            <w:webHidden/>
            <w:szCs w:val="24"/>
            <w:lang w:val="ro-RO"/>
          </w:rPr>
          <w:instrText xml:space="preserve"> PAGEREF _Toc526889706 \h </w:instrText>
        </w:r>
        <w:r w:rsidR="00A96DD2" w:rsidRPr="00EA1BB2">
          <w:rPr>
            <w:noProof/>
            <w:webHidden/>
            <w:szCs w:val="24"/>
            <w:lang w:val="ro-RO"/>
          </w:rPr>
        </w:r>
        <w:r w:rsidR="00A96DD2" w:rsidRPr="00EA1BB2">
          <w:rPr>
            <w:noProof/>
            <w:webHidden/>
            <w:szCs w:val="24"/>
            <w:lang w:val="ro-RO"/>
          </w:rPr>
          <w:fldChar w:fldCharType="separate"/>
        </w:r>
        <w:r w:rsidR="00567555">
          <w:rPr>
            <w:noProof/>
            <w:webHidden/>
            <w:szCs w:val="24"/>
            <w:lang w:val="ro-RO"/>
          </w:rPr>
          <w:t>58</w:t>
        </w:r>
        <w:r w:rsidR="00A96DD2" w:rsidRPr="00EA1BB2">
          <w:rPr>
            <w:noProof/>
            <w:webHidden/>
            <w:szCs w:val="24"/>
            <w:lang w:val="ro-RO"/>
          </w:rPr>
          <w:fldChar w:fldCharType="end"/>
        </w:r>
      </w:hyperlink>
    </w:p>
    <w:p w14:paraId="46551F5C" w14:textId="785C5D57" w:rsidR="00A96DD2" w:rsidRPr="00EA1BB2" w:rsidRDefault="009A1372" w:rsidP="00A96DD2">
      <w:pPr>
        <w:pStyle w:val="TOC2"/>
        <w:tabs>
          <w:tab w:val="left" w:pos="880"/>
          <w:tab w:val="right" w:leader="dot" w:pos="9060"/>
        </w:tabs>
        <w:jc w:val="both"/>
        <w:rPr>
          <w:rFonts w:ascii="Cambria" w:eastAsiaTheme="minorEastAsia" w:hAnsi="Cambria"/>
          <w:noProof/>
          <w:szCs w:val="24"/>
          <w:lang w:val="ro-RO"/>
        </w:rPr>
      </w:pPr>
      <w:hyperlink w:anchor="_Toc526889707" w:history="1">
        <w:r w:rsidR="00A96DD2" w:rsidRPr="00EA1BB2">
          <w:rPr>
            <w:rStyle w:val="Hyperlink"/>
            <w:rFonts w:ascii="Cambria" w:eastAsia="Times New Roman" w:hAnsi="Cambria"/>
            <w:noProof/>
            <w:szCs w:val="24"/>
            <w:lang w:val="ro-RO"/>
          </w:rPr>
          <w:t>3.1.</w:t>
        </w:r>
        <w:r w:rsidR="00A96DD2" w:rsidRPr="00EA1BB2">
          <w:rPr>
            <w:rFonts w:ascii="Cambria" w:eastAsiaTheme="minorEastAsia" w:hAnsi="Cambria"/>
            <w:noProof/>
            <w:szCs w:val="24"/>
            <w:lang w:val="ro-RO"/>
          </w:rPr>
          <w:tab/>
        </w:r>
        <w:r w:rsidR="00A96DD2" w:rsidRPr="00EA1BB2">
          <w:rPr>
            <w:rStyle w:val="Hyperlink"/>
            <w:rFonts w:ascii="Cambria" w:eastAsia="Times New Roman" w:hAnsi="Cambria"/>
            <w:noProof/>
            <w:szCs w:val="24"/>
            <w:lang w:val="ro-RO"/>
          </w:rPr>
          <w:t>Descrierea modului de identificare a scenariilor/măsurilor, precum și estimarea efectelor acestora</w:t>
        </w:r>
        <w:r w:rsidR="00A96DD2" w:rsidRPr="00EA1BB2">
          <w:rPr>
            <w:rFonts w:ascii="Cambria" w:hAnsi="Cambria"/>
            <w:noProof/>
            <w:webHidden/>
            <w:szCs w:val="24"/>
            <w:lang w:val="ro-RO"/>
          </w:rPr>
          <w:tab/>
        </w:r>
        <w:r w:rsidR="00A96DD2" w:rsidRPr="00EA1BB2">
          <w:rPr>
            <w:rFonts w:ascii="Cambria" w:hAnsi="Cambria"/>
            <w:noProof/>
            <w:webHidden/>
            <w:szCs w:val="24"/>
            <w:lang w:val="ro-RO"/>
          </w:rPr>
          <w:fldChar w:fldCharType="begin"/>
        </w:r>
        <w:r w:rsidR="00A96DD2" w:rsidRPr="00EA1BB2">
          <w:rPr>
            <w:rFonts w:ascii="Cambria" w:hAnsi="Cambria"/>
            <w:noProof/>
            <w:webHidden/>
            <w:szCs w:val="24"/>
            <w:lang w:val="ro-RO"/>
          </w:rPr>
          <w:instrText xml:space="preserve"> PAGEREF _Toc526889707 \h </w:instrText>
        </w:r>
        <w:r w:rsidR="00A96DD2" w:rsidRPr="00EA1BB2">
          <w:rPr>
            <w:rFonts w:ascii="Cambria" w:hAnsi="Cambria"/>
            <w:noProof/>
            <w:webHidden/>
            <w:szCs w:val="24"/>
            <w:lang w:val="ro-RO"/>
          </w:rPr>
        </w:r>
        <w:r w:rsidR="00A96DD2" w:rsidRPr="00EA1BB2">
          <w:rPr>
            <w:rFonts w:ascii="Cambria" w:hAnsi="Cambria"/>
            <w:noProof/>
            <w:webHidden/>
            <w:szCs w:val="24"/>
            <w:lang w:val="ro-RO"/>
          </w:rPr>
          <w:fldChar w:fldCharType="separate"/>
        </w:r>
        <w:r w:rsidR="00567555">
          <w:rPr>
            <w:rFonts w:ascii="Cambria" w:hAnsi="Cambria"/>
            <w:noProof/>
            <w:webHidden/>
            <w:szCs w:val="24"/>
            <w:lang w:val="ro-RO"/>
          </w:rPr>
          <w:t>58</w:t>
        </w:r>
        <w:r w:rsidR="00A96DD2" w:rsidRPr="00EA1BB2">
          <w:rPr>
            <w:rFonts w:ascii="Cambria" w:hAnsi="Cambria"/>
            <w:noProof/>
            <w:webHidden/>
            <w:szCs w:val="24"/>
            <w:lang w:val="ro-RO"/>
          </w:rPr>
          <w:fldChar w:fldCharType="end"/>
        </w:r>
      </w:hyperlink>
    </w:p>
    <w:p w14:paraId="4AA0D40E" w14:textId="6516C1AA" w:rsidR="00A96DD2" w:rsidRPr="00EA1BB2" w:rsidRDefault="009A1372" w:rsidP="00A96DD2">
      <w:pPr>
        <w:pStyle w:val="TOC2"/>
        <w:tabs>
          <w:tab w:val="left" w:pos="880"/>
          <w:tab w:val="right" w:leader="dot" w:pos="9060"/>
        </w:tabs>
        <w:jc w:val="both"/>
        <w:rPr>
          <w:rFonts w:ascii="Cambria" w:eastAsiaTheme="minorEastAsia" w:hAnsi="Cambria"/>
          <w:noProof/>
          <w:szCs w:val="24"/>
          <w:lang w:val="ro-RO"/>
        </w:rPr>
      </w:pPr>
      <w:hyperlink w:anchor="_Toc526889708" w:history="1">
        <w:r w:rsidR="00A96DD2" w:rsidRPr="00EA1BB2">
          <w:rPr>
            <w:rStyle w:val="Hyperlink"/>
            <w:rFonts w:ascii="Cambria" w:eastAsia="Times New Roman" w:hAnsi="Cambria"/>
            <w:noProof/>
            <w:szCs w:val="24"/>
            <w:lang w:val="ro-RO"/>
          </w:rPr>
          <w:t>3.2.</w:t>
        </w:r>
        <w:r w:rsidR="00A96DD2" w:rsidRPr="00EA1BB2">
          <w:rPr>
            <w:rFonts w:ascii="Cambria" w:eastAsiaTheme="minorEastAsia" w:hAnsi="Cambria"/>
            <w:noProof/>
            <w:szCs w:val="24"/>
            <w:lang w:val="ro-RO"/>
          </w:rPr>
          <w:tab/>
        </w:r>
        <w:r w:rsidR="00A96DD2" w:rsidRPr="00EA1BB2">
          <w:rPr>
            <w:rStyle w:val="Hyperlink"/>
            <w:rFonts w:ascii="Cambria" w:eastAsia="Times New Roman" w:hAnsi="Cambria"/>
            <w:noProof/>
            <w:szCs w:val="24"/>
            <w:lang w:val="ro-RO"/>
          </w:rPr>
          <w:t>Detaliile factorilor responsabili de o posibilă depășire</w:t>
        </w:r>
        <w:r w:rsidR="00A96DD2" w:rsidRPr="00EA1BB2">
          <w:rPr>
            <w:rFonts w:ascii="Cambria" w:hAnsi="Cambria"/>
            <w:noProof/>
            <w:webHidden/>
            <w:szCs w:val="24"/>
            <w:lang w:val="ro-RO"/>
          </w:rPr>
          <w:tab/>
        </w:r>
        <w:r w:rsidR="00A96DD2" w:rsidRPr="00EA1BB2">
          <w:rPr>
            <w:rFonts w:ascii="Cambria" w:hAnsi="Cambria"/>
            <w:noProof/>
            <w:webHidden/>
            <w:szCs w:val="24"/>
            <w:lang w:val="ro-RO"/>
          </w:rPr>
          <w:fldChar w:fldCharType="begin"/>
        </w:r>
        <w:r w:rsidR="00A96DD2" w:rsidRPr="00EA1BB2">
          <w:rPr>
            <w:rFonts w:ascii="Cambria" w:hAnsi="Cambria"/>
            <w:noProof/>
            <w:webHidden/>
            <w:szCs w:val="24"/>
            <w:lang w:val="ro-RO"/>
          </w:rPr>
          <w:instrText xml:space="preserve"> PAGEREF _Toc526889708 \h </w:instrText>
        </w:r>
        <w:r w:rsidR="00A96DD2" w:rsidRPr="00EA1BB2">
          <w:rPr>
            <w:rFonts w:ascii="Cambria" w:hAnsi="Cambria"/>
            <w:noProof/>
            <w:webHidden/>
            <w:szCs w:val="24"/>
            <w:lang w:val="ro-RO"/>
          </w:rPr>
        </w:r>
        <w:r w:rsidR="00A96DD2" w:rsidRPr="00EA1BB2">
          <w:rPr>
            <w:rFonts w:ascii="Cambria" w:hAnsi="Cambria"/>
            <w:noProof/>
            <w:webHidden/>
            <w:szCs w:val="24"/>
            <w:lang w:val="ro-RO"/>
          </w:rPr>
          <w:fldChar w:fldCharType="separate"/>
        </w:r>
        <w:r w:rsidR="00567555">
          <w:rPr>
            <w:rFonts w:ascii="Cambria" w:hAnsi="Cambria"/>
            <w:noProof/>
            <w:webHidden/>
            <w:szCs w:val="24"/>
            <w:lang w:val="ro-RO"/>
          </w:rPr>
          <w:t>59</w:t>
        </w:r>
        <w:r w:rsidR="00A96DD2" w:rsidRPr="00EA1BB2">
          <w:rPr>
            <w:rFonts w:ascii="Cambria" w:hAnsi="Cambria"/>
            <w:noProof/>
            <w:webHidden/>
            <w:szCs w:val="24"/>
            <w:lang w:val="ro-RO"/>
          </w:rPr>
          <w:fldChar w:fldCharType="end"/>
        </w:r>
      </w:hyperlink>
    </w:p>
    <w:p w14:paraId="16F3E971" w14:textId="57D85469" w:rsidR="00A96DD2" w:rsidRPr="00EA1BB2" w:rsidRDefault="009A1372" w:rsidP="00A96DD2">
      <w:pPr>
        <w:pStyle w:val="TOC3"/>
        <w:tabs>
          <w:tab w:val="left" w:pos="1320"/>
          <w:tab w:val="right" w:leader="dot" w:pos="9060"/>
        </w:tabs>
        <w:jc w:val="both"/>
        <w:rPr>
          <w:rFonts w:ascii="Cambria" w:eastAsiaTheme="minorEastAsia" w:hAnsi="Cambria"/>
          <w:noProof/>
          <w:sz w:val="24"/>
          <w:szCs w:val="24"/>
          <w:lang w:val="ro-RO"/>
        </w:rPr>
      </w:pPr>
      <w:hyperlink w:anchor="_Toc526889709" w:history="1">
        <w:r w:rsidR="00A96DD2" w:rsidRPr="00EA1BB2">
          <w:rPr>
            <w:rStyle w:val="Hyperlink"/>
            <w:rFonts w:ascii="Cambria" w:eastAsia="Times New Roman" w:hAnsi="Cambria" w:cs="Times New Roman"/>
            <w:noProof/>
            <w:sz w:val="24"/>
            <w:szCs w:val="24"/>
            <w:lang w:val="ro-RO"/>
          </w:rPr>
          <w:t>3.2.1.</w:t>
        </w:r>
        <w:r w:rsidR="00A96DD2" w:rsidRPr="00EA1BB2">
          <w:rPr>
            <w:rFonts w:ascii="Cambria" w:eastAsiaTheme="minorEastAsia" w:hAnsi="Cambria"/>
            <w:noProof/>
            <w:sz w:val="24"/>
            <w:szCs w:val="24"/>
            <w:lang w:val="ro-RO"/>
          </w:rPr>
          <w:tab/>
        </w:r>
        <w:r w:rsidR="00A96DD2" w:rsidRPr="00EA1BB2">
          <w:rPr>
            <w:rStyle w:val="Hyperlink"/>
            <w:rFonts w:ascii="Cambria" w:eastAsia="Times New Roman" w:hAnsi="Cambria" w:cs="Times New Roman"/>
            <w:noProof/>
            <w:sz w:val="24"/>
            <w:szCs w:val="24"/>
            <w:lang w:val="ro-RO"/>
          </w:rPr>
          <w:t>Sector energie</w:t>
        </w:r>
        <w:r w:rsidR="00A96DD2" w:rsidRPr="00EA1BB2">
          <w:rPr>
            <w:rFonts w:ascii="Cambria" w:hAnsi="Cambria"/>
            <w:noProof/>
            <w:webHidden/>
            <w:sz w:val="24"/>
            <w:szCs w:val="24"/>
            <w:lang w:val="ro-RO"/>
          </w:rPr>
          <w:tab/>
        </w:r>
        <w:r w:rsidR="00A96DD2" w:rsidRPr="00EA1BB2">
          <w:rPr>
            <w:rFonts w:ascii="Cambria" w:hAnsi="Cambria"/>
            <w:noProof/>
            <w:webHidden/>
            <w:sz w:val="24"/>
            <w:szCs w:val="24"/>
            <w:lang w:val="ro-RO"/>
          </w:rPr>
          <w:fldChar w:fldCharType="begin"/>
        </w:r>
        <w:r w:rsidR="00A96DD2" w:rsidRPr="00EA1BB2">
          <w:rPr>
            <w:rFonts w:ascii="Cambria" w:hAnsi="Cambria"/>
            <w:noProof/>
            <w:webHidden/>
            <w:sz w:val="24"/>
            <w:szCs w:val="24"/>
            <w:lang w:val="ro-RO"/>
          </w:rPr>
          <w:instrText xml:space="preserve"> PAGEREF _Toc526889709 \h </w:instrText>
        </w:r>
        <w:r w:rsidR="00A96DD2" w:rsidRPr="00EA1BB2">
          <w:rPr>
            <w:rFonts w:ascii="Cambria" w:hAnsi="Cambria"/>
            <w:noProof/>
            <w:webHidden/>
            <w:sz w:val="24"/>
            <w:szCs w:val="24"/>
            <w:lang w:val="ro-RO"/>
          </w:rPr>
        </w:r>
        <w:r w:rsidR="00A96DD2" w:rsidRPr="00EA1BB2">
          <w:rPr>
            <w:rFonts w:ascii="Cambria" w:hAnsi="Cambria"/>
            <w:noProof/>
            <w:webHidden/>
            <w:sz w:val="24"/>
            <w:szCs w:val="24"/>
            <w:lang w:val="ro-RO"/>
          </w:rPr>
          <w:fldChar w:fldCharType="separate"/>
        </w:r>
        <w:r w:rsidR="00567555">
          <w:rPr>
            <w:rFonts w:ascii="Cambria" w:hAnsi="Cambria"/>
            <w:noProof/>
            <w:webHidden/>
            <w:sz w:val="24"/>
            <w:szCs w:val="24"/>
            <w:lang w:val="ro-RO"/>
          </w:rPr>
          <w:t>59</w:t>
        </w:r>
        <w:r w:rsidR="00A96DD2" w:rsidRPr="00EA1BB2">
          <w:rPr>
            <w:rFonts w:ascii="Cambria" w:hAnsi="Cambria"/>
            <w:noProof/>
            <w:webHidden/>
            <w:sz w:val="24"/>
            <w:szCs w:val="24"/>
            <w:lang w:val="ro-RO"/>
          </w:rPr>
          <w:fldChar w:fldCharType="end"/>
        </w:r>
      </w:hyperlink>
    </w:p>
    <w:p w14:paraId="264F4B0D" w14:textId="0E3482DA" w:rsidR="00A96DD2" w:rsidRPr="00EA1BB2" w:rsidRDefault="009A1372" w:rsidP="00A96DD2">
      <w:pPr>
        <w:pStyle w:val="TOC3"/>
        <w:tabs>
          <w:tab w:val="left" w:pos="1320"/>
          <w:tab w:val="right" w:leader="dot" w:pos="9060"/>
        </w:tabs>
        <w:jc w:val="both"/>
        <w:rPr>
          <w:rFonts w:ascii="Cambria" w:eastAsiaTheme="minorEastAsia" w:hAnsi="Cambria"/>
          <w:noProof/>
          <w:sz w:val="24"/>
          <w:szCs w:val="24"/>
          <w:lang w:val="ro-RO"/>
        </w:rPr>
      </w:pPr>
      <w:hyperlink w:anchor="_Toc526889710" w:history="1">
        <w:r w:rsidR="00A96DD2" w:rsidRPr="00EA1BB2">
          <w:rPr>
            <w:rStyle w:val="Hyperlink"/>
            <w:rFonts w:ascii="Cambria" w:eastAsia="Times New Roman" w:hAnsi="Cambria" w:cs="Times New Roman"/>
            <w:noProof/>
            <w:sz w:val="24"/>
            <w:szCs w:val="24"/>
            <w:lang w:val="ro-RO"/>
          </w:rPr>
          <w:t>3.2.2.</w:t>
        </w:r>
        <w:r w:rsidR="00A96DD2" w:rsidRPr="00EA1BB2">
          <w:rPr>
            <w:rFonts w:ascii="Cambria" w:eastAsiaTheme="minorEastAsia" w:hAnsi="Cambria"/>
            <w:noProof/>
            <w:sz w:val="24"/>
            <w:szCs w:val="24"/>
            <w:lang w:val="ro-RO"/>
          </w:rPr>
          <w:tab/>
        </w:r>
        <w:r w:rsidR="00A96DD2" w:rsidRPr="00EA1BB2">
          <w:rPr>
            <w:rStyle w:val="Hyperlink"/>
            <w:rFonts w:ascii="Cambria" w:eastAsia="Times New Roman" w:hAnsi="Cambria" w:cs="Times New Roman"/>
            <w:noProof/>
            <w:sz w:val="24"/>
            <w:szCs w:val="24"/>
            <w:lang w:val="ro-RO"/>
          </w:rPr>
          <w:t>Sector transport</w:t>
        </w:r>
        <w:r w:rsidR="00A96DD2" w:rsidRPr="00EA1BB2">
          <w:rPr>
            <w:rFonts w:ascii="Cambria" w:hAnsi="Cambria"/>
            <w:noProof/>
            <w:webHidden/>
            <w:sz w:val="24"/>
            <w:szCs w:val="24"/>
            <w:lang w:val="ro-RO"/>
          </w:rPr>
          <w:tab/>
        </w:r>
        <w:r w:rsidR="00A96DD2" w:rsidRPr="00EA1BB2">
          <w:rPr>
            <w:rFonts w:ascii="Cambria" w:hAnsi="Cambria"/>
            <w:noProof/>
            <w:webHidden/>
            <w:sz w:val="24"/>
            <w:szCs w:val="24"/>
            <w:lang w:val="ro-RO"/>
          </w:rPr>
          <w:fldChar w:fldCharType="begin"/>
        </w:r>
        <w:r w:rsidR="00A96DD2" w:rsidRPr="00EA1BB2">
          <w:rPr>
            <w:rFonts w:ascii="Cambria" w:hAnsi="Cambria"/>
            <w:noProof/>
            <w:webHidden/>
            <w:sz w:val="24"/>
            <w:szCs w:val="24"/>
            <w:lang w:val="ro-RO"/>
          </w:rPr>
          <w:instrText xml:space="preserve"> PAGEREF _Toc526889710 \h </w:instrText>
        </w:r>
        <w:r w:rsidR="00A96DD2" w:rsidRPr="00EA1BB2">
          <w:rPr>
            <w:rFonts w:ascii="Cambria" w:hAnsi="Cambria"/>
            <w:noProof/>
            <w:webHidden/>
            <w:sz w:val="24"/>
            <w:szCs w:val="24"/>
            <w:lang w:val="ro-RO"/>
          </w:rPr>
        </w:r>
        <w:r w:rsidR="00A96DD2" w:rsidRPr="00EA1BB2">
          <w:rPr>
            <w:rFonts w:ascii="Cambria" w:hAnsi="Cambria"/>
            <w:noProof/>
            <w:webHidden/>
            <w:sz w:val="24"/>
            <w:szCs w:val="24"/>
            <w:lang w:val="ro-RO"/>
          </w:rPr>
          <w:fldChar w:fldCharType="separate"/>
        </w:r>
        <w:r w:rsidR="00567555">
          <w:rPr>
            <w:rFonts w:ascii="Cambria" w:hAnsi="Cambria"/>
            <w:noProof/>
            <w:webHidden/>
            <w:sz w:val="24"/>
            <w:szCs w:val="24"/>
            <w:lang w:val="ro-RO"/>
          </w:rPr>
          <w:t>60</w:t>
        </w:r>
        <w:r w:rsidR="00A96DD2" w:rsidRPr="00EA1BB2">
          <w:rPr>
            <w:rFonts w:ascii="Cambria" w:hAnsi="Cambria"/>
            <w:noProof/>
            <w:webHidden/>
            <w:sz w:val="24"/>
            <w:szCs w:val="24"/>
            <w:lang w:val="ro-RO"/>
          </w:rPr>
          <w:fldChar w:fldCharType="end"/>
        </w:r>
      </w:hyperlink>
    </w:p>
    <w:p w14:paraId="4AFEF1A3" w14:textId="1F037915" w:rsidR="00A96DD2" w:rsidRPr="00EA1BB2" w:rsidRDefault="009A1372" w:rsidP="00A96DD2">
      <w:pPr>
        <w:pStyle w:val="TOC3"/>
        <w:tabs>
          <w:tab w:val="left" w:pos="1320"/>
          <w:tab w:val="right" w:leader="dot" w:pos="9060"/>
        </w:tabs>
        <w:jc w:val="both"/>
        <w:rPr>
          <w:rFonts w:ascii="Cambria" w:eastAsiaTheme="minorEastAsia" w:hAnsi="Cambria"/>
          <w:noProof/>
          <w:sz w:val="24"/>
          <w:szCs w:val="24"/>
          <w:lang w:val="ro-RO"/>
        </w:rPr>
      </w:pPr>
      <w:hyperlink w:anchor="_Toc526889711" w:history="1">
        <w:r w:rsidR="00A96DD2" w:rsidRPr="00EA1BB2">
          <w:rPr>
            <w:rStyle w:val="Hyperlink"/>
            <w:rFonts w:ascii="Cambria" w:eastAsia="Times New Roman" w:hAnsi="Cambria" w:cs="Times New Roman"/>
            <w:noProof/>
            <w:sz w:val="24"/>
            <w:szCs w:val="24"/>
            <w:lang w:val="ro-RO"/>
          </w:rPr>
          <w:t>3.2.3.</w:t>
        </w:r>
        <w:r w:rsidR="00A96DD2" w:rsidRPr="00EA1BB2">
          <w:rPr>
            <w:rFonts w:ascii="Cambria" w:eastAsiaTheme="minorEastAsia" w:hAnsi="Cambria"/>
            <w:noProof/>
            <w:sz w:val="24"/>
            <w:szCs w:val="24"/>
            <w:lang w:val="ro-RO"/>
          </w:rPr>
          <w:tab/>
        </w:r>
        <w:r w:rsidR="00A96DD2" w:rsidRPr="00EA1BB2">
          <w:rPr>
            <w:rStyle w:val="Hyperlink"/>
            <w:rFonts w:ascii="Cambria" w:eastAsia="Times New Roman" w:hAnsi="Cambria" w:cs="Times New Roman"/>
            <w:noProof/>
            <w:sz w:val="24"/>
            <w:szCs w:val="24"/>
            <w:lang w:val="ro-RO"/>
          </w:rPr>
          <w:t>Sector industrie</w:t>
        </w:r>
        <w:r w:rsidR="00A96DD2" w:rsidRPr="00EA1BB2">
          <w:rPr>
            <w:rFonts w:ascii="Cambria" w:hAnsi="Cambria"/>
            <w:noProof/>
            <w:webHidden/>
            <w:sz w:val="24"/>
            <w:szCs w:val="24"/>
            <w:lang w:val="ro-RO"/>
          </w:rPr>
          <w:tab/>
        </w:r>
        <w:r w:rsidR="00A96DD2" w:rsidRPr="00EA1BB2">
          <w:rPr>
            <w:rFonts w:ascii="Cambria" w:hAnsi="Cambria"/>
            <w:noProof/>
            <w:webHidden/>
            <w:sz w:val="24"/>
            <w:szCs w:val="24"/>
            <w:lang w:val="ro-RO"/>
          </w:rPr>
          <w:fldChar w:fldCharType="begin"/>
        </w:r>
        <w:r w:rsidR="00A96DD2" w:rsidRPr="00EA1BB2">
          <w:rPr>
            <w:rFonts w:ascii="Cambria" w:hAnsi="Cambria"/>
            <w:noProof/>
            <w:webHidden/>
            <w:sz w:val="24"/>
            <w:szCs w:val="24"/>
            <w:lang w:val="ro-RO"/>
          </w:rPr>
          <w:instrText xml:space="preserve"> PAGEREF _Toc526889711 \h </w:instrText>
        </w:r>
        <w:r w:rsidR="00A96DD2" w:rsidRPr="00EA1BB2">
          <w:rPr>
            <w:rFonts w:ascii="Cambria" w:hAnsi="Cambria"/>
            <w:noProof/>
            <w:webHidden/>
            <w:sz w:val="24"/>
            <w:szCs w:val="24"/>
            <w:lang w:val="ro-RO"/>
          </w:rPr>
        </w:r>
        <w:r w:rsidR="00A96DD2" w:rsidRPr="00EA1BB2">
          <w:rPr>
            <w:rFonts w:ascii="Cambria" w:hAnsi="Cambria"/>
            <w:noProof/>
            <w:webHidden/>
            <w:sz w:val="24"/>
            <w:szCs w:val="24"/>
            <w:lang w:val="ro-RO"/>
          </w:rPr>
          <w:fldChar w:fldCharType="separate"/>
        </w:r>
        <w:r w:rsidR="00567555">
          <w:rPr>
            <w:rFonts w:ascii="Cambria" w:hAnsi="Cambria"/>
            <w:noProof/>
            <w:webHidden/>
            <w:sz w:val="24"/>
            <w:szCs w:val="24"/>
            <w:lang w:val="ro-RO"/>
          </w:rPr>
          <w:t>64</w:t>
        </w:r>
        <w:r w:rsidR="00A96DD2" w:rsidRPr="00EA1BB2">
          <w:rPr>
            <w:rFonts w:ascii="Cambria" w:hAnsi="Cambria"/>
            <w:noProof/>
            <w:webHidden/>
            <w:sz w:val="24"/>
            <w:szCs w:val="24"/>
            <w:lang w:val="ro-RO"/>
          </w:rPr>
          <w:fldChar w:fldCharType="end"/>
        </w:r>
      </w:hyperlink>
    </w:p>
    <w:p w14:paraId="3188D1BB" w14:textId="7D64F8F7" w:rsidR="00A96DD2" w:rsidRPr="00EA1BB2" w:rsidRDefault="009A1372" w:rsidP="00A96DD2">
      <w:pPr>
        <w:pStyle w:val="TOC3"/>
        <w:tabs>
          <w:tab w:val="left" w:pos="1320"/>
          <w:tab w:val="right" w:leader="dot" w:pos="9060"/>
        </w:tabs>
        <w:jc w:val="both"/>
        <w:rPr>
          <w:rFonts w:ascii="Cambria" w:eastAsiaTheme="minorEastAsia" w:hAnsi="Cambria"/>
          <w:noProof/>
          <w:sz w:val="24"/>
          <w:szCs w:val="24"/>
          <w:lang w:val="ro-RO"/>
        </w:rPr>
      </w:pPr>
      <w:hyperlink w:anchor="_Toc526889712" w:history="1">
        <w:r w:rsidR="00A96DD2" w:rsidRPr="00EA1BB2">
          <w:rPr>
            <w:rStyle w:val="Hyperlink"/>
            <w:rFonts w:ascii="Cambria" w:eastAsia="Times New Roman" w:hAnsi="Cambria" w:cs="Times New Roman"/>
            <w:noProof/>
            <w:sz w:val="24"/>
            <w:szCs w:val="24"/>
            <w:lang w:val="ro-RO"/>
          </w:rPr>
          <w:t>3.2.4.</w:t>
        </w:r>
        <w:r w:rsidR="00A96DD2" w:rsidRPr="00EA1BB2">
          <w:rPr>
            <w:rFonts w:ascii="Cambria" w:eastAsiaTheme="minorEastAsia" w:hAnsi="Cambria"/>
            <w:noProof/>
            <w:sz w:val="24"/>
            <w:szCs w:val="24"/>
            <w:lang w:val="ro-RO"/>
          </w:rPr>
          <w:tab/>
        </w:r>
        <w:r w:rsidR="00A96DD2" w:rsidRPr="00EA1BB2">
          <w:rPr>
            <w:rStyle w:val="Hyperlink"/>
            <w:rFonts w:ascii="Cambria" w:eastAsia="Times New Roman" w:hAnsi="Cambria" w:cs="Times New Roman"/>
            <w:noProof/>
            <w:sz w:val="24"/>
            <w:szCs w:val="24"/>
            <w:lang w:val="ro-RO"/>
          </w:rPr>
          <w:t>Sector încălzire comercială și rezidențială</w:t>
        </w:r>
        <w:r w:rsidR="00A96DD2" w:rsidRPr="00EA1BB2">
          <w:rPr>
            <w:rFonts w:ascii="Cambria" w:hAnsi="Cambria"/>
            <w:noProof/>
            <w:webHidden/>
            <w:sz w:val="24"/>
            <w:szCs w:val="24"/>
            <w:lang w:val="ro-RO"/>
          </w:rPr>
          <w:tab/>
        </w:r>
        <w:r w:rsidR="00A96DD2" w:rsidRPr="00EA1BB2">
          <w:rPr>
            <w:rFonts w:ascii="Cambria" w:hAnsi="Cambria"/>
            <w:noProof/>
            <w:webHidden/>
            <w:sz w:val="24"/>
            <w:szCs w:val="24"/>
            <w:lang w:val="ro-RO"/>
          </w:rPr>
          <w:fldChar w:fldCharType="begin"/>
        </w:r>
        <w:r w:rsidR="00A96DD2" w:rsidRPr="00EA1BB2">
          <w:rPr>
            <w:rFonts w:ascii="Cambria" w:hAnsi="Cambria"/>
            <w:noProof/>
            <w:webHidden/>
            <w:sz w:val="24"/>
            <w:szCs w:val="24"/>
            <w:lang w:val="ro-RO"/>
          </w:rPr>
          <w:instrText xml:space="preserve"> PAGEREF _Toc526889712 \h </w:instrText>
        </w:r>
        <w:r w:rsidR="00A96DD2" w:rsidRPr="00EA1BB2">
          <w:rPr>
            <w:rFonts w:ascii="Cambria" w:hAnsi="Cambria"/>
            <w:noProof/>
            <w:webHidden/>
            <w:sz w:val="24"/>
            <w:szCs w:val="24"/>
            <w:lang w:val="ro-RO"/>
          </w:rPr>
        </w:r>
        <w:r w:rsidR="00A96DD2" w:rsidRPr="00EA1BB2">
          <w:rPr>
            <w:rFonts w:ascii="Cambria" w:hAnsi="Cambria"/>
            <w:noProof/>
            <w:webHidden/>
            <w:sz w:val="24"/>
            <w:szCs w:val="24"/>
            <w:lang w:val="ro-RO"/>
          </w:rPr>
          <w:fldChar w:fldCharType="separate"/>
        </w:r>
        <w:r w:rsidR="00567555">
          <w:rPr>
            <w:rFonts w:ascii="Cambria" w:hAnsi="Cambria"/>
            <w:noProof/>
            <w:webHidden/>
            <w:sz w:val="24"/>
            <w:szCs w:val="24"/>
            <w:lang w:val="ro-RO"/>
          </w:rPr>
          <w:t>64</w:t>
        </w:r>
        <w:r w:rsidR="00A96DD2" w:rsidRPr="00EA1BB2">
          <w:rPr>
            <w:rFonts w:ascii="Cambria" w:hAnsi="Cambria"/>
            <w:noProof/>
            <w:webHidden/>
            <w:sz w:val="24"/>
            <w:szCs w:val="24"/>
            <w:lang w:val="ro-RO"/>
          </w:rPr>
          <w:fldChar w:fldCharType="end"/>
        </w:r>
      </w:hyperlink>
    </w:p>
    <w:p w14:paraId="68E2D2C4" w14:textId="6FFB93D8" w:rsidR="00A96DD2" w:rsidRPr="00EA1BB2" w:rsidRDefault="009A1372" w:rsidP="00A96DD2">
      <w:pPr>
        <w:pStyle w:val="TOC3"/>
        <w:tabs>
          <w:tab w:val="left" w:pos="1320"/>
          <w:tab w:val="right" w:leader="dot" w:pos="9060"/>
        </w:tabs>
        <w:jc w:val="both"/>
        <w:rPr>
          <w:rFonts w:ascii="Cambria" w:eastAsiaTheme="minorEastAsia" w:hAnsi="Cambria"/>
          <w:noProof/>
          <w:sz w:val="24"/>
          <w:szCs w:val="24"/>
          <w:lang w:val="ro-RO"/>
        </w:rPr>
      </w:pPr>
      <w:hyperlink w:anchor="_Toc526889713" w:history="1">
        <w:r w:rsidR="00A96DD2" w:rsidRPr="00EA1BB2">
          <w:rPr>
            <w:rStyle w:val="Hyperlink"/>
            <w:rFonts w:ascii="Cambria" w:eastAsia="Times New Roman" w:hAnsi="Cambria" w:cs="Times New Roman"/>
            <w:noProof/>
            <w:sz w:val="24"/>
            <w:szCs w:val="24"/>
            <w:lang w:val="ro-RO"/>
          </w:rPr>
          <w:t>3.2.5.</w:t>
        </w:r>
        <w:r w:rsidR="00A96DD2" w:rsidRPr="00EA1BB2">
          <w:rPr>
            <w:rFonts w:ascii="Cambria" w:eastAsiaTheme="minorEastAsia" w:hAnsi="Cambria"/>
            <w:noProof/>
            <w:sz w:val="24"/>
            <w:szCs w:val="24"/>
            <w:lang w:val="ro-RO"/>
          </w:rPr>
          <w:tab/>
        </w:r>
        <w:r w:rsidR="00A96DD2" w:rsidRPr="00EA1BB2">
          <w:rPr>
            <w:rStyle w:val="Hyperlink"/>
            <w:rFonts w:ascii="Cambria" w:eastAsia="Times New Roman" w:hAnsi="Cambria" w:cs="Times New Roman"/>
            <w:noProof/>
            <w:sz w:val="24"/>
            <w:szCs w:val="24"/>
            <w:lang w:val="ro-RO"/>
          </w:rPr>
          <w:t>Sector agricultură</w:t>
        </w:r>
        <w:r w:rsidR="00A96DD2" w:rsidRPr="00EA1BB2">
          <w:rPr>
            <w:rFonts w:ascii="Cambria" w:hAnsi="Cambria"/>
            <w:noProof/>
            <w:webHidden/>
            <w:sz w:val="24"/>
            <w:szCs w:val="24"/>
            <w:lang w:val="ro-RO"/>
          </w:rPr>
          <w:tab/>
        </w:r>
        <w:r w:rsidR="00A96DD2" w:rsidRPr="00EA1BB2">
          <w:rPr>
            <w:rFonts w:ascii="Cambria" w:hAnsi="Cambria"/>
            <w:noProof/>
            <w:webHidden/>
            <w:sz w:val="24"/>
            <w:szCs w:val="24"/>
            <w:lang w:val="ro-RO"/>
          </w:rPr>
          <w:fldChar w:fldCharType="begin"/>
        </w:r>
        <w:r w:rsidR="00A96DD2" w:rsidRPr="00EA1BB2">
          <w:rPr>
            <w:rFonts w:ascii="Cambria" w:hAnsi="Cambria"/>
            <w:noProof/>
            <w:webHidden/>
            <w:sz w:val="24"/>
            <w:szCs w:val="24"/>
            <w:lang w:val="ro-RO"/>
          </w:rPr>
          <w:instrText xml:space="preserve"> PAGEREF _Toc526889713 \h </w:instrText>
        </w:r>
        <w:r w:rsidR="00A96DD2" w:rsidRPr="00EA1BB2">
          <w:rPr>
            <w:rFonts w:ascii="Cambria" w:hAnsi="Cambria"/>
            <w:noProof/>
            <w:webHidden/>
            <w:sz w:val="24"/>
            <w:szCs w:val="24"/>
            <w:lang w:val="ro-RO"/>
          </w:rPr>
        </w:r>
        <w:r w:rsidR="00A96DD2" w:rsidRPr="00EA1BB2">
          <w:rPr>
            <w:rFonts w:ascii="Cambria" w:hAnsi="Cambria"/>
            <w:noProof/>
            <w:webHidden/>
            <w:sz w:val="24"/>
            <w:szCs w:val="24"/>
            <w:lang w:val="ro-RO"/>
          </w:rPr>
          <w:fldChar w:fldCharType="separate"/>
        </w:r>
        <w:r w:rsidR="00567555">
          <w:rPr>
            <w:rFonts w:ascii="Cambria" w:hAnsi="Cambria"/>
            <w:noProof/>
            <w:webHidden/>
            <w:sz w:val="24"/>
            <w:szCs w:val="24"/>
            <w:lang w:val="ro-RO"/>
          </w:rPr>
          <w:t>66</w:t>
        </w:r>
        <w:r w:rsidR="00A96DD2" w:rsidRPr="00EA1BB2">
          <w:rPr>
            <w:rFonts w:ascii="Cambria" w:hAnsi="Cambria"/>
            <w:noProof/>
            <w:webHidden/>
            <w:sz w:val="24"/>
            <w:szCs w:val="24"/>
            <w:lang w:val="ro-RO"/>
          </w:rPr>
          <w:fldChar w:fldCharType="end"/>
        </w:r>
      </w:hyperlink>
    </w:p>
    <w:p w14:paraId="60BC8F41" w14:textId="06E8FFC2" w:rsidR="00A96DD2" w:rsidRPr="00EA1BB2" w:rsidRDefault="009A1372" w:rsidP="00A96DD2">
      <w:pPr>
        <w:pStyle w:val="TOC3"/>
        <w:tabs>
          <w:tab w:val="left" w:pos="1320"/>
          <w:tab w:val="right" w:leader="dot" w:pos="9060"/>
        </w:tabs>
        <w:jc w:val="both"/>
        <w:rPr>
          <w:rFonts w:ascii="Cambria" w:eastAsiaTheme="minorEastAsia" w:hAnsi="Cambria"/>
          <w:noProof/>
          <w:sz w:val="24"/>
          <w:szCs w:val="24"/>
          <w:lang w:val="ro-RO"/>
        </w:rPr>
      </w:pPr>
      <w:hyperlink w:anchor="_Toc526889714" w:history="1">
        <w:r w:rsidR="00A96DD2" w:rsidRPr="00EA1BB2">
          <w:rPr>
            <w:rStyle w:val="Hyperlink"/>
            <w:rFonts w:ascii="Cambria" w:eastAsia="Times New Roman" w:hAnsi="Cambria" w:cs="Times New Roman"/>
            <w:noProof/>
            <w:sz w:val="24"/>
            <w:szCs w:val="24"/>
            <w:lang w:val="ro-RO"/>
          </w:rPr>
          <w:t>3.2.6.</w:t>
        </w:r>
        <w:r w:rsidR="00A96DD2" w:rsidRPr="00EA1BB2">
          <w:rPr>
            <w:rFonts w:ascii="Cambria" w:eastAsiaTheme="minorEastAsia" w:hAnsi="Cambria"/>
            <w:noProof/>
            <w:sz w:val="24"/>
            <w:szCs w:val="24"/>
            <w:lang w:val="ro-RO"/>
          </w:rPr>
          <w:tab/>
        </w:r>
        <w:r w:rsidR="00A96DD2" w:rsidRPr="00EA1BB2">
          <w:rPr>
            <w:rStyle w:val="Hyperlink"/>
            <w:rFonts w:ascii="Cambria" w:eastAsia="Times New Roman" w:hAnsi="Cambria" w:cs="Times New Roman"/>
            <w:noProof/>
            <w:sz w:val="24"/>
            <w:szCs w:val="24"/>
            <w:lang w:val="ro-RO"/>
          </w:rPr>
          <w:t>Formarea de poluanți secundari în atmosferă</w:t>
        </w:r>
        <w:r w:rsidR="00A96DD2" w:rsidRPr="00EA1BB2">
          <w:rPr>
            <w:rFonts w:ascii="Cambria" w:hAnsi="Cambria"/>
            <w:noProof/>
            <w:webHidden/>
            <w:sz w:val="24"/>
            <w:szCs w:val="24"/>
            <w:lang w:val="ro-RO"/>
          </w:rPr>
          <w:tab/>
        </w:r>
        <w:r w:rsidR="00A96DD2" w:rsidRPr="00EA1BB2">
          <w:rPr>
            <w:rFonts w:ascii="Cambria" w:hAnsi="Cambria"/>
            <w:noProof/>
            <w:webHidden/>
            <w:sz w:val="24"/>
            <w:szCs w:val="24"/>
            <w:lang w:val="ro-RO"/>
          </w:rPr>
          <w:fldChar w:fldCharType="begin"/>
        </w:r>
        <w:r w:rsidR="00A96DD2" w:rsidRPr="00EA1BB2">
          <w:rPr>
            <w:rFonts w:ascii="Cambria" w:hAnsi="Cambria"/>
            <w:noProof/>
            <w:webHidden/>
            <w:sz w:val="24"/>
            <w:szCs w:val="24"/>
            <w:lang w:val="ro-RO"/>
          </w:rPr>
          <w:instrText xml:space="preserve"> PAGEREF _Toc526889714 \h </w:instrText>
        </w:r>
        <w:r w:rsidR="00A96DD2" w:rsidRPr="00EA1BB2">
          <w:rPr>
            <w:rFonts w:ascii="Cambria" w:hAnsi="Cambria"/>
            <w:noProof/>
            <w:webHidden/>
            <w:sz w:val="24"/>
            <w:szCs w:val="24"/>
            <w:lang w:val="ro-RO"/>
          </w:rPr>
        </w:r>
        <w:r w:rsidR="00A96DD2" w:rsidRPr="00EA1BB2">
          <w:rPr>
            <w:rFonts w:ascii="Cambria" w:hAnsi="Cambria"/>
            <w:noProof/>
            <w:webHidden/>
            <w:sz w:val="24"/>
            <w:szCs w:val="24"/>
            <w:lang w:val="ro-RO"/>
          </w:rPr>
          <w:fldChar w:fldCharType="separate"/>
        </w:r>
        <w:r w:rsidR="00567555">
          <w:rPr>
            <w:rFonts w:ascii="Cambria" w:hAnsi="Cambria"/>
            <w:noProof/>
            <w:webHidden/>
            <w:sz w:val="24"/>
            <w:szCs w:val="24"/>
            <w:lang w:val="ro-RO"/>
          </w:rPr>
          <w:t>70</w:t>
        </w:r>
        <w:r w:rsidR="00A96DD2" w:rsidRPr="00EA1BB2">
          <w:rPr>
            <w:rFonts w:ascii="Cambria" w:hAnsi="Cambria"/>
            <w:noProof/>
            <w:webHidden/>
            <w:sz w:val="24"/>
            <w:szCs w:val="24"/>
            <w:lang w:val="ro-RO"/>
          </w:rPr>
          <w:fldChar w:fldCharType="end"/>
        </w:r>
      </w:hyperlink>
    </w:p>
    <w:p w14:paraId="3CD09997" w14:textId="5C5F6660" w:rsidR="00A96DD2" w:rsidRPr="00EA1BB2" w:rsidRDefault="009A1372" w:rsidP="00A96DD2">
      <w:pPr>
        <w:pStyle w:val="TOC2"/>
        <w:tabs>
          <w:tab w:val="left" w:pos="880"/>
          <w:tab w:val="right" w:leader="dot" w:pos="9060"/>
        </w:tabs>
        <w:jc w:val="both"/>
        <w:rPr>
          <w:rFonts w:ascii="Cambria" w:eastAsiaTheme="minorEastAsia" w:hAnsi="Cambria"/>
          <w:noProof/>
          <w:szCs w:val="24"/>
          <w:lang w:val="ro-RO"/>
        </w:rPr>
      </w:pPr>
      <w:hyperlink w:anchor="_Toc526889715" w:history="1">
        <w:r w:rsidR="00A96DD2" w:rsidRPr="00EA1BB2">
          <w:rPr>
            <w:rStyle w:val="Hyperlink"/>
            <w:rFonts w:ascii="Cambria" w:eastAsia="Times New Roman" w:hAnsi="Cambria"/>
            <w:noProof/>
            <w:szCs w:val="24"/>
            <w:lang w:val="ro-RO"/>
          </w:rPr>
          <w:t>3.3.</w:t>
        </w:r>
        <w:r w:rsidR="00A96DD2" w:rsidRPr="00EA1BB2">
          <w:rPr>
            <w:rFonts w:ascii="Cambria" w:eastAsiaTheme="minorEastAsia" w:hAnsi="Cambria"/>
            <w:noProof/>
            <w:szCs w:val="24"/>
            <w:lang w:val="ro-RO"/>
          </w:rPr>
          <w:tab/>
        </w:r>
        <w:r w:rsidR="00A96DD2" w:rsidRPr="00EA1BB2">
          <w:rPr>
            <w:rStyle w:val="Hyperlink"/>
            <w:rFonts w:ascii="Cambria" w:eastAsia="Times New Roman" w:hAnsi="Cambria"/>
            <w:noProof/>
            <w:szCs w:val="24"/>
            <w:lang w:val="ro-RO"/>
          </w:rPr>
          <w:t>Analiza situației curente cu privire la calitatea aerului - la momentul inițierii planului de menținere a calității aerului</w:t>
        </w:r>
        <w:r w:rsidR="00A96DD2" w:rsidRPr="00EA1BB2">
          <w:rPr>
            <w:rFonts w:ascii="Cambria" w:hAnsi="Cambria"/>
            <w:noProof/>
            <w:webHidden/>
            <w:szCs w:val="24"/>
            <w:lang w:val="ro-RO"/>
          </w:rPr>
          <w:tab/>
        </w:r>
        <w:r w:rsidR="00A96DD2" w:rsidRPr="00EA1BB2">
          <w:rPr>
            <w:rFonts w:ascii="Cambria" w:hAnsi="Cambria"/>
            <w:noProof/>
            <w:webHidden/>
            <w:szCs w:val="24"/>
            <w:lang w:val="ro-RO"/>
          </w:rPr>
          <w:fldChar w:fldCharType="begin"/>
        </w:r>
        <w:r w:rsidR="00A96DD2" w:rsidRPr="00EA1BB2">
          <w:rPr>
            <w:rFonts w:ascii="Cambria" w:hAnsi="Cambria"/>
            <w:noProof/>
            <w:webHidden/>
            <w:szCs w:val="24"/>
            <w:lang w:val="ro-RO"/>
          </w:rPr>
          <w:instrText xml:space="preserve"> PAGEREF _Toc526889715 \h </w:instrText>
        </w:r>
        <w:r w:rsidR="00A96DD2" w:rsidRPr="00EA1BB2">
          <w:rPr>
            <w:rFonts w:ascii="Cambria" w:hAnsi="Cambria"/>
            <w:noProof/>
            <w:webHidden/>
            <w:szCs w:val="24"/>
            <w:lang w:val="ro-RO"/>
          </w:rPr>
        </w:r>
        <w:r w:rsidR="00A96DD2" w:rsidRPr="00EA1BB2">
          <w:rPr>
            <w:rFonts w:ascii="Cambria" w:hAnsi="Cambria"/>
            <w:noProof/>
            <w:webHidden/>
            <w:szCs w:val="24"/>
            <w:lang w:val="ro-RO"/>
          </w:rPr>
          <w:fldChar w:fldCharType="separate"/>
        </w:r>
        <w:r w:rsidR="00567555">
          <w:rPr>
            <w:rFonts w:ascii="Cambria" w:hAnsi="Cambria"/>
            <w:noProof/>
            <w:webHidden/>
            <w:szCs w:val="24"/>
            <w:lang w:val="ro-RO"/>
          </w:rPr>
          <w:t>72</w:t>
        </w:r>
        <w:r w:rsidR="00A96DD2" w:rsidRPr="00EA1BB2">
          <w:rPr>
            <w:rFonts w:ascii="Cambria" w:hAnsi="Cambria"/>
            <w:noProof/>
            <w:webHidden/>
            <w:szCs w:val="24"/>
            <w:lang w:val="ro-RO"/>
          </w:rPr>
          <w:fldChar w:fldCharType="end"/>
        </w:r>
      </w:hyperlink>
    </w:p>
    <w:p w14:paraId="29A0FBB1" w14:textId="0FE1EC5E" w:rsidR="00A96DD2" w:rsidRPr="00EA1BB2" w:rsidRDefault="009A1372" w:rsidP="00A96DD2">
      <w:pPr>
        <w:pStyle w:val="TOC3"/>
        <w:tabs>
          <w:tab w:val="left" w:pos="1320"/>
          <w:tab w:val="right" w:leader="dot" w:pos="9060"/>
        </w:tabs>
        <w:jc w:val="both"/>
        <w:rPr>
          <w:rFonts w:ascii="Cambria" w:eastAsiaTheme="minorEastAsia" w:hAnsi="Cambria"/>
          <w:noProof/>
          <w:sz w:val="24"/>
          <w:szCs w:val="24"/>
          <w:lang w:val="ro-RO"/>
        </w:rPr>
      </w:pPr>
      <w:hyperlink w:anchor="_Toc526889716" w:history="1">
        <w:r w:rsidR="00A96DD2" w:rsidRPr="00EA1BB2">
          <w:rPr>
            <w:rStyle w:val="Hyperlink"/>
            <w:rFonts w:ascii="Cambria" w:eastAsia="Times New Roman" w:hAnsi="Cambria" w:cs="Times New Roman"/>
            <w:noProof/>
            <w:sz w:val="24"/>
            <w:szCs w:val="24"/>
            <w:lang w:val="ro-RO"/>
          </w:rPr>
          <w:t>3.3.1.</w:t>
        </w:r>
        <w:r w:rsidR="00A96DD2" w:rsidRPr="00EA1BB2">
          <w:rPr>
            <w:rFonts w:ascii="Cambria" w:eastAsiaTheme="minorEastAsia" w:hAnsi="Cambria"/>
            <w:noProof/>
            <w:sz w:val="24"/>
            <w:szCs w:val="24"/>
            <w:lang w:val="ro-RO"/>
          </w:rPr>
          <w:tab/>
        </w:r>
        <w:r w:rsidR="00A96DD2" w:rsidRPr="00EA1BB2">
          <w:rPr>
            <w:rStyle w:val="Hyperlink"/>
            <w:rFonts w:ascii="Cambria" w:eastAsia="Times New Roman" w:hAnsi="Cambria" w:cs="Times New Roman"/>
            <w:noProof/>
            <w:sz w:val="24"/>
            <w:szCs w:val="24"/>
            <w:lang w:val="ro-RO"/>
          </w:rPr>
          <w:t>Evaluarea calității aerului prin măsurători în puncte fixe</w:t>
        </w:r>
        <w:r w:rsidR="00A96DD2" w:rsidRPr="00EA1BB2">
          <w:rPr>
            <w:rFonts w:ascii="Cambria" w:hAnsi="Cambria"/>
            <w:noProof/>
            <w:webHidden/>
            <w:sz w:val="24"/>
            <w:szCs w:val="24"/>
            <w:lang w:val="ro-RO"/>
          </w:rPr>
          <w:tab/>
        </w:r>
        <w:r w:rsidR="00A96DD2" w:rsidRPr="00EA1BB2">
          <w:rPr>
            <w:rFonts w:ascii="Cambria" w:hAnsi="Cambria"/>
            <w:noProof/>
            <w:webHidden/>
            <w:sz w:val="24"/>
            <w:szCs w:val="24"/>
            <w:lang w:val="ro-RO"/>
          </w:rPr>
          <w:fldChar w:fldCharType="begin"/>
        </w:r>
        <w:r w:rsidR="00A96DD2" w:rsidRPr="00EA1BB2">
          <w:rPr>
            <w:rFonts w:ascii="Cambria" w:hAnsi="Cambria"/>
            <w:noProof/>
            <w:webHidden/>
            <w:sz w:val="24"/>
            <w:szCs w:val="24"/>
            <w:lang w:val="ro-RO"/>
          </w:rPr>
          <w:instrText xml:space="preserve"> PAGEREF _Toc526889716 \h </w:instrText>
        </w:r>
        <w:r w:rsidR="00A96DD2" w:rsidRPr="00EA1BB2">
          <w:rPr>
            <w:rFonts w:ascii="Cambria" w:hAnsi="Cambria"/>
            <w:noProof/>
            <w:webHidden/>
            <w:sz w:val="24"/>
            <w:szCs w:val="24"/>
            <w:lang w:val="ro-RO"/>
          </w:rPr>
        </w:r>
        <w:r w:rsidR="00A96DD2" w:rsidRPr="00EA1BB2">
          <w:rPr>
            <w:rFonts w:ascii="Cambria" w:hAnsi="Cambria"/>
            <w:noProof/>
            <w:webHidden/>
            <w:sz w:val="24"/>
            <w:szCs w:val="24"/>
            <w:lang w:val="ro-RO"/>
          </w:rPr>
          <w:fldChar w:fldCharType="separate"/>
        </w:r>
        <w:r w:rsidR="00567555">
          <w:rPr>
            <w:rFonts w:ascii="Cambria" w:hAnsi="Cambria"/>
            <w:noProof/>
            <w:webHidden/>
            <w:sz w:val="24"/>
            <w:szCs w:val="24"/>
            <w:lang w:val="ro-RO"/>
          </w:rPr>
          <w:t>72</w:t>
        </w:r>
        <w:r w:rsidR="00A96DD2" w:rsidRPr="00EA1BB2">
          <w:rPr>
            <w:rFonts w:ascii="Cambria" w:hAnsi="Cambria"/>
            <w:noProof/>
            <w:webHidden/>
            <w:sz w:val="24"/>
            <w:szCs w:val="24"/>
            <w:lang w:val="ro-RO"/>
          </w:rPr>
          <w:fldChar w:fldCharType="end"/>
        </w:r>
      </w:hyperlink>
    </w:p>
    <w:p w14:paraId="1FE473DE" w14:textId="48819833" w:rsidR="00A96DD2" w:rsidRPr="00EA1BB2" w:rsidRDefault="009A1372" w:rsidP="00A96DD2">
      <w:pPr>
        <w:pStyle w:val="TOC4"/>
        <w:tabs>
          <w:tab w:val="left" w:pos="1760"/>
          <w:tab w:val="right" w:leader="dot" w:pos="9060"/>
        </w:tabs>
        <w:jc w:val="both"/>
        <w:rPr>
          <w:rFonts w:ascii="Cambria" w:eastAsiaTheme="minorEastAsia" w:hAnsi="Cambria"/>
          <w:noProof/>
          <w:szCs w:val="24"/>
          <w:lang w:val="ro-RO"/>
        </w:rPr>
      </w:pPr>
      <w:hyperlink w:anchor="_Toc526889717" w:history="1">
        <w:r w:rsidR="00A96DD2" w:rsidRPr="00EA1BB2">
          <w:rPr>
            <w:rStyle w:val="Hyperlink"/>
            <w:rFonts w:ascii="Cambria" w:hAnsi="Cambria"/>
            <w:noProof/>
            <w:szCs w:val="24"/>
            <w:lang w:val="ro-RO"/>
          </w:rPr>
          <w:t>3.3.1.1.</w:t>
        </w:r>
        <w:r w:rsidR="00A96DD2" w:rsidRPr="00EA1BB2">
          <w:rPr>
            <w:rFonts w:ascii="Cambria" w:eastAsiaTheme="minorEastAsia" w:hAnsi="Cambria"/>
            <w:noProof/>
            <w:szCs w:val="24"/>
            <w:lang w:val="ro-RO"/>
          </w:rPr>
          <w:tab/>
        </w:r>
        <w:r w:rsidR="00A96DD2" w:rsidRPr="00EA1BB2">
          <w:rPr>
            <w:rStyle w:val="Hyperlink"/>
            <w:rFonts w:ascii="Cambria" w:hAnsi="Cambria"/>
            <w:noProof/>
            <w:szCs w:val="24"/>
            <w:lang w:val="ro-RO"/>
          </w:rPr>
          <w:t>Dioxidul de azot (NO</w:t>
        </w:r>
        <w:r w:rsidR="00A96DD2" w:rsidRPr="00EA1BB2">
          <w:rPr>
            <w:rStyle w:val="Hyperlink"/>
            <w:rFonts w:ascii="Cambria" w:hAnsi="Cambria"/>
            <w:noProof/>
            <w:szCs w:val="24"/>
            <w:vertAlign w:val="subscript"/>
            <w:lang w:val="ro-RO"/>
          </w:rPr>
          <w:t>2</w:t>
        </w:r>
        <w:r w:rsidR="00A96DD2" w:rsidRPr="00EA1BB2">
          <w:rPr>
            <w:rStyle w:val="Hyperlink"/>
            <w:rFonts w:ascii="Cambria" w:hAnsi="Cambria"/>
            <w:noProof/>
            <w:szCs w:val="24"/>
            <w:lang w:val="ro-RO"/>
          </w:rPr>
          <w:t>)</w:t>
        </w:r>
        <w:r w:rsidR="00A96DD2" w:rsidRPr="00EA1BB2">
          <w:rPr>
            <w:rFonts w:ascii="Cambria" w:hAnsi="Cambria"/>
            <w:noProof/>
            <w:webHidden/>
            <w:szCs w:val="24"/>
            <w:lang w:val="ro-RO"/>
          </w:rPr>
          <w:tab/>
        </w:r>
        <w:r w:rsidR="00A96DD2" w:rsidRPr="00EA1BB2">
          <w:rPr>
            <w:rFonts w:ascii="Cambria" w:hAnsi="Cambria"/>
            <w:noProof/>
            <w:webHidden/>
            <w:szCs w:val="24"/>
            <w:lang w:val="ro-RO"/>
          </w:rPr>
          <w:fldChar w:fldCharType="begin"/>
        </w:r>
        <w:r w:rsidR="00A96DD2" w:rsidRPr="00EA1BB2">
          <w:rPr>
            <w:rFonts w:ascii="Cambria" w:hAnsi="Cambria"/>
            <w:noProof/>
            <w:webHidden/>
            <w:szCs w:val="24"/>
            <w:lang w:val="ro-RO"/>
          </w:rPr>
          <w:instrText xml:space="preserve"> PAGEREF _Toc526889717 \h </w:instrText>
        </w:r>
        <w:r w:rsidR="00A96DD2" w:rsidRPr="00EA1BB2">
          <w:rPr>
            <w:rFonts w:ascii="Cambria" w:hAnsi="Cambria"/>
            <w:noProof/>
            <w:webHidden/>
            <w:szCs w:val="24"/>
            <w:lang w:val="ro-RO"/>
          </w:rPr>
        </w:r>
        <w:r w:rsidR="00A96DD2" w:rsidRPr="00EA1BB2">
          <w:rPr>
            <w:rFonts w:ascii="Cambria" w:hAnsi="Cambria"/>
            <w:noProof/>
            <w:webHidden/>
            <w:szCs w:val="24"/>
            <w:lang w:val="ro-RO"/>
          </w:rPr>
          <w:fldChar w:fldCharType="separate"/>
        </w:r>
        <w:r w:rsidR="00567555">
          <w:rPr>
            <w:rFonts w:ascii="Cambria" w:hAnsi="Cambria"/>
            <w:noProof/>
            <w:webHidden/>
            <w:szCs w:val="24"/>
            <w:lang w:val="ro-RO"/>
          </w:rPr>
          <w:t>73</w:t>
        </w:r>
        <w:r w:rsidR="00A96DD2" w:rsidRPr="00EA1BB2">
          <w:rPr>
            <w:rFonts w:ascii="Cambria" w:hAnsi="Cambria"/>
            <w:noProof/>
            <w:webHidden/>
            <w:szCs w:val="24"/>
            <w:lang w:val="ro-RO"/>
          </w:rPr>
          <w:fldChar w:fldCharType="end"/>
        </w:r>
      </w:hyperlink>
    </w:p>
    <w:p w14:paraId="1A3DD8D4" w14:textId="7CDA811B" w:rsidR="00A96DD2" w:rsidRPr="00EA1BB2" w:rsidRDefault="009A1372" w:rsidP="00A96DD2">
      <w:pPr>
        <w:pStyle w:val="TOC4"/>
        <w:tabs>
          <w:tab w:val="left" w:pos="1760"/>
          <w:tab w:val="right" w:leader="dot" w:pos="9060"/>
        </w:tabs>
        <w:jc w:val="both"/>
        <w:rPr>
          <w:rFonts w:ascii="Cambria" w:eastAsiaTheme="minorEastAsia" w:hAnsi="Cambria"/>
          <w:noProof/>
          <w:szCs w:val="24"/>
          <w:lang w:val="ro-RO"/>
        </w:rPr>
      </w:pPr>
      <w:hyperlink w:anchor="_Toc526889718" w:history="1">
        <w:r w:rsidR="00A96DD2" w:rsidRPr="00EA1BB2">
          <w:rPr>
            <w:rStyle w:val="Hyperlink"/>
            <w:rFonts w:ascii="Cambria" w:hAnsi="Cambria"/>
            <w:noProof/>
            <w:szCs w:val="24"/>
            <w:lang w:val="ro-RO"/>
          </w:rPr>
          <w:t>3.3.1.2.</w:t>
        </w:r>
        <w:r w:rsidR="00A96DD2" w:rsidRPr="00EA1BB2">
          <w:rPr>
            <w:rFonts w:ascii="Cambria" w:eastAsiaTheme="minorEastAsia" w:hAnsi="Cambria"/>
            <w:noProof/>
            <w:szCs w:val="24"/>
            <w:lang w:val="ro-RO"/>
          </w:rPr>
          <w:tab/>
        </w:r>
        <w:r w:rsidR="00A96DD2" w:rsidRPr="00EA1BB2">
          <w:rPr>
            <w:rStyle w:val="Hyperlink"/>
            <w:rFonts w:ascii="Cambria" w:hAnsi="Cambria"/>
            <w:noProof/>
            <w:szCs w:val="24"/>
            <w:lang w:val="ro-RO"/>
          </w:rPr>
          <w:t>Pulberi în suspensie – PM</w:t>
        </w:r>
        <w:r w:rsidR="00A96DD2" w:rsidRPr="00EA1BB2">
          <w:rPr>
            <w:rStyle w:val="Hyperlink"/>
            <w:rFonts w:ascii="Cambria" w:hAnsi="Cambria"/>
            <w:noProof/>
            <w:szCs w:val="24"/>
            <w:vertAlign w:val="subscript"/>
            <w:lang w:val="ro-RO"/>
          </w:rPr>
          <w:t>10</w:t>
        </w:r>
        <w:r w:rsidR="00A96DD2" w:rsidRPr="00EA1BB2">
          <w:rPr>
            <w:rStyle w:val="Hyperlink"/>
            <w:rFonts w:ascii="Cambria" w:hAnsi="Cambria"/>
            <w:noProof/>
            <w:szCs w:val="24"/>
            <w:lang w:val="ro-RO"/>
          </w:rPr>
          <w:t>și PM</w:t>
        </w:r>
        <w:r w:rsidR="00A96DD2" w:rsidRPr="00EA1BB2">
          <w:rPr>
            <w:rStyle w:val="Hyperlink"/>
            <w:rFonts w:ascii="Cambria" w:hAnsi="Cambria"/>
            <w:noProof/>
            <w:szCs w:val="24"/>
            <w:vertAlign w:val="subscript"/>
            <w:lang w:val="ro-RO"/>
          </w:rPr>
          <w:t xml:space="preserve">2,5 </w:t>
        </w:r>
        <w:r w:rsidR="00A96DD2" w:rsidRPr="00EA1BB2">
          <w:rPr>
            <w:rStyle w:val="Hyperlink"/>
            <w:rFonts w:ascii="Cambria" w:hAnsi="Cambria"/>
            <w:noProof/>
            <w:szCs w:val="24"/>
            <w:lang w:val="ro-RO"/>
          </w:rPr>
          <w:t>(gravimetric)</w:t>
        </w:r>
        <w:r w:rsidR="00A96DD2" w:rsidRPr="00EA1BB2">
          <w:rPr>
            <w:rFonts w:ascii="Cambria" w:hAnsi="Cambria"/>
            <w:noProof/>
            <w:webHidden/>
            <w:szCs w:val="24"/>
            <w:lang w:val="ro-RO"/>
          </w:rPr>
          <w:tab/>
        </w:r>
        <w:r w:rsidR="00A96DD2" w:rsidRPr="00EA1BB2">
          <w:rPr>
            <w:rFonts w:ascii="Cambria" w:hAnsi="Cambria"/>
            <w:noProof/>
            <w:webHidden/>
            <w:szCs w:val="24"/>
            <w:lang w:val="ro-RO"/>
          </w:rPr>
          <w:fldChar w:fldCharType="begin"/>
        </w:r>
        <w:r w:rsidR="00A96DD2" w:rsidRPr="00EA1BB2">
          <w:rPr>
            <w:rFonts w:ascii="Cambria" w:hAnsi="Cambria"/>
            <w:noProof/>
            <w:webHidden/>
            <w:szCs w:val="24"/>
            <w:lang w:val="ro-RO"/>
          </w:rPr>
          <w:instrText xml:space="preserve"> PAGEREF _Toc526889718 \h </w:instrText>
        </w:r>
        <w:r w:rsidR="00A96DD2" w:rsidRPr="00EA1BB2">
          <w:rPr>
            <w:rFonts w:ascii="Cambria" w:hAnsi="Cambria"/>
            <w:noProof/>
            <w:webHidden/>
            <w:szCs w:val="24"/>
            <w:lang w:val="ro-RO"/>
          </w:rPr>
        </w:r>
        <w:r w:rsidR="00A96DD2" w:rsidRPr="00EA1BB2">
          <w:rPr>
            <w:rFonts w:ascii="Cambria" w:hAnsi="Cambria"/>
            <w:noProof/>
            <w:webHidden/>
            <w:szCs w:val="24"/>
            <w:lang w:val="ro-RO"/>
          </w:rPr>
          <w:fldChar w:fldCharType="separate"/>
        </w:r>
        <w:r w:rsidR="00567555">
          <w:rPr>
            <w:rFonts w:ascii="Cambria" w:hAnsi="Cambria"/>
            <w:noProof/>
            <w:webHidden/>
            <w:szCs w:val="24"/>
            <w:lang w:val="ro-RO"/>
          </w:rPr>
          <w:t>74</w:t>
        </w:r>
        <w:r w:rsidR="00A96DD2" w:rsidRPr="00EA1BB2">
          <w:rPr>
            <w:rFonts w:ascii="Cambria" w:hAnsi="Cambria"/>
            <w:noProof/>
            <w:webHidden/>
            <w:szCs w:val="24"/>
            <w:lang w:val="ro-RO"/>
          </w:rPr>
          <w:fldChar w:fldCharType="end"/>
        </w:r>
      </w:hyperlink>
    </w:p>
    <w:p w14:paraId="51B3F3F0" w14:textId="0DD620CE" w:rsidR="00A96DD2" w:rsidRPr="00EA1BB2" w:rsidRDefault="009A1372" w:rsidP="00A96DD2">
      <w:pPr>
        <w:pStyle w:val="TOC4"/>
        <w:tabs>
          <w:tab w:val="left" w:pos="1760"/>
          <w:tab w:val="right" w:leader="dot" w:pos="9060"/>
        </w:tabs>
        <w:jc w:val="both"/>
        <w:rPr>
          <w:rFonts w:ascii="Cambria" w:eastAsiaTheme="minorEastAsia" w:hAnsi="Cambria"/>
          <w:noProof/>
          <w:szCs w:val="24"/>
          <w:lang w:val="ro-RO"/>
        </w:rPr>
      </w:pPr>
      <w:hyperlink w:anchor="_Toc526889719" w:history="1">
        <w:r w:rsidR="00A96DD2" w:rsidRPr="00EA1BB2">
          <w:rPr>
            <w:rStyle w:val="Hyperlink"/>
            <w:rFonts w:ascii="Cambria" w:hAnsi="Cambria"/>
            <w:noProof/>
            <w:szCs w:val="24"/>
            <w:lang w:val="ro-RO"/>
          </w:rPr>
          <w:t>3.3.1.3.</w:t>
        </w:r>
        <w:r w:rsidR="00A96DD2" w:rsidRPr="00EA1BB2">
          <w:rPr>
            <w:rFonts w:ascii="Cambria" w:eastAsiaTheme="minorEastAsia" w:hAnsi="Cambria"/>
            <w:noProof/>
            <w:szCs w:val="24"/>
            <w:lang w:val="ro-RO"/>
          </w:rPr>
          <w:tab/>
        </w:r>
        <w:r w:rsidR="00A96DD2" w:rsidRPr="00EA1BB2">
          <w:rPr>
            <w:rStyle w:val="Hyperlink"/>
            <w:rFonts w:ascii="Cambria" w:hAnsi="Cambria"/>
            <w:noProof/>
            <w:szCs w:val="24"/>
            <w:lang w:val="ro-RO"/>
          </w:rPr>
          <w:t>Benzen (C</w:t>
        </w:r>
        <w:r w:rsidR="00A96DD2" w:rsidRPr="00EA1BB2">
          <w:rPr>
            <w:rStyle w:val="Hyperlink"/>
            <w:rFonts w:ascii="Cambria" w:hAnsi="Cambria"/>
            <w:noProof/>
            <w:szCs w:val="24"/>
            <w:vertAlign w:val="subscript"/>
            <w:lang w:val="ro-RO"/>
          </w:rPr>
          <w:t>6</w:t>
        </w:r>
        <w:r w:rsidR="00A96DD2" w:rsidRPr="00EA1BB2">
          <w:rPr>
            <w:rStyle w:val="Hyperlink"/>
            <w:rFonts w:ascii="Cambria" w:hAnsi="Cambria"/>
            <w:noProof/>
            <w:szCs w:val="24"/>
            <w:lang w:val="ro-RO"/>
          </w:rPr>
          <w:t>H</w:t>
        </w:r>
        <w:r w:rsidR="00A96DD2" w:rsidRPr="00EA1BB2">
          <w:rPr>
            <w:rStyle w:val="Hyperlink"/>
            <w:rFonts w:ascii="Cambria" w:hAnsi="Cambria"/>
            <w:noProof/>
            <w:szCs w:val="24"/>
            <w:vertAlign w:val="subscript"/>
            <w:lang w:val="ro-RO"/>
          </w:rPr>
          <w:t>6</w:t>
        </w:r>
        <w:r w:rsidR="00A96DD2" w:rsidRPr="00EA1BB2">
          <w:rPr>
            <w:rStyle w:val="Hyperlink"/>
            <w:rFonts w:ascii="Cambria" w:hAnsi="Cambria"/>
            <w:noProof/>
            <w:szCs w:val="24"/>
            <w:lang w:val="ro-RO"/>
          </w:rPr>
          <w:t>)</w:t>
        </w:r>
        <w:r w:rsidR="00A96DD2" w:rsidRPr="00EA1BB2">
          <w:rPr>
            <w:rFonts w:ascii="Cambria" w:hAnsi="Cambria"/>
            <w:noProof/>
            <w:webHidden/>
            <w:szCs w:val="24"/>
            <w:lang w:val="ro-RO"/>
          </w:rPr>
          <w:tab/>
        </w:r>
        <w:r w:rsidR="00A96DD2" w:rsidRPr="00EA1BB2">
          <w:rPr>
            <w:rFonts w:ascii="Cambria" w:hAnsi="Cambria"/>
            <w:noProof/>
            <w:webHidden/>
            <w:szCs w:val="24"/>
            <w:lang w:val="ro-RO"/>
          </w:rPr>
          <w:fldChar w:fldCharType="begin"/>
        </w:r>
        <w:r w:rsidR="00A96DD2" w:rsidRPr="00EA1BB2">
          <w:rPr>
            <w:rFonts w:ascii="Cambria" w:hAnsi="Cambria"/>
            <w:noProof/>
            <w:webHidden/>
            <w:szCs w:val="24"/>
            <w:lang w:val="ro-RO"/>
          </w:rPr>
          <w:instrText xml:space="preserve"> PAGEREF _Toc526889719 \h </w:instrText>
        </w:r>
        <w:r w:rsidR="00A96DD2" w:rsidRPr="00EA1BB2">
          <w:rPr>
            <w:rFonts w:ascii="Cambria" w:hAnsi="Cambria"/>
            <w:noProof/>
            <w:webHidden/>
            <w:szCs w:val="24"/>
            <w:lang w:val="ro-RO"/>
          </w:rPr>
        </w:r>
        <w:r w:rsidR="00A96DD2" w:rsidRPr="00EA1BB2">
          <w:rPr>
            <w:rFonts w:ascii="Cambria" w:hAnsi="Cambria"/>
            <w:noProof/>
            <w:webHidden/>
            <w:szCs w:val="24"/>
            <w:lang w:val="ro-RO"/>
          </w:rPr>
          <w:fldChar w:fldCharType="separate"/>
        </w:r>
        <w:r w:rsidR="00567555">
          <w:rPr>
            <w:rFonts w:ascii="Cambria" w:hAnsi="Cambria"/>
            <w:noProof/>
            <w:webHidden/>
            <w:szCs w:val="24"/>
            <w:lang w:val="ro-RO"/>
          </w:rPr>
          <w:t>75</w:t>
        </w:r>
        <w:r w:rsidR="00A96DD2" w:rsidRPr="00EA1BB2">
          <w:rPr>
            <w:rFonts w:ascii="Cambria" w:hAnsi="Cambria"/>
            <w:noProof/>
            <w:webHidden/>
            <w:szCs w:val="24"/>
            <w:lang w:val="ro-RO"/>
          </w:rPr>
          <w:fldChar w:fldCharType="end"/>
        </w:r>
      </w:hyperlink>
    </w:p>
    <w:p w14:paraId="7FA21D7E" w14:textId="4671808D" w:rsidR="00A96DD2" w:rsidRPr="00EA1BB2" w:rsidRDefault="009A1372" w:rsidP="00A96DD2">
      <w:pPr>
        <w:pStyle w:val="TOC4"/>
        <w:tabs>
          <w:tab w:val="left" w:pos="1760"/>
          <w:tab w:val="right" w:leader="dot" w:pos="9060"/>
        </w:tabs>
        <w:jc w:val="both"/>
        <w:rPr>
          <w:rFonts w:ascii="Cambria" w:eastAsiaTheme="minorEastAsia" w:hAnsi="Cambria"/>
          <w:noProof/>
          <w:szCs w:val="24"/>
          <w:lang w:val="ro-RO"/>
        </w:rPr>
      </w:pPr>
      <w:hyperlink w:anchor="_Toc526889720" w:history="1">
        <w:r w:rsidR="00A96DD2" w:rsidRPr="00EA1BB2">
          <w:rPr>
            <w:rStyle w:val="Hyperlink"/>
            <w:rFonts w:ascii="Cambria" w:hAnsi="Cambria"/>
            <w:noProof/>
            <w:szCs w:val="24"/>
            <w:lang w:val="ro-RO"/>
          </w:rPr>
          <w:t>3.3.1.4.</w:t>
        </w:r>
        <w:r w:rsidR="00A96DD2" w:rsidRPr="00EA1BB2">
          <w:rPr>
            <w:rFonts w:ascii="Cambria" w:eastAsiaTheme="minorEastAsia" w:hAnsi="Cambria"/>
            <w:noProof/>
            <w:szCs w:val="24"/>
            <w:lang w:val="ro-RO"/>
          </w:rPr>
          <w:tab/>
        </w:r>
        <w:r w:rsidR="00A96DD2" w:rsidRPr="00EA1BB2">
          <w:rPr>
            <w:rStyle w:val="Hyperlink"/>
            <w:rFonts w:ascii="Cambria" w:hAnsi="Cambria"/>
            <w:noProof/>
            <w:szCs w:val="24"/>
            <w:lang w:val="ro-RO"/>
          </w:rPr>
          <w:t>Dioxidul de sulf (SO</w:t>
        </w:r>
        <w:r w:rsidR="00A96DD2" w:rsidRPr="00EA1BB2">
          <w:rPr>
            <w:rStyle w:val="Hyperlink"/>
            <w:rFonts w:ascii="Cambria" w:hAnsi="Cambria"/>
            <w:noProof/>
            <w:szCs w:val="24"/>
            <w:vertAlign w:val="subscript"/>
            <w:lang w:val="ro-RO"/>
          </w:rPr>
          <w:t>2</w:t>
        </w:r>
        <w:r w:rsidR="00A96DD2" w:rsidRPr="00EA1BB2">
          <w:rPr>
            <w:rStyle w:val="Hyperlink"/>
            <w:rFonts w:ascii="Cambria" w:hAnsi="Cambria"/>
            <w:noProof/>
            <w:szCs w:val="24"/>
            <w:lang w:val="ro-RO"/>
          </w:rPr>
          <w:t>)</w:t>
        </w:r>
        <w:r w:rsidR="00A96DD2" w:rsidRPr="00EA1BB2">
          <w:rPr>
            <w:rFonts w:ascii="Cambria" w:hAnsi="Cambria"/>
            <w:noProof/>
            <w:webHidden/>
            <w:szCs w:val="24"/>
            <w:lang w:val="ro-RO"/>
          </w:rPr>
          <w:tab/>
        </w:r>
        <w:r w:rsidR="00A96DD2" w:rsidRPr="00EA1BB2">
          <w:rPr>
            <w:rFonts w:ascii="Cambria" w:hAnsi="Cambria"/>
            <w:noProof/>
            <w:webHidden/>
            <w:szCs w:val="24"/>
            <w:lang w:val="ro-RO"/>
          </w:rPr>
          <w:fldChar w:fldCharType="begin"/>
        </w:r>
        <w:r w:rsidR="00A96DD2" w:rsidRPr="00EA1BB2">
          <w:rPr>
            <w:rFonts w:ascii="Cambria" w:hAnsi="Cambria"/>
            <w:noProof/>
            <w:webHidden/>
            <w:szCs w:val="24"/>
            <w:lang w:val="ro-RO"/>
          </w:rPr>
          <w:instrText xml:space="preserve"> PAGEREF _Toc526889720 \h </w:instrText>
        </w:r>
        <w:r w:rsidR="00A96DD2" w:rsidRPr="00EA1BB2">
          <w:rPr>
            <w:rFonts w:ascii="Cambria" w:hAnsi="Cambria"/>
            <w:noProof/>
            <w:webHidden/>
            <w:szCs w:val="24"/>
            <w:lang w:val="ro-RO"/>
          </w:rPr>
        </w:r>
        <w:r w:rsidR="00A96DD2" w:rsidRPr="00EA1BB2">
          <w:rPr>
            <w:rFonts w:ascii="Cambria" w:hAnsi="Cambria"/>
            <w:noProof/>
            <w:webHidden/>
            <w:szCs w:val="24"/>
            <w:lang w:val="ro-RO"/>
          </w:rPr>
          <w:fldChar w:fldCharType="separate"/>
        </w:r>
        <w:r w:rsidR="00567555">
          <w:rPr>
            <w:rFonts w:ascii="Cambria" w:hAnsi="Cambria"/>
            <w:noProof/>
            <w:webHidden/>
            <w:szCs w:val="24"/>
            <w:lang w:val="ro-RO"/>
          </w:rPr>
          <w:t>76</w:t>
        </w:r>
        <w:r w:rsidR="00A96DD2" w:rsidRPr="00EA1BB2">
          <w:rPr>
            <w:rFonts w:ascii="Cambria" w:hAnsi="Cambria"/>
            <w:noProof/>
            <w:webHidden/>
            <w:szCs w:val="24"/>
            <w:lang w:val="ro-RO"/>
          </w:rPr>
          <w:fldChar w:fldCharType="end"/>
        </w:r>
      </w:hyperlink>
    </w:p>
    <w:p w14:paraId="09526CC7" w14:textId="1BB44D15" w:rsidR="00A96DD2" w:rsidRPr="00EA1BB2" w:rsidRDefault="009A1372" w:rsidP="00A96DD2">
      <w:pPr>
        <w:pStyle w:val="TOC4"/>
        <w:tabs>
          <w:tab w:val="left" w:pos="1760"/>
          <w:tab w:val="right" w:leader="dot" w:pos="9060"/>
        </w:tabs>
        <w:jc w:val="both"/>
        <w:rPr>
          <w:rFonts w:ascii="Cambria" w:eastAsiaTheme="minorEastAsia" w:hAnsi="Cambria"/>
          <w:noProof/>
          <w:szCs w:val="24"/>
          <w:lang w:val="ro-RO"/>
        </w:rPr>
      </w:pPr>
      <w:hyperlink w:anchor="_Toc526889721" w:history="1">
        <w:r w:rsidR="00A96DD2" w:rsidRPr="00EA1BB2">
          <w:rPr>
            <w:rStyle w:val="Hyperlink"/>
            <w:rFonts w:ascii="Cambria" w:hAnsi="Cambria"/>
            <w:noProof/>
            <w:szCs w:val="24"/>
            <w:lang w:val="ro-RO"/>
          </w:rPr>
          <w:t>3.3.1.5.</w:t>
        </w:r>
        <w:r w:rsidR="00A96DD2" w:rsidRPr="00EA1BB2">
          <w:rPr>
            <w:rFonts w:ascii="Cambria" w:eastAsiaTheme="minorEastAsia" w:hAnsi="Cambria"/>
            <w:noProof/>
            <w:szCs w:val="24"/>
            <w:lang w:val="ro-RO"/>
          </w:rPr>
          <w:tab/>
        </w:r>
        <w:r w:rsidR="00A96DD2" w:rsidRPr="00EA1BB2">
          <w:rPr>
            <w:rStyle w:val="Hyperlink"/>
            <w:rFonts w:ascii="Cambria" w:hAnsi="Cambria"/>
            <w:noProof/>
            <w:szCs w:val="24"/>
            <w:lang w:val="ro-RO"/>
          </w:rPr>
          <w:t>Monoxid de carbon (CO)</w:t>
        </w:r>
        <w:r w:rsidR="00A96DD2" w:rsidRPr="00EA1BB2">
          <w:rPr>
            <w:rFonts w:ascii="Cambria" w:hAnsi="Cambria"/>
            <w:noProof/>
            <w:webHidden/>
            <w:szCs w:val="24"/>
            <w:lang w:val="ro-RO"/>
          </w:rPr>
          <w:tab/>
        </w:r>
        <w:r w:rsidR="00A96DD2" w:rsidRPr="00EA1BB2">
          <w:rPr>
            <w:rFonts w:ascii="Cambria" w:hAnsi="Cambria"/>
            <w:noProof/>
            <w:webHidden/>
            <w:szCs w:val="24"/>
            <w:lang w:val="ro-RO"/>
          </w:rPr>
          <w:fldChar w:fldCharType="begin"/>
        </w:r>
        <w:r w:rsidR="00A96DD2" w:rsidRPr="00EA1BB2">
          <w:rPr>
            <w:rFonts w:ascii="Cambria" w:hAnsi="Cambria"/>
            <w:noProof/>
            <w:webHidden/>
            <w:szCs w:val="24"/>
            <w:lang w:val="ro-RO"/>
          </w:rPr>
          <w:instrText xml:space="preserve"> PAGEREF _Toc526889721 \h </w:instrText>
        </w:r>
        <w:r w:rsidR="00A96DD2" w:rsidRPr="00EA1BB2">
          <w:rPr>
            <w:rFonts w:ascii="Cambria" w:hAnsi="Cambria"/>
            <w:noProof/>
            <w:webHidden/>
            <w:szCs w:val="24"/>
            <w:lang w:val="ro-RO"/>
          </w:rPr>
        </w:r>
        <w:r w:rsidR="00A96DD2" w:rsidRPr="00EA1BB2">
          <w:rPr>
            <w:rFonts w:ascii="Cambria" w:hAnsi="Cambria"/>
            <w:noProof/>
            <w:webHidden/>
            <w:szCs w:val="24"/>
            <w:lang w:val="ro-RO"/>
          </w:rPr>
          <w:fldChar w:fldCharType="separate"/>
        </w:r>
        <w:r w:rsidR="00567555">
          <w:rPr>
            <w:rFonts w:ascii="Cambria" w:hAnsi="Cambria"/>
            <w:noProof/>
            <w:webHidden/>
            <w:szCs w:val="24"/>
            <w:lang w:val="ro-RO"/>
          </w:rPr>
          <w:t>78</w:t>
        </w:r>
        <w:r w:rsidR="00A96DD2" w:rsidRPr="00EA1BB2">
          <w:rPr>
            <w:rFonts w:ascii="Cambria" w:hAnsi="Cambria"/>
            <w:noProof/>
            <w:webHidden/>
            <w:szCs w:val="24"/>
            <w:lang w:val="ro-RO"/>
          </w:rPr>
          <w:fldChar w:fldCharType="end"/>
        </w:r>
      </w:hyperlink>
    </w:p>
    <w:p w14:paraId="3A23C777" w14:textId="1D212893" w:rsidR="00A96DD2" w:rsidRPr="00EA1BB2" w:rsidRDefault="009A1372" w:rsidP="00A96DD2">
      <w:pPr>
        <w:pStyle w:val="TOC4"/>
        <w:tabs>
          <w:tab w:val="left" w:pos="1760"/>
          <w:tab w:val="right" w:leader="dot" w:pos="9060"/>
        </w:tabs>
        <w:jc w:val="both"/>
        <w:rPr>
          <w:rFonts w:ascii="Cambria" w:eastAsiaTheme="minorEastAsia" w:hAnsi="Cambria"/>
          <w:noProof/>
          <w:szCs w:val="24"/>
          <w:lang w:val="ro-RO"/>
        </w:rPr>
      </w:pPr>
      <w:hyperlink w:anchor="_Toc526889722" w:history="1">
        <w:r w:rsidR="00A96DD2" w:rsidRPr="00EA1BB2">
          <w:rPr>
            <w:rStyle w:val="Hyperlink"/>
            <w:rFonts w:ascii="Cambria" w:hAnsi="Cambria"/>
            <w:noProof/>
            <w:szCs w:val="24"/>
            <w:lang w:val="ro-RO"/>
          </w:rPr>
          <w:t>3.3.1.6.</w:t>
        </w:r>
        <w:r w:rsidR="00A96DD2" w:rsidRPr="00EA1BB2">
          <w:rPr>
            <w:rFonts w:ascii="Cambria" w:eastAsiaTheme="minorEastAsia" w:hAnsi="Cambria"/>
            <w:noProof/>
            <w:szCs w:val="24"/>
            <w:lang w:val="ro-RO"/>
          </w:rPr>
          <w:tab/>
        </w:r>
        <w:r w:rsidR="00A96DD2" w:rsidRPr="00EA1BB2">
          <w:rPr>
            <w:rStyle w:val="Hyperlink"/>
            <w:rFonts w:ascii="Cambria" w:hAnsi="Cambria"/>
            <w:noProof/>
            <w:szCs w:val="24"/>
            <w:lang w:val="ro-RO"/>
          </w:rPr>
          <w:t>Metale grele – Plumb (Pb)</w:t>
        </w:r>
        <w:r w:rsidR="00A96DD2" w:rsidRPr="00EA1BB2">
          <w:rPr>
            <w:rFonts w:ascii="Cambria" w:hAnsi="Cambria"/>
            <w:noProof/>
            <w:webHidden/>
            <w:szCs w:val="24"/>
            <w:lang w:val="ro-RO"/>
          </w:rPr>
          <w:tab/>
        </w:r>
        <w:r w:rsidR="00A96DD2" w:rsidRPr="00EA1BB2">
          <w:rPr>
            <w:rFonts w:ascii="Cambria" w:hAnsi="Cambria"/>
            <w:noProof/>
            <w:webHidden/>
            <w:szCs w:val="24"/>
            <w:lang w:val="ro-RO"/>
          </w:rPr>
          <w:fldChar w:fldCharType="begin"/>
        </w:r>
        <w:r w:rsidR="00A96DD2" w:rsidRPr="00EA1BB2">
          <w:rPr>
            <w:rFonts w:ascii="Cambria" w:hAnsi="Cambria"/>
            <w:noProof/>
            <w:webHidden/>
            <w:szCs w:val="24"/>
            <w:lang w:val="ro-RO"/>
          </w:rPr>
          <w:instrText xml:space="preserve"> PAGEREF _Toc526889722 \h </w:instrText>
        </w:r>
        <w:r w:rsidR="00A96DD2" w:rsidRPr="00EA1BB2">
          <w:rPr>
            <w:rFonts w:ascii="Cambria" w:hAnsi="Cambria"/>
            <w:noProof/>
            <w:webHidden/>
            <w:szCs w:val="24"/>
            <w:lang w:val="ro-RO"/>
          </w:rPr>
        </w:r>
        <w:r w:rsidR="00A96DD2" w:rsidRPr="00EA1BB2">
          <w:rPr>
            <w:rFonts w:ascii="Cambria" w:hAnsi="Cambria"/>
            <w:noProof/>
            <w:webHidden/>
            <w:szCs w:val="24"/>
            <w:lang w:val="ro-RO"/>
          </w:rPr>
          <w:fldChar w:fldCharType="separate"/>
        </w:r>
        <w:r w:rsidR="00567555">
          <w:rPr>
            <w:rFonts w:ascii="Cambria" w:hAnsi="Cambria"/>
            <w:noProof/>
            <w:webHidden/>
            <w:szCs w:val="24"/>
            <w:lang w:val="ro-RO"/>
          </w:rPr>
          <w:t>78</w:t>
        </w:r>
        <w:r w:rsidR="00A96DD2" w:rsidRPr="00EA1BB2">
          <w:rPr>
            <w:rFonts w:ascii="Cambria" w:hAnsi="Cambria"/>
            <w:noProof/>
            <w:webHidden/>
            <w:szCs w:val="24"/>
            <w:lang w:val="ro-RO"/>
          </w:rPr>
          <w:fldChar w:fldCharType="end"/>
        </w:r>
      </w:hyperlink>
    </w:p>
    <w:p w14:paraId="09A7EA6A" w14:textId="51CA2E75" w:rsidR="00A96DD2" w:rsidRPr="00EA1BB2" w:rsidRDefault="009A1372" w:rsidP="00A96DD2">
      <w:pPr>
        <w:pStyle w:val="TOC3"/>
        <w:tabs>
          <w:tab w:val="left" w:pos="1320"/>
          <w:tab w:val="right" w:leader="dot" w:pos="9060"/>
        </w:tabs>
        <w:jc w:val="both"/>
        <w:rPr>
          <w:rFonts w:ascii="Cambria" w:eastAsiaTheme="minorEastAsia" w:hAnsi="Cambria"/>
          <w:noProof/>
          <w:sz w:val="24"/>
          <w:szCs w:val="24"/>
          <w:lang w:val="ro-RO"/>
        </w:rPr>
      </w:pPr>
      <w:hyperlink w:anchor="_Toc526889723" w:history="1">
        <w:r w:rsidR="00A96DD2" w:rsidRPr="00EA1BB2">
          <w:rPr>
            <w:rStyle w:val="Hyperlink"/>
            <w:rFonts w:ascii="Cambria" w:eastAsia="Times New Roman" w:hAnsi="Cambria" w:cs="Times New Roman"/>
            <w:noProof/>
            <w:sz w:val="24"/>
            <w:szCs w:val="24"/>
            <w:lang w:val="ro-RO"/>
          </w:rPr>
          <w:t>3.3.2.</w:t>
        </w:r>
        <w:r w:rsidR="00A96DD2" w:rsidRPr="00EA1BB2">
          <w:rPr>
            <w:rFonts w:ascii="Cambria" w:eastAsiaTheme="minorEastAsia" w:hAnsi="Cambria"/>
            <w:noProof/>
            <w:sz w:val="24"/>
            <w:szCs w:val="24"/>
            <w:lang w:val="ro-RO"/>
          </w:rPr>
          <w:tab/>
        </w:r>
        <w:r w:rsidR="00A96DD2" w:rsidRPr="00EA1BB2">
          <w:rPr>
            <w:rStyle w:val="Hyperlink"/>
            <w:rFonts w:ascii="Cambria" w:eastAsia="Times New Roman" w:hAnsi="Cambria" w:cs="Times New Roman"/>
            <w:noProof/>
            <w:sz w:val="24"/>
            <w:szCs w:val="24"/>
            <w:lang w:val="ro-RO"/>
          </w:rPr>
          <w:t>Inventarul local de emisii în anul de referință 2013</w:t>
        </w:r>
        <w:r w:rsidR="00A96DD2" w:rsidRPr="00EA1BB2">
          <w:rPr>
            <w:rFonts w:ascii="Cambria" w:hAnsi="Cambria"/>
            <w:noProof/>
            <w:webHidden/>
            <w:sz w:val="24"/>
            <w:szCs w:val="24"/>
            <w:lang w:val="ro-RO"/>
          </w:rPr>
          <w:tab/>
        </w:r>
        <w:r w:rsidR="00A96DD2" w:rsidRPr="00EA1BB2">
          <w:rPr>
            <w:rFonts w:ascii="Cambria" w:hAnsi="Cambria"/>
            <w:noProof/>
            <w:webHidden/>
            <w:sz w:val="24"/>
            <w:szCs w:val="24"/>
            <w:lang w:val="ro-RO"/>
          </w:rPr>
          <w:fldChar w:fldCharType="begin"/>
        </w:r>
        <w:r w:rsidR="00A96DD2" w:rsidRPr="00EA1BB2">
          <w:rPr>
            <w:rFonts w:ascii="Cambria" w:hAnsi="Cambria"/>
            <w:noProof/>
            <w:webHidden/>
            <w:sz w:val="24"/>
            <w:szCs w:val="24"/>
            <w:lang w:val="ro-RO"/>
          </w:rPr>
          <w:instrText xml:space="preserve"> PAGEREF _Toc526889723 \h </w:instrText>
        </w:r>
        <w:r w:rsidR="00A96DD2" w:rsidRPr="00EA1BB2">
          <w:rPr>
            <w:rFonts w:ascii="Cambria" w:hAnsi="Cambria"/>
            <w:noProof/>
            <w:webHidden/>
            <w:sz w:val="24"/>
            <w:szCs w:val="24"/>
            <w:lang w:val="ro-RO"/>
          </w:rPr>
        </w:r>
        <w:r w:rsidR="00A96DD2" w:rsidRPr="00EA1BB2">
          <w:rPr>
            <w:rFonts w:ascii="Cambria" w:hAnsi="Cambria"/>
            <w:noProof/>
            <w:webHidden/>
            <w:sz w:val="24"/>
            <w:szCs w:val="24"/>
            <w:lang w:val="ro-RO"/>
          </w:rPr>
          <w:fldChar w:fldCharType="separate"/>
        </w:r>
        <w:r w:rsidR="00567555">
          <w:rPr>
            <w:rFonts w:ascii="Cambria" w:hAnsi="Cambria"/>
            <w:noProof/>
            <w:webHidden/>
            <w:sz w:val="24"/>
            <w:szCs w:val="24"/>
            <w:lang w:val="ro-RO"/>
          </w:rPr>
          <w:t>79</w:t>
        </w:r>
        <w:r w:rsidR="00A96DD2" w:rsidRPr="00EA1BB2">
          <w:rPr>
            <w:rFonts w:ascii="Cambria" w:hAnsi="Cambria"/>
            <w:noProof/>
            <w:webHidden/>
            <w:sz w:val="24"/>
            <w:szCs w:val="24"/>
            <w:lang w:val="ro-RO"/>
          </w:rPr>
          <w:fldChar w:fldCharType="end"/>
        </w:r>
      </w:hyperlink>
    </w:p>
    <w:p w14:paraId="09D8913E" w14:textId="48C212D8" w:rsidR="00A96DD2" w:rsidRPr="00EA1BB2" w:rsidRDefault="009A1372" w:rsidP="00A96DD2">
      <w:pPr>
        <w:pStyle w:val="TOC2"/>
        <w:tabs>
          <w:tab w:val="left" w:pos="880"/>
          <w:tab w:val="right" w:leader="dot" w:pos="9060"/>
        </w:tabs>
        <w:jc w:val="both"/>
        <w:rPr>
          <w:rFonts w:ascii="Cambria" w:eastAsiaTheme="minorEastAsia" w:hAnsi="Cambria"/>
          <w:noProof/>
          <w:szCs w:val="24"/>
          <w:lang w:val="ro-RO"/>
        </w:rPr>
      </w:pPr>
      <w:hyperlink w:anchor="_Toc526889724" w:history="1">
        <w:r w:rsidR="00A96DD2" w:rsidRPr="00EA1BB2">
          <w:rPr>
            <w:rStyle w:val="Hyperlink"/>
            <w:rFonts w:ascii="Cambria" w:eastAsia="Times New Roman" w:hAnsi="Cambria"/>
            <w:noProof/>
            <w:szCs w:val="24"/>
            <w:lang w:val="ro-RO"/>
          </w:rPr>
          <w:t>3.4.</w:t>
        </w:r>
        <w:r w:rsidR="00A96DD2" w:rsidRPr="00EA1BB2">
          <w:rPr>
            <w:rFonts w:ascii="Cambria" w:eastAsiaTheme="minorEastAsia" w:hAnsi="Cambria"/>
            <w:noProof/>
            <w:szCs w:val="24"/>
            <w:lang w:val="ro-RO"/>
          </w:rPr>
          <w:tab/>
        </w:r>
        <w:r w:rsidR="00A96DD2" w:rsidRPr="00EA1BB2">
          <w:rPr>
            <w:rStyle w:val="Hyperlink"/>
            <w:rFonts w:ascii="Cambria" w:eastAsia="Times New Roman" w:hAnsi="Cambria"/>
            <w:noProof/>
            <w:szCs w:val="24"/>
            <w:lang w:val="ro-RO"/>
          </w:rPr>
          <w:t>Evaluarea nivelului de fond regional total, natural și transfrontier</w:t>
        </w:r>
        <w:r w:rsidR="00A96DD2" w:rsidRPr="00EA1BB2">
          <w:rPr>
            <w:rFonts w:ascii="Cambria" w:hAnsi="Cambria"/>
            <w:noProof/>
            <w:webHidden/>
            <w:szCs w:val="24"/>
            <w:lang w:val="ro-RO"/>
          </w:rPr>
          <w:tab/>
        </w:r>
        <w:r w:rsidR="00A96DD2" w:rsidRPr="00EA1BB2">
          <w:rPr>
            <w:rFonts w:ascii="Cambria" w:hAnsi="Cambria"/>
            <w:noProof/>
            <w:webHidden/>
            <w:szCs w:val="24"/>
            <w:lang w:val="ro-RO"/>
          </w:rPr>
          <w:fldChar w:fldCharType="begin"/>
        </w:r>
        <w:r w:rsidR="00A96DD2" w:rsidRPr="00EA1BB2">
          <w:rPr>
            <w:rFonts w:ascii="Cambria" w:hAnsi="Cambria"/>
            <w:noProof/>
            <w:webHidden/>
            <w:szCs w:val="24"/>
            <w:lang w:val="ro-RO"/>
          </w:rPr>
          <w:instrText xml:space="preserve"> PAGEREF _Toc526889724 \h </w:instrText>
        </w:r>
        <w:r w:rsidR="00A96DD2" w:rsidRPr="00EA1BB2">
          <w:rPr>
            <w:rFonts w:ascii="Cambria" w:hAnsi="Cambria"/>
            <w:noProof/>
            <w:webHidden/>
            <w:szCs w:val="24"/>
            <w:lang w:val="ro-RO"/>
          </w:rPr>
        </w:r>
        <w:r w:rsidR="00A96DD2" w:rsidRPr="00EA1BB2">
          <w:rPr>
            <w:rFonts w:ascii="Cambria" w:hAnsi="Cambria"/>
            <w:noProof/>
            <w:webHidden/>
            <w:szCs w:val="24"/>
            <w:lang w:val="ro-RO"/>
          </w:rPr>
          <w:fldChar w:fldCharType="separate"/>
        </w:r>
        <w:r w:rsidR="00567555">
          <w:rPr>
            <w:rFonts w:ascii="Cambria" w:hAnsi="Cambria"/>
            <w:noProof/>
            <w:webHidden/>
            <w:szCs w:val="24"/>
            <w:lang w:val="ro-RO"/>
          </w:rPr>
          <w:t>81</w:t>
        </w:r>
        <w:r w:rsidR="00A96DD2" w:rsidRPr="00EA1BB2">
          <w:rPr>
            <w:rFonts w:ascii="Cambria" w:hAnsi="Cambria"/>
            <w:noProof/>
            <w:webHidden/>
            <w:szCs w:val="24"/>
            <w:lang w:val="ro-RO"/>
          </w:rPr>
          <w:fldChar w:fldCharType="end"/>
        </w:r>
      </w:hyperlink>
    </w:p>
    <w:p w14:paraId="5448BBDB" w14:textId="05217227" w:rsidR="00A96DD2" w:rsidRPr="00EA1BB2" w:rsidRDefault="009A1372" w:rsidP="00A96DD2">
      <w:pPr>
        <w:pStyle w:val="TOC2"/>
        <w:tabs>
          <w:tab w:val="left" w:pos="880"/>
          <w:tab w:val="right" w:leader="dot" w:pos="9060"/>
        </w:tabs>
        <w:jc w:val="both"/>
        <w:rPr>
          <w:rFonts w:ascii="Cambria" w:eastAsiaTheme="minorEastAsia" w:hAnsi="Cambria"/>
          <w:noProof/>
          <w:szCs w:val="24"/>
          <w:lang w:val="ro-RO"/>
        </w:rPr>
      </w:pPr>
      <w:hyperlink w:anchor="_Toc526889725" w:history="1">
        <w:r w:rsidR="00A96DD2" w:rsidRPr="00EA1BB2">
          <w:rPr>
            <w:rStyle w:val="Hyperlink"/>
            <w:rFonts w:ascii="Cambria" w:eastAsia="Times New Roman" w:hAnsi="Cambria"/>
            <w:noProof/>
            <w:szCs w:val="24"/>
            <w:lang w:val="ro-RO"/>
          </w:rPr>
          <w:t>3.5.</w:t>
        </w:r>
        <w:r w:rsidR="00A96DD2" w:rsidRPr="00EA1BB2">
          <w:rPr>
            <w:rFonts w:ascii="Cambria" w:eastAsiaTheme="minorEastAsia" w:hAnsi="Cambria"/>
            <w:noProof/>
            <w:szCs w:val="24"/>
            <w:lang w:val="ro-RO"/>
          </w:rPr>
          <w:tab/>
        </w:r>
        <w:r w:rsidR="00A96DD2" w:rsidRPr="00EA1BB2">
          <w:rPr>
            <w:rStyle w:val="Hyperlink"/>
            <w:rFonts w:ascii="Cambria" w:eastAsia="Times New Roman" w:hAnsi="Cambria"/>
            <w:noProof/>
            <w:szCs w:val="24"/>
            <w:lang w:val="ro-RO"/>
          </w:rPr>
          <w:t>Evaluarea nivelului de fond urban: total, trafic, industrie, inclusiv producția de energie termică și electrică, agricultură, surse comerciale și rezidențiale, echipamente mobile off-road, transfrontier</w:t>
        </w:r>
        <w:r w:rsidR="00A96DD2" w:rsidRPr="00EA1BB2">
          <w:rPr>
            <w:rFonts w:ascii="Cambria" w:hAnsi="Cambria"/>
            <w:noProof/>
            <w:webHidden/>
            <w:szCs w:val="24"/>
            <w:lang w:val="ro-RO"/>
          </w:rPr>
          <w:tab/>
        </w:r>
        <w:r w:rsidR="00A96DD2" w:rsidRPr="00EA1BB2">
          <w:rPr>
            <w:rFonts w:ascii="Cambria" w:hAnsi="Cambria"/>
            <w:noProof/>
            <w:webHidden/>
            <w:szCs w:val="24"/>
            <w:lang w:val="ro-RO"/>
          </w:rPr>
          <w:fldChar w:fldCharType="begin"/>
        </w:r>
        <w:r w:rsidR="00A96DD2" w:rsidRPr="00EA1BB2">
          <w:rPr>
            <w:rFonts w:ascii="Cambria" w:hAnsi="Cambria"/>
            <w:noProof/>
            <w:webHidden/>
            <w:szCs w:val="24"/>
            <w:lang w:val="ro-RO"/>
          </w:rPr>
          <w:instrText xml:space="preserve"> PAGEREF _Toc526889725 \h </w:instrText>
        </w:r>
        <w:r w:rsidR="00A96DD2" w:rsidRPr="00EA1BB2">
          <w:rPr>
            <w:rFonts w:ascii="Cambria" w:hAnsi="Cambria"/>
            <w:noProof/>
            <w:webHidden/>
            <w:szCs w:val="24"/>
            <w:lang w:val="ro-RO"/>
          </w:rPr>
        </w:r>
        <w:r w:rsidR="00A96DD2" w:rsidRPr="00EA1BB2">
          <w:rPr>
            <w:rFonts w:ascii="Cambria" w:hAnsi="Cambria"/>
            <w:noProof/>
            <w:webHidden/>
            <w:szCs w:val="24"/>
            <w:lang w:val="ro-RO"/>
          </w:rPr>
          <w:fldChar w:fldCharType="separate"/>
        </w:r>
        <w:r w:rsidR="00567555">
          <w:rPr>
            <w:rFonts w:ascii="Cambria" w:hAnsi="Cambria"/>
            <w:noProof/>
            <w:webHidden/>
            <w:szCs w:val="24"/>
            <w:lang w:val="ro-RO"/>
          </w:rPr>
          <w:t>82</w:t>
        </w:r>
        <w:r w:rsidR="00A96DD2" w:rsidRPr="00EA1BB2">
          <w:rPr>
            <w:rFonts w:ascii="Cambria" w:hAnsi="Cambria"/>
            <w:noProof/>
            <w:webHidden/>
            <w:szCs w:val="24"/>
            <w:lang w:val="ro-RO"/>
          </w:rPr>
          <w:fldChar w:fldCharType="end"/>
        </w:r>
      </w:hyperlink>
    </w:p>
    <w:p w14:paraId="055BB394" w14:textId="787A8667" w:rsidR="00A96DD2" w:rsidRPr="00EA1BB2" w:rsidRDefault="009A1372" w:rsidP="00A96DD2">
      <w:pPr>
        <w:pStyle w:val="TOC2"/>
        <w:tabs>
          <w:tab w:val="left" w:pos="880"/>
          <w:tab w:val="right" w:leader="dot" w:pos="9060"/>
        </w:tabs>
        <w:jc w:val="both"/>
        <w:rPr>
          <w:rFonts w:ascii="Cambria" w:eastAsiaTheme="minorEastAsia" w:hAnsi="Cambria"/>
          <w:noProof/>
          <w:szCs w:val="24"/>
          <w:lang w:val="ro-RO"/>
        </w:rPr>
      </w:pPr>
      <w:hyperlink w:anchor="_Toc526889726" w:history="1">
        <w:r w:rsidR="00A96DD2" w:rsidRPr="00EA1BB2">
          <w:rPr>
            <w:rStyle w:val="Hyperlink"/>
            <w:rFonts w:ascii="Cambria" w:eastAsia="Times New Roman" w:hAnsi="Cambria"/>
            <w:noProof/>
            <w:szCs w:val="24"/>
            <w:lang w:val="ro-RO"/>
          </w:rPr>
          <w:t>3.6.</w:t>
        </w:r>
        <w:r w:rsidR="00A96DD2" w:rsidRPr="00EA1BB2">
          <w:rPr>
            <w:rFonts w:ascii="Cambria" w:eastAsiaTheme="minorEastAsia" w:hAnsi="Cambria"/>
            <w:noProof/>
            <w:szCs w:val="24"/>
            <w:lang w:val="ro-RO"/>
          </w:rPr>
          <w:tab/>
        </w:r>
        <w:r w:rsidR="00A96DD2" w:rsidRPr="00EA1BB2">
          <w:rPr>
            <w:rStyle w:val="Hyperlink"/>
            <w:rFonts w:ascii="Cambria" w:eastAsia="Times New Roman" w:hAnsi="Cambria"/>
            <w:noProof/>
            <w:szCs w:val="24"/>
            <w:lang w:val="ro-RO"/>
          </w:rPr>
          <w:t>Evaluarea nivelului de fond local: total, trafic, industrie, inclusiv producția de energie termică și electrică, agricultură, surse comerciale și rezidențiale, echipamente mobile off-road, transfrontier</w:t>
        </w:r>
        <w:r w:rsidR="00A96DD2" w:rsidRPr="00EA1BB2">
          <w:rPr>
            <w:rFonts w:ascii="Cambria" w:hAnsi="Cambria"/>
            <w:noProof/>
            <w:webHidden/>
            <w:szCs w:val="24"/>
            <w:lang w:val="ro-RO"/>
          </w:rPr>
          <w:tab/>
        </w:r>
        <w:r w:rsidR="00A96DD2" w:rsidRPr="00EA1BB2">
          <w:rPr>
            <w:rFonts w:ascii="Cambria" w:hAnsi="Cambria"/>
            <w:noProof/>
            <w:webHidden/>
            <w:szCs w:val="24"/>
            <w:lang w:val="ro-RO"/>
          </w:rPr>
          <w:fldChar w:fldCharType="begin"/>
        </w:r>
        <w:r w:rsidR="00A96DD2" w:rsidRPr="00EA1BB2">
          <w:rPr>
            <w:rFonts w:ascii="Cambria" w:hAnsi="Cambria"/>
            <w:noProof/>
            <w:webHidden/>
            <w:szCs w:val="24"/>
            <w:lang w:val="ro-RO"/>
          </w:rPr>
          <w:instrText xml:space="preserve"> PAGEREF _Toc526889726 \h </w:instrText>
        </w:r>
        <w:r w:rsidR="00A96DD2" w:rsidRPr="00EA1BB2">
          <w:rPr>
            <w:rFonts w:ascii="Cambria" w:hAnsi="Cambria"/>
            <w:noProof/>
            <w:webHidden/>
            <w:szCs w:val="24"/>
            <w:lang w:val="ro-RO"/>
          </w:rPr>
        </w:r>
        <w:r w:rsidR="00A96DD2" w:rsidRPr="00EA1BB2">
          <w:rPr>
            <w:rFonts w:ascii="Cambria" w:hAnsi="Cambria"/>
            <w:noProof/>
            <w:webHidden/>
            <w:szCs w:val="24"/>
            <w:lang w:val="ro-RO"/>
          </w:rPr>
          <w:fldChar w:fldCharType="separate"/>
        </w:r>
        <w:r w:rsidR="00567555">
          <w:rPr>
            <w:rFonts w:ascii="Cambria" w:hAnsi="Cambria"/>
            <w:noProof/>
            <w:webHidden/>
            <w:szCs w:val="24"/>
            <w:lang w:val="ro-RO"/>
          </w:rPr>
          <w:t>86</w:t>
        </w:r>
        <w:r w:rsidR="00A96DD2" w:rsidRPr="00EA1BB2">
          <w:rPr>
            <w:rFonts w:ascii="Cambria" w:hAnsi="Cambria"/>
            <w:noProof/>
            <w:webHidden/>
            <w:szCs w:val="24"/>
            <w:lang w:val="ro-RO"/>
          </w:rPr>
          <w:fldChar w:fldCharType="end"/>
        </w:r>
      </w:hyperlink>
    </w:p>
    <w:p w14:paraId="2A04E146" w14:textId="3322B95F" w:rsidR="00A96DD2" w:rsidRPr="00EA1BB2" w:rsidRDefault="009A1372" w:rsidP="00A96DD2">
      <w:pPr>
        <w:pStyle w:val="TOC2"/>
        <w:tabs>
          <w:tab w:val="left" w:pos="880"/>
          <w:tab w:val="right" w:leader="dot" w:pos="9060"/>
        </w:tabs>
        <w:jc w:val="both"/>
        <w:rPr>
          <w:rFonts w:ascii="Cambria" w:eastAsiaTheme="minorEastAsia" w:hAnsi="Cambria"/>
          <w:noProof/>
          <w:szCs w:val="24"/>
          <w:lang w:val="ro-RO"/>
        </w:rPr>
      </w:pPr>
      <w:hyperlink w:anchor="_Toc526889727" w:history="1">
        <w:r w:rsidR="00A96DD2" w:rsidRPr="00EA1BB2">
          <w:rPr>
            <w:rStyle w:val="Hyperlink"/>
            <w:rFonts w:ascii="Cambria" w:eastAsia="Times New Roman" w:hAnsi="Cambria"/>
            <w:noProof/>
            <w:szCs w:val="24"/>
            <w:lang w:val="ro-RO"/>
          </w:rPr>
          <w:t>3.7.</w:t>
        </w:r>
        <w:r w:rsidR="00A96DD2" w:rsidRPr="00EA1BB2">
          <w:rPr>
            <w:rFonts w:ascii="Cambria" w:eastAsiaTheme="minorEastAsia" w:hAnsi="Cambria"/>
            <w:noProof/>
            <w:szCs w:val="24"/>
            <w:lang w:val="ro-RO"/>
          </w:rPr>
          <w:tab/>
        </w:r>
        <w:r w:rsidR="00A96DD2" w:rsidRPr="00EA1BB2">
          <w:rPr>
            <w:rStyle w:val="Hyperlink"/>
            <w:rFonts w:ascii="Cambria" w:eastAsia="Times New Roman" w:hAnsi="Cambria"/>
            <w:noProof/>
            <w:szCs w:val="24"/>
            <w:lang w:val="ro-RO"/>
          </w:rPr>
          <w:t>Caracterizarea indicatorilor pentru care se elaborează planul de menținere a calității aerului</w:t>
        </w:r>
        <w:r w:rsidR="00A96DD2" w:rsidRPr="00EA1BB2">
          <w:rPr>
            <w:rFonts w:ascii="Cambria" w:hAnsi="Cambria"/>
            <w:noProof/>
            <w:webHidden/>
            <w:szCs w:val="24"/>
            <w:lang w:val="ro-RO"/>
          </w:rPr>
          <w:tab/>
        </w:r>
        <w:r w:rsidR="00A96DD2" w:rsidRPr="00EA1BB2">
          <w:rPr>
            <w:rFonts w:ascii="Cambria" w:hAnsi="Cambria"/>
            <w:noProof/>
            <w:webHidden/>
            <w:szCs w:val="24"/>
            <w:lang w:val="ro-RO"/>
          </w:rPr>
          <w:fldChar w:fldCharType="begin"/>
        </w:r>
        <w:r w:rsidR="00A96DD2" w:rsidRPr="00EA1BB2">
          <w:rPr>
            <w:rFonts w:ascii="Cambria" w:hAnsi="Cambria"/>
            <w:noProof/>
            <w:webHidden/>
            <w:szCs w:val="24"/>
            <w:lang w:val="ro-RO"/>
          </w:rPr>
          <w:instrText xml:space="preserve"> PAGEREF _Toc526889727 \h </w:instrText>
        </w:r>
        <w:r w:rsidR="00A96DD2" w:rsidRPr="00EA1BB2">
          <w:rPr>
            <w:rFonts w:ascii="Cambria" w:hAnsi="Cambria"/>
            <w:noProof/>
            <w:webHidden/>
            <w:szCs w:val="24"/>
            <w:lang w:val="ro-RO"/>
          </w:rPr>
        </w:r>
        <w:r w:rsidR="00A96DD2" w:rsidRPr="00EA1BB2">
          <w:rPr>
            <w:rFonts w:ascii="Cambria" w:hAnsi="Cambria"/>
            <w:noProof/>
            <w:webHidden/>
            <w:szCs w:val="24"/>
            <w:lang w:val="ro-RO"/>
          </w:rPr>
          <w:fldChar w:fldCharType="separate"/>
        </w:r>
        <w:r w:rsidR="00567555">
          <w:rPr>
            <w:rFonts w:ascii="Cambria" w:hAnsi="Cambria"/>
            <w:noProof/>
            <w:webHidden/>
            <w:szCs w:val="24"/>
            <w:lang w:val="ro-RO"/>
          </w:rPr>
          <w:t>90</w:t>
        </w:r>
        <w:r w:rsidR="00A96DD2" w:rsidRPr="00EA1BB2">
          <w:rPr>
            <w:rFonts w:ascii="Cambria" w:hAnsi="Cambria"/>
            <w:noProof/>
            <w:webHidden/>
            <w:szCs w:val="24"/>
            <w:lang w:val="ro-RO"/>
          </w:rPr>
          <w:fldChar w:fldCharType="end"/>
        </w:r>
      </w:hyperlink>
    </w:p>
    <w:p w14:paraId="1843103A" w14:textId="4A2A2090" w:rsidR="00A96DD2" w:rsidRPr="00EA1BB2" w:rsidRDefault="009A1372" w:rsidP="00A96DD2">
      <w:pPr>
        <w:pStyle w:val="TOC3"/>
        <w:tabs>
          <w:tab w:val="left" w:pos="1320"/>
          <w:tab w:val="right" w:leader="dot" w:pos="9060"/>
        </w:tabs>
        <w:jc w:val="both"/>
        <w:rPr>
          <w:rFonts w:ascii="Cambria" w:eastAsiaTheme="minorEastAsia" w:hAnsi="Cambria"/>
          <w:noProof/>
          <w:sz w:val="24"/>
          <w:szCs w:val="24"/>
          <w:lang w:val="ro-RO"/>
        </w:rPr>
      </w:pPr>
      <w:hyperlink w:anchor="_Toc526889728" w:history="1">
        <w:r w:rsidR="00A96DD2" w:rsidRPr="00EA1BB2">
          <w:rPr>
            <w:rStyle w:val="Hyperlink"/>
            <w:rFonts w:ascii="Cambria" w:eastAsia="Times New Roman" w:hAnsi="Cambria" w:cs="Times New Roman"/>
            <w:noProof/>
            <w:sz w:val="24"/>
            <w:szCs w:val="24"/>
            <w:lang w:val="ro-RO"/>
          </w:rPr>
          <w:t>3.7.1.</w:t>
        </w:r>
        <w:r w:rsidR="00A96DD2" w:rsidRPr="00EA1BB2">
          <w:rPr>
            <w:rFonts w:ascii="Cambria" w:eastAsiaTheme="minorEastAsia" w:hAnsi="Cambria"/>
            <w:noProof/>
            <w:sz w:val="24"/>
            <w:szCs w:val="24"/>
            <w:lang w:val="ro-RO"/>
          </w:rPr>
          <w:tab/>
        </w:r>
        <w:r w:rsidR="00A96DD2" w:rsidRPr="00EA1BB2">
          <w:rPr>
            <w:rStyle w:val="Hyperlink"/>
            <w:rFonts w:ascii="Cambria" w:eastAsia="Times New Roman" w:hAnsi="Cambria" w:cs="Times New Roman"/>
            <w:noProof/>
            <w:sz w:val="24"/>
            <w:szCs w:val="24"/>
            <w:lang w:val="ro-RO"/>
          </w:rPr>
          <w:t>Caracteristici generale, norme și metode de măsurare</w:t>
        </w:r>
        <w:r w:rsidR="00A96DD2" w:rsidRPr="00EA1BB2">
          <w:rPr>
            <w:rFonts w:ascii="Cambria" w:hAnsi="Cambria"/>
            <w:noProof/>
            <w:webHidden/>
            <w:sz w:val="24"/>
            <w:szCs w:val="24"/>
            <w:lang w:val="ro-RO"/>
          </w:rPr>
          <w:tab/>
        </w:r>
        <w:r w:rsidR="00A96DD2" w:rsidRPr="00EA1BB2">
          <w:rPr>
            <w:rFonts w:ascii="Cambria" w:hAnsi="Cambria"/>
            <w:noProof/>
            <w:webHidden/>
            <w:sz w:val="24"/>
            <w:szCs w:val="24"/>
            <w:lang w:val="ro-RO"/>
          </w:rPr>
          <w:fldChar w:fldCharType="begin"/>
        </w:r>
        <w:r w:rsidR="00A96DD2" w:rsidRPr="00EA1BB2">
          <w:rPr>
            <w:rFonts w:ascii="Cambria" w:hAnsi="Cambria"/>
            <w:noProof/>
            <w:webHidden/>
            <w:sz w:val="24"/>
            <w:szCs w:val="24"/>
            <w:lang w:val="ro-RO"/>
          </w:rPr>
          <w:instrText xml:space="preserve"> PAGEREF _Toc526889728 \h </w:instrText>
        </w:r>
        <w:r w:rsidR="00A96DD2" w:rsidRPr="00EA1BB2">
          <w:rPr>
            <w:rFonts w:ascii="Cambria" w:hAnsi="Cambria"/>
            <w:noProof/>
            <w:webHidden/>
            <w:sz w:val="24"/>
            <w:szCs w:val="24"/>
            <w:lang w:val="ro-RO"/>
          </w:rPr>
        </w:r>
        <w:r w:rsidR="00A96DD2" w:rsidRPr="00EA1BB2">
          <w:rPr>
            <w:rFonts w:ascii="Cambria" w:hAnsi="Cambria"/>
            <w:noProof/>
            <w:webHidden/>
            <w:sz w:val="24"/>
            <w:szCs w:val="24"/>
            <w:lang w:val="ro-RO"/>
          </w:rPr>
          <w:fldChar w:fldCharType="separate"/>
        </w:r>
        <w:r w:rsidR="00567555">
          <w:rPr>
            <w:rFonts w:ascii="Cambria" w:hAnsi="Cambria"/>
            <w:noProof/>
            <w:webHidden/>
            <w:sz w:val="24"/>
            <w:szCs w:val="24"/>
            <w:lang w:val="ro-RO"/>
          </w:rPr>
          <w:t>90</w:t>
        </w:r>
        <w:r w:rsidR="00A96DD2" w:rsidRPr="00EA1BB2">
          <w:rPr>
            <w:rFonts w:ascii="Cambria" w:hAnsi="Cambria"/>
            <w:noProof/>
            <w:webHidden/>
            <w:sz w:val="24"/>
            <w:szCs w:val="24"/>
            <w:lang w:val="ro-RO"/>
          </w:rPr>
          <w:fldChar w:fldCharType="end"/>
        </w:r>
      </w:hyperlink>
    </w:p>
    <w:p w14:paraId="5FD233B8" w14:textId="49A4086E" w:rsidR="00A96DD2" w:rsidRPr="00EA1BB2" w:rsidRDefault="009A1372" w:rsidP="00A96DD2">
      <w:pPr>
        <w:pStyle w:val="TOC4"/>
        <w:tabs>
          <w:tab w:val="left" w:pos="1760"/>
          <w:tab w:val="right" w:leader="dot" w:pos="9060"/>
        </w:tabs>
        <w:jc w:val="both"/>
        <w:rPr>
          <w:rFonts w:ascii="Cambria" w:eastAsiaTheme="minorEastAsia" w:hAnsi="Cambria"/>
          <w:noProof/>
          <w:szCs w:val="24"/>
          <w:lang w:val="ro-RO"/>
        </w:rPr>
      </w:pPr>
      <w:hyperlink w:anchor="_Toc526889729" w:history="1">
        <w:r w:rsidR="00A96DD2" w:rsidRPr="00EA1BB2">
          <w:rPr>
            <w:rStyle w:val="Hyperlink"/>
            <w:rFonts w:ascii="Cambria" w:hAnsi="Cambria"/>
            <w:noProof/>
            <w:szCs w:val="24"/>
            <w:lang w:val="ro-RO"/>
          </w:rPr>
          <w:t>3.7.1.1.</w:t>
        </w:r>
        <w:r w:rsidR="00A96DD2" w:rsidRPr="00EA1BB2">
          <w:rPr>
            <w:rFonts w:ascii="Cambria" w:eastAsiaTheme="minorEastAsia" w:hAnsi="Cambria"/>
            <w:noProof/>
            <w:szCs w:val="24"/>
            <w:lang w:val="ro-RO"/>
          </w:rPr>
          <w:tab/>
        </w:r>
        <w:r w:rsidR="00A96DD2" w:rsidRPr="00EA1BB2">
          <w:rPr>
            <w:rStyle w:val="Hyperlink"/>
            <w:rFonts w:ascii="Cambria" w:hAnsi="Cambria"/>
            <w:noProof/>
            <w:szCs w:val="24"/>
            <w:lang w:val="ro-RO"/>
          </w:rPr>
          <w:t>Dioxid de azot si oxizi de azot (NO</w:t>
        </w:r>
        <w:r w:rsidR="00A96DD2" w:rsidRPr="00EA1BB2">
          <w:rPr>
            <w:rStyle w:val="Hyperlink"/>
            <w:rFonts w:ascii="Cambria" w:hAnsi="Cambria"/>
            <w:noProof/>
            <w:szCs w:val="24"/>
            <w:vertAlign w:val="subscript"/>
            <w:lang w:val="ro-RO"/>
          </w:rPr>
          <w:t>2</w:t>
        </w:r>
        <w:r w:rsidR="00A96DD2" w:rsidRPr="00EA1BB2">
          <w:rPr>
            <w:rStyle w:val="Hyperlink"/>
            <w:rFonts w:ascii="Cambria" w:hAnsi="Cambria"/>
            <w:noProof/>
            <w:szCs w:val="24"/>
            <w:lang w:val="ro-RO"/>
          </w:rPr>
          <w:t>/NOx)</w:t>
        </w:r>
        <w:r w:rsidR="00A96DD2" w:rsidRPr="00EA1BB2">
          <w:rPr>
            <w:rFonts w:ascii="Cambria" w:hAnsi="Cambria"/>
            <w:noProof/>
            <w:webHidden/>
            <w:szCs w:val="24"/>
            <w:lang w:val="ro-RO"/>
          </w:rPr>
          <w:tab/>
        </w:r>
        <w:r w:rsidR="00A96DD2" w:rsidRPr="00EA1BB2">
          <w:rPr>
            <w:rFonts w:ascii="Cambria" w:hAnsi="Cambria"/>
            <w:noProof/>
            <w:webHidden/>
            <w:szCs w:val="24"/>
            <w:lang w:val="ro-RO"/>
          </w:rPr>
          <w:fldChar w:fldCharType="begin"/>
        </w:r>
        <w:r w:rsidR="00A96DD2" w:rsidRPr="00EA1BB2">
          <w:rPr>
            <w:rFonts w:ascii="Cambria" w:hAnsi="Cambria"/>
            <w:noProof/>
            <w:webHidden/>
            <w:szCs w:val="24"/>
            <w:lang w:val="ro-RO"/>
          </w:rPr>
          <w:instrText xml:space="preserve"> PAGEREF _Toc526889729 \h </w:instrText>
        </w:r>
        <w:r w:rsidR="00A96DD2" w:rsidRPr="00EA1BB2">
          <w:rPr>
            <w:rFonts w:ascii="Cambria" w:hAnsi="Cambria"/>
            <w:noProof/>
            <w:webHidden/>
            <w:szCs w:val="24"/>
            <w:lang w:val="ro-RO"/>
          </w:rPr>
        </w:r>
        <w:r w:rsidR="00A96DD2" w:rsidRPr="00EA1BB2">
          <w:rPr>
            <w:rFonts w:ascii="Cambria" w:hAnsi="Cambria"/>
            <w:noProof/>
            <w:webHidden/>
            <w:szCs w:val="24"/>
            <w:lang w:val="ro-RO"/>
          </w:rPr>
          <w:fldChar w:fldCharType="separate"/>
        </w:r>
        <w:r w:rsidR="00567555">
          <w:rPr>
            <w:rFonts w:ascii="Cambria" w:hAnsi="Cambria"/>
            <w:noProof/>
            <w:webHidden/>
            <w:szCs w:val="24"/>
            <w:lang w:val="ro-RO"/>
          </w:rPr>
          <w:t>90</w:t>
        </w:r>
        <w:r w:rsidR="00A96DD2" w:rsidRPr="00EA1BB2">
          <w:rPr>
            <w:rFonts w:ascii="Cambria" w:hAnsi="Cambria"/>
            <w:noProof/>
            <w:webHidden/>
            <w:szCs w:val="24"/>
            <w:lang w:val="ro-RO"/>
          </w:rPr>
          <w:fldChar w:fldCharType="end"/>
        </w:r>
      </w:hyperlink>
    </w:p>
    <w:p w14:paraId="1E1711F5" w14:textId="3645AF10" w:rsidR="00A96DD2" w:rsidRPr="00EA1BB2" w:rsidRDefault="009A1372" w:rsidP="00A96DD2">
      <w:pPr>
        <w:pStyle w:val="TOC4"/>
        <w:tabs>
          <w:tab w:val="left" w:pos="1760"/>
          <w:tab w:val="right" w:leader="dot" w:pos="9060"/>
        </w:tabs>
        <w:jc w:val="both"/>
        <w:rPr>
          <w:rFonts w:ascii="Cambria" w:eastAsiaTheme="minorEastAsia" w:hAnsi="Cambria"/>
          <w:noProof/>
          <w:szCs w:val="24"/>
          <w:lang w:val="ro-RO"/>
        </w:rPr>
      </w:pPr>
      <w:hyperlink w:anchor="_Toc526889730" w:history="1">
        <w:r w:rsidR="00A96DD2" w:rsidRPr="00EA1BB2">
          <w:rPr>
            <w:rStyle w:val="Hyperlink"/>
            <w:rFonts w:ascii="Cambria" w:hAnsi="Cambria"/>
            <w:noProof/>
            <w:szCs w:val="24"/>
            <w:lang w:val="ro-RO"/>
          </w:rPr>
          <w:t>3.7.1.2.</w:t>
        </w:r>
        <w:r w:rsidR="00A96DD2" w:rsidRPr="00EA1BB2">
          <w:rPr>
            <w:rFonts w:ascii="Cambria" w:eastAsiaTheme="minorEastAsia" w:hAnsi="Cambria"/>
            <w:noProof/>
            <w:szCs w:val="24"/>
            <w:lang w:val="ro-RO"/>
          </w:rPr>
          <w:tab/>
        </w:r>
        <w:r w:rsidR="00A96DD2" w:rsidRPr="00EA1BB2">
          <w:rPr>
            <w:rStyle w:val="Hyperlink"/>
            <w:rFonts w:ascii="Cambria" w:hAnsi="Cambria"/>
            <w:noProof/>
            <w:szCs w:val="24"/>
            <w:lang w:val="ro-RO"/>
          </w:rPr>
          <w:t>Pulberi în suspensie (PM</w:t>
        </w:r>
        <w:r w:rsidR="00A96DD2" w:rsidRPr="00EA1BB2">
          <w:rPr>
            <w:rStyle w:val="Hyperlink"/>
            <w:rFonts w:ascii="Cambria" w:hAnsi="Cambria"/>
            <w:noProof/>
            <w:szCs w:val="24"/>
            <w:vertAlign w:val="subscript"/>
            <w:lang w:val="ro-RO"/>
          </w:rPr>
          <w:t>10</w:t>
        </w:r>
        <w:r w:rsidR="00A96DD2" w:rsidRPr="00EA1BB2">
          <w:rPr>
            <w:rStyle w:val="Hyperlink"/>
            <w:rFonts w:ascii="Cambria" w:hAnsi="Cambria"/>
            <w:noProof/>
            <w:szCs w:val="24"/>
            <w:lang w:val="ro-RO"/>
          </w:rPr>
          <w:t>și PM</w:t>
        </w:r>
        <w:r w:rsidR="00A96DD2" w:rsidRPr="00EA1BB2">
          <w:rPr>
            <w:rStyle w:val="Hyperlink"/>
            <w:rFonts w:ascii="Cambria" w:hAnsi="Cambria"/>
            <w:noProof/>
            <w:szCs w:val="24"/>
            <w:vertAlign w:val="subscript"/>
            <w:lang w:val="ro-RO"/>
          </w:rPr>
          <w:t>2,5</w:t>
        </w:r>
        <w:r w:rsidR="00A96DD2" w:rsidRPr="00EA1BB2">
          <w:rPr>
            <w:rStyle w:val="Hyperlink"/>
            <w:rFonts w:ascii="Cambria" w:hAnsi="Cambria"/>
            <w:noProof/>
            <w:szCs w:val="24"/>
            <w:lang w:val="ro-RO"/>
          </w:rPr>
          <w:t>)</w:t>
        </w:r>
        <w:r w:rsidR="00A96DD2" w:rsidRPr="00EA1BB2">
          <w:rPr>
            <w:rFonts w:ascii="Cambria" w:hAnsi="Cambria"/>
            <w:noProof/>
            <w:webHidden/>
            <w:szCs w:val="24"/>
            <w:lang w:val="ro-RO"/>
          </w:rPr>
          <w:tab/>
        </w:r>
        <w:r w:rsidR="00A96DD2" w:rsidRPr="00EA1BB2">
          <w:rPr>
            <w:rFonts w:ascii="Cambria" w:hAnsi="Cambria"/>
            <w:noProof/>
            <w:webHidden/>
            <w:szCs w:val="24"/>
            <w:lang w:val="ro-RO"/>
          </w:rPr>
          <w:fldChar w:fldCharType="begin"/>
        </w:r>
        <w:r w:rsidR="00A96DD2" w:rsidRPr="00EA1BB2">
          <w:rPr>
            <w:rFonts w:ascii="Cambria" w:hAnsi="Cambria"/>
            <w:noProof/>
            <w:webHidden/>
            <w:szCs w:val="24"/>
            <w:lang w:val="ro-RO"/>
          </w:rPr>
          <w:instrText xml:space="preserve"> PAGEREF _Toc526889730 \h </w:instrText>
        </w:r>
        <w:r w:rsidR="00A96DD2" w:rsidRPr="00EA1BB2">
          <w:rPr>
            <w:rFonts w:ascii="Cambria" w:hAnsi="Cambria"/>
            <w:noProof/>
            <w:webHidden/>
            <w:szCs w:val="24"/>
            <w:lang w:val="ro-RO"/>
          </w:rPr>
        </w:r>
        <w:r w:rsidR="00A96DD2" w:rsidRPr="00EA1BB2">
          <w:rPr>
            <w:rFonts w:ascii="Cambria" w:hAnsi="Cambria"/>
            <w:noProof/>
            <w:webHidden/>
            <w:szCs w:val="24"/>
            <w:lang w:val="ro-RO"/>
          </w:rPr>
          <w:fldChar w:fldCharType="separate"/>
        </w:r>
        <w:r w:rsidR="00567555">
          <w:rPr>
            <w:rFonts w:ascii="Cambria" w:hAnsi="Cambria"/>
            <w:noProof/>
            <w:webHidden/>
            <w:szCs w:val="24"/>
            <w:lang w:val="ro-RO"/>
          </w:rPr>
          <w:t>92</w:t>
        </w:r>
        <w:r w:rsidR="00A96DD2" w:rsidRPr="00EA1BB2">
          <w:rPr>
            <w:rFonts w:ascii="Cambria" w:hAnsi="Cambria"/>
            <w:noProof/>
            <w:webHidden/>
            <w:szCs w:val="24"/>
            <w:lang w:val="ro-RO"/>
          </w:rPr>
          <w:fldChar w:fldCharType="end"/>
        </w:r>
      </w:hyperlink>
    </w:p>
    <w:p w14:paraId="76189DFF" w14:textId="530D012D" w:rsidR="00A96DD2" w:rsidRPr="00EA1BB2" w:rsidRDefault="009A1372" w:rsidP="00A96DD2">
      <w:pPr>
        <w:pStyle w:val="TOC4"/>
        <w:tabs>
          <w:tab w:val="left" w:pos="1760"/>
          <w:tab w:val="right" w:leader="dot" w:pos="9060"/>
        </w:tabs>
        <w:jc w:val="both"/>
        <w:rPr>
          <w:rFonts w:ascii="Cambria" w:eastAsiaTheme="minorEastAsia" w:hAnsi="Cambria"/>
          <w:noProof/>
          <w:szCs w:val="24"/>
          <w:lang w:val="ro-RO"/>
        </w:rPr>
      </w:pPr>
      <w:hyperlink w:anchor="_Toc526889731" w:history="1">
        <w:r w:rsidR="00A96DD2" w:rsidRPr="00EA1BB2">
          <w:rPr>
            <w:rStyle w:val="Hyperlink"/>
            <w:rFonts w:ascii="Cambria" w:hAnsi="Cambria"/>
            <w:noProof/>
            <w:szCs w:val="24"/>
            <w:lang w:val="ro-RO"/>
          </w:rPr>
          <w:t>3.7.1.3.</w:t>
        </w:r>
        <w:r w:rsidR="00A96DD2" w:rsidRPr="00EA1BB2">
          <w:rPr>
            <w:rFonts w:ascii="Cambria" w:eastAsiaTheme="minorEastAsia" w:hAnsi="Cambria"/>
            <w:noProof/>
            <w:szCs w:val="24"/>
            <w:lang w:val="ro-RO"/>
          </w:rPr>
          <w:tab/>
        </w:r>
        <w:r w:rsidR="00A96DD2" w:rsidRPr="00EA1BB2">
          <w:rPr>
            <w:rStyle w:val="Hyperlink"/>
            <w:rFonts w:ascii="Cambria" w:hAnsi="Cambria"/>
            <w:noProof/>
            <w:szCs w:val="24"/>
            <w:lang w:val="ro-RO"/>
          </w:rPr>
          <w:t>Benzen (C</w:t>
        </w:r>
        <w:r w:rsidR="00A96DD2" w:rsidRPr="00EA1BB2">
          <w:rPr>
            <w:rStyle w:val="Hyperlink"/>
            <w:rFonts w:ascii="Cambria" w:hAnsi="Cambria"/>
            <w:noProof/>
            <w:szCs w:val="24"/>
            <w:vertAlign w:val="subscript"/>
            <w:lang w:val="ro-RO"/>
          </w:rPr>
          <w:t>6</w:t>
        </w:r>
        <w:r w:rsidR="00A96DD2" w:rsidRPr="00EA1BB2">
          <w:rPr>
            <w:rStyle w:val="Hyperlink"/>
            <w:rFonts w:ascii="Cambria" w:hAnsi="Cambria"/>
            <w:noProof/>
            <w:szCs w:val="24"/>
            <w:lang w:val="ro-RO"/>
          </w:rPr>
          <w:t>H</w:t>
        </w:r>
        <w:r w:rsidR="00A96DD2" w:rsidRPr="00EA1BB2">
          <w:rPr>
            <w:rStyle w:val="Hyperlink"/>
            <w:rFonts w:ascii="Cambria" w:hAnsi="Cambria"/>
            <w:noProof/>
            <w:szCs w:val="24"/>
            <w:vertAlign w:val="subscript"/>
            <w:lang w:val="ro-RO"/>
          </w:rPr>
          <w:t>6</w:t>
        </w:r>
        <w:r w:rsidR="00A96DD2" w:rsidRPr="00EA1BB2">
          <w:rPr>
            <w:rStyle w:val="Hyperlink"/>
            <w:rFonts w:ascii="Cambria" w:hAnsi="Cambria"/>
            <w:noProof/>
            <w:szCs w:val="24"/>
            <w:lang w:val="ro-RO"/>
          </w:rPr>
          <w:t>)</w:t>
        </w:r>
        <w:r w:rsidR="00A96DD2" w:rsidRPr="00EA1BB2">
          <w:rPr>
            <w:rFonts w:ascii="Cambria" w:hAnsi="Cambria"/>
            <w:noProof/>
            <w:webHidden/>
            <w:szCs w:val="24"/>
            <w:lang w:val="ro-RO"/>
          </w:rPr>
          <w:tab/>
        </w:r>
        <w:r w:rsidR="00A96DD2" w:rsidRPr="00EA1BB2">
          <w:rPr>
            <w:rFonts w:ascii="Cambria" w:hAnsi="Cambria"/>
            <w:noProof/>
            <w:webHidden/>
            <w:szCs w:val="24"/>
            <w:lang w:val="ro-RO"/>
          </w:rPr>
          <w:fldChar w:fldCharType="begin"/>
        </w:r>
        <w:r w:rsidR="00A96DD2" w:rsidRPr="00EA1BB2">
          <w:rPr>
            <w:rFonts w:ascii="Cambria" w:hAnsi="Cambria"/>
            <w:noProof/>
            <w:webHidden/>
            <w:szCs w:val="24"/>
            <w:lang w:val="ro-RO"/>
          </w:rPr>
          <w:instrText xml:space="preserve"> PAGEREF _Toc526889731 \h </w:instrText>
        </w:r>
        <w:r w:rsidR="00A96DD2" w:rsidRPr="00EA1BB2">
          <w:rPr>
            <w:rFonts w:ascii="Cambria" w:hAnsi="Cambria"/>
            <w:noProof/>
            <w:webHidden/>
            <w:szCs w:val="24"/>
            <w:lang w:val="ro-RO"/>
          </w:rPr>
        </w:r>
        <w:r w:rsidR="00A96DD2" w:rsidRPr="00EA1BB2">
          <w:rPr>
            <w:rFonts w:ascii="Cambria" w:hAnsi="Cambria"/>
            <w:noProof/>
            <w:webHidden/>
            <w:szCs w:val="24"/>
            <w:lang w:val="ro-RO"/>
          </w:rPr>
          <w:fldChar w:fldCharType="separate"/>
        </w:r>
        <w:r w:rsidR="00567555">
          <w:rPr>
            <w:rFonts w:ascii="Cambria" w:hAnsi="Cambria"/>
            <w:noProof/>
            <w:webHidden/>
            <w:szCs w:val="24"/>
            <w:lang w:val="ro-RO"/>
          </w:rPr>
          <w:t>94</w:t>
        </w:r>
        <w:r w:rsidR="00A96DD2" w:rsidRPr="00EA1BB2">
          <w:rPr>
            <w:rFonts w:ascii="Cambria" w:hAnsi="Cambria"/>
            <w:noProof/>
            <w:webHidden/>
            <w:szCs w:val="24"/>
            <w:lang w:val="ro-RO"/>
          </w:rPr>
          <w:fldChar w:fldCharType="end"/>
        </w:r>
      </w:hyperlink>
    </w:p>
    <w:p w14:paraId="2972301B" w14:textId="67D4A2AF" w:rsidR="00A96DD2" w:rsidRPr="00EA1BB2" w:rsidRDefault="009A1372" w:rsidP="00A96DD2">
      <w:pPr>
        <w:pStyle w:val="TOC4"/>
        <w:tabs>
          <w:tab w:val="left" w:pos="1760"/>
          <w:tab w:val="right" w:leader="dot" w:pos="9060"/>
        </w:tabs>
        <w:jc w:val="both"/>
        <w:rPr>
          <w:rFonts w:ascii="Cambria" w:eastAsiaTheme="minorEastAsia" w:hAnsi="Cambria"/>
          <w:noProof/>
          <w:szCs w:val="24"/>
          <w:lang w:val="ro-RO"/>
        </w:rPr>
      </w:pPr>
      <w:hyperlink w:anchor="_Toc526889732" w:history="1">
        <w:r w:rsidR="00A96DD2" w:rsidRPr="00EA1BB2">
          <w:rPr>
            <w:rStyle w:val="Hyperlink"/>
            <w:rFonts w:ascii="Cambria" w:hAnsi="Cambria"/>
            <w:noProof/>
            <w:szCs w:val="24"/>
            <w:lang w:val="ro-RO"/>
          </w:rPr>
          <w:t>3.7.1.4.</w:t>
        </w:r>
        <w:r w:rsidR="00A96DD2" w:rsidRPr="00EA1BB2">
          <w:rPr>
            <w:rFonts w:ascii="Cambria" w:eastAsiaTheme="minorEastAsia" w:hAnsi="Cambria"/>
            <w:noProof/>
            <w:szCs w:val="24"/>
            <w:lang w:val="ro-RO"/>
          </w:rPr>
          <w:tab/>
        </w:r>
        <w:r w:rsidR="00A96DD2" w:rsidRPr="00EA1BB2">
          <w:rPr>
            <w:rStyle w:val="Hyperlink"/>
            <w:rFonts w:ascii="Cambria" w:hAnsi="Cambria"/>
            <w:noProof/>
            <w:szCs w:val="24"/>
            <w:lang w:val="ro-RO"/>
          </w:rPr>
          <w:t>Dioxid de sulf (SO</w:t>
        </w:r>
        <w:r w:rsidR="00A96DD2" w:rsidRPr="00EA1BB2">
          <w:rPr>
            <w:rStyle w:val="Hyperlink"/>
            <w:rFonts w:ascii="Cambria" w:hAnsi="Cambria"/>
            <w:noProof/>
            <w:szCs w:val="24"/>
            <w:vertAlign w:val="subscript"/>
            <w:lang w:val="ro-RO"/>
          </w:rPr>
          <w:t>2</w:t>
        </w:r>
        <w:r w:rsidR="00A96DD2" w:rsidRPr="00EA1BB2">
          <w:rPr>
            <w:rStyle w:val="Hyperlink"/>
            <w:rFonts w:ascii="Cambria" w:hAnsi="Cambria"/>
            <w:noProof/>
            <w:szCs w:val="24"/>
            <w:lang w:val="ro-RO"/>
          </w:rPr>
          <w:t>)</w:t>
        </w:r>
        <w:r w:rsidR="00A96DD2" w:rsidRPr="00EA1BB2">
          <w:rPr>
            <w:rFonts w:ascii="Cambria" w:hAnsi="Cambria"/>
            <w:noProof/>
            <w:webHidden/>
            <w:szCs w:val="24"/>
            <w:lang w:val="ro-RO"/>
          </w:rPr>
          <w:tab/>
        </w:r>
        <w:r w:rsidR="00A96DD2" w:rsidRPr="00EA1BB2">
          <w:rPr>
            <w:rFonts w:ascii="Cambria" w:hAnsi="Cambria"/>
            <w:noProof/>
            <w:webHidden/>
            <w:szCs w:val="24"/>
            <w:lang w:val="ro-RO"/>
          </w:rPr>
          <w:fldChar w:fldCharType="begin"/>
        </w:r>
        <w:r w:rsidR="00A96DD2" w:rsidRPr="00EA1BB2">
          <w:rPr>
            <w:rFonts w:ascii="Cambria" w:hAnsi="Cambria"/>
            <w:noProof/>
            <w:webHidden/>
            <w:szCs w:val="24"/>
            <w:lang w:val="ro-RO"/>
          </w:rPr>
          <w:instrText xml:space="preserve"> PAGEREF _Toc526889732 \h </w:instrText>
        </w:r>
        <w:r w:rsidR="00A96DD2" w:rsidRPr="00EA1BB2">
          <w:rPr>
            <w:rFonts w:ascii="Cambria" w:hAnsi="Cambria"/>
            <w:noProof/>
            <w:webHidden/>
            <w:szCs w:val="24"/>
            <w:lang w:val="ro-RO"/>
          </w:rPr>
        </w:r>
        <w:r w:rsidR="00A96DD2" w:rsidRPr="00EA1BB2">
          <w:rPr>
            <w:rFonts w:ascii="Cambria" w:hAnsi="Cambria"/>
            <w:noProof/>
            <w:webHidden/>
            <w:szCs w:val="24"/>
            <w:lang w:val="ro-RO"/>
          </w:rPr>
          <w:fldChar w:fldCharType="separate"/>
        </w:r>
        <w:r w:rsidR="00567555">
          <w:rPr>
            <w:rFonts w:ascii="Cambria" w:hAnsi="Cambria"/>
            <w:noProof/>
            <w:webHidden/>
            <w:szCs w:val="24"/>
            <w:lang w:val="ro-RO"/>
          </w:rPr>
          <w:t>94</w:t>
        </w:r>
        <w:r w:rsidR="00A96DD2" w:rsidRPr="00EA1BB2">
          <w:rPr>
            <w:rFonts w:ascii="Cambria" w:hAnsi="Cambria"/>
            <w:noProof/>
            <w:webHidden/>
            <w:szCs w:val="24"/>
            <w:lang w:val="ro-RO"/>
          </w:rPr>
          <w:fldChar w:fldCharType="end"/>
        </w:r>
      </w:hyperlink>
    </w:p>
    <w:p w14:paraId="1CAC4803" w14:textId="2950F7C5" w:rsidR="00A96DD2" w:rsidRPr="00EA1BB2" w:rsidRDefault="009A1372" w:rsidP="00A96DD2">
      <w:pPr>
        <w:pStyle w:val="TOC4"/>
        <w:tabs>
          <w:tab w:val="left" w:pos="1760"/>
          <w:tab w:val="right" w:leader="dot" w:pos="9060"/>
        </w:tabs>
        <w:jc w:val="both"/>
        <w:rPr>
          <w:rFonts w:ascii="Cambria" w:eastAsiaTheme="minorEastAsia" w:hAnsi="Cambria"/>
          <w:noProof/>
          <w:szCs w:val="24"/>
          <w:lang w:val="ro-RO"/>
        </w:rPr>
      </w:pPr>
      <w:hyperlink w:anchor="_Toc526889733" w:history="1">
        <w:r w:rsidR="00A96DD2" w:rsidRPr="00EA1BB2">
          <w:rPr>
            <w:rStyle w:val="Hyperlink"/>
            <w:rFonts w:ascii="Cambria" w:hAnsi="Cambria"/>
            <w:noProof/>
            <w:szCs w:val="24"/>
            <w:lang w:val="ro-RO"/>
          </w:rPr>
          <w:t>3.7.1.5.</w:t>
        </w:r>
        <w:r w:rsidR="00A96DD2" w:rsidRPr="00EA1BB2">
          <w:rPr>
            <w:rFonts w:ascii="Cambria" w:eastAsiaTheme="minorEastAsia" w:hAnsi="Cambria"/>
            <w:noProof/>
            <w:szCs w:val="24"/>
            <w:lang w:val="ro-RO"/>
          </w:rPr>
          <w:tab/>
        </w:r>
        <w:r w:rsidR="00A96DD2" w:rsidRPr="00EA1BB2">
          <w:rPr>
            <w:rStyle w:val="Hyperlink"/>
            <w:rFonts w:ascii="Cambria" w:hAnsi="Cambria"/>
            <w:noProof/>
            <w:szCs w:val="24"/>
            <w:lang w:val="ro-RO"/>
          </w:rPr>
          <w:t>Monoxid de carbon (CO)</w:t>
        </w:r>
        <w:r w:rsidR="00A96DD2" w:rsidRPr="00EA1BB2">
          <w:rPr>
            <w:rFonts w:ascii="Cambria" w:hAnsi="Cambria"/>
            <w:noProof/>
            <w:webHidden/>
            <w:szCs w:val="24"/>
            <w:lang w:val="ro-RO"/>
          </w:rPr>
          <w:tab/>
        </w:r>
        <w:r w:rsidR="00A96DD2" w:rsidRPr="00EA1BB2">
          <w:rPr>
            <w:rFonts w:ascii="Cambria" w:hAnsi="Cambria"/>
            <w:noProof/>
            <w:webHidden/>
            <w:szCs w:val="24"/>
            <w:lang w:val="ro-RO"/>
          </w:rPr>
          <w:fldChar w:fldCharType="begin"/>
        </w:r>
        <w:r w:rsidR="00A96DD2" w:rsidRPr="00EA1BB2">
          <w:rPr>
            <w:rFonts w:ascii="Cambria" w:hAnsi="Cambria"/>
            <w:noProof/>
            <w:webHidden/>
            <w:szCs w:val="24"/>
            <w:lang w:val="ro-RO"/>
          </w:rPr>
          <w:instrText xml:space="preserve"> PAGEREF _Toc526889733 \h </w:instrText>
        </w:r>
        <w:r w:rsidR="00A96DD2" w:rsidRPr="00EA1BB2">
          <w:rPr>
            <w:rFonts w:ascii="Cambria" w:hAnsi="Cambria"/>
            <w:noProof/>
            <w:webHidden/>
            <w:szCs w:val="24"/>
            <w:lang w:val="ro-RO"/>
          </w:rPr>
        </w:r>
        <w:r w:rsidR="00A96DD2" w:rsidRPr="00EA1BB2">
          <w:rPr>
            <w:rFonts w:ascii="Cambria" w:hAnsi="Cambria"/>
            <w:noProof/>
            <w:webHidden/>
            <w:szCs w:val="24"/>
            <w:lang w:val="ro-RO"/>
          </w:rPr>
          <w:fldChar w:fldCharType="separate"/>
        </w:r>
        <w:r w:rsidR="00567555">
          <w:rPr>
            <w:rFonts w:ascii="Cambria" w:hAnsi="Cambria"/>
            <w:noProof/>
            <w:webHidden/>
            <w:szCs w:val="24"/>
            <w:lang w:val="ro-RO"/>
          </w:rPr>
          <w:t>96</w:t>
        </w:r>
        <w:r w:rsidR="00A96DD2" w:rsidRPr="00EA1BB2">
          <w:rPr>
            <w:rFonts w:ascii="Cambria" w:hAnsi="Cambria"/>
            <w:noProof/>
            <w:webHidden/>
            <w:szCs w:val="24"/>
            <w:lang w:val="ro-RO"/>
          </w:rPr>
          <w:fldChar w:fldCharType="end"/>
        </w:r>
      </w:hyperlink>
    </w:p>
    <w:p w14:paraId="18536A84" w14:textId="415D126A" w:rsidR="00A96DD2" w:rsidRPr="00EA1BB2" w:rsidRDefault="009A1372" w:rsidP="00A96DD2">
      <w:pPr>
        <w:pStyle w:val="TOC4"/>
        <w:tabs>
          <w:tab w:val="left" w:pos="1760"/>
          <w:tab w:val="right" w:leader="dot" w:pos="9060"/>
        </w:tabs>
        <w:jc w:val="both"/>
        <w:rPr>
          <w:rFonts w:ascii="Cambria" w:eastAsiaTheme="minorEastAsia" w:hAnsi="Cambria"/>
          <w:noProof/>
          <w:szCs w:val="24"/>
          <w:lang w:val="ro-RO"/>
        </w:rPr>
      </w:pPr>
      <w:hyperlink w:anchor="_Toc526889734" w:history="1">
        <w:r w:rsidR="00A96DD2" w:rsidRPr="00EA1BB2">
          <w:rPr>
            <w:rStyle w:val="Hyperlink"/>
            <w:rFonts w:ascii="Cambria" w:hAnsi="Cambria"/>
            <w:noProof/>
            <w:szCs w:val="24"/>
            <w:lang w:val="ro-RO"/>
          </w:rPr>
          <w:t>3.7.1.6.</w:t>
        </w:r>
        <w:r w:rsidR="00A96DD2" w:rsidRPr="00EA1BB2">
          <w:rPr>
            <w:rFonts w:ascii="Cambria" w:eastAsiaTheme="minorEastAsia" w:hAnsi="Cambria"/>
            <w:noProof/>
            <w:szCs w:val="24"/>
            <w:lang w:val="ro-RO"/>
          </w:rPr>
          <w:tab/>
        </w:r>
        <w:r w:rsidR="00A96DD2" w:rsidRPr="00EA1BB2">
          <w:rPr>
            <w:rStyle w:val="Hyperlink"/>
            <w:rFonts w:ascii="Cambria" w:hAnsi="Cambria"/>
            <w:noProof/>
            <w:szCs w:val="24"/>
            <w:lang w:val="ro-RO"/>
          </w:rPr>
          <w:t>Plumb (Pb) și alte metale toxice: Arsen (As), Cadmiu (Cd) și Nichel (Ni)</w:t>
        </w:r>
        <w:r w:rsidR="00A96DD2" w:rsidRPr="00EA1BB2">
          <w:rPr>
            <w:rFonts w:ascii="Cambria" w:hAnsi="Cambria"/>
            <w:noProof/>
            <w:webHidden/>
            <w:szCs w:val="24"/>
            <w:lang w:val="ro-RO"/>
          </w:rPr>
          <w:tab/>
        </w:r>
        <w:r w:rsidR="00371699" w:rsidRPr="00EA1BB2">
          <w:rPr>
            <w:rFonts w:ascii="Cambria" w:hAnsi="Cambria"/>
            <w:noProof/>
            <w:webHidden/>
            <w:szCs w:val="24"/>
            <w:lang w:val="ro-RO"/>
          </w:rPr>
          <w:t>………………………………………………………………………………………………………</w:t>
        </w:r>
        <w:r w:rsidR="00A96DD2" w:rsidRPr="00EA1BB2">
          <w:rPr>
            <w:rFonts w:ascii="Cambria" w:hAnsi="Cambria"/>
            <w:noProof/>
            <w:webHidden/>
            <w:szCs w:val="24"/>
            <w:lang w:val="ro-RO"/>
          </w:rPr>
          <w:fldChar w:fldCharType="begin"/>
        </w:r>
        <w:r w:rsidR="00A96DD2" w:rsidRPr="00EA1BB2">
          <w:rPr>
            <w:rFonts w:ascii="Cambria" w:hAnsi="Cambria"/>
            <w:noProof/>
            <w:webHidden/>
            <w:szCs w:val="24"/>
            <w:lang w:val="ro-RO"/>
          </w:rPr>
          <w:instrText xml:space="preserve"> PAGEREF _Toc526889734 \h </w:instrText>
        </w:r>
        <w:r w:rsidR="00A96DD2" w:rsidRPr="00EA1BB2">
          <w:rPr>
            <w:rFonts w:ascii="Cambria" w:hAnsi="Cambria"/>
            <w:noProof/>
            <w:webHidden/>
            <w:szCs w:val="24"/>
            <w:lang w:val="ro-RO"/>
          </w:rPr>
        </w:r>
        <w:r w:rsidR="00A96DD2" w:rsidRPr="00EA1BB2">
          <w:rPr>
            <w:rFonts w:ascii="Cambria" w:hAnsi="Cambria"/>
            <w:noProof/>
            <w:webHidden/>
            <w:szCs w:val="24"/>
            <w:lang w:val="ro-RO"/>
          </w:rPr>
          <w:fldChar w:fldCharType="separate"/>
        </w:r>
        <w:r w:rsidR="00567555">
          <w:rPr>
            <w:rFonts w:ascii="Cambria" w:hAnsi="Cambria"/>
            <w:noProof/>
            <w:webHidden/>
            <w:szCs w:val="24"/>
            <w:lang w:val="ro-RO"/>
          </w:rPr>
          <w:t>98</w:t>
        </w:r>
        <w:r w:rsidR="00A96DD2" w:rsidRPr="00EA1BB2">
          <w:rPr>
            <w:rFonts w:ascii="Cambria" w:hAnsi="Cambria"/>
            <w:noProof/>
            <w:webHidden/>
            <w:szCs w:val="24"/>
            <w:lang w:val="ro-RO"/>
          </w:rPr>
          <w:fldChar w:fldCharType="end"/>
        </w:r>
      </w:hyperlink>
    </w:p>
    <w:p w14:paraId="532A121C" w14:textId="2D348880" w:rsidR="00A96DD2" w:rsidRPr="00EA1BB2" w:rsidRDefault="009A1372" w:rsidP="00A96DD2">
      <w:pPr>
        <w:pStyle w:val="TOC3"/>
        <w:tabs>
          <w:tab w:val="left" w:pos="1320"/>
          <w:tab w:val="right" w:leader="dot" w:pos="9060"/>
        </w:tabs>
        <w:jc w:val="both"/>
        <w:rPr>
          <w:rFonts w:ascii="Cambria" w:eastAsiaTheme="minorEastAsia" w:hAnsi="Cambria"/>
          <w:noProof/>
          <w:sz w:val="24"/>
          <w:szCs w:val="24"/>
          <w:lang w:val="ro-RO"/>
        </w:rPr>
      </w:pPr>
      <w:hyperlink w:anchor="_Toc526889735" w:history="1">
        <w:r w:rsidR="00A96DD2" w:rsidRPr="00EA1BB2">
          <w:rPr>
            <w:rStyle w:val="Hyperlink"/>
            <w:rFonts w:ascii="Cambria" w:eastAsia="Times New Roman" w:hAnsi="Cambria" w:cs="Times New Roman"/>
            <w:noProof/>
            <w:sz w:val="24"/>
            <w:szCs w:val="24"/>
            <w:lang w:val="ro-RO"/>
          </w:rPr>
          <w:t>3.7.2.</w:t>
        </w:r>
        <w:r w:rsidR="00A96DD2" w:rsidRPr="00EA1BB2">
          <w:rPr>
            <w:rFonts w:ascii="Cambria" w:eastAsiaTheme="minorEastAsia" w:hAnsi="Cambria"/>
            <w:noProof/>
            <w:sz w:val="24"/>
            <w:szCs w:val="24"/>
            <w:lang w:val="ro-RO"/>
          </w:rPr>
          <w:tab/>
        </w:r>
        <w:r w:rsidR="00A96DD2" w:rsidRPr="00EA1BB2">
          <w:rPr>
            <w:rStyle w:val="Hyperlink"/>
            <w:rFonts w:ascii="Cambria" w:eastAsia="Times New Roman" w:hAnsi="Cambria" w:cs="Times New Roman"/>
            <w:noProof/>
            <w:sz w:val="24"/>
            <w:szCs w:val="24"/>
            <w:lang w:val="ro-RO"/>
          </w:rPr>
          <w:t>Efectele poluării aerului asupra mediului înconjurător</w:t>
        </w:r>
        <w:r w:rsidR="00A96DD2" w:rsidRPr="00EA1BB2">
          <w:rPr>
            <w:rFonts w:ascii="Cambria" w:hAnsi="Cambria"/>
            <w:noProof/>
            <w:webHidden/>
            <w:sz w:val="24"/>
            <w:szCs w:val="24"/>
            <w:lang w:val="ro-RO"/>
          </w:rPr>
          <w:tab/>
        </w:r>
        <w:r w:rsidR="00A96DD2" w:rsidRPr="00EA1BB2">
          <w:rPr>
            <w:rFonts w:ascii="Cambria" w:hAnsi="Cambria"/>
            <w:noProof/>
            <w:webHidden/>
            <w:sz w:val="24"/>
            <w:szCs w:val="24"/>
            <w:lang w:val="ro-RO"/>
          </w:rPr>
          <w:fldChar w:fldCharType="begin"/>
        </w:r>
        <w:r w:rsidR="00A96DD2" w:rsidRPr="00EA1BB2">
          <w:rPr>
            <w:rFonts w:ascii="Cambria" w:hAnsi="Cambria"/>
            <w:noProof/>
            <w:webHidden/>
            <w:sz w:val="24"/>
            <w:szCs w:val="24"/>
            <w:lang w:val="ro-RO"/>
          </w:rPr>
          <w:instrText xml:space="preserve"> PAGEREF _Toc526889735 \h </w:instrText>
        </w:r>
        <w:r w:rsidR="00A96DD2" w:rsidRPr="00EA1BB2">
          <w:rPr>
            <w:rFonts w:ascii="Cambria" w:hAnsi="Cambria"/>
            <w:noProof/>
            <w:webHidden/>
            <w:sz w:val="24"/>
            <w:szCs w:val="24"/>
            <w:lang w:val="ro-RO"/>
          </w:rPr>
        </w:r>
        <w:r w:rsidR="00A96DD2" w:rsidRPr="00EA1BB2">
          <w:rPr>
            <w:rFonts w:ascii="Cambria" w:hAnsi="Cambria"/>
            <w:noProof/>
            <w:webHidden/>
            <w:sz w:val="24"/>
            <w:szCs w:val="24"/>
            <w:lang w:val="ro-RO"/>
          </w:rPr>
          <w:fldChar w:fldCharType="separate"/>
        </w:r>
        <w:r w:rsidR="00567555">
          <w:rPr>
            <w:rFonts w:ascii="Cambria" w:hAnsi="Cambria"/>
            <w:noProof/>
            <w:webHidden/>
            <w:sz w:val="24"/>
            <w:szCs w:val="24"/>
            <w:lang w:val="ro-RO"/>
          </w:rPr>
          <w:t>100</w:t>
        </w:r>
        <w:r w:rsidR="00A96DD2" w:rsidRPr="00EA1BB2">
          <w:rPr>
            <w:rFonts w:ascii="Cambria" w:hAnsi="Cambria"/>
            <w:noProof/>
            <w:webHidden/>
            <w:sz w:val="24"/>
            <w:szCs w:val="24"/>
            <w:lang w:val="ro-RO"/>
          </w:rPr>
          <w:fldChar w:fldCharType="end"/>
        </w:r>
      </w:hyperlink>
    </w:p>
    <w:p w14:paraId="100592F1" w14:textId="71D65657" w:rsidR="00A96DD2" w:rsidRPr="00EA1BB2" w:rsidRDefault="009A1372" w:rsidP="00A96DD2">
      <w:pPr>
        <w:pStyle w:val="TOC2"/>
        <w:tabs>
          <w:tab w:val="left" w:pos="880"/>
          <w:tab w:val="right" w:leader="dot" w:pos="9060"/>
        </w:tabs>
        <w:jc w:val="both"/>
        <w:rPr>
          <w:rFonts w:ascii="Cambria" w:eastAsiaTheme="minorEastAsia" w:hAnsi="Cambria"/>
          <w:noProof/>
          <w:szCs w:val="24"/>
          <w:lang w:val="ro-RO"/>
        </w:rPr>
      </w:pPr>
      <w:hyperlink w:anchor="_Toc526889736" w:history="1">
        <w:r w:rsidR="00A96DD2" w:rsidRPr="00EA1BB2">
          <w:rPr>
            <w:rStyle w:val="Hyperlink"/>
            <w:rFonts w:ascii="Cambria" w:eastAsia="Times New Roman" w:hAnsi="Cambria"/>
            <w:noProof/>
            <w:szCs w:val="24"/>
            <w:lang w:val="ro-RO"/>
          </w:rPr>
          <w:t>3.8.</w:t>
        </w:r>
        <w:r w:rsidR="00A96DD2" w:rsidRPr="00EA1BB2">
          <w:rPr>
            <w:rFonts w:ascii="Cambria" w:eastAsiaTheme="minorEastAsia" w:hAnsi="Cambria"/>
            <w:noProof/>
            <w:szCs w:val="24"/>
            <w:lang w:val="ro-RO"/>
          </w:rPr>
          <w:tab/>
        </w:r>
        <w:r w:rsidR="00A96DD2" w:rsidRPr="00EA1BB2">
          <w:rPr>
            <w:rStyle w:val="Hyperlink"/>
            <w:rFonts w:ascii="Cambria" w:eastAsia="Times New Roman" w:hAnsi="Cambria"/>
            <w:noProof/>
            <w:szCs w:val="24"/>
            <w:lang w:val="ro-RO"/>
          </w:rPr>
          <w:t>Identificarea principalelor surse de emisie care ar putea contribui la degradarea calității aerului și poziționarea lor pe hartă, inclusiv tipul și cantitatea totală de poluanți emiși din sursele respective (tone/an)</w:t>
        </w:r>
        <w:r w:rsidR="00A96DD2" w:rsidRPr="00EA1BB2">
          <w:rPr>
            <w:rFonts w:ascii="Cambria" w:hAnsi="Cambria"/>
            <w:noProof/>
            <w:webHidden/>
            <w:szCs w:val="24"/>
            <w:lang w:val="ro-RO"/>
          </w:rPr>
          <w:tab/>
        </w:r>
        <w:r w:rsidR="00A96DD2" w:rsidRPr="00EA1BB2">
          <w:rPr>
            <w:rFonts w:ascii="Cambria" w:hAnsi="Cambria"/>
            <w:noProof/>
            <w:webHidden/>
            <w:szCs w:val="24"/>
            <w:lang w:val="ro-RO"/>
          </w:rPr>
          <w:fldChar w:fldCharType="begin"/>
        </w:r>
        <w:r w:rsidR="00A96DD2" w:rsidRPr="00EA1BB2">
          <w:rPr>
            <w:rFonts w:ascii="Cambria" w:hAnsi="Cambria"/>
            <w:noProof/>
            <w:webHidden/>
            <w:szCs w:val="24"/>
            <w:lang w:val="ro-RO"/>
          </w:rPr>
          <w:instrText xml:space="preserve"> PAGEREF _Toc526889736 \h </w:instrText>
        </w:r>
        <w:r w:rsidR="00A96DD2" w:rsidRPr="00EA1BB2">
          <w:rPr>
            <w:rFonts w:ascii="Cambria" w:hAnsi="Cambria"/>
            <w:noProof/>
            <w:webHidden/>
            <w:szCs w:val="24"/>
            <w:lang w:val="ro-RO"/>
          </w:rPr>
        </w:r>
        <w:r w:rsidR="00A96DD2" w:rsidRPr="00EA1BB2">
          <w:rPr>
            <w:rFonts w:ascii="Cambria" w:hAnsi="Cambria"/>
            <w:noProof/>
            <w:webHidden/>
            <w:szCs w:val="24"/>
            <w:lang w:val="ro-RO"/>
          </w:rPr>
          <w:fldChar w:fldCharType="separate"/>
        </w:r>
        <w:r w:rsidR="00567555">
          <w:rPr>
            <w:rFonts w:ascii="Cambria" w:hAnsi="Cambria"/>
            <w:noProof/>
            <w:webHidden/>
            <w:szCs w:val="24"/>
            <w:lang w:val="ro-RO"/>
          </w:rPr>
          <w:t>102</w:t>
        </w:r>
        <w:r w:rsidR="00A96DD2" w:rsidRPr="00EA1BB2">
          <w:rPr>
            <w:rFonts w:ascii="Cambria" w:hAnsi="Cambria"/>
            <w:noProof/>
            <w:webHidden/>
            <w:szCs w:val="24"/>
            <w:lang w:val="ro-RO"/>
          </w:rPr>
          <w:fldChar w:fldCharType="end"/>
        </w:r>
      </w:hyperlink>
    </w:p>
    <w:p w14:paraId="40E2E810" w14:textId="185D11C8" w:rsidR="00A96DD2" w:rsidRPr="00EA1BB2" w:rsidRDefault="009A1372" w:rsidP="00A96DD2">
      <w:pPr>
        <w:pStyle w:val="TOC3"/>
        <w:tabs>
          <w:tab w:val="left" w:pos="1320"/>
          <w:tab w:val="right" w:leader="dot" w:pos="9060"/>
        </w:tabs>
        <w:jc w:val="both"/>
        <w:rPr>
          <w:rFonts w:ascii="Cambria" w:eastAsiaTheme="minorEastAsia" w:hAnsi="Cambria"/>
          <w:noProof/>
          <w:sz w:val="24"/>
          <w:szCs w:val="24"/>
          <w:lang w:val="ro-RO"/>
        </w:rPr>
      </w:pPr>
      <w:hyperlink w:anchor="_Toc526889737" w:history="1">
        <w:r w:rsidR="00A96DD2" w:rsidRPr="00EA1BB2">
          <w:rPr>
            <w:rStyle w:val="Hyperlink"/>
            <w:rFonts w:ascii="Cambria" w:eastAsia="Times New Roman" w:hAnsi="Cambria" w:cs="Times New Roman"/>
            <w:noProof/>
            <w:sz w:val="24"/>
            <w:szCs w:val="24"/>
            <w:lang w:val="ro-RO"/>
          </w:rPr>
          <w:t>3.8.1.</w:t>
        </w:r>
        <w:r w:rsidR="00A96DD2" w:rsidRPr="00EA1BB2">
          <w:rPr>
            <w:rFonts w:ascii="Cambria" w:eastAsiaTheme="minorEastAsia" w:hAnsi="Cambria"/>
            <w:noProof/>
            <w:sz w:val="24"/>
            <w:szCs w:val="24"/>
            <w:lang w:val="ro-RO"/>
          </w:rPr>
          <w:tab/>
        </w:r>
        <w:r w:rsidR="00A96DD2" w:rsidRPr="00EA1BB2">
          <w:rPr>
            <w:rStyle w:val="Hyperlink"/>
            <w:rFonts w:ascii="Cambria" w:eastAsia="Times New Roman" w:hAnsi="Cambria" w:cs="Times New Roman"/>
            <w:noProof/>
            <w:sz w:val="24"/>
            <w:szCs w:val="24"/>
            <w:lang w:val="ro-RO"/>
          </w:rPr>
          <w:t>Lista principalelor surse de emisie responsabile de poluare</w:t>
        </w:r>
        <w:r w:rsidR="00A96DD2" w:rsidRPr="00EA1BB2">
          <w:rPr>
            <w:rFonts w:ascii="Cambria" w:hAnsi="Cambria"/>
            <w:noProof/>
            <w:webHidden/>
            <w:sz w:val="24"/>
            <w:szCs w:val="24"/>
            <w:lang w:val="ro-RO"/>
          </w:rPr>
          <w:tab/>
        </w:r>
        <w:r w:rsidR="00A96DD2" w:rsidRPr="00EA1BB2">
          <w:rPr>
            <w:rFonts w:ascii="Cambria" w:hAnsi="Cambria"/>
            <w:noProof/>
            <w:webHidden/>
            <w:sz w:val="24"/>
            <w:szCs w:val="24"/>
            <w:lang w:val="ro-RO"/>
          </w:rPr>
          <w:fldChar w:fldCharType="begin"/>
        </w:r>
        <w:r w:rsidR="00A96DD2" w:rsidRPr="00EA1BB2">
          <w:rPr>
            <w:rFonts w:ascii="Cambria" w:hAnsi="Cambria"/>
            <w:noProof/>
            <w:webHidden/>
            <w:sz w:val="24"/>
            <w:szCs w:val="24"/>
            <w:lang w:val="ro-RO"/>
          </w:rPr>
          <w:instrText xml:space="preserve"> PAGEREF _Toc526889737 \h </w:instrText>
        </w:r>
        <w:r w:rsidR="00A96DD2" w:rsidRPr="00EA1BB2">
          <w:rPr>
            <w:rFonts w:ascii="Cambria" w:hAnsi="Cambria"/>
            <w:noProof/>
            <w:webHidden/>
            <w:sz w:val="24"/>
            <w:szCs w:val="24"/>
            <w:lang w:val="ro-RO"/>
          </w:rPr>
        </w:r>
        <w:r w:rsidR="00A96DD2" w:rsidRPr="00EA1BB2">
          <w:rPr>
            <w:rFonts w:ascii="Cambria" w:hAnsi="Cambria"/>
            <w:noProof/>
            <w:webHidden/>
            <w:sz w:val="24"/>
            <w:szCs w:val="24"/>
            <w:lang w:val="ro-RO"/>
          </w:rPr>
          <w:fldChar w:fldCharType="separate"/>
        </w:r>
        <w:r w:rsidR="00567555">
          <w:rPr>
            <w:rFonts w:ascii="Cambria" w:hAnsi="Cambria"/>
            <w:noProof/>
            <w:webHidden/>
            <w:sz w:val="24"/>
            <w:szCs w:val="24"/>
            <w:lang w:val="ro-RO"/>
          </w:rPr>
          <w:t>102</w:t>
        </w:r>
        <w:r w:rsidR="00A96DD2" w:rsidRPr="00EA1BB2">
          <w:rPr>
            <w:rFonts w:ascii="Cambria" w:hAnsi="Cambria"/>
            <w:noProof/>
            <w:webHidden/>
            <w:sz w:val="24"/>
            <w:szCs w:val="24"/>
            <w:lang w:val="ro-RO"/>
          </w:rPr>
          <w:fldChar w:fldCharType="end"/>
        </w:r>
      </w:hyperlink>
    </w:p>
    <w:p w14:paraId="5BED96B6" w14:textId="55E1D1B4" w:rsidR="00A96DD2" w:rsidRPr="00EA1BB2" w:rsidRDefault="009A1372" w:rsidP="00A96DD2">
      <w:pPr>
        <w:pStyle w:val="TOC3"/>
        <w:tabs>
          <w:tab w:val="left" w:pos="1320"/>
          <w:tab w:val="right" w:leader="dot" w:pos="9060"/>
        </w:tabs>
        <w:jc w:val="both"/>
        <w:rPr>
          <w:rFonts w:ascii="Cambria" w:eastAsiaTheme="minorEastAsia" w:hAnsi="Cambria"/>
          <w:noProof/>
          <w:sz w:val="24"/>
          <w:szCs w:val="24"/>
          <w:lang w:val="ro-RO"/>
        </w:rPr>
      </w:pPr>
      <w:hyperlink w:anchor="_Toc526889738" w:history="1">
        <w:r w:rsidR="00A96DD2" w:rsidRPr="00EA1BB2">
          <w:rPr>
            <w:rStyle w:val="Hyperlink"/>
            <w:rFonts w:ascii="Cambria" w:eastAsia="Times New Roman" w:hAnsi="Cambria" w:cs="Times New Roman"/>
            <w:noProof/>
            <w:sz w:val="24"/>
            <w:szCs w:val="24"/>
            <w:lang w:val="ro-RO"/>
          </w:rPr>
          <w:t>3.8.2.</w:t>
        </w:r>
        <w:r w:rsidR="00A96DD2" w:rsidRPr="00EA1BB2">
          <w:rPr>
            <w:rFonts w:ascii="Cambria" w:eastAsiaTheme="minorEastAsia" w:hAnsi="Cambria"/>
            <w:noProof/>
            <w:sz w:val="24"/>
            <w:szCs w:val="24"/>
            <w:lang w:val="ro-RO"/>
          </w:rPr>
          <w:tab/>
        </w:r>
        <w:r w:rsidR="00A96DD2" w:rsidRPr="00EA1BB2">
          <w:rPr>
            <w:rStyle w:val="Hyperlink"/>
            <w:rFonts w:ascii="Cambria" w:eastAsia="Times New Roman" w:hAnsi="Cambria" w:cs="Times New Roman"/>
            <w:noProof/>
            <w:sz w:val="24"/>
            <w:szCs w:val="24"/>
            <w:lang w:val="ro-RO"/>
          </w:rPr>
          <w:t>Cantitatea totală a emisiilor din aceste surse (tone/an)</w:t>
        </w:r>
        <w:r w:rsidR="00A96DD2" w:rsidRPr="00EA1BB2">
          <w:rPr>
            <w:rFonts w:ascii="Cambria" w:hAnsi="Cambria"/>
            <w:noProof/>
            <w:webHidden/>
            <w:sz w:val="24"/>
            <w:szCs w:val="24"/>
            <w:lang w:val="ro-RO"/>
          </w:rPr>
          <w:tab/>
        </w:r>
        <w:r w:rsidR="00A96DD2" w:rsidRPr="00EA1BB2">
          <w:rPr>
            <w:rFonts w:ascii="Cambria" w:hAnsi="Cambria"/>
            <w:noProof/>
            <w:webHidden/>
            <w:sz w:val="24"/>
            <w:szCs w:val="24"/>
            <w:lang w:val="ro-RO"/>
          </w:rPr>
          <w:fldChar w:fldCharType="begin"/>
        </w:r>
        <w:r w:rsidR="00A96DD2" w:rsidRPr="00EA1BB2">
          <w:rPr>
            <w:rFonts w:ascii="Cambria" w:hAnsi="Cambria"/>
            <w:noProof/>
            <w:webHidden/>
            <w:sz w:val="24"/>
            <w:szCs w:val="24"/>
            <w:lang w:val="ro-RO"/>
          </w:rPr>
          <w:instrText xml:space="preserve"> PAGEREF _Toc526889738 \h </w:instrText>
        </w:r>
        <w:r w:rsidR="00A96DD2" w:rsidRPr="00EA1BB2">
          <w:rPr>
            <w:rFonts w:ascii="Cambria" w:hAnsi="Cambria"/>
            <w:noProof/>
            <w:webHidden/>
            <w:sz w:val="24"/>
            <w:szCs w:val="24"/>
            <w:lang w:val="ro-RO"/>
          </w:rPr>
        </w:r>
        <w:r w:rsidR="00A96DD2" w:rsidRPr="00EA1BB2">
          <w:rPr>
            <w:rFonts w:ascii="Cambria" w:hAnsi="Cambria"/>
            <w:noProof/>
            <w:webHidden/>
            <w:sz w:val="24"/>
            <w:szCs w:val="24"/>
            <w:lang w:val="ro-RO"/>
          </w:rPr>
          <w:fldChar w:fldCharType="separate"/>
        </w:r>
        <w:r w:rsidR="00567555">
          <w:rPr>
            <w:rFonts w:ascii="Cambria" w:hAnsi="Cambria"/>
            <w:noProof/>
            <w:webHidden/>
            <w:sz w:val="24"/>
            <w:szCs w:val="24"/>
            <w:lang w:val="ro-RO"/>
          </w:rPr>
          <w:t>103</w:t>
        </w:r>
        <w:r w:rsidR="00A96DD2" w:rsidRPr="00EA1BB2">
          <w:rPr>
            <w:rFonts w:ascii="Cambria" w:hAnsi="Cambria"/>
            <w:noProof/>
            <w:webHidden/>
            <w:sz w:val="24"/>
            <w:szCs w:val="24"/>
            <w:lang w:val="ro-RO"/>
          </w:rPr>
          <w:fldChar w:fldCharType="end"/>
        </w:r>
      </w:hyperlink>
    </w:p>
    <w:p w14:paraId="44BBA958" w14:textId="76094E25" w:rsidR="00A96DD2" w:rsidRPr="00EA1BB2" w:rsidRDefault="009A1372" w:rsidP="00A96DD2">
      <w:pPr>
        <w:pStyle w:val="TOC4"/>
        <w:tabs>
          <w:tab w:val="left" w:pos="1760"/>
          <w:tab w:val="right" w:leader="dot" w:pos="9060"/>
        </w:tabs>
        <w:jc w:val="both"/>
        <w:rPr>
          <w:rFonts w:ascii="Cambria" w:eastAsiaTheme="minorEastAsia" w:hAnsi="Cambria"/>
          <w:noProof/>
          <w:szCs w:val="24"/>
          <w:lang w:val="ro-RO"/>
        </w:rPr>
      </w:pPr>
      <w:hyperlink w:anchor="_Toc526889739" w:history="1">
        <w:r w:rsidR="00A96DD2" w:rsidRPr="00EA1BB2">
          <w:rPr>
            <w:rStyle w:val="Hyperlink"/>
            <w:rFonts w:ascii="Cambria" w:hAnsi="Cambria"/>
            <w:noProof/>
            <w:szCs w:val="24"/>
            <w:lang w:val="ro-RO"/>
          </w:rPr>
          <w:t>3.8.2.1.</w:t>
        </w:r>
        <w:r w:rsidR="00A96DD2" w:rsidRPr="00EA1BB2">
          <w:rPr>
            <w:rFonts w:ascii="Cambria" w:eastAsiaTheme="minorEastAsia" w:hAnsi="Cambria"/>
            <w:noProof/>
            <w:szCs w:val="24"/>
            <w:lang w:val="ro-RO"/>
          </w:rPr>
          <w:tab/>
        </w:r>
        <w:r w:rsidR="00A96DD2" w:rsidRPr="00EA1BB2">
          <w:rPr>
            <w:rStyle w:val="Hyperlink"/>
            <w:rFonts w:ascii="Cambria" w:hAnsi="Cambria"/>
            <w:noProof/>
            <w:szCs w:val="24"/>
            <w:lang w:val="ro-RO"/>
          </w:rPr>
          <w:t>Surse mobile</w:t>
        </w:r>
        <w:r w:rsidR="00A96DD2" w:rsidRPr="00EA1BB2">
          <w:rPr>
            <w:rFonts w:ascii="Cambria" w:hAnsi="Cambria"/>
            <w:noProof/>
            <w:webHidden/>
            <w:szCs w:val="24"/>
            <w:lang w:val="ro-RO"/>
          </w:rPr>
          <w:tab/>
        </w:r>
        <w:r w:rsidR="00A96DD2" w:rsidRPr="00EA1BB2">
          <w:rPr>
            <w:rFonts w:ascii="Cambria" w:hAnsi="Cambria"/>
            <w:noProof/>
            <w:webHidden/>
            <w:szCs w:val="24"/>
            <w:lang w:val="ro-RO"/>
          </w:rPr>
          <w:fldChar w:fldCharType="begin"/>
        </w:r>
        <w:r w:rsidR="00A96DD2" w:rsidRPr="00EA1BB2">
          <w:rPr>
            <w:rFonts w:ascii="Cambria" w:hAnsi="Cambria"/>
            <w:noProof/>
            <w:webHidden/>
            <w:szCs w:val="24"/>
            <w:lang w:val="ro-RO"/>
          </w:rPr>
          <w:instrText xml:space="preserve"> PAGEREF _Toc526889739 \h </w:instrText>
        </w:r>
        <w:r w:rsidR="00A96DD2" w:rsidRPr="00EA1BB2">
          <w:rPr>
            <w:rFonts w:ascii="Cambria" w:hAnsi="Cambria"/>
            <w:noProof/>
            <w:webHidden/>
            <w:szCs w:val="24"/>
            <w:lang w:val="ro-RO"/>
          </w:rPr>
        </w:r>
        <w:r w:rsidR="00A96DD2" w:rsidRPr="00EA1BB2">
          <w:rPr>
            <w:rFonts w:ascii="Cambria" w:hAnsi="Cambria"/>
            <w:noProof/>
            <w:webHidden/>
            <w:szCs w:val="24"/>
            <w:lang w:val="ro-RO"/>
          </w:rPr>
          <w:fldChar w:fldCharType="separate"/>
        </w:r>
        <w:r w:rsidR="00567555">
          <w:rPr>
            <w:rFonts w:ascii="Cambria" w:hAnsi="Cambria"/>
            <w:noProof/>
            <w:webHidden/>
            <w:szCs w:val="24"/>
            <w:lang w:val="ro-RO"/>
          </w:rPr>
          <w:t>104</w:t>
        </w:r>
        <w:r w:rsidR="00A96DD2" w:rsidRPr="00EA1BB2">
          <w:rPr>
            <w:rFonts w:ascii="Cambria" w:hAnsi="Cambria"/>
            <w:noProof/>
            <w:webHidden/>
            <w:szCs w:val="24"/>
            <w:lang w:val="ro-RO"/>
          </w:rPr>
          <w:fldChar w:fldCharType="end"/>
        </w:r>
      </w:hyperlink>
    </w:p>
    <w:p w14:paraId="6E5C7E04" w14:textId="706DDCFE" w:rsidR="00A96DD2" w:rsidRPr="00EA1BB2" w:rsidRDefault="009A1372" w:rsidP="00A96DD2">
      <w:pPr>
        <w:pStyle w:val="TOC4"/>
        <w:tabs>
          <w:tab w:val="left" w:pos="1760"/>
          <w:tab w:val="right" w:leader="dot" w:pos="9060"/>
        </w:tabs>
        <w:jc w:val="both"/>
        <w:rPr>
          <w:rFonts w:ascii="Cambria" w:eastAsiaTheme="minorEastAsia" w:hAnsi="Cambria"/>
          <w:noProof/>
          <w:szCs w:val="24"/>
          <w:lang w:val="ro-RO"/>
        </w:rPr>
      </w:pPr>
      <w:hyperlink w:anchor="_Toc526889740" w:history="1">
        <w:r w:rsidR="00A96DD2" w:rsidRPr="00EA1BB2">
          <w:rPr>
            <w:rStyle w:val="Hyperlink"/>
            <w:rFonts w:ascii="Cambria" w:hAnsi="Cambria"/>
            <w:noProof/>
            <w:szCs w:val="24"/>
            <w:lang w:val="ro-RO"/>
          </w:rPr>
          <w:t>3.8.2.2.</w:t>
        </w:r>
        <w:r w:rsidR="00A96DD2" w:rsidRPr="00EA1BB2">
          <w:rPr>
            <w:rFonts w:ascii="Cambria" w:eastAsiaTheme="minorEastAsia" w:hAnsi="Cambria"/>
            <w:noProof/>
            <w:szCs w:val="24"/>
            <w:lang w:val="ro-RO"/>
          </w:rPr>
          <w:tab/>
        </w:r>
        <w:r w:rsidR="00A96DD2" w:rsidRPr="00EA1BB2">
          <w:rPr>
            <w:rStyle w:val="Hyperlink"/>
            <w:rFonts w:ascii="Cambria" w:hAnsi="Cambria"/>
            <w:noProof/>
            <w:szCs w:val="24"/>
            <w:lang w:val="ro-RO"/>
          </w:rPr>
          <w:t>Surse staționare</w:t>
        </w:r>
        <w:r w:rsidR="00A96DD2" w:rsidRPr="00EA1BB2">
          <w:rPr>
            <w:rFonts w:ascii="Cambria" w:hAnsi="Cambria"/>
            <w:noProof/>
            <w:webHidden/>
            <w:szCs w:val="24"/>
            <w:lang w:val="ro-RO"/>
          </w:rPr>
          <w:tab/>
        </w:r>
        <w:r w:rsidR="00A96DD2" w:rsidRPr="00EA1BB2">
          <w:rPr>
            <w:rFonts w:ascii="Cambria" w:hAnsi="Cambria"/>
            <w:noProof/>
            <w:webHidden/>
            <w:szCs w:val="24"/>
            <w:lang w:val="ro-RO"/>
          </w:rPr>
          <w:fldChar w:fldCharType="begin"/>
        </w:r>
        <w:r w:rsidR="00A96DD2" w:rsidRPr="00EA1BB2">
          <w:rPr>
            <w:rFonts w:ascii="Cambria" w:hAnsi="Cambria"/>
            <w:noProof/>
            <w:webHidden/>
            <w:szCs w:val="24"/>
            <w:lang w:val="ro-RO"/>
          </w:rPr>
          <w:instrText xml:space="preserve"> PAGEREF _Toc526889740 \h </w:instrText>
        </w:r>
        <w:r w:rsidR="00A96DD2" w:rsidRPr="00EA1BB2">
          <w:rPr>
            <w:rFonts w:ascii="Cambria" w:hAnsi="Cambria"/>
            <w:noProof/>
            <w:webHidden/>
            <w:szCs w:val="24"/>
            <w:lang w:val="ro-RO"/>
          </w:rPr>
        </w:r>
        <w:r w:rsidR="00A96DD2" w:rsidRPr="00EA1BB2">
          <w:rPr>
            <w:rFonts w:ascii="Cambria" w:hAnsi="Cambria"/>
            <w:noProof/>
            <w:webHidden/>
            <w:szCs w:val="24"/>
            <w:lang w:val="ro-RO"/>
          </w:rPr>
          <w:fldChar w:fldCharType="separate"/>
        </w:r>
        <w:r w:rsidR="00567555">
          <w:rPr>
            <w:rFonts w:ascii="Cambria" w:hAnsi="Cambria"/>
            <w:noProof/>
            <w:webHidden/>
            <w:szCs w:val="24"/>
            <w:lang w:val="ro-RO"/>
          </w:rPr>
          <w:t>106</w:t>
        </w:r>
        <w:r w:rsidR="00A96DD2" w:rsidRPr="00EA1BB2">
          <w:rPr>
            <w:rFonts w:ascii="Cambria" w:hAnsi="Cambria"/>
            <w:noProof/>
            <w:webHidden/>
            <w:szCs w:val="24"/>
            <w:lang w:val="ro-RO"/>
          </w:rPr>
          <w:fldChar w:fldCharType="end"/>
        </w:r>
      </w:hyperlink>
    </w:p>
    <w:p w14:paraId="6D5B529E" w14:textId="1449E235" w:rsidR="00A96DD2" w:rsidRPr="00EA1BB2" w:rsidRDefault="009A1372" w:rsidP="00A96DD2">
      <w:pPr>
        <w:pStyle w:val="TOC4"/>
        <w:tabs>
          <w:tab w:val="left" w:pos="1760"/>
          <w:tab w:val="right" w:leader="dot" w:pos="9060"/>
        </w:tabs>
        <w:jc w:val="both"/>
        <w:rPr>
          <w:rFonts w:ascii="Cambria" w:eastAsiaTheme="minorEastAsia" w:hAnsi="Cambria"/>
          <w:noProof/>
          <w:szCs w:val="24"/>
          <w:lang w:val="ro-RO"/>
        </w:rPr>
      </w:pPr>
      <w:hyperlink w:anchor="_Toc526889741" w:history="1">
        <w:r w:rsidR="00A96DD2" w:rsidRPr="00EA1BB2">
          <w:rPr>
            <w:rStyle w:val="Hyperlink"/>
            <w:rFonts w:ascii="Cambria" w:hAnsi="Cambria"/>
            <w:noProof/>
            <w:szCs w:val="24"/>
            <w:lang w:val="ro-RO"/>
          </w:rPr>
          <w:t>3.8.2.3.</w:t>
        </w:r>
        <w:r w:rsidR="00A96DD2" w:rsidRPr="00EA1BB2">
          <w:rPr>
            <w:rFonts w:ascii="Cambria" w:eastAsiaTheme="minorEastAsia" w:hAnsi="Cambria"/>
            <w:noProof/>
            <w:szCs w:val="24"/>
            <w:lang w:val="ro-RO"/>
          </w:rPr>
          <w:tab/>
        </w:r>
        <w:r w:rsidR="00A96DD2" w:rsidRPr="00EA1BB2">
          <w:rPr>
            <w:rStyle w:val="Hyperlink"/>
            <w:rFonts w:ascii="Cambria" w:hAnsi="Cambria"/>
            <w:noProof/>
            <w:szCs w:val="24"/>
            <w:lang w:val="ro-RO"/>
          </w:rPr>
          <w:t>Surse de suprafață</w:t>
        </w:r>
        <w:r w:rsidR="00A96DD2" w:rsidRPr="00EA1BB2">
          <w:rPr>
            <w:rFonts w:ascii="Cambria" w:hAnsi="Cambria"/>
            <w:noProof/>
            <w:webHidden/>
            <w:szCs w:val="24"/>
            <w:lang w:val="ro-RO"/>
          </w:rPr>
          <w:tab/>
        </w:r>
        <w:r w:rsidR="00A96DD2" w:rsidRPr="00EA1BB2">
          <w:rPr>
            <w:rFonts w:ascii="Cambria" w:hAnsi="Cambria"/>
            <w:noProof/>
            <w:webHidden/>
            <w:szCs w:val="24"/>
            <w:lang w:val="ro-RO"/>
          </w:rPr>
          <w:fldChar w:fldCharType="begin"/>
        </w:r>
        <w:r w:rsidR="00A96DD2" w:rsidRPr="00EA1BB2">
          <w:rPr>
            <w:rFonts w:ascii="Cambria" w:hAnsi="Cambria"/>
            <w:noProof/>
            <w:webHidden/>
            <w:szCs w:val="24"/>
            <w:lang w:val="ro-RO"/>
          </w:rPr>
          <w:instrText xml:space="preserve"> PAGEREF _Toc526889741 \h </w:instrText>
        </w:r>
        <w:r w:rsidR="00A96DD2" w:rsidRPr="00EA1BB2">
          <w:rPr>
            <w:rFonts w:ascii="Cambria" w:hAnsi="Cambria"/>
            <w:noProof/>
            <w:webHidden/>
            <w:szCs w:val="24"/>
            <w:lang w:val="ro-RO"/>
          </w:rPr>
        </w:r>
        <w:r w:rsidR="00A96DD2" w:rsidRPr="00EA1BB2">
          <w:rPr>
            <w:rFonts w:ascii="Cambria" w:hAnsi="Cambria"/>
            <w:noProof/>
            <w:webHidden/>
            <w:szCs w:val="24"/>
            <w:lang w:val="ro-RO"/>
          </w:rPr>
          <w:fldChar w:fldCharType="separate"/>
        </w:r>
        <w:r w:rsidR="00567555">
          <w:rPr>
            <w:rFonts w:ascii="Cambria" w:hAnsi="Cambria"/>
            <w:noProof/>
            <w:webHidden/>
            <w:szCs w:val="24"/>
            <w:lang w:val="ro-RO"/>
          </w:rPr>
          <w:t>110</w:t>
        </w:r>
        <w:r w:rsidR="00A96DD2" w:rsidRPr="00EA1BB2">
          <w:rPr>
            <w:rFonts w:ascii="Cambria" w:hAnsi="Cambria"/>
            <w:noProof/>
            <w:webHidden/>
            <w:szCs w:val="24"/>
            <w:lang w:val="ro-RO"/>
          </w:rPr>
          <w:fldChar w:fldCharType="end"/>
        </w:r>
      </w:hyperlink>
    </w:p>
    <w:p w14:paraId="637D5847" w14:textId="1DAB51C4" w:rsidR="00A96DD2" w:rsidRPr="00EA1BB2" w:rsidRDefault="009A1372" w:rsidP="00A96DD2">
      <w:pPr>
        <w:pStyle w:val="TOC2"/>
        <w:tabs>
          <w:tab w:val="left" w:pos="880"/>
          <w:tab w:val="right" w:leader="dot" w:pos="9060"/>
        </w:tabs>
        <w:jc w:val="both"/>
        <w:rPr>
          <w:rFonts w:ascii="Cambria" w:eastAsiaTheme="minorEastAsia" w:hAnsi="Cambria"/>
          <w:noProof/>
          <w:szCs w:val="24"/>
          <w:lang w:val="ro-RO"/>
        </w:rPr>
      </w:pPr>
      <w:hyperlink w:anchor="_Toc526889742" w:history="1">
        <w:r w:rsidR="00A96DD2" w:rsidRPr="00EA1BB2">
          <w:rPr>
            <w:rStyle w:val="Hyperlink"/>
            <w:rFonts w:ascii="Cambria" w:eastAsia="Times New Roman" w:hAnsi="Cambria"/>
            <w:noProof/>
            <w:szCs w:val="24"/>
            <w:lang w:val="ro-RO"/>
          </w:rPr>
          <w:t>3.9.</w:t>
        </w:r>
        <w:r w:rsidR="00A96DD2" w:rsidRPr="00EA1BB2">
          <w:rPr>
            <w:rFonts w:ascii="Cambria" w:eastAsiaTheme="minorEastAsia" w:hAnsi="Cambria"/>
            <w:noProof/>
            <w:szCs w:val="24"/>
            <w:lang w:val="ro-RO"/>
          </w:rPr>
          <w:tab/>
        </w:r>
        <w:r w:rsidR="00A96DD2" w:rsidRPr="00EA1BB2">
          <w:rPr>
            <w:rStyle w:val="Hyperlink"/>
            <w:rFonts w:ascii="Cambria" w:eastAsia="Times New Roman" w:hAnsi="Cambria"/>
            <w:noProof/>
            <w:szCs w:val="24"/>
            <w:lang w:val="ro-RO"/>
          </w:rPr>
          <w:t>Informații privind contribuția datorată transportului și dispersiei poluanților emiși în atmosferă ale căror surse se găsesc în alte zone și aglomerări sau, după caz, alte regiuni</w:t>
        </w:r>
        <w:r w:rsidR="00A96DD2" w:rsidRPr="00EA1BB2">
          <w:rPr>
            <w:rFonts w:ascii="Cambria" w:hAnsi="Cambria"/>
            <w:noProof/>
            <w:webHidden/>
            <w:szCs w:val="24"/>
            <w:lang w:val="ro-RO"/>
          </w:rPr>
          <w:tab/>
        </w:r>
        <w:r w:rsidR="00A96DD2" w:rsidRPr="00EA1BB2">
          <w:rPr>
            <w:rFonts w:ascii="Cambria" w:hAnsi="Cambria"/>
            <w:noProof/>
            <w:webHidden/>
            <w:szCs w:val="24"/>
            <w:lang w:val="ro-RO"/>
          </w:rPr>
          <w:fldChar w:fldCharType="begin"/>
        </w:r>
        <w:r w:rsidR="00A96DD2" w:rsidRPr="00EA1BB2">
          <w:rPr>
            <w:rFonts w:ascii="Cambria" w:hAnsi="Cambria"/>
            <w:noProof/>
            <w:webHidden/>
            <w:szCs w:val="24"/>
            <w:lang w:val="ro-RO"/>
          </w:rPr>
          <w:instrText xml:space="preserve"> PAGEREF _Toc526889742 \h </w:instrText>
        </w:r>
        <w:r w:rsidR="00A96DD2" w:rsidRPr="00EA1BB2">
          <w:rPr>
            <w:rFonts w:ascii="Cambria" w:hAnsi="Cambria"/>
            <w:noProof/>
            <w:webHidden/>
            <w:szCs w:val="24"/>
            <w:lang w:val="ro-RO"/>
          </w:rPr>
        </w:r>
        <w:r w:rsidR="00A96DD2" w:rsidRPr="00EA1BB2">
          <w:rPr>
            <w:rFonts w:ascii="Cambria" w:hAnsi="Cambria"/>
            <w:noProof/>
            <w:webHidden/>
            <w:szCs w:val="24"/>
            <w:lang w:val="ro-RO"/>
          </w:rPr>
          <w:fldChar w:fldCharType="separate"/>
        </w:r>
        <w:r w:rsidR="00567555">
          <w:rPr>
            <w:rFonts w:ascii="Cambria" w:hAnsi="Cambria"/>
            <w:noProof/>
            <w:webHidden/>
            <w:szCs w:val="24"/>
            <w:lang w:val="ro-RO"/>
          </w:rPr>
          <w:t>114</w:t>
        </w:r>
        <w:r w:rsidR="00A96DD2" w:rsidRPr="00EA1BB2">
          <w:rPr>
            <w:rFonts w:ascii="Cambria" w:hAnsi="Cambria"/>
            <w:noProof/>
            <w:webHidden/>
            <w:szCs w:val="24"/>
            <w:lang w:val="ro-RO"/>
          </w:rPr>
          <w:fldChar w:fldCharType="end"/>
        </w:r>
      </w:hyperlink>
    </w:p>
    <w:p w14:paraId="5AB096C0" w14:textId="70B821DC" w:rsidR="00A96DD2" w:rsidRPr="00EA1BB2" w:rsidRDefault="009A1372" w:rsidP="00A96DD2">
      <w:pPr>
        <w:pStyle w:val="TOC2"/>
        <w:tabs>
          <w:tab w:val="left" w:pos="1100"/>
          <w:tab w:val="right" w:leader="dot" w:pos="9060"/>
        </w:tabs>
        <w:jc w:val="both"/>
        <w:rPr>
          <w:rFonts w:ascii="Cambria" w:eastAsiaTheme="minorEastAsia" w:hAnsi="Cambria"/>
          <w:noProof/>
          <w:szCs w:val="24"/>
          <w:lang w:val="ro-RO"/>
        </w:rPr>
      </w:pPr>
      <w:hyperlink w:anchor="_Toc526889743" w:history="1">
        <w:r w:rsidR="00A96DD2" w:rsidRPr="00EA1BB2">
          <w:rPr>
            <w:rStyle w:val="Hyperlink"/>
            <w:rFonts w:ascii="Cambria" w:eastAsia="Times New Roman" w:hAnsi="Cambria"/>
            <w:noProof/>
            <w:szCs w:val="24"/>
            <w:lang w:val="ro-RO"/>
          </w:rPr>
          <w:t>3.10.</w:t>
        </w:r>
        <w:r w:rsidR="00A96DD2" w:rsidRPr="00EA1BB2">
          <w:rPr>
            <w:rFonts w:ascii="Cambria" w:eastAsiaTheme="minorEastAsia" w:hAnsi="Cambria"/>
            <w:noProof/>
            <w:szCs w:val="24"/>
            <w:lang w:val="ro-RO"/>
          </w:rPr>
          <w:tab/>
        </w:r>
        <w:r w:rsidR="00A96DD2" w:rsidRPr="00EA1BB2">
          <w:rPr>
            <w:rStyle w:val="Hyperlink"/>
            <w:rFonts w:ascii="Cambria" w:eastAsia="Times New Roman" w:hAnsi="Cambria"/>
            <w:noProof/>
            <w:szCs w:val="24"/>
            <w:lang w:val="ro-RO"/>
          </w:rPr>
          <w:t>Analiza datelor meteo privind viteza vântului, precum și cele referitoare la calmul atmosferic și condițiile de ceață, pentru analiza transportului/importului de poluanți din zonele și aglomerările învecinate, respectiv pentru stabilirea favorizării acumulării noxelor poluanților la suprafața solului, care ar putea conduce la concentrații ridicate de poluanți ale acestora</w:t>
        </w:r>
        <w:r w:rsidR="00A96DD2" w:rsidRPr="00EA1BB2">
          <w:rPr>
            <w:rFonts w:ascii="Cambria" w:hAnsi="Cambria"/>
            <w:noProof/>
            <w:webHidden/>
            <w:szCs w:val="24"/>
            <w:lang w:val="ro-RO"/>
          </w:rPr>
          <w:tab/>
        </w:r>
        <w:r w:rsidR="00A96DD2" w:rsidRPr="00EA1BB2">
          <w:rPr>
            <w:rFonts w:ascii="Cambria" w:hAnsi="Cambria"/>
            <w:noProof/>
            <w:webHidden/>
            <w:szCs w:val="24"/>
            <w:lang w:val="ro-RO"/>
          </w:rPr>
          <w:fldChar w:fldCharType="begin"/>
        </w:r>
        <w:r w:rsidR="00A96DD2" w:rsidRPr="00EA1BB2">
          <w:rPr>
            <w:rFonts w:ascii="Cambria" w:hAnsi="Cambria"/>
            <w:noProof/>
            <w:webHidden/>
            <w:szCs w:val="24"/>
            <w:lang w:val="ro-RO"/>
          </w:rPr>
          <w:instrText xml:space="preserve"> PAGEREF _Toc526889743 \h </w:instrText>
        </w:r>
        <w:r w:rsidR="00A96DD2" w:rsidRPr="00EA1BB2">
          <w:rPr>
            <w:rFonts w:ascii="Cambria" w:hAnsi="Cambria"/>
            <w:noProof/>
            <w:webHidden/>
            <w:szCs w:val="24"/>
            <w:lang w:val="ro-RO"/>
          </w:rPr>
        </w:r>
        <w:r w:rsidR="00A96DD2" w:rsidRPr="00EA1BB2">
          <w:rPr>
            <w:rFonts w:ascii="Cambria" w:hAnsi="Cambria"/>
            <w:noProof/>
            <w:webHidden/>
            <w:szCs w:val="24"/>
            <w:lang w:val="ro-RO"/>
          </w:rPr>
          <w:fldChar w:fldCharType="separate"/>
        </w:r>
        <w:r w:rsidR="00567555">
          <w:rPr>
            <w:rFonts w:ascii="Cambria" w:hAnsi="Cambria"/>
            <w:noProof/>
            <w:webHidden/>
            <w:szCs w:val="24"/>
            <w:lang w:val="ro-RO"/>
          </w:rPr>
          <w:t>119</w:t>
        </w:r>
        <w:r w:rsidR="00A96DD2" w:rsidRPr="00EA1BB2">
          <w:rPr>
            <w:rFonts w:ascii="Cambria" w:hAnsi="Cambria"/>
            <w:noProof/>
            <w:webHidden/>
            <w:szCs w:val="24"/>
            <w:lang w:val="ro-RO"/>
          </w:rPr>
          <w:fldChar w:fldCharType="end"/>
        </w:r>
      </w:hyperlink>
    </w:p>
    <w:p w14:paraId="4394205D" w14:textId="5A19C5B0" w:rsidR="00A96DD2" w:rsidRPr="00EA1BB2" w:rsidRDefault="009A1372" w:rsidP="00A96DD2">
      <w:pPr>
        <w:pStyle w:val="TOC2"/>
        <w:tabs>
          <w:tab w:val="left" w:pos="1100"/>
          <w:tab w:val="right" w:leader="dot" w:pos="9060"/>
        </w:tabs>
        <w:jc w:val="both"/>
        <w:rPr>
          <w:rFonts w:ascii="Cambria" w:eastAsiaTheme="minorEastAsia" w:hAnsi="Cambria"/>
          <w:noProof/>
          <w:szCs w:val="24"/>
          <w:lang w:val="ro-RO"/>
        </w:rPr>
      </w:pPr>
      <w:hyperlink w:anchor="_Toc526889744" w:history="1">
        <w:r w:rsidR="00A96DD2" w:rsidRPr="00EA1BB2">
          <w:rPr>
            <w:rStyle w:val="Hyperlink"/>
            <w:rFonts w:ascii="Cambria" w:eastAsia="Times New Roman" w:hAnsi="Cambria"/>
            <w:noProof/>
            <w:szCs w:val="24"/>
            <w:lang w:val="ro-RO"/>
          </w:rPr>
          <w:t>3.11.</w:t>
        </w:r>
        <w:r w:rsidR="00A96DD2" w:rsidRPr="00EA1BB2">
          <w:rPr>
            <w:rFonts w:ascii="Cambria" w:eastAsiaTheme="minorEastAsia" w:hAnsi="Cambria"/>
            <w:noProof/>
            <w:szCs w:val="24"/>
            <w:lang w:val="ro-RO"/>
          </w:rPr>
          <w:tab/>
        </w:r>
        <w:r w:rsidR="00A96DD2" w:rsidRPr="00EA1BB2">
          <w:rPr>
            <w:rStyle w:val="Hyperlink"/>
            <w:rFonts w:ascii="Cambria" w:eastAsia="Times New Roman" w:hAnsi="Cambria"/>
            <w:noProof/>
            <w:szCs w:val="24"/>
            <w:lang w:val="ro-RO"/>
          </w:rPr>
          <w:t>Informații legate de sursele de emisie ale substanțelor precursoare ale ozonului și condițiile meteorologice la macroscară.</w:t>
        </w:r>
        <w:r w:rsidR="00A96DD2" w:rsidRPr="00EA1BB2">
          <w:rPr>
            <w:rFonts w:ascii="Cambria" w:hAnsi="Cambria"/>
            <w:noProof/>
            <w:webHidden/>
            <w:szCs w:val="24"/>
            <w:lang w:val="ro-RO"/>
          </w:rPr>
          <w:tab/>
        </w:r>
        <w:r w:rsidR="00A96DD2" w:rsidRPr="00EA1BB2">
          <w:rPr>
            <w:rFonts w:ascii="Cambria" w:hAnsi="Cambria"/>
            <w:noProof/>
            <w:webHidden/>
            <w:szCs w:val="24"/>
            <w:lang w:val="ro-RO"/>
          </w:rPr>
          <w:fldChar w:fldCharType="begin"/>
        </w:r>
        <w:r w:rsidR="00A96DD2" w:rsidRPr="00EA1BB2">
          <w:rPr>
            <w:rFonts w:ascii="Cambria" w:hAnsi="Cambria"/>
            <w:noProof/>
            <w:webHidden/>
            <w:szCs w:val="24"/>
            <w:lang w:val="ro-RO"/>
          </w:rPr>
          <w:instrText xml:space="preserve"> PAGEREF _Toc526889744 \h </w:instrText>
        </w:r>
        <w:r w:rsidR="00A96DD2" w:rsidRPr="00EA1BB2">
          <w:rPr>
            <w:rFonts w:ascii="Cambria" w:hAnsi="Cambria"/>
            <w:noProof/>
            <w:webHidden/>
            <w:szCs w:val="24"/>
            <w:lang w:val="ro-RO"/>
          </w:rPr>
        </w:r>
        <w:r w:rsidR="00A96DD2" w:rsidRPr="00EA1BB2">
          <w:rPr>
            <w:rFonts w:ascii="Cambria" w:hAnsi="Cambria"/>
            <w:noProof/>
            <w:webHidden/>
            <w:szCs w:val="24"/>
            <w:lang w:val="ro-RO"/>
          </w:rPr>
          <w:fldChar w:fldCharType="separate"/>
        </w:r>
        <w:r w:rsidR="00567555">
          <w:rPr>
            <w:rFonts w:ascii="Cambria" w:hAnsi="Cambria"/>
            <w:noProof/>
            <w:webHidden/>
            <w:szCs w:val="24"/>
            <w:lang w:val="ro-RO"/>
          </w:rPr>
          <w:t>126</w:t>
        </w:r>
        <w:r w:rsidR="00A96DD2" w:rsidRPr="00EA1BB2">
          <w:rPr>
            <w:rFonts w:ascii="Cambria" w:hAnsi="Cambria"/>
            <w:noProof/>
            <w:webHidden/>
            <w:szCs w:val="24"/>
            <w:lang w:val="ro-RO"/>
          </w:rPr>
          <w:fldChar w:fldCharType="end"/>
        </w:r>
      </w:hyperlink>
    </w:p>
    <w:p w14:paraId="24AA56BF" w14:textId="098D317A" w:rsidR="00A96DD2" w:rsidRPr="00EA1BB2" w:rsidRDefault="009A1372" w:rsidP="00A96DD2">
      <w:pPr>
        <w:pStyle w:val="TOC1"/>
        <w:rPr>
          <w:rFonts w:eastAsiaTheme="minorEastAsia"/>
          <w:noProof/>
          <w:szCs w:val="24"/>
          <w:lang w:val="ro-RO"/>
        </w:rPr>
      </w:pPr>
      <w:hyperlink w:anchor="_Toc526889745" w:history="1">
        <w:r w:rsidR="00A96DD2" w:rsidRPr="00EA1BB2">
          <w:rPr>
            <w:rStyle w:val="Hyperlink"/>
            <w:rFonts w:cs="Times New Roman"/>
            <w:noProof/>
            <w:szCs w:val="24"/>
            <w:lang w:val="ro-RO"/>
          </w:rPr>
          <w:t>4.</w:t>
        </w:r>
        <w:r w:rsidR="00A96DD2" w:rsidRPr="00EA1BB2">
          <w:rPr>
            <w:rFonts w:eastAsiaTheme="minorEastAsia"/>
            <w:noProof/>
            <w:szCs w:val="24"/>
            <w:lang w:val="ro-RO"/>
          </w:rPr>
          <w:tab/>
        </w:r>
        <w:r w:rsidR="00A96DD2" w:rsidRPr="00EA1BB2">
          <w:rPr>
            <w:rStyle w:val="Hyperlink"/>
            <w:rFonts w:cs="Times New Roman"/>
            <w:noProof/>
            <w:szCs w:val="24"/>
            <w:lang w:val="ro-RO"/>
          </w:rPr>
          <w:t>DETALII PRIVIND MĂSURI SAU PROIECTE DE ÎMBUNĂTĂȚIRE CARE EXISTAU ÎNAINTE DE 11 IUNIE 2008: MĂSURI LOCALE, REGIONALE, NAȚIONALE ȘI INTERNAȚIONALE EFECTELE OBSERVATE ALE ACESTOR MASURI</w:t>
        </w:r>
        <w:r w:rsidR="00A96DD2" w:rsidRPr="00EA1BB2">
          <w:rPr>
            <w:noProof/>
            <w:webHidden/>
            <w:szCs w:val="24"/>
            <w:lang w:val="ro-RO"/>
          </w:rPr>
          <w:tab/>
        </w:r>
        <w:r w:rsidR="00A96DD2" w:rsidRPr="00EA1BB2">
          <w:rPr>
            <w:noProof/>
            <w:webHidden/>
            <w:szCs w:val="24"/>
            <w:lang w:val="ro-RO"/>
          </w:rPr>
          <w:fldChar w:fldCharType="begin"/>
        </w:r>
        <w:r w:rsidR="00A96DD2" w:rsidRPr="00EA1BB2">
          <w:rPr>
            <w:noProof/>
            <w:webHidden/>
            <w:szCs w:val="24"/>
            <w:lang w:val="ro-RO"/>
          </w:rPr>
          <w:instrText xml:space="preserve"> PAGEREF _Toc526889745 \h </w:instrText>
        </w:r>
        <w:r w:rsidR="00A96DD2" w:rsidRPr="00EA1BB2">
          <w:rPr>
            <w:noProof/>
            <w:webHidden/>
            <w:szCs w:val="24"/>
            <w:lang w:val="ro-RO"/>
          </w:rPr>
        </w:r>
        <w:r w:rsidR="00A96DD2" w:rsidRPr="00EA1BB2">
          <w:rPr>
            <w:noProof/>
            <w:webHidden/>
            <w:szCs w:val="24"/>
            <w:lang w:val="ro-RO"/>
          </w:rPr>
          <w:fldChar w:fldCharType="separate"/>
        </w:r>
        <w:r w:rsidR="00567555">
          <w:rPr>
            <w:noProof/>
            <w:webHidden/>
            <w:szCs w:val="24"/>
            <w:lang w:val="ro-RO"/>
          </w:rPr>
          <w:t>130</w:t>
        </w:r>
        <w:r w:rsidR="00A96DD2" w:rsidRPr="00EA1BB2">
          <w:rPr>
            <w:noProof/>
            <w:webHidden/>
            <w:szCs w:val="24"/>
            <w:lang w:val="ro-RO"/>
          </w:rPr>
          <w:fldChar w:fldCharType="end"/>
        </w:r>
      </w:hyperlink>
    </w:p>
    <w:p w14:paraId="35CE9163" w14:textId="5DDEC770" w:rsidR="00A96DD2" w:rsidRPr="00EA1BB2" w:rsidRDefault="009A1372" w:rsidP="00A96DD2">
      <w:pPr>
        <w:pStyle w:val="TOC2"/>
        <w:tabs>
          <w:tab w:val="left" w:pos="880"/>
          <w:tab w:val="right" w:leader="dot" w:pos="9060"/>
        </w:tabs>
        <w:jc w:val="both"/>
        <w:rPr>
          <w:rFonts w:ascii="Cambria" w:eastAsiaTheme="minorEastAsia" w:hAnsi="Cambria"/>
          <w:noProof/>
          <w:szCs w:val="24"/>
          <w:lang w:val="ro-RO"/>
        </w:rPr>
      </w:pPr>
      <w:hyperlink w:anchor="_Toc526889746" w:history="1">
        <w:r w:rsidR="00A96DD2" w:rsidRPr="00EA1BB2">
          <w:rPr>
            <w:rStyle w:val="Hyperlink"/>
            <w:rFonts w:ascii="Cambria" w:hAnsi="Cambria" w:cs="Times New Roman"/>
            <w:noProof/>
            <w:szCs w:val="24"/>
            <w:lang w:val="ro-RO"/>
          </w:rPr>
          <w:t>4.1.</w:t>
        </w:r>
        <w:r w:rsidR="00A96DD2" w:rsidRPr="00EA1BB2">
          <w:rPr>
            <w:rFonts w:ascii="Cambria" w:eastAsiaTheme="minorEastAsia" w:hAnsi="Cambria"/>
            <w:noProof/>
            <w:szCs w:val="24"/>
            <w:lang w:val="ro-RO"/>
          </w:rPr>
          <w:tab/>
        </w:r>
        <w:r w:rsidR="00A96DD2" w:rsidRPr="00EA1BB2">
          <w:rPr>
            <w:rStyle w:val="Hyperlink"/>
            <w:rFonts w:ascii="Cambria" w:hAnsi="Cambria" w:cs="Times New Roman"/>
            <w:noProof/>
            <w:szCs w:val="24"/>
            <w:lang w:val="ro-RO"/>
          </w:rPr>
          <w:t>Măsuri locale, regionale, naționale, internaționale</w:t>
        </w:r>
        <w:r w:rsidR="00A96DD2" w:rsidRPr="00EA1BB2">
          <w:rPr>
            <w:rFonts w:ascii="Cambria" w:hAnsi="Cambria"/>
            <w:noProof/>
            <w:webHidden/>
            <w:szCs w:val="24"/>
            <w:lang w:val="ro-RO"/>
          </w:rPr>
          <w:tab/>
        </w:r>
        <w:r w:rsidR="00A96DD2" w:rsidRPr="00EA1BB2">
          <w:rPr>
            <w:rFonts w:ascii="Cambria" w:hAnsi="Cambria"/>
            <w:noProof/>
            <w:webHidden/>
            <w:szCs w:val="24"/>
            <w:lang w:val="ro-RO"/>
          </w:rPr>
          <w:fldChar w:fldCharType="begin"/>
        </w:r>
        <w:r w:rsidR="00A96DD2" w:rsidRPr="00EA1BB2">
          <w:rPr>
            <w:rFonts w:ascii="Cambria" w:hAnsi="Cambria"/>
            <w:noProof/>
            <w:webHidden/>
            <w:szCs w:val="24"/>
            <w:lang w:val="ro-RO"/>
          </w:rPr>
          <w:instrText xml:space="preserve"> PAGEREF _Toc526889746 \h </w:instrText>
        </w:r>
        <w:r w:rsidR="00A96DD2" w:rsidRPr="00EA1BB2">
          <w:rPr>
            <w:rFonts w:ascii="Cambria" w:hAnsi="Cambria"/>
            <w:noProof/>
            <w:webHidden/>
            <w:szCs w:val="24"/>
            <w:lang w:val="ro-RO"/>
          </w:rPr>
        </w:r>
        <w:r w:rsidR="00A96DD2" w:rsidRPr="00EA1BB2">
          <w:rPr>
            <w:rFonts w:ascii="Cambria" w:hAnsi="Cambria"/>
            <w:noProof/>
            <w:webHidden/>
            <w:szCs w:val="24"/>
            <w:lang w:val="ro-RO"/>
          </w:rPr>
          <w:fldChar w:fldCharType="separate"/>
        </w:r>
        <w:r w:rsidR="00567555">
          <w:rPr>
            <w:rFonts w:ascii="Cambria" w:hAnsi="Cambria"/>
            <w:noProof/>
            <w:webHidden/>
            <w:szCs w:val="24"/>
            <w:lang w:val="ro-RO"/>
          </w:rPr>
          <w:t>130</w:t>
        </w:r>
        <w:r w:rsidR="00A96DD2" w:rsidRPr="00EA1BB2">
          <w:rPr>
            <w:rFonts w:ascii="Cambria" w:hAnsi="Cambria"/>
            <w:noProof/>
            <w:webHidden/>
            <w:szCs w:val="24"/>
            <w:lang w:val="ro-RO"/>
          </w:rPr>
          <w:fldChar w:fldCharType="end"/>
        </w:r>
      </w:hyperlink>
    </w:p>
    <w:p w14:paraId="50AC5F0D" w14:textId="05639091" w:rsidR="00A96DD2" w:rsidRPr="00EA1BB2" w:rsidRDefault="009A1372" w:rsidP="00A96DD2">
      <w:pPr>
        <w:pStyle w:val="TOC2"/>
        <w:tabs>
          <w:tab w:val="left" w:pos="880"/>
          <w:tab w:val="right" w:leader="dot" w:pos="9060"/>
        </w:tabs>
        <w:jc w:val="both"/>
        <w:rPr>
          <w:rFonts w:ascii="Cambria" w:eastAsiaTheme="minorEastAsia" w:hAnsi="Cambria"/>
          <w:noProof/>
          <w:szCs w:val="24"/>
          <w:lang w:val="ro-RO"/>
        </w:rPr>
      </w:pPr>
      <w:hyperlink w:anchor="_Toc526889747" w:history="1">
        <w:r w:rsidR="00A96DD2" w:rsidRPr="00EA1BB2">
          <w:rPr>
            <w:rStyle w:val="Hyperlink"/>
            <w:rFonts w:ascii="Cambria" w:eastAsia="Times New Roman" w:hAnsi="Cambria"/>
            <w:noProof/>
            <w:szCs w:val="24"/>
            <w:lang w:val="ro-RO"/>
          </w:rPr>
          <w:t>4.2.</w:t>
        </w:r>
        <w:r w:rsidR="00A96DD2" w:rsidRPr="00EA1BB2">
          <w:rPr>
            <w:rFonts w:ascii="Cambria" w:eastAsiaTheme="minorEastAsia" w:hAnsi="Cambria"/>
            <w:noProof/>
            <w:szCs w:val="24"/>
            <w:lang w:val="ro-RO"/>
          </w:rPr>
          <w:tab/>
        </w:r>
        <w:r w:rsidR="00A96DD2" w:rsidRPr="00EA1BB2">
          <w:rPr>
            <w:rStyle w:val="Hyperlink"/>
            <w:rFonts w:ascii="Cambria" w:eastAsia="Times New Roman" w:hAnsi="Cambria"/>
            <w:noProof/>
            <w:szCs w:val="24"/>
            <w:lang w:val="ro-RO"/>
          </w:rPr>
          <w:t>Efectele observate ale acestor măsuri</w:t>
        </w:r>
        <w:r w:rsidR="00A96DD2" w:rsidRPr="00EA1BB2">
          <w:rPr>
            <w:rFonts w:ascii="Cambria" w:hAnsi="Cambria"/>
            <w:noProof/>
            <w:webHidden/>
            <w:szCs w:val="24"/>
            <w:lang w:val="ro-RO"/>
          </w:rPr>
          <w:tab/>
        </w:r>
        <w:r w:rsidR="00A96DD2" w:rsidRPr="00EA1BB2">
          <w:rPr>
            <w:rFonts w:ascii="Cambria" w:hAnsi="Cambria"/>
            <w:noProof/>
            <w:webHidden/>
            <w:szCs w:val="24"/>
            <w:lang w:val="ro-RO"/>
          </w:rPr>
          <w:fldChar w:fldCharType="begin"/>
        </w:r>
        <w:r w:rsidR="00A96DD2" w:rsidRPr="00EA1BB2">
          <w:rPr>
            <w:rFonts w:ascii="Cambria" w:hAnsi="Cambria"/>
            <w:noProof/>
            <w:webHidden/>
            <w:szCs w:val="24"/>
            <w:lang w:val="ro-RO"/>
          </w:rPr>
          <w:instrText xml:space="preserve"> PAGEREF _Toc526889747 \h </w:instrText>
        </w:r>
        <w:r w:rsidR="00A96DD2" w:rsidRPr="00EA1BB2">
          <w:rPr>
            <w:rFonts w:ascii="Cambria" w:hAnsi="Cambria"/>
            <w:noProof/>
            <w:webHidden/>
            <w:szCs w:val="24"/>
            <w:lang w:val="ro-RO"/>
          </w:rPr>
        </w:r>
        <w:r w:rsidR="00A96DD2" w:rsidRPr="00EA1BB2">
          <w:rPr>
            <w:rFonts w:ascii="Cambria" w:hAnsi="Cambria"/>
            <w:noProof/>
            <w:webHidden/>
            <w:szCs w:val="24"/>
            <w:lang w:val="ro-RO"/>
          </w:rPr>
          <w:fldChar w:fldCharType="separate"/>
        </w:r>
        <w:r w:rsidR="00567555">
          <w:rPr>
            <w:rFonts w:ascii="Cambria" w:hAnsi="Cambria"/>
            <w:noProof/>
            <w:webHidden/>
            <w:szCs w:val="24"/>
            <w:lang w:val="ro-RO"/>
          </w:rPr>
          <w:t>143</w:t>
        </w:r>
        <w:r w:rsidR="00A96DD2" w:rsidRPr="00EA1BB2">
          <w:rPr>
            <w:rFonts w:ascii="Cambria" w:hAnsi="Cambria"/>
            <w:noProof/>
            <w:webHidden/>
            <w:szCs w:val="24"/>
            <w:lang w:val="ro-RO"/>
          </w:rPr>
          <w:fldChar w:fldCharType="end"/>
        </w:r>
      </w:hyperlink>
    </w:p>
    <w:p w14:paraId="7FC758A0" w14:textId="3E761A93" w:rsidR="00A96DD2" w:rsidRPr="00EA1BB2" w:rsidRDefault="009A1372" w:rsidP="00A96DD2">
      <w:pPr>
        <w:pStyle w:val="TOC1"/>
        <w:rPr>
          <w:rFonts w:eastAsiaTheme="minorEastAsia"/>
          <w:noProof/>
          <w:szCs w:val="24"/>
          <w:lang w:val="ro-RO"/>
        </w:rPr>
      </w:pPr>
      <w:hyperlink w:anchor="_Toc526889748" w:history="1">
        <w:r w:rsidR="00A96DD2" w:rsidRPr="00EA1BB2">
          <w:rPr>
            <w:rStyle w:val="Hyperlink"/>
            <w:rFonts w:cs="Times New Roman"/>
            <w:noProof/>
            <w:szCs w:val="24"/>
            <w:lang w:val="ro-RO"/>
          </w:rPr>
          <w:t>5.</w:t>
        </w:r>
        <w:r w:rsidR="00A96DD2" w:rsidRPr="00EA1BB2">
          <w:rPr>
            <w:rFonts w:eastAsiaTheme="minorEastAsia"/>
            <w:noProof/>
            <w:szCs w:val="24"/>
            <w:lang w:val="ro-RO"/>
          </w:rPr>
          <w:tab/>
        </w:r>
        <w:r w:rsidR="00A96DD2" w:rsidRPr="00EA1BB2">
          <w:rPr>
            <w:rStyle w:val="Hyperlink"/>
            <w:rFonts w:cs="Times New Roman"/>
            <w:noProof/>
            <w:szCs w:val="24"/>
            <w:lang w:val="ro-RO"/>
          </w:rPr>
          <w:t>SCENARII DE MENȚINERE A CALITĂTII AERULUI ÎN JUDEȚUL BRĂILA</w:t>
        </w:r>
        <w:r w:rsidR="00A96DD2" w:rsidRPr="00EA1BB2">
          <w:rPr>
            <w:noProof/>
            <w:webHidden/>
            <w:szCs w:val="24"/>
            <w:lang w:val="ro-RO"/>
          </w:rPr>
          <w:tab/>
        </w:r>
        <w:r w:rsidR="00A96DD2" w:rsidRPr="00EA1BB2">
          <w:rPr>
            <w:noProof/>
            <w:webHidden/>
            <w:szCs w:val="24"/>
            <w:lang w:val="ro-RO"/>
          </w:rPr>
          <w:fldChar w:fldCharType="begin"/>
        </w:r>
        <w:r w:rsidR="00A96DD2" w:rsidRPr="00EA1BB2">
          <w:rPr>
            <w:noProof/>
            <w:webHidden/>
            <w:szCs w:val="24"/>
            <w:lang w:val="ro-RO"/>
          </w:rPr>
          <w:instrText xml:space="preserve"> PAGEREF _Toc526889748 \h </w:instrText>
        </w:r>
        <w:r w:rsidR="00A96DD2" w:rsidRPr="00EA1BB2">
          <w:rPr>
            <w:noProof/>
            <w:webHidden/>
            <w:szCs w:val="24"/>
            <w:lang w:val="ro-RO"/>
          </w:rPr>
        </w:r>
        <w:r w:rsidR="00A96DD2" w:rsidRPr="00EA1BB2">
          <w:rPr>
            <w:noProof/>
            <w:webHidden/>
            <w:szCs w:val="24"/>
            <w:lang w:val="ro-RO"/>
          </w:rPr>
          <w:fldChar w:fldCharType="separate"/>
        </w:r>
        <w:r w:rsidR="00567555">
          <w:rPr>
            <w:noProof/>
            <w:webHidden/>
            <w:szCs w:val="24"/>
            <w:lang w:val="ro-RO"/>
          </w:rPr>
          <w:t>144</w:t>
        </w:r>
        <w:r w:rsidR="00A96DD2" w:rsidRPr="00EA1BB2">
          <w:rPr>
            <w:noProof/>
            <w:webHidden/>
            <w:szCs w:val="24"/>
            <w:lang w:val="ro-RO"/>
          </w:rPr>
          <w:fldChar w:fldCharType="end"/>
        </w:r>
      </w:hyperlink>
    </w:p>
    <w:p w14:paraId="1D9FE957" w14:textId="45876988" w:rsidR="00A96DD2" w:rsidRPr="00EA1BB2" w:rsidRDefault="009A1372" w:rsidP="00A96DD2">
      <w:pPr>
        <w:pStyle w:val="TOC2"/>
        <w:tabs>
          <w:tab w:val="left" w:pos="880"/>
          <w:tab w:val="right" w:leader="dot" w:pos="9060"/>
        </w:tabs>
        <w:jc w:val="both"/>
        <w:rPr>
          <w:rFonts w:ascii="Cambria" w:eastAsiaTheme="minorEastAsia" w:hAnsi="Cambria"/>
          <w:noProof/>
          <w:szCs w:val="24"/>
          <w:lang w:val="ro-RO"/>
        </w:rPr>
      </w:pPr>
      <w:hyperlink w:anchor="_Toc526889749" w:history="1">
        <w:r w:rsidR="00A96DD2" w:rsidRPr="00EA1BB2">
          <w:rPr>
            <w:rStyle w:val="Hyperlink"/>
            <w:rFonts w:ascii="Cambria" w:eastAsia="Times New Roman" w:hAnsi="Cambria"/>
            <w:noProof/>
            <w:szCs w:val="24"/>
            <w:lang w:val="ro-RO"/>
          </w:rPr>
          <w:t>5.1.</w:t>
        </w:r>
        <w:r w:rsidR="00A96DD2" w:rsidRPr="00EA1BB2">
          <w:rPr>
            <w:rFonts w:ascii="Cambria" w:eastAsiaTheme="minorEastAsia" w:hAnsi="Cambria"/>
            <w:noProof/>
            <w:szCs w:val="24"/>
            <w:lang w:val="ro-RO"/>
          </w:rPr>
          <w:tab/>
        </w:r>
        <w:r w:rsidR="00A96DD2" w:rsidRPr="00EA1BB2">
          <w:rPr>
            <w:rStyle w:val="Hyperlink"/>
            <w:rFonts w:ascii="Cambria" w:eastAsia="Times New Roman" w:hAnsi="Cambria"/>
            <w:noProof/>
            <w:szCs w:val="24"/>
            <w:lang w:val="ro-RO"/>
          </w:rPr>
          <w:t>Modelul matematic utilizat pentru a analiza dispersia poluanților în atmosferă</w:t>
        </w:r>
        <w:r w:rsidR="00A96DD2" w:rsidRPr="00EA1BB2">
          <w:rPr>
            <w:rFonts w:ascii="Cambria" w:hAnsi="Cambria"/>
            <w:noProof/>
            <w:webHidden/>
            <w:szCs w:val="24"/>
            <w:lang w:val="ro-RO"/>
          </w:rPr>
          <w:tab/>
        </w:r>
        <w:r w:rsidR="00371699" w:rsidRPr="00EA1BB2">
          <w:rPr>
            <w:rFonts w:ascii="Cambria" w:hAnsi="Cambria"/>
            <w:noProof/>
            <w:webHidden/>
            <w:szCs w:val="24"/>
            <w:lang w:val="ro-RO"/>
          </w:rPr>
          <w:t>…………………………………………………………………………………………………………………</w:t>
        </w:r>
        <w:r w:rsidR="00A96DD2" w:rsidRPr="00EA1BB2">
          <w:rPr>
            <w:rFonts w:ascii="Cambria" w:hAnsi="Cambria"/>
            <w:noProof/>
            <w:webHidden/>
            <w:szCs w:val="24"/>
            <w:lang w:val="ro-RO"/>
          </w:rPr>
          <w:fldChar w:fldCharType="begin"/>
        </w:r>
        <w:r w:rsidR="00A96DD2" w:rsidRPr="00EA1BB2">
          <w:rPr>
            <w:rFonts w:ascii="Cambria" w:hAnsi="Cambria"/>
            <w:noProof/>
            <w:webHidden/>
            <w:szCs w:val="24"/>
            <w:lang w:val="ro-RO"/>
          </w:rPr>
          <w:instrText xml:space="preserve"> PAGEREF _Toc526889749 \h </w:instrText>
        </w:r>
        <w:r w:rsidR="00A96DD2" w:rsidRPr="00EA1BB2">
          <w:rPr>
            <w:rFonts w:ascii="Cambria" w:hAnsi="Cambria"/>
            <w:noProof/>
            <w:webHidden/>
            <w:szCs w:val="24"/>
            <w:lang w:val="ro-RO"/>
          </w:rPr>
        </w:r>
        <w:r w:rsidR="00A96DD2" w:rsidRPr="00EA1BB2">
          <w:rPr>
            <w:rFonts w:ascii="Cambria" w:hAnsi="Cambria"/>
            <w:noProof/>
            <w:webHidden/>
            <w:szCs w:val="24"/>
            <w:lang w:val="ro-RO"/>
          </w:rPr>
          <w:fldChar w:fldCharType="separate"/>
        </w:r>
        <w:r w:rsidR="00567555">
          <w:rPr>
            <w:rFonts w:ascii="Cambria" w:hAnsi="Cambria"/>
            <w:noProof/>
            <w:webHidden/>
            <w:szCs w:val="24"/>
            <w:lang w:val="ro-RO"/>
          </w:rPr>
          <w:t>144</w:t>
        </w:r>
        <w:r w:rsidR="00A96DD2" w:rsidRPr="00EA1BB2">
          <w:rPr>
            <w:rFonts w:ascii="Cambria" w:hAnsi="Cambria"/>
            <w:noProof/>
            <w:webHidden/>
            <w:szCs w:val="24"/>
            <w:lang w:val="ro-RO"/>
          </w:rPr>
          <w:fldChar w:fldCharType="end"/>
        </w:r>
      </w:hyperlink>
    </w:p>
    <w:p w14:paraId="1AC761C9" w14:textId="4D33F1E0" w:rsidR="00A96DD2" w:rsidRPr="00EA1BB2" w:rsidRDefault="009A1372" w:rsidP="00A96DD2">
      <w:pPr>
        <w:pStyle w:val="TOC2"/>
        <w:tabs>
          <w:tab w:val="left" w:pos="880"/>
          <w:tab w:val="right" w:leader="dot" w:pos="9060"/>
        </w:tabs>
        <w:jc w:val="both"/>
        <w:rPr>
          <w:rFonts w:ascii="Cambria" w:eastAsiaTheme="minorEastAsia" w:hAnsi="Cambria"/>
          <w:noProof/>
          <w:szCs w:val="24"/>
          <w:lang w:val="ro-RO"/>
        </w:rPr>
      </w:pPr>
      <w:hyperlink w:anchor="_Toc526889750" w:history="1">
        <w:r w:rsidR="00A96DD2" w:rsidRPr="00EA1BB2">
          <w:rPr>
            <w:rStyle w:val="Hyperlink"/>
            <w:rFonts w:ascii="Cambria" w:eastAsia="Times New Roman" w:hAnsi="Cambria"/>
            <w:noProof/>
            <w:szCs w:val="24"/>
            <w:lang w:val="ro-RO"/>
          </w:rPr>
          <w:t>5.2.</w:t>
        </w:r>
        <w:r w:rsidR="00A96DD2" w:rsidRPr="00EA1BB2">
          <w:rPr>
            <w:rFonts w:ascii="Cambria" w:eastAsiaTheme="minorEastAsia" w:hAnsi="Cambria"/>
            <w:noProof/>
            <w:szCs w:val="24"/>
            <w:lang w:val="ro-RO"/>
          </w:rPr>
          <w:tab/>
        </w:r>
        <w:r w:rsidR="00A96DD2" w:rsidRPr="00EA1BB2">
          <w:rPr>
            <w:rStyle w:val="Hyperlink"/>
            <w:rFonts w:ascii="Cambria" w:eastAsia="Times New Roman" w:hAnsi="Cambria"/>
            <w:noProof/>
            <w:szCs w:val="24"/>
            <w:lang w:val="ro-RO"/>
          </w:rPr>
          <w:t>Scenariul A - SCENARIUL DE REFERINȚĂ</w:t>
        </w:r>
        <w:r w:rsidR="00A96DD2" w:rsidRPr="00EA1BB2">
          <w:rPr>
            <w:rFonts w:ascii="Cambria" w:hAnsi="Cambria"/>
            <w:noProof/>
            <w:webHidden/>
            <w:szCs w:val="24"/>
            <w:lang w:val="ro-RO"/>
          </w:rPr>
          <w:tab/>
        </w:r>
        <w:r w:rsidR="00A96DD2" w:rsidRPr="00EA1BB2">
          <w:rPr>
            <w:rFonts w:ascii="Cambria" w:hAnsi="Cambria"/>
            <w:noProof/>
            <w:webHidden/>
            <w:szCs w:val="24"/>
            <w:lang w:val="ro-RO"/>
          </w:rPr>
          <w:fldChar w:fldCharType="begin"/>
        </w:r>
        <w:r w:rsidR="00A96DD2" w:rsidRPr="00EA1BB2">
          <w:rPr>
            <w:rFonts w:ascii="Cambria" w:hAnsi="Cambria"/>
            <w:noProof/>
            <w:webHidden/>
            <w:szCs w:val="24"/>
            <w:lang w:val="ro-RO"/>
          </w:rPr>
          <w:instrText xml:space="preserve"> PAGEREF _Toc526889750 \h </w:instrText>
        </w:r>
        <w:r w:rsidR="00A96DD2" w:rsidRPr="00EA1BB2">
          <w:rPr>
            <w:rFonts w:ascii="Cambria" w:hAnsi="Cambria"/>
            <w:noProof/>
            <w:webHidden/>
            <w:szCs w:val="24"/>
            <w:lang w:val="ro-RO"/>
          </w:rPr>
        </w:r>
        <w:r w:rsidR="00A96DD2" w:rsidRPr="00EA1BB2">
          <w:rPr>
            <w:rFonts w:ascii="Cambria" w:hAnsi="Cambria"/>
            <w:noProof/>
            <w:webHidden/>
            <w:szCs w:val="24"/>
            <w:lang w:val="ro-RO"/>
          </w:rPr>
          <w:fldChar w:fldCharType="separate"/>
        </w:r>
        <w:r w:rsidR="00567555">
          <w:rPr>
            <w:rFonts w:ascii="Cambria" w:hAnsi="Cambria"/>
            <w:noProof/>
            <w:webHidden/>
            <w:szCs w:val="24"/>
            <w:lang w:val="ro-RO"/>
          </w:rPr>
          <w:t>150</w:t>
        </w:r>
        <w:r w:rsidR="00A96DD2" w:rsidRPr="00EA1BB2">
          <w:rPr>
            <w:rFonts w:ascii="Cambria" w:hAnsi="Cambria"/>
            <w:noProof/>
            <w:webHidden/>
            <w:szCs w:val="24"/>
            <w:lang w:val="ro-RO"/>
          </w:rPr>
          <w:fldChar w:fldCharType="end"/>
        </w:r>
      </w:hyperlink>
    </w:p>
    <w:p w14:paraId="6DFF11D1" w14:textId="254C9EDC" w:rsidR="00A96DD2" w:rsidRPr="00EA1BB2" w:rsidRDefault="009A1372" w:rsidP="00A96DD2">
      <w:pPr>
        <w:pStyle w:val="TOC2"/>
        <w:tabs>
          <w:tab w:val="left" w:pos="880"/>
          <w:tab w:val="right" w:leader="dot" w:pos="9060"/>
        </w:tabs>
        <w:jc w:val="both"/>
        <w:rPr>
          <w:rFonts w:ascii="Cambria" w:eastAsiaTheme="minorEastAsia" w:hAnsi="Cambria"/>
          <w:noProof/>
          <w:szCs w:val="24"/>
          <w:lang w:val="ro-RO"/>
        </w:rPr>
      </w:pPr>
      <w:hyperlink w:anchor="_Toc526889751" w:history="1">
        <w:r w:rsidR="00A96DD2" w:rsidRPr="00EA1BB2">
          <w:rPr>
            <w:rStyle w:val="Hyperlink"/>
            <w:rFonts w:ascii="Cambria" w:eastAsia="Times New Roman" w:hAnsi="Cambria"/>
            <w:noProof/>
            <w:szCs w:val="24"/>
            <w:lang w:val="ro-RO"/>
          </w:rPr>
          <w:t>5.3.</w:t>
        </w:r>
        <w:r w:rsidR="00A96DD2" w:rsidRPr="00EA1BB2">
          <w:rPr>
            <w:rFonts w:ascii="Cambria" w:eastAsiaTheme="minorEastAsia" w:hAnsi="Cambria"/>
            <w:noProof/>
            <w:szCs w:val="24"/>
            <w:lang w:val="ro-RO"/>
          </w:rPr>
          <w:tab/>
        </w:r>
        <w:r w:rsidR="00A96DD2" w:rsidRPr="00EA1BB2">
          <w:rPr>
            <w:rStyle w:val="Hyperlink"/>
            <w:rFonts w:ascii="Cambria" w:eastAsia="Times New Roman" w:hAnsi="Cambria"/>
            <w:noProof/>
            <w:szCs w:val="24"/>
            <w:lang w:val="ro-RO"/>
          </w:rPr>
          <w:t>Scenariul B - SCENARIUL DE PROIECȚIE</w:t>
        </w:r>
        <w:r w:rsidR="00A96DD2" w:rsidRPr="00EA1BB2">
          <w:rPr>
            <w:rFonts w:ascii="Cambria" w:hAnsi="Cambria"/>
            <w:noProof/>
            <w:webHidden/>
            <w:szCs w:val="24"/>
            <w:lang w:val="ro-RO"/>
          </w:rPr>
          <w:tab/>
        </w:r>
        <w:r w:rsidR="00A96DD2" w:rsidRPr="00EA1BB2">
          <w:rPr>
            <w:rFonts w:ascii="Cambria" w:hAnsi="Cambria"/>
            <w:noProof/>
            <w:webHidden/>
            <w:szCs w:val="24"/>
            <w:lang w:val="ro-RO"/>
          </w:rPr>
          <w:fldChar w:fldCharType="begin"/>
        </w:r>
        <w:r w:rsidR="00A96DD2" w:rsidRPr="00EA1BB2">
          <w:rPr>
            <w:rFonts w:ascii="Cambria" w:hAnsi="Cambria"/>
            <w:noProof/>
            <w:webHidden/>
            <w:szCs w:val="24"/>
            <w:lang w:val="ro-RO"/>
          </w:rPr>
          <w:instrText xml:space="preserve"> PAGEREF _Toc526889751 \h </w:instrText>
        </w:r>
        <w:r w:rsidR="00A96DD2" w:rsidRPr="00EA1BB2">
          <w:rPr>
            <w:rFonts w:ascii="Cambria" w:hAnsi="Cambria"/>
            <w:noProof/>
            <w:webHidden/>
            <w:szCs w:val="24"/>
            <w:lang w:val="ro-RO"/>
          </w:rPr>
        </w:r>
        <w:r w:rsidR="00A96DD2" w:rsidRPr="00EA1BB2">
          <w:rPr>
            <w:rFonts w:ascii="Cambria" w:hAnsi="Cambria"/>
            <w:noProof/>
            <w:webHidden/>
            <w:szCs w:val="24"/>
            <w:lang w:val="ro-RO"/>
          </w:rPr>
          <w:fldChar w:fldCharType="separate"/>
        </w:r>
        <w:r w:rsidR="00567555">
          <w:rPr>
            <w:rFonts w:ascii="Cambria" w:hAnsi="Cambria"/>
            <w:noProof/>
            <w:webHidden/>
            <w:szCs w:val="24"/>
            <w:lang w:val="ro-RO"/>
          </w:rPr>
          <w:t>157</w:t>
        </w:r>
        <w:r w:rsidR="00A96DD2" w:rsidRPr="00EA1BB2">
          <w:rPr>
            <w:rFonts w:ascii="Cambria" w:hAnsi="Cambria"/>
            <w:noProof/>
            <w:webHidden/>
            <w:szCs w:val="24"/>
            <w:lang w:val="ro-RO"/>
          </w:rPr>
          <w:fldChar w:fldCharType="end"/>
        </w:r>
      </w:hyperlink>
    </w:p>
    <w:p w14:paraId="6D5B68CC" w14:textId="01D15A77" w:rsidR="00A96DD2" w:rsidRPr="00EA1BB2" w:rsidRDefault="009A1372" w:rsidP="00A96DD2">
      <w:pPr>
        <w:pStyle w:val="TOC1"/>
        <w:rPr>
          <w:rFonts w:eastAsiaTheme="minorEastAsia"/>
          <w:noProof/>
          <w:szCs w:val="24"/>
          <w:lang w:val="ro-RO"/>
        </w:rPr>
      </w:pPr>
      <w:hyperlink w:anchor="_Toc526889752" w:history="1">
        <w:r w:rsidR="00A96DD2" w:rsidRPr="00EA1BB2">
          <w:rPr>
            <w:rStyle w:val="Hyperlink"/>
            <w:rFonts w:cs="Times New Roman"/>
            <w:noProof/>
            <w:szCs w:val="24"/>
            <w:lang w:val="ro-RO"/>
          </w:rPr>
          <w:t>6.</w:t>
        </w:r>
        <w:r w:rsidR="00A96DD2" w:rsidRPr="00EA1BB2">
          <w:rPr>
            <w:rFonts w:eastAsiaTheme="minorEastAsia"/>
            <w:noProof/>
            <w:szCs w:val="24"/>
            <w:lang w:val="ro-RO"/>
          </w:rPr>
          <w:tab/>
        </w:r>
        <w:r w:rsidR="00A96DD2" w:rsidRPr="00EA1BB2">
          <w:rPr>
            <w:rStyle w:val="Hyperlink"/>
            <w:rFonts w:cs="Times New Roman"/>
            <w:noProof/>
            <w:szCs w:val="24"/>
            <w:lang w:val="ro-RO"/>
          </w:rPr>
          <w:t>MĂSURILE SAU PROIECTELE ADOPTATE ÎN VEDEREA MENȚINERII CALITĂȚII AERULUI</w:t>
        </w:r>
        <w:r w:rsidR="00A96DD2" w:rsidRPr="00EA1BB2">
          <w:rPr>
            <w:noProof/>
            <w:webHidden/>
            <w:szCs w:val="24"/>
            <w:lang w:val="ro-RO"/>
          </w:rPr>
          <w:tab/>
        </w:r>
        <w:r w:rsidR="00A96DD2" w:rsidRPr="00EA1BB2">
          <w:rPr>
            <w:noProof/>
            <w:webHidden/>
            <w:szCs w:val="24"/>
            <w:lang w:val="ro-RO"/>
          </w:rPr>
          <w:fldChar w:fldCharType="begin"/>
        </w:r>
        <w:r w:rsidR="00A96DD2" w:rsidRPr="00EA1BB2">
          <w:rPr>
            <w:noProof/>
            <w:webHidden/>
            <w:szCs w:val="24"/>
            <w:lang w:val="ro-RO"/>
          </w:rPr>
          <w:instrText xml:space="preserve"> PAGEREF _Toc526889752 \h </w:instrText>
        </w:r>
        <w:r w:rsidR="00A96DD2" w:rsidRPr="00EA1BB2">
          <w:rPr>
            <w:noProof/>
            <w:webHidden/>
            <w:szCs w:val="24"/>
            <w:lang w:val="ro-RO"/>
          </w:rPr>
        </w:r>
        <w:r w:rsidR="00A96DD2" w:rsidRPr="00EA1BB2">
          <w:rPr>
            <w:noProof/>
            <w:webHidden/>
            <w:szCs w:val="24"/>
            <w:lang w:val="ro-RO"/>
          </w:rPr>
          <w:fldChar w:fldCharType="separate"/>
        </w:r>
        <w:r w:rsidR="00567555">
          <w:rPr>
            <w:noProof/>
            <w:webHidden/>
            <w:szCs w:val="24"/>
            <w:lang w:val="ro-RO"/>
          </w:rPr>
          <w:t>161</w:t>
        </w:r>
        <w:r w:rsidR="00A96DD2" w:rsidRPr="00EA1BB2">
          <w:rPr>
            <w:noProof/>
            <w:webHidden/>
            <w:szCs w:val="24"/>
            <w:lang w:val="ro-RO"/>
          </w:rPr>
          <w:fldChar w:fldCharType="end"/>
        </w:r>
      </w:hyperlink>
    </w:p>
    <w:p w14:paraId="66D04D46" w14:textId="227FE991" w:rsidR="00A96DD2" w:rsidRPr="00EA1BB2" w:rsidRDefault="009A1372" w:rsidP="00A96DD2">
      <w:pPr>
        <w:pStyle w:val="TOC2"/>
        <w:tabs>
          <w:tab w:val="left" w:pos="880"/>
          <w:tab w:val="right" w:leader="dot" w:pos="9060"/>
        </w:tabs>
        <w:jc w:val="both"/>
        <w:rPr>
          <w:rFonts w:ascii="Cambria" w:eastAsiaTheme="minorEastAsia" w:hAnsi="Cambria"/>
          <w:noProof/>
          <w:szCs w:val="24"/>
          <w:lang w:val="ro-RO"/>
        </w:rPr>
      </w:pPr>
      <w:hyperlink w:anchor="_Toc526889753" w:history="1">
        <w:r w:rsidR="00A96DD2" w:rsidRPr="00EA1BB2">
          <w:rPr>
            <w:rStyle w:val="Hyperlink"/>
            <w:rFonts w:ascii="Cambria" w:eastAsia="Times New Roman" w:hAnsi="Cambria"/>
            <w:noProof/>
            <w:szCs w:val="24"/>
            <w:lang w:val="ro-RO"/>
          </w:rPr>
          <w:t>6.1.</w:t>
        </w:r>
        <w:r w:rsidR="00A96DD2" w:rsidRPr="00EA1BB2">
          <w:rPr>
            <w:rFonts w:ascii="Cambria" w:eastAsiaTheme="minorEastAsia" w:hAnsi="Cambria"/>
            <w:noProof/>
            <w:szCs w:val="24"/>
            <w:lang w:val="ro-RO"/>
          </w:rPr>
          <w:tab/>
        </w:r>
        <w:r w:rsidR="00A96DD2" w:rsidRPr="00EA1BB2">
          <w:rPr>
            <w:rStyle w:val="Hyperlink"/>
            <w:rFonts w:ascii="Cambria" w:eastAsia="Times New Roman" w:hAnsi="Cambria"/>
            <w:noProof/>
            <w:szCs w:val="24"/>
            <w:lang w:val="ro-RO"/>
          </w:rPr>
          <w:t>Posibile măsuri pentru păstrarea nivelului poluanților sub valorile-limită, respectiv sub valorile-țintă și pentru asigurarea celei mai bune calități a aerului înconjurător în condițiile unei dezvoltări durabile.</w:t>
        </w:r>
        <w:r w:rsidR="00A96DD2" w:rsidRPr="00EA1BB2">
          <w:rPr>
            <w:rFonts w:ascii="Cambria" w:hAnsi="Cambria"/>
            <w:noProof/>
            <w:webHidden/>
            <w:szCs w:val="24"/>
            <w:lang w:val="ro-RO"/>
          </w:rPr>
          <w:tab/>
        </w:r>
        <w:r w:rsidR="00A96DD2" w:rsidRPr="00EA1BB2">
          <w:rPr>
            <w:rFonts w:ascii="Cambria" w:hAnsi="Cambria"/>
            <w:noProof/>
            <w:webHidden/>
            <w:szCs w:val="24"/>
            <w:lang w:val="ro-RO"/>
          </w:rPr>
          <w:fldChar w:fldCharType="begin"/>
        </w:r>
        <w:r w:rsidR="00A96DD2" w:rsidRPr="00EA1BB2">
          <w:rPr>
            <w:rFonts w:ascii="Cambria" w:hAnsi="Cambria"/>
            <w:noProof/>
            <w:webHidden/>
            <w:szCs w:val="24"/>
            <w:lang w:val="ro-RO"/>
          </w:rPr>
          <w:instrText xml:space="preserve"> PAGEREF _Toc526889753 \h </w:instrText>
        </w:r>
        <w:r w:rsidR="00A96DD2" w:rsidRPr="00EA1BB2">
          <w:rPr>
            <w:rFonts w:ascii="Cambria" w:hAnsi="Cambria"/>
            <w:noProof/>
            <w:webHidden/>
            <w:szCs w:val="24"/>
            <w:lang w:val="ro-RO"/>
          </w:rPr>
        </w:r>
        <w:r w:rsidR="00A96DD2" w:rsidRPr="00EA1BB2">
          <w:rPr>
            <w:rFonts w:ascii="Cambria" w:hAnsi="Cambria"/>
            <w:noProof/>
            <w:webHidden/>
            <w:szCs w:val="24"/>
            <w:lang w:val="ro-RO"/>
          </w:rPr>
          <w:fldChar w:fldCharType="separate"/>
        </w:r>
        <w:r w:rsidR="00567555">
          <w:rPr>
            <w:rFonts w:ascii="Cambria" w:hAnsi="Cambria"/>
            <w:noProof/>
            <w:webHidden/>
            <w:szCs w:val="24"/>
            <w:lang w:val="ro-RO"/>
          </w:rPr>
          <w:t>161</w:t>
        </w:r>
        <w:r w:rsidR="00A96DD2" w:rsidRPr="00EA1BB2">
          <w:rPr>
            <w:rFonts w:ascii="Cambria" w:hAnsi="Cambria"/>
            <w:noProof/>
            <w:webHidden/>
            <w:szCs w:val="24"/>
            <w:lang w:val="ro-RO"/>
          </w:rPr>
          <w:fldChar w:fldCharType="end"/>
        </w:r>
      </w:hyperlink>
    </w:p>
    <w:p w14:paraId="6031574F" w14:textId="6FF3E9FC" w:rsidR="00A96DD2" w:rsidRPr="00EA1BB2" w:rsidRDefault="009A1372" w:rsidP="00A96DD2">
      <w:pPr>
        <w:pStyle w:val="TOC2"/>
        <w:tabs>
          <w:tab w:val="left" w:pos="880"/>
          <w:tab w:val="right" w:leader="dot" w:pos="9060"/>
        </w:tabs>
        <w:jc w:val="both"/>
        <w:rPr>
          <w:rFonts w:ascii="Cambria" w:eastAsiaTheme="minorEastAsia" w:hAnsi="Cambria"/>
          <w:noProof/>
          <w:szCs w:val="24"/>
          <w:lang w:val="ro-RO"/>
        </w:rPr>
      </w:pPr>
      <w:hyperlink w:anchor="_Toc526889754" w:history="1">
        <w:r w:rsidR="00A96DD2" w:rsidRPr="00EA1BB2">
          <w:rPr>
            <w:rStyle w:val="Hyperlink"/>
            <w:rFonts w:ascii="Cambria" w:eastAsia="Times New Roman" w:hAnsi="Cambria"/>
            <w:noProof/>
            <w:szCs w:val="24"/>
            <w:lang w:val="ro-RO"/>
          </w:rPr>
          <w:t>6.2.</w:t>
        </w:r>
        <w:r w:rsidR="00A96DD2" w:rsidRPr="00EA1BB2">
          <w:rPr>
            <w:rFonts w:ascii="Cambria" w:eastAsiaTheme="minorEastAsia" w:hAnsi="Cambria"/>
            <w:noProof/>
            <w:szCs w:val="24"/>
            <w:lang w:val="ro-RO"/>
          </w:rPr>
          <w:tab/>
        </w:r>
        <w:r w:rsidR="00A96DD2" w:rsidRPr="00EA1BB2">
          <w:rPr>
            <w:rStyle w:val="Hyperlink"/>
            <w:rFonts w:ascii="Cambria" w:eastAsia="Times New Roman" w:hAnsi="Cambria"/>
            <w:noProof/>
            <w:szCs w:val="24"/>
            <w:lang w:val="ro-RO"/>
          </w:rPr>
          <w:t>Calendarul aplicării planului de menținere (măsura, responsabilul, termen de realizare, estimare costuri/surse de finanțare etc.)</w:t>
        </w:r>
        <w:r w:rsidR="00A96DD2" w:rsidRPr="00EA1BB2">
          <w:rPr>
            <w:rFonts w:ascii="Cambria" w:hAnsi="Cambria"/>
            <w:noProof/>
            <w:webHidden/>
            <w:szCs w:val="24"/>
            <w:lang w:val="ro-RO"/>
          </w:rPr>
          <w:tab/>
        </w:r>
        <w:r w:rsidR="00A96DD2" w:rsidRPr="00EA1BB2">
          <w:rPr>
            <w:rFonts w:ascii="Cambria" w:hAnsi="Cambria"/>
            <w:noProof/>
            <w:webHidden/>
            <w:szCs w:val="24"/>
            <w:lang w:val="ro-RO"/>
          </w:rPr>
          <w:fldChar w:fldCharType="begin"/>
        </w:r>
        <w:r w:rsidR="00A96DD2" w:rsidRPr="00EA1BB2">
          <w:rPr>
            <w:rFonts w:ascii="Cambria" w:hAnsi="Cambria"/>
            <w:noProof/>
            <w:webHidden/>
            <w:szCs w:val="24"/>
            <w:lang w:val="ro-RO"/>
          </w:rPr>
          <w:instrText xml:space="preserve"> PAGEREF _Toc526889754 \h </w:instrText>
        </w:r>
        <w:r w:rsidR="00A96DD2" w:rsidRPr="00EA1BB2">
          <w:rPr>
            <w:rFonts w:ascii="Cambria" w:hAnsi="Cambria"/>
            <w:noProof/>
            <w:webHidden/>
            <w:szCs w:val="24"/>
            <w:lang w:val="ro-RO"/>
          </w:rPr>
        </w:r>
        <w:r w:rsidR="00A96DD2" w:rsidRPr="00EA1BB2">
          <w:rPr>
            <w:rFonts w:ascii="Cambria" w:hAnsi="Cambria"/>
            <w:noProof/>
            <w:webHidden/>
            <w:szCs w:val="24"/>
            <w:lang w:val="ro-RO"/>
          </w:rPr>
          <w:fldChar w:fldCharType="separate"/>
        </w:r>
        <w:r w:rsidR="00567555">
          <w:rPr>
            <w:rFonts w:ascii="Cambria" w:hAnsi="Cambria"/>
            <w:noProof/>
            <w:webHidden/>
            <w:szCs w:val="24"/>
            <w:lang w:val="ro-RO"/>
          </w:rPr>
          <w:t>166</w:t>
        </w:r>
        <w:r w:rsidR="00A96DD2" w:rsidRPr="00EA1BB2">
          <w:rPr>
            <w:rFonts w:ascii="Cambria" w:hAnsi="Cambria"/>
            <w:noProof/>
            <w:webHidden/>
            <w:szCs w:val="24"/>
            <w:lang w:val="ro-RO"/>
          </w:rPr>
          <w:fldChar w:fldCharType="end"/>
        </w:r>
      </w:hyperlink>
    </w:p>
    <w:p w14:paraId="7F2565C5" w14:textId="5205AE42" w:rsidR="00A96DD2" w:rsidRPr="00EA1BB2" w:rsidRDefault="009A1372" w:rsidP="00A96DD2">
      <w:pPr>
        <w:pStyle w:val="TOC1"/>
        <w:rPr>
          <w:rFonts w:eastAsiaTheme="minorEastAsia"/>
          <w:noProof/>
          <w:szCs w:val="24"/>
          <w:lang w:val="ro-RO"/>
        </w:rPr>
      </w:pPr>
      <w:hyperlink w:anchor="_Toc526889755" w:history="1">
        <w:r w:rsidR="00A96DD2" w:rsidRPr="00EA1BB2">
          <w:rPr>
            <w:rStyle w:val="Hyperlink"/>
            <w:rFonts w:cs="Times New Roman"/>
            <w:noProof/>
            <w:szCs w:val="24"/>
            <w:lang w:val="ro-RO"/>
          </w:rPr>
          <w:t>7.</w:t>
        </w:r>
        <w:r w:rsidR="00A96DD2" w:rsidRPr="00EA1BB2">
          <w:rPr>
            <w:rFonts w:eastAsiaTheme="minorEastAsia"/>
            <w:noProof/>
            <w:szCs w:val="24"/>
            <w:lang w:val="ro-RO"/>
          </w:rPr>
          <w:tab/>
        </w:r>
        <w:r w:rsidR="00A96DD2" w:rsidRPr="00EA1BB2">
          <w:rPr>
            <w:rStyle w:val="Hyperlink"/>
            <w:rFonts w:cs="Times New Roman"/>
            <w:noProof/>
            <w:szCs w:val="24"/>
            <w:lang w:val="ro-RO"/>
          </w:rPr>
          <w:t>LISTA PUBLICAȚIILOR, DOCUMENTELOR, ACTIVITĂȚILOR UTILIZATE PENTRU A SUPLIMENTA INFORMAȚIILE NECESARE</w:t>
        </w:r>
        <w:r w:rsidR="00A96DD2" w:rsidRPr="00EA1BB2">
          <w:rPr>
            <w:noProof/>
            <w:webHidden/>
            <w:szCs w:val="24"/>
            <w:lang w:val="ro-RO"/>
          </w:rPr>
          <w:tab/>
        </w:r>
        <w:r w:rsidR="00A96DD2" w:rsidRPr="00EA1BB2">
          <w:rPr>
            <w:noProof/>
            <w:webHidden/>
            <w:szCs w:val="24"/>
            <w:lang w:val="ro-RO"/>
          </w:rPr>
          <w:fldChar w:fldCharType="begin"/>
        </w:r>
        <w:r w:rsidR="00A96DD2" w:rsidRPr="00EA1BB2">
          <w:rPr>
            <w:noProof/>
            <w:webHidden/>
            <w:szCs w:val="24"/>
            <w:lang w:val="ro-RO"/>
          </w:rPr>
          <w:instrText xml:space="preserve"> PAGEREF _Toc526889755 \h </w:instrText>
        </w:r>
        <w:r w:rsidR="00A96DD2" w:rsidRPr="00EA1BB2">
          <w:rPr>
            <w:noProof/>
            <w:webHidden/>
            <w:szCs w:val="24"/>
            <w:lang w:val="ro-RO"/>
          </w:rPr>
        </w:r>
        <w:r w:rsidR="00A96DD2" w:rsidRPr="00EA1BB2">
          <w:rPr>
            <w:noProof/>
            <w:webHidden/>
            <w:szCs w:val="24"/>
            <w:lang w:val="ro-RO"/>
          </w:rPr>
          <w:fldChar w:fldCharType="separate"/>
        </w:r>
        <w:r w:rsidR="00567555">
          <w:rPr>
            <w:noProof/>
            <w:webHidden/>
            <w:szCs w:val="24"/>
            <w:lang w:val="ro-RO"/>
          </w:rPr>
          <w:t>177</w:t>
        </w:r>
        <w:r w:rsidR="00A96DD2" w:rsidRPr="00EA1BB2">
          <w:rPr>
            <w:noProof/>
            <w:webHidden/>
            <w:szCs w:val="24"/>
            <w:lang w:val="ro-RO"/>
          </w:rPr>
          <w:fldChar w:fldCharType="end"/>
        </w:r>
      </w:hyperlink>
    </w:p>
    <w:p w14:paraId="0AFA908D" w14:textId="10B50EBB" w:rsidR="00FF1946" w:rsidRPr="00EA1BB2" w:rsidRDefault="00280BC9" w:rsidP="00A96DD2">
      <w:pPr>
        <w:pStyle w:val="TOC1"/>
        <w:ind w:firstLine="442"/>
        <w:rPr>
          <w:rFonts w:cs="Times New Roman"/>
          <w:b/>
          <w:szCs w:val="24"/>
          <w:lang w:val="ro-RO"/>
        </w:rPr>
      </w:pPr>
      <w:r w:rsidRPr="00EA1BB2">
        <w:rPr>
          <w:szCs w:val="24"/>
          <w:lang w:val="ro-RO"/>
        </w:rPr>
        <w:lastRenderedPageBreak/>
        <w:fldChar w:fldCharType="end"/>
      </w:r>
      <w:r w:rsidR="008B4F64" w:rsidRPr="00EA1BB2">
        <w:rPr>
          <w:rFonts w:cs="Times New Roman"/>
          <w:b/>
          <w:szCs w:val="24"/>
          <w:lang w:val="ro-RO"/>
        </w:rPr>
        <w:t>INDEX TABELE</w:t>
      </w:r>
    </w:p>
    <w:p w14:paraId="0A7AF255" w14:textId="7AF4EF21" w:rsidR="00A96DD2" w:rsidRPr="00EA1BB2" w:rsidRDefault="00280BC9" w:rsidP="00A96DD2">
      <w:pPr>
        <w:pStyle w:val="TableofFigures"/>
        <w:tabs>
          <w:tab w:val="right" w:leader="dot" w:pos="9060"/>
        </w:tabs>
        <w:spacing w:line="276" w:lineRule="auto"/>
        <w:jc w:val="both"/>
        <w:rPr>
          <w:rFonts w:ascii="Cambria" w:eastAsiaTheme="minorEastAsia" w:hAnsi="Cambria"/>
          <w:noProof/>
          <w:sz w:val="24"/>
          <w:szCs w:val="24"/>
        </w:rPr>
      </w:pPr>
      <w:r w:rsidRPr="00EA1BB2">
        <w:rPr>
          <w:rFonts w:ascii="Cambria" w:hAnsi="Cambria" w:cs="Times New Roman"/>
          <w:sz w:val="24"/>
          <w:szCs w:val="24"/>
        </w:rPr>
        <w:fldChar w:fldCharType="begin"/>
      </w:r>
      <w:r w:rsidR="001F2C0A" w:rsidRPr="00EA1BB2">
        <w:rPr>
          <w:rFonts w:ascii="Cambria" w:hAnsi="Cambria" w:cs="Times New Roman"/>
          <w:sz w:val="24"/>
          <w:szCs w:val="24"/>
        </w:rPr>
        <w:instrText xml:space="preserve"> TOC \h \z \c "Tabelul nr." </w:instrText>
      </w:r>
      <w:r w:rsidRPr="00EA1BB2">
        <w:rPr>
          <w:rFonts w:ascii="Cambria" w:hAnsi="Cambria" w:cs="Times New Roman"/>
          <w:sz w:val="24"/>
          <w:szCs w:val="24"/>
        </w:rPr>
        <w:fldChar w:fldCharType="separate"/>
      </w:r>
      <w:hyperlink w:anchor="_Toc526889757" w:history="1">
        <w:r w:rsidR="00A96DD2" w:rsidRPr="00EA1BB2">
          <w:rPr>
            <w:rStyle w:val="Hyperlink"/>
            <w:rFonts w:ascii="Cambria" w:hAnsi="Cambria"/>
            <w:noProof/>
            <w:sz w:val="24"/>
            <w:szCs w:val="24"/>
          </w:rPr>
          <w:t>Tabelul nr. 1</w:t>
        </w:r>
        <w:r w:rsidR="00A96DD2" w:rsidRPr="00EA1BB2">
          <w:rPr>
            <w:rStyle w:val="Hyperlink"/>
            <w:rFonts w:ascii="Cambria" w:hAnsi="Cambria"/>
            <w:noProof/>
            <w:sz w:val="24"/>
            <w:szCs w:val="24"/>
          </w:rPr>
          <w:noBreakHyphen/>
          <w:t>1 – Reprezentanții Consiliului Județean Brăila în comisia tehnică</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_Toc526889757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21</w:t>
        </w:r>
        <w:r w:rsidR="00A96DD2" w:rsidRPr="00EA1BB2">
          <w:rPr>
            <w:rFonts w:ascii="Cambria" w:hAnsi="Cambria"/>
            <w:noProof/>
            <w:webHidden/>
            <w:sz w:val="24"/>
            <w:szCs w:val="24"/>
          </w:rPr>
          <w:fldChar w:fldCharType="end"/>
        </w:r>
      </w:hyperlink>
    </w:p>
    <w:p w14:paraId="29AF515D" w14:textId="476D9B65"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758" w:history="1">
        <w:r w:rsidR="00A96DD2" w:rsidRPr="00EA1BB2">
          <w:rPr>
            <w:rStyle w:val="Hyperlink"/>
            <w:rFonts w:ascii="Cambria" w:eastAsia="Calibri" w:hAnsi="Cambria" w:cs="Times New Roman"/>
            <w:iCs/>
            <w:noProof/>
            <w:sz w:val="24"/>
            <w:szCs w:val="24"/>
          </w:rPr>
          <w:t>Tabelul nr. 2</w:t>
        </w:r>
        <w:r w:rsidR="00A96DD2" w:rsidRPr="00EA1BB2">
          <w:rPr>
            <w:rStyle w:val="Hyperlink"/>
            <w:rFonts w:ascii="Cambria" w:eastAsia="Calibri" w:hAnsi="Cambria" w:cs="Times New Roman"/>
            <w:iCs/>
            <w:noProof/>
            <w:sz w:val="24"/>
            <w:szCs w:val="24"/>
          </w:rPr>
          <w:noBreakHyphen/>
          <w:t>1 - Încadrarea în regimul de gestionare II a județului Brăila</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_Toc526889758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23</w:t>
        </w:r>
        <w:r w:rsidR="00A96DD2" w:rsidRPr="00EA1BB2">
          <w:rPr>
            <w:rFonts w:ascii="Cambria" w:hAnsi="Cambria"/>
            <w:noProof/>
            <w:webHidden/>
            <w:sz w:val="24"/>
            <w:szCs w:val="24"/>
          </w:rPr>
          <w:fldChar w:fldCharType="end"/>
        </w:r>
      </w:hyperlink>
    </w:p>
    <w:p w14:paraId="45D13640" w14:textId="43CF33F2"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759" w:history="1">
        <w:r w:rsidR="00A96DD2" w:rsidRPr="00EA1BB2">
          <w:rPr>
            <w:rStyle w:val="Hyperlink"/>
            <w:rFonts w:ascii="Cambria" w:hAnsi="Cambria"/>
            <w:noProof/>
            <w:sz w:val="24"/>
            <w:szCs w:val="24"/>
          </w:rPr>
          <w:t>Tabelul nr. 2</w:t>
        </w:r>
        <w:r w:rsidR="00A96DD2" w:rsidRPr="00EA1BB2">
          <w:rPr>
            <w:rStyle w:val="Hyperlink"/>
            <w:rFonts w:ascii="Cambria" w:hAnsi="Cambria"/>
            <w:noProof/>
            <w:sz w:val="24"/>
            <w:szCs w:val="24"/>
          </w:rPr>
          <w:noBreakHyphen/>
          <w:t>2 – Cantitatea totală a emisiilor de poluanți în perioada de evaluare 2010-2014</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_Toc526889759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24</w:t>
        </w:r>
        <w:r w:rsidR="00A96DD2" w:rsidRPr="00EA1BB2">
          <w:rPr>
            <w:rFonts w:ascii="Cambria" w:hAnsi="Cambria"/>
            <w:noProof/>
            <w:webHidden/>
            <w:sz w:val="24"/>
            <w:szCs w:val="24"/>
          </w:rPr>
          <w:fldChar w:fldCharType="end"/>
        </w:r>
      </w:hyperlink>
    </w:p>
    <w:p w14:paraId="061B0A73" w14:textId="0968F481"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760" w:history="1">
        <w:r w:rsidR="00A96DD2" w:rsidRPr="00EA1BB2">
          <w:rPr>
            <w:rStyle w:val="Hyperlink"/>
            <w:rFonts w:ascii="Cambria" w:hAnsi="Cambria"/>
            <w:noProof/>
            <w:sz w:val="24"/>
            <w:szCs w:val="24"/>
          </w:rPr>
          <w:t>Tabelul nr. 2</w:t>
        </w:r>
        <w:r w:rsidR="00A96DD2" w:rsidRPr="00EA1BB2">
          <w:rPr>
            <w:rStyle w:val="Hyperlink"/>
            <w:rFonts w:ascii="Cambria" w:hAnsi="Cambria"/>
            <w:noProof/>
            <w:sz w:val="24"/>
            <w:szCs w:val="24"/>
          </w:rPr>
          <w:noBreakHyphen/>
          <w:t>3 – Rețeaua de localități (UAT) din județul Brăila și suprafețele ocupate de acestea</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_Toc526889760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30</w:t>
        </w:r>
        <w:r w:rsidR="00A96DD2" w:rsidRPr="00EA1BB2">
          <w:rPr>
            <w:rFonts w:ascii="Cambria" w:hAnsi="Cambria"/>
            <w:noProof/>
            <w:webHidden/>
            <w:sz w:val="24"/>
            <w:szCs w:val="24"/>
          </w:rPr>
          <w:fldChar w:fldCharType="end"/>
        </w:r>
      </w:hyperlink>
    </w:p>
    <w:p w14:paraId="566C7F0B" w14:textId="23E286FC"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761" w:history="1">
        <w:r w:rsidR="00A96DD2" w:rsidRPr="00EA1BB2">
          <w:rPr>
            <w:rStyle w:val="Hyperlink"/>
            <w:rFonts w:ascii="Cambria" w:hAnsi="Cambria"/>
            <w:noProof/>
            <w:sz w:val="24"/>
            <w:szCs w:val="24"/>
          </w:rPr>
          <w:t>Tabelul nr. 2</w:t>
        </w:r>
        <w:r w:rsidR="00A96DD2" w:rsidRPr="00EA1BB2">
          <w:rPr>
            <w:rStyle w:val="Hyperlink"/>
            <w:rFonts w:ascii="Cambria" w:hAnsi="Cambria"/>
            <w:noProof/>
            <w:sz w:val="24"/>
            <w:szCs w:val="24"/>
          </w:rPr>
          <w:noBreakHyphen/>
          <w:t>4 - Populația rezidentă pe grupe de vârstă în anul 2017</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_Toc526889761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31</w:t>
        </w:r>
        <w:r w:rsidR="00A96DD2" w:rsidRPr="00EA1BB2">
          <w:rPr>
            <w:rFonts w:ascii="Cambria" w:hAnsi="Cambria"/>
            <w:noProof/>
            <w:webHidden/>
            <w:sz w:val="24"/>
            <w:szCs w:val="24"/>
          </w:rPr>
          <w:fldChar w:fldCharType="end"/>
        </w:r>
      </w:hyperlink>
    </w:p>
    <w:p w14:paraId="1B52BBB7" w14:textId="60710AD9"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762" w:history="1">
        <w:r w:rsidR="00A96DD2" w:rsidRPr="00EA1BB2">
          <w:rPr>
            <w:rStyle w:val="Hyperlink"/>
            <w:rFonts w:ascii="Cambria" w:eastAsia="Calibri" w:hAnsi="Cambria" w:cs="Times New Roman"/>
            <w:iCs/>
            <w:noProof/>
            <w:sz w:val="24"/>
            <w:szCs w:val="24"/>
          </w:rPr>
          <w:t>Tabelul nr. 2</w:t>
        </w:r>
        <w:r w:rsidR="00A96DD2" w:rsidRPr="00EA1BB2">
          <w:rPr>
            <w:rStyle w:val="Hyperlink"/>
            <w:rFonts w:ascii="Cambria" w:eastAsia="Calibri" w:hAnsi="Cambria" w:cs="Times New Roman"/>
            <w:iCs/>
            <w:noProof/>
            <w:sz w:val="24"/>
            <w:szCs w:val="24"/>
          </w:rPr>
          <w:noBreakHyphen/>
          <w:t xml:space="preserve">5 – </w:t>
        </w:r>
        <w:r w:rsidR="00A96DD2" w:rsidRPr="00EA1BB2">
          <w:rPr>
            <w:rStyle w:val="Hyperlink"/>
            <w:rFonts w:ascii="Cambria" w:eastAsia="Times New Roman" w:hAnsi="Cambria" w:cs="Times New Roman"/>
            <w:iCs/>
            <w:noProof/>
            <w:sz w:val="24"/>
            <w:szCs w:val="24"/>
          </w:rPr>
          <w:t>Temperaturi ale aerului (⁰C) medii lunaredin perioada 2012-2016 înregistrate la stația meteorologică Brăila</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_Toc526889762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33</w:t>
        </w:r>
        <w:r w:rsidR="00A96DD2" w:rsidRPr="00EA1BB2">
          <w:rPr>
            <w:rFonts w:ascii="Cambria" w:hAnsi="Cambria"/>
            <w:noProof/>
            <w:webHidden/>
            <w:sz w:val="24"/>
            <w:szCs w:val="24"/>
          </w:rPr>
          <w:fldChar w:fldCharType="end"/>
        </w:r>
      </w:hyperlink>
    </w:p>
    <w:p w14:paraId="4FF8127A" w14:textId="5A1A53C2"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763" w:history="1">
        <w:r w:rsidR="00A96DD2" w:rsidRPr="00EA1BB2">
          <w:rPr>
            <w:rStyle w:val="Hyperlink"/>
            <w:rFonts w:ascii="Cambria" w:eastAsia="Calibri" w:hAnsi="Cambria" w:cs="Times New Roman"/>
            <w:iCs/>
            <w:noProof/>
            <w:sz w:val="24"/>
            <w:szCs w:val="24"/>
          </w:rPr>
          <w:t>Tabelul nr. 2</w:t>
        </w:r>
        <w:r w:rsidR="00A96DD2" w:rsidRPr="00EA1BB2">
          <w:rPr>
            <w:rStyle w:val="Hyperlink"/>
            <w:rFonts w:ascii="Cambria" w:eastAsia="Calibri" w:hAnsi="Cambria" w:cs="Times New Roman"/>
            <w:iCs/>
            <w:noProof/>
            <w:sz w:val="24"/>
            <w:szCs w:val="24"/>
          </w:rPr>
          <w:noBreakHyphen/>
          <w:t xml:space="preserve">6 - </w:t>
        </w:r>
        <w:r w:rsidR="00A96DD2" w:rsidRPr="00EA1BB2">
          <w:rPr>
            <w:rStyle w:val="Hyperlink"/>
            <w:rFonts w:ascii="Cambria" w:eastAsia="Times New Roman" w:hAnsi="Cambria" w:cs="Times New Roman"/>
            <w:noProof/>
            <w:sz w:val="24"/>
            <w:szCs w:val="24"/>
          </w:rPr>
          <w:t>Cantități lunare de precipitații (mm) în perioada 2012-2016 înregistrate la stația meteorologică Brăila</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_Toc526889763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35</w:t>
        </w:r>
        <w:r w:rsidR="00A96DD2" w:rsidRPr="00EA1BB2">
          <w:rPr>
            <w:rFonts w:ascii="Cambria" w:hAnsi="Cambria"/>
            <w:noProof/>
            <w:webHidden/>
            <w:sz w:val="24"/>
            <w:szCs w:val="24"/>
          </w:rPr>
          <w:fldChar w:fldCharType="end"/>
        </w:r>
      </w:hyperlink>
    </w:p>
    <w:p w14:paraId="7AE9B898" w14:textId="4F3C45DA"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764" w:history="1">
        <w:r w:rsidR="00A96DD2" w:rsidRPr="00EA1BB2">
          <w:rPr>
            <w:rStyle w:val="Hyperlink"/>
            <w:rFonts w:ascii="Cambria" w:hAnsi="Cambria"/>
            <w:iCs/>
            <w:noProof/>
            <w:sz w:val="24"/>
            <w:szCs w:val="24"/>
          </w:rPr>
          <w:t>Tabelul nr. 2</w:t>
        </w:r>
        <w:r w:rsidR="00A96DD2" w:rsidRPr="00EA1BB2">
          <w:rPr>
            <w:rStyle w:val="Hyperlink"/>
            <w:rFonts w:ascii="Cambria" w:hAnsi="Cambria"/>
            <w:iCs/>
            <w:noProof/>
            <w:sz w:val="24"/>
            <w:szCs w:val="24"/>
          </w:rPr>
          <w:noBreakHyphen/>
          <w:t xml:space="preserve">7 - </w:t>
        </w:r>
        <w:r w:rsidR="00A96DD2" w:rsidRPr="00EA1BB2">
          <w:rPr>
            <w:rStyle w:val="Hyperlink"/>
            <w:rFonts w:ascii="Cambria" w:eastAsia="SimSun" w:hAnsi="Cambria" w:cs="Times New Roman"/>
            <w:noProof/>
            <w:sz w:val="24"/>
            <w:szCs w:val="24"/>
          </w:rPr>
          <w:t>Structura fondului funciar din județul Brăila</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_Toc526889764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43</w:t>
        </w:r>
        <w:r w:rsidR="00A96DD2" w:rsidRPr="00EA1BB2">
          <w:rPr>
            <w:rFonts w:ascii="Cambria" w:hAnsi="Cambria"/>
            <w:noProof/>
            <w:webHidden/>
            <w:sz w:val="24"/>
            <w:szCs w:val="24"/>
          </w:rPr>
          <w:fldChar w:fldCharType="end"/>
        </w:r>
      </w:hyperlink>
    </w:p>
    <w:p w14:paraId="735B9D18" w14:textId="6F89C70E"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765" w:history="1">
        <w:r w:rsidR="00A96DD2" w:rsidRPr="00EA1BB2">
          <w:rPr>
            <w:rStyle w:val="Hyperlink"/>
            <w:rFonts w:ascii="Cambria" w:hAnsi="Cambria"/>
            <w:iCs/>
            <w:noProof/>
            <w:sz w:val="24"/>
            <w:szCs w:val="24"/>
          </w:rPr>
          <w:t>Tabelul nr. 2</w:t>
        </w:r>
        <w:r w:rsidR="00A96DD2" w:rsidRPr="00EA1BB2">
          <w:rPr>
            <w:rStyle w:val="Hyperlink"/>
            <w:rFonts w:ascii="Cambria" w:hAnsi="Cambria"/>
            <w:iCs/>
            <w:noProof/>
            <w:sz w:val="24"/>
            <w:szCs w:val="24"/>
          </w:rPr>
          <w:noBreakHyphen/>
          <w:t xml:space="preserve">8 - </w:t>
        </w:r>
        <w:r w:rsidR="00A96DD2" w:rsidRPr="00EA1BB2">
          <w:rPr>
            <w:rStyle w:val="Hyperlink"/>
            <w:rFonts w:ascii="Cambria" w:eastAsia="SimSun" w:hAnsi="Cambria" w:cs="Times New Roman"/>
            <w:noProof/>
            <w:sz w:val="24"/>
            <w:szCs w:val="24"/>
          </w:rPr>
          <w:t>Situația spațiilor verzi la nivelul județului Brăila</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_Toc526889765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44</w:t>
        </w:r>
        <w:r w:rsidR="00A96DD2" w:rsidRPr="00EA1BB2">
          <w:rPr>
            <w:rFonts w:ascii="Cambria" w:hAnsi="Cambria"/>
            <w:noProof/>
            <w:webHidden/>
            <w:sz w:val="24"/>
            <w:szCs w:val="24"/>
          </w:rPr>
          <w:fldChar w:fldCharType="end"/>
        </w:r>
      </w:hyperlink>
    </w:p>
    <w:p w14:paraId="1CA6A7EB" w14:textId="707C46F9"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766" w:history="1">
        <w:r w:rsidR="00A96DD2" w:rsidRPr="00EA1BB2">
          <w:rPr>
            <w:rStyle w:val="Hyperlink"/>
            <w:rFonts w:ascii="Cambria" w:hAnsi="Cambria"/>
            <w:iCs/>
            <w:noProof/>
            <w:sz w:val="24"/>
            <w:szCs w:val="24"/>
          </w:rPr>
          <w:t>Tabelul nr. 2</w:t>
        </w:r>
        <w:r w:rsidR="00A96DD2" w:rsidRPr="00EA1BB2">
          <w:rPr>
            <w:rStyle w:val="Hyperlink"/>
            <w:rFonts w:ascii="Cambria" w:hAnsi="Cambria"/>
            <w:iCs/>
            <w:noProof/>
            <w:sz w:val="24"/>
            <w:szCs w:val="24"/>
          </w:rPr>
          <w:noBreakHyphen/>
          <w:t xml:space="preserve">9 - </w:t>
        </w:r>
        <w:r w:rsidR="00A96DD2" w:rsidRPr="00EA1BB2">
          <w:rPr>
            <w:rStyle w:val="Hyperlink"/>
            <w:rFonts w:ascii="Cambria" w:hAnsi="Cambria" w:cs="Times New Roman"/>
            <w:noProof/>
            <w:sz w:val="24"/>
            <w:szCs w:val="24"/>
          </w:rPr>
          <w:t>Ariile naturale protejate de interes național din județul Brăila</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_Toc526889766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46</w:t>
        </w:r>
        <w:r w:rsidR="00A96DD2" w:rsidRPr="00EA1BB2">
          <w:rPr>
            <w:rFonts w:ascii="Cambria" w:hAnsi="Cambria"/>
            <w:noProof/>
            <w:webHidden/>
            <w:sz w:val="24"/>
            <w:szCs w:val="24"/>
          </w:rPr>
          <w:fldChar w:fldCharType="end"/>
        </w:r>
      </w:hyperlink>
    </w:p>
    <w:p w14:paraId="4084A223" w14:textId="3E325ADD"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767" w:history="1">
        <w:r w:rsidR="00A96DD2" w:rsidRPr="00EA1BB2">
          <w:rPr>
            <w:rStyle w:val="Hyperlink"/>
            <w:rFonts w:ascii="Cambria" w:hAnsi="Cambria"/>
            <w:iCs/>
            <w:noProof/>
            <w:sz w:val="24"/>
            <w:szCs w:val="24"/>
          </w:rPr>
          <w:t>Tabelul nr. 2</w:t>
        </w:r>
        <w:r w:rsidR="00A96DD2" w:rsidRPr="00EA1BB2">
          <w:rPr>
            <w:rStyle w:val="Hyperlink"/>
            <w:rFonts w:ascii="Cambria" w:hAnsi="Cambria"/>
            <w:iCs/>
            <w:noProof/>
            <w:sz w:val="24"/>
            <w:szCs w:val="24"/>
          </w:rPr>
          <w:noBreakHyphen/>
          <w:t xml:space="preserve">10 - </w:t>
        </w:r>
        <w:r w:rsidR="00A96DD2" w:rsidRPr="00EA1BB2">
          <w:rPr>
            <w:rStyle w:val="Hyperlink"/>
            <w:rFonts w:ascii="Cambria" w:eastAsia="SimSun" w:hAnsi="Cambria" w:cs="Times New Roman"/>
            <w:noProof/>
            <w:sz w:val="24"/>
            <w:szCs w:val="24"/>
            <w:lang w:eastAsia="ro-RO"/>
          </w:rPr>
          <w:t>Arii de protecție specială avifaunistică din județul Brăila</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_Toc526889767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47</w:t>
        </w:r>
        <w:r w:rsidR="00A96DD2" w:rsidRPr="00EA1BB2">
          <w:rPr>
            <w:rFonts w:ascii="Cambria" w:hAnsi="Cambria"/>
            <w:noProof/>
            <w:webHidden/>
            <w:sz w:val="24"/>
            <w:szCs w:val="24"/>
          </w:rPr>
          <w:fldChar w:fldCharType="end"/>
        </w:r>
      </w:hyperlink>
    </w:p>
    <w:p w14:paraId="3B4CE24C" w14:textId="7791E825"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768" w:history="1">
        <w:r w:rsidR="00A96DD2" w:rsidRPr="00EA1BB2">
          <w:rPr>
            <w:rStyle w:val="Hyperlink"/>
            <w:rFonts w:ascii="Cambria" w:hAnsi="Cambria"/>
            <w:iCs/>
            <w:noProof/>
            <w:sz w:val="24"/>
            <w:szCs w:val="24"/>
          </w:rPr>
          <w:t>Tabelul nr. 2</w:t>
        </w:r>
        <w:r w:rsidR="00A96DD2" w:rsidRPr="00EA1BB2">
          <w:rPr>
            <w:rStyle w:val="Hyperlink"/>
            <w:rFonts w:ascii="Cambria" w:hAnsi="Cambria"/>
            <w:iCs/>
            <w:noProof/>
            <w:sz w:val="24"/>
            <w:szCs w:val="24"/>
          </w:rPr>
          <w:noBreakHyphen/>
          <w:t xml:space="preserve">11 - </w:t>
        </w:r>
        <w:r w:rsidR="00A96DD2" w:rsidRPr="00EA1BB2">
          <w:rPr>
            <w:rStyle w:val="Hyperlink"/>
            <w:rFonts w:ascii="Cambria" w:eastAsia="SimSun" w:hAnsi="Cambria" w:cs="Times New Roman"/>
            <w:noProof/>
            <w:sz w:val="24"/>
            <w:szCs w:val="24"/>
            <w:lang w:eastAsia="ro-RO"/>
          </w:rPr>
          <w:t>Situri de importanță comunitară din județul Brăila</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_Toc526889768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49</w:t>
        </w:r>
        <w:r w:rsidR="00A96DD2" w:rsidRPr="00EA1BB2">
          <w:rPr>
            <w:rFonts w:ascii="Cambria" w:hAnsi="Cambria"/>
            <w:noProof/>
            <w:webHidden/>
            <w:sz w:val="24"/>
            <w:szCs w:val="24"/>
          </w:rPr>
          <w:fldChar w:fldCharType="end"/>
        </w:r>
      </w:hyperlink>
    </w:p>
    <w:p w14:paraId="0F923F53" w14:textId="61F9A285"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769" w:history="1">
        <w:r w:rsidR="00A96DD2" w:rsidRPr="00EA1BB2">
          <w:rPr>
            <w:rStyle w:val="Hyperlink"/>
            <w:rFonts w:ascii="Cambria" w:hAnsi="Cambria"/>
            <w:noProof/>
            <w:sz w:val="24"/>
            <w:szCs w:val="24"/>
          </w:rPr>
          <w:t>Tabelul nr. 2</w:t>
        </w:r>
        <w:r w:rsidR="00A96DD2" w:rsidRPr="00EA1BB2">
          <w:rPr>
            <w:rStyle w:val="Hyperlink"/>
            <w:rFonts w:ascii="Cambria" w:hAnsi="Cambria"/>
            <w:noProof/>
            <w:sz w:val="24"/>
            <w:szCs w:val="24"/>
          </w:rPr>
          <w:noBreakHyphen/>
          <w:t xml:space="preserve">12 - </w:t>
        </w:r>
        <w:r w:rsidR="00A96DD2" w:rsidRPr="00EA1BB2">
          <w:rPr>
            <w:rStyle w:val="Hyperlink"/>
            <w:rFonts w:ascii="Cambria" w:eastAsia="Times New Roman" w:hAnsi="Cambria" w:cs="Times New Roman"/>
            <w:noProof/>
            <w:sz w:val="24"/>
            <w:szCs w:val="24"/>
          </w:rPr>
          <w:t>Informații despre stațiile de monitorizare a calității aerului în județul Brăila</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_Toc526889769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52</w:t>
        </w:r>
        <w:r w:rsidR="00A96DD2" w:rsidRPr="00EA1BB2">
          <w:rPr>
            <w:rFonts w:ascii="Cambria" w:hAnsi="Cambria"/>
            <w:noProof/>
            <w:webHidden/>
            <w:sz w:val="24"/>
            <w:szCs w:val="24"/>
          </w:rPr>
          <w:fldChar w:fldCharType="end"/>
        </w:r>
      </w:hyperlink>
    </w:p>
    <w:p w14:paraId="78941217" w14:textId="6C6DBCE1"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770" w:history="1">
        <w:r w:rsidR="00A96DD2" w:rsidRPr="00EA1BB2">
          <w:rPr>
            <w:rStyle w:val="Hyperlink"/>
            <w:rFonts w:ascii="Cambria" w:hAnsi="Cambria"/>
            <w:iCs/>
            <w:noProof/>
            <w:sz w:val="24"/>
            <w:szCs w:val="24"/>
          </w:rPr>
          <w:t>Tabelul nr. 3</w:t>
        </w:r>
        <w:r w:rsidR="00A96DD2" w:rsidRPr="00EA1BB2">
          <w:rPr>
            <w:rStyle w:val="Hyperlink"/>
            <w:rFonts w:ascii="Cambria" w:hAnsi="Cambria"/>
            <w:iCs/>
            <w:noProof/>
            <w:sz w:val="24"/>
            <w:szCs w:val="24"/>
          </w:rPr>
          <w:noBreakHyphen/>
          <w:t>1 – Lungimea drumurilor publice în anul 2017</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_Toc526889770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61</w:t>
        </w:r>
        <w:r w:rsidR="00A96DD2" w:rsidRPr="00EA1BB2">
          <w:rPr>
            <w:rFonts w:ascii="Cambria" w:hAnsi="Cambria"/>
            <w:noProof/>
            <w:webHidden/>
            <w:sz w:val="24"/>
            <w:szCs w:val="24"/>
          </w:rPr>
          <w:fldChar w:fldCharType="end"/>
        </w:r>
      </w:hyperlink>
    </w:p>
    <w:p w14:paraId="6386EC5F" w14:textId="53D7EB44"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771" w:history="1">
        <w:r w:rsidR="00A96DD2" w:rsidRPr="00EA1BB2">
          <w:rPr>
            <w:rStyle w:val="Hyperlink"/>
            <w:rFonts w:ascii="Cambria" w:eastAsia="Calibri" w:hAnsi="Cambria" w:cs="Times New Roman"/>
            <w:iCs/>
            <w:noProof/>
            <w:sz w:val="24"/>
            <w:szCs w:val="24"/>
          </w:rPr>
          <w:t>Tabelul nr. 3</w:t>
        </w:r>
        <w:r w:rsidR="00A96DD2" w:rsidRPr="00EA1BB2">
          <w:rPr>
            <w:rStyle w:val="Hyperlink"/>
            <w:rFonts w:ascii="Cambria" w:eastAsia="Calibri" w:hAnsi="Cambria" w:cs="Times New Roman"/>
            <w:iCs/>
            <w:noProof/>
            <w:sz w:val="24"/>
            <w:szCs w:val="24"/>
          </w:rPr>
          <w:noBreakHyphen/>
          <w:t xml:space="preserve">2 - </w:t>
        </w:r>
        <w:r w:rsidR="00A96DD2" w:rsidRPr="00EA1BB2">
          <w:rPr>
            <w:rStyle w:val="Hyperlink"/>
            <w:rFonts w:ascii="Cambria" w:eastAsia="Times New Roman" w:hAnsi="Cambria" w:cs="Times New Roman"/>
            <w:noProof/>
            <w:sz w:val="24"/>
            <w:szCs w:val="24"/>
          </w:rPr>
          <w:t>Vehicule rutiere înmatriculate în circulație la nivelul județului Brăila, la sfârșitul anului 2017 comparativ cu anul de referință 2013</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_Toc526889771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63</w:t>
        </w:r>
        <w:r w:rsidR="00A96DD2" w:rsidRPr="00EA1BB2">
          <w:rPr>
            <w:rFonts w:ascii="Cambria" w:hAnsi="Cambria"/>
            <w:noProof/>
            <w:webHidden/>
            <w:sz w:val="24"/>
            <w:szCs w:val="24"/>
          </w:rPr>
          <w:fldChar w:fldCharType="end"/>
        </w:r>
      </w:hyperlink>
    </w:p>
    <w:p w14:paraId="4A26E7A1" w14:textId="71085F66"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772" w:history="1">
        <w:r w:rsidR="00A96DD2" w:rsidRPr="00EA1BB2">
          <w:rPr>
            <w:rStyle w:val="Hyperlink"/>
            <w:rFonts w:ascii="Cambria" w:hAnsi="Cambria"/>
            <w:noProof/>
            <w:sz w:val="24"/>
            <w:szCs w:val="24"/>
          </w:rPr>
          <w:t>Tabelul nr. 3</w:t>
        </w:r>
        <w:r w:rsidR="00A96DD2" w:rsidRPr="00EA1BB2">
          <w:rPr>
            <w:rStyle w:val="Hyperlink"/>
            <w:rFonts w:ascii="Cambria" w:hAnsi="Cambria"/>
            <w:noProof/>
            <w:sz w:val="24"/>
            <w:szCs w:val="24"/>
          </w:rPr>
          <w:noBreakHyphen/>
          <w:t>3 – Ponderea emisiilor de poluanți în atmosferă din surse comercial/instituțional și rezidențial din județul Brăila</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_Toc526889772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64</w:t>
        </w:r>
        <w:r w:rsidR="00A96DD2" w:rsidRPr="00EA1BB2">
          <w:rPr>
            <w:rFonts w:ascii="Cambria" w:hAnsi="Cambria"/>
            <w:noProof/>
            <w:webHidden/>
            <w:sz w:val="24"/>
            <w:szCs w:val="24"/>
          </w:rPr>
          <w:fldChar w:fldCharType="end"/>
        </w:r>
      </w:hyperlink>
    </w:p>
    <w:p w14:paraId="5190F3A3" w14:textId="716265C4"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773" w:history="1">
        <w:r w:rsidR="00A96DD2" w:rsidRPr="00EA1BB2">
          <w:rPr>
            <w:rStyle w:val="Hyperlink"/>
            <w:rFonts w:ascii="Cambria" w:eastAsia="Calibri" w:hAnsi="Cambria" w:cs="Times New Roman"/>
            <w:iCs/>
            <w:noProof/>
            <w:sz w:val="24"/>
            <w:szCs w:val="24"/>
          </w:rPr>
          <w:t>Tabelul nr. 3</w:t>
        </w:r>
        <w:r w:rsidR="00A96DD2" w:rsidRPr="00EA1BB2">
          <w:rPr>
            <w:rStyle w:val="Hyperlink"/>
            <w:rFonts w:ascii="Cambria" w:eastAsia="Calibri" w:hAnsi="Cambria" w:cs="Times New Roman"/>
            <w:iCs/>
            <w:noProof/>
            <w:sz w:val="24"/>
            <w:szCs w:val="24"/>
          </w:rPr>
          <w:noBreakHyphen/>
          <w:t>4 - Locuințe după modul de încălzire (RPL 2011)</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_Toc526889773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65</w:t>
        </w:r>
        <w:r w:rsidR="00A96DD2" w:rsidRPr="00EA1BB2">
          <w:rPr>
            <w:rFonts w:ascii="Cambria" w:hAnsi="Cambria"/>
            <w:noProof/>
            <w:webHidden/>
            <w:sz w:val="24"/>
            <w:szCs w:val="24"/>
          </w:rPr>
          <w:fldChar w:fldCharType="end"/>
        </w:r>
      </w:hyperlink>
    </w:p>
    <w:p w14:paraId="40DFA07D" w14:textId="45488753"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774" w:history="1">
        <w:r w:rsidR="00A96DD2" w:rsidRPr="00EA1BB2">
          <w:rPr>
            <w:rStyle w:val="Hyperlink"/>
            <w:rFonts w:ascii="Cambria" w:eastAsia="Calibri" w:hAnsi="Cambria" w:cs="Times New Roman"/>
            <w:iCs/>
            <w:noProof/>
            <w:sz w:val="24"/>
            <w:szCs w:val="24"/>
          </w:rPr>
          <w:t>Tabelul nr. 3</w:t>
        </w:r>
        <w:r w:rsidR="00A96DD2" w:rsidRPr="00EA1BB2">
          <w:rPr>
            <w:rStyle w:val="Hyperlink"/>
            <w:rFonts w:ascii="Cambria" w:eastAsia="Calibri" w:hAnsi="Cambria" w:cs="Times New Roman"/>
            <w:iCs/>
            <w:noProof/>
            <w:sz w:val="24"/>
            <w:szCs w:val="24"/>
          </w:rPr>
          <w:noBreakHyphen/>
          <w:t>5 - Numărul locuințelor dotate cu încălzire centrală (RPL 2011)</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_Toc526889774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65</w:t>
        </w:r>
        <w:r w:rsidR="00A96DD2" w:rsidRPr="00EA1BB2">
          <w:rPr>
            <w:rFonts w:ascii="Cambria" w:hAnsi="Cambria"/>
            <w:noProof/>
            <w:webHidden/>
            <w:sz w:val="24"/>
            <w:szCs w:val="24"/>
          </w:rPr>
          <w:fldChar w:fldCharType="end"/>
        </w:r>
      </w:hyperlink>
    </w:p>
    <w:p w14:paraId="5E1CA0F1" w14:textId="5EC70697"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775" w:history="1">
        <w:r w:rsidR="00A96DD2" w:rsidRPr="00EA1BB2">
          <w:rPr>
            <w:rStyle w:val="Hyperlink"/>
            <w:rFonts w:ascii="Cambria" w:eastAsia="Calibri" w:hAnsi="Cambria" w:cs="Times New Roman"/>
            <w:iCs/>
            <w:noProof/>
            <w:sz w:val="24"/>
            <w:szCs w:val="24"/>
          </w:rPr>
          <w:t>Tabelul nr. 3</w:t>
        </w:r>
        <w:r w:rsidR="00A96DD2" w:rsidRPr="00EA1BB2">
          <w:rPr>
            <w:rStyle w:val="Hyperlink"/>
            <w:rFonts w:ascii="Cambria" w:eastAsia="Calibri" w:hAnsi="Cambria" w:cs="Times New Roman"/>
            <w:iCs/>
            <w:noProof/>
            <w:sz w:val="24"/>
            <w:szCs w:val="24"/>
          </w:rPr>
          <w:noBreakHyphen/>
          <w:t>6 - Numărul locuințelor fără încălzire centrală (RPL 2011)</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_Toc526889775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66</w:t>
        </w:r>
        <w:r w:rsidR="00A96DD2" w:rsidRPr="00EA1BB2">
          <w:rPr>
            <w:rFonts w:ascii="Cambria" w:hAnsi="Cambria"/>
            <w:noProof/>
            <w:webHidden/>
            <w:sz w:val="24"/>
            <w:szCs w:val="24"/>
          </w:rPr>
          <w:fldChar w:fldCharType="end"/>
        </w:r>
      </w:hyperlink>
    </w:p>
    <w:p w14:paraId="0B572CF9" w14:textId="11DDC38D"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776" w:history="1">
        <w:r w:rsidR="00A96DD2" w:rsidRPr="00EA1BB2">
          <w:rPr>
            <w:rStyle w:val="Hyperlink"/>
            <w:rFonts w:ascii="Cambria" w:hAnsi="Cambria"/>
            <w:noProof/>
            <w:sz w:val="24"/>
            <w:szCs w:val="24"/>
          </w:rPr>
          <w:t>Tabelul nr. 3</w:t>
        </w:r>
        <w:r w:rsidR="00A96DD2" w:rsidRPr="00EA1BB2">
          <w:rPr>
            <w:rStyle w:val="Hyperlink"/>
            <w:rFonts w:ascii="Cambria" w:hAnsi="Cambria"/>
            <w:noProof/>
            <w:sz w:val="24"/>
            <w:szCs w:val="24"/>
          </w:rPr>
          <w:noBreakHyphen/>
          <w:t>7 – Evoluția locuințelor existente la sfârșitul anului</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_Toc526889776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66</w:t>
        </w:r>
        <w:r w:rsidR="00A96DD2" w:rsidRPr="00EA1BB2">
          <w:rPr>
            <w:rFonts w:ascii="Cambria" w:hAnsi="Cambria"/>
            <w:noProof/>
            <w:webHidden/>
            <w:sz w:val="24"/>
            <w:szCs w:val="24"/>
          </w:rPr>
          <w:fldChar w:fldCharType="end"/>
        </w:r>
      </w:hyperlink>
    </w:p>
    <w:p w14:paraId="2A6503C1" w14:textId="3985DD9F"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777" w:history="1">
        <w:r w:rsidR="00A96DD2" w:rsidRPr="00EA1BB2">
          <w:rPr>
            <w:rStyle w:val="Hyperlink"/>
            <w:rFonts w:ascii="Cambria" w:hAnsi="Cambria"/>
            <w:iCs/>
            <w:noProof/>
            <w:sz w:val="24"/>
            <w:szCs w:val="24"/>
          </w:rPr>
          <w:t>Tabelul nr. 3</w:t>
        </w:r>
        <w:r w:rsidR="00A96DD2" w:rsidRPr="00EA1BB2">
          <w:rPr>
            <w:rStyle w:val="Hyperlink"/>
            <w:rFonts w:ascii="Cambria" w:hAnsi="Cambria"/>
            <w:iCs/>
            <w:noProof/>
            <w:sz w:val="24"/>
            <w:szCs w:val="24"/>
          </w:rPr>
          <w:noBreakHyphen/>
          <w:t xml:space="preserve">8 - </w:t>
        </w:r>
        <w:r w:rsidR="00A96DD2" w:rsidRPr="00EA1BB2">
          <w:rPr>
            <w:rStyle w:val="Hyperlink"/>
            <w:rFonts w:ascii="Cambria" w:eastAsia="SimSun" w:hAnsi="Cambria" w:cs="Times New Roman"/>
            <w:iCs/>
            <w:noProof/>
            <w:sz w:val="24"/>
            <w:szCs w:val="24"/>
          </w:rPr>
          <w:t>Structura terenurilor agricole din județul Brăila în anul 2014</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_Toc526889777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67</w:t>
        </w:r>
        <w:r w:rsidR="00A96DD2" w:rsidRPr="00EA1BB2">
          <w:rPr>
            <w:rFonts w:ascii="Cambria" w:hAnsi="Cambria"/>
            <w:noProof/>
            <w:webHidden/>
            <w:sz w:val="24"/>
            <w:szCs w:val="24"/>
          </w:rPr>
          <w:fldChar w:fldCharType="end"/>
        </w:r>
      </w:hyperlink>
    </w:p>
    <w:p w14:paraId="004DDEE8" w14:textId="4A0F27A0"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778" w:history="1">
        <w:r w:rsidR="00A96DD2" w:rsidRPr="00EA1BB2">
          <w:rPr>
            <w:rStyle w:val="Hyperlink"/>
            <w:rFonts w:ascii="Cambria" w:hAnsi="Cambria"/>
            <w:noProof/>
            <w:sz w:val="24"/>
            <w:szCs w:val="24"/>
          </w:rPr>
          <w:t>Tabelul nr. 3</w:t>
        </w:r>
        <w:r w:rsidR="00A96DD2" w:rsidRPr="00EA1BB2">
          <w:rPr>
            <w:rStyle w:val="Hyperlink"/>
            <w:rFonts w:ascii="Cambria" w:hAnsi="Cambria"/>
            <w:noProof/>
            <w:sz w:val="24"/>
            <w:szCs w:val="24"/>
          </w:rPr>
          <w:noBreakHyphen/>
          <w:t>9 - Repartiția terenurilor pe clase de pretabilitate în județul Brăila</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_Toc526889778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68</w:t>
        </w:r>
        <w:r w:rsidR="00A96DD2" w:rsidRPr="00EA1BB2">
          <w:rPr>
            <w:rFonts w:ascii="Cambria" w:hAnsi="Cambria"/>
            <w:noProof/>
            <w:webHidden/>
            <w:sz w:val="24"/>
            <w:szCs w:val="24"/>
          </w:rPr>
          <w:fldChar w:fldCharType="end"/>
        </w:r>
      </w:hyperlink>
    </w:p>
    <w:p w14:paraId="466D0AF3" w14:textId="5F69A652"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779" w:history="1">
        <w:r w:rsidR="00A96DD2" w:rsidRPr="00EA1BB2">
          <w:rPr>
            <w:rStyle w:val="Hyperlink"/>
            <w:rFonts w:ascii="Cambria" w:eastAsia="Calibri" w:hAnsi="Cambria" w:cs="Times New Roman"/>
            <w:iCs/>
            <w:noProof/>
            <w:sz w:val="24"/>
            <w:szCs w:val="24"/>
          </w:rPr>
          <w:t>Tabelul nr. 3</w:t>
        </w:r>
        <w:r w:rsidR="00A96DD2" w:rsidRPr="00EA1BB2">
          <w:rPr>
            <w:rStyle w:val="Hyperlink"/>
            <w:rFonts w:ascii="Cambria" w:eastAsia="Calibri" w:hAnsi="Cambria" w:cs="Times New Roman"/>
            <w:iCs/>
            <w:noProof/>
            <w:sz w:val="24"/>
            <w:szCs w:val="24"/>
          </w:rPr>
          <w:noBreakHyphen/>
          <w:t xml:space="preserve">10 - </w:t>
        </w:r>
        <w:r w:rsidR="00A96DD2" w:rsidRPr="00EA1BB2">
          <w:rPr>
            <w:rStyle w:val="Hyperlink"/>
            <w:rFonts w:ascii="Cambria" w:eastAsia="Times New Roman" w:hAnsi="Cambria" w:cs="Times New Roman"/>
            <w:noProof/>
            <w:sz w:val="24"/>
            <w:szCs w:val="24"/>
          </w:rPr>
          <w:t>Principalele surse de poluare din sector agricultură în județul Brăila</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_Toc526889779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69</w:t>
        </w:r>
        <w:r w:rsidR="00A96DD2" w:rsidRPr="00EA1BB2">
          <w:rPr>
            <w:rFonts w:ascii="Cambria" w:hAnsi="Cambria"/>
            <w:noProof/>
            <w:webHidden/>
            <w:sz w:val="24"/>
            <w:szCs w:val="24"/>
          </w:rPr>
          <w:fldChar w:fldCharType="end"/>
        </w:r>
      </w:hyperlink>
    </w:p>
    <w:p w14:paraId="6049ED9C" w14:textId="74BA3F79"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780" w:history="1">
        <w:r w:rsidR="00A96DD2" w:rsidRPr="00EA1BB2">
          <w:rPr>
            <w:rStyle w:val="Hyperlink"/>
            <w:rFonts w:ascii="Cambria" w:hAnsi="Cambria"/>
            <w:noProof/>
            <w:sz w:val="24"/>
            <w:szCs w:val="24"/>
          </w:rPr>
          <w:t>Tabelul nr. 3</w:t>
        </w:r>
        <w:r w:rsidR="00A96DD2" w:rsidRPr="00EA1BB2">
          <w:rPr>
            <w:rStyle w:val="Hyperlink"/>
            <w:rFonts w:ascii="Cambria" w:hAnsi="Cambria"/>
            <w:noProof/>
            <w:sz w:val="24"/>
            <w:szCs w:val="24"/>
          </w:rPr>
          <w:noBreakHyphen/>
          <w:t xml:space="preserve">11 - </w:t>
        </w:r>
        <w:r w:rsidR="00A96DD2" w:rsidRPr="00EA1BB2">
          <w:rPr>
            <w:rStyle w:val="Hyperlink"/>
            <w:rFonts w:ascii="Cambria" w:eastAsia="Times New Roman" w:hAnsi="Cambria" w:cs="Times New Roman"/>
            <w:noProof/>
            <w:sz w:val="24"/>
            <w:szCs w:val="24"/>
          </w:rPr>
          <w:t>Concentrația medie anuală pentru dioxidul de azot (NO</w:t>
        </w:r>
        <w:r w:rsidR="00A96DD2" w:rsidRPr="00EA1BB2">
          <w:rPr>
            <w:rStyle w:val="Hyperlink"/>
            <w:rFonts w:ascii="Cambria" w:eastAsia="Times New Roman" w:hAnsi="Cambria" w:cs="Times New Roman"/>
            <w:noProof/>
            <w:sz w:val="24"/>
            <w:szCs w:val="24"/>
            <w:vertAlign w:val="subscript"/>
          </w:rPr>
          <w:t>2</w:t>
        </w:r>
        <w:r w:rsidR="00A96DD2" w:rsidRPr="00EA1BB2">
          <w:rPr>
            <w:rStyle w:val="Hyperlink"/>
            <w:rFonts w:ascii="Cambria" w:eastAsia="Times New Roman" w:hAnsi="Cambria" w:cs="Times New Roman"/>
            <w:noProof/>
            <w:sz w:val="24"/>
            <w:szCs w:val="24"/>
          </w:rPr>
          <w:t>), înregistrată la stațiile de monitorizare a aerului din zona Brăila, în perioada 2008-2017</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_Toc526889780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73</w:t>
        </w:r>
        <w:r w:rsidR="00A96DD2" w:rsidRPr="00EA1BB2">
          <w:rPr>
            <w:rFonts w:ascii="Cambria" w:hAnsi="Cambria"/>
            <w:noProof/>
            <w:webHidden/>
            <w:sz w:val="24"/>
            <w:szCs w:val="24"/>
          </w:rPr>
          <w:fldChar w:fldCharType="end"/>
        </w:r>
      </w:hyperlink>
    </w:p>
    <w:p w14:paraId="0F2D6007" w14:textId="3A49DD5E"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781" w:history="1">
        <w:r w:rsidR="00A96DD2" w:rsidRPr="00EA1BB2">
          <w:rPr>
            <w:rStyle w:val="Hyperlink"/>
            <w:rFonts w:ascii="Cambria" w:hAnsi="Cambria"/>
            <w:noProof/>
            <w:sz w:val="24"/>
            <w:szCs w:val="24"/>
          </w:rPr>
          <w:t>Tabelul nr. 3</w:t>
        </w:r>
        <w:r w:rsidR="00A96DD2" w:rsidRPr="00EA1BB2">
          <w:rPr>
            <w:rStyle w:val="Hyperlink"/>
            <w:rFonts w:ascii="Cambria" w:hAnsi="Cambria"/>
            <w:noProof/>
            <w:sz w:val="24"/>
            <w:szCs w:val="24"/>
          </w:rPr>
          <w:noBreakHyphen/>
          <w:t xml:space="preserve">12 - </w:t>
        </w:r>
        <w:r w:rsidR="00A96DD2" w:rsidRPr="00EA1BB2">
          <w:rPr>
            <w:rStyle w:val="Hyperlink"/>
            <w:rFonts w:ascii="Cambria" w:eastAsia="Times New Roman" w:hAnsi="Cambria" w:cs="Times New Roman"/>
            <w:noProof/>
            <w:sz w:val="24"/>
            <w:szCs w:val="24"/>
          </w:rPr>
          <w:t>Concentrația medie anuală pentru oxizi de azot (NOx), înregistrată la stațiile de monitorizare a aerului din zona Brăila, în perioada 2008-2017</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_Toc526889781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73</w:t>
        </w:r>
        <w:r w:rsidR="00A96DD2" w:rsidRPr="00EA1BB2">
          <w:rPr>
            <w:rFonts w:ascii="Cambria" w:hAnsi="Cambria"/>
            <w:noProof/>
            <w:webHidden/>
            <w:sz w:val="24"/>
            <w:szCs w:val="24"/>
          </w:rPr>
          <w:fldChar w:fldCharType="end"/>
        </w:r>
      </w:hyperlink>
    </w:p>
    <w:p w14:paraId="5AC9A4AA" w14:textId="23DC253B"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782" w:history="1">
        <w:r w:rsidR="00A96DD2" w:rsidRPr="00EA1BB2">
          <w:rPr>
            <w:rStyle w:val="Hyperlink"/>
            <w:rFonts w:ascii="Cambria" w:hAnsi="Cambria"/>
            <w:noProof/>
            <w:sz w:val="24"/>
            <w:szCs w:val="24"/>
          </w:rPr>
          <w:t>Tabelul nr. 3</w:t>
        </w:r>
        <w:r w:rsidR="00A96DD2" w:rsidRPr="00EA1BB2">
          <w:rPr>
            <w:rStyle w:val="Hyperlink"/>
            <w:rFonts w:ascii="Cambria" w:hAnsi="Cambria"/>
            <w:noProof/>
            <w:sz w:val="24"/>
            <w:szCs w:val="24"/>
          </w:rPr>
          <w:noBreakHyphen/>
          <w:t xml:space="preserve">13 - </w:t>
        </w:r>
        <w:r w:rsidR="00A96DD2" w:rsidRPr="00EA1BB2">
          <w:rPr>
            <w:rStyle w:val="Hyperlink"/>
            <w:rFonts w:ascii="Cambria" w:eastAsia="Times New Roman" w:hAnsi="Cambria" w:cs="Times New Roman"/>
            <w:noProof/>
            <w:sz w:val="24"/>
            <w:szCs w:val="24"/>
          </w:rPr>
          <w:t>Concentrația medie anuală pentru pulberi în suspensie (PM</w:t>
        </w:r>
        <w:r w:rsidR="00A96DD2" w:rsidRPr="00EA1BB2">
          <w:rPr>
            <w:rStyle w:val="Hyperlink"/>
            <w:rFonts w:ascii="Cambria" w:eastAsia="Times New Roman" w:hAnsi="Cambria" w:cs="Times New Roman"/>
            <w:noProof/>
            <w:sz w:val="24"/>
            <w:szCs w:val="24"/>
            <w:vertAlign w:val="subscript"/>
          </w:rPr>
          <w:t>10</w:t>
        </w:r>
        <w:r w:rsidR="00A96DD2" w:rsidRPr="00EA1BB2">
          <w:rPr>
            <w:rStyle w:val="Hyperlink"/>
            <w:rFonts w:ascii="Cambria" w:eastAsia="Times New Roman" w:hAnsi="Cambria" w:cs="Times New Roman"/>
            <w:noProof/>
            <w:sz w:val="24"/>
            <w:szCs w:val="24"/>
          </w:rPr>
          <w:t>), înregistrată la stațiile de monitorizare a aerului din județul Brăila, în perioada 2008-2017</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_Toc526889782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74</w:t>
        </w:r>
        <w:r w:rsidR="00A96DD2" w:rsidRPr="00EA1BB2">
          <w:rPr>
            <w:rFonts w:ascii="Cambria" w:hAnsi="Cambria"/>
            <w:noProof/>
            <w:webHidden/>
            <w:sz w:val="24"/>
            <w:szCs w:val="24"/>
          </w:rPr>
          <w:fldChar w:fldCharType="end"/>
        </w:r>
      </w:hyperlink>
    </w:p>
    <w:p w14:paraId="04BEE979" w14:textId="6F07C70C"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783" w:history="1">
        <w:r w:rsidR="00A96DD2" w:rsidRPr="00EA1BB2">
          <w:rPr>
            <w:rStyle w:val="Hyperlink"/>
            <w:rFonts w:ascii="Cambria" w:hAnsi="Cambria"/>
            <w:noProof/>
            <w:sz w:val="24"/>
            <w:szCs w:val="24"/>
          </w:rPr>
          <w:t>Tabelul nr. 3</w:t>
        </w:r>
        <w:r w:rsidR="00A96DD2" w:rsidRPr="00EA1BB2">
          <w:rPr>
            <w:rStyle w:val="Hyperlink"/>
            <w:rFonts w:ascii="Cambria" w:hAnsi="Cambria"/>
            <w:noProof/>
            <w:sz w:val="24"/>
            <w:szCs w:val="24"/>
          </w:rPr>
          <w:noBreakHyphen/>
          <w:t xml:space="preserve">14 – Numărul anual de depășiri </w:t>
        </w:r>
        <w:r w:rsidR="00A96DD2" w:rsidRPr="00EA1BB2">
          <w:rPr>
            <w:rStyle w:val="Hyperlink"/>
            <w:rFonts w:ascii="Cambria" w:eastAsia="Times New Roman" w:hAnsi="Cambria" w:cs="Times New Roman"/>
            <w:noProof/>
            <w:sz w:val="24"/>
            <w:szCs w:val="24"/>
          </w:rPr>
          <w:t>a valorii-limită zilnice pentru pulberi în suspensie (PM</w:t>
        </w:r>
        <w:r w:rsidR="00A96DD2" w:rsidRPr="00EA1BB2">
          <w:rPr>
            <w:rStyle w:val="Hyperlink"/>
            <w:rFonts w:ascii="Cambria" w:eastAsia="Times New Roman" w:hAnsi="Cambria" w:cs="Times New Roman"/>
            <w:noProof/>
            <w:sz w:val="24"/>
            <w:szCs w:val="24"/>
            <w:vertAlign w:val="subscript"/>
          </w:rPr>
          <w:t>10</w:t>
        </w:r>
        <w:r w:rsidR="00A96DD2" w:rsidRPr="00EA1BB2">
          <w:rPr>
            <w:rStyle w:val="Hyperlink"/>
            <w:rFonts w:ascii="Cambria" w:eastAsia="Times New Roman" w:hAnsi="Cambria" w:cs="Times New Roman"/>
            <w:noProof/>
            <w:sz w:val="24"/>
            <w:szCs w:val="24"/>
          </w:rPr>
          <w:t>), înregistrate la stațiile de monitorizare a aerului din zona Brăila, în perioada 2008-2017</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_Toc526889783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74</w:t>
        </w:r>
        <w:r w:rsidR="00A96DD2" w:rsidRPr="00EA1BB2">
          <w:rPr>
            <w:rFonts w:ascii="Cambria" w:hAnsi="Cambria"/>
            <w:noProof/>
            <w:webHidden/>
            <w:sz w:val="24"/>
            <w:szCs w:val="24"/>
          </w:rPr>
          <w:fldChar w:fldCharType="end"/>
        </w:r>
      </w:hyperlink>
    </w:p>
    <w:p w14:paraId="2B0F8706" w14:textId="029D85FF"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784" w:history="1">
        <w:r w:rsidR="00A96DD2" w:rsidRPr="00EA1BB2">
          <w:rPr>
            <w:rStyle w:val="Hyperlink"/>
            <w:rFonts w:ascii="Cambria" w:hAnsi="Cambria"/>
            <w:noProof/>
            <w:sz w:val="24"/>
            <w:szCs w:val="24"/>
          </w:rPr>
          <w:t>Tabelul nr. 3</w:t>
        </w:r>
        <w:r w:rsidR="00A96DD2" w:rsidRPr="00EA1BB2">
          <w:rPr>
            <w:rStyle w:val="Hyperlink"/>
            <w:rFonts w:ascii="Cambria" w:hAnsi="Cambria"/>
            <w:noProof/>
            <w:sz w:val="24"/>
            <w:szCs w:val="24"/>
          </w:rPr>
          <w:noBreakHyphen/>
          <w:t xml:space="preserve">15 - </w:t>
        </w:r>
        <w:r w:rsidR="00A96DD2" w:rsidRPr="00EA1BB2">
          <w:rPr>
            <w:rStyle w:val="Hyperlink"/>
            <w:rFonts w:ascii="Cambria" w:eastAsia="Times New Roman" w:hAnsi="Cambria" w:cs="Times New Roman"/>
            <w:noProof/>
            <w:sz w:val="24"/>
            <w:szCs w:val="24"/>
          </w:rPr>
          <w:t>Concentrația medie anuală pentru pulberi în suspensie (PM</w:t>
        </w:r>
        <w:r w:rsidR="00A96DD2" w:rsidRPr="00EA1BB2">
          <w:rPr>
            <w:rStyle w:val="Hyperlink"/>
            <w:rFonts w:ascii="Cambria" w:eastAsia="Times New Roman" w:hAnsi="Cambria" w:cs="Times New Roman"/>
            <w:noProof/>
            <w:sz w:val="24"/>
            <w:szCs w:val="24"/>
            <w:vertAlign w:val="subscript"/>
          </w:rPr>
          <w:t>2,5</w:t>
        </w:r>
        <w:r w:rsidR="00A96DD2" w:rsidRPr="00EA1BB2">
          <w:rPr>
            <w:rStyle w:val="Hyperlink"/>
            <w:rFonts w:ascii="Cambria" w:eastAsia="Times New Roman" w:hAnsi="Cambria" w:cs="Times New Roman"/>
            <w:noProof/>
            <w:sz w:val="24"/>
            <w:szCs w:val="24"/>
          </w:rPr>
          <w:t>), înregistrată la stația de monitorizare a aerului din aglomerarea Brăila, în perioada 2008-2017</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_Toc526889784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75</w:t>
        </w:r>
        <w:r w:rsidR="00A96DD2" w:rsidRPr="00EA1BB2">
          <w:rPr>
            <w:rFonts w:ascii="Cambria" w:hAnsi="Cambria"/>
            <w:noProof/>
            <w:webHidden/>
            <w:sz w:val="24"/>
            <w:szCs w:val="24"/>
          </w:rPr>
          <w:fldChar w:fldCharType="end"/>
        </w:r>
      </w:hyperlink>
    </w:p>
    <w:p w14:paraId="0DBBB046" w14:textId="1EF9BB69"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785" w:history="1">
        <w:r w:rsidR="00A96DD2" w:rsidRPr="00EA1BB2">
          <w:rPr>
            <w:rStyle w:val="Hyperlink"/>
            <w:rFonts w:ascii="Cambria" w:hAnsi="Cambria"/>
            <w:noProof/>
            <w:sz w:val="24"/>
            <w:szCs w:val="24"/>
          </w:rPr>
          <w:t>Tabelul nr. 3</w:t>
        </w:r>
        <w:r w:rsidR="00A96DD2" w:rsidRPr="00EA1BB2">
          <w:rPr>
            <w:rStyle w:val="Hyperlink"/>
            <w:rFonts w:ascii="Cambria" w:hAnsi="Cambria"/>
            <w:noProof/>
            <w:sz w:val="24"/>
            <w:szCs w:val="24"/>
          </w:rPr>
          <w:noBreakHyphen/>
          <w:t xml:space="preserve">16 - </w:t>
        </w:r>
        <w:r w:rsidR="00A96DD2" w:rsidRPr="00EA1BB2">
          <w:rPr>
            <w:rStyle w:val="Hyperlink"/>
            <w:rFonts w:ascii="Cambria" w:eastAsia="Times New Roman" w:hAnsi="Cambria" w:cs="Times New Roman"/>
            <w:noProof/>
            <w:sz w:val="24"/>
            <w:szCs w:val="24"/>
          </w:rPr>
          <w:t>Concentrația medie anuală pentru benzen (C</w:t>
        </w:r>
        <w:r w:rsidR="00A96DD2" w:rsidRPr="00EA1BB2">
          <w:rPr>
            <w:rStyle w:val="Hyperlink"/>
            <w:rFonts w:ascii="Cambria" w:eastAsia="Times New Roman" w:hAnsi="Cambria" w:cs="Times New Roman"/>
            <w:noProof/>
            <w:sz w:val="24"/>
            <w:szCs w:val="24"/>
            <w:vertAlign w:val="subscript"/>
          </w:rPr>
          <w:t>6</w:t>
        </w:r>
        <w:r w:rsidR="00A96DD2" w:rsidRPr="00EA1BB2">
          <w:rPr>
            <w:rStyle w:val="Hyperlink"/>
            <w:rFonts w:ascii="Cambria" w:eastAsia="Times New Roman" w:hAnsi="Cambria" w:cs="Times New Roman"/>
            <w:noProof/>
            <w:sz w:val="24"/>
            <w:szCs w:val="24"/>
          </w:rPr>
          <w:t>H</w:t>
        </w:r>
        <w:r w:rsidR="00A96DD2" w:rsidRPr="00EA1BB2">
          <w:rPr>
            <w:rStyle w:val="Hyperlink"/>
            <w:rFonts w:ascii="Cambria" w:eastAsia="Times New Roman" w:hAnsi="Cambria" w:cs="Times New Roman"/>
            <w:noProof/>
            <w:sz w:val="24"/>
            <w:szCs w:val="24"/>
            <w:vertAlign w:val="subscript"/>
          </w:rPr>
          <w:t>6</w:t>
        </w:r>
        <w:r w:rsidR="00A96DD2" w:rsidRPr="00EA1BB2">
          <w:rPr>
            <w:rStyle w:val="Hyperlink"/>
            <w:rFonts w:ascii="Cambria" w:eastAsia="Times New Roman" w:hAnsi="Cambria" w:cs="Times New Roman"/>
            <w:noProof/>
            <w:sz w:val="24"/>
            <w:szCs w:val="24"/>
          </w:rPr>
          <w:t>), înregistrată la stațiile de monitorizare a aerului din județul Brăila, în perioada 2008-2017</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_Toc526889785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75</w:t>
        </w:r>
        <w:r w:rsidR="00A96DD2" w:rsidRPr="00EA1BB2">
          <w:rPr>
            <w:rFonts w:ascii="Cambria" w:hAnsi="Cambria"/>
            <w:noProof/>
            <w:webHidden/>
            <w:sz w:val="24"/>
            <w:szCs w:val="24"/>
          </w:rPr>
          <w:fldChar w:fldCharType="end"/>
        </w:r>
      </w:hyperlink>
    </w:p>
    <w:p w14:paraId="74661EA8" w14:textId="65773004"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786" w:history="1">
        <w:r w:rsidR="00A96DD2" w:rsidRPr="00EA1BB2">
          <w:rPr>
            <w:rStyle w:val="Hyperlink"/>
            <w:rFonts w:ascii="Cambria" w:hAnsi="Cambria"/>
            <w:noProof/>
            <w:sz w:val="24"/>
            <w:szCs w:val="24"/>
          </w:rPr>
          <w:t>Tabelul nr. 3</w:t>
        </w:r>
        <w:r w:rsidR="00A96DD2" w:rsidRPr="00EA1BB2">
          <w:rPr>
            <w:rStyle w:val="Hyperlink"/>
            <w:rFonts w:ascii="Cambria" w:hAnsi="Cambria"/>
            <w:noProof/>
            <w:sz w:val="24"/>
            <w:szCs w:val="24"/>
          </w:rPr>
          <w:noBreakHyphen/>
          <w:t xml:space="preserve">17 - </w:t>
        </w:r>
        <w:r w:rsidR="00A96DD2" w:rsidRPr="00EA1BB2">
          <w:rPr>
            <w:rStyle w:val="Hyperlink"/>
            <w:rFonts w:ascii="Cambria" w:eastAsia="Times New Roman" w:hAnsi="Cambria" w:cs="Times New Roman"/>
            <w:noProof/>
            <w:sz w:val="24"/>
            <w:szCs w:val="24"/>
          </w:rPr>
          <w:t>Concentrația medie anuală pentru dioxidul de sulf (SO</w:t>
        </w:r>
        <w:r w:rsidR="00A96DD2" w:rsidRPr="00EA1BB2">
          <w:rPr>
            <w:rStyle w:val="Hyperlink"/>
            <w:rFonts w:ascii="Cambria" w:eastAsia="Times New Roman" w:hAnsi="Cambria" w:cs="Times New Roman"/>
            <w:noProof/>
            <w:sz w:val="24"/>
            <w:szCs w:val="24"/>
            <w:vertAlign w:val="subscript"/>
          </w:rPr>
          <w:t>2</w:t>
        </w:r>
        <w:r w:rsidR="00A96DD2" w:rsidRPr="00EA1BB2">
          <w:rPr>
            <w:rStyle w:val="Hyperlink"/>
            <w:rFonts w:ascii="Cambria" w:eastAsia="Times New Roman" w:hAnsi="Cambria" w:cs="Times New Roman"/>
            <w:noProof/>
            <w:sz w:val="24"/>
            <w:szCs w:val="24"/>
          </w:rPr>
          <w:t>), înregistrată la stațiile de monitorizare a aerului din județul Brăila, în perioada 2008-2017</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_Toc526889786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76</w:t>
        </w:r>
        <w:r w:rsidR="00A96DD2" w:rsidRPr="00EA1BB2">
          <w:rPr>
            <w:rFonts w:ascii="Cambria" w:hAnsi="Cambria"/>
            <w:noProof/>
            <w:webHidden/>
            <w:sz w:val="24"/>
            <w:szCs w:val="24"/>
          </w:rPr>
          <w:fldChar w:fldCharType="end"/>
        </w:r>
      </w:hyperlink>
    </w:p>
    <w:p w14:paraId="0CB2F9D6" w14:textId="6853776E"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787" w:history="1">
        <w:r w:rsidR="00A96DD2" w:rsidRPr="00EA1BB2">
          <w:rPr>
            <w:rStyle w:val="Hyperlink"/>
            <w:rFonts w:ascii="Cambria" w:hAnsi="Cambria"/>
            <w:noProof/>
            <w:sz w:val="24"/>
            <w:szCs w:val="24"/>
          </w:rPr>
          <w:t>Tabelul nr. 3</w:t>
        </w:r>
        <w:r w:rsidR="00A96DD2" w:rsidRPr="00EA1BB2">
          <w:rPr>
            <w:rStyle w:val="Hyperlink"/>
            <w:rFonts w:ascii="Cambria" w:hAnsi="Cambria"/>
            <w:noProof/>
            <w:sz w:val="24"/>
            <w:szCs w:val="24"/>
          </w:rPr>
          <w:noBreakHyphen/>
          <w:t xml:space="preserve">18 - </w:t>
        </w:r>
        <w:r w:rsidR="00A96DD2" w:rsidRPr="00EA1BB2">
          <w:rPr>
            <w:rStyle w:val="Hyperlink"/>
            <w:rFonts w:ascii="Cambria" w:eastAsia="Times New Roman" w:hAnsi="Cambria" w:cs="Times New Roman"/>
            <w:noProof/>
            <w:sz w:val="24"/>
            <w:szCs w:val="24"/>
          </w:rPr>
          <w:t>Valoarea maximă a concentrațiilor medii orare pentru dioxidul de sulf (SO</w:t>
        </w:r>
        <w:r w:rsidR="00A96DD2" w:rsidRPr="00EA1BB2">
          <w:rPr>
            <w:rStyle w:val="Hyperlink"/>
            <w:rFonts w:ascii="Cambria" w:eastAsia="Times New Roman" w:hAnsi="Cambria" w:cs="Times New Roman"/>
            <w:noProof/>
            <w:sz w:val="24"/>
            <w:szCs w:val="24"/>
            <w:vertAlign w:val="subscript"/>
          </w:rPr>
          <w:t>2</w:t>
        </w:r>
        <w:r w:rsidR="00A96DD2" w:rsidRPr="00EA1BB2">
          <w:rPr>
            <w:rStyle w:val="Hyperlink"/>
            <w:rFonts w:ascii="Cambria" w:eastAsia="Times New Roman" w:hAnsi="Cambria" w:cs="Times New Roman"/>
            <w:noProof/>
            <w:sz w:val="24"/>
            <w:szCs w:val="24"/>
          </w:rPr>
          <w:t>), înregistrată la stațiile de monitorizare a aerului din județul Brăila, în perioada 2008-2017</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_Toc526889787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77</w:t>
        </w:r>
        <w:r w:rsidR="00A96DD2" w:rsidRPr="00EA1BB2">
          <w:rPr>
            <w:rFonts w:ascii="Cambria" w:hAnsi="Cambria"/>
            <w:noProof/>
            <w:webHidden/>
            <w:sz w:val="24"/>
            <w:szCs w:val="24"/>
          </w:rPr>
          <w:fldChar w:fldCharType="end"/>
        </w:r>
      </w:hyperlink>
    </w:p>
    <w:p w14:paraId="4927424F" w14:textId="26555AC7"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788" w:history="1">
        <w:r w:rsidR="00A96DD2" w:rsidRPr="00EA1BB2">
          <w:rPr>
            <w:rStyle w:val="Hyperlink"/>
            <w:rFonts w:ascii="Cambria" w:hAnsi="Cambria"/>
            <w:noProof/>
            <w:sz w:val="24"/>
            <w:szCs w:val="24"/>
          </w:rPr>
          <w:t>Tabelul nr. 3</w:t>
        </w:r>
        <w:r w:rsidR="00A96DD2" w:rsidRPr="00EA1BB2">
          <w:rPr>
            <w:rStyle w:val="Hyperlink"/>
            <w:rFonts w:ascii="Cambria" w:hAnsi="Cambria"/>
            <w:noProof/>
            <w:sz w:val="24"/>
            <w:szCs w:val="24"/>
          </w:rPr>
          <w:noBreakHyphen/>
          <w:t xml:space="preserve">19 - </w:t>
        </w:r>
        <w:r w:rsidR="00A96DD2" w:rsidRPr="00EA1BB2">
          <w:rPr>
            <w:rStyle w:val="Hyperlink"/>
            <w:rFonts w:ascii="Cambria" w:eastAsia="Times New Roman" w:hAnsi="Cambria" w:cs="Times New Roman"/>
            <w:noProof/>
            <w:sz w:val="24"/>
            <w:szCs w:val="24"/>
          </w:rPr>
          <w:t>Valoarea maximă a concentrațiilor medii zilnice pentru dioxidul de sulf (SO</w:t>
        </w:r>
        <w:r w:rsidR="00A96DD2" w:rsidRPr="00EA1BB2">
          <w:rPr>
            <w:rStyle w:val="Hyperlink"/>
            <w:rFonts w:ascii="Cambria" w:eastAsia="Times New Roman" w:hAnsi="Cambria" w:cs="Times New Roman"/>
            <w:noProof/>
            <w:sz w:val="24"/>
            <w:szCs w:val="24"/>
            <w:vertAlign w:val="subscript"/>
          </w:rPr>
          <w:t>2</w:t>
        </w:r>
        <w:r w:rsidR="00A96DD2" w:rsidRPr="00EA1BB2">
          <w:rPr>
            <w:rStyle w:val="Hyperlink"/>
            <w:rFonts w:ascii="Cambria" w:eastAsia="Times New Roman" w:hAnsi="Cambria" w:cs="Times New Roman"/>
            <w:noProof/>
            <w:sz w:val="24"/>
            <w:szCs w:val="24"/>
          </w:rPr>
          <w:t>), înregistrată la stațiile de monitorizare a aerului din județul Brăila, în perioada 2008-2017</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_Toc526889788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77</w:t>
        </w:r>
        <w:r w:rsidR="00A96DD2" w:rsidRPr="00EA1BB2">
          <w:rPr>
            <w:rFonts w:ascii="Cambria" w:hAnsi="Cambria"/>
            <w:noProof/>
            <w:webHidden/>
            <w:sz w:val="24"/>
            <w:szCs w:val="24"/>
          </w:rPr>
          <w:fldChar w:fldCharType="end"/>
        </w:r>
      </w:hyperlink>
    </w:p>
    <w:p w14:paraId="0227BA0D" w14:textId="0DD5BAF7"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789" w:history="1">
        <w:r w:rsidR="00A96DD2" w:rsidRPr="00EA1BB2">
          <w:rPr>
            <w:rStyle w:val="Hyperlink"/>
            <w:rFonts w:ascii="Cambria" w:hAnsi="Cambria"/>
            <w:noProof/>
            <w:sz w:val="24"/>
            <w:szCs w:val="24"/>
          </w:rPr>
          <w:t>Tabelul nr. 3</w:t>
        </w:r>
        <w:r w:rsidR="00A96DD2" w:rsidRPr="00EA1BB2">
          <w:rPr>
            <w:rStyle w:val="Hyperlink"/>
            <w:rFonts w:ascii="Cambria" w:hAnsi="Cambria"/>
            <w:noProof/>
            <w:sz w:val="24"/>
            <w:szCs w:val="24"/>
          </w:rPr>
          <w:noBreakHyphen/>
          <w:t xml:space="preserve">20 - </w:t>
        </w:r>
        <w:r w:rsidR="00A96DD2" w:rsidRPr="00EA1BB2">
          <w:rPr>
            <w:rStyle w:val="Hyperlink"/>
            <w:rFonts w:ascii="Cambria" w:eastAsia="Times New Roman" w:hAnsi="Cambria" w:cs="Times New Roman"/>
            <w:noProof/>
            <w:sz w:val="24"/>
            <w:szCs w:val="24"/>
          </w:rPr>
          <w:t>Valoarea maximă a concentrațiilor maxime zilnice ale mediilor pe 8 ore pentru monoxid de carbon (CO), înregistrată la stațiile de monitorizare a aerului din județul Brăila, în perioada 2008-2017</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_Toc526889789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78</w:t>
        </w:r>
        <w:r w:rsidR="00A96DD2" w:rsidRPr="00EA1BB2">
          <w:rPr>
            <w:rFonts w:ascii="Cambria" w:hAnsi="Cambria"/>
            <w:noProof/>
            <w:webHidden/>
            <w:sz w:val="24"/>
            <w:szCs w:val="24"/>
          </w:rPr>
          <w:fldChar w:fldCharType="end"/>
        </w:r>
      </w:hyperlink>
    </w:p>
    <w:p w14:paraId="49194709" w14:textId="486F9EF2"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790" w:history="1">
        <w:r w:rsidR="00A96DD2" w:rsidRPr="00EA1BB2">
          <w:rPr>
            <w:rStyle w:val="Hyperlink"/>
            <w:rFonts w:ascii="Cambria" w:hAnsi="Cambria"/>
            <w:noProof/>
            <w:sz w:val="24"/>
            <w:szCs w:val="24"/>
          </w:rPr>
          <w:t>Tabelul nr. 3</w:t>
        </w:r>
        <w:r w:rsidR="00A96DD2" w:rsidRPr="00EA1BB2">
          <w:rPr>
            <w:rStyle w:val="Hyperlink"/>
            <w:rFonts w:ascii="Cambria" w:hAnsi="Cambria"/>
            <w:noProof/>
            <w:sz w:val="24"/>
            <w:szCs w:val="24"/>
          </w:rPr>
          <w:noBreakHyphen/>
          <w:t xml:space="preserve">21 - </w:t>
        </w:r>
        <w:r w:rsidR="00A96DD2" w:rsidRPr="00EA1BB2">
          <w:rPr>
            <w:rStyle w:val="Hyperlink"/>
            <w:rFonts w:ascii="Cambria" w:eastAsia="Times New Roman" w:hAnsi="Cambria" w:cs="Times New Roman"/>
            <w:noProof/>
            <w:sz w:val="24"/>
            <w:szCs w:val="24"/>
          </w:rPr>
          <w:t>Concentrația medie anuală pentru plumb (Pb), înregistrată la stațiile de monitorizare a aerului din județul Brăila, în perioada 2008-2017</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_Toc526889790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78</w:t>
        </w:r>
        <w:r w:rsidR="00A96DD2" w:rsidRPr="00EA1BB2">
          <w:rPr>
            <w:rFonts w:ascii="Cambria" w:hAnsi="Cambria"/>
            <w:noProof/>
            <w:webHidden/>
            <w:sz w:val="24"/>
            <w:szCs w:val="24"/>
          </w:rPr>
          <w:fldChar w:fldCharType="end"/>
        </w:r>
      </w:hyperlink>
    </w:p>
    <w:p w14:paraId="69C6F498" w14:textId="70394D8A"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791" w:history="1">
        <w:r w:rsidR="00A96DD2" w:rsidRPr="00EA1BB2">
          <w:rPr>
            <w:rStyle w:val="Hyperlink"/>
            <w:rFonts w:ascii="Cambria" w:hAnsi="Cambria"/>
            <w:noProof/>
            <w:sz w:val="24"/>
            <w:szCs w:val="24"/>
          </w:rPr>
          <w:t>Tabelul nr. 3</w:t>
        </w:r>
        <w:r w:rsidR="00A96DD2" w:rsidRPr="00EA1BB2">
          <w:rPr>
            <w:rStyle w:val="Hyperlink"/>
            <w:rFonts w:ascii="Cambria" w:hAnsi="Cambria"/>
            <w:noProof/>
            <w:sz w:val="24"/>
            <w:szCs w:val="24"/>
          </w:rPr>
          <w:noBreakHyphen/>
          <w:t>22 - Emisii în județul Brăila, în anul de referință 2013 (t/an)</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_Toc526889791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80</w:t>
        </w:r>
        <w:r w:rsidR="00A96DD2" w:rsidRPr="00EA1BB2">
          <w:rPr>
            <w:rFonts w:ascii="Cambria" w:hAnsi="Cambria"/>
            <w:noProof/>
            <w:webHidden/>
            <w:sz w:val="24"/>
            <w:szCs w:val="24"/>
          </w:rPr>
          <w:fldChar w:fldCharType="end"/>
        </w:r>
      </w:hyperlink>
    </w:p>
    <w:p w14:paraId="10A25146" w14:textId="53DDE18A"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792" w:history="1">
        <w:r w:rsidR="00A96DD2" w:rsidRPr="00EA1BB2">
          <w:rPr>
            <w:rStyle w:val="Hyperlink"/>
            <w:rFonts w:ascii="Cambria" w:hAnsi="Cambria"/>
            <w:noProof/>
            <w:sz w:val="24"/>
            <w:szCs w:val="24"/>
          </w:rPr>
          <w:t>Tabelul nr. 3</w:t>
        </w:r>
        <w:r w:rsidR="00A96DD2" w:rsidRPr="00EA1BB2">
          <w:rPr>
            <w:rStyle w:val="Hyperlink"/>
            <w:rFonts w:ascii="Cambria" w:hAnsi="Cambria"/>
            <w:noProof/>
            <w:sz w:val="24"/>
            <w:szCs w:val="24"/>
          </w:rPr>
          <w:noBreakHyphen/>
          <w:t>23 - Concentrații de fond regional pentru poluanții de interes</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_Toc526889792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82</w:t>
        </w:r>
        <w:r w:rsidR="00A96DD2" w:rsidRPr="00EA1BB2">
          <w:rPr>
            <w:rFonts w:ascii="Cambria" w:hAnsi="Cambria"/>
            <w:noProof/>
            <w:webHidden/>
            <w:sz w:val="24"/>
            <w:szCs w:val="24"/>
          </w:rPr>
          <w:fldChar w:fldCharType="end"/>
        </w:r>
      </w:hyperlink>
    </w:p>
    <w:p w14:paraId="3E14AD0B" w14:textId="7A6057BC"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793" w:history="1">
        <w:r w:rsidR="00A96DD2" w:rsidRPr="00EA1BB2">
          <w:rPr>
            <w:rStyle w:val="Hyperlink"/>
            <w:rFonts w:ascii="Cambria" w:hAnsi="Cambria"/>
            <w:noProof/>
            <w:sz w:val="24"/>
            <w:szCs w:val="24"/>
          </w:rPr>
          <w:t>Tabelul nr. 3</w:t>
        </w:r>
        <w:r w:rsidR="00A96DD2" w:rsidRPr="00EA1BB2">
          <w:rPr>
            <w:rStyle w:val="Hyperlink"/>
            <w:rFonts w:ascii="Cambria" w:hAnsi="Cambria"/>
            <w:noProof/>
            <w:sz w:val="24"/>
            <w:szCs w:val="24"/>
          </w:rPr>
          <w:noBreakHyphen/>
          <w:t>24 – Nivelul de fond urban pentru poluanții de interes</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_Toc526889793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84</w:t>
        </w:r>
        <w:r w:rsidR="00A96DD2" w:rsidRPr="00EA1BB2">
          <w:rPr>
            <w:rFonts w:ascii="Cambria" w:hAnsi="Cambria"/>
            <w:noProof/>
            <w:webHidden/>
            <w:sz w:val="24"/>
            <w:szCs w:val="24"/>
          </w:rPr>
          <w:fldChar w:fldCharType="end"/>
        </w:r>
      </w:hyperlink>
    </w:p>
    <w:p w14:paraId="3A3F44D4" w14:textId="3303D331"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794" w:history="1">
        <w:r w:rsidR="00A96DD2" w:rsidRPr="00EA1BB2">
          <w:rPr>
            <w:rStyle w:val="Hyperlink"/>
            <w:rFonts w:ascii="Cambria" w:hAnsi="Cambria"/>
            <w:noProof/>
            <w:sz w:val="24"/>
            <w:szCs w:val="24"/>
          </w:rPr>
          <w:t>Tabelul nr. 3</w:t>
        </w:r>
        <w:r w:rsidR="00A96DD2" w:rsidRPr="00EA1BB2">
          <w:rPr>
            <w:rStyle w:val="Hyperlink"/>
            <w:rFonts w:ascii="Cambria" w:hAnsi="Cambria"/>
            <w:noProof/>
            <w:sz w:val="24"/>
            <w:szCs w:val="24"/>
          </w:rPr>
          <w:noBreakHyphen/>
          <w:t>25 – Nivelul de fond urban pentru poluanții de interes</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_Toc526889794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85</w:t>
        </w:r>
        <w:r w:rsidR="00A96DD2" w:rsidRPr="00EA1BB2">
          <w:rPr>
            <w:rFonts w:ascii="Cambria" w:hAnsi="Cambria"/>
            <w:noProof/>
            <w:webHidden/>
            <w:sz w:val="24"/>
            <w:szCs w:val="24"/>
          </w:rPr>
          <w:fldChar w:fldCharType="end"/>
        </w:r>
      </w:hyperlink>
    </w:p>
    <w:p w14:paraId="28405DF2" w14:textId="3E917CDD"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795" w:history="1">
        <w:r w:rsidR="00A96DD2" w:rsidRPr="00EA1BB2">
          <w:rPr>
            <w:rStyle w:val="Hyperlink"/>
            <w:rFonts w:ascii="Cambria" w:hAnsi="Cambria"/>
            <w:noProof/>
            <w:sz w:val="24"/>
            <w:szCs w:val="24"/>
          </w:rPr>
          <w:t>Tabelul nr. 3</w:t>
        </w:r>
        <w:r w:rsidR="00A96DD2" w:rsidRPr="00EA1BB2">
          <w:rPr>
            <w:rStyle w:val="Hyperlink"/>
            <w:rFonts w:ascii="Cambria" w:hAnsi="Cambria"/>
            <w:noProof/>
            <w:sz w:val="24"/>
            <w:szCs w:val="24"/>
          </w:rPr>
          <w:noBreakHyphen/>
          <w:t>26 – Nivelul de fond local pentru poluanții de interes</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_Toc526889795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87</w:t>
        </w:r>
        <w:r w:rsidR="00A96DD2" w:rsidRPr="00EA1BB2">
          <w:rPr>
            <w:rFonts w:ascii="Cambria" w:hAnsi="Cambria"/>
            <w:noProof/>
            <w:webHidden/>
            <w:sz w:val="24"/>
            <w:szCs w:val="24"/>
          </w:rPr>
          <w:fldChar w:fldCharType="end"/>
        </w:r>
      </w:hyperlink>
    </w:p>
    <w:p w14:paraId="4860DA17" w14:textId="586F8769"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796" w:history="1">
        <w:r w:rsidR="00A96DD2" w:rsidRPr="00EA1BB2">
          <w:rPr>
            <w:rStyle w:val="Hyperlink"/>
            <w:rFonts w:ascii="Cambria" w:hAnsi="Cambria"/>
            <w:noProof/>
            <w:sz w:val="24"/>
            <w:szCs w:val="24"/>
          </w:rPr>
          <w:t>Tabelul nr. 3</w:t>
        </w:r>
        <w:r w:rsidR="00A96DD2" w:rsidRPr="00EA1BB2">
          <w:rPr>
            <w:rStyle w:val="Hyperlink"/>
            <w:rFonts w:ascii="Cambria" w:hAnsi="Cambria"/>
            <w:noProof/>
            <w:sz w:val="24"/>
            <w:szCs w:val="24"/>
          </w:rPr>
          <w:noBreakHyphen/>
          <w:t>27 – Nivelul de fond local pentru poluanții de interes</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_Toc526889796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88</w:t>
        </w:r>
        <w:r w:rsidR="00A96DD2" w:rsidRPr="00EA1BB2">
          <w:rPr>
            <w:rFonts w:ascii="Cambria" w:hAnsi="Cambria"/>
            <w:noProof/>
            <w:webHidden/>
            <w:sz w:val="24"/>
            <w:szCs w:val="24"/>
          </w:rPr>
          <w:fldChar w:fldCharType="end"/>
        </w:r>
      </w:hyperlink>
    </w:p>
    <w:p w14:paraId="469B81A4" w14:textId="33FF9D6C"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797" w:history="1">
        <w:r w:rsidR="00A96DD2" w:rsidRPr="00EA1BB2">
          <w:rPr>
            <w:rStyle w:val="Hyperlink"/>
            <w:rFonts w:ascii="Cambria" w:eastAsia="Calibri" w:hAnsi="Cambria" w:cs="Times New Roman"/>
            <w:iCs/>
            <w:noProof/>
            <w:sz w:val="24"/>
            <w:szCs w:val="24"/>
          </w:rPr>
          <w:t>Tabelul nr. 3</w:t>
        </w:r>
        <w:r w:rsidR="00A96DD2" w:rsidRPr="00EA1BB2">
          <w:rPr>
            <w:rStyle w:val="Hyperlink"/>
            <w:rFonts w:ascii="Cambria" w:eastAsia="Calibri" w:hAnsi="Cambria" w:cs="Times New Roman"/>
            <w:iCs/>
            <w:noProof/>
            <w:sz w:val="24"/>
            <w:szCs w:val="24"/>
          </w:rPr>
          <w:noBreakHyphen/>
          <w:t xml:space="preserve">28 - </w:t>
        </w:r>
        <w:r w:rsidR="00A96DD2" w:rsidRPr="00EA1BB2">
          <w:rPr>
            <w:rStyle w:val="Hyperlink"/>
            <w:rFonts w:ascii="Cambria" w:eastAsia="Times New Roman" w:hAnsi="Cambria" w:cs="Times New Roman"/>
            <w:noProof/>
            <w:sz w:val="24"/>
            <w:szCs w:val="24"/>
          </w:rPr>
          <w:t>Cerințele pentru evaluarea concentrațiilor de Oxizi de azot NOx (NO/ NO</w:t>
        </w:r>
        <w:r w:rsidR="00A96DD2" w:rsidRPr="00EA1BB2">
          <w:rPr>
            <w:rStyle w:val="Hyperlink"/>
            <w:rFonts w:ascii="Cambria" w:eastAsia="Times New Roman" w:hAnsi="Cambria" w:cs="Times New Roman"/>
            <w:noProof/>
            <w:sz w:val="24"/>
            <w:szCs w:val="24"/>
            <w:vertAlign w:val="subscript"/>
          </w:rPr>
          <w:t>2</w:t>
        </w:r>
        <w:r w:rsidR="00A96DD2" w:rsidRPr="00EA1BB2">
          <w:rPr>
            <w:rStyle w:val="Hyperlink"/>
            <w:rFonts w:ascii="Cambria" w:eastAsia="Times New Roman" w:hAnsi="Cambria" w:cs="Times New Roman"/>
            <w:noProof/>
            <w:sz w:val="24"/>
            <w:szCs w:val="24"/>
          </w:rPr>
          <w:t>)</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_Toc526889797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91</w:t>
        </w:r>
        <w:r w:rsidR="00A96DD2" w:rsidRPr="00EA1BB2">
          <w:rPr>
            <w:rFonts w:ascii="Cambria" w:hAnsi="Cambria"/>
            <w:noProof/>
            <w:webHidden/>
            <w:sz w:val="24"/>
            <w:szCs w:val="24"/>
          </w:rPr>
          <w:fldChar w:fldCharType="end"/>
        </w:r>
      </w:hyperlink>
    </w:p>
    <w:p w14:paraId="56C94FE3" w14:textId="72D4E5D4"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798" w:history="1">
        <w:r w:rsidR="00A96DD2" w:rsidRPr="00EA1BB2">
          <w:rPr>
            <w:rStyle w:val="Hyperlink"/>
            <w:rFonts w:ascii="Cambria" w:eastAsia="Calibri" w:hAnsi="Cambria" w:cs="Times New Roman"/>
            <w:iCs/>
            <w:noProof/>
            <w:sz w:val="24"/>
            <w:szCs w:val="24"/>
          </w:rPr>
          <w:t>Tabelul nr. 3</w:t>
        </w:r>
        <w:r w:rsidR="00A96DD2" w:rsidRPr="00EA1BB2">
          <w:rPr>
            <w:rStyle w:val="Hyperlink"/>
            <w:rFonts w:ascii="Cambria" w:eastAsia="Calibri" w:hAnsi="Cambria" w:cs="Times New Roman"/>
            <w:iCs/>
            <w:noProof/>
            <w:sz w:val="24"/>
            <w:szCs w:val="24"/>
          </w:rPr>
          <w:noBreakHyphen/>
          <w:t xml:space="preserve">29 - </w:t>
        </w:r>
        <w:r w:rsidR="00A96DD2" w:rsidRPr="00EA1BB2">
          <w:rPr>
            <w:rStyle w:val="Hyperlink"/>
            <w:rFonts w:ascii="Cambria" w:eastAsia="Times New Roman" w:hAnsi="Cambria" w:cs="Times New Roman"/>
            <w:noProof/>
            <w:sz w:val="24"/>
            <w:szCs w:val="24"/>
          </w:rPr>
          <w:t>Cerințele pentru evaluarea concentrațiilor de Pulberi în suspensie</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_Toc526889798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93</w:t>
        </w:r>
        <w:r w:rsidR="00A96DD2" w:rsidRPr="00EA1BB2">
          <w:rPr>
            <w:rFonts w:ascii="Cambria" w:hAnsi="Cambria"/>
            <w:noProof/>
            <w:webHidden/>
            <w:sz w:val="24"/>
            <w:szCs w:val="24"/>
          </w:rPr>
          <w:fldChar w:fldCharType="end"/>
        </w:r>
      </w:hyperlink>
    </w:p>
    <w:p w14:paraId="040A931B" w14:textId="4F542529"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799" w:history="1">
        <w:r w:rsidR="00A96DD2" w:rsidRPr="00EA1BB2">
          <w:rPr>
            <w:rStyle w:val="Hyperlink"/>
            <w:rFonts w:ascii="Cambria" w:eastAsia="Calibri" w:hAnsi="Cambria" w:cs="Times New Roman"/>
            <w:iCs/>
            <w:noProof/>
            <w:sz w:val="24"/>
            <w:szCs w:val="24"/>
          </w:rPr>
          <w:t>Tabelul nr. 3</w:t>
        </w:r>
        <w:r w:rsidR="00A96DD2" w:rsidRPr="00EA1BB2">
          <w:rPr>
            <w:rStyle w:val="Hyperlink"/>
            <w:rFonts w:ascii="Cambria" w:eastAsia="Calibri" w:hAnsi="Cambria" w:cs="Times New Roman"/>
            <w:iCs/>
            <w:noProof/>
            <w:sz w:val="24"/>
            <w:szCs w:val="24"/>
          </w:rPr>
          <w:noBreakHyphen/>
          <w:t xml:space="preserve">30 - </w:t>
        </w:r>
        <w:r w:rsidR="00A96DD2" w:rsidRPr="00EA1BB2">
          <w:rPr>
            <w:rStyle w:val="Hyperlink"/>
            <w:rFonts w:ascii="Cambria" w:eastAsia="Times New Roman" w:hAnsi="Cambria" w:cs="Times New Roman"/>
            <w:noProof/>
            <w:sz w:val="24"/>
            <w:szCs w:val="24"/>
          </w:rPr>
          <w:t>Cerințele pentru evaluarea concentrațiilor de Benzen (C</w:t>
        </w:r>
        <w:r w:rsidR="00A96DD2" w:rsidRPr="00EA1BB2">
          <w:rPr>
            <w:rStyle w:val="Hyperlink"/>
            <w:rFonts w:ascii="Cambria" w:eastAsia="Times New Roman" w:hAnsi="Cambria" w:cs="Times New Roman"/>
            <w:noProof/>
            <w:sz w:val="24"/>
            <w:szCs w:val="24"/>
            <w:vertAlign w:val="subscript"/>
          </w:rPr>
          <w:t>6</w:t>
        </w:r>
        <w:r w:rsidR="00A96DD2" w:rsidRPr="00EA1BB2">
          <w:rPr>
            <w:rStyle w:val="Hyperlink"/>
            <w:rFonts w:ascii="Cambria" w:eastAsia="Times New Roman" w:hAnsi="Cambria" w:cs="Times New Roman"/>
            <w:noProof/>
            <w:sz w:val="24"/>
            <w:szCs w:val="24"/>
          </w:rPr>
          <w:t>H</w:t>
        </w:r>
        <w:r w:rsidR="00A96DD2" w:rsidRPr="00EA1BB2">
          <w:rPr>
            <w:rStyle w:val="Hyperlink"/>
            <w:rFonts w:ascii="Cambria" w:eastAsia="Times New Roman" w:hAnsi="Cambria" w:cs="Times New Roman"/>
            <w:noProof/>
            <w:sz w:val="24"/>
            <w:szCs w:val="24"/>
            <w:vertAlign w:val="subscript"/>
          </w:rPr>
          <w:t>6</w:t>
        </w:r>
        <w:r w:rsidR="00A96DD2" w:rsidRPr="00EA1BB2">
          <w:rPr>
            <w:rStyle w:val="Hyperlink"/>
            <w:rFonts w:ascii="Cambria" w:eastAsia="Times New Roman" w:hAnsi="Cambria" w:cs="Times New Roman"/>
            <w:noProof/>
            <w:sz w:val="24"/>
            <w:szCs w:val="24"/>
          </w:rPr>
          <w:t>)</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_Toc526889799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94</w:t>
        </w:r>
        <w:r w:rsidR="00A96DD2" w:rsidRPr="00EA1BB2">
          <w:rPr>
            <w:rFonts w:ascii="Cambria" w:hAnsi="Cambria"/>
            <w:noProof/>
            <w:webHidden/>
            <w:sz w:val="24"/>
            <w:szCs w:val="24"/>
          </w:rPr>
          <w:fldChar w:fldCharType="end"/>
        </w:r>
      </w:hyperlink>
    </w:p>
    <w:p w14:paraId="24BA2BE8" w14:textId="482AB9B1"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800" w:history="1">
        <w:r w:rsidR="00A96DD2" w:rsidRPr="00EA1BB2">
          <w:rPr>
            <w:rStyle w:val="Hyperlink"/>
            <w:rFonts w:ascii="Cambria" w:eastAsia="Calibri" w:hAnsi="Cambria" w:cs="Times New Roman"/>
            <w:iCs/>
            <w:noProof/>
            <w:sz w:val="24"/>
            <w:szCs w:val="24"/>
          </w:rPr>
          <w:t>Tabelul nr. 3</w:t>
        </w:r>
        <w:r w:rsidR="00A96DD2" w:rsidRPr="00EA1BB2">
          <w:rPr>
            <w:rStyle w:val="Hyperlink"/>
            <w:rFonts w:ascii="Cambria" w:eastAsia="Calibri" w:hAnsi="Cambria" w:cs="Times New Roman"/>
            <w:iCs/>
            <w:noProof/>
            <w:sz w:val="24"/>
            <w:szCs w:val="24"/>
          </w:rPr>
          <w:noBreakHyphen/>
          <w:t xml:space="preserve">31 - </w:t>
        </w:r>
        <w:r w:rsidR="00A96DD2" w:rsidRPr="00EA1BB2">
          <w:rPr>
            <w:rStyle w:val="Hyperlink"/>
            <w:rFonts w:ascii="Cambria" w:eastAsia="Times New Roman" w:hAnsi="Cambria" w:cs="Times New Roman"/>
            <w:noProof/>
            <w:sz w:val="24"/>
            <w:szCs w:val="24"/>
          </w:rPr>
          <w:t>Cerințele pentru evaluarea concentrațiilor de Dioxid de sulf - SO</w:t>
        </w:r>
        <w:r w:rsidR="00A96DD2" w:rsidRPr="00EA1BB2">
          <w:rPr>
            <w:rStyle w:val="Hyperlink"/>
            <w:rFonts w:ascii="Cambria" w:eastAsia="Times New Roman" w:hAnsi="Cambria" w:cs="Times New Roman"/>
            <w:noProof/>
            <w:sz w:val="24"/>
            <w:szCs w:val="24"/>
            <w:vertAlign w:val="subscript"/>
          </w:rPr>
          <w:t>2</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_Toc526889800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95</w:t>
        </w:r>
        <w:r w:rsidR="00A96DD2" w:rsidRPr="00EA1BB2">
          <w:rPr>
            <w:rFonts w:ascii="Cambria" w:hAnsi="Cambria"/>
            <w:noProof/>
            <w:webHidden/>
            <w:sz w:val="24"/>
            <w:szCs w:val="24"/>
          </w:rPr>
          <w:fldChar w:fldCharType="end"/>
        </w:r>
      </w:hyperlink>
    </w:p>
    <w:p w14:paraId="1533267F" w14:textId="09C0AEC6"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801" w:history="1">
        <w:r w:rsidR="00A96DD2" w:rsidRPr="00EA1BB2">
          <w:rPr>
            <w:rStyle w:val="Hyperlink"/>
            <w:rFonts w:ascii="Cambria" w:eastAsia="Calibri" w:hAnsi="Cambria" w:cs="Times New Roman"/>
            <w:iCs/>
            <w:noProof/>
            <w:sz w:val="24"/>
            <w:szCs w:val="24"/>
          </w:rPr>
          <w:t>Tabelul nr. 3</w:t>
        </w:r>
        <w:r w:rsidR="00A96DD2" w:rsidRPr="00EA1BB2">
          <w:rPr>
            <w:rStyle w:val="Hyperlink"/>
            <w:rFonts w:ascii="Cambria" w:eastAsia="Calibri" w:hAnsi="Cambria" w:cs="Times New Roman"/>
            <w:iCs/>
            <w:noProof/>
            <w:sz w:val="24"/>
            <w:szCs w:val="24"/>
          </w:rPr>
          <w:noBreakHyphen/>
          <w:t xml:space="preserve">32 - </w:t>
        </w:r>
        <w:r w:rsidR="00A96DD2" w:rsidRPr="00EA1BB2">
          <w:rPr>
            <w:rStyle w:val="Hyperlink"/>
            <w:rFonts w:ascii="Cambria" w:eastAsia="Times New Roman" w:hAnsi="Cambria" w:cs="Times New Roman"/>
            <w:noProof/>
            <w:sz w:val="24"/>
            <w:szCs w:val="24"/>
          </w:rPr>
          <w:t>Cerințele pentru evaluarea concentrațiilor de Monoxid de carbon (CO)</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_Toc526889801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97</w:t>
        </w:r>
        <w:r w:rsidR="00A96DD2" w:rsidRPr="00EA1BB2">
          <w:rPr>
            <w:rFonts w:ascii="Cambria" w:hAnsi="Cambria"/>
            <w:noProof/>
            <w:webHidden/>
            <w:sz w:val="24"/>
            <w:szCs w:val="24"/>
          </w:rPr>
          <w:fldChar w:fldCharType="end"/>
        </w:r>
      </w:hyperlink>
    </w:p>
    <w:p w14:paraId="665886FD" w14:textId="7EFA8135"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802" w:history="1">
        <w:r w:rsidR="00A96DD2" w:rsidRPr="00EA1BB2">
          <w:rPr>
            <w:rStyle w:val="Hyperlink"/>
            <w:rFonts w:ascii="Cambria" w:eastAsia="Calibri" w:hAnsi="Cambria" w:cs="Times New Roman"/>
            <w:iCs/>
            <w:noProof/>
            <w:sz w:val="24"/>
            <w:szCs w:val="24"/>
          </w:rPr>
          <w:t>Tabelul nr. 3</w:t>
        </w:r>
        <w:r w:rsidR="00A96DD2" w:rsidRPr="00EA1BB2">
          <w:rPr>
            <w:rStyle w:val="Hyperlink"/>
            <w:rFonts w:ascii="Cambria" w:eastAsia="Calibri" w:hAnsi="Cambria" w:cs="Times New Roman"/>
            <w:iCs/>
            <w:noProof/>
            <w:sz w:val="24"/>
            <w:szCs w:val="24"/>
          </w:rPr>
          <w:noBreakHyphen/>
          <w:t xml:space="preserve">33 - </w:t>
        </w:r>
        <w:r w:rsidR="00A96DD2" w:rsidRPr="00EA1BB2">
          <w:rPr>
            <w:rStyle w:val="Hyperlink"/>
            <w:rFonts w:ascii="Cambria" w:eastAsia="Times New Roman" w:hAnsi="Cambria" w:cs="Times New Roman"/>
            <w:noProof/>
            <w:sz w:val="24"/>
            <w:szCs w:val="24"/>
          </w:rPr>
          <w:t>Cerințele pentru evaluarea concentrațiilor de Plumb (Pb)</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_Toc526889802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98</w:t>
        </w:r>
        <w:r w:rsidR="00A96DD2" w:rsidRPr="00EA1BB2">
          <w:rPr>
            <w:rFonts w:ascii="Cambria" w:hAnsi="Cambria"/>
            <w:noProof/>
            <w:webHidden/>
            <w:sz w:val="24"/>
            <w:szCs w:val="24"/>
          </w:rPr>
          <w:fldChar w:fldCharType="end"/>
        </w:r>
      </w:hyperlink>
    </w:p>
    <w:p w14:paraId="6D3F823B" w14:textId="7043F20F"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803" w:history="1">
        <w:r w:rsidR="00A96DD2" w:rsidRPr="00EA1BB2">
          <w:rPr>
            <w:rStyle w:val="Hyperlink"/>
            <w:rFonts w:ascii="Cambria" w:eastAsia="Calibri" w:hAnsi="Cambria" w:cs="Times New Roman"/>
            <w:iCs/>
            <w:noProof/>
            <w:sz w:val="24"/>
            <w:szCs w:val="24"/>
          </w:rPr>
          <w:t>Tabelul nr. 3</w:t>
        </w:r>
        <w:r w:rsidR="00A96DD2" w:rsidRPr="00EA1BB2">
          <w:rPr>
            <w:rStyle w:val="Hyperlink"/>
            <w:rFonts w:ascii="Cambria" w:eastAsia="Calibri" w:hAnsi="Cambria" w:cs="Times New Roman"/>
            <w:iCs/>
            <w:noProof/>
            <w:sz w:val="24"/>
            <w:szCs w:val="24"/>
          </w:rPr>
          <w:noBreakHyphen/>
          <w:t xml:space="preserve">34 - </w:t>
        </w:r>
        <w:r w:rsidR="00A96DD2" w:rsidRPr="00EA1BB2">
          <w:rPr>
            <w:rStyle w:val="Hyperlink"/>
            <w:rFonts w:ascii="Cambria" w:eastAsia="Times New Roman" w:hAnsi="Cambria" w:cs="Times New Roman"/>
            <w:noProof/>
            <w:sz w:val="24"/>
            <w:szCs w:val="24"/>
          </w:rPr>
          <w:t xml:space="preserve"> Cerințele pentru evaluarea concentrațiilor de Arsen (As)</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_Toc526889803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99</w:t>
        </w:r>
        <w:r w:rsidR="00A96DD2" w:rsidRPr="00EA1BB2">
          <w:rPr>
            <w:rFonts w:ascii="Cambria" w:hAnsi="Cambria"/>
            <w:noProof/>
            <w:webHidden/>
            <w:sz w:val="24"/>
            <w:szCs w:val="24"/>
          </w:rPr>
          <w:fldChar w:fldCharType="end"/>
        </w:r>
      </w:hyperlink>
    </w:p>
    <w:p w14:paraId="387407F9" w14:textId="0E2F92E3"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804" w:history="1">
        <w:r w:rsidR="00A96DD2" w:rsidRPr="00EA1BB2">
          <w:rPr>
            <w:rStyle w:val="Hyperlink"/>
            <w:rFonts w:ascii="Cambria" w:eastAsia="Calibri" w:hAnsi="Cambria" w:cs="Times New Roman"/>
            <w:iCs/>
            <w:noProof/>
            <w:sz w:val="24"/>
            <w:szCs w:val="24"/>
          </w:rPr>
          <w:t>Tabelul nr. 3</w:t>
        </w:r>
        <w:r w:rsidR="00A96DD2" w:rsidRPr="00EA1BB2">
          <w:rPr>
            <w:rStyle w:val="Hyperlink"/>
            <w:rFonts w:ascii="Cambria" w:eastAsia="Calibri" w:hAnsi="Cambria" w:cs="Times New Roman"/>
            <w:iCs/>
            <w:noProof/>
            <w:sz w:val="24"/>
            <w:szCs w:val="24"/>
          </w:rPr>
          <w:noBreakHyphen/>
          <w:t xml:space="preserve">35 - </w:t>
        </w:r>
        <w:r w:rsidR="00A96DD2" w:rsidRPr="00EA1BB2">
          <w:rPr>
            <w:rStyle w:val="Hyperlink"/>
            <w:rFonts w:ascii="Cambria" w:eastAsia="Times New Roman" w:hAnsi="Cambria" w:cs="Times New Roman"/>
            <w:noProof/>
            <w:sz w:val="24"/>
            <w:szCs w:val="24"/>
          </w:rPr>
          <w:t xml:space="preserve"> Cerințele pentru evaluarea concentrațiilor de Cadmiu (Cd)</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_Toc526889804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99</w:t>
        </w:r>
        <w:r w:rsidR="00A96DD2" w:rsidRPr="00EA1BB2">
          <w:rPr>
            <w:rFonts w:ascii="Cambria" w:hAnsi="Cambria"/>
            <w:noProof/>
            <w:webHidden/>
            <w:sz w:val="24"/>
            <w:szCs w:val="24"/>
          </w:rPr>
          <w:fldChar w:fldCharType="end"/>
        </w:r>
      </w:hyperlink>
    </w:p>
    <w:p w14:paraId="56629CB8" w14:textId="1A7CCBF7"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805" w:history="1">
        <w:r w:rsidR="00A96DD2" w:rsidRPr="00EA1BB2">
          <w:rPr>
            <w:rStyle w:val="Hyperlink"/>
            <w:rFonts w:ascii="Cambria" w:eastAsia="Calibri" w:hAnsi="Cambria" w:cs="Times New Roman"/>
            <w:iCs/>
            <w:noProof/>
            <w:sz w:val="24"/>
            <w:szCs w:val="24"/>
          </w:rPr>
          <w:t>Tabelul nr. 3</w:t>
        </w:r>
        <w:r w:rsidR="00A96DD2" w:rsidRPr="00EA1BB2">
          <w:rPr>
            <w:rStyle w:val="Hyperlink"/>
            <w:rFonts w:ascii="Cambria" w:eastAsia="Calibri" w:hAnsi="Cambria" w:cs="Times New Roman"/>
            <w:iCs/>
            <w:noProof/>
            <w:sz w:val="24"/>
            <w:szCs w:val="24"/>
          </w:rPr>
          <w:noBreakHyphen/>
          <w:t xml:space="preserve">36 - </w:t>
        </w:r>
        <w:r w:rsidR="00A96DD2" w:rsidRPr="00EA1BB2">
          <w:rPr>
            <w:rStyle w:val="Hyperlink"/>
            <w:rFonts w:ascii="Cambria" w:eastAsia="Times New Roman" w:hAnsi="Cambria" w:cs="Times New Roman"/>
            <w:noProof/>
            <w:sz w:val="24"/>
            <w:szCs w:val="24"/>
          </w:rPr>
          <w:t xml:space="preserve"> Cerințele pentru evaluarea concentrațiilor de Nichel (Ni)</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_Toc526889805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99</w:t>
        </w:r>
        <w:r w:rsidR="00A96DD2" w:rsidRPr="00EA1BB2">
          <w:rPr>
            <w:rFonts w:ascii="Cambria" w:hAnsi="Cambria"/>
            <w:noProof/>
            <w:webHidden/>
            <w:sz w:val="24"/>
            <w:szCs w:val="24"/>
          </w:rPr>
          <w:fldChar w:fldCharType="end"/>
        </w:r>
      </w:hyperlink>
    </w:p>
    <w:p w14:paraId="202320B4" w14:textId="449AEDB6"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806" w:history="1">
        <w:r w:rsidR="00A96DD2" w:rsidRPr="00EA1BB2">
          <w:rPr>
            <w:rStyle w:val="Hyperlink"/>
            <w:rFonts w:ascii="Cambria" w:hAnsi="Cambria"/>
            <w:iCs/>
            <w:noProof/>
            <w:sz w:val="24"/>
            <w:szCs w:val="24"/>
          </w:rPr>
          <w:t>Tabelul nr. 3</w:t>
        </w:r>
        <w:r w:rsidR="00A96DD2" w:rsidRPr="00EA1BB2">
          <w:rPr>
            <w:rStyle w:val="Hyperlink"/>
            <w:rFonts w:ascii="Cambria" w:hAnsi="Cambria"/>
            <w:iCs/>
            <w:noProof/>
            <w:sz w:val="24"/>
            <w:szCs w:val="24"/>
          </w:rPr>
          <w:noBreakHyphen/>
          <w:t>37 - Mortalitate infantilă și prin afecțiuni respiratorii în mediul urban în perioada 2010 - 2014</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_Toc526889806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102</w:t>
        </w:r>
        <w:r w:rsidR="00A96DD2" w:rsidRPr="00EA1BB2">
          <w:rPr>
            <w:rFonts w:ascii="Cambria" w:hAnsi="Cambria"/>
            <w:noProof/>
            <w:webHidden/>
            <w:sz w:val="24"/>
            <w:szCs w:val="24"/>
          </w:rPr>
          <w:fldChar w:fldCharType="end"/>
        </w:r>
      </w:hyperlink>
    </w:p>
    <w:p w14:paraId="7EAA5568" w14:textId="019102EF"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807" w:history="1">
        <w:r w:rsidR="00A96DD2" w:rsidRPr="00EA1BB2">
          <w:rPr>
            <w:rStyle w:val="Hyperlink"/>
            <w:rFonts w:ascii="Cambria" w:hAnsi="Cambria"/>
            <w:noProof/>
            <w:sz w:val="24"/>
            <w:szCs w:val="24"/>
          </w:rPr>
          <w:t>Tabelul nr. 3</w:t>
        </w:r>
        <w:r w:rsidR="00A96DD2" w:rsidRPr="00EA1BB2">
          <w:rPr>
            <w:rStyle w:val="Hyperlink"/>
            <w:rFonts w:ascii="Cambria" w:hAnsi="Cambria"/>
            <w:noProof/>
            <w:sz w:val="24"/>
            <w:szCs w:val="24"/>
          </w:rPr>
          <w:noBreakHyphen/>
          <w:t>38 – Emisii de poluanți, pe categorii de surse, în anul 2013</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_Toc526889807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103</w:t>
        </w:r>
        <w:r w:rsidR="00A96DD2" w:rsidRPr="00EA1BB2">
          <w:rPr>
            <w:rFonts w:ascii="Cambria" w:hAnsi="Cambria"/>
            <w:noProof/>
            <w:webHidden/>
            <w:sz w:val="24"/>
            <w:szCs w:val="24"/>
          </w:rPr>
          <w:fldChar w:fldCharType="end"/>
        </w:r>
      </w:hyperlink>
    </w:p>
    <w:p w14:paraId="679B6393" w14:textId="7842CF05"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808" w:history="1">
        <w:r w:rsidR="00A96DD2" w:rsidRPr="00EA1BB2">
          <w:rPr>
            <w:rStyle w:val="Hyperlink"/>
            <w:rFonts w:ascii="Cambria" w:hAnsi="Cambria"/>
            <w:noProof/>
            <w:sz w:val="24"/>
            <w:szCs w:val="24"/>
          </w:rPr>
          <w:t>Tabelul nr. 3</w:t>
        </w:r>
        <w:r w:rsidR="00A96DD2" w:rsidRPr="00EA1BB2">
          <w:rPr>
            <w:rStyle w:val="Hyperlink"/>
            <w:rFonts w:ascii="Cambria" w:hAnsi="Cambria"/>
            <w:noProof/>
            <w:sz w:val="24"/>
            <w:szCs w:val="24"/>
          </w:rPr>
          <w:noBreakHyphen/>
          <w:t>39 - Emisii generate de traficul rutier în județul Brăila, în anul de referință 2013 (tone/an)</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_Toc526889808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105</w:t>
        </w:r>
        <w:r w:rsidR="00A96DD2" w:rsidRPr="00EA1BB2">
          <w:rPr>
            <w:rFonts w:ascii="Cambria" w:hAnsi="Cambria"/>
            <w:noProof/>
            <w:webHidden/>
            <w:sz w:val="24"/>
            <w:szCs w:val="24"/>
          </w:rPr>
          <w:fldChar w:fldCharType="end"/>
        </w:r>
      </w:hyperlink>
    </w:p>
    <w:p w14:paraId="4F47F4B7" w14:textId="28C9F491"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809" w:history="1">
        <w:r w:rsidR="00A96DD2" w:rsidRPr="00EA1BB2">
          <w:rPr>
            <w:rStyle w:val="Hyperlink"/>
            <w:rFonts w:ascii="Cambria" w:hAnsi="Cambria"/>
            <w:noProof/>
            <w:sz w:val="24"/>
            <w:szCs w:val="24"/>
          </w:rPr>
          <w:t>Tabelul nr. 3</w:t>
        </w:r>
        <w:r w:rsidR="00A96DD2" w:rsidRPr="00EA1BB2">
          <w:rPr>
            <w:rStyle w:val="Hyperlink"/>
            <w:rFonts w:ascii="Cambria" w:hAnsi="Cambria"/>
            <w:noProof/>
            <w:sz w:val="24"/>
            <w:szCs w:val="24"/>
          </w:rPr>
          <w:noBreakHyphen/>
          <w:t>40 - Emisii generate din surse mobile nerutiere, în anul de referință 2013 (tone/an)</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_Toc526889809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106</w:t>
        </w:r>
        <w:r w:rsidR="00A96DD2" w:rsidRPr="00EA1BB2">
          <w:rPr>
            <w:rFonts w:ascii="Cambria" w:hAnsi="Cambria"/>
            <w:noProof/>
            <w:webHidden/>
            <w:sz w:val="24"/>
            <w:szCs w:val="24"/>
          </w:rPr>
          <w:fldChar w:fldCharType="end"/>
        </w:r>
      </w:hyperlink>
    </w:p>
    <w:p w14:paraId="1683E30E" w14:textId="3FBF86C7"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810" w:history="1">
        <w:r w:rsidR="00A96DD2" w:rsidRPr="00EA1BB2">
          <w:rPr>
            <w:rStyle w:val="Hyperlink"/>
            <w:rFonts w:ascii="Cambria" w:hAnsi="Cambria"/>
            <w:noProof/>
            <w:sz w:val="24"/>
            <w:szCs w:val="24"/>
          </w:rPr>
          <w:t>Tabelul nr. 3</w:t>
        </w:r>
        <w:r w:rsidR="00A96DD2" w:rsidRPr="00EA1BB2">
          <w:rPr>
            <w:rStyle w:val="Hyperlink"/>
            <w:rFonts w:ascii="Cambria" w:hAnsi="Cambria"/>
            <w:noProof/>
            <w:sz w:val="24"/>
            <w:szCs w:val="24"/>
          </w:rPr>
          <w:noBreakHyphen/>
          <w:t>41 - Emisii provenite din sursele staționare din județul Brăila, în anul de referință 2013 (g/an)</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_Toc526889810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108</w:t>
        </w:r>
        <w:r w:rsidR="00A96DD2" w:rsidRPr="00EA1BB2">
          <w:rPr>
            <w:rFonts w:ascii="Cambria" w:hAnsi="Cambria"/>
            <w:noProof/>
            <w:webHidden/>
            <w:sz w:val="24"/>
            <w:szCs w:val="24"/>
          </w:rPr>
          <w:fldChar w:fldCharType="end"/>
        </w:r>
      </w:hyperlink>
    </w:p>
    <w:p w14:paraId="5CAA4A01" w14:textId="3D34B2D7"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811" w:history="1">
        <w:r w:rsidR="00A96DD2" w:rsidRPr="00EA1BB2">
          <w:rPr>
            <w:rStyle w:val="Hyperlink"/>
            <w:rFonts w:ascii="Cambria" w:hAnsi="Cambria"/>
            <w:noProof/>
            <w:sz w:val="24"/>
            <w:szCs w:val="24"/>
          </w:rPr>
          <w:t>Tabelul nr. 3</w:t>
        </w:r>
        <w:r w:rsidR="00A96DD2" w:rsidRPr="00EA1BB2">
          <w:rPr>
            <w:rStyle w:val="Hyperlink"/>
            <w:rFonts w:ascii="Cambria" w:hAnsi="Cambria"/>
            <w:noProof/>
            <w:sz w:val="24"/>
            <w:szCs w:val="24"/>
          </w:rPr>
          <w:noBreakHyphen/>
          <w:t>42 - Emisii provenite din sursele de suprafață din județul Brăila, în anul de referință 2013 (g/an)</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_Toc526889811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111</w:t>
        </w:r>
        <w:r w:rsidR="00A96DD2" w:rsidRPr="00EA1BB2">
          <w:rPr>
            <w:rFonts w:ascii="Cambria" w:hAnsi="Cambria"/>
            <w:noProof/>
            <w:webHidden/>
            <w:sz w:val="24"/>
            <w:szCs w:val="24"/>
          </w:rPr>
          <w:fldChar w:fldCharType="end"/>
        </w:r>
      </w:hyperlink>
    </w:p>
    <w:p w14:paraId="0BE5F1DE" w14:textId="70F3CCA8"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812" w:history="1">
        <w:r w:rsidR="00A96DD2" w:rsidRPr="00EA1BB2">
          <w:rPr>
            <w:rStyle w:val="Hyperlink"/>
            <w:rFonts w:ascii="Cambria" w:hAnsi="Cambria"/>
            <w:noProof/>
            <w:sz w:val="24"/>
            <w:szCs w:val="24"/>
          </w:rPr>
          <w:t>Tabelul nr. 3</w:t>
        </w:r>
        <w:r w:rsidR="00A96DD2" w:rsidRPr="00EA1BB2">
          <w:rPr>
            <w:rStyle w:val="Hyperlink"/>
            <w:rFonts w:ascii="Cambria" w:hAnsi="Cambria"/>
            <w:noProof/>
            <w:sz w:val="24"/>
            <w:szCs w:val="24"/>
          </w:rPr>
          <w:noBreakHyphen/>
          <w:t>43 –  Surse fixe de emisie analizate</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_Toc526889812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116</w:t>
        </w:r>
        <w:r w:rsidR="00A96DD2" w:rsidRPr="00EA1BB2">
          <w:rPr>
            <w:rFonts w:ascii="Cambria" w:hAnsi="Cambria"/>
            <w:noProof/>
            <w:webHidden/>
            <w:sz w:val="24"/>
            <w:szCs w:val="24"/>
          </w:rPr>
          <w:fldChar w:fldCharType="end"/>
        </w:r>
      </w:hyperlink>
    </w:p>
    <w:p w14:paraId="0F7C7B89" w14:textId="0452ECFE"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813" w:history="1">
        <w:r w:rsidR="00A96DD2" w:rsidRPr="00EA1BB2">
          <w:rPr>
            <w:rStyle w:val="Hyperlink"/>
            <w:rFonts w:ascii="Cambria" w:eastAsia="Calibri" w:hAnsi="Cambria" w:cs="Times New Roman"/>
            <w:iCs/>
            <w:noProof/>
            <w:sz w:val="24"/>
            <w:szCs w:val="24"/>
          </w:rPr>
          <w:t>Tabelul nr. 3</w:t>
        </w:r>
        <w:r w:rsidR="00A96DD2" w:rsidRPr="00EA1BB2">
          <w:rPr>
            <w:rStyle w:val="Hyperlink"/>
            <w:rFonts w:ascii="Cambria" w:eastAsia="Calibri" w:hAnsi="Cambria" w:cs="Times New Roman"/>
            <w:iCs/>
            <w:noProof/>
            <w:sz w:val="24"/>
            <w:szCs w:val="24"/>
          </w:rPr>
          <w:noBreakHyphen/>
          <w:t xml:space="preserve">44 – </w:t>
        </w:r>
        <w:r w:rsidR="00A96DD2" w:rsidRPr="00EA1BB2">
          <w:rPr>
            <w:rStyle w:val="Hyperlink"/>
            <w:rFonts w:ascii="Cambria" w:eastAsia="Calibri" w:hAnsi="Cambria" w:cs="Times New Roman"/>
            <w:noProof/>
            <w:sz w:val="24"/>
            <w:szCs w:val="24"/>
          </w:rPr>
          <w:t>Temperaturi medii lunare maxime și minime (⁰C), în perioada 2012-2016, la stația meteorologică Brăila</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_Toc526889813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119</w:t>
        </w:r>
        <w:r w:rsidR="00A96DD2" w:rsidRPr="00EA1BB2">
          <w:rPr>
            <w:rFonts w:ascii="Cambria" w:hAnsi="Cambria"/>
            <w:noProof/>
            <w:webHidden/>
            <w:sz w:val="24"/>
            <w:szCs w:val="24"/>
          </w:rPr>
          <w:fldChar w:fldCharType="end"/>
        </w:r>
      </w:hyperlink>
    </w:p>
    <w:p w14:paraId="359BFEDA" w14:textId="36F7D984"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814" w:history="1">
        <w:r w:rsidR="00A96DD2" w:rsidRPr="00EA1BB2">
          <w:rPr>
            <w:rStyle w:val="Hyperlink"/>
            <w:rFonts w:ascii="Cambria" w:eastAsia="Calibri" w:hAnsi="Cambria" w:cs="Times New Roman"/>
            <w:iCs/>
            <w:noProof/>
            <w:sz w:val="24"/>
            <w:szCs w:val="24"/>
          </w:rPr>
          <w:t>Tabelul nr. 3</w:t>
        </w:r>
        <w:r w:rsidR="00A96DD2" w:rsidRPr="00EA1BB2">
          <w:rPr>
            <w:rStyle w:val="Hyperlink"/>
            <w:rFonts w:ascii="Cambria" w:eastAsia="Calibri" w:hAnsi="Cambria" w:cs="Times New Roman"/>
            <w:iCs/>
            <w:noProof/>
            <w:sz w:val="24"/>
            <w:szCs w:val="24"/>
          </w:rPr>
          <w:noBreakHyphen/>
          <w:t xml:space="preserve">45 - </w:t>
        </w:r>
        <w:r w:rsidR="00A96DD2" w:rsidRPr="00EA1BB2">
          <w:rPr>
            <w:rStyle w:val="Hyperlink"/>
            <w:rFonts w:ascii="Cambria" w:eastAsia="Calibri" w:hAnsi="Cambria" w:cs="Times New Roman"/>
            <w:noProof/>
            <w:sz w:val="24"/>
            <w:szCs w:val="24"/>
          </w:rPr>
          <w:t>Cantitățile de precipitații medii lunare (mm) înregistrate, în perioada 1990-2016 comparativ cu perioada 1974 – 1990, la stația meteorologică Brăila</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_Toc526889814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120</w:t>
        </w:r>
        <w:r w:rsidR="00A96DD2" w:rsidRPr="00EA1BB2">
          <w:rPr>
            <w:rFonts w:ascii="Cambria" w:hAnsi="Cambria"/>
            <w:noProof/>
            <w:webHidden/>
            <w:sz w:val="24"/>
            <w:szCs w:val="24"/>
          </w:rPr>
          <w:fldChar w:fldCharType="end"/>
        </w:r>
      </w:hyperlink>
    </w:p>
    <w:p w14:paraId="3C8CC0FF" w14:textId="5A18CBA4"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815" w:history="1">
        <w:r w:rsidR="00A96DD2" w:rsidRPr="00EA1BB2">
          <w:rPr>
            <w:rStyle w:val="Hyperlink"/>
            <w:rFonts w:ascii="Cambria" w:hAnsi="Cambria"/>
            <w:noProof/>
            <w:sz w:val="24"/>
            <w:szCs w:val="24"/>
          </w:rPr>
          <w:t>Tabelul nr. 4</w:t>
        </w:r>
        <w:r w:rsidR="00A96DD2" w:rsidRPr="00EA1BB2">
          <w:rPr>
            <w:rStyle w:val="Hyperlink"/>
            <w:rFonts w:ascii="Cambria" w:hAnsi="Cambria"/>
            <w:noProof/>
            <w:sz w:val="24"/>
            <w:szCs w:val="24"/>
          </w:rPr>
          <w:noBreakHyphen/>
          <w:t>1 - Matricea-plan de implementare a acțiunilor pentru problema PM04 POLUAREA ATMOSFEREI – PLAM Brăila</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_Toc526889815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132</w:t>
        </w:r>
        <w:r w:rsidR="00A96DD2" w:rsidRPr="00EA1BB2">
          <w:rPr>
            <w:rFonts w:ascii="Cambria" w:hAnsi="Cambria"/>
            <w:noProof/>
            <w:webHidden/>
            <w:sz w:val="24"/>
            <w:szCs w:val="24"/>
          </w:rPr>
          <w:fldChar w:fldCharType="end"/>
        </w:r>
      </w:hyperlink>
    </w:p>
    <w:p w14:paraId="7ED4BB44" w14:textId="058D5E4E"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816" w:history="1">
        <w:r w:rsidR="00A96DD2" w:rsidRPr="00EA1BB2">
          <w:rPr>
            <w:rStyle w:val="Hyperlink"/>
            <w:rFonts w:ascii="Cambria" w:eastAsia="Calibri" w:hAnsi="Cambria" w:cs="Times New Roman"/>
            <w:iCs/>
            <w:noProof/>
            <w:sz w:val="24"/>
            <w:szCs w:val="24"/>
          </w:rPr>
          <w:t>Tabelul nr. 4</w:t>
        </w:r>
        <w:r w:rsidR="00A96DD2" w:rsidRPr="00EA1BB2">
          <w:rPr>
            <w:rStyle w:val="Hyperlink"/>
            <w:rFonts w:ascii="Cambria" w:eastAsia="Calibri" w:hAnsi="Cambria" w:cs="Times New Roman"/>
            <w:iCs/>
            <w:noProof/>
            <w:sz w:val="24"/>
            <w:szCs w:val="24"/>
          </w:rPr>
          <w:noBreakHyphen/>
          <w:t>2 Situația monitorizării acțiunilor pentru îndeplinirea obiectivelor propuse în planurile de acțiune pentru mediu – anul 2008</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_Toc526889816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139</w:t>
        </w:r>
        <w:r w:rsidR="00A96DD2" w:rsidRPr="00EA1BB2">
          <w:rPr>
            <w:rFonts w:ascii="Cambria" w:hAnsi="Cambria"/>
            <w:noProof/>
            <w:webHidden/>
            <w:sz w:val="24"/>
            <w:szCs w:val="24"/>
          </w:rPr>
          <w:fldChar w:fldCharType="end"/>
        </w:r>
      </w:hyperlink>
    </w:p>
    <w:p w14:paraId="42212E97" w14:textId="709CE585"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817" w:history="1">
        <w:r w:rsidR="00A96DD2" w:rsidRPr="00EA1BB2">
          <w:rPr>
            <w:rStyle w:val="Hyperlink"/>
            <w:rFonts w:ascii="Cambria" w:eastAsia="Calibri" w:hAnsi="Cambria" w:cs="Times New Roman"/>
            <w:iCs/>
            <w:noProof/>
            <w:sz w:val="24"/>
            <w:szCs w:val="24"/>
          </w:rPr>
          <w:t>Tabelul nr. 4</w:t>
        </w:r>
        <w:r w:rsidR="00A96DD2" w:rsidRPr="00EA1BB2">
          <w:rPr>
            <w:rStyle w:val="Hyperlink"/>
            <w:rFonts w:ascii="Cambria" w:eastAsia="Calibri" w:hAnsi="Cambria" w:cs="Times New Roman"/>
            <w:iCs/>
            <w:noProof/>
            <w:sz w:val="24"/>
            <w:szCs w:val="24"/>
          </w:rPr>
          <w:noBreakHyphen/>
          <w:t>3 - Încadrarea în regimuri de evaluare</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_Toc526889817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143</w:t>
        </w:r>
        <w:r w:rsidR="00A96DD2" w:rsidRPr="00EA1BB2">
          <w:rPr>
            <w:rFonts w:ascii="Cambria" w:hAnsi="Cambria"/>
            <w:noProof/>
            <w:webHidden/>
            <w:sz w:val="24"/>
            <w:szCs w:val="24"/>
          </w:rPr>
          <w:fldChar w:fldCharType="end"/>
        </w:r>
      </w:hyperlink>
    </w:p>
    <w:p w14:paraId="0E053FAF" w14:textId="757AF9C0"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818" w:history="1">
        <w:r w:rsidR="00A96DD2" w:rsidRPr="00EA1BB2">
          <w:rPr>
            <w:rStyle w:val="Hyperlink"/>
            <w:rFonts w:ascii="Cambria" w:hAnsi="Cambria"/>
            <w:noProof/>
            <w:sz w:val="24"/>
            <w:szCs w:val="24"/>
          </w:rPr>
          <w:t>Tabelul nr. 5</w:t>
        </w:r>
        <w:r w:rsidR="00A96DD2" w:rsidRPr="00EA1BB2">
          <w:rPr>
            <w:rStyle w:val="Hyperlink"/>
            <w:rFonts w:ascii="Cambria" w:hAnsi="Cambria"/>
            <w:noProof/>
            <w:sz w:val="24"/>
            <w:szCs w:val="24"/>
          </w:rPr>
          <w:noBreakHyphen/>
          <w:t>1 – Emisii de poluanți, pe categorii de surse, în anul 2013</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_Toc526889818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152</w:t>
        </w:r>
        <w:r w:rsidR="00A96DD2" w:rsidRPr="00EA1BB2">
          <w:rPr>
            <w:rFonts w:ascii="Cambria" w:hAnsi="Cambria"/>
            <w:noProof/>
            <w:webHidden/>
            <w:sz w:val="24"/>
            <w:szCs w:val="24"/>
          </w:rPr>
          <w:fldChar w:fldCharType="end"/>
        </w:r>
      </w:hyperlink>
    </w:p>
    <w:p w14:paraId="7A68D478" w14:textId="77BFB9D6"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819" w:history="1">
        <w:r w:rsidR="00A96DD2" w:rsidRPr="00EA1BB2">
          <w:rPr>
            <w:rStyle w:val="Hyperlink"/>
            <w:rFonts w:ascii="Cambria" w:hAnsi="Cambria"/>
            <w:noProof/>
            <w:sz w:val="24"/>
            <w:szCs w:val="24"/>
          </w:rPr>
          <w:t>Tabelul nr. 5</w:t>
        </w:r>
        <w:r w:rsidR="00A96DD2" w:rsidRPr="00EA1BB2">
          <w:rPr>
            <w:rStyle w:val="Hyperlink"/>
            <w:rFonts w:ascii="Cambria" w:hAnsi="Cambria"/>
            <w:noProof/>
            <w:sz w:val="24"/>
            <w:szCs w:val="24"/>
          </w:rPr>
          <w:noBreakHyphen/>
          <w:t>2– Valori estimate prin modelare pentru concentrațiile poluanților atmosferici în anul de referință 2013</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_Toc526889819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153</w:t>
        </w:r>
        <w:r w:rsidR="00A96DD2" w:rsidRPr="00EA1BB2">
          <w:rPr>
            <w:rFonts w:ascii="Cambria" w:hAnsi="Cambria"/>
            <w:noProof/>
            <w:webHidden/>
            <w:sz w:val="24"/>
            <w:szCs w:val="24"/>
          </w:rPr>
          <w:fldChar w:fldCharType="end"/>
        </w:r>
      </w:hyperlink>
    </w:p>
    <w:p w14:paraId="22ABECC4" w14:textId="3FBB4BB3"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820" w:history="1">
        <w:r w:rsidR="00A96DD2" w:rsidRPr="00EA1BB2">
          <w:rPr>
            <w:rStyle w:val="Hyperlink"/>
            <w:rFonts w:ascii="Cambria" w:hAnsi="Cambria"/>
            <w:noProof/>
            <w:sz w:val="24"/>
            <w:szCs w:val="24"/>
          </w:rPr>
          <w:t>Tabelul nr. 5</w:t>
        </w:r>
        <w:r w:rsidR="00A96DD2" w:rsidRPr="00EA1BB2">
          <w:rPr>
            <w:rStyle w:val="Hyperlink"/>
            <w:rFonts w:ascii="Cambria" w:hAnsi="Cambria"/>
            <w:noProof/>
            <w:sz w:val="24"/>
            <w:szCs w:val="24"/>
          </w:rPr>
          <w:noBreakHyphen/>
          <w:t>3 – Emisiile de poluanți în atmosferă în anul de proiecție</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_Toc526889820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154</w:t>
        </w:r>
        <w:r w:rsidR="00A96DD2" w:rsidRPr="00EA1BB2">
          <w:rPr>
            <w:rFonts w:ascii="Cambria" w:hAnsi="Cambria"/>
            <w:noProof/>
            <w:webHidden/>
            <w:sz w:val="24"/>
            <w:szCs w:val="24"/>
          </w:rPr>
          <w:fldChar w:fldCharType="end"/>
        </w:r>
      </w:hyperlink>
    </w:p>
    <w:p w14:paraId="38A6E7B5" w14:textId="1EEEB375"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821" w:history="1">
        <w:r w:rsidR="00A96DD2" w:rsidRPr="00EA1BB2">
          <w:rPr>
            <w:rStyle w:val="Hyperlink"/>
            <w:rFonts w:ascii="Cambria" w:hAnsi="Cambria"/>
            <w:iCs/>
            <w:noProof/>
            <w:sz w:val="24"/>
            <w:szCs w:val="24"/>
          </w:rPr>
          <w:t>Tabelul nr. 5</w:t>
        </w:r>
        <w:r w:rsidR="00A96DD2" w:rsidRPr="00EA1BB2">
          <w:rPr>
            <w:rStyle w:val="Hyperlink"/>
            <w:rFonts w:ascii="Cambria" w:hAnsi="Cambria"/>
            <w:iCs/>
            <w:noProof/>
            <w:sz w:val="24"/>
            <w:szCs w:val="24"/>
          </w:rPr>
          <w:noBreakHyphen/>
          <w:t>4 – Niveluri ale concentrației în anul de proiecție – scenariul A</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_Toc526889821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155</w:t>
        </w:r>
        <w:r w:rsidR="00A96DD2" w:rsidRPr="00EA1BB2">
          <w:rPr>
            <w:rFonts w:ascii="Cambria" w:hAnsi="Cambria"/>
            <w:noProof/>
            <w:webHidden/>
            <w:sz w:val="24"/>
            <w:szCs w:val="24"/>
          </w:rPr>
          <w:fldChar w:fldCharType="end"/>
        </w:r>
      </w:hyperlink>
    </w:p>
    <w:p w14:paraId="7613CFAF" w14:textId="029B47B2"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822" w:history="1">
        <w:r w:rsidR="00A96DD2" w:rsidRPr="00EA1BB2">
          <w:rPr>
            <w:rStyle w:val="Hyperlink"/>
            <w:rFonts w:ascii="Cambria" w:hAnsi="Cambria"/>
            <w:iCs/>
            <w:noProof/>
            <w:sz w:val="24"/>
            <w:szCs w:val="24"/>
          </w:rPr>
          <w:t>Tabelul nr. 5</w:t>
        </w:r>
        <w:r w:rsidR="00A96DD2" w:rsidRPr="00EA1BB2">
          <w:rPr>
            <w:rStyle w:val="Hyperlink"/>
            <w:rFonts w:ascii="Cambria" w:hAnsi="Cambria"/>
            <w:iCs/>
            <w:noProof/>
            <w:sz w:val="24"/>
            <w:szCs w:val="24"/>
          </w:rPr>
          <w:noBreakHyphen/>
          <w:t>5 – Niveluri ale concentrației maxime zilnice/orare estimate în anul de proiecție – scenariul A</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_Toc526889822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156</w:t>
        </w:r>
        <w:r w:rsidR="00A96DD2" w:rsidRPr="00EA1BB2">
          <w:rPr>
            <w:rFonts w:ascii="Cambria" w:hAnsi="Cambria"/>
            <w:noProof/>
            <w:webHidden/>
            <w:sz w:val="24"/>
            <w:szCs w:val="24"/>
          </w:rPr>
          <w:fldChar w:fldCharType="end"/>
        </w:r>
      </w:hyperlink>
    </w:p>
    <w:p w14:paraId="711370F8" w14:textId="79157454"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823" w:history="1">
        <w:r w:rsidR="00A96DD2" w:rsidRPr="00EA1BB2">
          <w:rPr>
            <w:rStyle w:val="Hyperlink"/>
            <w:rFonts w:ascii="Cambria" w:hAnsi="Cambria"/>
            <w:noProof/>
            <w:sz w:val="24"/>
            <w:szCs w:val="24"/>
          </w:rPr>
          <w:t>Tabelul nr. 5</w:t>
        </w:r>
        <w:r w:rsidR="00A96DD2" w:rsidRPr="00EA1BB2">
          <w:rPr>
            <w:rStyle w:val="Hyperlink"/>
            <w:rFonts w:ascii="Cambria" w:hAnsi="Cambria"/>
            <w:noProof/>
            <w:sz w:val="24"/>
            <w:szCs w:val="24"/>
          </w:rPr>
          <w:noBreakHyphen/>
          <w:t>6 - Lista măsurilor din cadrul scenariului A</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_Toc526889823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156</w:t>
        </w:r>
        <w:r w:rsidR="00A96DD2" w:rsidRPr="00EA1BB2">
          <w:rPr>
            <w:rFonts w:ascii="Cambria" w:hAnsi="Cambria"/>
            <w:noProof/>
            <w:webHidden/>
            <w:sz w:val="24"/>
            <w:szCs w:val="24"/>
          </w:rPr>
          <w:fldChar w:fldCharType="end"/>
        </w:r>
      </w:hyperlink>
    </w:p>
    <w:p w14:paraId="11E1D8CD" w14:textId="30CA1DE8"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824" w:history="1">
        <w:r w:rsidR="00A96DD2" w:rsidRPr="00EA1BB2">
          <w:rPr>
            <w:rStyle w:val="Hyperlink"/>
            <w:rFonts w:ascii="Cambria" w:hAnsi="Cambria"/>
            <w:noProof/>
            <w:sz w:val="24"/>
            <w:szCs w:val="24"/>
          </w:rPr>
          <w:t>Tabelul nr. 5</w:t>
        </w:r>
        <w:r w:rsidR="00A96DD2" w:rsidRPr="00EA1BB2">
          <w:rPr>
            <w:rStyle w:val="Hyperlink"/>
            <w:rFonts w:ascii="Cambria" w:hAnsi="Cambria"/>
            <w:noProof/>
            <w:sz w:val="24"/>
            <w:szCs w:val="24"/>
          </w:rPr>
          <w:noBreakHyphen/>
          <w:t>7 – Emisiile de poluanți în atmosferă în anul de proiecție</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_Toc526889824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158</w:t>
        </w:r>
        <w:r w:rsidR="00A96DD2" w:rsidRPr="00EA1BB2">
          <w:rPr>
            <w:rFonts w:ascii="Cambria" w:hAnsi="Cambria"/>
            <w:noProof/>
            <w:webHidden/>
            <w:sz w:val="24"/>
            <w:szCs w:val="24"/>
          </w:rPr>
          <w:fldChar w:fldCharType="end"/>
        </w:r>
      </w:hyperlink>
    </w:p>
    <w:p w14:paraId="2046E9F2" w14:textId="34EBCD72"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825" w:history="1">
        <w:r w:rsidR="00A96DD2" w:rsidRPr="00EA1BB2">
          <w:rPr>
            <w:rStyle w:val="Hyperlink"/>
            <w:rFonts w:ascii="Cambria" w:hAnsi="Cambria"/>
            <w:iCs/>
            <w:noProof/>
            <w:sz w:val="24"/>
            <w:szCs w:val="24"/>
          </w:rPr>
          <w:t>Tabelul nr. 5</w:t>
        </w:r>
        <w:r w:rsidR="00A96DD2" w:rsidRPr="00EA1BB2">
          <w:rPr>
            <w:rStyle w:val="Hyperlink"/>
            <w:rFonts w:ascii="Cambria" w:hAnsi="Cambria"/>
            <w:iCs/>
            <w:noProof/>
            <w:sz w:val="24"/>
            <w:szCs w:val="24"/>
          </w:rPr>
          <w:noBreakHyphen/>
          <w:t>8 – Niveluri ale concentrației în anul de proiecție – scenariul B</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_Toc526889825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159</w:t>
        </w:r>
        <w:r w:rsidR="00A96DD2" w:rsidRPr="00EA1BB2">
          <w:rPr>
            <w:rFonts w:ascii="Cambria" w:hAnsi="Cambria"/>
            <w:noProof/>
            <w:webHidden/>
            <w:sz w:val="24"/>
            <w:szCs w:val="24"/>
          </w:rPr>
          <w:fldChar w:fldCharType="end"/>
        </w:r>
      </w:hyperlink>
    </w:p>
    <w:p w14:paraId="5B89A89A" w14:textId="7A555528"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826" w:history="1">
        <w:r w:rsidR="00A96DD2" w:rsidRPr="00EA1BB2">
          <w:rPr>
            <w:rStyle w:val="Hyperlink"/>
            <w:rFonts w:ascii="Cambria" w:hAnsi="Cambria"/>
            <w:iCs/>
            <w:noProof/>
            <w:sz w:val="24"/>
            <w:szCs w:val="24"/>
          </w:rPr>
          <w:t>Tabelul nr. 5</w:t>
        </w:r>
        <w:r w:rsidR="00A96DD2" w:rsidRPr="00EA1BB2">
          <w:rPr>
            <w:rStyle w:val="Hyperlink"/>
            <w:rFonts w:ascii="Cambria" w:hAnsi="Cambria"/>
            <w:iCs/>
            <w:noProof/>
            <w:sz w:val="24"/>
            <w:szCs w:val="24"/>
          </w:rPr>
          <w:noBreakHyphen/>
          <w:t>9 – Niveluri ale concentrației maxime zilnice/orare estimate în anul de proiecție – scenariul B</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_Toc526889826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160</w:t>
        </w:r>
        <w:r w:rsidR="00A96DD2" w:rsidRPr="00EA1BB2">
          <w:rPr>
            <w:rFonts w:ascii="Cambria" w:hAnsi="Cambria"/>
            <w:noProof/>
            <w:webHidden/>
            <w:sz w:val="24"/>
            <w:szCs w:val="24"/>
          </w:rPr>
          <w:fldChar w:fldCharType="end"/>
        </w:r>
      </w:hyperlink>
    </w:p>
    <w:p w14:paraId="4B1604EB" w14:textId="3961AE2E"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827" w:history="1">
        <w:r w:rsidR="00A96DD2" w:rsidRPr="00EA1BB2">
          <w:rPr>
            <w:rStyle w:val="Hyperlink"/>
            <w:rFonts w:ascii="Cambria" w:hAnsi="Cambria"/>
            <w:noProof/>
            <w:sz w:val="24"/>
            <w:szCs w:val="24"/>
          </w:rPr>
          <w:t>Tabelul nr. 5</w:t>
        </w:r>
        <w:r w:rsidR="00A96DD2" w:rsidRPr="00EA1BB2">
          <w:rPr>
            <w:rStyle w:val="Hyperlink"/>
            <w:rFonts w:ascii="Cambria" w:hAnsi="Cambria"/>
            <w:noProof/>
            <w:sz w:val="24"/>
            <w:szCs w:val="24"/>
          </w:rPr>
          <w:noBreakHyphen/>
          <w:t>10 - Lista măsurilor și reducerea emisiilor de poluanți în scenariului B</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_Toc526889827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160</w:t>
        </w:r>
        <w:r w:rsidR="00A96DD2" w:rsidRPr="00EA1BB2">
          <w:rPr>
            <w:rFonts w:ascii="Cambria" w:hAnsi="Cambria"/>
            <w:noProof/>
            <w:webHidden/>
            <w:sz w:val="24"/>
            <w:szCs w:val="24"/>
          </w:rPr>
          <w:fldChar w:fldCharType="end"/>
        </w:r>
      </w:hyperlink>
    </w:p>
    <w:p w14:paraId="26C79792" w14:textId="5DD1A993"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828" w:history="1">
        <w:r w:rsidR="00A96DD2" w:rsidRPr="00EA1BB2">
          <w:rPr>
            <w:rStyle w:val="Hyperlink"/>
            <w:rFonts w:ascii="Cambria" w:hAnsi="Cambria"/>
            <w:noProof/>
            <w:sz w:val="24"/>
            <w:szCs w:val="24"/>
          </w:rPr>
          <w:t>Tabelul nr. 6</w:t>
        </w:r>
        <w:r w:rsidR="00A96DD2" w:rsidRPr="00EA1BB2">
          <w:rPr>
            <w:rStyle w:val="Hyperlink"/>
            <w:rFonts w:ascii="Cambria" w:hAnsi="Cambria"/>
            <w:noProof/>
            <w:sz w:val="24"/>
            <w:szCs w:val="24"/>
          </w:rPr>
          <w:noBreakHyphen/>
          <w:t>1 – Estimarea reducerilor emisiilor de poluanți în urma implementării măsurilor</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_Toc526889828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162</w:t>
        </w:r>
        <w:r w:rsidR="00A96DD2" w:rsidRPr="00EA1BB2">
          <w:rPr>
            <w:rFonts w:ascii="Cambria" w:hAnsi="Cambria"/>
            <w:noProof/>
            <w:webHidden/>
            <w:sz w:val="24"/>
            <w:szCs w:val="24"/>
          </w:rPr>
          <w:fldChar w:fldCharType="end"/>
        </w:r>
      </w:hyperlink>
    </w:p>
    <w:p w14:paraId="520E7A9A" w14:textId="2E1D4F1C"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829" w:history="1">
        <w:r w:rsidR="00A96DD2" w:rsidRPr="00EA1BB2">
          <w:rPr>
            <w:rStyle w:val="Hyperlink"/>
            <w:rFonts w:ascii="Cambria" w:eastAsia="Calibri" w:hAnsi="Cambria" w:cs="Times New Roman"/>
            <w:iCs/>
            <w:noProof/>
            <w:sz w:val="24"/>
            <w:szCs w:val="24"/>
          </w:rPr>
          <w:t>Tabelul nr. 6</w:t>
        </w:r>
        <w:r w:rsidR="00A96DD2" w:rsidRPr="00EA1BB2">
          <w:rPr>
            <w:rStyle w:val="Hyperlink"/>
            <w:rFonts w:ascii="Cambria" w:eastAsia="Calibri" w:hAnsi="Cambria" w:cs="Times New Roman"/>
            <w:iCs/>
            <w:noProof/>
            <w:sz w:val="24"/>
            <w:szCs w:val="24"/>
          </w:rPr>
          <w:noBreakHyphen/>
          <w:t>2 - Lista măsurilor propuse în Planul de calitate a aerului pentru aglomerarea Brăila</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_Toc526889829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166</w:t>
        </w:r>
        <w:r w:rsidR="00A96DD2" w:rsidRPr="00EA1BB2">
          <w:rPr>
            <w:rFonts w:ascii="Cambria" w:hAnsi="Cambria"/>
            <w:noProof/>
            <w:webHidden/>
            <w:sz w:val="24"/>
            <w:szCs w:val="24"/>
          </w:rPr>
          <w:fldChar w:fldCharType="end"/>
        </w:r>
      </w:hyperlink>
    </w:p>
    <w:p w14:paraId="1082597D" w14:textId="41C4231B" w:rsidR="00A96DD2" w:rsidRPr="00EA1BB2" w:rsidRDefault="009A1372" w:rsidP="00A96DD2">
      <w:pPr>
        <w:pStyle w:val="TableofFigures"/>
        <w:tabs>
          <w:tab w:val="right" w:leader="dot" w:pos="9060"/>
        </w:tabs>
        <w:spacing w:line="276" w:lineRule="auto"/>
        <w:jc w:val="both"/>
        <w:rPr>
          <w:rFonts w:ascii="Cambria" w:eastAsiaTheme="minorEastAsia" w:hAnsi="Cambria"/>
          <w:noProof/>
          <w:sz w:val="24"/>
          <w:szCs w:val="24"/>
        </w:rPr>
      </w:pPr>
      <w:hyperlink w:anchor="_Toc526889830" w:history="1">
        <w:r w:rsidR="00A96DD2" w:rsidRPr="00EA1BB2">
          <w:rPr>
            <w:rStyle w:val="Hyperlink"/>
            <w:rFonts w:ascii="Cambria" w:hAnsi="Cambria"/>
            <w:noProof/>
            <w:sz w:val="24"/>
            <w:szCs w:val="24"/>
          </w:rPr>
          <w:t>Tabelul nr. 6</w:t>
        </w:r>
        <w:r w:rsidR="00A96DD2" w:rsidRPr="00EA1BB2">
          <w:rPr>
            <w:rStyle w:val="Hyperlink"/>
            <w:rFonts w:ascii="Cambria" w:hAnsi="Cambria"/>
            <w:noProof/>
            <w:sz w:val="24"/>
            <w:szCs w:val="24"/>
          </w:rPr>
          <w:noBreakHyphen/>
          <w:t xml:space="preserve">3 - </w:t>
        </w:r>
        <w:r w:rsidR="00A96DD2" w:rsidRPr="00EA1BB2">
          <w:rPr>
            <w:rStyle w:val="Hyperlink"/>
            <w:rFonts w:ascii="Cambria" w:hAnsi="Cambria" w:cs="Arial"/>
            <w:noProof/>
            <w:sz w:val="24"/>
            <w:szCs w:val="24"/>
            <w:shd w:val="clear" w:color="auto" w:fill="FFFFFF"/>
          </w:rPr>
          <w:t>Lista măsurilor privind menținerea calității aerului în județul Brăila (2018-2022)</w:t>
        </w:r>
        <w:r w:rsidR="00A96DD2" w:rsidRPr="00EA1BB2">
          <w:rPr>
            <w:rFonts w:ascii="Cambria" w:hAnsi="Cambria"/>
            <w:noProof/>
            <w:webHidden/>
            <w:sz w:val="24"/>
            <w:szCs w:val="24"/>
          </w:rPr>
          <w:tab/>
        </w:r>
        <w:r w:rsidR="00A96DD2" w:rsidRPr="00EA1BB2">
          <w:rPr>
            <w:rFonts w:ascii="Cambria" w:hAnsi="Cambria"/>
            <w:noProof/>
            <w:webHidden/>
            <w:sz w:val="24"/>
            <w:szCs w:val="24"/>
          </w:rPr>
          <w:fldChar w:fldCharType="begin"/>
        </w:r>
        <w:r w:rsidR="00A96DD2" w:rsidRPr="00EA1BB2">
          <w:rPr>
            <w:rFonts w:ascii="Cambria" w:hAnsi="Cambria"/>
            <w:noProof/>
            <w:webHidden/>
            <w:sz w:val="24"/>
            <w:szCs w:val="24"/>
          </w:rPr>
          <w:instrText xml:space="preserve"> PAGEREF _Toc526889830 \h </w:instrText>
        </w:r>
        <w:r w:rsidR="00A96DD2" w:rsidRPr="00EA1BB2">
          <w:rPr>
            <w:rFonts w:ascii="Cambria" w:hAnsi="Cambria"/>
            <w:noProof/>
            <w:webHidden/>
            <w:sz w:val="24"/>
            <w:szCs w:val="24"/>
          </w:rPr>
        </w:r>
        <w:r w:rsidR="00A96DD2" w:rsidRPr="00EA1BB2">
          <w:rPr>
            <w:rFonts w:ascii="Cambria" w:hAnsi="Cambria"/>
            <w:noProof/>
            <w:webHidden/>
            <w:sz w:val="24"/>
            <w:szCs w:val="24"/>
          </w:rPr>
          <w:fldChar w:fldCharType="separate"/>
        </w:r>
        <w:r w:rsidR="00567555">
          <w:rPr>
            <w:rFonts w:ascii="Cambria" w:hAnsi="Cambria"/>
            <w:noProof/>
            <w:webHidden/>
            <w:sz w:val="24"/>
            <w:szCs w:val="24"/>
          </w:rPr>
          <w:t>167</w:t>
        </w:r>
        <w:r w:rsidR="00A96DD2" w:rsidRPr="00EA1BB2">
          <w:rPr>
            <w:rFonts w:ascii="Cambria" w:hAnsi="Cambria"/>
            <w:noProof/>
            <w:webHidden/>
            <w:sz w:val="24"/>
            <w:szCs w:val="24"/>
          </w:rPr>
          <w:fldChar w:fldCharType="end"/>
        </w:r>
      </w:hyperlink>
    </w:p>
    <w:p w14:paraId="7815BEA6" w14:textId="733D1C7E" w:rsidR="00D819B7" w:rsidRPr="00EA1BB2" w:rsidRDefault="00280BC9" w:rsidP="00F16456">
      <w:pPr>
        <w:spacing w:line="276" w:lineRule="auto"/>
        <w:ind w:firstLine="708"/>
        <w:jc w:val="both"/>
        <w:rPr>
          <w:rFonts w:ascii="Cambria" w:hAnsi="Cambria" w:cs="Times New Roman"/>
          <w:sz w:val="24"/>
          <w:szCs w:val="24"/>
        </w:rPr>
      </w:pPr>
      <w:r w:rsidRPr="00EA1BB2">
        <w:rPr>
          <w:rFonts w:ascii="Cambria" w:hAnsi="Cambria" w:cs="Times New Roman"/>
          <w:sz w:val="24"/>
          <w:szCs w:val="24"/>
        </w:rPr>
        <w:fldChar w:fldCharType="end"/>
      </w:r>
    </w:p>
    <w:p w14:paraId="753FDDD0" w14:textId="77777777" w:rsidR="009C0FFD" w:rsidRPr="00EA1BB2" w:rsidRDefault="008B4F64" w:rsidP="00F16456">
      <w:pPr>
        <w:spacing w:line="360" w:lineRule="auto"/>
        <w:ind w:firstLine="708"/>
        <w:jc w:val="both"/>
        <w:rPr>
          <w:rFonts w:ascii="Cambria" w:hAnsi="Cambria" w:cs="Times New Roman"/>
          <w:b/>
          <w:sz w:val="24"/>
          <w:szCs w:val="24"/>
        </w:rPr>
      </w:pPr>
      <w:r w:rsidRPr="00EA1BB2">
        <w:rPr>
          <w:rFonts w:ascii="Cambria" w:hAnsi="Cambria" w:cs="Times New Roman"/>
          <w:b/>
          <w:sz w:val="24"/>
          <w:szCs w:val="24"/>
        </w:rPr>
        <w:t>INDEX FIGURI</w:t>
      </w:r>
    </w:p>
    <w:p w14:paraId="2E2D69FA" w14:textId="00CF95F6" w:rsidR="008F249F" w:rsidRPr="00EA1BB2" w:rsidRDefault="00280BC9" w:rsidP="00F16456">
      <w:pPr>
        <w:pStyle w:val="TableofFigures"/>
        <w:tabs>
          <w:tab w:val="right" w:leader="dot" w:pos="9060"/>
        </w:tabs>
        <w:spacing w:line="276" w:lineRule="auto"/>
        <w:jc w:val="both"/>
        <w:rPr>
          <w:rFonts w:ascii="Cambria" w:eastAsiaTheme="minorEastAsia" w:hAnsi="Cambria"/>
          <w:noProof/>
          <w:sz w:val="24"/>
          <w:szCs w:val="24"/>
        </w:rPr>
      </w:pPr>
      <w:r w:rsidRPr="00EA1BB2">
        <w:rPr>
          <w:rFonts w:ascii="Cambria" w:hAnsi="Cambria" w:cs="Times New Roman"/>
          <w:sz w:val="24"/>
          <w:szCs w:val="24"/>
        </w:rPr>
        <w:fldChar w:fldCharType="begin"/>
      </w:r>
      <w:r w:rsidR="001F2C0A" w:rsidRPr="00EA1BB2">
        <w:rPr>
          <w:rFonts w:ascii="Cambria" w:hAnsi="Cambria" w:cs="Times New Roman"/>
          <w:sz w:val="24"/>
          <w:szCs w:val="24"/>
        </w:rPr>
        <w:instrText xml:space="preserve"> TOC \h \z \c "Figura nr." </w:instrText>
      </w:r>
      <w:r w:rsidRPr="00EA1BB2">
        <w:rPr>
          <w:rFonts w:ascii="Cambria" w:hAnsi="Cambria" w:cs="Times New Roman"/>
          <w:sz w:val="24"/>
          <w:szCs w:val="24"/>
        </w:rPr>
        <w:fldChar w:fldCharType="separate"/>
      </w:r>
      <w:hyperlink w:anchor="_Toc524966194" w:history="1">
        <w:r w:rsidR="008F249F" w:rsidRPr="00EA1BB2">
          <w:rPr>
            <w:rStyle w:val="Hyperlink"/>
            <w:rFonts w:ascii="Cambria" w:hAnsi="Cambria"/>
            <w:noProof/>
            <w:sz w:val="24"/>
            <w:szCs w:val="24"/>
          </w:rPr>
          <w:t>Figura nr. 2</w:t>
        </w:r>
        <w:r w:rsidR="008F249F" w:rsidRPr="00EA1BB2">
          <w:rPr>
            <w:rStyle w:val="Hyperlink"/>
            <w:rFonts w:ascii="Cambria" w:hAnsi="Cambria"/>
            <w:noProof/>
            <w:sz w:val="24"/>
            <w:szCs w:val="24"/>
          </w:rPr>
          <w:noBreakHyphen/>
          <w:t>1 – Contribuția diferitelor categorii de surse la emisiile de poluanți în atmosferă</w:t>
        </w:r>
        <w:r w:rsidR="008F249F" w:rsidRPr="00EA1BB2">
          <w:rPr>
            <w:rFonts w:ascii="Cambria" w:hAnsi="Cambria"/>
            <w:noProof/>
            <w:webHidden/>
            <w:sz w:val="24"/>
            <w:szCs w:val="24"/>
          </w:rPr>
          <w:tab/>
        </w:r>
        <w:r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_Toc524966194 \h </w:instrText>
        </w:r>
        <w:r w:rsidRPr="00EA1BB2">
          <w:rPr>
            <w:rFonts w:ascii="Cambria" w:hAnsi="Cambria"/>
            <w:noProof/>
            <w:webHidden/>
            <w:sz w:val="24"/>
            <w:szCs w:val="24"/>
          </w:rPr>
        </w:r>
        <w:r w:rsidRPr="00EA1BB2">
          <w:rPr>
            <w:rFonts w:ascii="Cambria" w:hAnsi="Cambria"/>
            <w:noProof/>
            <w:webHidden/>
            <w:sz w:val="24"/>
            <w:szCs w:val="24"/>
          </w:rPr>
          <w:fldChar w:fldCharType="separate"/>
        </w:r>
        <w:r w:rsidR="00567555">
          <w:rPr>
            <w:rFonts w:ascii="Cambria" w:hAnsi="Cambria"/>
            <w:noProof/>
            <w:webHidden/>
            <w:sz w:val="24"/>
            <w:szCs w:val="24"/>
          </w:rPr>
          <w:t>26</w:t>
        </w:r>
        <w:r w:rsidRPr="00EA1BB2">
          <w:rPr>
            <w:rFonts w:ascii="Cambria" w:hAnsi="Cambria"/>
            <w:noProof/>
            <w:webHidden/>
            <w:sz w:val="24"/>
            <w:szCs w:val="24"/>
          </w:rPr>
          <w:fldChar w:fldCharType="end"/>
        </w:r>
      </w:hyperlink>
    </w:p>
    <w:p w14:paraId="1F476793" w14:textId="686E676A" w:rsidR="008F249F" w:rsidRPr="00EA1BB2" w:rsidRDefault="009A1372" w:rsidP="00F16456">
      <w:pPr>
        <w:pStyle w:val="TableofFigures"/>
        <w:tabs>
          <w:tab w:val="right" w:leader="dot" w:pos="9060"/>
        </w:tabs>
        <w:spacing w:line="276" w:lineRule="auto"/>
        <w:jc w:val="both"/>
        <w:rPr>
          <w:rFonts w:ascii="Cambria" w:eastAsiaTheme="minorEastAsia" w:hAnsi="Cambria"/>
          <w:noProof/>
          <w:sz w:val="24"/>
          <w:szCs w:val="24"/>
        </w:rPr>
      </w:pPr>
      <w:hyperlink w:anchor="_Toc524966195" w:history="1">
        <w:r w:rsidR="008F249F" w:rsidRPr="00EA1BB2">
          <w:rPr>
            <w:rStyle w:val="Hyperlink"/>
            <w:rFonts w:ascii="Cambria" w:hAnsi="Cambria"/>
            <w:noProof/>
            <w:sz w:val="24"/>
            <w:szCs w:val="24"/>
          </w:rPr>
          <w:t>Figura nr. 2</w:t>
        </w:r>
        <w:r w:rsidR="008F249F" w:rsidRPr="00EA1BB2">
          <w:rPr>
            <w:rStyle w:val="Hyperlink"/>
            <w:rFonts w:ascii="Cambria" w:hAnsi="Cambria"/>
            <w:noProof/>
            <w:sz w:val="24"/>
            <w:szCs w:val="24"/>
          </w:rPr>
          <w:noBreakHyphen/>
          <w:t>2 – Harta județului Brăila</w:t>
        </w:r>
        <w:r w:rsidR="008F249F" w:rsidRPr="00EA1BB2">
          <w:rPr>
            <w:rFonts w:ascii="Cambria" w:hAnsi="Cambria"/>
            <w:noProof/>
            <w:webHidden/>
            <w:sz w:val="24"/>
            <w:szCs w:val="24"/>
          </w:rPr>
          <w:tab/>
        </w:r>
        <w:r w:rsidR="00280BC9"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_Toc524966195 \h </w:instrText>
        </w:r>
        <w:r w:rsidR="00280BC9" w:rsidRPr="00EA1BB2">
          <w:rPr>
            <w:rFonts w:ascii="Cambria" w:hAnsi="Cambria"/>
            <w:noProof/>
            <w:webHidden/>
            <w:sz w:val="24"/>
            <w:szCs w:val="24"/>
          </w:rPr>
        </w:r>
        <w:r w:rsidR="00280BC9" w:rsidRPr="00EA1BB2">
          <w:rPr>
            <w:rFonts w:ascii="Cambria" w:hAnsi="Cambria"/>
            <w:noProof/>
            <w:webHidden/>
            <w:sz w:val="24"/>
            <w:szCs w:val="24"/>
          </w:rPr>
          <w:fldChar w:fldCharType="separate"/>
        </w:r>
        <w:r w:rsidR="00567555">
          <w:rPr>
            <w:rFonts w:ascii="Cambria" w:hAnsi="Cambria"/>
            <w:noProof/>
            <w:webHidden/>
            <w:sz w:val="24"/>
            <w:szCs w:val="24"/>
          </w:rPr>
          <w:t>27</w:t>
        </w:r>
        <w:r w:rsidR="00280BC9" w:rsidRPr="00EA1BB2">
          <w:rPr>
            <w:rFonts w:ascii="Cambria" w:hAnsi="Cambria"/>
            <w:noProof/>
            <w:webHidden/>
            <w:sz w:val="24"/>
            <w:szCs w:val="24"/>
          </w:rPr>
          <w:fldChar w:fldCharType="end"/>
        </w:r>
      </w:hyperlink>
    </w:p>
    <w:p w14:paraId="115D3E62" w14:textId="138DE31A" w:rsidR="008F249F" w:rsidRPr="00EA1BB2" w:rsidRDefault="009A1372" w:rsidP="00F16456">
      <w:pPr>
        <w:pStyle w:val="TableofFigures"/>
        <w:tabs>
          <w:tab w:val="right" w:leader="dot" w:pos="9060"/>
        </w:tabs>
        <w:spacing w:line="276" w:lineRule="auto"/>
        <w:jc w:val="both"/>
        <w:rPr>
          <w:rFonts w:ascii="Cambria" w:eastAsiaTheme="minorEastAsia" w:hAnsi="Cambria"/>
          <w:noProof/>
          <w:sz w:val="24"/>
          <w:szCs w:val="24"/>
        </w:rPr>
      </w:pPr>
      <w:hyperlink w:anchor="_Toc524966196" w:history="1">
        <w:r w:rsidR="008F249F" w:rsidRPr="00EA1BB2">
          <w:rPr>
            <w:rStyle w:val="Hyperlink"/>
            <w:rFonts w:ascii="Cambria" w:hAnsi="Cambria"/>
            <w:noProof/>
            <w:sz w:val="24"/>
            <w:szCs w:val="24"/>
          </w:rPr>
          <w:t>Figura nr. 2</w:t>
        </w:r>
        <w:r w:rsidR="008F249F" w:rsidRPr="00EA1BB2">
          <w:rPr>
            <w:rStyle w:val="Hyperlink"/>
            <w:rFonts w:ascii="Cambria" w:hAnsi="Cambria"/>
            <w:noProof/>
            <w:sz w:val="24"/>
            <w:szCs w:val="24"/>
          </w:rPr>
          <w:noBreakHyphen/>
          <w:t>3 – Harta administrativ-teritorială a Județului Brăila</w:t>
        </w:r>
        <w:r w:rsidR="008F249F" w:rsidRPr="00EA1BB2">
          <w:rPr>
            <w:rFonts w:ascii="Cambria" w:hAnsi="Cambria"/>
            <w:noProof/>
            <w:webHidden/>
            <w:sz w:val="24"/>
            <w:szCs w:val="24"/>
          </w:rPr>
          <w:tab/>
        </w:r>
        <w:r w:rsidR="00280BC9"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_Toc524966196 \h </w:instrText>
        </w:r>
        <w:r w:rsidR="00280BC9" w:rsidRPr="00EA1BB2">
          <w:rPr>
            <w:rFonts w:ascii="Cambria" w:hAnsi="Cambria"/>
            <w:noProof/>
            <w:webHidden/>
            <w:sz w:val="24"/>
            <w:szCs w:val="24"/>
          </w:rPr>
        </w:r>
        <w:r w:rsidR="00280BC9" w:rsidRPr="00EA1BB2">
          <w:rPr>
            <w:rFonts w:ascii="Cambria" w:hAnsi="Cambria"/>
            <w:noProof/>
            <w:webHidden/>
            <w:sz w:val="24"/>
            <w:szCs w:val="24"/>
          </w:rPr>
          <w:fldChar w:fldCharType="separate"/>
        </w:r>
        <w:r w:rsidR="00567555">
          <w:rPr>
            <w:rFonts w:ascii="Cambria" w:hAnsi="Cambria"/>
            <w:noProof/>
            <w:webHidden/>
            <w:sz w:val="24"/>
            <w:szCs w:val="24"/>
          </w:rPr>
          <w:t>28</w:t>
        </w:r>
        <w:r w:rsidR="00280BC9" w:rsidRPr="00EA1BB2">
          <w:rPr>
            <w:rFonts w:ascii="Cambria" w:hAnsi="Cambria"/>
            <w:noProof/>
            <w:webHidden/>
            <w:sz w:val="24"/>
            <w:szCs w:val="24"/>
          </w:rPr>
          <w:fldChar w:fldCharType="end"/>
        </w:r>
      </w:hyperlink>
    </w:p>
    <w:p w14:paraId="412EF01F" w14:textId="5D7DF126" w:rsidR="008F249F" w:rsidRPr="00EA1BB2" w:rsidRDefault="009A1372" w:rsidP="00F16456">
      <w:pPr>
        <w:pStyle w:val="TableofFigures"/>
        <w:tabs>
          <w:tab w:val="right" w:leader="dot" w:pos="9060"/>
        </w:tabs>
        <w:spacing w:line="276" w:lineRule="auto"/>
        <w:jc w:val="both"/>
        <w:rPr>
          <w:rFonts w:ascii="Cambria" w:eastAsiaTheme="minorEastAsia" w:hAnsi="Cambria"/>
          <w:noProof/>
          <w:sz w:val="24"/>
          <w:szCs w:val="24"/>
        </w:rPr>
      </w:pPr>
      <w:hyperlink w:anchor="_Toc524966197" w:history="1">
        <w:r w:rsidR="008F249F" w:rsidRPr="00EA1BB2">
          <w:rPr>
            <w:rStyle w:val="Hyperlink"/>
            <w:rFonts w:ascii="Cambria" w:eastAsia="Calibri" w:hAnsi="Cambria" w:cs="Times New Roman"/>
            <w:iCs/>
            <w:noProof/>
            <w:sz w:val="24"/>
            <w:szCs w:val="24"/>
          </w:rPr>
          <w:t>Figura nr. 2</w:t>
        </w:r>
        <w:r w:rsidR="008F249F" w:rsidRPr="00EA1BB2">
          <w:rPr>
            <w:rStyle w:val="Hyperlink"/>
            <w:rFonts w:ascii="Cambria" w:eastAsia="Calibri" w:hAnsi="Cambria" w:cs="Times New Roman"/>
            <w:iCs/>
            <w:noProof/>
            <w:sz w:val="24"/>
            <w:szCs w:val="24"/>
          </w:rPr>
          <w:noBreakHyphen/>
          <w:t>4 – Zonarea climatică a României</w:t>
        </w:r>
        <w:r w:rsidR="008F249F" w:rsidRPr="00EA1BB2">
          <w:rPr>
            <w:rFonts w:ascii="Cambria" w:hAnsi="Cambria"/>
            <w:noProof/>
            <w:webHidden/>
            <w:sz w:val="24"/>
            <w:szCs w:val="24"/>
          </w:rPr>
          <w:tab/>
        </w:r>
        <w:r w:rsidR="00280BC9"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_Toc524966197 \h </w:instrText>
        </w:r>
        <w:r w:rsidR="00280BC9" w:rsidRPr="00EA1BB2">
          <w:rPr>
            <w:rFonts w:ascii="Cambria" w:hAnsi="Cambria"/>
            <w:noProof/>
            <w:webHidden/>
            <w:sz w:val="24"/>
            <w:szCs w:val="24"/>
          </w:rPr>
        </w:r>
        <w:r w:rsidR="00280BC9" w:rsidRPr="00EA1BB2">
          <w:rPr>
            <w:rFonts w:ascii="Cambria" w:hAnsi="Cambria"/>
            <w:noProof/>
            <w:webHidden/>
            <w:sz w:val="24"/>
            <w:szCs w:val="24"/>
          </w:rPr>
          <w:fldChar w:fldCharType="separate"/>
        </w:r>
        <w:r w:rsidR="00567555">
          <w:rPr>
            <w:rFonts w:ascii="Cambria" w:hAnsi="Cambria"/>
            <w:noProof/>
            <w:webHidden/>
            <w:sz w:val="24"/>
            <w:szCs w:val="24"/>
          </w:rPr>
          <w:t>33</w:t>
        </w:r>
        <w:r w:rsidR="00280BC9" w:rsidRPr="00EA1BB2">
          <w:rPr>
            <w:rFonts w:ascii="Cambria" w:hAnsi="Cambria"/>
            <w:noProof/>
            <w:webHidden/>
            <w:sz w:val="24"/>
            <w:szCs w:val="24"/>
          </w:rPr>
          <w:fldChar w:fldCharType="end"/>
        </w:r>
      </w:hyperlink>
    </w:p>
    <w:p w14:paraId="40BEA9C8" w14:textId="64AC3418" w:rsidR="008F249F" w:rsidRPr="00EA1BB2" w:rsidRDefault="009A1372" w:rsidP="00F16456">
      <w:pPr>
        <w:pStyle w:val="TableofFigures"/>
        <w:tabs>
          <w:tab w:val="right" w:leader="dot" w:pos="9060"/>
        </w:tabs>
        <w:spacing w:line="276" w:lineRule="auto"/>
        <w:jc w:val="both"/>
        <w:rPr>
          <w:rFonts w:ascii="Cambria" w:eastAsiaTheme="minorEastAsia" w:hAnsi="Cambria"/>
          <w:noProof/>
          <w:sz w:val="24"/>
          <w:szCs w:val="24"/>
        </w:rPr>
      </w:pPr>
      <w:hyperlink w:anchor="_Toc524966198" w:history="1">
        <w:r w:rsidR="008F249F" w:rsidRPr="00EA1BB2">
          <w:rPr>
            <w:rStyle w:val="Hyperlink"/>
            <w:rFonts w:ascii="Cambria" w:hAnsi="Cambria"/>
            <w:noProof/>
            <w:sz w:val="24"/>
            <w:szCs w:val="24"/>
          </w:rPr>
          <w:t>Figura nr. 2</w:t>
        </w:r>
        <w:r w:rsidR="008F249F" w:rsidRPr="00EA1BB2">
          <w:rPr>
            <w:rStyle w:val="Hyperlink"/>
            <w:rFonts w:ascii="Cambria" w:hAnsi="Cambria"/>
            <w:noProof/>
            <w:sz w:val="24"/>
            <w:szCs w:val="24"/>
          </w:rPr>
          <w:noBreakHyphen/>
          <w:t>5 – Evoluția temperaturii aerului (</w:t>
        </w:r>
        <w:r w:rsidR="008F249F" w:rsidRPr="00EA1BB2">
          <w:rPr>
            <w:rStyle w:val="Hyperlink"/>
            <w:rFonts w:ascii="Cambria" w:hAnsi="Cambria" w:cs="Cambria Math"/>
            <w:noProof/>
            <w:sz w:val="24"/>
            <w:szCs w:val="24"/>
          </w:rPr>
          <w:t>⁰</w:t>
        </w:r>
        <w:r w:rsidR="008F249F" w:rsidRPr="00EA1BB2">
          <w:rPr>
            <w:rStyle w:val="Hyperlink"/>
            <w:rFonts w:ascii="Cambria" w:hAnsi="Cambria"/>
            <w:noProof/>
            <w:sz w:val="24"/>
            <w:szCs w:val="24"/>
          </w:rPr>
          <w:t xml:space="preserve">C) medii lunare din perioada 2012-2016 </w:t>
        </w:r>
        <w:r w:rsidR="008F249F" w:rsidRPr="00EA1BB2">
          <w:rPr>
            <w:rStyle w:val="Hyperlink"/>
            <w:rFonts w:ascii="Cambria" w:hAnsi="Cambria" w:cs="Times New Roman"/>
            <w:noProof/>
            <w:sz w:val="24"/>
            <w:szCs w:val="24"/>
          </w:rPr>
          <w:t>î</w:t>
        </w:r>
        <w:r w:rsidR="008F249F" w:rsidRPr="00EA1BB2">
          <w:rPr>
            <w:rStyle w:val="Hyperlink"/>
            <w:rFonts w:ascii="Cambria" w:hAnsi="Cambria"/>
            <w:noProof/>
            <w:sz w:val="24"/>
            <w:szCs w:val="24"/>
          </w:rPr>
          <w:t>nregistrate la sta</w:t>
        </w:r>
        <w:r w:rsidR="008F249F" w:rsidRPr="00EA1BB2">
          <w:rPr>
            <w:rStyle w:val="Hyperlink"/>
            <w:rFonts w:ascii="Cambria" w:hAnsi="Cambria" w:cs="Times New Roman"/>
            <w:noProof/>
            <w:sz w:val="24"/>
            <w:szCs w:val="24"/>
          </w:rPr>
          <w:t>ț</w:t>
        </w:r>
        <w:r w:rsidR="008F249F" w:rsidRPr="00EA1BB2">
          <w:rPr>
            <w:rStyle w:val="Hyperlink"/>
            <w:rFonts w:ascii="Cambria" w:hAnsi="Cambria"/>
            <w:noProof/>
            <w:sz w:val="24"/>
            <w:szCs w:val="24"/>
          </w:rPr>
          <w:t>ia meteorologic</w:t>
        </w:r>
        <w:r w:rsidR="008F249F" w:rsidRPr="00EA1BB2">
          <w:rPr>
            <w:rStyle w:val="Hyperlink"/>
            <w:rFonts w:ascii="Cambria" w:hAnsi="Cambria" w:cs="Times New Roman"/>
            <w:noProof/>
            <w:sz w:val="24"/>
            <w:szCs w:val="24"/>
          </w:rPr>
          <w:t>ă</w:t>
        </w:r>
        <w:r w:rsidR="008F249F" w:rsidRPr="00EA1BB2">
          <w:rPr>
            <w:rStyle w:val="Hyperlink"/>
            <w:rFonts w:ascii="Cambria" w:hAnsi="Cambria"/>
            <w:noProof/>
            <w:sz w:val="24"/>
            <w:szCs w:val="24"/>
          </w:rPr>
          <w:t xml:space="preserve"> Br</w:t>
        </w:r>
        <w:r w:rsidR="008F249F" w:rsidRPr="00EA1BB2">
          <w:rPr>
            <w:rStyle w:val="Hyperlink"/>
            <w:rFonts w:ascii="Cambria" w:hAnsi="Cambria" w:cs="Times New Roman"/>
            <w:noProof/>
            <w:sz w:val="24"/>
            <w:szCs w:val="24"/>
          </w:rPr>
          <w:t>ă</w:t>
        </w:r>
        <w:r w:rsidR="008F249F" w:rsidRPr="00EA1BB2">
          <w:rPr>
            <w:rStyle w:val="Hyperlink"/>
            <w:rFonts w:ascii="Cambria" w:hAnsi="Cambria"/>
            <w:noProof/>
            <w:sz w:val="24"/>
            <w:szCs w:val="24"/>
          </w:rPr>
          <w:t>ila</w:t>
        </w:r>
        <w:r w:rsidR="008F249F" w:rsidRPr="00EA1BB2">
          <w:rPr>
            <w:rFonts w:ascii="Cambria" w:hAnsi="Cambria"/>
            <w:noProof/>
            <w:webHidden/>
            <w:sz w:val="24"/>
            <w:szCs w:val="24"/>
          </w:rPr>
          <w:tab/>
        </w:r>
        <w:r w:rsidR="00280BC9"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_Toc524966198 \h </w:instrText>
        </w:r>
        <w:r w:rsidR="00280BC9" w:rsidRPr="00EA1BB2">
          <w:rPr>
            <w:rFonts w:ascii="Cambria" w:hAnsi="Cambria"/>
            <w:noProof/>
            <w:webHidden/>
            <w:sz w:val="24"/>
            <w:szCs w:val="24"/>
          </w:rPr>
        </w:r>
        <w:r w:rsidR="00280BC9" w:rsidRPr="00EA1BB2">
          <w:rPr>
            <w:rFonts w:ascii="Cambria" w:hAnsi="Cambria"/>
            <w:noProof/>
            <w:webHidden/>
            <w:sz w:val="24"/>
            <w:szCs w:val="24"/>
          </w:rPr>
          <w:fldChar w:fldCharType="separate"/>
        </w:r>
        <w:r w:rsidR="00567555">
          <w:rPr>
            <w:rFonts w:ascii="Cambria" w:hAnsi="Cambria"/>
            <w:noProof/>
            <w:webHidden/>
            <w:sz w:val="24"/>
            <w:szCs w:val="24"/>
          </w:rPr>
          <w:t>34</w:t>
        </w:r>
        <w:r w:rsidR="00280BC9" w:rsidRPr="00EA1BB2">
          <w:rPr>
            <w:rFonts w:ascii="Cambria" w:hAnsi="Cambria"/>
            <w:noProof/>
            <w:webHidden/>
            <w:sz w:val="24"/>
            <w:szCs w:val="24"/>
          </w:rPr>
          <w:fldChar w:fldCharType="end"/>
        </w:r>
      </w:hyperlink>
    </w:p>
    <w:p w14:paraId="6D84334C" w14:textId="5B303727" w:rsidR="008F249F" w:rsidRPr="00EA1BB2" w:rsidRDefault="009A1372" w:rsidP="00F16456">
      <w:pPr>
        <w:pStyle w:val="TableofFigures"/>
        <w:tabs>
          <w:tab w:val="right" w:leader="dot" w:pos="9060"/>
        </w:tabs>
        <w:spacing w:line="276" w:lineRule="auto"/>
        <w:jc w:val="both"/>
        <w:rPr>
          <w:rFonts w:ascii="Cambria" w:eastAsiaTheme="minorEastAsia" w:hAnsi="Cambria"/>
          <w:noProof/>
          <w:sz w:val="24"/>
          <w:szCs w:val="24"/>
        </w:rPr>
      </w:pPr>
      <w:hyperlink w:anchor="_Toc524966199" w:history="1">
        <w:r w:rsidR="008F249F" w:rsidRPr="00EA1BB2">
          <w:rPr>
            <w:rStyle w:val="Hyperlink"/>
            <w:rFonts w:ascii="Cambria" w:eastAsia="Calibri" w:hAnsi="Cambria" w:cs="Times New Roman"/>
            <w:iCs/>
            <w:noProof/>
            <w:sz w:val="24"/>
            <w:szCs w:val="24"/>
          </w:rPr>
          <w:t>Figura nr. 2</w:t>
        </w:r>
        <w:r w:rsidR="008F249F" w:rsidRPr="00EA1BB2">
          <w:rPr>
            <w:rStyle w:val="Hyperlink"/>
            <w:rFonts w:ascii="Cambria" w:eastAsia="Calibri" w:hAnsi="Cambria" w:cs="Times New Roman"/>
            <w:iCs/>
            <w:noProof/>
            <w:sz w:val="24"/>
            <w:szCs w:val="24"/>
          </w:rPr>
          <w:noBreakHyphen/>
          <w:t>6 – Harta precipitațiilor în România</w:t>
        </w:r>
        <w:r w:rsidR="008F249F" w:rsidRPr="00EA1BB2">
          <w:rPr>
            <w:rFonts w:ascii="Cambria" w:hAnsi="Cambria"/>
            <w:noProof/>
            <w:webHidden/>
            <w:sz w:val="24"/>
            <w:szCs w:val="24"/>
          </w:rPr>
          <w:tab/>
        </w:r>
        <w:r w:rsidR="00280BC9"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_Toc524966199 \h </w:instrText>
        </w:r>
        <w:r w:rsidR="00280BC9" w:rsidRPr="00EA1BB2">
          <w:rPr>
            <w:rFonts w:ascii="Cambria" w:hAnsi="Cambria"/>
            <w:noProof/>
            <w:webHidden/>
            <w:sz w:val="24"/>
            <w:szCs w:val="24"/>
          </w:rPr>
        </w:r>
        <w:r w:rsidR="00280BC9" w:rsidRPr="00EA1BB2">
          <w:rPr>
            <w:rFonts w:ascii="Cambria" w:hAnsi="Cambria"/>
            <w:noProof/>
            <w:webHidden/>
            <w:sz w:val="24"/>
            <w:szCs w:val="24"/>
          </w:rPr>
          <w:fldChar w:fldCharType="separate"/>
        </w:r>
        <w:r w:rsidR="00567555">
          <w:rPr>
            <w:rFonts w:ascii="Cambria" w:hAnsi="Cambria"/>
            <w:noProof/>
            <w:webHidden/>
            <w:sz w:val="24"/>
            <w:szCs w:val="24"/>
          </w:rPr>
          <w:t>35</w:t>
        </w:r>
        <w:r w:rsidR="00280BC9" w:rsidRPr="00EA1BB2">
          <w:rPr>
            <w:rFonts w:ascii="Cambria" w:hAnsi="Cambria"/>
            <w:noProof/>
            <w:webHidden/>
            <w:sz w:val="24"/>
            <w:szCs w:val="24"/>
          </w:rPr>
          <w:fldChar w:fldCharType="end"/>
        </w:r>
      </w:hyperlink>
    </w:p>
    <w:p w14:paraId="03B0DC0E" w14:textId="75464E87" w:rsidR="008F249F" w:rsidRPr="00EA1BB2" w:rsidRDefault="009A1372" w:rsidP="00F16456">
      <w:pPr>
        <w:pStyle w:val="TableofFigures"/>
        <w:tabs>
          <w:tab w:val="right" w:leader="dot" w:pos="9060"/>
        </w:tabs>
        <w:spacing w:line="276" w:lineRule="auto"/>
        <w:jc w:val="both"/>
        <w:rPr>
          <w:rFonts w:ascii="Cambria" w:eastAsiaTheme="minorEastAsia" w:hAnsi="Cambria"/>
          <w:noProof/>
          <w:sz w:val="24"/>
          <w:szCs w:val="24"/>
        </w:rPr>
      </w:pPr>
      <w:hyperlink w:anchor="_Toc524966200" w:history="1">
        <w:r w:rsidR="008F249F" w:rsidRPr="00EA1BB2">
          <w:rPr>
            <w:rStyle w:val="Hyperlink"/>
            <w:rFonts w:ascii="Cambria" w:hAnsi="Cambria"/>
            <w:noProof/>
            <w:sz w:val="24"/>
            <w:szCs w:val="24"/>
          </w:rPr>
          <w:t>Figura nr. 2</w:t>
        </w:r>
        <w:r w:rsidR="008F249F" w:rsidRPr="00EA1BB2">
          <w:rPr>
            <w:rStyle w:val="Hyperlink"/>
            <w:rFonts w:ascii="Cambria" w:hAnsi="Cambria"/>
            <w:noProof/>
            <w:sz w:val="24"/>
            <w:szCs w:val="24"/>
          </w:rPr>
          <w:noBreakHyphen/>
          <w:t>7 – Evoluția cantității lunare de precipitații (mm) în perioada 2012-2016 înregistrate la stația meteorologică Brăila</w:t>
        </w:r>
        <w:r w:rsidR="008F249F" w:rsidRPr="00EA1BB2">
          <w:rPr>
            <w:rFonts w:ascii="Cambria" w:hAnsi="Cambria"/>
            <w:noProof/>
            <w:webHidden/>
            <w:sz w:val="24"/>
            <w:szCs w:val="24"/>
          </w:rPr>
          <w:tab/>
        </w:r>
        <w:r w:rsidR="00280BC9"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_Toc524966200 \h </w:instrText>
        </w:r>
        <w:r w:rsidR="00280BC9" w:rsidRPr="00EA1BB2">
          <w:rPr>
            <w:rFonts w:ascii="Cambria" w:hAnsi="Cambria"/>
            <w:noProof/>
            <w:webHidden/>
            <w:sz w:val="24"/>
            <w:szCs w:val="24"/>
          </w:rPr>
        </w:r>
        <w:r w:rsidR="00280BC9" w:rsidRPr="00EA1BB2">
          <w:rPr>
            <w:rFonts w:ascii="Cambria" w:hAnsi="Cambria"/>
            <w:noProof/>
            <w:webHidden/>
            <w:sz w:val="24"/>
            <w:szCs w:val="24"/>
          </w:rPr>
          <w:fldChar w:fldCharType="separate"/>
        </w:r>
        <w:r w:rsidR="00567555">
          <w:rPr>
            <w:rFonts w:ascii="Cambria" w:hAnsi="Cambria"/>
            <w:noProof/>
            <w:webHidden/>
            <w:sz w:val="24"/>
            <w:szCs w:val="24"/>
          </w:rPr>
          <w:t>36</w:t>
        </w:r>
        <w:r w:rsidR="00280BC9" w:rsidRPr="00EA1BB2">
          <w:rPr>
            <w:rFonts w:ascii="Cambria" w:hAnsi="Cambria"/>
            <w:noProof/>
            <w:webHidden/>
            <w:sz w:val="24"/>
            <w:szCs w:val="24"/>
          </w:rPr>
          <w:fldChar w:fldCharType="end"/>
        </w:r>
      </w:hyperlink>
    </w:p>
    <w:p w14:paraId="32F6B8DD" w14:textId="12F32CCB" w:rsidR="008F249F" w:rsidRPr="00EA1BB2" w:rsidRDefault="009A1372" w:rsidP="00F16456">
      <w:pPr>
        <w:pStyle w:val="TableofFigures"/>
        <w:tabs>
          <w:tab w:val="right" w:leader="dot" w:pos="9060"/>
        </w:tabs>
        <w:spacing w:line="276" w:lineRule="auto"/>
        <w:jc w:val="both"/>
        <w:rPr>
          <w:rFonts w:ascii="Cambria" w:eastAsiaTheme="minorEastAsia" w:hAnsi="Cambria"/>
          <w:noProof/>
          <w:sz w:val="24"/>
          <w:szCs w:val="24"/>
        </w:rPr>
      </w:pPr>
      <w:hyperlink w:anchor="_Toc524966201" w:history="1">
        <w:r w:rsidR="008F249F" w:rsidRPr="00EA1BB2">
          <w:rPr>
            <w:rStyle w:val="Hyperlink"/>
            <w:rFonts w:ascii="Cambria" w:hAnsi="Cambria"/>
            <w:noProof/>
            <w:sz w:val="24"/>
            <w:szCs w:val="24"/>
          </w:rPr>
          <w:t>Figura nr. 2</w:t>
        </w:r>
        <w:r w:rsidR="008F249F" w:rsidRPr="00EA1BB2">
          <w:rPr>
            <w:rStyle w:val="Hyperlink"/>
            <w:rFonts w:ascii="Cambria" w:hAnsi="Cambria"/>
            <w:noProof/>
            <w:sz w:val="24"/>
            <w:szCs w:val="24"/>
          </w:rPr>
          <w:noBreakHyphen/>
          <w:t>8 – Județul Brăila - topografia</w:t>
        </w:r>
        <w:r w:rsidR="008F249F" w:rsidRPr="00EA1BB2">
          <w:rPr>
            <w:rFonts w:ascii="Cambria" w:hAnsi="Cambria"/>
            <w:noProof/>
            <w:webHidden/>
            <w:sz w:val="24"/>
            <w:szCs w:val="24"/>
          </w:rPr>
          <w:tab/>
        </w:r>
        <w:r w:rsidR="00280BC9"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_Toc524966201 \h </w:instrText>
        </w:r>
        <w:r w:rsidR="00280BC9" w:rsidRPr="00EA1BB2">
          <w:rPr>
            <w:rFonts w:ascii="Cambria" w:hAnsi="Cambria"/>
            <w:noProof/>
            <w:webHidden/>
            <w:sz w:val="24"/>
            <w:szCs w:val="24"/>
          </w:rPr>
        </w:r>
        <w:r w:rsidR="00280BC9" w:rsidRPr="00EA1BB2">
          <w:rPr>
            <w:rFonts w:ascii="Cambria" w:hAnsi="Cambria"/>
            <w:noProof/>
            <w:webHidden/>
            <w:sz w:val="24"/>
            <w:szCs w:val="24"/>
          </w:rPr>
          <w:fldChar w:fldCharType="separate"/>
        </w:r>
        <w:r w:rsidR="00567555">
          <w:rPr>
            <w:rFonts w:ascii="Cambria" w:hAnsi="Cambria"/>
            <w:noProof/>
            <w:webHidden/>
            <w:sz w:val="24"/>
            <w:szCs w:val="24"/>
          </w:rPr>
          <w:t>37</w:t>
        </w:r>
        <w:r w:rsidR="00280BC9" w:rsidRPr="00EA1BB2">
          <w:rPr>
            <w:rFonts w:ascii="Cambria" w:hAnsi="Cambria"/>
            <w:noProof/>
            <w:webHidden/>
            <w:sz w:val="24"/>
            <w:szCs w:val="24"/>
          </w:rPr>
          <w:fldChar w:fldCharType="end"/>
        </w:r>
      </w:hyperlink>
    </w:p>
    <w:p w14:paraId="3E1EBD78" w14:textId="1BA6982F" w:rsidR="008F249F" w:rsidRPr="00EA1BB2" w:rsidRDefault="009A1372" w:rsidP="00F16456">
      <w:pPr>
        <w:pStyle w:val="TableofFigures"/>
        <w:tabs>
          <w:tab w:val="right" w:leader="dot" w:pos="9060"/>
        </w:tabs>
        <w:spacing w:line="276" w:lineRule="auto"/>
        <w:jc w:val="both"/>
        <w:rPr>
          <w:rFonts w:ascii="Cambria" w:eastAsiaTheme="minorEastAsia" w:hAnsi="Cambria"/>
          <w:noProof/>
          <w:sz w:val="24"/>
          <w:szCs w:val="24"/>
        </w:rPr>
      </w:pPr>
      <w:hyperlink w:anchor="_Toc524966202" w:history="1">
        <w:r w:rsidR="008F249F" w:rsidRPr="00EA1BB2">
          <w:rPr>
            <w:rStyle w:val="Hyperlink"/>
            <w:rFonts w:ascii="Cambria" w:hAnsi="Cambria"/>
            <w:noProof/>
            <w:sz w:val="24"/>
            <w:szCs w:val="24"/>
          </w:rPr>
          <w:t>Figura nr. 2</w:t>
        </w:r>
        <w:r w:rsidR="008F249F" w:rsidRPr="00EA1BB2">
          <w:rPr>
            <w:rStyle w:val="Hyperlink"/>
            <w:rFonts w:ascii="Cambria" w:hAnsi="Cambria"/>
            <w:noProof/>
            <w:sz w:val="24"/>
            <w:szCs w:val="24"/>
          </w:rPr>
          <w:noBreakHyphen/>
          <w:t>9 – Unitățile de relief în județului Brăila</w:t>
        </w:r>
        <w:r w:rsidR="008F249F" w:rsidRPr="00EA1BB2">
          <w:rPr>
            <w:rFonts w:ascii="Cambria" w:hAnsi="Cambria"/>
            <w:noProof/>
            <w:webHidden/>
            <w:sz w:val="24"/>
            <w:szCs w:val="24"/>
          </w:rPr>
          <w:tab/>
        </w:r>
        <w:r w:rsidR="00280BC9"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_Toc524966202 \h </w:instrText>
        </w:r>
        <w:r w:rsidR="00280BC9" w:rsidRPr="00EA1BB2">
          <w:rPr>
            <w:rFonts w:ascii="Cambria" w:hAnsi="Cambria"/>
            <w:noProof/>
            <w:webHidden/>
            <w:sz w:val="24"/>
            <w:szCs w:val="24"/>
          </w:rPr>
        </w:r>
        <w:r w:rsidR="00280BC9" w:rsidRPr="00EA1BB2">
          <w:rPr>
            <w:rFonts w:ascii="Cambria" w:hAnsi="Cambria"/>
            <w:noProof/>
            <w:webHidden/>
            <w:sz w:val="24"/>
            <w:szCs w:val="24"/>
          </w:rPr>
          <w:fldChar w:fldCharType="separate"/>
        </w:r>
        <w:r w:rsidR="00567555">
          <w:rPr>
            <w:rFonts w:ascii="Cambria" w:hAnsi="Cambria"/>
            <w:noProof/>
            <w:webHidden/>
            <w:sz w:val="24"/>
            <w:szCs w:val="24"/>
          </w:rPr>
          <w:t>38</w:t>
        </w:r>
        <w:r w:rsidR="00280BC9" w:rsidRPr="00EA1BB2">
          <w:rPr>
            <w:rFonts w:ascii="Cambria" w:hAnsi="Cambria"/>
            <w:noProof/>
            <w:webHidden/>
            <w:sz w:val="24"/>
            <w:szCs w:val="24"/>
          </w:rPr>
          <w:fldChar w:fldCharType="end"/>
        </w:r>
      </w:hyperlink>
    </w:p>
    <w:p w14:paraId="3C576D80" w14:textId="7F1C47A3" w:rsidR="008F249F" w:rsidRPr="00EA1BB2" w:rsidRDefault="009A1372" w:rsidP="00F16456">
      <w:pPr>
        <w:pStyle w:val="TableofFigures"/>
        <w:tabs>
          <w:tab w:val="right" w:leader="dot" w:pos="9060"/>
        </w:tabs>
        <w:spacing w:line="276" w:lineRule="auto"/>
        <w:jc w:val="both"/>
        <w:rPr>
          <w:rFonts w:ascii="Cambria" w:eastAsiaTheme="minorEastAsia" w:hAnsi="Cambria"/>
          <w:noProof/>
          <w:sz w:val="24"/>
          <w:szCs w:val="24"/>
        </w:rPr>
      </w:pPr>
      <w:hyperlink w:anchor="_Toc524966203" w:history="1">
        <w:r w:rsidR="008F249F" w:rsidRPr="00EA1BB2">
          <w:rPr>
            <w:rStyle w:val="Hyperlink"/>
            <w:rFonts w:ascii="Cambria" w:hAnsi="Cambria"/>
            <w:noProof/>
            <w:sz w:val="24"/>
            <w:szCs w:val="24"/>
          </w:rPr>
          <w:t>Figura nr. 2</w:t>
        </w:r>
        <w:r w:rsidR="008F249F" w:rsidRPr="00EA1BB2">
          <w:rPr>
            <w:rStyle w:val="Hyperlink"/>
            <w:rFonts w:ascii="Cambria" w:hAnsi="Cambria"/>
            <w:noProof/>
            <w:sz w:val="24"/>
            <w:szCs w:val="24"/>
          </w:rPr>
          <w:noBreakHyphen/>
          <w:t>10 – Hidrografia județului Brăila</w:t>
        </w:r>
        <w:r w:rsidR="008F249F" w:rsidRPr="00EA1BB2">
          <w:rPr>
            <w:rFonts w:ascii="Cambria" w:hAnsi="Cambria"/>
            <w:noProof/>
            <w:webHidden/>
            <w:sz w:val="24"/>
            <w:szCs w:val="24"/>
          </w:rPr>
          <w:tab/>
        </w:r>
        <w:r w:rsidR="00280BC9"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_Toc524966203 \h </w:instrText>
        </w:r>
        <w:r w:rsidR="00280BC9" w:rsidRPr="00EA1BB2">
          <w:rPr>
            <w:rFonts w:ascii="Cambria" w:hAnsi="Cambria"/>
            <w:noProof/>
            <w:webHidden/>
            <w:sz w:val="24"/>
            <w:szCs w:val="24"/>
          </w:rPr>
        </w:r>
        <w:r w:rsidR="00280BC9" w:rsidRPr="00EA1BB2">
          <w:rPr>
            <w:rFonts w:ascii="Cambria" w:hAnsi="Cambria"/>
            <w:noProof/>
            <w:webHidden/>
            <w:sz w:val="24"/>
            <w:szCs w:val="24"/>
          </w:rPr>
          <w:fldChar w:fldCharType="separate"/>
        </w:r>
        <w:r w:rsidR="00567555">
          <w:rPr>
            <w:rFonts w:ascii="Cambria" w:hAnsi="Cambria"/>
            <w:noProof/>
            <w:webHidden/>
            <w:sz w:val="24"/>
            <w:szCs w:val="24"/>
          </w:rPr>
          <w:t>39</w:t>
        </w:r>
        <w:r w:rsidR="00280BC9" w:rsidRPr="00EA1BB2">
          <w:rPr>
            <w:rFonts w:ascii="Cambria" w:hAnsi="Cambria"/>
            <w:noProof/>
            <w:webHidden/>
            <w:sz w:val="24"/>
            <w:szCs w:val="24"/>
          </w:rPr>
          <w:fldChar w:fldCharType="end"/>
        </w:r>
      </w:hyperlink>
    </w:p>
    <w:p w14:paraId="0110973A" w14:textId="2AE7250A" w:rsidR="008F249F" w:rsidRPr="00EA1BB2" w:rsidRDefault="009A1372" w:rsidP="00F16456">
      <w:pPr>
        <w:pStyle w:val="TableofFigures"/>
        <w:tabs>
          <w:tab w:val="right" w:leader="dot" w:pos="9060"/>
        </w:tabs>
        <w:spacing w:line="276" w:lineRule="auto"/>
        <w:jc w:val="both"/>
        <w:rPr>
          <w:rFonts w:ascii="Cambria" w:eastAsiaTheme="minorEastAsia" w:hAnsi="Cambria"/>
          <w:noProof/>
          <w:sz w:val="24"/>
          <w:szCs w:val="24"/>
        </w:rPr>
      </w:pPr>
      <w:hyperlink w:anchor="_Toc524966204" w:history="1">
        <w:r w:rsidR="008F249F" w:rsidRPr="00EA1BB2">
          <w:rPr>
            <w:rStyle w:val="Hyperlink"/>
            <w:rFonts w:ascii="Cambria" w:hAnsi="Cambria"/>
            <w:noProof/>
            <w:sz w:val="24"/>
            <w:szCs w:val="24"/>
          </w:rPr>
          <w:t>Figura nr. 2</w:t>
        </w:r>
        <w:r w:rsidR="008F249F" w:rsidRPr="00EA1BB2">
          <w:rPr>
            <w:rStyle w:val="Hyperlink"/>
            <w:rFonts w:ascii="Cambria" w:hAnsi="Cambria"/>
            <w:noProof/>
            <w:sz w:val="24"/>
            <w:szCs w:val="24"/>
          </w:rPr>
          <w:noBreakHyphen/>
          <w:t>11 – Utilizarea terenurilor în județul Brăila</w:t>
        </w:r>
        <w:r w:rsidR="008F249F" w:rsidRPr="00EA1BB2">
          <w:rPr>
            <w:rFonts w:ascii="Cambria" w:hAnsi="Cambria"/>
            <w:noProof/>
            <w:webHidden/>
            <w:sz w:val="24"/>
            <w:szCs w:val="24"/>
          </w:rPr>
          <w:tab/>
        </w:r>
        <w:r w:rsidR="00280BC9"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_Toc524966204 \h </w:instrText>
        </w:r>
        <w:r w:rsidR="00280BC9" w:rsidRPr="00EA1BB2">
          <w:rPr>
            <w:rFonts w:ascii="Cambria" w:hAnsi="Cambria"/>
            <w:noProof/>
            <w:webHidden/>
            <w:sz w:val="24"/>
            <w:szCs w:val="24"/>
          </w:rPr>
        </w:r>
        <w:r w:rsidR="00280BC9" w:rsidRPr="00EA1BB2">
          <w:rPr>
            <w:rFonts w:ascii="Cambria" w:hAnsi="Cambria"/>
            <w:noProof/>
            <w:webHidden/>
            <w:sz w:val="24"/>
            <w:szCs w:val="24"/>
          </w:rPr>
          <w:fldChar w:fldCharType="separate"/>
        </w:r>
        <w:r w:rsidR="00567555">
          <w:rPr>
            <w:rFonts w:ascii="Cambria" w:hAnsi="Cambria"/>
            <w:noProof/>
            <w:webHidden/>
            <w:sz w:val="24"/>
            <w:szCs w:val="24"/>
          </w:rPr>
          <w:t>42</w:t>
        </w:r>
        <w:r w:rsidR="00280BC9" w:rsidRPr="00EA1BB2">
          <w:rPr>
            <w:rFonts w:ascii="Cambria" w:hAnsi="Cambria"/>
            <w:noProof/>
            <w:webHidden/>
            <w:sz w:val="24"/>
            <w:szCs w:val="24"/>
          </w:rPr>
          <w:fldChar w:fldCharType="end"/>
        </w:r>
      </w:hyperlink>
    </w:p>
    <w:p w14:paraId="748649BC" w14:textId="7D9E0090" w:rsidR="008F249F" w:rsidRPr="00EA1BB2" w:rsidRDefault="009A1372" w:rsidP="00F16456">
      <w:pPr>
        <w:pStyle w:val="TableofFigures"/>
        <w:tabs>
          <w:tab w:val="right" w:leader="dot" w:pos="9060"/>
        </w:tabs>
        <w:spacing w:line="276" w:lineRule="auto"/>
        <w:jc w:val="both"/>
        <w:rPr>
          <w:rFonts w:ascii="Cambria" w:eastAsiaTheme="minorEastAsia" w:hAnsi="Cambria"/>
          <w:noProof/>
          <w:sz w:val="24"/>
          <w:szCs w:val="24"/>
        </w:rPr>
      </w:pPr>
      <w:hyperlink w:anchor="_Toc524966205" w:history="1">
        <w:r w:rsidR="008F249F" w:rsidRPr="00EA1BB2">
          <w:rPr>
            <w:rStyle w:val="Hyperlink"/>
            <w:rFonts w:ascii="Cambria" w:hAnsi="Cambria"/>
            <w:noProof/>
            <w:sz w:val="24"/>
            <w:szCs w:val="24"/>
          </w:rPr>
          <w:t>Figura nr. 2</w:t>
        </w:r>
        <w:r w:rsidR="008F249F" w:rsidRPr="00EA1BB2">
          <w:rPr>
            <w:rStyle w:val="Hyperlink"/>
            <w:rFonts w:ascii="Cambria" w:hAnsi="Cambria"/>
            <w:noProof/>
            <w:sz w:val="24"/>
            <w:szCs w:val="24"/>
          </w:rPr>
          <w:noBreakHyphen/>
          <w:t>12 – Harta ariilor protejate din județul Brăila</w:t>
        </w:r>
        <w:r w:rsidR="008F249F" w:rsidRPr="00EA1BB2">
          <w:rPr>
            <w:rFonts w:ascii="Cambria" w:hAnsi="Cambria"/>
            <w:noProof/>
            <w:webHidden/>
            <w:sz w:val="24"/>
            <w:szCs w:val="24"/>
          </w:rPr>
          <w:tab/>
        </w:r>
        <w:r w:rsidR="00280BC9"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_Toc524966205 \h </w:instrText>
        </w:r>
        <w:r w:rsidR="00280BC9" w:rsidRPr="00EA1BB2">
          <w:rPr>
            <w:rFonts w:ascii="Cambria" w:hAnsi="Cambria"/>
            <w:noProof/>
            <w:webHidden/>
            <w:sz w:val="24"/>
            <w:szCs w:val="24"/>
          </w:rPr>
        </w:r>
        <w:r w:rsidR="00280BC9" w:rsidRPr="00EA1BB2">
          <w:rPr>
            <w:rFonts w:ascii="Cambria" w:hAnsi="Cambria"/>
            <w:noProof/>
            <w:webHidden/>
            <w:sz w:val="24"/>
            <w:szCs w:val="24"/>
          </w:rPr>
          <w:fldChar w:fldCharType="separate"/>
        </w:r>
        <w:r w:rsidR="00567555">
          <w:rPr>
            <w:rFonts w:ascii="Cambria" w:hAnsi="Cambria"/>
            <w:noProof/>
            <w:webHidden/>
            <w:sz w:val="24"/>
            <w:szCs w:val="24"/>
          </w:rPr>
          <w:t>46</w:t>
        </w:r>
        <w:r w:rsidR="00280BC9" w:rsidRPr="00EA1BB2">
          <w:rPr>
            <w:rFonts w:ascii="Cambria" w:hAnsi="Cambria"/>
            <w:noProof/>
            <w:webHidden/>
            <w:sz w:val="24"/>
            <w:szCs w:val="24"/>
          </w:rPr>
          <w:fldChar w:fldCharType="end"/>
        </w:r>
      </w:hyperlink>
    </w:p>
    <w:p w14:paraId="5EC79DF1" w14:textId="5DB6C042" w:rsidR="008F249F" w:rsidRPr="00EA1BB2" w:rsidRDefault="009A1372" w:rsidP="00F16456">
      <w:pPr>
        <w:pStyle w:val="TableofFigures"/>
        <w:tabs>
          <w:tab w:val="right" w:leader="dot" w:pos="9060"/>
        </w:tabs>
        <w:spacing w:line="276" w:lineRule="auto"/>
        <w:jc w:val="both"/>
        <w:rPr>
          <w:rFonts w:ascii="Cambria" w:eastAsiaTheme="minorEastAsia" w:hAnsi="Cambria"/>
          <w:noProof/>
          <w:sz w:val="24"/>
          <w:szCs w:val="24"/>
        </w:rPr>
      </w:pPr>
      <w:hyperlink w:anchor="_Toc524966206" w:history="1">
        <w:r w:rsidR="008F249F" w:rsidRPr="00EA1BB2">
          <w:rPr>
            <w:rStyle w:val="Hyperlink"/>
            <w:rFonts w:ascii="Cambria" w:hAnsi="Cambria"/>
            <w:noProof/>
            <w:sz w:val="24"/>
            <w:szCs w:val="24"/>
          </w:rPr>
          <w:t>Figura nr. 2</w:t>
        </w:r>
        <w:r w:rsidR="008F249F" w:rsidRPr="00EA1BB2">
          <w:rPr>
            <w:rStyle w:val="Hyperlink"/>
            <w:rFonts w:ascii="Cambria" w:hAnsi="Cambria"/>
            <w:noProof/>
            <w:sz w:val="24"/>
            <w:szCs w:val="24"/>
          </w:rPr>
          <w:noBreakHyphen/>
          <w:t>13 – Distribuția densității populației/km</w:t>
        </w:r>
        <w:r w:rsidR="008F249F" w:rsidRPr="00EA1BB2">
          <w:rPr>
            <w:rStyle w:val="Hyperlink"/>
            <w:rFonts w:ascii="Cambria" w:hAnsi="Cambria"/>
            <w:noProof/>
            <w:sz w:val="24"/>
            <w:szCs w:val="24"/>
            <w:vertAlign w:val="superscript"/>
          </w:rPr>
          <w:t>2</w:t>
        </w:r>
        <w:r w:rsidR="008F249F" w:rsidRPr="00EA1BB2">
          <w:rPr>
            <w:rStyle w:val="Hyperlink"/>
            <w:rFonts w:ascii="Cambria" w:hAnsi="Cambria"/>
            <w:noProof/>
            <w:sz w:val="24"/>
            <w:szCs w:val="24"/>
          </w:rPr>
          <w:t xml:space="preserve"> în județul Brăila</w:t>
        </w:r>
        <w:r w:rsidR="008F249F" w:rsidRPr="00EA1BB2">
          <w:rPr>
            <w:rFonts w:ascii="Cambria" w:hAnsi="Cambria"/>
            <w:noProof/>
            <w:webHidden/>
            <w:sz w:val="24"/>
            <w:szCs w:val="24"/>
          </w:rPr>
          <w:tab/>
        </w:r>
        <w:r w:rsidR="00280BC9"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_Toc524966206 \h </w:instrText>
        </w:r>
        <w:r w:rsidR="00280BC9" w:rsidRPr="00EA1BB2">
          <w:rPr>
            <w:rFonts w:ascii="Cambria" w:hAnsi="Cambria"/>
            <w:noProof/>
            <w:webHidden/>
            <w:sz w:val="24"/>
            <w:szCs w:val="24"/>
          </w:rPr>
        </w:r>
        <w:r w:rsidR="00280BC9" w:rsidRPr="00EA1BB2">
          <w:rPr>
            <w:rFonts w:ascii="Cambria" w:hAnsi="Cambria"/>
            <w:noProof/>
            <w:webHidden/>
            <w:sz w:val="24"/>
            <w:szCs w:val="24"/>
          </w:rPr>
          <w:fldChar w:fldCharType="separate"/>
        </w:r>
        <w:r w:rsidR="00567555">
          <w:rPr>
            <w:rFonts w:ascii="Cambria" w:hAnsi="Cambria"/>
            <w:noProof/>
            <w:webHidden/>
            <w:sz w:val="24"/>
            <w:szCs w:val="24"/>
          </w:rPr>
          <w:t>50</w:t>
        </w:r>
        <w:r w:rsidR="00280BC9" w:rsidRPr="00EA1BB2">
          <w:rPr>
            <w:rFonts w:ascii="Cambria" w:hAnsi="Cambria"/>
            <w:noProof/>
            <w:webHidden/>
            <w:sz w:val="24"/>
            <w:szCs w:val="24"/>
          </w:rPr>
          <w:fldChar w:fldCharType="end"/>
        </w:r>
      </w:hyperlink>
    </w:p>
    <w:p w14:paraId="2B031A77" w14:textId="143D9B24" w:rsidR="008F249F" w:rsidRPr="00EA1BB2" w:rsidRDefault="009A1372" w:rsidP="00F16456">
      <w:pPr>
        <w:pStyle w:val="TableofFigures"/>
        <w:tabs>
          <w:tab w:val="right" w:leader="dot" w:pos="9060"/>
        </w:tabs>
        <w:spacing w:line="276" w:lineRule="auto"/>
        <w:jc w:val="both"/>
        <w:rPr>
          <w:rFonts w:ascii="Cambria" w:eastAsiaTheme="minorEastAsia" w:hAnsi="Cambria"/>
          <w:noProof/>
          <w:sz w:val="24"/>
          <w:szCs w:val="24"/>
        </w:rPr>
      </w:pPr>
      <w:hyperlink w:anchor="_Toc524966207" w:history="1">
        <w:r w:rsidR="008F249F" w:rsidRPr="00EA1BB2">
          <w:rPr>
            <w:rStyle w:val="Hyperlink"/>
            <w:rFonts w:ascii="Cambria" w:eastAsia="Calibri" w:hAnsi="Cambria" w:cs="Times New Roman"/>
            <w:iCs/>
            <w:noProof/>
            <w:sz w:val="24"/>
            <w:szCs w:val="24"/>
          </w:rPr>
          <w:t>Figura nr. 2</w:t>
        </w:r>
        <w:r w:rsidR="008F249F" w:rsidRPr="00EA1BB2">
          <w:rPr>
            <w:rStyle w:val="Hyperlink"/>
            <w:rFonts w:ascii="Cambria" w:eastAsia="Calibri" w:hAnsi="Cambria" w:cs="Times New Roman"/>
            <w:iCs/>
            <w:noProof/>
            <w:sz w:val="24"/>
            <w:szCs w:val="24"/>
          </w:rPr>
          <w:noBreakHyphen/>
          <w:t>14 - Piramida vârstelor în anul 2017</w:t>
        </w:r>
        <w:r w:rsidR="008F249F" w:rsidRPr="00EA1BB2">
          <w:rPr>
            <w:rFonts w:ascii="Cambria" w:hAnsi="Cambria"/>
            <w:noProof/>
            <w:webHidden/>
            <w:sz w:val="24"/>
            <w:szCs w:val="24"/>
          </w:rPr>
          <w:tab/>
        </w:r>
        <w:r w:rsidR="00280BC9"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_Toc524966207 \h </w:instrText>
        </w:r>
        <w:r w:rsidR="00280BC9" w:rsidRPr="00EA1BB2">
          <w:rPr>
            <w:rFonts w:ascii="Cambria" w:hAnsi="Cambria"/>
            <w:noProof/>
            <w:webHidden/>
            <w:sz w:val="24"/>
            <w:szCs w:val="24"/>
          </w:rPr>
        </w:r>
        <w:r w:rsidR="00280BC9" w:rsidRPr="00EA1BB2">
          <w:rPr>
            <w:rFonts w:ascii="Cambria" w:hAnsi="Cambria"/>
            <w:noProof/>
            <w:webHidden/>
            <w:sz w:val="24"/>
            <w:szCs w:val="24"/>
          </w:rPr>
          <w:fldChar w:fldCharType="separate"/>
        </w:r>
        <w:r w:rsidR="00567555">
          <w:rPr>
            <w:rFonts w:ascii="Cambria" w:hAnsi="Cambria"/>
            <w:noProof/>
            <w:webHidden/>
            <w:sz w:val="24"/>
            <w:szCs w:val="24"/>
          </w:rPr>
          <w:t>51</w:t>
        </w:r>
        <w:r w:rsidR="00280BC9" w:rsidRPr="00EA1BB2">
          <w:rPr>
            <w:rFonts w:ascii="Cambria" w:hAnsi="Cambria"/>
            <w:noProof/>
            <w:webHidden/>
            <w:sz w:val="24"/>
            <w:szCs w:val="24"/>
          </w:rPr>
          <w:fldChar w:fldCharType="end"/>
        </w:r>
      </w:hyperlink>
    </w:p>
    <w:p w14:paraId="311B20FF" w14:textId="27DE440F" w:rsidR="008F249F" w:rsidRPr="00EA1BB2" w:rsidRDefault="009A1372" w:rsidP="00F16456">
      <w:pPr>
        <w:pStyle w:val="TableofFigures"/>
        <w:tabs>
          <w:tab w:val="right" w:leader="dot" w:pos="9060"/>
        </w:tabs>
        <w:spacing w:line="276" w:lineRule="auto"/>
        <w:jc w:val="both"/>
        <w:rPr>
          <w:rFonts w:ascii="Cambria" w:eastAsiaTheme="minorEastAsia" w:hAnsi="Cambria"/>
          <w:noProof/>
          <w:sz w:val="24"/>
          <w:szCs w:val="24"/>
        </w:rPr>
      </w:pPr>
      <w:hyperlink w:anchor="_Toc524966208" w:history="1">
        <w:r w:rsidR="008F249F" w:rsidRPr="00EA1BB2">
          <w:rPr>
            <w:rStyle w:val="Hyperlink"/>
            <w:rFonts w:ascii="Cambria" w:hAnsi="Cambria"/>
            <w:noProof/>
            <w:sz w:val="24"/>
            <w:szCs w:val="24"/>
          </w:rPr>
          <w:t>Figura nr. 2</w:t>
        </w:r>
        <w:r w:rsidR="008F249F" w:rsidRPr="00EA1BB2">
          <w:rPr>
            <w:rStyle w:val="Hyperlink"/>
            <w:rFonts w:ascii="Cambria" w:hAnsi="Cambria"/>
            <w:noProof/>
            <w:sz w:val="24"/>
            <w:szCs w:val="24"/>
          </w:rPr>
          <w:noBreakHyphen/>
          <w:t>15 - Amplasarea stațiilor de monitorizare a calității aerului din județul Brăila</w:t>
        </w:r>
        <w:r w:rsidR="008F249F" w:rsidRPr="00EA1BB2">
          <w:rPr>
            <w:rFonts w:ascii="Cambria" w:hAnsi="Cambria"/>
            <w:noProof/>
            <w:webHidden/>
            <w:sz w:val="24"/>
            <w:szCs w:val="24"/>
          </w:rPr>
          <w:tab/>
        </w:r>
        <w:r w:rsidR="00280BC9"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_Toc524966208 \h </w:instrText>
        </w:r>
        <w:r w:rsidR="00280BC9" w:rsidRPr="00EA1BB2">
          <w:rPr>
            <w:rFonts w:ascii="Cambria" w:hAnsi="Cambria"/>
            <w:noProof/>
            <w:webHidden/>
            <w:sz w:val="24"/>
            <w:szCs w:val="24"/>
          </w:rPr>
        </w:r>
        <w:r w:rsidR="00280BC9" w:rsidRPr="00EA1BB2">
          <w:rPr>
            <w:rFonts w:ascii="Cambria" w:hAnsi="Cambria"/>
            <w:noProof/>
            <w:webHidden/>
            <w:sz w:val="24"/>
            <w:szCs w:val="24"/>
          </w:rPr>
          <w:fldChar w:fldCharType="separate"/>
        </w:r>
        <w:r w:rsidR="00567555">
          <w:rPr>
            <w:rFonts w:ascii="Cambria" w:hAnsi="Cambria"/>
            <w:noProof/>
            <w:webHidden/>
            <w:sz w:val="24"/>
            <w:szCs w:val="24"/>
          </w:rPr>
          <w:t>53</w:t>
        </w:r>
        <w:r w:rsidR="00280BC9" w:rsidRPr="00EA1BB2">
          <w:rPr>
            <w:rFonts w:ascii="Cambria" w:hAnsi="Cambria"/>
            <w:noProof/>
            <w:webHidden/>
            <w:sz w:val="24"/>
            <w:szCs w:val="24"/>
          </w:rPr>
          <w:fldChar w:fldCharType="end"/>
        </w:r>
      </w:hyperlink>
    </w:p>
    <w:p w14:paraId="78CDA156" w14:textId="4AA333DD" w:rsidR="008F249F" w:rsidRPr="00EA1BB2" w:rsidRDefault="009A1372" w:rsidP="00F16456">
      <w:pPr>
        <w:pStyle w:val="TableofFigures"/>
        <w:tabs>
          <w:tab w:val="right" w:leader="dot" w:pos="9060"/>
        </w:tabs>
        <w:spacing w:line="276" w:lineRule="auto"/>
        <w:jc w:val="both"/>
        <w:rPr>
          <w:rFonts w:ascii="Cambria" w:eastAsiaTheme="minorEastAsia" w:hAnsi="Cambria"/>
          <w:noProof/>
          <w:sz w:val="24"/>
          <w:szCs w:val="24"/>
        </w:rPr>
      </w:pPr>
      <w:hyperlink w:anchor="_Toc524966209" w:history="1">
        <w:r w:rsidR="008F249F" w:rsidRPr="00EA1BB2">
          <w:rPr>
            <w:rStyle w:val="Hyperlink"/>
            <w:rFonts w:ascii="Cambria" w:eastAsia="Calibri" w:hAnsi="Cambria" w:cs="Times New Roman"/>
            <w:iCs/>
            <w:noProof/>
            <w:sz w:val="24"/>
            <w:szCs w:val="24"/>
          </w:rPr>
          <w:t>Figura nr. 2</w:t>
        </w:r>
        <w:r w:rsidR="008F249F" w:rsidRPr="00EA1BB2">
          <w:rPr>
            <w:rStyle w:val="Hyperlink"/>
            <w:rFonts w:ascii="Cambria" w:eastAsia="Calibri" w:hAnsi="Cambria" w:cs="Times New Roman"/>
            <w:iCs/>
            <w:noProof/>
            <w:sz w:val="24"/>
            <w:szCs w:val="24"/>
          </w:rPr>
          <w:noBreakHyphen/>
          <w:t>16 - Stația de trafic BR 1 amplasată în Calea Galați nr. 53</w:t>
        </w:r>
        <w:r w:rsidR="008F249F" w:rsidRPr="00EA1BB2">
          <w:rPr>
            <w:rFonts w:ascii="Cambria" w:hAnsi="Cambria"/>
            <w:noProof/>
            <w:webHidden/>
            <w:sz w:val="24"/>
            <w:szCs w:val="24"/>
          </w:rPr>
          <w:tab/>
        </w:r>
        <w:r w:rsidR="00280BC9"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_Toc524966209 \h </w:instrText>
        </w:r>
        <w:r w:rsidR="00280BC9" w:rsidRPr="00EA1BB2">
          <w:rPr>
            <w:rFonts w:ascii="Cambria" w:hAnsi="Cambria"/>
            <w:noProof/>
            <w:webHidden/>
            <w:sz w:val="24"/>
            <w:szCs w:val="24"/>
          </w:rPr>
        </w:r>
        <w:r w:rsidR="00280BC9" w:rsidRPr="00EA1BB2">
          <w:rPr>
            <w:rFonts w:ascii="Cambria" w:hAnsi="Cambria"/>
            <w:noProof/>
            <w:webHidden/>
            <w:sz w:val="24"/>
            <w:szCs w:val="24"/>
          </w:rPr>
          <w:fldChar w:fldCharType="separate"/>
        </w:r>
        <w:r w:rsidR="00567555">
          <w:rPr>
            <w:rFonts w:ascii="Cambria" w:hAnsi="Cambria"/>
            <w:noProof/>
            <w:webHidden/>
            <w:sz w:val="24"/>
            <w:szCs w:val="24"/>
          </w:rPr>
          <w:t>54</w:t>
        </w:r>
        <w:r w:rsidR="00280BC9" w:rsidRPr="00EA1BB2">
          <w:rPr>
            <w:rFonts w:ascii="Cambria" w:hAnsi="Cambria"/>
            <w:noProof/>
            <w:webHidden/>
            <w:sz w:val="24"/>
            <w:szCs w:val="24"/>
          </w:rPr>
          <w:fldChar w:fldCharType="end"/>
        </w:r>
      </w:hyperlink>
    </w:p>
    <w:p w14:paraId="03B3641F" w14:textId="70142F2B" w:rsidR="008F249F" w:rsidRPr="00EA1BB2" w:rsidRDefault="009A1372" w:rsidP="00F16456">
      <w:pPr>
        <w:pStyle w:val="TableofFigures"/>
        <w:tabs>
          <w:tab w:val="right" w:leader="dot" w:pos="9060"/>
        </w:tabs>
        <w:spacing w:line="276" w:lineRule="auto"/>
        <w:jc w:val="both"/>
        <w:rPr>
          <w:rFonts w:ascii="Cambria" w:eastAsiaTheme="minorEastAsia" w:hAnsi="Cambria"/>
          <w:noProof/>
          <w:sz w:val="24"/>
          <w:szCs w:val="24"/>
        </w:rPr>
      </w:pPr>
      <w:hyperlink w:anchor="_Toc524966210" w:history="1">
        <w:r w:rsidR="008F249F" w:rsidRPr="00EA1BB2">
          <w:rPr>
            <w:rStyle w:val="Hyperlink"/>
            <w:rFonts w:ascii="Cambria" w:eastAsia="Calibri" w:hAnsi="Cambria" w:cs="Times New Roman"/>
            <w:iCs/>
            <w:noProof/>
            <w:sz w:val="24"/>
            <w:szCs w:val="24"/>
          </w:rPr>
          <w:t>Figura nr. 2</w:t>
        </w:r>
        <w:r w:rsidR="008F249F" w:rsidRPr="00EA1BB2">
          <w:rPr>
            <w:rStyle w:val="Hyperlink"/>
            <w:rFonts w:ascii="Cambria" w:eastAsia="Calibri" w:hAnsi="Cambria" w:cs="Times New Roman"/>
            <w:iCs/>
            <w:noProof/>
            <w:sz w:val="24"/>
            <w:szCs w:val="24"/>
          </w:rPr>
          <w:noBreakHyphen/>
          <w:t>17 - Stația de fond BR 2 amplasată în Piața Independenței nr. 1</w:t>
        </w:r>
        <w:r w:rsidR="008F249F" w:rsidRPr="00EA1BB2">
          <w:rPr>
            <w:rFonts w:ascii="Cambria" w:hAnsi="Cambria"/>
            <w:noProof/>
            <w:webHidden/>
            <w:sz w:val="24"/>
            <w:szCs w:val="24"/>
          </w:rPr>
          <w:tab/>
        </w:r>
        <w:r w:rsidR="00280BC9"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_Toc524966210 \h </w:instrText>
        </w:r>
        <w:r w:rsidR="00280BC9" w:rsidRPr="00EA1BB2">
          <w:rPr>
            <w:rFonts w:ascii="Cambria" w:hAnsi="Cambria"/>
            <w:noProof/>
            <w:webHidden/>
            <w:sz w:val="24"/>
            <w:szCs w:val="24"/>
          </w:rPr>
        </w:r>
        <w:r w:rsidR="00280BC9" w:rsidRPr="00EA1BB2">
          <w:rPr>
            <w:rFonts w:ascii="Cambria" w:hAnsi="Cambria"/>
            <w:noProof/>
            <w:webHidden/>
            <w:sz w:val="24"/>
            <w:szCs w:val="24"/>
          </w:rPr>
          <w:fldChar w:fldCharType="separate"/>
        </w:r>
        <w:r w:rsidR="00567555">
          <w:rPr>
            <w:rFonts w:ascii="Cambria" w:hAnsi="Cambria"/>
            <w:noProof/>
            <w:webHidden/>
            <w:sz w:val="24"/>
            <w:szCs w:val="24"/>
          </w:rPr>
          <w:t>55</w:t>
        </w:r>
        <w:r w:rsidR="00280BC9" w:rsidRPr="00EA1BB2">
          <w:rPr>
            <w:rFonts w:ascii="Cambria" w:hAnsi="Cambria"/>
            <w:noProof/>
            <w:webHidden/>
            <w:sz w:val="24"/>
            <w:szCs w:val="24"/>
          </w:rPr>
          <w:fldChar w:fldCharType="end"/>
        </w:r>
      </w:hyperlink>
    </w:p>
    <w:p w14:paraId="1414A0C0" w14:textId="47C88FDA" w:rsidR="008F249F" w:rsidRPr="00EA1BB2" w:rsidRDefault="009A1372" w:rsidP="00F16456">
      <w:pPr>
        <w:pStyle w:val="TableofFigures"/>
        <w:tabs>
          <w:tab w:val="right" w:leader="dot" w:pos="9060"/>
        </w:tabs>
        <w:spacing w:line="276" w:lineRule="auto"/>
        <w:jc w:val="both"/>
        <w:rPr>
          <w:rFonts w:ascii="Cambria" w:eastAsiaTheme="minorEastAsia" w:hAnsi="Cambria"/>
          <w:noProof/>
          <w:sz w:val="24"/>
          <w:szCs w:val="24"/>
        </w:rPr>
      </w:pPr>
      <w:hyperlink w:anchor="_Toc524966211" w:history="1">
        <w:r w:rsidR="008F249F" w:rsidRPr="00EA1BB2">
          <w:rPr>
            <w:rStyle w:val="Hyperlink"/>
            <w:rFonts w:ascii="Cambria" w:eastAsia="Calibri" w:hAnsi="Cambria" w:cs="Times New Roman"/>
            <w:iCs/>
            <w:noProof/>
            <w:sz w:val="24"/>
            <w:szCs w:val="24"/>
          </w:rPr>
          <w:t>Figura nr. 2</w:t>
        </w:r>
        <w:r w:rsidR="008F249F" w:rsidRPr="00EA1BB2">
          <w:rPr>
            <w:rStyle w:val="Hyperlink"/>
            <w:rFonts w:ascii="Cambria" w:eastAsia="Calibri" w:hAnsi="Cambria" w:cs="Times New Roman"/>
            <w:iCs/>
            <w:noProof/>
            <w:sz w:val="24"/>
            <w:szCs w:val="24"/>
          </w:rPr>
          <w:noBreakHyphen/>
          <w:t>18 - Stația de fond suburban BR 3 amplasată în comuna Cazasu</w:t>
        </w:r>
        <w:r w:rsidR="008F249F" w:rsidRPr="00EA1BB2">
          <w:rPr>
            <w:rFonts w:ascii="Cambria" w:hAnsi="Cambria"/>
            <w:noProof/>
            <w:webHidden/>
            <w:sz w:val="24"/>
            <w:szCs w:val="24"/>
          </w:rPr>
          <w:tab/>
        </w:r>
        <w:r w:rsidR="00280BC9"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_Toc524966211 \h </w:instrText>
        </w:r>
        <w:r w:rsidR="00280BC9" w:rsidRPr="00EA1BB2">
          <w:rPr>
            <w:rFonts w:ascii="Cambria" w:hAnsi="Cambria"/>
            <w:noProof/>
            <w:webHidden/>
            <w:sz w:val="24"/>
            <w:szCs w:val="24"/>
          </w:rPr>
        </w:r>
        <w:r w:rsidR="00280BC9" w:rsidRPr="00EA1BB2">
          <w:rPr>
            <w:rFonts w:ascii="Cambria" w:hAnsi="Cambria"/>
            <w:noProof/>
            <w:webHidden/>
            <w:sz w:val="24"/>
            <w:szCs w:val="24"/>
          </w:rPr>
          <w:fldChar w:fldCharType="separate"/>
        </w:r>
        <w:r w:rsidR="00567555">
          <w:rPr>
            <w:rFonts w:ascii="Cambria" w:hAnsi="Cambria"/>
            <w:noProof/>
            <w:webHidden/>
            <w:sz w:val="24"/>
            <w:szCs w:val="24"/>
          </w:rPr>
          <w:t>56</w:t>
        </w:r>
        <w:r w:rsidR="00280BC9" w:rsidRPr="00EA1BB2">
          <w:rPr>
            <w:rFonts w:ascii="Cambria" w:hAnsi="Cambria"/>
            <w:noProof/>
            <w:webHidden/>
            <w:sz w:val="24"/>
            <w:szCs w:val="24"/>
          </w:rPr>
          <w:fldChar w:fldCharType="end"/>
        </w:r>
      </w:hyperlink>
    </w:p>
    <w:p w14:paraId="7667B505" w14:textId="5CE4D17B" w:rsidR="008F249F" w:rsidRPr="00EA1BB2" w:rsidRDefault="009A1372" w:rsidP="00F16456">
      <w:pPr>
        <w:pStyle w:val="TableofFigures"/>
        <w:tabs>
          <w:tab w:val="right" w:leader="dot" w:pos="9060"/>
        </w:tabs>
        <w:spacing w:line="276" w:lineRule="auto"/>
        <w:jc w:val="both"/>
        <w:rPr>
          <w:rFonts w:ascii="Cambria" w:eastAsiaTheme="minorEastAsia" w:hAnsi="Cambria"/>
          <w:noProof/>
          <w:sz w:val="24"/>
          <w:szCs w:val="24"/>
        </w:rPr>
      </w:pPr>
      <w:hyperlink w:anchor="_Toc524966212" w:history="1">
        <w:r w:rsidR="008F249F" w:rsidRPr="00EA1BB2">
          <w:rPr>
            <w:rStyle w:val="Hyperlink"/>
            <w:rFonts w:ascii="Cambria" w:hAnsi="Cambria"/>
            <w:iCs/>
            <w:noProof/>
            <w:sz w:val="24"/>
            <w:szCs w:val="24"/>
          </w:rPr>
          <w:t>Figura nr. 3</w:t>
        </w:r>
        <w:r w:rsidR="008F249F" w:rsidRPr="00EA1BB2">
          <w:rPr>
            <w:rStyle w:val="Hyperlink"/>
            <w:rFonts w:ascii="Cambria" w:hAnsi="Cambria"/>
            <w:iCs/>
            <w:noProof/>
            <w:sz w:val="24"/>
            <w:szCs w:val="24"/>
          </w:rPr>
          <w:noBreakHyphen/>
          <w:t>1 – Rețeaua rutieră la nivelul județului Brăila</w:t>
        </w:r>
        <w:r w:rsidR="008F249F" w:rsidRPr="00EA1BB2">
          <w:rPr>
            <w:rFonts w:ascii="Cambria" w:hAnsi="Cambria"/>
            <w:noProof/>
            <w:webHidden/>
            <w:sz w:val="24"/>
            <w:szCs w:val="24"/>
          </w:rPr>
          <w:tab/>
        </w:r>
        <w:r w:rsidR="00280BC9"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_Toc524966212 \h </w:instrText>
        </w:r>
        <w:r w:rsidR="00280BC9" w:rsidRPr="00EA1BB2">
          <w:rPr>
            <w:rFonts w:ascii="Cambria" w:hAnsi="Cambria"/>
            <w:noProof/>
            <w:webHidden/>
            <w:sz w:val="24"/>
            <w:szCs w:val="24"/>
          </w:rPr>
        </w:r>
        <w:r w:rsidR="00280BC9" w:rsidRPr="00EA1BB2">
          <w:rPr>
            <w:rFonts w:ascii="Cambria" w:hAnsi="Cambria"/>
            <w:noProof/>
            <w:webHidden/>
            <w:sz w:val="24"/>
            <w:szCs w:val="24"/>
          </w:rPr>
          <w:fldChar w:fldCharType="separate"/>
        </w:r>
        <w:r w:rsidR="00567555">
          <w:rPr>
            <w:rFonts w:ascii="Cambria" w:hAnsi="Cambria"/>
            <w:noProof/>
            <w:webHidden/>
            <w:sz w:val="24"/>
            <w:szCs w:val="24"/>
          </w:rPr>
          <w:t>61</w:t>
        </w:r>
        <w:r w:rsidR="00280BC9" w:rsidRPr="00EA1BB2">
          <w:rPr>
            <w:rFonts w:ascii="Cambria" w:hAnsi="Cambria"/>
            <w:noProof/>
            <w:webHidden/>
            <w:sz w:val="24"/>
            <w:szCs w:val="24"/>
          </w:rPr>
          <w:fldChar w:fldCharType="end"/>
        </w:r>
      </w:hyperlink>
    </w:p>
    <w:p w14:paraId="039887C4" w14:textId="69F1C705" w:rsidR="008F249F" w:rsidRPr="00EA1BB2" w:rsidRDefault="009A1372" w:rsidP="00F16456">
      <w:pPr>
        <w:pStyle w:val="TableofFigures"/>
        <w:tabs>
          <w:tab w:val="right" w:leader="dot" w:pos="9060"/>
        </w:tabs>
        <w:spacing w:line="276" w:lineRule="auto"/>
        <w:jc w:val="both"/>
        <w:rPr>
          <w:rFonts w:ascii="Cambria" w:eastAsiaTheme="minorEastAsia" w:hAnsi="Cambria"/>
          <w:noProof/>
          <w:sz w:val="24"/>
          <w:szCs w:val="24"/>
        </w:rPr>
      </w:pPr>
      <w:hyperlink w:anchor="_Toc524966213" w:history="1">
        <w:r w:rsidR="008F249F" w:rsidRPr="00EA1BB2">
          <w:rPr>
            <w:rStyle w:val="Hyperlink"/>
            <w:rFonts w:ascii="Cambria" w:hAnsi="Cambria"/>
            <w:noProof/>
            <w:sz w:val="24"/>
            <w:szCs w:val="24"/>
          </w:rPr>
          <w:t>Figura nr. 3</w:t>
        </w:r>
        <w:r w:rsidR="008F249F" w:rsidRPr="00EA1BB2">
          <w:rPr>
            <w:rStyle w:val="Hyperlink"/>
            <w:rFonts w:ascii="Cambria" w:hAnsi="Cambria"/>
            <w:noProof/>
            <w:sz w:val="24"/>
            <w:szCs w:val="24"/>
          </w:rPr>
          <w:noBreakHyphen/>
          <w:t>2 – Fluxuri de circulație vehicule totale/zi în județul Brăila</w:t>
        </w:r>
        <w:r w:rsidR="008F249F" w:rsidRPr="00EA1BB2">
          <w:rPr>
            <w:rFonts w:ascii="Cambria" w:hAnsi="Cambria"/>
            <w:noProof/>
            <w:webHidden/>
            <w:sz w:val="24"/>
            <w:szCs w:val="24"/>
          </w:rPr>
          <w:tab/>
        </w:r>
        <w:r w:rsidR="00280BC9"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_Toc524966213 \h </w:instrText>
        </w:r>
        <w:r w:rsidR="00280BC9" w:rsidRPr="00EA1BB2">
          <w:rPr>
            <w:rFonts w:ascii="Cambria" w:hAnsi="Cambria"/>
            <w:noProof/>
            <w:webHidden/>
            <w:sz w:val="24"/>
            <w:szCs w:val="24"/>
          </w:rPr>
        </w:r>
        <w:r w:rsidR="00280BC9" w:rsidRPr="00EA1BB2">
          <w:rPr>
            <w:rFonts w:ascii="Cambria" w:hAnsi="Cambria"/>
            <w:noProof/>
            <w:webHidden/>
            <w:sz w:val="24"/>
            <w:szCs w:val="24"/>
          </w:rPr>
          <w:fldChar w:fldCharType="separate"/>
        </w:r>
        <w:r w:rsidR="00567555">
          <w:rPr>
            <w:rFonts w:ascii="Cambria" w:hAnsi="Cambria"/>
            <w:noProof/>
            <w:webHidden/>
            <w:sz w:val="24"/>
            <w:szCs w:val="24"/>
          </w:rPr>
          <w:t>62</w:t>
        </w:r>
        <w:r w:rsidR="00280BC9" w:rsidRPr="00EA1BB2">
          <w:rPr>
            <w:rFonts w:ascii="Cambria" w:hAnsi="Cambria"/>
            <w:noProof/>
            <w:webHidden/>
            <w:sz w:val="24"/>
            <w:szCs w:val="24"/>
          </w:rPr>
          <w:fldChar w:fldCharType="end"/>
        </w:r>
      </w:hyperlink>
    </w:p>
    <w:p w14:paraId="0D9D22ED" w14:textId="1C5049E9" w:rsidR="008F249F" w:rsidRPr="00EA1BB2" w:rsidRDefault="009A1372" w:rsidP="00F16456">
      <w:pPr>
        <w:pStyle w:val="TableofFigures"/>
        <w:tabs>
          <w:tab w:val="right" w:leader="dot" w:pos="9060"/>
        </w:tabs>
        <w:spacing w:line="276" w:lineRule="auto"/>
        <w:jc w:val="both"/>
        <w:rPr>
          <w:rFonts w:ascii="Cambria" w:eastAsiaTheme="minorEastAsia" w:hAnsi="Cambria"/>
          <w:noProof/>
          <w:sz w:val="24"/>
          <w:szCs w:val="24"/>
        </w:rPr>
      </w:pPr>
      <w:hyperlink w:anchor="_Toc524966214" w:history="1">
        <w:r w:rsidR="008F249F" w:rsidRPr="00EA1BB2">
          <w:rPr>
            <w:rStyle w:val="Hyperlink"/>
            <w:rFonts w:ascii="Cambria" w:hAnsi="Cambria"/>
            <w:noProof/>
            <w:sz w:val="24"/>
            <w:szCs w:val="24"/>
          </w:rPr>
          <w:t>Figura nr. 3</w:t>
        </w:r>
        <w:r w:rsidR="008F249F" w:rsidRPr="00EA1BB2">
          <w:rPr>
            <w:rStyle w:val="Hyperlink"/>
            <w:rFonts w:ascii="Cambria" w:hAnsi="Cambria"/>
            <w:noProof/>
            <w:sz w:val="24"/>
            <w:szCs w:val="24"/>
          </w:rPr>
          <w:noBreakHyphen/>
          <w:t>3 – Gruparea terenurilor din județul Brăila în clase de calitate după pretabilitatea la folosința agricolă</w:t>
        </w:r>
        <w:r w:rsidR="008F249F" w:rsidRPr="00EA1BB2">
          <w:rPr>
            <w:rFonts w:ascii="Cambria" w:hAnsi="Cambria"/>
            <w:noProof/>
            <w:webHidden/>
            <w:sz w:val="24"/>
            <w:szCs w:val="24"/>
          </w:rPr>
          <w:tab/>
        </w:r>
        <w:r w:rsidR="00280BC9"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_Toc524966214 \h </w:instrText>
        </w:r>
        <w:r w:rsidR="00280BC9" w:rsidRPr="00EA1BB2">
          <w:rPr>
            <w:rFonts w:ascii="Cambria" w:hAnsi="Cambria"/>
            <w:noProof/>
            <w:webHidden/>
            <w:sz w:val="24"/>
            <w:szCs w:val="24"/>
          </w:rPr>
        </w:r>
        <w:r w:rsidR="00280BC9" w:rsidRPr="00EA1BB2">
          <w:rPr>
            <w:rFonts w:ascii="Cambria" w:hAnsi="Cambria"/>
            <w:noProof/>
            <w:webHidden/>
            <w:sz w:val="24"/>
            <w:szCs w:val="24"/>
          </w:rPr>
          <w:fldChar w:fldCharType="separate"/>
        </w:r>
        <w:r w:rsidR="00567555">
          <w:rPr>
            <w:rFonts w:ascii="Cambria" w:hAnsi="Cambria"/>
            <w:noProof/>
            <w:webHidden/>
            <w:sz w:val="24"/>
            <w:szCs w:val="24"/>
          </w:rPr>
          <w:t>68</w:t>
        </w:r>
        <w:r w:rsidR="00280BC9" w:rsidRPr="00EA1BB2">
          <w:rPr>
            <w:rFonts w:ascii="Cambria" w:hAnsi="Cambria"/>
            <w:noProof/>
            <w:webHidden/>
            <w:sz w:val="24"/>
            <w:szCs w:val="24"/>
          </w:rPr>
          <w:fldChar w:fldCharType="end"/>
        </w:r>
      </w:hyperlink>
    </w:p>
    <w:p w14:paraId="6051A4D4" w14:textId="08B4006A" w:rsidR="008F249F" w:rsidRPr="00EA1BB2" w:rsidRDefault="009A1372" w:rsidP="00F16456">
      <w:pPr>
        <w:pStyle w:val="TableofFigures"/>
        <w:tabs>
          <w:tab w:val="right" w:leader="dot" w:pos="9060"/>
        </w:tabs>
        <w:spacing w:line="276" w:lineRule="auto"/>
        <w:jc w:val="both"/>
        <w:rPr>
          <w:rFonts w:ascii="Cambria" w:eastAsiaTheme="minorEastAsia" w:hAnsi="Cambria"/>
          <w:noProof/>
          <w:sz w:val="24"/>
          <w:szCs w:val="24"/>
        </w:rPr>
      </w:pPr>
      <w:hyperlink w:anchor="_Toc524966215" w:history="1">
        <w:r w:rsidR="008F249F" w:rsidRPr="00EA1BB2">
          <w:rPr>
            <w:rStyle w:val="Hyperlink"/>
            <w:rFonts w:ascii="Cambria" w:eastAsia="Calibri" w:hAnsi="Cambria" w:cs="Times New Roman"/>
            <w:iCs/>
            <w:noProof/>
            <w:sz w:val="24"/>
            <w:szCs w:val="24"/>
          </w:rPr>
          <w:t>Figura nr. 3</w:t>
        </w:r>
        <w:r w:rsidR="008F249F" w:rsidRPr="00EA1BB2">
          <w:rPr>
            <w:rStyle w:val="Hyperlink"/>
            <w:rFonts w:ascii="Cambria" w:eastAsia="Calibri" w:hAnsi="Cambria" w:cs="Times New Roman"/>
            <w:iCs/>
            <w:noProof/>
            <w:sz w:val="24"/>
            <w:szCs w:val="24"/>
          </w:rPr>
          <w:noBreakHyphen/>
          <w:t>4 – Tendința emisiilor de poluanți precursori ai ozonului, la nivelul județului Brăila, în perioada 2010-2016</w:t>
        </w:r>
        <w:r w:rsidR="008F249F" w:rsidRPr="00EA1BB2">
          <w:rPr>
            <w:rFonts w:ascii="Cambria" w:hAnsi="Cambria"/>
            <w:noProof/>
            <w:webHidden/>
            <w:sz w:val="24"/>
            <w:szCs w:val="24"/>
          </w:rPr>
          <w:tab/>
        </w:r>
        <w:r w:rsidR="00280BC9"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_Toc524966215 \h </w:instrText>
        </w:r>
        <w:r w:rsidR="00280BC9" w:rsidRPr="00EA1BB2">
          <w:rPr>
            <w:rFonts w:ascii="Cambria" w:hAnsi="Cambria"/>
            <w:noProof/>
            <w:webHidden/>
            <w:sz w:val="24"/>
            <w:szCs w:val="24"/>
          </w:rPr>
        </w:r>
        <w:r w:rsidR="00280BC9" w:rsidRPr="00EA1BB2">
          <w:rPr>
            <w:rFonts w:ascii="Cambria" w:hAnsi="Cambria"/>
            <w:noProof/>
            <w:webHidden/>
            <w:sz w:val="24"/>
            <w:szCs w:val="24"/>
          </w:rPr>
          <w:fldChar w:fldCharType="separate"/>
        </w:r>
        <w:r w:rsidR="00567555">
          <w:rPr>
            <w:rFonts w:ascii="Cambria" w:hAnsi="Cambria"/>
            <w:noProof/>
            <w:webHidden/>
            <w:sz w:val="24"/>
            <w:szCs w:val="24"/>
          </w:rPr>
          <w:t>71</w:t>
        </w:r>
        <w:r w:rsidR="00280BC9" w:rsidRPr="00EA1BB2">
          <w:rPr>
            <w:rFonts w:ascii="Cambria" w:hAnsi="Cambria"/>
            <w:noProof/>
            <w:webHidden/>
            <w:sz w:val="24"/>
            <w:szCs w:val="24"/>
          </w:rPr>
          <w:fldChar w:fldCharType="end"/>
        </w:r>
      </w:hyperlink>
    </w:p>
    <w:p w14:paraId="372D44D7" w14:textId="6D096A94" w:rsidR="008F249F" w:rsidRPr="00EA1BB2" w:rsidRDefault="009A1372" w:rsidP="00F16456">
      <w:pPr>
        <w:pStyle w:val="TableofFigures"/>
        <w:tabs>
          <w:tab w:val="right" w:leader="dot" w:pos="9060"/>
        </w:tabs>
        <w:spacing w:line="276" w:lineRule="auto"/>
        <w:jc w:val="both"/>
        <w:rPr>
          <w:rFonts w:ascii="Cambria" w:eastAsiaTheme="minorEastAsia" w:hAnsi="Cambria"/>
          <w:noProof/>
          <w:sz w:val="24"/>
          <w:szCs w:val="24"/>
        </w:rPr>
      </w:pPr>
      <w:hyperlink w:anchor="_Toc524966216" w:history="1">
        <w:r w:rsidR="008F249F" w:rsidRPr="00EA1BB2">
          <w:rPr>
            <w:rStyle w:val="Hyperlink"/>
            <w:rFonts w:ascii="Cambria" w:hAnsi="Cambria"/>
            <w:noProof/>
            <w:sz w:val="24"/>
            <w:szCs w:val="24"/>
          </w:rPr>
          <w:t>Figura nr. 3</w:t>
        </w:r>
        <w:r w:rsidR="008F249F" w:rsidRPr="00EA1BB2">
          <w:rPr>
            <w:rStyle w:val="Hyperlink"/>
            <w:rFonts w:ascii="Cambria" w:hAnsi="Cambria"/>
            <w:noProof/>
            <w:sz w:val="24"/>
            <w:szCs w:val="24"/>
          </w:rPr>
          <w:noBreakHyphen/>
          <w:t>5 – Număr anual de depășiri ale valorii-limită zilnice de 50 µg/m</w:t>
        </w:r>
        <w:r w:rsidR="008F249F" w:rsidRPr="00EA1BB2">
          <w:rPr>
            <w:rStyle w:val="Hyperlink"/>
            <w:rFonts w:ascii="Cambria" w:hAnsi="Cambria"/>
            <w:noProof/>
            <w:sz w:val="24"/>
            <w:szCs w:val="24"/>
            <w:vertAlign w:val="superscript"/>
          </w:rPr>
          <w:t>3</w:t>
        </w:r>
        <w:r w:rsidR="008F249F" w:rsidRPr="00EA1BB2">
          <w:rPr>
            <w:rStyle w:val="Hyperlink"/>
            <w:rFonts w:ascii="Cambria" w:hAnsi="Cambria"/>
            <w:noProof/>
            <w:sz w:val="24"/>
            <w:szCs w:val="24"/>
          </w:rPr>
          <w:t xml:space="preserve"> pentru PM</w:t>
        </w:r>
        <w:r w:rsidR="008F249F" w:rsidRPr="00EA1BB2">
          <w:rPr>
            <w:rStyle w:val="Hyperlink"/>
            <w:rFonts w:ascii="Cambria" w:hAnsi="Cambria"/>
            <w:noProof/>
            <w:sz w:val="24"/>
            <w:szCs w:val="24"/>
            <w:vertAlign w:val="subscript"/>
          </w:rPr>
          <w:t>10</w:t>
        </w:r>
        <w:r w:rsidR="008F249F" w:rsidRPr="00EA1BB2">
          <w:rPr>
            <w:rFonts w:ascii="Cambria" w:hAnsi="Cambria"/>
            <w:noProof/>
            <w:webHidden/>
            <w:sz w:val="24"/>
            <w:szCs w:val="24"/>
          </w:rPr>
          <w:tab/>
        </w:r>
        <w:r w:rsidR="00280BC9"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_Toc524966216 \h </w:instrText>
        </w:r>
        <w:r w:rsidR="00280BC9" w:rsidRPr="00EA1BB2">
          <w:rPr>
            <w:rFonts w:ascii="Cambria" w:hAnsi="Cambria"/>
            <w:noProof/>
            <w:webHidden/>
            <w:sz w:val="24"/>
            <w:szCs w:val="24"/>
          </w:rPr>
        </w:r>
        <w:r w:rsidR="00280BC9" w:rsidRPr="00EA1BB2">
          <w:rPr>
            <w:rFonts w:ascii="Cambria" w:hAnsi="Cambria"/>
            <w:noProof/>
            <w:webHidden/>
            <w:sz w:val="24"/>
            <w:szCs w:val="24"/>
          </w:rPr>
          <w:fldChar w:fldCharType="separate"/>
        </w:r>
        <w:r w:rsidR="00567555">
          <w:rPr>
            <w:rFonts w:ascii="Cambria" w:hAnsi="Cambria"/>
            <w:noProof/>
            <w:webHidden/>
            <w:sz w:val="24"/>
            <w:szCs w:val="24"/>
          </w:rPr>
          <w:t>75</w:t>
        </w:r>
        <w:r w:rsidR="00280BC9" w:rsidRPr="00EA1BB2">
          <w:rPr>
            <w:rFonts w:ascii="Cambria" w:hAnsi="Cambria"/>
            <w:noProof/>
            <w:webHidden/>
            <w:sz w:val="24"/>
            <w:szCs w:val="24"/>
          </w:rPr>
          <w:fldChar w:fldCharType="end"/>
        </w:r>
      </w:hyperlink>
    </w:p>
    <w:p w14:paraId="5EB6AE31" w14:textId="51653BD8" w:rsidR="008F249F" w:rsidRPr="00EA1BB2" w:rsidRDefault="009A1372" w:rsidP="00F16456">
      <w:pPr>
        <w:pStyle w:val="TableofFigures"/>
        <w:tabs>
          <w:tab w:val="right" w:leader="dot" w:pos="9060"/>
        </w:tabs>
        <w:spacing w:line="276" w:lineRule="auto"/>
        <w:jc w:val="both"/>
        <w:rPr>
          <w:rFonts w:ascii="Cambria" w:eastAsiaTheme="minorEastAsia" w:hAnsi="Cambria"/>
          <w:noProof/>
          <w:sz w:val="24"/>
          <w:szCs w:val="24"/>
        </w:rPr>
      </w:pPr>
      <w:hyperlink w:anchor="_Toc524966217" w:history="1">
        <w:r w:rsidR="008F249F" w:rsidRPr="00EA1BB2">
          <w:rPr>
            <w:rStyle w:val="Hyperlink"/>
            <w:rFonts w:ascii="Cambria" w:hAnsi="Cambria"/>
            <w:noProof/>
            <w:sz w:val="24"/>
            <w:szCs w:val="24"/>
          </w:rPr>
          <w:t>Figura nr. 3</w:t>
        </w:r>
        <w:r w:rsidR="008F249F" w:rsidRPr="00EA1BB2">
          <w:rPr>
            <w:rStyle w:val="Hyperlink"/>
            <w:rFonts w:ascii="Cambria" w:hAnsi="Cambria"/>
            <w:noProof/>
            <w:sz w:val="24"/>
            <w:szCs w:val="24"/>
          </w:rPr>
          <w:noBreakHyphen/>
          <w:t>6 – Contribuția emisiilor din județul Brăila, în anul de referință 2013</w:t>
        </w:r>
        <w:r w:rsidR="008F249F" w:rsidRPr="00EA1BB2">
          <w:rPr>
            <w:rFonts w:ascii="Cambria" w:hAnsi="Cambria"/>
            <w:noProof/>
            <w:webHidden/>
            <w:sz w:val="24"/>
            <w:szCs w:val="24"/>
          </w:rPr>
          <w:tab/>
        </w:r>
        <w:r w:rsidR="00280BC9"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_Toc524966217 \h </w:instrText>
        </w:r>
        <w:r w:rsidR="00280BC9" w:rsidRPr="00EA1BB2">
          <w:rPr>
            <w:rFonts w:ascii="Cambria" w:hAnsi="Cambria"/>
            <w:noProof/>
            <w:webHidden/>
            <w:sz w:val="24"/>
            <w:szCs w:val="24"/>
          </w:rPr>
        </w:r>
        <w:r w:rsidR="00280BC9" w:rsidRPr="00EA1BB2">
          <w:rPr>
            <w:rFonts w:ascii="Cambria" w:hAnsi="Cambria"/>
            <w:noProof/>
            <w:webHidden/>
            <w:sz w:val="24"/>
            <w:szCs w:val="24"/>
          </w:rPr>
          <w:fldChar w:fldCharType="separate"/>
        </w:r>
        <w:r w:rsidR="00567555">
          <w:rPr>
            <w:rFonts w:ascii="Cambria" w:hAnsi="Cambria"/>
            <w:noProof/>
            <w:webHidden/>
            <w:sz w:val="24"/>
            <w:szCs w:val="24"/>
          </w:rPr>
          <w:t>81</w:t>
        </w:r>
        <w:r w:rsidR="00280BC9" w:rsidRPr="00EA1BB2">
          <w:rPr>
            <w:rFonts w:ascii="Cambria" w:hAnsi="Cambria"/>
            <w:noProof/>
            <w:webHidden/>
            <w:sz w:val="24"/>
            <w:szCs w:val="24"/>
          </w:rPr>
          <w:fldChar w:fldCharType="end"/>
        </w:r>
      </w:hyperlink>
    </w:p>
    <w:p w14:paraId="21456F96" w14:textId="5E0DCEC5" w:rsidR="008F249F" w:rsidRPr="00EA1BB2" w:rsidRDefault="009A1372" w:rsidP="00F16456">
      <w:pPr>
        <w:pStyle w:val="TableofFigures"/>
        <w:tabs>
          <w:tab w:val="right" w:leader="dot" w:pos="9060"/>
        </w:tabs>
        <w:spacing w:line="276" w:lineRule="auto"/>
        <w:jc w:val="both"/>
        <w:rPr>
          <w:rFonts w:ascii="Cambria" w:eastAsiaTheme="minorEastAsia" w:hAnsi="Cambria"/>
          <w:noProof/>
          <w:sz w:val="24"/>
          <w:szCs w:val="24"/>
        </w:rPr>
      </w:pPr>
      <w:hyperlink w:anchor="_Toc524966218" w:history="1">
        <w:r w:rsidR="008F249F" w:rsidRPr="00EA1BB2">
          <w:rPr>
            <w:rStyle w:val="Hyperlink"/>
            <w:rFonts w:ascii="Cambria" w:hAnsi="Cambria"/>
            <w:iCs/>
            <w:noProof/>
            <w:sz w:val="24"/>
            <w:szCs w:val="24"/>
          </w:rPr>
          <w:t>Figura nr. 3</w:t>
        </w:r>
        <w:r w:rsidR="008F249F" w:rsidRPr="00EA1BB2">
          <w:rPr>
            <w:rStyle w:val="Hyperlink"/>
            <w:rFonts w:ascii="Cambria" w:hAnsi="Cambria"/>
            <w:iCs/>
            <w:noProof/>
            <w:sz w:val="24"/>
            <w:szCs w:val="24"/>
          </w:rPr>
          <w:noBreakHyphen/>
          <w:t>7 - Mortalitatea generală, la nivelul  județului Brăila, cea datorată afecțiunilor respiratorii și cea prin afecțiuni cardiovasculare în  perioada 2010 -2014</w:t>
        </w:r>
        <w:r w:rsidR="008F249F" w:rsidRPr="00EA1BB2">
          <w:rPr>
            <w:rFonts w:ascii="Cambria" w:hAnsi="Cambria"/>
            <w:noProof/>
            <w:webHidden/>
            <w:sz w:val="24"/>
            <w:szCs w:val="24"/>
          </w:rPr>
          <w:tab/>
        </w:r>
        <w:r w:rsidR="00280BC9"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_Toc524966218 \h </w:instrText>
        </w:r>
        <w:r w:rsidR="00280BC9" w:rsidRPr="00EA1BB2">
          <w:rPr>
            <w:rFonts w:ascii="Cambria" w:hAnsi="Cambria"/>
            <w:noProof/>
            <w:webHidden/>
            <w:sz w:val="24"/>
            <w:szCs w:val="24"/>
          </w:rPr>
        </w:r>
        <w:r w:rsidR="00280BC9" w:rsidRPr="00EA1BB2">
          <w:rPr>
            <w:rFonts w:ascii="Cambria" w:hAnsi="Cambria"/>
            <w:noProof/>
            <w:webHidden/>
            <w:sz w:val="24"/>
            <w:szCs w:val="24"/>
          </w:rPr>
          <w:fldChar w:fldCharType="separate"/>
        </w:r>
        <w:r w:rsidR="00567555">
          <w:rPr>
            <w:rFonts w:ascii="Cambria" w:hAnsi="Cambria"/>
            <w:noProof/>
            <w:webHidden/>
            <w:sz w:val="24"/>
            <w:szCs w:val="24"/>
          </w:rPr>
          <w:t>101</w:t>
        </w:r>
        <w:r w:rsidR="00280BC9" w:rsidRPr="00EA1BB2">
          <w:rPr>
            <w:rFonts w:ascii="Cambria" w:hAnsi="Cambria"/>
            <w:noProof/>
            <w:webHidden/>
            <w:sz w:val="24"/>
            <w:szCs w:val="24"/>
          </w:rPr>
          <w:fldChar w:fldCharType="end"/>
        </w:r>
      </w:hyperlink>
    </w:p>
    <w:p w14:paraId="7FD6828A" w14:textId="02E8E188" w:rsidR="008F249F" w:rsidRPr="00EA1BB2" w:rsidRDefault="009A1372" w:rsidP="00F16456">
      <w:pPr>
        <w:pStyle w:val="TableofFigures"/>
        <w:tabs>
          <w:tab w:val="right" w:leader="dot" w:pos="9060"/>
        </w:tabs>
        <w:spacing w:line="276" w:lineRule="auto"/>
        <w:jc w:val="both"/>
        <w:rPr>
          <w:rFonts w:ascii="Cambria" w:eastAsiaTheme="minorEastAsia" w:hAnsi="Cambria"/>
          <w:noProof/>
          <w:sz w:val="24"/>
          <w:szCs w:val="24"/>
        </w:rPr>
      </w:pPr>
      <w:hyperlink w:anchor="_Toc524966219" w:history="1">
        <w:r w:rsidR="008F249F" w:rsidRPr="00EA1BB2">
          <w:rPr>
            <w:rStyle w:val="Hyperlink"/>
            <w:rFonts w:ascii="Cambria" w:hAnsi="Cambria"/>
            <w:iCs/>
            <w:noProof/>
            <w:sz w:val="24"/>
            <w:szCs w:val="24"/>
          </w:rPr>
          <w:t>Figura nr. 3</w:t>
        </w:r>
        <w:r w:rsidR="008F249F" w:rsidRPr="00EA1BB2">
          <w:rPr>
            <w:rStyle w:val="Hyperlink"/>
            <w:rFonts w:ascii="Cambria" w:hAnsi="Cambria"/>
            <w:iCs/>
            <w:noProof/>
            <w:sz w:val="24"/>
            <w:szCs w:val="24"/>
          </w:rPr>
          <w:noBreakHyphen/>
          <w:t>8 - Mortalitate infantilă și prin afecțiuni respiratorii în mediul urban în perioada 2010 - 2014</w:t>
        </w:r>
        <w:r w:rsidR="008F249F" w:rsidRPr="00EA1BB2">
          <w:rPr>
            <w:rFonts w:ascii="Cambria" w:hAnsi="Cambria"/>
            <w:noProof/>
            <w:webHidden/>
            <w:sz w:val="24"/>
            <w:szCs w:val="24"/>
          </w:rPr>
          <w:tab/>
        </w:r>
        <w:r w:rsidR="00280BC9"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_Toc524966219 \h </w:instrText>
        </w:r>
        <w:r w:rsidR="00280BC9" w:rsidRPr="00EA1BB2">
          <w:rPr>
            <w:rFonts w:ascii="Cambria" w:hAnsi="Cambria"/>
            <w:noProof/>
            <w:webHidden/>
            <w:sz w:val="24"/>
            <w:szCs w:val="24"/>
          </w:rPr>
        </w:r>
        <w:r w:rsidR="00280BC9" w:rsidRPr="00EA1BB2">
          <w:rPr>
            <w:rFonts w:ascii="Cambria" w:hAnsi="Cambria"/>
            <w:noProof/>
            <w:webHidden/>
            <w:sz w:val="24"/>
            <w:szCs w:val="24"/>
          </w:rPr>
          <w:fldChar w:fldCharType="separate"/>
        </w:r>
        <w:r w:rsidR="00567555">
          <w:rPr>
            <w:rFonts w:ascii="Cambria" w:hAnsi="Cambria"/>
            <w:noProof/>
            <w:webHidden/>
            <w:sz w:val="24"/>
            <w:szCs w:val="24"/>
          </w:rPr>
          <w:t>102</w:t>
        </w:r>
        <w:r w:rsidR="00280BC9" w:rsidRPr="00EA1BB2">
          <w:rPr>
            <w:rFonts w:ascii="Cambria" w:hAnsi="Cambria"/>
            <w:noProof/>
            <w:webHidden/>
            <w:sz w:val="24"/>
            <w:szCs w:val="24"/>
          </w:rPr>
          <w:fldChar w:fldCharType="end"/>
        </w:r>
      </w:hyperlink>
    </w:p>
    <w:p w14:paraId="635AD90C" w14:textId="7323D3AA" w:rsidR="008F249F" w:rsidRPr="00EA1BB2" w:rsidRDefault="009A1372" w:rsidP="00F16456">
      <w:pPr>
        <w:pStyle w:val="TableofFigures"/>
        <w:tabs>
          <w:tab w:val="right" w:leader="dot" w:pos="9060"/>
        </w:tabs>
        <w:spacing w:line="276" w:lineRule="auto"/>
        <w:jc w:val="both"/>
        <w:rPr>
          <w:rFonts w:ascii="Cambria" w:eastAsiaTheme="minorEastAsia" w:hAnsi="Cambria"/>
          <w:noProof/>
          <w:sz w:val="24"/>
          <w:szCs w:val="24"/>
        </w:rPr>
      </w:pPr>
      <w:hyperlink w:anchor="_Toc524966220" w:history="1">
        <w:r w:rsidR="008F249F" w:rsidRPr="00EA1BB2">
          <w:rPr>
            <w:rStyle w:val="Hyperlink"/>
            <w:rFonts w:ascii="Cambria" w:hAnsi="Cambria"/>
            <w:noProof/>
            <w:sz w:val="24"/>
            <w:szCs w:val="24"/>
          </w:rPr>
          <w:t>Figura nr. 3</w:t>
        </w:r>
        <w:r w:rsidR="008F249F" w:rsidRPr="00EA1BB2">
          <w:rPr>
            <w:rStyle w:val="Hyperlink"/>
            <w:rFonts w:ascii="Cambria" w:hAnsi="Cambria"/>
            <w:noProof/>
            <w:sz w:val="24"/>
            <w:szCs w:val="24"/>
          </w:rPr>
          <w:noBreakHyphen/>
          <w:t>9 – Contribuția diferitelor categorii de autovehicule la emisiile de poluanți în atmosferă în anul de referință 2013</w:t>
        </w:r>
        <w:r w:rsidR="008F249F" w:rsidRPr="00EA1BB2">
          <w:rPr>
            <w:rFonts w:ascii="Cambria" w:hAnsi="Cambria"/>
            <w:noProof/>
            <w:webHidden/>
            <w:sz w:val="24"/>
            <w:szCs w:val="24"/>
          </w:rPr>
          <w:tab/>
        </w:r>
        <w:r w:rsidR="00280BC9"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_Toc524966220 \h </w:instrText>
        </w:r>
        <w:r w:rsidR="00280BC9" w:rsidRPr="00EA1BB2">
          <w:rPr>
            <w:rFonts w:ascii="Cambria" w:hAnsi="Cambria"/>
            <w:noProof/>
            <w:webHidden/>
            <w:sz w:val="24"/>
            <w:szCs w:val="24"/>
          </w:rPr>
        </w:r>
        <w:r w:rsidR="00280BC9" w:rsidRPr="00EA1BB2">
          <w:rPr>
            <w:rFonts w:ascii="Cambria" w:hAnsi="Cambria"/>
            <w:noProof/>
            <w:webHidden/>
            <w:sz w:val="24"/>
            <w:szCs w:val="24"/>
          </w:rPr>
          <w:fldChar w:fldCharType="separate"/>
        </w:r>
        <w:r w:rsidR="00567555">
          <w:rPr>
            <w:rFonts w:ascii="Cambria" w:hAnsi="Cambria"/>
            <w:noProof/>
            <w:webHidden/>
            <w:sz w:val="24"/>
            <w:szCs w:val="24"/>
          </w:rPr>
          <w:t>105</w:t>
        </w:r>
        <w:r w:rsidR="00280BC9" w:rsidRPr="00EA1BB2">
          <w:rPr>
            <w:rFonts w:ascii="Cambria" w:hAnsi="Cambria"/>
            <w:noProof/>
            <w:webHidden/>
            <w:sz w:val="24"/>
            <w:szCs w:val="24"/>
          </w:rPr>
          <w:fldChar w:fldCharType="end"/>
        </w:r>
      </w:hyperlink>
    </w:p>
    <w:p w14:paraId="2F45975F" w14:textId="72BEE97E" w:rsidR="008F249F" w:rsidRPr="00EA1BB2" w:rsidRDefault="009A1372" w:rsidP="00F16456">
      <w:pPr>
        <w:pStyle w:val="TableofFigures"/>
        <w:tabs>
          <w:tab w:val="right" w:leader="dot" w:pos="9060"/>
        </w:tabs>
        <w:spacing w:line="276" w:lineRule="auto"/>
        <w:jc w:val="both"/>
        <w:rPr>
          <w:rFonts w:ascii="Cambria" w:eastAsiaTheme="minorEastAsia" w:hAnsi="Cambria"/>
          <w:noProof/>
          <w:sz w:val="24"/>
          <w:szCs w:val="24"/>
        </w:rPr>
      </w:pPr>
      <w:hyperlink w:anchor="_Toc524966221" w:history="1">
        <w:r w:rsidR="008F249F" w:rsidRPr="00EA1BB2">
          <w:rPr>
            <w:rStyle w:val="Hyperlink"/>
            <w:rFonts w:ascii="Cambria" w:hAnsi="Cambria"/>
            <w:noProof/>
            <w:sz w:val="24"/>
            <w:szCs w:val="24"/>
          </w:rPr>
          <w:t>Figura nr. 3</w:t>
        </w:r>
        <w:r w:rsidR="008F249F" w:rsidRPr="00EA1BB2">
          <w:rPr>
            <w:rStyle w:val="Hyperlink"/>
            <w:rFonts w:ascii="Cambria" w:hAnsi="Cambria"/>
            <w:noProof/>
            <w:sz w:val="24"/>
            <w:szCs w:val="24"/>
          </w:rPr>
          <w:noBreakHyphen/>
          <w:t>10 – Surse staționare de emisii (coșuri) în județul Brăila</w:t>
        </w:r>
        <w:r w:rsidR="008F249F" w:rsidRPr="00EA1BB2">
          <w:rPr>
            <w:rFonts w:ascii="Cambria" w:hAnsi="Cambria"/>
            <w:noProof/>
            <w:webHidden/>
            <w:sz w:val="24"/>
            <w:szCs w:val="24"/>
          </w:rPr>
          <w:tab/>
        </w:r>
        <w:r w:rsidR="00280BC9"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_Toc524966221 \h </w:instrText>
        </w:r>
        <w:r w:rsidR="00280BC9" w:rsidRPr="00EA1BB2">
          <w:rPr>
            <w:rFonts w:ascii="Cambria" w:hAnsi="Cambria"/>
            <w:noProof/>
            <w:webHidden/>
            <w:sz w:val="24"/>
            <w:szCs w:val="24"/>
          </w:rPr>
        </w:r>
        <w:r w:rsidR="00280BC9" w:rsidRPr="00EA1BB2">
          <w:rPr>
            <w:rFonts w:ascii="Cambria" w:hAnsi="Cambria"/>
            <w:noProof/>
            <w:webHidden/>
            <w:sz w:val="24"/>
            <w:szCs w:val="24"/>
          </w:rPr>
          <w:fldChar w:fldCharType="separate"/>
        </w:r>
        <w:r w:rsidR="00567555">
          <w:rPr>
            <w:rFonts w:ascii="Cambria" w:hAnsi="Cambria"/>
            <w:noProof/>
            <w:webHidden/>
            <w:sz w:val="24"/>
            <w:szCs w:val="24"/>
          </w:rPr>
          <w:t>107</w:t>
        </w:r>
        <w:r w:rsidR="00280BC9" w:rsidRPr="00EA1BB2">
          <w:rPr>
            <w:rFonts w:ascii="Cambria" w:hAnsi="Cambria"/>
            <w:noProof/>
            <w:webHidden/>
            <w:sz w:val="24"/>
            <w:szCs w:val="24"/>
          </w:rPr>
          <w:fldChar w:fldCharType="end"/>
        </w:r>
      </w:hyperlink>
    </w:p>
    <w:p w14:paraId="1BCCF493" w14:textId="12929116" w:rsidR="008F249F" w:rsidRPr="00EA1BB2" w:rsidRDefault="009A1372" w:rsidP="00F16456">
      <w:pPr>
        <w:pStyle w:val="TableofFigures"/>
        <w:tabs>
          <w:tab w:val="right" w:leader="dot" w:pos="9060"/>
        </w:tabs>
        <w:spacing w:line="276" w:lineRule="auto"/>
        <w:jc w:val="both"/>
        <w:rPr>
          <w:rFonts w:ascii="Cambria" w:eastAsiaTheme="minorEastAsia" w:hAnsi="Cambria"/>
          <w:noProof/>
          <w:sz w:val="24"/>
          <w:szCs w:val="24"/>
        </w:rPr>
      </w:pPr>
      <w:hyperlink w:anchor="_Toc524966222" w:history="1">
        <w:r w:rsidR="008F249F" w:rsidRPr="00EA1BB2">
          <w:rPr>
            <w:rStyle w:val="Hyperlink"/>
            <w:rFonts w:ascii="Cambria" w:hAnsi="Cambria"/>
            <w:noProof/>
            <w:sz w:val="24"/>
            <w:szCs w:val="24"/>
          </w:rPr>
          <w:t>Figura nr. 3</w:t>
        </w:r>
        <w:r w:rsidR="008F249F" w:rsidRPr="00EA1BB2">
          <w:rPr>
            <w:rStyle w:val="Hyperlink"/>
            <w:rFonts w:ascii="Cambria" w:hAnsi="Cambria"/>
            <w:noProof/>
            <w:sz w:val="24"/>
            <w:szCs w:val="24"/>
          </w:rPr>
          <w:noBreakHyphen/>
          <w:t>11 - Contribuția sectoarelor de activitate (surse staționare) la emisiile totale de poluanți din județul Brăila, în anul de referință 2013 (%)</w:t>
        </w:r>
        <w:r w:rsidR="008F249F" w:rsidRPr="00EA1BB2">
          <w:rPr>
            <w:rFonts w:ascii="Cambria" w:hAnsi="Cambria"/>
            <w:noProof/>
            <w:webHidden/>
            <w:sz w:val="24"/>
            <w:szCs w:val="24"/>
          </w:rPr>
          <w:tab/>
        </w:r>
        <w:r w:rsidR="00280BC9"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_Toc524966222 \h </w:instrText>
        </w:r>
        <w:r w:rsidR="00280BC9" w:rsidRPr="00EA1BB2">
          <w:rPr>
            <w:rFonts w:ascii="Cambria" w:hAnsi="Cambria"/>
            <w:noProof/>
            <w:webHidden/>
            <w:sz w:val="24"/>
            <w:szCs w:val="24"/>
          </w:rPr>
        </w:r>
        <w:r w:rsidR="00280BC9" w:rsidRPr="00EA1BB2">
          <w:rPr>
            <w:rFonts w:ascii="Cambria" w:hAnsi="Cambria"/>
            <w:noProof/>
            <w:webHidden/>
            <w:sz w:val="24"/>
            <w:szCs w:val="24"/>
          </w:rPr>
          <w:fldChar w:fldCharType="separate"/>
        </w:r>
        <w:r w:rsidR="00567555">
          <w:rPr>
            <w:rFonts w:ascii="Cambria" w:hAnsi="Cambria"/>
            <w:noProof/>
            <w:webHidden/>
            <w:sz w:val="24"/>
            <w:szCs w:val="24"/>
          </w:rPr>
          <w:t>109</w:t>
        </w:r>
        <w:r w:rsidR="00280BC9" w:rsidRPr="00EA1BB2">
          <w:rPr>
            <w:rFonts w:ascii="Cambria" w:hAnsi="Cambria"/>
            <w:noProof/>
            <w:webHidden/>
            <w:sz w:val="24"/>
            <w:szCs w:val="24"/>
          </w:rPr>
          <w:fldChar w:fldCharType="end"/>
        </w:r>
      </w:hyperlink>
    </w:p>
    <w:p w14:paraId="20CF75CF" w14:textId="475F7AFC" w:rsidR="008F249F" w:rsidRPr="00EA1BB2" w:rsidRDefault="009A1372" w:rsidP="00F16456">
      <w:pPr>
        <w:pStyle w:val="TableofFigures"/>
        <w:tabs>
          <w:tab w:val="right" w:leader="dot" w:pos="9060"/>
        </w:tabs>
        <w:spacing w:line="276" w:lineRule="auto"/>
        <w:jc w:val="both"/>
        <w:rPr>
          <w:rFonts w:ascii="Cambria" w:eastAsiaTheme="minorEastAsia" w:hAnsi="Cambria"/>
          <w:noProof/>
          <w:sz w:val="24"/>
          <w:szCs w:val="24"/>
        </w:rPr>
      </w:pPr>
      <w:hyperlink w:anchor="_Toc524966223" w:history="1">
        <w:r w:rsidR="008F249F" w:rsidRPr="00EA1BB2">
          <w:rPr>
            <w:rStyle w:val="Hyperlink"/>
            <w:rFonts w:ascii="Cambria" w:hAnsi="Cambria"/>
            <w:noProof/>
            <w:sz w:val="24"/>
            <w:szCs w:val="24"/>
          </w:rPr>
          <w:t>Figura nr. 3</w:t>
        </w:r>
        <w:r w:rsidR="008F249F" w:rsidRPr="00EA1BB2">
          <w:rPr>
            <w:rStyle w:val="Hyperlink"/>
            <w:rFonts w:ascii="Cambria" w:hAnsi="Cambria"/>
            <w:noProof/>
            <w:sz w:val="24"/>
            <w:szCs w:val="24"/>
          </w:rPr>
          <w:noBreakHyphen/>
          <w:t>12 - Contribuția sectoarelor de activitate (surse de suprafață) la emisiilor totale de poluanți din județul Brăila, în anul de referință 2013 (%)</w:t>
        </w:r>
        <w:r w:rsidR="008F249F" w:rsidRPr="00EA1BB2">
          <w:rPr>
            <w:rFonts w:ascii="Cambria" w:hAnsi="Cambria"/>
            <w:noProof/>
            <w:webHidden/>
            <w:sz w:val="24"/>
            <w:szCs w:val="24"/>
          </w:rPr>
          <w:tab/>
        </w:r>
        <w:r w:rsidR="00280BC9"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_Toc524966223 \h </w:instrText>
        </w:r>
        <w:r w:rsidR="00280BC9" w:rsidRPr="00EA1BB2">
          <w:rPr>
            <w:rFonts w:ascii="Cambria" w:hAnsi="Cambria"/>
            <w:noProof/>
            <w:webHidden/>
            <w:sz w:val="24"/>
            <w:szCs w:val="24"/>
          </w:rPr>
        </w:r>
        <w:r w:rsidR="00280BC9" w:rsidRPr="00EA1BB2">
          <w:rPr>
            <w:rFonts w:ascii="Cambria" w:hAnsi="Cambria"/>
            <w:noProof/>
            <w:webHidden/>
            <w:sz w:val="24"/>
            <w:szCs w:val="24"/>
          </w:rPr>
          <w:fldChar w:fldCharType="separate"/>
        </w:r>
        <w:r w:rsidR="00567555">
          <w:rPr>
            <w:rFonts w:ascii="Cambria" w:hAnsi="Cambria"/>
            <w:noProof/>
            <w:webHidden/>
            <w:sz w:val="24"/>
            <w:szCs w:val="24"/>
          </w:rPr>
          <w:t>112</w:t>
        </w:r>
        <w:r w:rsidR="00280BC9" w:rsidRPr="00EA1BB2">
          <w:rPr>
            <w:rFonts w:ascii="Cambria" w:hAnsi="Cambria"/>
            <w:noProof/>
            <w:webHidden/>
            <w:sz w:val="24"/>
            <w:szCs w:val="24"/>
          </w:rPr>
          <w:fldChar w:fldCharType="end"/>
        </w:r>
      </w:hyperlink>
    </w:p>
    <w:p w14:paraId="51E747D6" w14:textId="0B236E2B" w:rsidR="008F249F" w:rsidRPr="00EA1BB2" w:rsidRDefault="009A1372" w:rsidP="00F16456">
      <w:pPr>
        <w:pStyle w:val="TableofFigures"/>
        <w:tabs>
          <w:tab w:val="right" w:leader="dot" w:pos="9060"/>
        </w:tabs>
        <w:spacing w:line="276" w:lineRule="auto"/>
        <w:jc w:val="both"/>
        <w:rPr>
          <w:rFonts w:ascii="Cambria" w:eastAsiaTheme="minorEastAsia" w:hAnsi="Cambria"/>
          <w:noProof/>
          <w:sz w:val="24"/>
          <w:szCs w:val="24"/>
        </w:rPr>
      </w:pPr>
      <w:hyperlink w:anchor="_Toc524966224" w:history="1">
        <w:r w:rsidR="008F249F" w:rsidRPr="00EA1BB2">
          <w:rPr>
            <w:rStyle w:val="Hyperlink"/>
            <w:rFonts w:ascii="Cambria" w:hAnsi="Cambria"/>
            <w:noProof/>
            <w:sz w:val="24"/>
            <w:szCs w:val="24"/>
          </w:rPr>
          <w:t>Figura nr. 3</w:t>
        </w:r>
        <w:r w:rsidR="008F249F" w:rsidRPr="00EA1BB2">
          <w:rPr>
            <w:rStyle w:val="Hyperlink"/>
            <w:rFonts w:ascii="Cambria" w:hAnsi="Cambria"/>
            <w:noProof/>
            <w:sz w:val="24"/>
            <w:szCs w:val="24"/>
          </w:rPr>
          <w:noBreakHyphen/>
          <w:t xml:space="preserve">13 - Surse </w:t>
        </w:r>
        <w:r w:rsidR="008F249F" w:rsidRPr="00EA1BB2">
          <w:rPr>
            <w:rStyle w:val="Hyperlink"/>
            <w:rFonts w:ascii="Cambria" w:hAnsi="Cambria"/>
            <w:iCs/>
            <w:noProof/>
            <w:sz w:val="24"/>
            <w:szCs w:val="24"/>
          </w:rPr>
          <w:t>emisii de suprafață (nedirijate) în județul Brăila</w:t>
        </w:r>
        <w:r w:rsidR="008F249F" w:rsidRPr="00EA1BB2">
          <w:rPr>
            <w:rFonts w:ascii="Cambria" w:hAnsi="Cambria"/>
            <w:noProof/>
            <w:webHidden/>
            <w:sz w:val="24"/>
            <w:szCs w:val="24"/>
          </w:rPr>
          <w:tab/>
        </w:r>
        <w:r w:rsidR="00280BC9"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_Toc524966224 \h </w:instrText>
        </w:r>
        <w:r w:rsidR="00280BC9" w:rsidRPr="00EA1BB2">
          <w:rPr>
            <w:rFonts w:ascii="Cambria" w:hAnsi="Cambria"/>
            <w:noProof/>
            <w:webHidden/>
            <w:sz w:val="24"/>
            <w:szCs w:val="24"/>
          </w:rPr>
        </w:r>
        <w:r w:rsidR="00280BC9" w:rsidRPr="00EA1BB2">
          <w:rPr>
            <w:rFonts w:ascii="Cambria" w:hAnsi="Cambria"/>
            <w:noProof/>
            <w:webHidden/>
            <w:sz w:val="24"/>
            <w:szCs w:val="24"/>
          </w:rPr>
          <w:fldChar w:fldCharType="separate"/>
        </w:r>
        <w:r w:rsidR="00567555">
          <w:rPr>
            <w:rFonts w:ascii="Cambria" w:hAnsi="Cambria"/>
            <w:noProof/>
            <w:webHidden/>
            <w:sz w:val="24"/>
            <w:szCs w:val="24"/>
          </w:rPr>
          <w:t>113</w:t>
        </w:r>
        <w:r w:rsidR="00280BC9" w:rsidRPr="00EA1BB2">
          <w:rPr>
            <w:rFonts w:ascii="Cambria" w:hAnsi="Cambria"/>
            <w:noProof/>
            <w:webHidden/>
            <w:sz w:val="24"/>
            <w:szCs w:val="24"/>
          </w:rPr>
          <w:fldChar w:fldCharType="end"/>
        </w:r>
      </w:hyperlink>
    </w:p>
    <w:p w14:paraId="30BBBB14" w14:textId="42BDF1EB" w:rsidR="008F249F" w:rsidRPr="00EA1BB2" w:rsidRDefault="009A1372" w:rsidP="00F16456">
      <w:pPr>
        <w:pStyle w:val="TableofFigures"/>
        <w:tabs>
          <w:tab w:val="right" w:leader="dot" w:pos="9060"/>
        </w:tabs>
        <w:spacing w:line="276" w:lineRule="auto"/>
        <w:jc w:val="both"/>
        <w:rPr>
          <w:rFonts w:ascii="Cambria" w:eastAsiaTheme="minorEastAsia" w:hAnsi="Cambria"/>
          <w:noProof/>
          <w:sz w:val="24"/>
          <w:szCs w:val="24"/>
        </w:rPr>
      </w:pPr>
      <w:hyperlink w:anchor="_Toc524966225" w:history="1">
        <w:r w:rsidR="008F249F" w:rsidRPr="00EA1BB2">
          <w:rPr>
            <w:rStyle w:val="Hyperlink"/>
            <w:rFonts w:ascii="Cambria" w:hAnsi="Cambria"/>
            <w:noProof/>
            <w:sz w:val="24"/>
            <w:szCs w:val="24"/>
          </w:rPr>
          <w:t>Figura nr. 3</w:t>
        </w:r>
        <w:r w:rsidR="008F249F" w:rsidRPr="00EA1BB2">
          <w:rPr>
            <w:rStyle w:val="Hyperlink"/>
            <w:rFonts w:ascii="Cambria" w:hAnsi="Cambria"/>
            <w:noProof/>
            <w:sz w:val="24"/>
            <w:szCs w:val="24"/>
          </w:rPr>
          <w:noBreakHyphen/>
          <w:t>14 - Distribuția surselor de emisie ce contribuie la transportul de poluanți la nivelul județului Brăila</w:t>
        </w:r>
        <w:r w:rsidR="008F249F" w:rsidRPr="00EA1BB2">
          <w:rPr>
            <w:rFonts w:ascii="Cambria" w:hAnsi="Cambria"/>
            <w:noProof/>
            <w:webHidden/>
            <w:sz w:val="24"/>
            <w:szCs w:val="24"/>
          </w:rPr>
          <w:tab/>
        </w:r>
        <w:r w:rsidR="00280BC9"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_Toc524966225 \h </w:instrText>
        </w:r>
        <w:r w:rsidR="00280BC9" w:rsidRPr="00EA1BB2">
          <w:rPr>
            <w:rFonts w:ascii="Cambria" w:hAnsi="Cambria"/>
            <w:noProof/>
            <w:webHidden/>
            <w:sz w:val="24"/>
            <w:szCs w:val="24"/>
          </w:rPr>
        </w:r>
        <w:r w:rsidR="00280BC9" w:rsidRPr="00EA1BB2">
          <w:rPr>
            <w:rFonts w:ascii="Cambria" w:hAnsi="Cambria"/>
            <w:noProof/>
            <w:webHidden/>
            <w:sz w:val="24"/>
            <w:szCs w:val="24"/>
          </w:rPr>
          <w:fldChar w:fldCharType="separate"/>
        </w:r>
        <w:r w:rsidR="00567555">
          <w:rPr>
            <w:rFonts w:ascii="Cambria" w:hAnsi="Cambria"/>
            <w:noProof/>
            <w:webHidden/>
            <w:sz w:val="24"/>
            <w:szCs w:val="24"/>
          </w:rPr>
          <w:t>115</w:t>
        </w:r>
        <w:r w:rsidR="00280BC9" w:rsidRPr="00EA1BB2">
          <w:rPr>
            <w:rFonts w:ascii="Cambria" w:hAnsi="Cambria"/>
            <w:noProof/>
            <w:webHidden/>
            <w:sz w:val="24"/>
            <w:szCs w:val="24"/>
          </w:rPr>
          <w:fldChar w:fldCharType="end"/>
        </w:r>
      </w:hyperlink>
    </w:p>
    <w:p w14:paraId="2D04BC0B" w14:textId="0C37D0CA" w:rsidR="008F249F" w:rsidRPr="00EA1BB2" w:rsidRDefault="009A1372" w:rsidP="00F16456">
      <w:pPr>
        <w:pStyle w:val="TableofFigures"/>
        <w:tabs>
          <w:tab w:val="right" w:leader="dot" w:pos="9060"/>
        </w:tabs>
        <w:spacing w:line="276" w:lineRule="auto"/>
        <w:jc w:val="both"/>
        <w:rPr>
          <w:rFonts w:ascii="Cambria" w:eastAsiaTheme="minorEastAsia" w:hAnsi="Cambria"/>
          <w:noProof/>
          <w:sz w:val="24"/>
          <w:szCs w:val="24"/>
        </w:rPr>
      </w:pPr>
      <w:hyperlink w:anchor="_Toc524966226" w:history="1">
        <w:r w:rsidR="008F249F" w:rsidRPr="00EA1BB2">
          <w:rPr>
            <w:rStyle w:val="Hyperlink"/>
            <w:rFonts w:ascii="Cambria" w:hAnsi="Cambria"/>
            <w:noProof/>
            <w:sz w:val="24"/>
            <w:szCs w:val="24"/>
          </w:rPr>
          <w:t>Figura nr. 3</w:t>
        </w:r>
        <w:r w:rsidR="008F249F" w:rsidRPr="00EA1BB2">
          <w:rPr>
            <w:rStyle w:val="Hyperlink"/>
            <w:rFonts w:ascii="Cambria" w:hAnsi="Cambria"/>
            <w:noProof/>
            <w:sz w:val="24"/>
            <w:szCs w:val="24"/>
          </w:rPr>
          <w:noBreakHyphen/>
          <w:t>15 – Contribuția surselor de emisie industriale la transferul de poluanți în județul Brăila (ex. dispersie NO</w:t>
        </w:r>
        <w:r w:rsidR="008F249F" w:rsidRPr="00EA1BB2">
          <w:rPr>
            <w:rStyle w:val="Hyperlink"/>
            <w:rFonts w:ascii="Cambria" w:hAnsi="Cambria"/>
            <w:noProof/>
            <w:sz w:val="24"/>
            <w:szCs w:val="24"/>
            <w:vertAlign w:val="subscript"/>
          </w:rPr>
          <w:t>2</w:t>
        </w:r>
        <w:r w:rsidR="008F249F" w:rsidRPr="00EA1BB2">
          <w:rPr>
            <w:rStyle w:val="Hyperlink"/>
            <w:rFonts w:ascii="Cambria" w:hAnsi="Cambria"/>
            <w:noProof/>
            <w:sz w:val="24"/>
            <w:szCs w:val="24"/>
          </w:rPr>
          <w:t xml:space="preserve"> concentrații maxime orare)</w:t>
        </w:r>
        <w:r w:rsidR="008F249F" w:rsidRPr="00EA1BB2">
          <w:rPr>
            <w:rFonts w:ascii="Cambria" w:hAnsi="Cambria"/>
            <w:noProof/>
            <w:webHidden/>
            <w:sz w:val="24"/>
            <w:szCs w:val="24"/>
          </w:rPr>
          <w:tab/>
        </w:r>
        <w:r w:rsidR="00280BC9"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_Toc524966226 \h </w:instrText>
        </w:r>
        <w:r w:rsidR="00280BC9" w:rsidRPr="00EA1BB2">
          <w:rPr>
            <w:rFonts w:ascii="Cambria" w:hAnsi="Cambria"/>
            <w:noProof/>
            <w:webHidden/>
            <w:sz w:val="24"/>
            <w:szCs w:val="24"/>
          </w:rPr>
        </w:r>
        <w:r w:rsidR="00280BC9" w:rsidRPr="00EA1BB2">
          <w:rPr>
            <w:rFonts w:ascii="Cambria" w:hAnsi="Cambria"/>
            <w:noProof/>
            <w:webHidden/>
            <w:sz w:val="24"/>
            <w:szCs w:val="24"/>
          </w:rPr>
          <w:fldChar w:fldCharType="separate"/>
        </w:r>
        <w:r w:rsidR="00567555">
          <w:rPr>
            <w:rFonts w:ascii="Cambria" w:hAnsi="Cambria"/>
            <w:noProof/>
            <w:webHidden/>
            <w:sz w:val="24"/>
            <w:szCs w:val="24"/>
          </w:rPr>
          <w:t>117</w:t>
        </w:r>
        <w:r w:rsidR="00280BC9" w:rsidRPr="00EA1BB2">
          <w:rPr>
            <w:rFonts w:ascii="Cambria" w:hAnsi="Cambria"/>
            <w:noProof/>
            <w:webHidden/>
            <w:sz w:val="24"/>
            <w:szCs w:val="24"/>
          </w:rPr>
          <w:fldChar w:fldCharType="end"/>
        </w:r>
      </w:hyperlink>
    </w:p>
    <w:p w14:paraId="29AEBA4E" w14:textId="55E55E23" w:rsidR="008F249F" w:rsidRPr="00EA1BB2" w:rsidRDefault="009A1372" w:rsidP="00F16456">
      <w:pPr>
        <w:pStyle w:val="TableofFigures"/>
        <w:tabs>
          <w:tab w:val="right" w:leader="dot" w:pos="9060"/>
        </w:tabs>
        <w:spacing w:line="276" w:lineRule="auto"/>
        <w:jc w:val="both"/>
        <w:rPr>
          <w:rFonts w:ascii="Cambria" w:eastAsiaTheme="minorEastAsia" w:hAnsi="Cambria"/>
          <w:noProof/>
          <w:sz w:val="24"/>
          <w:szCs w:val="24"/>
        </w:rPr>
      </w:pPr>
      <w:hyperlink w:anchor="_Toc524966227" w:history="1">
        <w:r w:rsidR="008F249F" w:rsidRPr="00EA1BB2">
          <w:rPr>
            <w:rStyle w:val="Hyperlink"/>
            <w:rFonts w:ascii="Cambria" w:hAnsi="Cambria"/>
            <w:noProof/>
            <w:sz w:val="24"/>
            <w:szCs w:val="24"/>
          </w:rPr>
          <w:t>Figura nr. 3</w:t>
        </w:r>
        <w:r w:rsidR="008F249F" w:rsidRPr="00EA1BB2">
          <w:rPr>
            <w:rStyle w:val="Hyperlink"/>
            <w:rFonts w:ascii="Cambria" w:hAnsi="Cambria"/>
            <w:noProof/>
            <w:sz w:val="24"/>
            <w:szCs w:val="24"/>
          </w:rPr>
          <w:noBreakHyphen/>
          <w:t>16 - Contribuția surselor de emisie industriale la transferul de poluanți în județul Brăila (ex. dispersie NO</w:t>
        </w:r>
        <w:r w:rsidR="008F249F" w:rsidRPr="00EA1BB2">
          <w:rPr>
            <w:rStyle w:val="Hyperlink"/>
            <w:rFonts w:ascii="Cambria" w:hAnsi="Cambria"/>
            <w:noProof/>
            <w:sz w:val="24"/>
            <w:szCs w:val="24"/>
            <w:vertAlign w:val="subscript"/>
          </w:rPr>
          <w:t>2</w:t>
        </w:r>
        <w:r w:rsidR="008F249F" w:rsidRPr="00EA1BB2">
          <w:rPr>
            <w:rStyle w:val="Hyperlink"/>
            <w:rFonts w:ascii="Cambria" w:hAnsi="Cambria"/>
            <w:noProof/>
            <w:sz w:val="24"/>
            <w:szCs w:val="24"/>
          </w:rPr>
          <w:t xml:space="preserve"> concentrații medii anuale)</w:t>
        </w:r>
        <w:r w:rsidR="008F249F" w:rsidRPr="00EA1BB2">
          <w:rPr>
            <w:rFonts w:ascii="Cambria" w:hAnsi="Cambria"/>
            <w:noProof/>
            <w:webHidden/>
            <w:sz w:val="24"/>
            <w:szCs w:val="24"/>
          </w:rPr>
          <w:tab/>
        </w:r>
        <w:r w:rsidR="00280BC9"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_Toc524966227 \h </w:instrText>
        </w:r>
        <w:r w:rsidR="00280BC9" w:rsidRPr="00EA1BB2">
          <w:rPr>
            <w:rFonts w:ascii="Cambria" w:hAnsi="Cambria"/>
            <w:noProof/>
            <w:webHidden/>
            <w:sz w:val="24"/>
            <w:szCs w:val="24"/>
          </w:rPr>
        </w:r>
        <w:r w:rsidR="00280BC9" w:rsidRPr="00EA1BB2">
          <w:rPr>
            <w:rFonts w:ascii="Cambria" w:hAnsi="Cambria"/>
            <w:noProof/>
            <w:webHidden/>
            <w:sz w:val="24"/>
            <w:szCs w:val="24"/>
          </w:rPr>
          <w:fldChar w:fldCharType="separate"/>
        </w:r>
        <w:r w:rsidR="00567555">
          <w:rPr>
            <w:rFonts w:ascii="Cambria" w:hAnsi="Cambria"/>
            <w:noProof/>
            <w:webHidden/>
            <w:sz w:val="24"/>
            <w:szCs w:val="24"/>
          </w:rPr>
          <w:t>118</w:t>
        </w:r>
        <w:r w:rsidR="00280BC9" w:rsidRPr="00EA1BB2">
          <w:rPr>
            <w:rFonts w:ascii="Cambria" w:hAnsi="Cambria"/>
            <w:noProof/>
            <w:webHidden/>
            <w:sz w:val="24"/>
            <w:szCs w:val="24"/>
          </w:rPr>
          <w:fldChar w:fldCharType="end"/>
        </w:r>
      </w:hyperlink>
    </w:p>
    <w:p w14:paraId="2F2E00AD" w14:textId="0C1A643B" w:rsidR="008F249F" w:rsidRPr="00EA1BB2" w:rsidRDefault="009A1372" w:rsidP="00F16456">
      <w:pPr>
        <w:pStyle w:val="TableofFigures"/>
        <w:tabs>
          <w:tab w:val="right" w:leader="dot" w:pos="9060"/>
        </w:tabs>
        <w:spacing w:line="276" w:lineRule="auto"/>
        <w:jc w:val="both"/>
        <w:rPr>
          <w:rFonts w:ascii="Cambria" w:eastAsiaTheme="minorEastAsia" w:hAnsi="Cambria"/>
          <w:noProof/>
          <w:sz w:val="24"/>
          <w:szCs w:val="24"/>
        </w:rPr>
      </w:pPr>
      <w:hyperlink w:anchor="_Toc524966228" w:history="1">
        <w:r w:rsidR="008F249F" w:rsidRPr="00EA1BB2">
          <w:rPr>
            <w:rStyle w:val="Hyperlink"/>
            <w:rFonts w:ascii="Cambria" w:eastAsia="Calibri" w:hAnsi="Cambria" w:cs="Times New Roman"/>
            <w:iCs/>
            <w:noProof/>
            <w:sz w:val="24"/>
            <w:szCs w:val="24"/>
          </w:rPr>
          <w:t>Figura nr. 3</w:t>
        </w:r>
        <w:r w:rsidR="008F249F" w:rsidRPr="00EA1BB2">
          <w:rPr>
            <w:rStyle w:val="Hyperlink"/>
            <w:rFonts w:ascii="Cambria" w:eastAsia="Calibri" w:hAnsi="Cambria" w:cs="Times New Roman"/>
            <w:iCs/>
            <w:noProof/>
            <w:sz w:val="24"/>
            <w:szCs w:val="24"/>
          </w:rPr>
          <w:noBreakHyphen/>
          <w:t>17 - Temperaturi medii lunare maxime și minime (⁰C), în perioada 2012-2016 comparativ cu perioada 1974-1990, la stația meteorologică Brăila</w:t>
        </w:r>
        <w:r w:rsidR="008F249F" w:rsidRPr="00EA1BB2">
          <w:rPr>
            <w:rFonts w:ascii="Cambria" w:hAnsi="Cambria"/>
            <w:noProof/>
            <w:webHidden/>
            <w:sz w:val="24"/>
            <w:szCs w:val="24"/>
          </w:rPr>
          <w:tab/>
        </w:r>
        <w:r w:rsidR="00280BC9"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_Toc524966228 \h </w:instrText>
        </w:r>
        <w:r w:rsidR="00280BC9" w:rsidRPr="00EA1BB2">
          <w:rPr>
            <w:rFonts w:ascii="Cambria" w:hAnsi="Cambria"/>
            <w:noProof/>
            <w:webHidden/>
            <w:sz w:val="24"/>
            <w:szCs w:val="24"/>
          </w:rPr>
        </w:r>
        <w:r w:rsidR="00280BC9" w:rsidRPr="00EA1BB2">
          <w:rPr>
            <w:rFonts w:ascii="Cambria" w:hAnsi="Cambria"/>
            <w:noProof/>
            <w:webHidden/>
            <w:sz w:val="24"/>
            <w:szCs w:val="24"/>
          </w:rPr>
          <w:fldChar w:fldCharType="separate"/>
        </w:r>
        <w:r w:rsidR="00567555">
          <w:rPr>
            <w:rFonts w:ascii="Cambria" w:hAnsi="Cambria"/>
            <w:noProof/>
            <w:webHidden/>
            <w:sz w:val="24"/>
            <w:szCs w:val="24"/>
          </w:rPr>
          <w:t>120</w:t>
        </w:r>
        <w:r w:rsidR="00280BC9" w:rsidRPr="00EA1BB2">
          <w:rPr>
            <w:rFonts w:ascii="Cambria" w:hAnsi="Cambria"/>
            <w:noProof/>
            <w:webHidden/>
            <w:sz w:val="24"/>
            <w:szCs w:val="24"/>
          </w:rPr>
          <w:fldChar w:fldCharType="end"/>
        </w:r>
      </w:hyperlink>
    </w:p>
    <w:p w14:paraId="12DCCB7C" w14:textId="4021DEC1" w:rsidR="008F249F" w:rsidRPr="00EA1BB2" w:rsidRDefault="009A1372" w:rsidP="00F16456">
      <w:pPr>
        <w:pStyle w:val="TableofFigures"/>
        <w:tabs>
          <w:tab w:val="right" w:leader="dot" w:pos="9060"/>
        </w:tabs>
        <w:spacing w:line="276" w:lineRule="auto"/>
        <w:jc w:val="both"/>
        <w:rPr>
          <w:rFonts w:ascii="Cambria" w:eastAsiaTheme="minorEastAsia" w:hAnsi="Cambria"/>
          <w:noProof/>
          <w:sz w:val="24"/>
          <w:szCs w:val="24"/>
        </w:rPr>
      </w:pPr>
      <w:hyperlink w:anchor="_Toc524966229" w:history="1">
        <w:r w:rsidR="008F249F" w:rsidRPr="00EA1BB2">
          <w:rPr>
            <w:rStyle w:val="Hyperlink"/>
            <w:rFonts w:ascii="Cambria" w:eastAsia="Calibri" w:hAnsi="Cambria" w:cs="Times New Roman"/>
            <w:iCs/>
            <w:noProof/>
            <w:sz w:val="24"/>
            <w:szCs w:val="24"/>
          </w:rPr>
          <w:t>Figura nr. 3</w:t>
        </w:r>
        <w:r w:rsidR="008F249F" w:rsidRPr="00EA1BB2">
          <w:rPr>
            <w:rStyle w:val="Hyperlink"/>
            <w:rFonts w:ascii="Cambria" w:eastAsia="Calibri" w:hAnsi="Cambria" w:cs="Times New Roman"/>
            <w:iCs/>
            <w:noProof/>
            <w:sz w:val="24"/>
            <w:szCs w:val="24"/>
          </w:rPr>
          <w:noBreakHyphen/>
          <w:t>18 – Evoluția cantității de precipitații medii lunare (mm) înregistrate, în perioada 1990-2016 comparativ cu perioada 1974 – 1990, la stația meteorologică Brăila</w:t>
        </w:r>
        <w:r w:rsidR="008F249F" w:rsidRPr="00EA1BB2">
          <w:rPr>
            <w:rFonts w:ascii="Cambria" w:hAnsi="Cambria"/>
            <w:noProof/>
            <w:webHidden/>
            <w:sz w:val="24"/>
            <w:szCs w:val="24"/>
          </w:rPr>
          <w:tab/>
        </w:r>
        <w:r w:rsidR="00280BC9"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_Toc524966229 \h </w:instrText>
        </w:r>
        <w:r w:rsidR="00280BC9" w:rsidRPr="00EA1BB2">
          <w:rPr>
            <w:rFonts w:ascii="Cambria" w:hAnsi="Cambria"/>
            <w:noProof/>
            <w:webHidden/>
            <w:sz w:val="24"/>
            <w:szCs w:val="24"/>
          </w:rPr>
        </w:r>
        <w:r w:rsidR="00280BC9" w:rsidRPr="00EA1BB2">
          <w:rPr>
            <w:rFonts w:ascii="Cambria" w:hAnsi="Cambria"/>
            <w:noProof/>
            <w:webHidden/>
            <w:sz w:val="24"/>
            <w:szCs w:val="24"/>
          </w:rPr>
          <w:fldChar w:fldCharType="separate"/>
        </w:r>
        <w:r w:rsidR="00567555">
          <w:rPr>
            <w:rFonts w:ascii="Cambria" w:hAnsi="Cambria"/>
            <w:noProof/>
            <w:webHidden/>
            <w:sz w:val="24"/>
            <w:szCs w:val="24"/>
          </w:rPr>
          <w:t>121</w:t>
        </w:r>
        <w:r w:rsidR="00280BC9" w:rsidRPr="00EA1BB2">
          <w:rPr>
            <w:rFonts w:ascii="Cambria" w:hAnsi="Cambria"/>
            <w:noProof/>
            <w:webHidden/>
            <w:sz w:val="24"/>
            <w:szCs w:val="24"/>
          </w:rPr>
          <w:fldChar w:fldCharType="end"/>
        </w:r>
      </w:hyperlink>
    </w:p>
    <w:p w14:paraId="3B771755" w14:textId="26EEA5C9" w:rsidR="008F249F" w:rsidRPr="00EA1BB2" w:rsidRDefault="009A1372" w:rsidP="00F16456">
      <w:pPr>
        <w:pStyle w:val="TableofFigures"/>
        <w:tabs>
          <w:tab w:val="right" w:leader="dot" w:pos="9060"/>
        </w:tabs>
        <w:spacing w:line="276" w:lineRule="auto"/>
        <w:jc w:val="both"/>
        <w:rPr>
          <w:rFonts w:ascii="Cambria" w:eastAsiaTheme="minorEastAsia" w:hAnsi="Cambria"/>
          <w:noProof/>
          <w:sz w:val="24"/>
          <w:szCs w:val="24"/>
        </w:rPr>
      </w:pPr>
      <w:hyperlink w:anchor="_Toc524966230" w:history="1">
        <w:r w:rsidR="008F249F" w:rsidRPr="00EA1BB2">
          <w:rPr>
            <w:rStyle w:val="Hyperlink"/>
            <w:rFonts w:ascii="Cambria" w:hAnsi="Cambria"/>
            <w:noProof/>
            <w:sz w:val="24"/>
            <w:szCs w:val="24"/>
          </w:rPr>
          <w:t>Figura nr. 3</w:t>
        </w:r>
        <w:r w:rsidR="008F249F" w:rsidRPr="00EA1BB2">
          <w:rPr>
            <w:rStyle w:val="Hyperlink"/>
            <w:rFonts w:ascii="Cambria" w:hAnsi="Cambria"/>
            <w:noProof/>
            <w:sz w:val="24"/>
            <w:szCs w:val="24"/>
          </w:rPr>
          <w:noBreakHyphen/>
          <w:t>19 – Numărul lunar de zile cu ceață din perioada 2012-2016 de la stația meteorologică Brăila</w:t>
        </w:r>
        <w:r w:rsidR="008F249F" w:rsidRPr="00EA1BB2">
          <w:rPr>
            <w:rFonts w:ascii="Cambria" w:hAnsi="Cambria"/>
            <w:noProof/>
            <w:webHidden/>
            <w:sz w:val="24"/>
            <w:szCs w:val="24"/>
          </w:rPr>
          <w:tab/>
        </w:r>
        <w:r w:rsidR="00280BC9"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_Toc524966230 \h </w:instrText>
        </w:r>
        <w:r w:rsidR="00280BC9" w:rsidRPr="00EA1BB2">
          <w:rPr>
            <w:rFonts w:ascii="Cambria" w:hAnsi="Cambria"/>
            <w:noProof/>
            <w:webHidden/>
            <w:sz w:val="24"/>
            <w:szCs w:val="24"/>
          </w:rPr>
        </w:r>
        <w:r w:rsidR="00280BC9" w:rsidRPr="00EA1BB2">
          <w:rPr>
            <w:rFonts w:ascii="Cambria" w:hAnsi="Cambria"/>
            <w:noProof/>
            <w:webHidden/>
            <w:sz w:val="24"/>
            <w:szCs w:val="24"/>
          </w:rPr>
          <w:fldChar w:fldCharType="separate"/>
        </w:r>
        <w:r w:rsidR="00567555">
          <w:rPr>
            <w:rFonts w:ascii="Cambria" w:hAnsi="Cambria"/>
            <w:noProof/>
            <w:webHidden/>
            <w:sz w:val="24"/>
            <w:szCs w:val="24"/>
          </w:rPr>
          <w:t>122</w:t>
        </w:r>
        <w:r w:rsidR="00280BC9" w:rsidRPr="00EA1BB2">
          <w:rPr>
            <w:rFonts w:ascii="Cambria" w:hAnsi="Cambria"/>
            <w:noProof/>
            <w:webHidden/>
            <w:sz w:val="24"/>
            <w:szCs w:val="24"/>
          </w:rPr>
          <w:fldChar w:fldCharType="end"/>
        </w:r>
      </w:hyperlink>
    </w:p>
    <w:p w14:paraId="62C6F610" w14:textId="32A89E30" w:rsidR="008F249F" w:rsidRPr="00EA1BB2" w:rsidRDefault="009A1372" w:rsidP="00F16456">
      <w:pPr>
        <w:pStyle w:val="TableofFigures"/>
        <w:tabs>
          <w:tab w:val="right" w:leader="dot" w:pos="9060"/>
        </w:tabs>
        <w:spacing w:line="276" w:lineRule="auto"/>
        <w:jc w:val="both"/>
        <w:rPr>
          <w:rFonts w:ascii="Cambria" w:eastAsiaTheme="minorEastAsia" w:hAnsi="Cambria"/>
          <w:noProof/>
          <w:sz w:val="24"/>
          <w:szCs w:val="24"/>
        </w:rPr>
      </w:pPr>
      <w:hyperlink w:anchor="_Toc524966231" w:history="1">
        <w:r w:rsidR="008F249F" w:rsidRPr="00EA1BB2">
          <w:rPr>
            <w:rStyle w:val="Hyperlink"/>
            <w:rFonts w:ascii="Cambria" w:hAnsi="Cambria"/>
            <w:noProof/>
            <w:sz w:val="24"/>
            <w:szCs w:val="24"/>
          </w:rPr>
          <w:t>Figura nr. 3</w:t>
        </w:r>
        <w:r w:rsidR="008F249F" w:rsidRPr="00EA1BB2">
          <w:rPr>
            <w:rStyle w:val="Hyperlink"/>
            <w:rFonts w:ascii="Cambria" w:hAnsi="Cambria"/>
            <w:noProof/>
            <w:sz w:val="24"/>
            <w:szCs w:val="24"/>
          </w:rPr>
          <w:noBreakHyphen/>
          <w:t>20 – Roza vântului pentru perioada 2014-2016 la stația meteorologică Brăila</w:t>
        </w:r>
        <w:r w:rsidR="008F249F" w:rsidRPr="00EA1BB2">
          <w:rPr>
            <w:rFonts w:ascii="Cambria" w:hAnsi="Cambria"/>
            <w:noProof/>
            <w:webHidden/>
            <w:sz w:val="24"/>
            <w:szCs w:val="24"/>
          </w:rPr>
          <w:tab/>
        </w:r>
        <w:r w:rsidR="00280BC9"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_Toc524966231 \h </w:instrText>
        </w:r>
        <w:r w:rsidR="00280BC9" w:rsidRPr="00EA1BB2">
          <w:rPr>
            <w:rFonts w:ascii="Cambria" w:hAnsi="Cambria"/>
            <w:noProof/>
            <w:webHidden/>
            <w:sz w:val="24"/>
            <w:szCs w:val="24"/>
          </w:rPr>
        </w:r>
        <w:r w:rsidR="00280BC9" w:rsidRPr="00EA1BB2">
          <w:rPr>
            <w:rFonts w:ascii="Cambria" w:hAnsi="Cambria"/>
            <w:noProof/>
            <w:webHidden/>
            <w:sz w:val="24"/>
            <w:szCs w:val="24"/>
          </w:rPr>
          <w:fldChar w:fldCharType="separate"/>
        </w:r>
        <w:r w:rsidR="00567555">
          <w:rPr>
            <w:rFonts w:ascii="Cambria" w:hAnsi="Cambria"/>
            <w:noProof/>
            <w:webHidden/>
            <w:sz w:val="24"/>
            <w:szCs w:val="24"/>
          </w:rPr>
          <w:t>123</w:t>
        </w:r>
        <w:r w:rsidR="00280BC9" w:rsidRPr="00EA1BB2">
          <w:rPr>
            <w:rFonts w:ascii="Cambria" w:hAnsi="Cambria"/>
            <w:noProof/>
            <w:webHidden/>
            <w:sz w:val="24"/>
            <w:szCs w:val="24"/>
          </w:rPr>
          <w:fldChar w:fldCharType="end"/>
        </w:r>
      </w:hyperlink>
    </w:p>
    <w:p w14:paraId="05DAAA05" w14:textId="0D486248" w:rsidR="008F249F" w:rsidRPr="00EA1BB2" w:rsidRDefault="009A1372" w:rsidP="00F16456">
      <w:pPr>
        <w:pStyle w:val="TableofFigures"/>
        <w:tabs>
          <w:tab w:val="right" w:leader="dot" w:pos="9060"/>
        </w:tabs>
        <w:spacing w:line="276" w:lineRule="auto"/>
        <w:jc w:val="both"/>
        <w:rPr>
          <w:rFonts w:ascii="Cambria" w:eastAsiaTheme="minorEastAsia" w:hAnsi="Cambria"/>
          <w:noProof/>
          <w:sz w:val="24"/>
          <w:szCs w:val="24"/>
        </w:rPr>
      </w:pPr>
      <w:hyperlink w:anchor="_Toc524966232" w:history="1">
        <w:r w:rsidR="008F249F" w:rsidRPr="00EA1BB2">
          <w:rPr>
            <w:rStyle w:val="Hyperlink"/>
            <w:rFonts w:ascii="Cambria" w:hAnsi="Cambria"/>
            <w:noProof/>
            <w:sz w:val="24"/>
            <w:szCs w:val="24"/>
          </w:rPr>
          <w:t>Figura nr. 3</w:t>
        </w:r>
        <w:r w:rsidR="008F249F" w:rsidRPr="00EA1BB2">
          <w:rPr>
            <w:rStyle w:val="Hyperlink"/>
            <w:rFonts w:ascii="Cambria" w:hAnsi="Cambria"/>
            <w:noProof/>
            <w:sz w:val="24"/>
            <w:szCs w:val="24"/>
          </w:rPr>
          <w:noBreakHyphen/>
          <w:t>21 – Roza vântului pentru perioada 2012-2016 la stația meteorologică Brăila (ianuarie-iunie)</w:t>
        </w:r>
        <w:r w:rsidR="008F249F" w:rsidRPr="00EA1BB2">
          <w:rPr>
            <w:rFonts w:ascii="Cambria" w:hAnsi="Cambria"/>
            <w:noProof/>
            <w:webHidden/>
            <w:sz w:val="24"/>
            <w:szCs w:val="24"/>
          </w:rPr>
          <w:tab/>
        </w:r>
        <w:r w:rsidR="00280BC9"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_Toc524966232 \h </w:instrText>
        </w:r>
        <w:r w:rsidR="00280BC9" w:rsidRPr="00EA1BB2">
          <w:rPr>
            <w:rFonts w:ascii="Cambria" w:hAnsi="Cambria"/>
            <w:noProof/>
            <w:webHidden/>
            <w:sz w:val="24"/>
            <w:szCs w:val="24"/>
          </w:rPr>
        </w:r>
        <w:r w:rsidR="00280BC9" w:rsidRPr="00EA1BB2">
          <w:rPr>
            <w:rFonts w:ascii="Cambria" w:hAnsi="Cambria"/>
            <w:noProof/>
            <w:webHidden/>
            <w:sz w:val="24"/>
            <w:szCs w:val="24"/>
          </w:rPr>
          <w:fldChar w:fldCharType="separate"/>
        </w:r>
        <w:r w:rsidR="00567555">
          <w:rPr>
            <w:rFonts w:ascii="Cambria" w:hAnsi="Cambria"/>
            <w:noProof/>
            <w:webHidden/>
            <w:sz w:val="24"/>
            <w:szCs w:val="24"/>
          </w:rPr>
          <w:t>124</w:t>
        </w:r>
        <w:r w:rsidR="00280BC9" w:rsidRPr="00EA1BB2">
          <w:rPr>
            <w:rFonts w:ascii="Cambria" w:hAnsi="Cambria"/>
            <w:noProof/>
            <w:webHidden/>
            <w:sz w:val="24"/>
            <w:szCs w:val="24"/>
          </w:rPr>
          <w:fldChar w:fldCharType="end"/>
        </w:r>
      </w:hyperlink>
    </w:p>
    <w:p w14:paraId="30B92C01" w14:textId="6DCBD81B" w:rsidR="008F249F" w:rsidRPr="00EA1BB2" w:rsidRDefault="009A1372" w:rsidP="00F16456">
      <w:pPr>
        <w:pStyle w:val="TableofFigures"/>
        <w:tabs>
          <w:tab w:val="right" w:leader="dot" w:pos="9060"/>
        </w:tabs>
        <w:spacing w:line="276" w:lineRule="auto"/>
        <w:jc w:val="both"/>
        <w:rPr>
          <w:rFonts w:ascii="Cambria" w:eastAsiaTheme="minorEastAsia" w:hAnsi="Cambria"/>
          <w:noProof/>
          <w:sz w:val="24"/>
          <w:szCs w:val="24"/>
        </w:rPr>
      </w:pPr>
      <w:hyperlink w:anchor="_Toc524966233" w:history="1">
        <w:r w:rsidR="008F249F" w:rsidRPr="00EA1BB2">
          <w:rPr>
            <w:rStyle w:val="Hyperlink"/>
            <w:rFonts w:ascii="Cambria" w:hAnsi="Cambria"/>
            <w:noProof/>
            <w:sz w:val="24"/>
            <w:szCs w:val="24"/>
          </w:rPr>
          <w:t>Figura nr. 3</w:t>
        </w:r>
        <w:r w:rsidR="008F249F" w:rsidRPr="00EA1BB2">
          <w:rPr>
            <w:rStyle w:val="Hyperlink"/>
            <w:rFonts w:ascii="Cambria" w:hAnsi="Cambria"/>
            <w:noProof/>
            <w:sz w:val="24"/>
            <w:szCs w:val="24"/>
          </w:rPr>
          <w:noBreakHyphen/>
          <w:t>22 – Roza vântului pentru perioada 2012-2016 la stația meteorologică Brăila (iulie-decembrie)</w:t>
        </w:r>
        <w:r w:rsidR="008F249F" w:rsidRPr="00EA1BB2">
          <w:rPr>
            <w:rFonts w:ascii="Cambria" w:hAnsi="Cambria"/>
            <w:noProof/>
            <w:webHidden/>
            <w:sz w:val="24"/>
            <w:szCs w:val="24"/>
          </w:rPr>
          <w:tab/>
        </w:r>
        <w:r w:rsidR="00280BC9"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_Toc524966233 \h </w:instrText>
        </w:r>
        <w:r w:rsidR="00280BC9" w:rsidRPr="00EA1BB2">
          <w:rPr>
            <w:rFonts w:ascii="Cambria" w:hAnsi="Cambria"/>
            <w:noProof/>
            <w:webHidden/>
            <w:sz w:val="24"/>
            <w:szCs w:val="24"/>
          </w:rPr>
        </w:r>
        <w:r w:rsidR="00280BC9" w:rsidRPr="00EA1BB2">
          <w:rPr>
            <w:rFonts w:ascii="Cambria" w:hAnsi="Cambria"/>
            <w:noProof/>
            <w:webHidden/>
            <w:sz w:val="24"/>
            <w:szCs w:val="24"/>
          </w:rPr>
          <w:fldChar w:fldCharType="separate"/>
        </w:r>
        <w:r w:rsidR="00567555">
          <w:rPr>
            <w:rFonts w:ascii="Cambria" w:hAnsi="Cambria"/>
            <w:noProof/>
            <w:webHidden/>
            <w:sz w:val="24"/>
            <w:szCs w:val="24"/>
          </w:rPr>
          <w:t>125</w:t>
        </w:r>
        <w:r w:rsidR="00280BC9" w:rsidRPr="00EA1BB2">
          <w:rPr>
            <w:rFonts w:ascii="Cambria" w:hAnsi="Cambria"/>
            <w:noProof/>
            <w:webHidden/>
            <w:sz w:val="24"/>
            <w:szCs w:val="24"/>
          </w:rPr>
          <w:fldChar w:fldCharType="end"/>
        </w:r>
      </w:hyperlink>
    </w:p>
    <w:p w14:paraId="4AD9DFF4" w14:textId="4F07ACD3" w:rsidR="008F249F" w:rsidRPr="00EA1BB2" w:rsidRDefault="009A1372" w:rsidP="00F16456">
      <w:pPr>
        <w:pStyle w:val="TableofFigures"/>
        <w:tabs>
          <w:tab w:val="right" w:leader="dot" w:pos="9060"/>
        </w:tabs>
        <w:spacing w:line="276" w:lineRule="auto"/>
        <w:jc w:val="both"/>
        <w:rPr>
          <w:rFonts w:ascii="Cambria" w:eastAsiaTheme="minorEastAsia" w:hAnsi="Cambria"/>
          <w:noProof/>
          <w:sz w:val="24"/>
          <w:szCs w:val="24"/>
        </w:rPr>
      </w:pPr>
      <w:hyperlink w:anchor="_Toc524966234" w:history="1">
        <w:r w:rsidR="008F249F" w:rsidRPr="00EA1BB2">
          <w:rPr>
            <w:rStyle w:val="Hyperlink"/>
            <w:rFonts w:ascii="Cambria" w:hAnsi="Cambria"/>
            <w:iCs/>
            <w:noProof/>
            <w:sz w:val="24"/>
            <w:szCs w:val="24"/>
          </w:rPr>
          <w:t>Figura nr. 3</w:t>
        </w:r>
        <w:r w:rsidR="008F249F" w:rsidRPr="00EA1BB2">
          <w:rPr>
            <w:rStyle w:val="Hyperlink"/>
            <w:rFonts w:ascii="Cambria" w:hAnsi="Cambria"/>
            <w:iCs/>
            <w:noProof/>
            <w:sz w:val="24"/>
            <w:szCs w:val="24"/>
          </w:rPr>
          <w:noBreakHyphen/>
          <w:t>23 – Evoluția concentrațiilor maxime zilnice a mediilor pe 8 ore (medie mobilă), pentru ozon (O</w:t>
        </w:r>
        <w:r w:rsidR="008F249F" w:rsidRPr="00EA1BB2">
          <w:rPr>
            <w:rStyle w:val="Hyperlink"/>
            <w:rFonts w:ascii="Cambria" w:hAnsi="Cambria"/>
            <w:iCs/>
            <w:noProof/>
            <w:sz w:val="24"/>
            <w:szCs w:val="24"/>
            <w:vertAlign w:val="subscript"/>
          </w:rPr>
          <w:t>3</w:t>
        </w:r>
        <w:r w:rsidR="008F249F" w:rsidRPr="00EA1BB2">
          <w:rPr>
            <w:rStyle w:val="Hyperlink"/>
            <w:rFonts w:ascii="Cambria" w:hAnsi="Cambria"/>
            <w:iCs/>
            <w:noProof/>
            <w:sz w:val="24"/>
            <w:szCs w:val="24"/>
          </w:rPr>
          <w:t>), înregistrate la stațiile de monitorizare din județul Brăila, în anul 2013</w:t>
        </w:r>
        <w:r w:rsidR="008F249F" w:rsidRPr="00EA1BB2">
          <w:rPr>
            <w:rFonts w:ascii="Cambria" w:hAnsi="Cambria"/>
            <w:noProof/>
            <w:webHidden/>
            <w:sz w:val="24"/>
            <w:szCs w:val="24"/>
          </w:rPr>
          <w:tab/>
        </w:r>
        <w:r w:rsidR="00280BC9"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_Toc524966234 \h </w:instrText>
        </w:r>
        <w:r w:rsidR="00280BC9" w:rsidRPr="00EA1BB2">
          <w:rPr>
            <w:rFonts w:ascii="Cambria" w:hAnsi="Cambria"/>
            <w:noProof/>
            <w:webHidden/>
            <w:sz w:val="24"/>
            <w:szCs w:val="24"/>
          </w:rPr>
        </w:r>
        <w:r w:rsidR="00280BC9" w:rsidRPr="00EA1BB2">
          <w:rPr>
            <w:rFonts w:ascii="Cambria" w:hAnsi="Cambria"/>
            <w:noProof/>
            <w:webHidden/>
            <w:sz w:val="24"/>
            <w:szCs w:val="24"/>
          </w:rPr>
          <w:fldChar w:fldCharType="separate"/>
        </w:r>
        <w:r w:rsidR="00567555">
          <w:rPr>
            <w:rFonts w:ascii="Cambria" w:hAnsi="Cambria"/>
            <w:noProof/>
            <w:webHidden/>
            <w:sz w:val="24"/>
            <w:szCs w:val="24"/>
          </w:rPr>
          <w:t>128</w:t>
        </w:r>
        <w:r w:rsidR="00280BC9" w:rsidRPr="00EA1BB2">
          <w:rPr>
            <w:rFonts w:ascii="Cambria" w:hAnsi="Cambria"/>
            <w:noProof/>
            <w:webHidden/>
            <w:sz w:val="24"/>
            <w:szCs w:val="24"/>
          </w:rPr>
          <w:fldChar w:fldCharType="end"/>
        </w:r>
      </w:hyperlink>
    </w:p>
    <w:p w14:paraId="23717952" w14:textId="2121A00A" w:rsidR="008F249F" w:rsidRPr="00EA1BB2" w:rsidRDefault="009A1372" w:rsidP="00F16456">
      <w:pPr>
        <w:pStyle w:val="TableofFigures"/>
        <w:tabs>
          <w:tab w:val="right" w:leader="dot" w:pos="9060"/>
        </w:tabs>
        <w:spacing w:line="276" w:lineRule="auto"/>
        <w:jc w:val="both"/>
        <w:rPr>
          <w:rFonts w:ascii="Cambria" w:eastAsiaTheme="minorEastAsia" w:hAnsi="Cambria"/>
          <w:noProof/>
          <w:sz w:val="24"/>
          <w:szCs w:val="24"/>
        </w:rPr>
      </w:pPr>
      <w:hyperlink w:anchor="_Toc524966235" w:history="1">
        <w:r w:rsidR="008F249F" w:rsidRPr="00EA1BB2">
          <w:rPr>
            <w:rStyle w:val="Hyperlink"/>
            <w:rFonts w:ascii="Cambria" w:hAnsi="Cambria"/>
            <w:iCs/>
            <w:noProof/>
            <w:sz w:val="24"/>
            <w:szCs w:val="24"/>
          </w:rPr>
          <w:t>Figura nr. 3</w:t>
        </w:r>
        <w:r w:rsidR="008F249F" w:rsidRPr="00EA1BB2">
          <w:rPr>
            <w:rStyle w:val="Hyperlink"/>
            <w:rFonts w:ascii="Cambria" w:hAnsi="Cambria"/>
            <w:iCs/>
            <w:noProof/>
            <w:sz w:val="24"/>
            <w:szCs w:val="24"/>
          </w:rPr>
          <w:noBreakHyphen/>
          <w:t>24 – Evoluția concentrațiilor maxime zilnice a mediilor pe 8 ore (medie mobilă), pentru ozon (O</w:t>
        </w:r>
        <w:r w:rsidR="008F249F" w:rsidRPr="00EA1BB2">
          <w:rPr>
            <w:rStyle w:val="Hyperlink"/>
            <w:rFonts w:ascii="Cambria" w:hAnsi="Cambria"/>
            <w:iCs/>
            <w:noProof/>
            <w:sz w:val="24"/>
            <w:szCs w:val="24"/>
            <w:vertAlign w:val="subscript"/>
          </w:rPr>
          <w:t>3</w:t>
        </w:r>
        <w:r w:rsidR="008F249F" w:rsidRPr="00EA1BB2">
          <w:rPr>
            <w:rStyle w:val="Hyperlink"/>
            <w:rFonts w:ascii="Cambria" w:hAnsi="Cambria"/>
            <w:iCs/>
            <w:noProof/>
            <w:sz w:val="24"/>
            <w:szCs w:val="24"/>
          </w:rPr>
          <w:t>), înregistrate la stațiile de monitorizare din județul Brăila, în anul 2017</w:t>
        </w:r>
        <w:r w:rsidR="008F249F" w:rsidRPr="00EA1BB2">
          <w:rPr>
            <w:rFonts w:ascii="Cambria" w:hAnsi="Cambria"/>
            <w:noProof/>
            <w:webHidden/>
            <w:sz w:val="24"/>
            <w:szCs w:val="24"/>
          </w:rPr>
          <w:tab/>
        </w:r>
        <w:r w:rsidR="00280BC9"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_Toc524966235 \h </w:instrText>
        </w:r>
        <w:r w:rsidR="00280BC9" w:rsidRPr="00EA1BB2">
          <w:rPr>
            <w:rFonts w:ascii="Cambria" w:hAnsi="Cambria"/>
            <w:noProof/>
            <w:webHidden/>
            <w:sz w:val="24"/>
            <w:szCs w:val="24"/>
          </w:rPr>
        </w:r>
        <w:r w:rsidR="00280BC9" w:rsidRPr="00EA1BB2">
          <w:rPr>
            <w:rFonts w:ascii="Cambria" w:hAnsi="Cambria"/>
            <w:noProof/>
            <w:webHidden/>
            <w:sz w:val="24"/>
            <w:szCs w:val="24"/>
          </w:rPr>
          <w:fldChar w:fldCharType="separate"/>
        </w:r>
        <w:r w:rsidR="00567555">
          <w:rPr>
            <w:rFonts w:ascii="Cambria" w:hAnsi="Cambria"/>
            <w:noProof/>
            <w:webHidden/>
            <w:sz w:val="24"/>
            <w:szCs w:val="24"/>
          </w:rPr>
          <w:t>128</w:t>
        </w:r>
        <w:r w:rsidR="00280BC9" w:rsidRPr="00EA1BB2">
          <w:rPr>
            <w:rFonts w:ascii="Cambria" w:hAnsi="Cambria"/>
            <w:noProof/>
            <w:webHidden/>
            <w:sz w:val="24"/>
            <w:szCs w:val="24"/>
          </w:rPr>
          <w:fldChar w:fldCharType="end"/>
        </w:r>
      </w:hyperlink>
    </w:p>
    <w:p w14:paraId="534804EC" w14:textId="447706A2" w:rsidR="008F249F" w:rsidRPr="00EA1BB2" w:rsidRDefault="009A1372" w:rsidP="00F16456">
      <w:pPr>
        <w:pStyle w:val="TableofFigures"/>
        <w:tabs>
          <w:tab w:val="right" w:leader="dot" w:pos="9060"/>
        </w:tabs>
        <w:spacing w:line="276" w:lineRule="auto"/>
        <w:jc w:val="both"/>
        <w:rPr>
          <w:rFonts w:ascii="Cambria" w:eastAsiaTheme="minorEastAsia" w:hAnsi="Cambria"/>
          <w:noProof/>
          <w:sz w:val="24"/>
          <w:szCs w:val="24"/>
        </w:rPr>
      </w:pPr>
      <w:hyperlink w:anchor="_Toc524966236" w:history="1">
        <w:r w:rsidR="008F249F" w:rsidRPr="00EA1BB2">
          <w:rPr>
            <w:rStyle w:val="Hyperlink"/>
            <w:rFonts w:ascii="Cambria" w:eastAsia="Calibri" w:hAnsi="Cambria" w:cs="Times New Roman"/>
            <w:iCs/>
            <w:noProof/>
            <w:sz w:val="24"/>
            <w:szCs w:val="24"/>
          </w:rPr>
          <w:t>Figura nr. 3</w:t>
        </w:r>
        <w:r w:rsidR="008F249F" w:rsidRPr="00EA1BB2">
          <w:rPr>
            <w:rStyle w:val="Hyperlink"/>
            <w:rFonts w:ascii="Cambria" w:eastAsia="Calibri" w:hAnsi="Cambria" w:cs="Times New Roman"/>
            <w:iCs/>
            <w:noProof/>
            <w:sz w:val="24"/>
            <w:szCs w:val="24"/>
          </w:rPr>
          <w:noBreakHyphen/>
          <w:t>25 – Tendința emisiilor de poluanți precursori ai ozonului, la nivelul județului Brăila, în perioada 2010-2016</w:t>
        </w:r>
        <w:r w:rsidR="008F249F" w:rsidRPr="00EA1BB2">
          <w:rPr>
            <w:rFonts w:ascii="Cambria" w:hAnsi="Cambria"/>
            <w:noProof/>
            <w:webHidden/>
            <w:sz w:val="24"/>
            <w:szCs w:val="24"/>
          </w:rPr>
          <w:tab/>
        </w:r>
        <w:r w:rsidR="00280BC9"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_Toc524966236 \h </w:instrText>
        </w:r>
        <w:r w:rsidR="00280BC9" w:rsidRPr="00EA1BB2">
          <w:rPr>
            <w:rFonts w:ascii="Cambria" w:hAnsi="Cambria"/>
            <w:noProof/>
            <w:webHidden/>
            <w:sz w:val="24"/>
            <w:szCs w:val="24"/>
          </w:rPr>
        </w:r>
        <w:r w:rsidR="00280BC9" w:rsidRPr="00EA1BB2">
          <w:rPr>
            <w:rFonts w:ascii="Cambria" w:hAnsi="Cambria"/>
            <w:noProof/>
            <w:webHidden/>
            <w:sz w:val="24"/>
            <w:szCs w:val="24"/>
          </w:rPr>
          <w:fldChar w:fldCharType="separate"/>
        </w:r>
        <w:r w:rsidR="00567555">
          <w:rPr>
            <w:rFonts w:ascii="Cambria" w:hAnsi="Cambria"/>
            <w:noProof/>
            <w:webHidden/>
            <w:sz w:val="24"/>
            <w:szCs w:val="24"/>
          </w:rPr>
          <w:t>129</w:t>
        </w:r>
        <w:r w:rsidR="00280BC9" w:rsidRPr="00EA1BB2">
          <w:rPr>
            <w:rFonts w:ascii="Cambria" w:hAnsi="Cambria"/>
            <w:noProof/>
            <w:webHidden/>
            <w:sz w:val="24"/>
            <w:szCs w:val="24"/>
          </w:rPr>
          <w:fldChar w:fldCharType="end"/>
        </w:r>
      </w:hyperlink>
    </w:p>
    <w:p w14:paraId="0CF1AC2D" w14:textId="14C173ED" w:rsidR="008F249F" w:rsidRPr="00EA1BB2" w:rsidRDefault="009A1372" w:rsidP="00F16456">
      <w:pPr>
        <w:pStyle w:val="TableofFigures"/>
        <w:tabs>
          <w:tab w:val="right" w:leader="dot" w:pos="9060"/>
        </w:tabs>
        <w:spacing w:line="276" w:lineRule="auto"/>
        <w:jc w:val="both"/>
        <w:rPr>
          <w:rFonts w:ascii="Cambria" w:eastAsiaTheme="minorEastAsia" w:hAnsi="Cambria"/>
          <w:noProof/>
          <w:sz w:val="24"/>
          <w:szCs w:val="24"/>
        </w:rPr>
      </w:pPr>
      <w:hyperlink w:anchor="_Toc524966237" w:history="1">
        <w:r w:rsidR="008F249F" w:rsidRPr="00EA1BB2">
          <w:rPr>
            <w:rStyle w:val="Hyperlink"/>
            <w:rFonts w:ascii="Cambria" w:eastAsia="Calibri" w:hAnsi="Cambria" w:cs="Times New Roman"/>
            <w:iCs/>
            <w:noProof/>
            <w:sz w:val="24"/>
            <w:szCs w:val="24"/>
          </w:rPr>
          <w:t>Figura nr. 4</w:t>
        </w:r>
        <w:r w:rsidR="008F249F" w:rsidRPr="00EA1BB2">
          <w:rPr>
            <w:rStyle w:val="Hyperlink"/>
            <w:rFonts w:ascii="Cambria" w:eastAsia="Calibri" w:hAnsi="Cambria" w:cs="Times New Roman"/>
            <w:iCs/>
            <w:noProof/>
            <w:sz w:val="24"/>
            <w:szCs w:val="24"/>
          </w:rPr>
          <w:noBreakHyphen/>
          <w:t>1 - Stadiul de realizare al acțiunilor de mediu la nivel național – anul 2008</w:t>
        </w:r>
        <w:r w:rsidR="008F249F" w:rsidRPr="00EA1BB2">
          <w:rPr>
            <w:rFonts w:ascii="Cambria" w:hAnsi="Cambria"/>
            <w:noProof/>
            <w:webHidden/>
            <w:sz w:val="24"/>
            <w:szCs w:val="24"/>
          </w:rPr>
          <w:tab/>
        </w:r>
        <w:r w:rsidR="00280BC9"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_Toc524966237 \h </w:instrText>
        </w:r>
        <w:r w:rsidR="00280BC9" w:rsidRPr="00EA1BB2">
          <w:rPr>
            <w:rFonts w:ascii="Cambria" w:hAnsi="Cambria"/>
            <w:noProof/>
            <w:webHidden/>
            <w:sz w:val="24"/>
            <w:szCs w:val="24"/>
          </w:rPr>
        </w:r>
        <w:r w:rsidR="00280BC9" w:rsidRPr="00EA1BB2">
          <w:rPr>
            <w:rFonts w:ascii="Cambria" w:hAnsi="Cambria"/>
            <w:noProof/>
            <w:webHidden/>
            <w:sz w:val="24"/>
            <w:szCs w:val="24"/>
          </w:rPr>
          <w:fldChar w:fldCharType="separate"/>
        </w:r>
        <w:r w:rsidR="00567555">
          <w:rPr>
            <w:rFonts w:ascii="Cambria" w:hAnsi="Cambria"/>
            <w:noProof/>
            <w:webHidden/>
            <w:sz w:val="24"/>
            <w:szCs w:val="24"/>
          </w:rPr>
          <w:t>140</w:t>
        </w:r>
        <w:r w:rsidR="00280BC9" w:rsidRPr="00EA1BB2">
          <w:rPr>
            <w:rFonts w:ascii="Cambria" w:hAnsi="Cambria"/>
            <w:noProof/>
            <w:webHidden/>
            <w:sz w:val="24"/>
            <w:szCs w:val="24"/>
          </w:rPr>
          <w:fldChar w:fldCharType="end"/>
        </w:r>
      </w:hyperlink>
    </w:p>
    <w:p w14:paraId="2E66F70A" w14:textId="0E33A3BC" w:rsidR="008F249F" w:rsidRPr="00EA1BB2" w:rsidRDefault="009A1372" w:rsidP="00F16456">
      <w:pPr>
        <w:pStyle w:val="TableofFigures"/>
        <w:tabs>
          <w:tab w:val="right" w:leader="dot" w:pos="9060"/>
        </w:tabs>
        <w:spacing w:line="276" w:lineRule="auto"/>
        <w:jc w:val="both"/>
        <w:rPr>
          <w:rFonts w:ascii="Cambria" w:eastAsiaTheme="minorEastAsia" w:hAnsi="Cambria"/>
          <w:noProof/>
          <w:sz w:val="24"/>
          <w:szCs w:val="24"/>
        </w:rPr>
      </w:pPr>
      <w:hyperlink w:anchor="_Toc524966238" w:history="1">
        <w:r w:rsidR="008F249F" w:rsidRPr="00EA1BB2">
          <w:rPr>
            <w:rStyle w:val="Hyperlink"/>
            <w:rFonts w:ascii="Cambria" w:hAnsi="Cambria"/>
            <w:noProof/>
            <w:sz w:val="24"/>
            <w:szCs w:val="24"/>
          </w:rPr>
          <w:t>Figura nr. 5</w:t>
        </w:r>
        <w:r w:rsidR="008F249F" w:rsidRPr="00EA1BB2">
          <w:rPr>
            <w:rStyle w:val="Hyperlink"/>
            <w:rFonts w:ascii="Cambria" w:hAnsi="Cambria"/>
            <w:noProof/>
            <w:sz w:val="24"/>
            <w:szCs w:val="24"/>
          </w:rPr>
          <w:noBreakHyphen/>
          <w:t>1 – Distribuția surselor de emisie în județul Brăila</w:t>
        </w:r>
        <w:r w:rsidR="008F249F" w:rsidRPr="00EA1BB2">
          <w:rPr>
            <w:rFonts w:ascii="Cambria" w:hAnsi="Cambria"/>
            <w:noProof/>
            <w:webHidden/>
            <w:sz w:val="24"/>
            <w:szCs w:val="24"/>
          </w:rPr>
          <w:tab/>
        </w:r>
        <w:r w:rsidR="00280BC9"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_Toc524966238 \h </w:instrText>
        </w:r>
        <w:r w:rsidR="00280BC9" w:rsidRPr="00EA1BB2">
          <w:rPr>
            <w:rFonts w:ascii="Cambria" w:hAnsi="Cambria"/>
            <w:noProof/>
            <w:webHidden/>
            <w:sz w:val="24"/>
            <w:szCs w:val="24"/>
          </w:rPr>
        </w:r>
        <w:r w:rsidR="00280BC9" w:rsidRPr="00EA1BB2">
          <w:rPr>
            <w:rFonts w:ascii="Cambria" w:hAnsi="Cambria"/>
            <w:noProof/>
            <w:webHidden/>
            <w:sz w:val="24"/>
            <w:szCs w:val="24"/>
          </w:rPr>
          <w:fldChar w:fldCharType="separate"/>
        </w:r>
        <w:r w:rsidR="00567555">
          <w:rPr>
            <w:rFonts w:ascii="Cambria" w:hAnsi="Cambria"/>
            <w:noProof/>
            <w:webHidden/>
            <w:sz w:val="24"/>
            <w:szCs w:val="24"/>
          </w:rPr>
          <w:t>151</w:t>
        </w:r>
        <w:r w:rsidR="00280BC9" w:rsidRPr="00EA1BB2">
          <w:rPr>
            <w:rFonts w:ascii="Cambria" w:hAnsi="Cambria"/>
            <w:noProof/>
            <w:webHidden/>
            <w:sz w:val="24"/>
            <w:szCs w:val="24"/>
          </w:rPr>
          <w:fldChar w:fldCharType="end"/>
        </w:r>
      </w:hyperlink>
    </w:p>
    <w:p w14:paraId="3F20196B" w14:textId="6C2AC52B" w:rsidR="008F249F" w:rsidRPr="00EA1BB2" w:rsidRDefault="009A1372" w:rsidP="00F16456">
      <w:pPr>
        <w:pStyle w:val="TableofFigures"/>
        <w:tabs>
          <w:tab w:val="right" w:leader="dot" w:pos="9060"/>
        </w:tabs>
        <w:spacing w:line="276" w:lineRule="auto"/>
        <w:jc w:val="both"/>
        <w:rPr>
          <w:rFonts w:ascii="Cambria" w:eastAsiaTheme="minorEastAsia" w:hAnsi="Cambria"/>
          <w:noProof/>
          <w:sz w:val="24"/>
          <w:szCs w:val="24"/>
        </w:rPr>
      </w:pPr>
      <w:hyperlink w:anchor="_Toc524966239" w:history="1">
        <w:r w:rsidR="008F249F" w:rsidRPr="00EA1BB2">
          <w:rPr>
            <w:rStyle w:val="Hyperlink"/>
            <w:rFonts w:ascii="Cambria" w:eastAsia="Calibri" w:hAnsi="Cambria" w:cs="Times New Roman"/>
            <w:iCs/>
            <w:noProof/>
            <w:sz w:val="24"/>
            <w:szCs w:val="24"/>
          </w:rPr>
          <w:t>Figura nr. 6</w:t>
        </w:r>
        <w:r w:rsidR="008F249F" w:rsidRPr="00EA1BB2">
          <w:rPr>
            <w:rStyle w:val="Hyperlink"/>
            <w:rFonts w:ascii="Cambria" w:eastAsia="Calibri" w:hAnsi="Cambria" w:cs="Times New Roman"/>
            <w:iCs/>
            <w:noProof/>
            <w:sz w:val="24"/>
            <w:szCs w:val="24"/>
          </w:rPr>
          <w:noBreakHyphen/>
          <w:t>1 - Reducerea emisiilor de poluanți pe categorii de surse în urma aplicării scenariilor studiate în vederea menținerii sub valoarea-limită</w:t>
        </w:r>
        <w:r w:rsidR="008F249F" w:rsidRPr="00EA1BB2">
          <w:rPr>
            <w:rFonts w:ascii="Cambria" w:hAnsi="Cambria"/>
            <w:noProof/>
            <w:webHidden/>
            <w:sz w:val="24"/>
            <w:szCs w:val="24"/>
          </w:rPr>
          <w:tab/>
        </w:r>
        <w:r w:rsidR="00280BC9"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_Toc524966239 \h </w:instrText>
        </w:r>
        <w:r w:rsidR="00280BC9" w:rsidRPr="00EA1BB2">
          <w:rPr>
            <w:rFonts w:ascii="Cambria" w:hAnsi="Cambria"/>
            <w:noProof/>
            <w:webHidden/>
            <w:sz w:val="24"/>
            <w:szCs w:val="24"/>
          </w:rPr>
        </w:r>
        <w:r w:rsidR="00280BC9" w:rsidRPr="00EA1BB2">
          <w:rPr>
            <w:rFonts w:ascii="Cambria" w:hAnsi="Cambria"/>
            <w:noProof/>
            <w:webHidden/>
            <w:sz w:val="24"/>
            <w:szCs w:val="24"/>
          </w:rPr>
          <w:fldChar w:fldCharType="separate"/>
        </w:r>
        <w:r w:rsidR="00567555">
          <w:rPr>
            <w:rFonts w:ascii="Cambria" w:hAnsi="Cambria"/>
            <w:noProof/>
            <w:webHidden/>
            <w:sz w:val="24"/>
            <w:szCs w:val="24"/>
          </w:rPr>
          <w:t>163</w:t>
        </w:r>
        <w:r w:rsidR="00280BC9" w:rsidRPr="00EA1BB2">
          <w:rPr>
            <w:rFonts w:ascii="Cambria" w:hAnsi="Cambria"/>
            <w:noProof/>
            <w:webHidden/>
            <w:sz w:val="24"/>
            <w:szCs w:val="24"/>
          </w:rPr>
          <w:fldChar w:fldCharType="end"/>
        </w:r>
      </w:hyperlink>
    </w:p>
    <w:p w14:paraId="4D7BEF18" w14:textId="4FAC2E89" w:rsidR="008F249F" w:rsidRPr="00EA1BB2" w:rsidRDefault="009A1372" w:rsidP="00F16456">
      <w:pPr>
        <w:pStyle w:val="TableofFigures"/>
        <w:tabs>
          <w:tab w:val="right" w:leader="dot" w:pos="9060"/>
        </w:tabs>
        <w:spacing w:line="276" w:lineRule="auto"/>
        <w:jc w:val="both"/>
        <w:rPr>
          <w:rFonts w:ascii="Cambria" w:eastAsiaTheme="minorEastAsia" w:hAnsi="Cambria"/>
          <w:noProof/>
          <w:sz w:val="24"/>
          <w:szCs w:val="24"/>
        </w:rPr>
      </w:pPr>
      <w:hyperlink w:anchor="_Toc524966240" w:history="1">
        <w:r w:rsidR="008F249F" w:rsidRPr="00EA1BB2">
          <w:rPr>
            <w:rStyle w:val="Hyperlink"/>
            <w:rFonts w:ascii="Cambria" w:eastAsia="Calibri" w:hAnsi="Cambria" w:cs="Times New Roman"/>
            <w:iCs/>
            <w:noProof/>
            <w:sz w:val="24"/>
            <w:szCs w:val="24"/>
          </w:rPr>
          <w:t>Figura nr. 6</w:t>
        </w:r>
        <w:r w:rsidR="008F249F" w:rsidRPr="00EA1BB2">
          <w:rPr>
            <w:rStyle w:val="Hyperlink"/>
            <w:rFonts w:ascii="Cambria" w:eastAsia="Calibri" w:hAnsi="Cambria" w:cs="Times New Roman"/>
            <w:iCs/>
            <w:noProof/>
            <w:sz w:val="24"/>
            <w:szCs w:val="24"/>
          </w:rPr>
          <w:noBreakHyphen/>
          <w:t>2 – Concentrații medii anuale estimate pentru anul de proiecție în urma aplicării scenariilor</w:t>
        </w:r>
        <w:r w:rsidR="008F249F" w:rsidRPr="00EA1BB2">
          <w:rPr>
            <w:rFonts w:ascii="Cambria" w:hAnsi="Cambria"/>
            <w:noProof/>
            <w:webHidden/>
            <w:sz w:val="24"/>
            <w:szCs w:val="24"/>
          </w:rPr>
          <w:tab/>
        </w:r>
        <w:r w:rsidR="00280BC9" w:rsidRPr="00EA1BB2">
          <w:rPr>
            <w:rFonts w:ascii="Cambria" w:hAnsi="Cambria"/>
            <w:noProof/>
            <w:webHidden/>
            <w:sz w:val="24"/>
            <w:szCs w:val="24"/>
          </w:rPr>
          <w:fldChar w:fldCharType="begin"/>
        </w:r>
        <w:r w:rsidR="008F249F" w:rsidRPr="00EA1BB2">
          <w:rPr>
            <w:rFonts w:ascii="Cambria" w:hAnsi="Cambria"/>
            <w:noProof/>
            <w:webHidden/>
            <w:sz w:val="24"/>
            <w:szCs w:val="24"/>
          </w:rPr>
          <w:instrText xml:space="preserve"> PAGEREF _Toc524966240 \h </w:instrText>
        </w:r>
        <w:r w:rsidR="00280BC9" w:rsidRPr="00EA1BB2">
          <w:rPr>
            <w:rFonts w:ascii="Cambria" w:hAnsi="Cambria"/>
            <w:noProof/>
            <w:webHidden/>
            <w:sz w:val="24"/>
            <w:szCs w:val="24"/>
          </w:rPr>
        </w:r>
        <w:r w:rsidR="00280BC9" w:rsidRPr="00EA1BB2">
          <w:rPr>
            <w:rFonts w:ascii="Cambria" w:hAnsi="Cambria"/>
            <w:noProof/>
            <w:webHidden/>
            <w:sz w:val="24"/>
            <w:szCs w:val="24"/>
          </w:rPr>
          <w:fldChar w:fldCharType="separate"/>
        </w:r>
        <w:r w:rsidR="00567555">
          <w:rPr>
            <w:rFonts w:ascii="Cambria" w:hAnsi="Cambria"/>
            <w:noProof/>
            <w:webHidden/>
            <w:sz w:val="24"/>
            <w:szCs w:val="24"/>
          </w:rPr>
          <w:t>164</w:t>
        </w:r>
        <w:r w:rsidR="00280BC9" w:rsidRPr="00EA1BB2">
          <w:rPr>
            <w:rFonts w:ascii="Cambria" w:hAnsi="Cambria"/>
            <w:noProof/>
            <w:webHidden/>
            <w:sz w:val="24"/>
            <w:szCs w:val="24"/>
          </w:rPr>
          <w:fldChar w:fldCharType="end"/>
        </w:r>
      </w:hyperlink>
    </w:p>
    <w:p w14:paraId="269041AA" w14:textId="77777777" w:rsidR="00D819B7" w:rsidRPr="00EA1BB2" w:rsidRDefault="00280BC9" w:rsidP="00F16456">
      <w:pPr>
        <w:spacing w:line="276" w:lineRule="auto"/>
        <w:jc w:val="both"/>
        <w:rPr>
          <w:rFonts w:ascii="Cambria" w:hAnsi="Cambria" w:cs="Times New Roman"/>
          <w:sz w:val="24"/>
          <w:szCs w:val="24"/>
        </w:rPr>
      </w:pPr>
      <w:r w:rsidRPr="00EA1BB2">
        <w:rPr>
          <w:rFonts w:ascii="Cambria" w:hAnsi="Cambria" w:cs="Times New Roman"/>
          <w:sz w:val="24"/>
          <w:szCs w:val="24"/>
        </w:rPr>
        <w:fldChar w:fldCharType="end"/>
      </w:r>
    </w:p>
    <w:p w14:paraId="0733D75A" w14:textId="77777777" w:rsidR="003B0D57" w:rsidRPr="00EA1BB2" w:rsidRDefault="003B0D57" w:rsidP="003B0D57">
      <w:pPr>
        <w:spacing w:line="360" w:lineRule="auto"/>
        <w:ind w:firstLine="708"/>
        <w:jc w:val="both"/>
        <w:rPr>
          <w:rFonts w:ascii="Cambria" w:hAnsi="Cambria" w:cs="Times New Roman"/>
          <w:b/>
          <w:sz w:val="24"/>
          <w:szCs w:val="24"/>
        </w:rPr>
      </w:pPr>
      <w:r w:rsidRPr="00EA1BB2">
        <w:rPr>
          <w:rFonts w:ascii="Cambria" w:hAnsi="Cambria" w:cs="Times New Roman"/>
          <w:b/>
          <w:sz w:val="24"/>
          <w:szCs w:val="24"/>
        </w:rPr>
        <w:t>ANEXE</w:t>
      </w:r>
    </w:p>
    <w:p w14:paraId="6AD93AD6" w14:textId="6C4E851F" w:rsidR="00E81045" w:rsidRPr="00EA1BB2" w:rsidRDefault="00280BC9" w:rsidP="005462E7">
      <w:pPr>
        <w:pStyle w:val="TableofFigures"/>
        <w:tabs>
          <w:tab w:val="right" w:leader="dot" w:pos="9060"/>
        </w:tabs>
        <w:spacing w:line="276" w:lineRule="auto"/>
        <w:jc w:val="both"/>
        <w:rPr>
          <w:rFonts w:ascii="Cambria" w:eastAsiaTheme="minorEastAsia" w:hAnsi="Cambria"/>
          <w:noProof/>
          <w:sz w:val="24"/>
        </w:rPr>
      </w:pPr>
      <w:r w:rsidRPr="00EA1BB2">
        <w:rPr>
          <w:rFonts w:ascii="Cambria" w:hAnsi="Cambria" w:cs="Times New Roman"/>
          <w:b/>
          <w:sz w:val="24"/>
          <w:szCs w:val="24"/>
        </w:rPr>
        <w:fldChar w:fldCharType="begin"/>
      </w:r>
      <w:r w:rsidR="003B0D57" w:rsidRPr="00EA1BB2">
        <w:rPr>
          <w:rFonts w:ascii="Cambria" w:hAnsi="Cambria" w:cs="Times New Roman"/>
          <w:b/>
          <w:sz w:val="24"/>
          <w:szCs w:val="24"/>
        </w:rPr>
        <w:instrText xml:space="preserve"> TOC \h \z \c "Anexa nr." </w:instrText>
      </w:r>
      <w:r w:rsidRPr="00EA1BB2">
        <w:rPr>
          <w:rFonts w:ascii="Cambria" w:hAnsi="Cambria" w:cs="Times New Roman"/>
          <w:b/>
          <w:sz w:val="24"/>
          <w:szCs w:val="24"/>
        </w:rPr>
        <w:fldChar w:fldCharType="separate"/>
      </w:r>
      <w:hyperlink w:anchor="_Toc520631684" w:history="1">
        <w:r w:rsidR="00E81045" w:rsidRPr="00EA1BB2">
          <w:rPr>
            <w:rStyle w:val="Hyperlink"/>
            <w:rFonts w:ascii="Cambria" w:hAnsi="Cambria"/>
            <w:iCs/>
            <w:noProof/>
            <w:sz w:val="24"/>
          </w:rPr>
          <w:t>Anexa nr. 1 – Rezultatele calculelor de dispersie a emisiilor de substanțe poluante în atmosferă, pe tipuri de poluanți</w:t>
        </w:r>
        <w:r w:rsidR="00E81045" w:rsidRPr="00EA1BB2">
          <w:rPr>
            <w:rFonts w:ascii="Cambria" w:hAnsi="Cambria"/>
            <w:noProof/>
            <w:webHidden/>
            <w:sz w:val="24"/>
          </w:rPr>
          <w:tab/>
        </w:r>
        <w:r w:rsidRPr="00EA1BB2">
          <w:rPr>
            <w:rFonts w:ascii="Cambria" w:hAnsi="Cambria"/>
            <w:noProof/>
            <w:webHidden/>
            <w:sz w:val="24"/>
          </w:rPr>
          <w:fldChar w:fldCharType="begin"/>
        </w:r>
        <w:r w:rsidR="00E81045" w:rsidRPr="00EA1BB2">
          <w:rPr>
            <w:rFonts w:ascii="Cambria" w:hAnsi="Cambria"/>
            <w:noProof/>
            <w:webHidden/>
            <w:sz w:val="24"/>
          </w:rPr>
          <w:instrText xml:space="preserve"> PAGEREF _Toc520631684 \h </w:instrText>
        </w:r>
        <w:r w:rsidRPr="00EA1BB2">
          <w:rPr>
            <w:rFonts w:ascii="Cambria" w:hAnsi="Cambria"/>
            <w:noProof/>
            <w:webHidden/>
            <w:sz w:val="24"/>
          </w:rPr>
        </w:r>
        <w:r w:rsidRPr="00EA1BB2">
          <w:rPr>
            <w:rFonts w:ascii="Cambria" w:hAnsi="Cambria"/>
            <w:noProof/>
            <w:webHidden/>
            <w:sz w:val="24"/>
          </w:rPr>
          <w:fldChar w:fldCharType="separate"/>
        </w:r>
        <w:r w:rsidR="00567555">
          <w:rPr>
            <w:rFonts w:ascii="Cambria" w:hAnsi="Cambria"/>
            <w:noProof/>
            <w:webHidden/>
            <w:sz w:val="24"/>
          </w:rPr>
          <w:t>183</w:t>
        </w:r>
        <w:r w:rsidRPr="00EA1BB2">
          <w:rPr>
            <w:rFonts w:ascii="Cambria" w:hAnsi="Cambria"/>
            <w:noProof/>
            <w:webHidden/>
            <w:sz w:val="24"/>
          </w:rPr>
          <w:fldChar w:fldCharType="end"/>
        </w:r>
      </w:hyperlink>
    </w:p>
    <w:p w14:paraId="2AB304DA" w14:textId="497300B5" w:rsidR="00E81045" w:rsidRPr="00EA1BB2" w:rsidRDefault="009A1372" w:rsidP="005462E7">
      <w:pPr>
        <w:pStyle w:val="TableofFigures"/>
        <w:tabs>
          <w:tab w:val="right" w:leader="dot" w:pos="9060"/>
        </w:tabs>
        <w:spacing w:line="276" w:lineRule="auto"/>
        <w:jc w:val="both"/>
        <w:rPr>
          <w:rFonts w:ascii="Cambria" w:eastAsiaTheme="minorEastAsia" w:hAnsi="Cambria"/>
          <w:noProof/>
          <w:sz w:val="24"/>
        </w:rPr>
      </w:pPr>
      <w:hyperlink w:anchor="_Toc520631685" w:history="1">
        <w:r w:rsidR="00E81045" w:rsidRPr="00EA1BB2">
          <w:rPr>
            <w:rStyle w:val="Hyperlink"/>
            <w:rFonts w:ascii="Cambria" w:hAnsi="Cambria"/>
            <w:iCs/>
            <w:noProof/>
            <w:sz w:val="24"/>
          </w:rPr>
          <w:t xml:space="preserve">Anexa nr. 2 – </w:t>
        </w:r>
        <w:r w:rsidR="00E81045" w:rsidRPr="00EA1BB2">
          <w:rPr>
            <w:rStyle w:val="Hyperlink"/>
            <w:rFonts w:ascii="Cambria" w:eastAsia="Times New Roman" w:hAnsi="Cambria" w:cs="Times New Roman"/>
            <w:noProof/>
            <w:sz w:val="24"/>
          </w:rPr>
          <w:t>Surse de emisie analizate privind transportul și dispersiei poluanților emiși în atmosferă cu influență asupra calității aerului în județul Brăila.</w:t>
        </w:r>
        <w:r w:rsidR="00E81045" w:rsidRPr="00EA1BB2">
          <w:rPr>
            <w:rFonts w:ascii="Cambria" w:hAnsi="Cambria"/>
            <w:noProof/>
            <w:webHidden/>
            <w:sz w:val="24"/>
          </w:rPr>
          <w:tab/>
        </w:r>
        <w:r w:rsidR="00280BC9" w:rsidRPr="00EA1BB2">
          <w:rPr>
            <w:rFonts w:ascii="Cambria" w:hAnsi="Cambria"/>
            <w:noProof/>
            <w:webHidden/>
            <w:sz w:val="24"/>
          </w:rPr>
          <w:fldChar w:fldCharType="begin"/>
        </w:r>
        <w:r w:rsidR="00E81045" w:rsidRPr="00EA1BB2">
          <w:rPr>
            <w:rFonts w:ascii="Cambria" w:hAnsi="Cambria"/>
            <w:noProof/>
            <w:webHidden/>
            <w:sz w:val="24"/>
          </w:rPr>
          <w:instrText xml:space="preserve"> PAGEREF _Toc520631685 \h </w:instrText>
        </w:r>
        <w:r w:rsidR="00280BC9" w:rsidRPr="00EA1BB2">
          <w:rPr>
            <w:rFonts w:ascii="Cambria" w:hAnsi="Cambria"/>
            <w:noProof/>
            <w:webHidden/>
            <w:sz w:val="24"/>
          </w:rPr>
        </w:r>
        <w:r w:rsidR="00280BC9" w:rsidRPr="00EA1BB2">
          <w:rPr>
            <w:rFonts w:ascii="Cambria" w:hAnsi="Cambria"/>
            <w:noProof/>
            <w:webHidden/>
            <w:sz w:val="24"/>
          </w:rPr>
          <w:fldChar w:fldCharType="separate"/>
        </w:r>
        <w:r w:rsidR="00567555">
          <w:rPr>
            <w:rFonts w:ascii="Cambria" w:hAnsi="Cambria"/>
            <w:noProof/>
            <w:webHidden/>
            <w:sz w:val="24"/>
          </w:rPr>
          <w:t>190</w:t>
        </w:r>
        <w:r w:rsidR="00280BC9" w:rsidRPr="00EA1BB2">
          <w:rPr>
            <w:rFonts w:ascii="Cambria" w:hAnsi="Cambria"/>
            <w:noProof/>
            <w:webHidden/>
            <w:sz w:val="24"/>
          </w:rPr>
          <w:fldChar w:fldCharType="end"/>
        </w:r>
      </w:hyperlink>
    </w:p>
    <w:p w14:paraId="30CDE242" w14:textId="14009FEB" w:rsidR="00166676" w:rsidRDefault="00280BC9" w:rsidP="003B0D57">
      <w:pPr>
        <w:spacing w:line="276" w:lineRule="auto"/>
        <w:ind w:firstLine="708"/>
        <w:jc w:val="both"/>
        <w:rPr>
          <w:rFonts w:ascii="Cambria" w:hAnsi="Cambria" w:cs="Times New Roman"/>
          <w:b/>
          <w:sz w:val="24"/>
          <w:szCs w:val="24"/>
        </w:rPr>
      </w:pPr>
      <w:r w:rsidRPr="00EA1BB2">
        <w:rPr>
          <w:rFonts w:ascii="Cambria" w:hAnsi="Cambria" w:cs="Times New Roman"/>
          <w:b/>
          <w:sz w:val="24"/>
          <w:szCs w:val="24"/>
        </w:rPr>
        <w:fldChar w:fldCharType="end"/>
      </w:r>
    </w:p>
    <w:p w14:paraId="7703B88F" w14:textId="77777777" w:rsidR="00E65B47" w:rsidRPr="00EA1BB2" w:rsidRDefault="00E65B47" w:rsidP="003B0D57">
      <w:pPr>
        <w:spacing w:line="276" w:lineRule="auto"/>
        <w:ind w:firstLine="708"/>
        <w:jc w:val="both"/>
        <w:rPr>
          <w:rFonts w:ascii="Cambria" w:hAnsi="Cambria" w:cs="Times New Roman"/>
          <w:b/>
          <w:sz w:val="24"/>
          <w:szCs w:val="24"/>
        </w:rPr>
      </w:pPr>
    </w:p>
    <w:p w14:paraId="656DC741" w14:textId="77777777" w:rsidR="00D82864" w:rsidRPr="00EA1BB2" w:rsidRDefault="00D82864" w:rsidP="00F96AFF">
      <w:pPr>
        <w:spacing w:line="360" w:lineRule="auto"/>
        <w:ind w:firstLine="708"/>
        <w:jc w:val="both"/>
        <w:rPr>
          <w:rFonts w:ascii="Cambria" w:hAnsi="Cambria" w:cs="Times New Roman"/>
          <w:b/>
          <w:sz w:val="24"/>
          <w:szCs w:val="24"/>
        </w:rPr>
      </w:pPr>
      <w:r w:rsidRPr="00EA1BB2">
        <w:rPr>
          <w:rFonts w:ascii="Cambria" w:hAnsi="Cambria" w:cs="Times New Roman"/>
          <w:b/>
          <w:sz w:val="24"/>
          <w:szCs w:val="24"/>
        </w:rPr>
        <w:t>LISTA DE ABREVIERI</w:t>
      </w:r>
    </w:p>
    <w:p w14:paraId="01642F44" w14:textId="3AFCC523" w:rsidR="00E65B47" w:rsidRPr="0083419F" w:rsidRDefault="00E65B47" w:rsidP="00E65B47">
      <w:pPr>
        <w:spacing w:line="360" w:lineRule="auto"/>
        <w:jc w:val="both"/>
        <w:rPr>
          <w:rFonts w:ascii="Cambria" w:hAnsi="Cambria" w:cs="Times New Roman"/>
          <w:sz w:val="24"/>
          <w:szCs w:val="24"/>
        </w:rPr>
      </w:pPr>
      <w:r>
        <w:rPr>
          <w:rFonts w:ascii="Cambria" w:hAnsi="Cambria" w:cs="Times New Roman"/>
          <w:sz w:val="24"/>
          <w:szCs w:val="24"/>
        </w:rPr>
        <w:t>AFDJ-</w:t>
      </w:r>
      <w:r w:rsidRPr="0083419F">
        <w:rPr>
          <w:rFonts w:ascii="Cambria" w:hAnsi="Cambria" w:cs="Times New Roman"/>
          <w:sz w:val="24"/>
          <w:szCs w:val="24"/>
        </w:rPr>
        <w:t xml:space="preserve">RA </w:t>
      </w:r>
      <w:r>
        <w:rPr>
          <w:rFonts w:ascii="Cambria" w:hAnsi="Cambria" w:cs="Times New Roman"/>
          <w:sz w:val="24"/>
          <w:szCs w:val="24"/>
        </w:rPr>
        <w:t>-</w:t>
      </w:r>
      <w:r w:rsidRPr="0083419F">
        <w:rPr>
          <w:rFonts w:ascii="Cambria" w:hAnsi="Cambria" w:cs="Times New Roman"/>
          <w:sz w:val="24"/>
          <w:szCs w:val="24"/>
        </w:rPr>
        <w:t xml:space="preserve"> Admirația</w:t>
      </w:r>
      <w:r>
        <w:rPr>
          <w:rFonts w:ascii="Cambria" w:hAnsi="Cambria" w:cs="Times New Roman"/>
          <w:sz w:val="24"/>
          <w:szCs w:val="24"/>
        </w:rPr>
        <w:t xml:space="preserve"> Fluvială Dunărea de Jos;</w:t>
      </w:r>
    </w:p>
    <w:p w14:paraId="7B760556" w14:textId="233ED0C1" w:rsidR="00E65B47" w:rsidRPr="00EA1BB2" w:rsidRDefault="00E65B47" w:rsidP="00E65B47">
      <w:pPr>
        <w:spacing w:line="360" w:lineRule="auto"/>
        <w:jc w:val="both"/>
        <w:rPr>
          <w:rFonts w:ascii="Cambria" w:hAnsi="Cambria" w:cs="Times New Roman"/>
          <w:sz w:val="24"/>
          <w:szCs w:val="24"/>
        </w:rPr>
      </w:pPr>
      <w:r w:rsidRPr="00EA1BB2">
        <w:rPr>
          <w:rFonts w:ascii="Cambria" w:hAnsi="Cambria" w:cs="Times New Roman"/>
          <w:sz w:val="24"/>
          <w:szCs w:val="24"/>
        </w:rPr>
        <w:t>ANM – Administrația Națională de Meteorologie</w:t>
      </w:r>
      <w:r>
        <w:rPr>
          <w:rFonts w:ascii="Cambria" w:hAnsi="Cambria" w:cs="Times New Roman"/>
          <w:sz w:val="24"/>
          <w:szCs w:val="24"/>
        </w:rPr>
        <w:t>;</w:t>
      </w:r>
    </w:p>
    <w:p w14:paraId="79B7B8F0" w14:textId="27FE29A4" w:rsidR="00E65B47" w:rsidRPr="00EA1BB2" w:rsidRDefault="00E65B47" w:rsidP="00E65B47">
      <w:pPr>
        <w:spacing w:line="360" w:lineRule="auto"/>
        <w:jc w:val="both"/>
        <w:rPr>
          <w:rFonts w:ascii="Cambria" w:hAnsi="Cambria" w:cs="Times New Roman"/>
          <w:sz w:val="24"/>
          <w:szCs w:val="24"/>
        </w:rPr>
      </w:pPr>
      <w:r w:rsidRPr="00EA1BB2">
        <w:rPr>
          <w:rFonts w:ascii="Cambria" w:hAnsi="Cambria" w:cs="Times New Roman"/>
          <w:sz w:val="24"/>
          <w:szCs w:val="24"/>
        </w:rPr>
        <w:t>A</w:t>
      </w:r>
      <w:r>
        <w:rPr>
          <w:rFonts w:ascii="Cambria" w:hAnsi="Cambria" w:cs="Times New Roman"/>
          <w:sz w:val="24"/>
          <w:szCs w:val="24"/>
        </w:rPr>
        <w:t>N</w:t>
      </w:r>
      <w:r w:rsidRPr="00EA1BB2">
        <w:rPr>
          <w:rFonts w:ascii="Cambria" w:hAnsi="Cambria" w:cs="Times New Roman"/>
          <w:sz w:val="24"/>
          <w:szCs w:val="24"/>
        </w:rPr>
        <w:t>PM –</w:t>
      </w:r>
      <w:r w:rsidR="00980FEE">
        <w:rPr>
          <w:rFonts w:ascii="Cambria" w:hAnsi="Cambria" w:cs="Times New Roman"/>
          <w:sz w:val="24"/>
          <w:szCs w:val="24"/>
        </w:rPr>
        <w:t xml:space="preserve"> Bucuresti - </w:t>
      </w:r>
      <w:r w:rsidRPr="00EA1BB2">
        <w:rPr>
          <w:rFonts w:ascii="Cambria" w:hAnsi="Cambria" w:cs="Times New Roman"/>
          <w:sz w:val="24"/>
          <w:szCs w:val="24"/>
        </w:rPr>
        <w:t xml:space="preserve"> Agenția </w:t>
      </w:r>
      <w:r>
        <w:rPr>
          <w:rFonts w:ascii="Cambria" w:hAnsi="Cambria" w:cs="Times New Roman"/>
          <w:sz w:val="24"/>
          <w:szCs w:val="24"/>
        </w:rPr>
        <w:t>Na</w:t>
      </w:r>
      <w:r>
        <w:rPr>
          <w:rFonts w:ascii="Cambria" w:hAnsi="Cambria" w:cs="Times New Roman"/>
          <w:sz w:val="24"/>
          <w:szCs w:val="24"/>
          <w:lang w:val="en-US"/>
        </w:rPr>
        <w:t xml:space="preserve">țională </w:t>
      </w:r>
      <w:r w:rsidRPr="00EA1BB2">
        <w:rPr>
          <w:rFonts w:ascii="Cambria" w:hAnsi="Cambria" w:cs="Times New Roman"/>
          <w:sz w:val="24"/>
          <w:szCs w:val="24"/>
        </w:rPr>
        <w:t>pentru Protecția Mediului</w:t>
      </w:r>
      <w:r w:rsidR="00980FEE" w:rsidRPr="00980FEE">
        <w:rPr>
          <w:rFonts w:ascii="Cambria" w:hAnsi="Cambria" w:cs="Times New Roman"/>
          <w:sz w:val="24"/>
          <w:szCs w:val="24"/>
        </w:rPr>
        <w:t xml:space="preserve"> </w:t>
      </w:r>
      <w:r w:rsidR="00980FEE">
        <w:rPr>
          <w:rFonts w:ascii="Cambria" w:hAnsi="Cambria" w:cs="Times New Roman"/>
          <w:sz w:val="24"/>
          <w:szCs w:val="24"/>
        </w:rPr>
        <w:t>Bucuresti</w:t>
      </w:r>
      <w:r>
        <w:rPr>
          <w:rFonts w:ascii="Cambria" w:hAnsi="Cambria" w:cs="Times New Roman"/>
          <w:sz w:val="24"/>
          <w:szCs w:val="24"/>
        </w:rPr>
        <w:t>;</w:t>
      </w:r>
    </w:p>
    <w:p w14:paraId="183ECEF1" w14:textId="3A378D56" w:rsidR="00E65B47" w:rsidRPr="0083419F" w:rsidRDefault="00E65B47" w:rsidP="00E65B47">
      <w:pPr>
        <w:spacing w:line="360" w:lineRule="auto"/>
        <w:jc w:val="both"/>
        <w:rPr>
          <w:rFonts w:ascii="Cambria" w:hAnsi="Cambria" w:cs="Times New Roman"/>
          <w:sz w:val="24"/>
          <w:szCs w:val="24"/>
        </w:rPr>
      </w:pPr>
      <w:r>
        <w:rPr>
          <w:rFonts w:ascii="Cambria" w:hAnsi="Cambria" w:cs="Times New Roman"/>
          <w:sz w:val="24"/>
          <w:szCs w:val="24"/>
        </w:rPr>
        <w:t xml:space="preserve">APM </w:t>
      </w:r>
      <w:r w:rsidRPr="0083419F">
        <w:rPr>
          <w:rFonts w:ascii="Cambria" w:hAnsi="Cambria" w:cs="Times New Roman"/>
          <w:sz w:val="24"/>
          <w:szCs w:val="24"/>
        </w:rPr>
        <w:t xml:space="preserve">Brăila </w:t>
      </w:r>
      <w:r>
        <w:rPr>
          <w:rFonts w:ascii="Cambria" w:hAnsi="Cambria" w:cs="Times New Roman"/>
          <w:sz w:val="24"/>
          <w:szCs w:val="24"/>
        </w:rPr>
        <w:t>-</w:t>
      </w:r>
      <w:r w:rsidRPr="0083419F">
        <w:rPr>
          <w:rFonts w:ascii="Cambria" w:hAnsi="Cambria" w:cs="Times New Roman"/>
          <w:sz w:val="24"/>
          <w:szCs w:val="24"/>
        </w:rPr>
        <w:t xml:space="preserve"> Agenția p</w:t>
      </w:r>
      <w:r>
        <w:rPr>
          <w:rFonts w:ascii="Cambria" w:hAnsi="Cambria" w:cs="Times New Roman"/>
          <w:sz w:val="24"/>
          <w:szCs w:val="24"/>
        </w:rPr>
        <w:t>entru Protecția Mediului Brăila;</w:t>
      </w:r>
    </w:p>
    <w:p w14:paraId="3C95C1DA" w14:textId="77777777" w:rsidR="00E65B47" w:rsidRPr="0083419F" w:rsidRDefault="00E65B47" w:rsidP="00E65B47">
      <w:pPr>
        <w:spacing w:line="360" w:lineRule="auto"/>
        <w:jc w:val="both"/>
        <w:rPr>
          <w:rFonts w:ascii="Cambria" w:hAnsi="Cambria" w:cs="Times New Roman"/>
          <w:sz w:val="24"/>
          <w:szCs w:val="24"/>
        </w:rPr>
      </w:pPr>
      <w:r w:rsidRPr="0083419F">
        <w:rPr>
          <w:rFonts w:ascii="Cambria" w:hAnsi="Cambria" w:cs="Times New Roman"/>
          <w:sz w:val="24"/>
          <w:szCs w:val="24"/>
        </w:rPr>
        <w:t xml:space="preserve">BR1, BR2, BR3, BR4, BR5 </w:t>
      </w:r>
      <w:r>
        <w:rPr>
          <w:rFonts w:ascii="Cambria" w:hAnsi="Cambria" w:cs="Times New Roman"/>
          <w:sz w:val="24"/>
          <w:szCs w:val="24"/>
        </w:rPr>
        <w:t>-</w:t>
      </w:r>
      <w:r w:rsidRPr="0083419F">
        <w:rPr>
          <w:rFonts w:ascii="Cambria" w:hAnsi="Cambria" w:cs="Times New Roman"/>
          <w:sz w:val="24"/>
          <w:szCs w:val="24"/>
        </w:rPr>
        <w:t xml:space="preserve"> stații automate de monitorizare a calității aerului amplasate pe raza județului Brăila;</w:t>
      </w:r>
    </w:p>
    <w:p w14:paraId="583A9AEA" w14:textId="77777777" w:rsidR="00E65B47" w:rsidRPr="0083419F" w:rsidRDefault="00E65B47" w:rsidP="00E65B47">
      <w:pPr>
        <w:spacing w:line="360" w:lineRule="auto"/>
        <w:jc w:val="both"/>
        <w:rPr>
          <w:rFonts w:ascii="Cambria" w:hAnsi="Cambria" w:cs="Times New Roman"/>
          <w:sz w:val="24"/>
          <w:szCs w:val="24"/>
        </w:rPr>
      </w:pPr>
      <w:r w:rsidRPr="0083419F">
        <w:rPr>
          <w:rFonts w:ascii="Cambria" w:hAnsi="Cambria" w:cs="Times New Roman"/>
          <w:sz w:val="24"/>
          <w:szCs w:val="24"/>
        </w:rPr>
        <w:t xml:space="preserve">CECA din cadrul ANPM </w:t>
      </w:r>
      <w:r>
        <w:rPr>
          <w:rFonts w:ascii="Cambria" w:hAnsi="Cambria" w:cs="Times New Roman"/>
          <w:sz w:val="24"/>
          <w:szCs w:val="24"/>
        </w:rPr>
        <w:t>-</w:t>
      </w:r>
      <w:r w:rsidRPr="0083419F">
        <w:rPr>
          <w:rFonts w:ascii="Cambria" w:hAnsi="Cambria" w:cs="Times New Roman"/>
          <w:sz w:val="24"/>
          <w:szCs w:val="24"/>
        </w:rPr>
        <w:t xml:space="preserve"> Centrul de Evaluare a Calității Aerului;</w:t>
      </w:r>
    </w:p>
    <w:p w14:paraId="5B55F13A" w14:textId="5C903006" w:rsidR="00E65B47" w:rsidRDefault="00E65B47" w:rsidP="00E65B47">
      <w:pPr>
        <w:spacing w:line="360" w:lineRule="auto"/>
        <w:jc w:val="both"/>
        <w:rPr>
          <w:rFonts w:ascii="Cambria" w:hAnsi="Cambria" w:cs="Times New Roman"/>
          <w:sz w:val="24"/>
          <w:szCs w:val="24"/>
        </w:rPr>
      </w:pPr>
      <w:r w:rsidRPr="0083419F">
        <w:rPr>
          <w:rFonts w:ascii="Cambria" w:hAnsi="Cambria" w:cs="Times New Roman"/>
          <w:sz w:val="24"/>
          <w:szCs w:val="24"/>
        </w:rPr>
        <w:t xml:space="preserve">COPERT </w:t>
      </w:r>
      <w:r>
        <w:rPr>
          <w:rFonts w:ascii="Cambria" w:hAnsi="Cambria" w:cs="Times New Roman"/>
          <w:sz w:val="24"/>
          <w:szCs w:val="24"/>
        </w:rPr>
        <w:t>-</w:t>
      </w:r>
      <w:r w:rsidRPr="0083419F">
        <w:rPr>
          <w:rFonts w:ascii="Cambria" w:hAnsi="Cambria" w:cs="Times New Roman"/>
          <w:sz w:val="24"/>
          <w:szCs w:val="24"/>
        </w:rPr>
        <w:t xml:space="preserve"> software pentru calculul emisiilor provenite din traficul rutier;</w:t>
      </w:r>
    </w:p>
    <w:p w14:paraId="228F3FE8" w14:textId="53C0D529" w:rsidR="00980FEE" w:rsidRPr="0083419F" w:rsidRDefault="00980FEE" w:rsidP="00E65B47">
      <w:pPr>
        <w:spacing w:line="360" w:lineRule="auto"/>
        <w:jc w:val="both"/>
        <w:rPr>
          <w:rFonts w:ascii="Cambria" w:hAnsi="Cambria" w:cs="Times New Roman"/>
          <w:sz w:val="24"/>
          <w:szCs w:val="24"/>
        </w:rPr>
      </w:pPr>
      <w:r>
        <w:rPr>
          <w:rFonts w:ascii="Cambria" w:hAnsi="Cambria" w:cs="Times New Roman"/>
          <w:sz w:val="24"/>
          <w:szCs w:val="24"/>
        </w:rPr>
        <w:lastRenderedPageBreak/>
        <w:t>CJGNM Braila- Comisariatul Judetean – Garda Nationala de Mediu Braila;</w:t>
      </w:r>
    </w:p>
    <w:p w14:paraId="1E02AA84" w14:textId="095A9DC5" w:rsidR="00E65B47" w:rsidRPr="0083419F" w:rsidRDefault="00E65B47" w:rsidP="00E65B47">
      <w:pPr>
        <w:spacing w:line="360" w:lineRule="auto"/>
        <w:jc w:val="both"/>
        <w:rPr>
          <w:rFonts w:ascii="Cambria" w:hAnsi="Cambria" w:cs="Times New Roman"/>
          <w:sz w:val="24"/>
          <w:szCs w:val="24"/>
        </w:rPr>
      </w:pPr>
      <w:r w:rsidRPr="0083419F">
        <w:rPr>
          <w:rFonts w:ascii="Cambria" w:hAnsi="Cambria" w:cs="Times New Roman"/>
          <w:sz w:val="24"/>
          <w:szCs w:val="24"/>
        </w:rPr>
        <w:t xml:space="preserve">DSP </w:t>
      </w:r>
      <w:r>
        <w:rPr>
          <w:rFonts w:ascii="Cambria" w:hAnsi="Cambria" w:cs="Times New Roman"/>
          <w:sz w:val="24"/>
          <w:szCs w:val="24"/>
        </w:rPr>
        <w:t xml:space="preserve">- </w:t>
      </w:r>
      <w:r w:rsidRPr="0083419F">
        <w:rPr>
          <w:rFonts w:ascii="Cambria" w:hAnsi="Cambria" w:cs="Times New Roman"/>
          <w:sz w:val="24"/>
          <w:szCs w:val="24"/>
        </w:rPr>
        <w:t>Direcția de Sănătate Publică</w:t>
      </w:r>
      <w:r>
        <w:rPr>
          <w:rFonts w:ascii="Cambria" w:hAnsi="Cambria" w:cs="Times New Roman"/>
          <w:sz w:val="24"/>
          <w:szCs w:val="24"/>
        </w:rPr>
        <w:t>;</w:t>
      </w:r>
    </w:p>
    <w:p w14:paraId="67544AFD" w14:textId="0A99FA1B" w:rsidR="00E65B47" w:rsidRPr="00EA1BB2" w:rsidRDefault="00E65B47" w:rsidP="00E65B47">
      <w:pPr>
        <w:spacing w:line="360" w:lineRule="auto"/>
        <w:jc w:val="both"/>
        <w:rPr>
          <w:rFonts w:ascii="Cambria" w:hAnsi="Cambria" w:cs="Times New Roman"/>
          <w:sz w:val="24"/>
          <w:szCs w:val="24"/>
        </w:rPr>
      </w:pPr>
      <w:r w:rsidRPr="00EA1BB2">
        <w:rPr>
          <w:rFonts w:ascii="Cambria" w:hAnsi="Cambria" w:cs="Times New Roman"/>
          <w:sz w:val="24"/>
          <w:szCs w:val="24"/>
        </w:rPr>
        <w:t>FEDR</w:t>
      </w:r>
      <w:r w:rsidRPr="00EA1BB2">
        <w:t xml:space="preserve"> - </w:t>
      </w:r>
      <w:r w:rsidRPr="00EA1BB2">
        <w:rPr>
          <w:rFonts w:ascii="Cambria" w:hAnsi="Cambria" w:cs="Times New Roman"/>
          <w:sz w:val="24"/>
          <w:szCs w:val="24"/>
        </w:rPr>
        <w:t>Fondul European de Dezvoltare Regională</w:t>
      </w:r>
      <w:r>
        <w:rPr>
          <w:rFonts w:ascii="Cambria" w:hAnsi="Cambria" w:cs="Times New Roman"/>
          <w:sz w:val="24"/>
          <w:szCs w:val="24"/>
        </w:rPr>
        <w:t>;</w:t>
      </w:r>
    </w:p>
    <w:p w14:paraId="27CDBF3A" w14:textId="77777777" w:rsidR="00E65B47" w:rsidRPr="0083419F" w:rsidRDefault="00E65B47" w:rsidP="00E65B47">
      <w:pPr>
        <w:spacing w:line="360" w:lineRule="auto"/>
        <w:jc w:val="both"/>
        <w:rPr>
          <w:rFonts w:ascii="Cambria" w:hAnsi="Cambria" w:cs="Times New Roman"/>
          <w:sz w:val="24"/>
          <w:szCs w:val="24"/>
        </w:rPr>
      </w:pPr>
      <w:r w:rsidRPr="0083419F">
        <w:rPr>
          <w:rFonts w:ascii="Cambria" w:hAnsi="Cambria" w:cs="Times New Roman"/>
          <w:sz w:val="24"/>
          <w:szCs w:val="24"/>
        </w:rPr>
        <w:t xml:space="preserve">FM </w:t>
      </w:r>
      <w:r>
        <w:rPr>
          <w:rFonts w:ascii="Cambria" w:hAnsi="Cambria" w:cs="Times New Roman"/>
          <w:sz w:val="24"/>
          <w:szCs w:val="24"/>
        </w:rPr>
        <w:t>-</w:t>
      </w:r>
      <w:r w:rsidRPr="0083419F">
        <w:rPr>
          <w:rFonts w:ascii="Cambria" w:hAnsi="Cambria" w:cs="Times New Roman"/>
          <w:sz w:val="24"/>
          <w:szCs w:val="24"/>
        </w:rPr>
        <w:t xml:space="preserve"> Fondul pentru Mediu;</w:t>
      </w:r>
    </w:p>
    <w:p w14:paraId="1B2DDC74" w14:textId="5173177D" w:rsidR="00E65B47" w:rsidRPr="00EA1BB2" w:rsidRDefault="00E65B47" w:rsidP="00E65B47">
      <w:pPr>
        <w:spacing w:line="360" w:lineRule="auto"/>
        <w:jc w:val="both"/>
        <w:rPr>
          <w:rFonts w:ascii="Cambria" w:hAnsi="Cambria" w:cs="Times New Roman"/>
          <w:sz w:val="24"/>
          <w:szCs w:val="24"/>
        </w:rPr>
      </w:pPr>
      <w:r w:rsidRPr="00EA1BB2">
        <w:rPr>
          <w:rFonts w:ascii="Cambria" w:hAnsi="Cambria" w:cs="Times New Roman"/>
          <w:sz w:val="24"/>
          <w:szCs w:val="24"/>
        </w:rPr>
        <w:t>GIS – Sistem Geografic Informatic</w:t>
      </w:r>
      <w:r>
        <w:rPr>
          <w:rFonts w:ascii="Cambria" w:hAnsi="Cambria" w:cs="Times New Roman"/>
          <w:sz w:val="24"/>
          <w:szCs w:val="24"/>
        </w:rPr>
        <w:t>;</w:t>
      </w:r>
    </w:p>
    <w:p w14:paraId="496F1373" w14:textId="4DEC05B9" w:rsidR="00E65B47" w:rsidRPr="00EA1BB2" w:rsidRDefault="00E65B47" w:rsidP="00E65B47">
      <w:pPr>
        <w:spacing w:line="360" w:lineRule="auto"/>
        <w:jc w:val="both"/>
        <w:rPr>
          <w:rFonts w:ascii="Cambria" w:hAnsi="Cambria" w:cs="Times New Roman"/>
          <w:sz w:val="24"/>
          <w:szCs w:val="24"/>
        </w:rPr>
      </w:pPr>
      <w:r w:rsidRPr="00EA1BB2">
        <w:rPr>
          <w:rFonts w:ascii="Cambria" w:hAnsi="Cambria" w:cs="Times New Roman"/>
          <w:sz w:val="24"/>
          <w:szCs w:val="24"/>
        </w:rPr>
        <w:t>ILE – Inventar local de emisii</w:t>
      </w:r>
      <w:r>
        <w:rPr>
          <w:rFonts w:ascii="Cambria" w:hAnsi="Cambria" w:cs="Times New Roman"/>
          <w:sz w:val="24"/>
          <w:szCs w:val="24"/>
        </w:rPr>
        <w:t>;</w:t>
      </w:r>
    </w:p>
    <w:p w14:paraId="4286E9E8" w14:textId="57F9C319" w:rsidR="00E65B47" w:rsidRPr="0083419F" w:rsidRDefault="00E65B47" w:rsidP="00E65B47">
      <w:pPr>
        <w:spacing w:line="360" w:lineRule="auto"/>
        <w:jc w:val="both"/>
        <w:rPr>
          <w:rFonts w:ascii="Cambria" w:hAnsi="Cambria" w:cs="Times New Roman"/>
          <w:sz w:val="24"/>
          <w:szCs w:val="24"/>
        </w:rPr>
      </w:pPr>
      <w:r w:rsidRPr="0083419F">
        <w:rPr>
          <w:rFonts w:ascii="Cambria" w:hAnsi="Cambria" w:cs="Times New Roman"/>
          <w:sz w:val="24"/>
          <w:szCs w:val="24"/>
        </w:rPr>
        <w:t xml:space="preserve">INS </w:t>
      </w:r>
      <w:r>
        <w:rPr>
          <w:rFonts w:ascii="Cambria" w:hAnsi="Cambria" w:cs="Times New Roman"/>
          <w:sz w:val="24"/>
          <w:szCs w:val="24"/>
        </w:rPr>
        <w:t>-</w:t>
      </w:r>
      <w:r w:rsidRPr="0083419F">
        <w:rPr>
          <w:rFonts w:ascii="Cambria" w:hAnsi="Cambria" w:cs="Times New Roman"/>
          <w:sz w:val="24"/>
          <w:szCs w:val="24"/>
        </w:rPr>
        <w:t xml:space="preserve"> Ins</w:t>
      </w:r>
      <w:r>
        <w:rPr>
          <w:rFonts w:ascii="Cambria" w:hAnsi="Cambria" w:cs="Times New Roman"/>
          <w:sz w:val="24"/>
          <w:szCs w:val="24"/>
        </w:rPr>
        <w:t>titutul Național de Statistică</w:t>
      </w:r>
      <w:r w:rsidRPr="0083419F">
        <w:rPr>
          <w:rFonts w:ascii="Cambria" w:hAnsi="Cambria" w:cs="Times New Roman"/>
          <w:sz w:val="24"/>
          <w:szCs w:val="24"/>
        </w:rPr>
        <w:t>;</w:t>
      </w:r>
    </w:p>
    <w:p w14:paraId="4CC843F2" w14:textId="16FC0F30" w:rsidR="00E65B47" w:rsidRPr="00EA1BB2" w:rsidRDefault="00E65B47" w:rsidP="00E65B47">
      <w:pPr>
        <w:spacing w:line="360" w:lineRule="auto"/>
        <w:jc w:val="both"/>
        <w:rPr>
          <w:rFonts w:ascii="Cambria" w:hAnsi="Cambria" w:cs="Times New Roman"/>
          <w:sz w:val="24"/>
          <w:szCs w:val="24"/>
        </w:rPr>
      </w:pPr>
      <w:r w:rsidRPr="00EA1BB2">
        <w:rPr>
          <w:rFonts w:ascii="Cambria" w:hAnsi="Cambria" w:cs="Times New Roman"/>
          <w:sz w:val="24"/>
          <w:szCs w:val="24"/>
        </w:rPr>
        <w:t>IPPC – Prevenirea și Controlul Integrat al Poluării</w:t>
      </w:r>
      <w:r>
        <w:rPr>
          <w:rFonts w:ascii="Cambria" w:hAnsi="Cambria" w:cs="Times New Roman"/>
          <w:sz w:val="24"/>
          <w:szCs w:val="24"/>
        </w:rPr>
        <w:t>;</w:t>
      </w:r>
    </w:p>
    <w:p w14:paraId="39E36C83" w14:textId="77777777" w:rsidR="00E65B47" w:rsidRPr="0083419F" w:rsidRDefault="00E65B47" w:rsidP="00E65B47">
      <w:pPr>
        <w:spacing w:line="360" w:lineRule="auto"/>
        <w:jc w:val="both"/>
        <w:rPr>
          <w:rFonts w:ascii="Cambria" w:hAnsi="Cambria" w:cs="Times New Roman"/>
          <w:sz w:val="24"/>
          <w:szCs w:val="24"/>
        </w:rPr>
      </w:pPr>
      <w:r w:rsidRPr="0083419F">
        <w:rPr>
          <w:rFonts w:ascii="Cambria" w:hAnsi="Cambria" w:cs="Times New Roman"/>
          <w:sz w:val="24"/>
          <w:szCs w:val="24"/>
        </w:rPr>
        <w:t xml:space="preserve">ISPA </w:t>
      </w:r>
      <w:r>
        <w:rPr>
          <w:rFonts w:ascii="Cambria" w:hAnsi="Cambria" w:cs="Times New Roman"/>
          <w:sz w:val="24"/>
          <w:szCs w:val="24"/>
        </w:rPr>
        <w:t>-</w:t>
      </w:r>
      <w:r w:rsidRPr="0083419F">
        <w:rPr>
          <w:rFonts w:ascii="Cambria" w:hAnsi="Cambria" w:cs="Times New Roman"/>
          <w:sz w:val="24"/>
          <w:szCs w:val="24"/>
        </w:rPr>
        <w:t xml:space="preserve"> i</w:t>
      </w:r>
      <w:bookmarkStart w:id="0" w:name="_GoBack"/>
      <w:bookmarkEnd w:id="0"/>
      <w:r w:rsidRPr="0083419F">
        <w:rPr>
          <w:rFonts w:ascii="Cambria" w:hAnsi="Cambria" w:cs="Times New Roman"/>
          <w:sz w:val="24"/>
          <w:szCs w:val="24"/>
        </w:rPr>
        <w:t>nstrument de Politici Structurale de pre-aderare;</w:t>
      </w:r>
    </w:p>
    <w:p w14:paraId="64C6B002" w14:textId="77777777" w:rsidR="00E65B47" w:rsidRPr="0083419F" w:rsidRDefault="00E65B47" w:rsidP="00E65B47">
      <w:pPr>
        <w:spacing w:line="360" w:lineRule="auto"/>
        <w:jc w:val="both"/>
        <w:rPr>
          <w:rFonts w:ascii="Cambria" w:hAnsi="Cambria" w:cs="Times New Roman"/>
          <w:sz w:val="24"/>
          <w:szCs w:val="24"/>
        </w:rPr>
      </w:pPr>
      <w:r w:rsidRPr="0083419F">
        <w:rPr>
          <w:rFonts w:ascii="Cambria" w:hAnsi="Cambria" w:cs="Times New Roman"/>
          <w:sz w:val="24"/>
          <w:szCs w:val="24"/>
        </w:rPr>
        <w:t xml:space="preserve">ISU Dunărea </w:t>
      </w:r>
      <w:r>
        <w:rPr>
          <w:rFonts w:ascii="Cambria" w:hAnsi="Cambria" w:cs="Times New Roman"/>
          <w:sz w:val="24"/>
          <w:szCs w:val="24"/>
        </w:rPr>
        <w:t>-</w:t>
      </w:r>
      <w:r w:rsidRPr="0083419F">
        <w:rPr>
          <w:rFonts w:ascii="Cambria" w:hAnsi="Cambria" w:cs="Times New Roman"/>
          <w:sz w:val="24"/>
          <w:szCs w:val="24"/>
        </w:rPr>
        <w:t xml:space="preserve"> Inspectoratul pentru Situații de Urgență Dunărea - Brăila </w:t>
      </w:r>
    </w:p>
    <w:p w14:paraId="355B3570" w14:textId="4C8A8B0F" w:rsidR="00E65B47" w:rsidRPr="00EA1BB2" w:rsidRDefault="00E65B47" w:rsidP="00E65B47">
      <w:pPr>
        <w:spacing w:line="360" w:lineRule="auto"/>
        <w:jc w:val="both"/>
        <w:rPr>
          <w:rFonts w:ascii="Cambria" w:hAnsi="Cambria" w:cs="Times New Roman"/>
          <w:sz w:val="24"/>
          <w:szCs w:val="24"/>
        </w:rPr>
      </w:pPr>
      <w:r w:rsidRPr="00EA1BB2">
        <w:rPr>
          <w:rFonts w:ascii="Cambria" w:hAnsi="Cambria" w:cs="Times New Roman"/>
          <w:sz w:val="24"/>
          <w:szCs w:val="24"/>
        </w:rPr>
        <w:t>MAP - Ministerul Apelor și Pădurilor</w:t>
      </w:r>
      <w:r>
        <w:rPr>
          <w:rFonts w:ascii="Cambria" w:hAnsi="Cambria" w:cs="Times New Roman"/>
          <w:sz w:val="24"/>
          <w:szCs w:val="24"/>
        </w:rPr>
        <w:t>;</w:t>
      </w:r>
    </w:p>
    <w:p w14:paraId="071DD512" w14:textId="34B1B704" w:rsidR="00E65B47" w:rsidRPr="00EA1BB2" w:rsidRDefault="00E65B47" w:rsidP="00E65B47">
      <w:pPr>
        <w:spacing w:line="360" w:lineRule="auto"/>
        <w:jc w:val="both"/>
        <w:rPr>
          <w:rFonts w:ascii="Cambria" w:hAnsi="Cambria" w:cs="Times New Roman"/>
          <w:sz w:val="24"/>
          <w:szCs w:val="24"/>
        </w:rPr>
      </w:pPr>
      <w:r w:rsidRPr="00EA1BB2">
        <w:rPr>
          <w:rFonts w:ascii="Cambria" w:hAnsi="Cambria" w:cs="Times New Roman"/>
          <w:sz w:val="24"/>
          <w:szCs w:val="24"/>
        </w:rPr>
        <w:t>MDA - Modelul de dispersie atmosferică</w:t>
      </w:r>
      <w:r>
        <w:rPr>
          <w:rFonts w:ascii="Cambria" w:hAnsi="Cambria" w:cs="Times New Roman"/>
          <w:sz w:val="24"/>
          <w:szCs w:val="24"/>
        </w:rPr>
        <w:t>;</w:t>
      </w:r>
    </w:p>
    <w:p w14:paraId="1E83BCAD" w14:textId="2CB1F6D4" w:rsidR="00E65B47" w:rsidRPr="00EA1BB2" w:rsidRDefault="00E65B47" w:rsidP="00E65B47">
      <w:pPr>
        <w:spacing w:line="360" w:lineRule="auto"/>
        <w:jc w:val="both"/>
        <w:rPr>
          <w:rFonts w:ascii="Cambria" w:hAnsi="Cambria" w:cs="Times New Roman"/>
          <w:sz w:val="24"/>
          <w:szCs w:val="24"/>
        </w:rPr>
      </w:pPr>
      <w:r w:rsidRPr="00EA1BB2">
        <w:rPr>
          <w:rFonts w:ascii="Cambria" w:hAnsi="Cambria" w:cs="Times New Roman"/>
          <w:sz w:val="24"/>
          <w:szCs w:val="24"/>
        </w:rPr>
        <w:t>MDRAP</w:t>
      </w:r>
      <w:r w:rsidRPr="00EA1BB2">
        <w:t xml:space="preserve"> - </w:t>
      </w:r>
      <w:r w:rsidRPr="00EA1BB2">
        <w:rPr>
          <w:rFonts w:ascii="Cambria" w:hAnsi="Cambria" w:cs="Times New Roman"/>
          <w:sz w:val="24"/>
          <w:szCs w:val="24"/>
        </w:rPr>
        <w:t>Ministerul Dezvoltării Regionale și Administrației Publice</w:t>
      </w:r>
      <w:r>
        <w:rPr>
          <w:rFonts w:ascii="Cambria" w:hAnsi="Cambria" w:cs="Times New Roman"/>
          <w:sz w:val="24"/>
          <w:szCs w:val="24"/>
        </w:rPr>
        <w:t>;</w:t>
      </w:r>
    </w:p>
    <w:p w14:paraId="3EEA07F9" w14:textId="4D6D3D88" w:rsidR="00E65B47" w:rsidRPr="00EA1BB2" w:rsidRDefault="00E65B47" w:rsidP="00E65B47">
      <w:pPr>
        <w:spacing w:line="360" w:lineRule="auto"/>
        <w:jc w:val="both"/>
        <w:rPr>
          <w:rFonts w:ascii="Cambria" w:hAnsi="Cambria" w:cs="Times New Roman"/>
          <w:sz w:val="24"/>
          <w:szCs w:val="24"/>
        </w:rPr>
      </w:pPr>
      <w:r w:rsidRPr="00EA1BB2">
        <w:rPr>
          <w:rFonts w:ascii="Cambria" w:hAnsi="Cambria" w:cs="Times New Roman"/>
          <w:sz w:val="24"/>
          <w:szCs w:val="24"/>
        </w:rPr>
        <w:t>MDRAPFE</w:t>
      </w:r>
      <w:r w:rsidRPr="00EA1BB2">
        <w:t xml:space="preserve"> - </w:t>
      </w:r>
      <w:r w:rsidRPr="00EA1BB2">
        <w:rPr>
          <w:rFonts w:ascii="Cambria" w:hAnsi="Cambria" w:cs="Times New Roman"/>
          <w:sz w:val="24"/>
          <w:szCs w:val="24"/>
        </w:rPr>
        <w:t>Ministerul Dezvoltării Regionale și Administrației Publice</w:t>
      </w:r>
      <w:r w:rsidRPr="00EA1BB2">
        <w:t xml:space="preserve"> </w:t>
      </w:r>
      <w:r w:rsidRPr="00EA1BB2">
        <w:rPr>
          <w:rFonts w:ascii="Cambria" w:hAnsi="Cambria" w:cs="Times New Roman"/>
          <w:sz w:val="24"/>
          <w:szCs w:val="24"/>
        </w:rPr>
        <w:t>și Fondurilor Europene</w:t>
      </w:r>
      <w:r>
        <w:rPr>
          <w:rFonts w:ascii="Cambria" w:hAnsi="Cambria" w:cs="Times New Roman"/>
          <w:sz w:val="24"/>
          <w:szCs w:val="24"/>
        </w:rPr>
        <w:t>;</w:t>
      </w:r>
    </w:p>
    <w:p w14:paraId="3340AE1B" w14:textId="77777777" w:rsidR="00E65B47" w:rsidRPr="0083419F" w:rsidRDefault="00E65B47" w:rsidP="00E65B47">
      <w:pPr>
        <w:spacing w:line="360" w:lineRule="auto"/>
        <w:jc w:val="both"/>
        <w:rPr>
          <w:rFonts w:ascii="Cambria" w:hAnsi="Cambria" w:cs="Times New Roman"/>
          <w:sz w:val="24"/>
          <w:szCs w:val="24"/>
        </w:rPr>
      </w:pPr>
      <w:r>
        <w:rPr>
          <w:rFonts w:ascii="Cambria" w:hAnsi="Cambria" w:cs="Times New Roman"/>
          <w:sz w:val="24"/>
          <w:szCs w:val="24"/>
        </w:rPr>
        <w:t xml:space="preserve">MM - </w:t>
      </w:r>
      <w:r w:rsidRPr="0083419F">
        <w:rPr>
          <w:rFonts w:ascii="Cambria" w:hAnsi="Cambria" w:cs="Times New Roman"/>
          <w:sz w:val="24"/>
          <w:szCs w:val="24"/>
        </w:rPr>
        <w:t>Ministerul Mediului;</w:t>
      </w:r>
    </w:p>
    <w:p w14:paraId="536402B2" w14:textId="4AB00F46" w:rsidR="00E65B47" w:rsidRPr="00EA1BB2" w:rsidRDefault="00E65B47" w:rsidP="00E65B47">
      <w:pPr>
        <w:spacing w:line="360" w:lineRule="auto"/>
        <w:jc w:val="both"/>
        <w:rPr>
          <w:rFonts w:ascii="Cambria" w:hAnsi="Cambria" w:cs="Times New Roman"/>
          <w:sz w:val="24"/>
          <w:szCs w:val="24"/>
        </w:rPr>
      </w:pPr>
      <w:r w:rsidRPr="00EA1BB2">
        <w:rPr>
          <w:rFonts w:ascii="Cambria" w:hAnsi="Cambria" w:cs="Times New Roman"/>
          <w:sz w:val="24"/>
          <w:szCs w:val="24"/>
        </w:rPr>
        <w:t>MMDD - Ministerul Mediului și Dezvoltării Durabile</w:t>
      </w:r>
      <w:r>
        <w:rPr>
          <w:rFonts w:ascii="Cambria" w:hAnsi="Cambria" w:cs="Times New Roman"/>
          <w:sz w:val="24"/>
          <w:szCs w:val="24"/>
        </w:rPr>
        <w:t>;</w:t>
      </w:r>
    </w:p>
    <w:p w14:paraId="3EC84C0B" w14:textId="691A7FF3" w:rsidR="00E65B47" w:rsidRPr="00EA1BB2" w:rsidRDefault="00E65B47" w:rsidP="00E65B47">
      <w:pPr>
        <w:spacing w:line="360" w:lineRule="auto"/>
        <w:jc w:val="both"/>
        <w:rPr>
          <w:rFonts w:ascii="Cambria" w:hAnsi="Cambria" w:cs="Times New Roman"/>
          <w:sz w:val="24"/>
          <w:szCs w:val="24"/>
        </w:rPr>
      </w:pPr>
      <w:r w:rsidRPr="00EA1BB2">
        <w:rPr>
          <w:rFonts w:ascii="Cambria" w:hAnsi="Cambria" w:cs="Times New Roman"/>
          <w:sz w:val="24"/>
          <w:szCs w:val="24"/>
        </w:rPr>
        <w:t>MMP – Ministerul Mediului și Pădurilor</w:t>
      </w:r>
      <w:r>
        <w:rPr>
          <w:rFonts w:ascii="Cambria" w:hAnsi="Cambria" w:cs="Times New Roman"/>
          <w:sz w:val="24"/>
          <w:szCs w:val="24"/>
        </w:rPr>
        <w:t>;</w:t>
      </w:r>
    </w:p>
    <w:p w14:paraId="251A129F" w14:textId="77777777" w:rsidR="00E65B47" w:rsidRPr="0083419F" w:rsidRDefault="00E65B47" w:rsidP="00E65B47">
      <w:pPr>
        <w:spacing w:line="360" w:lineRule="auto"/>
        <w:jc w:val="both"/>
        <w:rPr>
          <w:rFonts w:ascii="Cambria" w:hAnsi="Cambria" w:cs="Times New Roman"/>
          <w:sz w:val="24"/>
          <w:szCs w:val="24"/>
        </w:rPr>
      </w:pPr>
      <w:r w:rsidRPr="0083419F">
        <w:rPr>
          <w:rFonts w:ascii="Cambria" w:hAnsi="Cambria" w:cs="Times New Roman"/>
          <w:sz w:val="24"/>
          <w:szCs w:val="24"/>
        </w:rPr>
        <w:t xml:space="preserve">MMSC </w:t>
      </w:r>
      <w:r>
        <w:rPr>
          <w:rFonts w:ascii="Cambria" w:hAnsi="Cambria" w:cs="Times New Roman"/>
          <w:sz w:val="24"/>
          <w:szCs w:val="24"/>
        </w:rPr>
        <w:t>-</w:t>
      </w:r>
      <w:r w:rsidRPr="0083419F">
        <w:rPr>
          <w:rFonts w:ascii="Cambria" w:hAnsi="Cambria" w:cs="Times New Roman"/>
          <w:sz w:val="24"/>
          <w:szCs w:val="24"/>
        </w:rPr>
        <w:t xml:space="preserve"> Ministerul Mediului și Schimbărilor Climatice;</w:t>
      </w:r>
    </w:p>
    <w:p w14:paraId="74492251" w14:textId="77777777" w:rsidR="00E65B47" w:rsidRPr="0083419F" w:rsidRDefault="00E65B47" w:rsidP="00E65B47">
      <w:pPr>
        <w:spacing w:line="360" w:lineRule="auto"/>
        <w:jc w:val="both"/>
        <w:rPr>
          <w:rFonts w:ascii="Cambria" w:hAnsi="Cambria" w:cs="Times New Roman"/>
          <w:sz w:val="24"/>
          <w:szCs w:val="24"/>
        </w:rPr>
      </w:pPr>
      <w:r w:rsidRPr="0083419F">
        <w:rPr>
          <w:rFonts w:ascii="Cambria" w:hAnsi="Cambria" w:cs="Times New Roman"/>
          <w:sz w:val="24"/>
          <w:szCs w:val="24"/>
        </w:rPr>
        <w:t xml:space="preserve">NFR </w:t>
      </w:r>
      <w:r>
        <w:rPr>
          <w:rFonts w:ascii="Cambria" w:hAnsi="Cambria" w:cs="Times New Roman"/>
          <w:sz w:val="24"/>
          <w:szCs w:val="24"/>
        </w:rPr>
        <w:t>-</w:t>
      </w:r>
      <w:r w:rsidRPr="0083419F">
        <w:rPr>
          <w:rFonts w:ascii="Cambria" w:hAnsi="Cambria" w:cs="Times New Roman"/>
          <w:sz w:val="24"/>
          <w:szCs w:val="24"/>
        </w:rPr>
        <w:t xml:space="preserve"> codificări alte activităților generatoare de emisii;</w:t>
      </w:r>
    </w:p>
    <w:p w14:paraId="34B68559" w14:textId="77777777" w:rsidR="00E65B47" w:rsidRPr="0083419F" w:rsidRDefault="00E65B47" w:rsidP="00E65B47">
      <w:pPr>
        <w:spacing w:line="360" w:lineRule="auto"/>
        <w:jc w:val="both"/>
        <w:rPr>
          <w:rFonts w:ascii="Cambria" w:hAnsi="Cambria" w:cs="Times New Roman"/>
          <w:sz w:val="24"/>
          <w:szCs w:val="24"/>
        </w:rPr>
      </w:pPr>
      <w:r>
        <w:rPr>
          <w:rFonts w:ascii="Cambria" w:hAnsi="Cambria" w:cs="Times New Roman"/>
          <w:sz w:val="24"/>
          <w:szCs w:val="24"/>
        </w:rPr>
        <w:t xml:space="preserve">OML </w:t>
      </w:r>
      <w:r w:rsidRPr="0083419F">
        <w:rPr>
          <w:rFonts w:ascii="Cambria" w:hAnsi="Cambria" w:cs="Times New Roman"/>
          <w:sz w:val="24"/>
          <w:szCs w:val="24"/>
        </w:rPr>
        <w:t xml:space="preserve">Multi </w:t>
      </w:r>
      <w:r>
        <w:rPr>
          <w:rFonts w:ascii="Cambria" w:hAnsi="Cambria" w:cs="Times New Roman"/>
          <w:sz w:val="24"/>
          <w:szCs w:val="24"/>
        </w:rPr>
        <w:t>-</w:t>
      </w:r>
      <w:r w:rsidRPr="0083419F">
        <w:rPr>
          <w:rFonts w:ascii="Cambria" w:hAnsi="Cambria" w:cs="Times New Roman"/>
          <w:sz w:val="24"/>
          <w:szCs w:val="24"/>
        </w:rPr>
        <w:t xml:space="preserve"> model de dispersie a poluanților în atmosferă de tip Gaussian;</w:t>
      </w:r>
    </w:p>
    <w:p w14:paraId="59266DFD" w14:textId="72FC54CC" w:rsidR="00E65B47" w:rsidRPr="0083419F" w:rsidRDefault="00E65B47" w:rsidP="00E65B47">
      <w:pPr>
        <w:spacing w:line="360" w:lineRule="auto"/>
        <w:jc w:val="both"/>
        <w:rPr>
          <w:rFonts w:ascii="Cambria" w:hAnsi="Cambria" w:cs="Times New Roman"/>
          <w:sz w:val="24"/>
          <w:szCs w:val="24"/>
        </w:rPr>
      </w:pPr>
      <w:r w:rsidRPr="0083419F">
        <w:rPr>
          <w:rFonts w:ascii="Cambria" w:hAnsi="Cambria" w:cs="Times New Roman"/>
          <w:sz w:val="24"/>
          <w:szCs w:val="24"/>
        </w:rPr>
        <w:t xml:space="preserve">PATJ </w:t>
      </w:r>
      <w:r>
        <w:rPr>
          <w:rFonts w:ascii="Cambria" w:hAnsi="Cambria" w:cs="Times New Roman"/>
          <w:sz w:val="24"/>
          <w:szCs w:val="24"/>
        </w:rPr>
        <w:t>-</w:t>
      </w:r>
      <w:r w:rsidRPr="0083419F">
        <w:rPr>
          <w:rFonts w:ascii="Cambria" w:hAnsi="Cambria" w:cs="Times New Roman"/>
          <w:sz w:val="24"/>
          <w:szCs w:val="24"/>
        </w:rPr>
        <w:t xml:space="preserve"> Plan </w:t>
      </w:r>
      <w:r w:rsidR="00AA45D2">
        <w:rPr>
          <w:rFonts w:ascii="Cambria" w:hAnsi="Cambria" w:cs="Times New Roman"/>
          <w:sz w:val="24"/>
          <w:szCs w:val="24"/>
        </w:rPr>
        <w:t xml:space="preserve">de </w:t>
      </w:r>
      <w:r w:rsidRPr="0083419F">
        <w:rPr>
          <w:rFonts w:ascii="Cambria" w:hAnsi="Cambria" w:cs="Times New Roman"/>
          <w:sz w:val="24"/>
          <w:szCs w:val="24"/>
        </w:rPr>
        <w:t>A</w:t>
      </w:r>
      <w:r w:rsidR="00AA45D2">
        <w:rPr>
          <w:rFonts w:ascii="Cambria" w:hAnsi="Cambria" w:cs="Times New Roman"/>
          <w:sz w:val="24"/>
          <w:szCs w:val="24"/>
        </w:rPr>
        <w:t xml:space="preserve">menajare a </w:t>
      </w:r>
      <w:r w:rsidRPr="0083419F">
        <w:rPr>
          <w:rFonts w:ascii="Cambria" w:hAnsi="Cambria" w:cs="Times New Roman"/>
          <w:sz w:val="24"/>
          <w:szCs w:val="24"/>
        </w:rPr>
        <w:t xml:space="preserve"> Terito</w:t>
      </w:r>
      <w:r w:rsidR="00AA45D2">
        <w:rPr>
          <w:rFonts w:ascii="Cambria" w:hAnsi="Cambria" w:cs="Times New Roman"/>
          <w:sz w:val="24"/>
          <w:szCs w:val="24"/>
        </w:rPr>
        <w:t xml:space="preserve">riului </w:t>
      </w:r>
      <w:r w:rsidRPr="0083419F">
        <w:rPr>
          <w:rFonts w:ascii="Cambria" w:hAnsi="Cambria" w:cs="Times New Roman"/>
          <w:sz w:val="24"/>
          <w:szCs w:val="24"/>
        </w:rPr>
        <w:t xml:space="preserve"> Județean</w:t>
      </w:r>
      <w:r>
        <w:rPr>
          <w:rFonts w:ascii="Cambria" w:hAnsi="Cambria" w:cs="Times New Roman"/>
          <w:sz w:val="24"/>
          <w:szCs w:val="24"/>
        </w:rPr>
        <w:t>;</w:t>
      </w:r>
    </w:p>
    <w:p w14:paraId="37D79069" w14:textId="77777777" w:rsidR="00E65B47" w:rsidRPr="0083419F" w:rsidRDefault="00E65B47" w:rsidP="00E65B47">
      <w:pPr>
        <w:spacing w:line="360" w:lineRule="auto"/>
        <w:jc w:val="both"/>
        <w:rPr>
          <w:rFonts w:ascii="Cambria" w:hAnsi="Cambria" w:cs="Times New Roman"/>
          <w:sz w:val="24"/>
          <w:szCs w:val="24"/>
        </w:rPr>
      </w:pPr>
      <w:r w:rsidRPr="0083419F">
        <w:rPr>
          <w:rFonts w:ascii="Cambria" w:hAnsi="Cambria" w:cs="Times New Roman"/>
          <w:sz w:val="24"/>
          <w:szCs w:val="24"/>
        </w:rPr>
        <w:t xml:space="preserve">PHARE </w:t>
      </w:r>
      <w:r>
        <w:rPr>
          <w:rFonts w:ascii="Cambria" w:hAnsi="Cambria" w:cs="Times New Roman"/>
          <w:sz w:val="24"/>
          <w:szCs w:val="24"/>
        </w:rPr>
        <w:t>-</w:t>
      </w:r>
      <w:r w:rsidRPr="0083419F">
        <w:rPr>
          <w:rFonts w:ascii="Cambria" w:hAnsi="Cambria" w:cs="Times New Roman"/>
          <w:sz w:val="24"/>
          <w:szCs w:val="24"/>
        </w:rPr>
        <w:t xml:space="preserve"> program de pre-aderare finanțat de către Uniunea Europeană;</w:t>
      </w:r>
    </w:p>
    <w:p w14:paraId="63CBED8D" w14:textId="77777777" w:rsidR="00E65B47" w:rsidRPr="0083419F" w:rsidRDefault="00E65B47" w:rsidP="00E65B47">
      <w:pPr>
        <w:spacing w:line="360" w:lineRule="auto"/>
        <w:jc w:val="both"/>
        <w:rPr>
          <w:rFonts w:ascii="Cambria" w:hAnsi="Cambria" w:cs="Times New Roman"/>
          <w:sz w:val="24"/>
          <w:szCs w:val="24"/>
        </w:rPr>
      </w:pPr>
      <w:r w:rsidRPr="0083419F">
        <w:rPr>
          <w:rFonts w:ascii="Cambria" w:hAnsi="Cambria" w:cs="Times New Roman"/>
          <w:sz w:val="24"/>
          <w:szCs w:val="24"/>
        </w:rPr>
        <w:t xml:space="preserve">PLAM </w:t>
      </w:r>
      <w:r>
        <w:rPr>
          <w:rFonts w:ascii="Cambria" w:hAnsi="Cambria" w:cs="Times New Roman"/>
          <w:sz w:val="24"/>
          <w:szCs w:val="24"/>
        </w:rPr>
        <w:t>-</w:t>
      </w:r>
      <w:r w:rsidRPr="0083419F">
        <w:rPr>
          <w:rFonts w:ascii="Cambria" w:hAnsi="Cambria" w:cs="Times New Roman"/>
          <w:sz w:val="24"/>
          <w:szCs w:val="24"/>
        </w:rPr>
        <w:t xml:space="preserve"> Plan Local de Acțiune pentru Mediu;</w:t>
      </w:r>
    </w:p>
    <w:p w14:paraId="21651929" w14:textId="77777777" w:rsidR="00E65B47" w:rsidRPr="0083419F" w:rsidRDefault="00E65B47" w:rsidP="00E65B47">
      <w:pPr>
        <w:spacing w:line="360" w:lineRule="auto"/>
        <w:jc w:val="both"/>
        <w:rPr>
          <w:rFonts w:ascii="Cambria" w:hAnsi="Cambria" w:cs="Times New Roman"/>
          <w:sz w:val="24"/>
          <w:szCs w:val="24"/>
        </w:rPr>
      </w:pPr>
      <w:r w:rsidRPr="0083419F">
        <w:rPr>
          <w:rFonts w:ascii="Cambria" w:hAnsi="Cambria" w:cs="Times New Roman"/>
          <w:sz w:val="24"/>
          <w:szCs w:val="24"/>
        </w:rPr>
        <w:t xml:space="preserve">PNAPM </w:t>
      </w:r>
      <w:r>
        <w:rPr>
          <w:rFonts w:ascii="Cambria" w:hAnsi="Cambria" w:cs="Times New Roman"/>
          <w:sz w:val="24"/>
          <w:szCs w:val="24"/>
        </w:rPr>
        <w:t>-</w:t>
      </w:r>
      <w:r w:rsidRPr="0083419F">
        <w:rPr>
          <w:rFonts w:ascii="Cambria" w:hAnsi="Cambria" w:cs="Times New Roman"/>
          <w:sz w:val="24"/>
          <w:szCs w:val="24"/>
        </w:rPr>
        <w:t xml:space="preserve"> Plan Național de Acțiune pentru Protecția Mediului;</w:t>
      </w:r>
    </w:p>
    <w:p w14:paraId="3E82F2B1" w14:textId="2FF50A20" w:rsidR="00E65B47" w:rsidRPr="00EA1BB2" w:rsidRDefault="00E65B47" w:rsidP="00E65B47">
      <w:pPr>
        <w:spacing w:line="360" w:lineRule="auto"/>
        <w:jc w:val="both"/>
        <w:rPr>
          <w:rFonts w:ascii="Cambria" w:hAnsi="Cambria" w:cs="Times New Roman"/>
          <w:sz w:val="24"/>
          <w:szCs w:val="24"/>
        </w:rPr>
      </w:pPr>
      <w:r w:rsidRPr="00EA1BB2">
        <w:rPr>
          <w:rFonts w:ascii="Cambria" w:hAnsi="Cambria" w:cs="Times New Roman"/>
          <w:sz w:val="24"/>
          <w:szCs w:val="24"/>
        </w:rPr>
        <w:t>PNDL - Programul Na</w:t>
      </w:r>
      <w:r>
        <w:rPr>
          <w:rFonts w:ascii="Cambria" w:hAnsi="Cambria" w:cs="Times New Roman"/>
          <w:sz w:val="24"/>
          <w:szCs w:val="24"/>
        </w:rPr>
        <w:t>ț</w:t>
      </w:r>
      <w:r w:rsidRPr="00EA1BB2">
        <w:rPr>
          <w:rFonts w:ascii="Cambria" w:hAnsi="Cambria" w:cs="Times New Roman"/>
          <w:sz w:val="24"/>
          <w:szCs w:val="24"/>
        </w:rPr>
        <w:t>ional de Dezvoltare Local</w:t>
      </w:r>
      <w:r>
        <w:rPr>
          <w:rFonts w:ascii="Cambria" w:hAnsi="Cambria" w:cs="Times New Roman"/>
          <w:sz w:val="24"/>
          <w:szCs w:val="24"/>
        </w:rPr>
        <w:t>ă;</w:t>
      </w:r>
    </w:p>
    <w:p w14:paraId="40A53E00" w14:textId="53AA2A7C" w:rsidR="00E65B47" w:rsidRDefault="00E65B47" w:rsidP="00E65B47">
      <w:pPr>
        <w:spacing w:line="360" w:lineRule="auto"/>
        <w:jc w:val="both"/>
        <w:rPr>
          <w:rFonts w:ascii="Cambria" w:hAnsi="Cambria" w:cs="Times New Roman"/>
          <w:sz w:val="24"/>
          <w:szCs w:val="24"/>
        </w:rPr>
      </w:pPr>
      <w:r w:rsidRPr="0083419F">
        <w:rPr>
          <w:rFonts w:ascii="Cambria" w:hAnsi="Cambria" w:cs="Times New Roman"/>
          <w:sz w:val="24"/>
          <w:szCs w:val="24"/>
        </w:rPr>
        <w:t xml:space="preserve">POIM </w:t>
      </w:r>
      <w:r>
        <w:rPr>
          <w:rFonts w:ascii="Cambria" w:hAnsi="Cambria" w:cs="Times New Roman"/>
          <w:sz w:val="24"/>
          <w:szCs w:val="24"/>
        </w:rPr>
        <w:t>-</w:t>
      </w:r>
      <w:r w:rsidRPr="0083419F">
        <w:rPr>
          <w:rFonts w:ascii="Cambria" w:hAnsi="Cambria" w:cs="Times New Roman"/>
          <w:sz w:val="24"/>
          <w:szCs w:val="24"/>
        </w:rPr>
        <w:t xml:space="preserve"> Program Operațional Infrastructura Mare</w:t>
      </w:r>
      <w:r>
        <w:rPr>
          <w:rFonts w:ascii="Cambria" w:hAnsi="Cambria" w:cs="Times New Roman"/>
          <w:sz w:val="24"/>
          <w:szCs w:val="24"/>
        </w:rPr>
        <w:t>;</w:t>
      </w:r>
    </w:p>
    <w:p w14:paraId="1E486DB4" w14:textId="74E35BF1" w:rsidR="00E65B47" w:rsidRPr="00EA1BB2" w:rsidRDefault="00E65B47" w:rsidP="00E65B47">
      <w:pPr>
        <w:spacing w:line="360" w:lineRule="auto"/>
        <w:jc w:val="both"/>
        <w:rPr>
          <w:rFonts w:ascii="Cambria" w:hAnsi="Cambria" w:cs="Times New Roman"/>
          <w:sz w:val="24"/>
          <w:szCs w:val="24"/>
        </w:rPr>
      </w:pPr>
      <w:r w:rsidRPr="00EA1BB2">
        <w:rPr>
          <w:rFonts w:ascii="Cambria" w:hAnsi="Cambria" w:cs="Times New Roman"/>
          <w:sz w:val="24"/>
          <w:szCs w:val="24"/>
        </w:rPr>
        <w:t>POR</w:t>
      </w:r>
      <w:r w:rsidRPr="00EA1BB2">
        <w:t xml:space="preserve"> - </w:t>
      </w:r>
      <w:r w:rsidRPr="00EA1BB2">
        <w:rPr>
          <w:rFonts w:ascii="Cambria" w:hAnsi="Cambria" w:cs="Times New Roman"/>
          <w:sz w:val="24"/>
          <w:szCs w:val="24"/>
        </w:rPr>
        <w:t>Programul Operațional Regional</w:t>
      </w:r>
      <w:r>
        <w:rPr>
          <w:rFonts w:ascii="Cambria" w:hAnsi="Cambria" w:cs="Times New Roman"/>
          <w:sz w:val="24"/>
          <w:szCs w:val="24"/>
        </w:rPr>
        <w:t>;</w:t>
      </w:r>
    </w:p>
    <w:p w14:paraId="5BA554DA" w14:textId="77777777" w:rsidR="00E65B47" w:rsidRPr="0083419F" w:rsidRDefault="00E65B47" w:rsidP="00E65B47">
      <w:pPr>
        <w:spacing w:line="360" w:lineRule="auto"/>
        <w:jc w:val="both"/>
        <w:rPr>
          <w:rFonts w:ascii="Cambria" w:hAnsi="Cambria" w:cs="Times New Roman"/>
          <w:sz w:val="24"/>
          <w:szCs w:val="24"/>
        </w:rPr>
      </w:pPr>
      <w:r>
        <w:rPr>
          <w:rFonts w:ascii="Cambria" w:hAnsi="Cambria" w:cs="Times New Roman"/>
          <w:sz w:val="24"/>
          <w:szCs w:val="24"/>
        </w:rPr>
        <w:t xml:space="preserve">POS </w:t>
      </w:r>
      <w:r w:rsidRPr="0083419F">
        <w:rPr>
          <w:rFonts w:ascii="Cambria" w:hAnsi="Cambria" w:cs="Times New Roman"/>
          <w:sz w:val="24"/>
          <w:szCs w:val="24"/>
        </w:rPr>
        <w:t xml:space="preserve">Mediu </w:t>
      </w:r>
      <w:r>
        <w:rPr>
          <w:rFonts w:ascii="Cambria" w:hAnsi="Cambria" w:cs="Times New Roman"/>
          <w:sz w:val="24"/>
          <w:szCs w:val="24"/>
        </w:rPr>
        <w:t>-</w:t>
      </w:r>
      <w:r w:rsidRPr="0083419F">
        <w:rPr>
          <w:rFonts w:ascii="Cambria" w:hAnsi="Cambria" w:cs="Times New Roman"/>
          <w:sz w:val="24"/>
          <w:szCs w:val="24"/>
        </w:rPr>
        <w:t xml:space="preserve"> Program Operațional Sectorial Mediu;</w:t>
      </w:r>
    </w:p>
    <w:p w14:paraId="70B50D74" w14:textId="77777777" w:rsidR="00E65B47" w:rsidRPr="0083419F" w:rsidRDefault="00E65B47" w:rsidP="00E65B47">
      <w:pPr>
        <w:spacing w:line="360" w:lineRule="auto"/>
        <w:jc w:val="both"/>
        <w:rPr>
          <w:rFonts w:ascii="Cambria" w:hAnsi="Cambria" w:cs="Times New Roman"/>
          <w:sz w:val="24"/>
          <w:szCs w:val="24"/>
        </w:rPr>
      </w:pPr>
      <w:r w:rsidRPr="0083419F">
        <w:rPr>
          <w:rFonts w:ascii="Cambria" w:hAnsi="Cambria" w:cs="Times New Roman"/>
          <w:sz w:val="24"/>
          <w:szCs w:val="24"/>
        </w:rPr>
        <w:t xml:space="preserve">PRAM </w:t>
      </w:r>
      <w:r>
        <w:rPr>
          <w:rFonts w:ascii="Cambria" w:hAnsi="Cambria" w:cs="Times New Roman"/>
          <w:sz w:val="24"/>
          <w:szCs w:val="24"/>
        </w:rPr>
        <w:t>-</w:t>
      </w:r>
      <w:r w:rsidRPr="0083419F">
        <w:rPr>
          <w:rFonts w:ascii="Cambria" w:hAnsi="Cambria" w:cs="Times New Roman"/>
          <w:sz w:val="24"/>
          <w:szCs w:val="24"/>
        </w:rPr>
        <w:t xml:space="preserve"> Plan Regional de Acțiune pentru Mediu;</w:t>
      </w:r>
    </w:p>
    <w:p w14:paraId="6CD2084F" w14:textId="392CD49F" w:rsidR="00E65B47" w:rsidRPr="00EA1BB2" w:rsidRDefault="00E65B47" w:rsidP="00E65B47">
      <w:pPr>
        <w:spacing w:line="360" w:lineRule="auto"/>
        <w:jc w:val="both"/>
        <w:rPr>
          <w:rFonts w:ascii="Cambria" w:hAnsi="Cambria" w:cs="Times New Roman"/>
          <w:sz w:val="24"/>
          <w:szCs w:val="24"/>
        </w:rPr>
      </w:pPr>
      <w:r w:rsidRPr="00EA1BB2">
        <w:rPr>
          <w:rFonts w:ascii="Cambria" w:hAnsi="Cambria" w:cs="Times New Roman"/>
          <w:sz w:val="24"/>
          <w:szCs w:val="24"/>
        </w:rPr>
        <w:t>RNMCA - Rețeaua Națională de Monitorizare a Calității Aerului</w:t>
      </w:r>
      <w:r>
        <w:rPr>
          <w:rFonts w:ascii="Cambria" w:hAnsi="Cambria" w:cs="Times New Roman"/>
          <w:sz w:val="24"/>
          <w:szCs w:val="24"/>
        </w:rPr>
        <w:t>;</w:t>
      </w:r>
    </w:p>
    <w:p w14:paraId="5095B190" w14:textId="6745E21F" w:rsidR="00E65B47" w:rsidRPr="00EA1BB2" w:rsidRDefault="00E65B47" w:rsidP="00E65B47">
      <w:pPr>
        <w:spacing w:line="360" w:lineRule="auto"/>
        <w:jc w:val="both"/>
        <w:rPr>
          <w:rFonts w:ascii="Cambria" w:hAnsi="Cambria" w:cs="Times New Roman"/>
          <w:sz w:val="24"/>
          <w:szCs w:val="24"/>
        </w:rPr>
      </w:pPr>
      <w:r w:rsidRPr="00EA1BB2">
        <w:rPr>
          <w:rFonts w:ascii="Cambria" w:hAnsi="Cambria" w:cs="Times New Roman"/>
          <w:sz w:val="24"/>
          <w:szCs w:val="24"/>
        </w:rPr>
        <w:t>RPL - Recensământul Populației și al Locuințelor</w:t>
      </w:r>
      <w:r>
        <w:rPr>
          <w:rFonts w:ascii="Cambria" w:hAnsi="Cambria" w:cs="Times New Roman"/>
          <w:sz w:val="24"/>
          <w:szCs w:val="24"/>
        </w:rPr>
        <w:t>;</w:t>
      </w:r>
    </w:p>
    <w:p w14:paraId="6DBE3A93" w14:textId="77777777" w:rsidR="00E65B47" w:rsidRPr="0083419F" w:rsidRDefault="00E65B47" w:rsidP="00E65B47">
      <w:pPr>
        <w:spacing w:line="360" w:lineRule="auto"/>
        <w:jc w:val="both"/>
        <w:rPr>
          <w:rFonts w:ascii="Cambria" w:hAnsi="Cambria" w:cs="Times New Roman"/>
          <w:sz w:val="24"/>
          <w:szCs w:val="24"/>
        </w:rPr>
      </w:pPr>
      <w:r w:rsidRPr="0083419F">
        <w:rPr>
          <w:rFonts w:ascii="Cambria" w:hAnsi="Cambria" w:cs="Times New Roman"/>
          <w:sz w:val="24"/>
          <w:szCs w:val="24"/>
        </w:rPr>
        <w:t xml:space="preserve">SIM </w:t>
      </w:r>
      <w:r>
        <w:rPr>
          <w:rFonts w:ascii="Cambria" w:hAnsi="Cambria" w:cs="Times New Roman"/>
          <w:sz w:val="24"/>
          <w:szCs w:val="24"/>
        </w:rPr>
        <w:t>-</w:t>
      </w:r>
      <w:r w:rsidRPr="0083419F">
        <w:rPr>
          <w:rFonts w:ascii="Cambria" w:hAnsi="Cambria" w:cs="Times New Roman"/>
          <w:sz w:val="24"/>
          <w:szCs w:val="24"/>
        </w:rPr>
        <w:t xml:space="preserve"> Sistem Informatic Integrat de Mediu;</w:t>
      </w:r>
    </w:p>
    <w:p w14:paraId="35DA13E9" w14:textId="0284CAED" w:rsidR="00E65B47" w:rsidRPr="00EA1BB2" w:rsidRDefault="00E65B47" w:rsidP="00E65B47">
      <w:pPr>
        <w:spacing w:line="360" w:lineRule="auto"/>
        <w:jc w:val="both"/>
        <w:rPr>
          <w:rFonts w:ascii="Cambria" w:hAnsi="Cambria" w:cs="Times New Roman"/>
          <w:sz w:val="24"/>
          <w:szCs w:val="24"/>
        </w:rPr>
      </w:pPr>
      <w:r w:rsidRPr="00EA1BB2">
        <w:rPr>
          <w:rFonts w:ascii="Cambria" w:hAnsi="Cambria" w:cs="Times New Roman"/>
          <w:sz w:val="24"/>
          <w:szCs w:val="24"/>
        </w:rPr>
        <w:lastRenderedPageBreak/>
        <w:t>UAT – Unitate administrativ teritorială</w:t>
      </w:r>
      <w:r>
        <w:rPr>
          <w:rFonts w:ascii="Cambria" w:hAnsi="Cambria" w:cs="Times New Roman"/>
          <w:sz w:val="24"/>
          <w:szCs w:val="24"/>
        </w:rPr>
        <w:t>;</w:t>
      </w:r>
    </w:p>
    <w:p w14:paraId="0A3AAAE3" w14:textId="6876706B" w:rsidR="00E65B47" w:rsidRPr="00EA1BB2" w:rsidRDefault="00E65B47" w:rsidP="00E65B47">
      <w:pPr>
        <w:spacing w:line="360" w:lineRule="auto"/>
        <w:jc w:val="both"/>
        <w:rPr>
          <w:rFonts w:ascii="Cambria" w:hAnsi="Cambria" w:cs="Times New Roman"/>
          <w:sz w:val="24"/>
          <w:szCs w:val="24"/>
        </w:rPr>
      </w:pPr>
      <w:r w:rsidRPr="00EA1BB2">
        <w:rPr>
          <w:rFonts w:ascii="Cambria" w:hAnsi="Cambria" w:cs="Times New Roman"/>
          <w:sz w:val="24"/>
          <w:szCs w:val="24"/>
        </w:rPr>
        <w:t>UE – Uniunea Europeană</w:t>
      </w:r>
      <w:r>
        <w:rPr>
          <w:rFonts w:ascii="Cambria" w:hAnsi="Cambria" w:cs="Times New Roman"/>
          <w:sz w:val="24"/>
          <w:szCs w:val="24"/>
        </w:rPr>
        <w:t>.</w:t>
      </w:r>
    </w:p>
    <w:p w14:paraId="6F1ECD0C" w14:textId="77777777" w:rsidR="0083419F" w:rsidRPr="00EA1BB2" w:rsidRDefault="0083419F" w:rsidP="00D82864">
      <w:pPr>
        <w:spacing w:line="360" w:lineRule="auto"/>
        <w:rPr>
          <w:rFonts w:ascii="Cambria" w:hAnsi="Cambria" w:cs="Times New Roman"/>
          <w:sz w:val="24"/>
          <w:szCs w:val="24"/>
        </w:rPr>
      </w:pPr>
    </w:p>
    <w:p w14:paraId="1B7D3EC9" w14:textId="77777777" w:rsidR="002005F2" w:rsidRPr="00EA1BB2" w:rsidRDefault="002005F2" w:rsidP="002005F2">
      <w:pPr>
        <w:spacing w:line="360" w:lineRule="auto"/>
        <w:ind w:firstLine="708"/>
        <w:jc w:val="both"/>
        <w:rPr>
          <w:rFonts w:ascii="Cambria" w:hAnsi="Cambria"/>
        </w:rPr>
      </w:pPr>
      <w:r w:rsidRPr="00EA1BB2">
        <w:rPr>
          <w:rFonts w:ascii="Cambria" w:hAnsi="Cambria" w:cs="Times New Roman"/>
          <w:b/>
          <w:sz w:val="24"/>
          <w:szCs w:val="24"/>
        </w:rPr>
        <w:t>Compu</w:t>
      </w:r>
      <w:r w:rsidR="00054880" w:rsidRPr="00EA1BB2">
        <w:rPr>
          <w:rFonts w:ascii="Cambria" w:hAnsi="Cambria" w:cs="Times New Roman"/>
          <w:b/>
          <w:sz w:val="24"/>
          <w:szCs w:val="24"/>
        </w:rPr>
        <w:t>ș</w:t>
      </w:r>
      <w:r w:rsidRPr="00EA1BB2">
        <w:rPr>
          <w:rFonts w:ascii="Cambria" w:hAnsi="Cambria" w:cs="Times New Roman"/>
          <w:b/>
          <w:sz w:val="24"/>
          <w:szCs w:val="24"/>
        </w:rPr>
        <w:t xml:space="preserve">i chimici </w:t>
      </w:r>
    </w:p>
    <w:p w14:paraId="2EDE726C" w14:textId="77777777" w:rsidR="002005F2" w:rsidRPr="00EA1BB2" w:rsidRDefault="002005F2" w:rsidP="002005F2">
      <w:pPr>
        <w:spacing w:line="360" w:lineRule="auto"/>
        <w:rPr>
          <w:rFonts w:ascii="Cambria" w:hAnsi="Cambria" w:cs="Times New Roman"/>
          <w:sz w:val="24"/>
          <w:szCs w:val="24"/>
        </w:rPr>
      </w:pPr>
      <w:r w:rsidRPr="00EA1BB2">
        <w:rPr>
          <w:rFonts w:ascii="Cambria" w:hAnsi="Cambria" w:cs="Times New Roman"/>
          <w:sz w:val="24"/>
          <w:szCs w:val="24"/>
        </w:rPr>
        <w:t>PM</w:t>
      </w:r>
      <w:r w:rsidRPr="00EA1BB2">
        <w:rPr>
          <w:rFonts w:ascii="Cambria" w:hAnsi="Cambria" w:cs="Times New Roman"/>
          <w:sz w:val="24"/>
          <w:szCs w:val="24"/>
          <w:vertAlign w:val="subscript"/>
        </w:rPr>
        <w:t>10</w:t>
      </w:r>
      <w:r w:rsidRPr="00EA1BB2">
        <w:rPr>
          <w:rFonts w:ascii="Cambria" w:hAnsi="Cambria" w:cs="Times New Roman"/>
          <w:sz w:val="24"/>
          <w:szCs w:val="24"/>
        </w:rPr>
        <w:t xml:space="preserve"> – </w:t>
      </w:r>
      <w:r w:rsidR="001F469E" w:rsidRPr="00EA1BB2">
        <w:rPr>
          <w:rFonts w:ascii="Cambria" w:hAnsi="Cambria" w:cs="Times New Roman"/>
          <w:sz w:val="24"/>
          <w:szCs w:val="24"/>
        </w:rPr>
        <w:t>pulberi în suspensie</w:t>
      </w:r>
      <w:r w:rsidRPr="00EA1BB2">
        <w:rPr>
          <w:rFonts w:ascii="Cambria" w:hAnsi="Cambria" w:cs="Times New Roman"/>
          <w:sz w:val="24"/>
          <w:szCs w:val="24"/>
        </w:rPr>
        <w:t xml:space="preserve"> cu </w:t>
      </w:r>
      <w:r w:rsidR="00E15AA7" w:rsidRPr="00EA1BB2">
        <w:rPr>
          <w:rFonts w:ascii="Cambria" w:hAnsi="Cambria" w:cs="Times New Roman"/>
          <w:sz w:val="24"/>
          <w:szCs w:val="24"/>
        </w:rPr>
        <w:t xml:space="preserve">diametrul mai mic </w:t>
      </w:r>
      <w:r w:rsidRPr="00EA1BB2">
        <w:rPr>
          <w:rFonts w:ascii="Cambria" w:hAnsi="Cambria" w:cs="Times New Roman"/>
          <w:sz w:val="24"/>
          <w:szCs w:val="24"/>
        </w:rPr>
        <w:t>de 10 µ</w:t>
      </w:r>
      <w:r w:rsidR="00B43D4F" w:rsidRPr="00EA1BB2">
        <w:rPr>
          <w:rFonts w:ascii="Cambria" w:hAnsi="Cambria" w:cs="Times New Roman"/>
          <w:sz w:val="24"/>
          <w:szCs w:val="24"/>
        </w:rPr>
        <w:t>m</w:t>
      </w:r>
      <w:r w:rsidRPr="00EA1BB2">
        <w:rPr>
          <w:rFonts w:ascii="Cambria" w:hAnsi="Cambria" w:cs="Times New Roman"/>
          <w:sz w:val="24"/>
          <w:szCs w:val="24"/>
        </w:rPr>
        <w:t xml:space="preserve">; </w:t>
      </w:r>
    </w:p>
    <w:p w14:paraId="26D86510" w14:textId="77777777" w:rsidR="002005F2" w:rsidRPr="00EA1BB2" w:rsidRDefault="002005F2" w:rsidP="002005F2">
      <w:pPr>
        <w:spacing w:line="360" w:lineRule="auto"/>
        <w:rPr>
          <w:rFonts w:ascii="Cambria" w:hAnsi="Cambria" w:cs="Times New Roman"/>
          <w:sz w:val="24"/>
          <w:szCs w:val="24"/>
        </w:rPr>
      </w:pPr>
      <w:r w:rsidRPr="00EA1BB2">
        <w:rPr>
          <w:rFonts w:ascii="Cambria" w:hAnsi="Cambria" w:cs="Times New Roman"/>
          <w:sz w:val="24"/>
          <w:szCs w:val="24"/>
        </w:rPr>
        <w:t>PM</w:t>
      </w:r>
      <w:r w:rsidRPr="00EA1BB2">
        <w:rPr>
          <w:rFonts w:ascii="Cambria" w:hAnsi="Cambria" w:cs="Times New Roman"/>
          <w:sz w:val="24"/>
          <w:szCs w:val="24"/>
          <w:vertAlign w:val="subscript"/>
        </w:rPr>
        <w:t xml:space="preserve">2,5 </w:t>
      </w:r>
      <w:r w:rsidRPr="00EA1BB2">
        <w:rPr>
          <w:rFonts w:ascii="Cambria" w:hAnsi="Cambria" w:cs="Times New Roman"/>
          <w:sz w:val="24"/>
          <w:szCs w:val="24"/>
        </w:rPr>
        <w:t xml:space="preserve">– </w:t>
      </w:r>
      <w:r w:rsidR="001F469E" w:rsidRPr="00EA1BB2">
        <w:rPr>
          <w:rFonts w:ascii="Cambria" w:hAnsi="Cambria" w:cs="Times New Roman"/>
          <w:sz w:val="24"/>
          <w:szCs w:val="24"/>
        </w:rPr>
        <w:t>pulberi în suspensie</w:t>
      </w:r>
      <w:r w:rsidRPr="00EA1BB2">
        <w:rPr>
          <w:rFonts w:ascii="Cambria" w:hAnsi="Cambria" w:cs="Times New Roman"/>
          <w:sz w:val="24"/>
          <w:szCs w:val="24"/>
        </w:rPr>
        <w:t xml:space="preserve"> cu </w:t>
      </w:r>
      <w:r w:rsidR="00E15AA7" w:rsidRPr="00EA1BB2">
        <w:rPr>
          <w:rFonts w:ascii="Cambria" w:hAnsi="Cambria" w:cs="Times New Roman"/>
          <w:sz w:val="24"/>
          <w:szCs w:val="24"/>
        </w:rPr>
        <w:t xml:space="preserve">diametrul mai mic de </w:t>
      </w:r>
      <w:r w:rsidRPr="00EA1BB2">
        <w:rPr>
          <w:rFonts w:ascii="Cambria" w:hAnsi="Cambria" w:cs="Times New Roman"/>
          <w:sz w:val="24"/>
          <w:szCs w:val="24"/>
        </w:rPr>
        <w:t>2,5 µ</w:t>
      </w:r>
      <w:r w:rsidR="00B43D4F" w:rsidRPr="00EA1BB2">
        <w:rPr>
          <w:rFonts w:ascii="Cambria" w:hAnsi="Cambria" w:cs="Times New Roman"/>
          <w:sz w:val="24"/>
          <w:szCs w:val="24"/>
        </w:rPr>
        <w:t>m</w:t>
      </w:r>
      <w:r w:rsidRPr="00EA1BB2">
        <w:rPr>
          <w:rFonts w:ascii="Cambria" w:hAnsi="Cambria" w:cs="Times New Roman"/>
          <w:sz w:val="24"/>
          <w:szCs w:val="24"/>
        </w:rPr>
        <w:t xml:space="preserve">; </w:t>
      </w:r>
    </w:p>
    <w:p w14:paraId="56A9E9C2" w14:textId="77777777" w:rsidR="002005F2" w:rsidRPr="00EA1BB2" w:rsidRDefault="002005F2" w:rsidP="002005F2">
      <w:pPr>
        <w:spacing w:line="360" w:lineRule="auto"/>
        <w:rPr>
          <w:rFonts w:ascii="Cambria" w:hAnsi="Cambria" w:cs="Times New Roman"/>
          <w:sz w:val="24"/>
          <w:szCs w:val="24"/>
        </w:rPr>
      </w:pPr>
      <w:r w:rsidRPr="00EA1BB2">
        <w:rPr>
          <w:rFonts w:ascii="Cambria" w:hAnsi="Cambria" w:cs="Times New Roman"/>
          <w:sz w:val="24"/>
          <w:szCs w:val="24"/>
        </w:rPr>
        <w:t>C</w:t>
      </w:r>
      <w:r w:rsidRPr="00EA1BB2">
        <w:rPr>
          <w:rFonts w:ascii="Cambria" w:hAnsi="Cambria" w:cs="Times New Roman"/>
          <w:sz w:val="24"/>
          <w:szCs w:val="24"/>
          <w:vertAlign w:val="subscript"/>
        </w:rPr>
        <w:t>6</w:t>
      </w:r>
      <w:r w:rsidRPr="00EA1BB2">
        <w:rPr>
          <w:rFonts w:ascii="Cambria" w:hAnsi="Cambria" w:cs="Times New Roman"/>
          <w:sz w:val="24"/>
          <w:szCs w:val="24"/>
        </w:rPr>
        <w:t>H</w:t>
      </w:r>
      <w:r w:rsidRPr="00EA1BB2">
        <w:rPr>
          <w:rFonts w:ascii="Cambria" w:hAnsi="Cambria" w:cs="Times New Roman"/>
          <w:sz w:val="24"/>
          <w:szCs w:val="24"/>
          <w:vertAlign w:val="subscript"/>
        </w:rPr>
        <w:t xml:space="preserve">6 </w:t>
      </w:r>
      <w:r w:rsidRPr="00EA1BB2">
        <w:rPr>
          <w:rFonts w:ascii="Cambria" w:hAnsi="Cambria" w:cs="Times New Roman"/>
          <w:sz w:val="24"/>
          <w:szCs w:val="24"/>
        </w:rPr>
        <w:t xml:space="preserve">– benzen; </w:t>
      </w:r>
    </w:p>
    <w:p w14:paraId="4F79943D" w14:textId="77777777" w:rsidR="002005F2" w:rsidRPr="00EA1BB2" w:rsidRDefault="002005F2" w:rsidP="002005F2">
      <w:pPr>
        <w:spacing w:line="360" w:lineRule="auto"/>
        <w:rPr>
          <w:rFonts w:ascii="Cambria" w:hAnsi="Cambria" w:cs="Times New Roman"/>
          <w:sz w:val="24"/>
          <w:szCs w:val="24"/>
        </w:rPr>
      </w:pPr>
      <w:r w:rsidRPr="00EA1BB2">
        <w:rPr>
          <w:rFonts w:ascii="Cambria" w:hAnsi="Cambria" w:cs="Times New Roman"/>
          <w:sz w:val="24"/>
          <w:szCs w:val="24"/>
        </w:rPr>
        <w:t>SO</w:t>
      </w:r>
      <w:r w:rsidRPr="00EA1BB2">
        <w:rPr>
          <w:rFonts w:ascii="Cambria" w:hAnsi="Cambria" w:cs="Times New Roman"/>
          <w:sz w:val="24"/>
          <w:szCs w:val="24"/>
          <w:vertAlign w:val="subscript"/>
        </w:rPr>
        <w:t>2</w:t>
      </w:r>
      <w:r w:rsidRPr="00EA1BB2">
        <w:rPr>
          <w:rFonts w:ascii="Cambria" w:hAnsi="Cambria" w:cs="Times New Roman"/>
          <w:sz w:val="24"/>
          <w:szCs w:val="24"/>
        </w:rPr>
        <w:t xml:space="preserve"> – dioxid de sulf; </w:t>
      </w:r>
    </w:p>
    <w:p w14:paraId="0638BD0F" w14:textId="77777777" w:rsidR="002005F2" w:rsidRPr="00EA1BB2" w:rsidRDefault="002005F2" w:rsidP="002005F2">
      <w:pPr>
        <w:spacing w:line="360" w:lineRule="auto"/>
        <w:rPr>
          <w:rFonts w:ascii="Cambria" w:hAnsi="Cambria" w:cs="Times New Roman"/>
          <w:sz w:val="24"/>
          <w:szCs w:val="24"/>
        </w:rPr>
      </w:pPr>
      <w:r w:rsidRPr="00EA1BB2">
        <w:rPr>
          <w:rFonts w:ascii="Cambria" w:hAnsi="Cambria" w:cs="Times New Roman"/>
          <w:sz w:val="24"/>
          <w:szCs w:val="24"/>
        </w:rPr>
        <w:t xml:space="preserve">CO – monoxid de carbon; </w:t>
      </w:r>
    </w:p>
    <w:p w14:paraId="49B99435" w14:textId="77777777" w:rsidR="002005F2" w:rsidRPr="00EA1BB2" w:rsidRDefault="002005F2" w:rsidP="002005F2">
      <w:pPr>
        <w:spacing w:line="360" w:lineRule="auto"/>
        <w:rPr>
          <w:rFonts w:ascii="Cambria" w:hAnsi="Cambria" w:cs="Times New Roman"/>
          <w:sz w:val="24"/>
          <w:szCs w:val="24"/>
        </w:rPr>
      </w:pPr>
      <w:r w:rsidRPr="00EA1BB2">
        <w:rPr>
          <w:rFonts w:ascii="Cambria" w:hAnsi="Cambria" w:cs="Times New Roman"/>
          <w:sz w:val="24"/>
          <w:szCs w:val="24"/>
        </w:rPr>
        <w:t>NO</w:t>
      </w:r>
      <w:r w:rsidRPr="00EA1BB2">
        <w:rPr>
          <w:rFonts w:ascii="Cambria" w:hAnsi="Cambria" w:cs="Times New Roman"/>
          <w:sz w:val="24"/>
          <w:szCs w:val="24"/>
          <w:vertAlign w:val="subscript"/>
        </w:rPr>
        <w:t>2</w:t>
      </w:r>
      <w:r w:rsidRPr="00EA1BB2">
        <w:rPr>
          <w:rFonts w:ascii="Cambria" w:hAnsi="Cambria" w:cs="Times New Roman"/>
          <w:sz w:val="24"/>
          <w:szCs w:val="24"/>
        </w:rPr>
        <w:t xml:space="preserve"> – dioxid de azot; </w:t>
      </w:r>
    </w:p>
    <w:p w14:paraId="6F779216" w14:textId="77777777" w:rsidR="002005F2" w:rsidRPr="00EA1BB2" w:rsidRDefault="002005F2" w:rsidP="002005F2">
      <w:pPr>
        <w:spacing w:line="360" w:lineRule="auto"/>
        <w:rPr>
          <w:rFonts w:ascii="Cambria" w:hAnsi="Cambria" w:cs="Times New Roman"/>
          <w:sz w:val="24"/>
          <w:szCs w:val="24"/>
        </w:rPr>
      </w:pPr>
      <w:r w:rsidRPr="00EA1BB2">
        <w:rPr>
          <w:rFonts w:ascii="Cambria" w:hAnsi="Cambria" w:cs="Times New Roman"/>
          <w:sz w:val="24"/>
          <w:szCs w:val="24"/>
        </w:rPr>
        <w:t xml:space="preserve">NOx – oxizi de azot; </w:t>
      </w:r>
    </w:p>
    <w:p w14:paraId="592C5837" w14:textId="77777777" w:rsidR="002005F2" w:rsidRPr="00EA1BB2" w:rsidRDefault="002005F2" w:rsidP="002005F2">
      <w:pPr>
        <w:spacing w:line="360" w:lineRule="auto"/>
        <w:rPr>
          <w:rFonts w:ascii="Cambria" w:hAnsi="Cambria" w:cs="Times New Roman"/>
          <w:sz w:val="24"/>
          <w:szCs w:val="24"/>
        </w:rPr>
      </w:pPr>
      <w:r w:rsidRPr="00EA1BB2">
        <w:rPr>
          <w:rFonts w:ascii="Cambria" w:hAnsi="Cambria" w:cs="Times New Roman"/>
          <w:sz w:val="24"/>
          <w:szCs w:val="24"/>
        </w:rPr>
        <w:t>NMVOC – compu</w:t>
      </w:r>
      <w:r w:rsidR="00054880" w:rsidRPr="00EA1BB2">
        <w:rPr>
          <w:rFonts w:ascii="Cambria" w:hAnsi="Cambria" w:cs="Times New Roman"/>
          <w:sz w:val="24"/>
          <w:szCs w:val="24"/>
        </w:rPr>
        <w:t>ș</w:t>
      </w:r>
      <w:r w:rsidRPr="00EA1BB2">
        <w:rPr>
          <w:rFonts w:ascii="Cambria" w:hAnsi="Cambria" w:cs="Times New Roman"/>
          <w:sz w:val="24"/>
          <w:szCs w:val="24"/>
        </w:rPr>
        <w:t>i organici volatili nemeta</w:t>
      </w:r>
      <w:r w:rsidR="00633217" w:rsidRPr="00EA1BB2">
        <w:rPr>
          <w:rFonts w:ascii="Cambria" w:hAnsi="Cambria" w:cs="Times New Roman"/>
          <w:sz w:val="24"/>
          <w:szCs w:val="24"/>
        </w:rPr>
        <w:t>n</w:t>
      </w:r>
      <w:r w:rsidRPr="00EA1BB2">
        <w:rPr>
          <w:rFonts w:ascii="Cambria" w:hAnsi="Cambria" w:cs="Times New Roman"/>
          <w:sz w:val="24"/>
          <w:szCs w:val="24"/>
        </w:rPr>
        <w:t xml:space="preserve">ici; </w:t>
      </w:r>
    </w:p>
    <w:p w14:paraId="15412A7F" w14:textId="77777777" w:rsidR="002005F2" w:rsidRPr="00EA1BB2" w:rsidRDefault="002005F2" w:rsidP="002005F2">
      <w:pPr>
        <w:spacing w:line="360" w:lineRule="auto"/>
        <w:rPr>
          <w:rFonts w:ascii="Cambria" w:hAnsi="Cambria" w:cs="Times New Roman"/>
          <w:sz w:val="24"/>
          <w:szCs w:val="24"/>
        </w:rPr>
      </w:pPr>
      <w:r w:rsidRPr="00EA1BB2">
        <w:rPr>
          <w:rFonts w:ascii="Cambria" w:hAnsi="Cambria" w:cs="Times New Roman"/>
          <w:sz w:val="24"/>
          <w:szCs w:val="24"/>
        </w:rPr>
        <w:t>O</w:t>
      </w:r>
      <w:r w:rsidRPr="00EA1BB2">
        <w:rPr>
          <w:rFonts w:ascii="Cambria" w:hAnsi="Cambria" w:cs="Times New Roman"/>
          <w:sz w:val="24"/>
          <w:szCs w:val="24"/>
          <w:vertAlign w:val="subscript"/>
        </w:rPr>
        <w:t>3</w:t>
      </w:r>
      <w:r w:rsidRPr="00EA1BB2">
        <w:rPr>
          <w:rFonts w:ascii="Cambria" w:hAnsi="Cambria" w:cs="Times New Roman"/>
          <w:sz w:val="24"/>
          <w:szCs w:val="24"/>
        </w:rPr>
        <w:t xml:space="preserve"> – ozon; </w:t>
      </w:r>
    </w:p>
    <w:p w14:paraId="00080EED" w14:textId="77777777" w:rsidR="00166676" w:rsidRPr="00EA1BB2" w:rsidRDefault="00166676" w:rsidP="002005F2">
      <w:pPr>
        <w:spacing w:line="360" w:lineRule="auto"/>
        <w:rPr>
          <w:rFonts w:ascii="Cambria" w:hAnsi="Cambria" w:cs="Times New Roman"/>
          <w:sz w:val="24"/>
          <w:szCs w:val="24"/>
        </w:rPr>
      </w:pPr>
      <w:r w:rsidRPr="00EA1BB2">
        <w:rPr>
          <w:rFonts w:ascii="Cambria" w:hAnsi="Cambria" w:cs="Times New Roman"/>
          <w:sz w:val="24"/>
          <w:szCs w:val="24"/>
        </w:rPr>
        <w:t xml:space="preserve">Pb </w:t>
      </w:r>
      <w:r w:rsidR="007175D6" w:rsidRPr="00EA1BB2">
        <w:rPr>
          <w:rFonts w:ascii="Cambria" w:hAnsi="Cambria" w:cs="Times New Roman"/>
          <w:sz w:val="24"/>
          <w:szCs w:val="24"/>
        </w:rPr>
        <w:t>–</w:t>
      </w:r>
      <w:r w:rsidRPr="00EA1BB2">
        <w:rPr>
          <w:rFonts w:ascii="Cambria" w:hAnsi="Cambria" w:cs="Times New Roman"/>
          <w:sz w:val="24"/>
          <w:szCs w:val="24"/>
        </w:rPr>
        <w:t xml:space="preserve"> plumb</w:t>
      </w:r>
      <w:r w:rsidR="007175D6" w:rsidRPr="00EA1BB2">
        <w:rPr>
          <w:rFonts w:ascii="Cambria" w:hAnsi="Cambria" w:cs="Times New Roman"/>
          <w:sz w:val="24"/>
          <w:szCs w:val="24"/>
        </w:rPr>
        <w:t>;</w:t>
      </w:r>
    </w:p>
    <w:p w14:paraId="503143D5" w14:textId="77777777" w:rsidR="00166676" w:rsidRPr="00EA1BB2" w:rsidRDefault="00166676" w:rsidP="002005F2">
      <w:pPr>
        <w:spacing w:line="360" w:lineRule="auto"/>
        <w:rPr>
          <w:rFonts w:ascii="Cambria" w:hAnsi="Cambria" w:cs="Times New Roman"/>
          <w:sz w:val="24"/>
          <w:szCs w:val="24"/>
        </w:rPr>
      </w:pPr>
      <w:r w:rsidRPr="00EA1BB2">
        <w:rPr>
          <w:rFonts w:ascii="Cambria" w:hAnsi="Cambria" w:cs="Times New Roman"/>
          <w:sz w:val="24"/>
          <w:szCs w:val="24"/>
        </w:rPr>
        <w:t xml:space="preserve">Ni </w:t>
      </w:r>
      <w:r w:rsidR="007175D6" w:rsidRPr="00EA1BB2">
        <w:rPr>
          <w:rFonts w:ascii="Cambria" w:hAnsi="Cambria" w:cs="Times New Roman"/>
          <w:sz w:val="24"/>
          <w:szCs w:val="24"/>
        </w:rPr>
        <w:t>–</w:t>
      </w:r>
      <w:r w:rsidRPr="00EA1BB2">
        <w:rPr>
          <w:rFonts w:ascii="Cambria" w:hAnsi="Cambria" w:cs="Times New Roman"/>
          <w:sz w:val="24"/>
          <w:szCs w:val="24"/>
        </w:rPr>
        <w:t xml:space="preserve"> nichel</w:t>
      </w:r>
      <w:r w:rsidR="007175D6" w:rsidRPr="00EA1BB2">
        <w:rPr>
          <w:rFonts w:ascii="Cambria" w:hAnsi="Cambria" w:cs="Times New Roman"/>
          <w:sz w:val="24"/>
          <w:szCs w:val="24"/>
        </w:rPr>
        <w:t>;</w:t>
      </w:r>
    </w:p>
    <w:p w14:paraId="0D0422E4" w14:textId="77777777" w:rsidR="00166676" w:rsidRPr="00EA1BB2" w:rsidRDefault="00166676" w:rsidP="002005F2">
      <w:pPr>
        <w:spacing w:line="360" w:lineRule="auto"/>
        <w:rPr>
          <w:rFonts w:ascii="Cambria" w:hAnsi="Cambria" w:cs="Times New Roman"/>
          <w:sz w:val="24"/>
          <w:szCs w:val="24"/>
        </w:rPr>
      </w:pPr>
      <w:r w:rsidRPr="00EA1BB2">
        <w:rPr>
          <w:rFonts w:ascii="Cambria" w:hAnsi="Cambria" w:cs="Times New Roman"/>
          <w:sz w:val="24"/>
          <w:szCs w:val="24"/>
        </w:rPr>
        <w:t>As - arsen</w:t>
      </w:r>
      <w:r w:rsidR="007175D6" w:rsidRPr="00EA1BB2">
        <w:rPr>
          <w:rFonts w:ascii="Cambria" w:hAnsi="Cambria" w:cs="Times New Roman"/>
          <w:sz w:val="24"/>
          <w:szCs w:val="24"/>
        </w:rPr>
        <w:t>;</w:t>
      </w:r>
    </w:p>
    <w:p w14:paraId="72BB4424" w14:textId="77777777" w:rsidR="00166676" w:rsidRPr="00EA1BB2" w:rsidRDefault="00166676" w:rsidP="002005F2">
      <w:pPr>
        <w:spacing w:line="360" w:lineRule="auto"/>
        <w:rPr>
          <w:rFonts w:ascii="Cambria" w:hAnsi="Cambria" w:cs="Times New Roman"/>
          <w:sz w:val="24"/>
          <w:szCs w:val="24"/>
        </w:rPr>
      </w:pPr>
      <w:r w:rsidRPr="00EA1BB2">
        <w:rPr>
          <w:rFonts w:ascii="Cambria" w:hAnsi="Cambria" w:cs="Times New Roman"/>
          <w:sz w:val="24"/>
          <w:szCs w:val="24"/>
        </w:rPr>
        <w:t xml:space="preserve">Cd </w:t>
      </w:r>
      <w:r w:rsidR="007175D6" w:rsidRPr="00EA1BB2">
        <w:rPr>
          <w:rFonts w:ascii="Cambria" w:hAnsi="Cambria" w:cs="Times New Roman"/>
          <w:sz w:val="24"/>
          <w:szCs w:val="24"/>
        </w:rPr>
        <w:t>–</w:t>
      </w:r>
      <w:r w:rsidRPr="00EA1BB2">
        <w:rPr>
          <w:rFonts w:ascii="Cambria" w:hAnsi="Cambria" w:cs="Times New Roman"/>
          <w:sz w:val="24"/>
          <w:szCs w:val="24"/>
        </w:rPr>
        <w:t xml:space="preserve"> cadmiu</w:t>
      </w:r>
      <w:r w:rsidR="007175D6" w:rsidRPr="00EA1BB2">
        <w:rPr>
          <w:rFonts w:ascii="Cambria" w:hAnsi="Cambria" w:cs="Times New Roman"/>
          <w:sz w:val="24"/>
          <w:szCs w:val="24"/>
        </w:rPr>
        <w:t>.</w:t>
      </w:r>
    </w:p>
    <w:p w14:paraId="15320594" w14:textId="24F1045B" w:rsidR="00D27301" w:rsidRPr="00EA1BB2" w:rsidRDefault="00D27301" w:rsidP="00E26968">
      <w:pPr>
        <w:spacing w:line="360" w:lineRule="auto"/>
        <w:rPr>
          <w:rFonts w:ascii="Cambria" w:hAnsi="Cambria" w:cs="Times New Roman"/>
          <w:sz w:val="24"/>
          <w:szCs w:val="24"/>
        </w:rPr>
      </w:pPr>
    </w:p>
    <w:p w14:paraId="3B0CB2D7" w14:textId="77777777" w:rsidR="00220A42" w:rsidRPr="00EA1BB2" w:rsidRDefault="00220A42" w:rsidP="00377FE4">
      <w:pPr>
        <w:spacing w:line="360" w:lineRule="auto"/>
        <w:ind w:firstLine="708"/>
        <w:jc w:val="both"/>
        <w:rPr>
          <w:rFonts w:ascii="Cambria" w:hAnsi="Cambria" w:cs="Times New Roman"/>
          <w:b/>
          <w:sz w:val="24"/>
          <w:szCs w:val="24"/>
        </w:rPr>
      </w:pPr>
      <w:bookmarkStart w:id="1" w:name="_Toc450760727"/>
      <w:r w:rsidRPr="00EA1BB2">
        <w:rPr>
          <w:rFonts w:ascii="Cambria" w:hAnsi="Cambria" w:cs="Times New Roman"/>
          <w:b/>
          <w:sz w:val="24"/>
          <w:szCs w:val="24"/>
        </w:rPr>
        <w:t>GLOSAR DE TERMENI</w:t>
      </w:r>
      <w:bookmarkEnd w:id="1"/>
      <w:r w:rsidR="00377FE4" w:rsidRPr="00EA1BB2">
        <w:rPr>
          <w:rFonts w:ascii="Cambria" w:hAnsi="Cambria" w:cs="Times New Roman"/>
          <w:b/>
          <w:sz w:val="24"/>
          <w:szCs w:val="24"/>
        </w:rPr>
        <w:t xml:space="preserve"> (definiți conform Legii 104/2011 privind calitatea aerului înconjurător)</w:t>
      </w:r>
    </w:p>
    <w:p w14:paraId="7135C528" w14:textId="77777777" w:rsidR="00220A42" w:rsidRPr="00EA1BB2" w:rsidRDefault="00220A42" w:rsidP="003A520C">
      <w:pPr>
        <w:numPr>
          <w:ilvl w:val="0"/>
          <w:numId w:val="8"/>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b/>
          <w:sz w:val="24"/>
          <w:szCs w:val="24"/>
        </w:rPr>
        <w:t>aer înconjurător</w:t>
      </w:r>
      <w:r w:rsidRPr="00EA1BB2">
        <w:rPr>
          <w:rFonts w:ascii="Cambria" w:eastAsia="Calibri" w:hAnsi="Cambria" w:cs="Times New Roman"/>
          <w:sz w:val="24"/>
          <w:szCs w:val="24"/>
        </w:rPr>
        <w:t xml:space="preserve"> - aerul din troposferă, cu excep</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ia celui de la locurile de muncă, astfel cum sunt definite prin Hotărârea Guvernului nr. 1.091/2006 privind cerin</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 xml:space="preserve">ele minime de securitate </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 xml:space="preserve">i sănătate pentru locul de muncă, unde publicul nu are de regulă acces </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i pentru care se aplică dispozi</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 xml:space="preserve">iile privind sănătatea </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i siguran</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a la locul de muncă;</w:t>
      </w:r>
    </w:p>
    <w:p w14:paraId="36D994AE" w14:textId="77777777" w:rsidR="00220A42" w:rsidRPr="00EA1BB2" w:rsidRDefault="00220A42" w:rsidP="003A520C">
      <w:pPr>
        <w:numPr>
          <w:ilvl w:val="0"/>
          <w:numId w:val="8"/>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b/>
          <w:sz w:val="24"/>
          <w:szCs w:val="24"/>
        </w:rPr>
        <w:t>aglomerare</w:t>
      </w:r>
      <w:r w:rsidRPr="00EA1BB2">
        <w:rPr>
          <w:rFonts w:ascii="Cambria" w:eastAsia="Calibri" w:hAnsi="Cambria" w:cs="Times New Roman"/>
          <w:sz w:val="24"/>
          <w:szCs w:val="24"/>
        </w:rPr>
        <w:t xml:space="preserve"> - zonă care reprezintă o conurba</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ie cu o popula</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ie de peste 250.000 de locuitori sau, acolo unde popula</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ia este mai mică ori egală cu 250.000 de locuitori, având o densitate a popula</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iei pe km</w:t>
      </w:r>
      <w:r w:rsidRPr="00EA1BB2">
        <w:rPr>
          <w:rFonts w:ascii="Cambria" w:eastAsia="Calibri" w:hAnsi="Cambria" w:cs="Times New Roman"/>
          <w:sz w:val="24"/>
          <w:szCs w:val="24"/>
          <w:vertAlign w:val="superscript"/>
        </w:rPr>
        <w:t>2</w:t>
      </w:r>
      <w:r w:rsidRPr="00EA1BB2">
        <w:rPr>
          <w:rFonts w:ascii="Cambria" w:eastAsia="Calibri" w:hAnsi="Cambria" w:cs="Times New Roman"/>
          <w:sz w:val="24"/>
          <w:szCs w:val="24"/>
        </w:rPr>
        <w:t xml:space="preserve"> mai mare de 3.000 de locuitori;</w:t>
      </w:r>
    </w:p>
    <w:p w14:paraId="5429A882" w14:textId="77777777" w:rsidR="00220A42" w:rsidRPr="00EA1BB2" w:rsidRDefault="00220A42" w:rsidP="003A520C">
      <w:pPr>
        <w:numPr>
          <w:ilvl w:val="0"/>
          <w:numId w:val="8"/>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b/>
          <w:sz w:val="24"/>
          <w:szCs w:val="24"/>
        </w:rPr>
        <w:t>amplasamente de fond urban</w:t>
      </w:r>
      <w:r w:rsidRPr="00EA1BB2">
        <w:rPr>
          <w:rFonts w:ascii="Cambria" w:eastAsia="Calibri" w:hAnsi="Cambria" w:cs="Times New Roman"/>
          <w:sz w:val="24"/>
          <w:szCs w:val="24"/>
        </w:rPr>
        <w:t xml:space="preserve"> - locurile din zonele urbane în care nivelurile sunt reprezentative pentru expunerea, în general, a popula</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iei urbane;</w:t>
      </w:r>
    </w:p>
    <w:p w14:paraId="5D326023" w14:textId="77777777" w:rsidR="00220A42" w:rsidRPr="00EA1BB2" w:rsidRDefault="00220A42" w:rsidP="003A520C">
      <w:pPr>
        <w:numPr>
          <w:ilvl w:val="0"/>
          <w:numId w:val="8"/>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b/>
          <w:sz w:val="24"/>
          <w:szCs w:val="24"/>
        </w:rPr>
        <w:t xml:space="preserve">arsen, cadmiu, nichel </w:t>
      </w:r>
      <w:r w:rsidR="00054880" w:rsidRPr="00EA1BB2">
        <w:rPr>
          <w:rFonts w:ascii="Cambria" w:eastAsia="Calibri" w:hAnsi="Cambria" w:cs="Times New Roman"/>
          <w:b/>
          <w:sz w:val="24"/>
          <w:szCs w:val="24"/>
        </w:rPr>
        <w:t>ș</w:t>
      </w:r>
      <w:r w:rsidRPr="00EA1BB2">
        <w:rPr>
          <w:rFonts w:ascii="Cambria" w:eastAsia="Calibri" w:hAnsi="Cambria" w:cs="Times New Roman"/>
          <w:b/>
          <w:sz w:val="24"/>
          <w:szCs w:val="24"/>
        </w:rPr>
        <w:t>i benzo(a)piren</w:t>
      </w:r>
      <w:r w:rsidRPr="00EA1BB2">
        <w:rPr>
          <w:rFonts w:ascii="Cambria" w:eastAsia="Calibri" w:hAnsi="Cambria" w:cs="Times New Roman"/>
          <w:sz w:val="24"/>
          <w:szCs w:val="24"/>
        </w:rPr>
        <w:t xml:space="preserve"> - cantitatea totală a acestor elemente </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i a compu</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ilor lor con</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inută în frac</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ia PM</w:t>
      </w:r>
      <w:r w:rsidRPr="00EA1BB2">
        <w:rPr>
          <w:rFonts w:ascii="Cambria" w:eastAsia="Calibri" w:hAnsi="Cambria" w:cs="Times New Roman"/>
          <w:sz w:val="24"/>
          <w:szCs w:val="24"/>
          <w:vertAlign w:val="subscript"/>
        </w:rPr>
        <w:t>10</w:t>
      </w:r>
      <w:r w:rsidRPr="00EA1BB2">
        <w:rPr>
          <w:rFonts w:ascii="Cambria" w:eastAsia="Calibri" w:hAnsi="Cambria" w:cs="Times New Roman"/>
          <w:sz w:val="24"/>
          <w:szCs w:val="24"/>
        </w:rPr>
        <w:t>;</w:t>
      </w:r>
    </w:p>
    <w:p w14:paraId="709F018B" w14:textId="77777777" w:rsidR="00220A42" w:rsidRPr="00EA1BB2" w:rsidRDefault="00220A42" w:rsidP="003A520C">
      <w:pPr>
        <w:numPr>
          <w:ilvl w:val="0"/>
          <w:numId w:val="8"/>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b/>
          <w:sz w:val="24"/>
          <w:szCs w:val="24"/>
        </w:rPr>
        <w:lastRenderedPageBreak/>
        <w:t>compu</w:t>
      </w:r>
      <w:r w:rsidR="00054880" w:rsidRPr="00EA1BB2">
        <w:rPr>
          <w:rFonts w:ascii="Cambria" w:eastAsia="Calibri" w:hAnsi="Cambria" w:cs="Times New Roman"/>
          <w:b/>
          <w:sz w:val="24"/>
          <w:szCs w:val="24"/>
        </w:rPr>
        <w:t>ș</w:t>
      </w:r>
      <w:r w:rsidRPr="00EA1BB2">
        <w:rPr>
          <w:rFonts w:ascii="Cambria" w:eastAsia="Calibri" w:hAnsi="Cambria" w:cs="Times New Roman"/>
          <w:b/>
          <w:sz w:val="24"/>
          <w:szCs w:val="24"/>
        </w:rPr>
        <w:t>i organici volatili COV</w:t>
      </w:r>
      <w:r w:rsidRPr="00EA1BB2">
        <w:rPr>
          <w:rFonts w:ascii="Cambria" w:eastAsia="Calibri" w:hAnsi="Cambria" w:cs="Times New Roman"/>
          <w:sz w:val="24"/>
          <w:szCs w:val="24"/>
        </w:rPr>
        <w:t xml:space="preserve"> - compu</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i organici proveni</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 xml:space="preserve">i din surse antropogene </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i biogene, al</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ii decât metanul, care pot produce oxidan</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 fotochimici prin reac</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ie cu oxizii de azot în prezen</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a luminii solare;</w:t>
      </w:r>
    </w:p>
    <w:p w14:paraId="1F0B21BE" w14:textId="77777777" w:rsidR="00220A42" w:rsidRPr="00EA1BB2" w:rsidRDefault="00220A42" w:rsidP="003A520C">
      <w:pPr>
        <w:numPr>
          <w:ilvl w:val="0"/>
          <w:numId w:val="8"/>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b/>
          <w:sz w:val="24"/>
          <w:szCs w:val="24"/>
        </w:rPr>
        <w:t>contribu</w:t>
      </w:r>
      <w:r w:rsidR="00054880" w:rsidRPr="00EA1BB2">
        <w:rPr>
          <w:rFonts w:ascii="Cambria" w:eastAsia="Calibri" w:hAnsi="Cambria" w:cs="Times New Roman"/>
          <w:b/>
          <w:sz w:val="24"/>
          <w:szCs w:val="24"/>
        </w:rPr>
        <w:t>ț</w:t>
      </w:r>
      <w:r w:rsidRPr="00EA1BB2">
        <w:rPr>
          <w:rFonts w:ascii="Cambria" w:eastAsia="Calibri" w:hAnsi="Cambria" w:cs="Times New Roman"/>
          <w:b/>
          <w:sz w:val="24"/>
          <w:szCs w:val="24"/>
        </w:rPr>
        <w:t>ii din surse naturale</w:t>
      </w:r>
      <w:r w:rsidRPr="00EA1BB2">
        <w:rPr>
          <w:rFonts w:ascii="Cambria" w:eastAsia="Calibri" w:hAnsi="Cambria" w:cs="Times New Roman"/>
          <w:sz w:val="24"/>
          <w:szCs w:val="24"/>
        </w:rPr>
        <w:t xml:space="preserve"> - emisii de poluan</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 care nu rezultă direct sau indirect din activită</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 umane, incluzând evenimente naturale cum ar fi erup</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iile vulcanice, activită</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ile seismice, activită</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ile geotermale, incendiile de pe terenuri sălbatice, furtuni, aerosoli marini, resuspensia sau transportul în atmosferă al particulelor naturale care provin din regiuni uscate;</w:t>
      </w:r>
    </w:p>
    <w:p w14:paraId="091A2D66" w14:textId="77777777" w:rsidR="00220A42" w:rsidRPr="00EA1BB2" w:rsidRDefault="00220A42" w:rsidP="003A520C">
      <w:pPr>
        <w:numPr>
          <w:ilvl w:val="0"/>
          <w:numId w:val="8"/>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b/>
          <w:sz w:val="24"/>
          <w:szCs w:val="24"/>
        </w:rPr>
        <w:t>depuneri totale sau acumulate</w:t>
      </w:r>
      <w:r w:rsidRPr="00EA1BB2">
        <w:rPr>
          <w:rFonts w:ascii="Cambria" w:eastAsia="Calibri" w:hAnsi="Cambria" w:cs="Times New Roman"/>
          <w:sz w:val="24"/>
          <w:szCs w:val="24"/>
        </w:rPr>
        <w:t xml:space="preserve"> - cantitatea totală de poluan</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 care este transferată din atmosferă pe suprafe</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e cum ar fi sol, vegeta</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ie, apă, clădiri etc, cu o anumită arie, într-un anumit interval de timp;</w:t>
      </w:r>
    </w:p>
    <w:p w14:paraId="4C4C5E72" w14:textId="77777777" w:rsidR="00220A42" w:rsidRPr="00EA1BB2" w:rsidRDefault="00220A42" w:rsidP="003A520C">
      <w:pPr>
        <w:numPr>
          <w:ilvl w:val="0"/>
          <w:numId w:val="8"/>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b/>
          <w:sz w:val="24"/>
          <w:szCs w:val="24"/>
        </w:rPr>
        <w:t>emisii din surse difuze de poluare</w:t>
      </w:r>
      <w:r w:rsidRPr="00EA1BB2">
        <w:rPr>
          <w:rFonts w:ascii="Cambria" w:eastAsia="Calibri" w:hAnsi="Cambria" w:cs="Times New Roman"/>
          <w:sz w:val="24"/>
          <w:szCs w:val="24"/>
        </w:rPr>
        <w:t xml:space="preserve"> - emisii eliberate în aerul înconjurător din surse de emisii nedirijate de poluan</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 xml:space="preserve">i atmosferici, cum sunt sursele de emisii fugitive, sursele naturale de emisii </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i alte surse care nu au fost definite specific.</w:t>
      </w:r>
    </w:p>
    <w:p w14:paraId="28D024B1" w14:textId="77777777" w:rsidR="00220A42" w:rsidRPr="00EA1BB2" w:rsidRDefault="00220A42" w:rsidP="003A520C">
      <w:pPr>
        <w:numPr>
          <w:ilvl w:val="0"/>
          <w:numId w:val="8"/>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b/>
          <w:sz w:val="24"/>
          <w:szCs w:val="24"/>
        </w:rPr>
        <w:t>emisii din surse fixe</w:t>
      </w:r>
      <w:r w:rsidRPr="00EA1BB2">
        <w:rPr>
          <w:rFonts w:ascii="Cambria" w:eastAsia="Calibri" w:hAnsi="Cambria" w:cs="Times New Roman"/>
          <w:sz w:val="24"/>
          <w:szCs w:val="24"/>
        </w:rPr>
        <w:t xml:space="preserve"> - emisii eliberate în aerul înconjurător de utilaje, instala</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ii, inclusiv de ventila</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ie, din activită</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ile de construc</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ii, din alte lucrări fixe care produc sau prin intermediul cărora se evacuează substan</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e poluante;</w:t>
      </w:r>
    </w:p>
    <w:p w14:paraId="541C55A5" w14:textId="77777777" w:rsidR="00220A42" w:rsidRPr="00EA1BB2" w:rsidRDefault="00220A42" w:rsidP="003A520C">
      <w:pPr>
        <w:numPr>
          <w:ilvl w:val="0"/>
          <w:numId w:val="8"/>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b/>
          <w:sz w:val="24"/>
          <w:szCs w:val="24"/>
        </w:rPr>
        <w:t>emisii din surse mobile de poluare</w:t>
      </w:r>
      <w:r w:rsidRPr="00EA1BB2">
        <w:rPr>
          <w:rFonts w:ascii="Cambria" w:eastAsia="Calibri" w:hAnsi="Cambria" w:cs="Times New Roman"/>
          <w:sz w:val="24"/>
          <w:szCs w:val="24"/>
        </w:rPr>
        <w:t xml:space="preserve"> - emisii eliberate în aerul înconjurător de mijloacele de transport rutiere, feroviare, navale </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i aeriene, echipamente mobile nerutiere echipate cu motoare cu ardere internă;</w:t>
      </w:r>
    </w:p>
    <w:p w14:paraId="5E0E6F62" w14:textId="77777777" w:rsidR="00220A42" w:rsidRPr="00EA1BB2" w:rsidRDefault="00220A42" w:rsidP="003A520C">
      <w:pPr>
        <w:numPr>
          <w:ilvl w:val="0"/>
          <w:numId w:val="8"/>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b/>
          <w:sz w:val="24"/>
          <w:szCs w:val="24"/>
        </w:rPr>
        <w:t>emisii fugitive</w:t>
      </w:r>
      <w:r w:rsidRPr="00EA1BB2">
        <w:rPr>
          <w:rFonts w:ascii="Cambria" w:eastAsia="Calibri" w:hAnsi="Cambria" w:cs="Times New Roman"/>
          <w:sz w:val="24"/>
          <w:szCs w:val="24"/>
        </w:rPr>
        <w:t xml:space="preserve"> - emisii nedirijate, eliberate în aerul înconjurător prin ferestre, u</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 xml:space="preserve">i </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i alte orificii, sisteme de ventilare sau deschidere, care nu intră în mod normal în categoria surselor dirijate de poluare;</w:t>
      </w:r>
    </w:p>
    <w:p w14:paraId="6AD3F7A3" w14:textId="77777777" w:rsidR="00220A42" w:rsidRPr="00EA1BB2" w:rsidRDefault="00220A42" w:rsidP="003A520C">
      <w:pPr>
        <w:numPr>
          <w:ilvl w:val="0"/>
          <w:numId w:val="8"/>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b/>
          <w:sz w:val="24"/>
          <w:szCs w:val="24"/>
        </w:rPr>
        <w:t>evaluare</w:t>
      </w:r>
      <w:r w:rsidRPr="00EA1BB2">
        <w:rPr>
          <w:rFonts w:ascii="Cambria" w:eastAsia="Calibri" w:hAnsi="Cambria" w:cs="Times New Roman"/>
          <w:sz w:val="24"/>
          <w:szCs w:val="24"/>
        </w:rPr>
        <w:t xml:space="preserve"> - orice metodă utilizată pentru a măsura, calcula, previziona sau estima niveluri;</w:t>
      </w:r>
    </w:p>
    <w:p w14:paraId="60D01DC7" w14:textId="77777777" w:rsidR="00220A42" w:rsidRPr="00EA1BB2" w:rsidRDefault="00220A42" w:rsidP="003A520C">
      <w:pPr>
        <w:numPr>
          <w:ilvl w:val="0"/>
          <w:numId w:val="8"/>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b/>
          <w:sz w:val="24"/>
          <w:szCs w:val="24"/>
        </w:rPr>
        <w:t>indicator mediu de expunere</w:t>
      </w:r>
      <w:r w:rsidRPr="00EA1BB2">
        <w:rPr>
          <w:rFonts w:ascii="Cambria" w:eastAsia="Calibri" w:hAnsi="Cambria" w:cs="Times New Roman"/>
          <w:sz w:val="24"/>
          <w:szCs w:val="24"/>
        </w:rPr>
        <w:t xml:space="preserve"> - nivelul mediu determinat pe baza unor măsurări efectuate în amplasamentele de fond urban de pe întreg teritoriul </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 xml:space="preserve">ării </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i care oferă indicii cu privire la expunerea popula</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 xml:space="preserve">iei. Acesta este utilizat pentru calcularea </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intei na</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 xml:space="preserve">ionale de reducere a expunerii </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i a obliga</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iei referitoare la concentra</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ia de expunere;</w:t>
      </w:r>
    </w:p>
    <w:p w14:paraId="2B1334FC" w14:textId="77777777" w:rsidR="00220A42" w:rsidRPr="00EA1BB2" w:rsidRDefault="00220A42" w:rsidP="003A520C">
      <w:pPr>
        <w:numPr>
          <w:ilvl w:val="0"/>
          <w:numId w:val="8"/>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b/>
          <w:sz w:val="24"/>
          <w:szCs w:val="24"/>
        </w:rPr>
        <w:t>marjă de toleran</w:t>
      </w:r>
      <w:r w:rsidR="00054880" w:rsidRPr="00EA1BB2">
        <w:rPr>
          <w:rFonts w:ascii="Cambria" w:eastAsia="Calibri" w:hAnsi="Cambria" w:cs="Times New Roman"/>
          <w:b/>
          <w:sz w:val="24"/>
          <w:szCs w:val="24"/>
        </w:rPr>
        <w:t>ț</w:t>
      </w:r>
      <w:r w:rsidRPr="00EA1BB2">
        <w:rPr>
          <w:rFonts w:ascii="Cambria" w:eastAsia="Calibri" w:hAnsi="Cambria" w:cs="Times New Roman"/>
          <w:b/>
          <w:sz w:val="24"/>
          <w:szCs w:val="24"/>
        </w:rPr>
        <w:t>ă</w:t>
      </w:r>
      <w:r w:rsidRPr="00EA1BB2">
        <w:rPr>
          <w:rFonts w:ascii="Cambria" w:eastAsia="Calibri" w:hAnsi="Cambria" w:cs="Times New Roman"/>
          <w:sz w:val="24"/>
          <w:szCs w:val="24"/>
        </w:rPr>
        <w:t xml:space="preserve"> - procentul din valoarea-limită cu care poate fi depă</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ită acea valoare, conform condi</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iilor stabilite în prezenta lege;</w:t>
      </w:r>
    </w:p>
    <w:p w14:paraId="1AE46B49" w14:textId="77777777" w:rsidR="00220A42" w:rsidRPr="00EA1BB2" w:rsidRDefault="00220A42" w:rsidP="003A520C">
      <w:pPr>
        <w:numPr>
          <w:ilvl w:val="0"/>
          <w:numId w:val="8"/>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b/>
          <w:sz w:val="24"/>
          <w:szCs w:val="24"/>
        </w:rPr>
        <w:lastRenderedPageBreak/>
        <w:t>măsurări fixe</w:t>
      </w:r>
      <w:r w:rsidRPr="00EA1BB2">
        <w:rPr>
          <w:rFonts w:ascii="Cambria" w:eastAsia="Calibri" w:hAnsi="Cambria" w:cs="Times New Roman"/>
          <w:sz w:val="24"/>
          <w:szCs w:val="24"/>
        </w:rPr>
        <w:t xml:space="preserve"> - măsurări efectuate în puncte fixe, fie continuu, fie prin prelevare aleatorie, pentru a determina nivelurile, în conformitate cu obiectivele de calitate relevante ale datelor;</w:t>
      </w:r>
    </w:p>
    <w:p w14:paraId="47F48ACA" w14:textId="77777777" w:rsidR="00220A42" w:rsidRPr="00EA1BB2" w:rsidRDefault="00220A42" w:rsidP="003A520C">
      <w:pPr>
        <w:numPr>
          <w:ilvl w:val="0"/>
          <w:numId w:val="8"/>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b/>
          <w:sz w:val="24"/>
          <w:szCs w:val="24"/>
        </w:rPr>
        <w:t>măsurări indicative</w:t>
      </w:r>
      <w:r w:rsidRPr="00EA1BB2">
        <w:rPr>
          <w:rFonts w:ascii="Cambria" w:eastAsia="Calibri" w:hAnsi="Cambria" w:cs="Times New Roman"/>
          <w:sz w:val="24"/>
          <w:szCs w:val="24"/>
        </w:rPr>
        <w:t xml:space="preserve"> - măsurări care respectă obiective de calitate a datelor mai pu</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in stricte decât cele solicitate pentru măsurări în puncte fixe;</w:t>
      </w:r>
    </w:p>
    <w:p w14:paraId="0B7D34DD" w14:textId="77777777" w:rsidR="00220A42" w:rsidRPr="00EA1BB2" w:rsidRDefault="00220A42" w:rsidP="003A520C">
      <w:pPr>
        <w:numPr>
          <w:ilvl w:val="0"/>
          <w:numId w:val="8"/>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b/>
          <w:sz w:val="24"/>
          <w:szCs w:val="24"/>
        </w:rPr>
        <w:t>nivel</w:t>
      </w:r>
      <w:r w:rsidRPr="00EA1BB2">
        <w:rPr>
          <w:rFonts w:ascii="Cambria" w:eastAsia="Calibri" w:hAnsi="Cambria" w:cs="Times New Roman"/>
          <w:sz w:val="24"/>
          <w:szCs w:val="24"/>
        </w:rPr>
        <w:t xml:space="preserve"> - concentra</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ia unui poluant în aerul înconjurător sau depunerea acestuia pe suprafe</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e într-o perioadă de timp dată;</w:t>
      </w:r>
    </w:p>
    <w:p w14:paraId="5D61AEB7" w14:textId="77777777" w:rsidR="00220A42" w:rsidRPr="00EA1BB2" w:rsidRDefault="00220A42" w:rsidP="003A520C">
      <w:pPr>
        <w:numPr>
          <w:ilvl w:val="0"/>
          <w:numId w:val="8"/>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b/>
          <w:sz w:val="24"/>
          <w:szCs w:val="24"/>
        </w:rPr>
        <w:t>nivel critic</w:t>
      </w:r>
      <w:r w:rsidRPr="00EA1BB2">
        <w:rPr>
          <w:rFonts w:ascii="Cambria" w:eastAsia="Calibri" w:hAnsi="Cambria" w:cs="Times New Roman"/>
          <w:sz w:val="24"/>
          <w:szCs w:val="24"/>
        </w:rPr>
        <w:t xml:space="preserve"> - nivelul stabilit pe baza cuno</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tin</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 xml:space="preserve">elor </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tiin</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ifice, care dacă este depă</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 xml:space="preserve">it se pot produce efecte adverse directe asupra anumitor receptori, cum ar fi copaci, plante sau ecosisteme naturale, dar nu </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i asupra oamenilor;</w:t>
      </w:r>
    </w:p>
    <w:p w14:paraId="077897AC" w14:textId="77777777" w:rsidR="00220A42" w:rsidRPr="00EA1BB2" w:rsidRDefault="00220A42" w:rsidP="003A520C">
      <w:pPr>
        <w:numPr>
          <w:ilvl w:val="0"/>
          <w:numId w:val="8"/>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b/>
          <w:sz w:val="24"/>
          <w:szCs w:val="24"/>
        </w:rPr>
        <w:t>obiectiv pe termen lung</w:t>
      </w:r>
      <w:r w:rsidRPr="00EA1BB2">
        <w:rPr>
          <w:rFonts w:ascii="Cambria" w:eastAsia="Calibri" w:hAnsi="Cambria" w:cs="Times New Roman"/>
          <w:sz w:val="24"/>
          <w:szCs w:val="24"/>
        </w:rPr>
        <w:t xml:space="preserve"> - nivelul care trebuie să fie atins, pe termen lung, cu excep</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ia cazurilor în care acest lucru nu este realizabil prin măsuri propor</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ionate, cu scopul de a asigura o protec</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ie efectivă a sănătă</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 xml:space="preserve">ii umane </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i a mediului;</w:t>
      </w:r>
    </w:p>
    <w:p w14:paraId="385F5842" w14:textId="77777777" w:rsidR="00220A42" w:rsidRPr="00EA1BB2" w:rsidRDefault="00220A42" w:rsidP="003A520C">
      <w:pPr>
        <w:numPr>
          <w:ilvl w:val="0"/>
          <w:numId w:val="8"/>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b/>
          <w:sz w:val="24"/>
          <w:szCs w:val="24"/>
        </w:rPr>
        <w:t>obliga</w:t>
      </w:r>
      <w:r w:rsidR="00054880" w:rsidRPr="00EA1BB2">
        <w:rPr>
          <w:rFonts w:ascii="Cambria" w:eastAsia="Calibri" w:hAnsi="Cambria" w:cs="Times New Roman"/>
          <w:b/>
          <w:sz w:val="24"/>
          <w:szCs w:val="24"/>
        </w:rPr>
        <w:t>ț</w:t>
      </w:r>
      <w:r w:rsidRPr="00EA1BB2">
        <w:rPr>
          <w:rFonts w:ascii="Cambria" w:eastAsia="Calibri" w:hAnsi="Cambria" w:cs="Times New Roman"/>
          <w:b/>
          <w:sz w:val="24"/>
          <w:szCs w:val="24"/>
        </w:rPr>
        <w:t>ia referitoare la concentra</w:t>
      </w:r>
      <w:r w:rsidR="00054880" w:rsidRPr="00EA1BB2">
        <w:rPr>
          <w:rFonts w:ascii="Cambria" w:eastAsia="Calibri" w:hAnsi="Cambria" w:cs="Times New Roman"/>
          <w:b/>
          <w:sz w:val="24"/>
          <w:szCs w:val="24"/>
        </w:rPr>
        <w:t>ț</w:t>
      </w:r>
      <w:r w:rsidRPr="00EA1BB2">
        <w:rPr>
          <w:rFonts w:ascii="Cambria" w:eastAsia="Calibri" w:hAnsi="Cambria" w:cs="Times New Roman"/>
          <w:b/>
          <w:sz w:val="24"/>
          <w:szCs w:val="24"/>
        </w:rPr>
        <w:t>ia de expunere</w:t>
      </w:r>
      <w:r w:rsidRPr="00EA1BB2">
        <w:rPr>
          <w:rFonts w:ascii="Cambria" w:eastAsia="Calibri" w:hAnsi="Cambria" w:cs="Times New Roman"/>
          <w:sz w:val="24"/>
          <w:szCs w:val="24"/>
        </w:rPr>
        <w:t xml:space="preserve"> - nivelul stabilit pe baza indicatorului mediu de expunere cu scopul de a reduce efectele dăunătoare asupra sănătă</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ii umane, care trebuie atins într-o perioadă dată;</w:t>
      </w:r>
    </w:p>
    <w:p w14:paraId="3CC9AD59" w14:textId="77777777" w:rsidR="00220A42" w:rsidRPr="00EA1BB2" w:rsidRDefault="00220A42" w:rsidP="003A520C">
      <w:pPr>
        <w:numPr>
          <w:ilvl w:val="0"/>
          <w:numId w:val="8"/>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b/>
          <w:sz w:val="24"/>
          <w:szCs w:val="24"/>
        </w:rPr>
        <w:t>oxizi de azot</w:t>
      </w:r>
      <w:r w:rsidRPr="00EA1BB2">
        <w:rPr>
          <w:rFonts w:ascii="Cambria" w:eastAsia="Calibri" w:hAnsi="Cambria" w:cs="Times New Roman"/>
          <w:sz w:val="24"/>
          <w:szCs w:val="24"/>
        </w:rPr>
        <w:t xml:space="preserve"> - suma concentra</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 xml:space="preserve">iilor volumice (ppbv) de monoxid de azot (oxid nitric) </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i de dioxid de azot, exprimată în unită</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 de concentra</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ie masică a dioxidului de azot (</w:t>
      </w:r>
      <w:r w:rsidR="007975C9" w:rsidRPr="00EA1BB2">
        <w:rPr>
          <w:rFonts w:ascii="Cambria" w:eastAsia="Calibri" w:hAnsi="Cambria" w:cs="Times New Roman"/>
          <w:sz w:val="24"/>
          <w:szCs w:val="24"/>
        </w:rPr>
        <w:t>µ</w:t>
      </w:r>
      <w:r w:rsidRPr="00EA1BB2">
        <w:rPr>
          <w:rFonts w:ascii="Cambria" w:eastAsia="Calibri" w:hAnsi="Cambria" w:cs="Times New Roman"/>
          <w:sz w:val="24"/>
          <w:szCs w:val="24"/>
        </w:rPr>
        <w:t>g/m</w:t>
      </w:r>
      <w:r w:rsidR="00351CFB" w:rsidRPr="00EA1BB2">
        <w:rPr>
          <w:rFonts w:ascii="Cambria" w:eastAsia="Calibri" w:hAnsi="Cambria" w:cs="Times New Roman"/>
          <w:sz w:val="24"/>
          <w:szCs w:val="24"/>
          <w:vertAlign w:val="superscript"/>
        </w:rPr>
        <w:t>3</w:t>
      </w:r>
      <w:r w:rsidRPr="00EA1BB2">
        <w:rPr>
          <w:rFonts w:ascii="Cambria" w:eastAsia="Calibri" w:hAnsi="Cambria" w:cs="Times New Roman"/>
          <w:sz w:val="24"/>
          <w:szCs w:val="24"/>
        </w:rPr>
        <w:t>);</w:t>
      </w:r>
    </w:p>
    <w:p w14:paraId="200C1337" w14:textId="77777777" w:rsidR="00220A42" w:rsidRPr="00EA1BB2" w:rsidRDefault="00220A42" w:rsidP="003A520C">
      <w:pPr>
        <w:numPr>
          <w:ilvl w:val="0"/>
          <w:numId w:val="9"/>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b/>
          <w:sz w:val="24"/>
          <w:szCs w:val="24"/>
        </w:rPr>
        <w:t>planuri de calitate a aerului</w:t>
      </w:r>
      <w:r w:rsidRPr="00EA1BB2">
        <w:rPr>
          <w:rFonts w:ascii="Cambria" w:eastAsia="Calibri" w:hAnsi="Cambria" w:cs="Times New Roman"/>
          <w:sz w:val="24"/>
          <w:szCs w:val="24"/>
        </w:rPr>
        <w:t xml:space="preserve"> - planurile prin care se stabilesc măsuri pentru atingerea valorilor limită sau ale valori lor-</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intă;</w:t>
      </w:r>
    </w:p>
    <w:p w14:paraId="0A49DD55" w14:textId="77777777" w:rsidR="00004166" w:rsidRPr="00EA1BB2" w:rsidRDefault="00004166" w:rsidP="00004166">
      <w:pPr>
        <w:numPr>
          <w:ilvl w:val="0"/>
          <w:numId w:val="9"/>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b/>
          <w:sz w:val="24"/>
          <w:szCs w:val="24"/>
        </w:rPr>
        <w:t>planuri de menținere a calității aerului</w:t>
      </w:r>
      <w:r w:rsidRPr="00EA1BB2">
        <w:rPr>
          <w:rFonts w:ascii="Cambria" w:eastAsia="Calibri" w:hAnsi="Cambria" w:cs="Times New Roman"/>
          <w:sz w:val="24"/>
          <w:szCs w:val="24"/>
        </w:rPr>
        <w:t xml:space="preserve"> - planurile prin care se stabilesc măsuri pentru menținerea sub valorile-limită sau  valorile-</w:t>
      </w:r>
      <w:r w:rsidR="007A63A9" w:rsidRPr="00EA1BB2">
        <w:rPr>
          <w:rFonts w:ascii="Cambria" w:eastAsia="Calibri" w:hAnsi="Cambria" w:cs="Times New Roman"/>
          <w:sz w:val="24"/>
          <w:szCs w:val="24"/>
        </w:rPr>
        <w:t>țintă;</w:t>
      </w:r>
    </w:p>
    <w:p w14:paraId="4EBCA9C5" w14:textId="77777777" w:rsidR="00220A42" w:rsidRPr="00EA1BB2" w:rsidRDefault="00220A42" w:rsidP="003A520C">
      <w:pPr>
        <w:numPr>
          <w:ilvl w:val="0"/>
          <w:numId w:val="9"/>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b/>
          <w:sz w:val="24"/>
          <w:szCs w:val="24"/>
        </w:rPr>
        <w:t>PM</w:t>
      </w:r>
      <w:r w:rsidRPr="00EA1BB2">
        <w:rPr>
          <w:rFonts w:ascii="Cambria" w:eastAsia="Calibri" w:hAnsi="Cambria" w:cs="Times New Roman"/>
          <w:b/>
          <w:sz w:val="24"/>
          <w:szCs w:val="24"/>
          <w:vertAlign w:val="subscript"/>
        </w:rPr>
        <w:t>10</w:t>
      </w:r>
      <w:r w:rsidRPr="00EA1BB2">
        <w:rPr>
          <w:rFonts w:ascii="Cambria" w:eastAsia="Calibri" w:hAnsi="Cambria" w:cs="Times New Roman"/>
          <w:sz w:val="24"/>
          <w:szCs w:val="24"/>
        </w:rPr>
        <w:t xml:space="preserve"> - </w:t>
      </w:r>
      <w:r w:rsidR="001F469E" w:rsidRPr="00EA1BB2">
        <w:rPr>
          <w:rFonts w:ascii="Cambria" w:eastAsia="Calibri" w:hAnsi="Cambria" w:cs="Times New Roman"/>
          <w:sz w:val="24"/>
          <w:szCs w:val="24"/>
        </w:rPr>
        <w:t>pulberi în suspensie</w:t>
      </w:r>
      <w:r w:rsidRPr="00EA1BB2">
        <w:rPr>
          <w:rFonts w:ascii="Cambria" w:eastAsia="Calibri" w:hAnsi="Cambria" w:cs="Times New Roman"/>
          <w:sz w:val="24"/>
          <w:szCs w:val="24"/>
        </w:rPr>
        <w:t xml:space="preserve"> care trec printr-un orificiu de selectare a dimensiunii, astfel cum este definit de metoda de referin</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 xml:space="preserve">ă pentru prelevarea </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i măsurarea PM</w:t>
      </w:r>
      <w:r w:rsidRPr="00EA1BB2">
        <w:rPr>
          <w:rFonts w:ascii="Cambria" w:eastAsia="Calibri" w:hAnsi="Cambria" w:cs="Times New Roman"/>
          <w:sz w:val="24"/>
          <w:szCs w:val="24"/>
          <w:vertAlign w:val="subscript"/>
        </w:rPr>
        <w:t>10</w:t>
      </w:r>
      <w:r w:rsidRPr="00EA1BB2">
        <w:rPr>
          <w:rFonts w:ascii="Cambria" w:eastAsia="Calibri" w:hAnsi="Cambria" w:cs="Times New Roman"/>
          <w:sz w:val="24"/>
          <w:szCs w:val="24"/>
        </w:rPr>
        <w:t>, SR EN 12341, cu un randament de separare de 50% pentru un diametru aerodinamic de 10</w:t>
      </w:r>
      <w:r w:rsidR="007975C9" w:rsidRPr="00EA1BB2">
        <w:rPr>
          <w:rFonts w:ascii="Cambria" w:eastAsia="Calibri" w:hAnsi="Cambria" w:cs="Times New Roman"/>
          <w:sz w:val="24"/>
          <w:szCs w:val="24"/>
        </w:rPr>
        <w:t>µ</w:t>
      </w:r>
      <w:r w:rsidRPr="00EA1BB2">
        <w:rPr>
          <w:rFonts w:ascii="Cambria" w:eastAsia="Calibri" w:hAnsi="Cambria" w:cs="Times New Roman"/>
          <w:sz w:val="24"/>
          <w:szCs w:val="24"/>
        </w:rPr>
        <w:t>m;</w:t>
      </w:r>
    </w:p>
    <w:p w14:paraId="36C9C4A2" w14:textId="77777777" w:rsidR="00220A42" w:rsidRPr="00EA1BB2" w:rsidRDefault="00220A42" w:rsidP="003A520C">
      <w:pPr>
        <w:numPr>
          <w:ilvl w:val="0"/>
          <w:numId w:val="9"/>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b/>
          <w:sz w:val="24"/>
          <w:szCs w:val="24"/>
        </w:rPr>
        <w:t>PM</w:t>
      </w:r>
      <w:r w:rsidRPr="00EA1BB2">
        <w:rPr>
          <w:rFonts w:ascii="Cambria" w:eastAsia="Calibri" w:hAnsi="Cambria" w:cs="Times New Roman"/>
          <w:b/>
          <w:sz w:val="24"/>
          <w:szCs w:val="24"/>
          <w:vertAlign w:val="subscript"/>
        </w:rPr>
        <w:t>2,5</w:t>
      </w:r>
      <w:r w:rsidRPr="00EA1BB2">
        <w:rPr>
          <w:rFonts w:ascii="Cambria" w:eastAsia="Calibri" w:hAnsi="Cambria" w:cs="Times New Roman"/>
          <w:sz w:val="24"/>
          <w:szCs w:val="24"/>
        </w:rPr>
        <w:t xml:space="preserve">- </w:t>
      </w:r>
      <w:r w:rsidR="001F469E" w:rsidRPr="00EA1BB2">
        <w:rPr>
          <w:rFonts w:ascii="Cambria" w:eastAsia="Calibri" w:hAnsi="Cambria" w:cs="Times New Roman"/>
          <w:sz w:val="24"/>
          <w:szCs w:val="24"/>
        </w:rPr>
        <w:t>pulberi în suspensie</w:t>
      </w:r>
      <w:r w:rsidRPr="00EA1BB2">
        <w:rPr>
          <w:rFonts w:ascii="Cambria" w:eastAsia="Calibri" w:hAnsi="Cambria" w:cs="Times New Roman"/>
          <w:sz w:val="24"/>
          <w:szCs w:val="24"/>
        </w:rPr>
        <w:t xml:space="preserve"> care trec printr-un orificiu de selectare a dimensiunii, astfel cum este definit de metoda de referin</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 xml:space="preserve">ă pentru prelevarea </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i măsurarea PM</w:t>
      </w:r>
      <w:r w:rsidRPr="00EA1BB2">
        <w:rPr>
          <w:rFonts w:ascii="Cambria" w:eastAsia="Calibri" w:hAnsi="Cambria" w:cs="Times New Roman"/>
          <w:sz w:val="24"/>
          <w:szCs w:val="24"/>
          <w:vertAlign w:val="subscript"/>
        </w:rPr>
        <w:t>2,5</w:t>
      </w:r>
      <w:r w:rsidRPr="00EA1BB2">
        <w:rPr>
          <w:rFonts w:ascii="Cambria" w:eastAsia="Calibri" w:hAnsi="Cambria" w:cs="Times New Roman"/>
          <w:sz w:val="24"/>
          <w:szCs w:val="24"/>
        </w:rPr>
        <w:t>; SR EN 14907, cu un randament de separare de 50% pentru un diametru aerodinamic de 2,5</w:t>
      </w:r>
      <w:r w:rsidR="007975C9" w:rsidRPr="00EA1BB2">
        <w:rPr>
          <w:rFonts w:ascii="Cambria" w:eastAsia="Calibri" w:hAnsi="Cambria" w:cs="Times New Roman"/>
          <w:sz w:val="24"/>
          <w:szCs w:val="24"/>
        </w:rPr>
        <w:t>µ</w:t>
      </w:r>
      <w:r w:rsidRPr="00EA1BB2">
        <w:rPr>
          <w:rFonts w:ascii="Cambria" w:eastAsia="Calibri" w:hAnsi="Cambria" w:cs="Times New Roman"/>
          <w:sz w:val="24"/>
          <w:szCs w:val="24"/>
        </w:rPr>
        <w:t>m;</w:t>
      </w:r>
    </w:p>
    <w:p w14:paraId="75893B10" w14:textId="77777777" w:rsidR="00220A42" w:rsidRPr="00EA1BB2" w:rsidRDefault="00220A42" w:rsidP="003A520C">
      <w:pPr>
        <w:numPr>
          <w:ilvl w:val="0"/>
          <w:numId w:val="8"/>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b/>
          <w:sz w:val="24"/>
          <w:szCs w:val="24"/>
        </w:rPr>
        <w:t>poluant</w:t>
      </w:r>
      <w:r w:rsidRPr="00EA1BB2">
        <w:rPr>
          <w:rFonts w:ascii="Cambria" w:eastAsia="Calibri" w:hAnsi="Cambria" w:cs="Times New Roman"/>
          <w:sz w:val="24"/>
          <w:szCs w:val="24"/>
        </w:rPr>
        <w:t xml:space="preserve"> - orice substan</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 xml:space="preserve">ă prezentă în aerul înconjurător </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i care poate avea efecte dăunătoare asupra sănătă</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 xml:space="preserve">ii umane </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i/sau a mediului ca întreg;</w:t>
      </w:r>
    </w:p>
    <w:p w14:paraId="2CABC834" w14:textId="77777777" w:rsidR="00220A42" w:rsidRPr="00EA1BB2" w:rsidRDefault="00220A42" w:rsidP="003A520C">
      <w:pPr>
        <w:numPr>
          <w:ilvl w:val="0"/>
          <w:numId w:val="9"/>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b/>
          <w:sz w:val="24"/>
          <w:szCs w:val="24"/>
        </w:rPr>
        <w:lastRenderedPageBreak/>
        <w:t>prag de alertă</w:t>
      </w:r>
      <w:r w:rsidRPr="00EA1BB2">
        <w:rPr>
          <w:rFonts w:ascii="Cambria" w:eastAsia="Calibri" w:hAnsi="Cambria" w:cs="Times New Roman"/>
          <w:sz w:val="24"/>
          <w:szCs w:val="24"/>
        </w:rPr>
        <w:t xml:space="preserve"> - nivelul care, dacă este depă</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it, există un risc pentru sănătatea umană la o expunere de scurtă durată a popula</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 xml:space="preserve">iei, în general, </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i la care trebuie să se ac</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ioneze imediat;</w:t>
      </w:r>
    </w:p>
    <w:p w14:paraId="552C423D" w14:textId="77777777" w:rsidR="00220A42" w:rsidRPr="00EA1BB2" w:rsidRDefault="00220A42" w:rsidP="003A520C">
      <w:pPr>
        <w:numPr>
          <w:ilvl w:val="0"/>
          <w:numId w:val="9"/>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b/>
          <w:sz w:val="24"/>
          <w:szCs w:val="24"/>
        </w:rPr>
        <w:t>prag de informare</w:t>
      </w:r>
      <w:r w:rsidRPr="00EA1BB2">
        <w:rPr>
          <w:rFonts w:ascii="Cambria" w:eastAsia="Calibri" w:hAnsi="Cambria" w:cs="Times New Roman"/>
          <w:sz w:val="24"/>
          <w:szCs w:val="24"/>
        </w:rPr>
        <w:t xml:space="preserve"> - nivelul care, dacă este depă</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it, există un risc pentru sănătatea umană la o expunere de scurtă durată pentru categorii ale popula</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 xml:space="preserve">iei deosebit de sensibile </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 xml:space="preserve">i pentru care este necesară informarea imediată </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i adecvată;</w:t>
      </w:r>
    </w:p>
    <w:p w14:paraId="1DF605B7" w14:textId="77777777" w:rsidR="00220A42" w:rsidRPr="00EA1BB2" w:rsidRDefault="00220A42" w:rsidP="003A520C">
      <w:pPr>
        <w:numPr>
          <w:ilvl w:val="0"/>
          <w:numId w:val="9"/>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b/>
          <w:sz w:val="24"/>
          <w:szCs w:val="24"/>
        </w:rPr>
        <w:t>prag inferior de evaluare</w:t>
      </w:r>
      <w:r w:rsidRPr="00EA1BB2">
        <w:rPr>
          <w:rFonts w:ascii="Cambria" w:eastAsia="Calibri" w:hAnsi="Cambria" w:cs="Times New Roman"/>
          <w:sz w:val="24"/>
          <w:szCs w:val="24"/>
        </w:rPr>
        <w:t xml:space="preserve"> - nivelul sub care, pentru a evalua calitatea aerului înconjurător, este suficientă utilizarea tehnicilor de modelare sau de estimare obiectivă;</w:t>
      </w:r>
    </w:p>
    <w:p w14:paraId="0245F202" w14:textId="77777777" w:rsidR="00220A42" w:rsidRPr="00EA1BB2" w:rsidRDefault="00220A42" w:rsidP="003A520C">
      <w:pPr>
        <w:numPr>
          <w:ilvl w:val="0"/>
          <w:numId w:val="9"/>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b/>
          <w:sz w:val="24"/>
          <w:szCs w:val="24"/>
        </w:rPr>
        <w:t>prag superior de evaluare</w:t>
      </w:r>
      <w:r w:rsidRPr="00EA1BB2">
        <w:rPr>
          <w:rFonts w:ascii="Cambria" w:eastAsia="Calibri" w:hAnsi="Cambria" w:cs="Times New Roman"/>
          <w:sz w:val="24"/>
          <w:szCs w:val="24"/>
        </w:rPr>
        <w:t xml:space="preserve"> - nivelul sub care, pentru a evalua calitatea aerului înconjurător, se poate utiliza o combina</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 xml:space="preserve">ie de măsurări fixe </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 xml:space="preserve">i tehnici de modelare </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i/sau măsurări indicative;</w:t>
      </w:r>
    </w:p>
    <w:p w14:paraId="5061F6DD" w14:textId="77777777" w:rsidR="00220A42" w:rsidRPr="00EA1BB2" w:rsidRDefault="00220A42" w:rsidP="003A520C">
      <w:pPr>
        <w:numPr>
          <w:ilvl w:val="0"/>
          <w:numId w:val="9"/>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b/>
          <w:sz w:val="24"/>
          <w:szCs w:val="24"/>
        </w:rPr>
        <w:t>substan</w:t>
      </w:r>
      <w:r w:rsidR="00054880" w:rsidRPr="00EA1BB2">
        <w:rPr>
          <w:rFonts w:ascii="Cambria" w:eastAsia="Calibri" w:hAnsi="Cambria" w:cs="Times New Roman"/>
          <w:b/>
          <w:sz w:val="24"/>
          <w:szCs w:val="24"/>
        </w:rPr>
        <w:t>ț</w:t>
      </w:r>
      <w:r w:rsidRPr="00EA1BB2">
        <w:rPr>
          <w:rFonts w:ascii="Cambria" w:eastAsia="Calibri" w:hAnsi="Cambria" w:cs="Times New Roman"/>
          <w:b/>
          <w:sz w:val="24"/>
          <w:szCs w:val="24"/>
        </w:rPr>
        <w:t>e precursoare ale ozonului</w:t>
      </w:r>
      <w:r w:rsidRPr="00EA1BB2">
        <w:rPr>
          <w:rFonts w:ascii="Cambria" w:eastAsia="Calibri" w:hAnsi="Cambria" w:cs="Times New Roman"/>
          <w:sz w:val="24"/>
          <w:szCs w:val="24"/>
        </w:rPr>
        <w:t xml:space="preserve"> - substan</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e care contribuie la formarea ozonului de la nivelul solului;</w:t>
      </w:r>
    </w:p>
    <w:p w14:paraId="594868B5" w14:textId="77777777" w:rsidR="00220A42" w:rsidRPr="00EA1BB2" w:rsidRDefault="00220A42" w:rsidP="003A520C">
      <w:pPr>
        <w:numPr>
          <w:ilvl w:val="0"/>
          <w:numId w:val="9"/>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b/>
          <w:sz w:val="24"/>
          <w:szCs w:val="24"/>
        </w:rPr>
        <w:t>titular de activitate</w:t>
      </w:r>
      <w:r w:rsidRPr="00EA1BB2">
        <w:rPr>
          <w:rFonts w:ascii="Cambria" w:eastAsia="Calibri" w:hAnsi="Cambria" w:cs="Times New Roman"/>
          <w:sz w:val="24"/>
          <w:szCs w:val="24"/>
        </w:rPr>
        <w:t xml:space="preserve"> - orice persoană fizică sau juridică ce exploatează, controlează sau este delegată cu putere economică decisivă privind o activitate cu poten</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ial impact asupra calită</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ii aerului înconjurător;</w:t>
      </w:r>
    </w:p>
    <w:p w14:paraId="49E5D23A" w14:textId="77777777" w:rsidR="00220A42" w:rsidRPr="00EA1BB2" w:rsidRDefault="00054880" w:rsidP="003A520C">
      <w:pPr>
        <w:numPr>
          <w:ilvl w:val="0"/>
          <w:numId w:val="8"/>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b/>
          <w:sz w:val="24"/>
          <w:szCs w:val="24"/>
        </w:rPr>
        <w:t>ț</w:t>
      </w:r>
      <w:r w:rsidR="00220A42" w:rsidRPr="00EA1BB2">
        <w:rPr>
          <w:rFonts w:ascii="Cambria" w:eastAsia="Calibri" w:hAnsi="Cambria" w:cs="Times New Roman"/>
          <w:b/>
          <w:sz w:val="24"/>
          <w:szCs w:val="24"/>
        </w:rPr>
        <w:t>inta na</w:t>
      </w:r>
      <w:r w:rsidRPr="00EA1BB2">
        <w:rPr>
          <w:rFonts w:ascii="Cambria" w:eastAsia="Calibri" w:hAnsi="Cambria" w:cs="Times New Roman"/>
          <w:b/>
          <w:sz w:val="24"/>
          <w:szCs w:val="24"/>
        </w:rPr>
        <w:t>ț</w:t>
      </w:r>
      <w:r w:rsidR="00220A42" w:rsidRPr="00EA1BB2">
        <w:rPr>
          <w:rFonts w:ascii="Cambria" w:eastAsia="Calibri" w:hAnsi="Cambria" w:cs="Times New Roman"/>
          <w:b/>
          <w:sz w:val="24"/>
          <w:szCs w:val="24"/>
        </w:rPr>
        <w:t>ională de reducere a expunerii</w:t>
      </w:r>
      <w:r w:rsidR="00220A42" w:rsidRPr="00EA1BB2">
        <w:rPr>
          <w:rFonts w:ascii="Cambria" w:eastAsia="Calibri" w:hAnsi="Cambria" w:cs="Times New Roman"/>
          <w:sz w:val="24"/>
          <w:szCs w:val="24"/>
        </w:rPr>
        <w:t xml:space="preserve"> - reducerea procentuală a expunerii medii a popula</w:t>
      </w:r>
      <w:r w:rsidRPr="00EA1BB2">
        <w:rPr>
          <w:rFonts w:ascii="Cambria" w:eastAsia="Calibri" w:hAnsi="Cambria" w:cs="Times New Roman"/>
          <w:sz w:val="24"/>
          <w:szCs w:val="24"/>
        </w:rPr>
        <w:t>ț</w:t>
      </w:r>
      <w:r w:rsidR="00220A42" w:rsidRPr="00EA1BB2">
        <w:rPr>
          <w:rFonts w:ascii="Cambria" w:eastAsia="Calibri" w:hAnsi="Cambria" w:cs="Times New Roman"/>
          <w:sz w:val="24"/>
          <w:szCs w:val="24"/>
        </w:rPr>
        <w:t>iei, stabilită pentru anul de referin</w:t>
      </w:r>
      <w:r w:rsidRPr="00EA1BB2">
        <w:rPr>
          <w:rFonts w:ascii="Cambria" w:eastAsia="Calibri" w:hAnsi="Cambria" w:cs="Times New Roman"/>
          <w:sz w:val="24"/>
          <w:szCs w:val="24"/>
        </w:rPr>
        <w:t>ț</w:t>
      </w:r>
      <w:r w:rsidR="00220A42" w:rsidRPr="00EA1BB2">
        <w:rPr>
          <w:rFonts w:ascii="Cambria" w:eastAsia="Calibri" w:hAnsi="Cambria" w:cs="Times New Roman"/>
          <w:sz w:val="24"/>
          <w:szCs w:val="24"/>
        </w:rPr>
        <w:t>ă cu scopul de a reduce efectele dăunătoare asupra sănătă</w:t>
      </w:r>
      <w:r w:rsidRPr="00EA1BB2">
        <w:rPr>
          <w:rFonts w:ascii="Cambria" w:eastAsia="Calibri" w:hAnsi="Cambria" w:cs="Times New Roman"/>
          <w:sz w:val="24"/>
          <w:szCs w:val="24"/>
        </w:rPr>
        <w:t>ț</w:t>
      </w:r>
      <w:r w:rsidR="00220A42" w:rsidRPr="00EA1BB2">
        <w:rPr>
          <w:rFonts w:ascii="Cambria" w:eastAsia="Calibri" w:hAnsi="Cambria" w:cs="Times New Roman"/>
          <w:sz w:val="24"/>
          <w:szCs w:val="24"/>
        </w:rPr>
        <w:t>ii umane, care trebuie să fie atinsă, acolo unde este posibil, într-o perioadă dată;</w:t>
      </w:r>
    </w:p>
    <w:p w14:paraId="10BED92F" w14:textId="77777777" w:rsidR="00220A42" w:rsidRPr="00EA1BB2" w:rsidRDefault="00220A42" w:rsidP="003A520C">
      <w:pPr>
        <w:numPr>
          <w:ilvl w:val="0"/>
          <w:numId w:val="8"/>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b/>
          <w:sz w:val="24"/>
          <w:szCs w:val="24"/>
        </w:rPr>
        <w:t>valoare-limită</w:t>
      </w:r>
      <w:r w:rsidRPr="00EA1BB2">
        <w:rPr>
          <w:rFonts w:ascii="Cambria" w:eastAsia="Calibri" w:hAnsi="Cambria" w:cs="Times New Roman"/>
          <w:sz w:val="24"/>
          <w:szCs w:val="24"/>
        </w:rPr>
        <w:t xml:space="preserve"> - nivelul stabilit pe baza cuno</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tin</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 xml:space="preserve">elor </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tiin</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 xml:space="preserve">ifice, în scopul evitării </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 xml:space="preserve">i prevenirii producerii unor evenimente dăunătoare </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i reducerii efectelor acestora asupra sănătă</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 xml:space="preserve">ii umane </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 xml:space="preserve">i a mediului ca întreg, care se atinge într-o perioadă dată </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i care nu trebuie depă</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it odată ce a fost atins;</w:t>
      </w:r>
    </w:p>
    <w:p w14:paraId="049E98F3" w14:textId="77777777" w:rsidR="00220A42" w:rsidRPr="00EA1BB2" w:rsidRDefault="00220A42" w:rsidP="003A520C">
      <w:pPr>
        <w:numPr>
          <w:ilvl w:val="0"/>
          <w:numId w:val="9"/>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b/>
          <w:sz w:val="24"/>
          <w:szCs w:val="24"/>
        </w:rPr>
        <w:t>valoare-</w:t>
      </w:r>
      <w:r w:rsidR="00054880" w:rsidRPr="00EA1BB2">
        <w:rPr>
          <w:rFonts w:ascii="Cambria" w:eastAsia="Calibri" w:hAnsi="Cambria" w:cs="Times New Roman"/>
          <w:b/>
          <w:sz w:val="24"/>
          <w:szCs w:val="24"/>
        </w:rPr>
        <w:t>ț</w:t>
      </w:r>
      <w:r w:rsidRPr="00EA1BB2">
        <w:rPr>
          <w:rFonts w:ascii="Cambria" w:eastAsia="Calibri" w:hAnsi="Cambria" w:cs="Times New Roman"/>
          <w:b/>
          <w:sz w:val="24"/>
          <w:szCs w:val="24"/>
        </w:rPr>
        <w:t>intă</w:t>
      </w:r>
      <w:r w:rsidRPr="00EA1BB2">
        <w:rPr>
          <w:rFonts w:ascii="Cambria" w:eastAsia="Calibri" w:hAnsi="Cambria" w:cs="Times New Roman"/>
          <w:sz w:val="24"/>
          <w:szCs w:val="24"/>
        </w:rPr>
        <w:t xml:space="preserve"> - nivelul stabilit, în scopul evitării </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 xml:space="preserve">i prevenirii producerii unor evenimente dăunătoare </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i reducerii efectelor acestora asupra sănătă</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 xml:space="preserve">ii umane </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i a mediului ca întreg, care trebuie să fie atins pe cât posibil într-o anumită perioadă;</w:t>
      </w:r>
    </w:p>
    <w:p w14:paraId="535E5095" w14:textId="77777777" w:rsidR="00220A42" w:rsidRPr="00EA1BB2" w:rsidRDefault="00220A42" w:rsidP="003A520C">
      <w:pPr>
        <w:numPr>
          <w:ilvl w:val="0"/>
          <w:numId w:val="10"/>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b/>
          <w:sz w:val="24"/>
          <w:szCs w:val="24"/>
        </w:rPr>
        <w:t>zonă</w:t>
      </w:r>
      <w:r w:rsidRPr="00EA1BB2">
        <w:rPr>
          <w:rFonts w:ascii="Cambria" w:eastAsia="Calibri" w:hAnsi="Cambria" w:cs="Times New Roman"/>
          <w:sz w:val="24"/>
          <w:szCs w:val="24"/>
        </w:rPr>
        <w:t xml:space="preserve"> - parte a teritoriului </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 xml:space="preserve">ării delimitată în scopul evaluării </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i gestionării calită</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ii aerului înconjurător;</w:t>
      </w:r>
    </w:p>
    <w:p w14:paraId="644647B5" w14:textId="77777777" w:rsidR="00220A42" w:rsidRPr="00EA1BB2" w:rsidRDefault="00220A42" w:rsidP="003A520C">
      <w:pPr>
        <w:numPr>
          <w:ilvl w:val="0"/>
          <w:numId w:val="10"/>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b/>
          <w:sz w:val="24"/>
          <w:szCs w:val="24"/>
        </w:rPr>
        <w:lastRenderedPageBreak/>
        <w:t>zona de protec</w:t>
      </w:r>
      <w:r w:rsidR="00054880" w:rsidRPr="00EA1BB2">
        <w:rPr>
          <w:rFonts w:ascii="Cambria" w:eastAsia="Calibri" w:hAnsi="Cambria" w:cs="Times New Roman"/>
          <w:b/>
          <w:sz w:val="24"/>
          <w:szCs w:val="24"/>
        </w:rPr>
        <w:t>ț</w:t>
      </w:r>
      <w:r w:rsidRPr="00EA1BB2">
        <w:rPr>
          <w:rFonts w:ascii="Cambria" w:eastAsia="Calibri" w:hAnsi="Cambria" w:cs="Times New Roman"/>
          <w:b/>
          <w:sz w:val="24"/>
          <w:szCs w:val="24"/>
        </w:rPr>
        <w:t>ie</w:t>
      </w:r>
      <w:r w:rsidRPr="00EA1BB2">
        <w:rPr>
          <w:rFonts w:ascii="Cambria" w:eastAsia="Calibri" w:hAnsi="Cambria" w:cs="Times New Roman"/>
          <w:sz w:val="24"/>
          <w:szCs w:val="24"/>
        </w:rPr>
        <w:t xml:space="preserve"> - suprafa</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a de teren din jurul punctului în care se efectuează măsurări fixe, delimitată astfel încât orice activitate desfă</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urată în interiorul ei, ulterior instalării echipamentelor de măsurare, să nu afecteze reprezentativitatea datelor de calitate a aerului înconjurător pen</w:t>
      </w:r>
      <w:r w:rsidR="00B4532B" w:rsidRPr="00EA1BB2">
        <w:rPr>
          <w:rFonts w:ascii="Cambria" w:eastAsia="Calibri" w:hAnsi="Cambria" w:cs="Times New Roman"/>
          <w:sz w:val="24"/>
          <w:szCs w:val="24"/>
        </w:rPr>
        <w:t>tru care acesta a fost amplasat.</w:t>
      </w:r>
    </w:p>
    <w:p w14:paraId="7739D3F3" w14:textId="169C0A8E" w:rsidR="00D27301" w:rsidRPr="00EA1BB2" w:rsidRDefault="00D27301">
      <w:pPr>
        <w:rPr>
          <w:rFonts w:ascii="Cambria" w:hAnsi="Cambria" w:cs="Arial"/>
          <w:b/>
          <w:sz w:val="24"/>
          <w:szCs w:val="24"/>
        </w:rPr>
      </w:pPr>
    </w:p>
    <w:p w14:paraId="00851262" w14:textId="77777777" w:rsidR="00E15108" w:rsidRPr="00EA1BB2" w:rsidRDefault="00E15108" w:rsidP="00E15108">
      <w:pPr>
        <w:spacing w:line="360" w:lineRule="auto"/>
        <w:ind w:firstLine="709"/>
        <w:jc w:val="both"/>
        <w:rPr>
          <w:rFonts w:ascii="Cambria" w:hAnsi="Cambria" w:cs="Arial"/>
          <w:b/>
          <w:sz w:val="24"/>
          <w:szCs w:val="24"/>
        </w:rPr>
      </w:pPr>
      <w:r w:rsidRPr="00EA1BB2">
        <w:rPr>
          <w:rFonts w:ascii="Cambria" w:hAnsi="Cambria" w:cs="Arial"/>
          <w:b/>
          <w:sz w:val="24"/>
          <w:szCs w:val="24"/>
        </w:rPr>
        <w:t>LEGISLA</w:t>
      </w:r>
      <w:r w:rsidR="00054880" w:rsidRPr="00EA1BB2">
        <w:rPr>
          <w:rFonts w:ascii="Cambria" w:hAnsi="Cambria" w:cs="Arial"/>
          <w:b/>
          <w:sz w:val="24"/>
          <w:szCs w:val="24"/>
        </w:rPr>
        <w:t>Ț</w:t>
      </w:r>
      <w:r w:rsidRPr="00EA1BB2">
        <w:rPr>
          <w:rFonts w:ascii="Cambria" w:hAnsi="Cambria" w:cs="Arial"/>
          <w:b/>
          <w:sz w:val="24"/>
          <w:szCs w:val="24"/>
        </w:rPr>
        <w:t>IE APLICABILĂ</w:t>
      </w:r>
    </w:p>
    <w:p w14:paraId="0C1EEBE2" w14:textId="77777777" w:rsidR="00E15108" w:rsidRPr="00EA1BB2" w:rsidRDefault="00E15108" w:rsidP="00E15108">
      <w:pPr>
        <w:spacing w:line="360" w:lineRule="auto"/>
        <w:ind w:firstLine="708"/>
        <w:jc w:val="both"/>
        <w:rPr>
          <w:rFonts w:ascii="Cambria" w:hAnsi="Cambria" w:cs="Times New Roman"/>
          <w:b/>
          <w:sz w:val="24"/>
          <w:szCs w:val="24"/>
        </w:rPr>
      </w:pPr>
      <w:r w:rsidRPr="00EA1BB2">
        <w:rPr>
          <w:rFonts w:ascii="Cambria" w:hAnsi="Cambria" w:cs="Times New Roman"/>
          <w:b/>
          <w:sz w:val="24"/>
          <w:szCs w:val="24"/>
        </w:rPr>
        <w:t>Legisla</w:t>
      </w:r>
      <w:r w:rsidR="00054880" w:rsidRPr="00EA1BB2">
        <w:rPr>
          <w:rFonts w:ascii="Cambria" w:hAnsi="Cambria" w:cs="Times New Roman"/>
          <w:b/>
          <w:sz w:val="24"/>
          <w:szCs w:val="24"/>
        </w:rPr>
        <w:t>ț</w:t>
      </w:r>
      <w:r w:rsidRPr="00EA1BB2">
        <w:rPr>
          <w:rFonts w:ascii="Cambria" w:hAnsi="Cambria" w:cs="Times New Roman"/>
          <w:b/>
          <w:sz w:val="24"/>
          <w:szCs w:val="24"/>
        </w:rPr>
        <w:t>ie na</w:t>
      </w:r>
      <w:r w:rsidR="00054880" w:rsidRPr="00EA1BB2">
        <w:rPr>
          <w:rFonts w:ascii="Cambria" w:hAnsi="Cambria" w:cs="Times New Roman"/>
          <w:b/>
          <w:sz w:val="24"/>
          <w:szCs w:val="24"/>
        </w:rPr>
        <w:t>ț</w:t>
      </w:r>
      <w:r w:rsidRPr="00EA1BB2">
        <w:rPr>
          <w:rFonts w:ascii="Cambria" w:hAnsi="Cambria" w:cs="Times New Roman"/>
          <w:b/>
          <w:sz w:val="24"/>
          <w:szCs w:val="24"/>
        </w:rPr>
        <w:t>ională:</w:t>
      </w:r>
    </w:p>
    <w:p w14:paraId="194BEC03" w14:textId="77777777" w:rsidR="00E15108" w:rsidRPr="00EA1BB2" w:rsidRDefault="00E15108" w:rsidP="003A520C">
      <w:pPr>
        <w:numPr>
          <w:ilvl w:val="0"/>
          <w:numId w:val="15"/>
        </w:numPr>
        <w:spacing w:line="360" w:lineRule="auto"/>
        <w:ind w:left="709" w:hanging="425"/>
        <w:jc w:val="both"/>
        <w:rPr>
          <w:rFonts w:ascii="Cambria" w:hAnsi="Cambria" w:cs="Arial"/>
          <w:sz w:val="24"/>
          <w:szCs w:val="24"/>
        </w:rPr>
      </w:pPr>
      <w:r w:rsidRPr="00EA1BB2">
        <w:rPr>
          <w:rFonts w:ascii="Cambria" w:hAnsi="Cambria" w:cs="Arial"/>
          <w:sz w:val="24"/>
          <w:szCs w:val="24"/>
        </w:rPr>
        <w:t xml:space="preserve">Legea nr. 104/15.06.2011 privind calitatea aerului înconjurător </w:t>
      </w:r>
      <w:r w:rsidR="00A1662F" w:rsidRPr="00EA1BB2">
        <w:rPr>
          <w:rFonts w:ascii="Cambria" w:hAnsi="Cambria" w:cs="Arial"/>
          <w:sz w:val="24"/>
          <w:szCs w:val="24"/>
        </w:rPr>
        <w:t>cu modificările</w:t>
      </w:r>
      <w:r w:rsidR="007755BD" w:rsidRPr="00EA1BB2">
        <w:rPr>
          <w:rFonts w:ascii="Cambria" w:hAnsi="Cambria" w:cs="Arial"/>
          <w:sz w:val="24"/>
          <w:szCs w:val="24"/>
        </w:rPr>
        <w:t xml:space="preserve"> ulterioare</w:t>
      </w:r>
      <w:r w:rsidR="00A1662F" w:rsidRPr="00EA1BB2">
        <w:rPr>
          <w:rFonts w:ascii="Cambria" w:hAnsi="Cambria" w:cs="Arial"/>
          <w:sz w:val="24"/>
          <w:szCs w:val="24"/>
        </w:rPr>
        <w:t>;</w:t>
      </w:r>
    </w:p>
    <w:p w14:paraId="10A9E2D5" w14:textId="77777777" w:rsidR="00C73C13" w:rsidRPr="00EA1BB2" w:rsidRDefault="00C73C13" w:rsidP="00C73C13">
      <w:pPr>
        <w:numPr>
          <w:ilvl w:val="0"/>
          <w:numId w:val="15"/>
        </w:numPr>
        <w:spacing w:line="360" w:lineRule="auto"/>
        <w:ind w:left="709" w:hanging="425"/>
        <w:jc w:val="both"/>
        <w:rPr>
          <w:rFonts w:ascii="Cambria" w:hAnsi="Cambria" w:cs="Arial"/>
          <w:sz w:val="24"/>
          <w:szCs w:val="24"/>
        </w:rPr>
      </w:pPr>
      <w:r w:rsidRPr="00EA1BB2">
        <w:rPr>
          <w:rFonts w:ascii="Cambria" w:hAnsi="Cambria" w:cs="Arial"/>
          <w:sz w:val="24"/>
          <w:szCs w:val="24"/>
        </w:rPr>
        <w:t>Legea nr. 278/2013 privind emisiile industriale (publicată in Monitorul Oficial, Partea I nr. 671 din 01/11/2013);</w:t>
      </w:r>
    </w:p>
    <w:p w14:paraId="606FB5E5" w14:textId="77777777" w:rsidR="00E15108" w:rsidRPr="00EA1BB2" w:rsidRDefault="00E15108" w:rsidP="003A520C">
      <w:pPr>
        <w:numPr>
          <w:ilvl w:val="0"/>
          <w:numId w:val="15"/>
        </w:numPr>
        <w:spacing w:line="360" w:lineRule="auto"/>
        <w:ind w:left="709" w:hanging="425"/>
        <w:jc w:val="both"/>
        <w:rPr>
          <w:rFonts w:ascii="Cambria" w:hAnsi="Cambria" w:cs="Arial"/>
          <w:sz w:val="24"/>
          <w:szCs w:val="24"/>
        </w:rPr>
      </w:pPr>
      <w:r w:rsidRPr="00EA1BB2">
        <w:rPr>
          <w:rFonts w:ascii="Cambria" w:hAnsi="Cambria" w:cs="Arial"/>
          <w:sz w:val="24"/>
          <w:szCs w:val="24"/>
        </w:rPr>
        <w:t>HG 257/2015 privind aprobarea Metodologiei de elaborare a planurilor de calitate a aerului, a planurilor de ac</w:t>
      </w:r>
      <w:r w:rsidR="00054880" w:rsidRPr="00EA1BB2">
        <w:rPr>
          <w:rFonts w:ascii="Cambria" w:hAnsi="Cambria" w:cs="Arial"/>
          <w:sz w:val="24"/>
          <w:szCs w:val="24"/>
        </w:rPr>
        <w:t>ț</w:t>
      </w:r>
      <w:r w:rsidRPr="00EA1BB2">
        <w:rPr>
          <w:rFonts w:ascii="Cambria" w:hAnsi="Cambria" w:cs="Arial"/>
          <w:sz w:val="24"/>
          <w:szCs w:val="24"/>
        </w:rPr>
        <w:t xml:space="preserve">iune pe termen scurt </w:t>
      </w:r>
      <w:r w:rsidR="00054880" w:rsidRPr="00EA1BB2">
        <w:rPr>
          <w:rFonts w:ascii="Cambria" w:hAnsi="Cambria" w:cs="Arial"/>
          <w:sz w:val="24"/>
          <w:szCs w:val="24"/>
        </w:rPr>
        <w:t>ș</w:t>
      </w:r>
      <w:r w:rsidRPr="00EA1BB2">
        <w:rPr>
          <w:rFonts w:ascii="Cambria" w:hAnsi="Cambria" w:cs="Arial"/>
          <w:sz w:val="24"/>
          <w:szCs w:val="24"/>
        </w:rPr>
        <w:t>i a planurilor de men</w:t>
      </w:r>
      <w:r w:rsidR="00054880" w:rsidRPr="00EA1BB2">
        <w:rPr>
          <w:rFonts w:ascii="Cambria" w:hAnsi="Cambria" w:cs="Arial"/>
          <w:sz w:val="24"/>
          <w:szCs w:val="24"/>
        </w:rPr>
        <w:t>ț</w:t>
      </w:r>
      <w:r w:rsidRPr="00EA1BB2">
        <w:rPr>
          <w:rFonts w:ascii="Cambria" w:hAnsi="Cambria" w:cs="Arial"/>
          <w:sz w:val="24"/>
          <w:szCs w:val="24"/>
        </w:rPr>
        <w:t>inere a calită</w:t>
      </w:r>
      <w:r w:rsidR="00054880" w:rsidRPr="00EA1BB2">
        <w:rPr>
          <w:rFonts w:ascii="Cambria" w:hAnsi="Cambria" w:cs="Arial"/>
          <w:sz w:val="24"/>
          <w:szCs w:val="24"/>
        </w:rPr>
        <w:t>ț</w:t>
      </w:r>
      <w:r w:rsidRPr="00EA1BB2">
        <w:rPr>
          <w:rFonts w:ascii="Cambria" w:hAnsi="Cambria" w:cs="Arial"/>
          <w:sz w:val="24"/>
          <w:szCs w:val="24"/>
        </w:rPr>
        <w:t>ii aerului;</w:t>
      </w:r>
    </w:p>
    <w:p w14:paraId="38A1F057" w14:textId="77777777" w:rsidR="00E15108" w:rsidRPr="00EA1BB2" w:rsidRDefault="00E15108" w:rsidP="003A520C">
      <w:pPr>
        <w:numPr>
          <w:ilvl w:val="0"/>
          <w:numId w:val="15"/>
        </w:numPr>
        <w:spacing w:line="360" w:lineRule="auto"/>
        <w:ind w:left="709" w:hanging="425"/>
        <w:jc w:val="both"/>
        <w:rPr>
          <w:rFonts w:ascii="Cambria" w:hAnsi="Cambria" w:cs="Arial"/>
          <w:sz w:val="24"/>
          <w:szCs w:val="24"/>
        </w:rPr>
      </w:pPr>
      <w:r w:rsidRPr="00EA1BB2">
        <w:rPr>
          <w:rFonts w:ascii="Cambria" w:hAnsi="Cambria" w:cs="Arial"/>
          <w:sz w:val="24"/>
          <w:szCs w:val="24"/>
        </w:rPr>
        <w:t xml:space="preserve">Ordinul </w:t>
      </w:r>
      <w:r w:rsidR="009B78D7" w:rsidRPr="00EA1BB2">
        <w:rPr>
          <w:rFonts w:ascii="Cambria" w:hAnsi="Cambria" w:cs="Arial"/>
          <w:sz w:val="24"/>
          <w:szCs w:val="24"/>
        </w:rPr>
        <w:t xml:space="preserve">MM nr. 598/2018 </w:t>
      </w:r>
      <w:r w:rsidRPr="00EA1BB2">
        <w:rPr>
          <w:rFonts w:ascii="Cambria" w:hAnsi="Cambria" w:cs="Arial"/>
          <w:sz w:val="24"/>
          <w:szCs w:val="24"/>
        </w:rPr>
        <w:t>pentru aprobarea listelor cu unită</w:t>
      </w:r>
      <w:r w:rsidR="00054880" w:rsidRPr="00EA1BB2">
        <w:rPr>
          <w:rFonts w:ascii="Cambria" w:hAnsi="Cambria" w:cs="Arial"/>
          <w:sz w:val="24"/>
          <w:szCs w:val="24"/>
        </w:rPr>
        <w:t>ț</w:t>
      </w:r>
      <w:r w:rsidRPr="00EA1BB2">
        <w:rPr>
          <w:rFonts w:ascii="Cambria" w:hAnsi="Cambria" w:cs="Arial"/>
          <w:sz w:val="24"/>
          <w:szCs w:val="24"/>
        </w:rPr>
        <w:t xml:space="preserve">ile administrativ-teritoriale întocmite în urma încadrării în regimuri de gestionare a ariilor din zonele </w:t>
      </w:r>
      <w:r w:rsidR="00054880" w:rsidRPr="00EA1BB2">
        <w:rPr>
          <w:rFonts w:ascii="Cambria" w:hAnsi="Cambria" w:cs="Arial"/>
          <w:sz w:val="24"/>
          <w:szCs w:val="24"/>
        </w:rPr>
        <w:t>ș</w:t>
      </w:r>
      <w:r w:rsidRPr="00EA1BB2">
        <w:rPr>
          <w:rFonts w:ascii="Cambria" w:hAnsi="Cambria" w:cs="Arial"/>
          <w:sz w:val="24"/>
          <w:szCs w:val="24"/>
        </w:rPr>
        <w:t>i aglomerările prevăzute în anexa nr. 2 la Legea nr. 104/2011 privind calitatea aerului înconjurător.</w:t>
      </w:r>
    </w:p>
    <w:p w14:paraId="378E092E" w14:textId="77777777" w:rsidR="00E15108" w:rsidRPr="00EA1BB2" w:rsidRDefault="00E15108" w:rsidP="00E15108">
      <w:pPr>
        <w:spacing w:line="360" w:lineRule="auto"/>
        <w:rPr>
          <w:rFonts w:ascii="Cambria" w:hAnsi="Cambria" w:cs="Times New Roman"/>
          <w:sz w:val="24"/>
        </w:rPr>
      </w:pPr>
    </w:p>
    <w:p w14:paraId="5F02FFCD" w14:textId="77777777" w:rsidR="00E15108" w:rsidRPr="00EA1BB2" w:rsidRDefault="00E15108" w:rsidP="00E15108">
      <w:pPr>
        <w:spacing w:line="360" w:lineRule="auto"/>
        <w:ind w:firstLine="708"/>
        <w:jc w:val="both"/>
        <w:rPr>
          <w:rFonts w:ascii="Cambria" w:hAnsi="Cambria" w:cs="Times New Roman"/>
          <w:b/>
          <w:sz w:val="24"/>
          <w:szCs w:val="24"/>
        </w:rPr>
      </w:pPr>
      <w:r w:rsidRPr="00EA1BB2">
        <w:rPr>
          <w:rFonts w:ascii="Cambria" w:hAnsi="Cambria" w:cs="Times New Roman"/>
          <w:b/>
          <w:sz w:val="24"/>
          <w:szCs w:val="24"/>
        </w:rPr>
        <w:t>Legisla</w:t>
      </w:r>
      <w:r w:rsidR="00054880" w:rsidRPr="00EA1BB2">
        <w:rPr>
          <w:rFonts w:ascii="Cambria" w:hAnsi="Cambria" w:cs="Times New Roman"/>
          <w:b/>
          <w:sz w:val="24"/>
          <w:szCs w:val="24"/>
        </w:rPr>
        <w:t>ț</w:t>
      </w:r>
      <w:r w:rsidRPr="00EA1BB2">
        <w:rPr>
          <w:rFonts w:ascii="Cambria" w:hAnsi="Cambria" w:cs="Times New Roman"/>
          <w:b/>
          <w:sz w:val="24"/>
          <w:szCs w:val="24"/>
        </w:rPr>
        <w:t>ia europeană:</w:t>
      </w:r>
    </w:p>
    <w:p w14:paraId="111C505D" w14:textId="77777777" w:rsidR="00E15108" w:rsidRPr="00EA1BB2" w:rsidRDefault="00E15108" w:rsidP="003A520C">
      <w:pPr>
        <w:numPr>
          <w:ilvl w:val="0"/>
          <w:numId w:val="15"/>
        </w:numPr>
        <w:spacing w:line="360" w:lineRule="auto"/>
        <w:ind w:left="709" w:hanging="425"/>
        <w:jc w:val="both"/>
        <w:rPr>
          <w:rFonts w:ascii="Cambria" w:hAnsi="Cambria" w:cs="Arial"/>
          <w:sz w:val="24"/>
          <w:szCs w:val="24"/>
        </w:rPr>
      </w:pPr>
      <w:r w:rsidRPr="00EA1BB2">
        <w:rPr>
          <w:rFonts w:ascii="Cambria" w:hAnsi="Cambria" w:cs="Arial"/>
          <w:sz w:val="24"/>
          <w:szCs w:val="24"/>
        </w:rPr>
        <w:t xml:space="preserve">Directiva 2008/50/CE a Parlamentului European </w:t>
      </w:r>
      <w:r w:rsidR="00054880" w:rsidRPr="00EA1BB2">
        <w:rPr>
          <w:rFonts w:ascii="Cambria" w:hAnsi="Cambria" w:cs="Arial"/>
          <w:sz w:val="24"/>
          <w:szCs w:val="24"/>
        </w:rPr>
        <w:t>ș</w:t>
      </w:r>
      <w:r w:rsidRPr="00EA1BB2">
        <w:rPr>
          <w:rFonts w:ascii="Cambria" w:hAnsi="Cambria" w:cs="Arial"/>
          <w:sz w:val="24"/>
          <w:szCs w:val="24"/>
        </w:rPr>
        <w:t xml:space="preserve">i a Consiliului din 21 mai 2008 privind calitatea aerului înconjurător </w:t>
      </w:r>
      <w:r w:rsidR="00054880" w:rsidRPr="00EA1BB2">
        <w:rPr>
          <w:rFonts w:ascii="Cambria" w:hAnsi="Cambria" w:cs="Arial"/>
          <w:sz w:val="24"/>
          <w:szCs w:val="24"/>
        </w:rPr>
        <w:t>ș</w:t>
      </w:r>
      <w:r w:rsidRPr="00EA1BB2">
        <w:rPr>
          <w:rFonts w:ascii="Cambria" w:hAnsi="Cambria" w:cs="Arial"/>
          <w:sz w:val="24"/>
          <w:szCs w:val="24"/>
        </w:rPr>
        <w:t>i un aer mai curat pentru Europa;</w:t>
      </w:r>
    </w:p>
    <w:p w14:paraId="0643C10D" w14:textId="77777777" w:rsidR="00E15108" w:rsidRPr="00EA1BB2" w:rsidRDefault="00E15108" w:rsidP="003A520C">
      <w:pPr>
        <w:numPr>
          <w:ilvl w:val="0"/>
          <w:numId w:val="15"/>
        </w:numPr>
        <w:spacing w:line="360" w:lineRule="auto"/>
        <w:ind w:left="709" w:hanging="425"/>
        <w:jc w:val="both"/>
        <w:rPr>
          <w:rFonts w:ascii="Cambria" w:hAnsi="Cambria" w:cs="Arial"/>
          <w:sz w:val="24"/>
          <w:szCs w:val="24"/>
        </w:rPr>
      </w:pPr>
      <w:r w:rsidRPr="00EA1BB2">
        <w:rPr>
          <w:rFonts w:ascii="Cambria" w:hAnsi="Cambria" w:cs="Arial"/>
          <w:sz w:val="24"/>
          <w:szCs w:val="24"/>
        </w:rPr>
        <w:t xml:space="preserve">Directiva 2004/107/CE a Parlamentului European </w:t>
      </w:r>
      <w:r w:rsidR="00054880" w:rsidRPr="00EA1BB2">
        <w:rPr>
          <w:rFonts w:ascii="Cambria" w:hAnsi="Cambria" w:cs="Arial"/>
          <w:sz w:val="24"/>
          <w:szCs w:val="24"/>
        </w:rPr>
        <w:t>ș</w:t>
      </w:r>
      <w:r w:rsidRPr="00EA1BB2">
        <w:rPr>
          <w:rFonts w:ascii="Cambria" w:hAnsi="Cambria" w:cs="Arial"/>
          <w:sz w:val="24"/>
          <w:szCs w:val="24"/>
        </w:rPr>
        <w:t>i a Consiliului din 15 decembrie 2004 privind arsen, cadmiu, mercur, nichel, hidrocarburi aromatice policiclice în aerul înconjurător, publicată în Jurnalul Oficial al Comunită</w:t>
      </w:r>
      <w:r w:rsidR="00054880" w:rsidRPr="00EA1BB2">
        <w:rPr>
          <w:rFonts w:ascii="Cambria" w:hAnsi="Cambria" w:cs="Arial"/>
          <w:sz w:val="24"/>
          <w:szCs w:val="24"/>
        </w:rPr>
        <w:t>ț</w:t>
      </w:r>
      <w:r w:rsidRPr="00EA1BB2">
        <w:rPr>
          <w:rFonts w:ascii="Cambria" w:hAnsi="Cambria" w:cs="Arial"/>
          <w:sz w:val="24"/>
          <w:szCs w:val="24"/>
        </w:rPr>
        <w:t>ilo</w:t>
      </w:r>
      <w:r w:rsidR="00EB7DCD" w:rsidRPr="00EA1BB2">
        <w:rPr>
          <w:rFonts w:ascii="Cambria" w:hAnsi="Cambria" w:cs="Arial"/>
          <w:sz w:val="24"/>
          <w:szCs w:val="24"/>
        </w:rPr>
        <w:t>r Europene (JOCE) nr. L 23/2005;</w:t>
      </w:r>
    </w:p>
    <w:p w14:paraId="7051CB37" w14:textId="77777777" w:rsidR="00EB7DCD" w:rsidRPr="00EA1BB2" w:rsidRDefault="00EB7DCD" w:rsidP="00EB7DCD">
      <w:pPr>
        <w:numPr>
          <w:ilvl w:val="0"/>
          <w:numId w:val="15"/>
        </w:numPr>
        <w:spacing w:line="360" w:lineRule="auto"/>
        <w:ind w:left="709" w:hanging="425"/>
        <w:jc w:val="both"/>
        <w:rPr>
          <w:rFonts w:ascii="Cambria" w:hAnsi="Cambria" w:cs="Arial"/>
          <w:sz w:val="24"/>
          <w:szCs w:val="24"/>
        </w:rPr>
      </w:pPr>
      <w:r w:rsidRPr="00EA1BB2">
        <w:rPr>
          <w:rFonts w:ascii="Cambria" w:hAnsi="Cambria" w:cs="Arial"/>
          <w:sz w:val="24"/>
          <w:szCs w:val="24"/>
        </w:rPr>
        <w:t>Directiva 2015/1480 a Comisiei din 28 august 2015 de modificare a mai multor anexe la Directivele 2004/107/CE și 2008/50/CE ale Parlamentului European și ale Comisiei prin care se stabilesc normele privind metodele de referință, validarea datelor și amplasarea punctelor de prelevare pentru evaluarea calității aerului înconjurător.</w:t>
      </w:r>
    </w:p>
    <w:p w14:paraId="0CEDDF5D" w14:textId="77777777" w:rsidR="00972BC5" w:rsidRPr="00EA1BB2" w:rsidRDefault="00972BC5">
      <w:pPr>
        <w:rPr>
          <w:rFonts w:ascii="Cambria" w:hAnsi="Cambria" w:cs="Times New Roman"/>
          <w:sz w:val="24"/>
          <w:szCs w:val="24"/>
        </w:rPr>
      </w:pPr>
      <w:r w:rsidRPr="00EA1BB2">
        <w:rPr>
          <w:rFonts w:ascii="Cambria" w:hAnsi="Cambria" w:cs="Times New Roman"/>
          <w:sz w:val="24"/>
          <w:szCs w:val="24"/>
        </w:rPr>
        <w:br w:type="page"/>
      </w:r>
    </w:p>
    <w:p w14:paraId="1C9EB94C" w14:textId="77777777" w:rsidR="000C23E2" w:rsidRPr="00EA1BB2" w:rsidRDefault="006118FE" w:rsidP="006118FE">
      <w:pPr>
        <w:pStyle w:val="Heading1"/>
        <w:numPr>
          <w:ilvl w:val="0"/>
          <w:numId w:val="1"/>
        </w:numPr>
        <w:ind w:left="0" w:firstLine="709"/>
        <w:rPr>
          <w:rFonts w:ascii="Cambria" w:hAnsi="Cambria" w:cs="Times New Roman"/>
          <w:color w:val="0070C0"/>
          <w:sz w:val="28"/>
          <w:szCs w:val="24"/>
        </w:rPr>
      </w:pPr>
      <w:bookmarkStart w:id="2" w:name="_Toc526889690"/>
      <w:r w:rsidRPr="00EA1BB2">
        <w:rPr>
          <w:rFonts w:ascii="Cambria" w:hAnsi="Cambria" w:cs="Times New Roman"/>
          <w:color w:val="0070C0"/>
          <w:sz w:val="28"/>
          <w:szCs w:val="24"/>
        </w:rPr>
        <w:lastRenderedPageBreak/>
        <w:t>DESCRIEREA MODULUI DE REALIZARE A STUDIULUI CARE A STAT LA BAZA ELABORĂRII PLANULUI, INCLUSIV DESCRIEREA MODELULUI MATEMATIC UTILIZAT PENTRU DISPERSIA POLUAN</w:t>
      </w:r>
      <w:r w:rsidR="00054880" w:rsidRPr="00EA1BB2">
        <w:rPr>
          <w:rFonts w:ascii="Cambria" w:hAnsi="Cambria" w:cs="Times New Roman"/>
          <w:color w:val="0070C0"/>
          <w:sz w:val="28"/>
          <w:szCs w:val="24"/>
        </w:rPr>
        <w:t>Ț</w:t>
      </w:r>
      <w:r w:rsidRPr="00EA1BB2">
        <w:rPr>
          <w:rFonts w:ascii="Cambria" w:hAnsi="Cambria" w:cs="Times New Roman"/>
          <w:color w:val="0070C0"/>
          <w:sz w:val="28"/>
          <w:szCs w:val="24"/>
        </w:rPr>
        <w:t xml:space="preserve">ILOR ÎN ATMOSFERĂ ÎN VEDEREA ELABORĂRII SCENARIILOR/ MĂSURILOR </w:t>
      </w:r>
      <w:r w:rsidR="00054880" w:rsidRPr="00EA1BB2">
        <w:rPr>
          <w:rFonts w:ascii="Cambria" w:hAnsi="Cambria" w:cs="Times New Roman"/>
          <w:color w:val="0070C0"/>
          <w:sz w:val="28"/>
          <w:szCs w:val="24"/>
        </w:rPr>
        <w:t>Ș</w:t>
      </w:r>
      <w:r w:rsidRPr="00EA1BB2">
        <w:rPr>
          <w:rFonts w:ascii="Cambria" w:hAnsi="Cambria" w:cs="Times New Roman"/>
          <w:color w:val="0070C0"/>
          <w:sz w:val="28"/>
          <w:szCs w:val="24"/>
        </w:rPr>
        <w:t>I ESTIMĂRII EFECTELOR ACESTORA</w:t>
      </w:r>
      <w:bookmarkEnd w:id="2"/>
    </w:p>
    <w:p w14:paraId="1037492B" w14:textId="77777777" w:rsidR="00C82917" w:rsidRPr="00EA1BB2" w:rsidRDefault="00C82917" w:rsidP="00C82917">
      <w:pPr>
        <w:spacing w:line="360" w:lineRule="auto"/>
        <w:ind w:firstLine="709"/>
        <w:jc w:val="both"/>
        <w:rPr>
          <w:rFonts w:ascii="Cambria" w:eastAsia="Calibri" w:hAnsi="Cambria" w:cs="Arial"/>
          <w:sz w:val="24"/>
          <w:szCs w:val="24"/>
        </w:rPr>
      </w:pPr>
      <w:r w:rsidRPr="00EA1BB2">
        <w:rPr>
          <w:rFonts w:ascii="Cambria" w:eastAsia="Calibri" w:hAnsi="Cambria" w:cs="Arial"/>
          <w:sz w:val="24"/>
          <w:szCs w:val="24"/>
        </w:rPr>
        <w:t>Domeniul „calitatea aerului” este reglementat în România prin Legea nr.104/15.06.2011 privind calitatea aerului înconjurător (publicată în Monitorul Oficial al României, Partea I, nr. 452 din 28 iunie 2011), cu modificările ulterioare. Prin această lege au fost transpuse în legislația națională prevederile Directivei 2008/50/CE a Parlamentului European și a Consiliului din 21 mai 2008 privind calitatea aerului înconjurător și un aer mai curat pentru Europa, publicată în Jurnalul Oficial al Uniunii Europene (JOUE) nr. L 152 din 11 iunie 2008 ale Directivei 2004/107/CE a Parlamentului European</w:t>
      </w:r>
      <w:r w:rsidR="00D27A5E" w:rsidRPr="00EA1BB2">
        <w:rPr>
          <w:rFonts w:ascii="Cambria" w:eastAsia="Calibri" w:hAnsi="Cambria" w:cs="Arial"/>
          <w:sz w:val="24"/>
          <w:szCs w:val="24"/>
        </w:rPr>
        <w:t xml:space="preserve"> și a Consiliului privind arsen</w:t>
      </w:r>
      <w:r w:rsidRPr="00EA1BB2">
        <w:rPr>
          <w:rFonts w:ascii="Cambria" w:eastAsia="Calibri" w:hAnsi="Cambria" w:cs="Arial"/>
          <w:sz w:val="24"/>
          <w:szCs w:val="24"/>
        </w:rPr>
        <w:t>ul, cadmiul, mercurul, nichelul și hidrocarburile aromatice policiclice în aerul înconjurător, publicată în Jurnalul Oficial al Uniunii Europene L23 din data de 26.01.2005 și ale Directivei (UE) 2015/1.480 a Comisiei din 28 august 2015 de modificare a mai multor anexe la Directivele 2004/107/CE și 2008/50/CE ale Parlamentului European și ale Comisiei prin care se stabilesc normele privind metodele de referință, validarea datelor și amplasarea punctelor de prelevare pentru evaluarea calității aerului înconjurător.</w:t>
      </w:r>
    </w:p>
    <w:p w14:paraId="33FE9EB5" w14:textId="77777777" w:rsidR="003D4243" w:rsidRPr="00EA1BB2" w:rsidRDefault="003D4243" w:rsidP="006118FE">
      <w:pPr>
        <w:spacing w:line="360" w:lineRule="auto"/>
        <w:ind w:firstLine="709"/>
        <w:jc w:val="both"/>
        <w:rPr>
          <w:rFonts w:ascii="Cambria" w:eastAsia="Calibri" w:hAnsi="Cambria" w:cs="Arial"/>
          <w:sz w:val="24"/>
          <w:szCs w:val="24"/>
        </w:rPr>
      </w:pPr>
      <w:r w:rsidRPr="00EA1BB2">
        <w:rPr>
          <w:rFonts w:ascii="Cambria" w:eastAsia="Calibri" w:hAnsi="Cambria" w:cs="Arial"/>
          <w:sz w:val="24"/>
          <w:szCs w:val="24"/>
        </w:rPr>
        <w:t>Legea calită</w:t>
      </w:r>
      <w:r w:rsidR="00054880" w:rsidRPr="00EA1BB2">
        <w:rPr>
          <w:rFonts w:ascii="Cambria" w:eastAsia="Calibri" w:hAnsi="Cambria" w:cs="Arial"/>
          <w:sz w:val="24"/>
          <w:szCs w:val="24"/>
        </w:rPr>
        <w:t>ț</w:t>
      </w:r>
      <w:r w:rsidRPr="00EA1BB2">
        <w:rPr>
          <w:rFonts w:ascii="Cambria" w:eastAsia="Calibri" w:hAnsi="Cambria" w:cs="Arial"/>
          <w:sz w:val="24"/>
          <w:szCs w:val="24"/>
        </w:rPr>
        <w:t>ii aerului are ca scop protejarea sănătă</w:t>
      </w:r>
      <w:r w:rsidR="00054880" w:rsidRPr="00EA1BB2">
        <w:rPr>
          <w:rFonts w:ascii="Cambria" w:eastAsia="Calibri" w:hAnsi="Cambria" w:cs="Arial"/>
          <w:sz w:val="24"/>
          <w:szCs w:val="24"/>
        </w:rPr>
        <w:t>ț</w:t>
      </w:r>
      <w:r w:rsidRPr="00EA1BB2">
        <w:rPr>
          <w:rFonts w:ascii="Cambria" w:eastAsia="Calibri" w:hAnsi="Cambria" w:cs="Arial"/>
          <w:sz w:val="24"/>
          <w:szCs w:val="24"/>
        </w:rPr>
        <w:t xml:space="preserve">ii umane </w:t>
      </w:r>
      <w:r w:rsidR="00054880" w:rsidRPr="00EA1BB2">
        <w:rPr>
          <w:rFonts w:ascii="Cambria" w:eastAsia="Calibri" w:hAnsi="Cambria" w:cs="Arial"/>
          <w:sz w:val="24"/>
          <w:szCs w:val="24"/>
        </w:rPr>
        <w:t>ș</w:t>
      </w:r>
      <w:r w:rsidRPr="00EA1BB2">
        <w:rPr>
          <w:rFonts w:ascii="Cambria" w:eastAsia="Calibri" w:hAnsi="Cambria" w:cs="Arial"/>
          <w:sz w:val="24"/>
          <w:szCs w:val="24"/>
        </w:rPr>
        <w:t>i a mediului ca întreg prin reglementarea măsurilor destinate men</w:t>
      </w:r>
      <w:r w:rsidR="00054880" w:rsidRPr="00EA1BB2">
        <w:rPr>
          <w:rFonts w:ascii="Cambria" w:eastAsia="Calibri" w:hAnsi="Cambria" w:cs="Arial"/>
          <w:sz w:val="24"/>
          <w:szCs w:val="24"/>
        </w:rPr>
        <w:t>ț</w:t>
      </w:r>
      <w:r w:rsidRPr="00EA1BB2">
        <w:rPr>
          <w:rFonts w:ascii="Cambria" w:eastAsia="Calibri" w:hAnsi="Cambria" w:cs="Arial"/>
          <w:sz w:val="24"/>
          <w:szCs w:val="24"/>
        </w:rPr>
        <w:t>inerii calită</w:t>
      </w:r>
      <w:r w:rsidR="00054880" w:rsidRPr="00EA1BB2">
        <w:rPr>
          <w:rFonts w:ascii="Cambria" w:eastAsia="Calibri" w:hAnsi="Cambria" w:cs="Arial"/>
          <w:sz w:val="24"/>
          <w:szCs w:val="24"/>
        </w:rPr>
        <w:t>ț</w:t>
      </w:r>
      <w:r w:rsidRPr="00EA1BB2">
        <w:rPr>
          <w:rFonts w:ascii="Cambria" w:eastAsia="Calibri" w:hAnsi="Cambria" w:cs="Arial"/>
          <w:sz w:val="24"/>
          <w:szCs w:val="24"/>
        </w:rPr>
        <w:t xml:space="preserve">ii aerului înconjurător acolo unde aceasta corespunde obiectivelor pentru calitatea aerului înconjurător stabilite prin prezenta lege </w:t>
      </w:r>
      <w:r w:rsidR="00054880" w:rsidRPr="00EA1BB2">
        <w:rPr>
          <w:rFonts w:ascii="Cambria" w:eastAsia="Calibri" w:hAnsi="Cambria" w:cs="Arial"/>
          <w:sz w:val="24"/>
          <w:szCs w:val="24"/>
        </w:rPr>
        <w:t>ș</w:t>
      </w:r>
      <w:r w:rsidRPr="00EA1BB2">
        <w:rPr>
          <w:rFonts w:ascii="Cambria" w:eastAsia="Calibri" w:hAnsi="Cambria" w:cs="Arial"/>
          <w:sz w:val="24"/>
          <w:szCs w:val="24"/>
        </w:rPr>
        <w:t>i îmbunătă</w:t>
      </w:r>
      <w:r w:rsidR="00054880" w:rsidRPr="00EA1BB2">
        <w:rPr>
          <w:rFonts w:ascii="Cambria" w:eastAsia="Calibri" w:hAnsi="Cambria" w:cs="Arial"/>
          <w:sz w:val="24"/>
          <w:szCs w:val="24"/>
        </w:rPr>
        <w:t>ț</w:t>
      </w:r>
      <w:r w:rsidRPr="00EA1BB2">
        <w:rPr>
          <w:rFonts w:ascii="Cambria" w:eastAsia="Calibri" w:hAnsi="Cambria" w:cs="Arial"/>
          <w:sz w:val="24"/>
          <w:szCs w:val="24"/>
        </w:rPr>
        <w:t>irea acesteia în celelalte cazuri.</w:t>
      </w:r>
    </w:p>
    <w:p w14:paraId="4A1B6669" w14:textId="3351D1A9" w:rsidR="003D4243" w:rsidRPr="00EA1BB2" w:rsidRDefault="003D4243" w:rsidP="006118FE">
      <w:pPr>
        <w:spacing w:line="360" w:lineRule="auto"/>
        <w:ind w:firstLine="709"/>
        <w:jc w:val="both"/>
        <w:rPr>
          <w:rFonts w:ascii="Cambria" w:eastAsia="Calibri" w:hAnsi="Cambria" w:cs="Arial"/>
          <w:sz w:val="24"/>
          <w:szCs w:val="24"/>
        </w:rPr>
      </w:pPr>
      <w:r w:rsidRPr="00EA1BB2">
        <w:rPr>
          <w:rFonts w:ascii="Cambria" w:eastAsia="Calibri" w:hAnsi="Cambria" w:cs="Arial"/>
          <w:sz w:val="24"/>
          <w:szCs w:val="24"/>
        </w:rPr>
        <w:t>Măsurile prevăzute de lege pentru</w:t>
      </w:r>
      <w:r w:rsidR="00BA6532" w:rsidRPr="00EA1BB2">
        <w:rPr>
          <w:rFonts w:ascii="Cambria" w:eastAsia="Calibri" w:hAnsi="Cambria" w:cs="Arial"/>
          <w:sz w:val="24"/>
          <w:szCs w:val="24"/>
        </w:rPr>
        <w:t xml:space="preserve"> </w:t>
      </w:r>
      <w:r w:rsidRPr="00EA1BB2">
        <w:rPr>
          <w:rFonts w:ascii="Cambria" w:eastAsia="Calibri" w:hAnsi="Cambria" w:cs="Arial"/>
          <w:sz w:val="24"/>
          <w:szCs w:val="24"/>
        </w:rPr>
        <w:t>protejarea sănătă</w:t>
      </w:r>
      <w:r w:rsidR="00054880" w:rsidRPr="00EA1BB2">
        <w:rPr>
          <w:rFonts w:ascii="Cambria" w:eastAsia="Calibri" w:hAnsi="Cambria" w:cs="Arial"/>
          <w:sz w:val="24"/>
          <w:szCs w:val="24"/>
        </w:rPr>
        <w:t>ț</w:t>
      </w:r>
      <w:r w:rsidRPr="00EA1BB2">
        <w:rPr>
          <w:rFonts w:ascii="Cambria" w:eastAsia="Calibri" w:hAnsi="Cambria" w:cs="Arial"/>
          <w:sz w:val="24"/>
          <w:szCs w:val="24"/>
        </w:rPr>
        <w:t xml:space="preserve">ii umane </w:t>
      </w:r>
      <w:r w:rsidR="00054880" w:rsidRPr="00EA1BB2">
        <w:rPr>
          <w:rFonts w:ascii="Cambria" w:eastAsia="Calibri" w:hAnsi="Cambria" w:cs="Arial"/>
          <w:sz w:val="24"/>
          <w:szCs w:val="24"/>
        </w:rPr>
        <w:t>ș</w:t>
      </w:r>
      <w:r w:rsidRPr="00EA1BB2">
        <w:rPr>
          <w:rFonts w:ascii="Cambria" w:eastAsia="Calibri" w:hAnsi="Cambria" w:cs="Arial"/>
          <w:sz w:val="24"/>
          <w:szCs w:val="24"/>
        </w:rPr>
        <w:t>i a mediului ca întreg cuprind:</w:t>
      </w:r>
    </w:p>
    <w:p w14:paraId="1834B020" w14:textId="77777777" w:rsidR="003D4243" w:rsidRPr="00EA1BB2" w:rsidRDefault="003D4243" w:rsidP="006118FE">
      <w:pPr>
        <w:spacing w:line="360" w:lineRule="auto"/>
        <w:ind w:firstLine="709"/>
        <w:jc w:val="both"/>
        <w:rPr>
          <w:rFonts w:ascii="Cambria" w:eastAsia="Calibri" w:hAnsi="Cambria" w:cs="Arial"/>
          <w:sz w:val="24"/>
          <w:szCs w:val="24"/>
        </w:rPr>
      </w:pPr>
      <w:r w:rsidRPr="00EA1BB2">
        <w:rPr>
          <w:rFonts w:ascii="Cambria" w:eastAsia="Calibri" w:hAnsi="Cambria" w:cs="Arial"/>
          <w:sz w:val="24"/>
          <w:szCs w:val="24"/>
        </w:rPr>
        <w:t xml:space="preserve">a) definirea </w:t>
      </w:r>
      <w:r w:rsidR="00054880" w:rsidRPr="00EA1BB2">
        <w:rPr>
          <w:rFonts w:ascii="Cambria" w:eastAsia="Calibri" w:hAnsi="Cambria" w:cs="Arial"/>
          <w:sz w:val="24"/>
          <w:szCs w:val="24"/>
        </w:rPr>
        <w:t>ș</w:t>
      </w:r>
      <w:r w:rsidRPr="00EA1BB2">
        <w:rPr>
          <w:rFonts w:ascii="Cambria" w:eastAsia="Calibri" w:hAnsi="Cambria" w:cs="Arial"/>
          <w:sz w:val="24"/>
          <w:szCs w:val="24"/>
        </w:rPr>
        <w:t xml:space="preserve">i stabilirea obiectivelor pentru calitatea aerului înconjurător destinate </w:t>
      </w:r>
      <w:r w:rsidR="00DF5A5F" w:rsidRPr="00EA1BB2">
        <w:rPr>
          <w:rFonts w:ascii="Cambria" w:eastAsia="Calibri" w:hAnsi="Cambria" w:cs="Arial"/>
          <w:sz w:val="24"/>
          <w:szCs w:val="24"/>
        </w:rPr>
        <w:t xml:space="preserve">să </w:t>
      </w:r>
      <w:r w:rsidRPr="00EA1BB2">
        <w:rPr>
          <w:rFonts w:ascii="Cambria" w:eastAsia="Calibri" w:hAnsi="Cambria" w:cs="Arial"/>
          <w:sz w:val="24"/>
          <w:szCs w:val="24"/>
        </w:rPr>
        <w:t xml:space="preserve">evite </w:t>
      </w:r>
      <w:r w:rsidR="00054880" w:rsidRPr="00EA1BB2">
        <w:rPr>
          <w:rFonts w:ascii="Cambria" w:eastAsia="Calibri" w:hAnsi="Cambria" w:cs="Arial"/>
          <w:sz w:val="24"/>
          <w:szCs w:val="24"/>
        </w:rPr>
        <w:t>ș</w:t>
      </w:r>
      <w:r w:rsidRPr="00EA1BB2">
        <w:rPr>
          <w:rFonts w:ascii="Cambria" w:eastAsia="Calibri" w:hAnsi="Cambria" w:cs="Arial"/>
          <w:sz w:val="24"/>
          <w:szCs w:val="24"/>
        </w:rPr>
        <w:t xml:space="preserve">i să prevină producerea unor evenimente dăunătoare </w:t>
      </w:r>
      <w:r w:rsidR="00054880" w:rsidRPr="00EA1BB2">
        <w:rPr>
          <w:rFonts w:ascii="Cambria" w:eastAsia="Calibri" w:hAnsi="Cambria" w:cs="Arial"/>
          <w:sz w:val="24"/>
          <w:szCs w:val="24"/>
        </w:rPr>
        <w:t>ș</w:t>
      </w:r>
      <w:r w:rsidRPr="00EA1BB2">
        <w:rPr>
          <w:rFonts w:ascii="Cambria" w:eastAsia="Calibri" w:hAnsi="Cambria" w:cs="Arial"/>
          <w:sz w:val="24"/>
          <w:szCs w:val="24"/>
        </w:rPr>
        <w:t>i să reducă efectele acestora asupra sănătă</w:t>
      </w:r>
      <w:r w:rsidR="00054880" w:rsidRPr="00EA1BB2">
        <w:rPr>
          <w:rFonts w:ascii="Cambria" w:eastAsia="Calibri" w:hAnsi="Cambria" w:cs="Arial"/>
          <w:sz w:val="24"/>
          <w:szCs w:val="24"/>
        </w:rPr>
        <w:t>ț</w:t>
      </w:r>
      <w:r w:rsidRPr="00EA1BB2">
        <w:rPr>
          <w:rFonts w:ascii="Cambria" w:eastAsia="Calibri" w:hAnsi="Cambria" w:cs="Arial"/>
          <w:sz w:val="24"/>
          <w:szCs w:val="24"/>
        </w:rPr>
        <w:t xml:space="preserve">ii umane </w:t>
      </w:r>
      <w:r w:rsidR="00054880" w:rsidRPr="00EA1BB2">
        <w:rPr>
          <w:rFonts w:ascii="Cambria" w:eastAsia="Calibri" w:hAnsi="Cambria" w:cs="Arial"/>
          <w:sz w:val="24"/>
          <w:szCs w:val="24"/>
        </w:rPr>
        <w:t>ș</w:t>
      </w:r>
      <w:r w:rsidRPr="00EA1BB2">
        <w:rPr>
          <w:rFonts w:ascii="Cambria" w:eastAsia="Calibri" w:hAnsi="Cambria" w:cs="Arial"/>
          <w:sz w:val="24"/>
          <w:szCs w:val="24"/>
        </w:rPr>
        <w:t>i a mediului ca întreg;</w:t>
      </w:r>
    </w:p>
    <w:p w14:paraId="38557745" w14:textId="77777777" w:rsidR="003D4243" w:rsidRPr="00EA1BB2" w:rsidRDefault="003D4243" w:rsidP="006118FE">
      <w:pPr>
        <w:spacing w:line="360" w:lineRule="auto"/>
        <w:ind w:firstLine="709"/>
        <w:jc w:val="both"/>
        <w:rPr>
          <w:rFonts w:ascii="Cambria" w:eastAsia="Calibri" w:hAnsi="Cambria" w:cs="Arial"/>
          <w:sz w:val="24"/>
          <w:szCs w:val="24"/>
        </w:rPr>
      </w:pPr>
      <w:r w:rsidRPr="00EA1BB2">
        <w:rPr>
          <w:rFonts w:ascii="Cambria" w:eastAsia="Calibri" w:hAnsi="Cambria" w:cs="Arial"/>
          <w:sz w:val="24"/>
          <w:szCs w:val="24"/>
        </w:rPr>
        <w:t>b) evaluarea calită</w:t>
      </w:r>
      <w:r w:rsidR="00054880" w:rsidRPr="00EA1BB2">
        <w:rPr>
          <w:rFonts w:ascii="Cambria" w:eastAsia="Calibri" w:hAnsi="Cambria" w:cs="Arial"/>
          <w:sz w:val="24"/>
          <w:szCs w:val="24"/>
        </w:rPr>
        <w:t>ț</w:t>
      </w:r>
      <w:r w:rsidRPr="00EA1BB2">
        <w:rPr>
          <w:rFonts w:ascii="Cambria" w:eastAsia="Calibri" w:hAnsi="Cambria" w:cs="Arial"/>
          <w:sz w:val="24"/>
          <w:szCs w:val="24"/>
        </w:rPr>
        <w:t xml:space="preserve">ii aerului înconjurător pe întreg teritoriul </w:t>
      </w:r>
      <w:r w:rsidR="00054880" w:rsidRPr="00EA1BB2">
        <w:rPr>
          <w:rFonts w:ascii="Cambria" w:eastAsia="Calibri" w:hAnsi="Cambria" w:cs="Arial"/>
          <w:sz w:val="24"/>
          <w:szCs w:val="24"/>
        </w:rPr>
        <w:t>ț</w:t>
      </w:r>
      <w:r w:rsidRPr="00EA1BB2">
        <w:rPr>
          <w:rFonts w:ascii="Cambria" w:eastAsia="Calibri" w:hAnsi="Cambria" w:cs="Arial"/>
          <w:sz w:val="24"/>
          <w:szCs w:val="24"/>
        </w:rPr>
        <w:t xml:space="preserve">ării pe baza unor metode </w:t>
      </w:r>
      <w:r w:rsidR="00054880" w:rsidRPr="00EA1BB2">
        <w:rPr>
          <w:rFonts w:ascii="Cambria" w:eastAsia="Calibri" w:hAnsi="Cambria" w:cs="Arial"/>
          <w:sz w:val="24"/>
          <w:szCs w:val="24"/>
        </w:rPr>
        <w:t>ș</w:t>
      </w:r>
      <w:r w:rsidRPr="00EA1BB2">
        <w:rPr>
          <w:rFonts w:ascii="Cambria" w:eastAsia="Calibri" w:hAnsi="Cambria" w:cs="Arial"/>
          <w:sz w:val="24"/>
          <w:szCs w:val="24"/>
        </w:rPr>
        <w:t>i criterii comune, stabilite la nivel european;</w:t>
      </w:r>
    </w:p>
    <w:p w14:paraId="41CD5C05" w14:textId="77777777" w:rsidR="003D4243" w:rsidRPr="00EA1BB2" w:rsidRDefault="003D4243" w:rsidP="006118FE">
      <w:pPr>
        <w:spacing w:line="360" w:lineRule="auto"/>
        <w:ind w:firstLine="709"/>
        <w:jc w:val="both"/>
        <w:rPr>
          <w:rFonts w:ascii="Cambria" w:eastAsia="Calibri" w:hAnsi="Cambria" w:cs="Arial"/>
          <w:sz w:val="24"/>
          <w:szCs w:val="24"/>
        </w:rPr>
      </w:pPr>
      <w:r w:rsidRPr="00EA1BB2">
        <w:rPr>
          <w:rFonts w:ascii="Cambria" w:eastAsia="Calibri" w:hAnsi="Cambria" w:cs="Arial"/>
          <w:sz w:val="24"/>
          <w:szCs w:val="24"/>
        </w:rPr>
        <w:t>c) ob</w:t>
      </w:r>
      <w:r w:rsidR="00054880" w:rsidRPr="00EA1BB2">
        <w:rPr>
          <w:rFonts w:ascii="Cambria" w:eastAsia="Calibri" w:hAnsi="Cambria" w:cs="Arial"/>
          <w:sz w:val="24"/>
          <w:szCs w:val="24"/>
        </w:rPr>
        <w:t>ț</w:t>
      </w:r>
      <w:r w:rsidRPr="00EA1BB2">
        <w:rPr>
          <w:rFonts w:ascii="Cambria" w:eastAsia="Calibri" w:hAnsi="Cambria" w:cs="Arial"/>
          <w:sz w:val="24"/>
          <w:szCs w:val="24"/>
        </w:rPr>
        <w:t>inerea informa</w:t>
      </w:r>
      <w:r w:rsidR="00054880" w:rsidRPr="00EA1BB2">
        <w:rPr>
          <w:rFonts w:ascii="Cambria" w:eastAsia="Calibri" w:hAnsi="Cambria" w:cs="Arial"/>
          <w:sz w:val="24"/>
          <w:szCs w:val="24"/>
        </w:rPr>
        <w:t>ț</w:t>
      </w:r>
      <w:r w:rsidRPr="00EA1BB2">
        <w:rPr>
          <w:rFonts w:ascii="Cambria" w:eastAsia="Calibri" w:hAnsi="Cambria" w:cs="Arial"/>
          <w:sz w:val="24"/>
          <w:szCs w:val="24"/>
        </w:rPr>
        <w:t xml:space="preserve">iilor privind calitatea aerului înconjurător pentru a sprijini procesul de combatere a poluării aerului </w:t>
      </w:r>
      <w:r w:rsidR="00054880" w:rsidRPr="00EA1BB2">
        <w:rPr>
          <w:rFonts w:ascii="Cambria" w:eastAsia="Calibri" w:hAnsi="Cambria" w:cs="Arial"/>
          <w:sz w:val="24"/>
          <w:szCs w:val="24"/>
        </w:rPr>
        <w:t>ș</w:t>
      </w:r>
      <w:r w:rsidRPr="00EA1BB2">
        <w:rPr>
          <w:rFonts w:ascii="Cambria" w:eastAsia="Calibri" w:hAnsi="Cambria" w:cs="Arial"/>
          <w:sz w:val="24"/>
          <w:szCs w:val="24"/>
        </w:rPr>
        <w:t xml:space="preserve">i a disconfortului cauzat de aceasta, precum </w:t>
      </w:r>
      <w:r w:rsidR="00054880" w:rsidRPr="00EA1BB2">
        <w:rPr>
          <w:rFonts w:ascii="Cambria" w:eastAsia="Calibri" w:hAnsi="Cambria" w:cs="Arial"/>
          <w:sz w:val="24"/>
          <w:szCs w:val="24"/>
        </w:rPr>
        <w:t>ș</w:t>
      </w:r>
      <w:r w:rsidRPr="00EA1BB2">
        <w:rPr>
          <w:rFonts w:ascii="Cambria" w:eastAsia="Calibri" w:hAnsi="Cambria" w:cs="Arial"/>
          <w:sz w:val="24"/>
          <w:szCs w:val="24"/>
        </w:rPr>
        <w:t xml:space="preserve">i </w:t>
      </w:r>
      <w:r w:rsidRPr="00EA1BB2">
        <w:rPr>
          <w:rFonts w:ascii="Cambria" w:eastAsia="Calibri" w:hAnsi="Cambria" w:cs="Arial"/>
          <w:sz w:val="24"/>
          <w:szCs w:val="24"/>
        </w:rPr>
        <w:lastRenderedPageBreak/>
        <w:t>pentru a monitoriza pe termen lung tendin</w:t>
      </w:r>
      <w:r w:rsidR="00054880" w:rsidRPr="00EA1BB2">
        <w:rPr>
          <w:rFonts w:ascii="Cambria" w:eastAsia="Calibri" w:hAnsi="Cambria" w:cs="Arial"/>
          <w:sz w:val="24"/>
          <w:szCs w:val="24"/>
        </w:rPr>
        <w:t>ț</w:t>
      </w:r>
      <w:r w:rsidRPr="00EA1BB2">
        <w:rPr>
          <w:rFonts w:ascii="Cambria" w:eastAsia="Calibri" w:hAnsi="Cambria" w:cs="Arial"/>
          <w:sz w:val="24"/>
          <w:szCs w:val="24"/>
        </w:rPr>
        <w:t xml:space="preserve">ele </w:t>
      </w:r>
      <w:r w:rsidR="00054880" w:rsidRPr="00EA1BB2">
        <w:rPr>
          <w:rFonts w:ascii="Cambria" w:eastAsia="Calibri" w:hAnsi="Cambria" w:cs="Arial"/>
          <w:sz w:val="24"/>
          <w:szCs w:val="24"/>
        </w:rPr>
        <w:t>ș</w:t>
      </w:r>
      <w:r w:rsidRPr="00EA1BB2">
        <w:rPr>
          <w:rFonts w:ascii="Cambria" w:eastAsia="Calibri" w:hAnsi="Cambria" w:cs="Arial"/>
          <w:sz w:val="24"/>
          <w:szCs w:val="24"/>
        </w:rPr>
        <w:t>i îmbunătă</w:t>
      </w:r>
      <w:r w:rsidR="00054880" w:rsidRPr="00EA1BB2">
        <w:rPr>
          <w:rFonts w:ascii="Cambria" w:eastAsia="Calibri" w:hAnsi="Cambria" w:cs="Arial"/>
          <w:sz w:val="24"/>
          <w:szCs w:val="24"/>
        </w:rPr>
        <w:t>ț</w:t>
      </w:r>
      <w:r w:rsidRPr="00EA1BB2">
        <w:rPr>
          <w:rFonts w:ascii="Cambria" w:eastAsia="Calibri" w:hAnsi="Cambria" w:cs="Arial"/>
          <w:sz w:val="24"/>
          <w:szCs w:val="24"/>
        </w:rPr>
        <w:t>irile rezultate în urma măsurilor luate la nivel na</w:t>
      </w:r>
      <w:r w:rsidR="00054880" w:rsidRPr="00EA1BB2">
        <w:rPr>
          <w:rFonts w:ascii="Cambria" w:eastAsia="Calibri" w:hAnsi="Cambria" w:cs="Arial"/>
          <w:sz w:val="24"/>
          <w:szCs w:val="24"/>
        </w:rPr>
        <w:t>ț</w:t>
      </w:r>
      <w:r w:rsidRPr="00EA1BB2">
        <w:rPr>
          <w:rFonts w:ascii="Cambria" w:eastAsia="Calibri" w:hAnsi="Cambria" w:cs="Arial"/>
          <w:sz w:val="24"/>
          <w:szCs w:val="24"/>
        </w:rPr>
        <w:t xml:space="preserve">ional </w:t>
      </w:r>
      <w:r w:rsidR="00054880" w:rsidRPr="00EA1BB2">
        <w:rPr>
          <w:rFonts w:ascii="Cambria" w:eastAsia="Calibri" w:hAnsi="Cambria" w:cs="Arial"/>
          <w:sz w:val="24"/>
          <w:szCs w:val="24"/>
        </w:rPr>
        <w:t>ș</w:t>
      </w:r>
      <w:r w:rsidRPr="00EA1BB2">
        <w:rPr>
          <w:rFonts w:ascii="Cambria" w:eastAsia="Calibri" w:hAnsi="Cambria" w:cs="Arial"/>
          <w:sz w:val="24"/>
          <w:szCs w:val="24"/>
        </w:rPr>
        <w:t>i european;</w:t>
      </w:r>
    </w:p>
    <w:p w14:paraId="7E50105E" w14:textId="77777777" w:rsidR="003D4243" w:rsidRPr="00EA1BB2" w:rsidRDefault="003D4243" w:rsidP="006118FE">
      <w:pPr>
        <w:spacing w:line="360" w:lineRule="auto"/>
        <w:ind w:firstLine="709"/>
        <w:jc w:val="both"/>
        <w:rPr>
          <w:rFonts w:ascii="Cambria" w:eastAsia="Calibri" w:hAnsi="Cambria" w:cs="Arial"/>
          <w:sz w:val="24"/>
          <w:szCs w:val="24"/>
        </w:rPr>
      </w:pPr>
      <w:r w:rsidRPr="00EA1BB2">
        <w:rPr>
          <w:rFonts w:ascii="Cambria" w:eastAsia="Calibri" w:hAnsi="Cambria" w:cs="Arial"/>
          <w:sz w:val="24"/>
          <w:szCs w:val="24"/>
        </w:rPr>
        <w:t>d) garantarea faptului că informa</w:t>
      </w:r>
      <w:r w:rsidR="00054880" w:rsidRPr="00EA1BB2">
        <w:rPr>
          <w:rFonts w:ascii="Cambria" w:eastAsia="Calibri" w:hAnsi="Cambria" w:cs="Arial"/>
          <w:sz w:val="24"/>
          <w:szCs w:val="24"/>
        </w:rPr>
        <w:t>ț</w:t>
      </w:r>
      <w:r w:rsidRPr="00EA1BB2">
        <w:rPr>
          <w:rFonts w:ascii="Cambria" w:eastAsia="Calibri" w:hAnsi="Cambria" w:cs="Arial"/>
          <w:sz w:val="24"/>
          <w:szCs w:val="24"/>
        </w:rPr>
        <w:t>iile privind calitatea aerului înconjurător sunt puse la dispozi</w:t>
      </w:r>
      <w:r w:rsidR="00054880" w:rsidRPr="00EA1BB2">
        <w:rPr>
          <w:rFonts w:ascii="Cambria" w:eastAsia="Calibri" w:hAnsi="Cambria" w:cs="Arial"/>
          <w:sz w:val="24"/>
          <w:szCs w:val="24"/>
        </w:rPr>
        <w:t>ț</w:t>
      </w:r>
      <w:r w:rsidRPr="00EA1BB2">
        <w:rPr>
          <w:rFonts w:ascii="Cambria" w:eastAsia="Calibri" w:hAnsi="Cambria" w:cs="Arial"/>
          <w:sz w:val="24"/>
          <w:szCs w:val="24"/>
        </w:rPr>
        <w:t>ia publicului;</w:t>
      </w:r>
    </w:p>
    <w:p w14:paraId="6090DD35" w14:textId="77777777" w:rsidR="003D4243" w:rsidRPr="00EA1BB2" w:rsidRDefault="003D4243" w:rsidP="006118FE">
      <w:pPr>
        <w:spacing w:line="360" w:lineRule="auto"/>
        <w:ind w:firstLine="709"/>
        <w:jc w:val="both"/>
        <w:rPr>
          <w:rFonts w:ascii="Cambria" w:eastAsia="Calibri" w:hAnsi="Cambria" w:cs="Arial"/>
          <w:sz w:val="24"/>
          <w:szCs w:val="24"/>
        </w:rPr>
      </w:pPr>
      <w:r w:rsidRPr="00EA1BB2">
        <w:rPr>
          <w:rFonts w:ascii="Cambria" w:eastAsia="Calibri" w:hAnsi="Cambria" w:cs="Arial"/>
          <w:sz w:val="24"/>
          <w:szCs w:val="24"/>
        </w:rPr>
        <w:t>e) men</w:t>
      </w:r>
      <w:r w:rsidR="00054880" w:rsidRPr="00EA1BB2">
        <w:rPr>
          <w:rFonts w:ascii="Cambria" w:eastAsia="Calibri" w:hAnsi="Cambria" w:cs="Arial"/>
          <w:sz w:val="24"/>
          <w:szCs w:val="24"/>
        </w:rPr>
        <w:t>ț</w:t>
      </w:r>
      <w:r w:rsidRPr="00EA1BB2">
        <w:rPr>
          <w:rFonts w:ascii="Cambria" w:eastAsia="Calibri" w:hAnsi="Cambria" w:cs="Arial"/>
          <w:sz w:val="24"/>
          <w:szCs w:val="24"/>
        </w:rPr>
        <w:t>inerea calită</w:t>
      </w:r>
      <w:r w:rsidR="00054880" w:rsidRPr="00EA1BB2">
        <w:rPr>
          <w:rFonts w:ascii="Cambria" w:eastAsia="Calibri" w:hAnsi="Cambria" w:cs="Arial"/>
          <w:sz w:val="24"/>
          <w:szCs w:val="24"/>
        </w:rPr>
        <w:t>ț</w:t>
      </w:r>
      <w:r w:rsidRPr="00EA1BB2">
        <w:rPr>
          <w:rFonts w:ascii="Cambria" w:eastAsia="Calibri" w:hAnsi="Cambria" w:cs="Arial"/>
          <w:sz w:val="24"/>
          <w:szCs w:val="24"/>
        </w:rPr>
        <w:t xml:space="preserve">ii aerului înconjurător acolo unde aceasta este corespunzătoare </w:t>
      </w:r>
      <w:r w:rsidR="00054880" w:rsidRPr="00EA1BB2">
        <w:rPr>
          <w:rFonts w:ascii="Cambria" w:eastAsia="Calibri" w:hAnsi="Cambria" w:cs="Arial"/>
          <w:sz w:val="24"/>
          <w:szCs w:val="24"/>
        </w:rPr>
        <w:t>ș</w:t>
      </w:r>
      <w:r w:rsidRPr="00EA1BB2">
        <w:rPr>
          <w:rFonts w:ascii="Cambria" w:eastAsia="Calibri" w:hAnsi="Cambria" w:cs="Arial"/>
          <w:sz w:val="24"/>
          <w:szCs w:val="24"/>
        </w:rPr>
        <w:t>i/sau îmbunătă</w:t>
      </w:r>
      <w:r w:rsidR="00054880" w:rsidRPr="00EA1BB2">
        <w:rPr>
          <w:rFonts w:ascii="Cambria" w:eastAsia="Calibri" w:hAnsi="Cambria" w:cs="Arial"/>
          <w:sz w:val="24"/>
          <w:szCs w:val="24"/>
        </w:rPr>
        <w:t>ț</w:t>
      </w:r>
      <w:r w:rsidRPr="00EA1BB2">
        <w:rPr>
          <w:rFonts w:ascii="Cambria" w:eastAsia="Calibri" w:hAnsi="Cambria" w:cs="Arial"/>
          <w:sz w:val="24"/>
          <w:szCs w:val="24"/>
        </w:rPr>
        <w:t>irea acesteia în celelalte cazuri.</w:t>
      </w:r>
    </w:p>
    <w:p w14:paraId="30832C39" w14:textId="77777777" w:rsidR="003D4243" w:rsidRPr="00EA1BB2" w:rsidRDefault="003D4243" w:rsidP="006118FE">
      <w:pPr>
        <w:spacing w:line="360" w:lineRule="auto"/>
        <w:ind w:firstLine="709"/>
        <w:jc w:val="both"/>
        <w:rPr>
          <w:rFonts w:ascii="Cambria" w:eastAsia="Calibri" w:hAnsi="Cambria" w:cs="Arial"/>
          <w:sz w:val="24"/>
          <w:szCs w:val="24"/>
        </w:rPr>
      </w:pPr>
      <w:r w:rsidRPr="00EA1BB2">
        <w:rPr>
          <w:rFonts w:ascii="Cambria" w:eastAsia="Calibri" w:hAnsi="Cambria" w:cs="Arial"/>
          <w:sz w:val="24"/>
          <w:szCs w:val="24"/>
        </w:rPr>
        <w:t>Pentru punerea în aplicare a legii calită</w:t>
      </w:r>
      <w:r w:rsidR="00054880" w:rsidRPr="00EA1BB2">
        <w:rPr>
          <w:rFonts w:ascii="Cambria" w:eastAsia="Calibri" w:hAnsi="Cambria" w:cs="Arial"/>
          <w:sz w:val="24"/>
          <w:szCs w:val="24"/>
        </w:rPr>
        <w:t>ț</w:t>
      </w:r>
      <w:r w:rsidRPr="00EA1BB2">
        <w:rPr>
          <w:rFonts w:ascii="Cambria" w:eastAsia="Calibri" w:hAnsi="Cambria" w:cs="Arial"/>
          <w:sz w:val="24"/>
          <w:szCs w:val="24"/>
        </w:rPr>
        <w:t>ii aerului înconjurător a fost înfiin</w:t>
      </w:r>
      <w:r w:rsidR="00054880" w:rsidRPr="00EA1BB2">
        <w:rPr>
          <w:rFonts w:ascii="Cambria" w:eastAsia="Calibri" w:hAnsi="Cambria" w:cs="Arial"/>
          <w:sz w:val="24"/>
          <w:szCs w:val="24"/>
        </w:rPr>
        <w:t>ț</w:t>
      </w:r>
      <w:r w:rsidRPr="00EA1BB2">
        <w:rPr>
          <w:rFonts w:ascii="Cambria" w:eastAsia="Calibri" w:hAnsi="Cambria" w:cs="Arial"/>
          <w:sz w:val="24"/>
          <w:szCs w:val="24"/>
        </w:rPr>
        <w:t>at Sistemul Na</w:t>
      </w:r>
      <w:r w:rsidR="00054880" w:rsidRPr="00EA1BB2">
        <w:rPr>
          <w:rFonts w:ascii="Cambria" w:eastAsia="Calibri" w:hAnsi="Cambria" w:cs="Arial"/>
          <w:sz w:val="24"/>
          <w:szCs w:val="24"/>
        </w:rPr>
        <w:t>ț</w:t>
      </w:r>
      <w:r w:rsidRPr="00EA1BB2">
        <w:rPr>
          <w:rFonts w:ascii="Cambria" w:eastAsia="Calibri" w:hAnsi="Cambria" w:cs="Arial"/>
          <w:sz w:val="24"/>
          <w:szCs w:val="24"/>
        </w:rPr>
        <w:t xml:space="preserve">ional de Evaluare </w:t>
      </w:r>
      <w:r w:rsidR="00054880" w:rsidRPr="00EA1BB2">
        <w:rPr>
          <w:rFonts w:ascii="Cambria" w:eastAsia="Calibri" w:hAnsi="Cambria" w:cs="Arial"/>
          <w:sz w:val="24"/>
          <w:szCs w:val="24"/>
        </w:rPr>
        <w:t>ș</w:t>
      </w:r>
      <w:r w:rsidRPr="00EA1BB2">
        <w:rPr>
          <w:rFonts w:ascii="Cambria" w:eastAsia="Calibri" w:hAnsi="Cambria" w:cs="Arial"/>
          <w:sz w:val="24"/>
          <w:szCs w:val="24"/>
        </w:rPr>
        <w:t>i Gestionare Integrată a Calită</w:t>
      </w:r>
      <w:r w:rsidR="00054880" w:rsidRPr="00EA1BB2">
        <w:rPr>
          <w:rFonts w:ascii="Cambria" w:eastAsia="Calibri" w:hAnsi="Cambria" w:cs="Arial"/>
          <w:sz w:val="24"/>
          <w:szCs w:val="24"/>
        </w:rPr>
        <w:t>ț</w:t>
      </w:r>
      <w:r w:rsidRPr="00EA1BB2">
        <w:rPr>
          <w:rFonts w:ascii="Cambria" w:eastAsia="Calibri" w:hAnsi="Cambria" w:cs="Arial"/>
          <w:sz w:val="24"/>
          <w:szCs w:val="24"/>
        </w:rPr>
        <w:t>ii Aerului (SNEGICA) care asigură cadrul organizatoric, institu</w:t>
      </w:r>
      <w:r w:rsidR="00054880" w:rsidRPr="00EA1BB2">
        <w:rPr>
          <w:rFonts w:ascii="Cambria" w:eastAsia="Calibri" w:hAnsi="Cambria" w:cs="Arial"/>
          <w:sz w:val="24"/>
          <w:szCs w:val="24"/>
        </w:rPr>
        <w:t>ț</w:t>
      </w:r>
      <w:r w:rsidRPr="00EA1BB2">
        <w:rPr>
          <w:rFonts w:ascii="Cambria" w:eastAsia="Calibri" w:hAnsi="Cambria" w:cs="Arial"/>
          <w:sz w:val="24"/>
          <w:szCs w:val="24"/>
        </w:rPr>
        <w:t xml:space="preserve">ional </w:t>
      </w:r>
      <w:r w:rsidR="00054880" w:rsidRPr="00EA1BB2">
        <w:rPr>
          <w:rFonts w:ascii="Cambria" w:eastAsia="Calibri" w:hAnsi="Cambria" w:cs="Arial"/>
          <w:sz w:val="24"/>
          <w:szCs w:val="24"/>
        </w:rPr>
        <w:t>ș</w:t>
      </w:r>
      <w:r w:rsidRPr="00EA1BB2">
        <w:rPr>
          <w:rFonts w:ascii="Cambria" w:eastAsia="Calibri" w:hAnsi="Cambria" w:cs="Arial"/>
          <w:sz w:val="24"/>
          <w:szCs w:val="24"/>
        </w:rPr>
        <w:t>i legal de cooperare a autorită</w:t>
      </w:r>
      <w:r w:rsidR="00054880" w:rsidRPr="00EA1BB2">
        <w:rPr>
          <w:rFonts w:ascii="Cambria" w:eastAsia="Calibri" w:hAnsi="Cambria" w:cs="Arial"/>
          <w:sz w:val="24"/>
          <w:szCs w:val="24"/>
        </w:rPr>
        <w:t>ț</w:t>
      </w:r>
      <w:r w:rsidRPr="00EA1BB2">
        <w:rPr>
          <w:rFonts w:ascii="Cambria" w:eastAsia="Calibri" w:hAnsi="Cambria" w:cs="Arial"/>
          <w:sz w:val="24"/>
          <w:szCs w:val="24"/>
        </w:rPr>
        <w:t xml:space="preserve">ilor </w:t>
      </w:r>
      <w:r w:rsidR="00054880" w:rsidRPr="00EA1BB2">
        <w:rPr>
          <w:rFonts w:ascii="Cambria" w:eastAsia="Calibri" w:hAnsi="Cambria" w:cs="Arial"/>
          <w:sz w:val="24"/>
          <w:szCs w:val="24"/>
        </w:rPr>
        <w:t>ș</w:t>
      </w:r>
      <w:r w:rsidRPr="00EA1BB2">
        <w:rPr>
          <w:rFonts w:ascii="Cambria" w:eastAsia="Calibri" w:hAnsi="Cambria" w:cs="Arial"/>
          <w:sz w:val="24"/>
          <w:szCs w:val="24"/>
        </w:rPr>
        <w:t>i institu</w:t>
      </w:r>
      <w:r w:rsidR="00054880" w:rsidRPr="00EA1BB2">
        <w:rPr>
          <w:rFonts w:ascii="Cambria" w:eastAsia="Calibri" w:hAnsi="Cambria" w:cs="Arial"/>
          <w:sz w:val="24"/>
          <w:szCs w:val="24"/>
        </w:rPr>
        <w:t>ț</w:t>
      </w:r>
      <w:r w:rsidRPr="00EA1BB2">
        <w:rPr>
          <w:rFonts w:ascii="Cambria" w:eastAsia="Calibri" w:hAnsi="Cambria" w:cs="Arial"/>
          <w:sz w:val="24"/>
          <w:szCs w:val="24"/>
        </w:rPr>
        <w:t>iilor publice cu competen</w:t>
      </w:r>
      <w:r w:rsidR="00054880" w:rsidRPr="00EA1BB2">
        <w:rPr>
          <w:rFonts w:ascii="Cambria" w:eastAsia="Calibri" w:hAnsi="Cambria" w:cs="Arial"/>
          <w:sz w:val="24"/>
          <w:szCs w:val="24"/>
        </w:rPr>
        <w:t>ț</w:t>
      </w:r>
      <w:r w:rsidRPr="00EA1BB2">
        <w:rPr>
          <w:rFonts w:ascii="Cambria" w:eastAsia="Calibri" w:hAnsi="Cambria" w:cs="Arial"/>
          <w:sz w:val="24"/>
          <w:szCs w:val="24"/>
        </w:rPr>
        <w:t xml:space="preserve">e în domeniu, în scopul evaluării </w:t>
      </w:r>
      <w:r w:rsidR="00054880" w:rsidRPr="00EA1BB2">
        <w:rPr>
          <w:rFonts w:ascii="Cambria" w:eastAsia="Calibri" w:hAnsi="Cambria" w:cs="Arial"/>
          <w:sz w:val="24"/>
          <w:szCs w:val="24"/>
        </w:rPr>
        <w:t>ș</w:t>
      </w:r>
      <w:r w:rsidRPr="00EA1BB2">
        <w:rPr>
          <w:rFonts w:ascii="Cambria" w:eastAsia="Calibri" w:hAnsi="Cambria" w:cs="Arial"/>
          <w:sz w:val="24"/>
          <w:szCs w:val="24"/>
        </w:rPr>
        <w:t>i gestionării calită</w:t>
      </w:r>
      <w:r w:rsidR="00054880" w:rsidRPr="00EA1BB2">
        <w:rPr>
          <w:rFonts w:ascii="Cambria" w:eastAsia="Calibri" w:hAnsi="Cambria" w:cs="Arial"/>
          <w:sz w:val="24"/>
          <w:szCs w:val="24"/>
        </w:rPr>
        <w:t>ț</w:t>
      </w:r>
      <w:r w:rsidRPr="00EA1BB2">
        <w:rPr>
          <w:rFonts w:ascii="Cambria" w:eastAsia="Calibri" w:hAnsi="Cambria" w:cs="Arial"/>
          <w:sz w:val="24"/>
          <w:szCs w:val="24"/>
        </w:rPr>
        <w:t xml:space="preserve">ii aerului înconjurător în mod unitar pe întreg teritoriul României, precum </w:t>
      </w:r>
      <w:r w:rsidR="00054880" w:rsidRPr="00EA1BB2">
        <w:rPr>
          <w:rFonts w:ascii="Cambria" w:eastAsia="Calibri" w:hAnsi="Cambria" w:cs="Arial"/>
          <w:sz w:val="24"/>
          <w:szCs w:val="24"/>
        </w:rPr>
        <w:t>ș</w:t>
      </w:r>
      <w:r w:rsidRPr="00EA1BB2">
        <w:rPr>
          <w:rFonts w:ascii="Cambria" w:eastAsia="Calibri" w:hAnsi="Cambria" w:cs="Arial"/>
          <w:sz w:val="24"/>
          <w:szCs w:val="24"/>
        </w:rPr>
        <w:t>i pentru informarea popula</w:t>
      </w:r>
      <w:r w:rsidR="00054880" w:rsidRPr="00EA1BB2">
        <w:rPr>
          <w:rFonts w:ascii="Cambria" w:eastAsia="Calibri" w:hAnsi="Cambria" w:cs="Arial"/>
          <w:sz w:val="24"/>
          <w:szCs w:val="24"/>
        </w:rPr>
        <w:t>ț</w:t>
      </w:r>
      <w:r w:rsidRPr="00EA1BB2">
        <w:rPr>
          <w:rFonts w:ascii="Cambria" w:eastAsia="Calibri" w:hAnsi="Cambria" w:cs="Arial"/>
          <w:sz w:val="24"/>
          <w:szCs w:val="24"/>
        </w:rPr>
        <w:t xml:space="preserve">iei </w:t>
      </w:r>
      <w:r w:rsidR="00054880" w:rsidRPr="00EA1BB2">
        <w:rPr>
          <w:rFonts w:ascii="Cambria" w:eastAsia="Calibri" w:hAnsi="Cambria" w:cs="Arial"/>
          <w:sz w:val="24"/>
          <w:szCs w:val="24"/>
        </w:rPr>
        <w:t>ș</w:t>
      </w:r>
      <w:r w:rsidRPr="00EA1BB2">
        <w:rPr>
          <w:rFonts w:ascii="Cambria" w:eastAsia="Calibri" w:hAnsi="Cambria" w:cs="Arial"/>
          <w:sz w:val="24"/>
          <w:szCs w:val="24"/>
        </w:rPr>
        <w:t xml:space="preserve">i a organismelor europene </w:t>
      </w:r>
      <w:r w:rsidR="00054880" w:rsidRPr="00EA1BB2">
        <w:rPr>
          <w:rFonts w:ascii="Cambria" w:eastAsia="Calibri" w:hAnsi="Cambria" w:cs="Arial"/>
          <w:sz w:val="24"/>
          <w:szCs w:val="24"/>
        </w:rPr>
        <w:t>ș</w:t>
      </w:r>
      <w:r w:rsidRPr="00EA1BB2">
        <w:rPr>
          <w:rFonts w:ascii="Cambria" w:eastAsia="Calibri" w:hAnsi="Cambria" w:cs="Arial"/>
          <w:sz w:val="24"/>
          <w:szCs w:val="24"/>
        </w:rPr>
        <w:t>i interna</w:t>
      </w:r>
      <w:r w:rsidR="00054880" w:rsidRPr="00EA1BB2">
        <w:rPr>
          <w:rFonts w:ascii="Cambria" w:eastAsia="Calibri" w:hAnsi="Cambria" w:cs="Arial"/>
          <w:sz w:val="24"/>
          <w:szCs w:val="24"/>
        </w:rPr>
        <w:t>ț</w:t>
      </w:r>
      <w:r w:rsidRPr="00EA1BB2">
        <w:rPr>
          <w:rFonts w:ascii="Cambria" w:eastAsia="Calibri" w:hAnsi="Cambria" w:cs="Arial"/>
          <w:sz w:val="24"/>
          <w:szCs w:val="24"/>
        </w:rPr>
        <w:t>ionale privind calitatea aerului înconjurător.</w:t>
      </w:r>
    </w:p>
    <w:p w14:paraId="334444C0" w14:textId="77777777" w:rsidR="003D4243" w:rsidRPr="00EA1BB2" w:rsidRDefault="003D4243" w:rsidP="006118FE">
      <w:pPr>
        <w:spacing w:line="360" w:lineRule="auto"/>
        <w:ind w:firstLine="709"/>
        <w:jc w:val="both"/>
        <w:rPr>
          <w:rFonts w:ascii="Cambria" w:eastAsia="Calibri" w:hAnsi="Cambria" w:cs="Arial"/>
          <w:sz w:val="24"/>
          <w:szCs w:val="24"/>
        </w:rPr>
      </w:pPr>
      <w:r w:rsidRPr="00EA1BB2">
        <w:rPr>
          <w:rFonts w:ascii="Cambria" w:eastAsia="Calibri" w:hAnsi="Cambria" w:cs="Arial"/>
          <w:sz w:val="24"/>
          <w:szCs w:val="24"/>
        </w:rPr>
        <w:t xml:space="preserve">Legea nr. 104/2011 privind calitatea aerului înconjurător, prevede obligativitatea ca în ariile din zonele </w:t>
      </w:r>
      <w:r w:rsidR="00054880" w:rsidRPr="00EA1BB2">
        <w:rPr>
          <w:rFonts w:ascii="Cambria" w:eastAsia="Calibri" w:hAnsi="Cambria" w:cs="Arial"/>
          <w:sz w:val="24"/>
          <w:szCs w:val="24"/>
        </w:rPr>
        <w:t>ș</w:t>
      </w:r>
      <w:r w:rsidRPr="00EA1BB2">
        <w:rPr>
          <w:rFonts w:ascii="Cambria" w:eastAsia="Calibri" w:hAnsi="Cambria" w:cs="Arial"/>
          <w:sz w:val="24"/>
          <w:szCs w:val="24"/>
        </w:rPr>
        <w:t xml:space="preserve">i aglomerările clasificate în regim de gestionare I să se elaboreze planuri de calitate a aerului pentru atingerea valorilor limită sau, respectiv, a valorilor </w:t>
      </w:r>
      <w:r w:rsidR="00054880" w:rsidRPr="00EA1BB2">
        <w:rPr>
          <w:rFonts w:ascii="Cambria" w:eastAsia="Calibri" w:hAnsi="Cambria" w:cs="Arial"/>
          <w:sz w:val="24"/>
          <w:szCs w:val="24"/>
        </w:rPr>
        <w:t>ț</w:t>
      </w:r>
      <w:r w:rsidRPr="00EA1BB2">
        <w:rPr>
          <w:rFonts w:ascii="Cambria" w:eastAsia="Calibri" w:hAnsi="Cambria" w:cs="Arial"/>
          <w:sz w:val="24"/>
          <w:szCs w:val="24"/>
        </w:rPr>
        <w:t xml:space="preserve">intă corespunzătoare, iar în ariile din zonele </w:t>
      </w:r>
      <w:r w:rsidR="00054880" w:rsidRPr="00EA1BB2">
        <w:rPr>
          <w:rFonts w:ascii="Cambria" w:eastAsia="Calibri" w:hAnsi="Cambria" w:cs="Arial"/>
          <w:sz w:val="24"/>
          <w:szCs w:val="24"/>
        </w:rPr>
        <w:t>ș</w:t>
      </w:r>
      <w:r w:rsidRPr="00EA1BB2">
        <w:rPr>
          <w:rFonts w:ascii="Cambria" w:eastAsia="Calibri" w:hAnsi="Cambria" w:cs="Arial"/>
          <w:sz w:val="24"/>
          <w:szCs w:val="24"/>
        </w:rPr>
        <w:t>i aglomerările clasificate în regim de gestionare II să se elaboreze planuri de men</w:t>
      </w:r>
      <w:r w:rsidR="00054880" w:rsidRPr="00EA1BB2">
        <w:rPr>
          <w:rFonts w:ascii="Cambria" w:eastAsia="Calibri" w:hAnsi="Cambria" w:cs="Arial"/>
          <w:sz w:val="24"/>
          <w:szCs w:val="24"/>
        </w:rPr>
        <w:t>ț</w:t>
      </w:r>
      <w:r w:rsidRPr="00EA1BB2">
        <w:rPr>
          <w:rFonts w:ascii="Cambria" w:eastAsia="Calibri" w:hAnsi="Cambria" w:cs="Arial"/>
          <w:sz w:val="24"/>
          <w:szCs w:val="24"/>
        </w:rPr>
        <w:t>inere a calită</w:t>
      </w:r>
      <w:r w:rsidR="00054880" w:rsidRPr="00EA1BB2">
        <w:rPr>
          <w:rFonts w:ascii="Cambria" w:eastAsia="Calibri" w:hAnsi="Cambria" w:cs="Arial"/>
          <w:sz w:val="24"/>
          <w:szCs w:val="24"/>
        </w:rPr>
        <w:t>ț</w:t>
      </w:r>
      <w:r w:rsidRPr="00EA1BB2">
        <w:rPr>
          <w:rFonts w:ascii="Cambria" w:eastAsia="Calibri" w:hAnsi="Cambria" w:cs="Arial"/>
          <w:sz w:val="24"/>
          <w:szCs w:val="24"/>
        </w:rPr>
        <w:t xml:space="preserve">ii aerului (art. 43, alin (1) </w:t>
      </w:r>
      <w:r w:rsidR="00054880" w:rsidRPr="00EA1BB2">
        <w:rPr>
          <w:rFonts w:ascii="Cambria" w:eastAsia="Calibri" w:hAnsi="Cambria" w:cs="Arial"/>
          <w:sz w:val="24"/>
          <w:szCs w:val="24"/>
        </w:rPr>
        <w:t>ș</w:t>
      </w:r>
      <w:r w:rsidRPr="00EA1BB2">
        <w:rPr>
          <w:rFonts w:ascii="Cambria" w:eastAsia="Calibri" w:hAnsi="Cambria" w:cs="Arial"/>
          <w:sz w:val="24"/>
          <w:szCs w:val="24"/>
        </w:rPr>
        <w:t>i (2)).</w:t>
      </w:r>
    </w:p>
    <w:p w14:paraId="5D0E3C82" w14:textId="23F1CCA5" w:rsidR="00C97300" w:rsidRPr="00EA1BB2" w:rsidRDefault="00C97300" w:rsidP="00C97300">
      <w:pPr>
        <w:spacing w:line="360" w:lineRule="auto"/>
        <w:ind w:firstLine="709"/>
        <w:jc w:val="both"/>
        <w:rPr>
          <w:rFonts w:ascii="Cambria" w:eastAsia="Calibri" w:hAnsi="Cambria" w:cs="Arial"/>
          <w:sz w:val="24"/>
          <w:szCs w:val="24"/>
        </w:rPr>
      </w:pPr>
      <w:r w:rsidRPr="00EA1BB2">
        <w:rPr>
          <w:rFonts w:ascii="Cambria" w:eastAsia="Calibri" w:hAnsi="Cambria" w:cs="Arial"/>
          <w:sz w:val="24"/>
          <w:szCs w:val="24"/>
        </w:rPr>
        <w:t xml:space="preserve">Conform Ordinului </w:t>
      </w:r>
      <w:r w:rsidR="009B78D7" w:rsidRPr="00EA1BB2">
        <w:rPr>
          <w:rFonts w:ascii="Cambria" w:eastAsia="Calibri" w:hAnsi="Cambria" w:cs="Arial"/>
          <w:sz w:val="24"/>
          <w:szCs w:val="24"/>
        </w:rPr>
        <w:t xml:space="preserve">MM nr. 598/2018 </w:t>
      </w:r>
      <w:r w:rsidRPr="00EA1BB2">
        <w:rPr>
          <w:rFonts w:ascii="Cambria" w:eastAsia="Calibri" w:hAnsi="Cambria" w:cs="Arial"/>
          <w:sz w:val="24"/>
          <w:szCs w:val="24"/>
        </w:rPr>
        <w:t>pentru aprobarea listelor cu unită</w:t>
      </w:r>
      <w:r w:rsidR="00054880" w:rsidRPr="00EA1BB2">
        <w:rPr>
          <w:rFonts w:ascii="Cambria" w:eastAsia="Calibri" w:hAnsi="Cambria" w:cs="Arial"/>
          <w:sz w:val="24"/>
          <w:szCs w:val="24"/>
        </w:rPr>
        <w:t>ț</w:t>
      </w:r>
      <w:r w:rsidRPr="00EA1BB2">
        <w:rPr>
          <w:rFonts w:ascii="Cambria" w:eastAsia="Calibri" w:hAnsi="Cambria" w:cs="Arial"/>
          <w:sz w:val="24"/>
          <w:szCs w:val="24"/>
        </w:rPr>
        <w:t xml:space="preserve">ile administrativ-teritoriale întocmite în urma încadrării în regimurile de gestionare a ariilor din zonele </w:t>
      </w:r>
      <w:r w:rsidR="00054880" w:rsidRPr="00EA1BB2">
        <w:rPr>
          <w:rFonts w:ascii="Cambria" w:eastAsia="Calibri" w:hAnsi="Cambria" w:cs="Arial"/>
          <w:sz w:val="24"/>
          <w:szCs w:val="24"/>
        </w:rPr>
        <w:t>ș</w:t>
      </w:r>
      <w:r w:rsidRPr="00EA1BB2">
        <w:rPr>
          <w:rFonts w:ascii="Cambria" w:eastAsia="Calibri" w:hAnsi="Cambria" w:cs="Arial"/>
          <w:sz w:val="24"/>
          <w:szCs w:val="24"/>
        </w:rPr>
        <w:t xml:space="preserve">i aglomerările prevăzute în anexa nr. 2 la Legea nr. 104/2011 privind calitatea aerului înconjurător, </w:t>
      </w:r>
      <w:r w:rsidR="003C2F78" w:rsidRPr="00EA1BB2">
        <w:rPr>
          <w:rFonts w:ascii="Cambria" w:eastAsia="Calibri" w:hAnsi="Cambria" w:cs="Arial"/>
          <w:sz w:val="24"/>
          <w:szCs w:val="24"/>
        </w:rPr>
        <w:t>zona</w:t>
      </w:r>
      <w:r w:rsidR="000903BE" w:rsidRPr="00EA1BB2">
        <w:rPr>
          <w:rFonts w:ascii="Cambria" w:eastAsia="Calibri" w:hAnsi="Cambria" w:cs="Arial"/>
          <w:sz w:val="24"/>
          <w:szCs w:val="24"/>
        </w:rPr>
        <w:t xml:space="preserve"> </w:t>
      </w:r>
      <w:r w:rsidR="00D700EE" w:rsidRPr="00EA1BB2">
        <w:rPr>
          <w:rFonts w:ascii="Cambria" w:eastAsia="Calibri" w:hAnsi="Cambria" w:cs="Arial"/>
          <w:sz w:val="24"/>
          <w:szCs w:val="24"/>
        </w:rPr>
        <w:t>Brăila</w:t>
      </w:r>
      <w:r w:rsidRPr="00EA1BB2">
        <w:rPr>
          <w:rFonts w:ascii="Cambria" w:eastAsia="Calibri" w:hAnsi="Cambria" w:cs="Arial"/>
          <w:sz w:val="24"/>
          <w:szCs w:val="24"/>
        </w:rPr>
        <w:t xml:space="preserve"> este încadrat</w:t>
      </w:r>
      <w:r w:rsidR="009E18DB" w:rsidRPr="00EA1BB2">
        <w:rPr>
          <w:rFonts w:ascii="Cambria" w:eastAsia="Calibri" w:hAnsi="Cambria" w:cs="Arial"/>
          <w:sz w:val="24"/>
          <w:szCs w:val="24"/>
        </w:rPr>
        <w:t>ă</w:t>
      </w:r>
      <w:r w:rsidRPr="00EA1BB2">
        <w:rPr>
          <w:rFonts w:ascii="Cambria" w:eastAsia="Calibri" w:hAnsi="Cambria" w:cs="Arial"/>
          <w:sz w:val="24"/>
          <w:szCs w:val="24"/>
        </w:rPr>
        <w:t xml:space="preserve"> în regimul de </w:t>
      </w:r>
      <w:r w:rsidR="008F18D2" w:rsidRPr="00EA1BB2">
        <w:rPr>
          <w:rFonts w:ascii="Cambria" w:eastAsia="Calibri" w:hAnsi="Cambria" w:cs="Arial"/>
          <w:sz w:val="24"/>
          <w:szCs w:val="24"/>
        </w:rPr>
        <w:t>gestionare</w:t>
      </w:r>
      <w:r w:rsidRPr="00EA1BB2">
        <w:rPr>
          <w:rFonts w:ascii="Cambria" w:eastAsia="Calibri" w:hAnsi="Cambria" w:cs="Arial"/>
          <w:sz w:val="24"/>
          <w:szCs w:val="24"/>
        </w:rPr>
        <w:t xml:space="preserve"> II pentru </w:t>
      </w:r>
      <w:r w:rsidR="00CE0538" w:rsidRPr="00EA1BB2">
        <w:rPr>
          <w:rFonts w:ascii="Cambria" w:eastAsia="Calibri" w:hAnsi="Cambria" w:cs="Arial"/>
          <w:sz w:val="24"/>
          <w:szCs w:val="24"/>
        </w:rPr>
        <w:t xml:space="preserve">dioxid de azot </w:t>
      </w:r>
      <w:r w:rsidR="00054880" w:rsidRPr="00EA1BB2">
        <w:rPr>
          <w:rFonts w:ascii="Cambria" w:eastAsia="Calibri" w:hAnsi="Cambria" w:cs="Arial"/>
          <w:sz w:val="24"/>
          <w:szCs w:val="24"/>
        </w:rPr>
        <w:t>ș</w:t>
      </w:r>
      <w:r w:rsidR="00CE0538" w:rsidRPr="00EA1BB2">
        <w:rPr>
          <w:rFonts w:ascii="Cambria" w:eastAsia="Calibri" w:hAnsi="Cambria" w:cs="Arial"/>
          <w:sz w:val="24"/>
          <w:szCs w:val="24"/>
        </w:rPr>
        <w:t>i oxizi de azot (NO</w:t>
      </w:r>
      <w:r w:rsidR="00CE0538" w:rsidRPr="00EA1BB2">
        <w:rPr>
          <w:rFonts w:ascii="Cambria" w:eastAsia="Calibri" w:hAnsi="Cambria" w:cs="Arial"/>
          <w:sz w:val="24"/>
          <w:szCs w:val="24"/>
          <w:vertAlign w:val="subscript"/>
        </w:rPr>
        <w:t>2</w:t>
      </w:r>
      <w:r w:rsidR="00CE0538" w:rsidRPr="00EA1BB2">
        <w:rPr>
          <w:rFonts w:ascii="Cambria" w:eastAsia="Calibri" w:hAnsi="Cambria" w:cs="Arial"/>
          <w:sz w:val="24"/>
          <w:szCs w:val="24"/>
        </w:rPr>
        <w:t>/NOx)</w:t>
      </w:r>
      <w:r w:rsidR="00CE0538" w:rsidRPr="00EA1BB2">
        <w:rPr>
          <w:rStyle w:val="FootnoteReference"/>
          <w:rFonts w:ascii="Cambria" w:eastAsia="Calibri" w:hAnsi="Cambria" w:cs="Arial"/>
          <w:sz w:val="24"/>
          <w:szCs w:val="24"/>
        </w:rPr>
        <w:footnoteReference w:id="1"/>
      </w:r>
      <w:r w:rsidR="00CE0538" w:rsidRPr="00EA1BB2">
        <w:rPr>
          <w:rFonts w:ascii="Cambria" w:eastAsia="Calibri" w:hAnsi="Cambria" w:cs="Arial"/>
          <w:sz w:val="24"/>
          <w:szCs w:val="24"/>
        </w:rPr>
        <w:t xml:space="preserve">, </w:t>
      </w:r>
      <w:r w:rsidR="00224F3E" w:rsidRPr="00EA1BB2">
        <w:rPr>
          <w:rFonts w:ascii="Cambria" w:eastAsia="Calibri" w:hAnsi="Cambria" w:cs="Arial"/>
          <w:sz w:val="24"/>
          <w:szCs w:val="24"/>
        </w:rPr>
        <w:t>p</w:t>
      </w:r>
      <w:r w:rsidR="001F469E" w:rsidRPr="00EA1BB2">
        <w:rPr>
          <w:rFonts w:ascii="Cambria" w:eastAsia="Calibri" w:hAnsi="Cambria" w:cs="Arial"/>
          <w:sz w:val="24"/>
          <w:szCs w:val="24"/>
        </w:rPr>
        <w:t>ulberi</w:t>
      </w:r>
      <w:r w:rsidRPr="00EA1BB2">
        <w:rPr>
          <w:rFonts w:ascii="Cambria" w:eastAsia="Calibri" w:hAnsi="Cambria" w:cs="Arial"/>
          <w:sz w:val="24"/>
          <w:szCs w:val="24"/>
        </w:rPr>
        <w:t xml:space="preserve"> în suspensie (PM</w:t>
      </w:r>
      <w:r w:rsidRPr="00EA1BB2">
        <w:rPr>
          <w:rFonts w:ascii="Cambria" w:eastAsia="Calibri" w:hAnsi="Cambria" w:cs="Arial"/>
          <w:sz w:val="24"/>
          <w:szCs w:val="24"/>
          <w:vertAlign w:val="subscript"/>
        </w:rPr>
        <w:t>10</w:t>
      </w:r>
      <w:r w:rsidR="006034BF" w:rsidRPr="00EA1BB2">
        <w:rPr>
          <w:rFonts w:ascii="Cambria" w:eastAsia="Calibri" w:hAnsi="Cambria" w:cs="Arial"/>
          <w:sz w:val="24"/>
          <w:szCs w:val="24"/>
        </w:rPr>
        <w:t xml:space="preserve">, </w:t>
      </w:r>
      <w:r w:rsidRPr="00EA1BB2">
        <w:rPr>
          <w:rFonts w:ascii="Cambria" w:eastAsia="Calibri" w:hAnsi="Cambria" w:cs="Arial"/>
          <w:sz w:val="24"/>
          <w:szCs w:val="24"/>
        </w:rPr>
        <w:t>PM</w:t>
      </w:r>
      <w:r w:rsidRPr="00EA1BB2">
        <w:rPr>
          <w:rFonts w:ascii="Cambria" w:eastAsia="Calibri" w:hAnsi="Cambria" w:cs="Arial"/>
          <w:sz w:val="24"/>
          <w:szCs w:val="24"/>
          <w:vertAlign w:val="subscript"/>
        </w:rPr>
        <w:t>2,5</w:t>
      </w:r>
      <w:r w:rsidRPr="00EA1BB2">
        <w:rPr>
          <w:rFonts w:ascii="Cambria" w:eastAsia="Calibri" w:hAnsi="Cambria" w:cs="Arial"/>
          <w:sz w:val="24"/>
          <w:szCs w:val="24"/>
        </w:rPr>
        <w:t>), Benzen (C</w:t>
      </w:r>
      <w:r w:rsidRPr="00EA1BB2">
        <w:rPr>
          <w:rFonts w:ascii="Cambria" w:eastAsia="Calibri" w:hAnsi="Cambria" w:cs="Arial"/>
          <w:sz w:val="24"/>
          <w:szCs w:val="24"/>
          <w:vertAlign w:val="subscript"/>
        </w:rPr>
        <w:t>6</w:t>
      </w:r>
      <w:r w:rsidRPr="00EA1BB2">
        <w:rPr>
          <w:rFonts w:ascii="Cambria" w:eastAsia="Calibri" w:hAnsi="Cambria" w:cs="Arial"/>
          <w:sz w:val="24"/>
          <w:szCs w:val="24"/>
        </w:rPr>
        <w:t>H</w:t>
      </w:r>
      <w:r w:rsidRPr="00EA1BB2">
        <w:rPr>
          <w:rFonts w:ascii="Cambria" w:eastAsia="Calibri" w:hAnsi="Cambria" w:cs="Arial"/>
          <w:sz w:val="24"/>
          <w:szCs w:val="24"/>
          <w:vertAlign w:val="subscript"/>
        </w:rPr>
        <w:t>6</w:t>
      </w:r>
      <w:r w:rsidRPr="00EA1BB2">
        <w:rPr>
          <w:rFonts w:ascii="Cambria" w:eastAsia="Calibri" w:hAnsi="Cambria" w:cs="Arial"/>
          <w:sz w:val="24"/>
          <w:szCs w:val="24"/>
        </w:rPr>
        <w:t>), Nichel (Ni), Dioxid de sulf (SO</w:t>
      </w:r>
      <w:r w:rsidRPr="00EA1BB2">
        <w:rPr>
          <w:rFonts w:ascii="Cambria" w:eastAsia="Calibri" w:hAnsi="Cambria" w:cs="Arial"/>
          <w:sz w:val="24"/>
          <w:szCs w:val="24"/>
          <w:vertAlign w:val="subscript"/>
        </w:rPr>
        <w:t>2</w:t>
      </w:r>
      <w:r w:rsidRPr="00EA1BB2">
        <w:rPr>
          <w:rFonts w:ascii="Cambria" w:eastAsia="Calibri" w:hAnsi="Cambria" w:cs="Arial"/>
          <w:sz w:val="24"/>
          <w:szCs w:val="24"/>
        </w:rPr>
        <w:t xml:space="preserve">), Monoxid de carbon (CO), Plumb (Pb), Arsen (As) </w:t>
      </w:r>
      <w:r w:rsidR="00054880" w:rsidRPr="00EA1BB2">
        <w:rPr>
          <w:rFonts w:ascii="Cambria" w:eastAsia="Calibri" w:hAnsi="Cambria" w:cs="Arial"/>
          <w:sz w:val="24"/>
          <w:szCs w:val="24"/>
        </w:rPr>
        <w:t>ș</w:t>
      </w:r>
      <w:r w:rsidRPr="00EA1BB2">
        <w:rPr>
          <w:rFonts w:ascii="Cambria" w:eastAsia="Calibri" w:hAnsi="Cambria" w:cs="Arial"/>
          <w:sz w:val="24"/>
          <w:szCs w:val="24"/>
        </w:rPr>
        <w:t>i Cadmiu (Cd). Conform Hotărârii nr. 257/2015 privind aprobarea Metodologiei de elaborare a planurilor de calitate a aerului, a planurilor de ac</w:t>
      </w:r>
      <w:r w:rsidR="00054880" w:rsidRPr="00EA1BB2">
        <w:rPr>
          <w:rFonts w:ascii="Cambria" w:eastAsia="Calibri" w:hAnsi="Cambria" w:cs="Arial"/>
          <w:sz w:val="24"/>
          <w:szCs w:val="24"/>
        </w:rPr>
        <w:t>ț</w:t>
      </w:r>
      <w:r w:rsidRPr="00EA1BB2">
        <w:rPr>
          <w:rFonts w:ascii="Cambria" w:eastAsia="Calibri" w:hAnsi="Cambria" w:cs="Arial"/>
          <w:sz w:val="24"/>
          <w:szCs w:val="24"/>
        </w:rPr>
        <w:t xml:space="preserve">iune pe termen scurt </w:t>
      </w:r>
      <w:r w:rsidR="00054880" w:rsidRPr="00EA1BB2">
        <w:rPr>
          <w:rFonts w:ascii="Cambria" w:eastAsia="Calibri" w:hAnsi="Cambria" w:cs="Arial"/>
          <w:sz w:val="24"/>
          <w:szCs w:val="24"/>
        </w:rPr>
        <w:t>ș</w:t>
      </w:r>
      <w:r w:rsidRPr="00EA1BB2">
        <w:rPr>
          <w:rFonts w:ascii="Cambria" w:eastAsia="Calibri" w:hAnsi="Cambria" w:cs="Arial"/>
          <w:sz w:val="24"/>
          <w:szCs w:val="24"/>
        </w:rPr>
        <w:t>i a planurilor de men</w:t>
      </w:r>
      <w:r w:rsidR="00054880" w:rsidRPr="00EA1BB2">
        <w:rPr>
          <w:rFonts w:ascii="Cambria" w:eastAsia="Calibri" w:hAnsi="Cambria" w:cs="Arial"/>
          <w:sz w:val="24"/>
          <w:szCs w:val="24"/>
        </w:rPr>
        <w:t>ț</w:t>
      </w:r>
      <w:r w:rsidRPr="00EA1BB2">
        <w:rPr>
          <w:rFonts w:ascii="Cambria" w:eastAsia="Calibri" w:hAnsi="Cambria" w:cs="Arial"/>
          <w:sz w:val="24"/>
          <w:szCs w:val="24"/>
        </w:rPr>
        <w:t>inere a calită</w:t>
      </w:r>
      <w:r w:rsidR="00054880" w:rsidRPr="00EA1BB2">
        <w:rPr>
          <w:rFonts w:ascii="Cambria" w:eastAsia="Calibri" w:hAnsi="Cambria" w:cs="Arial"/>
          <w:sz w:val="24"/>
          <w:szCs w:val="24"/>
        </w:rPr>
        <w:t>ț</w:t>
      </w:r>
      <w:r w:rsidRPr="00EA1BB2">
        <w:rPr>
          <w:rFonts w:ascii="Cambria" w:eastAsia="Calibri" w:hAnsi="Cambria" w:cs="Arial"/>
          <w:sz w:val="24"/>
          <w:szCs w:val="24"/>
        </w:rPr>
        <w:t xml:space="preserve">ii aerului, art. 4, alin. </w:t>
      </w:r>
      <w:r w:rsidR="006034BF" w:rsidRPr="00EA1BB2">
        <w:rPr>
          <w:rFonts w:ascii="Cambria" w:eastAsia="Calibri" w:hAnsi="Cambria" w:cs="Arial"/>
          <w:sz w:val="24"/>
          <w:szCs w:val="24"/>
        </w:rPr>
        <w:t>4</w:t>
      </w:r>
      <w:r w:rsidRPr="00EA1BB2">
        <w:rPr>
          <w:rFonts w:ascii="Cambria" w:eastAsia="Calibri" w:hAnsi="Cambria" w:cs="Arial"/>
          <w:sz w:val="24"/>
          <w:szCs w:val="24"/>
        </w:rPr>
        <w:t xml:space="preserve">), </w:t>
      </w:r>
      <w:r w:rsidR="006034BF" w:rsidRPr="00EA1BB2">
        <w:rPr>
          <w:rFonts w:ascii="Cambria" w:eastAsia="Calibri" w:hAnsi="Cambria" w:cs="Arial"/>
          <w:sz w:val="24"/>
          <w:szCs w:val="24"/>
        </w:rPr>
        <w:t>pentru ariile din aglomerările și zonele clasificate în regim de gestionare II, așa cum este definit la art. 42 lit. b) din lege, se elaborează planuri de menținere a calității aerului.</w:t>
      </w:r>
    </w:p>
    <w:p w14:paraId="0634415D" w14:textId="7E38246C" w:rsidR="008A2081" w:rsidRPr="00EA1BB2" w:rsidRDefault="0002718D" w:rsidP="00AF7182">
      <w:pPr>
        <w:spacing w:line="360" w:lineRule="auto"/>
        <w:ind w:firstLine="720"/>
        <w:jc w:val="both"/>
        <w:rPr>
          <w:rFonts w:ascii="Cambria" w:hAnsi="Cambria" w:cs="Arial"/>
          <w:sz w:val="24"/>
          <w:szCs w:val="24"/>
        </w:rPr>
      </w:pPr>
      <w:r w:rsidRPr="00EA1BB2">
        <w:rPr>
          <w:rFonts w:ascii="Cambria" w:hAnsi="Cambria" w:cs="Arial"/>
          <w:sz w:val="24"/>
          <w:szCs w:val="24"/>
        </w:rPr>
        <w:t>Această încadrare</w:t>
      </w:r>
      <w:r w:rsidR="00D31781" w:rsidRPr="00EA1BB2">
        <w:rPr>
          <w:rFonts w:ascii="Cambria" w:hAnsi="Cambria" w:cs="Arial"/>
          <w:sz w:val="24"/>
          <w:szCs w:val="24"/>
        </w:rPr>
        <w:t xml:space="preserve"> s-a realizat luând în considerare atât încadrarea anterioară în regimuri de gestionare, cât și rezultatele obținute în urma evaluării calității aerului la </w:t>
      </w:r>
      <w:r w:rsidR="00D31781" w:rsidRPr="00EA1BB2">
        <w:rPr>
          <w:rFonts w:ascii="Cambria" w:hAnsi="Cambria" w:cs="Arial"/>
          <w:sz w:val="24"/>
          <w:szCs w:val="24"/>
        </w:rPr>
        <w:lastRenderedPageBreak/>
        <w:t>nivel național, care a utilizat măsurări în puncte fixe, realizate în perioada 2017 - aprilie 2018, cu ajutorul stațiilor de măsurare care fac parte din Rețeaua națională de monitorizare a calității aerului.</w:t>
      </w:r>
    </w:p>
    <w:p w14:paraId="1DBC431C" w14:textId="77777777" w:rsidR="00D31781" w:rsidRPr="00EA1BB2" w:rsidRDefault="00D31781" w:rsidP="00AF7182">
      <w:pPr>
        <w:spacing w:line="360" w:lineRule="auto"/>
        <w:ind w:firstLine="720"/>
        <w:jc w:val="both"/>
        <w:rPr>
          <w:rFonts w:ascii="Cambria" w:hAnsi="Cambria" w:cs="Arial"/>
          <w:sz w:val="24"/>
          <w:szCs w:val="24"/>
        </w:rPr>
      </w:pPr>
    </w:p>
    <w:p w14:paraId="5A675719" w14:textId="507157E5" w:rsidR="00AD4176" w:rsidRPr="00EA1BB2" w:rsidRDefault="00AD4176" w:rsidP="006118FE">
      <w:pPr>
        <w:pStyle w:val="Heading2"/>
        <w:numPr>
          <w:ilvl w:val="1"/>
          <w:numId w:val="1"/>
        </w:numPr>
        <w:ind w:left="0" w:firstLine="708"/>
        <w:jc w:val="both"/>
        <w:rPr>
          <w:rFonts w:ascii="Cambria" w:hAnsi="Cambria" w:cs="Times New Roman"/>
          <w:color w:val="0070C0"/>
          <w:szCs w:val="24"/>
        </w:rPr>
      </w:pPr>
      <w:bookmarkStart w:id="3" w:name="_Toc526889691"/>
      <w:r w:rsidRPr="00EA1BB2">
        <w:rPr>
          <w:rFonts w:ascii="Cambria" w:hAnsi="Cambria" w:cs="Times New Roman"/>
          <w:color w:val="0070C0"/>
          <w:szCs w:val="24"/>
        </w:rPr>
        <w:t>Descriere</w:t>
      </w:r>
      <w:r w:rsidR="006034BF" w:rsidRPr="00EA1BB2">
        <w:rPr>
          <w:rFonts w:ascii="Cambria" w:hAnsi="Cambria" w:cs="Times New Roman"/>
          <w:color w:val="0070C0"/>
          <w:szCs w:val="24"/>
        </w:rPr>
        <w:t>a</w:t>
      </w:r>
      <w:r w:rsidR="001B103E" w:rsidRPr="00EA1BB2">
        <w:rPr>
          <w:rFonts w:ascii="Cambria" w:hAnsi="Cambria" w:cs="Times New Roman"/>
          <w:color w:val="0070C0"/>
          <w:szCs w:val="24"/>
        </w:rPr>
        <w:t xml:space="preserve"> </w:t>
      </w:r>
      <w:r w:rsidR="003D4243" w:rsidRPr="00EA1BB2">
        <w:rPr>
          <w:rFonts w:ascii="Cambria" w:hAnsi="Cambria" w:cs="Times New Roman"/>
          <w:color w:val="0070C0"/>
          <w:szCs w:val="24"/>
        </w:rPr>
        <w:t>modului de realizare a studiului de calitate a aerului care a stat la baza elaborării Planului</w:t>
      </w:r>
      <w:bookmarkEnd w:id="3"/>
    </w:p>
    <w:p w14:paraId="49853053" w14:textId="77777777" w:rsidR="003D4243" w:rsidRPr="00EA1BB2" w:rsidRDefault="006118FE" w:rsidP="006118FE">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Planul de men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inere a calită</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 aerului în jude</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ul Brăila </w:t>
      </w:r>
      <w:r w:rsidR="003D4243" w:rsidRPr="00EA1BB2">
        <w:rPr>
          <w:rFonts w:ascii="Cambria" w:eastAsia="Times New Roman" w:hAnsi="Cambria" w:cs="Times New Roman"/>
          <w:sz w:val="24"/>
          <w:szCs w:val="24"/>
        </w:rPr>
        <w:t xml:space="preserve">a avut la bază Studiul de calitate a aerului pentru </w:t>
      </w:r>
      <w:r w:rsidRPr="00EA1BB2">
        <w:rPr>
          <w:rFonts w:ascii="Cambria" w:eastAsia="Times New Roman" w:hAnsi="Cambria" w:cs="Times New Roman"/>
          <w:sz w:val="24"/>
          <w:szCs w:val="24"/>
        </w:rPr>
        <w:t>jude</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ul Brăila</w:t>
      </w:r>
      <w:r w:rsidR="003D4243" w:rsidRPr="00EA1BB2">
        <w:rPr>
          <w:rFonts w:ascii="Cambria" w:eastAsia="Times New Roman" w:hAnsi="Cambria" w:cs="Times New Roman"/>
          <w:sz w:val="24"/>
          <w:szCs w:val="24"/>
        </w:rPr>
        <w:t>, studiu elaborat prin evaluarea informa</w:t>
      </w:r>
      <w:r w:rsidR="00054880" w:rsidRPr="00EA1BB2">
        <w:rPr>
          <w:rFonts w:ascii="Cambria" w:eastAsia="Times New Roman" w:hAnsi="Cambria" w:cs="Times New Roman"/>
          <w:sz w:val="24"/>
          <w:szCs w:val="24"/>
        </w:rPr>
        <w:t>ț</w:t>
      </w:r>
      <w:r w:rsidR="003D4243" w:rsidRPr="00EA1BB2">
        <w:rPr>
          <w:rFonts w:ascii="Cambria" w:eastAsia="Times New Roman" w:hAnsi="Cambria" w:cs="Times New Roman"/>
          <w:sz w:val="24"/>
          <w:szCs w:val="24"/>
        </w:rPr>
        <w:t>iilor actuale, a rezultatelor de monitorizare a calită</w:t>
      </w:r>
      <w:r w:rsidR="00054880" w:rsidRPr="00EA1BB2">
        <w:rPr>
          <w:rFonts w:ascii="Cambria" w:eastAsia="Times New Roman" w:hAnsi="Cambria" w:cs="Times New Roman"/>
          <w:sz w:val="24"/>
          <w:szCs w:val="24"/>
        </w:rPr>
        <w:t>ț</w:t>
      </w:r>
      <w:r w:rsidR="003D4243" w:rsidRPr="00EA1BB2">
        <w:rPr>
          <w:rFonts w:ascii="Cambria" w:eastAsia="Times New Roman" w:hAnsi="Cambria" w:cs="Times New Roman"/>
          <w:sz w:val="24"/>
          <w:szCs w:val="24"/>
        </w:rPr>
        <w:t xml:space="preserve">ii aerului </w:t>
      </w:r>
      <w:r w:rsidR="00054880" w:rsidRPr="00EA1BB2">
        <w:rPr>
          <w:rFonts w:ascii="Cambria" w:eastAsia="Times New Roman" w:hAnsi="Cambria" w:cs="Times New Roman"/>
          <w:sz w:val="24"/>
          <w:szCs w:val="24"/>
        </w:rPr>
        <w:t>ș</w:t>
      </w:r>
      <w:r w:rsidR="003D4243" w:rsidRPr="00EA1BB2">
        <w:rPr>
          <w:rFonts w:ascii="Cambria" w:eastAsia="Times New Roman" w:hAnsi="Cambria" w:cs="Times New Roman"/>
          <w:sz w:val="24"/>
          <w:szCs w:val="24"/>
        </w:rPr>
        <w:t>i a studiului de dispersie a poluan</w:t>
      </w:r>
      <w:r w:rsidR="00054880" w:rsidRPr="00EA1BB2">
        <w:rPr>
          <w:rFonts w:ascii="Cambria" w:eastAsia="Times New Roman" w:hAnsi="Cambria" w:cs="Times New Roman"/>
          <w:sz w:val="24"/>
          <w:szCs w:val="24"/>
        </w:rPr>
        <w:t>ț</w:t>
      </w:r>
      <w:r w:rsidR="003D4243" w:rsidRPr="00EA1BB2">
        <w:rPr>
          <w:rFonts w:ascii="Cambria" w:eastAsia="Times New Roman" w:hAnsi="Cambria" w:cs="Times New Roman"/>
          <w:sz w:val="24"/>
          <w:szCs w:val="24"/>
        </w:rPr>
        <w:t>ilor în atmosferă realizat la nivel na</w:t>
      </w:r>
      <w:r w:rsidR="00054880" w:rsidRPr="00EA1BB2">
        <w:rPr>
          <w:rFonts w:ascii="Cambria" w:eastAsia="Times New Roman" w:hAnsi="Cambria" w:cs="Times New Roman"/>
          <w:sz w:val="24"/>
          <w:szCs w:val="24"/>
        </w:rPr>
        <w:t>ț</w:t>
      </w:r>
      <w:r w:rsidR="003D4243" w:rsidRPr="00EA1BB2">
        <w:rPr>
          <w:rFonts w:ascii="Cambria" w:eastAsia="Times New Roman" w:hAnsi="Cambria" w:cs="Times New Roman"/>
          <w:sz w:val="24"/>
          <w:szCs w:val="24"/>
        </w:rPr>
        <w:t xml:space="preserve">ional, </w:t>
      </w:r>
      <w:r w:rsidR="00054880" w:rsidRPr="00EA1BB2">
        <w:rPr>
          <w:rFonts w:ascii="Cambria" w:eastAsia="Times New Roman" w:hAnsi="Cambria" w:cs="Times New Roman"/>
          <w:sz w:val="24"/>
          <w:szCs w:val="24"/>
        </w:rPr>
        <w:t>ș</w:t>
      </w:r>
      <w:r w:rsidR="003D4243" w:rsidRPr="00EA1BB2">
        <w:rPr>
          <w:rFonts w:ascii="Cambria" w:eastAsia="Times New Roman" w:hAnsi="Cambria" w:cs="Times New Roman"/>
          <w:sz w:val="24"/>
          <w:szCs w:val="24"/>
        </w:rPr>
        <w:t xml:space="preserve">i a identificat </w:t>
      </w:r>
      <w:r w:rsidR="00AF7182" w:rsidRPr="00EA1BB2">
        <w:rPr>
          <w:rFonts w:ascii="Cambria" w:hAnsi="Cambria" w:cs="Arial"/>
          <w:sz w:val="24"/>
          <w:szCs w:val="24"/>
        </w:rPr>
        <w:t>setul de măsuri pe care titularul/titularii de activitate trebuie să le ia, astfel încât nivelul poluan</w:t>
      </w:r>
      <w:r w:rsidR="00054880" w:rsidRPr="00EA1BB2">
        <w:rPr>
          <w:rFonts w:ascii="Cambria" w:hAnsi="Cambria" w:cs="Arial"/>
          <w:sz w:val="24"/>
          <w:szCs w:val="24"/>
        </w:rPr>
        <w:t>ț</w:t>
      </w:r>
      <w:r w:rsidR="00AF7182" w:rsidRPr="00EA1BB2">
        <w:rPr>
          <w:rFonts w:ascii="Cambria" w:hAnsi="Cambria" w:cs="Arial"/>
          <w:sz w:val="24"/>
          <w:szCs w:val="24"/>
        </w:rPr>
        <w:t>ilor să se păstreze sub valorile limită pentru poluan</w:t>
      </w:r>
      <w:r w:rsidR="00054880" w:rsidRPr="00EA1BB2">
        <w:rPr>
          <w:rFonts w:ascii="Cambria" w:hAnsi="Cambria" w:cs="Arial"/>
          <w:sz w:val="24"/>
          <w:szCs w:val="24"/>
        </w:rPr>
        <w:t>ț</w:t>
      </w:r>
      <w:r w:rsidR="00AF7182" w:rsidRPr="00EA1BB2">
        <w:rPr>
          <w:rFonts w:ascii="Cambria" w:hAnsi="Cambria" w:cs="Arial"/>
          <w:sz w:val="24"/>
          <w:szCs w:val="24"/>
        </w:rPr>
        <w:t xml:space="preserve">ii dioxid de azot </w:t>
      </w:r>
      <w:r w:rsidR="00054880" w:rsidRPr="00EA1BB2">
        <w:rPr>
          <w:rFonts w:ascii="Cambria" w:hAnsi="Cambria" w:cs="Arial"/>
          <w:sz w:val="24"/>
          <w:szCs w:val="24"/>
        </w:rPr>
        <w:t>ș</w:t>
      </w:r>
      <w:r w:rsidR="00AF7182" w:rsidRPr="00EA1BB2">
        <w:rPr>
          <w:rFonts w:ascii="Cambria" w:hAnsi="Cambria" w:cs="Arial"/>
          <w:sz w:val="24"/>
          <w:szCs w:val="24"/>
        </w:rPr>
        <w:t>i oxizi de azot (NO</w:t>
      </w:r>
      <w:r w:rsidR="00AF7182" w:rsidRPr="00EA1BB2">
        <w:rPr>
          <w:rFonts w:ascii="Cambria" w:hAnsi="Cambria" w:cs="Arial"/>
          <w:sz w:val="24"/>
          <w:szCs w:val="24"/>
          <w:vertAlign w:val="subscript"/>
        </w:rPr>
        <w:t>2</w:t>
      </w:r>
      <w:r w:rsidR="00AF7182" w:rsidRPr="00EA1BB2">
        <w:rPr>
          <w:rFonts w:ascii="Cambria" w:hAnsi="Cambria" w:cs="Arial"/>
          <w:sz w:val="24"/>
          <w:szCs w:val="24"/>
        </w:rPr>
        <w:t>/NOx), dioxid de sulf</w:t>
      </w:r>
      <w:r w:rsidR="00AF7182" w:rsidRPr="00EA1BB2">
        <w:rPr>
          <w:rFonts w:ascii="Cambria" w:eastAsia="Calibri" w:hAnsi="Cambria" w:cs="Arial"/>
          <w:sz w:val="24"/>
          <w:szCs w:val="24"/>
        </w:rPr>
        <w:t xml:space="preserve"> (SO</w:t>
      </w:r>
      <w:r w:rsidR="00AF7182" w:rsidRPr="00EA1BB2">
        <w:rPr>
          <w:rFonts w:ascii="Cambria" w:eastAsia="Calibri" w:hAnsi="Cambria" w:cs="Arial"/>
          <w:sz w:val="24"/>
          <w:szCs w:val="24"/>
          <w:vertAlign w:val="subscript"/>
        </w:rPr>
        <w:t>2</w:t>
      </w:r>
      <w:r w:rsidR="00AF7182" w:rsidRPr="00EA1BB2">
        <w:rPr>
          <w:rFonts w:ascii="Cambria" w:eastAsia="Calibri" w:hAnsi="Cambria" w:cs="Arial"/>
          <w:sz w:val="24"/>
          <w:szCs w:val="24"/>
        </w:rPr>
        <w:t>)</w:t>
      </w:r>
      <w:r w:rsidR="00AF7182" w:rsidRPr="00EA1BB2">
        <w:rPr>
          <w:rFonts w:ascii="Cambria" w:hAnsi="Cambria" w:cs="Arial"/>
          <w:sz w:val="24"/>
          <w:szCs w:val="24"/>
        </w:rPr>
        <w:t>, pulberi în suspensie (</w:t>
      </w:r>
      <w:r w:rsidR="006034BF" w:rsidRPr="00EA1BB2">
        <w:rPr>
          <w:rFonts w:ascii="Cambria" w:eastAsia="Calibri" w:hAnsi="Cambria" w:cs="Arial"/>
          <w:sz w:val="24"/>
          <w:szCs w:val="24"/>
        </w:rPr>
        <w:t>PM</w:t>
      </w:r>
      <w:r w:rsidR="006034BF" w:rsidRPr="00EA1BB2">
        <w:rPr>
          <w:rFonts w:ascii="Cambria" w:eastAsia="Calibri" w:hAnsi="Cambria" w:cs="Arial"/>
          <w:sz w:val="24"/>
          <w:szCs w:val="24"/>
          <w:vertAlign w:val="subscript"/>
        </w:rPr>
        <w:t>10</w:t>
      </w:r>
      <w:r w:rsidR="006034BF" w:rsidRPr="00EA1BB2">
        <w:rPr>
          <w:rFonts w:ascii="Cambria" w:eastAsia="Calibri" w:hAnsi="Cambria" w:cs="Arial"/>
          <w:sz w:val="24"/>
          <w:szCs w:val="24"/>
        </w:rPr>
        <w:t>, PM</w:t>
      </w:r>
      <w:r w:rsidR="006034BF" w:rsidRPr="00EA1BB2">
        <w:rPr>
          <w:rFonts w:ascii="Cambria" w:eastAsia="Calibri" w:hAnsi="Cambria" w:cs="Arial"/>
          <w:sz w:val="24"/>
          <w:szCs w:val="24"/>
          <w:vertAlign w:val="subscript"/>
        </w:rPr>
        <w:t>2,5</w:t>
      </w:r>
      <w:r w:rsidR="006034BF" w:rsidRPr="00EA1BB2">
        <w:rPr>
          <w:rFonts w:ascii="Cambria" w:eastAsia="Calibri" w:hAnsi="Cambria" w:cs="Arial"/>
          <w:sz w:val="24"/>
          <w:szCs w:val="24"/>
        </w:rPr>
        <w:t xml:space="preserve">), </w:t>
      </w:r>
      <w:r w:rsidR="00AF7182" w:rsidRPr="00EA1BB2">
        <w:rPr>
          <w:rFonts w:ascii="Cambria" w:hAnsi="Cambria" w:cs="Arial"/>
          <w:sz w:val="24"/>
          <w:szCs w:val="24"/>
        </w:rPr>
        <w:t xml:space="preserve">benzen </w:t>
      </w:r>
      <w:r w:rsidR="00AF7182" w:rsidRPr="00EA1BB2">
        <w:rPr>
          <w:rFonts w:ascii="Cambria" w:eastAsia="Calibri" w:hAnsi="Cambria" w:cs="Arial"/>
          <w:sz w:val="24"/>
          <w:szCs w:val="24"/>
        </w:rPr>
        <w:t>(C</w:t>
      </w:r>
      <w:r w:rsidR="00AF7182" w:rsidRPr="00EA1BB2">
        <w:rPr>
          <w:rFonts w:ascii="Cambria" w:eastAsia="Calibri" w:hAnsi="Cambria" w:cs="Arial"/>
          <w:sz w:val="24"/>
          <w:szCs w:val="24"/>
          <w:vertAlign w:val="subscript"/>
        </w:rPr>
        <w:t>6</w:t>
      </w:r>
      <w:r w:rsidR="00AF7182" w:rsidRPr="00EA1BB2">
        <w:rPr>
          <w:rFonts w:ascii="Cambria" w:eastAsia="Calibri" w:hAnsi="Cambria" w:cs="Arial"/>
          <w:sz w:val="24"/>
          <w:szCs w:val="24"/>
        </w:rPr>
        <w:t>H</w:t>
      </w:r>
      <w:r w:rsidR="00AF7182" w:rsidRPr="00EA1BB2">
        <w:rPr>
          <w:rFonts w:ascii="Cambria" w:eastAsia="Calibri" w:hAnsi="Cambria" w:cs="Arial"/>
          <w:sz w:val="24"/>
          <w:szCs w:val="24"/>
          <w:vertAlign w:val="subscript"/>
        </w:rPr>
        <w:t>6</w:t>
      </w:r>
      <w:r w:rsidR="00AF7182" w:rsidRPr="00EA1BB2">
        <w:rPr>
          <w:rFonts w:ascii="Cambria" w:eastAsia="Calibri" w:hAnsi="Cambria" w:cs="Arial"/>
          <w:sz w:val="24"/>
          <w:szCs w:val="24"/>
        </w:rPr>
        <w:t>),</w:t>
      </w:r>
      <w:r w:rsidR="00AF7182" w:rsidRPr="00EA1BB2">
        <w:rPr>
          <w:rFonts w:ascii="Cambria" w:hAnsi="Cambria" w:cs="Arial"/>
          <w:sz w:val="24"/>
          <w:szCs w:val="24"/>
        </w:rPr>
        <w:t xml:space="preserve"> monoxid de carbon (CO), plumb (Pb) sau valorile </w:t>
      </w:r>
      <w:r w:rsidR="00054880" w:rsidRPr="00EA1BB2">
        <w:rPr>
          <w:rFonts w:ascii="Cambria" w:hAnsi="Cambria" w:cs="Arial"/>
          <w:sz w:val="24"/>
          <w:szCs w:val="24"/>
        </w:rPr>
        <w:t>ț</w:t>
      </w:r>
      <w:r w:rsidR="00AF7182" w:rsidRPr="00EA1BB2">
        <w:rPr>
          <w:rFonts w:ascii="Cambria" w:hAnsi="Cambria" w:cs="Arial"/>
          <w:sz w:val="24"/>
          <w:szCs w:val="24"/>
        </w:rPr>
        <w:t xml:space="preserve">intă pentru nichel (Ni), arsen (As) </w:t>
      </w:r>
      <w:r w:rsidR="00054880" w:rsidRPr="00EA1BB2">
        <w:rPr>
          <w:rFonts w:ascii="Cambria" w:hAnsi="Cambria" w:cs="Arial"/>
          <w:sz w:val="24"/>
          <w:szCs w:val="24"/>
        </w:rPr>
        <w:t>ș</w:t>
      </w:r>
      <w:r w:rsidR="00AF7182" w:rsidRPr="00EA1BB2">
        <w:rPr>
          <w:rFonts w:ascii="Cambria" w:hAnsi="Cambria" w:cs="Arial"/>
          <w:sz w:val="24"/>
          <w:szCs w:val="24"/>
        </w:rPr>
        <w:t>i cadmiu (Cd).</w:t>
      </w:r>
    </w:p>
    <w:p w14:paraId="159BBC9E" w14:textId="77777777" w:rsidR="003D4243" w:rsidRPr="00EA1BB2" w:rsidRDefault="003D4243" w:rsidP="006118FE">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Pentru planul nostru inventarele locale de emisie realizate pentru jude</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ul </w:t>
      </w:r>
      <w:r w:rsidR="006118FE" w:rsidRPr="00EA1BB2">
        <w:rPr>
          <w:rFonts w:ascii="Cambria" w:eastAsia="Times New Roman" w:hAnsi="Cambria" w:cs="Times New Roman"/>
          <w:sz w:val="24"/>
          <w:szCs w:val="24"/>
        </w:rPr>
        <w:t>Brăila</w:t>
      </w:r>
      <w:r w:rsidRPr="00EA1BB2">
        <w:rPr>
          <w:rFonts w:ascii="Cambria" w:eastAsia="Times New Roman" w:hAnsi="Cambria" w:cs="Times New Roman"/>
          <w:sz w:val="24"/>
          <w:szCs w:val="24"/>
        </w:rPr>
        <w:t xml:space="preserve"> au reprezentat sursa de informa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ii cantitative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calitativ</w:t>
      </w:r>
      <w:r w:rsidR="006A0BFB" w:rsidRPr="00EA1BB2">
        <w:rPr>
          <w:rFonts w:ascii="Cambria" w:eastAsia="Times New Roman" w:hAnsi="Cambria" w:cs="Times New Roman"/>
          <w:sz w:val="24"/>
          <w:szCs w:val="24"/>
        </w:rPr>
        <w:t>e</w:t>
      </w:r>
      <w:r w:rsidRPr="00EA1BB2">
        <w:rPr>
          <w:rFonts w:ascii="Cambria" w:eastAsia="Times New Roman" w:hAnsi="Cambria" w:cs="Times New Roman"/>
          <w:sz w:val="24"/>
          <w:szCs w:val="24"/>
        </w:rPr>
        <w:t xml:space="preserve"> asupra categoriilor surselor de emisie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a cantită</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ilor de </w:t>
      </w:r>
      <w:r w:rsidR="006118FE" w:rsidRPr="00EA1BB2">
        <w:rPr>
          <w:rFonts w:ascii="Cambria" w:eastAsia="Times New Roman" w:hAnsi="Cambria" w:cs="Times New Roman"/>
          <w:sz w:val="24"/>
          <w:szCs w:val="24"/>
        </w:rPr>
        <w:t>poluan</w:t>
      </w:r>
      <w:r w:rsidR="00054880" w:rsidRPr="00EA1BB2">
        <w:rPr>
          <w:rFonts w:ascii="Cambria" w:eastAsia="Times New Roman" w:hAnsi="Cambria" w:cs="Times New Roman"/>
          <w:sz w:val="24"/>
          <w:szCs w:val="24"/>
        </w:rPr>
        <w:t>ț</w:t>
      </w:r>
      <w:r w:rsidR="006118FE" w:rsidRPr="00EA1BB2">
        <w:rPr>
          <w:rFonts w:ascii="Cambria" w:eastAsia="Times New Roman" w:hAnsi="Cambria" w:cs="Times New Roman"/>
          <w:sz w:val="24"/>
          <w:szCs w:val="24"/>
        </w:rPr>
        <w:t>i în atmosferă</w:t>
      </w:r>
      <w:r w:rsidRPr="00EA1BB2">
        <w:rPr>
          <w:rFonts w:ascii="Cambria" w:eastAsia="Times New Roman" w:hAnsi="Cambria" w:cs="Times New Roman"/>
          <w:sz w:val="24"/>
          <w:szCs w:val="24"/>
        </w:rPr>
        <w:t xml:space="preserve"> emise pe teritoriul administrativ al </w:t>
      </w:r>
      <w:r w:rsidR="006118FE" w:rsidRPr="00EA1BB2">
        <w:rPr>
          <w:rFonts w:ascii="Cambria" w:eastAsia="Times New Roman" w:hAnsi="Cambria" w:cs="Times New Roman"/>
          <w:sz w:val="24"/>
          <w:szCs w:val="24"/>
        </w:rPr>
        <w:t>jude</w:t>
      </w:r>
      <w:r w:rsidR="00054880" w:rsidRPr="00EA1BB2">
        <w:rPr>
          <w:rFonts w:ascii="Cambria" w:eastAsia="Times New Roman" w:hAnsi="Cambria" w:cs="Times New Roman"/>
          <w:sz w:val="24"/>
          <w:szCs w:val="24"/>
        </w:rPr>
        <w:t>ț</w:t>
      </w:r>
      <w:r w:rsidR="006118FE" w:rsidRPr="00EA1BB2">
        <w:rPr>
          <w:rFonts w:ascii="Cambria" w:eastAsia="Times New Roman" w:hAnsi="Cambria" w:cs="Times New Roman"/>
          <w:sz w:val="24"/>
          <w:szCs w:val="24"/>
        </w:rPr>
        <w:t>ului Brăila</w:t>
      </w:r>
      <w:r w:rsidRPr="00EA1BB2">
        <w:rPr>
          <w:rFonts w:ascii="Cambria" w:eastAsia="Times New Roman" w:hAnsi="Cambria" w:cs="Times New Roman"/>
          <w:sz w:val="24"/>
          <w:szCs w:val="24"/>
        </w:rPr>
        <w:t xml:space="preserve"> în intervalul de timp 2012-2014, anul de referin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ă fiind 201</w:t>
      </w:r>
      <w:r w:rsidR="006118FE" w:rsidRPr="00EA1BB2">
        <w:rPr>
          <w:rFonts w:ascii="Cambria" w:eastAsia="Times New Roman" w:hAnsi="Cambria" w:cs="Times New Roman"/>
          <w:sz w:val="24"/>
          <w:szCs w:val="24"/>
        </w:rPr>
        <w:t>3</w:t>
      </w:r>
      <w:r w:rsidRPr="00EA1BB2">
        <w:rPr>
          <w:rFonts w:ascii="Cambria" w:eastAsia="Times New Roman" w:hAnsi="Cambria" w:cs="Times New Roman"/>
          <w:sz w:val="24"/>
          <w:szCs w:val="24"/>
        </w:rPr>
        <w:t xml:space="preserve">. </w:t>
      </w:r>
    </w:p>
    <w:p w14:paraId="129FB26C" w14:textId="4A2A457D" w:rsidR="003D4243" w:rsidRPr="00EA1BB2" w:rsidRDefault="003D4243" w:rsidP="006118FE">
      <w:pPr>
        <w:spacing w:line="360" w:lineRule="auto"/>
        <w:ind w:firstLine="709"/>
        <w:jc w:val="both"/>
        <w:rPr>
          <w:rFonts w:ascii="Cambria" w:eastAsia="Calibri" w:hAnsi="Cambria" w:cs="Times New Roman"/>
          <w:color w:val="000000"/>
          <w:sz w:val="24"/>
          <w:szCs w:val="24"/>
        </w:rPr>
      </w:pPr>
      <w:r w:rsidRPr="00EA1BB2">
        <w:rPr>
          <w:rFonts w:ascii="Cambria" w:eastAsia="Times New Roman" w:hAnsi="Cambria" w:cs="Times New Roman"/>
          <w:sz w:val="24"/>
          <w:szCs w:val="24"/>
        </w:rPr>
        <w:t>Inventarul local de emisii (ILE) asociat jude</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ului </w:t>
      </w:r>
      <w:r w:rsidR="006118FE" w:rsidRPr="00EA1BB2">
        <w:rPr>
          <w:rFonts w:ascii="Cambria" w:eastAsia="Times New Roman" w:hAnsi="Cambria" w:cs="Times New Roman"/>
          <w:sz w:val="24"/>
          <w:szCs w:val="24"/>
        </w:rPr>
        <w:t xml:space="preserve">Brăila </w:t>
      </w:r>
      <w:r w:rsidRPr="00EA1BB2">
        <w:rPr>
          <w:rFonts w:ascii="Cambria" w:eastAsia="Times New Roman" w:hAnsi="Cambria" w:cs="Times New Roman"/>
          <w:sz w:val="24"/>
          <w:szCs w:val="24"/>
        </w:rPr>
        <w:t>este structurat conform f</w:t>
      </w:r>
      <w:r w:rsidRPr="00EA1BB2">
        <w:rPr>
          <w:rFonts w:ascii="Cambria" w:eastAsia="Calibri" w:hAnsi="Cambria" w:cs="Times New Roman"/>
          <w:color w:val="000000"/>
          <w:sz w:val="24"/>
          <w:szCs w:val="24"/>
        </w:rPr>
        <w:t xml:space="preserve">ormatului Anexei nr. 4 la Ordinului 3299/ 2012 </w:t>
      </w:r>
      <w:r w:rsidR="00A03DF7" w:rsidRPr="00EA1BB2">
        <w:rPr>
          <w:rFonts w:ascii="Cambria" w:eastAsia="Calibri" w:hAnsi="Cambria" w:cs="Times New Roman"/>
          <w:color w:val="000000"/>
          <w:sz w:val="24"/>
          <w:szCs w:val="24"/>
        </w:rPr>
        <w:t xml:space="preserve">privind aprobarea metodologiei de realizare </w:t>
      </w:r>
      <w:r w:rsidR="00C5645D" w:rsidRPr="00EA1BB2">
        <w:rPr>
          <w:rFonts w:ascii="Cambria" w:eastAsia="Calibri" w:hAnsi="Cambria" w:cs="Times New Roman"/>
          <w:color w:val="000000"/>
          <w:sz w:val="24"/>
          <w:szCs w:val="24"/>
        </w:rPr>
        <w:t>și</w:t>
      </w:r>
      <w:r w:rsidR="00A03DF7" w:rsidRPr="00EA1BB2">
        <w:rPr>
          <w:rFonts w:ascii="Cambria" w:eastAsia="Calibri" w:hAnsi="Cambria" w:cs="Times New Roman"/>
          <w:color w:val="000000"/>
          <w:sz w:val="24"/>
          <w:szCs w:val="24"/>
        </w:rPr>
        <w:t xml:space="preserve"> raportare a inventarelor privind emisiile de </w:t>
      </w:r>
      <w:r w:rsidR="00C5645D" w:rsidRPr="00EA1BB2">
        <w:rPr>
          <w:rFonts w:ascii="Cambria" w:eastAsia="Calibri" w:hAnsi="Cambria" w:cs="Times New Roman"/>
          <w:color w:val="000000"/>
          <w:sz w:val="24"/>
          <w:szCs w:val="24"/>
        </w:rPr>
        <w:t>poluanți</w:t>
      </w:r>
      <w:r w:rsidR="00A03DF7" w:rsidRPr="00EA1BB2">
        <w:rPr>
          <w:rFonts w:ascii="Cambria" w:eastAsia="Calibri" w:hAnsi="Cambria" w:cs="Times New Roman"/>
          <w:color w:val="000000"/>
          <w:sz w:val="24"/>
          <w:szCs w:val="24"/>
        </w:rPr>
        <w:t xml:space="preserve"> în atmosferă </w:t>
      </w:r>
      <w:r w:rsidR="00054880" w:rsidRPr="00EA1BB2">
        <w:rPr>
          <w:rFonts w:ascii="Cambria" w:eastAsia="Calibri" w:hAnsi="Cambria" w:cs="Times New Roman"/>
          <w:color w:val="000000"/>
          <w:sz w:val="24"/>
          <w:szCs w:val="24"/>
        </w:rPr>
        <w:t>ș</w:t>
      </w:r>
      <w:r w:rsidRPr="00EA1BB2">
        <w:rPr>
          <w:rFonts w:ascii="Cambria" w:eastAsia="Calibri" w:hAnsi="Cambria" w:cs="Times New Roman"/>
          <w:color w:val="000000"/>
          <w:sz w:val="24"/>
          <w:szCs w:val="24"/>
        </w:rPr>
        <w:t xml:space="preserve">i cuprinde categoriile de surse de emisie </w:t>
      </w:r>
      <w:r w:rsidR="006034BF" w:rsidRPr="00EA1BB2">
        <w:rPr>
          <w:rFonts w:ascii="Cambria" w:eastAsia="Calibri" w:hAnsi="Cambria" w:cs="Times New Roman"/>
          <w:color w:val="000000"/>
          <w:sz w:val="24"/>
          <w:szCs w:val="24"/>
        </w:rPr>
        <w:t xml:space="preserve">fixe și de suprafață </w:t>
      </w:r>
      <w:r w:rsidR="00054880" w:rsidRPr="00EA1BB2">
        <w:rPr>
          <w:rFonts w:ascii="Cambria" w:eastAsia="Calibri" w:hAnsi="Cambria" w:cs="Times New Roman"/>
          <w:color w:val="000000"/>
          <w:sz w:val="24"/>
          <w:szCs w:val="24"/>
        </w:rPr>
        <w:t>ș</w:t>
      </w:r>
      <w:r w:rsidRPr="00EA1BB2">
        <w:rPr>
          <w:rFonts w:ascii="Cambria" w:eastAsia="Calibri" w:hAnsi="Cambria" w:cs="Times New Roman"/>
          <w:color w:val="000000"/>
          <w:sz w:val="24"/>
          <w:szCs w:val="24"/>
        </w:rPr>
        <w:t>i poluan</w:t>
      </w:r>
      <w:r w:rsidR="00054880" w:rsidRPr="00EA1BB2">
        <w:rPr>
          <w:rFonts w:ascii="Cambria" w:eastAsia="Calibri" w:hAnsi="Cambria" w:cs="Times New Roman"/>
          <w:color w:val="000000"/>
          <w:sz w:val="24"/>
          <w:szCs w:val="24"/>
        </w:rPr>
        <w:t>ț</w:t>
      </w:r>
      <w:r w:rsidRPr="00EA1BB2">
        <w:rPr>
          <w:rFonts w:ascii="Cambria" w:eastAsia="Calibri" w:hAnsi="Cambria" w:cs="Times New Roman"/>
          <w:color w:val="000000"/>
          <w:sz w:val="24"/>
          <w:szCs w:val="24"/>
        </w:rPr>
        <w:t>i atmosferici genera</w:t>
      </w:r>
      <w:r w:rsidR="00054880" w:rsidRPr="00EA1BB2">
        <w:rPr>
          <w:rFonts w:ascii="Cambria" w:eastAsia="Calibri" w:hAnsi="Cambria" w:cs="Times New Roman"/>
          <w:color w:val="000000"/>
          <w:sz w:val="24"/>
          <w:szCs w:val="24"/>
        </w:rPr>
        <w:t>ț</w:t>
      </w:r>
      <w:r w:rsidRPr="00EA1BB2">
        <w:rPr>
          <w:rFonts w:ascii="Cambria" w:eastAsia="Calibri" w:hAnsi="Cambria" w:cs="Times New Roman"/>
          <w:color w:val="000000"/>
          <w:sz w:val="24"/>
          <w:szCs w:val="24"/>
        </w:rPr>
        <w:t xml:space="preserve">i. </w:t>
      </w:r>
    </w:p>
    <w:p w14:paraId="138C957B" w14:textId="77777777" w:rsidR="003D4243" w:rsidRPr="00EA1BB2" w:rsidRDefault="003D4243" w:rsidP="006118FE">
      <w:pPr>
        <w:spacing w:line="360" w:lineRule="auto"/>
        <w:ind w:firstLine="709"/>
        <w:jc w:val="both"/>
        <w:rPr>
          <w:rFonts w:ascii="Cambria" w:eastAsia="Times New Roman" w:hAnsi="Cambria" w:cs="Times New Roman"/>
          <w:sz w:val="24"/>
          <w:szCs w:val="24"/>
        </w:rPr>
      </w:pPr>
      <w:r w:rsidRPr="00EA1BB2">
        <w:rPr>
          <w:rFonts w:ascii="Cambria" w:eastAsia="Calibri" w:hAnsi="Cambria" w:cs="Times New Roman"/>
          <w:color w:val="000000"/>
          <w:sz w:val="24"/>
          <w:szCs w:val="24"/>
        </w:rPr>
        <w:t xml:space="preserve">În cadrul inventarului, pentru aplicabilitatea în cadrul </w:t>
      </w:r>
      <w:r w:rsidR="006118FE" w:rsidRPr="00EA1BB2">
        <w:rPr>
          <w:rFonts w:ascii="Cambria" w:eastAsia="Calibri" w:hAnsi="Cambria" w:cs="Times New Roman"/>
          <w:color w:val="000000"/>
          <w:sz w:val="24"/>
          <w:szCs w:val="24"/>
        </w:rPr>
        <w:t>Planului de men</w:t>
      </w:r>
      <w:r w:rsidR="00054880" w:rsidRPr="00EA1BB2">
        <w:rPr>
          <w:rFonts w:ascii="Cambria" w:eastAsia="Calibri" w:hAnsi="Cambria" w:cs="Times New Roman"/>
          <w:color w:val="000000"/>
          <w:sz w:val="24"/>
          <w:szCs w:val="24"/>
        </w:rPr>
        <w:t>ț</w:t>
      </w:r>
      <w:r w:rsidR="006118FE" w:rsidRPr="00EA1BB2">
        <w:rPr>
          <w:rFonts w:ascii="Cambria" w:eastAsia="Calibri" w:hAnsi="Cambria" w:cs="Times New Roman"/>
          <w:color w:val="000000"/>
          <w:sz w:val="24"/>
          <w:szCs w:val="24"/>
        </w:rPr>
        <w:t>inere a calită</w:t>
      </w:r>
      <w:r w:rsidR="00054880" w:rsidRPr="00EA1BB2">
        <w:rPr>
          <w:rFonts w:ascii="Cambria" w:eastAsia="Calibri" w:hAnsi="Cambria" w:cs="Times New Roman"/>
          <w:color w:val="000000"/>
          <w:sz w:val="24"/>
          <w:szCs w:val="24"/>
        </w:rPr>
        <w:t>ț</w:t>
      </w:r>
      <w:r w:rsidR="006118FE" w:rsidRPr="00EA1BB2">
        <w:rPr>
          <w:rFonts w:ascii="Cambria" w:eastAsia="Calibri" w:hAnsi="Cambria" w:cs="Times New Roman"/>
          <w:color w:val="000000"/>
          <w:sz w:val="24"/>
          <w:szCs w:val="24"/>
        </w:rPr>
        <w:t xml:space="preserve">ii aerului </w:t>
      </w:r>
      <w:r w:rsidRPr="00EA1BB2">
        <w:rPr>
          <w:rFonts w:ascii="Cambria" w:eastAsia="Calibri" w:hAnsi="Cambria" w:cs="Times New Roman"/>
          <w:color w:val="000000"/>
          <w:sz w:val="24"/>
          <w:szCs w:val="24"/>
        </w:rPr>
        <w:t xml:space="preserve">au fost interogate datele referitoare la sursele de emisie </w:t>
      </w:r>
      <w:r w:rsidRPr="00EA1BB2">
        <w:rPr>
          <w:rFonts w:ascii="Cambria" w:eastAsia="Times New Roman" w:hAnsi="Cambria" w:cs="Times New Roman"/>
          <w:sz w:val="24"/>
          <w:szCs w:val="24"/>
        </w:rPr>
        <w:t>structurate pe următoarele cat</w:t>
      </w:r>
      <w:r w:rsidR="006118FE" w:rsidRPr="00EA1BB2">
        <w:rPr>
          <w:rFonts w:ascii="Cambria" w:eastAsia="Times New Roman" w:hAnsi="Cambria" w:cs="Times New Roman"/>
          <w:sz w:val="24"/>
          <w:szCs w:val="24"/>
        </w:rPr>
        <w:t xml:space="preserve">egorii de surse pentru emisiile </w:t>
      </w:r>
      <w:r w:rsidRPr="00EA1BB2">
        <w:rPr>
          <w:rFonts w:ascii="Cambria" w:eastAsia="Times New Roman" w:hAnsi="Cambria" w:cs="Times New Roman"/>
          <w:sz w:val="24"/>
          <w:szCs w:val="24"/>
        </w:rPr>
        <w:t xml:space="preserve">de </w:t>
      </w:r>
      <w:r w:rsidR="006034BF" w:rsidRPr="00EA1BB2">
        <w:rPr>
          <w:rFonts w:ascii="Cambria" w:eastAsia="Calibri" w:hAnsi="Cambria" w:cs="Arial"/>
          <w:sz w:val="24"/>
          <w:szCs w:val="24"/>
        </w:rPr>
        <w:t>oxizi de azot (</w:t>
      </w:r>
      <w:r w:rsidR="006118FE" w:rsidRPr="00EA1BB2">
        <w:rPr>
          <w:rFonts w:ascii="Cambria" w:eastAsia="Calibri" w:hAnsi="Cambria" w:cs="Arial"/>
          <w:sz w:val="24"/>
          <w:szCs w:val="24"/>
        </w:rPr>
        <w:t>NOx)</w:t>
      </w:r>
      <w:r w:rsidR="006118FE" w:rsidRPr="00EA1BB2">
        <w:rPr>
          <w:rStyle w:val="FootnoteReference"/>
          <w:rFonts w:ascii="Cambria" w:eastAsia="Calibri" w:hAnsi="Cambria" w:cs="Arial"/>
          <w:sz w:val="24"/>
          <w:szCs w:val="24"/>
        </w:rPr>
        <w:footnoteReference w:id="2"/>
      </w:r>
      <w:r w:rsidR="006118FE" w:rsidRPr="00EA1BB2">
        <w:rPr>
          <w:rFonts w:ascii="Cambria" w:eastAsia="Calibri" w:hAnsi="Cambria" w:cs="Arial"/>
          <w:sz w:val="24"/>
          <w:szCs w:val="24"/>
        </w:rPr>
        <w:t>, pulberi în suspensie (PM</w:t>
      </w:r>
      <w:r w:rsidR="006118FE" w:rsidRPr="00EA1BB2">
        <w:rPr>
          <w:rFonts w:ascii="Cambria" w:eastAsia="Calibri" w:hAnsi="Cambria" w:cs="Arial"/>
          <w:sz w:val="24"/>
          <w:szCs w:val="24"/>
          <w:vertAlign w:val="subscript"/>
        </w:rPr>
        <w:t>10</w:t>
      </w:r>
      <w:r w:rsidR="006034BF" w:rsidRPr="00EA1BB2">
        <w:rPr>
          <w:rFonts w:ascii="Cambria" w:eastAsia="Calibri" w:hAnsi="Cambria" w:cs="Arial"/>
          <w:sz w:val="24"/>
          <w:szCs w:val="24"/>
        </w:rPr>
        <w:t xml:space="preserve">, </w:t>
      </w:r>
      <w:r w:rsidR="006118FE" w:rsidRPr="00EA1BB2">
        <w:rPr>
          <w:rFonts w:ascii="Cambria" w:eastAsia="Calibri" w:hAnsi="Cambria" w:cs="Arial"/>
          <w:sz w:val="24"/>
          <w:szCs w:val="24"/>
        </w:rPr>
        <w:t>PM</w:t>
      </w:r>
      <w:r w:rsidR="006118FE" w:rsidRPr="00EA1BB2">
        <w:rPr>
          <w:rFonts w:ascii="Cambria" w:eastAsia="Calibri" w:hAnsi="Cambria" w:cs="Arial"/>
          <w:sz w:val="24"/>
          <w:szCs w:val="24"/>
          <w:vertAlign w:val="subscript"/>
        </w:rPr>
        <w:t>2,5</w:t>
      </w:r>
      <w:r w:rsidR="006118FE" w:rsidRPr="00EA1BB2">
        <w:rPr>
          <w:rFonts w:ascii="Cambria" w:eastAsia="Calibri" w:hAnsi="Cambria" w:cs="Arial"/>
          <w:sz w:val="24"/>
          <w:szCs w:val="24"/>
        </w:rPr>
        <w:t xml:space="preserve">), </w:t>
      </w:r>
      <w:r w:rsidR="00011BD8" w:rsidRPr="00EA1BB2">
        <w:rPr>
          <w:rFonts w:ascii="Cambria" w:eastAsia="Calibri" w:hAnsi="Cambria" w:cs="Arial"/>
          <w:sz w:val="24"/>
          <w:szCs w:val="24"/>
        </w:rPr>
        <w:t>n</w:t>
      </w:r>
      <w:r w:rsidR="006118FE" w:rsidRPr="00EA1BB2">
        <w:rPr>
          <w:rFonts w:ascii="Cambria" w:eastAsia="Calibri" w:hAnsi="Cambria" w:cs="Arial"/>
          <w:sz w:val="24"/>
          <w:szCs w:val="24"/>
        </w:rPr>
        <w:t xml:space="preserve">ichel (Ni), </w:t>
      </w:r>
      <w:r w:rsidR="00011BD8" w:rsidRPr="00EA1BB2">
        <w:rPr>
          <w:rFonts w:ascii="Cambria" w:eastAsia="Calibri" w:hAnsi="Cambria" w:cs="Arial"/>
          <w:sz w:val="24"/>
          <w:szCs w:val="24"/>
        </w:rPr>
        <w:t>d</w:t>
      </w:r>
      <w:r w:rsidR="006118FE" w:rsidRPr="00EA1BB2">
        <w:rPr>
          <w:rFonts w:ascii="Cambria" w:eastAsia="Calibri" w:hAnsi="Cambria" w:cs="Arial"/>
          <w:sz w:val="24"/>
          <w:szCs w:val="24"/>
        </w:rPr>
        <w:t>ioxid de sulf (SO</w:t>
      </w:r>
      <w:r w:rsidR="006118FE" w:rsidRPr="00EA1BB2">
        <w:rPr>
          <w:rFonts w:ascii="Cambria" w:eastAsia="Calibri" w:hAnsi="Cambria" w:cs="Arial"/>
          <w:sz w:val="24"/>
          <w:szCs w:val="24"/>
          <w:vertAlign w:val="subscript"/>
        </w:rPr>
        <w:t>2</w:t>
      </w:r>
      <w:r w:rsidR="006118FE" w:rsidRPr="00EA1BB2">
        <w:rPr>
          <w:rFonts w:ascii="Cambria" w:eastAsia="Calibri" w:hAnsi="Cambria" w:cs="Arial"/>
          <w:sz w:val="24"/>
          <w:szCs w:val="24"/>
        </w:rPr>
        <w:t xml:space="preserve">), </w:t>
      </w:r>
      <w:r w:rsidR="00011BD8" w:rsidRPr="00EA1BB2">
        <w:rPr>
          <w:rFonts w:ascii="Cambria" w:eastAsia="Calibri" w:hAnsi="Cambria" w:cs="Arial"/>
          <w:sz w:val="24"/>
          <w:szCs w:val="24"/>
        </w:rPr>
        <w:t>m</w:t>
      </w:r>
      <w:r w:rsidR="006118FE" w:rsidRPr="00EA1BB2">
        <w:rPr>
          <w:rFonts w:ascii="Cambria" w:eastAsia="Calibri" w:hAnsi="Cambria" w:cs="Arial"/>
          <w:sz w:val="24"/>
          <w:szCs w:val="24"/>
        </w:rPr>
        <w:t xml:space="preserve">onoxid de carbon (CO), </w:t>
      </w:r>
      <w:r w:rsidR="00011BD8" w:rsidRPr="00EA1BB2">
        <w:rPr>
          <w:rFonts w:ascii="Cambria" w:eastAsia="Calibri" w:hAnsi="Cambria" w:cs="Arial"/>
          <w:sz w:val="24"/>
          <w:szCs w:val="24"/>
        </w:rPr>
        <w:t>p</w:t>
      </w:r>
      <w:r w:rsidR="006118FE" w:rsidRPr="00EA1BB2">
        <w:rPr>
          <w:rFonts w:ascii="Cambria" w:eastAsia="Calibri" w:hAnsi="Cambria" w:cs="Arial"/>
          <w:sz w:val="24"/>
          <w:szCs w:val="24"/>
        </w:rPr>
        <w:t xml:space="preserve">lumb (Pb), </w:t>
      </w:r>
      <w:r w:rsidR="00011BD8" w:rsidRPr="00EA1BB2">
        <w:rPr>
          <w:rFonts w:ascii="Cambria" w:eastAsia="Calibri" w:hAnsi="Cambria" w:cs="Arial"/>
          <w:sz w:val="24"/>
          <w:szCs w:val="24"/>
        </w:rPr>
        <w:t>a</w:t>
      </w:r>
      <w:r w:rsidR="006118FE" w:rsidRPr="00EA1BB2">
        <w:rPr>
          <w:rFonts w:ascii="Cambria" w:eastAsia="Calibri" w:hAnsi="Cambria" w:cs="Arial"/>
          <w:sz w:val="24"/>
          <w:szCs w:val="24"/>
        </w:rPr>
        <w:t xml:space="preserve">rsen (As) </w:t>
      </w:r>
      <w:r w:rsidR="00054880" w:rsidRPr="00EA1BB2">
        <w:rPr>
          <w:rFonts w:ascii="Cambria" w:eastAsia="Calibri" w:hAnsi="Cambria" w:cs="Arial"/>
          <w:sz w:val="24"/>
          <w:szCs w:val="24"/>
        </w:rPr>
        <w:t>ș</w:t>
      </w:r>
      <w:r w:rsidR="006118FE" w:rsidRPr="00EA1BB2">
        <w:rPr>
          <w:rFonts w:ascii="Cambria" w:eastAsia="Calibri" w:hAnsi="Cambria" w:cs="Arial"/>
          <w:sz w:val="24"/>
          <w:szCs w:val="24"/>
        </w:rPr>
        <w:t xml:space="preserve">i </w:t>
      </w:r>
      <w:r w:rsidR="00011BD8" w:rsidRPr="00EA1BB2">
        <w:rPr>
          <w:rFonts w:ascii="Cambria" w:eastAsia="Calibri" w:hAnsi="Cambria" w:cs="Arial"/>
          <w:sz w:val="24"/>
          <w:szCs w:val="24"/>
        </w:rPr>
        <w:t>c</w:t>
      </w:r>
      <w:r w:rsidR="006118FE" w:rsidRPr="00EA1BB2">
        <w:rPr>
          <w:rFonts w:ascii="Cambria" w:eastAsia="Calibri" w:hAnsi="Cambria" w:cs="Arial"/>
          <w:sz w:val="24"/>
          <w:szCs w:val="24"/>
        </w:rPr>
        <w:t>admiu (Cd)</w:t>
      </w:r>
      <w:r w:rsidRPr="00EA1BB2">
        <w:rPr>
          <w:rFonts w:ascii="Cambria" w:eastAsia="Times New Roman" w:hAnsi="Cambria" w:cs="Times New Roman"/>
          <w:sz w:val="24"/>
          <w:szCs w:val="24"/>
        </w:rPr>
        <w:t>:</w:t>
      </w:r>
    </w:p>
    <w:p w14:paraId="134F44A9" w14:textId="77777777" w:rsidR="003D4243" w:rsidRPr="00EA1BB2" w:rsidRDefault="003D4243" w:rsidP="00993575">
      <w:pPr>
        <w:numPr>
          <w:ilvl w:val="0"/>
          <w:numId w:val="62"/>
        </w:numPr>
        <w:spacing w:after="160" w:line="360" w:lineRule="auto"/>
        <w:ind w:left="567"/>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 xml:space="preserve">Surse </w:t>
      </w:r>
      <w:r w:rsidR="00DD5FDE" w:rsidRPr="00EA1BB2">
        <w:rPr>
          <w:rFonts w:ascii="Cambria" w:eastAsia="Times New Roman" w:hAnsi="Cambria" w:cs="Times New Roman"/>
          <w:sz w:val="24"/>
          <w:szCs w:val="24"/>
        </w:rPr>
        <w:t>staționare</w:t>
      </w:r>
      <w:r w:rsidRPr="00EA1BB2">
        <w:rPr>
          <w:rFonts w:ascii="Cambria" w:eastAsia="Times New Roman" w:hAnsi="Cambria" w:cs="Times New Roman"/>
          <w:sz w:val="24"/>
          <w:szCs w:val="24"/>
        </w:rPr>
        <w:t xml:space="preserve"> – reprezentate de surse fixe individuale sau comune reprezentate în cea mai mare parte de instala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 ale operatorilor economici autoriza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 din punct de vedere a protec</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iei mediului; aceste surse reprezintă activită</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 specifice privind </w:t>
      </w:r>
      <w:r w:rsidRPr="00EA1BB2">
        <w:rPr>
          <w:rFonts w:ascii="Cambria" w:eastAsia="Times New Roman" w:hAnsi="Cambria" w:cs="Times New Roman"/>
          <w:sz w:val="24"/>
          <w:szCs w:val="24"/>
        </w:rPr>
        <w:lastRenderedPageBreak/>
        <w:t>arderea combustibililor (solizi, lichizi, gazo</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 xml:space="preserve">i) în centralele termice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cazanele industriale;</w:t>
      </w:r>
    </w:p>
    <w:p w14:paraId="6309CAFA" w14:textId="77777777" w:rsidR="003D4243" w:rsidRPr="00EA1BB2" w:rsidRDefault="003D4243" w:rsidP="00993575">
      <w:pPr>
        <w:numPr>
          <w:ilvl w:val="0"/>
          <w:numId w:val="62"/>
        </w:numPr>
        <w:spacing w:after="160" w:line="360" w:lineRule="auto"/>
        <w:ind w:left="567"/>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Surse de suprafa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ă – reprezentate de surse difuze (nedirijate) de emisii eliberate în aerul înconjurător; în acest caz majoritatea surselor sunt reprezentate de instala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iile de ardere de uz casnic;</w:t>
      </w:r>
    </w:p>
    <w:p w14:paraId="09BCD2E2" w14:textId="77777777" w:rsidR="00927A00" w:rsidRPr="00EA1BB2" w:rsidRDefault="00927A00" w:rsidP="001F3378">
      <w:pPr>
        <w:numPr>
          <w:ilvl w:val="0"/>
          <w:numId w:val="62"/>
        </w:numPr>
        <w:spacing w:after="160" w:line="360" w:lineRule="auto"/>
        <w:ind w:left="567"/>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Surse mobile reprezintă sursele de emisie specifice mijloacelor de transport rutier și nerutier.</w:t>
      </w:r>
    </w:p>
    <w:p w14:paraId="2BF2D775" w14:textId="77777777" w:rsidR="00565B4A" w:rsidRPr="00EA1BB2" w:rsidRDefault="00565B4A" w:rsidP="00AF7182">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Caracterizarea fiecărei surse de emisie s-a bazat pe datele exportate de către ANPM din Sistemul Informatic Integrat de Mediu, care include datele raportate de operatorii economici din jude</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ul</w:t>
      </w:r>
      <w:r w:rsidR="00AF7182" w:rsidRPr="00EA1BB2">
        <w:rPr>
          <w:rFonts w:ascii="Cambria" w:eastAsia="Times New Roman" w:hAnsi="Cambria" w:cs="Times New Roman"/>
          <w:sz w:val="24"/>
          <w:szCs w:val="24"/>
        </w:rPr>
        <w:t xml:space="preserve"> Brăila</w:t>
      </w:r>
      <w:r w:rsidRPr="00EA1BB2">
        <w:rPr>
          <w:rFonts w:ascii="Cambria" w:eastAsia="Times New Roman" w:hAnsi="Cambria" w:cs="Times New Roman"/>
          <w:sz w:val="24"/>
          <w:szCs w:val="24"/>
        </w:rPr>
        <w:t>, de unde au fost extrase datele cu referin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ă la:</w:t>
      </w:r>
    </w:p>
    <w:p w14:paraId="1E40758E" w14:textId="77777777" w:rsidR="00565B4A" w:rsidRPr="00EA1BB2" w:rsidRDefault="00565B4A" w:rsidP="00993575">
      <w:pPr>
        <w:numPr>
          <w:ilvl w:val="0"/>
          <w:numId w:val="59"/>
        </w:numPr>
        <w:autoSpaceDE w:val="0"/>
        <w:autoSpaceDN w:val="0"/>
        <w:adjustRightInd w:val="0"/>
        <w:spacing w:after="160" w:line="360" w:lineRule="auto"/>
        <w:ind w:left="851" w:hanging="283"/>
        <w:contextualSpacing/>
        <w:jc w:val="both"/>
        <w:rPr>
          <w:rFonts w:ascii="Cambria" w:eastAsia="Calibri" w:hAnsi="Cambria" w:cs="Times New Roman"/>
          <w:color w:val="000000"/>
          <w:sz w:val="24"/>
          <w:szCs w:val="24"/>
        </w:rPr>
      </w:pPr>
      <w:r w:rsidRPr="00EA1BB2">
        <w:rPr>
          <w:rFonts w:ascii="Cambria" w:eastAsia="Calibri" w:hAnsi="Cambria" w:cs="Times New Roman"/>
          <w:color w:val="000000"/>
          <w:sz w:val="24"/>
          <w:szCs w:val="24"/>
        </w:rPr>
        <w:t xml:space="preserve">denumirea operatorului </w:t>
      </w:r>
      <w:r w:rsidR="00054880" w:rsidRPr="00EA1BB2">
        <w:rPr>
          <w:rFonts w:ascii="Cambria" w:eastAsia="Calibri" w:hAnsi="Cambria" w:cs="Times New Roman"/>
          <w:color w:val="000000"/>
          <w:sz w:val="24"/>
          <w:szCs w:val="24"/>
        </w:rPr>
        <w:t>ș</w:t>
      </w:r>
      <w:r w:rsidRPr="00EA1BB2">
        <w:rPr>
          <w:rFonts w:ascii="Cambria" w:eastAsia="Calibri" w:hAnsi="Cambria" w:cs="Times New Roman"/>
          <w:color w:val="000000"/>
          <w:sz w:val="24"/>
          <w:szCs w:val="24"/>
        </w:rPr>
        <w:t>i loca</w:t>
      </w:r>
      <w:r w:rsidR="00054880" w:rsidRPr="00EA1BB2">
        <w:rPr>
          <w:rFonts w:ascii="Cambria" w:eastAsia="Calibri" w:hAnsi="Cambria" w:cs="Times New Roman"/>
          <w:color w:val="000000"/>
          <w:sz w:val="24"/>
          <w:szCs w:val="24"/>
        </w:rPr>
        <w:t>ț</w:t>
      </w:r>
      <w:r w:rsidRPr="00EA1BB2">
        <w:rPr>
          <w:rFonts w:ascii="Cambria" w:eastAsia="Calibri" w:hAnsi="Cambria" w:cs="Times New Roman"/>
          <w:color w:val="000000"/>
          <w:sz w:val="24"/>
          <w:szCs w:val="24"/>
        </w:rPr>
        <w:t>ia instala</w:t>
      </w:r>
      <w:r w:rsidR="00054880" w:rsidRPr="00EA1BB2">
        <w:rPr>
          <w:rFonts w:ascii="Cambria" w:eastAsia="Calibri" w:hAnsi="Cambria" w:cs="Times New Roman"/>
          <w:color w:val="000000"/>
          <w:sz w:val="24"/>
          <w:szCs w:val="24"/>
        </w:rPr>
        <w:t>ț</w:t>
      </w:r>
      <w:r w:rsidRPr="00EA1BB2">
        <w:rPr>
          <w:rFonts w:ascii="Cambria" w:eastAsia="Calibri" w:hAnsi="Cambria" w:cs="Times New Roman"/>
          <w:color w:val="000000"/>
          <w:sz w:val="24"/>
          <w:szCs w:val="24"/>
        </w:rPr>
        <w:t>iei;</w:t>
      </w:r>
    </w:p>
    <w:p w14:paraId="29EA7818" w14:textId="77777777" w:rsidR="00565B4A" w:rsidRPr="00EA1BB2" w:rsidRDefault="00565B4A" w:rsidP="00993575">
      <w:pPr>
        <w:numPr>
          <w:ilvl w:val="0"/>
          <w:numId w:val="59"/>
        </w:numPr>
        <w:autoSpaceDE w:val="0"/>
        <w:autoSpaceDN w:val="0"/>
        <w:adjustRightInd w:val="0"/>
        <w:spacing w:after="160" w:line="360" w:lineRule="auto"/>
        <w:ind w:left="851" w:hanging="283"/>
        <w:contextualSpacing/>
        <w:jc w:val="both"/>
        <w:rPr>
          <w:rFonts w:ascii="Cambria" w:eastAsia="Calibri" w:hAnsi="Cambria" w:cs="Times New Roman"/>
          <w:color w:val="000000"/>
          <w:sz w:val="24"/>
          <w:szCs w:val="24"/>
        </w:rPr>
      </w:pPr>
      <w:r w:rsidRPr="00EA1BB2">
        <w:rPr>
          <w:rFonts w:ascii="Cambria" w:eastAsia="Calibri" w:hAnsi="Cambria" w:cs="Times New Roman"/>
          <w:color w:val="000000"/>
          <w:sz w:val="24"/>
          <w:szCs w:val="24"/>
        </w:rPr>
        <w:t xml:space="preserve">tipul surselor (surse fixe, nedirijate, liniare </w:t>
      </w:r>
      <w:r w:rsidR="00054880" w:rsidRPr="00EA1BB2">
        <w:rPr>
          <w:rFonts w:ascii="Cambria" w:eastAsia="Calibri" w:hAnsi="Cambria" w:cs="Times New Roman"/>
          <w:color w:val="000000"/>
          <w:sz w:val="24"/>
          <w:szCs w:val="24"/>
        </w:rPr>
        <w:t>ș</w:t>
      </w:r>
      <w:r w:rsidRPr="00EA1BB2">
        <w:rPr>
          <w:rFonts w:ascii="Cambria" w:eastAsia="Calibri" w:hAnsi="Cambria" w:cs="Times New Roman"/>
          <w:color w:val="000000"/>
          <w:sz w:val="24"/>
          <w:szCs w:val="24"/>
        </w:rPr>
        <w:t>i industriale asimilabile);</w:t>
      </w:r>
    </w:p>
    <w:p w14:paraId="230DEA57" w14:textId="77777777" w:rsidR="00565B4A" w:rsidRPr="00EA1BB2" w:rsidRDefault="00565B4A" w:rsidP="00993575">
      <w:pPr>
        <w:numPr>
          <w:ilvl w:val="0"/>
          <w:numId w:val="59"/>
        </w:numPr>
        <w:autoSpaceDE w:val="0"/>
        <w:autoSpaceDN w:val="0"/>
        <w:adjustRightInd w:val="0"/>
        <w:spacing w:after="160" w:line="360" w:lineRule="auto"/>
        <w:ind w:left="851" w:hanging="283"/>
        <w:contextualSpacing/>
        <w:jc w:val="both"/>
        <w:rPr>
          <w:rFonts w:ascii="Cambria" w:eastAsia="Calibri" w:hAnsi="Cambria" w:cs="Times New Roman"/>
          <w:color w:val="000000"/>
          <w:sz w:val="24"/>
          <w:szCs w:val="24"/>
        </w:rPr>
      </w:pPr>
      <w:r w:rsidRPr="00EA1BB2">
        <w:rPr>
          <w:rFonts w:ascii="Cambria" w:eastAsia="Calibri" w:hAnsi="Cambria" w:cs="Times New Roman"/>
          <w:color w:val="000000"/>
          <w:sz w:val="24"/>
          <w:szCs w:val="24"/>
        </w:rPr>
        <w:t>descrierea procesului care se desfă</w:t>
      </w:r>
      <w:r w:rsidR="00054880" w:rsidRPr="00EA1BB2">
        <w:rPr>
          <w:rFonts w:ascii="Cambria" w:eastAsia="Calibri" w:hAnsi="Cambria" w:cs="Times New Roman"/>
          <w:color w:val="000000"/>
          <w:sz w:val="24"/>
          <w:szCs w:val="24"/>
        </w:rPr>
        <w:t>ș</w:t>
      </w:r>
      <w:r w:rsidRPr="00EA1BB2">
        <w:rPr>
          <w:rFonts w:ascii="Cambria" w:eastAsia="Calibri" w:hAnsi="Cambria" w:cs="Times New Roman"/>
          <w:color w:val="000000"/>
          <w:sz w:val="24"/>
          <w:szCs w:val="24"/>
        </w:rPr>
        <w:t>oară în instala</w:t>
      </w:r>
      <w:r w:rsidR="00054880" w:rsidRPr="00EA1BB2">
        <w:rPr>
          <w:rFonts w:ascii="Cambria" w:eastAsia="Calibri" w:hAnsi="Cambria" w:cs="Times New Roman"/>
          <w:color w:val="000000"/>
          <w:sz w:val="24"/>
          <w:szCs w:val="24"/>
        </w:rPr>
        <w:t>ț</w:t>
      </w:r>
      <w:r w:rsidRPr="00EA1BB2">
        <w:rPr>
          <w:rFonts w:ascii="Cambria" w:eastAsia="Calibri" w:hAnsi="Cambria" w:cs="Times New Roman"/>
          <w:color w:val="000000"/>
          <w:sz w:val="24"/>
          <w:szCs w:val="24"/>
        </w:rPr>
        <w:t>ie (de ex. proces de ardere, proces de produc</w:t>
      </w:r>
      <w:r w:rsidR="00054880" w:rsidRPr="00EA1BB2">
        <w:rPr>
          <w:rFonts w:ascii="Cambria" w:eastAsia="Calibri" w:hAnsi="Cambria" w:cs="Times New Roman"/>
          <w:color w:val="000000"/>
          <w:sz w:val="24"/>
          <w:szCs w:val="24"/>
        </w:rPr>
        <w:t>ț</w:t>
      </w:r>
      <w:r w:rsidRPr="00EA1BB2">
        <w:rPr>
          <w:rFonts w:ascii="Cambria" w:eastAsia="Calibri" w:hAnsi="Cambria" w:cs="Times New Roman"/>
          <w:color w:val="000000"/>
          <w:sz w:val="24"/>
          <w:szCs w:val="24"/>
        </w:rPr>
        <w:t xml:space="preserve">ie, etc.) </w:t>
      </w:r>
      <w:r w:rsidR="00054880" w:rsidRPr="00EA1BB2">
        <w:rPr>
          <w:rFonts w:ascii="Cambria" w:eastAsia="Calibri" w:hAnsi="Cambria" w:cs="Times New Roman"/>
          <w:color w:val="000000"/>
          <w:sz w:val="24"/>
          <w:szCs w:val="24"/>
        </w:rPr>
        <w:t>ș</w:t>
      </w:r>
      <w:r w:rsidRPr="00EA1BB2">
        <w:rPr>
          <w:rFonts w:ascii="Cambria" w:eastAsia="Calibri" w:hAnsi="Cambria" w:cs="Times New Roman"/>
          <w:color w:val="000000"/>
          <w:sz w:val="24"/>
          <w:szCs w:val="24"/>
        </w:rPr>
        <w:t>i regimul de func</w:t>
      </w:r>
      <w:r w:rsidR="00054880" w:rsidRPr="00EA1BB2">
        <w:rPr>
          <w:rFonts w:ascii="Cambria" w:eastAsia="Calibri" w:hAnsi="Cambria" w:cs="Times New Roman"/>
          <w:color w:val="000000"/>
          <w:sz w:val="24"/>
          <w:szCs w:val="24"/>
        </w:rPr>
        <w:t>ț</w:t>
      </w:r>
      <w:r w:rsidRPr="00EA1BB2">
        <w:rPr>
          <w:rFonts w:ascii="Cambria" w:eastAsia="Calibri" w:hAnsi="Cambria" w:cs="Times New Roman"/>
          <w:color w:val="000000"/>
          <w:sz w:val="24"/>
          <w:szCs w:val="24"/>
        </w:rPr>
        <w:t>ionare al instala</w:t>
      </w:r>
      <w:r w:rsidR="00054880" w:rsidRPr="00EA1BB2">
        <w:rPr>
          <w:rFonts w:ascii="Cambria" w:eastAsia="Calibri" w:hAnsi="Cambria" w:cs="Times New Roman"/>
          <w:color w:val="000000"/>
          <w:sz w:val="24"/>
          <w:szCs w:val="24"/>
        </w:rPr>
        <w:t>ț</w:t>
      </w:r>
      <w:r w:rsidRPr="00EA1BB2">
        <w:rPr>
          <w:rFonts w:ascii="Cambria" w:eastAsia="Calibri" w:hAnsi="Cambria" w:cs="Times New Roman"/>
          <w:color w:val="000000"/>
          <w:sz w:val="24"/>
          <w:szCs w:val="24"/>
        </w:rPr>
        <w:t xml:space="preserve">iei (ore/lună, ore/an); </w:t>
      </w:r>
    </w:p>
    <w:p w14:paraId="67E3D93B" w14:textId="77777777" w:rsidR="00565B4A" w:rsidRPr="00EA1BB2" w:rsidRDefault="00565B4A" w:rsidP="00993575">
      <w:pPr>
        <w:numPr>
          <w:ilvl w:val="0"/>
          <w:numId w:val="59"/>
        </w:numPr>
        <w:autoSpaceDE w:val="0"/>
        <w:autoSpaceDN w:val="0"/>
        <w:adjustRightInd w:val="0"/>
        <w:spacing w:after="160" w:line="360" w:lineRule="auto"/>
        <w:ind w:left="851" w:hanging="283"/>
        <w:contextualSpacing/>
        <w:jc w:val="both"/>
        <w:rPr>
          <w:rFonts w:ascii="Cambria" w:eastAsia="Calibri" w:hAnsi="Cambria" w:cs="Times New Roman"/>
          <w:color w:val="000000"/>
          <w:sz w:val="24"/>
          <w:szCs w:val="24"/>
        </w:rPr>
      </w:pPr>
      <w:r w:rsidRPr="00EA1BB2">
        <w:rPr>
          <w:rFonts w:ascii="Cambria" w:eastAsia="Calibri" w:hAnsi="Cambria" w:cs="Times New Roman"/>
          <w:color w:val="000000"/>
          <w:sz w:val="24"/>
          <w:szCs w:val="24"/>
        </w:rPr>
        <w:t xml:space="preserve">pentru sursele fixe care evacuează </w:t>
      </w:r>
      <w:r w:rsidR="00AF7182" w:rsidRPr="00EA1BB2">
        <w:rPr>
          <w:rFonts w:ascii="Cambria" w:eastAsia="Calibri" w:hAnsi="Cambria" w:cs="Times New Roman"/>
          <w:color w:val="000000"/>
          <w:sz w:val="24"/>
          <w:szCs w:val="24"/>
        </w:rPr>
        <w:t>emisii de poluan</w:t>
      </w:r>
      <w:r w:rsidR="00054880" w:rsidRPr="00EA1BB2">
        <w:rPr>
          <w:rFonts w:ascii="Cambria" w:eastAsia="Calibri" w:hAnsi="Cambria" w:cs="Times New Roman"/>
          <w:color w:val="000000"/>
          <w:sz w:val="24"/>
          <w:szCs w:val="24"/>
        </w:rPr>
        <w:t>ț</w:t>
      </w:r>
      <w:r w:rsidR="00AF7182" w:rsidRPr="00EA1BB2">
        <w:rPr>
          <w:rFonts w:ascii="Cambria" w:eastAsia="Calibri" w:hAnsi="Cambria" w:cs="Times New Roman"/>
          <w:color w:val="000000"/>
          <w:sz w:val="24"/>
          <w:szCs w:val="24"/>
        </w:rPr>
        <w:t xml:space="preserve">i în atmosferă </w:t>
      </w:r>
      <w:r w:rsidRPr="00EA1BB2">
        <w:rPr>
          <w:rFonts w:ascii="Cambria" w:eastAsia="Calibri" w:hAnsi="Cambria" w:cs="Times New Roman"/>
          <w:color w:val="000000"/>
          <w:sz w:val="24"/>
          <w:szCs w:val="24"/>
        </w:rPr>
        <w:t>prin intermediul co</w:t>
      </w:r>
      <w:r w:rsidR="00054880" w:rsidRPr="00EA1BB2">
        <w:rPr>
          <w:rFonts w:ascii="Cambria" w:eastAsia="Calibri" w:hAnsi="Cambria" w:cs="Times New Roman"/>
          <w:color w:val="000000"/>
          <w:sz w:val="24"/>
          <w:szCs w:val="24"/>
        </w:rPr>
        <w:t>ș</w:t>
      </w:r>
      <w:r w:rsidRPr="00EA1BB2">
        <w:rPr>
          <w:rFonts w:ascii="Cambria" w:eastAsia="Calibri" w:hAnsi="Cambria" w:cs="Times New Roman"/>
          <w:color w:val="000000"/>
          <w:sz w:val="24"/>
          <w:szCs w:val="24"/>
        </w:rPr>
        <w:t>urilor de fum au fost interogate informa</w:t>
      </w:r>
      <w:r w:rsidR="00054880" w:rsidRPr="00EA1BB2">
        <w:rPr>
          <w:rFonts w:ascii="Cambria" w:eastAsia="Calibri" w:hAnsi="Cambria" w:cs="Times New Roman"/>
          <w:color w:val="000000"/>
          <w:sz w:val="24"/>
          <w:szCs w:val="24"/>
        </w:rPr>
        <w:t>ț</w:t>
      </w:r>
      <w:r w:rsidRPr="00EA1BB2">
        <w:rPr>
          <w:rFonts w:ascii="Cambria" w:eastAsia="Calibri" w:hAnsi="Cambria" w:cs="Times New Roman"/>
          <w:color w:val="000000"/>
          <w:sz w:val="24"/>
          <w:szCs w:val="24"/>
        </w:rPr>
        <w:t>ii referitoare la modul de evacuare a gazelor de ardere în atmosferă (dimensiuni constructive co</w:t>
      </w:r>
      <w:r w:rsidR="00054880" w:rsidRPr="00EA1BB2">
        <w:rPr>
          <w:rFonts w:ascii="Cambria" w:eastAsia="Calibri" w:hAnsi="Cambria" w:cs="Times New Roman"/>
          <w:color w:val="000000"/>
          <w:sz w:val="24"/>
          <w:szCs w:val="24"/>
        </w:rPr>
        <w:t>ș</w:t>
      </w:r>
      <w:r w:rsidRPr="00EA1BB2">
        <w:rPr>
          <w:rFonts w:ascii="Cambria" w:eastAsia="Calibri" w:hAnsi="Cambria" w:cs="Times New Roman"/>
          <w:color w:val="000000"/>
          <w:sz w:val="24"/>
          <w:szCs w:val="24"/>
        </w:rPr>
        <w:t xml:space="preserve">uri de fum, debit gaze de ardere evacuate, viteza </w:t>
      </w:r>
      <w:r w:rsidR="00054880" w:rsidRPr="00EA1BB2">
        <w:rPr>
          <w:rFonts w:ascii="Cambria" w:eastAsia="Calibri" w:hAnsi="Cambria" w:cs="Times New Roman"/>
          <w:color w:val="000000"/>
          <w:sz w:val="24"/>
          <w:szCs w:val="24"/>
        </w:rPr>
        <w:t>ș</w:t>
      </w:r>
      <w:r w:rsidRPr="00EA1BB2">
        <w:rPr>
          <w:rFonts w:ascii="Cambria" w:eastAsia="Calibri" w:hAnsi="Cambria" w:cs="Times New Roman"/>
          <w:color w:val="000000"/>
          <w:sz w:val="24"/>
          <w:szCs w:val="24"/>
        </w:rPr>
        <w:t>i temperatura gazelor de ardere);</w:t>
      </w:r>
    </w:p>
    <w:p w14:paraId="2B118D2B" w14:textId="77777777" w:rsidR="00565B4A" w:rsidRPr="00EA1BB2" w:rsidRDefault="00565B4A" w:rsidP="00993575">
      <w:pPr>
        <w:numPr>
          <w:ilvl w:val="0"/>
          <w:numId w:val="59"/>
        </w:numPr>
        <w:autoSpaceDE w:val="0"/>
        <w:autoSpaceDN w:val="0"/>
        <w:adjustRightInd w:val="0"/>
        <w:spacing w:after="160" w:line="360" w:lineRule="auto"/>
        <w:ind w:left="851" w:hanging="283"/>
        <w:contextualSpacing/>
        <w:jc w:val="both"/>
        <w:rPr>
          <w:rFonts w:ascii="Cambria" w:eastAsia="Calibri" w:hAnsi="Cambria" w:cs="Times New Roman"/>
          <w:color w:val="000000"/>
          <w:sz w:val="24"/>
          <w:szCs w:val="24"/>
        </w:rPr>
      </w:pPr>
      <w:r w:rsidRPr="00EA1BB2">
        <w:rPr>
          <w:rFonts w:ascii="Cambria" w:eastAsia="Calibri" w:hAnsi="Cambria" w:cs="Times New Roman"/>
          <w:color w:val="000000"/>
          <w:sz w:val="24"/>
          <w:szCs w:val="24"/>
        </w:rPr>
        <w:t>descrierea surselor de suprafa</w:t>
      </w:r>
      <w:r w:rsidR="00054880" w:rsidRPr="00EA1BB2">
        <w:rPr>
          <w:rFonts w:ascii="Cambria" w:eastAsia="Calibri" w:hAnsi="Cambria" w:cs="Times New Roman"/>
          <w:color w:val="000000"/>
          <w:sz w:val="24"/>
          <w:szCs w:val="24"/>
        </w:rPr>
        <w:t>ț</w:t>
      </w:r>
      <w:r w:rsidRPr="00EA1BB2">
        <w:rPr>
          <w:rFonts w:ascii="Cambria" w:eastAsia="Calibri" w:hAnsi="Cambria" w:cs="Times New Roman"/>
          <w:color w:val="000000"/>
          <w:sz w:val="24"/>
          <w:szCs w:val="24"/>
        </w:rPr>
        <w:t>ă (de ex. consum urban pentru încălzire, industriale asimila</w:t>
      </w:r>
      <w:r w:rsidR="00AF7182" w:rsidRPr="00EA1BB2">
        <w:rPr>
          <w:rFonts w:ascii="Cambria" w:eastAsia="Calibri" w:hAnsi="Cambria" w:cs="Times New Roman"/>
          <w:color w:val="000000"/>
          <w:sz w:val="24"/>
          <w:szCs w:val="24"/>
        </w:rPr>
        <w:t>bile</w:t>
      </w:r>
      <w:r w:rsidRPr="00EA1BB2">
        <w:rPr>
          <w:rFonts w:ascii="Cambria" w:eastAsia="Calibri" w:hAnsi="Cambria" w:cs="Times New Roman"/>
          <w:color w:val="000000"/>
          <w:sz w:val="24"/>
          <w:szCs w:val="24"/>
        </w:rPr>
        <w:t xml:space="preserve">) </w:t>
      </w:r>
      <w:r w:rsidR="00054880" w:rsidRPr="00EA1BB2">
        <w:rPr>
          <w:rFonts w:ascii="Cambria" w:eastAsia="Calibri" w:hAnsi="Cambria" w:cs="Times New Roman"/>
          <w:color w:val="000000"/>
          <w:sz w:val="24"/>
          <w:szCs w:val="24"/>
        </w:rPr>
        <w:t>ș</w:t>
      </w:r>
      <w:r w:rsidRPr="00EA1BB2">
        <w:rPr>
          <w:rFonts w:ascii="Cambria" w:eastAsia="Calibri" w:hAnsi="Cambria" w:cs="Times New Roman"/>
          <w:color w:val="000000"/>
          <w:sz w:val="24"/>
          <w:szCs w:val="24"/>
        </w:rPr>
        <w:t>i a surselor liniare (de ex.  traficul din incinta operatorilor economici, autoutilitare pentru asigurarea produc</w:t>
      </w:r>
      <w:r w:rsidR="00054880" w:rsidRPr="00EA1BB2">
        <w:rPr>
          <w:rFonts w:ascii="Cambria" w:eastAsia="Calibri" w:hAnsi="Cambria" w:cs="Times New Roman"/>
          <w:color w:val="000000"/>
          <w:sz w:val="24"/>
          <w:szCs w:val="24"/>
        </w:rPr>
        <w:t>ț</w:t>
      </w:r>
      <w:r w:rsidRPr="00EA1BB2">
        <w:rPr>
          <w:rFonts w:ascii="Cambria" w:eastAsia="Calibri" w:hAnsi="Cambria" w:cs="Times New Roman"/>
          <w:color w:val="000000"/>
          <w:sz w:val="24"/>
          <w:szCs w:val="24"/>
        </w:rPr>
        <w:t>iei specifice, etc.).</w:t>
      </w:r>
    </w:p>
    <w:p w14:paraId="5B617134" w14:textId="77777777" w:rsidR="00AD4176" w:rsidRPr="00EA1BB2" w:rsidRDefault="00AF7182" w:rsidP="00C97300">
      <w:pPr>
        <w:spacing w:line="360" w:lineRule="auto"/>
        <w:ind w:firstLine="708"/>
        <w:jc w:val="both"/>
        <w:rPr>
          <w:rFonts w:ascii="Cambria" w:hAnsi="Cambria" w:cs="Arial"/>
          <w:sz w:val="24"/>
          <w:szCs w:val="24"/>
        </w:rPr>
      </w:pPr>
      <w:r w:rsidRPr="00EA1BB2">
        <w:rPr>
          <w:rFonts w:ascii="Cambria" w:hAnsi="Cambria" w:cs="Arial"/>
          <w:sz w:val="24"/>
          <w:szCs w:val="24"/>
        </w:rPr>
        <w:t>Prezentul Plan de men</w:t>
      </w:r>
      <w:r w:rsidR="00054880" w:rsidRPr="00EA1BB2">
        <w:rPr>
          <w:rFonts w:ascii="Cambria" w:hAnsi="Cambria" w:cs="Arial"/>
          <w:sz w:val="24"/>
          <w:szCs w:val="24"/>
        </w:rPr>
        <w:t>ț</w:t>
      </w:r>
      <w:r w:rsidRPr="00EA1BB2">
        <w:rPr>
          <w:rFonts w:ascii="Cambria" w:hAnsi="Cambria" w:cs="Arial"/>
          <w:sz w:val="24"/>
          <w:szCs w:val="24"/>
        </w:rPr>
        <w:t>inere a calită</w:t>
      </w:r>
      <w:r w:rsidR="00054880" w:rsidRPr="00EA1BB2">
        <w:rPr>
          <w:rFonts w:ascii="Cambria" w:hAnsi="Cambria" w:cs="Arial"/>
          <w:sz w:val="24"/>
          <w:szCs w:val="24"/>
        </w:rPr>
        <w:t>ț</w:t>
      </w:r>
      <w:r w:rsidRPr="00EA1BB2">
        <w:rPr>
          <w:rFonts w:ascii="Cambria" w:hAnsi="Cambria" w:cs="Arial"/>
          <w:sz w:val="24"/>
          <w:szCs w:val="24"/>
        </w:rPr>
        <w:t>ii aerului în jude</w:t>
      </w:r>
      <w:r w:rsidR="00054880" w:rsidRPr="00EA1BB2">
        <w:rPr>
          <w:rFonts w:ascii="Cambria" w:hAnsi="Cambria" w:cs="Arial"/>
          <w:sz w:val="24"/>
          <w:szCs w:val="24"/>
        </w:rPr>
        <w:t>ț</w:t>
      </w:r>
      <w:r w:rsidRPr="00EA1BB2">
        <w:rPr>
          <w:rFonts w:ascii="Cambria" w:hAnsi="Cambria" w:cs="Arial"/>
          <w:sz w:val="24"/>
          <w:szCs w:val="24"/>
        </w:rPr>
        <w:t>ul Brăila a fost întocmit pe baza studiului elaborat de către ENVIRO ECOSMART SRL, operator economic înscris în Registrul na</w:t>
      </w:r>
      <w:r w:rsidR="00054880" w:rsidRPr="00EA1BB2">
        <w:rPr>
          <w:rFonts w:ascii="Cambria" w:hAnsi="Cambria" w:cs="Arial"/>
          <w:sz w:val="24"/>
          <w:szCs w:val="24"/>
        </w:rPr>
        <w:t>ț</w:t>
      </w:r>
      <w:r w:rsidRPr="00EA1BB2">
        <w:rPr>
          <w:rFonts w:ascii="Cambria" w:hAnsi="Cambria" w:cs="Arial"/>
          <w:sz w:val="24"/>
          <w:szCs w:val="24"/>
        </w:rPr>
        <w:t>ional al elaboratorilor de studii pentru protec</w:t>
      </w:r>
      <w:r w:rsidR="00054880" w:rsidRPr="00EA1BB2">
        <w:rPr>
          <w:rFonts w:ascii="Cambria" w:hAnsi="Cambria" w:cs="Arial"/>
          <w:sz w:val="24"/>
          <w:szCs w:val="24"/>
        </w:rPr>
        <w:t>ț</w:t>
      </w:r>
      <w:r w:rsidRPr="00EA1BB2">
        <w:rPr>
          <w:rFonts w:ascii="Cambria" w:hAnsi="Cambria" w:cs="Arial"/>
          <w:sz w:val="24"/>
          <w:szCs w:val="24"/>
        </w:rPr>
        <w:t>ia mediului pozi</w:t>
      </w:r>
      <w:r w:rsidR="00054880" w:rsidRPr="00EA1BB2">
        <w:rPr>
          <w:rFonts w:ascii="Cambria" w:hAnsi="Cambria" w:cs="Arial"/>
          <w:sz w:val="24"/>
          <w:szCs w:val="24"/>
        </w:rPr>
        <w:t>ț</w:t>
      </w:r>
      <w:r w:rsidRPr="00EA1BB2">
        <w:rPr>
          <w:rFonts w:ascii="Cambria" w:hAnsi="Cambria" w:cs="Arial"/>
          <w:sz w:val="24"/>
          <w:szCs w:val="24"/>
        </w:rPr>
        <w:t>ia 676, conform prevederilor Ordinul ministrului mediului nr. 1026/2009 privind aprobarea condi</w:t>
      </w:r>
      <w:r w:rsidR="00054880" w:rsidRPr="00EA1BB2">
        <w:rPr>
          <w:rFonts w:ascii="Cambria" w:hAnsi="Cambria" w:cs="Arial"/>
          <w:sz w:val="24"/>
          <w:szCs w:val="24"/>
        </w:rPr>
        <w:t>ț</w:t>
      </w:r>
      <w:r w:rsidRPr="00EA1BB2">
        <w:rPr>
          <w:rFonts w:ascii="Cambria" w:hAnsi="Cambria" w:cs="Arial"/>
          <w:sz w:val="24"/>
          <w:szCs w:val="24"/>
        </w:rPr>
        <w:t>iilor de elaborare a raportului de mediu, raportului privind impactul asupra mediului, bilan</w:t>
      </w:r>
      <w:r w:rsidR="00054880" w:rsidRPr="00EA1BB2">
        <w:rPr>
          <w:rFonts w:ascii="Cambria" w:hAnsi="Cambria" w:cs="Arial"/>
          <w:sz w:val="24"/>
          <w:szCs w:val="24"/>
        </w:rPr>
        <w:t>ț</w:t>
      </w:r>
      <w:r w:rsidRPr="00EA1BB2">
        <w:rPr>
          <w:rFonts w:ascii="Cambria" w:hAnsi="Cambria" w:cs="Arial"/>
          <w:sz w:val="24"/>
          <w:szCs w:val="24"/>
        </w:rPr>
        <w:t xml:space="preserve">ului de mediu, raportului de amplasament, raportului de securitate </w:t>
      </w:r>
      <w:r w:rsidR="00054880" w:rsidRPr="00EA1BB2">
        <w:rPr>
          <w:rFonts w:ascii="Cambria" w:hAnsi="Cambria" w:cs="Arial"/>
          <w:sz w:val="24"/>
          <w:szCs w:val="24"/>
        </w:rPr>
        <w:t>ș</w:t>
      </w:r>
      <w:r w:rsidRPr="00EA1BB2">
        <w:rPr>
          <w:rFonts w:ascii="Cambria" w:hAnsi="Cambria" w:cs="Arial"/>
          <w:sz w:val="24"/>
          <w:szCs w:val="24"/>
        </w:rPr>
        <w:t>i studiului de evaluare adecvată.</w:t>
      </w:r>
    </w:p>
    <w:p w14:paraId="4440B5C7" w14:textId="77777777" w:rsidR="0030027B" w:rsidRPr="00EA1BB2" w:rsidRDefault="0030027B" w:rsidP="0030027B">
      <w:pPr>
        <w:spacing w:line="360" w:lineRule="auto"/>
        <w:jc w:val="both"/>
        <w:rPr>
          <w:rFonts w:ascii="Cambria" w:hAnsi="Cambria" w:cs="Arial"/>
          <w:sz w:val="24"/>
          <w:szCs w:val="24"/>
        </w:rPr>
      </w:pPr>
    </w:p>
    <w:p w14:paraId="018A5DA0" w14:textId="77777777" w:rsidR="00F0254C" w:rsidRPr="00EA1BB2" w:rsidRDefault="00F0254C" w:rsidP="001C5613">
      <w:pPr>
        <w:pStyle w:val="Heading2"/>
        <w:numPr>
          <w:ilvl w:val="1"/>
          <w:numId w:val="1"/>
        </w:numPr>
        <w:ind w:hanging="219"/>
        <w:jc w:val="both"/>
        <w:rPr>
          <w:rFonts w:ascii="Cambria" w:hAnsi="Cambria" w:cs="Times New Roman"/>
          <w:color w:val="0070C0"/>
          <w:szCs w:val="24"/>
        </w:rPr>
      </w:pPr>
      <w:bookmarkStart w:id="4" w:name="_Toc526889692"/>
      <w:r w:rsidRPr="00EA1BB2">
        <w:rPr>
          <w:rFonts w:ascii="Cambria" w:hAnsi="Cambria" w:cs="Times New Roman"/>
          <w:color w:val="0070C0"/>
          <w:szCs w:val="24"/>
        </w:rPr>
        <w:lastRenderedPageBreak/>
        <w:t>Autorită</w:t>
      </w:r>
      <w:r w:rsidR="00054880" w:rsidRPr="00EA1BB2">
        <w:rPr>
          <w:rFonts w:ascii="Cambria" w:hAnsi="Cambria" w:cs="Times New Roman"/>
          <w:color w:val="0070C0"/>
          <w:szCs w:val="24"/>
        </w:rPr>
        <w:t>ț</w:t>
      </w:r>
      <w:r w:rsidRPr="00EA1BB2">
        <w:rPr>
          <w:rFonts w:ascii="Cambria" w:hAnsi="Cambria" w:cs="Times New Roman"/>
          <w:color w:val="0070C0"/>
          <w:szCs w:val="24"/>
        </w:rPr>
        <w:t>i responsabile</w:t>
      </w:r>
      <w:bookmarkEnd w:id="4"/>
    </w:p>
    <w:p w14:paraId="34367DCB" w14:textId="77777777" w:rsidR="00F0254C" w:rsidRPr="00EA1BB2" w:rsidRDefault="00F0254C" w:rsidP="00F0254C">
      <w:pPr>
        <w:spacing w:line="360" w:lineRule="auto"/>
        <w:ind w:firstLine="708"/>
        <w:jc w:val="both"/>
        <w:rPr>
          <w:rFonts w:ascii="Cambria" w:hAnsi="Cambria" w:cs="Arial"/>
          <w:sz w:val="24"/>
          <w:szCs w:val="24"/>
        </w:rPr>
      </w:pPr>
      <w:r w:rsidRPr="00EA1BB2">
        <w:rPr>
          <w:rFonts w:ascii="Cambria" w:hAnsi="Cambria" w:cs="Arial"/>
          <w:sz w:val="24"/>
          <w:szCs w:val="24"/>
        </w:rPr>
        <w:t xml:space="preserve">Autoritatea responsabilă de elaborarea </w:t>
      </w:r>
      <w:r w:rsidR="00054880" w:rsidRPr="00EA1BB2">
        <w:rPr>
          <w:rFonts w:ascii="Cambria" w:hAnsi="Cambria" w:cs="Arial"/>
          <w:sz w:val="24"/>
          <w:szCs w:val="24"/>
        </w:rPr>
        <w:t>ș</w:t>
      </w:r>
      <w:r w:rsidRPr="00EA1BB2">
        <w:rPr>
          <w:rFonts w:ascii="Cambria" w:hAnsi="Cambria" w:cs="Arial"/>
          <w:sz w:val="24"/>
          <w:szCs w:val="24"/>
        </w:rPr>
        <w:t>i punerea în practică a Planului de men</w:t>
      </w:r>
      <w:r w:rsidR="00054880" w:rsidRPr="00EA1BB2">
        <w:rPr>
          <w:rFonts w:ascii="Cambria" w:hAnsi="Cambria" w:cs="Arial"/>
          <w:sz w:val="24"/>
          <w:szCs w:val="24"/>
        </w:rPr>
        <w:t>ț</w:t>
      </w:r>
      <w:r w:rsidRPr="00EA1BB2">
        <w:rPr>
          <w:rFonts w:ascii="Cambria" w:hAnsi="Cambria" w:cs="Arial"/>
          <w:sz w:val="24"/>
          <w:szCs w:val="24"/>
        </w:rPr>
        <w:t>inere a calită</w:t>
      </w:r>
      <w:r w:rsidR="00054880" w:rsidRPr="00EA1BB2">
        <w:rPr>
          <w:rFonts w:ascii="Cambria" w:hAnsi="Cambria" w:cs="Arial"/>
          <w:sz w:val="24"/>
          <w:szCs w:val="24"/>
        </w:rPr>
        <w:t>ț</w:t>
      </w:r>
      <w:r w:rsidRPr="00EA1BB2">
        <w:rPr>
          <w:rFonts w:ascii="Cambria" w:hAnsi="Cambria" w:cs="Arial"/>
          <w:sz w:val="24"/>
          <w:szCs w:val="24"/>
        </w:rPr>
        <w:t>ii aerului în jude</w:t>
      </w:r>
      <w:r w:rsidR="00054880" w:rsidRPr="00EA1BB2">
        <w:rPr>
          <w:rFonts w:ascii="Cambria" w:hAnsi="Cambria" w:cs="Arial"/>
          <w:sz w:val="24"/>
          <w:szCs w:val="24"/>
        </w:rPr>
        <w:t>ț</w:t>
      </w:r>
      <w:r w:rsidRPr="00EA1BB2">
        <w:rPr>
          <w:rFonts w:ascii="Cambria" w:hAnsi="Cambria" w:cs="Arial"/>
          <w:sz w:val="24"/>
          <w:szCs w:val="24"/>
        </w:rPr>
        <w:t>ul Brăila este Consiliul Jude</w:t>
      </w:r>
      <w:r w:rsidR="00054880" w:rsidRPr="00EA1BB2">
        <w:rPr>
          <w:rFonts w:ascii="Cambria" w:hAnsi="Cambria" w:cs="Arial"/>
          <w:sz w:val="24"/>
          <w:szCs w:val="24"/>
        </w:rPr>
        <w:t>ț</w:t>
      </w:r>
      <w:r w:rsidRPr="00EA1BB2">
        <w:rPr>
          <w:rFonts w:ascii="Cambria" w:hAnsi="Cambria" w:cs="Arial"/>
          <w:sz w:val="24"/>
          <w:szCs w:val="24"/>
        </w:rPr>
        <w:t>ean Brăila, conform Legii nr. 104/2011 privind calitatea aerului înconjurător.</w:t>
      </w:r>
    </w:p>
    <w:p w14:paraId="2984B734" w14:textId="77777777" w:rsidR="00F0254C" w:rsidRPr="00EA1BB2" w:rsidRDefault="00F0254C" w:rsidP="00F0254C">
      <w:pPr>
        <w:spacing w:line="360" w:lineRule="auto"/>
        <w:ind w:firstLine="708"/>
        <w:jc w:val="both"/>
        <w:rPr>
          <w:rFonts w:ascii="Cambria" w:hAnsi="Cambria" w:cs="Arial"/>
          <w:sz w:val="24"/>
          <w:szCs w:val="24"/>
        </w:rPr>
      </w:pPr>
      <w:r w:rsidRPr="00EA1BB2">
        <w:rPr>
          <w:rFonts w:ascii="Cambria" w:hAnsi="Cambria" w:cs="Arial"/>
          <w:sz w:val="24"/>
          <w:szCs w:val="24"/>
        </w:rPr>
        <w:t>Pentru întocmirea Planului de men</w:t>
      </w:r>
      <w:r w:rsidR="00054880" w:rsidRPr="00EA1BB2">
        <w:rPr>
          <w:rFonts w:ascii="Cambria" w:hAnsi="Cambria" w:cs="Arial"/>
          <w:sz w:val="24"/>
          <w:szCs w:val="24"/>
        </w:rPr>
        <w:t>ț</w:t>
      </w:r>
      <w:r w:rsidRPr="00EA1BB2">
        <w:rPr>
          <w:rFonts w:ascii="Cambria" w:hAnsi="Cambria" w:cs="Arial"/>
          <w:sz w:val="24"/>
          <w:szCs w:val="24"/>
        </w:rPr>
        <w:t>inere a calită</w:t>
      </w:r>
      <w:r w:rsidR="00054880" w:rsidRPr="00EA1BB2">
        <w:rPr>
          <w:rFonts w:ascii="Cambria" w:hAnsi="Cambria" w:cs="Arial"/>
          <w:sz w:val="24"/>
          <w:szCs w:val="24"/>
        </w:rPr>
        <w:t>ț</w:t>
      </w:r>
      <w:r w:rsidRPr="00EA1BB2">
        <w:rPr>
          <w:rFonts w:ascii="Cambria" w:hAnsi="Cambria" w:cs="Arial"/>
          <w:sz w:val="24"/>
          <w:szCs w:val="24"/>
        </w:rPr>
        <w:t>ii aerului în jude</w:t>
      </w:r>
      <w:r w:rsidR="00054880" w:rsidRPr="00EA1BB2">
        <w:rPr>
          <w:rFonts w:ascii="Cambria" w:hAnsi="Cambria" w:cs="Arial"/>
          <w:sz w:val="24"/>
          <w:szCs w:val="24"/>
        </w:rPr>
        <w:t>ț</w:t>
      </w:r>
      <w:r w:rsidRPr="00EA1BB2">
        <w:rPr>
          <w:rFonts w:ascii="Cambria" w:hAnsi="Cambria" w:cs="Arial"/>
          <w:sz w:val="24"/>
          <w:szCs w:val="24"/>
        </w:rPr>
        <w:t>ul Brăila, în temeiul H.G. nr. 257/2015 privind aprobarea Metodologiei de elaborare a planurilor de calitate a aerului, a planurilor de ac</w:t>
      </w:r>
      <w:r w:rsidR="00054880" w:rsidRPr="00EA1BB2">
        <w:rPr>
          <w:rFonts w:ascii="Cambria" w:hAnsi="Cambria" w:cs="Arial"/>
          <w:sz w:val="24"/>
          <w:szCs w:val="24"/>
        </w:rPr>
        <w:t>ț</w:t>
      </w:r>
      <w:r w:rsidRPr="00EA1BB2">
        <w:rPr>
          <w:rFonts w:ascii="Cambria" w:hAnsi="Cambria" w:cs="Arial"/>
          <w:sz w:val="24"/>
          <w:szCs w:val="24"/>
        </w:rPr>
        <w:t xml:space="preserve">iune pe termen scurt </w:t>
      </w:r>
      <w:r w:rsidR="00054880" w:rsidRPr="00EA1BB2">
        <w:rPr>
          <w:rFonts w:ascii="Cambria" w:hAnsi="Cambria" w:cs="Arial"/>
          <w:sz w:val="24"/>
          <w:szCs w:val="24"/>
        </w:rPr>
        <w:t>ș</w:t>
      </w:r>
      <w:r w:rsidRPr="00EA1BB2">
        <w:rPr>
          <w:rFonts w:ascii="Cambria" w:hAnsi="Cambria" w:cs="Arial"/>
          <w:sz w:val="24"/>
          <w:szCs w:val="24"/>
        </w:rPr>
        <w:t>i a planurilor de men</w:t>
      </w:r>
      <w:r w:rsidR="00054880" w:rsidRPr="00EA1BB2">
        <w:rPr>
          <w:rFonts w:ascii="Cambria" w:hAnsi="Cambria" w:cs="Arial"/>
          <w:sz w:val="24"/>
          <w:szCs w:val="24"/>
        </w:rPr>
        <w:t>ț</w:t>
      </w:r>
      <w:r w:rsidRPr="00EA1BB2">
        <w:rPr>
          <w:rFonts w:ascii="Cambria" w:hAnsi="Cambria" w:cs="Arial"/>
          <w:sz w:val="24"/>
          <w:szCs w:val="24"/>
        </w:rPr>
        <w:t>inere a calită</w:t>
      </w:r>
      <w:r w:rsidR="00054880" w:rsidRPr="00EA1BB2">
        <w:rPr>
          <w:rFonts w:ascii="Cambria" w:hAnsi="Cambria" w:cs="Arial"/>
          <w:sz w:val="24"/>
          <w:szCs w:val="24"/>
        </w:rPr>
        <w:t>ț</w:t>
      </w:r>
      <w:r w:rsidRPr="00EA1BB2">
        <w:rPr>
          <w:rFonts w:ascii="Cambria" w:hAnsi="Cambria" w:cs="Arial"/>
          <w:sz w:val="24"/>
          <w:szCs w:val="24"/>
        </w:rPr>
        <w:t>ii aerului, prin Dispozi</w:t>
      </w:r>
      <w:r w:rsidR="00054880" w:rsidRPr="00EA1BB2">
        <w:rPr>
          <w:rFonts w:ascii="Cambria" w:hAnsi="Cambria" w:cs="Arial"/>
          <w:sz w:val="24"/>
          <w:szCs w:val="24"/>
        </w:rPr>
        <w:t>ț</w:t>
      </w:r>
      <w:r w:rsidRPr="00EA1BB2">
        <w:rPr>
          <w:rFonts w:ascii="Cambria" w:hAnsi="Cambria" w:cs="Arial"/>
          <w:sz w:val="24"/>
          <w:szCs w:val="24"/>
        </w:rPr>
        <w:t>ia nr. 663 din 11.11.2015, Pre</w:t>
      </w:r>
      <w:r w:rsidR="00054880" w:rsidRPr="00EA1BB2">
        <w:rPr>
          <w:rFonts w:ascii="Cambria" w:hAnsi="Cambria" w:cs="Arial"/>
          <w:sz w:val="24"/>
          <w:szCs w:val="24"/>
        </w:rPr>
        <w:t>ș</w:t>
      </w:r>
      <w:r w:rsidRPr="00EA1BB2">
        <w:rPr>
          <w:rFonts w:ascii="Cambria" w:hAnsi="Cambria" w:cs="Arial"/>
          <w:sz w:val="24"/>
          <w:szCs w:val="24"/>
        </w:rPr>
        <w:t>edintele Consiliului Jude</w:t>
      </w:r>
      <w:r w:rsidR="00054880" w:rsidRPr="00EA1BB2">
        <w:rPr>
          <w:rFonts w:ascii="Cambria" w:hAnsi="Cambria" w:cs="Arial"/>
          <w:sz w:val="24"/>
          <w:szCs w:val="24"/>
        </w:rPr>
        <w:t>ț</w:t>
      </w:r>
      <w:r w:rsidRPr="00EA1BB2">
        <w:rPr>
          <w:rFonts w:ascii="Cambria" w:hAnsi="Cambria" w:cs="Arial"/>
          <w:sz w:val="24"/>
          <w:szCs w:val="24"/>
        </w:rPr>
        <w:t>ean Brăila aprobă componen</w:t>
      </w:r>
      <w:r w:rsidR="00054880" w:rsidRPr="00EA1BB2">
        <w:rPr>
          <w:rFonts w:ascii="Cambria" w:hAnsi="Cambria" w:cs="Arial"/>
          <w:sz w:val="24"/>
          <w:szCs w:val="24"/>
        </w:rPr>
        <w:t>ț</w:t>
      </w:r>
      <w:r w:rsidRPr="00EA1BB2">
        <w:rPr>
          <w:rFonts w:ascii="Cambria" w:hAnsi="Cambria" w:cs="Arial"/>
          <w:sz w:val="24"/>
          <w:szCs w:val="24"/>
        </w:rPr>
        <w:t>a Comisiei Tehnice pentru elaborarea Planului de men</w:t>
      </w:r>
      <w:r w:rsidR="00054880" w:rsidRPr="00EA1BB2">
        <w:rPr>
          <w:rFonts w:ascii="Cambria" w:hAnsi="Cambria" w:cs="Arial"/>
          <w:sz w:val="24"/>
          <w:szCs w:val="24"/>
        </w:rPr>
        <w:t>ț</w:t>
      </w:r>
      <w:r w:rsidRPr="00EA1BB2">
        <w:rPr>
          <w:rFonts w:ascii="Cambria" w:hAnsi="Cambria" w:cs="Arial"/>
          <w:sz w:val="24"/>
          <w:szCs w:val="24"/>
        </w:rPr>
        <w:t>inere a calită</w:t>
      </w:r>
      <w:r w:rsidR="00054880" w:rsidRPr="00EA1BB2">
        <w:rPr>
          <w:rFonts w:ascii="Cambria" w:hAnsi="Cambria" w:cs="Arial"/>
          <w:sz w:val="24"/>
          <w:szCs w:val="24"/>
        </w:rPr>
        <w:t>ț</w:t>
      </w:r>
      <w:r w:rsidRPr="00EA1BB2">
        <w:rPr>
          <w:rFonts w:ascii="Cambria" w:hAnsi="Cambria" w:cs="Arial"/>
          <w:sz w:val="24"/>
          <w:szCs w:val="24"/>
        </w:rPr>
        <w:t xml:space="preserve">ii aerului. </w:t>
      </w:r>
    </w:p>
    <w:p w14:paraId="1F2B2C39" w14:textId="31A01EA5" w:rsidR="00993D17" w:rsidRPr="00EA1BB2" w:rsidRDefault="00993D17" w:rsidP="00437ACC">
      <w:pPr>
        <w:pStyle w:val="Caption"/>
        <w:keepNext/>
        <w:spacing w:after="0" w:line="360" w:lineRule="auto"/>
        <w:ind w:firstLine="708"/>
        <w:jc w:val="both"/>
        <w:rPr>
          <w:rFonts w:ascii="Cambria" w:hAnsi="Cambria"/>
        </w:rPr>
      </w:pPr>
      <w:bookmarkStart w:id="5" w:name="_Toc479265351"/>
      <w:bookmarkStart w:id="6" w:name="_Toc526889757"/>
      <w:bookmarkEnd w:id="5"/>
      <w:r w:rsidRPr="00EA1BB2">
        <w:rPr>
          <w:rFonts w:ascii="Cambria" w:hAnsi="Cambria"/>
        </w:rPr>
        <w:t xml:space="preserve">Tabelul nr. </w:t>
      </w:r>
      <w:r w:rsidR="000A2FE7" w:rsidRPr="00EA1BB2">
        <w:rPr>
          <w:rFonts w:ascii="Cambria" w:hAnsi="Cambria"/>
        </w:rPr>
        <w:fldChar w:fldCharType="begin"/>
      </w:r>
      <w:r w:rsidR="000A2FE7" w:rsidRPr="00EA1BB2">
        <w:rPr>
          <w:rFonts w:ascii="Cambria" w:hAnsi="Cambria"/>
        </w:rPr>
        <w:instrText xml:space="preserve"> STYLEREF 1 \s </w:instrText>
      </w:r>
      <w:r w:rsidR="000A2FE7" w:rsidRPr="00EA1BB2">
        <w:rPr>
          <w:rFonts w:ascii="Cambria" w:hAnsi="Cambria"/>
        </w:rPr>
        <w:fldChar w:fldCharType="separate"/>
      </w:r>
      <w:r w:rsidR="00567555">
        <w:rPr>
          <w:rFonts w:ascii="Cambria" w:hAnsi="Cambria"/>
          <w:noProof/>
        </w:rPr>
        <w:t>1</w:t>
      </w:r>
      <w:r w:rsidR="000A2FE7" w:rsidRPr="00EA1BB2">
        <w:rPr>
          <w:rFonts w:ascii="Cambria" w:hAnsi="Cambria"/>
        </w:rPr>
        <w:fldChar w:fldCharType="end"/>
      </w:r>
      <w:r w:rsidR="000A2FE7" w:rsidRPr="00EA1BB2">
        <w:rPr>
          <w:rFonts w:ascii="Cambria" w:hAnsi="Cambria"/>
        </w:rPr>
        <w:noBreakHyphen/>
      </w:r>
      <w:r w:rsidR="000A2FE7" w:rsidRPr="00EA1BB2">
        <w:rPr>
          <w:rFonts w:ascii="Cambria" w:hAnsi="Cambria"/>
        </w:rPr>
        <w:fldChar w:fldCharType="begin"/>
      </w:r>
      <w:r w:rsidR="000A2FE7" w:rsidRPr="00EA1BB2">
        <w:rPr>
          <w:rFonts w:ascii="Cambria" w:hAnsi="Cambria"/>
        </w:rPr>
        <w:instrText xml:space="preserve"> SEQ Tabelul_nr. \* ARABIC \s 1 </w:instrText>
      </w:r>
      <w:r w:rsidR="000A2FE7" w:rsidRPr="00EA1BB2">
        <w:rPr>
          <w:rFonts w:ascii="Cambria" w:hAnsi="Cambria"/>
        </w:rPr>
        <w:fldChar w:fldCharType="separate"/>
      </w:r>
      <w:r w:rsidR="00567555">
        <w:rPr>
          <w:rFonts w:ascii="Cambria" w:hAnsi="Cambria"/>
          <w:noProof/>
        </w:rPr>
        <w:t>1</w:t>
      </w:r>
      <w:r w:rsidR="000A2FE7" w:rsidRPr="00EA1BB2">
        <w:rPr>
          <w:rFonts w:ascii="Cambria" w:hAnsi="Cambria"/>
        </w:rPr>
        <w:fldChar w:fldCharType="end"/>
      </w:r>
      <w:r w:rsidRPr="00EA1BB2">
        <w:rPr>
          <w:rFonts w:ascii="Cambria" w:hAnsi="Cambria"/>
        </w:rPr>
        <w:t xml:space="preserve"> – Reprezentanții Consiliului Județean Brăila în comisia tehnică</w:t>
      </w:r>
      <w:bookmarkEnd w:id="6"/>
    </w:p>
    <w:tbl>
      <w:tblPr>
        <w:tblOverlap w:val="never"/>
        <w:tblW w:w="96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567"/>
        <w:gridCol w:w="2693"/>
        <w:gridCol w:w="1995"/>
        <w:gridCol w:w="4389"/>
      </w:tblGrid>
      <w:tr w:rsidR="00F0254C" w:rsidRPr="00EA1BB2" w14:paraId="065E43E5" w14:textId="77777777" w:rsidTr="00EA3D98">
        <w:trPr>
          <w:trHeight w:val="57"/>
          <w:jc w:val="center"/>
        </w:trPr>
        <w:tc>
          <w:tcPr>
            <w:tcW w:w="567" w:type="dxa"/>
            <w:shd w:val="clear" w:color="auto" w:fill="BDD6EE" w:themeFill="accent1" w:themeFillTint="66"/>
            <w:vAlign w:val="center"/>
          </w:tcPr>
          <w:p w14:paraId="564C5A07" w14:textId="77777777" w:rsidR="00F0254C" w:rsidRPr="00EA1BB2" w:rsidRDefault="00F0254C" w:rsidP="00993D17">
            <w:pPr>
              <w:spacing w:line="360" w:lineRule="auto"/>
              <w:ind w:hanging="20"/>
              <w:jc w:val="center"/>
              <w:rPr>
                <w:rFonts w:ascii="Cambria" w:eastAsia="Calibri" w:hAnsi="Cambria" w:cs="Times New Roman"/>
                <w:b/>
                <w:sz w:val="24"/>
              </w:rPr>
            </w:pPr>
            <w:r w:rsidRPr="00EA1BB2">
              <w:rPr>
                <w:rFonts w:ascii="Cambria" w:eastAsia="Calibri" w:hAnsi="Cambria" w:cs="Times New Roman"/>
                <w:b/>
                <w:sz w:val="24"/>
              </w:rPr>
              <w:t xml:space="preserve">Nr. </w:t>
            </w:r>
            <w:r w:rsidR="00993D17" w:rsidRPr="00EA1BB2">
              <w:rPr>
                <w:rFonts w:ascii="Cambria" w:eastAsia="Calibri" w:hAnsi="Cambria" w:cs="Times New Roman"/>
                <w:b/>
                <w:sz w:val="24"/>
              </w:rPr>
              <w:t>c</w:t>
            </w:r>
            <w:r w:rsidRPr="00EA1BB2">
              <w:rPr>
                <w:rFonts w:ascii="Cambria" w:eastAsia="Calibri" w:hAnsi="Cambria" w:cs="Times New Roman"/>
                <w:b/>
                <w:sz w:val="24"/>
              </w:rPr>
              <w:t>rt.</w:t>
            </w:r>
          </w:p>
        </w:tc>
        <w:tc>
          <w:tcPr>
            <w:tcW w:w="2693" w:type="dxa"/>
            <w:shd w:val="clear" w:color="auto" w:fill="BDD6EE" w:themeFill="accent1" w:themeFillTint="66"/>
            <w:vAlign w:val="center"/>
          </w:tcPr>
          <w:p w14:paraId="4A2697C8" w14:textId="77777777" w:rsidR="00F0254C" w:rsidRPr="00EA1BB2" w:rsidRDefault="00F0254C" w:rsidP="00343667">
            <w:pPr>
              <w:spacing w:line="360" w:lineRule="auto"/>
              <w:ind w:firstLine="124"/>
              <w:jc w:val="center"/>
              <w:rPr>
                <w:rFonts w:ascii="Cambria" w:eastAsia="Calibri" w:hAnsi="Cambria" w:cs="Times New Roman"/>
                <w:b/>
                <w:sz w:val="24"/>
              </w:rPr>
            </w:pPr>
            <w:r w:rsidRPr="00EA1BB2">
              <w:rPr>
                <w:rFonts w:ascii="Cambria" w:eastAsia="Calibri" w:hAnsi="Cambria" w:cs="Times New Roman"/>
                <w:b/>
                <w:sz w:val="24"/>
              </w:rPr>
              <w:t xml:space="preserve">Nume </w:t>
            </w:r>
            <w:r w:rsidR="00054880" w:rsidRPr="00EA1BB2">
              <w:rPr>
                <w:rFonts w:ascii="Cambria" w:eastAsia="Calibri" w:hAnsi="Cambria" w:cs="Times New Roman"/>
                <w:b/>
                <w:sz w:val="24"/>
              </w:rPr>
              <w:t>ș</w:t>
            </w:r>
            <w:r w:rsidRPr="00EA1BB2">
              <w:rPr>
                <w:rFonts w:ascii="Cambria" w:eastAsia="Calibri" w:hAnsi="Cambria" w:cs="Times New Roman"/>
                <w:b/>
                <w:sz w:val="24"/>
              </w:rPr>
              <w:t>i prenume</w:t>
            </w:r>
          </w:p>
        </w:tc>
        <w:tc>
          <w:tcPr>
            <w:tcW w:w="1995" w:type="dxa"/>
            <w:shd w:val="clear" w:color="auto" w:fill="BDD6EE" w:themeFill="accent1" w:themeFillTint="66"/>
            <w:vAlign w:val="center"/>
          </w:tcPr>
          <w:p w14:paraId="4599BA4F" w14:textId="77777777" w:rsidR="00F0254C" w:rsidRPr="00EA1BB2" w:rsidRDefault="00F0254C" w:rsidP="00343667">
            <w:pPr>
              <w:spacing w:line="360" w:lineRule="auto"/>
              <w:ind w:left="139"/>
              <w:jc w:val="center"/>
              <w:rPr>
                <w:rFonts w:ascii="Cambria" w:eastAsia="Calibri" w:hAnsi="Cambria" w:cs="Times New Roman"/>
                <w:b/>
                <w:sz w:val="24"/>
              </w:rPr>
            </w:pPr>
            <w:r w:rsidRPr="00EA1BB2">
              <w:rPr>
                <w:rFonts w:ascii="Cambria" w:eastAsia="Calibri" w:hAnsi="Cambria" w:cs="Times New Roman"/>
                <w:b/>
                <w:sz w:val="24"/>
              </w:rPr>
              <w:t>Calitate în comisia tehnică</w:t>
            </w:r>
          </w:p>
        </w:tc>
        <w:tc>
          <w:tcPr>
            <w:tcW w:w="4389" w:type="dxa"/>
            <w:shd w:val="clear" w:color="auto" w:fill="BDD6EE" w:themeFill="accent1" w:themeFillTint="66"/>
            <w:vAlign w:val="center"/>
          </w:tcPr>
          <w:p w14:paraId="358D3CB2" w14:textId="77777777" w:rsidR="00F0254C" w:rsidRPr="00EA1BB2" w:rsidRDefault="00F0254C" w:rsidP="00343667">
            <w:pPr>
              <w:spacing w:line="360" w:lineRule="auto"/>
              <w:ind w:left="139"/>
              <w:jc w:val="center"/>
              <w:rPr>
                <w:rFonts w:ascii="Cambria" w:eastAsia="Calibri" w:hAnsi="Cambria" w:cs="Times New Roman"/>
                <w:b/>
                <w:sz w:val="24"/>
              </w:rPr>
            </w:pPr>
            <w:r w:rsidRPr="00EA1BB2">
              <w:rPr>
                <w:rFonts w:ascii="Cambria" w:eastAsia="Calibri" w:hAnsi="Cambria" w:cs="Times New Roman"/>
                <w:b/>
                <w:sz w:val="24"/>
              </w:rPr>
              <w:t>Compartiment CJ</w:t>
            </w:r>
          </w:p>
        </w:tc>
      </w:tr>
      <w:tr w:rsidR="00F0254C" w:rsidRPr="00EA1BB2" w14:paraId="360E1BAD" w14:textId="77777777" w:rsidTr="00EA3D98">
        <w:trPr>
          <w:trHeight w:val="57"/>
          <w:jc w:val="center"/>
        </w:trPr>
        <w:tc>
          <w:tcPr>
            <w:tcW w:w="567" w:type="dxa"/>
            <w:shd w:val="clear" w:color="auto" w:fill="FFFFFF"/>
            <w:vAlign w:val="center"/>
          </w:tcPr>
          <w:p w14:paraId="695F69C0" w14:textId="77777777" w:rsidR="00F0254C" w:rsidRPr="00EA1BB2" w:rsidRDefault="00F0254C" w:rsidP="00343667">
            <w:pPr>
              <w:spacing w:line="360" w:lineRule="auto"/>
              <w:ind w:firstLine="124"/>
              <w:jc w:val="center"/>
              <w:rPr>
                <w:rFonts w:ascii="Cambria" w:eastAsia="Calibri" w:hAnsi="Cambria" w:cs="Times New Roman"/>
                <w:sz w:val="24"/>
              </w:rPr>
            </w:pPr>
            <w:r w:rsidRPr="00EA1BB2">
              <w:rPr>
                <w:rFonts w:ascii="Cambria" w:eastAsia="Calibri" w:hAnsi="Cambria" w:cs="Times New Roman"/>
                <w:sz w:val="24"/>
              </w:rPr>
              <w:t>1</w:t>
            </w:r>
          </w:p>
        </w:tc>
        <w:tc>
          <w:tcPr>
            <w:tcW w:w="2693" w:type="dxa"/>
            <w:shd w:val="clear" w:color="auto" w:fill="FFFFFF"/>
            <w:vAlign w:val="center"/>
          </w:tcPr>
          <w:p w14:paraId="0C68E87C" w14:textId="77777777" w:rsidR="00F0254C" w:rsidRPr="00EA1BB2" w:rsidRDefault="00F0254C" w:rsidP="00343667">
            <w:pPr>
              <w:spacing w:line="360" w:lineRule="auto"/>
              <w:ind w:firstLine="124"/>
              <w:rPr>
                <w:rFonts w:ascii="Cambria" w:eastAsia="Calibri" w:hAnsi="Cambria" w:cs="Times New Roman"/>
                <w:sz w:val="24"/>
              </w:rPr>
            </w:pPr>
            <w:r w:rsidRPr="00EA1BB2">
              <w:rPr>
                <w:rFonts w:ascii="Cambria" w:eastAsia="Calibri" w:hAnsi="Cambria" w:cs="Times New Roman"/>
                <w:sz w:val="24"/>
              </w:rPr>
              <w:t>Marcu Magdalena</w:t>
            </w:r>
          </w:p>
        </w:tc>
        <w:tc>
          <w:tcPr>
            <w:tcW w:w="1995" w:type="dxa"/>
            <w:vAlign w:val="center"/>
          </w:tcPr>
          <w:p w14:paraId="2FAB8895" w14:textId="77777777" w:rsidR="00F0254C" w:rsidRPr="00EA1BB2" w:rsidRDefault="00F0254C" w:rsidP="00343667">
            <w:pPr>
              <w:spacing w:line="360" w:lineRule="auto"/>
              <w:ind w:left="139"/>
              <w:jc w:val="center"/>
              <w:rPr>
                <w:rFonts w:ascii="Cambria" w:eastAsia="Calibri" w:hAnsi="Cambria" w:cs="Times New Roman"/>
                <w:sz w:val="24"/>
              </w:rPr>
            </w:pPr>
            <w:r w:rsidRPr="00EA1BB2">
              <w:rPr>
                <w:rFonts w:ascii="Cambria" w:eastAsia="Calibri" w:hAnsi="Cambria" w:cs="Times New Roman"/>
                <w:sz w:val="24"/>
              </w:rPr>
              <w:t xml:space="preserve">Coordonator </w:t>
            </w:r>
          </w:p>
        </w:tc>
        <w:tc>
          <w:tcPr>
            <w:tcW w:w="4389" w:type="dxa"/>
            <w:vAlign w:val="center"/>
          </w:tcPr>
          <w:p w14:paraId="62A3840F" w14:textId="77777777" w:rsidR="00F0254C" w:rsidRPr="00EA1BB2" w:rsidRDefault="00F0254C" w:rsidP="00343667">
            <w:pPr>
              <w:spacing w:line="360" w:lineRule="auto"/>
              <w:ind w:left="139"/>
              <w:jc w:val="center"/>
              <w:rPr>
                <w:rFonts w:ascii="Cambria" w:eastAsia="Calibri" w:hAnsi="Cambria" w:cs="Times New Roman"/>
                <w:sz w:val="24"/>
              </w:rPr>
            </w:pPr>
            <w:r w:rsidRPr="00EA1BB2">
              <w:rPr>
                <w:rFonts w:ascii="Cambria" w:eastAsia="Calibri" w:hAnsi="Cambria" w:cs="Times New Roman"/>
                <w:sz w:val="24"/>
              </w:rPr>
              <w:t xml:space="preserve">Consilier superior – Arhitect </w:t>
            </w:r>
            <w:r w:rsidR="00054880" w:rsidRPr="00EA1BB2">
              <w:rPr>
                <w:rFonts w:ascii="Cambria" w:eastAsia="Calibri" w:hAnsi="Cambria" w:cs="Times New Roman"/>
                <w:sz w:val="24"/>
              </w:rPr>
              <w:t>Ș</w:t>
            </w:r>
            <w:r w:rsidRPr="00EA1BB2">
              <w:rPr>
                <w:rFonts w:ascii="Cambria" w:eastAsia="Calibri" w:hAnsi="Cambria" w:cs="Times New Roman"/>
                <w:sz w:val="24"/>
              </w:rPr>
              <w:t>ef – Comp. Protec</w:t>
            </w:r>
            <w:r w:rsidR="00054880" w:rsidRPr="00EA1BB2">
              <w:rPr>
                <w:rFonts w:ascii="Cambria" w:eastAsia="Calibri" w:hAnsi="Cambria" w:cs="Times New Roman"/>
                <w:sz w:val="24"/>
              </w:rPr>
              <w:t>ț</w:t>
            </w:r>
            <w:r w:rsidRPr="00EA1BB2">
              <w:rPr>
                <w:rFonts w:ascii="Cambria" w:eastAsia="Calibri" w:hAnsi="Cambria" w:cs="Times New Roman"/>
                <w:sz w:val="24"/>
              </w:rPr>
              <w:t xml:space="preserve">ia mediului natural </w:t>
            </w:r>
            <w:r w:rsidR="00054880" w:rsidRPr="00EA1BB2">
              <w:rPr>
                <w:rFonts w:ascii="Cambria" w:eastAsia="Calibri" w:hAnsi="Cambria" w:cs="Times New Roman"/>
                <w:sz w:val="24"/>
              </w:rPr>
              <w:t>ș</w:t>
            </w:r>
            <w:r w:rsidRPr="00EA1BB2">
              <w:rPr>
                <w:rFonts w:ascii="Cambria" w:eastAsia="Calibri" w:hAnsi="Cambria" w:cs="Times New Roman"/>
                <w:sz w:val="24"/>
              </w:rPr>
              <w:t>i construit</w:t>
            </w:r>
          </w:p>
        </w:tc>
      </w:tr>
    </w:tbl>
    <w:p w14:paraId="564888B9" w14:textId="77777777" w:rsidR="00F0254C" w:rsidRPr="00EA1BB2" w:rsidRDefault="00F0254C" w:rsidP="00F0254C">
      <w:pPr>
        <w:spacing w:after="160" w:line="259" w:lineRule="auto"/>
        <w:rPr>
          <w:rFonts w:ascii="Cambria" w:eastAsia="Calibri" w:hAnsi="Cambria" w:cs="Times New Roman"/>
          <w:sz w:val="2"/>
          <w:szCs w:val="2"/>
          <w:highlight w:val="yellow"/>
        </w:rPr>
      </w:pPr>
    </w:p>
    <w:p w14:paraId="37B208FC" w14:textId="77777777" w:rsidR="00F0254C" w:rsidRPr="00EA1BB2" w:rsidRDefault="00F0254C" w:rsidP="00F0254C">
      <w:pPr>
        <w:spacing w:line="360" w:lineRule="auto"/>
        <w:ind w:firstLine="567"/>
        <w:jc w:val="both"/>
        <w:rPr>
          <w:rFonts w:ascii="Cambria" w:eastAsia="Times New Roman" w:hAnsi="Cambria" w:cs="Times New Roman"/>
          <w:sz w:val="24"/>
          <w:szCs w:val="24"/>
          <w:highlight w:val="yellow"/>
        </w:rPr>
      </w:pPr>
    </w:p>
    <w:p w14:paraId="440F74FA" w14:textId="77777777" w:rsidR="00F0254C" w:rsidRPr="00EA1BB2" w:rsidRDefault="00F0254C" w:rsidP="00F0254C">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La elaborarea Planului de men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inere a calită</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 aerului din jude</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ul Brăila, au participat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reprezentan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 ai următoarelor institu</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w:t>
      </w:r>
    </w:p>
    <w:p w14:paraId="200774F6" w14:textId="77777777" w:rsidR="00F0254C" w:rsidRPr="00EA1BB2" w:rsidRDefault="00F0254C" w:rsidP="00993575">
      <w:pPr>
        <w:numPr>
          <w:ilvl w:val="0"/>
          <w:numId w:val="37"/>
        </w:numPr>
        <w:spacing w:after="160" w:line="360" w:lineRule="auto"/>
        <w:ind w:left="993" w:hanging="294"/>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DIREC</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IA SILVICĂ BRĂILA;</w:t>
      </w:r>
    </w:p>
    <w:p w14:paraId="591EC88C" w14:textId="77777777" w:rsidR="00F0254C" w:rsidRPr="00EA1BB2" w:rsidRDefault="00F0254C" w:rsidP="00993575">
      <w:pPr>
        <w:numPr>
          <w:ilvl w:val="0"/>
          <w:numId w:val="37"/>
        </w:numPr>
        <w:spacing w:after="160" w:line="360" w:lineRule="auto"/>
        <w:ind w:left="993" w:hanging="294"/>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AUTORITATEA NA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IONALĂ FITOSANITARĂ – OFICIUL FITOSANITAR BRĂILA;</w:t>
      </w:r>
    </w:p>
    <w:p w14:paraId="0D009222" w14:textId="77777777" w:rsidR="00F0254C" w:rsidRPr="00EA1BB2" w:rsidRDefault="00F0254C" w:rsidP="00993575">
      <w:pPr>
        <w:numPr>
          <w:ilvl w:val="0"/>
          <w:numId w:val="37"/>
        </w:numPr>
        <w:spacing w:after="160" w:line="360" w:lineRule="auto"/>
        <w:ind w:left="993" w:hanging="294"/>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DIREC</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IA DE SĂNĂTATE PUBLICĂ A JUDE</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ULUI BRĂILA;</w:t>
      </w:r>
    </w:p>
    <w:p w14:paraId="69F2CBB6" w14:textId="77777777" w:rsidR="00F0254C" w:rsidRPr="00EA1BB2" w:rsidRDefault="00F0254C" w:rsidP="00993575">
      <w:pPr>
        <w:numPr>
          <w:ilvl w:val="0"/>
          <w:numId w:val="37"/>
        </w:numPr>
        <w:spacing w:after="160" w:line="360" w:lineRule="auto"/>
        <w:ind w:left="993" w:hanging="294"/>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INSPECTORATUL DE POLI</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IE JUDE</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EAN BRĂILA;</w:t>
      </w:r>
    </w:p>
    <w:p w14:paraId="227DE926" w14:textId="77777777" w:rsidR="00F0254C" w:rsidRPr="00EA1BB2" w:rsidRDefault="00F0254C" w:rsidP="00993575">
      <w:pPr>
        <w:numPr>
          <w:ilvl w:val="0"/>
          <w:numId w:val="37"/>
        </w:numPr>
        <w:spacing w:after="160" w:line="360" w:lineRule="auto"/>
        <w:ind w:left="993" w:hanging="294"/>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DIREC</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IA REGIONALĂ DE STATISTICĂ BRĂILA;</w:t>
      </w:r>
    </w:p>
    <w:p w14:paraId="53661D16" w14:textId="50FEBEA9" w:rsidR="00F0254C" w:rsidRPr="00EA1BB2" w:rsidRDefault="00E65B47" w:rsidP="00993575">
      <w:pPr>
        <w:numPr>
          <w:ilvl w:val="0"/>
          <w:numId w:val="37"/>
        </w:numPr>
        <w:spacing w:after="160" w:line="360" w:lineRule="auto"/>
        <w:ind w:left="993" w:hanging="294"/>
        <w:contextualSpacing/>
        <w:jc w:val="both"/>
        <w:rPr>
          <w:rFonts w:ascii="Cambria" w:eastAsia="Times New Roman" w:hAnsi="Cambria" w:cs="Times New Roman"/>
          <w:sz w:val="24"/>
          <w:szCs w:val="24"/>
        </w:rPr>
      </w:pPr>
      <w:r>
        <w:rPr>
          <w:rFonts w:ascii="Cambria" w:eastAsia="Times New Roman" w:hAnsi="Cambria" w:cs="Times New Roman"/>
          <w:sz w:val="24"/>
          <w:szCs w:val="24"/>
        </w:rPr>
        <w:t>IS</w:t>
      </w:r>
      <w:r w:rsidR="00F0254C" w:rsidRPr="00EA1BB2">
        <w:rPr>
          <w:rFonts w:ascii="Cambria" w:eastAsia="Times New Roman" w:hAnsi="Cambria" w:cs="Times New Roman"/>
          <w:sz w:val="24"/>
          <w:szCs w:val="24"/>
        </w:rPr>
        <w:t>U DUNĂREA – JUDE</w:t>
      </w:r>
      <w:r w:rsidR="00054880" w:rsidRPr="00EA1BB2">
        <w:rPr>
          <w:rFonts w:ascii="Cambria" w:eastAsia="Times New Roman" w:hAnsi="Cambria" w:cs="Times New Roman"/>
          <w:sz w:val="24"/>
          <w:szCs w:val="24"/>
        </w:rPr>
        <w:t>Ț</w:t>
      </w:r>
      <w:r w:rsidR="00F0254C" w:rsidRPr="00EA1BB2">
        <w:rPr>
          <w:rFonts w:ascii="Cambria" w:eastAsia="Times New Roman" w:hAnsi="Cambria" w:cs="Times New Roman"/>
          <w:sz w:val="24"/>
          <w:szCs w:val="24"/>
        </w:rPr>
        <w:t>UL BRĂILA;</w:t>
      </w:r>
    </w:p>
    <w:p w14:paraId="0F76BD5F" w14:textId="523EB3F0" w:rsidR="00F0254C" w:rsidRPr="00EA1BB2" w:rsidRDefault="00E65B47" w:rsidP="00993575">
      <w:pPr>
        <w:numPr>
          <w:ilvl w:val="0"/>
          <w:numId w:val="37"/>
        </w:numPr>
        <w:spacing w:after="160" w:line="360" w:lineRule="auto"/>
        <w:ind w:left="993" w:hanging="294"/>
        <w:contextualSpacing/>
        <w:jc w:val="both"/>
        <w:rPr>
          <w:rFonts w:ascii="Cambria" w:eastAsia="Times New Roman" w:hAnsi="Cambria" w:cs="Times New Roman"/>
          <w:sz w:val="24"/>
          <w:szCs w:val="24"/>
        </w:rPr>
      </w:pPr>
      <w:r>
        <w:rPr>
          <w:rFonts w:ascii="Cambria" w:eastAsia="Times New Roman" w:hAnsi="Cambria" w:cs="Times New Roman"/>
          <w:sz w:val="24"/>
          <w:szCs w:val="24"/>
        </w:rPr>
        <w:t>AFDJ</w:t>
      </w:r>
      <w:r w:rsidR="00F0254C" w:rsidRPr="00EA1BB2">
        <w:rPr>
          <w:rFonts w:ascii="Cambria" w:eastAsia="Times New Roman" w:hAnsi="Cambria" w:cs="Times New Roman"/>
          <w:sz w:val="24"/>
          <w:szCs w:val="24"/>
        </w:rPr>
        <w:t>-R.A. GALA</w:t>
      </w:r>
      <w:r w:rsidR="00054880" w:rsidRPr="00EA1BB2">
        <w:rPr>
          <w:rFonts w:ascii="Cambria" w:eastAsia="Times New Roman" w:hAnsi="Cambria" w:cs="Times New Roman"/>
          <w:sz w:val="24"/>
          <w:szCs w:val="24"/>
        </w:rPr>
        <w:t>Ț</w:t>
      </w:r>
      <w:r w:rsidR="00F0254C" w:rsidRPr="00EA1BB2">
        <w:rPr>
          <w:rFonts w:ascii="Cambria" w:eastAsia="Times New Roman" w:hAnsi="Cambria" w:cs="Times New Roman"/>
          <w:sz w:val="24"/>
          <w:szCs w:val="24"/>
        </w:rPr>
        <w:t>I – A.C.N. BRĂILA;</w:t>
      </w:r>
    </w:p>
    <w:p w14:paraId="594B99F6" w14:textId="77777777" w:rsidR="00F0254C" w:rsidRPr="00EA1BB2" w:rsidRDefault="00F0254C" w:rsidP="00993575">
      <w:pPr>
        <w:numPr>
          <w:ilvl w:val="0"/>
          <w:numId w:val="37"/>
        </w:numPr>
        <w:spacing w:after="160" w:line="360" w:lineRule="auto"/>
        <w:ind w:left="993" w:hanging="294"/>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SEC</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IA DE DRUMURI NA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IONALE BRĂILA;</w:t>
      </w:r>
    </w:p>
    <w:p w14:paraId="445E51E7" w14:textId="37EDEE42" w:rsidR="00F0254C" w:rsidRPr="00EA1BB2" w:rsidRDefault="00E65B47" w:rsidP="00993575">
      <w:pPr>
        <w:numPr>
          <w:ilvl w:val="0"/>
          <w:numId w:val="37"/>
        </w:numPr>
        <w:spacing w:after="160" w:line="360" w:lineRule="auto"/>
        <w:ind w:left="993" w:hanging="294"/>
        <w:contextualSpacing/>
        <w:jc w:val="both"/>
        <w:rPr>
          <w:rFonts w:ascii="Cambria" w:eastAsia="Times New Roman" w:hAnsi="Cambria" w:cs="Times New Roman"/>
          <w:sz w:val="24"/>
          <w:szCs w:val="24"/>
        </w:rPr>
      </w:pPr>
      <w:r>
        <w:rPr>
          <w:rFonts w:ascii="Cambria" w:eastAsia="Times New Roman" w:hAnsi="Cambria" w:cs="Times New Roman"/>
          <w:sz w:val="24"/>
          <w:szCs w:val="24"/>
        </w:rPr>
        <w:t>SRTF</w:t>
      </w:r>
      <w:r w:rsidR="00F0254C" w:rsidRPr="00EA1BB2">
        <w:rPr>
          <w:rFonts w:ascii="Cambria" w:eastAsia="Times New Roman" w:hAnsi="Cambria" w:cs="Times New Roman"/>
          <w:sz w:val="24"/>
          <w:szCs w:val="24"/>
        </w:rPr>
        <w:t>C GALA</w:t>
      </w:r>
      <w:r w:rsidR="00054880" w:rsidRPr="00EA1BB2">
        <w:rPr>
          <w:rFonts w:ascii="Cambria" w:eastAsia="Times New Roman" w:hAnsi="Cambria" w:cs="Times New Roman"/>
          <w:sz w:val="24"/>
          <w:szCs w:val="24"/>
        </w:rPr>
        <w:t>Ț</w:t>
      </w:r>
      <w:r w:rsidR="00F0254C" w:rsidRPr="00EA1BB2">
        <w:rPr>
          <w:rFonts w:ascii="Cambria" w:eastAsia="Times New Roman" w:hAnsi="Cambria" w:cs="Times New Roman"/>
          <w:sz w:val="24"/>
          <w:szCs w:val="24"/>
        </w:rPr>
        <w:t>I;</w:t>
      </w:r>
    </w:p>
    <w:p w14:paraId="7178D518" w14:textId="77777777" w:rsidR="00F0254C" w:rsidRPr="00EA1BB2" w:rsidRDefault="00F0254C" w:rsidP="00993575">
      <w:pPr>
        <w:numPr>
          <w:ilvl w:val="0"/>
          <w:numId w:val="37"/>
        </w:numPr>
        <w:spacing w:after="160" w:line="360" w:lineRule="auto"/>
        <w:ind w:left="993" w:hanging="294"/>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REGIONALA C.F.R. GALA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w:t>
      </w:r>
    </w:p>
    <w:p w14:paraId="4393F32D" w14:textId="77777777" w:rsidR="00F0254C" w:rsidRPr="00EA1BB2" w:rsidRDefault="00F0254C" w:rsidP="00993575">
      <w:pPr>
        <w:numPr>
          <w:ilvl w:val="0"/>
          <w:numId w:val="37"/>
        </w:numPr>
        <w:spacing w:after="160" w:line="360" w:lineRule="auto"/>
        <w:ind w:left="993" w:hanging="294"/>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ADMINISTRA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IA P.N. BALTA MICĂ A BRĂILEI;</w:t>
      </w:r>
    </w:p>
    <w:p w14:paraId="1DE4F01F" w14:textId="77777777" w:rsidR="00F0254C" w:rsidRPr="00EA1BB2" w:rsidRDefault="00F0254C" w:rsidP="00993575">
      <w:pPr>
        <w:numPr>
          <w:ilvl w:val="0"/>
          <w:numId w:val="37"/>
        </w:numPr>
        <w:spacing w:after="160" w:line="360" w:lineRule="auto"/>
        <w:ind w:left="993" w:hanging="294"/>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PRIMĂRIA ORA</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ULUI ÎNSURĂ</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EI;</w:t>
      </w:r>
    </w:p>
    <w:p w14:paraId="72DCA8E1" w14:textId="77777777" w:rsidR="00F0254C" w:rsidRPr="00EA1BB2" w:rsidRDefault="00F0254C" w:rsidP="00993575">
      <w:pPr>
        <w:numPr>
          <w:ilvl w:val="0"/>
          <w:numId w:val="37"/>
        </w:numPr>
        <w:spacing w:after="160" w:line="360" w:lineRule="auto"/>
        <w:ind w:left="993" w:hanging="294"/>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PRIMĂRIA ORA</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ULUI FĂUREI;</w:t>
      </w:r>
    </w:p>
    <w:p w14:paraId="1647B4DB" w14:textId="77777777" w:rsidR="00F0254C" w:rsidRPr="00EA1BB2" w:rsidRDefault="00F0254C" w:rsidP="00993575">
      <w:pPr>
        <w:numPr>
          <w:ilvl w:val="0"/>
          <w:numId w:val="37"/>
        </w:numPr>
        <w:spacing w:after="160" w:line="360" w:lineRule="auto"/>
        <w:ind w:left="993" w:hanging="294"/>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PRIMĂRIA ORA</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ULUI IANCA.</w:t>
      </w:r>
    </w:p>
    <w:p w14:paraId="57F1E570" w14:textId="77777777" w:rsidR="00F0254C" w:rsidRPr="00EA1BB2" w:rsidRDefault="00F0254C" w:rsidP="00F0254C">
      <w:pPr>
        <w:spacing w:line="360" w:lineRule="auto"/>
        <w:ind w:firstLine="708"/>
        <w:jc w:val="both"/>
        <w:rPr>
          <w:rFonts w:ascii="Cambria" w:hAnsi="Cambria" w:cs="Arial"/>
          <w:sz w:val="24"/>
          <w:szCs w:val="24"/>
        </w:rPr>
      </w:pPr>
      <w:r w:rsidRPr="00EA1BB2">
        <w:rPr>
          <w:rFonts w:ascii="Cambria" w:hAnsi="Cambria" w:cs="Arial"/>
          <w:sz w:val="24"/>
          <w:szCs w:val="24"/>
        </w:rPr>
        <w:lastRenderedPageBreak/>
        <w:t>Planul de men</w:t>
      </w:r>
      <w:r w:rsidR="00054880" w:rsidRPr="00EA1BB2">
        <w:rPr>
          <w:rFonts w:ascii="Cambria" w:hAnsi="Cambria" w:cs="Arial"/>
          <w:sz w:val="24"/>
          <w:szCs w:val="24"/>
        </w:rPr>
        <w:t>ț</w:t>
      </w:r>
      <w:r w:rsidRPr="00EA1BB2">
        <w:rPr>
          <w:rFonts w:ascii="Cambria" w:hAnsi="Cambria" w:cs="Arial"/>
          <w:sz w:val="24"/>
          <w:szCs w:val="24"/>
        </w:rPr>
        <w:t>inere a calită</w:t>
      </w:r>
      <w:r w:rsidR="00054880" w:rsidRPr="00EA1BB2">
        <w:rPr>
          <w:rFonts w:ascii="Cambria" w:hAnsi="Cambria" w:cs="Arial"/>
          <w:sz w:val="24"/>
          <w:szCs w:val="24"/>
        </w:rPr>
        <w:t>ț</w:t>
      </w:r>
      <w:r w:rsidRPr="00EA1BB2">
        <w:rPr>
          <w:rFonts w:ascii="Cambria" w:hAnsi="Cambria" w:cs="Arial"/>
          <w:sz w:val="24"/>
          <w:szCs w:val="24"/>
        </w:rPr>
        <w:t>ii aerului elaborat se aprobă prin hotărâre a consiliului jude</w:t>
      </w:r>
      <w:r w:rsidR="00054880" w:rsidRPr="00EA1BB2">
        <w:rPr>
          <w:rFonts w:ascii="Cambria" w:hAnsi="Cambria" w:cs="Arial"/>
          <w:sz w:val="24"/>
          <w:szCs w:val="24"/>
        </w:rPr>
        <w:t>ț</w:t>
      </w:r>
      <w:r w:rsidRPr="00EA1BB2">
        <w:rPr>
          <w:rFonts w:ascii="Cambria" w:hAnsi="Cambria" w:cs="Arial"/>
          <w:sz w:val="24"/>
          <w:szCs w:val="24"/>
        </w:rPr>
        <w:t>ean.</w:t>
      </w:r>
    </w:p>
    <w:p w14:paraId="75FBD625" w14:textId="77777777" w:rsidR="00F0254C" w:rsidRPr="00EA1BB2" w:rsidRDefault="00F0254C" w:rsidP="00F0254C">
      <w:pPr>
        <w:spacing w:line="360" w:lineRule="auto"/>
        <w:ind w:firstLine="708"/>
        <w:jc w:val="both"/>
        <w:rPr>
          <w:rFonts w:ascii="Cambria" w:hAnsi="Cambria" w:cs="Arial"/>
          <w:sz w:val="24"/>
          <w:szCs w:val="24"/>
        </w:rPr>
      </w:pPr>
      <w:r w:rsidRPr="00EA1BB2">
        <w:rPr>
          <w:rFonts w:ascii="Cambria" w:hAnsi="Cambria" w:cs="Arial"/>
          <w:sz w:val="24"/>
          <w:szCs w:val="24"/>
        </w:rPr>
        <w:t>Institu</w:t>
      </w:r>
      <w:r w:rsidR="00054880" w:rsidRPr="00EA1BB2">
        <w:rPr>
          <w:rFonts w:ascii="Cambria" w:hAnsi="Cambria" w:cs="Arial"/>
          <w:sz w:val="24"/>
          <w:szCs w:val="24"/>
        </w:rPr>
        <w:t>ț</w:t>
      </w:r>
      <w:r w:rsidRPr="00EA1BB2">
        <w:rPr>
          <w:rFonts w:ascii="Cambria" w:hAnsi="Cambria" w:cs="Arial"/>
          <w:sz w:val="24"/>
          <w:szCs w:val="24"/>
        </w:rPr>
        <w:t>iile, autorită</w:t>
      </w:r>
      <w:r w:rsidR="00054880" w:rsidRPr="00EA1BB2">
        <w:rPr>
          <w:rFonts w:ascii="Cambria" w:hAnsi="Cambria" w:cs="Arial"/>
          <w:sz w:val="24"/>
          <w:szCs w:val="24"/>
        </w:rPr>
        <w:t>ț</w:t>
      </w:r>
      <w:r w:rsidRPr="00EA1BB2">
        <w:rPr>
          <w:rFonts w:ascii="Cambria" w:hAnsi="Cambria" w:cs="Arial"/>
          <w:sz w:val="24"/>
          <w:szCs w:val="24"/>
        </w:rPr>
        <w:t xml:space="preserve">ile, organismele </w:t>
      </w:r>
      <w:r w:rsidR="00054880" w:rsidRPr="00EA1BB2">
        <w:rPr>
          <w:rFonts w:ascii="Cambria" w:hAnsi="Cambria" w:cs="Arial"/>
          <w:sz w:val="24"/>
          <w:szCs w:val="24"/>
        </w:rPr>
        <w:t>ș</w:t>
      </w:r>
      <w:r w:rsidRPr="00EA1BB2">
        <w:rPr>
          <w:rFonts w:ascii="Cambria" w:hAnsi="Cambria" w:cs="Arial"/>
          <w:sz w:val="24"/>
          <w:szCs w:val="24"/>
        </w:rPr>
        <w:t>i operatorii economici care au fost identifica</w:t>
      </w:r>
      <w:r w:rsidR="00054880" w:rsidRPr="00EA1BB2">
        <w:rPr>
          <w:rFonts w:ascii="Cambria" w:hAnsi="Cambria" w:cs="Arial"/>
          <w:sz w:val="24"/>
          <w:szCs w:val="24"/>
        </w:rPr>
        <w:t>ț</w:t>
      </w:r>
      <w:r w:rsidRPr="00EA1BB2">
        <w:rPr>
          <w:rFonts w:ascii="Cambria" w:hAnsi="Cambria" w:cs="Arial"/>
          <w:sz w:val="24"/>
          <w:szCs w:val="24"/>
        </w:rPr>
        <w:t>i pentru realizarea măsurilor din planul de men</w:t>
      </w:r>
      <w:r w:rsidR="00054880" w:rsidRPr="00EA1BB2">
        <w:rPr>
          <w:rFonts w:ascii="Cambria" w:hAnsi="Cambria" w:cs="Arial"/>
          <w:sz w:val="24"/>
          <w:szCs w:val="24"/>
        </w:rPr>
        <w:t>ț</w:t>
      </w:r>
      <w:r w:rsidRPr="00EA1BB2">
        <w:rPr>
          <w:rFonts w:ascii="Cambria" w:hAnsi="Cambria" w:cs="Arial"/>
          <w:sz w:val="24"/>
          <w:szCs w:val="24"/>
        </w:rPr>
        <w:t>inere a calită</w:t>
      </w:r>
      <w:r w:rsidR="00054880" w:rsidRPr="00EA1BB2">
        <w:rPr>
          <w:rFonts w:ascii="Cambria" w:hAnsi="Cambria" w:cs="Arial"/>
          <w:sz w:val="24"/>
          <w:szCs w:val="24"/>
        </w:rPr>
        <w:t>ț</w:t>
      </w:r>
      <w:r w:rsidRPr="00EA1BB2">
        <w:rPr>
          <w:rFonts w:ascii="Cambria" w:hAnsi="Cambria" w:cs="Arial"/>
          <w:sz w:val="24"/>
          <w:szCs w:val="24"/>
        </w:rPr>
        <w:t xml:space="preserve">ii aerului sunt responsabili de punerea în aplicare </w:t>
      </w:r>
      <w:r w:rsidR="00054880" w:rsidRPr="00EA1BB2">
        <w:rPr>
          <w:rFonts w:ascii="Cambria" w:hAnsi="Cambria" w:cs="Arial"/>
          <w:sz w:val="24"/>
          <w:szCs w:val="24"/>
        </w:rPr>
        <w:t>ș</w:t>
      </w:r>
      <w:r w:rsidRPr="00EA1BB2">
        <w:rPr>
          <w:rFonts w:ascii="Cambria" w:hAnsi="Cambria" w:cs="Arial"/>
          <w:sz w:val="24"/>
          <w:szCs w:val="24"/>
        </w:rPr>
        <w:t>i implementarea acestora.</w:t>
      </w:r>
    </w:p>
    <w:p w14:paraId="59534F30" w14:textId="77777777" w:rsidR="00F0254C" w:rsidRPr="00EA1BB2" w:rsidRDefault="00F0254C" w:rsidP="00F0254C">
      <w:pPr>
        <w:spacing w:line="360" w:lineRule="auto"/>
        <w:ind w:firstLine="708"/>
        <w:jc w:val="both"/>
        <w:rPr>
          <w:rFonts w:ascii="Cambria" w:hAnsi="Cambria" w:cs="Arial"/>
          <w:sz w:val="24"/>
          <w:szCs w:val="24"/>
        </w:rPr>
      </w:pPr>
      <w:r w:rsidRPr="00EA1BB2">
        <w:rPr>
          <w:rFonts w:ascii="Cambria" w:hAnsi="Cambria" w:cs="Arial"/>
          <w:sz w:val="24"/>
          <w:szCs w:val="24"/>
        </w:rPr>
        <w:t>Pre</w:t>
      </w:r>
      <w:r w:rsidR="00054880" w:rsidRPr="00EA1BB2">
        <w:rPr>
          <w:rFonts w:ascii="Cambria" w:hAnsi="Cambria" w:cs="Arial"/>
          <w:sz w:val="24"/>
          <w:szCs w:val="24"/>
        </w:rPr>
        <w:t>ș</w:t>
      </w:r>
      <w:r w:rsidR="00EC18E7" w:rsidRPr="00EA1BB2">
        <w:rPr>
          <w:rFonts w:ascii="Cambria" w:hAnsi="Cambria" w:cs="Arial"/>
          <w:sz w:val="24"/>
          <w:szCs w:val="24"/>
        </w:rPr>
        <w:t>edintele consiliului</w:t>
      </w:r>
      <w:r w:rsidRPr="00EA1BB2">
        <w:rPr>
          <w:rFonts w:ascii="Cambria" w:hAnsi="Cambria" w:cs="Arial"/>
          <w:sz w:val="24"/>
          <w:szCs w:val="24"/>
        </w:rPr>
        <w:t xml:space="preserve"> jude</w:t>
      </w:r>
      <w:r w:rsidR="00054880" w:rsidRPr="00EA1BB2">
        <w:rPr>
          <w:rFonts w:ascii="Cambria" w:hAnsi="Cambria" w:cs="Arial"/>
          <w:sz w:val="24"/>
          <w:szCs w:val="24"/>
        </w:rPr>
        <w:t>ț</w:t>
      </w:r>
      <w:r w:rsidR="00EC18E7" w:rsidRPr="00EA1BB2">
        <w:rPr>
          <w:rFonts w:ascii="Cambria" w:hAnsi="Cambria" w:cs="Arial"/>
          <w:sz w:val="24"/>
          <w:szCs w:val="24"/>
        </w:rPr>
        <w:t>ean</w:t>
      </w:r>
      <w:r w:rsidRPr="00EA1BB2">
        <w:rPr>
          <w:rFonts w:ascii="Cambria" w:hAnsi="Cambria" w:cs="Arial"/>
          <w:sz w:val="24"/>
          <w:szCs w:val="24"/>
        </w:rPr>
        <w:t xml:space="preserve">, personal </w:t>
      </w:r>
      <w:r w:rsidR="00054880" w:rsidRPr="00EA1BB2">
        <w:rPr>
          <w:rFonts w:ascii="Cambria" w:hAnsi="Cambria" w:cs="Arial"/>
          <w:sz w:val="24"/>
          <w:szCs w:val="24"/>
        </w:rPr>
        <w:t>ș</w:t>
      </w:r>
      <w:r w:rsidRPr="00EA1BB2">
        <w:rPr>
          <w:rFonts w:ascii="Cambria" w:hAnsi="Cambria" w:cs="Arial"/>
          <w:sz w:val="24"/>
          <w:szCs w:val="24"/>
        </w:rPr>
        <w:t>i/sau prin compartimentele de specialitate din aparatul propriu, după caz, în colaborare cu autorită</w:t>
      </w:r>
      <w:r w:rsidR="00054880" w:rsidRPr="00EA1BB2">
        <w:rPr>
          <w:rFonts w:ascii="Cambria" w:hAnsi="Cambria" w:cs="Arial"/>
          <w:sz w:val="24"/>
          <w:szCs w:val="24"/>
        </w:rPr>
        <w:t>ț</w:t>
      </w:r>
      <w:r w:rsidRPr="00EA1BB2">
        <w:rPr>
          <w:rFonts w:ascii="Cambria" w:hAnsi="Cambria" w:cs="Arial"/>
          <w:sz w:val="24"/>
          <w:szCs w:val="24"/>
        </w:rPr>
        <w:t>ile publice teritoriale de inspec</w:t>
      </w:r>
      <w:r w:rsidR="00054880" w:rsidRPr="00EA1BB2">
        <w:rPr>
          <w:rFonts w:ascii="Cambria" w:hAnsi="Cambria" w:cs="Arial"/>
          <w:sz w:val="24"/>
          <w:szCs w:val="24"/>
        </w:rPr>
        <w:t>ț</w:t>
      </w:r>
      <w:r w:rsidRPr="00EA1BB2">
        <w:rPr>
          <w:rFonts w:ascii="Cambria" w:hAnsi="Cambria" w:cs="Arial"/>
          <w:sz w:val="24"/>
          <w:szCs w:val="24"/>
        </w:rPr>
        <w:t xml:space="preserve">ie </w:t>
      </w:r>
      <w:r w:rsidR="00054880" w:rsidRPr="00EA1BB2">
        <w:rPr>
          <w:rFonts w:ascii="Cambria" w:hAnsi="Cambria" w:cs="Arial"/>
          <w:sz w:val="24"/>
          <w:szCs w:val="24"/>
        </w:rPr>
        <w:t>ș</w:t>
      </w:r>
      <w:r w:rsidRPr="00EA1BB2">
        <w:rPr>
          <w:rFonts w:ascii="Cambria" w:hAnsi="Cambria" w:cs="Arial"/>
          <w:sz w:val="24"/>
          <w:szCs w:val="24"/>
        </w:rPr>
        <w:t>i control în domeniul protec</w:t>
      </w:r>
      <w:r w:rsidR="00054880" w:rsidRPr="00EA1BB2">
        <w:rPr>
          <w:rFonts w:ascii="Cambria" w:hAnsi="Cambria" w:cs="Arial"/>
          <w:sz w:val="24"/>
          <w:szCs w:val="24"/>
        </w:rPr>
        <w:t>ț</w:t>
      </w:r>
      <w:r w:rsidRPr="00EA1BB2">
        <w:rPr>
          <w:rFonts w:ascii="Cambria" w:hAnsi="Cambria" w:cs="Arial"/>
          <w:sz w:val="24"/>
          <w:szCs w:val="24"/>
        </w:rPr>
        <w:t xml:space="preserve">iei mediului </w:t>
      </w:r>
      <w:r w:rsidR="00054880" w:rsidRPr="00EA1BB2">
        <w:rPr>
          <w:rFonts w:ascii="Cambria" w:hAnsi="Cambria" w:cs="Arial"/>
          <w:sz w:val="24"/>
          <w:szCs w:val="24"/>
        </w:rPr>
        <w:t>ș</w:t>
      </w:r>
      <w:r w:rsidRPr="00EA1BB2">
        <w:rPr>
          <w:rFonts w:ascii="Cambria" w:hAnsi="Cambria" w:cs="Arial"/>
          <w:sz w:val="24"/>
          <w:szCs w:val="24"/>
        </w:rPr>
        <w:t>i cu autorită</w:t>
      </w:r>
      <w:r w:rsidR="00054880" w:rsidRPr="00EA1BB2">
        <w:rPr>
          <w:rFonts w:ascii="Cambria" w:hAnsi="Cambria" w:cs="Arial"/>
          <w:sz w:val="24"/>
          <w:szCs w:val="24"/>
        </w:rPr>
        <w:t>ț</w:t>
      </w:r>
      <w:r w:rsidRPr="00EA1BB2">
        <w:rPr>
          <w:rFonts w:ascii="Cambria" w:hAnsi="Cambria" w:cs="Arial"/>
          <w:sz w:val="24"/>
          <w:szCs w:val="24"/>
        </w:rPr>
        <w:t>ile publice teritoriale pentru protec</w:t>
      </w:r>
      <w:r w:rsidR="00054880" w:rsidRPr="00EA1BB2">
        <w:rPr>
          <w:rFonts w:ascii="Cambria" w:hAnsi="Cambria" w:cs="Arial"/>
          <w:sz w:val="24"/>
          <w:szCs w:val="24"/>
        </w:rPr>
        <w:t>ț</w:t>
      </w:r>
      <w:r w:rsidRPr="00EA1BB2">
        <w:rPr>
          <w:rFonts w:ascii="Cambria" w:hAnsi="Cambria" w:cs="Arial"/>
          <w:sz w:val="24"/>
          <w:szCs w:val="24"/>
        </w:rPr>
        <w:t xml:space="preserve">ia mediului, monitorizează </w:t>
      </w:r>
      <w:r w:rsidR="00054880" w:rsidRPr="00EA1BB2">
        <w:rPr>
          <w:rFonts w:ascii="Cambria" w:hAnsi="Cambria" w:cs="Arial"/>
          <w:sz w:val="24"/>
          <w:szCs w:val="24"/>
        </w:rPr>
        <w:t>ș</w:t>
      </w:r>
      <w:r w:rsidRPr="00EA1BB2">
        <w:rPr>
          <w:rFonts w:ascii="Cambria" w:hAnsi="Cambria" w:cs="Arial"/>
          <w:sz w:val="24"/>
          <w:szCs w:val="24"/>
        </w:rPr>
        <w:t>i controlează stadiul realizării măsurilor/ac</w:t>
      </w:r>
      <w:r w:rsidR="00054880" w:rsidRPr="00EA1BB2">
        <w:rPr>
          <w:rFonts w:ascii="Cambria" w:hAnsi="Cambria" w:cs="Arial"/>
          <w:sz w:val="24"/>
          <w:szCs w:val="24"/>
        </w:rPr>
        <w:t>ț</w:t>
      </w:r>
      <w:r w:rsidRPr="00EA1BB2">
        <w:rPr>
          <w:rFonts w:ascii="Cambria" w:hAnsi="Cambria" w:cs="Arial"/>
          <w:sz w:val="24"/>
          <w:szCs w:val="24"/>
        </w:rPr>
        <w:t>iunilor din planul de men</w:t>
      </w:r>
      <w:r w:rsidR="00054880" w:rsidRPr="00EA1BB2">
        <w:rPr>
          <w:rFonts w:ascii="Cambria" w:hAnsi="Cambria" w:cs="Arial"/>
          <w:sz w:val="24"/>
          <w:szCs w:val="24"/>
        </w:rPr>
        <w:t>ț</w:t>
      </w:r>
      <w:r w:rsidRPr="00EA1BB2">
        <w:rPr>
          <w:rFonts w:ascii="Cambria" w:hAnsi="Cambria" w:cs="Arial"/>
          <w:sz w:val="24"/>
          <w:szCs w:val="24"/>
        </w:rPr>
        <w:t>inere a calită</w:t>
      </w:r>
      <w:r w:rsidR="00054880" w:rsidRPr="00EA1BB2">
        <w:rPr>
          <w:rFonts w:ascii="Cambria" w:hAnsi="Cambria" w:cs="Arial"/>
          <w:sz w:val="24"/>
          <w:szCs w:val="24"/>
        </w:rPr>
        <w:t>ț</w:t>
      </w:r>
      <w:r w:rsidRPr="00EA1BB2">
        <w:rPr>
          <w:rFonts w:ascii="Cambria" w:hAnsi="Cambria" w:cs="Arial"/>
          <w:sz w:val="24"/>
          <w:szCs w:val="24"/>
        </w:rPr>
        <w:t>ii aerului.</w:t>
      </w:r>
    </w:p>
    <w:p w14:paraId="6C11C71E" w14:textId="72CA21FE" w:rsidR="00F0254C" w:rsidRPr="00EA1BB2" w:rsidRDefault="00F0254C" w:rsidP="00F0254C">
      <w:pPr>
        <w:spacing w:line="360" w:lineRule="auto"/>
        <w:ind w:firstLine="708"/>
        <w:jc w:val="both"/>
        <w:rPr>
          <w:rFonts w:ascii="Cambria" w:hAnsi="Cambria" w:cs="Arial"/>
          <w:sz w:val="24"/>
          <w:szCs w:val="24"/>
        </w:rPr>
      </w:pPr>
      <w:r w:rsidRPr="00EA1BB2">
        <w:rPr>
          <w:rFonts w:ascii="Cambria" w:hAnsi="Cambria" w:cs="Arial"/>
          <w:sz w:val="24"/>
          <w:szCs w:val="24"/>
        </w:rPr>
        <w:t>Comisia tehnică urmăre</w:t>
      </w:r>
      <w:r w:rsidR="00054880" w:rsidRPr="00EA1BB2">
        <w:rPr>
          <w:rFonts w:ascii="Cambria" w:hAnsi="Cambria" w:cs="Arial"/>
          <w:sz w:val="24"/>
          <w:szCs w:val="24"/>
        </w:rPr>
        <w:t>ș</w:t>
      </w:r>
      <w:r w:rsidRPr="00EA1BB2">
        <w:rPr>
          <w:rFonts w:ascii="Cambria" w:hAnsi="Cambria" w:cs="Arial"/>
          <w:sz w:val="24"/>
          <w:szCs w:val="24"/>
        </w:rPr>
        <w:t>te realizarea măsurilor din planul de men</w:t>
      </w:r>
      <w:r w:rsidR="00054880" w:rsidRPr="00EA1BB2">
        <w:rPr>
          <w:rFonts w:ascii="Cambria" w:hAnsi="Cambria" w:cs="Arial"/>
          <w:sz w:val="24"/>
          <w:szCs w:val="24"/>
        </w:rPr>
        <w:t>ț</w:t>
      </w:r>
      <w:r w:rsidRPr="00EA1BB2">
        <w:rPr>
          <w:rFonts w:ascii="Cambria" w:hAnsi="Cambria" w:cs="Arial"/>
          <w:sz w:val="24"/>
          <w:szCs w:val="24"/>
        </w:rPr>
        <w:t>inere a calită</w:t>
      </w:r>
      <w:r w:rsidR="00054880" w:rsidRPr="00EA1BB2">
        <w:rPr>
          <w:rFonts w:ascii="Cambria" w:hAnsi="Cambria" w:cs="Arial"/>
          <w:sz w:val="24"/>
          <w:szCs w:val="24"/>
        </w:rPr>
        <w:t>ț</w:t>
      </w:r>
      <w:r w:rsidRPr="00EA1BB2">
        <w:rPr>
          <w:rFonts w:ascii="Cambria" w:hAnsi="Cambria" w:cs="Arial"/>
          <w:sz w:val="24"/>
          <w:szCs w:val="24"/>
        </w:rPr>
        <w:t xml:space="preserve">ii aerului </w:t>
      </w:r>
      <w:r w:rsidR="00054880" w:rsidRPr="00EA1BB2">
        <w:rPr>
          <w:rFonts w:ascii="Cambria" w:hAnsi="Cambria" w:cs="Arial"/>
          <w:sz w:val="24"/>
          <w:szCs w:val="24"/>
        </w:rPr>
        <w:t>ș</w:t>
      </w:r>
      <w:r w:rsidRPr="00EA1BB2">
        <w:rPr>
          <w:rFonts w:ascii="Cambria" w:hAnsi="Cambria" w:cs="Arial"/>
          <w:sz w:val="24"/>
          <w:szCs w:val="24"/>
        </w:rPr>
        <w:t>i întocme</w:t>
      </w:r>
      <w:r w:rsidR="00054880" w:rsidRPr="00EA1BB2">
        <w:rPr>
          <w:rFonts w:ascii="Cambria" w:hAnsi="Cambria" w:cs="Arial"/>
          <w:sz w:val="24"/>
          <w:szCs w:val="24"/>
        </w:rPr>
        <w:t>ș</w:t>
      </w:r>
      <w:r w:rsidRPr="00EA1BB2">
        <w:rPr>
          <w:rFonts w:ascii="Cambria" w:hAnsi="Cambria" w:cs="Arial"/>
          <w:sz w:val="24"/>
          <w:szCs w:val="24"/>
        </w:rPr>
        <w:t>te anual un raport cu privire la stadiul realizării măsurilor pe care îl supune spre aprobare consiliului jude</w:t>
      </w:r>
      <w:r w:rsidR="00054880" w:rsidRPr="00EA1BB2">
        <w:rPr>
          <w:rFonts w:ascii="Cambria" w:hAnsi="Cambria" w:cs="Arial"/>
          <w:sz w:val="24"/>
          <w:szCs w:val="24"/>
        </w:rPr>
        <w:t>ț</w:t>
      </w:r>
      <w:r w:rsidRPr="00EA1BB2">
        <w:rPr>
          <w:rFonts w:ascii="Cambria" w:hAnsi="Cambria" w:cs="Arial"/>
          <w:sz w:val="24"/>
          <w:szCs w:val="24"/>
        </w:rPr>
        <w:t>ean.</w:t>
      </w:r>
    </w:p>
    <w:p w14:paraId="0110AC35" w14:textId="77777777" w:rsidR="00F0254C" w:rsidRPr="00EA1BB2" w:rsidRDefault="00F0254C" w:rsidP="00F0254C">
      <w:pPr>
        <w:spacing w:line="360" w:lineRule="auto"/>
        <w:ind w:firstLine="708"/>
        <w:jc w:val="both"/>
        <w:rPr>
          <w:rFonts w:ascii="Cambria" w:hAnsi="Cambria"/>
          <w:sz w:val="24"/>
        </w:rPr>
      </w:pPr>
      <w:r w:rsidRPr="00EA1BB2">
        <w:rPr>
          <w:rFonts w:ascii="Cambria" w:hAnsi="Cambria" w:cs="Arial"/>
          <w:sz w:val="24"/>
          <w:szCs w:val="24"/>
        </w:rPr>
        <w:t xml:space="preserve">Raportul </w:t>
      </w:r>
      <w:r w:rsidR="00060604" w:rsidRPr="00EA1BB2">
        <w:rPr>
          <w:rFonts w:ascii="Cambria" w:hAnsi="Cambria" w:cs="Arial"/>
          <w:sz w:val="24"/>
          <w:szCs w:val="24"/>
        </w:rPr>
        <w:t xml:space="preserve">anual </w:t>
      </w:r>
      <w:r w:rsidRPr="00EA1BB2">
        <w:rPr>
          <w:rFonts w:ascii="Cambria" w:hAnsi="Cambria" w:cs="Arial"/>
          <w:sz w:val="24"/>
          <w:szCs w:val="24"/>
        </w:rPr>
        <w:t>aprobat privind stadiul realizării măsurilor din planul de men</w:t>
      </w:r>
      <w:r w:rsidR="00054880" w:rsidRPr="00EA1BB2">
        <w:rPr>
          <w:rFonts w:ascii="Cambria" w:hAnsi="Cambria" w:cs="Arial"/>
          <w:sz w:val="24"/>
          <w:szCs w:val="24"/>
        </w:rPr>
        <w:t>ț</w:t>
      </w:r>
      <w:r w:rsidRPr="00EA1BB2">
        <w:rPr>
          <w:rFonts w:ascii="Cambria" w:hAnsi="Cambria" w:cs="Arial"/>
          <w:sz w:val="24"/>
          <w:szCs w:val="24"/>
        </w:rPr>
        <w:t>inere a calită</w:t>
      </w:r>
      <w:r w:rsidR="00054880" w:rsidRPr="00EA1BB2">
        <w:rPr>
          <w:rFonts w:ascii="Cambria" w:hAnsi="Cambria" w:cs="Arial"/>
          <w:sz w:val="24"/>
          <w:szCs w:val="24"/>
        </w:rPr>
        <w:t>ț</w:t>
      </w:r>
      <w:r w:rsidRPr="00EA1BB2">
        <w:rPr>
          <w:rFonts w:ascii="Cambria" w:hAnsi="Cambria" w:cs="Arial"/>
          <w:sz w:val="24"/>
          <w:szCs w:val="24"/>
        </w:rPr>
        <w:t>ii aerului se pune la dispozi</w:t>
      </w:r>
      <w:r w:rsidR="00054880" w:rsidRPr="00EA1BB2">
        <w:rPr>
          <w:rFonts w:ascii="Cambria" w:hAnsi="Cambria" w:cs="Arial"/>
          <w:sz w:val="24"/>
          <w:szCs w:val="24"/>
        </w:rPr>
        <w:t>ț</w:t>
      </w:r>
      <w:r w:rsidRPr="00EA1BB2">
        <w:rPr>
          <w:rFonts w:ascii="Cambria" w:hAnsi="Cambria" w:cs="Arial"/>
          <w:sz w:val="24"/>
          <w:szCs w:val="24"/>
        </w:rPr>
        <w:t xml:space="preserve">ia publicului prin postarea pe pagina proprie de internet </w:t>
      </w:r>
      <w:r w:rsidR="006E44DE" w:rsidRPr="00EA1BB2">
        <w:rPr>
          <w:rFonts w:ascii="Cambria" w:hAnsi="Cambria" w:cs="Arial"/>
          <w:sz w:val="24"/>
          <w:szCs w:val="24"/>
        </w:rPr>
        <w:t xml:space="preserve">a Consiliului Județean Brăila </w:t>
      </w:r>
      <w:r w:rsidR="00054880" w:rsidRPr="00EA1BB2">
        <w:rPr>
          <w:rFonts w:ascii="Cambria" w:hAnsi="Cambria" w:cs="Arial"/>
          <w:sz w:val="24"/>
          <w:szCs w:val="24"/>
        </w:rPr>
        <w:t>ș</w:t>
      </w:r>
      <w:r w:rsidRPr="00EA1BB2">
        <w:rPr>
          <w:rFonts w:ascii="Cambria" w:hAnsi="Cambria" w:cs="Arial"/>
          <w:sz w:val="24"/>
          <w:szCs w:val="24"/>
        </w:rPr>
        <w:t>i se transmite autorită</w:t>
      </w:r>
      <w:r w:rsidR="00054880" w:rsidRPr="00EA1BB2">
        <w:rPr>
          <w:rFonts w:ascii="Cambria" w:hAnsi="Cambria" w:cs="Arial"/>
          <w:sz w:val="24"/>
          <w:szCs w:val="24"/>
        </w:rPr>
        <w:t>ț</w:t>
      </w:r>
      <w:r w:rsidRPr="00EA1BB2">
        <w:rPr>
          <w:rFonts w:ascii="Cambria" w:hAnsi="Cambria" w:cs="Arial"/>
          <w:sz w:val="24"/>
          <w:szCs w:val="24"/>
        </w:rPr>
        <w:t>ii publice teritoriale pentru protec</w:t>
      </w:r>
      <w:r w:rsidR="00054880" w:rsidRPr="00EA1BB2">
        <w:rPr>
          <w:rFonts w:ascii="Cambria" w:hAnsi="Cambria" w:cs="Arial"/>
          <w:sz w:val="24"/>
          <w:szCs w:val="24"/>
        </w:rPr>
        <w:t>ț</w:t>
      </w:r>
      <w:r w:rsidRPr="00EA1BB2">
        <w:rPr>
          <w:rFonts w:ascii="Cambria" w:hAnsi="Cambria" w:cs="Arial"/>
          <w:sz w:val="24"/>
          <w:szCs w:val="24"/>
        </w:rPr>
        <w:t>ia mediului până la data de 15 februarie a anului</w:t>
      </w:r>
      <w:r w:rsidR="00060604" w:rsidRPr="00EA1BB2">
        <w:rPr>
          <w:rFonts w:ascii="Cambria" w:hAnsi="Cambria" w:cs="Arial"/>
          <w:sz w:val="24"/>
          <w:szCs w:val="24"/>
        </w:rPr>
        <w:t xml:space="preserve"> următor</w:t>
      </w:r>
      <w:r w:rsidRPr="00EA1BB2">
        <w:rPr>
          <w:rFonts w:ascii="Cambria" w:hAnsi="Cambria" w:cs="Arial"/>
          <w:sz w:val="24"/>
          <w:szCs w:val="24"/>
        </w:rPr>
        <w:t>.</w:t>
      </w:r>
      <w:r w:rsidRPr="00EA1BB2">
        <w:rPr>
          <w:rFonts w:ascii="Cambria" w:hAnsi="Cambria"/>
          <w:sz w:val="24"/>
        </w:rPr>
        <w:br w:type="page"/>
      </w:r>
    </w:p>
    <w:p w14:paraId="77AB2CB7" w14:textId="77777777" w:rsidR="00EE3655" w:rsidRPr="00EA1BB2" w:rsidRDefault="00F0254C" w:rsidP="00376DA9">
      <w:pPr>
        <w:pStyle w:val="Heading1"/>
        <w:numPr>
          <w:ilvl w:val="0"/>
          <w:numId w:val="1"/>
        </w:numPr>
        <w:ind w:hanging="11"/>
        <w:rPr>
          <w:rFonts w:ascii="Cambria" w:hAnsi="Cambria" w:cs="Times New Roman"/>
          <w:color w:val="0070C0"/>
          <w:sz w:val="28"/>
          <w:szCs w:val="24"/>
        </w:rPr>
      </w:pPr>
      <w:bookmarkStart w:id="7" w:name="_Toc526889693"/>
      <w:r w:rsidRPr="00EA1BB2">
        <w:rPr>
          <w:rFonts w:ascii="Cambria" w:hAnsi="Cambria" w:cs="Times New Roman"/>
          <w:color w:val="0070C0"/>
          <w:sz w:val="28"/>
          <w:szCs w:val="24"/>
        </w:rPr>
        <w:lastRenderedPageBreak/>
        <w:t>LOCALIZAREA ZONEI</w:t>
      </w:r>
      <w:bookmarkEnd w:id="7"/>
    </w:p>
    <w:p w14:paraId="7CDF62E9" w14:textId="77777777" w:rsidR="00F61EEF" w:rsidRPr="00EA1BB2" w:rsidRDefault="00F61EEF" w:rsidP="00F61EEF">
      <w:pPr>
        <w:pStyle w:val="Heading2"/>
        <w:numPr>
          <w:ilvl w:val="1"/>
          <w:numId w:val="1"/>
        </w:numPr>
        <w:spacing w:before="0"/>
        <w:ind w:left="0" w:firstLine="709"/>
        <w:jc w:val="both"/>
        <w:rPr>
          <w:rFonts w:ascii="Cambria" w:hAnsi="Cambria" w:cs="Times New Roman"/>
          <w:color w:val="0070C0"/>
          <w:szCs w:val="24"/>
        </w:rPr>
      </w:pPr>
      <w:bookmarkStart w:id="8" w:name="_Toc512346928"/>
      <w:bookmarkStart w:id="9" w:name="_Toc526889694"/>
      <w:r w:rsidRPr="00EA1BB2">
        <w:rPr>
          <w:rFonts w:ascii="Cambria" w:hAnsi="Cambria" w:cs="Times New Roman"/>
          <w:color w:val="0070C0"/>
          <w:szCs w:val="24"/>
        </w:rPr>
        <w:t xml:space="preserve">Încadrarea zonei în regimul de gestionare II, conform Ordinului Nr. </w:t>
      </w:r>
      <w:r w:rsidR="009B78D7" w:rsidRPr="00EA1BB2">
        <w:rPr>
          <w:rFonts w:ascii="Cambria" w:hAnsi="Cambria" w:cs="Times New Roman"/>
          <w:color w:val="0070C0"/>
          <w:szCs w:val="24"/>
        </w:rPr>
        <w:t>598/2018</w:t>
      </w:r>
      <w:r w:rsidRPr="00EA1BB2">
        <w:rPr>
          <w:rFonts w:ascii="Cambria" w:hAnsi="Cambria" w:cs="Times New Roman"/>
          <w:color w:val="0070C0"/>
          <w:szCs w:val="24"/>
        </w:rPr>
        <w:t xml:space="preserve"> pentru aprobarea listelor cu unitățile administrativ-teritoriale întocmite în urma încadrării în regimuri de gestionare a ariilor din zonele și aglomerările prevăzute în anexa nr. 2 la Legea nr. 104/2011 privind calitatea aerului înconjurător</w:t>
      </w:r>
      <w:bookmarkEnd w:id="8"/>
      <w:bookmarkEnd w:id="9"/>
    </w:p>
    <w:p w14:paraId="20E288BF" w14:textId="77777777" w:rsidR="00F61EEF" w:rsidRPr="00EA1BB2" w:rsidRDefault="006A0BFB" w:rsidP="00F61EEF">
      <w:pPr>
        <w:spacing w:line="360" w:lineRule="auto"/>
        <w:ind w:firstLine="720"/>
        <w:jc w:val="both"/>
        <w:rPr>
          <w:rFonts w:ascii="Cambria" w:eastAsia="Times New Roman" w:hAnsi="Cambria" w:cs="Times New Roman"/>
          <w:sz w:val="24"/>
          <w:szCs w:val="24"/>
        </w:rPr>
      </w:pPr>
      <w:r w:rsidRPr="00EA1BB2">
        <w:rPr>
          <w:rFonts w:ascii="Cambria" w:eastAsia="Times New Roman" w:hAnsi="Cambria" w:cs="Times New Roman"/>
          <w:sz w:val="24"/>
          <w:szCs w:val="24"/>
        </w:rPr>
        <w:t>Zona</w:t>
      </w:r>
      <w:r w:rsidR="00F61EEF" w:rsidRPr="00EA1BB2">
        <w:rPr>
          <w:rFonts w:ascii="Cambria" w:eastAsia="Times New Roman" w:hAnsi="Cambria" w:cs="Times New Roman"/>
          <w:sz w:val="24"/>
          <w:szCs w:val="24"/>
        </w:rPr>
        <w:t xml:space="preserve"> Brăila se încadrează în regimul de gestionare II conform </w:t>
      </w:r>
      <w:r w:rsidR="00990F5C" w:rsidRPr="00EA1BB2">
        <w:rPr>
          <w:rFonts w:ascii="Cambria" w:eastAsia="Times New Roman" w:hAnsi="Cambria" w:cs="Times New Roman"/>
          <w:sz w:val="24"/>
          <w:szCs w:val="24"/>
        </w:rPr>
        <w:t xml:space="preserve">anexei 2 la Ordinul MM 598/2018 </w:t>
      </w:r>
      <w:r w:rsidR="00F61EEF" w:rsidRPr="00EA1BB2">
        <w:rPr>
          <w:rFonts w:ascii="Cambria" w:eastAsia="Times New Roman" w:hAnsi="Cambria" w:cs="Times New Roman"/>
          <w:sz w:val="24"/>
          <w:szCs w:val="24"/>
        </w:rPr>
        <w:t>– Lista cu unitățile administrativ-teritoriale întocmită în urma încadrării în regimul de gestionare II.</w:t>
      </w:r>
    </w:p>
    <w:p w14:paraId="2DA4C3DB" w14:textId="77777777" w:rsidR="00F61EEF" w:rsidRPr="00EA1BB2" w:rsidRDefault="00F61EEF" w:rsidP="00F61EEF">
      <w:pPr>
        <w:spacing w:line="360" w:lineRule="auto"/>
        <w:ind w:firstLine="720"/>
        <w:jc w:val="both"/>
        <w:rPr>
          <w:rFonts w:ascii="Cambria" w:eastAsia="Times New Roman" w:hAnsi="Cambria" w:cs="Times New Roman"/>
          <w:sz w:val="24"/>
          <w:szCs w:val="24"/>
        </w:rPr>
      </w:pPr>
    </w:p>
    <w:p w14:paraId="24FA7271" w14:textId="049BCA5C" w:rsidR="00F61EEF" w:rsidRPr="00EA1BB2" w:rsidRDefault="00F61EEF" w:rsidP="00F61EEF">
      <w:pPr>
        <w:keepNext/>
        <w:spacing w:line="360" w:lineRule="auto"/>
        <w:ind w:firstLine="720"/>
        <w:jc w:val="center"/>
        <w:rPr>
          <w:rFonts w:ascii="Cambria" w:eastAsia="Calibri" w:hAnsi="Cambria" w:cs="Times New Roman"/>
          <w:b/>
          <w:iCs/>
          <w:sz w:val="24"/>
          <w:szCs w:val="18"/>
        </w:rPr>
      </w:pPr>
      <w:bookmarkStart w:id="10" w:name="_Toc463365386"/>
      <w:bookmarkStart w:id="11" w:name="_Toc463955797"/>
      <w:bookmarkStart w:id="12" w:name="_Toc526889758"/>
      <w:r w:rsidRPr="00EA1BB2">
        <w:rPr>
          <w:rFonts w:ascii="Cambria" w:eastAsia="Calibri" w:hAnsi="Cambria" w:cs="Times New Roman"/>
          <w:b/>
          <w:iCs/>
          <w:sz w:val="24"/>
          <w:szCs w:val="18"/>
        </w:rPr>
        <w:t xml:space="preserve">Tabelul nr. </w:t>
      </w:r>
      <w:r w:rsidR="000A2FE7" w:rsidRPr="00EA1BB2">
        <w:rPr>
          <w:rFonts w:ascii="Cambria" w:eastAsia="Calibri" w:hAnsi="Cambria" w:cs="Times New Roman"/>
          <w:b/>
          <w:iCs/>
          <w:sz w:val="24"/>
          <w:szCs w:val="18"/>
        </w:rPr>
        <w:fldChar w:fldCharType="begin"/>
      </w:r>
      <w:r w:rsidR="000A2FE7" w:rsidRPr="00EA1BB2">
        <w:rPr>
          <w:rFonts w:ascii="Cambria" w:eastAsia="Calibri" w:hAnsi="Cambria" w:cs="Times New Roman"/>
          <w:b/>
          <w:iCs/>
          <w:sz w:val="24"/>
          <w:szCs w:val="18"/>
        </w:rPr>
        <w:instrText xml:space="preserve"> STYLEREF 1 \s </w:instrText>
      </w:r>
      <w:r w:rsidR="000A2FE7" w:rsidRPr="00EA1BB2">
        <w:rPr>
          <w:rFonts w:ascii="Cambria" w:eastAsia="Calibri" w:hAnsi="Cambria" w:cs="Times New Roman"/>
          <w:b/>
          <w:iCs/>
          <w:sz w:val="24"/>
          <w:szCs w:val="18"/>
        </w:rPr>
        <w:fldChar w:fldCharType="separate"/>
      </w:r>
      <w:r w:rsidR="00567555">
        <w:rPr>
          <w:rFonts w:ascii="Cambria" w:eastAsia="Calibri" w:hAnsi="Cambria" w:cs="Times New Roman"/>
          <w:b/>
          <w:iCs/>
          <w:noProof/>
          <w:sz w:val="24"/>
          <w:szCs w:val="18"/>
        </w:rPr>
        <w:t>2</w:t>
      </w:r>
      <w:r w:rsidR="000A2FE7" w:rsidRPr="00EA1BB2">
        <w:rPr>
          <w:rFonts w:ascii="Cambria" w:eastAsia="Calibri" w:hAnsi="Cambria" w:cs="Times New Roman"/>
          <w:b/>
          <w:iCs/>
          <w:sz w:val="24"/>
          <w:szCs w:val="18"/>
        </w:rPr>
        <w:fldChar w:fldCharType="end"/>
      </w:r>
      <w:r w:rsidR="000A2FE7" w:rsidRPr="00EA1BB2">
        <w:rPr>
          <w:rFonts w:ascii="Cambria" w:eastAsia="Calibri" w:hAnsi="Cambria" w:cs="Times New Roman"/>
          <w:b/>
          <w:iCs/>
          <w:sz w:val="24"/>
          <w:szCs w:val="18"/>
        </w:rPr>
        <w:noBreakHyphen/>
      </w:r>
      <w:r w:rsidR="000A2FE7" w:rsidRPr="00EA1BB2">
        <w:rPr>
          <w:rFonts w:ascii="Cambria" w:eastAsia="Calibri" w:hAnsi="Cambria" w:cs="Times New Roman"/>
          <w:b/>
          <w:iCs/>
          <w:sz w:val="24"/>
          <w:szCs w:val="18"/>
        </w:rPr>
        <w:fldChar w:fldCharType="begin"/>
      </w:r>
      <w:r w:rsidR="000A2FE7" w:rsidRPr="00EA1BB2">
        <w:rPr>
          <w:rFonts w:ascii="Cambria" w:eastAsia="Calibri" w:hAnsi="Cambria" w:cs="Times New Roman"/>
          <w:b/>
          <w:iCs/>
          <w:sz w:val="24"/>
          <w:szCs w:val="18"/>
        </w:rPr>
        <w:instrText xml:space="preserve"> SEQ Tabelul_nr. \* ARABIC \s 1 </w:instrText>
      </w:r>
      <w:r w:rsidR="000A2FE7" w:rsidRPr="00EA1BB2">
        <w:rPr>
          <w:rFonts w:ascii="Cambria" w:eastAsia="Calibri" w:hAnsi="Cambria" w:cs="Times New Roman"/>
          <w:b/>
          <w:iCs/>
          <w:sz w:val="24"/>
          <w:szCs w:val="18"/>
        </w:rPr>
        <w:fldChar w:fldCharType="separate"/>
      </w:r>
      <w:r w:rsidR="00567555">
        <w:rPr>
          <w:rFonts w:ascii="Cambria" w:eastAsia="Calibri" w:hAnsi="Cambria" w:cs="Times New Roman"/>
          <w:b/>
          <w:iCs/>
          <w:noProof/>
          <w:sz w:val="24"/>
          <w:szCs w:val="18"/>
        </w:rPr>
        <w:t>1</w:t>
      </w:r>
      <w:r w:rsidR="000A2FE7" w:rsidRPr="00EA1BB2">
        <w:rPr>
          <w:rFonts w:ascii="Cambria" w:eastAsia="Calibri" w:hAnsi="Cambria" w:cs="Times New Roman"/>
          <w:b/>
          <w:iCs/>
          <w:sz w:val="24"/>
          <w:szCs w:val="18"/>
        </w:rPr>
        <w:fldChar w:fldCharType="end"/>
      </w:r>
      <w:r w:rsidRPr="00EA1BB2">
        <w:rPr>
          <w:rFonts w:ascii="Cambria" w:eastAsia="Calibri" w:hAnsi="Cambria" w:cs="Times New Roman"/>
          <w:b/>
          <w:iCs/>
          <w:sz w:val="24"/>
          <w:szCs w:val="18"/>
        </w:rPr>
        <w:t xml:space="preserve"> - Încadrarea în regimul de gestionare II a județului Brăila</w:t>
      </w:r>
      <w:bookmarkEnd w:id="10"/>
      <w:bookmarkEnd w:id="11"/>
      <w:bookmarkEnd w:id="12"/>
    </w:p>
    <w:tbl>
      <w:tblPr>
        <w:tblStyle w:val="TableGrid17"/>
        <w:tblW w:w="9987" w:type="dxa"/>
        <w:jc w:val="center"/>
        <w:tblLook w:val="04A0" w:firstRow="1" w:lastRow="0" w:firstColumn="1" w:lastColumn="0" w:noHBand="0" w:noVBand="1"/>
      </w:tblPr>
      <w:tblGrid>
        <w:gridCol w:w="1529"/>
        <w:gridCol w:w="1302"/>
        <w:gridCol w:w="1127"/>
        <w:gridCol w:w="896"/>
        <w:gridCol w:w="796"/>
        <w:gridCol w:w="822"/>
        <w:gridCol w:w="1022"/>
        <w:gridCol w:w="817"/>
        <w:gridCol w:w="758"/>
        <w:gridCol w:w="918"/>
      </w:tblGrid>
      <w:tr w:rsidR="00F61EEF" w:rsidRPr="00EA1BB2" w14:paraId="4884BC67" w14:textId="77777777" w:rsidTr="00DC196B">
        <w:trPr>
          <w:jc w:val="center"/>
        </w:trPr>
        <w:tc>
          <w:tcPr>
            <w:tcW w:w="1529" w:type="dxa"/>
            <w:vMerge w:val="restart"/>
            <w:shd w:val="clear" w:color="auto" w:fill="BDD6EE" w:themeFill="accent1" w:themeFillTint="66"/>
            <w:vAlign w:val="center"/>
          </w:tcPr>
          <w:p w14:paraId="37051046" w14:textId="77777777" w:rsidR="00F61EEF" w:rsidRPr="00EA1BB2" w:rsidRDefault="00F61EEF" w:rsidP="00DC196B">
            <w:pPr>
              <w:spacing w:line="360" w:lineRule="auto"/>
              <w:jc w:val="center"/>
              <w:rPr>
                <w:rFonts w:ascii="Cambria" w:hAnsi="Cambria"/>
                <w:b/>
                <w:sz w:val="20"/>
                <w:szCs w:val="24"/>
                <w:lang w:val="ro-RO"/>
              </w:rPr>
            </w:pPr>
            <w:r w:rsidRPr="00EA1BB2">
              <w:rPr>
                <w:rFonts w:ascii="Cambria" w:hAnsi="Cambria"/>
                <w:b/>
                <w:szCs w:val="24"/>
                <w:lang w:val="ro-RO"/>
              </w:rPr>
              <w:t>Zona</w:t>
            </w:r>
          </w:p>
        </w:tc>
        <w:tc>
          <w:tcPr>
            <w:tcW w:w="8458" w:type="dxa"/>
            <w:gridSpan w:val="9"/>
            <w:shd w:val="clear" w:color="auto" w:fill="BDD6EE" w:themeFill="accent1" w:themeFillTint="66"/>
            <w:vAlign w:val="center"/>
          </w:tcPr>
          <w:p w14:paraId="584E223F" w14:textId="77777777" w:rsidR="00F61EEF" w:rsidRPr="00EA1BB2" w:rsidRDefault="00F61EEF" w:rsidP="00DC196B">
            <w:pPr>
              <w:spacing w:line="360" w:lineRule="auto"/>
              <w:jc w:val="center"/>
              <w:rPr>
                <w:rFonts w:ascii="Cambria" w:hAnsi="Cambria"/>
                <w:b/>
                <w:sz w:val="20"/>
                <w:szCs w:val="24"/>
                <w:lang w:val="ro-RO"/>
              </w:rPr>
            </w:pPr>
            <w:r w:rsidRPr="00EA1BB2">
              <w:rPr>
                <w:rFonts w:ascii="Cambria" w:hAnsi="Cambria"/>
                <w:b/>
                <w:szCs w:val="24"/>
                <w:lang w:val="ro-RO"/>
              </w:rPr>
              <w:t>Poluanți</w:t>
            </w:r>
          </w:p>
        </w:tc>
      </w:tr>
      <w:tr w:rsidR="00F61EEF" w:rsidRPr="00EA1BB2" w14:paraId="1D1C0350" w14:textId="77777777" w:rsidTr="00DC196B">
        <w:trPr>
          <w:jc w:val="center"/>
        </w:trPr>
        <w:tc>
          <w:tcPr>
            <w:tcW w:w="1529" w:type="dxa"/>
            <w:vMerge/>
            <w:shd w:val="clear" w:color="auto" w:fill="BDD6EE" w:themeFill="accent1" w:themeFillTint="66"/>
            <w:vAlign w:val="center"/>
          </w:tcPr>
          <w:p w14:paraId="273C9C61" w14:textId="77777777" w:rsidR="00F61EEF" w:rsidRPr="00EA1BB2" w:rsidRDefault="00F61EEF" w:rsidP="00DC196B">
            <w:pPr>
              <w:spacing w:line="360" w:lineRule="auto"/>
              <w:jc w:val="center"/>
              <w:rPr>
                <w:rFonts w:ascii="Cambria" w:hAnsi="Cambria"/>
                <w:b/>
                <w:sz w:val="20"/>
                <w:szCs w:val="24"/>
                <w:lang w:val="ro-RO"/>
              </w:rPr>
            </w:pPr>
          </w:p>
        </w:tc>
        <w:tc>
          <w:tcPr>
            <w:tcW w:w="1302" w:type="dxa"/>
            <w:shd w:val="clear" w:color="auto" w:fill="BDD6EE" w:themeFill="accent1" w:themeFillTint="66"/>
            <w:vAlign w:val="center"/>
          </w:tcPr>
          <w:p w14:paraId="5B47EA5C" w14:textId="77777777" w:rsidR="00F61EEF" w:rsidRPr="00EA1BB2" w:rsidRDefault="00F61EEF" w:rsidP="00DC196B">
            <w:pPr>
              <w:jc w:val="center"/>
              <w:rPr>
                <w:rFonts w:ascii="Cambria" w:hAnsi="Cambria"/>
                <w:b/>
                <w:sz w:val="20"/>
                <w:szCs w:val="24"/>
                <w:lang w:val="ro-RO"/>
              </w:rPr>
            </w:pPr>
            <w:r w:rsidRPr="00EA1BB2">
              <w:rPr>
                <w:rFonts w:ascii="Cambria" w:hAnsi="Cambria"/>
                <w:b/>
                <w:sz w:val="20"/>
                <w:szCs w:val="24"/>
                <w:lang w:val="ro-RO"/>
              </w:rPr>
              <w:t>Dioxid de azot și oxizi de azot (NO</w:t>
            </w:r>
            <w:r w:rsidRPr="00EA1BB2">
              <w:rPr>
                <w:rFonts w:ascii="Cambria" w:hAnsi="Cambria"/>
                <w:b/>
                <w:sz w:val="20"/>
                <w:szCs w:val="24"/>
                <w:vertAlign w:val="subscript"/>
                <w:lang w:val="ro-RO"/>
              </w:rPr>
              <w:t>2</w:t>
            </w:r>
            <w:r w:rsidRPr="00EA1BB2">
              <w:rPr>
                <w:rFonts w:ascii="Cambria" w:hAnsi="Cambria"/>
                <w:b/>
                <w:sz w:val="20"/>
                <w:szCs w:val="24"/>
                <w:lang w:val="ro-RO"/>
              </w:rPr>
              <w:t>/NO</w:t>
            </w:r>
            <w:r w:rsidRPr="00EA1BB2">
              <w:rPr>
                <w:rFonts w:ascii="Cambria" w:hAnsi="Cambria"/>
                <w:b/>
                <w:sz w:val="20"/>
                <w:szCs w:val="24"/>
                <w:vertAlign w:val="subscript"/>
                <w:lang w:val="ro-RO"/>
              </w:rPr>
              <w:t>x</w:t>
            </w:r>
            <w:r w:rsidRPr="00EA1BB2">
              <w:rPr>
                <w:rFonts w:ascii="Cambria" w:hAnsi="Cambria"/>
                <w:b/>
                <w:sz w:val="20"/>
                <w:szCs w:val="24"/>
                <w:lang w:val="ro-RO"/>
              </w:rPr>
              <w:t>)</w:t>
            </w:r>
          </w:p>
        </w:tc>
        <w:tc>
          <w:tcPr>
            <w:tcW w:w="1127" w:type="dxa"/>
            <w:shd w:val="clear" w:color="auto" w:fill="BDD6EE" w:themeFill="accent1" w:themeFillTint="66"/>
            <w:vAlign w:val="center"/>
          </w:tcPr>
          <w:p w14:paraId="70F6C34E" w14:textId="77777777" w:rsidR="00F61EEF" w:rsidRPr="00EA1BB2" w:rsidRDefault="00F61EEF" w:rsidP="00DC196B">
            <w:pPr>
              <w:jc w:val="center"/>
              <w:rPr>
                <w:rFonts w:ascii="Cambria" w:hAnsi="Cambria"/>
                <w:b/>
                <w:sz w:val="20"/>
                <w:szCs w:val="24"/>
                <w:lang w:val="ro-RO"/>
              </w:rPr>
            </w:pPr>
            <w:r w:rsidRPr="00EA1BB2">
              <w:rPr>
                <w:rFonts w:ascii="Cambria" w:hAnsi="Cambria"/>
                <w:b/>
                <w:sz w:val="20"/>
                <w:szCs w:val="24"/>
                <w:lang w:val="ro-RO"/>
              </w:rPr>
              <w:t>Pulberi în suspensie</w:t>
            </w:r>
          </w:p>
          <w:p w14:paraId="45AF7927" w14:textId="77777777" w:rsidR="00F61EEF" w:rsidRPr="00EA1BB2" w:rsidRDefault="00F61EEF" w:rsidP="00DC196B">
            <w:pPr>
              <w:jc w:val="center"/>
              <w:rPr>
                <w:rFonts w:ascii="Cambria" w:hAnsi="Cambria"/>
                <w:b/>
                <w:sz w:val="20"/>
                <w:szCs w:val="24"/>
                <w:lang w:val="ro-RO"/>
              </w:rPr>
            </w:pPr>
            <w:r w:rsidRPr="00EA1BB2">
              <w:rPr>
                <w:rFonts w:ascii="Cambria" w:hAnsi="Cambria"/>
                <w:b/>
                <w:sz w:val="20"/>
                <w:szCs w:val="24"/>
                <w:lang w:val="ro-RO"/>
              </w:rPr>
              <w:t>(PM</w:t>
            </w:r>
            <w:r w:rsidRPr="00EA1BB2">
              <w:rPr>
                <w:rFonts w:ascii="Cambria" w:hAnsi="Cambria"/>
                <w:b/>
                <w:sz w:val="20"/>
                <w:szCs w:val="24"/>
                <w:vertAlign w:val="subscript"/>
                <w:lang w:val="ro-RO"/>
              </w:rPr>
              <w:t>10</w:t>
            </w:r>
            <w:r w:rsidRPr="00EA1BB2">
              <w:rPr>
                <w:rFonts w:ascii="Cambria" w:hAnsi="Cambria"/>
                <w:b/>
                <w:sz w:val="20"/>
                <w:szCs w:val="24"/>
                <w:lang w:val="ro-RO"/>
              </w:rPr>
              <w:t>; PM</w:t>
            </w:r>
            <w:r w:rsidRPr="00EA1BB2">
              <w:rPr>
                <w:rFonts w:ascii="Cambria" w:hAnsi="Cambria"/>
                <w:b/>
                <w:sz w:val="20"/>
                <w:szCs w:val="24"/>
                <w:vertAlign w:val="subscript"/>
                <w:lang w:val="ro-RO"/>
              </w:rPr>
              <w:t>2,5</w:t>
            </w:r>
            <w:r w:rsidRPr="00EA1BB2">
              <w:rPr>
                <w:rFonts w:ascii="Cambria" w:hAnsi="Cambria"/>
                <w:b/>
                <w:sz w:val="20"/>
                <w:szCs w:val="24"/>
                <w:lang w:val="ro-RO"/>
              </w:rPr>
              <w:t>)</w:t>
            </w:r>
          </w:p>
        </w:tc>
        <w:tc>
          <w:tcPr>
            <w:tcW w:w="896" w:type="dxa"/>
            <w:shd w:val="clear" w:color="auto" w:fill="BDD6EE" w:themeFill="accent1" w:themeFillTint="66"/>
            <w:vAlign w:val="center"/>
          </w:tcPr>
          <w:p w14:paraId="77C7A3B5" w14:textId="77777777" w:rsidR="00F61EEF" w:rsidRPr="00EA1BB2" w:rsidRDefault="00F61EEF" w:rsidP="00DC196B">
            <w:pPr>
              <w:jc w:val="center"/>
              <w:rPr>
                <w:rFonts w:ascii="Cambria" w:hAnsi="Cambria"/>
                <w:b/>
                <w:sz w:val="20"/>
                <w:szCs w:val="24"/>
                <w:lang w:val="ro-RO"/>
              </w:rPr>
            </w:pPr>
            <w:r w:rsidRPr="00EA1BB2">
              <w:rPr>
                <w:rFonts w:ascii="Cambria" w:hAnsi="Cambria"/>
                <w:b/>
                <w:sz w:val="20"/>
                <w:szCs w:val="24"/>
                <w:lang w:val="ro-RO"/>
              </w:rPr>
              <w:t>Benzen (C</w:t>
            </w:r>
            <w:r w:rsidRPr="00EA1BB2">
              <w:rPr>
                <w:rFonts w:ascii="Cambria" w:hAnsi="Cambria"/>
                <w:b/>
                <w:sz w:val="20"/>
                <w:szCs w:val="24"/>
                <w:vertAlign w:val="subscript"/>
                <w:lang w:val="ro-RO"/>
              </w:rPr>
              <w:t>6</w:t>
            </w:r>
            <w:r w:rsidRPr="00EA1BB2">
              <w:rPr>
                <w:rFonts w:ascii="Cambria" w:hAnsi="Cambria"/>
                <w:b/>
                <w:sz w:val="20"/>
                <w:szCs w:val="24"/>
                <w:lang w:val="ro-RO"/>
              </w:rPr>
              <w:t>H</w:t>
            </w:r>
            <w:r w:rsidRPr="00EA1BB2">
              <w:rPr>
                <w:rFonts w:ascii="Cambria" w:hAnsi="Cambria"/>
                <w:b/>
                <w:sz w:val="20"/>
                <w:szCs w:val="24"/>
                <w:vertAlign w:val="subscript"/>
                <w:lang w:val="ro-RO"/>
              </w:rPr>
              <w:t>6</w:t>
            </w:r>
            <w:r w:rsidRPr="00EA1BB2">
              <w:rPr>
                <w:rFonts w:ascii="Cambria" w:hAnsi="Cambria"/>
                <w:b/>
                <w:sz w:val="20"/>
                <w:szCs w:val="24"/>
                <w:lang w:val="ro-RO"/>
              </w:rPr>
              <w:t>)</w:t>
            </w:r>
          </w:p>
        </w:tc>
        <w:tc>
          <w:tcPr>
            <w:tcW w:w="796" w:type="dxa"/>
            <w:shd w:val="clear" w:color="auto" w:fill="BDD6EE" w:themeFill="accent1" w:themeFillTint="66"/>
            <w:vAlign w:val="center"/>
          </w:tcPr>
          <w:p w14:paraId="40E04F17" w14:textId="77777777" w:rsidR="00F61EEF" w:rsidRPr="00EA1BB2" w:rsidRDefault="00F61EEF" w:rsidP="00DC196B">
            <w:pPr>
              <w:jc w:val="center"/>
              <w:rPr>
                <w:rFonts w:ascii="Cambria" w:hAnsi="Cambria"/>
                <w:b/>
                <w:sz w:val="20"/>
                <w:szCs w:val="24"/>
                <w:lang w:val="ro-RO"/>
              </w:rPr>
            </w:pPr>
            <w:r w:rsidRPr="00EA1BB2">
              <w:rPr>
                <w:rFonts w:ascii="Cambria" w:hAnsi="Cambria"/>
                <w:b/>
                <w:sz w:val="20"/>
                <w:szCs w:val="24"/>
                <w:lang w:val="ro-RO"/>
              </w:rPr>
              <w:t>Nichel</w:t>
            </w:r>
          </w:p>
          <w:p w14:paraId="7846F467" w14:textId="77777777" w:rsidR="00F61EEF" w:rsidRPr="00EA1BB2" w:rsidRDefault="00F61EEF" w:rsidP="00DC196B">
            <w:pPr>
              <w:jc w:val="center"/>
              <w:rPr>
                <w:rFonts w:ascii="Cambria" w:hAnsi="Cambria"/>
                <w:b/>
                <w:sz w:val="20"/>
                <w:szCs w:val="24"/>
                <w:lang w:val="ro-RO"/>
              </w:rPr>
            </w:pPr>
            <w:r w:rsidRPr="00EA1BB2">
              <w:rPr>
                <w:rFonts w:ascii="Cambria" w:hAnsi="Cambria"/>
                <w:b/>
                <w:sz w:val="20"/>
                <w:szCs w:val="24"/>
                <w:lang w:val="ro-RO"/>
              </w:rPr>
              <w:t>(Ni)</w:t>
            </w:r>
          </w:p>
        </w:tc>
        <w:tc>
          <w:tcPr>
            <w:tcW w:w="822" w:type="dxa"/>
            <w:shd w:val="clear" w:color="auto" w:fill="BDD6EE" w:themeFill="accent1" w:themeFillTint="66"/>
            <w:vAlign w:val="center"/>
          </w:tcPr>
          <w:p w14:paraId="551B0575" w14:textId="77777777" w:rsidR="00F61EEF" w:rsidRPr="00EA1BB2" w:rsidRDefault="00F61EEF" w:rsidP="00DC196B">
            <w:pPr>
              <w:jc w:val="center"/>
              <w:rPr>
                <w:rFonts w:ascii="Cambria" w:hAnsi="Cambria"/>
                <w:b/>
                <w:sz w:val="20"/>
                <w:szCs w:val="24"/>
                <w:lang w:val="ro-RO"/>
              </w:rPr>
            </w:pPr>
            <w:r w:rsidRPr="00EA1BB2">
              <w:rPr>
                <w:rFonts w:ascii="Cambria" w:hAnsi="Cambria"/>
                <w:b/>
                <w:sz w:val="20"/>
                <w:szCs w:val="24"/>
                <w:lang w:val="ro-RO"/>
              </w:rPr>
              <w:t>Dioxid de sulf</w:t>
            </w:r>
          </w:p>
          <w:p w14:paraId="08AD4508" w14:textId="77777777" w:rsidR="00F61EEF" w:rsidRPr="00EA1BB2" w:rsidRDefault="00F61EEF" w:rsidP="00DC196B">
            <w:pPr>
              <w:jc w:val="center"/>
              <w:rPr>
                <w:rFonts w:ascii="Cambria" w:hAnsi="Cambria"/>
                <w:b/>
                <w:sz w:val="20"/>
                <w:szCs w:val="24"/>
                <w:lang w:val="ro-RO"/>
              </w:rPr>
            </w:pPr>
            <w:r w:rsidRPr="00EA1BB2">
              <w:rPr>
                <w:rFonts w:ascii="Cambria" w:hAnsi="Cambria"/>
                <w:b/>
                <w:sz w:val="20"/>
                <w:szCs w:val="24"/>
                <w:lang w:val="ro-RO"/>
              </w:rPr>
              <w:t>(SO</w:t>
            </w:r>
            <w:r w:rsidRPr="00EA1BB2">
              <w:rPr>
                <w:rFonts w:ascii="Cambria" w:hAnsi="Cambria"/>
                <w:b/>
                <w:sz w:val="20"/>
                <w:szCs w:val="24"/>
                <w:vertAlign w:val="subscript"/>
                <w:lang w:val="ro-RO"/>
              </w:rPr>
              <w:t>2</w:t>
            </w:r>
            <w:r w:rsidRPr="00EA1BB2">
              <w:rPr>
                <w:rFonts w:ascii="Cambria" w:hAnsi="Cambria"/>
                <w:b/>
                <w:sz w:val="20"/>
                <w:szCs w:val="24"/>
                <w:lang w:val="ro-RO"/>
              </w:rPr>
              <w:t>)</w:t>
            </w:r>
          </w:p>
        </w:tc>
        <w:tc>
          <w:tcPr>
            <w:tcW w:w="1022" w:type="dxa"/>
            <w:shd w:val="clear" w:color="auto" w:fill="BDD6EE" w:themeFill="accent1" w:themeFillTint="66"/>
            <w:vAlign w:val="center"/>
          </w:tcPr>
          <w:p w14:paraId="7A3DEA1E" w14:textId="77777777" w:rsidR="00F61EEF" w:rsidRPr="00EA1BB2" w:rsidRDefault="00F61EEF" w:rsidP="00DC196B">
            <w:pPr>
              <w:jc w:val="center"/>
              <w:rPr>
                <w:rFonts w:ascii="Cambria" w:hAnsi="Cambria"/>
                <w:b/>
                <w:sz w:val="20"/>
                <w:szCs w:val="24"/>
                <w:lang w:val="ro-RO"/>
              </w:rPr>
            </w:pPr>
            <w:r w:rsidRPr="00EA1BB2">
              <w:rPr>
                <w:rFonts w:ascii="Cambria" w:hAnsi="Cambria"/>
                <w:b/>
                <w:sz w:val="20"/>
                <w:szCs w:val="24"/>
                <w:lang w:val="ro-RO"/>
              </w:rPr>
              <w:t>Monoxid de carbon</w:t>
            </w:r>
          </w:p>
          <w:p w14:paraId="344B732A" w14:textId="77777777" w:rsidR="00F61EEF" w:rsidRPr="00EA1BB2" w:rsidRDefault="00F61EEF" w:rsidP="00DC196B">
            <w:pPr>
              <w:jc w:val="center"/>
              <w:rPr>
                <w:rFonts w:ascii="Cambria" w:hAnsi="Cambria"/>
                <w:b/>
                <w:sz w:val="20"/>
                <w:szCs w:val="24"/>
                <w:lang w:val="ro-RO"/>
              </w:rPr>
            </w:pPr>
            <w:r w:rsidRPr="00EA1BB2">
              <w:rPr>
                <w:rFonts w:ascii="Cambria" w:hAnsi="Cambria"/>
                <w:b/>
                <w:sz w:val="20"/>
                <w:szCs w:val="24"/>
                <w:lang w:val="ro-RO"/>
              </w:rPr>
              <w:t>(CO)</w:t>
            </w:r>
          </w:p>
        </w:tc>
        <w:tc>
          <w:tcPr>
            <w:tcW w:w="817" w:type="dxa"/>
            <w:shd w:val="clear" w:color="auto" w:fill="BDD6EE" w:themeFill="accent1" w:themeFillTint="66"/>
            <w:vAlign w:val="center"/>
          </w:tcPr>
          <w:p w14:paraId="4D8DEC3F" w14:textId="77777777" w:rsidR="00F61EEF" w:rsidRPr="00EA1BB2" w:rsidRDefault="00F61EEF" w:rsidP="00DC196B">
            <w:pPr>
              <w:jc w:val="center"/>
              <w:rPr>
                <w:rFonts w:ascii="Cambria" w:hAnsi="Cambria"/>
                <w:b/>
                <w:sz w:val="20"/>
                <w:szCs w:val="24"/>
                <w:lang w:val="ro-RO"/>
              </w:rPr>
            </w:pPr>
            <w:r w:rsidRPr="00EA1BB2">
              <w:rPr>
                <w:rFonts w:ascii="Cambria" w:hAnsi="Cambria"/>
                <w:b/>
                <w:sz w:val="20"/>
                <w:szCs w:val="24"/>
                <w:lang w:val="ro-RO"/>
              </w:rPr>
              <w:t>Plumb</w:t>
            </w:r>
          </w:p>
          <w:p w14:paraId="58AD0C7E" w14:textId="77777777" w:rsidR="00F61EEF" w:rsidRPr="00EA1BB2" w:rsidRDefault="00F61EEF" w:rsidP="00DC196B">
            <w:pPr>
              <w:jc w:val="center"/>
              <w:rPr>
                <w:rFonts w:ascii="Cambria" w:hAnsi="Cambria"/>
                <w:b/>
                <w:sz w:val="20"/>
                <w:szCs w:val="24"/>
                <w:lang w:val="ro-RO"/>
              </w:rPr>
            </w:pPr>
            <w:r w:rsidRPr="00EA1BB2">
              <w:rPr>
                <w:rFonts w:ascii="Cambria" w:hAnsi="Cambria"/>
                <w:b/>
                <w:sz w:val="20"/>
                <w:szCs w:val="24"/>
                <w:lang w:val="ro-RO"/>
              </w:rPr>
              <w:t>(Pb)</w:t>
            </w:r>
          </w:p>
        </w:tc>
        <w:tc>
          <w:tcPr>
            <w:tcW w:w="758" w:type="dxa"/>
            <w:shd w:val="clear" w:color="auto" w:fill="BDD6EE" w:themeFill="accent1" w:themeFillTint="66"/>
            <w:vAlign w:val="center"/>
          </w:tcPr>
          <w:p w14:paraId="01C5354A" w14:textId="77777777" w:rsidR="00F61EEF" w:rsidRPr="00EA1BB2" w:rsidRDefault="00F61EEF" w:rsidP="00DC196B">
            <w:pPr>
              <w:jc w:val="center"/>
              <w:rPr>
                <w:rFonts w:ascii="Cambria" w:hAnsi="Cambria"/>
                <w:b/>
                <w:sz w:val="20"/>
                <w:szCs w:val="24"/>
                <w:lang w:val="ro-RO"/>
              </w:rPr>
            </w:pPr>
            <w:r w:rsidRPr="00EA1BB2">
              <w:rPr>
                <w:rFonts w:ascii="Cambria" w:hAnsi="Cambria"/>
                <w:b/>
                <w:sz w:val="20"/>
                <w:szCs w:val="24"/>
                <w:lang w:val="ro-RO"/>
              </w:rPr>
              <w:t>Arsen</w:t>
            </w:r>
          </w:p>
          <w:p w14:paraId="059A007F" w14:textId="77777777" w:rsidR="00F61EEF" w:rsidRPr="00EA1BB2" w:rsidRDefault="00F61EEF" w:rsidP="00DC196B">
            <w:pPr>
              <w:jc w:val="center"/>
              <w:rPr>
                <w:rFonts w:ascii="Cambria" w:hAnsi="Cambria"/>
                <w:b/>
                <w:sz w:val="20"/>
                <w:szCs w:val="24"/>
                <w:lang w:val="ro-RO"/>
              </w:rPr>
            </w:pPr>
            <w:r w:rsidRPr="00EA1BB2">
              <w:rPr>
                <w:rFonts w:ascii="Cambria" w:hAnsi="Cambria"/>
                <w:b/>
                <w:sz w:val="20"/>
                <w:szCs w:val="24"/>
                <w:lang w:val="ro-RO"/>
              </w:rPr>
              <w:t>(As)</w:t>
            </w:r>
          </w:p>
        </w:tc>
        <w:tc>
          <w:tcPr>
            <w:tcW w:w="918" w:type="dxa"/>
            <w:shd w:val="clear" w:color="auto" w:fill="BDD6EE" w:themeFill="accent1" w:themeFillTint="66"/>
            <w:vAlign w:val="center"/>
          </w:tcPr>
          <w:p w14:paraId="0011CCDA" w14:textId="77777777" w:rsidR="00F61EEF" w:rsidRPr="00EA1BB2" w:rsidRDefault="00F61EEF" w:rsidP="00DC196B">
            <w:pPr>
              <w:jc w:val="center"/>
              <w:rPr>
                <w:rFonts w:ascii="Cambria" w:hAnsi="Cambria"/>
                <w:b/>
                <w:sz w:val="20"/>
                <w:szCs w:val="24"/>
                <w:lang w:val="ro-RO"/>
              </w:rPr>
            </w:pPr>
            <w:r w:rsidRPr="00EA1BB2">
              <w:rPr>
                <w:rFonts w:ascii="Cambria" w:hAnsi="Cambria"/>
                <w:b/>
                <w:sz w:val="20"/>
                <w:szCs w:val="24"/>
                <w:lang w:val="ro-RO"/>
              </w:rPr>
              <w:t>Cadmiu</w:t>
            </w:r>
          </w:p>
          <w:p w14:paraId="45EC80F5" w14:textId="77777777" w:rsidR="00F61EEF" w:rsidRPr="00EA1BB2" w:rsidRDefault="00F61EEF" w:rsidP="00DC196B">
            <w:pPr>
              <w:jc w:val="center"/>
              <w:rPr>
                <w:rFonts w:ascii="Cambria" w:hAnsi="Cambria"/>
                <w:b/>
                <w:sz w:val="20"/>
                <w:szCs w:val="24"/>
                <w:lang w:val="ro-RO"/>
              </w:rPr>
            </w:pPr>
            <w:r w:rsidRPr="00EA1BB2">
              <w:rPr>
                <w:rFonts w:ascii="Cambria" w:hAnsi="Cambria"/>
                <w:b/>
                <w:sz w:val="20"/>
                <w:szCs w:val="24"/>
                <w:lang w:val="ro-RO"/>
              </w:rPr>
              <w:t>(Cd)</w:t>
            </w:r>
          </w:p>
        </w:tc>
      </w:tr>
      <w:tr w:rsidR="00F61EEF" w:rsidRPr="00EA1BB2" w14:paraId="05496183" w14:textId="77777777" w:rsidTr="00DC196B">
        <w:trPr>
          <w:jc w:val="center"/>
        </w:trPr>
        <w:tc>
          <w:tcPr>
            <w:tcW w:w="1529" w:type="dxa"/>
            <w:vAlign w:val="center"/>
          </w:tcPr>
          <w:p w14:paraId="56B7D925" w14:textId="77777777" w:rsidR="00F61EEF" w:rsidRPr="00EA1BB2" w:rsidRDefault="00F61EEF" w:rsidP="00DC196B">
            <w:pPr>
              <w:spacing w:line="276" w:lineRule="auto"/>
              <w:jc w:val="center"/>
              <w:rPr>
                <w:rFonts w:ascii="Cambria" w:hAnsi="Cambria"/>
                <w:sz w:val="20"/>
                <w:szCs w:val="24"/>
                <w:lang w:val="ro-RO"/>
              </w:rPr>
            </w:pPr>
            <w:r w:rsidRPr="00EA1BB2">
              <w:rPr>
                <w:rFonts w:ascii="Cambria" w:hAnsi="Cambria"/>
                <w:sz w:val="20"/>
                <w:szCs w:val="24"/>
                <w:lang w:val="ro-RO"/>
              </w:rPr>
              <w:t>Delimitarea administrativă a județului Brăila</w:t>
            </w:r>
          </w:p>
        </w:tc>
        <w:tc>
          <w:tcPr>
            <w:tcW w:w="1302" w:type="dxa"/>
            <w:shd w:val="clear" w:color="auto" w:fill="auto"/>
            <w:vAlign w:val="center"/>
          </w:tcPr>
          <w:p w14:paraId="66124C69" w14:textId="77777777" w:rsidR="00F61EEF" w:rsidRPr="00EA1BB2" w:rsidRDefault="00F61EEF" w:rsidP="00DC196B">
            <w:pPr>
              <w:spacing w:line="276" w:lineRule="auto"/>
              <w:jc w:val="center"/>
              <w:rPr>
                <w:rFonts w:ascii="Cambria" w:hAnsi="Cambria"/>
                <w:sz w:val="20"/>
                <w:szCs w:val="24"/>
                <w:lang w:val="ro-RO"/>
              </w:rPr>
            </w:pPr>
            <w:r w:rsidRPr="00EA1BB2">
              <w:rPr>
                <w:rFonts w:ascii="Cambria" w:hAnsi="Cambria"/>
                <w:sz w:val="20"/>
                <w:szCs w:val="24"/>
                <w:lang w:val="ro-RO"/>
              </w:rPr>
              <w:t>X</w:t>
            </w:r>
          </w:p>
          <w:p w14:paraId="670A4E87" w14:textId="77777777" w:rsidR="00F61EEF" w:rsidRPr="00EA1BB2" w:rsidRDefault="00F61EEF" w:rsidP="00DC196B">
            <w:pPr>
              <w:spacing w:line="276" w:lineRule="auto"/>
              <w:jc w:val="center"/>
              <w:rPr>
                <w:rFonts w:ascii="Cambria" w:hAnsi="Cambria"/>
                <w:sz w:val="20"/>
                <w:szCs w:val="24"/>
                <w:lang w:val="ro-RO"/>
              </w:rPr>
            </w:pPr>
            <w:r w:rsidRPr="00EA1BB2">
              <w:rPr>
                <w:rFonts w:ascii="Cambria" w:hAnsi="Cambria"/>
                <w:sz w:val="20"/>
                <w:szCs w:val="24"/>
                <w:lang w:val="ro-RO"/>
              </w:rPr>
              <w:t>(cu excepția municipiului Brăila)</w:t>
            </w:r>
          </w:p>
        </w:tc>
        <w:tc>
          <w:tcPr>
            <w:tcW w:w="1127" w:type="dxa"/>
            <w:vAlign w:val="center"/>
          </w:tcPr>
          <w:p w14:paraId="117390F3" w14:textId="77777777" w:rsidR="00F61EEF" w:rsidRPr="00EA1BB2" w:rsidRDefault="00F61EEF" w:rsidP="00DC196B">
            <w:pPr>
              <w:spacing w:line="360" w:lineRule="auto"/>
              <w:jc w:val="center"/>
              <w:rPr>
                <w:rFonts w:ascii="Cambria" w:hAnsi="Cambria"/>
                <w:sz w:val="20"/>
                <w:szCs w:val="24"/>
                <w:lang w:val="ro-RO"/>
              </w:rPr>
            </w:pPr>
            <w:r w:rsidRPr="00EA1BB2">
              <w:rPr>
                <w:rFonts w:ascii="Cambria" w:hAnsi="Cambria"/>
                <w:sz w:val="20"/>
                <w:szCs w:val="24"/>
                <w:lang w:val="ro-RO"/>
              </w:rPr>
              <w:t>X</w:t>
            </w:r>
          </w:p>
        </w:tc>
        <w:tc>
          <w:tcPr>
            <w:tcW w:w="896" w:type="dxa"/>
            <w:vAlign w:val="center"/>
          </w:tcPr>
          <w:p w14:paraId="198C7014" w14:textId="77777777" w:rsidR="00F61EEF" w:rsidRPr="00EA1BB2" w:rsidRDefault="00F61EEF" w:rsidP="00DC196B">
            <w:pPr>
              <w:spacing w:line="360" w:lineRule="auto"/>
              <w:jc w:val="center"/>
              <w:rPr>
                <w:rFonts w:ascii="Cambria" w:hAnsi="Cambria"/>
                <w:sz w:val="20"/>
                <w:szCs w:val="24"/>
                <w:lang w:val="ro-RO"/>
              </w:rPr>
            </w:pPr>
            <w:r w:rsidRPr="00EA1BB2">
              <w:rPr>
                <w:rFonts w:ascii="Cambria" w:hAnsi="Cambria"/>
                <w:sz w:val="20"/>
                <w:szCs w:val="24"/>
                <w:lang w:val="ro-RO"/>
              </w:rPr>
              <w:t>X</w:t>
            </w:r>
          </w:p>
        </w:tc>
        <w:tc>
          <w:tcPr>
            <w:tcW w:w="796" w:type="dxa"/>
            <w:vAlign w:val="center"/>
          </w:tcPr>
          <w:p w14:paraId="3BB472C7" w14:textId="77777777" w:rsidR="00F61EEF" w:rsidRPr="00EA1BB2" w:rsidRDefault="00F61EEF" w:rsidP="00DC196B">
            <w:pPr>
              <w:spacing w:line="360" w:lineRule="auto"/>
              <w:jc w:val="center"/>
              <w:rPr>
                <w:rFonts w:ascii="Cambria" w:hAnsi="Cambria"/>
                <w:sz w:val="20"/>
                <w:szCs w:val="24"/>
                <w:lang w:val="ro-RO"/>
              </w:rPr>
            </w:pPr>
            <w:r w:rsidRPr="00EA1BB2">
              <w:rPr>
                <w:rFonts w:ascii="Cambria" w:hAnsi="Cambria"/>
                <w:sz w:val="20"/>
                <w:szCs w:val="24"/>
                <w:lang w:val="ro-RO"/>
              </w:rPr>
              <w:t>X</w:t>
            </w:r>
          </w:p>
        </w:tc>
        <w:tc>
          <w:tcPr>
            <w:tcW w:w="822" w:type="dxa"/>
            <w:vAlign w:val="center"/>
          </w:tcPr>
          <w:p w14:paraId="14A40906" w14:textId="77777777" w:rsidR="00F61EEF" w:rsidRPr="00EA1BB2" w:rsidRDefault="00F61EEF" w:rsidP="00DC196B">
            <w:pPr>
              <w:spacing w:line="360" w:lineRule="auto"/>
              <w:jc w:val="center"/>
              <w:rPr>
                <w:rFonts w:ascii="Cambria" w:hAnsi="Cambria"/>
                <w:sz w:val="20"/>
                <w:szCs w:val="24"/>
                <w:lang w:val="ro-RO"/>
              </w:rPr>
            </w:pPr>
            <w:r w:rsidRPr="00EA1BB2">
              <w:rPr>
                <w:rFonts w:ascii="Cambria" w:hAnsi="Cambria"/>
                <w:sz w:val="20"/>
                <w:szCs w:val="24"/>
                <w:lang w:val="ro-RO"/>
              </w:rPr>
              <w:t>X</w:t>
            </w:r>
          </w:p>
        </w:tc>
        <w:tc>
          <w:tcPr>
            <w:tcW w:w="1022" w:type="dxa"/>
            <w:vAlign w:val="center"/>
          </w:tcPr>
          <w:p w14:paraId="73FADEA7" w14:textId="77777777" w:rsidR="00F61EEF" w:rsidRPr="00EA1BB2" w:rsidRDefault="00F61EEF" w:rsidP="00DC196B">
            <w:pPr>
              <w:spacing w:line="360" w:lineRule="auto"/>
              <w:jc w:val="center"/>
              <w:rPr>
                <w:rFonts w:ascii="Cambria" w:hAnsi="Cambria"/>
                <w:sz w:val="20"/>
                <w:szCs w:val="24"/>
                <w:lang w:val="ro-RO"/>
              </w:rPr>
            </w:pPr>
            <w:r w:rsidRPr="00EA1BB2">
              <w:rPr>
                <w:rFonts w:ascii="Cambria" w:hAnsi="Cambria"/>
                <w:sz w:val="20"/>
                <w:szCs w:val="24"/>
                <w:lang w:val="ro-RO"/>
              </w:rPr>
              <w:t>X</w:t>
            </w:r>
          </w:p>
        </w:tc>
        <w:tc>
          <w:tcPr>
            <w:tcW w:w="817" w:type="dxa"/>
            <w:vAlign w:val="center"/>
          </w:tcPr>
          <w:p w14:paraId="7A3CA4B3" w14:textId="77777777" w:rsidR="00F61EEF" w:rsidRPr="00EA1BB2" w:rsidRDefault="00F61EEF" w:rsidP="00DC196B">
            <w:pPr>
              <w:spacing w:line="360" w:lineRule="auto"/>
              <w:jc w:val="center"/>
              <w:rPr>
                <w:rFonts w:ascii="Cambria" w:hAnsi="Cambria"/>
                <w:sz w:val="20"/>
                <w:szCs w:val="24"/>
                <w:lang w:val="ro-RO"/>
              </w:rPr>
            </w:pPr>
            <w:r w:rsidRPr="00EA1BB2">
              <w:rPr>
                <w:rFonts w:ascii="Cambria" w:hAnsi="Cambria"/>
                <w:sz w:val="20"/>
                <w:szCs w:val="24"/>
                <w:lang w:val="ro-RO"/>
              </w:rPr>
              <w:t>X</w:t>
            </w:r>
          </w:p>
        </w:tc>
        <w:tc>
          <w:tcPr>
            <w:tcW w:w="758" w:type="dxa"/>
            <w:vAlign w:val="center"/>
          </w:tcPr>
          <w:p w14:paraId="038766EF" w14:textId="77777777" w:rsidR="00F61EEF" w:rsidRPr="00EA1BB2" w:rsidRDefault="00F61EEF" w:rsidP="00DC196B">
            <w:pPr>
              <w:spacing w:line="360" w:lineRule="auto"/>
              <w:jc w:val="center"/>
              <w:rPr>
                <w:rFonts w:ascii="Cambria" w:hAnsi="Cambria"/>
                <w:sz w:val="20"/>
                <w:szCs w:val="24"/>
                <w:lang w:val="ro-RO"/>
              </w:rPr>
            </w:pPr>
            <w:r w:rsidRPr="00EA1BB2">
              <w:rPr>
                <w:rFonts w:ascii="Cambria" w:hAnsi="Cambria"/>
                <w:sz w:val="20"/>
                <w:szCs w:val="24"/>
                <w:lang w:val="ro-RO"/>
              </w:rPr>
              <w:t>X</w:t>
            </w:r>
          </w:p>
        </w:tc>
        <w:tc>
          <w:tcPr>
            <w:tcW w:w="918" w:type="dxa"/>
            <w:vAlign w:val="center"/>
          </w:tcPr>
          <w:p w14:paraId="7C8494B2" w14:textId="77777777" w:rsidR="00F61EEF" w:rsidRPr="00EA1BB2" w:rsidRDefault="00F61EEF" w:rsidP="00DC196B">
            <w:pPr>
              <w:spacing w:line="360" w:lineRule="auto"/>
              <w:jc w:val="center"/>
              <w:rPr>
                <w:rFonts w:ascii="Cambria" w:hAnsi="Cambria"/>
                <w:sz w:val="20"/>
                <w:szCs w:val="24"/>
                <w:lang w:val="ro-RO"/>
              </w:rPr>
            </w:pPr>
            <w:r w:rsidRPr="00EA1BB2">
              <w:rPr>
                <w:rFonts w:ascii="Cambria" w:hAnsi="Cambria"/>
                <w:sz w:val="20"/>
                <w:szCs w:val="24"/>
                <w:lang w:val="ro-RO"/>
              </w:rPr>
              <w:t>X</w:t>
            </w:r>
          </w:p>
        </w:tc>
      </w:tr>
    </w:tbl>
    <w:p w14:paraId="6B2E80FB" w14:textId="0BDA27B5" w:rsidR="00F61EEF" w:rsidRPr="00EA1BB2" w:rsidRDefault="00990F5C" w:rsidP="00F61EEF">
      <w:pPr>
        <w:spacing w:line="276" w:lineRule="auto"/>
        <w:jc w:val="both"/>
        <w:rPr>
          <w:rFonts w:ascii="Cambria" w:eastAsia="Times New Roman" w:hAnsi="Cambria" w:cs="Times New Roman"/>
          <w:szCs w:val="24"/>
        </w:rPr>
      </w:pPr>
      <w:r w:rsidRPr="00EA1BB2">
        <w:rPr>
          <w:rFonts w:ascii="Cambria" w:eastAsia="Times New Roman" w:hAnsi="Cambria" w:cs="Times New Roman"/>
          <w:szCs w:val="24"/>
        </w:rPr>
        <w:t>Sursa: OMM</w:t>
      </w:r>
      <w:r w:rsidR="006B107A" w:rsidRPr="00EA1BB2">
        <w:rPr>
          <w:rFonts w:ascii="Cambria" w:eastAsia="Times New Roman" w:hAnsi="Cambria" w:cs="Times New Roman"/>
          <w:szCs w:val="24"/>
        </w:rPr>
        <w:t xml:space="preserve"> </w:t>
      </w:r>
      <w:r w:rsidRPr="00EA1BB2">
        <w:rPr>
          <w:rFonts w:ascii="Cambria" w:eastAsia="Times New Roman" w:hAnsi="Cambria" w:cs="Times New Roman"/>
          <w:szCs w:val="24"/>
        </w:rPr>
        <w:t>598/2018</w:t>
      </w:r>
      <w:r w:rsidR="00F61EEF" w:rsidRPr="00EA1BB2">
        <w:rPr>
          <w:rFonts w:ascii="Cambria" w:eastAsia="Times New Roman" w:hAnsi="Cambria" w:cs="Times New Roman"/>
          <w:szCs w:val="24"/>
        </w:rPr>
        <w:t>pentru aprobarea listelor cu unitățile administrativ-teritoriale întocmite în urma încadrării în regimuri de gestionare a ariilor din zonele și aglomerările prevăzute în anexa nr. 2 la Legea nr. 104/2011 privind calitatea aerului înconjurător</w:t>
      </w:r>
    </w:p>
    <w:p w14:paraId="72170555" w14:textId="77777777" w:rsidR="00F61EEF" w:rsidRPr="00EA1BB2" w:rsidRDefault="00F61EEF" w:rsidP="00F61EEF">
      <w:pPr>
        <w:spacing w:line="360" w:lineRule="auto"/>
        <w:ind w:firstLine="720"/>
        <w:jc w:val="both"/>
        <w:rPr>
          <w:rFonts w:ascii="Cambria" w:eastAsia="Times New Roman" w:hAnsi="Cambria" w:cs="Times New Roman"/>
          <w:sz w:val="24"/>
          <w:szCs w:val="24"/>
        </w:rPr>
      </w:pPr>
    </w:p>
    <w:p w14:paraId="78347A4C" w14:textId="77777777" w:rsidR="00B4540A" w:rsidRPr="00EA1BB2" w:rsidRDefault="00D31781" w:rsidP="00B4540A">
      <w:pPr>
        <w:spacing w:line="360" w:lineRule="auto"/>
        <w:ind w:firstLine="720"/>
        <w:jc w:val="both"/>
        <w:rPr>
          <w:rFonts w:ascii="Cambria" w:eastAsia="Times New Roman" w:hAnsi="Cambria" w:cs="Times New Roman"/>
          <w:sz w:val="24"/>
          <w:szCs w:val="24"/>
        </w:rPr>
      </w:pPr>
      <w:r w:rsidRPr="00EA1BB2">
        <w:rPr>
          <w:rFonts w:ascii="Cambria" w:eastAsia="Times New Roman" w:hAnsi="Cambria" w:cs="Times New Roman"/>
          <w:sz w:val="24"/>
          <w:szCs w:val="24"/>
        </w:rPr>
        <w:t xml:space="preserve"> Încadrarea în regimul de II a ariilor din zone s-a realizat luând în considerare atât încadrarea anterioară în regimuri de gestionare, cât și rezultatele obținute în urma evaluării calității aerului la nivel național, care a utilizat măsurări în puncte fixe, realizate în perioada 2017 - aprilie 2018, cu ajutorul stațiilor de măsurare care fac parte din Rețeaua națională de monitorizare a calității aerului.</w:t>
      </w:r>
    </w:p>
    <w:p w14:paraId="1044AF85" w14:textId="2F3A53F9" w:rsidR="00DC196B" w:rsidRPr="00EA1BB2" w:rsidRDefault="00DC196B" w:rsidP="00DC196B">
      <w:pPr>
        <w:spacing w:line="360" w:lineRule="auto"/>
        <w:ind w:firstLine="720"/>
        <w:jc w:val="both"/>
        <w:rPr>
          <w:rFonts w:ascii="Cambria" w:eastAsia="Times New Roman" w:hAnsi="Cambria" w:cs="Times New Roman"/>
          <w:sz w:val="24"/>
          <w:szCs w:val="24"/>
        </w:rPr>
      </w:pPr>
      <w:r w:rsidRPr="00EA1BB2">
        <w:rPr>
          <w:rFonts w:ascii="Cambria" w:eastAsia="Times New Roman" w:hAnsi="Cambria" w:cs="Times New Roman"/>
          <w:sz w:val="24"/>
          <w:szCs w:val="24"/>
        </w:rPr>
        <w:t xml:space="preserve">Datele privind încadrarea unității administrativ-teritoriale județul </w:t>
      </w:r>
      <w:r w:rsidR="00B4540A" w:rsidRPr="00EA1BB2">
        <w:rPr>
          <w:rFonts w:ascii="Cambria" w:eastAsia="Times New Roman" w:hAnsi="Cambria" w:cs="Times New Roman"/>
          <w:sz w:val="24"/>
          <w:szCs w:val="24"/>
        </w:rPr>
        <w:t>Brăila</w:t>
      </w:r>
      <w:r w:rsidRPr="00EA1BB2">
        <w:rPr>
          <w:rFonts w:ascii="Cambria" w:eastAsia="Times New Roman" w:hAnsi="Cambria" w:cs="Times New Roman"/>
          <w:sz w:val="24"/>
          <w:szCs w:val="24"/>
        </w:rPr>
        <w:t xml:space="preserve"> în regimul de gestionare II, pentru perioada </w:t>
      </w:r>
      <w:r w:rsidR="00B67E84" w:rsidRPr="00EA1BB2">
        <w:rPr>
          <w:rFonts w:ascii="Cambria" w:eastAsia="Times New Roman" w:hAnsi="Cambria" w:cs="Times New Roman"/>
          <w:sz w:val="24"/>
          <w:szCs w:val="24"/>
        </w:rPr>
        <w:t>2010 - 2014</w:t>
      </w:r>
      <w:r w:rsidR="00363F07" w:rsidRPr="00EA1BB2">
        <w:rPr>
          <w:rFonts w:ascii="Cambria" w:eastAsia="Times New Roman" w:hAnsi="Cambria" w:cs="Times New Roman"/>
          <w:sz w:val="24"/>
          <w:szCs w:val="24"/>
        </w:rPr>
        <w:t xml:space="preserve">, </w:t>
      </w:r>
      <w:r w:rsidRPr="00EA1BB2">
        <w:rPr>
          <w:rFonts w:ascii="Cambria" w:eastAsia="Times New Roman" w:hAnsi="Cambria" w:cs="Times New Roman"/>
          <w:sz w:val="24"/>
          <w:szCs w:val="24"/>
        </w:rPr>
        <w:t>date transmise de către Direcția Centru Evaluare Calitate Aer, din cadrul Agenției Naționale pentru Protecția Mediului,, sunt prezentate în tabelul de mai jos.</w:t>
      </w:r>
    </w:p>
    <w:p w14:paraId="360E492C" w14:textId="77777777" w:rsidR="00F61EEF" w:rsidRPr="00EA1BB2" w:rsidRDefault="00F61EEF" w:rsidP="00F61EEF">
      <w:pPr>
        <w:spacing w:line="360" w:lineRule="auto"/>
        <w:jc w:val="both"/>
        <w:rPr>
          <w:rFonts w:ascii="Cambria" w:eastAsia="Times New Roman" w:hAnsi="Cambria" w:cs="Times New Roman"/>
          <w:sz w:val="24"/>
          <w:szCs w:val="24"/>
        </w:rPr>
      </w:pPr>
    </w:p>
    <w:p w14:paraId="5D19FE3D" w14:textId="77777777" w:rsidR="00F61EEF" w:rsidRPr="00EA1BB2" w:rsidRDefault="00F61EEF" w:rsidP="00F61EEF">
      <w:pPr>
        <w:spacing w:line="360" w:lineRule="auto"/>
        <w:jc w:val="both"/>
        <w:rPr>
          <w:rFonts w:ascii="Cambria" w:eastAsia="Times New Roman" w:hAnsi="Cambria" w:cs="Times New Roman"/>
          <w:sz w:val="24"/>
          <w:szCs w:val="24"/>
        </w:rPr>
      </w:pPr>
    </w:p>
    <w:p w14:paraId="493B6185" w14:textId="77777777" w:rsidR="00F61EEF" w:rsidRPr="00EA1BB2" w:rsidRDefault="00F61EEF" w:rsidP="00F61EEF">
      <w:pPr>
        <w:spacing w:line="360" w:lineRule="auto"/>
        <w:jc w:val="both"/>
        <w:rPr>
          <w:rFonts w:ascii="Cambria" w:eastAsia="Times New Roman" w:hAnsi="Cambria" w:cs="Times New Roman"/>
          <w:sz w:val="24"/>
          <w:szCs w:val="24"/>
        </w:rPr>
        <w:sectPr w:rsidR="00F61EEF" w:rsidRPr="00EA1BB2" w:rsidSect="00C83C04">
          <w:headerReference w:type="default" r:id="rId12"/>
          <w:footerReference w:type="default" r:id="rId13"/>
          <w:pgSz w:w="11906" w:h="16838" w:code="9"/>
          <w:pgMar w:top="1134" w:right="1418" w:bottom="1134" w:left="1418" w:header="283" w:footer="283" w:gutter="0"/>
          <w:cols w:space="708"/>
          <w:titlePg/>
          <w:docGrid w:linePitch="360"/>
        </w:sectPr>
      </w:pPr>
    </w:p>
    <w:p w14:paraId="061912B9" w14:textId="180C80D6" w:rsidR="00F61EEF" w:rsidRPr="00EA1BB2" w:rsidRDefault="00F61EEF" w:rsidP="00680409">
      <w:pPr>
        <w:pStyle w:val="Caption"/>
        <w:keepNext/>
        <w:spacing w:after="0" w:line="360" w:lineRule="auto"/>
        <w:ind w:firstLine="708"/>
        <w:rPr>
          <w:rFonts w:ascii="Cambria" w:hAnsi="Cambria"/>
        </w:rPr>
      </w:pPr>
      <w:bookmarkStart w:id="13" w:name="_Toc526889759"/>
      <w:r w:rsidRPr="00EA1BB2">
        <w:rPr>
          <w:rFonts w:ascii="Cambria" w:hAnsi="Cambria"/>
        </w:rPr>
        <w:lastRenderedPageBreak/>
        <w:t xml:space="preserve">Tabelul nr. </w:t>
      </w:r>
      <w:r w:rsidR="000A2FE7" w:rsidRPr="00EA1BB2">
        <w:rPr>
          <w:rFonts w:ascii="Cambria" w:hAnsi="Cambria"/>
        </w:rPr>
        <w:fldChar w:fldCharType="begin"/>
      </w:r>
      <w:r w:rsidR="000A2FE7" w:rsidRPr="00EA1BB2">
        <w:rPr>
          <w:rFonts w:ascii="Cambria" w:hAnsi="Cambria"/>
        </w:rPr>
        <w:instrText xml:space="preserve"> STYLEREF 1 \s </w:instrText>
      </w:r>
      <w:r w:rsidR="000A2FE7" w:rsidRPr="00EA1BB2">
        <w:rPr>
          <w:rFonts w:ascii="Cambria" w:hAnsi="Cambria"/>
        </w:rPr>
        <w:fldChar w:fldCharType="separate"/>
      </w:r>
      <w:r w:rsidR="00567555">
        <w:rPr>
          <w:rFonts w:ascii="Cambria" w:hAnsi="Cambria"/>
          <w:noProof/>
        </w:rPr>
        <w:t>2</w:t>
      </w:r>
      <w:r w:rsidR="000A2FE7" w:rsidRPr="00EA1BB2">
        <w:rPr>
          <w:rFonts w:ascii="Cambria" w:hAnsi="Cambria"/>
        </w:rPr>
        <w:fldChar w:fldCharType="end"/>
      </w:r>
      <w:r w:rsidR="000A2FE7" w:rsidRPr="00EA1BB2">
        <w:rPr>
          <w:rFonts w:ascii="Cambria" w:hAnsi="Cambria"/>
        </w:rPr>
        <w:noBreakHyphen/>
      </w:r>
      <w:r w:rsidR="000A2FE7" w:rsidRPr="00EA1BB2">
        <w:rPr>
          <w:rFonts w:ascii="Cambria" w:hAnsi="Cambria"/>
        </w:rPr>
        <w:fldChar w:fldCharType="begin"/>
      </w:r>
      <w:r w:rsidR="000A2FE7" w:rsidRPr="00EA1BB2">
        <w:rPr>
          <w:rFonts w:ascii="Cambria" w:hAnsi="Cambria"/>
        </w:rPr>
        <w:instrText xml:space="preserve"> SEQ Tabelul_nr. \* ARABIC \s 1 </w:instrText>
      </w:r>
      <w:r w:rsidR="000A2FE7" w:rsidRPr="00EA1BB2">
        <w:rPr>
          <w:rFonts w:ascii="Cambria" w:hAnsi="Cambria"/>
        </w:rPr>
        <w:fldChar w:fldCharType="separate"/>
      </w:r>
      <w:r w:rsidR="00567555">
        <w:rPr>
          <w:rFonts w:ascii="Cambria" w:hAnsi="Cambria"/>
          <w:noProof/>
        </w:rPr>
        <w:t>2</w:t>
      </w:r>
      <w:r w:rsidR="000A2FE7" w:rsidRPr="00EA1BB2">
        <w:rPr>
          <w:rFonts w:ascii="Cambria" w:hAnsi="Cambria"/>
        </w:rPr>
        <w:fldChar w:fldCharType="end"/>
      </w:r>
      <w:r w:rsidRPr="00EA1BB2">
        <w:rPr>
          <w:rFonts w:ascii="Cambria" w:hAnsi="Cambria"/>
        </w:rPr>
        <w:t xml:space="preserve"> – </w:t>
      </w:r>
      <w:r w:rsidR="00280BC9" w:rsidRPr="00EA1BB2">
        <w:rPr>
          <w:rFonts w:ascii="Cambria" w:hAnsi="Cambria"/>
        </w:rPr>
        <w:t>Cantitatea totală a emisiilor de poluanți în perioada de evaluare 2010-2014</w:t>
      </w:r>
      <w:bookmarkEnd w:id="13"/>
    </w:p>
    <w:tbl>
      <w:tblPr>
        <w:tblStyle w:val="TableGrid58"/>
        <w:tblW w:w="14607" w:type="dxa"/>
        <w:jc w:val="center"/>
        <w:tblLayout w:type="fixed"/>
        <w:tblLook w:val="04A0" w:firstRow="1" w:lastRow="0" w:firstColumn="1" w:lastColumn="0" w:noHBand="0" w:noVBand="1"/>
      </w:tblPr>
      <w:tblGrid>
        <w:gridCol w:w="1844"/>
        <w:gridCol w:w="1275"/>
        <w:gridCol w:w="1560"/>
        <w:gridCol w:w="1744"/>
        <w:gridCol w:w="1373"/>
        <w:gridCol w:w="1713"/>
        <w:gridCol w:w="1270"/>
        <w:gridCol w:w="2127"/>
        <w:gridCol w:w="1701"/>
      </w:tblGrid>
      <w:tr w:rsidR="00F61EEF" w:rsidRPr="00EA1BB2" w14:paraId="5A9FC88E" w14:textId="77777777" w:rsidTr="00AC454E">
        <w:trPr>
          <w:tblHeader/>
          <w:jc w:val="center"/>
        </w:trPr>
        <w:tc>
          <w:tcPr>
            <w:tcW w:w="1844" w:type="dxa"/>
            <w:shd w:val="clear" w:color="auto" w:fill="BDD6EE" w:themeFill="accent1" w:themeFillTint="66"/>
            <w:vAlign w:val="center"/>
          </w:tcPr>
          <w:p w14:paraId="0AEFE9CC" w14:textId="77777777" w:rsidR="00F61EEF" w:rsidRPr="00EA1BB2" w:rsidRDefault="00F61EEF" w:rsidP="00DC196B">
            <w:pPr>
              <w:jc w:val="center"/>
              <w:rPr>
                <w:rFonts w:ascii="Cambria" w:hAnsi="Cambria"/>
                <w:b/>
                <w:sz w:val="24"/>
                <w:szCs w:val="24"/>
              </w:rPr>
            </w:pPr>
            <w:r w:rsidRPr="00EA1BB2">
              <w:rPr>
                <w:rFonts w:ascii="Cambria" w:hAnsi="Cambria"/>
                <w:b/>
                <w:sz w:val="24"/>
                <w:szCs w:val="24"/>
              </w:rPr>
              <w:t>Unitatea administrativ teritorială</w:t>
            </w:r>
          </w:p>
        </w:tc>
        <w:tc>
          <w:tcPr>
            <w:tcW w:w="1275" w:type="dxa"/>
            <w:shd w:val="clear" w:color="auto" w:fill="BDD6EE" w:themeFill="accent1" w:themeFillTint="66"/>
            <w:vAlign w:val="center"/>
          </w:tcPr>
          <w:p w14:paraId="30E8FF7E" w14:textId="77777777" w:rsidR="00F61EEF" w:rsidRPr="00EA1BB2" w:rsidRDefault="00F61EEF" w:rsidP="00DC196B">
            <w:pPr>
              <w:jc w:val="center"/>
              <w:rPr>
                <w:rFonts w:ascii="Cambria" w:hAnsi="Cambria"/>
                <w:b/>
                <w:sz w:val="24"/>
                <w:szCs w:val="24"/>
              </w:rPr>
            </w:pPr>
            <w:r w:rsidRPr="00EA1BB2">
              <w:rPr>
                <w:rFonts w:ascii="Cambria" w:hAnsi="Cambria"/>
                <w:b/>
                <w:sz w:val="24"/>
                <w:szCs w:val="24"/>
              </w:rPr>
              <w:t>Indicator</w:t>
            </w:r>
          </w:p>
        </w:tc>
        <w:tc>
          <w:tcPr>
            <w:tcW w:w="1560" w:type="dxa"/>
            <w:shd w:val="clear" w:color="auto" w:fill="BDD6EE" w:themeFill="accent1" w:themeFillTint="66"/>
            <w:vAlign w:val="center"/>
          </w:tcPr>
          <w:p w14:paraId="759E4A14" w14:textId="77777777" w:rsidR="00F61EEF" w:rsidRPr="00EA1BB2" w:rsidRDefault="00F61EEF" w:rsidP="00DC196B">
            <w:pPr>
              <w:jc w:val="center"/>
              <w:rPr>
                <w:rFonts w:ascii="Cambria" w:hAnsi="Cambria"/>
                <w:b/>
                <w:sz w:val="24"/>
                <w:szCs w:val="24"/>
              </w:rPr>
            </w:pPr>
            <w:r w:rsidRPr="00EA1BB2">
              <w:rPr>
                <w:rFonts w:ascii="Cambria" w:hAnsi="Cambria"/>
                <w:b/>
                <w:sz w:val="24"/>
                <w:szCs w:val="24"/>
              </w:rPr>
              <w:t>Metoda de evaluare (date RNMCA</w:t>
            </w:r>
          </w:p>
          <w:p w14:paraId="548CE224" w14:textId="77777777" w:rsidR="00F61EEF" w:rsidRPr="00EA1BB2" w:rsidRDefault="00F61EEF" w:rsidP="00DC196B">
            <w:pPr>
              <w:jc w:val="center"/>
              <w:rPr>
                <w:rFonts w:ascii="Cambria" w:hAnsi="Cambria"/>
                <w:b/>
                <w:sz w:val="24"/>
                <w:szCs w:val="24"/>
              </w:rPr>
            </w:pPr>
            <w:r w:rsidRPr="00EA1BB2">
              <w:rPr>
                <w:rFonts w:ascii="Cambria" w:hAnsi="Cambria"/>
                <w:b/>
                <w:sz w:val="24"/>
                <w:szCs w:val="24"/>
              </w:rPr>
              <w:t>/modelare)</w:t>
            </w:r>
          </w:p>
        </w:tc>
        <w:tc>
          <w:tcPr>
            <w:tcW w:w="1744" w:type="dxa"/>
            <w:shd w:val="clear" w:color="auto" w:fill="BDD6EE" w:themeFill="accent1" w:themeFillTint="66"/>
            <w:vAlign w:val="center"/>
          </w:tcPr>
          <w:p w14:paraId="3BCC691A" w14:textId="77777777" w:rsidR="00F61EEF" w:rsidRPr="00EA1BB2" w:rsidRDefault="00F61EEF" w:rsidP="00DC196B">
            <w:pPr>
              <w:jc w:val="center"/>
              <w:rPr>
                <w:rFonts w:ascii="Cambria" w:hAnsi="Cambria"/>
                <w:b/>
                <w:sz w:val="24"/>
                <w:szCs w:val="24"/>
              </w:rPr>
            </w:pPr>
            <w:r w:rsidRPr="00EA1BB2">
              <w:rPr>
                <w:rFonts w:ascii="Cambria" w:hAnsi="Cambria"/>
                <w:b/>
                <w:sz w:val="24"/>
                <w:szCs w:val="24"/>
              </w:rPr>
              <w:t>Concentrația maximă din perioada de evaluare</w:t>
            </w:r>
          </w:p>
        </w:tc>
        <w:tc>
          <w:tcPr>
            <w:tcW w:w="1373" w:type="dxa"/>
            <w:shd w:val="clear" w:color="auto" w:fill="BDD6EE" w:themeFill="accent1" w:themeFillTint="66"/>
            <w:vAlign w:val="center"/>
          </w:tcPr>
          <w:p w14:paraId="2BE8E51C" w14:textId="77777777" w:rsidR="00F61EEF" w:rsidRPr="00EA1BB2" w:rsidRDefault="00F61EEF" w:rsidP="00DC196B">
            <w:pPr>
              <w:jc w:val="center"/>
              <w:rPr>
                <w:rFonts w:ascii="Cambria" w:hAnsi="Cambria"/>
                <w:b/>
                <w:sz w:val="24"/>
                <w:szCs w:val="24"/>
              </w:rPr>
            </w:pPr>
            <w:r w:rsidRPr="00EA1BB2">
              <w:rPr>
                <w:rFonts w:ascii="Cambria" w:hAnsi="Cambria"/>
                <w:b/>
                <w:sz w:val="24"/>
                <w:szCs w:val="24"/>
              </w:rPr>
              <w:t>Excepții</w:t>
            </w:r>
          </w:p>
        </w:tc>
        <w:tc>
          <w:tcPr>
            <w:tcW w:w="1713" w:type="dxa"/>
            <w:shd w:val="clear" w:color="auto" w:fill="BDD6EE" w:themeFill="accent1" w:themeFillTint="66"/>
            <w:vAlign w:val="center"/>
          </w:tcPr>
          <w:p w14:paraId="20AA34C5" w14:textId="77777777" w:rsidR="00F61EEF" w:rsidRPr="00EA1BB2" w:rsidRDefault="00F61EEF" w:rsidP="00DC196B">
            <w:pPr>
              <w:jc w:val="center"/>
              <w:rPr>
                <w:rFonts w:ascii="Cambria" w:hAnsi="Cambria"/>
                <w:b/>
                <w:sz w:val="24"/>
                <w:szCs w:val="24"/>
              </w:rPr>
            </w:pPr>
            <w:r w:rsidRPr="00EA1BB2">
              <w:rPr>
                <w:rFonts w:ascii="Cambria" w:hAnsi="Cambria"/>
                <w:b/>
                <w:sz w:val="24"/>
                <w:szCs w:val="24"/>
              </w:rPr>
              <w:t>Perioada de mediere</w:t>
            </w:r>
          </w:p>
        </w:tc>
        <w:tc>
          <w:tcPr>
            <w:tcW w:w="1270" w:type="dxa"/>
            <w:shd w:val="clear" w:color="auto" w:fill="BDD6EE" w:themeFill="accent1" w:themeFillTint="66"/>
            <w:vAlign w:val="center"/>
          </w:tcPr>
          <w:p w14:paraId="3CB73BFD" w14:textId="77777777" w:rsidR="00F61EEF" w:rsidRPr="00EA1BB2" w:rsidRDefault="00F61EEF" w:rsidP="00DC196B">
            <w:pPr>
              <w:jc w:val="center"/>
              <w:rPr>
                <w:rFonts w:ascii="Cambria" w:hAnsi="Cambria"/>
                <w:b/>
                <w:sz w:val="24"/>
                <w:szCs w:val="24"/>
              </w:rPr>
            </w:pPr>
            <w:r w:rsidRPr="00EA1BB2">
              <w:rPr>
                <w:rFonts w:ascii="Cambria" w:hAnsi="Cambria"/>
                <w:b/>
                <w:sz w:val="24"/>
                <w:szCs w:val="24"/>
              </w:rPr>
              <w:t>Perioada de evaluare</w:t>
            </w:r>
          </w:p>
        </w:tc>
        <w:tc>
          <w:tcPr>
            <w:tcW w:w="3828" w:type="dxa"/>
            <w:gridSpan w:val="2"/>
            <w:shd w:val="clear" w:color="auto" w:fill="BDD6EE" w:themeFill="accent1" w:themeFillTint="66"/>
            <w:vAlign w:val="center"/>
          </w:tcPr>
          <w:p w14:paraId="5C852B41" w14:textId="77777777" w:rsidR="00F61EEF" w:rsidRPr="00EA1BB2" w:rsidRDefault="00F61EEF" w:rsidP="00DC196B">
            <w:pPr>
              <w:jc w:val="center"/>
              <w:rPr>
                <w:rFonts w:ascii="Cambria" w:hAnsi="Cambria"/>
                <w:b/>
                <w:sz w:val="24"/>
                <w:szCs w:val="24"/>
              </w:rPr>
            </w:pPr>
            <w:r w:rsidRPr="00EA1BB2">
              <w:rPr>
                <w:rFonts w:ascii="Cambria" w:hAnsi="Cambria"/>
                <w:b/>
                <w:sz w:val="24"/>
                <w:szCs w:val="24"/>
              </w:rPr>
              <w:t xml:space="preserve">Cantitatea totală de emisii </w:t>
            </w:r>
          </w:p>
          <w:p w14:paraId="7BD94E5A" w14:textId="77777777" w:rsidR="00F61EEF" w:rsidRPr="00EA1BB2" w:rsidRDefault="00F61EEF" w:rsidP="00DC196B">
            <w:pPr>
              <w:jc w:val="center"/>
              <w:rPr>
                <w:rFonts w:ascii="Cambria" w:hAnsi="Cambria"/>
                <w:b/>
                <w:sz w:val="24"/>
                <w:szCs w:val="24"/>
              </w:rPr>
            </w:pPr>
            <w:r w:rsidRPr="00EA1BB2">
              <w:rPr>
                <w:rFonts w:ascii="Cambria" w:hAnsi="Cambria"/>
                <w:b/>
                <w:sz w:val="24"/>
                <w:szCs w:val="24"/>
              </w:rPr>
              <w:t>(t/an)</w:t>
            </w:r>
          </w:p>
        </w:tc>
      </w:tr>
      <w:tr w:rsidR="00F61EEF" w:rsidRPr="00EA1BB2" w14:paraId="621EEECC" w14:textId="77777777" w:rsidTr="00AC454E">
        <w:trPr>
          <w:jc w:val="center"/>
        </w:trPr>
        <w:tc>
          <w:tcPr>
            <w:tcW w:w="1844" w:type="dxa"/>
            <w:vMerge w:val="restart"/>
          </w:tcPr>
          <w:p w14:paraId="3EDDE526" w14:textId="77777777" w:rsidR="00F61EEF" w:rsidRPr="00EA1BB2" w:rsidRDefault="00F61EEF" w:rsidP="00DC196B">
            <w:pPr>
              <w:rPr>
                <w:rFonts w:ascii="Cambria" w:hAnsi="Cambria"/>
                <w:sz w:val="24"/>
                <w:szCs w:val="24"/>
              </w:rPr>
            </w:pPr>
            <w:r w:rsidRPr="00EA1BB2">
              <w:rPr>
                <w:rFonts w:ascii="Cambria" w:hAnsi="Cambria"/>
                <w:sz w:val="24"/>
                <w:szCs w:val="24"/>
              </w:rPr>
              <w:t>Județul Brăila</w:t>
            </w:r>
          </w:p>
        </w:tc>
        <w:tc>
          <w:tcPr>
            <w:tcW w:w="1275" w:type="dxa"/>
            <w:vMerge w:val="restart"/>
            <w:vAlign w:val="center"/>
          </w:tcPr>
          <w:p w14:paraId="61ACBC6B" w14:textId="77777777" w:rsidR="00F61EEF" w:rsidRPr="00EA1BB2" w:rsidRDefault="00706A23" w:rsidP="00DC196B">
            <w:pPr>
              <w:jc w:val="center"/>
              <w:rPr>
                <w:rFonts w:ascii="Cambria" w:hAnsi="Cambria"/>
                <w:sz w:val="24"/>
                <w:szCs w:val="24"/>
              </w:rPr>
            </w:pPr>
            <w:r w:rsidRPr="00EA1BB2">
              <w:rPr>
                <w:rFonts w:ascii="Cambria" w:hAnsi="Cambria"/>
                <w:sz w:val="24"/>
                <w:szCs w:val="24"/>
              </w:rPr>
              <w:t>Pulberi în suspensie-PM</w:t>
            </w:r>
            <w:r w:rsidR="00F61EEF" w:rsidRPr="00EA1BB2">
              <w:rPr>
                <w:rFonts w:ascii="Cambria" w:hAnsi="Cambria"/>
                <w:sz w:val="24"/>
                <w:szCs w:val="24"/>
                <w:vertAlign w:val="subscript"/>
              </w:rPr>
              <w:t>2,5</w:t>
            </w:r>
            <w:r w:rsidR="00F61EEF" w:rsidRPr="00EA1BB2">
              <w:rPr>
                <w:rFonts w:ascii="Cambria" w:hAnsi="Cambria"/>
                <w:sz w:val="24"/>
                <w:szCs w:val="24"/>
              </w:rPr>
              <w:t xml:space="preserve"> (µg/m</w:t>
            </w:r>
            <w:r w:rsidR="00F61EEF" w:rsidRPr="00EA1BB2">
              <w:rPr>
                <w:rFonts w:ascii="Cambria" w:hAnsi="Cambria"/>
                <w:sz w:val="24"/>
                <w:szCs w:val="24"/>
                <w:vertAlign w:val="superscript"/>
              </w:rPr>
              <w:t>3</w:t>
            </w:r>
            <w:r w:rsidR="00F61EEF" w:rsidRPr="00EA1BB2">
              <w:rPr>
                <w:rFonts w:ascii="Cambria" w:hAnsi="Cambria"/>
                <w:sz w:val="24"/>
                <w:szCs w:val="24"/>
              </w:rPr>
              <w:t>)</w:t>
            </w:r>
          </w:p>
        </w:tc>
        <w:tc>
          <w:tcPr>
            <w:tcW w:w="1560" w:type="dxa"/>
            <w:vAlign w:val="center"/>
          </w:tcPr>
          <w:p w14:paraId="3AC53800" w14:textId="77777777" w:rsidR="00F61EEF" w:rsidRPr="00EA1BB2" w:rsidRDefault="00F61EEF" w:rsidP="00DC196B">
            <w:pPr>
              <w:jc w:val="center"/>
              <w:rPr>
                <w:rFonts w:ascii="Cambria" w:hAnsi="Cambria"/>
                <w:sz w:val="24"/>
                <w:szCs w:val="24"/>
              </w:rPr>
            </w:pPr>
          </w:p>
        </w:tc>
        <w:tc>
          <w:tcPr>
            <w:tcW w:w="1744" w:type="dxa"/>
            <w:vAlign w:val="center"/>
          </w:tcPr>
          <w:p w14:paraId="3B023DC1" w14:textId="77777777" w:rsidR="00F61EEF" w:rsidRPr="00EA1BB2" w:rsidRDefault="00F61EEF" w:rsidP="00DC196B">
            <w:pPr>
              <w:jc w:val="center"/>
              <w:rPr>
                <w:rFonts w:ascii="Cambria" w:hAnsi="Cambria"/>
                <w:sz w:val="24"/>
                <w:szCs w:val="24"/>
              </w:rPr>
            </w:pPr>
          </w:p>
        </w:tc>
        <w:tc>
          <w:tcPr>
            <w:tcW w:w="1373" w:type="dxa"/>
            <w:vMerge w:val="restart"/>
          </w:tcPr>
          <w:p w14:paraId="6007E236" w14:textId="77777777" w:rsidR="00F61EEF" w:rsidRPr="00EA1BB2" w:rsidRDefault="00F61EEF" w:rsidP="00DC196B">
            <w:pPr>
              <w:rPr>
                <w:rFonts w:ascii="Cambria" w:hAnsi="Cambria"/>
                <w:sz w:val="24"/>
                <w:szCs w:val="24"/>
              </w:rPr>
            </w:pPr>
          </w:p>
        </w:tc>
        <w:tc>
          <w:tcPr>
            <w:tcW w:w="1713" w:type="dxa"/>
            <w:vMerge w:val="restart"/>
            <w:vAlign w:val="center"/>
          </w:tcPr>
          <w:p w14:paraId="297E2E4D" w14:textId="77777777" w:rsidR="00F61EEF" w:rsidRPr="00EA1BB2" w:rsidRDefault="00F61EEF" w:rsidP="00DC196B">
            <w:pPr>
              <w:jc w:val="center"/>
              <w:rPr>
                <w:rFonts w:ascii="Cambria" w:hAnsi="Cambria"/>
                <w:sz w:val="24"/>
                <w:szCs w:val="24"/>
              </w:rPr>
            </w:pPr>
            <w:r w:rsidRPr="00EA1BB2">
              <w:rPr>
                <w:rFonts w:ascii="Cambria" w:hAnsi="Cambria"/>
                <w:sz w:val="24"/>
                <w:szCs w:val="24"/>
              </w:rPr>
              <w:t>1 an</w:t>
            </w:r>
          </w:p>
        </w:tc>
        <w:tc>
          <w:tcPr>
            <w:tcW w:w="1270" w:type="dxa"/>
            <w:vMerge w:val="restart"/>
            <w:vAlign w:val="center"/>
          </w:tcPr>
          <w:p w14:paraId="68C2FD09" w14:textId="77777777" w:rsidR="00F61EEF" w:rsidRPr="00EA1BB2" w:rsidRDefault="00F61EEF" w:rsidP="00DC196B">
            <w:pPr>
              <w:jc w:val="center"/>
              <w:rPr>
                <w:rFonts w:ascii="Cambria" w:hAnsi="Cambria"/>
                <w:sz w:val="24"/>
                <w:szCs w:val="24"/>
              </w:rPr>
            </w:pPr>
            <w:r w:rsidRPr="00EA1BB2">
              <w:rPr>
                <w:rFonts w:ascii="Cambria" w:hAnsi="Cambria"/>
                <w:sz w:val="24"/>
                <w:szCs w:val="24"/>
              </w:rPr>
              <w:t>2010-2014</w:t>
            </w:r>
          </w:p>
        </w:tc>
        <w:tc>
          <w:tcPr>
            <w:tcW w:w="2127" w:type="dxa"/>
            <w:vAlign w:val="center"/>
          </w:tcPr>
          <w:p w14:paraId="1B7243E6" w14:textId="77777777" w:rsidR="00F61EEF" w:rsidRPr="00EA1BB2" w:rsidRDefault="00F61EEF" w:rsidP="00DC196B">
            <w:pPr>
              <w:jc w:val="center"/>
              <w:rPr>
                <w:rFonts w:ascii="Cambria" w:hAnsi="Cambria"/>
                <w:sz w:val="24"/>
                <w:szCs w:val="24"/>
              </w:rPr>
            </w:pPr>
            <w:r w:rsidRPr="00EA1BB2">
              <w:rPr>
                <w:rFonts w:ascii="Cambria" w:hAnsi="Cambria"/>
                <w:sz w:val="24"/>
                <w:szCs w:val="24"/>
              </w:rPr>
              <w:t>Surse staționare</w:t>
            </w:r>
          </w:p>
        </w:tc>
        <w:tc>
          <w:tcPr>
            <w:tcW w:w="1701" w:type="dxa"/>
            <w:vAlign w:val="center"/>
          </w:tcPr>
          <w:p w14:paraId="09A38B2D" w14:textId="77777777" w:rsidR="00F61EEF" w:rsidRPr="00EA1BB2" w:rsidRDefault="00F61EEF" w:rsidP="00DC196B">
            <w:pPr>
              <w:jc w:val="right"/>
              <w:rPr>
                <w:rFonts w:ascii="Cambria" w:hAnsi="Cambria"/>
                <w:sz w:val="24"/>
                <w:szCs w:val="24"/>
              </w:rPr>
            </w:pPr>
            <w:r w:rsidRPr="00EA1BB2">
              <w:rPr>
                <w:rFonts w:ascii="Cambria" w:hAnsi="Cambria"/>
                <w:sz w:val="24"/>
                <w:szCs w:val="24"/>
              </w:rPr>
              <w:t>126,4200674</w:t>
            </w:r>
          </w:p>
        </w:tc>
      </w:tr>
      <w:tr w:rsidR="00F61EEF" w:rsidRPr="00EA1BB2" w14:paraId="29C9F74A" w14:textId="77777777" w:rsidTr="00AC454E">
        <w:trPr>
          <w:jc w:val="center"/>
        </w:trPr>
        <w:tc>
          <w:tcPr>
            <w:tcW w:w="1844" w:type="dxa"/>
            <w:vMerge/>
          </w:tcPr>
          <w:p w14:paraId="57BC03D1" w14:textId="77777777" w:rsidR="00F61EEF" w:rsidRPr="00EA1BB2" w:rsidRDefault="00F61EEF" w:rsidP="00DC196B">
            <w:pPr>
              <w:rPr>
                <w:rFonts w:ascii="Cambria" w:hAnsi="Cambria"/>
                <w:sz w:val="24"/>
                <w:szCs w:val="24"/>
              </w:rPr>
            </w:pPr>
          </w:p>
        </w:tc>
        <w:tc>
          <w:tcPr>
            <w:tcW w:w="1275" w:type="dxa"/>
            <w:vMerge/>
            <w:vAlign w:val="center"/>
          </w:tcPr>
          <w:p w14:paraId="62EB3E7E" w14:textId="77777777" w:rsidR="00F61EEF" w:rsidRPr="00EA1BB2" w:rsidRDefault="00F61EEF" w:rsidP="00DC196B">
            <w:pPr>
              <w:jc w:val="center"/>
              <w:rPr>
                <w:rFonts w:ascii="Cambria" w:hAnsi="Cambria"/>
                <w:sz w:val="24"/>
                <w:szCs w:val="24"/>
              </w:rPr>
            </w:pPr>
          </w:p>
        </w:tc>
        <w:tc>
          <w:tcPr>
            <w:tcW w:w="1560" w:type="dxa"/>
            <w:vAlign w:val="center"/>
          </w:tcPr>
          <w:p w14:paraId="75C9523E" w14:textId="77777777" w:rsidR="00F61EEF" w:rsidRPr="00EA1BB2" w:rsidRDefault="00F61EEF" w:rsidP="00DC196B">
            <w:pPr>
              <w:jc w:val="center"/>
              <w:rPr>
                <w:rFonts w:ascii="Cambria" w:hAnsi="Cambria"/>
                <w:sz w:val="24"/>
                <w:szCs w:val="24"/>
              </w:rPr>
            </w:pPr>
            <w:r w:rsidRPr="00EA1BB2">
              <w:rPr>
                <w:rFonts w:ascii="Cambria" w:hAnsi="Cambria"/>
                <w:sz w:val="24"/>
                <w:szCs w:val="24"/>
              </w:rPr>
              <w:t>RNMCA</w:t>
            </w:r>
          </w:p>
        </w:tc>
        <w:tc>
          <w:tcPr>
            <w:tcW w:w="1744" w:type="dxa"/>
            <w:vAlign w:val="center"/>
          </w:tcPr>
          <w:p w14:paraId="476518FF" w14:textId="77777777" w:rsidR="00F61EEF" w:rsidRPr="00EA1BB2" w:rsidRDefault="00F61EEF" w:rsidP="00DC196B">
            <w:pPr>
              <w:jc w:val="center"/>
              <w:rPr>
                <w:rFonts w:ascii="Cambria" w:hAnsi="Cambria"/>
                <w:sz w:val="24"/>
                <w:szCs w:val="24"/>
              </w:rPr>
            </w:pPr>
          </w:p>
        </w:tc>
        <w:tc>
          <w:tcPr>
            <w:tcW w:w="1373" w:type="dxa"/>
            <w:vMerge/>
          </w:tcPr>
          <w:p w14:paraId="0C7CCDE0" w14:textId="77777777" w:rsidR="00F61EEF" w:rsidRPr="00EA1BB2" w:rsidRDefault="00F61EEF" w:rsidP="00DC196B">
            <w:pPr>
              <w:rPr>
                <w:rFonts w:ascii="Cambria" w:hAnsi="Cambria"/>
                <w:sz w:val="24"/>
                <w:szCs w:val="24"/>
              </w:rPr>
            </w:pPr>
          </w:p>
        </w:tc>
        <w:tc>
          <w:tcPr>
            <w:tcW w:w="1713" w:type="dxa"/>
            <w:vMerge/>
            <w:vAlign w:val="center"/>
          </w:tcPr>
          <w:p w14:paraId="2AF2B8AF" w14:textId="77777777" w:rsidR="00F61EEF" w:rsidRPr="00EA1BB2" w:rsidRDefault="00F61EEF" w:rsidP="00DC196B">
            <w:pPr>
              <w:jc w:val="center"/>
              <w:rPr>
                <w:rFonts w:ascii="Cambria" w:hAnsi="Cambria"/>
                <w:sz w:val="24"/>
                <w:szCs w:val="24"/>
              </w:rPr>
            </w:pPr>
          </w:p>
        </w:tc>
        <w:tc>
          <w:tcPr>
            <w:tcW w:w="1270" w:type="dxa"/>
            <w:vMerge/>
            <w:vAlign w:val="center"/>
          </w:tcPr>
          <w:p w14:paraId="3CA3CECB" w14:textId="77777777" w:rsidR="00F61EEF" w:rsidRPr="00EA1BB2" w:rsidRDefault="00F61EEF" w:rsidP="00DC196B">
            <w:pPr>
              <w:jc w:val="center"/>
              <w:rPr>
                <w:rFonts w:ascii="Cambria" w:hAnsi="Cambria"/>
                <w:sz w:val="24"/>
                <w:szCs w:val="24"/>
              </w:rPr>
            </w:pPr>
          </w:p>
        </w:tc>
        <w:tc>
          <w:tcPr>
            <w:tcW w:w="2127" w:type="dxa"/>
            <w:vAlign w:val="center"/>
          </w:tcPr>
          <w:p w14:paraId="73410494" w14:textId="77777777" w:rsidR="00F61EEF" w:rsidRPr="00EA1BB2" w:rsidRDefault="00F61EEF" w:rsidP="00DC196B">
            <w:pPr>
              <w:jc w:val="center"/>
              <w:rPr>
                <w:rFonts w:ascii="Cambria" w:hAnsi="Cambria"/>
                <w:sz w:val="24"/>
                <w:szCs w:val="24"/>
              </w:rPr>
            </w:pPr>
            <w:r w:rsidRPr="00EA1BB2">
              <w:rPr>
                <w:rFonts w:ascii="Cambria" w:hAnsi="Cambria"/>
                <w:sz w:val="24"/>
                <w:szCs w:val="24"/>
              </w:rPr>
              <w:t>Surse mobile</w:t>
            </w:r>
          </w:p>
        </w:tc>
        <w:tc>
          <w:tcPr>
            <w:tcW w:w="1701" w:type="dxa"/>
            <w:vAlign w:val="center"/>
          </w:tcPr>
          <w:p w14:paraId="2059A2DF" w14:textId="77777777" w:rsidR="00F61EEF" w:rsidRPr="00EA1BB2" w:rsidRDefault="00F61EEF" w:rsidP="00DC196B">
            <w:pPr>
              <w:jc w:val="right"/>
              <w:rPr>
                <w:rFonts w:ascii="Cambria" w:hAnsi="Cambria"/>
                <w:sz w:val="24"/>
                <w:szCs w:val="24"/>
              </w:rPr>
            </w:pPr>
            <w:r w:rsidRPr="00EA1BB2">
              <w:rPr>
                <w:rFonts w:ascii="Cambria" w:hAnsi="Cambria"/>
                <w:sz w:val="24"/>
                <w:szCs w:val="24"/>
              </w:rPr>
              <w:t>720,021284</w:t>
            </w:r>
          </w:p>
        </w:tc>
      </w:tr>
      <w:tr w:rsidR="00F61EEF" w:rsidRPr="00EA1BB2" w14:paraId="2CA79D36" w14:textId="77777777" w:rsidTr="00AC454E">
        <w:trPr>
          <w:jc w:val="center"/>
        </w:trPr>
        <w:tc>
          <w:tcPr>
            <w:tcW w:w="1844" w:type="dxa"/>
            <w:vMerge/>
          </w:tcPr>
          <w:p w14:paraId="4420A727" w14:textId="77777777" w:rsidR="00F61EEF" w:rsidRPr="00EA1BB2" w:rsidRDefault="00F61EEF" w:rsidP="00DC196B">
            <w:pPr>
              <w:rPr>
                <w:rFonts w:ascii="Cambria" w:hAnsi="Cambria"/>
                <w:sz w:val="24"/>
                <w:szCs w:val="24"/>
              </w:rPr>
            </w:pPr>
          </w:p>
        </w:tc>
        <w:tc>
          <w:tcPr>
            <w:tcW w:w="1275" w:type="dxa"/>
            <w:vMerge/>
            <w:vAlign w:val="center"/>
          </w:tcPr>
          <w:p w14:paraId="33B951C5" w14:textId="77777777" w:rsidR="00F61EEF" w:rsidRPr="00EA1BB2" w:rsidRDefault="00F61EEF" w:rsidP="00DC196B">
            <w:pPr>
              <w:jc w:val="center"/>
              <w:rPr>
                <w:rFonts w:ascii="Cambria" w:hAnsi="Cambria"/>
                <w:sz w:val="24"/>
                <w:szCs w:val="24"/>
              </w:rPr>
            </w:pPr>
          </w:p>
        </w:tc>
        <w:tc>
          <w:tcPr>
            <w:tcW w:w="1560" w:type="dxa"/>
            <w:vAlign w:val="center"/>
          </w:tcPr>
          <w:p w14:paraId="6782BACC" w14:textId="77777777" w:rsidR="00F61EEF" w:rsidRPr="00EA1BB2" w:rsidRDefault="00F61EEF" w:rsidP="00DC196B">
            <w:pPr>
              <w:jc w:val="center"/>
              <w:rPr>
                <w:rFonts w:ascii="Cambria" w:hAnsi="Cambria"/>
                <w:sz w:val="24"/>
                <w:szCs w:val="24"/>
              </w:rPr>
            </w:pPr>
            <w:r w:rsidRPr="00EA1BB2">
              <w:rPr>
                <w:rFonts w:ascii="Cambria" w:hAnsi="Cambria"/>
                <w:sz w:val="24"/>
                <w:szCs w:val="24"/>
              </w:rPr>
              <w:t>Modelare</w:t>
            </w:r>
          </w:p>
        </w:tc>
        <w:tc>
          <w:tcPr>
            <w:tcW w:w="1744" w:type="dxa"/>
            <w:vAlign w:val="center"/>
          </w:tcPr>
          <w:p w14:paraId="1D4501D9" w14:textId="77777777" w:rsidR="00F61EEF" w:rsidRPr="00EA1BB2" w:rsidRDefault="00F61EEF" w:rsidP="00DC196B">
            <w:pPr>
              <w:jc w:val="center"/>
              <w:rPr>
                <w:rFonts w:ascii="Cambria" w:hAnsi="Cambria"/>
                <w:sz w:val="24"/>
                <w:szCs w:val="24"/>
              </w:rPr>
            </w:pPr>
            <w:r w:rsidRPr="00EA1BB2">
              <w:rPr>
                <w:rFonts w:ascii="Cambria" w:hAnsi="Cambria"/>
                <w:sz w:val="24"/>
                <w:szCs w:val="24"/>
              </w:rPr>
              <w:t>26,53</w:t>
            </w:r>
          </w:p>
        </w:tc>
        <w:tc>
          <w:tcPr>
            <w:tcW w:w="1373" w:type="dxa"/>
            <w:vMerge/>
          </w:tcPr>
          <w:p w14:paraId="7B649E39" w14:textId="77777777" w:rsidR="00F61EEF" w:rsidRPr="00EA1BB2" w:rsidRDefault="00F61EEF" w:rsidP="00DC196B">
            <w:pPr>
              <w:rPr>
                <w:rFonts w:ascii="Cambria" w:hAnsi="Cambria"/>
                <w:sz w:val="24"/>
                <w:szCs w:val="24"/>
              </w:rPr>
            </w:pPr>
          </w:p>
        </w:tc>
        <w:tc>
          <w:tcPr>
            <w:tcW w:w="1713" w:type="dxa"/>
            <w:vMerge/>
            <w:vAlign w:val="center"/>
          </w:tcPr>
          <w:p w14:paraId="5E16D9FB" w14:textId="77777777" w:rsidR="00F61EEF" w:rsidRPr="00EA1BB2" w:rsidRDefault="00F61EEF" w:rsidP="00DC196B">
            <w:pPr>
              <w:jc w:val="center"/>
              <w:rPr>
                <w:rFonts w:ascii="Cambria" w:hAnsi="Cambria"/>
                <w:sz w:val="24"/>
                <w:szCs w:val="24"/>
              </w:rPr>
            </w:pPr>
          </w:p>
        </w:tc>
        <w:tc>
          <w:tcPr>
            <w:tcW w:w="1270" w:type="dxa"/>
            <w:vMerge/>
            <w:vAlign w:val="center"/>
          </w:tcPr>
          <w:p w14:paraId="2DB553F7" w14:textId="77777777" w:rsidR="00F61EEF" w:rsidRPr="00EA1BB2" w:rsidRDefault="00F61EEF" w:rsidP="00DC196B">
            <w:pPr>
              <w:jc w:val="center"/>
              <w:rPr>
                <w:rFonts w:ascii="Cambria" w:hAnsi="Cambria"/>
                <w:sz w:val="24"/>
                <w:szCs w:val="24"/>
              </w:rPr>
            </w:pPr>
          </w:p>
        </w:tc>
        <w:tc>
          <w:tcPr>
            <w:tcW w:w="2127" w:type="dxa"/>
            <w:vAlign w:val="center"/>
          </w:tcPr>
          <w:p w14:paraId="20630625" w14:textId="77777777" w:rsidR="00F61EEF" w:rsidRPr="00EA1BB2" w:rsidRDefault="00F61EEF" w:rsidP="00DC196B">
            <w:pPr>
              <w:jc w:val="center"/>
              <w:rPr>
                <w:rFonts w:ascii="Cambria" w:hAnsi="Cambria"/>
                <w:sz w:val="24"/>
                <w:szCs w:val="24"/>
              </w:rPr>
            </w:pPr>
            <w:r w:rsidRPr="00EA1BB2">
              <w:rPr>
                <w:rFonts w:ascii="Cambria" w:hAnsi="Cambria"/>
                <w:sz w:val="24"/>
                <w:szCs w:val="24"/>
              </w:rPr>
              <w:t>Surse de suprafață</w:t>
            </w:r>
          </w:p>
        </w:tc>
        <w:tc>
          <w:tcPr>
            <w:tcW w:w="1701" w:type="dxa"/>
            <w:vAlign w:val="center"/>
          </w:tcPr>
          <w:p w14:paraId="11EF8400" w14:textId="77777777" w:rsidR="00F61EEF" w:rsidRPr="00EA1BB2" w:rsidRDefault="00F61EEF" w:rsidP="00DC196B">
            <w:pPr>
              <w:jc w:val="right"/>
              <w:rPr>
                <w:rFonts w:ascii="Cambria" w:hAnsi="Cambria"/>
                <w:sz w:val="24"/>
                <w:szCs w:val="24"/>
              </w:rPr>
            </w:pPr>
            <w:r w:rsidRPr="00EA1BB2">
              <w:rPr>
                <w:rFonts w:ascii="Cambria" w:hAnsi="Cambria"/>
                <w:sz w:val="24"/>
                <w:szCs w:val="24"/>
              </w:rPr>
              <w:t>191,678338</w:t>
            </w:r>
          </w:p>
        </w:tc>
      </w:tr>
      <w:tr w:rsidR="00AC454E" w:rsidRPr="00EA1BB2" w14:paraId="12031E2F" w14:textId="77777777" w:rsidTr="00AC454E">
        <w:trPr>
          <w:jc w:val="center"/>
        </w:trPr>
        <w:tc>
          <w:tcPr>
            <w:tcW w:w="1844" w:type="dxa"/>
            <w:vMerge/>
          </w:tcPr>
          <w:p w14:paraId="3546F6B6" w14:textId="77777777" w:rsidR="00AC454E" w:rsidRPr="00EA1BB2" w:rsidRDefault="00AC454E" w:rsidP="00DC196B">
            <w:pPr>
              <w:rPr>
                <w:rFonts w:ascii="Cambria" w:hAnsi="Cambria"/>
                <w:sz w:val="24"/>
                <w:szCs w:val="24"/>
              </w:rPr>
            </w:pPr>
          </w:p>
        </w:tc>
        <w:tc>
          <w:tcPr>
            <w:tcW w:w="1275" w:type="dxa"/>
            <w:vMerge w:val="restart"/>
            <w:vAlign w:val="center"/>
          </w:tcPr>
          <w:p w14:paraId="7E7372A3" w14:textId="77777777" w:rsidR="00AC454E" w:rsidRPr="00EA1BB2" w:rsidRDefault="00AC454E" w:rsidP="00DC196B">
            <w:pPr>
              <w:jc w:val="center"/>
              <w:rPr>
                <w:rFonts w:ascii="Cambria" w:hAnsi="Cambria"/>
                <w:sz w:val="24"/>
                <w:szCs w:val="24"/>
              </w:rPr>
            </w:pPr>
            <w:r w:rsidRPr="00EA1BB2">
              <w:rPr>
                <w:rFonts w:ascii="Cambria" w:hAnsi="Cambria"/>
                <w:sz w:val="24"/>
                <w:szCs w:val="24"/>
              </w:rPr>
              <w:t>Pulberi în suspensie-PM</w:t>
            </w:r>
            <w:r w:rsidRPr="00EA1BB2">
              <w:rPr>
                <w:rFonts w:ascii="Cambria" w:hAnsi="Cambria"/>
                <w:sz w:val="24"/>
                <w:szCs w:val="24"/>
                <w:vertAlign w:val="subscript"/>
              </w:rPr>
              <w:t xml:space="preserve">10 </w:t>
            </w:r>
            <w:r w:rsidRPr="00EA1BB2">
              <w:rPr>
                <w:rFonts w:ascii="Cambria" w:hAnsi="Cambria"/>
                <w:sz w:val="24"/>
                <w:szCs w:val="24"/>
              </w:rPr>
              <w:t>(µg/m</w:t>
            </w:r>
            <w:r w:rsidRPr="00EA1BB2">
              <w:rPr>
                <w:rFonts w:ascii="Cambria" w:hAnsi="Cambria"/>
                <w:sz w:val="24"/>
                <w:szCs w:val="24"/>
                <w:vertAlign w:val="superscript"/>
              </w:rPr>
              <w:t>3</w:t>
            </w:r>
            <w:r w:rsidRPr="00EA1BB2">
              <w:rPr>
                <w:rFonts w:ascii="Cambria" w:hAnsi="Cambria"/>
                <w:sz w:val="24"/>
                <w:szCs w:val="24"/>
              </w:rPr>
              <w:t>)</w:t>
            </w:r>
          </w:p>
        </w:tc>
        <w:tc>
          <w:tcPr>
            <w:tcW w:w="1560" w:type="dxa"/>
            <w:vAlign w:val="center"/>
          </w:tcPr>
          <w:p w14:paraId="2E01E535" w14:textId="77777777" w:rsidR="00AC454E" w:rsidRPr="00EA1BB2" w:rsidRDefault="00AC454E" w:rsidP="00DC196B">
            <w:pPr>
              <w:jc w:val="center"/>
              <w:rPr>
                <w:rFonts w:ascii="Cambria" w:hAnsi="Cambria"/>
                <w:sz w:val="24"/>
                <w:szCs w:val="24"/>
              </w:rPr>
            </w:pPr>
            <w:r w:rsidRPr="00EA1BB2">
              <w:rPr>
                <w:rFonts w:ascii="Cambria" w:hAnsi="Cambria"/>
                <w:sz w:val="24"/>
                <w:szCs w:val="24"/>
              </w:rPr>
              <w:t>RNMCA</w:t>
            </w:r>
          </w:p>
        </w:tc>
        <w:tc>
          <w:tcPr>
            <w:tcW w:w="1744" w:type="dxa"/>
            <w:vAlign w:val="center"/>
          </w:tcPr>
          <w:p w14:paraId="19C2DDD3" w14:textId="77777777" w:rsidR="00AC454E" w:rsidRPr="00EA1BB2" w:rsidRDefault="00AC454E" w:rsidP="00DC196B">
            <w:pPr>
              <w:jc w:val="center"/>
              <w:rPr>
                <w:rFonts w:ascii="Cambria" w:hAnsi="Cambria"/>
                <w:sz w:val="24"/>
                <w:szCs w:val="24"/>
              </w:rPr>
            </w:pPr>
            <w:r w:rsidRPr="00EA1BB2">
              <w:rPr>
                <w:rFonts w:ascii="Cambria" w:hAnsi="Cambria"/>
                <w:sz w:val="24"/>
                <w:szCs w:val="24"/>
              </w:rPr>
              <w:t>30,94</w:t>
            </w:r>
          </w:p>
        </w:tc>
        <w:tc>
          <w:tcPr>
            <w:tcW w:w="1373" w:type="dxa"/>
            <w:vMerge w:val="restart"/>
          </w:tcPr>
          <w:p w14:paraId="63C4AAA3" w14:textId="77777777" w:rsidR="00AC454E" w:rsidRPr="00EA1BB2" w:rsidRDefault="00AC454E" w:rsidP="00DC196B">
            <w:pPr>
              <w:rPr>
                <w:rFonts w:ascii="Cambria" w:hAnsi="Cambria"/>
                <w:sz w:val="24"/>
                <w:szCs w:val="24"/>
              </w:rPr>
            </w:pPr>
          </w:p>
        </w:tc>
        <w:tc>
          <w:tcPr>
            <w:tcW w:w="1713" w:type="dxa"/>
            <w:vMerge w:val="restart"/>
            <w:vAlign w:val="center"/>
          </w:tcPr>
          <w:p w14:paraId="0AD317E5" w14:textId="77777777" w:rsidR="00AC454E" w:rsidRPr="00EA1BB2" w:rsidRDefault="00AC454E" w:rsidP="00DC196B">
            <w:pPr>
              <w:jc w:val="center"/>
              <w:rPr>
                <w:rFonts w:ascii="Cambria" w:hAnsi="Cambria"/>
                <w:sz w:val="24"/>
                <w:szCs w:val="24"/>
              </w:rPr>
            </w:pPr>
            <w:r w:rsidRPr="00EA1BB2">
              <w:rPr>
                <w:rFonts w:ascii="Cambria" w:hAnsi="Cambria"/>
                <w:sz w:val="24"/>
                <w:szCs w:val="24"/>
              </w:rPr>
              <w:t>1 an</w:t>
            </w:r>
          </w:p>
          <w:p w14:paraId="5F485626" w14:textId="3653B880" w:rsidR="00AC454E" w:rsidRPr="00EA1BB2" w:rsidRDefault="00AC454E" w:rsidP="00AC454E">
            <w:pPr>
              <w:jc w:val="center"/>
              <w:rPr>
                <w:rFonts w:ascii="Cambria" w:hAnsi="Cambria"/>
                <w:sz w:val="24"/>
                <w:szCs w:val="24"/>
              </w:rPr>
            </w:pPr>
            <w:r w:rsidRPr="00EA1BB2">
              <w:rPr>
                <w:rFonts w:ascii="Cambria" w:hAnsi="Cambria"/>
                <w:sz w:val="24"/>
                <w:szCs w:val="24"/>
              </w:rPr>
              <w:t>1 an</w:t>
            </w:r>
          </w:p>
        </w:tc>
        <w:tc>
          <w:tcPr>
            <w:tcW w:w="1270" w:type="dxa"/>
            <w:vMerge w:val="restart"/>
            <w:vAlign w:val="center"/>
          </w:tcPr>
          <w:p w14:paraId="751DE537" w14:textId="77777777" w:rsidR="00AC454E" w:rsidRPr="00EA1BB2" w:rsidRDefault="00AC454E" w:rsidP="00DC196B">
            <w:pPr>
              <w:jc w:val="center"/>
              <w:rPr>
                <w:rFonts w:ascii="Cambria" w:hAnsi="Cambria"/>
                <w:sz w:val="24"/>
                <w:szCs w:val="24"/>
              </w:rPr>
            </w:pPr>
            <w:r w:rsidRPr="00EA1BB2">
              <w:rPr>
                <w:rFonts w:ascii="Cambria" w:hAnsi="Cambria"/>
                <w:sz w:val="24"/>
                <w:szCs w:val="24"/>
              </w:rPr>
              <w:t>2010-2014</w:t>
            </w:r>
          </w:p>
        </w:tc>
        <w:tc>
          <w:tcPr>
            <w:tcW w:w="2127" w:type="dxa"/>
            <w:vAlign w:val="center"/>
          </w:tcPr>
          <w:p w14:paraId="16EF6106" w14:textId="77777777" w:rsidR="00AC454E" w:rsidRPr="00EA1BB2" w:rsidRDefault="00AC454E" w:rsidP="00DC196B">
            <w:pPr>
              <w:jc w:val="center"/>
              <w:rPr>
                <w:rFonts w:ascii="Cambria" w:hAnsi="Cambria"/>
                <w:sz w:val="24"/>
                <w:szCs w:val="24"/>
              </w:rPr>
            </w:pPr>
            <w:r w:rsidRPr="00EA1BB2">
              <w:rPr>
                <w:rFonts w:ascii="Cambria" w:hAnsi="Cambria"/>
                <w:sz w:val="24"/>
                <w:szCs w:val="24"/>
              </w:rPr>
              <w:t>Surse staționare</w:t>
            </w:r>
          </w:p>
        </w:tc>
        <w:tc>
          <w:tcPr>
            <w:tcW w:w="1701" w:type="dxa"/>
            <w:vAlign w:val="center"/>
          </w:tcPr>
          <w:p w14:paraId="7869E856" w14:textId="77777777" w:rsidR="00AC454E" w:rsidRPr="00EA1BB2" w:rsidRDefault="00AC454E" w:rsidP="00DC196B">
            <w:pPr>
              <w:jc w:val="right"/>
              <w:rPr>
                <w:rFonts w:ascii="Cambria" w:hAnsi="Cambria"/>
                <w:sz w:val="24"/>
                <w:szCs w:val="24"/>
              </w:rPr>
            </w:pPr>
            <w:r w:rsidRPr="00EA1BB2">
              <w:rPr>
                <w:rFonts w:ascii="Cambria" w:hAnsi="Cambria"/>
                <w:sz w:val="24"/>
                <w:szCs w:val="24"/>
              </w:rPr>
              <w:t>504,581863</w:t>
            </w:r>
          </w:p>
        </w:tc>
      </w:tr>
      <w:tr w:rsidR="00AC454E" w:rsidRPr="00EA1BB2" w14:paraId="39146175" w14:textId="77777777" w:rsidTr="00AC454E">
        <w:trPr>
          <w:jc w:val="center"/>
        </w:trPr>
        <w:tc>
          <w:tcPr>
            <w:tcW w:w="1844" w:type="dxa"/>
            <w:vMerge/>
          </w:tcPr>
          <w:p w14:paraId="1CA9BD21" w14:textId="77777777" w:rsidR="00AC454E" w:rsidRPr="00EA1BB2" w:rsidRDefault="00AC454E" w:rsidP="00DC196B">
            <w:pPr>
              <w:rPr>
                <w:rFonts w:ascii="Cambria" w:hAnsi="Cambria"/>
                <w:sz w:val="24"/>
                <w:szCs w:val="24"/>
              </w:rPr>
            </w:pPr>
          </w:p>
        </w:tc>
        <w:tc>
          <w:tcPr>
            <w:tcW w:w="1275" w:type="dxa"/>
            <w:vMerge/>
            <w:vAlign w:val="center"/>
          </w:tcPr>
          <w:p w14:paraId="36C95C7A" w14:textId="77777777" w:rsidR="00AC454E" w:rsidRPr="00EA1BB2" w:rsidRDefault="00AC454E" w:rsidP="00DC196B">
            <w:pPr>
              <w:jc w:val="center"/>
              <w:rPr>
                <w:rFonts w:ascii="Cambria" w:hAnsi="Cambria"/>
                <w:sz w:val="24"/>
                <w:szCs w:val="24"/>
              </w:rPr>
            </w:pPr>
          </w:p>
        </w:tc>
        <w:tc>
          <w:tcPr>
            <w:tcW w:w="1560" w:type="dxa"/>
            <w:vAlign w:val="center"/>
          </w:tcPr>
          <w:p w14:paraId="65ED84B7" w14:textId="77777777" w:rsidR="00AC454E" w:rsidRPr="00EA1BB2" w:rsidRDefault="00AC454E" w:rsidP="00DC196B">
            <w:pPr>
              <w:jc w:val="center"/>
              <w:rPr>
                <w:rFonts w:ascii="Cambria" w:hAnsi="Cambria"/>
                <w:sz w:val="24"/>
                <w:szCs w:val="24"/>
              </w:rPr>
            </w:pPr>
            <w:r w:rsidRPr="00EA1BB2">
              <w:rPr>
                <w:rFonts w:ascii="Cambria" w:hAnsi="Cambria"/>
                <w:sz w:val="24"/>
                <w:szCs w:val="24"/>
              </w:rPr>
              <w:t>Modelare</w:t>
            </w:r>
          </w:p>
        </w:tc>
        <w:tc>
          <w:tcPr>
            <w:tcW w:w="1744" w:type="dxa"/>
            <w:vAlign w:val="center"/>
          </w:tcPr>
          <w:p w14:paraId="64095CDC" w14:textId="77777777" w:rsidR="00AC454E" w:rsidRPr="00EA1BB2" w:rsidRDefault="00AC454E" w:rsidP="00DC196B">
            <w:pPr>
              <w:jc w:val="center"/>
              <w:rPr>
                <w:rFonts w:ascii="Cambria" w:hAnsi="Cambria"/>
                <w:sz w:val="24"/>
                <w:szCs w:val="24"/>
              </w:rPr>
            </w:pPr>
            <w:r w:rsidRPr="00EA1BB2">
              <w:rPr>
                <w:rFonts w:ascii="Cambria" w:hAnsi="Cambria"/>
                <w:sz w:val="24"/>
                <w:szCs w:val="24"/>
              </w:rPr>
              <w:t>34,91</w:t>
            </w:r>
          </w:p>
        </w:tc>
        <w:tc>
          <w:tcPr>
            <w:tcW w:w="1373" w:type="dxa"/>
            <w:vMerge/>
          </w:tcPr>
          <w:p w14:paraId="563C51D7" w14:textId="77777777" w:rsidR="00AC454E" w:rsidRPr="00EA1BB2" w:rsidRDefault="00AC454E" w:rsidP="00DC196B">
            <w:pPr>
              <w:rPr>
                <w:rFonts w:ascii="Cambria" w:hAnsi="Cambria"/>
                <w:sz w:val="24"/>
                <w:szCs w:val="24"/>
              </w:rPr>
            </w:pPr>
          </w:p>
        </w:tc>
        <w:tc>
          <w:tcPr>
            <w:tcW w:w="1713" w:type="dxa"/>
            <w:vMerge/>
            <w:vAlign w:val="center"/>
          </w:tcPr>
          <w:p w14:paraId="631C90DA" w14:textId="77777777" w:rsidR="00AC454E" w:rsidRPr="00EA1BB2" w:rsidRDefault="00AC454E" w:rsidP="00AC454E">
            <w:pPr>
              <w:jc w:val="center"/>
              <w:rPr>
                <w:rFonts w:ascii="Cambria" w:hAnsi="Cambria"/>
                <w:sz w:val="24"/>
                <w:szCs w:val="24"/>
              </w:rPr>
            </w:pPr>
          </w:p>
        </w:tc>
        <w:tc>
          <w:tcPr>
            <w:tcW w:w="1270" w:type="dxa"/>
            <w:vMerge/>
            <w:vAlign w:val="center"/>
          </w:tcPr>
          <w:p w14:paraId="59EDDCAD" w14:textId="77777777" w:rsidR="00AC454E" w:rsidRPr="00EA1BB2" w:rsidRDefault="00AC454E" w:rsidP="00DC196B">
            <w:pPr>
              <w:jc w:val="center"/>
              <w:rPr>
                <w:rFonts w:ascii="Cambria" w:hAnsi="Cambria"/>
                <w:sz w:val="24"/>
                <w:szCs w:val="24"/>
              </w:rPr>
            </w:pPr>
          </w:p>
        </w:tc>
        <w:tc>
          <w:tcPr>
            <w:tcW w:w="2127" w:type="dxa"/>
            <w:vAlign w:val="center"/>
          </w:tcPr>
          <w:p w14:paraId="1537BEC1" w14:textId="77777777" w:rsidR="00AC454E" w:rsidRPr="00EA1BB2" w:rsidRDefault="00AC454E" w:rsidP="00DC196B">
            <w:pPr>
              <w:jc w:val="center"/>
              <w:rPr>
                <w:rFonts w:ascii="Cambria" w:hAnsi="Cambria"/>
                <w:sz w:val="24"/>
                <w:szCs w:val="24"/>
              </w:rPr>
            </w:pPr>
            <w:r w:rsidRPr="00EA1BB2">
              <w:rPr>
                <w:rFonts w:ascii="Cambria" w:hAnsi="Cambria"/>
                <w:sz w:val="24"/>
                <w:szCs w:val="24"/>
              </w:rPr>
              <w:t>Surse mobile</w:t>
            </w:r>
          </w:p>
        </w:tc>
        <w:tc>
          <w:tcPr>
            <w:tcW w:w="1701" w:type="dxa"/>
            <w:vAlign w:val="center"/>
          </w:tcPr>
          <w:p w14:paraId="169DA6CA" w14:textId="77777777" w:rsidR="00AC454E" w:rsidRPr="00EA1BB2" w:rsidRDefault="00AC454E" w:rsidP="00DC196B">
            <w:pPr>
              <w:jc w:val="right"/>
              <w:rPr>
                <w:rFonts w:ascii="Cambria" w:hAnsi="Cambria"/>
                <w:sz w:val="24"/>
                <w:szCs w:val="24"/>
              </w:rPr>
            </w:pPr>
            <w:r w:rsidRPr="00EA1BB2">
              <w:rPr>
                <w:rFonts w:ascii="Cambria" w:hAnsi="Cambria"/>
                <w:sz w:val="24"/>
                <w:szCs w:val="24"/>
              </w:rPr>
              <w:t>720,035461</w:t>
            </w:r>
          </w:p>
        </w:tc>
      </w:tr>
      <w:tr w:rsidR="00F61EEF" w:rsidRPr="00EA1BB2" w14:paraId="3EAC73C5" w14:textId="77777777" w:rsidTr="00AC454E">
        <w:trPr>
          <w:jc w:val="center"/>
        </w:trPr>
        <w:tc>
          <w:tcPr>
            <w:tcW w:w="1844" w:type="dxa"/>
            <w:vMerge/>
          </w:tcPr>
          <w:p w14:paraId="5DEBA9AE" w14:textId="77777777" w:rsidR="00F61EEF" w:rsidRPr="00EA1BB2" w:rsidRDefault="00F61EEF" w:rsidP="00DC196B">
            <w:pPr>
              <w:rPr>
                <w:rFonts w:ascii="Cambria" w:hAnsi="Cambria"/>
                <w:sz w:val="24"/>
                <w:szCs w:val="24"/>
              </w:rPr>
            </w:pPr>
          </w:p>
        </w:tc>
        <w:tc>
          <w:tcPr>
            <w:tcW w:w="1275" w:type="dxa"/>
            <w:vMerge/>
            <w:vAlign w:val="center"/>
          </w:tcPr>
          <w:p w14:paraId="34D972CB" w14:textId="77777777" w:rsidR="00F61EEF" w:rsidRPr="00EA1BB2" w:rsidRDefault="00F61EEF" w:rsidP="00DC196B">
            <w:pPr>
              <w:jc w:val="center"/>
              <w:rPr>
                <w:rFonts w:ascii="Cambria" w:hAnsi="Cambria"/>
                <w:sz w:val="24"/>
                <w:szCs w:val="24"/>
              </w:rPr>
            </w:pPr>
          </w:p>
        </w:tc>
        <w:tc>
          <w:tcPr>
            <w:tcW w:w="1560" w:type="dxa"/>
            <w:vAlign w:val="center"/>
          </w:tcPr>
          <w:p w14:paraId="1515B5E2" w14:textId="77777777" w:rsidR="00F61EEF" w:rsidRPr="00EA1BB2" w:rsidRDefault="00F61EEF" w:rsidP="00DC196B">
            <w:pPr>
              <w:jc w:val="center"/>
              <w:rPr>
                <w:rFonts w:ascii="Cambria" w:hAnsi="Cambria"/>
                <w:sz w:val="24"/>
                <w:szCs w:val="24"/>
              </w:rPr>
            </w:pPr>
            <w:r w:rsidRPr="00EA1BB2">
              <w:rPr>
                <w:rFonts w:ascii="Cambria" w:hAnsi="Cambria"/>
                <w:sz w:val="24"/>
                <w:szCs w:val="24"/>
              </w:rPr>
              <w:t>Modelare</w:t>
            </w:r>
          </w:p>
        </w:tc>
        <w:tc>
          <w:tcPr>
            <w:tcW w:w="1744" w:type="dxa"/>
            <w:vAlign w:val="center"/>
          </w:tcPr>
          <w:p w14:paraId="7CEF544C" w14:textId="77777777" w:rsidR="00F61EEF" w:rsidRPr="00EA1BB2" w:rsidRDefault="00F61EEF" w:rsidP="00DC196B">
            <w:pPr>
              <w:jc w:val="center"/>
              <w:rPr>
                <w:rFonts w:ascii="Cambria" w:hAnsi="Cambria"/>
                <w:sz w:val="24"/>
                <w:szCs w:val="24"/>
              </w:rPr>
            </w:pPr>
            <w:r w:rsidRPr="00EA1BB2">
              <w:rPr>
                <w:rFonts w:ascii="Cambria" w:hAnsi="Cambria"/>
                <w:sz w:val="24"/>
                <w:szCs w:val="24"/>
              </w:rPr>
              <w:t>48,24</w:t>
            </w:r>
          </w:p>
        </w:tc>
        <w:tc>
          <w:tcPr>
            <w:tcW w:w="1373" w:type="dxa"/>
            <w:vMerge/>
          </w:tcPr>
          <w:p w14:paraId="0481E678" w14:textId="77777777" w:rsidR="00F61EEF" w:rsidRPr="00EA1BB2" w:rsidRDefault="00F61EEF" w:rsidP="00DC196B">
            <w:pPr>
              <w:rPr>
                <w:rFonts w:ascii="Cambria" w:hAnsi="Cambria"/>
                <w:sz w:val="24"/>
                <w:szCs w:val="24"/>
              </w:rPr>
            </w:pPr>
          </w:p>
        </w:tc>
        <w:tc>
          <w:tcPr>
            <w:tcW w:w="1713" w:type="dxa"/>
            <w:vAlign w:val="center"/>
          </w:tcPr>
          <w:p w14:paraId="06732AA4" w14:textId="77777777" w:rsidR="00F61EEF" w:rsidRPr="00EA1BB2" w:rsidRDefault="00AC454E" w:rsidP="00DC196B">
            <w:pPr>
              <w:keepNext/>
              <w:keepLines/>
              <w:spacing w:before="240" w:line="360" w:lineRule="auto"/>
              <w:jc w:val="center"/>
              <w:outlineLvl w:val="0"/>
              <w:rPr>
                <w:rFonts w:ascii="Cambria" w:hAnsi="Cambria"/>
                <w:sz w:val="24"/>
                <w:szCs w:val="24"/>
              </w:rPr>
            </w:pPr>
            <w:bookmarkStart w:id="14" w:name="_Toc526889695"/>
            <w:r w:rsidRPr="00EA1BB2">
              <w:rPr>
                <w:rFonts w:ascii="Cambria" w:hAnsi="Cambria"/>
                <w:sz w:val="24"/>
                <w:szCs w:val="24"/>
              </w:rPr>
              <w:t>24 ore</w:t>
            </w:r>
            <w:bookmarkEnd w:id="14"/>
          </w:p>
        </w:tc>
        <w:tc>
          <w:tcPr>
            <w:tcW w:w="1270" w:type="dxa"/>
            <w:vMerge/>
            <w:vAlign w:val="center"/>
          </w:tcPr>
          <w:p w14:paraId="0B378D07" w14:textId="77777777" w:rsidR="00F61EEF" w:rsidRPr="00EA1BB2" w:rsidRDefault="00F61EEF" w:rsidP="00DC196B">
            <w:pPr>
              <w:jc w:val="center"/>
              <w:rPr>
                <w:rFonts w:ascii="Cambria" w:hAnsi="Cambria"/>
                <w:sz w:val="24"/>
                <w:szCs w:val="24"/>
              </w:rPr>
            </w:pPr>
          </w:p>
        </w:tc>
        <w:tc>
          <w:tcPr>
            <w:tcW w:w="2127" w:type="dxa"/>
            <w:vAlign w:val="center"/>
          </w:tcPr>
          <w:p w14:paraId="6D2A08E7" w14:textId="77777777" w:rsidR="00F61EEF" w:rsidRPr="00EA1BB2" w:rsidRDefault="00F61EEF" w:rsidP="00DC196B">
            <w:pPr>
              <w:jc w:val="center"/>
              <w:rPr>
                <w:rFonts w:ascii="Cambria" w:hAnsi="Cambria"/>
                <w:sz w:val="24"/>
                <w:szCs w:val="24"/>
              </w:rPr>
            </w:pPr>
            <w:r w:rsidRPr="00EA1BB2">
              <w:rPr>
                <w:rFonts w:ascii="Cambria" w:hAnsi="Cambria"/>
                <w:sz w:val="24"/>
                <w:szCs w:val="24"/>
              </w:rPr>
              <w:t>Surse de suprafață</w:t>
            </w:r>
          </w:p>
        </w:tc>
        <w:tc>
          <w:tcPr>
            <w:tcW w:w="1701" w:type="dxa"/>
            <w:vAlign w:val="center"/>
          </w:tcPr>
          <w:p w14:paraId="00A46B13" w14:textId="77777777" w:rsidR="00F61EEF" w:rsidRPr="00EA1BB2" w:rsidRDefault="00F61EEF" w:rsidP="00DC196B">
            <w:pPr>
              <w:jc w:val="right"/>
              <w:rPr>
                <w:rFonts w:ascii="Cambria" w:hAnsi="Cambria"/>
                <w:sz w:val="24"/>
                <w:szCs w:val="24"/>
              </w:rPr>
            </w:pPr>
            <w:r w:rsidRPr="00EA1BB2">
              <w:rPr>
                <w:rFonts w:ascii="Cambria" w:hAnsi="Cambria"/>
                <w:sz w:val="24"/>
                <w:szCs w:val="24"/>
              </w:rPr>
              <w:t>253,327218</w:t>
            </w:r>
          </w:p>
        </w:tc>
      </w:tr>
      <w:tr w:rsidR="00F61EEF" w:rsidRPr="00EA1BB2" w14:paraId="46526B88" w14:textId="77777777" w:rsidTr="00AC454E">
        <w:trPr>
          <w:jc w:val="center"/>
        </w:trPr>
        <w:tc>
          <w:tcPr>
            <w:tcW w:w="1844" w:type="dxa"/>
            <w:vMerge/>
          </w:tcPr>
          <w:p w14:paraId="78E22B6C" w14:textId="77777777" w:rsidR="00F61EEF" w:rsidRPr="00EA1BB2" w:rsidRDefault="00F61EEF" w:rsidP="00DC196B">
            <w:pPr>
              <w:rPr>
                <w:rFonts w:ascii="Cambria" w:hAnsi="Cambria"/>
                <w:sz w:val="24"/>
                <w:szCs w:val="24"/>
              </w:rPr>
            </w:pPr>
          </w:p>
        </w:tc>
        <w:tc>
          <w:tcPr>
            <w:tcW w:w="1275" w:type="dxa"/>
            <w:vMerge w:val="restart"/>
            <w:vAlign w:val="center"/>
          </w:tcPr>
          <w:p w14:paraId="17A8D841" w14:textId="77777777" w:rsidR="00F61EEF" w:rsidRPr="00EA1BB2" w:rsidRDefault="00F61EEF" w:rsidP="00DC196B">
            <w:pPr>
              <w:jc w:val="center"/>
              <w:rPr>
                <w:rFonts w:ascii="Cambria" w:hAnsi="Cambria"/>
                <w:sz w:val="24"/>
                <w:szCs w:val="24"/>
              </w:rPr>
            </w:pPr>
            <w:r w:rsidRPr="00EA1BB2">
              <w:rPr>
                <w:rFonts w:ascii="Cambria" w:hAnsi="Cambria"/>
                <w:sz w:val="24"/>
                <w:szCs w:val="24"/>
              </w:rPr>
              <w:t>Dioxid de azot (NO2) (µg/m</w:t>
            </w:r>
            <w:r w:rsidRPr="00EA1BB2">
              <w:rPr>
                <w:rFonts w:ascii="Cambria" w:hAnsi="Cambria"/>
                <w:sz w:val="24"/>
                <w:szCs w:val="24"/>
                <w:vertAlign w:val="superscript"/>
              </w:rPr>
              <w:t>3</w:t>
            </w:r>
            <w:r w:rsidRPr="00EA1BB2">
              <w:rPr>
                <w:rFonts w:ascii="Cambria" w:hAnsi="Cambria"/>
                <w:sz w:val="24"/>
                <w:szCs w:val="24"/>
              </w:rPr>
              <w:t>)</w:t>
            </w:r>
          </w:p>
        </w:tc>
        <w:tc>
          <w:tcPr>
            <w:tcW w:w="1560" w:type="dxa"/>
            <w:vAlign w:val="center"/>
          </w:tcPr>
          <w:p w14:paraId="437CFF91" w14:textId="77777777" w:rsidR="00F61EEF" w:rsidRPr="00EA1BB2" w:rsidRDefault="00F61EEF" w:rsidP="00DC196B">
            <w:pPr>
              <w:jc w:val="center"/>
              <w:rPr>
                <w:rFonts w:ascii="Cambria" w:hAnsi="Cambria"/>
                <w:sz w:val="24"/>
                <w:szCs w:val="24"/>
              </w:rPr>
            </w:pPr>
            <w:r w:rsidRPr="00EA1BB2">
              <w:rPr>
                <w:rFonts w:ascii="Cambria" w:hAnsi="Cambria"/>
                <w:sz w:val="24"/>
                <w:szCs w:val="24"/>
              </w:rPr>
              <w:t>RNMCA</w:t>
            </w:r>
          </w:p>
        </w:tc>
        <w:tc>
          <w:tcPr>
            <w:tcW w:w="1744" w:type="dxa"/>
            <w:vAlign w:val="center"/>
          </w:tcPr>
          <w:p w14:paraId="2D65423B" w14:textId="77777777" w:rsidR="00F61EEF" w:rsidRPr="00EA1BB2" w:rsidRDefault="00F61EEF" w:rsidP="00DC196B">
            <w:pPr>
              <w:jc w:val="center"/>
              <w:rPr>
                <w:rFonts w:ascii="Cambria" w:hAnsi="Cambria"/>
                <w:sz w:val="24"/>
                <w:szCs w:val="24"/>
              </w:rPr>
            </w:pPr>
            <w:r w:rsidRPr="00EA1BB2">
              <w:rPr>
                <w:rFonts w:ascii="Cambria" w:hAnsi="Cambria"/>
                <w:sz w:val="24"/>
                <w:szCs w:val="24"/>
              </w:rPr>
              <w:t>23,94</w:t>
            </w:r>
          </w:p>
        </w:tc>
        <w:tc>
          <w:tcPr>
            <w:tcW w:w="1373" w:type="dxa"/>
            <w:vMerge w:val="restart"/>
          </w:tcPr>
          <w:p w14:paraId="20AAA222" w14:textId="77777777" w:rsidR="00F61EEF" w:rsidRPr="00EA1BB2" w:rsidRDefault="00F61EEF" w:rsidP="00DC196B">
            <w:pPr>
              <w:rPr>
                <w:rFonts w:ascii="Cambria" w:hAnsi="Cambria"/>
                <w:sz w:val="20"/>
                <w:szCs w:val="20"/>
              </w:rPr>
            </w:pPr>
            <w:r w:rsidRPr="00EA1BB2">
              <w:rPr>
                <w:rFonts w:ascii="Cambria" w:hAnsi="Cambria"/>
                <w:sz w:val="20"/>
                <w:szCs w:val="20"/>
              </w:rPr>
              <w:t>Aglomerarea</w:t>
            </w:r>
          </w:p>
          <w:p w14:paraId="4D1ABDE1" w14:textId="77777777" w:rsidR="00F61EEF" w:rsidRPr="00EA1BB2" w:rsidRDefault="00F61EEF" w:rsidP="00DC196B">
            <w:pPr>
              <w:rPr>
                <w:rFonts w:ascii="Cambria" w:hAnsi="Cambria"/>
                <w:sz w:val="24"/>
                <w:szCs w:val="24"/>
              </w:rPr>
            </w:pPr>
            <w:r w:rsidRPr="00EA1BB2">
              <w:rPr>
                <w:rFonts w:ascii="Cambria" w:hAnsi="Cambria"/>
                <w:sz w:val="20"/>
                <w:szCs w:val="20"/>
              </w:rPr>
              <w:t>Brăila</w:t>
            </w:r>
          </w:p>
        </w:tc>
        <w:tc>
          <w:tcPr>
            <w:tcW w:w="1713" w:type="dxa"/>
            <w:vMerge w:val="restart"/>
            <w:vAlign w:val="center"/>
          </w:tcPr>
          <w:p w14:paraId="15F33E2D" w14:textId="77777777" w:rsidR="00F61EEF" w:rsidRPr="00EA1BB2" w:rsidRDefault="00F61EEF" w:rsidP="00DC196B">
            <w:pPr>
              <w:jc w:val="center"/>
              <w:rPr>
                <w:rFonts w:ascii="Cambria" w:hAnsi="Cambria"/>
                <w:sz w:val="24"/>
                <w:szCs w:val="24"/>
              </w:rPr>
            </w:pPr>
            <w:r w:rsidRPr="00EA1BB2">
              <w:rPr>
                <w:rFonts w:ascii="Cambria" w:hAnsi="Cambria"/>
                <w:sz w:val="24"/>
                <w:szCs w:val="24"/>
              </w:rPr>
              <w:t>1 an</w:t>
            </w:r>
          </w:p>
          <w:p w14:paraId="2FA50B3B" w14:textId="77777777" w:rsidR="00F61EEF" w:rsidRPr="00EA1BB2" w:rsidRDefault="00F61EEF" w:rsidP="00DC196B">
            <w:pPr>
              <w:jc w:val="center"/>
              <w:rPr>
                <w:rFonts w:ascii="Cambria" w:hAnsi="Cambria"/>
                <w:sz w:val="24"/>
                <w:szCs w:val="24"/>
              </w:rPr>
            </w:pPr>
          </w:p>
        </w:tc>
        <w:tc>
          <w:tcPr>
            <w:tcW w:w="1270" w:type="dxa"/>
            <w:vMerge w:val="restart"/>
            <w:vAlign w:val="center"/>
          </w:tcPr>
          <w:p w14:paraId="69ACA9D4" w14:textId="77777777" w:rsidR="00F61EEF" w:rsidRPr="00EA1BB2" w:rsidRDefault="00F61EEF" w:rsidP="00DC196B">
            <w:pPr>
              <w:jc w:val="center"/>
              <w:rPr>
                <w:rFonts w:ascii="Cambria" w:hAnsi="Cambria"/>
                <w:sz w:val="24"/>
                <w:szCs w:val="24"/>
              </w:rPr>
            </w:pPr>
            <w:r w:rsidRPr="00EA1BB2">
              <w:rPr>
                <w:rFonts w:ascii="Cambria" w:hAnsi="Cambria"/>
                <w:sz w:val="24"/>
                <w:szCs w:val="24"/>
              </w:rPr>
              <w:t>2010-2014</w:t>
            </w:r>
          </w:p>
        </w:tc>
        <w:tc>
          <w:tcPr>
            <w:tcW w:w="2127" w:type="dxa"/>
            <w:vAlign w:val="center"/>
          </w:tcPr>
          <w:p w14:paraId="1FFC0A3A" w14:textId="77777777" w:rsidR="00F61EEF" w:rsidRPr="00EA1BB2" w:rsidRDefault="00F61EEF" w:rsidP="00DC196B">
            <w:pPr>
              <w:jc w:val="center"/>
              <w:rPr>
                <w:rFonts w:ascii="Cambria" w:hAnsi="Cambria"/>
                <w:sz w:val="24"/>
                <w:szCs w:val="24"/>
              </w:rPr>
            </w:pPr>
            <w:r w:rsidRPr="00EA1BB2">
              <w:rPr>
                <w:rFonts w:ascii="Cambria" w:hAnsi="Cambria"/>
                <w:sz w:val="24"/>
                <w:szCs w:val="24"/>
              </w:rPr>
              <w:t>Surse staționare</w:t>
            </w:r>
          </w:p>
        </w:tc>
        <w:tc>
          <w:tcPr>
            <w:tcW w:w="1701" w:type="dxa"/>
            <w:vAlign w:val="center"/>
          </w:tcPr>
          <w:p w14:paraId="23210F3D" w14:textId="77777777" w:rsidR="00F61EEF" w:rsidRPr="00EA1BB2" w:rsidRDefault="00F61EEF" w:rsidP="00DC196B">
            <w:pPr>
              <w:jc w:val="right"/>
              <w:rPr>
                <w:rFonts w:ascii="Cambria" w:hAnsi="Cambria"/>
                <w:sz w:val="24"/>
                <w:szCs w:val="24"/>
              </w:rPr>
            </w:pPr>
            <w:r w:rsidRPr="00EA1BB2">
              <w:rPr>
                <w:rFonts w:ascii="Cambria" w:hAnsi="Cambria"/>
                <w:sz w:val="24"/>
                <w:szCs w:val="24"/>
              </w:rPr>
              <w:t>2083,227516</w:t>
            </w:r>
          </w:p>
        </w:tc>
      </w:tr>
      <w:tr w:rsidR="00F61EEF" w:rsidRPr="00EA1BB2" w14:paraId="66B319E8" w14:textId="77777777" w:rsidTr="00AC454E">
        <w:trPr>
          <w:jc w:val="center"/>
        </w:trPr>
        <w:tc>
          <w:tcPr>
            <w:tcW w:w="1844" w:type="dxa"/>
            <w:vMerge/>
          </w:tcPr>
          <w:p w14:paraId="62F4081C" w14:textId="77777777" w:rsidR="00F61EEF" w:rsidRPr="00EA1BB2" w:rsidRDefault="00F61EEF" w:rsidP="00DC196B">
            <w:pPr>
              <w:rPr>
                <w:rFonts w:ascii="Cambria" w:hAnsi="Cambria"/>
                <w:sz w:val="24"/>
                <w:szCs w:val="24"/>
              </w:rPr>
            </w:pPr>
          </w:p>
        </w:tc>
        <w:tc>
          <w:tcPr>
            <w:tcW w:w="1275" w:type="dxa"/>
            <w:vMerge/>
            <w:vAlign w:val="center"/>
          </w:tcPr>
          <w:p w14:paraId="46E813DB" w14:textId="77777777" w:rsidR="00F61EEF" w:rsidRPr="00EA1BB2" w:rsidRDefault="00F61EEF" w:rsidP="00DC196B">
            <w:pPr>
              <w:jc w:val="center"/>
              <w:rPr>
                <w:rFonts w:ascii="Cambria" w:hAnsi="Cambria"/>
                <w:sz w:val="24"/>
                <w:szCs w:val="24"/>
              </w:rPr>
            </w:pPr>
          </w:p>
        </w:tc>
        <w:tc>
          <w:tcPr>
            <w:tcW w:w="1560" w:type="dxa"/>
            <w:vAlign w:val="center"/>
          </w:tcPr>
          <w:p w14:paraId="504E91CC" w14:textId="77777777" w:rsidR="00F61EEF" w:rsidRPr="00EA1BB2" w:rsidRDefault="00F61EEF" w:rsidP="00DC196B">
            <w:pPr>
              <w:jc w:val="center"/>
              <w:rPr>
                <w:rFonts w:ascii="Cambria" w:hAnsi="Cambria"/>
                <w:sz w:val="24"/>
                <w:szCs w:val="24"/>
              </w:rPr>
            </w:pPr>
            <w:r w:rsidRPr="00EA1BB2">
              <w:rPr>
                <w:rFonts w:ascii="Cambria" w:hAnsi="Cambria"/>
                <w:sz w:val="24"/>
                <w:szCs w:val="24"/>
              </w:rPr>
              <w:t>Modelare</w:t>
            </w:r>
          </w:p>
        </w:tc>
        <w:tc>
          <w:tcPr>
            <w:tcW w:w="1744" w:type="dxa"/>
            <w:vAlign w:val="center"/>
          </w:tcPr>
          <w:p w14:paraId="713C25C2" w14:textId="77777777" w:rsidR="00F61EEF" w:rsidRPr="00EA1BB2" w:rsidRDefault="00F61EEF" w:rsidP="00DC196B">
            <w:pPr>
              <w:jc w:val="center"/>
              <w:rPr>
                <w:rFonts w:ascii="Cambria" w:hAnsi="Cambria"/>
                <w:sz w:val="24"/>
                <w:szCs w:val="24"/>
              </w:rPr>
            </w:pPr>
            <w:r w:rsidRPr="00EA1BB2">
              <w:rPr>
                <w:rFonts w:ascii="Cambria" w:hAnsi="Cambria"/>
                <w:sz w:val="24"/>
                <w:szCs w:val="24"/>
              </w:rPr>
              <w:t>23,33</w:t>
            </w:r>
          </w:p>
        </w:tc>
        <w:tc>
          <w:tcPr>
            <w:tcW w:w="1373" w:type="dxa"/>
            <w:vMerge/>
          </w:tcPr>
          <w:p w14:paraId="2B817DD6" w14:textId="77777777" w:rsidR="00F61EEF" w:rsidRPr="00EA1BB2" w:rsidRDefault="00F61EEF" w:rsidP="00DC196B">
            <w:pPr>
              <w:rPr>
                <w:rFonts w:ascii="Cambria" w:hAnsi="Cambria"/>
                <w:sz w:val="24"/>
                <w:szCs w:val="24"/>
              </w:rPr>
            </w:pPr>
          </w:p>
        </w:tc>
        <w:tc>
          <w:tcPr>
            <w:tcW w:w="1713" w:type="dxa"/>
            <w:vMerge/>
            <w:vAlign w:val="center"/>
          </w:tcPr>
          <w:p w14:paraId="21C5460C" w14:textId="77777777" w:rsidR="00F61EEF" w:rsidRPr="00EA1BB2" w:rsidRDefault="00F61EEF" w:rsidP="00DC196B">
            <w:pPr>
              <w:jc w:val="center"/>
              <w:rPr>
                <w:rFonts w:ascii="Cambria" w:hAnsi="Cambria"/>
                <w:sz w:val="24"/>
                <w:szCs w:val="24"/>
              </w:rPr>
            </w:pPr>
          </w:p>
        </w:tc>
        <w:tc>
          <w:tcPr>
            <w:tcW w:w="1270" w:type="dxa"/>
            <w:vMerge/>
            <w:vAlign w:val="center"/>
          </w:tcPr>
          <w:p w14:paraId="281D02E4" w14:textId="77777777" w:rsidR="00F61EEF" w:rsidRPr="00EA1BB2" w:rsidRDefault="00F61EEF" w:rsidP="00DC196B">
            <w:pPr>
              <w:jc w:val="center"/>
              <w:rPr>
                <w:rFonts w:ascii="Cambria" w:hAnsi="Cambria"/>
                <w:sz w:val="24"/>
                <w:szCs w:val="24"/>
              </w:rPr>
            </w:pPr>
          </w:p>
        </w:tc>
        <w:tc>
          <w:tcPr>
            <w:tcW w:w="2127" w:type="dxa"/>
            <w:vAlign w:val="center"/>
          </w:tcPr>
          <w:p w14:paraId="7C04B812" w14:textId="77777777" w:rsidR="00F61EEF" w:rsidRPr="00EA1BB2" w:rsidRDefault="00F61EEF" w:rsidP="00DC196B">
            <w:pPr>
              <w:jc w:val="center"/>
              <w:rPr>
                <w:rFonts w:ascii="Cambria" w:hAnsi="Cambria"/>
                <w:sz w:val="24"/>
                <w:szCs w:val="24"/>
              </w:rPr>
            </w:pPr>
            <w:r w:rsidRPr="00EA1BB2">
              <w:rPr>
                <w:rFonts w:ascii="Cambria" w:hAnsi="Cambria"/>
                <w:sz w:val="24"/>
                <w:szCs w:val="24"/>
              </w:rPr>
              <w:t>Surse mobile</w:t>
            </w:r>
          </w:p>
        </w:tc>
        <w:tc>
          <w:tcPr>
            <w:tcW w:w="1701" w:type="dxa"/>
            <w:vAlign w:val="center"/>
          </w:tcPr>
          <w:p w14:paraId="5C16832C" w14:textId="77777777" w:rsidR="00F61EEF" w:rsidRPr="00EA1BB2" w:rsidRDefault="00F61EEF" w:rsidP="00DC196B">
            <w:pPr>
              <w:jc w:val="right"/>
              <w:rPr>
                <w:rFonts w:ascii="Cambria" w:hAnsi="Cambria"/>
                <w:sz w:val="24"/>
                <w:szCs w:val="24"/>
              </w:rPr>
            </w:pPr>
            <w:r w:rsidRPr="00EA1BB2">
              <w:rPr>
                <w:rFonts w:ascii="Cambria" w:hAnsi="Cambria"/>
                <w:sz w:val="24"/>
                <w:szCs w:val="24"/>
              </w:rPr>
              <w:t>2158,788948</w:t>
            </w:r>
          </w:p>
        </w:tc>
      </w:tr>
      <w:tr w:rsidR="00F61EEF" w:rsidRPr="00EA1BB2" w14:paraId="348524B4" w14:textId="77777777" w:rsidTr="00AC454E">
        <w:trPr>
          <w:jc w:val="center"/>
        </w:trPr>
        <w:tc>
          <w:tcPr>
            <w:tcW w:w="1844" w:type="dxa"/>
            <w:vMerge/>
          </w:tcPr>
          <w:p w14:paraId="7FF5BAD6" w14:textId="77777777" w:rsidR="00F61EEF" w:rsidRPr="00EA1BB2" w:rsidRDefault="00F61EEF" w:rsidP="00DC196B">
            <w:pPr>
              <w:rPr>
                <w:rFonts w:ascii="Cambria" w:hAnsi="Cambria"/>
                <w:sz w:val="24"/>
                <w:szCs w:val="24"/>
              </w:rPr>
            </w:pPr>
          </w:p>
        </w:tc>
        <w:tc>
          <w:tcPr>
            <w:tcW w:w="1275" w:type="dxa"/>
            <w:vMerge/>
            <w:vAlign w:val="center"/>
          </w:tcPr>
          <w:p w14:paraId="110D909E" w14:textId="77777777" w:rsidR="00F61EEF" w:rsidRPr="00EA1BB2" w:rsidRDefault="00F61EEF" w:rsidP="00DC196B">
            <w:pPr>
              <w:jc w:val="center"/>
              <w:rPr>
                <w:rFonts w:ascii="Cambria" w:hAnsi="Cambria"/>
                <w:sz w:val="24"/>
                <w:szCs w:val="24"/>
              </w:rPr>
            </w:pPr>
          </w:p>
        </w:tc>
        <w:tc>
          <w:tcPr>
            <w:tcW w:w="1560" w:type="dxa"/>
            <w:vAlign w:val="center"/>
          </w:tcPr>
          <w:p w14:paraId="5071AE07" w14:textId="77777777" w:rsidR="00F61EEF" w:rsidRPr="00EA1BB2" w:rsidRDefault="00F61EEF" w:rsidP="00DC196B">
            <w:pPr>
              <w:jc w:val="center"/>
              <w:rPr>
                <w:rFonts w:ascii="Cambria" w:hAnsi="Cambria"/>
                <w:sz w:val="24"/>
                <w:szCs w:val="24"/>
              </w:rPr>
            </w:pPr>
            <w:r w:rsidRPr="00EA1BB2">
              <w:rPr>
                <w:rFonts w:ascii="Cambria" w:hAnsi="Cambria"/>
                <w:sz w:val="24"/>
                <w:szCs w:val="24"/>
              </w:rPr>
              <w:t>Modelare</w:t>
            </w:r>
          </w:p>
        </w:tc>
        <w:tc>
          <w:tcPr>
            <w:tcW w:w="1744" w:type="dxa"/>
            <w:vAlign w:val="center"/>
          </w:tcPr>
          <w:p w14:paraId="342E17F6" w14:textId="77777777" w:rsidR="00F61EEF" w:rsidRPr="00EA1BB2" w:rsidRDefault="00F61EEF" w:rsidP="00DC196B">
            <w:pPr>
              <w:jc w:val="center"/>
              <w:rPr>
                <w:rFonts w:ascii="Cambria" w:hAnsi="Cambria"/>
                <w:sz w:val="24"/>
                <w:szCs w:val="24"/>
              </w:rPr>
            </w:pPr>
            <w:r w:rsidRPr="00EA1BB2">
              <w:rPr>
                <w:rFonts w:ascii="Cambria" w:hAnsi="Cambria"/>
                <w:sz w:val="24"/>
                <w:szCs w:val="24"/>
              </w:rPr>
              <w:t>217,00</w:t>
            </w:r>
          </w:p>
        </w:tc>
        <w:tc>
          <w:tcPr>
            <w:tcW w:w="1373" w:type="dxa"/>
            <w:vMerge/>
          </w:tcPr>
          <w:p w14:paraId="675A14E7" w14:textId="77777777" w:rsidR="00F61EEF" w:rsidRPr="00EA1BB2" w:rsidRDefault="00F61EEF" w:rsidP="00DC196B">
            <w:pPr>
              <w:rPr>
                <w:rFonts w:ascii="Cambria" w:hAnsi="Cambria"/>
                <w:sz w:val="24"/>
                <w:szCs w:val="24"/>
              </w:rPr>
            </w:pPr>
          </w:p>
        </w:tc>
        <w:tc>
          <w:tcPr>
            <w:tcW w:w="1713" w:type="dxa"/>
            <w:vAlign w:val="center"/>
          </w:tcPr>
          <w:p w14:paraId="05E0C846" w14:textId="77777777" w:rsidR="00F61EEF" w:rsidRPr="00EA1BB2" w:rsidRDefault="00F61EEF" w:rsidP="00DC196B">
            <w:pPr>
              <w:jc w:val="center"/>
              <w:rPr>
                <w:rFonts w:ascii="Cambria" w:hAnsi="Cambria"/>
                <w:sz w:val="24"/>
                <w:szCs w:val="24"/>
              </w:rPr>
            </w:pPr>
            <w:r w:rsidRPr="00EA1BB2">
              <w:rPr>
                <w:rFonts w:ascii="Cambria" w:hAnsi="Cambria"/>
                <w:sz w:val="24"/>
                <w:szCs w:val="24"/>
              </w:rPr>
              <w:t>1 oră</w:t>
            </w:r>
          </w:p>
        </w:tc>
        <w:tc>
          <w:tcPr>
            <w:tcW w:w="1270" w:type="dxa"/>
            <w:vMerge/>
            <w:vAlign w:val="center"/>
          </w:tcPr>
          <w:p w14:paraId="1B6FDD8E" w14:textId="77777777" w:rsidR="00F61EEF" w:rsidRPr="00EA1BB2" w:rsidRDefault="00F61EEF" w:rsidP="00DC196B">
            <w:pPr>
              <w:jc w:val="center"/>
              <w:rPr>
                <w:rFonts w:ascii="Cambria" w:hAnsi="Cambria"/>
                <w:sz w:val="24"/>
                <w:szCs w:val="24"/>
              </w:rPr>
            </w:pPr>
          </w:p>
        </w:tc>
        <w:tc>
          <w:tcPr>
            <w:tcW w:w="2127" w:type="dxa"/>
            <w:vAlign w:val="center"/>
          </w:tcPr>
          <w:p w14:paraId="2D9345F0" w14:textId="77777777" w:rsidR="00F61EEF" w:rsidRPr="00EA1BB2" w:rsidRDefault="00F61EEF" w:rsidP="00DC196B">
            <w:pPr>
              <w:jc w:val="center"/>
              <w:rPr>
                <w:rFonts w:ascii="Cambria" w:hAnsi="Cambria"/>
                <w:sz w:val="24"/>
                <w:szCs w:val="24"/>
              </w:rPr>
            </w:pPr>
            <w:r w:rsidRPr="00EA1BB2">
              <w:rPr>
                <w:rFonts w:ascii="Cambria" w:hAnsi="Cambria"/>
                <w:sz w:val="24"/>
                <w:szCs w:val="24"/>
              </w:rPr>
              <w:t>Surse de suprafață</w:t>
            </w:r>
          </w:p>
        </w:tc>
        <w:tc>
          <w:tcPr>
            <w:tcW w:w="1701" w:type="dxa"/>
            <w:vAlign w:val="center"/>
          </w:tcPr>
          <w:p w14:paraId="05EEC841" w14:textId="77777777" w:rsidR="00F61EEF" w:rsidRPr="00EA1BB2" w:rsidRDefault="00F61EEF" w:rsidP="00DC196B">
            <w:pPr>
              <w:jc w:val="right"/>
              <w:rPr>
                <w:rFonts w:ascii="Cambria" w:hAnsi="Cambria"/>
                <w:sz w:val="24"/>
                <w:szCs w:val="24"/>
              </w:rPr>
            </w:pPr>
            <w:r w:rsidRPr="00EA1BB2">
              <w:rPr>
                <w:rFonts w:ascii="Cambria" w:hAnsi="Cambria"/>
                <w:sz w:val="24"/>
                <w:szCs w:val="24"/>
              </w:rPr>
              <w:t>387,229400</w:t>
            </w:r>
          </w:p>
        </w:tc>
      </w:tr>
      <w:tr w:rsidR="00F61EEF" w:rsidRPr="00EA1BB2" w14:paraId="50CA4E39" w14:textId="77777777" w:rsidTr="00AC454E">
        <w:trPr>
          <w:jc w:val="center"/>
        </w:trPr>
        <w:tc>
          <w:tcPr>
            <w:tcW w:w="1844" w:type="dxa"/>
            <w:vMerge/>
          </w:tcPr>
          <w:p w14:paraId="72DDE4FB" w14:textId="77777777" w:rsidR="00F61EEF" w:rsidRPr="00EA1BB2" w:rsidRDefault="00F61EEF" w:rsidP="00DC196B">
            <w:pPr>
              <w:rPr>
                <w:rFonts w:ascii="Cambria" w:hAnsi="Cambria"/>
                <w:sz w:val="24"/>
                <w:szCs w:val="24"/>
              </w:rPr>
            </w:pPr>
          </w:p>
        </w:tc>
        <w:tc>
          <w:tcPr>
            <w:tcW w:w="1275" w:type="dxa"/>
            <w:vMerge w:val="restart"/>
            <w:vAlign w:val="center"/>
          </w:tcPr>
          <w:p w14:paraId="45A657FC" w14:textId="77777777" w:rsidR="00F61EEF" w:rsidRPr="00EA1BB2" w:rsidRDefault="00F61EEF" w:rsidP="00DC196B">
            <w:pPr>
              <w:jc w:val="center"/>
              <w:rPr>
                <w:rFonts w:ascii="Cambria" w:hAnsi="Cambria"/>
                <w:sz w:val="24"/>
                <w:szCs w:val="24"/>
              </w:rPr>
            </w:pPr>
            <w:r w:rsidRPr="00EA1BB2">
              <w:rPr>
                <w:rFonts w:ascii="Cambria" w:hAnsi="Cambria"/>
                <w:sz w:val="24"/>
                <w:szCs w:val="24"/>
              </w:rPr>
              <w:t>Dioxid de sulf (SO</w:t>
            </w:r>
            <w:r w:rsidRPr="00EA1BB2">
              <w:rPr>
                <w:rFonts w:ascii="Cambria" w:hAnsi="Cambria"/>
                <w:sz w:val="24"/>
                <w:szCs w:val="24"/>
                <w:vertAlign w:val="subscript"/>
              </w:rPr>
              <w:t>2</w:t>
            </w:r>
            <w:r w:rsidRPr="00EA1BB2">
              <w:rPr>
                <w:rFonts w:ascii="Cambria" w:hAnsi="Cambria"/>
                <w:sz w:val="24"/>
                <w:szCs w:val="24"/>
              </w:rPr>
              <w:t>) (µg/m</w:t>
            </w:r>
            <w:r w:rsidRPr="00EA1BB2">
              <w:rPr>
                <w:rFonts w:ascii="Cambria" w:hAnsi="Cambria"/>
                <w:sz w:val="24"/>
                <w:szCs w:val="24"/>
                <w:vertAlign w:val="superscript"/>
              </w:rPr>
              <w:t>3</w:t>
            </w:r>
            <w:r w:rsidRPr="00EA1BB2">
              <w:rPr>
                <w:rFonts w:ascii="Cambria" w:hAnsi="Cambria"/>
                <w:sz w:val="24"/>
                <w:szCs w:val="24"/>
              </w:rPr>
              <w:t>)</w:t>
            </w:r>
          </w:p>
        </w:tc>
        <w:tc>
          <w:tcPr>
            <w:tcW w:w="1560" w:type="dxa"/>
            <w:vAlign w:val="center"/>
          </w:tcPr>
          <w:p w14:paraId="198A407B" w14:textId="77777777" w:rsidR="00F61EEF" w:rsidRPr="00EA1BB2" w:rsidRDefault="00F61EEF" w:rsidP="00DC196B">
            <w:pPr>
              <w:jc w:val="center"/>
              <w:rPr>
                <w:rFonts w:ascii="Cambria" w:hAnsi="Cambria"/>
                <w:sz w:val="24"/>
                <w:szCs w:val="24"/>
              </w:rPr>
            </w:pPr>
            <w:r w:rsidRPr="00EA1BB2">
              <w:rPr>
                <w:rFonts w:ascii="Cambria" w:hAnsi="Cambria"/>
                <w:sz w:val="24"/>
                <w:szCs w:val="24"/>
              </w:rPr>
              <w:t>Modelare</w:t>
            </w:r>
          </w:p>
        </w:tc>
        <w:tc>
          <w:tcPr>
            <w:tcW w:w="1744" w:type="dxa"/>
            <w:vAlign w:val="center"/>
          </w:tcPr>
          <w:p w14:paraId="67D871AB" w14:textId="77777777" w:rsidR="00F61EEF" w:rsidRPr="00EA1BB2" w:rsidRDefault="00F61EEF" w:rsidP="00DC196B">
            <w:pPr>
              <w:jc w:val="center"/>
              <w:rPr>
                <w:rFonts w:ascii="Cambria" w:hAnsi="Cambria"/>
                <w:sz w:val="24"/>
                <w:szCs w:val="24"/>
              </w:rPr>
            </w:pPr>
            <w:r w:rsidRPr="00EA1BB2">
              <w:rPr>
                <w:rFonts w:ascii="Cambria" w:hAnsi="Cambria"/>
                <w:sz w:val="24"/>
                <w:szCs w:val="24"/>
              </w:rPr>
              <w:t>234,30</w:t>
            </w:r>
          </w:p>
        </w:tc>
        <w:tc>
          <w:tcPr>
            <w:tcW w:w="1373" w:type="dxa"/>
            <w:vMerge w:val="restart"/>
          </w:tcPr>
          <w:p w14:paraId="758D95CB" w14:textId="77777777" w:rsidR="00F61EEF" w:rsidRPr="00EA1BB2" w:rsidRDefault="00F61EEF" w:rsidP="00DC196B">
            <w:pPr>
              <w:rPr>
                <w:rFonts w:ascii="Cambria" w:hAnsi="Cambria"/>
                <w:sz w:val="24"/>
                <w:szCs w:val="24"/>
              </w:rPr>
            </w:pPr>
          </w:p>
        </w:tc>
        <w:tc>
          <w:tcPr>
            <w:tcW w:w="1713" w:type="dxa"/>
            <w:vAlign w:val="center"/>
          </w:tcPr>
          <w:p w14:paraId="53B8836E" w14:textId="77777777" w:rsidR="00F61EEF" w:rsidRPr="00EA1BB2" w:rsidRDefault="00F61EEF" w:rsidP="00DC196B">
            <w:pPr>
              <w:jc w:val="center"/>
              <w:rPr>
                <w:rFonts w:ascii="Cambria" w:hAnsi="Cambria"/>
                <w:sz w:val="24"/>
                <w:szCs w:val="24"/>
              </w:rPr>
            </w:pPr>
            <w:r w:rsidRPr="00EA1BB2">
              <w:rPr>
                <w:rFonts w:ascii="Cambria" w:hAnsi="Cambria"/>
                <w:sz w:val="24"/>
                <w:szCs w:val="24"/>
              </w:rPr>
              <w:t>1 an</w:t>
            </w:r>
          </w:p>
        </w:tc>
        <w:tc>
          <w:tcPr>
            <w:tcW w:w="1270" w:type="dxa"/>
            <w:vMerge w:val="restart"/>
            <w:vAlign w:val="center"/>
          </w:tcPr>
          <w:p w14:paraId="6897085F" w14:textId="77777777" w:rsidR="00F61EEF" w:rsidRPr="00EA1BB2" w:rsidRDefault="00F61EEF" w:rsidP="00DC196B">
            <w:pPr>
              <w:jc w:val="center"/>
              <w:rPr>
                <w:rFonts w:ascii="Cambria" w:hAnsi="Cambria"/>
                <w:sz w:val="24"/>
                <w:szCs w:val="24"/>
              </w:rPr>
            </w:pPr>
            <w:r w:rsidRPr="00EA1BB2">
              <w:rPr>
                <w:rFonts w:ascii="Cambria" w:hAnsi="Cambria"/>
                <w:sz w:val="24"/>
                <w:szCs w:val="24"/>
              </w:rPr>
              <w:t>2010-2014</w:t>
            </w:r>
          </w:p>
        </w:tc>
        <w:tc>
          <w:tcPr>
            <w:tcW w:w="2127" w:type="dxa"/>
            <w:vAlign w:val="center"/>
          </w:tcPr>
          <w:p w14:paraId="0529168E" w14:textId="77777777" w:rsidR="00F61EEF" w:rsidRPr="00EA1BB2" w:rsidRDefault="00F61EEF" w:rsidP="00DC196B">
            <w:pPr>
              <w:jc w:val="center"/>
              <w:rPr>
                <w:rFonts w:ascii="Cambria" w:hAnsi="Cambria"/>
                <w:sz w:val="24"/>
                <w:szCs w:val="24"/>
              </w:rPr>
            </w:pPr>
            <w:r w:rsidRPr="00EA1BB2">
              <w:rPr>
                <w:rFonts w:ascii="Cambria" w:hAnsi="Cambria"/>
                <w:sz w:val="24"/>
                <w:szCs w:val="24"/>
              </w:rPr>
              <w:t>Surse staționare</w:t>
            </w:r>
          </w:p>
        </w:tc>
        <w:tc>
          <w:tcPr>
            <w:tcW w:w="1701" w:type="dxa"/>
            <w:vAlign w:val="center"/>
          </w:tcPr>
          <w:p w14:paraId="14530A99" w14:textId="77777777" w:rsidR="00F61EEF" w:rsidRPr="00EA1BB2" w:rsidRDefault="00F61EEF" w:rsidP="00DC196B">
            <w:pPr>
              <w:jc w:val="right"/>
              <w:rPr>
                <w:rFonts w:ascii="Cambria" w:hAnsi="Cambria"/>
                <w:sz w:val="24"/>
                <w:szCs w:val="24"/>
              </w:rPr>
            </w:pPr>
            <w:r w:rsidRPr="00EA1BB2">
              <w:rPr>
                <w:rFonts w:ascii="Cambria" w:hAnsi="Cambria"/>
                <w:sz w:val="24"/>
                <w:szCs w:val="24"/>
              </w:rPr>
              <w:t>2,815152</w:t>
            </w:r>
          </w:p>
        </w:tc>
      </w:tr>
      <w:tr w:rsidR="00F61EEF" w:rsidRPr="00EA1BB2" w14:paraId="6E2A30BF" w14:textId="77777777" w:rsidTr="00AC454E">
        <w:trPr>
          <w:jc w:val="center"/>
        </w:trPr>
        <w:tc>
          <w:tcPr>
            <w:tcW w:w="1844" w:type="dxa"/>
            <w:vMerge/>
          </w:tcPr>
          <w:p w14:paraId="7C27B4D9" w14:textId="77777777" w:rsidR="00F61EEF" w:rsidRPr="00EA1BB2" w:rsidRDefault="00F61EEF" w:rsidP="00DC196B">
            <w:pPr>
              <w:rPr>
                <w:rFonts w:ascii="Cambria" w:hAnsi="Cambria"/>
                <w:sz w:val="24"/>
                <w:szCs w:val="24"/>
              </w:rPr>
            </w:pPr>
          </w:p>
        </w:tc>
        <w:tc>
          <w:tcPr>
            <w:tcW w:w="1275" w:type="dxa"/>
            <w:vMerge/>
            <w:vAlign w:val="center"/>
          </w:tcPr>
          <w:p w14:paraId="1A51E85D" w14:textId="77777777" w:rsidR="00F61EEF" w:rsidRPr="00EA1BB2" w:rsidRDefault="00F61EEF" w:rsidP="00DC196B">
            <w:pPr>
              <w:jc w:val="center"/>
              <w:rPr>
                <w:rFonts w:ascii="Cambria" w:hAnsi="Cambria"/>
                <w:sz w:val="24"/>
                <w:szCs w:val="24"/>
              </w:rPr>
            </w:pPr>
          </w:p>
        </w:tc>
        <w:tc>
          <w:tcPr>
            <w:tcW w:w="1560" w:type="dxa"/>
            <w:vAlign w:val="center"/>
          </w:tcPr>
          <w:p w14:paraId="534BF141" w14:textId="77777777" w:rsidR="00F61EEF" w:rsidRPr="00EA1BB2" w:rsidRDefault="00F61EEF" w:rsidP="00DC196B">
            <w:pPr>
              <w:jc w:val="center"/>
              <w:rPr>
                <w:rFonts w:ascii="Cambria" w:hAnsi="Cambria"/>
                <w:sz w:val="24"/>
                <w:szCs w:val="24"/>
              </w:rPr>
            </w:pPr>
          </w:p>
        </w:tc>
        <w:tc>
          <w:tcPr>
            <w:tcW w:w="1744" w:type="dxa"/>
            <w:vAlign w:val="center"/>
          </w:tcPr>
          <w:p w14:paraId="237330AB" w14:textId="77777777" w:rsidR="00F61EEF" w:rsidRPr="00EA1BB2" w:rsidRDefault="00F61EEF" w:rsidP="00DC196B">
            <w:pPr>
              <w:jc w:val="center"/>
              <w:rPr>
                <w:rFonts w:ascii="Cambria" w:hAnsi="Cambria"/>
                <w:sz w:val="24"/>
                <w:szCs w:val="24"/>
              </w:rPr>
            </w:pPr>
          </w:p>
        </w:tc>
        <w:tc>
          <w:tcPr>
            <w:tcW w:w="1373" w:type="dxa"/>
            <w:vMerge/>
          </w:tcPr>
          <w:p w14:paraId="151ED2BC" w14:textId="77777777" w:rsidR="00F61EEF" w:rsidRPr="00EA1BB2" w:rsidRDefault="00F61EEF" w:rsidP="00DC196B">
            <w:pPr>
              <w:rPr>
                <w:rFonts w:ascii="Cambria" w:hAnsi="Cambria"/>
                <w:sz w:val="24"/>
                <w:szCs w:val="24"/>
              </w:rPr>
            </w:pPr>
          </w:p>
        </w:tc>
        <w:tc>
          <w:tcPr>
            <w:tcW w:w="1713" w:type="dxa"/>
            <w:vMerge w:val="restart"/>
            <w:vAlign w:val="center"/>
          </w:tcPr>
          <w:p w14:paraId="5A873C21" w14:textId="77777777" w:rsidR="00F61EEF" w:rsidRPr="00EA1BB2" w:rsidRDefault="00F61EEF" w:rsidP="00DC196B">
            <w:pPr>
              <w:jc w:val="center"/>
              <w:rPr>
                <w:rFonts w:ascii="Cambria" w:hAnsi="Cambria"/>
                <w:sz w:val="24"/>
                <w:szCs w:val="24"/>
              </w:rPr>
            </w:pPr>
            <w:r w:rsidRPr="00EA1BB2">
              <w:rPr>
                <w:rFonts w:ascii="Cambria" w:hAnsi="Cambria"/>
                <w:sz w:val="24"/>
                <w:szCs w:val="24"/>
              </w:rPr>
              <w:t>24 ore</w:t>
            </w:r>
          </w:p>
        </w:tc>
        <w:tc>
          <w:tcPr>
            <w:tcW w:w="1270" w:type="dxa"/>
            <w:vMerge/>
            <w:vAlign w:val="center"/>
          </w:tcPr>
          <w:p w14:paraId="111AA2EB" w14:textId="77777777" w:rsidR="00F61EEF" w:rsidRPr="00EA1BB2" w:rsidRDefault="00F61EEF" w:rsidP="00DC196B">
            <w:pPr>
              <w:jc w:val="center"/>
              <w:rPr>
                <w:rFonts w:ascii="Cambria" w:hAnsi="Cambria"/>
                <w:sz w:val="24"/>
                <w:szCs w:val="24"/>
              </w:rPr>
            </w:pPr>
          </w:p>
        </w:tc>
        <w:tc>
          <w:tcPr>
            <w:tcW w:w="2127" w:type="dxa"/>
            <w:vAlign w:val="center"/>
          </w:tcPr>
          <w:p w14:paraId="45E8DE8C" w14:textId="77777777" w:rsidR="00F61EEF" w:rsidRPr="00EA1BB2" w:rsidRDefault="00F61EEF" w:rsidP="00DC196B">
            <w:pPr>
              <w:jc w:val="center"/>
              <w:rPr>
                <w:rFonts w:ascii="Cambria" w:hAnsi="Cambria"/>
                <w:sz w:val="24"/>
                <w:szCs w:val="24"/>
              </w:rPr>
            </w:pPr>
            <w:r w:rsidRPr="00EA1BB2">
              <w:rPr>
                <w:rFonts w:ascii="Cambria" w:hAnsi="Cambria"/>
                <w:sz w:val="24"/>
                <w:szCs w:val="24"/>
              </w:rPr>
              <w:t>Surse mobile</w:t>
            </w:r>
          </w:p>
        </w:tc>
        <w:tc>
          <w:tcPr>
            <w:tcW w:w="1701" w:type="dxa"/>
            <w:vAlign w:val="center"/>
          </w:tcPr>
          <w:p w14:paraId="11AE7E26" w14:textId="77777777" w:rsidR="00F61EEF" w:rsidRPr="00EA1BB2" w:rsidRDefault="00F61EEF" w:rsidP="00DC196B">
            <w:pPr>
              <w:jc w:val="right"/>
              <w:rPr>
                <w:rFonts w:ascii="Cambria" w:hAnsi="Cambria"/>
                <w:sz w:val="24"/>
                <w:szCs w:val="24"/>
              </w:rPr>
            </w:pPr>
            <w:r w:rsidRPr="00EA1BB2">
              <w:rPr>
                <w:rFonts w:ascii="Cambria" w:hAnsi="Cambria"/>
                <w:sz w:val="24"/>
                <w:szCs w:val="24"/>
              </w:rPr>
              <w:t>0,0</w:t>
            </w:r>
          </w:p>
        </w:tc>
      </w:tr>
      <w:tr w:rsidR="00F61EEF" w:rsidRPr="00EA1BB2" w14:paraId="4C2BED98" w14:textId="77777777" w:rsidTr="00AC454E">
        <w:trPr>
          <w:jc w:val="center"/>
        </w:trPr>
        <w:tc>
          <w:tcPr>
            <w:tcW w:w="1844" w:type="dxa"/>
            <w:vMerge/>
          </w:tcPr>
          <w:p w14:paraId="639D1163" w14:textId="77777777" w:rsidR="00F61EEF" w:rsidRPr="00EA1BB2" w:rsidRDefault="00F61EEF" w:rsidP="00DC196B">
            <w:pPr>
              <w:rPr>
                <w:rFonts w:ascii="Cambria" w:hAnsi="Cambria"/>
                <w:sz w:val="24"/>
                <w:szCs w:val="24"/>
              </w:rPr>
            </w:pPr>
          </w:p>
        </w:tc>
        <w:tc>
          <w:tcPr>
            <w:tcW w:w="1275" w:type="dxa"/>
            <w:vMerge/>
            <w:vAlign w:val="center"/>
          </w:tcPr>
          <w:p w14:paraId="1BB0E280" w14:textId="77777777" w:rsidR="00F61EEF" w:rsidRPr="00EA1BB2" w:rsidRDefault="00F61EEF" w:rsidP="00DC196B">
            <w:pPr>
              <w:jc w:val="center"/>
              <w:rPr>
                <w:rFonts w:ascii="Cambria" w:hAnsi="Cambria"/>
                <w:sz w:val="24"/>
                <w:szCs w:val="24"/>
              </w:rPr>
            </w:pPr>
          </w:p>
        </w:tc>
        <w:tc>
          <w:tcPr>
            <w:tcW w:w="1560" w:type="dxa"/>
            <w:vAlign w:val="center"/>
          </w:tcPr>
          <w:p w14:paraId="6BEE12AD" w14:textId="77777777" w:rsidR="00F61EEF" w:rsidRPr="00EA1BB2" w:rsidRDefault="00F61EEF" w:rsidP="00DC196B">
            <w:pPr>
              <w:jc w:val="center"/>
              <w:rPr>
                <w:rFonts w:ascii="Cambria" w:hAnsi="Cambria"/>
                <w:sz w:val="24"/>
                <w:szCs w:val="24"/>
              </w:rPr>
            </w:pPr>
            <w:r w:rsidRPr="00EA1BB2">
              <w:rPr>
                <w:rFonts w:ascii="Cambria" w:hAnsi="Cambria"/>
                <w:sz w:val="24"/>
                <w:szCs w:val="24"/>
              </w:rPr>
              <w:t>Modelare</w:t>
            </w:r>
          </w:p>
        </w:tc>
        <w:tc>
          <w:tcPr>
            <w:tcW w:w="1744" w:type="dxa"/>
            <w:vAlign w:val="center"/>
          </w:tcPr>
          <w:p w14:paraId="274F704F" w14:textId="77777777" w:rsidR="00F61EEF" w:rsidRPr="00EA1BB2" w:rsidRDefault="00F61EEF" w:rsidP="00DC196B">
            <w:pPr>
              <w:jc w:val="center"/>
              <w:rPr>
                <w:rFonts w:ascii="Cambria" w:hAnsi="Cambria"/>
                <w:sz w:val="24"/>
                <w:szCs w:val="24"/>
              </w:rPr>
            </w:pPr>
            <w:r w:rsidRPr="00EA1BB2">
              <w:rPr>
                <w:rFonts w:ascii="Cambria" w:hAnsi="Cambria"/>
                <w:sz w:val="24"/>
                <w:szCs w:val="24"/>
              </w:rPr>
              <w:t>104,49</w:t>
            </w:r>
          </w:p>
        </w:tc>
        <w:tc>
          <w:tcPr>
            <w:tcW w:w="1373" w:type="dxa"/>
            <w:vMerge/>
          </w:tcPr>
          <w:p w14:paraId="2D944B1C" w14:textId="77777777" w:rsidR="00F61EEF" w:rsidRPr="00EA1BB2" w:rsidRDefault="00F61EEF" w:rsidP="00DC196B">
            <w:pPr>
              <w:rPr>
                <w:rFonts w:ascii="Cambria" w:hAnsi="Cambria"/>
                <w:sz w:val="24"/>
                <w:szCs w:val="24"/>
              </w:rPr>
            </w:pPr>
          </w:p>
        </w:tc>
        <w:tc>
          <w:tcPr>
            <w:tcW w:w="1713" w:type="dxa"/>
            <w:vMerge/>
            <w:vAlign w:val="center"/>
          </w:tcPr>
          <w:p w14:paraId="2D1244CB" w14:textId="77777777" w:rsidR="00F61EEF" w:rsidRPr="00EA1BB2" w:rsidRDefault="00F61EEF" w:rsidP="00DC196B">
            <w:pPr>
              <w:jc w:val="center"/>
              <w:rPr>
                <w:rFonts w:ascii="Cambria" w:hAnsi="Cambria"/>
                <w:sz w:val="24"/>
                <w:szCs w:val="24"/>
              </w:rPr>
            </w:pPr>
          </w:p>
        </w:tc>
        <w:tc>
          <w:tcPr>
            <w:tcW w:w="1270" w:type="dxa"/>
            <w:vMerge/>
            <w:vAlign w:val="center"/>
          </w:tcPr>
          <w:p w14:paraId="30E5EE7F" w14:textId="77777777" w:rsidR="00F61EEF" w:rsidRPr="00EA1BB2" w:rsidRDefault="00F61EEF" w:rsidP="00DC196B">
            <w:pPr>
              <w:jc w:val="center"/>
              <w:rPr>
                <w:rFonts w:ascii="Cambria" w:hAnsi="Cambria"/>
                <w:sz w:val="24"/>
                <w:szCs w:val="24"/>
              </w:rPr>
            </w:pPr>
          </w:p>
        </w:tc>
        <w:tc>
          <w:tcPr>
            <w:tcW w:w="2127" w:type="dxa"/>
            <w:vAlign w:val="center"/>
          </w:tcPr>
          <w:p w14:paraId="7FFB544D" w14:textId="77777777" w:rsidR="00F61EEF" w:rsidRPr="00EA1BB2" w:rsidRDefault="00F61EEF" w:rsidP="00DC196B">
            <w:pPr>
              <w:jc w:val="center"/>
              <w:rPr>
                <w:rFonts w:ascii="Cambria" w:hAnsi="Cambria"/>
                <w:sz w:val="24"/>
                <w:szCs w:val="24"/>
              </w:rPr>
            </w:pPr>
            <w:r w:rsidRPr="00EA1BB2">
              <w:rPr>
                <w:rFonts w:ascii="Cambria" w:hAnsi="Cambria"/>
                <w:sz w:val="24"/>
                <w:szCs w:val="24"/>
              </w:rPr>
              <w:t>Surse de suprafață</w:t>
            </w:r>
          </w:p>
        </w:tc>
        <w:tc>
          <w:tcPr>
            <w:tcW w:w="1701" w:type="dxa"/>
            <w:vAlign w:val="center"/>
          </w:tcPr>
          <w:p w14:paraId="67DE09D4" w14:textId="77777777" w:rsidR="00F61EEF" w:rsidRPr="00EA1BB2" w:rsidRDefault="00F61EEF" w:rsidP="00DC196B">
            <w:pPr>
              <w:jc w:val="right"/>
              <w:rPr>
                <w:rFonts w:ascii="Cambria" w:hAnsi="Cambria"/>
                <w:sz w:val="24"/>
                <w:szCs w:val="24"/>
              </w:rPr>
            </w:pPr>
            <w:r w:rsidRPr="00EA1BB2">
              <w:rPr>
                <w:rFonts w:ascii="Cambria" w:hAnsi="Cambria"/>
                <w:sz w:val="24"/>
                <w:szCs w:val="24"/>
              </w:rPr>
              <w:t>0,592422</w:t>
            </w:r>
          </w:p>
        </w:tc>
      </w:tr>
      <w:tr w:rsidR="00F61EEF" w:rsidRPr="00EA1BB2" w14:paraId="0307D377" w14:textId="77777777" w:rsidTr="00AC454E">
        <w:trPr>
          <w:jc w:val="center"/>
        </w:trPr>
        <w:tc>
          <w:tcPr>
            <w:tcW w:w="1844" w:type="dxa"/>
            <w:vMerge/>
          </w:tcPr>
          <w:p w14:paraId="4C46C96B" w14:textId="77777777" w:rsidR="00F61EEF" w:rsidRPr="00EA1BB2" w:rsidRDefault="00F61EEF" w:rsidP="00DC196B">
            <w:pPr>
              <w:rPr>
                <w:rFonts w:ascii="Cambria" w:hAnsi="Cambria"/>
                <w:sz w:val="24"/>
                <w:szCs w:val="24"/>
              </w:rPr>
            </w:pPr>
          </w:p>
        </w:tc>
        <w:tc>
          <w:tcPr>
            <w:tcW w:w="1275" w:type="dxa"/>
            <w:vMerge w:val="restart"/>
            <w:vAlign w:val="center"/>
          </w:tcPr>
          <w:p w14:paraId="52A9E89C" w14:textId="77777777" w:rsidR="00F61EEF" w:rsidRPr="00EA1BB2" w:rsidRDefault="00F61EEF" w:rsidP="00DC196B">
            <w:pPr>
              <w:jc w:val="center"/>
              <w:rPr>
                <w:rFonts w:ascii="Cambria" w:hAnsi="Cambria"/>
                <w:sz w:val="24"/>
                <w:szCs w:val="24"/>
              </w:rPr>
            </w:pPr>
            <w:r w:rsidRPr="00EA1BB2">
              <w:rPr>
                <w:rFonts w:ascii="Cambria" w:hAnsi="Cambria"/>
                <w:sz w:val="24"/>
                <w:szCs w:val="24"/>
              </w:rPr>
              <w:t>Monoxid de carbon (mg/m</w:t>
            </w:r>
            <w:r w:rsidRPr="00EA1BB2">
              <w:rPr>
                <w:rFonts w:ascii="Cambria" w:hAnsi="Cambria"/>
                <w:sz w:val="24"/>
                <w:szCs w:val="24"/>
                <w:vertAlign w:val="superscript"/>
              </w:rPr>
              <w:t>3</w:t>
            </w:r>
            <w:r w:rsidRPr="00EA1BB2">
              <w:rPr>
                <w:rFonts w:ascii="Cambria" w:hAnsi="Cambria"/>
                <w:sz w:val="24"/>
                <w:szCs w:val="24"/>
              </w:rPr>
              <w:t>)</w:t>
            </w:r>
          </w:p>
        </w:tc>
        <w:tc>
          <w:tcPr>
            <w:tcW w:w="1560" w:type="dxa"/>
            <w:vAlign w:val="center"/>
          </w:tcPr>
          <w:p w14:paraId="5B4D813C" w14:textId="77777777" w:rsidR="00F61EEF" w:rsidRPr="00EA1BB2" w:rsidRDefault="00F61EEF" w:rsidP="00DC196B">
            <w:pPr>
              <w:jc w:val="center"/>
              <w:rPr>
                <w:rFonts w:ascii="Cambria" w:hAnsi="Cambria"/>
                <w:sz w:val="24"/>
                <w:szCs w:val="24"/>
              </w:rPr>
            </w:pPr>
          </w:p>
        </w:tc>
        <w:tc>
          <w:tcPr>
            <w:tcW w:w="1744" w:type="dxa"/>
            <w:vAlign w:val="center"/>
          </w:tcPr>
          <w:p w14:paraId="4763CF76" w14:textId="77777777" w:rsidR="00F61EEF" w:rsidRPr="00EA1BB2" w:rsidRDefault="00F61EEF" w:rsidP="00DC196B">
            <w:pPr>
              <w:jc w:val="center"/>
              <w:rPr>
                <w:rFonts w:ascii="Cambria" w:hAnsi="Cambria"/>
                <w:sz w:val="24"/>
                <w:szCs w:val="24"/>
              </w:rPr>
            </w:pPr>
          </w:p>
        </w:tc>
        <w:tc>
          <w:tcPr>
            <w:tcW w:w="1373" w:type="dxa"/>
            <w:vMerge w:val="restart"/>
          </w:tcPr>
          <w:p w14:paraId="5B1AB496" w14:textId="77777777" w:rsidR="00F61EEF" w:rsidRPr="00EA1BB2" w:rsidRDefault="00F61EEF" w:rsidP="00DC196B">
            <w:pPr>
              <w:rPr>
                <w:rFonts w:ascii="Cambria" w:hAnsi="Cambria"/>
                <w:sz w:val="24"/>
                <w:szCs w:val="24"/>
              </w:rPr>
            </w:pPr>
          </w:p>
        </w:tc>
        <w:tc>
          <w:tcPr>
            <w:tcW w:w="1713" w:type="dxa"/>
            <w:vMerge w:val="restart"/>
            <w:vAlign w:val="center"/>
          </w:tcPr>
          <w:p w14:paraId="2A8ECCB7" w14:textId="77777777" w:rsidR="00F61EEF" w:rsidRPr="00EA1BB2" w:rsidRDefault="00F61EEF" w:rsidP="00DC196B">
            <w:pPr>
              <w:jc w:val="center"/>
              <w:rPr>
                <w:rFonts w:ascii="Cambria" w:hAnsi="Cambria"/>
                <w:sz w:val="24"/>
                <w:szCs w:val="24"/>
              </w:rPr>
            </w:pPr>
            <w:r w:rsidRPr="00EA1BB2">
              <w:rPr>
                <w:rFonts w:ascii="Cambria" w:hAnsi="Cambria"/>
                <w:sz w:val="24"/>
                <w:szCs w:val="24"/>
              </w:rPr>
              <w:t>Valoarea maximă zilnică a mediilor glisante pe 8 ore</w:t>
            </w:r>
          </w:p>
        </w:tc>
        <w:tc>
          <w:tcPr>
            <w:tcW w:w="1270" w:type="dxa"/>
            <w:vMerge w:val="restart"/>
            <w:vAlign w:val="center"/>
          </w:tcPr>
          <w:p w14:paraId="43504360" w14:textId="77777777" w:rsidR="00F61EEF" w:rsidRPr="00EA1BB2" w:rsidRDefault="00F61EEF" w:rsidP="00DC196B">
            <w:pPr>
              <w:jc w:val="center"/>
              <w:rPr>
                <w:rFonts w:ascii="Cambria" w:hAnsi="Cambria"/>
                <w:sz w:val="24"/>
                <w:szCs w:val="24"/>
              </w:rPr>
            </w:pPr>
            <w:r w:rsidRPr="00EA1BB2">
              <w:rPr>
                <w:rFonts w:ascii="Cambria" w:hAnsi="Cambria"/>
                <w:sz w:val="24"/>
                <w:szCs w:val="24"/>
              </w:rPr>
              <w:t>2010-2014</w:t>
            </w:r>
          </w:p>
        </w:tc>
        <w:tc>
          <w:tcPr>
            <w:tcW w:w="2127" w:type="dxa"/>
            <w:vAlign w:val="center"/>
          </w:tcPr>
          <w:p w14:paraId="79358ADF" w14:textId="77777777" w:rsidR="00F61EEF" w:rsidRPr="00EA1BB2" w:rsidRDefault="00F61EEF" w:rsidP="00DC196B">
            <w:pPr>
              <w:jc w:val="center"/>
              <w:rPr>
                <w:rFonts w:ascii="Cambria" w:hAnsi="Cambria"/>
                <w:sz w:val="24"/>
                <w:szCs w:val="24"/>
              </w:rPr>
            </w:pPr>
            <w:r w:rsidRPr="00EA1BB2">
              <w:rPr>
                <w:rFonts w:ascii="Cambria" w:hAnsi="Cambria"/>
                <w:sz w:val="24"/>
                <w:szCs w:val="24"/>
              </w:rPr>
              <w:t>Surse staționare</w:t>
            </w:r>
          </w:p>
        </w:tc>
        <w:tc>
          <w:tcPr>
            <w:tcW w:w="1701" w:type="dxa"/>
            <w:vAlign w:val="center"/>
          </w:tcPr>
          <w:p w14:paraId="161D746A" w14:textId="77777777" w:rsidR="00F61EEF" w:rsidRPr="00EA1BB2" w:rsidRDefault="00F61EEF" w:rsidP="00DC196B">
            <w:pPr>
              <w:jc w:val="right"/>
              <w:rPr>
                <w:rFonts w:ascii="Cambria" w:hAnsi="Cambria"/>
                <w:sz w:val="24"/>
                <w:szCs w:val="24"/>
              </w:rPr>
            </w:pPr>
            <w:r w:rsidRPr="00EA1BB2">
              <w:rPr>
                <w:rFonts w:ascii="Cambria" w:hAnsi="Cambria"/>
                <w:sz w:val="24"/>
                <w:szCs w:val="24"/>
              </w:rPr>
              <w:t>249,320430</w:t>
            </w:r>
          </w:p>
        </w:tc>
      </w:tr>
      <w:tr w:rsidR="00F61EEF" w:rsidRPr="00EA1BB2" w14:paraId="15FD1C6C" w14:textId="77777777" w:rsidTr="00AC454E">
        <w:trPr>
          <w:jc w:val="center"/>
        </w:trPr>
        <w:tc>
          <w:tcPr>
            <w:tcW w:w="1844" w:type="dxa"/>
            <w:vMerge/>
          </w:tcPr>
          <w:p w14:paraId="5E481E3F" w14:textId="77777777" w:rsidR="00F61EEF" w:rsidRPr="00EA1BB2" w:rsidRDefault="00F61EEF" w:rsidP="00DC196B">
            <w:pPr>
              <w:rPr>
                <w:rFonts w:ascii="Cambria" w:hAnsi="Cambria"/>
                <w:sz w:val="24"/>
                <w:szCs w:val="24"/>
              </w:rPr>
            </w:pPr>
          </w:p>
        </w:tc>
        <w:tc>
          <w:tcPr>
            <w:tcW w:w="1275" w:type="dxa"/>
            <w:vMerge/>
            <w:vAlign w:val="center"/>
          </w:tcPr>
          <w:p w14:paraId="0FBD4290" w14:textId="77777777" w:rsidR="00F61EEF" w:rsidRPr="00EA1BB2" w:rsidRDefault="00F61EEF" w:rsidP="00DC196B">
            <w:pPr>
              <w:jc w:val="center"/>
              <w:rPr>
                <w:rFonts w:ascii="Cambria" w:hAnsi="Cambria"/>
                <w:sz w:val="24"/>
                <w:szCs w:val="24"/>
              </w:rPr>
            </w:pPr>
          </w:p>
        </w:tc>
        <w:tc>
          <w:tcPr>
            <w:tcW w:w="1560" w:type="dxa"/>
            <w:vAlign w:val="center"/>
          </w:tcPr>
          <w:p w14:paraId="6AAF5977" w14:textId="77777777" w:rsidR="00F61EEF" w:rsidRPr="00EA1BB2" w:rsidRDefault="00F61EEF" w:rsidP="00DC196B">
            <w:pPr>
              <w:jc w:val="center"/>
              <w:rPr>
                <w:rFonts w:ascii="Cambria" w:hAnsi="Cambria"/>
                <w:sz w:val="24"/>
                <w:szCs w:val="24"/>
              </w:rPr>
            </w:pPr>
            <w:r w:rsidRPr="00EA1BB2">
              <w:rPr>
                <w:rFonts w:ascii="Cambria" w:hAnsi="Cambria"/>
                <w:sz w:val="24"/>
                <w:szCs w:val="24"/>
              </w:rPr>
              <w:t>RNMCA</w:t>
            </w:r>
          </w:p>
        </w:tc>
        <w:tc>
          <w:tcPr>
            <w:tcW w:w="1744" w:type="dxa"/>
            <w:vAlign w:val="center"/>
          </w:tcPr>
          <w:p w14:paraId="64080B30" w14:textId="77777777" w:rsidR="00F61EEF" w:rsidRPr="00EA1BB2" w:rsidRDefault="00F61EEF" w:rsidP="00DC196B">
            <w:pPr>
              <w:jc w:val="center"/>
              <w:rPr>
                <w:rFonts w:ascii="Cambria" w:hAnsi="Cambria"/>
                <w:sz w:val="24"/>
                <w:szCs w:val="24"/>
              </w:rPr>
            </w:pPr>
            <w:r w:rsidRPr="00EA1BB2">
              <w:rPr>
                <w:rFonts w:ascii="Cambria" w:hAnsi="Cambria"/>
                <w:sz w:val="24"/>
                <w:szCs w:val="24"/>
              </w:rPr>
              <w:t>2,50</w:t>
            </w:r>
          </w:p>
        </w:tc>
        <w:tc>
          <w:tcPr>
            <w:tcW w:w="1373" w:type="dxa"/>
            <w:vMerge/>
          </w:tcPr>
          <w:p w14:paraId="23A20BED" w14:textId="77777777" w:rsidR="00F61EEF" w:rsidRPr="00EA1BB2" w:rsidRDefault="00F61EEF" w:rsidP="00DC196B">
            <w:pPr>
              <w:rPr>
                <w:rFonts w:ascii="Cambria" w:hAnsi="Cambria"/>
                <w:sz w:val="24"/>
                <w:szCs w:val="24"/>
              </w:rPr>
            </w:pPr>
          </w:p>
        </w:tc>
        <w:tc>
          <w:tcPr>
            <w:tcW w:w="1713" w:type="dxa"/>
            <w:vMerge/>
            <w:vAlign w:val="center"/>
          </w:tcPr>
          <w:p w14:paraId="1AB0549F" w14:textId="77777777" w:rsidR="00F61EEF" w:rsidRPr="00EA1BB2" w:rsidRDefault="00F61EEF" w:rsidP="00DC196B">
            <w:pPr>
              <w:jc w:val="center"/>
              <w:rPr>
                <w:rFonts w:ascii="Cambria" w:hAnsi="Cambria"/>
                <w:sz w:val="24"/>
                <w:szCs w:val="24"/>
              </w:rPr>
            </w:pPr>
          </w:p>
        </w:tc>
        <w:tc>
          <w:tcPr>
            <w:tcW w:w="1270" w:type="dxa"/>
            <w:vMerge/>
            <w:vAlign w:val="center"/>
          </w:tcPr>
          <w:p w14:paraId="79AB2336" w14:textId="77777777" w:rsidR="00F61EEF" w:rsidRPr="00EA1BB2" w:rsidRDefault="00F61EEF" w:rsidP="00DC196B">
            <w:pPr>
              <w:jc w:val="center"/>
              <w:rPr>
                <w:rFonts w:ascii="Cambria" w:hAnsi="Cambria"/>
                <w:sz w:val="24"/>
                <w:szCs w:val="24"/>
              </w:rPr>
            </w:pPr>
          </w:p>
        </w:tc>
        <w:tc>
          <w:tcPr>
            <w:tcW w:w="2127" w:type="dxa"/>
            <w:vAlign w:val="center"/>
          </w:tcPr>
          <w:p w14:paraId="3572CB73" w14:textId="77777777" w:rsidR="00F61EEF" w:rsidRPr="00EA1BB2" w:rsidRDefault="00F61EEF" w:rsidP="00DC196B">
            <w:pPr>
              <w:jc w:val="center"/>
              <w:rPr>
                <w:rFonts w:ascii="Cambria" w:hAnsi="Cambria"/>
                <w:sz w:val="24"/>
                <w:szCs w:val="24"/>
              </w:rPr>
            </w:pPr>
            <w:r w:rsidRPr="00EA1BB2">
              <w:rPr>
                <w:rFonts w:ascii="Cambria" w:hAnsi="Cambria"/>
                <w:sz w:val="24"/>
                <w:szCs w:val="24"/>
              </w:rPr>
              <w:t>Surse mobile</w:t>
            </w:r>
          </w:p>
        </w:tc>
        <w:tc>
          <w:tcPr>
            <w:tcW w:w="1701" w:type="dxa"/>
            <w:vAlign w:val="center"/>
          </w:tcPr>
          <w:p w14:paraId="0FF3C5EF" w14:textId="77777777" w:rsidR="00F61EEF" w:rsidRPr="00EA1BB2" w:rsidRDefault="00F61EEF" w:rsidP="00DC196B">
            <w:pPr>
              <w:jc w:val="right"/>
              <w:rPr>
                <w:rFonts w:ascii="Cambria" w:hAnsi="Cambria"/>
                <w:sz w:val="24"/>
                <w:szCs w:val="24"/>
              </w:rPr>
            </w:pPr>
            <w:r w:rsidRPr="00EA1BB2">
              <w:rPr>
                <w:rFonts w:ascii="Cambria" w:hAnsi="Cambria"/>
                <w:sz w:val="24"/>
                <w:szCs w:val="24"/>
              </w:rPr>
              <w:t>3700,426184</w:t>
            </w:r>
          </w:p>
        </w:tc>
      </w:tr>
      <w:tr w:rsidR="00F61EEF" w:rsidRPr="00EA1BB2" w14:paraId="596F2600" w14:textId="77777777" w:rsidTr="00AC454E">
        <w:trPr>
          <w:jc w:val="center"/>
        </w:trPr>
        <w:tc>
          <w:tcPr>
            <w:tcW w:w="1844" w:type="dxa"/>
            <w:vMerge/>
          </w:tcPr>
          <w:p w14:paraId="2A38105C" w14:textId="77777777" w:rsidR="00F61EEF" w:rsidRPr="00EA1BB2" w:rsidRDefault="00F61EEF" w:rsidP="00DC196B">
            <w:pPr>
              <w:rPr>
                <w:rFonts w:ascii="Cambria" w:hAnsi="Cambria"/>
                <w:sz w:val="24"/>
                <w:szCs w:val="24"/>
              </w:rPr>
            </w:pPr>
          </w:p>
        </w:tc>
        <w:tc>
          <w:tcPr>
            <w:tcW w:w="1275" w:type="dxa"/>
            <w:vMerge/>
            <w:vAlign w:val="center"/>
          </w:tcPr>
          <w:p w14:paraId="43D86AF2" w14:textId="77777777" w:rsidR="00F61EEF" w:rsidRPr="00EA1BB2" w:rsidRDefault="00F61EEF" w:rsidP="00DC196B">
            <w:pPr>
              <w:jc w:val="center"/>
              <w:rPr>
                <w:rFonts w:ascii="Cambria" w:hAnsi="Cambria"/>
                <w:sz w:val="24"/>
                <w:szCs w:val="24"/>
              </w:rPr>
            </w:pPr>
          </w:p>
        </w:tc>
        <w:tc>
          <w:tcPr>
            <w:tcW w:w="1560" w:type="dxa"/>
            <w:vAlign w:val="center"/>
          </w:tcPr>
          <w:p w14:paraId="608B915D" w14:textId="77777777" w:rsidR="00F61EEF" w:rsidRPr="00EA1BB2" w:rsidRDefault="00F61EEF" w:rsidP="00DC196B">
            <w:pPr>
              <w:jc w:val="center"/>
              <w:rPr>
                <w:rFonts w:ascii="Cambria" w:hAnsi="Cambria"/>
                <w:sz w:val="24"/>
                <w:szCs w:val="24"/>
              </w:rPr>
            </w:pPr>
            <w:r w:rsidRPr="00EA1BB2">
              <w:rPr>
                <w:rFonts w:ascii="Cambria" w:hAnsi="Cambria"/>
                <w:sz w:val="24"/>
                <w:szCs w:val="24"/>
              </w:rPr>
              <w:t>Modelare</w:t>
            </w:r>
          </w:p>
        </w:tc>
        <w:tc>
          <w:tcPr>
            <w:tcW w:w="1744" w:type="dxa"/>
            <w:vAlign w:val="center"/>
          </w:tcPr>
          <w:p w14:paraId="6554999D" w14:textId="77777777" w:rsidR="00F61EEF" w:rsidRPr="00EA1BB2" w:rsidRDefault="00F61EEF" w:rsidP="00DC196B">
            <w:pPr>
              <w:jc w:val="center"/>
              <w:rPr>
                <w:rFonts w:ascii="Cambria" w:hAnsi="Cambria"/>
                <w:sz w:val="24"/>
                <w:szCs w:val="24"/>
              </w:rPr>
            </w:pPr>
            <w:r w:rsidRPr="00EA1BB2">
              <w:rPr>
                <w:rFonts w:ascii="Cambria" w:hAnsi="Cambria"/>
                <w:sz w:val="24"/>
                <w:szCs w:val="24"/>
              </w:rPr>
              <w:t>1,66</w:t>
            </w:r>
          </w:p>
        </w:tc>
        <w:tc>
          <w:tcPr>
            <w:tcW w:w="1373" w:type="dxa"/>
            <w:vMerge/>
          </w:tcPr>
          <w:p w14:paraId="79960D66" w14:textId="77777777" w:rsidR="00F61EEF" w:rsidRPr="00EA1BB2" w:rsidRDefault="00F61EEF" w:rsidP="00DC196B">
            <w:pPr>
              <w:rPr>
                <w:rFonts w:ascii="Cambria" w:hAnsi="Cambria"/>
                <w:sz w:val="24"/>
                <w:szCs w:val="24"/>
              </w:rPr>
            </w:pPr>
          </w:p>
        </w:tc>
        <w:tc>
          <w:tcPr>
            <w:tcW w:w="1713" w:type="dxa"/>
            <w:vMerge/>
            <w:vAlign w:val="center"/>
          </w:tcPr>
          <w:p w14:paraId="0C8CFB71" w14:textId="77777777" w:rsidR="00F61EEF" w:rsidRPr="00EA1BB2" w:rsidRDefault="00F61EEF" w:rsidP="00DC196B">
            <w:pPr>
              <w:jc w:val="center"/>
              <w:rPr>
                <w:rFonts w:ascii="Cambria" w:hAnsi="Cambria"/>
                <w:sz w:val="24"/>
                <w:szCs w:val="24"/>
              </w:rPr>
            </w:pPr>
          </w:p>
        </w:tc>
        <w:tc>
          <w:tcPr>
            <w:tcW w:w="1270" w:type="dxa"/>
            <w:vMerge/>
            <w:vAlign w:val="center"/>
          </w:tcPr>
          <w:p w14:paraId="1796DB6B" w14:textId="77777777" w:rsidR="00F61EEF" w:rsidRPr="00EA1BB2" w:rsidRDefault="00F61EEF" w:rsidP="00DC196B">
            <w:pPr>
              <w:jc w:val="center"/>
              <w:rPr>
                <w:rFonts w:ascii="Cambria" w:hAnsi="Cambria"/>
                <w:sz w:val="24"/>
                <w:szCs w:val="24"/>
              </w:rPr>
            </w:pPr>
          </w:p>
        </w:tc>
        <w:tc>
          <w:tcPr>
            <w:tcW w:w="2127" w:type="dxa"/>
            <w:vAlign w:val="center"/>
          </w:tcPr>
          <w:p w14:paraId="116C68A6" w14:textId="77777777" w:rsidR="00F61EEF" w:rsidRPr="00EA1BB2" w:rsidRDefault="00F61EEF" w:rsidP="00DC196B">
            <w:pPr>
              <w:jc w:val="center"/>
              <w:rPr>
                <w:rFonts w:ascii="Cambria" w:hAnsi="Cambria"/>
                <w:sz w:val="24"/>
                <w:szCs w:val="24"/>
              </w:rPr>
            </w:pPr>
            <w:r w:rsidRPr="00EA1BB2">
              <w:rPr>
                <w:rFonts w:ascii="Cambria" w:hAnsi="Cambria"/>
                <w:sz w:val="24"/>
                <w:szCs w:val="24"/>
              </w:rPr>
              <w:t>Surse de suprafață</w:t>
            </w:r>
          </w:p>
        </w:tc>
        <w:tc>
          <w:tcPr>
            <w:tcW w:w="1701" w:type="dxa"/>
            <w:vAlign w:val="center"/>
          </w:tcPr>
          <w:p w14:paraId="06F75471" w14:textId="77777777" w:rsidR="00F61EEF" w:rsidRPr="00EA1BB2" w:rsidRDefault="00F61EEF" w:rsidP="00DC196B">
            <w:pPr>
              <w:jc w:val="right"/>
              <w:rPr>
                <w:rFonts w:ascii="Cambria" w:hAnsi="Cambria"/>
                <w:sz w:val="24"/>
                <w:szCs w:val="24"/>
              </w:rPr>
            </w:pPr>
            <w:r w:rsidRPr="00EA1BB2">
              <w:rPr>
                <w:rFonts w:ascii="Cambria" w:hAnsi="Cambria"/>
                <w:sz w:val="24"/>
                <w:szCs w:val="24"/>
              </w:rPr>
              <w:t>1359,363217</w:t>
            </w:r>
          </w:p>
        </w:tc>
      </w:tr>
      <w:tr w:rsidR="00F61EEF" w:rsidRPr="00EA1BB2" w14:paraId="56A18E51" w14:textId="77777777" w:rsidTr="00AC454E">
        <w:trPr>
          <w:jc w:val="center"/>
        </w:trPr>
        <w:tc>
          <w:tcPr>
            <w:tcW w:w="1844" w:type="dxa"/>
            <w:vMerge/>
          </w:tcPr>
          <w:p w14:paraId="1811BB9F" w14:textId="77777777" w:rsidR="00F61EEF" w:rsidRPr="00EA1BB2" w:rsidRDefault="00F61EEF" w:rsidP="00DC196B">
            <w:pPr>
              <w:rPr>
                <w:rFonts w:ascii="Cambria" w:hAnsi="Cambria"/>
                <w:sz w:val="24"/>
                <w:szCs w:val="24"/>
              </w:rPr>
            </w:pPr>
          </w:p>
        </w:tc>
        <w:tc>
          <w:tcPr>
            <w:tcW w:w="1275" w:type="dxa"/>
            <w:vMerge w:val="restart"/>
            <w:vAlign w:val="center"/>
          </w:tcPr>
          <w:p w14:paraId="7B5792A2" w14:textId="77777777" w:rsidR="00F61EEF" w:rsidRPr="00EA1BB2" w:rsidRDefault="00F61EEF" w:rsidP="00DC196B">
            <w:pPr>
              <w:jc w:val="center"/>
              <w:rPr>
                <w:rFonts w:ascii="Cambria" w:hAnsi="Cambria"/>
                <w:sz w:val="24"/>
                <w:szCs w:val="24"/>
              </w:rPr>
            </w:pPr>
            <w:r w:rsidRPr="00EA1BB2">
              <w:rPr>
                <w:rFonts w:ascii="Cambria" w:hAnsi="Cambria"/>
                <w:sz w:val="24"/>
                <w:szCs w:val="24"/>
              </w:rPr>
              <w:t>Benzen (µg/m</w:t>
            </w:r>
            <w:r w:rsidRPr="00EA1BB2">
              <w:rPr>
                <w:rFonts w:ascii="Cambria" w:hAnsi="Cambria"/>
                <w:sz w:val="24"/>
                <w:szCs w:val="24"/>
                <w:vertAlign w:val="superscript"/>
              </w:rPr>
              <w:t>3</w:t>
            </w:r>
            <w:r w:rsidRPr="00EA1BB2">
              <w:rPr>
                <w:rFonts w:ascii="Cambria" w:hAnsi="Cambria"/>
                <w:sz w:val="24"/>
                <w:szCs w:val="24"/>
              </w:rPr>
              <w:t>)</w:t>
            </w:r>
          </w:p>
        </w:tc>
        <w:tc>
          <w:tcPr>
            <w:tcW w:w="1560" w:type="dxa"/>
            <w:vAlign w:val="center"/>
          </w:tcPr>
          <w:p w14:paraId="69A142D1" w14:textId="77777777" w:rsidR="00F61EEF" w:rsidRPr="00EA1BB2" w:rsidRDefault="00F61EEF" w:rsidP="00DC196B">
            <w:pPr>
              <w:jc w:val="center"/>
              <w:rPr>
                <w:rFonts w:ascii="Cambria" w:hAnsi="Cambria"/>
                <w:sz w:val="24"/>
                <w:szCs w:val="24"/>
              </w:rPr>
            </w:pPr>
          </w:p>
        </w:tc>
        <w:tc>
          <w:tcPr>
            <w:tcW w:w="1744" w:type="dxa"/>
            <w:vAlign w:val="center"/>
          </w:tcPr>
          <w:p w14:paraId="6A8D3067" w14:textId="77777777" w:rsidR="00F61EEF" w:rsidRPr="00EA1BB2" w:rsidRDefault="00F61EEF" w:rsidP="00DC196B">
            <w:pPr>
              <w:jc w:val="center"/>
              <w:rPr>
                <w:rFonts w:ascii="Cambria" w:hAnsi="Cambria"/>
                <w:sz w:val="24"/>
                <w:szCs w:val="24"/>
              </w:rPr>
            </w:pPr>
          </w:p>
        </w:tc>
        <w:tc>
          <w:tcPr>
            <w:tcW w:w="1373" w:type="dxa"/>
            <w:vMerge w:val="restart"/>
          </w:tcPr>
          <w:p w14:paraId="4586CF83" w14:textId="77777777" w:rsidR="00F61EEF" w:rsidRPr="00EA1BB2" w:rsidRDefault="00F61EEF" w:rsidP="00DC196B">
            <w:pPr>
              <w:rPr>
                <w:rFonts w:ascii="Cambria" w:hAnsi="Cambria"/>
                <w:sz w:val="24"/>
                <w:szCs w:val="24"/>
              </w:rPr>
            </w:pPr>
          </w:p>
        </w:tc>
        <w:tc>
          <w:tcPr>
            <w:tcW w:w="1713" w:type="dxa"/>
            <w:vMerge w:val="restart"/>
            <w:vAlign w:val="center"/>
          </w:tcPr>
          <w:p w14:paraId="5FD3A43D" w14:textId="77777777" w:rsidR="00F61EEF" w:rsidRPr="00EA1BB2" w:rsidRDefault="00F61EEF" w:rsidP="00DC196B">
            <w:pPr>
              <w:jc w:val="center"/>
              <w:rPr>
                <w:rFonts w:ascii="Cambria" w:hAnsi="Cambria"/>
                <w:sz w:val="24"/>
                <w:szCs w:val="24"/>
              </w:rPr>
            </w:pPr>
            <w:r w:rsidRPr="00EA1BB2">
              <w:rPr>
                <w:rFonts w:ascii="Cambria" w:hAnsi="Cambria"/>
                <w:sz w:val="24"/>
                <w:szCs w:val="24"/>
              </w:rPr>
              <w:t>1 an</w:t>
            </w:r>
          </w:p>
        </w:tc>
        <w:tc>
          <w:tcPr>
            <w:tcW w:w="1270" w:type="dxa"/>
            <w:vMerge w:val="restart"/>
            <w:vAlign w:val="center"/>
          </w:tcPr>
          <w:p w14:paraId="55509538" w14:textId="77777777" w:rsidR="00F61EEF" w:rsidRPr="00EA1BB2" w:rsidRDefault="00F61EEF" w:rsidP="00DC196B">
            <w:pPr>
              <w:jc w:val="center"/>
              <w:rPr>
                <w:rFonts w:ascii="Cambria" w:hAnsi="Cambria"/>
                <w:sz w:val="24"/>
                <w:szCs w:val="24"/>
              </w:rPr>
            </w:pPr>
            <w:r w:rsidRPr="00EA1BB2">
              <w:rPr>
                <w:rFonts w:ascii="Cambria" w:hAnsi="Cambria"/>
                <w:sz w:val="24"/>
                <w:szCs w:val="24"/>
              </w:rPr>
              <w:t>2010-2014</w:t>
            </w:r>
          </w:p>
        </w:tc>
        <w:tc>
          <w:tcPr>
            <w:tcW w:w="2127" w:type="dxa"/>
            <w:vAlign w:val="center"/>
          </w:tcPr>
          <w:p w14:paraId="0F79761D" w14:textId="77777777" w:rsidR="00F61EEF" w:rsidRPr="00EA1BB2" w:rsidRDefault="00F61EEF" w:rsidP="00DC196B">
            <w:pPr>
              <w:jc w:val="center"/>
              <w:rPr>
                <w:rFonts w:ascii="Cambria" w:hAnsi="Cambria"/>
                <w:sz w:val="24"/>
                <w:szCs w:val="24"/>
              </w:rPr>
            </w:pPr>
            <w:r w:rsidRPr="00EA1BB2">
              <w:rPr>
                <w:rFonts w:ascii="Cambria" w:hAnsi="Cambria"/>
                <w:sz w:val="24"/>
                <w:szCs w:val="24"/>
              </w:rPr>
              <w:t>Surse staționare</w:t>
            </w:r>
          </w:p>
        </w:tc>
        <w:tc>
          <w:tcPr>
            <w:tcW w:w="1701" w:type="dxa"/>
            <w:vAlign w:val="center"/>
          </w:tcPr>
          <w:p w14:paraId="41B4F82C" w14:textId="77777777" w:rsidR="00F61EEF" w:rsidRPr="00EA1BB2" w:rsidRDefault="00F61EEF" w:rsidP="00DC196B">
            <w:pPr>
              <w:jc w:val="right"/>
              <w:rPr>
                <w:rFonts w:ascii="Cambria" w:hAnsi="Cambria"/>
                <w:sz w:val="24"/>
                <w:szCs w:val="24"/>
              </w:rPr>
            </w:pPr>
            <w:r w:rsidRPr="00EA1BB2">
              <w:rPr>
                <w:rFonts w:ascii="Cambria" w:hAnsi="Cambria"/>
                <w:sz w:val="24"/>
                <w:szCs w:val="24"/>
              </w:rPr>
              <w:t>NE</w:t>
            </w:r>
          </w:p>
        </w:tc>
      </w:tr>
      <w:tr w:rsidR="00F61EEF" w:rsidRPr="00EA1BB2" w14:paraId="4BB5A48B" w14:textId="77777777" w:rsidTr="00AC454E">
        <w:trPr>
          <w:jc w:val="center"/>
        </w:trPr>
        <w:tc>
          <w:tcPr>
            <w:tcW w:w="1844" w:type="dxa"/>
            <w:vMerge/>
          </w:tcPr>
          <w:p w14:paraId="0EDDAD91" w14:textId="77777777" w:rsidR="00F61EEF" w:rsidRPr="00EA1BB2" w:rsidRDefault="00F61EEF" w:rsidP="00DC196B">
            <w:pPr>
              <w:rPr>
                <w:rFonts w:ascii="Cambria" w:hAnsi="Cambria"/>
                <w:sz w:val="24"/>
                <w:szCs w:val="24"/>
              </w:rPr>
            </w:pPr>
          </w:p>
        </w:tc>
        <w:tc>
          <w:tcPr>
            <w:tcW w:w="1275" w:type="dxa"/>
            <w:vMerge/>
            <w:vAlign w:val="center"/>
          </w:tcPr>
          <w:p w14:paraId="69585BFB" w14:textId="77777777" w:rsidR="00F61EEF" w:rsidRPr="00EA1BB2" w:rsidRDefault="00F61EEF" w:rsidP="00DC196B">
            <w:pPr>
              <w:jc w:val="center"/>
              <w:rPr>
                <w:rFonts w:ascii="Cambria" w:hAnsi="Cambria"/>
                <w:sz w:val="24"/>
                <w:szCs w:val="24"/>
              </w:rPr>
            </w:pPr>
          </w:p>
        </w:tc>
        <w:tc>
          <w:tcPr>
            <w:tcW w:w="1560" w:type="dxa"/>
            <w:vAlign w:val="center"/>
          </w:tcPr>
          <w:p w14:paraId="7DCD90E2" w14:textId="77777777" w:rsidR="00F61EEF" w:rsidRPr="00EA1BB2" w:rsidRDefault="00F61EEF" w:rsidP="00DC196B">
            <w:pPr>
              <w:jc w:val="center"/>
              <w:rPr>
                <w:rFonts w:ascii="Cambria" w:hAnsi="Cambria"/>
                <w:sz w:val="24"/>
                <w:szCs w:val="24"/>
              </w:rPr>
            </w:pPr>
            <w:r w:rsidRPr="00EA1BB2">
              <w:rPr>
                <w:rFonts w:ascii="Cambria" w:hAnsi="Cambria"/>
                <w:sz w:val="24"/>
                <w:szCs w:val="24"/>
              </w:rPr>
              <w:t>RNMCA</w:t>
            </w:r>
          </w:p>
        </w:tc>
        <w:tc>
          <w:tcPr>
            <w:tcW w:w="1744" w:type="dxa"/>
            <w:vAlign w:val="center"/>
          </w:tcPr>
          <w:p w14:paraId="523C3319" w14:textId="77777777" w:rsidR="00F61EEF" w:rsidRPr="00EA1BB2" w:rsidRDefault="00F61EEF" w:rsidP="00DC196B">
            <w:pPr>
              <w:jc w:val="center"/>
              <w:rPr>
                <w:rFonts w:ascii="Cambria" w:hAnsi="Cambria"/>
                <w:sz w:val="24"/>
                <w:szCs w:val="24"/>
              </w:rPr>
            </w:pPr>
          </w:p>
        </w:tc>
        <w:tc>
          <w:tcPr>
            <w:tcW w:w="1373" w:type="dxa"/>
            <w:vMerge/>
          </w:tcPr>
          <w:p w14:paraId="6A812FCE" w14:textId="77777777" w:rsidR="00F61EEF" w:rsidRPr="00EA1BB2" w:rsidRDefault="00F61EEF" w:rsidP="00DC196B">
            <w:pPr>
              <w:rPr>
                <w:rFonts w:ascii="Cambria" w:hAnsi="Cambria"/>
                <w:sz w:val="24"/>
                <w:szCs w:val="24"/>
              </w:rPr>
            </w:pPr>
          </w:p>
        </w:tc>
        <w:tc>
          <w:tcPr>
            <w:tcW w:w="1713" w:type="dxa"/>
            <w:vMerge/>
            <w:vAlign w:val="center"/>
          </w:tcPr>
          <w:p w14:paraId="7913D6FC" w14:textId="77777777" w:rsidR="00F61EEF" w:rsidRPr="00EA1BB2" w:rsidRDefault="00F61EEF" w:rsidP="00DC196B">
            <w:pPr>
              <w:jc w:val="center"/>
              <w:rPr>
                <w:rFonts w:ascii="Cambria" w:hAnsi="Cambria"/>
                <w:sz w:val="24"/>
                <w:szCs w:val="24"/>
              </w:rPr>
            </w:pPr>
          </w:p>
        </w:tc>
        <w:tc>
          <w:tcPr>
            <w:tcW w:w="1270" w:type="dxa"/>
            <w:vMerge/>
            <w:vAlign w:val="center"/>
          </w:tcPr>
          <w:p w14:paraId="092B89FF" w14:textId="77777777" w:rsidR="00F61EEF" w:rsidRPr="00EA1BB2" w:rsidRDefault="00F61EEF" w:rsidP="00DC196B">
            <w:pPr>
              <w:jc w:val="center"/>
              <w:rPr>
                <w:rFonts w:ascii="Cambria" w:hAnsi="Cambria"/>
                <w:sz w:val="24"/>
                <w:szCs w:val="24"/>
              </w:rPr>
            </w:pPr>
          </w:p>
        </w:tc>
        <w:tc>
          <w:tcPr>
            <w:tcW w:w="2127" w:type="dxa"/>
            <w:vAlign w:val="center"/>
          </w:tcPr>
          <w:p w14:paraId="6659A645" w14:textId="77777777" w:rsidR="00F61EEF" w:rsidRPr="00EA1BB2" w:rsidRDefault="00F61EEF" w:rsidP="00DC196B">
            <w:pPr>
              <w:jc w:val="center"/>
              <w:rPr>
                <w:rFonts w:ascii="Cambria" w:hAnsi="Cambria"/>
                <w:sz w:val="24"/>
                <w:szCs w:val="24"/>
              </w:rPr>
            </w:pPr>
            <w:r w:rsidRPr="00EA1BB2">
              <w:rPr>
                <w:rFonts w:ascii="Cambria" w:hAnsi="Cambria"/>
                <w:sz w:val="24"/>
                <w:szCs w:val="24"/>
              </w:rPr>
              <w:t>Surse mobile</w:t>
            </w:r>
          </w:p>
        </w:tc>
        <w:tc>
          <w:tcPr>
            <w:tcW w:w="1701" w:type="dxa"/>
            <w:vAlign w:val="center"/>
          </w:tcPr>
          <w:p w14:paraId="184C8C78" w14:textId="77777777" w:rsidR="00F61EEF" w:rsidRPr="00EA1BB2" w:rsidRDefault="00F61EEF" w:rsidP="00DC196B">
            <w:pPr>
              <w:jc w:val="right"/>
              <w:rPr>
                <w:rFonts w:ascii="Cambria" w:hAnsi="Cambria"/>
                <w:sz w:val="24"/>
                <w:szCs w:val="24"/>
              </w:rPr>
            </w:pPr>
            <w:r w:rsidRPr="00EA1BB2">
              <w:rPr>
                <w:rFonts w:ascii="Cambria" w:hAnsi="Cambria"/>
                <w:sz w:val="24"/>
                <w:szCs w:val="24"/>
              </w:rPr>
              <w:t>NE</w:t>
            </w:r>
          </w:p>
        </w:tc>
      </w:tr>
      <w:tr w:rsidR="00F61EEF" w:rsidRPr="00EA1BB2" w14:paraId="0663E438" w14:textId="77777777" w:rsidTr="00AC454E">
        <w:trPr>
          <w:jc w:val="center"/>
        </w:trPr>
        <w:tc>
          <w:tcPr>
            <w:tcW w:w="1844" w:type="dxa"/>
            <w:vMerge/>
          </w:tcPr>
          <w:p w14:paraId="1276573E" w14:textId="77777777" w:rsidR="00F61EEF" w:rsidRPr="00EA1BB2" w:rsidRDefault="00F61EEF" w:rsidP="00DC196B">
            <w:pPr>
              <w:rPr>
                <w:rFonts w:ascii="Cambria" w:hAnsi="Cambria"/>
                <w:sz w:val="24"/>
                <w:szCs w:val="24"/>
              </w:rPr>
            </w:pPr>
          </w:p>
        </w:tc>
        <w:tc>
          <w:tcPr>
            <w:tcW w:w="1275" w:type="dxa"/>
            <w:vMerge/>
            <w:vAlign w:val="center"/>
          </w:tcPr>
          <w:p w14:paraId="60FDAAD5" w14:textId="77777777" w:rsidR="00F61EEF" w:rsidRPr="00EA1BB2" w:rsidRDefault="00F61EEF" w:rsidP="00DC196B">
            <w:pPr>
              <w:jc w:val="center"/>
              <w:rPr>
                <w:rFonts w:ascii="Cambria" w:hAnsi="Cambria"/>
                <w:sz w:val="24"/>
                <w:szCs w:val="24"/>
              </w:rPr>
            </w:pPr>
          </w:p>
        </w:tc>
        <w:tc>
          <w:tcPr>
            <w:tcW w:w="1560" w:type="dxa"/>
            <w:vAlign w:val="center"/>
          </w:tcPr>
          <w:p w14:paraId="7E8F87E4" w14:textId="77777777" w:rsidR="00F61EEF" w:rsidRPr="00EA1BB2" w:rsidRDefault="00F61EEF" w:rsidP="00DC196B">
            <w:pPr>
              <w:jc w:val="center"/>
              <w:rPr>
                <w:rFonts w:ascii="Cambria" w:hAnsi="Cambria"/>
                <w:sz w:val="24"/>
                <w:szCs w:val="24"/>
              </w:rPr>
            </w:pPr>
            <w:r w:rsidRPr="00EA1BB2">
              <w:rPr>
                <w:rFonts w:ascii="Cambria" w:hAnsi="Cambria"/>
                <w:sz w:val="24"/>
                <w:szCs w:val="24"/>
              </w:rPr>
              <w:t>Modelare</w:t>
            </w:r>
          </w:p>
        </w:tc>
        <w:tc>
          <w:tcPr>
            <w:tcW w:w="1744" w:type="dxa"/>
            <w:vAlign w:val="center"/>
          </w:tcPr>
          <w:p w14:paraId="635D1FDA" w14:textId="77777777" w:rsidR="00F61EEF" w:rsidRPr="00EA1BB2" w:rsidRDefault="00F61EEF" w:rsidP="00DC196B">
            <w:pPr>
              <w:jc w:val="center"/>
              <w:rPr>
                <w:rFonts w:ascii="Cambria" w:hAnsi="Cambria"/>
                <w:sz w:val="24"/>
                <w:szCs w:val="24"/>
              </w:rPr>
            </w:pPr>
            <w:r w:rsidRPr="00EA1BB2">
              <w:rPr>
                <w:rFonts w:ascii="Cambria" w:hAnsi="Cambria"/>
                <w:sz w:val="24"/>
                <w:szCs w:val="24"/>
              </w:rPr>
              <w:t>3,52</w:t>
            </w:r>
          </w:p>
        </w:tc>
        <w:tc>
          <w:tcPr>
            <w:tcW w:w="1373" w:type="dxa"/>
            <w:vMerge/>
          </w:tcPr>
          <w:p w14:paraId="069BC8F0" w14:textId="77777777" w:rsidR="00F61EEF" w:rsidRPr="00EA1BB2" w:rsidRDefault="00F61EEF" w:rsidP="00DC196B">
            <w:pPr>
              <w:rPr>
                <w:rFonts w:ascii="Cambria" w:hAnsi="Cambria"/>
                <w:sz w:val="24"/>
                <w:szCs w:val="24"/>
              </w:rPr>
            </w:pPr>
          </w:p>
        </w:tc>
        <w:tc>
          <w:tcPr>
            <w:tcW w:w="1713" w:type="dxa"/>
            <w:vMerge/>
            <w:vAlign w:val="center"/>
          </w:tcPr>
          <w:p w14:paraId="21785164" w14:textId="77777777" w:rsidR="00F61EEF" w:rsidRPr="00EA1BB2" w:rsidRDefault="00F61EEF" w:rsidP="00DC196B">
            <w:pPr>
              <w:jc w:val="center"/>
              <w:rPr>
                <w:rFonts w:ascii="Cambria" w:hAnsi="Cambria"/>
                <w:sz w:val="24"/>
                <w:szCs w:val="24"/>
              </w:rPr>
            </w:pPr>
          </w:p>
        </w:tc>
        <w:tc>
          <w:tcPr>
            <w:tcW w:w="1270" w:type="dxa"/>
            <w:vMerge/>
            <w:vAlign w:val="center"/>
          </w:tcPr>
          <w:p w14:paraId="1FD737A1" w14:textId="77777777" w:rsidR="00F61EEF" w:rsidRPr="00EA1BB2" w:rsidRDefault="00F61EEF" w:rsidP="00DC196B">
            <w:pPr>
              <w:jc w:val="center"/>
              <w:rPr>
                <w:rFonts w:ascii="Cambria" w:hAnsi="Cambria"/>
                <w:sz w:val="24"/>
                <w:szCs w:val="24"/>
              </w:rPr>
            </w:pPr>
          </w:p>
        </w:tc>
        <w:tc>
          <w:tcPr>
            <w:tcW w:w="2127" w:type="dxa"/>
            <w:vAlign w:val="center"/>
          </w:tcPr>
          <w:p w14:paraId="1E7DEE36" w14:textId="77777777" w:rsidR="00F61EEF" w:rsidRPr="00EA1BB2" w:rsidRDefault="00F61EEF" w:rsidP="00DC196B">
            <w:pPr>
              <w:jc w:val="center"/>
              <w:rPr>
                <w:rFonts w:ascii="Cambria" w:hAnsi="Cambria"/>
                <w:sz w:val="24"/>
                <w:szCs w:val="24"/>
              </w:rPr>
            </w:pPr>
            <w:r w:rsidRPr="00EA1BB2">
              <w:rPr>
                <w:rFonts w:ascii="Cambria" w:hAnsi="Cambria"/>
                <w:sz w:val="24"/>
                <w:szCs w:val="24"/>
              </w:rPr>
              <w:t>Surse de suprafață</w:t>
            </w:r>
          </w:p>
        </w:tc>
        <w:tc>
          <w:tcPr>
            <w:tcW w:w="1701" w:type="dxa"/>
            <w:vAlign w:val="center"/>
          </w:tcPr>
          <w:p w14:paraId="60285579" w14:textId="77777777" w:rsidR="00F61EEF" w:rsidRPr="00EA1BB2" w:rsidRDefault="00F61EEF" w:rsidP="00DC196B">
            <w:pPr>
              <w:jc w:val="right"/>
              <w:rPr>
                <w:rFonts w:ascii="Cambria" w:hAnsi="Cambria"/>
                <w:sz w:val="24"/>
                <w:szCs w:val="24"/>
              </w:rPr>
            </w:pPr>
            <w:r w:rsidRPr="00EA1BB2">
              <w:rPr>
                <w:rFonts w:ascii="Cambria" w:hAnsi="Cambria"/>
                <w:sz w:val="24"/>
                <w:szCs w:val="24"/>
              </w:rPr>
              <w:t>NE</w:t>
            </w:r>
          </w:p>
        </w:tc>
      </w:tr>
      <w:tr w:rsidR="00F61EEF" w:rsidRPr="00EA1BB2" w14:paraId="20B7D78A" w14:textId="77777777" w:rsidTr="00AC454E">
        <w:trPr>
          <w:jc w:val="center"/>
        </w:trPr>
        <w:tc>
          <w:tcPr>
            <w:tcW w:w="1844" w:type="dxa"/>
            <w:vMerge/>
          </w:tcPr>
          <w:p w14:paraId="4136E2FA" w14:textId="77777777" w:rsidR="00F61EEF" w:rsidRPr="00EA1BB2" w:rsidRDefault="00F61EEF" w:rsidP="00DC196B">
            <w:pPr>
              <w:rPr>
                <w:rFonts w:ascii="Cambria" w:hAnsi="Cambria"/>
                <w:sz w:val="24"/>
                <w:szCs w:val="24"/>
              </w:rPr>
            </w:pPr>
          </w:p>
        </w:tc>
        <w:tc>
          <w:tcPr>
            <w:tcW w:w="1275" w:type="dxa"/>
            <w:vMerge w:val="restart"/>
            <w:vAlign w:val="center"/>
          </w:tcPr>
          <w:p w14:paraId="71AE7838" w14:textId="77777777" w:rsidR="00F61EEF" w:rsidRPr="00EA1BB2" w:rsidRDefault="00F61EEF" w:rsidP="00DC196B">
            <w:pPr>
              <w:jc w:val="center"/>
              <w:rPr>
                <w:rFonts w:ascii="Cambria" w:hAnsi="Cambria"/>
                <w:sz w:val="24"/>
                <w:szCs w:val="24"/>
              </w:rPr>
            </w:pPr>
            <w:r w:rsidRPr="00EA1BB2">
              <w:rPr>
                <w:rFonts w:ascii="Cambria" w:hAnsi="Cambria"/>
                <w:sz w:val="24"/>
                <w:szCs w:val="24"/>
              </w:rPr>
              <w:t xml:space="preserve">Plumb </w:t>
            </w:r>
          </w:p>
          <w:p w14:paraId="4D46EFA8" w14:textId="77777777" w:rsidR="00F61EEF" w:rsidRPr="00EA1BB2" w:rsidRDefault="00F61EEF" w:rsidP="00DC196B">
            <w:pPr>
              <w:jc w:val="center"/>
              <w:rPr>
                <w:rFonts w:ascii="Cambria" w:hAnsi="Cambria"/>
                <w:sz w:val="24"/>
                <w:szCs w:val="24"/>
              </w:rPr>
            </w:pPr>
            <w:r w:rsidRPr="00EA1BB2">
              <w:rPr>
                <w:rFonts w:ascii="Cambria" w:hAnsi="Cambria"/>
                <w:sz w:val="24"/>
                <w:szCs w:val="24"/>
              </w:rPr>
              <w:lastRenderedPageBreak/>
              <w:t>(µg/m</w:t>
            </w:r>
            <w:r w:rsidRPr="00EA1BB2">
              <w:rPr>
                <w:rFonts w:ascii="Cambria" w:hAnsi="Cambria"/>
                <w:sz w:val="24"/>
                <w:szCs w:val="24"/>
                <w:vertAlign w:val="superscript"/>
              </w:rPr>
              <w:t>3</w:t>
            </w:r>
            <w:r w:rsidRPr="00EA1BB2">
              <w:rPr>
                <w:rFonts w:ascii="Cambria" w:hAnsi="Cambria"/>
                <w:sz w:val="24"/>
                <w:szCs w:val="24"/>
              </w:rPr>
              <w:t>)</w:t>
            </w:r>
          </w:p>
        </w:tc>
        <w:tc>
          <w:tcPr>
            <w:tcW w:w="1560" w:type="dxa"/>
            <w:vAlign w:val="center"/>
          </w:tcPr>
          <w:p w14:paraId="3564EEDA" w14:textId="77777777" w:rsidR="00F61EEF" w:rsidRPr="00EA1BB2" w:rsidRDefault="00F61EEF" w:rsidP="00DC196B">
            <w:pPr>
              <w:jc w:val="center"/>
              <w:rPr>
                <w:rFonts w:ascii="Cambria" w:hAnsi="Cambria"/>
                <w:sz w:val="24"/>
                <w:szCs w:val="24"/>
              </w:rPr>
            </w:pPr>
          </w:p>
        </w:tc>
        <w:tc>
          <w:tcPr>
            <w:tcW w:w="1744" w:type="dxa"/>
            <w:vAlign w:val="center"/>
          </w:tcPr>
          <w:p w14:paraId="7C2BED78" w14:textId="77777777" w:rsidR="00F61EEF" w:rsidRPr="00EA1BB2" w:rsidRDefault="00F61EEF" w:rsidP="00DC196B">
            <w:pPr>
              <w:jc w:val="center"/>
              <w:rPr>
                <w:rFonts w:ascii="Cambria" w:hAnsi="Cambria"/>
                <w:sz w:val="24"/>
                <w:szCs w:val="24"/>
              </w:rPr>
            </w:pPr>
          </w:p>
        </w:tc>
        <w:tc>
          <w:tcPr>
            <w:tcW w:w="1373" w:type="dxa"/>
            <w:vMerge w:val="restart"/>
          </w:tcPr>
          <w:p w14:paraId="3C42115A" w14:textId="77777777" w:rsidR="00F61EEF" w:rsidRPr="00EA1BB2" w:rsidRDefault="00F61EEF" w:rsidP="00DC196B">
            <w:pPr>
              <w:rPr>
                <w:rFonts w:ascii="Cambria" w:hAnsi="Cambria"/>
                <w:sz w:val="24"/>
                <w:szCs w:val="24"/>
              </w:rPr>
            </w:pPr>
          </w:p>
        </w:tc>
        <w:tc>
          <w:tcPr>
            <w:tcW w:w="1713" w:type="dxa"/>
            <w:vMerge w:val="restart"/>
            <w:vAlign w:val="center"/>
          </w:tcPr>
          <w:p w14:paraId="4DA06DCE" w14:textId="77777777" w:rsidR="00F61EEF" w:rsidRPr="00EA1BB2" w:rsidRDefault="00F61EEF" w:rsidP="00DC196B">
            <w:pPr>
              <w:jc w:val="center"/>
              <w:rPr>
                <w:rFonts w:ascii="Cambria" w:hAnsi="Cambria"/>
                <w:sz w:val="24"/>
                <w:szCs w:val="24"/>
              </w:rPr>
            </w:pPr>
            <w:r w:rsidRPr="00EA1BB2">
              <w:rPr>
                <w:rFonts w:ascii="Cambria" w:hAnsi="Cambria"/>
                <w:sz w:val="24"/>
                <w:szCs w:val="24"/>
              </w:rPr>
              <w:t>1 an</w:t>
            </w:r>
          </w:p>
        </w:tc>
        <w:tc>
          <w:tcPr>
            <w:tcW w:w="1270" w:type="dxa"/>
            <w:vMerge w:val="restart"/>
            <w:vAlign w:val="center"/>
          </w:tcPr>
          <w:p w14:paraId="1EA155F3" w14:textId="77777777" w:rsidR="00F61EEF" w:rsidRPr="00EA1BB2" w:rsidRDefault="00F61EEF" w:rsidP="00DC196B">
            <w:pPr>
              <w:jc w:val="center"/>
              <w:rPr>
                <w:rFonts w:ascii="Cambria" w:hAnsi="Cambria"/>
                <w:sz w:val="24"/>
                <w:szCs w:val="24"/>
              </w:rPr>
            </w:pPr>
            <w:r w:rsidRPr="00EA1BB2">
              <w:rPr>
                <w:rFonts w:ascii="Cambria" w:hAnsi="Cambria"/>
                <w:sz w:val="24"/>
                <w:szCs w:val="24"/>
              </w:rPr>
              <w:t>2010-</w:t>
            </w:r>
            <w:r w:rsidRPr="00EA1BB2">
              <w:rPr>
                <w:rFonts w:ascii="Cambria" w:hAnsi="Cambria"/>
                <w:sz w:val="24"/>
                <w:szCs w:val="24"/>
              </w:rPr>
              <w:lastRenderedPageBreak/>
              <w:t>2014</w:t>
            </w:r>
          </w:p>
        </w:tc>
        <w:tc>
          <w:tcPr>
            <w:tcW w:w="2127" w:type="dxa"/>
            <w:vAlign w:val="center"/>
          </w:tcPr>
          <w:p w14:paraId="2E6B0426" w14:textId="77777777" w:rsidR="00F61EEF" w:rsidRPr="00EA1BB2" w:rsidRDefault="00F61EEF" w:rsidP="00DC196B">
            <w:pPr>
              <w:jc w:val="center"/>
              <w:rPr>
                <w:rFonts w:ascii="Cambria" w:hAnsi="Cambria"/>
                <w:sz w:val="24"/>
                <w:szCs w:val="24"/>
              </w:rPr>
            </w:pPr>
            <w:r w:rsidRPr="00EA1BB2">
              <w:rPr>
                <w:rFonts w:ascii="Cambria" w:hAnsi="Cambria"/>
                <w:sz w:val="24"/>
                <w:szCs w:val="24"/>
              </w:rPr>
              <w:lastRenderedPageBreak/>
              <w:t>Surse staționare</w:t>
            </w:r>
          </w:p>
        </w:tc>
        <w:tc>
          <w:tcPr>
            <w:tcW w:w="1701" w:type="dxa"/>
            <w:vAlign w:val="center"/>
          </w:tcPr>
          <w:p w14:paraId="5A8AFA79" w14:textId="77777777" w:rsidR="00F61EEF" w:rsidRPr="00EA1BB2" w:rsidRDefault="00F61EEF" w:rsidP="00DC196B">
            <w:pPr>
              <w:jc w:val="right"/>
              <w:rPr>
                <w:rFonts w:ascii="Cambria" w:hAnsi="Cambria"/>
                <w:sz w:val="24"/>
                <w:szCs w:val="24"/>
              </w:rPr>
            </w:pPr>
            <w:r w:rsidRPr="00EA1BB2">
              <w:rPr>
                <w:rFonts w:ascii="Cambria" w:hAnsi="Cambria"/>
                <w:sz w:val="24"/>
                <w:szCs w:val="24"/>
              </w:rPr>
              <w:t>0,001578</w:t>
            </w:r>
          </w:p>
        </w:tc>
      </w:tr>
      <w:tr w:rsidR="00F61EEF" w:rsidRPr="00EA1BB2" w14:paraId="75F8CD36" w14:textId="77777777" w:rsidTr="00AC454E">
        <w:trPr>
          <w:jc w:val="center"/>
        </w:trPr>
        <w:tc>
          <w:tcPr>
            <w:tcW w:w="1844" w:type="dxa"/>
            <w:vMerge/>
          </w:tcPr>
          <w:p w14:paraId="47D48BF8" w14:textId="77777777" w:rsidR="00F61EEF" w:rsidRPr="00EA1BB2" w:rsidRDefault="00F61EEF" w:rsidP="00DC196B">
            <w:pPr>
              <w:rPr>
                <w:rFonts w:ascii="Cambria" w:hAnsi="Cambria"/>
                <w:sz w:val="24"/>
                <w:szCs w:val="24"/>
              </w:rPr>
            </w:pPr>
          </w:p>
        </w:tc>
        <w:tc>
          <w:tcPr>
            <w:tcW w:w="1275" w:type="dxa"/>
            <w:vMerge/>
            <w:vAlign w:val="center"/>
          </w:tcPr>
          <w:p w14:paraId="400A83D5" w14:textId="77777777" w:rsidR="00F61EEF" w:rsidRPr="00EA1BB2" w:rsidRDefault="00F61EEF" w:rsidP="00DC196B">
            <w:pPr>
              <w:jc w:val="center"/>
              <w:rPr>
                <w:rFonts w:ascii="Cambria" w:hAnsi="Cambria"/>
                <w:sz w:val="24"/>
                <w:szCs w:val="24"/>
              </w:rPr>
            </w:pPr>
          </w:p>
        </w:tc>
        <w:tc>
          <w:tcPr>
            <w:tcW w:w="1560" w:type="dxa"/>
            <w:vAlign w:val="center"/>
          </w:tcPr>
          <w:p w14:paraId="6E705AF1" w14:textId="77777777" w:rsidR="00F61EEF" w:rsidRPr="00EA1BB2" w:rsidRDefault="00F61EEF" w:rsidP="00DC196B">
            <w:pPr>
              <w:jc w:val="center"/>
              <w:rPr>
                <w:rFonts w:ascii="Cambria" w:hAnsi="Cambria"/>
                <w:sz w:val="24"/>
                <w:szCs w:val="24"/>
              </w:rPr>
            </w:pPr>
            <w:r w:rsidRPr="00EA1BB2">
              <w:rPr>
                <w:rFonts w:ascii="Cambria" w:hAnsi="Cambria"/>
                <w:sz w:val="24"/>
                <w:szCs w:val="24"/>
              </w:rPr>
              <w:t>RNMCA</w:t>
            </w:r>
          </w:p>
        </w:tc>
        <w:tc>
          <w:tcPr>
            <w:tcW w:w="1744" w:type="dxa"/>
            <w:vAlign w:val="center"/>
          </w:tcPr>
          <w:p w14:paraId="675DC436" w14:textId="77777777" w:rsidR="00F61EEF" w:rsidRPr="00EA1BB2" w:rsidRDefault="00F61EEF" w:rsidP="00DC196B">
            <w:pPr>
              <w:jc w:val="center"/>
              <w:rPr>
                <w:rFonts w:ascii="Cambria" w:hAnsi="Cambria"/>
                <w:sz w:val="24"/>
                <w:szCs w:val="24"/>
              </w:rPr>
            </w:pPr>
          </w:p>
        </w:tc>
        <w:tc>
          <w:tcPr>
            <w:tcW w:w="1373" w:type="dxa"/>
            <w:vMerge/>
          </w:tcPr>
          <w:p w14:paraId="133D44C7" w14:textId="77777777" w:rsidR="00F61EEF" w:rsidRPr="00EA1BB2" w:rsidRDefault="00F61EEF" w:rsidP="00DC196B">
            <w:pPr>
              <w:rPr>
                <w:rFonts w:ascii="Cambria" w:hAnsi="Cambria"/>
                <w:sz w:val="24"/>
                <w:szCs w:val="24"/>
              </w:rPr>
            </w:pPr>
          </w:p>
        </w:tc>
        <w:tc>
          <w:tcPr>
            <w:tcW w:w="1713" w:type="dxa"/>
            <w:vMerge/>
            <w:vAlign w:val="center"/>
          </w:tcPr>
          <w:p w14:paraId="3084551E" w14:textId="77777777" w:rsidR="00F61EEF" w:rsidRPr="00EA1BB2" w:rsidRDefault="00F61EEF" w:rsidP="00DC196B">
            <w:pPr>
              <w:jc w:val="center"/>
              <w:rPr>
                <w:rFonts w:ascii="Cambria" w:hAnsi="Cambria"/>
                <w:sz w:val="24"/>
                <w:szCs w:val="24"/>
              </w:rPr>
            </w:pPr>
          </w:p>
        </w:tc>
        <w:tc>
          <w:tcPr>
            <w:tcW w:w="1270" w:type="dxa"/>
            <w:vMerge/>
            <w:vAlign w:val="center"/>
          </w:tcPr>
          <w:p w14:paraId="5FC23D08" w14:textId="77777777" w:rsidR="00F61EEF" w:rsidRPr="00EA1BB2" w:rsidRDefault="00F61EEF" w:rsidP="00DC196B">
            <w:pPr>
              <w:jc w:val="center"/>
              <w:rPr>
                <w:rFonts w:ascii="Cambria" w:hAnsi="Cambria"/>
                <w:sz w:val="24"/>
                <w:szCs w:val="24"/>
              </w:rPr>
            </w:pPr>
          </w:p>
        </w:tc>
        <w:tc>
          <w:tcPr>
            <w:tcW w:w="2127" w:type="dxa"/>
            <w:vAlign w:val="center"/>
          </w:tcPr>
          <w:p w14:paraId="39AC53A4" w14:textId="77777777" w:rsidR="00F61EEF" w:rsidRPr="00EA1BB2" w:rsidRDefault="00F61EEF" w:rsidP="00DC196B">
            <w:pPr>
              <w:jc w:val="center"/>
              <w:rPr>
                <w:rFonts w:ascii="Cambria" w:hAnsi="Cambria"/>
                <w:sz w:val="24"/>
                <w:szCs w:val="24"/>
              </w:rPr>
            </w:pPr>
            <w:r w:rsidRPr="00EA1BB2">
              <w:rPr>
                <w:rFonts w:ascii="Cambria" w:hAnsi="Cambria"/>
                <w:sz w:val="24"/>
                <w:szCs w:val="24"/>
              </w:rPr>
              <w:t>Surse mobile</w:t>
            </w:r>
          </w:p>
        </w:tc>
        <w:tc>
          <w:tcPr>
            <w:tcW w:w="1701" w:type="dxa"/>
            <w:vAlign w:val="center"/>
          </w:tcPr>
          <w:p w14:paraId="23119E76" w14:textId="77777777" w:rsidR="00F61EEF" w:rsidRPr="00EA1BB2" w:rsidRDefault="00F61EEF" w:rsidP="00DC196B">
            <w:pPr>
              <w:jc w:val="right"/>
              <w:rPr>
                <w:rFonts w:ascii="Cambria" w:hAnsi="Cambria"/>
                <w:sz w:val="24"/>
                <w:szCs w:val="24"/>
              </w:rPr>
            </w:pPr>
            <w:r w:rsidRPr="00EA1BB2">
              <w:rPr>
                <w:rFonts w:ascii="Cambria" w:hAnsi="Cambria"/>
                <w:sz w:val="24"/>
                <w:szCs w:val="24"/>
              </w:rPr>
              <w:t>0,002871</w:t>
            </w:r>
          </w:p>
        </w:tc>
      </w:tr>
      <w:tr w:rsidR="00F61EEF" w:rsidRPr="00EA1BB2" w14:paraId="4E7F7E21" w14:textId="77777777" w:rsidTr="00AC454E">
        <w:trPr>
          <w:jc w:val="center"/>
        </w:trPr>
        <w:tc>
          <w:tcPr>
            <w:tcW w:w="1844" w:type="dxa"/>
            <w:vMerge/>
          </w:tcPr>
          <w:p w14:paraId="64E5813C" w14:textId="77777777" w:rsidR="00F61EEF" w:rsidRPr="00EA1BB2" w:rsidRDefault="00F61EEF" w:rsidP="00DC196B">
            <w:pPr>
              <w:rPr>
                <w:rFonts w:ascii="Cambria" w:hAnsi="Cambria"/>
                <w:sz w:val="24"/>
                <w:szCs w:val="24"/>
              </w:rPr>
            </w:pPr>
          </w:p>
        </w:tc>
        <w:tc>
          <w:tcPr>
            <w:tcW w:w="1275" w:type="dxa"/>
            <w:vMerge/>
            <w:vAlign w:val="center"/>
          </w:tcPr>
          <w:p w14:paraId="539BB4EF" w14:textId="77777777" w:rsidR="00F61EEF" w:rsidRPr="00EA1BB2" w:rsidRDefault="00F61EEF" w:rsidP="00DC196B">
            <w:pPr>
              <w:jc w:val="center"/>
              <w:rPr>
                <w:rFonts w:ascii="Cambria" w:hAnsi="Cambria"/>
                <w:sz w:val="24"/>
                <w:szCs w:val="24"/>
              </w:rPr>
            </w:pPr>
          </w:p>
        </w:tc>
        <w:tc>
          <w:tcPr>
            <w:tcW w:w="1560" w:type="dxa"/>
            <w:vAlign w:val="center"/>
          </w:tcPr>
          <w:p w14:paraId="1779225F" w14:textId="77777777" w:rsidR="00F61EEF" w:rsidRPr="00EA1BB2" w:rsidRDefault="00F61EEF" w:rsidP="00DC196B">
            <w:pPr>
              <w:jc w:val="center"/>
              <w:rPr>
                <w:rFonts w:ascii="Cambria" w:hAnsi="Cambria"/>
                <w:sz w:val="24"/>
                <w:szCs w:val="24"/>
              </w:rPr>
            </w:pPr>
            <w:r w:rsidRPr="00EA1BB2">
              <w:rPr>
                <w:rFonts w:ascii="Cambria" w:hAnsi="Cambria"/>
                <w:sz w:val="24"/>
                <w:szCs w:val="24"/>
              </w:rPr>
              <w:t>Modelare</w:t>
            </w:r>
          </w:p>
        </w:tc>
        <w:tc>
          <w:tcPr>
            <w:tcW w:w="1744" w:type="dxa"/>
            <w:vAlign w:val="center"/>
          </w:tcPr>
          <w:p w14:paraId="1D285F6B" w14:textId="77777777" w:rsidR="00F61EEF" w:rsidRPr="00EA1BB2" w:rsidRDefault="00F61EEF" w:rsidP="00DC196B">
            <w:pPr>
              <w:jc w:val="center"/>
              <w:rPr>
                <w:rFonts w:ascii="Cambria" w:hAnsi="Cambria"/>
                <w:sz w:val="24"/>
                <w:szCs w:val="24"/>
              </w:rPr>
            </w:pPr>
            <w:r w:rsidRPr="00EA1BB2">
              <w:rPr>
                <w:rFonts w:ascii="Cambria" w:hAnsi="Cambria"/>
                <w:sz w:val="24"/>
                <w:szCs w:val="24"/>
              </w:rPr>
              <w:t>0,02</w:t>
            </w:r>
          </w:p>
        </w:tc>
        <w:tc>
          <w:tcPr>
            <w:tcW w:w="1373" w:type="dxa"/>
            <w:vMerge/>
          </w:tcPr>
          <w:p w14:paraId="30E15B99" w14:textId="77777777" w:rsidR="00F61EEF" w:rsidRPr="00EA1BB2" w:rsidRDefault="00F61EEF" w:rsidP="00DC196B">
            <w:pPr>
              <w:rPr>
                <w:rFonts w:ascii="Cambria" w:hAnsi="Cambria"/>
                <w:sz w:val="24"/>
                <w:szCs w:val="24"/>
              </w:rPr>
            </w:pPr>
          </w:p>
        </w:tc>
        <w:tc>
          <w:tcPr>
            <w:tcW w:w="1713" w:type="dxa"/>
            <w:vMerge/>
            <w:vAlign w:val="center"/>
          </w:tcPr>
          <w:p w14:paraId="5083BA3F" w14:textId="77777777" w:rsidR="00F61EEF" w:rsidRPr="00EA1BB2" w:rsidRDefault="00F61EEF" w:rsidP="00DC196B">
            <w:pPr>
              <w:jc w:val="center"/>
              <w:rPr>
                <w:rFonts w:ascii="Cambria" w:hAnsi="Cambria"/>
                <w:sz w:val="24"/>
                <w:szCs w:val="24"/>
              </w:rPr>
            </w:pPr>
          </w:p>
        </w:tc>
        <w:tc>
          <w:tcPr>
            <w:tcW w:w="1270" w:type="dxa"/>
            <w:vMerge/>
            <w:vAlign w:val="center"/>
          </w:tcPr>
          <w:p w14:paraId="688CEF88" w14:textId="77777777" w:rsidR="00F61EEF" w:rsidRPr="00EA1BB2" w:rsidRDefault="00F61EEF" w:rsidP="00DC196B">
            <w:pPr>
              <w:jc w:val="center"/>
              <w:rPr>
                <w:rFonts w:ascii="Cambria" w:hAnsi="Cambria"/>
                <w:sz w:val="24"/>
                <w:szCs w:val="24"/>
              </w:rPr>
            </w:pPr>
          </w:p>
        </w:tc>
        <w:tc>
          <w:tcPr>
            <w:tcW w:w="2127" w:type="dxa"/>
            <w:vAlign w:val="center"/>
          </w:tcPr>
          <w:p w14:paraId="01CE1CC9" w14:textId="77777777" w:rsidR="00F61EEF" w:rsidRPr="00EA1BB2" w:rsidRDefault="00F61EEF" w:rsidP="00DC196B">
            <w:pPr>
              <w:jc w:val="center"/>
              <w:rPr>
                <w:rFonts w:ascii="Cambria" w:hAnsi="Cambria"/>
                <w:sz w:val="24"/>
                <w:szCs w:val="24"/>
              </w:rPr>
            </w:pPr>
            <w:r w:rsidRPr="00EA1BB2">
              <w:rPr>
                <w:rFonts w:ascii="Cambria" w:hAnsi="Cambria"/>
                <w:sz w:val="24"/>
                <w:szCs w:val="24"/>
              </w:rPr>
              <w:t>Surse de suprafață</w:t>
            </w:r>
          </w:p>
        </w:tc>
        <w:tc>
          <w:tcPr>
            <w:tcW w:w="1701" w:type="dxa"/>
            <w:vAlign w:val="center"/>
          </w:tcPr>
          <w:p w14:paraId="5B32FF78" w14:textId="77777777" w:rsidR="00F61EEF" w:rsidRPr="00EA1BB2" w:rsidRDefault="00F61EEF" w:rsidP="00DC196B">
            <w:pPr>
              <w:jc w:val="right"/>
              <w:rPr>
                <w:rFonts w:ascii="Cambria" w:hAnsi="Cambria"/>
                <w:sz w:val="24"/>
                <w:szCs w:val="24"/>
              </w:rPr>
            </w:pPr>
            <w:r w:rsidRPr="00EA1BB2">
              <w:rPr>
                <w:rFonts w:ascii="Cambria" w:hAnsi="Cambria"/>
                <w:sz w:val="24"/>
                <w:szCs w:val="24"/>
              </w:rPr>
              <w:t>0,000295</w:t>
            </w:r>
          </w:p>
        </w:tc>
      </w:tr>
      <w:tr w:rsidR="00F61EEF" w:rsidRPr="00EA1BB2" w14:paraId="6391359A" w14:textId="77777777" w:rsidTr="00AC454E">
        <w:trPr>
          <w:jc w:val="center"/>
        </w:trPr>
        <w:tc>
          <w:tcPr>
            <w:tcW w:w="1844" w:type="dxa"/>
            <w:vMerge/>
          </w:tcPr>
          <w:p w14:paraId="0C16992C" w14:textId="77777777" w:rsidR="00F61EEF" w:rsidRPr="00EA1BB2" w:rsidRDefault="00F61EEF" w:rsidP="00DC196B">
            <w:pPr>
              <w:rPr>
                <w:rFonts w:ascii="Cambria" w:hAnsi="Cambria"/>
                <w:sz w:val="24"/>
                <w:szCs w:val="24"/>
              </w:rPr>
            </w:pPr>
          </w:p>
        </w:tc>
        <w:tc>
          <w:tcPr>
            <w:tcW w:w="1275" w:type="dxa"/>
            <w:vMerge w:val="restart"/>
            <w:vAlign w:val="center"/>
          </w:tcPr>
          <w:p w14:paraId="59FEF703" w14:textId="77777777" w:rsidR="00F61EEF" w:rsidRPr="00EA1BB2" w:rsidRDefault="00F61EEF" w:rsidP="00DC196B">
            <w:pPr>
              <w:jc w:val="center"/>
              <w:rPr>
                <w:rFonts w:ascii="Cambria" w:hAnsi="Cambria"/>
                <w:sz w:val="24"/>
                <w:szCs w:val="24"/>
              </w:rPr>
            </w:pPr>
            <w:r w:rsidRPr="00EA1BB2">
              <w:rPr>
                <w:rFonts w:ascii="Cambria" w:hAnsi="Cambria"/>
                <w:sz w:val="24"/>
                <w:szCs w:val="24"/>
              </w:rPr>
              <w:t xml:space="preserve">Arsen </w:t>
            </w:r>
          </w:p>
          <w:p w14:paraId="2557199D" w14:textId="77777777" w:rsidR="00F61EEF" w:rsidRPr="00EA1BB2" w:rsidRDefault="00F61EEF" w:rsidP="006F5FC3">
            <w:pPr>
              <w:jc w:val="center"/>
              <w:rPr>
                <w:rFonts w:ascii="Cambria" w:hAnsi="Cambria"/>
                <w:sz w:val="24"/>
                <w:szCs w:val="24"/>
              </w:rPr>
            </w:pPr>
            <w:r w:rsidRPr="00EA1BB2">
              <w:rPr>
                <w:rFonts w:ascii="Cambria" w:hAnsi="Cambria"/>
                <w:sz w:val="24"/>
                <w:szCs w:val="24"/>
              </w:rPr>
              <w:t>(</w:t>
            </w:r>
            <w:r w:rsidR="006F5FC3" w:rsidRPr="00EA1BB2">
              <w:rPr>
                <w:rFonts w:ascii="Cambria" w:hAnsi="Cambria"/>
                <w:sz w:val="24"/>
                <w:szCs w:val="24"/>
              </w:rPr>
              <w:t>n</w:t>
            </w:r>
            <w:r w:rsidRPr="00EA1BB2">
              <w:rPr>
                <w:rFonts w:ascii="Cambria" w:hAnsi="Cambria"/>
                <w:sz w:val="24"/>
                <w:szCs w:val="24"/>
              </w:rPr>
              <w:t>g/m</w:t>
            </w:r>
            <w:r w:rsidRPr="00EA1BB2">
              <w:rPr>
                <w:rFonts w:ascii="Cambria" w:hAnsi="Cambria"/>
                <w:sz w:val="24"/>
                <w:szCs w:val="24"/>
                <w:vertAlign w:val="superscript"/>
              </w:rPr>
              <w:t>3</w:t>
            </w:r>
            <w:r w:rsidRPr="00EA1BB2">
              <w:rPr>
                <w:rFonts w:ascii="Cambria" w:hAnsi="Cambria"/>
                <w:sz w:val="24"/>
                <w:szCs w:val="24"/>
              </w:rPr>
              <w:t>)</w:t>
            </w:r>
          </w:p>
        </w:tc>
        <w:tc>
          <w:tcPr>
            <w:tcW w:w="1560" w:type="dxa"/>
            <w:vAlign w:val="center"/>
          </w:tcPr>
          <w:p w14:paraId="197E689D" w14:textId="77777777" w:rsidR="00F61EEF" w:rsidRPr="00EA1BB2" w:rsidRDefault="00F61EEF" w:rsidP="00DC196B">
            <w:pPr>
              <w:jc w:val="center"/>
              <w:rPr>
                <w:rFonts w:ascii="Cambria" w:hAnsi="Cambria"/>
                <w:sz w:val="24"/>
                <w:szCs w:val="24"/>
              </w:rPr>
            </w:pPr>
          </w:p>
        </w:tc>
        <w:tc>
          <w:tcPr>
            <w:tcW w:w="1744" w:type="dxa"/>
            <w:vAlign w:val="center"/>
          </w:tcPr>
          <w:p w14:paraId="21801AF1" w14:textId="77777777" w:rsidR="00F61EEF" w:rsidRPr="00EA1BB2" w:rsidRDefault="00F61EEF" w:rsidP="00DC196B">
            <w:pPr>
              <w:jc w:val="center"/>
              <w:rPr>
                <w:rFonts w:ascii="Cambria" w:hAnsi="Cambria"/>
                <w:sz w:val="24"/>
                <w:szCs w:val="24"/>
              </w:rPr>
            </w:pPr>
          </w:p>
        </w:tc>
        <w:tc>
          <w:tcPr>
            <w:tcW w:w="1373" w:type="dxa"/>
            <w:vMerge w:val="restart"/>
          </w:tcPr>
          <w:p w14:paraId="4A96431A" w14:textId="77777777" w:rsidR="00F61EEF" w:rsidRPr="00EA1BB2" w:rsidRDefault="00F61EEF" w:rsidP="00DC196B">
            <w:pPr>
              <w:rPr>
                <w:rFonts w:ascii="Cambria" w:hAnsi="Cambria"/>
                <w:sz w:val="24"/>
                <w:szCs w:val="24"/>
              </w:rPr>
            </w:pPr>
          </w:p>
        </w:tc>
        <w:tc>
          <w:tcPr>
            <w:tcW w:w="1713" w:type="dxa"/>
            <w:vMerge w:val="restart"/>
            <w:vAlign w:val="center"/>
          </w:tcPr>
          <w:p w14:paraId="01991517" w14:textId="77777777" w:rsidR="00F61EEF" w:rsidRPr="00EA1BB2" w:rsidRDefault="00F61EEF" w:rsidP="00DC196B">
            <w:pPr>
              <w:jc w:val="center"/>
              <w:rPr>
                <w:rFonts w:ascii="Cambria" w:hAnsi="Cambria"/>
                <w:sz w:val="24"/>
                <w:szCs w:val="24"/>
              </w:rPr>
            </w:pPr>
            <w:r w:rsidRPr="00EA1BB2">
              <w:rPr>
                <w:rFonts w:ascii="Cambria" w:hAnsi="Cambria"/>
                <w:sz w:val="24"/>
                <w:szCs w:val="24"/>
              </w:rPr>
              <w:t>1 an</w:t>
            </w:r>
          </w:p>
        </w:tc>
        <w:tc>
          <w:tcPr>
            <w:tcW w:w="1270" w:type="dxa"/>
            <w:vMerge w:val="restart"/>
            <w:vAlign w:val="center"/>
          </w:tcPr>
          <w:p w14:paraId="68CAC242" w14:textId="77777777" w:rsidR="00F61EEF" w:rsidRPr="00EA1BB2" w:rsidRDefault="00F61EEF" w:rsidP="00DC196B">
            <w:pPr>
              <w:jc w:val="center"/>
              <w:rPr>
                <w:rFonts w:ascii="Cambria" w:hAnsi="Cambria"/>
                <w:sz w:val="24"/>
                <w:szCs w:val="24"/>
              </w:rPr>
            </w:pPr>
            <w:r w:rsidRPr="00EA1BB2">
              <w:rPr>
                <w:rFonts w:ascii="Cambria" w:hAnsi="Cambria"/>
                <w:sz w:val="24"/>
                <w:szCs w:val="24"/>
              </w:rPr>
              <w:t>2010-2014</w:t>
            </w:r>
          </w:p>
        </w:tc>
        <w:tc>
          <w:tcPr>
            <w:tcW w:w="2127" w:type="dxa"/>
            <w:vAlign w:val="center"/>
          </w:tcPr>
          <w:p w14:paraId="458B52F1" w14:textId="77777777" w:rsidR="00F61EEF" w:rsidRPr="00EA1BB2" w:rsidRDefault="00F61EEF" w:rsidP="00DC196B">
            <w:pPr>
              <w:jc w:val="center"/>
              <w:rPr>
                <w:rFonts w:ascii="Cambria" w:hAnsi="Cambria"/>
                <w:sz w:val="24"/>
                <w:szCs w:val="24"/>
              </w:rPr>
            </w:pPr>
            <w:r w:rsidRPr="00EA1BB2">
              <w:rPr>
                <w:rFonts w:ascii="Cambria" w:hAnsi="Cambria"/>
                <w:sz w:val="24"/>
                <w:szCs w:val="24"/>
              </w:rPr>
              <w:t>Surse staționare</w:t>
            </w:r>
          </w:p>
        </w:tc>
        <w:tc>
          <w:tcPr>
            <w:tcW w:w="1701" w:type="dxa"/>
            <w:vAlign w:val="center"/>
          </w:tcPr>
          <w:p w14:paraId="0CF9BB40" w14:textId="77777777" w:rsidR="00F61EEF" w:rsidRPr="00EA1BB2" w:rsidRDefault="00F61EEF" w:rsidP="00DC196B">
            <w:pPr>
              <w:jc w:val="right"/>
              <w:rPr>
                <w:rFonts w:ascii="Cambria" w:hAnsi="Cambria"/>
                <w:sz w:val="24"/>
                <w:szCs w:val="24"/>
              </w:rPr>
            </w:pPr>
            <w:r w:rsidRPr="00EA1BB2">
              <w:rPr>
                <w:rFonts w:ascii="Cambria" w:hAnsi="Cambria"/>
                <w:sz w:val="24"/>
                <w:szCs w:val="24"/>
              </w:rPr>
              <w:t>0,047543</w:t>
            </w:r>
          </w:p>
        </w:tc>
      </w:tr>
      <w:tr w:rsidR="00F61EEF" w:rsidRPr="00EA1BB2" w14:paraId="64083E28" w14:textId="77777777" w:rsidTr="00AC454E">
        <w:trPr>
          <w:jc w:val="center"/>
        </w:trPr>
        <w:tc>
          <w:tcPr>
            <w:tcW w:w="1844" w:type="dxa"/>
            <w:vMerge/>
          </w:tcPr>
          <w:p w14:paraId="54C24D5B" w14:textId="77777777" w:rsidR="00F61EEF" w:rsidRPr="00EA1BB2" w:rsidRDefault="00F61EEF" w:rsidP="00DC196B">
            <w:pPr>
              <w:rPr>
                <w:rFonts w:ascii="Cambria" w:hAnsi="Cambria"/>
                <w:sz w:val="24"/>
                <w:szCs w:val="24"/>
              </w:rPr>
            </w:pPr>
          </w:p>
        </w:tc>
        <w:tc>
          <w:tcPr>
            <w:tcW w:w="1275" w:type="dxa"/>
            <w:vMerge/>
            <w:vAlign w:val="center"/>
          </w:tcPr>
          <w:p w14:paraId="3D1E71ED" w14:textId="77777777" w:rsidR="00F61EEF" w:rsidRPr="00EA1BB2" w:rsidRDefault="00F61EEF" w:rsidP="00DC196B">
            <w:pPr>
              <w:jc w:val="center"/>
              <w:rPr>
                <w:rFonts w:ascii="Cambria" w:hAnsi="Cambria"/>
                <w:sz w:val="24"/>
                <w:szCs w:val="24"/>
              </w:rPr>
            </w:pPr>
          </w:p>
        </w:tc>
        <w:tc>
          <w:tcPr>
            <w:tcW w:w="1560" w:type="dxa"/>
            <w:vAlign w:val="center"/>
          </w:tcPr>
          <w:p w14:paraId="54057114" w14:textId="77777777" w:rsidR="00F61EEF" w:rsidRPr="00EA1BB2" w:rsidRDefault="00F61EEF" w:rsidP="00DC196B">
            <w:pPr>
              <w:jc w:val="center"/>
              <w:rPr>
                <w:rFonts w:ascii="Cambria" w:hAnsi="Cambria"/>
                <w:sz w:val="24"/>
                <w:szCs w:val="24"/>
              </w:rPr>
            </w:pPr>
            <w:r w:rsidRPr="00EA1BB2">
              <w:rPr>
                <w:rFonts w:ascii="Cambria" w:hAnsi="Cambria"/>
                <w:sz w:val="24"/>
                <w:szCs w:val="24"/>
              </w:rPr>
              <w:t>RNMCA</w:t>
            </w:r>
          </w:p>
        </w:tc>
        <w:tc>
          <w:tcPr>
            <w:tcW w:w="1744" w:type="dxa"/>
            <w:vAlign w:val="center"/>
          </w:tcPr>
          <w:p w14:paraId="6FD00041" w14:textId="77777777" w:rsidR="00F61EEF" w:rsidRPr="00EA1BB2" w:rsidRDefault="00F61EEF" w:rsidP="00DC196B">
            <w:pPr>
              <w:jc w:val="center"/>
              <w:rPr>
                <w:rFonts w:ascii="Cambria" w:hAnsi="Cambria"/>
                <w:sz w:val="24"/>
                <w:szCs w:val="24"/>
              </w:rPr>
            </w:pPr>
          </w:p>
        </w:tc>
        <w:tc>
          <w:tcPr>
            <w:tcW w:w="1373" w:type="dxa"/>
            <w:vMerge/>
          </w:tcPr>
          <w:p w14:paraId="19A69E59" w14:textId="77777777" w:rsidR="00F61EEF" w:rsidRPr="00EA1BB2" w:rsidRDefault="00F61EEF" w:rsidP="00DC196B">
            <w:pPr>
              <w:rPr>
                <w:rFonts w:ascii="Cambria" w:hAnsi="Cambria"/>
                <w:sz w:val="24"/>
                <w:szCs w:val="24"/>
              </w:rPr>
            </w:pPr>
          </w:p>
        </w:tc>
        <w:tc>
          <w:tcPr>
            <w:tcW w:w="1713" w:type="dxa"/>
            <w:vMerge/>
            <w:vAlign w:val="center"/>
          </w:tcPr>
          <w:p w14:paraId="281582FE" w14:textId="77777777" w:rsidR="00F61EEF" w:rsidRPr="00EA1BB2" w:rsidRDefault="00F61EEF" w:rsidP="00DC196B">
            <w:pPr>
              <w:jc w:val="center"/>
              <w:rPr>
                <w:rFonts w:ascii="Cambria" w:hAnsi="Cambria"/>
                <w:sz w:val="24"/>
                <w:szCs w:val="24"/>
              </w:rPr>
            </w:pPr>
          </w:p>
        </w:tc>
        <w:tc>
          <w:tcPr>
            <w:tcW w:w="1270" w:type="dxa"/>
            <w:vMerge/>
            <w:vAlign w:val="center"/>
          </w:tcPr>
          <w:p w14:paraId="5C4F08C3" w14:textId="77777777" w:rsidR="00F61EEF" w:rsidRPr="00EA1BB2" w:rsidRDefault="00F61EEF" w:rsidP="00DC196B">
            <w:pPr>
              <w:jc w:val="center"/>
              <w:rPr>
                <w:rFonts w:ascii="Cambria" w:hAnsi="Cambria"/>
                <w:sz w:val="24"/>
                <w:szCs w:val="24"/>
              </w:rPr>
            </w:pPr>
          </w:p>
        </w:tc>
        <w:tc>
          <w:tcPr>
            <w:tcW w:w="2127" w:type="dxa"/>
            <w:vAlign w:val="center"/>
          </w:tcPr>
          <w:p w14:paraId="5F100D69" w14:textId="77777777" w:rsidR="00F61EEF" w:rsidRPr="00EA1BB2" w:rsidRDefault="00F61EEF" w:rsidP="00DC196B">
            <w:pPr>
              <w:jc w:val="center"/>
              <w:rPr>
                <w:rFonts w:ascii="Cambria" w:hAnsi="Cambria"/>
                <w:sz w:val="24"/>
                <w:szCs w:val="24"/>
              </w:rPr>
            </w:pPr>
            <w:r w:rsidRPr="00EA1BB2">
              <w:rPr>
                <w:rFonts w:ascii="Cambria" w:hAnsi="Cambria"/>
                <w:sz w:val="24"/>
                <w:szCs w:val="24"/>
              </w:rPr>
              <w:t>Surse mobile</w:t>
            </w:r>
          </w:p>
        </w:tc>
        <w:tc>
          <w:tcPr>
            <w:tcW w:w="1701" w:type="dxa"/>
            <w:vAlign w:val="center"/>
          </w:tcPr>
          <w:p w14:paraId="05DF568E" w14:textId="77777777" w:rsidR="00F61EEF" w:rsidRPr="00EA1BB2" w:rsidRDefault="00F61EEF" w:rsidP="00DC196B">
            <w:pPr>
              <w:jc w:val="right"/>
              <w:rPr>
                <w:rFonts w:ascii="Cambria" w:hAnsi="Cambria"/>
                <w:sz w:val="24"/>
                <w:szCs w:val="24"/>
              </w:rPr>
            </w:pPr>
            <w:r w:rsidRPr="00EA1BB2">
              <w:rPr>
                <w:rFonts w:ascii="Cambria" w:hAnsi="Cambria"/>
                <w:sz w:val="24"/>
                <w:szCs w:val="24"/>
              </w:rPr>
              <w:t>0,0</w:t>
            </w:r>
          </w:p>
        </w:tc>
      </w:tr>
      <w:tr w:rsidR="00F61EEF" w:rsidRPr="00EA1BB2" w14:paraId="6D5086D0" w14:textId="77777777" w:rsidTr="00AC454E">
        <w:trPr>
          <w:jc w:val="center"/>
        </w:trPr>
        <w:tc>
          <w:tcPr>
            <w:tcW w:w="1844" w:type="dxa"/>
            <w:vMerge/>
          </w:tcPr>
          <w:p w14:paraId="2B4563B1" w14:textId="77777777" w:rsidR="00F61EEF" w:rsidRPr="00EA1BB2" w:rsidRDefault="00F61EEF" w:rsidP="00DC196B">
            <w:pPr>
              <w:rPr>
                <w:rFonts w:ascii="Cambria" w:hAnsi="Cambria"/>
                <w:sz w:val="24"/>
                <w:szCs w:val="24"/>
              </w:rPr>
            </w:pPr>
          </w:p>
        </w:tc>
        <w:tc>
          <w:tcPr>
            <w:tcW w:w="1275" w:type="dxa"/>
            <w:vMerge/>
            <w:vAlign w:val="center"/>
          </w:tcPr>
          <w:p w14:paraId="200E4B01" w14:textId="77777777" w:rsidR="00F61EEF" w:rsidRPr="00EA1BB2" w:rsidRDefault="00F61EEF" w:rsidP="00DC196B">
            <w:pPr>
              <w:jc w:val="center"/>
              <w:rPr>
                <w:rFonts w:ascii="Cambria" w:hAnsi="Cambria"/>
                <w:sz w:val="24"/>
                <w:szCs w:val="24"/>
              </w:rPr>
            </w:pPr>
          </w:p>
        </w:tc>
        <w:tc>
          <w:tcPr>
            <w:tcW w:w="1560" w:type="dxa"/>
            <w:vAlign w:val="center"/>
          </w:tcPr>
          <w:p w14:paraId="5F6026B3" w14:textId="77777777" w:rsidR="00F61EEF" w:rsidRPr="00EA1BB2" w:rsidRDefault="00F61EEF" w:rsidP="00DC196B">
            <w:pPr>
              <w:jc w:val="center"/>
              <w:rPr>
                <w:rFonts w:ascii="Cambria" w:hAnsi="Cambria"/>
                <w:sz w:val="24"/>
                <w:szCs w:val="24"/>
              </w:rPr>
            </w:pPr>
            <w:r w:rsidRPr="00EA1BB2">
              <w:rPr>
                <w:rFonts w:ascii="Cambria" w:hAnsi="Cambria"/>
                <w:sz w:val="24"/>
                <w:szCs w:val="24"/>
              </w:rPr>
              <w:t>Modelare</w:t>
            </w:r>
          </w:p>
        </w:tc>
        <w:tc>
          <w:tcPr>
            <w:tcW w:w="1744" w:type="dxa"/>
            <w:vAlign w:val="center"/>
          </w:tcPr>
          <w:p w14:paraId="06B989DB" w14:textId="77777777" w:rsidR="00F61EEF" w:rsidRPr="00EA1BB2" w:rsidRDefault="00F61EEF" w:rsidP="00DC196B">
            <w:pPr>
              <w:jc w:val="center"/>
              <w:rPr>
                <w:rFonts w:ascii="Cambria" w:hAnsi="Cambria"/>
                <w:sz w:val="24"/>
                <w:szCs w:val="24"/>
              </w:rPr>
            </w:pPr>
            <w:r w:rsidRPr="00EA1BB2">
              <w:rPr>
                <w:rFonts w:ascii="Cambria" w:hAnsi="Cambria"/>
                <w:sz w:val="24"/>
                <w:szCs w:val="24"/>
              </w:rPr>
              <w:t>0,91</w:t>
            </w:r>
          </w:p>
        </w:tc>
        <w:tc>
          <w:tcPr>
            <w:tcW w:w="1373" w:type="dxa"/>
            <w:vMerge/>
          </w:tcPr>
          <w:p w14:paraId="16EA4E75" w14:textId="77777777" w:rsidR="00F61EEF" w:rsidRPr="00EA1BB2" w:rsidRDefault="00F61EEF" w:rsidP="00DC196B">
            <w:pPr>
              <w:rPr>
                <w:rFonts w:ascii="Cambria" w:hAnsi="Cambria"/>
                <w:sz w:val="24"/>
                <w:szCs w:val="24"/>
              </w:rPr>
            </w:pPr>
          </w:p>
        </w:tc>
        <w:tc>
          <w:tcPr>
            <w:tcW w:w="1713" w:type="dxa"/>
            <w:vMerge/>
            <w:vAlign w:val="center"/>
          </w:tcPr>
          <w:p w14:paraId="35D0A550" w14:textId="77777777" w:rsidR="00F61EEF" w:rsidRPr="00EA1BB2" w:rsidRDefault="00F61EEF" w:rsidP="00DC196B">
            <w:pPr>
              <w:jc w:val="center"/>
              <w:rPr>
                <w:rFonts w:ascii="Cambria" w:hAnsi="Cambria"/>
                <w:sz w:val="24"/>
                <w:szCs w:val="24"/>
              </w:rPr>
            </w:pPr>
          </w:p>
        </w:tc>
        <w:tc>
          <w:tcPr>
            <w:tcW w:w="1270" w:type="dxa"/>
            <w:vMerge/>
            <w:vAlign w:val="center"/>
          </w:tcPr>
          <w:p w14:paraId="2062BA7E" w14:textId="77777777" w:rsidR="00F61EEF" w:rsidRPr="00EA1BB2" w:rsidRDefault="00F61EEF" w:rsidP="00DC196B">
            <w:pPr>
              <w:jc w:val="center"/>
              <w:rPr>
                <w:rFonts w:ascii="Cambria" w:hAnsi="Cambria"/>
                <w:sz w:val="24"/>
                <w:szCs w:val="24"/>
              </w:rPr>
            </w:pPr>
          </w:p>
        </w:tc>
        <w:tc>
          <w:tcPr>
            <w:tcW w:w="2127" w:type="dxa"/>
            <w:vAlign w:val="center"/>
          </w:tcPr>
          <w:p w14:paraId="069931BE" w14:textId="77777777" w:rsidR="00F61EEF" w:rsidRPr="00EA1BB2" w:rsidRDefault="00F61EEF" w:rsidP="00DC196B">
            <w:pPr>
              <w:jc w:val="center"/>
              <w:rPr>
                <w:rFonts w:ascii="Cambria" w:hAnsi="Cambria"/>
                <w:sz w:val="24"/>
                <w:szCs w:val="24"/>
              </w:rPr>
            </w:pPr>
            <w:r w:rsidRPr="00EA1BB2">
              <w:rPr>
                <w:rFonts w:ascii="Cambria" w:hAnsi="Cambria"/>
                <w:sz w:val="24"/>
                <w:szCs w:val="24"/>
              </w:rPr>
              <w:t>Surse de suprafață</w:t>
            </w:r>
          </w:p>
        </w:tc>
        <w:tc>
          <w:tcPr>
            <w:tcW w:w="1701" w:type="dxa"/>
            <w:vAlign w:val="center"/>
          </w:tcPr>
          <w:p w14:paraId="3E1601D1" w14:textId="77777777" w:rsidR="00F61EEF" w:rsidRPr="00EA1BB2" w:rsidRDefault="00F61EEF" w:rsidP="00DC196B">
            <w:pPr>
              <w:jc w:val="right"/>
              <w:rPr>
                <w:rFonts w:ascii="Cambria" w:hAnsi="Cambria"/>
                <w:sz w:val="24"/>
                <w:szCs w:val="24"/>
              </w:rPr>
            </w:pPr>
            <w:r w:rsidRPr="00EA1BB2">
              <w:rPr>
                <w:rFonts w:ascii="Cambria" w:hAnsi="Cambria"/>
                <w:sz w:val="24"/>
                <w:szCs w:val="24"/>
              </w:rPr>
              <w:t>0,000114</w:t>
            </w:r>
          </w:p>
        </w:tc>
      </w:tr>
      <w:tr w:rsidR="00F61EEF" w:rsidRPr="00EA1BB2" w14:paraId="48AD7F58" w14:textId="77777777" w:rsidTr="00AC454E">
        <w:trPr>
          <w:jc w:val="center"/>
        </w:trPr>
        <w:tc>
          <w:tcPr>
            <w:tcW w:w="1844" w:type="dxa"/>
            <w:vMerge/>
          </w:tcPr>
          <w:p w14:paraId="4550DC3D" w14:textId="77777777" w:rsidR="00F61EEF" w:rsidRPr="00EA1BB2" w:rsidRDefault="00F61EEF" w:rsidP="00DC196B">
            <w:pPr>
              <w:rPr>
                <w:rFonts w:ascii="Cambria" w:hAnsi="Cambria"/>
                <w:sz w:val="24"/>
                <w:szCs w:val="24"/>
              </w:rPr>
            </w:pPr>
          </w:p>
        </w:tc>
        <w:tc>
          <w:tcPr>
            <w:tcW w:w="1275" w:type="dxa"/>
            <w:vMerge w:val="restart"/>
            <w:vAlign w:val="center"/>
          </w:tcPr>
          <w:p w14:paraId="4A1DE19B" w14:textId="77777777" w:rsidR="00F61EEF" w:rsidRPr="00EA1BB2" w:rsidRDefault="00F61EEF" w:rsidP="00DC196B">
            <w:pPr>
              <w:jc w:val="center"/>
              <w:rPr>
                <w:rFonts w:ascii="Cambria" w:hAnsi="Cambria"/>
                <w:sz w:val="24"/>
                <w:szCs w:val="24"/>
              </w:rPr>
            </w:pPr>
            <w:r w:rsidRPr="00EA1BB2">
              <w:rPr>
                <w:rFonts w:ascii="Cambria" w:hAnsi="Cambria"/>
                <w:sz w:val="24"/>
                <w:szCs w:val="24"/>
              </w:rPr>
              <w:t>Cadmiu (ng/m</w:t>
            </w:r>
            <w:r w:rsidRPr="00EA1BB2">
              <w:rPr>
                <w:rFonts w:ascii="Cambria" w:hAnsi="Cambria"/>
                <w:sz w:val="24"/>
                <w:szCs w:val="24"/>
                <w:vertAlign w:val="superscript"/>
              </w:rPr>
              <w:t>3</w:t>
            </w:r>
            <w:r w:rsidRPr="00EA1BB2">
              <w:rPr>
                <w:rFonts w:ascii="Cambria" w:hAnsi="Cambria"/>
                <w:sz w:val="24"/>
                <w:szCs w:val="24"/>
              </w:rPr>
              <w:t>)</w:t>
            </w:r>
          </w:p>
        </w:tc>
        <w:tc>
          <w:tcPr>
            <w:tcW w:w="1560" w:type="dxa"/>
            <w:vAlign w:val="center"/>
          </w:tcPr>
          <w:p w14:paraId="7764E227" w14:textId="77777777" w:rsidR="00F61EEF" w:rsidRPr="00EA1BB2" w:rsidRDefault="00F61EEF" w:rsidP="00DC196B">
            <w:pPr>
              <w:jc w:val="center"/>
              <w:rPr>
                <w:rFonts w:ascii="Cambria" w:hAnsi="Cambria"/>
                <w:sz w:val="24"/>
                <w:szCs w:val="24"/>
              </w:rPr>
            </w:pPr>
          </w:p>
        </w:tc>
        <w:tc>
          <w:tcPr>
            <w:tcW w:w="1744" w:type="dxa"/>
            <w:vAlign w:val="center"/>
          </w:tcPr>
          <w:p w14:paraId="7444F31E" w14:textId="77777777" w:rsidR="00F61EEF" w:rsidRPr="00EA1BB2" w:rsidRDefault="00F61EEF" w:rsidP="00DC196B">
            <w:pPr>
              <w:jc w:val="center"/>
              <w:rPr>
                <w:rFonts w:ascii="Cambria" w:hAnsi="Cambria"/>
                <w:sz w:val="24"/>
                <w:szCs w:val="24"/>
              </w:rPr>
            </w:pPr>
          </w:p>
        </w:tc>
        <w:tc>
          <w:tcPr>
            <w:tcW w:w="1373" w:type="dxa"/>
            <w:vMerge w:val="restart"/>
          </w:tcPr>
          <w:p w14:paraId="142FB6F8" w14:textId="77777777" w:rsidR="00F61EEF" w:rsidRPr="00EA1BB2" w:rsidRDefault="00F61EEF" w:rsidP="00DC196B">
            <w:pPr>
              <w:rPr>
                <w:rFonts w:ascii="Cambria" w:hAnsi="Cambria"/>
                <w:sz w:val="24"/>
                <w:szCs w:val="24"/>
              </w:rPr>
            </w:pPr>
          </w:p>
        </w:tc>
        <w:tc>
          <w:tcPr>
            <w:tcW w:w="1713" w:type="dxa"/>
            <w:vMerge w:val="restart"/>
            <w:vAlign w:val="center"/>
          </w:tcPr>
          <w:p w14:paraId="058AFF52" w14:textId="77777777" w:rsidR="00F61EEF" w:rsidRPr="00EA1BB2" w:rsidRDefault="00F61EEF" w:rsidP="00DC196B">
            <w:pPr>
              <w:jc w:val="center"/>
              <w:rPr>
                <w:rFonts w:ascii="Cambria" w:hAnsi="Cambria"/>
                <w:sz w:val="24"/>
                <w:szCs w:val="24"/>
              </w:rPr>
            </w:pPr>
            <w:r w:rsidRPr="00EA1BB2">
              <w:rPr>
                <w:rFonts w:ascii="Cambria" w:hAnsi="Cambria"/>
                <w:sz w:val="24"/>
                <w:szCs w:val="24"/>
              </w:rPr>
              <w:t>1 an</w:t>
            </w:r>
          </w:p>
        </w:tc>
        <w:tc>
          <w:tcPr>
            <w:tcW w:w="1270" w:type="dxa"/>
            <w:vMerge w:val="restart"/>
            <w:vAlign w:val="center"/>
          </w:tcPr>
          <w:p w14:paraId="40719B3F" w14:textId="77777777" w:rsidR="00F61EEF" w:rsidRPr="00EA1BB2" w:rsidRDefault="00F61EEF" w:rsidP="00DC196B">
            <w:pPr>
              <w:jc w:val="center"/>
              <w:rPr>
                <w:rFonts w:ascii="Cambria" w:hAnsi="Cambria"/>
                <w:sz w:val="24"/>
                <w:szCs w:val="24"/>
              </w:rPr>
            </w:pPr>
            <w:r w:rsidRPr="00EA1BB2">
              <w:rPr>
                <w:rFonts w:ascii="Cambria" w:hAnsi="Cambria"/>
                <w:sz w:val="24"/>
                <w:szCs w:val="24"/>
              </w:rPr>
              <w:t>2010-2014</w:t>
            </w:r>
          </w:p>
        </w:tc>
        <w:tc>
          <w:tcPr>
            <w:tcW w:w="2127" w:type="dxa"/>
            <w:vAlign w:val="center"/>
          </w:tcPr>
          <w:p w14:paraId="615D8B0A" w14:textId="77777777" w:rsidR="00F61EEF" w:rsidRPr="00EA1BB2" w:rsidRDefault="00F61EEF" w:rsidP="00DC196B">
            <w:pPr>
              <w:jc w:val="center"/>
              <w:rPr>
                <w:rFonts w:ascii="Cambria" w:hAnsi="Cambria"/>
                <w:sz w:val="24"/>
                <w:szCs w:val="24"/>
              </w:rPr>
            </w:pPr>
            <w:r w:rsidRPr="00EA1BB2">
              <w:rPr>
                <w:rFonts w:ascii="Cambria" w:hAnsi="Cambria"/>
                <w:sz w:val="24"/>
                <w:szCs w:val="24"/>
              </w:rPr>
              <w:t>Surse staționare</w:t>
            </w:r>
          </w:p>
        </w:tc>
        <w:tc>
          <w:tcPr>
            <w:tcW w:w="1701" w:type="dxa"/>
            <w:vAlign w:val="center"/>
          </w:tcPr>
          <w:p w14:paraId="5CABDF97" w14:textId="77777777" w:rsidR="00F61EEF" w:rsidRPr="00EA1BB2" w:rsidRDefault="00F61EEF" w:rsidP="00DC196B">
            <w:pPr>
              <w:jc w:val="right"/>
              <w:rPr>
                <w:rFonts w:ascii="Cambria" w:hAnsi="Cambria"/>
                <w:sz w:val="24"/>
                <w:szCs w:val="24"/>
              </w:rPr>
            </w:pPr>
            <w:r w:rsidRPr="00EA1BB2">
              <w:rPr>
                <w:rFonts w:ascii="Cambria" w:hAnsi="Cambria"/>
                <w:sz w:val="24"/>
                <w:szCs w:val="24"/>
              </w:rPr>
              <w:t>0,000144</w:t>
            </w:r>
          </w:p>
        </w:tc>
      </w:tr>
      <w:tr w:rsidR="00F61EEF" w:rsidRPr="00EA1BB2" w14:paraId="74C248C2" w14:textId="77777777" w:rsidTr="00AC454E">
        <w:trPr>
          <w:jc w:val="center"/>
        </w:trPr>
        <w:tc>
          <w:tcPr>
            <w:tcW w:w="1844" w:type="dxa"/>
            <w:vMerge/>
          </w:tcPr>
          <w:p w14:paraId="42FB247E" w14:textId="77777777" w:rsidR="00F61EEF" w:rsidRPr="00EA1BB2" w:rsidRDefault="00F61EEF" w:rsidP="00DC196B">
            <w:pPr>
              <w:rPr>
                <w:rFonts w:ascii="Cambria" w:hAnsi="Cambria"/>
                <w:sz w:val="24"/>
                <w:szCs w:val="24"/>
              </w:rPr>
            </w:pPr>
          </w:p>
        </w:tc>
        <w:tc>
          <w:tcPr>
            <w:tcW w:w="1275" w:type="dxa"/>
            <w:vMerge/>
            <w:vAlign w:val="center"/>
          </w:tcPr>
          <w:p w14:paraId="37B3C13A" w14:textId="77777777" w:rsidR="00F61EEF" w:rsidRPr="00EA1BB2" w:rsidRDefault="00F61EEF" w:rsidP="00DC196B">
            <w:pPr>
              <w:jc w:val="center"/>
              <w:rPr>
                <w:rFonts w:ascii="Cambria" w:hAnsi="Cambria"/>
                <w:sz w:val="24"/>
                <w:szCs w:val="24"/>
              </w:rPr>
            </w:pPr>
          </w:p>
        </w:tc>
        <w:tc>
          <w:tcPr>
            <w:tcW w:w="1560" w:type="dxa"/>
            <w:vAlign w:val="center"/>
          </w:tcPr>
          <w:p w14:paraId="0608A48B" w14:textId="77777777" w:rsidR="00F61EEF" w:rsidRPr="00EA1BB2" w:rsidRDefault="00F61EEF" w:rsidP="00DC196B">
            <w:pPr>
              <w:jc w:val="center"/>
              <w:rPr>
                <w:rFonts w:ascii="Cambria" w:hAnsi="Cambria"/>
                <w:sz w:val="24"/>
                <w:szCs w:val="24"/>
              </w:rPr>
            </w:pPr>
            <w:r w:rsidRPr="00EA1BB2">
              <w:rPr>
                <w:rFonts w:ascii="Cambria" w:hAnsi="Cambria"/>
                <w:sz w:val="24"/>
                <w:szCs w:val="24"/>
              </w:rPr>
              <w:t>RNMCA</w:t>
            </w:r>
          </w:p>
        </w:tc>
        <w:tc>
          <w:tcPr>
            <w:tcW w:w="1744" w:type="dxa"/>
            <w:vAlign w:val="center"/>
          </w:tcPr>
          <w:p w14:paraId="149D0D24" w14:textId="77777777" w:rsidR="00F61EEF" w:rsidRPr="00EA1BB2" w:rsidRDefault="00F61EEF" w:rsidP="00DC196B">
            <w:pPr>
              <w:jc w:val="center"/>
              <w:rPr>
                <w:rFonts w:ascii="Cambria" w:hAnsi="Cambria"/>
                <w:sz w:val="24"/>
                <w:szCs w:val="24"/>
              </w:rPr>
            </w:pPr>
          </w:p>
        </w:tc>
        <w:tc>
          <w:tcPr>
            <w:tcW w:w="1373" w:type="dxa"/>
            <w:vMerge/>
          </w:tcPr>
          <w:p w14:paraId="680DCABC" w14:textId="77777777" w:rsidR="00F61EEF" w:rsidRPr="00EA1BB2" w:rsidRDefault="00F61EEF" w:rsidP="00DC196B">
            <w:pPr>
              <w:rPr>
                <w:rFonts w:ascii="Cambria" w:hAnsi="Cambria"/>
                <w:sz w:val="24"/>
                <w:szCs w:val="24"/>
              </w:rPr>
            </w:pPr>
          </w:p>
        </w:tc>
        <w:tc>
          <w:tcPr>
            <w:tcW w:w="1713" w:type="dxa"/>
            <w:vMerge/>
            <w:vAlign w:val="center"/>
          </w:tcPr>
          <w:p w14:paraId="74277206" w14:textId="77777777" w:rsidR="00F61EEF" w:rsidRPr="00EA1BB2" w:rsidRDefault="00F61EEF" w:rsidP="00DC196B">
            <w:pPr>
              <w:jc w:val="center"/>
              <w:rPr>
                <w:rFonts w:ascii="Cambria" w:hAnsi="Cambria"/>
                <w:sz w:val="24"/>
                <w:szCs w:val="24"/>
              </w:rPr>
            </w:pPr>
          </w:p>
        </w:tc>
        <w:tc>
          <w:tcPr>
            <w:tcW w:w="1270" w:type="dxa"/>
            <w:vMerge/>
            <w:vAlign w:val="center"/>
          </w:tcPr>
          <w:p w14:paraId="284E4751" w14:textId="77777777" w:rsidR="00F61EEF" w:rsidRPr="00EA1BB2" w:rsidRDefault="00F61EEF" w:rsidP="00DC196B">
            <w:pPr>
              <w:jc w:val="center"/>
              <w:rPr>
                <w:rFonts w:ascii="Cambria" w:hAnsi="Cambria"/>
                <w:sz w:val="24"/>
                <w:szCs w:val="24"/>
              </w:rPr>
            </w:pPr>
          </w:p>
        </w:tc>
        <w:tc>
          <w:tcPr>
            <w:tcW w:w="2127" w:type="dxa"/>
            <w:vAlign w:val="center"/>
          </w:tcPr>
          <w:p w14:paraId="5E12C112" w14:textId="77777777" w:rsidR="00F61EEF" w:rsidRPr="00EA1BB2" w:rsidRDefault="00F61EEF" w:rsidP="00DC196B">
            <w:pPr>
              <w:jc w:val="center"/>
              <w:rPr>
                <w:rFonts w:ascii="Cambria" w:hAnsi="Cambria"/>
                <w:sz w:val="24"/>
                <w:szCs w:val="24"/>
              </w:rPr>
            </w:pPr>
            <w:r w:rsidRPr="00EA1BB2">
              <w:rPr>
                <w:rFonts w:ascii="Cambria" w:hAnsi="Cambria"/>
                <w:sz w:val="24"/>
                <w:szCs w:val="24"/>
              </w:rPr>
              <w:t>Surse mobile</w:t>
            </w:r>
          </w:p>
        </w:tc>
        <w:tc>
          <w:tcPr>
            <w:tcW w:w="1701" w:type="dxa"/>
            <w:vAlign w:val="center"/>
          </w:tcPr>
          <w:p w14:paraId="1085B6CB" w14:textId="77777777" w:rsidR="00F61EEF" w:rsidRPr="00EA1BB2" w:rsidRDefault="00F61EEF" w:rsidP="00DC196B">
            <w:pPr>
              <w:jc w:val="right"/>
              <w:rPr>
                <w:rFonts w:ascii="Cambria" w:hAnsi="Cambria"/>
                <w:sz w:val="24"/>
                <w:szCs w:val="24"/>
              </w:rPr>
            </w:pPr>
            <w:r w:rsidRPr="00EA1BB2">
              <w:rPr>
                <w:rFonts w:ascii="Cambria" w:hAnsi="Cambria"/>
                <w:sz w:val="24"/>
                <w:szCs w:val="24"/>
              </w:rPr>
              <w:t>0,003415</w:t>
            </w:r>
          </w:p>
        </w:tc>
      </w:tr>
      <w:tr w:rsidR="00F61EEF" w:rsidRPr="00EA1BB2" w14:paraId="168D5012" w14:textId="77777777" w:rsidTr="00AC454E">
        <w:trPr>
          <w:jc w:val="center"/>
        </w:trPr>
        <w:tc>
          <w:tcPr>
            <w:tcW w:w="1844" w:type="dxa"/>
            <w:vMerge/>
          </w:tcPr>
          <w:p w14:paraId="5C6E3176" w14:textId="77777777" w:rsidR="00F61EEF" w:rsidRPr="00EA1BB2" w:rsidRDefault="00F61EEF" w:rsidP="00DC196B">
            <w:pPr>
              <w:rPr>
                <w:rFonts w:ascii="Cambria" w:hAnsi="Cambria"/>
                <w:sz w:val="24"/>
                <w:szCs w:val="24"/>
              </w:rPr>
            </w:pPr>
          </w:p>
        </w:tc>
        <w:tc>
          <w:tcPr>
            <w:tcW w:w="1275" w:type="dxa"/>
            <w:vMerge/>
            <w:vAlign w:val="center"/>
          </w:tcPr>
          <w:p w14:paraId="0A6C66CB" w14:textId="77777777" w:rsidR="00F61EEF" w:rsidRPr="00EA1BB2" w:rsidRDefault="00F61EEF" w:rsidP="00DC196B">
            <w:pPr>
              <w:jc w:val="center"/>
              <w:rPr>
                <w:rFonts w:ascii="Cambria" w:hAnsi="Cambria"/>
                <w:sz w:val="24"/>
                <w:szCs w:val="24"/>
              </w:rPr>
            </w:pPr>
          </w:p>
        </w:tc>
        <w:tc>
          <w:tcPr>
            <w:tcW w:w="1560" w:type="dxa"/>
            <w:vAlign w:val="center"/>
          </w:tcPr>
          <w:p w14:paraId="7BB034F0" w14:textId="77777777" w:rsidR="00F61EEF" w:rsidRPr="00EA1BB2" w:rsidRDefault="00F61EEF" w:rsidP="00DC196B">
            <w:pPr>
              <w:jc w:val="center"/>
              <w:rPr>
                <w:rFonts w:ascii="Cambria" w:hAnsi="Cambria"/>
                <w:sz w:val="24"/>
                <w:szCs w:val="24"/>
              </w:rPr>
            </w:pPr>
            <w:r w:rsidRPr="00EA1BB2">
              <w:rPr>
                <w:rFonts w:ascii="Cambria" w:hAnsi="Cambria"/>
                <w:sz w:val="24"/>
                <w:szCs w:val="24"/>
              </w:rPr>
              <w:t>Modelare</w:t>
            </w:r>
          </w:p>
        </w:tc>
        <w:tc>
          <w:tcPr>
            <w:tcW w:w="1744" w:type="dxa"/>
            <w:vAlign w:val="center"/>
          </w:tcPr>
          <w:p w14:paraId="31EBC80F" w14:textId="77777777" w:rsidR="00F61EEF" w:rsidRPr="00EA1BB2" w:rsidRDefault="00F61EEF" w:rsidP="00DC196B">
            <w:pPr>
              <w:jc w:val="center"/>
              <w:rPr>
                <w:rFonts w:ascii="Cambria" w:hAnsi="Cambria"/>
                <w:sz w:val="24"/>
                <w:szCs w:val="24"/>
              </w:rPr>
            </w:pPr>
            <w:r w:rsidRPr="00EA1BB2">
              <w:rPr>
                <w:rFonts w:ascii="Cambria" w:hAnsi="Cambria"/>
                <w:sz w:val="24"/>
                <w:szCs w:val="24"/>
              </w:rPr>
              <w:t>0,37</w:t>
            </w:r>
          </w:p>
        </w:tc>
        <w:tc>
          <w:tcPr>
            <w:tcW w:w="1373" w:type="dxa"/>
            <w:vMerge/>
          </w:tcPr>
          <w:p w14:paraId="3D66BE71" w14:textId="77777777" w:rsidR="00F61EEF" w:rsidRPr="00EA1BB2" w:rsidRDefault="00F61EEF" w:rsidP="00DC196B">
            <w:pPr>
              <w:rPr>
                <w:rFonts w:ascii="Cambria" w:hAnsi="Cambria"/>
                <w:sz w:val="24"/>
                <w:szCs w:val="24"/>
              </w:rPr>
            </w:pPr>
          </w:p>
        </w:tc>
        <w:tc>
          <w:tcPr>
            <w:tcW w:w="1713" w:type="dxa"/>
            <w:vMerge/>
            <w:vAlign w:val="center"/>
          </w:tcPr>
          <w:p w14:paraId="29A4CA79" w14:textId="77777777" w:rsidR="00F61EEF" w:rsidRPr="00EA1BB2" w:rsidRDefault="00F61EEF" w:rsidP="00DC196B">
            <w:pPr>
              <w:jc w:val="center"/>
              <w:rPr>
                <w:rFonts w:ascii="Cambria" w:hAnsi="Cambria"/>
                <w:sz w:val="24"/>
                <w:szCs w:val="24"/>
              </w:rPr>
            </w:pPr>
          </w:p>
        </w:tc>
        <w:tc>
          <w:tcPr>
            <w:tcW w:w="1270" w:type="dxa"/>
            <w:vMerge/>
            <w:vAlign w:val="center"/>
          </w:tcPr>
          <w:p w14:paraId="31F83A22" w14:textId="77777777" w:rsidR="00F61EEF" w:rsidRPr="00EA1BB2" w:rsidRDefault="00F61EEF" w:rsidP="00DC196B">
            <w:pPr>
              <w:jc w:val="center"/>
              <w:rPr>
                <w:rFonts w:ascii="Cambria" w:hAnsi="Cambria"/>
                <w:sz w:val="24"/>
                <w:szCs w:val="24"/>
              </w:rPr>
            </w:pPr>
          </w:p>
        </w:tc>
        <w:tc>
          <w:tcPr>
            <w:tcW w:w="2127" w:type="dxa"/>
            <w:vAlign w:val="center"/>
          </w:tcPr>
          <w:p w14:paraId="1ADAEA58" w14:textId="77777777" w:rsidR="00F61EEF" w:rsidRPr="00EA1BB2" w:rsidRDefault="00F61EEF" w:rsidP="00DC196B">
            <w:pPr>
              <w:jc w:val="center"/>
              <w:rPr>
                <w:rFonts w:ascii="Cambria" w:hAnsi="Cambria"/>
                <w:sz w:val="24"/>
                <w:szCs w:val="24"/>
              </w:rPr>
            </w:pPr>
            <w:r w:rsidRPr="00EA1BB2">
              <w:rPr>
                <w:rFonts w:ascii="Cambria" w:hAnsi="Cambria"/>
                <w:sz w:val="24"/>
                <w:szCs w:val="24"/>
              </w:rPr>
              <w:t>Surse de suprafață</w:t>
            </w:r>
          </w:p>
        </w:tc>
        <w:tc>
          <w:tcPr>
            <w:tcW w:w="1701" w:type="dxa"/>
            <w:vAlign w:val="center"/>
          </w:tcPr>
          <w:p w14:paraId="5B5CEA17" w14:textId="77777777" w:rsidR="00F61EEF" w:rsidRPr="00EA1BB2" w:rsidRDefault="00F61EEF" w:rsidP="00DC196B">
            <w:pPr>
              <w:jc w:val="right"/>
              <w:rPr>
                <w:rFonts w:ascii="Cambria" w:hAnsi="Cambria"/>
                <w:sz w:val="24"/>
                <w:szCs w:val="24"/>
              </w:rPr>
            </w:pPr>
            <w:r w:rsidRPr="00EA1BB2">
              <w:rPr>
                <w:rFonts w:ascii="Cambria" w:hAnsi="Cambria"/>
                <w:sz w:val="24"/>
                <w:szCs w:val="24"/>
              </w:rPr>
              <w:t>0,000011</w:t>
            </w:r>
          </w:p>
        </w:tc>
      </w:tr>
      <w:tr w:rsidR="00F61EEF" w:rsidRPr="00EA1BB2" w14:paraId="17EC4BC0" w14:textId="77777777" w:rsidTr="00AC454E">
        <w:trPr>
          <w:jc w:val="center"/>
        </w:trPr>
        <w:tc>
          <w:tcPr>
            <w:tcW w:w="1844" w:type="dxa"/>
            <w:vMerge/>
          </w:tcPr>
          <w:p w14:paraId="4645829A" w14:textId="77777777" w:rsidR="00F61EEF" w:rsidRPr="00EA1BB2" w:rsidRDefault="00F61EEF" w:rsidP="00DC196B">
            <w:pPr>
              <w:rPr>
                <w:rFonts w:ascii="Cambria" w:hAnsi="Cambria"/>
                <w:sz w:val="24"/>
                <w:szCs w:val="24"/>
              </w:rPr>
            </w:pPr>
          </w:p>
        </w:tc>
        <w:tc>
          <w:tcPr>
            <w:tcW w:w="1275" w:type="dxa"/>
            <w:vMerge w:val="restart"/>
            <w:vAlign w:val="center"/>
          </w:tcPr>
          <w:p w14:paraId="73B03365" w14:textId="77777777" w:rsidR="00F61EEF" w:rsidRPr="00EA1BB2" w:rsidRDefault="00F61EEF" w:rsidP="00DC196B">
            <w:pPr>
              <w:jc w:val="center"/>
              <w:rPr>
                <w:rFonts w:ascii="Cambria" w:hAnsi="Cambria"/>
                <w:sz w:val="24"/>
                <w:szCs w:val="24"/>
              </w:rPr>
            </w:pPr>
            <w:r w:rsidRPr="00EA1BB2">
              <w:rPr>
                <w:rFonts w:ascii="Cambria" w:hAnsi="Cambria"/>
                <w:sz w:val="24"/>
                <w:szCs w:val="24"/>
              </w:rPr>
              <w:t xml:space="preserve">Nichel </w:t>
            </w:r>
          </w:p>
          <w:p w14:paraId="49B0A7A5" w14:textId="77777777" w:rsidR="00F61EEF" w:rsidRPr="00EA1BB2" w:rsidRDefault="00F61EEF" w:rsidP="00DC196B">
            <w:pPr>
              <w:jc w:val="center"/>
              <w:rPr>
                <w:rFonts w:ascii="Cambria" w:hAnsi="Cambria"/>
                <w:sz w:val="24"/>
                <w:szCs w:val="24"/>
              </w:rPr>
            </w:pPr>
            <w:r w:rsidRPr="00EA1BB2">
              <w:rPr>
                <w:rFonts w:ascii="Cambria" w:hAnsi="Cambria"/>
                <w:sz w:val="24"/>
                <w:szCs w:val="24"/>
              </w:rPr>
              <w:t>(ng/m</w:t>
            </w:r>
            <w:r w:rsidRPr="00EA1BB2">
              <w:rPr>
                <w:rFonts w:ascii="Cambria" w:hAnsi="Cambria"/>
                <w:sz w:val="24"/>
                <w:szCs w:val="24"/>
                <w:vertAlign w:val="superscript"/>
              </w:rPr>
              <w:t>3</w:t>
            </w:r>
            <w:r w:rsidRPr="00EA1BB2">
              <w:rPr>
                <w:rFonts w:ascii="Cambria" w:hAnsi="Cambria"/>
                <w:sz w:val="24"/>
                <w:szCs w:val="24"/>
              </w:rPr>
              <w:t>)</w:t>
            </w:r>
          </w:p>
        </w:tc>
        <w:tc>
          <w:tcPr>
            <w:tcW w:w="1560" w:type="dxa"/>
            <w:vAlign w:val="center"/>
          </w:tcPr>
          <w:p w14:paraId="191C4BD2" w14:textId="77777777" w:rsidR="00F61EEF" w:rsidRPr="00EA1BB2" w:rsidRDefault="00F61EEF" w:rsidP="00DC196B">
            <w:pPr>
              <w:jc w:val="center"/>
              <w:rPr>
                <w:rFonts w:ascii="Cambria" w:hAnsi="Cambria"/>
                <w:sz w:val="24"/>
                <w:szCs w:val="24"/>
              </w:rPr>
            </w:pPr>
          </w:p>
        </w:tc>
        <w:tc>
          <w:tcPr>
            <w:tcW w:w="1744" w:type="dxa"/>
            <w:vAlign w:val="center"/>
          </w:tcPr>
          <w:p w14:paraId="6D9579D3" w14:textId="77777777" w:rsidR="00F61EEF" w:rsidRPr="00EA1BB2" w:rsidRDefault="00F61EEF" w:rsidP="00DC196B">
            <w:pPr>
              <w:jc w:val="center"/>
              <w:rPr>
                <w:rFonts w:ascii="Cambria" w:hAnsi="Cambria"/>
                <w:sz w:val="24"/>
                <w:szCs w:val="24"/>
              </w:rPr>
            </w:pPr>
          </w:p>
        </w:tc>
        <w:tc>
          <w:tcPr>
            <w:tcW w:w="1373" w:type="dxa"/>
            <w:vMerge w:val="restart"/>
          </w:tcPr>
          <w:p w14:paraId="1A6F78E2" w14:textId="77777777" w:rsidR="00F61EEF" w:rsidRPr="00EA1BB2" w:rsidRDefault="00F61EEF" w:rsidP="00DC196B">
            <w:pPr>
              <w:rPr>
                <w:rFonts w:ascii="Cambria" w:hAnsi="Cambria"/>
                <w:sz w:val="24"/>
                <w:szCs w:val="24"/>
              </w:rPr>
            </w:pPr>
          </w:p>
        </w:tc>
        <w:tc>
          <w:tcPr>
            <w:tcW w:w="1713" w:type="dxa"/>
            <w:vMerge w:val="restart"/>
            <w:vAlign w:val="center"/>
          </w:tcPr>
          <w:p w14:paraId="417D38DD" w14:textId="77777777" w:rsidR="00F61EEF" w:rsidRPr="00EA1BB2" w:rsidRDefault="00F61EEF" w:rsidP="00DC196B">
            <w:pPr>
              <w:jc w:val="center"/>
              <w:rPr>
                <w:rFonts w:ascii="Cambria" w:hAnsi="Cambria"/>
                <w:sz w:val="24"/>
                <w:szCs w:val="24"/>
              </w:rPr>
            </w:pPr>
            <w:r w:rsidRPr="00EA1BB2">
              <w:rPr>
                <w:rFonts w:ascii="Cambria" w:hAnsi="Cambria"/>
                <w:sz w:val="24"/>
                <w:szCs w:val="24"/>
              </w:rPr>
              <w:t>1 an</w:t>
            </w:r>
          </w:p>
        </w:tc>
        <w:tc>
          <w:tcPr>
            <w:tcW w:w="1270" w:type="dxa"/>
            <w:vMerge w:val="restart"/>
            <w:vAlign w:val="center"/>
          </w:tcPr>
          <w:p w14:paraId="7BFB4A0D" w14:textId="77777777" w:rsidR="00F61EEF" w:rsidRPr="00EA1BB2" w:rsidRDefault="00F61EEF" w:rsidP="00DC196B">
            <w:pPr>
              <w:jc w:val="center"/>
              <w:rPr>
                <w:rFonts w:ascii="Cambria" w:hAnsi="Cambria"/>
                <w:sz w:val="24"/>
                <w:szCs w:val="24"/>
              </w:rPr>
            </w:pPr>
            <w:r w:rsidRPr="00EA1BB2">
              <w:rPr>
                <w:rFonts w:ascii="Cambria" w:hAnsi="Cambria"/>
                <w:sz w:val="24"/>
                <w:szCs w:val="24"/>
              </w:rPr>
              <w:t>2010-2014</w:t>
            </w:r>
          </w:p>
        </w:tc>
        <w:tc>
          <w:tcPr>
            <w:tcW w:w="2127" w:type="dxa"/>
            <w:vAlign w:val="center"/>
          </w:tcPr>
          <w:p w14:paraId="7254D7C5" w14:textId="77777777" w:rsidR="00F61EEF" w:rsidRPr="00EA1BB2" w:rsidRDefault="00F61EEF" w:rsidP="00DC196B">
            <w:pPr>
              <w:jc w:val="center"/>
              <w:rPr>
                <w:rFonts w:ascii="Cambria" w:hAnsi="Cambria"/>
                <w:sz w:val="24"/>
                <w:szCs w:val="24"/>
              </w:rPr>
            </w:pPr>
            <w:r w:rsidRPr="00EA1BB2">
              <w:rPr>
                <w:rFonts w:ascii="Cambria" w:hAnsi="Cambria"/>
                <w:sz w:val="24"/>
                <w:szCs w:val="24"/>
              </w:rPr>
              <w:t>Surse staționare</w:t>
            </w:r>
          </w:p>
        </w:tc>
        <w:tc>
          <w:tcPr>
            <w:tcW w:w="1701" w:type="dxa"/>
            <w:vAlign w:val="center"/>
          </w:tcPr>
          <w:p w14:paraId="3BE694EE" w14:textId="77777777" w:rsidR="00F61EEF" w:rsidRPr="00EA1BB2" w:rsidRDefault="00F61EEF" w:rsidP="00DC196B">
            <w:pPr>
              <w:jc w:val="right"/>
              <w:rPr>
                <w:rFonts w:ascii="Cambria" w:hAnsi="Cambria"/>
                <w:sz w:val="24"/>
                <w:szCs w:val="24"/>
              </w:rPr>
            </w:pPr>
            <w:r w:rsidRPr="00EA1BB2">
              <w:rPr>
                <w:rFonts w:ascii="Cambria" w:hAnsi="Cambria"/>
                <w:sz w:val="24"/>
                <w:szCs w:val="24"/>
              </w:rPr>
              <w:t>0,032022</w:t>
            </w:r>
          </w:p>
        </w:tc>
      </w:tr>
      <w:tr w:rsidR="00F61EEF" w:rsidRPr="00EA1BB2" w14:paraId="792007B3" w14:textId="77777777" w:rsidTr="00AC454E">
        <w:trPr>
          <w:jc w:val="center"/>
        </w:trPr>
        <w:tc>
          <w:tcPr>
            <w:tcW w:w="1844" w:type="dxa"/>
            <w:vMerge/>
          </w:tcPr>
          <w:p w14:paraId="5F22BDB2" w14:textId="77777777" w:rsidR="00F61EEF" w:rsidRPr="00EA1BB2" w:rsidRDefault="00F61EEF" w:rsidP="00DC196B">
            <w:pPr>
              <w:rPr>
                <w:rFonts w:ascii="Cambria" w:hAnsi="Cambria"/>
                <w:sz w:val="24"/>
                <w:szCs w:val="24"/>
              </w:rPr>
            </w:pPr>
          </w:p>
        </w:tc>
        <w:tc>
          <w:tcPr>
            <w:tcW w:w="1275" w:type="dxa"/>
            <w:vMerge/>
          </w:tcPr>
          <w:p w14:paraId="52D4314D" w14:textId="77777777" w:rsidR="00F61EEF" w:rsidRPr="00EA1BB2" w:rsidRDefault="00F61EEF" w:rsidP="00DC196B">
            <w:pPr>
              <w:rPr>
                <w:rFonts w:ascii="Cambria" w:hAnsi="Cambria"/>
                <w:sz w:val="24"/>
                <w:szCs w:val="24"/>
              </w:rPr>
            </w:pPr>
          </w:p>
        </w:tc>
        <w:tc>
          <w:tcPr>
            <w:tcW w:w="1560" w:type="dxa"/>
            <w:vAlign w:val="center"/>
          </w:tcPr>
          <w:p w14:paraId="3174366F" w14:textId="77777777" w:rsidR="00F61EEF" w:rsidRPr="00EA1BB2" w:rsidRDefault="00F61EEF" w:rsidP="00DC196B">
            <w:pPr>
              <w:jc w:val="center"/>
              <w:rPr>
                <w:rFonts w:ascii="Cambria" w:hAnsi="Cambria"/>
                <w:sz w:val="24"/>
                <w:szCs w:val="24"/>
              </w:rPr>
            </w:pPr>
            <w:r w:rsidRPr="00EA1BB2">
              <w:rPr>
                <w:rFonts w:ascii="Cambria" w:hAnsi="Cambria"/>
                <w:sz w:val="24"/>
                <w:szCs w:val="24"/>
              </w:rPr>
              <w:t>RNMCA</w:t>
            </w:r>
          </w:p>
        </w:tc>
        <w:tc>
          <w:tcPr>
            <w:tcW w:w="1744" w:type="dxa"/>
            <w:vAlign w:val="center"/>
          </w:tcPr>
          <w:p w14:paraId="52590389" w14:textId="77777777" w:rsidR="00F61EEF" w:rsidRPr="00EA1BB2" w:rsidRDefault="00F61EEF" w:rsidP="00DC196B">
            <w:pPr>
              <w:jc w:val="center"/>
              <w:rPr>
                <w:rFonts w:ascii="Cambria" w:hAnsi="Cambria"/>
                <w:sz w:val="24"/>
                <w:szCs w:val="24"/>
              </w:rPr>
            </w:pPr>
          </w:p>
        </w:tc>
        <w:tc>
          <w:tcPr>
            <w:tcW w:w="1373" w:type="dxa"/>
            <w:vMerge/>
          </w:tcPr>
          <w:p w14:paraId="3BE975FD" w14:textId="77777777" w:rsidR="00F61EEF" w:rsidRPr="00EA1BB2" w:rsidRDefault="00F61EEF" w:rsidP="00DC196B">
            <w:pPr>
              <w:rPr>
                <w:rFonts w:ascii="Cambria" w:hAnsi="Cambria"/>
                <w:sz w:val="24"/>
                <w:szCs w:val="24"/>
              </w:rPr>
            </w:pPr>
          </w:p>
        </w:tc>
        <w:tc>
          <w:tcPr>
            <w:tcW w:w="1713" w:type="dxa"/>
            <w:vMerge/>
          </w:tcPr>
          <w:p w14:paraId="06602EE0" w14:textId="77777777" w:rsidR="00F61EEF" w:rsidRPr="00EA1BB2" w:rsidRDefault="00F61EEF" w:rsidP="00DC196B">
            <w:pPr>
              <w:rPr>
                <w:rFonts w:ascii="Cambria" w:hAnsi="Cambria"/>
                <w:sz w:val="24"/>
                <w:szCs w:val="24"/>
              </w:rPr>
            </w:pPr>
          </w:p>
        </w:tc>
        <w:tc>
          <w:tcPr>
            <w:tcW w:w="1270" w:type="dxa"/>
            <w:vMerge/>
          </w:tcPr>
          <w:p w14:paraId="32F2F130" w14:textId="77777777" w:rsidR="00F61EEF" w:rsidRPr="00EA1BB2" w:rsidRDefault="00F61EEF" w:rsidP="00DC196B">
            <w:pPr>
              <w:rPr>
                <w:rFonts w:ascii="Cambria" w:hAnsi="Cambria"/>
                <w:sz w:val="24"/>
                <w:szCs w:val="24"/>
              </w:rPr>
            </w:pPr>
          </w:p>
        </w:tc>
        <w:tc>
          <w:tcPr>
            <w:tcW w:w="2127" w:type="dxa"/>
            <w:vAlign w:val="center"/>
          </w:tcPr>
          <w:p w14:paraId="2D1B7F8D" w14:textId="77777777" w:rsidR="00F61EEF" w:rsidRPr="00EA1BB2" w:rsidRDefault="00F61EEF" w:rsidP="00DC196B">
            <w:pPr>
              <w:jc w:val="center"/>
              <w:rPr>
                <w:rFonts w:ascii="Cambria" w:hAnsi="Cambria"/>
                <w:sz w:val="24"/>
                <w:szCs w:val="24"/>
              </w:rPr>
            </w:pPr>
            <w:r w:rsidRPr="00EA1BB2">
              <w:rPr>
                <w:rFonts w:ascii="Cambria" w:hAnsi="Cambria"/>
                <w:sz w:val="24"/>
                <w:szCs w:val="24"/>
              </w:rPr>
              <w:t>Surse mobile</w:t>
            </w:r>
          </w:p>
        </w:tc>
        <w:tc>
          <w:tcPr>
            <w:tcW w:w="1701" w:type="dxa"/>
            <w:vAlign w:val="center"/>
          </w:tcPr>
          <w:p w14:paraId="12F91825" w14:textId="77777777" w:rsidR="00F61EEF" w:rsidRPr="00EA1BB2" w:rsidRDefault="00F61EEF" w:rsidP="00DC196B">
            <w:pPr>
              <w:jc w:val="right"/>
              <w:rPr>
                <w:rFonts w:ascii="Cambria" w:hAnsi="Cambria"/>
                <w:sz w:val="24"/>
                <w:szCs w:val="24"/>
              </w:rPr>
            </w:pPr>
            <w:r w:rsidRPr="00EA1BB2">
              <w:rPr>
                <w:rFonts w:ascii="Cambria" w:hAnsi="Cambria"/>
                <w:sz w:val="24"/>
                <w:szCs w:val="24"/>
              </w:rPr>
              <w:t>0,024159</w:t>
            </w:r>
          </w:p>
        </w:tc>
      </w:tr>
      <w:tr w:rsidR="00F61EEF" w:rsidRPr="00EA1BB2" w14:paraId="78532F10" w14:textId="77777777" w:rsidTr="00AC454E">
        <w:trPr>
          <w:jc w:val="center"/>
        </w:trPr>
        <w:tc>
          <w:tcPr>
            <w:tcW w:w="1844" w:type="dxa"/>
            <w:vMerge/>
          </w:tcPr>
          <w:p w14:paraId="5CD44A13" w14:textId="77777777" w:rsidR="00F61EEF" w:rsidRPr="00EA1BB2" w:rsidRDefault="00F61EEF" w:rsidP="00DC196B">
            <w:pPr>
              <w:rPr>
                <w:rFonts w:ascii="Cambria" w:hAnsi="Cambria"/>
                <w:sz w:val="24"/>
                <w:szCs w:val="24"/>
              </w:rPr>
            </w:pPr>
          </w:p>
        </w:tc>
        <w:tc>
          <w:tcPr>
            <w:tcW w:w="1275" w:type="dxa"/>
            <w:vMerge/>
          </w:tcPr>
          <w:p w14:paraId="572A920B" w14:textId="77777777" w:rsidR="00F61EEF" w:rsidRPr="00EA1BB2" w:rsidRDefault="00F61EEF" w:rsidP="00DC196B">
            <w:pPr>
              <w:rPr>
                <w:rFonts w:ascii="Cambria" w:hAnsi="Cambria"/>
                <w:sz w:val="24"/>
                <w:szCs w:val="24"/>
              </w:rPr>
            </w:pPr>
          </w:p>
        </w:tc>
        <w:tc>
          <w:tcPr>
            <w:tcW w:w="1560" w:type="dxa"/>
            <w:vAlign w:val="center"/>
          </w:tcPr>
          <w:p w14:paraId="1731935B" w14:textId="77777777" w:rsidR="00F61EEF" w:rsidRPr="00EA1BB2" w:rsidRDefault="00F61EEF" w:rsidP="00DC196B">
            <w:pPr>
              <w:jc w:val="center"/>
              <w:rPr>
                <w:rFonts w:ascii="Cambria" w:hAnsi="Cambria"/>
                <w:sz w:val="24"/>
                <w:szCs w:val="24"/>
              </w:rPr>
            </w:pPr>
            <w:r w:rsidRPr="00EA1BB2">
              <w:rPr>
                <w:rFonts w:ascii="Cambria" w:hAnsi="Cambria"/>
                <w:sz w:val="24"/>
                <w:szCs w:val="24"/>
              </w:rPr>
              <w:t>Modelare</w:t>
            </w:r>
          </w:p>
        </w:tc>
        <w:tc>
          <w:tcPr>
            <w:tcW w:w="1744" w:type="dxa"/>
            <w:vAlign w:val="center"/>
          </w:tcPr>
          <w:p w14:paraId="63EEB7FD" w14:textId="77777777" w:rsidR="00F61EEF" w:rsidRPr="00EA1BB2" w:rsidRDefault="00F61EEF" w:rsidP="00DC196B">
            <w:pPr>
              <w:jc w:val="center"/>
              <w:rPr>
                <w:rFonts w:ascii="Cambria" w:hAnsi="Cambria"/>
                <w:sz w:val="24"/>
                <w:szCs w:val="24"/>
              </w:rPr>
            </w:pPr>
            <w:r w:rsidRPr="00EA1BB2">
              <w:rPr>
                <w:rFonts w:ascii="Cambria" w:hAnsi="Cambria"/>
                <w:sz w:val="24"/>
                <w:szCs w:val="24"/>
              </w:rPr>
              <w:t>27,59</w:t>
            </w:r>
          </w:p>
        </w:tc>
        <w:tc>
          <w:tcPr>
            <w:tcW w:w="1373" w:type="dxa"/>
            <w:vMerge/>
          </w:tcPr>
          <w:p w14:paraId="58154C03" w14:textId="77777777" w:rsidR="00F61EEF" w:rsidRPr="00EA1BB2" w:rsidRDefault="00F61EEF" w:rsidP="00DC196B">
            <w:pPr>
              <w:rPr>
                <w:rFonts w:ascii="Cambria" w:hAnsi="Cambria"/>
                <w:sz w:val="24"/>
                <w:szCs w:val="24"/>
              </w:rPr>
            </w:pPr>
          </w:p>
        </w:tc>
        <w:tc>
          <w:tcPr>
            <w:tcW w:w="1713" w:type="dxa"/>
            <w:vMerge/>
          </w:tcPr>
          <w:p w14:paraId="4411E688" w14:textId="77777777" w:rsidR="00F61EEF" w:rsidRPr="00EA1BB2" w:rsidRDefault="00F61EEF" w:rsidP="00DC196B">
            <w:pPr>
              <w:rPr>
                <w:rFonts w:ascii="Cambria" w:hAnsi="Cambria"/>
                <w:sz w:val="24"/>
                <w:szCs w:val="24"/>
              </w:rPr>
            </w:pPr>
          </w:p>
        </w:tc>
        <w:tc>
          <w:tcPr>
            <w:tcW w:w="1270" w:type="dxa"/>
            <w:vMerge/>
          </w:tcPr>
          <w:p w14:paraId="7DC5C845" w14:textId="77777777" w:rsidR="00F61EEF" w:rsidRPr="00EA1BB2" w:rsidRDefault="00F61EEF" w:rsidP="00DC196B">
            <w:pPr>
              <w:rPr>
                <w:rFonts w:ascii="Cambria" w:hAnsi="Cambria"/>
                <w:sz w:val="24"/>
                <w:szCs w:val="24"/>
              </w:rPr>
            </w:pPr>
          </w:p>
        </w:tc>
        <w:tc>
          <w:tcPr>
            <w:tcW w:w="2127" w:type="dxa"/>
            <w:vAlign w:val="center"/>
          </w:tcPr>
          <w:p w14:paraId="27A0E93E" w14:textId="77777777" w:rsidR="00F61EEF" w:rsidRPr="00EA1BB2" w:rsidRDefault="00F61EEF" w:rsidP="00DC196B">
            <w:pPr>
              <w:jc w:val="center"/>
              <w:rPr>
                <w:rFonts w:ascii="Cambria" w:hAnsi="Cambria"/>
                <w:sz w:val="24"/>
                <w:szCs w:val="24"/>
              </w:rPr>
            </w:pPr>
            <w:r w:rsidRPr="00EA1BB2">
              <w:rPr>
                <w:rFonts w:ascii="Cambria" w:hAnsi="Cambria"/>
                <w:sz w:val="24"/>
                <w:szCs w:val="24"/>
              </w:rPr>
              <w:t>Surse de suprafață</w:t>
            </w:r>
          </w:p>
        </w:tc>
        <w:tc>
          <w:tcPr>
            <w:tcW w:w="1701" w:type="dxa"/>
            <w:vAlign w:val="center"/>
          </w:tcPr>
          <w:p w14:paraId="6320B1D5" w14:textId="77777777" w:rsidR="00F61EEF" w:rsidRPr="00EA1BB2" w:rsidRDefault="00F61EEF" w:rsidP="00DC196B">
            <w:pPr>
              <w:jc w:val="right"/>
              <w:rPr>
                <w:rFonts w:ascii="Cambria" w:hAnsi="Cambria"/>
                <w:sz w:val="24"/>
                <w:szCs w:val="24"/>
              </w:rPr>
            </w:pPr>
            <w:r w:rsidRPr="00EA1BB2">
              <w:rPr>
                <w:rFonts w:ascii="Cambria" w:hAnsi="Cambria"/>
                <w:sz w:val="24"/>
                <w:szCs w:val="24"/>
              </w:rPr>
              <w:t>0,000982</w:t>
            </w:r>
          </w:p>
        </w:tc>
      </w:tr>
    </w:tbl>
    <w:p w14:paraId="2A416E3A" w14:textId="77777777" w:rsidR="00F61EEF" w:rsidRPr="00EA1BB2" w:rsidRDefault="00F61EEF" w:rsidP="00F61EEF">
      <w:pPr>
        <w:spacing w:line="360" w:lineRule="auto"/>
        <w:jc w:val="both"/>
        <w:rPr>
          <w:rFonts w:ascii="Cambria" w:eastAsia="Times New Roman" w:hAnsi="Cambria" w:cs="Times New Roman"/>
          <w:szCs w:val="24"/>
        </w:rPr>
      </w:pPr>
      <w:r w:rsidRPr="00EA1BB2">
        <w:rPr>
          <w:rFonts w:ascii="Cambria" w:eastAsia="Times New Roman" w:hAnsi="Cambria" w:cs="Times New Roman"/>
          <w:szCs w:val="24"/>
        </w:rPr>
        <w:t>Sursa: Direcția Centru Evaluare Calitate Aer, din cadrul Agenției Naționale pentru Protecția Mediului</w:t>
      </w:r>
    </w:p>
    <w:p w14:paraId="2B2E72D3" w14:textId="77777777" w:rsidR="00F61EEF" w:rsidRPr="00EA1BB2" w:rsidRDefault="00F61EEF" w:rsidP="00F61EEF">
      <w:pPr>
        <w:spacing w:line="360" w:lineRule="auto"/>
        <w:jc w:val="both"/>
        <w:rPr>
          <w:rFonts w:ascii="Cambria" w:eastAsia="Times New Roman" w:hAnsi="Cambria" w:cs="Times New Roman"/>
          <w:sz w:val="24"/>
          <w:szCs w:val="24"/>
        </w:rPr>
      </w:pPr>
    </w:p>
    <w:p w14:paraId="2FF7D4A2" w14:textId="77777777" w:rsidR="00F61EEF" w:rsidRPr="00EA1BB2" w:rsidRDefault="00F61EEF" w:rsidP="00F61EEF">
      <w:pPr>
        <w:spacing w:line="360" w:lineRule="auto"/>
        <w:jc w:val="both"/>
        <w:rPr>
          <w:rFonts w:ascii="Cambria" w:eastAsia="Times New Roman" w:hAnsi="Cambria" w:cs="Times New Roman"/>
          <w:sz w:val="24"/>
          <w:szCs w:val="24"/>
        </w:rPr>
      </w:pPr>
    </w:p>
    <w:p w14:paraId="51A5055F" w14:textId="77777777" w:rsidR="00F61EEF" w:rsidRPr="00EA1BB2" w:rsidRDefault="00F61EEF" w:rsidP="00F61EEF">
      <w:pPr>
        <w:spacing w:line="360" w:lineRule="auto"/>
        <w:jc w:val="both"/>
        <w:rPr>
          <w:rFonts w:ascii="Cambria" w:eastAsia="Times New Roman" w:hAnsi="Cambria" w:cs="Times New Roman"/>
          <w:sz w:val="24"/>
          <w:szCs w:val="24"/>
        </w:rPr>
      </w:pPr>
    </w:p>
    <w:p w14:paraId="42CBE208" w14:textId="77777777" w:rsidR="00F61EEF" w:rsidRPr="00EA1BB2" w:rsidRDefault="00F61EEF" w:rsidP="00F61EEF">
      <w:pPr>
        <w:spacing w:line="360" w:lineRule="auto"/>
        <w:jc w:val="both"/>
        <w:rPr>
          <w:rFonts w:ascii="Cambria" w:eastAsia="Times New Roman" w:hAnsi="Cambria" w:cs="Times New Roman"/>
          <w:sz w:val="24"/>
          <w:szCs w:val="24"/>
        </w:rPr>
      </w:pPr>
    </w:p>
    <w:p w14:paraId="22AB228D" w14:textId="77777777" w:rsidR="00F61EEF" w:rsidRPr="00EA1BB2" w:rsidRDefault="00F61EEF" w:rsidP="00F61EEF">
      <w:pPr>
        <w:spacing w:line="360" w:lineRule="auto"/>
        <w:jc w:val="both"/>
        <w:rPr>
          <w:rFonts w:ascii="Cambria" w:eastAsia="Times New Roman" w:hAnsi="Cambria" w:cs="Times New Roman"/>
          <w:sz w:val="24"/>
          <w:szCs w:val="24"/>
        </w:rPr>
        <w:sectPr w:rsidR="00F61EEF" w:rsidRPr="00EA1BB2" w:rsidSect="00C83C04">
          <w:pgSz w:w="16838" w:h="11906" w:orient="landscape" w:code="9"/>
          <w:pgMar w:top="1134" w:right="1418" w:bottom="1134" w:left="1418" w:header="283" w:footer="283" w:gutter="0"/>
          <w:cols w:space="708"/>
          <w:docGrid w:linePitch="360"/>
        </w:sectPr>
      </w:pPr>
    </w:p>
    <w:p w14:paraId="1A59464E" w14:textId="68FE4577" w:rsidR="00F61EEF" w:rsidRPr="00EA1BB2" w:rsidRDefault="00F61EEF" w:rsidP="00F30573">
      <w:pPr>
        <w:pStyle w:val="Caption"/>
        <w:keepNext/>
        <w:spacing w:after="0" w:line="360" w:lineRule="auto"/>
        <w:ind w:right="-2" w:firstLine="709"/>
        <w:jc w:val="both"/>
        <w:rPr>
          <w:rFonts w:ascii="Cambria" w:hAnsi="Cambria"/>
        </w:rPr>
      </w:pPr>
      <w:bookmarkStart w:id="15" w:name="_Toc524966194"/>
      <w:r w:rsidRPr="00EA1BB2">
        <w:rPr>
          <w:rFonts w:ascii="Cambria" w:hAnsi="Cambria"/>
        </w:rPr>
        <w:lastRenderedPageBreak/>
        <w:t xml:space="preserve">Figura nr. </w:t>
      </w:r>
      <w:r w:rsidR="00280BC9" w:rsidRPr="00EA1BB2">
        <w:rPr>
          <w:rFonts w:ascii="Cambria" w:hAnsi="Cambria"/>
        </w:rPr>
        <w:fldChar w:fldCharType="begin"/>
      </w:r>
      <w:r w:rsidR="00BA6FA3" w:rsidRPr="00EA1BB2">
        <w:rPr>
          <w:rFonts w:ascii="Cambria" w:hAnsi="Cambria"/>
        </w:rPr>
        <w:instrText xml:space="preserve"> STYLEREF 1 \s </w:instrText>
      </w:r>
      <w:r w:rsidR="00280BC9" w:rsidRPr="00EA1BB2">
        <w:rPr>
          <w:rFonts w:ascii="Cambria" w:hAnsi="Cambria"/>
        </w:rPr>
        <w:fldChar w:fldCharType="separate"/>
      </w:r>
      <w:r w:rsidR="00567555">
        <w:rPr>
          <w:rFonts w:ascii="Cambria" w:hAnsi="Cambria"/>
          <w:noProof/>
        </w:rPr>
        <w:t>2</w:t>
      </w:r>
      <w:r w:rsidR="00280BC9" w:rsidRPr="00EA1BB2">
        <w:rPr>
          <w:rFonts w:ascii="Cambria" w:hAnsi="Cambria"/>
        </w:rPr>
        <w:fldChar w:fldCharType="end"/>
      </w:r>
      <w:r w:rsidR="00BA6FA3" w:rsidRPr="00EA1BB2">
        <w:rPr>
          <w:rFonts w:ascii="Cambria" w:hAnsi="Cambria"/>
        </w:rPr>
        <w:noBreakHyphen/>
      </w:r>
      <w:r w:rsidR="00280BC9" w:rsidRPr="00EA1BB2">
        <w:rPr>
          <w:rFonts w:ascii="Cambria" w:hAnsi="Cambria"/>
        </w:rPr>
        <w:fldChar w:fldCharType="begin"/>
      </w:r>
      <w:r w:rsidR="00BA6FA3" w:rsidRPr="00EA1BB2">
        <w:rPr>
          <w:rFonts w:ascii="Cambria" w:hAnsi="Cambria"/>
        </w:rPr>
        <w:instrText xml:space="preserve"> SEQ Figura_nr. \* ARABIC \s 1 </w:instrText>
      </w:r>
      <w:r w:rsidR="00280BC9" w:rsidRPr="00EA1BB2">
        <w:rPr>
          <w:rFonts w:ascii="Cambria" w:hAnsi="Cambria"/>
        </w:rPr>
        <w:fldChar w:fldCharType="separate"/>
      </w:r>
      <w:r w:rsidR="00567555">
        <w:rPr>
          <w:rFonts w:ascii="Cambria" w:hAnsi="Cambria"/>
          <w:noProof/>
        </w:rPr>
        <w:t>1</w:t>
      </w:r>
      <w:r w:rsidR="00280BC9" w:rsidRPr="00EA1BB2">
        <w:rPr>
          <w:rFonts w:ascii="Cambria" w:hAnsi="Cambria"/>
        </w:rPr>
        <w:fldChar w:fldCharType="end"/>
      </w:r>
      <w:r w:rsidRPr="00EA1BB2">
        <w:rPr>
          <w:rFonts w:ascii="Cambria" w:hAnsi="Cambria"/>
        </w:rPr>
        <w:t xml:space="preserve"> – Contribuția diferitelor </w:t>
      </w:r>
      <w:r w:rsidR="00C94E4F" w:rsidRPr="00EA1BB2">
        <w:rPr>
          <w:rFonts w:ascii="Cambria" w:hAnsi="Cambria"/>
        </w:rPr>
        <w:t>categorii</w:t>
      </w:r>
      <w:r w:rsidRPr="00EA1BB2">
        <w:rPr>
          <w:rFonts w:ascii="Cambria" w:hAnsi="Cambria"/>
        </w:rPr>
        <w:t xml:space="preserve"> de surse la emisiile de poluanți în atmosferă</w:t>
      </w:r>
      <w:bookmarkEnd w:id="15"/>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4508"/>
        <w:gridCol w:w="4508"/>
      </w:tblGrid>
      <w:tr w:rsidR="00F61EEF" w:rsidRPr="00EA1BB2" w14:paraId="76D6ACF7" w14:textId="77777777" w:rsidTr="00DC196B">
        <w:tc>
          <w:tcPr>
            <w:tcW w:w="4508" w:type="dxa"/>
            <w:vAlign w:val="center"/>
          </w:tcPr>
          <w:p w14:paraId="6DEAD1F6" w14:textId="77777777" w:rsidR="00F61EEF" w:rsidRPr="00EA1BB2" w:rsidRDefault="00F61EEF" w:rsidP="00DC196B">
            <w:pPr>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w:t>
            </w:r>
            <w:r w:rsidRPr="00EA1BB2">
              <w:rPr>
                <w:rFonts w:ascii="Cambria" w:eastAsia="Times New Roman" w:hAnsi="Cambria" w:cs="Times New Roman"/>
                <w:noProof/>
                <w:sz w:val="24"/>
                <w:szCs w:val="24"/>
              </w:rPr>
              <w:drawing>
                <wp:inline distT="0" distB="0" distL="0" distR="0" wp14:anchorId="6DA295AD" wp14:editId="1154F51A">
                  <wp:extent cx="2562225" cy="1584000"/>
                  <wp:effectExtent l="0" t="0" r="9525" b="1651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tc>
        <w:tc>
          <w:tcPr>
            <w:tcW w:w="4508" w:type="dxa"/>
          </w:tcPr>
          <w:p w14:paraId="6485A9F9" w14:textId="77777777" w:rsidR="00F61EEF" w:rsidRPr="00EA1BB2" w:rsidRDefault="00F61EEF" w:rsidP="00DC196B">
            <w:pPr>
              <w:jc w:val="both"/>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2.</w:t>
            </w:r>
            <w:r w:rsidRPr="00EA1BB2">
              <w:rPr>
                <w:rFonts w:ascii="Cambria" w:eastAsia="Times New Roman" w:hAnsi="Cambria" w:cs="Times New Roman"/>
                <w:noProof/>
                <w:sz w:val="24"/>
                <w:szCs w:val="24"/>
              </w:rPr>
              <w:drawing>
                <wp:inline distT="0" distB="0" distL="0" distR="0" wp14:anchorId="034BA59D" wp14:editId="081D303C">
                  <wp:extent cx="2562225" cy="1584000"/>
                  <wp:effectExtent l="0" t="0" r="9525" b="16510"/>
                  <wp:docPr id="44" name="Chart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c>
      </w:tr>
      <w:tr w:rsidR="00F61EEF" w:rsidRPr="00EA1BB2" w14:paraId="0E073820" w14:textId="77777777" w:rsidTr="00DC196B">
        <w:tc>
          <w:tcPr>
            <w:tcW w:w="4508" w:type="dxa"/>
          </w:tcPr>
          <w:p w14:paraId="24B67512" w14:textId="77777777" w:rsidR="00F61EEF" w:rsidRPr="00EA1BB2" w:rsidRDefault="00F61EEF" w:rsidP="00DC196B">
            <w:pPr>
              <w:jc w:val="both"/>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3.</w:t>
            </w:r>
            <w:r w:rsidRPr="00EA1BB2">
              <w:rPr>
                <w:rFonts w:ascii="Cambria" w:eastAsia="Times New Roman" w:hAnsi="Cambria" w:cs="Times New Roman"/>
                <w:noProof/>
                <w:sz w:val="24"/>
                <w:szCs w:val="24"/>
              </w:rPr>
              <w:drawing>
                <wp:inline distT="0" distB="0" distL="0" distR="0" wp14:anchorId="62D02A1D" wp14:editId="66EC93D5">
                  <wp:extent cx="2562225" cy="1584000"/>
                  <wp:effectExtent l="0" t="0" r="9525" b="16510"/>
                  <wp:docPr id="45" name="Chart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tc>
        <w:tc>
          <w:tcPr>
            <w:tcW w:w="4508" w:type="dxa"/>
          </w:tcPr>
          <w:p w14:paraId="06B5F867" w14:textId="77777777" w:rsidR="00F61EEF" w:rsidRPr="00EA1BB2" w:rsidRDefault="00F61EEF" w:rsidP="00DC196B">
            <w:pPr>
              <w:jc w:val="both"/>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4.</w:t>
            </w:r>
            <w:r w:rsidRPr="00EA1BB2">
              <w:rPr>
                <w:rFonts w:ascii="Cambria" w:eastAsia="Times New Roman" w:hAnsi="Cambria" w:cs="Times New Roman"/>
                <w:noProof/>
                <w:sz w:val="24"/>
                <w:szCs w:val="24"/>
              </w:rPr>
              <w:drawing>
                <wp:inline distT="0" distB="0" distL="0" distR="0" wp14:anchorId="1CF04638" wp14:editId="48C2A524">
                  <wp:extent cx="2562225" cy="1584000"/>
                  <wp:effectExtent l="0" t="0" r="9525" b="16510"/>
                  <wp:docPr id="49" name="Chart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c>
      </w:tr>
      <w:tr w:rsidR="00F61EEF" w:rsidRPr="00EA1BB2" w14:paraId="0F0BB293" w14:textId="77777777" w:rsidTr="00DC196B">
        <w:tc>
          <w:tcPr>
            <w:tcW w:w="4508" w:type="dxa"/>
          </w:tcPr>
          <w:p w14:paraId="4600D9A6" w14:textId="77777777" w:rsidR="00F61EEF" w:rsidRPr="00EA1BB2" w:rsidRDefault="00F61EEF" w:rsidP="00DC196B">
            <w:pPr>
              <w:jc w:val="both"/>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5.</w:t>
            </w:r>
            <w:r w:rsidRPr="00EA1BB2">
              <w:rPr>
                <w:rFonts w:ascii="Cambria" w:eastAsia="Times New Roman" w:hAnsi="Cambria" w:cs="Times New Roman"/>
                <w:noProof/>
                <w:sz w:val="24"/>
                <w:szCs w:val="24"/>
              </w:rPr>
              <w:drawing>
                <wp:inline distT="0" distB="0" distL="0" distR="0" wp14:anchorId="6E4624E6" wp14:editId="14028F0F">
                  <wp:extent cx="2562225" cy="1584000"/>
                  <wp:effectExtent l="0" t="0" r="9525" b="16510"/>
                  <wp:docPr id="52" name="Chart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c>
        <w:tc>
          <w:tcPr>
            <w:tcW w:w="4508" w:type="dxa"/>
          </w:tcPr>
          <w:p w14:paraId="29AA8DB9" w14:textId="77777777" w:rsidR="00F61EEF" w:rsidRPr="00EA1BB2" w:rsidRDefault="00F61EEF" w:rsidP="00DC196B">
            <w:pPr>
              <w:jc w:val="both"/>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6.</w:t>
            </w:r>
            <w:r w:rsidRPr="00EA1BB2">
              <w:rPr>
                <w:rFonts w:ascii="Cambria" w:eastAsia="Times New Roman" w:hAnsi="Cambria" w:cs="Times New Roman"/>
                <w:noProof/>
                <w:sz w:val="24"/>
                <w:szCs w:val="24"/>
              </w:rPr>
              <w:drawing>
                <wp:inline distT="0" distB="0" distL="0" distR="0" wp14:anchorId="4136DD89" wp14:editId="70DD9540">
                  <wp:extent cx="2562225" cy="1584000"/>
                  <wp:effectExtent l="0" t="0" r="9525" b="16510"/>
                  <wp:docPr id="53" name="Chart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c>
      </w:tr>
      <w:tr w:rsidR="00F61EEF" w:rsidRPr="00EA1BB2" w14:paraId="355B12E5" w14:textId="77777777" w:rsidTr="00DC196B">
        <w:tc>
          <w:tcPr>
            <w:tcW w:w="4508" w:type="dxa"/>
          </w:tcPr>
          <w:p w14:paraId="4ECE6600" w14:textId="77777777" w:rsidR="00F61EEF" w:rsidRPr="00EA1BB2" w:rsidRDefault="00F61EEF" w:rsidP="00DC196B">
            <w:pPr>
              <w:jc w:val="both"/>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7.</w:t>
            </w:r>
            <w:r w:rsidRPr="00EA1BB2">
              <w:rPr>
                <w:rFonts w:ascii="Cambria" w:eastAsia="Times New Roman" w:hAnsi="Cambria" w:cs="Times New Roman"/>
                <w:noProof/>
                <w:sz w:val="24"/>
                <w:szCs w:val="24"/>
              </w:rPr>
              <w:drawing>
                <wp:inline distT="0" distB="0" distL="0" distR="0" wp14:anchorId="7FB3B933" wp14:editId="5C2A644B">
                  <wp:extent cx="2562225" cy="1584000"/>
                  <wp:effectExtent l="0" t="0" r="9525" b="16510"/>
                  <wp:docPr id="56" name="Chart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c>
        <w:tc>
          <w:tcPr>
            <w:tcW w:w="4508" w:type="dxa"/>
          </w:tcPr>
          <w:p w14:paraId="5F2BFB78" w14:textId="77777777" w:rsidR="00F61EEF" w:rsidRPr="00EA1BB2" w:rsidRDefault="00F61EEF" w:rsidP="00DC196B">
            <w:pPr>
              <w:jc w:val="both"/>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8.</w:t>
            </w:r>
            <w:r w:rsidRPr="00EA1BB2">
              <w:rPr>
                <w:rFonts w:ascii="Cambria" w:eastAsia="Times New Roman" w:hAnsi="Cambria" w:cs="Times New Roman"/>
                <w:noProof/>
                <w:sz w:val="24"/>
                <w:szCs w:val="24"/>
              </w:rPr>
              <w:drawing>
                <wp:inline distT="0" distB="0" distL="0" distR="0" wp14:anchorId="7A6D06CD" wp14:editId="43AAE1A8">
                  <wp:extent cx="2562225" cy="1584000"/>
                  <wp:effectExtent l="0" t="0" r="9525" b="16510"/>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c>
      </w:tr>
      <w:tr w:rsidR="00F61EEF" w:rsidRPr="00EA1BB2" w14:paraId="547080E7" w14:textId="77777777" w:rsidTr="00DC196B">
        <w:tc>
          <w:tcPr>
            <w:tcW w:w="4508" w:type="dxa"/>
          </w:tcPr>
          <w:p w14:paraId="01F0AF0A" w14:textId="77777777" w:rsidR="00F61EEF" w:rsidRPr="00EA1BB2" w:rsidRDefault="00F61EEF" w:rsidP="00DC196B">
            <w:pPr>
              <w:jc w:val="both"/>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9.</w:t>
            </w:r>
            <w:r w:rsidRPr="00EA1BB2">
              <w:rPr>
                <w:rFonts w:ascii="Cambria" w:eastAsia="Times New Roman" w:hAnsi="Cambria" w:cs="Times New Roman"/>
                <w:noProof/>
                <w:sz w:val="24"/>
                <w:szCs w:val="24"/>
              </w:rPr>
              <w:drawing>
                <wp:inline distT="0" distB="0" distL="0" distR="0" wp14:anchorId="0D9FB530" wp14:editId="42F6AD08">
                  <wp:extent cx="2562225" cy="1584000"/>
                  <wp:effectExtent l="0" t="0" r="9525" b="16510"/>
                  <wp:docPr id="59" name="Chart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tc>
        <w:tc>
          <w:tcPr>
            <w:tcW w:w="4508" w:type="dxa"/>
          </w:tcPr>
          <w:p w14:paraId="0977CFEE" w14:textId="77777777" w:rsidR="00F61EEF" w:rsidRPr="00EA1BB2" w:rsidRDefault="00F61EEF" w:rsidP="00DC196B">
            <w:pPr>
              <w:jc w:val="both"/>
              <w:rPr>
                <w:rFonts w:ascii="Cambria" w:eastAsia="Times New Roman" w:hAnsi="Cambria" w:cs="Times New Roman"/>
                <w:sz w:val="24"/>
                <w:szCs w:val="24"/>
                <w:lang w:val="ro-RO"/>
              </w:rPr>
            </w:pPr>
          </w:p>
        </w:tc>
      </w:tr>
    </w:tbl>
    <w:p w14:paraId="1247A04B" w14:textId="77777777" w:rsidR="00EE3655" w:rsidRPr="00EA1BB2" w:rsidRDefault="00F0254C" w:rsidP="00680409">
      <w:pPr>
        <w:pStyle w:val="Heading2"/>
        <w:numPr>
          <w:ilvl w:val="1"/>
          <w:numId w:val="1"/>
        </w:numPr>
        <w:spacing w:before="0"/>
        <w:ind w:hanging="219"/>
        <w:jc w:val="both"/>
        <w:rPr>
          <w:rFonts w:ascii="Cambria" w:hAnsi="Cambria" w:cs="Times New Roman"/>
          <w:b w:val="0"/>
          <w:color w:val="0070C0"/>
          <w:szCs w:val="24"/>
        </w:rPr>
      </w:pPr>
      <w:bookmarkStart w:id="16" w:name="_Toc526889696"/>
      <w:r w:rsidRPr="00EA1BB2">
        <w:rPr>
          <w:rFonts w:ascii="Cambria" w:hAnsi="Cambria" w:cs="Times New Roman"/>
          <w:color w:val="0070C0"/>
          <w:szCs w:val="24"/>
        </w:rPr>
        <w:lastRenderedPageBreak/>
        <w:t>Descrierea zonei</w:t>
      </w:r>
      <w:bookmarkEnd w:id="16"/>
    </w:p>
    <w:p w14:paraId="60DD25ED" w14:textId="3EFB0FD5" w:rsidR="00915599" w:rsidRPr="00EA1BB2" w:rsidRDefault="00915599" w:rsidP="002C3811">
      <w:pPr>
        <w:spacing w:line="360" w:lineRule="auto"/>
        <w:ind w:firstLine="708"/>
        <w:jc w:val="both"/>
        <w:rPr>
          <w:rFonts w:ascii="Cambria" w:hAnsi="Cambria" w:cs="Times New Roman"/>
          <w:sz w:val="24"/>
          <w:szCs w:val="24"/>
        </w:rPr>
      </w:pPr>
      <w:r w:rsidRPr="00EA1BB2">
        <w:rPr>
          <w:rFonts w:ascii="Cambria" w:hAnsi="Cambria" w:cs="Times New Roman"/>
          <w:sz w:val="24"/>
          <w:szCs w:val="24"/>
        </w:rPr>
        <w:t xml:space="preserve">Brăila este un </w:t>
      </w:r>
      <w:r w:rsidR="007942B7" w:rsidRPr="00EA1BB2">
        <w:rPr>
          <w:rFonts w:ascii="Cambria" w:hAnsi="Cambria" w:cs="Times New Roman"/>
          <w:sz w:val="24"/>
          <w:szCs w:val="24"/>
        </w:rPr>
        <w:t>jude</w:t>
      </w:r>
      <w:r w:rsidR="00054880" w:rsidRPr="00EA1BB2">
        <w:rPr>
          <w:rFonts w:ascii="Cambria" w:hAnsi="Cambria" w:cs="Times New Roman"/>
          <w:sz w:val="24"/>
          <w:szCs w:val="24"/>
        </w:rPr>
        <w:t>ț</w:t>
      </w:r>
      <w:r w:rsidRPr="00EA1BB2">
        <w:rPr>
          <w:rFonts w:ascii="Cambria" w:hAnsi="Cambria" w:cs="Times New Roman"/>
          <w:sz w:val="24"/>
          <w:szCs w:val="24"/>
        </w:rPr>
        <w:t xml:space="preserve"> din Regiunea de Sud-Est a României, situat într-o zonă în care se desfă</w:t>
      </w:r>
      <w:r w:rsidR="00054880" w:rsidRPr="00EA1BB2">
        <w:rPr>
          <w:rFonts w:ascii="Cambria" w:hAnsi="Cambria" w:cs="Times New Roman"/>
          <w:sz w:val="24"/>
          <w:szCs w:val="24"/>
        </w:rPr>
        <w:t>ș</w:t>
      </w:r>
      <w:r w:rsidRPr="00EA1BB2">
        <w:rPr>
          <w:rFonts w:ascii="Cambria" w:hAnsi="Cambria" w:cs="Times New Roman"/>
          <w:sz w:val="24"/>
          <w:szCs w:val="24"/>
        </w:rPr>
        <w:t xml:space="preserve">oară Câmpia Română, fiind străbătut de la sud la nord de </w:t>
      </w:r>
      <w:r w:rsidR="007942B7" w:rsidRPr="00EA1BB2">
        <w:rPr>
          <w:rFonts w:ascii="Cambria" w:hAnsi="Cambria" w:cs="Times New Roman"/>
          <w:sz w:val="24"/>
          <w:szCs w:val="24"/>
        </w:rPr>
        <w:t>fluviul Dunărea.</w:t>
      </w:r>
      <w:r w:rsidR="004C5F2E">
        <w:rPr>
          <w:rFonts w:ascii="Cambria" w:hAnsi="Cambria" w:cs="Times New Roman"/>
          <w:sz w:val="24"/>
          <w:szCs w:val="24"/>
        </w:rPr>
        <w:t xml:space="preserve"> </w:t>
      </w:r>
      <w:r w:rsidRPr="00EA1BB2">
        <w:rPr>
          <w:rFonts w:ascii="Cambria" w:hAnsi="Cambria" w:cs="Times New Roman"/>
          <w:sz w:val="24"/>
          <w:szCs w:val="24"/>
        </w:rPr>
        <w:t xml:space="preserve">Limita de nord a </w:t>
      </w:r>
      <w:r w:rsidR="007942B7" w:rsidRPr="00EA1BB2">
        <w:rPr>
          <w:rFonts w:ascii="Cambria" w:hAnsi="Cambria" w:cs="Times New Roman"/>
          <w:sz w:val="24"/>
          <w:szCs w:val="24"/>
        </w:rPr>
        <w:t>jude</w:t>
      </w:r>
      <w:r w:rsidR="00054880" w:rsidRPr="00EA1BB2">
        <w:rPr>
          <w:rFonts w:ascii="Cambria" w:hAnsi="Cambria" w:cs="Times New Roman"/>
          <w:sz w:val="24"/>
          <w:szCs w:val="24"/>
        </w:rPr>
        <w:t>ț</w:t>
      </w:r>
      <w:r w:rsidR="007942B7" w:rsidRPr="00EA1BB2">
        <w:rPr>
          <w:rFonts w:ascii="Cambria" w:hAnsi="Cambria" w:cs="Times New Roman"/>
          <w:sz w:val="24"/>
          <w:szCs w:val="24"/>
        </w:rPr>
        <w:t>ului</w:t>
      </w:r>
      <w:r w:rsidRPr="00EA1BB2">
        <w:rPr>
          <w:rFonts w:ascii="Cambria" w:hAnsi="Cambria" w:cs="Times New Roman"/>
          <w:sz w:val="24"/>
          <w:szCs w:val="24"/>
        </w:rPr>
        <w:t xml:space="preserve"> este stabilită de râul Siret, care se varsă în Dunăre în punctul în care fluviul </w:t>
      </w:r>
      <w:r w:rsidR="007942B7" w:rsidRPr="00EA1BB2">
        <w:rPr>
          <w:rFonts w:ascii="Cambria" w:hAnsi="Cambria" w:cs="Times New Roman"/>
          <w:sz w:val="24"/>
          <w:szCs w:val="24"/>
        </w:rPr>
        <w:t>părăse</w:t>
      </w:r>
      <w:r w:rsidR="00054880" w:rsidRPr="00EA1BB2">
        <w:rPr>
          <w:rFonts w:ascii="Cambria" w:hAnsi="Cambria" w:cs="Times New Roman"/>
          <w:sz w:val="24"/>
          <w:szCs w:val="24"/>
        </w:rPr>
        <w:t>ș</w:t>
      </w:r>
      <w:r w:rsidR="007942B7" w:rsidRPr="00EA1BB2">
        <w:rPr>
          <w:rFonts w:ascii="Cambria" w:hAnsi="Cambria" w:cs="Times New Roman"/>
          <w:sz w:val="24"/>
          <w:szCs w:val="24"/>
        </w:rPr>
        <w:t>te</w:t>
      </w:r>
      <w:r w:rsidR="00680409" w:rsidRPr="00EA1BB2">
        <w:rPr>
          <w:rFonts w:ascii="Cambria" w:hAnsi="Cambria" w:cs="Times New Roman"/>
          <w:sz w:val="24"/>
          <w:szCs w:val="24"/>
        </w:rPr>
        <w:t xml:space="preserve"> </w:t>
      </w:r>
      <w:r w:rsidR="007942B7" w:rsidRPr="00EA1BB2">
        <w:rPr>
          <w:rFonts w:ascii="Cambria" w:hAnsi="Cambria" w:cs="Times New Roman"/>
          <w:sz w:val="24"/>
          <w:szCs w:val="24"/>
        </w:rPr>
        <w:t>jude</w:t>
      </w:r>
      <w:r w:rsidR="00054880" w:rsidRPr="00EA1BB2">
        <w:rPr>
          <w:rFonts w:ascii="Cambria" w:hAnsi="Cambria" w:cs="Times New Roman"/>
          <w:sz w:val="24"/>
          <w:szCs w:val="24"/>
        </w:rPr>
        <w:t>ț</w:t>
      </w:r>
      <w:r w:rsidR="007942B7" w:rsidRPr="00EA1BB2">
        <w:rPr>
          <w:rFonts w:ascii="Cambria" w:hAnsi="Cambria" w:cs="Times New Roman"/>
          <w:sz w:val="24"/>
          <w:szCs w:val="24"/>
        </w:rPr>
        <w:t>ul</w:t>
      </w:r>
      <w:r w:rsidRPr="00EA1BB2">
        <w:rPr>
          <w:rFonts w:ascii="Cambria" w:hAnsi="Cambria" w:cs="Times New Roman"/>
          <w:sz w:val="24"/>
          <w:szCs w:val="24"/>
        </w:rPr>
        <w:t>.</w:t>
      </w:r>
    </w:p>
    <w:p w14:paraId="1F04D648" w14:textId="6CFE1845" w:rsidR="002E66CD" w:rsidRPr="00EA1BB2" w:rsidRDefault="007942B7" w:rsidP="002C3811">
      <w:pPr>
        <w:spacing w:line="360" w:lineRule="auto"/>
        <w:ind w:firstLine="708"/>
        <w:jc w:val="both"/>
        <w:rPr>
          <w:rFonts w:ascii="Cambria" w:hAnsi="Cambria" w:cs="Times New Roman"/>
          <w:sz w:val="24"/>
          <w:szCs w:val="24"/>
        </w:rPr>
      </w:pPr>
      <w:r w:rsidRPr="00EA1BB2">
        <w:rPr>
          <w:rFonts w:ascii="Cambria" w:hAnsi="Cambria" w:cs="Times New Roman"/>
          <w:sz w:val="24"/>
          <w:szCs w:val="24"/>
        </w:rPr>
        <w:t>Suprafa</w:t>
      </w:r>
      <w:r w:rsidR="00054880" w:rsidRPr="00EA1BB2">
        <w:rPr>
          <w:rFonts w:ascii="Cambria" w:hAnsi="Cambria" w:cs="Times New Roman"/>
          <w:sz w:val="24"/>
          <w:szCs w:val="24"/>
        </w:rPr>
        <w:t>ț</w:t>
      </w:r>
      <w:r w:rsidRPr="00EA1BB2">
        <w:rPr>
          <w:rFonts w:ascii="Cambria" w:hAnsi="Cambria" w:cs="Times New Roman"/>
          <w:sz w:val="24"/>
          <w:szCs w:val="24"/>
        </w:rPr>
        <w:t>a totală a jude</w:t>
      </w:r>
      <w:r w:rsidR="00054880" w:rsidRPr="00EA1BB2">
        <w:rPr>
          <w:rFonts w:ascii="Cambria" w:hAnsi="Cambria" w:cs="Times New Roman"/>
          <w:sz w:val="24"/>
          <w:szCs w:val="24"/>
        </w:rPr>
        <w:t>ț</w:t>
      </w:r>
      <w:r w:rsidRPr="00EA1BB2">
        <w:rPr>
          <w:rFonts w:ascii="Cambria" w:hAnsi="Cambria" w:cs="Times New Roman"/>
          <w:sz w:val="24"/>
          <w:szCs w:val="24"/>
        </w:rPr>
        <w:t xml:space="preserve">ului </w:t>
      </w:r>
      <w:r w:rsidR="004256FE" w:rsidRPr="00EA1BB2">
        <w:rPr>
          <w:rFonts w:ascii="Cambria" w:hAnsi="Cambria" w:cs="Times New Roman"/>
          <w:sz w:val="24"/>
          <w:szCs w:val="24"/>
        </w:rPr>
        <w:t>este</w:t>
      </w:r>
      <w:r w:rsidRPr="00EA1BB2">
        <w:rPr>
          <w:rFonts w:ascii="Cambria" w:hAnsi="Cambria" w:cs="Times New Roman"/>
          <w:sz w:val="24"/>
          <w:szCs w:val="24"/>
        </w:rPr>
        <w:t xml:space="preserve"> de 4.765,8 km</w:t>
      </w:r>
      <w:r w:rsidRPr="00EA1BB2">
        <w:rPr>
          <w:rFonts w:ascii="Cambria" w:hAnsi="Cambria" w:cs="Times New Roman"/>
          <w:sz w:val="24"/>
          <w:szCs w:val="24"/>
          <w:vertAlign w:val="superscript"/>
        </w:rPr>
        <w:t>2</w:t>
      </w:r>
      <w:r w:rsidRPr="00EA1BB2">
        <w:rPr>
          <w:rFonts w:ascii="Cambria" w:hAnsi="Cambria" w:cs="Times New Roman"/>
          <w:sz w:val="24"/>
          <w:szCs w:val="24"/>
        </w:rPr>
        <w:t>, din care doar 57,1 km</w:t>
      </w:r>
      <w:r w:rsidRPr="00EA1BB2">
        <w:rPr>
          <w:rFonts w:ascii="Cambria" w:hAnsi="Cambria" w:cs="Times New Roman"/>
          <w:sz w:val="24"/>
          <w:szCs w:val="24"/>
          <w:vertAlign w:val="superscript"/>
        </w:rPr>
        <w:t>2</w:t>
      </w:r>
      <w:r w:rsidRPr="00EA1BB2">
        <w:rPr>
          <w:rFonts w:ascii="Cambria" w:hAnsi="Cambria" w:cs="Times New Roman"/>
          <w:sz w:val="24"/>
          <w:szCs w:val="24"/>
        </w:rPr>
        <w:t xml:space="preserve"> (1,2%) apar</w:t>
      </w:r>
      <w:r w:rsidR="00054880" w:rsidRPr="00EA1BB2">
        <w:rPr>
          <w:rFonts w:ascii="Cambria" w:hAnsi="Cambria" w:cs="Times New Roman"/>
          <w:sz w:val="24"/>
          <w:szCs w:val="24"/>
        </w:rPr>
        <w:t>ț</w:t>
      </w:r>
      <w:r w:rsidRPr="00EA1BB2">
        <w:rPr>
          <w:rFonts w:ascii="Cambria" w:hAnsi="Cambria" w:cs="Times New Roman"/>
          <w:sz w:val="24"/>
          <w:szCs w:val="24"/>
        </w:rPr>
        <w:t>ine domeniului intravilan</w:t>
      </w:r>
      <w:r w:rsidR="00680409" w:rsidRPr="00EA1BB2">
        <w:rPr>
          <w:rFonts w:ascii="Cambria" w:hAnsi="Cambria" w:cs="Times New Roman"/>
          <w:sz w:val="24"/>
          <w:szCs w:val="24"/>
        </w:rPr>
        <w:t xml:space="preserve"> </w:t>
      </w:r>
      <w:r w:rsidR="00054880" w:rsidRPr="00EA1BB2">
        <w:rPr>
          <w:rFonts w:ascii="Cambria" w:hAnsi="Cambria" w:cs="Times New Roman"/>
          <w:sz w:val="24"/>
          <w:szCs w:val="24"/>
        </w:rPr>
        <w:t>ș</w:t>
      </w:r>
      <w:r w:rsidR="00C5170E" w:rsidRPr="00EA1BB2">
        <w:rPr>
          <w:rFonts w:ascii="Cambria" w:hAnsi="Cambria" w:cs="Times New Roman"/>
          <w:sz w:val="24"/>
          <w:szCs w:val="24"/>
        </w:rPr>
        <w:t>i are în componen</w:t>
      </w:r>
      <w:r w:rsidR="00054880" w:rsidRPr="00EA1BB2">
        <w:rPr>
          <w:rFonts w:ascii="Cambria" w:hAnsi="Cambria" w:cs="Times New Roman"/>
          <w:sz w:val="24"/>
          <w:szCs w:val="24"/>
        </w:rPr>
        <w:t>ț</w:t>
      </w:r>
      <w:r w:rsidR="00C5170E" w:rsidRPr="00EA1BB2">
        <w:rPr>
          <w:rFonts w:ascii="Cambria" w:hAnsi="Cambria" w:cs="Times New Roman"/>
          <w:sz w:val="24"/>
          <w:szCs w:val="24"/>
        </w:rPr>
        <w:t>ă un municipiu, trei ora</w:t>
      </w:r>
      <w:r w:rsidR="00054880" w:rsidRPr="00EA1BB2">
        <w:rPr>
          <w:rFonts w:ascii="Cambria" w:hAnsi="Cambria" w:cs="Times New Roman"/>
          <w:sz w:val="24"/>
          <w:szCs w:val="24"/>
        </w:rPr>
        <w:t>ș</w:t>
      </w:r>
      <w:r w:rsidR="00C5170E" w:rsidRPr="00EA1BB2">
        <w:rPr>
          <w:rFonts w:ascii="Cambria" w:hAnsi="Cambria" w:cs="Times New Roman"/>
          <w:sz w:val="24"/>
          <w:szCs w:val="24"/>
        </w:rPr>
        <w:t xml:space="preserve">e (Făurei, Ianca </w:t>
      </w:r>
      <w:r w:rsidR="00054880" w:rsidRPr="00EA1BB2">
        <w:rPr>
          <w:rFonts w:ascii="Cambria" w:hAnsi="Cambria" w:cs="Times New Roman"/>
          <w:sz w:val="24"/>
          <w:szCs w:val="24"/>
        </w:rPr>
        <w:t>ș</w:t>
      </w:r>
      <w:r w:rsidR="00C5170E" w:rsidRPr="00EA1BB2">
        <w:rPr>
          <w:rFonts w:ascii="Cambria" w:hAnsi="Cambria" w:cs="Times New Roman"/>
          <w:sz w:val="24"/>
          <w:szCs w:val="24"/>
        </w:rPr>
        <w:t>i Însură</w:t>
      </w:r>
      <w:r w:rsidR="00054880" w:rsidRPr="00EA1BB2">
        <w:rPr>
          <w:rFonts w:ascii="Cambria" w:hAnsi="Cambria" w:cs="Times New Roman"/>
          <w:sz w:val="24"/>
          <w:szCs w:val="24"/>
        </w:rPr>
        <w:t>ț</w:t>
      </w:r>
      <w:r w:rsidR="00C5170E" w:rsidRPr="00EA1BB2">
        <w:rPr>
          <w:rFonts w:ascii="Cambria" w:hAnsi="Cambria" w:cs="Times New Roman"/>
          <w:sz w:val="24"/>
          <w:szCs w:val="24"/>
        </w:rPr>
        <w:t xml:space="preserve">ei), 40 de comune </w:t>
      </w:r>
      <w:r w:rsidR="00054880" w:rsidRPr="00EA1BB2">
        <w:rPr>
          <w:rFonts w:ascii="Cambria" w:hAnsi="Cambria" w:cs="Times New Roman"/>
          <w:sz w:val="24"/>
          <w:szCs w:val="24"/>
        </w:rPr>
        <w:t>ș</w:t>
      </w:r>
      <w:r w:rsidR="00C5170E" w:rsidRPr="00EA1BB2">
        <w:rPr>
          <w:rFonts w:ascii="Cambria" w:hAnsi="Cambria" w:cs="Times New Roman"/>
          <w:sz w:val="24"/>
          <w:szCs w:val="24"/>
        </w:rPr>
        <w:t>i 140 de sate.</w:t>
      </w:r>
      <w:r w:rsidR="00680409" w:rsidRPr="00EA1BB2">
        <w:rPr>
          <w:rFonts w:ascii="Cambria" w:hAnsi="Cambria" w:cs="Times New Roman"/>
          <w:sz w:val="24"/>
          <w:szCs w:val="24"/>
        </w:rPr>
        <w:t xml:space="preserve"> </w:t>
      </w:r>
      <w:r w:rsidRPr="00EA1BB2">
        <w:rPr>
          <w:rFonts w:ascii="Cambria" w:hAnsi="Cambria" w:cs="Times New Roman"/>
          <w:sz w:val="24"/>
          <w:szCs w:val="24"/>
        </w:rPr>
        <w:t>Suprafa</w:t>
      </w:r>
      <w:r w:rsidR="00054880" w:rsidRPr="00EA1BB2">
        <w:rPr>
          <w:rFonts w:ascii="Cambria" w:hAnsi="Cambria" w:cs="Times New Roman"/>
          <w:sz w:val="24"/>
          <w:szCs w:val="24"/>
        </w:rPr>
        <w:t>ț</w:t>
      </w:r>
      <w:r w:rsidRPr="00EA1BB2">
        <w:rPr>
          <w:rFonts w:ascii="Cambria" w:hAnsi="Cambria" w:cs="Times New Roman"/>
          <w:sz w:val="24"/>
          <w:szCs w:val="24"/>
        </w:rPr>
        <w:t>a jude</w:t>
      </w:r>
      <w:r w:rsidR="00054880" w:rsidRPr="00EA1BB2">
        <w:rPr>
          <w:rFonts w:ascii="Cambria" w:hAnsi="Cambria" w:cs="Times New Roman"/>
          <w:sz w:val="24"/>
          <w:szCs w:val="24"/>
        </w:rPr>
        <w:t>ț</w:t>
      </w:r>
      <w:r w:rsidRPr="00EA1BB2">
        <w:rPr>
          <w:rFonts w:ascii="Cambria" w:hAnsi="Cambria" w:cs="Times New Roman"/>
          <w:sz w:val="24"/>
          <w:szCs w:val="24"/>
        </w:rPr>
        <w:t>ului Brăila reprezintă 13,3% din suprafa</w:t>
      </w:r>
      <w:r w:rsidR="00054880" w:rsidRPr="00EA1BB2">
        <w:rPr>
          <w:rFonts w:ascii="Cambria" w:hAnsi="Cambria" w:cs="Times New Roman"/>
          <w:sz w:val="24"/>
          <w:szCs w:val="24"/>
        </w:rPr>
        <w:t>ț</w:t>
      </w:r>
      <w:r w:rsidRPr="00EA1BB2">
        <w:rPr>
          <w:rFonts w:ascii="Cambria" w:hAnsi="Cambria" w:cs="Times New Roman"/>
          <w:sz w:val="24"/>
          <w:szCs w:val="24"/>
        </w:rPr>
        <w:t xml:space="preserve">a totală a Regiunii de Dezvoltare Sud-Est </w:t>
      </w:r>
      <w:r w:rsidR="00054880" w:rsidRPr="00EA1BB2">
        <w:rPr>
          <w:rFonts w:ascii="Cambria" w:hAnsi="Cambria" w:cs="Times New Roman"/>
          <w:sz w:val="24"/>
          <w:szCs w:val="24"/>
        </w:rPr>
        <w:t>ș</w:t>
      </w:r>
      <w:r w:rsidRPr="00EA1BB2">
        <w:rPr>
          <w:rFonts w:ascii="Cambria" w:hAnsi="Cambria" w:cs="Times New Roman"/>
          <w:sz w:val="24"/>
          <w:szCs w:val="24"/>
        </w:rPr>
        <w:t>i 2% din suprafa</w:t>
      </w:r>
      <w:r w:rsidR="00054880" w:rsidRPr="00EA1BB2">
        <w:rPr>
          <w:rFonts w:ascii="Cambria" w:hAnsi="Cambria" w:cs="Times New Roman"/>
          <w:sz w:val="24"/>
          <w:szCs w:val="24"/>
        </w:rPr>
        <w:t>ț</w:t>
      </w:r>
      <w:r w:rsidRPr="00EA1BB2">
        <w:rPr>
          <w:rFonts w:ascii="Cambria" w:hAnsi="Cambria" w:cs="Times New Roman"/>
          <w:sz w:val="24"/>
          <w:szCs w:val="24"/>
        </w:rPr>
        <w:t>a totală a României.</w:t>
      </w:r>
    </w:p>
    <w:p w14:paraId="179D5230" w14:textId="77777777" w:rsidR="005C572D" w:rsidRPr="00EA1BB2" w:rsidRDefault="005C572D" w:rsidP="00C306BF">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La Vest, jude</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ul Brăila este învecinat cu jude</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ul Buzău, la Nord-Vest cu jude</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ul Vrancea, la Nord cu jude</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ul Gala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 la Est cu jude</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ul Tulcea, în partea de Sud-Est are ca vecin jude</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ul Constan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a, iar la Sud, jude</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ul Ialomi</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a.</w:t>
      </w:r>
    </w:p>
    <w:p w14:paraId="0966C09A" w14:textId="77777777" w:rsidR="002E66CD" w:rsidRPr="00EA1BB2" w:rsidRDefault="002E66CD" w:rsidP="00A42E52">
      <w:pPr>
        <w:rPr>
          <w:rFonts w:ascii="Cambria" w:hAnsi="Cambria" w:cs="Times New Roman"/>
          <w:sz w:val="24"/>
          <w:szCs w:val="24"/>
        </w:rPr>
      </w:pPr>
    </w:p>
    <w:p w14:paraId="45F77A29" w14:textId="04FB30FA" w:rsidR="006A7984" w:rsidRPr="00EA1BB2" w:rsidRDefault="006A7984" w:rsidP="004F1BFA">
      <w:pPr>
        <w:pStyle w:val="Caption"/>
        <w:keepNext/>
        <w:ind w:firstLine="708"/>
        <w:jc w:val="both"/>
        <w:rPr>
          <w:rFonts w:ascii="Cambria" w:hAnsi="Cambria"/>
          <w:szCs w:val="24"/>
        </w:rPr>
      </w:pPr>
      <w:bookmarkStart w:id="17" w:name="_Toc524966195"/>
      <w:r w:rsidRPr="00EA1BB2">
        <w:rPr>
          <w:rFonts w:ascii="Cambria" w:hAnsi="Cambria"/>
          <w:szCs w:val="24"/>
        </w:rPr>
        <w:t xml:space="preserve">Figura nr. </w:t>
      </w:r>
      <w:r w:rsidR="00280BC9" w:rsidRPr="00EA1BB2">
        <w:rPr>
          <w:rFonts w:ascii="Cambria" w:hAnsi="Cambria"/>
          <w:szCs w:val="24"/>
        </w:rPr>
        <w:fldChar w:fldCharType="begin"/>
      </w:r>
      <w:r w:rsidR="00BA6FA3" w:rsidRPr="00EA1BB2">
        <w:rPr>
          <w:rFonts w:ascii="Cambria" w:hAnsi="Cambria"/>
          <w:szCs w:val="24"/>
        </w:rPr>
        <w:instrText xml:space="preserve"> STYLEREF 1 \s </w:instrText>
      </w:r>
      <w:r w:rsidR="00280BC9" w:rsidRPr="00EA1BB2">
        <w:rPr>
          <w:rFonts w:ascii="Cambria" w:hAnsi="Cambria"/>
          <w:szCs w:val="24"/>
        </w:rPr>
        <w:fldChar w:fldCharType="separate"/>
      </w:r>
      <w:r w:rsidR="00567555">
        <w:rPr>
          <w:rFonts w:ascii="Cambria" w:hAnsi="Cambria"/>
          <w:noProof/>
          <w:szCs w:val="24"/>
        </w:rPr>
        <w:t>2</w:t>
      </w:r>
      <w:r w:rsidR="00280BC9" w:rsidRPr="00EA1BB2">
        <w:rPr>
          <w:rFonts w:ascii="Cambria" w:hAnsi="Cambria"/>
          <w:szCs w:val="24"/>
        </w:rPr>
        <w:fldChar w:fldCharType="end"/>
      </w:r>
      <w:r w:rsidR="00BA6FA3" w:rsidRPr="00EA1BB2">
        <w:rPr>
          <w:rFonts w:ascii="Cambria" w:hAnsi="Cambria"/>
          <w:szCs w:val="24"/>
        </w:rPr>
        <w:noBreakHyphen/>
      </w:r>
      <w:r w:rsidR="00280BC9" w:rsidRPr="00EA1BB2">
        <w:rPr>
          <w:rFonts w:ascii="Cambria" w:hAnsi="Cambria"/>
          <w:szCs w:val="24"/>
        </w:rPr>
        <w:fldChar w:fldCharType="begin"/>
      </w:r>
      <w:r w:rsidR="00BA6FA3" w:rsidRPr="00EA1BB2">
        <w:rPr>
          <w:rFonts w:ascii="Cambria" w:hAnsi="Cambria"/>
          <w:szCs w:val="24"/>
        </w:rPr>
        <w:instrText xml:space="preserve"> SEQ Figura_nr. \* ARABIC \s 1 </w:instrText>
      </w:r>
      <w:r w:rsidR="00280BC9" w:rsidRPr="00EA1BB2">
        <w:rPr>
          <w:rFonts w:ascii="Cambria" w:hAnsi="Cambria"/>
          <w:szCs w:val="24"/>
        </w:rPr>
        <w:fldChar w:fldCharType="separate"/>
      </w:r>
      <w:r w:rsidR="00567555">
        <w:rPr>
          <w:rFonts w:ascii="Cambria" w:hAnsi="Cambria"/>
          <w:noProof/>
          <w:szCs w:val="24"/>
        </w:rPr>
        <w:t>2</w:t>
      </w:r>
      <w:r w:rsidR="00280BC9" w:rsidRPr="00EA1BB2">
        <w:rPr>
          <w:rFonts w:ascii="Cambria" w:hAnsi="Cambria"/>
          <w:szCs w:val="24"/>
        </w:rPr>
        <w:fldChar w:fldCharType="end"/>
      </w:r>
      <w:r w:rsidR="00510F36" w:rsidRPr="00EA1BB2">
        <w:rPr>
          <w:rFonts w:ascii="Cambria" w:hAnsi="Cambria"/>
          <w:szCs w:val="24"/>
        </w:rPr>
        <w:t>–</w:t>
      </w:r>
      <w:r w:rsidRPr="00EA1BB2">
        <w:rPr>
          <w:rFonts w:ascii="Cambria" w:hAnsi="Cambria"/>
          <w:szCs w:val="24"/>
        </w:rPr>
        <w:t>Harta jude</w:t>
      </w:r>
      <w:r w:rsidR="00054880" w:rsidRPr="00EA1BB2">
        <w:rPr>
          <w:rFonts w:ascii="Cambria" w:hAnsi="Cambria"/>
          <w:szCs w:val="24"/>
        </w:rPr>
        <w:t>ț</w:t>
      </w:r>
      <w:r w:rsidRPr="00EA1BB2">
        <w:rPr>
          <w:rFonts w:ascii="Cambria" w:hAnsi="Cambria"/>
          <w:szCs w:val="24"/>
        </w:rPr>
        <w:t>ului Brăila</w:t>
      </w:r>
      <w:bookmarkEnd w:id="17"/>
    </w:p>
    <w:p w14:paraId="421642CC" w14:textId="77777777" w:rsidR="000257EC" w:rsidRPr="00EA1BB2" w:rsidRDefault="00455581" w:rsidP="008C5E60">
      <w:pPr>
        <w:spacing w:line="276" w:lineRule="auto"/>
        <w:jc w:val="center"/>
        <w:rPr>
          <w:rFonts w:ascii="Cambria" w:eastAsia="Times New Roman" w:hAnsi="Cambria" w:cs="Times New Roman"/>
          <w:sz w:val="24"/>
          <w:szCs w:val="24"/>
        </w:rPr>
      </w:pPr>
      <w:r w:rsidRPr="00EA1BB2">
        <w:rPr>
          <w:rFonts w:ascii="Cambria" w:hAnsi="Cambria" w:cs="Times New Roman"/>
          <w:noProof/>
          <w:sz w:val="24"/>
          <w:szCs w:val="24"/>
          <w:lang w:val="en-US"/>
        </w:rPr>
        <w:drawing>
          <wp:inline distT="0" distB="0" distL="0" distR="0" wp14:anchorId="0C58E766" wp14:editId="49B1DF37">
            <wp:extent cx="5760000" cy="4077181"/>
            <wp:effectExtent l="19050" t="19050" r="12700"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000" cy="4077181"/>
                    </a:xfrm>
                    <a:prstGeom prst="rect">
                      <a:avLst/>
                    </a:prstGeom>
                    <a:ln>
                      <a:solidFill>
                        <a:schemeClr val="bg1">
                          <a:lumMod val="85000"/>
                        </a:schemeClr>
                      </a:solidFill>
                    </a:ln>
                  </pic:spPr>
                </pic:pic>
              </a:graphicData>
            </a:graphic>
          </wp:inline>
        </w:drawing>
      </w:r>
    </w:p>
    <w:p w14:paraId="6B0D6605" w14:textId="77777777" w:rsidR="00C306BF" w:rsidRPr="00EA1BB2" w:rsidRDefault="00C306BF" w:rsidP="00C306BF">
      <w:pPr>
        <w:spacing w:line="360" w:lineRule="auto"/>
        <w:ind w:firstLine="709"/>
        <w:jc w:val="both"/>
        <w:rPr>
          <w:rFonts w:ascii="Cambria" w:eastAsia="Times New Roman" w:hAnsi="Cambria" w:cs="Times New Roman"/>
          <w:sz w:val="24"/>
          <w:szCs w:val="24"/>
        </w:rPr>
      </w:pPr>
    </w:p>
    <w:p w14:paraId="7C51944C" w14:textId="16DCE8FF" w:rsidR="0034154A" w:rsidRPr="00EA1BB2" w:rsidRDefault="00C306BF" w:rsidP="00C306BF">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Arealul pentru care s-a realizat planul de menținere a calității aerului este reprezentat de județul Brăila și are următoarea componență administrativ-teritorială:</w:t>
      </w:r>
    </w:p>
    <w:p w14:paraId="53AE417E" w14:textId="77777777" w:rsidR="00C306BF" w:rsidRPr="00EA1BB2" w:rsidRDefault="00C306BF" w:rsidP="00C306BF">
      <w:pPr>
        <w:pStyle w:val="ListParagraph"/>
        <w:numPr>
          <w:ilvl w:val="0"/>
          <w:numId w:val="18"/>
        </w:numPr>
        <w:spacing w:line="360" w:lineRule="auto"/>
        <w:ind w:left="851"/>
        <w:jc w:val="both"/>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lastRenderedPageBreak/>
        <w:t>1 municipiu: Brăila;</w:t>
      </w:r>
    </w:p>
    <w:p w14:paraId="5F137037" w14:textId="77777777" w:rsidR="00C306BF" w:rsidRPr="00EA1BB2" w:rsidRDefault="00C306BF" w:rsidP="00C306BF">
      <w:pPr>
        <w:pStyle w:val="ListParagraph"/>
        <w:numPr>
          <w:ilvl w:val="0"/>
          <w:numId w:val="18"/>
        </w:numPr>
        <w:spacing w:line="360" w:lineRule="auto"/>
        <w:ind w:left="851"/>
        <w:jc w:val="both"/>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3 orașe: Ianca, Însurăței și Făurei;</w:t>
      </w:r>
    </w:p>
    <w:p w14:paraId="07C4C7F9" w14:textId="1B6A0A49" w:rsidR="00C306BF" w:rsidRPr="00EA1BB2" w:rsidRDefault="00C306BF" w:rsidP="00C306BF">
      <w:pPr>
        <w:pStyle w:val="ListParagraph"/>
        <w:numPr>
          <w:ilvl w:val="0"/>
          <w:numId w:val="18"/>
        </w:numPr>
        <w:spacing w:line="360" w:lineRule="auto"/>
        <w:ind w:left="851"/>
        <w:jc w:val="both"/>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40 comune:</w:t>
      </w:r>
      <w:r w:rsidR="00680409" w:rsidRPr="00EA1BB2">
        <w:rPr>
          <w:rFonts w:ascii="Cambria" w:eastAsia="Times New Roman" w:hAnsi="Cambria" w:cs="Times New Roman"/>
          <w:sz w:val="24"/>
          <w:szCs w:val="24"/>
          <w:lang w:val="ro-RO"/>
        </w:rPr>
        <w:t xml:space="preserve"> </w:t>
      </w:r>
      <w:r w:rsidRPr="00EA1BB2">
        <w:rPr>
          <w:rFonts w:ascii="Cambria" w:eastAsia="Times New Roman" w:hAnsi="Cambria" w:cs="Times New Roman"/>
          <w:sz w:val="24"/>
          <w:szCs w:val="24"/>
          <w:lang w:val="ro-RO"/>
        </w:rPr>
        <w:t xml:space="preserve">Bărăganul, Berteștii de Jos, Bordei Verde, Cazasu, </w:t>
      </w:r>
      <w:r w:rsidR="00B67E84" w:rsidRPr="00EA1BB2">
        <w:rPr>
          <w:rFonts w:ascii="Cambria" w:eastAsia="Times New Roman" w:hAnsi="Cambria" w:cs="Times New Roman"/>
          <w:sz w:val="24"/>
          <w:szCs w:val="24"/>
          <w:lang w:val="ro-RO"/>
        </w:rPr>
        <w:t>Chi</w:t>
      </w:r>
      <w:r w:rsidR="00680409" w:rsidRPr="00EA1BB2">
        <w:rPr>
          <w:rFonts w:ascii="Cambria" w:eastAsia="Times New Roman" w:hAnsi="Cambria" w:cs="Times New Roman"/>
          <w:sz w:val="24"/>
          <w:szCs w:val="24"/>
          <w:lang w:val="ro-RO"/>
        </w:rPr>
        <w:t>s</w:t>
      </w:r>
      <w:r w:rsidR="00B67E84" w:rsidRPr="00EA1BB2">
        <w:rPr>
          <w:rFonts w:ascii="Cambria" w:eastAsia="Times New Roman" w:hAnsi="Cambria" w:cs="Times New Roman"/>
          <w:sz w:val="24"/>
          <w:szCs w:val="24"/>
          <w:lang w:val="ro-RO"/>
        </w:rPr>
        <w:t>cani</w:t>
      </w:r>
      <w:r w:rsidRPr="00EA1BB2">
        <w:rPr>
          <w:rFonts w:ascii="Cambria" w:eastAsia="Times New Roman" w:hAnsi="Cambria" w:cs="Times New Roman"/>
          <w:sz w:val="24"/>
          <w:szCs w:val="24"/>
          <w:lang w:val="ro-RO"/>
        </w:rPr>
        <w:t xml:space="preserve">, Ciocile, Cireșu,  Dudești, </w:t>
      </w:r>
      <w:r w:rsidR="00B67E84" w:rsidRPr="00EA1BB2">
        <w:rPr>
          <w:rFonts w:ascii="Cambria" w:eastAsia="Times New Roman" w:hAnsi="Cambria" w:cs="Times New Roman"/>
          <w:sz w:val="24"/>
          <w:szCs w:val="24"/>
          <w:lang w:val="ro-RO"/>
        </w:rPr>
        <w:t>Frecăței</w:t>
      </w:r>
      <w:r w:rsidRPr="00EA1BB2">
        <w:rPr>
          <w:rFonts w:ascii="Cambria" w:eastAsia="Times New Roman" w:hAnsi="Cambria" w:cs="Times New Roman"/>
          <w:sz w:val="24"/>
          <w:szCs w:val="24"/>
          <w:lang w:val="ro-RO"/>
        </w:rPr>
        <w:t xml:space="preserve">, Galbenu, Gemenele, Grădiștea, Gropeni, Jirlău, Mărașu, Măxineni, Mircea </w:t>
      </w:r>
      <w:r w:rsidR="00B67E84" w:rsidRPr="00EA1BB2">
        <w:rPr>
          <w:rFonts w:ascii="Cambria" w:eastAsia="Times New Roman" w:hAnsi="Cambria" w:cs="Times New Roman"/>
          <w:sz w:val="24"/>
          <w:szCs w:val="24"/>
          <w:lang w:val="ro-RO"/>
        </w:rPr>
        <w:t>Vodă</w:t>
      </w:r>
      <w:r w:rsidRPr="00EA1BB2">
        <w:rPr>
          <w:rFonts w:ascii="Cambria" w:eastAsia="Times New Roman" w:hAnsi="Cambria" w:cs="Times New Roman"/>
          <w:sz w:val="24"/>
          <w:szCs w:val="24"/>
          <w:lang w:val="ro-RO"/>
        </w:rPr>
        <w:t>, Movila Miresii, Racovița, Râmnicelu, Romanu, Roșiori, Salcia Tudor, Scorțaru Nou, Siliștea, St</w:t>
      </w:r>
      <w:r w:rsidR="00680409" w:rsidRPr="00EA1BB2">
        <w:rPr>
          <w:rFonts w:ascii="Cambria" w:eastAsia="Times New Roman" w:hAnsi="Cambria" w:cs="Times New Roman"/>
          <w:sz w:val="24"/>
          <w:szCs w:val="24"/>
          <w:lang w:val="ro-RO"/>
        </w:rPr>
        <w:t>ă</w:t>
      </w:r>
      <w:r w:rsidRPr="00EA1BB2">
        <w:rPr>
          <w:rFonts w:ascii="Cambria" w:eastAsia="Times New Roman" w:hAnsi="Cambria" w:cs="Times New Roman"/>
          <w:sz w:val="24"/>
          <w:szCs w:val="24"/>
          <w:lang w:val="ro-RO"/>
        </w:rPr>
        <w:t xml:space="preserve">ncuța, Surdila-Găiseanca, Surdila-Greci, </w:t>
      </w:r>
      <w:r w:rsidR="00680409" w:rsidRPr="00EA1BB2">
        <w:rPr>
          <w:rFonts w:ascii="Cambria" w:eastAsia="Times New Roman" w:hAnsi="Cambria" w:cs="Times New Roman"/>
          <w:sz w:val="24"/>
          <w:szCs w:val="24"/>
          <w:lang w:val="ro-RO"/>
        </w:rPr>
        <w:t>Ș</w:t>
      </w:r>
      <w:r w:rsidRPr="00EA1BB2">
        <w:rPr>
          <w:rFonts w:ascii="Cambria" w:eastAsia="Times New Roman" w:hAnsi="Cambria" w:cs="Times New Roman"/>
          <w:sz w:val="24"/>
          <w:szCs w:val="24"/>
          <w:lang w:val="ro-RO"/>
        </w:rPr>
        <w:t>u</w:t>
      </w:r>
      <w:r w:rsidR="00680409" w:rsidRPr="00EA1BB2">
        <w:rPr>
          <w:rFonts w:ascii="Cambria" w:eastAsia="Times New Roman" w:hAnsi="Cambria" w:cs="Times New Roman"/>
          <w:sz w:val="24"/>
          <w:szCs w:val="24"/>
          <w:lang w:val="ro-RO"/>
        </w:rPr>
        <w:t>ț</w:t>
      </w:r>
      <w:r w:rsidRPr="00EA1BB2">
        <w:rPr>
          <w:rFonts w:ascii="Cambria" w:eastAsia="Times New Roman" w:hAnsi="Cambria" w:cs="Times New Roman"/>
          <w:sz w:val="24"/>
          <w:szCs w:val="24"/>
          <w:lang w:val="ro-RO"/>
        </w:rPr>
        <w:t>ești, Tichilești, Traian, Tudor Vladimirescu, Tufești, Ulmu, Unirea, Vădeni, Victoria, Vișani, Viziru, Zăvoaia;</w:t>
      </w:r>
    </w:p>
    <w:p w14:paraId="233854B4" w14:textId="77777777" w:rsidR="00C306BF" w:rsidRPr="00EA1BB2" w:rsidRDefault="00C306BF" w:rsidP="00C306BF">
      <w:pPr>
        <w:pStyle w:val="ListParagraph"/>
        <w:numPr>
          <w:ilvl w:val="0"/>
          <w:numId w:val="18"/>
        </w:numPr>
        <w:spacing w:after="0" w:line="360" w:lineRule="auto"/>
        <w:ind w:left="851"/>
        <w:jc w:val="both"/>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140 sate componente.</w:t>
      </w:r>
    </w:p>
    <w:p w14:paraId="43164E8A" w14:textId="77777777" w:rsidR="00C306BF" w:rsidRPr="00EA1BB2" w:rsidRDefault="00C306BF" w:rsidP="00C306BF">
      <w:pPr>
        <w:pStyle w:val="ListParagraph"/>
        <w:spacing w:after="0" w:line="360" w:lineRule="auto"/>
        <w:ind w:left="0" w:firstLine="709"/>
        <w:jc w:val="both"/>
        <w:rPr>
          <w:rFonts w:ascii="Cambria" w:eastAsia="Times New Roman" w:hAnsi="Cambria" w:cs="Times New Roman"/>
          <w:sz w:val="24"/>
          <w:szCs w:val="24"/>
          <w:lang w:val="ro-RO"/>
        </w:rPr>
      </w:pPr>
    </w:p>
    <w:p w14:paraId="49CFD31B" w14:textId="6B3E5948" w:rsidR="00C306BF" w:rsidRPr="00EA1BB2" w:rsidRDefault="00C306BF" w:rsidP="00C306BF">
      <w:pPr>
        <w:pStyle w:val="Caption"/>
        <w:keepNext/>
        <w:spacing w:after="0" w:line="360" w:lineRule="auto"/>
        <w:ind w:firstLine="567"/>
        <w:jc w:val="both"/>
        <w:rPr>
          <w:rFonts w:ascii="Cambria" w:hAnsi="Cambria"/>
        </w:rPr>
      </w:pPr>
      <w:bookmarkStart w:id="18" w:name="_Toc524966196"/>
      <w:r w:rsidRPr="00EA1BB2">
        <w:rPr>
          <w:rFonts w:ascii="Cambria" w:hAnsi="Cambria"/>
        </w:rPr>
        <w:t xml:space="preserve">Figura nr. </w:t>
      </w:r>
      <w:r w:rsidR="00280BC9" w:rsidRPr="00EA1BB2">
        <w:rPr>
          <w:rFonts w:ascii="Cambria" w:hAnsi="Cambria"/>
        </w:rPr>
        <w:fldChar w:fldCharType="begin"/>
      </w:r>
      <w:r w:rsidR="00BA6FA3" w:rsidRPr="00EA1BB2">
        <w:rPr>
          <w:rFonts w:ascii="Cambria" w:hAnsi="Cambria"/>
        </w:rPr>
        <w:instrText xml:space="preserve"> STYLEREF 1 \s </w:instrText>
      </w:r>
      <w:r w:rsidR="00280BC9" w:rsidRPr="00EA1BB2">
        <w:rPr>
          <w:rFonts w:ascii="Cambria" w:hAnsi="Cambria"/>
        </w:rPr>
        <w:fldChar w:fldCharType="separate"/>
      </w:r>
      <w:r w:rsidR="00567555">
        <w:rPr>
          <w:rFonts w:ascii="Cambria" w:hAnsi="Cambria"/>
          <w:noProof/>
        </w:rPr>
        <w:t>2</w:t>
      </w:r>
      <w:r w:rsidR="00280BC9" w:rsidRPr="00EA1BB2">
        <w:rPr>
          <w:rFonts w:ascii="Cambria" w:hAnsi="Cambria"/>
        </w:rPr>
        <w:fldChar w:fldCharType="end"/>
      </w:r>
      <w:r w:rsidR="00BA6FA3" w:rsidRPr="00EA1BB2">
        <w:rPr>
          <w:rFonts w:ascii="Cambria" w:hAnsi="Cambria"/>
        </w:rPr>
        <w:noBreakHyphen/>
      </w:r>
      <w:r w:rsidR="00280BC9" w:rsidRPr="00EA1BB2">
        <w:rPr>
          <w:rFonts w:ascii="Cambria" w:hAnsi="Cambria"/>
        </w:rPr>
        <w:fldChar w:fldCharType="begin"/>
      </w:r>
      <w:r w:rsidR="00BA6FA3" w:rsidRPr="00EA1BB2">
        <w:rPr>
          <w:rFonts w:ascii="Cambria" w:hAnsi="Cambria"/>
        </w:rPr>
        <w:instrText xml:space="preserve"> SEQ Figura_nr. \* ARABIC \s 1 </w:instrText>
      </w:r>
      <w:r w:rsidR="00280BC9" w:rsidRPr="00EA1BB2">
        <w:rPr>
          <w:rFonts w:ascii="Cambria" w:hAnsi="Cambria"/>
        </w:rPr>
        <w:fldChar w:fldCharType="separate"/>
      </w:r>
      <w:r w:rsidR="00567555">
        <w:rPr>
          <w:rFonts w:ascii="Cambria" w:hAnsi="Cambria"/>
          <w:noProof/>
        </w:rPr>
        <w:t>3</w:t>
      </w:r>
      <w:r w:rsidR="00280BC9" w:rsidRPr="00EA1BB2">
        <w:rPr>
          <w:rFonts w:ascii="Cambria" w:hAnsi="Cambria"/>
        </w:rPr>
        <w:fldChar w:fldCharType="end"/>
      </w:r>
      <w:r w:rsidRPr="00EA1BB2">
        <w:rPr>
          <w:rFonts w:ascii="Cambria" w:hAnsi="Cambria"/>
        </w:rPr>
        <w:t xml:space="preserve"> – Harta administrativ-teritorială a Județului Brăila</w:t>
      </w:r>
      <w:bookmarkEnd w:id="18"/>
    </w:p>
    <w:p w14:paraId="44E29DE2" w14:textId="77777777" w:rsidR="00C306BF" w:rsidRPr="00EA1BB2" w:rsidRDefault="00C306BF" w:rsidP="00C83C04">
      <w:pPr>
        <w:spacing w:line="276" w:lineRule="auto"/>
        <w:jc w:val="center"/>
        <w:rPr>
          <w:rFonts w:ascii="Cambria" w:hAnsi="Cambria" w:cs="Times New Roman"/>
          <w:szCs w:val="24"/>
        </w:rPr>
      </w:pPr>
      <w:r w:rsidRPr="00EA1BB2">
        <w:rPr>
          <w:rFonts w:ascii="Cambria" w:hAnsi="Cambria" w:cs="Times New Roman"/>
          <w:noProof/>
          <w:szCs w:val="24"/>
          <w:lang w:val="en-US"/>
        </w:rPr>
        <w:drawing>
          <wp:inline distT="0" distB="0" distL="0" distR="0" wp14:anchorId="47CD0C6F" wp14:editId="2062D4CB">
            <wp:extent cx="5760000" cy="4077181"/>
            <wp:effectExtent l="19050" t="19050" r="12700" b="1905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7.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000" cy="4077181"/>
                    </a:xfrm>
                    <a:prstGeom prst="rect">
                      <a:avLst/>
                    </a:prstGeom>
                    <a:ln>
                      <a:solidFill>
                        <a:sysClr val="window" lastClr="FFFFFF">
                          <a:lumMod val="85000"/>
                        </a:sysClr>
                      </a:solidFill>
                    </a:ln>
                  </pic:spPr>
                </pic:pic>
              </a:graphicData>
            </a:graphic>
          </wp:inline>
        </w:drawing>
      </w:r>
    </w:p>
    <w:p w14:paraId="6015F9FC" w14:textId="5C3FB849" w:rsidR="00C83C04" w:rsidRPr="00EA1BB2" w:rsidRDefault="00C83C04" w:rsidP="00C83C04">
      <w:pPr>
        <w:spacing w:line="360" w:lineRule="auto"/>
        <w:jc w:val="both"/>
        <w:rPr>
          <w:rFonts w:ascii="Cambria" w:eastAsia="Times New Roman" w:hAnsi="Cambria" w:cs="Times New Roman"/>
          <w:sz w:val="24"/>
          <w:szCs w:val="24"/>
        </w:rPr>
      </w:pPr>
    </w:p>
    <w:p w14:paraId="5E49C4BA" w14:textId="77777777" w:rsidR="00C83C04" w:rsidRPr="00EA1BB2" w:rsidRDefault="00C83C04" w:rsidP="00C83C04">
      <w:pPr>
        <w:spacing w:line="360" w:lineRule="auto"/>
        <w:ind w:right="-2"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 xml:space="preserve">Conform recensământului efectuat în 2011, populația județului Brăila se ridică la 321.212 locuitori, în scădere față de recensământul anterior din 2002, când se înregistraseră 373.174 de locuitori. Volumul demografic al județului Brăila a scăzut din 2002 până în 2011 cu un efectiv de 51.962 persoane.  </w:t>
      </w:r>
    </w:p>
    <w:p w14:paraId="0CDDA737" w14:textId="707547A0" w:rsidR="00C83C04" w:rsidRPr="00EA1BB2" w:rsidRDefault="00C83C04" w:rsidP="00C83C04">
      <w:pPr>
        <w:spacing w:line="360" w:lineRule="auto"/>
        <w:ind w:right="-2" w:firstLine="709"/>
        <w:jc w:val="both"/>
        <w:rPr>
          <w:rFonts w:ascii="Cambria" w:hAnsi="Cambria" w:cs="Times New Roman"/>
          <w:sz w:val="24"/>
          <w:szCs w:val="24"/>
        </w:rPr>
      </w:pPr>
      <w:r w:rsidRPr="00EA1BB2">
        <w:rPr>
          <w:rFonts w:ascii="Cambria" w:hAnsi="Cambria" w:cs="Times New Roman"/>
          <w:sz w:val="24"/>
          <w:szCs w:val="24"/>
        </w:rPr>
        <w:lastRenderedPageBreak/>
        <w:t xml:space="preserve">În mediul urban trăiesc 200.765 persoane, reprezentând 62,5 % din totalul populației stabile. Față de situația de la penultimul recensământ, ponderea populației stabile din mediul urban a scăzut cu 1,6 %. </w:t>
      </w:r>
    </w:p>
    <w:p w14:paraId="2E6494E4" w14:textId="77777777" w:rsidR="00C83C04" w:rsidRPr="00EA1BB2" w:rsidRDefault="00C83C04" w:rsidP="00C83C04">
      <w:pPr>
        <w:spacing w:line="360" w:lineRule="auto"/>
        <w:ind w:firstLine="709"/>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Municipiile și orașele care intră în structura administrativ-teritorială a județului Brăila sunt:</w:t>
      </w:r>
    </w:p>
    <w:p w14:paraId="4ADD24DB" w14:textId="77777777" w:rsidR="00C83C04" w:rsidRPr="00EA1BB2" w:rsidRDefault="00C83C04" w:rsidP="00C83C04">
      <w:pPr>
        <w:spacing w:line="360" w:lineRule="auto"/>
        <w:ind w:firstLine="709"/>
        <w:contextualSpacing/>
        <w:jc w:val="both"/>
        <w:rPr>
          <w:rFonts w:ascii="Cambria" w:eastAsia="Times New Roman" w:hAnsi="Cambria" w:cs="Times New Roman"/>
          <w:sz w:val="24"/>
          <w:szCs w:val="24"/>
        </w:rPr>
      </w:pPr>
      <w:r w:rsidRPr="00EA1BB2">
        <w:rPr>
          <w:rFonts w:ascii="Cambria" w:eastAsia="Times New Roman" w:hAnsi="Cambria" w:cs="Times New Roman"/>
          <w:b/>
          <w:sz w:val="24"/>
          <w:szCs w:val="24"/>
        </w:rPr>
        <w:t>Municipiul Brăila</w:t>
      </w:r>
      <w:r w:rsidRPr="00EA1BB2">
        <w:rPr>
          <w:rFonts w:ascii="Cambria" w:eastAsia="Times New Roman" w:hAnsi="Cambria" w:cs="Times New Roman"/>
          <w:sz w:val="24"/>
          <w:szCs w:val="24"/>
          <w:vertAlign w:val="superscript"/>
        </w:rPr>
        <w:footnoteReference w:id="3"/>
      </w:r>
      <w:r w:rsidRPr="00EA1BB2">
        <w:rPr>
          <w:rFonts w:ascii="Cambria" w:eastAsia="Times New Roman" w:hAnsi="Cambria" w:cs="Times New Roman"/>
          <w:sz w:val="24"/>
          <w:szCs w:val="24"/>
        </w:rPr>
        <w:t>,</w:t>
      </w:r>
      <w:r w:rsidRPr="00EA1BB2">
        <w:rPr>
          <w:rFonts w:ascii="Cambria" w:eastAsia="Times New Roman" w:hAnsi="Cambria" w:cs="Times New Roman"/>
          <w:b/>
          <w:sz w:val="24"/>
          <w:szCs w:val="24"/>
        </w:rPr>
        <w:t xml:space="preserve"> r</w:t>
      </w:r>
      <w:r w:rsidRPr="00EA1BB2">
        <w:rPr>
          <w:rFonts w:ascii="Cambria" w:eastAsia="Times New Roman" w:hAnsi="Cambria" w:cs="Times New Roman"/>
          <w:sz w:val="24"/>
          <w:szCs w:val="24"/>
        </w:rPr>
        <w:t>eședința administrativă a județului Brăila, unul dintre cele mai mari porturi din Romania, este situat la 200 km nord-est de București. Municipiul Brăila se situează la 46°16’17” latitudine nordică și 27°58'33'' longitudine estică. Teritoriul administrativ al municipiului Brăila acoperă o suprafață de 4.366 ha, din care 4201,41 ha intravilan.</w:t>
      </w:r>
    </w:p>
    <w:p w14:paraId="20DBC6AB" w14:textId="77777777" w:rsidR="00C83C04" w:rsidRPr="00EA1BB2" w:rsidRDefault="00C83C04" w:rsidP="00C83C04">
      <w:pPr>
        <w:spacing w:line="360" w:lineRule="auto"/>
        <w:ind w:firstLine="709"/>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Conform recensământului efectuat în 2011, populația municipiului Brăila se ridică la 180.302 locuitori, în scădere față de recensământul anterior din 2002, când se înregistraseră 216.292 de locuitori.</w:t>
      </w:r>
      <w:r w:rsidRPr="00EA1BB2">
        <w:rPr>
          <w:rFonts w:ascii="Cambria" w:hAnsi="Cambria" w:cs="Arial"/>
          <w:sz w:val="24"/>
          <w:szCs w:val="24"/>
          <w:shd w:val="clear" w:color="auto" w:fill="FFFFFF"/>
          <w:vertAlign w:val="superscript"/>
        </w:rPr>
        <w:footnoteReference w:id="4"/>
      </w:r>
    </w:p>
    <w:p w14:paraId="53D5DAE1" w14:textId="77777777" w:rsidR="00C83C04" w:rsidRPr="00EA1BB2" w:rsidRDefault="00C83C04" w:rsidP="00C83C04">
      <w:pPr>
        <w:spacing w:line="360" w:lineRule="auto"/>
        <w:ind w:firstLine="709"/>
        <w:jc w:val="both"/>
        <w:rPr>
          <w:rFonts w:ascii="Cambria" w:hAnsi="Cambria" w:cs="Arial"/>
          <w:sz w:val="24"/>
          <w:szCs w:val="24"/>
          <w:shd w:val="clear" w:color="auto" w:fill="FFFFFF"/>
        </w:rPr>
      </w:pPr>
      <w:r w:rsidRPr="00EA1BB2">
        <w:rPr>
          <w:rFonts w:ascii="Cambria" w:hAnsi="Cambria" w:cs="Arial"/>
          <w:b/>
          <w:bCs/>
          <w:sz w:val="24"/>
          <w:szCs w:val="24"/>
        </w:rPr>
        <w:t>Orașul Ianca</w:t>
      </w:r>
      <w:r w:rsidRPr="00EA1BB2">
        <w:rPr>
          <w:rFonts w:ascii="Cambria" w:hAnsi="Cambria" w:cs="Arial"/>
          <w:b/>
          <w:bCs/>
          <w:sz w:val="24"/>
          <w:szCs w:val="24"/>
          <w:vertAlign w:val="superscript"/>
        </w:rPr>
        <w:footnoteReference w:id="5"/>
      </w:r>
      <w:r w:rsidRPr="00EA1BB2">
        <w:rPr>
          <w:rFonts w:ascii="Cambria" w:hAnsi="Cambria" w:cs="Arial"/>
          <w:sz w:val="24"/>
          <w:szCs w:val="24"/>
        </w:rPr>
        <w:t> </w:t>
      </w:r>
      <w:r w:rsidRPr="00EA1BB2">
        <w:rPr>
          <w:rFonts w:ascii="Cambria" w:hAnsi="Cambria" w:cs="Arial"/>
          <w:sz w:val="24"/>
          <w:szCs w:val="24"/>
          <w:shd w:val="clear" w:color="auto" w:fill="FFFFFF"/>
        </w:rPr>
        <w:t>este așezat în partea central-vestică a județului  Brăila,  la 45°8’6” latitudine nordică și 27°28'29'' longitudine estică, pe DN2B, drum aflat în directă legătură cu următoarele drumuri județene și comunale: DJ221- Ianca-Șuțești, DJ 211-Ianca Gară-Bordei Verde, DC 35-Ianca-Berlești, DC 26-Ianca-Târlele-Filiu și DC 37 Ianca Gară-Plopu. Teritoriul administrativ al orașului Ianca are o formă poligonală,  are o suprafață de 18.591 ha din care 1.096 ha intravilan.</w:t>
      </w:r>
    </w:p>
    <w:p w14:paraId="4E3AD470" w14:textId="77777777" w:rsidR="00C83C04" w:rsidRPr="00EA1BB2" w:rsidRDefault="00C83C04" w:rsidP="00C83C04">
      <w:pPr>
        <w:spacing w:line="360" w:lineRule="auto"/>
        <w:ind w:firstLine="709"/>
        <w:jc w:val="both"/>
        <w:rPr>
          <w:rFonts w:ascii="Cambria" w:hAnsi="Cambria" w:cs="Arial"/>
          <w:sz w:val="24"/>
          <w:szCs w:val="24"/>
          <w:shd w:val="clear" w:color="auto" w:fill="FFFFFF"/>
        </w:rPr>
      </w:pPr>
      <w:r w:rsidRPr="00EA1BB2">
        <w:rPr>
          <w:rFonts w:ascii="Cambria" w:hAnsi="Cambria" w:cs="Arial"/>
          <w:sz w:val="24"/>
          <w:szCs w:val="24"/>
          <w:shd w:val="clear" w:color="auto" w:fill="FFFFFF"/>
        </w:rPr>
        <w:t xml:space="preserve">Conform </w:t>
      </w:r>
      <w:hyperlink r:id="rId25" w:tooltip="Recensământul populației din 2011 (România)" w:history="1">
        <w:r w:rsidRPr="00EA1BB2">
          <w:rPr>
            <w:rFonts w:ascii="Cambria" w:hAnsi="Cambria"/>
            <w:sz w:val="24"/>
            <w:szCs w:val="24"/>
          </w:rPr>
          <w:t>recensământului efectuat în 2011</w:t>
        </w:r>
      </w:hyperlink>
      <w:r w:rsidRPr="00EA1BB2">
        <w:rPr>
          <w:rFonts w:ascii="Cambria" w:hAnsi="Cambria" w:cs="Arial"/>
          <w:sz w:val="24"/>
          <w:szCs w:val="24"/>
          <w:shd w:val="clear" w:color="auto" w:fill="FFFFFF"/>
        </w:rPr>
        <w:t>, populația orașului Ianca se ridică la 10.343 de locuitori, în scădere față de</w:t>
      </w:r>
      <w:r w:rsidRPr="00EA1BB2">
        <w:rPr>
          <w:rFonts w:ascii="Cambria" w:hAnsi="Cambria"/>
          <w:sz w:val="24"/>
          <w:szCs w:val="24"/>
        </w:rPr>
        <w:t> </w:t>
      </w:r>
      <w:hyperlink r:id="rId26" w:tooltip="Recensământul populației din 2002 (România)" w:history="1">
        <w:r w:rsidRPr="00EA1BB2">
          <w:rPr>
            <w:rFonts w:ascii="Cambria" w:hAnsi="Cambria"/>
            <w:sz w:val="24"/>
            <w:szCs w:val="24"/>
          </w:rPr>
          <w:t>recensământul anterior din 2002</w:t>
        </w:r>
      </w:hyperlink>
      <w:r w:rsidRPr="00EA1BB2">
        <w:rPr>
          <w:rFonts w:ascii="Cambria" w:hAnsi="Cambria" w:cs="Arial"/>
          <w:sz w:val="24"/>
          <w:szCs w:val="24"/>
          <w:shd w:val="clear" w:color="auto" w:fill="FFFFFF"/>
        </w:rPr>
        <w:t>, când se înregistraseră 11.383 de locuitori</w:t>
      </w:r>
      <w:r w:rsidRPr="00EA1BB2">
        <w:rPr>
          <w:rFonts w:ascii="Cambria" w:hAnsi="Cambria" w:cs="Arial"/>
          <w:sz w:val="24"/>
          <w:szCs w:val="24"/>
          <w:shd w:val="clear" w:color="auto" w:fill="FFFFFF"/>
          <w:vertAlign w:val="superscript"/>
        </w:rPr>
        <w:footnoteReference w:id="6"/>
      </w:r>
      <w:r w:rsidRPr="00EA1BB2">
        <w:rPr>
          <w:rFonts w:ascii="Cambria" w:hAnsi="Cambria" w:cs="Arial"/>
          <w:sz w:val="24"/>
          <w:szCs w:val="24"/>
          <w:shd w:val="clear" w:color="auto" w:fill="FFFFFF"/>
        </w:rPr>
        <w:t>.</w:t>
      </w:r>
    </w:p>
    <w:p w14:paraId="41F49957" w14:textId="69C9026E" w:rsidR="00C83C04" w:rsidRPr="00EA1BB2" w:rsidRDefault="00C83C04" w:rsidP="00C83C04">
      <w:pPr>
        <w:spacing w:line="360" w:lineRule="auto"/>
        <w:jc w:val="both"/>
        <w:rPr>
          <w:rFonts w:ascii="Cambria" w:hAnsi="Cambria" w:cs="Arial"/>
          <w:sz w:val="24"/>
          <w:szCs w:val="24"/>
          <w:shd w:val="clear" w:color="auto" w:fill="FFFFFF"/>
        </w:rPr>
      </w:pPr>
      <w:r w:rsidRPr="00EA1BB2">
        <w:rPr>
          <w:rFonts w:ascii="Cambria" w:hAnsi="Cambria" w:cs="Times New Roman"/>
          <w:sz w:val="24"/>
          <w:szCs w:val="24"/>
        </w:rPr>
        <w:tab/>
      </w:r>
      <w:r w:rsidRPr="00EA1BB2">
        <w:rPr>
          <w:rFonts w:ascii="Cambria" w:hAnsi="Cambria" w:cs="Arial"/>
          <w:b/>
          <w:sz w:val="24"/>
          <w:szCs w:val="24"/>
          <w:shd w:val="clear" w:color="auto" w:fill="FFFFFF"/>
        </w:rPr>
        <w:t>Orașul Însurăței</w:t>
      </w:r>
      <w:r w:rsidRPr="00EA1BB2">
        <w:rPr>
          <w:rFonts w:ascii="Cambria" w:hAnsi="Cambria" w:cs="Arial"/>
          <w:sz w:val="24"/>
          <w:szCs w:val="24"/>
          <w:shd w:val="clear" w:color="auto" w:fill="FFFFFF"/>
        </w:rPr>
        <w:t xml:space="preserve"> se află în partea central-sudică a județului Brăila și este traversat de râul Călmățui și de șoseaua națională DN21, care leagă Brăila de Slobozia. </w:t>
      </w:r>
      <w:r w:rsidRPr="00EA1BB2">
        <w:rPr>
          <w:rFonts w:ascii="Cambria" w:eastAsia="Times New Roman" w:hAnsi="Cambria" w:cs="Times New Roman"/>
          <w:sz w:val="24"/>
          <w:szCs w:val="24"/>
        </w:rPr>
        <w:t>Orașul Însurăței se situează</w:t>
      </w:r>
      <w:r w:rsidR="004C5F2E">
        <w:rPr>
          <w:rFonts w:ascii="Cambria" w:eastAsia="Times New Roman" w:hAnsi="Cambria" w:cs="Times New Roman"/>
          <w:sz w:val="24"/>
          <w:szCs w:val="24"/>
        </w:rPr>
        <w:t xml:space="preserve"> </w:t>
      </w:r>
      <w:r w:rsidRPr="00EA1BB2">
        <w:rPr>
          <w:rFonts w:ascii="Cambria" w:eastAsia="Times New Roman" w:hAnsi="Cambria" w:cs="Times New Roman"/>
          <w:sz w:val="24"/>
          <w:szCs w:val="24"/>
        </w:rPr>
        <w:t xml:space="preserve">la 44°55’7” latitudine nordică și 27°36'38'' longitudine estică. </w:t>
      </w:r>
      <w:r w:rsidRPr="00EA1BB2">
        <w:rPr>
          <w:rFonts w:ascii="Cambria" w:hAnsi="Cambria" w:cs="Arial"/>
          <w:sz w:val="24"/>
          <w:szCs w:val="24"/>
          <w:shd w:val="clear" w:color="auto" w:fill="FFFFFF"/>
        </w:rPr>
        <w:t>Orașul este format din localitatea componentă Însurăței (reședința), și din satele</w:t>
      </w:r>
      <w:r w:rsidR="004C5F2E">
        <w:rPr>
          <w:rFonts w:ascii="Cambria" w:hAnsi="Cambria" w:cs="Arial"/>
          <w:sz w:val="24"/>
          <w:szCs w:val="24"/>
          <w:shd w:val="clear" w:color="auto" w:fill="FFFFFF"/>
        </w:rPr>
        <w:t xml:space="preserve"> </w:t>
      </w:r>
      <w:hyperlink r:id="rId27" w:tooltip="Lacu Rezii, Brăila" w:history="1">
        <w:r w:rsidRPr="00EA1BB2">
          <w:rPr>
            <w:rFonts w:ascii="Cambria" w:hAnsi="Cambria"/>
            <w:sz w:val="24"/>
            <w:szCs w:val="24"/>
          </w:rPr>
          <w:t>Lacu Rezii</w:t>
        </w:r>
      </w:hyperlink>
      <w:r w:rsidRPr="00EA1BB2">
        <w:rPr>
          <w:rFonts w:ascii="Cambria" w:hAnsi="Cambria" w:cs="Arial"/>
          <w:sz w:val="24"/>
          <w:szCs w:val="24"/>
          <w:shd w:val="clear" w:color="auto" w:fill="FFFFFF"/>
        </w:rPr>
        <w:t>,</w:t>
      </w:r>
      <w:r w:rsidRPr="00EA1BB2">
        <w:rPr>
          <w:rFonts w:ascii="Cambria" w:hAnsi="Cambria"/>
          <w:sz w:val="24"/>
          <w:szCs w:val="24"/>
        </w:rPr>
        <w:t> </w:t>
      </w:r>
      <w:hyperlink r:id="rId28" w:tooltip="Măru Roșu, Brăila" w:history="1">
        <w:r w:rsidRPr="00EA1BB2">
          <w:rPr>
            <w:rFonts w:ascii="Cambria" w:hAnsi="Cambria"/>
            <w:sz w:val="24"/>
            <w:szCs w:val="24"/>
          </w:rPr>
          <w:t>Măru Roșu</w:t>
        </w:r>
      </w:hyperlink>
      <w:r w:rsidRPr="00EA1BB2">
        <w:rPr>
          <w:rFonts w:ascii="Cambria" w:hAnsi="Cambria"/>
          <w:sz w:val="24"/>
          <w:szCs w:val="24"/>
        </w:rPr>
        <w:t> </w:t>
      </w:r>
      <w:r w:rsidRPr="00EA1BB2">
        <w:rPr>
          <w:rFonts w:ascii="Cambria" w:hAnsi="Cambria" w:cs="Arial"/>
          <w:sz w:val="24"/>
          <w:szCs w:val="24"/>
          <w:shd w:val="clear" w:color="auto" w:fill="FFFFFF"/>
        </w:rPr>
        <w:t>și</w:t>
      </w:r>
      <w:r w:rsidRPr="00EA1BB2">
        <w:rPr>
          <w:rFonts w:ascii="Cambria" w:hAnsi="Cambria"/>
          <w:sz w:val="24"/>
          <w:szCs w:val="24"/>
        </w:rPr>
        <w:t> </w:t>
      </w:r>
      <w:hyperlink r:id="rId29" w:tooltip="Valea Călmățuiului, Brăila" w:history="1">
        <w:r w:rsidRPr="00EA1BB2">
          <w:rPr>
            <w:rFonts w:ascii="Cambria" w:hAnsi="Cambria"/>
            <w:sz w:val="24"/>
            <w:szCs w:val="24"/>
          </w:rPr>
          <w:t>Valea Călmățuiului</w:t>
        </w:r>
      </w:hyperlink>
      <w:r w:rsidRPr="00EA1BB2">
        <w:rPr>
          <w:rFonts w:ascii="Cambria" w:hAnsi="Cambria" w:cs="Arial"/>
          <w:sz w:val="24"/>
          <w:szCs w:val="24"/>
          <w:shd w:val="clear" w:color="auto" w:fill="FFFFFF"/>
        </w:rPr>
        <w:t>.</w:t>
      </w:r>
    </w:p>
    <w:p w14:paraId="5FAB7179" w14:textId="36B7D6BB" w:rsidR="00C83C04" w:rsidRPr="00EA1BB2" w:rsidRDefault="00C83C04" w:rsidP="00C83C04">
      <w:pPr>
        <w:spacing w:line="360" w:lineRule="auto"/>
        <w:ind w:firstLine="709"/>
        <w:jc w:val="both"/>
        <w:rPr>
          <w:rFonts w:ascii="Cambria" w:hAnsi="Cambria" w:cs="Times New Roman"/>
          <w:sz w:val="24"/>
          <w:szCs w:val="24"/>
        </w:rPr>
      </w:pPr>
      <w:r w:rsidRPr="00EA1BB2">
        <w:rPr>
          <w:rFonts w:ascii="Cambria" w:hAnsi="Cambria" w:cs="Times New Roman"/>
          <w:sz w:val="24"/>
          <w:szCs w:val="24"/>
        </w:rPr>
        <w:t>Conform recensământului efectuat în 2011, populația orașului Însurăței se ridică la 6.528 de locuitori, în scădere față de recensământul anterior din 2002, când se înregistraseră 7.336 de locuitori.</w:t>
      </w:r>
      <w:r w:rsidR="00370EF5" w:rsidRPr="00EA1BB2">
        <w:rPr>
          <w:rStyle w:val="FootnoteReference"/>
          <w:rFonts w:ascii="Cambria" w:hAnsi="Cambria" w:cs="Arial"/>
          <w:sz w:val="24"/>
          <w:szCs w:val="24"/>
          <w:shd w:val="clear" w:color="auto" w:fill="FFFFFF"/>
        </w:rPr>
        <w:footnoteReference w:id="7"/>
      </w:r>
    </w:p>
    <w:p w14:paraId="59C87F1B" w14:textId="77777777" w:rsidR="00B9693E" w:rsidRPr="00EA1BB2" w:rsidRDefault="00C83C04" w:rsidP="00B13BB4">
      <w:pPr>
        <w:spacing w:line="360" w:lineRule="auto"/>
        <w:ind w:firstLine="709"/>
        <w:jc w:val="both"/>
        <w:rPr>
          <w:rFonts w:ascii="Cambria" w:hAnsi="Cambria" w:cs="Arial"/>
          <w:sz w:val="24"/>
          <w:szCs w:val="24"/>
          <w:shd w:val="clear" w:color="auto" w:fill="FFFFFF"/>
        </w:rPr>
      </w:pPr>
      <w:r w:rsidRPr="00EA1BB2">
        <w:rPr>
          <w:rFonts w:ascii="Cambria" w:hAnsi="Cambria" w:cs="Arial"/>
          <w:b/>
          <w:sz w:val="24"/>
          <w:szCs w:val="24"/>
          <w:shd w:val="clear" w:color="auto" w:fill="FFFFFF"/>
        </w:rPr>
        <w:lastRenderedPageBreak/>
        <w:t>Orașul Făurei</w:t>
      </w:r>
      <w:r w:rsidRPr="00EA1BB2">
        <w:rPr>
          <w:rFonts w:ascii="Cambria" w:hAnsi="Cambria" w:cs="Arial"/>
          <w:b/>
          <w:sz w:val="24"/>
          <w:szCs w:val="24"/>
          <w:shd w:val="clear" w:color="auto" w:fill="FFFFFF"/>
          <w:vertAlign w:val="superscript"/>
        </w:rPr>
        <w:footnoteReference w:id="8"/>
      </w:r>
      <w:r w:rsidRPr="00EA1BB2">
        <w:rPr>
          <w:rFonts w:ascii="Cambria" w:hAnsi="Cambria" w:cs="Arial"/>
          <w:sz w:val="24"/>
          <w:szCs w:val="24"/>
          <w:shd w:val="clear" w:color="auto" w:fill="FFFFFF"/>
        </w:rPr>
        <w:t xml:space="preserve"> este situat în nord-estul Câmpiei Române, mai exact în Câmpia Brăilei, în apropierea râului Buzău, la 65 km sud-vest de municipiul reședință de județ Brăila. Orașul Făurei se situează la 46°5’00” latitudine nordică și 27°17'00'' longitudine estică. Teritoriul administrativ al orașului Făurei acoperă o suprafață de 1890 ha, din care 298 ha intravilan.</w:t>
      </w:r>
    </w:p>
    <w:p w14:paraId="40A14A70" w14:textId="2E809B07" w:rsidR="00B13BB4" w:rsidRPr="00EA1BB2" w:rsidRDefault="00B13BB4" w:rsidP="00B13BB4">
      <w:pPr>
        <w:spacing w:line="360" w:lineRule="auto"/>
        <w:ind w:firstLine="709"/>
        <w:jc w:val="both"/>
        <w:rPr>
          <w:rFonts w:ascii="Cambria" w:hAnsi="Cambria" w:cs="Arial"/>
          <w:sz w:val="24"/>
          <w:szCs w:val="24"/>
          <w:shd w:val="clear" w:color="auto" w:fill="FFFFFF"/>
        </w:rPr>
      </w:pPr>
      <w:r w:rsidRPr="00EA1BB2">
        <w:rPr>
          <w:rFonts w:ascii="Cambria" w:hAnsi="Cambria" w:cs="Arial"/>
          <w:sz w:val="24"/>
          <w:szCs w:val="24"/>
          <w:shd w:val="clear" w:color="auto" w:fill="FFFFFF"/>
        </w:rPr>
        <w:t>Conform</w:t>
      </w:r>
      <w:r w:rsidRPr="00EA1BB2">
        <w:rPr>
          <w:rFonts w:ascii="Cambria" w:hAnsi="Cambria"/>
          <w:sz w:val="24"/>
          <w:szCs w:val="24"/>
        </w:rPr>
        <w:t xml:space="preserve"> </w:t>
      </w:r>
      <w:hyperlink r:id="rId30" w:tooltip="Recensământul populației din 2011 (România)" w:history="1">
        <w:r w:rsidRPr="00EA1BB2">
          <w:rPr>
            <w:rFonts w:ascii="Cambria" w:hAnsi="Cambria"/>
            <w:sz w:val="24"/>
            <w:szCs w:val="24"/>
          </w:rPr>
          <w:t>recensământului efectuat în 2011</w:t>
        </w:r>
      </w:hyperlink>
      <w:r w:rsidRPr="00EA1BB2">
        <w:rPr>
          <w:rFonts w:ascii="Cambria" w:hAnsi="Cambria" w:cs="Arial"/>
          <w:sz w:val="24"/>
          <w:szCs w:val="24"/>
          <w:shd w:val="clear" w:color="auto" w:fill="FFFFFF"/>
        </w:rPr>
        <w:t>, populația orașului Făurei se ridică la 3.592 de locuitori, în scădere față de</w:t>
      </w:r>
      <w:r w:rsidRPr="00EA1BB2">
        <w:rPr>
          <w:rFonts w:ascii="Cambria" w:hAnsi="Cambria"/>
          <w:sz w:val="24"/>
          <w:szCs w:val="24"/>
        </w:rPr>
        <w:t xml:space="preserve"> </w:t>
      </w:r>
      <w:hyperlink r:id="rId31" w:tooltip="Recensământul populației din 2002 (România)" w:history="1">
        <w:r w:rsidRPr="00EA1BB2">
          <w:rPr>
            <w:rFonts w:ascii="Cambria" w:hAnsi="Cambria"/>
            <w:sz w:val="24"/>
            <w:szCs w:val="24"/>
          </w:rPr>
          <w:t>recensământul anterior din 2002</w:t>
        </w:r>
      </w:hyperlink>
      <w:r w:rsidRPr="00EA1BB2">
        <w:rPr>
          <w:rFonts w:ascii="Cambria" w:hAnsi="Cambria" w:cs="Arial"/>
          <w:sz w:val="24"/>
          <w:szCs w:val="24"/>
          <w:shd w:val="clear" w:color="auto" w:fill="FFFFFF"/>
        </w:rPr>
        <w:t>, când se în</w:t>
      </w:r>
      <w:r w:rsidR="000453FB" w:rsidRPr="00EA1BB2">
        <w:rPr>
          <w:rFonts w:ascii="Cambria" w:hAnsi="Cambria" w:cs="Arial"/>
          <w:sz w:val="24"/>
          <w:szCs w:val="24"/>
          <w:shd w:val="clear" w:color="auto" w:fill="FFFFFF"/>
        </w:rPr>
        <w:t xml:space="preserve">registraseră 4.097 de </w:t>
      </w:r>
      <w:r w:rsidRPr="00EA1BB2">
        <w:rPr>
          <w:rFonts w:ascii="Cambria" w:hAnsi="Cambria" w:cs="Arial"/>
          <w:sz w:val="24"/>
          <w:szCs w:val="24"/>
          <w:shd w:val="clear" w:color="auto" w:fill="FFFFFF"/>
        </w:rPr>
        <w:t>locuitori.</w:t>
      </w:r>
      <w:bookmarkStart w:id="19" w:name="_Toc464567472"/>
      <w:r w:rsidR="00370EF5" w:rsidRPr="00EA1BB2">
        <w:rPr>
          <w:rStyle w:val="FootnoteReference"/>
          <w:rFonts w:ascii="Cambria" w:hAnsi="Cambria" w:cs="Arial"/>
          <w:sz w:val="24"/>
          <w:szCs w:val="24"/>
          <w:shd w:val="clear" w:color="auto" w:fill="FFFFFF"/>
        </w:rPr>
        <w:footnoteReference w:id="9"/>
      </w:r>
    </w:p>
    <w:p w14:paraId="02781907" w14:textId="77777777" w:rsidR="00B13BB4" w:rsidRPr="00EA1BB2" w:rsidRDefault="00B13BB4" w:rsidP="00B13BB4">
      <w:pPr>
        <w:spacing w:line="360" w:lineRule="auto"/>
        <w:ind w:firstLine="709"/>
        <w:jc w:val="both"/>
        <w:rPr>
          <w:rFonts w:ascii="Cambria" w:hAnsi="Cambria" w:cs="Arial"/>
          <w:sz w:val="24"/>
          <w:szCs w:val="24"/>
          <w:shd w:val="clear" w:color="auto" w:fill="FFFFFF"/>
        </w:rPr>
      </w:pPr>
    </w:p>
    <w:p w14:paraId="4024FE26" w14:textId="4F701394" w:rsidR="00E77F36" w:rsidRPr="00EA1BB2" w:rsidRDefault="000A2FE7" w:rsidP="00B13BB4">
      <w:pPr>
        <w:spacing w:line="360" w:lineRule="auto"/>
        <w:ind w:firstLine="709"/>
        <w:jc w:val="both"/>
        <w:rPr>
          <w:rFonts w:ascii="Cambria" w:hAnsi="Cambria"/>
          <w:b/>
        </w:rPr>
      </w:pPr>
      <w:bookmarkStart w:id="20" w:name="_Toc526889760"/>
      <w:r w:rsidRPr="00EA1BB2">
        <w:rPr>
          <w:rFonts w:ascii="Cambria" w:hAnsi="Cambria"/>
          <w:b/>
          <w:sz w:val="24"/>
        </w:rPr>
        <w:t xml:space="preserve">Tabelul nr. </w:t>
      </w:r>
      <w:r w:rsidRPr="00EA1BB2">
        <w:rPr>
          <w:rFonts w:ascii="Cambria" w:hAnsi="Cambria"/>
          <w:b/>
          <w:sz w:val="24"/>
        </w:rPr>
        <w:fldChar w:fldCharType="begin"/>
      </w:r>
      <w:r w:rsidRPr="00EA1BB2">
        <w:rPr>
          <w:rFonts w:ascii="Cambria" w:hAnsi="Cambria"/>
          <w:b/>
          <w:sz w:val="24"/>
        </w:rPr>
        <w:instrText xml:space="preserve"> STYLEREF 1 \s </w:instrText>
      </w:r>
      <w:r w:rsidRPr="00EA1BB2">
        <w:rPr>
          <w:rFonts w:ascii="Cambria" w:hAnsi="Cambria"/>
          <w:b/>
          <w:sz w:val="24"/>
        </w:rPr>
        <w:fldChar w:fldCharType="separate"/>
      </w:r>
      <w:r w:rsidR="00567555">
        <w:rPr>
          <w:rFonts w:ascii="Cambria" w:hAnsi="Cambria"/>
          <w:b/>
          <w:noProof/>
          <w:sz w:val="24"/>
        </w:rPr>
        <w:t>2</w:t>
      </w:r>
      <w:r w:rsidRPr="00EA1BB2">
        <w:rPr>
          <w:rFonts w:ascii="Cambria" w:hAnsi="Cambria"/>
          <w:b/>
          <w:sz w:val="24"/>
        </w:rPr>
        <w:fldChar w:fldCharType="end"/>
      </w:r>
      <w:r w:rsidRPr="00EA1BB2">
        <w:rPr>
          <w:rFonts w:ascii="Cambria" w:hAnsi="Cambria"/>
          <w:b/>
          <w:sz w:val="24"/>
        </w:rPr>
        <w:noBreakHyphen/>
      </w:r>
      <w:r w:rsidRPr="00EA1BB2">
        <w:rPr>
          <w:rFonts w:ascii="Cambria" w:hAnsi="Cambria"/>
          <w:b/>
          <w:sz w:val="24"/>
        </w:rPr>
        <w:fldChar w:fldCharType="begin"/>
      </w:r>
      <w:r w:rsidRPr="00EA1BB2">
        <w:rPr>
          <w:rFonts w:ascii="Cambria" w:hAnsi="Cambria"/>
          <w:b/>
          <w:sz w:val="24"/>
        </w:rPr>
        <w:instrText xml:space="preserve"> SEQ Tabelul_nr. \* ARABIC \s 1 </w:instrText>
      </w:r>
      <w:r w:rsidRPr="00EA1BB2">
        <w:rPr>
          <w:rFonts w:ascii="Cambria" w:hAnsi="Cambria"/>
          <w:b/>
          <w:sz w:val="24"/>
        </w:rPr>
        <w:fldChar w:fldCharType="separate"/>
      </w:r>
      <w:r w:rsidR="00567555">
        <w:rPr>
          <w:rFonts w:ascii="Cambria" w:hAnsi="Cambria"/>
          <w:b/>
          <w:noProof/>
          <w:sz w:val="24"/>
        </w:rPr>
        <w:t>3</w:t>
      </w:r>
      <w:r w:rsidRPr="00EA1BB2">
        <w:rPr>
          <w:rFonts w:ascii="Cambria" w:hAnsi="Cambria"/>
          <w:b/>
          <w:sz w:val="24"/>
        </w:rPr>
        <w:fldChar w:fldCharType="end"/>
      </w:r>
      <w:r w:rsidRPr="00EA1BB2">
        <w:rPr>
          <w:rFonts w:ascii="Cambria" w:hAnsi="Cambria"/>
          <w:b/>
          <w:sz w:val="24"/>
        </w:rPr>
        <w:t xml:space="preserve"> – Rețeaua de localități (UAT) din județul Brăila și suprafețele ocupate de acestea</w:t>
      </w:r>
      <w:bookmarkEnd w:id="19"/>
      <w:bookmarkEnd w:id="20"/>
    </w:p>
    <w:tbl>
      <w:tblPr>
        <w:tblStyle w:val="TableGrid"/>
        <w:tblW w:w="9283" w:type="dxa"/>
        <w:jc w:val="center"/>
        <w:tblLayout w:type="fixed"/>
        <w:tblLook w:val="04A0" w:firstRow="1" w:lastRow="0" w:firstColumn="1" w:lastColumn="0" w:noHBand="0" w:noVBand="1"/>
      </w:tblPr>
      <w:tblGrid>
        <w:gridCol w:w="704"/>
        <w:gridCol w:w="2552"/>
        <w:gridCol w:w="1417"/>
        <w:gridCol w:w="783"/>
        <w:gridCol w:w="2409"/>
        <w:gridCol w:w="1418"/>
      </w:tblGrid>
      <w:tr w:rsidR="000453FB" w:rsidRPr="00EA1BB2" w14:paraId="79F01072" w14:textId="40696C92" w:rsidTr="000453FB">
        <w:trPr>
          <w:tblHeader/>
          <w:jc w:val="center"/>
        </w:trPr>
        <w:tc>
          <w:tcPr>
            <w:tcW w:w="704" w:type="dxa"/>
            <w:shd w:val="clear" w:color="auto" w:fill="BDD6EE" w:themeFill="accent1" w:themeFillTint="66"/>
            <w:vAlign w:val="center"/>
          </w:tcPr>
          <w:p w14:paraId="1B5CD26F" w14:textId="77777777" w:rsidR="000453FB" w:rsidRPr="00EA1BB2" w:rsidRDefault="000453FB" w:rsidP="000453FB">
            <w:pPr>
              <w:spacing w:line="276" w:lineRule="auto"/>
              <w:jc w:val="center"/>
              <w:rPr>
                <w:rFonts w:ascii="Cambria" w:hAnsi="Cambria" w:cs="Times New Roman"/>
                <w:sz w:val="24"/>
                <w:szCs w:val="24"/>
                <w:lang w:val="ro-RO"/>
              </w:rPr>
            </w:pPr>
            <w:r w:rsidRPr="00EA1BB2">
              <w:rPr>
                <w:rFonts w:ascii="Cambria" w:hAnsi="Cambria" w:cs="Times New Roman"/>
                <w:b/>
                <w:sz w:val="24"/>
                <w:szCs w:val="24"/>
                <w:lang w:val="ro-RO"/>
              </w:rPr>
              <w:t>Nr. crt.</w:t>
            </w:r>
          </w:p>
        </w:tc>
        <w:tc>
          <w:tcPr>
            <w:tcW w:w="2552" w:type="dxa"/>
            <w:shd w:val="clear" w:color="auto" w:fill="BDD6EE" w:themeFill="accent1" w:themeFillTint="66"/>
            <w:vAlign w:val="center"/>
          </w:tcPr>
          <w:p w14:paraId="5301B6A7" w14:textId="77777777" w:rsidR="000453FB" w:rsidRPr="00EA1BB2" w:rsidRDefault="000453FB" w:rsidP="000453FB">
            <w:pPr>
              <w:spacing w:line="276" w:lineRule="auto"/>
              <w:jc w:val="center"/>
              <w:rPr>
                <w:rFonts w:ascii="Cambria" w:hAnsi="Cambria" w:cs="Times New Roman"/>
                <w:sz w:val="24"/>
                <w:szCs w:val="24"/>
                <w:lang w:val="ro-RO"/>
              </w:rPr>
            </w:pPr>
            <w:r w:rsidRPr="00EA1BB2">
              <w:rPr>
                <w:rFonts w:ascii="Cambria" w:hAnsi="Cambria" w:cs="Times New Roman"/>
                <w:b/>
                <w:sz w:val="24"/>
                <w:szCs w:val="24"/>
                <w:lang w:val="ro-RO"/>
              </w:rPr>
              <w:t>Localitatea</w:t>
            </w:r>
          </w:p>
        </w:tc>
        <w:tc>
          <w:tcPr>
            <w:tcW w:w="1417" w:type="dxa"/>
            <w:tcBorders>
              <w:right w:val="double" w:sz="4" w:space="0" w:color="auto"/>
            </w:tcBorders>
            <w:shd w:val="clear" w:color="auto" w:fill="BDD6EE" w:themeFill="accent1" w:themeFillTint="66"/>
            <w:vAlign w:val="center"/>
          </w:tcPr>
          <w:p w14:paraId="03C905B4" w14:textId="77777777" w:rsidR="000453FB" w:rsidRPr="00EA1BB2" w:rsidRDefault="000453FB" w:rsidP="000453FB">
            <w:pPr>
              <w:spacing w:line="276" w:lineRule="auto"/>
              <w:jc w:val="center"/>
              <w:rPr>
                <w:rFonts w:ascii="Cambria" w:hAnsi="Cambria" w:cs="Times New Roman"/>
                <w:b/>
                <w:sz w:val="24"/>
                <w:szCs w:val="24"/>
                <w:lang w:val="ro-RO"/>
              </w:rPr>
            </w:pPr>
            <w:r w:rsidRPr="00EA1BB2">
              <w:rPr>
                <w:rFonts w:ascii="Cambria" w:hAnsi="Cambria" w:cs="Times New Roman"/>
                <w:b/>
                <w:sz w:val="24"/>
                <w:szCs w:val="24"/>
                <w:lang w:val="ro-RO"/>
              </w:rPr>
              <w:t>Suprafața</w:t>
            </w:r>
          </w:p>
          <w:p w14:paraId="51EC867B" w14:textId="77777777" w:rsidR="000453FB" w:rsidRPr="00EA1BB2" w:rsidRDefault="000453FB" w:rsidP="000453FB">
            <w:pPr>
              <w:spacing w:line="276" w:lineRule="auto"/>
              <w:jc w:val="center"/>
              <w:rPr>
                <w:rFonts w:ascii="Cambria" w:hAnsi="Cambria" w:cs="Times New Roman"/>
                <w:sz w:val="24"/>
                <w:szCs w:val="24"/>
                <w:lang w:val="ro-RO"/>
              </w:rPr>
            </w:pPr>
            <w:r w:rsidRPr="00EA1BB2">
              <w:rPr>
                <w:rFonts w:ascii="Cambria" w:hAnsi="Cambria" w:cs="Times New Roman"/>
                <w:b/>
                <w:sz w:val="24"/>
                <w:szCs w:val="24"/>
                <w:lang w:val="ro-RO"/>
              </w:rPr>
              <w:t>(ha)</w:t>
            </w:r>
          </w:p>
        </w:tc>
        <w:tc>
          <w:tcPr>
            <w:tcW w:w="783" w:type="dxa"/>
            <w:tcBorders>
              <w:left w:val="double" w:sz="4" w:space="0" w:color="auto"/>
            </w:tcBorders>
            <w:shd w:val="clear" w:color="auto" w:fill="BDD6EE" w:themeFill="accent1" w:themeFillTint="66"/>
            <w:vAlign w:val="center"/>
          </w:tcPr>
          <w:p w14:paraId="5C6E31C8" w14:textId="24333389" w:rsidR="000453FB" w:rsidRPr="00EA1BB2" w:rsidRDefault="000453FB" w:rsidP="000453FB">
            <w:pPr>
              <w:spacing w:line="276" w:lineRule="auto"/>
              <w:jc w:val="center"/>
              <w:rPr>
                <w:rFonts w:ascii="Cambria" w:hAnsi="Cambria" w:cs="Times New Roman"/>
                <w:b/>
                <w:sz w:val="24"/>
                <w:szCs w:val="24"/>
                <w:lang w:val="ro-RO"/>
              </w:rPr>
            </w:pPr>
            <w:r w:rsidRPr="00EA1BB2">
              <w:rPr>
                <w:rFonts w:ascii="Cambria" w:hAnsi="Cambria" w:cs="Times New Roman"/>
                <w:b/>
                <w:sz w:val="24"/>
                <w:szCs w:val="24"/>
                <w:lang w:val="ro-RO"/>
              </w:rPr>
              <w:t>Nr. crt.</w:t>
            </w:r>
          </w:p>
        </w:tc>
        <w:tc>
          <w:tcPr>
            <w:tcW w:w="2409" w:type="dxa"/>
            <w:shd w:val="clear" w:color="auto" w:fill="BDD6EE" w:themeFill="accent1" w:themeFillTint="66"/>
            <w:vAlign w:val="center"/>
          </w:tcPr>
          <w:p w14:paraId="75C221B4" w14:textId="5B4CDDD1" w:rsidR="000453FB" w:rsidRPr="00EA1BB2" w:rsidRDefault="000453FB" w:rsidP="000453FB">
            <w:pPr>
              <w:spacing w:line="276" w:lineRule="auto"/>
              <w:jc w:val="center"/>
              <w:rPr>
                <w:rFonts w:ascii="Cambria" w:hAnsi="Cambria" w:cs="Times New Roman"/>
                <w:b/>
                <w:sz w:val="24"/>
                <w:szCs w:val="24"/>
                <w:lang w:val="ro-RO"/>
              </w:rPr>
            </w:pPr>
            <w:r w:rsidRPr="00EA1BB2">
              <w:rPr>
                <w:rFonts w:ascii="Cambria" w:hAnsi="Cambria" w:cs="Times New Roman"/>
                <w:b/>
                <w:sz w:val="24"/>
                <w:szCs w:val="24"/>
                <w:lang w:val="ro-RO"/>
              </w:rPr>
              <w:t>Localitatea</w:t>
            </w:r>
          </w:p>
        </w:tc>
        <w:tc>
          <w:tcPr>
            <w:tcW w:w="1418" w:type="dxa"/>
            <w:shd w:val="clear" w:color="auto" w:fill="BDD6EE" w:themeFill="accent1" w:themeFillTint="66"/>
            <w:vAlign w:val="center"/>
          </w:tcPr>
          <w:p w14:paraId="2EE68CF8" w14:textId="77777777" w:rsidR="000453FB" w:rsidRPr="00EA1BB2" w:rsidRDefault="000453FB" w:rsidP="000453FB">
            <w:pPr>
              <w:spacing w:line="276" w:lineRule="auto"/>
              <w:jc w:val="center"/>
              <w:rPr>
                <w:rFonts w:ascii="Cambria" w:hAnsi="Cambria" w:cs="Times New Roman"/>
                <w:b/>
                <w:sz w:val="24"/>
                <w:szCs w:val="24"/>
                <w:lang w:val="ro-RO"/>
              </w:rPr>
            </w:pPr>
            <w:r w:rsidRPr="00EA1BB2">
              <w:rPr>
                <w:rFonts w:ascii="Cambria" w:hAnsi="Cambria" w:cs="Times New Roman"/>
                <w:b/>
                <w:sz w:val="24"/>
                <w:szCs w:val="24"/>
                <w:lang w:val="ro-RO"/>
              </w:rPr>
              <w:t>Suprafața</w:t>
            </w:r>
          </w:p>
          <w:p w14:paraId="27770365" w14:textId="5DBACB1A" w:rsidR="000453FB" w:rsidRPr="00EA1BB2" w:rsidRDefault="000453FB" w:rsidP="000453FB">
            <w:pPr>
              <w:spacing w:line="276" w:lineRule="auto"/>
              <w:jc w:val="center"/>
              <w:rPr>
                <w:rFonts w:ascii="Cambria" w:hAnsi="Cambria" w:cs="Times New Roman"/>
                <w:b/>
                <w:sz w:val="24"/>
                <w:szCs w:val="24"/>
                <w:lang w:val="ro-RO"/>
              </w:rPr>
            </w:pPr>
            <w:r w:rsidRPr="00EA1BB2">
              <w:rPr>
                <w:rFonts w:ascii="Cambria" w:hAnsi="Cambria" w:cs="Times New Roman"/>
                <w:b/>
                <w:sz w:val="24"/>
                <w:szCs w:val="24"/>
                <w:lang w:val="ro-RO"/>
              </w:rPr>
              <w:t>(ha)</w:t>
            </w:r>
          </w:p>
        </w:tc>
      </w:tr>
      <w:tr w:rsidR="00B363AD" w:rsidRPr="00EA1BB2" w14:paraId="528F91C5" w14:textId="1BC9F1D1" w:rsidTr="00A96DD2">
        <w:trPr>
          <w:jc w:val="center"/>
        </w:trPr>
        <w:tc>
          <w:tcPr>
            <w:tcW w:w="704" w:type="dxa"/>
            <w:vAlign w:val="center"/>
          </w:tcPr>
          <w:p w14:paraId="09B3D79C" w14:textId="790A7148" w:rsidR="00B363AD" w:rsidRPr="00EA1BB2" w:rsidRDefault="00B363AD" w:rsidP="00B363AD">
            <w:pPr>
              <w:spacing w:line="360" w:lineRule="auto"/>
              <w:contextualSpacing/>
              <w:jc w:val="center"/>
              <w:rPr>
                <w:rFonts w:ascii="Cambria" w:hAnsi="Cambria" w:cs="Times New Roman"/>
                <w:sz w:val="24"/>
                <w:szCs w:val="24"/>
                <w:lang w:val="ro-RO"/>
              </w:rPr>
            </w:pPr>
            <w:r w:rsidRPr="00EA1BB2">
              <w:rPr>
                <w:rFonts w:ascii="Cambria" w:hAnsi="Cambria" w:cs="Times New Roman"/>
                <w:sz w:val="24"/>
                <w:szCs w:val="24"/>
                <w:lang w:val="ro-RO"/>
              </w:rPr>
              <w:t>1</w:t>
            </w:r>
          </w:p>
        </w:tc>
        <w:tc>
          <w:tcPr>
            <w:tcW w:w="2552" w:type="dxa"/>
          </w:tcPr>
          <w:p w14:paraId="53632841" w14:textId="77777777" w:rsidR="00B363AD" w:rsidRPr="00EA1BB2" w:rsidRDefault="00B363AD" w:rsidP="00B363AD">
            <w:pPr>
              <w:spacing w:line="360" w:lineRule="auto"/>
              <w:jc w:val="both"/>
              <w:rPr>
                <w:rFonts w:ascii="Cambria" w:hAnsi="Cambria"/>
                <w:sz w:val="24"/>
                <w:szCs w:val="24"/>
                <w:lang w:val="ro-RO"/>
              </w:rPr>
            </w:pPr>
            <w:r w:rsidRPr="00EA1BB2">
              <w:rPr>
                <w:rFonts w:ascii="Cambria" w:hAnsi="Cambria"/>
                <w:sz w:val="24"/>
                <w:szCs w:val="24"/>
                <w:lang w:val="ro-RO"/>
              </w:rPr>
              <w:t>Municipiul Brăila</w:t>
            </w:r>
          </w:p>
        </w:tc>
        <w:tc>
          <w:tcPr>
            <w:tcW w:w="1417" w:type="dxa"/>
            <w:tcBorders>
              <w:right w:val="double" w:sz="4" w:space="0" w:color="auto"/>
            </w:tcBorders>
            <w:vAlign w:val="center"/>
          </w:tcPr>
          <w:p w14:paraId="1E0C2260" w14:textId="77777777" w:rsidR="00B363AD" w:rsidRPr="00EA1BB2" w:rsidRDefault="00B363AD" w:rsidP="00B363AD">
            <w:pPr>
              <w:spacing w:line="360" w:lineRule="auto"/>
              <w:jc w:val="center"/>
              <w:rPr>
                <w:rFonts w:ascii="Cambria" w:hAnsi="Cambria"/>
                <w:sz w:val="24"/>
                <w:szCs w:val="24"/>
                <w:lang w:val="ro-RO"/>
              </w:rPr>
            </w:pPr>
            <w:r w:rsidRPr="00EA1BB2">
              <w:rPr>
                <w:rFonts w:ascii="Cambria" w:hAnsi="Cambria"/>
                <w:sz w:val="24"/>
                <w:szCs w:val="24"/>
                <w:lang w:val="ro-RO"/>
              </w:rPr>
              <w:t>4366</w:t>
            </w:r>
          </w:p>
        </w:tc>
        <w:tc>
          <w:tcPr>
            <w:tcW w:w="783" w:type="dxa"/>
            <w:vAlign w:val="center"/>
          </w:tcPr>
          <w:p w14:paraId="50C51A39" w14:textId="501B6BB7" w:rsidR="00B363AD" w:rsidRPr="00EA1BB2" w:rsidRDefault="00B363AD" w:rsidP="00B363AD">
            <w:pPr>
              <w:spacing w:line="360" w:lineRule="auto"/>
              <w:jc w:val="center"/>
              <w:rPr>
                <w:rFonts w:ascii="Cambria" w:hAnsi="Cambria"/>
                <w:sz w:val="24"/>
                <w:szCs w:val="24"/>
                <w:lang w:val="ro-RO"/>
              </w:rPr>
            </w:pPr>
            <w:r w:rsidRPr="00EA1BB2">
              <w:rPr>
                <w:rFonts w:ascii="Cambria" w:hAnsi="Cambria" w:cs="Times New Roman"/>
                <w:sz w:val="24"/>
                <w:szCs w:val="24"/>
                <w:lang w:val="ro-RO"/>
              </w:rPr>
              <w:t>18</w:t>
            </w:r>
          </w:p>
        </w:tc>
        <w:tc>
          <w:tcPr>
            <w:tcW w:w="2409" w:type="dxa"/>
          </w:tcPr>
          <w:p w14:paraId="4B6599A0" w14:textId="6A9378BF" w:rsidR="00B363AD" w:rsidRPr="00EA1BB2" w:rsidRDefault="00B363AD" w:rsidP="00B363AD">
            <w:pPr>
              <w:spacing w:line="360" w:lineRule="auto"/>
              <w:rPr>
                <w:rFonts w:ascii="Cambria" w:hAnsi="Cambria"/>
                <w:sz w:val="24"/>
                <w:szCs w:val="24"/>
                <w:lang w:val="ro-RO"/>
              </w:rPr>
            </w:pPr>
            <w:r w:rsidRPr="00EA1BB2">
              <w:rPr>
                <w:rFonts w:ascii="Cambria" w:hAnsi="Cambria"/>
                <w:sz w:val="24"/>
                <w:szCs w:val="24"/>
                <w:lang w:val="ro-RO"/>
              </w:rPr>
              <w:t>Jirlău</w:t>
            </w:r>
          </w:p>
        </w:tc>
        <w:tc>
          <w:tcPr>
            <w:tcW w:w="1418" w:type="dxa"/>
            <w:tcBorders>
              <w:right w:val="double" w:sz="4" w:space="0" w:color="auto"/>
            </w:tcBorders>
            <w:vAlign w:val="center"/>
          </w:tcPr>
          <w:p w14:paraId="2D4E9447" w14:textId="379A42F1" w:rsidR="00B363AD" w:rsidRPr="00EA1BB2" w:rsidRDefault="00B363AD" w:rsidP="00B363AD">
            <w:pPr>
              <w:spacing w:line="360" w:lineRule="auto"/>
              <w:jc w:val="center"/>
              <w:rPr>
                <w:rFonts w:ascii="Cambria" w:hAnsi="Cambria"/>
                <w:sz w:val="24"/>
                <w:szCs w:val="24"/>
                <w:lang w:val="ro-RO"/>
              </w:rPr>
            </w:pPr>
            <w:r w:rsidRPr="00EA1BB2">
              <w:rPr>
                <w:rFonts w:ascii="Cambria" w:hAnsi="Cambria"/>
                <w:sz w:val="24"/>
                <w:szCs w:val="24"/>
                <w:lang w:val="ro-RO"/>
              </w:rPr>
              <w:t>5223</w:t>
            </w:r>
          </w:p>
        </w:tc>
      </w:tr>
      <w:tr w:rsidR="00B363AD" w:rsidRPr="00EA1BB2" w14:paraId="721A74BE" w14:textId="3A9B27DB" w:rsidTr="00A96DD2">
        <w:trPr>
          <w:jc w:val="center"/>
        </w:trPr>
        <w:tc>
          <w:tcPr>
            <w:tcW w:w="704" w:type="dxa"/>
            <w:vAlign w:val="center"/>
          </w:tcPr>
          <w:p w14:paraId="68D804B0" w14:textId="7EE3BE41" w:rsidR="00B363AD" w:rsidRPr="00EA1BB2" w:rsidRDefault="00B363AD" w:rsidP="00B363AD">
            <w:pPr>
              <w:spacing w:line="360" w:lineRule="auto"/>
              <w:contextualSpacing/>
              <w:jc w:val="center"/>
              <w:rPr>
                <w:rFonts w:ascii="Cambria" w:hAnsi="Cambria" w:cs="Times New Roman"/>
                <w:sz w:val="24"/>
                <w:szCs w:val="24"/>
                <w:lang w:val="ro-RO"/>
              </w:rPr>
            </w:pPr>
            <w:r w:rsidRPr="00EA1BB2">
              <w:rPr>
                <w:rFonts w:ascii="Cambria" w:hAnsi="Cambria" w:cs="Times New Roman"/>
                <w:sz w:val="24"/>
                <w:szCs w:val="24"/>
                <w:lang w:val="ro-RO"/>
              </w:rPr>
              <w:t>2</w:t>
            </w:r>
          </w:p>
        </w:tc>
        <w:tc>
          <w:tcPr>
            <w:tcW w:w="2552" w:type="dxa"/>
          </w:tcPr>
          <w:p w14:paraId="4238B0C6" w14:textId="77777777" w:rsidR="00B363AD" w:rsidRPr="00EA1BB2" w:rsidRDefault="00B363AD" w:rsidP="00B363AD">
            <w:pPr>
              <w:spacing w:line="360" w:lineRule="auto"/>
              <w:jc w:val="both"/>
              <w:rPr>
                <w:rFonts w:ascii="Cambria" w:hAnsi="Cambria" w:cs="Times New Roman"/>
                <w:sz w:val="24"/>
                <w:szCs w:val="24"/>
                <w:lang w:val="ro-RO"/>
              </w:rPr>
            </w:pPr>
            <w:r w:rsidRPr="00EA1BB2">
              <w:rPr>
                <w:rFonts w:ascii="Cambria" w:hAnsi="Cambria"/>
                <w:sz w:val="24"/>
                <w:szCs w:val="24"/>
                <w:lang w:val="ro-RO"/>
              </w:rPr>
              <w:t>Oraș Făurei</w:t>
            </w:r>
          </w:p>
        </w:tc>
        <w:tc>
          <w:tcPr>
            <w:tcW w:w="1417" w:type="dxa"/>
            <w:tcBorders>
              <w:right w:val="double" w:sz="4" w:space="0" w:color="auto"/>
            </w:tcBorders>
            <w:vAlign w:val="center"/>
          </w:tcPr>
          <w:p w14:paraId="13E277CB" w14:textId="77777777" w:rsidR="00B363AD" w:rsidRPr="00EA1BB2" w:rsidRDefault="00B363AD" w:rsidP="00B363AD">
            <w:pPr>
              <w:spacing w:line="360" w:lineRule="auto"/>
              <w:jc w:val="center"/>
              <w:rPr>
                <w:rFonts w:ascii="Cambria" w:hAnsi="Cambria" w:cs="Times New Roman"/>
                <w:sz w:val="24"/>
                <w:szCs w:val="24"/>
                <w:lang w:val="ro-RO"/>
              </w:rPr>
            </w:pPr>
            <w:r w:rsidRPr="00EA1BB2">
              <w:rPr>
                <w:rFonts w:ascii="Cambria" w:hAnsi="Cambria"/>
                <w:sz w:val="24"/>
                <w:szCs w:val="24"/>
                <w:lang w:val="ro-RO"/>
              </w:rPr>
              <w:t>1890</w:t>
            </w:r>
          </w:p>
        </w:tc>
        <w:tc>
          <w:tcPr>
            <w:tcW w:w="783" w:type="dxa"/>
            <w:vAlign w:val="center"/>
          </w:tcPr>
          <w:p w14:paraId="72C6D522" w14:textId="05AFE5D0" w:rsidR="00B363AD" w:rsidRPr="00EA1BB2" w:rsidRDefault="00B363AD" w:rsidP="00B363AD">
            <w:pPr>
              <w:spacing w:line="360" w:lineRule="auto"/>
              <w:jc w:val="center"/>
              <w:rPr>
                <w:rFonts w:ascii="Cambria" w:hAnsi="Cambria"/>
                <w:sz w:val="24"/>
                <w:szCs w:val="24"/>
                <w:lang w:val="ro-RO"/>
              </w:rPr>
            </w:pPr>
            <w:r w:rsidRPr="00EA1BB2">
              <w:rPr>
                <w:rFonts w:ascii="Cambria" w:hAnsi="Cambria" w:cs="Times New Roman"/>
                <w:sz w:val="24"/>
                <w:szCs w:val="24"/>
                <w:lang w:val="ro-RO"/>
              </w:rPr>
              <w:t>19</w:t>
            </w:r>
          </w:p>
        </w:tc>
        <w:tc>
          <w:tcPr>
            <w:tcW w:w="2409" w:type="dxa"/>
          </w:tcPr>
          <w:p w14:paraId="4A62401E" w14:textId="28A65F70" w:rsidR="00B363AD" w:rsidRPr="00EA1BB2" w:rsidRDefault="00B363AD" w:rsidP="00B363AD">
            <w:pPr>
              <w:spacing w:line="360" w:lineRule="auto"/>
              <w:rPr>
                <w:rFonts w:ascii="Cambria" w:hAnsi="Cambria"/>
                <w:sz w:val="24"/>
                <w:szCs w:val="24"/>
                <w:lang w:val="ro-RO"/>
              </w:rPr>
            </w:pPr>
            <w:r w:rsidRPr="00EA1BB2">
              <w:rPr>
                <w:rFonts w:ascii="Cambria" w:hAnsi="Cambria"/>
                <w:sz w:val="24"/>
                <w:szCs w:val="24"/>
                <w:lang w:val="ro-RO"/>
              </w:rPr>
              <w:t>Mărașu</w:t>
            </w:r>
          </w:p>
        </w:tc>
        <w:tc>
          <w:tcPr>
            <w:tcW w:w="1418" w:type="dxa"/>
            <w:tcBorders>
              <w:right w:val="double" w:sz="4" w:space="0" w:color="auto"/>
            </w:tcBorders>
            <w:vAlign w:val="center"/>
          </w:tcPr>
          <w:p w14:paraId="6D54E202" w14:textId="7ACE5C8C" w:rsidR="00B363AD" w:rsidRPr="00EA1BB2" w:rsidRDefault="00B363AD" w:rsidP="00B363AD">
            <w:pPr>
              <w:spacing w:line="360" w:lineRule="auto"/>
              <w:jc w:val="center"/>
              <w:rPr>
                <w:rFonts w:ascii="Cambria" w:hAnsi="Cambria"/>
                <w:sz w:val="24"/>
                <w:szCs w:val="24"/>
                <w:lang w:val="ro-RO"/>
              </w:rPr>
            </w:pPr>
            <w:r w:rsidRPr="00EA1BB2">
              <w:rPr>
                <w:rFonts w:ascii="Cambria" w:hAnsi="Cambria"/>
                <w:sz w:val="24"/>
                <w:szCs w:val="24"/>
                <w:lang w:val="ro-RO"/>
              </w:rPr>
              <w:t>37152</w:t>
            </w:r>
          </w:p>
        </w:tc>
      </w:tr>
      <w:tr w:rsidR="00B363AD" w:rsidRPr="00EA1BB2" w14:paraId="483196BA" w14:textId="6C6F64AE" w:rsidTr="00370EF5">
        <w:trPr>
          <w:jc w:val="center"/>
        </w:trPr>
        <w:tc>
          <w:tcPr>
            <w:tcW w:w="704" w:type="dxa"/>
            <w:vAlign w:val="center"/>
          </w:tcPr>
          <w:p w14:paraId="7BFDA098" w14:textId="5466B83C" w:rsidR="00B363AD" w:rsidRPr="00EA1BB2" w:rsidRDefault="00B363AD" w:rsidP="00B363AD">
            <w:pPr>
              <w:spacing w:line="360" w:lineRule="auto"/>
              <w:contextualSpacing/>
              <w:jc w:val="center"/>
              <w:rPr>
                <w:rFonts w:ascii="Cambria" w:hAnsi="Cambria" w:cs="Times New Roman"/>
                <w:sz w:val="24"/>
                <w:szCs w:val="24"/>
                <w:lang w:val="ro-RO"/>
              </w:rPr>
            </w:pPr>
            <w:r w:rsidRPr="00EA1BB2">
              <w:rPr>
                <w:rFonts w:ascii="Cambria" w:hAnsi="Cambria" w:cs="Times New Roman"/>
                <w:sz w:val="24"/>
                <w:szCs w:val="24"/>
                <w:lang w:val="ro-RO"/>
              </w:rPr>
              <w:t>3</w:t>
            </w:r>
          </w:p>
        </w:tc>
        <w:tc>
          <w:tcPr>
            <w:tcW w:w="2552" w:type="dxa"/>
          </w:tcPr>
          <w:p w14:paraId="4C06E5EC" w14:textId="77777777" w:rsidR="00B363AD" w:rsidRPr="00EA1BB2" w:rsidRDefault="00B363AD" w:rsidP="00B363AD">
            <w:pPr>
              <w:spacing w:line="360" w:lineRule="auto"/>
              <w:jc w:val="both"/>
              <w:rPr>
                <w:rFonts w:ascii="Cambria" w:hAnsi="Cambria" w:cs="Times New Roman"/>
                <w:sz w:val="24"/>
                <w:szCs w:val="24"/>
                <w:lang w:val="ro-RO"/>
              </w:rPr>
            </w:pPr>
            <w:r w:rsidRPr="00EA1BB2">
              <w:rPr>
                <w:rFonts w:ascii="Cambria" w:hAnsi="Cambria"/>
                <w:sz w:val="24"/>
                <w:szCs w:val="24"/>
                <w:lang w:val="ro-RO"/>
              </w:rPr>
              <w:t>Oraș Ianca</w:t>
            </w:r>
          </w:p>
        </w:tc>
        <w:tc>
          <w:tcPr>
            <w:tcW w:w="1417" w:type="dxa"/>
            <w:tcBorders>
              <w:right w:val="double" w:sz="4" w:space="0" w:color="auto"/>
            </w:tcBorders>
            <w:vAlign w:val="center"/>
          </w:tcPr>
          <w:p w14:paraId="3FAF6E91" w14:textId="77777777" w:rsidR="00B363AD" w:rsidRPr="00EA1BB2" w:rsidRDefault="00B363AD" w:rsidP="00B363AD">
            <w:pPr>
              <w:spacing w:line="360" w:lineRule="auto"/>
              <w:jc w:val="center"/>
              <w:rPr>
                <w:rFonts w:ascii="Cambria" w:hAnsi="Cambria" w:cs="Times New Roman"/>
                <w:sz w:val="24"/>
                <w:szCs w:val="24"/>
                <w:lang w:val="ro-RO"/>
              </w:rPr>
            </w:pPr>
            <w:r w:rsidRPr="00EA1BB2">
              <w:rPr>
                <w:rFonts w:ascii="Cambria" w:hAnsi="Cambria"/>
                <w:sz w:val="24"/>
                <w:szCs w:val="24"/>
                <w:lang w:val="ro-RO"/>
              </w:rPr>
              <w:t>18591</w:t>
            </w:r>
          </w:p>
        </w:tc>
        <w:tc>
          <w:tcPr>
            <w:tcW w:w="783" w:type="dxa"/>
            <w:tcBorders>
              <w:left w:val="double" w:sz="4" w:space="0" w:color="auto"/>
            </w:tcBorders>
          </w:tcPr>
          <w:p w14:paraId="73781BC8" w14:textId="3014DF21" w:rsidR="00B363AD" w:rsidRPr="00EA1BB2" w:rsidRDefault="00B363AD" w:rsidP="00B363AD">
            <w:pPr>
              <w:spacing w:line="360" w:lineRule="auto"/>
              <w:jc w:val="center"/>
              <w:rPr>
                <w:rFonts w:ascii="Cambria" w:hAnsi="Cambria"/>
                <w:sz w:val="24"/>
                <w:szCs w:val="24"/>
                <w:lang w:val="ro-RO"/>
              </w:rPr>
            </w:pPr>
            <w:r w:rsidRPr="00EA1BB2">
              <w:rPr>
                <w:rFonts w:ascii="Cambria" w:hAnsi="Cambria"/>
                <w:sz w:val="24"/>
                <w:szCs w:val="24"/>
                <w:lang w:val="ro-RO"/>
              </w:rPr>
              <w:t>20</w:t>
            </w:r>
          </w:p>
        </w:tc>
        <w:tc>
          <w:tcPr>
            <w:tcW w:w="2409" w:type="dxa"/>
            <w:vAlign w:val="center"/>
          </w:tcPr>
          <w:p w14:paraId="3551AC2B" w14:textId="1CB4C4BF" w:rsidR="00B363AD" w:rsidRPr="00EA1BB2" w:rsidRDefault="00B363AD" w:rsidP="00B363AD">
            <w:pPr>
              <w:spacing w:line="360" w:lineRule="auto"/>
              <w:rPr>
                <w:rFonts w:ascii="Cambria" w:hAnsi="Cambria"/>
                <w:sz w:val="24"/>
                <w:szCs w:val="24"/>
                <w:lang w:val="ro-RO"/>
              </w:rPr>
            </w:pPr>
            <w:r w:rsidRPr="00EA1BB2">
              <w:rPr>
                <w:rFonts w:ascii="Cambria" w:hAnsi="Cambria"/>
                <w:sz w:val="24"/>
                <w:szCs w:val="24"/>
                <w:lang w:val="ro-RO"/>
              </w:rPr>
              <w:t>Măxineni</w:t>
            </w:r>
          </w:p>
        </w:tc>
        <w:tc>
          <w:tcPr>
            <w:tcW w:w="1418" w:type="dxa"/>
            <w:vAlign w:val="center"/>
          </w:tcPr>
          <w:p w14:paraId="08764E17" w14:textId="55D0A006" w:rsidR="00B363AD" w:rsidRPr="00EA1BB2" w:rsidRDefault="00B363AD" w:rsidP="00B363AD">
            <w:pPr>
              <w:spacing w:line="360" w:lineRule="auto"/>
              <w:jc w:val="center"/>
              <w:rPr>
                <w:rFonts w:ascii="Cambria" w:hAnsi="Cambria"/>
                <w:sz w:val="24"/>
                <w:szCs w:val="24"/>
                <w:lang w:val="ro-RO"/>
              </w:rPr>
            </w:pPr>
            <w:r w:rsidRPr="00EA1BB2">
              <w:rPr>
                <w:rFonts w:ascii="Cambria" w:hAnsi="Cambria"/>
                <w:sz w:val="24"/>
                <w:szCs w:val="24"/>
                <w:lang w:val="ro-RO"/>
              </w:rPr>
              <w:t>13418</w:t>
            </w:r>
          </w:p>
        </w:tc>
      </w:tr>
      <w:tr w:rsidR="00B363AD" w:rsidRPr="00EA1BB2" w14:paraId="2A6AA19D" w14:textId="3D9E8AF8" w:rsidTr="00370EF5">
        <w:trPr>
          <w:jc w:val="center"/>
        </w:trPr>
        <w:tc>
          <w:tcPr>
            <w:tcW w:w="704" w:type="dxa"/>
            <w:vAlign w:val="center"/>
          </w:tcPr>
          <w:p w14:paraId="3170468C" w14:textId="30AF904E" w:rsidR="00B363AD" w:rsidRPr="00EA1BB2" w:rsidRDefault="00B363AD" w:rsidP="00B363AD">
            <w:pPr>
              <w:spacing w:line="360" w:lineRule="auto"/>
              <w:contextualSpacing/>
              <w:jc w:val="center"/>
              <w:rPr>
                <w:rFonts w:ascii="Cambria" w:hAnsi="Cambria" w:cs="Times New Roman"/>
                <w:sz w:val="24"/>
                <w:szCs w:val="24"/>
                <w:lang w:val="ro-RO"/>
              </w:rPr>
            </w:pPr>
            <w:r w:rsidRPr="00EA1BB2">
              <w:rPr>
                <w:rFonts w:ascii="Cambria" w:hAnsi="Cambria" w:cs="Times New Roman"/>
                <w:sz w:val="24"/>
                <w:szCs w:val="24"/>
                <w:lang w:val="ro-RO"/>
              </w:rPr>
              <w:t>4</w:t>
            </w:r>
          </w:p>
        </w:tc>
        <w:tc>
          <w:tcPr>
            <w:tcW w:w="2552" w:type="dxa"/>
          </w:tcPr>
          <w:p w14:paraId="3B4F2EB1" w14:textId="77777777" w:rsidR="00B363AD" w:rsidRPr="00EA1BB2" w:rsidRDefault="00B363AD" w:rsidP="00B363AD">
            <w:pPr>
              <w:spacing w:line="360" w:lineRule="auto"/>
              <w:jc w:val="both"/>
              <w:rPr>
                <w:rFonts w:ascii="Cambria" w:hAnsi="Cambria" w:cs="Times New Roman"/>
                <w:sz w:val="24"/>
                <w:szCs w:val="24"/>
                <w:lang w:val="ro-RO"/>
              </w:rPr>
            </w:pPr>
            <w:r w:rsidRPr="00EA1BB2">
              <w:rPr>
                <w:rFonts w:ascii="Cambria" w:hAnsi="Cambria"/>
                <w:sz w:val="24"/>
                <w:szCs w:val="24"/>
                <w:lang w:val="ro-RO"/>
              </w:rPr>
              <w:t>Oraș Însurăței</w:t>
            </w:r>
          </w:p>
        </w:tc>
        <w:tc>
          <w:tcPr>
            <w:tcW w:w="1417" w:type="dxa"/>
            <w:tcBorders>
              <w:right w:val="double" w:sz="4" w:space="0" w:color="auto"/>
            </w:tcBorders>
            <w:vAlign w:val="center"/>
          </w:tcPr>
          <w:p w14:paraId="67BF213A" w14:textId="77777777" w:rsidR="00B363AD" w:rsidRPr="00EA1BB2" w:rsidRDefault="00B363AD" w:rsidP="00B363AD">
            <w:pPr>
              <w:spacing w:line="360" w:lineRule="auto"/>
              <w:jc w:val="center"/>
              <w:rPr>
                <w:rFonts w:ascii="Cambria" w:hAnsi="Cambria" w:cs="Times New Roman"/>
                <w:sz w:val="24"/>
                <w:szCs w:val="24"/>
                <w:lang w:val="ro-RO"/>
              </w:rPr>
            </w:pPr>
            <w:r w:rsidRPr="00EA1BB2">
              <w:rPr>
                <w:rFonts w:ascii="Cambria" w:hAnsi="Cambria"/>
                <w:sz w:val="24"/>
                <w:szCs w:val="24"/>
                <w:lang w:val="ro-RO"/>
              </w:rPr>
              <w:t>21270</w:t>
            </w:r>
          </w:p>
        </w:tc>
        <w:tc>
          <w:tcPr>
            <w:tcW w:w="783" w:type="dxa"/>
            <w:tcBorders>
              <w:left w:val="double" w:sz="4" w:space="0" w:color="auto"/>
            </w:tcBorders>
          </w:tcPr>
          <w:p w14:paraId="510D6053" w14:textId="448A82AC" w:rsidR="00B363AD" w:rsidRPr="00EA1BB2" w:rsidRDefault="00B363AD" w:rsidP="00B363AD">
            <w:pPr>
              <w:spacing w:line="360" w:lineRule="auto"/>
              <w:jc w:val="center"/>
              <w:rPr>
                <w:rFonts w:ascii="Cambria" w:hAnsi="Cambria"/>
                <w:sz w:val="24"/>
                <w:szCs w:val="24"/>
                <w:lang w:val="ro-RO"/>
              </w:rPr>
            </w:pPr>
            <w:r w:rsidRPr="00EA1BB2">
              <w:rPr>
                <w:rFonts w:ascii="Cambria" w:hAnsi="Cambria"/>
                <w:sz w:val="24"/>
                <w:szCs w:val="24"/>
                <w:lang w:val="ro-RO"/>
              </w:rPr>
              <w:t>21</w:t>
            </w:r>
          </w:p>
        </w:tc>
        <w:tc>
          <w:tcPr>
            <w:tcW w:w="2409" w:type="dxa"/>
            <w:vAlign w:val="center"/>
          </w:tcPr>
          <w:p w14:paraId="48D808A3" w14:textId="4530ED19" w:rsidR="00B363AD" w:rsidRPr="00EA1BB2" w:rsidRDefault="00B363AD" w:rsidP="00B363AD">
            <w:pPr>
              <w:spacing w:line="360" w:lineRule="auto"/>
              <w:rPr>
                <w:rFonts w:ascii="Cambria" w:hAnsi="Cambria"/>
                <w:sz w:val="24"/>
                <w:szCs w:val="24"/>
                <w:lang w:val="ro-RO"/>
              </w:rPr>
            </w:pPr>
            <w:r w:rsidRPr="00EA1BB2">
              <w:rPr>
                <w:rFonts w:ascii="Cambria" w:hAnsi="Cambria"/>
                <w:sz w:val="24"/>
                <w:szCs w:val="24"/>
                <w:lang w:val="ro-RO"/>
              </w:rPr>
              <w:t>Mircea Vodă</w:t>
            </w:r>
          </w:p>
        </w:tc>
        <w:tc>
          <w:tcPr>
            <w:tcW w:w="1418" w:type="dxa"/>
            <w:vAlign w:val="center"/>
          </w:tcPr>
          <w:p w14:paraId="064611EE" w14:textId="2E7AA1C4" w:rsidR="00B363AD" w:rsidRPr="00EA1BB2" w:rsidRDefault="00B363AD" w:rsidP="00B363AD">
            <w:pPr>
              <w:spacing w:line="360" w:lineRule="auto"/>
              <w:jc w:val="center"/>
              <w:rPr>
                <w:rFonts w:ascii="Cambria" w:hAnsi="Cambria"/>
                <w:sz w:val="24"/>
                <w:szCs w:val="24"/>
                <w:lang w:val="ro-RO"/>
              </w:rPr>
            </w:pPr>
            <w:r w:rsidRPr="00EA1BB2">
              <w:rPr>
                <w:rFonts w:ascii="Cambria" w:hAnsi="Cambria"/>
                <w:sz w:val="24"/>
                <w:szCs w:val="24"/>
                <w:lang w:val="ro-RO"/>
              </w:rPr>
              <w:t>10641</w:t>
            </w:r>
          </w:p>
        </w:tc>
      </w:tr>
      <w:tr w:rsidR="00B363AD" w:rsidRPr="00EA1BB2" w14:paraId="491C9290" w14:textId="492A9607" w:rsidTr="00370EF5">
        <w:trPr>
          <w:jc w:val="center"/>
        </w:trPr>
        <w:tc>
          <w:tcPr>
            <w:tcW w:w="704" w:type="dxa"/>
            <w:vAlign w:val="center"/>
          </w:tcPr>
          <w:p w14:paraId="57C6BAF5" w14:textId="4AA45404" w:rsidR="00B363AD" w:rsidRPr="00EA1BB2" w:rsidRDefault="00B363AD" w:rsidP="00B363AD">
            <w:pPr>
              <w:spacing w:line="360" w:lineRule="auto"/>
              <w:contextualSpacing/>
              <w:jc w:val="center"/>
              <w:rPr>
                <w:rFonts w:ascii="Cambria" w:hAnsi="Cambria" w:cs="Times New Roman"/>
                <w:sz w:val="24"/>
                <w:szCs w:val="24"/>
                <w:lang w:val="ro-RO"/>
              </w:rPr>
            </w:pPr>
            <w:r w:rsidRPr="00EA1BB2">
              <w:rPr>
                <w:rFonts w:ascii="Cambria" w:hAnsi="Cambria" w:cs="Times New Roman"/>
                <w:sz w:val="24"/>
                <w:szCs w:val="24"/>
                <w:lang w:val="ro-RO"/>
              </w:rPr>
              <w:t>5</w:t>
            </w:r>
          </w:p>
        </w:tc>
        <w:tc>
          <w:tcPr>
            <w:tcW w:w="2552" w:type="dxa"/>
          </w:tcPr>
          <w:p w14:paraId="7DFF284F" w14:textId="77777777" w:rsidR="00B363AD" w:rsidRPr="00EA1BB2" w:rsidRDefault="00B363AD" w:rsidP="00B363AD">
            <w:pPr>
              <w:spacing w:line="360" w:lineRule="auto"/>
              <w:jc w:val="both"/>
              <w:rPr>
                <w:rFonts w:ascii="Cambria" w:hAnsi="Cambria" w:cs="Times New Roman"/>
                <w:sz w:val="24"/>
                <w:szCs w:val="24"/>
                <w:lang w:val="ro-RO"/>
              </w:rPr>
            </w:pPr>
            <w:r w:rsidRPr="00EA1BB2">
              <w:rPr>
                <w:rFonts w:ascii="Cambria" w:hAnsi="Cambria"/>
                <w:sz w:val="24"/>
                <w:szCs w:val="24"/>
                <w:lang w:val="ro-RO"/>
              </w:rPr>
              <w:t>Bărăganul</w:t>
            </w:r>
          </w:p>
        </w:tc>
        <w:tc>
          <w:tcPr>
            <w:tcW w:w="1417" w:type="dxa"/>
            <w:tcBorders>
              <w:right w:val="double" w:sz="4" w:space="0" w:color="auto"/>
            </w:tcBorders>
            <w:vAlign w:val="center"/>
          </w:tcPr>
          <w:p w14:paraId="40BA60B3" w14:textId="77777777" w:rsidR="00B363AD" w:rsidRPr="00EA1BB2" w:rsidRDefault="00B363AD" w:rsidP="00B363AD">
            <w:pPr>
              <w:spacing w:line="360" w:lineRule="auto"/>
              <w:jc w:val="center"/>
              <w:rPr>
                <w:rFonts w:ascii="Cambria" w:hAnsi="Cambria" w:cs="Times New Roman"/>
                <w:sz w:val="24"/>
                <w:szCs w:val="24"/>
                <w:lang w:val="ro-RO"/>
              </w:rPr>
            </w:pPr>
            <w:r w:rsidRPr="00EA1BB2">
              <w:rPr>
                <w:rFonts w:ascii="Cambria" w:hAnsi="Cambria"/>
                <w:sz w:val="24"/>
                <w:szCs w:val="24"/>
                <w:lang w:val="ro-RO"/>
              </w:rPr>
              <w:t>7287</w:t>
            </w:r>
          </w:p>
        </w:tc>
        <w:tc>
          <w:tcPr>
            <w:tcW w:w="783" w:type="dxa"/>
            <w:tcBorders>
              <w:left w:val="double" w:sz="4" w:space="0" w:color="auto"/>
            </w:tcBorders>
          </w:tcPr>
          <w:p w14:paraId="5AC64258" w14:textId="6331AA7B" w:rsidR="00B363AD" w:rsidRPr="00EA1BB2" w:rsidRDefault="00B363AD" w:rsidP="00B363AD">
            <w:pPr>
              <w:spacing w:line="360" w:lineRule="auto"/>
              <w:jc w:val="center"/>
              <w:rPr>
                <w:rFonts w:ascii="Cambria" w:hAnsi="Cambria"/>
                <w:sz w:val="24"/>
                <w:szCs w:val="24"/>
                <w:lang w:val="ro-RO"/>
              </w:rPr>
            </w:pPr>
            <w:r w:rsidRPr="00EA1BB2">
              <w:rPr>
                <w:rFonts w:ascii="Cambria" w:hAnsi="Cambria"/>
                <w:sz w:val="24"/>
                <w:szCs w:val="24"/>
                <w:lang w:val="ro-RO"/>
              </w:rPr>
              <w:t>22</w:t>
            </w:r>
          </w:p>
        </w:tc>
        <w:tc>
          <w:tcPr>
            <w:tcW w:w="2409" w:type="dxa"/>
            <w:vAlign w:val="center"/>
          </w:tcPr>
          <w:p w14:paraId="2892D349" w14:textId="7D485177" w:rsidR="00B363AD" w:rsidRPr="00EA1BB2" w:rsidRDefault="00B363AD" w:rsidP="00B363AD">
            <w:pPr>
              <w:spacing w:line="360" w:lineRule="auto"/>
              <w:rPr>
                <w:rFonts w:ascii="Cambria" w:hAnsi="Cambria"/>
                <w:sz w:val="24"/>
                <w:szCs w:val="24"/>
                <w:lang w:val="ro-RO"/>
              </w:rPr>
            </w:pPr>
            <w:r w:rsidRPr="00EA1BB2">
              <w:rPr>
                <w:rFonts w:ascii="Cambria" w:hAnsi="Cambria"/>
                <w:sz w:val="24"/>
                <w:szCs w:val="24"/>
                <w:lang w:val="ro-RO"/>
              </w:rPr>
              <w:t>Movila Miresii</w:t>
            </w:r>
          </w:p>
        </w:tc>
        <w:tc>
          <w:tcPr>
            <w:tcW w:w="1418" w:type="dxa"/>
            <w:vAlign w:val="center"/>
          </w:tcPr>
          <w:p w14:paraId="01CA57B9" w14:textId="3B6C1816" w:rsidR="00B363AD" w:rsidRPr="00EA1BB2" w:rsidRDefault="00B363AD" w:rsidP="00B363AD">
            <w:pPr>
              <w:spacing w:line="360" w:lineRule="auto"/>
              <w:jc w:val="center"/>
              <w:rPr>
                <w:rFonts w:ascii="Cambria" w:hAnsi="Cambria"/>
                <w:sz w:val="24"/>
                <w:szCs w:val="24"/>
                <w:lang w:val="ro-RO"/>
              </w:rPr>
            </w:pPr>
            <w:r w:rsidRPr="00EA1BB2">
              <w:rPr>
                <w:rFonts w:ascii="Cambria" w:hAnsi="Cambria"/>
                <w:sz w:val="24"/>
                <w:szCs w:val="24"/>
                <w:lang w:val="ro-RO"/>
              </w:rPr>
              <w:t>8591</w:t>
            </w:r>
          </w:p>
        </w:tc>
      </w:tr>
      <w:tr w:rsidR="00B363AD" w:rsidRPr="00EA1BB2" w14:paraId="1FD091FC" w14:textId="4A940B21" w:rsidTr="00370EF5">
        <w:trPr>
          <w:jc w:val="center"/>
        </w:trPr>
        <w:tc>
          <w:tcPr>
            <w:tcW w:w="704" w:type="dxa"/>
            <w:vAlign w:val="center"/>
          </w:tcPr>
          <w:p w14:paraId="682F687D" w14:textId="51C77919" w:rsidR="00B363AD" w:rsidRPr="00EA1BB2" w:rsidRDefault="00B363AD" w:rsidP="00B363AD">
            <w:pPr>
              <w:spacing w:line="360" w:lineRule="auto"/>
              <w:contextualSpacing/>
              <w:jc w:val="center"/>
              <w:rPr>
                <w:rFonts w:ascii="Cambria" w:hAnsi="Cambria" w:cs="Times New Roman"/>
                <w:sz w:val="24"/>
                <w:szCs w:val="24"/>
                <w:lang w:val="ro-RO"/>
              </w:rPr>
            </w:pPr>
            <w:r w:rsidRPr="00EA1BB2">
              <w:rPr>
                <w:rFonts w:ascii="Cambria" w:hAnsi="Cambria" w:cs="Times New Roman"/>
                <w:sz w:val="24"/>
                <w:szCs w:val="24"/>
                <w:lang w:val="ro-RO"/>
              </w:rPr>
              <w:t>6</w:t>
            </w:r>
          </w:p>
        </w:tc>
        <w:tc>
          <w:tcPr>
            <w:tcW w:w="2552" w:type="dxa"/>
          </w:tcPr>
          <w:p w14:paraId="7DC87CDE" w14:textId="77777777" w:rsidR="00B363AD" w:rsidRPr="00EA1BB2" w:rsidRDefault="00B363AD" w:rsidP="00B363AD">
            <w:pPr>
              <w:spacing w:line="360" w:lineRule="auto"/>
              <w:jc w:val="both"/>
              <w:rPr>
                <w:rFonts w:ascii="Cambria" w:hAnsi="Cambria" w:cs="Times New Roman"/>
                <w:sz w:val="24"/>
                <w:szCs w:val="24"/>
                <w:lang w:val="ro-RO"/>
              </w:rPr>
            </w:pPr>
            <w:r w:rsidRPr="00EA1BB2">
              <w:rPr>
                <w:rFonts w:ascii="Cambria" w:hAnsi="Cambria"/>
                <w:sz w:val="24"/>
                <w:szCs w:val="24"/>
                <w:lang w:val="ro-RO"/>
              </w:rPr>
              <w:t>Berteștii De Jos</w:t>
            </w:r>
          </w:p>
        </w:tc>
        <w:tc>
          <w:tcPr>
            <w:tcW w:w="1417" w:type="dxa"/>
            <w:tcBorders>
              <w:right w:val="double" w:sz="4" w:space="0" w:color="auto"/>
            </w:tcBorders>
            <w:vAlign w:val="center"/>
          </w:tcPr>
          <w:p w14:paraId="0F6B3B5A" w14:textId="77777777" w:rsidR="00B363AD" w:rsidRPr="00EA1BB2" w:rsidRDefault="00B363AD" w:rsidP="00B363AD">
            <w:pPr>
              <w:spacing w:line="360" w:lineRule="auto"/>
              <w:jc w:val="center"/>
              <w:rPr>
                <w:rFonts w:ascii="Cambria" w:hAnsi="Cambria" w:cs="Times New Roman"/>
                <w:sz w:val="24"/>
                <w:szCs w:val="24"/>
                <w:lang w:val="ro-RO"/>
              </w:rPr>
            </w:pPr>
            <w:r w:rsidRPr="00EA1BB2">
              <w:rPr>
                <w:rFonts w:ascii="Cambria" w:hAnsi="Cambria"/>
                <w:sz w:val="24"/>
                <w:szCs w:val="24"/>
                <w:lang w:val="ro-RO"/>
              </w:rPr>
              <w:t>13543</w:t>
            </w:r>
          </w:p>
        </w:tc>
        <w:tc>
          <w:tcPr>
            <w:tcW w:w="783" w:type="dxa"/>
            <w:tcBorders>
              <w:left w:val="double" w:sz="4" w:space="0" w:color="auto"/>
            </w:tcBorders>
          </w:tcPr>
          <w:p w14:paraId="36BC26F2" w14:textId="3297EC21" w:rsidR="00B363AD" w:rsidRPr="00EA1BB2" w:rsidRDefault="00B363AD" w:rsidP="00B363AD">
            <w:pPr>
              <w:spacing w:line="360" w:lineRule="auto"/>
              <w:jc w:val="center"/>
              <w:rPr>
                <w:rFonts w:ascii="Cambria" w:hAnsi="Cambria"/>
                <w:sz w:val="24"/>
                <w:szCs w:val="24"/>
                <w:lang w:val="ro-RO"/>
              </w:rPr>
            </w:pPr>
            <w:r w:rsidRPr="00EA1BB2">
              <w:rPr>
                <w:rFonts w:ascii="Cambria" w:hAnsi="Cambria"/>
                <w:sz w:val="24"/>
                <w:szCs w:val="24"/>
                <w:lang w:val="ro-RO"/>
              </w:rPr>
              <w:t>23</w:t>
            </w:r>
          </w:p>
        </w:tc>
        <w:tc>
          <w:tcPr>
            <w:tcW w:w="2409" w:type="dxa"/>
            <w:vAlign w:val="center"/>
          </w:tcPr>
          <w:p w14:paraId="24B0774D" w14:textId="0B803F3C" w:rsidR="00B363AD" w:rsidRPr="00EA1BB2" w:rsidRDefault="00B363AD" w:rsidP="00B363AD">
            <w:pPr>
              <w:spacing w:line="360" w:lineRule="auto"/>
              <w:rPr>
                <w:rFonts w:ascii="Cambria" w:hAnsi="Cambria"/>
                <w:sz w:val="24"/>
                <w:szCs w:val="24"/>
                <w:lang w:val="ro-RO"/>
              </w:rPr>
            </w:pPr>
            <w:r w:rsidRPr="00EA1BB2">
              <w:rPr>
                <w:rFonts w:ascii="Cambria" w:hAnsi="Cambria"/>
                <w:sz w:val="24"/>
                <w:szCs w:val="24"/>
                <w:lang w:val="ro-RO"/>
              </w:rPr>
              <w:t>Racoviță</w:t>
            </w:r>
          </w:p>
        </w:tc>
        <w:tc>
          <w:tcPr>
            <w:tcW w:w="1418" w:type="dxa"/>
            <w:vAlign w:val="center"/>
          </w:tcPr>
          <w:p w14:paraId="2C7BD04D" w14:textId="61257697" w:rsidR="00B363AD" w:rsidRPr="00EA1BB2" w:rsidRDefault="00B363AD" w:rsidP="00B363AD">
            <w:pPr>
              <w:spacing w:line="360" w:lineRule="auto"/>
              <w:jc w:val="center"/>
              <w:rPr>
                <w:rFonts w:ascii="Cambria" w:hAnsi="Cambria"/>
                <w:sz w:val="24"/>
                <w:szCs w:val="24"/>
                <w:lang w:val="ro-RO"/>
              </w:rPr>
            </w:pPr>
            <w:r w:rsidRPr="00EA1BB2">
              <w:rPr>
                <w:rFonts w:ascii="Cambria" w:hAnsi="Cambria"/>
                <w:sz w:val="24"/>
                <w:szCs w:val="24"/>
                <w:lang w:val="ro-RO"/>
              </w:rPr>
              <w:t>5029</w:t>
            </w:r>
          </w:p>
        </w:tc>
      </w:tr>
      <w:tr w:rsidR="00B363AD" w:rsidRPr="00EA1BB2" w14:paraId="169CE4AE" w14:textId="24F2E640" w:rsidTr="00370EF5">
        <w:trPr>
          <w:jc w:val="center"/>
        </w:trPr>
        <w:tc>
          <w:tcPr>
            <w:tcW w:w="704" w:type="dxa"/>
            <w:vAlign w:val="center"/>
          </w:tcPr>
          <w:p w14:paraId="1F7D436B" w14:textId="40D1A850" w:rsidR="00B363AD" w:rsidRPr="00EA1BB2" w:rsidRDefault="00B363AD" w:rsidP="00B363AD">
            <w:pPr>
              <w:spacing w:line="360" w:lineRule="auto"/>
              <w:contextualSpacing/>
              <w:jc w:val="center"/>
              <w:rPr>
                <w:rFonts w:ascii="Cambria" w:hAnsi="Cambria" w:cs="Times New Roman"/>
                <w:sz w:val="24"/>
                <w:szCs w:val="24"/>
                <w:lang w:val="ro-RO"/>
              </w:rPr>
            </w:pPr>
            <w:r w:rsidRPr="00EA1BB2">
              <w:rPr>
                <w:rFonts w:ascii="Cambria" w:hAnsi="Cambria" w:cs="Times New Roman"/>
                <w:sz w:val="24"/>
                <w:szCs w:val="24"/>
                <w:lang w:val="ro-RO"/>
              </w:rPr>
              <w:t>7</w:t>
            </w:r>
          </w:p>
        </w:tc>
        <w:tc>
          <w:tcPr>
            <w:tcW w:w="2552" w:type="dxa"/>
          </w:tcPr>
          <w:p w14:paraId="239035AB" w14:textId="77777777" w:rsidR="00B363AD" w:rsidRPr="00EA1BB2" w:rsidRDefault="00B363AD" w:rsidP="00B363AD">
            <w:pPr>
              <w:spacing w:line="360" w:lineRule="auto"/>
              <w:jc w:val="both"/>
              <w:rPr>
                <w:rFonts w:ascii="Cambria" w:hAnsi="Cambria" w:cs="Times New Roman"/>
                <w:sz w:val="24"/>
                <w:szCs w:val="24"/>
                <w:lang w:val="ro-RO"/>
              </w:rPr>
            </w:pPr>
            <w:r w:rsidRPr="00EA1BB2">
              <w:rPr>
                <w:rFonts w:ascii="Cambria" w:hAnsi="Cambria"/>
                <w:sz w:val="24"/>
                <w:szCs w:val="24"/>
                <w:lang w:val="ro-RO"/>
              </w:rPr>
              <w:t>Bordei Verde</w:t>
            </w:r>
          </w:p>
        </w:tc>
        <w:tc>
          <w:tcPr>
            <w:tcW w:w="1417" w:type="dxa"/>
            <w:tcBorders>
              <w:right w:val="double" w:sz="4" w:space="0" w:color="auto"/>
            </w:tcBorders>
            <w:vAlign w:val="center"/>
          </w:tcPr>
          <w:p w14:paraId="6E6793C5" w14:textId="77777777" w:rsidR="00B363AD" w:rsidRPr="00EA1BB2" w:rsidRDefault="00B363AD" w:rsidP="00B363AD">
            <w:pPr>
              <w:spacing w:line="360" w:lineRule="auto"/>
              <w:jc w:val="center"/>
              <w:rPr>
                <w:rFonts w:ascii="Cambria" w:hAnsi="Cambria" w:cs="Times New Roman"/>
                <w:sz w:val="24"/>
                <w:szCs w:val="24"/>
                <w:lang w:val="ro-RO"/>
              </w:rPr>
            </w:pPr>
            <w:r w:rsidRPr="00EA1BB2">
              <w:rPr>
                <w:rFonts w:ascii="Cambria" w:hAnsi="Cambria"/>
                <w:sz w:val="24"/>
                <w:szCs w:val="24"/>
                <w:lang w:val="ro-RO"/>
              </w:rPr>
              <w:t>8654</w:t>
            </w:r>
          </w:p>
        </w:tc>
        <w:tc>
          <w:tcPr>
            <w:tcW w:w="783" w:type="dxa"/>
            <w:tcBorders>
              <w:left w:val="double" w:sz="4" w:space="0" w:color="auto"/>
            </w:tcBorders>
          </w:tcPr>
          <w:p w14:paraId="001A6AAF" w14:textId="38CA5B7E" w:rsidR="00B363AD" w:rsidRPr="00EA1BB2" w:rsidRDefault="00B363AD" w:rsidP="00B363AD">
            <w:pPr>
              <w:spacing w:line="360" w:lineRule="auto"/>
              <w:jc w:val="center"/>
              <w:rPr>
                <w:rFonts w:ascii="Cambria" w:hAnsi="Cambria"/>
                <w:sz w:val="24"/>
                <w:szCs w:val="24"/>
                <w:lang w:val="ro-RO"/>
              </w:rPr>
            </w:pPr>
            <w:r w:rsidRPr="00EA1BB2">
              <w:rPr>
                <w:rFonts w:ascii="Cambria" w:hAnsi="Cambria"/>
                <w:sz w:val="24"/>
                <w:szCs w:val="24"/>
                <w:lang w:val="ro-RO"/>
              </w:rPr>
              <w:t>24</w:t>
            </w:r>
          </w:p>
        </w:tc>
        <w:tc>
          <w:tcPr>
            <w:tcW w:w="2409" w:type="dxa"/>
            <w:vAlign w:val="center"/>
          </w:tcPr>
          <w:p w14:paraId="6C84F863" w14:textId="0D247336" w:rsidR="00B363AD" w:rsidRPr="00EA1BB2" w:rsidRDefault="00B363AD" w:rsidP="00B363AD">
            <w:pPr>
              <w:spacing w:line="360" w:lineRule="auto"/>
              <w:rPr>
                <w:rFonts w:ascii="Cambria" w:hAnsi="Cambria"/>
                <w:sz w:val="24"/>
                <w:szCs w:val="24"/>
                <w:lang w:val="ro-RO"/>
              </w:rPr>
            </w:pPr>
            <w:r w:rsidRPr="00EA1BB2">
              <w:rPr>
                <w:rFonts w:ascii="Cambria" w:hAnsi="Cambria"/>
                <w:sz w:val="24"/>
                <w:szCs w:val="24"/>
                <w:lang w:val="ro-RO"/>
              </w:rPr>
              <w:t>Rîmnicelu</w:t>
            </w:r>
          </w:p>
        </w:tc>
        <w:tc>
          <w:tcPr>
            <w:tcW w:w="1418" w:type="dxa"/>
            <w:vAlign w:val="center"/>
          </w:tcPr>
          <w:p w14:paraId="1577FBA5" w14:textId="0DE1046E" w:rsidR="00B363AD" w:rsidRPr="00EA1BB2" w:rsidRDefault="00B363AD" w:rsidP="00B363AD">
            <w:pPr>
              <w:spacing w:line="360" w:lineRule="auto"/>
              <w:jc w:val="center"/>
              <w:rPr>
                <w:rFonts w:ascii="Cambria" w:hAnsi="Cambria"/>
                <w:sz w:val="24"/>
                <w:szCs w:val="24"/>
                <w:lang w:val="ro-RO"/>
              </w:rPr>
            </w:pPr>
            <w:r w:rsidRPr="00EA1BB2">
              <w:rPr>
                <w:rFonts w:ascii="Cambria" w:hAnsi="Cambria"/>
                <w:sz w:val="24"/>
                <w:szCs w:val="24"/>
                <w:lang w:val="ro-RO"/>
              </w:rPr>
              <w:t>7897</w:t>
            </w:r>
          </w:p>
        </w:tc>
      </w:tr>
      <w:tr w:rsidR="00B363AD" w:rsidRPr="00EA1BB2" w14:paraId="644652F4" w14:textId="36FDACFA" w:rsidTr="00370EF5">
        <w:trPr>
          <w:jc w:val="center"/>
        </w:trPr>
        <w:tc>
          <w:tcPr>
            <w:tcW w:w="704" w:type="dxa"/>
            <w:vAlign w:val="center"/>
          </w:tcPr>
          <w:p w14:paraId="1BFDA148" w14:textId="0729B0BE" w:rsidR="00B363AD" w:rsidRPr="00EA1BB2" w:rsidRDefault="00B363AD" w:rsidP="00B363AD">
            <w:pPr>
              <w:spacing w:line="360" w:lineRule="auto"/>
              <w:contextualSpacing/>
              <w:jc w:val="center"/>
              <w:rPr>
                <w:rFonts w:ascii="Cambria" w:hAnsi="Cambria" w:cs="Times New Roman"/>
                <w:sz w:val="24"/>
                <w:szCs w:val="24"/>
                <w:lang w:val="ro-RO"/>
              </w:rPr>
            </w:pPr>
            <w:r w:rsidRPr="00EA1BB2">
              <w:rPr>
                <w:rFonts w:ascii="Cambria" w:hAnsi="Cambria" w:cs="Times New Roman"/>
                <w:sz w:val="24"/>
                <w:szCs w:val="24"/>
                <w:lang w:val="ro-RO"/>
              </w:rPr>
              <w:t>8</w:t>
            </w:r>
          </w:p>
        </w:tc>
        <w:tc>
          <w:tcPr>
            <w:tcW w:w="2552" w:type="dxa"/>
          </w:tcPr>
          <w:p w14:paraId="6C21183A" w14:textId="77777777" w:rsidR="00B363AD" w:rsidRPr="00EA1BB2" w:rsidRDefault="00B363AD" w:rsidP="00B363AD">
            <w:pPr>
              <w:spacing w:line="360" w:lineRule="auto"/>
              <w:jc w:val="both"/>
              <w:rPr>
                <w:rFonts w:ascii="Cambria" w:hAnsi="Cambria" w:cs="Times New Roman"/>
                <w:sz w:val="24"/>
                <w:szCs w:val="24"/>
                <w:lang w:val="ro-RO"/>
              </w:rPr>
            </w:pPr>
            <w:r w:rsidRPr="00EA1BB2">
              <w:rPr>
                <w:rFonts w:ascii="Cambria" w:hAnsi="Cambria"/>
                <w:sz w:val="24"/>
                <w:szCs w:val="24"/>
                <w:lang w:val="ro-RO"/>
              </w:rPr>
              <w:t>Cazasu</w:t>
            </w:r>
          </w:p>
        </w:tc>
        <w:tc>
          <w:tcPr>
            <w:tcW w:w="1417" w:type="dxa"/>
            <w:tcBorders>
              <w:right w:val="double" w:sz="4" w:space="0" w:color="auto"/>
            </w:tcBorders>
            <w:vAlign w:val="center"/>
          </w:tcPr>
          <w:p w14:paraId="4CAB5770" w14:textId="77777777" w:rsidR="00B363AD" w:rsidRPr="00EA1BB2" w:rsidRDefault="00B363AD" w:rsidP="00B363AD">
            <w:pPr>
              <w:spacing w:line="360" w:lineRule="auto"/>
              <w:jc w:val="center"/>
              <w:rPr>
                <w:rFonts w:ascii="Cambria" w:hAnsi="Cambria" w:cs="Times New Roman"/>
                <w:sz w:val="24"/>
                <w:szCs w:val="24"/>
                <w:lang w:val="ro-RO"/>
              </w:rPr>
            </w:pPr>
            <w:r w:rsidRPr="00EA1BB2">
              <w:rPr>
                <w:rFonts w:ascii="Cambria" w:hAnsi="Cambria"/>
                <w:sz w:val="24"/>
                <w:szCs w:val="24"/>
                <w:lang w:val="ro-RO"/>
              </w:rPr>
              <w:t>2723</w:t>
            </w:r>
          </w:p>
        </w:tc>
        <w:tc>
          <w:tcPr>
            <w:tcW w:w="783" w:type="dxa"/>
            <w:tcBorders>
              <w:left w:val="double" w:sz="4" w:space="0" w:color="auto"/>
            </w:tcBorders>
          </w:tcPr>
          <w:p w14:paraId="690726EA" w14:textId="4D17FCED" w:rsidR="00B363AD" w:rsidRPr="00EA1BB2" w:rsidRDefault="00B363AD" w:rsidP="00B363AD">
            <w:pPr>
              <w:spacing w:line="360" w:lineRule="auto"/>
              <w:jc w:val="center"/>
              <w:rPr>
                <w:rFonts w:ascii="Cambria" w:hAnsi="Cambria"/>
                <w:sz w:val="24"/>
                <w:szCs w:val="24"/>
                <w:lang w:val="ro-RO"/>
              </w:rPr>
            </w:pPr>
            <w:r w:rsidRPr="00EA1BB2">
              <w:rPr>
                <w:rFonts w:ascii="Cambria" w:hAnsi="Cambria"/>
                <w:sz w:val="24"/>
                <w:szCs w:val="24"/>
                <w:lang w:val="ro-RO"/>
              </w:rPr>
              <w:t>25</w:t>
            </w:r>
          </w:p>
        </w:tc>
        <w:tc>
          <w:tcPr>
            <w:tcW w:w="2409" w:type="dxa"/>
            <w:vAlign w:val="center"/>
          </w:tcPr>
          <w:p w14:paraId="787F1279" w14:textId="6A886CD3" w:rsidR="00B363AD" w:rsidRPr="00EA1BB2" w:rsidRDefault="00B363AD" w:rsidP="00B363AD">
            <w:pPr>
              <w:spacing w:line="360" w:lineRule="auto"/>
              <w:rPr>
                <w:rFonts w:ascii="Cambria" w:hAnsi="Cambria"/>
                <w:sz w:val="24"/>
                <w:szCs w:val="24"/>
                <w:lang w:val="ro-RO"/>
              </w:rPr>
            </w:pPr>
            <w:r w:rsidRPr="00EA1BB2">
              <w:rPr>
                <w:rFonts w:ascii="Cambria" w:hAnsi="Cambria"/>
                <w:sz w:val="24"/>
                <w:szCs w:val="24"/>
                <w:lang w:val="ro-RO"/>
              </w:rPr>
              <w:t>Romanu</w:t>
            </w:r>
          </w:p>
        </w:tc>
        <w:tc>
          <w:tcPr>
            <w:tcW w:w="1418" w:type="dxa"/>
            <w:vAlign w:val="center"/>
          </w:tcPr>
          <w:p w14:paraId="3CE1C9F6" w14:textId="05ADCEEA" w:rsidR="00B363AD" w:rsidRPr="00EA1BB2" w:rsidRDefault="00B363AD" w:rsidP="00B363AD">
            <w:pPr>
              <w:spacing w:line="360" w:lineRule="auto"/>
              <w:jc w:val="center"/>
              <w:rPr>
                <w:rFonts w:ascii="Cambria" w:hAnsi="Cambria"/>
                <w:sz w:val="24"/>
                <w:szCs w:val="24"/>
                <w:lang w:val="ro-RO"/>
              </w:rPr>
            </w:pPr>
            <w:r w:rsidRPr="00EA1BB2">
              <w:rPr>
                <w:rFonts w:ascii="Cambria" w:hAnsi="Cambria"/>
                <w:sz w:val="24"/>
                <w:szCs w:val="24"/>
                <w:lang w:val="ro-RO"/>
              </w:rPr>
              <w:t>7089</w:t>
            </w:r>
          </w:p>
        </w:tc>
      </w:tr>
      <w:tr w:rsidR="00B363AD" w:rsidRPr="00EA1BB2" w14:paraId="44815651" w14:textId="3D0DC5B9" w:rsidTr="00370EF5">
        <w:trPr>
          <w:jc w:val="center"/>
        </w:trPr>
        <w:tc>
          <w:tcPr>
            <w:tcW w:w="704" w:type="dxa"/>
            <w:vAlign w:val="center"/>
          </w:tcPr>
          <w:p w14:paraId="78E950B9" w14:textId="230187A6" w:rsidR="00B363AD" w:rsidRPr="00EA1BB2" w:rsidRDefault="00B363AD" w:rsidP="00B363AD">
            <w:pPr>
              <w:spacing w:line="360" w:lineRule="auto"/>
              <w:contextualSpacing/>
              <w:jc w:val="center"/>
              <w:rPr>
                <w:rFonts w:ascii="Cambria" w:hAnsi="Cambria" w:cs="Times New Roman"/>
                <w:sz w:val="24"/>
                <w:szCs w:val="24"/>
                <w:lang w:val="ro-RO"/>
              </w:rPr>
            </w:pPr>
            <w:r w:rsidRPr="00EA1BB2">
              <w:rPr>
                <w:rFonts w:ascii="Cambria" w:hAnsi="Cambria" w:cs="Times New Roman"/>
                <w:sz w:val="24"/>
                <w:szCs w:val="24"/>
                <w:lang w:val="ro-RO"/>
              </w:rPr>
              <w:t>9</w:t>
            </w:r>
          </w:p>
        </w:tc>
        <w:tc>
          <w:tcPr>
            <w:tcW w:w="2552" w:type="dxa"/>
          </w:tcPr>
          <w:p w14:paraId="29CAD39A" w14:textId="77777777" w:rsidR="00B363AD" w:rsidRPr="00EA1BB2" w:rsidRDefault="00B363AD" w:rsidP="00B363AD">
            <w:pPr>
              <w:spacing w:line="360" w:lineRule="auto"/>
              <w:jc w:val="both"/>
              <w:rPr>
                <w:rFonts w:ascii="Cambria" w:hAnsi="Cambria" w:cs="Times New Roman"/>
                <w:sz w:val="24"/>
                <w:szCs w:val="24"/>
                <w:lang w:val="ro-RO"/>
              </w:rPr>
            </w:pPr>
            <w:r w:rsidRPr="00EA1BB2">
              <w:rPr>
                <w:rFonts w:ascii="Cambria" w:hAnsi="Cambria"/>
                <w:sz w:val="24"/>
                <w:szCs w:val="24"/>
                <w:lang w:val="ro-RO"/>
              </w:rPr>
              <w:t>Chiscani</w:t>
            </w:r>
          </w:p>
        </w:tc>
        <w:tc>
          <w:tcPr>
            <w:tcW w:w="1417" w:type="dxa"/>
            <w:tcBorders>
              <w:right w:val="double" w:sz="4" w:space="0" w:color="auto"/>
            </w:tcBorders>
            <w:vAlign w:val="center"/>
          </w:tcPr>
          <w:p w14:paraId="6524814D" w14:textId="77777777" w:rsidR="00B363AD" w:rsidRPr="00EA1BB2" w:rsidRDefault="00B363AD" w:rsidP="00B363AD">
            <w:pPr>
              <w:spacing w:line="360" w:lineRule="auto"/>
              <w:jc w:val="center"/>
              <w:rPr>
                <w:rFonts w:ascii="Cambria" w:hAnsi="Cambria" w:cs="Times New Roman"/>
                <w:sz w:val="24"/>
                <w:szCs w:val="24"/>
                <w:lang w:val="ro-RO"/>
              </w:rPr>
            </w:pPr>
            <w:r w:rsidRPr="00EA1BB2">
              <w:rPr>
                <w:rFonts w:ascii="Cambria" w:hAnsi="Cambria"/>
                <w:sz w:val="24"/>
                <w:szCs w:val="24"/>
                <w:lang w:val="ro-RO"/>
              </w:rPr>
              <w:t>10185</w:t>
            </w:r>
          </w:p>
        </w:tc>
        <w:tc>
          <w:tcPr>
            <w:tcW w:w="783" w:type="dxa"/>
            <w:tcBorders>
              <w:left w:val="double" w:sz="4" w:space="0" w:color="auto"/>
            </w:tcBorders>
          </w:tcPr>
          <w:p w14:paraId="317125BE" w14:textId="0A88DF72" w:rsidR="00B363AD" w:rsidRPr="00EA1BB2" w:rsidRDefault="00B363AD" w:rsidP="00B363AD">
            <w:pPr>
              <w:spacing w:line="360" w:lineRule="auto"/>
              <w:jc w:val="center"/>
              <w:rPr>
                <w:rFonts w:ascii="Cambria" w:hAnsi="Cambria"/>
                <w:sz w:val="24"/>
                <w:szCs w:val="24"/>
                <w:lang w:val="ro-RO"/>
              </w:rPr>
            </w:pPr>
            <w:r w:rsidRPr="00EA1BB2">
              <w:rPr>
                <w:rFonts w:ascii="Cambria" w:hAnsi="Cambria"/>
                <w:sz w:val="24"/>
                <w:szCs w:val="24"/>
                <w:lang w:val="ro-RO"/>
              </w:rPr>
              <w:t>26</w:t>
            </w:r>
          </w:p>
        </w:tc>
        <w:tc>
          <w:tcPr>
            <w:tcW w:w="2409" w:type="dxa"/>
            <w:vAlign w:val="center"/>
          </w:tcPr>
          <w:p w14:paraId="6CE824F3" w14:textId="171D9539" w:rsidR="00B363AD" w:rsidRPr="00EA1BB2" w:rsidRDefault="00B363AD" w:rsidP="00B363AD">
            <w:pPr>
              <w:spacing w:line="360" w:lineRule="auto"/>
              <w:rPr>
                <w:rFonts w:ascii="Cambria" w:hAnsi="Cambria"/>
                <w:sz w:val="24"/>
                <w:szCs w:val="24"/>
                <w:lang w:val="ro-RO"/>
              </w:rPr>
            </w:pPr>
            <w:r w:rsidRPr="00EA1BB2">
              <w:rPr>
                <w:rFonts w:ascii="Cambria" w:hAnsi="Cambria"/>
                <w:sz w:val="24"/>
                <w:szCs w:val="24"/>
                <w:lang w:val="ro-RO"/>
              </w:rPr>
              <w:t>Roșiori</w:t>
            </w:r>
          </w:p>
        </w:tc>
        <w:tc>
          <w:tcPr>
            <w:tcW w:w="1418" w:type="dxa"/>
            <w:vAlign w:val="center"/>
          </w:tcPr>
          <w:p w14:paraId="54671E80" w14:textId="42541313" w:rsidR="00B363AD" w:rsidRPr="00EA1BB2" w:rsidRDefault="00B363AD" w:rsidP="00B363AD">
            <w:pPr>
              <w:spacing w:line="360" w:lineRule="auto"/>
              <w:jc w:val="center"/>
              <w:rPr>
                <w:rFonts w:ascii="Cambria" w:hAnsi="Cambria"/>
                <w:sz w:val="24"/>
                <w:szCs w:val="24"/>
                <w:lang w:val="ro-RO"/>
              </w:rPr>
            </w:pPr>
            <w:r w:rsidRPr="00EA1BB2">
              <w:rPr>
                <w:rFonts w:ascii="Cambria" w:hAnsi="Cambria"/>
                <w:sz w:val="24"/>
                <w:szCs w:val="24"/>
                <w:lang w:val="ro-RO"/>
              </w:rPr>
              <w:t>7338</w:t>
            </w:r>
          </w:p>
        </w:tc>
      </w:tr>
      <w:tr w:rsidR="00B363AD" w:rsidRPr="00EA1BB2" w14:paraId="7F3F5B69" w14:textId="1309FB9B" w:rsidTr="00370EF5">
        <w:trPr>
          <w:jc w:val="center"/>
        </w:trPr>
        <w:tc>
          <w:tcPr>
            <w:tcW w:w="704" w:type="dxa"/>
            <w:vAlign w:val="center"/>
          </w:tcPr>
          <w:p w14:paraId="30D9381E" w14:textId="0D0438AF" w:rsidR="00B363AD" w:rsidRPr="00EA1BB2" w:rsidRDefault="00B363AD" w:rsidP="00B363AD">
            <w:pPr>
              <w:spacing w:line="360" w:lineRule="auto"/>
              <w:contextualSpacing/>
              <w:jc w:val="center"/>
              <w:rPr>
                <w:rFonts w:ascii="Cambria" w:hAnsi="Cambria" w:cs="Times New Roman"/>
                <w:sz w:val="24"/>
                <w:szCs w:val="24"/>
                <w:lang w:val="ro-RO"/>
              </w:rPr>
            </w:pPr>
            <w:r w:rsidRPr="00EA1BB2">
              <w:rPr>
                <w:rFonts w:ascii="Cambria" w:hAnsi="Cambria" w:cs="Times New Roman"/>
                <w:sz w:val="24"/>
                <w:szCs w:val="24"/>
                <w:lang w:val="ro-RO"/>
              </w:rPr>
              <w:t>10</w:t>
            </w:r>
          </w:p>
        </w:tc>
        <w:tc>
          <w:tcPr>
            <w:tcW w:w="2552" w:type="dxa"/>
          </w:tcPr>
          <w:p w14:paraId="184AB6CF" w14:textId="77777777" w:rsidR="00B363AD" w:rsidRPr="00EA1BB2" w:rsidRDefault="00B363AD" w:rsidP="00B363AD">
            <w:pPr>
              <w:spacing w:line="360" w:lineRule="auto"/>
              <w:jc w:val="both"/>
              <w:rPr>
                <w:rFonts w:ascii="Cambria" w:hAnsi="Cambria" w:cs="Times New Roman"/>
                <w:sz w:val="24"/>
                <w:szCs w:val="24"/>
                <w:lang w:val="ro-RO"/>
              </w:rPr>
            </w:pPr>
            <w:r w:rsidRPr="00EA1BB2">
              <w:rPr>
                <w:rFonts w:ascii="Cambria" w:hAnsi="Cambria"/>
                <w:sz w:val="24"/>
                <w:szCs w:val="24"/>
                <w:lang w:val="ro-RO"/>
              </w:rPr>
              <w:t>Ciocile</w:t>
            </w:r>
          </w:p>
        </w:tc>
        <w:tc>
          <w:tcPr>
            <w:tcW w:w="1417" w:type="dxa"/>
            <w:tcBorders>
              <w:right w:val="double" w:sz="4" w:space="0" w:color="auto"/>
            </w:tcBorders>
            <w:vAlign w:val="center"/>
          </w:tcPr>
          <w:p w14:paraId="0553E9DC" w14:textId="77777777" w:rsidR="00B363AD" w:rsidRPr="00EA1BB2" w:rsidRDefault="00B363AD" w:rsidP="00B363AD">
            <w:pPr>
              <w:spacing w:line="360" w:lineRule="auto"/>
              <w:jc w:val="center"/>
              <w:rPr>
                <w:rFonts w:ascii="Cambria" w:hAnsi="Cambria" w:cs="Times New Roman"/>
                <w:sz w:val="24"/>
                <w:szCs w:val="24"/>
                <w:lang w:val="ro-RO"/>
              </w:rPr>
            </w:pPr>
            <w:r w:rsidRPr="00EA1BB2">
              <w:rPr>
                <w:rFonts w:ascii="Cambria" w:hAnsi="Cambria"/>
                <w:sz w:val="24"/>
                <w:szCs w:val="24"/>
                <w:lang w:val="ro-RO"/>
              </w:rPr>
              <w:t>7733</w:t>
            </w:r>
          </w:p>
        </w:tc>
        <w:tc>
          <w:tcPr>
            <w:tcW w:w="783" w:type="dxa"/>
            <w:tcBorders>
              <w:left w:val="double" w:sz="4" w:space="0" w:color="auto"/>
            </w:tcBorders>
          </w:tcPr>
          <w:p w14:paraId="1110A0A0" w14:textId="14398364" w:rsidR="00B363AD" w:rsidRPr="00EA1BB2" w:rsidRDefault="00B363AD" w:rsidP="00B363AD">
            <w:pPr>
              <w:spacing w:line="360" w:lineRule="auto"/>
              <w:jc w:val="center"/>
              <w:rPr>
                <w:rFonts w:ascii="Cambria" w:hAnsi="Cambria"/>
                <w:sz w:val="24"/>
                <w:szCs w:val="24"/>
                <w:lang w:val="ro-RO"/>
              </w:rPr>
            </w:pPr>
            <w:r w:rsidRPr="00EA1BB2">
              <w:rPr>
                <w:rFonts w:ascii="Cambria" w:hAnsi="Cambria"/>
                <w:sz w:val="24"/>
                <w:szCs w:val="24"/>
                <w:lang w:val="ro-RO"/>
              </w:rPr>
              <w:t>27</w:t>
            </w:r>
          </w:p>
        </w:tc>
        <w:tc>
          <w:tcPr>
            <w:tcW w:w="2409" w:type="dxa"/>
            <w:vAlign w:val="center"/>
          </w:tcPr>
          <w:p w14:paraId="0FC447BF" w14:textId="27BC3459" w:rsidR="00B363AD" w:rsidRPr="00EA1BB2" w:rsidRDefault="00B363AD" w:rsidP="00B363AD">
            <w:pPr>
              <w:spacing w:line="360" w:lineRule="auto"/>
              <w:rPr>
                <w:rFonts w:ascii="Cambria" w:hAnsi="Cambria"/>
                <w:sz w:val="24"/>
                <w:szCs w:val="24"/>
                <w:lang w:val="ro-RO"/>
              </w:rPr>
            </w:pPr>
            <w:r w:rsidRPr="00EA1BB2">
              <w:rPr>
                <w:rFonts w:ascii="Cambria" w:hAnsi="Cambria"/>
                <w:sz w:val="24"/>
                <w:szCs w:val="24"/>
                <w:lang w:val="ro-RO"/>
              </w:rPr>
              <w:t>Salcia Tudor</w:t>
            </w:r>
          </w:p>
        </w:tc>
        <w:tc>
          <w:tcPr>
            <w:tcW w:w="1418" w:type="dxa"/>
            <w:vAlign w:val="center"/>
          </w:tcPr>
          <w:p w14:paraId="01061A64" w14:textId="47B1AFBA" w:rsidR="00B363AD" w:rsidRPr="00EA1BB2" w:rsidRDefault="00B363AD" w:rsidP="00B363AD">
            <w:pPr>
              <w:spacing w:line="360" w:lineRule="auto"/>
              <w:jc w:val="center"/>
              <w:rPr>
                <w:rFonts w:ascii="Cambria" w:hAnsi="Cambria"/>
                <w:sz w:val="24"/>
                <w:szCs w:val="24"/>
                <w:lang w:val="ro-RO"/>
              </w:rPr>
            </w:pPr>
            <w:r w:rsidRPr="00EA1BB2">
              <w:rPr>
                <w:rFonts w:ascii="Cambria" w:hAnsi="Cambria"/>
                <w:sz w:val="24"/>
                <w:szCs w:val="24"/>
                <w:lang w:val="ro-RO"/>
              </w:rPr>
              <w:t>10707</w:t>
            </w:r>
          </w:p>
        </w:tc>
      </w:tr>
      <w:tr w:rsidR="00B363AD" w:rsidRPr="00EA1BB2" w14:paraId="08C0111C" w14:textId="622F20D4" w:rsidTr="00370EF5">
        <w:trPr>
          <w:jc w:val="center"/>
        </w:trPr>
        <w:tc>
          <w:tcPr>
            <w:tcW w:w="704" w:type="dxa"/>
            <w:vAlign w:val="center"/>
          </w:tcPr>
          <w:p w14:paraId="3CA2B7B7" w14:textId="57F94174" w:rsidR="00B363AD" w:rsidRPr="00EA1BB2" w:rsidRDefault="00B363AD" w:rsidP="00B363AD">
            <w:pPr>
              <w:spacing w:line="360" w:lineRule="auto"/>
              <w:contextualSpacing/>
              <w:jc w:val="center"/>
              <w:rPr>
                <w:rFonts w:ascii="Cambria" w:hAnsi="Cambria" w:cs="Times New Roman"/>
                <w:sz w:val="24"/>
                <w:szCs w:val="24"/>
                <w:lang w:val="ro-RO"/>
              </w:rPr>
            </w:pPr>
            <w:r w:rsidRPr="00EA1BB2">
              <w:rPr>
                <w:rFonts w:ascii="Cambria" w:hAnsi="Cambria" w:cs="Times New Roman"/>
                <w:sz w:val="24"/>
                <w:szCs w:val="24"/>
                <w:lang w:val="ro-RO"/>
              </w:rPr>
              <w:t>11</w:t>
            </w:r>
          </w:p>
        </w:tc>
        <w:tc>
          <w:tcPr>
            <w:tcW w:w="2552" w:type="dxa"/>
          </w:tcPr>
          <w:p w14:paraId="496EC8F6" w14:textId="77777777" w:rsidR="00B363AD" w:rsidRPr="00EA1BB2" w:rsidRDefault="00B363AD" w:rsidP="00B363AD">
            <w:pPr>
              <w:spacing w:line="360" w:lineRule="auto"/>
              <w:jc w:val="both"/>
              <w:rPr>
                <w:rFonts w:ascii="Cambria" w:hAnsi="Cambria" w:cs="Times New Roman"/>
                <w:sz w:val="24"/>
                <w:szCs w:val="24"/>
                <w:lang w:val="ro-RO"/>
              </w:rPr>
            </w:pPr>
            <w:r w:rsidRPr="00EA1BB2">
              <w:rPr>
                <w:rFonts w:ascii="Cambria" w:hAnsi="Cambria"/>
                <w:sz w:val="24"/>
                <w:szCs w:val="24"/>
                <w:lang w:val="ro-RO"/>
              </w:rPr>
              <w:t>Cireșu</w:t>
            </w:r>
          </w:p>
        </w:tc>
        <w:tc>
          <w:tcPr>
            <w:tcW w:w="1417" w:type="dxa"/>
            <w:tcBorders>
              <w:right w:val="double" w:sz="4" w:space="0" w:color="auto"/>
            </w:tcBorders>
            <w:vAlign w:val="center"/>
          </w:tcPr>
          <w:p w14:paraId="3A206B45" w14:textId="77777777" w:rsidR="00B363AD" w:rsidRPr="00EA1BB2" w:rsidRDefault="00B363AD" w:rsidP="00B363AD">
            <w:pPr>
              <w:spacing w:line="360" w:lineRule="auto"/>
              <w:jc w:val="center"/>
              <w:rPr>
                <w:rFonts w:ascii="Cambria" w:hAnsi="Cambria" w:cs="Times New Roman"/>
                <w:sz w:val="24"/>
                <w:szCs w:val="24"/>
                <w:lang w:val="ro-RO"/>
              </w:rPr>
            </w:pPr>
            <w:r w:rsidRPr="00EA1BB2">
              <w:rPr>
                <w:rFonts w:ascii="Cambria" w:hAnsi="Cambria"/>
                <w:sz w:val="24"/>
                <w:szCs w:val="24"/>
                <w:lang w:val="ro-RO"/>
              </w:rPr>
              <w:t>10910</w:t>
            </w:r>
          </w:p>
        </w:tc>
        <w:tc>
          <w:tcPr>
            <w:tcW w:w="783" w:type="dxa"/>
            <w:tcBorders>
              <w:left w:val="double" w:sz="4" w:space="0" w:color="auto"/>
            </w:tcBorders>
          </w:tcPr>
          <w:p w14:paraId="73BD10D9" w14:textId="0C69BCF6" w:rsidR="00B363AD" w:rsidRPr="00EA1BB2" w:rsidRDefault="00B363AD" w:rsidP="00B363AD">
            <w:pPr>
              <w:spacing w:line="360" w:lineRule="auto"/>
              <w:jc w:val="center"/>
              <w:rPr>
                <w:rFonts w:ascii="Cambria" w:hAnsi="Cambria"/>
                <w:sz w:val="24"/>
                <w:szCs w:val="24"/>
                <w:lang w:val="ro-RO"/>
              </w:rPr>
            </w:pPr>
            <w:r w:rsidRPr="00EA1BB2">
              <w:rPr>
                <w:rFonts w:ascii="Cambria" w:hAnsi="Cambria"/>
                <w:sz w:val="24"/>
                <w:szCs w:val="24"/>
                <w:lang w:val="ro-RO"/>
              </w:rPr>
              <w:t>28</w:t>
            </w:r>
          </w:p>
        </w:tc>
        <w:tc>
          <w:tcPr>
            <w:tcW w:w="2409" w:type="dxa"/>
            <w:vAlign w:val="center"/>
          </w:tcPr>
          <w:p w14:paraId="5DA71BAC" w14:textId="69B863A4" w:rsidR="00B363AD" w:rsidRPr="00EA1BB2" w:rsidRDefault="00B363AD" w:rsidP="00B363AD">
            <w:pPr>
              <w:spacing w:line="360" w:lineRule="auto"/>
              <w:rPr>
                <w:rFonts w:ascii="Cambria" w:hAnsi="Cambria"/>
                <w:sz w:val="24"/>
                <w:szCs w:val="24"/>
                <w:lang w:val="ro-RO"/>
              </w:rPr>
            </w:pPr>
            <w:r w:rsidRPr="00EA1BB2">
              <w:rPr>
                <w:rFonts w:ascii="Cambria" w:hAnsi="Cambria"/>
                <w:sz w:val="24"/>
                <w:szCs w:val="24"/>
                <w:lang w:val="ro-RO"/>
              </w:rPr>
              <w:t>Scorțaru Nou</w:t>
            </w:r>
          </w:p>
        </w:tc>
        <w:tc>
          <w:tcPr>
            <w:tcW w:w="1418" w:type="dxa"/>
            <w:vAlign w:val="center"/>
          </w:tcPr>
          <w:p w14:paraId="450B4F31" w14:textId="07022010" w:rsidR="00B363AD" w:rsidRPr="00EA1BB2" w:rsidRDefault="00B363AD" w:rsidP="00B363AD">
            <w:pPr>
              <w:spacing w:line="360" w:lineRule="auto"/>
              <w:jc w:val="center"/>
              <w:rPr>
                <w:rFonts w:ascii="Cambria" w:hAnsi="Cambria"/>
                <w:sz w:val="24"/>
                <w:szCs w:val="24"/>
                <w:lang w:val="ro-RO"/>
              </w:rPr>
            </w:pPr>
            <w:r w:rsidRPr="00EA1BB2">
              <w:rPr>
                <w:rFonts w:ascii="Cambria" w:hAnsi="Cambria"/>
                <w:sz w:val="24"/>
                <w:szCs w:val="24"/>
                <w:lang w:val="ro-RO"/>
              </w:rPr>
              <w:t>9815</w:t>
            </w:r>
          </w:p>
        </w:tc>
      </w:tr>
      <w:tr w:rsidR="00B363AD" w:rsidRPr="00EA1BB2" w14:paraId="26951903" w14:textId="5DE9D880" w:rsidTr="00370EF5">
        <w:trPr>
          <w:jc w:val="center"/>
        </w:trPr>
        <w:tc>
          <w:tcPr>
            <w:tcW w:w="704" w:type="dxa"/>
            <w:vAlign w:val="center"/>
          </w:tcPr>
          <w:p w14:paraId="4B5D06E2" w14:textId="660711CC" w:rsidR="00B363AD" w:rsidRPr="00EA1BB2" w:rsidRDefault="00B363AD" w:rsidP="00B363AD">
            <w:pPr>
              <w:spacing w:line="360" w:lineRule="auto"/>
              <w:contextualSpacing/>
              <w:jc w:val="center"/>
              <w:rPr>
                <w:rFonts w:ascii="Cambria" w:hAnsi="Cambria" w:cs="Times New Roman"/>
                <w:sz w:val="24"/>
                <w:szCs w:val="24"/>
                <w:lang w:val="ro-RO"/>
              </w:rPr>
            </w:pPr>
            <w:r w:rsidRPr="00EA1BB2">
              <w:rPr>
                <w:rFonts w:ascii="Cambria" w:hAnsi="Cambria" w:cs="Times New Roman"/>
                <w:sz w:val="24"/>
                <w:szCs w:val="24"/>
                <w:lang w:val="ro-RO"/>
              </w:rPr>
              <w:t>12</w:t>
            </w:r>
          </w:p>
        </w:tc>
        <w:tc>
          <w:tcPr>
            <w:tcW w:w="2552" w:type="dxa"/>
          </w:tcPr>
          <w:p w14:paraId="4ADDF048" w14:textId="77777777" w:rsidR="00B363AD" w:rsidRPr="00EA1BB2" w:rsidRDefault="00B363AD" w:rsidP="00B363AD">
            <w:pPr>
              <w:spacing w:line="360" w:lineRule="auto"/>
              <w:jc w:val="both"/>
              <w:rPr>
                <w:rFonts w:ascii="Cambria" w:hAnsi="Cambria" w:cs="Times New Roman"/>
                <w:sz w:val="24"/>
                <w:szCs w:val="24"/>
                <w:lang w:val="ro-RO"/>
              </w:rPr>
            </w:pPr>
            <w:r w:rsidRPr="00EA1BB2">
              <w:rPr>
                <w:rFonts w:ascii="Cambria" w:hAnsi="Cambria"/>
                <w:sz w:val="24"/>
                <w:szCs w:val="24"/>
                <w:lang w:val="ro-RO"/>
              </w:rPr>
              <w:t>Dudești</w:t>
            </w:r>
          </w:p>
        </w:tc>
        <w:tc>
          <w:tcPr>
            <w:tcW w:w="1417" w:type="dxa"/>
            <w:tcBorders>
              <w:right w:val="double" w:sz="4" w:space="0" w:color="auto"/>
            </w:tcBorders>
            <w:vAlign w:val="center"/>
          </w:tcPr>
          <w:p w14:paraId="3F57CE60" w14:textId="77777777" w:rsidR="00B363AD" w:rsidRPr="00EA1BB2" w:rsidRDefault="00B363AD" w:rsidP="00B363AD">
            <w:pPr>
              <w:spacing w:line="360" w:lineRule="auto"/>
              <w:jc w:val="center"/>
              <w:rPr>
                <w:rFonts w:ascii="Cambria" w:hAnsi="Cambria" w:cs="Times New Roman"/>
                <w:sz w:val="24"/>
                <w:szCs w:val="24"/>
                <w:lang w:val="ro-RO"/>
              </w:rPr>
            </w:pPr>
            <w:r w:rsidRPr="00EA1BB2">
              <w:rPr>
                <w:rFonts w:ascii="Cambria" w:hAnsi="Cambria"/>
                <w:sz w:val="24"/>
                <w:szCs w:val="24"/>
                <w:lang w:val="ro-RO"/>
              </w:rPr>
              <w:t>11757</w:t>
            </w:r>
          </w:p>
        </w:tc>
        <w:tc>
          <w:tcPr>
            <w:tcW w:w="783" w:type="dxa"/>
            <w:tcBorders>
              <w:left w:val="double" w:sz="4" w:space="0" w:color="auto"/>
            </w:tcBorders>
          </w:tcPr>
          <w:p w14:paraId="215D6305" w14:textId="1F55E067" w:rsidR="00B363AD" w:rsidRPr="00EA1BB2" w:rsidRDefault="00B363AD" w:rsidP="00B363AD">
            <w:pPr>
              <w:spacing w:line="360" w:lineRule="auto"/>
              <w:jc w:val="center"/>
              <w:rPr>
                <w:rFonts w:ascii="Cambria" w:hAnsi="Cambria"/>
                <w:sz w:val="24"/>
                <w:szCs w:val="24"/>
                <w:lang w:val="ro-RO"/>
              </w:rPr>
            </w:pPr>
            <w:r w:rsidRPr="00EA1BB2">
              <w:rPr>
                <w:rFonts w:ascii="Cambria" w:hAnsi="Cambria"/>
                <w:sz w:val="24"/>
                <w:szCs w:val="24"/>
                <w:lang w:val="ro-RO"/>
              </w:rPr>
              <w:t>29</w:t>
            </w:r>
          </w:p>
        </w:tc>
        <w:tc>
          <w:tcPr>
            <w:tcW w:w="2409" w:type="dxa"/>
            <w:vAlign w:val="center"/>
          </w:tcPr>
          <w:p w14:paraId="416EC488" w14:textId="4445C596" w:rsidR="00B363AD" w:rsidRPr="00EA1BB2" w:rsidRDefault="00B363AD" w:rsidP="00B363AD">
            <w:pPr>
              <w:spacing w:line="360" w:lineRule="auto"/>
              <w:rPr>
                <w:rFonts w:ascii="Cambria" w:hAnsi="Cambria"/>
                <w:sz w:val="24"/>
                <w:szCs w:val="24"/>
                <w:lang w:val="ro-RO"/>
              </w:rPr>
            </w:pPr>
            <w:r w:rsidRPr="00EA1BB2">
              <w:rPr>
                <w:rFonts w:ascii="Cambria" w:hAnsi="Cambria"/>
                <w:sz w:val="24"/>
                <w:szCs w:val="24"/>
                <w:lang w:val="ro-RO"/>
              </w:rPr>
              <w:t>Siliștea</w:t>
            </w:r>
          </w:p>
        </w:tc>
        <w:tc>
          <w:tcPr>
            <w:tcW w:w="1418" w:type="dxa"/>
            <w:vAlign w:val="center"/>
          </w:tcPr>
          <w:p w14:paraId="6F238E33" w14:textId="4BA01692" w:rsidR="00B363AD" w:rsidRPr="00EA1BB2" w:rsidRDefault="00B363AD" w:rsidP="00B363AD">
            <w:pPr>
              <w:spacing w:line="360" w:lineRule="auto"/>
              <w:jc w:val="center"/>
              <w:rPr>
                <w:rFonts w:ascii="Cambria" w:hAnsi="Cambria"/>
                <w:sz w:val="24"/>
                <w:szCs w:val="24"/>
                <w:lang w:val="ro-RO"/>
              </w:rPr>
            </w:pPr>
            <w:r w:rsidRPr="00EA1BB2">
              <w:rPr>
                <w:rFonts w:ascii="Cambria" w:hAnsi="Cambria"/>
                <w:sz w:val="24"/>
                <w:szCs w:val="24"/>
                <w:lang w:val="ro-RO"/>
              </w:rPr>
              <w:t>11920</w:t>
            </w:r>
          </w:p>
        </w:tc>
      </w:tr>
      <w:tr w:rsidR="00B363AD" w:rsidRPr="00EA1BB2" w14:paraId="21B6E219" w14:textId="4213235A" w:rsidTr="00370EF5">
        <w:trPr>
          <w:jc w:val="center"/>
        </w:trPr>
        <w:tc>
          <w:tcPr>
            <w:tcW w:w="704" w:type="dxa"/>
            <w:vAlign w:val="center"/>
          </w:tcPr>
          <w:p w14:paraId="40ED3D4A" w14:textId="386349C4" w:rsidR="00B363AD" w:rsidRPr="00EA1BB2" w:rsidRDefault="00B363AD" w:rsidP="00B363AD">
            <w:pPr>
              <w:spacing w:line="360" w:lineRule="auto"/>
              <w:contextualSpacing/>
              <w:jc w:val="center"/>
              <w:rPr>
                <w:rFonts w:ascii="Cambria" w:hAnsi="Cambria" w:cs="Times New Roman"/>
                <w:sz w:val="24"/>
                <w:szCs w:val="24"/>
                <w:lang w:val="ro-RO"/>
              </w:rPr>
            </w:pPr>
            <w:r w:rsidRPr="00EA1BB2">
              <w:rPr>
                <w:rFonts w:ascii="Cambria" w:hAnsi="Cambria" w:cs="Times New Roman"/>
                <w:sz w:val="24"/>
                <w:szCs w:val="24"/>
                <w:lang w:val="ro-RO"/>
              </w:rPr>
              <w:t>13</w:t>
            </w:r>
          </w:p>
        </w:tc>
        <w:tc>
          <w:tcPr>
            <w:tcW w:w="2552" w:type="dxa"/>
          </w:tcPr>
          <w:p w14:paraId="6855185F" w14:textId="78148E4B" w:rsidR="00B363AD" w:rsidRPr="00EA1BB2" w:rsidRDefault="00B363AD" w:rsidP="00B363AD">
            <w:pPr>
              <w:spacing w:line="360" w:lineRule="auto"/>
              <w:jc w:val="both"/>
              <w:rPr>
                <w:rFonts w:ascii="Cambria" w:hAnsi="Cambria" w:cs="Times New Roman"/>
                <w:sz w:val="24"/>
                <w:szCs w:val="24"/>
                <w:lang w:val="ro-RO"/>
              </w:rPr>
            </w:pPr>
            <w:r w:rsidRPr="00EA1BB2">
              <w:rPr>
                <w:rFonts w:ascii="Cambria" w:hAnsi="Cambria"/>
                <w:sz w:val="24"/>
                <w:szCs w:val="24"/>
                <w:lang w:val="ro-RO"/>
              </w:rPr>
              <w:t>Frecăței</w:t>
            </w:r>
          </w:p>
        </w:tc>
        <w:tc>
          <w:tcPr>
            <w:tcW w:w="1417" w:type="dxa"/>
            <w:tcBorders>
              <w:right w:val="double" w:sz="4" w:space="0" w:color="auto"/>
            </w:tcBorders>
            <w:vAlign w:val="center"/>
          </w:tcPr>
          <w:p w14:paraId="2394E235" w14:textId="77777777" w:rsidR="00B363AD" w:rsidRPr="00EA1BB2" w:rsidRDefault="00B363AD" w:rsidP="00B363AD">
            <w:pPr>
              <w:spacing w:line="360" w:lineRule="auto"/>
              <w:jc w:val="center"/>
              <w:rPr>
                <w:rFonts w:ascii="Cambria" w:hAnsi="Cambria" w:cs="Times New Roman"/>
                <w:sz w:val="24"/>
                <w:szCs w:val="24"/>
                <w:lang w:val="ro-RO"/>
              </w:rPr>
            </w:pPr>
            <w:r w:rsidRPr="00EA1BB2">
              <w:rPr>
                <w:rFonts w:ascii="Cambria" w:hAnsi="Cambria"/>
                <w:sz w:val="24"/>
                <w:szCs w:val="24"/>
                <w:lang w:val="ro-RO"/>
              </w:rPr>
              <w:t>42977</w:t>
            </w:r>
          </w:p>
        </w:tc>
        <w:tc>
          <w:tcPr>
            <w:tcW w:w="783" w:type="dxa"/>
            <w:tcBorders>
              <w:left w:val="double" w:sz="4" w:space="0" w:color="auto"/>
            </w:tcBorders>
          </w:tcPr>
          <w:p w14:paraId="72C68AC4" w14:textId="19F85A2C" w:rsidR="00B363AD" w:rsidRPr="00EA1BB2" w:rsidRDefault="00B363AD" w:rsidP="00B363AD">
            <w:pPr>
              <w:spacing w:line="360" w:lineRule="auto"/>
              <w:jc w:val="center"/>
              <w:rPr>
                <w:rFonts w:ascii="Cambria" w:hAnsi="Cambria"/>
                <w:sz w:val="24"/>
                <w:szCs w:val="24"/>
                <w:lang w:val="ro-RO"/>
              </w:rPr>
            </w:pPr>
            <w:r w:rsidRPr="00EA1BB2">
              <w:rPr>
                <w:rFonts w:ascii="Cambria" w:hAnsi="Cambria"/>
                <w:sz w:val="24"/>
                <w:szCs w:val="24"/>
                <w:lang w:val="ro-RO"/>
              </w:rPr>
              <w:t>30</w:t>
            </w:r>
          </w:p>
        </w:tc>
        <w:tc>
          <w:tcPr>
            <w:tcW w:w="2409" w:type="dxa"/>
            <w:vAlign w:val="center"/>
          </w:tcPr>
          <w:p w14:paraId="4471B9C5" w14:textId="328B2B5A" w:rsidR="00B363AD" w:rsidRPr="00EA1BB2" w:rsidRDefault="00B363AD" w:rsidP="00B363AD">
            <w:pPr>
              <w:spacing w:line="360" w:lineRule="auto"/>
              <w:rPr>
                <w:rFonts w:ascii="Cambria" w:hAnsi="Cambria"/>
                <w:sz w:val="24"/>
                <w:szCs w:val="24"/>
                <w:lang w:val="ro-RO"/>
              </w:rPr>
            </w:pPr>
            <w:r w:rsidRPr="00EA1BB2">
              <w:rPr>
                <w:rFonts w:ascii="Cambria" w:hAnsi="Cambria"/>
                <w:sz w:val="24"/>
                <w:szCs w:val="24"/>
                <w:lang w:val="ro-RO"/>
              </w:rPr>
              <w:t>Stăncuța</w:t>
            </w:r>
          </w:p>
        </w:tc>
        <w:tc>
          <w:tcPr>
            <w:tcW w:w="1418" w:type="dxa"/>
            <w:vAlign w:val="center"/>
          </w:tcPr>
          <w:p w14:paraId="73401207" w14:textId="5C8EFC11" w:rsidR="00B363AD" w:rsidRPr="00EA1BB2" w:rsidRDefault="00B363AD" w:rsidP="00B363AD">
            <w:pPr>
              <w:spacing w:line="360" w:lineRule="auto"/>
              <w:jc w:val="center"/>
              <w:rPr>
                <w:rFonts w:ascii="Cambria" w:hAnsi="Cambria"/>
                <w:sz w:val="24"/>
                <w:szCs w:val="24"/>
                <w:lang w:val="ro-RO"/>
              </w:rPr>
            </w:pPr>
            <w:r w:rsidRPr="00EA1BB2">
              <w:rPr>
                <w:rFonts w:ascii="Cambria" w:hAnsi="Cambria"/>
                <w:sz w:val="24"/>
                <w:szCs w:val="24"/>
                <w:lang w:val="ro-RO"/>
              </w:rPr>
              <w:t>25608</w:t>
            </w:r>
          </w:p>
        </w:tc>
      </w:tr>
      <w:tr w:rsidR="00B363AD" w:rsidRPr="00EA1BB2" w14:paraId="22B06652" w14:textId="7C008AAE" w:rsidTr="00370EF5">
        <w:trPr>
          <w:jc w:val="center"/>
        </w:trPr>
        <w:tc>
          <w:tcPr>
            <w:tcW w:w="704" w:type="dxa"/>
            <w:vAlign w:val="center"/>
          </w:tcPr>
          <w:p w14:paraId="000CA091" w14:textId="50159636" w:rsidR="00B363AD" w:rsidRPr="00EA1BB2" w:rsidRDefault="00B363AD" w:rsidP="00B363AD">
            <w:pPr>
              <w:spacing w:line="360" w:lineRule="auto"/>
              <w:contextualSpacing/>
              <w:jc w:val="center"/>
              <w:rPr>
                <w:rFonts w:ascii="Cambria" w:hAnsi="Cambria" w:cs="Times New Roman"/>
                <w:sz w:val="24"/>
                <w:szCs w:val="24"/>
                <w:lang w:val="ro-RO"/>
              </w:rPr>
            </w:pPr>
            <w:r w:rsidRPr="00EA1BB2">
              <w:rPr>
                <w:rFonts w:ascii="Cambria" w:hAnsi="Cambria" w:cs="Times New Roman"/>
                <w:sz w:val="24"/>
                <w:szCs w:val="24"/>
                <w:lang w:val="ro-RO"/>
              </w:rPr>
              <w:t>14</w:t>
            </w:r>
          </w:p>
        </w:tc>
        <w:tc>
          <w:tcPr>
            <w:tcW w:w="2552" w:type="dxa"/>
          </w:tcPr>
          <w:p w14:paraId="7F789916" w14:textId="77777777" w:rsidR="00B363AD" w:rsidRPr="00EA1BB2" w:rsidRDefault="00B363AD" w:rsidP="00B363AD">
            <w:pPr>
              <w:spacing w:line="360" w:lineRule="auto"/>
              <w:jc w:val="both"/>
              <w:rPr>
                <w:rFonts w:ascii="Cambria" w:hAnsi="Cambria" w:cs="Times New Roman"/>
                <w:sz w:val="24"/>
                <w:szCs w:val="24"/>
                <w:lang w:val="ro-RO"/>
              </w:rPr>
            </w:pPr>
            <w:r w:rsidRPr="00EA1BB2">
              <w:rPr>
                <w:rFonts w:ascii="Cambria" w:hAnsi="Cambria"/>
                <w:sz w:val="24"/>
                <w:szCs w:val="24"/>
                <w:lang w:val="ro-RO"/>
              </w:rPr>
              <w:t>Galbenu</w:t>
            </w:r>
          </w:p>
        </w:tc>
        <w:tc>
          <w:tcPr>
            <w:tcW w:w="1417" w:type="dxa"/>
            <w:tcBorders>
              <w:right w:val="double" w:sz="4" w:space="0" w:color="auto"/>
            </w:tcBorders>
            <w:vAlign w:val="center"/>
          </w:tcPr>
          <w:p w14:paraId="5095ECF5" w14:textId="77777777" w:rsidR="00B363AD" w:rsidRPr="00EA1BB2" w:rsidRDefault="00B363AD" w:rsidP="00B363AD">
            <w:pPr>
              <w:spacing w:line="360" w:lineRule="auto"/>
              <w:jc w:val="center"/>
              <w:rPr>
                <w:rFonts w:ascii="Cambria" w:hAnsi="Cambria" w:cs="Times New Roman"/>
                <w:sz w:val="24"/>
                <w:szCs w:val="24"/>
                <w:lang w:val="ro-RO"/>
              </w:rPr>
            </w:pPr>
            <w:r w:rsidRPr="00EA1BB2">
              <w:rPr>
                <w:rFonts w:ascii="Cambria" w:hAnsi="Cambria"/>
                <w:sz w:val="24"/>
                <w:szCs w:val="24"/>
                <w:lang w:val="ro-RO"/>
              </w:rPr>
              <w:t>8358</w:t>
            </w:r>
          </w:p>
        </w:tc>
        <w:tc>
          <w:tcPr>
            <w:tcW w:w="783" w:type="dxa"/>
            <w:tcBorders>
              <w:left w:val="double" w:sz="4" w:space="0" w:color="auto"/>
            </w:tcBorders>
          </w:tcPr>
          <w:p w14:paraId="675752E1" w14:textId="78A09A8E" w:rsidR="00B363AD" w:rsidRPr="00EA1BB2" w:rsidRDefault="00B363AD" w:rsidP="00B363AD">
            <w:pPr>
              <w:spacing w:line="360" w:lineRule="auto"/>
              <w:jc w:val="center"/>
              <w:rPr>
                <w:rFonts w:ascii="Cambria" w:hAnsi="Cambria"/>
                <w:sz w:val="24"/>
                <w:szCs w:val="24"/>
                <w:lang w:val="ro-RO"/>
              </w:rPr>
            </w:pPr>
            <w:r w:rsidRPr="00EA1BB2">
              <w:rPr>
                <w:rFonts w:ascii="Cambria" w:hAnsi="Cambria"/>
                <w:sz w:val="24"/>
                <w:szCs w:val="24"/>
                <w:lang w:val="ro-RO"/>
              </w:rPr>
              <w:t>31</w:t>
            </w:r>
          </w:p>
        </w:tc>
        <w:tc>
          <w:tcPr>
            <w:tcW w:w="2409" w:type="dxa"/>
            <w:vAlign w:val="center"/>
          </w:tcPr>
          <w:p w14:paraId="7DDBE70D" w14:textId="3813ED3D" w:rsidR="00B363AD" w:rsidRPr="00EA1BB2" w:rsidRDefault="00B363AD" w:rsidP="00B363AD">
            <w:pPr>
              <w:spacing w:line="360" w:lineRule="auto"/>
              <w:rPr>
                <w:rFonts w:ascii="Cambria" w:hAnsi="Cambria"/>
                <w:sz w:val="24"/>
                <w:szCs w:val="24"/>
                <w:lang w:val="ro-RO"/>
              </w:rPr>
            </w:pPr>
            <w:r w:rsidRPr="00EA1BB2">
              <w:rPr>
                <w:rFonts w:ascii="Cambria" w:hAnsi="Cambria"/>
                <w:sz w:val="24"/>
                <w:szCs w:val="24"/>
                <w:lang w:val="ro-RO"/>
              </w:rPr>
              <w:t>Surdila-Găiseanca</w:t>
            </w:r>
          </w:p>
        </w:tc>
        <w:tc>
          <w:tcPr>
            <w:tcW w:w="1418" w:type="dxa"/>
            <w:vAlign w:val="center"/>
          </w:tcPr>
          <w:p w14:paraId="3BD52408" w14:textId="44766287" w:rsidR="00B363AD" w:rsidRPr="00EA1BB2" w:rsidRDefault="00B363AD" w:rsidP="00B363AD">
            <w:pPr>
              <w:spacing w:line="360" w:lineRule="auto"/>
              <w:jc w:val="center"/>
              <w:rPr>
                <w:rFonts w:ascii="Cambria" w:hAnsi="Cambria"/>
                <w:sz w:val="24"/>
                <w:szCs w:val="24"/>
                <w:lang w:val="ro-RO"/>
              </w:rPr>
            </w:pPr>
            <w:r w:rsidRPr="00EA1BB2">
              <w:rPr>
                <w:rFonts w:ascii="Cambria" w:hAnsi="Cambria"/>
                <w:sz w:val="24"/>
                <w:szCs w:val="24"/>
                <w:lang w:val="ro-RO"/>
              </w:rPr>
              <w:t>6164</w:t>
            </w:r>
          </w:p>
        </w:tc>
      </w:tr>
      <w:tr w:rsidR="00B363AD" w:rsidRPr="00EA1BB2" w14:paraId="75CBFC7F" w14:textId="7AD41341" w:rsidTr="00370EF5">
        <w:trPr>
          <w:jc w:val="center"/>
        </w:trPr>
        <w:tc>
          <w:tcPr>
            <w:tcW w:w="704" w:type="dxa"/>
            <w:vAlign w:val="center"/>
          </w:tcPr>
          <w:p w14:paraId="6452202B" w14:textId="46B59624" w:rsidR="00B363AD" w:rsidRPr="00EA1BB2" w:rsidRDefault="00B363AD" w:rsidP="00B363AD">
            <w:pPr>
              <w:spacing w:line="360" w:lineRule="auto"/>
              <w:contextualSpacing/>
              <w:jc w:val="center"/>
              <w:rPr>
                <w:rFonts w:ascii="Cambria" w:hAnsi="Cambria" w:cs="Times New Roman"/>
                <w:sz w:val="24"/>
                <w:szCs w:val="24"/>
                <w:lang w:val="ro-RO"/>
              </w:rPr>
            </w:pPr>
            <w:r w:rsidRPr="00EA1BB2">
              <w:rPr>
                <w:rFonts w:ascii="Cambria" w:hAnsi="Cambria" w:cs="Times New Roman"/>
                <w:sz w:val="24"/>
                <w:szCs w:val="24"/>
                <w:lang w:val="ro-RO"/>
              </w:rPr>
              <w:t>15</w:t>
            </w:r>
          </w:p>
        </w:tc>
        <w:tc>
          <w:tcPr>
            <w:tcW w:w="2552" w:type="dxa"/>
          </w:tcPr>
          <w:p w14:paraId="3DA8FD4B" w14:textId="77777777" w:rsidR="00B363AD" w:rsidRPr="00EA1BB2" w:rsidRDefault="00B363AD" w:rsidP="00B363AD">
            <w:pPr>
              <w:spacing w:line="360" w:lineRule="auto"/>
              <w:jc w:val="both"/>
              <w:rPr>
                <w:rFonts w:ascii="Cambria" w:hAnsi="Cambria" w:cs="Times New Roman"/>
                <w:sz w:val="24"/>
                <w:szCs w:val="24"/>
                <w:lang w:val="ro-RO"/>
              </w:rPr>
            </w:pPr>
            <w:r w:rsidRPr="00EA1BB2">
              <w:rPr>
                <w:rFonts w:ascii="Cambria" w:hAnsi="Cambria"/>
                <w:sz w:val="24"/>
                <w:szCs w:val="24"/>
                <w:lang w:val="ro-RO"/>
              </w:rPr>
              <w:t>Gemenele</w:t>
            </w:r>
          </w:p>
        </w:tc>
        <w:tc>
          <w:tcPr>
            <w:tcW w:w="1417" w:type="dxa"/>
            <w:tcBorders>
              <w:right w:val="double" w:sz="4" w:space="0" w:color="auto"/>
            </w:tcBorders>
            <w:vAlign w:val="center"/>
          </w:tcPr>
          <w:p w14:paraId="170A00C3" w14:textId="77777777" w:rsidR="00B363AD" w:rsidRPr="00EA1BB2" w:rsidRDefault="00B363AD" w:rsidP="00B363AD">
            <w:pPr>
              <w:spacing w:line="360" w:lineRule="auto"/>
              <w:jc w:val="center"/>
              <w:rPr>
                <w:rFonts w:ascii="Cambria" w:hAnsi="Cambria" w:cs="Times New Roman"/>
                <w:sz w:val="24"/>
                <w:szCs w:val="24"/>
                <w:lang w:val="ro-RO"/>
              </w:rPr>
            </w:pPr>
            <w:r w:rsidRPr="00EA1BB2">
              <w:rPr>
                <w:rFonts w:ascii="Cambria" w:hAnsi="Cambria"/>
                <w:sz w:val="24"/>
                <w:szCs w:val="24"/>
                <w:lang w:val="ro-RO"/>
              </w:rPr>
              <w:t>4492</w:t>
            </w:r>
          </w:p>
        </w:tc>
        <w:tc>
          <w:tcPr>
            <w:tcW w:w="783" w:type="dxa"/>
            <w:tcBorders>
              <w:left w:val="double" w:sz="4" w:space="0" w:color="auto"/>
            </w:tcBorders>
          </w:tcPr>
          <w:p w14:paraId="30DA89D7" w14:textId="254C9C35" w:rsidR="00B363AD" w:rsidRPr="00EA1BB2" w:rsidRDefault="00B363AD" w:rsidP="00B363AD">
            <w:pPr>
              <w:spacing w:line="360" w:lineRule="auto"/>
              <w:jc w:val="center"/>
              <w:rPr>
                <w:rFonts w:ascii="Cambria" w:hAnsi="Cambria"/>
                <w:sz w:val="24"/>
                <w:szCs w:val="24"/>
                <w:lang w:val="ro-RO"/>
              </w:rPr>
            </w:pPr>
            <w:r w:rsidRPr="00EA1BB2">
              <w:rPr>
                <w:rFonts w:ascii="Cambria" w:hAnsi="Cambria"/>
                <w:sz w:val="24"/>
                <w:szCs w:val="24"/>
                <w:lang w:val="ro-RO"/>
              </w:rPr>
              <w:t>32</w:t>
            </w:r>
          </w:p>
        </w:tc>
        <w:tc>
          <w:tcPr>
            <w:tcW w:w="2409" w:type="dxa"/>
            <w:vAlign w:val="center"/>
          </w:tcPr>
          <w:p w14:paraId="2DAC089A" w14:textId="3E8C6505" w:rsidR="00B363AD" w:rsidRPr="00EA1BB2" w:rsidRDefault="00B363AD" w:rsidP="00B363AD">
            <w:pPr>
              <w:spacing w:line="360" w:lineRule="auto"/>
              <w:rPr>
                <w:rFonts w:ascii="Cambria" w:hAnsi="Cambria"/>
                <w:sz w:val="24"/>
                <w:szCs w:val="24"/>
                <w:lang w:val="ro-RO"/>
              </w:rPr>
            </w:pPr>
            <w:r w:rsidRPr="00EA1BB2">
              <w:rPr>
                <w:rFonts w:ascii="Cambria" w:hAnsi="Cambria"/>
                <w:sz w:val="24"/>
                <w:szCs w:val="24"/>
                <w:lang w:val="ro-RO"/>
              </w:rPr>
              <w:t>Surdila-Greci</w:t>
            </w:r>
          </w:p>
        </w:tc>
        <w:tc>
          <w:tcPr>
            <w:tcW w:w="1418" w:type="dxa"/>
            <w:vAlign w:val="center"/>
          </w:tcPr>
          <w:p w14:paraId="34F3A857" w14:textId="10AD2B50" w:rsidR="00B363AD" w:rsidRPr="00EA1BB2" w:rsidRDefault="00B363AD" w:rsidP="00B363AD">
            <w:pPr>
              <w:spacing w:line="360" w:lineRule="auto"/>
              <w:jc w:val="center"/>
              <w:rPr>
                <w:rFonts w:ascii="Cambria" w:hAnsi="Cambria"/>
                <w:sz w:val="24"/>
                <w:szCs w:val="24"/>
                <w:lang w:val="ro-RO"/>
              </w:rPr>
            </w:pPr>
            <w:r w:rsidRPr="00EA1BB2">
              <w:rPr>
                <w:rFonts w:ascii="Cambria" w:hAnsi="Cambria"/>
                <w:sz w:val="24"/>
                <w:szCs w:val="24"/>
                <w:lang w:val="ro-RO"/>
              </w:rPr>
              <w:t>9000</w:t>
            </w:r>
          </w:p>
        </w:tc>
      </w:tr>
      <w:tr w:rsidR="00B363AD" w:rsidRPr="00EA1BB2" w14:paraId="16C75F50" w14:textId="028DD1AC" w:rsidTr="00370EF5">
        <w:trPr>
          <w:jc w:val="center"/>
        </w:trPr>
        <w:tc>
          <w:tcPr>
            <w:tcW w:w="704" w:type="dxa"/>
            <w:vAlign w:val="center"/>
          </w:tcPr>
          <w:p w14:paraId="2DA2952A" w14:textId="0937BE55" w:rsidR="00B363AD" w:rsidRPr="00EA1BB2" w:rsidRDefault="00B363AD" w:rsidP="00B363AD">
            <w:pPr>
              <w:spacing w:line="360" w:lineRule="auto"/>
              <w:contextualSpacing/>
              <w:jc w:val="center"/>
              <w:rPr>
                <w:rFonts w:ascii="Cambria" w:hAnsi="Cambria" w:cs="Times New Roman"/>
                <w:sz w:val="24"/>
                <w:szCs w:val="24"/>
                <w:lang w:val="ro-RO"/>
              </w:rPr>
            </w:pPr>
            <w:r w:rsidRPr="00EA1BB2">
              <w:rPr>
                <w:rFonts w:ascii="Cambria" w:hAnsi="Cambria" w:cs="Times New Roman"/>
                <w:sz w:val="24"/>
                <w:szCs w:val="24"/>
                <w:lang w:val="ro-RO"/>
              </w:rPr>
              <w:t>16</w:t>
            </w:r>
          </w:p>
        </w:tc>
        <w:tc>
          <w:tcPr>
            <w:tcW w:w="2552" w:type="dxa"/>
          </w:tcPr>
          <w:p w14:paraId="51413E01" w14:textId="77777777" w:rsidR="00B363AD" w:rsidRPr="00EA1BB2" w:rsidRDefault="00B363AD" w:rsidP="00B363AD">
            <w:pPr>
              <w:spacing w:line="360" w:lineRule="auto"/>
              <w:jc w:val="both"/>
              <w:rPr>
                <w:rFonts w:ascii="Cambria" w:hAnsi="Cambria" w:cs="Times New Roman"/>
                <w:sz w:val="24"/>
                <w:szCs w:val="24"/>
                <w:lang w:val="ro-RO"/>
              </w:rPr>
            </w:pPr>
            <w:r w:rsidRPr="00EA1BB2">
              <w:rPr>
                <w:rFonts w:ascii="Cambria" w:hAnsi="Cambria"/>
                <w:sz w:val="24"/>
                <w:szCs w:val="24"/>
                <w:lang w:val="ro-RO"/>
              </w:rPr>
              <w:t>Grădiștea</w:t>
            </w:r>
          </w:p>
        </w:tc>
        <w:tc>
          <w:tcPr>
            <w:tcW w:w="1417" w:type="dxa"/>
            <w:tcBorders>
              <w:right w:val="double" w:sz="4" w:space="0" w:color="auto"/>
            </w:tcBorders>
            <w:vAlign w:val="center"/>
          </w:tcPr>
          <w:p w14:paraId="4EF48CB8" w14:textId="77777777" w:rsidR="00B363AD" w:rsidRPr="00EA1BB2" w:rsidRDefault="00B363AD" w:rsidP="00B363AD">
            <w:pPr>
              <w:spacing w:line="360" w:lineRule="auto"/>
              <w:jc w:val="center"/>
              <w:rPr>
                <w:rFonts w:ascii="Cambria" w:hAnsi="Cambria" w:cs="Times New Roman"/>
                <w:sz w:val="24"/>
                <w:szCs w:val="24"/>
                <w:lang w:val="ro-RO"/>
              </w:rPr>
            </w:pPr>
            <w:r w:rsidRPr="00EA1BB2">
              <w:rPr>
                <w:rFonts w:ascii="Cambria" w:hAnsi="Cambria"/>
                <w:sz w:val="24"/>
                <w:szCs w:val="24"/>
                <w:lang w:val="ro-RO"/>
              </w:rPr>
              <w:t>6457</w:t>
            </w:r>
          </w:p>
        </w:tc>
        <w:tc>
          <w:tcPr>
            <w:tcW w:w="783" w:type="dxa"/>
            <w:tcBorders>
              <w:left w:val="double" w:sz="4" w:space="0" w:color="auto"/>
            </w:tcBorders>
          </w:tcPr>
          <w:p w14:paraId="12724EE0" w14:textId="21C44042" w:rsidR="00B363AD" w:rsidRPr="00EA1BB2" w:rsidRDefault="00B363AD" w:rsidP="00B363AD">
            <w:pPr>
              <w:spacing w:line="360" w:lineRule="auto"/>
              <w:jc w:val="center"/>
              <w:rPr>
                <w:rFonts w:ascii="Cambria" w:hAnsi="Cambria"/>
                <w:sz w:val="24"/>
                <w:szCs w:val="24"/>
                <w:lang w:val="ro-RO"/>
              </w:rPr>
            </w:pPr>
            <w:r w:rsidRPr="00EA1BB2">
              <w:rPr>
                <w:rFonts w:ascii="Cambria" w:hAnsi="Cambria"/>
                <w:sz w:val="24"/>
                <w:szCs w:val="24"/>
                <w:lang w:val="ro-RO"/>
              </w:rPr>
              <w:t>33</w:t>
            </w:r>
          </w:p>
        </w:tc>
        <w:tc>
          <w:tcPr>
            <w:tcW w:w="2409" w:type="dxa"/>
            <w:vAlign w:val="center"/>
          </w:tcPr>
          <w:p w14:paraId="209FE5DE" w14:textId="73FF0434" w:rsidR="00B363AD" w:rsidRPr="00EA1BB2" w:rsidRDefault="00B363AD" w:rsidP="00B363AD">
            <w:pPr>
              <w:spacing w:line="360" w:lineRule="auto"/>
              <w:rPr>
                <w:rFonts w:ascii="Cambria" w:hAnsi="Cambria"/>
                <w:sz w:val="24"/>
                <w:szCs w:val="24"/>
                <w:lang w:val="ro-RO"/>
              </w:rPr>
            </w:pPr>
            <w:r w:rsidRPr="00EA1BB2">
              <w:rPr>
                <w:rFonts w:ascii="Cambria" w:hAnsi="Cambria"/>
                <w:sz w:val="24"/>
                <w:szCs w:val="24"/>
                <w:lang w:val="ro-RO"/>
              </w:rPr>
              <w:t>Șuțești</w:t>
            </w:r>
          </w:p>
        </w:tc>
        <w:tc>
          <w:tcPr>
            <w:tcW w:w="1418" w:type="dxa"/>
            <w:vAlign w:val="center"/>
          </w:tcPr>
          <w:p w14:paraId="15B17294" w14:textId="5DF6CD1B" w:rsidR="00B363AD" w:rsidRPr="00EA1BB2" w:rsidRDefault="00B363AD" w:rsidP="00B363AD">
            <w:pPr>
              <w:spacing w:line="360" w:lineRule="auto"/>
              <w:jc w:val="center"/>
              <w:rPr>
                <w:rFonts w:ascii="Cambria" w:hAnsi="Cambria"/>
                <w:sz w:val="24"/>
                <w:szCs w:val="24"/>
                <w:lang w:val="ro-RO"/>
              </w:rPr>
            </w:pPr>
            <w:r w:rsidRPr="00EA1BB2">
              <w:rPr>
                <w:rFonts w:ascii="Cambria" w:hAnsi="Cambria"/>
                <w:sz w:val="24"/>
                <w:szCs w:val="24"/>
                <w:lang w:val="ro-RO"/>
              </w:rPr>
              <w:t>6796</w:t>
            </w:r>
          </w:p>
        </w:tc>
      </w:tr>
      <w:tr w:rsidR="00B363AD" w:rsidRPr="00EA1BB2" w14:paraId="0E65FFE1" w14:textId="538548FF" w:rsidTr="00370EF5">
        <w:trPr>
          <w:jc w:val="center"/>
        </w:trPr>
        <w:tc>
          <w:tcPr>
            <w:tcW w:w="704" w:type="dxa"/>
            <w:vAlign w:val="center"/>
          </w:tcPr>
          <w:p w14:paraId="79A04C30" w14:textId="2DF9C606" w:rsidR="00B363AD" w:rsidRPr="00EA1BB2" w:rsidRDefault="00B363AD" w:rsidP="00B363AD">
            <w:pPr>
              <w:spacing w:line="360" w:lineRule="auto"/>
              <w:contextualSpacing/>
              <w:jc w:val="center"/>
              <w:rPr>
                <w:rFonts w:ascii="Cambria" w:hAnsi="Cambria" w:cs="Times New Roman"/>
                <w:sz w:val="24"/>
                <w:szCs w:val="24"/>
                <w:lang w:val="ro-RO"/>
              </w:rPr>
            </w:pPr>
            <w:r w:rsidRPr="00EA1BB2">
              <w:rPr>
                <w:rFonts w:ascii="Cambria" w:hAnsi="Cambria" w:cs="Times New Roman"/>
                <w:sz w:val="24"/>
                <w:szCs w:val="24"/>
                <w:lang w:val="ro-RO"/>
              </w:rPr>
              <w:t>17</w:t>
            </w:r>
          </w:p>
        </w:tc>
        <w:tc>
          <w:tcPr>
            <w:tcW w:w="2552" w:type="dxa"/>
          </w:tcPr>
          <w:p w14:paraId="1597BC42" w14:textId="77777777" w:rsidR="00B363AD" w:rsidRPr="00EA1BB2" w:rsidRDefault="00B363AD" w:rsidP="00B363AD">
            <w:pPr>
              <w:spacing w:line="360" w:lineRule="auto"/>
              <w:jc w:val="both"/>
              <w:rPr>
                <w:rFonts w:ascii="Cambria" w:hAnsi="Cambria" w:cs="Times New Roman"/>
                <w:sz w:val="24"/>
                <w:szCs w:val="24"/>
                <w:lang w:val="ro-RO"/>
              </w:rPr>
            </w:pPr>
            <w:r w:rsidRPr="00EA1BB2">
              <w:rPr>
                <w:rFonts w:ascii="Cambria" w:hAnsi="Cambria"/>
                <w:sz w:val="24"/>
                <w:szCs w:val="24"/>
                <w:lang w:val="ro-RO"/>
              </w:rPr>
              <w:t>Gropeni</w:t>
            </w:r>
          </w:p>
        </w:tc>
        <w:tc>
          <w:tcPr>
            <w:tcW w:w="1417" w:type="dxa"/>
            <w:tcBorders>
              <w:right w:val="double" w:sz="4" w:space="0" w:color="auto"/>
            </w:tcBorders>
            <w:vAlign w:val="center"/>
          </w:tcPr>
          <w:p w14:paraId="791DFC53" w14:textId="77777777" w:rsidR="00B363AD" w:rsidRPr="00EA1BB2" w:rsidRDefault="00B363AD" w:rsidP="00B363AD">
            <w:pPr>
              <w:spacing w:line="360" w:lineRule="auto"/>
              <w:jc w:val="center"/>
              <w:rPr>
                <w:rFonts w:ascii="Cambria" w:hAnsi="Cambria" w:cs="Times New Roman"/>
                <w:sz w:val="24"/>
                <w:szCs w:val="24"/>
                <w:lang w:val="ro-RO"/>
              </w:rPr>
            </w:pPr>
            <w:r w:rsidRPr="00EA1BB2">
              <w:rPr>
                <w:rFonts w:ascii="Cambria" w:hAnsi="Cambria"/>
                <w:sz w:val="24"/>
                <w:szCs w:val="24"/>
                <w:lang w:val="ro-RO"/>
              </w:rPr>
              <w:t>7948</w:t>
            </w:r>
          </w:p>
        </w:tc>
        <w:tc>
          <w:tcPr>
            <w:tcW w:w="783" w:type="dxa"/>
            <w:tcBorders>
              <w:left w:val="double" w:sz="4" w:space="0" w:color="auto"/>
            </w:tcBorders>
          </w:tcPr>
          <w:p w14:paraId="6E2C638A" w14:textId="62E526C6" w:rsidR="00B363AD" w:rsidRPr="00EA1BB2" w:rsidRDefault="00B363AD" w:rsidP="00B363AD">
            <w:pPr>
              <w:spacing w:line="360" w:lineRule="auto"/>
              <w:jc w:val="center"/>
              <w:rPr>
                <w:rFonts w:ascii="Cambria" w:hAnsi="Cambria"/>
                <w:sz w:val="24"/>
                <w:szCs w:val="24"/>
                <w:lang w:val="ro-RO"/>
              </w:rPr>
            </w:pPr>
            <w:r w:rsidRPr="00EA1BB2">
              <w:rPr>
                <w:rFonts w:ascii="Cambria" w:hAnsi="Cambria"/>
                <w:sz w:val="24"/>
                <w:szCs w:val="24"/>
                <w:lang w:val="ro-RO"/>
              </w:rPr>
              <w:t>34</w:t>
            </w:r>
          </w:p>
        </w:tc>
        <w:tc>
          <w:tcPr>
            <w:tcW w:w="2409" w:type="dxa"/>
            <w:vAlign w:val="center"/>
          </w:tcPr>
          <w:p w14:paraId="567A90E5" w14:textId="7A5B6FCF" w:rsidR="00B363AD" w:rsidRPr="00EA1BB2" w:rsidRDefault="00B363AD" w:rsidP="00B363AD">
            <w:pPr>
              <w:spacing w:line="360" w:lineRule="auto"/>
              <w:rPr>
                <w:rFonts w:ascii="Cambria" w:hAnsi="Cambria"/>
                <w:sz w:val="24"/>
                <w:szCs w:val="24"/>
                <w:lang w:val="ro-RO"/>
              </w:rPr>
            </w:pPr>
            <w:r w:rsidRPr="00EA1BB2">
              <w:rPr>
                <w:rFonts w:ascii="Cambria" w:hAnsi="Cambria"/>
                <w:sz w:val="24"/>
                <w:szCs w:val="24"/>
                <w:lang w:val="ro-RO"/>
              </w:rPr>
              <w:t>Tichilești</w:t>
            </w:r>
          </w:p>
        </w:tc>
        <w:tc>
          <w:tcPr>
            <w:tcW w:w="1418" w:type="dxa"/>
            <w:vAlign w:val="center"/>
          </w:tcPr>
          <w:p w14:paraId="3B4E3614" w14:textId="63453F3D" w:rsidR="00B363AD" w:rsidRPr="00EA1BB2" w:rsidRDefault="00B363AD" w:rsidP="00B363AD">
            <w:pPr>
              <w:spacing w:line="360" w:lineRule="auto"/>
              <w:jc w:val="center"/>
              <w:rPr>
                <w:rFonts w:ascii="Cambria" w:hAnsi="Cambria"/>
                <w:sz w:val="24"/>
                <w:szCs w:val="24"/>
                <w:lang w:val="ro-RO"/>
              </w:rPr>
            </w:pPr>
            <w:r w:rsidRPr="00EA1BB2">
              <w:rPr>
                <w:rFonts w:ascii="Cambria" w:hAnsi="Cambria"/>
                <w:sz w:val="24"/>
                <w:szCs w:val="24"/>
                <w:lang w:val="ro-RO"/>
              </w:rPr>
              <w:t>6348</w:t>
            </w:r>
          </w:p>
        </w:tc>
      </w:tr>
      <w:tr w:rsidR="00B363AD" w:rsidRPr="00EA1BB2" w14:paraId="6925DC7A" w14:textId="427D7621" w:rsidTr="00A96DD2">
        <w:trPr>
          <w:jc w:val="center"/>
        </w:trPr>
        <w:tc>
          <w:tcPr>
            <w:tcW w:w="704" w:type="dxa"/>
            <w:vAlign w:val="center"/>
          </w:tcPr>
          <w:p w14:paraId="7A161ACC" w14:textId="4D4B9B8B" w:rsidR="00B363AD" w:rsidRPr="00EA1BB2" w:rsidRDefault="00B363AD" w:rsidP="00B363AD">
            <w:pPr>
              <w:spacing w:line="360" w:lineRule="auto"/>
              <w:contextualSpacing/>
              <w:jc w:val="center"/>
              <w:rPr>
                <w:rFonts w:ascii="Cambria" w:hAnsi="Cambria" w:cs="Times New Roman"/>
                <w:sz w:val="24"/>
                <w:szCs w:val="24"/>
                <w:lang w:val="ro-RO"/>
              </w:rPr>
            </w:pPr>
            <w:r w:rsidRPr="00EA1BB2">
              <w:rPr>
                <w:rFonts w:ascii="Cambria" w:hAnsi="Cambria" w:cs="Times New Roman"/>
                <w:sz w:val="24"/>
                <w:szCs w:val="24"/>
                <w:lang w:val="ro-RO"/>
              </w:rPr>
              <w:lastRenderedPageBreak/>
              <w:t>35</w:t>
            </w:r>
          </w:p>
        </w:tc>
        <w:tc>
          <w:tcPr>
            <w:tcW w:w="2552" w:type="dxa"/>
          </w:tcPr>
          <w:p w14:paraId="3D0F0FED" w14:textId="3AEA85E9" w:rsidR="00B363AD" w:rsidRPr="00EA1BB2" w:rsidRDefault="00B363AD" w:rsidP="00B363AD">
            <w:pPr>
              <w:spacing w:line="360" w:lineRule="auto"/>
              <w:jc w:val="both"/>
              <w:rPr>
                <w:rFonts w:ascii="Cambria" w:hAnsi="Cambria" w:cs="Times New Roman"/>
                <w:sz w:val="24"/>
                <w:szCs w:val="24"/>
                <w:lang w:val="ro-RO"/>
              </w:rPr>
            </w:pPr>
            <w:r w:rsidRPr="00EA1BB2">
              <w:rPr>
                <w:rFonts w:ascii="Cambria" w:hAnsi="Cambria"/>
                <w:sz w:val="24"/>
                <w:szCs w:val="24"/>
                <w:lang w:val="ro-RO"/>
              </w:rPr>
              <w:t>Traian</w:t>
            </w:r>
          </w:p>
        </w:tc>
        <w:tc>
          <w:tcPr>
            <w:tcW w:w="1417" w:type="dxa"/>
            <w:vAlign w:val="center"/>
          </w:tcPr>
          <w:p w14:paraId="05E2CED8" w14:textId="3121E789" w:rsidR="00B363AD" w:rsidRPr="00EA1BB2" w:rsidRDefault="00B363AD" w:rsidP="00B363AD">
            <w:pPr>
              <w:spacing w:line="360" w:lineRule="auto"/>
              <w:jc w:val="center"/>
              <w:rPr>
                <w:rFonts w:ascii="Cambria" w:hAnsi="Cambria" w:cs="Times New Roman"/>
                <w:sz w:val="24"/>
                <w:szCs w:val="24"/>
                <w:lang w:val="ro-RO"/>
              </w:rPr>
            </w:pPr>
            <w:r w:rsidRPr="00EA1BB2">
              <w:rPr>
                <w:rFonts w:ascii="Cambria" w:hAnsi="Cambria"/>
                <w:sz w:val="24"/>
                <w:szCs w:val="24"/>
                <w:lang w:val="ro-RO"/>
              </w:rPr>
              <w:t>16419</w:t>
            </w:r>
          </w:p>
        </w:tc>
        <w:tc>
          <w:tcPr>
            <w:tcW w:w="783" w:type="dxa"/>
            <w:vAlign w:val="center"/>
          </w:tcPr>
          <w:p w14:paraId="191D85CA" w14:textId="27D21C18" w:rsidR="00B363AD" w:rsidRPr="00EA1BB2" w:rsidRDefault="00B363AD" w:rsidP="00B363AD">
            <w:pPr>
              <w:spacing w:line="360" w:lineRule="auto"/>
              <w:jc w:val="center"/>
              <w:rPr>
                <w:rFonts w:ascii="Cambria" w:hAnsi="Cambria"/>
                <w:sz w:val="24"/>
                <w:szCs w:val="24"/>
                <w:lang w:val="ro-RO"/>
              </w:rPr>
            </w:pPr>
            <w:r w:rsidRPr="00EA1BB2">
              <w:rPr>
                <w:rFonts w:ascii="Cambria" w:hAnsi="Cambria" w:cs="Times New Roman"/>
                <w:sz w:val="24"/>
                <w:szCs w:val="24"/>
                <w:lang w:val="ro-RO"/>
              </w:rPr>
              <w:t>40</w:t>
            </w:r>
          </w:p>
        </w:tc>
        <w:tc>
          <w:tcPr>
            <w:tcW w:w="2409" w:type="dxa"/>
          </w:tcPr>
          <w:p w14:paraId="4DD8B6AE" w14:textId="22398459" w:rsidR="00B363AD" w:rsidRPr="00EA1BB2" w:rsidRDefault="00B363AD" w:rsidP="00B363AD">
            <w:pPr>
              <w:spacing w:line="360" w:lineRule="auto"/>
              <w:rPr>
                <w:rFonts w:ascii="Cambria" w:hAnsi="Cambria"/>
                <w:sz w:val="24"/>
                <w:szCs w:val="24"/>
                <w:lang w:val="ro-RO"/>
              </w:rPr>
            </w:pPr>
            <w:r w:rsidRPr="00EA1BB2">
              <w:rPr>
                <w:rFonts w:ascii="Cambria" w:hAnsi="Cambria"/>
                <w:sz w:val="24"/>
                <w:szCs w:val="24"/>
                <w:lang w:val="ro-RO"/>
              </w:rPr>
              <w:t>Vădeni</w:t>
            </w:r>
          </w:p>
        </w:tc>
        <w:tc>
          <w:tcPr>
            <w:tcW w:w="1418" w:type="dxa"/>
            <w:tcBorders>
              <w:right w:val="double" w:sz="4" w:space="0" w:color="auto"/>
            </w:tcBorders>
            <w:vAlign w:val="center"/>
          </w:tcPr>
          <w:p w14:paraId="6229BA29" w14:textId="23151A0E" w:rsidR="00B363AD" w:rsidRPr="00EA1BB2" w:rsidRDefault="00B363AD" w:rsidP="00B363AD">
            <w:pPr>
              <w:spacing w:line="360" w:lineRule="auto"/>
              <w:jc w:val="center"/>
              <w:rPr>
                <w:rFonts w:ascii="Cambria" w:hAnsi="Cambria"/>
                <w:sz w:val="24"/>
                <w:szCs w:val="24"/>
                <w:lang w:val="ro-RO"/>
              </w:rPr>
            </w:pPr>
            <w:r w:rsidRPr="00EA1BB2">
              <w:rPr>
                <w:rFonts w:ascii="Cambria" w:hAnsi="Cambria"/>
                <w:sz w:val="24"/>
                <w:szCs w:val="24"/>
                <w:lang w:val="ro-RO"/>
              </w:rPr>
              <w:t>15582</w:t>
            </w:r>
          </w:p>
        </w:tc>
      </w:tr>
      <w:tr w:rsidR="00B363AD" w:rsidRPr="00EA1BB2" w14:paraId="69B851CF" w14:textId="75D79F7E" w:rsidTr="00A96DD2">
        <w:trPr>
          <w:jc w:val="center"/>
        </w:trPr>
        <w:tc>
          <w:tcPr>
            <w:tcW w:w="704" w:type="dxa"/>
            <w:vAlign w:val="center"/>
          </w:tcPr>
          <w:p w14:paraId="6C88345F" w14:textId="2DE930AA" w:rsidR="00B363AD" w:rsidRPr="00EA1BB2" w:rsidRDefault="00B363AD" w:rsidP="00B363AD">
            <w:pPr>
              <w:spacing w:line="360" w:lineRule="auto"/>
              <w:contextualSpacing/>
              <w:jc w:val="center"/>
              <w:rPr>
                <w:rFonts w:ascii="Cambria" w:hAnsi="Cambria" w:cs="Times New Roman"/>
                <w:sz w:val="24"/>
                <w:szCs w:val="24"/>
                <w:lang w:val="ro-RO"/>
              </w:rPr>
            </w:pPr>
            <w:r w:rsidRPr="00EA1BB2">
              <w:rPr>
                <w:rFonts w:ascii="Cambria" w:hAnsi="Cambria" w:cs="Times New Roman"/>
                <w:sz w:val="24"/>
                <w:szCs w:val="24"/>
                <w:lang w:val="ro-RO"/>
              </w:rPr>
              <w:t>36</w:t>
            </w:r>
          </w:p>
        </w:tc>
        <w:tc>
          <w:tcPr>
            <w:tcW w:w="2552" w:type="dxa"/>
          </w:tcPr>
          <w:p w14:paraId="404E0A9C" w14:textId="5B757524" w:rsidR="00B363AD" w:rsidRPr="00EA1BB2" w:rsidRDefault="00B363AD" w:rsidP="00B363AD">
            <w:pPr>
              <w:spacing w:line="360" w:lineRule="auto"/>
              <w:jc w:val="both"/>
              <w:rPr>
                <w:rFonts w:ascii="Cambria" w:hAnsi="Cambria" w:cs="Times New Roman"/>
                <w:sz w:val="24"/>
                <w:szCs w:val="24"/>
                <w:lang w:val="ro-RO"/>
              </w:rPr>
            </w:pPr>
            <w:r w:rsidRPr="00EA1BB2">
              <w:rPr>
                <w:rFonts w:ascii="Cambria" w:hAnsi="Cambria"/>
                <w:sz w:val="24"/>
                <w:szCs w:val="24"/>
                <w:lang w:val="ro-RO"/>
              </w:rPr>
              <w:t>Tudor Vladimirescu</w:t>
            </w:r>
          </w:p>
        </w:tc>
        <w:tc>
          <w:tcPr>
            <w:tcW w:w="1417" w:type="dxa"/>
            <w:vAlign w:val="center"/>
          </w:tcPr>
          <w:p w14:paraId="0CF9E44F" w14:textId="78E05D8E" w:rsidR="00B363AD" w:rsidRPr="00EA1BB2" w:rsidRDefault="00B363AD" w:rsidP="00B363AD">
            <w:pPr>
              <w:spacing w:line="360" w:lineRule="auto"/>
              <w:jc w:val="center"/>
              <w:rPr>
                <w:rFonts w:ascii="Cambria" w:hAnsi="Cambria" w:cs="Times New Roman"/>
                <w:sz w:val="24"/>
                <w:szCs w:val="24"/>
                <w:lang w:val="ro-RO"/>
              </w:rPr>
            </w:pPr>
            <w:r w:rsidRPr="00EA1BB2">
              <w:rPr>
                <w:rFonts w:ascii="Cambria" w:hAnsi="Cambria"/>
                <w:sz w:val="24"/>
                <w:szCs w:val="24"/>
                <w:lang w:val="ro-RO"/>
              </w:rPr>
              <w:t>7888</w:t>
            </w:r>
          </w:p>
        </w:tc>
        <w:tc>
          <w:tcPr>
            <w:tcW w:w="783" w:type="dxa"/>
            <w:vAlign w:val="center"/>
          </w:tcPr>
          <w:p w14:paraId="1848F67C" w14:textId="287101C5" w:rsidR="00B363AD" w:rsidRPr="00EA1BB2" w:rsidRDefault="00B363AD" w:rsidP="00B363AD">
            <w:pPr>
              <w:spacing w:line="360" w:lineRule="auto"/>
              <w:jc w:val="center"/>
              <w:rPr>
                <w:rFonts w:ascii="Cambria" w:hAnsi="Cambria"/>
                <w:sz w:val="24"/>
                <w:szCs w:val="24"/>
                <w:lang w:val="ro-RO"/>
              </w:rPr>
            </w:pPr>
            <w:r w:rsidRPr="00EA1BB2">
              <w:rPr>
                <w:rFonts w:ascii="Cambria" w:hAnsi="Cambria" w:cs="Times New Roman"/>
                <w:sz w:val="24"/>
                <w:szCs w:val="24"/>
                <w:lang w:val="ro-RO"/>
              </w:rPr>
              <w:t>41</w:t>
            </w:r>
          </w:p>
        </w:tc>
        <w:tc>
          <w:tcPr>
            <w:tcW w:w="2409" w:type="dxa"/>
          </w:tcPr>
          <w:p w14:paraId="2A275DE4" w14:textId="2E37944E" w:rsidR="00B363AD" w:rsidRPr="00EA1BB2" w:rsidRDefault="00B363AD" w:rsidP="00B363AD">
            <w:pPr>
              <w:spacing w:line="360" w:lineRule="auto"/>
              <w:rPr>
                <w:rFonts w:ascii="Cambria" w:hAnsi="Cambria"/>
                <w:sz w:val="24"/>
                <w:szCs w:val="24"/>
                <w:lang w:val="ro-RO"/>
              </w:rPr>
            </w:pPr>
            <w:r w:rsidRPr="00EA1BB2">
              <w:rPr>
                <w:rFonts w:ascii="Cambria" w:hAnsi="Cambria"/>
                <w:sz w:val="24"/>
                <w:szCs w:val="24"/>
                <w:lang w:val="ro-RO"/>
              </w:rPr>
              <w:t>Victoria</w:t>
            </w:r>
          </w:p>
        </w:tc>
        <w:tc>
          <w:tcPr>
            <w:tcW w:w="1418" w:type="dxa"/>
            <w:tcBorders>
              <w:right w:val="double" w:sz="4" w:space="0" w:color="auto"/>
            </w:tcBorders>
            <w:vAlign w:val="center"/>
          </w:tcPr>
          <w:p w14:paraId="6C0E947D" w14:textId="51339621" w:rsidR="00B363AD" w:rsidRPr="00EA1BB2" w:rsidRDefault="00B363AD" w:rsidP="00B363AD">
            <w:pPr>
              <w:spacing w:line="360" w:lineRule="auto"/>
              <w:jc w:val="center"/>
              <w:rPr>
                <w:rFonts w:ascii="Cambria" w:hAnsi="Cambria"/>
                <w:sz w:val="24"/>
                <w:szCs w:val="24"/>
                <w:lang w:val="ro-RO"/>
              </w:rPr>
            </w:pPr>
            <w:r w:rsidRPr="00EA1BB2">
              <w:rPr>
                <w:rFonts w:ascii="Cambria" w:hAnsi="Cambria"/>
                <w:sz w:val="24"/>
                <w:szCs w:val="24"/>
                <w:lang w:val="ro-RO"/>
              </w:rPr>
              <w:t>7524</w:t>
            </w:r>
          </w:p>
        </w:tc>
      </w:tr>
      <w:tr w:rsidR="00B363AD" w:rsidRPr="00EA1BB2" w14:paraId="2597F746" w14:textId="26C30609" w:rsidTr="00A96DD2">
        <w:trPr>
          <w:jc w:val="center"/>
        </w:trPr>
        <w:tc>
          <w:tcPr>
            <w:tcW w:w="704" w:type="dxa"/>
            <w:vAlign w:val="center"/>
          </w:tcPr>
          <w:p w14:paraId="0F104F5F" w14:textId="5BDAA6B3" w:rsidR="00B363AD" w:rsidRPr="00EA1BB2" w:rsidRDefault="00B363AD" w:rsidP="00B363AD">
            <w:pPr>
              <w:spacing w:line="360" w:lineRule="auto"/>
              <w:contextualSpacing/>
              <w:jc w:val="center"/>
              <w:rPr>
                <w:rFonts w:ascii="Cambria" w:hAnsi="Cambria" w:cs="Times New Roman"/>
                <w:sz w:val="24"/>
                <w:szCs w:val="24"/>
                <w:lang w:val="ro-RO"/>
              </w:rPr>
            </w:pPr>
            <w:r w:rsidRPr="00EA1BB2">
              <w:rPr>
                <w:rFonts w:ascii="Cambria" w:hAnsi="Cambria" w:cs="Times New Roman"/>
                <w:sz w:val="24"/>
                <w:szCs w:val="24"/>
                <w:lang w:val="ro-RO"/>
              </w:rPr>
              <w:t>37</w:t>
            </w:r>
          </w:p>
        </w:tc>
        <w:tc>
          <w:tcPr>
            <w:tcW w:w="2552" w:type="dxa"/>
          </w:tcPr>
          <w:p w14:paraId="7FC1B198" w14:textId="1035E328" w:rsidR="00B363AD" w:rsidRPr="00EA1BB2" w:rsidRDefault="00B363AD" w:rsidP="00B363AD">
            <w:pPr>
              <w:spacing w:line="360" w:lineRule="auto"/>
              <w:jc w:val="both"/>
              <w:rPr>
                <w:rFonts w:ascii="Cambria" w:hAnsi="Cambria" w:cs="Times New Roman"/>
                <w:sz w:val="24"/>
                <w:szCs w:val="24"/>
                <w:lang w:val="ro-RO"/>
              </w:rPr>
            </w:pPr>
            <w:r w:rsidRPr="00EA1BB2">
              <w:rPr>
                <w:rFonts w:ascii="Cambria" w:hAnsi="Cambria"/>
                <w:sz w:val="24"/>
                <w:szCs w:val="24"/>
                <w:lang w:val="ro-RO"/>
              </w:rPr>
              <w:t>Tufești</w:t>
            </w:r>
          </w:p>
        </w:tc>
        <w:tc>
          <w:tcPr>
            <w:tcW w:w="1417" w:type="dxa"/>
            <w:vAlign w:val="center"/>
          </w:tcPr>
          <w:p w14:paraId="44C71C5D" w14:textId="03BAE4FB" w:rsidR="00B363AD" w:rsidRPr="00EA1BB2" w:rsidRDefault="00B363AD" w:rsidP="00B363AD">
            <w:pPr>
              <w:spacing w:line="360" w:lineRule="auto"/>
              <w:jc w:val="center"/>
              <w:rPr>
                <w:rFonts w:ascii="Cambria" w:hAnsi="Cambria" w:cs="Times New Roman"/>
                <w:sz w:val="24"/>
                <w:szCs w:val="24"/>
                <w:lang w:val="ro-RO"/>
              </w:rPr>
            </w:pPr>
            <w:r w:rsidRPr="00EA1BB2">
              <w:rPr>
                <w:rFonts w:ascii="Cambria" w:hAnsi="Cambria"/>
                <w:sz w:val="24"/>
                <w:szCs w:val="24"/>
                <w:lang w:val="ro-RO"/>
              </w:rPr>
              <w:t>7217</w:t>
            </w:r>
          </w:p>
        </w:tc>
        <w:tc>
          <w:tcPr>
            <w:tcW w:w="783" w:type="dxa"/>
            <w:tcBorders>
              <w:left w:val="double" w:sz="4" w:space="0" w:color="auto"/>
            </w:tcBorders>
          </w:tcPr>
          <w:p w14:paraId="449CF183" w14:textId="37E652FA" w:rsidR="00B363AD" w:rsidRPr="00EA1BB2" w:rsidRDefault="00B363AD" w:rsidP="00B363AD">
            <w:pPr>
              <w:spacing w:line="360" w:lineRule="auto"/>
              <w:jc w:val="center"/>
              <w:rPr>
                <w:rFonts w:ascii="Cambria" w:hAnsi="Cambria"/>
                <w:sz w:val="24"/>
                <w:szCs w:val="24"/>
                <w:lang w:val="ro-RO"/>
              </w:rPr>
            </w:pPr>
            <w:r w:rsidRPr="00EA1BB2">
              <w:rPr>
                <w:rFonts w:ascii="Cambria" w:hAnsi="Cambria"/>
                <w:sz w:val="24"/>
                <w:szCs w:val="24"/>
                <w:lang w:val="ro-RO"/>
              </w:rPr>
              <w:t>42</w:t>
            </w:r>
          </w:p>
        </w:tc>
        <w:tc>
          <w:tcPr>
            <w:tcW w:w="2409" w:type="dxa"/>
            <w:vAlign w:val="center"/>
          </w:tcPr>
          <w:p w14:paraId="68AA58CA" w14:textId="2C22A4BA" w:rsidR="00B363AD" w:rsidRPr="00EA1BB2" w:rsidRDefault="00B363AD" w:rsidP="00B363AD">
            <w:pPr>
              <w:spacing w:line="360" w:lineRule="auto"/>
              <w:rPr>
                <w:rFonts w:ascii="Cambria" w:hAnsi="Cambria"/>
                <w:sz w:val="24"/>
                <w:szCs w:val="24"/>
                <w:lang w:val="ro-RO"/>
              </w:rPr>
            </w:pPr>
            <w:r w:rsidRPr="00EA1BB2">
              <w:rPr>
                <w:rFonts w:ascii="Cambria" w:hAnsi="Cambria"/>
                <w:sz w:val="24"/>
                <w:szCs w:val="24"/>
                <w:lang w:val="ro-RO"/>
              </w:rPr>
              <w:t>Vișani</w:t>
            </w:r>
          </w:p>
        </w:tc>
        <w:tc>
          <w:tcPr>
            <w:tcW w:w="1418" w:type="dxa"/>
            <w:tcBorders>
              <w:right w:val="double" w:sz="4" w:space="0" w:color="auto"/>
            </w:tcBorders>
            <w:vAlign w:val="center"/>
          </w:tcPr>
          <w:p w14:paraId="22CB48C2" w14:textId="48162EC3" w:rsidR="00B363AD" w:rsidRPr="00EA1BB2" w:rsidRDefault="00B363AD" w:rsidP="00B363AD">
            <w:pPr>
              <w:spacing w:line="360" w:lineRule="auto"/>
              <w:jc w:val="center"/>
              <w:rPr>
                <w:rFonts w:ascii="Cambria" w:hAnsi="Cambria"/>
                <w:sz w:val="24"/>
                <w:szCs w:val="24"/>
                <w:lang w:val="ro-RO"/>
              </w:rPr>
            </w:pPr>
            <w:r w:rsidRPr="00EA1BB2">
              <w:rPr>
                <w:rFonts w:ascii="Cambria" w:hAnsi="Cambria"/>
                <w:sz w:val="24"/>
                <w:szCs w:val="24"/>
                <w:lang w:val="ro-RO"/>
              </w:rPr>
              <w:t>7678</w:t>
            </w:r>
          </w:p>
        </w:tc>
      </w:tr>
      <w:tr w:rsidR="00B363AD" w:rsidRPr="00EA1BB2" w14:paraId="0B09B872" w14:textId="6BB30ADF" w:rsidTr="00A96DD2">
        <w:trPr>
          <w:jc w:val="center"/>
        </w:trPr>
        <w:tc>
          <w:tcPr>
            <w:tcW w:w="704" w:type="dxa"/>
            <w:vAlign w:val="center"/>
          </w:tcPr>
          <w:p w14:paraId="51F609F3" w14:textId="52F4E7B4" w:rsidR="00B363AD" w:rsidRPr="00EA1BB2" w:rsidRDefault="00B363AD" w:rsidP="00B363AD">
            <w:pPr>
              <w:spacing w:line="360" w:lineRule="auto"/>
              <w:contextualSpacing/>
              <w:jc w:val="center"/>
              <w:rPr>
                <w:rFonts w:ascii="Cambria" w:hAnsi="Cambria" w:cs="Times New Roman"/>
                <w:sz w:val="24"/>
                <w:szCs w:val="24"/>
                <w:lang w:val="ro-RO"/>
              </w:rPr>
            </w:pPr>
            <w:r w:rsidRPr="00EA1BB2">
              <w:rPr>
                <w:rFonts w:ascii="Cambria" w:hAnsi="Cambria" w:cs="Times New Roman"/>
                <w:sz w:val="24"/>
                <w:szCs w:val="24"/>
                <w:lang w:val="ro-RO"/>
              </w:rPr>
              <w:t>38</w:t>
            </w:r>
          </w:p>
        </w:tc>
        <w:tc>
          <w:tcPr>
            <w:tcW w:w="2552" w:type="dxa"/>
          </w:tcPr>
          <w:p w14:paraId="66E8A117" w14:textId="766CEF70" w:rsidR="00B363AD" w:rsidRPr="00EA1BB2" w:rsidRDefault="00B363AD" w:rsidP="00B363AD">
            <w:pPr>
              <w:spacing w:line="360" w:lineRule="auto"/>
              <w:jc w:val="both"/>
              <w:rPr>
                <w:rFonts w:ascii="Cambria" w:hAnsi="Cambria" w:cs="Times New Roman"/>
                <w:sz w:val="24"/>
                <w:szCs w:val="24"/>
                <w:lang w:val="ro-RO"/>
              </w:rPr>
            </w:pPr>
            <w:r w:rsidRPr="00EA1BB2">
              <w:rPr>
                <w:rFonts w:ascii="Cambria" w:hAnsi="Cambria"/>
                <w:sz w:val="24"/>
                <w:szCs w:val="24"/>
                <w:lang w:val="ro-RO"/>
              </w:rPr>
              <w:t>Ulmu</w:t>
            </w:r>
          </w:p>
        </w:tc>
        <w:tc>
          <w:tcPr>
            <w:tcW w:w="1417" w:type="dxa"/>
            <w:vAlign w:val="center"/>
          </w:tcPr>
          <w:p w14:paraId="0578EC31" w14:textId="1735C7D3" w:rsidR="00B363AD" w:rsidRPr="00EA1BB2" w:rsidRDefault="00B363AD" w:rsidP="00B363AD">
            <w:pPr>
              <w:spacing w:line="360" w:lineRule="auto"/>
              <w:jc w:val="center"/>
              <w:rPr>
                <w:rFonts w:ascii="Cambria" w:hAnsi="Cambria" w:cs="Times New Roman"/>
                <w:sz w:val="24"/>
                <w:szCs w:val="24"/>
                <w:lang w:val="ro-RO"/>
              </w:rPr>
            </w:pPr>
            <w:r w:rsidRPr="00EA1BB2">
              <w:rPr>
                <w:rFonts w:ascii="Cambria" w:hAnsi="Cambria"/>
                <w:sz w:val="24"/>
                <w:szCs w:val="24"/>
                <w:lang w:val="ro-RO"/>
              </w:rPr>
              <w:t>10151</w:t>
            </w:r>
          </w:p>
        </w:tc>
        <w:tc>
          <w:tcPr>
            <w:tcW w:w="783" w:type="dxa"/>
            <w:tcBorders>
              <w:left w:val="double" w:sz="4" w:space="0" w:color="auto"/>
            </w:tcBorders>
          </w:tcPr>
          <w:p w14:paraId="5560697A" w14:textId="2C1170F8" w:rsidR="00B363AD" w:rsidRPr="00EA1BB2" w:rsidRDefault="00B363AD" w:rsidP="00B363AD">
            <w:pPr>
              <w:spacing w:line="360" w:lineRule="auto"/>
              <w:jc w:val="center"/>
              <w:rPr>
                <w:rFonts w:ascii="Cambria" w:hAnsi="Cambria"/>
                <w:sz w:val="24"/>
                <w:szCs w:val="24"/>
                <w:lang w:val="ro-RO"/>
              </w:rPr>
            </w:pPr>
            <w:r w:rsidRPr="00EA1BB2">
              <w:rPr>
                <w:rFonts w:ascii="Cambria" w:hAnsi="Cambria"/>
                <w:sz w:val="24"/>
                <w:szCs w:val="24"/>
                <w:lang w:val="ro-RO"/>
              </w:rPr>
              <w:t>43</w:t>
            </w:r>
          </w:p>
        </w:tc>
        <w:tc>
          <w:tcPr>
            <w:tcW w:w="2409" w:type="dxa"/>
            <w:vAlign w:val="center"/>
          </w:tcPr>
          <w:p w14:paraId="797272FB" w14:textId="160CDBB7" w:rsidR="00B363AD" w:rsidRPr="00EA1BB2" w:rsidRDefault="00B363AD" w:rsidP="00B363AD">
            <w:pPr>
              <w:spacing w:line="360" w:lineRule="auto"/>
              <w:rPr>
                <w:rFonts w:ascii="Cambria" w:hAnsi="Cambria"/>
                <w:sz w:val="24"/>
                <w:szCs w:val="24"/>
                <w:lang w:val="ro-RO"/>
              </w:rPr>
            </w:pPr>
            <w:r w:rsidRPr="00EA1BB2">
              <w:rPr>
                <w:rFonts w:ascii="Cambria" w:hAnsi="Cambria"/>
                <w:sz w:val="24"/>
                <w:szCs w:val="24"/>
                <w:lang w:val="ro-RO"/>
              </w:rPr>
              <w:t>Viziru</w:t>
            </w:r>
          </w:p>
        </w:tc>
        <w:tc>
          <w:tcPr>
            <w:tcW w:w="1418" w:type="dxa"/>
            <w:tcBorders>
              <w:right w:val="double" w:sz="4" w:space="0" w:color="auto"/>
            </w:tcBorders>
            <w:vAlign w:val="center"/>
          </w:tcPr>
          <w:p w14:paraId="4EB50964" w14:textId="0655AC0A" w:rsidR="00B363AD" w:rsidRPr="00EA1BB2" w:rsidRDefault="00B363AD" w:rsidP="00B363AD">
            <w:pPr>
              <w:spacing w:line="360" w:lineRule="auto"/>
              <w:jc w:val="center"/>
              <w:rPr>
                <w:rFonts w:ascii="Cambria" w:hAnsi="Cambria"/>
                <w:sz w:val="24"/>
                <w:szCs w:val="24"/>
                <w:lang w:val="ro-RO"/>
              </w:rPr>
            </w:pPr>
            <w:r w:rsidRPr="00EA1BB2">
              <w:rPr>
                <w:rFonts w:ascii="Cambria" w:hAnsi="Cambria"/>
                <w:sz w:val="24"/>
                <w:szCs w:val="24"/>
                <w:lang w:val="ro-RO"/>
              </w:rPr>
              <w:t>10565</w:t>
            </w:r>
          </w:p>
        </w:tc>
      </w:tr>
      <w:tr w:rsidR="00B363AD" w:rsidRPr="00EA1BB2" w14:paraId="2676FDC1" w14:textId="12362F40" w:rsidTr="00A96DD2">
        <w:trPr>
          <w:jc w:val="center"/>
        </w:trPr>
        <w:tc>
          <w:tcPr>
            <w:tcW w:w="704" w:type="dxa"/>
            <w:vAlign w:val="center"/>
          </w:tcPr>
          <w:p w14:paraId="0EF59A13" w14:textId="4440BAB9" w:rsidR="00B363AD" w:rsidRPr="00EA1BB2" w:rsidRDefault="00B363AD" w:rsidP="00B363AD">
            <w:pPr>
              <w:spacing w:line="360" w:lineRule="auto"/>
              <w:contextualSpacing/>
              <w:jc w:val="center"/>
              <w:rPr>
                <w:rFonts w:ascii="Cambria" w:hAnsi="Cambria" w:cs="Times New Roman"/>
                <w:sz w:val="24"/>
                <w:szCs w:val="24"/>
                <w:lang w:val="ro-RO"/>
              </w:rPr>
            </w:pPr>
            <w:r w:rsidRPr="00EA1BB2">
              <w:rPr>
                <w:rFonts w:ascii="Cambria" w:hAnsi="Cambria" w:cs="Times New Roman"/>
                <w:sz w:val="24"/>
                <w:szCs w:val="24"/>
                <w:lang w:val="ro-RO"/>
              </w:rPr>
              <w:t>39</w:t>
            </w:r>
          </w:p>
        </w:tc>
        <w:tc>
          <w:tcPr>
            <w:tcW w:w="2552" w:type="dxa"/>
          </w:tcPr>
          <w:p w14:paraId="7F248844" w14:textId="776FCAA5" w:rsidR="00B363AD" w:rsidRPr="00EA1BB2" w:rsidRDefault="00B363AD" w:rsidP="00B363AD">
            <w:pPr>
              <w:spacing w:line="360" w:lineRule="auto"/>
              <w:jc w:val="both"/>
              <w:rPr>
                <w:rFonts w:ascii="Cambria" w:hAnsi="Cambria" w:cs="Times New Roman"/>
                <w:sz w:val="24"/>
                <w:szCs w:val="24"/>
                <w:lang w:val="ro-RO"/>
              </w:rPr>
            </w:pPr>
            <w:r w:rsidRPr="00EA1BB2">
              <w:rPr>
                <w:rFonts w:ascii="Cambria" w:hAnsi="Cambria"/>
                <w:sz w:val="24"/>
                <w:szCs w:val="24"/>
                <w:lang w:val="ro-RO"/>
              </w:rPr>
              <w:t>Unirea</w:t>
            </w:r>
          </w:p>
        </w:tc>
        <w:tc>
          <w:tcPr>
            <w:tcW w:w="1417" w:type="dxa"/>
            <w:vAlign w:val="center"/>
          </w:tcPr>
          <w:p w14:paraId="378C8FD7" w14:textId="14C67A93" w:rsidR="00B363AD" w:rsidRPr="00EA1BB2" w:rsidRDefault="00B363AD" w:rsidP="00B363AD">
            <w:pPr>
              <w:spacing w:line="360" w:lineRule="auto"/>
              <w:jc w:val="center"/>
              <w:rPr>
                <w:rFonts w:ascii="Cambria" w:hAnsi="Cambria" w:cs="Times New Roman"/>
                <w:sz w:val="24"/>
                <w:szCs w:val="24"/>
                <w:lang w:val="ro-RO"/>
              </w:rPr>
            </w:pPr>
            <w:r w:rsidRPr="00EA1BB2">
              <w:rPr>
                <w:rFonts w:ascii="Cambria" w:hAnsi="Cambria"/>
                <w:sz w:val="24"/>
                <w:szCs w:val="24"/>
                <w:lang w:val="ro-RO"/>
              </w:rPr>
              <w:t>6819</w:t>
            </w:r>
          </w:p>
        </w:tc>
        <w:tc>
          <w:tcPr>
            <w:tcW w:w="783" w:type="dxa"/>
            <w:tcBorders>
              <w:left w:val="double" w:sz="4" w:space="0" w:color="auto"/>
            </w:tcBorders>
          </w:tcPr>
          <w:p w14:paraId="2104C8D0" w14:textId="19D67CA8" w:rsidR="00B363AD" w:rsidRPr="00EA1BB2" w:rsidRDefault="00B363AD" w:rsidP="00B363AD">
            <w:pPr>
              <w:spacing w:line="360" w:lineRule="auto"/>
              <w:jc w:val="center"/>
              <w:rPr>
                <w:rFonts w:ascii="Cambria" w:hAnsi="Cambria"/>
                <w:sz w:val="24"/>
                <w:szCs w:val="24"/>
                <w:lang w:val="ro-RO"/>
              </w:rPr>
            </w:pPr>
            <w:r w:rsidRPr="00EA1BB2">
              <w:rPr>
                <w:rFonts w:ascii="Cambria" w:hAnsi="Cambria"/>
                <w:sz w:val="24"/>
                <w:szCs w:val="24"/>
                <w:lang w:val="ro-RO"/>
              </w:rPr>
              <w:t>44</w:t>
            </w:r>
          </w:p>
        </w:tc>
        <w:tc>
          <w:tcPr>
            <w:tcW w:w="2409" w:type="dxa"/>
            <w:vAlign w:val="center"/>
          </w:tcPr>
          <w:p w14:paraId="6300DEAE" w14:textId="1FB5A3B9" w:rsidR="00B363AD" w:rsidRPr="00EA1BB2" w:rsidRDefault="00B363AD" w:rsidP="00B363AD">
            <w:pPr>
              <w:spacing w:line="360" w:lineRule="auto"/>
              <w:rPr>
                <w:rFonts w:ascii="Cambria" w:hAnsi="Cambria"/>
                <w:sz w:val="24"/>
                <w:szCs w:val="24"/>
                <w:lang w:val="ro-RO"/>
              </w:rPr>
            </w:pPr>
            <w:r w:rsidRPr="00EA1BB2">
              <w:rPr>
                <w:rFonts w:ascii="Cambria" w:hAnsi="Cambria"/>
                <w:sz w:val="24"/>
                <w:szCs w:val="24"/>
                <w:lang w:val="ro-RO"/>
              </w:rPr>
              <w:t>Zăvoaia</w:t>
            </w:r>
          </w:p>
        </w:tc>
        <w:tc>
          <w:tcPr>
            <w:tcW w:w="1418" w:type="dxa"/>
            <w:tcBorders>
              <w:right w:val="double" w:sz="4" w:space="0" w:color="auto"/>
            </w:tcBorders>
            <w:vAlign w:val="center"/>
          </w:tcPr>
          <w:p w14:paraId="43BF6FA2" w14:textId="1656AA81" w:rsidR="00B363AD" w:rsidRPr="00EA1BB2" w:rsidRDefault="00B363AD" w:rsidP="00B363AD">
            <w:pPr>
              <w:spacing w:line="360" w:lineRule="auto"/>
              <w:jc w:val="center"/>
              <w:rPr>
                <w:rFonts w:ascii="Cambria" w:hAnsi="Cambria"/>
                <w:sz w:val="24"/>
                <w:szCs w:val="24"/>
                <w:lang w:val="ro-RO"/>
              </w:rPr>
            </w:pPr>
            <w:r w:rsidRPr="00EA1BB2">
              <w:rPr>
                <w:rFonts w:ascii="Cambria" w:hAnsi="Cambria"/>
                <w:sz w:val="24"/>
                <w:szCs w:val="24"/>
                <w:lang w:val="ro-RO"/>
              </w:rPr>
              <w:t>8856</w:t>
            </w:r>
          </w:p>
        </w:tc>
      </w:tr>
    </w:tbl>
    <w:p w14:paraId="440E8205" w14:textId="77777777" w:rsidR="000453FB" w:rsidRPr="00EA1BB2" w:rsidRDefault="000453FB" w:rsidP="000453FB">
      <w:pPr>
        <w:spacing w:line="360" w:lineRule="auto"/>
        <w:rPr>
          <w:rFonts w:ascii="Cambria" w:hAnsi="Cambria"/>
        </w:rPr>
      </w:pPr>
      <w:r w:rsidRPr="00EA1BB2">
        <w:rPr>
          <w:rFonts w:ascii="Cambria" w:hAnsi="Cambria" w:cs="Times New Roman"/>
          <w:szCs w:val="24"/>
        </w:rPr>
        <w:t xml:space="preserve">Sursa date: </w:t>
      </w:r>
      <w:hyperlink r:id="rId32" w:history="1">
        <w:r w:rsidRPr="00EA1BB2">
          <w:rPr>
            <w:rStyle w:val="Hyperlink"/>
            <w:rFonts w:ascii="Cambria" w:hAnsi="Cambria" w:cs="Times New Roman"/>
            <w:szCs w:val="24"/>
          </w:rPr>
          <w:t>http://statistici.insse.ro/shop/</w:t>
        </w:r>
      </w:hyperlink>
    </w:p>
    <w:p w14:paraId="105FEAA0" w14:textId="187E7457" w:rsidR="000A2FE7" w:rsidRPr="00EA1BB2" w:rsidRDefault="000A2FE7" w:rsidP="00473A4E">
      <w:pPr>
        <w:spacing w:line="360" w:lineRule="auto"/>
        <w:rPr>
          <w:rFonts w:ascii="Cambria" w:hAnsi="Cambria"/>
          <w:sz w:val="24"/>
        </w:rPr>
      </w:pPr>
    </w:p>
    <w:p w14:paraId="6E4CDDE6" w14:textId="170C5DFF" w:rsidR="000A2FE7" w:rsidRPr="00EA1BB2" w:rsidRDefault="000A2FE7" w:rsidP="000A2FE7">
      <w:pPr>
        <w:pStyle w:val="Heading2"/>
        <w:numPr>
          <w:ilvl w:val="1"/>
          <w:numId w:val="1"/>
        </w:numPr>
        <w:spacing w:before="0"/>
        <w:ind w:hanging="219"/>
        <w:jc w:val="both"/>
        <w:rPr>
          <w:rFonts w:ascii="Cambria" w:hAnsi="Cambria" w:cs="Times New Roman"/>
          <w:color w:val="0070C0"/>
          <w:szCs w:val="24"/>
        </w:rPr>
      </w:pPr>
      <w:bookmarkStart w:id="21" w:name="_Toc526889697"/>
      <w:r w:rsidRPr="00EA1BB2">
        <w:rPr>
          <w:rFonts w:ascii="Cambria" w:hAnsi="Cambria" w:cs="Times New Roman"/>
          <w:color w:val="0070C0"/>
          <w:szCs w:val="24"/>
        </w:rPr>
        <w:t>Estimarea suprafeței zonei și a populației posibil expusă poluării</w:t>
      </w:r>
      <w:bookmarkEnd w:id="21"/>
    </w:p>
    <w:p w14:paraId="096667F2" w14:textId="69C8B3A0" w:rsidR="000A2FE7" w:rsidRPr="00EA1BB2" w:rsidRDefault="000A2FE7" w:rsidP="000A2FE7">
      <w:pPr>
        <w:spacing w:line="360" w:lineRule="auto"/>
        <w:ind w:firstLine="708"/>
        <w:jc w:val="both"/>
        <w:rPr>
          <w:rFonts w:ascii="Cambria" w:hAnsi="Cambria"/>
          <w:sz w:val="24"/>
        </w:rPr>
      </w:pPr>
      <w:r w:rsidRPr="00EA1BB2">
        <w:rPr>
          <w:rFonts w:ascii="Cambria" w:hAnsi="Cambria"/>
          <w:sz w:val="24"/>
        </w:rPr>
        <w:t>Deși zona Brăila a fost încadrată în regimul de evaluare A</w:t>
      </w:r>
      <w:r w:rsidRPr="00EA1BB2">
        <w:rPr>
          <w:rStyle w:val="FootnoteReference"/>
          <w:rFonts w:ascii="Cambria" w:hAnsi="Cambria"/>
          <w:sz w:val="24"/>
        </w:rPr>
        <w:footnoteReference w:id="10"/>
      </w:r>
      <w:r w:rsidRPr="00EA1BB2">
        <w:rPr>
          <w:rFonts w:ascii="Cambria" w:hAnsi="Cambria"/>
          <w:sz w:val="24"/>
        </w:rPr>
        <w:t xml:space="preserve"> doar pentru pulberi în suspensie (PM</w:t>
      </w:r>
      <w:r w:rsidRPr="00EA1BB2">
        <w:rPr>
          <w:rFonts w:ascii="Cambria" w:hAnsi="Cambria"/>
          <w:sz w:val="24"/>
          <w:vertAlign w:val="subscript"/>
        </w:rPr>
        <w:t>10</w:t>
      </w:r>
      <w:r w:rsidRPr="00EA1BB2">
        <w:rPr>
          <w:rFonts w:ascii="Cambria" w:hAnsi="Cambria"/>
          <w:sz w:val="24"/>
        </w:rPr>
        <w:t>, PM</w:t>
      </w:r>
      <w:r w:rsidRPr="00EA1BB2">
        <w:rPr>
          <w:rFonts w:ascii="Cambria" w:hAnsi="Cambria"/>
          <w:sz w:val="24"/>
          <w:vertAlign w:val="subscript"/>
        </w:rPr>
        <w:t>2,5</w:t>
      </w:r>
      <w:r w:rsidRPr="00EA1BB2">
        <w:rPr>
          <w:rFonts w:ascii="Cambria" w:hAnsi="Cambria"/>
          <w:sz w:val="24"/>
        </w:rPr>
        <w:t>), pentru restul poluanților fiind încadrat în regimurile de evaluare B și C iar aglomerarea Brăila este încadrată în regimul de evaluare A pentru pulberi în suspensie (PM</w:t>
      </w:r>
      <w:r w:rsidRPr="00EA1BB2">
        <w:rPr>
          <w:rFonts w:ascii="Cambria" w:hAnsi="Cambria"/>
          <w:sz w:val="24"/>
          <w:vertAlign w:val="subscript"/>
        </w:rPr>
        <w:t>10</w:t>
      </w:r>
      <w:r w:rsidRPr="00EA1BB2">
        <w:rPr>
          <w:rFonts w:ascii="Cambria" w:hAnsi="Cambria"/>
          <w:sz w:val="24"/>
        </w:rPr>
        <w:t xml:space="preserve"> și PM</w:t>
      </w:r>
      <w:r w:rsidRPr="00EA1BB2">
        <w:rPr>
          <w:rFonts w:ascii="Cambria" w:hAnsi="Cambria"/>
          <w:sz w:val="24"/>
          <w:vertAlign w:val="subscript"/>
        </w:rPr>
        <w:t>2,5</w:t>
      </w:r>
      <w:r w:rsidRPr="00EA1BB2">
        <w:rPr>
          <w:rFonts w:ascii="Cambria" w:hAnsi="Cambria"/>
          <w:sz w:val="24"/>
        </w:rPr>
        <w:t>), dioxid de azot și oxizi de azot (NO</w:t>
      </w:r>
      <w:r w:rsidRPr="00EA1BB2">
        <w:rPr>
          <w:rFonts w:ascii="Cambria" w:hAnsi="Cambria"/>
          <w:sz w:val="24"/>
          <w:vertAlign w:val="subscript"/>
        </w:rPr>
        <w:t>2</w:t>
      </w:r>
      <w:r w:rsidRPr="00EA1BB2">
        <w:rPr>
          <w:rFonts w:ascii="Cambria" w:hAnsi="Cambria"/>
          <w:sz w:val="24"/>
        </w:rPr>
        <w:t>/NOx) și benzen (C</w:t>
      </w:r>
      <w:r w:rsidRPr="00EA1BB2">
        <w:rPr>
          <w:rFonts w:ascii="Cambria" w:hAnsi="Cambria"/>
          <w:sz w:val="24"/>
          <w:vertAlign w:val="subscript"/>
        </w:rPr>
        <w:t>6</w:t>
      </w:r>
      <w:r w:rsidRPr="00EA1BB2">
        <w:rPr>
          <w:rFonts w:ascii="Cambria" w:hAnsi="Cambria"/>
          <w:sz w:val="24"/>
        </w:rPr>
        <w:t>H</w:t>
      </w:r>
      <w:r w:rsidRPr="00EA1BB2">
        <w:rPr>
          <w:rFonts w:ascii="Cambria" w:hAnsi="Cambria"/>
          <w:sz w:val="24"/>
          <w:vertAlign w:val="subscript"/>
        </w:rPr>
        <w:t>6</w:t>
      </w:r>
      <w:r w:rsidRPr="00EA1BB2">
        <w:rPr>
          <w:rFonts w:ascii="Cambria" w:hAnsi="Cambria"/>
          <w:sz w:val="24"/>
        </w:rPr>
        <w:t>), în urma analizei rezultatelor modelării dispersiei poluanților în atmosferă și analiza celor mai recente date de monitorizarea calității aerului de la stațiile din județul Brăila, considerăm că nu există suprafețe și populație posibilă expusă poluării, neexistând pericolul apariției de depășiri ale valorilor-limită sau a valorilor-țintă.</w:t>
      </w:r>
    </w:p>
    <w:p w14:paraId="347580D2" w14:textId="38AE5E1F" w:rsidR="000A2FE7" w:rsidRPr="00EA1BB2" w:rsidRDefault="000A2FE7" w:rsidP="00C31A2A">
      <w:pPr>
        <w:spacing w:line="360" w:lineRule="auto"/>
        <w:ind w:firstLine="708"/>
        <w:jc w:val="both"/>
        <w:rPr>
          <w:rFonts w:ascii="Cambria" w:hAnsi="Cambria"/>
          <w:sz w:val="24"/>
        </w:rPr>
      </w:pPr>
      <w:r w:rsidRPr="00EA1BB2">
        <w:rPr>
          <w:rFonts w:ascii="Cambria" w:hAnsi="Cambria"/>
          <w:sz w:val="24"/>
        </w:rPr>
        <w:t>Pentru a avea o imagine cât mai apropiată de anul curent s-a analizat populația rezidentă  în anul 2017. Folosind datele furnizate de INS a fost analizată distribuția populației pe grupe mici de vârstă la 1 ianuarie 2017 pentru zona de studiu, unde populație tânără cu vârste cuprinse între 0 – 18 ani este reprezentată de 54.823 locuitori, iar populația în vârstă de peste 60 ani este reprezentată de 85.927 locuitori.</w:t>
      </w:r>
    </w:p>
    <w:p w14:paraId="34ADAA40" w14:textId="77777777" w:rsidR="000A2FE7" w:rsidRPr="00EA1BB2" w:rsidRDefault="000A2FE7" w:rsidP="00473A4E">
      <w:pPr>
        <w:spacing w:line="360" w:lineRule="auto"/>
        <w:rPr>
          <w:rFonts w:ascii="Cambria" w:hAnsi="Cambria"/>
        </w:rPr>
      </w:pPr>
    </w:p>
    <w:p w14:paraId="3BE538CC" w14:textId="59143D3B" w:rsidR="000A2FE7" w:rsidRPr="00EA1BB2" w:rsidRDefault="000A2FE7" w:rsidP="000A2FE7">
      <w:pPr>
        <w:pStyle w:val="Caption"/>
        <w:keepNext/>
        <w:spacing w:after="0" w:line="360" w:lineRule="auto"/>
        <w:ind w:firstLine="708"/>
        <w:rPr>
          <w:rFonts w:ascii="Cambria" w:hAnsi="Cambria"/>
        </w:rPr>
      </w:pPr>
      <w:bookmarkStart w:id="22" w:name="_Toc526889761"/>
      <w:r w:rsidRPr="00EA1BB2">
        <w:rPr>
          <w:rFonts w:ascii="Cambria" w:hAnsi="Cambria"/>
        </w:rPr>
        <w:t xml:space="preserve">Tabelul nr. </w:t>
      </w:r>
      <w:r w:rsidRPr="00EA1BB2">
        <w:rPr>
          <w:rFonts w:ascii="Cambria" w:hAnsi="Cambria"/>
        </w:rPr>
        <w:fldChar w:fldCharType="begin"/>
      </w:r>
      <w:r w:rsidRPr="00EA1BB2">
        <w:rPr>
          <w:rFonts w:ascii="Cambria" w:hAnsi="Cambria"/>
        </w:rPr>
        <w:instrText xml:space="preserve"> STYLEREF 1 \s </w:instrText>
      </w:r>
      <w:r w:rsidRPr="00EA1BB2">
        <w:rPr>
          <w:rFonts w:ascii="Cambria" w:hAnsi="Cambria"/>
        </w:rPr>
        <w:fldChar w:fldCharType="separate"/>
      </w:r>
      <w:r w:rsidR="00567555">
        <w:rPr>
          <w:rFonts w:ascii="Cambria" w:hAnsi="Cambria"/>
          <w:noProof/>
        </w:rPr>
        <w:t>2</w:t>
      </w:r>
      <w:r w:rsidRPr="00EA1BB2">
        <w:rPr>
          <w:rFonts w:ascii="Cambria" w:hAnsi="Cambria"/>
        </w:rPr>
        <w:fldChar w:fldCharType="end"/>
      </w:r>
      <w:r w:rsidRPr="00EA1BB2">
        <w:rPr>
          <w:rFonts w:ascii="Cambria" w:hAnsi="Cambria"/>
        </w:rPr>
        <w:noBreakHyphen/>
      </w:r>
      <w:r w:rsidRPr="00EA1BB2">
        <w:rPr>
          <w:rFonts w:ascii="Cambria" w:hAnsi="Cambria"/>
        </w:rPr>
        <w:fldChar w:fldCharType="begin"/>
      </w:r>
      <w:r w:rsidRPr="00EA1BB2">
        <w:rPr>
          <w:rFonts w:ascii="Cambria" w:hAnsi="Cambria"/>
        </w:rPr>
        <w:instrText xml:space="preserve"> SEQ Tabelul_nr. \* ARABIC \s 1 </w:instrText>
      </w:r>
      <w:r w:rsidRPr="00EA1BB2">
        <w:rPr>
          <w:rFonts w:ascii="Cambria" w:hAnsi="Cambria"/>
        </w:rPr>
        <w:fldChar w:fldCharType="separate"/>
      </w:r>
      <w:r w:rsidR="00567555">
        <w:rPr>
          <w:rFonts w:ascii="Cambria" w:hAnsi="Cambria"/>
          <w:noProof/>
        </w:rPr>
        <w:t>4</w:t>
      </w:r>
      <w:r w:rsidRPr="00EA1BB2">
        <w:rPr>
          <w:rFonts w:ascii="Cambria" w:hAnsi="Cambria"/>
        </w:rPr>
        <w:fldChar w:fldCharType="end"/>
      </w:r>
      <w:r w:rsidRPr="00EA1BB2">
        <w:rPr>
          <w:rFonts w:ascii="Cambria" w:hAnsi="Cambria"/>
        </w:rPr>
        <w:t xml:space="preserve"> - Populația rezidentă pe grupe de vârstă în anul 2017</w:t>
      </w:r>
      <w:bookmarkEnd w:id="22"/>
    </w:p>
    <w:tbl>
      <w:tblPr>
        <w:tblStyle w:val="TableGrid"/>
        <w:tblW w:w="0" w:type="auto"/>
        <w:tblLook w:val="04A0" w:firstRow="1" w:lastRow="0" w:firstColumn="1" w:lastColumn="0" w:noHBand="0" w:noVBand="1"/>
      </w:tblPr>
      <w:tblGrid>
        <w:gridCol w:w="2265"/>
        <w:gridCol w:w="2265"/>
        <w:gridCol w:w="2265"/>
        <w:gridCol w:w="2265"/>
      </w:tblGrid>
      <w:tr w:rsidR="000A2FE7" w:rsidRPr="00EA1BB2" w14:paraId="445E80D4" w14:textId="77777777" w:rsidTr="00B9693E">
        <w:trPr>
          <w:tblHeader/>
        </w:trPr>
        <w:tc>
          <w:tcPr>
            <w:tcW w:w="2265" w:type="dxa"/>
            <w:vMerge w:val="restart"/>
            <w:shd w:val="clear" w:color="auto" w:fill="BDD6EE" w:themeFill="accent1" w:themeFillTint="66"/>
            <w:vAlign w:val="center"/>
          </w:tcPr>
          <w:p w14:paraId="28EC996E" w14:textId="77777777" w:rsidR="000A2FE7" w:rsidRPr="00EA1BB2" w:rsidRDefault="000A2FE7" w:rsidP="00B9693E">
            <w:pPr>
              <w:spacing w:line="360" w:lineRule="auto"/>
              <w:jc w:val="center"/>
              <w:rPr>
                <w:rFonts w:ascii="Cambria" w:hAnsi="Cambria"/>
                <w:b/>
                <w:sz w:val="24"/>
                <w:szCs w:val="24"/>
                <w:lang w:val="ro-RO"/>
              </w:rPr>
            </w:pPr>
            <w:r w:rsidRPr="00EA1BB2">
              <w:rPr>
                <w:rFonts w:ascii="Cambria" w:hAnsi="Cambria"/>
                <w:b/>
                <w:sz w:val="24"/>
                <w:szCs w:val="24"/>
                <w:lang w:val="ro-RO"/>
              </w:rPr>
              <w:t>Grupa de vârstă</w:t>
            </w:r>
          </w:p>
        </w:tc>
        <w:tc>
          <w:tcPr>
            <w:tcW w:w="6795" w:type="dxa"/>
            <w:gridSpan w:val="3"/>
            <w:shd w:val="clear" w:color="auto" w:fill="BDD6EE" w:themeFill="accent1" w:themeFillTint="66"/>
            <w:vAlign w:val="center"/>
          </w:tcPr>
          <w:p w14:paraId="17C6E57C" w14:textId="77777777" w:rsidR="000A2FE7" w:rsidRPr="00EA1BB2" w:rsidRDefault="000A2FE7" w:rsidP="00B9693E">
            <w:pPr>
              <w:spacing w:line="360" w:lineRule="auto"/>
              <w:jc w:val="center"/>
              <w:rPr>
                <w:rFonts w:ascii="Cambria" w:hAnsi="Cambria"/>
                <w:b/>
                <w:sz w:val="24"/>
                <w:szCs w:val="24"/>
                <w:lang w:val="ro-RO"/>
              </w:rPr>
            </w:pPr>
            <w:r w:rsidRPr="00EA1BB2">
              <w:rPr>
                <w:rFonts w:ascii="Cambria" w:hAnsi="Cambria" w:cs="Times New Roman"/>
                <w:b/>
                <w:sz w:val="24"/>
                <w:szCs w:val="24"/>
                <w:lang w:val="ro-RO"/>
              </w:rPr>
              <w:t>Populația (nr. locuitori)</w:t>
            </w:r>
          </w:p>
        </w:tc>
      </w:tr>
      <w:tr w:rsidR="000A2FE7" w:rsidRPr="00EA1BB2" w14:paraId="56FE0544" w14:textId="77777777" w:rsidTr="00B9693E">
        <w:trPr>
          <w:tblHeader/>
        </w:trPr>
        <w:tc>
          <w:tcPr>
            <w:tcW w:w="2265" w:type="dxa"/>
            <w:vMerge/>
            <w:shd w:val="clear" w:color="auto" w:fill="BDD6EE" w:themeFill="accent1" w:themeFillTint="66"/>
            <w:vAlign w:val="center"/>
          </w:tcPr>
          <w:p w14:paraId="78811EBD" w14:textId="77777777" w:rsidR="000A2FE7" w:rsidRPr="00EA1BB2" w:rsidRDefault="000A2FE7" w:rsidP="00B9693E">
            <w:pPr>
              <w:spacing w:line="360" w:lineRule="auto"/>
              <w:jc w:val="center"/>
              <w:rPr>
                <w:rFonts w:ascii="Cambria" w:hAnsi="Cambria"/>
                <w:b/>
                <w:sz w:val="24"/>
                <w:szCs w:val="24"/>
                <w:lang w:val="ro-RO"/>
              </w:rPr>
            </w:pPr>
          </w:p>
        </w:tc>
        <w:tc>
          <w:tcPr>
            <w:tcW w:w="2265" w:type="dxa"/>
            <w:shd w:val="clear" w:color="auto" w:fill="BDD6EE" w:themeFill="accent1" w:themeFillTint="66"/>
            <w:vAlign w:val="center"/>
          </w:tcPr>
          <w:p w14:paraId="0C853964" w14:textId="77777777" w:rsidR="000A2FE7" w:rsidRPr="00EA1BB2" w:rsidRDefault="000A2FE7" w:rsidP="00B9693E">
            <w:pPr>
              <w:spacing w:line="360" w:lineRule="auto"/>
              <w:jc w:val="center"/>
              <w:rPr>
                <w:rFonts w:ascii="Cambria" w:hAnsi="Cambria"/>
                <w:b/>
                <w:sz w:val="24"/>
                <w:szCs w:val="24"/>
                <w:lang w:val="ro-RO"/>
              </w:rPr>
            </w:pPr>
            <w:r w:rsidRPr="00EA1BB2">
              <w:rPr>
                <w:rFonts w:ascii="Cambria" w:hAnsi="Cambria" w:cs="Times New Roman"/>
                <w:b/>
                <w:sz w:val="24"/>
                <w:szCs w:val="24"/>
                <w:lang w:val="ro-RO"/>
              </w:rPr>
              <w:t>Total</w:t>
            </w:r>
          </w:p>
        </w:tc>
        <w:tc>
          <w:tcPr>
            <w:tcW w:w="2265" w:type="dxa"/>
            <w:shd w:val="clear" w:color="auto" w:fill="BDD6EE" w:themeFill="accent1" w:themeFillTint="66"/>
            <w:vAlign w:val="center"/>
          </w:tcPr>
          <w:p w14:paraId="6DF76733" w14:textId="77777777" w:rsidR="000A2FE7" w:rsidRPr="00EA1BB2" w:rsidRDefault="000A2FE7" w:rsidP="00B9693E">
            <w:pPr>
              <w:spacing w:line="360" w:lineRule="auto"/>
              <w:jc w:val="center"/>
              <w:rPr>
                <w:rFonts w:ascii="Cambria" w:hAnsi="Cambria"/>
                <w:b/>
                <w:sz w:val="24"/>
                <w:szCs w:val="24"/>
                <w:lang w:val="ro-RO"/>
              </w:rPr>
            </w:pPr>
            <w:r w:rsidRPr="00EA1BB2">
              <w:rPr>
                <w:rFonts w:ascii="Cambria" w:hAnsi="Cambria" w:cs="Times New Roman"/>
                <w:b/>
                <w:sz w:val="24"/>
                <w:szCs w:val="24"/>
                <w:lang w:val="ro-RO"/>
              </w:rPr>
              <w:t>Masculin</w:t>
            </w:r>
          </w:p>
        </w:tc>
        <w:tc>
          <w:tcPr>
            <w:tcW w:w="2265" w:type="dxa"/>
            <w:shd w:val="clear" w:color="auto" w:fill="BDD6EE" w:themeFill="accent1" w:themeFillTint="66"/>
            <w:vAlign w:val="center"/>
          </w:tcPr>
          <w:p w14:paraId="473F005F" w14:textId="77777777" w:rsidR="000A2FE7" w:rsidRPr="00EA1BB2" w:rsidRDefault="000A2FE7" w:rsidP="00B9693E">
            <w:pPr>
              <w:spacing w:line="360" w:lineRule="auto"/>
              <w:jc w:val="center"/>
              <w:rPr>
                <w:rFonts w:ascii="Cambria" w:hAnsi="Cambria"/>
                <w:b/>
                <w:sz w:val="24"/>
                <w:szCs w:val="24"/>
                <w:lang w:val="ro-RO"/>
              </w:rPr>
            </w:pPr>
            <w:r w:rsidRPr="00EA1BB2">
              <w:rPr>
                <w:rFonts w:ascii="Cambria" w:hAnsi="Cambria" w:cs="Times New Roman"/>
                <w:b/>
                <w:sz w:val="24"/>
                <w:szCs w:val="24"/>
                <w:lang w:val="ro-RO"/>
              </w:rPr>
              <w:t>Feminin</w:t>
            </w:r>
          </w:p>
        </w:tc>
      </w:tr>
      <w:tr w:rsidR="000A2FE7" w:rsidRPr="00EA1BB2" w14:paraId="0F1927A9" w14:textId="77777777" w:rsidTr="00B9693E">
        <w:tc>
          <w:tcPr>
            <w:tcW w:w="2265" w:type="dxa"/>
          </w:tcPr>
          <w:p w14:paraId="6A1CE9DA"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0-4 ani</w:t>
            </w:r>
          </w:p>
        </w:tc>
        <w:tc>
          <w:tcPr>
            <w:tcW w:w="2265" w:type="dxa"/>
          </w:tcPr>
          <w:p w14:paraId="72443C77"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11.981</w:t>
            </w:r>
          </w:p>
        </w:tc>
        <w:tc>
          <w:tcPr>
            <w:tcW w:w="2265" w:type="dxa"/>
          </w:tcPr>
          <w:p w14:paraId="3ED08D21"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6.120</w:t>
            </w:r>
          </w:p>
        </w:tc>
        <w:tc>
          <w:tcPr>
            <w:tcW w:w="2265" w:type="dxa"/>
          </w:tcPr>
          <w:p w14:paraId="61C2F40B"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5.861</w:t>
            </w:r>
          </w:p>
        </w:tc>
      </w:tr>
      <w:tr w:rsidR="000A2FE7" w:rsidRPr="00EA1BB2" w14:paraId="6BC69E7F" w14:textId="77777777" w:rsidTr="00B9693E">
        <w:tc>
          <w:tcPr>
            <w:tcW w:w="2265" w:type="dxa"/>
          </w:tcPr>
          <w:p w14:paraId="531333D1"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5-9 ani</w:t>
            </w:r>
          </w:p>
        </w:tc>
        <w:tc>
          <w:tcPr>
            <w:tcW w:w="2265" w:type="dxa"/>
          </w:tcPr>
          <w:p w14:paraId="22B7C653"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14.056</w:t>
            </w:r>
          </w:p>
        </w:tc>
        <w:tc>
          <w:tcPr>
            <w:tcW w:w="2265" w:type="dxa"/>
          </w:tcPr>
          <w:p w14:paraId="7F40191E"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7.336</w:t>
            </w:r>
          </w:p>
        </w:tc>
        <w:tc>
          <w:tcPr>
            <w:tcW w:w="2265" w:type="dxa"/>
          </w:tcPr>
          <w:p w14:paraId="5910923A"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6.720</w:t>
            </w:r>
          </w:p>
        </w:tc>
      </w:tr>
      <w:tr w:rsidR="000A2FE7" w:rsidRPr="00EA1BB2" w14:paraId="12A70125" w14:textId="77777777" w:rsidTr="00B9693E">
        <w:tc>
          <w:tcPr>
            <w:tcW w:w="2265" w:type="dxa"/>
          </w:tcPr>
          <w:p w14:paraId="3DBB6FC3"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10-14 ani</w:t>
            </w:r>
          </w:p>
        </w:tc>
        <w:tc>
          <w:tcPr>
            <w:tcW w:w="2265" w:type="dxa"/>
          </w:tcPr>
          <w:p w14:paraId="5ABB6EF8"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15.945</w:t>
            </w:r>
          </w:p>
        </w:tc>
        <w:tc>
          <w:tcPr>
            <w:tcW w:w="2265" w:type="dxa"/>
          </w:tcPr>
          <w:p w14:paraId="639D05D8"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8.129</w:t>
            </w:r>
          </w:p>
        </w:tc>
        <w:tc>
          <w:tcPr>
            <w:tcW w:w="2265" w:type="dxa"/>
          </w:tcPr>
          <w:p w14:paraId="19F622F0"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7.816</w:t>
            </w:r>
          </w:p>
        </w:tc>
      </w:tr>
      <w:tr w:rsidR="000A2FE7" w:rsidRPr="00EA1BB2" w14:paraId="542DD5C9" w14:textId="77777777" w:rsidTr="00B9693E">
        <w:tc>
          <w:tcPr>
            <w:tcW w:w="2265" w:type="dxa"/>
          </w:tcPr>
          <w:p w14:paraId="2BE3A582"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15-19 ani</w:t>
            </w:r>
          </w:p>
        </w:tc>
        <w:tc>
          <w:tcPr>
            <w:tcW w:w="2265" w:type="dxa"/>
          </w:tcPr>
          <w:p w14:paraId="5751477D"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16.025</w:t>
            </w:r>
          </w:p>
        </w:tc>
        <w:tc>
          <w:tcPr>
            <w:tcW w:w="2265" w:type="dxa"/>
          </w:tcPr>
          <w:p w14:paraId="64306963"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8.361</w:t>
            </w:r>
          </w:p>
        </w:tc>
        <w:tc>
          <w:tcPr>
            <w:tcW w:w="2265" w:type="dxa"/>
          </w:tcPr>
          <w:p w14:paraId="3047F925"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7.664</w:t>
            </w:r>
          </w:p>
        </w:tc>
      </w:tr>
      <w:tr w:rsidR="000A2FE7" w:rsidRPr="00EA1BB2" w14:paraId="135AA52B" w14:textId="77777777" w:rsidTr="00B9693E">
        <w:tc>
          <w:tcPr>
            <w:tcW w:w="2265" w:type="dxa"/>
          </w:tcPr>
          <w:p w14:paraId="7D6F5596"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lastRenderedPageBreak/>
              <w:t>20-24 ani</w:t>
            </w:r>
          </w:p>
        </w:tc>
        <w:tc>
          <w:tcPr>
            <w:tcW w:w="2265" w:type="dxa"/>
          </w:tcPr>
          <w:p w14:paraId="333345F7"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14.900</w:t>
            </w:r>
          </w:p>
        </w:tc>
        <w:tc>
          <w:tcPr>
            <w:tcW w:w="2265" w:type="dxa"/>
          </w:tcPr>
          <w:p w14:paraId="510FF2EA"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7.845</w:t>
            </w:r>
          </w:p>
        </w:tc>
        <w:tc>
          <w:tcPr>
            <w:tcW w:w="2265" w:type="dxa"/>
          </w:tcPr>
          <w:p w14:paraId="6BE6E135"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7.055</w:t>
            </w:r>
          </w:p>
        </w:tc>
      </w:tr>
      <w:tr w:rsidR="000A2FE7" w:rsidRPr="00EA1BB2" w14:paraId="1E0BE94C" w14:textId="77777777" w:rsidTr="00B9693E">
        <w:tc>
          <w:tcPr>
            <w:tcW w:w="2265" w:type="dxa"/>
          </w:tcPr>
          <w:p w14:paraId="177F204A"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25-29 ani</w:t>
            </w:r>
          </w:p>
        </w:tc>
        <w:tc>
          <w:tcPr>
            <w:tcW w:w="2265" w:type="dxa"/>
          </w:tcPr>
          <w:p w14:paraId="03067D2B"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14.279</w:t>
            </w:r>
          </w:p>
        </w:tc>
        <w:tc>
          <w:tcPr>
            <w:tcW w:w="2265" w:type="dxa"/>
          </w:tcPr>
          <w:p w14:paraId="2AFC9CA2"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8.335</w:t>
            </w:r>
          </w:p>
        </w:tc>
        <w:tc>
          <w:tcPr>
            <w:tcW w:w="2265" w:type="dxa"/>
          </w:tcPr>
          <w:p w14:paraId="3811CDAB"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5.944</w:t>
            </w:r>
          </w:p>
        </w:tc>
      </w:tr>
      <w:tr w:rsidR="000A2FE7" w:rsidRPr="00EA1BB2" w14:paraId="1284D3D2" w14:textId="77777777" w:rsidTr="00B9693E">
        <w:tc>
          <w:tcPr>
            <w:tcW w:w="2265" w:type="dxa"/>
          </w:tcPr>
          <w:p w14:paraId="4A01C9B9"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30-34 ani</w:t>
            </w:r>
          </w:p>
        </w:tc>
        <w:tc>
          <w:tcPr>
            <w:tcW w:w="2265" w:type="dxa"/>
          </w:tcPr>
          <w:p w14:paraId="41A49220"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15.413</w:t>
            </w:r>
          </w:p>
        </w:tc>
        <w:tc>
          <w:tcPr>
            <w:tcW w:w="2265" w:type="dxa"/>
          </w:tcPr>
          <w:p w14:paraId="6186C03F"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8.365</w:t>
            </w:r>
          </w:p>
        </w:tc>
        <w:tc>
          <w:tcPr>
            <w:tcW w:w="2265" w:type="dxa"/>
          </w:tcPr>
          <w:p w14:paraId="098A1CF0"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7.048</w:t>
            </w:r>
          </w:p>
        </w:tc>
      </w:tr>
      <w:tr w:rsidR="000A2FE7" w:rsidRPr="00EA1BB2" w14:paraId="625999F1" w14:textId="77777777" w:rsidTr="00B9693E">
        <w:tc>
          <w:tcPr>
            <w:tcW w:w="2265" w:type="dxa"/>
          </w:tcPr>
          <w:p w14:paraId="0CBECE59"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35-39 ani</w:t>
            </w:r>
          </w:p>
        </w:tc>
        <w:tc>
          <w:tcPr>
            <w:tcW w:w="2265" w:type="dxa"/>
          </w:tcPr>
          <w:p w14:paraId="0EFEE282"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21.458</w:t>
            </w:r>
          </w:p>
        </w:tc>
        <w:tc>
          <w:tcPr>
            <w:tcW w:w="2265" w:type="dxa"/>
          </w:tcPr>
          <w:p w14:paraId="63445537"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10.904</w:t>
            </w:r>
          </w:p>
        </w:tc>
        <w:tc>
          <w:tcPr>
            <w:tcW w:w="2265" w:type="dxa"/>
          </w:tcPr>
          <w:p w14:paraId="4F85FD77"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10.554</w:t>
            </w:r>
          </w:p>
        </w:tc>
      </w:tr>
      <w:tr w:rsidR="000A2FE7" w:rsidRPr="00EA1BB2" w14:paraId="36337E55" w14:textId="77777777" w:rsidTr="00B9693E">
        <w:tc>
          <w:tcPr>
            <w:tcW w:w="2265" w:type="dxa"/>
          </w:tcPr>
          <w:p w14:paraId="227398FB"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40-44 ani</w:t>
            </w:r>
          </w:p>
        </w:tc>
        <w:tc>
          <w:tcPr>
            <w:tcW w:w="2265" w:type="dxa"/>
          </w:tcPr>
          <w:p w14:paraId="47C09446"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24.356</w:t>
            </w:r>
          </w:p>
        </w:tc>
        <w:tc>
          <w:tcPr>
            <w:tcW w:w="2265" w:type="dxa"/>
          </w:tcPr>
          <w:p w14:paraId="42051905"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12.623</w:t>
            </w:r>
          </w:p>
        </w:tc>
        <w:tc>
          <w:tcPr>
            <w:tcW w:w="2265" w:type="dxa"/>
          </w:tcPr>
          <w:p w14:paraId="589DBB9E"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11.733</w:t>
            </w:r>
          </w:p>
        </w:tc>
      </w:tr>
      <w:tr w:rsidR="000A2FE7" w:rsidRPr="00EA1BB2" w14:paraId="29B5DB44" w14:textId="77777777" w:rsidTr="00B9693E">
        <w:tc>
          <w:tcPr>
            <w:tcW w:w="2265" w:type="dxa"/>
          </w:tcPr>
          <w:p w14:paraId="708245DD"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45-49 ani</w:t>
            </w:r>
          </w:p>
        </w:tc>
        <w:tc>
          <w:tcPr>
            <w:tcW w:w="2265" w:type="dxa"/>
          </w:tcPr>
          <w:p w14:paraId="50BF17F6"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28.556</w:t>
            </w:r>
          </w:p>
        </w:tc>
        <w:tc>
          <w:tcPr>
            <w:tcW w:w="2265" w:type="dxa"/>
          </w:tcPr>
          <w:p w14:paraId="4E0708C4"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14.771</w:t>
            </w:r>
          </w:p>
        </w:tc>
        <w:tc>
          <w:tcPr>
            <w:tcW w:w="2265" w:type="dxa"/>
          </w:tcPr>
          <w:p w14:paraId="7EE81D38"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13.785</w:t>
            </w:r>
          </w:p>
        </w:tc>
      </w:tr>
      <w:tr w:rsidR="000A2FE7" w:rsidRPr="00EA1BB2" w14:paraId="1B8CC1D0" w14:textId="77777777" w:rsidTr="00B9693E">
        <w:tc>
          <w:tcPr>
            <w:tcW w:w="2265" w:type="dxa"/>
          </w:tcPr>
          <w:p w14:paraId="40A98529"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50-54 ani</w:t>
            </w:r>
          </w:p>
        </w:tc>
        <w:tc>
          <w:tcPr>
            <w:tcW w:w="2265" w:type="dxa"/>
          </w:tcPr>
          <w:p w14:paraId="42665E58"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15.370</w:t>
            </w:r>
          </w:p>
        </w:tc>
        <w:tc>
          <w:tcPr>
            <w:tcW w:w="2265" w:type="dxa"/>
          </w:tcPr>
          <w:p w14:paraId="6C3E37BF"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7.881</w:t>
            </w:r>
          </w:p>
        </w:tc>
        <w:tc>
          <w:tcPr>
            <w:tcW w:w="2265" w:type="dxa"/>
          </w:tcPr>
          <w:p w14:paraId="29ED9C2A"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7.489</w:t>
            </w:r>
          </w:p>
        </w:tc>
      </w:tr>
      <w:tr w:rsidR="000A2FE7" w:rsidRPr="00EA1BB2" w14:paraId="123AB086" w14:textId="77777777" w:rsidTr="00B9693E">
        <w:tc>
          <w:tcPr>
            <w:tcW w:w="2265" w:type="dxa"/>
          </w:tcPr>
          <w:p w14:paraId="01F41824"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55-59 ani</w:t>
            </w:r>
          </w:p>
        </w:tc>
        <w:tc>
          <w:tcPr>
            <w:tcW w:w="2265" w:type="dxa"/>
          </w:tcPr>
          <w:p w14:paraId="0C4ECCD0"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20.859</w:t>
            </w:r>
          </w:p>
        </w:tc>
        <w:tc>
          <w:tcPr>
            <w:tcW w:w="2265" w:type="dxa"/>
          </w:tcPr>
          <w:p w14:paraId="4613EFBA"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10.376</w:t>
            </w:r>
          </w:p>
        </w:tc>
        <w:tc>
          <w:tcPr>
            <w:tcW w:w="2265" w:type="dxa"/>
          </w:tcPr>
          <w:p w14:paraId="05E08AD5"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10.483</w:t>
            </w:r>
          </w:p>
        </w:tc>
      </w:tr>
      <w:tr w:rsidR="000A2FE7" w:rsidRPr="00EA1BB2" w14:paraId="5A6CC40A" w14:textId="77777777" w:rsidTr="00B9693E">
        <w:tc>
          <w:tcPr>
            <w:tcW w:w="2265" w:type="dxa"/>
          </w:tcPr>
          <w:p w14:paraId="7092BF6C"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60-64 ani</w:t>
            </w:r>
          </w:p>
        </w:tc>
        <w:tc>
          <w:tcPr>
            <w:tcW w:w="2265" w:type="dxa"/>
          </w:tcPr>
          <w:p w14:paraId="48C67BA9"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23.201</w:t>
            </w:r>
          </w:p>
        </w:tc>
        <w:tc>
          <w:tcPr>
            <w:tcW w:w="2265" w:type="dxa"/>
          </w:tcPr>
          <w:p w14:paraId="0182CBC1"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10.731</w:t>
            </w:r>
          </w:p>
        </w:tc>
        <w:tc>
          <w:tcPr>
            <w:tcW w:w="2265" w:type="dxa"/>
          </w:tcPr>
          <w:p w14:paraId="11CF57EC"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12.470</w:t>
            </w:r>
          </w:p>
        </w:tc>
      </w:tr>
      <w:tr w:rsidR="000A2FE7" w:rsidRPr="00EA1BB2" w14:paraId="4BF52249" w14:textId="77777777" w:rsidTr="00B9693E">
        <w:tc>
          <w:tcPr>
            <w:tcW w:w="2265" w:type="dxa"/>
          </w:tcPr>
          <w:p w14:paraId="19A987AB"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65-69 ani</w:t>
            </w:r>
          </w:p>
        </w:tc>
        <w:tc>
          <w:tcPr>
            <w:tcW w:w="2265" w:type="dxa"/>
          </w:tcPr>
          <w:p w14:paraId="17C6669E"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19.631</w:t>
            </w:r>
          </w:p>
        </w:tc>
        <w:tc>
          <w:tcPr>
            <w:tcW w:w="2265" w:type="dxa"/>
          </w:tcPr>
          <w:p w14:paraId="315B776B"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8.671</w:t>
            </w:r>
          </w:p>
        </w:tc>
        <w:tc>
          <w:tcPr>
            <w:tcW w:w="2265" w:type="dxa"/>
          </w:tcPr>
          <w:p w14:paraId="1D010A4E"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10.960</w:t>
            </w:r>
          </w:p>
        </w:tc>
      </w:tr>
      <w:tr w:rsidR="000A2FE7" w:rsidRPr="00EA1BB2" w14:paraId="5AA26703" w14:textId="77777777" w:rsidTr="00B9693E">
        <w:tc>
          <w:tcPr>
            <w:tcW w:w="2265" w:type="dxa"/>
          </w:tcPr>
          <w:p w14:paraId="16311D18"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70-74 ani</w:t>
            </w:r>
          </w:p>
        </w:tc>
        <w:tc>
          <w:tcPr>
            <w:tcW w:w="2265" w:type="dxa"/>
          </w:tcPr>
          <w:p w14:paraId="7535DBA3"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13.074</w:t>
            </w:r>
          </w:p>
        </w:tc>
        <w:tc>
          <w:tcPr>
            <w:tcW w:w="2265" w:type="dxa"/>
          </w:tcPr>
          <w:p w14:paraId="2E37E5B7"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5.305</w:t>
            </w:r>
          </w:p>
        </w:tc>
        <w:tc>
          <w:tcPr>
            <w:tcW w:w="2265" w:type="dxa"/>
          </w:tcPr>
          <w:p w14:paraId="31746DBB"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7.769</w:t>
            </w:r>
          </w:p>
        </w:tc>
      </w:tr>
      <w:tr w:rsidR="000A2FE7" w:rsidRPr="00EA1BB2" w14:paraId="6C5F3B7B" w14:textId="77777777" w:rsidTr="00B9693E">
        <w:tc>
          <w:tcPr>
            <w:tcW w:w="2265" w:type="dxa"/>
          </w:tcPr>
          <w:p w14:paraId="2356D441"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75-79 ani</w:t>
            </w:r>
          </w:p>
        </w:tc>
        <w:tc>
          <w:tcPr>
            <w:tcW w:w="2265" w:type="dxa"/>
          </w:tcPr>
          <w:p w14:paraId="5519863F"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13.271</w:t>
            </w:r>
          </w:p>
        </w:tc>
        <w:tc>
          <w:tcPr>
            <w:tcW w:w="2265" w:type="dxa"/>
          </w:tcPr>
          <w:p w14:paraId="4F400769"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4.998</w:t>
            </w:r>
          </w:p>
        </w:tc>
        <w:tc>
          <w:tcPr>
            <w:tcW w:w="2265" w:type="dxa"/>
          </w:tcPr>
          <w:p w14:paraId="66692FE4"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8.273</w:t>
            </w:r>
          </w:p>
        </w:tc>
      </w:tr>
      <w:tr w:rsidR="000A2FE7" w:rsidRPr="00EA1BB2" w14:paraId="36F15FAB" w14:textId="77777777" w:rsidTr="00B9693E">
        <w:tc>
          <w:tcPr>
            <w:tcW w:w="2265" w:type="dxa"/>
          </w:tcPr>
          <w:p w14:paraId="1C79CEFA"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80-84 ani</w:t>
            </w:r>
          </w:p>
        </w:tc>
        <w:tc>
          <w:tcPr>
            <w:tcW w:w="2265" w:type="dxa"/>
          </w:tcPr>
          <w:p w14:paraId="080618E0"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9.902</w:t>
            </w:r>
          </w:p>
        </w:tc>
        <w:tc>
          <w:tcPr>
            <w:tcW w:w="2265" w:type="dxa"/>
          </w:tcPr>
          <w:p w14:paraId="6CF50ADC"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3.598</w:t>
            </w:r>
          </w:p>
        </w:tc>
        <w:tc>
          <w:tcPr>
            <w:tcW w:w="2265" w:type="dxa"/>
          </w:tcPr>
          <w:p w14:paraId="0FAE90B0"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6.304</w:t>
            </w:r>
          </w:p>
        </w:tc>
      </w:tr>
      <w:tr w:rsidR="000A2FE7" w:rsidRPr="00EA1BB2" w14:paraId="57E9C4D0" w14:textId="77777777" w:rsidTr="00B9693E">
        <w:tc>
          <w:tcPr>
            <w:tcW w:w="2265" w:type="dxa"/>
          </w:tcPr>
          <w:p w14:paraId="64EFF1A5"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85 ani si peste</w:t>
            </w:r>
          </w:p>
        </w:tc>
        <w:tc>
          <w:tcPr>
            <w:tcW w:w="2265" w:type="dxa"/>
          </w:tcPr>
          <w:p w14:paraId="64162E91"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6.848</w:t>
            </w:r>
          </w:p>
        </w:tc>
        <w:tc>
          <w:tcPr>
            <w:tcW w:w="2265" w:type="dxa"/>
          </w:tcPr>
          <w:p w14:paraId="42055288"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2.244</w:t>
            </w:r>
          </w:p>
        </w:tc>
        <w:tc>
          <w:tcPr>
            <w:tcW w:w="2265" w:type="dxa"/>
          </w:tcPr>
          <w:p w14:paraId="613C0DC9"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4.604</w:t>
            </w:r>
          </w:p>
        </w:tc>
      </w:tr>
      <w:tr w:rsidR="000A2FE7" w:rsidRPr="00EA1BB2" w14:paraId="2BEB4D02" w14:textId="77777777" w:rsidTr="00B9693E">
        <w:tc>
          <w:tcPr>
            <w:tcW w:w="2265" w:type="dxa"/>
          </w:tcPr>
          <w:p w14:paraId="3E3055E0"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Total</w:t>
            </w:r>
          </w:p>
        </w:tc>
        <w:tc>
          <w:tcPr>
            <w:tcW w:w="2265" w:type="dxa"/>
          </w:tcPr>
          <w:p w14:paraId="5F5B44F2"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299.125</w:t>
            </w:r>
          </w:p>
        </w:tc>
        <w:tc>
          <w:tcPr>
            <w:tcW w:w="2265" w:type="dxa"/>
          </w:tcPr>
          <w:p w14:paraId="4B70D832"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146.593</w:t>
            </w:r>
          </w:p>
        </w:tc>
        <w:tc>
          <w:tcPr>
            <w:tcW w:w="2265" w:type="dxa"/>
          </w:tcPr>
          <w:p w14:paraId="4322DFAA" w14:textId="77777777" w:rsidR="000A2FE7" w:rsidRPr="00EA1BB2" w:rsidRDefault="000A2FE7" w:rsidP="00B9693E">
            <w:pPr>
              <w:spacing w:line="360" w:lineRule="auto"/>
              <w:jc w:val="center"/>
              <w:rPr>
                <w:rFonts w:ascii="Cambria" w:hAnsi="Cambria" w:cs="Arial"/>
                <w:sz w:val="24"/>
                <w:szCs w:val="24"/>
                <w:shd w:val="clear" w:color="auto" w:fill="FFFFFF"/>
                <w:lang w:val="ro-RO"/>
              </w:rPr>
            </w:pPr>
            <w:r w:rsidRPr="00EA1BB2">
              <w:rPr>
                <w:rFonts w:ascii="Cambria" w:hAnsi="Cambria"/>
                <w:sz w:val="24"/>
                <w:szCs w:val="24"/>
                <w:lang w:val="ro-RO"/>
              </w:rPr>
              <w:t>152.532</w:t>
            </w:r>
          </w:p>
        </w:tc>
      </w:tr>
    </w:tbl>
    <w:p w14:paraId="25A42C2A" w14:textId="77777777" w:rsidR="000A2FE7" w:rsidRPr="00EA1BB2" w:rsidRDefault="000A2FE7" w:rsidP="000A2FE7">
      <w:pPr>
        <w:spacing w:line="360" w:lineRule="auto"/>
        <w:rPr>
          <w:rStyle w:val="Hyperlink"/>
          <w:rFonts w:ascii="Cambria" w:hAnsi="Cambria"/>
        </w:rPr>
      </w:pPr>
      <w:r w:rsidRPr="00EA1BB2">
        <w:rPr>
          <w:rFonts w:ascii="Cambria" w:hAnsi="Cambria"/>
        </w:rPr>
        <w:t xml:space="preserve">Sursa date: </w:t>
      </w:r>
      <w:hyperlink r:id="rId33" w:history="1">
        <w:r w:rsidRPr="00EA1BB2">
          <w:rPr>
            <w:rStyle w:val="Hyperlink"/>
            <w:rFonts w:ascii="Cambria" w:hAnsi="Cambria"/>
          </w:rPr>
          <w:t>http://statistici.insse.ro/shop/index.jsp?page=tempo3&amp;lang=ro&amp;ind=POP105A</w:t>
        </w:r>
      </w:hyperlink>
    </w:p>
    <w:p w14:paraId="776225CE" w14:textId="77777777" w:rsidR="00E77F36" w:rsidRPr="00EA1BB2" w:rsidRDefault="00E77F36" w:rsidP="00473A4E">
      <w:pPr>
        <w:spacing w:line="360" w:lineRule="auto"/>
        <w:rPr>
          <w:rFonts w:ascii="Cambria" w:hAnsi="Cambria"/>
        </w:rPr>
      </w:pPr>
    </w:p>
    <w:p w14:paraId="473C6802" w14:textId="77777777" w:rsidR="00F0254C" w:rsidRPr="00EA1BB2" w:rsidRDefault="00F0254C" w:rsidP="00C83C04">
      <w:pPr>
        <w:pStyle w:val="Heading2"/>
        <w:numPr>
          <w:ilvl w:val="1"/>
          <w:numId w:val="1"/>
        </w:numPr>
        <w:spacing w:before="0"/>
        <w:ind w:hanging="219"/>
        <w:jc w:val="both"/>
        <w:rPr>
          <w:rFonts w:ascii="Cambria" w:hAnsi="Cambria" w:cs="Times New Roman"/>
          <w:color w:val="0070C0"/>
          <w:szCs w:val="24"/>
        </w:rPr>
      </w:pPr>
      <w:bookmarkStart w:id="23" w:name="_Toc526889698"/>
      <w:r w:rsidRPr="00EA1BB2">
        <w:rPr>
          <w:rFonts w:ascii="Cambria" w:hAnsi="Cambria" w:cs="Times New Roman"/>
          <w:color w:val="0070C0"/>
          <w:szCs w:val="24"/>
        </w:rPr>
        <w:t>Date climatice utile</w:t>
      </w:r>
      <w:bookmarkEnd w:id="23"/>
    </w:p>
    <w:p w14:paraId="736F00D8" w14:textId="77777777" w:rsidR="00F0254C" w:rsidRPr="00EA1BB2" w:rsidRDefault="00F0254C" w:rsidP="00F0254C">
      <w:pPr>
        <w:spacing w:line="360" w:lineRule="auto"/>
        <w:ind w:firstLine="708"/>
        <w:jc w:val="both"/>
        <w:rPr>
          <w:rFonts w:ascii="Cambria" w:hAnsi="Cambria" w:cs="Times New Roman"/>
          <w:sz w:val="24"/>
          <w:szCs w:val="24"/>
        </w:rPr>
      </w:pPr>
      <w:r w:rsidRPr="00EA1BB2">
        <w:rPr>
          <w:rFonts w:ascii="Cambria" w:hAnsi="Cambria" w:cs="Times New Roman"/>
          <w:sz w:val="24"/>
          <w:szCs w:val="24"/>
        </w:rPr>
        <w:t>Datorită pozi</w:t>
      </w:r>
      <w:r w:rsidR="00054880" w:rsidRPr="00EA1BB2">
        <w:rPr>
          <w:rFonts w:ascii="Cambria" w:hAnsi="Cambria" w:cs="Times New Roman"/>
          <w:sz w:val="24"/>
          <w:szCs w:val="24"/>
        </w:rPr>
        <w:t>ț</w:t>
      </w:r>
      <w:r w:rsidRPr="00EA1BB2">
        <w:rPr>
          <w:rFonts w:ascii="Cambria" w:hAnsi="Cambria" w:cs="Times New Roman"/>
          <w:sz w:val="24"/>
          <w:szCs w:val="24"/>
        </w:rPr>
        <w:t>iei pe glob, în partea sud-estică a României, jude</w:t>
      </w:r>
      <w:r w:rsidR="00054880" w:rsidRPr="00EA1BB2">
        <w:rPr>
          <w:rFonts w:ascii="Cambria" w:hAnsi="Cambria" w:cs="Times New Roman"/>
          <w:sz w:val="24"/>
          <w:szCs w:val="24"/>
        </w:rPr>
        <w:t>ț</w:t>
      </w:r>
      <w:r w:rsidRPr="00EA1BB2">
        <w:rPr>
          <w:rFonts w:ascii="Cambria" w:hAnsi="Cambria" w:cs="Times New Roman"/>
          <w:sz w:val="24"/>
          <w:szCs w:val="24"/>
        </w:rPr>
        <w:t xml:space="preserve">ul Brăila are un climat temperat continental specific Europei răsăritene. Caracteristice acestui teritoriu sunt verile </w:t>
      </w:r>
      <w:r w:rsidR="00362B21" w:rsidRPr="00EA1BB2">
        <w:rPr>
          <w:rFonts w:ascii="Cambria" w:hAnsi="Cambria" w:cs="Times New Roman"/>
          <w:sz w:val="24"/>
          <w:szCs w:val="24"/>
        </w:rPr>
        <w:t xml:space="preserve">care </w:t>
      </w:r>
      <w:r w:rsidRPr="00EA1BB2">
        <w:rPr>
          <w:rFonts w:ascii="Cambria" w:hAnsi="Cambria" w:cs="Times New Roman"/>
          <w:sz w:val="24"/>
          <w:szCs w:val="24"/>
        </w:rPr>
        <w:t xml:space="preserve">sunt călduroase </w:t>
      </w:r>
      <w:r w:rsidR="00054880" w:rsidRPr="00EA1BB2">
        <w:rPr>
          <w:rFonts w:ascii="Cambria" w:hAnsi="Cambria" w:cs="Times New Roman"/>
          <w:sz w:val="24"/>
          <w:szCs w:val="24"/>
        </w:rPr>
        <w:t>ș</w:t>
      </w:r>
      <w:r w:rsidRPr="00EA1BB2">
        <w:rPr>
          <w:rFonts w:ascii="Cambria" w:hAnsi="Cambria" w:cs="Times New Roman"/>
          <w:sz w:val="24"/>
          <w:szCs w:val="24"/>
        </w:rPr>
        <w:t>i uscate, precipita</w:t>
      </w:r>
      <w:r w:rsidR="00054880" w:rsidRPr="00EA1BB2">
        <w:rPr>
          <w:rFonts w:ascii="Cambria" w:hAnsi="Cambria" w:cs="Times New Roman"/>
          <w:sz w:val="24"/>
          <w:szCs w:val="24"/>
        </w:rPr>
        <w:t>ț</w:t>
      </w:r>
      <w:r w:rsidRPr="00EA1BB2">
        <w:rPr>
          <w:rFonts w:ascii="Cambria" w:hAnsi="Cambria" w:cs="Times New Roman"/>
          <w:sz w:val="24"/>
          <w:szCs w:val="24"/>
        </w:rPr>
        <w:t>iile reduse, dar care pot avea caracter toren</w:t>
      </w:r>
      <w:r w:rsidR="00054880" w:rsidRPr="00EA1BB2">
        <w:rPr>
          <w:rFonts w:ascii="Cambria" w:hAnsi="Cambria" w:cs="Times New Roman"/>
          <w:sz w:val="24"/>
          <w:szCs w:val="24"/>
        </w:rPr>
        <w:t>ț</w:t>
      </w:r>
      <w:r w:rsidRPr="00EA1BB2">
        <w:rPr>
          <w:rFonts w:ascii="Cambria" w:hAnsi="Cambria" w:cs="Times New Roman"/>
          <w:sz w:val="24"/>
          <w:szCs w:val="24"/>
        </w:rPr>
        <w:t xml:space="preserve">ial </w:t>
      </w:r>
      <w:r w:rsidR="00054880" w:rsidRPr="00EA1BB2">
        <w:rPr>
          <w:rFonts w:ascii="Cambria" w:hAnsi="Cambria" w:cs="Times New Roman"/>
          <w:sz w:val="24"/>
          <w:szCs w:val="24"/>
        </w:rPr>
        <w:t>ș</w:t>
      </w:r>
      <w:r w:rsidRPr="00EA1BB2">
        <w:rPr>
          <w:rFonts w:ascii="Cambria" w:hAnsi="Cambria" w:cs="Times New Roman"/>
          <w:sz w:val="24"/>
          <w:szCs w:val="24"/>
        </w:rPr>
        <w:t>i pot fi repartizate inegal. În acela</w:t>
      </w:r>
      <w:r w:rsidR="00054880" w:rsidRPr="00EA1BB2">
        <w:rPr>
          <w:rFonts w:ascii="Cambria" w:hAnsi="Cambria" w:cs="Times New Roman"/>
          <w:sz w:val="24"/>
          <w:szCs w:val="24"/>
        </w:rPr>
        <w:t>ș</w:t>
      </w:r>
      <w:r w:rsidRPr="00EA1BB2">
        <w:rPr>
          <w:rFonts w:ascii="Cambria" w:hAnsi="Cambria" w:cs="Times New Roman"/>
          <w:sz w:val="24"/>
          <w:szCs w:val="24"/>
        </w:rPr>
        <w:t>i timp iernile sunt friguroase, cu cantită</w:t>
      </w:r>
      <w:r w:rsidR="00054880" w:rsidRPr="00EA1BB2">
        <w:rPr>
          <w:rFonts w:ascii="Cambria" w:hAnsi="Cambria" w:cs="Times New Roman"/>
          <w:sz w:val="24"/>
          <w:szCs w:val="24"/>
        </w:rPr>
        <w:t>ț</w:t>
      </w:r>
      <w:r w:rsidRPr="00EA1BB2">
        <w:rPr>
          <w:rFonts w:ascii="Cambria" w:hAnsi="Cambria" w:cs="Times New Roman"/>
          <w:sz w:val="24"/>
          <w:szCs w:val="24"/>
        </w:rPr>
        <w:t>i reduse de precipita</w:t>
      </w:r>
      <w:r w:rsidR="00054880" w:rsidRPr="00EA1BB2">
        <w:rPr>
          <w:rFonts w:ascii="Cambria" w:hAnsi="Cambria" w:cs="Times New Roman"/>
          <w:sz w:val="24"/>
          <w:szCs w:val="24"/>
        </w:rPr>
        <w:t>ț</w:t>
      </w:r>
      <w:r w:rsidRPr="00EA1BB2">
        <w:rPr>
          <w:rFonts w:ascii="Cambria" w:hAnsi="Cambria" w:cs="Times New Roman"/>
          <w:sz w:val="24"/>
          <w:szCs w:val="24"/>
        </w:rPr>
        <w:t>ii, fiind influen</w:t>
      </w:r>
      <w:r w:rsidR="00054880" w:rsidRPr="00EA1BB2">
        <w:rPr>
          <w:rFonts w:ascii="Cambria" w:hAnsi="Cambria" w:cs="Times New Roman"/>
          <w:sz w:val="24"/>
          <w:szCs w:val="24"/>
        </w:rPr>
        <w:t>ț</w:t>
      </w:r>
      <w:r w:rsidRPr="00EA1BB2">
        <w:rPr>
          <w:rFonts w:ascii="Cambria" w:hAnsi="Cambria" w:cs="Times New Roman"/>
          <w:sz w:val="24"/>
          <w:szCs w:val="24"/>
        </w:rPr>
        <w:t>ate de anticiclonul siberian.</w:t>
      </w:r>
    </w:p>
    <w:p w14:paraId="048062CC" w14:textId="77777777" w:rsidR="00FD528B" w:rsidRPr="00EA1BB2" w:rsidRDefault="00FD528B" w:rsidP="00E4631C">
      <w:pPr>
        <w:spacing w:line="360" w:lineRule="auto"/>
        <w:ind w:firstLine="709"/>
        <w:jc w:val="both"/>
        <w:rPr>
          <w:rFonts w:ascii="Cambria" w:hAnsi="Cambria" w:cs="Times New Roman"/>
          <w:sz w:val="24"/>
          <w:szCs w:val="24"/>
        </w:rPr>
      </w:pPr>
      <w:r w:rsidRPr="00EA1BB2">
        <w:rPr>
          <w:rFonts w:ascii="Cambria" w:eastAsia="Calibri" w:hAnsi="Cambria" w:cs="Times New Roman"/>
          <w:sz w:val="24"/>
          <w:szCs w:val="24"/>
        </w:rPr>
        <w:t>Circulația generală a atmosferei are ca trăsături principale frecvența relativ mare a advecțiilor lente de aer temperat - oceanic din V și NV (mai ales în sezonul cald), frecvența de asemenea mare a advecțiilor de aer temperat - continental din NE și E (mai ales în anotimpul rece), precum și advecțiile mai puțin frecvente de aer arctic din N și aer tropical maritim din SV și S.</w:t>
      </w:r>
    </w:p>
    <w:p w14:paraId="4C5AD731" w14:textId="77777777" w:rsidR="009E18DB" w:rsidRPr="00EA1BB2" w:rsidRDefault="009E18DB" w:rsidP="008A2081">
      <w:pPr>
        <w:spacing w:line="360" w:lineRule="auto"/>
        <w:ind w:firstLine="709"/>
        <w:jc w:val="both"/>
        <w:rPr>
          <w:rFonts w:ascii="Cambria" w:eastAsia="Times New Roman" w:hAnsi="Cambria" w:cs="Times New Roman"/>
          <w:sz w:val="24"/>
          <w:szCs w:val="24"/>
        </w:rPr>
      </w:pPr>
    </w:p>
    <w:p w14:paraId="53FE5DA6" w14:textId="341D1518" w:rsidR="009E18DB" w:rsidRPr="00EA1BB2" w:rsidRDefault="009E18DB" w:rsidP="009E18DB">
      <w:pPr>
        <w:keepNext/>
        <w:spacing w:line="360" w:lineRule="auto"/>
        <w:ind w:firstLine="709"/>
        <w:jc w:val="both"/>
        <w:rPr>
          <w:rFonts w:ascii="Cambria" w:eastAsia="Calibri" w:hAnsi="Cambria" w:cs="Times New Roman"/>
          <w:b/>
          <w:iCs/>
          <w:sz w:val="24"/>
          <w:szCs w:val="18"/>
        </w:rPr>
      </w:pPr>
      <w:bookmarkStart w:id="24" w:name="_Toc467855448"/>
      <w:bookmarkStart w:id="25" w:name="_Toc468268828"/>
      <w:bookmarkStart w:id="26" w:name="_Toc495586674"/>
      <w:bookmarkStart w:id="27" w:name="_Toc512346835"/>
      <w:bookmarkStart w:id="28" w:name="_Toc524966197"/>
      <w:r w:rsidRPr="00EA1BB2">
        <w:rPr>
          <w:rFonts w:ascii="Cambria" w:eastAsia="Calibri" w:hAnsi="Cambria" w:cs="Times New Roman"/>
          <w:b/>
          <w:iCs/>
          <w:sz w:val="24"/>
          <w:szCs w:val="18"/>
        </w:rPr>
        <w:lastRenderedPageBreak/>
        <w:t xml:space="preserve">Figura nr. </w:t>
      </w:r>
      <w:r w:rsidR="00280BC9" w:rsidRPr="00EA1BB2">
        <w:rPr>
          <w:rFonts w:ascii="Cambria" w:eastAsia="Calibri" w:hAnsi="Cambria" w:cs="Times New Roman"/>
          <w:b/>
          <w:iCs/>
          <w:sz w:val="24"/>
          <w:szCs w:val="18"/>
        </w:rPr>
        <w:fldChar w:fldCharType="begin"/>
      </w:r>
      <w:r w:rsidR="00BA6FA3" w:rsidRPr="00EA1BB2">
        <w:rPr>
          <w:rFonts w:ascii="Cambria" w:eastAsia="Calibri" w:hAnsi="Cambria" w:cs="Times New Roman"/>
          <w:b/>
          <w:iCs/>
          <w:sz w:val="24"/>
          <w:szCs w:val="18"/>
        </w:rPr>
        <w:instrText xml:space="preserve"> STYLEREF 1 \s </w:instrText>
      </w:r>
      <w:r w:rsidR="00280BC9" w:rsidRPr="00EA1BB2">
        <w:rPr>
          <w:rFonts w:ascii="Cambria" w:eastAsia="Calibri" w:hAnsi="Cambria" w:cs="Times New Roman"/>
          <w:b/>
          <w:iCs/>
          <w:sz w:val="24"/>
          <w:szCs w:val="18"/>
        </w:rPr>
        <w:fldChar w:fldCharType="separate"/>
      </w:r>
      <w:r w:rsidR="00567555">
        <w:rPr>
          <w:rFonts w:ascii="Cambria" w:eastAsia="Calibri" w:hAnsi="Cambria" w:cs="Times New Roman"/>
          <w:b/>
          <w:iCs/>
          <w:noProof/>
          <w:sz w:val="24"/>
          <w:szCs w:val="18"/>
        </w:rPr>
        <w:t>2</w:t>
      </w:r>
      <w:r w:rsidR="00280BC9" w:rsidRPr="00EA1BB2">
        <w:rPr>
          <w:rFonts w:ascii="Cambria" w:eastAsia="Calibri" w:hAnsi="Cambria" w:cs="Times New Roman"/>
          <w:b/>
          <w:iCs/>
          <w:sz w:val="24"/>
          <w:szCs w:val="18"/>
        </w:rPr>
        <w:fldChar w:fldCharType="end"/>
      </w:r>
      <w:r w:rsidR="00BA6FA3" w:rsidRPr="00EA1BB2">
        <w:rPr>
          <w:rFonts w:ascii="Cambria" w:eastAsia="Calibri" w:hAnsi="Cambria" w:cs="Times New Roman"/>
          <w:b/>
          <w:iCs/>
          <w:sz w:val="24"/>
          <w:szCs w:val="18"/>
        </w:rPr>
        <w:noBreakHyphen/>
      </w:r>
      <w:r w:rsidR="00280BC9" w:rsidRPr="00EA1BB2">
        <w:rPr>
          <w:rFonts w:ascii="Cambria" w:eastAsia="Calibri" w:hAnsi="Cambria" w:cs="Times New Roman"/>
          <w:b/>
          <w:iCs/>
          <w:sz w:val="24"/>
          <w:szCs w:val="18"/>
        </w:rPr>
        <w:fldChar w:fldCharType="begin"/>
      </w:r>
      <w:r w:rsidR="00BA6FA3" w:rsidRPr="00EA1BB2">
        <w:rPr>
          <w:rFonts w:ascii="Cambria" w:eastAsia="Calibri" w:hAnsi="Cambria" w:cs="Times New Roman"/>
          <w:b/>
          <w:iCs/>
          <w:sz w:val="24"/>
          <w:szCs w:val="18"/>
        </w:rPr>
        <w:instrText xml:space="preserve"> SEQ Figura_nr. \* ARABIC \s 1 </w:instrText>
      </w:r>
      <w:r w:rsidR="00280BC9" w:rsidRPr="00EA1BB2">
        <w:rPr>
          <w:rFonts w:ascii="Cambria" w:eastAsia="Calibri" w:hAnsi="Cambria" w:cs="Times New Roman"/>
          <w:b/>
          <w:iCs/>
          <w:sz w:val="24"/>
          <w:szCs w:val="18"/>
        </w:rPr>
        <w:fldChar w:fldCharType="separate"/>
      </w:r>
      <w:r w:rsidR="00567555">
        <w:rPr>
          <w:rFonts w:ascii="Cambria" w:eastAsia="Calibri" w:hAnsi="Cambria" w:cs="Times New Roman"/>
          <w:b/>
          <w:iCs/>
          <w:noProof/>
          <w:sz w:val="24"/>
          <w:szCs w:val="18"/>
        </w:rPr>
        <w:t>4</w:t>
      </w:r>
      <w:r w:rsidR="00280BC9" w:rsidRPr="00EA1BB2">
        <w:rPr>
          <w:rFonts w:ascii="Cambria" w:eastAsia="Calibri" w:hAnsi="Cambria" w:cs="Times New Roman"/>
          <w:b/>
          <w:iCs/>
          <w:sz w:val="24"/>
          <w:szCs w:val="18"/>
        </w:rPr>
        <w:fldChar w:fldCharType="end"/>
      </w:r>
      <w:r w:rsidRPr="00EA1BB2">
        <w:rPr>
          <w:rFonts w:ascii="Cambria" w:eastAsia="Calibri" w:hAnsi="Cambria" w:cs="Times New Roman"/>
          <w:b/>
          <w:iCs/>
          <w:sz w:val="24"/>
          <w:szCs w:val="18"/>
        </w:rPr>
        <w:t xml:space="preserve"> – Zonarea climatică a României</w:t>
      </w:r>
      <w:bookmarkEnd w:id="24"/>
      <w:bookmarkEnd w:id="25"/>
      <w:bookmarkEnd w:id="26"/>
      <w:bookmarkEnd w:id="27"/>
      <w:bookmarkEnd w:id="28"/>
    </w:p>
    <w:p w14:paraId="605B83E4" w14:textId="77777777" w:rsidR="009E18DB" w:rsidRPr="00EA1BB2" w:rsidRDefault="009E18DB" w:rsidP="009E18DB">
      <w:pPr>
        <w:spacing w:line="276" w:lineRule="auto"/>
        <w:jc w:val="center"/>
        <w:rPr>
          <w:rFonts w:ascii="Cambria" w:eastAsia="Calibri" w:hAnsi="Cambria" w:cs="Times New Roman"/>
          <w:sz w:val="24"/>
          <w:szCs w:val="24"/>
          <w:lang w:eastAsia="ro-RO"/>
        </w:rPr>
      </w:pPr>
      <w:r w:rsidRPr="00EA1BB2">
        <w:rPr>
          <w:rFonts w:ascii="Cambria" w:eastAsia="Calibri" w:hAnsi="Cambria" w:cs="Times New Roman"/>
          <w:noProof/>
          <w:sz w:val="24"/>
          <w:szCs w:val="24"/>
          <w:lang w:val="en-US"/>
        </w:rPr>
        <w:drawing>
          <wp:inline distT="0" distB="0" distL="0" distR="0" wp14:anchorId="0A8A3AC1" wp14:editId="73FCAAC5">
            <wp:extent cx="5688000" cy="3697008"/>
            <wp:effectExtent l="19050" t="19050" r="27305" b="177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Harta cu zonarea climatica a Romaniei.jpg"/>
                    <pic:cNvPicPr/>
                  </pic:nvPicPr>
                  <pic:blipFill rotWithShape="1">
                    <a:blip r:embed="rId34">
                      <a:extLst>
                        <a:ext uri="{28A0092B-C50C-407E-A947-70E740481C1C}">
                          <a14:useLocalDpi xmlns:a14="http://schemas.microsoft.com/office/drawing/2010/main" val="0"/>
                        </a:ext>
                      </a:extLst>
                    </a:blip>
                    <a:srcRect l="1828" t="2584" b="7191"/>
                    <a:stretch/>
                  </pic:blipFill>
                  <pic:spPr bwMode="auto">
                    <a:xfrm>
                      <a:off x="0" y="0"/>
                      <a:ext cx="5688000" cy="3697008"/>
                    </a:xfrm>
                    <a:prstGeom prst="rect">
                      <a:avLst/>
                    </a:prstGeom>
                    <a:ln>
                      <a:solidFill>
                        <a:sysClr val="window" lastClr="FFFFFF">
                          <a:lumMod val="85000"/>
                        </a:sysClr>
                      </a:solidFill>
                    </a:ln>
                    <a:extLst>
                      <a:ext uri="{53640926-AAD7-44D8-BBD7-CCE9431645EC}">
                        <a14:shadowObscured xmlns:a14="http://schemas.microsoft.com/office/drawing/2010/main"/>
                      </a:ext>
                    </a:extLst>
                  </pic:spPr>
                </pic:pic>
              </a:graphicData>
            </a:graphic>
          </wp:inline>
        </w:drawing>
      </w:r>
    </w:p>
    <w:p w14:paraId="31DFB2D2" w14:textId="77777777" w:rsidR="009E18DB" w:rsidRPr="00EA1BB2" w:rsidRDefault="009E18DB" w:rsidP="009E18DB">
      <w:pPr>
        <w:spacing w:line="276" w:lineRule="auto"/>
        <w:jc w:val="both"/>
        <w:rPr>
          <w:rFonts w:ascii="Cambria" w:eastAsia="Calibri" w:hAnsi="Cambria" w:cs="Times New Roman"/>
          <w:szCs w:val="24"/>
        </w:rPr>
      </w:pPr>
      <w:r w:rsidRPr="00EA1BB2">
        <w:rPr>
          <w:rFonts w:ascii="Cambria" w:eastAsia="Calibri" w:hAnsi="Cambria" w:cs="Times New Roman"/>
          <w:szCs w:val="24"/>
        </w:rPr>
        <w:t>Sursa: Anexa Nr. 1Ordinul nr. 386/2016 pentru modificarea și completarea Reglementării tehnice "Normativ privind calculul termotehnic al elementelor de construcție ale clădirilor", indicativ C 107-2005, aprobată prin Ordinul ministrului transporturilor, construcțiilor și turismului nr. 2.055/2005</w:t>
      </w:r>
    </w:p>
    <w:p w14:paraId="6DDBF8D4" w14:textId="77777777" w:rsidR="009E18DB" w:rsidRPr="00EA1BB2" w:rsidRDefault="009E18DB" w:rsidP="008A2081">
      <w:pPr>
        <w:spacing w:line="360" w:lineRule="auto"/>
        <w:ind w:firstLine="709"/>
        <w:jc w:val="both"/>
        <w:rPr>
          <w:rFonts w:ascii="Cambria" w:eastAsia="Times New Roman" w:hAnsi="Cambria" w:cs="Times New Roman"/>
          <w:sz w:val="24"/>
          <w:szCs w:val="24"/>
        </w:rPr>
      </w:pPr>
    </w:p>
    <w:p w14:paraId="2AE5D55A" w14:textId="77777777" w:rsidR="008A2081" w:rsidRPr="00EA1BB2" w:rsidRDefault="00FD528B" w:rsidP="008A2081">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 xml:space="preserve">În perioada 2012-2016 temperaturile medii lunare </w:t>
      </w:r>
      <w:r w:rsidR="008A2081" w:rsidRPr="00EA1BB2">
        <w:rPr>
          <w:rFonts w:ascii="Cambria" w:eastAsia="Times New Roman" w:hAnsi="Cambria" w:cs="Times New Roman"/>
          <w:sz w:val="24"/>
          <w:szCs w:val="24"/>
        </w:rPr>
        <w:t xml:space="preserve">cele mai mici s-au înregistrat în luna </w:t>
      </w:r>
      <w:r w:rsidR="00F45192" w:rsidRPr="00EA1BB2">
        <w:rPr>
          <w:rFonts w:ascii="Cambria" w:eastAsia="Times New Roman" w:hAnsi="Cambria" w:cs="Times New Roman"/>
          <w:sz w:val="24"/>
          <w:szCs w:val="24"/>
        </w:rPr>
        <w:t>f</w:t>
      </w:r>
      <w:r w:rsidR="008A2081" w:rsidRPr="00EA1BB2">
        <w:rPr>
          <w:rFonts w:ascii="Cambria" w:eastAsia="Times New Roman" w:hAnsi="Cambria" w:cs="Times New Roman"/>
          <w:sz w:val="24"/>
          <w:szCs w:val="24"/>
        </w:rPr>
        <w:t>ebruarie</w:t>
      </w:r>
      <w:r w:rsidR="006429AE" w:rsidRPr="00EA1BB2">
        <w:rPr>
          <w:rFonts w:ascii="Cambria" w:eastAsia="Times New Roman" w:hAnsi="Cambria" w:cs="Times New Roman"/>
          <w:sz w:val="24"/>
          <w:szCs w:val="24"/>
        </w:rPr>
        <w:t xml:space="preserve"> 2012</w:t>
      </w:r>
      <w:r w:rsidR="008A2081" w:rsidRPr="00EA1BB2">
        <w:rPr>
          <w:rFonts w:ascii="Cambria" w:eastAsia="Times New Roman" w:hAnsi="Cambria" w:cs="Times New Roman"/>
          <w:sz w:val="24"/>
          <w:szCs w:val="24"/>
        </w:rPr>
        <w:t>, luna cea mai rece din an (</w:t>
      </w:r>
      <w:r w:rsidR="008A2081" w:rsidRPr="00EA1BB2">
        <w:rPr>
          <w:rFonts w:ascii="Cambria" w:eastAsia="Calibri" w:hAnsi="Cambria" w:cs="Times New Roman"/>
          <w:sz w:val="24"/>
          <w:szCs w:val="24"/>
        </w:rPr>
        <w:t>-7,3</w:t>
      </w:r>
      <w:r w:rsidR="00C665BB" w:rsidRPr="00EA1BB2">
        <w:rPr>
          <w:rFonts w:ascii="Cambria" w:eastAsia="Calibri" w:hAnsi="Cambria" w:cs="Times New Roman"/>
          <w:sz w:val="24"/>
          <w:szCs w:val="24"/>
        </w:rPr>
        <w:t>°</w:t>
      </w:r>
      <w:r w:rsidR="008A2081" w:rsidRPr="00EA1BB2">
        <w:rPr>
          <w:rFonts w:ascii="Cambria" w:eastAsia="Calibri" w:hAnsi="Cambria" w:cs="Times New Roman"/>
          <w:sz w:val="24"/>
          <w:szCs w:val="24"/>
        </w:rPr>
        <w:t>C)</w:t>
      </w:r>
      <w:r w:rsidR="008A2081" w:rsidRPr="00EA1BB2">
        <w:rPr>
          <w:rFonts w:ascii="Cambria" w:eastAsia="Times New Roman" w:hAnsi="Cambria" w:cs="Times New Roman"/>
          <w:sz w:val="24"/>
          <w:szCs w:val="24"/>
        </w:rPr>
        <w:t xml:space="preserve">, iar temperaturile medii lunare cele mai mari s-au înregistrat în luna </w:t>
      </w:r>
      <w:r w:rsidR="00F45192" w:rsidRPr="00EA1BB2">
        <w:rPr>
          <w:rFonts w:ascii="Cambria" w:eastAsia="Times New Roman" w:hAnsi="Cambria" w:cs="Times New Roman"/>
          <w:sz w:val="24"/>
          <w:szCs w:val="24"/>
        </w:rPr>
        <w:t>i</w:t>
      </w:r>
      <w:r w:rsidR="008A2081" w:rsidRPr="00EA1BB2">
        <w:rPr>
          <w:rFonts w:ascii="Cambria" w:eastAsia="Times New Roman" w:hAnsi="Cambria" w:cs="Times New Roman"/>
          <w:sz w:val="24"/>
          <w:szCs w:val="24"/>
        </w:rPr>
        <w:t xml:space="preserve">ulie </w:t>
      </w:r>
      <w:r w:rsidR="006429AE" w:rsidRPr="00EA1BB2">
        <w:rPr>
          <w:rFonts w:ascii="Cambria" w:eastAsia="Times New Roman" w:hAnsi="Cambria" w:cs="Times New Roman"/>
          <w:sz w:val="24"/>
          <w:szCs w:val="24"/>
        </w:rPr>
        <w:t xml:space="preserve">2015 </w:t>
      </w:r>
      <w:r w:rsidR="008A2081" w:rsidRPr="00EA1BB2">
        <w:rPr>
          <w:rFonts w:ascii="Cambria" w:eastAsia="Times New Roman" w:hAnsi="Cambria" w:cs="Times New Roman"/>
          <w:sz w:val="24"/>
          <w:szCs w:val="24"/>
        </w:rPr>
        <w:t>(</w:t>
      </w:r>
      <w:r w:rsidR="008A2081" w:rsidRPr="00EA1BB2">
        <w:rPr>
          <w:rFonts w:ascii="Cambria" w:eastAsia="Calibri" w:hAnsi="Cambria" w:cs="Times New Roman"/>
          <w:sz w:val="24"/>
          <w:szCs w:val="24"/>
        </w:rPr>
        <w:t>24,5</w:t>
      </w:r>
      <w:r w:rsidR="00C665BB" w:rsidRPr="00EA1BB2">
        <w:rPr>
          <w:rFonts w:ascii="Cambria" w:eastAsia="Calibri" w:hAnsi="Cambria" w:cs="Times New Roman"/>
          <w:sz w:val="24"/>
          <w:szCs w:val="24"/>
        </w:rPr>
        <w:t>°</w:t>
      </w:r>
      <w:r w:rsidR="008A2081" w:rsidRPr="00EA1BB2">
        <w:rPr>
          <w:rFonts w:ascii="Cambria" w:eastAsia="Calibri" w:hAnsi="Cambria" w:cs="Times New Roman"/>
          <w:sz w:val="24"/>
          <w:szCs w:val="24"/>
        </w:rPr>
        <w:t>C)</w:t>
      </w:r>
      <w:r w:rsidR="008A2081" w:rsidRPr="00EA1BB2">
        <w:rPr>
          <w:rFonts w:ascii="Cambria" w:eastAsia="Times New Roman" w:hAnsi="Cambria" w:cs="Times New Roman"/>
          <w:sz w:val="24"/>
          <w:szCs w:val="24"/>
        </w:rPr>
        <w:t>.</w:t>
      </w:r>
    </w:p>
    <w:p w14:paraId="4E36ACBE" w14:textId="77777777" w:rsidR="00F0254C" w:rsidRPr="00EA1BB2" w:rsidRDefault="00F0254C" w:rsidP="00CE2576">
      <w:pPr>
        <w:spacing w:line="276" w:lineRule="auto"/>
        <w:ind w:firstLine="709"/>
        <w:jc w:val="both"/>
        <w:rPr>
          <w:rFonts w:ascii="Cambria" w:eastAsia="Times New Roman" w:hAnsi="Cambria" w:cs="Times New Roman"/>
          <w:sz w:val="24"/>
          <w:szCs w:val="24"/>
        </w:rPr>
      </w:pPr>
    </w:p>
    <w:p w14:paraId="228DE711" w14:textId="62E7019E" w:rsidR="00F0254C" w:rsidRPr="00EA1BB2" w:rsidRDefault="00F0254C" w:rsidP="00F0254C">
      <w:pPr>
        <w:keepNext/>
        <w:spacing w:line="360" w:lineRule="auto"/>
        <w:ind w:firstLine="720"/>
        <w:jc w:val="both"/>
        <w:rPr>
          <w:rFonts w:ascii="Cambria" w:eastAsia="Times New Roman" w:hAnsi="Cambria" w:cs="Times New Roman"/>
          <w:b/>
          <w:iCs/>
          <w:sz w:val="24"/>
          <w:szCs w:val="24"/>
        </w:rPr>
      </w:pPr>
      <w:bookmarkStart w:id="29" w:name="_Toc462253513"/>
      <w:bookmarkStart w:id="30" w:name="_Toc482283366"/>
      <w:bookmarkStart w:id="31" w:name="_Toc526889762"/>
      <w:r w:rsidRPr="00EA1BB2">
        <w:rPr>
          <w:rFonts w:ascii="Cambria" w:eastAsia="Calibri" w:hAnsi="Cambria" w:cs="Times New Roman"/>
          <w:b/>
          <w:iCs/>
          <w:sz w:val="24"/>
          <w:szCs w:val="18"/>
        </w:rPr>
        <w:t xml:space="preserve">Tabelul nr. </w:t>
      </w:r>
      <w:r w:rsidR="000A2FE7" w:rsidRPr="00EA1BB2">
        <w:rPr>
          <w:rFonts w:ascii="Cambria" w:eastAsia="Calibri" w:hAnsi="Cambria" w:cs="Times New Roman"/>
          <w:b/>
          <w:iCs/>
          <w:sz w:val="24"/>
          <w:szCs w:val="18"/>
        </w:rPr>
        <w:fldChar w:fldCharType="begin"/>
      </w:r>
      <w:r w:rsidR="000A2FE7" w:rsidRPr="00EA1BB2">
        <w:rPr>
          <w:rFonts w:ascii="Cambria" w:eastAsia="Calibri" w:hAnsi="Cambria" w:cs="Times New Roman"/>
          <w:b/>
          <w:iCs/>
          <w:sz w:val="24"/>
          <w:szCs w:val="18"/>
        </w:rPr>
        <w:instrText xml:space="preserve"> STYLEREF 1 \s </w:instrText>
      </w:r>
      <w:r w:rsidR="000A2FE7" w:rsidRPr="00EA1BB2">
        <w:rPr>
          <w:rFonts w:ascii="Cambria" w:eastAsia="Calibri" w:hAnsi="Cambria" w:cs="Times New Roman"/>
          <w:b/>
          <w:iCs/>
          <w:sz w:val="24"/>
          <w:szCs w:val="18"/>
        </w:rPr>
        <w:fldChar w:fldCharType="separate"/>
      </w:r>
      <w:r w:rsidR="00567555">
        <w:rPr>
          <w:rFonts w:ascii="Cambria" w:eastAsia="Calibri" w:hAnsi="Cambria" w:cs="Times New Roman"/>
          <w:b/>
          <w:iCs/>
          <w:noProof/>
          <w:sz w:val="24"/>
          <w:szCs w:val="18"/>
        </w:rPr>
        <w:t>2</w:t>
      </w:r>
      <w:r w:rsidR="000A2FE7" w:rsidRPr="00EA1BB2">
        <w:rPr>
          <w:rFonts w:ascii="Cambria" w:eastAsia="Calibri" w:hAnsi="Cambria" w:cs="Times New Roman"/>
          <w:b/>
          <w:iCs/>
          <w:sz w:val="24"/>
          <w:szCs w:val="18"/>
        </w:rPr>
        <w:fldChar w:fldCharType="end"/>
      </w:r>
      <w:r w:rsidR="000A2FE7" w:rsidRPr="00EA1BB2">
        <w:rPr>
          <w:rFonts w:ascii="Cambria" w:eastAsia="Calibri" w:hAnsi="Cambria" w:cs="Times New Roman"/>
          <w:b/>
          <w:iCs/>
          <w:sz w:val="24"/>
          <w:szCs w:val="18"/>
        </w:rPr>
        <w:noBreakHyphen/>
      </w:r>
      <w:r w:rsidR="000A2FE7" w:rsidRPr="00EA1BB2">
        <w:rPr>
          <w:rFonts w:ascii="Cambria" w:eastAsia="Calibri" w:hAnsi="Cambria" w:cs="Times New Roman"/>
          <w:b/>
          <w:iCs/>
          <w:sz w:val="24"/>
          <w:szCs w:val="18"/>
        </w:rPr>
        <w:fldChar w:fldCharType="begin"/>
      </w:r>
      <w:r w:rsidR="000A2FE7" w:rsidRPr="00EA1BB2">
        <w:rPr>
          <w:rFonts w:ascii="Cambria" w:eastAsia="Calibri" w:hAnsi="Cambria" w:cs="Times New Roman"/>
          <w:b/>
          <w:iCs/>
          <w:sz w:val="24"/>
          <w:szCs w:val="18"/>
        </w:rPr>
        <w:instrText xml:space="preserve"> SEQ Tabelul_nr. \* ARABIC \s 1 </w:instrText>
      </w:r>
      <w:r w:rsidR="000A2FE7" w:rsidRPr="00EA1BB2">
        <w:rPr>
          <w:rFonts w:ascii="Cambria" w:eastAsia="Calibri" w:hAnsi="Cambria" w:cs="Times New Roman"/>
          <w:b/>
          <w:iCs/>
          <w:sz w:val="24"/>
          <w:szCs w:val="18"/>
        </w:rPr>
        <w:fldChar w:fldCharType="separate"/>
      </w:r>
      <w:r w:rsidR="00567555">
        <w:rPr>
          <w:rFonts w:ascii="Cambria" w:eastAsia="Calibri" w:hAnsi="Cambria" w:cs="Times New Roman"/>
          <w:b/>
          <w:iCs/>
          <w:noProof/>
          <w:sz w:val="24"/>
          <w:szCs w:val="18"/>
        </w:rPr>
        <w:t>5</w:t>
      </w:r>
      <w:r w:rsidR="000A2FE7" w:rsidRPr="00EA1BB2">
        <w:rPr>
          <w:rFonts w:ascii="Cambria" w:eastAsia="Calibri" w:hAnsi="Cambria" w:cs="Times New Roman"/>
          <w:b/>
          <w:iCs/>
          <w:sz w:val="24"/>
          <w:szCs w:val="18"/>
        </w:rPr>
        <w:fldChar w:fldCharType="end"/>
      </w:r>
      <w:r w:rsidRPr="00EA1BB2">
        <w:rPr>
          <w:rFonts w:ascii="Cambria" w:eastAsia="Calibri" w:hAnsi="Cambria" w:cs="Times New Roman"/>
          <w:b/>
          <w:iCs/>
          <w:sz w:val="24"/>
          <w:szCs w:val="18"/>
        </w:rPr>
        <w:t xml:space="preserve"> – </w:t>
      </w:r>
      <w:r w:rsidRPr="00EA1BB2">
        <w:rPr>
          <w:rFonts w:ascii="Cambria" w:eastAsia="Times New Roman" w:hAnsi="Cambria" w:cs="Times New Roman"/>
          <w:b/>
          <w:iCs/>
          <w:sz w:val="24"/>
          <w:szCs w:val="24"/>
        </w:rPr>
        <w:t>Temperaturi ale aerului (⁰C) medii lunaredin perioada 2012-2016 înregistrate la sta</w:t>
      </w:r>
      <w:r w:rsidR="00054880" w:rsidRPr="00EA1BB2">
        <w:rPr>
          <w:rFonts w:ascii="Cambria" w:eastAsia="Times New Roman" w:hAnsi="Cambria" w:cs="Times New Roman"/>
          <w:b/>
          <w:iCs/>
          <w:sz w:val="24"/>
          <w:szCs w:val="24"/>
        </w:rPr>
        <w:t>ț</w:t>
      </w:r>
      <w:r w:rsidRPr="00EA1BB2">
        <w:rPr>
          <w:rFonts w:ascii="Cambria" w:eastAsia="Times New Roman" w:hAnsi="Cambria" w:cs="Times New Roman"/>
          <w:b/>
          <w:iCs/>
          <w:sz w:val="24"/>
          <w:szCs w:val="24"/>
        </w:rPr>
        <w:t>ia meteorologică Brăila</w:t>
      </w:r>
      <w:bookmarkEnd w:id="29"/>
      <w:bookmarkEnd w:id="30"/>
      <w:bookmarkEnd w:id="31"/>
    </w:p>
    <w:tbl>
      <w:tblPr>
        <w:tblStyle w:val="TableGrid22"/>
        <w:tblW w:w="5082" w:type="pct"/>
        <w:jc w:val="center"/>
        <w:tblLook w:val="04A0" w:firstRow="1" w:lastRow="0" w:firstColumn="1" w:lastColumn="0" w:noHBand="0" w:noVBand="1"/>
      </w:tblPr>
      <w:tblGrid>
        <w:gridCol w:w="822"/>
        <w:gridCol w:w="684"/>
        <w:gridCol w:w="684"/>
        <w:gridCol w:w="683"/>
        <w:gridCol w:w="683"/>
        <w:gridCol w:w="683"/>
        <w:gridCol w:w="683"/>
        <w:gridCol w:w="683"/>
        <w:gridCol w:w="683"/>
        <w:gridCol w:w="683"/>
        <w:gridCol w:w="821"/>
        <w:gridCol w:w="821"/>
        <w:gridCol w:w="825"/>
      </w:tblGrid>
      <w:tr w:rsidR="00F0254C" w:rsidRPr="00EA1BB2" w14:paraId="51FF1F69" w14:textId="77777777" w:rsidTr="00343667">
        <w:trPr>
          <w:jc w:val="center"/>
        </w:trPr>
        <w:tc>
          <w:tcPr>
            <w:tcW w:w="435" w:type="pct"/>
            <w:vMerge w:val="restart"/>
            <w:shd w:val="clear" w:color="auto" w:fill="BDD6EE" w:themeFill="accent1" w:themeFillTint="66"/>
            <w:vAlign w:val="center"/>
          </w:tcPr>
          <w:p w14:paraId="38E63C2F" w14:textId="77777777" w:rsidR="00F0254C" w:rsidRPr="00EA1BB2" w:rsidRDefault="00F0254C" w:rsidP="00343667">
            <w:pPr>
              <w:spacing w:line="360" w:lineRule="auto"/>
              <w:jc w:val="center"/>
              <w:rPr>
                <w:rFonts w:ascii="Cambria" w:hAnsi="Cambria" w:cs="Times New Roman"/>
                <w:b/>
                <w:sz w:val="24"/>
                <w:lang w:val="ro-RO"/>
              </w:rPr>
            </w:pPr>
            <w:r w:rsidRPr="00EA1BB2">
              <w:rPr>
                <w:rFonts w:ascii="Cambria" w:hAnsi="Cambria" w:cs="Times New Roman"/>
                <w:b/>
                <w:sz w:val="24"/>
                <w:lang w:val="ro-RO"/>
              </w:rPr>
              <w:t>Anul</w:t>
            </w:r>
          </w:p>
        </w:tc>
        <w:tc>
          <w:tcPr>
            <w:tcW w:w="4565" w:type="pct"/>
            <w:gridSpan w:val="12"/>
            <w:shd w:val="clear" w:color="auto" w:fill="BDD6EE" w:themeFill="accent1" w:themeFillTint="66"/>
            <w:vAlign w:val="center"/>
          </w:tcPr>
          <w:p w14:paraId="739FBC13" w14:textId="77777777" w:rsidR="00F0254C" w:rsidRPr="00EA1BB2" w:rsidRDefault="00F0254C" w:rsidP="00343667">
            <w:pPr>
              <w:spacing w:line="360" w:lineRule="auto"/>
              <w:jc w:val="center"/>
              <w:rPr>
                <w:rFonts w:ascii="Cambria" w:hAnsi="Cambria" w:cs="Times New Roman"/>
                <w:b/>
                <w:sz w:val="24"/>
                <w:lang w:val="ro-RO"/>
              </w:rPr>
            </w:pPr>
            <w:r w:rsidRPr="00EA1BB2">
              <w:rPr>
                <w:rFonts w:ascii="Cambria" w:hAnsi="Cambria" w:cs="Times New Roman"/>
                <w:b/>
                <w:sz w:val="24"/>
                <w:lang w:val="ro-RO"/>
              </w:rPr>
              <w:t>Luna</w:t>
            </w:r>
          </w:p>
        </w:tc>
      </w:tr>
      <w:tr w:rsidR="00F0254C" w:rsidRPr="00EA1BB2" w14:paraId="4AD7E02B" w14:textId="77777777" w:rsidTr="00343667">
        <w:trPr>
          <w:jc w:val="center"/>
        </w:trPr>
        <w:tc>
          <w:tcPr>
            <w:tcW w:w="435" w:type="pct"/>
            <w:vMerge/>
            <w:shd w:val="clear" w:color="auto" w:fill="BDD6EE" w:themeFill="accent1" w:themeFillTint="66"/>
            <w:vAlign w:val="center"/>
          </w:tcPr>
          <w:p w14:paraId="4364D862" w14:textId="77777777" w:rsidR="00F0254C" w:rsidRPr="00EA1BB2" w:rsidRDefault="00F0254C" w:rsidP="00343667">
            <w:pPr>
              <w:spacing w:line="360" w:lineRule="auto"/>
              <w:jc w:val="center"/>
              <w:rPr>
                <w:rFonts w:ascii="Cambria" w:hAnsi="Cambria" w:cs="Times New Roman"/>
                <w:b/>
                <w:sz w:val="24"/>
                <w:lang w:val="ro-RO"/>
              </w:rPr>
            </w:pPr>
          </w:p>
        </w:tc>
        <w:tc>
          <w:tcPr>
            <w:tcW w:w="362" w:type="pct"/>
            <w:shd w:val="clear" w:color="auto" w:fill="BDD6EE" w:themeFill="accent1" w:themeFillTint="66"/>
            <w:vAlign w:val="center"/>
          </w:tcPr>
          <w:p w14:paraId="0ECE0E42" w14:textId="77777777" w:rsidR="00F0254C" w:rsidRPr="00EA1BB2" w:rsidRDefault="00F0254C" w:rsidP="00343667">
            <w:pPr>
              <w:spacing w:line="360" w:lineRule="auto"/>
              <w:jc w:val="center"/>
              <w:rPr>
                <w:rFonts w:ascii="Cambria" w:hAnsi="Cambria" w:cs="Times New Roman"/>
                <w:b/>
                <w:sz w:val="24"/>
                <w:lang w:val="ro-RO"/>
              </w:rPr>
            </w:pPr>
            <w:r w:rsidRPr="00EA1BB2">
              <w:rPr>
                <w:rFonts w:ascii="Cambria" w:hAnsi="Cambria" w:cs="Times New Roman"/>
                <w:b/>
                <w:sz w:val="24"/>
                <w:lang w:val="ro-RO"/>
              </w:rPr>
              <w:t>I</w:t>
            </w:r>
          </w:p>
        </w:tc>
        <w:tc>
          <w:tcPr>
            <w:tcW w:w="362" w:type="pct"/>
            <w:shd w:val="clear" w:color="auto" w:fill="BDD6EE" w:themeFill="accent1" w:themeFillTint="66"/>
            <w:vAlign w:val="center"/>
          </w:tcPr>
          <w:p w14:paraId="1205A79C" w14:textId="77777777" w:rsidR="00F0254C" w:rsidRPr="00EA1BB2" w:rsidRDefault="00F0254C" w:rsidP="00343667">
            <w:pPr>
              <w:spacing w:line="360" w:lineRule="auto"/>
              <w:jc w:val="center"/>
              <w:rPr>
                <w:rFonts w:ascii="Cambria" w:hAnsi="Cambria" w:cs="Times New Roman"/>
                <w:b/>
                <w:sz w:val="24"/>
                <w:lang w:val="ro-RO"/>
              </w:rPr>
            </w:pPr>
            <w:r w:rsidRPr="00EA1BB2">
              <w:rPr>
                <w:rFonts w:ascii="Cambria" w:hAnsi="Cambria" w:cs="Times New Roman"/>
                <w:b/>
                <w:sz w:val="24"/>
                <w:lang w:val="ro-RO"/>
              </w:rPr>
              <w:t>II</w:t>
            </w:r>
          </w:p>
        </w:tc>
        <w:tc>
          <w:tcPr>
            <w:tcW w:w="362" w:type="pct"/>
            <w:shd w:val="clear" w:color="auto" w:fill="BDD6EE" w:themeFill="accent1" w:themeFillTint="66"/>
            <w:vAlign w:val="center"/>
          </w:tcPr>
          <w:p w14:paraId="7DFBD6E5" w14:textId="77777777" w:rsidR="00F0254C" w:rsidRPr="00EA1BB2" w:rsidRDefault="00F0254C" w:rsidP="00343667">
            <w:pPr>
              <w:spacing w:line="360" w:lineRule="auto"/>
              <w:jc w:val="center"/>
              <w:rPr>
                <w:rFonts w:ascii="Cambria" w:hAnsi="Cambria" w:cs="Times New Roman"/>
                <w:b/>
                <w:sz w:val="24"/>
                <w:lang w:val="ro-RO"/>
              </w:rPr>
            </w:pPr>
            <w:r w:rsidRPr="00EA1BB2">
              <w:rPr>
                <w:rFonts w:ascii="Cambria" w:hAnsi="Cambria" w:cs="Times New Roman"/>
                <w:b/>
                <w:sz w:val="24"/>
                <w:lang w:val="ro-RO"/>
              </w:rPr>
              <w:t>III</w:t>
            </w:r>
          </w:p>
        </w:tc>
        <w:tc>
          <w:tcPr>
            <w:tcW w:w="362" w:type="pct"/>
            <w:shd w:val="clear" w:color="auto" w:fill="BDD6EE" w:themeFill="accent1" w:themeFillTint="66"/>
            <w:vAlign w:val="center"/>
          </w:tcPr>
          <w:p w14:paraId="41701D7B" w14:textId="77777777" w:rsidR="00F0254C" w:rsidRPr="00EA1BB2" w:rsidRDefault="00F0254C" w:rsidP="00343667">
            <w:pPr>
              <w:spacing w:line="360" w:lineRule="auto"/>
              <w:jc w:val="center"/>
              <w:rPr>
                <w:rFonts w:ascii="Cambria" w:hAnsi="Cambria" w:cs="Times New Roman"/>
                <w:b/>
                <w:sz w:val="24"/>
                <w:lang w:val="ro-RO"/>
              </w:rPr>
            </w:pPr>
            <w:r w:rsidRPr="00EA1BB2">
              <w:rPr>
                <w:rFonts w:ascii="Cambria" w:hAnsi="Cambria" w:cs="Times New Roman"/>
                <w:b/>
                <w:sz w:val="24"/>
                <w:lang w:val="ro-RO"/>
              </w:rPr>
              <w:t>IV</w:t>
            </w:r>
          </w:p>
        </w:tc>
        <w:tc>
          <w:tcPr>
            <w:tcW w:w="362" w:type="pct"/>
            <w:shd w:val="clear" w:color="auto" w:fill="BDD6EE" w:themeFill="accent1" w:themeFillTint="66"/>
            <w:vAlign w:val="center"/>
          </w:tcPr>
          <w:p w14:paraId="0527CF21" w14:textId="77777777" w:rsidR="00F0254C" w:rsidRPr="00EA1BB2" w:rsidRDefault="00F0254C" w:rsidP="00343667">
            <w:pPr>
              <w:spacing w:line="360" w:lineRule="auto"/>
              <w:jc w:val="center"/>
              <w:rPr>
                <w:rFonts w:ascii="Cambria" w:hAnsi="Cambria" w:cs="Times New Roman"/>
                <w:b/>
                <w:sz w:val="24"/>
                <w:lang w:val="ro-RO"/>
              </w:rPr>
            </w:pPr>
            <w:r w:rsidRPr="00EA1BB2">
              <w:rPr>
                <w:rFonts w:ascii="Cambria" w:hAnsi="Cambria" w:cs="Times New Roman"/>
                <w:b/>
                <w:sz w:val="24"/>
                <w:lang w:val="ro-RO"/>
              </w:rPr>
              <w:t>V</w:t>
            </w:r>
          </w:p>
        </w:tc>
        <w:tc>
          <w:tcPr>
            <w:tcW w:w="362" w:type="pct"/>
            <w:shd w:val="clear" w:color="auto" w:fill="BDD6EE" w:themeFill="accent1" w:themeFillTint="66"/>
            <w:vAlign w:val="center"/>
          </w:tcPr>
          <w:p w14:paraId="6341D77D" w14:textId="77777777" w:rsidR="00F0254C" w:rsidRPr="00EA1BB2" w:rsidRDefault="00F0254C" w:rsidP="00343667">
            <w:pPr>
              <w:spacing w:line="360" w:lineRule="auto"/>
              <w:jc w:val="center"/>
              <w:rPr>
                <w:rFonts w:ascii="Cambria" w:hAnsi="Cambria" w:cs="Times New Roman"/>
                <w:b/>
                <w:sz w:val="24"/>
                <w:lang w:val="ro-RO"/>
              </w:rPr>
            </w:pPr>
            <w:r w:rsidRPr="00EA1BB2">
              <w:rPr>
                <w:rFonts w:ascii="Cambria" w:hAnsi="Cambria" w:cs="Times New Roman"/>
                <w:b/>
                <w:sz w:val="24"/>
                <w:lang w:val="ro-RO"/>
              </w:rPr>
              <w:t>VI</w:t>
            </w:r>
          </w:p>
        </w:tc>
        <w:tc>
          <w:tcPr>
            <w:tcW w:w="362" w:type="pct"/>
            <w:shd w:val="clear" w:color="auto" w:fill="BDD6EE" w:themeFill="accent1" w:themeFillTint="66"/>
            <w:vAlign w:val="center"/>
          </w:tcPr>
          <w:p w14:paraId="6FF4C095" w14:textId="77777777" w:rsidR="00F0254C" w:rsidRPr="00EA1BB2" w:rsidRDefault="00F0254C" w:rsidP="00343667">
            <w:pPr>
              <w:spacing w:line="360" w:lineRule="auto"/>
              <w:jc w:val="center"/>
              <w:rPr>
                <w:rFonts w:ascii="Cambria" w:hAnsi="Cambria" w:cs="Times New Roman"/>
                <w:b/>
                <w:sz w:val="24"/>
                <w:lang w:val="ro-RO"/>
              </w:rPr>
            </w:pPr>
            <w:r w:rsidRPr="00EA1BB2">
              <w:rPr>
                <w:rFonts w:ascii="Cambria" w:hAnsi="Cambria" w:cs="Times New Roman"/>
                <w:b/>
                <w:sz w:val="24"/>
                <w:lang w:val="ro-RO"/>
              </w:rPr>
              <w:t>VII</w:t>
            </w:r>
          </w:p>
        </w:tc>
        <w:tc>
          <w:tcPr>
            <w:tcW w:w="362" w:type="pct"/>
            <w:shd w:val="clear" w:color="auto" w:fill="BDD6EE" w:themeFill="accent1" w:themeFillTint="66"/>
            <w:vAlign w:val="center"/>
          </w:tcPr>
          <w:p w14:paraId="1B8CFCBB" w14:textId="77777777" w:rsidR="00F0254C" w:rsidRPr="00EA1BB2" w:rsidRDefault="00F0254C" w:rsidP="00343667">
            <w:pPr>
              <w:spacing w:line="360" w:lineRule="auto"/>
              <w:jc w:val="center"/>
              <w:rPr>
                <w:rFonts w:ascii="Cambria" w:hAnsi="Cambria" w:cs="Times New Roman"/>
                <w:b/>
                <w:sz w:val="24"/>
                <w:lang w:val="ro-RO"/>
              </w:rPr>
            </w:pPr>
            <w:r w:rsidRPr="00EA1BB2">
              <w:rPr>
                <w:rFonts w:ascii="Cambria" w:hAnsi="Cambria" w:cs="Times New Roman"/>
                <w:b/>
                <w:sz w:val="24"/>
                <w:lang w:val="ro-RO"/>
              </w:rPr>
              <w:t>VIII</w:t>
            </w:r>
          </w:p>
        </w:tc>
        <w:tc>
          <w:tcPr>
            <w:tcW w:w="362" w:type="pct"/>
            <w:shd w:val="clear" w:color="auto" w:fill="BDD6EE" w:themeFill="accent1" w:themeFillTint="66"/>
            <w:vAlign w:val="center"/>
          </w:tcPr>
          <w:p w14:paraId="0AC85B4B" w14:textId="77777777" w:rsidR="00F0254C" w:rsidRPr="00EA1BB2" w:rsidRDefault="00F0254C" w:rsidP="00343667">
            <w:pPr>
              <w:spacing w:line="360" w:lineRule="auto"/>
              <w:jc w:val="center"/>
              <w:rPr>
                <w:rFonts w:ascii="Cambria" w:hAnsi="Cambria" w:cs="Times New Roman"/>
                <w:b/>
                <w:sz w:val="24"/>
                <w:lang w:val="ro-RO"/>
              </w:rPr>
            </w:pPr>
            <w:r w:rsidRPr="00EA1BB2">
              <w:rPr>
                <w:rFonts w:ascii="Cambria" w:hAnsi="Cambria" w:cs="Times New Roman"/>
                <w:b/>
                <w:sz w:val="24"/>
                <w:lang w:val="ro-RO"/>
              </w:rPr>
              <w:t>IX</w:t>
            </w:r>
          </w:p>
        </w:tc>
        <w:tc>
          <w:tcPr>
            <w:tcW w:w="435" w:type="pct"/>
            <w:shd w:val="clear" w:color="auto" w:fill="BDD6EE" w:themeFill="accent1" w:themeFillTint="66"/>
            <w:vAlign w:val="center"/>
          </w:tcPr>
          <w:p w14:paraId="4362F90E" w14:textId="77777777" w:rsidR="00F0254C" w:rsidRPr="00EA1BB2" w:rsidRDefault="00F0254C" w:rsidP="00343667">
            <w:pPr>
              <w:spacing w:line="360" w:lineRule="auto"/>
              <w:jc w:val="center"/>
              <w:rPr>
                <w:rFonts w:ascii="Cambria" w:hAnsi="Cambria" w:cs="Times New Roman"/>
                <w:b/>
                <w:sz w:val="24"/>
                <w:lang w:val="ro-RO"/>
              </w:rPr>
            </w:pPr>
            <w:r w:rsidRPr="00EA1BB2">
              <w:rPr>
                <w:rFonts w:ascii="Cambria" w:hAnsi="Cambria" w:cs="Times New Roman"/>
                <w:b/>
                <w:sz w:val="24"/>
                <w:lang w:val="ro-RO"/>
              </w:rPr>
              <w:t>X</w:t>
            </w:r>
          </w:p>
        </w:tc>
        <w:tc>
          <w:tcPr>
            <w:tcW w:w="435" w:type="pct"/>
            <w:shd w:val="clear" w:color="auto" w:fill="BDD6EE" w:themeFill="accent1" w:themeFillTint="66"/>
            <w:vAlign w:val="center"/>
          </w:tcPr>
          <w:p w14:paraId="46F95964" w14:textId="77777777" w:rsidR="00F0254C" w:rsidRPr="00EA1BB2" w:rsidRDefault="00F0254C" w:rsidP="00343667">
            <w:pPr>
              <w:spacing w:line="360" w:lineRule="auto"/>
              <w:jc w:val="center"/>
              <w:rPr>
                <w:rFonts w:ascii="Cambria" w:hAnsi="Cambria" w:cs="Times New Roman"/>
                <w:b/>
                <w:sz w:val="24"/>
                <w:lang w:val="ro-RO"/>
              </w:rPr>
            </w:pPr>
            <w:r w:rsidRPr="00EA1BB2">
              <w:rPr>
                <w:rFonts w:ascii="Cambria" w:hAnsi="Cambria" w:cs="Times New Roman"/>
                <w:b/>
                <w:sz w:val="24"/>
                <w:lang w:val="ro-RO"/>
              </w:rPr>
              <w:t>XI</w:t>
            </w:r>
          </w:p>
        </w:tc>
        <w:tc>
          <w:tcPr>
            <w:tcW w:w="437" w:type="pct"/>
            <w:shd w:val="clear" w:color="auto" w:fill="BDD6EE" w:themeFill="accent1" w:themeFillTint="66"/>
            <w:vAlign w:val="center"/>
          </w:tcPr>
          <w:p w14:paraId="66E719DB" w14:textId="77777777" w:rsidR="00F0254C" w:rsidRPr="00EA1BB2" w:rsidRDefault="00F0254C" w:rsidP="00343667">
            <w:pPr>
              <w:spacing w:line="360" w:lineRule="auto"/>
              <w:jc w:val="center"/>
              <w:rPr>
                <w:rFonts w:ascii="Cambria" w:hAnsi="Cambria" w:cs="Times New Roman"/>
                <w:b/>
                <w:sz w:val="24"/>
                <w:lang w:val="ro-RO"/>
              </w:rPr>
            </w:pPr>
            <w:r w:rsidRPr="00EA1BB2">
              <w:rPr>
                <w:rFonts w:ascii="Cambria" w:hAnsi="Cambria" w:cs="Times New Roman"/>
                <w:b/>
                <w:sz w:val="24"/>
                <w:lang w:val="ro-RO"/>
              </w:rPr>
              <w:t>XII</w:t>
            </w:r>
          </w:p>
        </w:tc>
      </w:tr>
      <w:tr w:rsidR="00F0254C" w:rsidRPr="00EA1BB2" w14:paraId="0B6F55E9" w14:textId="77777777" w:rsidTr="00343667">
        <w:trPr>
          <w:jc w:val="center"/>
        </w:trPr>
        <w:tc>
          <w:tcPr>
            <w:tcW w:w="435" w:type="pct"/>
            <w:vAlign w:val="center"/>
          </w:tcPr>
          <w:p w14:paraId="56BFA3E4"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2012</w:t>
            </w:r>
          </w:p>
        </w:tc>
        <w:tc>
          <w:tcPr>
            <w:tcW w:w="362" w:type="pct"/>
            <w:vAlign w:val="center"/>
          </w:tcPr>
          <w:p w14:paraId="10FF4C9B"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-1,5</w:t>
            </w:r>
          </w:p>
        </w:tc>
        <w:tc>
          <w:tcPr>
            <w:tcW w:w="362" w:type="pct"/>
            <w:vAlign w:val="center"/>
          </w:tcPr>
          <w:p w14:paraId="2D2A8391"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-7,3</w:t>
            </w:r>
          </w:p>
        </w:tc>
        <w:tc>
          <w:tcPr>
            <w:tcW w:w="362" w:type="pct"/>
            <w:vAlign w:val="center"/>
          </w:tcPr>
          <w:p w14:paraId="5306206D"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5,2</w:t>
            </w:r>
          </w:p>
        </w:tc>
        <w:tc>
          <w:tcPr>
            <w:tcW w:w="362" w:type="pct"/>
            <w:vAlign w:val="center"/>
          </w:tcPr>
          <w:p w14:paraId="2D16CBC4"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14,0</w:t>
            </w:r>
          </w:p>
        </w:tc>
        <w:tc>
          <w:tcPr>
            <w:tcW w:w="362" w:type="pct"/>
            <w:vAlign w:val="center"/>
          </w:tcPr>
          <w:p w14:paraId="5E93F3B2"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18,3</w:t>
            </w:r>
          </w:p>
        </w:tc>
        <w:tc>
          <w:tcPr>
            <w:tcW w:w="362" w:type="pct"/>
            <w:vAlign w:val="center"/>
          </w:tcPr>
          <w:p w14:paraId="6CF8D72B"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22,8</w:t>
            </w:r>
          </w:p>
        </w:tc>
        <w:tc>
          <w:tcPr>
            <w:tcW w:w="362" w:type="pct"/>
            <w:vAlign w:val="center"/>
          </w:tcPr>
          <w:p w14:paraId="21636EDB"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w:t>
            </w:r>
          </w:p>
        </w:tc>
        <w:tc>
          <w:tcPr>
            <w:tcW w:w="362" w:type="pct"/>
            <w:vAlign w:val="center"/>
          </w:tcPr>
          <w:p w14:paraId="7EA08020"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23,6</w:t>
            </w:r>
          </w:p>
        </w:tc>
        <w:tc>
          <w:tcPr>
            <w:tcW w:w="362" w:type="pct"/>
            <w:vAlign w:val="center"/>
          </w:tcPr>
          <w:p w14:paraId="6E605125"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18,8</w:t>
            </w:r>
          </w:p>
        </w:tc>
        <w:tc>
          <w:tcPr>
            <w:tcW w:w="435" w:type="pct"/>
            <w:vAlign w:val="center"/>
          </w:tcPr>
          <w:p w14:paraId="0015ECA9"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w:t>
            </w:r>
          </w:p>
        </w:tc>
        <w:tc>
          <w:tcPr>
            <w:tcW w:w="435" w:type="pct"/>
            <w:vAlign w:val="center"/>
          </w:tcPr>
          <w:p w14:paraId="6424B861"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7,4</w:t>
            </w:r>
          </w:p>
        </w:tc>
        <w:tc>
          <w:tcPr>
            <w:tcW w:w="437" w:type="pct"/>
            <w:vAlign w:val="center"/>
          </w:tcPr>
          <w:p w14:paraId="6FC248CA"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-1,6</w:t>
            </w:r>
          </w:p>
        </w:tc>
      </w:tr>
      <w:tr w:rsidR="00F0254C" w:rsidRPr="00EA1BB2" w14:paraId="56210134" w14:textId="77777777" w:rsidTr="00343667">
        <w:trPr>
          <w:jc w:val="center"/>
        </w:trPr>
        <w:tc>
          <w:tcPr>
            <w:tcW w:w="435" w:type="pct"/>
            <w:vAlign w:val="center"/>
          </w:tcPr>
          <w:p w14:paraId="493F8E1B"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2013</w:t>
            </w:r>
          </w:p>
        </w:tc>
        <w:tc>
          <w:tcPr>
            <w:tcW w:w="362" w:type="pct"/>
            <w:vAlign w:val="center"/>
          </w:tcPr>
          <w:p w14:paraId="263B8012"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-1,2</w:t>
            </w:r>
          </w:p>
        </w:tc>
        <w:tc>
          <w:tcPr>
            <w:tcW w:w="362" w:type="pct"/>
            <w:vAlign w:val="center"/>
          </w:tcPr>
          <w:p w14:paraId="53ACF958"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2,8</w:t>
            </w:r>
          </w:p>
        </w:tc>
        <w:tc>
          <w:tcPr>
            <w:tcW w:w="362" w:type="pct"/>
            <w:vAlign w:val="center"/>
          </w:tcPr>
          <w:p w14:paraId="2DE697C3"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4,5</w:t>
            </w:r>
          </w:p>
        </w:tc>
        <w:tc>
          <w:tcPr>
            <w:tcW w:w="362" w:type="pct"/>
            <w:vAlign w:val="center"/>
          </w:tcPr>
          <w:p w14:paraId="0258D1CF"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13,0</w:t>
            </w:r>
          </w:p>
        </w:tc>
        <w:tc>
          <w:tcPr>
            <w:tcW w:w="362" w:type="pct"/>
            <w:vAlign w:val="center"/>
          </w:tcPr>
          <w:p w14:paraId="2475ADFE"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19,3</w:t>
            </w:r>
          </w:p>
        </w:tc>
        <w:tc>
          <w:tcPr>
            <w:tcW w:w="362" w:type="pct"/>
            <w:vAlign w:val="center"/>
          </w:tcPr>
          <w:p w14:paraId="51A0C12A"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w:t>
            </w:r>
          </w:p>
        </w:tc>
        <w:tc>
          <w:tcPr>
            <w:tcW w:w="362" w:type="pct"/>
            <w:vAlign w:val="center"/>
          </w:tcPr>
          <w:p w14:paraId="1F1F5B93"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w:t>
            </w:r>
          </w:p>
        </w:tc>
        <w:tc>
          <w:tcPr>
            <w:tcW w:w="362" w:type="pct"/>
            <w:vAlign w:val="center"/>
          </w:tcPr>
          <w:p w14:paraId="1108DEC9"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23,2</w:t>
            </w:r>
          </w:p>
        </w:tc>
        <w:tc>
          <w:tcPr>
            <w:tcW w:w="362" w:type="pct"/>
            <w:vAlign w:val="center"/>
          </w:tcPr>
          <w:p w14:paraId="1C578A55"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16,1</w:t>
            </w:r>
          </w:p>
        </w:tc>
        <w:tc>
          <w:tcPr>
            <w:tcW w:w="435" w:type="pct"/>
            <w:vAlign w:val="center"/>
          </w:tcPr>
          <w:p w14:paraId="65629307"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11,1</w:t>
            </w:r>
          </w:p>
        </w:tc>
        <w:tc>
          <w:tcPr>
            <w:tcW w:w="435" w:type="pct"/>
            <w:vAlign w:val="center"/>
          </w:tcPr>
          <w:p w14:paraId="11AF5D92"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8,7</w:t>
            </w:r>
          </w:p>
        </w:tc>
        <w:tc>
          <w:tcPr>
            <w:tcW w:w="437" w:type="pct"/>
            <w:vAlign w:val="center"/>
          </w:tcPr>
          <w:p w14:paraId="0FA55E58" w14:textId="77777777" w:rsidR="00F0254C" w:rsidRPr="00EA1BB2" w:rsidRDefault="00F0254C" w:rsidP="00343667">
            <w:pPr>
              <w:spacing w:line="360" w:lineRule="auto"/>
              <w:jc w:val="center"/>
              <w:rPr>
                <w:rFonts w:ascii="Cambria" w:hAnsi="Cambria"/>
                <w:sz w:val="24"/>
                <w:lang w:val="ro-RO"/>
              </w:rPr>
            </w:pPr>
            <w:r w:rsidRPr="00EA1BB2">
              <w:rPr>
                <w:rFonts w:ascii="Cambria" w:hAnsi="Cambria"/>
                <w:sz w:val="24"/>
                <w:lang w:val="ro-RO"/>
              </w:rPr>
              <w:t>0</w:t>
            </w:r>
          </w:p>
        </w:tc>
      </w:tr>
      <w:tr w:rsidR="00F0254C" w:rsidRPr="00EA1BB2" w14:paraId="34A1D769" w14:textId="77777777" w:rsidTr="00343667">
        <w:trPr>
          <w:jc w:val="center"/>
        </w:trPr>
        <w:tc>
          <w:tcPr>
            <w:tcW w:w="435" w:type="pct"/>
            <w:vAlign w:val="center"/>
          </w:tcPr>
          <w:p w14:paraId="4B37FA50"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2014</w:t>
            </w:r>
          </w:p>
        </w:tc>
        <w:tc>
          <w:tcPr>
            <w:tcW w:w="362" w:type="pct"/>
            <w:vAlign w:val="center"/>
          </w:tcPr>
          <w:p w14:paraId="3D8AA169"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-0,5</w:t>
            </w:r>
          </w:p>
        </w:tc>
        <w:tc>
          <w:tcPr>
            <w:tcW w:w="362" w:type="pct"/>
            <w:vAlign w:val="center"/>
          </w:tcPr>
          <w:p w14:paraId="0A5F0487"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w:t>
            </w:r>
          </w:p>
        </w:tc>
        <w:tc>
          <w:tcPr>
            <w:tcW w:w="362" w:type="pct"/>
            <w:vAlign w:val="center"/>
          </w:tcPr>
          <w:p w14:paraId="7A3D582D"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8,6</w:t>
            </w:r>
          </w:p>
        </w:tc>
        <w:tc>
          <w:tcPr>
            <w:tcW w:w="362" w:type="pct"/>
            <w:vAlign w:val="center"/>
          </w:tcPr>
          <w:p w14:paraId="1E6CABD6"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11,5</w:t>
            </w:r>
          </w:p>
        </w:tc>
        <w:tc>
          <w:tcPr>
            <w:tcW w:w="362" w:type="pct"/>
            <w:vAlign w:val="center"/>
          </w:tcPr>
          <w:p w14:paraId="4A090363"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16,9</w:t>
            </w:r>
          </w:p>
        </w:tc>
        <w:tc>
          <w:tcPr>
            <w:tcW w:w="362" w:type="pct"/>
            <w:vAlign w:val="center"/>
          </w:tcPr>
          <w:p w14:paraId="56D3D437"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20,3</w:t>
            </w:r>
          </w:p>
        </w:tc>
        <w:tc>
          <w:tcPr>
            <w:tcW w:w="362" w:type="pct"/>
            <w:vAlign w:val="center"/>
          </w:tcPr>
          <w:p w14:paraId="1781275C"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23,3</w:t>
            </w:r>
          </w:p>
        </w:tc>
        <w:tc>
          <w:tcPr>
            <w:tcW w:w="362" w:type="pct"/>
            <w:vAlign w:val="center"/>
          </w:tcPr>
          <w:p w14:paraId="50CFC50B"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23,7</w:t>
            </w:r>
          </w:p>
        </w:tc>
        <w:tc>
          <w:tcPr>
            <w:tcW w:w="362" w:type="pct"/>
            <w:vAlign w:val="center"/>
          </w:tcPr>
          <w:p w14:paraId="4DC721EB"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18,1</w:t>
            </w:r>
          </w:p>
        </w:tc>
        <w:tc>
          <w:tcPr>
            <w:tcW w:w="435" w:type="pct"/>
            <w:vAlign w:val="center"/>
          </w:tcPr>
          <w:p w14:paraId="6B6D15ED"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w:t>
            </w:r>
          </w:p>
        </w:tc>
        <w:tc>
          <w:tcPr>
            <w:tcW w:w="435" w:type="pct"/>
            <w:vAlign w:val="center"/>
          </w:tcPr>
          <w:p w14:paraId="52EF11F8"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5,2</w:t>
            </w:r>
          </w:p>
        </w:tc>
        <w:tc>
          <w:tcPr>
            <w:tcW w:w="437" w:type="pct"/>
            <w:vAlign w:val="center"/>
          </w:tcPr>
          <w:p w14:paraId="38912E16" w14:textId="77777777" w:rsidR="00F0254C" w:rsidRPr="00EA1BB2" w:rsidRDefault="00F0254C" w:rsidP="00343667">
            <w:pPr>
              <w:spacing w:line="360" w:lineRule="auto"/>
              <w:jc w:val="center"/>
              <w:rPr>
                <w:rFonts w:ascii="Cambria" w:hAnsi="Cambria"/>
                <w:sz w:val="24"/>
                <w:lang w:val="ro-RO"/>
              </w:rPr>
            </w:pPr>
            <w:r w:rsidRPr="00EA1BB2">
              <w:rPr>
                <w:rFonts w:ascii="Cambria" w:hAnsi="Cambria"/>
                <w:sz w:val="24"/>
                <w:lang w:val="ro-RO"/>
              </w:rPr>
              <w:t>0,6</w:t>
            </w:r>
          </w:p>
        </w:tc>
      </w:tr>
      <w:tr w:rsidR="00F0254C" w:rsidRPr="00EA1BB2" w14:paraId="76B0BEA9" w14:textId="77777777" w:rsidTr="00343667">
        <w:trPr>
          <w:jc w:val="center"/>
        </w:trPr>
        <w:tc>
          <w:tcPr>
            <w:tcW w:w="435" w:type="pct"/>
          </w:tcPr>
          <w:p w14:paraId="3FD1B3AE"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2015</w:t>
            </w:r>
          </w:p>
        </w:tc>
        <w:tc>
          <w:tcPr>
            <w:tcW w:w="362" w:type="pct"/>
            <w:vAlign w:val="center"/>
          </w:tcPr>
          <w:p w14:paraId="6AE70090"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-1,1</w:t>
            </w:r>
          </w:p>
        </w:tc>
        <w:tc>
          <w:tcPr>
            <w:tcW w:w="362" w:type="pct"/>
            <w:vAlign w:val="center"/>
          </w:tcPr>
          <w:p w14:paraId="3B0D72CC"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2,1</w:t>
            </w:r>
          </w:p>
        </w:tc>
        <w:tc>
          <w:tcPr>
            <w:tcW w:w="362" w:type="pct"/>
            <w:vAlign w:val="center"/>
          </w:tcPr>
          <w:p w14:paraId="0DF9D7E6"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6,2</w:t>
            </w:r>
          </w:p>
        </w:tc>
        <w:tc>
          <w:tcPr>
            <w:tcW w:w="362" w:type="pct"/>
            <w:vAlign w:val="center"/>
          </w:tcPr>
          <w:p w14:paraId="44DC5996"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11,1</w:t>
            </w:r>
          </w:p>
        </w:tc>
        <w:tc>
          <w:tcPr>
            <w:tcW w:w="362" w:type="pct"/>
            <w:vAlign w:val="center"/>
          </w:tcPr>
          <w:p w14:paraId="5465B0D3"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18,3</w:t>
            </w:r>
          </w:p>
        </w:tc>
        <w:tc>
          <w:tcPr>
            <w:tcW w:w="362" w:type="pct"/>
            <w:vAlign w:val="center"/>
          </w:tcPr>
          <w:p w14:paraId="5C3D669E"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21,2</w:t>
            </w:r>
          </w:p>
        </w:tc>
        <w:tc>
          <w:tcPr>
            <w:tcW w:w="362" w:type="pct"/>
            <w:vAlign w:val="center"/>
          </w:tcPr>
          <w:p w14:paraId="3A969EAE"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24,5</w:t>
            </w:r>
          </w:p>
        </w:tc>
        <w:tc>
          <w:tcPr>
            <w:tcW w:w="362" w:type="pct"/>
            <w:vAlign w:val="center"/>
          </w:tcPr>
          <w:p w14:paraId="3F52468A"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23,9</w:t>
            </w:r>
          </w:p>
        </w:tc>
        <w:tc>
          <w:tcPr>
            <w:tcW w:w="362" w:type="pct"/>
            <w:vAlign w:val="center"/>
          </w:tcPr>
          <w:p w14:paraId="5268E0FE"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19,9</w:t>
            </w:r>
          </w:p>
        </w:tc>
        <w:tc>
          <w:tcPr>
            <w:tcW w:w="435" w:type="pct"/>
            <w:vAlign w:val="center"/>
          </w:tcPr>
          <w:p w14:paraId="1C8C4758"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11,0</w:t>
            </w:r>
          </w:p>
        </w:tc>
        <w:tc>
          <w:tcPr>
            <w:tcW w:w="435" w:type="pct"/>
            <w:vAlign w:val="center"/>
          </w:tcPr>
          <w:p w14:paraId="4C99B0FE"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7,5</w:t>
            </w:r>
          </w:p>
        </w:tc>
        <w:tc>
          <w:tcPr>
            <w:tcW w:w="437" w:type="pct"/>
            <w:vAlign w:val="center"/>
          </w:tcPr>
          <w:p w14:paraId="3F27D8B0" w14:textId="77777777" w:rsidR="00F0254C" w:rsidRPr="00EA1BB2" w:rsidRDefault="00F0254C" w:rsidP="00343667">
            <w:pPr>
              <w:spacing w:line="360" w:lineRule="auto"/>
              <w:jc w:val="center"/>
              <w:rPr>
                <w:rFonts w:ascii="Cambria" w:hAnsi="Cambria"/>
                <w:sz w:val="24"/>
                <w:lang w:val="ro-RO"/>
              </w:rPr>
            </w:pPr>
            <w:r w:rsidRPr="00EA1BB2">
              <w:rPr>
                <w:rFonts w:ascii="Cambria" w:hAnsi="Cambria"/>
                <w:sz w:val="24"/>
                <w:lang w:val="ro-RO"/>
              </w:rPr>
              <w:t>2,4</w:t>
            </w:r>
          </w:p>
        </w:tc>
      </w:tr>
      <w:tr w:rsidR="00F0254C" w:rsidRPr="00EA1BB2" w14:paraId="290E7B13" w14:textId="77777777" w:rsidTr="00343667">
        <w:trPr>
          <w:jc w:val="center"/>
        </w:trPr>
        <w:tc>
          <w:tcPr>
            <w:tcW w:w="435" w:type="pct"/>
            <w:vAlign w:val="center"/>
          </w:tcPr>
          <w:p w14:paraId="758F5AB8"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2016</w:t>
            </w:r>
          </w:p>
        </w:tc>
        <w:tc>
          <w:tcPr>
            <w:tcW w:w="362" w:type="pct"/>
            <w:vAlign w:val="center"/>
          </w:tcPr>
          <w:p w14:paraId="17983277"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-2,6</w:t>
            </w:r>
          </w:p>
        </w:tc>
        <w:tc>
          <w:tcPr>
            <w:tcW w:w="362" w:type="pct"/>
            <w:vAlign w:val="center"/>
          </w:tcPr>
          <w:p w14:paraId="44D4CF2E"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6,4</w:t>
            </w:r>
          </w:p>
        </w:tc>
        <w:tc>
          <w:tcPr>
            <w:tcW w:w="362" w:type="pct"/>
            <w:vAlign w:val="center"/>
          </w:tcPr>
          <w:p w14:paraId="331CEA48"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7,2</w:t>
            </w:r>
          </w:p>
        </w:tc>
        <w:tc>
          <w:tcPr>
            <w:tcW w:w="362" w:type="pct"/>
            <w:vAlign w:val="center"/>
          </w:tcPr>
          <w:p w14:paraId="7754AC70"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14,0</w:t>
            </w:r>
          </w:p>
        </w:tc>
        <w:tc>
          <w:tcPr>
            <w:tcW w:w="362" w:type="pct"/>
            <w:vAlign w:val="center"/>
          </w:tcPr>
          <w:p w14:paraId="06682E31"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16,5</w:t>
            </w:r>
          </w:p>
        </w:tc>
        <w:tc>
          <w:tcPr>
            <w:tcW w:w="362" w:type="pct"/>
            <w:vAlign w:val="center"/>
          </w:tcPr>
          <w:p w14:paraId="65C0B7AF"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22,4</w:t>
            </w:r>
          </w:p>
        </w:tc>
        <w:tc>
          <w:tcPr>
            <w:tcW w:w="362" w:type="pct"/>
            <w:vAlign w:val="center"/>
          </w:tcPr>
          <w:p w14:paraId="2D53A305"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23,9</w:t>
            </w:r>
          </w:p>
        </w:tc>
        <w:tc>
          <w:tcPr>
            <w:tcW w:w="362" w:type="pct"/>
            <w:vAlign w:val="center"/>
          </w:tcPr>
          <w:p w14:paraId="7CA1C69D"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22,8</w:t>
            </w:r>
          </w:p>
        </w:tc>
        <w:tc>
          <w:tcPr>
            <w:tcW w:w="362" w:type="pct"/>
            <w:vAlign w:val="center"/>
          </w:tcPr>
          <w:p w14:paraId="654D6008"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18,8</w:t>
            </w:r>
          </w:p>
        </w:tc>
        <w:tc>
          <w:tcPr>
            <w:tcW w:w="435" w:type="pct"/>
            <w:vAlign w:val="center"/>
          </w:tcPr>
          <w:p w14:paraId="6469FB6E"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10,1</w:t>
            </w:r>
          </w:p>
        </w:tc>
        <w:tc>
          <w:tcPr>
            <w:tcW w:w="435" w:type="pct"/>
            <w:vAlign w:val="center"/>
          </w:tcPr>
          <w:p w14:paraId="50DF93B6" w14:textId="77777777" w:rsidR="00F0254C" w:rsidRPr="00EA1BB2" w:rsidRDefault="00F0254C" w:rsidP="00343667">
            <w:pPr>
              <w:spacing w:line="360" w:lineRule="auto"/>
              <w:jc w:val="center"/>
              <w:rPr>
                <w:rFonts w:ascii="Cambria" w:hAnsi="Cambria" w:cs="Times New Roman"/>
                <w:sz w:val="24"/>
                <w:lang w:val="ro-RO"/>
              </w:rPr>
            </w:pPr>
            <w:r w:rsidRPr="00EA1BB2">
              <w:rPr>
                <w:rFonts w:ascii="Cambria" w:hAnsi="Cambria" w:cs="Times New Roman"/>
                <w:sz w:val="24"/>
                <w:lang w:val="ro-RO"/>
              </w:rPr>
              <w:t>5,4</w:t>
            </w:r>
          </w:p>
        </w:tc>
        <w:tc>
          <w:tcPr>
            <w:tcW w:w="437" w:type="pct"/>
            <w:vAlign w:val="center"/>
          </w:tcPr>
          <w:p w14:paraId="2C328469" w14:textId="77777777" w:rsidR="00F0254C" w:rsidRPr="00EA1BB2" w:rsidRDefault="00F0254C" w:rsidP="00343667">
            <w:pPr>
              <w:spacing w:line="360" w:lineRule="auto"/>
              <w:jc w:val="center"/>
              <w:rPr>
                <w:rFonts w:ascii="Cambria" w:hAnsi="Cambria"/>
                <w:sz w:val="24"/>
                <w:lang w:val="ro-RO"/>
              </w:rPr>
            </w:pPr>
            <w:r w:rsidRPr="00EA1BB2">
              <w:rPr>
                <w:rFonts w:ascii="Cambria" w:hAnsi="Cambria"/>
                <w:sz w:val="24"/>
                <w:lang w:val="ro-RO"/>
              </w:rPr>
              <w:t>-0,4</w:t>
            </w:r>
          </w:p>
        </w:tc>
      </w:tr>
    </w:tbl>
    <w:p w14:paraId="2B9453F5" w14:textId="77777777" w:rsidR="00525DE6" w:rsidRPr="00EA1BB2" w:rsidRDefault="00525DE6" w:rsidP="00F0254C">
      <w:pPr>
        <w:jc w:val="both"/>
        <w:rPr>
          <w:rFonts w:ascii="Cambria" w:eastAsia="Times New Roman" w:hAnsi="Cambria" w:cs="Times New Roman"/>
          <w:szCs w:val="24"/>
        </w:rPr>
      </w:pPr>
      <w:r w:rsidRPr="00EA1BB2">
        <w:rPr>
          <w:rFonts w:ascii="Cambria" w:eastAsia="Times New Roman" w:hAnsi="Cambria" w:cs="Times New Roman"/>
          <w:szCs w:val="24"/>
        </w:rPr>
        <w:t>Notă: pentru anul 2012 în lunile iulie și octombrie, anul 2013 în lunile iunie și iulie și în anul 2014 lunile februarie și octombrie lipsesc înregistrări și nu se pot calcula mediile lunare.</w:t>
      </w:r>
    </w:p>
    <w:p w14:paraId="74659F7D" w14:textId="77777777" w:rsidR="00F0254C" w:rsidRPr="00EA1BB2" w:rsidRDefault="00AD618F" w:rsidP="00F0254C">
      <w:pPr>
        <w:jc w:val="both"/>
        <w:rPr>
          <w:rFonts w:ascii="Cambria" w:eastAsia="Times New Roman" w:hAnsi="Cambria" w:cs="Times New Roman"/>
          <w:szCs w:val="24"/>
        </w:rPr>
      </w:pPr>
      <w:r w:rsidRPr="00EA1BB2">
        <w:rPr>
          <w:rFonts w:ascii="Cambria" w:eastAsia="Times New Roman" w:hAnsi="Cambria" w:cs="Times New Roman"/>
          <w:szCs w:val="24"/>
        </w:rPr>
        <w:t>S</w:t>
      </w:r>
      <w:r w:rsidR="00F0254C" w:rsidRPr="00EA1BB2">
        <w:rPr>
          <w:rFonts w:ascii="Cambria" w:eastAsia="Times New Roman" w:hAnsi="Cambria" w:cs="Times New Roman"/>
          <w:szCs w:val="24"/>
        </w:rPr>
        <w:t>ursa</w:t>
      </w:r>
      <w:r w:rsidRPr="00EA1BB2">
        <w:rPr>
          <w:rFonts w:ascii="Cambria" w:eastAsia="Times New Roman" w:hAnsi="Cambria" w:cs="Times New Roman"/>
          <w:szCs w:val="24"/>
        </w:rPr>
        <w:t xml:space="preserve"> date</w:t>
      </w:r>
      <w:r w:rsidR="00F0254C" w:rsidRPr="00EA1BB2">
        <w:rPr>
          <w:rFonts w:ascii="Cambria" w:eastAsia="Times New Roman" w:hAnsi="Cambria" w:cs="Times New Roman"/>
          <w:szCs w:val="24"/>
        </w:rPr>
        <w:t>: ANM</w:t>
      </w:r>
    </w:p>
    <w:p w14:paraId="79A4752B" w14:textId="781B3B31" w:rsidR="00F0254C" w:rsidRPr="00EA1BB2" w:rsidRDefault="00F0254C" w:rsidP="00F0254C">
      <w:pPr>
        <w:pStyle w:val="Caption"/>
        <w:keepNext/>
        <w:spacing w:after="0" w:line="360" w:lineRule="auto"/>
        <w:ind w:firstLine="708"/>
        <w:jc w:val="both"/>
        <w:rPr>
          <w:rFonts w:ascii="Cambria" w:hAnsi="Cambria"/>
        </w:rPr>
      </w:pPr>
      <w:bookmarkStart w:id="32" w:name="_Toc524966198"/>
      <w:r w:rsidRPr="00EA1BB2">
        <w:rPr>
          <w:rFonts w:ascii="Cambria" w:hAnsi="Cambria"/>
        </w:rPr>
        <w:lastRenderedPageBreak/>
        <w:t xml:space="preserve">Figura nr. </w:t>
      </w:r>
      <w:r w:rsidR="00280BC9" w:rsidRPr="00EA1BB2">
        <w:rPr>
          <w:rFonts w:ascii="Cambria" w:hAnsi="Cambria"/>
        </w:rPr>
        <w:fldChar w:fldCharType="begin"/>
      </w:r>
      <w:r w:rsidR="00BA6FA3" w:rsidRPr="00EA1BB2">
        <w:rPr>
          <w:rFonts w:ascii="Cambria" w:hAnsi="Cambria"/>
        </w:rPr>
        <w:instrText xml:space="preserve"> STYLEREF 1 \s </w:instrText>
      </w:r>
      <w:r w:rsidR="00280BC9" w:rsidRPr="00EA1BB2">
        <w:rPr>
          <w:rFonts w:ascii="Cambria" w:hAnsi="Cambria"/>
        </w:rPr>
        <w:fldChar w:fldCharType="separate"/>
      </w:r>
      <w:r w:rsidR="00567555">
        <w:rPr>
          <w:rFonts w:ascii="Cambria" w:hAnsi="Cambria"/>
          <w:noProof/>
        </w:rPr>
        <w:t>2</w:t>
      </w:r>
      <w:r w:rsidR="00280BC9" w:rsidRPr="00EA1BB2">
        <w:rPr>
          <w:rFonts w:ascii="Cambria" w:hAnsi="Cambria"/>
        </w:rPr>
        <w:fldChar w:fldCharType="end"/>
      </w:r>
      <w:r w:rsidR="00BA6FA3" w:rsidRPr="00EA1BB2">
        <w:rPr>
          <w:rFonts w:ascii="Cambria" w:hAnsi="Cambria"/>
        </w:rPr>
        <w:noBreakHyphen/>
      </w:r>
      <w:r w:rsidR="00280BC9" w:rsidRPr="00EA1BB2">
        <w:rPr>
          <w:rFonts w:ascii="Cambria" w:hAnsi="Cambria"/>
        </w:rPr>
        <w:fldChar w:fldCharType="begin"/>
      </w:r>
      <w:r w:rsidR="00BA6FA3" w:rsidRPr="00EA1BB2">
        <w:rPr>
          <w:rFonts w:ascii="Cambria" w:hAnsi="Cambria"/>
        </w:rPr>
        <w:instrText xml:space="preserve"> SEQ Figura_nr. \* ARABIC \s 1 </w:instrText>
      </w:r>
      <w:r w:rsidR="00280BC9" w:rsidRPr="00EA1BB2">
        <w:rPr>
          <w:rFonts w:ascii="Cambria" w:hAnsi="Cambria"/>
        </w:rPr>
        <w:fldChar w:fldCharType="separate"/>
      </w:r>
      <w:r w:rsidR="00567555">
        <w:rPr>
          <w:rFonts w:ascii="Cambria" w:hAnsi="Cambria"/>
          <w:noProof/>
        </w:rPr>
        <w:t>5</w:t>
      </w:r>
      <w:r w:rsidR="00280BC9" w:rsidRPr="00EA1BB2">
        <w:rPr>
          <w:rFonts w:ascii="Cambria" w:hAnsi="Cambria"/>
        </w:rPr>
        <w:fldChar w:fldCharType="end"/>
      </w:r>
      <w:r w:rsidRPr="00EA1BB2">
        <w:rPr>
          <w:rFonts w:ascii="Cambria" w:hAnsi="Cambria"/>
        </w:rPr>
        <w:t xml:space="preserve"> – Evolu</w:t>
      </w:r>
      <w:r w:rsidR="00054880" w:rsidRPr="00EA1BB2">
        <w:rPr>
          <w:rFonts w:ascii="Cambria" w:hAnsi="Cambria"/>
        </w:rPr>
        <w:t>ț</w:t>
      </w:r>
      <w:r w:rsidRPr="00EA1BB2">
        <w:rPr>
          <w:rFonts w:ascii="Cambria" w:hAnsi="Cambria"/>
        </w:rPr>
        <w:t>ia temperaturii aerului (</w:t>
      </w:r>
      <w:r w:rsidRPr="00EA1BB2">
        <w:rPr>
          <w:rFonts w:ascii="Cambria" w:hAnsi="Cambria" w:cs="Cambria Math"/>
        </w:rPr>
        <w:t>⁰</w:t>
      </w:r>
      <w:r w:rsidRPr="00EA1BB2">
        <w:rPr>
          <w:rFonts w:ascii="Cambria" w:hAnsi="Cambria"/>
        </w:rPr>
        <w:t xml:space="preserve">C) medii lunare din perioada 2012-2016 </w:t>
      </w:r>
      <w:r w:rsidRPr="00EA1BB2">
        <w:rPr>
          <w:rFonts w:ascii="Cambria" w:hAnsi="Cambria" w:cs="Times New Roman"/>
        </w:rPr>
        <w:t>î</w:t>
      </w:r>
      <w:r w:rsidRPr="00EA1BB2">
        <w:rPr>
          <w:rFonts w:ascii="Cambria" w:hAnsi="Cambria"/>
        </w:rPr>
        <w:t>nregistrate la sta</w:t>
      </w:r>
      <w:r w:rsidR="00054880" w:rsidRPr="00EA1BB2">
        <w:rPr>
          <w:rFonts w:ascii="Cambria" w:hAnsi="Cambria" w:cs="Times New Roman"/>
        </w:rPr>
        <w:t>ț</w:t>
      </w:r>
      <w:r w:rsidRPr="00EA1BB2">
        <w:rPr>
          <w:rFonts w:ascii="Cambria" w:hAnsi="Cambria"/>
        </w:rPr>
        <w:t>ia meteorologic</w:t>
      </w:r>
      <w:r w:rsidRPr="00EA1BB2">
        <w:rPr>
          <w:rFonts w:ascii="Cambria" w:hAnsi="Cambria" w:cs="Times New Roman"/>
        </w:rPr>
        <w:t>ă</w:t>
      </w:r>
      <w:r w:rsidRPr="00EA1BB2">
        <w:rPr>
          <w:rFonts w:ascii="Cambria" w:hAnsi="Cambria"/>
        </w:rPr>
        <w:t xml:space="preserve"> Br</w:t>
      </w:r>
      <w:r w:rsidRPr="00EA1BB2">
        <w:rPr>
          <w:rFonts w:ascii="Cambria" w:hAnsi="Cambria" w:cs="Times New Roman"/>
        </w:rPr>
        <w:t>ă</w:t>
      </w:r>
      <w:r w:rsidRPr="00EA1BB2">
        <w:rPr>
          <w:rFonts w:ascii="Cambria" w:hAnsi="Cambria"/>
        </w:rPr>
        <w:t>ila</w:t>
      </w:r>
      <w:bookmarkEnd w:id="32"/>
    </w:p>
    <w:p w14:paraId="352FEF14" w14:textId="77777777" w:rsidR="00F0254C" w:rsidRPr="00EA1BB2" w:rsidRDefault="00F0254C" w:rsidP="00525DE6">
      <w:pPr>
        <w:spacing w:line="276" w:lineRule="auto"/>
        <w:jc w:val="both"/>
        <w:rPr>
          <w:rFonts w:ascii="Cambria" w:eastAsia="Times New Roman" w:hAnsi="Cambria" w:cs="Times New Roman"/>
          <w:sz w:val="24"/>
          <w:szCs w:val="24"/>
        </w:rPr>
      </w:pPr>
      <w:r w:rsidRPr="00EA1BB2">
        <w:rPr>
          <w:rFonts w:ascii="Cambria" w:eastAsia="Times New Roman" w:hAnsi="Cambria" w:cs="Times New Roman"/>
          <w:noProof/>
          <w:sz w:val="24"/>
          <w:szCs w:val="24"/>
          <w:lang w:val="en-US"/>
        </w:rPr>
        <w:drawing>
          <wp:inline distT="0" distB="0" distL="0" distR="0" wp14:anchorId="3F302B4C" wp14:editId="35F9D375">
            <wp:extent cx="5791200" cy="3200400"/>
            <wp:effectExtent l="0" t="0" r="0" b="0"/>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0AF3A0DE" w14:textId="77777777" w:rsidR="00525DE6" w:rsidRPr="00EA1BB2" w:rsidRDefault="00525DE6" w:rsidP="00525DE6">
      <w:pPr>
        <w:jc w:val="both"/>
        <w:rPr>
          <w:rFonts w:ascii="Cambria" w:eastAsia="Times New Roman" w:hAnsi="Cambria" w:cs="Times New Roman"/>
          <w:szCs w:val="24"/>
        </w:rPr>
      </w:pPr>
      <w:r w:rsidRPr="00EA1BB2">
        <w:rPr>
          <w:rFonts w:ascii="Cambria" w:eastAsia="Times New Roman" w:hAnsi="Cambria" w:cs="Times New Roman"/>
          <w:szCs w:val="24"/>
        </w:rPr>
        <w:t>Notă: pentru anul 2012 în lunile iulie și octombrie, anul 2013 în lunile iunie și iulie și în anul 2014 lunile februarie și octombrie lipsesc înregistrări și nu se pot calcula mediile lunare.</w:t>
      </w:r>
    </w:p>
    <w:p w14:paraId="3F6F2CE1" w14:textId="77777777" w:rsidR="00F0254C" w:rsidRPr="00EA1BB2" w:rsidRDefault="00F0254C" w:rsidP="00F0254C">
      <w:pPr>
        <w:spacing w:line="360" w:lineRule="auto"/>
        <w:ind w:firstLine="720"/>
        <w:jc w:val="both"/>
        <w:rPr>
          <w:rFonts w:ascii="Cambria" w:eastAsia="Times New Roman" w:hAnsi="Cambria" w:cs="Times New Roman"/>
          <w:sz w:val="24"/>
          <w:szCs w:val="24"/>
        </w:rPr>
      </w:pPr>
    </w:p>
    <w:p w14:paraId="2719917A" w14:textId="77777777" w:rsidR="00F0254C" w:rsidRPr="00EA1BB2" w:rsidRDefault="00F0254C" w:rsidP="00F0254C">
      <w:pPr>
        <w:spacing w:line="360" w:lineRule="auto"/>
        <w:ind w:firstLine="720"/>
        <w:jc w:val="both"/>
        <w:rPr>
          <w:rFonts w:ascii="Cambria" w:eastAsia="Times New Roman" w:hAnsi="Cambria" w:cs="Times New Roman"/>
          <w:sz w:val="24"/>
          <w:szCs w:val="24"/>
        </w:rPr>
      </w:pPr>
      <w:r w:rsidRPr="00EA1BB2">
        <w:rPr>
          <w:rFonts w:ascii="Cambria" w:eastAsia="Times New Roman" w:hAnsi="Cambria" w:cs="Times New Roman"/>
          <w:sz w:val="24"/>
          <w:szCs w:val="24"/>
        </w:rPr>
        <w:t>Precipita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iile atmosferice cuprind totalitatea produselor de condensare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 xml:space="preserve">i cristalizare a vaporilor de apă din atmosferă, denumite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 xml:space="preserve">i hidrometeori, care cad de obicei din nori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ajung la suprafa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a pământului sub forma lichidă (ploaie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aversă de ploaie, burni</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ă etc.), solidă (ninsoare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aversă de ninsoare, grindină, măzăriche etc.) sau sub ambele forme în acela</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timp (lapovi</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a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aversa de lapovi</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ă).</w:t>
      </w:r>
    </w:p>
    <w:p w14:paraId="1AEEB1B7" w14:textId="77777777" w:rsidR="00FD528B" w:rsidRPr="00EA1BB2" w:rsidRDefault="00FD528B" w:rsidP="00FD528B">
      <w:pPr>
        <w:spacing w:line="360" w:lineRule="auto"/>
        <w:ind w:firstLine="720"/>
        <w:jc w:val="both"/>
        <w:rPr>
          <w:rFonts w:ascii="Cambria" w:eastAsia="Times New Roman" w:hAnsi="Cambria" w:cs="Times New Roman"/>
          <w:sz w:val="24"/>
          <w:szCs w:val="24"/>
        </w:rPr>
      </w:pPr>
      <w:r w:rsidRPr="00EA1BB2">
        <w:rPr>
          <w:rFonts w:ascii="Cambria" w:eastAsia="Times New Roman" w:hAnsi="Cambria" w:cs="Times New Roman"/>
          <w:sz w:val="24"/>
          <w:szCs w:val="24"/>
        </w:rPr>
        <w:t>În meteorologie, observațiile asupra precipitațiilor atmosferice se efectuează vizual (felul, durata și intensitatea lor) și instrumental, măsurându-se și înregistrându-se continuu cantitatea de apă căzută prin precipitații. Particularitățile și repartiția precipitațiilor, ca și a altor elemente meteorologice, depind direct de caracterul mișcărilor aerului, respectiv de gradul de dezvoltare al convecției termice, dinamice sau orografice, precum și de deplasările advective.</w:t>
      </w:r>
    </w:p>
    <w:p w14:paraId="52247C64" w14:textId="77777777" w:rsidR="00FD528B" w:rsidRPr="00EA1BB2" w:rsidRDefault="00FD528B" w:rsidP="00FD528B">
      <w:pPr>
        <w:spacing w:line="360" w:lineRule="auto"/>
        <w:ind w:firstLine="709"/>
        <w:jc w:val="both"/>
        <w:rPr>
          <w:rFonts w:ascii="Cambria" w:eastAsia="Calibri" w:hAnsi="Cambria" w:cs="Times New Roman"/>
          <w:sz w:val="24"/>
          <w:szCs w:val="24"/>
        </w:rPr>
      </w:pPr>
      <w:r w:rsidRPr="00EA1BB2">
        <w:rPr>
          <w:rFonts w:ascii="Cambria" w:eastAsia="Calibri" w:hAnsi="Cambria" w:cs="Times New Roman"/>
          <w:sz w:val="24"/>
          <w:szCs w:val="24"/>
        </w:rPr>
        <w:t>Precipitațiile atmosferice fiind un element meteorologic dificil de măsurat, comportă unele erori inerente, legate, în principal, de acțiunea vântului și de evaporație. Odată cu creșterea altitudinii și implicit sporirea ponderii precipitațiilor solide din totalul precipitațiilor anuale, acțiunea vântului determină creșterea erorii de măsurare, prin diminuarea cantității reale.</w:t>
      </w:r>
    </w:p>
    <w:p w14:paraId="5CC4EA08" w14:textId="4BF36C47" w:rsidR="00F0254C" w:rsidRPr="00EA1BB2" w:rsidRDefault="00F0254C" w:rsidP="00F0254C">
      <w:pPr>
        <w:keepNext/>
        <w:spacing w:line="360" w:lineRule="auto"/>
        <w:ind w:firstLine="709"/>
        <w:jc w:val="both"/>
        <w:rPr>
          <w:rFonts w:ascii="Cambria" w:eastAsia="Calibri" w:hAnsi="Cambria" w:cs="Times New Roman"/>
          <w:b/>
          <w:iCs/>
          <w:sz w:val="24"/>
          <w:szCs w:val="18"/>
        </w:rPr>
      </w:pPr>
      <w:bookmarkStart w:id="33" w:name="_Toc467855450"/>
      <w:bookmarkStart w:id="34" w:name="_Toc469868374"/>
      <w:bookmarkStart w:id="35" w:name="_Toc524966199"/>
      <w:r w:rsidRPr="00EA1BB2">
        <w:rPr>
          <w:rFonts w:ascii="Cambria" w:eastAsia="Calibri" w:hAnsi="Cambria" w:cs="Times New Roman"/>
          <w:b/>
          <w:iCs/>
          <w:sz w:val="24"/>
          <w:szCs w:val="18"/>
        </w:rPr>
        <w:lastRenderedPageBreak/>
        <w:t xml:space="preserve">Figura nr. </w:t>
      </w:r>
      <w:r w:rsidR="00280BC9" w:rsidRPr="00EA1BB2">
        <w:rPr>
          <w:rFonts w:ascii="Cambria" w:eastAsia="Calibri" w:hAnsi="Cambria" w:cs="Times New Roman"/>
          <w:b/>
          <w:iCs/>
          <w:sz w:val="24"/>
          <w:szCs w:val="18"/>
        </w:rPr>
        <w:fldChar w:fldCharType="begin"/>
      </w:r>
      <w:r w:rsidR="00BA6FA3" w:rsidRPr="00EA1BB2">
        <w:rPr>
          <w:rFonts w:ascii="Cambria" w:eastAsia="Calibri" w:hAnsi="Cambria" w:cs="Times New Roman"/>
          <w:b/>
          <w:iCs/>
          <w:sz w:val="24"/>
          <w:szCs w:val="18"/>
        </w:rPr>
        <w:instrText xml:space="preserve"> STYLEREF 1 \s </w:instrText>
      </w:r>
      <w:r w:rsidR="00280BC9" w:rsidRPr="00EA1BB2">
        <w:rPr>
          <w:rFonts w:ascii="Cambria" w:eastAsia="Calibri" w:hAnsi="Cambria" w:cs="Times New Roman"/>
          <w:b/>
          <w:iCs/>
          <w:sz w:val="24"/>
          <w:szCs w:val="18"/>
        </w:rPr>
        <w:fldChar w:fldCharType="separate"/>
      </w:r>
      <w:r w:rsidR="00567555">
        <w:rPr>
          <w:rFonts w:ascii="Cambria" w:eastAsia="Calibri" w:hAnsi="Cambria" w:cs="Times New Roman"/>
          <w:b/>
          <w:iCs/>
          <w:noProof/>
          <w:sz w:val="24"/>
          <w:szCs w:val="18"/>
        </w:rPr>
        <w:t>2</w:t>
      </w:r>
      <w:r w:rsidR="00280BC9" w:rsidRPr="00EA1BB2">
        <w:rPr>
          <w:rFonts w:ascii="Cambria" w:eastAsia="Calibri" w:hAnsi="Cambria" w:cs="Times New Roman"/>
          <w:b/>
          <w:iCs/>
          <w:sz w:val="24"/>
          <w:szCs w:val="18"/>
        </w:rPr>
        <w:fldChar w:fldCharType="end"/>
      </w:r>
      <w:r w:rsidR="00BA6FA3" w:rsidRPr="00EA1BB2">
        <w:rPr>
          <w:rFonts w:ascii="Cambria" w:eastAsia="Calibri" w:hAnsi="Cambria" w:cs="Times New Roman"/>
          <w:b/>
          <w:iCs/>
          <w:sz w:val="24"/>
          <w:szCs w:val="18"/>
        </w:rPr>
        <w:noBreakHyphen/>
      </w:r>
      <w:r w:rsidR="00280BC9" w:rsidRPr="00EA1BB2">
        <w:rPr>
          <w:rFonts w:ascii="Cambria" w:eastAsia="Calibri" w:hAnsi="Cambria" w:cs="Times New Roman"/>
          <w:b/>
          <w:iCs/>
          <w:sz w:val="24"/>
          <w:szCs w:val="18"/>
        </w:rPr>
        <w:fldChar w:fldCharType="begin"/>
      </w:r>
      <w:r w:rsidR="00BA6FA3" w:rsidRPr="00EA1BB2">
        <w:rPr>
          <w:rFonts w:ascii="Cambria" w:eastAsia="Calibri" w:hAnsi="Cambria" w:cs="Times New Roman"/>
          <w:b/>
          <w:iCs/>
          <w:sz w:val="24"/>
          <w:szCs w:val="18"/>
        </w:rPr>
        <w:instrText xml:space="preserve"> SEQ Figura_nr. \* ARABIC \s 1 </w:instrText>
      </w:r>
      <w:r w:rsidR="00280BC9" w:rsidRPr="00EA1BB2">
        <w:rPr>
          <w:rFonts w:ascii="Cambria" w:eastAsia="Calibri" w:hAnsi="Cambria" w:cs="Times New Roman"/>
          <w:b/>
          <w:iCs/>
          <w:sz w:val="24"/>
          <w:szCs w:val="18"/>
        </w:rPr>
        <w:fldChar w:fldCharType="separate"/>
      </w:r>
      <w:r w:rsidR="00567555">
        <w:rPr>
          <w:rFonts w:ascii="Cambria" w:eastAsia="Calibri" w:hAnsi="Cambria" w:cs="Times New Roman"/>
          <w:b/>
          <w:iCs/>
          <w:noProof/>
          <w:sz w:val="24"/>
          <w:szCs w:val="18"/>
        </w:rPr>
        <w:t>6</w:t>
      </w:r>
      <w:r w:rsidR="00280BC9" w:rsidRPr="00EA1BB2">
        <w:rPr>
          <w:rFonts w:ascii="Cambria" w:eastAsia="Calibri" w:hAnsi="Cambria" w:cs="Times New Roman"/>
          <w:b/>
          <w:iCs/>
          <w:sz w:val="24"/>
          <w:szCs w:val="18"/>
        </w:rPr>
        <w:fldChar w:fldCharType="end"/>
      </w:r>
      <w:r w:rsidRPr="00EA1BB2">
        <w:rPr>
          <w:rFonts w:ascii="Cambria" w:eastAsia="Calibri" w:hAnsi="Cambria" w:cs="Times New Roman"/>
          <w:b/>
          <w:iCs/>
          <w:sz w:val="24"/>
          <w:szCs w:val="18"/>
        </w:rPr>
        <w:t xml:space="preserve"> – Harta precipita</w:t>
      </w:r>
      <w:r w:rsidR="00054880" w:rsidRPr="00EA1BB2">
        <w:rPr>
          <w:rFonts w:ascii="Cambria" w:eastAsia="Calibri" w:hAnsi="Cambria" w:cs="Times New Roman"/>
          <w:b/>
          <w:iCs/>
          <w:sz w:val="24"/>
          <w:szCs w:val="18"/>
        </w:rPr>
        <w:t>ț</w:t>
      </w:r>
      <w:r w:rsidRPr="00EA1BB2">
        <w:rPr>
          <w:rFonts w:ascii="Cambria" w:eastAsia="Calibri" w:hAnsi="Cambria" w:cs="Times New Roman"/>
          <w:b/>
          <w:iCs/>
          <w:sz w:val="24"/>
          <w:szCs w:val="18"/>
        </w:rPr>
        <w:t>iilor în România</w:t>
      </w:r>
      <w:bookmarkEnd w:id="33"/>
      <w:bookmarkEnd w:id="34"/>
      <w:bookmarkEnd w:id="35"/>
    </w:p>
    <w:p w14:paraId="09532FB8" w14:textId="77777777" w:rsidR="00F0254C" w:rsidRPr="00EA1BB2" w:rsidRDefault="00F0254C" w:rsidP="00F0254C">
      <w:pPr>
        <w:spacing w:line="276" w:lineRule="auto"/>
        <w:jc w:val="center"/>
        <w:rPr>
          <w:rFonts w:ascii="Cambria" w:eastAsia="Times New Roman" w:hAnsi="Cambria" w:cs="Times New Roman"/>
          <w:sz w:val="24"/>
          <w:szCs w:val="24"/>
        </w:rPr>
      </w:pPr>
      <w:r w:rsidRPr="00EA1BB2">
        <w:rPr>
          <w:rFonts w:ascii="Cambria" w:eastAsia="Times New Roman" w:hAnsi="Cambria" w:cs="Times New Roman"/>
          <w:noProof/>
          <w:sz w:val="24"/>
          <w:szCs w:val="24"/>
          <w:lang w:val="en-US"/>
        </w:rPr>
        <w:drawing>
          <wp:inline distT="0" distB="0" distL="0" distR="0" wp14:anchorId="4C3208F8" wp14:editId="368EE74A">
            <wp:extent cx="5755855" cy="4072269"/>
            <wp:effectExtent l="19050" t="19050" r="16510" b="2349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Harta-precipitatiilor-in-Romania1.gif"/>
                    <pic:cNvPicPr/>
                  </pic:nvPicPr>
                  <pic:blipFill>
                    <a:blip r:embed="rId36">
                      <a:extLst>
                        <a:ext uri="{28A0092B-C50C-407E-A947-70E740481C1C}">
                          <a14:useLocalDpi xmlns:a14="http://schemas.microsoft.com/office/drawing/2010/main" val="0"/>
                        </a:ext>
                      </a:extLst>
                    </a:blip>
                    <a:stretch>
                      <a:fillRect/>
                    </a:stretch>
                  </pic:blipFill>
                  <pic:spPr>
                    <a:xfrm>
                      <a:off x="0" y="0"/>
                      <a:ext cx="5794746" cy="4099785"/>
                    </a:xfrm>
                    <a:prstGeom prst="rect">
                      <a:avLst/>
                    </a:prstGeom>
                    <a:ln>
                      <a:solidFill>
                        <a:schemeClr val="bg2">
                          <a:lumMod val="75000"/>
                        </a:schemeClr>
                      </a:solidFill>
                    </a:ln>
                  </pic:spPr>
                </pic:pic>
              </a:graphicData>
            </a:graphic>
          </wp:inline>
        </w:drawing>
      </w:r>
    </w:p>
    <w:p w14:paraId="575A4E27" w14:textId="77777777" w:rsidR="00F0254C" w:rsidRPr="00EA1BB2" w:rsidRDefault="00F0254C" w:rsidP="00F45192">
      <w:pPr>
        <w:jc w:val="both"/>
        <w:rPr>
          <w:rFonts w:ascii="Cambria" w:eastAsia="Times New Roman" w:hAnsi="Cambria" w:cs="Times New Roman"/>
          <w:szCs w:val="24"/>
        </w:rPr>
      </w:pPr>
      <w:r w:rsidRPr="00EA1BB2">
        <w:rPr>
          <w:rFonts w:ascii="Cambria" w:eastAsia="Times New Roman" w:hAnsi="Cambria" w:cs="Times New Roman"/>
          <w:szCs w:val="24"/>
        </w:rPr>
        <w:t>sursa: ANM</w:t>
      </w:r>
    </w:p>
    <w:p w14:paraId="3E7523BB" w14:textId="77777777" w:rsidR="00F0254C" w:rsidRPr="00EA1BB2" w:rsidRDefault="00F0254C" w:rsidP="00F45192">
      <w:pPr>
        <w:ind w:firstLine="720"/>
        <w:jc w:val="both"/>
        <w:rPr>
          <w:rFonts w:ascii="Cambria" w:eastAsia="Times New Roman" w:hAnsi="Cambria" w:cs="Times New Roman"/>
          <w:sz w:val="24"/>
          <w:szCs w:val="24"/>
        </w:rPr>
      </w:pPr>
    </w:p>
    <w:p w14:paraId="2EE8968D" w14:textId="7502FDEC" w:rsidR="00F0254C" w:rsidRPr="00EA1BB2" w:rsidRDefault="00F0254C" w:rsidP="00F45192">
      <w:pPr>
        <w:spacing w:line="360" w:lineRule="auto"/>
        <w:ind w:firstLine="720"/>
        <w:jc w:val="both"/>
        <w:rPr>
          <w:rFonts w:ascii="Cambria" w:eastAsia="Times New Roman" w:hAnsi="Cambria" w:cs="Times New Roman"/>
          <w:sz w:val="24"/>
          <w:szCs w:val="24"/>
        </w:rPr>
      </w:pPr>
      <w:r w:rsidRPr="00EA1BB2">
        <w:rPr>
          <w:rFonts w:ascii="Cambria" w:eastAsia="Times New Roman" w:hAnsi="Cambria" w:cs="Times New Roman"/>
          <w:sz w:val="24"/>
          <w:szCs w:val="24"/>
        </w:rPr>
        <w:t>Precipita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iile atmosferice totalizează în cursul unui </w:t>
      </w:r>
      <w:r w:rsidR="00B803C1" w:rsidRPr="00EA1BB2">
        <w:rPr>
          <w:rFonts w:ascii="Cambria" w:eastAsia="Times New Roman" w:hAnsi="Cambria" w:cs="Times New Roman"/>
          <w:sz w:val="24"/>
          <w:szCs w:val="24"/>
        </w:rPr>
        <w:t xml:space="preserve">an </w:t>
      </w:r>
      <w:r w:rsidR="006429AE" w:rsidRPr="00EA1BB2">
        <w:rPr>
          <w:rFonts w:ascii="Cambria" w:eastAsia="Times New Roman" w:hAnsi="Cambria" w:cs="Times New Roman"/>
          <w:sz w:val="24"/>
          <w:szCs w:val="24"/>
        </w:rPr>
        <w:t>aproximativ</w:t>
      </w:r>
      <w:r w:rsidRPr="00EA1BB2">
        <w:rPr>
          <w:rFonts w:ascii="Cambria" w:eastAsia="Times New Roman" w:hAnsi="Cambria" w:cs="Times New Roman"/>
          <w:sz w:val="24"/>
          <w:szCs w:val="24"/>
        </w:rPr>
        <w:t xml:space="preserve"> 500 mm. Ca </w:t>
      </w:r>
      <w:r w:rsidR="00054880" w:rsidRPr="00EA1BB2">
        <w:rPr>
          <w:rFonts w:ascii="Cambria" w:eastAsia="Times New Roman" w:hAnsi="Cambria" w:cs="Times New Roman"/>
          <w:sz w:val="24"/>
          <w:szCs w:val="24"/>
        </w:rPr>
        <w:t>ș</w:t>
      </w:r>
      <w:r w:rsidR="007B4EF0" w:rsidRPr="00EA1BB2">
        <w:rPr>
          <w:rFonts w:ascii="Cambria" w:eastAsia="Times New Roman" w:hAnsi="Cambria" w:cs="Times New Roman"/>
          <w:sz w:val="24"/>
          <w:szCs w:val="24"/>
        </w:rPr>
        <w:t>i regimul termic</w:t>
      </w:r>
      <w:r w:rsidRPr="00EA1BB2">
        <w:rPr>
          <w:rFonts w:ascii="Cambria" w:eastAsia="Times New Roman" w:hAnsi="Cambria" w:cs="Times New Roman"/>
          <w:sz w:val="24"/>
          <w:szCs w:val="24"/>
        </w:rPr>
        <w:t xml:space="preserve"> cel al precipita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iilor reflectă caracterul continental al climei, în sensul că acestea cad în cantită</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 variabile de la un an la altul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sunt repartizate inegal în timpul anului.</w:t>
      </w:r>
      <w:r w:rsidR="00B363AD" w:rsidRPr="00EA1BB2">
        <w:rPr>
          <w:rFonts w:ascii="Cambria" w:eastAsia="Times New Roman" w:hAnsi="Cambria" w:cs="Times New Roman"/>
          <w:sz w:val="24"/>
          <w:szCs w:val="24"/>
        </w:rPr>
        <w:t xml:space="preserve"> </w:t>
      </w:r>
      <w:r w:rsidRPr="00EA1BB2">
        <w:rPr>
          <w:rFonts w:ascii="Cambria" w:eastAsia="Times New Roman" w:hAnsi="Cambria" w:cs="Times New Roman"/>
          <w:sz w:val="24"/>
          <w:szCs w:val="24"/>
        </w:rPr>
        <w:t>Cantită</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ile lunare de precipita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 atmosferice, înregistrate la sta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ia meteorologică Brăila, în ultimii ani, sunt redate în tabelul de mai jos.</w:t>
      </w:r>
    </w:p>
    <w:p w14:paraId="2BE45BFE" w14:textId="548E4421" w:rsidR="00F0254C" w:rsidRPr="00EA1BB2" w:rsidRDefault="00F0254C" w:rsidP="00F0254C">
      <w:pPr>
        <w:keepNext/>
        <w:spacing w:line="360" w:lineRule="auto"/>
        <w:ind w:firstLine="708"/>
        <w:jc w:val="both"/>
        <w:rPr>
          <w:rFonts w:ascii="Cambria" w:eastAsia="Times New Roman" w:hAnsi="Cambria" w:cs="Times New Roman"/>
          <w:b/>
          <w:sz w:val="24"/>
          <w:szCs w:val="24"/>
        </w:rPr>
      </w:pPr>
      <w:bookmarkStart w:id="36" w:name="_Toc464809746"/>
      <w:bookmarkStart w:id="37" w:name="_Toc469868284"/>
      <w:bookmarkStart w:id="38" w:name="_Toc526889763"/>
      <w:r w:rsidRPr="00EA1BB2">
        <w:rPr>
          <w:rFonts w:ascii="Cambria" w:eastAsia="Calibri" w:hAnsi="Cambria" w:cs="Times New Roman"/>
          <w:b/>
          <w:iCs/>
          <w:sz w:val="24"/>
          <w:szCs w:val="24"/>
        </w:rPr>
        <w:t xml:space="preserve">Tabelul nr. </w:t>
      </w:r>
      <w:r w:rsidR="000A2FE7" w:rsidRPr="00EA1BB2">
        <w:rPr>
          <w:rFonts w:ascii="Cambria" w:eastAsia="Calibri" w:hAnsi="Cambria" w:cs="Times New Roman"/>
          <w:b/>
          <w:iCs/>
          <w:sz w:val="24"/>
          <w:szCs w:val="24"/>
        </w:rPr>
        <w:fldChar w:fldCharType="begin"/>
      </w:r>
      <w:r w:rsidR="000A2FE7" w:rsidRPr="00EA1BB2">
        <w:rPr>
          <w:rFonts w:ascii="Cambria" w:eastAsia="Calibri" w:hAnsi="Cambria" w:cs="Times New Roman"/>
          <w:b/>
          <w:iCs/>
          <w:sz w:val="24"/>
          <w:szCs w:val="24"/>
        </w:rPr>
        <w:instrText xml:space="preserve"> STYLEREF 1 \s </w:instrText>
      </w:r>
      <w:r w:rsidR="000A2FE7" w:rsidRPr="00EA1BB2">
        <w:rPr>
          <w:rFonts w:ascii="Cambria" w:eastAsia="Calibri" w:hAnsi="Cambria" w:cs="Times New Roman"/>
          <w:b/>
          <w:iCs/>
          <w:sz w:val="24"/>
          <w:szCs w:val="24"/>
        </w:rPr>
        <w:fldChar w:fldCharType="separate"/>
      </w:r>
      <w:r w:rsidR="00567555">
        <w:rPr>
          <w:rFonts w:ascii="Cambria" w:eastAsia="Calibri" w:hAnsi="Cambria" w:cs="Times New Roman"/>
          <w:b/>
          <w:iCs/>
          <w:noProof/>
          <w:sz w:val="24"/>
          <w:szCs w:val="24"/>
        </w:rPr>
        <w:t>2</w:t>
      </w:r>
      <w:r w:rsidR="000A2FE7" w:rsidRPr="00EA1BB2">
        <w:rPr>
          <w:rFonts w:ascii="Cambria" w:eastAsia="Calibri" w:hAnsi="Cambria" w:cs="Times New Roman"/>
          <w:b/>
          <w:iCs/>
          <w:sz w:val="24"/>
          <w:szCs w:val="24"/>
        </w:rPr>
        <w:fldChar w:fldCharType="end"/>
      </w:r>
      <w:r w:rsidR="000A2FE7" w:rsidRPr="00EA1BB2">
        <w:rPr>
          <w:rFonts w:ascii="Cambria" w:eastAsia="Calibri" w:hAnsi="Cambria" w:cs="Times New Roman"/>
          <w:b/>
          <w:iCs/>
          <w:sz w:val="24"/>
          <w:szCs w:val="24"/>
        </w:rPr>
        <w:noBreakHyphen/>
      </w:r>
      <w:r w:rsidR="000A2FE7" w:rsidRPr="00EA1BB2">
        <w:rPr>
          <w:rFonts w:ascii="Cambria" w:eastAsia="Calibri" w:hAnsi="Cambria" w:cs="Times New Roman"/>
          <w:b/>
          <w:iCs/>
          <w:sz w:val="24"/>
          <w:szCs w:val="24"/>
        </w:rPr>
        <w:fldChar w:fldCharType="begin"/>
      </w:r>
      <w:r w:rsidR="000A2FE7" w:rsidRPr="00EA1BB2">
        <w:rPr>
          <w:rFonts w:ascii="Cambria" w:eastAsia="Calibri" w:hAnsi="Cambria" w:cs="Times New Roman"/>
          <w:b/>
          <w:iCs/>
          <w:sz w:val="24"/>
          <w:szCs w:val="24"/>
        </w:rPr>
        <w:instrText xml:space="preserve"> SEQ Tabelul_nr. \* ARABIC \s 1 </w:instrText>
      </w:r>
      <w:r w:rsidR="000A2FE7" w:rsidRPr="00EA1BB2">
        <w:rPr>
          <w:rFonts w:ascii="Cambria" w:eastAsia="Calibri" w:hAnsi="Cambria" w:cs="Times New Roman"/>
          <w:b/>
          <w:iCs/>
          <w:sz w:val="24"/>
          <w:szCs w:val="24"/>
        </w:rPr>
        <w:fldChar w:fldCharType="separate"/>
      </w:r>
      <w:r w:rsidR="00567555">
        <w:rPr>
          <w:rFonts w:ascii="Cambria" w:eastAsia="Calibri" w:hAnsi="Cambria" w:cs="Times New Roman"/>
          <w:b/>
          <w:iCs/>
          <w:noProof/>
          <w:sz w:val="24"/>
          <w:szCs w:val="24"/>
        </w:rPr>
        <w:t>6</w:t>
      </w:r>
      <w:r w:rsidR="000A2FE7" w:rsidRPr="00EA1BB2">
        <w:rPr>
          <w:rFonts w:ascii="Cambria" w:eastAsia="Calibri" w:hAnsi="Cambria" w:cs="Times New Roman"/>
          <w:b/>
          <w:iCs/>
          <w:sz w:val="24"/>
          <w:szCs w:val="24"/>
        </w:rPr>
        <w:fldChar w:fldCharType="end"/>
      </w:r>
      <w:r w:rsidRPr="00EA1BB2">
        <w:rPr>
          <w:rFonts w:ascii="Cambria" w:eastAsia="Calibri" w:hAnsi="Cambria" w:cs="Times New Roman"/>
          <w:b/>
          <w:iCs/>
          <w:sz w:val="24"/>
          <w:szCs w:val="24"/>
        </w:rPr>
        <w:t xml:space="preserve"> - </w:t>
      </w:r>
      <w:r w:rsidRPr="00EA1BB2">
        <w:rPr>
          <w:rFonts w:ascii="Cambria" w:eastAsia="Times New Roman" w:hAnsi="Cambria" w:cs="Times New Roman"/>
          <w:b/>
          <w:sz w:val="24"/>
          <w:szCs w:val="24"/>
        </w:rPr>
        <w:t>Cantită</w:t>
      </w:r>
      <w:r w:rsidR="00054880" w:rsidRPr="00EA1BB2">
        <w:rPr>
          <w:rFonts w:ascii="Cambria" w:eastAsia="Times New Roman" w:hAnsi="Cambria" w:cs="Times New Roman"/>
          <w:b/>
          <w:sz w:val="24"/>
          <w:szCs w:val="24"/>
        </w:rPr>
        <w:t>ț</w:t>
      </w:r>
      <w:r w:rsidRPr="00EA1BB2">
        <w:rPr>
          <w:rFonts w:ascii="Cambria" w:eastAsia="Times New Roman" w:hAnsi="Cambria" w:cs="Times New Roman"/>
          <w:b/>
          <w:sz w:val="24"/>
          <w:szCs w:val="24"/>
        </w:rPr>
        <w:t>i lunare de precipita</w:t>
      </w:r>
      <w:r w:rsidR="00054880" w:rsidRPr="00EA1BB2">
        <w:rPr>
          <w:rFonts w:ascii="Cambria" w:eastAsia="Times New Roman" w:hAnsi="Cambria" w:cs="Times New Roman"/>
          <w:b/>
          <w:sz w:val="24"/>
          <w:szCs w:val="24"/>
        </w:rPr>
        <w:t>ț</w:t>
      </w:r>
      <w:r w:rsidRPr="00EA1BB2">
        <w:rPr>
          <w:rFonts w:ascii="Cambria" w:eastAsia="Times New Roman" w:hAnsi="Cambria" w:cs="Times New Roman"/>
          <w:b/>
          <w:sz w:val="24"/>
          <w:szCs w:val="24"/>
        </w:rPr>
        <w:t>ii (mm) în perioada 2012-2016 înregistrate la sta</w:t>
      </w:r>
      <w:r w:rsidR="00054880" w:rsidRPr="00EA1BB2">
        <w:rPr>
          <w:rFonts w:ascii="Cambria" w:eastAsia="Times New Roman" w:hAnsi="Cambria" w:cs="Times New Roman"/>
          <w:b/>
          <w:sz w:val="24"/>
          <w:szCs w:val="24"/>
        </w:rPr>
        <w:t>ț</w:t>
      </w:r>
      <w:r w:rsidRPr="00EA1BB2">
        <w:rPr>
          <w:rFonts w:ascii="Cambria" w:eastAsia="Times New Roman" w:hAnsi="Cambria" w:cs="Times New Roman"/>
          <w:b/>
          <w:sz w:val="24"/>
          <w:szCs w:val="24"/>
        </w:rPr>
        <w:t>ia meteorologică Brăila</w:t>
      </w:r>
      <w:bookmarkEnd w:id="36"/>
      <w:bookmarkEnd w:id="37"/>
      <w:bookmarkEnd w:id="38"/>
    </w:p>
    <w:tbl>
      <w:tblPr>
        <w:tblStyle w:val="TableGrid22"/>
        <w:tblW w:w="5202" w:type="pct"/>
        <w:jc w:val="center"/>
        <w:tblLook w:val="04A0" w:firstRow="1" w:lastRow="0" w:firstColumn="1" w:lastColumn="0" w:noHBand="0" w:noVBand="1"/>
      </w:tblPr>
      <w:tblGrid>
        <w:gridCol w:w="770"/>
        <w:gridCol w:w="683"/>
        <w:gridCol w:w="683"/>
        <w:gridCol w:w="683"/>
        <w:gridCol w:w="683"/>
        <w:gridCol w:w="820"/>
        <w:gridCol w:w="820"/>
        <w:gridCol w:w="698"/>
        <w:gridCol w:w="683"/>
        <w:gridCol w:w="737"/>
        <w:gridCol w:w="797"/>
        <w:gridCol w:w="783"/>
        <w:gridCol w:w="821"/>
      </w:tblGrid>
      <w:tr w:rsidR="00F0254C" w:rsidRPr="00EA1BB2" w14:paraId="38BE8A51" w14:textId="77777777" w:rsidTr="00343667">
        <w:trPr>
          <w:tblHeader/>
          <w:jc w:val="center"/>
        </w:trPr>
        <w:tc>
          <w:tcPr>
            <w:tcW w:w="399" w:type="pct"/>
            <w:vMerge w:val="restart"/>
            <w:shd w:val="clear" w:color="auto" w:fill="BDD6EE" w:themeFill="accent1" w:themeFillTint="66"/>
            <w:vAlign w:val="center"/>
          </w:tcPr>
          <w:p w14:paraId="72A9DEA9" w14:textId="77777777" w:rsidR="00F0254C" w:rsidRPr="00EA1BB2" w:rsidRDefault="00F0254C" w:rsidP="00343667">
            <w:pPr>
              <w:spacing w:line="360" w:lineRule="auto"/>
              <w:jc w:val="center"/>
              <w:rPr>
                <w:rFonts w:ascii="Cambria" w:hAnsi="Cambria" w:cs="Times New Roman"/>
                <w:b/>
                <w:sz w:val="24"/>
                <w:szCs w:val="24"/>
                <w:lang w:val="ro-RO"/>
              </w:rPr>
            </w:pPr>
            <w:r w:rsidRPr="00EA1BB2">
              <w:rPr>
                <w:rFonts w:ascii="Cambria" w:hAnsi="Cambria" w:cs="Times New Roman"/>
                <w:b/>
                <w:sz w:val="24"/>
                <w:szCs w:val="24"/>
                <w:lang w:val="ro-RO"/>
              </w:rPr>
              <w:t>Anul</w:t>
            </w:r>
          </w:p>
        </w:tc>
        <w:tc>
          <w:tcPr>
            <w:tcW w:w="4601" w:type="pct"/>
            <w:gridSpan w:val="12"/>
            <w:shd w:val="clear" w:color="auto" w:fill="BDD6EE" w:themeFill="accent1" w:themeFillTint="66"/>
            <w:vAlign w:val="center"/>
          </w:tcPr>
          <w:p w14:paraId="79CFECDB" w14:textId="77777777" w:rsidR="00F0254C" w:rsidRPr="00EA1BB2" w:rsidRDefault="00F0254C" w:rsidP="00343667">
            <w:pPr>
              <w:spacing w:line="360" w:lineRule="auto"/>
              <w:jc w:val="center"/>
              <w:rPr>
                <w:rFonts w:ascii="Cambria" w:hAnsi="Cambria" w:cs="Times New Roman"/>
                <w:b/>
                <w:sz w:val="24"/>
                <w:szCs w:val="24"/>
                <w:lang w:val="ro-RO"/>
              </w:rPr>
            </w:pPr>
            <w:r w:rsidRPr="00EA1BB2">
              <w:rPr>
                <w:rFonts w:ascii="Cambria" w:hAnsi="Cambria" w:cs="Times New Roman"/>
                <w:b/>
                <w:sz w:val="24"/>
                <w:szCs w:val="24"/>
                <w:lang w:val="ro-RO"/>
              </w:rPr>
              <w:t>Luna</w:t>
            </w:r>
          </w:p>
        </w:tc>
      </w:tr>
      <w:tr w:rsidR="00F0254C" w:rsidRPr="00EA1BB2" w14:paraId="7AF5B485" w14:textId="77777777" w:rsidTr="00343667">
        <w:trPr>
          <w:tblHeader/>
          <w:jc w:val="center"/>
        </w:trPr>
        <w:tc>
          <w:tcPr>
            <w:tcW w:w="399" w:type="pct"/>
            <w:vMerge/>
            <w:shd w:val="clear" w:color="auto" w:fill="BDD6EE" w:themeFill="accent1" w:themeFillTint="66"/>
            <w:vAlign w:val="center"/>
          </w:tcPr>
          <w:p w14:paraId="00CD098A" w14:textId="77777777" w:rsidR="00F0254C" w:rsidRPr="00EA1BB2" w:rsidRDefault="00F0254C" w:rsidP="00343667">
            <w:pPr>
              <w:spacing w:line="360" w:lineRule="auto"/>
              <w:jc w:val="center"/>
              <w:rPr>
                <w:rFonts w:ascii="Cambria" w:hAnsi="Cambria" w:cs="Times New Roman"/>
                <w:b/>
                <w:sz w:val="24"/>
                <w:szCs w:val="24"/>
                <w:lang w:val="ro-RO"/>
              </w:rPr>
            </w:pPr>
          </w:p>
        </w:tc>
        <w:tc>
          <w:tcPr>
            <w:tcW w:w="354" w:type="pct"/>
            <w:shd w:val="clear" w:color="auto" w:fill="BDD6EE" w:themeFill="accent1" w:themeFillTint="66"/>
            <w:vAlign w:val="center"/>
          </w:tcPr>
          <w:p w14:paraId="54F3AAE1" w14:textId="77777777" w:rsidR="00F0254C" w:rsidRPr="00EA1BB2" w:rsidRDefault="00F0254C" w:rsidP="00343667">
            <w:pPr>
              <w:spacing w:line="360" w:lineRule="auto"/>
              <w:jc w:val="center"/>
              <w:rPr>
                <w:rFonts w:ascii="Cambria" w:hAnsi="Cambria" w:cs="Times New Roman"/>
                <w:b/>
                <w:sz w:val="24"/>
                <w:szCs w:val="24"/>
                <w:lang w:val="ro-RO"/>
              </w:rPr>
            </w:pPr>
            <w:r w:rsidRPr="00EA1BB2">
              <w:rPr>
                <w:rFonts w:ascii="Cambria" w:hAnsi="Cambria" w:cs="Times New Roman"/>
                <w:b/>
                <w:sz w:val="24"/>
                <w:szCs w:val="24"/>
                <w:lang w:val="ro-RO"/>
              </w:rPr>
              <w:t>I</w:t>
            </w:r>
          </w:p>
        </w:tc>
        <w:tc>
          <w:tcPr>
            <w:tcW w:w="354" w:type="pct"/>
            <w:shd w:val="clear" w:color="auto" w:fill="BDD6EE" w:themeFill="accent1" w:themeFillTint="66"/>
            <w:vAlign w:val="center"/>
          </w:tcPr>
          <w:p w14:paraId="22EF58FA" w14:textId="77777777" w:rsidR="00F0254C" w:rsidRPr="00EA1BB2" w:rsidRDefault="00F0254C" w:rsidP="00343667">
            <w:pPr>
              <w:spacing w:line="360" w:lineRule="auto"/>
              <w:jc w:val="center"/>
              <w:rPr>
                <w:rFonts w:ascii="Cambria" w:hAnsi="Cambria" w:cs="Times New Roman"/>
                <w:b/>
                <w:sz w:val="24"/>
                <w:szCs w:val="24"/>
                <w:lang w:val="ro-RO"/>
              </w:rPr>
            </w:pPr>
            <w:r w:rsidRPr="00EA1BB2">
              <w:rPr>
                <w:rFonts w:ascii="Cambria" w:hAnsi="Cambria" w:cs="Times New Roman"/>
                <w:b/>
                <w:sz w:val="24"/>
                <w:szCs w:val="24"/>
                <w:lang w:val="ro-RO"/>
              </w:rPr>
              <w:t>II</w:t>
            </w:r>
          </w:p>
        </w:tc>
        <w:tc>
          <w:tcPr>
            <w:tcW w:w="354" w:type="pct"/>
            <w:shd w:val="clear" w:color="auto" w:fill="BDD6EE" w:themeFill="accent1" w:themeFillTint="66"/>
            <w:vAlign w:val="center"/>
          </w:tcPr>
          <w:p w14:paraId="53352897" w14:textId="77777777" w:rsidR="00F0254C" w:rsidRPr="00EA1BB2" w:rsidRDefault="00F0254C" w:rsidP="00343667">
            <w:pPr>
              <w:spacing w:line="360" w:lineRule="auto"/>
              <w:jc w:val="center"/>
              <w:rPr>
                <w:rFonts w:ascii="Cambria" w:hAnsi="Cambria" w:cs="Times New Roman"/>
                <w:b/>
                <w:sz w:val="24"/>
                <w:szCs w:val="24"/>
                <w:lang w:val="ro-RO"/>
              </w:rPr>
            </w:pPr>
            <w:r w:rsidRPr="00EA1BB2">
              <w:rPr>
                <w:rFonts w:ascii="Cambria" w:hAnsi="Cambria" w:cs="Times New Roman"/>
                <w:b/>
                <w:sz w:val="24"/>
                <w:szCs w:val="24"/>
                <w:lang w:val="ro-RO"/>
              </w:rPr>
              <w:t>III</w:t>
            </w:r>
          </w:p>
        </w:tc>
        <w:tc>
          <w:tcPr>
            <w:tcW w:w="354" w:type="pct"/>
            <w:shd w:val="clear" w:color="auto" w:fill="BDD6EE" w:themeFill="accent1" w:themeFillTint="66"/>
            <w:vAlign w:val="center"/>
          </w:tcPr>
          <w:p w14:paraId="3963046B" w14:textId="77777777" w:rsidR="00F0254C" w:rsidRPr="00EA1BB2" w:rsidRDefault="00F0254C" w:rsidP="00343667">
            <w:pPr>
              <w:spacing w:line="360" w:lineRule="auto"/>
              <w:jc w:val="center"/>
              <w:rPr>
                <w:rFonts w:ascii="Cambria" w:hAnsi="Cambria" w:cs="Times New Roman"/>
                <w:b/>
                <w:sz w:val="24"/>
                <w:szCs w:val="24"/>
                <w:lang w:val="ro-RO"/>
              </w:rPr>
            </w:pPr>
            <w:r w:rsidRPr="00EA1BB2">
              <w:rPr>
                <w:rFonts w:ascii="Cambria" w:hAnsi="Cambria" w:cs="Times New Roman"/>
                <w:b/>
                <w:sz w:val="24"/>
                <w:szCs w:val="24"/>
                <w:lang w:val="ro-RO"/>
              </w:rPr>
              <w:t>IV</w:t>
            </w:r>
          </w:p>
        </w:tc>
        <w:tc>
          <w:tcPr>
            <w:tcW w:w="425" w:type="pct"/>
            <w:shd w:val="clear" w:color="auto" w:fill="BDD6EE" w:themeFill="accent1" w:themeFillTint="66"/>
            <w:vAlign w:val="center"/>
          </w:tcPr>
          <w:p w14:paraId="26AD555D" w14:textId="77777777" w:rsidR="00F0254C" w:rsidRPr="00EA1BB2" w:rsidRDefault="00F0254C" w:rsidP="00343667">
            <w:pPr>
              <w:spacing w:line="360" w:lineRule="auto"/>
              <w:jc w:val="center"/>
              <w:rPr>
                <w:rFonts w:ascii="Cambria" w:hAnsi="Cambria" w:cs="Times New Roman"/>
                <w:b/>
                <w:sz w:val="24"/>
                <w:szCs w:val="24"/>
                <w:lang w:val="ro-RO"/>
              </w:rPr>
            </w:pPr>
            <w:r w:rsidRPr="00EA1BB2">
              <w:rPr>
                <w:rFonts w:ascii="Cambria" w:hAnsi="Cambria" w:cs="Times New Roman"/>
                <w:b/>
                <w:sz w:val="24"/>
                <w:szCs w:val="24"/>
                <w:lang w:val="ro-RO"/>
              </w:rPr>
              <w:t>V</w:t>
            </w:r>
          </w:p>
        </w:tc>
        <w:tc>
          <w:tcPr>
            <w:tcW w:w="425" w:type="pct"/>
            <w:shd w:val="clear" w:color="auto" w:fill="BDD6EE" w:themeFill="accent1" w:themeFillTint="66"/>
            <w:vAlign w:val="center"/>
          </w:tcPr>
          <w:p w14:paraId="62B0981D" w14:textId="77777777" w:rsidR="00F0254C" w:rsidRPr="00EA1BB2" w:rsidRDefault="00F0254C" w:rsidP="00343667">
            <w:pPr>
              <w:spacing w:line="360" w:lineRule="auto"/>
              <w:jc w:val="center"/>
              <w:rPr>
                <w:rFonts w:ascii="Cambria" w:hAnsi="Cambria" w:cs="Times New Roman"/>
                <w:b/>
                <w:sz w:val="24"/>
                <w:szCs w:val="24"/>
                <w:lang w:val="ro-RO"/>
              </w:rPr>
            </w:pPr>
            <w:r w:rsidRPr="00EA1BB2">
              <w:rPr>
                <w:rFonts w:ascii="Cambria" w:hAnsi="Cambria" w:cs="Times New Roman"/>
                <w:b/>
                <w:sz w:val="24"/>
                <w:szCs w:val="24"/>
                <w:lang w:val="ro-RO"/>
              </w:rPr>
              <w:t>VI</w:t>
            </w:r>
          </w:p>
        </w:tc>
        <w:tc>
          <w:tcPr>
            <w:tcW w:w="362" w:type="pct"/>
            <w:shd w:val="clear" w:color="auto" w:fill="BDD6EE" w:themeFill="accent1" w:themeFillTint="66"/>
            <w:vAlign w:val="center"/>
          </w:tcPr>
          <w:p w14:paraId="2BC88DBE" w14:textId="77777777" w:rsidR="00F0254C" w:rsidRPr="00EA1BB2" w:rsidRDefault="00F0254C" w:rsidP="00343667">
            <w:pPr>
              <w:spacing w:line="360" w:lineRule="auto"/>
              <w:jc w:val="center"/>
              <w:rPr>
                <w:rFonts w:ascii="Cambria" w:hAnsi="Cambria" w:cs="Times New Roman"/>
                <w:b/>
                <w:sz w:val="24"/>
                <w:szCs w:val="24"/>
                <w:lang w:val="ro-RO"/>
              </w:rPr>
            </w:pPr>
            <w:r w:rsidRPr="00EA1BB2">
              <w:rPr>
                <w:rFonts w:ascii="Cambria" w:hAnsi="Cambria" w:cs="Times New Roman"/>
                <w:b/>
                <w:sz w:val="24"/>
                <w:szCs w:val="24"/>
                <w:lang w:val="ro-RO"/>
              </w:rPr>
              <w:t>VII</w:t>
            </w:r>
          </w:p>
        </w:tc>
        <w:tc>
          <w:tcPr>
            <w:tcW w:w="354" w:type="pct"/>
            <w:shd w:val="clear" w:color="auto" w:fill="BDD6EE" w:themeFill="accent1" w:themeFillTint="66"/>
            <w:vAlign w:val="center"/>
          </w:tcPr>
          <w:p w14:paraId="47F27981" w14:textId="77777777" w:rsidR="00F0254C" w:rsidRPr="00EA1BB2" w:rsidRDefault="00F0254C" w:rsidP="00343667">
            <w:pPr>
              <w:spacing w:line="360" w:lineRule="auto"/>
              <w:jc w:val="center"/>
              <w:rPr>
                <w:rFonts w:ascii="Cambria" w:hAnsi="Cambria" w:cs="Times New Roman"/>
                <w:b/>
                <w:sz w:val="24"/>
                <w:szCs w:val="24"/>
                <w:lang w:val="ro-RO"/>
              </w:rPr>
            </w:pPr>
            <w:r w:rsidRPr="00EA1BB2">
              <w:rPr>
                <w:rFonts w:ascii="Cambria" w:hAnsi="Cambria" w:cs="Times New Roman"/>
                <w:b/>
                <w:sz w:val="24"/>
                <w:szCs w:val="24"/>
                <w:lang w:val="ro-RO"/>
              </w:rPr>
              <w:t>VIII</w:t>
            </w:r>
          </w:p>
        </w:tc>
        <w:tc>
          <w:tcPr>
            <w:tcW w:w="382" w:type="pct"/>
            <w:shd w:val="clear" w:color="auto" w:fill="BDD6EE" w:themeFill="accent1" w:themeFillTint="66"/>
            <w:vAlign w:val="center"/>
          </w:tcPr>
          <w:p w14:paraId="3C2C2EA4" w14:textId="77777777" w:rsidR="00F0254C" w:rsidRPr="00EA1BB2" w:rsidRDefault="00F0254C" w:rsidP="00343667">
            <w:pPr>
              <w:spacing w:line="360" w:lineRule="auto"/>
              <w:jc w:val="center"/>
              <w:rPr>
                <w:rFonts w:ascii="Cambria" w:hAnsi="Cambria" w:cs="Times New Roman"/>
                <w:b/>
                <w:sz w:val="24"/>
                <w:szCs w:val="24"/>
                <w:lang w:val="ro-RO"/>
              </w:rPr>
            </w:pPr>
            <w:r w:rsidRPr="00EA1BB2">
              <w:rPr>
                <w:rFonts w:ascii="Cambria" w:hAnsi="Cambria" w:cs="Times New Roman"/>
                <w:b/>
                <w:sz w:val="24"/>
                <w:szCs w:val="24"/>
                <w:lang w:val="ro-RO"/>
              </w:rPr>
              <w:t>IX</w:t>
            </w:r>
          </w:p>
        </w:tc>
        <w:tc>
          <w:tcPr>
            <w:tcW w:w="406" w:type="pct"/>
            <w:shd w:val="clear" w:color="auto" w:fill="BDD6EE" w:themeFill="accent1" w:themeFillTint="66"/>
            <w:vAlign w:val="center"/>
          </w:tcPr>
          <w:p w14:paraId="06062F2F" w14:textId="77777777" w:rsidR="00F0254C" w:rsidRPr="00EA1BB2" w:rsidRDefault="00F0254C" w:rsidP="00343667">
            <w:pPr>
              <w:spacing w:line="360" w:lineRule="auto"/>
              <w:jc w:val="center"/>
              <w:rPr>
                <w:rFonts w:ascii="Cambria" w:hAnsi="Cambria" w:cs="Times New Roman"/>
                <w:b/>
                <w:sz w:val="24"/>
                <w:szCs w:val="24"/>
                <w:lang w:val="ro-RO"/>
              </w:rPr>
            </w:pPr>
            <w:r w:rsidRPr="00EA1BB2">
              <w:rPr>
                <w:rFonts w:ascii="Cambria" w:hAnsi="Cambria" w:cs="Times New Roman"/>
                <w:b/>
                <w:sz w:val="24"/>
                <w:szCs w:val="24"/>
                <w:lang w:val="ro-RO"/>
              </w:rPr>
              <w:t>X</w:t>
            </w:r>
          </w:p>
        </w:tc>
        <w:tc>
          <w:tcPr>
            <w:tcW w:w="406" w:type="pct"/>
            <w:shd w:val="clear" w:color="auto" w:fill="BDD6EE" w:themeFill="accent1" w:themeFillTint="66"/>
            <w:vAlign w:val="center"/>
          </w:tcPr>
          <w:p w14:paraId="364CDD3D" w14:textId="77777777" w:rsidR="00F0254C" w:rsidRPr="00EA1BB2" w:rsidRDefault="00F0254C" w:rsidP="00343667">
            <w:pPr>
              <w:spacing w:line="360" w:lineRule="auto"/>
              <w:jc w:val="center"/>
              <w:rPr>
                <w:rFonts w:ascii="Cambria" w:hAnsi="Cambria" w:cs="Times New Roman"/>
                <w:b/>
                <w:sz w:val="24"/>
                <w:szCs w:val="24"/>
                <w:lang w:val="ro-RO"/>
              </w:rPr>
            </w:pPr>
            <w:r w:rsidRPr="00EA1BB2">
              <w:rPr>
                <w:rFonts w:ascii="Cambria" w:hAnsi="Cambria" w:cs="Times New Roman"/>
                <w:b/>
                <w:sz w:val="24"/>
                <w:szCs w:val="24"/>
                <w:lang w:val="ro-RO"/>
              </w:rPr>
              <w:t>XI</w:t>
            </w:r>
          </w:p>
        </w:tc>
        <w:tc>
          <w:tcPr>
            <w:tcW w:w="425" w:type="pct"/>
            <w:shd w:val="clear" w:color="auto" w:fill="BDD6EE" w:themeFill="accent1" w:themeFillTint="66"/>
            <w:vAlign w:val="center"/>
          </w:tcPr>
          <w:p w14:paraId="3DD04BB8" w14:textId="77777777" w:rsidR="00F0254C" w:rsidRPr="00EA1BB2" w:rsidRDefault="00F0254C" w:rsidP="00343667">
            <w:pPr>
              <w:spacing w:line="360" w:lineRule="auto"/>
              <w:jc w:val="center"/>
              <w:rPr>
                <w:rFonts w:ascii="Cambria" w:hAnsi="Cambria" w:cs="Times New Roman"/>
                <w:b/>
                <w:sz w:val="24"/>
                <w:szCs w:val="24"/>
                <w:lang w:val="ro-RO"/>
              </w:rPr>
            </w:pPr>
            <w:r w:rsidRPr="00EA1BB2">
              <w:rPr>
                <w:rFonts w:ascii="Cambria" w:hAnsi="Cambria" w:cs="Times New Roman"/>
                <w:b/>
                <w:sz w:val="24"/>
                <w:szCs w:val="24"/>
                <w:lang w:val="ro-RO"/>
              </w:rPr>
              <w:t>XII</w:t>
            </w:r>
          </w:p>
        </w:tc>
      </w:tr>
      <w:tr w:rsidR="00F0254C" w:rsidRPr="00EA1BB2" w14:paraId="5916345E" w14:textId="77777777" w:rsidTr="00343667">
        <w:trPr>
          <w:jc w:val="center"/>
        </w:trPr>
        <w:tc>
          <w:tcPr>
            <w:tcW w:w="399" w:type="pct"/>
            <w:vAlign w:val="center"/>
          </w:tcPr>
          <w:p w14:paraId="3F1B5AFC" w14:textId="77777777" w:rsidR="00F0254C" w:rsidRPr="00EA1BB2" w:rsidRDefault="00F0254C" w:rsidP="00343667">
            <w:pPr>
              <w:spacing w:line="360" w:lineRule="auto"/>
              <w:jc w:val="center"/>
              <w:rPr>
                <w:rFonts w:ascii="Cambria" w:hAnsi="Cambria" w:cs="Times New Roman"/>
                <w:sz w:val="24"/>
                <w:szCs w:val="24"/>
                <w:lang w:val="ro-RO"/>
              </w:rPr>
            </w:pPr>
            <w:r w:rsidRPr="00EA1BB2">
              <w:rPr>
                <w:rFonts w:ascii="Cambria" w:hAnsi="Cambria" w:cs="Times New Roman"/>
                <w:sz w:val="24"/>
                <w:szCs w:val="24"/>
                <w:lang w:val="ro-RO"/>
              </w:rPr>
              <w:t>2012</w:t>
            </w:r>
          </w:p>
        </w:tc>
        <w:tc>
          <w:tcPr>
            <w:tcW w:w="354" w:type="pct"/>
            <w:shd w:val="clear" w:color="auto" w:fill="auto"/>
            <w:vAlign w:val="center"/>
          </w:tcPr>
          <w:p w14:paraId="177E5B61"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70,2</w:t>
            </w:r>
          </w:p>
        </w:tc>
        <w:tc>
          <w:tcPr>
            <w:tcW w:w="354" w:type="pct"/>
            <w:shd w:val="clear" w:color="auto" w:fill="auto"/>
            <w:vAlign w:val="center"/>
          </w:tcPr>
          <w:p w14:paraId="658445F1"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40,1</w:t>
            </w:r>
          </w:p>
        </w:tc>
        <w:tc>
          <w:tcPr>
            <w:tcW w:w="354" w:type="pct"/>
            <w:shd w:val="clear" w:color="auto" w:fill="auto"/>
            <w:vAlign w:val="center"/>
          </w:tcPr>
          <w:p w14:paraId="1E7C271D"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4,0</w:t>
            </w:r>
          </w:p>
        </w:tc>
        <w:tc>
          <w:tcPr>
            <w:tcW w:w="354" w:type="pct"/>
            <w:shd w:val="clear" w:color="auto" w:fill="auto"/>
            <w:vAlign w:val="center"/>
          </w:tcPr>
          <w:p w14:paraId="1BF540FB"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39,4</w:t>
            </w:r>
          </w:p>
        </w:tc>
        <w:tc>
          <w:tcPr>
            <w:tcW w:w="425" w:type="pct"/>
            <w:shd w:val="clear" w:color="auto" w:fill="auto"/>
            <w:vAlign w:val="center"/>
          </w:tcPr>
          <w:p w14:paraId="2ACA8E90"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136,6</w:t>
            </w:r>
          </w:p>
        </w:tc>
        <w:tc>
          <w:tcPr>
            <w:tcW w:w="425" w:type="pct"/>
            <w:shd w:val="clear" w:color="auto" w:fill="auto"/>
            <w:vAlign w:val="center"/>
          </w:tcPr>
          <w:p w14:paraId="37CBF8B0"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51,2</w:t>
            </w:r>
          </w:p>
        </w:tc>
        <w:tc>
          <w:tcPr>
            <w:tcW w:w="362" w:type="pct"/>
            <w:shd w:val="clear" w:color="auto" w:fill="auto"/>
            <w:vAlign w:val="center"/>
          </w:tcPr>
          <w:p w14:paraId="271051A1"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23,5</w:t>
            </w:r>
          </w:p>
        </w:tc>
        <w:tc>
          <w:tcPr>
            <w:tcW w:w="354" w:type="pct"/>
            <w:shd w:val="clear" w:color="auto" w:fill="auto"/>
            <w:vAlign w:val="center"/>
          </w:tcPr>
          <w:p w14:paraId="38185139"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74,0</w:t>
            </w:r>
          </w:p>
        </w:tc>
        <w:tc>
          <w:tcPr>
            <w:tcW w:w="382" w:type="pct"/>
            <w:shd w:val="clear" w:color="auto" w:fill="auto"/>
            <w:vAlign w:val="center"/>
          </w:tcPr>
          <w:p w14:paraId="17F0D957"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35,0</w:t>
            </w:r>
          </w:p>
        </w:tc>
        <w:tc>
          <w:tcPr>
            <w:tcW w:w="406" w:type="pct"/>
            <w:shd w:val="clear" w:color="auto" w:fill="auto"/>
            <w:vAlign w:val="center"/>
          </w:tcPr>
          <w:p w14:paraId="0DCEAC16"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28,9</w:t>
            </w:r>
          </w:p>
        </w:tc>
        <w:tc>
          <w:tcPr>
            <w:tcW w:w="406" w:type="pct"/>
            <w:shd w:val="clear" w:color="auto" w:fill="auto"/>
            <w:vAlign w:val="center"/>
          </w:tcPr>
          <w:p w14:paraId="4CAC746D"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22,8</w:t>
            </w:r>
          </w:p>
        </w:tc>
        <w:tc>
          <w:tcPr>
            <w:tcW w:w="425" w:type="pct"/>
            <w:shd w:val="clear" w:color="auto" w:fill="auto"/>
            <w:vAlign w:val="center"/>
          </w:tcPr>
          <w:p w14:paraId="0EFB486D"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107,4</w:t>
            </w:r>
          </w:p>
        </w:tc>
      </w:tr>
      <w:tr w:rsidR="00F0254C" w:rsidRPr="00EA1BB2" w14:paraId="39D719A3" w14:textId="77777777" w:rsidTr="00343667">
        <w:trPr>
          <w:jc w:val="center"/>
        </w:trPr>
        <w:tc>
          <w:tcPr>
            <w:tcW w:w="399" w:type="pct"/>
            <w:vAlign w:val="center"/>
          </w:tcPr>
          <w:p w14:paraId="43E3F1E2" w14:textId="77777777" w:rsidR="00F0254C" w:rsidRPr="00EA1BB2" w:rsidRDefault="00F0254C" w:rsidP="00343667">
            <w:pPr>
              <w:spacing w:line="360" w:lineRule="auto"/>
              <w:jc w:val="center"/>
              <w:rPr>
                <w:rFonts w:ascii="Cambria" w:hAnsi="Cambria" w:cs="Times New Roman"/>
                <w:sz w:val="24"/>
                <w:szCs w:val="24"/>
                <w:lang w:val="ro-RO"/>
              </w:rPr>
            </w:pPr>
            <w:r w:rsidRPr="00EA1BB2">
              <w:rPr>
                <w:rFonts w:ascii="Cambria" w:hAnsi="Cambria" w:cs="Times New Roman"/>
                <w:sz w:val="24"/>
                <w:szCs w:val="24"/>
                <w:lang w:val="ro-RO"/>
              </w:rPr>
              <w:t>2013</w:t>
            </w:r>
          </w:p>
        </w:tc>
        <w:tc>
          <w:tcPr>
            <w:tcW w:w="354" w:type="pct"/>
            <w:shd w:val="clear" w:color="auto" w:fill="auto"/>
            <w:vAlign w:val="center"/>
          </w:tcPr>
          <w:p w14:paraId="1AC34EFC"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66,2</w:t>
            </w:r>
          </w:p>
        </w:tc>
        <w:tc>
          <w:tcPr>
            <w:tcW w:w="354" w:type="pct"/>
            <w:shd w:val="clear" w:color="auto" w:fill="auto"/>
            <w:vAlign w:val="center"/>
          </w:tcPr>
          <w:p w14:paraId="51B9D1E4"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46,1</w:t>
            </w:r>
          </w:p>
        </w:tc>
        <w:tc>
          <w:tcPr>
            <w:tcW w:w="354" w:type="pct"/>
            <w:shd w:val="clear" w:color="auto" w:fill="auto"/>
            <w:vAlign w:val="center"/>
          </w:tcPr>
          <w:p w14:paraId="60B60872"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31,3</w:t>
            </w:r>
          </w:p>
        </w:tc>
        <w:tc>
          <w:tcPr>
            <w:tcW w:w="354" w:type="pct"/>
            <w:shd w:val="clear" w:color="auto" w:fill="auto"/>
            <w:vAlign w:val="center"/>
          </w:tcPr>
          <w:p w14:paraId="426ED77A"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16,4</w:t>
            </w:r>
          </w:p>
        </w:tc>
        <w:tc>
          <w:tcPr>
            <w:tcW w:w="425" w:type="pct"/>
            <w:shd w:val="clear" w:color="auto" w:fill="auto"/>
            <w:vAlign w:val="center"/>
          </w:tcPr>
          <w:p w14:paraId="314D49E6"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55,9</w:t>
            </w:r>
          </w:p>
        </w:tc>
        <w:tc>
          <w:tcPr>
            <w:tcW w:w="425" w:type="pct"/>
            <w:shd w:val="clear" w:color="auto" w:fill="auto"/>
            <w:vAlign w:val="center"/>
          </w:tcPr>
          <w:p w14:paraId="7D18C994"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43,7</w:t>
            </w:r>
          </w:p>
        </w:tc>
        <w:tc>
          <w:tcPr>
            <w:tcW w:w="362" w:type="pct"/>
            <w:shd w:val="clear" w:color="auto" w:fill="auto"/>
            <w:vAlign w:val="center"/>
          </w:tcPr>
          <w:p w14:paraId="3AFA287B"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48,6</w:t>
            </w:r>
          </w:p>
        </w:tc>
        <w:tc>
          <w:tcPr>
            <w:tcW w:w="354" w:type="pct"/>
            <w:shd w:val="clear" w:color="auto" w:fill="auto"/>
            <w:vAlign w:val="center"/>
          </w:tcPr>
          <w:p w14:paraId="29EFB7F3"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26,6</w:t>
            </w:r>
          </w:p>
        </w:tc>
        <w:tc>
          <w:tcPr>
            <w:tcW w:w="382" w:type="pct"/>
            <w:shd w:val="clear" w:color="auto" w:fill="auto"/>
            <w:vAlign w:val="center"/>
          </w:tcPr>
          <w:p w14:paraId="6C70A0C5"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60,4</w:t>
            </w:r>
          </w:p>
        </w:tc>
        <w:tc>
          <w:tcPr>
            <w:tcW w:w="406" w:type="pct"/>
            <w:shd w:val="clear" w:color="auto" w:fill="auto"/>
            <w:vAlign w:val="center"/>
          </w:tcPr>
          <w:p w14:paraId="37D487F3"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74,4</w:t>
            </w:r>
          </w:p>
        </w:tc>
        <w:tc>
          <w:tcPr>
            <w:tcW w:w="406" w:type="pct"/>
            <w:shd w:val="clear" w:color="auto" w:fill="auto"/>
            <w:vAlign w:val="center"/>
          </w:tcPr>
          <w:p w14:paraId="6F703BC8"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20,1</w:t>
            </w:r>
          </w:p>
        </w:tc>
        <w:tc>
          <w:tcPr>
            <w:tcW w:w="425" w:type="pct"/>
            <w:shd w:val="clear" w:color="auto" w:fill="auto"/>
            <w:vAlign w:val="center"/>
          </w:tcPr>
          <w:p w14:paraId="3FB264F0"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2,1</w:t>
            </w:r>
          </w:p>
        </w:tc>
      </w:tr>
      <w:tr w:rsidR="00F0254C" w:rsidRPr="00EA1BB2" w14:paraId="1FCA5429" w14:textId="77777777" w:rsidTr="00343667">
        <w:trPr>
          <w:jc w:val="center"/>
        </w:trPr>
        <w:tc>
          <w:tcPr>
            <w:tcW w:w="399" w:type="pct"/>
            <w:vAlign w:val="center"/>
          </w:tcPr>
          <w:p w14:paraId="0BFF62E0" w14:textId="77777777" w:rsidR="00F0254C" w:rsidRPr="00EA1BB2" w:rsidRDefault="00F0254C" w:rsidP="00343667">
            <w:pPr>
              <w:spacing w:line="360" w:lineRule="auto"/>
              <w:jc w:val="center"/>
              <w:rPr>
                <w:rFonts w:ascii="Cambria" w:hAnsi="Cambria" w:cs="Times New Roman"/>
                <w:sz w:val="24"/>
                <w:szCs w:val="24"/>
                <w:lang w:val="ro-RO"/>
              </w:rPr>
            </w:pPr>
            <w:r w:rsidRPr="00EA1BB2">
              <w:rPr>
                <w:rFonts w:ascii="Cambria" w:hAnsi="Cambria" w:cs="Times New Roman"/>
                <w:sz w:val="24"/>
                <w:szCs w:val="24"/>
                <w:lang w:val="ro-RO"/>
              </w:rPr>
              <w:t>2014</w:t>
            </w:r>
          </w:p>
        </w:tc>
        <w:tc>
          <w:tcPr>
            <w:tcW w:w="354" w:type="pct"/>
            <w:shd w:val="clear" w:color="auto" w:fill="auto"/>
            <w:vAlign w:val="center"/>
          </w:tcPr>
          <w:p w14:paraId="5F80EAFD"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62,5</w:t>
            </w:r>
          </w:p>
        </w:tc>
        <w:tc>
          <w:tcPr>
            <w:tcW w:w="354" w:type="pct"/>
            <w:shd w:val="clear" w:color="auto" w:fill="auto"/>
            <w:vAlign w:val="center"/>
          </w:tcPr>
          <w:p w14:paraId="6FC3CDEA"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6,1</w:t>
            </w:r>
          </w:p>
        </w:tc>
        <w:tc>
          <w:tcPr>
            <w:tcW w:w="354" w:type="pct"/>
            <w:shd w:val="clear" w:color="auto" w:fill="auto"/>
            <w:vAlign w:val="center"/>
          </w:tcPr>
          <w:p w14:paraId="45BF7A53"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40</w:t>
            </w:r>
          </w:p>
        </w:tc>
        <w:tc>
          <w:tcPr>
            <w:tcW w:w="354" w:type="pct"/>
            <w:shd w:val="clear" w:color="auto" w:fill="auto"/>
            <w:vAlign w:val="center"/>
          </w:tcPr>
          <w:p w14:paraId="5DC4A6C8"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43,2</w:t>
            </w:r>
          </w:p>
        </w:tc>
        <w:tc>
          <w:tcPr>
            <w:tcW w:w="425" w:type="pct"/>
            <w:shd w:val="clear" w:color="auto" w:fill="auto"/>
            <w:vAlign w:val="center"/>
          </w:tcPr>
          <w:p w14:paraId="5C3F1E52"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52,5</w:t>
            </w:r>
          </w:p>
        </w:tc>
        <w:tc>
          <w:tcPr>
            <w:tcW w:w="425" w:type="pct"/>
            <w:shd w:val="clear" w:color="auto" w:fill="auto"/>
            <w:vAlign w:val="center"/>
          </w:tcPr>
          <w:p w14:paraId="7C7B1D8E"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47,8</w:t>
            </w:r>
          </w:p>
        </w:tc>
        <w:tc>
          <w:tcPr>
            <w:tcW w:w="362" w:type="pct"/>
            <w:shd w:val="clear" w:color="auto" w:fill="auto"/>
            <w:vAlign w:val="center"/>
          </w:tcPr>
          <w:p w14:paraId="1A29D4C3"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27,0</w:t>
            </w:r>
          </w:p>
        </w:tc>
        <w:tc>
          <w:tcPr>
            <w:tcW w:w="354" w:type="pct"/>
            <w:shd w:val="clear" w:color="auto" w:fill="auto"/>
            <w:vAlign w:val="center"/>
          </w:tcPr>
          <w:p w14:paraId="51D40033"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16,6</w:t>
            </w:r>
          </w:p>
        </w:tc>
        <w:tc>
          <w:tcPr>
            <w:tcW w:w="382" w:type="pct"/>
            <w:shd w:val="clear" w:color="auto" w:fill="auto"/>
            <w:vAlign w:val="center"/>
          </w:tcPr>
          <w:p w14:paraId="4D1889AE"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13,0</w:t>
            </w:r>
          </w:p>
        </w:tc>
        <w:tc>
          <w:tcPr>
            <w:tcW w:w="406" w:type="pct"/>
            <w:shd w:val="clear" w:color="auto" w:fill="auto"/>
            <w:vAlign w:val="center"/>
          </w:tcPr>
          <w:p w14:paraId="4166BA4B"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53,6</w:t>
            </w:r>
          </w:p>
        </w:tc>
        <w:tc>
          <w:tcPr>
            <w:tcW w:w="406" w:type="pct"/>
            <w:shd w:val="clear" w:color="auto" w:fill="auto"/>
            <w:vAlign w:val="center"/>
          </w:tcPr>
          <w:p w14:paraId="1D05A02C"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56,2</w:t>
            </w:r>
          </w:p>
        </w:tc>
        <w:tc>
          <w:tcPr>
            <w:tcW w:w="425" w:type="pct"/>
            <w:shd w:val="clear" w:color="auto" w:fill="auto"/>
            <w:vAlign w:val="center"/>
          </w:tcPr>
          <w:p w14:paraId="7BDE720D"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60,8</w:t>
            </w:r>
          </w:p>
        </w:tc>
      </w:tr>
      <w:tr w:rsidR="00F0254C" w:rsidRPr="00EA1BB2" w14:paraId="2930CAB3" w14:textId="77777777" w:rsidTr="00343667">
        <w:trPr>
          <w:jc w:val="center"/>
        </w:trPr>
        <w:tc>
          <w:tcPr>
            <w:tcW w:w="399" w:type="pct"/>
            <w:vAlign w:val="center"/>
          </w:tcPr>
          <w:p w14:paraId="300B710D" w14:textId="77777777" w:rsidR="00F0254C" w:rsidRPr="00EA1BB2" w:rsidRDefault="00F0254C" w:rsidP="00343667">
            <w:pPr>
              <w:spacing w:line="360" w:lineRule="auto"/>
              <w:jc w:val="center"/>
              <w:rPr>
                <w:rFonts w:ascii="Cambria" w:hAnsi="Cambria" w:cs="Times New Roman"/>
                <w:sz w:val="24"/>
                <w:szCs w:val="24"/>
                <w:lang w:val="ro-RO"/>
              </w:rPr>
            </w:pPr>
            <w:r w:rsidRPr="00EA1BB2">
              <w:rPr>
                <w:rFonts w:ascii="Cambria" w:hAnsi="Cambria" w:cs="Times New Roman"/>
                <w:sz w:val="24"/>
                <w:szCs w:val="24"/>
                <w:lang w:val="ro-RO"/>
              </w:rPr>
              <w:t>2015</w:t>
            </w:r>
          </w:p>
        </w:tc>
        <w:tc>
          <w:tcPr>
            <w:tcW w:w="354" w:type="pct"/>
            <w:shd w:val="clear" w:color="auto" w:fill="auto"/>
            <w:vAlign w:val="center"/>
          </w:tcPr>
          <w:p w14:paraId="41FCD67D"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27,1</w:t>
            </w:r>
          </w:p>
        </w:tc>
        <w:tc>
          <w:tcPr>
            <w:tcW w:w="354" w:type="pct"/>
            <w:shd w:val="clear" w:color="auto" w:fill="auto"/>
            <w:vAlign w:val="center"/>
          </w:tcPr>
          <w:p w14:paraId="1BBD604A"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39,9</w:t>
            </w:r>
          </w:p>
        </w:tc>
        <w:tc>
          <w:tcPr>
            <w:tcW w:w="354" w:type="pct"/>
            <w:shd w:val="clear" w:color="auto" w:fill="auto"/>
            <w:vAlign w:val="center"/>
          </w:tcPr>
          <w:p w14:paraId="4B23B96B"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83,0</w:t>
            </w:r>
          </w:p>
        </w:tc>
        <w:tc>
          <w:tcPr>
            <w:tcW w:w="354" w:type="pct"/>
            <w:shd w:val="clear" w:color="auto" w:fill="auto"/>
            <w:vAlign w:val="center"/>
          </w:tcPr>
          <w:p w14:paraId="348D231A"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27,6</w:t>
            </w:r>
          </w:p>
        </w:tc>
        <w:tc>
          <w:tcPr>
            <w:tcW w:w="425" w:type="pct"/>
            <w:shd w:val="clear" w:color="auto" w:fill="auto"/>
            <w:vAlign w:val="center"/>
          </w:tcPr>
          <w:p w14:paraId="25885F22"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11,2</w:t>
            </w:r>
          </w:p>
        </w:tc>
        <w:tc>
          <w:tcPr>
            <w:tcW w:w="425" w:type="pct"/>
            <w:shd w:val="clear" w:color="auto" w:fill="auto"/>
            <w:vAlign w:val="center"/>
          </w:tcPr>
          <w:p w14:paraId="7BB66826"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63,8</w:t>
            </w:r>
          </w:p>
        </w:tc>
        <w:tc>
          <w:tcPr>
            <w:tcW w:w="362" w:type="pct"/>
            <w:shd w:val="clear" w:color="auto" w:fill="auto"/>
            <w:vAlign w:val="center"/>
          </w:tcPr>
          <w:p w14:paraId="1FC680FA"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20,6</w:t>
            </w:r>
          </w:p>
        </w:tc>
        <w:tc>
          <w:tcPr>
            <w:tcW w:w="354" w:type="pct"/>
            <w:shd w:val="clear" w:color="auto" w:fill="auto"/>
            <w:vAlign w:val="center"/>
          </w:tcPr>
          <w:p w14:paraId="1D4EC460"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39,6</w:t>
            </w:r>
          </w:p>
        </w:tc>
        <w:tc>
          <w:tcPr>
            <w:tcW w:w="382" w:type="pct"/>
            <w:shd w:val="clear" w:color="auto" w:fill="auto"/>
            <w:vAlign w:val="center"/>
          </w:tcPr>
          <w:p w14:paraId="71D04A46"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35,2</w:t>
            </w:r>
          </w:p>
        </w:tc>
        <w:tc>
          <w:tcPr>
            <w:tcW w:w="406" w:type="pct"/>
            <w:shd w:val="clear" w:color="auto" w:fill="auto"/>
            <w:vAlign w:val="center"/>
          </w:tcPr>
          <w:p w14:paraId="5EBE507F"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87,0</w:t>
            </w:r>
          </w:p>
        </w:tc>
        <w:tc>
          <w:tcPr>
            <w:tcW w:w="406" w:type="pct"/>
            <w:shd w:val="clear" w:color="auto" w:fill="auto"/>
            <w:vAlign w:val="center"/>
          </w:tcPr>
          <w:p w14:paraId="4622F5B9"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89,2</w:t>
            </w:r>
          </w:p>
        </w:tc>
        <w:tc>
          <w:tcPr>
            <w:tcW w:w="425" w:type="pct"/>
            <w:shd w:val="clear" w:color="auto" w:fill="auto"/>
            <w:vAlign w:val="center"/>
          </w:tcPr>
          <w:p w14:paraId="46398F07"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1,8</w:t>
            </w:r>
          </w:p>
        </w:tc>
      </w:tr>
      <w:tr w:rsidR="00F0254C" w:rsidRPr="00EA1BB2" w14:paraId="69C6D075" w14:textId="77777777" w:rsidTr="00343667">
        <w:trPr>
          <w:jc w:val="center"/>
        </w:trPr>
        <w:tc>
          <w:tcPr>
            <w:tcW w:w="399" w:type="pct"/>
            <w:vAlign w:val="center"/>
          </w:tcPr>
          <w:p w14:paraId="4FDCEF9F" w14:textId="77777777" w:rsidR="00F0254C" w:rsidRPr="00EA1BB2" w:rsidRDefault="00F0254C" w:rsidP="00343667">
            <w:pPr>
              <w:spacing w:line="360" w:lineRule="auto"/>
              <w:jc w:val="center"/>
              <w:rPr>
                <w:rFonts w:ascii="Cambria" w:hAnsi="Cambria" w:cs="Times New Roman"/>
                <w:sz w:val="24"/>
                <w:szCs w:val="24"/>
                <w:lang w:val="ro-RO"/>
              </w:rPr>
            </w:pPr>
            <w:r w:rsidRPr="00EA1BB2">
              <w:rPr>
                <w:rFonts w:ascii="Cambria" w:hAnsi="Cambria" w:cs="Times New Roman"/>
                <w:sz w:val="24"/>
                <w:szCs w:val="24"/>
                <w:lang w:val="ro-RO"/>
              </w:rPr>
              <w:t>2016</w:t>
            </w:r>
          </w:p>
        </w:tc>
        <w:tc>
          <w:tcPr>
            <w:tcW w:w="354" w:type="pct"/>
            <w:shd w:val="clear" w:color="auto" w:fill="auto"/>
            <w:vAlign w:val="center"/>
          </w:tcPr>
          <w:p w14:paraId="69E1823F"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44,2</w:t>
            </w:r>
          </w:p>
        </w:tc>
        <w:tc>
          <w:tcPr>
            <w:tcW w:w="354" w:type="pct"/>
            <w:shd w:val="clear" w:color="auto" w:fill="auto"/>
            <w:vAlign w:val="center"/>
          </w:tcPr>
          <w:p w14:paraId="0B4EA2C7"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6,4</w:t>
            </w:r>
          </w:p>
        </w:tc>
        <w:tc>
          <w:tcPr>
            <w:tcW w:w="354" w:type="pct"/>
            <w:shd w:val="clear" w:color="auto" w:fill="auto"/>
            <w:vAlign w:val="center"/>
          </w:tcPr>
          <w:p w14:paraId="62C75161"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58,0</w:t>
            </w:r>
          </w:p>
        </w:tc>
        <w:tc>
          <w:tcPr>
            <w:tcW w:w="354" w:type="pct"/>
            <w:shd w:val="clear" w:color="auto" w:fill="auto"/>
            <w:vAlign w:val="center"/>
          </w:tcPr>
          <w:p w14:paraId="1389F312"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48,4</w:t>
            </w:r>
          </w:p>
        </w:tc>
        <w:tc>
          <w:tcPr>
            <w:tcW w:w="425" w:type="pct"/>
            <w:shd w:val="clear" w:color="auto" w:fill="auto"/>
            <w:vAlign w:val="center"/>
          </w:tcPr>
          <w:p w14:paraId="2E3EC48B"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46,0</w:t>
            </w:r>
          </w:p>
        </w:tc>
        <w:tc>
          <w:tcPr>
            <w:tcW w:w="425" w:type="pct"/>
            <w:shd w:val="clear" w:color="auto" w:fill="auto"/>
            <w:vAlign w:val="center"/>
          </w:tcPr>
          <w:p w14:paraId="3906DB84"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85,4</w:t>
            </w:r>
          </w:p>
        </w:tc>
        <w:tc>
          <w:tcPr>
            <w:tcW w:w="362" w:type="pct"/>
            <w:shd w:val="clear" w:color="auto" w:fill="auto"/>
            <w:vAlign w:val="center"/>
          </w:tcPr>
          <w:p w14:paraId="57203AAE"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1,2</w:t>
            </w:r>
          </w:p>
        </w:tc>
        <w:tc>
          <w:tcPr>
            <w:tcW w:w="354" w:type="pct"/>
            <w:shd w:val="clear" w:color="auto" w:fill="auto"/>
            <w:vAlign w:val="center"/>
          </w:tcPr>
          <w:p w14:paraId="0A781C5A"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48,2</w:t>
            </w:r>
          </w:p>
        </w:tc>
        <w:tc>
          <w:tcPr>
            <w:tcW w:w="382" w:type="pct"/>
            <w:shd w:val="clear" w:color="auto" w:fill="auto"/>
            <w:vAlign w:val="center"/>
          </w:tcPr>
          <w:p w14:paraId="3CE454D4"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29,2</w:t>
            </w:r>
          </w:p>
        </w:tc>
        <w:tc>
          <w:tcPr>
            <w:tcW w:w="406" w:type="pct"/>
            <w:shd w:val="clear" w:color="auto" w:fill="auto"/>
            <w:vAlign w:val="center"/>
          </w:tcPr>
          <w:p w14:paraId="1E972255"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127,0</w:t>
            </w:r>
          </w:p>
        </w:tc>
        <w:tc>
          <w:tcPr>
            <w:tcW w:w="406" w:type="pct"/>
            <w:shd w:val="clear" w:color="auto" w:fill="auto"/>
            <w:vAlign w:val="center"/>
          </w:tcPr>
          <w:p w14:paraId="270CDE23"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56,6</w:t>
            </w:r>
          </w:p>
        </w:tc>
        <w:tc>
          <w:tcPr>
            <w:tcW w:w="425" w:type="pct"/>
            <w:shd w:val="clear" w:color="auto" w:fill="auto"/>
            <w:vAlign w:val="center"/>
          </w:tcPr>
          <w:p w14:paraId="33B2B497" w14:textId="77777777" w:rsidR="00F0254C" w:rsidRPr="00EA1BB2" w:rsidRDefault="00F0254C" w:rsidP="00343667">
            <w:pPr>
              <w:spacing w:line="360" w:lineRule="auto"/>
              <w:jc w:val="center"/>
              <w:rPr>
                <w:rFonts w:ascii="Cambria" w:hAnsi="Cambria" w:cs="Arial"/>
                <w:sz w:val="24"/>
                <w:szCs w:val="24"/>
                <w:lang w:val="ro-RO"/>
              </w:rPr>
            </w:pPr>
            <w:r w:rsidRPr="00EA1BB2">
              <w:rPr>
                <w:rFonts w:ascii="Cambria" w:hAnsi="Cambria" w:cs="Arial"/>
                <w:sz w:val="24"/>
                <w:szCs w:val="24"/>
                <w:lang w:val="ro-RO"/>
              </w:rPr>
              <w:t>3,1</w:t>
            </w:r>
          </w:p>
        </w:tc>
      </w:tr>
    </w:tbl>
    <w:p w14:paraId="0B37FCE9" w14:textId="77777777" w:rsidR="00F45192" w:rsidRPr="00EA1BB2" w:rsidRDefault="00AD618F" w:rsidP="00CE2576">
      <w:pPr>
        <w:spacing w:line="276" w:lineRule="auto"/>
        <w:jc w:val="both"/>
        <w:rPr>
          <w:rFonts w:ascii="Cambria" w:hAnsi="Cambria"/>
        </w:rPr>
      </w:pPr>
      <w:r w:rsidRPr="00EA1BB2">
        <w:rPr>
          <w:rFonts w:ascii="Cambria" w:eastAsia="Times New Roman" w:hAnsi="Cambria" w:cs="Times New Roman"/>
          <w:szCs w:val="24"/>
        </w:rPr>
        <w:t>S</w:t>
      </w:r>
      <w:r w:rsidR="00F0254C" w:rsidRPr="00EA1BB2">
        <w:rPr>
          <w:rFonts w:ascii="Cambria" w:eastAsia="Times New Roman" w:hAnsi="Cambria" w:cs="Times New Roman"/>
          <w:szCs w:val="24"/>
        </w:rPr>
        <w:t>ursa</w:t>
      </w:r>
      <w:r w:rsidRPr="00EA1BB2">
        <w:rPr>
          <w:rFonts w:ascii="Cambria" w:eastAsia="Times New Roman" w:hAnsi="Cambria" w:cs="Times New Roman"/>
          <w:szCs w:val="24"/>
        </w:rPr>
        <w:t xml:space="preserve"> date</w:t>
      </w:r>
      <w:r w:rsidR="00F0254C" w:rsidRPr="00EA1BB2">
        <w:rPr>
          <w:rFonts w:ascii="Cambria" w:eastAsia="Times New Roman" w:hAnsi="Cambria" w:cs="Times New Roman"/>
          <w:szCs w:val="24"/>
        </w:rPr>
        <w:t>: ANM</w:t>
      </w:r>
    </w:p>
    <w:p w14:paraId="7DEE3967" w14:textId="5AD3C540" w:rsidR="00F0254C" w:rsidRPr="00EA1BB2" w:rsidRDefault="00F0254C" w:rsidP="00F0254C">
      <w:pPr>
        <w:pStyle w:val="Caption"/>
        <w:keepNext/>
        <w:spacing w:after="0" w:line="360" w:lineRule="auto"/>
        <w:ind w:firstLine="708"/>
        <w:jc w:val="both"/>
        <w:rPr>
          <w:rFonts w:ascii="Cambria" w:hAnsi="Cambria"/>
        </w:rPr>
      </w:pPr>
      <w:bookmarkStart w:id="39" w:name="_Toc524966200"/>
      <w:r w:rsidRPr="00EA1BB2">
        <w:rPr>
          <w:rFonts w:ascii="Cambria" w:hAnsi="Cambria"/>
        </w:rPr>
        <w:lastRenderedPageBreak/>
        <w:t xml:space="preserve">Figura nr. </w:t>
      </w:r>
      <w:r w:rsidR="00280BC9" w:rsidRPr="00EA1BB2">
        <w:rPr>
          <w:rFonts w:ascii="Cambria" w:hAnsi="Cambria"/>
        </w:rPr>
        <w:fldChar w:fldCharType="begin"/>
      </w:r>
      <w:r w:rsidR="00BA6FA3" w:rsidRPr="00EA1BB2">
        <w:rPr>
          <w:rFonts w:ascii="Cambria" w:hAnsi="Cambria"/>
        </w:rPr>
        <w:instrText xml:space="preserve"> STYLEREF 1 \s </w:instrText>
      </w:r>
      <w:r w:rsidR="00280BC9" w:rsidRPr="00EA1BB2">
        <w:rPr>
          <w:rFonts w:ascii="Cambria" w:hAnsi="Cambria"/>
        </w:rPr>
        <w:fldChar w:fldCharType="separate"/>
      </w:r>
      <w:r w:rsidR="00567555">
        <w:rPr>
          <w:rFonts w:ascii="Cambria" w:hAnsi="Cambria"/>
          <w:noProof/>
        </w:rPr>
        <w:t>2</w:t>
      </w:r>
      <w:r w:rsidR="00280BC9" w:rsidRPr="00EA1BB2">
        <w:rPr>
          <w:rFonts w:ascii="Cambria" w:hAnsi="Cambria"/>
        </w:rPr>
        <w:fldChar w:fldCharType="end"/>
      </w:r>
      <w:r w:rsidR="00BA6FA3" w:rsidRPr="00EA1BB2">
        <w:rPr>
          <w:rFonts w:ascii="Cambria" w:hAnsi="Cambria"/>
        </w:rPr>
        <w:noBreakHyphen/>
      </w:r>
      <w:r w:rsidR="00280BC9" w:rsidRPr="00EA1BB2">
        <w:rPr>
          <w:rFonts w:ascii="Cambria" w:hAnsi="Cambria"/>
        </w:rPr>
        <w:fldChar w:fldCharType="begin"/>
      </w:r>
      <w:r w:rsidR="00BA6FA3" w:rsidRPr="00EA1BB2">
        <w:rPr>
          <w:rFonts w:ascii="Cambria" w:hAnsi="Cambria"/>
        </w:rPr>
        <w:instrText xml:space="preserve"> SEQ Figura_nr. \* ARABIC \s 1 </w:instrText>
      </w:r>
      <w:r w:rsidR="00280BC9" w:rsidRPr="00EA1BB2">
        <w:rPr>
          <w:rFonts w:ascii="Cambria" w:hAnsi="Cambria"/>
        </w:rPr>
        <w:fldChar w:fldCharType="separate"/>
      </w:r>
      <w:r w:rsidR="00567555">
        <w:rPr>
          <w:rFonts w:ascii="Cambria" w:hAnsi="Cambria"/>
          <w:noProof/>
        </w:rPr>
        <w:t>7</w:t>
      </w:r>
      <w:r w:rsidR="00280BC9" w:rsidRPr="00EA1BB2">
        <w:rPr>
          <w:rFonts w:ascii="Cambria" w:hAnsi="Cambria"/>
        </w:rPr>
        <w:fldChar w:fldCharType="end"/>
      </w:r>
      <w:r w:rsidRPr="00EA1BB2">
        <w:rPr>
          <w:rFonts w:ascii="Cambria" w:hAnsi="Cambria"/>
        </w:rPr>
        <w:t xml:space="preserve"> – Evolu</w:t>
      </w:r>
      <w:r w:rsidR="00054880" w:rsidRPr="00EA1BB2">
        <w:rPr>
          <w:rFonts w:ascii="Cambria" w:hAnsi="Cambria"/>
        </w:rPr>
        <w:t>ț</w:t>
      </w:r>
      <w:r w:rsidRPr="00EA1BB2">
        <w:rPr>
          <w:rFonts w:ascii="Cambria" w:hAnsi="Cambria"/>
        </w:rPr>
        <w:t>ia cantită</w:t>
      </w:r>
      <w:r w:rsidR="00054880" w:rsidRPr="00EA1BB2">
        <w:rPr>
          <w:rFonts w:ascii="Cambria" w:hAnsi="Cambria"/>
        </w:rPr>
        <w:t>ț</w:t>
      </w:r>
      <w:r w:rsidRPr="00EA1BB2">
        <w:rPr>
          <w:rFonts w:ascii="Cambria" w:hAnsi="Cambria"/>
        </w:rPr>
        <w:t>ii lunare de precipita</w:t>
      </w:r>
      <w:r w:rsidR="00054880" w:rsidRPr="00EA1BB2">
        <w:rPr>
          <w:rFonts w:ascii="Cambria" w:hAnsi="Cambria"/>
        </w:rPr>
        <w:t>ț</w:t>
      </w:r>
      <w:r w:rsidRPr="00EA1BB2">
        <w:rPr>
          <w:rFonts w:ascii="Cambria" w:hAnsi="Cambria"/>
        </w:rPr>
        <w:t>ii (mm) în perioada 2012-2016 înregistrate la sta</w:t>
      </w:r>
      <w:r w:rsidR="00054880" w:rsidRPr="00EA1BB2">
        <w:rPr>
          <w:rFonts w:ascii="Cambria" w:hAnsi="Cambria"/>
        </w:rPr>
        <w:t>ț</w:t>
      </w:r>
      <w:r w:rsidRPr="00EA1BB2">
        <w:rPr>
          <w:rFonts w:ascii="Cambria" w:hAnsi="Cambria"/>
        </w:rPr>
        <w:t>ia meteorologică Brăila</w:t>
      </w:r>
      <w:bookmarkEnd w:id="39"/>
    </w:p>
    <w:p w14:paraId="371D1E8D" w14:textId="77777777" w:rsidR="00F0254C" w:rsidRPr="00EA1BB2" w:rsidRDefault="00F0254C" w:rsidP="00F0254C">
      <w:pPr>
        <w:spacing w:line="276" w:lineRule="auto"/>
        <w:jc w:val="both"/>
        <w:rPr>
          <w:rFonts w:ascii="Cambria" w:eastAsia="Times New Roman" w:hAnsi="Cambria" w:cs="Times New Roman"/>
          <w:sz w:val="24"/>
          <w:szCs w:val="24"/>
        </w:rPr>
      </w:pPr>
      <w:r w:rsidRPr="00EA1BB2">
        <w:rPr>
          <w:rFonts w:ascii="Cambria" w:eastAsia="Times New Roman" w:hAnsi="Cambria" w:cs="Times New Roman"/>
          <w:noProof/>
          <w:sz w:val="24"/>
          <w:szCs w:val="24"/>
          <w:lang w:val="en-US"/>
        </w:rPr>
        <w:drawing>
          <wp:inline distT="0" distB="0" distL="0" distR="0" wp14:anchorId="234BC984" wp14:editId="2D7E994E">
            <wp:extent cx="5695950" cy="2886075"/>
            <wp:effectExtent l="0" t="0" r="0" b="9525"/>
            <wp:docPr id="117" name="Chart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329E40E" w14:textId="77777777" w:rsidR="00F0254C" w:rsidRPr="00EA1BB2" w:rsidRDefault="00F0254C" w:rsidP="00E4631C">
      <w:pPr>
        <w:spacing w:line="360" w:lineRule="auto"/>
        <w:ind w:firstLine="720"/>
        <w:jc w:val="both"/>
        <w:rPr>
          <w:rFonts w:ascii="Cambria" w:eastAsia="Times New Roman" w:hAnsi="Cambria" w:cs="Times New Roman"/>
          <w:sz w:val="24"/>
          <w:szCs w:val="24"/>
        </w:rPr>
      </w:pPr>
    </w:p>
    <w:p w14:paraId="291EEF50" w14:textId="77777777" w:rsidR="00F0254C" w:rsidRPr="00EA1BB2" w:rsidRDefault="00F0254C" w:rsidP="00F0254C">
      <w:pPr>
        <w:spacing w:line="360" w:lineRule="auto"/>
        <w:ind w:firstLine="720"/>
        <w:jc w:val="both"/>
        <w:rPr>
          <w:rFonts w:ascii="Cambria" w:eastAsia="Times New Roman" w:hAnsi="Cambria" w:cs="Times New Roman"/>
          <w:sz w:val="24"/>
          <w:szCs w:val="24"/>
        </w:rPr>
      </w:pPr>
      <w:r w:rsidRPr="00EA1BB2">
        <w:rPr>
          <w:rFonts w:ascii="Cambria" w:eastAsia="Times New Roman" w:hAnsi="Cambria" w:cs="Times New Roman"/>
          <w:sz w:val="24"/>
          <w:szCs w:val="24"/>
        </w:rPr>
        <w:t>În partea de sud a jude</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ului (Câmpia Călmă</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uiului) cantitatea de precipita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 se apropie de 500mm/an, iar în Câmpia Brăilei acestea variază între 400-490 mm/an. Cele mai mici cantită</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 de precipita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 (sub 400 mm/an) se înregistrează în Balta Brăilei. În semestrul cald cad peste 60% din cantitatea de precipita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 anuale. Din cantitatea de precipita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 care cade în semestrul rece, o bună parte este sub formă de zăpadă. Se apreciază că în cadrul Câmpiei Brăilei, cantitatea de apă rezultată din zăpadă este de circa 100 mm/an, reprezentând 20-23% din totalul anual al precipita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iilor. </w:t>
      </w:r>
    </w:p>
    <w:p w14:paraId="22CF9E37" w14:textId="77777777" w:rsidR="00F0254C" w:rsidRPr="00EA1BB2" w:rsidRDefault="00F0254C" w:rsidP="00F0254C">
      <w:pPr>
        <w:spacing w:line="360" w:lineRule="auto"/>
        <w:ind w:firstLine="720"/>
        <w:jc w:val="both"/>
        <w:rPr>
          <w:rFonts w:ascii="Cambria" w:eastAsia="Times New Roman" w:hAnsi="Cambria" w:cs="Times New Roman"/>
          <w:sz w:val="24"/>
          <w:szCs w:val="24"/>
        </w:rPr>
      </w:pPr>
      <w:r w:rsidRPr="00EA1BB2">
        <w:rPr>
          <w:rFonts w:ascii="Cambria" w:eastAsia="Times New Roman" w:hAnsi="Cambria" w:cs="Times New Roman"/>
          <w:sz w:val="24"/>
          <w:szCs w:val="24"/>
        </w:rPr>
        <w:t xml:space="preserve">Stratul de zăpadă nu este continuu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 xml:space="preserve">i de lungă durată ca în alte regiuni ale </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ării. Din observa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iile făcute la sta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iile climatice rezultă că stratul de zăpadă persistă, în medie, 40 de zile în câmpie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 xml:space="preserve">i 30 de zile în Balta Brăilei. Numărul zilelor cu ninsoare este în medie, între 15-20 în câmpie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10-15 în Balta Brăilei.</w:t>
      </w:r>
    </w:p>
    <w:p w14:paraId="11F568C5" w14:textId="77777777" w:rsidR="00F0254C" w:rsidRPr="00EA1BB2" w:rsidRDefault="00F0254C" w:rsidP="00E4631C">
      <w:pPr>
        <w:spacing w:line="360" w:lineRule="auto"/>
        <w:ind w:firstLine="720"/>
        <w:jc w:val="both"/>
        <w:rPr>
          <w:rFonts w:ascii="Cambria" w:eastAsia="Times New Roman" w:hAnsi="Cambria" w:cs="Times New Roman"/>
          <w:sz w:val="24"/>
          <w:szCs w:val="24"/>
        </w:rPr>
      </w:pPr>
      <w:r w:rsidRPr="00EA1BB2">
        <w:rPr>
          <w:rFonts w:ascii="Cambria" w:eastAsia="Times New Roman" w:hAnsi="Cambria" w:cs="Times New Roman"/>
          <w:sz w:val="24"/>
          <w:szCs w:val="24"/>
        </w:rPr>
        <w:t xml:space="preserve">Pământul este acoperit de zăpadă în medie, 40 de zile la câmpie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30 de zile în Balta Brăilei, iar stratul de zăpadă are o grosime de cel mult 10 cm. Datorită uniformită</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ii reliefului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 xml:space="preserve">i a vântului puternic de nord-est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 xml:space="preserve">i nord, în timpul iernii zăpada este spulberată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troienită în jurul localită</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ilor sau a altor obstacole.</w:t>
      </w:r>
    </w:p>
    <w:p w14:paraId="0EC0F74E" w14:textId="77777777" w:rsidR="00E4631C" w:rsidRPr="00EA1BB2" w:rsidRDefault="00E4631C" w:rsidP="00E4631C">
      <w:pPr>
        <w:spacing w:line="360" w:lineRule="auto"/>
        <w:ind w:firstLine="720"/>
        <w:jc w:val="both"/>
        <w:rPr>
          <w:rFonts w:ascii="Cambria" w:eastAsia="Times New Roman" w:hAnsi="Cambria" w:cs="Times New Roman"/>
          <w:sz w:val="24"/>
          <w:szCs w:val="24"/>
        </w:rPr>
      </w:pPr>
    </w:p>
    <w:p w14:paraId="1BDC257C" w14:textId="77777777" w:rsidR="005C483D" w:rsidRPr="00EA1BB2" w:rsidRDefault="006008AA" w:rsidP="00C83C04">
      <w:pPr>
        <w:pStyle w:val="Heading2"/>
        <w:numPr>
          <w:ilvl w:val="1"/>
          <w:numId w:val="1"/>
        </w:numPr>
        <w:spacing w:before="0"/>
        <w:ind w:hanging="219"/>
        <w:jc w:val="both"/>
        <w:rPr>
          <w:rFonts w:ascii="Cambria" w:hAnsi="Cambria" w:cs="Times New Roman"/>
          <w:color w:val="0070C0"/>
          <w:szCs w:val="24"/>
        </w:rPr>
      </w:pPr>
      <w:bookmarkStart w:id="40" w:name="_Toc526889699"/>
      <w:r w:rsidRPr="00EA1BB2">
        <w:rPr>
          <w:rFonts w:ascii="Cambria" w:hAnsi="Cambria" w:cs="Times New Roman"/>
          <w:color w:val="0070C0"/>
          <w:szCs w:val="24"/>
        </w:rPr>
        <w:lastRenderedPageBreak/>
        <w:t>D</w:t>
      </w:r>
      <w:r w:rsidR="00C00FD9" w:rsidRPr="00EA1BB2">
        <w:rPr>
          <w:rFonts w:ascii="Cambria" w:hAnsi="Cambria" w:cs="Times New Roman"/>
          <w:color w:val="0070C0"/>
          <w:szCs w:val="24"/>
        </w:rPr>
        <w:t>ate relevante privind topografia</w:t>
      </w:r>
      <w:bookmarkEnd w:id="40"/>
    </w:p>
    <w:p w14:paraId="6796B7B9" w14:textId="0C5E639A" w:rsidR="000D0C17" w:rsidRPr="00EA1BB2" w:rsidRDefault="000D0C17" w:rsidP="00E859EF">
      <w:pPr>
        <w:pStyle w:val="ListParagraph"/>
        <w:keepNext/>
        <w:keepLines/>
        <w:numPr>
          <w:ilvl w:val="2"/>
          <w:numId w:val="1"/>
        </w:numPr>
        <w:spacing w:after="0" w:line="360" w:lineRule="auto"/>
        <w:ind w:left="1276" w:hanging="567"/>
        <w:jc w:val="both"/>
        <w:outlineLvl w:val="2"/>
        <w:rPr>
          <w:rFonts w:ascii="Cambria" w:eastAsia="Times New Roman" w:hAnsi="Cambria" w:cs="Times New Roman"/>
          <w:b/>
          <w:color w:val="0070C0"/>
          <w:sz w:val="24"/>
          <w:szCs w:val="24"/>
          <w:lang w:val="ro-RO"/>
        </w:rPr>
      </w:pPr>
      <w:bookmarkStart w:id="41" w:name="_Toc526889700"/>
      <w:r w:rsidRPr="00EA1BB2">
        <w:rPr>
          <w:rFonts w:ascii="Cambria" w:eastAsia="Times New Roman" w:hAnsi="Cambria" w:cs="Times New Roman"/>
          <w:b/>
          <w:color w:val="0070C0"/>
          <w:sz w:val="24"/>
          <w:szCs w:val="24"/>
          <w:lang w:val="ro-RO"/>
        </w:rPr>
        <w:t>Relieful</w:t>
      </w:r>
      <w:bookmarkEnd w:id="41"/>
    </w:p>
    <w:p w14:paraId="1C131E75" w14:textId="77777777" w:rsidR="00D54355" w:rsidRPr="00EA1BB2" w:rsidRDefault="00D54355" w:rsidP="00D54355">
      <w:pPr>
        <w:spacing w:line="360" w:lineRule="auto"/>
        <w:ind w:firstLine="708"/>
        <w:jc w:val="both"/>
        <w:rPr>
          <w:rFonts w:ascii="Cambria" w:hAnsi="Cambria" w:cs="Times New Roman"/>
          <w:sz w:val="24"/>
          <w:szCs w:val="24"/>
        </w:rPr>
      </w:pPr>
      <w:r w:rsidRPr="00EA1BB2">
        <w:rPr>
          <w:rFonts w:ascii="Cambria" w:hAnsi="Cambria" w:cs="Times New Roman"/>
          <w:sz w:val="24"/>
          <w:szCs w:val="24"/>
        </w:rPr>
        <w:t xml:space="preserve">Fiind situat în câmpie, relieful este în general uniform cu aspectul unui </w:t>
      </w:r>
      <w:r w:rsidR="00054880" w:rsidRPr="00EA1BB2">
        <w:rPr>
          <w:rFonts w:ascii="Cambria" w:hAnsi="Cambria" w:cs="Times New Roman"/>
          <w:sz w:val="24"/>
          <w:szCs w:val="24"/>
        </w:rPr>
        <w:t>ș</w:t>
      </w:r>
      <w:r w:rsidR="00A445B5" w:rsidRPr="00EA1BB2">
        <w:rPr>
          <w:rFonts w:ascii="Cambria" w:hAnsi="Cambria" w:cs="Times New Roman"/>
          <w:sz w:val="24"/>
          <w:szCs w:val="24"/>
        </w:rPr>
        <w:t>es</w:t>
      </w:r>
      <w:r w:rsidRPr="00EA1BB2">
        <w:rPr>
          <w:rFonts w:ascii="Cambria" w:hAnsi="Cambria" w:cs="Times New Roman"/>
          <w:sz w:val="24"/>
          <w:szCs w:val="24"/>
        </w:rPr>
        <w:t>, cu altitudini ce nu depă</w:t>
      </w:r>
      <w:r w:rsidR="00054880" w:rsidRPr="00EA1BB2">
        <w:rPr>
          <w:rFonts w:ascii="Cambria" w:hAnsi="Cambria" w:cs="Times New Roman"/>
          <w:sz w:val="24"/>
          <w:szCs w:val="24"/>
        </w:rPr>
        <w:t>ș</w:t>
      </w:r>
      <w:r w:rsidRPr="00EA1BB2">
        <w:rPr>
          <w:rFonts w:ascii="Cambria" w:hAnsi="Cambria" w:cs="Times New Roman"/>
          <w:sz w:val="24"/>
          <w:szCs w:val="24"/>
        </w:rPr>
        <w:t>esc 5</w:t>
      </w:r>
      <w:r w:rsidR="00B803C1" w:rsidRPr="00EA1BB2">
        <w:rPr>
          <w:rFonts w:ascii="Cambria" w:hAnsi="Cambria" w:cs="Times New Roman"/>
          <w:sz w:val="24"/>
          <w:szCs w:val="24"/>
        </w:rPr>
        <w:t>1</w:t>
      </w:r>
      <w:r w:rsidRPr="00EA1BB2">
        <w:rPr>
          <w:rFonts w:ascii="Cambria" w:hAnsi="Cambria" w:cs="Times New Roman"/>
          <w:sz w:val="24"/>
          <w:szCs w:val="24"/>
        </w:rPr>
        <w:t xml:space="preserve">m, peisajul fiind monoton </w:t>
      </w:r>
      <w:r w:rsidR="00054880" w:rsidRPr="00EA1BB2">
        <w:rPr>
          <w:rFonts w:ascii="Cambria" w:hAnsi="Cambria" w:cs="Times New Roman"/>
          <w:sz w:val="24"/>
          <w:szCs w:val="24"/>
        </w:rPr>
        <w:t>ș</w:t>
      </w:r>
      <w:r w:rsidRPr="00EA1BB2">
        <w:rPr>
          <w:rFonts w:ascii="Cambria" w:hAnsi="Cambria" w:cs="Times New Roman"/>
          <w:sz w:val="24"/>
          <w:szCs w:val="24"/>
        </w:rPr>
        <w:t xml:space="preserve">i fără bariere naturale, singurele accidente de teren fiind apele curgătoare, crovurile </w:t>
      </w:r>
      <w:r w:rsidR="00054880" w:rsidRPr="00EA1BB2">
        <w:rPr>
          <w:rFonts w:ascii="Cambria" w:hAnsi="Cambria" w:cs="Times New Roman"/>
          <w:sz w:val="24"/>
          <w:szCs w:val="24"/>
        </w:rPr>
        <w:t>ș</w:t>
      </w:r>
      <w:r w:rsidRPr="00EA1BB2">
        <w:rPr>
          <w:rFonts w:ascii="Cambria" w:hAnsi="Cambria" w:cs="Times New Roman"/>
          <w:sz w:val="24"/>
          <w:szCs w:val="24"/>
        </w:rPr>
        <w:t>i depresiunile lacustre.</w:t>
      </w:r>
    </w:p>
    <w:p w14:paraId="248437B6" w14:textId="77777777" w:rsidR="00F45192" w:rsidRPr="00EA1BB2" w:rsidRDefault="00F45192" w:rsidP="00D54355">
      <w:pPr>
        <w:spacing w:line="360" w:lineRule="auto"/>
        <w:ind w:firstLine="708"/>
        <w:jc w:val="both"/>
        <w:rPr>
          <w:rFonts w:ascii="Cambria" w:hAnsi="Cambria" w:cs="Times New Roman"/>
          <w:sz w:val="24"/>
          <w:szCs w:val="24"/>
        </w:rPr>
      </w:pPr>
    </w:p>
    <w:p w14:paraId="7F5A0659" w14:textId="16B6C156" w:rsidR="00085C68" w:rsidRPr="00EA1BB2" w:rsidRDefault="00085C68" w:rsidP="00CE2576">
      <w:pPr>
        <w:pStyle w:val="Caption"/>
        <w:keepNext/>
        <w:spacing w:after="0" w:line="360" w:lineRule="auto"/>
        <w:ind w:firstLine="709"/>
        <w:rPr>
          <w:rFonts w:ascii="Cambria" w:hAnsi="Cambria"/>
          <w:szCs w:val="24"/>
        </w:rPr>
      </w:pPr>
      <w:bookmarkStart w:id="42" w:name="_Toc524966201"/>
      <w:r w:rsidRPr="00EA1BB2">
        <w:rPr>
          <w:rFonts w:ascii="Cambria" w:hAnsi="Cambria"/>
          <w:szCs w:val="24"/>
        </w:rPr>
        <w:t xml:space="preserve">Figura nr. </w:t>
      </w:r>
      <w:r w:rsidR="00280BC9" w:rsidRPr="00EA1BB2">
        <w:rPr>
          <w:rFonts w:ascii="Cambria" w:hAnsi="Cambria"/>
          <w:szCs w:val="24"/>
        </w:rPr>
        <w:fldChar w:fldCharType="begin"/>
      </w:r>
      <w:r w:rsidR="00BA6FA3" w:rsidRPr="00EA1BB2">
        <w:rPr>
          <w:rFonts w:ascii="Cambria" w:hAnsi="Cambria"/>
          <w:szCs w:val="24"/>
        </w:rPr>
        <w:instrText xml:space="preserve"> STYLEREF 1 \s </w:instrText>
      </w:r>
      <w:r w:rsidR="00280BC9" w:rsidRPr="00EA1BB2">
        <w:rPr>
          <w:rFonts w:ascii="Cambria" w:hAnsi="Cambria"/>
          <w:szCs w:val="24"/>
        </w:rPr>
        <w:fldChar w:fldCharType="separate"/>
      </w:r>
      <w:r w:rsidR="00567555">
        <w:rPr>
          <w:rFonts w:ascii="Cambria" w:hAnsi="Cambria"/>
          <w:noProof/>
          <w:szCs w:val="24"/>
        </w:rPr>
        <w:t>2</w:t>
      </w:r>
      <w:r w:rsidR="00280BC9" w:rsidRPr="00EA1BB2">
        <w:rPr>
          <w:rFonts w:ascii="Cambria" w:hAnsi="Cambria"/>
          <w:szCs w:val="24"/>
        </w:rPr>
        <w:fldChar w:fldCharType="end"/>
      </w:r>
      <w:r w:rsidR="00BA6FA3" w:rsidRPr="00EA1BB2">
        <w:rPr>
          <w:rFonts w:ascii="Cambria" w:hAnsi="Cambria"/>
          <w:szCs w:val="24"/>
        </w:rPr>
        <w:noBreakHyphen/>
      </w:r>
      <w:r w:rsidR="00280BC9" w:rsidRPr="00EA1BB2">
        <w:rPr>
          <w:rFonts w:ascii="Cambria" w:hAnsi="Cambria"/>
          <w:szCs w:val="24"/>
        </w:rPr>
        <w:fldChar w:fldCharType="begin"/>
      </w:r>
      <w:r w:rsidR="00BA6FA3" w:rsidRPr="00EA1BB2">
        <w:rPr>
          <w:rFonts w:ascii="Cambria" w:hAnsi="Cambria"/>
          <w:szCs w:val="24"/>
        </w:rPr>
        <w:instrText xml:space="preserve"> SEQ Figura_nr. \* ARABIC \s 1 </w:instrText>
      </w:r>
      <w:r w:rsidR="00280BC9" w:rsidRPr="00EA1BB2">
        <w:rPr>
          <w:rFonts w:ascii="Cambria" w:hAnsi="Cambria"/>
          <w:szCs w:val="24"/>
        </w:rPr>
        <w:fldChar w:fldCharType="separate"/>
      </w:r>
      <w:r w:rsidR="00567555">
        <w:rPr>
          <w:rFonts w:ascii="Cambria" w:hAnsi="Cambria"/>
          <w:noProof/>
          <w:szCs w:val="24"/>
        </w:rPr>
        <w:t>8</w:t>
      </w:r>
      <w:r w:rsidR="00280BC9" w:rsidRPr="00EA1BB2">
        <w:rPr>
          <w:rFonts w:ascii="Cambria" w:hAnsi="Cambria"/>
          <w:szCs w:val="24"/>
        </w:rPr>
        <w:fldChar w:fldCharType="end"/>
      </w:r>
      <w:r w:rsidRPr="00EA1BB2">
        <w:rPr>
          <w:rFonts w:ascii="Cambria" w:hAnsi="Cambria"/>
          <w:szCs w:val="24"/>
        </w:rPr>
        <w:t xml:space="preserve"> – Județul Brăila - topografia</w:t>
      </w:r>
      <w:bookmarkEnd w:id="42"/>
    </w:p>
    <w:p w14:paraId="3BB27E3E" w14:textId="77777777" w:rsidR="00085C68" w:rsidRPr="00EA1BB2" w:rsidRDefault="00085C68" w:rsidP="00085C68">
      <w:pPr>
        <w:spacing w:line="360" w:lineRule="auto"/>
        <w:jc w:val="both"/>
        <w:rPr>
          <w:rFonts w:ascii="Cambria" w:hAnsi="Cambria" w:cs="Times New Roman"/>
          <w:sz w:val="24"/>
          <w:szCs w:val="24"/>
        </w:rPr>
      </w:pPr>
      <w:r w:rsidRPr="00EA1BB2">
        <w:rPr>
          <w:rFonts w:ascii="Cambria" w:hAnsi="Cambria" w:cs="Times New Roman"/>
          <w:noProof/>
          <w:sz w:val="24"/>
          <w:szCs w:val="24"/>
          <w:lang w:val="en-US"/>
        </w:rPr>
        <w:drawing>
          <wp:inline distT="0" distB="0" distL="0" distR="0" wp14:anchorId="6CCC22B2" wp14:editId="6E5BECF0">
            <wp:extent cx="5760000" cy="4073874"/>
            <wp:effectExtent l="19050" t="19050" r="12700" b="222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2.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60000" cy="4073874"/>
                    </a:xfrm>
                    <a:prstGeom prst="rect">
                      <a:avLst/>
                    </a:prstGeom>
                    <a:ln>
                      <a:solidFill>
                        <a:sysClr val="window" lastClr="FFFFFF">
                          <a:lumMod val="85000"/>
                        </a:sysClr>
                      </a:solidFill>
                    </a:ln>
                  </pic:spPr>
                </pic:pic>
              </a:graphicData>
            </a:graphic>
          </wp:inline>
        </w:drawing>
      </w:r>
    </w:p>
    <w:p w14:paraId="49A1D861" w14:textId="77777777" w:rsidR="00085C68" w:rsidRPr="00EA1BB2" w:rsidRDefault="00085C68" w:rsidP="00D54355">
      <w:pPr>
        <w:spacing w:line="360" w:lineRule="auto"/>
        <w:ind w:firstLine="708"/>
        <w:jc w:val="both"/>
        <w:rPr>
          <w:rFonts w:ascii="Cambria" w:hAnsi="Cambria" w:cs="Times New Roman"/>
          <w:sz w:val="24"/>
          <w:szCs w:val="24"/>
        </w:rPr>
      </w:pPr>
    </w:p>
    <w:p w14:paraId="60F6E27E" w14:textId="720B5A1D" w:rsidR="00D54355" w:rsidRPr="00EA1BB2" w:rsidRDefault="00D54355" w:rsidP="00D54355">
      <w:pPr>
        <w:spacing w:line="360" w:lineRule="auto"/>
        <w:ind w:firstLine="708"/>
        <w:jc w:val="both"/>
        <w:rPr>
          <w:rFonts w:ascii="Cambria" w:hAnsi="Cambria" w:cs="Times New Roman"/>
          <w:sz w:val="24"/>
          <w:szCs w:val="24"/>
        </w:rPr>
      </w:pPr>
      <w:r w:rsidRPr="00EA1BB2">
        <w:rPr>
          <w:rFonts w:ascii="Cambria" w:hAnsi="Cambria" w:cs="Times New Roman"/>
          <w:sz w:val="24"/>
          <w:szCs w:val="24"/>
        </w:rPr>
        <w:t>Relieful este reprezentat în propor</w:t>
      </w:r>
      <w:r w:rsidR="00054880" w:rsidRPr="00EA1BB2">
        <w:rPr>
          <w:rFonts w:ascii="Cambria" w:hAnsi="Cambria" w:cs="Times New Roman"/>
          <w:sz w:val="24"/>
          <w:szCs w:val="24"/>
        </w:rPr>
        <w:t>ț</w:t>
      </w:r>
      <w:r w:rsidRPr="00EA1BB2">
        <w:rPr>
          <w:rFonts w:ascii="Cambria" w:hAnsi="Cambria" w:cs="Times New Roman"/>
          <w:sz w:val="24"/>
          <w:szCs w:val="24"/>
        </w:rPr>
        <w:t>ie de 58% printr-o câmpie tabular</w:t>
      </w:r>
      <w:r w:rsidR="00F45192" w:rsidRPr="00EA1BB2">
        <w:rPr>
          <w:rFonts w:ascii="Cambria" w:hAnsi="Cambria" w:cs="Times New Roman"/>
          <w:sz w:val="24"/>
          <w:szCs w:val="24"/>
        </w:rPr>
        <w:t>ă</w:t>
      </w:r>
      <w:r w:rsidRPr="00EA1BB2">
        <w:rPr>
          <w:rFonts w:ascii="Cambria" w:hAnsi="Cambria" w:cs="Times New Roman"/>
          <w:sz w:val="24"/>
          <w:szCs w:val="24"/>
        </w:rPr>
        <w:t>, de tip Bărăgan, care apar</w:t>
      </w:r>
      <w:r w:rsidR="00054880" w:rsidRPr="00EA1BB2">
        <w:rPr>
          <w:rFonts w:ascii="Cambria" w:hAnsi="Cambria" w:cs="Times New Roman"/>
          <w:sz w:val="24"/>
          <w:szCs w:val="24"/>
        </w:rPr>
        <w:t>ț</w:t>
      </w:r>
      <w:r w:rsidRPr="00EA1BB2">
        <w:rPr>
          <w:rFonts w:ascii="Cambria" w:hAnsi="Cambria" w:cs="Times New Roman"/>
          <w:sz w:val="24"/>
          <w:szCs w:val="24"/>
        </w:rPr>
        <w:t>ine par</w:t>
      </w:r>
      <w:r w:rsidR="00054880" w:rsidRPr="00EA1BB2">
        <w:rPr>
          <w:rFonts w:ascii="Cambria" w:hAnsi="Cambria" w:cs="Times New Roman"/>
          <w:sz w:val="24"/>
          <w:szCs w:val="24"/>
        </w:rPr>
        <w:t>ț</w:t>
      </w:r>
      <w:r w:rsidRPr="00EA1BB2">
        <w:rPr>
          <w:rFonts w:ascii="Cambria" w:hAnsi="Cambria" w:cs="Times New Roman"/>
          <w:sz w:val="24"/>
          <w:szCs w:val="24"/>
        </w:rPr>
        <w:t>ii de NE a Câmpiei Române, iar 42% din suprafa</w:t>
      </w:r>
      <w:r w:rsidR="00054880" w:rsidRPr="00EA1BB2">
        <w:rPr>
          <w:rFonts w:ascii="Cambria" w:hAnsi="Cambria" w:cs="Times New Roman"/>
          <w:sz w:val="24"/>
          <w:szCs w:val="24"/>
        </w:rPr>
        <w:t>ț</w:t>
      </w:r>
      <w:r w:rsidRPr="00EA1BB2">
        <w:rPr>
          <w:rFonts w:ascii="Cambria" w:hAnsi="Cambria" w:cs="Times New Roman"/>
          <w:sz w:val="24"/>
          <w:szCs w:val="24"/>
        </w:rPr>
        <w:t>a jude</w:t>
      </w:r>
      <w:r w:rsidR="00054880" w:rsidRPr="00EA1BB2">
        <w:rPr>
          <w:rFonts w:ascii="Cambria" w:hAnsi="Cambria" w:cs="Times New Roman"/>
          <w:sz w:val="24"/>
          <w:szCs w:val="24"/>
        </w:rPr>
        <w:t>ț</w:t>
      </w:r>
      <w:r w:rsidRPr="00EA1BB2">
        <w:rPr>
          <w:rFonts w:ascii="Cambria" w:hAnsi="Cambria" w:cs="Times New Roman"/>
          <w:sz w:val="24"/>
          <w:szCs w:val="24"/>
        </w:rPr>
        <w:t xml:space="preserve">ului este ocupată de luncile Dunării, Siretului, Buzăului </w:t>
      </w:r>
      <w:r w:rsidR="00054880" w:rsidRPr="00EA1BB2">
        <w:rPr>
          <w:rFonts w:ascii="Cambria" w:hAnsi="Cambria" w:cs="Times New Roman"/>
          <w:sz w:val="24"/>
          <w:szCs w:val="24"/>
        </w:rPr>
        <w:t>ș</w:t>
      </w:r>
      <w:r w:rsidRPr="00EA1BB2">
        <w:rPr>
          <w:rFonts w:ascii="Cambria" w:hAnsi="Cambria" w:cs="Times New Roman"/>
          <w:sz w:val="24"/>
          <w:szCs w:val="24"/>
        </w:rPr>
        <w:t>i Călmă</w:t>
      </w:r>
      <w:r w:rsidR="00054880" w:rsidRPr="00EA1BB2">
        <w:rPr>
          <w:rFonts w:ascii="Cambria" w:hAnsi="Cambria" w:cs="Times New Roman"/>
          <w:sz w:val="24"/>
          <w:szCs w:val="24"/>
        </w:rPr>
        <w:t>ț</w:t>
      </w:r>
      <w:r w:rsidRPr="00EA1BB2">
        <w:rPr>
          <w:rFonts w:ascii="Cambria" w:hAnsi="Cambria" w:cs="Times New Roman"/>
          <w:sz w:val="24"/>
          <w:szCs w:val="24"/>
        </w:rPr>
        <w:t>uiului, care constituie subunită</w:t>
      </w:r>
      <w:r w:rsidR="00054880" w:rsidRPr="00EA1BB2">
        <w:rPr>
          <w:rFonts w:ascii="Cambria" w:hAnsi="Cambria" w:cs="Times New Roman"/>
          <w:sz w:val="24"/>
          <w:szCs w:val="24"/>
        </w:rPr>
        <w:t>ț</w:t>
      </w:r>
      <w:r w:rsidRPr="00EA1BB2">
        <w:rPr>
          <w:rFonts w:ascii="Cambria" w:hAnsi="Cambria" w:cs="Times New Roman"/>
          <w:sz w:val="24"/>
          <w:szCs w:val="24"/>
        </w:rPr>
        <w:t>i distincte în cadrul câmpiei. Cea mai mare parte din suprafa</w:t>
      </w:r>
      <w:r w:rsidR="00054880" w:rsidRPr="00EA1BB2">
        <w:rPr>
          <w:rFonts w:ascii="Cambria" w:hAnsi="Cambria" w:cs="Times New Roman"/>
          <w:sz w:val="24"/>
          <w:szCs w:val="24"/>
        </w:rPr>
        <w:t>ț</w:t>
      </w:r>
      <w:r w:rsidR="00284F79" w:rsidRPr="00EA1BB2">
        <w:rPr>
          <w:rFonts w:ascii="Cambria" w:hAnsi="Cambria" w:cs="Times New Roman"/>
          <w:sz w:val="24"/>
          <w:szCs w:val="24"/>
        </w:rPr>
        <w:t>ă</w:t>
      </w:r>
      <w:r w:rsidRPr="00EA1BB2">
        <w:rPr>
          <w:rFonts w:ascii="Cambria" w:hAnsi="Cambria" w:cs="Times New Roman"/>
          <w:sz w:val="24"/>
          <w:szCs w:val="24"/>
        </w:rPr>
        <w:t xml:space="preserve"> (cu excep</w:t>
      </w:r>
      <w:r w:rsidR="00054880" w:rsidRPr="00EA1BB2">
        <w:rPr>
          <w:rFonts w:ascii="Cambria" w:hAnsi="Cambria" w:cs="Times New Roman"/>
          <w:sz w:val="24"/>
          <w:szCs w:val="24"/>
        </w:rPr>
        <w:t>ț</w:t>
      </w:r>
      <w:r w:rsidRPr="00EA1BB2">
        <w:rPr>
          <w:rFonts w:ascii="Cambria" w:hAnsi="Cambria" w:cs="Times New Roman"/>
          <w:sz w:val="24"/>
          <w:szCs w:val="24"/>
        </w:rPr>
        <w:t>ia luncii Dunării) se extinde în arealul par</w:t>
      </w:r>
      <w:r w:rsidR="00054880" w:rsidRPr="00EA1BB2">
        <w:rPr>
          <w:rFonts w:ascii="Cambria" w:hAnsi="Cambria" w:cs="Times New Roman"/>
          <w:sz w:val="24"/>
          <w:szCs w:val="24"/>
        </w:rPr>
        <w:t>ț</w:t>
      </w:r>
      <w:r w:rsidRPr="00EA1BB2">
        <w:rPr>
          <w:rFonts w:ascii="Cambria" w:hAnsi="Cambria" w:cs="Times New Roman"/>
          <w:sz w:val="24"/>
          <w:szCs w:val="24"/>
        </w:rPr>
        <w:t>ii de NE a Câmpiei Române.</w:t>
      </w:r>
    </w:p>
    <w:p w14:paraId="7A5BF322" w14:textId="77777777" w:rsidR="00D54355" w:rsidRPr="00EA1BB2" w:rsidRDefault="00D54355" w:rsidP="00D54355">
      <w:pPr>
        <w:spacing w:line="360" w:lineRule="auto"/>
        <w:ind w:firstLine="708"/>
        <w:jc w:val="both"/>
        <w:rPr>
          <w:rFonts w:ascii="Cambria" w:hAnsi="Cambria" w:cs="Times New Roman"/>
          <w:sz w:val="24"/>
          <w:szCs w:val="24"/>
        </w:rPr>
      </w:pPr>
      <w:r w:rsidRPr="00EA1BB2">
        <w:rPr>
          <w:rFonts w:ascii="Cambria" w:hAnsi="Cambria" w:cs="Times New Roman"/>
          <w:sz w:val="24"/>
          <w:szCs w:val="24"/>
        </w:rPr>
        <w:t>Cea mai mare altitudine a jude</w:t>
      </w:r>
      <w:r w:rsidR="00054880" w:rsidRPr="00EA1BB2">
        <w:rPr>
          <w:rFonts w:ascii="Cambria" w:hAnsi="Cambria" w:cs="Times New Roman"/>
          <w:sz w:val="24"/>
          <w:szCs w:val="24"/>
        </w:rPr>
        <w:t>ț</w:t>
      </w:r>
      <w:r w:rsidRPr="00EA1BB2">
        <w:rPr>
          <w:rFonts w:ascii="Cambria" w:hAnsi="Cambria" w:cs="Times New Roman"/>
          <w:sz w:val="24"/>
          <w:szCs w:val="24"/>
        </w:rPr>
        <w:t>ului se află în arealul comunei Zăvoaia (51 m), din Câmpia Călmă</w:t>
      </w:r>
      <w:r w:rsidR="00054880" w:rsidRPr="00EA1BB2">
        <w:rPr>
          <w:rFonts w:ascii="Cambria" w:hAnsi="Cambria" w:cs="Times New Roman"/>
          <w:sz w:val="24"/>
          <w:szCs w:val="24"/>
        </w:rPr>
        <w:t>ț</w:t>
      </w:r>
      <w:r w:rsidRPr="00EA1BB2">
        <w:rPr>
          <w:rFonts w:ascii="Cambria" w:hAnsi="Cambria" w:cs="Times New Roman"/>
          <w:sz w:val="24"/>
          <w:szCs w:val="24"/>
        </w:rPr>
        <w:t>ui, iar cea mai joasă (6 m) altitudine în Balta Brăilei.</w:t>
      </w:r>
    </w:p>
    <w:p w14:paraId="348B46C1" w14:textId="77777777" w:rsidR="000D0C17" w:rsidRPr="00EA1BB2" w:rsidRDefault="008C5E60" w:rsidP="00D54355">
      <w:pPr>
        <w:spacing w:line="360" w:lineRule="auto"/>
        <w:ind w:firstLine="708"/>
        <w:jc w:val="both"/>
        <w:rPr>
          <w:rFonts w:ascii="Cambria" w:hAnsi="Cambria" w:cs="Times New Roman"/>
          <w:sz w:val="24"/>
          <w:szCs w:val="24"/>
        </w:rPr>
      </w:pPr>
      <w:r w:rsidRPr="00EA1BB2">
        <w:rPr>
          <w:rFonts w:ascii="Cambria" w:hAnsi="Cambria" w:cs="Times New Roman"/>
          <w:sz w:val="24"/>
          <w:szCs w:val="24"/>
        </w:rPr>
        <w:t>Relieful de câmpie este relativ uniform, cu interfluvii netede, întinse, care formează a</w:t>
      </w:r>
      <w:r w:rsidR="00054880" w:rsidRPr="00EA1BB2">
        <w:rPr>
          <w:rFonts w:ascii="Cambria" w:hAnsi="Cambria" w:cs="Times New Roman"/>
          <w:sz w:val="24"/>
          <w:szCs w:val="24"/>
        </w:rPr>
        <w:t>ș</w:t>
      </w:r>
      <w:r w:rsidRPr="00EA1BB2">
        <w:rPr>
          <w:rFonts w:ascii="Cambria" w:hAnsi="Cambria" w:cs="Times New Roman"/>
          <w:sz w:val="24"/>
          <w:szCs w:val="24"/>
        </w:rPr>
        <w:t>a numitele câmpuri (Viziru, Ianca, Mircea Vodă, Mohreanu, Ro</w:t>
      </w:r>
      <w:r w:rsidR="00054880" w:rsidRPr="00EA1BB2">
        <w:rPr>
          <w:rFonts w:ascii="Cambria" w:hAnsi="Cambria" w:cs="Times New Roman"/>
          <w:sz w:val="24"/>
          <w:szCs w:val="24"/>
        </w:rPr>
        <w:t>ș</w:t>
      </w:r>
      <w:r w:rsidRPr="00EA1BB2">
        <w:rPr>
          <w:rFonts w:ascii="Cambria" w:hAnsi="Cambria" w:cs="Times New Roman"/>
          <w:sz w:val="24"/>
          <w:szCs w:val="24"/>
        </w:rPr>
        <w:t>iori), acoperite în mare parte cu depozite loessoide.</w:t>
      </w:r>
    </w:p>
    <w:p w14:paraId="5E262710" w14:textId="42EA4447" w:rsidR="003271D2" w:rsidRPr="00EA1BB2" w:rsidRDefault="003271D2" w:rsidP="00CE2576">
      <w:pPr>
        <w:pStyle w:val="Caption"/>
        <w:keepNext/>
        <w:spacing w:after="0" w:line="360" w:lineRule="auto"/>
        <w:ind w:firstLine="709"/>
        <w:rPr>
          <w:rFonts w:ascii="Cambria" w:hAnsi="Cambria"/>
          <w:szCs w:val="24"/>
        </w:rPr>
      </w:pPr>
      <w:bookmarkStart w:id="43" w:name="_Toc524966202"/>
      <w:r w:rsidRPr="00EA1BB2">
        <w:rPr>
          <w:rFonts w:ascii="Cambria" w:hAnsi="Cambria"/>
          <w:szCs w:val="24"/>
        </w:rPr>
        <w:lastRenderedPageBreak/>
        <w:t xml:space="preserve">Figura nr. </w:t>
      </w:r>
      <w:r w:rsidR="00280BC9" w:rsidRPr="00EA1BB2">
        <w:rPr>
          <w:rFonts w:ascii="Cambria" w:hAnsi="Cambria"/>
          <w:szCs w:val="24"/>
        </w:rPr>
        <w:fldChar w:fldCharType="begin"/>
      </w:r>
      <w:r w:rsidR="00BA6FA3" w:rsidRPr="00EA1BB2">
        <w:rPr>
          <w:rFonts w:ascii="Cambria" w:hAnsi="Cambria"/>
          <w:szCs w:val="24"/>
        </w:rPr>
        <w:instrText xml:space="preserve"> STYLEREF 1 \s </w:instrText>
      </w:r>
      <w:r w:rsidR="00280BC9" w:rsidRPr="00EA1BB2">
        <w:rPr>
          <w:rFonts w:ascii="Cambria" w:hAnsi="Cambria"/>
          <w:szCs w:val="24"/>
        </w:rPr>
        <w:fldChar w:fldCharType="separate"/>
      </w:r>
      <w:r w:rsidR="00567555">
        <w:rPr>
          <w:rFonts w:ascii="Cambria" w:hAnsi="Cambria"/>
          <w:noProof/>
          <w:szCs w:val="24"/>
        </w:rPr>
        <w:t>2</w:t>
      </w:r>
      <w:r w:rsidR="00280BC9" w:rsidRPr="00EA1BB2">
        <w:rPr>
          <w:rFonts w:ascii="Cambria" w:hAnsi="Cambria"/>
          <w:szCs w:val="24"/>
        </w:rPr>
        <w:fldChar w:fldCharType="end"/>
      </w:r>
      <w:r w:rsidR="00BA6FA3" w:rsidRPr="00EA1BB2">
        <w:rPr>
          <w:rFonts w:ascii="Cambria" w:hAnsi="Cambria"/>
          <w:szCs w:val="24"/>
        </w:rPr>
        <w:noBreakHyphen/>
      </w:r>
      <w:r w:rsidR="00280BC9" w:rsidRPr="00EA1BB2">
        <w:rPr>
          <w:rFonts w:ascii="Cambria" w:hAnsi="Cambria"/>
          <w:szCs w:val="24"/>
        </w:rPr>
        <w:fldChar w:fldCharType="begin"/>
      </w:r>
      <w:r w:rsidR="00BA6FA3" w:rsidRPr="00EA1BB2">
        <w:rPr>
          <w:rFonts w:ascii="Cambria" w:hAnsi="Cambria"/>
          <w:szCs w:val="24"/>
        </w:rPr>
        <w:instrText xml:space="preserve"> SEQ Figura_nr. \* ARABIC \s 1 </w:instrText>
      </w:r>
      <w:r w:rsidR="00280BC9" w:rsidRPr="00EA1BB2">
        <w:rPr>
          <w:rFonts w:ascii="Cambria" w:hAnsi="Cambria"/>
          <w:szCs w:val="24"/>
        </w:rPr>
        <w:fldChar w:fldCharType="separate"/>
      </w:r>
      <w:r w:rsidR="00567555">
        <w:rPr>
          <w:rFonts w:ascii="Cambria" w:hAnsi="Cambria"/>
          <w:noProof/>
          <w:szCs w:val="24"/>
        </w:rPr>
        <w:t>9</w:t>
      </w:r>
      <w:r w:rsidR="00280BC9" w:rsidRPr="00EA1BB2">
        <w:rPr>
          <w:rFonts w:ascii="Cambria" w:hAnsi="Cambria"/>
          <w:szCs w:val="24"/>
        </w:rPr>
        <w:fldChar w:fldCharType="end"/>
      </w:r>
      <w:r w:rsidRPr="00EA1BB2">
        <w:rPr>
          <w:rFonts w:ascii="Cambria" w:hAnsi="Cambria"/>
          <w:szCs w:val="24"/>
        </w:rPr>
        <w:t xml:space="preserve"> – </w:t>
      </w:r>
      <w:r w:rsidR="00B919C4" w:rsidRPr="00EA1BB2">
        <w:rPr>
          <w:rFonts w:ascii="Cambria" w:hAnsi="Cambria"/>
          <w:szCs w:val="24"/>
        </w:rPr>
        <w:t>Unitățile de relief</w:t>
      </w:r>
      <w:r w:rsidRPr="00EA1BB2">
        <w:rPr>
          <w:rFonts w:ascii="Cambria" w:hAnsi="Cambria"/>
          <w:szCs w:val="24"/>
        </w:rPr>
        <w:t xml:space="preserve"> în jude</w:t>
      </w:r>
      <w:r w:rsidR="00054880" w:rsidRPr="00EA1BB2">
        <w:rPr>
          <w:rFonts w:ascii="Cambria" w:hAnsi="Cambria"/>
          <w:szCs w:val="24"/>
        </w:rPr>
        <w:t>ț</w:t>
      </w:r>
      <w:r w:rsidRPr="00EA1BB2">
        <w:rPr>
          <w:rFonts w:ascii="Cambria" w:hAnsi="Cambria"/>
          <w:szCs w:val="24"/>
        </w:rPr>
        <w:t>ului Brăila</w:t>
      </w:r>
      <w:bookmarkEnd w:id="43"/>
    </w:p>
    <w:p w14:paraId="78B57F8E" w14:textId="77777777" w:rsidR="003271D2" w:rsidRPr="00EA1BB2" w:rsidRDefault="003271D2" w:rsidP="003271D2">
      <w:pPr>
        <w:spacing w:line="360" w:lineRule="auto"/>
        <w:jc w:val="both"/>
        <w:rPr>
          <w:rFonts w:ascii="Cambria" w:hAnsi="Cambria" w:cs="Times New Roman"/>
          <w:sz w:val="24"/>
          <w:szCs w:val="24"/>
        </w:rPr>
      </w:pPr>
      <w:r w:rsidRPr="00EA1BB2">
        <w:rPr>
          <w:rFonts w:ascii="Cambria" w:hAnsi="Cambria" w:cs="Times New Roman"/>
          <w:noProof/>
          <w:sz w:val="24"/>
          <w:szCs w:val="24"/>
          <w:lang w:val="en-US"/>
        </w:rPr>
        <w:drawing>
          <wp:inline distT="0" distB="0" distL="0" distR="0" wp14:anchorId="579DB124" wp14:editId="57A198F4">
            <wp:extent cx="5760000" cy="4077181"/>
            <wp:effectExtent l="19050" t="19050" r="12700" b="1905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2.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60000" cy="4077181"/>
                    </a:xfrm>
                    <a:prstGeom prst="rect">
                      <a:avLst/>
                    </a:prstGeom>
                    <a:ln>
                      <a:solidFill>
                        <a:schemeClr val="bg1">
                          <a:lumMod val="85000"/>
                        </a:schemeClr>
                      </a:solidFill>
                    </a:ln>
                  </pic:spPr>
                </pic:pic>
              </a:graphicData>
            </a:graphic>
          </wp:inline>
        </w:drawing>
      </w:r>
    </w:p>
    <w:p w14:paraId="65EB5642" w14:textId="77777777" w:rsidR="00F45192" w:rsidRPr="00EA1BB2" w:rsidRDefault="00F45192" w:rsidP="00F45192">
      <w:pPr>
        <w:spacing w:line="360" w:lineRule="auto"/>
        <w:ind w:firstLine="708"/>
        <w:jc w:val="both"/>
        <w:rPr>
          <w:rFonts w:ascii="Cambria" w:hAnsi="Cambria" w:cs="Times New Roman"/>
          <w:sz w:val="24"/>
          <w:szCs w:val="24"/>
        </w:rPr>
      </w:pPr>
    </w:p>
    <w:p w14:paraId="1058FC91" w14:textId="77777777" w:rsidR="00F45192" w:rsidRPr="00EA1BB2" w:rsidRDefault="00F45192" w:rsidP="00F45192">
      <w:pPr>
        <w:spacing w:line="360" w:lineRule="auto"/>
        <w:ind w:firstLine="708"/>
        <w:jc w:val="both"/>
        <w:rPr>
          <w:rFonts w:ascii="Cambria" w:hAnsi="Cambria" w:cs="Times New Roman"/>
          <w:sz w:val="24"/>
          <w:szCs w:val="24"/>
        </w:rPr>
      </w:pPr>
      <w:r w:rsidRPr="00EA1BB2">
        <w:rPr>
          <w:rFonts w:ascii="Cambria" w:hAnsi="Cambria" w:cs="Times New Roman"/>
          <w:sz w:val="24"/>
          <w:szCs w:val="24"/>
        </w:rPr>
        <w:t>Câmpia Râmnicului se întinde în partea de nord-vest a județului, o parte din aceasta aflându-se și pe teritoriul județului Buzău. Este o câmpie joasă, cu altitudini de până la 25 m, de tip piemontan.</w:t>
      </w:r>
    </w:p>
    <w:p w14:paraId="40DE114E" w14:textId="77777777" w:rsidR="00F45192" w:rsidRPr="00EA1BB2" w:rsidRDefault="00F45192" w:rsidP="00F45192">
      <w:pPr>
        <w:spacing w:line="360" w:lineRule="auto"/>
        <w:ind w:firstLine="708"/>
        <w:jc w:val="both"/>
        <w:rPr>
          <w:rFonts w:ascii="Cambria" w:hAnsi="Cambria" w:cs="Times New Roman"/>
          <w:sz w:val="24"/>
          <w:szCs w:val="24"/>
        </w:rPr>
      </w:pPr>
      <w:r w:rsidRPr="00EA1BB2">
        <w:rPr>
          <w:rFonts w:ascii="Cambria" w:hAnsi="Cambria" w:cs="Times New Roman"/>
          <w:sz w:val="24"/>
          <w:szCs w:val="24"/>
        </w:rPr>
        <w:t>Câmpia Călmățuiului, numită și Bărăganul Central, este situată în sudul județului, fiind delimitată în nord de râul de la care și-a împrumutat numele, iar în sud de Ialomița. În zonă sunt prezente nisipurile eoliene, dispuse sub formă de dune fixate, dar permit, în același timp, practicarea agriculturii.</w:t>
      </w:r>
    </w:p>
    <w:p w14:paraId="224AB3E1" w14:textId="77777777" w:rsidR="00F45192" w:rsidRPr="00EA1BB2" w:rsidRDefault="00F45192" w:rsidP="00F45192">
      <w:pPr>
        <w:spacing w:line="360" w:lineRule="auto"/>
        <w:ind w:firstLine="708"/>
        <w:jc w:val="both"/>
        <w:rPr>
          <w:rFonts w:ascii="Cambria" w:hAnsi="Cambria"/>
        </w:rPr>
      </w:pPr>
      <w:r w:rsidRPr="00EA1BB2">
        <w:rPr>
          <w:rFonts w:ascii="Cambria" w:hAnsi="Cambria" w:cs="Times New Roman"/>
          <w:sz w:val="24"/>
          <w:szCs w:val="24"/>
        </w:rPr>
        <w:t>Câmpia Brăilei, denumită și Bărăganul de Nord datorită poziției în care se află, are un relief uniform, alcătuit din câmpuri netede și întinse. Este împărțită în două părți aproximativ egale de Valea Ianca ce se întinde de la sud la nord pe o distanță de 30-40 km; datorită apei care stagnează în ea, are, mai degrabă, aspectul unui lac. Cele două câmpii care o compun sunt: Câmpia Ianca, în vest și Câmpia Viziru în est.</w:t>
      </w:r>
    </w:p>
    <w:p w14:paraId="26E390B6" w14:textId="77777777" w:rsidR="00F45192" w:rsidRPr="00EA1BB2" w:rsidRDefault="00F45192" w:rsidP="00F45192">
      <w:pPr>
        <w:spacing w:line="360" w:lineRule="auto"/>
        <w:ind w:firstLine="708"/>
        <w:jc w:val="both"/>
        <w:rPr>
          <w:rFonts w:ascii="Cambria" w:hAnsi="Cambria" w:cs="Times New Roman"/>
          <w:sz w:val="24"/>
          <w:szCs w:val="24"/>
        </w:rPr>
      </w:pPr>
      <w:r w:rsidRPr="00EA1BB2">
        <w:rPr>
          <w:rFonts w:ascii="Cambria" w:hAnsi="Cambria" w:cs="Times New Roman"/>
          <w:sz w:val="24"/>
          <w:szCs w:val="24"/>
        </w:rPr>
        <w:t xml:space="preserve">Lunca Dunării este situată de-a lungul fluviului, în partea de est a județului, având o lățime cuprinsă între 7 și chiar 40 km. În componența ei intră și Balta Brăilei, denumită și Insula Mare a Brăilei, fiind situată între două brațe ale Dunării (Vâlciu și Măcin); se </w:t>
      </w:r>
      <w:r w:rsidRPr="00EA1BB2">
        <w:rPr>
          <w:rFonts w:ascii="Cambria" w:hAnsi="Cambria" w:cs="Times New Roman"/>
          <w:sz w:val="24"/>
          <w:szCs w:val="24"/>
        </w:rPr>
        <w:lastRenderedPageBreak/>
        <w:t>întinde pe o distanță de 70 km. Între Dunărea navigabilă și Brațul Vâlciu se găsește un areal protejat – Insula Mică a Brăilei.</w:t>
      </w:r>
    </w:p>
    <w:p w14:paraId="03336505" w14:textId="77777777" w:rsidR="00FD528B" w:rsidRPr="00EA1BB2" w:rsidRDefault="00FD528B" w:rsidP="005C483D">
      <w:pPr>
        <w:spacing w:line="360" w:lineRule="auto"/>
        <w:ind w:firstLine="708"/>
        <w:jc w:val="both"/>
        <w:rPr>
          <w:rFonts w:ascii="Cambria" w:hAnsi="Cambria" w:cs="Times New Roman"/>
          <w:sz w:val="24"/>
          <w:szCs w:val="24"/>
        </w:rPr>
      </w:pPr>
    </w:p>
    <w:p w14:paraId="65B72E8E" w14:textId="77777777" w:rsidR="005C483D" w:rsidRPr="00EA1BB2" w:rsidRDefault="005C483D" w:rsidP="00E859EF">
      <w:pPr>
        <w:pStyle w:val="ListParagraph"/>
        <w:keepNext/>
        <w:keepLines/>
        <w:numPr>
          <w:ilvl w:val="2"/>
          <w:numId w:val="1"/>
        </w:numPr>
        <w:spacing w:after="0" w:line="360" w:lineRule="auto"/>
        <w:ind w:left="1276" w:hanging="567"/>
        <w:jc w:val="both"/>
        <w:outlineLvl w:val="2"/>
        <w:rPr>
          <w:rFonts w:ascii="Cambria" w:eastAsia="Times New Roman" w:hAnsi="Cambria" w:cs="Times New Roman"/>
          <w:b/>
          <w:color w:val="0070C0"/>
          <w:sz w:val="24"/>
          <w:szCs w:val="24"/>
          <w:lang w:val="ro-RO"/>
        </w:rPr>
      </w:pPr>
      <w:bookmarkStart w:id="44" w:name="_Toc526889701"/>
      <w:r w:rsidRPr="00EA1BB2">
        <w:rPr>
          <w:rFonts w:ascii="Cambria" w:eastAsia="Times New Roman" w:hAnsi="Cambria" w:cs="Times New Roman"/>
          <w:b/>
          <w:color w:val="0070C0"/>
          <w:sz w:val="24"/>
          <w:szCs w:val="24"/>
          <w:lang w:val="ro-RO"/>
        </w:rPr>
        <w:t>Hidrografia</w:t>
      </w:r>
      <w:bookmarkEnd w:id="44"/>
    </w:p>
    <w:p w14:paraId="3F81F134" w14:textId="77777777" w:rsidR="005C483D" w:rsidRPr="00EA1BB2" w:rsidRDefault="005C483D" w:rsidP="005C483D">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Jude</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ul Brăila se bucură deopotrivă de prezen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a râurilor, a lacurilor, dar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a apelor subterane.</w:t>
      </w:r>
    </w:p>
    <w:p w14:paraId="770F2CC8" w14:textId="565909C8" w:rsidR="005C483D" w:rsidRPr="00EA1BB2" w:rsidRDefault="005C483D" w:rsidP="005C483D">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Apele curgătoare de pe teritoriul jude</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ului Brăila, apar</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in </w:t>
      </w:r>
      <w:r w:rsidR="00164617" w:rsidRPr="00EA1BB2">
        <w:rPr>
          <w:rFonts w:ascii="Cambria" w:eastAsia="Times New Roman" w:hAnsi="Cambria" w:cs="Times New Roman"/>
          <w:sz w:val="24"/>
          <w:szCs w:val="24"/>
        </w:rPr>
        <w:t>de</w:t>
      </w:r>
      <w:r w:rsidR="00C31A2A">
        <w:rPr>
          <w:rFonts w:ascii="Cambria" w:eastAsia="Times New Roman" w:hAnsi="Cambria" w:cs="Times New Roman"/>
          <w:sz w:val="24"/>
          <w:szCs w:val="24"/>
        </w:rPr>
        <w:t xml:space="preserve"> </w:t>
      </w:r>
      <w:r w:rsidR="00164617" w:rsidRPr="00EA1BB2">
        <w:rPr>
          <w:rFonts w:ascii="Cambria" w:eastAsia="Times New Roman" w:hAnsi="Cambria" w:cs="Times New Roman"/>
          <w:sz w:val="24"/>
          <w:szCs w:val="24"/>
        </w:rPr>
        <w:t>bazinul hidrografic</w:t>
      </w:r>
      <w:r w:rsidR="00C31A2A">
        <w:rPr>
          <w:rFonts w:ascii="Cambria" w:eastAsia="Times New Roman" w:hAnsi="Cambria" w:cs="Times New Roman"/>
          <w:sz w:val="24"/>
          <w:szCs w:val="24"/>
        </w:rPr>
        <w:t xml:space="preserve"> </w:t>
      </w:r>
      <w:r w:rsidR="00164617" w:rsidRPr="00EA1BB2">
        <w:rPr>
          <w:rFonts w:ascii="Cambria" w:eastAsia="Times New Roman" w:hAnsi="Cambria" w:cs="Times New Roman"/>
          <w:sz w:val="24"/>
          <w:szCs w:val="24"/>
        </w:rPr>
        <w:t xml:space="preserve">al </w:t>
      </w:r>
      <w:r w:rsidRPr="00EA1BB2">
        <w:rPr>
          <w:rFonts w:ascii="Cambria" w:eastAsia="Times New Roman" w:hAnsi="Cambria" w:cs="Times New Roman"/>
          <w:sz w:val="24"/>
          <w:szCs w:val="24"/>
        </w:rPr>
        <w:t>fluviul</w:t>
      </w:r>
      <w:r w:rsidR="00164617" w:rsidRPr="00EA1BB2">
        <w:rPr>
          <w:rFonts w:ascii="Cambria" w:eastAsia="Times New Roman" w:hAnsi="Cambria" w:cs="Times New Roman"/>
          <w:sz w:val="24"/>
          <w:szCs w:val="24"/>
        </w:rPr>
        <w:t>ui Dunărea și bazinele hidrografice ale râurilor</w:t>
      </w:r>
      <w:r w:rsidRPr="00EA1BB2">
        <w:rPr>
          <w:rFonts w:ascii="Cambria" w:eastAsia="Times New Roman" w:hAnsi="Cambria" w:cs="Times New Roman"/>
          <w:sz w:val="24"/>
          <w:szCs w:val="24"/>
        </w:rPr>
        <w:t xml:space="preserve"> Siret, Buzău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Călmă</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ui. </w:t>
      </w:r>
    </w:p>
    <w:p w14:paraId="1C35ED25" w14:textId="77777777" w:rsidR="008C5E60" w:rsidRPr="00EA1BB2" w:rsidRDefault="008C5E60" w:rsidP="005C483D">
      <w:pPr>
        <w:spacing w:line="360" w:lineRule="auto"/>
        <w:ind w:firstLine="709"/>
        <w:jc w:val="both"/>
        <w:rPr>
          <w:rFonts w:ascii="Cambria" w:eastAsia="Times New Roman" w:hAnsi="Cambria" w:cs="Times New Roman"/>
          <w:sz w:val="24"/>
          <w:szCs w:val="24"/>
        </w:rPr>
      </w:pPr>
    </w:p>
    <w:p w14:paraId="5BD75AEA" w14:textId="3E566967" w:rsidR="003271D2" w:rsidRPr="00EA1BB2" w:rsidRDefault="003271D2" w:rsidP="00DB24FF">
      <w:pPr>
        <w:pStyle w:val="Caption"/>
        <w:keepNext/>
        <w:spacing w:after="0" w:line="360" w:lineRule="auto"/>
        <w:ind w:firstLine="708"/>
        <w:jc w:val="both"/>
        <w:rPr>
          <w:rFonts w:ascii="Cambria" w:hAnsi="Cambria"/>
          <w:szCs w:val="24"/>
        </w:rPr>
      </w:pPr>
      <w:bookmarkStart w:id="45" w:name="_Toc524966203"/>
      <w:r w:rsidRPr="00EA1BB2">
        <w:rPr>
          <w:rFonts w:ascii="Cambria" w:hAnsi="Cambria"/>
          <w:szCs w:val="24"/>
        </w:rPr>
        <w:t xml:space="preserve">Figura nr. </w:t>
      </w:r>
      <w:r w:rsidR="00280BC9" w:rsidRPr="00EA1BB2">
        <w:rPr>
          <w:rFonts w:ascii="Cambria" w:hAnsi="Cambria"/>
          <w:szCs w:val="24"/>
        </w:rPr>
        <w:fldChar w:fldCharType="begin"/>
      </w:r>
      <w:r w:rsidR="00BA6FA3" w:rsidRPr="00EA1BB2">
        <w:rPr>
          <w:rFonts w:ascii="Cambria" w:hAnsi="Cambria"/>
          <w:szCs w:val="24"/>
        </w:rPr>
        <w:instrText xml:space="preserve"> STYLEREF 1 \s </w:instrText>
      </w:r>
      <w:r w:rsidR="00280BC9" w:rsidRPr="00EA1BB2">
        <w:rPr>
          <w:rFonts w:ascii="Cambria" w:hAnsi="Cambria"/>
          <w:szCs w:val="24"/>
        </w:rPr>
        <w:fldChar w:fldCharType="separate"/>
      </w:r>
      <w:r w:rsidR="00567555">
        <w:rPr>
          <w:rFonts w:ascii="Cambria" w:hAnsi="Cambria"/>
          <w:noProof/>
          <w:szCs w:val="24"/>
        </w:rPr>
        <w:t>2</w:t>
      </w:r>
      <w:r w:rsidR="00280BC9" w:rsidRPr="00EA1BB2">
        <w:rPr>
          <w:rFonts w:ascii="Cambria" w:hAnsi="Cambria"/>
          <w:szCs w:val="24"/>
        </w:rPr>
        <w:fldChar w:fldCharType="end"/>
      </w:r>
      <w:r w:rsidR="00BA6FA3" w:rsidRPr="00EA1BB2">
        <w:rPr>
          <w:rFonts w:ascii="Cambria" w:hAnsi="Cambria"/>
          <w:szCs w:val="24"/>
        </w:rPr>
        <w:noBreakHyphen/>
      </w:r>
      <w:r w:rsidR="00280BC9" w:rsidRPr="00EA1BB2">
        <w:rPr>
          <w:rFonts w:ascii="Cambria" w:hAnsi="Cambria"/>
          <w:szCs w:val="24"/>
        </w:rPr>
        <w:fldChar w:fldCharType="begin"/>
      </w:r>
      <w:r w:rsidR="00BA6FA3" w:rsidRPr="00EA1BB2">
        <w:rPr>
          <w:rFonts w:ascii="Cambria" w:hAnsi="Cambria"/>
          <w:szCs w:val="24"/>
        </w:rPr>
        <w:instrText xml:space="preserve"> SEQ Figura_nr. \* ARABIC \s 1 </w:instrText>
      </w:r>
      <w:r w:rsidR="00280BC9" w:rsidRPr="00EA1BB2">
        <w:rPr>
          <w:rFonts w:ascii="Cambria" w:hAnsi="Cambria"/>
          <w:szCs w:val="24"/>
        </w:rPr>
        <w:fldChar w:fldCharType="separate"/>
      </w:r>
      <w:r w:rsidR="00567555">
        <w:rPr>
          <w:rFonts w:ascii="Cambria" w:hAnsi="Cambria"/>
          <w:noProof/>
          <w:szCs w:val="24"/>
        </w:rPr>
        <w:t>10</w:t>
      </w:r>
      <w:r w:rsidR="00280BC9" w:rsidRPr="00EA1BB2">
        <w:rPr>
          <w:rFonts w:ascii="Cambria" w:hAnsi="Cambria"/>
          <w:szCs w:val="24"/>
        </w:rPr>
        <w:fldChar w:fldCharType="end"/>
      </w:r>
      <w:r w:rsidRPr="00EA1BB2">
        <w:rPr>
          <w:rFonts w:ascii="Cambria" w:hAnsi="Cambria"/>
          <w:szCs w:val="24"/>
        </w:rPr>
        <w:t xml:space="preserve"> – Hidrografia jude</w:t>
      </w:r>
      <w:r w:rsidR="00054880" w:rsidRPr="00EA1BB2">
        <w:rPr>
          <w:rFonts w:ascii="Cambria" w:hAnsi="Cambria"/>
          <w:szCs w:val="24"/>
        </w:rPr>
        <w:t>ț</w:t>
      </w:r>
      <w:r w:rsidRPr="00EA1BB2">
        <w:rPr>
          <w:rFonts w:ascii="Cambria" w:hAnsi="Cambria"/>
          <w:szCs w:val="24"/>
        </w:rPr>
        <w:t>ului Brăila</w:t>
      </w:r>
      <w:bookmarkEnd w:id="45"/>
    </w:p>
    <w:p w14:paraId="6FC79EDE" w14:textId="77777777" w:rsidR="003271D2" w:rsidRPr="00EA1BB2" w:rsidRDefault="003271D2" w:rsidP="00086957">
      <w:pPr>
        <w:spacing w:line="276" w:lineRule="auto"/>
        <w:rPr>
          <w:rFonts w:ascii="Cambria" w:hAnsi="Cambria" w:cs="Times New Roman"/>
          <w:sz w:val="24"/>
          <w:szCs w:val="24"/>
        </w:rPr>
      </w:pPr>
      <w:r w:rsidRPr="00EA1BB2">
        <w:rPr>
          <w:rFonts w:ascii="Cambria" w:hAnsi="Cambria" w:cs="Times New Roman"/>
          <w:noProof/>
          <w:sz w:val="24"/>
          <w:szCs w:val="24"/>
          <w:lang w:val="en-US"/>
        </w:rPr>
        <w:drawing>
          <wp:inline distT="0" distB="0" distL="0" distR="0" wp14:anchorId="6D75B18A" wp14:editId="5728E05C">
            <wp:extent cx="5731510" cy="4057015"/>
            <wp:effectExtent l="19050" t="19050" r="21590" b="1968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3.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31510" cy="4057015"/>
                    </a:xfrm>
                    <a:prstGeom prst="rect">
                      <a:avLst/>
                    </a:prstGeom>
                    <a:ln>
                      <a:solidFill>
                        <a:schemeClr val="bg1">
                          <a:lumMod val="85000"/>
                        </a:schemeClr>
                      </a:solidFill>
                    </a:ln>
                  </pic:spPr>
                </pic:pic>
              </a:graphicData>
            </a:graphic>
          </wp:inline>
        </w:drawing>
      </w:r>
    </w:p>
    <w:p w14:paraId="58269F03" w14:textId="77777777" w:rsidR="00086957" w:rsidRPr="00EA1BB2" w:rsidRDefault="00086957" w:rsidP="005C483D">
      <w:pPr>
        <w:spacing w:line="360" w:lineRule="auto"/>
        <w:rPr>
          <w:rFonts w:ascii="Cambria" w:hAnsi="Cambria" w:cs="Times New Roman"/>
          <w:sz w:val="24"/>
          <w:szCs w:val="24"/>
        </w:rPr>
      </w:pPr>
    </w:p>
    <w:p w14:paraId="5CAF1360" w14:textId="77777777" w:rsidR="00F45192" w:rsidRPr="00EA1BB2" w:rsidRDefault="00F45192" w:rsidP="00F45192">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 xml:space="preserve">1. Bazinul Hidrografic al fluviului Dunărea </w:t>
      </w:r>
    </w:p>
    <w:p w14:paraId="4387292F" w14:textId="77777777" w:rsidR="00F45192" w:rsidRPr="00EA1BB2" w:rsidRDefault="00F45192" w:rsidP="00F45192">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 xml:space="preserve">Dunărea în cadrul județului este reprezentată prin brațele principale – Cremenea și Măcin (Dunărea Veche) – și brațele secundare – Vâlciu, Mănusoaia, Pasca, Calia, Arapu – în arealul Bălții Brăilei – și prin Dunărea propriu-zisă din dreptul municipiului Brăila și până la confluența cu Siretul. </w:t>
      </w:r>
    </w:p>
    <w:p w14:paraId="3343CBB6" w14:textId="77777777" w:rsidR="00F45192" w:rsidRPr="00EA1BB2" w:rsidRDefault="00F45192" w:rsidP="00F45192">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 xml:space="preserve">Dunărea Veche sau brațul Măcin, care formează și limita estică a județului, are 96 km lungime, un coeficient mare de meandrare (1,24%) și o lățime medie de 250 m. </w:t>
      </w:r>
      <w:r w:rsidRPr="00EA1BB2">
        <w:rPr>
          <w:rFonts w:ascii="Cambria" w:eastAsia="Times New Roman" w:hAnsi="Cambria" w:cs="Times New Roman"/>
          <w:sz w:val="24"/>
          <w:szCs w:val="24"/>
        </w:rPr>
        <w:lastRenderedPageBreak/>
        <w:t>Panta mică, ca urmare a gradului mare de meandrare, face ca acest braț să transporte o cantitate mică de apă (13%) din debitul total de la Hârșova (5.949 m</w:t>
      </w:r>
      <w:r w:rsidRPr="00EA1BB2">
        <w:rPr>
          <w:rFonts w:ascii="Cambria" w:eastAsia="Times New Roman" w:hAnsi="Cambria" w:cs="Times New Roman"/>
          <w:sz w:val="24"/>
          <w:szCs w:val="24"/>
          <w:vertAlign w:val="superscript"/>
        </w:rPr>
        <w:t>3</w:t>
      </w:r>
      <w:r w:rsidRPr="00EA1BB2">
        <w:rPr>
          <w:rFonts w:ascii="Cambria" w:eastAsia="Times New Roman" w:hAnsi="Cambria" w:cs="Times New Roman"/>
          <w:sz w:val="24"/>
          <w:szCs w:val="24"/>
        </w:rPr>
        <w:t xml:space="preserve">/s). </w:t>
      </w:r>
    </w:p>
    <w:p w14:paraId="4AEAE493" w14:textId="77777777" w:rsidR="00DB24FF" w:rsidRPr="00EA1BB2" w:rsidRDefault="00DB24FF" w:rsidP="00DB24FF">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Bra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ul Cremenea, cel mai important, are o lungime mai mică (70 km), o pantă de scurgere mai mare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o lă</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ime medie de 500 m. Dacă caracteristica bra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ului Măcin este gradul de meandrare, cea a bra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ului Cremenea este gradul de despletire. Din bra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ul Măcin (numai la 2 km de la bifurca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ie) se desprinde bra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ul Vâlciu care se varsă apoi în Cremenea. </w:t>
      </w:r>
    </w:p>
    <w:p w14:paraId="304FC4FA" w14:textId="77777777" w:rsidR="00DB24FF" w:rsidRPr="00EA1BB2" w:rsidRDefault="00DB24FF" w:rsidP="00DB24FF">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Debitul maxim la asigurarea de 1% a fost estimat pentru Hâr</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ova la 15.080 m</w:t>
      </w:r>
      <w:r w:rsidRPr="00EA1BB2">
        <w:rPr>
          <w:rFonts w:ascii="Cambria" w:eastAsia="Times New Roman" w:hAnsi="Cambria" w:cs="Times New Roman"/>
          <w:sz w:val="24"/>
          <w:szCs w:val="24"/>
          <w:vertAlign w:val="superscript"/>
        </w:rPr>
        <w:t>3</w:t>
      </w:r>
      <w:r w:rsidRPr="00EA1BB2">
        <w:rPr>
          <w:rFonts w:ascii="Cambria" w:eastAsia="Times New Roman" w:hAnsi="Cambria" w:cs="Times New Roman"/>
          <w:sz w:val="24"/>
          <w:szCs w:val="24"/>
        </w:rPr>
        <w:t xml:space="preserve">/s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pentru Brăila la 14.620 m</w:t>
      </w:r>
      <w:r w:rsidRPr="00EA1BB2">
        <w:rPr>
          <w:rFonts w:ascii="Cambria" w:eastAsia="Times New Roman" w:hAnsi="Cambria" w:cs="Times New Roman"/>
          <w:sz w:val="24"/>
          <w:szCs w:val="24"/>
          <w:vertAlign w:val="superscript"/>
        </w:rPr>
        <w:t>3</w:t>
      </w:r>
      <w:r w:rsidRPr="00EA1BB2">
        <w:rPr>
          <w:rFonts w:ascii="Cambria" w:eastAsia="Times New Roman" w:hAnsi="Cambria" w:cs="Times New Roman"/>
          <w:sz w:val="24"/>
          <w:szCs w:val="24"/>
        </w:rPr>
        <w:t xml:space="preserve">/s. </w:t>
      </w:r>
    </w:p>
    <w:p w14:paraId="7F448209" w14:textId="77777777" w:rsidR="00DB24FF" w:rsidRPr="00EA1BB2" w:rsidRDefault="00DB24FF" w:rsidP="00DB24FF">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 xml:space="preserve">Debitul minim se înregistrează în două perioade (toamna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iarna), cel de iarnă fiind mai scăzut fa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ă de cel de toamnă. La asigurarea de 99,9% la sta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ia hidrometrică Brăila debitul minim a fost apreciat la 1.000 m</w:t>
      </w:r>
      <w:r w:rsidRPr="00EA1BB2">
        <w:rPr>
          <w:rFonts w:ascii="Cambria" w:eastAsia="Times New Roman" w:hAnsi="Cambria" w:cs="Times New Roman"/>
          <w:sz w:val="24"/>
          <w:szCs w:val="24"/>
          <w:vertAlign w:val="superscript"/>
        </w:rPr>
        <w:t>3</w:t>
      </w:r>
      <w:r w:rsidRPr="00EA1BB2">
        <w:rPr>
          <w:rFonts w:ascii="Cambria" w:eastAsia="Times New Roman" w:hAnsi="Cambria" w:cs="Times New Roman"/>
          <w:sz w:val="24"/>
          <w:szCs w:val="24"/>
        </w:rPr>
        <w:t xml:space="preserve">/s. </w:t>
      </w:r>
    </w:p>
    <w:p w14:paraId="023D7D99" w14:textId="77777777" w:rsidR="00DB24FF" w:rsidRPr="00EA1BB2" w:rsidRDefault="00DB24FF" w:rsidP="00DB24FF">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 xml:space="preserve">2. Bazinul Hidrografic al râului Siret </w:t>
      </w:r>
    </w:p>
    <w:p w14:paraId="0C080078" w14:textId="77777777" w:rsidR="00DB24FF" w:rsidRPr="00EA1BB2" w:rsidRDefault="00DB24FF" w:rsidP="00DB24FF">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Siretul formează limita dintre jude</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ele Brăila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Gala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 între localitatea Corbu Vechi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confluen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a cu Dunărea pe 47,4 km lungime. În acest sector, pe partea dreaptă, la Voine</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ti, Siretul prime</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 xml:space="preserve">te apele Buzăului. </w:t>
      </w:r>
    </w:p>
    <w:p w14:paraId="2A06C3AE" w14:textId="77777777" w:rsidR="00DB24FF" w:rsidRPr="00EA1BB2" w:rsidRDefault="00DB24FF" w:rsidP="00DB24FF">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Fa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ă de debitul mediu multianual (153 m</w:t>
      </w:r>
      <w:r w:rsidRPr="00EA1BB2">
        <w:rPr>
          <w:rFonts w:ascii="Cambria" w:eastAsia="Times New Roman" w:hAnsi="Cambria" w:cs="Times New Roman"/>
          <w:sz w:val="24"/>
          <w:szCs w:val="24"/>
          <w:vertAlign w:val="superscript"/>
        </w:rPr>
        <w:t>3</w:t>
      </w:r>
      <w:r w:rsidRPr="00EA1BB2">
        <w:rPr>
          <w:rFonts w:ascii="Cambria" w:eastAsia="Times New Roman" w:hAnsi="Cambria" w:cs="Times New Roman"/>
          <w:sz w:val="24"/>
          <w:szCs w:val="24"/>
        </w:rPr>
        <w:t>/s), analizat la sta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ia hidrometrică Lungoci, situată în amonte de câ</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iva kilometri, la vărsarea în Dunăre, debitul maxim este de 4.500 m</w:t>
      </w:r>
      <w:r w:rsidRPr="00EA1BB2">
        <w:rPr>
          <w:rFonts w:ascii="Cambria" w:eastAsia="Times New Roman" w:hAnsi="Cambria" w:cs="Times New Roman"/>
          <w:sz w:val="24"/>
          <w:szCs w:val="24"/>
          <w:vertAlign w:val="superscript"/>
        </w:rPr>
        <w:t>3</w:t>
      </w:r>
      <w:r w:rsidRPr="00EA1BB2">
        <w:rPr>
          <w:rFonts w:ascii="Cambria" w:eastAsia="Times New Roman" w:hAnsi="Cambria" w:cs="Times New Roman"/>
          <w:sz w:val="24"/>
          <w:szCs w:val="24"/>
        </w:rPr>
        <w:t>/s (asigurarea de 1%), iar cel minim de 26 m</w:t>
      </w:r>
      <w:r w:rsidRPr="00EA1BB2">
        <w:rPr>
          <w:rFonts w:ascii="Cambria" w:eastAsia="Times New Roman" w:hAnsi="Cambria" w:cs="Times New Roman"/>
          <w:sz w:val="24"/>
          <w:szCs w:val="24"/>
          <w:vertAlign w:val="superscript"/>
        </w:rPr>
        <w:t>3</w:t>
      </w:r>
      <w:r w:rsidRPr="00EA1BB2">
        <w:rPr>
          <w:rFonts w:ascii="Cambria" w:eastAsia="Times New Roman" w:hAnsi="Cambria" w:cs="Times New Roman"/>
          <w:sz w:val="24"/>
          <w:szCs w:val="24"/>
        </w:rPr>
        <w:t xml:space="preserve">/s (asigurarea de 95%). </w:t>
      </w:r>
    </w:p>
    <w:p w14:paraId="608DAAA3" w14:textId="77777777" w:rsidR="00DB24FF" w:rsidRPr="00EA1BB2" w:rsidRDefault="00DB24FF" w:rsidP="00DB24FF">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 xml:space="preserve">Mineralizarea apei redusă (375 mg/l)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 xml:space="preserve">i tipul hidrochimic (bicarbonat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cloruratcalciu) fac ca apa din Siret să fie folosită în bune condi</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 în iriga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ii. </w:t>
      </w:r>
    </w:p>
    <w:p w14:paraId="35D82843" w14:textId="77777777" w:rsidR="00DB24FF" w:rsidRPr="00EA1BB2" w:rsidRDefault="00DB24FF" w:rsidP="00DB24FF">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 xml:space="preserve">3. Bazinul Hidrografic al râului Buzău </w:t>
      </w:r>
    </w:p>
    <w:p w14:paraId="408D69DB" w14:textId="77777777" w:rsidR="00DB24FF" w:rsidRPr="00EA1BB2" w:rsidRDefault="006C4B74" w:rsidP="006C4B74">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 xml:space="preserve">Râul </w:t>
      </w:r>
      <w:r w:rsidR="00DB24FF" w:rsidRPr="00EA1BB2">
        <w:rPr>
          <w:rFonts w:ascii="Cambria" w:eastAsia="Times New Roman" w:hAnsi="Cambria" w:cs="Times New Roman"/>
          <w:sz w:val="24"/>
          <w:szCs w:val="24"/>
        </w:rPr>
        <w:t>Buză</w:t>
      </w:r>
      <w:r w:rsidRPr="00EA1BB2">
        <w:rPr>
          <w:rFonts w:ascii="Cambria" w:eastAsia="Times New Roman" w:hAnsi="Cambria" w:cs="Times New Roman"/>
          <w:sz w:val="24"/>
          <w:szCs w:val="24"/>
        </w:rPr>
        <w:t>u</w:t>
      </w:r>
      <w:r w:rsidR="00DB24FF" w:rsidRPr="00EA1BB2">
        <w:rPr>
          <w:rFonts w:ascii="Cambria" w:eastAsia="Times New Roman" w:hAnsi="Cambria" w:cs="Times New Roman"/>
          <w:sz w:val="24"/>
          <w:szCs w:val="24"/>
        </w:rPr>
        <w:t xml:space="preserve"> pe teritoriul jude</w:t>
      </w:r>
      <w:r w:rsidR="00054880" w:rsidRPr="00EA1BB2">
        <w:rPr>
          <w:rFonts w:ascii="Cambria" w:eastAsia="Times New Roman" w:hAnsi="Cambria" w:cs="Times New Roman"/>
          <w:sz w:val="24"/>
          <w:szCs w:val="24"/>
        </w:rPr>
        <w:t>ț</w:t>
      </w:r>
      <w:r w:rsidR="00DB24FF" w:rsidRPr="00EA1BB2">
        <w:rPr>
          <w:rFonts w:ascii="Cambria" w:eastAsia="Times New Roman" w:hAnsi="Cambria" w:cs="Times New Roman"/>
          <w:sz w:val="24"/>
          <w:szCs w:val="24"/>
        </w:rPr>
        <w:t>ului, se desfă</w:t>
      </w:r>
      <w:r w:rsidR="00054880" w:rsidRPr="00EA1BB2">
        <w:rPr>
          <w:rFonts w:ascii="Cambria" w:eastAsia="Times New Roman" w:hAnsi="Cambria" w:cs="Times New Roman"/>
          <w:sz w:val="24"/>
          <w:szCs w:val="24"/>
        </w:rPr>
        <w:t>ș</w:t>
      </w:r>
      <w:r w:rsidR="00DB24FF" w:rsidRPr="00EA1BB2">
        <w:rPr>
          <w:rFonts w:ascii="Cambria" w:eastAsia="Times New Roman" w:hAnsi="Cambria" w:cs="Times New Roman"/>
          <w:sz w:val="24"/>
          <w:szCs w:val="24"/>
        </w:rPr>
        <w:t xml:space="preserve">oară pe o lungime de 141 km, între Făurei </w:t>
      </w:r>
      <w:r w:rsidR="00054880" w:rsidRPr="00EA1BB2">
        <w:rPr>
          <w:rFonts w:ascii="Cambria" w:eastAsia="Times New Roman" w:hAnsi="Cambria" w:cs="Times New Roman"/>
          <w:sz w:val="24"/>
          <w:szCs w:val="24"/>
        </w:rPr>
        <w:t>ș</w:t>
      </w:r>
      <w:r w:rsidR="00DB24FF" w:rsidRPr="00EA1BB2">
        <w:rPr>
          <w:rFonts w:ascii="Cambria" w:eastAsia="Times New Roman" w:hAnsi="Cambria" w:cs="Times New Roman"/>
          <w:sz w:val="24"/>
          <w:szCs w:val="24"/>
        </w:rPr>
        <w:t>i confluen</w:t>
      </w:r>
      <w:r w:rsidR="00054880" w:rsidRPr="00EA1BB2">
        <w:rPr>
          <w:rFonts w:ascii="Cambria" w:eastAsia="Times New Roman" w:hAnsi="Cambria" w:cs="Times New Roman"/>
          <w:sz w:val="24"/>
          <w:szCs w:val="24"/>
        </w:rPr>
        <w:t>ț</w:t>
      </w:r>
      <w:r w:rsidR="00DB24FF" w:rsidRPr="00EA1BB2">
        <w:rPr>
          <w:rFonts w:ascii="Cambria" w:eastAsia="Times New Roman" w:hAnsi="Cambria" w:cs="Times New Roman"/>
          <w:sz w:val="24"/>
          <w:szCs w:val="24"/>
        </w:rPr>
        <w:t>a cu Siretul la Voine</w:t>
      </w:r>
      <w:r w:rsidR="00054880" w:rsidRPr="00EA1BB2">
        <w:rPr>
          <w:rFonts w:ascii="Cambria" w:eastAsia="Times New Roman" w:hAnsi="Cambria" w:cs="Times New Roman"/>
          <w:sz w:val="24"/>
          <w:szCs w:val="24"/>
        </w:rPr>
        <w:t>ș</w:t>
      </w:r>
      <w:r w:rsidR="00DB24FF" w:rsidRPr="00EA1BB2">
        <w:rPr>
          <w:rFonts w:ascii="Cambria" w:eastAsia="Times New Roman" w:hAnsi="Cambria" w:cs="Times New Roman"/>
          <w:sz w:val="24"/>
          <w:szCs w:val="24"/>
        </w:rPr>
        <w:t xml:space="preserve">ti. </w:t>
      </w:r>
      <w:r w:rsidRPr="00EA1BB2">
        <w:rPr>
          <w:rFonts w:ascii="Cambria" w:eastAsia="Times New Roman" w:hAnsi="Cambria" w:cs="Times New Roman"/>
          <w:sz w:val="24"/>
          <w:szCs w:val="24"/>
        </w:rPr>
        <w:t xml:space="preserve">Acesta </w:t>
      </w:r>
      <w:r w:rsidR="00DB24FF" w:rsidRPr="00EA1BB2">
        <w:rPr>
          <w:rFonts w:ascii="Cambria" w:eastAsia="Times New Roman" w:hAnsi="Cambria" w:cs="Times New Roman"/>
          <w:sz w:val="24"/>
          <w:szCs w:val="24"/>
        </w:rPr>
        <w:t>transportă o cantitate redusă de apă la niveluri medii multianuale, respective 25,4 m</w:t>
      </w:r>
      <w:r w:rsidR="00DB24FF" w:rsidRPr="00EA1BB2">
        <w:rPr>
          <w:rFonts w:ascii="Cambria" w:eastAsia="Times New Roman" w:hAnsi="Cambria" w:cs="Times New Roman"/>
          <w:sz w:val="24"/>
          <w:szCs w:val="24"/>
          <w:vertAlign w:val="superscript"/>
        </w:rPr>
        <w:t>3</w:t>
      </w:r>
      <w:r w:rsidR="00DB24FF" w:rsidRPr="00EA1BB2">
        <w:rPr>
          <w:rFonts w:ascii="Cambria" w:eastAsia="Times New Roman" w:hAnsi="Cambria" w:cs="Times New Roman"/>
          <w:sz w:val="24"/>
          <w:szCs w:val="24"/>
        </w:rPr>
        <w:t>/s la sta</w:t>
      </w:r>
      <w:r w:rsidR="00054880" w:rsidRPr="00EA1BB2">
        <w:rPr>
          <w:rFonts w:ascii="Cambria" w:eastAsia="Times New Roman" w:hAnsi="Cambria" w:cs="Times New Roman"/>
          <w:sz w:val="24"/>
          <w:szCs w:val="24"/>
        </w:rPr>
        <w:t>ț</w:t>
      </w:r>
      <w:r w:rsidR="00DB24FF" w:rsidRPr="00EA1BB2">
        <w:rPr>
          <w:rFonts w:ascii="Cambria" w:eastAsia="Times New Roman" w:hAnsi="Cambria" w:cs="Times New Roman"/>
          <w:sz w:val="24"/>
          <w:szCs w:val="24"/>
        </w:rPr>
        <w:t>ia hidrometrică Băin</w:t>
      </w:r>
      <w:r w:rsidR="00054880" w:rsidRPr="00EA1BB2">
        <w:rPr>
          <w:rFonts w:ascii="Cambria" w:eastAsia="Times New Roman" w:hAnsi="Cambria" w:cs="Times New Roman"/>
          <w:sz w:val="24"/>
          <w:szCs w:val="24"/>
        </w:rPr>
        <w:t>ț</w:t>
      </w:r>
      <w:r w:rsidR="00DB24FF" w:rsidRPr="00EA1BB2">
        <w:rPr>
          <w:rFonts w:ascii="Cambria" w:eastAsia="Times New Roman" w:hAnsi="Cambria" w:cs="Times New Roman"/>
          <w:sz w:val="24"/>
          <w:szCs w:val="24"/>
        </w:rPr>
        <w:t>a, situată la 10 km amonte de limita jude</w:t>
      </w:r>
      <w:r w:rsidR="00054880" w:rsidRPr="00EA1BB2">
        <w:rPr>
          <w:rFonts w:ascii="Cambria" w:eastAsia="Times New Roman" w:hAnsi="Cambria" w:cs="Times New Roman"/>
          <w:sz w:val="24"/>
          <w:szCs w:val="24"/>
        </w:rPr>
        <w:t>ț</w:t>
      </w:r>
      <w:r w:rsidR="00DB24FF" w:rsidRPr="00EA1BB2">
        <w:rPr>
          <w:rFonts w:ascii="Cambria" w:eastAsia="Times New Roman" w:hAnsi="Cambria" w:cs="Times New Roman"/>
          <w:sz w:val="24"/>
          <w:szCs w:val="24"/>
        </w:rPr>
        <w:t>ului.</w:t>
      </w:r>
    </w:p>
    <w:p w14:paraId="0C22D665" w14:textId="77777777" w:rsidR="00DB24FF" w:rsidRPr="00EA1BB2" w:rsidRDefault="00DB24FF" w:rsidP="00DB24FF">
      <w:pPr>
        <w:spacing w:line="360" w:lineRule="auto"/>
        <w:ind w:firstLine="708"/>
        <w:jc w:val="both"/>
        <w:rPr>
          <w:rFonts w:ascii="Cambria" w:hAnsi="Cambria" w:cs="Times New Roman"/>
          <w:sz w:val="24"/>
          <w:szCs w:val="24"/>
        </w:rPr>
      </w:pPr>
      <w:r w:rsidRPr="00EA1BB2">
        <w:rPr>
          <w:rFonts w:ascii="Cambria" w:hAnsi="Cambria" w:cs="Times New Roman"/>
          <w:sz w:val="24"/>
          <w:szCs w:val="24"/>
        </w:rPr>
        <w:t>Lacurile din jude</w:t>
      </w:r>
      <w:r w:rsidR="00054880" w:rsidRPr="00EA1BB2">
        <w:rPr>
          <w:rFonts w:ascii="Cambria" w:hAnsi="Cambria" w:cs="Times New Roman"/>
          <w:sz w:val="24"/>
          <w:szCs w:val="24"/>
        </w:rPr>
        <w:t>ț</w:t>
      </w:r>
      <w:r w:rsidRPr="00EA1BB2">
        <w:rPr>
          <w:rFonts w:ascii="Cambria" w:hAnsi="Cambria" w:cs="Times New Roman"/>
          <w:sz w:val="24"/>
          <w:szCs w:val="24"/>
        </w:rPr>
        <w:t xml:space="preserve">ul Brăila sunt de trei categorii: clastocarstice, limanuri fluviatile </w:t>
      </w:r>
      <w:r w:rsidR="00054880" w:rsidRPr="00EA1BB2">
        <w:rPr>
          <w:rFonts w:ascii="Cambria" w:hAnsi="Cambria" w:cs="Times New Roman"/>
          <w:sz w:val="24"/>
          <w:szCs w:val="24"/>
        </w:rPr>
        <w:t>ș</w:t>
      </w:r>
      <w:r w:rsidRPr="00EA1BB2">
        <w:rPr>
          <w:rFonts w:ascii="Cambria" w:hAnsi="Cambria" w:cs="Times New Roman"/>
          <w:sz w:val="24"/>
          <w:szCs w:val="24"/>
        </w:rPr>
        <w:t>i lacuri de luncă. Din prima categorie fac parte: Ianca, Plopu, Movila Miresii Secu, Lutu Alb, Tătaru, Col</w:t>
      </w:r>
      <w:r w:rsidR="00054880" w:rsidRPr="00EA1BB2">
        <w:rPr>
          <w:rFonts w:ascii="Cambria" w:hAnsi="Cambria" w:cs="Times New Roman"/>
          <w:sz w:val="24"/>
          <w:szCs w:val="24"/>
        </w:rPr>
        <w:t>ț</w:t>
      </w:r>
      <w:r w:rsidRPr="00EA1BB2">
        <w:rPr>
          <w:rFonts w:ascii="Cambria" w:hAnsi="Cambria" w:cs="Times New Roman"/>
          <w:sz w:val="24"/>
          <w:szCs w:val="24"/>
        </w:rPr>
        <w:t>ea, Pla</w:t>
      </w:r>
      <w:r w:rsidR="00054880" w:rsidRPr="00EA1BB2">
        <w:rPr>
          <w:rFonts w:ascii="Cambria" w:hAnsi="Cambria" w:cs="Times New Roman"/>
          <w:sz w:val="24"/>
          <w:szCs w:val="24"/>
        </w:rPr>
        <w:t>ș</w:t>
      </w:r>
      <w:r w:rsidRPr="00EA1BB2">
        <w:rPr>
          <w:rFonts w:ascii="Cambria" w:hAnsi="Cambria" w:cs="Times New Roman"/>
          <w:sz w:val="24"/>
          <w:szCs w:val="24"/>
        </w:rPr>
        <w:t xml:space="preserve">cu </w:t>
      </w:r>
      <w:r w:rsidR="00054880" w:rsidRPr="00EA1BB2">
        <w:rPr>
          <w:rFonts w:ascii="Cambria" w:hAnsi="Cambria" w:cs="Times New Roman"/>
          <w:sz w:val="24"/>
          <w:szCs w:val="24"/>
        </w:rPr>
        <w:t>ș</w:t>
      </w:r>
      <w:r w:rsidRPr="00EA1BB2">
        <w:rPr>
          <w:rFonts w:ascii="Cambria" w:hAnsi="Cambria" w:cs="Times New Roman"/>
          <w:sz w:val="24"/>
          <w:szCs w:val="24"/>
        </w:rPr>
        <w:t>i altele, iar din a doua: Jirlău, Ciulni</w:t>
      </w:r>
      <w:r w:rsidR="00054880" w:rsidRPr="00EA1BB2">
        <w:rPr>
          <w:rFonts w:ascii="Cambria" w:hAnsi="Cambria" w:cs="Times New Roman"/>
          <w:sz w:val="24"/>
          <w:szCs w:val="24"/>
        </w:rPr>
        <w:t>ț</w:t>
      </w:r>
      <w:r w:rsidRPr="00EA1BB2">
        <w:rPr>
          <w:rFonts w:ascii="Cambria" w:hAnsi="Cambria" w:cs="Times New Roman"/>
          <w:sz w:val="24"/>
          <w:szCs w:val="24"/>
        </w:rPr>
        <w:t xml:space="preserve">a </w:t>
      </w:r>
      <w:r w:rsidR="00054880" w:rsidRPr="00EA1BB2">
        <w:rPr>
          <w:rFonts w:ascii="Cambria" w:hAnsi="Cambria" w:cs="Times New Roman"/>
          <w:sz w:val="24"/>
          <w:szCs w:val="24"/>
        </w:rPr>
        <w:t>ș</w:t>
      </w:r>
      <w:r w:rsidRPr="00EA1BB2">
        <w:rPr>
          <w:rFonts w:ascii="Cambria" w:hAnsi="Cambria" w:cs="Times New Roman"/>
          <w:sz w:val="24"/>
          <w:szCs w:val="24"/>
        </w:rPr>
        <w:t xml:space="preserve">i Câineni, iar din a treia lacurile din lunca Dunării. </w:t>
      </w:r>
    </w:p>
    <w:p w14:paraId="2F87A062" w14:textId="77777777" w:rsidR="00DB24FF" w:rsidRPr="00EA1BB2" w:rsidRDefault="00DB24FF" w:rsidP="00DB24FF">
      <w:pPr>
        <w:spacing w:line="360" w:lineRule="auto"/>
        <w:ind w:firstLine="708"/>
        <w:jc w:val="both"/>
        <w:rPr>
          <w:rFonts w:ascii="Cambria" w:hAnsi="Cambria" w:cs="Times New Roman"/>
          <w:sz w:val="24"/>
          <w:szCs w:val="24"/>
        </w:rPr>
      </w:pPr>
      <w:r w:rsidRPr="00EA1BB2">
        <w:rPr>
          <w:rFonts w:ascii="Cambria" w:hAnsi="Cambria" w:cs="Times New Roman"/>
          <w:sz w:val="24"/>
          <w:szCs w:val="24"/>
        </w:rPr>
        <w:t>O altă categorie a apelor de suprafa</w:t>
      </w:r>
      <w:r w:rsidR="00054880" w:rsidRPr="00EA1BB2">
        <w:rPr>
          <w:rFonts w:ascii="Cambria" w:hAnsi="Cambria" w:cs="Times New Roman"/>
          <w:sz w:val="24"/>
          <w:szCs w:val="24"/>
        </w:rPr>
        <w:t>ț</w:t>
      </w:r>
      <w:r w:rsidRPr="00EA1BB2">
        <w:rPr>
          <w:rFonts w:ascii="Cambria" w:hAnsi="Cambria" w:cs="Times New Roman"/>
          <w:sz w:val="24"/>
          <w:szCs w:val="24"/>
        </w:rPr>
        <w:t xml:space="preserve">ă o constituie lacurile terapeutice sărate, cu nămol sapropelic. Acestea sunt: Lacu Sărat Brăila, Câineni Băi, Movila Miresii, Batogu. De asemenea, se mai întâlnesc lacuri cu apă dulce </w:t>
      </w:r>
      <w:r w:rsidR="00054880" w:rsidRPr="00EA1BB2">
        <w:rPr>
          <w:rFonts w:ascii="Cambria" w:hAnsi="Cambria" w:cs="Times New Roman"/>
          <w:sz w:val="24"/>
          <w:szCs w:val="24"/>
        </w:rPr>
        <w:t>ș</w:t>
      </w:r>
      <w:r w:rsidRPr="00EA1BB2">
        <w:rPr>
          <w:rFonts w:ascii="Cambria" w:hAnsi="Cambria" w:cs="Times New Roman"/>
          <w:sz w:val="24"/>
          <w:szCs w:val="24"/>
        </w:rPr>
        <w:t xml:space="preserve">i amenajări piscicole cum ar fi: Blasova, </w:t>
      </w:r>
      <w:r w:rsidR="00054880" w:rsidRPr="00EA1BB2">
        <w:rPr>
          <w:rFonts w:ascii="Cambria" w:hAnsi="Cambria" w:cs="Times New Roman"/>
          <w:sz w:val="24"/>
          <w:szCs w:val="24"/>
        </w:rPr>
        <w:t>Ș</w:t>
      </w:r>
      <w:r w:rsidRPr="00EA1BB2">
        <w:rPr>
          <w:rFonts w:ascii="Cambria" w:hAnsi="Cambria" w:cs="Times New Roman"/>
          <w:sz w:val="24"/>
          <w:szCs w:val="24"/>
        </w:rPr>
        <w:t>eicu</w:t>
      </w:r>
      <w:r w:rsidR="00054880" w:rsidRPr="00EA1BB2">
        <w:rPr>
          <w:rFonts w:ascii="Cambria" w:hAnsi="Cambria" w:cs="Times New Roman"/>
          <w:sz w:val="24"/>
          <w:szCs w:val="24"/>
        </w:rPr>
        <w:t>ț</w:t>
      </w:r>
      <w:r w:rsidRPr="00EA1BB2">
        <w:rPr>
          <w:rFonts w:ascii="Cambria" w:hAnsi="Cambria" w:cs="Times New Roman"/>
          <w:sz w:val="24"/>
          <w:szCs w:val="24"/>
        </w:rPr>
        <w:t>a, Plopu, Lacul Dulce, Popa.</w:t>
      </w:r>
    </w:p>
    <w:p w14:paraId="01209238" w14:textId="77777777" w:rsidR="00DB24FF" w:rsidRPr="00EA1BB2" w:rsidRDefault="00DB24FF" w:rsidP="00DB24FF">
      <w:pPr>
        <w:spacing w:line="360" w:lineRule="auto"/>
        <w:ind w:firstLine="708"/>
        <w:jc w:val="both"/>
        <w:rPr>
          <w:rFonts w:ascii="Cambria" w:hAnsi="Cambria" w:cs="Times New Roman"/>
          <w:sz w:val="24"/>
          <w:szCs w:val="24"/>
        </w:rPr>
      </w:pPr>
      <w:r w:rsidRPr="00EA1BB2">
        <w:rPr>
          <w:rFonts w:ascii="Cambria" w:hAnsi="Cambria" w:cs="Times New Roman"/>
          <w:sz w:val="24"/>
          <w:szCs w:val="24"/>
        </w:rPr>
        <w:lastRenderedPageBreak/>
        <w:t>Apele subterane din jude</w:t>
      </w:r>
      <w:r w:rsidR="00054880" w:rsidRPr="00EA1BB2">
        <w:rPr>
          <w:rFonts w:ascii="Cambria" w:hAnsi="Cambria" w:cs="Times New Roman"/>
          <w:sz w:val="24"/>
          <w:szCs w:val="24"/>
        </w:rPr>
        <w:t>ț</w:t>
      </w:r>
      <w:r w:rsidRPr="00EA1BB2">
        <w:rPr>
          <w:rFonts w:ascii="Cambria" w:hAnsi="Cambria" w:cs="Times New Roman"/>
          <w:sz w:val="24"/>
          <w:szCs w:val="24"/>
        </w:rPr>
        <w:t xml:space="preserve">ul Brăila se împart în ape freatice (care nu constituie o sursă importantă de apă) </w:t>
      </w:r>
      <w:r w:rsidR="00054880" w:rsidRPr="00EA1BB2">
        <w:rPr>
          <w:rFonts w:ascii="Cambria" w:hAnsi="Cambria" w:cs="Times New Roman"/>
          <w:sz w:val="24"/>
          <w:szCs w:val="24"/>
        </w:rPr>
        <w:t>ș</w:t>
      </w:r>
      <w:r w:rsidRPr="00EA1BB2">
        <w:rPr>
          <w:rFonts w:ascii="Cambria" w:hAnsi="Cambria" w:cs="Times New Roman"/>
          <w:sz w:val="24"/>
          <w:szCs w:val="24"/>
        </w:rPr>
        <w:t>i ape de adâncime.</w:t>
      </w:r>
    </w:p>
    <w:p w14:paraId="59960DD0" w14:textId="77777777" w:rsidR="008D3B24" w:rsidRPr="00EA1BB2" w:rsidRDefault="008D3B24" w:rsidP="00A66B8B">
      <w:pPr>
        <w:spacing w:line="360" w:lineRule="auto"/>
        <w:ind w:firstLine="709"/>
        <w:jc w:val="both"/>
        <w:rPr>
          <w:rFonts w:ascii="Cambria" w:hAnsi="Cambria" w:cs="Times New Roman"/>
          <w:sz w:val="24"/>
          <w:szCs w:val="24"/>
        </w:rPr>
      </w:pPr>
    </w:p>
    <w:p w14:paraId="6C9CC97D" w14:textId="77777777" w:rsidR="005C483D" w:rsidRPr="00EA1BB2" w:rsidRDefault="005C483D" w:rsidP="00E859EF">
      <w:pPr>
        <w:pStyle w:val="ListParagraph"/>
        <w:keepNext/>
        <w:keepLines/>
        <w:numPr>
          <w:ilvl w:val="2"/>
          <w:numId w:val="1"/>
        </w:numPr>
        <w:spacing w:after="0" w:line="360" w:lineRule="auto"/>
        <w:ind w:left="1418"/>
        <w:jc w:val="both"/>
        <w:outlineLvl w:val="2"/>
        <w:rPr>
          <w:rFonts w:ascii="Cambria" w:eastAsia="Times New Roman" w:hAnsi="Cambria" w:cs="Times New Roman"/>
          <w:b/>
          <w:color w:val="0070C0"/>
          <w:sz w:val="24"/>
          <w:szCs w:val="24"/>
          <w:lang w:val="ro-RO"/>
        </w:rPr>
      </w:pPr>
      <w:bookmarkStart w:id="46" w:name="_Toc526889702"/>
      <w:r w:rsidRPr="00EA1BB2">
        <w:rPr>
          <w:rFonts w:ascii="Cambria" w:eastAsia="Times New Roman" w:hAnsi="Cambria" w:cs="Times New Roman"/>
          <w:b/>
          <w:color w:val="0070C0"/>
          <w:sz w:val="24"/>
          <w:szCs w:val="24"/>
          <w:lang w:val="ro-RO"/>
        </w:rPr>
        <w:t>Utilizarea terenurilor</w:t>
      </w:r>
      <w:bookmarkEnd w:id="46"/>
    </w:p>
    <w:p w14:paraId="55EABF6A" w14:textId="77777777" w:rsidR="005C483D" w:rsidRPr="00EA1BB2" w:rsidRDefault="005C483D" w:rsidP="005C483D">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 xml:space="preserve">Terenurile sunt o resursă finită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modul în care sunt exploatate reprezintă unul dintre principalii factori determinan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 ai schimbărilor de mediu, cu impact semnificativ asupra calită</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 vie</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ii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 xml:space="preserve">i a ecosistemelor, precum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 xml:space="preserve">i asupra gestionării infrastructurii. </w:t>
      </w:r>
    </w:p>
    <w:p w14:paraId="29BE1ADA" w14:textId="77777777" w:rsidR="00FD528B" w:rsidRPr="00EA1BB2" w:rsidRDefault="00FD528B" w:rsidP="00FD528B">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 xml:space="preserve">Utilizarea terenurilor este determinată de o serie de factori importanți: </w:t>
      </w:r>
    </w:p>
    <w:p w14:paraId="7D18F2C3" w14:textId="77777777" w:rsidR="00FD528B" w:rsidRPr="00EA1BB2" w:rsidRDefault="00FD528B" w:rsidP="00FD528B">
      <w:pPr>
        <w:numPr>
          <w:ilvl w:val="0"/>
          <w:numId w:val="2"/>
        </w:numPr>
        <w:spacing w:after="200" w:line="360" w:lineRule="auto"/>
        <w:ind w:left="567"/>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 xml:space="preserve">creșterea cererii pentru spații de locuit/persoană; </w:t>
      </w:r>
    </w:p>
    <w:p w14:paraId="41260D50" w14:textId="77777777" w:rsidR="00FD528B" w:rsidRPr="00EA1BB2" w:rsidRDefault="00FD528B" w:rsidP="00FD528B">
      <w:pPr>
        <w:numPr>
          <w:ilvl w:val="0"/>
          <w:numId w:val="2"/>
        </w:numPr>
        <w:spacing w:after="200" w:line="360" w:lineRule="auto"/>
        <w:ind w:left="567"/>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legătura dintre activitatea economică, creșterea mobilității și creșterea infrastructurii de transport care conduce la absorbția de teren în zona urbană;</w:t>
      </w:r>
    </w:p>
    <w:p w14:paraId="6BD9943F" w14:textId="77777777" w:rsidR="00FD528B" w:rsidRPr="00EA1BB2" w:rsidRDefault="00FD528B" w:rsidP="00FD528B">
      <w:pPr>
        <w:numPr>
          <w:ilvl w:val="0"/>
          <w:numId w:val="2"/>
        </w:numPr>
        <w:spacing w:after="200" w:line="360" w:lineRule="auto"/>
        <w:ind w:left="567"/>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creșterea cererii pentru spații de recreere și petrecerea timpului liber, etc.</w:t>
      </w:r>
    </w:p>
    <w:p w14:paraId="15191B18" w14:textId="77777777" w:rsidR="00FD528B" w:rsidRPr="00EA1BB2" w:rsidRDefault="00FD528B" w:rsidP="00FD528B">
      <w:pPr>
        <w:spacing w:line="360" w:lineRule="auto"/>
        <w:ind w:firstLine="708"/>
        <w:jc w:val="both"/>
        <w:rPr>
          <w:rFonts w:ascii="Cambria" w:eastAsia="Times New Roman" w:hAnsi="Cambria" w:cs="Times New Roman"/>
          <w:sz w:val="24"/>
          <w:szCs w:val="24"/>
        </w:rPr>
      </w:pPr>
      <w:r w:rsidRPr="00EA1BB2">
        <w:rPr>
          <w:rFonts w:ascii="Cambria" w:eastAsia="Times New Roman" w:hAnsi="Cambria" w:cs="Times New Roman"/>
          <w:sz w:val="24"/>
          <w:szCs w:val="24"/>
        </w:rPr>
        <w:t>Modul de utilizare a terenurilor s-a schimbat substanțial în ultimul secol, determinând astfel creșterea gradului de fragmentare a peisajelor naturale și semi-naturale. Principala cauză a fragmentării arealelor naturale și semi-naturale este reprezentată de conversia terenurilor în scopul extinderii urbane, dezvoltării infrastructurii de transport, dezvoltării industriale, agricole, turistice.</w:t>
      </w:r>
    </w:p>
    <w:p w14:paraId="7F3111E6" w14:textId="77777777" w:rsidR="00F45192" w:rsidRPr="00EA1BB2" w:rsidRDefault="00F45192" w:rsidP="00F45192">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Fondul funciar reprezintă cea mai importantă resursă naturală a țării și cuprinde totalitatea terenurilor, indiferent de destinație, de titlul pe baza căruia sunt deținute sau de domeniul public sau privat din care fac parte. Fondul funciar a fost reglementat prin Legea nr. 18/1991, cu modificările și completările ulterioare.</w:t>
      </w:r>
    </w:p>
    <w:p w14:paraId="1888AEE0" w14:textId="77777777" w:rsidR="00F45192" w:rsidRPr="00EA1BB2" w:rsidRDefault="00F45192" w:rsidP="00F45192">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În funcție de destinație, terenurile sunt:</w:t>
      </w:r>
    </w:p>
    <w:p w14:paraId="4EA986D7" w14:textId="77777777" w:rsidR="00F45192" w:rsidRPr="00EA1BB2" w:rsidRDefault="00F45192" w:rsidP="00F45192">
      <w:pPr>
        <w:numPr>
          <w:ilvl w:val="0"/>
          <w:numId w:val="3"/>
        </w:numPr>
        <w:spacing w:after="200" w:line="360" w:lineRule="auto"/>
        <w:ind w:left="567"/>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terenuri cu destinație agricolă;</w:t>
      </w:r>
    </w:p>
    <w:p w14:paraId="58A6BA2D" w14:textId="77777777" w:rsidR="00F45192" w:rsidRPr="00EA1BB2" w:rsidRDefault="00F45192" w:rsidP="00F45192">
      <w:pPr>
        <w:numPr>
          <w:ilvl w:val="0"/>
          <w:numId w:val="3"/>
        </w:numPr>
        <w:spacing w:after="200" w:line="360" w:lineRule="auto"/>
        <w:ind w:left="567"/>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terenuri cu destinație forestieră;</w:t>
      </w:r>
    </w:p>
    <w:p w14:paraId="0F41228C" w14:textId="77777777" w:rsidR="00F45192" w:rsidRPr="00EA1BB2" w:rsidRDefault="00F45192" w:rsidP="00F45192">
      <w:pPr>
        <w:numPr>
          <w:ilvl w:val="0"/>
          <w:numId w:val="3"/>
        </w:numPr>
        <w:spacing w:after="200" w:line="360" w:lineRule="auto"/>
        <w:ind w:left="567"/>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terenuri aflate permanent sub ape;</w:t>
      </w:r>
    </w:p>
    <w:p w14:paraId="50D7124D" w14:textId="77777777" w:rsidR="00F45192" w:rsidRPr="00EA1BB2" w:rsidRDefault="00F45192" w:rsidP="00F45192">
      <w:pPr>
        <w:numPr>
          <w:ilvl w:val="0"/>
          <w:numId w:val="3"/>
        </w:numPr>
        <w:spacing w:after="200" w:line="360" w:lineRule="auto"/>
        <w:ind w:left="567"/>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terenuri din intravilan, aferente localităților urbane și rurale pe care sunt amplasate construcțiile, alte amenajări ale localităților, inclusiv terenurile agricole și forestiere;</w:t>
      </w:r>
    </w:p>
    <w:p w14:paraId="65E5EBB6" w14:textId="77777777" w:rsidR="00F45192" w:rsidRPr="00EA1BB2" w:rsidRDefault="00F45192" w:rsidP="00F45192">
      <w:pPr>
        <w:numPr>
          <w:ilvl w:val="0"/>
          <w:numId w:val="3"/>
        </w:numPr>
        <w:spacing w:after="200" w:line="360" w:lineRule="auto"/>
        <w:ind w:left="567"/>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terenuri cu destinații speciale cum sunt cele folosite cele pentru transporturile rutiere, feroviare, navale și aeriene, plajele, rezervațiile, monumentele naturii, ansamblurile și siturile arheologice și istorice etc.</w:t>
      </w:r>
    </w:p>
    <w:p w14:paraId="409099DB" w14:textId="77777777" w:rsidR="00F45192" w:rsidRPr="00EA1BB2" w:rsidRDefault="00F45192" w:rsidP="00F45192">
      <w:pPr>
        <w:spacing w:line="360" w:lineRule="auto"/>
        <w:ind w:firstLine="720"/>
        <w:jc w:val="both"/>
        <w:rPr>
          <w:rFonts w:ascii="Cambria" w:eastAsia="Times New Roman" w:hAnsi="Cambria" w:cs="Times New Roman"/>
          <w:sz w:val="24"/>
          <w:szCs w:val="24"/>
        </w:rPr>
      </w:pPr>
      <w:r w:rsidRPr="00EA1BB2">
        <w:rPr>
          <w:rFonts w:ascii="Cambria" w:eastAsia="Times New Roman" w:hAnsi="Cambria" w:cs="Times New Roman"/>
          <w:sz w:val="24"/>
          <w:szCs w:val="24"/>
        </w:rPr>
        <w:t>În categoria terenurilor cu destinație agricolă intră:</w:t>
      </w:r>
    </w:p>
    <w:p w14:paraId="066B4040" w14:textId="77777777" w:rsidR="00F45192" w:rsidRPr="00EA1BB2" w:rsidRDefault="00F45192" w:rsidP="00F45192">
      <w:pPr>
        <w:numPr>
          <w:ilvl w:val="0"/>
          <w:numId w:val="4"/>
        </w:numPr>
        <w:spacing w:after="200" w:line="360" w:lineRule="auto"/>
        <w:ind w:left="567"/>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terenurile agricole productive – terenurile arabile, viile livezile, pepinierele viticole, pomicole, pășunile, fânețele, serele, solariile, răsadnițele etc.</w:t>
      </w:r>
    </w:p>
    <w:p w14:paraId="5B8C9AFC" w14:textId="77777777" w:rsidR="00F45192" w:rsidRPr="00EA1BB2" w:rsidRDefault="00F45192" w:rsidP="00F45192">
      <w:pPr>
        <w:numPr>
          <w:ilvl w:val="0"/>
          <w:numId w:val="4"/>
        </w:numPr>
        <w:spacing w:after="200" w:line="360" w:lineRule="auto"/>
        <w:ind w:left="567"/>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lastRenderedPageBreak/>
        <w:t>terenurile cu vegetație forestieră dacă nu fac parte din amenajamentele silvice, pășunile împădurite;</w:t>
      </w:r>
    </w:p>
    <w:p w14:paraId="3C22972E" w14:textId="77777777" w:rsidR="00F45192" w:rsidRPr="00EA1BB2" w:rsidRDefault="00F45192" w:rsidP="00F45192">
      <w:pPr>
        <w:numPr>
          <w:ilvl w:val="0"/>
          <w:numId w:val="4"/>
        </w:numPr>
        <w:spacing w:after="200" w:line="360" w:lineRule="auto"/>
        <w:ind w:left="567"/>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terenurile ocupate cu construcții și instalații agrozootehnice, amenajări piscicole și de îmbunătățiri funciare, drumuri tehnologice etc.</w:t>
      </w:r>
    </w:p>
    <w:p w14:paraId="160E8D31" w14:textId="77777777" w:rsidR="00F45192" w:rsidRPr="00EA1BB2" w:rsidRDefault="00F45192" w:rsidP="00F45192">
      <w:pPr>
        <w:numPr>
          <w:ilvl w:val="0"/>
          <w:numId w:val="4"/>
        </w:numPr>
        <w:spacing w:after="200" w:line="360" w:lineRule="auto"/>
        <w:ind w:left="567"/>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terenuri neproductive care pot fi amenajate și folosite pentru producția agricolă.</w:t>
      </w:r>
    </w:p>
    <w:p w14:paraId="474B3D3C" w14:textId="77777777" w:rsidR="008C5E60" w:rsidRPr="00EA1BB2" w:rsidRDefault="008C5E60" w:rsidP="005C483D">
      <w:pPr>
        <w:spacing w:line="360" w:lineRule="auto"/>
        <w:ind w:firstLine="709"/>
        <w:jc w:val="both"/>
        <w:rPr>
          <w:rFonts w:ascii="Cambria" w:eastAsia="Times New Roman" w:hAnsi="Cambria" w:cs="Times New Roman"/>
          <w:sz w:val="24"/>
          <w:szCs w:val="24"/>
        </w:rPr>
      </w:pPr>
    </w:p>
    <w:p w14:paraId="2C78F59F" w14:textId="012FBC35" w:rsidR="003271D2" w:rsidRPr="00EA1BB2" w:rsidRDefault="003271D2" w:rsidP="003C58E1">
      <w:pPr>
        <w:pStyle w:val="Caption"/>
        <w:keepNext/>
        <w:spacing w:after="0" w:line="360" w:lineRule="auto"/>
        <w:ind w:firstLine="709"/>
        <w:rPr>
          <w:rFonts w:ascii="Cambria" w:hAnsi="Cambria"/>
          <w:szCs w:val="24"/>
        </w:rPr>
      </w:pPr>
      <w:bookmarkStart w:id="47" w:name="_Toc524966204"/>
      <w:r w:rsidRPr="00EA1BB2">
        <w:rPr>
          <w:rFonts w:ascii="Cambria" w:hAnsi="Cambria"/>
          <w:szCs w:val="24"/>
        </w:rPr>
        <w:t xml:space="preserve">Figura nr. </w:t>
      </w:r>
      <w:r w:rsidR="00280BC9" w:rsidRPr="00EA1BB2">
        <w:rPr>
          <w:rFonts w:ascii="Cambria" w:hAnsi="Cambria"/>
          <w:szCs w:val="24"/>
        </w:rPr>
        <w:fldChar w:fldCharType="begin"/>
      </w:r>
      <w:r w:rsidR="00BA6FA3" w:rsidRPr="00EA1BB2">
        <w:rPr>
          <w:rFonts w:ascii="Cambria" w:hAnsi="Cambria"/>
          <w:szCs w:val="24"/>
        </w:rPr>
        <w:instrText xml:space="preserve"> STYLEREF 1 \s </w:instrText>
      </w:r>
      <w:r w:rsidR="00280BC9" w:rsidRPr="00EA1BB2">
        <w:rPr>
          <w:rFonts w:ascii="Cambria" w:hAnsi="Cambria"/>
          <w:szCs w:val="24"/>
        </w:rPr>
        <w:fldChar w:fldCharType="separate"/>
      </w:r>
      <w:r w:rsidR="00567555">
        <w:rPr>
          <w:rFonts w:ascii="Cambria" w:hAnsi="Cambria"/>
          <w:noProof/>
          <w:szCs w:val="24"/>
        </w:rPr>
        <w:t>2</w:t>
      </w:r>
      <w:r w:rsidR="00280BC9" w:rsidRPr="00EA1BB2">
        <w:rPr>
          <w:rFonts w:ascii="Cambria" w:hAnsi="Cambria"/>
          <w:szCs w:val="24"/>
        </w:rPr>
        <w:fldChar w:fldCharType="end"/>
      </w:r>
      <w:r w:rsidR="00BA6FA3" w:rsidRPr="00EA1BB2">
        <w:rPr>
          <w:rFonts w:ascii="Cambria" w:hAnsi="Cambria"/>
          <w:szCs w:val="24"/>
        </w:rPr>
        <w:noBreakHyphen/>
      </w:r>
      <w:r w:rsidR="00280BC9" w:rsidRPr="00EA1BB2">
        <w:rPr>
          <w:rFonts w:ascii="Cambria" w:hAnsi="Cambria"/>
          <w:szCs w:val="24"/>
        </w:rPr>
        <w:fldChar w:fldCharType="begin"/>
      </w:r>
      <w:r w:rsidR="00BA6FA3" w:rsidRPr="00EA1BB2">
        <w:rPr>
          <w:rFonts w:ascii="Cambria" w:hAnsi="Cambria"/>
          <w:szCs w:val="24"/>
        </w:rPr>
        <w:instrText xml:space="preserve"> SEQ Figura_nr. \* ARABIC \s 1 </w:instrText>
      </w:r>
      <w:r w:rsidR="00280BC9" w:rsidRPr="00EA1BB2">
        <w:rPr>
          <w:rFonts w:ascii="Cambria" w:hAnsi="Cambria"/>
          <w:szCs w:val="24"/>
        </w:rPr>
        <w:fldChar w:fldCharType="separate"/>
      </w:r>
      <w:r w:rsidR="00567555">
        <w:rPr>
          <w:rFonts w:ascii="Cambria" w:hAnsi="Cambria"/>
          <w:noProof/>
          <w:szCs w:val="24"/>
        </w:rPr>
        <w:t>11</w:t>
      </w:r>
      <w:r w:rsidR="00280BC9" w:rsidRPr="00EA1BB2">
        <w:rPr>
          <w:rFonts w:ascii="Cambria" w:hAnsi="Cambria"/>
          <w:szCs w:val="24"/>
        </w:rPr>
        <w:fldChar w:fldCharType="end"/>
      </w:r>
      <w:r w:rsidRPr="00EA1BB2">
        <w:rPr>
          <w:rFonts w:ascii="Cambria" w:hAnsi="Cambria"/>
          <w:szCs w:val="24"/>
        </w:rPr>
        <w:t xml:space="preserve"> – Utilizarea terenurilor în jude</w:t>
      </w:r>
      <w:r w:rsidR="00054880" w:rsidRPr="00EA1BB2">
        <w:rPr>
          <w:rFonts w:ascii="Cambria" w:hAnsi="Cambria"/>
          <w:szCs w:val="24"/>
        </w:rPr>
        <w:t>ț</w:t>
      </w:r>
      <w:r w:rsidR="00F8376F" w:rsidRPr="00EA1BB2">
        <w:rPr>
          <w:rFonts w:ascii="Cambria" w:hAnsi="Cambria"/>
          <w:szCs w:val="24"/>
        </w:rPr>
        <w:t>ul</w:t>
      </w:r>
      <w:r w:rsidRPr="00EA1BB2">
        <w:rPr>
          <w:rFonts w:ascii="Cambria" w:hAnsi="Cambria"/>
          <w:szCs w:val="24"/>
        </w:rPr>
        <w:t xml:space="preserve"> Brăila</w:t>
      </w:r>
      <w:r w:rsidRPr="00EA1BB2">
        <w:rPr>
          <w:rStyle w:val="FootnoteReference"/>
          <w:rFonts w:ascii="Cambria" w:hAnsi="Cambria"/>
          <w:szCs w:val="24"/>
        </w:rPr>
        <w:footnoteReference w:id="11"/>
      </w:r>
      <w:bookmarkEnd w:id="47"/>
    </w:p>
    <w:p w14:paraId="3773B1E6" w14:textId="77777777" w:rsidR="00E64DD9" w:rsidRPr="00EA1BB2" w:rsidRDefault="003271D2" w:rsidP="00086957">
      <w:pPr>
        <w:spacing w:line="276" w:lineRule="auto"/>
        <w:jc w:val="center"/>
        <w:rPr>
          <w:rFonts w:ascii="Cambria" w:eastAsia="Times New Roman" w:hAnsi="Cambria" w:cs="Times New Roman"/>
          <w:sz w:val="24"/>
          <w:szCs w:val="24"/>
        </w:rPr>
      </w:pPr>
      <w:r w:rsidRPr="00EA1BB2">
        <w:rPr>
          <w:rFonts w:ascii="Cambria" w:eastAsia="Times New Roman" w:hAnsi="Cambria" w:cs="Times New Roman"/>
          <w:noProof/>
          <w:sz w:val="24"/>
          <w:szCs w:val="24"/>
          <w:lang w:val="en-US"/>
        </w:rPr>
        <w:drawing>
          <wp:inline distT="0" distB="0" distL="0" distR="0" wp14:anchorId="5634128C" wp14:editId="26B858A2">
            <wp:extent cx="5738040" cy="4061638"/>
            <wp:effectExtent l="19050" t="19050" r="15240" b="1524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4.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46894" cy="4067905"/>
                    </a:xfrm>
                    <a:prstGeom prst="rect">
                      <a:avLst/>
                    </a:prstGeom>
                    <a:ln>
                      <a:solidFill>
                        <a:schemeClr val="bg1">
                          <a:lumMod val="85000"/>
                        </a:schemeClr>
                      </a:solidFill>
                    </a:ln>
                  </pic:spPr>
                </pic:pic>
              </a:graphicData>
            </a:graphic>
          </wp:inline>
        </w:drawing>
      </w:r>
    </w:p>
    <w:p w14:paraId="6C7C95ED" w14:textId="77777777" w:rsidR="00086957" w:rsidRPr="00EA1BB2" w:rsidRDefault="00086957" w:rsidP="006C77BA">
      <w:pPr>
        <w:tabs>
          <w:tab w:val="left" w:pos="2160"/>
          <w:tab w:val="left" w:leader="dot" w:pos="8640"/>
        </w:tabs>
        <w:spacing w:line="360" w:lineRule="auto"/>
        <w:ind w:right="-38" w:firstLine="720"/>
        <w:jc w:val="both"/>
        <w:rPr>
          <w:rFonts w:ascii="Cambria" w:eastAsia="SimSun" w:hAnsi="Cambria" w:cs="Times New Roman"/>
          <w:sz w:val="24"/>
          <w:szCs w:val="24"/>
        </w:rPr>
      </w:pPr>
    </w:p>
    <w:p w14:paraId="029088FB" w14:textId="77777777" w:rsidR="006C77BA" w:rsidRPr="00EA1BB2" w:rsidRDefault="005C483D" w:rsidP="006C77BA">
      <w:pPr>
        <w:tabs>
          <w:tab w:val="left" w:pos="2160"/>
          <w:tab w:val="left" w:leader="dot" w:pos="8640"/>
        </w:tabs>
        <w:spacing w:line="360" w:lineRule="auto"/>
        <w:ind w:right="-38" w:firstLine="720"/>
        <w:jc w:val="both"/>
        <w:rPr>
          <w:rFonts w:ascii="Cambria" w:eastAsia="SimSun" w:hAnsi="Cambria" w:cs="Times New Roman"/>
          <w:sz w:val="24"/>
          <w:szCs w:val="24"/>
        </w:rPr>
      </w:pPr>
      <w:r w:rsidRPr="00EA1BB2">
        <w:rPr>
          <w:rFonts w:ascii="Cambria" w:eastAsia="SimSun" w:hAnsi="Cambria" w:cs="Times New Roman"/>
          <w:sz w:val="24"/>
          <w:szCs w:val="24"/>
        </w:rPr>
        <w:t>Structura fondului funciar din jude</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 xml:space="preserve">ul Brăila </w:t>
      </w:r>
      <w:r w:rsidR="00B62563" w:rsidRPr="00EA1BB2">
        <w:rPr>
          <w:rFonts w:ascii="Cambria" w:eastAsia="SimSun" w:hAnsi="Cambria" w:cs="Times New Roman"/>
          <w:sz w:val="24"/>
          <w:szCs w:val="24"/>
        </w:rPr>
        <w:t xml:space="preserve">în anul de referință 2013, </w:t>
      </w:r>
      <w:r w:rsidRPr="00EA1BB2">
        <w:rPr>
          <w:rFonts w:ascii="Cambria" w:eastAsia="SimSun" w:hAnsi="Cambria" w:cs="Times New Roman"/>
          <w:sz w:val="24"/>
          <w:szCs w:val="24"/>
        </w:rPr>
        <w:t xml:space="preserve">este prezentată în </w:t>
      </w:r>
      <w:r w:rsidR="00F56907" w:rsidRPr="00EA1BB2">
        <w:rPr>
          <w:rFonts w:ascii="Cambria" w:eastAsia="SimSun" w:hAnsi="Cambria" w:cs="Times New Roman"/>
          <w:sz w:val="24"/>
          <w:szCs w:val="24"/>
        </w:rPr>
        <w:t>tabelul 2-</w:t>
      </w:r>
      <w:r w:rsidR="008A0A36" w:rsidRPr="00EA1BB2">
        <w:rPr>
          <w:rFonts w:ascii="Cambria" w:eastAsia="SimSun" w:hAnsi="Cambria" w:cs="Times New Roman"/>
          <w:sz w:val="24"/>
          <w:szCs w:val="24"/>
        </w:rPr>
        <w:t>7</w:t>
      </w:r>
      <w:r w:rsidR="006C77BA" w:rsidRPr="00EA1BB2">
        <w:rPr>
          <w:rFonts w:ascii="Cambria" w:eastAsia="SimSun" w:hAnsi="Cambria" w:cs="Times New Roman"/>
          <w:sz w:val="24"/>
          <w:szCs w:val="24"/>
        </w:rPr>
        <w:t>. Ponderea principală a terenurilor din jude</w:t>
      </w:r>
      <w:r w:rsidR="00054880" w:rsidRPr="00EA1BB2">
        <w:rPr>
          <w:rFonts w:ascii="Cambria" w:eastAsia="SimSun" w:hAnsi="Cambria" w:cs="Times New Roman"/>
          <w:sz w:val="24"/>
          <w:szCs w:val="24"/>
        </w:rPr>
        <w:t>ț</w:t>
      </w:r>
      <w:r w:rsidR="006C77BA" w:rsidRPr="00EA1BB2">
        <w:rPr>
          <w:rFonts w:ascii="Cambria" w:eastAsia="SimSun" w:hAnsi="Cambria" w:cs="Times New Roman"/>
          <w:sz w:val="24"/>
          <w:szCs w:val="24"/>
        </w:rPr>
        <w:t>ul Brăila o de</w:t>
      </w:r>
      <w:r w:rsidR="00054880" w:rsidRPr="00EA1BB2">
        <w:rPr>
          <w:rFonts w:ascii="Cambria" w:eastAsia="SimSun" w:hAnsi="Cambria" w:cs="Times New Roman"/>
          <w:sz w:val="24"/>
          <w:szCs w:val="24"/>
        </w:rPr>
        <w:t>ț</w:t>
      </w:r>
      <w:r w:rsidR="006C77BA" w:rsidRPr="00EA1BB2">
        <w:rPr>
          <w:rFonts w:ascii="Cambria" w:eastAsia="SimSun" w:hAnsi="Cambria" w:cs="Times New Roman"/>
          <w:sz w:val="24"/>
          <w:szCs w:val="24"/>
        </w:rPr>
        <w:t>in terenurile agricole (81,36%), urmate de ape (6,3</w:t>
      </w:r>
      <w:r w:rsidR="0048603B" w:rsidRPr="00EA1BB2">
        <w:rPr>
          <w:rFonts w:ascii="Cambria" w:eastAsia="SimSun" w:hAnsi="Cambria" w:cs="Times New Roman"/>
          <w:sz w:val="24"/>
          <w:szCs w:val="24"/>
        </w:rPr>
        <w:t>7</w:t>
      </w:r>
      <w:r w:rsidR="006C77BA" w:rsidRPr="00EA1BB2">
        <w:rPr>
          <w:rFonts w:ascii="Cambria" w:eastAsia="SimSun" w:hAnsi="Cambria" w:cs="Times New Roman"/>
          <w:sz w:val="24"/>
          <w:szCs w:val="24"/>
        </w:rPr>
        <w:t xml:space="preserve">%) </w:t>
      </w:r>
      <w:r w:rsidR="00054880" w:rsidRPr="00EA1BB2">
        <w:rPr>
          <w:rFonts w:ascii="Cambria" w:eastAsia="SimSun" w:hAnsi="Cambria" w:cs="Times New Roman"/>
          <w:sz w:val="24"/>
          <w:szCs w:val="24"/>
        </w:rPr>
        <w:t>ș</w:t>
      </w:r>
      <w:r w:rsidR="006C77BA" w:rsidRPr="00EA1BB2">
        <w:rPr>
          <w:rFonts w:ascii="Cambria" w:eastAsia="SimSun" w:hAnsi="Cambria" w:cs="Times New Roman"/>
          <w:sz w:val="24"/>
          <w:szCs w:val="24"/>
        </w:rPr>
        <w:t xml:space="preserve">i păduri </w:t>
      </w:r>
      <w:r w:rsidR="00054880" w:rsidRPr="00EA1BB2">
        <w:rPr>
          <w:rFonts w:ascii="Cambria" w:eastAsia="SimSun" w:hAnsi="Cambria" w:cs="Times New Roman"/>
          <w:sz w:val="24"/>
          <w:szCs w:val="24"/>
        </w:rPr>
        <w:t>ș</w:t>
      </w:r>
      <w:r w:rsidR="006C77BA" w:rsidRPr="00EA1BB2">
        <w:rPr>
          <w:rFonts w:ascii="Cambria" w:eastAsia="SimSun" w:hAnsi="Cambria" w:cs="Times New Roman"/>
          <w:sz w:val="24"/>
          <w:szCs w:val="24"/>
        </w:rPr>
        <w:t>i alte terenuri cu vegeta</w:t>
      </w:r>
      <w:r w:rsidR="00054880" w:rsidRPr="00EA1BB2">
        <w:rPr>
          <w:rFonts w:ascii="Cambria" w:eastAsia="SimSun" w:hAnsi="Cambria" w:cs="Times New Roman"/>
          <w:sz w:val="24"/>
          <w:szCs w:val="24"/>
        </w:rPr>
        <w:t>ț</w:t>
      </w:r>
      <w:r w:rsidR="006C77BA" w:rsidRPr="00EA1BB2">
        <w:rPr>
          <w:rFonts w:ascii="Cambria" w:eastAsia="SimSun" w:hAnsi="Cambria" w:cs="Times New Roman"/>
          <w:sz w:val="24"/>
          <w:szCs w:val="24"/>
        </w:rPr>
        <w:t xml:space="preserve">ie forestieră (6,02%). Alte categorii de terenuri ocupă </w:t>
      </w:r>
      <w:r w:rsidR="0048603B" w:rsidRPr="00EA1BB2">
        <w:rPr>
          <w:rFonts w:ascii="Cambria" w:eastAsia="SimSun" w:hAnsi="Cambria" w:cs="Times New Roman"/>
          <w:sz w:val="24"/>
          <w:szCs w:val="24"/>
        </w:rPr>
        <w:t>6,25</w:t>
      </w:r>
      <w:r w:rsidR="00086957" w:rsidRPr="00EA1BB2">
        <w:rPr>
          <w:rFonts w:ascii="Cambria" w:eastAsia="SimSun" w:hAnsi="Cambria" w:cs="Times New Roman"/>
          <w:sz w:val="24"/>
          <w:szCs w:val="24"/>
        </w:rPr>
        <w:t xml:space="preserve"> % (</w:t>
      </w:r>
      <w:r w:rsidR="006C77BA" w:rsidRPr="00EA1BB2">
        <w:rPr>
          <w:rFonts w:ascii="Cambria" w:eastAsia="SimSun" w:hAnsi="Cambria" w:cs="Times New Roman"/>
          <w:sz w:val="24"/>
          <w:szCs w:val="24"/>
        </w:rPr>
        <w:t xml:space="preserve">drumuri </w:t>
      </w:r>
      <w:r w:rsidR="00054880" w:rsidRPr="00EA1BB2">
        <w:rPr>
          <w:rFonts w:ascii="Cambria" w:eastAsia="SimSun" w:hAnsi="Cambria" w:cs="Times New Roman"/>
          <w:sz w:val="24"/>
          <w:szCs w:val="24"/>
        </w:rPr>
        <w:t>ș</w:t>
      </w:r>
      <w:r w:rsidR="006C77BA" w:rsidRPr="00EA1BB2">
        <w:rPr>
          <w:rFonts w:ascii="Cambria" w:eastAsia="SimSun" w:hAnsi="Cambria" w:cs="Times New Roman"/>
          <w:sz w:val="24"/>
          <w:szCs w:val="24"/>
        </w:rPr>
        <w:t>i căi ferate, cur</w:t>
      </w:r>
      <w:r w:rsidR="00054880" w:rsidRPr="00EA1BB2">
        <w:rPr>
          <w:rFonts w:ascii="Cambria" w:eastAsia="SimSun" w:hAnsi="Cambria" w:cs="Times New Roman"/>
          <w:sz w:val="24"/>
          <w:szCs w:val="24"/>
        </w:rPr>
        <w:t>ț</w:t>
      </w:r>
      <w:r w:rsidR="006C77BA" w:rsidRPr="00EA1BB2">
        <w:rPr>
          <w:rFonts w:ascii="Cambria" w:eastAsia="SimSun" w:hAnsi="Cambria" w:cs="Times New Roman"/>
          <w:sz w:val="24"/>
          <w:szCs w:val="24"/>
        </w:rPr>
        <w:t xml:space="preserve">i </w:t>
      </w:r>
      <w:r w:rsidR="00054880" w:rsidRPr="00EA1BB2">
        <w:rPr>
          <w:rFonts w:ascii="Cambria" w:eastAsia="SimSun" w:hAnsi="Cambria" w:cs="Times New Roman"/>
          <w:sz w:val="24"/>
          <w:szCs w:val="24"/>
        </w:rPr>
        <w:t>ș</w:t>
      </w:r>
      <w:r w:rsidR="006C77BA" w:rsidRPr="00EA1BB2">
        <w:rPr>
          <w:rFonts w:ascii="Cambria" w:eastAsia="SimSun" w:hAnsi="Cambria" w:cs="Times New Roman"/>
          <w:sz w:val="24"/>
          <w:szCs w:val="24"/>
        </w:rPr>
        <w:t>i construc</w:t>
      </w:r>
      <w:r w:rsidR="00054880" w:rsidRPr="00EA1BB2">
        <w:rPr>
          <w:rFonts w:ascii="Cambria" w:eastAsia="SimSun" w:hAnsi="Cambria" w:cs="Times New Roman"/>
          <w:sz w:val="24"/>
          <w:szCs w:val="24"/>
        </w:rPr>
        <w:t>ț</w:t>
      </w:r>
      <w:r w:rsidR="006C77BA" w:rsidRPr="00EA1BB2">
        <w:rPr>
          <w:rFonts w:ascii="Cambria" w:eastAsia="SimSun" w:hAnsi="Cambria" w:cs="Times New Roman"/>
          <w:sz w:val="24"/>
          <w:szCs w:val="24"/>
        </w:rPr>
        <w:t>ii</w:t>
      </w:r>
      <w:r w:rsidR="00086957" w:rsidRPr="00EA1BB2">
        <w:rPr>
          <w:rFonts w:ascii="Cambria" w:eastAsia="SimSun" w:hAnsi="Cambria" w:cs="Times New Roman"/>
          <w:sz w:val="24"/>
          <w:szCs w:val="24"/>
        </w:rPr>
        <w:t>, neproductive</w:t>
      </w:r>
      <w:r w:rsidR="006C77BA" w:rsidRPr="00EA1BB2">
        <w:rPr>
          <w:rFonts w:ascii="Cambria" w:eastAsia="SimSun" w:hAnsi="Cambria" w:cs="Times New Roman"/>
          <w:sz w:val="24"/>
          <w:szCs w:val="24"/>
        </w:rPr>
        <w:t>).Ponderea principală a terenurilor agricole din jude</w:t>
      </w:r>
      <w:r w:rsidR="00054880" w:rsidRPr="00EA1BB2">
        <w:rPr>
          <w:rFonts w:ascii="Cambria" w:eastAsia="SimSun" w:hAnsi="Cambria" w:cs="Times New Roman"/>
          <w:sz w:val="24"/>
          <w:szCs w:val="24"/>
        </w:rPr>
        <w:t>ț</w:t>
      </w:r>
      <w:r w:rsidR="006C77BA" w:rsidRPr="00EA1BB2">
        <w:rPr>
          <w:rFonts w:ascii="Cambria" w:eastAsia="SimSun" w:hAnsi="Cambria" w:cs="Times New Roman"/>
          <w:sz w:val="24"/>
          <w:szCs w:val="24"/>
        </w:rPr>
        <w:t>ul Brăila o de</w:t>
      </w:r>
      <w:r w:rsidR="00054880" w:rsidRPr="00EA1BB2">
        <w:rPr>
          <w:rFonts w:ascii="Cambria" w:eastAsia="SimSun" w:hAnsi="Cambria" w:cs="Times New Roman"/>
          <w:sz w:val="24"/>
          <w:szCs w:val="24"/>
        </w:rPr>
        <w:t>ț</w:t>
      </w:r>
      <w:r w:rsidR="006C77BA" w:rsidRPr="00EA1BB2">
        <w:rPr>
          <w:rFonts w:ascii="Cambria" w:eastAsia="SimSun" w:hAnsi="Cambria" w:cs="Times New Roman"/>
          <w:sz w:val="24"/>
          <w:szCs w:val="24"/>
        </w:rPr>
        <w:t>in terenurile agricole arabile.</w:t>
      </w:r>
    </w:p>
    <w:p w14:paraId="7DE3BD9A" w14:textId="01E856DC" w:rsidR="003C58E1" w:rsidRPr="00EA1BB2" w:rsidRDefault="003C58E1" w:rsidP="005C483D">
      <w:pPr>
        <w:tabs>
          <w:tab w:val="left" w:pos="2160"/>
          <w:tab w:val="left" w:leader="dot" w:pos="8640"/>
        </w:tabs>
        <w:spacing w:line="360" w:lineRule="auto"/>
        <w:ind w:right="-38"/>
        <w:jc w:val="both"/>
        <w:rPr>
          <w:rFonts w:ascii="Cambria" w:eastAsia="SimSun" w:hAnsi="Cambria" w:cs="Times New Roman"/>
          <w:sz w:val="24"/>
          <w:szCs w:val="24"/>
        </w:rPr>
      </w:pPr>
    </w:p>
    <w:p w14:paraId="4958F131" w14:textId="77777777" w:rsidR="00B363AD" w:rsidRPr="00EA1BB2" w:rsidRDefault="00B363AD" w:rsidP="005C483D">
      <w:pPr>
        <w:tabs>
          <w:tab w:val="left" w:pos="2160"/>
          <w:tab w:val="left" w:leader="dot" w:pos="8640"/>
        </w:tabs>
        <w:spacing w:line="360" w:lineRule="auto"/>
        <w:ind w:right="-38"/>
        <w:jc w:val="both"/>
        <w:rPr>
          <w:rFonts w:ascii="Cambria" w:eastAsia="SimSun" w:hAnsi="Cambria" w:cs="Times New Roman"/>
          <w:sz w:val="24"/>
          <w:szCs w:val="24"/>
        </w:rPr>
      </w:pPr>
    </w:p>
    <w:p w14:paraId="24EDB489" w14:textId="6D6C8F2A" w:rsidR="005C483D" w:rsidRPr="00EA1BB2" w:rsidRDefault="005C483D" w:rsidP="00A964B9">
      <w:pPr>
        <w:keepNext/>
        <w:spacing w:after="200"/>
        <w:ind w:firstLine="708"/>
        <w:jc w:val="both"/>
        <w:rPr>
          <w:rFonts w:ascii="Cambria" w:hAnsi="Cambria"/>
          <w:b/>
          <w:sz w:val="24"/>
          <w:szCs w:val="24"/>
        </w:rPr>
      </w:pPr>
      <w:bookmarkStart w:id="48" w:name="_Toc526889764"/>
      <w:r w:rsidRPr="00EA1BB2">
        <w:rPr>
          <w:rFonts w:ascii="Cambria" w:hAnsi="Cambria"/>
          <w:b/>
          <w:iCs/>
          <w:sz w:val="24"/>
          <w:szCs w:val="24"/>
        </w:rPr>
        <w:lastRenderedPageBreak/>
        <w:t xml:space="preserve">Tabelul nr. </w:t>
      </w:r>
      <w:r w:rsidR="000A2FE7" w:rsidRPr="00EA1BB2">
        <w:rPr>
          <w:rFonts w:ascii="Cambria" w:hAnsi="Cambria"/>
          <w:b/>
          <w:iCs/>
          <w:sz w:val="24"/>
          <w:szCs w:val="24"/>
        </w:rPr>
        <w:fldChar w:fldCharType="begin"/>
      </w:r>
      <w:r w:rsidR="000A2FE7" w:rsidRPr="00EA1BB2">
        <w:rPr>
          <w:rFonts w:ascii="Cambria" w:hAnsi="Cambria"/>
          <w:b/>
          <w:iCs/>
          <w:sz w:val="24"/>
          <w:szCs w:val="24"/>
        </w:rPr>
        <w:instrText xml:space="preserve"> STYLEREF 1 \s </w:instrText>
      </w:r>
      <w:r w:rsidR="000A2FE7" w:rsidRPr="00EA1BB2">
        <w:rPr>
          <w:rFonts w:ascii="Cambria" w:hAnsi="Cambria"/>
          <w:b/>
          <w:iCs/>
          <w:sz w:val="24"/>
          <w:szCs w:val="24"/>
        </w:rPr>
        <w:fldChar w:fldCharType="separate"/>
      </w:r>
      <w:r w:rsidR="00567555">
        <w:rPr>
          <w:rFonts w:ascii="Cambria" w:hAnsi="Cambria"/>
          <w:b/>
          <w:iCs/>
          <w:noProof/>
          <w:sz w:val="24"/>
          <w:szCs w:val="24"/>
        </w:rPr>
        <w:t>2</w:t>
      </w:r>
      <w:r w:rsidR="000A2FE7" w:rsidRPr="00EA1BB2">
        <w:rPr>
          <w:rFonts w:ascii="Cambria" w:hAnsi="Cambria"/>
          <w:b/>
          <w:iCs/>
          <w:sz w:val="24"/>
          <w:szCs w:val="24"/>
        </w:rPr>
        <w:fldChar w:fldCharType="end"/>
      </w:r>
      <w:r w:rsidR="000A2FE7" w:rsidRPr="00EA1BB2">
        <w:rPr>
          <w:rFonts w:ascii="Cambria" w:hAnsi="Cambria"/>
          <w:b/>
          <w:iCs/>
          <w:sz w:val="24"/>
          <w:szCs w:val="24"/>
        </w:rPr>
        <w:noBreakHyphen/>
      </w:r>
      <w:r w:rsidR="000A2FE7" w:rsidRPr="00EA1BB2">
        <w:rPr>
          <w:rFonts w:ascii="Cambria" w:hAnsi="Cambria"/>
          <w:b/>
          <w:iCs/>
          <w:sz w:val="24"/>
          <w:szCs w:val="24"/>
        </w:rPr>
        <w:fldChar w:fldCharType="begin"/>
      </w:r>
      <w:r w:rsidR="000A2FE7" w:rsidRPr="00EA1BB2">
        <w:rPr>
          <w:rFonts w:ascii="Cambria" w:hAnsi="Cambria"/>
          <w:b/>
          <w:iCs/>
          <w:sz w:val="24"/>
          <w:szCs w:val="24"/>
        </w:rPr>
        <w:instrText xml:space="preserve"> SEQ Tabelul_nr. \* ARABIC \s 1 </w:instrText>
      </w:r>
      <w:r w:rsidR="000A2FE7" w:rsidRPr="00EA1BB2">
        <w:rPr>
          <w:rFonts w:ascii="Cambria" w:hAnsi="Cambria"/>
          <w:b/>
          <w:iCs/>
          <w:sz w:val="24"/>
          <w:szCs w:val="24"/>
        </w:rPr>
        <w:fldChar w:fldCharType="separate"/>
      </w:r>
      <w:r w:rsidR="00567555">
        <w:rPr>
          <w:rFonts w:ascii="Cambria" w:hAnsi="Cambria"/>
          <w:b/>
          <w:iCs/>
          <w:noProof/>
          <w:sz w:val="24"/>
          <w:szCs w:val="24"/>
        </w:rPr>
        <w:t>7</w:t>
      </w:r>
      <w:r w:rsidR="000A2FE7" w:rsidRPr="00EA1BB2">
        <w:rPr>
          <w:rFonts w:ascii="Cambria" w:hAnsi="Cambria"/>
          <w:b/>
          <w:iCs/>
          <w:sz w:val="24"/>
          <w:szCs w:val="24"/>
        </w:rPr>
        <w:fldChar w:fldCharType="end"/>
      </w:r>
      <w:r w:rsidR="00A964B9" w:rsidRPr="00EA1BB2">
        <w:rPr>
          <w:rFonts w:ascii="Cambria" w:hAnsi="Cambria"/>
          <w:b/>
          <w:iCs/>
          <w:sz w:val="24"/>
          <w:szCs w:val="24"/>
        </w:rPr>
        <w:t xml:space="preserve"> - </w:t>
      </w:r>
      <w:r w:rsidRPr="00EA1BB2">
        <w:rPr>
          <w:rFonts w:ascii="Cambria" w:eastAsia="SimSun" w:hAnsi="Cambria" w:cs="Times New Roman"/>
          <w:b/>
          <w:sz w:val="24"/>
          <w:szCs w:val="24"/>
        </w:rPr>
        <w:t>Structura fondului funciar din jude</w:t>
      </w:r>
      <w:r w:rsidR="00054880" w:rsidRPr="00EA1BB2">
        <w:rPr>
          <w:rFonts w:ascii="Cambria" w:eastAsia="SimSun" w:hAnsi="Cambria" w:cs="Times New Roman"/>
          <w:b/>
          <w:sz w:val="24"/>
          <w:szCs w:val="24"/>
        </w:rPr>
        <w:t>ț</w:t>
      </w:r>
      <w:r w:rsidRPr="00EA1BB2">
        <w:rPr>
          <w:rFonts w:ascii="Cambria" w:eastAsia="SimSun" w:hAnsi="Cambria" w:cs="Times New Roman"/>
          <w:b/>
          <w:sz w:val="24"/>
          <w:szCs w:val="24"/>
        </w:rPr>
        <w:t>ul Brăila</w:t>
      </w:r>
      <w:bookmarkEnd w:id="48"/>
    </w:p>
    <w:tbl>
      <w:tblPr>
        <w:tblStyle w:val="TableGrid7"/>
        <w:tblW w:w="0" w:type="auto"/>
        <w:tblLook w:val="04A0" w:firstRow="1" w:lastRow="0" w:firstColumn="1" w:lastColumn="0" w:noHBand="0" w:noVBand="1"/>
      </w:tblPr>
      <w:tblGrid>
        <w:gridCol w:w="663"/>
        <w:gridCol w:w="3090"/>
        <w:gridCol w:w="2196"/>
        <w:gridCol w:w="1559"/>
        <w:gridCol w:w="1508"/>
      </w:tblGrid>
      <w:tr w:rsidR="005C483D" w:rsidRPr="00EA1BB2" w14:paraId="32D5C3BD" w14:textId="77777777" w:rsidTr="00DD5FDE">
        <w:trPr>
          <w:tblHeader/>
        </w:trPr>
        <w:tc>
          <w:tcPr>
            <w:tcW w:w="663" w:type="dxa"/>
            <w:vMerge w:val="restart"/>
            <w:shd w:val="clear" w:color="auto" w:fill="BDD6EE" w:themeFill="accent1" w:themeFillTint="66"/>
            <w:vAlign w:val="center"/>
          </w:tcPr>
          <w:p w14:paraId="4E33B26D" w14:textId="77777777" w:rsidR="005C483D" w:rsidRPr="00EA1BB2" w:rsidRDefault="005C483D" w:rsidP="005C483D">
            <w:pPr>
              <w:tabs>
                <w:tab w:val="left" w:pos="2160"/>
                <w:tab w:val="left" w:leader="dot" w:pos="8640"/>
              </w:tabs>
              <w:spacing w:line="360" w:lineRule="auto"/>
              <w:ind w:right="-38"/>
              <w:jc w:val="center"/>
              <w:rPr>
                <w:rFonts w:ascii="Cambria" w:eastAsia="SimSun" w:hAnsi="Cambria" w:cs="Times New Roman"/>
                <w:b/>
                <w:sz w:val="24"/>
                <w:szCs w:val="24"/>
                <w:lang w:val="ro-RO"/>
              </w:rPr>
            </w:pPr>
            <w:r w:rsidRPr="00EA1BB2">
              <w:rPr>
                <w:rFonts w:ascii="Cambria" w:eastAsia="SimSun" w:hAnsi="Cambria" w:cs="Times New Roman"/>
                <w:b/>
                <w:sz w:val="24"/>
                <w:szCs w:val="24"/>
                <w:lang w:val="ro-RO"/>
              </w:rPr>
              <w:t>Nr. crt.</w:t>
            </w:r>
          </w:p>
        </w:tc>
        <w:tc>
          <w:tcPr>
            <w:tcW w:w="3090" w:type="dxa"/>
            <w:vMerge w:val="restart"/>
            <w:shd w:val="clear" w:color="auto" w:fill="BDD6EE" w:themeFill="accent1" w:themeFillTint="66"/>
            <w:vAlign w:val="center"/>
          </w:tcPr>
          <w:p w14:paraId="3050E474" w14:textId="77777777" w:rsidR="005C483D" w:rsidRPr="00EA1BB2" w:rsidRDefault="005C483D" w:rsidP="005C483D">
            <w:pPr>
              <w:tabs>
                <w:tab w:val="left" w:pos="2160"/>
                <w:tab w:val="left" w:leader="dot" w:pos="8640"/>
              </w:tabs>
              <w:spacing w:line="360" w:lineRule="auto"/>
              <w:ind w:right="-38"/>
              <w:jc w:val="center"/>
              <w:rPr>
                <w:rFonts w:ascii="Cambria" w:eastAsia="SimSun" w:hAnsi="Cambria" w:cs="Times New Roman"/>
                <w:b/>
                <w:sz w:val="24"/>
                <w:szCs w:val="24"/>
                <w:lang w:val="ro-RO"/>
              </w:rPr>
            </w:pPr>
            <w:r w:rsidRPr="00EA1BB2">
              <w:rPr>
                <w:rFonts w:ascii="Cambria" w:eastAsia="SimSun" w:hAnsi="Cambria" w:cs="Times New Roman"/>
                <w:b/>
                <w:sz w:val="24"/>
                <w:szCs w:val="24"/>
                <w:lang w:val="ro-RO"/>
              </w:rPr>
              <w:t>Tipuri de folosin</w:t>
            </w:r>
            <w:r w:rsidR="00054880" w:rsidRPr="00EA1BB2">
              <w:rPr>
                <w:rFonts w:ascii="Cambria" w:eastAsia="SimSun" w:hAnsi="Cambria" w:cs="Times New Roman"/>
                <w:b/>
                <w:sz w:val="24"/>
                <w:szCs w:val="24"/>
                <w:lang w:val="ro-RO"/>
              </w:rPr>
              <w:t>ț</w:t>
            </w:r>
            <w:r w:rsidRPr="00EA1BB2">
              <w:rPr>
                <w:rFonts w:ascii="Cambria" w:eastAsia="SimSun" w:hAnsi="Cambria" w:cs="Times New Roman"/>
                <w:b/>
                <w:sz w:val="24"/>
                <w:szCs w:val="24"/>
                <w:lang w:val="ro-RO"/>
              </w:rPr>
              <w:t>ă</w:t>
            </w:r>
          </w:p>
        </w:tc>
        <w:tc>
          <w:tcPr>
            <w:tcW w:w="5263" w:type="dxa"/>
            <w:gridSpan w:val="3"/>
            <w:shd w:val="clear" w:color="auto" w:fill="BDD6EE" w:themeFill="accent1" w:themeFillTint="66"/>
            <w:vAlign w:val="center"/>
          </w:tcPr>
          <w:p w14:paraId="2A58FC5A" w14:textId="77777777" w:rsidR="005C483D" w:rsidRPr="00EA1BB2" w:rsidRDefault="005C483D" w:rsidP="005C483D">
            <w:pPr>
              <w:tabs>
                <w:tab w:val="left" w:pos="2160"/>
                <w:tab w:val="left" w:leader="dot" w:pos="8640"/>
              </w:tabs>
              <w:spacing w:line="360" w:lineRule="auto"/>
              <w:ind w:right="-38"/>
              <w:jc w:val="center"/>
              <w:rPr>
                <w:rFonts w:ascii="Cambria" w:eastAsia="SimSun" w:hAnsi="Cambria" w:cs="Times New Roman"/>
                <w:b/>
                <w:sz w:val="24"/>
                <w:szCs w:val="24"/>
                <w:lang w:val="ro-RO"/>
              </w:rPr>
            </w:pPr>
            <w:r w:rsidRPr="00EA1BB2">
              <w:rPr>
                <w:rFonts w:ascii="Cambria" w:eastAsia="SimSun" w:hAnsi="Cambria" w:cs="Times New Roman"/>
                <w:b/>
                <w:sz w:val="24"/>
                <w:szCs w:val="24"/>
                <w:lang w:val="ro-RO"/>
              </w:rPr>
              <w:t>Suprafa</w:t>
            </w:r>
            <w:r w:rsidR="00054880" w:rsidRPr="00EA1BB2">
              <w:rPr>
                <w:rFonts w:ascii="Cambria" w:eastAsia="SimSun" w:hAnsi="Cambria" w:cs="Times New Roman"/>
                <w:b/>
                <w:sz w:val="24"/>
                <w:szCs w:val="24"/>
                <w:lang w:val="ro-RO"/>
              </w:rPr>
              <w:t>ț</w:t>
            </w:r>
            <w:r w:rsidRPr="00EA1BB2">
              <w:rPr>
                <w:rFonts w:ascii="Cambria" w:eastAsia="SimSun" w:hAnsi="Cambria" w:cs="Times New Roman"/>
                <w:b/>
                <w:sz w:val="24"/>
                <w:szCs w:val="24"/>
                <w:lang w:val="ro-RO"/>
              </w:rPr>
              <w:t>a</w:t>
            </w:r>
          </w:p>
        </w:tc>
      </w:tr>
      <w:tr w:rsidR="005C483D" w:rsidRPr="00EA1BB2" w14:paraId="05ABDF4B" w14:textId="77777777" w:rsidTr="00DD5FDE">
        <w:trPr>
          <w:tblHeader/>
        </w:trPr>
        <w:tc>
          <w:tcPr>
            <w:tcW w:w="663" w:type="dxa"/>
            <w:vMerge/>
            <w:shd w:val="clear" w:color="auto" w:fill="BDD6EE" w:themeFill="accent1" w:themeFillTint="66"/>
            <w:vAlign w:val="center"/>
          </w:tcPr>
          <w:p w14:paraId="4DC30898" w14:textId="77777777" w:rsidR="005C483D" w:rsidRPr="00EA1BB2" w:rsidRDefault="005C483D" w:rsidP="005C483D">
            <w:pPr>
              <w:tabs>
                <w:tab w:val="left" w:pos="2160"/>
                <w:tab w:val="left" w:leader="dot" w:pos="8640"/>
              </w:tabs>
              <w:spacing w:line="360" w:lineRule="auto"/>
              <w:ind w:right="-38"/>
              <w:jc w:val="center"/>
              <w:rPr>
                <w:rFonts w:ascii="Cambria" w:eastAsia="SimSun" w:hAnsi="Cambria" w:cs="Times New Roman"/>
                <w:b/>
                <w:sz w:val="24"/>
                <w:szCs w:val="24"/>
                <w:lang w:val="ro-RO"/>
              </w:rPr>
            </w:pPr>
          </w:p>
        </w:tc>
        <w:tc>
          <w:tcPr>
            <w:tcW w:w="3090" w:type="dxa"/>
            <w:vMerge/>
            <w:shd w:val="clear" w:color="auto" w:fill="BDD6EE" w:themeFill="accent1" w:themeFillTint="66"/>
            <w:vAlign w:val="center"/>
          </w:tcPr>
          <w:p w14:paraId="4E2D8E61" w14:textId="77777777" w:rsidR="005C483D" w:rsidRPr="00EA1BB2" w:rsidRDefault="005C483D" w:rsidP="005C483D">
            <w:pPr>
              <w:tabs>
                <w:tab w:val="left" w:pos="2160"/>
                <w:tab w:val="left" w:leader="dot" w:pos="8640"/>
              </w:tabs>
              <w:spacing w:line="360" w:lineRule="auto"/>
              <w:ind w:right="-38"/>
              <w:jc w:val="center"/>
              <w:rPr>
                <w:rFonts w:ascii="Cambria" w:eastAsia="SimSun" w:hAnsi="Cambria" w:cs="Times New Roman"/>
                <w:b/>
                <w:sz w:val="24"/>
                <w:szCs w:val="24"/>
                <w:lang w:val="ro-RO"/>
              </w:rPr>
            </w:pPr>
          </w:p>
        </w:tc>
        <w:tc>
          <w:tcPr>
            <w:tcW w:w="2196" w:type="dxa"/>
            <w:shd w:val="clear" w:color="auto" w:fill="BDD6EE" w:themeFill="accent1" w:themeFillTint="66"/>
            <w:vAlign w:val="center"/>
          </w:tcPr>
          <w:p w14:paraId="44BBECF0" w14:textId="77777777" w:rsidR="005C483D" w:rsidRPr="00EA1BB2" w:rsidRDefault="005C483D" w:rsidP="005C483D">
            <w:pPr>
              <w:tabs>
                <w:tab w:val="left" w:pos="2160"/>
                <w:tab w:val="left" w:leader="dot" w:pos="8640"/>
              </w:tabs>
              <w:spacing w:line="360" w:lineRule="auto"/>
              <w:ind w:right="-38"/>
              <w:jc w:val="center"/>
              <w:rPr>
                <w:rFonts w:ascii="Cambria" w:eastAsia="SimSun" w:hAnsi="Cambria" w:cs="Times New Roman"/>
                <w:b/>
                <w:sz w:val="24"/>
                <w:szCs w:val="24"/>
                <w:lang w:val="ro-RO"/>
              </w:rPr>
            </w:pPr>
            <w:r w:rsidRPr="00EA1BB2">
              <w:rPr>
                <w:rFonts w:ascii="Cambria" w:eastAsia="SimSun" w:hAnsi="Cambria" w:cs="Times New Roman"/>
                <w:b/>
                <w:sz w:val="24"/>
                <w:szCs w:val="24"/>
                <w:lang w:val="ro-RO"/>
              </w:rPr>
              <w:t>ha</w:t>
            </w:r>
          </w:p>
        </w:tc>
        <w:tc>
          <w:tcPr>
            <w:tcW w:w="3067" w:type="dxa"/>
            <w:gridSpan w:val="2"/>
            <w:shd w:val="clear" w:color="auto" w:fill="BDD6EE" w:themeFill="accent1" w:themeFillTint="66"/>
            <w:vAlign w:val="center"/>
          </w:tcPr>
          <w:p w14:paraId="787D9AE3" w14:textId="77777777" w:rsidR="005C483D" w:rsidRPr="00EA1BB2" w:rsidRDefault="005C483D" w:rsidP="005C483D">
            <w:pPr>
              <w:tabs>
                <w:tab w:val="left" w:pos="2160"/>
                <w:tab w:val="left" w:leader="dot" w:pos="8640"/>
              </w:tabs>
              <w:spacing w:line="360" w:lineRule="auto"/>
              <w:ind w:right="-38"/>
              <w:jc w:val="center"/>
              <w:rPr>
                <w:rFonts w:ascii="Cambria" w:eastAsia="SimSun" w:hAnsi="Cambria" w:cs="Times New Roman"/>
                <w:b/>
                <w:sz w:val="24"/>
                <w:szCs w:val="24"/>
                <w:lang w:val="ro-RO"/>
              </w:rPr>
            </w:pPr>
            <w:r w:rsidRPr="00EA1BB2">
              <w:rPr>
                <w:rFonts w:ascii="Cambria" w:eastAsia="SimSun" w:hAnsi="Cambria" w:cs="Times New Roman"/>
                <w:b/>
                <w:sz w:val="24"/>
                <w:szCs w:val="24"/>
                <w:lang w:val="ro-RO"/>
              </w:rPr>
              <w:t>%</w:t>
            </w:r>
          </w:p>
        </w:tc>
      </w:tr>
      <w:tr w:rsidR="005C483D" w:rsidRPr="00EA1BB2" w14:paraId="23FC21AA" w14:textId="77777777" w:rsidTr="00A964B9">
        <w:tc>
          <w:tcPr>
            <w:tcW w:w="663" w:type="dxa"/>
            <w:vMerge w:val="restart"/>
            <w:vAlign w:val="center"/>
          </w:tcPr>
          <w:p w14:paraId="2DA1F838" w14:textId="77777777" w:rsidR="005C483D" w:rsidRPr="00EA1BB2" w:rsidRDefault="005C483D" w:rsidP="004D4357">
            <w:pPr>
              <w:tabs>
                <w:tab w:val="left" w:pos="2160"/>
                <w:tab w:val="left" w:leader="dot" w:pos="8640"/>
              </w:tabs>
              <w:spacing w:line="360" w:lineRule="auto"/>
              <w:ind w:right="-38"/>
              <w:jc w:val="center"/>
              <w:rPr>
                <w:rFonts w:ascii="Cambria" w:eastAsia="SimSun" w:hAnsi="Cambria" w:cs="Times New Roman"/>
                <w:sz w:val="24"/>
                <w:szCs w:val="24"/>
                <w:lang w:val="ro-RO"/>
              </w:rPr>
            </w:pPr>
            <w:r w:rsidRPr="00EA1BB2">
              <w:rPr>
                <w:rFonts w:ascii="Cambria" w:eastAsia="SimSun" w:hAnsi="Cambria" w:cs="Times New Roman"/>
                <w:sz w:val="24"/>
                <w:szCs w:val="24"/>
                <w:lang w:val="ro-RO"/>
              </w:rPr>
              <w:t>1.</w:t>
            </w:r>
          </w:p>
        </w:tc>
        <w:tc>
          <w:tcPr>
            <w:tcW w:w="3090" w:type="dxa"/>
            <w:vAlign w:val="center"/>
          </w:tcPr>
          <w:p w14:paraId="39BC4A1F" w14:textId="77777777" w:rsidR="005C483D" w:rsidRPr="00EA1BB2" w:rsidRDefault="005C483D" w:rsidP="005C483D">
            <w:pPr>
              <w:tabs>
                <w:tab w:val="left" w:pos="2160"/>
                <w:tab w:val="left" w:leader="dot" w:pos="8640"/>
              </w:tabs>
              <w:spacing w:line="360" w:lineRule="auto"/>
              <w:ind w:right="-38"/>
              <w:rPr>
                <w:rFonts w:ascii="Cambria" w:eastAsia="SimSun" w:hAnsi="Cambria" w:cs="Times New Roman"/>
                <w:sz w:val="24"/>
                <w:szCs w:val="24"/>
                <w:lang w:val="ro-RO"/>
              </w:rPr>
            </w:pPr>
            <w:r w:rsidRPr="00EA1BB2">
              <w:rPr>
                <w:rFonts w:ascii="Cambria" w:hAnsi="Cambria" w:cs="Times New Roman"/>
                <w:sz w:val="24"/>
                <w:szCs w:val="24"/>
                <w:lang w:val="ro-RO"/>
              </w:rPr>
              <w:t>Terenuri agricol, din care:</w:t>
            </w:r>
          </w:p>
        </w:tc>
        <w:tc>
          <w:tcPr>
            <w:tcW w:w="2196" w:type="dxa"/>
            <w:vAlign w:val="center"/>
          </w:tcPr>
          <w:p w14:paraId="07744F92" w14:textId="77777777" w:rsidR="005C483D" w:rsidRPr="00EA1BB2" w:rsidRDefault="005C483D" w:rsidP="005C483D">
            <w:pPr>
              <w:tabs>
                <w:tab w:val="left" w:pos="2160"/>
                <w:tab w:val="left" w:leader="dot" w:pos="8640"/>
              </w:tabs>
              <w:spacing w:line="360" w:lineRule="auto"/>
              <w:ind w:right="-38"/>
              <w:jc w:val="center"/>
              <w:rPr>
                <w:rFonts w:ascii="Cambria" w:eastAsia="SimSun" w:hAnsi="Cambria" w:cs="Times New Roman"/>
                <w:sz w:val="24"/>
                <w:szCs w:val="24"/>
                <w:lang w:val="ro-RO"/>
              </w:rPr>
            </w:pPr>
            <w:r w:rsidRPr="00EA1BB2">
              <w:rPr>
                <w:rFonts w:ascii="Cambria" w:hAnsi="Cambria" w:cs="Times New Roman"/>
                <w:sz w:val="24"/>
                <w:szCs w:val="24"/>
                <w:lang w:val="ro-RO"/>
              </w:rPr>
              <w:t>387.750</w:t>
            </w:r>
          </w:p>
        </w:tc>
        <w:tc>
          <w:tcPr>
            <w:tcW w:w="1559" w:type="dxa"/>
            <w:vAlign w:val="center"/>
          </w:tcPr>
          <w:p w14:paraId="141D5262" w14:textId="77777777" w:rsidR="005C483D" w:rsidRPr="00EA1BB2" w:rsidRDefault="005C483D" w:rsidP="005C483D">
            <w:pPr>
              <w:tabs>
                <w:tab w:val="left" w:pos="2160"/>
                <w:tab w:val="left" w:leader="dot" w:pos="8640"/>
              </w:tabs>
              <w:spacing w:line="360" w:lineRule="auto"/>
              <w:ind w:right="-38"/>
              <w:jc w:val="center"/>
              <w:rPr>
                <w:rFonts w:ascii="Cambria" w:eastAsia="SimSun" w:hAnsi="Cambria" w:cs="Times New Roman"/>
                <w:sz w:val="24"/>
                <w:szCs w:val="24"/>
                <w:lang w:val="ro-RO"/>
              </w:rPr>
            </w:pPr>
            <w:r w:rsidRPr="00EA1BB2">
              <w:rPr>
                <w:rFonts w:ascii="Cambria" w:eastAsia="SimSun" w:hAnsi="Cambria" w:cs="Times New Roman"/>
                <w:sz w:val="24"/>
                <w:szCs w:val="24"/>
                <w:lang w:val="ro-RO"/>
              </w:rPr>
              <w:t>-</w:t>
            </w:r>
          </w:p>
        </w:tc>
        <w:tc>
          <w:tcPr>
            <w:tcW w:w="1508" w:type="dxa"/>
            <w:vMerge w:val="restart"/>
            <w:vAlign w:val="center"/>
          </w:tcPr>
          <w:p w14:paraId="43EE31DF" w14:textId="77777777" w:rsidR="005C483D" w:rsidRPr="00EA1BB2" w:rsidRDefault="005C483D" w:rsidP="005C483D">
            <w:pPr>
              <w:tabs>
                <w:tab w:val="left" w:pos="2160"/>
                <w:tab w:val="left" w:leader="dot" w:pos="8640"/>
              </w:tabs>
              <w:spacing w:line="360" w:lineRule="auto"/>
              <w:ind w:right="-38"/>
              <w:jc w:val="center"/>
              <w:rPr>
                <w:rFonts w:ascii="Cambria" w:hAnsi="Cambria" w:cs="Times New Roman"/>
                <w:sz w:val="24"/>
                <w:szCs w:val="24"/>
                <w:lang w:val="ro-RO"/>
              </w:rPr>
            </w:pPr>
            <w:r w:rsidRPr="00EA1BB2">
              <w:rPr>
                <w:rFonts w:ascii="Cambria" w:hAnsi="Cambria" w:cs="Times New Roman"/>
                <w:sz w:val="24"/>
                <w:szCs w:val="24"/>
                <w:lang w:val="ro-RO"/>
              </w:rPr>
              <w:t>81,36</w:t>
            </w:r>
          </w:p>
        </w:tc>
      </w:tr>
      <w:tr w:rsidR="005C483D" w:rsidRPr="00EA1BB2" w14:paraId="6E4E4733" w14:textId="77777777" w:rsidTr="00A964B9">
        <w:tc>
          <w:tcPr>
            <w:tcW w:w="663" w:type="dxa"/>
            <w:vMerge/>
            <w:vAlign w:val="center"/>
          </w:tcPr>
          <w:p w14:paraId="1AA42E95" w14:textId="77777777" w:rsidR="005C483D" w:rsidRPr="00EA1BB2" w:rsidRDefault="005C483D" w:rsidP="004D4357">
            <w:pPr>
              <w:tabs>
                <w:tab w:val="left" w:pos="2160"/>
                <w:tab w:val="left" w:leader="dot" w:pos="8640"/>
              </w:tabs>
              <w:spacing w:line="360" w:lineRule="auto"/>
              <w:ind w:right="-38"/>
              <w:jc w:val="center"/>
              <w:rPr>
                <w:rFonts w:ascii="Cambria" w:eastAsia="SimSun" w:hAnsi="Cambria" w:cs="Times New Roman"/>
                <w:sz w:val="24"/>
                <w:szCs w:val="24"/>
                <w:lang w:val="ro-RO"/>
              </w:rPr>
            </w:pPr>
          </w:p>
        </w:tc>
        <w:tc>
          <w:tcPr>
            <w:tcW w:w="3090" w:type="dxa"/>
            <w:vAlign w:val="center"/>
          </w:tcPr>
          <w:p w14:paraId="279BC9F8" w14:textId="77777777" w:rsidR="005C483D" w:rsidRPr="00EA1BB2" w:rsidRDefault="005C483D" w:rsidP="005C483D">
            <w:pPr>
              <w:tabs>
                <w:tab w:val="left" w:pos="2160"/>
                <w:tab w:val="left" w:leader="dot" w:pos="8640"/>
              </w:tabs>
              <w:spacing w:line="360" w:lineRule="auto"/>
              <w:ind w:right="-38"/>
              <w:rPr>
                <w:rFonts w:ascii="Cambria" w:eastAsia="SimSun" w:hAnsi="Cambria" w:cs="Times New Roman"/>
                <w:sz w:val="24"/>
                <w:szCs w:val="24"/>
                <w:lang w:val="ro-RO"/>
              </w:rPr>
            </w:pPr>
            <w:r w:rsidRPr="00EA1BB2">
              <w:rPr>
                <w:rFonts w:ascii="Cambria" w:hAnsi="Cambria" w:cs="Times New Roman"/>
                <w:sz w:val="24"/>
                <w:szCs w:val="24"/>
                <w:lang w:val="ro-RO"/>
              </w:rPr>
              <w:t xml:space="preserve">      Teren arabil</w:t>
            </w:r>
          </w:p>
        </w:tc>
        <w:tc>
          <w:tcPr>
            <w:tcW w:w="2196" w:type="dxa"/>
            <w:vAlign w:val="center"/>
          </w:tcPr>
          <w:p w14:paraId="1E9FFFA5" w14:textId="77777777" w:rsidR="005C483D" w:rsidRPr="00EA1BB2" w:rsidRDefault="005C483D" w:rsidP="005C483D">
            <w:pPr>
              <w:tabs>
                <w:tab w:val="left" w:pos="2160"/>
                <w:tab w:val="left" w:leader="dot" w:pos="8640"/>
              </w:tabs>
              <w:spacing w:line="360" w:lineRule="auto"/>
              <w:ind w:right="-38"/>
              <w:jc w:val="center"/>
              <w:rPr>
                <w:rFonts w:ascii="Cambria" w:eastAsia="SimSun" w:hAnsi="Cambria" w:cs="Times New Roman"/>
                <w:sz w:val="24"/>
                <w:szCs w:val="24"/>
                <w:lang w:val="ro-RO"/>
              </w:rPr>
            </w:pPr>
            <w:r w:rsidRPr="00EA1BB2">
              <w:rPr>
                <w:rFonts w:ascii="Cambria" w:hAnsi="Cambria" w:cs="Times New Roman"/>
                <w:sz w:val="24"/>
                <w:szCs w:val="24"/>
                <w:lang w:val="ro-RO"/>
              </w:rPr>
              <w:t>351.420</w:t>
            </w:r>
          </w:p>
        </w:tc>
        <w:tc>
          <w:tcPr>
            <w:tcW w:w="1559" w:type="dxa"/>
            <w:vAlign w:val="center"/>
          </w:tcPr>
          <w:p w14:paraId="7B1F1A87" w14:textId="77777777" w:rsidR="005C483D" w:rsidRPr="00EA1BB2" w:rsidRDefault="005C483D" w:rsidP="005C483D">
            <w:pPr>
              <w:tabs>
                <w:tab w:val="left" w:pos="2160"/>
                <w:tab w:val="left" w:leader="dot" w:pos="8640"/>
              </w:tabs>
              <w:spacing w:line="360" w:lineRule="auto"/>
              <w:ind w:right="-38"/>
              <w:jc w:val="center"/>
              <w:rPr>
                <w:rFonts w:ascii="Cambria" w:eastAsia="SimSun" w:hAnsi="Cambria" w:cs="Times New Roman"/>
                <w:sz w:val="24"/>
                <w:szCs w:val="24"/>
                <w:lang w:val="ro-RO"/>
              </w:rPr>
            </w:pPr>
            <w:r w:rsidRPr="00EA1BB2">
              <w:rPr>
                <w:rFonts w:ascii="Cambria" w:eastAsia="SimSun" w:hAnsi="Cambria" w:cs="Times New Roman"/>
                <w:sz w:val="24"/>
                <w:szCs w:val="24"/>
                <w:lang w:val="ro-RO"/>
              </w:rPr>
              <w:t>73,74</w:t>
            </w:r>
          </w:p>
        </w:tc>
        <w:tc>
          <w:tcPr>
            <w:tcW w:w="1508" w:type="dxa"/>
            <w:vMerge/>
            <w:vAlign w:val="center"/>
          </w:tcPr>
          <w:p w14:paraId="7349B915" w14:textId="77777777" w:rsidR="005C483D" w:rsidRPr="00EA1BB2" w:rsidRDefault="005C483D" w:rsidP="005C483D">
            <w:pPr>
              <w:tabs>
                <w:tab w:val="left" w:pos="2160"/>
                <w:tab w:val="left" w:leader="dot" w:pos="8640"/>
              </w:tabs>
              <w:spacing w:line="360" w:lineRule="auto"/>
              <w:ind w:right="-38"/>
              <w:jc w:val="center"/>
              <w:rPr>
                <w:rFonts w:ascii="Cambria" w:eastAsia="SimSun" w:hAnsi="Cambria" w:cs="Times New Roman"/>
                <w:sz w:val="24"/>
                <w:szCs w:val="24"/>
                <w:lang w:val="ro-RO"/>
              </w:rPr>
            </w:pPr>
          </w:p>
        </w:tc>
      </w:tr>
      <w:tr w:rsidR="005C483D" w:rsidRPr="00EA1BB2" w14:paraId="5FBA68DA" w14:textId="77777777" w:rsidTr="00A964B9">
        <w:tc>
          <w:tcPr>
            <w:tcW w:w="663" w:type="dxa"/>
            <w:vMerge/>
            <w:vAlign w:val="center"/>
          </w:tcPr>
          <w:p w14:paraId="4C0E5102" w14:textId="77777777" w:rsidR="005C483D" w:rsidRPr="00EA1BB2" w:rsidRDefault="005C483D" w:rsidP="004D4357">
            <w:pPr>
              <w:tabs>
                <w:tab w:val="left" w:pos="2160"/>
                <w:tab w:val="left" w:leader="dot" w:pos="8640"/>
              </w:tabs>
              <w:spacing w:line="360" w:lineRule="auto"/>
              <w:ind w:right="-38"/>
              <w:jc w:val="center"/>
              <w:rPr>
                <w:rFonts w:ascii="Cambria" w:eastAsia="SimSun" w:hAnsi="Cambria" w:cs="Times New Roman"/>
                <w:sz w:val="24"/>
                <w:szCs w:val="24"/>
                <w:lang w:val="ro-RO"/>
              </w:rPr>
            </w:pPr>
          </w:p>
        </w:tc>
        <w:tc>
          <w:tcPr>
            <w:tcW w:w="3090" w:type="dxa"/>
          </w:tcPr>
          <w:p w14:paraId="5C469FB4" w14:textId="77777777" w:rsidR="005C483D" w:rsidRPr="00EA1BB2" w:rsidRDefault="005C483D" w:rsidP="005C483D">
            <w:pPr>
              <w:tabs>
                <w:tab w:val="left" w:pos="2160"/>
                <w:tab w:val="left" w:leader="dot" w:pos="8640"/>
              </w:tabs>
              <w:spacing w:line="360" w:lineRule="auto"/>
              <w:ind w:right="-38"/>
              <w:rPr>
                <w:rFonts w:ascii="Cambria" w:hAnsi="Cambria" w:cs="Times New Roman"/>
                <w:sz w:val="24"/>
                <w:szCs w:val="24"/>
                <w:lang w:val="ro-RO"/>
              </w:rPr>
            </w:pPr>
            <w:r w:rsidRPr="00EA1BB2">
              <w:rPr>
                <w:rFonts w:ascii="Cambria" w:hAnsi="Cambria" w:cs="Times New Roman"/>
                <w:sz w:val="24"/>
                <w:szCs w:val="24"/>
                <w:lang w:val="ro-RO"/>
              </w:rPr>
              <w:t xml:space="preserve">      Pă</w:t>
            </w:r>
            <w:r w:rsidR="00054880" w:rsidRPr="00EA1BB2">
              <w:rPr>
                <w:rFonts w:ascii="Cambria" w:hAnsi="Cambria" w:cs="Times New Roman"/>
                <w:sz w:val="24"/>
                <w:szCs w:val="24"/>
                <w:lang w:val="ro-RO"/>
              </w:rPr>
              <w:t>ș</w:t>
            </w:r>
            <w:r w:rsidRPr="00EA1BB2">
              <w:rPr>
                <w:rFonts w:ascii="Cambria" w:hAnsi="Cambria" w:cs="Times New Roman"/>
                <w:sz w:val="24"/>
                <w:szCs w:val="24"/>
                <w:lang w:val="ro-RO"/>
              </w:rPr>
              <w:t>uni</w:t>
            </w:r>
          </w:p>
        </w:tc>
        <w:tc>
          <w:tcPr>
            <w:tcW w:w="2196" w:type="dxa"/>
          </w:tcPr>
          <w:p w14:paraId="1C699E66" w14:textId="77777777" w:rsidR="005C483D" w:rsidRPr="00EA1BB2" w:rsidRDefault="005C483D" w:rsidP="005C483D">
            <w:pPr>
              <w:tabs>
                <w:tab w:val="left" w:pos="2160"/>
                <w:tab w:val="left" w:leader="dot" w:pos="8640"/>
              </w:tabs>
              <w:spacing w:line="360" w:lineRule="auto"/>
              <w:ind w:right="-38"/>
              <w:jc w:val="center"/>
              <w:rPr>
                <w:rFonts w:ascii="Cambria" w:hAnsi="Cambria" w:cs="Times New Roman"/>
                <w:sz w:val="24"/>
                <w:szCs w:val="24"/>
                <w:lang w:val="ro-RO"/>
              </w:rPr>
            </w:pPr>
            <w:r w:rsidRPr="00EA1BB2">
              <w:rPr>
                <w:rFonts w:ascii="Cambria" w:hAnsi="Cambria" w:cs="Times New Roman"/>
                <w:sz w:val="24"/>
                <w:szCs w:val="24"/>
                <w:lang w:val="ro-RO"/>
              </w:rPr>
              <w:t>31.132</w:t>
            </w:r>
          </w:p>
        </w:tc>
        <w:tc>
          <w:tcPr>
            <w:tcW w:w="1559" w:type="dxa"/>
            <w:vAlign w:val="center"/>
          </w:tcPr>
          <w:p w14:paraId="1AEE7903" w14:textId="77777777" w:rsidR="005C483D" w:rsidRPr="00EA1BB2" w:rsidRDefault="005C483D" w:rsidP="005C483D">
            <w:pPr>
              <w:tabs>
                <w:tab w:val="left" w:pos="2160"/>
                <w:tab w:val="left" w:leader="dot" w:pos="8640"/>
              </w:tabs>
              <w:spacing w:line="360" w:lineRule="auto"/>
              <w:ind w:right="-38"/>
              <w:jc w:val="center"/>
              <w:rPr>
                <w:rFonts w:ascii="Cambria" w:hAnsi="Cambria" w:cs="Times New Roman"/>
                <w:sz w:val="24"/>
                <w:szCs w:val="24"/>
                <w:lang w:val="ro-RO"/>
              </w:rPr>
            </w:pPr>
            <w:r w:rsidRPr="00EA1BB2">
              <w:rPr>
                <w:rFonts w:ascii="Cambria" w:hAnsi="Cambria" w:cs="Times New Roman"/>
                <w:sz w:val="24"/>
                <w:szCs w:val="24"/>
                <w:lang w:val="ro-RO"/>
              </w:rPr>
              <w:t>6,53</w:t>
            </w:r>
          </w:p>
        </w:tc>
        <w:tc>
          <w:tcPr>
            <w:tcW w:w="1508" w:type="dxa"/>
            <w:vMerge/>
            <w:vAlign w:val="center"/>
          </w:tcPr>
          <w:p w14:paraId="49A52648" w14:textId="77777777" w:rsidR="005C483D" w:rsidRPr="00EA1BB2" w:rsidRDefault="005C483D" w:rsidP="005C483D">
            <w:pPr>
              <w:tabs>
                <w:tab w:val="left" w:pos="2160"/>
                <w:tab w:val="left" w:leader="dot" w:pos="8640"/>
              </w:tabs>
              <w:spacing w:line="360" w:lineRule="auto"/>
              <w:ind w:right="-38"/>
              <w:jc w:val="center"/>
              <w:rPr>
                <w:rFonts w:ascii="Cambria" w:hAnsi="Cambria" w:cs="Times New Roman"/>
                <w:sz w:val="24"/>
                <w:szCs w:val="24"/>
                <w:lang w:val="ro-RO"/>
              </w:rPr>
            </w:pPr>
          </w:p>
        </w:tc>
      </w:tr>
      <w:tr w:rsidR="005C483D" w:rsidRPr="00EA1BB2" w14:paraId="473EC74E" w14:textId="77777777" w:rsidTr="00A964B9">
        <w:tc>
          <w:tcPr>
            <w:tcW w:w="663" w:type="dxa"/>
            <w:vMerge/>
            <w:vAlign w:val="center"/>
          </w:tcPr>
          <w:p w14:paraId="0D556517" w14:textId="77777777" w:rsidR="005C483D" w:rsidRPr="00EA1BB2" w:rsidRDefault="005C483D" w:rsidP="004D4357">
            <w:pPr>
              <w:tabs>
                <w:tab w:val="left" w:pos="2160"/>
                <w:tab w:val="left" w:leader="dot" w:pos="8640"/>
              </w:tabs>
              <w:spacing w:line="360" w:lineRule="auto"/>
              <w:ind w:right="-38"/>
              <w:jc w:val="center"/>
              <w:rPr>
                <w:rFonts w:ascii="Cambria" w:eastAsia="SimSun" w:hAnsi="Cambria" w:cs="Times New Roman"/>
                <w:sz w:val="24"/>
                <w:szCs w:val="24"/>
                <w:lang w:val="ro-RO"/>
              </w:rPr>
            </w:pPr>
          </w:p>
        </w:tc>
        <w:tc>
          <w:tcPr>
            <w:tcW w:w="3090" w:type="dxa"/>
          </w:tcPr>
          <w:p w14:paraId="2013DA6E" w14:textId="77777777" w:rsidR="005C483D" w:rsidRPr="00EA1BB2" w:rsidRDefault="005C483D" w:rsidP="005C483D">
            <w:pPr>
              <w:tabs>
                <w:tab w:val="left" w:pos="2160"/>
                <w:tab w:val="left" w:leader="dot" w:pos="8640"/>
              </w:tabs>
              <w:spacing w:line="360" w:lineRule="auto"/>
              <w:ind w:right="-38"/>
              <w:rPr>
                <w:rFonts w:ascii="Cambria" w:hAnsi="Cambria" w:cs="Times New Roman"/>
                <w:sz w:val="24"/>
                <w:szCs w:val="24"/>
                <w:lang w:val="ro-RO"/>
              </w:rPr>
            </w:pPr>
            <w:r w:rsidRPr="00EA1BB2">
              <w:rPr>
                <w:rFonts w:ascii="Cambria" w:hAnsi="Cambria" w:cs="Times New Roman"/>
                <w:sz w:val="24"/>
                <w:szCs w:val="24"/>
                <w:lang w:val="ro-RO"/>
              </w:rPr>
              <w:t xml:space="preserve">      Vii</w:t>
            </w:r>
          </w:p>
        </w:tc>
        <w:tc>
          <w:tcPr>
            <w:tcW w:w="2196" w:type="dxa"/>
          </w:tcPr>
          <w:p w14:paraId="34AF74D8" w14:textId="77777777" w:rsidR="005C483D" w:rsidRPr="00EA1BB2" w:rsidRDefault="005C483D" w:rsidP="005C483D">
            <w:pPr>
              <w:tabs>
                <w:tab w:val="left" w:pos="2160"/>
                <w:tab w:val="left" w:leader="dot" w:pos="8640"/>
              </w:tabs>
              <w:spacing w:line="360" w:lineRule="auto"/>
              <w:ind w:right="-38"/>
              <w:jc w:val="center"/>
              <w:rPr>
                <w:rFonts w:ascii="Cambria" w:hAnsi="Cambria" w:cs="Times New Roman"/>
                <w:sz w:val="24"/>
                <w:szCs w:val="24"/>
                <w:lang w:val="ro-RO"/>
              </w:rPr>
            </w:pPr>
            <w:r w:rsidRPr="00EA1BB2">
              <w:rPr>
                <w:rFonts w:ascii="Cambria" w:hAnsi="Cambria" w:cs="Times New Roman"/>
                <w:sz w:val="24"/>
                <w:szCs w:val="24"/>
                <w:lang w:val="ro-RO"/>
              </w:rPr>
              <w:t>4.560</w:t>
            </w:r>
          </w:p>
        </w:tc>
        <w:tc>
          <w:tcPr>
            <w:tcW w:w="1559" w:type="dxa"/>
            <w:vAlign w:val="center"/>
          </w:tcPr>
          <w:p w14:paraId="4A2255DD" w14:textId="77777777" w:rsidR="005C483D" w:rsidRPr="00EA1BB2" w:rsidRDefault="005C483D" w:rsidP="005C483D">
            <w:pPr>
              <w:tabs>
                <w:tab w:val="left" w:pos="2160"/>
                <w:tab w:val="left" w:leader="dot" w:pos="8640"/>
              </w:tabs>
              <w:spacing w:line="360" w:lineRule="auto"/>
              <w:ind w:right="-38"/>
              <w:jc w:val="center"/>
              <w:rPr>
                <w:rFonts w:ascii="Cambria" w:hAnsi="Cambria" w:cs="Times New Roman"/>
                <w:sz w:val="24"/>
                <w:szCs w:val="24"/>
                <w:lang w:val="ro-RO"/>
              </w:rPr>
            </w:pPr>
            <w:r w:rsidRPr="00EA1BB2">
              <w:rPr>
                <w:rFonts w:ascii="Cambria" w:hAnsi="Cambria" w:cs="Times New Roman"/>
                <w:sz w:val="24"/>
                <w:szCs w:val="24"/>
                <w:lang w:val="ro-RO"/>
              </w:rPr>
              <w:t>0,96</w:t>
            </w:r>
          </w:p>
        </w:tc>
        <w:tc>
          <w:tcPr>
            <w:tcW w:w="1508" w:type="dxa"/>
            <w:vMerge/>
            <w:vAlign w:val="center"/>
          </w:tcPr>
          <w:p w14:paraId="2244DF7F" w14:textId="77777777" w:rsidR="005C483D" w:rsidRPr="00EA1BB2" w:rsidRDefault="005C483D" w:rsidP="005C483D">
            <w:pPr>
              <w:tabs>
                <w:tab w:val="left" w:pos="2160"/>
                <w:tab w:val="left" w:leader="dot" w:pos="8640"/>
              </w:tabs>
              <w:spacing w:line="360" w:lineRule="auto"/>
              <w:ind w:right="-38"/>
              <w:jc w:val="center"/>
              <w:rPr>
                <w:rFonts w:ascii="Cambria" w:hAnsi="Cambria" w:cs="Times New Roman"/>
                <w:sz w:val="24"/>
                <w:szCs w:val="24"/>
                <w:lang w:val="ro-RO"/>
              </w:rPr>
            </w:pPr>
          </w:p>
        </w:tc>
      </w:tr>
      <w:tr w:rsidR="005C483D" w:rsidRPr="00EA1BB2" w14:paraId="04CB4780" w14:textId="77777777" w:rsidTr="00A964B9">
        <w:tc>
          <w:tcPr>
            <w:tcW w:w="663" w:type="dxa"/>
            <w:vMerge/>
            <w:vAlign w:val="center"/>
          </w:tcPr>
          <w:p w14:paraId="4E70CFB4" w14:textId="77777777" w:rsidR="005C483D" w:rsidRPr="00EA1BB2" w:rsidRDefault="005C483D" w:rsidP="004D4357">
            <w:pPr>
              <w:tabs>
                <w:tab w:val="left" w:pos="2160"/>
                <w:tab w:val="left" w:leader="dot" w:pos="8640"/>
              </w:tabs>
              <w:spacing w:line="360" w:lineRule="auto"/>
              <w:ind w:right="-38"/>
              <w:jc w:val="center"/>
              <w:rPr>
                <w:rFonts w:ascii="Cambria" w:eastAsia="SimSun" w:hAnsi="Cambria" w:cs="Times New Roman"/>
                <w:sz w:val="24"/>
                <w:szCs w:val="24"/>
                <w:lang w:val="ro-RO"/>
              </w:rPr>
            </w:pPr>
          </w:p>
        </w:tc>
        <w:tc>
          <w:tcPr>
            <w:tcW w:w="3090" w:type="dxa"/>
          </w:tcPr>
          <w:p w14:paraId="58DD1A76" w14:textId="77777777" w:rsidR="005C483D" w:rsidRPr="00EA1BB2" w:rsidRDefault="005C483D" w:rsidP="005C483D">
            <w:pPr>
              <w:tabs>
                <w:tab w:val="left" w:pos="2160"/>
                <w:tab w:val="left" w:leader="dot" w:pos="8640"/>
              </w:tabs>
              <w:spacing w:line="360" w:lineRule="auto"/>
              <w:ind w:right="-38"/>
              <w:rPr>
                <w:rFonts w:ascii="Cambria" w:hAnsi="Cambria" w:cs="Times New Roman"/>
                <w:sz w:val="24"/>
                <w:szCs w:val="24"/>
                <w:lang w:val="ro-RO"/>
              </w:rPr>
            </w:pPr>
            <w:r w:rsidRPr="00EA1BB2">
              <w:rPr>
                <w:rFonts w:ascii="Cambria" w:hAnsi="Cambria" w:cs="Times New Roman"/>
                <w:sz w:val="24"/>
                <w:szCs w:val="24"/>
                <w:lang w:val="ro-RO"/>
              </w:rPr>
              <w:t xml:space="preserve">      Livezi</w:t>
            </w:r>
          </w:p>
        </w:tc>
        <w:tc>
          <w:tcPr>
            <w:tcW w:w="2196" w:type="dxa"/>
          </w:tcPr>
          <w:p w14:paraId="354CF430" w14:textId="77777777" w:rsidR="005C483D" w:rsidRPr="00EA1BB2" w:rsidRDefault="005C483D" w:rsidP="005C483D">
            <w:pPr>
              <w:tabs>
                <w:tab w:val="left" w:pos="2160"/>
                <w:tab w:val="left" w:leader="dot" w:pos="8640"/>
              </w:tabs>
              <w:spacing w:line="360" w:lineRule="auto"/>
              <w:ind w:right="-38"/>
              <w:jc w:val="center"/>
              <w:rPr>
                <w:rFonts w:ascii="Cambria" w:hAnsi="Cambria" w:cs="Times New Roman"/>
                <w:sz w:val="24"/>
                <w:szCs w:val="24"/>
                <w:lang w:val="ro-RO"/>
              </w:rPr>
            </w:pPr>
            <w:r w:rsidRPr="00EA1BB2">
              <w:rPr>
                <w:rFonts w:ascii="Cambria" w:hAnsi="Cambria" w:cs="Times New Roman"/>
                <w:sz w:val="24"/>
                <w:szCs w:val="24"/>
                <w:lang w:val="ro-RO"/>
              </w:rPr>
              <w:t>638</w:t>
            </w:r>
          </w:p>
        </w:tc>
        <w:tc>
          <w:tcPr>
            <w:tcW w:w="1559" w:type="dxa"/>
            <w:vAlign w:val="center"/>
          </w:tcPr>
          <w:p w14:paraId="6440AEAD" w14:textId="77777777" w:rsidR="005C483D" w:rsidRPr="00EA1BB2" w:rsidRDefault="005C483D" w:rsidP="005C483D">
            <w:pPr>
              <w:tabs>
                <w:tab w:val="left" w:pos="2160"/>
                <w:tab w:val="left" w:leader="dot" w:pos="8640"/>
              </w:tabs>
              <w:spacing w:line="360" w:lineRule="auto"/>
              <w:ind w:right="-38"/>
              <w:jc w:val="center"/>
              <w:rPr>
                <w:rFonts w:ascii="Cambria" w:hAnsi="Cambria" w:cs="Times New Roman"/>
                <w:sz w:val="24"/>
                <w:szCs w:val="24"/>
                <w:lang w:val="ro-RO"/>
              </w:rPr>
            </w:pPr>
            <w:r w:rsidRPr="00EA1BB2">
              <w:rPr>
                <w:rFonts w:ascii="Cambria" w:hAnsi="Cambria" w:cs="Times New Roman"/>
                <w:sz w:val="24"/>
                <w:szCs w:val="24"/>
                <w:lang w:val="ro-RO"/>
              </w:rPr>
              <w:t>0,13</w:t>
            </w:r>
          </w:p>
        </w:tc>
        <w:tc>
          <w:tcPr>
            <w:tcW w:w="1508" w:type="dxa"/>
            <w:vMerge/>
            <w:vAlign w:val="center"/>
          </w:tcPr>
          <w:p w14:paraId="207A0980" w14:textId="77777777" w:rsidR="005C483D" w:rsidRPr="00EA1BB2" w:rsidRDefault="005C483D" w:rsidP="005C483D">
            <w:pPr>
              <w:tabs>
                <w:tab w:val="left" w:pos="2160"/>
                <w:tab w:val="left" w:leader="dot" w:pos="8640"/>
              </w:tabs>
              <w:spacing w:line="360" w:lineRule="auto"/>
              <w:ind w:right="-38"/>
              <w:jc w:val="center"/>
              <w:rPr>
                <w:rFonts w:ascii="Cambria" w:hAnsi="Cambria" w:cs="Times New Roman"/>
                <w:sz w:val="24"/>
                <w:szCs w:val="24"/>
                <w:lang w:val="ro-RO"/>
              </w:rPr>
            </w:pPr>
          </w:p>
        </w:tc>
      </w:tr>
      <w:tr w:rsidR="005C483D" w:rsidRPr="00EA1BB2" w14:paraId="30F18D7A" w14:textId="77777777" w:rsidTr="00A964B9">
        <w:tc>
          <w:tcPr>
            <w:tcW w:w="663" w:type="dxa"/>
            <w:vMerge w:val="restart"/>
            <w:vAlign w:val="center"/>
          </w:tcPr>
          <w:p w14:paraId="05829E5E" w14:textId="77777777" w:rsidR="005C483D" w:rsidRPr="00EA1BB2" w:rsidRDefault="005C483D" w:rsidP="004D4357">
            <w:pPr>
              <w:tabs>
                <w:tab w:val="left" w:pos="2160"/>
                <w:tab w:val="left" w:leader="dot" w:pos="8640"/>
              </w:tabs>
              <w:spacing w:line="360" w:lineRule="auto"/>
              <w:ind w:right="-38"/>
              <w:jc w:val="center"/>
              <w:rPr>
                <w:rFonts w:ascii="Cambria" w:eastAsia="SimSun" w:hAnsi="Cambria" w:cs="Times New Roman"/>
                <w:sz w:val="24"/>
                <w:szCs w:val="24"/>
                <w:lang w:val="ro-RO"/>
              </w:rPr>
            </w:pPr>
            <w:r w:rsidRPr="00EA1BB2">
              <w:rPr>
                <w:rFonts w:ascii="Cambria" w:eastAsia="SimSun" w:hAnsi="Cambria" w:cs="Times New Roman"/>
                <w:sz w:val="24"/>
                <w:szCs w:val="24"/>
                <w:lang w:val="ro-RO"/>
              </w:rPr>
              <w:t>2.</w:t>
            </w:r>
          </w:p>
        </w:tc>
        <w:tc>
          <w:tcPr>
            <w:tcW w:w="3090" w:type="dxa"/>
            <w:vAlign w:val="center"/>
          </w:tcPr>
          <w:p w14:paraId="7F023DB5" w14:textId="77777777" w:rsidR="005C483D" w:rsidRPr="00EA1BB2" w:rsidRDefault="005C483D" w:rsidP="005C483D">
            <w:pPr>
              <w:tabs>
                <w:tab w:val="left" w:pos="2160"/>
                <w:tab w:val="left" w:leader="dot" w:pos="8640"/>
              </w:tabs>
              <w:spacing w:line="360" w:lineRule="auto"/>
              <w:ind w:right="-38"/>
              <w:rPr>
                <w:rFonts w:ascii="Cambria" w:eastAsia="SimSun" w:hAnsi="Cambria" w:cs="Times New Roman"/>
                <w:sz w:val="24"/>
                <w:szCs w:val="24"/>
                <w:lang w:val="ro-RO"/>
              </w:rPr>
            </w:pPr>
            <w:r w:rsidRPr="00EA1BB2">
              <w:rPr>
                <w:rFonts w:ascii="Cambria" w:hAnsi="Cambria" w:cs="Times New Roman"/>
                <w:sz w:val="24"/>
                <w:szCs w:val="24"/>
                <w:lang w:val="ro-RO"/>
              </w:rPr>
              <w:t>Terenuri neagricol, din care:</w:t>
            </w:r>
          </w:p>
        </w:tc>
        <w:tc>
          <w:tcPr>
            <w:tcW w:w="2196" w:type="dxa"/>
            <w:vAlign w:val="center"/>
          </w:tcPr>
          <w:p w14:paraId="1406467D" w14:textId="77777777" w:rsidR="005C483D" w:rsidRPr="00EA1BB2" w:rsidRDefault="005C483D" w:rsidP="005C483D">
            <w:pPr>
              <w:tabs>
                <w:tab w:val="left" w:pos="2160"/>
                <w:tab w:val="left" w:leader="dot" w:pos="8640"/>
              </w:tabs>
              <w:spacing w:line="360" w:lineRule="auto"/>
              <w:ind w:right="-38"/>
              <w:jc w:val="center"/>
              <w:rPr>
                <w:rFonts w:ascii="Cambria" w:eastAsia="SimSun" w:hAnsi="Cambria" w:cs="Times New Roman"/>
                <w:sz w:val="24"/>
                <w:szCs w:val="24"/>
                <w:lang w:val="ro-RO"/>
              </w:rPr>
            </w:pPr>
            <w:r w:rsidRPr="00EA1BB2">
              <w:rPr>
                <w:rFonts w:ascii="Cambria" w:hAnsi="Cambria" w:cs="Times New Roman"/>
                <w:sz w:val="24"/>
                <w:szCs w:val="24"/>
                <w:lang w:val="ro-RO"/>
              </w:rPr>
              <w:t>88.826</w:t>
            </w:r>
          </w:p>
        </w:tc>
        <w:tc>
          <w:tcPr>
            <w:tcW w:w="1559" w:type="dxa"/>
            <w:vAlign w:val="center"/>
          </w:tcPr>
          <w:p w14:paraId="4FCAD518" w14:textId="77777777" w:rsidR="005C483D" w:rsidRPr="00EA1BB2" w:rsidRDefault="005C483D" w:rsidP="005C483D">
            <w:pPr>
              <w:tabs>
                <w:tab w:val="left" w:pos="2160"/>
                <w:tab w:val="left" w:leader="dot" w:pos="8640"/>
              </w:tabs>
              <w:spacing w:line="360" w:lineRule="auto"/>
              <w:ind w:right="-38"/>
              <w:jc w:val="center"/>
              <w:rPr>
                <w:rFonts w:ascii="Cambria" w:eastAsia="SimSun" w:hAnsi="Cambria" w:cs="Times New Roman"/>
                <w:sz w:val="24"/>
                <w:szCs w:val="24"/>
                <w:lang w:val="ro-RO"/>
              </w:rPr>
            </w:pPr>
            <w:r w:rsidRPr="00EA1BB2">
              <w:rPr>
                <w:rFonts w:ascii="Cambria" w:eastAsia="SimSun" w:hAnsi="Cambria" w:cs="Times New Roman"/>
                <w:sz w:val="24"/>
                <w:szCs w:val="24"/>
                <w:lang w:val="ro-RO"/>
              </w:rPr>
              <w:t>-</w:t>
            </w:r>
          </w:p>
        </w:tc>
        <w:tc>
          <w:tcPr>
            <w:tcW w:w="1508" w:type="dxa"/>
            <w:vMerge w:val="restart"/>
            <w:vAlign w:val="center"/>
          </w:tcPr>
          <w:p w14:paraId="335DCF96" w14:textId="77777777" w:rsidR="005C483D" w:rsidRPr="00EA1BB2" w:rsidRDefault="005C483D" w:rsidP="005C483D">
            <w:pPr>
              <w:tabs>
                <w:tab w:val="left" w:pos="2160"/>
                <w:tab w:val="left" w:leader="dot" w:pos="8640"/>
              </w:tabs>
              <w:spacing w:line="360" w:lineRule="auto"/>
              <w:ind w:right="-38"/>
              <w:jc w:val="center"/>
              <w:rPr>
                <w:rFonts w:ascii="Cambria" w:hAnsi="Cambria" w:cs="Times New Roman"/>
                <w:sz w:val="24"/>
                <w:szCs w:val="24"/>
                <w:lang w:val="ro-RO"/>
              </w:rPr>
            </w:pPr>
            <w:r w:rsidRPr="00EA1BB2">
              <w:rPr>
                <w:rFonts w:ascii="Cambria" w:hAnsi="Cambria" w:cs="Times New Roman"/>
                <w:sz w:val="24"/>
                <w:szCs w:val="24"/>
                <w:lang w:val="ro-RO"/>
              </w:rPr>
              <w:t>18,64</w:t>
            </w:r>
          </w:p>
        </w:tc>
      </w:tr>
      <w:tr w:rsidR="005C483D" w:rsidRPr="00EA1BB2" w14:paraId="292CDC37" w14:textId="77777777" w:rsidTr="00A964B9">
        <w:tc>
          <w:tcPr>
            <w:tcW w:w="663" w:type="dxa"/>
            <w:vMerge/>
            <w:vAlign w:val="center"/>
          </w:tcPr>
          <w:p w14:paraId="3DCD4EF2" w14:textId="77777777" w:rsidR="005C483D" w:rsidRPr="00EA1BB2" w:rsidRDefault="005C483D" w:rsidP="005C483D">
            <w:pPr>
              <w:tabs>
                <w:tab w:val="left" w:pos="2160"/>
                <w:tab w:val="left" w:leader="dot" w:pos="8640"/>
              </w:tabs>
              <w:spacing w:line="360" w:lineRule="auto"/>
              <w:ind w:right="-38"/>
              <w:jc w:val="center"/>
              <w:rPr>
                <w:rFonts w:ascii="Cambria" w:eastAsia="SimSun" w:hAnsi="Cambria" w:cs="Times New Roman"/>
                <w:sz w:val="24"/>
                <w:szCs w:val="24"/>
                <w:lang w:val="ro-RO"/>
              </w:rPr>
            </w:pPr>
          </w:p>
        </w:tc>
        <w:tc>
          <w:tcPr>
            <w:tcW w:w="3090" w:type="dxa"/>
            <w:vAlign w:val="center"/>
          </w:tcPr>
          <w:p w14:paraId="085A7AA6" w14:textId="77777777" w:rsidR="005C483D" w:rsidRPr="00EA1BB2" w:rsidRDefault="005C483D" w:rsidP="005C483D">
            <w:pPr>
              <w:tabs>
                <w:tab w:val="left" w:pos="2160"/>
                <w:tab w:val="left" w:leader="dot" w:pos="8640"/>
              </w:tabs>
              <w:spacing w:line="360" w:lineRule="auto"/>
              <w:ind w:right="-38"/>
              <w:rPr>
                <w:rFonts w:ascii="Cambria" w:eastAsia="SimSun" w:hAnsi="Cambria" w:cs="Times New Roman"/>
                <w:sz w:val="24"/>
                <w:szCs w:val="24"/>
                <w:lang w:val="ro-RO"/>
              </w:rPr>
            </w:pPr>
            <w:r w:rsidRPr="00EA1BB2">
              <w:rPr>
                <w:rFonts w:ascii="Cambria" w:hAnsi="Cambria" w:cs="Times New Roman"/>
                <w:sz w:val="24"/>
                <w:szCs w:val="24"/>
                <w:lang w:val="ro-RO"/>
              </w:rPr>
              <w:t xml:space="preserve">      Păduri</w:t>
            </w:r>
          </w:p>
        </w:tc>
        <w:tc>
          <w:tcPr>
            <w:tcW w:w="2196" w:type="dxa"/>
            <w:vAlign w:val="center"/>
          </w:tcPr>
          <w:p w14:paraId="121FF8E4" w14:textId="77777777" w:rsidR="005C483D" w:rsidRPr="00EA1BB2" w:rsidRDefault="005C483D" w:rsidP="005C483D">
            <w:pPr>
              <w:tabs>
                <w:tab w:val="left" w:pos="2160"/>
                <w:tab w:val="left" w:leader="dot" w:pos="8640"/>
              </w:tabs>
              <w:spacing w:line="360" w:lineRule="auto"/>
              <w:ind w:right="-38"/>
              <w:jc w:val="center"/>
              <w:rPr>
                <w:rFonts w:ascii="Cambria" w:eastAsia="SimSun" w:hAnsi="Cambria" w:cs="Times New Roman"/>
                <w:sz w:val="24"/>
                <w:szCs w:val="24"/>
                <w:lang w:val="ro-RO"/>
              </w:rPr>
            </w:pPr>
            <w:r w:rsidRPr="00EA1BB2">
              <w:rPr>
                <w:rFonts w:ascii="Cambria" w:hAnsi="Cambria" w:cs="Times New Roman"/>
                <w:sz w:val="24"/>
                <w:szCs w:val="24"/>
                <w:lang w:val="ro-RO"/>
              </w:rPr>
              <w:t>28.687</w:t>
            </w:r>
          </w:p>
        </w:tc>
        <w:tc>
          <w:tcPr>
            <w:tcW w:w="1559" w:type="dxa"/>
            <w:vAlign w:val="center"/>
          </w:tcPr>
          <w:p w14:paraId="6F9BFA59" w14:textId="77777777" w:rsidR="005C483D" w:rsidRPr="00EA1BB2" w:rsidRDefault="005C483D" w:rsidP="005C483D">
            <w:pPr>
              <w:tabs>
                <w:tab w:val="left" w:pos="2160"/>
                <w:tab w:val="left" w:leader="dot" w:pos="8640"/>
              </w:tabs>
              <w:spacing w:line="360" w:lineRule="auto"/>
              <w:ind w:right="-38"/>
              <w:jc w:val="center"/>
              <w:rPr>
                <w:rFonts w:ascii="Cambria" w:eastAsia="SimSun" w:hAnsi="Cambria" w:cs="Times New Roman"/>
                <w:sz w:val="24"/>
                <w:szCs w:val="24"/>
                <w:lang w:val="ro-RO"/>
              </w:rPr>
            </w:pPr>
            <w:r w:rsidRPr="00EA1BB2">
              <w:rPr>
                <w:rFonts w:ascii="Cambria" w:hAnsi="Cambria" w:cs="Times New Roman"/>
                <w:sz w:val="24"/>
                <w:szCs w:val="24"/>
                <w:lang w:val="ro-RO"/>
              </w:rPr>
              <w:t>6,02</w:t>
            </w:r>
          </w:p>
        </w:tc>
        <w:tc>
          <w:tcPr>
            <w:tcW w:w="1508" w:type="dxa"/>
            <w:vMerge/>
          </w:tcPr>
          <w:p w14:paraId="4DE01906" w14:textId="77777777" w:rsidR="005C483D" w:rsidRPr="00EA1BB2" w:rsidRDefault="005C483D" w:rsidP="005C483D">
            <w:pPr>
              <w:tabs>
                <w:tab w:val="left" w:pos="2160"/>
                <w:tab w:val="left" w:leader="dot" w:pos="8640"/>
              </w:tabs>
              <w:spacing w:line="360" w:lineRule="auto"/>
              <w:ind w:right="-38"/>
              <w:jc w:val="center"/>
              <w:rPr>
                <w:rFonts w:ascii="Cambria" w:hAnsi="Cambria" w:cs="Times New Roman"/>
                <w:sz w:val="24"/>
                <w:szCs w:val="24"/>
                <w:lang w:val="ro-RO"/>
              </w:rPr>
            </w:pPr>
          </w:p>
        </w:tc>
      </w:tr>
      <w:tr w:rsidR="005C483D" w:rsidRPr="00EA1BB2" w14:paraId="6DA8F48F" w14:textId="77777777" w:rsidTr="00A964B9">
        <w:tc>
          <w:tcPr>
            <w:tcW w:w="663" w:type="dxa"/>
            <w:vMerge/>
            <w:vAlign w:val="center"/>
          </w:tcPr>
          <w:p w14:paraId="3908E613" w14:textId="77777777" w:rsidR="005C483D" w:rsidRPr="00EA1BB2" w:rsidRDefault="005C483D" w:rsidP="005C483D">
            <w:pPr>
              <w:tabs>
                <w:tab w:val="left" w:pos="2160"/>
                <w:tab w:val="left" w:leader="dot" w:pos="8640"/>
              </w:tabs>
              <w:spacing w:line="360" w:lineRule="auto"/>
              <w:ind w:right="-38"/>
              <w:jc w:val="center"/>
              <w:rPr>
                <w:rFonts w:ascii="Cambria" w:eastAsia="SimSun" w:hAnsi="Cambria" w:cs="Times New Roman"/>
                <w:sz w:val="24"/>
                <w:szCs w:val="24"/>
                <w:lang w:val="ro-RO"/>
              </w:rPr>
            </w:pPr>
          </w:p>
        </w:tc>
        <w:tc>
          <w:tcPr>
            <w:tcW w:w="3090" w:type="dxa"/>
            <w:vAlign w:val="center"/>
          </w:tcPr>
          <w:p w14:paraId="256F344E" w14:textId="77777777" w:rsidR="005C483D" w:rsidRPr="00EA1BB2" w:rsidRDefault="005C483D" w:rsidP="005C483D">
            <w:pPr>
              <w:tabs>
                <w:tab w:val="left" w:pos="2160"/>
                <w:tab w:val="left" w:leader="dot" w:pos="8640"/>
              </w:tabs>
              <w:spacing w:line="360" w:lineRule="auto"/>
              <w:ind w:right="-38"/>
              <w:rPr>
                <w:rFonts w:ascii="Cambria" w:eastAsia="SimSun" w:hAnsi="Cambria" w:cs="Times New Roman"/>
                <w:sz w:val="24"/>
                <w:szCs w:val="24"/>
                <w:lang w:val="ro-RO"/>
              </w:rPr>
            </w:pPr>
            <w:r w:rsidRPr="00EA1BB2">
              <w:rPr>
                <w:rFonts w:ascii="Cambria" w:hAnsi="Cambria" w:cs="Times New Roman"/>
                <w:sz w:val="24"/>
                <w:szCs w:val="24"/>
                <w:lang w:val="ro-RO"/>
              </w:rPr>
              <w:t xml:space="preserve">      Ape</w:t>
            </w:r>
          </w:p>
        </w:tc>
        <w:tc>
          <w:tcPr>
            <w:tcW w:w="2196" w:type="dxa"/>
            <w:vAlign w:val="center"/>
          </w:tcPr>
          <w:p w14:paraId="3636602A" w14:textId="77777777" w:rsidR="005C483D" w:rsidRPr="00EA1BB2" w:rsidRDefault="005C483D" w:rsidP="005C483D">
            <w:pPr>
              <w:tabs>
                <w:tab w:val="left" w:pos="2160"/>
                <w:tab w:val="left" w:leader="dot" w:pos="8640"/>
              </w:tabs>
              <w:spacing w:line="360" w:lineRule="auto"/>
              <w:ind w:right="-38"/>
              <w:jc w:val="center"/>
              <w:rPr>
                <w:rFonts w:ascii="Cambria" w:eastAsia="SimSun" w:hAnsi="Cambria" w:cs="Times New Roman"/>
                <w:sz w:val="24"/>
                <w:szCs w:val="24"/>
                <w:lang w:val="ro-RO"/>
              </w:rPr>
            </w:pPr>
            <w:r w:rsidRPr="00EA1BB2">
              <w:rPr>
                <w:rFonts w:ascii="Cambria" w:hAnsi="Cambria" w:cs="Times New Roman"/>
                <w:sz w:val="24"/>
                <w:szCs w:val="24"/>
                <w:lang w:val="ro-RO"/>
              </w:rPr>
              <w:t>30.331</w:t>
            </w:r>
          </w:p>
        </w:tc>
        <w:tc>
          <w:tcPr>
            <w:tcW w:w="1559" w:type="dxa"/>
            <w:vAlign w:val="center"/>
          </w:tcPr>
          <w:p w14:paraId="5F13FE34" w14:textId="77777777" w:rsidR="005C483D" w:rsidRPr="00EA1BB2" w:rsidRDefault="0048603B" w:rsidP="005C483D">
            <w:pPr>
              <w:tabs>
                <w:tab w:val="left" w:pos="2160"/>
                <w:tab w:val="left" w:leader="dot" w:pos="8640"/>
              </w:tabs>
              <w:spacing w:line="360" w:lineRule="auto"/>
              <w:ind w:right="-38"/>
              <w:jc w:val="center"/>
              <w:rPr>
                <w:rFonts w:ascii="Cambria" w:eastAsia="SimSun" w:hAnsi="Cambria" w:cs="Times New Roman"/>
                <w:sz w:val="24"/>
                <w:szCs w:val="24"/>
                <w:lang w:val="ro-RO"/>
              </w:rPr>
            </w:pPr>
            <w:r w:rsidRPr="00EA1BB2">
              <w:rPr>
                <w:rFonts w:ascii="Cambria" w:hAnsi="Cambria" w:cs="Times New Roman"/>
                <w:sz w:val="24"/>
                <w:szCs w:val="24"/>
                <w:lang w:val="ro-RO"/>
              </w:rPr>
              <w:t>6,37</w:t>
            </w:r>
          </w:p>
        </w:tc>
        <w:tc>
          <w:tcPr>
            <w:tcW w:w="1508" w:type="dxa"/>
            <w:vMerge/>
          </w:tcPr>
          <w:p w14:paraId="1D0BEDA8" w14:textId="77777777" w:rsidR="005C483D" w:rsidRPr="00EA1BB2" w:rsidRDefault="005C483D" w:rsidP="005C483D">
            <w:pPr>
              <w:tabs>
                <w:tab w:val="left" w:pos="2160"/>
                <w:tab w:val="left" w:leader="dot" w:pos="8640"/>
              </w:tabs>
              <w:spacing w:line="360" w:lineRule="auto"/>
              <w:ind w:right="-38"/>
              <w:jc w:val="center"/>
              <w:rPr>
                <w:rFonts w:ascii="Cambria" w:hAnsi="Cambria" w:cs="Times New Roman"/>
                <w:sz w:val="24"/>
                <w:szCs w:val="24"/>
                <w:lang w:val="ro-RO"/>
              </w:rPr>
            </w:pPr>
          </w:p>
        </w:tc>
      </w:tr>
      <w:tr w:rsidR="005C483D" w:rsidRPr="00EA1BB2" w14:paraId="05CA4F88" w14:textId="77777777" w:rsidTr="00A964B9">
        <w:tc>
          <w:tcPr>
            <w:tcW w:w="663" w:type="dxa"/>
            <w:vMerge/>
            <w:vAlign w:val="center"/>
          </w:tcPr>
          <w:p w14:paraId="05BB0A70" w14:textId="77777777" w:rsidR="005C483D" w:rsidRPr="00EA1BB2" w:rsidRDefault="005C483D" w:rsidP="005C483D">
            <w:pPr>
              <w:tabs>
                <w:tab w:val="left" w:pos="2160"/>
                <w:tab w:val="left" w:leader="dot" w:pos="8640"/>
              </w:tabs>
              <w:spacing w:line="360" w:lineRule="auto"/>
              <w:ind w:right="-38"/>
              <w:jc w:val="center"/>
              <w:rPr>
                <w:rFonts w:ascii="Cambria" w:eastAsia="SimSun" w:hAnsi="Cambria" w:cs="Times New Roman"/>
                <w:sz w:val="24"/>
                <w:szCs w:val="24"/>
                <w:lang w:val="ro-RO"/>
              </w:rPr>
            </w:pPr>
          </w:p>
        </w:tc>
        <w:tc>
          <w:tcPr>
            <w:tcW w:w="3090" w:type="dxa"/>
            <w:vAlign w:val="center"/>
          </w:tcPr>
          <w:p w14:paraId="738C2128" w14:textId="77777777" w:rsidR="005C483D" w:rsidRPr="00EA1BB2" w:rsidRDefault="005C483D" w:rsidP="005C483D">
            <w:pPr>
              <w:tabs>
                <w:tab w:val="left" w:pos="2160"/>
                <w:tab w:val="left" w:leader="dot" w:pos="8640"/>
              </w:tabs>
              <w:spacing w:line="360" w:lineRule="auto"/>
              <w:ind w:right="-38"/>
              <w:rPr>
                <w:rFonts w:ascii="Cambria" w:eastAsia="SimSun" w:hAnsi="Cambria" w:cs="Times New Roman"/>
                <w:sz w:val="24"/>
                <w:szCs w:val="24"/>
                <w:lang w:val="ro-RO"/>
              </w:rPr>
            </w:pPr>
            <w:r w:rsidRPr="00EA1BB2">
              <w:rPr>
                <w:rFonts w:ascii="Cambria" w:hAnsi="Cambria" w:cs="Times New Roman"/>
                <w:sz w:val="24"/>
                <w:szCs w:val="24"/>
                <w:lang w:val="ro-RO"/>
              </w:rPr>
              <w:t xml:space="preserve">      Drumuri </w:t>
            </w:r>
            <w:r w:rsidR="00054880" w:rsidRPr="00EA1BB2">
              <w:rPr>
                <w:rFonts w:ascii="Cambria" w:hAnsi="Cambria" w:cs="Times New Roman"/>
                <w:sz w:val="24"/>
                <w:szCs w:val="24"/>
                <w:lang w:val="ro-RO"/>
              </w:rPr>
              <w:t>ș</w:t>
            </w:r>
            <w:r w:rsidRPr="00EA1BB2">
              <w:rPr>
                <w:rFonts w:ascii="Cambria" w:hAnsi="Cambria" w:cs="Times New Roman"/>
                <w:sz w:val="24"/>
                <w:szCs w:val="24"/>
                <w:lang w:val="ro-RO"/>
              </w:rPr>
              <w:t>i căi ferate</w:t>
            </w:r>
          </w:p>
        </w:tc>
        <w:tc>
          <w:tcPr>
            <w:tcW w:w="2196" w:type="dxa"/>
            <w:vAlign w:val="center"/>
          </w:tcPr>
          <w:p w14:paraId="61E0FDC1" w14:textId="77777777" w:rsidR="005C483D" w:rsidRPr="00EA1BB2" w:rsidRDefault="005C483D" w:rsidP="005C483D">
            <w:pPr>
              <w:tabs>
                <w:tab w:val="left" w:pos="2160"/>
                <w:tab w:val="left" w:leader="dot" w:pos="8640"/>
              </w:tabs>
              <w:spacing w:line="360" w:lineRule="auto"/>
              <w:ind w:right="-38"/>
              <w:jc w:val="center"/>
              <w:rPr>
                <w:rFonts w:ascii="Cambria" w:eastAsia="SimSun" w:hAnsi="Cambria" w:cs="Times New Roman"/>
                <w:sz w:val="24"/>
                <w:szCs w:val="24"/>
                <w:lang w:val="ro-RO"/>
              </w:rPr>
            </w:pPr>
            <w:r w:rsidRPr="00EA1BB2">
              <w:rPr>
                <w:rFonts w:ascii="Cambria" w:hAnsi="Cambria" w:cs="Times New Roman"/>
                <w:sz w:val="24"/>
                <w:szCs w:val="24"/>
                <w:lang w:val="ro-RO"/>
              </w:rPr>
              <w:t>8.586</w:t>
            </w:r>
          </w:p>
        </w:tc>
        <w:tc>
          <w:tcPr>
            <w:tcW w:w="1559" w:type="dxa"/>
            <w:vAlign w:val="center"/>
          </w:tcPr>
          <w:p w14:paraId="0F73C9A1" w14:textId="77777777" w:rsidR="005C483D" w:rsidRPr="00EA1BB2" w:rsidRDefault="005C483D" w:rsidP="005C483D">
            <w:pPr>
              <w:tabs>
                <w:tab w:val="left" w:pos="2160"/>
                <w:tab w:val="left" w:leader="dot" w:pos="8640"/>
              </w:tabs>
              <w:spacing w:line="360" w:lineRule="auto"/>
              <w:ind w:right="-38"/>
              <w:jc w:val="center"/>
              <w:rPr>
                <w:rFonts w:ascii="Cambria" w:eastAsia="SimSun" w:hAnsi="Cambria" w:cs="Times New Roman"/>
                <w:sz w:val="24"/>
                <w:szCs w:val="24"/>
                <w:lang w:val="ro-RO"/>
              </w:rPr>
            </w:pPr>
            <w:r w:rsidRPr="00EA1BB2">
              <w:rPr>
                <w:rFonts w:ascii="Cambria" w:hAnsi="Cambria" w:cs="Times New Roman"/>
                <w:sz w:val="24"/>
                <w:szCs w:val="24"/>
                <w:lang w:val="ro-RO"/>
              </w:rPr>
              <w:t>1,8</w:t>
            </w:r>
          </w:p>
        </w:tc>
        <w:tc>
          <w:tcPr>
            <w:tcW w:w="1508" w:type="dxa"/>
            <w:vMerge/>
          </w:tcPr>
          <w:p w14:paraId="680AEA45" w14:textId="77777777" w:rsidR="005C483D" w:rsidRPr="00EA1BB2" w:rsidRDefault="005C483D" w:rsidP="005C483D">
            <w:pPr>
              <w:tabs>
                <w:tab w:val="left" w:pos="2160"/>
                <w:tab w:val="left" w:leader="dot" w:pos="8640"/>
              </w:tabs>
              <w:spacing w:line="360" w:lineRule="auto"/>
              <w:ind w:right="-38"/>
              <w:jc w:val="center"/>
              <w:rPr>
                <w:rFonts w:ascii="Cambria" w:hAnsi="Cambria" w:cs="Times New Roman"/>
                <w:sz w:val="24"/>
                <w:szCs w:val="24"/>
                <w:lang w:val="ro-RO"/>
              </w:rPr>
            </w:pPr>
          </w:p>
        </w:tc>
      </w:tr>
      <w:tr w:rsidR="005C483D" w:rsidRPr="00EA1BB2" w14:paraId="016D3BE9" w14:textId="77777777" w:rsidTr="00A964B9">
        <w:tc>
          <w:tcPr>
            <w:tcW w:w="663" w:type="dxa"/>
            <w:vMerge/>
            <w:vAlign w:val="center"/>
          </w:tcPr>
          <w:p w14:paraId="3D59CE8D" w14:textId="77777777" w:rsidR="005C483D" w:rsidRPr="00EA1BB2" w:rsidRDefault="005C483D" w:rsidP="005C483D">
            <w:pPr>
              <w:tabs>
                <w:tab w:val="left" w:pos="2160"/>
                <w:tab w:val="left" w:leader="dot" w:pos="8640"/>
              </w:tabs>
              <w:spacing w:line="360" w:lineRule="auto"/>
              <w:ind w:right="-38"/>
              <w:jc w:val="center"/>
              <w:rPr>
                <w:rFonts w:ascii="Cambria" w:eastAsia="SimSun" w:hAnsi="Cambria" w:cs="Times New Roman"/>
                <w:sz w:val="24"/>
                <w:szCs w:val="24"/>
                <w:lang w:val="ro-RO"/>
              </w:rPr>
            </w:pPr>
          </w:p>
        </w:tc>
        <w:tc>
          <w:tcPr>
            <w:tcW w:w="3090" w:type="dxa"/>
            <w:vAlign w:val="center"/>
          </w:tcPr>
          <w:p w14:paraId="3955CF44" w14:textId="77777777" w:rsidR="005C483D" w:rsidRPr="00EA1BB2" w:rsidRDefault="005C483D" w:rsidP="005C483D">
            <w:pPr>
              <w:tabs>
                <w:tab w:val="left" w:pos="2160"/>
                <w:tab w:val="left" w:leader="dot" w:pos="8640"/>
              </w:tabs>
              <w:spacing w:line="360" w:lineRule="auto"/>
              <w:ind w:right="-38"/>
              <w:rPr>
                <w:rFonts w:ascii="Cambria" w:eastAsia="SimSun" w:hAnsi="Cambria" w:cs="Times New Roman"/>
                <w:sz w:val="24"/>
                <w:szCs w:val="24"/>
                <w:lang w:val="ro-RO"/>
              </w:rPr>
            </w:pPr>
            <w:r w:rsidRPr="00EA1BB2">
              <w:rPr>
                <w:rFonts w:ascii="Cambria" w:hAnsi="Cambria" w:cs="Times New Roman"/>
                <w:sz w:val="24"/>
                <w:szCs w:val="24"/>
                <w:lang w:val="ro-RO"/>
              </w:rPr>
              <w:t xml:space="preserve">      Cur</w:t>
            </w:r>
            <w:r w:rsidR="00054880" w:rsidRPr="00EA1BB2">
              <w:rPr>
                <w:rFonts w:ascii="Cambria" w:hAnsi="Cambria" w:cs="Times New Roman"/>
                <w:sz w:val="24"/>
                <w:szCs w:val="24"/>
                <w:lang w:val="ro-RO"/>
              </w:rPr>
              <w:t>ț</w:t>
            </w:r>
            <w:r w:rsidRPr="00EA1BB2">
              <w:rPr>
                <w:rFonts w:ascii="Cambria" w:hAnsi="Cambria" w:cs="Times New Roman"/>
                <w:sz w:val="24"/>
                <w:szCs w:val="24"/>
                <w:lang w:val="ro-RO"/>
              </w:rPr>
              <w:t xml:space="preserve">i </w:t>
            </w:r>
            <w:r w:rsidR="00054880" w:rsidRPr="00EA1BB2">
              <w:rPr>
                <w:rFonts w:ascii="Cambria" w:hAnsi="Cambria" w:cs="Times New Roman"/>
                <w:sz w:val="24"/>
                <w:szCs w:val="24"/>
                <w:lang w:val="ro-RO"/>
              </w:rPr>
              <w:t>ș</w:t>
            </w:r>
            <w:r w:rsidRPr="00EA1BB2">
              <w:rPr>
                <w:rFonts w:ascii="Cambria" w:hAnsi="Cambria" w:cs="Times New Roman"/>
                <w:sz w:val="24"/>
                <w:szCs w:val="24"/>
                <w:lang w:val="ro-RO"/>
              </w:rPr>
              <w:t>i construc</w:t>
            </w:r>
            <w:r w:rsidR="00054880" w:rsidRPr="00EA1BB2">
              <w:rPr>
                <w:rFonts w:ascii="Cambria" w:hAnsi="Cambria" w:cs="Times New Roman"/>
                <w:sz w:val="24"/>
                <w:szCs w:val="24"/>
                <w:lang w:val="ro-RO"/>
              </w:rPr>
              <w:t>ț</w:t>
            </w:r>
            <w:r w:rsidRPr="00EA1BB2">
              <w:rPr>
                <w:rFonts w:ascii="Cambria" w:hAnsi="Cambria" w:cs="Times New Roman"/>
                <w:sz w:val="24"/>
                <w:szCs w:val="24"/>
                <w:lang w:val="ro-RO"/>
              </w:rPr>
              <w:t>ii</w:t>
            </w:r>
          </w:p>
        </w:tc>
        <w:tc>
          <w:tcPr>
            <w:tcW w:w="2196" w:type="dxa"/>
            <w:vAlign w:val="center"/>
          </w:tcPr>
          <w:p w14:paraId="2BFD2797" w14:textId="77777777" w:rsidR="005C483D" w:rsidRPr="00EA1BB2" w:rsidRDefault="005C483D" w:rsidP="005C483D">
            <w:pPr>
              <w:tabs>
                <w:tab w:val="left" w:pos="2160"/>
                <w:tab w:val="left" w:leader="dot" w:pos="8640"/>
              </w:tabs>
              <w:spacing w:line="360" w:lineRule="auto"/>
              <w:ind w:right="-38"/>
              <w:jc w:val="center"/>
              <w:rPr>
                <w:rFonts w:ascii="Cambria" w:eastAsia="SimSun" w:hAnsi="Cambria" w:cs="Times New Roman"/>
                <w:sz w:val="24"/>
                <w:szCs w:val="24"/>
                <w:lang w:val="ro-RO"/>
              </w:rPr>
            </w:pPr>
            <w:r w:rsidRPr="00EA1BB2">
              <w:rPr>
                <w:rFonts w:ascii="Cambria" w:hAnsi="Cambria" w:cs="Times New Roman"/>
                <w:sz w:val="24"/>
                <w:szCs w:val="24"/>
                <w:lang w:val="ro-RO"/>
              </w:rPr>
              <w:t>13.294</w:t>
            </w:r>
          </w:p>
        </w:tc>
        <w:tc>
          <w:tcPr>
            <w:tcW w:w="1559" w:type="dxa"/>
            <w:vAlign w:val="center"/>
          </w:tcPr>
          <w:p w14:paraId="29E49510" w14:textId="77777777" w:rsidR="005C483D" w:rsidRPr="00EA1BB2" w:rsidRDefault="005C483D" w:rsidP="005C483D">
            <w:pPr>
              <w:tabs>
                <w:tab w:val="left" w:pos="2160"/>
                <w:tab w:val="left" w:leader="dot" w:pos="8640"/>
              </w:tabs>
              <w:spacing w:line="360" w:lineRule="auto"/>
              <w:ind w:right="-38"/>
              <w:jc w:val="center"/>
              <w:rPr>
                <w:rFonts w:ascii="Cambria" w:eastAsia="SimSun" w:hAnsi="Cambria" w:cs="Times New Roman"/>
                <w:sz w:val="24"/>
                <w:szCs w:val="24"/>
                <w:lang w:val="ro-RO"/>
              </w:rPr>
            </w:pPr>
            <w:r w:rsidRPr="00EA1BB2">
              <w:rPr>
                <w:rFonts w:ascii="Cambria" w:hAnsi="Cambria" w:cs="Times New Roman"/>
                <w:sz w:val="24"/>
                <w:szCs w:val="24"/>
                <w:lang w:val="ro-RO"/>
              </w:rPr>
              <w:t>2,79</w:t>
            </w:r>
          </w:p>
        </w:tc>
        <w:tc>
          <w:tcPr>
            <w:tcW w:w="1508" w:type="dxa"/>
            <w:vMerge/>
          </w:tcPr>
          <w:p w14:paraId="41374C0C" w14:textId="77777777" w:rsidR="005C483D" w:rsidRPr="00EA1BB2" w:rsidRDefault="005C483D" w:rsidP="005C483D">
            <w:pPr>
              <w:tabs>
                <w:tab w:val="left" w:pos="2160"/>
                <w:tab w:val="left" w:leader="dot" w:pos="8640"/>
              </w:tabs>
              <w:spacing w:line="360" w:lineRule="auto"/>
              <w:ind w:right="-38"/>
              <w:jc w:val="center"/>
              <w:rPr>
                <w:rFonts w:ascii="Cambria" w:hAnsi="Cambria" w:cs="Times New Roman"/>
                <w:sz w:val="24"/>
                <w:szCs w:val="24"/>
                <w:lang w:val="ro-RO"/>
              </w:rPr>
            </w:pPr>
          </w:p>
        </w:tc>
      </w:tr>
      <w:tr w:rsidR="005C483D" w:rsidRPr="00EA1BB2" w14:paraId="3393D147" w14:textId="77777777" w:rsidTr="00A964B9">
        <w:tc>
          <w:tcPr>
            <w:tcW w:w="663" w:type="dxa"/>
            <w:vMerge/>
            <w:vAlign w:val="center"/>
          </w:tcPr>
          <w:p w14:paraId="569FFB10" w14:textId="77777777" w:rsidR="005C483D" w:rsidRPr="00EA1BB2" w:rsidRDefault="005C483D" w:rsidP="005C483D">
            <w:pPr>
              <w:tabs>
                <w:tab w:val="left" w:pos="2160"/>
                <w:tab w:val="left" w:leader="dot" w:pos="8640"/>
              </w:tabs>
              <w:spacing w:line="360" w:lineRule="auto"/>
              <w:ind w:right="-38"/>
              <w:jc w:val="center"/>
              <w:rPr>
                <w:rFonts w:ascii="Cambria" w:eastAsia="SimSun" w:hAnsi="Cambria" w:cs="Times New Roman"/>
                <w:sz w:val="24"/>
                <w:szCs w:val="24"/>
                <w:lang w:val="ro-RO"/>
              </w:rPr>
            </w:pPr>
          </w:p>
        </w:tc>
        <w:tc>
          <w:tcPr>
            <w:tcW w:w="3090" w:type="dxa"/>
            <w:vAlign w:val="center"/>
          </w:tcPr>
          <w:p w14:paraId="526F6F1A" w14:textId="77777777" w:rsidR="005C483D" w:rsidRPr="00EA1BB2" w:rsidRDefault="005C483D" w:rsidP="005C483D">
            <w:pPr>
              <w:tabs>
                <w:tab w:val="left" w:pos="2160"/>
                <w:tab w:val="left" w:leader="dot" w:pos="8640"/>
              </w:tabs>
              <w:spacing w:line="360" w:lineRule="auto"/>
              <w:ind w:right="-38"/>
              <w:rPr>
                <w:rFonts w:ascii="Cambria" w:eastAsia="SimSun" w:hAnsi="Cambria" w:cs="Times New Roman"/>
                <w:sz w:val="24"/>
                <w:szCs w:val="24"/>
                <w:lang w:val="ro-RO"/>
              </w:rPr>
            </w:pPr>
            <w:r w:rsidRPr="00EA1BB2">
              <w:rPr>
                <w:rFonts w:ascii="Cambria" w:hAnsi="Cambria" w:cs="Times New Roman"/>
                <w:sz w:val="24"/>
                <w:szCs w:val="24"/>
                <w:lang w:val="ro-RO"/>
              </w:rPr>
              <w:t xml:space="preserve">  Neproductive</w:t>
            </w:r>
          </w:p>
        </w:tc>
        <w:tc>
          <w:tcPr>
            <w:tcW w:w="2196" w:type="dxa"/>
            <w:vAlign w:val="center"/>
          </w:tcPr>
          <w:p w14:paraId="18061908" w14:textId="77777777" w:rsidR="005C483D" w:rsidRPr="00EA1BB2" w:rsidRDefault="005C483D" w:rsidP="005C483D">
            <w:pPr>
              <w:tabs>
                <w:tab w:val="left" w:pos="2160"/>
                <w:tab w:val="left" w:leader="dot" w:pos="8640"/>
              </w:tabs>
              <w:spacing w:line="360" w:lineRule="auto"/>
              <w:ind w:right="-38"/>
              <w:jc w:val="center"/>
              <w:rPr>
                <w:rFonts w:ascii="Cambria" w:eastAsia="SimSun" w:hAnsi="Cambria" w:cs="Times New Roman"/>
                <w:sz w:val="24"/>
                <w:szCs w:val="24"/>
                <w:lang w:val="ro-RO"/>
              </w:rPr>
            </w:pPr>
            <w:r w:rsidRPr="00EA1BB2">
              <w:rPr>
                <w:rFonts w:ascii="Cambria" w:hAnsi="Cambria" w:cs="Times New Roman"/>
                <w:sz w:val="24"/>
                <w:szCs w:val="24"/>
                <w:lang w:val="ro-RO"/>
              </w:rPr>
              <w:t>7.928</w:t>
            </w:r>
          </w:p>
        </w:tc>
        <w:tc>
          <w:tcPr>
            <w:tcW w:w="1559" w:type="dxa"/>
            <w:vAlign w:val="center"/>
          </w:tcPr>
          <w:p w14:paraId="3CFB008D" w14:textId="77777777" w:rsidR="005C483D" w:rsidRPr="00EA1BB2" w:rsidRDefault="005C483D" w:rsidP="005C483D">
            <w:pPr>
              <w:tabs>
                <w:tab w:val="left" w:pos="2160"/>
                <w:tab w:val="left" w:leader="dot" w:pos="8640"/>
              </w:tabs>
              <w:spacing w:line="360" w:lineRule="auto"/>
              <w:ind w:right="-38"/>
              <w:jc w:val="center"/>
              <w:rPr>
                <w:rFonts w:ascii="Cambria" w:eastAsia="SimSun" w:hAnsi="Cambria" w:cs="Times New Roman"/>
                <w:sz w:val="24"/>
                <w:szCs w:val="24"/>
                <w:lang w:val="ro-RO"/>
              </w:rPr>
            </w:pPr>
            <w:r w:rsidRPr="00EA1BB2">
              <w:rPr>
                <w:rFonts w:ascii="Cambria" w:hAnsi="Cambria" w:cs="Times New Roman"/>
                <w:sz w:val="24"/>
                <w:szCs w:val="24"/>
                <w:lang w:val="ro-RO"/>
              </w:rPr>
              <w:t>1,66</w:t>
            </w:r>
          </w:p>
        </w:tc>
        <w:tc>
          <w:tcPr>
            <w:tcW w:w="1508" w:type="dxa"/>
            <w:vMerge/>
          </w:tcPr>
          <w:p w14:paraId="0451075B" w14:textId="77777777" w:rsidR="005C483D" w:rsidRPr="00EA1BB2" w:rsidRDefault="005C483D" w:rsidP="005C483D">
            <w:pPr>
              <w:tabs>
                <w:tab w:val="left" w:pos="2160"/>
                <w:tab w:val="left" w:leader="dot" w:pos="8640"/>
              </w:tabs>
              <w:spacing w:line="360" w:lineRule="auto"/>
              <w:ind w:right="-38"/>
              <w:jc w:val="center"/>
              <w:rPr>
                <w:rFonts w:ascii="Cambria" w:hAnsi="Cambria" w:cs="Times New Roman"/>
                <w:sz w:val="24"/>
                <w:szCs w:val="24"/>
                <w:lang w:val="ro-RO"/>
              </w:rPr>
            </w:pPr>
          </w:p>
        </w:tc>
      </w:tr>
      <w:tr w:rsidR="005C483D" w:rsidRPr="00EA1BB2" w14:paraId="6B16FF8C" w14:textId="77777777" w:rsidTr="00A964B9">
        <w:tc>
          <w:tcPr>
            <w:tcW w:w="3753" w:type="dxa"/>
            <w:gridSpan w:val="2"/>
            <w:vAlign w:val="center"/>
          </w:tcPr>
          <w:p w14:paraId="48D05281" w14:textId="77777777" w:rsidR="005C483D" w:rsidRPr="00EA1BB2" w:rsidRDefault="005C483D" w:rsidP="005C483D">
            <w:pPr>
              <w:tabs>
                <w:tab w:val="left" w:pos="2160"/>
                <w:tab w:val="left" w:leader="dot" w:pos="8640"/>
              </w:tabs>
              <w:spacing w:line="360" w:lineRule="auto"/>
              <w:ind w:right="-38"/>
              <w:rPr>
                <w:rFonts w:ascii="Cambria" w:eastAsia="SimSun" w:hAnsi="Cambria" w:cs="Times New Roman"/>
                <w:sz w:val="24"/>
                <w:szCs w:val="24"/>
                <w:lang w:val="ro-RO"/>
              </w:rPr>
            </w:pPr>
            <w:r w:rsidRPr="00EA1BB2">
              <w:rPr>
                <w:rFonts w:ascii="Cambria" w:eastAsia="SimSun" w:hAnsi="Cambria" w:cs="Times New Roman"/>
                <w:sz w:val="24"/>
                <w:szCs w:val="24"/>
                <w:lang w:val="ro-RO"/>
              </w:rPr>
              <w:t>Total</w:t>
            </w:r>
          </w:p>
        </w:tc>
        <w:tc>
          <w:tcPr>
            <w:tcW w:w="2196" w:type="dxa"/>
            <w:vAlign w:val="center"/>
          </w:tcPr>
          <w:p w14:paraId="7AFA042A" w14:textId="77777777" w:rsidR="005C483D" w:rsidRPr="00EA1BB2" w:rsidRDefault="00B101D2" w:rsidP="005C483D">
            <w:pPr>
              <w:tabs>
                <w:tab w:val="left" w:pos="2160"/>
                <w:tab w:val="left" w:leader="dot" w:pos="8640"/>
              </w:tabs>
              <w:spacing w:line="360" w:lineRule="auto"/>
              <w:ind w:right="-38"/>
              <w:jc w:val="center"/>
              <w:rPr>
                <w:rFonts w:ascii="Cambria" w:eastAsia="SimSun" w:hAnsi="Cambria" w:cs="Times New Roman"/>
                <w:sz w:val="24"/>
                <w:szCs w:val="24"/>
                <w:lang w:val="ro-RO"/>
              </w:rPr>
            </w:pPr>
            <w:r w:rsidRPr="00EA1BB2">
              <w:rPr>
                <w:rFonts w:ascii="Cambria" w:hAnsi="Cambria" w:cs="Times New Roman"/>
                <w:sz w:val="24"/>
                <w:szCs w:val="24"/>
                <w:lang w:val="ro-RO"/>
              </w:rPr>
              <w:t>47</w:t>
            </w:r>
            <w:r w:rsidR="005C483D" w:rsidRPr="00EA1BB2">
              <w:rPr>
                <w:rFonts w:ascii="Cambria" w:hAnsi="Cambria" w:cs="Times New Roman"/>
                <w:sz w:val="24"/>
                <w:szCs w:val="24"/>
                <w:lang w:val="ro-RO"/>
              </w:rPr>
              <w:t>6</w:t>
            </w:r>
            <w:r w:rsidRPr="00EA1BB2">
              <w:rPr>
                <w:rFonts w:ascii="Cambria" w:hAnsi="Cambria" w:cs="Times New Roman"/>
                <w:sz w:val="24"/>
                <w:szCs w:val="24"/>
                <w:lang w:val="ro-RO"/>
              </w:rPr>
              <w:t>.</w:t>
            </w:r>
            <w:r w:rsidR="005C483D" w:rsidRPr="00EA1BB2">
              <w:rPr>
                <w:rFonts w:ascii="Cambria" w:hAnsi="Cambria" w:cs="Times New Roman"/>
                <w:sz w:val="24"/>
                <w:szCs w:val="24"/>
                <w:lang w:val="ro-RO"/>
              </w:rPr>
              <w:t>576</w:t>
            </w:r>
          </w:p>
        </w:tc>
        <w:tc>
          <w:tcPr>
            <w:tcW w:w="3067" w:type="dxa"/>
            <w:gridSpan w:val="2"/>
            <w:vAlign w:val="center"/>
          </w:tcPr>
          <w:p w14:paraId="647EAF46" w14:textId="77777777" w:rsidR="005C483D" w:rsidRPr="00EA1BB2" w:rsidRDefault="005C483D" w:rsidP="005C483D">
            <w:pPr>
              <w:tabs>
                <w:tab w:val="left" w:pos="2160"/>
                <w:tab w:val="left" w:leader="dot" w:pos="8640"/>
              </w:tabs>
              <w:spacing w:line="360" w:lineRule="auto"/>
              <w:ind w:right="-38"/>
              <w:jc w:val="center"/>
              <w:rPr>
                <w:rFonts w:ascii="Cambria" w:hAnsi="Cambria" w:cs="Times New Roman"/>
                <w:sz w:val="24"/>
                <w:szCs w:val="24"/>
                <w:lang w:val="ro-RO"/>
              </w:rPr>
            </w:pPr>
            <w:r w:rsidRPr="00EA1BB2">
              <w:rPr>
                <w:rFonts w:ascii="Cambria" w:hAnsi="Cambria" w:cs="Times New Roman"/>
                <w:sz w:val="24"/>
                <w:szCs w:val="24"/>
                <w:lang w:val="ro-RO"/>
              </w:rPr>
              <w:t>100</w:t>
            </w:r>
          </w:p>
        </w:tc>
      </w:tr>
    </w:tbl>
    <w:p w14:paraId="6C568602" w14:textId="77777777" w:rsidR="005C483D" w:rsidRPr="00EA1BB2" w:rsidRDefault="00B62563" w:rsidP="005C483D">
      <w:pPr>
        <w:tabs>
          <w:tab w:val="left" w:pos="2160"/>
          <w:tab w:val="left" w:leader="dot" w:pos="8640"/>
        </w:tabs>
        <w:spacing w:line="360" w:lineRule="auto"/>
        <w:ind w:right="-38"/>
        <w:jc w:val="both"/>
        <w:rPr>
          <w:rFonts w:ascii="Cambria" w:eastAsia="SimSun" w:hAnsi="Cambria" w:cs="Times New Roman"/>
          <w:szCs w:val="24"/>
        </w:rPr>
      </w:pPr>
      <w:r w:rsidRPr="00EA1BB2">
        <w:rPr>
          <w:rFonts w:ascii="Cambria" w:eastAsia="SimSun" w:hAnsi="Cambria" w:cs="Times New Roman"/>
          <w:szCs w:val="24"/>
        </w:rPr>
        <w:t xml:space="preserve">Sursa date: INS </w:t>
      </w:r>
      <w:hyperlink r:id="rId42" w:history="1">
        <w:r w:rsidRPr="00EA1BB2">
          <w:rPr>
            <w:rStyle w:val="Hyperlink"/>
            <w:rFonts w:ascii="Cambria" w:eastAsia="SimSun" w:hAnsi="Cambria" w:cs="Times New Roman"/>
            <w:szCs w:val="24"/>
          </w:rPr>
          <w:t>http://statistici.insse.ro/shop/index.jsp?page=tempo3&amp;lang=ro&amp;ind=AGR101B</w:t>
        </w:r>
      </w:hyperlink>
    </w:p>
    <w:p w14:paraId="4E5FE726" w14:textId="77777777" w:rsidR="008C5E60" w:rsidRPr="00EA1BB2" w:rsidRDefault="008C5E60" w:rsidP="005C483D">
      <w:pPr>
        <w:spacing w:line="360" w:lineRule="auto"/>
        <w:ind w:firstLine="708"/>
        <w:jc w:val="both"/>
        <w:rPr>
          <w:rFonts w:ascii="Cambria" w:hAnsi="Cambria" w:cs="Times New Roman"/>
          <w:sz w:val="24"/>
          <w:szCs w:val="24"/>
        </w:rPr>
      </w:pPr>
    </w:p>
    <w:p w14:paraId="50337059" w14:textId="77777777" w:rsidR="005C483D" w:rsidRPr="00EA1BB2" w:rsidRDefault="005C483D" w:rsidP="005C483D">
      <w:pPr>
        <w:spacing w:line="360" w:lineRule="auto"/>
        <w:ind w:firstLine="708"/>
        <w:jc w:val="both"/>
        <w:rPr>
          <w:rFonts w:ascii="Cambria" w:hAnsi="Cambria" w:cs="Times New Roman"/>
          <w:sz w:val="24"/>
          <w:szCs w:val="24"/>
        </w:rPr>
      </w:pPr>
      <w:r w:rsidRPr="00EA1BB2">
        <w:rPr>
          <w:rFonts w:ascii="Cambria" w:hAnsi="Cambria" w:cs="Times New Roman"/>
          <w:sz w:val="24"/>
          <w:szCs w:val="24"/>
        </w:rPr>
        <w:t>Impactul urbanizării depinde de suprafa</w:t>
      </w:r>
      <w:r w:rsidR="00054880" w:rsidRPr="00EA1BB2">
        <w:rPr>
          <w:rFonts w:ascii="Cambria" w:hAnsi="Cambria" w:cs="Times New Roman"/>
          <w:sz w:val="24"/>
          <w:szCs w:val="24"/>
        </w:rPr>
        <w:t>ț</w:t>
      </w:r>
      <w:r w:rsidRPr="00EA1BB2">
        <w:rPr>
          <w:rFonts w:ascii="Cambria" w:hAnsi="Cambria" w:cs="Times New Roman"/>
          <w:sz w:val="24"/>
          <w:szCs w:val="24"/>
        </w:rPr>
        <w:t xml:space="preserve">a de teren ocupată </w:t>
      </w:r>
      <w:r w:rsidR="00054880" w:rsidRPr="00EA1BB2">
        <w:rPr>
          <w:rFonts w:ascii="Cambria" w:hAnsi="Cambria" w:cs="Times New Roman"/>
          <w:sz w:val="24"/>
          <w:szCs w:val="24"/>
        </w:rPr>
        <w:t>ș</w:t>
      </w:r>
      <w:r w:rsidRPr="00EA1BB2">
        <w:rPr>
          <w:rFonts w:ascii="Cambria" w:hAnsi="Cambria" w:cs="Times New Roman"/>
          <w:sz w:val="24"/>
          <w:szCs w:val="24"/>
        </w:rPr>
        <w:t xml:space="preserve">i de intensitatea de utilizare a terenurilor, de exemplu, gradul de impermeabilizare a solului </w:t>
      </w:r>
      <w:r w:rsidR="00054880" w:rsidRPr="00EA1BB2">
        <w:rPr>
          <w:rFonts w:ascii="Cambria" w:hAnsi="Cambria" w:cs="Times New Roman"/>
          <w:sz w:val="24"/>
          <w:szCs w:val="24"/>
        </w:rPr>
        <w:t>ș</w:t>
      </w:r>
      <w:r w:rsidRPr="00EA1BB2">
        <w:rPr>
          <w:rFonts w:ascii="Cambria" w:hAnsi="Cambria" w:cs="Times New Roman"/>
          <w:sz w:val="24"/>
          <w:szCs w:val="24"/>
        </w:rPr>
        <w:t xml:space="preserve">i densitatea </w:t>
      </w:r>
      <w:r w:rsidR="003828C8" w:rsidRPr="00EA1BB2">
        <w:rPr>
          <w:rFonts w:ascii="Cambria" w:hAnsi="Cambria" w:cs="Times New Roman"/>
          <w:sz w:val="24"/>
          <w:szCs w:val="24"/>
        </w:rPr>
        <w:t>popula</w:t>
      </w:r>
      <w:r w:rsidR="00054880" w:rsidRPr="00EA1BB2">
        <w:rPr>
          <w:rFonts w:ascii="Cambria" w:hAnsi="Cambria" w:cs="Times New Roman"/>
          <w:sz w:val="24"/>
          <w:szCs w:val="24"/>
        </w:rPr>
        <w:t>ț</w:t>
      </w:r>
      <w:r w:rsidR="003828C8" w:rsidRPr="00EA1BB2">
        <w:rPr>
          <w:rFonts w:ascii="Cambria" w:hAnsi="Cambria" w:cs="Times New Roman"/>
          <w:sz w:val="24"/>
          <w:szCs w:val="24"/>
        </w:rPr>
        <w:t>iei</w:t>
      </w:r>
      <w:r w:rsidRPr="00EA1BB2">
        <w:rPr>
          <w:rFonts w:ascii="Cambria" w:hAnsi="Cambria" w:cs="Times New Roman"/>
          <w:sz w:val="24"/>
          <w:szCs w:val="24"/>
        </w:rPr>
        <w:t>.</w:t>
      </w:r>
    </w:p>
    <w:p w14:paraId="6069F47A" w14:textId="77777777" w:rsidR="005C483D" w:rsidRPr="00EA1BB2" w:rsidRDefault="005C483D" w:rsidP="005C483D">
      <w:pPr>
        <w:spacing w:line="360" w:lineRule="auto"/>
        <w:ind w:firstLine="708"/>
        <w:jc w:val="both"/>
        <w:rPr>
          <w:rFonts w:ascii="Cambria" w:hAnsi="Cambria" w:cs="Times New Roman"/>
          <w:sz w:val="24"/>
          <w:szCs w:val="24"/>
        </w:rPr>
      </w:pPr>
      <w:r w:rsidRPr="00EA1BB2">
        <w:rPr>
          <w:rFonts w:ascii="Cambria" w:hAnsi="Cambria" w:cs="Times New Roman"/>
          <w:sz w:val="24"/>
          <w:szCs w:val="24"/>
        </w:rPr>
        <w:t xml:space="preserve">Ocuparea terenului prin extinderea urbană </w:t>
      </w:r>
      <w:r w:rsidR="00054880" w:rsidRPr="00EA1BB2">
        <w:rPr>
          <w:rFonts w:ascii="Cambria" w:hAnsi="Cambria" w:cs="Times New Roman"/>
          <w:sz w:val="24"/>
          <w:szCs w:val="24"/>
        </w:rPr>
        <w:t>ș</w:t>
      </w:r>
      <w:r w:rsidRPr="00EA1BB2">
        <w:rPr>
          <w:rFonts w:ascii="Cambria" w:hAnsi="Cambria" w:cs="Times New Roman"/>
          <w:sz w:val="24"/>
          <w:szCs w:val="24"/>
        </w:rPr>
        <w:t xml:space="preserve">i a infrastructurii respective este, în general, ireversibilă </w:t>
      </w:r>
      <w:r w:rsidR="00054880" w:rsidRPr="00EA1BB2">
        <w:rPr>
          <w:rFonts w:ascii="Cambria" w:hAnsi="Cambria" w:cs="Times New Roman"/>
          <w:sz w:val="24"/>
          <w:szCs w:val="24"/>
        </w:rPr>
        <w:t>ș</w:t>
      </w:r>
      <w:r w:rsidRPr="00EA1BB2">
        <w:rPr>
          <w:rFonts w:ascii="Cambria" w:hAnsi="Cambria" w:cs="Times New Roman"/>
          <w:sz w:val="24"/>
          <w:szCs w:val="24"/>
        </w:rPr>
        <w:t>i conduce la impermeabilizarea solului ca urmare a acoperirii terenurilor cu locuin</w:t>
      </w:r>
      <w:r w:rsidR="00054880" w:rsidRPr="00EA1BB2">
        <w:rPr>
          <w:rFonts w:ascii="Cambria" w:hAnsi="Cambria" w:cs="Times New Roman"/>
          <w:sz w:val="24"/>
          <w:szCs w:val="24"/>
        </w:rPr>
        <w:t>ț</w:t>
      </w:r>
      <w:r w:rsidRPr="00EA1BB2">
        <w:rPr>
          <w:rFonts w:ascii="Cambria" w:hAnsi="Cambria" w:cs="Times New Roman"/>
          <w:sz w:val="24"/>
          <w:szCs w:val="24"/>
        </w:rPr>
        <w:t xml:space="preserve">e, drumuri </w:t>
      </w:r>
      <w:r w:rsidR="00054880" w:rsidRPr="00EA1BB2">
        <w:rPr>
          <w:rFonts w:ascii="Cambria" w:hAnsi="Cambria" w:cs="Times New Roman"/>
          <w:sz w:val="24"/>
          <w:szCs w:val="24"/>
        </w:rPr>
        <w:t>ș</w:t>
      </w:r>
      <w:r w:rsidRPr="00EA1BB2">
        <w:rPr>
          <w:rFonts w:ascii="Cambria" w:hAnsi="Cambria" w:cs="Times New Roman"/>
          <w:sz w:val="24"/>
          <w:szCs w:val="24"/>
        </w:rPr>
        <w:t>i alte lucrări de construc</w:t>
      </w:r>
      <w:r w:rsidR="00054880" w:rsidRPr="00EA1BB2">
        <w:rPr>
          <w:rFonts w:ascii="Cambria" w:hAnsi="Cambria" w:cs="Times New Roman"/>
          <w:sz w:val="24"/>
          <w:szCs w:val="24"/>
        </w:rPr>
        <w:t>ț</w:t>
      </w:r>
      <w:r w:rsidRPr="00EA1BB2">
        <w:rPr>
          <w:rFonts w:ascii="Cambria" w:hAnsi="Cambria" w:cs="Times New Roman"/>
          <w:sz w:val="24"/>
          <w:szCs w:val="24"/>
        </w:rPr>
        <w:t>ii. Ocuparea terenurilor urbane consumă cea mai mare parte din suprafa</w:t>
      </w:r>
      <w:r w:rsidR="00054880" w:rsidRPr="00EA1BB2">
        <w:rPr>
          <w:rFonts w:ascii="Cambria" w:hAnsi="Cambria" w:cs="Times New Roman"/>
          <w:sz w:val="24"/>
          <w:szCs w:val="24"/>
        </w:rPr>
        <w:t>ț</w:t>
      </w:r>
      <w:r w:rsidRPr="00EA1BB2">
        <w:rPr>
          <w:rFonts w:ascii="Cambria" w:hAnsi="Cambria" w:cs="Times New Roman"/>
          <w:sz w:val="24"/>
          <w:szCs w:val="24"/>
        </w:rPr>
        <w:t xml:space="preserve">a terenurilor agricole, </w:t>
      </w:r>
      <w:r w:rsidR="00054880" w:rsidRPr="00EA1BB2">
        <w:rPr>
          <w:rFonts w:ascii="Cambria" w:hAnsi="Cambria" w:cs="Times New Roman"/>
          <w:sz w:val="24"/>
          <w:szCs w:val="24"/>
        </w:rPr>
        <w:t>ș</w:t>
      </w:r>
      <w:r w:rsidRPr="00EA1BB2">
        <w:rPr>
          <w:rFonts w:ascii="Cambria" w:hAnsi="Cambria" w:cs="Times New Roman"/>
          <w:sz w:val="24"/>
          <w:szCs w:val="24"/>
        </w:rPr>
        <w:t>i reduce spa</w:t>
      </w:r>
      <w:r w:rsidR="00054880" w:rsidRPr="00EA1BB2">
        <w:rPr>
          <w:rFonts w:ascii="Cambria" w:hAnsi="Cambria" w:cs="Times New Roman"/>
          <w:sz w:val="24"/>
          <w:szCs w:val="24"/>
        </w:rPr>
        <w:t>ț</w:t>
      </w:r>
      <w:r w:rsidRPr="00EA1BB2">
        <w:rPr>
          <w:rFonts w:ascii="Cambria" w:hAnsi="Cambria" w:cs="Times New Roman"/>
          <w:sz w:val="24"/>
          <w:szCs w:val="24"/>
        </w:rPr>
        <w:t xml:space="preserve">iul pentru habitate </w:t>
      </w:r>
      <w:r w:rsidR="00054880" w:rsidRPr="00EA1BB2">
        <w:rPr>
          <w:rFonts w:ascii="Cambria" w:hAnsi="Cambria" w:cs="Times New Roman"/>
          <w:sz w:val="24"/>
          <w:szCs w:val="24"/>
        </w:rPr>
        <w:t>ș</w:t>
      </w:r>
      <w:r w:rsidRPr="00EA1BB2">
        <w:rPr>
          <w:rFonts w:ascii="Cambria" w:hAnsi="Cambria" w:cs="Times New Roman"/>
          <w:sz w:val="24"/>
          <w:szCs w:val="24"/>
        </w:rPr>
        <w:t xml:space="preserve">i ecosisteme care furnizează servicii importante, cum ar fi reglarea echilibrului apei </w:t>
      </w:r>
      <w:r w:rsidR="00054880" w:rsidRPr="00EA1BB2">
        <w:rPr>
          <w:rFonts w:ascii="Cambria" w:hAnsi="Cambria" w:cs="Times New Roman"/>
          <w:sz w:val="24"/>
          <w:szCs w:val="24"/>
        </w:rPr>
        <w:t>ș</w:t>
      </w:r>
      <w:r w:rsidRPr="00EA1BB2">
        <w:rPr>
          <w:rFonts w:ascii="Cambria" w:hAnsi="Cambria" w:cs="Times New Roman"/>
          <w:sz w:val="24"/>
          <w:szCs w:val="24"/>
        </w:rPr>
        <w:t>i protec</w:t>
      </w:r>
      <w:r w:rsidR="00054880" w:rsidRPr="00EA1BB2">
        <w:rPr>
          <w:rFonts w:ascii="Cambria" w:hAnsi="Cambria" w:cs="Times New Roman"/>
          <w:sz w:val="24"/>
          <w:szCs w:val="24"/>
        </w:rPr>
        <w:t>ț</w:t>
      </w:r>
      <w:r w:rsidRPr="00EA1BB2">
        <w:rPr>
          <w:rFonts w:ascii="Cambria" w:hAnsi="Cambria" w:cs="Times New Roman"/>
          <w:sz w:val="24"/>
          <w:szCs w:val="24"/>
        </w:rPr>
        <w:t>ia împotriva inunda</w:t>
      </w:r>
      <w:r w:rsidR="00054880" w:rsidRPr="00EA1BB2">
        <w:rPr>
          <w:rFonts w:ascii="Cambria" w:hAnsi="Cambria" w:cs="Times New Roman"/>
          <w:sz w:val="24"/>
          <w:szCs w:val="24"/>
        </w:rPr>
        <w:t>ț</w:t>
      </w:r>
      <w:r w:rsidRPr="00EA1BB2">
        <w:rPr>
          <w:rFonts w:ascii="Cambria" w:hAnsi="Cambria" w:cs="Times New Roman"/>
          <w:sz w:val="24"/>
          <w:szCs w:val="24"/>
        </w:rPr>
        <w:t>iilor.</w:t>
      </w:r>
    </w:p>
    <w:p w14:paraId="5BD4C69C" w14:textId="77777777" w:rsidR="005C483D" w:rsidRPr="00EA1BB2" w:rsidRDefault="005C483D" w:rsidP="005C483D">
      <w:pPr>
        <w:spacing w:line="360" w:lineRule="auto"/>
        <w:ind w:firstLine="708"/>
        <w:jc w:val="both"/>
        <w:rPr>
          <w:rFonts w:ascii="Cambria" w:hAnsi="Cambria" w:cs="Times New Roman"/>
          <w:sz w:val="24"/>
          <w:szCs w:val="24"/>
        </w:rPr>
      </w:pPr>
      <w:r w:rsidRPr="00EA1BB2">
        <w:rPr>
          <w:rFonts w:ascii="Cambria" w:hAnsi="Cambria" w:cs="Times New Roman"/>
          <w:sz w:val="24"/>
          <w:szCs w:val="24"/>
        </w:rPr>
        <w:t>Terenurile ocupate de suprafe</w:t>
      </w:r>
      <w:r w:rsidR="00054880" w:rsidRPr="00EA1BB2">
        <w:rPr>
          <w:rFonts w:ascii="Cambria" w:hAnsi="Cambria" w:cs="Times New Roman"/>
          <w:sz w:val="24"/>
          <w:szCs w:val="24"/>
        </w:rPr>
        <w:t>ț</w:t>
      </w:r>
      <w:r w:rsidRPr="00EA1BB2">
        <w:rPr>
          <w:rFonts w:ascii="Cambria" w:hAnsi="Cambria" w:cs="Times New Roman"/>
          <w:sz w:val="24"/>
          <w:szCs w:val="24"/>
        </w:rPr>
        <w:t xml:space="preserve">ele construite </w:t>
      </w:r>
      <w:r w:rsidR="00054880" w:rsidRPr="00EA1BB2">
        <w:rPr>
          <w:rFonts w:ascii="Cambria" w:hAnsi="Cambria" w:cs="Times New Roman"/>
          <w:sz w:val="24"/>
          <w:szCs w:val="24"/>
        </w:rPr>
        <w:t>ș</w:t>
      </w:r>
      <w:r w:rsidRPr="00EA1BB2">
        <w:rPr>
          <w:rFonts w:ascii="Cambria" w:hAnsi="Cambria" w:cs="Times New Roman"/>
          <w:sz w:val="24"/>
          <w:szCs w:val="24"/>
        </w:rPr>
        <w:t>i infrastructura densă conectează a</w:t>
      </w:r>
      <w:r w:rsidR="00054880" w:rsidRPr="00EA1BB2">
        <w:rPr>
          <w:rFonts w:ascii="Cambria" w:hAnsi="Cambria" w:cs="Times New Roman"/>
          <w:sz w:val="24"/>
          <w:szCs w:val="24"/>
        </w:rPr>
        <w:t>ș</w:t>
      </w:r>
      <w:r w:rsidRPr="00EA1BB2">
        <w:rPr>
          <w:rFonts w:ascii="Cambria" w:hAnsi="Cambria" w:cs="Times New Roman"/>
          <w:sz w:val="24"/>
          <w:szCs w:val="24"/>
        </w:rPr>
        <w:t xml:space="preserve">ezările umane </w:t>
      </w:r>
      <w:r w:rsidR="00054880" w:rsidRPr="00EA1BB2">
        <w:rPr>
          <w:rFonts w:ascii="Cambria" w:hAnsi="Cambria" w:cs="Times New Roman"/>
          <w:sz w:val="24"/>
          <w:szCs w:val="24"/>
        </w:rPr>
        <w:t>ș</w:t>
      </w:r>
      <w:r w:rsidR="007B4EF0" w:rsidRPr="00EA1BB2">
        <w:rPr>
          <w:rFonts w:ascii="Cambria" w:hAnsi="Cambria" w:cs="Times New Roman"/>
          <w:sz w:val="24"/>
          <w:szCs w:val="24"/>
        </w:rPr>
        <w:t>i fragmentează peisajele, a</w:t>
      </w:r>
      <w:r w:rsidRPr="00EA1BB2">
        <w:rPr>
          <w:rFonts w:ascii="Cambria" w:hAnsi="Cambria" w:cs="Times New Roman"/>
          <w:sz w:val="24"/>
          <w:szCs w:val="24"/>
        </w:rPr>
        <w:t xml:space="preserve">cest lucru fiind, de asemenea, o sursă importantă de poluare a apei, solului </w:t>
      </w:r>
      <w:r w:rsidR="00054880" w:rsidRPr="00EA1BB2">
        <w:rPr>
          <w:rFonts w:ascii="Cambria" w:hAnsi="Cambria" w:cs="Times New Roman"/>
          <w:sz w:val="24"/>
          <w:szCs w:val="24"/>
        </w:rPr>
        <w:t>ș</w:t>
      </w:r>
      <w:r w:rsidRPr="00EA1BB2">
        <w:rPr>
          <w:rFonts w:ascii="Cambria" w:hAnsi="Cambria" w:cs="Times New Roman"/>
          <w:sz w:val="24"/>
          <w:szCs w:val="24"/>
        </w:rPr>
        <w:t>i a aerului.</w:t>
      </w:r>
    </w:p>
    <w:p w14:paraId="0CD423CB" w14:textId="77777777" w:rsidR="008C5E60" w:rsidRPr="00EA1BB2" w:rsidRDefault="008C5E60" w:rsidP="005C483D">
      <w:pPr>
        <w:spacing w:line="360" w:lineRule="auto"/>
        <w:ind w:firstLine="708"/>
        <w:jc w:val="both"/>
        <w:rPr>
          <w:rFonts w:ascii="Cambria" w:hAnsi="Cambria" w:cs="Times New Roman"/>
          <w:sz w:val="24"/>
          <w:szCs w:val="24"/>
        </w:rPr>
      </w:pPr>
    </w:p>
    <w:p w14:paraId="416DE369" w14:textId="77777777" w:rsidR="005C483D" w:rsidRPr="00EA1BB2" w:rsidRDefault="000D0C17" w:rsidP="000D0C17">
      <w:pPr>
        <w:spacing w:line="360" w:lineRule="auto"/>
        <w:ind w:firstLine="708"/>
        <w:rPr>
          <w:rFonts w:ascii="Cambria" w:hAnsi="Cambria" w:cs="Times New Roman"/>
          <w:b/>
          <w:sz w:val="24"/>
          <w:szCs w:val="24"/>
        </w:rPr>
      </w:pPr>
      <w:r w:rsidRPr="00EA1BB2">
        <w:rPr>
          <w:rFonts w:ascii="Cambria" w:hAnsi="Cambria" w:cs="Times New Roman"/>
          <w:b/>
          <w:sz w:val="24"/>
          <w:szCs w:val="24"/>
        </w:rPr>
        <w:t>Spa</w:t>
      </w:r>
      <w:r w:rsidR="00054880" w:rsidRPr="00EA1BB2">
        <w:rPr>
          <w:rFonts w:ascii="Cambria" w:hAnsi="Cambria" w:cs="Times New Roman"/>
          <w:b/>
          <w:sz w:val="24"/>
          <w:szCs w:val="24"/>
        </w:rPr>
        <w:t>ț</w:t>
      </w:r>
      <w:r w:rsidRPr="00EA1BB2">
        <w:rPr>
          <w:rFonts w:ascii="Cambria" w:hAnsi="Cambria" w:cs="Times New Roman"/>
          <w:b/>
          <w:sz w:val="24"/>
          <w:szCs w:val="24"/>
        </w:rPr>
        <w:t>iile verzi</w:t>
      </w:r>
    </w:p>
    <w:p w14:paraId="2FBA039E" w14:textId="77777777" w:rsidR="00745F7E" w:rsidRPr="00EA1BB2" w:rsidRDefault="00745F7E" w:rsidP="00745F7E">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Spa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iile verzi bine între</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inute joacă un rol semnificativ în promovarea sănătă</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 popula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iei urbane. Acestea oferă oportunită</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 prin care încurajează un stil de via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ă mai </w:t>
      </w:r>
      <w:r w:rsidRPr="00EA1BB2">
        <w:rPr>
          <w:rFonts w:ascii="Cambria" w:eastAsia="Times New Roman" w:hAnsi="Cambria" w:cs="Times New Roman"/>
          <w:sz w:val="24"/>
          <w:szCs w:val="24"/>
        </w:rPr>
        <w:lastRenderedPageBreak/>
        <w:t>activ, prin plimbări, alergare, exerci</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ii fizice, ciclism etc., inclusiv deplasări pe rutele dintre zonele locuite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i/sau dintre diferite facilită</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 publice (magazine, pie</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e,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coli). Ele oferă citadinilor locuri lini</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 xml:space="preserve">tite pentru relaxare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 xml:space="preserve">i reducere a stresului, pentru evadarea din mediul construit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din trafic. Spa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iile verzi răspund, a</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 xml:space="preserve">adar, în principal, nevoilor umane de recreere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petrecere a timpului liber.</w:t>
      </w:r>
    </w:p>
    <w:p w14:paraId="0E29A163" w14:textId="77777777" w:rsidR="00745F7E" w:rsidRPr="00EA1BB2" w:rsidRDefault="00745F7E" w:rsidP="00745F7E">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Spa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iile verzi urbane au o deosebită importan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ă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 xml:space="preserve">i din punct de vedere estetic, deoarece atenuează impresia de rigiditate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ariditate a oricărui mediu construit – mediu ce domină în ora</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e. Prin valoarea amenajării lor peisagistice, spa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iile verzi dau identitate a</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ezărilor umane.</w:t>
      </w:r>
    </w:p>
    <w:p w14:paraId="6E211666" w14:textId="77777777" w:rsidR="005C483D" w:rsidRPr="00EA1BB2" w:rsidRDefault="005C483D" w:rsidP="00745F7E">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Spa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iile verzi se compun din parcuri, scuaruri, aliniamente plantate în lungul bulevardelor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străzilor, terenuri libere, neproductive din intravilan (mla</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tini, stâncării, pante, terenuri afectate de alunecări, sărături care pot fi amenajate cu planta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w:t>
      </w:r>
    </w:p>
    <w:p w14:paraId="0665332E" w14:textId="77777777" w:rsidR="005C483D" w:rsidRPr="00EA1BB2" w:rsidRDefault="005C483D" w:rsidP="005C483D">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Parcurile reprezintă spa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iile verzi, cu suprafa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a de minimum un hectar, formate dintr-un cadru vegetal specific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 xml:space="preserve">i din zone construite, cuprinzând dotări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echipări destinate activită</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ilor cultural-educative, sportive sau recreative pentru popula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ie. </w:t>
      </w:r>
    </w:p>
    <w:p w14:paraId="73692361" w14:textId="77777777" w:rsidR="005C483D" w:rsidRPr="00EA1BB2" w:rsidRDefault="005C483D" w:rsidP="005C483D">
      <w:pPr>
        <w:spacing w:line="360" w:lineRule="auto"/>
        <w:ind w:firstLine="708"/>
        <w:jc w:val="both"/>
        <w:rPr>
          <w:rFonts w:ascii="Cambria" w:eastAsia="SimSun" w:hAnsi="Cambria" w:cs="Times New Roman"/>
          <w:sz w:val="24"/>
          <w:szCs w:val="24"/>
        </w:rPr>
      </w:pPr>
      <w:r w:rsidRPr="00EA1BB2">
        <w:rPr>
          <w:rFonts w:ascii="Cambria" w:eastAsia="SimSun" w:hAnsi="Cambria" w:cs="Times New Roman"/>
          <w:bCs/>
          <w:iCs/>
          <w:sz w:val="24"/>
          <w:szCs w:val="24"/>
        </w:rPr>
        <w:t>Suprafa</w:t>
      </w:r>
      <w:r w:rsidR="00054880" w:rsidRPr="00EA1BB2">
        <w:rPr>
          <w:rFonts w:ascii="Cambria" w:eastAsia="SimSun" w:hAnsi="Cambria" w:cs="Times New Roman"/>
          <w:bCs/>
          <w:iCs/>
          <w:sz w:val="24"/>
          <w:szCs w:val="24"/>
        </w:rPr>
        <w:t>ț</w:t>
      </w:r>
      <w:r w:rsidRPr="00EA1BB2">
        <w:rPr>
          <w:rFonts w:ascii="Cambria" w:eastAsia="SimSun" w:hAnsi="Cambria" w:cs="Times New Roman"/>
          <w:bCs/>
          <w:iCs/>
          <w:sz w:val="24"/>
          <w:szCs w:val="24"/>
        </w:rPr>
        <w:t>a totală ocupată de spa</w:t>
      </w:r>
      <w:r w:rsidR="00054880" w:rsidRPr="00EA1BB2">
        <w:rPr>
          <w:rFonts w:ascii="Cambria" w:eastAsia="SimSun" w:hAnsi="Cambria" w:cs="Times New Roman"/>
          <w:bCs/>
          <w:iCs/>
          <w:sz w:val="24"/>
          <w:szCs w:val="24"/>
        </w:rPr>
        <w:t>ț</w:t>
      </w:r>
      <w:r w:rsidRPr="00EA1BB2">
        <w:rPr>
          <w:rFonts w:ascii="Cambria" w:eastAsia="SimSun" w:hAnsi="Cambria" w:cs="Times New Roman"/>
          <w:bCs/>
          <w:iCs/>
          <w:sz w:val="24"/>
          <w:szCs w:val="24"/>
        </w:rPr>
        <w:t>iile verzi în aglomerările urbane</w:t>
      </w:r>
      <w:r w:rsidRPr="00EA1BB2">
        <w:rPr>
          <w:rFonts w:ascii="Cambria" w:eastAsia="SimSun" w:hAnsi="Cambria" w:cs="Times New Roman"/>
          <w:sz w:val="24"/>
          <w:szCs w:val="24"/>
        </w:rPr>
        <w:t>, ale jude</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ului Brăila este de 533,44 ha, reprezentând spa</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iile verzi aferente ora</w:t>
      </w:r>
      <w:r w:rsidR="00054880" w:rsidRPr="00EA1BB2">
        <w:rPr>
          <w:rFonts w:ascii="Cambria" w:eastAsia="SimSun" w:hAnsi="Cambria" w:cs="Times New Roman"/>
          <w:sz w:val="24"/>
          <w:szCs w:val="24"/>
        </w:rPr>
        <w:t>ș</w:t>
      </w:r>
      <w:r w:rsidRPr="00EA1BB2">
        <w:rPr>
          <w:rFonts w:ascii="Cambria" w:eastAsia="SimSun" w:hAnsi="Cambria" w:cs="Times New Roman"/>
          <w:sz w:val="24"/>
          <w:szCs w:val="24"/>
        </w:rPr>
        <w:t>ului re</w:t>
      </w:r>
      <w:r w:rsidR="00054880" w:rsidRPr="00EA1BB2">
        <w:rPr>
          <w:rFonts w:ascii="Cambria" w:eastAsia="SimSun" w:hAnsi="Cambria" w:cs="Times New Roman"/>
          <w:sz w:val="24"/>
          <w:szCs w:val="24"/>
        </w:rPr>
        <w:t>ș</w:t>
      </w:r>
      <w:r w:rsidRPr="00EA1BB2">
        <w:rPr>
          <w:rFonts w:ascii="Cambria" w:eastAsia="SimSun" w:hAnsi="Cambria" w:cs="Times New Roman"/>
          <w:sz w:val="24"/>
          <w:szCs w:val="24"/>
        </w:rPr>
        <w:t>edin</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ă de jude</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 xml:space="preserve"> Brăila, respectiv cele ale ora</w:t>
      </w:r>
      <w:r w:rsidR="00054880" w:rsidRPr="00EA1BB2">
        <w:rPr>
          <w:rFonts w:ascii="Cambria" w:eastAsia="SimSun" w:hAnsi="Cambria" w:cs="Times New Roman"/>
          <w:sz w:val="24"/>
          <w:szCs w:val="24"/>
        </w:rPr>
        <w:t>ș</w:t>
      </w:r>
      <w:r w:rsidRPr="00EA1BB2">
        <w:rPr>
          <w:rFonts w:ascii="Cambria" w:eastAsia="SimSun" w:hAnsi="Cambria" w:cs="Times New Roman"/>
          <w:sz w:val="24"/>
          <w:szCs w:val="24"/>
        </w:rPr>
        <w:t>elor Ianca, Însură</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 xml:space="preserve">ei </w:t>
      </w:r>
      <w:r w:rsidR="00054880" w:rsidRPr="00EA1BB2">
        <w:rPr>
          <w:rFonts w:ascii="Cambria" w:eastAsia="SimSun" w:hAnsi="Cambria" w:cs="Times New Roman"/>
          <w:sz w:val="24"/>
          <w:szCs w:val="24"/>
        </w:rPr>
        <w:t>ș</w:t>
      </w:r>
      <w:r w:rsidRPr="00EA1BB2">
        <w:rPr>
          <w:rFonts w:ascii="Cambria" w:eastAsia="SimSun" w:hAnsi="Cambria" w:cs="Times New Roman"/>
          <w:sz w:val="24"/>
          <w:szCs w:val="24"/>
        </w:rPr>
        <w:t>i Făurei.</w:t>
      </w:r>
    </w:p>
    <w:p w14:paraId="237F3EDF" w14:textId="77777777" w:rsidR="005C483D" w:rsidRPr="00EA1BB2" w:rsidRDefault="005C483D" w:rsidP="005C483D">
      <w:pPr>
        <w:spacing w:line="360" w:lineRule="auto"/>
        <w:ind w:firstLine="708"/>
        <w:jc w:val="both"/>
        <w:rPr>
          <w:rFonts w:ascii="Cambria" w:eastAsia="SimSun" w:hAnsi="Cambria" w:cs="Times New Roman"/>
          <w:sz w:val="24"/>
          <w:szCs w:val="24"/>
        </w:rPr>
      </w:pPr>
      <w:r w:rsidRPr="00EA1BB2">
        <w:rPr>
          <w:rFonts w:ascii="Cambria" w:eastAsia="SimSun" w:hAnsi="Cambria" w:cs="Times New Roman"/>
          <w:sz w:val="24"/>
          <w:szCs w:val="24"/>
        </w:rPr>
        <w:t>Suprafa</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a spa</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 xml:space="preserve">iilor verzi din totalul intravilan, </w:t>
      </w:r>
      <w:r w:rsidR="00085C68" w:rsidRPr="00EA1BB2">
        <w:rPr>
          <w:rFonts w:ascii="Cambria" w:eastAsia="SimSun" w:hAnsi="Cambria" w:cs="Times New Roman"/>
          <w:sz w:val="24"/>
          <w:szCs w:val="24"/>
        </w:rPr>
        <w:t>în anul 2016</w:t>
      </w:r>
      <w:r w:rsidRPr="00EA1BB2">
        <w:rPr>
          <w:rFonts w:ascii="Cambria" w:eastAsia="SimSun" w:hAnsi="Cambria" w:cs="Times New Roman"/>
          <w:sz w:val="24"/>
          <w:szCs w:val="24"/>
        </w:rPr>
        <w:t>, respectiv suprafa</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a spa</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iilor verzi pe cap de locuitor din mediul urban, sintetizate pentru fiecare or</w:t>
      </w:r>
      <w:r w:rsidR="0054786B" w:rsidRPr="00EA1BB2">
        <w:rPr>
          <w:rFonts w:ascii="Cambria" w:eastAsia="SimSun" w:hAnsi="Cambria" w:cs="Times New Roman"/>
          <w:sz w:val="24"/>
          <w:szCs w:val="24"/>
        </w:rPr>
        <w:t>a</w:t>
      </w:r>
      <w:r w:rsidR="00054880" w:rsidRPr="00EA1BB2">
        <w:rPr>
          <w:rFonts w:ascii="Cambria" w:eastAsia="SimSun" w:hAnsi="Cambria" w:cs="Times New Roman"/>
          <w:sz w:val="24"/>
          <w:szCs w:val="24"/>
        </w:rPr>
        <w:t>ș</w:t>
      </w:r>
      <w:r w:rsidR="0054786B" w:rsidRPr="00EA1BB2">
        <w:rPr>
          <w:rFonts w:ascii="Cambria" w:eastAsia="SimSun" w:hAnsi="Cambria" w:cs="Times New Roman"/>
          <w:sz w:val="24"/>
          <w:szCs w:val="24"/>
        </w:rPr>
        <w:t xml:space="preserve"> în parte, sunt prezentate în</w:t>
      </w:r>
      <w:r w:rsidRPr="00EA1BB2">
        <w:rPr>
          <w:rFonts w:ascii="Cambria" w:eastAsia="SimSun" w:hAnsi="Cambria" w:cs="Times New Roman"/>
          <w:sz w:val="24"/>
          <w:szCs w:val="24"/>
        </w:rPr>
        <w:t xml:space="preserve"> tabelul </w:t>
      </w:r>
      <w:r w:rsidR="00D54355" w:rsidRPr="00EA1BB2">
        <w:rPr>
          <w:rFonts w:ascii="Cambria" w:eastAsia="SimSun" w:hAnsi="Cambria" w:cs="Times New Roman"/>
          <w:sz w:val="24"/>
          <w:szCs w:val="24"/>
        </w:rPr>
        <w:t>de mai jos</w:t>
      </w:r>
      <w:r w:rsidRPr="00EA1BB2">
        <w:rPr>
          <w:rFonts w:ascii="Cambria" w:eastAsia="SimSun" w:hAnsi="Cambria" w:cs="Times New Roman"/>
          <w:sz w:val="24"/>
          <w:szCs w:val="24"/>
        </w:rPr>
        <w:t>.</w:t>
      </w:r>
    </w:p>
    <w:p w14:paraId="639BA396" w14:textId="77777777" w:rsidR="00F45192" w:rsidRPr="00EA1BB2" w:rsidRDefault="00F45192" w:rsidP="00E4631C">
      <w:pPr>
        <w:spacing w:line="360" w:lineRule="auto"/>
        <w:ind w:firstLine="708"/>
        <w:jc w:val="both"/>
        <w:rPr>
          <w:rFonts w:ascii="Cambria" w:eastAsia="SimSun" w:hAnsi="Cambria" w:cs="Times New Roman"/>
          <w:b/>
          <w:sz w:val="24"/>
          <w:szCs w:val="24"/>
        </w:rPr>
      </w:pPr>
    </w:p>
    <w:p w14:paraId="64DFA2A2" w14:textId="78997DDA" w:rsidR="005C483D" w:rsidRPr="00EA1BB2" w:rsidRDefault="005C483D" w:rsidP="00E64DD9">
      <w:pPr>
        <w:keepNext/>
        <w:spacing w:line="360" w:lineRule="auto"/>
        <w:ind w:firstLine="708"/>
        <w:jc w:val="both"/>
        <w:rPr>
          <w:rFonts w:ascii="Cambria" w:hAnsi="Cambria"/>
          <w:sz w:val="24"/>
          <w:szCs w:val="24"/>
        </w:rPr>
      </w:pPr>
      <w:bookmarkStart w:id="49" w:name="_Toc526889765"/>
      <w:r w:rsidRPr="00EA1BB2">
        <w:rPr>
          <w:rFonts w:ascii="Cambria" w:hAnsi="Cambria"/>
          <w:b/>
          <w:iCs/>
          <w:sz w:val="24"/>
          <w:szCs w:val="24"/>
        </w:rPr>
        <w:t xml:space="preserve">Tabelul nr. </w:t>
      </w:r>
      <w:r w:rsidR="000A2FE7" w:rsidRPr="00EA1BB2">
        <w:rPr>
          <w:rFonts w:ascii="Cambria" w:hAnsi="Cambria"/>
          <w:b/>
          <w:iCs/>
          <w:sz w:val="24"/>
          <w:szCs w:val="24"/>
        </w:rPr>
        <w:fldChar w:fldCharType="begin"/>
      </w:r>
      <w:r w:rsidR="000A2FE7" w:rsidRPr="00EA1BB2">
        <w:rPr>
          <w:rFonts w:ascii="Cambria" w:hAnsi="Cambria"/>
          <w:b/>
          <w:iCs/>
          <w:sz w:val="24"/>
          <w:szCs w:val="24"/>
        </w:rPr>
        <w:instrText xml:space="preserve"> STYLEREF 1 \s </w:instrText>
      </w:r>
      <w:r w:rsidR="000A2FE7" w:rsidRPr="00EA1BB2">
        <w:rPr>
          <w:rFonts w:ascii="Cambria" w:hAnsi="Cambria"/>
          <w:b/>
          <w:iCs/>
          <w:sz w:val="24"/>
          <w:szCs w:val="24"/>
        </w:rPr>
        <w:fldChar w:fldCharType="separate"/>
      </w:r>
      <w:r w:rsidR="00567555">
        <w:rPr>
          <w:rFonts w:ascii="Cambria" w:hAnsi="Cambria"/>
          <w:b/>
          <w:iCs/>
          <w:noProof/>
          <w:sz w:val="24"/>
          <w:szCs w:val="24"/>
        </w:rPr>
        <w:t>2</w:t>
      </w:r>
      <w:r w:rsidR="000A2FE7" w:rsidRPr="00EA1BB2">
        <w:rPr>
          <w:rFonts w:ascii="Cambria" w:hAnsi="Cambria"/>
          <w:b/>
          <w:iCs/>
          <w:sz w:val="24"/>
          <w:szCs w:val="24"/>
        </w:rPr>
        <w:fldChar w:fldCharType="end"/>
      </w:r>
      <w:r w:rsidR="000A2FE7" w:rsidRPr="00EA1BB2">
        <w:rPr>
          <w:rFonts w:ascii="Cambria" w:hAnsi="Cambria"/>
          <w:b/>
          <w:iCs/>
          <w:sz w:val="24"/>
          <w:szCs w:val="24"/>
        </w:rPr>
        <w:noBreakHyphen/>
      </w:r>
      <w:r w:rsidR="000A2FE7" w:rsidRPr="00EA1BB2">
        <w:rPr>
          <w:rFonts w:ascii="Cambria" w:hAnsi="Cambria"/>
          <w:b/>
          <w:iCs/>
          <w:sz w:val="24"/>
          <w:szCs w:val="24"/>
        </w:rPr>
        <w:fldChar w:fldCharType="begin"/>
      </w:r>
      <w:r w:rsidR="000A2FE7" w:rsidRPr="00EA1BB2">
        <w:rPr>
          <w:rFonts w:ascii="Cambria" w:hAnsi="Cambria"/>
          <w:b/>
          <w:iCs/>
          <w:sz w:val="24"/>
          <w:szCs w:val="24"/>
        </w:rPr>
        <w:instrText xml:space="preserve"> SEQ Tabelul_nr. \* ARABIC \s 1 </w:instrText>
      </w:r>
      <w:r w:rsidR="000A2FE7" w:rsidRPr="00EA1BB2">
        <w:rPr>
          <w:rFonts w:ascii="Cambria" w:hAnsi="Cambria"/>
          <w:b/>
          <w:iCs/>
          <w:sz w:val="24"/>
          <w:szCs w:val="24"/>
        </w:rPr>
        <w:fldChar w:fldCharType="separate"/>
      </w:r>
      <w:r w:rsidR="00567555">
        <w:rPr>
          <w:rFonts w:ascii="Cambria" w:hAnsi="Cambria"/>
          <w:b/>
          <w:iCs/>
          <w:noProof/>
          <w:sz w:val="24"/>
          <w:szCs w:val="24"/>
        </w:rPr>
        <w:t>8</w:t>
      </w:r>
      <w:r w:rsidR="000A2FE7" w:rsidRPr="00EA1BB2">
        <w:rPr>
          <w:rFonts w:ascii="Cambria" w:hAnsi="Cambria"/>
          <w:b/>
          <w:iCs/>
          <w:sz w:val="24"/>
          <w:szCs w:val="24"/>
        </w:rPr>
        <w:fldChar w:fldCharType="end"/>
      </w:r>
      <w:r w:rsidR="00A964B9" w:rsidRPr="00EA1BB2">
        <w:rPr>
          <w:rFonts w:ascii="Cambria" w:hAnsi="Cambria"/>
          <w:b/>
          <w:iCs/>
          <w:sz w:val="24"/>
          <w:szCs w:val="24"/>
        </w:rPr>
        <w:t xml:space="preserve"> - </w:t>
      </w:r>
      <w:r w:rsidRPr="00EA1BB2">
        <w:rPr>
          <w:rFonts w:ascii="Cambria" w:eastAsia="SimSun" w:hAnsi="Cambria" w:cs="Times New Roman"/>
          <w:b/>
          <w:sz w:val="24"/>
          <w:szCs w:val="24"/>
        </w:rPr>
        <w:t>Situa</w:t>
      </w:r>
      <w:r w:rsidR="00054880" w:rsidRPr="00EA1BB2">
        <w:rPr>
          <w:rFonts w:ascii="Cambria" w:eastAsia="SimSun" w:hAnsi="Cambria" w:cs="Times New Roman"/>
          <w:b/>
          <w:sz w:val="24"/>
          <w:szCs w:val="24"/>
        </w:rPr>
        <w:t>ț</w:t>
      </w:r>
      <w:r w:rsidRPr="00EA1BB2">
        <w:rPr>
          <w:rFonts w:ascii="Cambria" w:eastAsia="SimSun" w:hAnsi="Cambria" w:cs="Times New Roman"/>
          <w:b/>
          <w:sz w:val="24"/>
          <w:szCs w:val="24"/>
        </w:rPr>
        <w:t>ia spa</w:t>
      </w:r>
      <w:r w:rsidR="00054880" w:rsidRPr="00EA1BB2">
        <w:rPr>
          <w:rFonts w:ascii="Cambria" w:eastAsia="SimSun" w:hAnsi="Cambria" w:cs="Times New Roman"/>
          <w:b/>
          <w:sz w:val="24"/>
          <w:szCs w:val="24"/>
        </w:rPr>
        <w:t>ț</w:t>
      </w:r>
      <w:r w:rsidRPr="00EA1BB2">
        <w:rPr>
          <w:rFonts w:ascii="Cambria" w:eastAsia="SimSun" w:hAnsi="Cambria" w:cs="Times New Roman"/>
          <w:b/>
          <w:sz w:val="24"/>
          <w:szCs w:val="24"/>
        </w:rPr>
        <w:t>iilor verzi la nivelul jude</w:t>
      </w:r>
      <w:r w:rsidR="00054880" w:rsidRPr="00EA1BB2">
        <w:rPr>
          <w:rFonts w:ascii="Cambria" w:eastAsia="SimSun" w:hAnsi="Cambria" w:cs="Times New Roman"/>
          <w:b/>
          <w:sz w:val="24"/>
          <w:szCs w:val="24"/>
        </w:rPr>
        <w:t>ț</w:t>
      </w:r>
      <w:r w:rsidRPr="00EA1BB2">
        <w:rPr>
          <w:rFonts w:ascii="Cambria" w:eastAsia="SimSun" w:hAnsi="Cambria" w:cs="Times New Roman"/>
          <w:b/>
          <w:sz w:val="24"/>
          <w:szCs w:val="24"/>
        </w:rPr>
        <w:t>ului Brăila</w:t>
      </w:r>
      <w:bookmarkEnd w:id="49"/>
    </w:p>
    <w:tbl>
      <w:tblPr>
        <w:tblW w:w="970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07"/>
        <w:gridCol w:w="1304"/>
        <w:gridCol w:w="1361"/>
        <w:gridCol w:w="2438"/>
        <w:gridCol w:w="1191"/>
        <w:gridCol w:w="1701"/>
      </w:tblGrid>
      <w:tr w:rsidR="005C483D" w:rsidRPr="00EA1BB2" w14:paraId="236C3D09" w14:textId="77777777" w:rsidTr="00BF29FA">
        <w:trPr>
          <w:jc w:val="center"/>
        </w:trPr>
        <w:tc>
          <w:tcPr>
            <w:tcW w:w="1707"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726F0554" w14:textId="77777777" w:rsidR="005C483D" w:rsidRPr="00EA1BB2" w:rsidRDefault="005C483D" w:rsidP="00202308">
            <w:pPr>
              <w:tabs>
                <w:tab w:val="center" w:pos="4680"/>
                <w:tab w:val="right" w:pos="9360"/>
              </w:tabs>
              <w:spacing w:line="276" w:lineRule="auto"/>
              <w:jc w:val="center"/>
              <w:rPr>
                <w:rFonts w:ascii="Cambria" w:eastAsia="SimSun" w:hAnsi="Cambria" w:cs="Times New Roman"/>
                <w:b/>
                <w:sz w:val="24"/>
                <w:szCs w:val="24"/>
              </w:rPr>
            </w:pPr>
            <w:r w:rsidRPr="00EA1BB2">
              <w:rPr>
                <w:rFonts w:ascii="Cambria" w:eastAsia="SimSun" w:hAnsi="Cambria" w:cs="Times New Roman"/>
                <w:b/>
                <w:sz w:val="24"/>
                <w:szCs w:val="24"/>
              </w:rPr>
              <w:t>Localitatea</w:t>
            </w:r>
          </w:p>
        </w:tc>
        <w:tc>
          <w:tcPr>
            <w:tcW w:w="1304"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hideMark/>
          </w:tcPr>
          <w:p w14:paraId="282C579C" w14:textId="77777777" w:rsidR="005C483D" w:rsidRPr="00EA1BB2" w:rsidRDefault="005C483D" w:rsidP="00202308">
            <w:pPr>
              <w:tabs>
                <w:tab w:val="center" w:pos="4680"/>
                <w:tab w:val="right" w:pos="9360"/>
              </w:tabs>
              <w:spacing w:line="276" w:lineRule="auto"/>
              <w:jc w:val="center"/>
              <w:rPr>
                <w:rFonts w:ascii="Cambria" w:hAnsi="Cambria" w:cs="Times New Roman"/>
                <w:b/>
                <w:sz w:val="24"/>
                <w:szCs w:val="24"/>
              </w:rPr>
            </w:pPr>
            <w:r w:rsidRPr="00EA1BB2">
              <w:rPr>
                <w:rFonts w:ascii="Cambria" w:hAnsi="Cambria" w:cs="Times New Roman"/>
                <w:b/>
                <w:sz w:val="24"/>
                <w:szCs w:val="24"/>
              </w:rPr>
              <w:t>Suprafa</w:t>
            </w:r>
            <w:r w:rsidR="00054880" w:rsidRPr="00EA1BB2">
              <w:rPr>
                <w:rFonts w:ascii="Cambria" w:hAnsi="Cambria" w:cs="Times New Roman"/>
                <w:b/>
                <w:sz w:val="24"/>
                <w:szCs w:val="24"/>
              </w:rPr>
              <w:t>ț</w:t>
            </w:r>
            <w:r w:rsidRPr="00EA1BB2">
              <w:rPr>
                <w:rFonts w:ascii="Cambria" w:hAnsi="Cambria" w:cs="Times New Roman"/>
                <w:b/>
                <w:sz w:val="24"/>
                <w:szCs w:val="24"/>
              </w:rPr>
              <w:t>a totală spa</w:t>
            </w:r>
            <w:r w:rsidR="00054880" w:rsidRPr="00EA1BB2">
              <w:rPr>
                <w:rFonts w:ascii="Cambria" w:hAnsi="Cambria" w:cs="Times New Roman"/>
                <w:b/>
                <w:sz w:val="24"/>
                <w:szCs w:val="24"/>
              </w:rPr>
              <w:t>ț</w:t>
            </w:r>
            <w:r w:rsidRPr="00EA1BB2">
              <w:rPr>
                <w:rFonts w:ascii="Cambria" w:hAnsi="Cambria" w:cs="Times New Roman"/>
                <w:b/>
                <w:sz w:val="24"/>
                <w:szCs w:val="24"/>
              </w:rPr>
              <w:t>ii verzi</w:t>
            </w:r>
          </w:p>
          <w:p w14:paraId="4829CB52" w14:textId="77777777" w:rsidR="005C483D" w:rsidRPr="00EA1BB2" w:rsidRDefault="005C483D" w:rsidP="00202308">
            <w:pPr>
              <w:tabs>
                <w:tab w:val="center" w:pos="4680"/>
                <w:tab w:val="right" w:pos="9360"/>
              </w:tabs>
              <w:spacing w:line="276" w:lineRule="auto"/>
              <w:jc w:val="center"/>
              <w:rPr>
                <w:rFonts w:ascii="Cambria" w:eastAsia="SimSun" w:hAnsi="Cambria" w:cs="Times New Roman"/>
                <w:b/>
                <w:sz w:val="24"/>
                <w:szCs w:val="24"/>
              </w:rPr>
            </w:pPr>
            <w:r w:rsidRPr="00EA1BB2">
              <w:rPr>
                <w:rFonts w:ascii="Cambria" w:hAnsi="Cambria" w:cs="Times New Roman"/>
                <w:b/>
                <w:sz w:val="24"/>
                <w:szCs w:val="24"/>
              </w:rPr>
              <w:t>(ha)</w:t>
            </w:r>
          </w:p>
        </w:tc>
        <w:tc>
          <w:tcPr>
            <w:tcW w:w="1361"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0669E5DB" w14:textId="77777777" w:rsidR="005C483D" w:rsidRPr="00EA1BB2" w:rsidRDefault="005C483D" w:rsidP="00202308">
            <w:pPr>
              <w:tabs>
                <w:tab w:val="center" w:pos="4680"/>
                <w:tab w:val="right" w:pos="9360"/>
              </w:tabs>
              <w:spacing w:line="276" w:lineRule="auto"/>
              <w:jc w:val="center"/>
              <w:rPr>
                <w:rFonts w:ascii="Cambria" w:hAnsi="Cambria" w:cs="Times New Roman"/>
                <w:b/>
                <w:sz w:val="24"/>
                <w:szCs w:val="24"/>
              </w:rPr>
            </w:pPr>
            <w:r w:rsidRPr="00EA1BB2">
              <w:rPr>
                <w:rFonts w:ascii="Cambria" w:hAnsi="Cambria" w:cs="Times New Roman"/>
                <w:b/>
                <w:sz w:val="24"/>
                <w:szCs w:val="24"/>
              </w:rPr>
              <w:t>Suprafa</w:t>
            </w:r>
            <w:r w:rsidR="00054880" w:rsidRPr="00EA1BB2">
              <w:rPr>
                <w:rFonts w:ascii="Cambria" w:hAnsi="Cambria" w:cs="Times New Roman"/>
                <w:b/>
                <w:sz w:val="24"/>
                <w:szCs w:val="24"/>
              </w:rPr>
              <w:t>ț</w:t>
            </w:r>
            <w:r w:rsidRPr="00EA1BB2">
              <w:rPr>
                <w:rFonts w:ascii="Cambria" w:hAnsi="Cambria" w:cs="Times New Roman"/>
                <w:b/>
                <w:sz w:val="24"/>
                <w:szCs w:val="24"/>
              </w:rPr>
              <w:t>ă intravilan</w:t>
            </w:r>
          </w:p>
          <w:p w14:paraId="27A3A69A" w14:textId="77777777" w:rsidR="005C483D" w:rsidRPr="00EA1BB2" w:rsidRDefault="005C483D" w:rsidP="00202308">
            <w:pPr>
              <w:tabs>
                <w:tab w:val="center" w:pos="4680"/>
                <w:tab w:val="right" w:pos="9360"/>
              </w:tabs>
              <w:spacing w:line="276" w:lineRule="auto"/>
              <w:jc w:val="center"/>
              <w:rPr>
                <w:rFonts w:ascii="Cambria" w:eastAsia="SimSun" w:hAnsi="Cambria" w:cs="Times New Roman"/>
                <w:b/>
                <w:sz w:val="24"/>
                <w:szCs w:val="24"/>
              </w:rPr>
            </w:pPr>
            <w:r w:rsidRPr="00EA1BB2">
              <w:rPr>
                <w:rFonts w:ascii="Cambria" w:hAnsi="Cambria" w:cs="Times New Roman"/>
                <w:b/>
                <w:sz w:val="24"/>
                <w:szCs w:val="24"/>
              </w:rPr>
              <w:t>(ha)</w:t>
            </w:r>
          </w:p>
        </w:tc>
        <w:tc>
          <w:tcPr>
            <w:tcW w:w="2438"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4C3B2395" w14:textId="77777777" w:rsidR="005C483D" w:rsidRPr="00EA1BB2" w:rsidRDefault="005C483D" w:rsidP="00202308">
            <w:pPr>
              <w:tabs>
                <w:tab w:val="center" w:pos="4680"/>
                <w:tab w:val="right" w:pos="9360"/>
              </w:tabs>
              <w:spacing w:line="276" w:lineRule="auto"/>
              <w:jc w:val="center"/>
              <w:rPr>
                <w:rFonts w:ascii="Cambria" w:eastAsia="SimSun" w:hAnsi="Cambria" w:cs="Times New Roman"/>
                <w:b/>
                <w:sz w:val="24"/>
                <w:szCs w:val="24"/>
              </w:rPr>
            </w:pPr>
            <w:r w:rsidRPr="00EA1BB2">
              <w:rPr>
                <w:rFonts w:ascii="Cambria" w:hAnsi="Cambria" w:cs="Times New Roman"/>
                <w:b/>
                <w:sz w:val="24"/>
                <w:szCs w:val="24"/>
              </w:rPr>
              <w:t>Procentul (%) din suprafa</w:t>
            </w:r>
            <w:r w:rsidR="00054880" w:rsidRPr="00EA1BB2">
              <w:rPr>
                <w:rFonts w:ascii="Cambria" w:hAnsi="Cambria" w:cs="Times New Roman"/>
                <w:b/>
                <w:sz w:val="24"/>
                <w:szCs w:val="24"/>
              </w:rPr>
              <w:t>ț</w:t>
            </w:r>
            <w:r w:rsidRPr="00EA1BB2">
              <w:rPr>
                <w:rFonts w:ascii="Cambria" w:hAnsi="Cambria" w:cs="Times New Roman"/>
                <w:b/>
                <w:sz w:val="24"/>
                <w:szCs w:val="24"/>
              </w:rPr>
              <w:t>ă intravilan reprezentat de suprafa</w:t>
            </w:r>
            <w:r w:rsidR="00054880" w:rsidRPr="00EA1BB2">
              <w:rPr>
                <w:rFonts w:ascii="Cambria" w:hAnsi="Cambria" w:cs="Times New Roman"/>
                <w:b/>
                <w:sz w:val="24"/>
                <w:szCs w:val="24"/>
              </w:rPr>
              <w:t>ț</w:t>
            </w:r>
            <w:r w:rsidRPr="00EA1BB2">
              <w:rPr>
                <w:rFonts w:ascii="Cambria" w:hAnsi="Cambria" w:cs="Times New Roman"/>
                <w:b/>
                <w:sz w:val="24"/>
                <w:szCs w:val="24"/>
              </w:rPr>
              <w:t>a totală de spa</w:t>
            </w:r>
            <w:r w:rsidR="00054880" w:rsidRPr="00EA1BB2">
              <w:rPr>
                <w:rFonts w:ascii="Cambria" w:hAnsi="Cambria" w:cs="Times New Roman"/>
                <w:b/>
                <w:sz w:val="24"/>
                <w:szCs w:val="24"/>
              </w:rPr>
              <w:t>ț</w:t>
            </w:r>
            <w:r w:rsidRPr="00EA1BB2">
              <w:rPr>
                <w:rFonts w:ascii="Cambria" w:hAnsi="Cambria" w:cs="Times New Roman"/>
                <w:b/>
                <w:sz w:val="24"/>
                <w:szCs w:val="24"/>
              </w:rPr>
              <w:t>ii verzi</w:t>
            </w:r>
          </w:p>
        </w:tc>
        <w:tc>
          <w:tcPr>
            <w:tcW w:w="1191"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13D0E977" w14:textId="77777777" w:rsidR="005C483D" w:rsidRPr="00EA1BB2" w:rsidRDefault="005C483D" w:rsidP="00202308">
            <w:pPr>
              <w:tabs>
                <w:tab w:val="center" w:pos="4680"/>
                <w:tab w:val="right" w:pos="9360"/>
              </w:tabs>
              <w:spacing w:line="276" w:lineRule="auto"/>
              <w:jc w:val="center"/>
              <w:rPr>
                <w:rFonts w:ascii="Cambria" w:hAnsi="Cambria" w:cs="Times New Roman"/>
                <w:b/>
                <w:sz w:val="24"/>
                <w:szCs w:val="24"/>
              </w:rPr>
            </w:pPr>
            <w:r w:rsidRPr="00EA1BB2">
              <w:rPr>
                <w:rFonts w:ascii="Cambria" w:hAnsi="Cambria" w:cs="Times New Roman"/>
                <w:b/>
                <w:sz w:val="24"/>
                <w:szCs w:val="24"/>
              </w:rPr>
              <w:t>Număr locuitori</w:t>
            </w:r>
          </w:p>
        </w:tc>
        <w:tc>
          <w:tcPr>
            <w:tcW w:w="1701"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50994801" w14:textId="77777777" w:rsidR="005C483D" w:rsidRPr="00EA1BB2" w:rsidRDefault="005C483D" w:rsidP="00202308">
            <w:pPr>
              <w:tabs>
                <w:tab w:val="center" w:pos="4680"/>
                <w:tab w:val="right" w:pos="9360"/>
              </w:tabs>
              <w:spacing w:line="276" w:lineRule="auto"/>
              <w:jc w:val="center"/>
              <w:rPr>
                <w:rFonts w:ascii="Cambria" w:eastAsia="SimSun" w:hAnsi="Cambria" w:cs="Times New Roman"/>
                <w:b/>
                <w:sz w:val="24"/>
                <w:szCs w:val="24"/>
              </w:rPr>
            </w:pPr>
            <w:r w:rsidRPr="00EA1BB2">
              <w:rPr>
                <w:rFonts w:ascii="Cambria" w:hAnsi="Cambria" w:cs="Times New Roman"/>
                <w:b/>
                <w:sz w:val="24"/>
                <w:szCs w:val="24"/>
              </w:rPr>
              <w:t>Indicatorul – suprafa</w:t>
            </w:r>
            <w:r w:rsidR="00054880" w:rsidRPr="00EA1BB2">
              <w:rPr>
                <w:rFonts w:ascii="Cambria" w:hAnsi="Cambria" w:cs="Times New Roman"/>
                <w:b/>
                <w:sz w:val="24"/>
                <w:szCs w:val="24"/>
              </w:rPr>
              <w:t>ț</w:t>
            </w:r>
            <w:r w:rsidRPr="00EA1BB2">
              <w:rPr>
                <w:rFonts w:ascii="Cambria" w:hAnsi="Cambria" w:cs="Times New Roman"/>
                <w:b/>
                <w:sz w:val="24"/>
                <w:szCs w:val="24"/>
              </w:rPr>
              <w:t>ă de spa</w:t>
            </w:r>
            <w:r w:rsidR="00054880" w:rsidRPr="00EA1BB2">
              <w:rPr>
                <w:rFonts w:ascii="Cambria" w:hAnsi="Cambria" w:cs="Times New Roman"/>
                <w:b/>
                <w:sz w:val="24"/>
                <w:szCs w:val="24"/>
              </w:rPr>
              <w:t>ț</w:t>
            </w:r>
            <w:r w:rsidRPr="00EA1BB2">
              <w:rPr>
                <w:rFonts w:ascii="Cambria" w:hAnsi="Cambria" w:cs="Times New Roman"/>
                <w:b/>
                <w:sz w:val="24"/>
                <w:szCs w:val="24"/>
              </w:rPr>
              <w:t>iu verde  m.p./locuitor</w:t>
            </w:r>
          </w:p>
        </w:tc>
      </w:tr>
      <w:tr w:rsidR="005C483D" w:rsidRPr="00EA1BB2" w14:paraId="133D4E4C" w14:textId="77777777" w:rsidTr="00BF29FA">
        <w:trPr>
          <w:jc w:val="center"/>
        </w:trPr>
        <w:tc>
          <w:tcPr>
            <w:tcW w:w="170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A6E409D" w14:textId="77777777" w:rsidR="005C483D" w:rsidRPr="00EA1BB2" w:rsidRDefault="005C483D" w:rsidP="005C483D">
            <w:pPr>
              <w:tabs>
                <w:tab w:val="center" w:pos="4680"/>
                <w:tab w:val="right" w:pos="9360"/>
              </w:tabs>
              <w:spacing w:line="360" w:lineRule="auto"/>
              <w:rPr>
                <w:rFonts w:ascii="Cambria" w:eastAsia="SimSun" w:hAnsi="Cambria" w:cs="Times New Roman"/>
                <w:sz w:val="24"/>
                <w:szCs w:val="24"/>
              </w:rPr>
            </w:pPr>
            <w:r w:rsidRPr="00EA1BB2">
              <w:rPr>
                <w:rFonts w:ascii="Cambria" w:hAnsi="Cambria" w:cs="Times New Roman"/>
                <w:sz w:val="24"/>
                <w:szCs w:val="24"/>
              </w:rPr>
              <w:t>Mun. Brăila</w:t>
            </w:r>
          </w:p>
        </w:tc>
        <w:tc>
          <w:tcPr>
            <w:tcW w:w="13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B17F4E" w14:textId="77777777" w:rsidR="005C483D" w:rsidRPr="00EA1BB2" w:rsidRDefault="005C483D" w:rsidP="005C483D">
            <w:pPr>
              <w:tabs>
                <w:tab w:val="center" w:pos="4680"/>
                <w:tab w:val="right" w:pos="9360"/>
              </w:tabs>
              <w:spacing w:line="360" w:lineRule="auto"/>
              <w:jc w:val="center"/>
              <w:rPr>
                <w:rFonts w:ascii="Cambria" w:eastAsia="SimSun" w:hAnsi="Cambria" w:cs="Times New Roman"/>
                <w:sz w:val="24"/>
                <w:szCs w:val="24"/>
              </w:rPr>
            </w:pPr>
            <w:r w:rsidRPr="00EA1BB2">
              <w:rPr>
                <w:rFonts w:ascii="Cambria" w:hAnsi="Cambria" w:cs="Times New Roman"/>
                <w:sz w:val="24"/>
                <w:szCs w:val="24"/>
              </w:rPr>
              <w:t>471,46</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6DBCFC" w14:textId="77777777" w:rsidR="005C483D" w:rsidRPr="00EA1BB2" w:rsidRDefault="005C483D" w:rsidP="005C483D">
            <w:pPr>
              <w:tabs>
                <w:tab w:val="center" w:pos="4680"/>
                <w:tab w:val="right" w:pos="9360"/>
              </w:tabs>
              <w:spacing w:line="360" w:lineRule="auto"/>
              <w:jc w:val="center"/>
              <w:rPr>
                <w:rFonts w:ascii="Cambria" w:eastAsia="SimSun" w:hAnsi="Cambria" w:cs="Times New Roman"/>
                <w:sz w:val="24"/>
                <w:szCs w:val="24"/>
              </w:rPr>
            </w:pPr>
            <w:r w:rsidRPr="00EA1BB2">
              <w:rPr>
                <w:rFonts w:ascii="Cambria" w:hAnsi="Cambria" w:cs="Times New Roman"/>
                <w:sz w:val="24"/>
                <w:szCs w:val="24"/>
              </w:rPr>
              <w:t>4201,41</w:t>
            </w:r>
          </w:p>
        </w:tc>
        <w:tc>
          <w:tcPr>
            <w:tcW w:w="24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F7EDBB" w14:textId="77777777" w:rsidR="005C483D" w:rsidRPr="00EA1BB2" w:rsidRDefault="005C483D" w:rsidP="005C483D">
            <w:pPr>
              <w:tabs>
                <w:tab w:val="center" w:pos="4680"/>
                <w:tab w:val="right" w:pos="9360"/>
              </w:tabs>
              <w:spacing w:line="360" w:lineRule="auto"/>
              <w:jc w:val="center"/>
              <w:rPr>
                <w:rFonts w:ascii="Cambria" w:eastAsia="SimSun" w:hAnsi="Cambria" w:cs="Times New Roman"/>
                <w:sz w:val="24"/>
                <w:szCs w:val="24"/>
              </w:rPr>
            </w:pPr>
            <w:r w:rsidRPr="00EA1BB2">
              <w:rPr>
                <w:rFonts w:ascii="Cambria" w:hAnsi="Cambria" w:cs="Times New Roman"/>
                <w:sz w:val="24"/>
                <w:szCs w:val="24"/>
              </w:rPr>
              <w:t>11,22</w:t>
            </w:r>
          </w:p>
        </w:tc>
        <w:tc>
          <w:tcPr>
            <w:tcW w:w="1191" w:type="dxa"/>
            <w:tcBorders>
              <w:top w:val="single" w:sz="4" w:space="0" w:color="000000"/>
              <w:left w:val="single" w:sz="4" w:space="0" w:color="000000"/>
              <w:bottom w:val="single" w:sz="4" w:space="0" w:color="000000"/>
              <w:right w:val="single" w:sz="4" w:space="0" w:color="000000"/>
            </w:tcBorders>
            <w:vAlign w:val="center"/>
          </w:tcPr>
          <w:p w14:paraId="3C680523" w14:textId="77777777" w:rsidR="005C483D" w:rsidRPr="00EA1BB2" w:rsidRDefault="005C483D" w:rsidP="005C483D">
            <w:pPr>
              <w:tabs>
                <w:tab w:val="center" w:pos="4680"/>
                <w:tab w:val="right" w:pos="9360"/>
              </w:tabs>
              <w:spacing w:line="360" w:lineRule="auto"/>
              <w:jc w:val="center"/>
              <w:rPr>
                <w:rFonts w:ascii="Cambria" w:hAnsi="Cambria" w:cs="Times New Roman"/>
                <w:sz w:val="24"/>
                <w:szCs w:val="24"/>
              </w:rPr>
            </w:pPr>
            <w:r w:rsidRPr="00EA1BB2">
              <w:rPr>
                <w:rFonts w:ascii="Cambria" w:hAnsi="Cambria" w:cs="Times New Roman"/>
                <w:sz w:val="24"/>
                <w:szCs w:val="24"/>
              </w:rPr>
              <w:t>180302</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99E042" w14:textId="77777777" w:rsidR="005C483D" w:rsidRPr="00EA1BB2" w:rsidRDefault="005C483D" w:rsidP="005C483D">
            <w:pPr>
              <w:tabs>
                <w:tab w:val="center" w:pos="4680"/>
                <w:tab w:val="right" w:pos="9360"/>
              </w:tabs>
              <w:spacing w:line="360" w:lineRule="auto"/>
              <w:jc w:val="center"/>
              <w:rPr>
                <w:rFonts w:ascii="Cambria" w:eastAsia="SimSun" w:hAnsi="Cambria" w:cs="Times New Roman"/>
                <w:sz w:val="24"/>
                <w:szCs w:val="24"/>
              </w:rPr>
            </w:pPr>
            <w:r w:rsidRPr="00EA1BB2">
              <w:rPr>
                <w:rFonts w:ascii="Cambria" w:hAnsi="Cambria" w:cs="Times New Roman"/>
                <w:sz w:val="24"/>
                <w:szCs w:val="24"/>
              </w:rPr>
              <w:t>26,14</w:t>
            </w:r>
          </w:p>
        </w:tc>
      </w:tr>
      <w:tr w:rsidR="005C483D" w:rsidRPr="00EA1BB2" w14:paraId="5671880D" w14:textId="77777777" w:rsidTr="00BF29FA">
        <w:trPr>
          <w:jc w:val="center"/>
        </w:trPr>
        <w:tc>
          <w:tcPr>
            <w:tcW w:w="170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1F17913" w14:textId="77777777" w:rsidR="005C483D" w:rsidRPr="00EA1BB2" w:rsidRDefault="005C483D" w:rsidP="005C483D">
            <w:pPr>
              <w:tabs>
                <w:tab w:val="center" w:pos="4680"/>
                <w:tab w:val="right" w:pos="9360"/>
              </w:tabs>
              <w:spacing w:line="360" w:lineRule="auto"/>
              <w:rPr>
                <w:rFonts w:ascii="Cambria" w:eastAsia="SimSun" w:hAnsi="Cambria" w:cs="Times New Roman"/>
                <w:sz w:val="24"/>
                <w:szCs w:val="24"/>
              </w:rPr>
            </w:pPr>
            <w:r w:rsidRPr="00EA1BB2">
              <w:rPr>
                <w:rFonts w:ascii="Cambria" w:hAnsi="Cambria" w:cs="Times New Roman"/>
                <w:sz w:val="24"/>
                <w:szCs w:val="24"/>
              </w:rPr>
              <w:t>Ianca</w:t>
            </w:r>
          </w:p>
        </w:tc>
        <w:tc>
          <w:tcPr>
            <w:tcW w:w="13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BEA1FA" w14:textId="77777777" w:rsidR="005C483D" w:rsidRPr="00EA1BB2" w:rsidRDefault="00085C68" w:rsidP="005C483D">
            <w:pPr>
              <w:tabs>
                <w:tab w:val="center" w:pos="4680"/>
                <w:tab w:val="right" w:pos="9360"/>
              </w:tabs>
              <w:spacing w:line="360" w:lineRule="auto"/>
              <w:jc w:val="center"/>
              <w:rPr>
                <w:rFonts w:ascii="Cambria" w:eastAsia="SimSun" w:hAnsi="Cambria" w:cs="Times New Roman"/>
                <w:sz w:val="24"/>
                <w:szCs w:val="24"/>
              </w:rPr>
            </w:pPr>
            <w:r w:rsidRPr="00EA1BB2">
              <w:rPr>
                <w:rFonts w:ascii="Cambria" w:hAnsi="Cambria" w:cs="Times New Roman"/>
                <w:sz w:val="24"/>
                <w:szCs w:val="24"/>
              </w:rPr>
              <w:t>38,28</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589FA8" w14:textId="77777777" w:rsidR="005C483D" w:rsidRPr="00EA1BB2" w:rsidRDefault="005C483D" w:rsidP="005C483D">
            <w:pPr>
              <w:tabs>
                <w:tab w:val="center" w:pos="4680"/>
                <w:tab w:val="right" w:pos="9360"/>
              </w:tabs>
              <w:spacing w:line="360" w:lineRule="auto"/>
              <w:jc w:val="center"/>
              <w:rPr>
                <w:rFonts w:ascii="Cambria" w:eastAsia="SimSun" w:hAnsi="Cambria" w:cs="Times New Roman"/>
                <w:sz w:val="24"/>
                <w:szCs w:val="24"/>
              </w:rPr>
            </w:pPr>
            <w:r w:rsidRPr="00EA1BB2">
              <w:rPr>
                <w:rFonts w:ascii="Cambria" w:hAnsi="Cambria" w:cs="Times New Roman"/>
                <w:sz w:val="24"/>
                <w:szCs w:val="24"/>
              </w:rPr>
              <w:t>1092</w:t>
            </w:r>
          </w:p>
        </w:tc>
        <w:tc>
          <w:tcPr>
            <w:tcW w:w="24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F1AD78" w14:textId="77777777" w:rsidR="005C483D" w:rsidRPr="00EA1BB2" w:rsidRDefault="00085C68" w:rsidP="005C483D">
            <w:pPr>
              <w:tabs>
                <w:tab w:val="center" w:pos="4680"/>
                <w:tab w:val="right" w:pos="9360"/>
              </w:tabs>
              <w:spacing w:line="360" w:lineRule="auto"/>
              <w:jc w:val="center"/>
              <w:rPr>
                <w:rFonts w:ascii="Cambria" w:eastAsia="SimSun" w:hAnsi="Cambria" w:cs="Times New Roman"/>
                <w:sz w:val="24"/>
                <w:szCs w:val="24"/>
              </w:rPr>
            </w:pPr>
            <w:r w:rsidRPr="00EA1BB2">
              <w:rPr>
                <w:rFonts w:ascii="Cambria" w:hAnsi="Cambria" w:cs="Times New Roman"/>
                <w:sz w:val="24"/>
                <w:szCs w:val="24"/>
              </w:rPr>
              <w:t>35,06</w:t>
            </w:r>
          </w:p>
        </w:tc>
        <w:tc>
          <w:tcPr>
            <w:tcW w:w="1191" w:type="dxa"/>
            <w:tcBorders>
              <w:top w:val="single" w:sz="4" w:space="0" w:color="000000"/>
              <w:left w:val="single" w:sz="4" w:space="0" w:color="000000"/>
              <w:bottom w:val="single" w:sz="4" w:space="0" w:color="000000"/>
              <w:right w:val="single" w:sz="4" w:space="0" w:color="000000"/>
            </w:tcBorders>
            <w:vAlign w:val="center"/>
          </w:tcPr>
          <w:p w14:paraId="6B98D2B2" w14:textId="77777777" w:rsidR="005C483D" w:rsidRPr="00EA1BB2" w:rsidRDefault="005C483D" w:rsidP="005C483D">
            <w:pPr>
              <w:tabs>
                <w:tab w:val="center" w:pos="4680"/>
                <w:tab w:val="right" w:pos="9360"/>
              </w:tabs>
              <w:spacing w:line="360" w:lineRule="auto"/>
              <w:jc w:val="center"/>
              <w:rPr>
                <w:rFonts w:ascii="Cambria" w:hAnsi="Cambria" w:cs="Times New Roman"/>
                <w:sz w:val="24"/>
                <w:szCs w:val="24"/>
              </w:rPr>
            </w:pPr>
            <w:r w:rsidRPr="00EA1BB2">
              <w:rPr>
                <w:rFonts w:ascii="Cambria" w:hAnsi="Cambria" w:cs="Times New Roman"/>
                <w:sz w:val="24"/>
                <w:szCs w:val="24"/>
              </w:rPr>
              <w:t>10343</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D7EB7A" w14:textId="77777777" w:rsidR="005C483D" w:rsidRPr="00EA1BB2" w:rsidRDefault="00085C68" w:rsidP="005C483D">
            <w:pPr>
              <w:tabs>
                <w:tab w:val="center" w:pos="4680"/>
                <w:tab w:val="right" w:pos="9360"/>
              </w:tabs>
              <w:spacing w:line="360" w:lineRule="auto"/>
              <w:jc w:val="center"/>
              <w:rPr>
                <w:rFonts w:ascii="Cambria" w:eastAsia="SimSun" w:hAnsi="Cambria" w:cs="Times New Roman"/>
                <w:sz w:val="24"/>
                <w:szCs w:val="24"/>
              </w:rPr>
            </w:pPr>
            <w:r w:rsidRPr="00EA1BB2">
              <w:rPr>
                <w:rFonts w:ascii="Cambria" w:hAnsi="Cambria" w:cs="Times New Roman"/>
                <w:sz w:val="24"/>
                <w:szCs w:val="24"/>
              </w:rPr>
              <w:t>37,01</w:t>
            </w:r>
          </w:p>
        </w:tc>
      </w:tr>
      <w:tr w:rsidR="005C483D" w:rsidRPr="00EA1BB2" w14:paraId="173D91C6" w14:textId="77777777" w:rsidTr="00BF29FA">
        <w:trPr>
          <w:jc w:val="center"/>
        </w:trPr>
        <w:tc>
          <w:tcPr>
            <w:tcW w:w="170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C7D47AB" w14:textId="77777777" w:rsidR="005C483D" w:rsidRPr="00EA1BB2" w:rsidRDefault="005C483D" w:rsidP="005C483D">
            <w:pPr>
              <w:spacing w:line="360" w:lineRule="auto"/>
              <w:rPr>
                <w:rFonts w:ascii="Cambria" w:eastAsia="SimSun" w:hAnsi="Cambria" w:cs="Times New Roman"/>
                <w:sz w:val="24"/>
                <w:szCs w:val="24"/>
              </w:rPr>
            </w:pPr>
            <w:r w:rsidRPr="00EA1BB2">
              <w:rPr>
                <w:rFonts w:ascii="Cambria" w:hAnsi="Cambria" w:cs="Times New Roman"/>
                <w:sz w:val="24"/>
                <w:szCs w:val="24"/>
              </w:rPr>
              <w:t>Însură</w:t>
            </w:r>
            <w:r w:rsidR="00054880" w:rsidRPr="00EA1BB2">
              <w:rPr>
                <w:rFonts w:ascii="Cambria" w:hAnsi="Cambria" w:cs="Times New Roman"/>
                <w:sz w:val="24"/>
                <w:szCs w:val="24"/>
              </w:rPr>
              <w:t>ț</w:t>
            </w:r>
            <w:r w:rsidRPr="00EA1BB2">
              <w:rPr>
                <w:rFonts w:ascii="Cambria" w:hAnsi="Cambria" w:cs="Times New Roman"/>
                <w:sz w:val="24"/>
                <w:szCs w:val="24"/>
              </w:rPr>
              <w:t>ei</w:t>
            </w:r>
          </w:p>
        </w:tc>
        <w:tc>
          <w:tcPr>
            <w:tcW w:w="13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334901" w14:textId="77777777" w:rsidR="005C483D" w:rsidRPr="00EA1BB2" w:rsidRDefault="005C483D" w:rsidP="005C483D">
            <w:pPr>
              <w:tabs>
                <w:tab w:val="center" w:pos="4680"/>
                <w:tab w:val="right" w:pos="9360"/>
              </w:tabs>
              <w:spacing w:line="360" w:lineRule="auto"/>
              <w:jc w:val="center"/>
              <w:rPr>
                <w:rFonts w:ascii="Cambria" w:eastAsia="SimSun" w:hAnsi="Cambria" w:cs="Times New Roman"/>
                <w:sz w:val="24"/>
                <w:szCs w:val="24"/>
              </w:rPr>
            </w:pPr>
            <w:r w:rsidRPr="00EA1BB2">
              <w:rPr>
                <w:rFonts w:ascii="Cambria" w:hAnsi="Cambria" w:cs="Times New Roman"/>
                <w:sz w:val="24"/>
                <w:szCs w:val="24"/>
              </w:rPr>
              <w:t>18,07</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849C0E" w14:textId="77777777" w:rsidR="005C483D" w:rsidRPr="00EA1BB2" w:rsidRDefault="005C483D" w:rsidP="005C483D">
            <w:pPr>
              <w:tabs>
                <w:tab w:val="center" w:pos="4680"/>
                <w:tab w:val="right" w:pos="9360"/>
              </w:tabs>
              <w:spacing w:line="360" w:lineRule="auto"/>
              <w:jc w:val="center"/>
              <w:rPr>
                <w:rFonts w:ascii="Cambria" w:eastAsia="SimSun" w:hAnsi="Cambria" w:cs="Times New Roman"/>
                <w:sz w:val="24"/>
                <w:szCs w:val="24"/>
              </w:rPr>
            </w:pPr>
            <w:r w:rsidRPr="00EA1BB2">
              <w:rPr>
                <w:rFonts w:ascii="Cambria" w:hAnsi="Cambria" w:cs="Times New Roman"/>
                <w:sz w:val="24"/>
                <w:szCs w:val="24"/>
              </w:rPr>
              <w:t>860,24</w:t>
            </w:r>
          </w:p>
        </w:tc>
        <w:tc>
          <w:tcPr>
            <w:tcW w:w="24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63A61E" w14:textId="77777777" w:rsidR="005C483D" w:rsidRPr="00EA1BB2" w:rsidRDefault="005C483D" w:rsidP="005C483D">
            <w:pPr>
              <w:tabs>
                <w:tab w:val="center" w:pos="4680"/>
                <w:tab w:val="right" w:pos="9360"/>
              </w:tabs>
              <w:spacing w:line="360" w:lineRule="auto"/>
              <w:jc w:val="center"/>
              <w:rPr>
                <w:rFonts w:ascii="Cambria" w:eastAsia="SimSun" w:hAnsi="Cambria" w:cs="Times New Roman"/>
                <w:sz w:val="24"/>
                <w:szCs w:val="24"/>
              </w:rPr>
            </w:pPr>
            <w:r w:rsidRPr="00EA1BB2">
              <w:rPr>
                <w:rFonts w:ascii="Cambria" w:hAnsi="Cambria" w:cs="Times New Roman"/>
                <w:sz w:val="24"/>
                <w:szCs w:val="24"/>
              </w:rPr>
              <w:t>2,1</w:t>
            </w:r>
          </w:p>
        </w:tc>
        <w:tc>
          <w:tcPr>
            <w:tcW w:w="1191" w:type="dxa"/>
            <w:tcBorders>
              <w:top w:val="single" w:sz="4" w:space="0" w:color="000000"/>
              <w:left w:val="single" w:sz="4" w:space="0" w:color="000000"/>
              <w:bottom w:val="single" w:sz="4" w:space="0" w:color="000000"/>
              <w:right w:val="single" w:sz="4" w:space="0" w:color="000000"/>
            </w:tcBorders>
            <w:vAlign w:val="center"/>
          </w:tcPr>
          <w:p w14:paraId="76E8AF5A" w14:textId="77777777" w:rsidR="005C483D" w:rsidRPr="00EA1BB2" w:rsidRDefault="005C483D" w:rsidP="005C483D">
            <w:pPr>
              <w:tabs>
                <w:tab w:val="center" w:pos="4680"/>
                <w:tab w:val="right" w:pos="9360"/>
              </w:tabs>
              <w:spacing w:line="360" w:lineRule="auto"/>
              <w:jc w:val="center"/>
              <w:rPr>
                <w:rFonts w:ascii="Cambria" w:hAnsi="Cambria" w:cs="Times New Roman"/>
                <w:sz w:val="24"/>
                <w:szCs w:val="24"/>
              </w:rPr>
            </w:pPr>
            <w:r w:rsidRPr="00EA1BB2">
              <w:rPr>
                <w:rFonts w:ascii="Cambria" w:hAnsi="Cambria" w:cs="Times New Roman"/>
                <w:sz w:val="24"/>
                <w:szCs w:val="24"/>
              </w:rPr>
              <w:t>6528</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9C0375" w14:textId="77777777" w:rsidR="005C483D" w:rsidRPr="00EA1BB2" w:rsidRDefault="005C483D" w:rsidP="005C483D">
            <w:pPr>
              <w:tabs>
                <w:tab w:val="center" w:pos="4680"/>
                <w:tab w:val="right" w:pos="9360"/>
              </w:tabs>
              <w:spacing w:line="360" w:lineRule="auto"/>
              <w:jc w:val="center"/>
              <w:rPr>
                <w:rFonts w:ascii="Cambria" w:eastAsia="SimSun" w:hAnsi="Cambria" w:cs="Times New Roman"/>
                <w:sz w:val="24"/>
                <w:szCs w:val="24"/>
              </w:rPr>
            </w:pPr>
            <w:r w:rsidRPr="00EA1BB2">
              <w:rPr>
                <w:rFonts w:ascii="Cambria" w:hAnsi="Cambria" w:cs="Times New Roman"/>
                <w:sz w:val="24"/>
                <w:szCs w:val="24"/>
              </w:rPr>
              <w:t>27,67</w:t>
            </w:r>
          </w:p>
        </w:tc>
      </w:tr>
      <w:tr w:rsidR="005C483D" w:rsidRPr="00EA1BB2" w14:paraId="14637E8F" w14:textId="77777777" w:rsidTr="00BF29FA">
        <w:trPr>
          <w:jc w:val="center"/>
        </w:trPr>
        <w:tc>
          <w:tcPr>
            <w:tcW w:w="170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00E0C7B" w14:textId="77777777" w:rsidR="005C483D" w:rsidRPr="00EA1BB2" w:rsidRDefault="005C483D" w:rsidP="005C483D">
            <w:pPr>
              <w:spacing w:line="360" w:lineRule="auto"/>
              <w:rPr>
                <w:rFonts w:ascii="Cambria" w:eastAsia="SimSun" w:hAnsi="Cambria" w:cs="Times New Roman"/>
                <w:sz w:val="24"/>
                <w:szCs w:val="24"/>
              </w:rPr>
            </w:pPr>
            <w:r w:rsidRPr="00EA1BB2">
              <w:rPr>
                <w:rFonts w:ascii="Cambria" w:hAnsi="Cambria" w:cs="Times New Roman"/>
                <w:sz w:val="24"/>
                <w:szCs w:val="24"/>
              </w:rPr>
              <w:t>Făurei</w:t>
            </w:r>
          </w:p>
        </w:tc>
        <w:tc>
          <w:tcPr>
            <w:tcW w:w="13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01A353" w14:textId="77777777" w:rsidR="005C483D" w:rsidRPr="00EA1BB2" w:rsidRDefault="005C483D" w:rsidP="005C483D">
            <w:pPr>
              <w:tabs>
                <w:tab w:val="center" w:pos="4680"/>
                <w:tab w:val="right" w:pos="9360"/>
              </w:tabs>
              <w:spacing w:line="360" w:lineRule="auto"/>
              <w:jc w:val="center"/>
              <w:rPr>
                <w:rFonts w:ascii="Cambria" w:eastAsia="SimSun" w:hAnsi="Cambria" w:cs="Times New Roman"/>
                <w:sz w:val="24"/>
                <w:szCs w:val="24"/>
              </w:rPr>
            </w:pPr>
            <w:r w:rsidRPr="00EA1BB2">
              <w:rPr>
                <w:rFonts w:ascii="Cambria" w:hAnsi="Cambria" w:cs="Times New Roman"/>
                <w:sz w:val="24"/>
                <w:szCs w:val="24"/>
              </w:rPr>
              <w:t>5,63</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E37C6C" w14:textId="77777777" w:rsidR="005C483D" w:rsidRPr="00EA1BB2" w:rsidRDefault="005C483D" w:rsidP="005C483D">
            <w:pPr>
              <w:tabs>
                <w:tab w:val="center" w:pos="4680"/>
                <w:tab w:val="right" w:pos="9360"/>
              </w:tabs>
              <w:spacing w:line="360" w:lineRule="auto"/>
              <w:jc w:val="center"/>
              <w:rPr>
                <w:rFonts w:ascii="Cambria" w:eastAsia="SimSun" w:hAnsi="Cambria" w:cs="Times New Roman"/>
                <w:sz w:val="24"/>
                <w:szCs w:val="24"/>
              </w:rPr>
            </w:pPr>
            <w:r w:rsidRPr="00EA1BB2">
              <w:rPr>
                <w:rFonts w:ascii="Cambria" w:hAnsi="Cambria" w:cs="Times New Roman"/>
                <w:sz w:val="24"/>
                <w:szCs w:val="24"/>
              </w:rPr>
              <w:t>296,47</w:t>
            </w:r>
          </w:p>
        </w:tc>
        <w:tc>
          <w:tcPr>
            <w:tcW w:w="24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2909D5" w14:textId="77777777" w:rsidR="005C483D" w:rsidRPr="00EA1BB2" w:rsidRDefault="00B00479" w:rsidP="005C483D">
            <w:pPr>
              <w:tabs>
                <w:tab w:val="center" w:pos="4680"/>
                <w:tab w:val="right" w:pos="9360"/>
              </w:tabs>
              <w:spacing w:line="360" w:lineRule="auto"/>
              <w:jc w:val="center"/>
              <w:rPr>
                <w:rFonts w:ascii="Cambria" w:eastAsia="SimSun" w:hAnsi="Cambria" w:cs="Times New Roman"/>
                <w:sz w:val="24"/>
                <w:szCs w:val="24"/>
              </w:rPr>
            </w:pPr>
            <w:r w:rsidRPr="00EA1BB2">
              <w:rPr>
                <w:rFonts w:ascii="Cambria" w:hAnsi="Cambria" w:cs="Times New Roman"/>
                <w:sz w:val="24"/>
                <w:szCs w:val="24"/>
              </w:rPr>
              <w:t>1,9</w:t>
            </w:r>
          </w:p>
        </w:tc>
        <w:tc>
          <w:tcPr>
            <w:tcW w:w="1191" w:type="dxa"/>
            <w:tcBorders>
              <w:top w:val="single" w:sz="4" w:space="0" w:color="000000"/>
              <w:left w:val="single" w:sz="4" w:space="0" w:color="000000"/>
              <w:bottom w:val="single" w:sz="4" w:space="0" w:color="000000"/>
              <w:right w:val="single" w:sz="4" w:space="0" w:color="000000"/>
            </w:tcBorders>
            <w:vAlign w:val="center"/>
          </w:tcPr>
          <w:p w14:paraId="0A6B1EFA" w14:textId="77777777" w:rsidR="005C483D" w:rsidRPr="00EA1BB2" w:rsidRDefault="005C483D" w:rsidP="005C483D">
            <w:pPr>
              <w:tabs>
                <w:tab w:val="center" w:pos="4680"/>
                <w:tab w:val="right" w:pos="9360"/>
              </w:tabs>
              <w:spacing w:line="360" w:lineRule="auto"/>
              <w:jc w:val="center"/>
              <w:rPr>
                <w:rFonts w:ascii="Cambria" w:hAnsi="Cambria" w:cs="Times New Roman"/>
                <w:sz w:val="24"/>
                <w:szCs w:val="24"/>
              </w:rPr>
            </w:pPr>
            <w:r w:rsidRPr="00EA1BB2">
              <w:rPr>
                <w:rFonts w:ascii="Cambria" w:hAnsi="Cambria" w:cs="Times New Roman"/>
                <w:sz w:val="24"/>
                <w:szCs w:val="24"/>
              </w:rPr>
              <w:t>3592</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901431" w14:textId="77777777" w:rsidR="005C483D" w:rsidRPr="00EA1BB2" w:rsidRDefault="005C483D" w:rsidP="005C483D">
            <w:pPr>
              <w:tabs>
                <w:tab w:val="center" w:pos="4680"/>
                <w:tab w:val="right" w:pos="9360"/>
              </w:tabs>
              <w:spacing w:line="360" w:lineRule="auto"/>
              <w:jc w:val="center"/>
              <w:rPr>
                <w:rFonts w:ascii="Cambria" w:eastAsia="SimSun" w:hAnsi="Cambria" w:cs="Times New Roman"/>
                <w:sz w:val="24"/>
                <w:szCs w:val="24"/>
              </w:rPr>
            </w:pPr>
            <w:r w:rsidRPr="00EA1BB2">
              <w:rPr>
                <w:rFonts w:ascii="Cambria" w:hAnsi="Cambria" w:cs="Times New Roman"/>
                <w:sz w:val="24"/>
                <w:szCs w:val="24"/>
              </w:rPr>
              <w:t>15,68</w:t>
            </w:r>
          </w:p>
        </w:tc>
      </w:tr>
      <w:tr w:rsidR="005C483D" w:rsidRPr="00EA1BB2" w14:paraId="7020CE24" w14:textId="77777777" w:rsidTr="00BF29FA">
        <w:trPr>
          <w:jc w:val="center"/>
        </w:trPr>
        <w:tc>
          <w:tcPr>
            <w:tcW w:w="170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7FAF6DC" w14:textId="77777777" w:rsidR="005C483D" w:rsidRPr="00EA1BB2" w:rsidRDefault="005C483D" w:rsidP="005C483D">
            <w:pPr>
              <w:spacing w:line="360" w:lineRule="auto"/>
              <w:rPr>
                <w:rFonts w:ascii="Cambria" w:eastAsia="SimSun" w:hAnsi="Cambria" w:cs="Times New Roman"/>
                <w:sz w:val="24"/>
                <w:szCs w:val="24"/>
              </w:rPr>
            </w:pPr>
            <w:r w:rsidRPr="00EA1BB2">
              <w:rPr>
                <w:rFonts w:ascii="Cambria" w:hAnsi="Cambria" w:cs="Times New Roman"/>
                <w:sz w:val="24"/>
                <w:szCs w:val="24"/>
              </w:rPr>
              <w:t>Jude</w:t>
            </w:r>
            <w:r w:rsidR="00054880" w:rsidRPr="00EA1BB2">
              <w:rPr>
                <w:rFonts w:ascii="Cambria" w:hAnsi="Cambria" w:cs="Times New Roman"/>
                <w:sz w:val="24"/>
                <w:szCs w:val="24"/>
              </w:rPr>
              <w:t>ț</w:t>
            </w:r>
            <w:r w:rsidRPr="00EA1BB2">
              <w:rPr>
                <w:rFonts w:ascii="Cambria" w:hAnsi="Cambria" w:cs="Times New Roman"/>
                <w:sz w:val="24"/>
                <w:szCs w:val="24"/>
              </w:rPr>
              <w:t>ul Brăila</w:t>
            </w:r>
          </w:p>
        </w:tc>
        <w:tc>
          <w:tcPr>
            <w:tcW w:w="13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DD37A2" w14:textId="77777777" w:rsidR="005C483D" w:rsidRPr="00EA1BB2" w:rsidRDefault="00085C68" w:rsidP="00B00479">
            <w:pPr>
              <w:tabs>
                <w:tab w:val="center" w:pos="4680"/>
                <w:tab w:val="right" w:pos="9360"/>
              </w:tabs>
              <w:spacing w:line="360" w:lineRule="auto"/>
              <w:jc w:val="center"/>
              <w:rPr>
                <w:rFonts w:ascii="Cambria" w:eastAsia="SimSun" w:hAnsi="Cambria" w:cs="Times New Roman"/>
                <w:sz w:val="24"/>
                <w:szCs w:val="24"/>
              </w:rPr>
            </w:pPr>
            <w:r w:rsidRPr="00EA1BB2">
              <w:rPr>
                <w:rFonts w:ascii="Cambria" w:hAnsi="Cambria" w:cs="Times New Roman"/>
                <w:sz w:val="24"/>
                <w:szCs w:val="24"/>
              </w:rPr>
              <w:t>533,44</w:t>
            </w:r>
          </w:p>
        </w:tc>
        <w:tc>
          <w:tcPr>
            <w:tcW w:w="13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ABEFEF" w14:textId="77777777" w:rsidR="005C483D" w:rsidRPr="00EA1BB2" w:rsidRDefault="005C483D" w:rsidP="005C483D">
            <w:pPr>
              <w:tabs>
                <w:tab w:val="center" w:pos="4680"/>
                <w:tab w:val="right" w:pos="9360"/>
              </w:tabs>
              <w:spacing w:line="360" w:lineRule="auto"/>
              <w:jc w:val="center"/>
              <w:rPr>
                <w:rFonts w:ascii="Cambria" w:eastAsia="SimSun" w:hAnsi="Cambria" w:cs="Times New Roman"/>
                <w:sz w:val="24"/>
                <w:szCs w:val="24"/>
              </w:rPr>
            </w:pPr>
            <w:r w:rsidRPr="00EA1BB2">
              <w:rPr>
                <w:rFonts w:ascii="Cambria" w:hAnsi="Cambria" w:cs="Times New Roman"/>
                <w:sz w:val="24"/>
                <w:szCs w:val="24"/>
              </w:rPr>
              <w:t>6450,12</w:t>
            </w:r>
          </w:p>
        </w:tc>
        <w:tc>
          <w:tcPr>
            <w:tcW w:w="24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207280" w14:textId="77777777" w:rsidR="005C483D" w:rsidRPr="00EA1BB2" w:rsidRDefault="005C483D" w:rsidP="00085C68">
            <w:pPr>
              <w:tabs>
                <w:tab w:val="center" w:pos="4680"/>
                <w:tab w:val="right" w:pos="9360"/>
              </w:tabs>
              <w:spacing w:line="360" w:lineRule="auto"/>
              <w:jc w:val="center"/>
              <w:rPr>
                <w:rFonts w:ascii="Cambria" w:eastAsia="SimSun" w:hAnsi="Cambria" w:cs="Times New Roman"/>
                <w:sz w:val="24"/>
                <w:szCs w:val="24"/>
              </w:rPr>
            </w:pPr>
            <w:r w:rsidRPr="00EA1BB2">
              <w:rPr>
                <w:rFonts w:ascii="Cambria" w:hAnsi="Cambria" w:cs="Times New Roman"/>
                <w:sz w:val="24"/>
                <w:szCs w:val="24"/>
              </w:rPr>
              <w:t>8,1</w:t>
            </w:r>
            <w:r w:rsidR="00085C68" w:rsidRPr="00EA1BB2">
              <w:rPr>
                <w:rFonts w:ascii="Cambria" w:hAnsi="Cambria" w:cs="Times New Roman"/>
                <w:sz w:val="24"/>
                <w:szCs w:val="24"/>
              </w:rPr>
              <w:t>6</w:t>
            </w:r>
          </w:p>
        </w:tc>
        <w:tc>
          <w:tcPr>
            <w:tcW w:w="1191" w:type="dxa"/>
            <w:tcBorders>
              <w:top w:val="single" w:sz="4" w:space="0" w:color="000000"/>
              <w:left w:val="single" w:sz="4" w:space="0" w:color="000000"/>
              <w:bottom w:val="single" w:sz="4" w:space="0" w:color="000000"/>
              <w:right w:val="single" w:sz="4" w:space="0" w:color="000000"/>
            </w:tcBorders>
            <w:vAlign w:val="center"/>
          </w:tcPr>
          <w:p w14:paraId="08D57EB5" w14:textId="77777777" w:rsidR="005C483D" w:rsidRPr="00EA1BB2" w:rsidRDefault="005C483D" w:rsidP="005C483D">
            <w:pPr>
              <w:tabs>
                <w:tab w:val="center" w:pos="4680"/>
                <w:tab w:val="right" w:pos="9360"/>
              </w:tabs>
              <w:spacing w:line="360" w:lineRule="auto"/>
              <w:jc w:val="center"/>
              <w:rPr>
                <w:rFonts w:ascii="Cambria" w:hAnsi="Cambria" w:cs="Times New Roman"/>
                <w:sz w:val="24"/>
                <w:szCs w:val="24"/>
              </w:rPr>
            </w:pPr>
            <w:r w:rsidRPr="00EA1BB2">
              <w:rPr>
                <w:rFonts w:ascii="Cambria" w:hAnsi="Cambria" w:cs="Times New Roman"/>
                <w:sz w:val="24"/>
                <w:szCs w:val="24"/>
              </w:rPr>
              <w:t>200765</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6A8FF1" w14:textId="77777777" w:rsidR="005C483D" w:rsidRPr="00EA1BB2" w:rsidRDefault="005C483D" w:rsidP="00B00479">
            <w:pPr>
              <w:tabs>
                <w:tab w:val="center" w:pos="4680"/>
                <w:tab w:val="right" w:pos="9360"/>
              </w:tabs>
              <w:spacing w:line="360" w:lineRule="auto"/>
              <w:jc w:val="center"/>
              <w:rPr>
                <w:rFonts w:ascii="Cambria" w:eastAsia="SimSun" w:hAnsi="Cambria" w:cs="Times New Roman"/>
                <w:sz w:val="24"/>
                <w:szCs w:val="24"/>
              </w:rPr>
            </w:pPr>
            <w:r w:rsidRPr="00EA1BB2">
              <w:rPr>
                <w:rFonts w:ascii="Cambria" w:hAnsi="Cambria" w:cs="Times New Roman"/>
                <w:sz w:val="24"/>
                <w:szCs w:val="24"/>
              </w:rPr>
              <w:t>26,5</w:t>
            </w:r>
            <w:r w:rsidR="00085C68" w:rsidRPr="00EA1BB2">
              <w:rPr>
                <w:rFonts w:ascii="Cambria" w:hAnsi="Cambria" w:cs="Times New Roman"/>
                <w:sz w:val="24"/>
                <w:szCs w:val="24"/>
              </w:rPr>
              <w:t>7</w:t>
            </w:r>
          </w:p>
        </w:tc>
      </w:tr>
    </w:tbl>
    <w:p w14:paraId="1BA2843A" w14:textId="164DB397" w:rsidR="000D0C17" w:rsidRPr="00EA1BB2" w:rsidRDefault="00086957" w:rsidP="00B363AD">
      <w:pPr>
        <w:jc w:val="both"/>
        <w:rPr>
          <w:rFonts w:ascii="Cambria" w:hAnsi="Cambria"/>
          <w:sz w:val="24"/>
        </w:rPr>
      </w:pPr>
      <w:r w:rsidRPr="00EA1BB2">
        <w:rPr>
          <w:rFonts w:ascii="Cambria" w:eastAsia="Times New Roman" w:hAnsi="Cambria" w:cs="Times New Roman"/>
          <w:szCs w:val="24"/>
        </w:rPr>
        <w:t>S</w:t>
      </w:r>
      <w:r w:rsidR="004C2B90" w:rsidRPr="00EA1BB2">
        <w:rPr>
          <w:rFonts w:ascii="Cambria" w:eastAsia="Times New Roman" w:hAnsi="Cambria" w:cs="Times New Roman"/>
          <w:szCs w:val="24"/>
        </w:rPr>
        <w:t>ursa</w:t>
      </w:r>
      <w:r w:rsidRPr="00EA1BB2">
        <w:rPr>
          <w:rFonts w:ascii="Cambria" w:eastAsia="Times New Roman" w:hAnsi="Cambria" w:cs="Times New Roman"/>
          <w:szCs w:val="24"/>
        </w:rPr>
        <w:t xml:space="preserve"> date</w:t>
      </w:r>
      <w:r w:rsidR="004C2B90" w:rsidRPr="00EA1BB2">
        <w:rPr>
          <w:rFonts w:ascii="Cambria" w:eastAsia="Times New Roman" w:hAnsi="Cambria" w:cs="Times New Roman"/>
          <w:szCs w:val="24"/>
        </w:rPr>
        <w:t>: APM Brăila - Raportul anual privind starea mediului pentru jude</w:t>
      </w:r>
      <w:r w:rsidR="00054880" w:rsidRPr="00EA1BB2">
        <w:rPr>
          <w:rFonts w:ascii="Cambria" w:eastAsia="Times New Roman" w:hAnsi="Cambria" w:cs="Times New Roman"/>
          <w:szCs w:val="24"/>
        </w:rPr>
        <w:t>ț</w:t>
      </w:r>
      <w:r w:rsidR="004C2B90" w:rsidRPr="00EA1BB2">
        <w:rPr>
          <w:rFonts w:ascii="Cambria" w:eastAsia="Times New Roman" w:hAnsi="Cambria" w:cs="Times New Roman"/>
          <w:szCs w:val="24"/>
        </w:rPr>
        <w:t>ul Brăila -</w:t>
      </w:r>
      <w:r w:rsidR="00C31A2A">
        <w:rPr>
          <w:rFonts w:ascii="Cambria" w:eastAsia="Times New Roman" w:hAnsi="Cambria" w:cs="Times New Roman"/>
          <w:szCs w:val="24"/>
        </w:rPr>
        <w:t xml:space="preserve"> </w:t>
      </w:r>
      <w:r w:rsidR="004C2B90" w:rsidRPr="00EA1BB2">
        <w:rPr>
          <w:rFonts w:ascii="Cambria" w:eastAsia="Times New Roman" w:hAnsi="Cambria" w:cs="Times New Roman"/>
          <w:szCs w:val="24"/>
        </w:rPr>
        <w:t>Anul 201</w:t>
      </w:r>
      <w:r w:rsidR="00085C68" w:rsidRPr="00EA1BB2">
        <w:rPr>
          <w:rFonts w:ascii="Cambria" w:eastAsia="Times New Roman" w:hAnsi="Cambria" w:cs="Times New Roman"/>
          <w:szCs w:val="24"/>
        </w:rPr>
        <w:t>6</w:t>
      </w:r>
    </w:p>
    <w:p w14:paraId="44B75F11" w14:textId="77777777" w:rsidR="005C483D" w:rsidRPr="00EA1BB2" w:rsidRDefault="008233B0" w:rsidP="00E859EF">
      <w:pPr>
        <w:pStyle w:val="ListParagraph"/>
        <w:keepNext/>
        <w:keepLines/>
        <w:numPr>
          <w:ilvl w:val="2"/>
          <w:numId w:val="1"/>
        </w:numPr>
        <w:spacing w:after="0" w:line="360" w:lineRule="auto"/>
        <w:ind w:left="1418"/>
        <w:jc w:val="both"/>
        <w:outlineLvl w:val="2"/>
        <w:rPr>
          <w:rFonts w:ascii="Cambria" w:eastAsia="Times New Roman" w:hAnsi="Cambria" w:cs="Times New Roman"/>
          <w:b/>
          <w:color w:val="0070C0"/>
          <w:sz w:val="24"/>
          <w:szCs w:val="24"/>
          <w:lang w:val="ro-RO"/>
        </w:rPr>
      </w:pPr>
      <w:bookmarkStart w:id="50" w:name="_Toc526889703"/>
      <w:r w:rsidRPr="00EA1BB2">
        <w:rPr>
          <w:rFonts w:ascii="Cambria" w:eastAsia="Times New Roman" w:hAnsi="Cambria" w:cs="Times New Roman"/>
          <w:b/>
          <w:color w:val="0070C0"/>
          <w:sz w:val="24"/>
          <w:szCs w:val="24"/>
          <w:lang w:val="ro-RO"/>
        </w:rPr>
        <w:lastRenderedPageBreak/>
        <w:t>Biodiversitatea</w:t>
      </w:r>
      <w:bookmarkEnd w:id="50"/>
    </w:p>
    <w:p w14:paraId="49C6D948" w14:textId="77777777" w:rsidR="005C483D" w:rsidRPr="00EA1BB2" w:rsidRDefault="005C483D" w:rsidP="005C483D">
      <w:pPr>
        <w:spacing w:line="360" w:lineRule="auto"/>
        <w:ind w:firstLine="709"/>
        <w:jc w:val="both"/>
        <w:rPr>
          <w:rFonts w:ascii="Cambria" w:hAnsi="Cambria" w:cs="Times New Roman"/>
          <w:sz w:val="24"/>
          <w:szCs w:val="24"/>
        </w:rPr>
      </w:pPr>
      <w:r w:rsidRPr="00EA1BB2">
        <w:rPr>
          <w:rFonts w:ascii="Cambria" w:hAnsi="Cambria" w:cs="Times New Roman"/>
          <w:sz w:val="24"/>
          <w:szCs w:val="24"/>
        </w:rPr>
        <w:t>Aceasta se grupează în două mari areale biogeografice: arealul de stepă, reprezentat prin spa</w:t>
      </w:r>
      <w:r w:rsidR="00054880" w:rsidRPr="00EA1BB2">
        <w:rPr>
          <w:rFonts w:ascii="Cambria" w:hAnsi="Cambria" w:cs="Times New Roman"/>
          <w:sz w:val="24"/>
          <w:szCs w:val="24"/>
        </w:rPr>
        <w:t>ț</w:t>
      </w:r>
      <w:r w:rsidRPr="00EA1BB2">
        <w:rPr>
          <w:rFonts w:ascii="Cambria" w:hAnsi="Cambria" w:cs="Times New Roman"/>
          <w:sz w:val="24"/>
          <w:szCs w:val="24"/>
        </w:rPr>
        <w:t xml:space="preserve">iile interfluviale (Câmpia Brăilei </w:t>
      </w:r>
      <w:r w:rsidR="00054880" w:rsidRPr="00EA1BB2">
        <w:rPr>
          <w:rFonts w:ascii="Cambria" w:hAnsi="Cambria" w:cs="Times New Roman"/>
          <w:sz w:val="24"/>
          <w:szCs w:val="24"/>
        </w:rPr>
        <w:t>ș</w:t>
      </w:r>
      <w:r w:rsidRPr="00EA1BB2">
        <w:rPr>
          <w:rFonts w:ascii="Cambria" w:hAnsi="Cambria" w:cs="Times New Roman"/>
          <w:sz w:val="24"/>
          <w:szCs w:val="24"/>
        </w:rPr>
        <w:t>i Câmpia Călmă</w:t>
      </w:r>
      <w:r w:rsidR="00054880" w:rsidRPr="00EA1BB2">
        <w:rPr>
          <w:rFonts w:ascii="Cambria" w:hAnsi="Cambria" w:cs="Times New Roman"/>
          <w:sz w:val="24"/>
          <w:szCs w:val="24"/>
        </w:rPr>
        <w:t>ț</w:t>
      </w:r>
      <w:r w:rsidRPr="00EA1BB2">
        <w:rPr>
          <w:rFonts w:ascii="Cambria" w:hAnsi="Cambria" w:cs="Times New Roman"/>
          <w:sz w:val="24"/>
          <w:szCs w:val="24"/>
        </w:rPr>
        <w:t xml:space="preserve">uiului) </w:t>
      </w:r>
      <w:r w:rsidR="00054880" w:rsidRPr="00EA1BB2">
        <w:rPr>
          <w:rFonts w:ascii="Cambria" w:hAnsi="Cambria" w:cs="Times New Roman"/>
          <w:sz w:val="24"/>
          <w:szCs w:val="24"/>
        </w:rPr>
        <w:t>ș</w:t>
      </w:r>
      <w:r w:rsidRPr="00EA1BB2">
        <w:rPr>
          <w:rFonts w:ascii="Cambria" w:hAnsi="Cambria" w:cs="Times New Roman"/>
          <w:sz w:val="24"/>
          <w:szCs w:val="24"/>
        </w:rPr>
        <w:t xml:space="preserve">i arealul de luncă, bine reprezentat prin luncile Dunării, Siretului </w:t>
      </w:r>
      <w:r w:rsidR="00054880" w:rsidRPr="00EA1BB2">
        <w:rPr>
          <w:rFonts w:ascii="Cambria" w:hAnsi="Cambria" w:cs="Times New Roman"/>
          <w:sz w:val="24"/>
          <w:szCs w:val="24"/>
        </w:rPr>
        <w:t>ș</w:t>
      </w:r>
      <w:r w:rsidRPr="00EA1BB2">
        <w:rPr>
          <w:rFonts w:ascii="Cambria" w:hAnsi="Cambria" w:cs="Times New Roman"/>
          <w:sz w:val="24"/>
          <w:szCs w:val="24"/>
        </w:rPr>
        <w:t>i Buzăului.</w:t>
      </w:r>
    </w:p>
    <w:p w14:paraId="6C8A6B48" w14:textId="77777777" w:rsidR="005C483D" w:rsidRPr="00EA1BB2" w:rsidRDefault="005C483D" w:rsidP="005C483D">
      <w:pPr>
        <w:spacing w:line="360" w:lineRule="auto"/>
        <w:ind w:firstLine="708"/>
        <w:jc w:val="both"/>
        <w:rPr>
          <w:rFonts w:ascii="Cambria" w:hAnsi="Cambria" w:cs="Times New Roman"/>
          <w:sz w:val="24"/>
          <w:szCs w:val="24"/>
        </w:rPr>
      </w:pPr>
      <w:r w:rsidRPr="00EA1BB2">
        <w:rPr>
          <w:rFonts w:ascii="Cambria" w:hAnsi="Cambria" w:cs="Times New Roman"/>
          <w:sz w:val="24"/>
          <w:szCs w:val="24"/>
        </w:rPr>
        <w:t>Vegeta</w:t>
      </w:r>
      <w:r w:rsidR="00054880" w:rsidRPr="00EA1BB2">
        <w:rPr>
          <w:rFonts w:ascii="Cambria" w:hAnsi="Cambria" w:cs="Times New Roman"/>
          <w:sz w:val="24"/>
          <w:szCs w:val="24"/>
        </w:rPr>
        <w:t>ț</w:t>
      </w:r>
      <w:r w:rsidRPr="00EA1BB2">
        <w:rPr>
          <w:rFonts w:ascii="Cambria" w:hAnsi="Cambria" w:cs="Times New Roman"/>
          <w:sz w:val="24"/>
          <w:szCs w:val="24"/>
        </w:rPr>
        <w:t>ia naturală de stepă se mai găse</w:t>
      </w:r>
      <w:r w:rsidR="00054880" w:rsidRPr="00EA1BB2">
        <w:rPr>
          <w:rFonts w:ascii="Cambria" w:hAnsi="Cambria" w:cs="Times New Roman"/>
          <w:sz w:val="24"/>
          <w:szCs w:val="24"/>
        </w:rPr>
        <w:t>ș</w:t>
      </w:r>
      <w:r w:rsidRPr="00EA1BB2">
        <w:rPr>
          <w:rFonts w:ascii="Cambria" w:hAnsi="Cambria" w:cs="Times New Roman"/>
          <w:sz w:val="24"/>
          <w:szCs w:val="24"/>
        </w:rPr>
        <w:t>te în prezent pe versan</w:t>
      </w:r>
      <w:r w:rsidR="00054880" w:rsidRPr="00EA1BB2">
        <w:rPr>
          <w:rFonts w:ascii="Cambria" w:hAnsi="Cambria" w:cs="Times New Roman"/>
          <w:sz w:val="24"/>
          <w:szCs w:val="24"/>
        </w:rPr>
        <w:t>ț</w:t>
      </w:r>
      <w:r w:rsidRPr="00EA1BB2">
        <w:rPr>
          <w:rFonts w:ascii="Cambria" w:hAnsi="Cambria" w:cs="Times New Roman"/>
          <w:sz w:val="24"/>
          <w:szCs w:val="24"/>
        </w:rPr>
        <w:t>ii depresiunilor de tasare, în spa</w:t>
      </w:r>
      <w:r w:rsidR="00054880" w:rsidRPr="00EA1BB2">
        <w:rPr>
          <w:rFonts w:ascii="Cambria" w:hAnsi="Cambria" w:cs="Times New Roman"/>
          <w:sz w:val="24"/>
          <w:szCs w:val="24"/>
        </w:rPr>
        <w:t>ț</w:t>
      </w:r>
      <w:r w:rsidRPr="00EA1BB2">
        <w:rPr>
          <w:rFonts w:ascii="Cambria" w:hAnsi="Cambria" w:cs="Times New Roman"/>
          <w:sz w:val="24"/>
          <w:szCs w:val="24"/>
        </w:rPr>
        <w:t xml:space="preserve">iile dintre parcelele agricole, pe marginile drumurilor, în zonele necultivate temporar. </w:t>
      </w:r>
    </w:p>
    <w:p w14:paraId="154297FA" w14:textId="77777777" w:rsidR="005C483D" w:rsidRPr="00EA1BB2" w:rsidRDefault="005C483D" w:rsidP="005C483D">
      <w:pPr>
        <w:spacing w:line="360" w:lineRule="auto"/>
        <w:ind w:firstLine="708"/>
        <w:jc w:val="both"/>
        <w:rPr>
          <w:rFonts w:ascii="Cambria" w:hAnsi="Cambria" w:cs="Times New Roman"/>
          <w:sz w:val="24"/>
          <w:szCs w:val="24"/>
        </w:rPr>
      </w:pPr>
      <w:r w:rsidRPr="00EA1BB2">
        <w:rPr>
          <w:rFonts w:ascii="Cambria" w:hAnsi="Cambria" w:cs="Times New Roman"/>
          <w:sz w:val="24"/>
          <w:szCs w:val="24"/>
        </w:rPr>
        <w:t>Vegeta</w:t>
      </w:r>
      <w:r w:rsidR="00054880" w:rsidRPr="00EA1BB2">
        <w:rPr>
          <w:rFonts w:ascii="Cambria" w:hAnsi="Cambria" w:cs="Times New Roman"/>
          <w:sz w:val="24"/>
          <w:szCs w:val="24"/>
        </w:rPr>
        <w:t>ț</w:t>
      </w:r>
      <w:r w:rsidRPr="00EA1BB2">
        <w:rPr>
          <w:rFonts w:ascii="Cambria" w:hAnsi="Cambria" w:cs="Times New Roman"/>
          <w:sz w:val="24"/>
          <w:szCs w:val="24"/>
        </w:rPr>
        <w:t>ia de luncă este mult mai bogată. Datorită umidită</w:t>
      </w:r>
      <w:r w:rsidR="00054880" w:rsidRPr="00EA1BB2">
        <w:rPr>
          <w:rFonts w:ascii="Cambria" w:hAnsi="Cambria" w:cs="Times New Roman"/>
          <w:sz w:val="24"/>
          <w:szCs w:val="24"/>
        </w:rPr>
        <w:t>ț</w:t>
      </w:r>
      <w:r w:rsidRPr="00EA1BB2">
        <w:rPr>
          <w:rFonts w:ascii="Cambria" w:hAnsi="Cambria" w:cs="Times New Roman"/>
          <w:sz w:val="24"/>
          <w:szCs w:val="24"/>
        </w:rPr>
        <w:t>ii mari a solului, aici se dezvoltă o vegeta</w:t>
      </w:r>
      <w:r w:rsidR="00054880" w:rsidRPr="00EA1BB2">
        <w:rPr>
          <w:rFonts w:ascii="Cambria" w:hAnsi="Cambria" w:cs="Times New Roman"/>
          <w:sz w:val="24"/>
          <w:szCs w:val="24"/>
        </w:rPr>
        <w:t>ț</w:t>
      </w:r>
      <w:r w:rsidRPr="00EA1BB2">
        <w:rPr>
          <w:rFonts w:ascii="Cambria" w:hAnsi="Cambria" w:cs="Times New Roman"/>
          <w:sz w:val="24"/>
          <w:szCs w:val="24"/>
        </w:rPr>
        <w:t>ie arborescentă de esen</w:t>
      </w:r>
      <w:r w:rsidR="00054880" w:rsidRPr="00EA1BB2">
        <w:rPr>
          <w:rFonts w:ascii="Cambria" w:hAnsi="Cambria" w:cs="Times New Roman"/>
          <w:sz w:val="24"/>
          <w:szCs w:val="24"/>
        </w:rPr>
        <w:t>ț</w:t>
      </w:r>
      <w:r w:rsidRPr="00EA1BB2">
        <w:rPr>
          <w:rFonts w:ascii="Cambria" w:hAnsi="Cambria" w:cs="Times New Roman"/>
          <w:sz w:val="24"/>
          <w:szCs w:val="24"/>
        </w:rPr>
        <w:t xml:space="preserve">ă moale </w:t>
      </w:r>
      <w:r w:rsidR="00054880" w:rsidRPr="00EA1BB2">
        <w:rPr>
          <w:rFonts w:ascii="Cambria" w:hAnsi="Cambria" w:cs="Times New Roman"/>
          <w:sz w:val="24"/>
          <w:szCs w:val="24"/>
        </w:rPr>
        <w:t>ș</w:t>
      </w:r>
      <w:r w:rsidRPr="00EA1BB2">
        <w:rPr>
          <w:rFonts w:ascii="Cambria" w:hAnsi="Cambria" w:cs="Times New Roman"/>
          <w:sz w:val="24"/>
          <w:szCs w:val="24"/>
        </w:rPr>
        <w:t>i ierboasă cu adaptări la condi</w:t>
      </w:r>
      <w:r w:rsidR="00054880" w:rsidRPr="00EA1BB2">
        <w:rPr>
          <w:rFonts w:ascii="Cambria" w:hAnsi="Cambria" w:cs="Times New Roman"/>
          <w:sz w:val="24"/>
          <w:szCs w:val="24"/>
        </w:rPr>
        <w:t>ț</w:t>
      </w:r>
      <w:r w:rsidRPr="00EA1BB2">
        <w:rPr>
          <w:rFonts w:ascii="Cambria" w:hAnsi="Cambria" w:cs="Times New Roman"/>
          <w:sz w:val="24"/>
          <w:szCs w:val="24"/>
        </w:rPr>
        <w:t>iile ecologice. Flora ierboasă de luncă se dispune pe benzi longitudinale sau concentrice, în cazul depresiunilor lacustre, în func</w:t>
      </w:r>
      <w:r w:rsidR="00054880" w:rsidRPr="00EA1BB2">
        <w:rPr>
          <w:rFonts w:ascii="Cambria" w:hAnsi="Cambria" w:cs="Times New Roman"/>
          <w:sz w:val="24"/>
          <w:szCs w:val="24"/>
        </w:rPr>
        <w:t>ț</w:t>
      </w:r>
      <w:r w:rsidRPr="00EA1BB2">
        <w:rPr>
          <w:rFonts w:ascii="Cambria" w:hAnsi="Cambria" w:cs="Times New Roman"/>
          <w:sz w:val="24"/>
          <w:szCs w:val="24"/>
        </w:rPr>
        <w:t>ie de gradul de umiditate.</w:t>
      </w:r>
    </w:p>
    <w:p w14:paraId="36CD1E2C" w14:textId="77777777" w:rsidR="005C483D" w:rsidRPr="00EA1BB2" w:rsidRDefault="005C483D" w:rsidP="005C483D">
      <w:pPr>
        <w:spacing w:line="360" w:lineRule="auto"/>
        <w:ind w:firstLine="708"/>
        <w:jc w:val="both"/>
        <w:rPr>
          <w:rFonts w:ascii="Cambria" w:hAnsi="Cambria" w:cs="Times New Roman"/>
          <w:sz w:val="24"/>
          <w:szCs w:val="24"/>
        </w:rPr>
      </w:pPr>
      <w:r w:rsidRPr="00EA1BB2">
        <w:rPr>
          <w:rFonts w:ascii="Cambria" w:hAnsi="Cambria" w:cs="Times New Roman"/>
          <w:sz w:val="24"/>
          <w:szCs w:val="24"/>
        </w:rPr>
        <w:t>Flora acvatică propriu-zisă este reprezentată prin macrofite care alcătuiesc adevărate paji</w:t>
      </w:r>
      <w:r w:rsidR="00054880" w:rsidRPr="00EA1BB2">
        <w:rPr>
          <w:rFonts w:ascii="Cambria" w:hAnsi="Cambria" w:cs="Times New Roman"/>
          <w:sz w:val="24"/>
          <w:szCs w:val="24"/>
        </w:rPr>
        <w:t>ș</w:t>
      </w:r>
      <w:r w:rsidRPr="00EA1BB2">
        <w:rPr>
          <w:rFonts w:ascii="Cambria" w:hAnsi="Cambria" w:cs="Times New Roman"/>
          <w:sz w:val="24"/>
          <w:szCs w:val="24"/>
        </w:rPr>
        <w:t>ti.</w:t>
      </w:r>
    </w:p>
    <w:p w14:paraId="760B5B58" w14:textId="77777777" w:rsidR="005C483D" w:rsidRPr="00EA1BB2" w:rsidRDefault="005C483D" w:rsidP="005C483D">
      <w:pPr>
        <w:spacing w:line="360" w:lineRule="auto"/>
        <w:ind w:firstLine="708"/>
        <w:jc w:val="both"/>
        <w:rPr>
          <w:rFonts w:ascii="Cambria" w:hAnsi="Cambria" w:cs="Times New Roman"/>
          <w:sz w:val="24"/>
          <w:szCs w:val="24"/>
        </w:rPr>
      </w:pPr>
      <w:r w:rsidRPr="00EA1BB2">
        <w:rPr>
          <w:rFonts w:ascii="Cambria" w:hAnsi="Cambria" w:cs="Times New Roman"/>
          <w:sz w:val="24"/>
          <w:szCs w:val="24"/>
        </w:rPr>
        <w:t>Habitatele cu vegeta</w:t>
      </w:r>
      <w:r w:rsidR="00054880" w:rsidRPr="00EA1BB2">
        <w:rPr>
          <w:rFonts w:ascii="Cambria" w:hAnsi="Cambria" w:cs="Times New Roman"/>
          <w:sz w:val="24"/>
          <w:szCs w:val="24"/>
        </w:rPr>
        <w:t>ț</w:t>
      </w:r>
      <w:r w:rsidRPr="00EA1BB2">
        <w:rPr>
          <w:rFonts w:ascii="Cambria" w:hAnsi="Cambria" w:cs="Times New Roman"/>
          <w:sz w:val="24"/>
          <w:szCs w:val="24"/>
        </w:rPr>
        <w:t>ie forestieră sunt în general păduri tip zăvoi, de salcie, de amestec cu plop sau în regim de planta</w:t>
      </w:r>
      <w:r w:rsidR="00054880" w:rsidRPr="00EA1BB2">
        <w:rPr>
          <w:rFonts w:ascii="Cambria" w:hAnsi="Cambria" w:cs="Times New Roman"/>
          <w:sz w:val="24"/>
          <w:szCs w:val="24"/>
        </w:rPr>
        <w:t>ț</w:t>
      </w:r>
      <w:r w:rsidRPr="00EA1BB2">
        <w:rPr>
          <w:rFonts w:ascii="Cambria" w:hAnsi="Cambria" w:cs="Times New Roman"/>
          <w:sz w:val="24"/>
          <w:szCs w:val="24"/>
        </w:rPr>
        <w:t>ie sub forma perdelelor de protec</w:t>
      </w:r>
      <w:r w:rsidR="00054880" w:rsidRPr="00EA1BB2">
        <w:rPr>
          <w:rFonts w:ascii="Cambria" w:hAnsi="Cambria" w:cs="Times New Roman"/>
          <w:sz w:val="24"/>
          <w:szCs w:val="24"/>
        </w:rPr>
        <w:t>ț</w:t>
      </w:r>
      <w:r w:rsidRPr="00EA1BB2">
        <w:rPr>
          <w:rFonts w:ascii="Cambria" w:hAnsi="Cambria" w:cs="Times New Roman"/>
          <w:sz w:val="24"/>
          <w:szCs w:val="24"/>
        </w:rPr>
        <w:t xml:space="preserve">ie. Dacă în pădurile izolate </w:t>
      </w:r>
      <w:r w:rsidR="00054880" w:rsidRPr="00EA1BB2">
        <w:rPr>
          <w:rFonts w:ascii="Cambria" w:hAnsi="Cambria" w:cs="Times New Roman"/>
          <w:sz w:val="24"/>
          <w:szCs w:val="24"/>
        </w:rPr>
        <w:t>ș</w:t>
      </w:r>
      <w:r w:rsidRPr="00EA1BB2">
        <w:rPr>
          <w:rFonts w:ascii="Cambria" w:hAnsi="Cambria" w:cs="Times New Roman"/>
          <w:sz w:val="24"/>
          <w:szCs w:val="24"/>
        </w:rPr>
        <w:t>i pe terasă predomină exemplarele din esen</w:t>
      </w:r>
      <w:r w:rsidR="00054880" w:rsidRPr="00EA1BB2">
        <w:rPr>
          <w:rFonts w:ascii="Cambria" w:hAnsi="Cambria" w:cs="Times New Roman"/>
          <w:sz w:val="24"/>
          <w:szCs w:val="24"/>
        </w:rPr>
        <w:t>ț</w:t>
      </w:r>
      <w:r w:rsidRPr="00EA1BB2">
        <w:rPr>
          <w:rFonts w:ascii="Cambria" w:hAnsi="Cambria" w:cs="Times New Roman"/>
          <w:sz w:val="24"/>
          <w:szCs w:val="24"/>
        </w:rPr>
        <w:t>ele tari (ulm, stejar, frasin, salcâm), pădurile din luncă sunt</w:t>
      </w:r>
      <w:r w:rsidR="0054786B" w:rsidRPr="00EA1BB2">
        <w:rPr>
          <w:rFonts w:ascii="Cambria" w:hAnsi="Cambria" w:cs="Times New Roman"/>
          <w:sz w:val="24"/>
          <w:szCs w:val="24"/>
        </w:rPr>
        <w:t xml:space="preserve"> alcătuite din plop </w:t>
      </w:r>
      <w:r w:rsidR="00054880" w:rsidRPr="00EA1BB2">
        <w:rPr>
          <w:rFonts w:ascii="Cambria" w:hAnsi="Cambria" w:cs="Times New Roman"/>
          <w:sz w:val="24"/>
          <w:szCs w:val="24"/>
        </w:rPr>
        <w:t>ș</w:t>
      </w:r>
      <w:r w:rsidR="0054786B" w:rsidRPr="00EA1BB2">
        <w:rPr>
          <w:rFonts w:ascii="Cambria" w:hAnsi="Cambria" w:cs="Times New Roman"/>
          <w:sz w:val="24"/>
          <w:szCs w:val="24"/>
        </w:rPr>
        <w:t>i salcie.</w:t>
      </w:r>
    </w:p>
    <w:p w14:paraId="2CBC253F" w14:textId="77777777" w:rsidR="005C483D" w:rsidRPr="00EA1BB2" w:rsidRDefault="005C483D" w:rsidP="005C483D">
      <w:pPr>
        <w:spacing w:line="360" w:lineRule="auto"/>
        <w:ind w:firstLine="708"/>
        <w:jc w:val="both"/>
        <w:rPr>
          <w:rFonts w:ascii="Cambria" w:hAnsi="Cambria" w:cs="Times New Roman"/>
          <w:sz w:val="24"/>
          <w:szCs w:val="24"/>
        </w:rPr>
      </w:pPr>
      <w:r w:rsidRPr="00EA1BB2">
        <w:rPr>
          <w:rFonts w:ascii="Cambria" w:hAnsi="Cambria" w:cs="Times New Roman"/>
          <w:sz w:val="24"/>
          <w:szCs w:val="24"/>
        </w:rPr>
        <w:t xml:space="preserve">Caracteristica faunei este dată de speciile iubitoare de terenuri deschise, mai uscate </w:t>
      </w:r>
      <w:r w:rsidR="00054880" w:rsidRPr="00EA1BB2">
        <w:rPr>
          <w:rFonts w:ascii="Cambria" w:hAnsi="Cambria" w:cs="Times New Roman"/>
          <w:sz w:val="24"/>
          <w:szCs w:val="24"/>
        </w:rPr>
        <w:t>ș</w:t>
      </w:r>
      <w:r w:rsidRPr="00EA1BB2">
        <w:rPr>
          <w:rFonts w:ascii="Cambria" w:hAnsi="Cambria" w:cs="Times New Roman"/>
          <w:sz w:val="24"/>
          <w:szCs w:val="24"/>
        </w:rPr>
        <w:t xml:space="preserve">i mai calde, venite din stepele </w:t>
      </w:r>
      <w:r w:rsidR="00054880" w:rsidRPr="00EA1BB2">
        <w:rPr>
          <w:rFonts w:ascii="Cambria" w:hAnsi="Cambria" w:cs="Times New Roman"/>
          <w:sz w:val="24"/>
          <w:szCs w:val="24"/>
        </w:rPr>
        <w:t>ș</w:t>
      </w:r>
      <w:r w:rsidRPr="00EA1BB2">
        <w:rPr>
          <w:rFonts w:ascii="Cambria" w:hAnsi="Cambria" w:cs="Times New Roman"/>
          <w:sz w:val="24"/>
          <w:szCs w:val="24"/>
        </w:rPr>
        <w:t>i silvostepele estice. Dintre reprezentan</w:t>
      </w:r>
      <w:r w:rsidR="00054880" w:rsidRPr="00EA1BB2">
        <w:rPr>
          <w:rFonts w:ascii="Cambria" w:hAnsi="Cambria" w:cs="Times New Roman"/>
          <w:sz w:val="24"/>
          <w:szCs w:val="24"/>
        </w:rPr>
        <w:t>ț</w:t>
      </w:r>
      <w:r w:rsidRPr="00EA1BB2">
        <w:rPr>
          <w:rFonts w:ascii="Cambria" w:hAnsi="Cambria" w:cs="Times New Roman"/>
          <w:sz w:val="24"/>
          <w:szCs w:val="24"/>
        </w:rPr>
        <w:t>ii câmpurilor deschise cele mai bine reprezen</w:t>
      </w:r>
      <w:r w:rsidR="0054786B" w:rsidRPr="00EA1BB2">
        <w:rPr>
          <w:rFonts w:ascii="Cambria" w:hAnsi="Cambria" w:cs="Times New Roman"/>
          <w:sz w:val="24"/>
          <w:szCs w:val="24"/>
        </w:rPr>
        <w:t xml:space="preserve">tate sunt mamiferele rozătoare </w:t>
      </w:r>
      <w:r w:rsidR="00054880" w:rsidRPr="00EA1BB2">
        <w:rPr>
          <w:rFonts w:ascii="Cambria" w:hAnsi="Cambria" w:cs="Times New Roman"/>
          <w:sz w:val="24"/>
          <w:szCs w:val="24"/>
        </w:rPr>
        <w:t>ș</w:t>
      </w:r>
      <w:r w:rsidRPr="00EA1BB2">
        <w:rPr>
          <w:rFonts w:ascii="Cambria" w:hAnsi="Cambria" w:cs="Times New Roman"/>
          <w:sz w:val="24"/>
          <w:szCs w:val="24"/>
        </w:rPr>
        <w:t>i păsările granivore. Lunca din punct de vedere faunistic este mult mai bogată. În zăvoaiele de luncă, în planta</w:t>
      </w:r>
      <w:r w:rsidR="00054880" w:rsidRPr="00EA1BB2">
        <w:rPr>
          <w:rFonts w:ascii="Cambria" w:hAnsi="Cambria" w:cs="Times New Roman"/>
          <w:sz w:val="24"/>
          <w:szCs w:val="24"/>
        </w:rPr>
        <w:t>ț</w:t>
      </w:r>
      <w:r w:rsidRPr="00EA1BB2">
        <w:rPr>
          <w:rFonts w:ascii="Cambria" w:hAnsi="Cambria" w:cs="Times New Roman"/>
          <w:sz w:val="24"/>
          <w:szCs w:val="24"/>
        </w:rPr>
        <w:t>iile de plop se pot întâlni lupi, vulpi, mistre</w:t>
      </w:r>
      <w:r w:rsidR="00054880" w:rsidRPr="00EA1BB2">
        <w:rPr>
          <w:rFonts w:ascii="Cambria" w:hAnsi="Cambria" w:cs="Times New Roman"/>
          <w:sz w:val="24"/>
          <w:szCs w:val="24"/>
        </w:rPr>
        <w:t>ț</w:t>
      </w:r>
      <w:r w:rsidRPr="00EA1BB2">
        <w:rPr>
          <w:rFonts w:ascii="Cambria" w:hAnsi="Cambria" w:cs="Times New Roman"/>
          <w:sz w:val="24"/>
          <w:szCs w:val="24"/>
        </w:rPr>
        <w:t xml:space="preserve">i </w:t>
      </w:r>
      <w:r w:rsidR="00054880" w:rsidRPr="00EA1BB2">
        <w:rPr>
          <w:rFonts w:ascii="Cambria" w:hAnsi="Cambria" w:cs="Times New Roman"/>
          <w:sz w:val="24"/>
          <w:szCs w:val="24"/>
        </w:rPr>
        <w:t>ș</w:t>
      </w:r>
      <w:r w:rsidRPr="00EA1BB2">
        <w:rPr>
          <w:rFonts w:ascii="Cambria" w:hAnsi="Cambria" w:cs="Times New Roman"/>
          <w:sz w:val="24"/>
          <w:szCs w:val="24"/>
        </w:rPr>
        <w:t xml:space="preserve">i iepuri, iar pe malurile râurilor: vidra </w:t>
      </w:r>
      <w:r w:rsidR="00054880" w:rsidRPr="00EA1BB2">
        <w:rPr>
          <w:rFonts w:ascii="Cambria" w:hAnsi="Cambria" w:cs="Times New Roman"/>
          <w:sz w:val="24"/>
          <w:szCs w:val="24"/>
        </w:rPr>
        <w:t>ș</w:t>
      </w:r>
      <w:r w:rsidRPr="00EA1BB2">
        <w:rPr>
          <w:rFonts w:ascii="Cambria" w:hAnsi="Cambria" w:cs="Times New Roman"/>
          <w:sz w:val="24"/>
          <w:szCs w:val="24"/>
        </w:rPr>
        <w:t xml:space="preserve">i nurca. </w:t>
      </w:r>
    </w:p>
    <w:p w14:paraId="48EDB97A" w14:textId="77777777" w:rsidR="005C483D" w:rsidRPr="00EA1BB2" w:rsidRDefault="005C483D" w:rsidP="005C483D">
      <w:pPr>
        <w:spacing w:line="360" w:lineRule="auto"/>
        <w:ind w:firstLine="708"/>
        <w:jc w:val="both"/>
        <w:rPr>
          <w:rFonts w:ascii="Cambria" w:hAnsi="Cambria" w:cs="Times New Roman"/>
          <w:sz w:val="24"/>
          <w:szCs w:val="24"/>
        </w:rPr>
      </w:pPr>
      <w:r w:rsidRPr="00EA1BB2">
        <w:rPr>
          <w:rFonts w:ascii="Cambria" w:hAnsi="Cambria" w:cs="Times New Roman"/>
          <w:sz w:val="24"/>
          <w:szCs w:val="24"/>
        </w:rPr>
        <w:t>Păsările se concentrează mai ales în zona pădurilor de amestec, în băl</w:t>
      </w:r>
      <w:r w:rsidR="00054880" w:rsidRPr="00EA1BB2">
        <w:rPr>
          <w:rFonts w:ascii="Cambria" w:hAnsi="Cambria" w:cs="Times New Roman"/>
          <w:sz w:val="24"/>
          <w:szCs w:val="24"/>
        </w:rPr>
        <w:t>ț</w:t>
      </w:r>
      <w:r w:rsidRPr="00EA1BB2">
        <w:rPr>
          <w:rFonts w:ascii="Cambria" w:hAnsi="Cambria" w:cs="Times New Roman"/>
          <w:sz w:val="24"/>
          <w:szCs w:val="24"/>
        </w:rPr>
        <w:t xml:space="preserve">i </w:t>
      </w:r>
      <w:r w:rsidR="00054880" w:rsidRPr="00EA1BB2">
        <w:rPr>
          <w:rFonts w:ascii="Cambria" w:hAnsi="Cambria" w:cs="Times New Roman"/>
          <w:sz w:val="24"/>
          <w:szCs w:val="24"/>
        </w:rPr>
        <w:t>ș</w:t>
      </w:r>
      <w:r w:rsidRPr="00EA1BB2">
        <w:rPr>
          <w:rFonts w:ascii="Cambria" w:hAnsi="Cambria" w:cs="Times New Roman"/>
          <w:sz w:val="24"/>
          <w:szCs w:val="24"/>
        </w:rPr>
        <w:t>i în zonele mlă</w:t>
      </w:r>
      <w:r w:rsidR="00054880" w:rsidRPr="00EA1BB2">
        <w:rPr>
          <w:rFonts w:ascii="Cambria" w:hAnsi="Cambria" w:cs="Times New Roman"/>
          <w:sz w:val="24"/>
          <w:szCs w:val="24"/>
        </w:rPr>
        <w:t>ș</w:t>
      </w:r>
      <w:r w:rsidRPr="00EA1BB2">
        <w:rPr>
          <w:rFonts w:ascii="Cambria" w:hAnsi="Cambria" w:cs="Times New Roman"/>
          <w:sz w:val="24"/>
          <w:szCs w:val="24"/>
        </w:rPr>
        <w:t>tinoase. Păsările sunt bine reprezentate, majoritatea speciilor de păsări fiind migratoare (ra</w:t>
      </w:r>
      <w:r w:rsidR="00054880" w:rsidRPr="00EA1BB2">
        <w:rPr>
          <w:rFonts w:ascii="Cambria" w:hAnsi="Cambria" w:cs="Times New Roman"/>
          <w:sz w:val="24"/>
          <w:szCs w:val="24"/>
        </w:rPr>
        <w:t>ț</w:t>
      </w:r>
      <w:r w:rsidRPr="00EA1BB2">
        <w:rPr>
          <w:rFonts w:ascii="Cambria" w:hAnsi="Cambria" w:cs="Times New Roman"/>
          <w:sz w:val="24"/>
          <w:szCs w:val="24"/>
        </w:rPr>
        <w:t xml:space="preserve">ele </w:t>
      </w:r>
      <w:r w:rsidR="00054880" w:rsidRPr="00EA1BB2">
        <w:rPr>
          <w:rFonts w:ascii="Cambria" w:hAnsi="Cambria" w:cs="Times New Roman"/>
          <w:sz w:val="24"/>
          <w:szCs w:val="24"/>
        </w:rPr>
        <w:t>ș</w:t>
      </w:r>
      <w:r w:rsidRPr="00EA1BB2">
        <w:rPr>
          <w:rFonts w:ascii="Cambria" w:hAnsi="Cambria" w:cs="Times New Roman"/>
          <w:sz w:val="24"/>
          <w:szCs w:val="24"/>
        </w:rPr>
        <w:t>i gâ</w:t>
      </w:r>
      <w:r w:rsidR="00054880" w:rsidRPr="00EA1BB2">
        <w:rPr>
          <w:rFonts w:ascii="Cambria" w:hAnsi="Cambria" w:cs="Times New Roman"/>
          <w:sz w:val="24"/>
          <w:szCs w:val="24"/>
        </w:rPr>
        <w:t>ș</w:t>
      </w:r>
      <w:r w:rsidRPr="00EA1BB2">
        <w:rPr>
          <w:rFonts w:ascii="Cambria" w:hAnsi="Cambria" w:cs="Times New Roman"/>
          <w:sz w:val="24"/>
          <w:szCs w:val="24"/>
        </w:rPr>
        <w:t>tele sălbatice). Ihtiofauna importantă din punct de vedere economic este reprezentată prin pe</w:t>
      </w:r>
      <w:r w:rsidR="00054880" w:rsidRPr="00EA1BB2">
        <w:rPr>
          <w:rFonts w:ascii="Cambria" w:hAnsi="Cambria" w:cs="Times New Roman"/>
          <w:sz w:val="24"/>
          <w:szCs w:val="24"/>
        </w:rPr>
        <w:t>ș</w:t>
      </w:r>
      <w:r w:rsidRPr="00EA1BB2">
        <w:rPr>
          <w:rFonts w:ascii="Cambria" w:hAnsi="Cambria" w:cs="Times New Roman"/>
          <w:sz w:val="24"/>
          <w:szCs w:val="24"/>
        </w:rPr>
        <w:t>ti migratori: nisetrul, păstruga, morunul, păstrăvul de mare, scrumbia, mreana, somnul, plătica, babu</w:t>
      </w:r>
      <w:r w:rsidR="00054880" w:rsidRPr="00EA1BB2">
        <w:rPr>
          <w:rFonts w:ascii="Cambria" w:hAnsi="Cambria" w:cs="Times New Roman"/>
          <w:sz w:val="24"/>
          <w:szCs w:val="24"/>
        </w:rPr>
        <w:t>ș</w:t>
      </w:r>
      <w:r w:rsidRPr="00EA1BB2">
        <w:rPr>
          <w:rFonts w:ascii="Cambria" w:hAnsi="Cambria" w:cs="Times New Roman"/>
          <w:sz w:val="24"/>
          <w:szCs w:val="24"/>
        </w:rPr>
        <w:t xml:space="preserve">ca </w:t>
      </w:r>
      <w:r w:rsidR="00054880" w:rsidRPr="00EA1BB2">
        <w:rPr>
          <w:rFonts w:ascii="Cambria" w:hAnsi="Cambria" w:cs="Times New Roman"/>
          <w:sz w:val="24"/>
          <w:szCs w:val="24"/>
        </w:rPr>
        <w:t>ș</w:t>
      </w:r>
      <w:r w:rsidRPr="00EA1BB2">
        <w:rPr>
          <w:rFonts w:ascii="Cambria" w:hAnsi="Cambria" w:cs="Times New Roman"/>
          <w:sz w:val="24"/>
          <w:szCs w:val="24"/>
        </w:rPr>
        <w:t xml:space="preserve">i </w:t>
      </w:r>
      <w:r w:rsidR="00054880" w:rsidRPr="00EA1BB2">
        <w:rPr>
          <w:rFonts w:ascii="Cambria" w:hAnsi="Cambria" w:cs="Times New Roman"/>
          <w:sz w:val="24"/>
          <w:szCs w:val="24"/>
        </w:rPr>
        <w:t>ș</w:t>
      </w:r>
      <w:r w:rsidRPr="00EA1BB2">
        <w:rPr>
          <w:rFonts w:ascii="Cambria" w:hAnsi="Cambria" w:cs="Times New Roman"/>
          <w:sz w:val="24"/>
          <w:szCs w:val="24"/>
        </w:rPr>
        <w:t>alăul.</w:t>
      </w:r>
    </w:p>
    <w:p w14:paraId="62F1641F" w14:textId="77777777" w:rsidR="00E4631C" w:rsidRPr="00EA1BB2" w:rsidRDefault="00E4631C" w:rsidP="00E4631C">
      <w:pPr>
        <w:spacing w:line="360" w:lineRule="auto"/>
        <w:ind w:firstLine="708"/>
        <w:jc w:val="both"/>
        <w:rPr>
          <w:rFonts w:ascii="Cambria" w:hAnsi="Cambria" w:cs="Times New Roman"/>
          <w:sz w:val="24"/>
          <w:szCs w:val="24"/>
        </w:rPr>
      </w:pPr>
      <w:r w:rsidRPr="00EA1BB2">
        <w:rPr>
          <w:rFonts w:ascii="Cambria" w:hAnsi="Cambria" w:cs="Times New Roman"/>
          <w:sz w:val="24"/>
          <w:szCs w:val="24"/>
        </w:rPr>
        <w:t xml:space="preserve">În </w:t>
      </w:r>
      <w:r w:rsidR="00295F75" w:rsidRPr="00EA1BB2">
        <w:rPr>
          <w:rFonts w:ascii="Cambria" w:hAnsi="Cambria" w:cs="Times New Roman"/>
          <w:sz w:val="24"/>
          <w:szCs w:val="24"/>
        </w:rPr>
        <w:t xml:space="preserve">anul 2016, în </w:t>
      </w:r>
      <w:r w:rsidRPr="00EA1BB2">
        <w:rPr>
          <w:rFonts w:ascii="Cambria" w:hAnsi="Cambria" w:cs="Times New Roman"/>
          <w:sz w:val="24"/>
          <w:szCs w:val="24"/>
        </w:rPr>
        <w:t>județul Brăila exist</w:t>
      </w:r>
      <w:r w:rsidR="00295F75" w:rsidRPr="00EA1BB2">
        <w:rPr>
          <w:rFonts w:ascii="Cambria" w:hAnsi="Cambria" w:cs="Times New Roman"/>
          <w:sz w:val="24"/>
          <w:szCs w:val="24"/>
        </w:rPr>
        <w:t>au</w:t>
      </w:r>
      <w:r w:rsidRPr="00EA1BB2">
        <w:rPr>
          <w:rFonts w:ascii="Cambria" w:hAnsi="Cambria" w:cs="Times New Roman"/>
          <w:sz w:val="24"/>
          <w:szCs w:val="24"/>
        </w:rPr>
        <w:t xml:space="preserve"> 2</w:t>
      </w:r>
      <w:r w:rsidR="00295F75" w:rsidRPr="00EA1BB2">
        <w:rPr>
          <w:rFonts w:ascii="Cambria" w:hAnsi="Cambria" w:cs="Times New Roman"/>
          <w:sz w:val="24"/>
          <w:szCs w:val="24"/>
        </w:rPr>
        <w:t>6</w:t>
      </w:r>
      <w:r w:rsidRPr="00EA1BB2">
        <w:rPr>
          <w:rFonts w:ascii="Cambria" w:hAnsi="Cambria" w:cs="Times New Roman"/>
          <w:sz w:val="24"/>
          <w:szCs w:val="24"/>
        </w:rPr>
        <w:t xml:space="preserve"> de arii naturale protejate desemnate: 3 de interes național, 2 de interes județean și local, </w:t>
      </w:r>
      <w:r w:rsidR="00295F75" w:rsidRPr="00EA1BB2">
        <w:rPr>
          <w:rFonts w:ascii="Cambria" w:hAnsi="Cambria" w:cs="Times New Roman"/>
          <w:sz w:val="24"/>
          <w:szCs w:val="24"/>
        </w:rPr>
        <w:t>două</w:t>
      </w:r>
      <w:r w:rsidRPr="00EA1BB2">
        <w:rPr>
          <w:rFonts w:ascii="Cambria" w:hAnsi="Cambria" w:cs="Times New Roman"/>
          <w:sz w:val="24"/>
          <w:szCs w:val="24"/>
        </w:rPr>
        <w:t xml:space="preserve"> de interes internațional și 1</w:t>
      </w:r>
      <w:r w:rsidR="00295F75" w:rsidRPr="00EA1BB2">
        <w:rPr>
          <w:rFonts w:ascii="Cambria" w:hAnsi="Cambria" w:cs="Times New Roman"/>
          <w:sz w:val="24"/>
          <w:szCs w:val="24"/>
        </w:rPr>
        <w:t>9</w:t>
      </w:r>
      <w:r w:rsidRPr="00EA1BB2">
        <w:rPr>
          <w:rFonts w:ascii="Cambria" w:hAnsi="Cambria" w:cs="Times New Roman"/>
          <w:sz w:val="24"/>
          <w:szCs w:val="24"/>
        </w:rPr>
        <w:t xml:space="preserve"> de interes comunitar (</w:t>
      </w:r>
      <w:r w:rsidR="00295F75" w:rsidRPr="00EA1BB2">
        <w:rPr>
          <w:rFonts w:ascii="Cambria" w:hAnsi="Cambria" w:cs="Times New Roman"/>
          <w:sz w:val="24"/>
          <w:szCs w:val="24"/>
        </w:rPr>
        <w:t>10</w:t>
      </w:r>
      <w:r w:rsidRPr="00EA1BB2">
        <w:rPr>
          <w:rFonts w:ascii="Cambria" w:hAnsi="Cambria" w:cs="Times New Roman"/>
          <w:sz w:val="24"/>
          <w:szCs w:val="24"/>
        </w:rPr>
        <w:t xml:space="preserve"> SPA și 9 SCI). Aceste arii se suprapun parțial astfel încât același teritoriu poate avea statut dublu sau triplu de protecție. Unele arii cum sunt Parcul natural Balta Mică a Brăilei și o parte a celor de interes comunitar acoperă și suprafețe </w:t>
      </w:r>
      <w:r w:rsidRPr="00EA1BB2">
        <w:rPr>
          <w:rFonts w:ascii="Cambria" w:hAnsi="Cambria" w:cs="Times New Roman"/>
          <w:sz w:val="24"/>
          <w:szCs w:val="24"/>
        </w:rPr>
        <w:lastRenderedPageBreak/>
        <w:t>din județele învecinate. Cu un total de aproximativ 62.000 ha, suprafața ocupată de ariile protejate reprezintă aproximativ 13% din suprafața județului Brăila.</w:t>
      </w:r>
    </w:p>
    <w:p w14:paraId="619ADB31" w14:textId="77777777" w:rsidR="003C58E1" w:rsidRPr="00EA1BB2" w:rsidRDefault="003C58E1" w:rsidP="005C483D">
      <w:pPr>
        <w:spacing w:line="360" w:lineRule="auto"/>
        <w:ind w:firstLine="708"/>
        <w:jc w:val="both"/>
        <w:rPr>
          <w:rFonts w:ascii="Cambria" w:hAnsi="Cambria" w:cs="Times New Roman"/>
          <w:sz w:val="24"/>
          <w:szCs w:val="24"/>
        </w:rPr>
      </w:pPr>
    </w:p>
    <w:p w14:paraId="0CD7D027" w14:textId="34409FBB" w:rsidR="003C58E1" w:rsidRPr="00EA1BB2" w:rsidRDefault="003C58E1" w:rsidP="003C58E1">
      <w:pPr>
        <w:pStyle w:val="Caption"/>
        <w:keepNext/>
        <w:spacing w:after="0" w:line="360" w:lineRule="auto"/>
        <w:ind w:firstLine="708"/>
        <w:jc w:val="both"/>
        <w:rPr>
          <w:rFonts w:ascii="Cambria" w:hAnsi="Cambria"/>
        </w:rPr>
      </w:pPr>
      <w:bookmarkStart w:id="51" w:name="_Toc524966205"/>
      <w:r w:rsidRPr="00EA1BB2">
        <w:rPr>
          <w:rFonts w:ascii="Cambria" w:hAnsi="Cambria"/>
        </w:rPr>
        <w:t xml:space="preserve">Figura nr. </w:t>
      </w:r>
      <w:r w:rsidR="00280BC9" w:rsidRPr="00EA1BB2">
        <w:rPr>
          <w:rFonts w:ascii="Cambria" w:hAnsi="Cambria"/>
        </w:rPr>
        <w:fldChar w:fldCharType="begin"/>
      </w:r>
      <w:r w:rsidR="00BA6FA3" w:rsidRPr="00EA1BB2">
        <w:rPr>
          <w:rFonts w:ascii="Cambria" w:hAnsi="Cambria"/>
        </w:rPr>
        <w:instrText xml:space="preserve"> STYLEREF 1 \s </w:instrText>
      </w:r>
      <w:r w:rsidR="00280BC9" w:rsidRPr="00EA1BB2">
        <w:rPr>
          <w:rFonts w:ascii="Cambria" w:hAnsi="Cambria"/>
        </w:rPr>
        <w:fldChar w:fldCharType="separate"/>
      </w:r>
      <w:r w:rsidR="00567555">
        <w:rPr>
          <w:rFonts w:ascii="Cambria" w:hAnsi="Cambria"/>
          <w:noProof/>
        </w:rPr>
        <w:t>2</w:t>
      </w:r>
      <w:r w:rsidR="00280BC9" w:rsidRPr="00EA1BB2">
        <w:rPr>
          <w:rFonts w:ascii="Cambria" w:hAnsi="Cambria"/>
        </w:rPr>
        <w:fldChar w:fldCharType="end"/>
      </w:r>
      <w:r w:rsidR="00BA6FA3" w:rsidRPr="00EA1BB2">
        <w:rPr>
          <w:rFonts w:ascii="Cambria" w:hAnsi="Cambria"/>
        </w:rPr>
        <w:noBreakHyphen/>
      </w:r>
      <w:r w:rsidR="00280BC9" w:rsidRPr="00EA1BB2">
        <w:rPr>
          <w:rFonts w:ascii="Cambria" w:hAnsi="Cambria"/>
        </w:rPr>
        <w:fldChar w:fldCharType="begin"/>
      </w:r>
      <w:r w:rsidR="00BA6FA3" w:rsidRPr="00EA1BB2">
        <w:rPr>
          <w:rFonts w:ascii="Cambria" w:hAnsi="Cambria"/>
        </w:rPr>
        <w:instrText xml:space="preserve"> SEQ Figura_nr. \* ARABIC \s 1 </w:instrText>
      </w:r>
      <w:r w:rsidR="00280BC9" w:rsidRPr="00EA1BB2">
        <w:rPr>
          <w:rFonts w:ascii="Cambria" w:hAnsi="Cambria"/>
        </w:rPr>
        <w:fldChar w:fldCharType="separate"/>
      </w:r>
      <w:r w:rsidR="00567555">
        <w:rPr>
          <w:rFonts w:ascii="Cambria" w:hAnsi="Cambria"/>
          <w:noProof/>
        </w:rPr>
        <w:t>12</w:t>
      </w:r>
      <w:r w:rsidR="00280BC9" w:rsidRPr="00EA1BB2">
        <w:rPr>
          <w:rFonts w:ascii="Cambria" w:hAnsi="Cambria"/>
        </w:rPr>
        <w:fldChar w:fldCharType="end"/>
      </w:r>
      <w:r w:rsidRPr="00EA1BB2">
        <w:rPr>
          <w:rFonts w:ascii="Cambria" w:hAnsi="Cambria"/>
        </w:rPr>
        <w:t xml:space="preserve"> – Harta ariilor protejate din județul Brăila</w:t>
      </w:r>
      <w:bookmarkEnd w:id="51"/>
    </w:p>
    <w:p w14:paraId="4E592A7B" w14:textId="77777777" w:rsidR="003C58E1" w:rsidRPr="00EA1BB2" w:rsidRDefault="003C58E1" w:rsidP="003C58E1">
      <w:pPr>
        <w:spacing w:line="276" w:lineRule="auto"/>
        <w:rPr>
          <w:rFonts w:ascii="Cambria" w:hAnsi="Cambria"/>
          <w:sz w:val="24"/>
        </w:rPr>
      </w:pPr>
      <w:r w:rsidRPr="00EA1BB2">
        <w:rPr>
          <w:rFonts w:ascii="Cambria" w:hAnsi="Cambria"/>
          <w:noProof/>
          <w:sz w:val="24"/>
          <w:lang w:val="en-US"/>
        </w:rPr>
        <w:drawing>
          <wp:inline distT="0" distB="0" distL="0" distR="0" wp14:anchorId="092CF52E" wp14:editId="1CC68D47">
            <wp:extent cx="5760000" cy="4077181"/>
            <wp:effectExtent l="19050" t="19050" r="12700" b="190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6.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60000" cy="4077181"/>
                    </a:xfrm>
                    <a:prstGeom prst="rect">
                      <a:avLst/>
                    </a:prstGeom>
                    <a:ln>
                      <a:solidFill>
                        <a:sysClr val="window" lastClr="FFFFFF">
                          <a:lumMod val="85000"/>
                        </a:sysClr>
                      </a:solidFill>
                    </a:ln>
                  </pic:spPr>
                </pic:pic>
              </a:graphicData>
            </a:graphic>
          </wp:inline>
        </w:drawing>
      </w:r>
    </w:p>
    <w:p w14:paraId="4DBF8102" w14:textId="77777777" w:rsidR="00F45192" w:rsidRPr="00EA1BB2" w:rsidRDefault="00F45192" w:rsidP="005C483D">
      <w:pPr>
        <w:spacing w:line="360" w:lineRule="auto"/>
        <w:rPr>
          <w:rFonts w:ascii="Cambria" w:hAnsi="Cambria" w:cs="Times New Roman"/>
          <w:sz w:val="24"/>
          <w:szCs w:val="24"/>
        </w:rPr>
      </w:pPr>
    </w:p>
    <w:p w14:paraId="46C4F8C7" w14:textId="77777777" w:rsidR="005C483D" w:rsidRPr="00EA1BB2" w:rsidRDefault="005C483D" w:rsidP="005C483D">
      <w:pPr>
        <w:spacing w:line="360" w:lineRule="auto"/>
        <w:ind w:firstLine="708"/>
        <w:jc w:val="both"/>
        <w:rPr>
          <w:rFonts w:ascii="Cambria" w:eastAsia="SimSun" w:hAnsi="Cambria" w:cs="Times New Roman"/>
          <w:b/>
          <w:sz w:val="24"/>
          <w:szCs w:val="24"/>
        </w:rPr>
      </w:pPr>
      <w:r w:rsidRPr="00EA1BB2">
        <w:rPr>
          <w:rFonts w:ascii="Cambria" w:eastAsia="SimSun" w:hAnsi="Cambria" w:cs="Times New Roman"/>
          <w:b/>
          <w:sz w:val="24"/>
          <w:szCs w:val="24"/>
        </w:rPr>
        <w:t>Arii naturale protejate de interes na</w:t>
      </w:r>
      <w:r w:rsidR="00054880" w:rsidRPr="00EA1BB2">
        <w:rPr>
          <w:rFonts w:ascii="Cambria" w:eastAsia="SimSun" w:hAnsi="Cambria" w:cs="Times New Roman"/>
          <w:b/>
          <w:sz w:val="24"/>
          <w:szCs w:val="24"/>
        </w:rPr>
        <w:t>ț</w:t>
      </w:r>
      <w:r w:rsidRPr="00EA1BB2">
        <w:rPr>
          <w:rFonts w:ascii="Cambria" w:eastAsia="SimSun" w:hAnsi="Cambria" w:cs="Times New Roman"/>
          <w:b/>
          <w:sz w:val="24"/>
          <w:szCs w:val="24"/>
        </w:rPr>
        <w:t xml:space="preserve">ional </w:t>
      </w:r>
    </w:p>
    <w:p w14:paraId="0D88B5F9" w14:textId="77777777" w:rsidR="005C483D" w:rsidRPr="00EA1BB2" w:rsidRDefault="005C483D" w:rsidP="005C483D">
      <w:pPr>
        <w:spacing w:line="360" w:lineRule="auto"/>
        <w:ind w:firstLine="708"/>
        <w:jc w:val="both"/>
        <w:rPr>
          <w:rFonts w:ascii="Cambria" w:eastAsia="SimSun" w:hAnsi="Cambria" w:cs="Times New Roman"/>
          <w:sz w:val="24"/>
          <w:szCs w:val="24"/>
        </w:rPr>
      </w:pPr>
      <w:r w:rsidRPr="00EA1BB2">
        <w:rPr>
          <w:rFonts w:ascii="Cambria" w:eastAsia="SimSun" w:hAnsi="Cambria" w:cs="Times New Roman"/>
          <w:sz w:val="24"/>
          <w:szCs w:val="24"/>
        </w:rPr>
        <w:t>În jude</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ul Brăila există 3 arii naturale protejate de interes na</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 xml:space="preserve">ional (un parc natural </w:t>
      </w:r>
      <w:r w:rsidR="00054880" w:rsidRPr="00EA1BB2">
        <w:rPr>
          <w:rFonts w:ascii="Cambria" w:eastAsia="SimSun" w:hAnsi="Cambria" w:cs="Times New Roman"/>
          <w:sz w:val="24"/>
          <w:szCs w:val="24"/>
        </w:rPr>
        <w:t>ș</w:t>
      </w:r>
      <w:r w:rsidRPr="00EA1BB2">
        <w:rPr>
          <w:rFonts w:ascii="Cambria" w:eastAsia="SimSun" w:hAnsi="Cambria" w:cs="Times New Roman"/>
          <w:sz w:val="24"/>
          <w:szCs w:val="24"/>
        </w:rPr>
        <w:t>i 2 rezerva</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ii naturale) declarate prin Legea 5/2000 privind aprobarea Planului de amenajare a teritoriului na</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ional, sec</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iunea III -Arii protejate</w:t>
      </w:r>
      <w:r w:rsidR="008211AF" w:rsidRPr="00EA1BB2">
        <w:rPr>
          <w:rFonts w:ascii="Cambria" w:eastAsia="SimSun" w:hAnsi="Cambria" w:cs="Times New Roman"/>
          <w:sz w:val="24"/>
          <w:szCs w:val="24"/>
        </w:rPr>
        <w:t>, prezentate în tabelul următor.</w:t>
      </w:r>
    </w:p>
    <w:p w14:paraId="50B9D677" w14:textId="25E28153" w:rsidR="005C483D" w:rsidRPr="00EA1BB2" w:rsidRDefault="005C483D" w:rsidP="00086957">
      <w:pPr>
        <w:keepNext/>
        <w:spacing w:line="360" w:lineRule="auto"/>
        <w:jc w:val="right"/>
        <w:rPr>
          <w:rFonts w:ascii="Cambria" w:hAnsi="Cambria"/>
          <w:b/>
          <w:sz w:val="24"/>
          <w:szCs w:val="24"/>
        </w:rPr>
      </w:pPr>
      <w:bookmarkStart w:id="52" w:name="_Toc526889766"/>
      <w:r w:rsidRPr="00EA1BB2">
        <w:rPr>
          <w:rFonts w:ascii="Cambria" w:hAnsi="Cambria"/>
          <w:b/>
          <w:iCs/>
          <w:sz w:val="24"/>
          <w:szCs w:val="24"/>
        </w:rPr>
        <w:t xml:space="preserve">Tabelul nr. </w:t>
      </w:r>
      <w:r w:rsidR="000A2FE7" w:rsidRPr="00EA1BB2">
        <w:rPr>
          <w:rFonts w:ascii="Cambria" w:hAnsi="Cambria"/>
          <w:b/>
          <w:iCs/>
          <w:sz w:val="24"/>
          <w:szCs w:val="24"/>
        </w:rPr>
        <w:fldChar w:fldCharType="begin"/>
      </w:r>
      <w:r w:rsidR="000A2FE7" w:rsidRPr="00EA1BB2">
        <w:rPr>
          <w:rFonts w:ascii="Cambria" w:hAnsi="Cambria"/>
          <w:b/>
          <w:iCs/>
          <w:sz w:val="24"/>
          <w:szCs w:val="24"/>
        </w:rPr>
        <w:instrText xml:space="preserve"> STYLEREF 1 \s </w:instrText>
      </w:r>
      <w:r w:rsidR="000A2FE7" w:rsidRPr="00EA1BB2">
        <w:rPr>
          <w:rFonts w:ascii="Cambria" w:hAnsi="Cambria"/>
          <w:b/>
          <w:iCs/>
          <w:sz w:val="24"/>
          <w:szCs w:val="24"/>
        </w:rPr>
        <w:fldChar w:fldCharType="separate"/>
      </w:r>
      <w:r w:rsidR="00567555">
        <w:rPr>
          <w:rFonts w:ascii="Cambria" w:hAnsi="Cambria"/>
          <w:b/>
          <w:iCs/>
          <w:noProof/>
          <w:sz w:val="24"/>
          <w:szCs w:val="24"/>
        </w:rPr>
        <w:t>2</w:t>
      </w:r>
      <w:r w:rsidR="000A2FE7" w:rsidRPr="00EA1BB2">
        <w:rPr>
          <w:rFonts w:ascii="Cambria" w:hAnsi="Cambria"/>
          <w:b/>
          <w:iCs/>
          <w:sz w:val="24"/>
          <w:szCs w:val="24"/>
        </w:rPr>
        <w:fldChar w:fldCharType="end"/>
      </w:r>
      <w:r w:rsidR="000A2FE7" w:rsidRPr="00EA1BB2">
        <w:rPr>
          <w:rFonts w:ascii="Cambria" w:hAnsi="Cambria"/>
          <w:b/>
          <w:iCs/>
          <w:sz w:val="24"/>
          <w:szCs w:val="24"/>
        </w:rPr>
        <w:noBreakHyphen/>
      </w:r>
      <w:r w:rsidR="000A2FE7" w:rsidRPr="00EA1BB2">
        <w:rPr>
          <w:rFonts w:ascii="Cambria" w:hAnsi="Cambria"/>
          <w:b/>
          <w:iCs/>
          <w:sz w:val="24"/>
          <w:szCs w:val="24"/>
        </w:rPr>
        <w:fldChar w:fldCharType="begin"/>
      </w:r>
      <w:r w:rsidR="000A2FE7" w:rsidRPr="00EA1BB2">
        <w:rPr>
          <w:rFonts w:ascii="Cambria" w:hAnsi="Cambria"/>
          <w:b/>
          <w:iCs/>
          <w:sz w:val="24"/>
          <w:szCs w:val="24"/>
        </w:rPr>
        <w:instrText xml:space="preserve"> SEQ Tabelul_nr. \* ARABIC \s 1 </w:instrText>
      </w:r>
      <w:r w:rsidR="000A2FE7" w:rsidRPr="00EA1BB2">
        <w:rPr>
          <w:rFonts w:ascii="Cambria" w:hAnsi="Cambria"/>
          <w:b/>
          <w:iCs/>
          <w:sz w:val="24"/>
          <w:szCs w:val="24"/>
        </w:rPr>
        <w:fldChar w:fldCharType="separate"/>
      </w:r>
      <w:r w:rsidR="00567555">
        <w:rPr>
          <w:rFonts w:ascii="Cambria" w:hAnsi="Cambria"/>
          <w:b/>
          <w:iCs/>
          <w:noProof/>
          <w:sz w:val="24"/>
          <w:szCs w:val="24"/>
        </w:rPr>
        <w:t>9</w:t>
      </w:r>
      <w:r w:rsidR="000A2FE7" w:rsidRPr="00EA1BB2">
        <w:rPr>
          <w:rFonts w:ascii="Cambria" w:hAnsi="Cambria"/>
          <w:b/>
          <w:iCs/>
          <w:sz w:val="24"/>
          <w:szCs w:val="24"/>
        </w:rPr>
        <w:fldChar w:fldCharType="end"/>
      </w:r>
      <w:r w:rsidR="00024B86" w:rsidRPr="00EA1BB2">
        <w:rPr>
          <w:rFonts w:ascii="Cambria" w:hAnsi="Cambria"/>
          <w:b/>
          <w:iCs/>
          <w:sz w:val="24"/>
          <w:szCs w:val="24"/>
        </w:rPr>
        <w:t xml:space="preserve"> - </w:t>
      </w:r>
      <w:r w:rsidR="0054786B" w:rsidRPr="00EA1BB2">
        <w:rPr>
          <w:rFonts w:ascii="Cambria" w:hAnsi="Cambria" w:cs="Times New Roman"/>
          <w:b/>
          <w:sz w:val="24"/>
          <w:szCs w:val="24"/>
        </w:rPr>
        <w:t xml:space="preserve">Ariile </w:t>
      </w:r>
      <w:r w:rsidRPr="00EA1BB2">
        <w:rPr>
          <w:rFonts w:ascii="Cambria" w:hAnsi="Cambria" w:cs="Times New Roman"/>
          <w:b/>
          <w:sz w:val="24"/>
          <w:szCs w:val="24"/>
        </w:rPr>
        <w:t>naturale protejate de interes na</w:t>
      </w:r>
      <w:r w:rsidR="00054880" w:rsidRPr="00EA1BB2">
        <w:rPr>
          <w:rFonts w:ascii="Cambria" w:hAnsi="Cambria" w:cs="Times New Roman"/>
          <w:b/>
          <w:sz w:val="24"/>
          <w:szCs w:val="24"/>
        </w:rPr>
        <w:t>ț</w:t>
      </w:r>
      <w:r w:rsidRPr="00EA1BB2">
        <w:rPr>
          <w:rFonts w:ascii="Cambria" w:hAnsi="Cambria" w:cs="Times New Roman"/>
          <w:b/>
          <w:sz w:val="24"/>
          <w:szCs w:val="24"/>
        </w:rPr>
        <w:t>ional din jude</w:t>
      </w:r>
      <w:r w:rsidR="00054880" w:rsidRPr="00EA1BB2">
        <w:rPr>
          <w:rFonts w:ascii="Cambria" w:hAnsi="Cambria" w:cs="Times New Roman"/>
          <w:b/>
          <w:sz w:val="24"/>
          <w:szCs w:val="24"/>
        </w:rPr>
        <w:t>ț</w:t>
      </w:r>
      <w:r w:rsidRPr="00EA1BB2">
        <w:rPr>
          <w:rFonts w:ascii="Cambria" w:hAnsi="Cambria" w:cs="Times New Roman"/>
          <w:b/>
          <w:sz w:val="24"/>
          <w:szCs w:val="24"/>
        </w:rPr>
        <w:t>ul Brăila</w:t>
      </w:r>
      <w:bookmarkEnd w:id="52"/>
    </w:p>
    <w:tbl>
      <w:tblPr>
        <w:tblW w:w="5120" w:type="pct"/>
        <w:jc w:val="center"/>
        <w:tblBorders>
          <w:top w:val="single" w:sz="12" w:space="0" w:color="000000"/>
          <w:left w:val="single" w:sz="12" w:space="0" w:color="000000"/>
          <w:bottom w:val="single" w:sz="12" w:space="0" w:color="000000"/>
          <w:right w:val="single" w:sz="12" w:space="0" w:color="000000"/>
        </w:tblBorders>
        <w:tblLook w:val="04A0" w:firstRow="1" w:lastRow="0" w:firstColumn="1" w:lastColumn="0" w:noHBand="0" w:noVBand="1"/>
      </w:tblPr>
      <w:tblGrid>
        <w:gridCol w:w="611"/>
        <w:gridCol w:w="1368"/>
        <w:gridCol w:w="1350"/>
        <w:gridCol w:w="1327"/>
        <w:gridCol w:w="2841"/>
        <w:gridCol w:w="2012"/>
      </w:tblGrid>
      <w:tr w:rsidR="005C483D" w:rsidRPr="00EA1BB2" w14:paraId="1E0A536D" w14:textId="77777777" w:rsidTr="00E4631C">
        <w:trPr>
          <w:trHeight w:val="215"/>
          <w:tblHeader/>
          <w:jc w:val="center"/>
        </w:trPr>
        <w:tc>
          <w:tcPr>
            <w:tcW w:w="321" w:type="pct"/>
            <w:tcBorders>
              <w:top w:val="single" w:sz="4" w:space="0" w:color="auto"/>
              <w:left w:val="single" w:sz="4" w:space="0" w:color="auto"/>
              <w:bottom w:val="single" w:sz="4" w:space="0" w:color="auto"/>
              <w:right w:val="single" w:sz="6" w:space="0" w:color="000000"/>
            </w:tcBorders>
            <w:shd w:val="clear" w:color="auto" w:fill="BDD6EE" w:themeFill="accent1" w:themeFillTint="66"/>
            <w:vAlign w:val="center"/>
            <w:hideMark/>
          </w:tcPr>
          <w:p w14:paraId="0465783D" w14:textId="77777777" w:rsidR="005C483D" w:rsidRPr="00EA1BB2" w:rsidRDefault="005C483D" w:rsidP="003C58E1">
            <w:pPr>
              <w:spacing w:line="360" w:lineRule="auto"/>
              <w:jc w:val="center"/>
              <w:rPr>
                <w:rFonts w:ascii="Cambria" w:eastAsia="SimSun" w:hAnsi="Cambria" w:cs="Times New Roman"/>
                <w:b/>
                <w:sz w:val="24"/>
                <w:szCs w:val="24"/>
              </w:rPr>
            </w:pPr>
            <w:r w:rsidRPr="00EA1BB2">
              <w:rPr>
                <w:rFonts w:ascii="Cambria" w:eastAsia="SimSun" w:hAnsi="Cambria" w:cs="Times New Roman"/>
                <w:b/>
                <w:sz w:val="24"/>
                <w:szCs w:val="24"/>
              </w:rPr>
              <w:t>Nr. crt.</w:t>
            </w:r>
          </w:p>
        </w:tc>
        <w:tc>
          <w:tcPr>
            <w:tcW w:w="719" w:type="pct"/>
            <w:tcBorders>
              <w:top w:val="single" w:sz="4" w:space="0" w:color="auto"/>
              <w:left w:val="single" w:sz="6" w:space="0" w:color="000000"/>
              <w:bottom w:val="single" w:sz="4" w:space="0" w:color="auto"/>
              <w:right w:val="single" w:sz="6" w:space="0" w:color="000000"/>
            </w:tcBorders>
            <w:shd w:val="clear" w:color="auto" w:fill="BDD6EE" w:themeFill="accent1" w:themeFillTint="66"/>
            <w:vAlign w:val="center"/>
            <w:hideMark/>
          </w:tcPr>
          <w:p w14:paraId="43C269F1" w14:textId="77777777" w:rsidR="005C483D" w:rsidRPr="00EA1BB2" w:rsidRDefault="005C483D" w:rsidP="003C58E1">
            <w:pPr>
              <w:spacing w:line="360" w:lineRule="auto"/>
              <w:jc w:val="center"/>
              <w:rPr>
                <w:rFonts w:ascii="Cambria" w:eastAsia="SimSun" w:hAnsi="Cambria" w:cs="Times New Roman"/>
                <w:b/>
                <w:sz w:val="24"/>
                <w:szCs w:val="24"/>
              </w:rPr>
            </w:pPr>
            <w:r w:rsidRPr="00EA1BB2">
              <w:rPr>
                <w:rFonts w:ascii="Cambria" w:eastAsia="SimSun" w:hAnsi="Cambria" w:cs="Times New Roman"/>
                <w:b/>
                <w:sz w:val="24"/>
                <w:szCs w:val="24"/>
              </w:rPr>
              <w:t>Denumire</w:t>
            </w:r>
          </w:p>
        </w:tc>
        <w:tc>
          <w:tcPr>
            <w:tcW w:w="710" w:type="pct"/>
            <w:tcBorders>
              <w:top w:val="single" w:sz="4" w:space="0" w:color="auto"/>
              <w:left w:val="single" w:sz="6" w:space="0" w:color="000000"/>
              <w:bottom w:val="single" w:sz="4" w:space="0" w:color="auto"/>
              <w:right w:val="single" w:sz="6" w:space="0" w:color="000000"/>
            </w:tcBorders>
            <w:shd w:val="clear" w:color="auto" w:fill="BDD6EE" w:themeFill="accent1" w:themeFillTint="66"/>
            <w:vAlign w:val="center"/>
            <w:hideMark/>
          </w:tcPr>
          <w:p w14:paraId="14671BB8" w14:textId="77777777" w:rsidR="005C483D" w:rsidRPr="00EA1BB2" w:rsidRDefault="005C483D" w:rsidP="003C58E1">
            <w:pPr>
              <w:spacing w:line="360" w:lineRule="auto"/>
              <w:jc w:val="center"/>
              <w:rPr>
                <w:rFonts w:ascii="Cambria" w:eastAsia="SimSun" w:hAnsi="Cambria" w:cs="Times New Roman"/>
                <w:b/>
                <w:sz w:val="24"/>
                <w:szCs w:val="24"/>
              </w:rPr>
            </w:pPr>
            <w:r w:rsidRPr="00EA1BB2">
              <w:rPr>
                <w:rFonts w:ascii="Cambria" w:eastAsia="SimSun" w:hAnsi="Cambria" w:cs="Times New Roman"/>
                <w:b/>
                <w:sz w:val="24"/>
                <w:szCs w:val="24"/>
              </w:rPr>
              <w:t>Categoria ariei protejate</w:t>
            </w:r>
          </w:p>
        </w:tc>
        <w:tc>
          <w:tcPr>
            <w:tcW w:w="698" w:type="pct"/>
            <w:tcBorders>
              <w:top w:val="single" w:sz="4" w:space="0" w:color="auto"/>
              <w:left w:val="single" w:sz="6" w:space="0" w:color="000000"/>
              <w:bottom w:val="single" w:sz="4" w:space="0" w:color="auto"/>
              <w:right w:val="single" w:sz="4" w:space="0" w:color="auto"/>
            </w:tcBorders>
            <w:shd w:val="clear" w:color="auto" w:fill="BDD6EE" w:themeFill="accent1" w:themeFillTint="66"/>
            <w:vAlign w:val="center"/>
          </w:tcPr>
          <w:p w14:paraId="529F1B2A" w14:textId="77777777" w:rsidR="005C483D" w:rsidRPr="00EA1BB2" w:rsidRDefault="00944D11" w:rsidP="003C58E1">
            <w:pPr>
              <w:spacing w:line="360" w:lineRule="auto"/>
              <w:jc w:val="center"/>
              <w:rPr>
                <w:rFonts w:ascii="Cambria" w:eastAsia="SimSun" w:hAnsi="Cambria" w:cs="Times New Roman"/>
                <w:b/>
                <w:sz w:val="24"/>
                <w:szCs w:val="24"/>
              </w:rPr>
            </w:pPr>
            <w:r w:rsidRPr="00EA1BB2">
              <w:rPr>
                <w:rFonts w:ascii="Cambria" w:eastAsia="SimSun" w:hAnsi="Cambria" w:cs="Times New Roman"/>
                <w:b/>
                <w:sz w:val="24"/>
                <w:szCs w:val="24"/>
              </w:rPr>
              <w:t>Supra</w:t>
            </w:r>
            <w:r w:rsidR="005C483D" w:rsidRPr="00EA1BB2">
              <w:rPr>
                <w:rFonts w:ascii="Cambria" w:eastAsia="SimSun" w:hAnsi="Cambria" w:cs="Times New Roman"/>
                <w:b/>
                <w:sz w:val="24"/>
                <w:szCs w:val="24"/>
              </w:rPr>
              <w:t>fa</w:t>
            </w:r>
            <w:r w:rsidR="00054880" w:rsidRPr="00EA1BB2">
              <w:rPr>
                <w:rFonts w:ascii="Cambria" w:eastAsia="SimSun" w:hAnsi="Cambria" w:cs="Times New Roman"/>
                <w:b/>
                <w:sz w:val="24"/>
                <w:szCs w:val="24"/>
              </w:rPr>
              <w:t>ț</w:t>
            </w:r>
            <w:r w:rsidR="005C483D" w:rsidRPr="00EA1BB2">
              <w:rPr>
                <w:rFonts w:ascii="Cambria" w:eastAsia="SimSun" w:hAnsi="Cambria" w:cs="Times New Roman"/>
                <w:b/>
                <w:sz w:val="24"/>
                <w:szCs w:val="24"/>
              </w:rPr>
              <w:t>a</w:t>
            </w:r>
          </w:p>
          <w:p w14:paraId="3CE1F260" w14:textId="77777777" w:rsidR="005C483D" w:rsidRPr="00EA1BB2" w:rsidRDefault="005C483D" w:rsidP="003C58E1">
            <w:pPr>
              <w:spacing w:line="360" w:lineRule="auto"/>
              <w:jc w:val="center"/>
              <w:rPr>
                <w:rFonts w:ascii="Cambria" w:eastAsia="SimSun" w:hAnsi="Cambria" w:cs="Times New Roman"/>
                <w:b/>
                <w:sz w:val="24"/>
                <w:szCs w:val="24"/>
              </w:rPr>
            </w:pPr>
            <w:r w:rsidRPr="00EA1BB2">
              <w:rPr>
                <w:rFonts w:ascii="Cambria" w:eastAsia="SimSun" w:hAnsi="Cambria" w:cs="Times New Roman"/>
                <w:b/>
                <w:sz w:val="24"/>
                <w:szCs w:val="24"/>
              </w:rPr>
              <w:t>(ha)</w:t>
            </w:r>
          </w:p>
        </w:tc>
        <w:tc>
          <w:tcPr>
            <w:tcW w:w="1494" w:type="pct"/>
            <w:tcBorders>
              <w:top w:val="single" w:sz="4" w:space="0" w:color="auto"/>
              <w:left w:val="single" w:sz="6" w:space="0" w:color="000000"/>
              <w:bottom w:val="single" w:sz="4" w:space="0" w:color="auto"/>
              <w:right w:val="single" w:sz="6" w:space="0" w:color="000000"/>
            </w:tcBorders>
            <w:shd w:val="clear" w:color="auto" w:fill="BDD6EE" w:themeFill="accent1" w:themeFillTint="66"/>
            <w:vAlign w:val="center"/>
            <w:hideMark/>
          </w:tcPr>
          <w:p w14:paraId="431C17BA" w14:textId="77777777" w:rsidR="005C483D" w:rsidRPr="00EA1BB2" w:rsidRDefault="005C483D" w:rsidP="003C58E1">
            <w:pPr>
              <w:spacing w:line="360" w:lineRule="auto"/>
              <w:jc w:val="center"/>
              <w:rPr>
                <w:rFonts w:ascii="Cambria" w:eastAsia="SimSun" w:hAnsi="Cambria" w:cs="Times New Roman"/>
                <w:b/>
                <w:sz w:val="24"/>
                <w:szCs w:val="24"/>
              </w:rPr>
            </w:pPr>
            <w:r w:rsidRPr="00EA1BB2">
              <w:rPr>
                <w:rFonts w:ascii="Cambria" w:eastAsia="SimSun" w:hAnsi="Cambria" w:cs="Times New Roman"/>
                <w:b/>
                <w:sz w:val="24"/>
                <w:szCs w:val="24"/>
              </w:rPr>
              <w:t>Localizare</w:t>
            </w:r>
          </w:p>
        </w:tc>
        <w:tc>
          <w:tcPr>
            <w:tcW w:w="1058" w:type="pct"/>
            <w:tcBorders>
              <w:top w:val="single" w:sz="4" w:space="0" w:color="auto"/>
              <w:left w:val="single" w:sz="6" w:space="0" w:color="000000"/>
              <w:bottom w:val="single" w:sz="4" w:space="0" w:color="auto"/>
              <w:right w:val="single" w:sz="4" w:space="0" w:color="auto"/>
            </w:tcBorders>
            <w:shd w:val="clear" w:color="auto" w:fill="BDD6EE" w:themeFill="accent1" w:themeFillTint="66"/>
            <w:vAlign w:val="center"/>
            <w:hideMark/>
          </w:tcPr>
          <w:p w14:paraId="27C72605" w14:textId="77777777" w:rsidR="005C483D" w:rsidRPr="00EA1BB2" w:rsidRDefault="005C483D" w:rsidP="003C58E1">
            <w:pPr>
              <w:spacing w:line="360" w:lineRule="auto"/>
              <w:jc w:val="center"/>
              <w:rPr>
                <w:rFonts w:ascii="Cambria" w:eastAsia="SimSun" w:hAnsi="Cambria" w:cs="Times New Roman"/>
                <w:b/>
                <w:sz w:val="24"/>
                <w:szCs w:val="24"/>
              </w:rPr>
            </w:pPr>
            <w:r w:rsidRPr="00EA1BB2">
              <w:rPr>
                <w:rFonts w:ascii="Cambria" w:eastAsia="SimSun" w:hAnsi="Cambria" w:cs="Times New Roman"/>
                <w:b/>
                <w:sz w:val="24"/>
                <w:szCs w:val="24"/>
              </w:rPr>
              <w:t>Administrator</w:t>
            </w:r>
          </w:p>
        </w:tc>
      </w:tr>
      <w:tr w:rsidR="005C483D" w:rsidRPr="00EA1BB2" w14:paraId="497957D1" w14:textId="77777777" w:rsidTr="00086957">
        <w:trPr>
          <w:trHeight w:val="677"/>
          <w:jc w:val="center"/>
        </w:trPr>
        <w:tc>
          <w:tcPr>
            <w:tcW w:w="321" w:type="pct"/>
            <w:tcBorders>
              <w:top w:val="single" w:sz="4" w:space="0" w:color="auto"/>
              <w:left w:val="single" w:sz="4" w:space="0" w:color="auto"/>
              <w:bottom w:val="single" w:sz="6" w:space="0" w:color="000000"/>
              <w:right w:val="single" w:sz="6" w:space="0" w:color="000000"/>
            </w:tcBorders>
            <w:shd w:val="clear" w:color="auto" w:fill="auto"/>
            <w:vAlign w:val="center"/>
            <w:hideMark/>
          </w:tcPr>
          <w:p w14:paraId="0D2F4CA0" w14:textId="77777777" w:rsidR="005C483D" w:rsidRPr="00EA1BB2" w:rsidRDefault="005C483D" w:rsidP="00D56B32">
            <w:pPr>
              <w:spacing w:line="360" w:lineRule="auto"/>
              <w:jc w:val="center"/>
              <w:rPr>
                <w:rFonts w:ascii="Cambria" w:eastAsia="SimSun" w:hAnsi="Cambria" w:cs="Times New Roman"/>
                <w:sz w:val="24"/>
                <w:szCs w:val="24"/>
              </w:rPr>
            </w:pPr>
            <w:r w:rsidRPr="00EA1BB2">
              <w:rPr>
                <w:rFonts w:ascii="Cambria" w:eastAsia="SimSun" w:hAnsi="Cambria" w:cs="Times New Roman"/>
                <w:sz w:val="24"/>
                <w:szCs w:val="24"/>
              </w:rPr>
              <w:t>1</w:t>
            </w:r>
          </w:p>
        </w:tc>
        <w:tc>
          <w:tcPr>
            <w:tcW w:w="719" w:type="pct"/>
            <w:tcBorders>
              <w:top w:val="single" w:sz="4" w:space="0" w:color="auto"/>
              <w:left w:val="single" w:sz="6" w:space="0" w:color="000000"/>
              <w:bottom w:val="single" w:sz="6" w:space="0" w:color="000000"/>
              <w:right w:val="single" w:sz="6" w:space="0" w:color="000000"/>
            </w:tcBorders>
            <w:shd w:val="clear" w:color="auto" w:fill="auto"/>
            <w:vAlign w:val="center"/>
            <w:hideMark/>
          </w:tcPr>
          <w:p w14:paraId="6A9B494C" w14:textId="77777777" w:rsidR="005C483D" w:rsidRPr="00EA1BB2" w:rsidRDefault="005C483D" w:rsidP="003C58E1">
            <w:pPr>
              <w:tabs>
                <w:tab w:val="center" w:pos="4680"/>
                <w:tab w:val="right" w:pos="9360"/>
              </w:tabs>
              <w:spacing w:line="276" w:lineRule="auto"/>
              <w:jc w:val="center"/>
              <w:rPr>
                <w:rFonts w:ascii="Cambria" w:eastAsia="Calibri" w:hAnsi="Cambria" w:cs="Times New Roman"/>
                <w:sz w:val="24"/>
                <w:szCs w:val="24"/>
              </w:rPr>
            </w:pPr>
            <w:r w:rsidRPr="00EA1BB2">
              <w:rPr>
                <w:rFonts w:ascii="Cambria" w:eastAsia="Calibri" w:hAnsi="Cambria" w:cs="Times New Roman"/>
                <w:sz w:val="24"/>
                <w:szCs w:val="24"/>
              </w:rPr>
              <w:t>Balta</w:t>
            </w:r>
          </w:p>
          <w:p w14:paraId="6257EB22" w14:textId="77777777" w:rsidR="005C483D" w:rsidRPr="00EA1BB2" w:rsidRDefault="005C483D" w:rsidP="003C58E1">
            <w:pPr>
              <w:tabs>
                <w:tab w:val="center" w:pos="4680"/>
                <w:tab w:val="right" w:pos="9360"/>
              </w:tabs>
              <w:spacing w:line="276" w:lineRule="auto"/>
              <w:jc w:val="center"/>
              <w:rPr>
                <w:rFonts w:ascii="Cambria" w:eastAsia="Calibri" w:hAnsi="Cambria" w:cs="Times New Roman"/>
                <w:sz w:val="24"/>
                <w:szCs w:val="24"/>
              </w:rPr>
            </w:pPr>
            <w:r w:rsidRPr="00EA1BB2">
              <w:rPr>
                <w:rFonts w:ascii="Cambria" w:eastAsia="Calibri" w:hAnsi="Cambria" w:cs="Times New Roman"/>
                <w:sz w:val="24"/>
                <w:szCs w:val="24"/>
              </w:rPr>
              <w:t>Mică a Brăilei</w:t>
            </w:r>
          </w:p>
        </w:tc>
        <w:tc>
          <w:tcPr>
            <w:tcW w:w="710" w:type="pct"/>
            <w:tcBorders>
              <w:top w:val="single" w:sz="4" w:space="0" w:color="auto"/>
              <w:left w:val="single" w:sz="6" w:space="0" w:color="000000"/>
              <w:bottom w:val="single" w:sz="6" w:space="0" w:color="000000"/>
              <w:right w:val="single" w:sz="6" w:space="0" w:color="000000"/>
            </w:tcBorders>
            <w:shd w:val="clear" w:color="auto" w:fill="auto"/>
            <w:vAlign w:val="center"/>
          </w:tcPr>
          <w:p w14:paraId="61E46139" w14:textId="77777777" w:rsidR="005C483D" w:rsidRPr="00EA1BB2" w:rsidRDefault="005C483D" w:rsidP="003C58E1">
            <w:pPr>
              <w:spacing w:line="276" w:lineRule="auto"/>
              <w:jc w:val="center"/>
              <w:rPr>
                <w:rFonts w:ascii="Cambria" w:eastAsia="Calibri" w:hAnsi="Cambria" w:cs="Times New Roman"/>
                <w:sz w:val="24"/>
                <w:szCs w:val="24"/>
              </w:rPr>
            </w:pPr>
            <w:r w:rsidRPr="00EA1BB2">
              <w:rPr>
                <w:rFonts w:ascii="Cambria" w:eastAsia="SimSun" w:hAnsi="Cambria" w:cs="Times New Roman"/>
                <w:sz w:val="24"/>
                <w:szCs w:val="24"/>
              </w:rPr>
              <w:t>Parc natural</w:t>
            </w:r>
          </w:p>
        </w:tc>
        <w:tc>
          <w:tcPr>
            <w:tcW w:w="698" w:type="pct"/>
            <w:tcBorders>
              <w:top w:val="single" w:sz="4" w:space="0" w:color="auto"/>
              <w:left w:val="single" w:sz="6" w:space="0" w:color="000000"/>
              <w:bottom w:val="single" w:sz="6" w:space="0" w:color="000000"/>
              <w:right w:val="single" w:sz="4" w:space="0" w:color="auto"/>
            </w:tcBorders>
            <w:shd w:val="clear" w:color="auto" w:fill="auto"/>
            <w:vAlign w:val="center"/>
            <w:hideMark/>
          </w:tcPr>
          <w:p w14:paraId="1172BACD"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24.123</w:t>
            </w:r>
          </w:p>
        </w:tc>
        <w:tc>
          <w:tcPr>
            <w:tcW w:w="1494" w:type="pct"/>
            <w:tcBorders>
              <w:top w:val="single" w:sz="4" w:space="0" w:color="auto"/>
              <w:left w:val="single" w:sz="6" w:space="0" w:color="000000"/>
              <w:bottom w:val="single" w:sz="6" w:space="0" w:color="000000"/>
              <w:right w:val="single" w:sz="6" w:space="0" w:color="000000"/>
            </w:tcBorders>
            <w:shd w:val="clear" w:color="auto" w:fill="auto"/>
            <w:vAlign w:val="center"/>
            <w:hideMark/>
          </w:tcPr>
          <w:p w14:paraId="7974FDF2" w14:textId="77777777" w:rsidR="005C483D" w:rsidRPr="00EA1BB2" w:rsidRDefault="005C483D" w:rsidP="00295F75">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În lunca cu regim natural de inunda</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 xml:space="preserve">ie a fluviului Dunărea, </w:t>
            </w:r>
            <w:r w:rsidR="00295F75" w:rsidRPr="00EA1BB2">
              <w:rPr>
                <w:rFonts w:ascii="Cambria" w:eastAsia="SimSun" w:hAnsi="Cambria" w:cs="Times New Roman"/>
                <w:sz w:val="24"/>
                <w:szCs w:val="24"/>
              </w:rPr>
              <w:t>UAT</w:t>
            </w:r>
            <w:r w:rsidRPr="00EA1BB2">
              <w:rPr>
                <w:rFonts w:ascii="Cambria" w:eastAsia="SimSun" w:hAnsi="Cambria" w:cs="Times New Roman"/>
                <w:sz w:val="24"/>
                <w:szCs w:val="24"/>
              </w:rPr>
              <w:t xml:space="preserve"> Chiscani, Gropeni, Stăncu</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a, Berte</w:t>
            </w:r>
            <w:r w:rsidR="00054880" w:rsidRPr="00EA1BB2">
              <w:rPr>
                <w:rFonts w:ascii="Cambria" w:eastAsia="SimSun" w:hAnsi="Cambria" w:cs="Times New Roman"/>
                <w:sz w:val="24"/>
                <w:szCs w:val="24"/>
              </w:rPr>
              <w:t>ș</w:t>
            </w:r>
            <w:r w:rsidRPr="00EA1BB2">
              <w:rPr>
                <w:rFonts w:ascii="Cambria" w:eastAsia="SimSun" w:hAnsi="Cambria" w:cs="Times New Roman"/>
                <w:sz w:val="24"/>
                <w:szCs w:val="24"/>
              </w:rPr>
              <w:t>tii de Jos, Măra</w:t>
            </w:r>
            <w:r w:rsidR="00054880" w:rsidRPr="00EA1BB2">
              <w:rPr>
                <w:rFonts w:ascii="Cambria" w:eastAsia="SimSun" w:hAnsi="Cambria" w:cs="Times New Roman"/>
                <w:sz w:val="24"/>
                <w:szCs w:val="24"/>
              </w:rPr>
              <w:t>ș</w:t>
            </w:r>
            <w:r w:rsidRPr="00EA1BB2">
              <w:rPr>
                <w:rFonts w:ascii="Cambria" w:eastAsia="SimSun" w:hAnsi="Cambria" w:cs="Times New Roman"/>
                <w:sz w:val="24"/>
                <w:szCs w:val="24"/>
              </w:rPr>
              <w:t>u</w:t>
            </w:r>
          </w:p>
        </w:tc>
        <w:tc>
          <w:tcPr>
            <w:tcW w:w="1058" w:type="pct"/>
            <w:tcBorders>
              <w:top w:val="single" w:sz="4" w:space="0" w:color="auto"/>
              <w:left w:val="single" w:sz="6" w:space="0" w:color="000000"/>
              <w:bottom w:val="single" w:sz="6" w:space="0" w:color="000000"/>
              <w:right w:val="single" w:sz="4" w:space="0" w:color="auto"/>
            </w:tcBorders>
            <w:shd w:val="clear" w:color="auto" w:fill="auto"/>
            <w:vAlign w:val="center"/>
          </w:tcPr>
          <w:p w14:paraId="183F24F4"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RNP Romsilva prin structură de a</w:t>
            </w:r>
            <w:r w:rsidR="0049303C" w:rsidRPr="00EA1BB2">
              <w:rPr>
                <w:rFonts w:ascii="Cambria" w:eastAsia="SimSun" w:hAnsi="Cambria" w:cs="Times New Roman"/>
                <w:sz w:val="24"/>
                <w:szCs w:val="24"/>
              </w:rPr>
              <w:t>dministrare special constituită</w:t>
            </w:r>
          </w:p>
        </w:tc>
      </w:tr>
      <w:tr w:rsidR="005C483D" w:rsidRPr="00EA1BB2" w14:paraId="68AEE819" w14:textId="77777777" w:rsidTr="007120C7">
        <w:trPr>
          <w:jc w:val="center"/>
        </w:trPr>
        <w:tc>
          <w:tcPr>
            <w:tcW w:w="321" w:type="pct"/>
            <w:tcBorders>
              <w:top w:val="single" w:sz="6" w:space="0" w:color="000000"/>
              <w:left w:val="single" w:sz="4" w:space="0" w:color="auto"/>
              <w:bottom w:val="single" w:sz="6" w:space="0" w:color="000000"/>
              <w:right w:val="single" w:sz="6" w:space="0" w:color="000000"/>
            </w:tcBorders>
            <w:shd w:val="clear" w:color="auto" w:fill="auto"/>
            <w:vAlign w:val="center"/>
            <w:hideMark/>
          </w:tcPr>
          <w:p w14:paraId="4F2AC916" w14:textId="77777777" w:rsidR="005C483D" w:rsidRPr="00EA1BB2" w:rsidRDefault="005C483D" w:rsidP="00D56B32">
            <w:pPr>
              <w:spacing w:line="360" w:lineRule="auto"/>
              <w:jc w:val="center"/>
              <w:rPr>
                <w:rFonts w:ascii="Cambria" w:eastAsia="SimSun" w:hAnsi="Cambria" w:cs="Times New Roman"/>
                <w:sz w:val="24"/>
                <w:szCs w:val="24"/>
              </w:rPr>
            </w:pPr>
            <w:r w:rsidRPr="00EA1BB2">
              <w:rPr>
                <w:rFonts w:ascii="Cambria" w:eastAsia="SimSun" w:hAnsi="Cambria" w:cs="Times New Roman"/>
                <w:sz w:val="24"/>
                <w:szCs w:val="24"/>
              </w:rPr>
              <w:lastRenderedPageBreak/>
              <w:t>2</w:t>
            </w:r>
          </w:p>
        </w:tc>
        <w:tc>
          <w:tcPr>
            <w:tcW w:w="719" w:type="pct"/>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7713ADE"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Lacul</w:t>
            </w:r>
          </w:p>
          <w:p w14:paraId="0DEC2361"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Jirlău –Trup Vi</w:t>
            </w:r>
            <w:r w:rsidR="00054880" w:rsidRPr="00EA1BB2">
              <w:rPr>
                <w:rFonts w:ascii="Cambria" w:eastAsia="SimSun" w:hAnsi="Cambria" w:cs="Times New Roman"/>
                <w:sz w:val="24"/>
                <w:szCs w:val="24"/>
              </w:rPr>
              <w:t>ș</w:t>
            </w:r>
            <w:r w:rsidRPr="00EA1BB2">
              <w:rPr>
                <w:rFonts w:ascii="Cambria" w:eastAsia="SimSun" w:hAnsi="Cambria" w:cs="Times New Roman"/>
                <w:sz w:val="24"/>
                <w:szCs w:val="24"/>
              </w:rPr>
              <w:t>ani</w:t>
            </w:r>
          </w:p>
        </w:tc>
        <w:tc>
          <w:tcPr>
            <w:tcW w:w="710" w:type="pct"/>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715F3B7"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Rezerva</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ie naturală</w:t>
            </w:r>
          </w:p>
        </w:tc>
        <w:tc>
          <w:tcPr>
            <w:tcW w:w="698" w:type="pct"/>
            <w:tcBorders>
              <w:top w:val="single" w:sz="6" w:space="0" w:color="000000"/>
              <w:left w:val="single" w:sz="6" w:space="0" w:color="000000"/>
              <w:bottom w:val="single" w:sz="6" w:space="0" w:color="000000"/>
              <w:right w:val="single" w:sz="4" w:space="0" w:color="auto"/>
            </w:tcBorders>
            <w:shd w:val="clear" w:color="auto" w:fill="auto"/>
            <w:vAlign w:val="center"/>
            <w:hideMark/>
          </w:tcPr>
          <w:p w14:paraId="60338527"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838,66</w:t>
            </w:r>
          </w:p>
        </w:tc>
        <w:tc>
          <w:tcPr>
            <w:tcW w:w="1494" w:type="pct"/>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388028F" w14:textId="77777777" w:rsidR="005C483D" w:rsidRPr="00EA1BB2" w:rsidRDefault="00295F75"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UAT</w:t>
            </w:r>
            <w:r w:rsidR="005C483D" w:rsidRPr="00EA1BB2">
              <w:rPr>
                <w:rFonts w:ascii="Cambria" w:eastAsia="SimSun" w:hAnsi="Cambria" w:cs="Times New Roman"/>
                <w:sz w:val="24"/>
                <w:szCs w:val="24"/>
              </w:rPr>
              <w:t xml:space="preserve"> Jirlău, Vi</w:t>
            </w:r>
            <w:r w:rsidR="00054880" w:rsidRPr="00EA1BB2">
              <w:rPr>
                <w:rFonts w:ascii="Cambria" w:eastAsia="SimSun" w:hAnsi="Cambria" w:cs="Times New Roman"/>
                <w:sz w:val="24"/>
                <w:szCs w:val="24"/>
              </w:rPr>
              <w:t>ș</w:t>
            </w:r>
            <w:r w:rsidR="005C483D" w:rsidRPr="00EA1BB2">
              <w:rPr>
                <w:rFonts w:ascii="Cambria" w:eastAsia="SimSun" w:hAnsi="Cambria" w:cs="Times New Roman"/>
                <w:sz w:val="24"/>
                <w:szCs w:val="24"/>
              </w:rPr>
              <w:t xml:space="preserve">ani </w:t>
            </w:r>
            <w:r w:rsidR="00054880" w:rsidRPr="00EA1BB2">
              <w:rPr>
                <w:rFonts w:ascii="Cambria" w:eastAsia="SimSun" w:hAnsi="Cambria" w:cs="Times New Roman"/>
                <w:sz w:val="24"/>
                <w:szCs w:val="24"/>
              </w:rPr>
              <w:t>ș</w:t>
            </w:r>
            <w:r w:rsidR="005C483D" w:rsidRPr="00EA1BB2">
              <w:rPr>
                <w:rFonts w:ascii="Cambria" w:eastAsia="SimSun" w:hAnsi="Cambria" w:cs="Times New Roman"/>
                <w:sz w:val="24"/>
                <w:szCs w:val="24"/>
              </w:rPr>
              <w:t>i Galbenu</w:t>
            </w:r>
          </w:p>
        </w:tc>
        <w:tc>
          <w:tcPr>
            <w:tcW w:w="1058" w:type="pct"/>
            <w:tcBorders>
              <w:top w:val="single" w:sz="6" w:space="0" w:color="000000"/>
              <w:left w:val="single" w:sz="6" w:space="0" w:color="000000"/>
              <w:bottom w:val="single" w:sz="6" w:space="0" w:color="000000"/>
              <w:right w:val="single" w:sz="4" w:space="0" w:color="auto"/>
            </w:tcBorders>
            <w:shd w:val="clear" w:color="auto" w:fill="auto"/>
            <w:vAlign w:val="center"/>
            <w:hideMark/>
          </w:tcPr>
          <w:p w14:paraId="03D6F62E"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w:t>
            </w:r>
          </w:p>
        </w:tc>
      </w:tr>
      <w:tr w:rsidR="005C483D" w:rsidRPr="00EA1BB2" w14:paraId="16C5F18B" w14:textId="77777777" w:rsidTr="007120C7">
        <w:trPr>
          <w:jc w:val="center"/>
        </w:trPr>
        <w:tc>
          <w:tcPr>
            <w:tcW w:w="321" w:type="pct"/>
            <w:tcBorders>
              <w:top w:val="single" w:sz="6" w:space="0" w:color="000000"/>
              <w:left w:val="single" w:sz="4" w:space="0" w:color="auto"/>
              <w:bottom w:val="single" w:sz="6" w:space="0" w:color="000000"/>
              <w:right w:val="single" w:sz="6" w:space="0" w:color="000000"/>
            </w:tcBorders>
            <w:shd w:val="clear" w:color="auto" w:fill="auto"/>
            <w:vAlign w:val="center"/>
            <w:hideMark/>
          </w:tcPr>
          <w:p w14:paraId="190AF96D" w14:textId="77777777" w:rsidR="005C483D" w:rsidRPr="00EA1BB2" w:rsidRDefault="005C483D" w:rsidP="00D56B32">
            <w:pPr>
              <w:spacing w:line="360" w:lineRule="auto"/>
              <w:jc w:val="center"/>
              <w:rPr>
                <w:rFonts w:ascii="Cambria" w:eastAsia="SimSun" w:hAnsi="Cambria" w:cs="Times New Roman"/>
                <w:sz w:val="24"/>
                <w:szCs w:val="24"/>
              </w:rPr>
            </w:pPr>
            <w:r w:rsidRPr="00EA1BB2">
              <w:rPr>
                <w:rFonts w:ascii="Cambria" w:eastAsia="SimSun" w:hAnsi="Cambria" w:cs="Times New Roman"/>
                <w:sz w:val="24"/>
                <w:szCs w:val="24"/>
              </w:rPr>
              <w:t>3</w:t>
            </w:r>
          </w:p>
        </w:tc>
        <w:tc>
          <w:tcPr>
            <w:tcW w:w="719" w:type="pct"/>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50F851E"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Pădurea Camni</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a</w:t>
            </w:r>
          </w:p>
        </w:tc>
        <w:tc>
          <w:tcPr>
            <w:tcW w:w="710" w:type="pct"/>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F72A46B"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Rezerva</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ie naturală</w:t>
            </w:r>
          </w:p>
        </w:tc>
        <w:tc>
          <w:tcPr>
            <w:tcW w:w="698" w:type="pct"/>
            <w:tcBorders>
              <w:top w:val="single" w:sz="6" w:space="0" w:color="000000"/>
              <w:left w:val="single" w:sz="6" w:space="0" w:color="000000"/>
              <w:bottom w:val="single" w:sz="6" w:space="0" w:color="000000"/>
              <w:right w:val="single" w:sz="4" w:space="0" w:color="auto"/>
            </w:tcBorders>
            <w:shd w:val="clear" w:color="auto" w:fill="auto"/>
            <w:vAlign w:val="center"/>
            <w:hideMark/>
          </w:tcPr>
          <w:p w14:paraId="7C1A7283"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1,2</w:t>
            </w:r>
          </w:p>
        </w:tc>
        <w:tc>
          <w:tcPr>
            <w:tcW w:w="1494" w:type="pct"/>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DA7FD09" w14:textId="77777777" w:rsidR="005C483D" w:rsidRPr="00EA1BB2" w:rsidRDefault="00295F75"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UAT</w:t>
            </w:r>
            <w:r w:rsidR="005C483D" w:rsidRPr="00EA1BB2">
              <w:rPr>
                <w:rFonts w:ascii="Cambria" w:eastAsia="SimSun" w:hAnsi="Cambria" w:cs="Times New Roman"/>
                <w:sz w:val="24"/>
                <w:szCs w:val="24"/>
              </w:rPr>
              <w:t xml:space="preserve"> Râmnicelu</w:t>
            </w:r>
          </w:p>
        </w:tc>
        <w:tc>
          <w:tcPr>
            <w:tcW w:w="1058" w:type="pct"/>
            <w:tcBorders>
              <w:top w:val="single" w:sz="6" w:space="0" w:color="000000"/>
              <w:left w:val="single" w:sz="6" w:space="0" w:color="000000"/>
              <w:bottom w:val="single" w:sz="6" w:space="0" w:color="000000"/>
              <w:right w:val="single" w:sz="4" w:space="0" w:color="auto"/>
            </w:tcBorders>
            <w:shd w:val="clear" w:color="auto" w:fill="auto"/>
            <w:vAlign w:val="center"/>
            <w:hideMark/>
          </w:tcPr>
          <w:p w14:paraId="50A2F60B" w14:textId="77777777" w:rsidR="005C483D" w:rsidRPr="00EA1BB2" w:rsidRDefault="00295F75"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w:t>
            </w:r>
          </w:p>
        </w:tc>
      </w:tr>
    </w:tbl>
    <w:p w14:paraId="42D02A67" w14:textId="77777777" w:rsidR="00F92635" w:rsidRPr="00EA1BB2" w:rsidRDefault="003C58E1" w:rsidP="007120C7">
      <w:pPr>
        <w:tabs>
          <w:tab w:val="center" w:pos="4680"/>
          <w:tab w:val="right" w:pos="9360"/>
        </w:tabs>
        <w:spacing w:line="360" w:lineRule="auto"/>
        <w:jc w:val="both"/>
        <w:rPr>
          <w:rFonts w:ascii="Cambria" w:eastAsia="Times New Roman" w:hAnsi="Cambria" w:cs="Times New Roman"/>
          <w:szCs w:val="24"/>
        </w:rPr>
      </w:pPr>
      <w:r w:rsidRPr="00EA1BB2">
        <w:rPr>
          <w:rFonts w:ascii="Cambria" w:eastAsia="Times New Roman" w:hAnsi="Cambria" w:cs="Times New Roman"/>
          <w:szCs w:val="24"/>
        </w:rPr>
        <w:t xml:space="preserve">Sursa date: </w:t>
      </w:r>
      <w:r w:rsidR="00B445CD" w:rsidRPr="00EA1BB2">
        <w:rPr>
          <w:rFonts w:ascii="Cambria" w:hAnsi="Cambria"/>
        </w:rPr>
        <w:t>APM Brăila - Raportul anual privind starea mediului pentru județul Brăila - Anul 2016</w:t>
      </w:r>
    </w:p>
    <w:p w14:paraId="46F78124" w14:textId="77777777" w:rsidR="003C58E1" w:rsidRPr="00EA1BB2" w:rsidRDefault="003C58E1" w:rsidP="005C483D">
      <w:pPr>
        <w:spacing w:line="360" w:lineRule="auto"/>
        <w:ind w:firstLine="708"/>
        <w:jc w:val="both"/>
        <w:rPr>
          <w:rFonts w:ascii="Cambria" w:eastAsia="SimSun" w:hAnsi="Cambria" w:cs="Times New Roman"/>
          <w:b/>
          <w:sz w:val="24"/>
          <w:szCs w:val="24"/>
        </w:rPr>
      </w:pPr>
    </w:p>
    <w:p w14:paraId="2022261C" w14:textId="77777777" w:rsidR="005C483D" w:rsidRPr="00EA1BB2" w:rsidRDefault="005C483D" w:rsidP="005C483D">
      <w:pPr>
        <w:spacing w:line="360" w:lineRule="auto"/>
        <w:ind w:firstLine="708"/>
        <w:jc w:val="both"/>
        <w:rPr>
          <w:rFonts w:ascii="Cambria" w:eastAsia="SimSun" w:hAnsi="Cambria" w:cs="Times New Roman"/>
          <w:sz w:val="24"/>
          <w:szCs w:val="24"/>
        </w:rPr>
      </w:pPr>
      <w:r w:rsidRPr="00EA1BB2">
        <w:rPr>
          <w:rFonts w:ascii="Cambria" w:eastAsia="SimSun" w:hAnsi="Cambria" w:cs="Times New Roman"/>
          <w:b/>
          <w:sz w:val="24"/>
          <w:szCs w:val="24"/>
        </w:rPr>
        <w:t>Ariile de protec</w:t>
      </w:r>
      <w:r w:rsidR="00054880" w:rsidRPr="00EA1BB2">
        <w:rPr>
          <w:rFonts w:ascii="Cambria" w:eastAsia="SimSun" w:hAnsi="Cambria" w:cs="Times New Roman"/>
          <w:b/>
          <w:sz w:val="24"/>
          <w:szCs w:val="24"/>
        </w:rPr>
        <w:t>ț</w:t>
      </w:r>
      <w:r w:rsidRPr="00EA1BB2">
        <w:rPr>
          <w:rFonts w:ascii="Cambria" w:eastAsia="SimSun" w:hAnsi="Cambria" w:cs="Times New Roman"/>
          <w:b/>
          <w:sz w:val="24"/>
          <w:szCs w:val="24"/>
        </w:rPr>
        <w:t>ie specială avifaunistică</w:t>
      </w:r>
    </w:p>
    <w:p w14:paraId="591CC674" w14:textId="77777777" w:rsidR="005C483D" w:rsidRPr="00EA1BB2" w:rsidRDefault="005C483D" w:rsidP="005C483D">
      <w:pPr>
        <w:spacing w:line="360" w:lineRule="auto"/>
        <w:ind w:firstLine="708"/>
        <w:jc w:val="both"/>
        <w:rPr>
          <w:rFonts w:ascii="Cambria" w:eastAsia="SimSun" w:hAnsi="Cambria" w:cs="Times New Roman"/>
          <w:sz w:val="24"/>
          <w:szCs w:val="24"/>
        </w:rPr>
      </w:pPr>
      <w:r w:rsidRPr="00EA1BB2">
        <w:rPr>
          <w:rFonts w:ascii="Cambria" w:eastAsia="SimSun" w:hAnsi="Cambria" w:cs="Times New Roman"/>
          <w:sz w:val="24"/>
          <w:szCs w:val="24"/>
        </w:rPr>
        <w:t>Acestea au drept scop conservarea, men</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 xml:space="preserve">inerea </w:t>
      </w:r>
      <w:r w:rsidR="00054880" w:rsidRPr="00EA1BB2">
        <w:rPr>
          <w:rFonts w:ascii="Cambria" w:eastAsia="SimSun" w:hAnsi="Cambria" w:cs="Times New Roman"/>
          <w:sz w:val="24"/>
          <w:szCs w:val="24"/>
        </w:rPr>
        <w:t>ș</w:t>
      </w:r>
      <w:r w:rsidRPr="00EA1BB2">
        <w:rPr>
          <w:rFonts w:ascii="Cambria" w:eastAsia="SimSun" w:hAnsi="Cambria" w:cs="Times New Roman"/>
          <w:sz w:val="24"/>
          <w:szCs w:val="24"/>
        </w:rPr>
        <w:t xml:space="preserve">i, acolo unde este cazul, readucea într-o stare de conservare favorabilă a tuturor speciilor de păsări </w:t>
      </w:r>
      <w:r w:rsidR="00054880" w:rsidRPr="00EA1BB2">
        <w:rPr>
          <w:rFonts w:ascii="Cambria" w:eastAsia="SimSun" w:hAnsi="Cambria" w:cs="Times New Roman"/>
          <w:sz w:val="24"/>
          <w:szCs w:val="24"/>
        </w:rPr>
        <w:t>ș</w:t>
      </w:r>
      <w:r w:rsidRPr="00EA1BB2">
        <w:rPr>
          <w:rFonts w:ascii="Cambria" w:eastAsia="SimSun" w:hAnsi="Cambria" w:cs="Times New Roman"/>
          <w:sz w:val="24"/>
          <w:szCs w:val="24"/>
        </w:rPr>
        <w:t>i a habitatelor specifice. Desemnarea acestora în România s-a realizat prin H.G. nr. 1284/2007 privind declararea ariilor de protec</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ie specială avifaunistică ca parte integrantă a re</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 xml:space="preserve">elei ecologice europene Natura 2000 în România, cu modificările </w:t>
      </w:r>
      <w:r w:rsidR="00054880" w:rsidRPr="00EA1BB2">
        <w:rPr>
          <w:rFonts w:ascii="Cambria" w:eastAsia="SimSun" w:hAnsi="Cambria" w:cs="Times New Roman"/>
          <w:sz w:val="24"/>
          <w:szCs w:val="24"/>
        </w:rPr>
        <w:t>ș</w:t>
      </w:r>
      <w:r w:rsidRPr="00EA1BB2">
        <w:rPr>
          <w:rFonts w:ascii="Cambria" w:eastAsia="SimSun" w:hAnsi="Cambria" w:cs="Times New Roman"/>
          <w:sz w:val="24"/>
          <w:szCs w:val="24"/>
        </w:rPr>
        <w:t xml:space="preserve">i completările ulterioare. </w:t>
      </w:r>
    </w:p>
    <w:p w14:paraId="3FF63884" w14:textId="77777777" w:rsidR="00024B86" w:rsidRPr="00EA1BB2" w:rsidRDefault="005C483D" w:rsidP="0049303C">
      <w:pPr>
        <w:spacing w:line="360" w:lineRule="auto"/>
        <w:ind w:firstLine="708"/>
        <w:jc w:val="both"/>
        <w:rPr>
          <w:rFonts w:ascii="Cambria" w:eastAsia="SimSun" w:hAnsi="Cambria" w:cs="Times New Roman"/>
          <w:sz w:val="24"/>
          <w:szCs w:val="24"/>
        </w:rPr>
      </w:pPr>
      <w:r w:rsidRPr="00EA1BB2">
        <w:rPr>
          <w:rFonts w:ascii="Cambria" w:eastAsia="SimSun" w:hAnsi="Cambria" w:cs="Times New Roman"/>
          <w:sz w:val="24"/>
          <w:szCs w:val="24"/>
        </w:rPr>
        <w:t>Conform acestei hotărâri pe teritoriul jude</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 xml:space="preserve">ului Brăila sunt delimitate </w:t>
      </w:r>
      <w:r w:rsidR="00295F75" w:rsidRPr="00EA1BB2">
        <w:rPr>
          <w:rFonts w:ascii="Cambria" w:eastAsia="SimSun" w:hAnsi="Cambria" w:cs="Times New Roman"/>
          <w:sz w:val="24"/>
          <w:szCs w:val="24"/>
        </w:rPr>
        <w:t>10</w:t>
      </w:r>
      <w:r w:rsidRPr="00EA1BB2">
        <w:rPr>
          <w:rFonts w:ascii="Cambria" w:eastAsia="SimSun" w:hAnsi="Cambria" w:cs="Times New Roman"/>
          <w:sz w:val="24"/>
          <w:szCs w:val="24"/>
        </w:rPr>
        <w:t xml:space="preserve"> arii de protec</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ie specială avifaunistică, totalizând o suprafa</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ă de 59</w:t>
      </w:r>
      <w:r w:rsidR="00086957" w:rsidRPr="00EA1BB2">
        <w:rPr>
          <w:rFonts w:ascii="Cambria" w:eastAsia="SimSun" w:hAnsi="Cambria" w:cs="Times New Roman"/>
          <w:sz w:val="24"/>
          <w:szCs w:val="24"/>
        </w:rPr>
        <w:t>.</w:t>
      </w:r>
      <w:r w:rsidRPr="00EA1BB2">
        <w:rPr>
          <w:rFonts w:ascii="Cambria" w:eastAsia="SimSun" w:hAnsi="Cambria" w:cs="Times New Roman"/>
          <w:sz w:val="24"/>
          <w:szCs w:val="24"/>
        </w:rPr>
        <w:t xml:space="preserve">788,37 ha </w:t>
      </w:r>
      <w:r w:rsidR="00054880" w:rsidRPr="00EA1BB2">
        <w:rPr>
          <w:rFonts w:ascii="Cambria" w:eastAsia="SimSun" w:hAnsi="Cambria" w:cs="Times New Roman"/>
          <w:sz w:val="24"/>
          <w:szCs w:val="24"/>
        </w:rPr>
        <w:t>ș</w:t>
      </w:r>
      <w:r w:rsidRPr="00EA1BB2">
        <w:rPr>
          <w:rFonts w:ascii="Cambria" w:eastAsia="SimSun" w:hAnsi="Cambria" w:cs="Times New Roman"/>
          <w:sz w:val="24"/>
          <w:szCs w:val="24"/>
        </w:rPr>
        <w:t>i reprezentând 12,54% din suprafa</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a jude</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ului, a</w:t>
      </w:r>
      <w:r w:rsidR="00054880" w:rsidRPr="00EA1BB2">
        <w:rPr>
          <w:rFonts w:ascii="Cambria" w:eastAsia="SimSun" w:hAnsi="Cambria" w:cs="Times New Roman"/>
          <w:sz w:val="24"/>
          <w:szCs w:val="24"/>
        </w:rPr>
        <w:t>ș</w:t>
      </w:r>
      <w:r w:rsidRPr="00EA1BB2">
        <w:rPr>
          <w:rFonts w:ascii="Cambria" w:eastAsia="SimSun" w:hAnsi="Cambria" w:cs="Times New Roman"/>
          <w:sz w:val="24"/>
          <w:szCs w:val="24"/>
        </w:rPr>
        <w:t xml:space="preserve">a cum se poate observa în tabelul </w:t>
      </w:r>
      <w:r w:rsidR="00BF29FA" w:rsidRPr="00EA1BB2">
        <w:rPr>
          <w:rFonts w:ascii="Cambria" w:eastAsia="SimSun" w:hAnsi="Cambria" w:cs="Times New Roman"/>
          <w:sz w:val="24"/>
          <w:szCs w:val="24"/>
        </w:rPr>
        <w:t>de mai jos</w:t>
      </w:r>
      <w:r w:rsidR="001B7B87" w:rsidRPr="00EA1BB2">
        <w:rPr>
          <w:rFonts w:ascii="Cambria" w:eastAsia="SimSun" w:hAnsi="Cambria" w:cs="Times New Roman"/>
          <w:sz w:val="24"/>
          <w:szCs w:val="24"/>
        </w:rPr>
        <w:t>.</w:t>
      </w:r>
    </w:p>
    <w:p w14:paraId="63E2FAC4" w14:textId="77777777" w:rsidR="00FD528B" w:rsidRPr="00EA1BB2" w:rsidRDefault="00FD528B" w:rsidP="0049303C">
      <w:pPr>
        <w:spacing w:line="360" w:lineRule="auto"/>
        <w:ind w:firstLine="708"/>
        <w:jc w:val="both"/>
        <w:rPr>
          <w:rFonts w:ascii="Cambria" w:eastAsia="SimSun" w:hAnsi="Cambria" w:cs="Times New Roman"/>
          <w:sz w:val="24"/>
          <w:szCs w:val="24"/>
        </w:rPr>
      </w:pPr>
    </w:p>
    <w:p w14:paraId="15BB10BD" w14:textId="74F6AD7B" w:rsidR="005C483D" w:rsidRPr="00EA1BB2" w:rsidRDefault="005C483D" w:rsidP="00024B86">
      <w:pPr>
        <w:keepNext/>
        <w:spacing w:after="200"/>
        <w:ind w:firstLine="708"/>
        <w:jc w:val="both"/>
        <w:rPr>
          <w:rFonts w:ascii="Cambria" w:hAnsi="Cambria"/>
          <w:b/>
          <w:sz w:val="24"/>
          <w:szCs w:val="24"/>
        </w:rPr>
      </w:pPr>
      <w:bookmarkStart w:id="53" w:name="_Toc526889767"/>
      <w:r w:rsidRPr="00EA1BB2">
        <w:rPr>
          <w:rFonts w:ascii="Cambria" w:hAnsi="Cambria"/>
          <w:b/>
          <w:iCs/>
          <w:sz w:val="24"/>
          <w:szCs w:val="24"/>
        </w:rPr>
        <w:t xml:space="preserve">Tabelul nr. </w:t>
      </w:r>
      <w:r w:rsidR="000A2FE7" w:rsidRPr="00EA1BB2">
        <w:rPr>
          <w:rFonts w:ascii="Cambria" w:hAnsi="Cambria"/>
          <w:b/>
          <w:iCs/>
          <w:sz w:val="24"/>
          <w:szCs w:val="24"/>
        </w:rPr>
        <w:fldChar w:fldCharType="begin"/>
      </w:r>
      <w:r w:rsidR="000A2FE7" w:rsidRPr="00EA1BB2">
        <w:rPr>
          <w:rFonts w:ascii="Cambria" w:hAnsi="Cambria"/>
          <w:b/>
          <w:iCs/>
          <w:sz w:val="24"/>
          <w:szCs w:val="24"/>
        </w:rPr>
        <w:instrText xml:space="preserve"> STYLEREF 1 \s </w:instrText>
      </w:r>
      <w:r w:rsidR="000A2FE7" w:rsidRPr="00EA1BB2">
        <w:rPr>
          <w:rFonts w:ascii="Cambria" w:hAnsi="Cambria"/>
          <w:b/>
          <w:iCs/>
          <w:sz w:val="24"/>
          <w:szCs w:val="24"/>
        </w:rPr>
        <w:fldChar w:fldCharType="separate"/>
      </w:r>
      <w:r w:rsidR="00567555">
        <w:rPr>
          <w:rFonts w:ascii="Cambria" w:hAnsi="Cambria"/>
          <w:b/>
          <w:iCs/>
          <w:noProof/>
          <w:sz w:val="24"/>
          <w:szCs w:val="24"/>
        </w:rPr>
        <w:t>2</w:t>
      </w:r>
      <w:r w:rsidR="000A2FE7" w:rsidRPr="00EA1BB2">
        <w:rPr>
          <w:rFonts w:ascii="Cambria" w:hAnsi="Cambria"/>
          <w:b/>
          <w:iCs/>
          <w:sz w:val="24"/>
          <w:szCs w:val="24"/>
        </w:rPr>
        <w:fldChar w:fldCharType="end"/>
      </w:r>
      <w:r w:rsidR="000A2FE7" w:rsidRPr="00EA1BB2">
        <w:rPr>
          <w:rFonts w:ascii="Cambria" w:hAnsi="Cambria"/>
          <w:b/>
          <w:iCs/>
          <w:sz w:val="24"/>
          <w:szCs w:val="24"/>
        </w:rPr>
        <w:noBreakHyphen/>
      </w:r>
      <w:r w:rsidR="000A2FE7" w:rsidRPr="00EA1BB2">
        <w:rPr>
          <w:rFonts w:ascii="Cambria" w:hAnsi="Cambria"/>
          <w:b/>
          <w:iCs/>
          <w:sz w:val="24"/>
          <w:szCs w:val="24"/>
        </w:rPr>
        <w:fldChar w:fldCharType="begin"/>
      </w:r>
      <w:r w:rsidR="000A2FE7" w:rsidRPr="00EA1BB2">
        <w:rPr>
          <w:rFonts w:ascii="Cambria" w:hAnsi="Cambria"/>
          <w:b/>
          <w:iCs/>
          <w:sz w:val="24"/>
          <w:szCs w:val="24"/>
        </w:rPr>
        <w:instrText xml:space="preserve"> SEQ Tabelul_nr. \* ARABIC \s 1 </w:instrText>
      </w:r>
      <w:r w:rsidR="000A2FE7" w:rsidRPr="00EA1BB2">
        <w:rPr>
          <w:rFonts w:ascii="Cambria" w:hAnsi="Cambria"/>
          <w:b/>
          <w:iCs/>
          <w:sz w:val="24"/>
          <w:szCs w:val="24"/>
        </w:rPr>
        <w:fldChar w:fldCharType="separate"/>
      </w:r>
      <w:r w:rsidR="00567555">
        <w:rPr>
          <w:rFonts w:ascii="Cambria" w:hAnsi="Cambria"/>
          <w:b/>
          <w:iCs/>
          <w:noProof/>
          <w:sz w:val="24"/>
          <w:szCs w:val="24"/>
        </w:rPr>
        <w:t>10</w:t>
      </w:r>
      <w:r w:rsidR="000A2FE7" w:rsidRPr="00EA1BB2">
        <w:rPr>
          <w:rFonts w:ascii="Cambria" w:hAnsi="Cambria"/>
          <w:b/>
          <w:iCs/>
          <w:sz w:val="24"/>
          <w:szCs w:val="24"/>
        </w:rPr>
        <w:fldChar w:fldCharType="end"/>
      </w:r>
      <w:r w:rsidR="00024B86" w:rsidRPr="00EA1BB2">
        <w:rPr>
          <w:rFonts w:ascii="Cambria" w:hAnsi="Cambria"/>
          <w:b/>
          <w:iCs/>
          <w:sz w:val="24"/>
          <w:szCs w:val="24"/>
        </w:rPr>
        <w:t xml:space="preserve"> - </w:t>
      </w:r>
      <w:r w:rsidRPr="00EA1BB2">
        <w:rPr>
          <w:rFonts w:ascii="Cambria" w:eastAsia="SimSun" w:hAnsi="Cambria" w:cs="Times New Roman"/>
          <w:b/>
          <w:sz w:val="24"/>
          <w:szCs w:val="24"/>
          <w:lang w:eastAsia="ro-RO"/>
        </w:rPr>
        <w:t>Arii de protec</w:t>
      </w:r>
      <w:r w:rsidR="00054880" w:rsidRPr="00EA1BB2">
        <w:rPr>
          <w:rFonts w:ascii="Cambria" w:eastAsia="SimSun" w:hAnsi="Cambria" w:cs="Times New Roman"/>
          <w:b/>
          <w:sz w:val="24"/>
          <w:szCs w:val="24"/>
          <w:lang w:eastAsia="ro-RO"/>
        </w:rPr>
        <w:t>ț</w:t>
      </w:r>
      <w:r w:rsidRPr="00EA1BB2">
        <w:rPr>
          <w:rFonts w:ascii="Cambria" w:eastAsia="SimSun" w:hAnsi="Cambria" w:cs="Times New Roman"/>
          <w:b/>
          <w:sz w:val="24"/>
          <w:szCs w:val="24"/>
          <w:lang w:eastAsia="ro-RO"/>
        </w:rPr>
        <w:t>ie specială avifaunistică din jude</w:t>
      </w:r>
      <w:r w:rsidR="00054880" w:rsidRPr="00EA1BB2">
        <w:rPr>
          <w:rFonts w:ascii="Cambria" w:eastAsia="SimSun" w:hAnsi="Cambria" w:cs="Times New Roman"/>
          <w:b/>
          <w:sz w:val="24"/>
          <w:szCs w:val="24"/>
          <w:lang w:eastAsia="ro-RO"/>
        </w:rPr>
        <w:t>ț</w:t>
      </w:r>
      <w:r w:rsidRPr="00EA1BB2">
        <w:rPr>
          <w:rFonts w:ascii="Cambria" w:eastAsia="SimSun" w:hAnsi="Cambria" w:cs="Times New Roman"/>
          <w:b/>
          <w:sz w:val="24"/>
          <w:szCs w:val="24"/>
          <w:lang w:eastAsia="ro-RO"/>
        </w:rPr>
        <w:t>ul Brăila</w:t>
      </w:r>
      <w:bookmarkEnd w:id="53"/>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3"/>
        <w:gridCol w:w="1911"/>
        <w:gridCol w:w="1470"/>
        <w:gridCol w:w="1398"/>
        <w:gridCol w:w="1297"/>
        <w:gridCol w:w="2672"/>
      </w:tblGrid>
      <w:tr w:rsidR="005C483D" w:rsidRPr="00EA1BB2" w14:paraId="399BCC8C" w14:textId="77777777" w:rsidTr="00E4631C">
        <w:trPr>
          <w:tblHeader/>
        </w:trPr>
        <w:tc>
          <w:tcPr>
            <w:tcW w:w="603"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447DECD7" w14:textId="77777777" w:rsidR="005C483D" w:rsidRPr="00EA1BB2" w:rsidRDefault="005C483D" w:rsidP="003C58E1">
            <w:pPr>
              <w:spacing w:line="360" w:lineRule="auto"/>
              <w:jc w:val="center"/>
              <w:rPr>
                <w:rFonts w:ascii="Cambria" w:eastAsia="SimSun" w:hAnsi="Cambria" w:cs="Times New Roman"/>
                <w:b/>
                <w:sz w:val="24"/>
                <w:szCs w:val="24"/>
              </w:rPr>
            </w:pPr>
            <w:r w:rsidRPr="00EA1BB2">
              <w:rPr>
                <w:rFonts w:ascii="Cambria" w:eastAsia="SimSun" w:hAnsi="Cambria" w:cs="Times New Roman"/>
                <w:b/>
                <w:sz w:val="24"/>
                <w:szCs w:val="24"/>
              </w:rPr>
              <w:t>Nr. crt.</w:t>
            </w:r>
          </w:p>
        </w:tc>
        <w:tc>
          <w:tcPr>
            <w:tcW w:w="1911"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DF3C734" w14:textId="77777777" w:rsidR="005C483D" w:rsidRPr="00EA1BB2" w:rsidRDefault="005C483D" w:rsidP="003C58E1">
            <w:pPr>
              <w:spacing w:line="360" w:lineRule="auto"/>
              <w:jc w:val="center"/>
              <w:rPr>
                <w:rFonts w:ascii="Cambria" w:eastAsia="SimSun" w:hAnsi="Cambria" w:cs="Times New Roman"/>
                <w:b/>
                <w:sz w:val="24"/>
                <w:szCs w:val="24"/>
              </w:rPr>
            </w:pPr>
            <w:r w:rsidRPr="00EA1BB2">
              <w:rPr>
                <w:rFonts w:ascii="Cambria" w:eastAsia="SimSun" w:hAnsi="Cambria" w:cs="Times New Roman"/>
                <w:b/>
                <w:sz w:val="24"/>
                <w:szCs w:val="24"/>
              </w:rPr>
              <w:t>Denumire</w:t>
            </w:r>
          </w:p>
        </w:tc>
        <w:tc>
          <w:tcPr>
            <w:tcW w:w="147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7C2DDA39" w14:textId="77777777" w:rsidR="005C483D" w:rsidRPr="00EA1BB2" w:rsidRDefault="005C483D" w:rsidP="003C58E1">
            <w:pPr>
              <w:spacing w:line="360" w:lineRule="auto"/>
              <w:jc w:val="center"/>
              <w:rPr>
                <w:rFonts w:ascii="Cambria" w:eastAsia="SimSun" w:hAnsi="Cambria" w:cs="Times New Roman"/>
                <w:b/>
                <w:sz w:val="24"/>
                <w:szCs w:val="24"/>
              </w:rPr>
            </w:pPr>
            <w:r w:rsidRPr="00EA1BB2">
              <w:rPr>
                <w:rFonts w:ascii="Cambria" w:eastAsia="SimSun" w:hAnsi="Cambria" w:cs="Times New Roman"/>
                <w:b/>
                <w:sz w:val="24"/>
                <w:szCs w:val="24"/>
              </w:rPr>
              <w:t>Cod</w:t>
            </w:r>
          </w:p>
        </w:tc>
        <w:tc>
          <w:tcPr>
            <w:tcW w:w="1398"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619AFBA" w14:textId="77777777" w:rsidR="005C483D" w:rsidRPr="00EA1BB2" w:rsidRDefault="005C483D" w:rsidP="00DD5FDE">
            <w:pPr>
              <w:spacing w:line="276" w:lineRule="auto"/>
              <w:jc w:val="center"/>
              <w:rPr>
                <w:rFonts w:ascii="Cambria" w:eastAsia="SimSun" w:hAnsi="Cambria" w:cs="Times New Roman"/>
                <w:b/>
                <w:sz w:val="24"/>
                <w:szCs w:val="24"/>
              </w:rPr>
            </w:pPr>
            <w:r w:rsidRPr="00EA1BB2">
              <w:rPr>
                <w:rFonts w:ascii="Cambria" w:eastAsia="SimSun" w:hAnsi="Cambria" w:cs="Times New Roman"/>
                <w:b/>
                <w:sz w:val="24"/>
                <w:szCs w:val="24"/>
              </w:rPr>
              <w:t>Suprafa</w:t>
            </w:r>
            <w:r w:rsidR="00054880" w:rsidRPr="00EA1BB2">
              <w:rPr>
                <w:rFonts w:ascii="Cambria" w:eastAsia="SimSun" w:hAnsi="Cambria" w:cs="Times New Roman"/>
                <w:b/>
                <w:sz w:val="24"/>
                <w:szCs w:val="24"/>
              </w:rPr>
              <w:t>ț</w:t>
            </w:r>
            <w:r w:rsidRPr="00EA1BB2">
              <w:rPr>
                <w:rFonts w:ascii="Cambria" w:eastAsia="SimSun" w:hAnsi="Cambria" w:cs="Times New Roman"/>
                <w:b/>
                <w:sz w:val="24"/>
                <w:szCs w:val="24"/>
              </w:rPr>
              <w:t>ă totală a ariei</w:t>
            </w:r>
          </w:p>
          <w:p w14:paraId="22771F28" w14:textId="77777777" w:rsidR="005C483D" w:rsidRPr="00EA1BB2" w:rsidRDefault="005C483D" w:rsidP="00DD5FDE">
            <w:pPr>
              <w:spacing w:line="276" w:lineRule="auto"/>
              <w:jc w:val="center"/>
              <w:rPr>
                <w:rFonts w:ascii="Cambria" w:eastAsia="SimSun" w:hAnsi="Cambria" w:cs="Times New Roman"/>
                <w:b/>
                <w:sz w:val="24"/>
                <w:szCs w:val="24"/>
              </w:rPr>
            </w:pPr>
            <w:r w:rsidRPr="00EA1BB2">
              <w:rPr>
                <w:rFonts w:ascii="Cambria" w:eastAsia="SimSun" w:hAnsi="Cambria" w:cs="Times New Roman"/>
                <w:b/>
                <w:sz w:val="24"/>
                <w:szCs w:val="24"/>
              </w:rPr>
              <w:t>(ha)</w:t>
            </w:r>
          </w:p>
        </w:tc>
        <w:tc>
          <w:tcPr>
            <w:tcW w:w="12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4EF2F7EE" w14:textId="77777777" w:rsidR="005C483D" w:rsidRPr="00EA1BB2" w:rsidRDefault="005C483D" w:rsidP="00DD5FDE">
            <w:pPr>
              <w:spacing w:line="276" w:lineRule="auto"/>
              <w:jc w:val="center"/>
              <w:rPr>
                <w:rFonts w:ascii="Cambria" w:eastAsia="SimSun" w:hAnsi="Cambria" w:cs="Times New Roman"/>
                <w:b/>
                <w:sz w:val="24"/>
                <w:szCs w:val="24"/>
              </w:rPr>
            </w:pPr>
            <w:r w:rsidRPr="00EA1BB2">
              <w:rPr>
                <w:rFonts w:ascii="Cambria" w:eastAsia="SimSun" w:hAnsi="Cambria" w:cs="Times New Roman"/>
                <w:b/>
                <w:sz w:val="24"/>
                <w:szCs w:val="24"/>
              </w:rPr>
              <w:t>Suprafa</w:t>
            </w:r>
            <w:r w:rsidR="00054880" w:rsidRPr="00EA1BB2">
              <w:rPr>
                <w:rFonts w:ascii="Cambria" w:eastAsia="SimSun" w:hAnsi="Cambria" w:cs="Times New Roman"/>
                <w:b/>
                <w:sz w:val="24"/>
                <w:szCs w:val="24"/>
              </w:rPr>
              <w:t>ț</w:t>
            </w:r>
            <w:r w:rsidRPr="00EA1BB2">
              <w:rPr>
                <w:rFonts w:ascii="Cambria" w:eastAsia="SimSun" w:hAnsi="Cambria" w:cs="Times New Roman"/>
                <w:b/>
                <w:sz w:val="24"/>
                <w:szCs w:val="24"/>
              </w:rPr>
              <w:t xml:space="preserve">a </w:t>
            </w:r>
          </w:p>
          <w:p w14:paraId="5A1E3A5A" w14:textId="77777777" w:rsidR="005C483D" w:rsidRPr="00EA1BB2" w:rsidRDefault="005C483D" w:rsidP="00DD5FDE">
            <w:pPr>
              <w:spacing w:line="276" w:lineRule="auto"/>
              <w:jc w:val="center"/>
              <w:rPr>
                <w:rFonts w:ascii="Cambria" w:eastAsia="SimSun" w:hAnsi="Cambria" w:cs="Times New Roman"/>
                <w:b/>
                <w:sz w:val="24"/>
                <w:szCs w:val="24"/>
              </w:rPr>
            </w:pPr>
            <w:r w:rsidRPr="00EA1BB2">
              <w:rPr>
                <w:rFonts w:ascii="Cambria" w:eastAsia="SimSun" w:hAnsi="Cambria" w:cs="Times New Roman"/>
                <w:b/>
                <w:sz w:val="24"/>
                <w:szCs w:val="24"/>
              </w:rPr>
              <w:t>la nivelul jude</w:t>
            </w:r>
            <w:r w:rsidR="00054880" w:rsidRPr="00EA1BB2">
              <w:rPr>
                <w:rFonts w:ascii="Cambria" w:eastAsia="SimSun" w:hAnsi="Cambria" w:cs="Times New Roman"/>
                <w:b/>
                <w:sz w:val="24"/>
                <w:szCs w:val="24"/>
              </w:rPr>
              <w:t>ț</w:t>
            </w:r>
            <w:r w:rsidRPr="00EA1BB2">
              <w:rPr>
                <w:rFonts w:ascii="Cambria" w:eastAsia="SimSun" w:hAnsi="Cambria" w:cs="Times New Roman"/>
                <w:b/>
                <w:sz w:val="24"/>
                <w:szCs w:val="24"/>
              </w:rPr>
              <w:t>ului</w:t>
            </w:r>
            <w:r w:rsidR="00944D11" w:rsidRPr="00EA1BB2">
              <w:rPr>
                <w:rFonts w:ascii="Cambria" w:eastAsia="SimSun" w:hAnsi="Cambria" w:cs="Times New Roman"/>
                <w:b/>
                <w:sz w:val="24"/>
                <w:szCs w:val="24"/>
              </w:rPr>
              <w:t xml:space="preserve"> (ha)</w:t>
            </w:r>
          </w:p>
        </w:tc>
        <w:tc>
          <w:tcPr>
            <w:tcW w:w="2672"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54B1872E" w14:textId="77777777" w:rsidR="005C483D" w:rsidRPr="00EA1BB2" w:rsidRDefault="00944D11" w:rsidP="003C58E1">
            <w:pPr>
              <w:spacing w:line="360" w:lineRule="auto"/>
              <w:jc w:val="center"/>
              <w:rPr>
                <w:rFonts w:ascii="Cambria" w:eastAsia="SimSun" w:hAnsi="Cambria" w:cs="Times New Roman"/>
                <w:b/>
                <w:sz w:val="24"/>
                <w:szCs w:val="24"/>
              </w:rPr>
            </w:pPr>
            <w:r w:rsidRPr="00EA1BB2">
              <w:rPr>
                <w:rFonts w:ascii="Cambria" w:eastAsia="SimSun" w:hAnsi="Cambria" w:cs="Times New Roman"/>
                <w:b/>
                <w:sz w:val="24"/>
                <w:szCs w:val="24"/>
              </w:rPr>
              <w:t>UAT</w:t>
            </w:r>
            <w:r w:rsidR="005C483D" w:rsidRPr="00EA1BB2">
              <w:rPr>
                <w:rFonts w:ascii="Cambria" w:eastAsia="SimSun" w:hAnsi="Cambria" w:cs="Times New Roman"/>
                <w:b/>
                <w:sz w:val="24"/>
                <w:szCs w:val="24"/>
              </w:rPr>
              <w:t xml:space="preserve"> din jude</w:t>
            </w:r>
            <w:r w:rsidR="00054880" w:rsidRPr="00EA1BB2">
              <w:rPr>
                <w:rFonts w:ascii="Cambria" w:eastAsia="SimSun" w:hAnsi="Cambria" w:cs="Times New Roman"/>
                <w:b/>
                <w:sz w:val="24"/>
                <w:szCs w:val="24"/>
              </w:rPr>
              <w:t>ț</w:t>
            </w:r>
            <w:r w:rsidR="005C483D" w:rsidRPr="00EA1BB2">
              <w:rPr>
                <w:rFonts w:ascii="Cambria" w:eastAsia="SimSun" w:hAnsi="Cambria" w:cs="Times New Roman"/>
                <w:b/>
                <w:sz w:val="24"/>
                <w:szCs w:val="24"/>
              </w:rPr>
              <w:t>ul Brăila în care este localizată aria</w:t>
            </w:r>
          </w:p>
        </w:tc>
      </w:tr>
      <w:tr w:rsidR="005C483D" w:rsidRPr="00EA1BB2" w14:paraId="2B23A7CA" w14:textId="77777777" w:rsidTr="007406AE">
        <w:tc>
          <w:tcPr>
            <w:tcW w:w="60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02F2B9" w14:textId="77777777" w:rsidR="005C483D" w:rsidRPr="00EA1BB2" w:rsidRDefault="005C483D" w:rsidP="00D56B32">
            <w:pPr>
              <w:spacing w:line="360" w:lineRule="auto"/>
              <w:jc w:val="center"/>
              <w:rPr>
                <w:rFonts w:ascii="Cambria" w:eastAsia="SimSun" w:hAnsi="Cambria" w:cs="Times New Roman"/>
                <w:sz w:val="24"/>
                <w:szCs w:val="24"/>
              </w:rPr>
            </w:pPr>
            <w:r w:rsidRPr="00EA1BB2">
              <w:rPr>
                <w:rFonts w:ascii="Cambria" w:eastAsia="SimSun" w:hAnsi="Cambria" w:cs="Times New Roman"/>
                <w:sz w:val="24"/>
                <w:szCs w:val="24"/>
              </w:rPr>
              <w:t>1.</w:t>
            </w:r>
          </w:p>
        </w:tc>
        <w:tc>
          <w:tcPr>
            <w:tcW w:w="19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267134"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lang w:eastAsia="ro-RO"/>
              </w:rPr>
              <w:t>Balta Albă-Amara-Jirlău</w:t>
            </w:r>
          </w:p>
        </w:tc>
        <w:tc>
          <w:tcPr>
            <w:tcW w:w="147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D1DB76"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lang w:eastAsia="ro-RO"/>
              </w:rPr>
              <w:t>ROSPA0004</w:t>
            </w:r>
          </w:p>
        </w:tc>
        <w:tc>
          <w:tcPr>
            <w:tcW w:w="13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DD3C93"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2023</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698CE0"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1213,8</w:t>
            </w:r>
          </w:p>
        </w:tc>
        <w:tc>
          <w:tcPr>
            <w:tcW w:w="26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4E2D11"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 xml:space="preserve">Galbenu, </w:t>
            </w:r>
            <w:r w:rsidR="007120C7" w:rsidRPr="00EA1BB2">
              <w:rPr>
                <w:rFonts w:ascii="Cambria" w:eastAsia="SimSun" w:hAnsi="Cambria" w:cs="Times New Roman"/>
                <w:sz w:val="24"/>
                <w:szCs w:val="24"/>
              </w:rPr>
              <w:t>Grădi</w:t>
            </w:r>
            <w:r w:rsidR="00054880" w:rsidRPr="00EA1BB2">
              <w:rPr>
                <w:rFonts w:ascii="Cambria" w:eastAsia="SimSun" w:hAnsi="Cambria" w:cs="Times New Roman"/>
                <w:sz w:val="24"/>
                <w:szCs w:val="24"/>
              </w:rPr>
              <w:t>ș</w:t>
            </w:r>
            <w:r w:rsidR="007120C7" w:rsidRPr="00EA1BB2">
              <w:rPr>
                <w:rFonts w:ascii="Cambria" w:eastAsia="SimSun" w:hAnsi="Cambria" w:cs="Times New Roman"/>
                <w:sz w:val="24"/>
                <w:szCs w:val="24"/>
              </w:rPr>
              <w:t>tea</w:t>
            </w:r>
            <w:r w:rsidRPr="00EA1BB2">
              <w:rPr>
                <w:rFonts w:ascii="Cambria" w:eastAsia="SimSun" w:hAnsi="Cambria" w:cs="Times New Roman"/>
                <w:sz w:val="24"/>
                <w:szCs w:val="24"/>
              </w:rPr>
              <w:t>, Jirlău, Vi</w:t>
            </w:r>
            <w:r w:rsidR="00054880" w:rsidRPr="00EA1BB2">
              <w:rPr>
                <w:rFonts w:ascii="Cambria" w:eastAsia="SimSun" w:hAnsi="Cambria" w:cs="Times New Roman"/>
                <w:sz w:val="24"/>
                <w:szCs w:val="24"/>
              </w:rPr>
              <w:t>ș</w:t>
            </w:r>
            <w:r w:rsidRPr="00EA1BB2">
              <w:rPr>
                <w:rFonts w:ascii="Cambria" w:eastAsia="SimSun" w:hAnsi="Cambria" w:cs="Times New Roman"/>
                <w:sz w:val="24"/>
                <w:szCs w:val="24"/>
              </w:rPr>
              <w:t>ani</w:t>
            </w:r>
          </w:p>
        </w:tc>
      </w:tr>
      <w:tr w:rsidR="005C483D" w:rsidRPr="00EA1BB2" w14:paraId="2CD5AE93" w14:textId="77777777" w:rsidTr="007406AE">
        <w:tc>
          <w:tcPr>
            <w:tcW w:w="60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E8B638" w14:textId="77777777" w:rsidR="005C483D" w:rsidRPr="00EA1BB2" w:rsidRDefault="005C483D" w:rsidP="00D56B32">
            <w:pPr>
              <w:spacing w:line="360" w:lineRule="auto"/>
              <w:jc w:val="center"/>
              <w:rPr>
                <w:rFonts w:ascii="Cambria" w:eastAsia="SimSun" w:hAnsi="Cambria" w:cs="Times New Roman"/>
                <w:sz w:val="24"/>
                <w:szCs w:val="24"/>
              </w:rPr>
            </w:pPr>
            <w:r w:rsidRPr="00EA1BB2">
              <w:rPr>
                <w:rFonts w:ascii="Cambria" w:eastAsia="SimSun" w:hAnsi="Cambria" w:cs="Times New Roman"/>
                <w:sz w:val="24"/>
                <w:szCs w:val="24"/>
              </w:rPr>
              <w:t>2.</w:t>
            </w:r>
          </w:p>
        </w:tc>
        <w:tc>
          <w:tcPr>
            <w:tcW w:w="19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A340E9" w14:textId="77777777" w:rsidR="005C483D" w:rsidRPr="00EA1BB2" w:rsidRDefault="005C483D" w:rsidP="003C58E1">
            <w:pPr>
              <w:spacing w:line="276" w:lineRule="auto"/>
              <w:jc w:val="center"/>
              <w:rPr>
                <w:rFonts w:ascii="Cambria" w:eastAsia="SimSun" w:hAnsi="Cambria" w:cs="Times New Roman"/>
                <w:sz w:val="24"/>
                <w:szCs w:val="24"/>
                <w:lang w:eastAsia="ro-RO"/>
              </w:rPr>
            </w:pPr>
            <w:r w:rsidRPr="00EA1BB2">
              <w:rPr>
                <w:rFonts w:ascii="Cambria" w:eastAsia="SimSun" w:hAnsi="Cambria" w:cs="Times New Roman"/>
                <w:sz w:val="24"/>
                <w:szCs w:val="24"/>
                <w:lang w:eastAsia="ro-RO"/>
              </w:rPr>
              <w:t>Balta Mică a Brăilei</w:t>
            </w:r>
          </w:p>
        </w:tc>
        <w:tc>
          <w:tcPr>
            <w:tcW w:w="147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FDF7D2" w14:textId="77777777" w:rsidR="005C483D" w:rsidRPr="00EA1BB2" w:rsidRDefault="005C483D" w:rsidP="003C58E1">
            <w:pPr>
              <w:spacing w:line="276" w:lineRule="auto"/>
              <w:jc w:val="center"/>
              <w:rPr>
                <w:rFonts w:ascii="Cambria" w:eastAsia="SimSun" w:hAnsi="Cambria" w:cs="Times New Roman"/>
                <w:sz w:val="24"/>
                <w:szCs w:val="24"/>
                <w:lang w:eastAsia="ro-RO"/>
              </w:rPr>
            </w:pPr>
            <w:r w:rsidRPr="00EA1BB2">
              <w:rPr>
                <w:rFonts w:ascii="Cambria" w:eastAsia="SimSun" w:hAnsi="Cambria" w:cs="Times New Roman"/>
                <w:sz w:val="24"/>
                <w:szCs w:val="24"/>
                <w:lang w:eastAsia="ro-RO"/>
              </w:rPr>
              <w:t>ROSPA0005</w:t>
            </w:r>
          </w:p>
        </w:tc>
        <w:tc>
          <w:tcPr>
            <w:tcW w:w="1398" w:type="dxa"/>
            <w:tcBorders>
              <w:top w:val="single" w:sz="4" w:space="0" w:color="auto"/>
              <w:left w:val="single" w:sz="4" w:space="0" w:color="auto"/>
              <w:bottom w:val="single" w:sz="4" w:space="0" w:color="auto"/>
              <w:right w:val="single" w:sz="4" w:space="0" w:color="auto"/>
            </w:tcBorders>
            <w:shd w:val="clear" w:color="auto" w:fill="auto"/>
            <w:vAlign w:val="center"/>
          </w:tcPr>
          <w:p w14:paraId="76191092"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25856</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9DB6B6"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24821,76</w:t>
            </w:r>
          </w:p>
        </w:tc>
        <w:tc>
          <w:tcPr>
            <w:tcW w:w="26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773FC1"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Berte</w:t>
            </w:r>
            <w:r w:rsidR="00054880" w:rsidRPr="00EA1BB2">
              <w:rPr>
                <w:rFonts w:ascii="Cambria" w:eastAsia="SimSun" w:hAnsi="Cambria" w:cs="Times New Roman"/>
                <w:sz w:val="24"/>
                <w:szCs w:val="24"/>
              </w:rPr>
              <w:t>ș</w:t>
            </w:r>
            <w:r w:rsidRPr="00EA1BB2">
              <w:rPr>
                <w:rFonts w:ascii="Cambria" w:eastAsia="SimSun" w:hAnsi="Cambria" w:cs="Times New Roman"/>
                <w:sz w:val="24"/>
                <w:szCs w:val="24"/>
              </w:rPr>
              <w:t>tii de Jos, Brăila, Chiscani, Gropeni,</w:t>
            </w:r>
            <w:r w:rsidR="00295F75" w:rsidRPr="00EA1BB2">
              <w:rPr>
                <w:rFonts w:ascii="Cambria" w:eastAsia="SimSun" w:hAnsi="Cambria" w:cs="Times New Roman"/>
                <w:sz w:val="24"/>
                <w:szCs w:val="24"/>
              </w:rPr>
              <w:t xml:space="preserve"> Tichilești,</w:t>
            </w:r>
            <w:r w:rsidRPr="00EA1BB2">
              <w:rPr>
                <w:rFonts w:ascii="Cambria" w:eastAsia="SimSun" w:hAnsi="Cambria" w:cs="Times New Roman"/>
                <w:sz w:val="24"/>
                <w:szCs w:val="24"/>
              </w:rPr>
              <w:t xml:space="preserve"> Măra</w:t>
            </w:r>
            <w:r w:rsidR="00054880" w:rsidRPr="00EA1BB2">
              <w:rPr>
                <w:rFonts w:ascii="Cambria" w:eastAsia="SimSun" w:hAnsi="Cambria" w:cs="Times New Roman"/>
                <w:sz w:val="24"/>
                <w:szCs w:val="24"/>
              </w:rPr>
              <w:t>ș</w:t>
            </w:r>
            <w:r w:rsidRPr="00EA1BB2">
              <w:rPr>
                <w:rFonts w:ascii="Cambria" w:eastAsia="SimSun" w:hAnsi="Cambria" w:cs="Times New Roman"/>
                <w:sz w:val="24"/>
                <w:szCs w:val="24"/>
              </w:rPr>
              <w:t>u, Stăncu</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a</w:t>
            </w:r>
          </w:p>
        </w:tc>
      </w:tr>
      <w:tr w:rsidR="005C483D" w:rsidRPr="00EA1BB2" w14:paraId="0231FEA9" w14:textId="77777777" w:rsidTr="007406AE">
        <w:tc>
          <w:tcPr>
            <w:tcW w:w="60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97009E" w14:textId="77777777" w:rsidR="005C483D" w:rsidRPr="00EA1BB2" w:rsidRDefault="005C483D" w:rsidP="00D56B32">
            <w:pPr>
              <w:spacing w:line="360" w:lineRule="auto"/>
              <w:jc w:val="center"/>
              <w:rPr>
                <w:rFonts w:ascii="Cambria" w:eastAsia="SimSun" w:hAnsi="Cambria" w:cs="Times New Roman"/>
                <w:sz w:val="24"/>
                <w:szCs w:val="24"/>
              </w:rPr>
            </w:pPr>
            <w:r w:rsidRPr="00EA1BB2">
              <w:rPr>
                <w:rFonts w:ascii="Cambria" w:eastAsia="SimSun" w:hAnsi="Cambria" w:cs="Times New Roman"/>
                <w:sz w:val="24"/>
                <w:szCs w:val="24"/>
              </w:rPr>
              <w:t>3.</w:t>
            </w:r>
          </w:p>
        </w:tc>
        <w:tc>
          <w:tcPr>
            <w:tcW w:w="19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FF5E40" w14:textId="77777777" w:rsidR="005C483D" w:rsidRPr="00EA1BB2" w:rsidRDefault="005C483D" w:rsidP="003C58E1">
            <w:pPr>
              <w:spacing w:line="276" w:lineRule="auto"/>
              <w:jc w:val="center"/>
              <w:rPr>
                <w:rFonts w:ascii="Cambria" w:eastAsia="SimSun" w:hAnsi="Cambria" w:cs="Times New Roman"/>
                <w:sz w:val="24"/>
                <w:szCs w:val="24"/>
                <w:lang w:eastAsia="ro-RO"/>
              </w:rPr>
            </w:pPr>
            <w:r w:rsidRPr="00EA1BB2">
              <w:rPr>
                <w:rFonts w:ascii="Cambria" w:eastAsia="SimSun" w:hAnsi="Cambria" w:cs="Times New Roman"/>
                <w:sz w:val="24"/>
                <w:szCs w:val="24"/>
                <w:lang w:eastAsia="ro-RO"/>
              </w:rPr>
              <w:t>Balta Tătaru</w:t>
            </w:r>
          </w:p>
        </w:tc>
        <w:tc>
          <w:tcPr>
            <w:tcW w:w="147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CFA793" w14:textId="77777777" w:rsidR="005C483D" w:rsidRPr="00EA1BB2" w:rsidRDefault="005C483D" w:rsidP="003C58E1">
            <w:pPr>
              <w:spacing w:line="276" w:lineRule="auto"/>
              <w:jc w:val="center"/>
              <w:rPr>
                <w:rFonts w:ascii="Cambria" w:eastAsia="SimSun" w:hAnsi="Cambria" w:cs="Times New Roman"/>
                <w:sz w:val="24"/>
                <w:szCs w:val="24"/>
                <w:lang w:eastAsia="ro-RO"/>
              </w:rPr>
            </w:pPr>
            <w:r w:rsidRPr="00EA1BB2">
              <w:rPr>
                <w:rFonts w:ascii="Cambria" w:eastAsia="SimSun" w:hAnsi="Cambria" w:cs="Times New Roman"/>
                <w:sz w:val="24"/>
                <w:szCs w:val="24"/>
                <w:lang w:eastAsia="ro-RO"/>
              </w:rPr>
              <w:t>ROSPA0006</w:t>
            </w:r>
          </w:p>
        </w:tc>
        <w:tc>
          <w:tcPr>
            <w:tcW w:w="13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5C8294"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9981</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0A28E1"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8583,66</w:t>
            </w:r>
          </w:p>
        </w:tc>
        <w:tc>
          <w:tcPr>
            <w:tcW w:w="26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CF13A8"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Bărăganul, Ciocile, Cire</w:t>
            </w:r>
            <w:r w:rsidR="00054880" w:rsidRPr="00EA1BB2">
              <w:rPr>
                <w:rFonts w:ascii="Cambria" w:eastAsia="SimSun" w:hAnsi="Cambria" w:cs="Times New Roman"/>
                <w:sz w:val="24"/>
                <w:szCs w:val="24"/>
              </w:rPr>
              <w:t>ș</w:t>
            </w:r>
            <w:r w:rsidRPr="00EA1BB2">
              <w:rPr>
                <w:rFonts w:ascii="Cambria" w:eastAsia="SimSun" w:hAnsi="Cambria" w:cs="Times New Roman"/>
                <w:sz w:val="24"/>
                <w:szCs w:val="24"/>
              </w:rPr>
              <w:t>u, Dude</w:t>
            </w:r>
            <w:r w:rsidR="00054880" w:rsidRPr="00EA1BB2">
              <w:rPr>
                <w:rFonts w:ascii="Cambria" w:eastAsia="SimSun" w:hAnsi="Cambria" w:cs="Times New Roman"/>
                <w:sz w:val="24"/>
                <w:szCs w:val="24"/>
              </w:rPr>
              <w:t>ș</w:t>
            </w:r>
            <w:r w:rsidRPr="00EA1BB2">
              <w:rPr>
                <w:rFonts w:ascii="Cambria" w:eastAsia="SimSun" w:hAnsi="Cambria" w:cs="Times New Roman"/>
                <w:sz w:val="24"/>
                <w:szCs w:val="24"/>
              </w:rPr>
              <w:t>ti, Ro</w:t>
            </w:r>
            <w:r w:rsidR="00054880" w:rsidRPr="00EA1BB2">
              <w:rPr>
                <w:rFonts w:ascii="Cambria" w:eastAsia="SimSun" w:hAnsi="Cambria" w:cs="Times New Roman"/>
                <w:sz w:val="24"/>
                <w:szCs w:val="24"/>
              </w:rPr>
              <w:t>ș</w:t>
            </w:r>
            <w:r w:rsidRPr="00EA1BB2">
              <w:rPr>
                <w:rFonts w:ascii="Cambria" w:eastAsia="SimSun" w:hAnsi="Cambria" w:cs="Times New Roman"/>
                <w:sz w:val="24"/>
                <w:szCs w:val="24"/>
              </w:rPr>
              <w:t>iori, Ulmu, Însură</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ei</w:t>
            </w:r>
          </w:p>
        </w:tc>
      </w:tr>
      <w:tr w:rsidR="005C483D" w:rsidRPr="00EA1BB2" w14:paraId="329ED6FC" w14:textId="77777777" w:rsidTr="007406AE">
        <w:tc>
          <w:tcPr>
            <w:tcW w:w="60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0338CA" w14:textId="77777777" w:rsidR="005C483D" w:rsidRPr="00EA1BB2" w:rsidRDefault="005C483D" w:rsidP="00D56B32">
            <w:pPr>
              <w:spacing w:line="360" w:lineRule="auto"/>
              <w:jc w:val="center"/>
              <w:rPr>
                <w:rFonts w:ascii="Cambria" w:eastAsia="SimSun" w:hAnsi="Cambria" w:cs="Times New Roman"/>
                <w:sz w:val="24"/>
                <w:szCs w:val="24"/>
              </w:rPr>
            </w:pPr>
            <w:r w:rsidRPr="00EA1BB2">
              <w:rPr>
                <w:rFonts w:ascii="Cambria" w:eastAsia="SimSun" w:hAnsi="Cambria" w:cs="Times New Roman"/>
                <w:sz w:val="24"/>
                <w:szCs w:val="24"/>
              </w:rPr>
              <w:lastRenderedPageBreak/>
              <w:t>4.</w:t>
            </w:r>
          </w:p>
        </w:tc>
        <w:tc>
          <w:tcPr>
            <w:tcW w:w="19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A67B58" w14:textId="77777777" w:rsidR="005C483D" w:rsidRPr="00EA1BB2" w:rsidRDefault="005C483D" w:rsidP="003C58E1">
            <w:pPr>
              <w:spacing w:line="276" w:lineRule="auto"/>
              <w:jc w:val="center"/>
              <w:rPr>
                <w:rFonts w:ascii="Cambria" w:eastAsia="SimSun" w:hAnsi="Cambria" w:cs="Times New Roman"/>
                <w:sz w:val="24"/>
                <w:szCs w:val="24"/>
                <w:lang w:eastAsia="ro-RO"/>
              </w:rPr>
            </w:pPr>
            <w:r w:rsidRPr="00EA1BB2">
              <w:rPr>
                <w:rFonts w:ascii="Cambria" w:eastAsia="SimSun" w:hAnsi="Cambria" w:cs="Times New Roman"/>
                <w:sz w:val="24"/>
                <w:szCs w:val="24"/>
                <w:lang w:eastAsia="ro-RO"/>
              </w:rPr>
              <w:t>Dunărea Veche-Bra</w:t>
            </w:r>
            <w:r w:rsidR="00054880" w:rsidRPr="00EA1BB2">
              <w:rPr>
                <w:rFonts w:ascii="Cambria" w:eastAsia="SimSun" w:hAnsi="Cambria" w:cs="Times New Roman"/>
                <w:sz w:val="24"/>
                <w:szCs w:val="24"/>
                <w:lang w:eastAsia="ro-RO"/>
              </w:rPr>
              <w:t>ț</w:t>
            </w:r>
            <w:r w:rsidRPr="00EA1BB2">
              <w:rPr>
                <w:rFonts w:ascii="Cambria" w:eastAsia="SimSun" w:hAnsi="Cambria" w:cs="Times New Roman"/>
                <w:sz w:val="24"/>
                <w:szCs w:val="24"/>
                <w:lang w:eastAsia="ro-RO"/>
              </w:rPr>
              <w:t>ul Măcin</w:t>
            </w:r>
          </w:p>
        </w:tc>
        <w:tc>
          <w:tcPr>
            <w:tcW w:w="147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D6C745" w14:textId="77777777" w:rsidR="005C483D" w:rsidRPr="00EA1BB2" w:rsidRDefault="005C483D" w:rsidP="003C58E1">
            <w:pPr>
              <w:spacing w:line="276" w:lineRule="auto"/>
              <w:jc w:val="center"/>
              <w:rPr>
                <w:rFonts w:ascii="Cambria" w:eastAsia="SimSun" w:hAnsi="Cambria" w:cs="Times New Roman"/>
                <w:sz w:val="24"/>
                <w:szCs w:val="24"/>
                <w:lang w:eastAsia="ro-RO"/>
              </w:rPr>
            </w:pPr>
            <w:r w:rsidRPr="00EA1BB2">
              <w:rPr>
                <w:rFonts w:ascii="Cambria" w:eastAsia="SimSun" w:hAnsi="Cambria" w:cs="Times New Roman"/>
                <w:sz w:val="24"/>
                <w:szCs w:val="24"/>
                <w:lang w:eastAsia="ro-RO"/>
              </w:rPr>
              <w:t>ROSPA0040</w:t>
            </w:r>
          </w:p>
        </w:tc>
        <w:tc>
          <w:tcPr>
            <w:tcW w:w="13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A775E9"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18759</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634F4C"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6228,05</w:t>
            </w:r>
          </w:p>
        </w:tc>
        <w:tc>
          <w:tcPr>
            <w:tcW w:w="26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E606C7"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Frecă</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ei, Măra</w:t>
            </w:r>
            <w:r w:rsidR="00054880" w:rsidRPr="00EA1BB2">
              <w:rPr>
                <w:rFonts w:ascii="Cambria" w:eastAsia="SimSun" w:hAnsi="Cambria" w:cs="Times New Roman"/>
                <w:sz w:val="24"/>
                <w:szCs w:val="24"/>
              </w:rPr>
              <w:t>ș</w:t>
            </w:r>
            <w:r w:rsidRPr="00EA1BB2">
              <w:rPr>
                <w:rFonts w:ascii="Cambria" w:eastAsia="SimSun" w:hAnsi="Cambria" w:cs="Times New Roman"/>
                <w:sz w:val="24"/>
                <w:szCs w:val="24"/>
              </w:rPr>
              <w:t>u</w:t>
            </w:r>
          </w:p>
        </w:tc>
      </w:tr>
      <w:tr w:rsidR="005C483D" w:rsidRPr="00EA1BB2" w14:paraId="38B6316D" w14:textId="77777777" w:rsidTr="007406AE">
        <w:tc>
          <w:tcPr>
            <w:tcW w:w="60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AA6175" w14:textId="77777777" w:rsidR="005C483D" w:rsidRPr="00EA1BB2" w:rsidRDefault="005C483D" w:rsidP="00D56B32">
            <w:pPr>
              <w:spacing w:line="360" w:lineRule="auto"/>
              <w:jc w:val="center"/>
              <w:rPr>
                <w:rFonts w:ascii="Cambria" w:eastAsia="SimSun" w:hAnsi="Cambria" w:cs="Times New Roman"/>
                <w:sz w:val="24"/>
                <w:szCs w:val="24"/>
              </w:rPr>
            </w:pPr>
            <w:r w:rsidRPr="00EA1BB2">
              <w:rPr>
                <w:rFonts w:ascii="Cambria" w:eastAsia="SimSun" w:hAnsi="Cambria" w:cs="Times New Roman"/>
                <w:sz w:val="24"/>
                <w:szCs w:val="24"/>
              </w:rPr>
              <w:t>5.</w:t>
            </w:r>
          </w:p>
        </w:tc>
        <w:tc>
          <w:tcPr>
            <w:tcW w:w="19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698C2A" w14:textId="77777777" w:rsidR="005C483D" w:rsidRPr="00EA1BB2" w:rsidRDefault="005C483D" w:rsidP="003C58E1">
            <w:pPr>
              <w:spacing w:line="276" w:lineRule="auto"/>
              <w:jc w:val="center"/>
              <w:rPr>
                <w:rFonts w:ascii="Cambria" w:eastAsia="SimSun" w:hAnsi="Cambria" w:cs="Times New Roman"/>
                <w:sz w:val="24"/>
                <w:szCs w:val="24"/>
                <w:lang w:eastAsia="ro-RO"/>
              </w:rPr>
            </w:pPr>
            <w:r w:rsidRPr="00EA1BB2">
              <w:rPr>
                <w:rFonts w:ascii="Cambria" w:eastAsia="SimSun" w:hAnsi="Cambria" w:cs="Times New Roman"/>
                <w:sz w:val="24"/>
                <w:szCs w:val="24"/>
                <w:lang w:eastAsia="ro-RO"/>
              </w:rPr>
              <w:t>Ianca-Plopu-Sărat</w:t>
            </w:r>
          </w:p>
        </w:tc>
        <w:tc>
          <w:tcPr>
            <w:tcW w:w="147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32E5BF" w14:textId="77777777" w:rsidR="005C483D" w:rsidRPr="00EA1BB2" w:rsidRDefault="005C483D" w:rsidP="003C58E1">
            <w:pPr>
              <w:spacing w:line="276" w:lineRule="auto"/>
              <w:jc w:val="center"/>
              <w:rPr>
                <w:rFonts w:ascii="Cambria" w:eastAsia="SimSun" w:hAnsi="Cambria" w:cs="Times New Roman"/>
                <w:sz w:val="24"/>
                <w:szCs w:val="24"/>
                <w:lang w:eastAsia="ro-RO"/>
              </w:rPr>
            </w:pPr>
            <w:r w:rsidRPr="00EA1BB2">
              <w:rPr>
                <w:rFonts w:ascii="Cambria" w:eastAsia="SimSun" w:hAnsi="Cambria" w:cs="Times New Roman"/>
                <w:sz w:val="24"/>
                <w:szCs w:val="24"/>
                <w:lang w:eastAsia="ro-RO"/>
              </w:rPr>
              <w:t>ROSPA0048</w:t>
            </w:r>
          </w:p>
        </w:tc>
        <w:tc>
          <w:tcPr>
            <w:tcW w:w="13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A4BCF5"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1982</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F1E469"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1982</w:t>
            </w:r>
          </w:p>
        </w:tc>
        <w:tc>
          <w:tcPr>
            <w:tcW w:w="26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D46F14"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Ianca, Movila Miresii, Traian, Gemenele, Tudor Vladimirescu</w:t>
            </w:r>
          </w:p>
        </w:tc>
      </w:tr>
      <w:tr w:rsidR="005C483D" w:rsidRPr="00EA1BB2" w14:paraId="6A571629" w14:textId="77777777" w:rsidTr="007406AE">
        <w:tc>
          <w:tcPr>
            <w:tcW w:w="60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92F04C" w14:textId="77777777" w:rsidR="005C483D" w:rsidRPr="00EA1BB2" w:rsidRDefault="005C483D" w:rsidP="00D56B32">
            <w:pPr>
              <w:spacing w:line="360" w:lineRule="auto"/>
              <w:jc w:val="center"/>
              <w:rPr>
                <w:rFonts w:ascii="Cambria" w:eastAsia="SimSun" w:hAnsi="Cambria" w:cs="Times New Roman"/>
                <w:sz w:val="24"/>
                <w:szCs w:val="24"/>
              </w:rPr>
            </w:pPr>
            <w:r w:rsidRPr="00EA1BB2">
              <w:rPr>
                <w:rFonts w:ascii="Cambria" w:eastAsia="SimSun" w:hAnsi="Cambria" w:cs="Times New Roman"/>
                <w:sz w:val="24"/>
                <w:szCs w:val="24"/>
              </w:rPr>
              <w:t>6.</w:t>
            </w:r>
          </w:p>
        </w:tc>
        <w:tc>
          <w:tcPr>
            <w:tcW w:w="19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197B4F" w14:textId="77777777" w:rsidR="005C483D" w:rsidRPr="00EA1BB2" w:rsidRDefault="005C483D" w:rsidP="003C58E1">
            <w:pPr>
              <w:spacing w:line="276" w:lineRule="auto"/>
              <w:jc w:val="center"/>
              <w:rPr>
                <w:rFonts w:ascii="Cambria" w:eastAsia="SimSun" w:hAnsi="Cambria" w:cs="Times New Roman"/>
                <w:sz w:val="24"/>
                <w:szCs w:val="24"/>
                <w:lang w:eastAsia="ro-RO"/>
              </w:rPr>
            </w:pPr>
            <w:r w:rsidRPr="00EA1BB2">
              <w:rPr>
                <w:rFonts w:ascii="Cambria" w:eastAsia="SimSun" w:hAnsi="Cambria" w:cs="Times New Roman"/>
                <w:sz w:val="24"/>
                <w:szCs w:val="24"/>
                <w:lang w:eastAsia="ro-RO"/>
              </w:rPr>
              <w:t>Lunca Siretului Inferior</w:t>
            </w:r>
          </w:p>
        </w:tc>
        <w:tc>
          <w:tcPr>
            <w:tcW w:w="147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9C6E86" w14:textId="77777777" w:rsidR="005C483D" w:rsidRPr="00EA1BB2" w:rsidRDefault="005C483D" w:rsidP="003C58E1">
            <w:pPr>
              <w:spacing w:line="276" w:lineRule="auto"/>
              <w:jc w:val="center"/>
              <w:rPr>
                <w:rFonts w:ascii="Cambria" w:eastAsia="SimSun" w:hAnsi="Cambria" w:cs="Times New Roman"/>
                <w:sz w:val="24"/>
                <w:szCs w:val="24"/>
                <w:lang w:eastAsia="ro-RO"/>
              </w:rPr>
            </w:pPr>
            <w:r w:rsidRPr="00EA1BB2">
              <w:rPr>
                <w:rFonts w:ascii="Cambria" w:eastAsia="SimSun" w:hAnsi="Cambria" w:cs="Times New Roman"/>
                <w:sz w:val="24"/>
                <w:szCs w:val="24"/>
                <w:lang w:eastAsia="ro-RO"/>
              </w:rPr>
              <w:t>ROSPA0071</w:t>
            </w:r>
          </w:p>
        </w:tc>
        <w:tc>
          <w:tcPr>
            <w:tcW w:w="13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48E8F1"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36492</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1D2C5C"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1824,6</w:t>
            </w:r>
          </w:p>
        </w:tc>
        <w:tc>
          <w:tcPr>
            <w:tcW w:w="26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3B91D9"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Măxineni, Sili</w:t>
            </w:r>
            <w:r w:rsidR="00054880" w:rsidRPr="00EA1BB2">
              <w:rPr>
                <w:rFonts w:ascii="Cambria" w:eastAsia="SimSun" w:hAnsi="Cambria" w:cs="Times New Roman"/>
                <w:sz w:val="24"/>
                <w:szCs w:val="24"/>
              </w:rPr>
              <w:t>ș</w:t>
            </w:r>
            <w:r w:rsidRPr="00EA1BB2">
              <w:rPr>
                <w:rFonts w:ascii="Cambria" w:eastAsia="SimSun" w:hAnsi="Cambria" w:cs="Times New Roman"/>
                <w:sz w:val="24"/>
                <w:szCs w:val="24"/>
              </w:rPr>
              <w:t>tea, Vădeni</w:t>
            </w:r>
          </w:p>
        </w:tc>
      </w:tr>
      <w:tr w:rsidR="005C483D" w:rsidRPr="00EA1BB2" w14:paraId="5E40DEC0" w14:textId="77777777" w:rsidTr="007406AE">
        <w:tc>
          <w:tcPr>
            <w:tcW w:w="60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FA050D" w14:textId="77777777" w:rsidR="005C483D" w:rsidRPr="00EA1BB2" w:rsidRDefault="005C483D" w:rsidP="00D56B32">
            <w:pPr>
              <w:spacing w:line="360" w:lineRule="auto"/>
              <w:jc w:val="center"/>
              <w:rPr>
                <w:rFonts w:ascii="Cambria" w:eastAsia="SimSun" w:hAnsi="Cambria" w:cs="Times New Roman"/>
                <w:sz w:val="24"/>
                <w:szCs w:val="24"/>
              </w:rPr>
            </w:pPr>
            <w:r w:rsidRPr="00EA1BB2">
              <w:rPr>
                <w:rFonts w:ascii="Cambria" w:eastAsia="SimSun" w:hAnsi="Cambria" w:cs="Times New Roman"/>
                <w:sz w:val="24"/>
                <w:szCs w:val="24"/>
              </w:rPr>
              <w:t>7.</w:t>
            </w:r>
          </w:p>
        </w:tc>
        <w:tc>
          <w:tcPr>
            <w:tcW w:w="19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A09B9C" w14:textId="77777777" w:rsidR="005C483D" w:rsidRPr="00EA1BB2" w:rsidRDefault="005C483D" w:rsidP="003C58E1">
            <w:pPr>
              <w:spacing w:line="276" w:lineRule="auto"/>
              <w:jc w:val="center"/>
              <w:rPr>
                <w:rFonts w:ascii="Cambria" w:eastAsia="SimSun" w:hAnsi="Cambria" w:cs="Times New Roman"/>
                <w:sz w:val="24"/>
                <w:szCs w:val="24"/>
                <w:lang w:eastAsia="ro-RO"/>
              </w:rPr>
            </w:pPr>
            <w:r w:rsidRPr="00EA1BB2">
              <w:rPr>
                <w:rFonts w:ascii="Cambria" w:eastAsia="SimSun" w:hAnsi="Cambria" w:cs="Times New Roman"/>
                <w:sz w:val="24"/>
                <w:szCs w:val="24"/>
                <w:lang w:eastAsia="ro-RO"/>
              </w:rPr>
              <w:t>Măxineni</w:t>
            </w:r>
          </w:p>
        </w:tc>
        <w:tc>
          <w:tcPr>
            <w:tcW w:w="147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7EB258" w14:textId="77777777" w:rsidR="005C483D" w:rsidRPr="00EA1BB2" w:rsidRDefault="005C483D" w:rsidP="003C58E1">
            <w:pPr>
              <w:spacing w:line="276" w:lineRule="auto"/>
              <w:jc w:val="center"/>
              <w:rPr>
                <w:rFonts w:ascii="Cambria" w:eastAsia="SimSun" w:hAnsi="Cambria" w:cs="Times New Roman"/>
                <w:sz w:val="24"/>
                <w:szCs w:val="24"/>
                <w:lang w:eastAsia="ro-RO"/>
              </w:rPr>
            </w:pPr>
            <w:r w:rsidRPr="00EA1BB2">
              <w:rPr>
                <w:rFonts w:ascii="Cambria" w:eastAsia="SimSun" w:hAnsi="Cambria" w:cs="Times New Roman"/>
                <w:sz w:val="24"/>
                <w:szCs w:val="24"/>
                <w:lang w:eastAsia="ro-RO"/>
              </w:rPr>
              <w:t>ROSPA0077</w:t>
            </w:r>
          </w:p>
        </w:tc>
        <w:tc>
          <w:tcPr>
            <w:tcW w:w="13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8CD1C8"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1504</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58AA23"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1504</w:t>
            </w:r>
          </w:p>
        </w:tc>
        <w:tc>
          <w:tcPr>
            <w:tcW w:w="26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8401AB"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Măxineni</w:t>
            </w:r>
          </w:p>
        </w:tc>
      </w:tr>
      <w:tr w:rsidR="005C483D" w:rsidRPr="00EA1BB2" w14:paraId="7D96D0F4" w14:textId="77777777" w:rsidTr="007406AE">
        <w:tc>
          <w:tcPr>
            <w:tcW w:w="60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AE5F96" w14:textId="77777777" w:rsidR="005C483D" w:rsidRPr="00EA1BB2" w:rsidRDefault="005C483D" w:rsidP="00D56B32">
            <w:pPr>
              <w:spacing w:line="360" w:lineRule="auto"/>
              <w:jc w:val="center"/>
              <w:rPr>
                <w:rFonts w:ascii="Cambria" w:eastAsia="SimSun" w:hAnsi="Cambria" w:cs="Times New Roman"/>
                <w:sz w:val="24"/>
                <w:szCs w:val="24"/>
              </w:rPr>
            </w:pPr>
            <w:r w:rsidRPr="00EA1BB2">
              <w:rPr>
                <w:rFonts w:ascii="Cambria" w:eastAsia="SimSun" w:hAnsi="Cambria" w:cs="Times New Roman"/>
                <w:sz w:val="24"/>
                <w:szCs w:val="24"/>
              </w:rPr>
              <w:t>8.</w:t>
            </w:r>
          </w:p>
        </w:tc>
        <w:tc>
          <w:tcPr>
            <w:tcW w:w="19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95F6A7"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Berte</w:t>
            </w:r>
            <w:r w:rsidR="00054880" w:rsidRPr="00EA1BB2">
              <w:rPr>
                <w:rFonts w:ascii="Cambria" w:eastAsia="SimSun" w:hAnsi="Cambria" w:cs="Times New Roman"/>
                <w:sz w:val="24"/>
                <w:szCs w:val="24"/>
              </w:rPr>
              <w:t>ș</w:t>
            </w:r>
            <w:r w:rsidRPr="00EA1BB2">
              <w:rPr>
                <w:rFonts w:ascii="Cambria" w:eastAsia="SimSun" w:hAnsi="Cambria" w:cs="Times New Roman"/>
                <w:sz w:val="24"/>
                <w:szCs w:val="24"/>
              </w:rPr>
              <w:t>tii de Sus - Gura Ialomi</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ei</w:t>
            </w:r>
          </w:p>
        </w:tc>
        <w:tc>
          <w:tcPr>
            <w:tcW w:w="147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243391"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ROSPA0111</w:t>
            </w:r>
          </w:p>
        </w:tc>
        <w:tc>
          <w:tcPr>
            <w:tcW w:w="13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DB25C8"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6890</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4536E9"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2962,7</w:t>
            </w:r>
          </w:p>
        </w:tc>
        <w:tc>
          <w:tcPr>
            <w:tcW w:w="26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584689"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Berte</w:t>
            </w:r>
            <w:r w:rsidR="00054880" w:rsidRPr="00EA1BB2">
              <w:rPr>
                <w:rFonts w:ascii="Cambria" w:eastAsia="SimSun" w:hAnsi="Cambria" w:cs="Times New Roman"/>
                <w:sz w:val="24"/>
                <w:szCs w:val="24"/>
              </w:rPr>
              <w:t>ș</w:t>
            </w:r>
            <w:r w:rsidRPr="00EA1BB2">
              <w:rPr>
                <w:rFonts w:ascii="Cambria" w:eastAsia="SimSun" w:hAnsi="Cambria" w:cs="Times New Roman"/>
                <w:sz w:val="24"/>
                <w:szCs w:val="24"/>
              </w:rPr>
              <w:t>tii de Jos, Victoria, Însură</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ei</w:t>
            </w:r>
          </w:p>
        </w:tc>
      </w:tr>
      <w:tr w:rsidR="005C483D" w:rsidRPr="00EA1BB2" w14:paraId="49132239" w14:textId="77777777" w:rsidTr="007406AE">
        <w:tc>
          <w:tcPr>
            <w:tcW w:w="60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DB2305" w14:textId="77777777" w:rsidR="005C483D" w:rsidRPr="00EA1BB2" w:rsidRDefault="005C483D" w:rsidP="00D56B32">
            <w:pPr>
              <w:spacing w:line="360" w:lineRule="auto"/>
              <w:jc w:val="center"/>
              <w:rPr>
                <w:rFonts w:ascii="Cambria" w:eastAsia="SimSun" w:hAnsi="Cambria" w:cs="Times New Roman"/>
                <w:sz w:val="24"/>
                <w:szCs w:val="24"/>
              </w:rPr>
            </w:pPr>
            <w:r w:rsidRPr="00EA1BB2">
              <w:rPr>
                <w:rFonts w:ascii="Cambria" w:eastAsia="SimSun" w:hAnsi="Cambria" w:cs="Times New Roman"/>
                <w:sz w:val="24"/>
                <w:szCs w:val="24"/>
              </w:rPr>
              <w:t>9.</w:t>
            </w:r>
          </w:p>
        </w:tc>
        <w:tc>
          <w:tcPr>
            <w:tcW w:w="19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DB2C63"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Valea Călmă</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uiului</w:t>
            </w:r>
          </w:p>
        </w:tc>
        <w:tc>
          <w:tcPr>
            <w:tcW w:w="147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42CD4C"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ROSPA0145</w:t>
            </w:r>
          </w:p>
        </w:tc>
        <w:tc>
          <w:tcPr>
            <w:tcW w:w="13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CAB5DA"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20515</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AF2C7C"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10667,8</w:t>
            </w:r>
          </w:p>
        </w:tc>
        <w:tc>
          <w:tcPr>
            <w:tcW w:w="26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4A650B"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Bordei Verde, Cire</w:t>
            </w:r>
            <w:r w:rsidR="00054880" w:rsidRPr="00EA1BB2">
              <w:rPr>
                <w:rFonts w:ascii="Cambria" w:eastAsia="SimSun" w:hAnsi="Cambria" w:cs="Times New Roman"/>
                <w:sz w:val="24"/>
                <w:szCs w:val="24"/>
              </w:rPr>
              <w:t>ș</w:t>
            </w:r>
            <w:r w:rsidRPr="00EA1BB2">
              <w:rPr>
                <w:rFonts w:ascii="Cambria" w:eastAsia="SimSun" w:hAnsi="Cambria" w:cs="Times New Roman"/>
                <w:sz w:val="24"/>
                <w:szCs w:val="24"/>
              </w:rPr>
              <w:t>u, Însură</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ei, Surdila-Greci, Ulmu, Zăvoaia, Dude</w:t>
            </w:r>
            <w:r w:rsidR="00054880" w:rsidRPr="00EA1BB2">
              <w:rPr>
                <w:rFonts w:ascii="Cambria" w:eastAsia="SimSun" w:hAnsi="Cambria" w:cs="Times New Roman"/>
                <w:sz w:val="24"/>
                <w:szCs w:val="24"/>
              </w:rPr>
              <w:t>ș</w:t>
            </w:r>
            <w:r w:rsidRPr="00EA1BB2">
              <w:rPr>
                <w:rFonts w:ascii="Cambria" w:eastAsia="SimSun" w:hAnsi="Cambria" w:cs="Times New Roman"/>
                <w:sz w:val="24"/>
                <w:szCs w:val="24"/>
              </w:rPr>
              <w:t>ti</w:t>
            </w:r>
          </w:p>
        </w:tc>
      </w:tr>
      <w:tr w:rsidR="00295F75" w:rsidRPr="00EA1BB2" w14:paraId="59327FE5" w14:textId="77777777" w:rsidTr="00295F75">
        <w:tc>
          <w:tcPr>
            <w:tcW w:w="603" w:type="dxa"/>
            <w:tcBorders>
              <w:top w:val="single" w:sz="4" w:space="0" w:color="auto"/>
              <w:left w:val="single" w:sz="4" w:space="0" w:color="auto"/>
              <w:bottom w:val="single" w:sz="4" w:space="0" w:color="auto"/>
              <w:right w:val="single" w:sz="4" w:space="0" w:color="auto"/>
            </w:tcBorders>
            <w:shd w:val="clear" w:color="auto" w:fill="auto"/>
            <w:vAlign w:val="center"/>
          </w:tcPr>
          <w:p w14:paraId="7E14CCA1" w14:textId="77777777" w:rsidR="00295F75" w:rsidRPr="00EA1BB2" w:rsidRDefault="00295F75" w:rsidP="00295F75">
            <w:pPr>
              <w:spacing w:line="360" w:lineRule="auto"/>
              <w:jc w:val="center"/>
              <w:rPr>
                <w:rFonts w:ascii="Cambria" w:eastAsia="SimSun" w:hAnsi="Cambria" w:cs="Times New Roman"/>
                <w:sz w:val="24"/>
                <w:szCs w:val="24"/>
              </w:rPr>
            </w:pPr>
            <w:r w:rsidRPr="00EA1BB2">
              <w:rPr>
                <w:rFonts w:ascii="Cambria" w:eastAsia="SimSun" w:hAnsi="Cambria" w:cs="Times New Roman"/>
                <w:sz w:val="24"/>
                <w:szCs w:val="24"/>
              </w:rPr>
              <w:t>10</w:t>
            </w:r>
          </w:p>
        </w:tc>
        <w:tc>
          <w:tcPr>
            <w:tcW w:w="1911" w:type="dxa"/>
            <w:tcBorders>
              <w:top w:val="single" w:sz="4" w:space="0" w:color="auto"/>
              <w:left w:val="single" w:sz="4" w:space="0" w:color="auto"/>
              <w:bottom w:val="single" w:sz="4" w:space="0" w:color="auto"/>
              <w:right w:val="single" w:sz="4" w:space="0" w:color="auto"/>
            </w:tcBorders>
            <w:shd w:val="clear" w:color="auto" w:fill="auto"/>
            <w:vAlign w:val="center"/>
          </w:tcPr>
          <w:p w14:paraId="7EFB3A37" w14:textId="77777777" w:rsidR="00295F75" w:rsidRPr="00EA1BB2" w:rsidRDefault="00295F75" w:rsidP="00295F75">
            <w:pPr>
              <w:spacing w:line="276" w:lineRule="auto"/>
              <w:jc w:val="center"/>
              <w:rPr>
                <w:rFonts w:ascii="Cambria" w:eastAsia="SimSun" w:hAnsi="Cambria" w:cs="Times New Roman"/>
                <w:sz w:val="24"/>
                <w:szCs w:val="24"/>
              </w:rPr>
            </w:pPr>
            <w:r w:rsidRPr="00EA1BB2">
              <w:rPr>
                <w:rFonts w:ascii="Cambria" w:hAnsi="Cambria"/>
                <w:sz w:val="24"/>
              </w:rPr>
              <w:t>Lunca Buzăului</w:t>
            </w:r>
          </w:p>
        </w:tc>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14:paraId="06F54865" w14:textId="77777777" w:rsidR="00295F75" w:rsidRPr="00EA1BB2" w:rsidRDefault="00295F75" w:rsidP="00295F75">
            <w:pPr>
              <w:spacing w:line="276" w:lineRule="auto"/>
              <w:jc w:val="center"/>
              <w:rPr>
                <w:rFonts w:ascii="Cambria" w:eastAsia="SimSun" w:hAnsi="Cambria" w:cs="Times New Roman"/>
                <w:sz w:val="24"/>
                <w:szCs w:val="24"/>
              </w:rPr>
            </w:pPr>
            <w:r w:rsidRPr="00EA1BB2">
              <w:rPr>
                <w:rFonts w:ascii="Cambria" w:hAnsi="Cambria"/>
                <w:sz w:val="24"/>
              </w:rPr>
              <w:t>ROSPA0160</w:t>
            </w:r>
          </w:p>
        </w:tc>
        <w:tc>
          <w:tcPr>
            <w:tcW w:w="1398" w:type="dxa"/>
            <w:tcBorders>
              <w:top w:val="single" w:sz="4" w:space="0" w:color="auto"/>
              <w:left w:val="single" w:sz="4" w:space="0" w:color="auto"/>
              <w:bottom w:val="single" w:sz="4" w:space="0" w:color="auto"/>
              <w:right w:val="single" w:sz="4" w:space="0" w:color="auto"/>
            </w:tcBorders>
            <w:shd w:val="clear" w:color="auto" w:fill="auto"/>
            <w:vAlign w:val="center"/>
          </w:tcPr>
          <w:p w14:paraId="0AE6FA46" w14:textId="77777777" w:rsidR="00295F75" w:rsidRPr="00EA1BB2" w:rsidRDefault="00295F75" w:rsidP="00295F75">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9575</w:t>
            </w:r>
          </w:p>
        </w:tc>
        <w:tc>
          <w:tcPr>
            <w:tcW w:w="1297" w:type="dxa"/>
            <w:tcBorders>
              <w:top w:val="single" w:sz="4" w:space="0" w:color="auto"/>
              <w:left w:val="single" w:sz="4" w:space="0" w:color="auto"/>
              <w:bottom w:val="single" w:sz="4" w:space="0" w:color="auto"/>
              <w:right w:val="single" w:sz="4" w:space="0" w:color="auto"/>
            </w:tcBorders>
            <w:shd w:val="clear" w:color="auto" w:fill="auto"/>
            <w:vAlign w:val="center"/>
          </w:tcPr>
          <w:p w14:paraId="5A1C1004" w14:textId="77777777" w:rsidR="00295F75" w:rsidRPr="00EA1BB2" w:rsidRDefault="00295F75" w:rsidP="00295F75">
            <w:pPr>
              <w:spacing w:line="276" w:lineRule="auto"/>
              <w:jc w:val="center"/>
              <w:rPr>
                <w:rFonts w:ascii="Cambria" w:eastAsia="SimSun" w:hAnsi="Cambria" w:cs="Times New Roman"/>
                <w:sz w:val="24"/>
                <w:szCs w:val="24"/>
              </w:rPr>
            </w:pPr>
          </w:p>
        </w:tc>
        <w:tc>
          <w:tcPr>
            <w:tcW w:w="2672" w:type="dxa"/>
            <w:tcBorders>
              <w:top w:val="single" w:sz="4" w:space="0" w:color="auto"/>
              <w:left w:val="single" w:sz="4" w:space="0" w:color="auto"/>
              <w:bottom w:val="single" w:sz="4" w:space="0" w:color="auto"/>
              <w:right w:val="single" w:sz="4" w:space="0" w:color="auto"/>
            </w:tcBorders>
            <w:shd w:val="clear" w:color="auto" w:fill="auto"/>
            <w:vAlign w:val="center"/>
          </w:tcPr>
          <w:p w14:paraId="019F5953" w14:textId="77777777" w:rsidR="00295F75" w:rsidRPr="00EA1BB2" w:rsidRDefault="00295F75" w:rsidP="00295F75">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 xml:space="preserve">Făurei, </w:t>
            </w:r>
            <w:r w:rsidR="00CF6037" w:rsidRPr="00EA1BB2">
              <w:rPr>
                <w:rFonts w:ascii="Cambria" w:eastAsia="SimSun" w:hAnsi="Cambria" w:cs="Times New Roman"/>
                <w:sz w:val="24"/>
                <w:szCs w:val="24"/>
              </w:rPr>
              <w:t>Grădiștea</w:t>
            </w:r>
            <w:r w:rsidRPr="00EA1BB2">
              <w:rPr>
                <w:rFonts w:ascii="Cambria" w:eastAsia="SimSun" w:hAnsi="Cambria" w:cs="Times New Roman"/>
                <w:sz w:val="24"/>
                <w:szCs w:val="24"/>
              </w:rPr>
              <w:t xml:space="preserve">, Jirlău, </w:t>
            </w:r>
            <w:r w:rsidR="00CF6037" w:rsidRPr="00EA1BB2">
              <w:rPr>
                <w:rFonts w:ascii="Cambria" w:eastAsia="SimSun" w:hAnsi="Cambria" w:cs="Times New Roman"/>
                <w:sz w:val="24"/>
                <w:szCs w:val="24"/>
              </w:rPr>
              <w:t>Racovița</w:t>
            </w:r>
            <w:r w:rsidRPr="00EA1BB2">
              <w:rPr>
                <w:rFonts w:ascii="Cambria" w:eastAsia="SimSun" w:hAnsi="Cambria" w:cs="Times New Roman"/>
                <w:sz w:val="24"/>
                <w:szCs w:val="24"/>
              </w:rPr>
              <w:t xml:space="preserve">, Râmnicelu, Surdila-Greci, </w:t>
            </w:r>
            <w:r w:rsidR="00CF6037" w:rsidRPr="00EA1BB2">
              <w:rPr>
                <w:rFonts w:ascii="Cambria" w:eastAsia="SimSun" w:hAnsi="Cambria" w:cs="Times New Roman"/>
                <w:sz w:val="24"/>
                <w:szCs w:val="24"/>
              </w:rPr>
              <w:t>Șuțești</w:t>
            </w:r>
            <w:r w:rsidRPr="00EA1BB2">
              <w:rPr>
                <w:rFonts w:ascii="Cambria" w:eastAsia="SimSun" w:hAnsi="Cambria" w:cs="Times New Roman"/>
                <w:sz w:val="24"/>
                <w:szCs w:val="24"/>
              </w:rPr>
              <w:t xml:space="preserve">, </w:t>
            </w:r>
            <w:r w:rsidR="00CF6037" w:rsidRPr="00EA1BB2">
              <w:rPr>
                <w:rFonts w:ascii="Cambria" w:eastAsia="SimSun" w:hAnsi="Cambria" w:cs="Times New Roman"/>
                <w:sz w:val="24"/>
                <w:szCs w:val="24"/>
              </w:rPr>
              <w:t>Vișani</w:t>
            </w:r>
          </w:p>
        </w:tc>
      </w:tr>
    </w:tbl>
    <w:p w14:paraId="01615D9F" w14:textId="77777777" w:rsidR="0049303C" w:rsidRPr="00EA1BB2" w:rsidRDefault="003C58E1" w:rsidP="00DD5FDE">
      <w:pPr>
        <w:spacing w:line="276" w:lineRule="auto"/>
        <w:jc w:val="both"/>
        <w:rPr>
          <w:rFonts w:ascii="Cambria" w:eastAsia="SimSun" w:hAnsi="Cambria" w:cs="Times New Roman"/>
          <w:szCs w:val="24"/>
        </w:rPr>
      </w:pPr>
      <w:r w:rsidRPr="00EA1BB2">
        <w:rPr>
          <w:rFonts w:ascii="Cambria" w:eastAsia="SimSun" w:hAnsi="Cambria" w:cs="Times New Roman"/>
          <w:szCs w:val="24"/>
        </w:rPr>
        <w:t xml:space="preserve">Sursa date: </w:t>
      </w:r>
      <w:r w:rsidR="00B445CD" w:rsidRPr="00EA1BB2">
        <w:rPr>
          <w:rFonts w:ascii="Cambria" w:hAnsi="Cambria"/>
        </w:rPr>
        <w:t>APM Brăila - Raportul anual privind starea mediului pentru județul Brăila - Anul 2016</w:t>
      </w:r>
    </w:p>
    <w:p w14:paraId="0F514B25" w14:textId="77777777" w:rsidR="00FD528B" w:rsidRPr="00EA1BB2" w:rsidRDefault="00FD528B" w:rsidP="00B445CD">
      <w:pPr>
        <w:spacing w:line="360" w:lineRule="auto"/>
        <w:ind w:firstLine="708"/>
        <w:jc w:val="both"/>
        <w:rPr>
          <w:rFonts w:ascii="Cambria" w:eastAsia="SimSun" w:hAnsi="Cambria" w:cs="Times New Roman"/>
          <w:b/>
          <w:sz w:val="24"/>
          <w:szCs w:val="24"/>
        </w:rPr>
      </w:pPr>
    </w:p>
    <w:p w14:paraId="3CBC8EA1" w14:textId="77777777" w:rsidR="005C483D" w:rsidRPr="00EA1BB2" w:rsidRDefault="005C483D" w:rsidP="005C483D">
      <w:pPr>
        <w:spacing w:line="360" w:lineRule="auto"/>
        <w:ind w:firstLine="708"/>
        <w:jc w:val="both"/>
        <w:rPr>
          <w:rFonts w:ascii="Cambria" w:eastAsia="SimSun" w:hAnsi="Cambria" w:cs="Times New Roman"/>
          <w:sz w:val="24"/>
          <w:szCs w:val="24"/>
        </w:rPr>
      </w:pPr>
      <w:r w:rsidRPr="00EA1BB2">
        <w:rPr>
          <w:rFonts w:ascii="Cambria" w:eastAsia="SimSun" w:hAnsi="Cambria" w:cs="Times New Roman"/>
          <w:b/>
          <w:sz w:val="24"/>
          <w:szCs w:val="24"/>
        </w:rPr>
        <w:t>Siturile de importan</w:t>
      </w:r>
      <w:r w:rsidR="00054880" w:rsidRPr="00EA1BB2">
        <w:rPr>
          <w:rFonts w:ascii="Cambria" w:eastAsia="SimSun" w:hAnsi="Cambria" w:cs="Times New Roman"/>
          <w:b/>
          <w:sz w:val="24"/>
          <w:szCs w:val="24"/>
        </w:rPr>
        <w:t>ț</w:t>
      </w:r>
      <w:r w:rsidRPr="00EA1BB2">
        <w:rPr>
          <w:rFonts w:ascii="Cambria" w:eastAsia="SimSun" w:hAnsi="Cambria" w:cs="Times New Roman"/>
          <w:b/>
          <w:sz w:val="24"/>
          <w:szCs w:val="24"/>
        </w:rPr>
        <w:t>ă comunitară</w:t>
      </w:r>
    </w:p>
    <w:p w14:paraId="28B880B5" w14:textId="77777777" w:rsidR="005C483D" w:rsidRPr="00EA1BB2" w:rsidRDefault="005C483D" w:rsidP="005C483D">
      <w:pPr>
        <w:spacing w:line="360" w:lineRule="auto"/>
        <w:ind w:firstLine="708"/>
        <w:jc w:val="both"/>
        <w:rPr>
          <w:rFonts w:ascii="Cambria" w:eastAsia="SimSun" w:hAnsi="Cambria" w:cs="Times New Roman"/>
          <w:sz w:val="24"/>
          <w:szCs w:val="24"/>
        </w:rPr>
      </w:pPr>
      <w:r w:rsidRPr="00EA1BB2">
        <w:rPr>
          <w:rFonts w:ascii="Cambria" w:eastAsia="SimSun" w:hAnsi="Cambria" w:cs="Times New Roman"/>
          <w:sz w:val="24"/>
          <w:szCs w:val="24"/>
        </w:rPr>
        <w:t>Acestea reprezintă acele arii care, în regiunea sau în regiunile biogeografice în care există, contribuie semnificativ la men</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 xml:space="preserve">inerea sau restaurarea la o stare de conservare favorabilă a habitatelor naturale sau a speciilor de interes comunitar </w:t>
      </w:r>
      <w:r w:rsidR="00054880" w:rsidRPr="00EA1BB2">
        <w:rPr>
          <w:rFonts w:ascii="Cambria" w:eastAsia="SimSun" w:hAnsi="Cambria" w:cs="Times New Roman"/>
          <w:sz w:val="24"/>
          <w:szCs w:val="24"/>
        </w:rPr>
        <w:t>ș</w:t>
      </w:r>
      <w:r w:rsidRPr="00EA1BB2">
        <w:rPr>
          <w:rFonts w:ascii="Cambria" w:eastAsia="SimSun" w:hAnsi="Cambria" w:cs="Times New Roman"/>
          <w:sz w:val="24"/>
          <w:szCs w:val="24"/>
        </w:rPr>
        <w:t>i care pot contribui astfel semnificativ la coeren</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a re</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 xml:space="preserve">elei "NATURA 2000" </w:t>
      </w:r>
      <w:r w:rsidR="00054880" w:rsidRPr="00EA1BB2">
        <w:rPr>
          <w:rFonts w:ascii="Cambria" w:eastAsia="SimSun" w:hAnsi="Cambria" w:cs="Times New Roman"/>
          <w:sz w:val="24"/>
          <w:szCs w:val="24"/>
        </w:rPr>
        <w:t>ș</w:t>
      </w:r>
      <w:r w:rsidRPr="00EA1BB2">
        <w:rPr>
          <w:rFonts w:ascii="Cambria" w:eastAsia="SimSun" w:hAnsi="Cambria" w:cs="Times New Roman"/>
          <w:sz w:val="24"/>
          <w:szCs w:val="24"/>
        </w:rPr>
        <w:t>i/sau contribuie semnificativ la men</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inerea diversită</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ii biologice în regiunea ori regiunile biogeografice respective. Pentru speciile de animale cu areal larg de răspândire, siturile de importan</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ă comunitară ar trebui să corespundă zonelor din areal în care sunt prezen</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 xml:space="preserve">i factori abiotici </w:t>
      </w:r>
      <w:r w:rsidR="00054880" w:rsidRPr="00EA1BB2">
        <w:rPr>
          <w:rFonts w:ascii="Cambria" w:eastAsia="SimSun" w:hAnsi="Cambria" w:cs="Times New Roman"/>
          <w:sz w:val="24"/>
          <w:szCs w:val="24"/>
        </w:rPr>
        <w:t>ș</w:t>
      </w:r>
      <w:r w:rsidRPr="00EA1BB2">
        <w:rPr>
          <w:rFonts w:ascii="Cambria" w:eastAsia="SimSun" w:hAnsi="Cambria" w:cs="Times New Roman"/>
          <w:sz w:val="24"/>
          <w:szCs w:val="24"/>
        </w:rPr>
        <w:t>i biotici esen</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iali pentru existen</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 xml:space="preserve">a </w:t>
      </w:r>
      <w:r w:rsidR="00054880" w:rsidRPr="00EA1BB2">
        <w:rPr>
          <w:rFonts w:ascii="Cambria" w:eastAsia="SimSun" w:hAnsi="Cambria" w:cs="Times New Roman"/>
          <w:sz w:val="24"/>
          <w:szCs w:val="24"/>
        </w:rPr>
        <w:t>ș</w:t>
      </w:r>
      <w:r w:rsidRPr="00EA1BB2">
        <w:rPr>
          <w:rFonts w:ascii="Cambria" w:eastAsia="SimSun" w:hAnsi="Cambria" w:cs="Times New Roman"/>
          <w:sz w:val="24"/>
          <w:szCs w:val="24"/>
        </w:rPr>
        <w:t>i reproducerea acestor specii.</w:t>
      </w:r>
    </w:p>
    <w:p w14:paraId="492E6330" w14:textId="77777777" w:rsidR="005C483D" w:rsidRPr="00EA1BB2" w:rsidRDefault="005C483D" w:rsidP="005C483D">
      <w:pPr>
        <w:spacing w:line="360" w:lineRule="auto"/>
        <w:ind w:firstLine="708"/>
        <w:jc w:val="both"/>
        <w:rPr>
          <w:rFonts w:ascii="Cambria" w:eastAsia="SimSun" w:hAnsi="Cambria" w:cs="Times New Roman"/>
          <w:sz w:val="24"/>
          <w:szCs w:val="24"/>
        </w:rPr>
      </w:pPr>
      <w:r w:rsidRPr="00EA1BB2">
        <w:rPr>
          <w:rFonts w:ascii="Cambria" w:eastAsia="SimSun" w:hAnsi="Cambria" w:cs="Times New Roman"/>
          <w:sz w:val="24"/>
          <w:szCs w:val="24"/>
        </w:rPr>
        <w:t>Pe teritoriul jude</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ului Brăila au fost declarate 9 situri de importan</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ă comunitară, totalizând o suprafa</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ă de 43</w:t>
      </w:r>
      <w:r w:rsidR="00086957" w:rsidRPr="00EA1BB2">
        <w:rPr>
          <w:rFonts w:ascii="Cambria" w:eastAsia="SimSun" w:hAnsi="Cambria" w:cs="Times New Roman"/>
          <w:sz w:val="24"/>
          <w:szCs w:val="24"/>
        </w:rPr>
        <w:t>.</w:t>
      </w:r>
      <w:r w:rsidRPr="00EA1BB2">
        <w:rPr>
          <w:rFonts w:ascii="Cambria" w:eastAsia="SimSun" w:hAnsi="Cambria" w:cs="Times New Roman"/>
          <w:sz w:val="24"/>
          <w:szCs w:val="24"/>
        </w:rPr>
        <w:t xml:space="preserve">318,74 ha </w:t>
      </w:r>
      <w:r w:rsidR="00054880" w:rsidRPr="00EA1BB2">
        <w:rPr>
          <w:rFonts w:ascii="Cambria" w:eastAsia="SimSun" w:hAnsi="Cambria" w:cs="Times New Roman"/>
          <w:sz w:val="24"/>
          <w:szCs w:val="24"/>
        </w:rPr>
        <w:t>ș</w:t>
      </w:r>
      <w:r w:rsidRPr="00EA1BB2">
        <w:rPr>
          <w:rFonts w:ascii="Cambria" w:eastAsia="SimSun" w:hAnsi="Cambria" w:cs="Times New Roman"/>
          <w:sz w:val="24"/>
          <w:szCs w:val="24"/>
        </w:rPr>
        <w:t>i reprezentând 9,08% din suprafa</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a jude</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ului, a</w:t>
      </w:r>
      <w:r w:rsidR="00054880" w:rsidRPr="00EA1BB2">
        <w:rPr>
          <w:rFonts w:ascii="Cambria" w:eastAsia="SimSun" w:hAnsi="Cambria" w:cs="Times New Roman"/>
          <w:sz w:val="24"/>
          <w:szCs w:val="24"/>
        </w:rPr>
        <w:t>ș</w:t>
      </w:r>
      <w:r w:rsidRPr="00EA1BB2">
        <w:rPr>
          <w:rFonts w:ascii="Cambria" w:eastAsia="SimSun" w:hAnsi="Cambria" w:cs="Times New Roman"/>
          <w:sz w:val="24"/>
          <w:szCs w:val="24"/>
        </w:rPr>
        <w:t xml:space="preserve">a cum se poate observa în tabelul </w:t>
      </w:r>
      <w:r w:rsidR="00BF29FA" w:rsidRPr="00EA1BB2">
        <w:rPr>
          <w:rFonts w:ascii="Cambria" w:eastAsia="SimSun" w:hAnsi="Cambria" w:cs="Times New Roman"/>
          <w:sz w:val="24"/>
          <w:szCs w:val="24"/>
        </w:rPr>
        <w:t>de mai jos</w:t>
      </w:r>
      <w:r w:rsidR="001B7B87" w:rsidRPr="00EA1BB2">
        <w:rPr>
          <w:rFonts w:ascii="Cambria" w:eastAsia="SimSun" w:hAnsi="Cambria" w:cs="Times New Roman"/>
          <w:sz w:val="24"/>
          <w:szCs w:val="24"/>
        </w:rPr>
        <w:t>.</w:t>
      </w:r>
    </w:p>
    <w:p w14:paraId="13A01490" w14:textId="06821B89" w:rsidR="005C483D" w:rsidRPr="00EA1BB2" w:rsidRDefault="005C483D" w:rsidP="00024B86">
      <w:pPr>
        <w:keepNext/>
        <w:spacing w:after="200"/>
        <w:ind w:firstLine="708"/>
        <w:jc w:val="both"/>
        <w:rPr>
          <w:rFonts w:ascii="Cambria" w:hAnsi="Cambria"/>
          <w:b/>
          <w:sz w:val="24"/>
          <w:szCs w:val="24"/>
        </w:rPr>
      </w:pPr>
      <w:bookmarkStart w:id="54" w:name="_Toc526889768"/>
      <w:r w:rsidRPr="00EA1BB2">
        <w:rPr>
          <w:rFonts w:ascii="Cambria" w:hAnsi="Cambria"/>
          <w:b/>
          <w:iCs/>
          <w:sz w:val="24"/>
          <w:szCs w:val="24"/>
        </w:rPr>
        <w:lastRenderedPageBreak/>
        <w:t xml:space="preserve">Tabelul nr. </w:t>
      </w:r>
      <w:r w:rsidR="000A2FE7" w:rsidRPr="00EA1BB2">
        <w:rPr>
          <w:rFonts w:ascii="Cambria" w:hAnsi="Cambria"/>
          <w:b/>
          <w:iCs/>
          <w:sz w:val="24"/>
          <w:szCs w:val="24"/>
        </w:rPr>
        <w:fldChar w:fldCharType="begin"/>
      </w:r>
      <w:r w:rsidR="000A2FE7" w:rsidRPr="00EA1BB2">
        <w:rPr>
          <w:rFonts w:ascii="Cambria" w:hAnsi="Cambria"/>
          <w:b/>
          <w:iCs/>
          <w:sz w:val="24"/>
          <w:szCs w:val="24"/>
        </w:rPr>
        <w:instrText xml:space="preserve"> STYLEREF 1 \s </w:instrText>
      </w:r>
      <w:r w:rsidR="000A2FE7" w:rsidRPr="00EA1BB2">
        <w:rPr>
          <w:rFonts w:ascii="Cambria" w:hAnsi="Cambria"/>
          <w:b/>
          <w:iCs/>
          <w:sz w:val="24"/>
          <w:szCs w:val="24"/>
        </w:rPr>
        <w:fldChar w:fldCharType="separate"/>
      </w:r>
      <w:r w:rsidR="00567555">
        <w:rPr>
          <w:rFonts w:ascii="Cambria" w:hAnsi="Cambria"/>
          <w:b/>
          <w:iCs/>
          <w:noProof/>
          <w:sz w:val="24"/>
          <w:szCs w:val="24"/>
        </w:rPr>
        <w:t>2</w:t>
      </w:r>
      <w:r w:rsidR="000A2FE7" w:rsidRPr="00EA1BB2">
        <w:rPr>
          <w:rFonts w:ascii="Cambria" w:hAnsi="Cambria"/>
          <w:b/>
          <w:iCs/>
          <w:sz w:val="24"/>
          <w:szCs w:val="24"/>
        </w:rPr>
        <w:fldChar w:fldCharType="end"/>
      </w:r>
      <w:r w:rsidR="000A2FE7" w:rsidRPr="00EA1BB2">
        <w:rPr>
          <w:rFonts w:ascii="Cambria" w:hAnsi="Cambria"/>
          <w:b/>
          <w:iCs/>
          <w:sz w:val="24"/>
          <w:szCs w:val="24"/>
        </w:rPr>
        <w:noBreakHyphen/>
      </w:r>
      <w:r w:rsidR="000A2FE7" w:rsidRPr="00EA1BB2">
        <w:rPr>
          <w:rFonts w:ascii="Cambria" w:hAnsi="Cambria"/>
          <w:b/>
          <w:iCs/>
          <w:sz w:val="24"/>
          <w:szCs w:val="24"/>
        </w:rPr>
        <w:fldChar w:fldCharType="begin"/>
      </w:r>
      <w:r w:rsidR="000A2FE7" w:rsidRPr="00EA1BB2">
        <w:rPr>
          <w:rFonts w:ascii="Cambria" w:hAnsi="Cambria"/>
          <w:b/>
          <w:iCs/>
          <w:sz w:val="24"/>
          <w:szCs w:val="24"/>
        </w:rPr>
        <w:instrText xml:space="preserve"> SEQ Tabelul_nr. \* ARABIC \s 1 </w:instrText>
      </w:r>
      <w:r w:rsidR="000A2FE7" w:rsidRPr="00EA1BB2">
        <w:rPr>
          <w:rFonts w:ascii="Cambria" w:hAnsi="Cambria"/>
          <w:b/>
          <w:iCs/>
          <w:sz w:val="24"/>
          <w:szCs w:val="24"/>
        </w:rPr>
        <w:fldChar w:fldCharType="separate"/>
      </w:r>
      <w:r w:rsidR="00567555">
        <w:rPr>
          <w:rFonts w:ascii="Cambria" w:hAnsi="Cambria"/>
          <w:b/>
          <w:iCs/>
          <w:noProof/>
          <w:sz w:val="24"/>
          <w:szCs w:val="24"/>
        </w:rPr>
        <w:t>11</w:t>
      </w:r>
      <w:r w:rsidR="000A2FE7" w:rsidRPr="00EA1BB2">
        <w:rPr>
          <w:rFonts w:ascii="Cambria" w:hAnsi="Cambria"/>
          <w:b/>
          <w:iCs/>
          <w:sz w:val="24"/>
          <w:szCs w:val="24"/>
        </w:rPr>
        <w:fldChar w:fldCharType="end"/>
      </w:r>
      <w:r w:rsidR="00024B86" w:rsidRPr="00EA1BB2">
        <w:rPr>
          <w:rFonts w:ascii="Cambria" w:hAnsi="Cambria"/>
          <w:b/>
          <w:iCs/>
          <w:sz w:val="24"/>
          <w:szCs w:val="24"/>
        </w:rPr>
        <w:t xml:space="preserve"> - </w:t>
      </w:r>
      <w:r w:rsidRPr="00EA1BB2">
        <w:rPr>
          <w:rFonts w:ascii="Cambria" w:eastAsia="SimSun" w:hAnsi="Cambria" w:cs="Times New Roman"/>
          <w:b/>
          <w:sz w:val="24"/>
          <w:szCs w:val="24"/>
          <w:lang w:eastAsia="ro-RO"/>
        </w:rPr>
        <w:t>Situri de importan</w:t>
      </w:r>
      <w:r w:rsidR="00054880" w:rsidRPr="00EA1BB2">
        <w:rPr>
          <w:rFonts w:ascii="Cambria" w:eastAsia="SimSun" w:hAnsi="Cambria" w:cs="Times New Roman"/>
          <w:b/>
          <w:sz w:val="24"/>
          <w:szCs w:val="24"/>
          <w:lang w:eastAsia="ro-RO"/>
        </w:rPr>
        <w:t>ț</w:t>
      </w:r>
      <w:r w:rsidRPr="00EA1BB2">
        <w:rPr>
          <w:rFonts w:ascii="Cambria" w:eastAsia="SimSun" w:hAnsi="Cambria" w:cs="Times New Roman"/>
          <w:b/>
          <w:sz w:val="24"/>
          <w:szCs w:val="24"/>
          <w:lang w:eastAsia="ro-RO"/>
        </w:rPr>
        <w:t>ă comunitară din jude</w:t>
      </w:r>
      <w:r w:rsidR="00054880" w:rsidRPr="00EA1BB2">
        <w:rPr>
          <w:rFonts w:ascii="Cambria" w:eastAsia="SimSun" w:hAnsi="Cambria" w:cs="Times New Roman"/>
          <w:b/>
          <w:sz w:val="24"/>
          <w:szCs w:val="24"/>
          <w:lang w:eastAsia="ro-RO"/>
        </w:rPr>
        <w:t>ț</w:t>
      </w:r>
      <w:r w:rsidRPr="00EA1BB2">
        <w:rPr>
          <w:rFonts w:ascii="Cambria" w:eastAsia="SimSun" w:hAnsi="Cambria" w:cs="Times New Roman"/>
          <w:b/>
          <w:sz w:val="24"/>
          <w:szCs w:val="24"/>
          <w:lang w:eastAsia="ro-RO"/>
        </w:rPr>
        <w:t>ul Brăila</w:t>
      </w:r>
      <w:bookmarkEnd w:id="54"/>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7"/>
        <w:gridCol w:w="1904"/>
        <w:gridCol w:w="1386"/>
        <w:gridCol w:w="1320"/>
        <w:gridCol w:w="1413"/>
        <w:gridCol w:w="2721"/>
      </w:tblGrid>
      <w:tr w:rsidR="005C483D" w:rsidRPr="00EA1BB2" w14:paraId="0DC68DC8" w14:textId="77777777" w:rsidTr="007120C7">
        <w:trPr>
          <w:tblHeader/>
          <w:jc w:val="center"/>
        </w:trPr>
        <w:tc>
          <w:tcPr>
            <w:tcW w:w="60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7F418FE8" w14:textId="77777777" w:rsidR="005C483D" w:rsidRPr="00EA1BB2" w:rsidRDefault="005C483D" w:rsidP="003C58E1">
            <w:pPr>
              <w:spacing w:line="360" w:lineRule="auto"/>
              <w:jc w:val="center"/>
              <w:rPr>
                <w:rFonts w:ascii="Cambria" w:eastAsia="SimSun" w:hAnsi="Cambria" w:cs="Times New Roman"/>
                <w:b/>
                <w:sz w:val="24"/>
                <w:szCs w:val="24"/>
              </w:rPr>
            </w:pPr>
            <w:r w:rsidRPr="00EA1BB2">
              <w:rPr>
                <w:rFonts w:ascii="Cambria" w:eastAsia="SimSun" w:hAnsi="Cambria" w:cs="Times New Roman"/>
                <w:b/>
                <w:sz w:val="24"/>
                <w:szCs w:val="24"/>
              </w:rPr>
              <w:t>Nr. crt.</w:t>
            </w:r>
          </w:p>
        </w:tc>
        <w:tc>
          <w:tcPr>
            <w:tcW w:w="1904"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13AAEF2" w14:textId="77777777" w:rsidR="005C483D" w:rsidRPr="00EA1BB2" w:rsidRDefault="005C483D" w:rsidP="00D56B32">
            <w:pPr>
              <w:spacing w:line="276" w:lineRule="auto"/>
              <w:jc w:val="center"/>
              <w:rPr>
                <w:rFonts w:ascii="Cambria" w:eastAsia="SimSun" w:hAnsi="Cambria" w:cs="Times New Roman"/>
                <w:b/>
                <w:sz w:val="24"/>
                <w:szCs w:val="24"/>
              </w:rPr>
            </w:pPr>
            <w:r w:rsidRPr="00EA1BB2">
              <w:rPr>
                <w:rFonts w:ascii="Cambria" w:eastAsia="SimSun" w:hAnsi="Cambria" w:cs="Times New Roman"/>
                <w:b/>
                <w:sz w:val="24"/>
                <w:szCs w:val="24"/>
              </w:rPr>
              <w:t>Denumire</w:t>
            </w:r>
          </w:p>
        </w:tc>
        <w:tc>
          <w:tcPr>
            <w:tcW w:w="1386"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356308A" w14:textId="77777777" w:rsidR="005C483D" w:rsidRPr="00EA1BB2" w:rsidRDefault="005C483D" w:rsidP="00D56B32">
            <w:pPr>
              <w:spacing w:line="276" w:lineRule="auto"/>
              <w:jc w:val="center"/>
              <w:rPr>
                <w:rFonts w:ascii="Cambria" w:eastAsia="SimSun" w:hAnsi="Cambria" w:cs="Times New Roman"/>
                <w:b/>
                <w:sz w:val="24"/>
                <w:szCs w:val="24"/>
              </w:rPr>
            </w:pPr>
            <w:r w:rsidRPr="00EA1BB2">
              <w:rPr>
                <w:rFonts w:ascii="Cambria" w:eastAsia="SimSun" w:hAnsi="Cambria" w:cs="Times New Roman"/>
                <w:b/>
                <w:sz w:val="24"/>
                <w:szCs w:val="24"/>
              </w:rPr>
              <w:t>Cod</w:t>
            </w:r>
          </w:p>
        </w:tc>
        <w:tc>
          <w:tcPr>
            <w:tcW w:w="132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6C90E191" w14:textId="77777777" w:rsidR="005C483D" w:rsidRPr="00EA1BB2" w:rsidRDefault="005C483D" w:rsidP="00DD5FDE">
            <w:pPr>
              <w:spacing w:line="276" w:lineRule="auto"/>
              <w:jc w:val="center"/>
              <w:rPr>
                <w:rFonts w:ascii="Cambria" w:eastAsia="SimSun" w:hAnsi="Cambria" w:cs="Times New Roman"/>
                <w:b/>
                <w:sz w:val="24"/>
                <w:szCs w:val="24"/>
              </w:rPr>
            </w:pPr>
            <w:r w:rsidRPr="00EA1BB2">
              <w:rPr>
                <w:rFonts w:ascii="Cambria" w:eastAsia="SimSun" w:hAnsi="Cambria" w:cs="Times New Roman"/>
                <w:b/>
                <w:sz w:val="24"/>
                <w:szCs w:val="24"/>
              </w:rPr>
              <w:t>Suprafa</w:t>
            </w:r>
            <w:r w:rsidR="00054880" w:rsidRPr="00EA1BB2">
              <w:rPr>
                <w:rFonts w:ascii="Cambria" w:eastAsia="SimSun" w:hAnsi="Cambria" w:cs="Times New Roman"/>
                <w:b/>
                <w:sz w:val="24"/>
                <w:szCs w:val="24"/>
              </w:rPr>
              <w:t>ț</w:t>
            </w:r>
            <w:r w:rsidRPr="00EA1BB2">
              <w:rPr>
                <w:rFonts w:ascii="Cambria" w:eastAsia="SimSun" w:hAnsi="Cambria" w:cs="Times New Roman"/>
                <w:b/>
                <w:sz w:val="24"/>
                <w:szCs w:val="24"/>
              </w:rPr>
              <w:t>ă totală a sitului</w:t>
            </w:r>
          </w:p>
          <w:p w14:paraId="0D2A63CD" w14:textId="77777777" w:rsidR="005C483D" w:rsidRPr="00EA1BB2" w:rsidRDefault="005C483D" w:rsidP="00DD5FDE">
            <w:pPr>
              <w:spacing w:line="276" w:lineRule="auto"/>
              <w:jc w:val="center"/>
              <w:rPr>
                <w:rFonts w:ascii="Cambria" w:eastAsia="SimSun" w:hAnsi="Cambria" w:cs="Times New Roman"/>
                <w:b/>
                <w:sz w:val="24"/>
                <w:szCs w:val="24"/>
              </w:rPr>
            </w:pPr>
            <w:r w:rsidRPr="00EA1BB2">
              <w:rPr>
                <w:rFonts w:ascii="Cambria" w:eastAsia="SimSun" w:hAnsi="Cambria" w:cs="Times New Roman"/>
                <w:b/>
                <w:sz w:val="24"/>
                <w:szCs w:val="24"/>
              </w:rPr>
              <w:t>(ha)</w:t>
            </w:r>
          </w:p>
        </w:tc>
        <w:tc>
          <w:tcPr>
            <w:tcW w:w="1413"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E436725" w14:textId="77777777" w:rsidR="005C483D" w:rsidRPr="00EA1BB2" w:rsidRDefault="005C483D" w:rsidP="00DD5FDE">
            <w:pPr>
              <w:spacing w:line="276" w:lineRule="auto"/>
              <w:jc w:val="center"/>
              <w:rPr>
                <w:rFonts w:ascii="Cambria" w:eastAsia="SimSun" w:hAnsi="Cambria" w:cs="Times New Roman"/>
                <w:b/>
                <w:sz w:val="24"/>
                <w:szCs w:val="24"/>
              </w:rPr>
            </w:pPr>
            <w:r w:rsidRPr="00EA1BB2">
              <w:rPr>
                <w:rFonts w:ascii="Cambria" w:eastAsia="SimSun" w:hAnsi="Cambria" w:cs="Times New Roman"/>
                <w:b/>
                <w:sz w:val="24"/>
                <w:szCs w:val="24"/>
              </w:rPr>
              <w:t>Suprafa</w:t>
            </w:r>
            <w:r w:rsidR="00054880" w:rsidRPr="00EA1BB2">
              <w:rPr>
                <w:rFonts w:ascii="Cambria" w:eastAsia="SimSun" w:hAnsi="Cambria" w:cs="Times New Roman"/>
                <w:b/>
                <w:sz w:val="24"/>
                <w:szCs w:val="24"/>
              </w:rPr>
              <w:t>ț</w:t>
            </w:r>
            <w:r w:rsidRPr="00EA1BB2">
              <w:rPr>
                <w:rFonts w:ascii="Cambria" w:eastAsia="SimSun" w:hAnsi="Cambria" w:cs="Times New Roman"/>
                <w:b/>
                <w:sz w:val="24"/>
                <w:szCs w:val="24"/>
              </w:rPr>
              <w:t xml:space="preserve">a </w:t>
            </w:r>
          </w:p>
          <w:p w14:paraId="6AD8CEB4" w14:textId="77777777" w:rsidR="005C483D" w:rsidRPr="00EA1BB2" w:rsidRDefault="005C483D" w:rsidP="00DD5FDE">
            <w:pPr>
              <w:spacing w:line="276" w:lineRule="auto"/>
              <w:jc w:val="center"/>
              <w:rPr>
                <w:rFonts w:ascii="Cambria" w:eastAsia="SimSun" w:hAnsi="Cambria" w:cs="Times New Roman"/>
                <w:b/>
                <w:sz w:val="24"/>
                <w:szCs w:val="24"/>
              </w:rPr>
            </w:pPr>
            <w:r w:rsidRPr="00EA1BB2">
              <w:rPr>
                <w:rFonts w:ascii="Cambria" w:eastAsia="SimSun" w:hAnsi="Cambria" w:cs="Times New Roman"/>
                <w:b/>
                <w:sz w:val="24"/>
                <w:szCs w:val="24"/>
              </w:rPr>
              <w:t>la nivelul jude</w:t>
            </w:r>
            <w:r w:rsidR="00054880" w:rsidRPr="00EA1BB2">
              <w:rPr>
                <w:rFonts w:ascii="Cambria" w:eastAsia="SimSun" w:hAnsi="Cambria" w:cs="Times New Roman"/>
                <w:b/>
                <w:sz w:val="24"/>
                <w:szCs w:val="24"/>
              </w:rPr>
              <w:t>ț</w:t>
            </w:r>
            <w:r w:rsidRPr="00EA1BB2">
              <w:rPr>
                <w:rFonts w:ascii="Cambria" w:eastAsia="SimSun" w:hAnsi="Cambria" w:cs="Times New Roman"/>
                <w:b/>
                <w:sz w:val="24"/>
                <w:szCs w:val="24"/>
              </w:rPr>
              <w:t>ului</w:t>
            </w:r>
            <w:r w:rsidR="00944D11" w:rsidRPr="00EA1BB2">
              <w:rPr>
                <w:rFonts w:ascii="Cambria" w:eastAsia="SimSun" w:hAnsi="Cambria" w:cs="Times New Roman"/>
                <w:b/>
                <w:sz w:val="24"/>
                <w:szCs w:val="24"/>
              </w:rPr>
              <w:t xml:space="preserve"> (ha)</w:t>
            </w:r>
          </w:p>
        </w:tc>
        <w:tc>
          <w:tcPr>
            <w:tcW w:w="2721"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A7ECE8C" w14:textId="77777777" w:rsidR="005C483D" w:rsidRPr="00EA1BB2" w:rsidRDefault="00944D11" w:rsidP="003C58E1">
            <w:pPr>
              <w:spacing w:line="360" w:lineRule="auto"/>
              <w:jc w:val="center"/>
              <w:rPr>
                <w:rFonts w:ascii="Cambria" w:eastAsia="SimSun" w:hAnsi="Cambria" w:cs="Times New Roman"/>
                <w:b/>
                <w:sz w:val="24"/>
                <w:szCs w:val="24"/>
              </w:rPr>
            </w:pPr>
            <w:r w:rsidRPr="00EA1BB2">
              <w:rPr>
                <w:rFonts w:ascii="Cambria" w:eastAsia="SimSun" w:hAnsi="Cambria" w:cs="Times New Roman"/>
                <w:b/>
                <w:sz w:val="24"/>
                <w:szCs w:val="24"/>
              </w:rPr>
              <w:t>UAT</w:t>
            </w:r>
            <w:r w:rsidR="005C483D" w:rsidRPr="00EA1BB2">
              <w:rPr>
                <w:rFonts w:ascii="Cambria" w:eastAsia="SimSun" w:hAnsi="Cambria" w:cs="Times New Roman"/>
                <w:b/>
                <w:sz w:val="24"/>
                <w:szCs w:val="24"/>
              </w:rPr>
              <w:t xml:space="preserve"> din jude</w:t>
            </w:r>
            <w:r w:rsidR="00054880" w:rsidRPr="00EA1BB2">
              <w:rPr>
                <w:rFonts w:ascii="Cambria" w:eastAsia="SimSun" w:hAnsi="Cambria" w:cs="Times New Roman"/>
                <w:b/>
                <w:sz w:val="24"/>
                <w:szCs w:val="24"/>
              </w:rPr>
              <w:t>ț</w:t>
            </w:r>
            <w:r w:rsidR="005C483D" w:rsidRPr="00EA1BB2">
              <w:rPr>
                <w:rFonts w:ascii="Cambria" w:eastAsia="SimSun" w:hAnsi="Cambria" w:cs="Times New Roman"/>
                <w:b/>
                <w:sz w:val="24"/>
                <w:szCs w:val="24"/>
              </w:rPr>
              <w:t>ul Brăila în care este localizată aria</w:t>
            </w:r>
          </w:p>
        </w:tc>
      </w:tr>
      <w:tr w:rsidR="005C483D" w:rsidRPr="00EA1BB2" w14:paraId="0F0D18AA" w14:textId="77777777" w:rsidTr="007120C7">
        <w:trPr>
          <w:jc w:val="center"/>
        </w:trPr>
        <w:tc>
          <w:tcPr>
            <w:tcW w:w="6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39D89F" w14:textId="77777777" w:rsidR="005C483D" w:rsidRPr="00EA1BB2" w:rsidRDefault="005C483D" w:rsidP="00D56B32">
            <w:pPr>
              <w:spacing w:line="360" w:lineRule="auto"/>
              <w:jc w:val="center"/>
              <w:rPr>
                <w:rFonts w:ascii="Cambria" w:eastAsia="SimSun" w:hAnsi="Cambria" w:cs="Times New Roman"/>
                <w:sz w:val="24"/>
                <w:szCs w:val="24"/>
              </w:rPr>
            </w:pPr>
            <w:r w:rsidRPr="00EA1BB2">
              <w:rPr>
                <w:rFonts w:ascii="Cambria" w:eastAsia="SimSun" w:hAnsi="Cambria" w:cs="Times New Roman"/>
                <w:sz w:val="24"/>
                <w:szCs w:val="24"/>
              </w:rPr>
              <w:t>1.</w:t>
            </w:r>
          </w:p>
        </w:tc>
        <w:tc>
          <w:tcPr>
            <w:tcW w:w="19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38109E"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lang w:eastAsia="ro-RO"/>
              </w:rPr>
              <w:t>Balta Albă-Amara-Jirlău</w:t>
            </w:r>
            <w:r w:rsidRPr="00EA1BB2">
              <w:rPr>
                <w:rFonts w:ascii="Cambria" w:eastAsia="SimSun" w:hAnsi="Cambria" w:cs="Times New Roman"/>
                <w:sz w:val="24"/>
                <w:szCs w:val="24"/>
              </w:rPr>
              <w:t>-Lacul Sărat Câineni</w:t>
            </w:r>
          </w:p>
        </w:tc>
        <w:tc>
          <w:tcPr>
            <w:tcW w:w="13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E27AD3"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lang w:eastAsia="ro-RO"/>
              </w:rPr>
              <w:t>ROSCI0005</w:t>
            </w:r>
          </w:p>
        </w:tc>
        <w:tc>
          <w:tcPr>
            <w:tcW w:w="13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8EF367"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6300</w:t>
            </w:r>
          </w:p>
        </w:tc>
        <w:tc>
          <w:tcPr>
            <w:tcW w:w="14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1C8EE8"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2835</w:t>
            </w:r>
          </w:p>
        </w:tc>
        <w:tc>
          <w:tcPr>
            <w:tcW w:w="27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A347FA"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 xml:space="preserve">Galbenu, </w:t>
            </w:r>
            <w:r w:rsidR="0049303C" w:rsidRPr="00EA1BB2">
              <w:rPr>
                <w:rFonts w:ascii="Cambria" w:eastAsia="SimSun" w:hAnsi="Cambria" w:cs="Times New Roman"/>
                <w:sz w:val="24"/>
                <w:szCs w:val="24"/>
              </w:rPr>
              <w:t>Grădi</w:t>
            </w:r>
            <w:r w:rsidR="00054880" w:rsidRPr="00EA1BB2">
              <w:rPr>
                <w:rFonts w:ascii="Cambria" w:eastAsia="SimSun" w:hAnsi="Cambria" w:cs="Times New Roman"/>
                <w:sz w:val="24"/>
                <w:szCs w:val="24"/>
              </w:rPr>
              <w:t>ș</w:t>
            </w:r>
            <w:r w:rsidR="0049303C" w:rsidRPr="00EA1BB2">
              <w:rPr>
                <w:rFonts w:ascii="Cambria" w:eastAsia="SimSun" w:hAnsi="Cambria" w:cs="Times New Roman"/>
                <w:sz w:val="24"/>
                <w:szCs w:val="24"/>
              </w:rPr>
              <w:t>tea</w:t>
            </w:r>
            <w:r w:rsidRPr="00EA1BB2">
              <w:rPr>
                <w:rFonts w:ascii="Cambria" w:eastAsia="SimSun" w:hAnsi="Cambria" w:cs="Times New Roman"/>
                <w:sz w:val="24"/>
                <w:szCs w:val="24"/>
              </w:rPr>
              <w:t>, Jirlău, Vi</w:t>
            </w:r>
            <w:r w:rsidR="00054880" w:rsidRPr="00EA1BB2">
              <w:rPr>
                <w:rFonts w:ascii="Cambria" w:eastAsia="SimSun" w:hAnsi="Cambria" w:cs="Times New Roman"/>
                <w:sz w:val="24"/>
                <w:szCs w:val="24"/>
              </w:rPr>
              <w:t>ș</w:t>
            </w:r>
            <w:r w:rsidRPr="00EA1BB2">
              <w:rPr>
                <w:rFonts w:ascii="Cambria" w:eastAsia="SimSun" w:hAnsi="Cambria" w:cs="Times New Roman"/>
                <w:sz w:val="24"/>
                <w:szCs w:val="24"/>
              </w:rPr>
              <w:t>ani</w:t>
            </w:r>
          </w:p>
        </w:tc>
      </w:tr>
      <w:tr w:rsidR="005C483D" w:rsidRPr="00EA1BB2" w14:paraId="4C999458" w14:textId="77777777" w:rsidTr="007120C7">
        <w:trPr>
          <w:jc w:val="center"/>
        </w:trPr>
        <w:tc>
          <w:tcPr>
            <w:tcW w:w="6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77F93E" w14:textId="77777777" w:rsidR="005C483D" w:rsidRPr="00EA1BB2" w:rsidRDefault="005C483D" w:rsidP="00D56B32">
            <w:pPr>
              <w:spacing w:line="360" w:lineRule="auto"/>
              <w:jc w:val="center"/>
              <w:rPr>
                <w:rFonts w:ascii="Cambria" w:eastAsia="SimSun" w:hAnsi="Cambria" w:cs="Times New Roman"/>
                <w:sz w:val="24"/>
                <w:szCs w:val="24"/>
              </w:rPr>
            </w:pPr>
            <w:r w:rsidRPr="00EA1BB2">
              <w:rPr>
                <w:rFonts w:ascii="Cambria" w:eastAsia="SimSun" w:hAnsi="Cambria" w:cs="Times New Roman"/>
                <w:sz w:val="24"/>
                <w:szCs w:val="24"/>
              </w:rPr>
              <w:t>2.</w:t>
            </w:r>
          </w:p>
        </w:tc>
        <w:tc>
          <w:tcPr>
            <w:tcW w:w="19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A17DF1" w14:textId="77777777" w:rsidR="005C483D" w:rsidRPr="00EA1BB2" w:rsidRDefault="005C483D" w:rsidP="003C58E1">
            <w:pPr>
              <w:spacing w:line="276" w:lineRule="auto"/>
              <w:jc w:val="center"/>
              <w:rPr>
                <w:rFonts w:ascii="Cambria" w:eastAsia="SimSun" w:hAnsi="Cambria" w:cs="Times New Roman"/>
                <w:sz w:val="24"/>
                <w:szCs w:val="24"/>
                <w:lang w:eastAsia="ro-RO"/>
              </w:rPr>
            </w:pPr>
            <w:r w:rsidRPr="00EA1BB2">
              <w:rPr>
                <w:rFonts w:ascii="Cambria" w:eastAsia="SimSun" w:hAnsi="Cambria" w:cs="Times New Roman"/>
                <w:sz w:val="24"/>
                <w:szCs w:val="24"/>
              </w:rPr>
              <w:t>Balta Mică a Brăilei</w:t>
            </w:r>
          </w:p>
        </w:tc>
        <w:tc>
          <w:tcPr>
            <w:tcW w:w="13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6945CB" w14:textId="77777777" w:rsidR="005C483D" w:rsidRPr="00EA1BB2" w:rsidRDefault="005C483D" w:rsidP="003C58E1">
            <w:pPr>
              <w:spacing w:line="276" w:lineRule="auto"/>
              <w:jc w:val="center"/>
              <w:rPr>
                <w:rFonts w:ascii="Cambria" w:eastAsia="SimSun" w:hAnsi="Cambria" w:cs="Times New Roman"/>
                <w:sz w:val="24"/>
                <w:szCs w:val="24"/>
                <w:lang w:eastAsia="ro-RO"/>
              </w:rPr>
            </w:pPr>
            <w:r w:rsidRPr="00EA1BB2">
              <w:rPr>
                <w:rFonts w:ascii="Cambria" w:eastAsia="SimSun" w:hAnsi="Cambria" w:cs="Times New Roman"/>
                <w:sz w:val="24"/>
                <w:szCs w:val="24"/>
                <w:lang w:eastAsia="ro-RO"/>
              </w:rPr>
              <w:t>ROSCI0006</w:t>
            </w:r>
          </w:p>
        </w:tc>
        <w:tc>
          <w:tcPr>
            <w:tcW w:w="13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A73BE9"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20872</w:t>
            </w:r>
          </w:p>
        </w:tc>
        <w:tc>
          <w:tcPr>
            <w:tcW w:w="14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B23834"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20872</w:t>
            </w:r>
          </w:p>
        </w:tc>
        <w:tc>
          <w:tcPr>
            <w:tcW w:w="27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230593"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Berte</w:t>
            </w:r>
            <w:r w:rsidR="00054880" w:rsidRPr="00EA1BB2">
              <w:rPr>
                <w:rFonts w:ascii="Cambria" w:eastAsia="SimSun" w:hAnsi="Cambria" w:cs="Times New Roman"/>
                <w:sz w:val="24"/>
                <w:szCs w:val="24"/>
              </w:rPr>
              <w:t>ș</w:t>
            </w:r>
            <w:r w:rsidRPr="00EA1BB2">
              <w:rPr>
                <w:rFonts w:ascii="Cambria" w:eastAsia="SimSun" w:hAnsi="Cambria" w:cs="Times New Roman"/>
                <w:sz w:val="24"/>
                <w:szCs w:val="24"/>
              </w:rPr>
              <w:t>tii de Jos, Brăila, Chiscani, Gropeni, Măra</w:t>
            </w:r>
            <w:r w:rsidR="00054880" w:rsidRPr="00EA1BB2">
              <w:rPr>
                <w:rFonts w:ascii="Cambria" w:eastAsia="SimSun" w:hAnsi="Cambria" w:cs="Times New Roman"/>
                <w:sz w:val="24"/>
                <w:szCs w:val="24"/>
              </w:rPr>
              <w:t>ș</w:t>
            </w:r>
            <w:r w:rsidRPr="00EA1BB2">
              <w:rPr>
                <w:rFonts w:ascii="Cambria" w:eastAsia="SimSun" w:hAnsi="Cambria" w:cs="Times New Roman"/>
                <w:sz w:val="24"/>
                <w:szCs w:val="24"/>
              </w:rPr>
              <w:t>u, Stăncu</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a</w:t>
            </w:r>
          </w:p>
        </w:tc>
      </w:tr>
      <w:tr w:rsidR="005C483D" w:rsidRPr="00EA1BB2" w14:paraId="201E6A2D" w14:textId="77777777" w:rsidTr="007120C7">
        <w:trPr>
          <w:jc w:val="center"/>
        </w:trPr>
        <w:tc>
          <w:tcPr>
            <w:tcW w:w="6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DCD9CC" w14:textId="77777777" w:rsidR="005C483D" w:rsidRPr="00EA1BB2" w:rsidRDefault="005C483D" w:rsidP="00D56B32">
            <w:pPr>
              <w:spacing w:line="360" w:lineRule="auto"/>
              <w:jc w:val="center"/>
              <w:rPr>
                <w:rFonts w:ascii="Cambria" w:eastAsia="SimSun" w:hAnsi="Cambria" w:cs="Times New Roman"/>
                <w:sz w:val="24"/>
                <w:szCs w:val="24"/>
              </w:rPr>
            </w:pPr>
            <w:r w:rsidRPr="00EA1BB2">
              <w:rPr>
                <w:rFonts w:ascii="Cambria" w:eastAsia="SimSun" w:hAnsi="Cambria" w:cs="Times New Roman"/>
                <w:sz w:val="24"/>
                <w:szCs w:val="24"/>
              </w:rPr>
              <w:t>3.</w:t>
            </w:r>
          </w:p>
        </w:tc>
        <w:tc>
          <w:tcPr>
            <w:tcW w:w="19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9C3B2E"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lang w:eastAsia="ro-RO"/>
              </w:rPr>
              <w:t>Bra</w:t>
            </w:r>
            <w:r w:rsidR="00054880" w:rsidRPr="00EA1BB2">
              <w:rPr>
                <w:rFonts w:ascii="Cambria" w:eastAsia="SimSun" w:hAnsi="Cambria" w:cs="Times New Roman"/>
                <w:sz w:val="24"/>
                <w:szCs w:val="24"/>
                <w:lang w:eastAsia="ro-RO"/>
              </w:rPr>
              <w:t>ț</w:t>
            </w:r>
            <w:r w:rsidRPr="00EA1BB2">
              <w:rPr>
                <w:rFonts w:ascii="Cambria" w:eastAsia="SimSun" w:hAnsi="Cambria" w:cs="Times New Roman"/>
                <w:sz w:val="24"/>
                <w:szCs w:val="24"/>
                <w:lang w:eastAsia="ro-RO"/>
              </w:rPr>
              <w:t>ul Măcin</w:t>
            </w:r>
          </w:p>
        </w:tc>
        <w:tc>
          <w:tcPr>
            <w:tcW w:w="13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9725E9" w14:textId="77777777" w:rsidR="005C483D" w:rsidRPr="00EA1BB2" w:rsidRDefault="005C483D" w:rsidP="003C58E1">
            <w:pPr>
              <w:spacing w:line="276" w:lineRule="auto"/>
              <w:jc w:val="center"/>
              <w:rPr>
                <w:rFonts w:ascii="Cambria" w:eastAsia="SimSun" w:hAnsi="Cambria" w:cs="Times New Roman"/>
                <w:sz w:val="24"/>
                <w:szCs w:val="24"/>
                <w:lang w:eastAsia="ro-RO"/>
              </w:rPr>
            </w:pPr>
            <w:r w:rsidRPr="00EA1BB2">
              <w:rPr>
                <w:rFonts w:ascii="Cambria" w:eastAsia="SimSun" w:hAnsi="Cambria" w:cs="Times New Roman"/>
                <w:sz w:val="24"/>
                <w:szCs w:val="24"/>
                <w:lang w:eastAsia="ro-RO"/>
              </w:rPr>
              <w:t>ROSCI0012</w:t>
            </w:r>
          </w:p>
        </w:tc>
        <w:tc>
          <w:tcPr>
            <w:tcW w:w="13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961915"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10235</w:t>
            </w:r>
          </w:p>
        </w:tc>
        <w:tc>
          <w:tcPr>
            <w:tcW w:w="14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4D38BC"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4503,4</w:t>
            </w:r>
          </w:p>
        </w:tc>
        <w:tc>
          <w:tcPr>
            <w:tcW w:w="27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8652AC"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Frecă</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ei, Măra</w:t>
            </w:r>
            <w:r w:rsidR="00054880" w:rsidRPr="00EA1BB2">
              <w:rPr>
                <w:rFonts w:ascii="Cambria" w:eastAsia="SimSun" w:hAnsi="Cambria" w:cs="Times New Roman"/>
                <w:sz w:val="24"/>
                <w:szCs w:val="24"/>
              </w:rPr>
              <w:t>ș</w:t>
            </w:r>
            <w:r w:rsidRPr="00EA1BB2">
              <w:rPr>
                <w:rFonts w:ascii="Cambria" w:eastAsia="SimSun" w:hAnsi="Cambria" w:cs="Times New Roman"/>
                <w:sz w:val="24"/>
                <w:szCs w:val="24"/>
              </w:rPr>
              <w:t>u</w:t>
            </w:r>
          </w:p>
        </w:tc>
      </w:tr>
      <w:tr w:rsidR="005C483D" w:rsidRPr="00EA1BB2" w14:paraId="3D9F295E" w14:textId="77777777" w:rsidTr="007120C7">
        <w:trPr>
          <w:jc w:val="center"/>
        </w:trPr>
        <w:tc>
          <w:tcPr>
            <w:tcW w:w="6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DC0415" w14:textId="77777777" w:rsidR="005C483D" w:rsidRPr="00EA1BB2" w:rsidRDefault="005C483D" w:rsidP="00D56B32">
            <w:pPr>
              <w:spacing w:line="360" w:lineRule="auto"/>
              <w:jc w:val="center"/>
              <w:rPr>
                <w:rFonts w:ascii="Cambria" w:eastAsia="SimSun" w:hAnsi="Cambria" w:cs="Times New Roman"/>
                <w:sz w:val="24"/>
                <w:szCs w:val="24"/>
              </w:rPr>
            </w:pPr>
            <w:r w:rsidRPr="00EA1BB2">
              <w:rPr>
                <w:rFonts w:ascii="Cambria" w:eastAsia="SimSun" w:hAnsi="Cambria" w:cs="Times New Roman"/>
                <w:sz w:val="24"/>
                <w:szCs w:val="24"/>
              </w:rPr>
              <w:t>4.</w:t>
            </w:r>
          </w:p>
        </w:tc>
        <w:tc>
          <w:tcPr>
            <w:tcW w:w="19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957B43"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bCs/>
                <w:iCs/>
                <w:sz w:val="24"/>
                <w:szCs w:val="24"/>
              </w:rPr>
              <w:t>Lunca Buzăului</w:t>
            </w:r>
          </w:p>
        </w:tc>
        <w:tc>
          <w:tcPr>
            <w:tcW w:w="13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A686D1"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bCs/>
                <w:iCs/>
                <w:sz w:val="24"/>
                <w:szCs w:val="24"/>
              </w:rPr>
              <w:t>ROSCI0103</w:t>
            </w:r>
          </w:p>
        </w:tc>
        <w:tc>
          <w:tcPr>
            <w:tcW w:w="13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8ED2B9"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6987</w:t>
            </w:r>
          </w:p>
        </w:tc>
        <w:tc>
          <w:tcPr>
            <w:tcW w:w="14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36D208"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978,18</w:t>
            </w:r>
          </w:p>
        </w:tc>
        <w:tc>
          <w:tcPr>
            <w:tcW w:w="27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245A0A"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 xml:space="preserve">Făurei, Galbenu, Jirlău, </w:t>
            </w:r>
            <w:r w:rsidR="00295F75" w:rsidRPr="00EA1BB2">
              <w:rPr>
                <w:rFonts w:ascii="Cambria" w:eastAsia="SimSun" w:hAnsi="Cambria" w:cs="Times New Roman"/>
                <w:sz w:val="24"/>
                <w:szCs w:val="24"/>
              </w:rPr>
              <w:t xml:space="preserve">Racovița, Râmnicelu, Surdila-Greci, </w:t>
            </w:r>
            <w:r w:rsidR="00CF6037" w:rsidRPr="00EA1BB2">
              <w:rPr>
                <w:rFonts w:ascii="Cambria" w:eastAsia="SimSun" w:hAnsi="Cambria" w:cs="Times New Roman"/>
                <w:sz w:val="24"/>
                <w:szCs w:val="24"/>
              </w:rPr>
              <w:t>Șuțești</w:t>
            </w:r>
            <w:r w:rsidR="00295F75" w:rsidRPr="00EA1BB2">
              <w:rPr>
                <w:rFonts w:ascii="Cambria" w:eastAsia="SimSun" w:hAnsi="Cambria" w:cs="Times New Roman"/>
                <w:sz w:val="24"/>
                <w:szCs w:val="24"/>
              </w:rPr>
              <w:t xml:space="preserve">, </w:t>
            </w:r>
            <w:r w:rsidR="00CF6037" w:rsidRPr="00EA1BB2">
              <w:rPr>
                <w:rFonts w:ascii="Cambria" w:eastAsia="SimSun" w:hAnsi="Cambria" w:cs="Times New Roman"/>
                <w:sz w:val="24"/>
                <w:szCs w:val="24"/>
              </w:rPr>
              <w:t>Vișani</w:t>
            </w:r>
          </w:p>
        </w:tc>
      </w:tr>
      <w:tr w:rsidR="005C483D" w:rsidRPr="00EA1BB2" w14:paraId="7F31340C" w14:textId="77777777" w:rsidTr="007120C7">
        <w:trPr>
          <w:jc w:val="center"/>
        </w:trPr>
        <w:tc>
          <w:tcPr>
            <w:tcW w:w="6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02DF2E" w14:textId="77777777" w:rsidR="005C483D" w:rsidRPr="00EA1BB2" w:rsidRDefault="005C483D" w:rsidP="00D56B32">
            <w:pPr>
              <w:spacing w:line="360" w:lineRule="auto"/>
              <w:jc w:val="center"/>
              <w:rPr>
                <w:rFonts w:ascii="Cambria" w:eastAsia="SimSun" w:hAnsi="Cambria" w:cs="Times New Roman"/>
                <w:sz w:val="24"/>
                <w:szCs w:val="24"/>
              </w:rPr>
            </w:pPr>
            <w:r w:rsidRPr="00EA1BB2">
              <w:rPr>
                <w:rFonts w:ascii="Cambria" w:eastAsia="SimSun" w:hAnsi="Cambria" w:cs="Times New Roman"/>
                <w:sz w:val="24"/>
                <w:szCs w:val="24"/>
              </w:rPr>
              <w:t>5.</w:t>
            </w:r>
          </w:p>
        </w:tc>
        <w:tc>
          <w:tcPr>
            <w:tcW w:w="19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38ADFE"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bCs/>
                <w:iCs/>
                <w:sz w:val="24"/>
                <w:szCs w:val="24"/>
              </w:rPr>
              <w:t>Lunca Siretului Inferior</w:t>
            </w:r>
          </w:p>
        </w:tc>
        <w:tc>
          <w:tcPr>
            <w:tcW w:w="13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77D1A5"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bCs/>
                <w:iCs/>
                <w:sz w:val="24"/>
                <w:szCs w:val="24"/>
              </w:rPr>
              <w:t>ROSCI0162</w:t>
            </w:r>
          </w:p>
        </w:tc>
        <w:tc>
          <w:tcPr>
            <w:tcW w:w="13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B2A831"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25081</w:t>
            </w:r>
          </w:p>
        </w:tc>
        <w:tc>
          <w:tcPr>
            <w:tcW w:w="14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EB4661"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1755,67</w:t>
            </w:r>
          </w:p>
        </w:tc>
        <w:tc>
          <w:tcPr>
            <w:tcW w:w="27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F7C444"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Măxineni, Sili</w:t>
            </w:r>
            <w:r w:rsidR="00054880" w:rsidRPr="00EA1BB2">
              <w:rPr>
                <w:rFonts w:ascii="Cambria" w:eastAsia="SimSun" w:hAnsi="Cambria" w:cs="Times New Roman"/>
                <w:sz w:val="24"/>
                <w:szCs w:val="24"/>
              </w:rPr>
              <w:t>ș</w:t>
            </w:r>
            <w:r w:rsidRPr="00EA1BB2">
              <w:rPr>
                <w:rFonts w:ascii="Cambria" w:eastAsia="SimSun" w:hAnsi="Cambria" w:cs="Times New Roman"/>
                <w:sz w:val="24"/>
                <w:szCs w:val="24"/>
              </w:rPr>
              <w:t>tea, Vădeni</w:t>
            </w:r>
          </w:p>
        </w:tc>
      </w:tr>
      <w:tr w:rsidR="005C483D" w:rsidRPr="00EA1BB2" w14:paraId="08012864" w14:textId="77777777" w:rsidTr="007120C7">
        <w:trPr>
          <w:jc w:val="center"/>
        </w:trPr>
        <w:tc>
          <w:tcPr>
            <w:tcW w:w="6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A6BE47" w14:textId="77777777" w:rsidR="005C483D" w:rsidRPr="00EA1BB2" w:rsidRDefault="005C483D" w:rsidP="00D56B32">
            <w:pPr>
              <w:spacing w:line="360" w:lineRule="auto"/>
              <w:jc w:val="center"/>
              <w:rPr>
                <w:rFonts w:ascii="Cambria" w:eastAsia="SimSun" w:hAnsi="Cambria" w:cs="Times New Roman"/>
                <w:sz w:val="24"/>
                <w:szCs w:val="24"/>
              </w:rPr>
            </w:pPr>
            <w:r w:rsidRPr="00EA1BB2">
              <w:rPr>
                <w:rFonts w:ascii="Cambria" w:eastAsia="SimSun" w:hAnsi="Cambria" w:cs="Times New Roman"/>
                <w:sz w:val="24"/>
                <w:szCs w:val="24"/>
              </w:rPr>
              <w:t>6.</w:t>
            </w:r>
          </w:p>
        </w:tc>
        <w:tc>
          <w:tcPr>
            <w:tcW w:w="19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DE5E78" w14:textId="77777777" w:rsidR="005C483D" w:rsidRPr="00EA1BB2" w:rsidRDefault="005C483D" w:rsidP="003C58E1">
            <w:pPr>
              <w:spacing w:line="276" w:lineRule="auto"/>
              <w:jc w:val="center"/>
              <w:rPr>
                <w:rFonts w:ascii="Cambria" w:eastAsia="SimSun" w:hAnsi="Cambria" w:cs="Times New Roman"/>
                <w:sz w:val="24"/>
                <w:szCs w:val="24"/>
                <w:lang w:eastAsia="ro-RO"/>
              </w:rPr>
            </w:pPr>
            <w:r w:rsidRPr="00EA1BB2">
              <w:rPr>
                <w:rFonts w:ascii="Cambria" w:eastAsia="SimSun" w:hAnsi="Cambria" w:cs="Times New Roman"/>
                <w:sz w:val="24"/>
                <w:szCs w:val="24"/>
                <w:lang w:eastAsia="ro-RO"/>
              </w:rPr>
              <w:t>Valea Călmă</w:t>
            </w:r>
            <w:r w:rsidR="00054880" w:rsidRPr="00EA1BB2">
              <w:rPr>
                <w:rFonts w:ascii="Cambria" w:eastAsia="SimSun" w:hAnsi="Cambria" w:cs="Times New Roman"/>
                <w:sz w:val="24"/>
                <w:szCs w:val="24"/>
                <w:lang w:eastAsia="ro-RO"/>
              </w:rPr>
              <w:t>ț</w:t>
            </w:r>
            <w:r w:rsidRPr="00EA1BB2">
              <w:rPr>
                <w:rFonts w:ascii="Cambria" w:eastAsia="SimSun" w:hAnsi="Cambria" w:cs="Times New Roman"/>
                <w:sz w:val="24"/>
                <w:szCs w:val="24"/>
                <w:lang w:eastAsia="ro-RO"/>
              </w:rPr>
              <w:t>uiului</w:t>
            </w:r>
          </w:p>
        </w:tc>
        <w:tc>
          <w:tcPr>
            <w:tcW w:w="13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DAEFAC" w14:textId="77777777" w:rsidR="005C483D" w:rsidRPr="00EA1BB2" w:rsidRDefault="005C483D" w:rsidP="003C58E1">
            <w:pPr>
              <w:spacing w:line="276" w:lineRule="auto"/>
              <w:jc w:val="center"/>
              <w:rPr>
                <w:rFonts w:ascii="Cambria" w:eastAsia="SimSun" w:hAnsi="Cambria" w:cs="Times New Roman"/>
                <w:sz w:val="24"/>
                <w:szCs w:val="24"/>
                <w:lang w:eastAsia="ro-RO"/>
              </w:rPr>
            </w:pPr>
            <w:r w:rsidRPr="00EA1BB2">
              <w:rPr>
                <w:rFonts w:ascii="Cambria" w:eastAsia="SimSun" w:hAnsi="Cambria" w:cs="Times New Roman"/>
                <w:sz w:val="24"/>
                <w:szCs w:val="24"/>
                <w:lang w:eastAsia="ro-RO"/>
              </w:rPr>
              <w:t>ROSCI0259</w:t>
            </w:r>
          </w:p>
        </w:tc>
        <w:tc>
          <w:tcPr>
            <w:tcW w:w="13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29574D"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17923</w:t>
            </w:r>
          </w:p>
        </w:tc>
        <w:tc>
          <w:tcPr>
            <w:tcW w:w="14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06F932"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8603,04</w:t>
            </w:r>
          </w:p>
        </w:tc>
        <w:tc>
          <w:tcPr>
            <w:tcW w:w="27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92ACF0"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BordeiVerde, Cire</w:t>
            </w:r>
            <w:r w:rsidR="00054880" w:rsidRPr="00EA1BB2">
              <w:rPr>
                <w:rFonts w:ascii="Cambria" w:eastAsia="SimSun" w:hAnsi="Cambria" w:cs="Times New Roman"/>
                <w:sz w:val="24"/>
                <w:szCs w:val="24"/>
              </w:rPr>
              <w:t>ș</w:t>
            </w:r>
            <w:r w:rsidRPr="00EA1BB2">
              <w:rPr>
                <w:rFonts w:ascii="Cambria" w:eastAsia="SimSun" w:hAnsi="Cambria" w:cs="Times New Roman"/>
                <w:sz w:val="24"/>
                <w:szCs w:val="24"/>
              </w:rPr>
              <w:t>u, Însură</w:t>
            </w:r>
            <w:r w:rsidR="00054880" w:rsidRPr="00EA1BB2">
              <w:rPr>
                <w:rFonts w:ascii="Cambria" w:eastAsia="SimSun" w:hAnsi="Cambria" w:cs="Times New Roman"/>
                <w:sz w:val="24"/>
                <w:szCs w:val="24"/>
              </w:rPr>
              <w:t>ț</w:t>
            </w:r>
            <w:r w:rsidRPr="00EA1BB2">
              <w:rPr>
                <w:rFonts w:ascii="Cambria" w:eastAsia="SimSun" w:hAnsi="Cambria" w:cs="Times New Roman"/>
                <w:sz w:val="24"/>
                <w:szCs w:val="24"/>
              </w:rPr>
              <w:t>ei, Surdila-Greci, Ulmu, Zăvoaia</w:t>
            </w:r>
          </w:p>
        </w:tc>
      </w:tr>
      <w:tr w:rsidR="005C483D" w:rsidRPr="00EA1BB2" w14:paraId="2A5F5896" w14:textId="77777777" w:rsidTr="007120C7">
        <w:trPr>
          <w:jc w:val="center"/>
        </w:trPr>
        <w:tc>
          <w:tcPr>
            <w:tcW w:w="6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773675" w14:textId="77777777" w:rsidR="005C483D" w:rsidRPr="00EA1BB2" w:rsidRDefault="005C483D" w:rsidP="00D56B32">
            <w:pPr>
              <w:spacing w:line="360" w:lineRule="auto"/>
              <w:jc w:val="center"/>
              <w:rPr>
                <w:rFonts w:ascii="Cambria" w:eastAsia="SimSun" w:hAnsi="Cambria" w:cs="Times New Roman"/>
                <w:sz w:val="24"/>
                <w:szCs w:val="24"/>
              </w:rPr>
            </w:pPr>
            <w:r w:rsidRPr="00EA1BB2">
              <w:rPr>
                <w:rFonts w:ascii="Cambria" w:eastAsia="SimSun" w:hAnsi="Cambria" w:cs="Times New Roman"/>
                <w:sz w:val="24"/>
                <w:szCs w:val="24"/>
              </w:rPr>
              <w:t>7.</w:t>
            </w:r>
          </w:p>
        </w:tc>
        <w:tc>
          <w:tcPr>
            <w:tcW w:w="19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70EDD7"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bCs/>
                <w:iCs/>
                <w:sz w:val="24"/>
                <w:szCs w:val="24"/>
              </w:rPr>
              <w:t>Ianca - Plopu - Sărat - Comăneasca</w:t>
            </w:r>
          </w:p>
        </w:tc>
        <w:tc>
          <w:tcPr>
            <w:tcW w:w="13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610197"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bCs/>
                <w:iCs/>
                <w:sz w:val="24"/>
                <w:szCs w:val="24"/>
              </w:rPr>
              <w:t>ROSCI0305</w:t>
            </w:r>
          </w:p>
        </w:tc>
        <w:tc>
          <w:tcPr>
            <w:tcW w:w="13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869EF9"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3222</w:t>
            </w:r>
          </w:p>
        </w:tc>
        <w:tc>
          <w:tcPr>
            <w:tcW w:w="14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8D9B3D"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3222</w:t>
            </w:r>
          </w:p>
        </w:tc>
        <w:tc>
          <w:tcPr>
            <w:tcW w:w="27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893267"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Ianca, Movila Miresii, Romanu, Traian, Tudor Vladimirescu</w:t>
            </w:r>
          </w:p>
        </w:tc>
      </w:tr>
      <w:tr w:rsidR="005C483D" w:rsidRPr="00EA1BB2" w14:paraId="2213238D" w14:textId="77777777" w:rsidTr="007120C7">
        <w:trPr>
          <w:jc w:val="center"/>
        </w:trPr>
        <w:tc>
          <w:tcPr>
            <w:tcW w:w="6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D62AB1" w14:textId="77777777" w:rsidR="005C483D" w:rsidRPr="00EA1BB2" w:rsidRDefault="005C483D" w:rsidP="00D56B32">
            <w:pPr>
              <w:spacing w:line="360" w:lineRule="auto"/>
              <w:jc w:val="center"/>
              <w:rPr>
                <w:rFonts w:ascii="Cambria" w:eastAsia="SimSun" w:hAnsi="Cambria" w:cs="Times New Roman"/>
                <w:sz w:val="24"/>
                <w:szCs w:val="24"/>
              </w:rPr>
            </w:pPr>
            <w:r w:rsidRPr="00EA1BB2">
              <w:rPr>
                <w:rFonts w:ascii="Cambria" w:eastAsia="SimSun" w:hAnsi="Cambria" w:cs="Times New Roman"/>
                <w:sz w:val="24"/>
                <w:szCs w:val="24"/>
              </w:rPr>
              <w:t>8.</w:t>
            </w:r>
          </w:p>
        </w:tc>
        <w:tc>
          <w:tcPr>
            <w:tcW w:w="19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309020"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bCs/>
                <w:iCs/>
                <w:sz w:val="24"/>
                <w:szCs w:val="24"/>
              </w:rPr>
              <w:t>Lacul Sărat – Brăila</w:t>
            </w:r>
          </w:p>
        </w:tc>
        <w:tc>
          <w:tcPr>
            <w:tcW w:w="13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15BFDA"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bCs/>
                <w:iCs/>
                <w:sz w:val="24"/>
                <w:szCs w:val="24"/>
              </w:rPr>
              <w:t>ROSCI0307</w:t>
            </w:r>
          </w:p>
        </w:tc>
        <w:tc>
          <w:tcPr>
            <w:tcW w:w="13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6DF470"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377</w:t>
            </w:r>
          </w:p>
        </w:tc>
        <w:tc>
          <w:tcPr>
            <w:tcW w:w="14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47390A"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377</w:t>
            </w:r>
          </w:p>
        </w:tc>
        <w:tc>
          <w:tcPr>
            <w:tcW w:w="27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6411FF"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Brăila, Chiscani, Tichile</w:t>
            </w:r>
            <w:r w:rsidR="00054880" w:rsidRPr="00EA1BB2">
              <w:rPr>
                <w:rFonts w:ascii="Cambria" w:eastAsia="SimSun" w:hAnsi="Cambria" w:cs="Times New Roman"/>
                <w:sz w:val="24"/>
                <w:szCs w:val="24"/>
              </w:rPr>
              <w:t>ș</w:t>
            </w:r>
            <w:r w:rsidRPr="00EA1BB2">
              <w:rPr>
                <w:rFonts w:ascii="Cambria" w:eastAsia="SimSun" w:hAnsi="Cambria" w:cs="Times New Roman"/>
                <w:sz w:val="24"/>
                <w:szCs w:val="24"/>
              </w:rPr>
              <w:t>ti</w:t>
            </w:r>
          </w:p>
        </w:tc>
      </w:tr>
      <w:tr w:rsidR="005C483D" w:rsidRPr="00EA1BB2" w14:paraId="0C62FBEC" w14:textId="77777777" w:rsidTr="007120C7">
        <w:trPr>
          <w:jc w:val="center"/>
        </w:trPr>
        <w:tc>
          <w:tcPr>
            <w:tcW w:w="6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47AFBD" w14:textId="77777777" w:rsidR="005C483D" w:rsidRPr="00EA1BB2" w:rsidRDefault="005C483D" w:rsidP="00D56B32">
            <w:pPr>
              <w:spacing w:line="360" w:lineRule="auto"/>
              <w:jc w:val="center"/>
              <w:rPr>
                <w:rFonts w:ascii="Cambria" w:eastAsia="SimSun" w:hAnsi="Cambria" w:cs="Times New Roman"/>
                <w:sz w:val="24"/>
                <w:szCs w:val="24"/>
              </w:rPr>
            </w:pPr>
            <w:r w:rsidRPr="00EA1BB2">
              <w:rPr>
                <w:rFonts w:ascii="Cambria" w:eastAsia="SimSun" w:hAnsi="Cambria" w:cs="Times New Roman"/>
                <w:sz w:val="24"/>
                <w:szCs w:val="24"/>
              </w:rPr>
              <w:t>9.</w:t>
            </w:r>
          </w:p>
        </w:tc>
        <w:tc>
          <w:tcPr>
            <w:tcW w:w="19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2DC57F"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bCs/>
                <w:iCs/>
                <w:sz w:val="24"/>
                <w:szCs w:val="24"/>
              </w:rPr>
              <w:t>Sărăturile de la Gura Ialomi</w:t>
            </w:r>
            <w:r w:rsidR="00054880" w:rsidRPr="00EA1BB2">
              <w:rPr>
                <w:rFonts w:ascii="Cambria" w:eastAsia="SimSun" w:hAnsi="Cambria" w:cs="Times New Roman"/>
                <w:bCs/>
                <w:iCs/>
                <w:sz w:val="24"/>
                <w:szCs w:val="24"/>
              </w:rPr>
              <w:t>ț</w:t>
            </w:r>
            <w:r w:rsidRPr="00EA1BB2">
              <w:rPr>
                <w:rFonts w:ascii="Cambria" w:eastAsia="SimSun" w:hAnsi="Cambria" w:cs="Times New Roman"/>
                <w:bCs/>
                <w:iCs/>
                <w:sz w:val="24"/>
                <w:szCs w:val="24"/>
              </w:rPr>
              <w:t>ei - Mihai Bravu</w:t>
            </w:r>
          </w:p>
        </w:tc>
        <w:tc>
          <w:tcPr>
            <w:tcW w:w="13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FE58D3"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bCs/>
                <w:iCs/>
                <w:sz w:val="24"/>
                <w:szCs w:val="24"/>
              </w:rPr>
              <w:t>ROSCI0389</w:t>
            </w:r>
          </w:p>
        </w:tc>
        <w:tc>
          <w:tcPr>
            <w:tcW w:w="13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A27FA2"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3449</w:t>
            </w:r>
          </w:p>
        </w:tc>
        <w:tc>
          <w:tcPr>
            <w:tcW w:w="14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0717C8"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172,45</w:t>
            </w:r>
          </w:p>
        </w:tc>
        <w:tc>
          <w:tcPr>
            <w:tcW w:w="27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283AC1" w14:textId="77777777" w:rsidR="005C483D" w:rsidRPr="00EA1BB2" w:rsidRDefault="005C483D" w:rsidP="003C58E1">
            <w:pPr>
              <w:spacing w:line="276" w:lineRule="auto"/>
              <w:jc w:val="center"/>
              <w:rPr>
                <w:rFonts w:ascii="Cambria" w:eastAsia="SimSun" w:hAnsi="Cambria" w:cs="Times New Roman"/>
                <w:sz w:val="24"/>
                <w:szCs w:val="24"/>
              </w:rPr>
            </w:pPr>
            <w:r w:rsidRPr="00EA1BB2">
              <w:rPr>
                <w:rFonts w:ascii="Cambria" w:eastAsia="SimSun" w:hAnsi="Cambria" w:cs="Times New Roman"/>
                <w:sz w:val="24"/>
                <w:szCs w:val="24"/>
              </w:rPr>
              <w:t>Berte</w:t>
            </w:r>
            <w:r w:rsidR="00054880" w:rsidRPr="00EA1BB2">
              <w:rPr>
                <w:rFonts w:ascii="Cambria" w:eastAsia="SimSun" w:hAnsi="Cambria" w:cs="Times New Roman"/>
                <w:sz w:val="24"/>
                <w:szCs w:val="24"/>
              </w:rPr>
              <w:t>ș</w:t>
            </w:r>
            <w:r w:rsidRPr="00EA1BB2">
              <w:rPr>
                <w:rFonts w:ascii="Cambria" w:eastAsia="SimSun" w:hAnsi="Cambria" w:cs="Times New Roman"/>
                <w:sz w:val="24"/>
                <w:szCs w:val="24"/>
              </w:rPr>
              <w:t>tii de Jos, Victoria</w:t>
            </w:r>
          </w:p>
        </w:tc>
      </w:tr>
    </w:tbl>
    <w:p w14:paraId="4C673F4F" w14:textId="58D1D2AC" w:rsidR="008C67D8" w:rsidRPr="00EA1BB2" w:rsidRDefault="003C58E1" w:rsidP="00B445CD">
      <w:pPr>
        <w:spacing w:line="276" w:lineRule="auto"/>
        <w:jc w:val="both"/>
        <w:rPr>
          <w:rFonts w:ascii="Cambria" w:hAnsi="Cambria"/>
        </w:rPr>
      </w:pPr>
      <w:r w:rsidRPr="00EA1BB2">
        <w:rPr>
          <w:rFonts w:ascii="Cambria" w:hAnsi="Cambria"/>
        </w:rPr>
        <w:t xml:space="preserve">Sursa date: </w:t>
      </w:r>
      <w:r w:rsidR="00295F75" w:rsidRPr="00EA1BB2">
        <w:rPr>
          <w:rFonts w:ascii="Cambria" w:hAnsi="Cambria"/>
        </w:rPr>
        <w:t>APM Brăila - Raportul anual privind starea mediului pentru județul Brăila -</w:t>
      </w:r>
      <w:r w:rsidR="00C31A2A">
        <w:rPr>
          <w:rFonts w:ascii="Cambria" w:hAnsi="Cambria"/>
        </w:rPr>
        <w:t xml:space="preserve"> </w:t>
      </w:r>
      <w:r w:rsidR="00295F75" w:rsidRPr="00EA1BB2">
        <w:rPr>
          <w:rFonts w:ascii="Cambria" w:hAnsi="Cambria"/>
        </w:rPr>
        <w:t>Anul 201</w:t>
      </w:r>
      <w:r w:rsidR="00B445CD" w:rsidRPr="00EA1BB2">
        <w:rPr>
          <w:rFonts w:ascii="Cambria" w:hAnsi="Cambria"/>
        </w:rPr>
        <w:t>6</w:t>
      </w:r>
    </w:p>
    <w:p w14:paraId="2FF4AAD8" w14:textId="77777777" w:rsidR="000C0BED" w:rsidRPr="00EA1BB2" w:rsidRDefault="000C0BED" w:rsidP="006371FF">
      <w:pPr>
        <w:spacing w:line="360" w:lineRule="auto"/>
        <w:ind w:firstLine="708"/>
        <w:jc w:val="both"/>
        <w:rPr>
          <w:rFonts w:ascii="Cambria" w:hAnsi="Cambria"/>
          <w:sz w:val="24"/>
        </w:rPr>
      </w:pPr>
    </w:p>
    <w:p w14:paraId="584ADE95" w14:textId="77777777" w:rsidR="000257EC" w:rsidRPr="00EA1BB2" w:rsidRDefault="000D2505" w:rsidP="00C83C04">
      <w:pPr>
        <w:pStyle w:val="Heading2"/>
        <w:numPr>
          <w:ilvl w:val="1"/>
          <w:numId w:val="1"/>
        </w:numPr>
        <w:spacing w:before="0"/>
        <w:ind w:hanging="219"/>
        <w:jc w:val="both"/>
        <w:rPr>
          <w:rFonts w:ascii="Cambria" w:hAnsi="Cambria" w:cs="Times New Roman"/>
          <w:color w:val="0070C0"/>
          <w:szCs w:val="24"/>
        </w:rPr>
      </w:pPr>
      <w:bookmarkStart w:id="55" w:name="_Toc526889704"/>
      <w:r w:rsidRPr="00EA1BB2">
        <w:rPr>
          <w:rFonts w:ascii="Cambria" w:hAnsi="Cambria" w:cs="Times New Roman"/>
          <w:color w:val="0070C0"/>
          <w:szCs w:val="24"/>
        </w:rPr>
        <w:t>I</w:t>
      </w:r>
      <w:r w:rsidR="000257EC" w:rsidRPr="00EA1BB2">
        <w:rPr>
          <w:rFonts w:ascii="Cambria" w:hAnsi="Cambria" w:cs="Times New Roman"/>
          <w:color w:val="0070C0"/>
          <w:szCs w:val="24"/>
        </w:rPr>
        <w:t>nforma</w:t>
      </w:r>
      <w:r w:rsidR="00054880" w:rsidRPr="00EA1BB2">
        <w:rPr>
          <w:rFonts w:ascii="Cambria" w:hAnsi="Cambria" w:cs="Times New Roman"/>
          <w:color w:val="0070C0"/>
          <w:szCs w:val="24"/>
        </w:rPr>
        <w:t>ț</w:t>
      </w:r>
      <w:r w:rsidR="000257EC" w:rsidRPr="00EA1BB2">
        <w:rPr>
          <w:rFonts w:ascii="Cambria" w:hAnsi="Cambria" w:cs="Times New Roman"/>
          <w:color w:val="0070C0"/>
          <w:szCs w:val="24"/>
        </w:rPr>
        <w:t xml:space="preserve">ii privind tipul de </w:t>
      </w:r>
      <w:r w:rsidR="00054880" w:rsidRPr="00EA1BB2">
        <w:rPr>
          <w:rFonts w:ascii="Cambria" w:hAnsi="Cambria" w:cs="Times New Roman"/>
          <w:color w:val="0070C0"/>
          <w:szCs w:val="24"/>
        </w:rPr>
        <w:t>ț</w:t>
      </w:r>
      <w:r w:rsidR="000257EC" w:rsidRPr="00EA1BB2">
        <w:rPr>
          <w:rFonts w:ascii="Cambria" w:hAnsi="Cambria" w:cs="Times New Roman"/>
          <w:color w:val="0070C0"/>
          <w:szCs w:val="24"/>
        </w:rPr>
        <w:t>inte care necesită protec</w:t>
      </w:r>
      <w:r w:rsidR="00054880" w:rsidRPr="00EA1BB2">
        <w:rPr>
          <w:rFonts w:ascii="Cambria" w:hAnsi="Cambria" w:cs="Times New Roman"/>
          <w:color w:val="0070C0"/>
          <w:szCs w:val="24"/>
        </w:rPr>
        <w:t>ț</w:t>
      </w:r>
      <w:r w:rsidR="000257EC" w:rsidRPr="00EA1BB2">
        <w:rPr>
          <w:rFonts w:ascii="Cambria" w:hAnsi="Cambria" w:cs="Times New Roman"/>
          <w:color w:val="0070C0"/>
          <w:szCs w:val="24"/>
        </w:rPr>
        <w:t>ie în zonă</w:t>
      </w:r>
      <w:bookmarkEnd w:id="55"/>
    </w:p>
    <w:p w14:paraId="4B49EA39" w14:textId="60ECD6E4" w:rsidR="00431773" w:rsidRPr="00EA1BB2" w:rsidRDefault="00431773" w:rsidP="00431773">
      <w:pPr>
        <w:spacing w:line="360" w:lineRule="auto"/>
        <w:ind w:firstLine="720"/>
        <w:jc w:val="both"/>
        <w:rPr>
          <w:rFonts w:ascii="Cambria" w:eastAsia="Times New Roman" w:hAnsi="Cambria" w:cs="Times New Roman"/>
          <w:sz w:val="24"/>
          <w:szCs w:val="24"/>
        </w:rPr>
      </w:pPr>
      <w:r w:rsidRPr="00EA1BB2">
        <w:rPr>
          <w:rFonts w:ascii="Cambria" w:eastAsia="Times New Roman" w:hAnsi="Cambria" w:cs="Times New Roman"/>
          <w:sz w:val="24"/>
          <w:szCs w:val="24"/>
        </w:rPr>
        <w:t xml:space="preserve"> Din punct de vedere al influenței exercitate de poluanții atmosferici asupra stării de sănătate a mediului, se pot distinge două grupe de efecte: cele asupra populaților umane și cele asupra ecosistemelor naturale.</w:t>
      </w:r>
      <w:r w:rsidR="00C31A2A">
        <w:rPr>
          <w:rFonts w:ascii="Cambria" w:eastAsia="Times New Roman" w:hAnsi="Cambria" w:cs="Times New Roman"/>
          <w:sz w:val="24"/>
          <w:szCs w:val="24"/>
        </w:rPr>
        <w:t xml:space="preserve"> </w:t>
      </w:r>
      <w:r w:rsidRPr="00EA1BB2">
        <w:rPr>
          <w:rFonts w:ascii="Cambria" w:eastAsia="Times New Roman" w:hAnsi="Cambria" w:cs="Times New Roman"/>
          <w:sz w:val="24"/>
          <w:szCs w:val="24"/>
        </w:rPr>
        <w:t>Poluarea constă în contaminarea mediului cu materiale care pot influența negativ funcția naturală a ecosistemelor și care sunt dăunătoare sănătății.</w:t>
      </w:r>
    </w:p>
    <w:p w14:paraId="6DAB5C5A" w14:textId="57FDDEC7" w:rsidR="00431773" w:rsidRPr="00EA1BB2" w:rsidRDefault="00431773" w:rsidP="00431773">
      <w:pPr>
        <w:spacing w:line="360" w:lineRule="auto"/>
        <w:ind w:firstLine="720"/>
        <w:jc w:val="both"/>
        <w:rPr>
          <w:rFonts w:ascii="Cambria" w:eastAsia="Times New Roman" w:hAnsi="Cambria" w:cs="Times New Roman"/>
          <w:sz w:val="24"/>
          <w:szCs w:val="24"/>
        </w:rPr>
      </w:pPr>
      <w:r w:rsidRPr="00EA1BB2">
        <w:rPr>
          <w:rFonts w:ascii="Cambria" w:eastAsia="Times New Roman" w:hAnsi="Cambria" w:cs="Times New Roman"/>
          <w:sz w:val="24"/>
          <w:szCs w:val="24"/>
        </w:rPr>
        <w:lastRenderedPageBreak/>
        <w:t>Scopul măsurilor stabilite prin planul de menținere a calității aerului este acela de a proteja sănătatea oamenilor</w:t>
      </w:r>
      <w:r w:rsidR="00C31A2A">
        <w:rPr>
          <w:rFonts w:ascii="Cambria" w:eastAsia="Times New Roman" w:hAnsi="Cambria" w:cs="Times New Roman"/>
          <w:sz w:val="24"/>
          <w:szCs w:val="24"/>
        </w:rPr>
        <w:t xml:space="preserve"> </w:t>
      </w:r>
      <w:r w:rsidRPr="00EA1BB2">
        <w:rPr>
          <w:rFonts w:ascii="Cambria" w:eastAsia="Times New Roman" w:hAnsi="Cambria" w:cs="Times New Roman"/>
          <w:sz w:val="24"/>
          <w:szCs w:val="24"/>
        </w:rPr>
        <w:t>și ecosistemele naturale față de efectele directe și indirecte ale unor substanțe poluante care sunt emise de diverse surse în atmosferă.</w:t>
      </w:r>
    </w:p>
    <w:p w14:paraId="6202EC1E" w14:textId="77777777" w:rsidR="00431773" w:rsidRPr="00EA1BB2" w:rsidRDefault="00431773" w:rsidP="00431773">
      <w:pPr>
        <w:spacing w:line="360" w:lineRule="auto"/>
        <w:ind w:firstLine="720"/>
        <w:jc w:val="both"/>
        <w:rPr>
          <w:rFonts w:ascii="Cambria" w:eastAsia="Times New Roman" w:hAnsi="Cambria" w:cs="Times New Roman"/>
          <w:sz w:val="24"/>
          <w:szCs w:val="24"/>
        </w:rPr>
      </w:pPr>
      <w:r w:rsidRPr="00EA1BB2">
        <w:rPr>
          <w:rFonts w:ascii="Cambria" w:eastAsia="Times New Roman" w:hAnsi="Cambria" w:cs="Times New Roman"/>
          <w:sz w:val="24"/>
          <w:szCs w:val="24"/>
        </w:rPr>
        <w:t>Zonele sensibile sunt acelea în care densitatea locuitorilor este crescută și implicit numărul surselor de emisie este mai mare, în principal zonele locuite riverane drumurilor intens circulate, intersecțiilor și zonelor cu acumulare de surse de emisie, ce pot accentua caracterul cumulativ al concentrațiilor și depășiri ale valorii-limită.</w:t>
      </w:r>
    </w:p>
    <w:p w14:paraId="25292BD1" w14:textId="77777777" w:rsidR="00431773" w:rsidRPr="00EA1BB2" w:rsidRDefault="00431773" w:rsidP="00431773">
      <w:pPr>
        <w:spacing w:line="360" w:lineRule="auto"/>
        <w:ind w:firstLine="720"/>
        <w:jc w:val="both"/>
        <w:rPr>
          <w:rFonts w:ascii="Cambria" w:eastAsia="Times New Roman" w:hAnsi="Cambria" w:cs="Times New Roman"/>
          <w:sz w:val="24"/>
          <w:szCs w:val="24"/>
        </w:rPr>
      </w:pPr>
      <w:r w:rsidRPr="00EA1BB2">
        <w:rPr>
          <w:rFonts w:ascii="Cambria" w:eastAsia="Times New Roman" w:hAnsi="Cambria" w:cs="Times New Roman"/>
          <w:sz w:val="24"/>
          <w:szCs w:val="24"/>
        </w:rPr>
        <w:t>Zone sensibile sunt și ariile din vecinătatea unor surse de emisii fixe cu intensitate potențial ridicată cum a</w:t>
      </w:r>
      <w:r w:rsidR="00A57AA2" w:rsidRPr="00EA1BB2">
        <w:rPr>
          <w:rFonts w:ascii="Cambria" w:eastAsia="Times New Roman" w:hAnsi="Cambria" w:cs="Times New Roman"/>
          <w:sz w:val="24"/>
          <w:szCs w:val="24"/>
        </w:rPr>
        <w:t>r fi: instalații mari de ardere</w:t>
      </w:r>
      <w:r w:rsidRPr="00EA1BB2">
        <w:rPr>
          <w:rFonts w:ascii="Cambria" w:eastAsia="Times New Roman" w:hAnsi="Cambria" w:cs="Times New Roman"/>
          <w:sz w:val="24"/>
          <w:szCs w:val="24"/>
        </w:rPr>
        <w:t>, stații de epurare a apelor uzate, căi de trafic intens, sisteme de incinerare, etc.</w:t>
      </w:r>
    </w:p>
    <w:p w14:paraId="3782C080" w14:textId="77777777" w:rsidR="00475C98" w:rsidRPr="00EA1BB2" w:rsidRDefault="00475C98" w:rsidP="00475C98">
      <w:pPr>
        <w:spacing w:line="360" w:lineRule="auto"/>
        <w:ind w:firstLine="720"/>
        <w:jc w:val="both"/>
        <w:rPr>
          <w:rFonts w:ascii="Cambria" w:eastAsia="Times New Roman" w:hAnsi="Cambria" w:cs="Times New Roman"/>
          <w:sz w:val="24"/>
          <w:szCs w:val="24"/>
        </w:rPr>
      </w:pPr>
      <w:r w:rsidRPr="00EA1BB2">
        <w:rPr>
          <w:rFonts w:ascii="Cambria" w:hAnsi="Cambria"/>
          <w:sz w:val="24"/>
        </w:rPr>
        <w:t>Densitatea locuitorilor este crescută și implicit numărul surselor de emisie mai mare, în principal în zonele urbane așa cum se poate observa și în planșa de mai jos.</w:t>
      </w:r>
    </w:p>
    <w:p w14:paraId="2E1FC498" w14:textId="77777777" w:rsidR="00475C98" w:rsidRPr="00EA1BB2" w:rsidRDefault="00475C98" w:rsidP="00475C98">
      <w:pPr>
        <w:rPr>
          <w:rFonts w:ascii="Cambria" w:hAnsi="Cambria"/>
        </w:rPr>
      </w:pPr>
    </w:p>
    <w:p w14:paraId="13C5C9BF" w14:textId="50231512" w:rsidR="00475C98" w:rsidRPr="00EA1BB2" w:rsidRDefault="00475C98" w:rsidP="00475C98">
      <w:pPr>
        <w:pStyle w:val="Caption"/>
        <w:keepNext/>
        <w:spacing w:after="0" w:line="360" w:lineRule="auto"/>
        <w:ind w:firstLine="708"/>
        <w:rPr>
          <w:rFonts w:ascii="Cambria" w:hAnsi="Cambria"/>
        </w:rPr>
      </w:pPr>
      <w:bookmarkStart w:id="56" w:name="_Toc524966206"/>
      <w:r w:rsidRPr="00EA1BB2">
        <w:rPr>
          <w:rFonts w:ascii="Cambria" w:hAnsi="Cambria"/>
        </w:rPr>
        <w:t xml:space="preserve">Figura nr. </w:t>
      </w:r>
      <w:r w:rsidR="00280BC9" w:rsidRPr="00EA1BB2">
        <w:rPr>
          <w:rFonts w:ascii="Cambria" w:hAnsi="Cambria"/>
        </w:rPr>
        <w:fldChar w:fldCharType="begin"/>
      </w:r>
      <w:r w:rsidR="00BA6FA3" w:rsidRPr="00EA1BB2">
        <w:rPr>
          <w:rFonts w:ascii="Cambria" w:hAnsi="Cambria"/>
        </w:rPr>
        <w:instrText xml:space="preserve"> STYLEREF 1 \s </w:instrText>
      </w:r>
      <w:r w:rsidR="00280BC9" w:rsidRPr="00EA1BB2">
        <w:rPr>
          <w:rFonts w:ascii="Cambria" w:hAnsi="Cambria"/>
        </w:rPr>
        <w:fldChar w:fldCharType="separate"/>
      </w:r>
      <w:r w:rsidR="00567555">
        <w:rPr>
          <w:rFonts w:ascii="Cambria" w:hAnsi="Cambria"/>
          <w:noProof/>
        </w:rPr>
        <w:t>2</w:t>
      </w:r>
      <w:r w:rsidR="00280BC9" w:rsidRPr="00EA1BB2">
        <w:rPr>
          <w:rFonts w:ascii="Cambria" w:hAnsi="Cambria"/>
        </w:rPr>
        <w:fldChar w:fldCharType="end"/>
      </w:r>
      <w:r w:rsidR="00BA6FA3" w:rsidRPr="00EA1BB2">
        <w:rPr>
          <w:rFonts w:ascii="Cambria" w:hAnsi="Cambria"/>
        </w:rPr>
        <w:noBreakHyphen/>
      </w:r>
      <w:r w:rsidR="00280BC9" w:rsidRPr="00EA1BB2">
        <w:rPr>
          <w:rFonts w:ascii="Cambria" w:hAnsi="Cambria"/>
        </w:rPr>
        <w:fldChar w:fldCharType="begin"/>
      </w:r>
      <w:r w:rsidR="00BA6FA3" w:rsidRPr="00EA1BB2">
        <w:rPr>
          <w:rFonts w:ascii="Cambria" w:hAnsi="Cambria"/>
        </w:rPr>
        <w:instrText xml:space="preserve"> SEQ Figura_nr. \* ARABIC \s 1 </w:instrText>
      </w:r>
      <w:r w:rsidR="00280BC9" w:rsidRPr="00EA1BB2">
        <w:rPr>
          <w:rFonts w:ascii="Cambria" w:hAnsi="Cambria"/>
        </w:rPr>
        <w:fldChar w:fldCharType="separate"/>
      </w:r>
      <w:r w:rsidR="00567555">
        <w:rPr>
          <w:rFonts w:ascii="Cambria" w:hAnsi="Cambria"/>
          <w:noProof/>
        </w:rPr>
        <w:t>13</w:t>
      </w:r>
      <w:r w:rsidR="00280BC9" w:rsidRPr="00EA1BB2">
        <w:rPr>
          <w:rFonts w:ascii="Cambria" w:hAnsi="Cambria"/>
        </w:rPr>
        <w:fldChar w:fldCharType="end"/>
      </w:r>
      <w:r w:rsidRPr="00EA1BB2">
        <w:rPr>
          <w:rFonts w:ascii="Cambria" w:hAnsi="Cambria"/>
        </w:rPr>
        <w:t xml:space="preserve"> – Distribuția densității populației/km</w:t>
      </w:r>
      <w:r w:rsidRPr="00EA1BB2">
        <w:rPr>
          <w:rFonts w:ascii="Cambria" w:hAnsi="Cambria"/>
          <w:vertAlign w:val="superscript"/>
        </w:rPr>
        <w:t>2</w:t>
      </w:r>
      <w:r w:rsidRPr="00EA1BB2">
        <w:rPr>
          <w:rFonts w:ascii="Cambria" w:hAnsi="Cambria"/>
        </w:rPr>
        <w:t xml:space="preserve"> în județul Brăila</w:t>
      </w:r>
      <w:bookmarkEnd w:id="56"/>
    </w:p>
    <w:p w14:paraId="25D965A7" w14:textId="77777777" w:rsidR="00475C98" w:rsidRPr="00EA1BB2" w:rsidRDefault="00475C98" w:rsidP="00475C98">
      <w:pPr>
        <w:spacing w:line="360" w:lineRule="auto"/>
        <w:jc w:val="center"/>
        <w:rPr>
          <w:rFonts w:ascii="Cambria" w:hAnsi="Cambria" w:cs="Times New Roman"/>
          <w:sz w:val="24"/>
          <w:szCs w:val="24"/>
        </w:rPr>
      </w:pPr>
      <w:r w:rsidRPr="00EA1BB2">
        <w:rPr>
          <w:rFonts w:ascii="Cambria" w:hAnsi="Cambria" w:cs="Times New Roman"/>
          <w:noProof/>
          <w:sz w:val="24"/>
          <w:szCs w:val="24"/>
          <w:lang w:val="en-US"/>
        </w:rPr>
        <w:drawing>
          <wp:inline distT="0" distB="0" distL="0" distR="0" wp14:anchorId="08268CAD" wp14:editId="49EF7EF2">
            <wp:extent cx="5760000" cy="4077181"/>
            <wp:effectExtent l="19050" t="19050" r="12700" b="190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5.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60000" cy="4077181"/>
                    </a:xfrm>
                    <a:prstGeom prst="rect">
                      <a:avLst/>
                    </a:prstGeom>
                    <a:ln>
                      <a:solidFill>
                        <a:sysClr val="window" lastClr="FFFFFF">
                          <a:lumMod val="85000"/>
                        </a:sysClr>
                      </a:solidFill>
                    </a:ln>
                  </pic:spPr>
                </pic:pic>
              </a:graphicData>
            </a:graphic>
          </wp:inline>
        </w:drawing>
      </w:r>
    </w:p>
    <w:p w14:paraId="201D732A" w14:textId="77777777" w:rsidR="00EE54D7" w:rsidRPr="00EA1BB2" w:rsidRDefault="00EE54D7" w:rsidP="00EE54D7">
      <w:pPr>
        <w:spacing w:line="360" w:lineRule="auto"/>
        <w:ind w:firstLine="714"/>
        <w:jc w:val="both"/>
        <w:rPr>
          <w:rFonts w:ascii="Cambria" w:eastAsia="Times New Roman" w:hAnsi="Cambria" w:cs="Times New Roman"/>
          <w:sz w:val="24"/>
        </w:rPr>
      </w:pPr>
    </w:p>
    <w:p w14:paraId="24D7CE47" w14:textId="77777777" w:rsidR="00EE54D7" w:rsidRPr="00EA1BB2" w:rsidRDefault="00EE54D7" w:rsidP="00EE54D7">
      <w:pPr>
        <w:spacing w:line="360" w:lineRule="auto"/>
        <w:ind w:firstLine="714"/>
        <w:jc w:val="both"/>
        <w:rPr>
          <w:rFonts w:ascii="Cambria" w:eastAsia="Times New Roman" w:hAnsi="Cambria" w:cs="Times New Roman"/>
          <w:sz w:val="24"/>
        </w:rPr>
      </w:pPr>
      <w:r w:rsidRPr="00EA1BB2">
        <w:rPr>
          <w:rFonts w:ascii="Cambria" w:eastAsia="Times New Roman" w:hAnsi="Cambria" w:cs="Times New Roman"/>
          <w:sz w:val="24"/>
        </w:rPr>
        <w:t>Folosind datele furnizate de INS privind distribuția populației pe grupe mici de vârstă la 1 ianuarie 201</w:t>
      </w:r>
      <w:r w:rsidR="00431773" w:rsidRPr="00EA1BB2">
        <w:rPr>
          <w:rFonts w:ascii="Cambria" w:eastAsia="Times New Roman" w:hAnsi="Cambria" w:cs="Times New Roman"/>
          <w:sz w:val="24"/>
        </w:rPr>
        <w:t>7</w:t>
      </w:r>
      <w:r w:rsidRPr="00EA1BB2">
        <w:rPr>
          <w:rFonts w:ascii="Cambria" w:eastAsia="Times New Roman" w:hAnsi="Cambria" w:cs="Times New Roman"/>
          <w:sz w:val="24"/>
        </w:rPr>
        <w:t>, a fost realizată piramida vârstelor pentru zona de studiu</w:t>
      </w:r>
      <w:r w:rsidR="00431773" w:rsidRPr="00EA1BB2">
        <w:rPr>
          <w:rFonts w:ascii="Cambria" w:eastAsia="Times New Roman" w:hAnsi="Cambria" w:cs="Times New Roman"/>
          <w:sz w:val="24"/>
        </w:rPr>
        <w:t>.</w:t>
      </w:r>
    </w:p>
    <w:p w14:paraId="0611403B" w14:textId="77777777" w:rsidR="00086957" w:rsidRPr="00EA1BB2" w:rsidRDefault="00086957" w:rsidP="00EE54D7">
      <w:pPr>
        <w:spacing w:line="360" w:lineRule="auto"/>
        <w:ind w:firstLine="714"/>
        <w:jc w:val="both"/>
        <w:rPr>
          <w:rFonts w:ascii="Cambria" w:eastAsia="Times New Roman" w:hAnsi="Cambria" w:cs="Times New Roman"/>
          <w:sz w:val="24"/>
        </w:rPr>
      </w:pPr>
    </w:p>
    <w:p w14:paraId="5ED9C104" w14:textId="198874AF" w:rsidR="00EE54D7" w:rsidRPr="00EA1BB2" w:rsidRDefault="00EE54D7" w:rsidP="00EE54D7">
      <w:pPr>
        <w:spacing w:line="360" w:lineRule="auto"/>
        <w:ind w:firstLine="714"/>
        <w:jc w:val="both"/>
        <w:rPr>
          <w:rFonts w:ascii="Cambria" w:eastAsia="Times New Roman" w:hAnsi="Cambria" w:cs="Times New Roman"/>
          <w:b/>
          <w:iCs/>
          <w:noProof/>
          <w:sz w:val="24"/>
          <w:szCs w:val="18"/>
          <w:lang w:eastAsia="ro-RO"/>
        </w:rPr>
      </w:pPr>
      <w:bookmarkStart w:id="57" w:name="_Toc496014100"/>
      <w:bookmarkStart w:id="58" w:name="_Toc524966207"/>
      <w:r w:rsidRPr="00EA1BB2">
        <w:rPr>
          <w:rFonts w:ascii="Cambria" w:eastAsia="Calibri" w:hAnsi="Cambria" w:cs="Times New Roman"/>
          <w:b/>
          <w:iCs/>
          <w:sz w:val="24"/>
          <w:szCs w:val="18"/>
        </w:rPr>
        <w:lastRenderedPageBreak/>
        <w:t xml:space="preserve">Figura nr. </w:t>
      </w:r>
      <w:r w:rsidR="00280BC9" w:rsidRPr="00EA1BB2">
        <w:rPr>
          <w:rFonts w:ascii="Cambria" w:eastAsia="Calibri" w:hAnsi="Cambria" w:cs="Times New Roman"/>
          <w:b/>
          <w:iCs/>
          <w:sz w:val="24"/>
          <w:szCs w:val="18"/>
        </w:rPr>
        <w:fldChar w:fldCharType="begin"/>
      </w:r>
      <w:r w:rsidR="00BA6FA3" w:rsidRPr="00EA1BB2">
        <w:rPr>
          <w:rFonts w:ascii="Cambria" w:eastAsia="Calibri" w:hAnsi="Cambria" w:cs="Times New Roman"/>
          <w:b/>
          <w:iCs/>
          <w:sz w:val="24"/>
          <w:szCs w:val="18"/>
        </w:rPr>
        <w:instrText xml:space="preserve"> STYLEREF 1 \s </w:instrText>
      </w:r>
      <w:r w:rsidR="00280BC9" w:rsidRPr="00EA1BB2">
        <w:rPr>
          <w:rFonts w:ascii="Cambria" w:eastAsia="Calibri" w:hAnsi="Cambria" w:cs="Times New Roman"/>
          <w:b/>
          <w:iCs/>
          <w:sz w:val="24"/>
          <w:szCs w:val="18"/>
        </w:rPr>
        <w:fldChar w:fldCharType="separate"/>
      </w:r>
      <w:r w:rsidR="00567555">
        <w:rPr>
          <w:rFonts w:ascii="Cambria" w:eastAsia="Calibri" w:hAnsi="Cambria" w:cs="Times New Roman"/>
          <w:b/>
          <w:iCs/>
          <w:noProof/>
          <w:sz w:val="24"/>
          <w:szCs w:val="18"/>
        </w:rPr>
        <w:t>2</w:t>
      </w:r>
      <w:r w:rsidR="00280BC9" w:rsidRPr="00EA1BB2">
        <w:rPr>
          <w:rFonts w:ascii="Cambria" w:eastAsia="Calibri" w:hAnsi="Cambria" w:cs="Times New Roman"/>
          <w:b/>
          <w:iCs/>
          <w:sz w:val="24"/>
          <w:szCs w:val="18"/>
        </w:rPr>
        <w:fldChar w:fldCharType="end"/>
      </w:r>
      <w:r w:rsidR="00BA6FA3" w:rsidRPr="00EA1BB2">
        <w:rPr>
          <w:rFonts w:ascii="Cambria" w:eastAsia="Calibri" w:hAnsi="Cambria" w:cs="Times New Roman"/>
          <w:b/>
          <w:iCs/>
          <w:sz w:val="24"/>
          <w:szCs w:val="18"/>
        </w:rPr>
        <w:noBreakHyphen/>
      </w:r>
      <w:r w:rsidR="00280BC9" w:rsidRPr="00EA1BB2">
        <w:rPr>
          <w:rFonts w:ascii="Cambria" w:eastAsia="Calibri" w:hAnsi="Cambria" w:cs="Times New Roman"/>
          <w:b/>
          <w:iCs/>
          <w:sz w:val="24"/>
          <w:szCs w:val="18"/>
        </w:rPr>
        <w:fldChar w:fldCharType="begin"/>
      </w:r>
      <w:r w:rsidR="00BA6FA3" w:rsidRPr="00EA1BB2">
        <w:rPr>
          <w:rFonts w:ascii="Cambria" w:eastAsia="Calibri" w:hAnsi="Cambria" w:cs="Times New Roman"/>
          <w:b/>
          <w:iCs/>
          <w:sz w:val="24"/>
          <w:szCs w:val="18"/>
        </w:rPr>
        <w:instrText xml:space="preserve"> SEQ Figura_nr. \* ARABIC \s 1 </w:instrText>
      </w:r>
      <w:r w:rsidR="00280BC9" w:rsidRPr="00EA1BB2">
        <w:rPr>
          <w:rFonts w:ascii="Cambria" w:eastAsia="Calibri" w:hAnsi="Cambria" w:cs="Times New Roman"/>
          <w:b/>
          <w:iCs/>
          <w:sz w:val="24"/>
          <w:szCs w:val="18"/>
        </w:rPr>
        <w:fldChar w:fldCharType="separate"/>
      </w:r>
      <w:r w:rsidR="00567555">
        <w:rPr>
          <w:rFonts w:ascii="Cambria" w:eastAsia="Calibri" w:hAnsi="Cambria" w:cs="Times New Roman"/>
          <w:b/>
          <w:iCs/>
          <w:noProof/>
          <w:sz w:val="24"/>
          <w:szCs w:val="18"/>
        </w:rPr>
        <w:t>14</w:t>
      </w:r>
      <w:r w:rsidR="00280BC9" w:rsidRPr="00EA1BB2">
        <w:rPr>
          <w:rFonts w:ascii="Cambria" w:eastAsia="Calibri" w:hAnsi="Cambria" w:cs="Times New Roman"/>
          <w:b/>
          <w:iCs/>
          <w:sz w:val="24"/>
          <w:szCs w:val="18"/>
        </w:rPr>
        <w:fldChar w:fldCharType="end"/>
      </w:r>
      <w:r w:rsidRPr="00EA1BB2">
        <w:rPr>
          <w:rFonts w:ascii="Cambria" w:eastAsia="Calibri" w:hAnsi="Cambria" w:cs="Times New Roman"/>
          <w:b/>
          <w:iCs/>
          <w:sz w:val="24"/>
          <w:szCs w:val="18"/>
        </w:rPr>
        <w:t xml:space="preserve"> - Piramida vârstelor în anul 201</w:t>
      </w:r>
      <w:bookmarkEnd w:id="57"/>
      <w:r w:rsidRPr="00EA1BB2">
        <w:rPr>
          <w:rFonts w:ascii="Cambria" w:eastAsia="Calibri" w:hAnsi="Cambria" w:cs="Times New Roman"/>
          <w:b/>
          <w:iCs/>
          <w:sz w:val="24"/>
          <w:szCs w:val="18"/>
        </w:rPr>
        <w:t>7</w:t>
      </w:r>
      <w:bookmarkEnd w:id="58"/>
    </w:p>
    <w:p w14:paraId="62CEAF63" w14:textId="77777777" w:rsidR="0001666E" w:rsidRPr="00EA1BB2" w:rsidRDefault="00EE54D7" w:rsidP="0001666E">
      <w:pPr>
        <w:spacing w:line="276" w:lineRule="auto"/>
        <w:rPr>
          <w:rFonts w:ascii="Cambria" w:hAnsi="Cambria"/>
        </w:rPr>
      </w:pPr>
      <w:r w:rsidRPr="00EA1BB2">
        <w:rPr>
          <w:rFonts w:ascii="Cambria" w:eastAsia="Times New Roman" w:hAnsi="Cambria" w:cs="Times New Roman"/>
          <w:noProof/>
          <w:sz w:val="24"/>
          <w:lang w:val="en-US"/>
        </w:rPr>
        <w:drawing>
          <wp:inline distT="0" distB="0" distL="0" distR="0" wp14:anchorId="03E5E94D" wp14:editId="2633EB38">
            <wp:extent cx="5759450" cy="4305300"/>
            <wp:effectExtent l="0" t="0" r="12700" b="0"/>
            <wp:docPr id="71" name="Chart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r w:rsidR="0001666E" w:rsidRPr="00EA1BB2">
        <w:rPr>
          <w:rFonts w:ascii="Cambria" w:hAnsi="Cambria"/>
        </w:rPr>
        <w:t xml:space="preserve">Sursa date: </w:t>
      </w:r>
      <w:hyperlink r:id="rId46" w:history="1">
        <w:r w:rsidR="0001666E" w:rsidRPr="00EA1BB2">
          <w:rPr>
            <w:rStyle w:val="Hyperlink"/>
            <w:rFonts w:ascii="Cambria" w:hAnsi="Cambria"/>
          </w:rPr>
          <w:t>http://statistici.insse.ro/shop/index.jsp?page=tempo3&amp;lang=ro&amp;ind=POP105A</w:t>
        </w:r>
      </w:hyperlink>
    </w:p>
    <w:p w14:paraId="2E2B4940" w14:textId="77777777" w:rsidR="00EE54D7" w:rsidRPr="00EA1BB2" w:rsidRDefault="00EE54D7" w:rsidP="0001666E">
      <w:pPr>
        <w:spacing w:line="276" w:lineRule="auto"/>
        <w:rPr>
          <w:rFonts w:ascii="Cambria" w:hAnsi="Cambria"/>
          <w:sz w:val="24"/>
        </w:rPr>
      </w:pPr>
    </w:p>
    <w:p w14:paraId="4DA5DF63" w14:textId="77777777" w:rsidR="00EE54D7" w:rsidRPr="00EA1BB2" w:rsidRDefault="00EE54D7" w:rsidP="00EE54D7">
      <w:pPr>
        <w:spacing w:line="360" w:lineRule="auto"/>
        <w:ind w:firstLine="714"/>
        <w:jc w:val="both"/>
        <w:rPr>
          <w:rFonts w:ascii="Cambria" w:eastAsia="Times New Roman" w:hAnsi="Cambria" w:cs="Times New Roman"/>
          <w:sz w:val="24"/>
        </w:rPr>
      </w:pPr>
      <w:r w:rsidRPr="00EA1BB2">
        <w:rPr>
          <w:rFonts w:ascii="Cambria" w:eastAsia="Times New Roman" w:hAnsi="Cambria" w:cs="Times New Roman"/>
          <w:sz w:val="24"/>
        </w:rPr>
        <w:t>Ca structură a populației pe grupe de vârstă, în județul Brăila persoanele mature formează majoritatea. La 1 ianuarie 2017, copiii (0-14 ani) dețin o pondere de 14,03% din totalul populației stabile a județului Brăila, populația tânără (15 - 24 ani) reprezintă un procentaj de 10,34%, persoanele mature (25 – 64 ani) reprezintă 54,66%, iar persoanele în vârstă de peste 65 ani reprezintă 20,97% din total.</w:t>
      </w:r>
    </w:p>
    <w:p w14:paraId="6F77A936" w14:textId="6DDA188E" w:rsidR="008B6CA4" w:rsidRPr="00EA1BB2" w:rsidRDefault="000B1F8E" w:rsidP="00AA4794">
      <w:pPr>
        <w:pStyle w:val="Caption"/>
        <w:spacing w:after="0" w:line="360" w:lineRule="auto"/>
        <w:ind w:firstLine="708"/>
        <w:jc w:val="both"/>
        <w:rPr>
          <w:rFonts w:ascii="Cambria" w:eastAsia="Times New Roman" w:hAnsi="Cambria" w:cs="Times New Roman"/>
          <w:b w:val="0"/>
          <w:szCs w:val="24"/>
        </w:rPr>
      </w:pPr>
      <w:r w:rsidRPr="00EA1BB2">
        <w:rPr>
          <w:rFonts w:ascii="Cambria" w:eastAsia="Times New Roman" w:hAnsi="Cambria" w:cs="Times New Roman"/>
          <w:b w:val="0"/>
          <w:szCs w:val="24"/>
        </w:rPr>
        <w:t>Se definesc ca ținte ce necesită protecție la poluare, de asemenea, ariile naturale protejate, la</w:t>
      </w:r>
      <w:r w:rsidR="00C31A2A">
        <w:rPr>
          <w:rFonts w:ascii="Cambria" w:eastAsia="Times New Roman" w:hAnsi="Cambria" w:cs="Times New Roman"/>
          <w:b w:val="0"/>
          <w:szCs w:val="24"/>
        </w:rPr>
        <w:t xml:space="preserve"> </w:t>
      </w:r>
      <w:r w:rsidRPr="00EA1BB2">
        <w:rPr>
          <w:rFonts w:ascii="Cambria" w:eastAsia="Times New Roman" w:hAnsi="Cambria" w:cs="Times New Roman"/>
          <w:b w:val="0"/>
          <w:szCs w:val="24"/>
        </w:rPr>
        <w:t>nivelul anului 2016 existau 26 de arii naturale protejate desemnate</w:t>
      </w:r>
      <w:r w:rsidR="00AA4794" w:rsidRPr="00EA1BB2">
        <w:rPr>
          <w:rFonts w:ascii="Cambria" w:eastAsia="Times New Roman" w:hAnsi="Cambria" w:cs="Times New Roman"/>
          <w:b w:val="0"/>
          <w:szCs w:val="24"/>
        </w:rPr>
        <w:t xml:space="preserve"> cu o suprafață totală de aproximativ 62.000 ha</w:t>
      </w:r>
      <w:r w:rsidRPr="00EA1BB2">
        <w:rPr>
          <w:rFonts w:ascii="Cambria" w:eastAsia="Times New Roman" w:hAnsi="Cambria" w:cs="Times New Roman"/>
          <w:b w:val="0"/>
          <w:szCs w:val="24"/>
        </w:rPr>
        <w:t>: 3 de interes național, 2 de interes județean și local, două de interes internațional și 19 de interes comunitar (10 SPA și 9 SCI).</w:t>
      </w:r>
      <w:r w:rsidR="00C31A2A">
        <w:rPr>
          <w:rFonts w:ascii="Cambria" w:eastAsia="Times New Roman" w:hAnsi="Cambria" w:cs="Times New Roman"/>
          <w:b w:val="0"/>
          <w:szCs w:val="24"/>
        </w:rPr>
        <w:t xml:space="preserve"> </w:t>
      </w:r>
      <w:r w:rsidRPr="00EA1BB2">
        <w:rPr>
          <w:rFonts w:ascii="Cambria" w:eastAsia="Times New Roman" w:hAnsi="Cambria" w:cs="Times New Roman"/>
          <w:b w:val="0"/>
          <w:szCs w:val="24"/>
        </w:rPr>
        <w:t xml:space="preserve">Distribuția în județ a ariilor protejate este evidențiată în figura nr. </w:t>
      </w:r>
      <w:r w:rsidR="00AA4794" w:rsidRPr="00EA1BB2">
        <w:rPr>
          <w:rFonts w:ascii="Cambria" w:eastAsia="Times New Roman" w:hAnsi="Cambria" w:cs="Times New Roman"/>
          <w:b w:val="0"/>
          <w:szCs w:val="24"/>
        </w:rPr>
        <w:t>2-12</w:t>
      </w:r>
      <w:r w:rsidRPr="00EA1BB2">
        <w:rPr>
          <w:rFonts w:ascii="Cambria" w:eastAsia="Times New Roman" w:hAnsi="Cambria" w:cs="Times New Roman"/>
          <w:b w:val="0"/>
          <w:szCs w:val="24"/>
        </w:rPr>
        <w:t>.</w:t>
      </w:r>
    </w:p>
    <w:p w14:paraId="5CA36B0F" w14:textId="09E51A32" w:rsidR="00901DDA" w:rsidRPr="00EA1BB2" w:rsidRDefault="00F0674C" w:rsidP="00901DDA">
      <w:pPr>
        <w:spacing w:line="360" w:lineRule="auto"/>
        <w:ind w:firstLine="708"/>
        <w:jc w:val="both"/>
        <w:rPr>
          <w:rFonts w:ascii="Cambria" w:hAnsi="Cambria"/>
          <w:sz w:val="24"/>
          <w:szCs w:val="24"/>
        </w:rPr>
      </w:pPr>
      <w:r w:rsidRPr="00EA1BB2">
        <w:rPr>
          <w:rFonts w:ascii="Cambria" w:hAnsi="Cambria"/>
          <w:sz w:val="24"/>
          <w:szCs w:val="24"/>
        </w:rPr>
        <w:t xml:space="preserve">În urma </w:t>
      </w:r>
      <w:r w:rsidR="00901DDA" w:rsidRPr="00EA1BB2">
        <w:rPr>
          <w:rFonts w:ascii="Cambria" w:hAnsi="Cambria"/>
          <w:sz w:val="24"/>
          <w:szCs w:val="24"/>
        </w:rPr>
        <w:t xml:space="preserve">analizei rezultatelor modelării dispersiei poluanților în atmosferă și </w:t>
      </w:r>
      <w:r w:rsidRPr="00EA1BB2">
        <w:rPr>
          <w:rFonts w:ascii="Cambria" w:hAnsi="Cambria"/>
          <w:sz w:val="24"/>
          <w:szCs w:val="24"/>
        </w:rPr>
        <w:t xml:space="preserve">analizei celor mai recente date de la stațiile de monitorizare a calității aerului, </w:t>
      </w:r>
      <w:r w:rsidR="007B2959" w:rsidRPr="00EA1BB2">
        <w:rPr>
          <w:rFonts w:ascii="Cambria" w:hAnsi="Cambria"/>
          <w:sz w:val="24"/>
          <w:szCs w:val="24"/>
        </w:rPr>
        <w:t xml:space="preserve">se asigură conformarea </w:t>
      </w:r>
      <w:r w:rsidRPr="00EA1BB2">
        <w:rPr>
          <w:rFonts w:ascii="Cambria" w:hAnsi="Cambria"/>
          <w:sz w:val="24"/>
          <w:szCs w:val="24"/>
        </w:rPr>
        <w:t>la</w:t>
      </w:r>
      <w:r w:rsidR="007B2959" w:rsidRPr="00EA1BB2">
        <w:rPr>
          <w:rFonts w:ascii="Cambria" w:hAnsi="Cambria"/>
          <w:sz w:val="24"/>
          <w:szCs w:val="24"/>
        </w:rPr>
        <w:t xml:space="preserve"> nivelurile critice, prevăzute la lit. F</w:t>
      </w:r>
      <w:r w:rsidR="00B363AD" w:rsidRPr="00EA1BB2">
        <w:rPr>
          <w:rFonts w:ascii="Cambria" w:hAnsi="Cambria"/>
          <w:sz w:val="24"/>
          <w:szCs w:val="24"/>
        </w:rPr>
        <w:t xml:space="preserve"> </w:t>
      </w:r>
      <w:r w:rsidR="007B2959" w:rsidRPr="00EA1BB2">
        <w:rPr>
          <w:rFonts w:ascii="Cambria" w:hAnsi="Cambria"/>
          <w:sz w:val="24"/>
          <w:szCs w:val="24"/>
        </w:rPr>
        <w:t>din anexa nr. 3 la Legea 104/2011 privind calitatea</w:t>
      </w:r>
      <w:r w:rsidR="00901DDA" w:rsidRPr="00EA1BB2">
        <w:rPr>
          <w:rFonts w:ascii="Cambria" w:hAnsi="Cambria"/>
          <w:sz w:val="24"/>
          <w:szCs w:val="24"/>
        </w:rPr>
        <w:t xml:space="preserve"> aerului înconjurător,</w:t>
      </w:r>
      <w:r w:rsidR="00B363AD" w:rsidRPr="00EA1BB2">
        <w:rPr>
          <w:rFonts w:ascii="Cambria" w:hAnsi="Cambria"/>
          <w:sz w:val="24"/>
          <w:szCs w:val="24"/>
        </w:rPr>
        <w:t xml:space="preserve"> </w:t>
      </w:r>
      <w:r w:rsidR="00901DDA" w:rsidRPr="00EA1BB2">
        <w:rPr>
          <w:rFonts w:ascii="Cambria" w:hAnsi="Cambria"/>
          <w:sz w:val="24"/>
          <w:szCs w:val="24"/>
        </w:rPr>
        <w:t>în scopul protecției vegetației și a</w:t>
      </w:r>
      <w:r w:rsidR="00B363AD" w:rsidRPr="00EA1BB2">
        <w:rPr>
          <w:rFonts w:ascii="Cambria" w:hAnsi="Cambria"/>
          <w:sz w:val="24"/>
          <w:szCs w:val="24"/>
        </w:rPr>
        <w:t xml:space="preserve"> </w:t>
      </w:r>
      <w:r w:rsidR="00901DDA" w:rsidRPr="00EA1BB2">
        <w:rPr>
          <w:rFonts w:ascii="Cambria" w:hAnsi="Cambria"/>
          <w:sz w:val="24"/>
          <w:szCs w:val="24"/>
        </w:rPr>
        <w:t>ecosistemel</w:t>
      </w:r>
      <w:r w:rsidR="0001666E" w:rsidRPr="00EA1BB2">
        <w:rPr>
          <w:rFonts w:ascii="Cambria" w:hAnsi="Cambria"/>
          <w:sz w:val="24"/>
          <w:szCs w:val="24"/>
        </w:rPr>
        <w:t>o</w:t>
      </w:r>
      <w:r w:rsidR="00901DDA" w:rsidRPr="00EA1BB2">
        <w:rPr>
          <w:rFonts w:ascii="Cambria" w:hAnsi="Cambria"/>
          <w:sz w:val="24"/>
          <w:szCs w:val="24"/>
        </w:rPr>
        <w:t>r naturale.</w:t>
      </w:r>
    </w:p>
    <w:p w14:paraId="044F14C4" w14:textId="77777777" w:rsidR="00BF223A" w:rsidRPr="00EA1BB2" w:rsidRDefault="005C572D" w:rsidP="00C83C04">
      <w:pPr>
        <w:pStyle w:val="Heading2"/>
        <w:numPr>
          <w:ilvl w:val="1"/>
          <w:numId w:val="1"/>
        </w:numPr>
        <w:spacing w:before="0"/>
        <w:ind w:left="0" w:firstLine="709"/>
        <w:jc w:val="both"/>
        <w:rPr>
          <w:rFonts w:ascii="Cambria" w:hAnsi="Cambria" w:cs="Times New Roman"/>
          <w:color w:val="0070C0"/>
          <w:szCs w:val="24"/>
        </w:rPr>
      </w:pPr>
      <w:bookmarkStart w:id="59" w:name="_Toc526889705"/>
      <w:r w:rsidRPr="00EA1BB2">
        <w:rPr>
          <w:rFonts w:ascii="Cambria" w:hAnsi="Cambria" w:cs="Times New Roman"/>
          <w:color w:val="0070C0"/>
          <w:szCs w:val="24"/>
        </w:rPr>
        <w:lastRenderedPageBreak/>
        <w:t>Sta</w:t>
      </w:r>
      <w:r w:rsidR="00054880" w:rsidRPr="00EA1BB2">
        <w:rPr>
          <w:rFonts w:ascii="Cambria" w:hAnsi="Cambria" w:cs="Times New Roman"/>
          <w:color w:val="0070C0"/>
          <w:szCs w:val="24"/>
        </w:rPr>
        <w:t>ț</w:t>
      </w:r>
      <w:r w:rsidRPr="00EA1BB2">
        <w:rPr>
          <w:rFonts w:ascii="Cambria" w:hAnsi="Cambria" w:cs="Times New Roman"/>
          <w:color w:val="0070C0"/>
          <w:szCs w:val="24"/>
        </w:rPr>
        <w:t>ii</w:t>
      </w:r>
      <w:r w:rsidR="00F0254C" w:rsidRPr="00EA1BB2">
        <w:rPr>
          <w:rFonts w:ascii="Cambria" w:hAnsi="Cambria" w:cs="Times New Roman"/>
          <w:color w:val="0070C0"/>
          <w:szCs w:val="24"/>
        </w:rPr>
        <w:t xml:space="preserve"> de măsurare</w:t>
      </w:r>
      <w:r w:rsidR="00893659" w:rsidRPr="00EA1BB2">
        <w:rPr>
          <w:rFonts w:ascii="Cambria" w:hAnsi="Cambria" w:cs="Times New Roman"/>
          <w:color w:val="0070C0"/>
          <w:szCs w:val="24"/>
        </w:rPr>
        <w:t xml:space="preserve"> (hartă, coordonate geografice) </w:t>
      </w:r>
      <w:r w:rsidR="00BF223A" w:rsidRPr="00EA1BB2">
        <w:rPr>
          <w:rFonts w:ascii="Cambria" w:hAnsi="Cambria" w:cs="Times New Roman"/>
          <w:color w:val="0070C0"/>
          <w:szCs w:val="24"/>
        </w:rPr>
        <w:t>a calită</w:t>
      </w:r>
      <w:r w:rsidR="00054880" w:rsidRPr="00EA1BB2">
        <w:rPr>
          <w:rFonts w:ascii="Cambria" w:hAnsi="Cambria" w:cs="Times New Roman"/>
          <w:color w:val="0070C0"/>
          <w:szCs w:val="24"/>
        </w:rPr>
        <w:t>ț</w:t>
      </w:r>
      <w:r w:rsidR="00BF223A" w:rsidRPr="00EA1BB2">
        <w:rPr>
          <w:rFonts w:ascii="Cambria" w:hAnsi="Cambria" w:cs="Times New Roman"/>
          <w:color w:val="0070C0"/>
          <w:szCs w:val="24"/>
        </w:rPr>
        <w:t>ii aerului</w:t>
      </w:r>
      <w:r w:rsidR="00BF29FA" w:rsidRPr="00EA1BB2">
        <w:rPr>
          <w:rFonts w:ascii="Cambria" w:hAnsi="Cambria" w:cs="Times New Roman"/>
          <w:color w:val="0070C0"/>
          <w:szCs w:val="24"/>
        </w:rPr>
        <w:t xml:space="preserve"> din jude</w:t>
      </w:r>
      <w:r w:rsidR="00054880" w:rsidRPr="00EA1BB2">
        <w:rPr>
          <w:rFonts w:ascii="Cambria" w:hAnsi="Cambria" w:cs="Times New Roman"/>
          <w:color w:val="0070C0"/>
          <w:szCs w:val="24"/>
        </w:rPr>
        <w:t>ț</w:t>
      </w:r>
      <w:r w:rsidR="00BF29FA" w:rsidRPr="00EA1BB2">
        <w:rPr>
          <w:rFonts w:ascii="Cambria" w:hAnsi="Cambria" w:cs="Times New Roman"/>
          <w:color w:val="0070C0"/>
          <w:szCs w:val="24"/>
        </w:rPr>
        <w:t>ul Brăila</w:t>
      </w:r>
      <w:bookmarkEnd w:id="59"/>
    </w:p>
    <w:p w14:paraId="68DC4F69" w14:textId="77777777" w:rsidR="00BF223A" w:rsidRPr="00EA1BB2" w:rsidRDefault="00BF223A" w:rsidP="00BF223A">
      <w:pPr>
        <w:spacing w:line="360" w:lineRule="auto"/>
        <w:ind w:firstLine="720"/>
        <w:jc w:val="both"/>
        <w:rPr>
          <w:rFonts w:ascii="Cambria" w:eastAsia="Times New Roman" w:hAnsi="Cambria" w:cs="Times New Roman"/>
          <w:sz w:val="24"/>
          <w:szCs w:val="24"/>
        </w:rPr>
      </w:pPr>
      <w:r w:rsidRPr="00EA1BB2">
        <w:rPr>
          <w:rFonts w:ascii="Cambria" w:eastAsia="Times New Roman" w:hAnsi="Cambria" w:cs="Times New Roman"/>
          <w:sz w:val="24"/>
          <w:szCs w:val="24"/>
        </w:rPr>
        <w:t>În conformitate cu prevederile Legii nr. 104/2011 privind calitatea aerului înconjurător responsabilitatea privind monitorizarea calită</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 aerului înconjurător în România revine autorită</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ilor pentru protec</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ia mediului.</w:t>
      </w:r>
    </w:p>
    <w:p w14:paraId="66DF4F6D" w14:textId="7923AF31" w:rsidR="00BF223A" w:rsidRPr="00EA1BB2" w:rsidRDefault="00BF223A" w:rsidP="00547077">
      <w:pPr>
        <w:spacing w:line="360" w:lineRule="auto"/>
        <w:ind w:firstLine="720"/>
        <w:jc w:val="both"/>
        <w:rPr>
          <w:rFonts w:ascii="Cambria" w:eastAsia="Times New Roman" w:hAnsi="Cambria" w:cs="Times New Roman"/>
          <w:sz w:val="24"/>
          <w:szCs w:val="24"/>
        </w:rPr>
      </w:pPr>
      <w:r w:rsidRPr="00EA1BB2">
        <w:rPr>
          <w:rFonts w:ascii="Cambria" w:eastAsia="Times New Roman" w:hAnsi="Cambria" w:cs="Times New Roman"/>
          <w:sz w:val="24"/>
          <w:szCs w:val="24"/>
        </w:rPr>
        <w:t>În România, în prezent, sunt amplasate 14</w:t>
      </w:r>
      <w:r w:rsidR="00D43D4B" w:rsidRPr="00EA1BB2">
        <w:rPr>
          <w:rFonts w:ascii="Cambria" w:eastAsia="Times New Roman" w:hAnsi="Cambria" w:cs="Times New Roman"/>
          <w:sz w:val="24"/>
          <w:szCs w:val="24"/>
        </w:rPr>
        <w:t>8</w:t>
      </w:r>
      <w:r w:rsidRPr="00EA1BB2">
        <w:rPr>
          <w:rFonts w:ascii="Cambria" w:eastAsia="Times New Roman" w:hAnsi="Cambria" w:cs="Times New Roman"/>
          <w:sz w:val="24"/>
          <w:szCs w:val="24"/>
        </w:rPr>
        <w:t xml:space="preserve"> sta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 de monitorizare continuă a calită</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 aerului, dotate cu echipamente automate pentru măsurarea concentra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iilor principalilor poluan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 atmosferici. RNMCA cuprin</w:t>
      </w:r>
      <w:r w:rsidR="0085708E" w:rsidRPr="00EA1BB2">
        <w:rPr>
          <w:rFonts w:ascii="Cambria" w:eastAsia="Times New Roman" w:hAnsi="Cambria" w:cs="Times New Roman"/>
          <w:sz w:val="24"/>
          <w:szCs w:val="24"/>
        </w:rPr>
        <w:t>de 41 de centre locale.</w:t>
      </w:r>
      <w:r w:rsidR="00624DF1" w:rsidRPr="00EA1BB2">
        <w:rPr>
          <w:rFonts w:ascii="Cambria" w:eastAsia="Times New Roman" w:hAnsi="Cambria" w:cs="Times New Roman"/>
          <w:sz w:val="24"/>
          <w:szCs w:val="24"/>
        </w:rPr>
        <w:t xml:space="preserve"> </w:t>
      </w:r>
      <w:r w:rsidR="0085708E" w:rsidRPr="00EA1BB2">
        <w:rPr>
          <w:rFonts w:ascii="Cambria" w:eastAsia="Times New Roman" w:hAnsi="Cambria" w:cs="Times New Roman"/>
          <w:sz w:val="24"/>
          <w:szCs w:val="24"/>
        </w:rPr>
        <w:t xml:space="preserve">Datele cu privire la calitatea aerului consemnate de stațiile mai sus amintite sunt transmise on-line pe site-ul www.calitateaer.ro. Ulterior, datele validate de către Agenția de Protecție a Mediului Brăila </w:t>
      </w:r>
      <w:r w:rsidR="00547077" w:rsidRPr="00EA1BB2">
        <w:rPr>
          <w:rFonts w:ascii="Cambria" w:eastAsia="Times New Roman" w:hAnsi="Cambria" w:cs="Times New Roman"/>
          <w:sz w:val="24"/>
          <w:szCs w:val="24"/>
        </w:rPr>
        <w:t>sunt certificate de către Centrul de Evaluare a Calității Aerului din cadrul Agenției Naționale pentru Protecția Mediului.</w:t>
      </w:r>
    </w:p>
    <w:p w14:paraId="1FF6F219" w14:textId="77777777" w:rsidR="00A63CB9" w:rsidRPr="00EA1BB2" w:rsidRDefault="00A63CB9" w:rsidP="00133F31">
      <w:pPr>
        <w:pStyle w:val="Caption"/>
        <w:keepNext/>
        <w:spacing w:after="0" w:line="360" w:lineRule="auto"/>
        <w:ind w:firstLine="708"/>
        <w:jc w:val="both"/>
        <w:rPr>
          <w:rFonts w:ascii="Cambria" w:hAnsi="Cambria"/>
          <w:szCs w:val="24"/>
        </w:rPr>
      </w:pPr>
      <w:bookmarkStart w:id="60" w:name="_Toc450759608"/>
    </w:p>
    <w:p w14:paraId="5FB27954" w14:textId="12697298" w:rsidR="00BF223A" w:rsidRPr="00EA1BB2" w:rsidRDefault="00BF223A" w:rsidP="00133F31">
      <w:pPr>
        <w:pStyle w:val="Caption"/>
        <w:keepNext/>
        <w:spacing w:after="0" w:line="360" w:lineRule="auto"/>
        <w:ind w:firstLine="708"/>
        <w:jc w:val="both"/>
        <w:rPr>
          <w:rFonts w:ascii="Cambria" w:eastAsia="Times New Roman" w:hAnsi="Cambria" w:cs="Times New Roman"/>
          <w:b w:val="0"/>
          <w:szCs w:val="24"/>
        </w:rPr>
      </w:pPr>
      <w:bookmarkStart w:id="61" w:name="_Toc526889769"/>
      <w:r w:rsidRPr="00EA1BB2">
        <w:rPr>
          <w:rFonts w:ascii="Cambria" w:hAnsi="Cambria"/>
          <w:szCs w:val="24"/>
        </w:rPr>
        <w:t xml:space="preserve">Tabelul nr. </w:t>
      </w:r>
      <w:r w:rsidR="000A2FE7" w:rsidRPr="00EA1BB2">
        <w:rPr>
          <w:rFonts w:ascii="Cambria" w:hAnsi="Cambria"/>
          <w:szCs w:val="24"/>
        </w:rPr>
        <w:fldChar w:fldCharType="begin"/>
      </w:r>
      <w:r w:rsidR="000A2FE7" w:rsidRPr="00EA1BB2">
        <w:rPr>
          <w:rFonts w:ascii="Cambria" w:hAnsi="Cambria"/>
          <w:szCs w:val="24"/>
        </w:rPr>
        <w:instrText xml:space="preserve"> STYLEREF 1 \s </w:instrText>
      </w:r>
      <w:r w:rsidR="000A2FE7" w:rsidRPr="00EA1BB2">
        <w:rPr>
          <w:rFonts w:ascii="Cambria" w:hAnsi="Cambria"/>
          <w:szCs w:val="24"/>
        </w:rPr>
        <w:fldChar w:fldCharType="separate"/>
      </w:r>
      <w:r w:rsidR="00567555">
        <w:rPr>
          <w:rFonts w:ascii="Cambria" w:hAnsi="Cambria"/>
          <w:noProof/>
          <w:szCs w:val="24"/>
        </w:rPr>
        <w:t>2</w:t>
      </w:r>
      <w:r w:rsidR="000A2FE7" w:rsidRPr="00EA1BB2">
        <w:rPr>
          <w:rFonts w:ascii="Cambria" w:hAnsi="Cambria"/>
          <w:szCs w:val="24"/>
        </w:rPr>
        <w:fldChar w:fldCharType="end"/>
      </w:r>
      <w:r w:rsidR="000A2FE7" w:rsidRPr="00EA1BB2">
        <w:rPr>
          <w:rFonts w:ascii="Cambria" w:hAnsi="Cambria"/>
          <w:szCs w:val="24"/>
        </w:rPr>
        <w:noBreakHyphen/>
      </w:r>
      <w:r w:rsidR="000A2FE7" w:rsidRPr="00EA1BB2">
        <w:rPr>
          <w:rFonts w:ascii="Cambria" w:hAnsi="Cambria"/>
          <w:szCs w:val="24"/>
        </w:rPr>
        <w:fldChar w:fldCharType="begin"/>
      </w:r>
      <w:r w:rsidR="000A2FE7" w:rsidRPr="00EA1BB2">
        <w:rPr>
          <w:rFonts w:ascii="Cambria" w:hAnsi="Cambria"/>
          <w:szCs w:val="24"/>
        </w:rPr>
        <w:instrText xml:space="preserve"> SEQ Tabelul_nr. \* ARABIC \s 1 </w:instrText>
      </w:r>
      <w:r w:rsidR="000A2FE7" w:rsidRPr="00EA1BB2">
        <w:rPr>
          <w:rFonts w:ascii="Cambria" w:hAnsi="Cambria"/>
          <w:szCs w:val="24"/>
        </w:rPr>
        <w:fldChar w:fldCharType="separate"/>
      </w:r>
      <w:r w:rsidR="00567555">
        <w:rPr>
          <w:rFonts w:ascii="Cambria" w:hAnsi="Cambria"/>
          <w:noProof/>
          <w:szCs w:val="24"/>
        </w:rPr>
        <w:t>12</w:t>
      </w:r>
      <w:r w:rsidR="000A2FE7" w:rsidRPr="00EA1BB2">
        <w:rPr>
          <w:rFonts w:ascii="Cambria" w:hAnsi="Cambria"/>
          <w:szCs w:val="24"/>
        </w:rPr>
        <w:fldChar w:fldCharType="end"/>
      </w:r>
      <w:bookmarkEnd w:id="60"/>
      <w:r w:rsidRPr="00EA1BB2">
        <w:rPr>
          <w:rFonts w:ascii="Cambria" w:hAnsi="Cambria"/>
          <w:noProof/>
          <w:szCs w:val="24"/>
        </w:rPr>
        <w:t xml:space="preserve"> - </w:t>
      </w:r>
      <w:r w:rsidRPr="00EA1BB2">
        <w:rPr>
          <w:rFonts w:ascii="Cambria" w:eastAsia="Times New Roman" w:hAnsi="Cambria" w:cs="Times New Roman"/>
          <w:szCs w:val="24"/>
        </w:rPr>
        <w:t>Informa</w:t>
      </w:r>
      <w:r w:rsidR="00054880" w:rsidRPr="00EA1BB2">
        <w:rPr>
          <w:rFonts w:ascii="Cambria" w:eastAsia="Times New Roman" w:hAnsi="Cambria" w:cs="Times New Roman"/>
          <w:szCs w:val="24"/>
        </w:rPr>
        <w:t>ț</w:t>
      </w:r>
      <w:r w:rsidRPr="00EA1BB2">
        <w:rPr>
          <w:rFonts w:ascii="Cambria" w:eastAsia="Times New Roman" w:hAnsi="Cambria" w:cs="Times New Roman"/>
          <w:szCs w:val="24"/>
        </w:rPr>
        <w:t xml:space="preserve">ii despre </w:t>
      </w:r>
      <w:r w:rsidR="00133F31" w:rsidRPr="00EA1BB2">
        <w:rPr>
          <w:rFonts w:ascii="Cambria" w:eastAsia="Times New Roman" w:hAnsi="Cambria" w:cs="Times New Roman"/>
          <w:szCs w:val="24"/>
        </w:rPr>
        <w:t>sta</w:t>
      </w:r>
      <w:r w:rsidR="00054880" w:rsidRPr="00EA1BB2">
        <w:rPr>
          <w:rFonts w:ascii="Cambria" w:eastAsia="Times New Roman" w:hAnsi="Cambria" w:cs="Times New Roman"/>
          <w:szCs w:val="24"/>
        </w:rPr>
        <w:t>ț</w:t>
      </w:r>
      <w:r w:rsidR="00133F31" w:rsidRPr="00EA1BB2">
        <w:rPr>
          <w:rFonts w:ascii="Cambria" w:eastAsia="Times New Roman" w:hAnsi="Cambria" w:cs="Times New Roman"/>
          <w:szCs w:val="24"/>
        </w:rPr>
        <w:t>iile de monitorizare a calită</w:t>
      </w:r>
      <w:r w:rsidR="00054880" w:rsidRPr="00EA1BB2">
        <w:rPr>
          <w:rFonts w:ascii="Cambria" w:eastAsia="Times New Roman" w:hAnsi="Cambria" w:cs="Times New Roman"/>
          <w:szCs w:val="24"/>
        </w:rPr>
        <w:t>ț</w:t>
      </w:r>
      <w:r w:rsidR="00133F31" w:rsidRPr="00EA1BB2">
        <w:rPr>
          <w:rFonts w:ascii="Cambria" w:eastAsia="Times New Roman" w:hAnsi="Cambria" w:cs="Times New Roman"/>
          <w:szCs w:val="24"/>
        </w:rPr>
        <w:t>ii aerului în jude</w:t>
      </w:r>
      <w:r w:rsidR="00054880" w:rsidRPr="00EA1BB2">
        <w:rPr>
          <w:rFonts w:ascii="Cambria" w:eastAsia="Times New Roman" w:hAnsi="Cambria" w:cs="Times New Roman"/>
          <w:szCs w:val="24"/>
        </w:rPr>
        <w:t>ț</w:t>
      </w:r>
      <w:r w:rsidR="00133F31" w:rsidRPr="00EA1BB2">
        <w:rPr>
          <w:rFonts w:ascii="Cambria" w:eastAsia="Times New Roman" w:hAnsi="Cambria" w:cs="Times New Roman"/>
          <w:szCs w:val="24"/>
        </w:rPr>
        <w:t>ul Brăila</w:t>
      </w:r>
      <w:bookmarkEnd w:id="61"/>
    </w:p>
    <w:tbl>
      <w:tblPr>
        <w:tblStyle w:val="TableGrid"/>
        <w:tblW w:w="5000" w:type="pct"/>
        <w:jc w:val="center"/>
        <w:tblLook w:val="04A0" w:firstRow="1" w:lastRow="0" w:firstColumn="1" w:lastColumn="0" w:noHBand="0" w:noVBand="1"/>
      </w:tblPr>
      <w:tblGrid>
        <w:gridCol w:w="1302"/>
        <w:gridCol w:w="2035"/>
        <w:gridCol w:w="2760"/>
        <w:gridCol w:w="3189"/>
      </w:tblGrid>
      <w:tr w:rsidR="00F723E4" w:rsidRPr="00EA1BB2" w14:paraId="430B058A" w14:textId="77777777" w:rsidTr="00F723E4">
        <w:trPr>
          <w:tblHeader/>
          <w:jc w:val="center"/>
        </w:trPr>
        <w:tc>
          <w:tcPr>
            <w:tcW w:w="701" w:type="pct"/>
            <w:shd w:val="clear" w:color="auto" w:fill="BDD6EE" w:themeFill="accent1" w:themeFillTint="66"/>
            <w:vAlign w:val="center"/>
          </w:tcPr>
          <w:p w14:paraId="5CE579F5" w14:textId="77777777" w:rsidR="00F723E4" w:rsidRPr="00EA1BB2" w:rsidRDefault="00F723E4" w:rsidP="007D021C">
            <w:pPr>
              <w:spacing w:line="360" w:lineRule="auto"/>
              <w:jc w:val="center"/>
              <w:rPr>
                <w:rFonts w:ascii="Cambria" w:eastAsia="Times New Roman" w:hAnsi="Cambria" w:cs="Times New Roman"/>
                <w:b/>
                <w:bCs/>
                <w:sz w:val="24"/>
                <w:szCs w:val="24"/>
                <w:lang w:val="ro-RO"/>
              </w:rPr>
            </w:pPr>
            <w:r w:rsidRPr="00EA1BB2">
              <w:rPr>
                <w:rFonts w:ascii="Cambria" w:eastAsia="Times New Roman" w:hAnsi="Cambria" w:cs="Times New Roman"/>
                <w:b/>
                <w:bCs/>
                <w:sz w:val="24"/>
                <w:szCs w:val="24"/>
                <w:lang w:val="ro-RO"/>
              </w:rPr>
              <w:t>Nume stație</w:t>
            </w:r>
          </w:p>
        </w:tc>
        <w:tc>
          <w:tcPr>
            <w:tcW w:w="1096" w:type="pct"/>
            <w:shd w:val="clear" w:color="auto" w:fill="BDD6EE" w:themeFill="accent1" w:themeFillTint="66"/>
            <w:vAlign w:val="center"/>
          </w:tcPr>
          <w:p w14:paraId="6A84A22A" w14:textId="77777777" w:rsidR="00F723E4" w:rsidRPr="00EA1BB2" w:rsidRDefault="00F723E4" w:rsidP="00F723E4">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Tip stație</w:t>
            </w:r>
          </w:p>
        </w:tc>
        <w:tc>
          <w:tcPr>
            <w:tcW w:w="1486" w:type="pct"/>
            <w:shd w:val="clear" w:color="auto" w:fill="BDD6EE" w:themeFill="accent1" w:themeFillTint="66"/>
            <w:vAlign w:val="center"/>
          </w:tcPr>
          <w:p w14:paraId="7D4E1041" w14:textId="77777777" w:rsidR="00F723E4" w:rsidRPr="00EA1BB2" w:rsidRDefault="00F723E4" w:rsidP="007D021C">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Adresa stație</w:t>
            </w:r>
          </w:p>
        </w:tc>
        <w:tc>
          <w:tcPr>
            <w:tcW w:w="1717" w:type="pct"/>
            <w:shd w:val="clear" w:color="auto" w:fill="BDD6EE" w:themeFill="accent1" w:themeFillTint="66"/>
            <w:vAlign w:val="center"/>
          </w:tcPr>
          <w:p w14:paraId="36D27624" w14:textId="77777777" w:rsidR="00F723E4" w:rsidRPr="00EA1BB2" w:rsidRDefault="00F723E4" w:rsidP="007D021C">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Coordonate geografice și altitudine</w:t>
            </w:r>
          </w:p>
        </w:tc>
      </w:tr>
      <w:tr w:rsidR="00F723E4" w:rsidRPr="00EA1BB2" w14:paraId="652B51AC" w14:textId="77777777" w:rsidTr="00F723E4">
        <w:trPr>
          <w:jc w:val="center"/>
        </w:trPr>
        <w:tc>
          <w:tcPr>
            <w:tcW w:w="701" w:type="pct"/>
            <w:vAlign w:val="center"/>
          </w:tcPr>
          <w:p w14:paraId="18E05D65" w14:textId="77777777" w:rsidR="00F723E4" w:rsidRPr="00EA1BB2" w:rsidRDefault="00F723E4" w:rsidP="00F723E4">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bCs/>
                <w:sz w:val="24"/>
                <w:szCs w:val="24"/>
                <w:lang w:val="ro-RO"/>
              </w:rPr>
              <w:t>BR-1</w:t>
            </w:r>
          </w:p>
        </w:tc>
        <w:tc>
          <w:tcPr>
            <w:tcW w:w="1096" w:type="pct"/>
            <w:vAlign w:val="center"/>
          </w:tcPr>
          <w:p w14:paraId="726BB27F" w14:textId="77777777" w:rsidR="00F723E4" w:rsidRPr="00EA1BB2" w:rsidRDefault="00F723E4" w:rsidP="00F723E4">
            <w:pPr>
              <w:spacing w:line="276" w:lineRule="auto"/>
              <w:jc w:val="center"/>
              <w:rPr>
                <w:rFonts w:ascii="Cambria" w:eastAsia="Times New Roman" w:hAnsi="Cambria" w:cs="Times New Roman"/>
                <w:sz w:val="24"/>
                <w:szCs w:val="24"/>
                <w:lang w:val="ro-RO"/>
              </w:rPr>
            </w:pPr>
            <w:r w:rsidRPr="00EA1BB2">
              <w:rPr>
                <w:rFonts w:ascii="Cambria" w:hAnsi="Cambria"/>
                <w:sz w:val="24"/>
                <w:szCs w:val="24"/>
                <w:lang w:val="ro-RO"/>
              </w:rPr>
              <w:t>Trafic</w:t>
            </w:r>
          </w:p>
        </w:tc>
        <w:tc>
          <w:tcPr>
            <w:tcW w:w="1486" w:type="pct"/>
            <w:vAlign w:val="center"/>
          </w:tcPr>
          <w:p w14:paraId="28ABA4EE" w14:textId="77777777" w:rsidR="00F723E4" w:rsidRPr="00EA1BB2" w:rsidRDefault="00F723E4" w:rsidP="00F723E4">
            <w:pPr>
              <w:spacing w:line="276"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Str. Calea Galați, Nr. 53, mun. Brăila</w:t>
            </w:r>
          </w:p>
        </w:tc>
        <w:tc>
          <w:tcPr>
            <w:tcW w:w="1717" w:type="pct"/>
            <w:vAlign w:val="center"/>
          </w:tcPr>
          <w:p w14:paraId="5BE2FC6D" w14:textId="77777777" w:rsidR="00F723E4" w:rsidRPr="00EA1BB2" w:rsidRDefault="00F723E4" w:rsidP="00F723E4">
            <w:pPr>
              <w:spacing w:line="276"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Latitudine: 45,28</w:t>
            </w:r>
          </w:p>
          <w:p w14:paraId="2DFAC3C1" w14:textId="77777777" w:rsidR="00F723E4" w:rsidRPr="00EA1BB2" w:rsidRDefault="00F723E4" w:rsidP="00F723E4">
            <w:pPr>
              <w:spacing w:line="276"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Longitudine: 27,97</w:t>
            </w:r>
          </w:p>
          <w:p w14:paraId="08349B02" w14:textId="77777777" w:rsidR="00F723E4" w:rsidRPr="00EA1BB2" w:rsidRDefault="00F723E4" w:rsidP="00F723E4">
            <w:pPr>
              <w:spacing w:line="276"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Altitudine: 21,00 m</w:t>
            </w:r>
          </w:p>
        </w:tc>
      </w:tr>
      <w:tr w:rsidR="00F723E4" w:rsidRPr="00EA1BB2" w14:paraId="1EF40323" w14:textId="77777777" w:rsidTr="00F723E4">
        <w:trPr>
          <w:jc w:val="center"/>
        </w:trPr>
        <w:tc>
          <w:tcPr>
            <w:tcW w:w="701" w:type="pct"/>
            <w:vAlign w:val="center"/>
          </w:tcPr>
          <w:p w14:paraId="49E92B4B" w14:textId="77777777" w:rsidR="00F723E4" w:rsidRPr="00EA1BB2" w:rsidRDefault="00F723E4" w:rsidP="00F723E4">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bCs/>
                <w:sz w:val="24"/>
                <w:szCs w:val="24"/>
                <w:lang w:val="ro-RO"/>
              </w:rPr>
              <w:t>BR-2</w:t>
            </w:r>
          </w:p>
        </w:tc>
        <w:tc>
          <w:tcPr>
            <w:tcW w:w="1096" w:type="pct"/>
            <w:vAlign w:val="center"/>
          </w:tcPr>
          <w:p w14:paraId="112EC719" w14:textId="77777777" w:rsidR="00F723E4" w:rsidRPr="00EA1BB2" w:rsidRDefault="00F723E4" w:rsidP="00F723E4">
            <w:pPr>
              <w:spacing w:line="276" w:lineRule="auto"/>
              <w:jc w:val="center"/>
              <w:rPr>
                <w:rFonts w:ascii="Cambria" w:eastAsia="Times New Roman" w:hAnsi="Cambria" w:cs="Times New Roman"/>
                <w:sz w:val="24"/>
                <w:szCs w:val="24"/>
                <w:lang w:val="ro-RO"/>
              </w:rPr>
            </w:pPr>
            <w:r w:rsidRPr="00EA1BB2">
              <w:rPr>
                <w:rFonts w:ascii="Cambria" w:hAnsi="Cambria"/>
                <w:sz w:val="24"/>
                <w:szCs w:val="24"/>
                <w:lang w:val="ro-RO"/>
              </w:rPr>
              <w:t>Fond urban</w:t>
            </w:r>
          </w:p>
        </w:tc>
        <w:tc>
          <w:tcPr>
            <w:tcW w:w="1486" w:type="pct"/>
            <w:vAlign w:val="center"/>
          </w:tcPr>
          <w:p w14:paraId="4A98BE4F" w14:textId="77777777" w:rsidR="00F723E4" w:rsidRPr="00EA1BB2" w:rsidRDefault="00F723E4" w:rsidP="00F723E4">
            <w:pPr>
              <w:spacing w:line="276"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Str. P-ța Independenței, Nr.1, mun. Brăila</w:t>
            </w:r>
          </w:p>
        </w:tc>
        <w:tc>
          <w:tcPr>
            <w:tcW w:w="1717" w:type="pct"/>
            <w:vAlign w:val="center"/>
          </w:tcPr>
          <w:p w14:paraId="60C9A753" w14:textId="77777777" w:rsidR="00F723E4" w:rsidRPr="00EA1BB2" w:rsidRDefault="00F723E4" w:rsidP="00F723E4">
            <w:pPr>
              <w:spacing w:line="276"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Latitudine: 45,26</w:t>
            </w:r>
          </w:p>
          <w:p w14:paraId="3325180F" w14:textId="77777777" w:rsidR="00F723E4" w:rsidRPr="00EA1BB2" w:rsidRDefault="00F723E4" w:rsidP="00F723E4">
            <w:pPr>
              <w:spacing w:line="276"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Longitudine: 27,97</w:t>
            </w:r>
          </w:p>
          <w:p w14:paraId="3118C96C" w14:textId="77777777" w:rsidR="00F723E4" w:rsidRPr="00EA1BB2" w:rsidRDefault="00F723E4" w:rsidP="00F723E4">
            <w:pPr>
              <w:spacing w:line="276"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Altitudine: 19,00</w:t>
            </w:r>
          </w:p>
        </w:tc>
      </w:tr>
      <w:tr w:rsidR="00F723E4" w:rsidRPr="00EA1BB2" w14:paraId="1E0797E5" w14:textId="77777777" w:rsidTr="00F723E4">
        <w:trPr>
          <w:jc w:val="center"/>
        </w:trPr>
        <w:tc>
          <w:tcPr>
            <w:tcW w:w="701" w:type="pct"/>
            <w:vAlign w:val="center"/>
          </w:tcPr>
          <w:p w14:paraId="12291375" w14:textId="77777777" w:rsidR="00F723E4" w:rsidRPr="00EA1BB2" w:rsidRDefault="00F723E4" w:rsidP="00F723E4">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bCs/>
                <w:sz w:val="24"/>
                <w:szCs w:val="24"/>
                <w:lang w:val="ro-RO"/>
              </w:rPr>
              <w:t>BR-3</w:t>
            </w:r>
          </w:p>
        </w:tc>
        <w:tc>
          <w:tcPr>
            <w:tcW w:w="1096" w:type="pct"/>
            <w:vAlign w:val="center"/>
          </w:tcPr>
          <w:p w14:paraId="4CDC3CC1" w14:textId="77777777" w:rsidR="00F723E4" w:rsidRPr="00EA1BB2" w:rsidRDefault="00F723E4" w:rsidP="00F723E4">
            <w:pPr>
              <w:spacing w:line="276" w:lineRule="auto"/>
              <w:jc w:val="center"/>
              <w:rPr>
                <w:rFonts w:ascii="Cambria" w:eastAsia="Times New Roman" w:hAnsi="Cambria" w:cs="Times New Roman"/>
                <w:sz w:val="24"/>
                <w:szCs w:val="24"/>
                <w:lang w:val="ro-RO"/>
              </w:rPr>
            </w:pPr>
            <w:r w:rsidRPr="00EA1BB2">
              <w:rPr>
                <w:rFonts w:ascii="Cambria" w:hAnsi="Cambria"/>
                <w:sz w:val="24"/>
                <w:szCs w:val="24"/>
                <w:lang w:val="ro-RO"/>
              </w:rPr>
              <w:t>Fond suburban</w:t>
            </w:r>
          </w:p>
        </w:tc>
        <w:tc>
          <w:tcPr>
            <w:tcW w:w="1486" w:type="pct"/>
            <w:vAlign w:val="center"/>
          </w:tcPr>
          <w:p w14:paraId="38139C5E" w14:textId="77777777" w:rsidR="00F723E4" w:rsidRPr="00EA1BB2" w:rsidRDefault="00F723E4" w:rsidP="00F723E4">
            <w:pPr>
              <w:spacing w:line="276"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Sat Cazasu,</w:t>
            </w:r>
          </w:p>
          <w:p w14:paraId="63629D56" w14:textId="77777777" w:rsidR="00F723E4" w:rsidRPr="00EA1BB2" w:rsidRDefault="00F723E4" w:rsidP="00F723E4">
            <w:pPr>
              <w:spacing w:line="276"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jud. Brăila</w:t>
            </w:r>
          </w:p>
        </w:tc>
        <w:tc>
          <w:tcPr>
            <w:tcW w:w="1717" w:type="pct"/>
            <w:vAlign w:val="center"/>
          </w:tcPr>
          <w:p w14:paraId="593AC841" w14:textId="77777777" w:rsidR="00F723E4" w:rsidRPr="00EA1BB2" w:rsidRDefault="00F723E4" w:rsidP="00F723E4">
            <w:pPr>
              <w:spacing w:line="276"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Latitudine: 45,27</w:t>
            </w:r>
          </w:p>
          <w:p w14:paraId="3F21418D" w14:textId="77777777" w:rsidR="00F723E4" w:rsidRPr="00EA1BB2" w:rsidRDefault="00F723E4" w:rsidP="00F723E4">
            <w:pPr>
              <w:spacing w:line="276"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Longitudine: 27,89</w:t>
            </w:r>
          </w:p>
          <w:p w14:paraId="79DC9330" w14:textId="77777777" w:rsidR="00F723E4" w:rsidRPr="00EA1BB2" w:rsidRDefault="00F723E4" w:rsidP="00F723E4">
            <w:pPr>
              <w:spacing w:line="276"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Altitudine: 13,00</w:t>
            </w:r>
          </w:p>
        </w:tc>
      </w:tr>
      <w:tr w:rsidR="00F723E4" w:rsidRPr="00EA1BB2" w14:paraId="4B224DC8" w14:textId="77777777" w:rsidTr="00F723E4">
        <w:trPr>
          <w:jc w:val="center"/>
        </w:trPr>
        <w:tc>
          <w:tcPr>
            <w:tcW w:w="701" w:type="pct"/>
            <w:vAlign w:val="center"/>
          </w:tcPr>
          <w:p w14:paraId="245ADE9F" w14:textId="77777777" w:rsidR="00F723E4" w:rsidRPr="00EA1BB2" w:rsidRDefault="00F723E4" w:rsidP="00F723E4">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bCs/>
                <w:sz w:val="24"/>
                <w:szCs w:val="24"/>
                <w:lang w:val="ro-RO"/>
              </w:rPr>
              <w:t>BR-4</w:t>
            </w:r>
          </w:p>
        </w:tc>
        <w:tc>
          <w:tcPr>
            <w:tcW w:w="1096" w:type="pct"/>
            <w:vAlign w:val="center"/>
          </w:tcPr>
          <w:p w14:paraId="4D1B369A" w14:textId="1E6B3D40" w:rsidR="00F723E4" w:rsidRPr="00EA1BB2" w:rsidRDefault="00F723E4" w:rsidP="0047075F">
            <w:pPr>
              <w:spacing w:line="276" w:lineRule="auto"/>
              <w:jc w:val="center"/>
              <w:rPr>
                <w:rFonts w:ascii="Cambria" w:eastAsia="Times New Roman" w:hAnsi="Cambria" w:cs="Times New Roman"/>
                <w:sz w:val="24"/>
                <w:szCs w:val="24"/>
                <w:lang w:val="ro-RO"/>
              </w:rPr>
            </w:pPr>
            <w:r w:rsidRPr="00EA1BB2">
              <w:rPr>
                <w:rFonts w:ascii="Cambria" w:hAnsi="Cambria"/>
                <w:sz w:val="24"/>
                <w:szCs w:val="24"/>
                <w:lang w:val="ro-RO"/>
              </w:rPr>
              <w:t>Industrial</w:t>
            </w:r>
          </w:p>
        </w:tc>
        <w:tc>
          <w:tcPr>
            <w:tcW w:w="1486" w:type="pct"/>
            <w:vAlign w:val="center"/>
          </w:tcPr>
          <w:p w14:paraId="280A9EAB" w14:textId="77777777" w:rsidR="00F723E4" w:rsidRPr="00EA1BB2" w:rsidRDefault="00F723E4" w:rsidP="00F723E4">
            <w:pPr>
              <w:spacing w:line="276"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Str. Baldovinești, Nr. 22. Mun. Brăila</w:t>
            </w:r>
          </w:p>
        </w:tc>
        <w:tc>
          <w:tcPr>
            <w:tcW w:w="1717" w:type="pct"/>
            <w:vAlign w:val="center"/>
          </w:tcPr>
          <w:p w14:paraId="3A75CF1A" w14:textId="77777777" w:rsidR="00F723E4" w:rsidRPr="00EA1BB2" w:rsidRDefault="00F723E4" w:rsidP="00F723E4">
            <w:pPr>
              <w:spacing w:line="276"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Latitudine: 45,30</w:t>
            </w:r>
          </w:p>
          <w:p w14:paraId="5496EF23" w14:textId="77777777" w:rsidR="00F723E4" w:rsidRPr="00EA1BB2" w:rsidRDefault="00F723E4" w:rsidP="00F723E4">
            <w:pPr>
              <w:spacing w:line="276"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Longitudine: 27,95</w:t>
            </w:r>
          </w:p>
          <w:p w14:paraId="3D60F1A0" w14:textId="77777777" w:rsidR="00F723E4" w:rsidRPr="00EA1BB2" w:rsidRDefault="00F723E4" w:rsidP="00F723E4">
            <w:pPr>
              <w:spacing w:line="276"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Altitudine: 22,00</w:t>
            </w:r>
          </w:p>
        </w:tc>
      </w:tr>
      <w:tr w:rsidR="00F723E4" w:rsidRPr="00EA1BB2" w14:paraId="21252598" w14:textId="77777777" w:rsidTr="00F723E4">
        <w:trPr>
          <w:jc w:val="center"/>
        </w:trPr>
        <w:tc>
          <w:tcPr>
            <w:tcW w:w="701" w:type="pct"/>
            <w:vAlign w:val="center"/>
          </w:tcPr>
          <w:p w14:paraId="7E0ED682" w14:textId="77777777" w:rsidR="00F723E4" w:rsidRPr="00EA1BB2" w:rsidRDefault="00F723E4" w:rsidP="00F723E4">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bCs/>
                <w:sz w:val="24"/>
                <w:szCs w:val="24"/>
                <w:lang w:val="ro-RO"/>
              </w:rPr>
              <w:t>BR-5</w:t>
            </w:r>
          </w:p>
        </w:tc>
        <w:tc>
          <w:tcPr>
            <w:tcW w:w="1096" w:type="pct"/>
            <w:vAlign w:val="center"/>
          </w:tcPr>
          <w:p w14:paraId="1A4825CD" w14:textId="278F2AC3" w:rsidR="00F723E4" w:rsidRPr="00EA1BB2" w:rsidRDefault="00F723E4" w:rsidP="0047075F">
            <w:pPr>
              <w:spacing w:line="276" w:lineRule="auto"/>
              <w:jc w:val="center"/>
              <w:rPr>
                <w:rFonts w:ascii="Cambria" w:eastAsia="Times New Roman" w:hAnsi="Cambria" w:cs="Times New Roman"/>
                <w:sz w:val="24"/>
                <w:szCs w:val="24"/>
                <w:lang w:val="ro-RO"/>
              </w:rPr>
            </w:pPr>
            <w:r w:rsidRPr="00EA1BB2">
              <w:rPr>
                <w:rFonts w:ascii="Cambria" w:hAnsi="Cambria"/>
                <w:sz w:val="24"/>
                <w:szCs w:val="24"/>
                <w:lang w:val="ro-RO"/>
              </w:rPr>
              <w:t>Industrial</w:t>
            </w:r>
          </w:p>
        </w:tc>
        <w:tc>
          <w:tcPr>
            <w:tcW w:w="1486" w:type="pct"/>
            <w:vAlign w:val="center"/>
          </w:tcPr>
          <w:p w14:paraId="5CDEE497" w14:textId="77777777" w:rsidR="00F723E4" w:rsidRPr="00EA1BB2" w:rsidRDefault="00F723E4" w:rsidP="00F723E4">
            <w:pPr>
              <w:spacing w:line="276"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Sat Chiscani, jud. Brăila</w:t>
            </w:r>
          </w:p>
        </w:tc>
        <w:tc>
          <w:tcPr>
            <w:tcW w:w="1717" w:type="pct"/>
            <w:vAlign w:val="center"/>
          </w:tcPr>
          <w:p w14:paraId="6DF45AC1" w14:textId="77777777" w:rsidR="00F723E4" w:rsidRPr="00EA1BB2" w:rsidRDefault="00F723E4" w:rsidP="00F723E4">
            <w:pPr>
              <w:spacing w:line="276"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Latitudine: 45,17</w:t>
            </w:r>
          </w:p>
          <w:p w14:paraId="524A9F83" w14:textId="77777777" w:rsidR="00F723E4" w:rsidRPr="00EA1BB2" w:rsidRDefault="00F723E4" w:rsidP="00F723E4">
            <w:pPr>
              <w:spacing w:line="276"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Longitudine: 27,92</w:t>
            </w:r>
          </w:p>
          <w:p w14:paraId="13D6591B" w14:textId="77777777" w:rsidR="00F723E4" w:rsidRPr="00EA1BB2" w:rsidRDefault="00F723E4" w:rsidP="00F723E4">
            <w:pPr>
              <w:spacing w:line="276"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Altitudine: 8,00</w:t>
            </w:r>
          </w:p>
        </w:tc>
      </w:tr>
    </w:tbl>
    <w:p w14:paraId="29200852" w14:textId="2F019E2B" w:rsidR="00AA4794" w:rsidRPr="00EA1BB2" w:rsidRDefault="006B60A8" w:rsidP="00AA4794">
      <w:pPr>
        <w:jc w:val="both"/>
        <w:rPr>
          <w:rFonts w:ascii="Cambria" w:eastAsia="Times New Roman" w:hAnsi="Cambria" w:cs="Times New Roman"/>
          <w:szCs w:val="24"/>
        </w:rPr>
      </w:pPr>
      <w:r w:rsidRPr="00EA1BB2">
        <w:rPr>
          <w:rFonts w:ascii="Cambria" w:eastAsia="Times New Roman" w:hAnsi="Cambria" w:cs="Times New Roman"/>
          <w:szCs w:val="24"/>
        </w:rPr>
        <w:t>Sursa date:</w:t>
      </w:r>
      <w:r w:rsidR="00B363AD" w:rsidRPr="00EA1BB2">
        <w:rPr>
          <w:rFonts w:ascii="Cambria" w:eastAsia="Times New Roman" w:hAnsi="Cambria" w:cs="Times New Roman"/>
          <w:szCs w:val="24"/>
        </w:rPr>
        <w:t xml:space="preserve"> </w:t>
      </w:r>
      <w:hyperlink r:id="rId47" w:history="1">
        <w:r w:rsidR="00AA4794" w:rsidRPr="00EA1BB2">
          <w:rPr>
            <w:rStyle w:val="Hyperlink"/>
            <w:rFonts w:ascii="Cambria" w:eastAsia="Times New Roman" w:hAnsi="Cambria" w:cs="Times New Roman"/>
            <w:szCs w:val="24"/>
          </w:rPr>
          <w:t>http://www.calitateaer.ro</w:t>
        </w:r>
      </w:hyperlink>
      <w:r w:rsidR="00AA4794" w:rsidRPr="00EA1BB2">
        <w:rPr>
          <w:rStyle w:val="Hyperlink"/>
          <w:rFonts w:ascii="Cambria" w:eastAsia="Times New Roman" w:hAnsi="Cambria" w:cs="Times New Roman"/>
          <w:color w:val="auto"/>
          <w:szCs w:val="24"/>
          <w:u w:val="none"/>
        </w:rPr>
        <w:t xml:space="preserve"> și</w:t>
      </w:r>
    </w:p>
    <w:p w14:paraId="4CEBEBEF" w14:textId="77777777" w:rsidR="00BF223A" w:rsidRPr="00EA1BB2" w:rsidRDefault="009A1372" w:rsidP="004B26B0">
      <w:pPr>
        <w:jc w:val="both"/>
        <w:rPr>
          <w:rFonts w:ascii="Cambria" w:eastAsia="Times New Roman" w:hAnsi="Cambria" w:cs="Times New Roman"/>
          <w:szCs w:val="24"/>
        </w:rPr>
      </w:pPr>
      <w:hyperlink r:id="rId48" w:history="1">
        <w:r w:rsidR="009E18DB" w:rsidRPr="00EA1BB2">
          <w:rPr>
            <w:rStyle w:val="Hyperlink"/>
            <w:rFonts w:ascii="Cambria" w:eastAsia="Times New Roman" w:hAnsi="Cambria" w:cs="Times New Roman"/>
            <w:szCs w:val="24"/>
          </w:rPr>
          <w:t>http://www.anpm.ro/web/apm-braila/reteaua-nationala-de-monitorizare-a-calitatii-aerului/-/asset_publisher/MCtW0ySppoYG/content/reteaua-automata-de-monitorizare-a-calitatii-aerului-in-judetul-braila?_101_INSTANCE_MCtW0ySppoYG_redirect=http%3A%2F%2Fwww.anpm.ro%2Fweb%2Fapm-braila%2Freteaua-nationala-de-monitorizare-a-calitatii-aerului%3Fp_p_id%3D101_INSTANCE_MCtW0ySppoYG%26p_p_lifecycle%3D0%26p_p_state%3Dnormal%26p_p_mode%3Dview%26p_p_col_id%3Dcolumn-</w:t>
        </w:r>
        <w:r w:rsidR="009E18DB" w:rsidRPr="00EA1BB2">
          <w:rPr>
            <w:rStyle w:val="Hyperlink"/>
            <w:rFonts w:ascii="Cambria" w:eastAsia="Times New Roman" w:hAnsi="Cambria" w:cs="Times New Roman"/>
            <w:szCs w:val="24"/>
          </w:rPr>
          <w:lastRenderedPageBreak/>
          <w:t>2%26p_p_col_count%3D1&amp;redirect=http%3A%2F%2Fwww.anpm.ro%2Fweb%2Fapm-braila%2Freteaua-nationala-de-monitorizare-a-calitatii-aerului%3Fp_p_id%3D101_INSTANCE_MCtW0ySppoYG%26p_p_lifecycle%3D0%26p_p_state%3Dnormal%26p_p_mode%3Dview%26p_p_col_id%3Dcolumn-2%26p_p_col_count%3D1</w:t>
        </w:r>
      </w:hyperlink>
    </w:p>
    <w:p w14:paraId="11C707DE" w14:textId="77777777" w:rsidR="004B26B0" w:rsidRPr="00EA1BB2" w:rsidRDefault="004B26B0" w:rsidP="00A63CB9">
      <w:pPr>
        <w:spacing w:line="360" w:lineRule="auto"/>
        <w:jc w:val="both"/>
        <w:rPr>
          <w:rFonts w:ascii="Cambria" w:eastAsia="Times New Roman" w:hAnsi="Cambria" w:cs="Times New Roman"/>
          <w:szCs w:val="24"/>
        </w:rPr>
      </w:pPr>
    </w:p>
    <w:p w14:paraId="1B859389" w14:textId="6495E984" w:rsidR="00A63CB9" w:rsidRPr="00EA1BB2" w:rsidRDefault="00A63CB9" w:rsidP="00A63CB9">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Supravegherea calității aerului în județul Brăila se realizează începând cu anul 2008 prin cinci stații automate de monitorizare care fac parte din Rețeaua Națională de Monitorizare a Calității Aerului.</w:t>
      </w:r>
      <w:r w:rsidR="00AC4C38" w:rsidRPr="00EA1BB2">
        <w:rPr>
          <w:rFonts w:ascii="Cambria" w:eastAsia="Times New Roman" w:hAnsi="Cambria" w:cs="Times New Roman"/>
          <w:sz w:val="24"/>
          <w:szCs w:val="24"/>
        </w:rPr>
        <w:t xml:space="preserve"> </w:t>
      </w:r>
      <w:r w:rsidRPr="00EA1BB2">
        <w:rPr>
          <w:rFonts w:ascii="Cambria" w:eastAsia="Times New Roman" w:hAnsi="Cambria" w:cs="Times New Roman"/>
          <w:sz w:val="24"/>
          <w:szCs w:val="24"/>
        </w:rPr>
        <w:t xml:space="preserve">Poluanții monitorizați </w:t>
      </w:r>
      <w:r w:rsidR="00B919C4" w:rsidRPr="00EA1BB2">
        <w:rPr>
          <w:rFonts w:ascii="Cambria" w:eastAsia="Times New Roman" w:hAnsi="Cambria" w:cs="Times New Roman"/>
          <w:sz w:val="24"/>
          <w:szCs w:val="24"/>
        </w:rPr>
        <w:t>sunt cei prevăzuți în Legea 104/2011 care transpune în legislația română prevederile Directivelor europene</w:t>
      </w:r>
      <w:r w:rsidR="0047075F" w:rsidRPr="00EA1BB2">
        <w:rPr>
          <w:rFonts w:ascii="Cambria" w:eastAsia="Times New Roman" w:hAnsi="Cambria" w:cs="Times New Roman"/>
          <w:sz w:val="24"/>
          <w:szCs w:val="24"/>
        </w:rPr>
        <w:t xml:space="preserve"> privind calitatea aerului</w:t>
      </w:r>
      <w:r w:rsidR="00B919C4" w:rsidRPr="00EA1BB2">
        <w:rPr>
          <w:rFonts w:ascii="Cambria" w:eastAsia="Times New Roman" w:hAnsi="Cambria" w:cs="Times New Roman"/>
          <w:sz w:val="24"/>
          <w:szCs w:val="24"/>
        </w:rPr>
        <w:t xml:space="preserve">, iar standardele de calitate impuse au rolul de a </w:t>
      </w:r>
      <w:r w:rsidRPr="00EA1BB2">
        <w:rPr>
          <w:rFonts w:ascii="Cambria" w:eastAsia="Times New Roman" w:hAnsi="Cambria" w:cs="Times New Roman"/>
          <w:sz w:val="24"/>
          <w:szCs w:val="24"/>
        </w:rPr>
        <w:t>evita, preveni și reduce efectele nocive asupra sănătății umane și a mediului în întregul său.</w:t>
      </w:r>
    </w:p>
    <w:p w14:paraId="6E79B7F9" w14:textId="77777777" w:rsidR="00F45192" w:rsidRPr="00EA1BB2" w:rsidRDefault="00F45192" w:rsidP="00A63CB9">
      <w:pPr>
        <w:spacing w:line="360" w:lineRule="auto"/>
        <w:ind w:firstLine="709"/>
        <w:jc w:val="both"/>
        <w:rPr>
          <w:rFonts w:ascii="Cambria" w:eastAsia="Times New Roman" w:hAnsi="Cambria" w:cs="Times New Roman"/>
          <w:sz w:val="24"/>
          <w:szCs w:val="24"/>
        </w:rPr>
      </w:pPr>
    </w:p>
    <w:p w14:paraId="4E93B70E" w14:textId="5ED5B022" w:rsidR="00BF223A" w:rsidRPr="00EA1BB2" w:rsidRDefault="00BF223A" w:rsidP="004F1BFA">
      <w:pPr>
        <w:pStyle w:val="Caption"/>
        <w:keepNext/>
        <w:spacing w:after="0" w:line="360" w:lineRule="auto"/>
        <w:ind w:firstLine="709"/>
        <w:jc w:val="both"/>
        <w:rPr>
          <w:rFonts w:ascii="Cambria" w:hAnsi="Cambria"/>
          <w:szCs w:val="24"/>
        </w:rPr>
      </w:pPr>
      <w:bookmarkStart w:id="62" w:name="_Toc450759424"/>
      <w:bookmarkStart w:id="63" w:name="_Toc524966208"/>
      <w:r w:rsidRPr="00EA1BB2">
        <w:rPr>
          <w:rFonts w:ascii="Cambria" w:hAnsi="Cambria"/>
          <w:szCs w:val="24"/>
        </w:rPr>
        <w:t xml:space="preserve">Figura nr. </w:t>
      </w:r>
      <w:r w:rsidR="00280BC9" w:rsidRPr="00EA1BB2">
        <w:rPr>
          <w:rFonts w:ascii="Cambria" w:hAnsi="Cambria"/>
          <w:szCs w:val="24"/>
        </w:rPr>
        <w:fldChar w:fldCharType="begin"/>
      </w:r>
      <w:r w:rsidR="00BA6FA3" w:rsidRPr="00EA1BB2">
        <w:rPr>
          <w:rFonts w:ascii="Cambria" w:hAnsi="Cambria"/>
          <w:szCs w:val="24"/>
        </w:rPr>
        <w:instrText xml:space="preserve"> STYLEREF 1 \s </w:instrText>
      </w:r>
      <w:r w:rsidR="00280BC9" w:rsidRPr="00EA1BB2">
        <w:rPr>
          <w:rFonts w:ascii="Cambria" w:hAnsi="Cambria"/>
          <w:szCs w:val="24"/>
        </w:rPr>
        <w:fldChar w:fldCharType="separate"/>
      </w:r>
      <w:r w:rsidR="00567555">
        <w:rPr>
          <w:rFonts w:ascii="Cambria" w:hAnsi="Cambria"/>
          <w:noProof/>
          <w:szCs w:val="24"/>
        </w:rPr>
        <w:t>2</w:t>
      </w:r>
      <w:r w:rsidR="00280BC9" w:rsidRPr="00EA1BB2">
        <w:rPr>
          <w:rFonts w:ascii="Cambria" w:hAnsi="Cambria"/>
          <w:szCs w:val="24"/>
        </w:rPr>
        <w:fldChar w:fldCharType="end"/>
      </w:r>
      <w:r w:rsidR="00BA6FA3" w:rsidRPr="00EA1BB2">
        <w:rPr>
          <w:rFonts w:ascii="Cambria" w:hAnsi="Cambria"/>
          <w:szCs w:val="24"/>
        </w:rPr>
        <w:noBreakHyphen/>
      </w:r>
      <w:r w:rsidR="00280BC9" w:rsidRPr="00EA1BB2">
        <w:rPr>
          <w:rFonts w:ascii="Cambria" w:hAnsi="Cambria"/>
          <w:szCs w:val="24"/>
        </w:rPr>
        <w:fldChar w:fldCharType="begin"/>
      </w:r>
      <w:r w:rsidR="00BA6FA3" w:rsidRPr="00EA1BB2">
        <w:rPr>
          <w:rFonts w:ascii="Cambria" w:hAnsi="Cambria"/>
          <w:szCs w:val="24"/>
        </w:rPr>
        <w:instrText xml:space="preserve"> SEQ Figura_nr. \* ARABIC \s 1 </w:instrText>
      </w:r>
      <w:r w:rsidR="00280BC9" w:rsidRPr="00EA1BB2">
        <w:rPr>
          <w:rFonts w:ascii="Cambria" w:hAnsi="Cambria"/>
          <w:szCs w:val="24"/>
        </w:rPr>
        <w:fldChar w:fldCharType="separate"/>
      </w:r>
      <w:r w:rsidR="00567555">
        <w:rPr>
          <w:rFonts w:ascii="Cambria" w:hAnsi="Cambria"/>
          <w:noProof/>
          <w:szCs w:val="24"/>
        </w:rPr>
        <w:t>15</w:t>
      </w:r>
      <w:r w:rsidR="00280BC9" w:rsidRPr="00EA1BB2">
        <w:rPr>
          <w:rFonts w:ascii="Cambria" w:hAnsi="Cambria"/>
          <w:szCs w:val="24"/>
        </w:rPr>
        <w:fldChar w:fldCharType="end"/>
      </w:r>
      <w:r w:rsidRPr="00EA1BB2">
        <w:rPr>
          <w:rFonts w:ascii="Cambria" w:hAnsi="Cambria"/>
          <w:szCs w:val="24"/>
        </w:rPr>
        <w:t xml:space="preserve"> - Amplasarea sta</w:t>
      </w:r>
      <w:r w:rsidR="00054880" w:rsidRPr="00EA1BB2">
        <w:rPr>
          <w:rFonts w:ascii="Cambria" w:hAnsi="Cambria"/>
          <w:szCs w:val="24"/>
        </w:rPr>
        <w:t>ț</w:t>
      </w:r>
      <w:r w:rsidRPr="00EA1BB2">
        <w:rPr>
          <w:rFonts w:ascii="Cambria" w:hAnsi="Cambria"/>
          <w:szCs w:val="24"/>
        </w:rPr>
        <w:t xml:space="preserve">iilor de monitorizare </w:t>
      </w:r>
      <w:bookmarkEnd w:id="62"/>
      <w:r w:rsidRPr="00EA1BB2">
        <w:rPr>
          <w:rFonts w:ascii="Cambria" w:hAnsi="Cambria"/>
          <w:szCs w:val="24"/>
        </w:rPr>
        <w:t>a calită</w:t>
      </w:r>
      <w:r w:rsidR="00054880" w:rsidRPr="00EA1BB2">
        <w:rPr>
          <w:rFonts w:ascii="Cambria" w:hAnsi="Cambria"/>
          <w:szCs w:val="24"/>
        </w:rPr>
        <w:t>ț</w:t>
      </w:r>
      <w:r w:rsidRPr="00EA1BB2">
        <w:rPr>
          <w:rFonts w:ascii="Cambria" w:hAnsi="Cambria"/>
          <w:szCs w:val="24"/>
        </w:rPr>
        <w:t>ii aerului din jude</w:t>
      </w:r>
      <w:r w:rsidR="00054880" w:rsidRPr="00EA1BB2">
        <w:rPr>
          <w:rFonts w:ascii="Cambria" w:hAnsi="Cambria"/>
          <w:szCs w:val="24"/>
        </w:rPr>
        <w:t>ț</w:t>
      </w:r>
      <w:r w:rsidRPr="00EA1BB2">
        <w:rPr>
          <w:rFonts w:ascii="Cambria" w:hAnsi="Cambria"/>
          <w:szCs w:val="24"/>
        </w:rPr>
        <w:t>ul Brăila</w:t>
      </w:r>
      <w:bookmarkEnd w:id="63"/>
    </w:p>
    <w:p w14:paraId="13E267A2" w14:textId="77777777" w:rsidR="00BF223A" w:rsidRPr="00EA1BB2" w:rsidRDefault="00BF223A" w:rsidP="00BF223A">
      <w:pPr>
        <w:keepNext/>
        <w:jc w:val="center"/>
        <w:rPr>
          <w:rFonts w:ascii="Cambria" w:hAnsi="Cambria"/>
          <w:sz w:val="24"/>
          <w:szCs w:val="24"/>
        </w:rPr>
      </w:pPr>
      <w:r w:rsidRPr="00EA1BB2">
        <w:rPr>
          <w:rFonts w:ascii="Cambria" w:hAnsi="Cambria"/>
          <w:noProof/>
          <w:sz w:val="24"/>
          <w:szCs w:val="24"/>
          <w:lang w:val="en-US"/>
        </w:rPr>
        <w:drawing>
          <wp:inline distT="0" distB="0" distL="0" distR="0" wp14:anchorId="30D37852" wp14:editId="3BBBA560">
            <wp:extent cx="5760000" cy="4073874"/>
            <wp:effectExtent l="19050" t="19050" r="12700" b="222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harta braila.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60000" cy="4073874"/>
                    </a:xfrm>
                    <a:prstGeom prst="rect">
                      <a:avLst/>
                    </a:prstGeom>
                    <a:ln>
                      <a:solidFill>
                        <a:schemeClr val="bg1">
                          <a:lumMod val="85000"/>
                        </a:schemeClr>
                      </a:solidFill>
                    </a:ln>
                  </pic:spPr>
                </pic:pic>
              </a:graphicData>
            </a:graphic>
          </wp:inline>
        </w:drawing>
      </w:r>
    </w:p>
    <w:p w14:paraId="6FAE79A1" w14:textId="77777777" w:rsidR="00A63CB9" w:rsidRPr="00EA1BB2" w:rsidRDefault="00A63CB9" w:rsidP="00030FD7">
      <w:pPr>
        <w:spacing w:line="360" w:lineRule="auto"/>
        <w:ind w:left="360"/>
        <w:jc w:val="both"/>
        <w:rPr>
          <w:rFonts w:ascii="Cambria" w:eastAsia="Times New Roman" w:hAnsi="Cambria" w:cs="Arial"/>
          <w:sz w:val="24"/>
          <w:szCs w:val="24"/>
        </w:rPr>
      </w:pPr>
    </w:p>
    <w:p w14:paraId="137D1625" w14:textId="77777777" w:rsidR="00F45192" w:rsidRPr="00EA1BB2" w:rsidRDefault="00F45192" w:rsidP="00F45192">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Sistemul de monitorizare permite autorităților locale pentru protecția mediului:</w:t>
      </w:r>
    </w:p>
    <w:p w14:paraId="40C73846" w14:textId="77777777" w:rsidR="00F45192" w:rsidRPr="00EA1BB2" w:rsidRDefault="00F45192" w:rsidP="0001666E">
      <w:pPr>
        <w:pStyle w:val="ListParagraph"/>
        <w:numPr>
          <w:ilvl w:val="0"/>
          <w:numId w:val="24"/>
        </w:numPr>
        <w:spacing w:line="360" w:lineRule="auto"/>
        <w:ind w:left="993" w:hanging="284"/>
        <w:jc w:val="both"/>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să evalueze, să cunoască și să informeze în permanență publicul, alte autorități și instituțiile interesate, despre calitatea aerului;</w:t>
      </w:r>
    </w:p>
    <w:p w14:paraId="35C69D10" w14:textId="77777777" w:rsidR="00F45192" w:rsidRPr="00EA1BB2" w:rsidRDefault="00F45192" w:rsidP="0001666E">
      <w:pPr>
        <w:pStyle w:val="ListParagraph"/>
        <w:numPr>
          <w:ilvl w:val="0"/>
          <w:numId w:val="24"/>
        </w:numPr>
        <w:spacing w:line="360" w:lineRule="auto"/>
        <w:ind w:left="993" w:hanging="284"/>
        <w:jc w:val="both"/>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să ia, în timp util, măsuri prompte pentru diminuarea sau eliminarea episoadelor de poluare;</w:t>
      </w:r>
    </w:p>
    <w:p w14:paraId="1F843B2B" w14:textId="77777777" w:rsidR="00F45192" w:rsidRPr="00EA1BB2" w:rsidRDefault="00F45192" w:rsidP="0001666E">
      <w:pPr>
        <w:pStyle w:val="ListParagraph"/>
        <w:numPr>
          <w:ilvl w:val="0"/>
          <w:numId w:val="24"/>
        </w:numPr>
        <w:spacing w:line="360" w:lineRule="auto"/>
        <w:ind w:left="993" w:hanging="284"/>
        <w:jc w:val="both"/>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lastRenderedPageBreak/>
        <w:t>să prevină poluările accidentale;</w:t>
      </w:r>
    </w:p>
    <w:p w14:paraId="2EDE979F" w14:textId="77777777" w:rsidR="00F45192" w:rsidRPr="00EA1BB2" w:rsidRDefault="00F45192" w:rsidP="0001666E">
      <w:pPr>
        <w:pStyle w:val="ListParagraph"/>
        <w:numPr>
          <w:ilvl w:val="0"/>
          <w:numId w:val="24"/>
        </w:numPr>
        <w:spacing w:after="0" w:line="360" w:lineRule="auto"/>
        <w:ind w:left="993" w:hanging="284"/>
        <w:jc w:val="both"/>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să avertizeze și să protejeze populația în caz de urgență.</w:t>
      </w:r>
    </w:p>
    <w:p w14:paraId="2C6B6EAD" w14:textId="77777777" w:rsidR="00BF223A" w:rsidRPr="00EA1BB2" w:rsidRDefault="00BF223A" w:rsidP="00BF223A">
      <w:pPr>
        <w:spacing w:line="360" w:lineRule="auto"/>
        <w:ind w:firstLine="720"/>
        <w:jc w:val="both"/>
        <w:rPr>
          <w:rFonts w:ascii="Cambria" w:eastAsia="Times New Roman" w:hAnsi="Cambria" w:cs="Times New Roman"/>
          <w:sz w:val="24"/>
          <w:szCs w:val="24"/>
        </w:rPr>
      </w:pPr>
      <w:bookmarkStart w:id="64" w:name="_Toc450759610"/>
      <w:r w:rsidRPr="00EA1BB2">
        <w:rPr>
          <w:rFonts w:ascii="Cambria" w:eastAsia="Times New Roman" w:hAnsi="Cambria" w:cs="Times New Roman"/>
          <w:sz w:val="24"/>
          <w:szCs w:val="24"/>
        </w:rPr>
        <w:t>Amplasarea sta</w:t>
      </w:r>
      <w:r w:rsidR="00054880" w:rsidRPr="00EA1BB2">
        <w:rPr>
          <w:rFonts w:ascii="Cambria" w:eastAsia="Times New Roman" w:hAnsi="Cambria" w:cs="Times New Roman"/>
          <w:sz w:val="24"/>
          <w:szCs w:val="24"/>
        </w:rPr>
        <w:t>ț</w:t>
      </w:r>
      <w:r w:rsidR="00290C02" w:rsidRPr="00EA1BB2">
        <w:rPr>
          <w:rFonts w:ascii="Cambria" w:eastAsia="Times New Roman" w:hAnsi="Cambria" w:cs="Times New Roman"/>
          <w:sz w:val="24"/>
          <w:szCs w:val="24"/>
        </w:rPr>
        <w:t xml:space="preserve">iilor s-a realizat </w:t>
      </w:r>
      <w:r w:rsidRPr="00EA1BB2">
        <w:rPr>
          <w:rFonts w:ascii="Cambria" w:eastAsia="Times New Roman" w:hAnsi="Cambria" w:cs="Times New Roman"/>
          <w:sz w:val="24"/>
          <w:szCs w:val="24"/>
        </w:rPr>
        <w:t>după cum urmează:</w:t>
      </w:r>
    </w:p>
    <w:p w14:paraId="3081BA5D" w14:textId="77777777" w:rsidR="00BF223A" w:rsidRPr="00EA1BB2" w:rsidRDefault="00BF223A" w:rsidP="003A520C">
      <w:pPr>
        <w:numPr>
          <w:ilvl w:val="0"/>
          <w:numId w:val="11"/>
        </w:numPr>
        <w:spacing w:after="200" w:line="360" w:lineRule="auto"/>
        <w:contextualSpacing/>
        <w:jc w:val="both"/>
        <w:rPr>
          <w:rFonts w:ascii="Cambria" w:eastAsia="Times New Roman" w:hAnsi="Cambria" w:cs="Times New Roman"/>
          <w:sz w:val="24"/>
          <w:szCs w:val="24"/>
        </w:rPr>
      </w:pPr>
      <w:r w:rsidRPr="00EA1BB2">
        <w:rPr>
          <w:rFonts w:ascii="Cambria" w:eastAsia="Times New Roman" w:hAnsi="Cambria" w:cs="Times New Roman"/>
          <w:b/>
          <w:sz w:val="24"/>
          <w:szCs w:val="24"/>
        </w:rPr>
        <w:t>BR 1 - sta</w:t>
      </w:r>
      <w:r w:rsidR="00054880" w:rsidRPr="00EA1BB2">
        <w:rPr>
          <w:rFonts w:ascii="Cambria" w:eastAsia="Times New Roman" w:hAnsi="Cambria" w:cs="Times New Roman"/>
          <w:b/>
          <w:sz w:val="24"/>
          <w:szCs w:val="24"/>
        </w:rPr>
        <w:t>ț</w:t>
      </w:r>
      <w:r w:rsidRPr="00EA1BB2">
        <w:rPr>
          <w:rFonts w:ascii="Cambria" w:eastAsia="Times New Roman" w:hAnsi="Cambria" w:cs="Times New Roman"/>
          <w:b/>
          <w:sz w:val="24"/>
          <w:szCs w:val="24"/>
        </w:rPr>
        <w:t xml:space="preserve">ie de trafic </w:t>
      </w:r>
      <w:r w:rsidRPr="00EA1BB2">
        <w:rPr>
          <w:rFonts w:ascii="Cambria" w:eastAsia="Times New Roman" w:hAnsi="Cambria" w:cs="Times New Roman"/>
          <w:sz w:val="24"/>
          <w:szCs w:val="24"/>
        </w:rPr>
        <w:t>amplasată pe Calea Gala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 nr. 53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 xml:space="preserve">i monitorizează </w:t>
      </w:r>
      <w:r w:rsidR="00156182" w:rsidRPr="00EA1BB2">
        <w:rPr>
          <w:rFonts w:ascii="Cambria" w:eastAsia="Times New Roman" w:hAnsi="Cambria" w:cs="Times New Roman"/>
          <w:sz w:val="24"/>
          <w:szCs w:val="24"/>
        </w:rPr>
        <w:t>concentrații ale poluanților</w:t>
      </w:r>
      <w:r w:rsidRPr="00EA1BB2">
        <w:rPr>
          <w:rFonts w:ascii="Cambria" w:eastAsia="Times New Roman" w:hAnsi="Cambria" w:cs="Times New Roman"/>
          <w:sz w:val="24"/>
          <w:szCs w:val="24"/>
        </w:rPr>
        <w:t xml:space="preserve"> genera</w:t>
      </w:r>
      <w:r w:rsidR="00156182" w:rsidRPr="00EA1BB2">
        <w:rPr>
          <w:rFonts w:ascii="Cambria" w:eastAsia="Times New Roman" w:hAnsi="Cambria" w:cs="Times New Roman"/>
          <w:sz w:val="24"/>
          <w:szCs w:val="24"/>
        </w:rPr>
        <w:t>ți</w:t>
      </w:r>
      <w:r w:rsidRPr="00EA1BB2">
        <w:rPr>
          <w:rFonts w:ascii="Cambria" w:eastAsia="Times New Roman" w:hAnsi="Cambria" w:cs="Times New Roman"/>
          <w:sz w:val="24"/>
          <w:szCs w:val="24"/>
        </w:rPr>
        <w:t xml:space="preserve"> preponderent de emisiile din traficul, cu fluxuri medii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ridicate, de pe străzile limitrofe.</w:t>
      </w:r>
    </w:p>
    <w:p w14:paraId="7BD7619D" w14:textId="77777777" w:rsidR="00BF223A" w:rsidRPr="00EA1BB2" w:rsidRDefault="00F535BE" w:rsidP="003A520C">
      <w:pPr>
        <w:numPr>
          <w:ilvl w:val="0"/>
          <w:numId w:val="12"/>
        </w:numPr>
        <w:spacing w:after="200" w:line="360" w:lineRule="auto"/>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Raza ariei</w:t>
      </w:r>
      <w:r w:rsidR="00BF223A" w:rsidRPr="00EA1BB2">
        <w:rPr>
          <w:rFonts w:ascii="Cambria" w:eastAsia="Times New Roman" w:hAnsi="Cambria" w:cs="Times New Roman"/>
          <w:sz w:val="24"/>
          <w:szCs w:val="24"/>
        </w:rPr>
        <w:t xml:space="preserve"> de reprezentativitate: 10-100 m;</w:t>
      </w:r>
    </w:p>
    <w:p w14:paraId="10C8D074" w14:textId="77777777" w:rsidR="006D1046" w:rsidRPr="00EA1BB2" w:rsidRDefault="00BF223A" w:rsidP="003A520C">
      <w:pPr>
        <w:numPr>
          <w:ilvl w:val="0"/>
          <w:numId w:val="12"/>
        </w:numPr>
        <w:spacing w:after="200" w:line="360" w:lineRule="auto"/>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Poluan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 monitoriza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 </w:t>
      </w:r>
      <w:r w:rsidR="006D1046" w:rsidRPr="00EA1BB2">
        <w:rPr>
          <w:rFonts w:ascii="Cambria" w:eastAsia="Times New Roman" w:hAnsi="Cambria" w:cs="Times New Roman"/>
          <w:sz w:val="24"/>
          <w:szCs w:val="24"/>
        </w:rPr>
        <w:t>NOx, SO</w:t>
      </w:r>
      <w:r w:rsidR="006D1046" w:rsidRPr="00EA1BB2">
        <w:rPr>
          <w:rFonts w:ascii="Cambria" w:eastAsia="Times New Roman" w:hAnsi="Cambria" w:cs="Times New Roman"/>
          <w:sz w:val="24"/>
          <w:szCs w:val="24"/>
          <w:vertAlign w:val="subscript"/>
        </w:rPr>
        <w:t>2</w:t>
      </w:r>
      <w:r w:rsidR="006D1046" w:rsidRPr="00EA1BB2">
        <w:rPr>
          <w:rFonts w:ascii="Cambria" w:eastAsia="Times New Roman" w:hAnsi="Cambria" w:cs="Times New Roman"/>
          <w:sz w:val="24"/>
          <w:szCs w:val="24"/>
        </w:rPr>
        <w:t>, CO, PM</w:t>
      </w:r>
      <w:r w:rsidR="006D1046" w:rsidRPr="00EA1BB2">
        <w:rPr>
          <w:rFonts w:ascii="Cambria" w:eastAsia="Times New Roman" w:hAnsi="Cambria" w:cs="Times New Roman"/>
          <w:sz w:val="24"/>
          <w:szCs w:val="24"/>
          <w:vertAlign w:val="subscript"/>
        </w:rPr>
        <w:t>10</w:t>
      </w:r>
      <w:r w:rsidR="006D1046" w:rsidRPr="00EA1BB2">
        <w:rPr>
          <w:rFonts w:ascii="Cambria" w:eastAsia="Times New Roman" w:hAnsi="Cambria" w:cs="Times New Roman"/>
          <w:sz w:val="24"/>
          <w:szCs w:val="24"/>
        </w:rPr>
        <w:t>, COV, Pb, Cd, Ni, As</w:t>
      </w:r>
    </w:p>
    <w:p w14:paraId="02F1B4E8" w14:textId="77777777" w:rsidR="00BF223A" w:rsidRPr="00EA1BB2" w:rsidRDefault="00BF223A" w:rsidP="003A520C">
      <w:pPr>
        <w:numPr>
          <w:ilvl w:val="0"/>
          <w:numId w:val="12"/>
        </w:numPr>
        <w:spacing w:after="200" w:line="360" w:lineRule="auto"/>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Principalele surse de emisie aflate în apropierea sta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iei: trafic auto;</w:t>
      </w:r>
    </w:p>
    <w:p w14:paraId="0DB5D5B1" w14:textId="77777777" w:rsidR="00BF223A" w:rsidRPr="00EA1BB2" w:rsidRDefault="00BF223A" w:rsidP="00030FD7">
      <w:pPr>
        <w:spacing w:after="200"/>
        <w:contextualSpacing/>
        <w:jc w:val="both"/>
        <w:rPr>
          <w:rFonts w:ascii="Cambria" w:eastAsia="Times New Roman" w:hAnsi="Cambria" w:cs="Times New Roman"/>
          <w:sz w:val="24"/>
          <w:szCs w:val="24"/>
        </w:rPr>
      </w:pPr>
    </w:p>
    <w:p w14:paraId="13D39DA1" w14:textId="60E814BB" w:rsidR="00BF223A" w:rsidRPr="00EA1BB2" w:rsidRDefault="00BF223A" w:rsidP="004F1BFA">
      <w:pPr>
        <w:keepNext/>
        <w:spacing w:line="360" w:lineRule="auto"/>
        <w:ind w:firstLine="708"/>
        <w:jc w:val="both"/>
        <w:rPr>
          <w:rFonts w:ascii="Cambria" w:eastAsia="Calibri" w:hAnsi="Cambria" w:cs="Times New Roman"/>
          <w:b/>
          <w:iCs/>
          <w:sz w:val="24"/>
          <w:szCs w:val="18"/>
        </w:rPr>
      </w:pPr>
      <w:bookmarkStart w:id="65" w:name="_Toc460937687"/>
      <w:bookmarkStart w:id="66" w:name="_Toc463206274"/>
      <w:bookmarkStart w:id="67" w:name="_Toc524966209"/>
      <w:r w:rsidRPr="00EA1BB2">
        <w:rPr>
          <w:rFonts w:ascii="Cambria" w:eastAsia="Calibri" w:hAnsi="Cambria" w:cs="Times New Roman"/>
          <w:b/>
          <w:iCs/>
          <w:sz w:val="24"/>
          <w:szCs w:val="18"/>
        </w:rPr>
        <w:t xml:space="preserve">Figura nr. </w:t>
      </w:r>
      <w:r w:rsidR="00280BC9" w:rsidRPr="00EA1BB2">
        <w:rPr>
          <w:rFonts w:ascii="Cambria" w:eastAsia="Calibri" w:hAnsi="Cambria" w:cs="Times New Roman"/>
          <w:b/>
          <w:iCs/>
          <w:sz w:val="24"/>
          <w:szCs w:val="18"/>
        </w:rPr>
        <w:fldChar w:fldCharType="begin"/>
      </w:r>
      <w:r w:rsidR="00BA6FA3" w:rsidRPr="00EA1BB2">
        <w:rPr>
          <w:rFonts w:ascii="Cambria" w:eastAsia="Calibri" w:hAnsi="Cambria" w:cs="Times New Roman"/>
          <w:b/>
          <w:iCs/>
          <w:sz w:val="24"/>
          <w:szCs w:val="18"/>
        </w:rPr>
        <w:instrText xml:space="preserve"> STYLEREF 1 \s </w:instrText>
      </w:r>
      <w:r w:rsidR="00280BC9" w:rsidRPr="00EA1BB2">
        <w:rPr>
          <w:rFonts w:ascii="Cambria" w:eastAsia="Calibri" w:hAnsi="Cambria" w:cs="Times New Roman"/>
          <w:b/>
          <w:iCs/>
          <w:sz w:val="24"/>
          <w:szCs w:val="18"/>
        </w:rPr>
        <w:fldChar w:fldCharType="separate"/>
      </w:r>
      <w:r w:rsidR="00567555">
        <w:rPr>
          <w:rFonts w:ascii="Cambria" w:eastAsia="Calibri" w:hAnsi="Cambria" w:cs="Times New Roman"/>
          <w:b/>
          <w:iCs/>
          <w:noProof/>
          <w:sz w:val="24"/>
          <w:szCs w:val="18"/>
        </w:rPr>
        <w:t>2</w:t>
      </w:r>
      <w:r w:rsidR="00280BC9" w:rsidRPr="00EA1BB2">
        <w:rPr>
          <w:rFonts w:ascii="Cambria" w:eastAsia="Calibri" w:hAnsi="Cambria" w:cs="Times New Roman"/>
          <w:b/>
          <w:iCs/>
          <w:sz w:val="24"/>
          <w:szCs w:val="18"/>
        </w:rPr>
        <w:fldChar w:fldCharType="end"/>
      </w:r>
      <w:r w:rsidR="00BA6FA3" w:rsidRPr="00EA1BB2">
        <w:rPr>
          <w:rFonts w:ascii="Cambria" w:eastAsia="Calibri" w:hAnsi="Cambria" w:cs="Times New Roman"/>
          <w:b/>
          <w:iCs/>
          <w:sz w:val="24"/>
          <w:szCs w:val="18"/>
        </w:rPr>
        <w:noBreakHyphen/>
      </w:r>
      <w:r w:rsidR="00280BC9" w:rsidRPr="00EA1BB2">
        <w:rPr>
          <w:rFonts w:ascii="Cambria" w:eastAsia="Calibri" w:hAnsi="Cambria" w:cs="Times New Roman"/>
          <w:b/>
          <w:iCs/>
          <w:sz w:val="24"/>
          <w:szCs w:val="18"/>
        </w:rPr>
        <w:fldChar w:fldCharType="begin"/>
      </w:r>
      <w:r w:rsidR="00BA6FA3" w:rsidRPr="00EA1BB2">
        <w:rPr>
          <w:rFonts w:ascii="Cambria" w:eastAsia="Calibri" w:hAnsi="Cambria" w:cs="Times New Roman"/>
          <w:b/>
          <w:iCs/>
          <w:sz w:val="24"/>
          <w:szCs w:val="18"/>
        </w:rPr>
        <w:instrText xml:space="preserve"> SEQ Figura_nr. \* ARABIC \s 1 </w:instrText>
      </w:r>
      <w:r w:rsidR="00280BC9" w:rsidRPr="00EA1BB2">
        <w:rPr>
          <w:rFonts w:ascii="Cambria" w:eastAsia="Calibri" w:hAnsi="Cambria" w:cs="Times New Roman"/>
          <w:b/>
          <w:iCs/>
          <w:sz w:val="24"/>
          <w:szCs w:val="18"/>
        </w:rPr>
        <w:fldChar w:fldCharType="separate"/>
      </w:r>
      <w:r w:rsidR="00567555">
        <w:rPr>
          <w:rFonts w:ascii="Cambria" w:eastAsia="Calibri" w:hAnsi="Cambria" w:cs="Times New Roman"/>
          <w:b/>
          <w:iCs/>
          <w:noProof/>
          <w:sz w:val="24"/>
          <w:szCs w:val="18"/>
        </w:rPr>
        <w:t>16</w:t>
      </w:r>
      <w:r w:rsidR="00280BC9" w:rsidRPr="00EA1BB2">
        <w:rPr>
          <w:rFonts w:ascii="Cambria" w:eastAsia="Calibri" w:hAnsi="Cambria" w:cs="Times New Roman"/>
          <w:b/>
          <w:iCs/>
          <w:sz w:val="24"/>
          <w:szCs w:val="18"/>
        </w:rPr>
        <w:fldChar w:fldCharType="end"/>
      </w:r>
      <w:r w:rsidRPr="00EA1BB2">
        <w:rPr>
          <w:rFonts w:ascii="Cambria" w:eastAsia="Calibri" w:hAnsi="Cambria" w:cs="Times New Roman"/>
          <w:b/>
          <w:iCs/>
          <w:sz w:val="24"/>
          <w:szCs w:val="18"/>
        </w:rPr>
        <w:t xml:space="preserve"> - Sta</w:t>
      </w:r>
      <w:r w:rsidR="00054880" w:rsidRPr="00EA1BB2">
        <w:rPr>
          <w:rFonts w:ascii="Cambria" w:eastAsia="Calibri" w:hAnsi="Cambria" w:cs="Times New Roman"/>
          <w:b/>
          <w:iCs/>
          <w:sz w:val="24"/>
          <w:szCs w:val="18"/>
        </w:rPr>
        <w:t>ț</w:t>
      </w:r>
      <w:r w:rsidRPr="00EA1BB2">
        <w:rPr>
          <w:rFonts w:ascii="Cambria" w:eastAsia="Calibri" w:hAnsi="Cambria" w:cs="Times New Roman"/>
          <w:b/>
          <w:iCs/>
          <w:sz w:val="24"/>
          <w:szCs w:val="18"/>
        </w:rPr>
        <w:t xml:space="preserve">ia de </w:t>
      </w:r>
      <w:r w:rsidR="00F535BE" w:rsidRPr="00EA1BB2">
        <w:rPr>
          <w:rFonts w:ascii="Cambria" w:eastAsia="Calibri" w:hAnsi="Cambria" w:cs="Times New Roman"/>
          <w:b/>
          <w:iCs/>
          <w:sz w:val="24"/>
          <w:szCs w:val="18"/>
        </w:rPr>
        <w:t>trafic</w:t>
      </w:r>
      <w:r w:rsidRPr="00EA1BB2">
        <w:rPr>
          <w:rFonts w:ascii="Cambria" w:eastAsia="Calibri" w:hAnsi="Cambria" w:cs="Times New Roman"/>
          <w:b/>
          <w:iCs/>
          <w:sz w:val="24"/>
          <w:szCs w:val="18"/>
        </w:rPr>
        <w:t xml:space="preserve"> BR 1 amplasată în Calea Gala</w:t>
      </w:r>
      <w:r w:rsidR="00054880" w:rsidRPr="00EA1BB2">
        <w:rPr>
          <w:rFonts w:ascii="Cambria" w:eastAsia="Calibri" w:hAnsi="Cambria" w:cs="Times New Roman"/>
          <w:b/>
          <w:iCs/>
          <w:sz w:val="24"/>
          <w:szCs w:val="18"/>
        </w:rPr>
        <w:t>ț</w:t>
      </w:r>
      <w:r w:rsidRPr="00EA1BB2">
        <w:rPr>
          <w:rFonts w:ascii="Cambria" w:eastAsia="Calibri" w:hAnsi="Cambria" w:cs="Times New Roman"/>
          <w:b/>
          <w:iCs/>
          <w:sz w:val="24"/>
          <w:szCs w:val="18"/>
        </w:rPr>
        <w:t>i nr. 53</w:t>
      </w:r>
      <w:bookmarkEnd w:id="65"/>
      <w:bookmarkEnd w:id="66"/>
      <w:bookmarkEnd w:id="67"/>
    </w:p>
    <w:p w14:paraId="3852E80E" w14:textId="77777777" w:rsidR="00BF223A" w:rsidRPr="00EA1BB2" w:rsidRDefault="00BF223A" w:rsidP="00D56B32">
      <w:pPr>
        <w:spacing w:line="276" w:lineRule="auto"/>
        <w:jc w:val="center"/>
        <w:rPr>
          <w:rFonts w:ascii="Cambria" w:eastAsia="Calibri" w:hAnsi="Cambria" w:cs="Times New Roman"/>
        </w:rPr>
      </w:pPr>
      <w:r w:rsidRPr="00EA1BB2">
        <w:rPr>
          <w:rFonts w:ascii="Cambria" w:eastAsia="Calibri" w:hAnsi="Cambria" w:cs="Times New Roman"/>
          <w:noProof/>
          <w:lang w:val="en-US"/>
        </w:rPr>
        <w:drawing>
          <wp:inline distT="0" distB="0" distL="0" distR="0" wp14:anchorId="28C42792" wp14:editId="082EE1C3">
            <wp:extent cx="5760000" cy="4319999"/>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60000" cy="4319999"/>
                    </a:xfrm>
                    <a:prstGeom prst="rect">
                      <a:avLst/>
                    </a:prstGeom>
                  </pic:spPr>
                </pic:pic>
              </a:graphicData>
            </a:graphic>
          </wp:inline>
        </w:drawing>
      </w:r>
    </w:p>
    <w:p w14:paraId="5F9D2E43" w14:textId="77777777" w:rsidR="00BF223A" w:rsidRPr="00EA1BB2" w:rsidRDefault="00BF223A" w:rsidP="00BF223A">
      <w:pPr>
        <w:spacing w:after="200" w:line="360" w:lineRule="auto"/>
        <w:contextualSpacing/>
        <w:jc w:val="both"/>
        <w:rPr>
          <w:rFonts w:ascii="Cambria" w:eastAsia="Times New Roman" w:hAnsi="Cambria" w:cs="Times New Roman"/>
          <w:sz w:val="24"/>
          <w:szCs w:val="24"/>
        </w:rPr>
      </w:pPr>
    </w:p>
    <w:p w14:paraId="2C049DA1" w14:textId="487E6EE1" w:rsidR="00BF223A" w:rsidRPr="00EA1BB2" w:rsidRDefault="00BF223A" w:rsidP="00156182">
      <w:pPr>
        <w:numPr>
          <w:ilvl w:val="0"/>
          <w:numId w:val="11"/>
        </w:numPr>
        <w:spacing w:after="200" w:line="360" w:lineRule="auto"/>
        <w:contextualSpacing/>
        <w:jc w:val="both"/>
        <w:rPr>
          <w:rFonts w:ascii="Cambria" w:eastAsia="Times New Roman" w:hAnsi="Cambria" w:cs="Times New Roman"/>
          <w:sz w:val="24"/>
          <w:szCs w:val="24"/>
        </w:rPr>
      </w:pPr>
      <w:r w:rsidRPr="00EA1BB2">
        <w:rPr>
          <w:rFonts w:ascii="Cambria" w:eastAsia="Times New Roman" w:hAnsi="Cambria" w:cs="Times New Roman"/>
          <w:b/>
          <w:sz w:val="24"/>
          <w:szCs w:val="24"/>
        </w:rPr>
        <w:t>BR 2 - sta</w:t>
      </w:r>
      <w:r w:rsidR="00054880" w:rsidRPr="00EA1BB2">
        <w:rPr>
          <w:rFonts w:ascii="Cambria" w:eastAsia="Times New Roman" w:hAnsi="Cambria" w:cs="Times New Roman"/>
          <w:b/>
          <w:sz w:val="24"/>
          <w:szCs w:val="24"/>
        </w:rPr>
        <w:t>ț</w:t>
      </w:r>
      <w:r w:rsidR="00576DAA" w:rsidRPr="00EA1BB2">
        <w:rPr>
          <w:rFonts w:ascii="Cambria" w:eastAsia="Times New Roman" w:hAnsi="Cambria" w:cs="Times New Roman"/>
          <w:b/>
          <w:sz w:val="24"/>
          <w:szCs w:val="24"/>
        </w:rPr>
        <w:t>ie de fond</w:t>
      </w:r>
      <w:r w:rsidR="00AC4C38" w:rsidRPr="00EA1BB2">
        <w:rPr>
          <w:rFonts w:ascii="Cambria" w:eastAsia="Times New Roman" w:hAnsi="Cambria" w:cs="Times New Roman"/>
          <w:b/>
          <w:sz w:val="24"/>
          <w:szCs w:val="24"/>
        </w:rPr>
        <w:t xml:space="preserve"> </w:t>
      </w:r>
      <w:r w:rsidRPr="00EA1BB2">
        <w:rPr>
          <w:rFonts w:ascii="Cambria" w:eastAsia="Times New Roman" w:hAnsi="Cambria" w:cs="Times New Roman"/>
          <w:sz w:val="24"/>
          <w:szCs w:val="24"/>
        </w:rPr>
        <w:t>amplasată în Pia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a Independen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ei nr. 1, </w:t>
      </w:r>
      <w:r w:rsidR="007762F3" w:rsidRPr="00EA1BB2">
        <w:rPr>
          <w:rFonts w:ascii="Cambria" w:eastAsia="Times New Roman" w:hAnsi="Cambria" w:cs="Times New Roman"/>
          <w:sz w:val="24"/>
          <w:szCs w:val="24"/>
        </w:rPr>
        <w:t>departe</w:t>
      </w:r>
      <w:r w:rsidRPr="00EA1BB2">
        <w:rPr>
          <w:rFonts w:ascii="Cambria" w:eastAsia="Times New Roman" w:hAnsi="Cambria" w:cs="Times New Roman"/>
          <w:sz w:val="24"/>
          <w:szCs w:val="24"/>
        </w:rPr>
        <w:t xml:space="preserve"> de trafic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 xml:space="preserve">i de zone industriale sau surse punctuale mari. Monitorizează </w:t>
      </w:r>
      <w:r w:rsidR="00156182" w:rsidRPr="00EA1BB2">
        <w:rPr>
          <w:rFonts w:ascii="Cambria" w:eastAsia="Times New Roman" w:hAnsi="Cambria" w:cs="Times New Roman"/>
          <w:sz w:val="24"/>
          <w:szCs w:val="24"/>
        </w:rPr>
        <w:t xml:space="preserve">concentrații ale poluanților </w:t>
      </w:r>
      <w:r w:rsidRPr="00EA1BB2">
        <w:rPr>
          <w:rFonts w:ascii="Cambria" w:eastAsia="Times New Roman" w:hAnsi="Cambria" w:cs="Times New Roman"/>
          <w:sz w:val="24"/>
          <w:szCs w:val="24"/>
        </w:rPr>
        <w:t>din zona urbană datorate emisiilor din interiorul ora</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 xml:space="preserve">ului precum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contribu</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iile posibil semnificative datorate unor fenomene de transport a poluan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ilor atmosferici proveni</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 din exteriorul ora</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ului.</w:t>
      </w:r>
    </w:p>
    <w:p w14:paraId="481FE26F" w14:textId="77777777" w:rsidR="00BF223A" w:rsidRPr="00EA1BB2" w:rsidRDefault="00F535BE" w:rsidP="003A520C">
      <w:pPr>
        <w:numPr>
          <w:ilvl w:val="0"/>
          <w:numId w:val="13"/>
        </w:numPr>
        <w:spacing w:after="200" w:line="360" w:lineRule="auto"/>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 xml:space="preserve">Raza ariei </w:t>
      </w:r>
      <w:r w:rsidR="00BF223A" w:rsidRPr="00EA1BB2">
        <w:rPr>
          <w:rFonts w:ascii="Cambria" w:eastAsia="Times New Roman" w:hAnsi="Cambria" w:cs="Times New Roman"/>
          <w:sz w:val="24"/>
          <w:szCs w:val="24"/>
        </w:rPr>
        <w:t>de reprezentativitate: 1-5 km;</w:t>
      </w:r>
    </w:p>
    <w:p w14:paraId="0A3E97F7" w14:textId="77777777" w:rsidR="00BF223A" w:rsidRPr="00EA1BB2" w:rsidRDefault="00BF223A" w:rsidP="003A520C">
      <w:pPr>
        <w:numPr>
          <w:ilvl w:val="0"/>
          <w:numId w:val="13"/>
        </w:numPr>
        <w:spacing w:after="200" w:line="360" w:lineRule="auto"/>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lastRenderedPageBreak/>
        <w:t>Poluan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 monitoriza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 </w:t>
      </w:r>
      <w:r w:rsidR="006D1046" w:rsidRPr="00EA1BB2">
        <w:rPr>
          <w:rFonts w:ascii="Cambria" w:eastAsia="Times New Roman" w:hAnsi="Cambria" w:cs="Times New Roman"/>
          <w:sz w:val="24"/>
          <w:szCs w:val="24"/>
        </w:rPr>
        <w:t>NOx, SO</w:t>
      </w:r>
      <w:r w:rsidR="006D1046" w:rsidRPr="00EA1BB2">
        <w:rPr>
          <w:rFonts w:ascii="Cambria" w:eastAsia="Times New Roman" w:hAnsi="Cambria" w:cs="Times New Roman"/>
          <w:sz w:val="24"/>
          <w:szCs w:val="24"/>
          <w:vertAlign w:val="subscript"/>
        </w:rPr>
        <w:t>2</w:t>
      </w:r>
      <w:r w:rsidR="006D1046" w:rsidRPr="00EA1BB2">
        <w:rPr>
          <w:rFonts w:ascii="Cambria" w:eastAsia="Times New Roman" w:hAnsi="Cambria" w:cs="Times New Roman"/>
          <w:sz w:val="24"/>
          <w:szCs w:val="24"/>
        </w:rPr>
        <w:t>, CO, O</w:t>
      </w:r>
      <w:r w:rsidR="006D1046" w:rsidRPr="00EA1BB2">
        <w:rPr>
          <w:rFonts w:ascii="Cambria" w:eastAsia="Times New Roman" w:hAnsi="Cambria" w:cs="Times New Roman"/>
          <w:sz w:val="24"/>
          <w:szCs w:val="24"/>
          <w:vertAlign w:val="subscript"/>
        </w:rPr>
        <w:t>3</w:t>
      </w:r>
      <w:r w:rsidR="006D1046" w:rsidRPr="00EA1BB2">
        <w:rPr>
          <w:rFonts w:ascii="Cambria" w:eastAsia="Times New Roman" w:hAnsi="Cambria" w:cs="Times New Roman"/>
          <w:sz w:val="24"/>
          <w:szCs w:val="24"/>
        </w:rPr>
        <w:t>, PM</w:t>
      </w:r>
      <w:r w:rsidR="006D1046" w:rsidRPr="00EA1BB2">
        <w:rPr>
          <w:rFonts w:ascii="Cambria" w:eastAsia="Times New Roman" w:hAnsi="Cambria" w:cs="Times New Roman"/>
          <w:sz w:val="24"/>
          <w:szCs w:val="24"/>
          <w:vertAlign w:val="subscript"/>
        </w:rPr>
        <w:t>10</w:t>
      </w:r>
      <w:r w:rsidR="006D1046" w:rsidRPr="00EA1BB2">
        <w:rPr>
          <w:rFonts w:ascii="Cambria" w:eastAsia="Times New Roman" w:hAnsi="Cambria" w:cs="Times New Roman"/>
          <w:sz w:val="24"/>
          <w:szCs w:val="24"/>
        </w:rPr>
        <w:t>, PM</w:t>
      </w:r>
      <w:r w:rsidR="006D1046" w:rsidRPr="00EA1BB2">
        <w:rPr>
          <w:rFonts w:ascii="Cambria" w:eastAsia="Times New Roman" w:hAnsi="Cambria" w:cs="Times New Roman"/>
          <w:sz w:val="24"/>
          <w:szCs w:val="24"/>
          <w:vertAlign w:val="subscript"/>
        </w:rPr>
        <w:t>2,5</w:t>
      </w:r>
      <w:r w:rsidR="006D1046" w:rsidRPr="00EA1BB2">
        <w:rPr>
          <w:rFonts w:ascii="Cambria" w:eastAsia="Times New Roman" w:hAnsi="Cambria" w:cs="Times New Roman"/>
          <w:sz w:val="24"/>
          <w:szCs w:val="24"/>
        </w:rPr>
        <w:t>, COV corela</w:t>
      </w:r>
      <w:r w:rsidR="00054880" w:rsidRPr="00EA1BB2">
        <w:rPr>
          <w:rFonts w:ascii="Cambria" w:eastAsia="Times New Roman" w:hAnsi="Cambria" w:cs="Times New Roman"/>
          <w:sz w:val="24"/>
          <w:szCs w:val="24"/>
        </w:rPr>
        <w:t>ț</w:t>
      </w:r>
      <w:r w:rsidR="006D1046" w:rsidRPr="00EA1BB2">
        <w:rPr>
          <w:rFonts w:ascii="Cambria" w:eastAsia="Times New Roman" w:hAnsi="Cambria" w:cs="Times New Roman"/>
          <w:sz w:val="24"/>
          <w:szCs w:val="24"/>
        </w:rPr>
        <w:t>i cu parametrii meteo;</w:t>
      </w:r>
    </w:p>
    <w:p w14:paraId="1E5897D4" w14:textId="77777777" w:rsidR="00BF223A" w:rsidRPr="00EA1BB2" w:rsidRDefault="00BF223A" w:rsidP="003A520C">
      <w:pPr>
        <w:numPr>
          <w:ilvl w:val="0"/>
          <w:numId w:val="13"/>
        </w:numPr>
        <w:spacing w:after="200" w:line="360" w:lineRule="auto"/>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Principalele surse de emisie aflate în apropierea sta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iei: instala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 de ardere neindustri</w:t>
      </w:r>
      <w:r w:rsidR="00D56B32" w:rsidRPr="00EA1BB2">
        <w:rPr>
          <w:rFonts w:ascii="Cambria" w:eastAsia="Times New Roman" w:hAnsi="Cambria" w:cs="Times New Roman"/>
          <w:sz w:val="24"/>
          <w:szCs w:val="24"/>
        </w:rPr>
        <w:t>ale</w:t>
      </w:r>
      <w:r w:rsidR="005437D1" w:rsidRPr="00EA1BB2">
        <w:rPr>
          <w:rFonts w:ascii="Cambria" w:eastAsia="Times New Roman" w:hAnsi="Cambria" w:cs="Times New Roman"/>
          <w:sz w:val="24"/>
          <w:szCs w:val="24"/>
        </w:rPr>
        <w:t>.</w:t>
      </w:r>
    </w:p>
    <w:p w14:paraId="47C5633A" w14:textId="77777777" w:rsidR="00D56B32" w:rsidRPr="00EA1BB2" w:rsidRDefault="00D56B32" w:rsidP="00AA4794">
      <w:pPr>
        <w:spacing w:after="200"/>
        <w:ind w:left="1440"/>
        <w:contextualSpacing/>
        <w:jc w:val="both"/>
        <w:rPr>
          <w:rFonts w:ascii="Cambria" w:eastAsia="Times New Roman" w:hAnsi="Cambria" w:cs="Times New Roman"/>
          <w:sz w:val="24"/>
          <w:szCs w:val="24"/>
        </w:rPr>
      </w:pPr>
    </w:p>
    <w:p w14:paraId="7A7C7F49" w14:textId="5B2AB534" w:rsidR="00BF223A" w:rsidRPr="00EA1BB2" w:rsidRDefault="00BF223A" w:rsidP="00030FD7">
      <w:pPr>
        <w:keepNext/>
        <w:spacing w:line="360" w:lineRule="auto"/>
        <w:ind w:firstLine="708"/>
        <w:jc w:val="both"/>
        <w:rPr>
          <w:rFonts w:ascii="Cambria" w:eastAsia="Calibri" w:hAnsi="Cambria" w:cs="Times New Roman"/>
          <w:b/>
          <w:iCs/>
          <w:sz w:val="24"/>
          <w:szCs w:val="18"/>
        </w:rPr>
      </w:pPr>
      <w:bookmarkStart w:id="68" w:name="_Toc524966210"/>
      <w:r w:rsidRPr="00EA1BB2">
        <w:rPr>
          <w:rFonts w:ascii="Cambria" w:eastAsia="Calibri" w:hAnsi="Cambria" w:cs="Times New Roman"/>
          <w:b/>
          <w:iCs/>
          <w:sz w:val="24"/>
          <w:szCs w:val="18"/>
        </w:rPr>
        <w:t xml:space="preserve">Figura nr. </w:t>
      </w:r>
      <w:r w:rsidR="00280BC9" w:rsidRPr="00EA1BB2">
        <w:rPr>
          <w:rFonts w:ascii="Cambria" w:eastAsia="Calibri" w:hAnsi="Cambria" w:cs="Times New Roman"/>
          <w:b/>
          <w:iCs/>
          <w:sz w:val="24"/>
          <w:szCs w:val="18"/>
        </w:rPr>
        <w:fldChar w:fldCharType="begin"/>
      </w:r>
      <w:r w:rsidR="00BA6FA3" w:rsidRPr="00EA1BB2">
        <w:rPr>
          <w:rFonts w:ascii="Cambria" w:eastAsia="Calibri" w:hAnsi="Cambria" w:cs="Times New Roman"/>
          <w:b/>
          <w:iCs/>
          <w:sz w:val="24"/>
          <w:szCs w:val="18"/>
        </w:rPr>
        <w:instrText xml:space="preserve"> STYLEREF 1 \s </w:instrText>
      </w:r>
      <w:r w:rsidR="00280BC9" w:rsidRPr="00EA1BB2">
        <w:rPr>
          <w:rFonts w:ascii="Cambria" w:eastAsia="Calibri" w:hAnsi="Cambria" w:cs="Times New Roman"/>
          <w:b/>
          <w:iCs/>
          <w:sz w:val="24"/>
          <w:szCs w:val="18"/>
        </w:rPr>
        <w:fldChar w:fldCharType="separate"/>
      </w:r>
      <w:r w:rsidR="00567555">
        <w:rPr>
          <w:rFonts w:ascii="Cambria" w:eastAsia="Calibri" w:hAnsi="Cambria" w:cs="Times New Roman"/>
          <w:b/>
          <w:iCs/>
          <w:noProof/>
          <w:sz w:val="24"/>
          <w:szCs w:val="18"/>
        </w:rPr>
        <w:t>2</w:t>
      </w:r>
      <w:r w:rsidR="00280BC9" w:rsidRPr="00EA1BB2">
        <w:rPr>
          <w:rFonts w:ascii="Cambria" w:eastAsia="Calibri" w:hAnsi="Cambria" w:cs="Times New Roman"/>
          <w:b/>
          <w:iCs/>
          <w:sz w:val="24"/>
          <w:szCs w:val="18"/>
        </w:rPr>
        <w:fldChar w:fldCharType="end"/>
      </w:r>
      <w:r w:rsidR="00BA6FA3" w:rsidRPr="00EA1BB2">
        <w:rPr>
          <w:rFonts w:ascii="Cambria" w:eastAsia="Calibri" w:hAnsi="Cambria" w:cs="Times New Roman"/>
          <w:b/>
          <w:iCs/>
          <w:sz w:val="24"/>
          <w:szCs w:val="18"/>
        </w:rPr>
        <w:noBreakHyphen/>
      </w:r>
      <w:r w:rsidR="00280BC9" w:rsidRPr="00EA1BB2">
        <w:rPr>
          <w:rFonts w:ascii="Cambria" w:eastAsia="Calibri" w:hAnsi="Cambria" w:cs="Times New Roman"/>
          <w:b/>
          <w:iCs/>
          <w:sz w:val="24"/>
          <w:szCs w:val="18"/>
        </w:rPr>
        <w:fldChar w:fldCharType="begin"/>
      </w:r>
      <w:r w:rsidR="00BA6FA3" w:rsidRPr="00EA1BB2">
        <w:rPr>
          <w:rFonts w:ascii="Cambria" w:eastAsia="Calibri" w:hAnsi="Cambria" w:cs="Times New Roman"/>
          <w:b/>
          <w:iCs/>
          <w:sz w:val="24"/>
          <w:szCs w:val="18"/>
        </w:rPr>
        <w:instrText xml:space="preserve"> SEQ Figura_nr. \* ARABIC \s 1 </w:instrText>
      </w:r>
      <w:r w:rsidR="00280BC9" w:rsidRPr="00EA1BB2">
        <w:rPr>
          <w:rFonts w:ascii="Cambria" w:eastAsia="Calibri" w:hAnsi="Cambria" w:cs="Times New Roman"/>
          <w:b/>
          <w:iCs/>
          <w:sz w:val="24"/>
          <w:szCs w:val="18"/>
        </w:rPr>
        <w:fldChar w:fldCharType="separate"/>
      </w:r>
      <w:r w:rsidR="00567555">
        <w:rPr>
          <w:rFonts w:ascii="Cambria" w:eastAsia="Calibri" w:hAnsi="Cambria" w:cs="Times New Roman"/>
          <w:b/>
          <w:iCs/>
          <w:noProof/>
          <w:sz w:val="24"/>
          <w:szCs w:val="18"/>
        </w:rPr>
        <w:t>17</w:t>
      </w:r>
      <w:r w:rsidR="00280BC9" w:rsidRPr="00EA1BB2">
        <w:rPr>
          <w:rFonts w:ascii="Cambria" w:eastAsia="Calibri" w:hAnsi="Cambria" w:cs="Times New Roman"/>
          <w:b/>
          <w:iCs/>
          <w:sz w:val="24"/>
          <w:szCs w:val="18"/>
        </w:rPr>
        <w:fldChar w:fldCharType="end"/>
      </w:r>
      <w:r w:rsidRPr="00EA1BB2">
        <w:rPr>
          <w:rFonts w:ascii="Cambria" w:eastAsia="Calibri" w:hAnsi="Cambria" w:cs="Times New Roman"/>
          <w:b/>
          <w:iCs/>
          <w:sz w:val="24"/>
          <w:szCs w:val="18"/>
        </w:rPr>
        <w:t xml:space="preserve"> - Sta</w:t>
      </w:r>
      <w:r w:rsidR="00054880" w:rsidRPr="00EA1BB2">
        <w:rPr>
          <w:rFonts w:ascii="Cambria" w:eastAsia="Calibri" w:hAnsi="Cambria" w:cs="Times New Roman"/>
          <w:b/>
          <w:iCs/>
          <w:sz w:val="24"/>
          <w:szCs w:val="18"/>
        </w:rPr>
        <w:t>ț</w:t>
      </w:r>
      <w:r w:rsidR="00576DAA" w:rsidRPr="00EA1BB2">
        <w:rPr>
          <w:rFonts w:ascii="Cambria" w:eastAsia="Calibri" w:hAnsi="Cambria" w:cs="Times New Roman"/>
          <w:b/>
          <w:iCs/>
          <w:sz w:val="24"/>
          <w:szCs w:val="18"/>
        </w:rPr>
        <w:t xml:space="preserve">ia de fond </w:t>
      </w:r>
      <w:r w:rsidRPr="00EA1BB2">
        <w:rPr>
          <w:rFonts w:ascii="Cambria" w:eastAsia="Calibri" w:hAnsi="Cambria" w:cs="Times New Roman"/>
          <w:b/>
          <w:iCs/>
          <w:sz w:val="24"/>
          <w:szCs w:val="18"/>
        </w:rPr>
        <w:t>BR 2 amplasată în Pia</w:t>
      </w:r>
      <w:r w:rsidR="00054880" w:rsidRPr="00EA1BB2">
        <w:rPr>
          <w:rFonts w:ascii="Cambria" w:eastAsia="Calibri" w:hAnsi="Cambria" w:cs="Times New Roman"/>
          <w:b/>
          <w:iCs/>
          <w:sz w:val="24"/>
          <w:szCs w:val="18"/>
        </w:rPr>
        <w:t>ț</w:t>
      </w:r>
      <w:r w:rsidRPr="00EA1BB2">
        <w:rPr>
          <w:rFonts w:ascii="Cambria" w:eastAsia="Calibri" w:hAnsi="Cambria" w:cs="Times New Roman"/>
          <w:b/>
          <w:iCs/>
          <w:sz w:val="24"/>
          <w:szCs w:val="18"/>
        </w:rPr>
        <w:t>a Independen</w:t>
      </w:r>
      <w:r w:rsidR="00054880" w:rsidRPr="00EA1BB2">
        <w:rPr>
          <w:rFonts w:ascii="Cambria" w:eastAsia="Calibri" w:hAnsi="Cambria" w:cs="Times New Roman"/>
          <w:b/>
          <w:iCs/>
          <w:sz w:val="24"/>
          <w:szCs w:val="18"/>
        </w:rPr>
        <w:t>ț</w:t>
      </w:r>
      <w:r w:rsidRPr="00EA1BB2">
        <w:rPr>
          <w:rFonts w:ascii="Cambria" w:eastAsia="Calibri" w:hAnsi="Cambria" w:cs="Times New Roman"/>
          <w:b/>
          <w:iCs/>
          <w:sz w:val="24"/>
          <w:szCs w:val="18"/>
        </w:rPr>
        <w:t>ei nr. 1</w:t>
      </w:r>
      <w:bookmarkEnd w:id="68"/>
    </w:p>
    <w:p w14:paraId="152BFDD9" w14:textId="77777777" w:rsidR="00BF223A" w:rsidRPr="00EA1BB2" w:rsidRDefault="00BF223A" w:rsidP="007D021C">
      <w:pPr>
        <w:spacing w:line="276" w:lineRule="auto"/>
        <w:jc w:val="center"/>
        <w:rPr>
          <w:rFonts w:ascii="Cambria" w:eastAsia="Calibri" w:hAnsi="Cambria" w:cs="Times New Roman"/>
        </w:rPr>
      </w:pPr>
      <w:r w:rsidRPr="00EA1BB2">
        <w:rPr>
          <w:rFonts w:ascii="Cambria" w:eastAsia="Calibri" w:hAnsi="Cambria" w:cs="Times New Roman"/>
          <w:noProof/>
          <w:lang w:val="en-US"/>
        </w:rPr>
        <w:drawing>
          <wp:inline distT="0" distB="0" distL="0" distR="0" wp14:anchorId="0997A187" wp14:editId="191C678D">
            <wp:extent cx="5760000" cy="4320000"/>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60000" cy="4320000"/>
                    </a:xfrm>
                    <a:prstGeom prst="rect">
                      <a:avLst/>
                    </a:prstGeom>
                  </pic:spPr>
                </pic:pic>
              </a:graphicData>
            </a:graphic>
          </wp:inline>
        </w:drawing>
      </w:r>
    </w:p>
    <w:p w14:paraId="53B617B7" w14:textId="77777777" w:rsidR="00BF223A" w:rsidRPr="00EA1BB2" w:rsidRDefault="00BF223A" w:rsidP="00AA4794">
      <w:pPr>
        <w:spacing w:after="200"/>
        <w:ind w:left="1440"/>
        <w:contextualSpacing/>
        <w:jc w:val="both"/>
        <w:rPr>
          <w:rFonts w:ascii="Cambria" w:eastAsia="Times New Roman" w:hAnsi="Cambria" w:cs="Times New Roman"/>
          <w:sz w:val="24"/>
          <w:szCs w:val="24"/>
        </w:rPr>
      </w:pPr>
    </w:p>
    <w:p w14:paraId="0BB8B5EE" w14:textId="77777777" w:rsidR="00BF223A" w:rsidRPr="00EA1BB2" w:rsidRDefault="00BF223A" w:rsidP="00156182">
      <w:pPr>
        <w:numPr>
          <w:ilvl w:val="0"/>
          <w:numId w:val="11"/>
        </w:numPr>
        <w:spacing w:after="200" w:line="360" w:lineRule="auto"/>
        <w:contextualSpacing/>
        <w:jc w:val="both"/>
        <w:rPr>
          <w:rFonts w:ascii="Cambria" w:eastAsia="Times New Roman" w:hAnsi="Cambria" w:cs="Times New Roman"/>
          <w:sz w:val="24"/>
          <w:szCs w:val="24"/>
        </w:rPr>
      </w:pPr>
      <w:r w:rsidRPr="00EA1BB2">
        <w:rPr>
          <w:rFonts w:ascii="Cambria" w:eastAsia="Times New Roman" w:hAnsi="Cambria" w:cs="Times New Roman"/>
          <w:b/>
          <w:sz w:val="24"/>
          <w:szCs w:val="24"/>
        </w:rPr>
        <w:t>BR 3 - sta</w:t>
      </w:r>
      <w:r w:rsidR="00054880" w:rsidRPr="00EA1BB2">
        <w:rPr>
          <w:rFonts w:ascii="Cambria" w:eastAsia="Times New Roman" w:hAnsi="Cambria" w:cs="Times New Roman"/>
          <w:b/>
          <w:sz w:val="24"/>
          <w:szCs w:val="24"/>
        </w:rPr>
        <w:t>ț</w:t>
      </w:r>
      <w:r w:rsidR="00576DAA" w:rsidRPr="00EA1BB2">
        <w:rPr>
          <w:rFonts w:ascii="Cambria" w:eastAsia="Times New Roman" w:hAnsi="Cambria" w:cs="Times New Roman"/>
          <w:b/>
          <w:sz w:val="24"/>
          <w:szCs w:val="24"/>
        </w:rPr>
        <w:t xml:space="preserve">ie de fond </w:t>
      </w:r>
      <w:r w:rsidRPr="00EA1BB2">
        <w:rPr>
          <w:rFonts w:ascii="Cambria" w:eastAsia="Times New Roman" w:hAnsi="Cambria" w:cs="Times New Roman"/>
          <w:sz w:val="24"/>
          <w:szCs w:val="24"/>
        </w:rPr>
        <w:t xml:space="preserve">situată în Comuna Cazasu, monitorizează </w:t>
      </w:r>
      <w:r w:rsidR="00156182" w:rsidRPr="00EA1BB2">
        <w:rPr>
          <w:rFonts w:ascii="Cambria" w:eastAsia="Times New Roman" w:hAnsi="Cambria" w:cs="Times New Roman"/>
          <w:sz w:val="24"/>
          <w:szCs w:val="24"/>
        </w:rPr>
        <w:t xml:space="preserve">concentrații ale poluanților </w:t>
      </w:r>
      <w:r w:rsidRPr="00EA1BB2">
        <w:rPr>
          <w:rFonts w:ascii="Cambria" w:eastAsia="Times New Roman" w:hAnsi="Cambria" w:cs="Times New Roman"/>
          <w:sz w:val="24"/>
          <w:szCs w:val="24"/>
        </w:rPr>
        <w:t>din interiorul zonei suburbane datorate unor fenomene de transport a poluan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ilor ce provin din municipiul Brăila. Monitorizarea se realizează în vederea evaluării expunerii popula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iei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a vegeta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iei din localită</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ile de la marginea zonei urbane, localită</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 unde pot apărea fenomene de poluare fotochimică.</w:t>
      </w:r>
    </w:p>
    <w:p w14:paraId="482814E5" w14:textId="77777777" w:rsidR="00BF223A" w:rsidRPr="00EA1BB2" w:rsidRDefault="00F535BE" w:rsidP="003A520C">
      <w:pPr>
        <w:numPr>
          <w:ilvl w:val="0"/>
          <w:numId w:val="12"/>
        </w:numPr>
        <w:spacing w:after="200" w:line="360" w:lineRule="auto"/>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 xml:space="preserve">Raza ariei </w:t>
      </w:r>
      <w:r w:rsidR="00BF223A" w:rsidRPr="00EA1BB2">
        <w:rPr>
          <w:rFonts w:ascii="Cambria" w:eastAsia="Times New Roman" w:hAnsi="Cambria" w:cs="Times New Roman"/>
          <w:sz w:val="24"/>
          <w:szCs w:val="24"/>
        </w:rPr>
        <w:t>de reprezentativitate: 25-150 km;</w:t>
      </w:r>
    </w:p>
    <w:p w14:paraId="44B68030" w14:textId="77777777" w:rsidR="00BF223A" w:rsidRPr="00EA1BB2" w:rsidRDefault="00BF223A" w:rsidP="003A520C">
      <w:pPr>
        <w:numPr>
          <w:ilvl w:val="0"/>
          <w:numId w:val="12"/>
        </w:numPr>
        <w:spacing w:after="200" w:line="360" w:lineRule="auto"/>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Poluan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 monitoriza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 </w:t>
      </w:r>
      <w:r w:rsidR="006D1046" w:rsidRPr="00EA1BB2">
        <w:rPr>
          <w:rFonts w:ascii="Cambria" w:eastAsia="Times New Roman" w:hAnsi="Cambria" w:cs="Times New Roman"/>
          <w:sz w:val="24"/>
          <w:szCs w:val="24"/>
        </w:rPr>
        <w:t>NOx, SO</w:t>
      </w:r>
      <w:r w:rsidR="006D1046" w:rsidRPr="00EA1BB2">
        <w:rPr>
          <w:rFonts w:ascii="Cambria" w:eastAsia="Times New Roman" w:hAnsi="Cambria" w:cs="Times New Roman"/>
          <w:sz w:val="24"/>
          <w:szCs w:val="24"/>
          <w:vertAlign w:val="subscript"/>
        </w:rPr>
        <w:t>2</w:t>
      </w:r>
      <w:r w:rsidR="006D1046" w:rsidRPr="00EA1BB2">
        <w:rPr>
          <w:rFonts w:ascii="Cambria" w:eastAsia="Times New Roman" w:hAnsi="Cambria" w:cs="Times New Roman"/>
          <w:sz w:val="24"/>
          <w:szCs w:val="24"/>
        </w:rPr>
        <w:t>, CO, O</w:t>
      </w:r>
      <w:r w:rsidR="006D1046" w:rsidRPr="00EA1BB2">
        <w:rPr>
          <w:rFonts w:ascii="Cambria" w:eastAsia="Times New Roman" w:hAnsi="Cambria" w:cs="Times New Roman"/>
          <w:sz w:val="24"/>
          <w:szCs w:val="24"/>
          <w:vertAlign w:val="subscript"/>
        </w:rPr>
        <w:t>3</w:t>
      </w:r>
      <w:r w:rsidR="006D1046" w:rsidRPr="00EA1BB2">
        <w:rPr>
          <w:rFonts w:ascii="Cambria" w:eastAsia="Times New Roman" w:hAnsi="Cambria" w:cs="Times New Roman"/>
          <w:sz w:val="24"/>
          <w:szCs w:val="24"/>
        </w:rPr>
        <w:t>, PM</w:t>
      </w:r>
      <w:r w:rsidR="006D1046" w:rsidRPr="00EA1BB2">
        <w:rPr>
          <w:rFonts w:ascii="Cambria" w:eastAsia="Times New Roman" w:hAnsi="Cambria" w:cs="Times New Roman"/>
          <w:sz w:val="24"/>
          <w:szCs w:val="24"/>
          <w:vertAlign w:val="subscript"/>
        </w:rPr>
        <w:t>10</w:t>
      </w:r>
      <w:r w:rsidR="006D1046" w:rsidRPr="00EA1BB2">
        <w:rPr>
          <w:rFonts w:ascii="Cambria" w:eastAsia="Times New Roman" w:hAnsi="Cambria" w:cs="Times New Roman"/>
          <w:sz w:val="24"/>
          <w:szCs w:val="24"/>
        </w:rPr>
        <w:t>, COV corela</w:t>
      </w:r>
      <w:r w:rsidR="00054880" w:rsidRPr="00EA1BB2">
        <w:rPr>
          <w:rFonts w:ascii="Cambria" w:eastAsia="Times New Roman" w:hAnsi="Cambria" w:cs="Times New Roman"/>
          <w:sz w:val="24"/>
          <w:szCs w:val="24"/>
        </w:rPr>
        <w:t>ț</w:t>
      </w:r>
      <w:r w:rsidR="006D1046" w:rsidRPr="00EA1BB2">
        <w:rPr>
          <w:rFonts w:ascii="Cambria" w:eastAsia="Times New Roman" w:hAnsi="Cambria" w:cs="Times New Roman"/>
          <w:sz w:val="24"/>
          <w:szCs w:val="24"/>
        </w:rPr>
        <w:t>i cu parametrii meteo;</w:t>
      </w:r>
    </w:p>
    <w:p w14:paraId="286099F7" w14:textId="77777777" w:rsidR="00BF223A" w:rsidRPr="00EA1BB2" w:rsidRDefault="00BF223A" w:rsidP="003A520C">
      <w:pPr>
        <w:numPr>
          <w:ilvl w:val="0"/>
          <w:numId w:val="12"/>
        </w:numPr>
        <w:spacing w:after="200" w:line="360" w:lineRule="auto"/>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lastRenderedPageBreak/>
        <w:t>Principalele surse de emisie aflate în apropierea sta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iei: instala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 de ardere neindustriale, procese de produc</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ie, trafic auto, agricultură, factori naturali;</w:t>
      </w:r>
    </w:p>
    <w:p w14:paraId="1CFF5B1F" w14:textId="5B409F3B" w:rsidR="00F535BE" w:rsidRPr="00EA1BB2" w:rsidRDefault="00F535BE" w:rsidP="00F535BE">
      <w:pPr>
        <w:keepNext/>
        <w:spacing w:line="360" w:lineRule="auto"/>
        <w:ind w:firstLine="708"/>
        <w:jc w:val="both"/>
        <w:rPr>
          <w:rFonts w:ascii="Cambria" w:eastAsia="Calibri" w:hAnsi="Cambria" w:cs="Times New Roman"/>
          <w:b/>
          <w:iCs/>
          <w:sz w:val="24"/>
          <w:szCs w:val="18"/>
        </w:rPr>
      </w:pPr>
      <w:bookmarkStart w:id="69" w:name="_Toc524966211"/>
      <w:r w:rsidRPr="00EA1BB2">
        <w:rPr>
          <w:rFonts w:ascii="Cambria" w:eastAsia="Calibri" w:hAnsi="Cambria" w:cs="Times New Roman"/>
          <w:b/>
          <w:iCs/>
          <w:sz w:val="24"/>
          <w:szCs w:val="18"/>
        </w:rPr>
        <w:t xml:space="preserve">Figura nr. </w:t>
      </w:r>
      <w:r w:rsidR="00280BC9" w:rsidRPr="00EA1BB2">
        <w:rPr>
          <w:rFonts w:ascii="Cambria" w:eastAsia="Calibri" w:hAnsi="Cambria" w:cs="Times New Roman"/>
          <w:b/>
          <w:iCs/>
          <w:sz w:val="24"/>
          <w:szCs w:val="18"/>
        </w:rPr>
        <w:fldChar w:fldCharType="begin"/>
      </w:r>
      <w:r w:rsidR="00BA6FA3" w:rsidRPr="00EA1BB2">
        <w:rPr>
          <w:rFonts w:ascii="Cambria" w:eastAsia="Calibri" w:hAnsi="Cambria" w:cs="Times New Roman"/>
          <w:b/>
          <w:iCs/>
          <w:sz w:val="24"/>
          <w:szCs w:val="18"/>
        </w:rPr>
        <w:instrText xml:space="preserve"> STYLEREF 1 \s </w:instrText>
      </w:r>
      <w:r w:rsidR="00280BC9" w:rsidRPr="00EA1BB2">
        <w:rPr>
          <w:rFonts w:ascii="Cambria" w:eastAsia="Calibri" w:hAnsi="Cambria" w:cs="Times New Roman"/>
          <w:b/>
          <w:iCs/>
          <w:sz w:val="24"/>
          <w:szCs w:val="18"/>
        </w:rPr>
        <w:fldChar w:fldCharType="separate"/>
      </w:r>
      <w:r w:rsidR="00567555">
        <w:rPr>
          <w:rFonts w:ascii="Cambria" w:eastAsia="Calibri" w:hAnsi="Cambria" w:cs="Times New Roman"/>
          <w:b/>
          <w:iCs/>
          <w:noProof/>
          <w:sz w:val="24"/>
          <w:szCs w:val="18"/>
        </w:rPr>
        <w:t>2</w:t>
      </w:r>
      <w:r w:rsidR="00280BC9" w:rsidRPr="00EA1BB2">
        <w:rPr>
          <w:rFonts w:ascii="Cambria" w:eastAsia="Calibri" w:hAnsi="Cambria" w:cs="Times New Roman"/>
          <w:b/>
          <w:iCs/>
          <w:sz w:val="24"/>
          <w:szCs w:val="18"/>
        </w:rPr>
        <w:fldChar w:fldCharType="end"/>
      </w:r>
      <w:r w:rsidR="00BA6FA3" w:rsidRPr="00EA1BB2">
        <w:rPr>
          <w:rFonts w:ascii="Cambria" w:eastAsia="Calibri" w:hAnsi="Cambria" w:cs="Times New Roman"/>
          <w:b/>
          <w:iCs/>
          <w:sz w:val="24"/>
          <w:szCs w:val="18"/>
        </w:rPr>
        <w:noBreakHyphen/>
      </w:r>
      <w:r w:rsidR="00280BC9" w:rsidRPr="00EA1BB2">
        <w:rPr>
          <w:rFonts w:ascii="Cambria" w:eastAsia="Calibri" w:hAnsi="Cambria" w:cs="Times New Roman"/>
          <w:b/>
          <w:iCs/>
          <w:sz w:val="24"/>
          <w:szCs w:val="18"/>
        </w:rPr>
        <w:fldChar w:fldCharType="begin"/>
      </w:r>
      <w:r w:rsidR="00BA6FA3" w:rsidRPr="00EA1BB2">
        <w:rPr>
          <w:rFonts w:ascii="Cambria" w:eastAsia="Calibri" w:hAnsi="Cambria" w:cs="Times New Roman"/>
          <w:b/>
          <w:iCs/>
          <w:sz w:val="24"/>
          <w:szCs w:val="18"/>
        </w:rPr>
        <w:instrText xml:space="preserve"> SEQ Figura_nr. \* ARABIC \s 1 </w:instrText>
      </w:r>
      <w:r w:rsidR="00280BC9" w:rsidRPr="00EA1BB2">
        <w:rPr>
          <w:rFonts w:ascii="Cambria" w:eastAsia="Calibri" w:hAnsi="Cambria" w:cs="Times New Roman"/>
          <w:b/>
          <w:iCs/>
          <w:sz w:val="24"/>
          <w:szCs w:val="18"/>
        </w:rPr>
        <w:fldChar w:fldCharType="separate"/>
      </w:r>
      <w:r w:rsidR="00567555">
        <w:rPr>
          <w:rFonts w:ascii="Cambria" w:eastAsia="Calibri" w:hAnsi="Cambria" w:cs="Times New Roman"/>
          <w:b/>
          <w:iCs/>
          <w:noProof/>
          <w:sz w:val="24"/>
          <w:szCs w:val="18"/>
        </w:rPr>
        <w:t>18</w:t>
      </w:r>
      <w:r w:rsidR="00280BC9" w:rsidRPr="00EA1BB2">
        <w:rPr>
          <w:rFonts w:ascii="Cambria" w:eastAsia="Calibri" w:hAnsi="Cambria" w:cs="Times New Roman"/>
          <w:b/>
          <w:iCs/>
          <w:sz w:val="24"/>
          <w:szCs w:val="18"/>
        </w:rPr>
        <w:fldChar w:fldCharType="end"/>
      </w:r>
      <w:r w:rsidRPr="00EA1BB2">
        <w:rPr>
          <w:rFonts w:ascii="Cambria" w:eastAsia="Calibri" w:hAnsi="Cambria" w:cs="Times New Roman"/>
          <w:b/>
          <w:iCs/>
          <w:sz w:val="24"/>
          <w:szCs w:val="18"/>
        </w:rPr>
        <w:t xml:space="preserve"> - Sta</w:t>
      </w:r>
      <w:r w:rsidR="00054880" w:rsidRPr="00EA1BB2">
        <w:rPr>
          <w:rFonts w:ascii="Cambria" w:eastAsia="Calibri" w:hAnsi="Cambria" w:cs="Times New Roman"/>
          <w:b/>
          <w:iCs/>
          <w:sz w:val="24"/>
          <w:szCs w:val="18"/>
        </w:rPr>
        <w:t>ț</w:t>
      </w:r>
      <w:r w:rsidRPr="00EA1BB2">
        <w:rPr>
          <w:rFonts w:ascii="Cambria" w:eastAsia="Calibri" w:hAnsi="Cambria" w:cs="Times New Roman"/>
          <w:b/>
          <w:iCs/>
          <w:sz w:val="24"/>
          <w:szCs w:val="18"/>
        </w:rPr>
        <w:t>ia de fond suburban BR 3 amplasată în comuna Cazasu</w:t>
      </w:r>
      <w:bookmarkEnd w:id="69"/>
    </w:p>
    <w:p w14:paraId="0B576532" w14:textId="77777777" w:rsidR="00F535BE" w:rsidRPr="00EA1BB2" w:rsidRDefault="00F535BE" w:rsidP="00F535BE">
      <w:pPr>
        <w:spacing w:line="276" w:lineRule="auto"/>
        <w:jc w:val="center"/>
        <w:rPr>
          <w:rFonts w:ascii="Cambria" w:eastAsia="Calibri" w:hAnsi="Cambria" w:cs="Times New Roman"/>
        </w:rPr>
      </w:pPr>
      <w:r w:rsidRPr="00EA1BB2">
        <w:rPr>
          <w:rFonts w:ascii="Cambria" w:eastAsia="Calibri" w:hAnsi="Cambria" w:cs="Times New Roman"/>
          <w:noProof/>
          <w:lang w:val="en-US"/>
        </w:rPr>
        <w:drawing>
          <wp:inline distT="0" distB="0" distL="0" distR="0" wp14:anchorId="71BD45D7" wp14:editId="052D3D19">
            <wp:extent cx="5760000" cy="4320000"/>
            <wp:effectExtent l="0" t="0" r="0" b="444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2.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60000" cy="4320000"/>
                    </a:xfrm>
                    <a:prstGeom prst="rect">
                      <a:avLst/>
                    </a:prstGeom>
                  </pic:spPr>
                </pic:pic>
              </a:graphicData>
            </a:graphic>
          </wp:inline>
        </w:drawing>
      </w:r>
    </w:p>
    <w:p w14:paraId="32D1D3BB" w14:textId="77777777" w:rsidR="00F535BE" w:rsidRPr="00EA1BB2" w:rsidRDefault="00F535BE" w:rsidP="00F535BE">
      <w:pPr>
        <w:spacing w:after="200" w:line="360" w:lineRule="auto"/>
        <w:ind w:left="720"/>
        <w:contextualSpacing/>
        <w:jc w:val="both"/>
        <w:rPr>
          <w:rFonts w:ascii="Cambria" w:eastAsia="Times New Roman" w:hAnsi="Cambria" w:cs="Times New Roman"/>
          <w:sz w:val="24"/>
          <w:szCs w:val="24"/>
        </w:rPr>
      </w:pPr>
    </w:p>
    <w:p w14:paraId="36B478FD" w14:textId="77777777" w:rsidR="00BF223A" w:rsidRPr="00EA1BB2" w:rsidRDefault="00BF223A" w:rsidP="00156182">
      <w:pPr>
        <w:numPr>
          <w:ilvl w:val="0"/>
          <w:numId w:val="11"/>
        </w:numPr>
        <w:spacing w:after="200" w:line="360" w:lineRule="auto"/>
        <w:contextualSpacing/>
        <w:jc w:val="both"/>
        <w:rPr>
          <w:rFonts w:ascii="Cambria" w:eastAsia="Times New Roman" w:hAnsi="Cambria" w:cs="Times New Roman"/>
          <w:sz w:val="24"/>
          <w:szCs w:val="24"/>
        </w:rPr>
      </w:pPr>
      <w:r w:rsidRPr="00EA1BB2">
        <w:rPr>
          <w:rFonts w:ascii="Cambria" w:eastAsia="Times New Roman" w:hAnsi="Cambria" w:cs="Times New Roman"/>
          <w:b/>
          <w:sz w:val="24"/>
          <w:szCs w:val="24"/>
        </w:rPr>
        <w:t>BR 4 – sta</w:t>
      </w:r>
      <w:r w:rsidR="00054880" w:rsidRPr="00EA1BB2">
        <w:rPr>
          <w:rFonts w:ascii="Cambria" w:eastAsia="Times New Roman" w:hAnsi="Cambria" w:cs="Times New Roman"/>
          <w:b/>
          <w:sz w:val="24"/>
          <w:szCs w:val="24"/>
        </w:rPr>
        <w:t>ț</w:t>
      </w:r>
      <w:r w:rsidRPr="00EA1BB2">
        <w:rPr>
          <w:rFonts w:ascii="Cambria" w:eastAsia="Times New Roman" w:hAnsi="Cambria" w:cs="Times New Roman"/>
          <w:b/>
          <w:sz w:val="24"/>
          <w:szCs w:val="24"/>
        </w:rPr>
        <w:t>ie de tip industrial</w:t>
      </w:r>
      <w:r w:rsidRPr="00EA1BB2">
        <w:rPr>
          <w:rFonts w:ascii="Cambria" w:eastAsia="Times New Roman" w:hAnsi="Cambria" w:cs="Times New Roman"/>
          <w:sz w:val="24"/>
          <w:szCs w:val="24"/>
        </w:rPr>
        <w:t xml:space="preserve"> situată în zona industrială nord a municipiului</w:t>
      </w:r>
      <w:r w:rsidR="008B54DC" w:rsidRPr="00EA1BB2">
        <w:rPr>
          <w:rFonts w:ascii="Cambria" w:eastAsia="Times New Roman" w:hAnsi="Cambria" w:cs="Times New Roman"/>
          <w:sz w:val="24"/>
          <w:szCs w:val="24"/>
        </w:rPr>
        <w:t xml:space="preserve"> Brăila</w:t>
      </w:r>
      <w:r w:rsidRPr="00EA1BB2">
        <w:rPr>
          <w:rFonts w:ascii="Cambria" w:eastAsia="Times New Roman" w:hAnsi="Cambria" w:cs="Times New Roman"/>
          <w:sz w:val="24"/>
          <w:szCs w:val="24"/>
        </w:rPr>
        <w:t xml:space="preserve">, fiind amplasată pe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oseaua Baldovine</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ti în incinta Sta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iei de pompare ape uzate a Companiei de Utilită</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 Publice Dunărea - Brăila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 xml:space="preserve">i determină </w:t>
      </w:r>
      <w:r w:rsidR="00156182" w:rsidRPr="00EA1BB2">
        <w:rPr>
          <w:rFonts w:ascii="Cambria" w:eastAsia="Times New Roman" w:hAnsi="Cambria" w:cs="Times New Roman"/>
          <w:sz w:val="24"/>
          <w:szCs w:val="24"/>
        </w:rPr>
        <w:t xml:space="preserve">concentrații ale poluanților generați </w:t>
      </w:r>
      <w:r w:rsidRPr="00EA1BB2">
        <w:rPr>
          <w:rFonts w:ascii="Cambria" w:eastAsia="Times New Roman" w:hAnsi="Cambria" w:cs="Times New Roman"/>
          <w:sz w:val="24"/>
          <w:szCs w:val="24"/>
        </w:rPr>
        <w:t xml:space="preserve">de la sursele industriale din zonă sau din zonele limitrofe. </w:t>
      </w:r>
    </w:p>
    <w:p w14:paraId="44924366" w14:textId="77777777" w:rsidR="00BF223A" w:rsidRPr="00EA1BB2" w:rsidRDefault="00F535BE" w:rsidP="003A520C">
      <w:pPr>
        <w:numPr>
          <w:ilvl w:val="0"/>
          <w:numId w:val="14"/>
        </w:numPr>
        <w:spacing w:after="200" w:line="360" w:lineRule="auto"/>
        <w:ind w:left="1418"/>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Raza ariei</w:t>
      </w:r>
      <w:r w:rsidR="00BF223A" w:rsidRPr="00EA1BB2">
        <w:rPr>
          <w:rFonts w:ascii="Cambria" w:eastAsia="Times New Roman" w:hAnsi="Cambria" w:cs="Times New Roman"/>
          <w:sz w:val="24"/>
          <w:szCs w:val="24"/>
        </w:rPr>
        <w:t xml:space="preserve"> de reprezentativitate: 100 m - 1 km;</w:t>
      </w:r>
    </w:p>
    <w:p w14:paraId="3A307074" w14:textId="77777777" w:rsidR="00BF223A" w:rsidRPr="00EA1BB2" w:rsidRDefault="00BF223A" w:rsidP="003A520C">
      <w:pPr>
        <w:numPr>
          <w:ilvl w:val="0"/>
          <w:numId w:val="12"/>
        </w:numPr>
        <w:spacing w:after="200" w:line="360" w:lineRule="auto"/>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Poluan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 monitoriza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 </w:t>
      </w:r>
      <w:r w:rsidR="006D1046" w:rsidRPr="00EA1BB2">
        <w:rPr>
          <w:rFonts w:ascii="Cambria" w:eastAsia="Times New Roman" w:hAnsi="Cambria" w:cs="Times New Roman"/>
          <w:sz w:val="24"/>
          <w:szCs w:val="24"/>
        </w:rPr>
        <w:t>NOx, SO</w:t>
      </w:r>
      <w:r w:rsidR="006D1046" w:rsidRPr="00EA1BB2">
        <w:rPr>
          <w:rFonts w:ascii="Cambria" w:eastAsia="Times New Roman" w:hAnsi="Cambria" w:cs="Times New Roman"/>
          <w:sz w:val="24"/>
          <w:szCs w:val="24"/>
          <w:vertAlign w:val="subscript"/>
        </w:rPr>
        <w:t>2</w:t>
      </w:r>
      <w:r w:rsidR="006D1046" w:rsidRPr="00EA1BB2">
        <w:rPr>
          <w:rFonts w:ascii="Cambria" w:eastAsia="Times New Roman" w:hAnsi="Cambria" w:cs="Times New Roman"/>
          <w:sz w:val="24"/>
          <w:szCs w:val="24"/>
        </w:rPr>
        <w:t>, CO, O</w:t>
      </w:r>
      <w:r w:rsidR="006D1046" w:rsidRPr="00EA1BB2">
        <w:rPr>
          <w:rFonts w:ascii="Cambria" w:eastAsia="Times New Roman" w:hAnsi="Cambria" w:cs="Times New Roman"/>
          <w:sz w:val="24"/>
          <w:szCs w:val="24"/>
          <w:vertAlign w:val="subscript"/>
        </w:rPr>
        <w:t>3</w:t>
      </w:r>
      <w:r w:rsidR="006D1046" w:rsidRPr="00EA1BB2">
        <w:rPr>
          <w:rFonts w:ascii="Cambria" w:eastAsia="Times New Roman" w:hAnsi="Cambria" w:cs="Times New Roman"/>
          <w:sz w:val="24"/>
          <w:szCs w:val="24"/>
        </w:rPr>
        <w:t>, PM</w:t>
      </w:r>
      <w:r w:rsidR="006D1046" w:rsidRPr="00EA1BB2">
        <w:rPr>
          <w:rFonts w:ascii="Cambria" w:eastAsia="Times New Roman" w:hAnsi="Cambria" w:cs="Times New Roman"/>
          <w:sz w:val="24"/>
          <w:szCs w:val="24"/>
          <w:vertAlign w:val="subscript"/>
        </w:rPr>
        <w:t>10</w:t>
      </w:r>
      <w:r w:rsidR="006D1046" w:rsidRPr="00EA1BB2">
        <w:rPr>
          <w:rFonts w:ascii="Cambria" w:eastAsia="Times New Roman" w:hAnsi="Cambria" w:cs="Times New Roman"/>
          <w:sz w:val="24"/>
          <w:szCs w:val="24"/>
        </w:rPr>
        <w:t xml:space="preserve"> corela</w:t>
      </w:r>
      <w:r w:rsidR="00054880" w:rsidRPr="00EA1BB2">
        <w:rPr>
          <w:rFonts w:ascii="Cambria" w:eastAsia="Times New Roman" w:hAnsi="Cambria" w:cs="Times New Roman"/>
          <w:sz w:val="24"/>
          <w:szCs w:val="24"/>
        </w:rPr>
        <w:t>ț</w:t>
      </w:r>
      <w:r w:rsidR="006D1046" w:rsidRPr="00EA1BB2">
        <w:rPr>
          <w:rFonts w:ascii="Cambria" w:eastAsia="Times New Roman" w:hAnsi="Cambria" w:cs="Times New Roman"/>
          <w:sz w:val="24"/>
          <w:szCs w:val="24"/>
        </w:rPr>
        <w:t>i cu parametrii meteo;</w:t>
      </w:r>
    </w:p>
    <w:p w14:paraId="6F56E828" w14:textId="77777777" w:rsidR="00BF223A" w:rsidRPr="00EA1BB2" w:rsidRDefault="00BF223A" w:rsidP="003A520C">
      <w:pPr>
        <w:numPr>
          <w:ilvl w:val="0"/>
          <w:numId w:val="12"/>
        </w:numPr>
        <w:spacing w:after="200" w:line="360" w:lineRule="auto"/>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Principalele surse de emisie aflate în apropierea sta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iei: instala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 de ardere neindustriale, arderi în industria de prelucrare, procese de produc</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ie, trafic auto, factori naturali;</w:t>
      </w:r>
    </w:p>
    <w:p w14:paraId="74153473" w14:textId="77777777" w:rsidR="00BF223A" w:rsidRPr="00EA1BB2" w:rsidRDefault="00BF223A" w:rsidP="00156182">
      <w:pPr>
        <w:numPr>
          <w:ilvl w:val="0"/>
          <w:numId w:val="11"/>
        </w:numPr>
        <w:spacing w:after="200" w:line="360" w:lineRule="auto"/>
        <w:contextualSpacing/>
        <w:jc w:val="both"/>
        <w:rPr>
          <w:rFonts w:ascii="Cambria" w:eastAsia="Times New Roman" w:hAnsi="Cambria" w:cs="Times New Roman"/>
          <w:sz w:val="24"/>
          <w:szCs w:val="24"/>
        </w:rPr>
      </w:pPr>
      <w:r w:rsidRPr="00EA1BB2">
        <w:rPr>
          <w:rFonts w:ascii="Cambria" w:eastAsia="Times New Roman" w:hAnsi="Cambria" w:cs="Times New Roman"/>
          <w:b/>
          <w:sz w:val="24"/>
          <w:szCs w:val="24"/>
        </w:rPr>
        <w:t>BR 5 – sta</w:t>
      </w:r>
      <w:r w:rsidR="00054880" w:rsidRPr="00EA1BB2">
        <w:rPr>
          <w:rFonts w:ascii="Cambria" w:eastAsia="Times New Roman" w:hAnsi="Cambria" w:cs="Times New Roman"/>
          <w:b/>
          <w:sz w:val="24"/>
          <w:szCs w:val="24"/>
        </w:rPr>
        <w:t>ț</w:t>
      </w:r>
      <w:r w:rsidRPr="00EA1BB2">
        <w:rPr>
          <w:rFonts w:ascii="Cambria" w:eastAsia="Times New Roman" w:hAnsi="Cambria" w:cs="Times New Roman"/>
          <w:b/>
          <w:sz w:val="24"/>
          <w:szCs w:val="24"/>
        </w:rPr>
        <w:t>ie de tip industrial</w:t>
      </w:r>
      <w:r w:rsidRPr="00EA1BB2">
        <w:rPr>
          <w:rFonts w:ascii="Cambria" w:eastAsia="Times New Roman" w:hAnsi="Cambria" w:cs="Times New Roman"/>
          <w:sz w:val="24"/>
          <w:szCs w:val="24"/>
        </w:rPr>
        <w:t xml:space="preserve"> amplasată în Comuna Chiscani, în zona industrială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 xml:space="preserve">i </w:t>
      </w:r>
      <w:r w:rsidR="00156182" w:rsidRPr="00EA1BB2">
        <w:rPr>
          <w:rFonts w:ascii="Cambria" w:eastAsia="Times New Roman" w:hAnsi="Cambria" w:cs="Times New Roman"/>
          <w:sz w:val="24"/>
          <w:szCs w:val="24"/>
        </w:rPr>
        <w:t xml:space="preserve">concentrații ale poluanților </w:t>
      </w:r>
      <w:r w:rsidRPr="00EA1BB2">
        <w:rPr>
          <w:rFonts w:ascii="Cambria" w:eastAsia="Times New Roman" w:hAnsi="Cambria" w:cs="Times New Roman"/>
          <w:sz w:val="24"/>
          <w:szCs w:val="24"/>
        </w:rPr>
        <w:t>din zona învecinată emisiilor de pe Platforma Industrială Chiscani.</w:t>
      </w:r>
    </w:p>
    <w:p w14:paraId="6C8A0B99" w14:textId="77777777" w:rsidR="00BF223A" w:rsidRPr="00EA1BB2" w:rsidRDefault="00F535BE" w:rsidP="003A520C">
      <w:pPr>
        <w:numPr>
          <w:ilvl w:val="0"/>
          <w:numId w:val="14"/>
        </w:numPr>
        <w:spacing w:after="200" w:line="360" w:lineRule="auto"/>
        <w:ind w:left="1418"/>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lastRenderedPageBreak/>
        <w:t>Raza ariei</w:t>
      </w:r>
      <w:r w:rsidR="00BF223A" w:rsidRPr="00EA1BB2">
        <w:rPr>
          <w:rFonts w:ascii="Cambria" w:eastAsia="Times New Roman" w:hAnsi="Cambria" w:cs="Times New Roman"/>
          <w:sz w:val="24"/>
          <w:szCs w:val="24"/>
        </w:rPr>
        <w:t xml:space="preserve"> de reprezentativitate: 100 m - 1 km;</w:t>
      </w:r>
    </w:p>
    <w:p w14:paraId="06EBD51C" w14:textId="77777777" w:rsidR="00BF223A" w:rsidRPr="00EA1BB2" w:rsidRDefault="00BF223A" w:rsidP="003A520C">
      <w:pPr>
        <w:numPr>
          <w:ilvl w:val="0"/>
          <w:numId w:val="12"/>
        </w:numPr>
        <w:spacing w:after="200" w:line="360" w:lineRule="auto"/>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Poluan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 monitoriza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 </w:t>
      </w:r>
      <w:r w:rsidR="006D1046" w:rsidRPr="00EA1BB2">
        <w:rPr>
          <w:rFonts w:ascii="Cambria" w:eastAsia="Times New Roman" w:hAnsi="Cambria" w:cs="Times New Roman"/>
          <w:sz w:val="24"/>
          <w:szCs w:val="24"/>
        </w:rPr>
        <w:t>NOx, SO</w:t>
      </w:r>
      <w:r w:rsidR="006D1046" w:rsidRPr="00EA1BB2">
        <w:rPr>
          <w:rFonts w:ascii="Cambria" w:eastAsia="Times New Roman" w:hAnsi="Cambria" w:cs="Times New Roman"/>
          <w:sz w:val="24"/>
          <w:szCs w:val="24"/>
          <w:vertAlign w:val="subscript"/>
        </w:rPr>
        <w:t>2</w:t>
      </w:r>
      <w:r w:rsidR="006D1046" w:rsidRPr="00EA1BB2">
        <w:rPr>
          <w:rFonts w:ascii="Cambria" w:eastAsia="Times New Roman" w:hAnsi="Cambria" w:cs="Times New Roman"/>
          <w:sz w:val="24"/>
          <w:szCs w:val="24"/>
        </w:rPr>
        <w:t>, CO, O</w:t>
      </w:r>
      <w:r w:rsidR="006D1046" w:rsidRPr="00EA1BB2">
        <w:rPr>
          <w:rFonts w:ascii="Cambria" w:eastAsia="Times New Roman" w:hAnsi="Cambria" w:cs="Times New Roman"/>
          <w:sz w:val="24"/>
          <w:szCs w:val="24"/>
          <w:vertAlign w:val="subscript"/>
        </w:rPr>
        <w:t>3</w:t>
      </w:r>
      <w:r w:rsidR="006D1046" w:rsidRPr="00EA1BB2">
        <w:rPr>
          <w:rFonts w:ascii="Cambria" w:eastAsia="Times New Roman" w:hAnsi="Cambria" w:cs="Times New Roman"/>
          <w:sz w:val="24"/>
          <w:szCs w:val="24"/>
        </w:rPr>
        <w:t>, PM</w:t>
      </w:r>
      <w:r w:rsidR="006D1046" w:rsidRPr="00EA1BB2">
        <w:rPr>
          <w:rFonts w:ascii="Cambria" w:eastAsia="Times New Roman" w:hAnsi="Cambria" w:cs="Times New Roman"/>
          <w:sz w:val="24"/>
          <w:szCs w:val="24"/>
          <w:vertAlign w:val="subscript"/>
        </w:rPr>
        <w:t>10</w:t>
      </w:r>
      <w:r w:rsidR="006D1046" w:rsidRPr="00EA1BB2">
        <w:rPr>
          <w:rFonts w:ascii="Cambria" w:eastAsia="Times New Roman" w:hAnsi="Cambria" w:cs="Times New Roman"/>
          <w:sz w:val="24"/>
          <w:szCs w:val="24"/>
        </w:rPr>
        <w:t>, COV corela</w:t>
      </w:r>
      <w:r w:rsidR="00054880" w:rsidRPr="00EA1BB2">
        <w:rPr>
          <w:rFonts w:ascii="Cambria" w:eastAsia="Times New Roman" w:hAnsi="Cambria" w:cs="Times New Roman"/>
          <w:sz w:val="24"/>
          <w:szCs w:val="24"/>
        </w:rPr>
        <w:t>ț</w:t>
      </w:r>
      <w:r w:rsidR="006D1046" w:rsidRPr="00EA1BB2">
        <w:rPr>
          <w:rFonts w:ascii="Cambria" w:eastAsia="Times New Roman" w:hAnsi="Cambria" w:cs="Times New Roman"/>
          <w:sz w:val="24"/>
          <w:szCs w:val="24"/>
        </w:rPr>
        <w:t xml:space="preserve">i cu </w:t>
      </w:r>
      <w:r w:rsidR="0033298C" w:rsidRPr="00EA1BB2">
        <w:rPr>
          <w:rFonts w:ascii="Cambria" w:eastAsia="Times New Roman" w:hAnsi="Cambria" w:cs="Times New Roman"/>
          <w:sz w:val="24"/>
          <w:szCs w:val="24"/>
        </w:rPr>
        <w:t>parametrii meteo;</w:t>
      </w:r>
    </w:p>
    <w:p w14:paraId="205B55A3" w14:textId="77777777" w:rsidR="00BF223A" w:rsidRPr="00EA1BB2" w:rsidRDefault="00BF223A" w:rsidP="003A520C">
      <w:pPr>
        <w:numPr>
          <w:ilvl w:val="0"/>
          <w:numId w:val="12"/>
        </w:numPr>
        <w:spacing w:after="200" w:line="360" w:lineRule="auto"/>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Principalele surse de emisie aflate în apropierea sta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iei: instala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 de ardere neindustriale, arderi în industria de prelucrare, procese de produc</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ie</w:t>
      </w:r>
      <w:r w:rsidR="0033298C" w:rsidRPr="00EA1BB2">
        <w:rPr>
          <w:rFonts w:ascii="Cambria" w:eastAsia="Times New Roman" w:hAnsi="Cambria" w:cs="Times New Roman"/>
          <w:sz w:val="24"/>
          <w:szCs w:val="24"/>
        </w:rPr>
        <w:t>, trafic auto, factori naturali.</w:t>
      </w:r>
    </w:p>
    <w:bookmarkEnd w:id="64"/>
    <w:p w14:paraId="6AF1061C" w14:textId="77777777" w:rsidR="00BF223A" w:rsidRPr="00EA1BB2" w:rsidRDefault="00BF223A" w:rsidP="00030FD7">
      <w:pPr>
        <w:tabs>
          <w:tab w:val="num" w:pos="1479"/>
        </w:tabs>
        <w:jc w:val="both"/>
        <w:rPr>
          <w:rFonts w:ascii="Cambria" w:eastAsia="Times New Roman" w:hAnsi="Cambria" w:cs="Times New Roman"/>
          <w:sz w:val="24"/>
          <w:szCs w:val="24"/>
        </w:rPr>
      </w:pPr>
    </w:p>
    <w:p w14:paraId="3B844D58" w14:textId="77777777" w:rsidR="004B26B0" w:rsidRPr="00EA1BB2" w:rsidRDefault="004B26B0" w:rsidP="00BF223A">
      <w:pPr>
        <w:keepNext/>
        <w:spacing w:line="360" w:lineRule="auto"/>
        <w:jc w:val="right"/>
        <w:rPr>
          <w:rFonts w:ascii="Cambria" w:eastAsia="Calibri" w:hAnsi="Cambria" w:cs="Times New Roman"/>
          <w:b/>
          <w:iCs/>
          <w:sz w:val="24"/>
          <w:szCs w:val="24"/>
        </w:rPr>
      </w:pPr>
      <w:bookmarkStart w:id="70" w:name="_Toc450759612"/>
    </w:p>
    <w:bookmarkEnd w:id="70"/>
    <w:p w14:paraId="5D97F578" w14:textId="77777777" w:rsidR="00106228" w:rsidRPr="00EA1BB2" w:rsidRDefault="00106228" w:rsidP="00463A99">
      <w:pPr>
        <w:autoSpaceDE w:val="0"/>
        <w:autoSpaceDN w:val="0"/>
        <w:adjustRightInd w:val="0"/>
        <w:spacing w:line="360" w:lineRule="auto"/>
        <w:jc w:val="both"/>
        <w:rPr>
          <w:rFonts w:ascii="Cambria" w:hAnsi="Cambria"/>
          <w:sz w:val="24"/>
        </w:rPr>
      </w:pPr>
      <w:r w:rsidRPr="00EA1BB2">
        <w:rPr>
          <w:rFonts w:ascii="Cambria" w:hAnsi="Cambria"/>
          <w:sz w:val="24"/>
        </w:rPr>
        <w:br w:type="page"/>
      </w:r>
    </w:p>
    <w:p w14:paraId="29B0E7E5" w14:textId="77777777" w:rsidR="001A0DC3" w:rsidRPr="00EA1BB2" w:rsidRDefault="00E57CA2" w:rsidP="00E859EF">
      <w:pPr>
        <w:pStyle w:val="Heading1"/>
        <w:numPr>
          <w:ilvl w:val="0"/>
          <w:numId w:val="1"/>
        </w:numPr>
        <w:ind w:hanging="11"/>
        <w:rPr>
          <w:rFonts w:ascii="Cambria" w:hAnsi="Cambria" w:cs="Times New Roman"/>
          <w:color w:val="0070C0"/>
          <w:sz w:val="28"/>
          <w:szCs w:val="24"/>
        </w:rPr>
      </w:pPr>
      <w:bookmarkStart w:id="71" w:name="_Toc526889706"/>
      <w:r w:rsidRPr="00EA1BB2">
        <w:rPr>
          <w:rFonts w:ascii="Cambria" w:hAnsi="Cambria" w:cs="Times New Roman"/>
          <w:color w:val="0070C0"/>
          <w:sz w:val="28"/>
          <w:szCs w:val="24"/>
        </w:rPr>
        <w:lastRenderedPageBreak/>
        <w:t>ANALIZA SITUA</w:t>
      </w:r>
      <w:r w:rsidR="00054880" w:rsidRPr="00EA1BB2">
        <w:rPr>
          <w:rFonts w:ascii="Cambria" w:hAnsi="Cambria" w:cs="Times New Roman"/>
          <w:color w:val="0070C0"/>
          <w:sz w:val="28"/>
          <w:szCs w:val="24"/>
        </w:rPr>
        <w:t>Ț</w:t>
      </w:r>
      <w:r w:rsidRPr="00EA1BB2">
        <w:rPr>
          <w:rFonts w:ascii="Cambria" w:hAnsi="Cambria" w:cs="Times New Roman"/>
          <w:color w:val="0070C0"/>
          <w:sz w:val="28"/>
          <w:szCs w:val="24"/>
        </w:rPr>
        <w:t xml:space="preserve">IEI </w:t>
      </w:r>
      <w:r w:rsidR="00B96CB8" w:rsidRPr="00EA1BB2">
        <w:rPr>
          <w:rFonts w:ascii="Cambria" w:hAnsi="Cambria" w:cs="Times New Roman"/>
          <w:color w:val="0070C0"/>
          <w:sz w:val="28"/>
          <w:szCs w:val="24"/>
        </w:rPr>
        <w:t>EXISTEN</w:t>
      </w:r>
      <w:r w:rsidRPr="00EA1BB2">
        <w:rPr>
          <w:rFonts w:ascii="Cambria" w:hAnsi="Cambria" w:cs="Times New Roman"/>
          <w:color w:val="0070C0"/>
          <w:sz w:val="28"/>
          <w:szCs w:val="24"/>
        </w:rPr>
        <w:t>TE</w:t>
      </w:r>
      <w:bookmarkEnd w:id="71"/>
    </w:p>
    <w:p w14:paraId="02BCF3DE" w14:textId="77777777" w:rsidR="00343667" w:rsidRPr="00EA1BB2" w:rsidRDefault="00BB3954" w:rsidP="00E859EF">
      <w:pPr>
        <w:pStyle w:val="Heading2"/>
        <w:numPr>
          <w:ilvl w:val="1"/>
          <w:numId w:val="1"/>
        </w:numPr>
        <w:spacing w:before="0"/>
        <w:ind w:left="0" w:firstLine="709"/>
        <w:jc w:val="both"/>
        <w:rPr>
          <w:rFonts w:ascii="Cambria" w:eastAsia="Times New Roman" w:hAnsi="Cambria"/>
          <w:color w:val="0070C0"/>
          <w:szCs w:val="24"/>
        </w:rPr>
      </w:pPr>
      <w:bookmarkStart w:id="72" w:name="_Toc526889707"/>
      <w:r w:rsidRPr="00EA1BB2">
        <w:rPr>
          <w:rFonts w:ascii="Cambria" w:eastAsia="Times New Roman" w:hAnsi="Cambria"/>
          <w:color w:val="0070C0"/>
          <w:szCs w:val="24"/>
        </w:rPr>
        <w:t>D</w:t>
      </w:r>
      <w:r w:rsidR="00343667" w:rsidRPr="00EA1BB2">
        <w:rPr>
          <w:rFonts w:ascii="Cambria" w:eastAsia="Times New Roman" w:hAnsi="Cambria"/>
          <w:color w:val="0070C0"/>
          <w:szCs w:val="24"/>
        </w:rPr>
        <w:t xml:space="preserve">escrierea modului de identificare a scenariilor/măsurilor, precum </w:t>
      </w:r>
      <w:r w:rsidR="00054880" w:rsidRPr="00EA1BB2">
        <w:rPr>
          <w:rFonts w:ascii="Cambria" w:eastAsia="Times New Roman" w:hAnsi="Cambria"/>
          <w:color w:val="0070C0"/>
          <w:szCs w:val="24"/>
        </w:rPr>
        <w:t>ș</w:t>
      </w:r>
      <w:r w:rsidR="00744560" w:rsidRPr="00EA1BB2">
        <w:rPr>
          <w:rFonts w:ascii="Cambria" w:eastAsia="Times New Roman" w:hAnsi="Cambria"/>
          <w:color w:val="0070C0"/>
          <w:szCs w:val="24"/>
        </w:rPr>
        <w:t>i estimarea efectelor acestora</w:t>
      </w:r>
      <w:bookmarkEnd w:id="72"/>
    </w:p>
    <w:p w14:paraId="25E43D8D" w14:textId="77777777" w:rsidR="00ED3235" w:rsidRPr="00EA1BB2" w:rsidRDefault="00ED3235" w:rsidP="00ED3235">
      <w:pPr>
        <w:autoSpaceDE w:val="0"/>
        <w:autoSpaceDN w:val="0"/>
        <w:adjustRightInd w:val="0"/>
        <w:spacing w:line="360" w:lineRule="auto"/>
        <w:ind w:firstLine="720"/>
        <w:jc w:val="both"/>
        <w:rPr>
          <w:rFonts w:ascii="Cambria" w:hAnsi="Cambria"/>
          <w:sz w:val="24"/>
          <w:szCs w:val="24"/>
        </w:rPr>
      </w:pPr>
      <w:r w:rsidRPr="00EA1BB2">
        <w:rPr>
          <w:rFonts w:ascii="Cambria" w:hAnsi="Cambria"/>
          <w:sz w:val="24"/>
          <w:szCs w:val="24"/>
        </w:rPr>
        <w:t>Actualul plan de menținere a calității aerului cuprinde măsuri propuse de Consiliul Județean Brăila pentru păstrarea nivelului poluanților sub valorile-limită, respectiv sub valorile-țintă stabilite de Legea nr. 104/2011 privind calitatea aerului înconjurător cu modificările ulterioare.</w:t>
      </w:r>
    </w:p>
    <w:p w14:paraId="401A2304" w14:textId="77777777" w:rsidR="00D21728" w:rsidRPr="00EA1BB2" w:rsidRDefault="00ED3235" w:rsidP="00ED3235">
      <w:pPr>
        <w:autoSpaceDE w:val="0"/>
        <w:autoSpaceDN w:val="0"/>
        <w:adjustRightInd w:val="0"/>
        <w:spacing w:line="360" w:lineRule="auto"/>
        <w:ind w:firstLine="720"/>
        <w:jc w:val="both"/>
        <w:rPr>
          <w:rFonts w:ascii="Cambria" w:hAnsi="Cambria"/>
          <w:sz w:val="24"/>
          <w:szCs w:val="24"/>
        </w:rPr>
      </w:pPr>
      <w:r w:rsidRPr="00EA1BB2">
        <w:rPr>
          <w:rFonts w:ascii="Cambria" w:hAnsi="Cambria"/>
          <w:sz w:val="24"/>
          <w:szCs w:val="24"/>
        </w:rPr>
        <w:t xml:space="preserve">Măsurile luate în considerare pentru planul de menținere vizează efecte precum: </w:t>
      </w:r>
    </w:p>
    <w:p w14:paraId="45BE244C" w14:textId="77777777" w:rsidR="00ED3235" w:rsidRPr="00EA1BB2" w:rsidRDefault="00ED3235" w:rsidP="00D21728">
      <w:pPr>
        <w:pStyle w:val="ListParagraph"/>
        <w:numPr>
          <w:ilvl w:val="0"/>
          <w:numId w:val="66"/>
        </w:numPr>
        <w:autoSpaceDE w:val="0"/>
        <w:autoSpaceDN w:val="0"/>
        <w:adjustRightInd w:val="0"/>
        <w:spacing w:line="360" w:lineRule="auto"/>
        <w:jc w:val="both"/>
        <w:rPr>
          <w:rFonts w:ascii="Cambria" w:hAnsi="Cambria"/>
          <w:sz w:val="24"/>
          <w:szCs w:val="24"/>
          <w:lang w:val="ro-RO"/>
        </w:rPr>
      </w:pPr>
      <w:r w:rsidRPr="00EA1BB2">
        <w:rPr>
          <w:rFonts w:ascii="Cambria" w:hAnsi="Cambria"/>
          <w:sz w:val="24"/>
          <w:szCs w:val="24"/>
          <w:lang w:val="ro-RO"/>
        </w:rPr>
        <w:t>Măsuri pentru reducerea emisiilor din traficul rutier:</w:t>
      </w:r>
    </w:p>
    <w:p w14:paraId="2A835B44" w14:textId="77777777" w:rsidR="00D21728" w:rsidRPr="00EA1BB2" w:rsidRDefault="00D21728" w:rsidP="00D21728">
      <w:pPr>
        <w:pStyle w:val="ListParagraph"/>
        <w:numPr>
          <w:ilvl w:val="1"/>
          <w:numId w:val="66"/>
        </w:numPr>
        <w:autoSpaceDE w:val="0"/>
        <w:autoSpaceDN w:val="0"/>
        <w:adjustRightInd w:val="0"/>
        <w:spacing w:line="360" w:lineRule="auto"/>
        <w:jc w:val="both"/>
        <w:rPr>
          <w:rFonts w:ascii="Cambria" w:hAnsi="Cambria"/>
          <w:sz w:val="24"/>
          <w:szCs w:val="24"/>
          <w:lang w:val="ro-RO"/>
        </w:rPr>
      </w:pPr>
      <w:r w:rsidRPr="00EA1BB2">
        <w:rPr>
          <w:rFonts w:ascii="Cambria" w:hAnsi="Cambria"/>
          <w:sz w:val="24"/>
          <w:szCs w:val="24"/>
          <w:lang w:val="ro-RO"/>
        </w:rPr>
        <w:t>Extinderea/modernizarea arterelor județene de circulație;</w:t>
      </w:r>
    </w:p>
    <w:p w14:paraId="0C510983" w14:textId="77777777" w:rsidR="00D21728" w:rsidRPr="00EA1BB2" w:rsidRDefault="00D21728" w:rsidP="00D21728">
      <w:pPr>
        <w:pStyle w:val="ListParagraph"/>
        <w:numPr>
          <w:ilvl w:val="1"/>
          <w:numId w:val="66"/>
        </w:numPr>
        <w:autoSpaceDE w:val="0"/>
        <w:autoSpaceDN w:val="0"/>
        <w:adjustRightInd w:val="0"/>
        <w:spacing w:line="360" w:lineRule="auto"/>
        <w:jc w:val="both"/>
        <w:rPr>
          <w:rFonts w:ascii="Cambria" w:hAnsi="Cambria"/>
          <w:sz w:val="24"/>
          <w:szCs w:val="24"/>
          <w:lang w:val="ro-RO"/>
        </w:rPr>
      </w:pPr>
      <w:r w:rsidRPr="00EA1BB2">
        <w:rPr>
          <w:rFonts w:ascii="Cambria" w:hAnsi="Cambria"/>
          <w:sz w:val="24"/>
          <w:szCs w:val="24"/>
          <w:lang w:val="ro-RO"/>
        </w:rPr>
        <w:t>Modernizarea drumurilor comunale și a străzilor din satele componente UAT-lor;</w:t>
      </w:r>
    </w:p>
    <w:p w14:paraId="1BE696D9" w14:textId="77777777" w:rsidR="00D21728" w:rsidRPr="00EA1BB2" w:rsidRDefault="00D21728" w:rsidP="00D21728">
      <w:pPr>
        <w:pStyle w:val="ListParagraph"/>
        <w:numPr>
          <w:ilvl w:val="1"/>
          <w:numId w:val="66"/>
        </w:numPr>
        <w:autoSpaceDE w:val="0"/>
        <w:autoSpaceDN w:val="0"/>
        <w:adjustRightInd w:val="0"/>
        <w:spacing w:line="360" w:lineRule="auto"/>
        <w:jc w:val="both"/>
        <w:rPr>
          <w:rFonts w:ascii="Cambria" w:hAnsi="Cambria"/>
          <w:sz w:val="24"/>
          <w:szCs w:val="24"/>
          <w:lang w:val="ro-RO"/>
        </w:rPr>
      </w:pPr>
      <w:r w:rsidRPr="00EA1BB2">
        <w:rPr>
          <w:rFonts w:ascii="Cambria" w:hAnsi="Cambria"/>
          <w:sz w:val="24"/>
          <w:szCs w:val="24"/>
          <w:lang w:val="ro-RO"/>
        </w:rPr>
        <w:t>Crearea de perdele forestiere care să minimizeze impactul negativ al transportului, cf. programului național de înființare perdele forestiere.</w:t>
      </w:r>
    </w:p>
    <w:p w14:paraId="7835B568" w14:textId="77777777" w:rsidR="001A2BAD" w:rsidRPr="00EA1BB2" w:rsidRDefault="001A2BAD" w:rsidP="001A2BAD">
      <w:pPr>
        <w:pStyle w:val="ListParagraph"/>
        <w:numPr>
          <w:ilvl w:val="0"/>
          <w:numId w:val="66"/>
        </w:numPr>
        <w:autoSpaceDE w:val="0"/>
        <w:autoSpaceDN w:val="0"/>
        <w:adjustRightInd w:val="0"/>
        <w:spacing w:line="360" w:lineRule="auto"/>
        <w:jc w:val="both"/>
        <w:rPr>
          <w:rFonts w:ascii="Cambria" w:hAnsi="Cambria"/>
          <w:sz w:val="24"/>
          <w:szCs w:val="24"/>
          <w:lang w:val="ro-RO"/>
        </w:rPr>
      </w:pPr>
      <w:r w:rsidRPr="00EA1BB2">
        <w:rPr>
          <w:rFonts w:ascii="Cambria" w:hAnsi="Cambria"/>
          <w:sz w:val="24"/>
          <w:szCs w:val="24"/>
          <w:lang w:val="ro-RO"/>
        </w:rPr>
        <w:t>Măsuri pentru reducerea emisiilor din procesul de eroziune eoliană:</w:t>
      </w:r>
    </w:p>
    <w:p w14:paraId="3F7D47EC" w14:textId="5878E356" w:rsidR="001A2BAD" w:rsidRPr="00EA1BB2" w:rsidRDefault="001A2BAD" w:rsidP="001A2BAD">
      <w:pPr>
        <w:pStyle w:val="ListParagraph"/>
        <w:numPr>
          <w:ilvl w:val="1"/>
          <w:numId w:val="66"/>
        </w:numPr>
        <w:autoSpaceDE w:val="0"/>
        <w:autoSpaceDN w:val="0"/>
        <w:adjustRightInd w:val="0"/>
        <w:spacing w:line="360" w:lineRule="auto"/>
        <w:jc w:val="both"/>
        <w:rPr>
          <w:rFonts w:ascii="Cambria" w:hAnsi="Cambria"/>
          <w:sz w:val="24"/>
          <w:szCs w:val="24"/>
          <w:lang w:val="ro-RO"/>
        </w:rPr>
      </w:pPr>
      <w:r w:rsidRPr="00EA1BB2">
        <w:rPr>
          <w:rFonts w:ascii="Cambria" w:hAnsi="Cambria"/>
          <w:sz w:val="24"/>
          <w:szCs w:val="24"/>
          <w:lang w:val="ro-RO"/>
        </w:rPr>
        <w:t xml:space="preserve">întreținerea </w:t>
      </w:r>
      <w:r w:rsidR="00680409" w:rsidRPr="00EA1BB2">
        <w:rPr>
          <w:rFonts w:ascii="Cambria" w:hAnsi="Cambria"/>
          <w:sz w:val="24"/>
          <w:szCs w:val="24"/>
          <w:lang w:val="ro-RO"/>
        </w:rPr>
        <w:t>și</w:t>
      </w:r>
      <w:r w:rsidRPr="00EA1BB2">
        <w:rPr>
          <w:rFonts w:ascii="Cambria" w:hAnsi="Cambria"/>
          <w:sz w:val="24"/>
          <w:szCs w:val="24"/>
          <w:lang w:val="ro-RO"/>
        </w:rPr>
        <w:t xml:space="preserve"> extinderea spațiilor verzi;</w:t>
      </w:r>
    </w:p>
    <w:p w14:paraId="443D0D5D" w14:textId="77777777" w:rsidR="00ED3235" w:rsidRPr="00EA1BB2" w:rsidRDefault="00ED3235" w:rsidP="00D21728">
      <w:pPr>
        <w:pStyle w:val="ListParagraph"/>
        <w:numPr>
          <w:ilvl w:val="0"/>
          <w:numId w:val="66"/>
        </w:numPr>
        <w:autoSpaceDE w:val="0"/>
        <w:autoSpaceDN w:val="0"/>
        <w:adjustRightInd w:val="0"/>
        <w:spacing w:line="360" w:lineRule="auto"/>
        <w:jc w:val="both"/>
        <w:rPr>
          <w:rFonts w:ascii="Cambria" w:hAnsi="Cambria"/>
          <w:sz w:val="24"/>
          <w:szCs w:val="24"/>
          <w:lang w:val="ro-RO"/>
        </w:rPr>
      </w:pPr>
      <w:r w:rsidRPr="00EA1BB2">
        <w:rPr>
          <w:rFonts w:ascii="Cambria" w:hAnsi="Cambria"/>
          <w:sz w:val="24"/>
          <w:szCs w:val="24"/>
          <w:lang w:val="ro-RO"/>
        </w:rPr>
        <w:t>Măsuri pentru reducerea emisiilor din încălzirea în sectorul rezidențial:</w:t>
      </w:r>
    </w:p>
    <w:p w14:paraId="75368073" w14:textId="436235F9" w:rsidR="00D21728" w:rsidRPr="00EA1BB2" w:rsidRDefault="00D21728" w:rsidP="00D21728">
      <w:pPr>
        <w:pStyle w:val="ListParagraph"/>
        <w:numPr>
          <w:ilvl w:val="1"/>
          <w:numId w:val="66"/>
        </w:numPr>
        <w:autoSpaceDE w:val="0"/>
        <w:autoSpaceDN w:val="0"/>
        <w:adjustRightInd w:val="0"/>
        <w:spacing w:line="360" w:lineRule="auto"/>
        <w:jc w:val="both"/>
        <w:rPr>
          <w:rFonts w:ascii="Cambria" w:hAnsi="Cambria"/>
          <w:sz w:val="24"/>
          <w:szCs w:val="24"/>
          <w:lang w:val="ro-RO"/>
        </w:rPr>
      </w:pPr>
      <w:r w:rsidRPr="00EA1BB2">
        <w:rPr>
          <w:rFonts w:ascii="Cambria" w:hAnsi="Cambria"/>
          <w:sz w:val="24"/>
          <w:szCs w:val="24"/>
          <w:lang w:val="ro-RO"/>
        </w:rPr>
        <w:t>Reducerea consumului de combustibili solizi și lichizi prin extinderea rețelelor de alimentare cu gaz natural;</w:t>
      </w:r>
    </w:p>
    <w:p w14:paraId="46EAA98C" w14:textId="77777777" w:rsidR="00ED3235" w:rsidRPr="00EA1BB2" w:rsidRDefault="00D21728" w:rsidP="006064A3">
      <w:pPr>
        <w:pStyle w:val="ListParagraph"/>
        <w:numPr>
          <w:ilvl w:val="1"/>
          <w:numId w:val="66"/>
        </w:numPr>
        <w:autoSpaceDE w:val="0"/>
        <w:autoSpaceDN w:val="0"/>
        <w:adjustRightInd w:val="0"/>
        <w:spacing w:after="0" w:line="360" w:lineRule="auto"/>
        <w:jc w:val="both"/>
        <w:rPr>
          <w:rFonts w:ascii="Cambria" w:hAnsi="Cambria"/>
          <w:sz w:val="24"/>
          <w:szCs w:val="24"/>
          <w:lang w:val="ro-RO"/>
        </w:rPr>
      </w:pPr>
      <w:r w:rsidRPr="00EA1BB2">
        <w:rPr>
          <w:rFonts w:ascii="Cambria" w:hAnsi="Cambria"/>
          <w:sz w:val="24"/>
          <w:szCs w:val="24"/>
          <w:lang w:val="ro-RO"/>
        </w:rPr>
        <w:t>Reabilitare termică a clădirilor instituționale.</w:t>
      </w:r>
    </w:p>
    <w:p w14:paraId="33773DBF" w14:textId="77777777" w:rsidR="00ED3235" w:rsidRPr="00EA1BB2" w:rsidRDefault="006064A3" w:rsidP="006064A3">
      <w:pPr>
        <w:autoSpaceDE w:val="0"/>
        <w:autoSpaceDN w:val="0"/>
        <w:adjustRightInd w:val="0"/>
        <w:spacing w:line="360" w:lineRule="auto"/>
        <w:ind w:firstLine="708"/>
        <w:jc w:val="both"/>
        <w:rPr>
          <w:rFonts w:ascii="Cambria" w:hAnsi="Cambria"/>
          <w:sz w:val="24"/>
          <w:szCs w:val="24"/>
        </w:rPr>
      </w:pPr>
      <w:r w:rsidRPr="00EA1BB2">
        <w:rPr>
          <w:rFonts w:ascii="Cambria" w:hAnsi="Cambria"/>
          <w:sz w:val="24"/>
          <w:szCs w:val="24"/>
        </w:rPr>
        <w:t xml:space="preserve">Pe lângă măsurile privind reducerea emisiilor de poluanți sunt necesare acțiuni pentru conștientizarea populației cu privire la </w:t>
      </w:r>
      <w:r w:rsidR="00ED3235" w:rsidRPr="00EA1BB2">
        <w:rPr>
          <w:rFonts w:ascii="Cambria" w:hAnsi="Cambria"/>
          <w:sz w:val="24"/>
          <w:szCs w:val="24"/>
        </w:rPr>
        <w:t>nivelul real al calității aerului, la implicațiile asupra sănătății umane</w:t>
      </w:r>
      <w:r w:rsidRPr="00EA1BB2">
        <w:rPr>
          <w:rFonts w:ascii="Cambria" w:hAnsi="Cambria"/>
          <w:sz w:val="24"/>
          <w:szCs w:val="24"/>
        </w:rPr>
        <w:t xml:space="preserve"> prin acțiuni de informare a populației privind efectele poluării asupra sănătății populației, pe grupe de receptori sensibili.</w:t>
      </w:r>
    </w:p>
    <w:p w14:paraId="008892B8" w14:textId="77777777" w:rsidR="007372CD" w:rsidRPr="00EA1BB2" w:rsidRDefault="007372CD" w:rsidP="007372CD">
      <w:pPr>
        <w:autoSpaceDE w:val="0"/>
        <w:autoSpaceDN w:val="0"/>
        <w:adjustRightInd w:val="0"/>
        <w:spacing w:line="360" w:lineRule="auto"/>
        <w:ind w:firstLine="720"/>
        <w:jc w:val="both"/>
        <w:rPr>
          <w:rFonts w:ascii="Cambria" w:hAnsi="Cambria"/>
          <w:sz w:val="24"/>
          <w:szCs w:val="24"/>
        </w:rPr>
      </w:pPr>
      <w:r w:rsidRPr="00EA1BB2">
        <w:rPr>
          <w:rFonts w:ascii="Cambria" w:hAnsi="Cambria"/>
          <w:sz w:val="24"/>
          <w:szCs w:val="24"/>
        </w:rPr>
        <w:t>Pentru a realiza o predicție a evoluției calităț</w:t>
      </w:r>
      <w:r w:rsidR="00975AF4" w:rsidRPr="00EA1BB2">
        <w:rPr>
          <w:rFonts w:ascii="Cambria" w:hAnsi="Cambria"/>
          <w:sz w:val="24"/>
          <w:szCs w:val="24"/>
        </w:rPr>
        <w:t xml:space="preserve">ii aerului în județul Brăila </w:t>
      </w:r>
      <w:r w:rsidRPr="00EA1BB2">
        <w:rPr>
          <w:rFonts w:ascii="Cambria" w:hAnsi="Cambria"/>
          <w:sz w:val="24"/>
          <w:szCs w:val="24"/>
        </w:rPr>
        <w:t xml:space="preserve">au </w:t>
      </w:r>
      <w:r w:rsidR="00975AF4" w:rsidRPr="00EA1BB2">
        <w:rPr>
          <w:rFonts w:ascii="Cambria" w:hAnsi="Cambria"/>
          <w:sz w:val="24"/>
          <w:szCs w:val="24"/>
        </w:rPr>
        <w:t xml:space="preserve">fost luate în considerare </w:t>
      </w:r>
      <w:r w:rsidRPr="00EA1BB2">
        <w:rPr>
          <w:rFonts w:ascii="Cambria" w:hAnsi="Cambria"/>
          <w:sz w:val="24"/>
          <w:szCs w:val="24"/>
        </w:rPr>
        <w:t>două scenarii:</w:t>
      </w:r>
    </w:p>
    <w:p w14:paraId="12715784" w14:textId="77777777" w:rsidR="007372CD" w:rsidRPr="00EA1BB2" w:rsidRDefault="007372CD" w:rsidP="007B6EE7">
      <w:pPr>
        <w:numPr>
          <w:ilvl w:val="0"/>
          <w:numId w:val="46"/>
        </w:numPr>
        <w:autoSpaceDE w:val="0"/>
        <w:autoSpaceDN w:val="0"/>
        <w:adjustRightInd w:val="0"/>
        <w:spacing w:after="200" w:line="360" w:lineRule="auto"/>
        <w:ind w:left="0" w:firstLine="709"/>
        <w:contextualSpacing/>
        <w:jc w:val="both"/>
        <w:rPr>
          <w:rFonts w:ascii="Cambria" w:eastAsia="Calibri" w:hAnsi="Cambria" w:cs="Times New Roman"/>
          <w:sz w:val="24"/>
          <w:szCs w:val="24"/>
        </w:rPr>
      </w:pPr>
      <w:r w:rsidRPr="00EA1BB2">
        <w:rPr>
          <w:rFonts w:ascii="Cambria" w:eastAsia="Calibri" w:hAnsi="Cambria" w:cs="Times New Roman"/>
          <w:b/>
          <w:sz w:val="24"/>
          <w:szCs w:val="24"/>
        </w:rPr>
        <w:t xml:space="preserve">SCENARIUL A – </w:t>
      </w:r>
      <w:r w:rsidRPr="00EA1BB2">
        <w:rPr>
          <w:rFonts w:ascii="Cambria" w:eastAsia="Calibri" w:hAnsi="Cambria" w:cs="Times New Roman"/>
          <w:b/>
          <w:bCs/>
          <w:sz w:val="24"/>
          <w:szCs w:val="24"/>
        </w:rPr>
        <w:t>SCENARIUL DE REFERINȚĂ</w:t>
      </w:r>
      <w:r w:rsidR="007B6EE7" w:rsidRPr="00EA1BB2">
        <w:rPr>
          <w:rFonts w:ascii="Cambria" w:eastAsia="Calibri" w:hAnsi="Cambria" w:cs="Times New Roman"/>
          <w:b/>
          <w:bCs/>
          <w:sz w:val="24"/>
          <w:szCs w:val="24"/>
        </w:rPr>
        <w:t xml:space="preserve">. </w:t>
      </w:r>
      <w:r w:rsidRPr="00EA1BB2">
        <w:rPr>
          <w:rFonts w:ascii="Cambria" w:eastAsia="Calibri" w:hAnsi="Cambria" w:cs="Times New Roman"/>
          <w:sz w:val="24"/>
          <w:szCs w:val="24"/>
        </w:rPr>
        <w:t>La estimarea emisiilor pentru anul de proiecție (2022) s-a luat în considerare efectul măsurilor implementate și în curs de implementare, identificate în alte planuri și strategii locale sau la nivel național. Au fost luate în considerare și dezvoltarea principalelor domenii de activitate care ar putea avea efect asupra emisiilor, evoluția indicatorilor rezidențiali, din agricultură, trafic etc.</w:t>
      </w:r>
    </w:p>
    <w:p w14:paraId="21371F0D" w14:textId="77777777" w:rsidR="007372CD" w:rsidRPr="00EA1BB2" w:rsidRDefault="007372CD" w:rsidP="007B6EE7">
      <w:pPr>
        <w:numPr>
          <w:ilvl w:val="0"/>
          <w:numId w:val="46"/>
        </w:numPr>
        <w:autoSpaceDE w:val="0"/>
        <w:autoSpaceDN w:val="0"/>
        <w:adjustRightInd w:val="0"/>
        <w:spacing w:after="200" w:line="360" w:lineRule="auto"/>
        <w:ind w:left="0" w:firstLine="709"/>
        <w:contextualSpacing/>
        <w:jc w:val="both"/>
        <w:rPr>
          <w:rFonts w:ascii="Cambria" w:hAnsi="Cambria"/>
          <w:sz w:val="24"/>
        </w:rPr>
      </w:pPr>
      <w:r w:rsidRPr="00EA1BB2">
        <w:rPr>
          <w:rFonts w:ascii="Cambria" w:eastAsia="Calibri" w:hAnsi="Cambria" w:cs="Times New Roman"/>
          <w:b/>
          <w:sz w:val="24"/>
          <w:szCs w:val="24"/>
        </w:rPr>
        <w:lastRenderedPageBreak/>
        <w:t>SCENARIUL B - SCENARIUL DE PROIECȚIE</w:t>
      </w:r>
      <w:r w:rsidR="007B6EE7" w:rsidRPr="00EA1BB2">
        <w:rPr>
          <w:rFonts w:ascii="Cambria" w:eastAsia="Calibri" w:hAnsi="Cambria" w:cs="Times New Roman"/>
          <w:b/>
          <w:sz w:val="24"/>
          <w:szCs w:val="24"/>
        </w:rPr>
        <w:t xml:space="preserve">. </w:t>
      </w:r>
      <w:r w:rsidRPr="00EA1BB2">
        <w:rPr>
          <w:rFonts w:ascii="Cambria" w:hAnsi="Cambria"/>
          <w:sz w:val="24"/>
        </w:rPr>
        <w:t xml:space="preserve">Acest scenariu include măsuri suplimentare față de cele identificate pentru scenariul de referință, cu impact în reducerea emisiilor. Toate măsurile din scenariul de referință sunt incluse și în scenariul de proiecție. </w:t>
      </w:r>
    </w:p>
    <w:p w14:paraId="5AAEE843" w14:textId="5669F187" w:rsidR="007B6EE7" w:rsidRPr="00EA1BB2" w:rsidRDefault="007B6EE7" w:rsidP="007B6EE7">
      <w:pPr>
        <w:autoSpaceDE w:val="0"/>
        <w:autoSpaceDN w:val="0"/>
        <w:adjustRightInd w:val="0"/>
        <w:spacing w:line="360" w:lineRule="auto"/>
        <w:ind w:firstLine="709"/>
        <w:jc w:val="both"/>
        <w:rPr>
          <w:rFonts w:ascii="Cambria" w:hAnsi="Cambria"/>
          <w:sz w:val="24"/>
        </w:rPr>
      </w:pPr>
      <w:r w:rsidRPr="00EA1BB2">
        <w:rPr>
          <w:rFonts w:ascii="Cambria" w:hAnsi="Cambria"/>
          <w:sz w:val="24"/>
        </w:rPr>
        <w:t xml:space="preserve">Măsurile propuse sunt descrise în capitolul 6, pentru fiecare măsură fiind furnizate </w:t>
      </w:r>
      <w:r w:rsidR="00680409" w:rsidRPr="00EA1BB2">
        <w:rPr>
          <w:rFonts w:ascii="Cambria" w:hAnsi="Cambria"/>
          <w:sz w:val="24"/>
        </w:rPr>
        <w:t>și</w:t>
      </w:r>
      <w:r w:rsidRPr="00EA1BB2">
        <w:rPr>
          <w:rFonts w:ascii="Cambria" w:hAnsi="Cambria"/>
          <w:sz w:val="24"/>
        </w:rPr>
        <w:t xml:space="preserve"> informații cu privire la: sectorul sursă (de emisii) afectat, calendarul de aplicare, autoritatea responsabilă, costurile estimate și sursele de finanțare, indicator propus pentru monitorizarea aplicării.</w:t>
      </w:r>
    </w:p>
    <w:p w14:paraId="03112CD2" w14:textId="77777777" w:rsidR="00ED3235" w:rsidRPr="00EA1BB2" w:rsidRDefault="007B6EE7" w:rsidP="00BB3954">
      <w:pPr>
        <w:autoSpaceDE w:val="0"/>
        <w:autoSpaceDN w:val="0"/>
        <w:adjustRightInd w:val="0"/>
        <w:spacing w:line="360" w:lineRule="auto"/>
        <w:ind w:firstLine="709"/>
        <w:jc w:val="both"/>
        <w:rPr>
          <w:rFonts w:ascii="Cambria" w:hAnsi="Cambria"/>
          <w:sz w:val="24"/>
        </w:rPr>
      </w:pPr>
      <w:r w:rsidRPr="00EA1BB2">
        <w:rPr>
          <w:rFonts w:ascii="Cambria" w:hAnsi="Cambria"/>
          <w:sz w:val="24"/>
        </w:rPr>
        <w:t>Valoarea indicatorului de monitorizare a progreselor reprezintă, în fiecare caz, valoarea planificată a se realiza pentru măsura respectivă, în scenariul respectiv, până la data de finalizare</w:t>
      </w:r>
      <w:r w:rsidR="00CD0CA5" w:rsidRPr="00EA1BB2">
        <w:rPr>
          <w:rFonts w:ascii="Cambria" w:hAnsi="Cambria"/>
          <w:sz w:val="24"/>
        </w:rPr>
        <w:t>.</w:t>
      </w:r>
    </w:p>
    <w:p w14:paraId="44F1213F" w14:textId="517B36F9" w:rsidR="00CD2D16" w:rsidRPr="00EA1BB2" w:rsidRDefault="00CD2D16" w:rsidP="00BB3954">
      <w:pPr>
        <w:autoSpaceDE w:val="0"/>
        <w:autoSpaceDN w:val="0"/>
        <w:adjustRightInd w:val="0"/>
        <w:spacing w:line="360" w:lineRule="auto"/>
        <w:ind w:firstLine="709"/>
        <w:jc w:val="both"/>
        <w:rPr>
          <w:rFonts w:ascii="Cambria" w:hAnsi="Cambria"/>
          <w:sz w:val="24"/>
        </w:rPr>
      </w:pPr>
      <w:r w:rsidRPr="00EA1BB2">
        <w:rPr>
          <w:rFonts w:ascii="Cambria" w:hAnsi="Cambria"/>
          <w:sz w:val="24"/>
        </w:rPr>
        <w:t>Estimarea efectelor aplicării măsurilor</w:t>
      </w:r>
      <w:r w:rsidRPr="00EA1BB2">
        <w:t xml:space="preserve"> din </w:t>
      </w:r>
      <w:r w:rsidRPr="00EA1BB2">
        <w:rPr>
          <w:rFonts w:ascii="Cambria" w:hAnsi="Cambria"/>
          <w:sz w:val="24"/>
        </w:rPr>
        <w:t xml:space="preserve">planul de menținere a calității aerului s-a realizat, pentru fiecare dintre cele două scenarii </w:t>
      </w:r>
      <w:r w:rsidR="00680409" w:rsidRPr="00EA1BB2">
        <w:rPr>
          <w:rFonts w:ascii="Cambria" w:hAnsi="Cambria"/>
          <w:sz w:val="24"/>
        </w:rPr>
        <w:t>și</w:t>
      </w:r>
      <w:r w:rsidRPr="00EA1BB2">
        <w:rPr>
          <w:rFonts w:ascii="Cambria" w:hAnsi="Cambria"/>
          <w:sz w:val="24"/>
        </w:rPr>
        <w:t xml:space="preserve"> fiecare poluant, prin determinarea reducerii anual</w:t>
      </w:r>
      <w:r w:rsidR="006242DF" w:rsidRPr="00EA1BB2">
        <w:rPr>
          <w:rFonts w:ascii="Cambria" w:hAnsi="Cambria"/>
          <w:sz w:val="24"/>
        </w:rPr>
        <w:t>e</w:t>
      </w:r>
      <w:r w:rsidRPr="00EA1BB2">
        <w:rPr>
          <w:rFonts w:ascii="Cambria" w:hAnsi="Cambria"/>
          <w:sz w:val="24"/>
        </w:rPr>
        <w:t xml:space="preserve"> a emisiilor funcție de valoarea indicatorului de monitorizare.</w:t>
      </w:r>
    </w:p>
    <w:p w14:paraId="71954720" w14:textId="77777777" w:rsidR="00CD2D16" w:rsidRPr="00EA1BB2" w:rsidRDefault="00CD2D16" w:rsidP="00BB3954">
      <w:pPr>
        <w:autoSpaceDE w:val="0"/>
        <w:autoSpaceDN w:val="0"/>
        <w:adjustRightInd w:val="0"/>
        <w:spacing w:line="360" w:lineRule="auto"/>
        <w:ind w:firstLine="709"/>
        <w:jc w:val="both"/>
        <w:rPr>
          <w:rFonts w:ascii="Cambria" w:hAnsi="Cambria"/>
          <w:sz w:val="24"/>
        </w:rPr>
      </w:pPr>
    </w:p>
    <w:p w14:paraId="06D69449" w14:textId="77777777" w:rsidR="00343667" w:rsidRPr="00EA1BB2" w:rsidRDefault="00BB3954" w:rsidP="00E859EF">
      <w:pPr>
        <w:pStyle w:val="Heading2"/>
        <w:numPr>
          <w:ilvl w:val="1"/>
          <w:numId w:val="1"/>
        </w:numPr>
        <w:spacing w:before="0"/>
        <w:ind w:left="0" w:firstLine="709"/>
        <w:jc w:val="both"/>
        <w:rPr>
          <w:rFonts w:ascii="Cambria" w:eastAsia="Times New Roman" w:hAnsi="Cambria"/>
          <w:color w:val="0070C0"/>
          <w:szCs w:val="24"/>
        </w:rPr>
      </w:pPr>
      <w:bookmarkStart w:id="73" w:name="_Toc526889708"/>
      <w:r w:rsidRPr="00EA1BB2">
        <w:rPr>
          <w:rFonts w:ascii="Cambria" w:eastAsia="Times New Roman" w:hAnsi="Cambria"/>
          <w:color w:val="0070C0"/>
          <w:szCs w:val="24"/>
        </w:rPr>
        <w:t>D</w:t>
      </w:r>
      <w:r w:rsidR="00744560" w:rsidRPr="00EA1BB2">
        <w:rPr>
          <w:rFonts w:ascii="Cambria" w:eastAsia="Times New Roman" w:hAnsi="Cambria"/>
          <w:color w:val="0070C0"/>
          <w:szCs w:val="24"/>
        </w:rPr>
        <w:t>etaliile factorilor responsabili de o posibilă depă</w:t>
      </w:r>
      <w:r w:rsidR="00054880" w:rsidRPr="00EA1BB2">
        <w:rPr>
          <w:rFonts w:ascii="Cambria" w:eastAsia="Times New Roman" w:hAnsi="Cambria"/>
          <w:color w:val="0070C0"/>
          <w:szCs w:val="24"/>
        </w:rPr>
        <w:t>ș</w:t>
      </w:r>
      <w:r w:rsidR="00744560" w:rsidRPr="00EA1BB2">
        <w:rPr>
          <w:rFonts w:ascii="Cambria" w:eastAsia="Times New Roman" w:hAnsi="Cambria"/>
          <w:color w:val="0070C0"/>
          <w:szCs w:val="24"/>
        </w:rPr>
        <w:t>ire</w:t>
      </w:r>
      <w:bookmarkEnd w:id="73"/>
    </w:p>
    <w:p w14:paraId="71035928" w14:textId="77777777" w:rsidR="00AB3C41" w:rsidRPr="00EA1BB2" w:rsidRDefault="00AB3C41" w:rsidP="00AB3C41">
      <w:pPr>
        <w:spacing w:line="360" w:lineRule="auto"/>
        <w:ind w:firstLine="708"/>
        <w:jc w:val="both"/>
        <w:rPr>
          <w:rFonts w:ascii="Cambria" w:hAnsi="Cambria" w:cs="Times New Roman"/>
          <w:sz w:val="24"/>
          <w:szCs w:val="24"/>
        </w:rPr>
      </w:pPr>
      <w:r w:rsidRPr="00EA1BB2">
        <w:rPr>
          <w:rFonts w:ascii="Cambria" w:hAnsi="Cambria" w:cs="Times New Roman"/>
          <w:sz w:val="24"/>
          <w:szCs w:val="24"/>
        </w:rPr>
        <w:t xml:space="preserve">Principalele activități generatoare de poluanți în atmosferă la nivelul județului </w:t>
      </w:r>
      <w:r w:rsidR="00AB1061" w:rsidRPr="00EA1BB2">
        <w:rPr>
          <w:rFonts w:ascii="Cambria" w:hAnsi="Cambria" w:cs="Times New Roman"/>
          <w:sz w:val="24"/>
          <w:szCs w:val="24"/>
        </w:rPr>
        <w:t>Brăila</w:t>
      </w:r>
      <w:r w:rsidRPr="00EA1BB2">
        <w:rPr>
          <w:rFonts w:ascii="Cambria" w:hAnsi="Cambria" w:cs="Times New Roman"/>
          <w:sz w:val="24"/>
          <w:szCs w:val="24"/>
        </w:rPr>
        <w:t>, în anul de referință 201</w:t>
      </w:r>
      <w:r w:rsidR="00AB1061" w:rsidRPr="00EA1BB2">
        <w:rPr>
          <w:rFonts w:ascii="Cambria" w:hAnsi="Cambria" w:cs="Times New Roman"/>
          <w:sz w:val="24"/>
          <w:szCs w:val="24"/>
        </w:rPr>
        <w:t>3</w:t>
      </w:r>
      <w:r w:rsidRPr="00EA1BB2">
        <w:rPr>
          <w:rFonts w:ascii="Cambria" w:hAnsi="Cambria" w:cs="Times New Roman"/>
          <w:sz w:val="24"/>
          <w:szCs w:val="24"/>
        </w:rPr>
        <w:t xml:space="preserve"> au fost:</w:t>
      </w:r>
    </w:p>
    <w:p w14:paraId="28804CEB" w14:textId="77777777" w:rsidR="00AB3C41" w:rsidRPr="00EA1BB2" w:rsidRDefault="00AB3C41" w:rsidP="00800E51">
      <w:pPr>
        <w:numPr>
          <w:ilvl w:val="0"/>
          <w:numId w:val="65"/>
        </w:numPr>
        <w:spacing w:after="200" w:line="360" w:lineRule="auto"/>
        <w:ind w:left="1134" w:hanging="425"/>
        <w:contextualSpacing/>
        <w:jc w:val="both"/>
        <w:rPr>
          <w:rFonts w:ascii="Cambria" w:hAnsi="Cambria" w:cs="Times New Roman"/>
          <w:sz w:val="24"/>
          <w:szCs w:val="24"/>
        </w:rPr>
      </w:pPr>
      <w:r w:rsidRPr="00EA1BB2">
        <w:rPr>
          <w:rFonts w:ascii="Cambria" w:hAnsi="Cambria" w:cs="Times New Roman"/>
          <w:sz w:val="24"/>
          <w:szCs w:val="24"/>
        </w:rPr>
        <w:t>procese de producție: producere energie electrică și termică, fabricarea materialelor de cons</w:t>
      </w:r>
      <w:r w:rsidR="00AB1061" w:rsidRPr="00EA1BB2">
        <w:rPr>
          <w:rFonts w:ascii="Cambria" w:hAnsi="Cambria" w:cs="Times New Roman"/>
          <w:sz w:val="24"/>
          <w:szCs w:val="24"/>
        </w:rPr>
        <w:t>trucții, prelucrarea metalelor;</w:t>
      </w:r>
    </w:p>
    <w:p w14:paraId="5D1390BC" w14:textId="77777777" w:rsidR="00AB3C41" w:rsidRPr="00EA1BB2" w:rsidRDefault="00AB3C41" w:rsidP="00800E51">
      <w:pPr>
        <w:numPr>
          <w:ilvl w:val="0"/>
          <w:numId w:val="65"/>
        </w:numPr>
        <w:spacing w:after="200" w:line="360" w:lineRule="auto"/>
        <w:ind w:left="1134" w:hanging="425"/>
        <w:contextualSpacing/>
        <w:jc w:val="both"/>
        <w:rPr>
          <w:rFonts w:ascii="Cambria" w:hAnsi="Cambria" w:cs="Times New Roman"/>
          <w:sz w:val="24"/>
          <w:szCs w:val="24"/>
        </w:rPr>
      </w:pPr>
      <w:r w:rsidRPr="00EA1BB2">
        <w:rPr>
          <w:rFonts w:ascii="Cambria" w:hAnsi="Cambria" w:cs="Times New Roman"/>
          <w:sz w:val="24"/>
          <w:szCs w:val="24"/>
        </w:rPr>
        <w:t>traficul rutier;</w:t>
      </w:r>
    </w:p>
    <w:p w14:paraId="52A4736F" w14:textId="77777777" w:rsidR="00AB1061" w:rsidRPr="00EA1BB2" w:rsidRDefault="00AB1061" w:rsidP="00800E51">
      <w:pPr>
        <w:numPr>
          <w:ilvl w:val="0"/>
          <w:numId w:val="65"/>
        </w:numPr>
        <w:spacing w:after="200" w:line="360" w:lineRule="auto"/>
        <w:ind w:left="1134" w:hanging="425"/>
        <w:contextualSpacing/>
        <w:jc w:val="both"/>
        <w:rPr>
          <w:rFonts w:ascii="Cambria" w:hAnsi="Cambria" w:cs="Times New Roman"/>
          <w:sz w:val="24"/>
          <w:szCs w:val="24"/>
        </w:rPr>
      </w:pPr>
      <w:r w:rsidRPr="00EA1BB2">
        <w:rPr>
          <w:rFonts w:ascii="Cambria" w:hAnsi="Cambria" w:cs="Times New Roman"/>
          <w:sz w:val="24"/>
          <w:szCs w:val="24"/>
        </w:rPr>
        <w:t>încălzirea rezidențială și non-rezidențială;</w:t>
      </w:r>
    </w:p>
    <w:p w14:paraId="09ED3BD3" w14:textId="77777777" w:rsidR="00AB3C41" w:rsidRPr="00EA1BB2" w:rsidRDefault="00AB3C41" w:rsidP="00800E51">
      <w:pPr>
        <w:numPr>
          <w:ilvl w:val="0"/>
          <w:numId w:val="65"/>
        </w:numPr>
        <w:spacing w:line="360" w:lineRule="auto"/>
        <w:ind w:left="1134" w:hanging="425"/>
        <w:contextualSpacing/>
        <w:jc w:val="both"/>
        <w:rPr>
          <w:rFonts w:ascii="Cambria" w:hAnsi="Cambria" w:cs="Times New Roman"/>
          <w:sz w:val="24"/>
          <w:szCs w:val="24"/>
        </w:rPr>
      </w:pPr>
      <w:r w:rsidRPr="00EA1BB2">
        <w:rPr>
          <w:rFonts w:ascii="Cambria" w:hAnsi="Cambria" w:cs="Times New Roman"/>
          <w:sz w:val="24"/>
          <w:szCs w:val="24"/>
        </w:rPr>
        <w:t>agricultura.</w:t>
      </w:r>
    </w:p>
    <w:p w14:paraId="6D1CC09A" w14:textId="77777777" w:rsidR="00ED596B" w:rsidRPr="00EA1BB2" w:rsidRDefault="00ED596B" w:rsidP="00ED596B">
      <w:pPr>
        <w:spacing w:line="360" w:lineRule="auto"/>
        <w:jc w:val="both"/>
        <w:rPr>
          <w:rFonts w:ascii="Cambria" w:eastAsia="Times New Roman" w:hAnsi="Cambria" w:cs="Times New Roman"/>
          <w:sz w:val="24"/>
          <w:szCs w:val="24"/>
        </w:rPr>
      </w:pPr>
    </w:p>
    <w:p w14:paraId="0315C192" w14:textId="77777777" w:rsidR="00ED596B" w:rsidRPr="00EA1BB2" w:rsidRDefault="00AB3C41" w:rsidP="00E859EF">
      <w:pPr>
        <w:pStyle w:val="ListParagraph"/>
        <w:keepNext/>
        <w:keepLines/>
        <w:numPr>
          <w:ilvl w:val="2"/>
          <w:numId w:val="1"/>
        </w:numPr>
        <w:spacing w:after="0" w:line="360" w:lineRule="auto"/>
        <w:ind w:left="709" w:firstLine="0"/>
        <w:jc w:val="both"/>
        <w:outlineLvl w:val="2"/>
        <w:rPr>
          <w:rFonts w:ascii="Cambria" w:eastAsia="Times New Roman" w:hAnsi="Cambria" w:cs="Times New Roman"/>
          <w:b/>
          <w:color w:val="0070C0"/>
          <w:sz w:val="24"/>
          <w:szCs w:val="24"/>
          <w:lang w:val="ro-RO"/>
        </w:rPr>
      </w:pPr>
      <w:bookmarkStart w:id="74" w:name="_Toc452983803"/>
      <w:bookmarkStart w:id="75" w:name="_Toc465648570"/>
      <w:bookmarkStart w:id="76" w:name="_Toc526889709"/>
      <w:r w:rsidRPr="00EA1BB2">
        <w:rPr>
          <w:rFonts w:ascii="Cambria" w:eastAsia="Times New Roman" w:hAnsi="Cambria" w:cs="Times New Roman"/>
          <w:b/>
          <w:color w:val="0070C0"/>
          <w:sz w:val="24"/>
          <w:szCs w:val="24"/>
          <w:lang w:val="ro-RO"/>
        </w:rPr>
        <w:t>Sector e</w:t>
      </w:r>
      <w:r w:rsidR="00ED596B" w:rsidRPr="00EA1BB2">
        <w:rPr>
          <w:rFonts w:ascii="Cambria" w:eastAsia="Times New Roman" w:hAnsi="Cambria" w:cs="Times New Roman"/>
          <w:b/>
          <w:color w:val="0070C0"/>
          <w:sz w:val="24"/>
          <w:szCs w:val="24"/>
          <w:lang w:val="ro-RO"/>
        </w:rPr>
        <w:t>nergie</w:t>
      </w:r>
      <w:bookmarkEnd w:id="74"/>
      <w:bookmarkEnd w:id="75"/>
      <w:bookmarkEnd w:id="76"/>
    </w:p>
    <w:p w14:paraId="74AFA79F" w14:textId="77777777" w:rsidR="00ED596B" w:rsidRPr="00EA1BB2" w:rsidRDefault="00ED596B" w:rsidP="00ED596B">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Categoria de activită</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 incluse în sectorul „Industrii energetice” se referă la arderea combustibililor în scopul producerii de energie (electrică sau termică) din surse punctuale. Poluan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 principali emi</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în atmosferă din activită</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ile incluse în categoria „Industrii energetice” sunt: particule totale în suspensie, particule cu diametrul &lt; 10 </w:t>
      </w:r>
      <w:r w:rsidR="00F30573" w:rsidRPr="00EA1BB2">
        <w:rPr>
          <w:rFonts w:ascii="Cambria" w:eastAsia="Times New Roman" w:hAnsi="Cambria" w:cs="Times New Roman"/>
          <w:sz w:val="24"/>
          <w:szCs w:val="24"/>
        </w:rPr>
        <w:t>µ</w:t>
      </w:r>
      <w:r w:rsidRPr="00EA1BB2">
        <w:rPr>
          <w:rFonts w:ascii="Cambria" w:eastAsia="Times New Roman" w:hAnsi="Cambria" w:cs="Times New Roman"/>
          <w:sz w:val="24"/>
          <w:szCs w:val="24"/>
        </w:rPr>
        <w:t>m</w:t>
      </w:r>
      <w:r w:rsidR="00F30573" w:rsidRPr="00EA1BB2">
        <w:rPr>
          <w:rFonts w:ascii="Cambria" w:eastAsia="Times New Roman" w:hAnsi="Cambria" w:cs="Times New Roman"/>
          <w:sz w:val="24"/>
          <w:szCs w:val="24"/>
        </w:rPr>
        <w:t>, particule cu diametrul &lt; 2,5 µ</w:t>
      </w:r>
      <w:r w:rsidRPr="00EA1BB2">
        <w:rPr>
          <w:rFonts w:ascii="Cambria" w:eastAsia="Times New Roman" w:hAnsi="Cambria" w:cs="Times New Roman"/>
          <w:sz w:val="24"/>
          <w:szCs w:val="24"/>
        </w:rPr>
        <w:t>m, oxizi de sulf, oxizi de azot, oxizi de carbon, compu</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 xml:space="preserve">i organici volatili nemetanici, metale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compu</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ii acestora, amoniac.</w:t>
      </w:r>
    </w:p>
    <w:p w14:paraId="11BE77B4" w14:textId="77777777" w:rsidR="00ED596B" w:rsidRPr="00EA1BB2" w:rsidRDefault="00ED596B" w:rsidP="00ED596B">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Emisiile de poluan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 variază în func</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ie de următoarele elemente:</w:t>
      </w:r>
    </w:p>
    <w:p w14:paraId="5302DF06" w14:textId="77777777" w:rsidR="00ED596B" w:rsidRPr="00EA1BB2" w:rsidRDefault="00ED596B" w:rsidP="00042796">
      <w:pPr>
        <w:numPr>
          <w:ilvl w:val="0"/>
          <w:numId w:val="39"/>
        </w:numPr>
        <w:spacing w:after="200" w:line="360" w:lineRule="auto"/>
        <w:ind w:left="1134"/>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tipurile de combustibili utiliza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w:t>
      </w:r>
    </w:p>
    <w:p w14:paraId="3032D095" w14:textId="77777777" w:rsidR="00ED596B" w:rsidRPr="00EA1BB2" w:rsidRDefault="00ED596B" w:rsidP="00042796">
      <w:pPr>
        <w:numPr>
          <w:ilvl w:val="0"/>
          <w:numId w:val="39"/>
        </w:numPr>
        <w:spacing w:after="200" w:line="360" w:lineRule="auto"/>
        <w:ind w:left="1134"/>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puterea termică nominală a instala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iei;</w:t>
      </w:r>
    </w:p>
    <w:p w14:paraId="2878B115" w14:textId="77777777" w:rsidR="00ED596B" w:rsidRPr="00EA1BB2" w:rsidRDefault="00ED596B" w:rsidP="00042796">
      <w:pPr>
        <w:numPr>
          <w:ilvl w:val="0"/>
          <w:numId w:val="39"/>
        </w:numPr>
        <w:spacing w:after="200" w:line="360" w:lineRule="auto"/>
        <w:ind w:left="1134"/>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lastRenderedPageBreak/>
        <w:t>tipul de instala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ie;</w:t>
      </w:r>
    </w:p>
    <w:p w14:paraId="392E3B03" w14:textId="77777777" w:rsidR="00ED596B" w:rsidRPr="00EA1BB2" w:rsidRDefault="00ED596B" w:rsidP="00042796">
      <w:pPr>
        <w:numPr>
          <w:ilvl w:val="0"/>
          <w:numId w:val="39"/>
        </w:numPr>
        <w:spacing w:after="200" w:line="360" w:lineRule="auto"/>
        <w:ind w:left="1134"/>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 xml:space="preserve">măsurile primare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i/sau secundare pentru controlul (reducerea) emisiilor (de exemplu, pentru particule, dioxid de sulf, oxizi de azot).</w:t>
      </w:r>
    </w:p>
    <w:p w14:paraId="3D9AA766" w14:textId="77777777" w:rsidR="00ED596B" w:rsidRPr="00EA1BB2" w:rsidRDefault="00ED596B" w:rsidP="00ED596B">
      <w:pPr>
        <w:spacing w:line="360" w:lineRule="auto"/>
        <w:ind w:firstLine="720"/>
        <w:jc w:val="both"/>
        <w:rPr>
          <w:rFonts w:ascii="Cambria" w:eastAsia="Times New Roman" w:hAnsi="Cambria" w:cs="Times New Roman"/>
          <w:sz w:val="24"/>
          <w:szCs w:val="24"/>
        </w:rPr>
      </w:pPr>
      <w:r w:rsidRPr="00EA1BB2">
        <w:rPr>
          <w:rFonts w:ascii="Cambria" w:eastAsia="Times New Roman" w:hAnsi="Cambria" w:cs="Times New Roman"/>
          <w:sz w:val="24"/>
          <w:szCs w:val="24"/>
        </w:rPr>
        <w:t>Reducerea emisiilor de poluan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 atmosferici de la instala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 de ardere se realizează prin diferite măsuri/tehnici, clasificate în două categorii:</w:t>
      </w:r>
    </w:p>
    <w:p w14:paraId="7114CE91" w14:textId="77777777" w:rsidR="00ED596B" w:rsidRPr="00EA1BB2" w:rsidRDefault="00ED596B" w:rsidP="00042796">
      <w:pPr>
        <w:numPr>
          <w:ilvl w:val="0"/>
          <w:numId w:val="40"/>
        </w:numPr>
        <w:spacing w:after="200" w:line="360" w:lineRule="auto"/>
        <w:ind w:left="1134"/>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măsuri primare, constând din măsuri/tehnici pentru reducerea emisiilor la sursă sau în timpul arderii;</w:t>
      </w:r>
    </w:p>
    <w:p w14:paraId="46457AB3" w14:textId="77777777" w:rsidR="00ED596B" w:rsidRPr="00EA1BB2" w:rsidRDefault="00ED596B" w:rsidP="00042796">
      <w:pPr>
        <w:numPr>
          <w:ilvl w:val="0"/>
          <w:numId w:val="40"/>
        </w:numPr>
        <w:spacing w:after="200" w:line="360" w:lineRule="auto"/>
        <w:ind w:left="1134"/>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măsuri secundare, constând din măsuri/tehnici pentru reducerea emisiilor din gazele de ardere, după evacuarea acestora din focar (post – combustie).</w:t>
      </w:r>
    </w:p>
    <w:p w14:paraId="7280FFC3" w14:textId="77777777" w:rsidR="00ED596B" w:rsidRPr="00EA1BB2" w:rsidRDefault="00ED596B" w:rsidP="00ED596B">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În anul 2014 cele două instala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 mari de ardere nu au func</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ionat, SC CET SA a notificat APM Brăila în data de 26.03.2014 privind situa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ia societă</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 men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ionând că s-au început demersurile legale în vederea deschiderii procedurii de insolven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ă. De asemenea societatea Termoelectrica SA, devenită Societatea Complexul Energetic Oltenia SA  Sucursala Electrocentrale Chiscani nu a func</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ionat în anul 2014.</w:t>
      </w:r>
    </w:p>
    <w:p w14:paraId="59E0DAC4" w14:textId="77777777" w:rsidR="00ED596B" w:rsidRPr="00EA1BB2" w:rsidRDefault="00ED596B" w:rsidP="00ED596B">
      <w:pPr>
        <w:spacing w:line="360" w:lineRule="auto"/>
        <w:jc w:val="both"/>
        <w:rPr>
          <w:rFonts w:ascii="Cambria" w:eastAsia="Times New Roman" w:hAnsi="Cambria" w:cs="Times New Roman"/>
          <w:sz w:val="24"/>
          <w:szCs w:val="24"/>
        </w:rPr>
      </w:pPr>
    </w:p>
    <w:p w14:paraId="22358605" w14:textId="77777777" w:rsidR="00ED596B" w:rsidRPr="00EA1BB2" w:rsidRDefault="00D63B86" w:rsidP="00E859EF">
      <w:pPr>
        <w:pStyle w:val="ListParagraph"/>
        <w:keepNext/>
        <w:keepLines/>
        <w:numPr>
          <w:ilvl w:val="2"/>
          <w:numId w:val="1"/>
        </w:numPr>
        <w:spacing w:after="0" w:line="360" w:lineRule="auto"/>
        <w:ind w:left="709" w:firstLine="0"/>
        <w:jc w:val="both"/>
        <w:outlineLvl w:val="2"/>
        <w:rPr>
          <w:rFonts w:ascii="Cambria" w:eastAsia="Times New Roman" w:hAnsi="Cambria" w:cs="Times New Roman"/>
          <w:b/>
          <w:color w:val="0070C0"/>
          <w:sz w:val="24"/>
          <w:szCs w:val="24"/>
          <w:lang w:val="ro-RO"/>
        </w:rPr>
      </w:pPr>
      <w:bookmarkStart w:id="77" w:name="_Toc452983804"/>
      <w:bookmarkStart w:id="78" w:name="_Toc465648571"/>
      <w:bookmarkStart w:id="79" w:name="_Toc526889710"/>
      <w:r w:rsidRPr="00EA1BB2">
        <w:rPr>
          <w:rFonts w:ascii="Cambria" w:eastAsia="Times New Roman" w:hAnsi="Cambria" w:cs="Times New Roman"/>
          <w:b/>
          <w:color w:val="0070C0"/>
          <w:sz w:val="24"/>
          <w:szCs w:val="24"/>
          <w:lang w:val="ro-RO"/>
        </w:rPr>
        <w:t>Sector t</w:t>
      </w:r>
      <w:r w:rsidR="00ED596B" w:rsidRPr="00EA1BB2">
        <w:rPr>
          <w:rFonts w:ascii="Cambria" w:eastAsia="Times New Roman" w:hAnsi="Cambria" w:cs="Times New Roman"/>
          <w:b/>
          <w:color w:val="0070C0"/>
          <w:sz w:val="24"/>
          <w:szCs w:val="24"/>
          <w:lang w:val="ro-RO"/>
        </w:rPr>
        <w:t>ransport</w:t>
      </w:r>
      <w:bookmarkEnd w:id="77"/>
      <w:bookmarkEnd w:id="78"/>
      <w:bookmarkEnd w:id="79"/>
    </w:p>
    <w:p w14:paraId="7A63281B" w14:textId="77777777" w:rsidR="00ED596B" w:rsidRPr="00EA1BB2" w:rsidRDefault="00ED596B" w:rsidP="00ED596B">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Re</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eaua de drumuri din cadrul jude</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ului Brăila este alcătuită din două trasee de drumuri europene (E87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E584), 6 trasee de drumuri na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ionale (DN 2B Buzău- Brăila, DN 21 Slobozia-Brăila, DN 21A </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ăndărei-Bărăganul, DN 22 Râmnicu Sărat-Brăila, DN 22B Dig Brăila-Gala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DN 23 Foc</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ani-Brăila), din 21 trasee de drumuri jude</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ene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din 45 trasee de drumuri comunale.</w:t>
      </w:r>
    </w:p>
    <w:p w14:paraId="4906A026" w14:textId="77777777" w:rsidR="005B216D" w:rsidRPr="00EA1BB2" w:rsidRDefault="005B216D" w:rsidP="005B216D">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Principalele probleme care sporesc impactul transportului auto asupra mediului sunt:</w:t>
      </w:r>
    </w:p>
    <w:p w14:paraId="1E3AB3E3" w14:textId="77777777" w:rsidR="005B216D" w:rsidRPr="00EA1BB2" w:rsidRDefault="005B216D" w:rsidP="005B216D">
      <w:pPr>
        <w:numPr>
          <w:ilvl w:val="0"/>
          <w:numId w:val="41"/>
        </w:numPr>
        <w:spacing w:after="200" w:line="360" w:lineRule="auto"/>
        <w:ind w:left="851"/>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calitatea combustibilului;</w:t>
      </w:r>
    </w:p>
    <w:p w14:paraId="4D13DC63" w14:textId="77777777" w:rsidR="005B216D" w:rsidRPr="00EA1BB2" w:rsidRDefault="005B216D" w:rsidP="005B216D">
      <w:pPr>
        <w:numPr>
          <w:ilvl w:val="0"/>
          <w:numId w:val="41"/>
        </w:numPr>
        <w:spacing w:after="200" w:line="360" w:lineRule="auto"/>
        <w:ind w:left="851"/>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insuficiența nodurilor de intersecție pe străzi, a stațiilor auto și a parcărilor auto moderne;</w:t>
      </w:r>
    </w:p>
    <w:p w14:paraId="0DFAA267" w14:textId="77777777" w:rsidR="005B216D" w:rsidRPr="00EA1BB2" w:rsidRDefault="005B216D" w:rsidP="005B216D">
      <w:pPr>
        <w:numPr>
          <w:ilvl w:val="0"/>
          <w:numId w:val="41"/>
        </w:numPr>
        <w:spacing w:after="200" w:line="360" w:lineRule="auto"/>
        <w:ind w:left="851"/>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calitatea nesatisfăcătoare a învelișului rutier, în special în interiorul cartierelor;</w:t>
      </w:r>
    </w:p>
    <w:p w14:paraId="6334F420" w14:textId="77777777" w:rsidR="005B216D" w:rsidRPr="00EA1BB2" w:rsidRDefault="005B216D" w:rsidP="005B216D">
      <w:pPr>
        <w:numPr>
          <w:ilvl w:val="0"/>
          <w:numId w:val="41"/>
        </w:numPr>
        <w:spacing w:after="200" w:line="360" w:lineRule="auto"/>
        <w:ind w:left="851"/>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parcarea automobilelor în curți, pe spațiile verzi și pe trotuare;</w:t>
      </w:r>
    </w:p>
    <w:p w14:paraId="01865E00" w14:textId="77777777" w:rsidR="005B216D" w:rsidRPr="00EA1BB2" w:rsidRDefault="005B216D" w:rsidP="005B216D">
      <w:pPr>
        <w:numPr>
          <w:ilvl w:val="0"/>
          <w:numId w:val="41"/>
        </w:numPr>
        <w:spacing w:line="360" w:lineRule="auto"/>
        <w:ind w:left="851"/>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exploatarea îndelungată și starea tehnică nesatisfăcătoare a unităților de transport etc.</w:t>
      </w:r>
    </w:p>
    <w:p w14:paraId="1AD0C878" w14:textId="77777777" w:rsidR="00604040" w:rsidRPr="00EA1BB2" w:rsidRDefault="00604040" w:rsidP="00ED596B">
      <w:pPr>
        <w:spacing w:line="360" w:lineRule="auto"/>
        <w:ind w:firstLine="709"/>
        <w:jc w:val="both"/>
        <w:rPr>
          <w:rFonts w:ascii="Cambria" w:eastAsia="Times New Roman" w:hAnsi="Cambria" w:cs="Times New Roman"/>
          <w:sz w:val="24"/>
          <w:szCs w:val="24"/>
        </w:rPr>
      </w:pPr>
    </w:p>
    <w:p w14:paraId="56A76C59" w14:textId="225E0A5F" w:rsidR="00ED596B" w:rsidRPr="00EA1BB2" w:rsidRDefault="00ED596B" w:rsidP="00ED596B">
      <w:pPr>
        <w:keepNext/>
        <w:spacing w:line="360" w:lineRule="auto"/>
        <w:ind w:firstLine="708"/>
        <w:jc w:val="both"/>
        <w:rPr>
          <w:rFonts w:ascii="Cambria" w:hAnsi="Cambria"/>
          <w:b/>
          <w:iCs/>
          <w:sz w:val="24"/>
          <w:szCs w:val="18"/>
        </w:rPr>
      </w:pPr>
      <w:bookmarkStart w:id="80" w:name="_Toc466896061"/>
      <w:bookmarkStart w:id="81" w:name="_Toc524966212"/>
      <w:r w:rsidRPr="00EA1BB2">
        <w:rPr>
          <w:rFonts w:ascii="Cambria" w:hAnsi="Cambria"/>
          <w:b/>
          <w:iCs/>
          <w:sz w:val="24"/>
          <w:szCs w:val="18"/>
        </w:rPr>
        <w:lastRenderedPageBreak/>
        <w:t xml:space="preserve">Figura nr. </w:t>
      </w:r>
      <w:r w:rsidR="00280BC9" w:rsidRPr="00EA1BB2">
        <w:rPr>
          <w:rFonts w:ascii="Cambria" w:hAnsi="Cambria"/>
          <w:b/>
          <w:iCs/>
          <w:sz w:val="24"/>
          <w:szCs w:val="18"/>
        </w:rPr>
        <w:fldChar w:fldCharType="begin"/>
      </w:r>
      <w:r w:rsidR="00BA6FA3" w:rsidRPr="00EA1BB2">
        <w:rPr>
          <w:rFonts w:ascii="Cambria" w:hAnsi="Cambria"/>
          <w:b/>
          <w:iCs/>
          <w:sz w:val="24"/>
          <w:szCs w:val="18"/>
        </w:rPr>
        <w:instrText xml:space="preserve"> STYLEREF 1 \s </w:instrText>
      </w:r>
      <w:r w:rsidR="00280BC9" w:rsidRPr="00EA1BB2">
        <w:rPr>
          <w:rFonts w:ascii="Cambria" w:hAnsi="Cambria"/>
          <w:b/>
          <w:iCs/>
          <w:sz w:val="24"/>
          <w:szCs w:val="18"/>
        </w:rPr>
        <w:fldChar w:fldCharType="separate"/>
      </w:r>
      <w:r w:rsidR="00567555">
        <w:rPr>
          <w:rFonts w:ascii="Cambria" w:hAnsi="Cambria"/>
          <w:b/>
          <w:iCs/>
          <w:noProof/>
          <w:sz w:val="24"/>
          <w:szCs w:val="18"/>
        </w:rPr>
        <w:t>3</w:t>
      </w:r>
      <w:r w:rsidR="00280BC9" w:rsidRPr="00EA1BB2">
        <w:rPr>
          <w:rFonts w:ascii="Cambria" w:hAnsi="Cambria"/>
          <w:b/>
          <w:iCs/>
          <w:sz w:val="24"/>
          <w:szCs w:val="18"/>
        </w:rPr>
        <w:fldChar w:fldCharType="end"/>
      </w:r>
      <w:r w:rsidR="00BA6FA3" w:rsidRPr="00EA1BB2">
        <w:rPr>
          <w:rFonts w:ascii="Cambria" w:hAnsi="Cambria"/>
          <w:b/>
          <w:iCs/>
          <w:sz w:val="24"/>
          <w:szCs w:val="18"/>
        </w:rPr>
        <w:noBreakHyphen/>
      </w:r>
      <w:r w:rsidR="00280BC9" w:rsidRPr="00EA1BB2">
        <w:rPr>
          <w:rFonts w:ascii="Cambria" w:hAnsi="Cambria"/>
          <w:b/>
          <w:iCs/>
          <w:sz w:val="24"/>
          <w:szCs w:val="18"/>
        </w:rPr>
        <w:fldChar w:fldCharType="begin"/>
      </w:r>
      <w:r w:rsidR="00BA6FA3" w:rsidRPr="00EA1BB2">
        <w:rPr>
          <w:rFonts w:ascii="Cambria" w:hAnsi="Cambria"/>
          <w:b/>
          <w:iCs/>
          <w:sz w:val="24"/>
          <w:szCs w:val="18"/>
        </w:rPr>
        <w:instrText xml:space="preserve"> SEQ Figura_nr. \* ARABIC \s 1 </w:instrText>
      </w:r>
      <w:r w:rsidR="00280BC9" w:rsidRPr="00EA1BB2">
        <w:rPr>
          <w:rFonts w:ascii="Cambria" w:hAnsi="Cambria"/>
          <w:b/>
          <w:iCs/>
          <w:sz w:val="24"/>
          <w:szCs w:val="18"/>
        </w:rPr>
        <w:fldChar w:fldCharType="separate"/>
      </w:r>
      <w:r w:rsidR="00567555">
        <w:rPr>
          <w:rFonts w:ascii="Cambria" w:hAnsi="Cambria"/>
          <w:b/>
          <w:iCs/>
          <w:noProof/>
          <w:sz w:val="24"/>
          <w:szCs w:val="18"/>
        </w:rPr>
        <w:t>1</w:t>
      </w:r>
      <w:r w:rsidR="00280BC9" w:rsidRPr="00EA1BB2">
        <w:rPr>
          <w:rFonts w:ascii="Cambria" w:hAnsi="Cambria"/>
          <w:b/>
          <w:iCs/>
          <w:sz w:val="24"/>
          <w:szCs w:val="18"/>
        </w:rPr>
        <w:fldChar w:fldCharType="end"/>
      </w:r>
      <w:r w:rsidRPr="00EA1BB2">
        <w:rPr>
          <w:rFonts w:ascii="Cambria" w:hAnsi="Cambria"/>
          <w:b/>
          <w:iCs/>
          <w:sz w:val="24"/>
          <w:szCs w:val="18"/>
        </w:rPr>
        <w:t xml:space="preserve"> – Re</w:t>
      </w:r>
      <w:r w:rsidR="00054880" w:rsidRPr="00EA1BB2">
        <w:rPr>
          <w:rFonts w:ascii="Cambria" w:hAnsi="Cambria"/>
          <w:b/>
          <w:iCs/>
          <w:sz w:val="24"/>
          <w:szCs w:val="18"/>
        </w:rPr>
        <w:t>ț</w:t>
      </w:r>
      <w:r w:rsidRPr="00EA1BB2">
        <w:rPr>
          <w:rFonts w:ascii="Cambria" w:hAnsi="Cambria"/>
          <w:b/>
          <w:iCs/>
          <w:sz w:val="24"/>
          <w:szCs w:val="18"/>
        </w:rPr>
        <w:t>eaua rutieră la nivelul jude</w:t>
      </w:r>
      <w:r w:rsidR="00054880" w:rsidRPr="00EA1BB2">
        <w:rPr>
          <w:rFonts w:ascii="Cambria" w:hAnsi="Cambria"/>
          <w:b/>
          <w:iCs/>
          <w:sz w:val="24"/>
          <w:szCs w:val="18"/>
        </w:rPr>
        <w:t>ț</w:t>
      </w:r>
      <w:r w:rsidRPr="00EA1BB2">
        <w:rPr>
          <w:rFonts w:ascii="Cambria" w:hAnsi="Cambria"/>
          <w:b/>
          <w:iCs/>
          <w:sz w:val="24"/>
          <w:szCs w:val="18"/>
        </w:rPr>
        <w:t>ului Brăila</w:t>
      </w:r>
      <w:bookmarkEnd w:id="80"/>
      <w:bookmarkEnd w:id="81"/>
    </w:p>
    <w:p w14:paraId="6FF485FB" w14:textId="77777777" w:rsidR="00ED596B" w:rsidRPr="00EA1BB2" w:rsidRDefault="00ED596B" w:rsidP="00ED596B">
      <w:pPr>
        <w:spacing w:line="360" w:lineRule="auto"/>
        <w:jc w:val="center"/>
        <w:rPr>
          <w:rFonts w:ascii="Cambria" w:eastAsia="Times New Roman" w:hAnsi="Cambria" w:cs="Times New Roman"/>
          <w:sz w:val="24"/>
          <w:szCs w:val="24"/>
        </w:rPr>
      </w:pPr>
      <w:r w:rsidRPr="00EA1BB2">
        <w:rPr>
          <w:rFonts w:ascii="Cambria" w:eastAsia="Times New Roman" w:hAnsi="Cambria" w:cs="Times New Roman"/>
          <w:noProof/>
          <w:sz w:val="24"/>
          <w:szCs w:val="24"/>
          <w:lang w:val="en-US"/>
        </w:rPr>
        <w:drawing>
          <wp:inline distT="0" distB="0" distL="0" distR="0" wp14:anchorId="338DA274" wp14:editId="5B9E02B9">
            <wp:extent cx="5760000" cy="4073874"/>
            <wp:effectExtent l="19050" t="19050" r="12700" b="2222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10.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60000" cy="4073874"/>
                    </a:xfrm>
                    <a:prstGeom prst="rect">
                      <a:avLst/>
                    </a:prstGeom>
                    <a:ln>
                      <a:solidFill>
                        <a:sysClr val="window" lastClr="FFFFFF">
                          <a:lumMod val="85000"/>
                        </a:sysClr>
                      </a:solidFill>
                    </a:ln>
                  </pic:spPr>
                </pic:pic>
              </a:graphicData>
            </a:graphic>
          </wp:inline>
        </w:drawing>
      </w:r>
    </w:p>
    <w:p w14:paraId="12C4E912" w14:textId="77777777" w:rsidR="00AB1061" w:rsidRPr="00EA1BB2" w:rsidRDefault="00AB1061" w:rsidP="000D76D9">
      <w:pPr>
        <w:spacing w:line="360" w:lineRule="auto"/>
        <w:ind w:firstLine="709"/>
        <w:jc w:val="both"/>
        <w:rPr>
          <w:rFonts w:ascii="Cambria" w:eastAsia="Times New Roman" w:hAnsi="Cambria" w:cs="Times New Roman"/>
          <w:sz w:val="24"/>
          <w:szCs w:val="24"/>
        </w:rPr>
      </w:pPr>
    </w:p>
    <w:p w14:paraId="272E06D2" w14:textId="79D8E6BA" w:rsidR="000D76D9" w:rsidRPr="00EA1BB2" w:rsidRDefault="000D76D9" w:rsidP="000D76D9">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Lungimea drumurilor publice, la 31 decembrie 201</w:t>
      </w:r>
      <w:r w:rsidR="00563FA4" w:rsidRPr="00EA1BB2">
        <w:rPr>
          <w:rFonts w:ascii="Cambria" w:eastAsia="Times New Roman" w:hAnsi="Cambria" w:cs="Times New Roman"/>
          <w:sz w:val="24"/>
          <w:szCs w:val="24"/>
        </w:rPr>
        <w:t>7</w:t>
      </w:r>
      <w:r w:rsidRPr="00EA1BB2">
        <w:rPr>
          <w:rFonts w:ascii="Cambria" w:eastAsia="Times New Roman" w:hAnsi="Cambria" w:cs="Times New Roman"/>
          <w:sz w:val="24"/>
          <w:szCs w:val="24"/>
        </w:rPr>
        <w:t xml:space="preserve"> este prezentată în tabelul de mai jos.</w:t>
      </w:r>
      <w:r w:rsidR="00680409" w:rsidRPr="00EA1BB2">
        <w:rPr>
          <w:rFonts w:ascii="Cambria" w:eastAsia="Times New Roman" w:hAnsi="Cambria" w:cs="Times New Roman"/>
          <w:sz w:val="24"/>
          <w:szCs w:val="24"/>
        </w:rPr>
        <w:t xml:space="preserve"> </w:t>
      </w:r>
      <w:r w:rsidRPr="00EA1BB2">
        <w:rPr>
          <w:rFonts w:ascii="Cambria" w:eastAsia="Times New Roman" w:hAnsi="Cambria" w:cs="Times New Roman"/>
          <w:sz w:val="24"/>
          <w:szCs w:val="24"/>
        </w:rPr>
        <w:t>Densitatea drumurilor publice, la nivelul județului Brăila, pe 100 km</w:t>
      </w:r>
      <w:r w:rsidRPr="00EA1BB2">
        <w:rPr>
          <w:rFonts w:ascii="Cambria" w:eastAsia="Times New Roman" w:hAnsi="Cambria" w:cs="Times New Roman"/>
          <w:sz w:val="24"/>
          <w:szCs w:val="24"/>
          <w:vertAlign w:val="superscript"/>
        </w:rPr>
        <w:t>2</w:t>
      </w:r>
      <w:r w:rsidRPr="00EA1BB2">
        <w:rPr>
          <w:rFonts w:ascii="Cambria" w:eastAsia="Times New Roman" w:hAnsi="Cambria" w:cs="Times New Roman"/>
          <w:sz w:val="24"/>
          <w:szCs w:val="24"/>
        </w:rPr>
        <w:t xml:space="preserve"> teritoriu este de 24,9km.</w:t>
      </w:r>
    </w:p>
    <w:p w14:paraId="2BC8715E" w14:textId="77777777" w:rsidR="000D76D9" w:rsidRPr="00EA1BB2" w:rsidRDefault="000D76D9" w:rsidP="000D76D9">
      <w:pPr>
        <w:spacing w:line="360" w:lineRule="auto"/>
        <w:ind w:firstLine="709"/>
        <w:jc w:val="both"/>
        <w:rPr>
          <w:rFonts w:ascii="Cambria" w:eastAsia="Times New Roman" w:hAnsi="Cambria" w:cs="Times New Roman"/>
          <w:sz w:val="24"/>
          <w:szCs w:val="24"/>
        </w:rPr>
      </w:pPr>
    </w:p>
    <w:p w14:paraId="43B1FD23" w14:textId="51E2CBEF" w:rsidR="000D76D9" w:rsidRPr="00EA1BB2" w:rsidRDefault="000D76D9" w:rsidP="000D76D9">
      <w:pPr>
        <w:keepNext/>
        <w:spacing w:after="200"/>
        <w:ind w:firstLine="709"/>
        <w:rPr>
          <w:rFonts w:ascii="Cambria" w:hAnsi="Cambria"/>
          <w:b/>
          <w:iCs/>
          <w:sz w:val="24"/>
          <w:szCs w:val="18"/>
        </w:rPr>
      </w:pPr>
      <w:bookmarkStart w:id="82" w:name="_Toc466895953"/>
      <w:bookmarkStart w:id="83" w:name="_Toc526889770"/>
      <w:r w:rsidRPr="00EA1BB2">
        <w:rPr>
          <w:rFonts w:ascii="Cambria" w:hAnsi="Cambria"/>
          <w:b/>
          <w:iCs/>
          <w:sz w:val="24"/>
          <w:szCs w:val="18"/>
        </w:rPr>
        <w:t xml:space="preserve">Tabelul nr. </w:t>
      </w:r>
      <w:r w:rsidR="000A2FE7" w:rsidRPr="00EA1BB2">
        <w:rPr>
          <w:rFonts w:ascii="Cambria" w:hAnsi="Cambria"/>
          <w:b/>
          <w:iCs/>
          <w:sz w:val="24"/>
          <w:szCs w:val="18"/>
        </w:rPr>
        <w:fldChar w:fldCharType="begin"/>
      </w:r>
      <w:r w:rsidR="000A2FE7" w:rsidRPr="00EA1BB2">
        <w:rPr>
          <w:rFonts w:ascii="Cambria" w:hAnsi="Cambria"/>
          <w:b/>
          <w:iCs/>
          <w:sz w:val="24"/>
          <w:szCs w:val="18"/>
        </w:rPr>
        <w:instrText xml:space="preserve"> STYLEREF 1 \s </w:instrText>
      </w:r>
      <w:r w:rsidR="000A2FE7" w:rsidRPr="00EA1BB2">
        <w:rPr>
          <w:rFonts w:ascii="Cambria" w:hAnsi="Cambria"/>
          <w:b/>
          <w:iCs/>
          <w:sz w:val="24"/>
          <w:szCs w:val="18"/>
        </w:rPr>
        <w:fldChar w:fldCharType="separate"/>
      </w:r>
      <w:r w:rsidR="00567555">
        <w:rPr>
          <w:rFonts w:ascii="Cambria" w:hAnsi="Cambria"/>
          <w:b/>
          <w:iCs/>
          <w:noProof/>
          <w:sz w:val="24"/>
          <w:szCs w:val="18"/>
        </w:rPr>
        <w:t>3</w:t>
      </w:r>
      <w:r w:rsidR="000A2FE7" w:rsidRPr="00EA1BB2">
        <w:rPr>
          <w:rFonts w:ascii="Cambria" w:hAnsi="Cambria"/>
          <w:b/>
          <w:iCs/>
          <w:sz w:val="24"/>
          <w:szCs w:val="18"/>
        </w:rPr>
        <w:fldChar w:fldCharType="end"/>
      </w:r>
      <w:r w:rsidR="000A2FE7" w:rsidRPr="00EA1BB2">
        <w:rPr>
          <w:rFonts w:ascii="Cambria" w:hAnsi="Cambria"/>
          <w:b/>
          <w:iCs/>
          <w:sz w:val="24"/>
          <w:szCs w:val="18"/>
        </w:rPr>
        <w:noBreakHyphen/>
      </w:r>
      <w:r w:rsidR="000A2FE7" w:rsidRPr="00EA1BB2">
        <w:rPr>
          <w:rFonts w:ascii="Cambria" w:hAnsi="Cambria"/>
          <w:b/>
          <w:iCs/>
          <w:sz w:val="24"/>
          <w:szCs w:val="18"/>
        </w:rPr>
        <w:fldChar w:fldCharType="begin"/>
      </w:r>
      <w:r w:rsidR="000A2FE7" w:rsidRPr="00EA1BB2">
        <w:rPr>
          <w:rFonts w:ascii="Cambria" w:hAnsi="Cambria"/>
          <w:b/>
          <w:iCs/>
          <w:sz w:val="24"/>
          <w:szCs w:val="18"/>
        </w:rPr>
        <w:instrText xml:space="preserve"> SEQ Tabelul_nr. \* ARABIC \s 1 </w:instrText>
      </w:r>
      <w:r w:rsidR="000A2FE7" w:rsidRPr="00EA1BB2">
        <w:rPr>
          <w:rFonts w:ascii="Cambria" w:hAnsi="Cambria"/>
          <w:b/>
          <w:iCs/>
          <w:sz w:val="24"/>
          <w:szCs w:val="18"/>
        </w:rPr>
        <w:fldChar w:fldCharType="separate"/>
      </w:r>
      <w:r w:rsidR="00567555">
        <w:rPr>
          <w:rFonts w:ascii="Cambria" w:hAnsi="Cambria"/>
          <w:b/>
          <w:iCs/>
          <w:noProof/>
          <w:sz w:val="24"/>
          <w:szCs w:val="18"/>
        </w:rPr>
        <w:t>1</w:t>
      </w:r>
      <w:r w:rsidR="000A2FE7" w:rsidRPr="00EA1BB2">
        <w:rPr>
          <w:rFonts w:ascii="Cambria" w:hAnsi="Cambria"/>
          <w:b/>
          <w:iCs/>
          <w:sz w:val="24"/>
          <w:szCs w:val="18"/>
        </w:rPr>
        <w:fldChar w:fldCharType="end"/>
      </w:r>
      <w:r w:rsidRPr="00EA1BB2">
        <w:rPr>
          <w:rFonts w:ascii="Cambria" w:hAnsi="Cambria"/>
          <w:b/>
          <w:iCs/>
          <w:sz w:val="24"/>
          <w:szCs w:val="18"/>
        </w:rPr>
        <w:t xml:space="preserve"> – Lungimea drumurilor publice</w:t>
      </w:r>
      <w:r w:rsidR="00563FA4" w:rsidRPr="00EA1BB2">
        <w:rPr>
          <w:rFonts w:ascii="Cambria" w:hAnsi="Cambria"/>
          <w:b/>
          <w:iCs/>
          <w:sz w:val="24"/>
          <w:szCs w:val="18"/>
        </w:rPr>
        <w:t xml:space="preserve"> în anul</w:t>
      </w:r>
      <w:r w:rsidRPr="00EA1BB2">
        <w:rPr>
          <w:rFonts w:ascii="Cambria" w:hAnsi="Cambria"/>
          <w:b/>
          <w:iCs/>
          <w:sz w:val="24"/>
          <w:szCs w:val="18"/>
        </w:rPr>
        <w:t xml:space="preserve"> 201</w:t>
      </w:r>
      <w:bookmarkEnd w:id="82"/>
      <w:r w:rsidR="00563FA4" w:rsidRPr="00EA1BB2">
        <w:rPr>
          <w:rFonts w:ascii="Cambria" w:hAnsi="Cambria"/>
          <w:b/>
          <w:iCs/>
          <w:sz w:val="24"/>
          <w:szCs w:val="18"/>
        </w:rPr>
        <w:t>7</w:t>
      </w:r>
      <w:bookmarkEnd w:id="83"/>
    </w:p>
    <w:tbl>
      <w:tblPr>
        <w:tblStyle w:val="TableGrid40"/>
        <w:tblW w:w="0" w:type="auto"/>
        <w:jc w:val="center"/>
        <w:tblLook w:val="04A0" w:firstRow="1" w:lastRow="0" w:firstColumn="1" w:lastColumn="0" w:noHBand="0" w:noVBand="1"/>
      </w:tblPr>
      <w:tblGrid>
        <w:gridCol w:w="609"/>
        <w:gridCol w:w="2505"/>
        <w:gridCol w:w="1701"/>
        <w:gridCol w:w="2249"/>
        <w:gridCol w:w="1199"/>
        <w:gridCol w:w="797"/>
      </w:tblGrid>
      <w:tr w:rsidR="00563FA4" w:rsidRPr="00EA1BB2" w14:paraId="00B53CC9" w14:textId="77777777" w:rsidTr="00563FA4">
        <w:trPr>
          <w:trHeight w:val="469"/>
          <w:jc w:val="center"/>
        </w:trPr>
        <w:tc>
          <w:tcPr>
            <w:tcW w:w="609" w:type="dxa"/>
            <w:vMerge w:val="restart"/>
            <w:shd w:val="clear" w:color="auto" w:fill="BDD6EE" w:themeFill="accent1" w:themeFillTint="66"/>
            <w:vAlign w:val="center"/>
          </w:tcPr>
          <w:p w14:paraId="1E490753" w14:textId="77777777" w:rsidR="00563FA4" w:rsidRPr="00EA1BB2" w:rsidRDefault="00563FA4" w:rsidP="000D76D9">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Nr. Crt.</w:t>
            </w:r>
          </w:p>
        </w:tc>
        <w:tc>
          <w:tcPr>
            <w:tcW w:w="2505" w:type="dxa"/>
            <w:vMerge w:val="restart"/>
            <w:shd w:val="clear" w:color="auto" w:fill="BDD6EE" w:themeFill="accent1" w:themeFillTint="66"/>
            <w:vAlign w:val="center"/>
          </w:tcPr>
          <w:p w14:paraId="72AACC4C" w14:textId="77777777" w:rsidR="00563FA4" w:rsidRPr="00EA1BB2" w:rsidRDefault="00563FA4" w:rsidP="00563FA4">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Categorie drum</w:t>
            </w:r>
          </w:p>
        </w:tc>
        <w:tc>
          <w:tcPr>
            <w:tcW w:w="5946" w:type="dxa"/>
            <w:gridSpan w:val="4"/>
            <w:shd w:val="clear" w:color="auto" w:fill="BDD6EE" w:themeFill="accent1" w:themeFillTint="66"/>
            <w:vAlign w:val="center"/>
          </w:tcPr>
          <w:p w14:paraId="1D6C74F3" w14:textId="77777777" w:rsidR="00563FA4" w:rsidRPr="00EA1BB2" w:rsidRDefault="00563FA4" w:rsidP="00563FA4">
            <w:pPr>
              <w:spacing w:line="276"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Lungime</w:t>
            </w:r>
          </w:p>
          <w:p w14:paraId="64CF5322" w14:textId="77777777" w:rsidR="00563FA4" w:rsidRPr="00EA1BB2" w:rsidRDefault="00563FA4" w:rsidP="00563FA4">
            <w:pPr>
              <w:spacing w:line="276"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(km)</w:t>
            </w:r>
          </w:p>
        </w:tc>
      </w:tr>
      <w:tr w:rsidR="00563FA4" w:rsidRPr="00EA1BB2" w14:paraId="7947EF5A" w14:textId="77777777" w:rsidTr="00563FA4">
        <w:trPr>
          <w:trHeight w:val="469"/>
          <w:jc w:val="center"/>
        </w:trPr>
        <w:tc>
          <w:tcPr>
            <w:tcW w:w="609" w:type="dxa"/>
            <w:vMerge/>
            <w:shd w:val="clear" w:color="auto" w:fill="BDD6EE" w:themeFill="accent1" w:themeFillTint="66"/>
            <w:vAlign w:val="center"/>
          </w:tcPr>
          <w:p w14:paraId="43E9A10B" w14:textId="77777777" w:rsidR="00563FA4" w:rsidRPr="00EA1BB2" w:rsidRDefault="00563FA4" w:rsidP="000D76D9">
            <w:pPr>
              <w:spacing w:line="360" w:lineRule="auto"/>
              <w:jc w:val="center"/>
              <w:rPr>
                <w:rFonts w:ascii="Cambria" w:eastAsia="Times New Roman" w:hAnsi="Cambria" w:cs="Times New Roman"/>
                <w:b/>
                <w:sz w:val="24"/>
                <w:szCs w:val="24"/>
                <w:lang w:val="ro-RO"/>
              </w:rPr>
            </w:pPr>
          </w:p>
        </w:tc>
        <w:tc>
          <w:tcPr>
            <w:tcW w:w="2505" w:type="dxa"/>
            <w:vMerge/>
            <w:shd w:val="clear" w:color="auto" w:fill="BDD6EE" w:themeFill="accent1" w:themeFillTint="66"/>
            <w:vAlign w:val="center"/>
          </w:tcPr>
          <w:p w14:paraId="74D3FB69" w14:textId="77777777" w:rsidR="00563FA4" w:rsidRPr="00EA1BB2" w:rsidRDefault="00563FA4" w:rsidP="00563FA4">
            <w:pPr>
              <w:spacing w:line="360" w:lineRule="auto"/>
              <w:jc w:val="center"/>
              <w:rPr>
                <w:rFonts w:ascii="Cambria" w:eastAsia="Times New Roman" w:hAnsi="Cambria" w:cs="Times New Roman"/>
                <w:b/>
                <w:sz w:val="24"/>
                <w:szCs w:val="24"/>
                <w:lang w:val="ro-RO"/>
              </w:rPr>
            </w:pPr>
          </w:p>
        </w:tc>
        <w:tc>
          <w:tcPr>
            <w:tcW w:w="1701" w:type="dxa"/>
            <w:shd w:val="clear" w:color="auto" w:fill="BDD6EE" w:themeFill="accent1" w:themeFillTint="66"/>
            <w:vAlign w:val="center"/>
          </w:tcPr>
          <w:p w14:paraId="0360DD57" w14:textId="77777777" w:rsidR="00563FA4" w:rsidRPr="00EA1BB2" w:rsidRDefault="00563FA4" w:rsidP="00563FA4">
            <w:pPr>
              <w:spacing w:line="276"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Modernizate</w:t>
            </w:r>
          </w:p>
        </w:tc>
        <w:tc>
          <w:tcPr>
            <w:tcW w:w="2249" w:type="dxa"/>
            <w:shd w:val="clear" w:color="auto" w:fill="BDD6EE" w:themeFill="accent1" w:themeFillTint="66"/>
            <w:vAlign w:val="center"/>
          </w:tcPr>
          <w:p w14:paraId="3617FF30" w14:textId="77777777" w:rsidR="00563FA4" w:rsidRPr="00EA1BB2" w:rsidRDefault="00563FA4" w:rsidP="00563FA4">
            <w:pPr>
              <w:spacing w:line="276"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Cu îmbrăcăminte ușoare rutiere</w:t>
            </w:r>
          </w:p>
        </w:tc>
        <w:tc>
          <w:tcPr>
            <w:tcW w:w="1199" w:type="dxa"/>
            <w:shd w:val="clear" w:color="auto" w:fill="BDD6EE" w:themeFill="accent1" w:themeFillTint="66"/>
            <w:vAlign w:val="center"/>
          </w:tcPr>
          <w:p w14:paraId="51A5B133" w14:textId="77777777" w:rsidR="00563FA4" w:rsidRPr="00EA1BB2" w:rsidRDefault="00563FA4" w:rsidP="00563FA4">
            <w:pPr>
              <w:spacing w:line="276"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Pietruite</w:t>
            </w:r>
          </w:p>
        </w:tc>
        <w:tc>
          <w:tcPr>
            <w:tcW w:w="797" w:type="dxa"/>
            <w:shd w:val="clear" w:color="auto" w:fill="BDD6EE" w:themeFill="accent1" w:themeFillTint="66"/>
            <w:vAlign w:val="center"/>
          </w:tcPr>
          <w:p w14:paraId="5C8BC66B" w14:textId="77777777" w:rsidR="00563FA4" w:rsidRPr="00EA1BB2" w:rsidRDefault="00563FA4" w:rsidP="00563FA4">
            <w:pPr>
              <w:spacing w:line="276"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Total</w:t>
            </w:r>
          </w:p>
        </w:tc>
      </w:tr>
      <w:tr w:rsidR="00563FA4" w:rsidRPr="00EA1BB2" w14:paraId="2BADFECB" w14:textId="77777777" w:rsidTr="00563FA4">
        <w:trPr>
          <w:jc w:val="center"/>
        </w:trPr>
        <w:tc>
          <w:tcPr>
            <w:tcW w:w="609" w:type="dxa"/>
            <w:vAlign w:val="center"/>
          </w:tcPr>
          <w:p w14:paraId="57B652E5" w14:textId="77777777" w:rsidR="00563FA4" w:rsidRPr="00EA1BB2" w:rsidRDefault="00563FA4" w:rsidP="000D76D9">
            <w:pPr>
              <w:spacing w:line="360" w:lineRule="auto"/>
              <w:jc w:val="center"/>
              <w:rPr>
                <w:rFonts w:ascii="Cambria" w:eastAsia="Times New Roman" w:hAnsi="Cambria" w:cs="Times New Roman"/>
                <w:sz w:val="24"/>
                <w:szCs w:val="24"/>
                <w:lang w:val="ro-RO"/>
              </w:rPr>
            </w:pPr>
            <w:r w:rsidRPr="00EA1BB2">
              <w:rPr>
                <w:rFonts w:ascii="Cambria" w:hAnsi="Cambria"/>
                <w:sz w:val="24"/>
                <w:szCs w:val="24"/>
                <w:lang w:val="ro-RO"/>
              </w:rPr>
              <w:t>1</w:t>
            </w:r>
          </w:p>
        </w:tc>
        <w:tc>
          <w:tcPr>
            <w:tcW w:w="2505" w:type="dxa"/>
            <w:vAlign w:val="center"/>
          </w:tcPr>
          <w:p w14:paraId="0896F722" w14:textId="77777777" w:rsidR="00563FA4" w:rsidRPr="00EA1BB2" w:rsidRDefault="00563FA4" w:rsidP="00563FA4">
            <w:pPr>
              <w:spacing w:line="360" w:lineRule="auto"/>
              <w:rPr>
                <w:rFonts w:ascii="Cambria" w:eastAsia="Times New Roman" w:hAnsi="Cambria" w:cs="Times New Roman"/>
                <w:sz w:val="24"/>
                <w:szCs w:val="24"/>
                <w:lang w:val="ro-RO"/>
              </w:rPr>
            </w:pPr>
            <w:r w:rsidRPr="00EA1BB2">
              <w:rPr>
                <w:rFonts w:ascii="Cambria" w:hAnsi="Cambria"/>
                <w:sz w:val="24"/>
                <w:szCs w:val="24"/>
                <w:lang w:val="ro-RO"/>
              </w:rPr>
              <w:t>Drumuri naționale</w:t>
            </w:r>
          </w:p>
        </w:tc>
        <w:tc>
          <w:tcPr>
            <w:tcW w:w="1701" w:type="dxa"/>
            <w:vAlign w:val="center"/>
          </w:tcPr>
          <w:p w14:paraId="229381F6" w14:textId="77777777" w:rsidR="00563FA4" w:rsidRPr="00EA1BB2" w:rsidRDefault="00563FA4" w:rsidP="00563FA4">
            <w:pPr>
              <w:spacing w:line="360" w:lineRule="auto"/>
              <w:jc w:val="center"/>
              <w:rPr>
                <w:rFonts w:ascii="Cambria" w:hAnsi="Cambria"/>
                <w:sz w:val="24"/>
                <w:szCs w:val="24"/>
                <w:lang w:val="ro-RO"/>
              </w:rPr>
            </w:pPr>
            <w:r w:rsidRPr="00EA1BB2">
              <w:rPr>
                <w:rFonts w:ascii="Cambria" w:hAnsi="Cambria"/>
                <w:sz w:val="24"/>
                <w:szCs w:val="24"/>
                <w:lang w:val="ro-RO"/>
              </w:rPr>
              <w:t>233</w:t>
            </w:r>
          </w:p>
        </w:tc>
        <w:tc>
          <w:tcPr>
            <w:tcW w:w="2249" w:type="dxa"/>
            <w:vAlign w:val="center"/>
          </w:tcPr>
          <w:p w14:paraId="0FED6D19" w14:textId="77777777" w:rsidR="00563FA4" w:rsidRPr="00EA1BB2" w:rsidRDefault="00563FA4" w:rsidP="00563FA4">
            <w:pPr>
              <w:spacing w:line="360" w:lineRule="auto"/>
              <w:jc w:val="center"/>
              <w:rPr>
                <w:rFonts w:ascii="Cambria" w:hAnsi="Cambria"/>
                <w:sz w:val="24"/>
                <w:szCs w:val="24"/>
                <w:lang w:val="ro-RO"/>
              </w:rPr>
            </w:pPr>
            <w:r w:rsidRPr="00EA1BB2">
              <w:rPr>
                <w:rFonts w:ascii="Cambria" w:hAnsi="Cambria"/>
                <w:sz w:val="24"/>
                <w:szCs w:val="24"/>
                <w:lang w:val="ro-RO"/>
              </w:rPr>
              <w:t>31</w:t>
            </w:r>
          </w:p>
        </w:tc>
        <w:tc>
          <w:tcPr>
            <w:tcW w:w="1199" w:type="dxa"/>
            <w:vAlign w:val="center"/>
          </w:tcPr>
          <w:p w14:paraId="227F0A70" w14:textId="77777777" w:rsidR="00563FA4" w:rsidRPr="00EA1BB2" w:rsidRDefault="00563FA4" w:rsidP="00563FA4">
            <w:pPr>
              <w:spacing w:line="360" w:lineRule="auto"/>
              <w:jc w:val="center"/>
              <w:rPr>
                <w:rFonts w:ascii="Cambria" w:hAnsi="Cambria"/>
                <w:sz w:val="24"/>
                <w:szCs w:val="24"/>
                <w:lang w:val="ro-RO"/>
              </w:rPr>
            </w:pPr>
            <w:r w:rsidRPr="00EA1BB2">
              <w:rPr>
                <w:rFonts w:ascii="Cambria" w:hAnsi="Cambria"/>
                <w:sz w:val="24"/>
                <w:szCs w:val="24"/>
                <w:lang w:val="ro-RO"/>
              </w:rPr>
              <w:t>0</w:t>
            </w:r>
          </w:p>
        </w:tc>
        <w:tc>
          <w:tcPr>
            <w:tcW w:w="797" w:type="dxa"/>
            <w:vAlign w:val="center"/>
          </w:tcPr>
          <w:p w14:paraId="7EC0208F" w14:textId="77777777" w:rsidR="00563FA4" w:rsidRPr="00EA1BB2" w:rsidRDefault="00563FA4" w:rsidP="00563FA4">
            <w:pPr>
              <w:spacing w:line="360" w:lineRule="auto"/>
              <w:jc w:val="center"/>
              <w:rPr>
                <w:rFonts w:ascii="Cambria" w:eastAsia="Times New Roman" w:hAnsi="Cambria" w:cs="Times New Roman"/>
                <w:sz w:val="24"/>
                <w:szCs w:val="24"/>
                <w:lang w:val="ro-RO"/>
              </w:rPr>
            </w:pPr>
            <w:r w:rsidRPr="00EA1BB2">
              <w:rPr>
                <w:rFonts w:ascii="Cambria" w:hAnsi="Cambria"/>
                <w:sz w:val="24"/>
                <w:szCs w:val="24"/>
                <w:lang w:val="ro-RO"/>
              </w:rPr>
              <w:t>264</w:t>
            </w:r>
          </w:p>
        </w:tc>
      </w:tr>
      <w:tr w:rsidR="00563FA4" w:rsidRPr="00EA1BB2" w14:paraId="52B166AD" w14:textId="77777777" w:rsidTr="00563FA4">
        <w:trPr>
          <w:jc w:val="center"/>
        </w:trPr>
        <w:tc>
          <w:tcPr>
            <w:tcW w:w="609" w:type="dxa"/>
            <w:vAlign w:val="center"/>
          </w:tcPr>
          <w:p w14:paraId="4D147A80" w14:textId="77777777" w:rsidR="00563FA4" w:rsidRPr="00EA1BB2" w:rsidRDefault="00563FA4" w:rsidP="000D76D9">
            <w:pPr>
              <w:spacing w:line="360" w:lineRule="auto"/>
              <w:jc w:val="center"/>
              <w:rPr>
                <w:rFonts w:ascii="Cambria" w:eastAsia="Times New Roman" w:hAnsi="Cambria" w:cs="Times New Roman"/>
                <w:sz w:val="24"/>
                <w:szCs w:val="24"/>
                <w:lang w:val="ro-RO"/>
              </w:rPr>
            </w:pPr>
            <w:r w:rsidRPr="00EA1BB2">
              <w:rPr>
                <w:rFonts w:ascii="Cambria" w:hAnsi="Cambria"/>
                <w:sz w:val="24"/>
                <w:szCs w:val="24"/>
                <w:lang w:val="ro-RO"/>
              </w:rPr>
              <w:t>2</w:t>
            </w:r>
          </w:p>
        </w:tc>
        <w:tc>
          <w:tcPr>
            <w:tcW w:w="2505" w:type="dxa"/>
            <w:vAlign w:val="center"/>
          </w:tcPr>
          <w:p w14:paraId="25AC68A7" w14:textId="77777777" w:rsidR="00563FA4" w:rsidRPr="00EA1BB2" w:rsidRDefault="00563FA4" w:rsidP="00563FA4">
            <w:pPr>
              <w:spacing w:line="360" w:lineRule="auto"/>
              <w:rPr>
                <w:rFonts w:ascii="Cambria" w:eastAsia="Times New Roman" w:hAnsi="Cambria" w:cs="Times New Roman"/>
                <w:sz w:val="24"/>
                <w:szCs w:val="24"/>
                <w:lang w:val="ro-RO"/>
              </w:rPr>
            </w:pPr>
            <w:r w:rsidRPr="00EA1BB2">
              <w:rPr>
                <w:rFonts w:ascii="Cambria" w:hAnsi="Cambria"/>
                <w:sz w:val="24"/>
                <w:szCs w:val="24"/>
                <w:lang w:val="ro-RO"/>
              </w:rPr>
              <w:t>Drumuri județene și comunale</w:t>
            </w:r>
          </w:p>
        </w:tc>
        <w:tc>
          <w:tcPr>
            <w:tcW w:w="1701" w:type="dxa"/>
            <w:vAlign w:val="center"/>
          </w:tcPr>
          <w:p w14:paraId="62379493" w14:textId="77777777" w:rsidR="00563FA4" w:rsidRPr="00EA1BB2" w:rsidRDefault="00563FA4" w:rsidP="00563FA4">
            <w:pPr>
              <w:spacing w:line="360" w:lineRule="auto"/>
              <w:jc w:val="center"/>
              <w:rPr>
                <w:rFonts w:ascii="Cambria" w:hAnsi="Cambria"/>
                <w:sz w:val="24"/>
                <w:szCs w:val="24"/>
                <w:lang w:val="ro-RO"/>
              </w:rPr>
            </w:pPr>
            <w:r w:rsidRPr="00EA1BB2">
              <w:rPr>
                <w:rFonts w:ascii="Cambria" w:hAnsi="Cambria"/>
                <w:sz w:val="24"/>
                <w:szCs w:val="24"/>
                <w:lang w:val="ro-RO"/>
              </w:rPr>
              <w:t>496</w:t>
            </w:r>
          </w:p>
        </w:tc>
        <w:tc>
          <w:tcPr>
            <w:tcW w:w="2249" w:type="dxa"/>
            <w:vAlign w:val="center"/>
          </w:tcPr>
          <w:p w14:paraId="094BB74E" w14:textId="77777777" w:rsidR="00563FA4" w:rsidRPr="00EA1BB2" w:rsidRDefault="00563FA4" w:rsidP="00563FA4">
            <w:pPr>
              <w:spacing w:line="360" w:lineRule="auto"/>
              <w:jc w:val="center"/>
              <w:rPr>
                <w:rFonts w:ascii="Cambria" w:hAnsi="Cambria"/>
                <w:sz w:val="24"/>
                <w:szCs w:val="24"/>
                <w:lang w:val="ro-RO"/>
              </w:rPr>
            </w:pPr>
            <w:r w:rsidRPr="00EA1BB2">
              <w:rPr>
                <w:rFonts w:ascii="Cambria" w:hAnsi="Cambria"/>
                <w:sz w:val="24"/>
                <w:szCs w:val="24"/>
                <w:lang w:val="ro-RO"/>
              </w:rPr>
              <w:t>174</w:t>
            </w:r>
          </w:p>
        </w:tc>
        <w:tc>
          <w:tcPr>
            <w:tcW w:w="1199" w:type="dxa"/>
            <w:vAlign w:val="center"/>
          </w:tcPr>
          <w:p w14:paraId="38C3CE07" w14:textId="77777777" w:rsidR="00563FA4" w:rsidRPr="00EA1BB2" w:rsidRDefault="00563FA4" w:rsidP="00563FA4">
            <w:pPr>
              <w:spacing w:line="360" w:lineRule="auto"/>
              <w:jc w:val="center"/>
              <w:rPr>
                <w:rFonts w:ascii="Cambria" w:hAnsi="Cambria"/>
                <w:sz w:val="24"/>
                <w:szCs w:val="24"/>
                <w:lang w:val="ro-RO"/>
              </w:rPr>
            </w:pPr>
            <w:r w:rsidRPr="00EA1BB2">
              <w:rPr>
                <w:rFonts w:ascii="Cambria" w:hAnsi="Cambria"/>
                <w:sz w:val="24"/>
                <w:szCs w:val="24"/>
                <w:lang w:val="ro-RO"/>
              </w:rPr>
              <w:t>254</w:t>
            </w:r>
          </w:p>
        </w:tc>
        <w:tc>
          <w:tcPr>
            <w:tcW w:w="797" w:type="dxa"/>
            <w:vAlign w:val="center"/>
          </w:tcPr>
          <w:p w14:paraId="4AC3C034" w14:textId="77777777" w:rsidR="00563FA4" w:rsidRPr="00EA1BB2" w:rsidRDefault="00563FA4" w:rsidP="00563FA4">
            <w:pPr>
              <w:spacing w:line="360" w:lineRule="auto"/>
              <w:jc w:val="center"/>
              <w:rPr>
                <w:rFonts w:ascii="Cambria" w:eastAsia="Times New Roman" w:hAnsi="Cambria" w:cs="Times New Roman"/>
                <w:sz w:val="24"/>
                <w:szCs w:val="24"/>
                <w:lang w:val="ro-RO"/>
              </w:rPr>
            </w:pPr>
            <w:r w:rsidRPr="00EA1BB2">
              <w:rPr>
                <w:rFonts w:ascii="Cambria" w:hAnsi="Cambria"/>
                <w:sz w:val="24"/>
                <w:szCs w:val="24"/>
                <w:lang w:val="ro-RO"/>
              </w:rPr>
              <w:t>924</w:t>
            </w:r>
          </w:p>
        </w:tc>
      </w:tr>
      <w:tr w:rsidR="00563FA4" w:rsidRPr="00EA1BB2" w14:paraId="574B8D1D" w14:textId="77777777" w:rsidTr="00563FA4">
        <w:trPr>
          <w:jc w:val="center"/>
        </w:trPr>
        <w:tc>
          <w:tcPr>
            <w:tcW w:w="609" w:type="dxa"/>
            <w:vAlign w:val="center"/>
          </w:tcPr>
          <w:p w14:paraId="7ABCE83D" w14:textId="77777777" w:rsidR="00563FA4" w:rsidRPr="00EA1BB2" w:rsidRDefault="00563FA4" w:rsidP="000D76D9">
            <w:pPr>
              <w:spacing w:line="360" w:lineRule="auto"/>
              <w:jc w:val="center"/>
              <w:rPr>
                <w:rFonts w:ascii="Cambria" w:eastAsia="Times New Roman" w:hAnsi="Cambria" w:cs="Times New Roman"/>
                <w:sz w:val="24"/>
                <w:szCs w:val="24"/>
                <w:lang w:val="ro-RO"/>
              </w:rPr>
            </w:pPr>
            <w:r w:rsidRPr="00EA1BB2">
              <w:rPr>
                <w:rFonts w:ascii="Cambria" w:hAnsi="Cambria"/>
                <w:sz w:val="24"/>
                <w:szCs w:val="24"/>
                <w:lang w:val="ro-RO"/>
              </w:rPr>
              <w:t>3</w:t>
            </w:r>
          </w:p>
        </w:tc>
        <w:tc>
          <w:tcPr>
            <w:tcW w:w="2505" w:type="dxa"/>
            <w:vAlign w:val="center"/>
          </w:tcPr>
          <w:p w14:paraId="3C2673DB" w14:textId="77777777" w:rsidR="00563FA4" w:rsidRPr="00EA1BB2" w:rsidRDefault="00563FA4" w:rsidP="00563FA4">
            <w:pPr>
              <w:spacing w:line="360" w:lineRule="auto"/>
              <w:rPr>
                <w:rFonts w:ascii="Cambria" w:hAnsi="Cambria"/>
                <w:sz w:val="24"/>
                <w:szCs w:val="24"/>
                <w:lang w:val="ro-RO"/>
              </w:rPr>
            </w:pPr>
            <w:r w:rsidRPr="00EA1BB2">
              <w:rPr>
                <w:rFonts w:ascii="Cambria" w:hAnsi="Cambria"/>
                <w:sz w:val="24"/>
                <w:szCs w:val="24"/>
                <w:lang w:val="ro-RO"/>
              </w:rPr>
              <w:t>Drumuri publice - total</w:t>
            </w:r>
          </w:p>
        </w:tc>
        <w:tc>
          <w:tcPr>
            <w:tcW w:w="1701" w:type="dxa"/>
            <w:vAlign w:val="center"/>
          </w:tcPr>
          <w:p w14:paraId="2A37709A" w14:textId="77777777" w:rsidR="00563FA4" w:rsidRPr="00EA1BB2" w:rsidRDefault="00563FA4" w:rsidP="00563FA4">
            <w:pPr>
              <w:spacing w:line="360" w:lineRule="auto"/>
              <w:jc w:val="center"/>
              <w:rPr>
                <w:rFonts w:ascii="Cambria" w:hAnsi="Cambria"/>
                <w:sz w:val="24"/>
                <w:szCs w:val="24"/>
                <w:lang w:val="ro-RO"/>
              </w:rPr>
            </w:pPr>
            <w:r w:rsidRPr="00EA1BB2">
              <w:rPr>
                <w:rFonts w:ascii="Cambria" w:hAnsi="Cambria"/>
                <w:sz w:val="24"/>
                <w:szCs w:val="24"/>
                <w:lang w:val="ro-RO"/>
              </w:rPr>
              <w:t>729</w:t>
            </w:r>
          </w:p>
        </w:tc>
        <w:tc>
          <w:tcPr>
            <w:tcW w:w="2249" w:type="dxa"/>
            <w:vAlign w:val="center"/>
          </w:tcPr>
          <w:p w14:paraId="2BE787D5" w14:textId="77777777" w:rsidR="00563FA4" w:rsidRPr="00EA1BB2" w:rsidRDefault="00563FA4" w:rsidP="00563FA4">
            <w:pPr>
              <w:spacing w:line="360" w:lineRule="auto"/>
              <w:jc w:val="center"/>
              <w:rPr>
                <w:rFonts w:ascii="Cambria" w:hAnsi="Cambria"/>
                <w:sz w:val="24"/>
                <w:szCs w:val="24"/>
                <w:lang w:val="ro-RO"/>
              </w:rPr>
            </w:pPr>
            <w:r w:rsidRPr="00EA1BB2">
              <w:rPr>
                <w:rFonts w:ascii="Cambria" w:hAnsi="Cambria"/>
                <w:sz w:val="24"/>
                <w:szCs w:val="24"/>
                <w:lang w:val="ro-RO"/>
              </w:rPr>
              <w:t>205</w:t>
            </w:r>
          </w:p>
        </w:tc>
        <w:tc>
          <w:tcPr>
            <w:tcW w:w="1199" w:type="dxa"/>
            <w:vAlign w:val="center"/>
          </w:tcPr>
          <w:p w14:paraId="6C52BF95" w14:textId="77777777" w:rsidR="00563FA4" w:rsidRPr="00EA1BB2" w:rsidRDefault="00563FA4" w:rsidP="00563FA4">
            <w:pPr>
              <w:spacing w:line="360" w:lineRule="auto"/>
              <w:jc w:val="center"/>
              <w:rPr>
                <w:rFonts w:ascii="Cambria" w:hAnsi="Cambria"/>
                <w:sz w:val="24"/>
                <w:szCs w:val="24"/>
                <w:lang w:val="ro-RO"/>
              </w:rPr>
            </w:pPr>
            <w:r w:rsidRPr="00EA1BB2">
              <w:rPr>
                <w:rFonts w:ascii="Cambria" w:hAnsi="Cambria"/>
                <w:sz w:val="24"/>
                <w:szCs w:val="24"/>
                <w:lang w:val="ro-RO"/>
              </w:rPr>
              <w:t>254</w:t>
            </w:r>
          </w:p>
        </w:tc>
        <w:tc>
          <w:tcPr>
            <w:tcW w:w="797" w:type="dxa"/>
            <w:vAlign w:val="center"/>
          </w:tcPr>
          <w:p w14:paraId="3D8CA2BA" w14:textId="77777777" w:rsidR="00563FA4" w:rsidRPr="00EA1BB2" w:rsidRDefault="00563FA4" w:rsidP="00563FA4">
            <w:pPr>
              <w:spacing w:line="360" w:lineRule="auto"/>
              <w:jc w:val="center"/>
              <w:rPr>
                <w:rFonts w:ascii="Cambria" w:hAnsi="Cambria"/>
                <w:sz w:val="24"/>
                <w:szCs w:val="24"/>
                <w:lang w:val="ro-RO"/>
              </w:rPr>
            </w:pPr>
            <w:r w:rsidRPr="00EA1BB2">
              <w:rPr>
                <w:rFonts w:ascii="Cambria" w:hAnsi="Cambria"/>
                <w:sz w:val="24"/>
                <w:szCs w:val="24"/>
                <w:lang w:val="ro-RO"/>
              </w:rPr>
              <w:t>1188</w:t>
            </w:r>
          </w:p>
        </w:tc>
      </w:tr>
    </w:tbl>
    <w:p w14:paraId="08717FAF" w14:textId="77777777" w:rsidR="000D76D9" w:rsidRPr="00EA1BB2" w:rsidRDefault="000D76D9" w:rsidP="000D76D9">
      <w:pPr>
        <w:jc w:val="both"/>
        <w:rPr>
          <w:rFonts w:ascii="Cambria" w:eastAsia="Times New Roman" w:hAnsi="Cambria" w:cs="Times New Roman"/>
          <w:szCs w:val="24"/>
        </w:rPr>
      </w:pPr>
      <w:r w:rsidRPr="00EA1BB2">
        <w:rPr>
          <w:rFonts w:ascii="Cambria" w:eastAsia="Times New Roman" w:hAnsi="Cambria" w:cs="Times New Roman"/>
          <w:szCs w:val="24"/>
        </w:rPr>
        <w:t xml:space="preserve">Sursa date: </w:t>
      </w:r>
      <w:hyperlink r:id="rId54" w:history="1">
        <w:r w:rsidR="00563FA4" w:rsidRPr="00EA1BB2">
          <w:rPr>
            <w:rStyle w:val="Hyperlink"/>
            <w:rFonts w:ascii="Cambria" w:eastAsia="Times New Roman" w:hAnsi="Cambria" w:cs="Times New Roman"/>
            <w:szCs w:val="24"/>
          </w:rPr>
          <w:t>http://statistici.insse.ro/shop/</w:t>
        </w:r>
      </w:hyperlink>
    </w:p>
    <w:p w14:paraId="053C1081" w14:textId="77777777" w:rsidR="00ED596B" w:rsidRPr="00EA1BB2" w:rsidRDefault="00ED596B" w:rsidP="00ED596B">
      <w:pPr>
        <w:spacing w:line="360" w:lineRule="auto"/>
        <w:jc w:val="both"/>
        <w:rPr>
          <w:rFonts w:ascii="Cambria" w:eastAsia="Times New Roman" w:hAnsi="Cambria" w:cs="Times New Roman"/>
          <w:sz w:val="24"/>
          <w:szCs w:val="24"/>
        </w:rPr>
      </w:pPr>
    </w:p>
    <w:p w14:paraId="6C51D39E" w14:textId="77777777" w:rsidR="00ED596B" w:rsidRPr="00EA1BB2" w:rsidRDefault="00ED596B" w:rsidP="00ED596B">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lastRenderedPageBreak/>
        <w:t>Ponderea drumurilor na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ionale din jude</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ul Brăila care sunt modernizate se ridică la 88,3% (233 km dintr-un total de 264 km), iar restul de 11,7% (31 km) sunt drumuri na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ionale cu îmbrăcăminte u</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oare rutiere.</w:t>
      </w:r>
    </w:p>
    <w:p w14:paraId="1A303B6D" w14:textId="77777777" w:rsidR="00ED596B" w:rsidRPr="00EA1BB2" w:rsidRDefault="00ED596B" w:rsidP="00ED596B">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Drumurile jude</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ene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comunale existente în anul 201</w:t>
      </w:r>
      <w:r w:rsidR="00563FA4" w:rsidRPr="00EA1BB2">
        <w:rPr>
          <w:rFonts w:ascii="Cambria" w:eastAsia="Times New Roman" w:hAnsi="Cambria" w:cs="Times New Roman"/>
          <w:sz w:val="24"/>
          <w:szCs w:val="24"/>
        </w:rPr>
        <w:t>7</w:t>
      </w:r>
      <w:r w:rsidRPr="00EA1BB2">
        <w:rPr>
          <w:rFonts w:ascii="Cambria" w:eastAsia="Times New Roman" w:hAnsi="Cambria" w:cs="Times New Roman"/>
          <w:sz w:val="24"/>
          <w:szCs w:val="24"/>
        </w:rPr>
        <w:t xml:space="preserve"> în jude</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ul Brăila însumau 924 km, adică 10,6% din totalul înregistrat la nivel regional. Dintre acestea, modernizate erau </w:t>
      </w:r>
      <w:r w:rsidR="00563FA4" w:rsidRPr="00EA1BB2">
        <w:rPr>
          <w:rFonts w:ascii="Cambria" w:eastAsia="Times New Roman" w:hAnsi="Cambria" w:cs="Times New Roman"/>
          <w:sz w:val="24"/>
          <w:szCs w:val="24"/>
        </w:rPr>
        <w:t>53,7</w:t>
      </w:r>
      <w:r w:rsidRPr="00EA1BB2">
        <w:rPr>
          <w:rFonts w:ascii="Cambria" w:eastAsia="Times New Roman" w:hAnsi="Cambria" w:cs="Times New Roman"/>
          <w:sz w:val="24"/>
          <w:szCs w:val="24"/>
        </w:rPr>
        <w:t>% (4</w:t>
      </w:r>
      <w:r w:rsidR="00563FA4" w:rsidRPr="00EA1BB2">
        <w:rPr>
          <w:rFonts w:ascii="Cambria" w:eastAsia="Times New Roman" w:hAnsi="Cambria" w:cs="Times New Roman"/>
          <w:sz w:val="24"/>
          <w:szCs w:val="24"/>
        </w:rPr>
        <w:t>96</w:t>
      </w:r>
      <w:r w:rsidRPr="00EA1BB2">
        <w:rPr>
          <w:rFonts w:ascii="Cambria" w:eastAsia="Times New Roman" w:hAnsi="Cambria" w:cs="Times New Roman"/>
          <w:sz w:val="24"/>
          <w:szCs w:val="24"/>
        </w:rPr>
        <w:t xml:space="preserve"> km), cu îmbrăcăminte u</w:t>
      </w:r>
      <w:r w:rsidR="00054880" w:rsidRPr="00EA1BB2">
        <w:rPr>
          <w:rFonts w:ascii="Cambria" w:eastAsia="Times New Roman" w:hAnsi="Cambria" w:cs="Times New Roman"/>
          <w:sz w:val="24"/>
          <w:szCs w:val="24"/>
        </w:rPr>
        <w:t>ș</w:t>
      </w:r>
      <w:r w:rsidR="00927709" w:rsidRPr="00EA1BB2">
        <w:rPr>
          <w:rFonts w:ascii="Cambria" w:eastAsia="Times New Roman" w:hAnsi="Cambria" w:cs="Times New Roman"/>
          <w:sz w:val="24"/>
          <w:szCs w:val="24"/>
        </w:rPr>
        <w:t xml:space="preserve">oare rutiere </w:t>
      </w:r>
      <w:r w:rsidR="00563FA4" w:rsidRPr="00EA1BB2">
        <w:rPr>
          <w:rFonts w:ascii="Cambria" w:eastAsia="Times New Roman" w:hAnsi="Cambria" w:cs="Times New Roman"/>
          <w:sz w:val="24"/>
          <w:szCs w:val="24"/>
        </w:rPr>
        <w:t>18,8</w:t>
      </w:r>
      <w:r w:rsidRPr="00EA1BB2">
        <w:rPr>
          <w:rFonts w:ascii="Cambria" w:eastAsia="Times New Roman" w:hAnsi="Cambria" w:cs="Times New Roman"/>
          <w:sz w:val="24"/>
          <w:szCs w:val="24"/>
        </w:rPr>
        <w:t>% (1</w:t>
      </w:r>
      <w:r w:rsidR="00563FA4" w:rsidRPr="00EA1BB2">
        <w:rPr>
          <w:rFonts w:ascii="Cambria" w:eastAsia="Times New Roman" w:hAnsi="Cambria" w:cs="Times New Roman"/>
          <w:sz w:val="24"/>
          <w:szCs w:val="24"/>
        </w:rPr>
        <w:t>7</w:t>
      </w:r>
      <w:r w:rsidR="00927709" w:rsidRPr="00EA1BB2">
        <w:rPr>
          <w:rFonts w:ascii="Cambria" w:eastAsia="Times New Roman" w:hAnsi="Cambria" w:cs="Times New Roman"/>
          <w:sz w:val="24"/>
          <w:szCs w:val="24"/>
        </w:rPr>
        <w:t xml:space="preserve">4 km), iar </w:t>
      </w:r>
      <w:r w:rsidR="00563FA4" w:rsidRPr="00EA1BB2">
        <w:rPr>
          <w:rFonts w:ascii="Cambria" w:eastAsia="Times New Roman" w:hAnsi="Cambria" w:cs="Times New Roman"/>
          <w:sz w:val="24"/>
          <w:szCs w:val="24"/>
        </w:rPr>
        <w:t>27,5</w:t>
      </w:r>
      <w:r w:rsidRPr="00EA1BB2">
        <w:rPr>
          <w:rFonts w:ascii="Cambria" w:eastAsia="Times New Roman" w:hAnsi="Cambria" w:cs="Times New Roman"/>
          <w:sz w:val="24"/>
          <w:szCs w:val="24"/>
        </w:rPr>
        <w:t>% erau drumuri de pământ (</w:t>
      </w:r>
      <w:r w:rsidR="00563FA4" w:rsidRPr="00EA1BB2">
        <w:rPr>
          <w:rFonts w:ascii="Cambria" w:eastAsia="Times New Roman" w:hAnsi="Cambria" w:cs="Times New Roman"/>
          <w:sz w:val="24"/>
          <w:szCs w:val="24"/>
        </w:rPr>
        <w:t>254</w:t>
      </w:r>
      <w:r w:rsidRPr="00EA1BB2">
        <w:rPr>
          <w:rFonts w:ascii="Cambria" w:eastAsia="Times New Roman" w:hAnsi="Cambria" w:cs="Times New Roman"/>
          <w:sz w:val="24"/>
          <w:szCs w:val="24"/>
        </w:rPr>
        <w:t xml:space="preserve"> km).</w:t>
      </w:r>
    </w:p>
    <w:p w14:paraId="47649525" w14:textId="77777777" w:rsidR="00C75800" w:rsidRPr="00EA1BB2" w:rsidRDefault="00C75800" w:rsidP="00C75800">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Intensitatea traficului rutier pe drumurile naționale și cele județene din județul Brăila sunt prezentate în figura de mai jos.</w:t>
      </w:r>
    </w:p>
    <w:p w14:paraId="78BA9065" w14:textId="77777777" w:rsidR="00C75800" w:rsidRPr="00EA1BB2" w:rsidRDefault="00C75800" w:rsidP="00C75800">
      <w:pPr>
        <w:spacing w:line="360" w:lineRule="auto"/>
        <w:ind w:firstLine="709"/>
        <w:jc w:val="both"/>
        <w:rPr>
          <w:rFonts w:ascii="Cambria" w:hAnsi="Cambria" w:cs="Times New Roman"/>
          <w:sz w:val="24"/>
          <w:szCs w:val="24"/>
        </w:rPr>
      </w:pPr>
    </w:p>
    <w:p w14:paraId="2842585F" w14:textId="653181B4" w:rsidR="00C75800" w:rsidRPr="00EA1BB2" w:rsidRDefault="00C75800" w:rsidP="00C75800">
      <w:pPr>
        <w:pStyle w:val="Caption"/>
        <w:keepNext/>
        <w:spacing w:after="0" w:line="360" w:lineRule="auto"/>
        <w:ind w:firstLine="708"/>
        <w:rPr>
          <w:rFonts w:ascii="Cambria" w:hAnsi="Cambria"/>
        </w:rPr>
      </w:pPr>
      <w:bookmarkStart w:id="84" w:name="_Toc524966213"/>
      <w:r w:rsidRPr="00EA1BB2">
        <w:rPr>
          <w:rFonts w:ascii="Cambria" w:hAnsi="Cambria"/>
        </w:rPr>
        <w:t xml:space="preserve">Figura nr. </w:t>
      </w:r>
      <w:r w:rsidR="00280BC9" w:rsidRPr="00EA1BB2">
        <w:rPr>
          <w:rFonts w:ascii="Cambria" w:hAnsi="Cambria"/>
        </w:rPr>
        <w:fldChar w:fldCharType="begin"/>
      </w:r>
      <w:r w:rsidR="00BA6FA3" w:rsidRPr="00EA1BB2">
        <w:rPr>
          <w:rFonts w:ascii="Cambria" w:hAnsi="Cambria"/>
        </w:rPr>
        <w:instrText xml:space="preserve"> STYLEREF 1 \s </w:instrText>
      </w:r>
      <w:r w:rsidR="00280BC9" w:rsidRPr="00EA1BB2">
        <w:rPr>
          <w:rFonts w:ascii="Cambria" w:hAnsi="Cambria"/>
        </w:rPr>
        <w:fldChar w:fldCharType="separate"/>
      </w:r>
      <w:r w:rsidR="00567555">
        <w:rPr>
          <w:rFonts w:ascii="Cambria" w:hAnsi="Cambria"/>
          <w:noProof/>
        </w:rPr>
        <w:t>3</w:t>
      </w:r>
      <w:r w:rsidR="00280BC9" w:rsidRPr="00EA1BB2">
        <w:rPr>
          <w:rFonts w:ascii="Cambria" w:hAnsi="Cambria"/>
        </w:rPr>
        <w:fldChar w:fldCharType="end"/>
      </w:r>
      <w:r w:rsidR="00BA6FA3" w:rsidRPr="00EA1BB2">
        <w:rPr>
          <w:rFonts w:ascii="Cambria" w:hAnsi="Cambria"/>
        </w:rPr>
        <w:noBreakHyphen/>
      </w:r>
      <w:r w:rsidR="00280BC9" w:rsidRPr="00EA1BB2">
        <w:rPr>
          <w:rFonts w:ascii="Cambria" w:hAnsi="Cambria"/>
        </w:rPr>
        <w:fldChar w:fldCharType="begin"/>
      </w:r>
      <w:r w:rsidR="00BA6FA3" w:rsidRPr="00EA1BB2">
        <w:rPr>
          <w:rFonts w:ascii="Cambria" w:hAnsi="Cambria"/>
        </w:rPr>
        <w:instrText xml:space="preserve"> SEQ Figura_nr. \* ARABIC \s 1 </w:instrText>
      </w:r>
      <w:r w:rsidR="00280BC9" w:rsidRPr="00EA1BB2">
        <w:rPr>
          <w:rFonts w:ascii="Cambria" w:hAnsi="Cambria"/>
        </w:rPr>
        <w:fldChar w:fldCharType="separate"/>
      </w:r>
      <w:r w:rsidR="00567555">
        <w:rPr>
          <w:rFonts w:ascii="Cambria" w:hAnsi="Cambria"/>
          <w:noProof/>
        </w:rPr>
        <w:t>2</w:t>
      </w:r>
      <w:r w:rsidR="00280BC9" w:rsidRPr="00EA1BB2">
        <w:rPr>
          <w:rFonts w:ascii="Cambria" w:hAnsi="Cambria"/>
        </w:rPr>
        <w:fldChar w:fldCharType="end"/>
      </w:r>
      <w:r w:rsidRPr="00EA1BB2">
        <w:rPr>
          <w:rFonts w:ascii="Cambria" w:hAnsi="Cambria"/>
        </w:rPr>
        <w:t xml:space="preserve"> – Fluxuri de circulație vehicule totale/zi în județul Brăila</w:t>
      </w:r>
      <w:bookmarkEnd w:id="84"/>
    </w:p>
    <w:p w14:paraId="1444FAB9" w14:textId="77777777" w:rsidR="00C75800" w:rsidRPr="00EA1BB2" w:rsidRDefault="00C75800" w:rsidP="00C75800">
      <w:pPr>
        <w:spacing w:line="276" w:lineRule="auto"/>
        <w:rPr>
          <w:rFonts w:ascii="Cambria" w:hAnsi="Cambria" w:cs="Times New Roman"/>
          <w:sz w:val="24"/>
          <w:szCs w:val="24"/>
        </w:rPr>
      </w:pPr>
      <w:r w:rsidRPr="00EA1BB2">
        <w:rPr>
          <w:rFonts w:ascii="Cambria" w:hAnsi="Cambria" w:cs="Times New Roman"/>
          <w:noProof/>
          <w:sz w:val="24"/>
          <w:szCs w:val="24"/>
          <w:lang w:val="en-US"/>
        </w:rPr>
        <w:drawing>
          <wp:inline distT="0" distB="0" distL="0" distR="0" wp14:anchorId="57DB5117" wp14:editId="13C2D00D">
            <wp:extent cx="5571660" cy="3940667"/>
            <wp:effectExtent l="19050" t="19050" r="10160" b="222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11.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571660" cy="3940667"/>
                    </a:xfrm>
                    <a:prstGeom prst="rect">
                      <a:avLst/>
                    </a:prstGeom>
                    <a:ln>
                      <a:solidFill>
                        <a:sysClr val="window" lastClr="FFFFFF">
                          <a:lumMod val="85000"/>
                        </a:sysClr>
                      </a:solidFill>
                    </a:ln>
                  </pic:spPr>
                </pic:pic>
              </a:graphicData>
            </a:graphic>
          </wp:inline>
        </w:drawing>
      </w:r>
    </w:p>
    <w:p w14:paraId="35534640" w14:textId="77777777" w:rsidR="00C75800" w:rsidRPr="00EA1BB2" w:rsidRDefault="00C75800" w:rsidP="00AB1061">
      <w:pPr>
        <w:spacing w:line="360" w:lineRule="auto"/>
        <w:ind w:firstLine="708"/>
        <w:jc w:val="both"/>
        <w:rPr>
          <w:rFonts w:ascii="Cambria" w:hAnsi="Cambria" w:cs="Times New Roman"/>
          <w:sz w:val="24"/>
          <w:szCs w:val="24"/>
        </w:rPr>
      </w:pPr>
    </w:p>
    <w:p w14:paraId="56BAE42F" w14:textId="77777777" w:rsidR="00ED596B" w:rsidRPr="00EA1BB2" w:rsidRDefault="00ED596B" w:rsidP="00ED596B">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În jude</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ul Brăila, numărul de autovehicule a crescut de la </w:t>
      </w:r>
      <w:r w:rsidR="0073066F" w:rsidRPr="00EA1BB2">
        <w:rPr>
          <w:rFonts w:ascii="Cambria" w:eastAsia="Times New Roman" w:hAnsi="Cambria" w:cs="Times New Roman"/>
          <w:sz w:val="24"/>
          <w:szCs w:val="24"/>
        </w:rPr>
        <w:t xml:space="preserve">70.327 </w:t>
      </w:r>
      <w:r w:rsidRPr="00EA1BB2">
        <w:rPr>
          <w:rFonts w:ascii="Cambria" w:eastAsia="Times New Roman" w:hAnsi="Cambria" w:cs="Times New Roman"/>
          <w:sz w:val="24"/>
          <w:szCs w:val="24"/>
        </w:rPr>
        <w:t>în 201</w:t>
      </w:r>
      <w:r w:rsidR="0073066F" w:rsidRPr="00EA1BB2">
        <w:rPr>
          <w:rFonts w:ascii="Cambria" w:eastAsia="Times New Roman" w:hAnsi="Cambria" w:cs="Times New Roman"/>
          <w:sz w:val="24"/>
          <w:szCs w:val="24"/>
        </w:rPr>
        <w:t>3</w:t>
      </w:r>
      <w:r w:rsidRPr="00EA1BB2">
        <w:rPr>
          <w:rFonts w:ascii="Cambria" w:eastAsia="Times New Roman" w:hAnsi="Cambria" w:cs="Times New Roman"/>
          <w:sz w:val="24"/>
          <w:szCs w:val="24"/>
        </w:rPr>
        <w:t xml:space="preserve"> la </w:t>
      </w:r>
      <w:r w:rsidR="0073066F" w:rsidRPr="00EA1BB2">
        <w:rPr>
          <w:rFonts w:ascii="Cambria" w:eastAsia="Times New Roman" w:hAnsi="Cambria" w:cs="Times New Roman"/>
          <w:sz w:val="24"/>
          <w:szCs w:val="24"/>
        </w:rPr>
        <w:t xml:space="preserve">91.375 </w:t>
      </w:r>
      <w:r w:rsidRPr="00EA1BB2">
        <w:rPr>
          <w:rFonts w:ascii="Cambria" w:eastAsia="Times New Roman" w:hAnsi="Cambria" w:cs="Times New Roman"/>
          <w:sz w:val="24"/>
          <w:szCs w:val="24"/>
        </w:rPr>
        <w:t>în 201</w:t>
      </w:r>
      <w:r w:rsidR="0073066F" w:rsidRPr="00EA1BB2">
        <w:rPr>
          <w:rFonts w:ascii="Cambria" w:eastAsia="Times New Roman" w:hAnsi="Cambria" w:cs="Times New Roman"/>
          <w:sz w:val="24"/>
          <w:szCs w:val="24"/>
        </w:rPr>
        <w:t>7</w:t>
      </w:r>
      <w:r w:rsidRPr="00EA1BB2">
        <w:rPr>
          <w:rFonts w:ascii="Cambria" w:eastAsia="Times New Roman" w:hAnsi="Cambria" w:cs="Times New Roman"/>
          <w:sz w:val="24"/>
          <w:szCs w:val="24"/>
        </w:rPr>
        <w:t>. Cre</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terea explozivă a numărului de autovehicule duce la cre</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 xml:space="preserve">terea presiunii pe infrastructura rutieră, ceea ce determină o preocupare crescută pentru politici de mobilitate care să promoveze transportul public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deplasările nemotorizate.</w:t>
      </w:r>
    </w:p>
    <w:p w14:paraId="5AD0BE3B" w14:textId="77777777" w:rsidR="00ED596B" w:rsidRPr="00EA1BB2" w:rsidRDefault="00ED596B" w:rsidP="00ED596B">
      <w:pPr>
        <w:spacing w:line="360" w:lineRule="auto"/>
        <w:ind w:firstLine="709"/>
        <w:jc w:val="both"/>
        <w:rPr>
          <w:rFonts w:ascii="Cambria" w:eastAsia="Times New Roman" w:hAnsi="Cambria" w:cs="Times New Roman"/>
          <w:sz w:val="24"/>
          <w:szCs w:val="24"/>
        </w:rPr>
      </w:pPr>
    </w:p>
    <w:p w14:paraId="151ED180" w14:textId="646F7485" w:rsidR="00ED596B" w:rsidRPr="00EA1BB2" w:rsidRDefault="00ED596B" w:rsidP="00ED596B">
      <w:pPr>
        <w:keepNext/>
        <w:spacing w:line="360" w:lineRule="auto"/>
        <w:ind w:firstLine="708"/>
        <w:jc w:val="both"/>
        <w:rPr>
          <w:rFonts w:ascii="Cambria" w:eastAsia="Calibri" w:hAnsi="Cambria" w:cs="Times New Roman"/>
          <w:b/>
          <w:sz w:val="24"/>
          <w:szCs w:val="24"/>
        </w:rPr>
      </w:pPr>
      <w:bookmarkStart w:id="85" w:name="_Toc466895954"/>
      <w:bookmarkStart w:id="86" w:name="_Toc526889771"/>
      <w:r w:rsidRPr="00EA1BB2">
        <w:rPr>
          <w:rFonts w:ascii="Cambria" w:eastAsia="Calibri" w:hAnsi="Cambria" w:cs="Times New Roman"/>
          <w:b/>
          <w:iCs/>
          <w:sz w:val="24"/>
          <w:szCs w:val="24"/>
        </w:rPr>
        <w:lastRenderedPageBreak/>
        <w:t xml:space="preserve">Tabelul nr. </w:t>
      </w:r>
      <w:r w:rsidR="000A2FE7" w:rsidRPr="00EA1BB2">
        <w:rPr>
          <w:rFonts w:ascii="Cambria" w:eastAsia="Calibri" w:hAnsi="Cambria" w:cs="Times New Roman"/>
          <w:b/>
          <w:iCs/>
          <w:sz w:val="24"/>
          <w:szCs w:val="24"/>
        </w:rPr>
        <w:fldChar w:fldCharType="begin"/>
      </w:r>
      <w:r w:rsidR="000A2FE7" w:rsidRPr="00EA1BB2">
        <w:rPr>
          <w:rFonts w:ascii="Cambria" w:eastAsia="Calibri" w:hAnsi="Cambria" w:cs="Times New Roman"/>
          <w:b/>
          <w:iCs/>
          <w:sz w:val="24"/>
          <w:szCs w:val="24"/>
        </w:rPr>
        <w:instrText xml:space="preserve"> STYLEREF 1 \s </w:instrText>
      </w:r>
      <w:r w:rsidR="000A2FE7" w:rsidRPr="00EA1BB2">
        <w:rPr>
          <w:rFonts w:ascii="Cambria" w:eastAsia="Calibri" w:hAnsi="Cambria" w:cs="Times New Roman"/>
          <w:b/>
          <w:iCs/>
          <w:sz w:val="24"/>
          <w:szCs w:val="24"/>
        </w:rPr>
        <w:fldChar w:fldCharType="separate"/>
      </w:r>
      <w:r w:rsidR="00567555">
        <w:rPr>
          <w:rFonts w:ascii="Cambria" w:eastAsia="Calibri" w:hAnsi="Cambria" w:cs="Times New Roman"/>
          <w:b/>
          <w:iCs/>
          <w:noProof/>
          <w:sz w:val="24"/>
          <w:szCs w:val="24"/>
        </w:rPr>
        <w:t>3</w:t>
      </w:r>
      <w:r w:rsidR="000A2FE7" w:rsidRPr="00EA1BB2">
        <w:rPr>
          <w:rFonts w:ascii="Cambria" w:eastAsia="Calibri" w:hAnsi="Cambria" w:cs="Times New Roman"/>
          <w:b/>
          <w:iCs/>
          <w:sz w:val="24"/>
          <w:szCs w:val="24"/>
        </w:rPr>
        <w:fldChar w:fldCharType="end"/>
      </w:r>
      <w:r w:rsidR="000A2FE7" w:rsidRPr="00EA1BB2">
        <w:rPr>
          <w:rFonts w:ascii="Cambria" w:eastAsia="Calibri" w:hAnsi="Cambria" w:cs="Times New Roman"/>
          <w:b/>
          <w:iCs/>
          <w:sz w:val="24"/>
          <w:szCs w:val="24"/>
        </w:rPr>
        <w:noBreakHyphen/>
      </w:r>
      <w:r w:rsidR="000A2FE7" w:rsidRPr="00EA1BB2">
        <w:rPr>
          <w:rFonts w:ascii="Cambria" w:eastAsia="Calibri" w:hAnsi="Cambria" w:cs="Times New Roman"/>
          <w:b/>
          <w:iCs/>
          <w:sz w:val="24"/>
          <w:szCs w:val="24"/>
        </w:rPr>
        <w:fldChar w:fldCharType="begin"/>
      </w:r>
      <w:r w:rsidR="000A2FE7" w:rsidRPr="00EA1BB2">
        <w:rPr>
          <w:rFonts w:ascii="Cambria" w:eastAsia="Calibri" w:hAnsi="Cambria" w:cs="Times New Roman"/>
          <w:b/>
          <w:iCs/>
          <w:sz w:val="24"/>
          <w:szCs w:val="24"/>
        </w:rPr>
        <w:instrText xml:space="preserve"> SEQ Tabelul_nr. \* ARABIC \s 1 </w:instrText>
      </w:r>
      <w:r w:rsidR="000A2FE7" w:rsidRPr="00EA1BB2">
        <w:rPr>
          <w:rFonts w:ascii="Cambria" w:eastAsia="Calibri" w:hAnsi="Cambria" w:cs="Times New Roman"/>
          <w:b/>
          <w:iCs/>
          <w:sz w:val="24"/>
          <w:szCs w:val="24"/>
        </w:rPr>
        <w:fldChar w:fldCharType="separate"/>
      </w:r>
      <w:r w:rsidR="00567555">
        <w:rPr>
          <w:rFonts w:ascii="Cambria" w:eastAsia="Calibri" w:hAnsi="Cambria" w:cs="Times New Roman"/>
          <w:b/>
          <w:iCs/>
          <w:noProof/>
          <w:sz w:val="24"/>
          <w:szCs w:val="24"/>
        </w:rPr>
        <w:t>2</w:t>
      </w:r>
      <w:r w:rsidR="000A2FE7" w:rsidRPr="00EA1BB2">
        <w:rPr>
          <w:rFonts w:ascii="Cambria" w:eastAsia="Calibri" w:hAnsi="Cambria" w:cs="Times New Roman"/>
          <w:b/>
          <w:iCs/>
          <w:sz w:val="24"/>
          <w:szCs w:val="24"/>
        </w:rPr>
        <w:fldChar w:fldCharType="end"/>
      </w:r>
      <w:r w:rsidRPr="00EA1BB2">
        <w:rPr>
          <w:rFonts w:ascii="Cambria" w:eastAsia="Calibri" w:hAnsi="Cambria" w:cs="Times New Roman"/>
          <w:b/>
          <w:iCs/>
          <w:sz w:val="24"/>
          <w:szCs w:val="24"/>
        </w:rPr>
        <w:t xml:space="preserve"> - </w:t>
      </w:r>
      <w:r w:rsidRPr="00EA1BB2">
        <w:rPr>
          <w:rFonts w:ascii="Cambria" w:eastAsia="Times New Roman" w:hAnsi="Cambria" w:cs="Times New Roman"/>
          <w:b/>
          <w:sz w:val="24"/>
          <w:szCs w:val="24"/>
        </w:rPr>
        <w:t>Vehicule rutiere înmatriculate în circula</w:t>
      </w:r>
      <w:r w:rsidR="00054880" w:rsidRPr="00EA1BB2">
        <w:rPr>
          <w:rFonts w:ascii="Cambria" w:eastAsia="Times New Roman" w:hAnsi="Cambria" w:cs="Times New Roman"/>
          <w:b/>
          <w:sz w:val="24"/>
          <w:szCs w:val="24"/>
        </w:rPr>
        <w:t>ț</w:t>
      </w:r>
      <w:r w:rsidRPr="00EA1BB2">
        <w:rPr>
          <w:rFonts w:ascii="Cambria" w:eastAsia="Times New Roman" w:hAnsi="Cambria" w:cs="Times New Roman"/>
          <w:b/>
          <w:sz w:val="24"/>
          <w:szCs w:val="24"/>
        </w:rPr>
        <w:t>ie</w:t>
      </w:r>
      <w:r w:rsidR="00680409" w:rsidRPr="00EA1BB2">
        <w:rPr>
          <w:rFonts w:ascii="Cambria" w:eastAsia="Times New Roman" w:hAnsi="Cambria" w:cs="Times New Roman"/>
          <w:b/>
          <w:sz w:val="24"/>
          <w:szCs w:val="24"/>
        </w:rPr>
        <w:t xml:space="preserve"> </w:t>
      </w:r>
      <w:r w:rsidRPr="00EA1BB2">
        <w:rPr>
          <w:rFonts w:ascii="Cambria" w:eastAsia="Times New Roman" w:hAnsi="Cambria" w:cs="Times New Roman"/>
          <w:b/>
          <w:sz w:val="24"/>
          <w:szCs w:val="24"/>
        </w:rPr>
        <w:t>la nivelul jude</w:t>
      </w:r>
      <w:r w:rsidR="00054880" w:rsidRPr="00EA1BB2">
        <w:rPr>
          <w:rFonts w:ascii="Cambria" w:eastAsia="Times New Roman" w:hAnsi="Cambria" w:cs="Times New Roman"/>
          <w:b/>
          <w:sz w:val="24"/>
          <w:szCs w:val="24"/>
        </w:rPr>
        <w:t>ț</w:t>
      </w:r>
      <w:r w:rsidRPr="00EA1BB2">
        <w:rPr>
          <w:rFonts w:ascii="Cambria" w:eastAsia="Times New Roman" w:hAnsi="Cambria" w:cs="Times New Roman"/>
          <w:b/>
          <w:sz w:val="24"/>
          <w:szCs w:val="24"/>
        </w:rPr>
        <w:t>ului Brăila, la sfâr</w:t>
      </w:r>
      <w:r w:rsidR="00054880" w:rsidRPr="00EA1BB2">
        <w:rPr>
          <w:rFonts w:ascii="Cambria" w:eastAsia="Times New Roman" w:hAnsi="Cambria" w:cs="Times New Roman"/>
          <w:b/>
          <w:sz w:val="24"/>
          <w:szCs w:val="24"/>
        </w:rPr>
        <w:t>ș</w:t>
      </w:r>
      <w:r w:rsidRPr="00EA1BB2">
        <w:rPr>
          <w:rFonts w:ascii="Cambria" w:eastAsia="Times New Roman" w:hAnsi="Cambria" w:cs="Times New Roman"/>
          <w:b/>
          <w:sz w:val="24"/>
          <w:szCs w:val="24"/>
        </w:rPr>
        <w:t>itul anului 201</w:t>
      </w:r>
      <w:bookmarkEnd w:id="85"/>
      <w:r w:rsidR="0073066F" w:rsidRPr="00EA1BB2">
        <w:rPr>
          <w:rFonts w:ascii="Cambria" w:eastAsia="Times New Roman" w:hAnsi="Cambria" w:cs="Times New Roman"/>
          <w:b/>
          <w:sz w:val="24"/>
          <w:szCs w:val="24"/>
        </w:rPr>
        <w:t>7 comparativ cu anul de referință 2013</w:t>
      </w:r>
      <w:bookmarkEnd w:id="86"/>
    </w:p>
    <w:tbl>
      <w:tblPr>
        <w:tblStyle w:val="TableGrid40"/>
        <w:tblW w:w="0" w:type="auto"/>
        <w:jc w:val="center"/>
        <w:tblLook w:val="04A0" w:firstRow="1" w:lastRow="0" w:firstColumn="1" w:lastColumn="0" w:noHBand="0" w:noVBand="1"/>
      </w:tblPr>
      <w:tblGrid>
        <w:gridCol w:w="704"/>
        <w:gridCol w:w="6095"/>
        <w:gridCol w:w="1134"/>
        <w:gridCol w:w="1127"/>
      </w:tblGrid>
      <w:tr w:rsidR="0073066F" w:rsidRPr="00EA1BB2" w14:paraId="4CCC41CE" w14:textId="77777777" w:rsidTr="0073066F">
        <w:trPr>
          <w:trHeight w:val="690"/>
          <w:jc w:val="center"/>
        </w:trPr>
        <w:tc>
          <w:tcPr>
            <w:tcW w:w="704" w:type="dxa"/>
            <w:shd w:val="clear" w:color="auto" w:fill="BDD6EE" w:themeFill="accent1" w:themeFillTint="66"/>
            <w:vAlign w:val="center"/>
          </w:tcPr>
          <w:p w14:paraId="5A57DCD6" w14:textId="77777777" w:rsidR="0073066F" w:rsidRPr="00EA1BB2" w:rsidRDefault="0073066F" w:rsidP="00A25848">
            <w:pPr>
              <w:spacing w:line="360" w:lineRule="auto"/>
              <w:jc w:val="center"/>
              <w:rPr>
                <w:rFonts w:ascii="Cambria" w:hAnsi="Cambria" w:cs="Times New Roman"/>
                <w:b/>
                <w:sz w:val="24"/>
                <w:szCs w:val="24"/>
                <w:lang w:val="ro-RO"/>
              </w:rPr>
            </w:pPr>
            <w:r w:rsidRPr="00EA1BB2">
              <w:rPr>
                <w:rFonts w:ascii="Cambria" w:hAnsi="Cambria" w:cs="Times New Roman"/>
                <w:b/>
                <w:sz w:val="24"/>
                <w:szCs w:val="24"/>
                <w:lang w:val="ro-RO"/>
              </w:rPr>
              <w:t>Nr. crt.</w:t>
            </w:r>
          </w:p>
        </w:tc>
        <w:tc>
          <w:tcPr>
            <w:tcW w:w="6095" w:type="dxa"/>
            <w:shd w:val="clear" w:color="auto" w:fill="BDD6EE" w:themeFill="accent1" w:themeFillTint="66"/>
            <w:vAlign w:val="center"/>
          </w:tcPr>
          <w:p w14:paraId="77BFE690" w14:textId="77777777" w:rsidR="0073066F" w:rsidRPr="00EA1BB2" w:rsidRDefault="0073066F" w:rsidP="00A25848">
            <w:pPr>
              <w:spacing w:line="360" w:lineRule="auto"/>
              <w:jc w:val="center"/>
              <w:rPr>
                <w:rFonts w:ascii="Cambria" w:hAnsi="Cambria" w:cs="Times New Roman"/>
                <w:b/>
                <w:sz w:val="24"/>
                <w:szCs w:val="24"/>
                <w:lang w:val="ro-RO"/>
              </w:rPr>
            </w:pPr>
            <w:r w:rsidRPr="00EA1BB2">
              <w:rPr>
                <w:rFonts w:ascii="Cambria" w:hAnsi="Cambria" w:cs="Times New Roman"/>
                <w:b/>
                <w:sz w:val="24"/>
                <w:szCs w:val="24"/>
                <w:lang w:val="ro-RO"/>
              </w:rPr>
              <w:t>Categorii de vehicule rutiere</w:t>
            </w:r>
          </w:p>
        </w:tc>
        <w:tc>
          <w:tcPr>
            <w:tcW w:w="1134" w:type="dxa"/>
            <w:shd w:val="clear" w:color="auto" w:fill="BDD6EE" w:themeFill="accent1" w:themeFillTint="66"/>
            <w:vAlign w:val="center"/>
          </w:tcPr>
          <w:p w14:paraId="17FD26F0" w14:textId="77777777" w:rsidR="0073066F" w:rsidRPr="00EA1BB2" w:rsidRDefault="0073066F" w:rsidP="0073066F">
            <w:pPr>
              <w:spacing w:line="360" w:lineRule="auto"/>
              <w:jc w:val="center"/>
              <w:rPr>
                <w:rFonts w:ascii="Cambria" w:hAnsi="Cambria" w:cs="Times New Roman"/>
                <w:b/>
                <w:sz w:val="24"/>
                <w:szCs w:val="24"/>
                <w:lang w:val="ro-RO"/>
              </w:rPr>
            </w:pPr>
            <w:r w:rsidRPr="00EA1BB2">
              <w:rPr>
                <w:rFonts w:ascii="Cambria" w:hAnsi="Cambria" w:cs="Times New Roman"/>
                <w:b/>
                <w:sz w:val="24"/>
                <w:szCs w:val="24"/>
                <w:lang w:val="ro-RO"/>
              </w:rPr>
              <w:t>2013</w:t>
            </w:r>
          </w:p>
        </w:tc>
        <w:tc>
          <w:tcPr>
            <w:tcW w:w="1127" w:type="dxa"/>
            <w:shd w:val="clear" w:color="auto" w:fill="BDD6EE" w:themeFill="accent1" w:themeFillTint="66"/>
            <w:vAlign w:val="center"/>
          </w:tcPr>
          <w:p w14:paraId="65CB8C25" w14:textId="77777777" w:rsidR="0073066F" w:rsidRPr="00EA1BB2" w:rsidRDefault="0073066F" w:rsidP="0073066F">
            <w:pPr>
              <w:spacing w:line="360" w:lineRule="auto"/>
              <w:jc w:val="center"/>
              <w:rPr>
                <w:rFonts w:ascii="Cambria" w:hAnsi="Cambria" w:cs="Times New Roman"/>
                <w:b/>
                <w:sz w:val="24"/>
                <w:szCs w:val="24"/>
                <w:lang w:val="ro-RO"/>
              </w:rPr>
            </w:pPr>
            <w:r w:rsidRPr="00EA1BB2">
              <w:rPr>
                <w:rFonts w:ascii="Cambria" w:hAnsi="Cambria" w:cs="Times New Roman"/>
                <w:b/>
                <w:sz w:val="24"/>
                <w:szCs w:val="24"/>
                <w:lang w:val="ro-RO"/>
              </w:rPr>
              <w:t>2017</w:t>
            </w:r>
          </w:p>
        </w:tc>
      </w:tr>
      <w:tr w:rsidR="0073066F" w:rsidRPr="00EA1BB2" w14:paraId="18211902" w14:textId="77777777" w:rsidTr="0073066F">
        <w:trPr>
          <w:jc w:val="center"/>
        </w:trPr>
        <w:tc>
          <w:tcPr>
            <w:tcW w:w="704" w:type="dxa"/>
            <w:vAlign w:val="center"/>
          </w:tcPr>
          <w:p w14:paraId="530557EC" w14:textId="77777777" w:rsidR="0073066F" w:rsidRPr="00EA1BB2" w:rsidRDefault="0073066F" w:rsidP="00A25848">
            <w:pPr>
              <w:spacing w:line="360" w:lineRule="auto"/>
              <w:jc w:val="center"/>
              <w:rPr>
                <w:rFonts w:ascii="Cambria" w:hAnsi="Cambria" w:cs="Times New Roman"/>
                <w:sz w:val="24"/>
                <w:szCs w:val="24"/>
                <w:lang w:val="ro-RO"/>
              </w:rPr>
            </w:pPr>
            <w:r w:rsidRPr="00EA1BB2">
              <w:rPr>
                <w:rFonts w:ascii="Cambria" w:hAnsi="Cambria" w:cs="Times New Roman"/>
                <w:sz w:val="24"/>
                <w:szCs w:val="24"/>
                <w:lang w:val="ro-RO"/>
              </w:rPr>
              <w:t>1</w:t>
            </w:r>
          </w:p>
        </w:tc>
        <w:tc>
          <w:tcPr>
            <w:tcW w:w="6095" w:type="dxa"/>
          </w:tcPr>
          <w:p w14:paraId="0F0ADBA5" w14:textId="77777777" w:rsidR="0073066F" w:rsidRPr="00EA1BB2" w:rsidRDefault="0073066F" w:rsidP="00A25848">
            <w:pPr>
              <w:spacing w:line="360" w:lineRule="auto"/>
              <w:rPr>
                <w:rFonts w:ascii="Cambria" w:hAnsi="Cambria" w:cs="Times New Roman"/>
                <w:sz w:val="24"/>
                <w:szCs w:val="24"/>
                <w:lang w:val="ro-RO"/>
              </w:rPr>
            </w:pPr>
            <w:r w:rsidRPr="00EA1BB2">
              <w:rPr>
                <w:rFonts w:ascii="Cambria" w:hAnsi="Cambria" w:cs="Times New Roman"/>
                <w:sz w:val="24"/>
                <w:szCs w:val="24"/>
                <w:lang w:val="ro-RO"/>
              </w:rPr>
              <w:t>Autobuze și microbuze</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E98F36D" w14:textId="77777777" w:rsidR="0073066F" w:rsidRPr="00EA1BB2" w:rsidRDefault="0073066F" w:rsidP="0073066F">
            <w:pPr>
              <w:spacing w:line="360" w:lineRule="auto"/>
              <w:jc w:val="center"/>
              <w:rPr>
                <w:rFonts w:ascii="Cambria" w:hAnsi="Cambria" w:cs="Times New Roman"/>
                <w:sz w:val="24"/>
                <w:szCs w:val="24"/>
                <w:lang w:val="ro-RO"/>
              </w:rPr>
            </w:pPr>
            <w:r w:rsidRPr="00EA1BB2">
              <w:rPr>
                <w:rFonts w:ascii="Cambria" w:hAnsi="Cambria" w:cs="Times New Roman"/>
                <w:sz w:val="24"/>
                <w:szCs w:val="24"/>
                <w:lang w:val="ro-RO"/>
              </w:rPr>
              <w:t>695</w:t>
            </w:r>
          </w:p>
        </w:tc>
        <w:tc>
          <w:tcPr>
            <w:tcW w:w="1127" w:type="dxa"/>
            <w:tcBorders>
              <w:top w:val="single" w:sz="4" w:space="0" w:color="auto"/>
              <w:left w:val="single" w:sz="4" w:space="0" w:color="auto"/>
              <w:bottom w:val="single" w:sz="4" w:space="0" w:color="auto"/>
              <w:right w:val="single" w:sz="4" w:space="0" w:color="auto"/>
            </w:tcBorders>
            <w:vAlign w:val="center"/>
          </w:tcPr>
          <w:p w14:paraId="3CBF7610" w14:textId="77777777" w:rsidR="0073066F" w:rsidRPr="00EA1BB2" w:rsidRDefault="0073066F" w:rsidP="0073066F">
            <w:pPr>
              <w:spacing w:line="360" w:lineRule="auto"/>
              <w:jc w:val="center"/>
              <w:rPr>
                <w:rFonts w:ascii="Cambria" w:hAnsi="Cambria" w:cs="Times New Roman"/>
                <w:sz w:val="24"/>
                <w:szCs w:val="24"/>
                <w:lang w:val="ro-RO"/>
              </w:rPr>
            </w:pPr>
            <w:r w:rsidRPr="00EA1BB2">
              <w:rPr>
                <w:rFonts w:ascii="Cambria" w:hAnsi="Cambria" w:cs="Times New Roman"/>
                <w:sz w:val="24"/>
                <w:szCs w:val="24"/>
                <w:lang w:val="ro-RO"/>
              </w:rPr>
              <w:t>809</w:t>
            </w:r>
          </w:p>
        </w:tc>
      </w:tr>
      <w:tr w:rsidR="0073066F" w:rsidRPr="00EA1BB2" w14:paraId="0B88D86A" w14:textId="77777777" w:rsidTr="0073066F">
        <w:trPr>
          <w:jc w:val="center"/>
        </w:trPr>
        <w:tc>
          <w:tcPr>
            <w:tcW w:w="704" w:type="dxa"/>
            <w:vAlign w:val="center"/>
          </w:tcPr>
          <w:p w14:paraId="48C9295C" w14:textId="77777777" w:rsidR="0073066F" w:rsidRPr="00EA1BB2" w:rsidRDefault="0073066F" w:rsidP="00A25848">
            <w:pPr>
              <w:spacing w:line="360" w:lineRule="auto"/>
              <w:jc w:val="center"/>
              <w:rPr>
                <w:rFonts w:ascii="Cambria" w:hAnsi="Cambria" w:cs="Times New Roman"/>
                <w:sz w:val="24"/>
                <w:szCs w:val="24"/>
                <w:lang w:val="ro-RO"/>
              </w:rPr>
            </w:pPr>
            <w:r w:rsidRPr="00EA1BB2">
              <w:rPr>
                <w:rFonts w:ascii="Cambria" w:hAnsi="Cambria" w:cs="Times New Roman"/>
                <w:sz w:val="24"/>
                <w:szCs w:val="24"/>
                <w:lang w:val="ro-RO"/>
              </w:rPr>
              <w:t>2</w:t>
            </w:r>
          </w:p>
        </w:tc>
        <w:tc>
          <w:tcPr>
            <w:tcW w:w="6095" w:type="dxa"/>
          </w:tcPr>
          <w:p w14:paraId="68447AC6" w14:textId="77777777" w:rsidR="0073066F" w:rsidRPr="00EA1BB2" w:rsidRDefault="0073066F" w:rsidP="00A25848">
            <w:pPr>
              <w:spacing w:line="360" w:lineRule="auto"/>
              <w:rPr>
                <w:rFonts w:ascii="Cambria" w:hAnsi="Cambria" w:cs="Times New Roman"/>
                <w:sz w:val="24"/>
                <w:szCs w:val="24"/>
                <w:lang w:val="ro-RO"/>
              </w:rPr>
            </w:pPr>
            <w:r w:rsidRPr="00EA1BB2">
              <w:rPr>
                <w:rFonts w:ascii="Cambria" w:hAnsi="Cambria" w:cs="Times New Roman"/>
                <w:sz w:val="24"/>
                <w:szCs w:val="24"/>
                <w:lang w:val="ro-RO"/>
              </w:rPr>
              <w:t>Autoturisme</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626DB4B" w14:textId="77777777" w:rsidR="0073066F" w:rsidRPr="00EA1BB2" w:rsidRDefault="0073066F" w:rsidP="0073066F">
            <w:pPr>
              <w:spacing w:line="360" w:lineRule="auto"/>
              <w:jc w:val="center"/>
              <w:rPr>
                <w:rFonts w:ascii="Cambria" w:hAnsi="Cambria" w:cs="Times New Roman"/>
                <w:sz w:val="24"/>
                <w:szCs w:val="24"/>
                <w:lang w:val="ro-RO"/>
              </w:rPr>
            </w:pPr>
            <w:r w:rsidRPr="00EA1BB2">
              <w:rPr>
                <w:rFonts w:ascii="Cambria" w:hAnsi="Cambria" w:cs="Times New Roman"/>
                <w:sz w:val="24"/>
                <w:szCs w:val="24"/>
                <w:lang w:val="ro-RO"/>
              </w:rPr>
              <w:t>59</w:t>
            </w:r>
            <w:r w:rsidR="00196B49" w:rsidRPr="00EA1BB2">
              <w:rPr>
                <w:rFonts w:ascii="Cambria" w:hAnsi="Cambria" w:cs="Times New Roman"/>
                <w:sz w:val="24"/>
                <w:szCs w:val="24"/>
                <w:lang w:val="ro-RO"/>
              </w:rPr>
              <w:t>.</w:t>
            </w:r>
            <w:r w:rsidRPr="00EA1BB2">
              <w:rPr>
                <w:rFonts w:ascii="Cambria" w:hAnsi="Cambria" w:cs="Times New Roman"/>
                <w:sz w:val="24"/>
                <w:szCs w:val="24"/>
                <w:lang w:val="ro-RO"/>
              </w:rPr>
              <w:t>206</w:t>
            </w:r>
          </w:p>
        </w:tc>
        <w:tc>
          <w:tcPr>
            <w:tcW w:w="1127" w:type="dxa"/>
            <w:tcBorders>
              <w:top w:val="single" w:sz="4" w:space="0" w:color="auto"/>
              <w:left w:val="single" w:sz="4" w:space="0" w:color="auto"/>
              <w:bottom w:val="single" w:sz="4" w:space="0" w:color="auto"/>
              <w:right w:val="single" w:sz="4" w:space="0" w:color="auto"/>
            </w:tcBorders>
            <w:vAlign w:val="center"/>
          </w:tcPr>
          <w:p w14:paraId="3BB78C29" w14:textId="77777777" w:rsidR="0073066F" w:rsidRPr="00EA1BB2" w:rsidRDefault="0073066F" w:rsidP="0073066F">
            <w:pPr>
              <w:spacing w:line="360" w:lineRule="auto"/>
              <w:jc w:val="center"/>
              <w:rPr>
                <w:rFonts w:ascii="Cambria" w:hAnsi="Cambria" w:cs="Times New Roman"/>
                <w:sz w:val="24"/>
                <w:szCs w:val="24"/>
                <w:lang w:val="ro-RO"/>
              </w:rPr>
            </w:pPr>
            <w:r w:rsidRPr="00EA1BB2">
              <w:rPr>
                <w:rFonts w:ascii="Cambria" w:hAnsi="Cambria" w:cs="Times New Roman"/>
                <w:sz w:val="24"/>
                <w:szCs w:val="24"/>
                <w:lang w:val="ro-RO"/>
              </w:rPr>
              <w:t>76</w:t>
            </w:r>
            <w:r w:rsidR="00196B49" w:rsidRPr="00EA1BB2">
              <w:rPr>
                <w:rFonts w:ascii="Cambria" w:hAnsi="Cambria" w:cs="Times New Roman"/>
                <w:sz w:val="24"/>
                <w:szCs w:val="24"/>
                <w:lang w:val="ro-RO"/>
              </w:rPr>
              <w:t>.</w:t>
            </w:r>
            <w:r w:rsidRPr="00EA1BB2">
              <w:rPr>
                <w:rFonts w:ascii="Cambria" w:hAnsi="Cambria" w:cs="Times New Roman"/>
                <w:sz w:val="24"/>
                <w:szCs w:val="24"/>
                <w:lang w:val="ro-RO"/>
              </w:rPr>
              <w:t>617</w:t>
            </w:r>
          </w:p>
        </w:tc>
      </w:tr>
      <w:tr w:rsidR="0073066F" w:rsidRPr="00EA1BB2" w14:paraId="2F194AD3" w14:textId="77777777" w:rsidTr="0073066F">
        <w:trPr>
          <w:jc w:val="center"/>
        </w:trPr>
        <w:tc>
          <w:tcPr>
            <w:tcW w:w="704" w:type="dxa"/>
            <w:vAlign w:val="center"/>
          </w:tcPr>
          <w:p w14:paraId="1BE313FB" w14:textId="77777777" w:rsidR="0073066F" w:rsidRPr="00EA1BB2" w:rsidRDefault="0073066F" w:rsidP="00A25848">
            <w:pPr>
              <w:spacing w:line="360" w:lineRule="auto"/>
              <w:jc w:val="center"/>
              <w:rPr>
                <w:rFonts w:ascii="Cambria" w:hAnsi="Cambria" w:cs="Times New Roman"/>
                <w:sz w:val="24"/>
                <w:szCs w:val="24"/>
                <w:lang w:val="ro-RO"/>
              </w:rPr>
            </w:pPr>
            <w:r w:rsidRPr="00EA1BB2">
              <w:rPr>
                <w:rFonts w:ascii="Cambria" w:hAnsi="Cambria" w:cs="Times New Roman"/>
                <w:sz w:val="24"/>
                <w:szCs w:val="24"/>
                <w:lang w:val="ro-RO"/>
              </w:rPr>
              <w:t>3</w:t>
            </w:r>
          </w:p>
        </w:tc>
        <w:tc>
          <w:tcPr>
            <w:tcW w:w="6095" w:type="dxa"/>
          </w:tcPr>
          <w:p w14:paraId="718243DF" w14:textId="77777777" w:rsidR="0073066F" w:rsidRPr="00EA1BB2" w:rsidRDefault="0073066F" w:rsidP="00A25848">
            <w:pPr>
              <w:spacing w:line="360" w:lineRule="auto"/>
              <w:rPr>
                <w:rFonts w:ascii="Cambria" w:hAnsi="Cambria" w:cs="Times New Roman"/>
                <w:sz w:val="24"/>
                <w:szCs w:val="24"/>
                <w:lang w:val="ro-RO"/>
              </w:rPr>
            </w:pPr>
            <w:r w:rsidRPr="00EA1BB2">
              <w:rPr>
                <w:rFonts w:ascii="Cambria" w:hAnsi="Cambria" w:cs="Times New Roman"/>
                <w:sz w:val="24"/>
                <w:szCs w:val="24"/>
                <w:lang w:val="ro-RO"/>
              </w:rPr>
              <w:t>Mopede și motociclete (inclusiv mototricicluri și cvadricicluri)</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D72AAFD" w14:textId="77777777" w:rsidR="0073066F" w:rsidRPr="00EA1BB2" w:rsidRDefault="0073066F" w:rsidP="0073066F">
            <w:pPr>
              <w:spacing w:line="360" w:lineRule="auto"/>
              <w:jc w:val="center"/>
              <w:rPr>
                <w:rFonts w:ascii="Cambria" w:eastAsia="Calibri" w:hAnsi="Cambria" w:cs="Times New Roman"/>
                <w:color w:val="000000"/>
                <w:sz w:val="24"/>
                <w:szCs w:val="24"/>
                <w:lang w:val="ro-RO"/>
              </w:rPr>
            </w:pPr>
            <w:r w:rsidRPr="00EA1BB2">
              <w:rPr>
                <w:rFonts w:ascii="Cambria" w:hAnsi="Cambria" w:cs="Times New Roman"/>
                <w:sz w:val="24"/>
                <w:szCs w:val="24"/>
                <w:lang w:val="ro-RO"/>
              </w:rPr>
              <w:t>874</w:t>
            </w:r>
          </w:p>
        </w:tc>
        <w:tc>
          <w:tcPr>
            <w:tcW w:w="1127" w:type="dxa"/>
            <w:tcBorders>
              <w:top w:val="single" w:sz="4" w:space="0" w:color="auto"/>
              <w:left w:val="single" w:sz="4" w:space="0" w:color="auto"/>
              <w:bottom w:val="single" w:sz="4" w:space="0" w:color="auto"/>
              <w:right w:val="single" w:sz="4" w:space="0" w:color="auto"/>
            </w:tcBorders>
            <w:vAlign w:val="center"/>
          </w:tcPr>
          <w:p w14:paraId="231671D2" w14:textId="77777777" w:rsidR="0073066F" w:rsidRPr="00EA1BB2" w:rsidRDefault="00196B49" w:rsidP="0073066F">
            <w:pPr>
              <w:spacing w:line="360" w:lineRule="auto"/>
              <w:jc w:val="center"/>
              <w:rPr>
                <w:rFonts w:ascii="Cambria" w:hAnsi="Cambria" w:cs="Times New Roman"/>
                <w:sz w:val="24"/>
                <w:szCs w:val="24"/>
                <w:lang w:val="ro-RO"/>
              </w:rPr>
            </w:pPr>
            <w:r w:rsidRPr="00EA1BB2">
              <w:rPr>
                <w:rFonts w:ascii="Cambria" w:hAnsi="Cambria" w:cs="Times New Roman"/>
                <w:sz w:val="24"/>
                <w:szCs w:val="24"/>
                <w:lang w:val="ro-RO"/>
              </w:rPr>
              <w:t>2.103</w:t>
            </w:r>
          </w:p>
        </w:tc>
      </w:tr>
      <w:tr w:rsidR="0073066F" w:rsidRPr="00EA1BB2" w14:paraId="5B722290" w14:textId="77777777" w:rsidTr="0073066F">
        <w:trPr>
          <w:jc w:val="center"/>
        </w:trPr>
        <w:tc>
          <w:tcPr>
            <w:tcW w:w="704" w:type="dxa"/>
            <w:vAlign w:val="center"/>
          </w:tcPr>
          <w:p w14:paraId="785849B4" w14:textId="77777777" w:rsidR="0073066F" w:rsidRPr="00EA1BB2" w:rsidRDefault="0073066F" w:rsidP="00A25848">
            <w:pPr>
              <w:spacing w:line="360" w:lineRule="auto"/>
              <w:jc w:val="center"/>
              <w:rPr>
                <w:rFonts w:ascii="Cambria" w:hAnsi="Cambria" w:cs="Times New Roman"/>
                <w:sz w:val="24"/>
                <w:szCs w:val="24"/>
                <w:lang w:val="ro-RO"/>
              </w:rPr>
            </w:pPr>
            <w:r w:rsidRPr="00EA1BB2">
              <w:rPr>
                <w:rFonts w:ascii="Cambria" w:hAnsi="Cambria" w:cs="Times New Roman"/>
                <w:sz w:val="24"/>
                <w:szCs w:val="24"/>
                <w:lang w:val="ro-RO"/>
              </w:rPr>
              <w:t>4</w:t>
            </w:r>
          </w:p>
        </w:tc>
        <w:tc>
          <w:tcPr>
            <w:tcW w:w="6095" w:type="dxa"/>
          </w:tcPr>
          <w:p w14:paraId="6E108269" w14:textId="77777777" w:rsidR="0073066F" w:rsidRPr="00EA1BB2" w:rsidRDefault="0073066F" w:rsidP="00A25848">
            <w:pPr>
              <w:spacing w:line="360" w:lineRule="auto"/>
              <w:rPr>
                <w:rFonts w:ascii="Cambria" w:hAnsi="Cambria" w:cs="Times New Roman"/>
                <w:sz w:val="24"/>
                <w:szCs w:val="24"/>
                <w:lang w:val="ro-RO"/>
              </w:rPr>
            </w:pPr>
            <w:r w:rsidRPr="00EA1BB2">
              <w:rPr>
                <w:rFonts w:ascii="Cambria" w:hAnsi="Cambria" w:cs="Times New Roman"/>
                <w:sz w:val="24"/>
                <w:szCs w:val="24"/>
                <w:lang w:val="ro-RO"/>
              </w:rPr>
              <w:t>Autovehicule de marfă</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A67F873" w14:textId="77777777" w:rsidR="0073066F" w:rsidRPr="00EA1BB2" w:rsidRDefault="0073066F" w:rsidP="0073066F">
            <w:pPr>
              <w:spacing w:line="360" w:lineRule="auto"/>
              <w:jc w:val="center"/>
              <w:rPr>
                <w:rFonts w:ascii="Cambria" w:eastAsia="Calibri" w:hAnsi="Cambria" w:cs="Times New Roman"/>
                <w:color w:val="000000"/>
                <w:sz w:val="24"/>
                <w:szCs w:val="24"/>
                <w:lang w:val="ro-RO"/>
              </w:rPr>
            </w:pPr>
            <w:r w:rsidRPr="00EA1BB2">
              <w:rPr>
                <w:rFonts w:ascii="Cambria" w:hAnsi="Cambria" w:cs="Times New Roman"/>
                <w:sz w:val="24"/>
                <w:szCs w:val="24"/>
                <w:lang w:val="ro-RO"/>
              </w:rPr>
              <w:t>8</w:t>
            </w:r>
            <w:r w:rsidR="00196B49" w:rsidRPr="00EA1BB2">
              <w:rPr>
                <w:rFonts w:ascii="Cambria" w:hAnsi="Cambria" w:cs="Times New Roman"/>
                <w:sz w:val="24"/>
                <w:szCs w:val="24"/>
                <w:lang w:val="ro-RO"/>
              </w:rPr>
              <w:t>.</w:t>
            </w:r>
            <w:r w:rsidRPr="00EA1BB2">
              <w:rPr>
                <w:rFonts w:ascii="Cambria" w:hAnsi="Cambria" w:cs="Times New Roman"/>
                <w:sz w:val="24"/>
                <w:szCs w:val="24"/>
                <w:lang w:val="ro-RO"/>
              </w:rPr>
              <w:t>764</w:t>
            </w:r>
          </w:p>
        </w:tc>
        <w:tc>
          <w:tcPr>
            <w:tcW w:w="1127" w:type="dxa"/>
            <w:tcBorders>
              <w:top w:val="single" w:sz="4" w:space="0" w:color="auto"/>
              <w:left w:val="single" w:sz="4" w:space="0" w:color="auto"/>
              <w:bottom w:val="single" w:sz="4" w:space="0" w:color="auto"/>
              <w:right w:val="single" w:sz="4" w:space="0" w:color="auto"/>
            </w:tcBorders>
            <w:vAlign w:val="center"/>
          </w:tcPr>
          <w:p w14:paraId="51B30275" w14:textId="77777777" w:rsidR="0073066F" w:rsidRPr="00EA1BB2" w:rsidRDefault="0073066F" w:rsidP="0073066F">
            <w:pPr>
              <w:spacing w:line="360" w:lineRule="auto"/>
              <w:jc w:val="center"/>
              <w:rPr>
                <w:rFonts w:ascii="Cambria" w:hAnsi="Cambria" w:cs="Times New Roman"/>
                <w:sz w:val="24"/>
                <w:szCs w:val="24"/>
                <w:lang w:val="ro-RO"/>
              </w:rPr>
            </w:pPr>
            <w:r w:rsidRPr="00EA1BB2">
              <w:rPr>
                <w:rFonts w:ascii="Cambria" w:hAnsi="Cambria" w:cs="Times New Roman"/>
                <w:sz w:val="24"/>
                <w:szCs w:val="24"/>
                <w:lang w:val="ro-RO"/>
              </w:rPr>
              <w:t>11</w:t>
            </w:r>
            <w:r w:rsidR="00196B49" w:rsidRPr="00EA1BB2">
              <w:rPr>
                <w:rFonts w:ascii="Cambria" w:hAnsi="Cambria" w:cs="Times New Roman"/>
                <w:sz w:val="24"/>
                <w:szCs w:val="24"/>
                <w:lang w:val="ro-RO"/>
              </w:rPr>
              <w:t>.</w:t>
            </w:r>
            <w:r w:rsidRPr="00EA1BB2">
              <w:rPr>
                <w:rFonts w:ascii="Cambria" w:hAnsi="Cambria" w:cs="Times New Roman"/>
                <w:sz w:val="24"/>
                <w:szCs w:val="24"/>
                <w:lang w:val="ro-RO"/>
              </w:rPr>
              <w:t>033</w:t>
            </w:r>
          </w:p>
        </w:tc>
      </w:tr>
      <w:tr w:rsidR="0073066F" w:rsidRPr="00EA1BB2" w14:paraId="67CB6394" w14:textId="77777777" w:rsidTr="0073066F">
        <w:trPr>
          <w:jc w:val="center"/>
        </w:trPr>
        <w:tc>
          <w:tcPr>
            <w:tcW w:w="704" w:type="dxa"/>
            <w:vAlign w:val="center"/>
          </w:tcPr>
          <w:p w14:paraId="44A4C2E8" w14:textId="77777777" w:rsidR="0073066F" w:rsidRPr="00EA1BB2" w:rsidRDefault="0073066F" w:rsidP="00A25848">
            <w:pPr>
              <w:spacing w:line="360" w:lineRule="auto"/>
              <w:jc w:val="center"/>
              <w:rPr>
                <w:rFonts w:ascii="Cambria" w:hAnsi="Cambria" w:cs="Times New Roman"/>
                <w:sz w:val="24"/>
                <w:szCs w:val="24"/>
                <w:lang w:val="ro-RO"/>
              </w:rPr>
            </w:pPr>
            <w:r w:rsidRPr="00EA1BB2">
              <w:rPr>
                <w:rFonts w:ascii="Cambria" w:hAnsi="Cambria" w:cs="Times New Roman"/>
                <w:sz w:val="24"/>
                <w:szCs w:val="24"/>
                <w:lang w:val="ro-RO"/>
              </w:rPr>
              <w:t>5</w:t>
            </w:r>
          </w:p>
        </w:tc>
        <w:tc>
          <w:tcPr>
            <w:tcW w:w="6095" w:type="dxa"/>
          </w:tcPr>
          <w:p w14:paraId="7FD61AE4" w14:textId="77777777" w:rsidR="0073066F" w:rsidRPr="00EA1BB2" w:rsidRDefault="0073066F" w:rsidP="00A25848">
            <w:pPr>
              <w:spacing w:line="360" w:lineRule="auto"/>
              <w:rPr>
                <w:rFonts w:ascii="Cambria" w:hAnsi="Cambria" w:cs="Times New Roman"/>
                <w:sz w:val="24"/>
                <w:szCs w:val="24"/>
                <w:lang w:val="ro-RO"/>
              </w:rPr>
            </w:pPr>
            <w:r w:rsidRPr="00EA1BB2">
              <w:rPr>
                <w:rFonts w:ascii="Cambria" w:hAnsi="Cambria" w:cs="Times New Roman"/>
                <w:sz w:val="24"/>
                <w:szCs w:val="24"/>
                <w:lang w:val="ro-RO"/>
              </w:rPr>
              <w:t>Vehicule rutiere pentru scopuri speciale</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3D28A26" w14:textId="77777777" w:rsidR="0073066F" w:rsidRPr="00EA1BB2" w:rsidRDefault="0073066F" w:rsidP="0073066F">
            <w:pPr>
              <w:spacing w:line="360" w:lineRule="auto"/>
              <w:jc w:val="center"/>
              <w:rPr>
                <w:rFonts w:ascii="Cambria" w:eastAsia="Calibri" w:hAnsi="Cambria" w:cs="Times New Roman"/>
                <w:color w:val="000000"/>
                <w:sz w:val="24"/>
                <w:szCs w:val="24"/>
                <w:lang w:val="ro-RO"/>
              </w:rPr>
            </w:pPr>
            <w:r w:rsidRPr="00EA1BB2">
              <w:rPr>
                <w:rFonts w:ascii="Cambria" w:hAnsi="Cambria" w:cs="Times New Roman"/>
                <w:sz w:val="24"/>
                <w:szCs w:val="24"/>
                <w:lang w:val="ro-RO"/>
              </w:rPr>
              <w:t>356</w:t>
            </w:r>
          </w:p>
        </w:tc>
        <w:tc>
          <w:tcPr>
            <w:tcW w:w="1127" w:type="dxa"/>
            <w:tcBorders>
              <w:top w:val="single" w:sz="4" w:space="0" w:color="auto"/>
              <w:left w:val="single" w:sz="4" w:space="0" w:color="auto"/>
              <w:bottom w:val="single" w:sz="4" w:space="0" w:color="auto"/>
              <w:right w:val="single" w:sz="4" w:space="0" w:color="auto"/>
            </w:tcBorders>
            <w:vAlign w:val="center"/>
          </w:tcPr>
          <w:p w14:paraId="4F0AAE3E" w14:textId="77777777" w:rsidR="0073066F" w:rsidRPr="00EA1BB2" w:rsidRDefault="0073066F" w:rsidP="0073066F">
            <w:pPr>
              <w:spacing w:line="360" w:lineRule="auto"/>
              <w:jc w:val="center"/>
              <w:rPr>
                <w:rFonts w:ascii="Cambria" w:hAnsi="Cambria" w:cs="Times New Roman"/>
                <w:sz w:val="24"/>
                <w:szCs w:val="24"/>
                <w:lang w:val="ro-RO"/>
              </w:rPr>
            </w:pPr>
            <w:r w:rsidRPr="00EA1BB2">
              <w:rPr>
                <w:rFonts w:ascii="Cambria" w:hAnsi="Cambria" w:cs="Times New Roman"/>
                <w:sz w:val="24"/>
                <w:szCs w:val="24"/>
                <w:lang w:val="ro-RO"/>
              </w:rPr>
              <w:t>391</w:t>
            </w:r>
          </w:p>
        </w:tc>
      </w:tr>
      <w:tr w:rsidR="0073066F" w:rsidRPr="00EA1BB2" w14:paraId="1E0C4ABF" w14:textId="77777777" w:rsidTr="0073066F">
        <w:trPr>
          <w:jc w:val="center"/>
        </w:trPr>
        <w:tc>
          <w:tcPr>
            <w:tcW w:w="704" w:type="dxa"/>
            <w:vAlign w:val="center"/>
          </w:tcPr>
          <w:p w14:paraId="00B8038E" w14:textId="77777777" w:rsidR="0073066F" w:rsidRPr="00EA1BB2" w:rsidRDefault="0073066F" w:rsidP="00A25848">
            <w:pPr>
              <w:spacing w:line="360" w:lineRule="auto"/>
              <w:jc w:val="center"/>
              <w:rPr>
                <w:rFonts w:ascii="Cambria" w:hAnsi="Cambria" w:cs="Times New Roman"/>
                <w:sz w:val="24"/>
                <w:szCs w:val="24"/>
                <w:lang w:val="ro-RO"/>
              </w:rPr>
            </w:pPr>
            <w:r w:rsidRPr="00EA1BB2">
              <w:rPr>
                <w:rFonts w:ascii="Cambria" w:hAnsi="Cambria" w:cs="Times New Roman"/>
                <w:sz w:val="24"/>
                <w:szCs w:val="24"/>
                <w:lang w:val="ro-RO"/>
              </w:rPr>
              <w:t>6</w:t>
            </w:r>
          </w:p>
        </w:tc>
        <w:tc>
          <w:tcPr>
            <w:tcW w:w="6095" w:type="dxa"/>
          </w:tcPr>
          <w:p w14:paraId="2E6D0972" w14:textId="77777777" w:rsidR="0073066F" w:rsidRPr="00EA1BB2" w:rsidRDefault="0073066F" w:rsidP="00A25848">
            <w:pPr>
              <w:spacing w:line="360" w:lineRule="auto"/>
              <w:rPr>
                <w:rFonts w:ascii="Cambria" w:hAnsi="Cambria" w:cs="Times New Roman"/>
                <w:sz w:val="24"/>
                <w:szCs w:val="24"/>
                <w:lang w:val="ro-RO"/>
              </w:rPr>
            </w:pPr>
            <w:r w:rsidRPr="00EA1BB2">
              <w:rPr>
                <w:rFonts w:ascii="Cambria" w:hAnsi="Cambria" w:cs="Times New Roman"/>
                <w:sz w:val="24"/>
                <w:szCs w:val="24"/>
                <w:lang w:val="ro-RO"/>
              </w:rPr>
              <w:t>Tractoare</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810305C" w14:textId="77777777" w:rsidR="0073066F" w:rsidRPr="00EA1BB2" w:rsidRDefault="0073066F" w:rsidP="0073066F">
            <w:pPr>
              <w:spacing w:line="360" w:lineRule="auto"/>
              <w:jc w:val="center"/>
              <w:rPr>
                <w:rFonts w:ascii="Cambria" w:hAnsi="Cambria" w:cs="Times New Roman"/>
                <w:sz w:val="24"/>
                <w:szCs w:val="24"/>
                <w:lang w:val="ro-RO"/>
              </w:rPr>
            </w:pPr>
            <w:r w:rsidRPr="00EA1BB2">
              <w:rPr>
                <w:rFonts w:ascii="Cambria" w:hAnsi="Cambria" w:cs="Times New Roman"/>
                <w:sz w:val="24"/>
                <w:szCs w:val="24"/>
                <w:lang w:val="ro-RO"/>
              </w:rPr>
              <w:t>432</w:t>
            </w:r>
          </w:p>
        </w:tc>
        <w:tc>
          <w:tcPr>
            <w:tcW w:w="1127" w:type="dxa"/>
            <w:tcBorders>
              <w:top w:val="single" w:sz="4" w:space="0" w:color="auto"/>
              <w:left w:val="single" w:sz="4" w:space="0" w:color="auto"/>
              <w:bottom w:val="single" w:sz="4" w:space="0" w:color="auto"/>
              <w:right w:val="single" w:sz="4" w:space="0" w:color="auto"/>
            </w:tcBorders>
            <w:vAlign w:val="center"/>
          </w:tcPr>
          <w:p w14:paraId="101C0584" w14:textId="77777777" w:rsidR="0073066F" w:rsidRPr="00EA1BB2" w:rsidRDefault="0073066F" w:rsidP="0073066F">
            <w:pPr>
              <w:spacing w:line="360" w:lineRule="auto"/>
              <w:jc w:val="center"/>
              <w:rPr>
                <w:rFonts w:ascii="Cambria" w:hAnsi="Cambria" w:cs="Times New Roman"/>
                <w:sz w:val="24"/>
                <w:szCs w:val="24"/>
                <w:lang w:val="ro-RO"/>
              </w:rPr>
            </w:pPr>
            <w:r w:rsidRPr="00EA1BB2">
              <w:rPr>
                <w:rFonts w:ascii="Cambria" w:hAnsi="Cambria" w:cs="Times New Roman"/>
                <w:sz w:val="24"/>
                <w:szCs w:val="24"/>
                <w:lang w:val="ro-RO"/>
              </w:rPr>
              <w:t>422</w:t>
            </w:r>
          </w:p>
        </w:tc>
      </w:tr>
    </w:tbl>
    <w:p w14:paraId="589C3C8B" w14:textId="77777777" w:rsidR="00ED596B" w:rsidRPr="00EA1BB2" w:rsidRDefault="000D76D9" w:rsidP="000D76D9">
      <w:pPr>
        <w:jc w:val="both"/>
        <w:rPr>
          <w:rFonts w:ascii="Cambria" w:eastAsia="Times New Roman" w:hAnsi="Cambria" w:cs="Times New Roman"/>
          <w:szCs w:val="24"/>
        </w:rPr>
      </w:pPr>
      <w:r w:rsidRPr="00EA1BB2">
        <w:rPr>
          <w:rFonts w:ascii="Cambria" w:eastAsia="Times New Roman" w:hAnsi="Cambria" w:cs="Times New Roman"/>
          <w:szCs w:val="24"/>
        </w:rPr>
        <w:t>S</w:t>
      </w:r>
      <w:r w:rsidR="00ED596B" w:rsidRPr="00EA1BB2">
        <w:rPr>
          <w:rFonts w:ascii="Cambria" w:eastAsia="Times New Roman" w:hAnsi="Cambria" w:cs="Times New Roman"/>
          <w:szCs w:val="24"/>
        </w:rPr>
        <w:t>ursa</w:t>
      </w:r>
      <w:r w:rsidRPr="00EA1BB2">
        <w:rPr>
          <w:rFonts w:ascii="Cambria" w:eastAsia="Times New Roman" w:hAnsi="Cambria" w:cs="Times New Roman"/>
          <w:szCs w:val="24"/>
        </w:rPr>
        <w:t xml:space="preserve"> date</w:t>
      </w:r>
      <w:r w:rsidR="00ED596B" w:rsidRPr="00EA1BB2">
        <w:rPr>
          <w:rFonts w:ascii="Cambria" w:eastAsia="Times New Roman" w:hAnsi="Cambria" w:cs="Times New Roman"/>
          <w:szCs w:val="24"/>
        </w:rPr>
        <w:t>: http://statistici.insse.ro</w:t>
      </w:r>
    </w:p>
    <w:p w14:paraId="7CCB76B3" w14:textId="77777777" w:rsidR="00ED596B" w:rsidRPr="00EA1BB2" w:rsidRDefault="00ED596B" w:rsidP="00ED596B">
      <w:pPr>
        <w:spacing w:line="360" w:lineRule="auto"/>
        <w:ind w:firstLine="720"/>
        <w:jc w:val="both"/>
        <w:rPr>
          <w:rFonts w:ascii="Cambria" w:eastAsia="Times New Roman" w:hAnsi="Cambria" w:cs="Times New Roman"/>
          <w:sz w:val="24"/>
          <w:szCs w:val="24"/>
        </w:rPr>
      </w:pPr>
    </w:p>
    <w:p w14:paraId="24959D3A" w14:textId="77777777" w:rsidR="00ED596B" w:rsidRPr="00EA1BB2" w:rsidRDefault="00ED596B" w:rsidP="00ED596B">
      <w:pPr>
        <w:spacing w:line="360" w:lineRule="auto"/>
        <w:ind w:firstLine="720"/>
        <w:jc w:val="both"/>
        <w:rPr>
          <w:rFonts w:ascii="Cambria" w:eastAsia="Times New Roman" w:hAnsi="Cambria" w:cs="Times New Roman"/>
          <w:sz w:val="24"/>
          <w:szCs w:val="24"/>
        </w:rPr>
      </w:pPr>
      <w:r w:rsidRPr="00EA1BB2">
        <w:rPr>
          <w:rFonts w:ascii="Cambria" w:eastAsia="Times New Roman" w:hAnsi="Cambria" w:cs="Times New Roman"/>
          <w:sz w:val="24"/>
          <w:szCs w:val="24"/>
        </w:rPr>
        <w:t>Teritoriul jude</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ului Brăila este deservit de următoarele sectoare de căi ferate:</w:t>
      </w:r>
    </w:p>
    <w:p w14:paraId="1ABD78A3" w14:textId="77777777" w:rsidR="00ED596B" w:rsidRPr="00EA1BB2" w:rsidRDefault="00ED596B" w:rsidP="003A520C">
      <w:pPr>
        <w:numPr>
          <w:ilvl w:val="0"/>
          <w:numId w:val="32"/>
        </w:numPr>
        <w:spacing w:after="200" w:line="360" w:lineRule="auto"/>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magistrala 700 – Bucure</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ti – Urziceni – Brăila - Gala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w:t>
      </w:r>
    </w:p>
    <w:p w14:paraId="71C9D263" w14:textId="77777777" w:rsidR="00ED596B" w:rsidRPr="00EA1BB2" w:rsidRDefault="00ED596B" w:rsidP="003A520C">
      <w:pPr>
        <w:numPr>
          <w:ilvl w:val="1"/>
          <w:numId w:val="32"/>
        </w:numPr>
        <w:spacing w:after="200" w:line="360" w:lineRule="auto"/>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cale ferată dublă electrificată:</w:t>
      </w:r>
    </w:p>
    <w:p w14:paraId="6699239D" w14:textId="77777777" w:rsidR="00ED596B" w:rsidRPr="00EA1BB2" w:rsidRDefault="00ED596B" w:rsidP="003A520C">
      <w:pPr>
        <w:numPr>
          <w:ilvl w:val="2"/>
          <w:numId w:val="32"/>
        </w:numPr>
        <w:spacing w:after="200" w:line="360" w:lineRule="auto"/>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sectorul F</w:t>
      </w:r>
      <w:r w:rsidRPr="00EA1BB2">
        <w:rPr>
          <w:rFonts w:ascii="Cambria" w:eastAsia="Times New Roman" w:hAnsi="Cambria" w:cs="Cambria"/>
          <w:sz w:val="24"/>
          <w:szCs w:val="24"/>
        </w:rPr>
        <w:t>ă</w:t>
      </w:r>
      <w:r w:rsidRPr="00EA1BB2">
        <w:rPr>
          <w:rFonts w:ascii="Cambria" w:eastAsia="Times New Roman" w:hAnsi="Cambria" w:cs="Times New Roman"/>
          <w:sz w:val="24"/>
          <w:szCs w:val="24"/>
        </w:rPr>
        <w:t xml:space="preserve">urei </w:t>
      </w:r>
      <w:r w:rsidRPr="00EA1BB2">
        <w:rPr>
          <w:rFonts w:ascii="Cambria" w:eastAsia="Times New Roman" w:hAnsi="Cambria" w:cs="Cambria"/>
          <w:sz w:val="24"/>
          <w:szCs w:val="24"/>
        </w:rPr>
        <w:t>–</w:t>
      </w:r>
      <w:r w:rsidRPr="00EA1BB2">
        <w:rPr>
          <w:rFonts w:ascii="Cambria" w:eastAsia="Times New Roman" w:hAnsi="Cambria" w:cs="Times New Roman"/>
          <w:sz w:val="24"/>
          <w:szCs w:val="24"/>
        </w:rPr>
        <w:t xml:space="preserve"> Br</w:t>
      </w:r>
      <w:r w:rsidRPr="00EA1BB2">
        <w:rPr>
          <w:rFonts w:ascii="Cambria" w:eastAsia="Times New Roman" w:hAnsi="Cambria" w:cs="Cambria"/>
          <w:sz w:val="24"/>
          <w:szCs w:val="24"/>
        </w:rPr>
        <w:t>ă</w:t>
      </w:r>
      <w:r w:rsidRPr="00EA1BB2">
        <w:rPr>
          <w:rFonts w:ascii="Cambria" w:eastAsia="Times New Roman" w:hAnsi="Cambria" w:cs="Times New Roman"/>
          <w:sz w:val="24"/>
          <w:szCs w:val="24"/>
        </w:rPr>
        <w:t xml:space="preserve">ila </w:t>
      </w:r>
      <w:r w:rsidRPr="00EA1BB2">
        <w:rPr>
          <w:rFonts w:ascii="Cambria" w:eastAsia="Times New Roman" w:hAnsi="Cambria" w:cs="Cambria"/>
          <w:sz w:val="24"/>
          <w:szCs w:val="24"/>
        </w:rPr>
        <w:t>–</w:t>
      </w:r>
      <w:r w:rsidRPr="00EA1BB2">
        <w:rPr>
          <w:rFonts w:ascii="Cambria" w:eastAsia="Times New Roman" w:hAnsi="Cambria" w:cs="Times New Roman"/>
          <w:sz w:val="24"/>
          <w:szCs w:val="24"/>
        </w:rPr>
        <w:t xml:space="preserve"> Gala</w:t>
      </w:r>
      <w:r w:rsidR="00054880" w:rsidRPr="00EA1BB2">
        <w:rPr>
          <w:rFonts w:ascii="Cambria" w:eastAsia="Times New Roman" w:hAnsi="Cambria" w:cs="Cambria"/>
          <w:sz w:val="24"/>
          <w:szCs w:val="24"/>
        </w:rPr>
        <w:t>ț</w:t>
      </w:r>
      <w:r w:rsidRPr="00EA1BB2">
        <w:rPr>
          <w:rFonts w:ascii="Cambria" w:eastAsia="Times New Roman" w:hAnsi="Cambria" w:cs="Times New Roman"/>
          <w:sz w:val="24"/>
          <w:szCs w:val="24"/>
        </w:rPr>
        <w:t xml:space="preserve">i </w:t>
      </w:r>
      <w:r w:rsidRPr="00EA1BB2">
        <w:rPr>
          <w:rFonts w:ascii="Cambria" w:eastAsia="Times New Roman" w:hAnsi="Cambria" w:cs="Cambria"/>
          <w:sz w:val="24"/>
          <w:szCs w:val="24"/>
        </w:rPr>
        <w:t>–</w:t>
      </w:r>
      <w:r w:rsidRPr="00EA1BB2">
        <w:rPr>
          <w:rFonts w:ascii="Cambria" w:eastAsia="Times New Roman" w:hAnsi="Cambria" w:cs="Times New Roman"/>
          <w:sz w:val="24"/>
          <w:szCs w:val="24"/>
        </w:rPr>
        <w:t>re</w:t>
      </w:r>
      <w:r w:rsidR="00054880" w:rsidRPr="00EA1BB2">
        <w:rPr>
          <w:rFonts w:ascii="Cambria" w:eastAsia="Times New Roman" w:hAnsi="Cambria" w:cs="Cambria"/>
          <w:sz w:val="24"/>
          <w:szCs w:val="24"/>
        </w:rPr>
        <w:t>ț</w:t>
      </w:r>
      <w:r w:rsidRPr="00EA1BB2">
        <w:rPr>
          <w:rFonts w:ascii="Cambria" w:eastAsia="Times New Roman" w:hAnsi="Cambria" w:cs="Times New Roman"/>
          <w:sz w:val="24"/>
          <w:szCs w:val="24"/>
        </w:rPr>
        <w:t>eaua TEN-F</w:t>
      </w:r>
    </w:p>
    <w:p w14:paraId="1BF81D6C" w14:textId="77777777" w:rsidR="00ED596B" w:rsidRPr="00EA1BB2" w:rsidRDefault="00ED596B" w:rsidP="003A520C">
      <w:pPr>
        <w:numPr>
          <w:ilvl w:val="1"/>
          <w:numId w:val="32"/>
        </w:numPr>
        <w:spacing w:after="200" w:line="360" w:lineRule="auto"/>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cale ferată simplă neelectrificată:</w:t>
      </w:r>
    </w:p>
    <w:p w14:paraId="188D747B" w14:textId="77777777" w:rsidR="00ED596B" w:rsidRPr="00EA1BB2" w:rsidRDefault="00ED596B" w:rsidP="003A520C">
      <w:pPr>
        <w:numPr>
          <w:ilvl w:val="2"/>
          <w:numId w:val="32"/>
        </w:numPr>
        <w:spacing w:after="200" w:line="360" w:lineRule="auto"/>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sectorul F</w:t>
      </w:r>
      <w:r w:rsidRPr="00EA1BB2">
        <w:rPr>
          <w:rFonts w:ascii="Cambria" w:eastAsia="Times New Roman" w:hAnsi="Cambria" w:cs="Cambria"/>
          <w:sz w:val="24"/>
          <w:szCs w:val="24"/>
        </w:rPr>
        <w:t>ă</w:t>
      </w:r>
      <w:r w:rsidRPr="00EA1BB2">
        <w:rPr>
          <w:rFonts w:ascii="Cambria" w:eastAsia="Times New Roman" w:hAnsi="Cambria" w:cs="Times New Roman"/>
          <w:sz w:val="24"/>
          <w:szCs w:val="24"/>
        </w:rPr>
        <w:t xml:space="preserve">urei </w:t>
      </w:r>
      <w:r w:rsidRPr="00EA1BB2">
        <w:rPr>
          <w:rFonts w:ascii="Cambria" w:eastAsia="Times New Roman" w:hAnsi="Cambria" w:cs="Cambria"/>
          <w:sz w:val="24"/>
          <w:szCs w:val="24"/>
        </w:rPr>
        <w:t>–</w:t>
      </w:r>
      <w:r w:rsidRPr="00EA1BB2">
        <w:rPr>
          <w:rFonts w:ascii="Cambria" w:eastAsia="Times New Roman" w:hAnsi="Cambria" w:cs="Times New Roman"/>
          <w:sz w:val="24"/>
          <w:szCs w:val="24"/>
        </w:rPr>
        <w:t xml:space="preserve"> Urziceni </w:t>
      </w:r>
      <w:r w:rsidRPr="00EA1BB2">
        <w:rPr>
          <w:rFonts w:ascii="Cambria" w:eastAsia="Times New Roman" w:hAnsi="Cambria" w:cs="Cambria"/>
          <w:sz w:val="24"/>
          <w:szCs w:val="24"/>
        </w:rPr>
        <w:t>–</w:t>
      </w:r>
      <w:r w:rsidRPr="00EA1BB2">
        <w:rPr>
          <w:rFonts w:ascii="Cambria" w:eastAsia="Times New Roman" w:hAnsi="Cambria" w:cs="Times New Roman"/>
          <w:sz w:val="24"/>
          <w:szCs w:val="24"/>
        </w:rPr>
        <w:t xml:space="preserve"> Bucure</w:t>
      </w:r>
      <w:r w:rsidR="00054880" w:rsidRPr="00EA1BB2">
        <w:rPr>
          <w:rFonts w:ascii="Cambria" w:eastAsia="Times New Roman" w:hAnsi="Cambria" w:cs="Cambria"/>
          <w:sz w:val="24"/>
          <w:szCs w:val="24"/>
        </w:rPr>
        <w:t>ș</w:t>
      </w:r>
      <w:r w:rsidRPr="00EA1BB2">
        <w:rPr>
          <w:rFonts w:ascii="Cambria" w:eastAsia="Times New Roman" w:hAnsi="Cambria" w:cs="Times New Roman"/>
          <w:sz w:val="24"/>
          <w:szCs w:val="24"/>
        </w:rPr>
        <w:t>ti</w:t>
      </w:r>
    </w:p>
    <w:p w14:paraId="05BA47A9" w14:textId="77777777" w:rsidR="00ED596B" w:rsidRPr="00EA1BB2" w:rsidRDefault="00ED596B" w:rsidP="003A520C">
      <w:pPr>
        <w:numPr>
          <w:ilvl w:val="0"/>
          <w:numId w:val="32"/>
        </w:numPr>
        <w:spacing w:after="200" w:line="360" w:lineRule="auto"/>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magistrala 600 – Făurei – Tecuci – Ia</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w:t>
      </w:r>
    </w:p>
    <w:p w14:paraId="565BE1FB" w14:textId="77777777" w:rsidR="00ED596B" w:rsidRPr="00EA1BB2" w:rsidRDefault="00ED596B" w:rsidP="003A520C">
      <w:pPr>
        <w:numPr>
          <w:ilvl w:val="1"/>
          <w:numId w:val="32"/>
        </w:numPr>
        <w:spacing w:after="200" w:line="360" w:lineRule="auto"/>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cale ferată simplă neelectrificată:</w:t>
      </w:r>
    </w:p>
    <w:p w14:paraId="1DF92DE2" w14:textId="77777777" w:rsidR="00ED596B" w:rsidRPr="00EA1BB2" w:rsidRDefault="00ED596B" w:rsidP="003A520C">
      <w:pPr>
        <w:numPr>
          <w:ilvl w:val="2"/>
          <w:numId w:val="32"/>
        </w:numPr>
        <w:spacing w:after="200" w:line="360" w:lineRule="auto"/>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sectorul limită jude</w:t>
      </w:r>
      <w:r w:rsidR="00054880" w:rsidRPr="00EA1BB2">
        <w:rPr>
          <w:rFonts w:ascii="Cambria" w:eastAsia="Times New Roman" w:hAnsi="Cambria" w:cs="Cambria"/>
          <w:sz w:val="24"/>
          <w:szCs w:val="24"/>
        </w:rPr>
        <w:t>ț</w:t>
      </w:r>
      <w:r w:rsidRPr="00EA1BB2">
        <w:rPr>
          <w:rFonts w:ascii="Cambria" w:eastAsia="Times New Roman" w:hAnsi="Cambria" w:cs="Times New Roman"/>
          <w:sz w:val="24"/>
          <w:szCs w:val="24"/>
        </w:rPr>
        <w:t xml:space="preserve"> Gala</w:t>
      </w:r>
      <w:r w:rsidR="00054880" w:rsidRPr="00EA1BB2">
        <w:rPr>
          <w:rFonts w:ascii="Cambria" w:eastAsia="Times New Roman" w:hAnsi="Cambria" w:cs="Cambria"/>
          <w:sz w:val="24"/>
          <w:szCs w:val="24"/>
        </w:rPr>
        <w:t>ț</w:t>
      </w:r>
      <w:r w:rsidRPr="00EA1BB2">
        <w:rPr>
          <w:rFonts w:ascii="Cambria" w:eastAsia="Times New Roman" w:hAnsi="Cambria" w:cs="Times New Roman"/>
          <w:sz w:val="24"/>
          <w:szCs w:val="24"/>
        </w:rPr>
        <w:t>i - F</w:t>
      </w:r>
      <w:r w:rsidRPr="00EA1BB2">
        <w:rPr>
          <w:rFonts w:ascii="Cambria" w:eastAsia="Times New Roman" w:hAnsi="Cambria" w:cs="Cambria"/>
          <w:sz w:val="24"/>
          <w:szCs w:val="24"/>
        </w:rPr>
        <w:t>ă</w:t>
      </w:r>
      <w:r w:rsidRPr="00EA1BB2">
        <w:rPr>
          <w:rFonts w:ascii="Cambria" w:eastAsia="Times New Roman" w:hAnsi="Cambria" w:cs="Times New Roman"/>
          <w:sz w:val="24"/>
          <w:szCs w:val="24"/>
        </w:rPr>
        <w:t>urei</w:t>
      </w:r>
    </w:p>
    <w:p w14:paraId="7B61E674" w14:textId="77777777" w:rsidR="00ED596B" w:rsidRPr="00EA1BB2" w:rsidRDefault="00ED596B" w:rsidP="003A520C">
      <w:pPr>
        <w:numPr>
          <w:ilvl w:val="0"/>
          <w:numId w:val="32"/>
        </w:numPr>
        <w:spacing w:after="200" w:line="360" w:lineRule="auto"/>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linia 702 – Buzău –Făurei – Fete</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ti - re</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eaua TEN-F</w:t>
      </w:r>
    </w:p>
    <w:p w14:paraId="75D2E88C" w14:textId="77777777" w:rsidR="00ED596B" w:rsidRPr="00EA1BB2" w:rsidRDefault="00ED596B" w:rsidP="003A520C">
      <w:pPr>
        <w:numPr>
          <w:ilvl w:val="1"/>
          <w:numId w:val="32"/>
        </w:numPr>
        <w:spacing w:after="200" w:line="360" w:lineRule="auto"/>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cale ferată dublă electrificată:</w:t>
      </w:r>
    </w:p>
    <w:p w14:paraId="37303F2B" w14:textId="77777777" w:rsidR="00ED596B" w:rsidRPr="00EA1BB2" w:rsidRDefault="00ED596B" w:rsidP="003A520C">
      <w:pPr>
        <w:numPr>
          <w:ilvl w:val="2"/>
          <w:numId w:val="32"/>
        </w:numPr>
        <w:spacing w:line="360" w:lineRule="auto"/>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sectorul limită jude</w:t>
      </w:r>
      <w:r w:rsidR="00054880" w:rsidRPr="00EA1BB2">
        <w:rPr>
          <w:rFonts w:ascii="Cambria" w:eastAsia="Times New Roman" w:hAnsi="Cambria" w:cs="Cambria"/>
          <w:sz w:val="24"/>
          <w:szCs w:val="24"/>
        </w:rPr>
        <w:t>ț</w:t>
      </w:r>
      <w:r w:rsidRPr="00EA1BB2">
        <w:rPr>
          <w:rFonts w:ascii="Cambria" w:eastAsia="Times New Roman" w:hAnsi="Cambria" w:cs="Times New Roman"/>
          <w:sz w:val="24"/>
          <w:szCs w:val="24"/>
        </w:rPr>
        <w:t xml:space="preserve"> Buz</w:t>
      </w:r>
      <w:r w:rsidRPr="00EA1BB2">
        <w:rPr>
          <w:rFonts w:ascii="Cambria" w:eastAsia="Times New Roman" w:hAnsi="Cambria" w:cs="Cambria"/>
          <w:sz w:val="24"/>
          <w:szCs w:val="24"/>
        </w:rPr>
        <w:t>ă</w:t>
      </w:r>
      <w:r w:rsidRPr="00EA1BB2">
        <w:rPr>
          <w:rFonts w:ascii="Cambria" w:eastAsia="Times New Roman" w:hAnsi="Cambria" w:cs="Times New Roman"/>
          <w:sz w:val="24"/>
          <w:szCs w:val="24"/>
        </w:rPr>
        <w:t>u - F</w:t>
      </w:r>
      <w:r w:rsidRPr="00EA1BB2">
        <w:rPr>
          <w:rFonts w:ascii="Cambria" w:eastAsia="Times New Roman" w:hAnsi="Cambria" w:cs="Cambria"/>
          <w:sz w:val="24"/>
          <w:szCs w:val="24"/>
        </w:rPr>
        <w:t>ă</w:t>
      </w:r>
      <w:r w:rsidRPr="00EA1BB2">
        <w:rPr>
          <w:rFonts w:ascii="Cambria" w:eastAsia="Times New Roman" w:hAnsi="Cambria" w:cs="Times New Roman"/>
          <w:sz w:val="24"/>
          <w:szCs w:val="24"/>
        </w:rPr>
        <w:t xml:space="preserve">urei </w:t>
      </w:r>
      <w:r w:rsidRPr="00EA1BB2">
        <w:rPr>
          <w:rFonts w:ascii="Cambria" w:eastAsia="Times New Roman" w:hAnsi="Cambria" w:cs="Cambria"/>
          <w:sz w:val="24"/>
          <w:szCs w:val="24"/>
        </w:rPr>
        <w:t>–</w:t>
      </w:r>
      <w:r w:rsidRPr="00EA1BB2">
        <w:rPr>
          <w:rFonts w:ascii="Cambria" w:eastAsia="Times New Roman" w:hAnsi="Cambria" w:cs="Times New Roman"/>
          <w:sz w:val="24"/>
          <w:szCs w:val="24"/>
        </w:rPr>
        <w:t xml:space="preserve"> limită jude</w:t>
      </w:r>
      <w:r w:rsidR="00054880" w:rsidRPr="00EA1BB2">
        <w:rPr>
          <w:rFonts w:ascii="Cambria" w:eastAsia="Times New Roman" w:hAnsi="Cambria" w:cs="Cambria"/>
          <w:sz w:val="24"/>
          <w:szCs w:val="24"/>
        </w:rPr>
        <w:t>ț</w:t>
      </w:r>
      <w:r w:rsidRPr="00EA1BB2">
        <w:rPr>
          <w:rFonts w:ascii="Cambria" w:eastAsia="Times New Roman" w:hAnsi="Cambria" w:cs="Times New Roman"/>
          <w:sz w:val="24"/>
          <w:szCs w:val="24"/>
        </w:rPr>
        <w:t xml:space="preserve"> Ialomi</w:t>
      </w:r>
      <w:r w:rsidR="00054880" w:rsidRPr="00EA1BB2">
        <w:rPr>
          <w:rFonts w:ascii="Cambria" w:eastAsia="Times New Roman" w:hAnsi="Cambria" w:cs="Cambria"/>
          <w:sz w:val="24"/>
          <w:szCs w:val="24"/>
        </w:rPr>
        <w:t>ț</w:t>
      </w:r>
      <w:r w:rsidRPr="00EA1BB2">
        <w:rPr>
          <w:rFonts w:ascii="Cambria" w:eastAsia="Times New Roman" w:hAnsi="Cambria" w:cs="Times New Roman"/>
          <w:sz w:val="24"/>
          <w:szCs w:val="24"/>
        </w:rPr>
        <w:t>a</w:t>
      </w:r>
    </w:p>
    <w:p w14:paraId="50F41549" w14:textId="77777777" w:rsidR="00ED596B" w:rsidRPr="00EA1BB2" w:rsidRDefault="00ED596B" w:rsidP="00ED596B">
      <w:pPr>
        <w:spacing w:line="360" w:lineRule="auto"/>
        <w:ind w:firstLine="720"/>
        <w:jc w:val="both"/>
        <w:rPr>
          <w:rFonts w:ascii="Cambria" w:eastAsia="Times New Roman" w:hAnsi="Cambria" w:cs="Times New Roman"/>
          <w:sz w:val="24"/>
          <w:szCs w:val="24"/>
        </w:rPr>
      </w:pPr>
      <w:r w:rsidRPr="00EA1BB2">
        <w:rPr>
          <w:rFonts w:ascii="Cambria" w:eastAsia="Times New Roman" w:hAnsi="Cambria" w:cs="Times New Roman"/>
          <w:sz w:val="24"/>
          <w:szCs w:val="24"/>
        </w:rPr>
        <w:t>Lungimea totală a căilor ferate în exploatare din jude</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ul Brăila în anul 201</w:t>
      </w:r>
      <w:r w:rsidR="00B176F3" w:rsidRPr="00EA1BB2">
        <w:rPr>
          <w:rFonts w:ascii="Cambria" w:eastAsia="Times New Roman" w:hAnsi="Cambria" w:cs="Times New Roman"/>
          <w:sz w:val="24"/>
          <w:szCs w:val="24"/>
        </w:rPr>
        <w:t>7</w:t>
      </w:r>
      <w:r w:rsidRPr="00EA1BB2">
        <w:rPr>
          <w:rFonts w:ascii="Cambria" w:eastAsia="Times New Roman" w:hAnsi="Cambria" w:cs="Times New Roman"/>
          <w:sz w:val="24"/>
          <w:szCs w:val="24"/>
        </w:rPr>
        <w:t xml:space="preserve"> însuma 158 km, ceea ce reprezintă 9,1% din lungimea căilor ferate din regiune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doar 1,5% din lungimea na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ională a acestora.</w:t>
      </w:r>
    </w:p>
    <w:p w14:paraId="3EE161FE" w14:textId="77777777" w:rsidR="00ED596B" w:rsidRPr="00EA1BB2" w:rsidRDefault="00ED596B" w:rsidP="00ED596B">
      <w:pPr>
        <w:spacing w:line="360" w:lineRule="auto"/>
        <w:ind w:firstLine="720"/>
        <w:jc w:val="both"/>
        <w:rPr>
          <w:rFonts w:ascii="Cambria" w:eastAsia="Times New Roman" w:hAnsi="Cambria" w:cs="Times New Roman"/>
          <w:sz w:val="24"/>
          <w:szCs w:val="24"/>
        </w:rPr>
      </w:pPr>
      <w:r w:rsidRPr="00EA1BB2">
        <w:rPr>
          <w:rFonts w:ascii="Cambria" w:eastAsia="Times New Roman" w:hAnsi="Cambria" w:cs="Times New Roman"/>
          <w:sz w:val="24"/>
          <w:szCs w:val="24"/>
        </w:rPr>
        <w:t>Din cei 158 de km de căi ferate, 20,3% (32 km) erau forma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 din linii ferate cu o cale, iar restul de 79,7% (126 km) din linii ferate cu două căi.</w:t>
      </w:r>
    </w:p>
    <w:p w14:paraId="67792A42" w14:textId="77777777" w:rsidR="00ED596B" w:rsidRPr="00EA1BB2" w:rsidRDefault="00ED596B" w:rsidP="005B216D">
      <w:pPr>
        <w:spacing w:line="360" w:lineRule="auto"/>
        <w:ind w:firstLine="720"/>
        <w:jc w:val="both"/>
        <w:rPr>
          <w:rFonts w:ascii="Cambria" w:eastAsia="Times New Roman" w:hAnsi="Cambria" w:cs="Times New Roman"/>
          <w:sz w:val="24"/>
          <w:szCs w:val="24"/>
        </w:rPr>
      </w:pPr>
      <w:r w:rsidRPr="00EA1BB2">
        <w:rPr>
          <w:rFonts w:ascii="Cambria" w:eastAsia="Times New Roman" w:hAnsi="Cambria" w:cs="Times New Roman"/>
          <w:sz w:val="24"/>
          <w:szCs w:val="24"/>
        </w:rPr>
        <w:t>Starea tehnică a re</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elei de cale ferată este în general bună. Nivelul dotărilor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starea tehnică a liniilor nu permit viteze mai mari de 60 - 80 km/h. Lucrările de artă întâlnite pe re</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eaua de căi ferate a jude</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ului, sunt: viaductele, podurile cu deschideri mai mari de 10m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pode</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e cu deschideri între 0,5 -10m.</w:t>
      </w:r>
    </w:p>
    <w:p w14:paraId="2E570FC7" w14:textId="77777777" w:rsidR="00ED596B" w:rsidRPr="00EA1BB2" w:rsidRDefault="00D63B86" w:rsidP="00E859EF">
      <w:pPr>
        <w:pStyle w:val="ListParagraph"/>
        <w:keepNext/>
        <w:keepLines/>
        <w:numPr>
          <w:ilvl w:val="2"/>
          <w:numId w:val="1"/>
        </w:numPr>
        <w:spacing w:after="0" w:line="360" w:lineRule="auto"/>
        <w:ind w:left="709" w:firstLine="0"/>
        <w:jc w:val="both"/>
        <w:outlineLvl w:val="2"/>
        <w:rPr>
          <w:rFonts w:ascii="Cambria" w:eastAsia="Times New Roman" w:hAnsi="Cambria" w:cs="Times New Roman"/>
          <w:b/>
          <w:color w:val="0070C0"/>
          <w:sz w:val="24"/>
          <w:szCs w:val="24"/>
          <w:lang w:val="ro-RO"/>
        </w:rPr>
      </w:pPr>
      <w:bookmarkStart w:id="87" w:name="_Toc452983805"/>
      <w:bookmarkStart w:id="88" w:name="_Toc465648572"/>
      <w:bookmarkStart w:id="89" w:name="_Toc526889711"/>
      <w:r w:rsidRPr="00EA1BB2">
        <w:rPr>
          <w:rFonts w:ascii="Cambria" w:eastAsia="Times New Roman" w:hAnsi="Cambria" w:cs="Times New Roman"/>
          <w:b/>
          <w:color w:val="0070C0"/>
          <w:sz w:val="24"/>
          <w:szCs w:val="24"/>
          <w:lang w:val="ro-RO"/>
        </w:rPr>
        <w:lastRenderedPageBreak/>
        <w:t>Sector i</w:t>
      </w:r>
      <w:r w:rsidR="00ED596B" w:rsidRPr="00EA1BB2">
        <w:rPr>
          <w:rFonts w:ascii="Cambria" w:eastAsia="Times New Roman" w:hAnsi="Cambria" w:cs="Times New Roman"/>
          <w:b/>
          <w:color w:val="0070C0"/>
          <w:sz w:val="24"/>
          <w:szCs w:val="24"/>
          <w:lang w:val="ro-RO"/>
        </w:rPr>
        <w:t>ndustrie</w:t>
      </w:r>
      <w:bookmarkEnd w:id="87"/>
      <w:bookmarkEnd w:id="88"/>
      <w:bookmarkEnd w:id="89"/>
    </w:p>
    <w:p w14:paraId="5D050B0D" w14:textId="77777777" w:rsidR="00ED596B" w:rsidRPr="00EA1BB2" w:rsidRDefault="00ED596B" w:rsidP="00ED596B">
      <w:pPr>
        <w:spacing w:line="360" w:lineRule="auto"/>
        <w:ind w:firstLine="720"/>
        <w:jc w:val="both"/>
        <w:rPr>
          <w:rFonts w:ascii="Cambria" w:eastAsia="Times New Roman" w:hAnsi="Cambria" w:cs="Times New Roman"/>
          <w:sz w:val="24"/>
          <w:szCs w:val="24"/>
        </w:rPr>
      </w:pPr>
      <w:r w:rsidRPr="00EA1BB2">
        <w:rPr>
          <w:rFonts w:ascii="Cambria" w:eastAsia="Times New Roman" w:hAnsi="Cambria" w:cs="Times New Roman"/>
          <w:sz w:val="24"/>
          <w:szCs w:val="24"/>
        </w:rPr>
        <w:t>Industria reprezintă un alt sector economic de bază, în care efectele activită</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ilor antropice asupra mediului înconjurător sunt importante.</w:t>
      </w:r>
    </w:p>
    <w:p w14:paraId="2585CFAF" w14:textId="77777777" w:rsidR="00B176F3" w:rsidRPr="00EA1BB2" w:rsidRDefault="00DF1B38" w:rsidP="00787232">
      <w:pPr>
        <w:spacing w:line="360" w:lineRule="auto"/>
        <w:ind w:firstLine="720"/>
        <w:jc w:val="both"/>
        <w:rPr>
          <w:rFonts w:ascii="Cambria" w:eastAsia="Times New Roman" w:hAnsi="Cambria" w:cs="Times New Roman"/>
          <w:sz w:val="24"/>
          <w:szCs w:val="24"/>
        </w:rPr>
      </w:pPr>
      <w:r w:rsidRPr="00EA1BB2">
        <w:rPr>
          <w:rFonts w:ascii="Cambria" w:eastAsia="Times New Roman" w:hAnsi="Cambria" w:cs="Times New Roman"/>
          <w:sz w:val="24"/>
          <w:szCs w:val="24"/>
        </w:rPr>
        <w:t>La nivelul județului Brăila se găses</w:t>
      </w:r>
      <w:r w:rsidR="00B01CF7" w:rsidRPr="00EA1BB2">
        <w:rPr>
          <w:rFonts w:ascii="Cambria" w:eastAsia="Times New Roman" w:hAnsi="Cambria" w:cs="Times New Roman"/>
          <w:sz w:val="24"/>
          <w:szCs w:val="24"/>
        </w:rPr>
        <w:t xml:space="preserve">c activități industriale precum </w:t>
      </w:r>
      <w:r w:rsidR="00B176F3" w:rsidRPr="00EA1BB2">
        <w:rPr>
          <w:rFonts w:ascii="Cambria" w:eastAsia="Times New Roman" w:hAnsi="Cambria" w:cs="Times New Roman"/>
          <w:sz w:val="24"/>
          <w:szCs w:val="24"/>
        </w:rPr>
        <w:t>Producerea de energie electrică și termică (cod NFR 1.A.1.a), Arderi în industrii de fabricare și construcții – fabricare fontă și oțel și fabricare feroaliaje (cod NFR 1.A.2.a), Arderi în industrii de fabricare și construcții – fabricare alimente, băuturi și tutun (cod NFR 1.A.2.e), Arderi în industrii de fabricare și construcții – altele (cod NFR 1.A.2.f.i), Echipamente și utilaje mobile în activități comerciale și insti</w:t>
      </w:r>
      <w:r w:rsidR="00B01CF7" w:rsidRPr="00EA1BB2">
        <w:rPr>
          <w:rFonts w:ascii="Cambria" w:eastAsia="Times New Roman" w:hAnsi="Cambria" w:cs="Times New Roman"/>
          <w:sz w:val="24"/>
          <w:szCs w:val="24"/>
        </w:rPr>
        <w:t xml:space="preserve">tuționale (cod NFR 1.A.4.a.ii), Agricultură/Silvicultură/Pescuit - Surse staționare </w:t>
      </w:r>
      <w:r w:rsidR="00B176F3" w:rsidRPr="00EA1BB2">
        <w:rPr>
          <w:rFonts w:ascii="Cambria" w:eastAsia="Times New Roman" w:hAnsi="Cambria" w:cs="Times New Roman"/>
          <w:sz w:val="24"/>
          <w:szCs w:val="24"/>
        </w:rPr>
        <w:t>(cod NFR 1.A.4.c.i), Fabricare fontă și oțel (cod NFR 2.C.1) și Crematorii (cod NFR 6.C.d</w:t>
      </w:r>
      <w:r w:rsidR="00B01CF7" w:rsidRPr="00EA1BB2">
        <w:rPr>
          <w:rFonts w:ascii="Cambria" w:eastAsia="Times New Roman" w:hAnsi="Cambria" w:cs="Times New Roman"/>
          <w:sz w:val="24"/>
          <w:szCs w:val="24"/>
        </w:rPr>
        <w:t>).</w:t>
      </w:r>
    </w:p>
    <w:p w14:paraId="197D3DE0" w14:textId="77777777" w:rsidR="00ED596B" w:rsidRPr="00EA1BB2" w:rsidRDefault="00ED596B" w:rsidP="00ED596B">
      <w:pPr>
        <w:spacing w:line="360" w:lineRule="auto"/>
        <w:jc w:val="both"/>
        <w:rPr>
          <w:rFonts w:ascii="Cambria" w:eastAsia="Times New Roman" w:hAnsi="Cambria" w:cs="Times New Roman"/>
          <w:sz w:val="24"/>
          <w:szCs w:val="24"/>
        </w:rPr>
      </w:pPr>
    </w:p>
    <w:p w14:paraId="74BB70EB" w14:textId="610D6094" w:rsidR="00ED596B" w:rsidRPr="00EA1BB2" w:rsidRDefault="00D63B86" w:rsidP="00E859EF">
      <w:pPr>
        <w:pStyle w:val="ListParagraph"/>
        <w:keepNext/>
        <w:keepLines/>
        <w:numPr>
          <w:ilvl w:val="2"/>
          <w:numId w:val="1"/>
        </w:numPr>
        <w:spacing w:after="0" w:line="360" w:lineRule="auto"/>
        <w:ind w:left="709" w:firstLine="0"/>
        <w:jc w:val="both"/>
        <w:outlineLvl w:val="2"/>
        <w:rPr>
          <w:rFonts w:ascii="Cambria" w:eastAsia="Times New Roman" w:hAnsi="Cambria" w:cs="Times New Roman"/>
          <w:b/>
          <w:color w:val="0070C0"/>
          <w:sz w:val="24"/>
          <w:szCs w:val="24"/>
          <w:lang w:val="ro-RO"/>
        </w:rPr>
      </w:pPr>
      <w:bookmarkStart w:id="90" w:name="_Toc526889712"/>
      <w:r w:rsidRPr="00EA1BB2">
        <w:rPr>
          <w:rFonts w:ascii="Cambria" w:eastAsia="Times New Roman" w:hAnsi="Cambria" w:cs="Times New Roman"/>
          <w:b/>
          <w:color w:val="0070C0"/>
          <w:sz w:val="24"/>
          <w:szCs w:val="24"/>
          <w:lang w:val="ro-RO"/>
        </w:rPr>
        <w:t>Sector încălzire</w:t>
      </w:r>
      <w:r w:rsidR="00ED596B" w:rsidRPr="00EA1BB2">
        <w:rPr>
          <w:rFonts w:ascii="Cambria" w:eastAsia="Times New Roman" w:hAnsi="Cambria" w:cs="Times New Roman"/>
          <w:b/>
          <w:color w:val="0070C0"/>
          <w:sz w:val="24"/>
          <w:szCs w:val="24"/>
          <w:lang w:val="ro-RO"/>
        </w:rPr>
        <w:t xml:space="preserve"> comercial</w:t>
      </w:r>
      <w:r w:rsidRPr="00EA1BB2">
        <w:rPr>
          <w:rFonts w:ascii="Cambria" w:eastAsia="Times New Roman" w:hAnsi="Cambria" w:cs="Times New Roman"/>
          <w:b/>
          <w:color w:val="0070C0"/>
          <w:sz w:val="24"/>
          <w:szCs w:val="24"/>
          <w:lang w:val="ro-RO"/>
        </w:rPr>
        <w:t>ă</w:t>
      </w:r>
      <w:r w:rsidR="00680409" w:rsidRPr="00EA1BB2">
        <w:rPr>
          <w:rFonts w:ascii="Cambria" w:eastAsia="Times New Roman" w:hAnsi="Cambria" w:cs="Times New Roman"/>
          <w:b/>
          <w:color w:val="0070C0"/>
          <w:sz w:val="24"/>
          <w:szCs w:val="24"/>
          <w:lang w:val="ro-RO"/>
        </w:rPr>
        <w:t xml:space="preserve"> </w:t>
      </w:r>
      <w:r w:rsidR="00054880" w:rsidRPr="00EA1BB2">
        <w:rPr>
          <w:rFonts w:ascii="Cambria" w:eastAsia="Times New Roman" w:hAnsi="Cambria" w:cs="Times New Roman"/>
          <w:b/>
          <w:color w:val="0070C0"/>
          <w:sz w:val="24"/>
          <w:szCs w:val="24"/>
          <w:lang w:val="ro-RO"/>
        </w:rPr>
        <w:t>ș</w:t>
      </w:r>
      <w:r w:rsidR="00ED596B" w:rsidRPr="00EA1BB2">
        <w:rPr>
          <w:rFonts w:ascii="Cambria" w:eastAsia="Times New Roman" w:hAnsi="Cambria" w:cs="Times New Roman"/>
          <w:b/>
          <w:color w:val="0070C0"/>
          <w:sz w:val="24"/>
          <w:szCs w:val="24"/>
          <w:lang w:val="ro-RO"/>
        </w:rPr>
        <w:t>i reziden</w:t>
      </w:r>
      <w:r w:rsidR="00054880" w:rsidRPr="00EA1BB2">
        <w:rPr>
          <w:rFonts w:ascii="Cambria" w:eastAsia="Times New Roman" w:hAnsi="Cambria" w:cs="Times New Roman"/>
          <w:b/>
          <w:color w:val="0070C0"/>
          <w:sz w:val="24"/>
          <w:szCs w:val="24"/>
          <w:lang w:val="ro-RO"/>
        </w:rPr>
        <w:t>ț</w:t>
      </w:r>
      <w:r w:rsidR="00ED596B" w:rsidRPr="00EA1BB2">
        <w:rPr>
          <w:rFonts w:ascii="Cambria" w:eastAsia="Times New Roman" w:hAnsi="Cambria" w:cs="Times New Roman"/>
          <w:b/>
          <w:color w:val="0070C0"/>
          <w:sz w:val="24"/>
          <w:szCs w:val="24"/>
          <w:lang w:val="ro-RO"/>
        </w:rPr>
        <w:t>ial</w:t>
      </w:r>
      <w:r w:rsidRPr="00EA1BB2">
        <w:rPr>
          <w:rFonts w:ascii="Cambria" w:eastAsia="Times New Roman" w:hAnsi="Cambria" w:cs="Times New Roman"/>
          <w:b/>
          <w:color w:val="0070C0"/>
          <w:sz w:val="24"/>
          <w:szCs w:val="24"/>
          <w:lang w:val="ro-RO"/>
        </w:rPr>
        <w:t>ă</w:t>
      </w:r>
      <w:bookmarkEnd w:id="90"/>
    </w:p>
    <w:p w14:paraId="55E7F090" w14:textId="77777777" w:rsidR="00414F52" w:rsidRPr="00EA1BB2" w:rsidRDefault="00414F52" w:rsidP="00414F52">
      <w:pPr>
        <w:spacing w:line="360" w:lineRule="auto"/>
        <w:ind w:firstLine="720"/>
        <w:jc w:val="both"/>
        <w:rPr>
          <w:rFonts w:ascii="Cambria" w:eastAsia="Times New Roman" w:hAnsi="Cambria" w:cs="Times New Roman"/>
          <w:sz w:val="24"/>
          <w:szCs w:val="24"/>
        </w:rPr>
      </w:pPr>
      <w:r w:rsidRPr="00EA1BB2">
        <w:rPr>
          <w:rFonts w:ascii="Cambria" w:eastAsia="Times New Roman" w:hAnsi="Cambria" w:cs="Times New Roman"/>
          <w:sz w:val="24"/>
          <w:szCs w:val="24"/>
        </w:rPr>
        <w:t>La nivelul județului Brăila a existat un sistem de alimentare cu energie termică centralizată doar la nivelul municipiului Brăila, prin CET SA Brăila, unitate care în prezent este dezafectată. La nivelul orașelor și comunelor nu există sistem de alimentare centralizat cu energie termică.</w:t>
      </w:r>
    </w:p>
    <w:p w14:paraId="3E04B4A1" w14:textId="77777777" w:rsidR="00414F52" w:rsidRPr="00EA1BB2" w:rsidRDefault="00414F52" w:rsidP="00414F52">
      <w:pPr>
        <w:spacing w:line="360" w:lineRule="auto"/>
        <w:ind w:firstLine="720"/>
        <w:jc w:val="both"/>
        <w:rPr>
          <w:rFonts w:ascii="Cambria" w:eastAsia="Times New Roman" w:hAnsi="Cambria" w:cs="Times New Roman"/>
          <w:sz w:val="24"/>
          <w:szCs w:val="24"/>
        </w:rPr>
      </w:pPr>
      <w:r w:rsidRPr="00EA1BB2">
        <w:rPr>
          <w:rFonts w:ascii="Cambria" w:eastAsia="Times New Roman" w:hAnsi="Cambria" w:cs="Times New Roman"/>
          <w:sz w:val="24"/>
          <w:szCs w:val="24"/>
        </w:rPr>
        <w:t>În mediul rural s-au implementat măsuri de asigurare a energiei termice prin centrale individuale în inst</w:t>
      </w:r>
      <w:r w:rsidR="00500E68" w:rsidRPr="00EA1BB2">
        <w:rPr>
          <w:rFonts w:ascii="Cambria" w:eastAsia="Times New Roman" w:hAnsi="Cambria" w:cs="Times New Roman"/>
          <w:sz w:val="24"/>
          <w:szCs w:val="24"/>
        </w:rPr>
        <w:t>ituții publice (primării, școli</w:t>
      </w:r>
      <w:r w:rsidRPr="00EA1BB2">
        <w:rPr>
          <w:rFonts w:ascii="Cambria" w:eastAsia="Times New Roman" w:hAnsi="Cambria" w:cs="Times New Roman"/>
          <w:sz w:val="24"/>
          <w:szCs w:val="24"/>
        </w:rPr>
        <w:t>).</w:t>
      </w:r>
    </w:p>
    <w:p w14:paraId="5592690B" w14:textId="05251B5F" w:rsidR="002A7977" w:rsidRPr="00EA1BB2" w:rsidRDefault="00EC364E" w:rsidP="00500E68">
      <w:pPr>
        <w:spacing w:line="360" w:lineRule="auto"/>
        <w:ind w:firstLine="708"/>
        <w:jc w:val="both"/>
        <w:rPr>
          <w:rFonts w:ascii="Cambria" w:eastAsia="Times New Roman" w:hAnsi="Cambria" w:cs="Times New Roman"/>
          <w:sz w:val="24"/>
          <w:szCs w:val="24"/>
        </w:rPr>
      </w:pPr>
      <w:r w:rsidRPr="00EA1BB2">
        <w:rPr>
          <w:rFonts w:ascii="Cambria" w:eastAsia="Times New Roman" w:hAnsi="Cambria" w:cs="Times New Roman"/>
          <w:sz w:val="24"/>
          <w:szCs w:val="24"/>
        </w:rPr>
        <w:t xml:space="preserve">Din analiza inventarului local de emisii pentru </w:t>
      </w:r>
      <w:r w:rsidR="00500E68" w:rsidRPr="00EA1BB2">
        <w:rPr>
          <w:rFonts w:ascii="Cambria" w:eastAsia="Times New Roman" w:hAnsi="Cambria" w:cs="Times New Roman"/>
          <w:sz w:val="24"/>
          <w:szCs w:val="24"/>
        </w:rPr>
        <w:t xml:space="preserve">zona </w:t>
      </w:r>
      <w:r w:rsidRPr="00EA1BB2">
        <w:rPr>
          <w:rFonts w:ascii="Cambria" w:eastAsia="Times New Roman" w:hAnsi="Cambria" w:cs="Times New Roman"/>
          <w:sz w:val="24"/>
          <w:szCs w:val="24"/>
        </w:rPr>
        <w:t xml:space="preserve">Brăila </w:t>
      </w:r>
      <w:r w:rsidR="00E300F6" w:rsidRPr="00EA1BB2">
        <w:rPr>
          <w:rFonts w:ascii="Cambria" w:eastAsia="Times New Roman" w:hAnsi="Cambria" w:cs="Times New Roman"/>
          <w:sz w:val="24"/>
          <w:szCs w:val="24"/>
        </w:rPr>
        <w:t xml:space="preserve">se observă că ponderea emisiilor din </w:t>
      </w:r>
      <w:r w:rsidR="00500E68" w:rsidRPr="00EA1BB2">
        <w:rPr>
          <w:rFonts w:ascii="Cambria" w:eastAsia="Times New Roman" w:hAnsi="Cambria" w:cs="Times New Roman"/>
          <w:sz w:val="24"/>
          <w:szCs w:val="24"/>
        </w:rPr>
        <w:t xml:space="preserve">comercial/instituțional </w:t>
      </w:r>
      <w:r w:rsidR="00116314" w:rsidRPr="00EA1BB2">
        <w:rPr>
          <w:rFonts w:ascii="Cambria" w:eastAsia="Times New Roman" w:hAnsi="Cambria" w:cs="Times New Roman"/>
          <w:sz w:val="24"/>
          <w:szCs w:val="24"/>
        </w:rPr>
        <w:t>(cod</w:t>
      </w:r>
      <w:r w:rsidR="00680409" w:rsidRPr="00EA1BB2">
        <w:rPr>
          <w:rFonts w:ascii="Cambria" w:eastAsia="Times New Roman" w:hAnsi="Cambria" w:cs="Times New Roman"/>
          <w:sz w:val="24"/>
          <w:szCs w:val="24"/>
        </w:rPr>
        <w:t xml:space="preserve"> </w:t>
      </w:r>
      <w:r w:rsidR="00116314" w:rsidRPr="00EA1BB2">
        <w:rPr>
          <w:rFonts w:ascii="Cambria" w:eastAsia="Times New Roman" w:hAnsi="Cambria" w:cs="Times New Roman"/>
          <w:sz w:val="24"/>
          <w:szCs w:val="24"/>
        </w:rPr>
        <w:t xml:space="preserve">NFR 1.A.4.a.i) </w:t>
      </w:r>
      <w:r w:rsidR="00E300F6" w:rsidRPr="00EA1BB2">
        <w:rPr>
          <w:rFonts w:ascii="Cambria" w:eastAsia="Times New Roman" w:hAnsi="Cambria" w:cs="Times New Roman"/>
          <w:sz w:val="24"/>
          <w:szCs w:val="24"/>
        </w:rPr>
        <w:t>o au poluanții</w:t>
      </w:r>
      <w:r w:rsidR="00500E68" w:rsidRPr="00EA1BB2">
        <w:rPr>
          <w:rFonts w:ascii="Cambria" w:eastAsia="Times New Roman" w:hAnsi="Cambria" w:cs="Times New Roman"/>
          <w:sz w:val="24"/>
          <w:szCs w:val="24"/>
        </w:rPr>
        <w:t xml:space="preserve"> Ni</w:t>
      </w:r>
      <w:r w:rsidR="00E300F6" w:rsidRPr="00EA1BB2">
        <w:rPr>
          <w:rFonts w:ascii="Cambria" w:eastAsia="Times New Roman" w:hAnsi="Cambria" w:cs="Times New Roman"/>
          <w:sz w:val="24"/>
          <w:szCs w:val="24"/>
        </w:rPr>
        <w:t xml:space="preserve">, </w:t>
      </w:r>
      <w:r w:rsidR="00500E68" w:rsidRPr="00EA1BB2">
        <w:rPr>
          <w:rFonts w:ascii="Cambria" w:eastAsia="Times New Roman" w:hAnsi="Cambria" w:cs="Times New Roman"/>
          <w:sz w:val="24"/>
          <w:szCs w:val="24"/>
        </w:rPr>
        <w:t>NOx</w:t>
      </w:r>
      <w:r w:rsidR="00E300F6" w:rsidRPr="00EA1BB2">
        <w:rPr>
          <w:rFonts w:ascii="Cambria" w:eastAsia="Times New Roman" w:hAnsi="Cambria" w:cs="Times New Roman"/>
          <w:sz w:val="24"/>
          <w:szCs w:val="24"/>
        </w:rPr>
        <w:t xml:space="preserve"> și</w:t>
      </w:r>
      <w:r w:rsidR="00500E68" w:rsidRPr="00EA1BB2">
        <w:rPr>
          <w:rFonts w:ascii="Cambria" w:eastAsia="Times New Roman" w:hAnsi="Cambria" w:cs="Times New Roman"/>
          <w:sz w:val="24"/>
          <w:szCs w:val="24"/>
        </w:rPr>
        <w:t xml:space="preserve"> SOx</w:t>
      </w:r>
      <w:r w:rsidR="00E300F6" w:rsidRPr="00EA1BB2">
        <w:rPr>
          <w:rFonts w:ascii="Cambria" w:eastAsia="Times New Roman" w:hAnsi="Cambria" w:cs="Times New Roman"/>
          <w:sz w:val="24"/>
          <w:szCs w:val="24"/>
        </w:rPr>
        <w:t xml:space="preserve">, iar din </w:t>
      </w:r>
      <w:r w:rsidR="00500E68" w:rsidRPr="00EA1BB2">
        <w:rPr>
          <w:rFonts w:ascii="Cambria" w:eastAsia="Times New Roman" w:hAnsi="Cambria" w:cs="Times New Roman"/>
          <w:sz w:val="24"/>
          <w:szCs w:val="24"/>
        </w:rPr>
        <w:t xml:space="preserve">rezidențial </w:t>
      </w:r>
      <w:r w:rsidR="00116314" w:rsidRPr="00EA1BB2">
        <w:rPr>
          <w:rFonts w:ascii="Cambria" w:eastAsia="Times New Roman" w:hAnsi="Cambria" w:cs="Times New Roman"/>
          <w:sz w:val="24"/>
          <w:szCs w:val="24"/>
        </w:rPr>
        <w:t xml:space="preserve">(cod NFR 1.A.4.b.i) </w:t>
      </w:r>
      <w:r w:rsidR="00E300F6" w:rsidRPr="00EA1BB2">
        <w:rPr>
          <w:rFonts w:ascii="Cambria" w:eastAsia="Times New Roman" w:hAnsi="Cambria" w:cs="Times New Roman"/>
          <w:sz w:val="24"/>
          <w:szCs w:val="24"/>
        </w:rPr>
        <w:t xml:space="preserve">o au emisiile de </w:t>
      </w:r>
      <w:r w:rsidR="00500E68" w:rsidRPr="00EA1BB2">
        <w:rPr>
          <w:rFonts w:ascii="Cambria" w:eastAsia="Times New Roman" w:hAnsi="Cambria" w:cs="Times New Roman"/>
          <w:sz w:val="24"/>
          <w:szCs w:val="24"/>
        </w:rPr>
        <w:t>Cd, CO</w:t>
      </w:r>
      <w:r w:rsidR="00E300F6" w:rsidRPr="00EA1BB2">
        <w:rPr>
          <w:rFonts w:ascii="Cambria" w:eastAsia="Times New Roman" w:hAnsi="Cambria" w:cs="Times New Roman"/>
          <w:sz w:val="24"/>
          <w:szCs w:val="24"/>
        </w:rPr>
        <w:t xml:space="preserve">, </w:t>
      </w:r>
      <w:r w:rsidR="00500E68" w:rsidRPr="00EA1BB2">
        <w:rPr>
          <w:rFonts w:ascii="Cambria" w:eastAsia="Times New Roman" w:hAnsi="Cambria" w:cs="Times New Roman"/>
          <w:sz w:val="24"/>
          <w:szCs w:val="24"/>
        </w:rPr>
        <w:t>Pb și</w:t>
      </w:r>
      <w:r w:rsidR="00680409" w:rsidRPr="00EA1BB2">
        <w:rPr>
          <w:rFonts w:ascii="Cambria" w:eastAsia="Times New Roman" w:hAnsi="Cambria" w:cs="Times New Roman"/>
          <w:sz w:val="24"/>
          <w:szCs w:val="24"/>
        </w:rPr>
        <w:t xml:space="preserve"> </w:t>
      </w:r>
      <w:r w:rsidR="00500E68" w:rsidRPr="00EA1BB2">
        <w:rPr>
          <w:rFonts w:ascii="Cambria" w:eastAsia="Times New Roman" w:hAnsi="Cambria" w:cs="Times New Roman"/>
          <w:sz w:val="24"/>
          <w:szCs w:val="24"/>
        </w:rPr>
        <w:t xml:space="preserve">particule în suspensie, comparativ cu aglomerarea Brăila unde emisiile din comercial/instituțional </w:t>
      </w:r>
      <w:r w:rsidR="00116314" w:rsidRPr="00EA1BB2">
        <w:rPr>
          <w:rFonts w:ascii="Cambria" w:eastAsia="Times New Roman" w:hAnsi="Cambria" w:cs="Times New Roman"/>
          <w:sz w:val="24"/>
          <w:szCs w:val="24"/>
        </w:rPr>
        <w:t xml:space="preserve">(cod NFR 1.A.4.a.i) </w:t>
      </w:r>
      <w:r w:rsidR="00500E68" w:rsidRPr="00EA1BB2">
        <w:rPr>
          <w:rFonts w:ascii="Cambria" w:eastAsia="Times New Roman" w:hAnsi="Cambria" w:cs="Times New Roman"/>
          <w:sz w:val="24"/>
          <w:szCs w:val="24"/>
        </w:rPr>
        <w:t>au o pondere semnificativă.</w:t>
      </w:r>
    </w:p>
    <w:p w14:paraId="3365C731" w14:textId="77A59563" w:rsidR="00EC364E" w:rsidRPr="00EA1BB2" w:rsidRDefault="00EC364E" w:rsidP="00EC364E">
      <w:pPr>
        <w:pStyle w:val="Caption"/>
        <w:keepNext/>
        <w:spacing w:after="0" w:line="360" w:lineRule="auto"/>
        <w:ind w:firstLine="708"/>
        <w:jc w:val="both"/>
        <w:rPr>
          <w:rFonts w:ascii="Cambria" w:hAnsi="Cambria"/>
        </w:rPr>
      </w:pPr>
      <w:bookmarkStart w:id="91" w:name="_Toc526889772"/>
      <w:r w:rsidRPr="00EA1BB2">
        <w:rPr>
          <w:rFonts w:ascii="Cambria" w:hAnsi="Cambria"/>
        </w:rPr>
        <w:t xml:space="preserve">Tabelul nr. </w:t>
      </w:r>
      <w:r w:rsidR="000A2FE7" w:rsidRPr="00EA1BB2">
        <w:rPr>
          <w:rFonts w:ascii="Cambria" w:hAnsi="Cambria"/>
        </w:rPr>
        <w:fldChar w:fldCharType="begin"/>
      </w:r>
      <w:r w:rsidR="000A2FE7" w:rsidRPr="00EA1BB2">
        <w:rPr>
          <w:rFonts w:ascii="Cambria" w:hAnsi="Cambria"/>
        </w:rPr>
        <w:instrText xml:space="preserve"> STYLEREF 1 \s </w:instrText>
      </w:r>
      <w:r w:rsidR="000A2FE7" w:rsidRPr="00EA1BB2">
        <w:rPr>
          <w:rFonts w:ascii="Cambria" w:hAnsi="Cambria"/>
        </w:rPr>
        <w:fldChar w:fldCharType="separate"/>
      </w:r>
      <w:r w:rsidR="00567555">
        <w:rPr>
          <w:rFonts w:ascii="Cambria" w:hAnsi="Cambria"/>
          <w:noProof/>
        </w:rPr>
        <w:t>3</w:t>
      </w:r>
      <w:r w:rsidR="000A2FE7" w:rsidRPr="00EA1BB2">
        <w:rPr>
          <w:rFonts w:ascii="Cambria" w:hAnsi="Cambria"/>
        </w:rPr>
        <w:fldChar w:fldCharType="end"/>
      </w:r>
      <w:r w:rsidR="000A2FE7" w:rsidRPr="00EA1BB2">
        <w:rPr>
          <w:rFonts w:ascii="Cambria" w:hAnsi="Cambria"/>
        </w:rPr>
        <w:noBreakHyphen/>
      </w:r>
      <w:r w:rsidR="000A2FE7" w:rsidRPr="00EA1BB2">
        <w:rPr>
          <w:rFonts w:ascii="Cambria" w:hAnsi="Cambria"/>
        </w:rPr>
        <w:fldChar w:fldCharType="begin"/>
      </w:r>
      <w:r w:rsidR="000A2FE7" w:rsidRPr="00EA1BB2">
        <w:rPr>
          <w:rFonts w:ascii="Cambria" w:hAnsi="Cambria"/>
        </w:rPr>
        <w:instrText xml:space="preserve"> SEQ Tabelul_nr. \* ARABIC \s 1 </w:instrText>
      </w:r>
      <w:r w:rsidR="000A2FE7" w:rsidRPr="00EA1BB2">
        <w:rPr>
          <w:rFonts w:ascii="Cambria" w:hAnsi="Cambria"/>
        </w:rPr>
        <w:fldChar w:fldCharType="separate"/>
      </w:r>
      <w:r w:rsidR="00567555">
        <w:rPr>
          <w:rFonts w:ascii="Cambria" w:hAnsi="Cambria"/>
          <w:noProof/>
        </w:rPr>
        <w:t>3</w:t>
      </w:r>
      <w:r w:rsidR="000A2FE7" w:rsidRPr="00EA1BB2">
        <w:rPr>
          <w:rFonts w:ascii="Cambria" w:hAnsi="Cambria"/>
        </w:rPr>
        <w:fldChar w:fldCharType="end"/>
      </w:r>
      <w:r w:rsidRPr="00EA1BB2">
        <w:rPr>
          <w:rFonts w:ascii="Cambria" w:hAnsi="Cambria"/>
        </w:rPr>
        <w:t xml:space="preserve"> – </w:t>
      </w:r>
      <w:r w:rsidR="00500E68" w:rsidRPr="00EA1BB2">
        <w:rPr>
          <w:rFonts w:ascii="Cambria" w:hAnsi="Cambria"/>
        </w:rPr>
        <w:t>Ponderea e</w:t>
      </w:r>
      <w:r w:rsidRPr="00EA1BB2">
        <w:rPr>
          <w:rFonts w:ascii="Cambria" w:hAnsi="Cambria"/>
        </w:rPr>
        <w:t>misii</w:t>
      </w:r>
      <w:r w:rsidR="00500E68" w:rsidRPr="00EA1BB2">
        <w:rPr>
          <w:rFonts w:ascii="Cambria" w:hAnsi="Cambria"/>
        </w:rPr>
        <w:t>lor</w:t>
      </w:r>
      <w:r w:rsidRPr="00EA1BB2">
        <w:rPr>
          <w:rFonts w:ascii="Cambria" w:hAnsi="Cambria"/>
        </w:rPr>
        <w:t xml:space="preserve"> de poluanți </w:t>
      </w:r>
      <w:r w:rsidR="00DC33DC" w:rsidRPr="00EA1BB2">
        <w:rPr>
          <w:rFonts w:ascii="Cambria" w:hAnsi="Cambria"/>
        </w:rPr>
        <w:t xml:space="preserve">în atmosferă </w:t>
      </w:r>
      <w:r w:rsidRPr="00EA1BB2">
        <w:rPr>
          <w:rFonts w:ascii="Cambria" w:hAnsi="Cambria"/>
        </w:rPr>
        <w:t xml:space="preserve">din </w:t>
      </w:r>
      <w:r w:rsidR="00DC33DC" w:rsidRPr="00EA1BB2">
        <w:rPr>
          <w:rFonts w:ascii="Cambria" w:hAnsi="Cambria"/>
        </w:rPr>
        <w:t xml:space="preserve">surse </w:t>
      </w:r>
      <w:r w:rsidRPr="00EA1BB2">
        <w:rPr>
          <w:rFonts w:ascii="Cambria" w:hAnsi="Cambria"/>
        </w:rPr>
        <w:t xml:space="preserve">comercial/instituțional și rezidențial </w:t>
      </w:r>
      <w:r w:rsidR="008A2081" w:rsidRPr="00EA1BB2">
        <w:rPr>
          <w:rFonts w:ascii="Cambria" w:hAnsi="Cambria"/>
        </w:rPr>
        <w:t>din</w:t>
      </w:r>
      <w:r w:rsidR="00BD06C5" w:rsidRPr="00EA1BB2">
        <w:rPr>
          <w:rFonts w:ascii="Cambria" w:hAnsi="Cambria"/>
        </w:rPr>
        <w:t xml:space="preserve"> </w:t>
      </w:r>
      <w:r w:rsidR="00500E68" w:rsidRPr="00EA1BB2">
        <w:rPr>
          <w:rFonts w:ascii="Cambria" w:hAnsi="Cambria"/>
        </w:rPr>
        <w:t>județul</w:t>
      </w:r>
      <w:r w:rsidRPr="00EA1BB2">
        <w:rPr>
          <w:rFonts w:ascii="Cambria" w:hAnsi="Cambria"/>
        </w:rPr>
        <w:t xml:space="preserve"> Brăila</w:t>
      </w:r>
      <w:bookmarkEnd w:id="91"/>
    </w:p>
    <w:tbl>
      <w:tblPr>
        <w:tblStyle w:val="TableGrid"/>
        <w:tblW w:w="5000" w:type="pct"/>
        <w:tblLook w:val="04A0" w:firstRow="1" w:lastRow="0" w:firstColumn="1" w:lastColumn="0" w:noHBand="0" w:noVBand="1"/>
      </w:tblPr>
      <w:tblGrid>
        <w:gridCol w:w="1000"/>
        <w:gridCol w:w="1590"/>
        <w:gridCol w:w="1735"/>
        <w:gridCol w:w="1644"/>
        <w:gridCol w:w="1662"/>
        <w:gridCol w:w="1655"/>
      </w:tblGrid>
      <w:tr w:rsidR="00116314" w:rsidRPr="00EA1BB2" w14:paraId="15CF6E4E" w14:textId="77777777" w:rsidTr="006060F7">
        <w:trPr>
          <w:trHeight w:val="290"/>
          <w:tblHeader/>
        </w:trPr>
        <w:tc>
          <w:tcPr>
            <w:tcW w:w="539" w:type="pct"/>
            <w:vMerge w:val="restart"/>
            <w:shd w:val="clear" w:color="auto" w:fill="BDD6EE" w:themeFill="accent1" w:themeFillTint="66"/>
            <w:vAlign w:val="center"/>
          </w:tcPr>
          <w:p w14:paraId="6297803C" w14:textId="77777777" w:rsidR="00116314" w:rsidRPr="00EA1BB2" w:rsidRDefault="00116314" w:rsidP="00116314">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Nr. crt.</w:t>
            </w:r>
          </w:p>
        </w:tc>
        <w:tc>
          <w:tcPr>
            <w:tcW w:w="856" w:type="pct"/>
            <w:vMerge w:val="restart"/>
            <w:shd w:val="clear" w:color="auto" w:fill="BDD6EE" w:themeFill="accent1" w:themeFillTint="66"/>
            <w:noWrap/>
            <w:vAlign w:val="center"/>
          </w:tcPr>
          <w:p w14:paraId="691F6B0A" w14:textId="77777777" w:rsidR="00116314" w:rsidRPr="00EA1BB2" w:rsidRDefault="00116314" w:rsidP="00116314">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Poluant</w:t>
            </w:r>
          </w:p>
        </w:tc>
        <w:tc>
          <w:tcPr>
            <w:tcW w:w="1819" w:type="pct"/>
            <w:gridSpan w:val="2"/>
            <w:shd w:val="clear" w:color="auto" w:fill="BDD6EE" w:themeFill="accent1" w:themeFillTint="66"/>
            <w:noWrap/>
            <w:vAlign w:val="center"/>
          </w:tcPr>
          <w:p w14:paraId="755A5863" w14:textId="77777777" w:rsidR="00116314" w:rsidRPr="00EA1BB2" w:rsidRDefault="00116314" w:rsidP="00116314">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Zona Brăila</w:t>
            </w:r>
          </w:p>
        </w:tc>
        <w:tc>
          <w:tcPr>
            <w:tcW w:w="1786" w:type="pct"/>
            <w:gridSpan w:val="2"/>
            <w:shd w:val="clear" w:color="auto" w:fill="BDD6EE" w:themeFill="accent1" w:themeFillTint="66"/>
            <w:vAlign w:val="center"/>
          </w:tcPr>
          <w:p w14:paraId="25FDD48A" w14:textId="77777777" w:rsidR="00116314" w:rsidRPr="00EA1BB2" w:rsidRDefault="00116314" w:rsidP="00116314">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Aglomerarea Brăila</w:t>
            </w:r>
          </w:p>
        </w:tc>
      </w:tr>
      <w:tr w:rsidR="00116314" w:rsidRPr="00EA1BB2" w14:paraId="71691948" w14:textId="77777777" w:rsidTr="006060F7">
        <w:trPr>
          <w:trHeight w:val="290"/>
          <w:tblHeader/>
        </w:trPr>
        <w:tc>
          <w:tcPr>
            <w:tcW w:w="539" w:type="pct"/>
            <w:vMerge/>
            <w:shd w:val="clear" w:color="auto" w:fill="BDD6EE" w:themeFill="accent1" w:themeFillTint="66"/>
            <w:vAlign w:val="center"/>
          </w:tcPr>
          <w:p w14:paraId="51C75457" w14:textId="77777777" w:rsidR="00116314" w:rsidRPr="00EA1BB2" w:rsidRDefault="00116314" w:rsidP="00116314">
            <w:pPr>
              <w:spacing w:line="360" w:lineRule="auto"/>
              <w:jc w:val="center"/>
              <w:rPr>
                <w:rFonts w:ascii="Cambria" w:eastAsia="Times New Roman" w:hAnsi="Cambria" w:cs="Times New Roman"/>
                <w:b/>
                <w:sz w:val="24"/>
                <w:szCs w:val="24"/>
                <w:lang w:val="ro-RO"/>
              </w:rPr>
            </w:pPr>
          </w:p>
        </w:tc>
        <w:tc>
          <w:tcPr>
            <w:tcW w:w="856" w:type="pct"/>
            <w:vMerge/>
            <w:shd w:val="clear" w:color="auto" w:fill="BDD6EE" w:themeFill="accent1" w:themeFillTint="66"/>
            <w:noWrap/>
            <w:vAlign w:val="center"/>
            <w:hideMark/>
          </w:tcPr>
          <w:p w14:paraId="66FB7BAC" w14:textId="77777777" w:rsidR="00116314" w:rsidRPr="00EA1BB2" w:rsidRDefault="00116314" w:rsidP="00116314">
            <w:pPr>
              <w:spacing w:line="360" w:lineRule="auto"/>
              <w:jc w:val="center"/>
              <w:rPr>
                <w:rFonts w:ascii="Cambria" w:eastAsia="Times New Roman" w:hAnsi="Cambria" w:cs="Times New Roman"/>
                <w:b/>
                <w:sz w:val="24"/>
                <w:szCs w:val="24"/>
                <w:lang w:val="ro-RO"/>
              </w:rPr>
            </w:pPr>
          </w:p>
        </w:tc>
        <w:tc>
          <w:tcPr>
            <w:tcW w:w="934" w:type="pct"/>
            <w:shd w:val="clear" w:color="auto" w:fill="BDD6EE" w:themeFill="accent1" w:themeFillTint="66"/>
            <w:noWrap/>
            <w:vAlign w:val="center"/>
            <w:hideMark/>
          </w:tcPr>
          <w:p w14:paraId="58C46F2B" w14:textId="77777777" w:rsidR="00116314" w:rsidRPr="00EA1BB2" w:rsidRDefault="00116314" w:rsidP="00116314">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NFR 1.A.4.a.i</w:t>
            </w:r>
          </w:p>
        </w:tc>
        <w:tc>
          <w:tcPr>
            <w:tcW w:w="885" w:type="pct"/>
            <w:shd w:val="clear" w:color="auto" w:fill="BDD6EE" w:themeFill="accent1" w:themeFillTint="66"/>
            <w:noWrap/>
            <w:vAlign w:val="center"/>
            <w:hideMark/>
          </w:tcPr>
          <w:p w14:paraId="02E99DDD" w14:textId="77777777" w:rsidR="00116314" w:rsidRPr="00EA1BB2" w:rsidRDefault="00116314" w:rsidP="00116314">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NFR 1.A.4.b.i</w:t>
            </w:r>
          </w:p>
        </w:tc>
        <w:tc>
          <w:tcPr>
            <w:tcW w:w="895" w:type="pct"/>
            <w:shd w:val="clear" w:color="auto" w:fill="BDD6EE" w:themeFill="accent1" w:themeFillTint="66"/>
            <w:vAlign w:val="center"/>
          </w:tcPr>
          <w:p w14:paraId="5759E793" w14:textId="77777777" w:rsidR="00116314" w:rsidRPr="00EA1BB2" w:rsidRDefault="00116314" w:rsidP="00116314">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NFR 1.A.4.a.i</w:t>
            </w:r>
          </w:p>
        </w:tc>
        <w:tc>
          <w:tcPr>
            <w:tcW w:w="891" w:type="pct"/>
            <w:shd w:val="clear" w:color="auto" w:fill="BDD6EE" w:themeFill="accent1" w:themeFillTint="66"/>
            <w:vAlign w:val="center"/>
          </w:tcPr>
          <w:p w14:paraId="2F15C667" w14:textId="77777777" w:rsidR="00116314" w:rsidRPr="00EA1BB2" w:rsidRDefault="00116314" w:rsidP="00116314">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NFR 1.A.4.b.i</w:t>
            </w:r>
          </w:p>
        </w:tc>
      </w:tr>
      <w:tr w:rsidR="00116314" w:rsidRPr="00EA1BB2" w14:paraId="1AED6865" w14:textId="77777777" w:rsidTr="006060F7">
        <w:trPr>
          <w:trHeight w:val="290"/>
        </w:trPr>
        <w:tc>
          <w:tcPr>
            <w:tcW w:w="539" w:type="pct"/>
            <w:vAlign w:val="center"/>
          </w:tcPr>
          <w:p w14:paraId="67FBE460"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w:t>
            </w:r>
          </w:p>
        </w:tc>
        <w:tc>
          <w:tcPr>
            <w:tcW w:w="856" w:type="pct"/>
            <w:noWrap/>
            <w:vAlign w:val="center"/>
            <w:hideMark/>
          </w:tcPr>
          <w:p w14:paraId="45753594"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As</w:t>
            </w:r>
          </w:p>
        </w:tc>
        <w:tc>
          <w:tcPr>
            <w:tcW w:w="934" w:type="pct"/>
            <w:noWrap/>
          </w:tcPr>
          <w:p w14:paraId="3C954E86"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44%</w:t>
            </w:r>
          </w:p>
        </w:tc>
        <w:tc>
          <w:tcPr>
            <w:tcW w:w="885" w:type="pct"/>
            <w:noWrap/>
          </w:tcPr>
          <w:p w14:paraId="46F249C3"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56%</w:t>
            </w:r>
          </w:p>
        </w:tc>
        <w:tc>
          <w:tcPr>
            <w:tcW w:w="895" w:type="pct"/>
          </w:tcPr>
          <w:p w14:paraId="5804AAEF"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76%</w:t>
            </w:r>
          </w:p>
        </w:tc>
        <w:tc>
          <w:tcPr>
            <w:tcW w:w="891" w:type="pct"/>
          </w:tcPr>
          <w:p w14:paraId="461E7EA5"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24%</w:t>
            </w:r>
          </w:p>
        </w:tc>
      </w:tr>
      <w:tr w:rsidR="00116314" w:rsidRPr="00EA1BB2" w14:paraId="670DFAD1" w14:textId="77777777" w:rsidTr="006060F7">
        <w:trPr>
          <w:trHeight w:val="290"/>
        </w:trPr>
        <w:tc>
          <w:tcPr>
            <w:tcW w:w="539" w:type="pct"/>
            <w:vAlign w:val="center"/>
          </w:tcPr>
          <w:p w14:paraId="20CAA61D"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2</w:t>
            </w:r>
          </w:p>
        </w:tc>
        <w:tc>
          <w:tcPr>
            <w:tcW w:w="856" w:type="pct"/>
            <w:noWrap/>
            <w:vAlign w:val="center"/>
            <w:hideMark/>
          </w:tcPr>
          <w:p w14:paraId="19535B96"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Cd</w:t>
            </w:r>
          </w:p>
        </w:tc>
        <w:tc>
          <w:tcPr>
            <w:tcW w:w="934" w:type="pct"/>
            <w:noWrap/>
          </w:tcPr>
          <w:p w14:paraId="2DED540C"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27%</w:t>
            </w:r>
          </w:p>
        </w:tc>
        <w:tc>
          <w:tcPr>
            <w:tcW w:w="885" w:type="pct"/>
            <w:noWrap/>
          </w:tcPr>
          <w:p w14:paraId="04BE1FF0"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73%</w:t>
            </w:r>
          </w:p>
        </w:tc>
        <w:tc>
          <w:tcPr>
            <w:tcW w:w="895" w:type="pct"/>
          </w:tcPr>
          <w:p w14:paraId="0CDBE9EC"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76%</w:t>
            </w:r>
          </w:p>
        </w:tc>
        <w:tc>
          <w:tcPr>
            <w:tcW w:w="891" w:type="pct"/>
          </w:tcPr>
          <w:p w14:paraId="6BA9AAE5"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24%</w:t>
            </w:r>
          </w:p>
        </w:tc>
      </w:tr>
      <w:tr w:rsidR="00116314" w:rsidRPr="00EA1BB2" w14:paraId="54932111" w14:textId="77777777" w:rsidTr="006060F7">
        <w:trPr>
          <w:trHeight w:val="290"/>
        </w:trPr>
        <w:tc>
          <w:tcPr>
            <w:tcW w:w="539" w:type="pct"/>
            <w:vAlign w:val="center"/>
          </w:tcPr>
          <w:p w14:paraId="1E5C05DC"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3</w:t>
            </w:r>
          </w:p>
        </w:tc>
        <w:tc>
          <w:tcPr>
            <w:tcW w:w="856" w:type="pct"/>
            <w:noWrap/>
            <w:vAlign w:val="center"/>
            <w:hideMark/>
          </w:tcPr>
          <w:p w14:paraId="4B598BE8"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CO</w:t>
            </w:r>
          </w:p>
        </w:tc>
        <w:tc>
          <w:tcPr>
            <w:tcW w:w="934" w:type="pct"/>
            <w:noWrap/>
          </w:tcPr>
          <w:p w14:paraId="45592BF5"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13%</w:t>
            </w:r>
          </w:p>
        </w:tc>
        <w:tc>
          <w:tcPr>
            <w:tcW w:w="885" w:type="pct"/>
            <w:noWrap/>
          </w:tcPr>
          <w:p w14:paraId="08F82655"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87%</w:t>
            </w:r>
          </w:p>
        </w:tc>
        <w:tc>
          <w:tcPr>
            <w:tcW w:w="895" w:type="pct"/>
          </w:tcPr>
          <w:p w14:paraId="32E33391"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70%</w:t>
            </w:r>
          </w:p>
        </w:tc>
        <w:tc>
          <w:tcPr>
            <w:tcW w:w="891" w:type="pct"/>
          </w:tcPr>
          <w:p w14:paraId="513E0D5A"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30%</w:t>
            </w:r>
          </w:p>
        </w:tc>
      </w:tr>
      <w:tr w:rsidR="00116314" w:rsidRPr="00EA1BB2" w14:paraId="7D9FCAA6" w14:textId="77777777" w:rsidTr="006060F7">
        <w:trPr>
          <w:trHeight w:val="290"/>
        </w:trPr>
        <w:tc>
          <w:tcPr>
            <w:tcW w:w="539" w:type="pct"/>
            <w:vAlign w:val="center"/>
          </w:tcPr>
          <w:p w14:paraId="2B686E2E"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4</w:t>
            </w:r>
          </w:p>
        </w:tc>
        <w:tc>
          <w:tcPr>
            <w:tcW w:w="856" w:type="pct"/>
            <w:noWrap/>
            <w:vAlign w:val="center"/>
            <w:hideMark/>
          </w:tcPr>
          <w:p w14:paraId="6057AEDB"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Ni</w:t>
            </w:r>
          </w:p>
        </w:tc>
        <w:tc>
          <w:tcPr>
            <w:tcW w:w="934" w:type="pct"/>
            <w:noWrap/>
          </w:tcPr>
          <w:p w14:paraId="1EDBE0BA"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77%</w:t>
            </w:r>
          </w:p>
        </w:tc>
        <w:tc>
          <w:tcPr>
            <w:tcW w:w="885" w:type="pct"/>
            <w:noWrap/>
          </w:tcPr>
          <w:p w14:paraId="7448F8E3"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23%</w:t>
            </w:r>
          </w:p>
        </w:tc>
        <w:tc>
          <w:tcPr>
            <w:tcW w:w="895" w:type="pct"/>
          </w:tcPr>
          <w:p w14:paraId="2E811AF2"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97%</w:t>
            </w:r>
          </w:p>
        </w:tc>
        <w:tc>
          <w:tcPr>
            <w:tcW w:w="891" w:type="pct"/>
          </w:tcPr>
          <w:p w14:paraId="29F380C5"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3%</w:t>
            </w:r>
          </w:p>
        </w:tc>
      </w:tr>
      <w:tr w:rsidR="006060F7" w:rsidRPr="00EA1BB2" w14:paraId="710F97A9" w14:textId="77777777" w:rsidTr="006060F7">
        <w:trPr>
          <w:trHeight w:val="290"/>
        </w:trPr>
        <w:tc>
          <w:tcPr>
            <w:tcW w:w="539" w:type="pct"/>
            <w:vAlign w:val="center"/>
          </w:tcPr>
          <w:p w14:paraId="762E2E46" w14:textId="77777777" w:rsidR="006060F7" w:rsidRPr="00EA1BB2" w:rsidRDefault="006060F7" w:rsidP="006060F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5</w:t>
            </w:r>
          </w:p>
        </w:tc>
        <w:tc>
          <w:tcPr>
            <w:tcW w:w="856" w:type="pct"/>
            <w:noWrap/>
            <w:vAlign w:val="center"/>
            <w:hideMark/>
          </w:tcPr>
          <w:p w14:paraId="64B229E4" w14:textId="77777777" w:rsidR="006060F7" w:rsidRPr="00EA1BB2" w:rsidRDefault="00042796" w:rsidP="006060F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NOx</w:t>
            </w:r>
          </w:p>
        </w:tc>
        <w:tc>
          <w:tcPr>
            <w:tcW w:w="934" w:type="pct"/>
            <w:noWrap/>
          </w:tcPr>
          <w:p w14:paraId="21FDF06A" w14:textId="77777777" w:rsidR="006060F7" w:rsidRPr="00EA1BB2" w:rsidRDefault="006060F7" w:rsidP="006060F7">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59%</w:t>
            </w:r>
          </w:p>
        </w:tc>
        <w:tc>
          <w:tcPr>
            <w:tcW w:w="885" w:type="pct"/>
            <w:noWrap/>
          </w:tcPr>
          <w:p w14:paraId="25FCCB28" w14:textId="77777777" w:rsidR="006060F7" w:rsidRPr="00EA1BB2" w:rsidRDefault="006060F7" w:rsidP="006060F7">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41%</w:t>
            </w:r>
          </w:p>
        </w:tc>
        <w:tc>
          <w:tcPr>
            <w:tcW w:w="895" w:type="pct"/>
          </w:tcPr>
          <w:p w14:paraId="6E0A7D4B" w14:textId="77777777" w:rsidR="006060F7" w:rsidRPr="00EA1BB2" w:rsidRDefault="006060F7" w:rsidP="006060F7">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76%</w:t>
            </w:r>
          </w:p>
        </w:tc>
        <w:tc>
          <w:tcPr>
            <w:tcW w:w="891" w:type="pct"/>
          </w:tcPr>
          <w:p w14:paraId="23759631" w14:textId="77777777" w:rsidR="006060F7" w:rsidRPr="00EA1BB2" w:rsidRDefault="006060F7" w:rsidP="006060F7">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24%</w:t>
            </w:r>
          </w:p>
        </w:tc>
      </w:tr>
      <w:tr w:rsidR="00116314" w:rsidRPr="00EA1BB2" w14:paraId="51454785" w14:textId="77777777" w:rsidTr="006060F7">
        <w:trPr>
          <w:trHeight w:val="290"/>
        </w:trPr>
        <w:tc>
          <w:tcPr>
            <w:tcW w:w="539" w:type="pct"/>
            <w:vAlign w:val="center"/>
          </w:tcPr>
          <w:p w14:paraId="7E3A21A1"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lastRenderedPageBreak/>
              <w:t>6</w:t>
            </w:r>
          </w:p>
        </w:tc>
        <w:tc>
          <w:tcPr>
            <w:tcW w:w="856" w:type="pct"/>
            <w:noWrap/>
            <w:vAlign w:val="center"/>
            <w:hideMark/>
          </w:tcPr>
          <w:p w14:paraId="17292BC8"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Pb</w:t>
            </w:r>
          </w:p>
        </w:tc>
        <w:tc>
          <w:tcPr>
            <w:tcW w:w="934" w:type="pct"/>
            <w:noWrap/>
          </w:tcPr>
          <w:p w14:paraId="218148BD"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16%</w:t>
            </w:r>
          </w:p>
        </w:tc>
        <w:tc>
          <w:tcPr>
            <w:tcW w:w="885" w:type="pct"/>
            <w:noWrap/>
          </w:tcPr>
          <w:p w14:paraId="77D02D29"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84%</w:t>
            </w:r>
          </w:p>
        </w:tc>
        <w:tc>
          <w:tcPr>
            <w:tcW w:w="895" w:type="pct"/>
          </w:tcPr>
          <w:p w14:paraId="08616812"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76%</w:t>
            </w:r>
          </w:p>
        </w:tc>
        <w:tc>
          <w:tcPr>
            <w:tcW w:w="891" w:type="pct"/>
          </w:tcPr>
          <w:p w14:paraId="1BE23CDA"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24%</w:t>
            </w:r>
          </w:p>
        </w:tc>
      </w:tr>
      <w:tr w:rsidR="00116314" w:rsidRPr="00EA1BB2" w14:paraId="215AD110" w14:textId="77777777" w:rsidTr="006060F7">
        <w:trPr>
          <w:trHeight w:val="290"/>
        </w:trPr>
        <w:tc>
          <w:tcPr>
            <w:tcW w:w="539" w:type="pct"/>
            <w:vAlign w:val="center"/>
          </w:tcPr>
          <w:p w14:paraId="69D5885D"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7</w:t>
            </w:r>
          </w:p>
        </w:tc>
        <w:tc>
          <w:tcPr>
            <w:tcW w:w="856" w:type="pct"/>
            <w:noWrap/>
            <w:vAlign w:val="center"/>
            <w:hideMark/>
          </w:tcPr>
          <w:p w14:paraId="3FDD49D4"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PM</w:t>
            </w:r>
            <w:r w:rsidRPr="00EA1BB2">
              <w:rPr>
                <w:rFonts w:ascii="Cambria" w:eastAsia="Times New Roman" w:hAnsi="Cambria" w:cs="Times New Roman"/>
                <w:sz w:val="24"/>
                <w:szCs w:val="24"/>
                <w:vertAlign w:val="subscript"/>
                <w:lang w:val="ro-RO"/>
              </w:rPr>
              <w:t>10</w:t>
            </w:r>
          </w:p>
        </w:tc>
        <w:tc>
          <w:tcPr>
            <w:tcW w:w="934" w:type="pct"/>
            <w:noWrap/>
          </w:tcPr>
          <w:p w14:paraId="27660F07"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4%</w:t>
            </w:r>
          </w:p>
        </w:tc>
        <w:tc>
          <w:tcPr>
            <w:tcW w:w="885" w:type="pct"/>
            <w:noWrap/>
          </w:tcPr>
          <w:p w14:paraId="115B3E30"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96%</w:t>
            </w:r>
          </w:p>
        </w:tc>
        <w:tc>
          <w:tcPr>
            <w:tcW w:w="895" w:type="pct"/>
          </w:tcPr>
          <w:p w14:paraId="746D6537"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78%</w:t>
            </w:r>
          </w:p>
        </w:tc>
        <w:tc>
          <w:tcPr>
            <w:tcW w:w="891" w:type="pct"/>
          </w:tcPr>
          <w:p w14:paraId="23D0EE83"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22%</w:t>
            </w:r>
          </w:p>
        </w:tc>
      </w:tr>
      <w:tr w:rsidR="00116314" w:rsidRPr="00EA1BB2" w14:paraId="5178DE64" w14:textId="77777777" w:rsidTr="006060F7">
        <w:trPr>
          <w:trHeight w:val="290"/>
        </w:trPr>
        <w:tc>
          <w:tcPr>
            <w:tcW w:w="539" w:type="pct"/>
            <w:vAlign w:val="center"/>
          </w:tcPr>
          <w:p w14:paraId="34131281"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8</w:t>
            </w:r>
          </w:p>
        </w:tc>
        <w:tc>
          <w:tcPr>
            <w:tcW w:w="856" w:type="pct"/>
            <w:noWrap/>
            <w:vAlign w:val="center"/>
            <w:hideMark/>
          </w:tcPr>
          <w:p w14:paraId="5AB9A179"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PM</w:t>
            </w:r>
            <w:r w:rsidRPr="00EA1BB2">
              <w:rPr>
                <w:rFonts w:ascii="Cambria" w:eastAsia="Times New Roman" w:hAnsi="Cambria" w:cs="Times New Roman"/>
                <w:sz w:val="24"/>
                <w:szCs w:val="24"/>
                <w:vertAlign w:val="subscript"/>
                <w:lang w:val="ro-RO"/>
              </w:rPr>
              <w:t>2,5</w:t>
            </w:r>
          </w:p>
        </w:tc>
        <w:tc>
          <w:tcPr>
            <w:tcW w:w="934" w:type="pct"/>
            <w:noWrap/>
          </w:tcPr>
          <w:p w14:paraId="1E748B28"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3%</w:t>
            </w:r>
          </w:p>
        </w:tc>
        <w:tc>
          <w:tcPr>
            <w:tcW w:w="885" w:type="pct"/>
            <w:noWrap/>
          </w:tcPr>
          <w:p w14:paraId="780B3C18"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97%</w:t>
            </w:r>
          </w:p>
        </w:tc>
        <w:tc>
          <w:tcPr>
            <w:tcW w:w="895" w:type="pct"/>
          </w:tcPr>
          <w:p w14:paraId="620D5842"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78%</w:t>
            </w:r>
          </w:p>
        </w:tc>
        <w:tc>
          <w:tcPr>
            <w:tcW w:w="891" w:type="pct"/>
          </w:tcPr>
          <w:p w14:paraId="34FFB96A"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22%</w:t>
            </w:r>
          </w:p>
        </w:tc>
      </w:tr>
      <w:tr w:rsidR="00116314" w:rsidRPr="00EA1BB2" w14:paraId="1DAA9B1C" w14:textId="77777777" w:rsidTr="006060F7">
        <w:trPr>
          <w:trHeight w:val="290"/>
        </w:trPr>
        <w:tc>
          <w:tcPr>
            <w:tcW w:w="539" w:type="pct"/>
            <w:vAlign w:val="center"/>
          </w:tcPr>
          <w:p w14:paraId="24F875BA"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9</w:t>
            </w:r>
          </w:p>
        </w:tc>
        <w:tc>
          <w:tcPr>
            <w:tcW w:w="856" w:type="pct"/>
            <w:noWrap/>
            <w:vAlign w:val="center"/>
            <w:hideMark/>
          </w:tcPr>
          <w:p w14:paraId="6AC91A6A"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SOx</w:t>
            </w:r>
          </w:p>
        </w:tc>
        <w:tc>
          <w:tcPr>
            <w:tcW w:w="934" w:type="pct"/>
            <w:noWrap/>
          </w:tcPr>
          <w:p w14:paraId="4007370A"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76%</w:t>
            </w:r>
          </w:p>
        </w:tc>
        <w:tc>
          <w:tcPr>
            <w:tcW w:w="885" w:type="pct"/>
            <w:noWrap/>
          </w:tcPr>
          <w:p w14:paraId="6FD74F13"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24%</w:t>
            </w:r>
          </w:p>
        </w:tc>
        <w:tc>
          <w:tcPr>
            <w:tcW w:w="895" w:type="pct"/>
          </w:tcPr>
          <w:p w14:paraId="320180F1"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77%</w:t>
            </w:r>
          </w:p>
        </w:tc>
        <w:tc>
          <w:tcPr>
            <w:tcW w:w="891" w:type="pct"/>
          </w:tcPr>
          <w:p w14:paraId="7EBC6CE5" w14:textId="77777777" w:rsidR="00116314" w:rsidRPr="00EA1BB2" w:rsidRDefault="00116314" w:rsidP="00116314">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23%</w:t>
            </w:r>
          </w:p>
        </w:tc>
      </w:tr>
    </w:tbl>
    <w:p w14:paraId="350D35D9" w14:textId="77777777" w:rsidR="00EC364E" w:rsidRPr="00EA1BB2" w:rsidRDefault="00EC364E" w:rsidP="00042796">
      <w:pPr>
        <w:jc w:val="both"/>
        <w:rPr>
          <w:rFonts w:ascii="Cambria" w:eastAsia="Times New Roman" w:hAnsi="Cambria" w:cs="Times New Roman"/>
          <w:szCs w:val="24"/>
          <w:highlight w:val="yellow"/>
        </w:rPr>
      </w:pPr>
      <w:r w:rsidRPr="00EA1BB2">
        <w:rPr>
          <w:rFonts w:ascii="Cambria" w:eastAsia="Times New Roman" w:hAnsi="Cambria" w:cs="Times New Roman"/>
          <w:szCs w:val="24"/>
        </w:rPr>
        <w:t>Sursa date: ILE 2013</w:t>
      </w:r>
    </w:p>
    <w:p w14:paraId="56D793E8" w14:textId="77777777" w:rsidR="00EC364E" w:rsidRPr="00EA1BB2" w:rsidRDefault="00EC364E" w:rsidP="00042796">
      <w:pPr>
        <w:spacing w:line="276" w:lineRule="auto"/>
        <w:jc w:val="both"/>
        <w:rPr>
          <w:rFonts w:ascii="Cambria" w:eastAsia="Times New Roman" w:hAnsi="Cambria" w:cs="Times New Roman"/>
          <w:sz w:val="24"/>
          <w:szCs w:val="24"/>
          <w:highlight w:val="yellow"/>
        </w:rPr>
      </w:pPr>
    </w:p>
    <w:p w14:paraId="27520F76" w14:textId="77777777" w:rsidR="00430C05" w:rsidRPr="00EA1BB2" w:rsidRDefault="00414F52" w:rsidP="00083475">
      <w:pPr>
        <w:spacing w:line="360" w:lineRule="auto"/>
        <w:jc w:val="both"/>
        <w:rPr>
          <w:rFonts w:ascii="Cambria" w:eastAsia="Times New Roman" w:hAnsi="Cambria" w:cs="Times New Roman"/>
          <w:bCs/>
          <w:sz w:val="24"/>
          <w:szCs w:val="24"/>
        </w:rPr>
      </w:pPr>
      <w:r w:rsidRPr="00EA1BB2">
        <w:rPr>
          <w:rFonts w:ascii="Cambria" w:eastAsia="Times New Roman" w:hAnsi="Cambria" w:cs="Times New Roman"/>
          <w:sz w:val="24"/>
          <w:szCs w:val="24"/>
        </w:rPr>
        <w:tab/>
      </w:r>
      <w:r w:rsidR="00627490" w:rsidRPr="00EA1BB2">
        <w:rPr>
          <w:rFonts w:ascii="Cambria" w:eastAsia="Times New Roman" w:hAnsi="Cambria" w:cs="Times New Roman"/>
          <w:bCs/>
          <w:sz w:val="24"/>
          <w:szCs w:val="24"/>
        </w:rPr>
        <w:t>Recensământul populației și locuințelor</w:t>
      </w:r>
      <w:r w:rsidR="00430C05" w:rsidRPr="00EA1BB2">
        <w:rPr>
          <w:rFonts w:ascii="Cambria" w:eastAsia="Times New Roman" w:hAnsi="Cambria" w:cs="Times New Roman"/>
          <w:bCs/>
          <w:sz w:val="24"/>
          <w:szCs w:val="24"/>
        </w:rPr>
        <w:t xml:space="preserve"> 2011 oferă cele mai recente date</w:t>
      </w:r>
      <w:r w:rsidR="005D757E" w:rsidRPr="00EA1BB2">
        <w:rPr>
          <w:rFonts w:ascii="Cambria" w:eastAsia="Times New Roman" w:hAnsi="Cambria" w:cs="Times New Roman"/>
          <w:bCs/>
          <w:sz w:val="24"/>
          <w:szCs w:val="24"/>
        </w:rPr>
        <w:t xml:space="preserve"> exacte</w:t>
      </w:r>
      <w:r w:rsidR="00430C05" w:rsidRPr="00EA1BB2">
        <w:rPr>
          <w:rFonts w:ascii="Cambria" w:eastAsia="Times New Roman" w:hAnsi="Cambria" w:cs="Times New Roman"/>
          <w:bCs/>
          <w:sz w:val="24"/>
          <w:szCs w:val="24"/>
        </w:rPr>
        <w:t xml:space="preserve"> cu privire la numărul locuințelor dotate cu sisteme de încălzire. Din totalul de </w:t>
      </w:r>
      <w:r w:rsidR="00710080" w:rsidRPr="00EA1BB2">
        <w:rPr>
          <w:rFonts w:ascii="Cambria" w:eastAsia="Times New Roman" w:hAnsi="Cambria" w:cs="Times New Roman"/>
          <w:bCs/>
          <w:sz w:val="24"/>
          <w:szCs w:val="24"/>
        </w:rPr>
        <w:t>137.1</w:t>
      </w:r>
      <w:r w:rsidR="00E46B56" w:rsidRPr="00EA1BB2">
        <w:rPr>
          <w:rFonts w:ascii="Cambria" w:eastAsia="Times New Roman" w:hAnsi="Cambria" w:cs="Times New Roman"/>
          <w:bCs/>
          <w:sz w:val="24"/>
          <w:szCs w:val="24"/>
        </w:rPr>
        <w:t>88</w:t>
      </w:r>
      <w:r w:rsidR="00430C05" w:rsidRPr="00EA1BB2">
        <w:rPr>
          <w:rFonts w:ascii="Cambria" w:eastAsia="Times New Roman" w:hAnsi="Cambria" w:cs="Times New Roman"/>
          <w:bCs/>
          <w:sz w:val="24"/>
          <w:szCs w:val="24"/>
        </w:rPr>
        <w:t xml:space="preserve"> locuințe din </w:t>
      </w:r>
      <w:r w:rsidR="00710080" w:rsidRPr="00EA1BB2">
        <w:rPr>
          <w:rFonts w:ascii="Cambria" w:eastAsia="Times New Roman" w:hAnsi="Cambria" w:cs="Times New Roman"/>
          <w:bCs/>
          <w:sz w:val="24"/>
          <w:szCs w:val="24"/>
        </w:rPr>
        <w:t>județul Brăila</w:t>
      </w:r>
      <w:r w:rsidR="00430C05" w:rsidRPr="00EA1BB2">
        <w:rPr>
          <w:rFonts w:ascii="Cambria" w:eastAsia="Times New Roman" w:hAnsi="Cambria" w:cs="Times New Roman"/>
          <w:bCs/>
          <w:sz w:val="24"/>
          <w:szCs w:val="24"/>
        </w:rPr>
        <w:t>, în anul 2011 erau racordați la rețeaua de termoficare 12.42</w:t>
      </w:r>
      <w:r w:rsidR="00710080" w:rsidRPr="00EA1BB2">
        <w:rPr>
          <w:rFonts w:ascii="Cambria" w:eastAsia="Times New Roman" w:hAnsi="Cambria" w:cs="Times New Roman"/>
          <w:bCs/>
          <w:sz w:val="24"/>
          <w:szCs w:val="24"/>
        </w:rPr>
        <w:t>8</w:t>
      </w:r>
      <w:r w:rsidR="00430C05" w:rsidRPr="00EA1BB2">
        <w:rPr>
          <w:rFonts w:ascii="Cambria" w:eastAsia="Times New Roman" w:hAnsi="Cambria" w:cs="Times New Roman"/>
          <w:bCs/>
          <w:sz w:val="24"/>
          <w:szCs w:val="24"/>
        </w:rPr>
        <w:t xml:space="preserve"> consumatori,</w:t>
      </w:r>
      <w:r w:rsidR="00B62563" w:rsidRPr="00EA1BB2">
        <w:rPr>
          <w:rStyle w:val="FootnoteReference"/>
          <w:rFonts w:ascii="Cambria" w:eastAsia="Times New Roman" w:hAnsi="Cambria" w:cs="Times New Roman"/>
          <w:bCs/>
          <w:sz w:val="24"/>
          <w:szCs w:val="24"/>
        </w:rPr>
        <w:footnoteReference w:id="12"/>
      </w:r>
      <w:r w:rsidR="00430C05" w:rsidRPr="00EA1BB2">
        <w:rPr>
          <w:rFonts w:ascii="Cambria" w:eastAsia="Times New Roman" w:hAnsi="Cambria" w:cs="Times New Roman"/>
          <w:bCs/>
          <w:sz w:val="24"/>
          <w:szCs w:val="24"/>
        </w:rPr>
        <w:t xml:space="preserve"> restul de consumatori beneficiau de un sistem centralizat de termoficare în regim propriu, fie prin intermediul centralelor termice folosind combustibili gazoși fie prin intermediul combustibililor solizi (lemn, cărbune, etc).</w:t>
      </w:r>
    </w:p>
    <w:p w14:paraId="1227F617" w14:textId="6DA806B5" w:rsidR="00430C05" w:rsidRPr="00EA1BB2" w:rsidRDefault="00430C05" w:rsidP="00430C05">
      <w:pPr>
        <w:spacing w:line="360" w:lineRule="auto"/>
        <w:ind w:firstLine="720"/>
        <w:jc w:val="both"/>
        <w:rPr>
          <w:rFonts w:ascii="Cambria" w:eastAsia="Calibri" w:hAnsi="Cambria" w:cs="Times New Roman"/>
          <w:b/>
          <w:iCs/>
          <w:sz w:val="24"/>
          <w:szCs w:val="18"/>
        </w:rPr>
      </w:pPr>
      <w:bookmarkStart w:id="92" w:name="_Toc526889773"/>
      <w:r w:rsidRPr="00EA1BB2">
        <w:rPr>
          <w:rFonts w:ascii="Cambria" w:eastAsia="Calibri" w:hAnsi="Cambria" w:cs="Times New Roman"/>
          <w:b/>
          <w:iCs/>
          <w:sz w:val="24"/>
          <w:szCs w:val="18"/>
        </w:rPr>
        <w:t xml:space="preserve">Tabelul nr. </w:t>
      </w:r>
      <w:r w:rsidR="000A2FE7" w:rsidRPr="00EA1BB2">
        <w:rPr>
          <w:rFonts w:ascii="Cambria" w:eastAsia="Calibri" w:hAnsi="Cambria" w:cs="Times New Roman"/>
          <w:b/>
          <w:iCs/>
          <w:sz w:val="24"/>
          <w:szCs w:val="18"/>
        </w:rPr>
        <w:fldChar w:fldCharType="begin"/>
      </w:r>
      <w:r w:rsidR="000A2FE7" w:rsidRPr="00EA1BB2">
        <w:rPr>
          <w:rFonts w:ascii="Cambria" w:eastAsia="Calibri" w:hAnsi="Cambria" w:cs="Times New Roman"/>
          <w:b/>
          <w:iCs/>
          <w:sz w:val="24"/>
          <w:szCs w:val="18"/>
        </w:rPr>
        <w:instrText xml:space="preserve"> STYLEREF 1 \s </w:instrText>
      </w:r>
      <w:r w:rsidR="000A2FE7" w:rsidRPr="00EA1BB2">
        <w:rPr>
          <w:rFonts w:ascii="Cambria" w:eastAsia="Calibri" w:hAnsi="Cambria" w:cs="Times New Roman"/>
          <w:b/>
          <w:iCs/>
          <w:sz w:val="24"/>
          <w:szCs w:val="18"/>
        </w:rPr>
        <w:fldChar w:fldCharType="separate"/>
      </w:r>
      <w:r w:rsidR="00567555">
        <w:rPr>
          <w:rFonts w:ascii="Cambria" w:eastAsia="Calibri" w:hAnsi="Cambria" w:cs="Times New Roman"/>
          <w:b/>
          <w:iCs/>
          <w:noProof/>
          <w:sz w:val="24"/>
          <w:szCs w:val="18"/>
        </w:rPr>
        <w:t>3</w:t>
      </w:r>
      <w:r w:rsidR="000A2FE7" w:rsidRPr="00EA1BB2">
        <w:rPr>
          <w:rFonts w:ascii="Cambria" w:eastAsia="Calibri" w:hAnsi="Cambria" w:cs="Times New Roman"/>
          <w:b/>
          <w:iCs/>
          <w:sz w:val="24"/>
          <w:szCs w:val="18"/>
        </w:rPr>
        <w:fldChar w:fldCharType="end"/>
      </w:r>
      <w:r w:rsidR="000A2FE7" w:rsidRPr="00EA1BB2">
        <w:rPr>
          <w:rFonts w:ascii="Cambria" w:eastAsia="Calibri" w:hAnsi="Cambria" w:cs="Times New Roman"/>
          <w:b/>
          <w:iCs/>
          <w:sz w:val="24"/>
          <w:szCs w:val="18"/>
        </w:rPr>
        <w:noBreakHyphen/>
      </w:r>
      <w:r w:rsidR="000A2FE7" w:rsidRPr="00EA1BB2">
        <w:rPr>
          <w:rFonts w:ascii="Cambria" w:eastAsia="Calibri" w:hAnsi="Cambria" w:cs="Times New Roman"/>
          <w:b/>
          <w:iCs/>
          <w:sz w:val="24"/>
          <w:szCs w:val="18"/>
        </w:rPr>
        <w:fldChar w:fldCharType="begin"/>
      </w:r>
      <w:r w:rsidR="000A2FE7" w:rsidRPr="00EA1BB2">
        <w:rPr>
          <w:rFonts w:ascii="Cambria" w:eastAsia="Calibri" w:hAnsi="Cambria" w:cs="Times New Roman"/>
          <w:b/>
          <w:iCs/>
          <w:sz w:val="24"/>
          <w:szCs w:val="18"/>
        </w:rPr>
        <w:instrText xml:space="preserve"> SEQ Tabelul_nr. \* ARABIC \s 1 </w:instrText>
      </w:r>
      <w:r w:rsidR="000A2FE7" w:rsidRPr="00EA1BB2">
        <w:rPr>
          <w:rFonts w:ascii="Cambria" w:eastAsia="Calibri" w:hAnsi="Cambria" w:cs="Times New Roman"/>
          <w:b/>
          <w:iCs/>
          <w:sz w:val="24"/>
          <w:szCs w:val="18"/>
        </w:rPr>
        <w:fldChar w:fldCharType="separate"/>
      </w:r>
      <w:r w:rsidR="00567555">
        <w:rPr>
          <w:rFonts w:ascii="Cambria" w:eastAsia="Calibri" w:hAnsi="Cambria" w:cs="Times New Roman"/>
          <w:b/>
          <w:iCs/>
          <w:noProof/>
          <w:sz w:val="24"/>
          <w:szCs w:val="18"/>
        </w:rPr>
        <w:t>4</w:t>
      </w:r>
      <w:r w:rsidR="000A2FE7" w:rsidRPr="00EA1BB2">
        <w:rPr>
          <w:rFonts w:ascii="Cambria" w:eastAsia="Calibri" w:hAnsi="Cambria" w:cs="Times New Roman"/>
          <w:b/>
          <w:iCs/>
          <w:sz w:val="24"/>
          <w:szCs w:val="18"/>
        </w:rPr>
        <w:fldChar w:fldCharType="end"/>
      </w:r>
      <w:r w:rsidRPr="00EA1BB2">
        <w:rPr>
          <w:rFonts w:ascii="Cambria" w:eastAsia="Calibri" w:hAnsi="Cambria" w:cs="Times New Roman"/>
          <w:b/>
          <w:iCs/>
          <w:sz w:val="24"/>
          <w:szCs w:val="18"/>
        </w:rPr>
        <w:t xml:space="preserve"> - Locuințe după modul de încălzire (RPL 2011)</w:t>
      </w:r>
      <w:bookmarkEnd w:id="92"/>
    </w:p>
    <w:tbl>
      <w:tblPr>
        <w:tblW w:w="90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1"/>
        <w:gridCol w:w="1661"/>
        <w:gridCol w:w="2249"/>
        <w:gridCol w:w="2095"/>
        <w:gridCol w:w="1700"/>
      </w:tblGrid>
      <w:tr w:rsidR="00430C05" w:rsidRPr="00EA1BB2" w14:paraId="60326156" w14:textId="77777777" w:rsidTr="00083475">
        <w:trPr>
          <w:jc w:val="center"/>
        </w:trPr>
        <w:tc>
          <w:tcPr>
            <w:tcW w:w="1311" w:type="dxa"/>
            <w:shd w:val="clear" w:color="auto" w:fill="BDD6EE" w:themeFill="accent1" w:themeFillTint="66"/>
            <w:vAlign w:val="center"/>
          </w:tcPr>
          <w:p w14:paraId="22188A21" w14:textId="77777777" w:rsidR="00430C05" w:rsidRPr="00EA1BB2" w:rsidRDefault="00430C05" w:rsidP="00361255">
            <w:pPr>
              <w:spacing w:line="360" w:lineRule="auto"/>
              <w:jc w:val="center"/>
              <w:rPr>
                <w:rFonts w:ascii="Cambria" w:eastAsia="Calibri" w:hAnsi="Cambria" w:cs="Times New Roman"/>
                <w:b/>
                <w:sz w:val="24"/>
                <w:szCs w:val="24"/>
              </w:rPr>
            </w:pPr>
            <w:r w:rsidRPr="00EA1BB2">
              <w:rPr>
                <w:rFonts w:ascii="Cambria" w:eastAsia="Calibri" w:hAnsi="Cambria" w:cs="Times New Roman"/>
                <w:b/>
                <w:sz w:val="24"/>
                <w:szCs w:val="24"/>
              </w:rPr>
              <w:t>UAT</w:t>
            </w:r>
          </w:p>
        </w:tc>
        <w:tc>
          <w:tcPr>
            <w:tcW w:w="1661" w:type="dxa"/>
            <w:shd w:val="clear" w:color="auto" w:fill="BDD6EE" w:themeFill="accent1" w:themeFillTint="66"/>
            <w:vAlign w:val="center"/>
          </w:tcPr>
          <w:p w14:paraId="2277C931" w14:textId="77777777" w:rsidR="00430C05" w:rsidRPr="00EA1BB2" w:rsidRDefault="00430C05" w:rsidP="00361255">
            <w:pPr>
              <w:spacing w:line="360" w:lineRule="auto"/>
              <w:jc w:val="center"/>
              <w:rPr>
                <w:rFonts w:ascii="Cambria" w:eastAsia="Calibri" w:hAnsi="Cambria" w:cs="Times New Roman"/>
                <w:b/>
                <w:sz w:val="24"/>
                <w:szCs w:val="24"/>
              </w:rPr>
            </w:pPr>
            <w:r w:rsidRPr="00EA1BB2">
              <w:rPr>
                <w:rFonts w:ascii="Cambria" w:eastAsia="Calibri" w:hAnsi="Cambria" w:cs="Times New Roman"/>
                <w:b/>
                <w:sz w:val="24"/>
                <w:szCs w:val="24"/>
              </w:rPr>
              <w:t>Total locuințe</w:t>
            </w:r>
          </w:p>
        </w:tc>
        <w:tc>
          <w:tcPr>
            <w:tcW w:w="2249" w:type="dxa"/>
            <w:shd w:val="clear" w:color="auto" w:fill="BDD6EE" w:themeFill="accent1" w:themeFillTint="66"/>
            <w:vAlign w:val="center"/>
          </w:tcPr>
          <w:p w14:paraId="686E0EED" w14:textId="77777777" w:rsidR="00430C05" w:rsidRPr="00EA1BB2" w:rsidRDefault="00430C05" w:rsidP="00E21918">
            <w:pPr>
              <w:spacing w:line="276" w:lineRule="auto"/>
              <w:jc w:val="center"/>
              <w:rPr>
                <w:rFonts w:ascii="Cambria" w:eastAsia="Calibri" w:hAnsi="Cambria" w:cs="Times New Roman"/>
                <w:b/>
                <w:sz w:val="24"/>
                <w:szCs w:val="24"/>
              </w:rPr>
            </w:pPr>
            <w:r w:rsidRPr="00EA1BB2">
              <w:rPr>
                <w:rFonts w:ascii="Cambria" w:eastAsia="Calibri" w:hAnsi="Cambria" w:cs="Times New Roman"/>
                <w:b/>
                <w:sz w:val="24"/>
                <w:szCs w:val="24"/>
              </w:rPr>
              <w:t>Numărul locuințelor dotate cu încălzire centrală</w:t>
            </w:r>
          </w:p>
        </w:tc>
        <w:tc>
          <w:tcPr>
            <w:tcW w:w="2095" w:type="dxa"/>
            <w:shd w:val="clear" w:color="auto" w:fill="BDD6EE" w:themeFill="accent1" w:themeFillTint="66"/>
            <w:vAlign w:val="center"/>
          </w:tcPr>
          <w:p w14:paraId="613F87CA" w14:textId="77777777" w:rsidR="00430C05" w:rsidRPr="00EA1BB2" w:rsidRDefault="00430C05" w:rsidP="00E21918">
            <w:pPr>
              <w:spacing w:line="276" w:lineRule="auto"/>
              <w:jc w:val="center"/>
              <w:rPr>
                <w:rFonts w:ascii="Cambria" w:eastAsia="Calibri" w:hAnsi="Cambria" w:cs="Times New Roman"/>
                <w:b/>
                <w:sz w:val="24"/>
                <w:szCs w:val="24"/>
              </w:rPr>
            </w:pPr>
            <w:r w:rsidRPr="00EA1BB2">
              <w:rPr>
                <w:rFonts w:ascii="Cambria" w:eastAsia="Calibri" w:hAnsi="Cambria" w:cs="Times New Roman"/>
                <w:b/>
                <w:sz w:val="24"/>
                <w:szCs w:val="24"/>
              </w:rPr>
              <w:t>Numărul locuințelor fără încălzire centrală</w:t>
            </w:r>
          </w:p>
        </w:tc>
        <w:tc>
          <w:tcPr>
            <w:tcW w:w="1700" w:type="dxa"/>
            <w:shd w:val="clear" w:color="auto" w:fill="BDD6EE" w:themeFill="accent1" w:themeFillTint="66"/>
            <w:vAlign w:val="center"/>
          </w:tcPr>
          <w:p w14:paraId="5D494D96" w14:textId="77777777" w:rsidR="00430C05" w:rsidRPr="00EA1BB2" w:rsidRDefault="00430C05" w:rsidP="00E21918">
            <w:pPr>
              <w:spacing w:line="276" w:lineRule="auto"/>
              <w:jc w:val="center"/>
              <w:rPr>
                <w:rFonts w:ascii="Cambria" w:eastAsia="Calibri" w:hAnsi="Cambria" w:cs="Times New Roman"/>
                <w:b/>
                <w:sz w:val="24"/>
                <w:szCs w:val="24"/>
              </w:rPr>
            </w:pPr>
            <w:r w:rsidRPr="00EA1BB2">
              <w:rPr>
                <w:rFonts w:ascii="Cambria" w:eastAsia="Calibri" w:hAnsi="Cambria" w:cs="Times New Roman"/>
                <w:b/>
                <w:sz w:val="24"/>
                <w:szCs w:val="24"/>
              </w:rPr>
              <w:t>Locuințe fără încălzire</w:t>
            </w:r>
          </w:p>
        </w:tc>
      </w:tr>
      <w:tr w:rsidR="00710080" w:rsidRPr="00EA1BB2" w14:paraId="375F0ECA" w14:textId="77777777" w:rsidTr="00083475">
        <w:trPr>
          <w:jc w:val="center"/>
        </w:trPr>
        <w:tc>
          <w:tcPr>
            <w:tcW w:w="1311" w:type="dxa"/>
          </w:tcPr>
          <w:p w14:paraId="07CD0506" w14:textId="77777777" w:rsidR="00710080" w:rsidRPr="00EA1BB2" w:rsidRDefault="00710080" w:rsidP="00710080">
            <w:pPr>
              <w:spacing w:line="360" w:lineRule="auto"/>
              <w:rPr>
                <w:rFonts w:ascii="Cambria" w:eastAsia="Calibri" w:hAnsi="Cambria" w:cs="Times New Roman"/>
                <w:sz w:val="24"/>
                <w:szCs w:val="24"/>
              </w:rPr>
            </w:pPr>
            <w:r w:rsidRPr="00EA1BB2">
              <w:rPr>
                <w:rFonts w:ascii="Cambria" w:eastAsia="Calibri" w:hAnsi="Cambria" w:cs="Times New Roman"/>
                <w:sz w:val="24"/>
                <w:szCs w:val="24"/>
              </w:rPr>
              <w:t>Urban</w:t>
            </w:r>
          </w:p>
        </w:tc>
        <w:tc>
          <w:tcPr>
            <w:tcW w:w="1661" w:type="dxa"/>
            <w:shd w:val="clear" w:color="auto" w:fill="auto"/>
            <w:vAlign w:val="center"/>
          </w:tcPr>
          <w:p w14:paraId="5F46766B" w14:textId="77777777" w:rsidR="00710080" w:rsidRPr="00EA1BB2" w:rsidRDefault="00710080" w:rsidP="00710080">
            <w:pPr>
              <w:spacing w:line="360" w:lineRule="auto"/>
              <w:jc w:val="center"/>
              <w:rPr>
                <w:rFonts w:ascii="Cambria" w:eastAsia="Calibri" w:hAnsi="Cambria" w:cs="Times New Roman"/>
                <w:sz w:val="24"/>
                <w:szCs w:val="24"/>
              </w:rPr>
            </w:pPr>
            <w:r w:rsidRPr="00EA1BB2">
              <w:rPr>
                <w:rFonts w:ascii="Cambria" w:eastAsia="Calibri" w:hAnsi="Cambria" w:cs="Times New Roman"/>
                <w:sz w:val="24"/>
                <w:szCs w:val="24"/>
              </w:rPr>
              <w:t>87.433</w:t>
            </w:r>
          </w:p>
        </w:tc>
        <w:tc>
          <w:tcPr>
            <w:tcW w:w="2249" w:type="dxa"/>
            <w:shd w:val="clear" w:color="auto" w:fill="auto"/>
            <w:vAlign w:val="center"/>
          </w:tcPr>
          <w:p w14:paraId="2D39CC67" w14:textId="77777777" w:rsidR="00710080" w:rsidRPr="00EA1BB2" w:rsidRDefault="00710080" w:rsidP="00710080">
            <w:pPr>
              <w:spacing w:line="360" w:lineRule="auto"/>
              <w:jc w:val="center"/>
              <w:rPr>
                <w:rFonts w:ascii="Cambria" w:eastAsia="Calibri" w:hAnsi="Cambria" w:cs="Times New Roman"/>
                <w:sz w:val="24"/>
                <w:szCs w:val="24"/>
              </w:rPr>
            </w:pPr>
            <w:r w:rsidRPr="00EA1BB2">
              <w:rPr>
                <w:rFonts w:ascii="Cambria" w:hAnsi="Cambria"/>
                <w:sz w:val="24"/>
              </w:rPr>
              <w:t>59</w:t>
            </w:r>
            <w:r w:rsidR="00A9523D" w:rsidRPr="00EA1BB2">
              <w:rPr>
                <w:rFonts w:ascii="Cambria" w:hAnsi="Cambria"/>
                <w:sz w:val="24"/>
              </w:rPr>
              <w:t>.</w:t>
            </w:r>
            <w:r w:rsidRPr="00EA1BB2">
              <w:rPr>
                <w:rFonts w:ascii="Cambria" w:hAnsi="Cambria"/>
                <w:sz w:val="24"/>
              </w:rPr>
              <w:t>113</w:t>
            </w:r>
          </w:p>
        </w:tc>
        <w:tc>
          <w:tcPr>
            <w:tcW w:w="2095" w:type="dxa"/>
            <w:shd w:val="clear" w:color="auto" w:fill="auto"/>
            <w:vAlign w:val="center"/>
          </w:tcPr>
          <w:p w14:paraId="1D63439E" w14:textId="77777777" w:rsidR="00710080" w:rsidRPr="00EA1BB2" w:rsidRDefault="00710080" w:rsidP="00710080">
            <w:pPr>
              <w:spacing w:line="360" w:lineRule="auto"/>
              <w:jc w:val="center"/>
              <w:rPr>
                <w:rFonts w:ascii="Cambria" w:eastAsia="Calibri" w:hAnsi="Cambria" w:cs="Times New Roman"/>
                <w:sz w:val="24"/>
                <w:szCs w:val="24"/>
              </w:rPr>
            </w:pPr>
            <w:r w:rsidRPr="00EA1BB2">
              <w:rPr>
                <w:rFonts w:ascii="Cambria" w:hAnsi="Cambria"/>
                <w:sz w:val="24"/>
              </w:rPr>
              <w:t>24</w:t>
            </w:r>
            <w:r w:rsidR="00A9523D" w:rsidRPr="00EA1BB2">
              <w:rPr>
                <w:rFonts w:ascii="Cambria" w:hAnsi="Cambria"/>
                <w:sz w:val="24"/>
              </w:rPr>
              <w:t>.</w:t>
            </w:r>
            <w:r w:rsidRPr="00EA1BB2">
              <w:rPr>
                <w:rFonts w:ascii="Cambria" w:hAnsi="Cambria"/>
                <w:sz w:val="24"/>
              </w:rPr>
              <w:t>743</w:t>
            </w:r>
          </w:p>
        </w:tc>
        <w:tc>
          <w:tcPr>
            <w:tcW w:w="1700" w:type="dxa"/>
            <w:vAlign w:val="center"/>
          </w:tcPr>
          <w:p w14:paraId="0425C0B8" w14:textId="77777777" w:rsidR="00710080" w:rsidRPr="00EA1BB2" w:rsidRDefault="00710080" w:rsidP="00710080">
            <w:pPr>
              <w:spacing w:line="360" w:lineRule="auto"/>
              <w:jc w:val="center"/>
              <w:rPr>
                <w:rFonts w:ascii="Cambria" w:eastAsia="Calibri" w:hAnsi="Cambria" w:cs="Times New Roman"/>
                <w:sz w:val="24"/>
                <w:szCs w:val="24"/>
              </w:rPr>
            </w:pPr>
            <w:r w:rsidRPr="00EA1BB2">
              <w:rPr>
                <w:rFonts w:ascii="Cambria" w:eastAsia="Calibri" w:hAnsi="Cambria" w:cs="Times New Roman"/>
                <w:sz w:val="24"/>
                <w:szCs w:val="24"/>
              </w:rPr>
              <w:t>3</w:t>
            </w:r>
            <w:r w:rsidR="00A9523D" w:rsidRPr="00EA1BB2">
              <w:rPr>
                <w:rFonts w:ascii="Cambria" w:eastAsia="Calibri" w:hAnsi="Cambria" w:cs="Times New Roman"/>
                <w:sz w:val="24"/>
                <w:szCs w:val="24"/>
              </w:rPr>
              <w:t>.</w:t>
            </w:r>
            <w:r w:rsidRPr="00EA1BB2">
              <w:rPr>
                <w:rFonts w:ascii="Cambria" w:eastAsia="Calibri" w:hAnsi="Cambria" w:cs="Times New Roman"/>
                <w:sz w:val="24"/>
                <w:szCs w:val="24"/>
              </w:rPr>
              <w:t>577</w:t>
            </w:r>
          </w:p>
        </w:tc>
      </w:tr>
      <w:tr w:rsidR="00710080" w:rsidRPr="00EA1BB2" w14:paraId="2C468199" w14:textId="77777777" w:rsidTr="00083475">
        <w:trPr>
          <w:jc w:val="center"/>
        </w:trPr>
        <w:tc>
          <w:tcPr>
            <w:tcW w:w="1311" w:type="dxa"/>
          </w:tcPr>
          <w:p w14:paraId="54C71AD9" w14:textId="77777777" w:rsidR="00710080" w:rsidRPr="00EA1BB2" w:rsidRDefault="00710080" w:rsidP="00710080">
            <w:pPr>
              <w:spacing w:line="360" w:lineRule="auto"/>
              <w:rPr>
                <w:rFonts w:ascii="Cambria" w:hAnsi="Cambria"/>
                <w:sz w:val="24"/>
                <w:szCs w:val="24"/>
              </w:rPr>
            </w:pPr>
            <w:r w:rsidRPr="00EA1BB2">
              <w:rPr>
                <w:rFonts w:ascii="Cambria" w:hAnsi="Cambria"/>
                <w:sz w:val="24"/>
                <w:szCs w:val="24"/>
              </w:rPr>
              <w:t>Rural</w:t>
            </w:r>
          </w:p>
        </w:tc>
        <w:tc>
          <w:tcPr>
            <w:tcW w:w="1661" w:type="dxa"/>
            <w:shd w:val="clear" w:color="auto" w:fill="auto"/>
            <w:vAlign w:val="center"/>
          </w:tcPr>
          <w:p w14:paraId="755DCAE6" w14:textId="77777777" w:rsidR="00710080" w:rsidRPr="00EA1BB2" w:rsidRDefault="00710080" w:rsidP="00E46B56">
            <w:pPr>
              <w:spacing w:line="360" w:lineRule="auto"/>
              <w:jc w:val="center"/>
              <w:rPr>
                <w:rFonts w:ascii="Cambria" w:hAnsi="Cambria"/>
                <w:sz w:val="24"/>
                <w:szCs w:val="24"/>
              </w:rPr>
            </w:pPr>
            <w:r w:rsidRPr="00EA1BB2">
              <w:rPr>
                <w:rFonts w:ascii="Cambria" w:hAnsi="Cambria"/>
                <w:sz w:val="24"/>
                <w:szCs w:val="24"/>
              </w:rPr>
              <w:t>49.75</w:t>
            </w:r>
            <w:r w:rsidR="00E46B56" w:rsidRPr="00EA1BB2">
              <w:rPr>
                <w:rFonts w:ascii="Cambria" w:hAnsi="Cambria"/>
                <w:sz w:val="24"/>
                <w:szCs w:val="24"/>
              </w:rPr>
              <w:t>5</w:t>
            </w:r>
          </w:p>
        </w:tc>
        <w:tc>
          <w:tcPr>
            <w:tcW w:w="2249" w:type="dxa"/>
            <w:shd w:val="clear" w:color="auto" w:fill="auto"/>
            <w:vAlign w:val="center"/>
          </w:tcPr>
          <w:p w14:paraId="2A3DD21E" w14:textId="77777777" w:rsidR="00710080" w:rsidRPr="00EA1BB2" w:rsidRDefault="00710080" w:rsidP="00710080">
            <w:pPr>
              <w:spacing w:line="360" w:lineRule="auto"/>
              <w:jc w:val="center"/>
              <w:rPr>
                <w:rFonts w:ascii="Cambria" w:hAnsi="Cambria"/>
                <w:sz w:val="24"/>
                <w:szCs w:val="24"/>
              </w:rPr>
            </w:pPr>
            <w:r w:rsidRPr="00EA1BB2">
              <w:rPr>
                <w:rFonts w:ascii="Cambria" w:hAnsi="Cambria"/>
                <w:sz w:val="24"/>
              </w:rPr>
              <w:t>1</w:t>
            </w:r>
            <w:r w:rsidR="00A9523D" w:rsidRPr="00EA1BB2">
              <w:rPr>
                <w:rFonts w:ascii="Cambria" w:hAnsi="Cambria"/>
                <w:sz w:val="24"/>
              </w:rPr>
              <w:t>.</w:t>
            </w:r>
            <w:r w:rsidRPr="00EA1BB2">
              <w:rPr>
                <w:rFonts w:ascii="Cambria" w:hAnsi="Cambria"/>
                <w:sz w:val="24"/>
              </w:rPr>
              <w:t>355</w:t>
            </w:r>
          </w:p>
        </w:tc>
        <w:tc>
          <w:tcPr>
            <w:tcW w:w="2095" w:type="dxa"/>
            <w:shd w:val="clear" w:color="auto" w:fill="auto"/>
            <w:vAlign w:val="center"/>
          </w:tcPr>
          <w:p w14:paraId="20B2866B" w14:textId="77777777" w:rsidR="00710080" w:rsidRPr="00EA1BB2" w:rsidRDefault="00710080" w:rsidP="00710080">
            <w:pPr>
              <w:spacing w:line="360" w:lineRule="auto"/>
              <w:jc w:val="center"/>
              <w:rPr>
                <w:rFonts w:ascii="Cambria" w:hAnsi="Cambria"/>
                <w:sz w:val="24"/>
                <w:szCs w:val="24"/>
              </w:rPr>
            </w:pPr>
            <w:r w:rsidRPr="00EA1BB2">
              <w:rPr>
                <w:rFonts w:ascii="Cambria" w:hAnsi="Cambria"/>
                <w:sz w:val="24"/>
              </w:rPr>
              <w:t>47</w:t>
            </w:r>
            <w:r w:rsidR="00A9523D" w:rsidRPr="00EA1BB2">
              <w:rPr>
                <w:rFonts w:ascii="Cambria" w:hAnsi="Cambria"/>
                <w:sz w:val="24"/>
              </w:rPr>
              <w:t>.</w:t>
            </w:r>
            <w:r w:rsidRPr="00EA1BB2">
              <w:rPr>
                <w:rFonts w:ascii="Cambria" w:hAnsi="Cambria"/>
                <w:sz w:val="24"/>
              </w:rPr>
              <w:t>230</w:t>
            </w:r>
          </w:p>
        </w:tc>
        <w:tc>
          <w:tcPr>
            <w:tcW w:w="1700" w:type="dxa"/>
            <w:vAlign w:val="center"/>
          </w:tcPr>
          <w:p w14:paraId="7BDB6F37" w14:textId="77777777" w:rsidR="00710080" w:rsidRPr="00EA1BB2" w:rsidRDefault="00710080" w:rsidP="00710080">
            <w:pPr>
              <w:spacing w:line="360" w:lineRule="auto"/>
              <w:jc w:val="center"/>
              <w:rPr>
                <w:rFonts w:ascii="Cambria" w:hAnsi="Cambria"/>
                <w:sz w:val="24"/>
                <w:szCs w:val="24"/>
              </w:rPr>
            </w:pPr>
            <w:r w:rsidRPr="00EA1BB2">
              <w:rPr>
                <w:rFonts w:ascii="Cambria" w:hAnsi="Cambria"/>
                <w:sz w:val="24"/>
                <w:szCs w:val="24"/>
              </w:rPr>
              <w:t>1</w:t>
            </w:r>
            <w:r w:rsidR="00A9523D" w:rsidRPr="00EA1BB2">
              <w:rPr>
                <w:rFonts w:ascii="Cambria" w:hAnsi="Cambria"/>
                <w:sz w:val="24"/>
                <w:szCs w:val="24"/>
              </w:rPr>
              <w:t>.</w:t>
            </w:r>
            <w:r w:rsidRPr="00EA1BB2">
              <w:rPr>
                <w:rFonts w:ascii="Cambria" w:hAnsi="Cambria"/>
                <w:sz w:val="24"/>
                <w:szCs w:val="24"/>
              </w:rPr>
              <w:t>172</w:t>
            </w:r>
          </w:p>
        </w:tc>
      </w:tr>
      <w:tr w:rsidR="00710080" w:rsidRPr="00EA1BB2" w14:paraId="7DA288B0" w14:textId="77777777" w:rsidTr="00083475">
        <w:trPr>
          <w:jc w:val="center"/>
        </w:trPr>
        <w:tc>
          <w:tcPr>
            <w:tcW w:w="1311" w:type="dxa"/>
          </w:tcPr>
          <w:p w14:paraId="27E6A4B9" w14:textId="77777777" w:rsidR="00710080" w:rsidRPr="00EA1BB2" w:rsidRDefault="00710080" w:rsidP="00710080">
            <w:pPr>
              <w:spacing w:line="360" w:lineRule="auto"/>
              <w:rPr>
                <w:rFonts w:ascii="Cambria" w:hAnsi="Cambria"/>
                <w:sz w:val="24"/>
                <w:szCs w:val="24"/>
              </w:rPr>
            </w:pPr>
            <w:r w:rsidRPr="00EA1BB2">
              <w:rPr>
                <w:rFonts w:ascii="Cambria" w:hAnsi="Cambria"/>
                <w:sz w:val="24"/>
                <w:szCs w:val="24"/>
              </w:rPr>
              <w:t>TOTAL</w:t>
            </w:r>
          </w:p>
        </w:tc>
        <w:tc>
          <w:tcPr>
            <w:tcW w:w="1661" w:type="dxa"/>
            <w:shd w:val="clear" w:color="auto" w:fill="auto"/>
            <w:vAlign w:val="center"/>
          </w:tcPr>
          <w:p w14:paraId="564A1463" w14:textId="77777777" w:rsidR="00710080" w:rsidRPr="00EA1BB2" w:rsidRDefault="00710080" w:rsidP="00E46B56">
            <w:pPr>
              <w:spacing w:line="360" w:lineRule="auto"/>
              <w:jc w:val="center"/>
              <w:rPr>
                <w:rFonts w:ascii="Cambria" w:hAnsi="Cambria"/>
                <w:sz w:val="24"/>
                <w:szCs w:val="24"/>
              </w:rPr>
            </w:pPr>
            <w:r w:rsidRPr="00EA1BB2">
              <w:rPr>
                <w:rFonts w:ascii="Cambria" w:hAnsi="Cambria"/>
                <w:sz w:val="24"/>
                <w:szCs w:val="24"/>
              </w:rPr>
              <w:t>137.1</w:t>
            </w:r>
            <w:r w:rsidR="00E46B56" w:rsidRPr="00EA1BB2">
              <w:rPr>
                <w:rFonts w:ascii="Cambria" w:hAnsi="Cambria"/>
                <w:sz w:val="24"/>
                <w:szCs w:val="24"/>
              </w:rPr>
              <w:t>88</w:t>
            </w:r>
          </w:p>
        </w:tc>
        <w:tc>
          <w:tcPr>
            <w:tcW w:w="2249" w:type="dxa"/>
            <w:shd w:val="clear" w:color="auto" w:fill="auto"/>
            <w:vAlign w:val="center"/>
          </w:tcPr>
          <w:p w14:paraId="72FD093B" w14:textId="77777777" w:rsidR="00710080" w:rsidRPr="00EA1BB2" w:rsidRDefault="00710080" w:rsidP="00710080">
            <w:pPr>
              <w:spacing w:line="360" w:lineRule="auto"/>
              <w:jc w:val="center"/>
              <w:rPr>
                <w:rFonts w:ascii="Cambria" w:hAnsi="Cambria"/>
                <w:sz w:val="24"/>
                <w:szCs w:val="24"/>
              </w:rPr>
            </w:pPr>
            <w:r w:rsidRPr="00EA1BB2">
              <w:rPr>
                <w:rFonts w:ascii="Cambria" w:hAnsi="Cambria"/>
                <w:sz w:val="24"/>
              </w:rPr>
              <w:t>60</w:t>
            </w:r>
            <w:r w:rsidR="00A9523D" w:rsidRPr="00EA1BB2">
              <w:rPr>
                <w:rFonts w:ascii="Cambria" w:hAnsi="Cambria"/>
                <w:sz w:val="24"/>
              </w:rPr>
              <w:t>.</w:t>
            </w:r>
            <w:r w:rsidRPr="00EA1BB2">
              <w:rPr>
                <w:rFonts w:ascii="Cambria" w:hAnsi="Cambria"/>
                <w:sz w:val="24"/>
              </w:rPr>
              <w:t>468</w:t>
            </w:r>
          </w:p>
        </w:tc>
        <w:tc>
          <w:tcPr>
            <w:tcW w:w="2095" w:type="dxa"/>
            <w:shd w:val="clear" w:color="auto" w:fill="auto"/>
            <w:vAlign w:val="center"/>
          </w:tcPr>
          <w:p w14:paraId="70581285" w14:textId="77777777" w:rsidR="00710080" w:rsidRPr="00EA1BB2" w:rsidRDefault="00710080" w:rsidP="00710080">
            <w:pPr>
              <w:spacing w:line="360" w:lineRule="auto"/>
              <w:jc w:val="center"/>
              <w:rPr>
                <w:rFonts w:ascii="Cambria" w:hAnsi="Cambria"/>
                <w:sz w:val="24"/>
                <w:szCs w:val="24"/>
              </w:rPr>
            </w:pPr>
            <w:r w:rsidRPr="00EA1BB2">
              <w:rPr>
                <w:rFonts w:ascii="Cambria" w:hAnsi="Cambria"/>
                <w:sz w:val="24"/>
              </w:rPr>
              <w:t>71</w:t>
            </w:r>
            <w:r w:rsidR="00A9523D" w:rsidRPr="00EA1BB2">
              <w:rPr>
                <w:rFonts w:ascii="Cambria" w:hAnsi="Cambria"/>
                <w:sz w:val="24"/>
              </w:rPr>
              <w:t>.</w:t>
            </w:r>
            <w:r w:rsidRPr="00EA1BB2">
              <w:rPr>
                <w:rFonts w:ascii="Cambria" w:hAnsi="Cambria"/>
                <w:sz w:val="24"/>
              </w:rPr>
              <w:t>973</w:t>
            </w:r>
          </w:p>
        </w:tc>
        <w:tc>
          <w:tcPr>
            <w:tcW w:w="1700" w:type="dxa"/>
            <w:vAlign w:val="center"/>
          </w:tcPr>
          <w:p w14:paraId="7DCB5C58" w14:textId="77777777" w:rsidR="00710080" w:rsidRPr="00EA1BB2" w:rsidRDefault="00710080" w:rsidP="00710080">
            <w:pPr>
              <w:spacing w:line="360" w:lineRule="auto"/>
              <w:jc w:val="center"/>
              <w:rPr>
                <w:rFonts w:ascii="Cambria" w:hAnsi="Cambria"/>
                <w:sz w:val="24"/>
                <w:szCs w:val="24"/>
              </w:rPr>
            </w:pPr>
            <w:r w:rsidRPr="00EA1BB2">
              <w:rPr>
                <w:rFonts w:ascii="Cambria" w:hAnsi="Cambria"/>
                <w:sz w:val="24"/>
                <w:szCs w:val="24"/>
              </w:rPr>
              <w:t>4</w:t>
            </w:r>
            <w:r w:rsidR="00A9523D" w:rsidRPr="00EA1BB2">
              <w:rPr>
                <w:rFonts w:ascii="Cambria" w:hAnsi="Cambria"/>
                <w:sz w:val="24"/>
                <w:szCs w:val="24"/>
              </w:rPr>
              <w:t>.</w:t>
            </w:r>
            <w:r w:rsidRPr="00EA1BB2">
              <w:rPr>
                <w:rFonts w:ascii="Cambria" w:hAnsi="Cambria"/>
                <w:sz w:val="24"/>
                <w:szCs w:val="24"/>
              </w:rPr>
              <w:t>749</w:t>
            </w:r>
          </w:p>
        </w:tc>
      </w:tr>
    </w:tbl>
    <w:p w14:paraId="5F62B75B" w14:textId="77777777" w:rsidR="00430C05" w:rsidRPr="00EA1BB2" w:rsidRDefault="00E21918" w:rsidP="00E21918">
      <w:pPr>
        <w:spacing w:line="276" w:lineRule="auto"/>
        <w:rPr>
          <w:rFonts w:ascii="Cambria" w:eastAsia="Calibri" w:hAnsi="Cambria" w:cs="Times New Roman"/>
          <w:szCs w:val="24"/>
        </w:rPr>
      </w:pPr>
      <w:r w:rsidRPr="00EA1BB2">
        <w:rPr>
          <w:rFonts w:ascii="Cambria" w:eastAsia="Calibri" w:hAnsi="Cambria" w:cs="Times New Roman"/>
          <w:szCs w:val="24"/>
        </w:rPr>
        <w:t>S</w:t>
      </w:r>
      <w:r w:rsidR="00430C05" w:rsidRPr="00EA1BB2">
        <w:rPr>
          <w:rFonts w:ascii="Cambria" w:eastAsia="Calibri" w:hAnsi="Cambria" w:cs="Times New Roman"/>
          <w:szCs w:val="24"/>
        </w:rPr>
        <w:t>ursa</w:t>
      </w:r>
      <w:r w:rsidRPr="00EA1BB2">
        <w:rPr>
          <w:rFonts w:ascii="Cambria" w:eastAsia="Calibri" w:hAnsi="Cambria" w:cs="Times New Roman"/>
          <w:szCs w:val="24"/>
        </w:rPr>
        <w:t xml:space="preserve"> date</w:t>
      </w:r>
      <w:r w:rsidR="00430C05" w:rsidRPr="00EA1BB2">
        <w:rPr>
          <w:rFonts w:ascii="Cambria" w:eastAsia="Calibri" w:hAnsi="Cambria" w:cs="Times New Roman"/>
          <w:szCs w:val="24"/>
        </w:rPr>
        <w:t>: Direcția Județeană de Statistică Brăila</w:t>
      </w:r>
    </w:p>
    <w:p w14:paraId="6920FBCB" w14:textId="77777777" w:rsidR="006060F7" w:rsidRPr="00EA1BB2" w:rsidRDefault="006060F7" w:rsidP="00042796">
      <w:pPr>
        <w:rPr>
          <w:rFonts w:ascii="Cambria" w:eastAsia="Calibri" w:hAnsi="Cambria" w:cs="Times New Roman"/>
          <w:sz w:val="24"/>
          <w:szCs w:val="24"/>
        </w:rPr>
      </w:pPr>
    </w:p>
    <w:p w14:paraId="31687D81" w14:textId="7213B98F" w:rsidR="00430C05" w:rsidRPr="00EA1BB2" w:rsidRDefault="00430C05" w:rsidP="00430C05">
      <w:pPr>
        <w:keepNext/>
        <w:spacing w:line="360" w:lineRule="auto"/>
        <w:ind w:firstLine="708"/>
        <w:jc w:val="both"/>
        <w:rPr>
          <w:rFonts w:ascii="Cambria" w:eastAsia="Calibri" w:hAnsi="Cambria" w:cs="Times New Roman"/>
          <w:b/>
          <w:iCs/>
          <w:sz w:val="24"/>
          <w:szCs w:val="24"/>
        </w:rPr>
      </w:pPr>
      <w:bookmarkStart w:id="93" w:name="_Toc526889774"/>
      <w:r w:rsidRPr="00EA1BB2">
        <w:rPr>
          <w:rFonts w:ascii="Cambria" w:eastAsia="Calibri" w:hAnsi="Cambria" w:cs="Times New Roman"/>
          <w:b/>
          <w:iCs/>
          <w:sz w:val="24"/>
          <w:szCs w:val="24"/>
        </w:rPr>
        <w:t xml:space="preserve">Tabelul nr. </w:t>
      </w:r>
      <w:r w:rsidR="000A2FE7" w:rsidRPr="00EA1BB2">
        <w:rPr>
          <w:rFonts w:ascii="Cambria" w:eastAsia="Calibri" w:hAnsi="Cambria" w:cs="Times New Roman"/>
          <w:b/>
          <w:iCs/>
          <w:sz w:val="24"/>
          <w:szCs w:val="24"/>
        </w:rPr>
        <w:fldChar w:fldCharType="begin"/>
      </w:r>
      <w:r w:rsidR="000A2FE7" w:rsidRPr="00EA1BB2">
        <w:rPr>
          <w:rFonts w:ascii="Cambria" w:eastAsia="Calibri" w:hAnsi="Cambria" w:cs="Times New Roman"/>
          <w:b/>
          <w:iCs/>
          <w:sz w:val="24"/>
          <w:szCs w:val="24"/>
        </w:rPr>
        <w:instrText xml:space="preserve"> STYLEREF 1 \s </w:instrText>
      </w:r>
      <w:r w:rsidR="000A2FE7" w:rsidRPr="00EA1BB2">
        <w:rPr>
          <w:rFonts w:ascii="Cambria" w:eastAsia="Calibri" w:hAnsi="Cambria" w:cs="Times New Roman"/>
          <w:b/>
          <w:iCs/>
          <w:sz w:val="24"/>
          <w:szCs w:val="24"/>
        </w:rPr>
        <w:fldChar w:fldCharType="separate"/>
      </w:r>
      <w:r w:rsidR="00567555">
        <w:rPr>
          <w:rFonts w:ascii="Cambria" w:eastAsia="Calibri" w:hAnsi="Cambria" w:cs="Times New Roman"/>
          <w:b/>
          <w:iCs/>
          <w:noProof/>
          <w:sz w:val="24"/>
          <w:szCs w:val="24"/>
        </w:rPr>
        <w:t>3</w:t>
      </w:r>
      <w:r w:rsidR="000A2FE7" w:rsidRPr="00EA1BB2">
        <w:rPr>
          <w:rFonts w:ascii="Cambria" w:eastAsia="Calibri" w:hAnsi="Cambria" w:cs="Times New Roman"/>
          <w:b/>
          <w:iCs/>
          <w:sz w:val="24"/>
          <w:szCs w:val="24"/>
        </w:rPr>
        <w:fldChar w:fldCharType="end"/>
      </w:r>
      <w:r w:rsidR="000A2FE7" w:rsidRPr="00EA1BB2">
        <w:rPr>
          <w:rFonts w:ascii="Cambria" w:eastAsia="Calibri" w:hAnsi="Cambria" w:cs="Times New Roman"/>
          <w:b/>
          <w:iCs/>
          <w:sz w:val="24"/>
          <w:szCs w:val="24"/>
        </w:rPr>
        <w:noBreakHyphen/>
      </w:r>
      <w:r w:rsidR="000A2FE7" w:rsidRPr="00EA1BB2">
        <w:rPr>
          <w:rFonts w:ascii="Cambria" w:eastAsia="Calibri" w:hAnsi="Cambria" w:cs="Times New Roman"/>
          <w:b/>
          <w:iCs/>
          <w:sz w:val="24"/>
          <w:szCs w:val="24"/>
        </w:rPr>
        <w:fldChar w:fldCharType="begin"/>
      </w:r>
      <w:r w:rsidR="000A2FE7" w:rsidRPr="00EA1BB2">
        <w:rPr>
          <w:rFonts w:ascii="Cambria" w:eastAsia="Calibri" w:hAnsi="Cambria" w:cs="Times New Roman"/>
          <w:b/>
          <w:iCs/>
          <w:sz w:val="24"/>
          <w:szCs w:val="24"/>
        </w:rPr>
        <w:instrText xml:space="preserve"> SEQ Tabelul_nr. \* ARABIC \s 1 </w:instrText>
      </w:r>
      <w:r w:rsidR="000A2FE7" w:rsidRPr="00EA1BB2">
        <w:rPr>
          <w:rFonts w:ascii="Cambria" w:eastAsia="Calibri" w:hAnsi="Cambria" w:cs="Times New Roman"/>
          <w:b/>
          <w:iCs/>
          <w:sz w:val="24"/>
          <w:szCs w:val="24"/>
        </w:rPr>
        <w:fldChar w:fldCharType="separate"/>
      </w:r>
      <w:r w:rsidR="00567555">
        <w:rPr>
          <w:rFonts w:ascii="Cambria" w:eastAsia="Calibri" w:hAnsi="Cambria" w:cs="Times New Roman"/>
          <w:b/>
          <w:iCs/>
          <w:noProof/>
          <w:sz w:val="24"/>
          <w:szCs w:val="24"/>
        </w:rPr>
        <w:t>5</w:t>
      </w:r>
      <w:r w:rsidR="000A2FE7" w:rsidRPr="00EA1BB2">
        <w:rPr>
          <w:rFonts w:ascii="Cambria" w:eastAsia="Calibri" w:hAnsi="Cambria" w:cs="Times New Roman"/>
          <w:b/>
          <w:iCs/>
          <w:sz w:val="24"/>
          <w:szCs w:val="24"/>
        </w:rPr>
        <w:fldChar w:fldCharType="end"/>
      </w:r>
      <w:r w:rsidRPr="00EA1BB2">
        <w:rPr>
          <w:rFonts w:ascii="Cambria" w:eastAsia="Calibri" w:hAnsi="Cambria" w:cs="Times New Roman"/>
          <w:b/>
          <w:iCs/>
          <w:sz w:val="24"/>
          <w:szCs w:val="24"/>
        </w:rPr>
        <w:t xml:space="preserve"> - Numărul locuințelor dotate cu încălzire centrală </w:t>
      </w:r>
      <w:r w:rsidRPr="00EA1BB2">
        <w:rPr>
          <w:rFonts w:ascii="Cambria" w:eastAsia="Calibri" w:hAnsi="Cambria" w:cs="Times New Roman"/>
          <w:b/>
          <w:iCs/>
          <w:sz w:val="24"/>
          <w:szCs w:val="18"/>
        </w:rPr>
        <w:t>(RPL 2011)</w:t>
      </w:r>
      <w:bookmarkEnd w:id="93"/>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9"/>
        <w:gridCol w:w="1591"/>
        <w:gridCol w:w="1246"/>
        <w:gridCol w:w="1070"/>
        <w:gridCol w:w="1529"/>
        <w:gridCol w:w="1529"/>
        <w:gridCol w:w="1075"/>
      </w:tblGrid>
      <w:tr w:rsidR="00430C05" w:rsidRPr="00EA1BB2" w14:paraId="0007F426" w14:textId="77777777" w:rsidTr="00430C05">
        <w:trPr>
          <w:jc w:val="center"/>
        </w:trPr>
        <w:tc>
          <w:tcPr>
            <w:tcW w:w="1169" w:type="dxa"/>
            <w:vMerge w:val="restart"/>
            <w:shd w:val="clear" w:color="auto" w:fill="BDD6EE" w:themeFill="accent1" w:themeFillTint="66"/>
            <w:vAlign w:val="center"/>
          </w:tcPr>
          <w:p w14:paraId="10A380C7" w14:textId="77777777" w:rsidR="00430C05" w:rsidRPr="00EA1BB2" w:rsidRDefault="00430C05" w:rsidP="00361255">
            <w:pPr>
              <w:spacing w:line="360" w:lineRule="auto"/>
              <w:jc w:val="center"/>
              <w:rPr>
                <w:rFonts w:ascii="Cambria" w:eastAsia="Calibri" w:hAnsi="Cambria" w:cs="Times New Roman"/>
                <w:b/>
                <w:sz w:val="24"/>
                <w:szCs w:val="24"/>
              </w:rPr>
            </w:pPr>
            <w:r w:rsidRPr="00EA1BB2">
              <w:rPr>
                <w:rFonts w:ascii="Cambria" w:eastAsia="Calibri" w:hAnsi="Cambria" w:cs="Times New Roman"/>
                <w:b/>
                <w:sz w:val="24"/>
                <w:szCs w:val="24"/>
              </w:rPr>
              <w:t>UAT</w:t>
            </w:r>
          </w:p>
        </w:tc>
        <w:tc>
          <w:tcPr>
            <w:tcW w:w="1591" w:type="dxa"/>
            <w:vMerge w:val="restart"/>
            <w:shd w:val="clear" w:color="auto" w:fill="BDD6EE" w:themeFill="accent1" w:themeFillTint="66"/>
            <w:vAlign w:val="center"/>
          </w:tcPr>
          <w:p w14:paraId="6B900DA2" w14:textId="77777777" w:rsidR="00430C05" w:rsidRPr="00EA1BB2" w:rsidRDefault="00430C05" w:rsidP="00361255">
            <w:pPr>
              <w:spacing w:line="360" w:lineRule="auto"/>
              <w:jc w:val="center"/>
              <w:rPr>
                <w:rFonts w:ascii="Cambria" w:eastAsia="Calibri" w:hAnsi="Cambria" w:cs="Times New Roman"/>
                <w:b/>
                <w:sz w:val="24"/>
                <w:szCs w:val="24"/>
              </w:rPr>
            </w:pPr>
            <w:r w:rsidRPr="00EA1BB2">
              <w:rPr>
                <w:rFonts w:ascii="Cambria" w:eastAsia="Calibri" w:hAnsi="Cambria" w:cs="Times New Roman"/>
                <w:b/>
                <w:sz w:val="24"/>
                <w:szCs w:val="24"/>
              </w:rPr>
              <w:t>Termoficare</w:t>
            </w:r>
          </w:p>
        </w:tc>
        <w:tc>
          <w:tcPr>
            <w:tcW w:w="6449" w:type="dxa"/>
            <w:gridSpan w:val="5"/>
            <w:shd w:val="clear" w:color="auto" w:fill="BDD6EE" w:themeFill="accent1" w:themeFillTint="66"/>
            <w:vAlign w:val="center"/>
          </w:tcPr>
          <w:p w14:paraId="1067FAAA" w14:textId="77777777" w:rsidR="00430C05" w:rsidRPr="00EA1BB2" w:rsidRDefault="00430C05" w:rsidP="00361255">
            <w:pPr>
              <w:spacing w:line="360" w:lineRule="auto"/>
              <w:jc w:val="center"/>
              <w:rPr>
                <w:rFonts w:ascii="Cambria" w:eastAsia="Calibri" w:hAnsi="Cambria" w:cs="Times New Roman"/>
                <w:b/>
                <w:sz w:val="24"/>
                <w:szCs w:val="24"/>
              </w:rPr>
            </w:pPr>
            <w:r w:rsidRPr="00EA1BB2">
              <w:rPr>
                <w:rFonts w:ascii="Cambria" w:eastAsia="Calibri" w:hAnsi="Cambria" w:cs="Times New Roman"/>
                <w:b/>
                <w:sz w:val="24"/>
                <w:szCs w:val="24"/>
              </w:rPr>
              <w:t>Centrală termică proprie</w:t>
            </w:r>
          </w:p>
        </w:tc>
      </w:tr>
      <w:tr w:rsidR="00430C05" w:rsidRPr="00EA1BB2" w14:paraId="3EF36BD6" w14:textId="77777777" w:rsidTr="00430C05">
        <w:trPr>
          <w:jc w:val="center"/>
        </w:trPr>
        <w:tc>
          <w:tcPr>
            <w:tcW w:w="1169" w:type="dxa"/>
            <w:vMerge/>
            <w:shd w:val="clear" w:color="auto" w:fill="BDD6EE" w:themeFill="accent1" w:themeFillTint="66"/>
          </w:tcPr>
          <w:p w14:paraId="4C2E059C" w14:textId="77777777" w:rsidR="00430C05" w:rsidRPr="00EA1BB2" w:rsidRDefault="00430C05" w:rsidP="00361255">
            <w:pPr>
              <w:spacing w:line="360" w:lineRule="auto"/>
              <w:jc w:val="center"/>
              <w:rPr>
                <w:rFonts w:ascii="Cambria" w:eastAsia="Calibri" w:hAnsi="Cambria" w:cs="Times New Roman"/>
                <w:b/>
                <w:sz w:val="24"/>
                <w:szCs w:val="24"/>
              </w:rPr>
            </w:pPr>
          </w:p>
        </w:tc>
        <w:tc>
          <w:tcPr>
            <w:tcW w:w="1591" w:type="dxa"/>
            <w:vMerge/>
            <w:shd w:val="clear" w:color="auto" w:fill="BDD6EE" w:themeFill="accent1" w:themeFillTint="66"/>
            <w:vAlign w:val="center"/>
          </w:tcPr>
          <w:p w14:paraId="1C9A072B" w14:textId="77777777" w:rsidR="00430C05" w:rsidRPr="00EA1BB2" w:rsidRDefault="00430C05" w:rsidP="00361255">
            <w:pPr>
              <w:spacing w:line="360" w:lineRule="auto"/>
              <w:jc w:val="center"/>
              <w:rPr>
                <w:rFonts w:ascii="Cambria" w:eastAsia="Calibri" w:hAnsi="Cambria" w:cs="Times New Roman"/>
                <w:b/>
                <w:sz w:val="24"/>
                <w:szCs w:val="24"/>
              </w:rPr>
            </w:pPr>
          </w:p>
        </w:tc>
        <w:tc>
          <w:tcPr>
            <w:tcW w:w="1246" w:type="dxa"/>
            <w:shd w:val="clear" w:color="auto" w:fill="BDD6EE" w:themeFill="accent1" w:themeFillTint="66"/>
            <w:vAlign w:val="center"/>
          </w:tcPr>
          <w:p w14:paraId="5C11C766" w14:textId="77777777" w:rsidR="00430C05" w:rsidRPr="00EA1BB2" w:rsidRDefault="00430C05" w:rsidP="00361255">
            <w:pPr>
              <w:spacing w:line="276" w:lineRule="auto"/>
              <w:jc w:val="center"/>
              <w:rPr>
                <w:rFonts w:ascii="Cambria" w:eastAsia="Calibri" w:hAnsi="Cambria" w:cs="Times New Roman"/>
                <w:b/>
                <w:szCs w:val="24"/>
              </w:rPr>
            </w:pPr>
            <w:r w:rsidRPr="00EA1BB2">
              <w:rPr>
                <w:rFonts w:ascii="Cambria" w:eastAsia="Calibri" w:hAnsi="Cambria" w:cs="Times New Roman"/>
                <w:b/>
                <w:szCs w:val="24"/>
              </w:rPr>
              <w:t>pe gaze lichefiate (butelie)</w:t>
            </w:r>
          </w:p>
        </w:tc>
        <w:tc>
          <w:tcPr>
            <w:tcW w:w="1070" w:type="dxa"/>
            <w:shd w:val="clear" w:color="auto" w:fill="BDD6EE" w:themeFill="accent1" w:themeFillTint="66"/>
            <w:vAlign w:val="center"/>
          </w:tcPr>
          <w:p w14:paraId="311B7889" w14:textId="77777777" w:rsidR="00430C05" w:rsidRPr="00EA1BB2" w:rsidRDefault="00430C05" w:rsidP="00361255">
            <w:pPr>
              <w:spacing w:line="276" w:lineRule="auto"/>
              <w:jc w:val="center"/>
              <w:rPr>
                <w:rFonts w:ascii="Cambria" w:eastAsia="Calibri" w:hAnsi="Cambria" w:cs="Times New Roman"/>
                <w:b/>
                <w:szCs w:val="24"/>
              </w:rPr>
            </w:pPr>
            <w:r w:rsidRPr="00EA1BB2">
              <w:rPr>
                <w:rFonts w:ascii="Cambria" w:eastAsia="Calibri" w:hAnsi="Cambria" w:cs="Times New Roman"/>
                <w:b/>
                <w:szCs w:val="24"/>
              </w:rPr>
              <w:t>pe gaze din</w:t>
            </w:r>
          </w:p>
          <w:p w14:paraId="05EBE981" w14:textId="77777777" w:rsidR="00430C05" w:rsidRPr="00EA1BB2" w:rsidRDefault="00430C05" w:rsidP="00361255">
            <w:pPr>
              <w:spacing w:line="276" w:lineRule="auto"/>
              <w:jc w:val="center"/>
              <w:rPr>
                <w:rFonts w:ascii="Cambria" w:eastAsia="Calibri" w:hAnsi="Cambria" w:cs="Times New Roman"/>
                <w:b/>
                <w:szCs w:val="24"/>
              </w:rPr>
            </w:pPr>
            <w:r w:rsidRPr="00EA1BB2">
              <w:rPr>
                <w:rFonts w:ascii="Cambria" w:eastAsia="Calibri" w:hAnsi="Cambria" w:cs="Times New Roman"/>
                <w:b/>
                <w:szCs w:val="24"/>
              </w:rPr>
              <w:t>rețeaua</w:t>
            </w:r>
          </w:p>
          <w:p w14:paraId="4669A326" w14:textId="77777777" w:rsidR="00430C05" w:rsidRPr="00EA1BB2" w:rsidRDefault="00430C05" w:rsidP="00361255">
            <w:pPr>
              <w:spacing w:line="276" w:lineRule="auto"/>
              <w:jc w:val="center"/>
              <w:rPr>
                <w:rFonts w:ascii="Cambria" w:eastAsia="Calibri" w:hAnsi="Cambria" w:cs="Times New Roman"/>
                <w:b/>
                <w:szCs w:val="24"/>
              </w:rPr>
            </w:pPr>
            <w:r w:rsidRPr="00EA1BB2">
              <w:rPr>
                <w:rFonts w:ascii="Cambria" w:eastAsia="Calibri" w:hAnsi="Cambria" w:cs="Times New Roman"/>
                <w:b/>
                <w:szCs w:val="24"/>
              </w:rPr>
              <w:t>publică</w:t>
            </w:r>
          </w:p>
        </w:tc>
        <w:tc>
          <w:tcPr>
            <w:tcW w:w="1529" w:type="dxa"/>
            <w:shd w:val="clear" w:color="auto" w:fill="BDD6EE" w:themeFill="accent1" w:themeFillTint="66"/>
            <w:vAlign w:val="center"/>
          </w:tcPr>
          <w:p w14:paraId="5DA4C5DD" w14:textId="77777777" w:rsidR="00430C05" w:rsidRPr="00EA1BB2" w:rsidRDefault="00430C05" w:rsidP="00361255">
            <w:pPr>
              <w:spacing w:line="276" w:lineRule="auto"/>
              <w:jc w:val="center"/>
              <w:rPr>
                <w:rFonts w:ascii="Cambria" w:eastAsia="Calibri" w:hAnsi="Cambria" w:cs="Times New Roman"/>
                <w:b/>
                <w:szCs w:val="24"/>
              </w:rPr>
            </w:pPr>
            <w:r w:rsidRPr="00EA1BB2">
              <w:rPr>
                <w:rFonts w:ascii="Cambria" w:eastAsia="Calibri" w:hAnsi="Cambria" w:cs="Times New Roman"/>
                <w:b/>
                <w:szCs w:val="24"/>
              </w:rPr>
              <w:t>pe</w:t>
            </w:r>
          </w:p>
          <w:p w14:paraId="1547A00E" w14:textId="77777777" w:rsidR="00430C05" w:rsidRPr="00EA1BB2" w:rsidRDefault="00430C05" w:rsidP="00361255">
            <w:pPr>
              <w:spacing w:line="276" w:lineRule="auto"/>
              <w:jc w:val="center"/>
              <w:rPr>
                <w:rFonts w:ascii="Cambria" w:eastAsia="Calibri" w:hAnsi="Cambria" w:cs="Times New Roman"/>
                <w:b/>
                <w:szCs w:val="24"/>
              </w:rPr>
            </w:pPr>
            <w:r w:rsidRPr="00EA1BB2">
              <w:rPr>
                <w:rFonts w:ascii="Cambria" w:eastAsia="Calibri" w:hAnsi="Cambria" w:cs="Times New Roman"/>
                <w:b/>
                <w:szCs w:val="24"/>
              </w:rPr>
              <w:t>combustibil</w:t>
            </w:r>
          </w:p>
          <w:p w14:paraId="77D3FAB8" w14:textId="77777777" w:rsidR="00430C05" w:rsidRPr="00EA1BB2" w:rsidRDefault="00430C05" w:rsidP="00361255">
            <w:pPr>
              <w:spacing w:line="276" w:lineRule="auto"/>
              <w:jc w:val="center"/>
              <w:rPr>
                <w:rFonts w:ascii="Cambria" w:eastAsia="Calibri" w:hAnsi="Cambria" w:cs="Times New Roman"/>
                <w:b/>
                <w:szCs w:val="24"/>
              </w:rPr>
            </w:pPr>
            <w:r w:rsidRPr="00EA1BB2">
              <w:rPr>
                <w:rFonts w:ascii="Cambria" w:eastAsia="Calibri" w:hAnsi="Cambria" w:cs="Times New Roman"/>
                <w:b/>
                <w:szCs w:val="24"/>
              </w:rPr>
              <w:t>solid</w:t>
            </w:r>
          </w:p>
        </w:tc>
        <w:tc>
          <w:tcPr>
            <w:tcW w:w="1529" w:type="dxa"/>
            <w:shd w:val="clear" w:color="auto" w:fill="BDD6EE" w:themeFill="accent1" w:themeFillTint="66"/>
            <w:vAlign w:val="center"/>
          </w:tcPr>
          <w:p w14:paraId="1A46698B" w14:textId="77777777" w:rsidR="00430C05" w:rsidRPr="00EA1BB2" w:rsidRDefault="00430C05" w:rsidP="00361255">
            <w:pPr>
              <w:spacing w:line="276" w:lineRule="auto"/>
              <w:jc w:val="center"/>
              <w:rPr>
                <w:rFonts w:ascii="Cambria" w:eastAsia="Calibri" w:hAnsi="Cambria" w:cs="Times New Roman"/>
                <w:b/>
                <w:szCs w:val="24"/>
              </w:rPr>
            </w:pPr>
            <w:r w:rsidRPr="00EA1BB2">
              <w:rPr>
                <w:rFonts w:ascii="Cambria" w:eastAsia="Calibri" w:hAnsi="Cambria" w:cs="Times New Roman"/>
                <w:b/>
                <w:szCs w:val="24"/>
              </w:rPr>
              <w:t>pe</w:t>
            </w:r>
          </w:p>
          <w:p w14:paraId="1A4BC759" w14:textId="77777777" w:rsidR="00430C05" w:rsidRPr="00EA1BB2" w:rsidRDefault="00430C05" w:rsidP="00361255">
            <w:pPr>
              <w:spacing w:line="276" w:lineRule="auto"/>
              <w:jc w:val="center"/>
              <w:rPr>
                <w:rFonts w:ascii="Cambria" w:eastAsia="Calibri" w:hAnsi="Cambria" w:cs="Times New Roman"/>
                <w:b/>
                <w:szCs w:val="24"/>
              </w:rPr>
            </w:pPr>
            <w:r w:rsidRPr="00EA1BB2">
              <w:rPr>
                <w:rFonts w:ascii="Cambria" w:eastAsia="Calibri" w:hAnsi="Cambria" w:cs="Times New Roman"/>
                <w:b/>
                <w:szCs w:val="24"/>
              </w:rPr>
              <w:t>combustibil</w:t>
            </w:r>
          </w:p>
          <w:p w14:paraId="682B709B" w14:textId="77777777" w:rsidR="00430C05" w:rsidRPr="00EA1BB2" w:rsidRDefault="00430C05" w:rsidP="00361255">
            <w:pPr>
              <w:spacing w:line="276" w:lineRule="auto"/>
              <w:jc w:val="center"/>
              <w:rPr>
                <w:rFonts w:ascii="Cambria" w:eastAsia="Calibri" w:hAnsi="Cambria" w:cs="Times New Roman"/>
                <w:b/>
                <w:szCs w:val="24"/>
              </w:rPr>
            </w:pPr>
            <w:r w:rsidRPr="00EA1BB2">
              <w:rPr>
                <w:rFonts w:ascii="Cambria" w:eastAsia="Calibri" w:hAnsi="Cambria" w:cs="Times New Roman"/>
                <w:b/>
                <w:szCs w:val="24"/>
              </w:rPr>
              <w:t>lichid</w:t>
            </w:r>
          </w:p>
        </w:tc>
        <w:tc>
          <w:tcPr>
            <w:tcW w:w="1075" w:type="dxa"/>
            <w:shd w:val="clear" w:color="auto" w:fill="BDD6EE" w:themeFill="accent1" w:themeFillTint="66"/>
            <w:vAlign w:val="center"/>
          </w:tcPr>
          <w:p w14:paraId="658BCAE4" w14:textId="77777777" w:rsidR="00430C05" w:rsidRPr="00EA1BB2" w:rsidRDefault="00430C05" w:rsidP="00361255">
            <w:pPr>
              <w:spacing w:line="276" w:lineRule="auto"/>
              <w:jc w:val="center"/>
              <w:rPr>
                <w:rFonts w:ascii="Cambria" w:eastAsia="Calibri" w:hAnsi="Cambria" w:cs="Times New Roman"/>
                <w:b/>
                <w:szCs w:val="24"/>
              </w:rPr>
            </w:pPr>
            <w:r w:rsidRPr="00EA1BB2">
              <w:rPr>
                <w:rFonts w:ascii="Cambria" w:eastAsia="Calibri" w:hAnsi="Cambria" w:cs="Times New Roman"/>
                <w:b/>
                <w:szCs w:val="24"/>
              </w:rPr>
              <w:t>alt tip de energie</w:t>
            </w:r>
          </w:p>
        </w:tc>
      </w:tr>
      <w:tr w:rsidR="00430C05" w:rsidRPr="00EA1BB2" w14:paraId="4981F7E8" w14:textId="77777777" w:rsidTr="00430C05">
        <w:trPr>
          <w:jc w:val="center"/>
        </w:trPr>
        <w:tc>
          <w:tcPr>
            <w:tcW w:w="1169" w:type="dxa"/>
          </w:tcPr>
          <w:p w14:paraId="1B7CD6DF" w14:textId="77777777" w:rsidR="00430C05" w:rsidRPr="00EA1BB2" w:rsidRDefault="00430C05" w:rsidP="00430C05">
            <w:pPr>
              <w:spacing w:line="360" w:lineRule="auto"/>
              <w:rPr>
                <w:rFonts w:ascii="Cambria" w:eastAsia="Calibri" w:hAnsi="Cambria" w:cs="Times New Roman"/>
                <w:sz w:val="24"/>
                <w:szCs w:val="24"/>
              </w:rPr>
            </w:pPr>
            <w:r w:rsidRPr="00EA1BB2">
              <w:rPr>
                <w:rFonts w:ascii="Cambria" w:eastAsia="Calibri" w:hAnsi="Cambria" w:cs="Times New Roman"/>
                <w:sz w:val="24"/>
                <w:szCs w:val="24"/>
              </w:rPr>
              <w:t>Urban</w:t>
            </w:r>
          </w:p>
        </w:tc>
        <w:tc>
          <w:tcPr>
            <w:tcW w:w="1591" w:type="dxa"/>
            <w:shd w:val="clear" w:color="auto" w:fill="auto"/>
            <w:vAlign w:val="center"/>
          </w:tcPr>
          <w:p w14:paraId="1F4BF298" w14:textId="77777777" w:rsidR="00430C05" w:rsidRPr="00EA1BB2" w:rsidRDefault="00710080" w:rsidP="00430C05">
            <w:pPr>
              <w:spacing w:line="360" w:lineRule="auto"/>
              <w:jc w:val="center"/>
              <w:rPr>
                <w:rFonts w:ascii="Cambria" w:eastAsia="Calibri" w:hAnsi="Cambria" w:cs="Times New Roman"/>
                <w:sz w:val="24"/>
                <w:szCs w:val="24"/>
              </w:rPr>
            </w:pPr>
            <w:r w:rsidRPr="00EA1BB2">
              <w:rPr>
                <w:rFonts w:ascii="Cambria" w:eastAsia="Calibri" w:hAnsi="Cambria" w:cs="Times New Roman"/>
                <w:sz w:val="24"/>
                <w:szCs w:val="24"/>
              </w:rPr>
              <w:t>12</w:t>
            </w:r>
            <w:r w:rsidR="00A9523D" w:rsidRPr="00EA1BB2">
              <w:rPr>
                <w:rFonts w:ascii="Cambria" w:eastAsia="Calibri" w:hAnsi="Cambria" w:cs="Times New Roman"/>
                <w:sz w:val="24"/>
                <w:szCs w:val="24"/>
              </w:rPr>
              <w:t>.</w:t>
            </w:r>
            <w:r w:rsidRPr="00EA1BB2">
              <w:rPr>
                <w:rFonts w:ascii="Cambria" w:eastAsia="Calibri" w:hAnsi="Cambria" w:cs="Times New Roman"/>
                <w:sz w:val="24"/>
                <w:szCs w:val="24"/>
              </w:rPr>
              <w:t>422</w:t>
            </w:r>
          </w:p>
        </w:tc>
        <w:tc>
          <w:tcPr>
            <w:tcW w:w="1246" w:type="dxa"/>
            <w:shd w:val="clear" w:color="auto" w:fill="auto"/>
            <w:vAlign w:val="center"/>
          </w:tcPr>
          <w:p w14:paraId="3FA672EE" w14:textId="77777777" w:rsidR="00430C05" w:rsidRPr="00EA1BB2" w:rsidRDefault="00710080" w:rsidP="00430C05">
            <w:pPr>
              <w:spacing w:line="360" w:lineRule="auto"/>
              <w:jc w:val="center"/>
              <w:rPr>
                <w:rFonts w:ascii="Cambria" w:eastAsia="Calibri" w:hAnsi="Cambria" w:cs="Times New Roman"/>
                <w:sz w:val="24"/>
                <w:szCs w:val="24"/>
              </w:rPr>
            </w:pPr>
            <w:r w:rsidRPr="00EA1BB2">
              <w:rPr>
                <w:rFonts w:ascii="Cambria" w:eastAsia="Calibri" w:hAnsi="Cambria" w:cs="Times New Roman"/>
                <w:sz w:val="24"/>
                <w:szCs w:val="24"/>
              </w:rPr>
              <w:t>64</w:t>
            </w:r>
          </w:p>
        </w:tc>
        <w:tc>
          <w:tcPr>
            <w:tcW w:w="1070" w:type="dxa"/>
            <w:shd w:val="clear" w:color="auto" w:fill="auto"/>
            <w:vAlign w:val="center"/>
          </w:tcPr>
          <w:p w14:paraId="6F93F9C3" w14:textId="77777777" w:rsidR="00430C05" w:rsidRPr="00EA1BB2" w:rsidRDefault="00710080" w:rsidP="00430C05">
            <w:pPr>
              <w:spacing w:line="360" w:lineRule="auto"/>
              <w:jc w:val="center"/>
              <w:rPr>
                <w:rFonts w:ascii="Cambria" w:eastAsia="Calibri" w:hAnsi="Cambria" w:cs="Times New Roman"/>
                <w:sz w:val="24"/>
                <w:szCs w:val="24"/>
              </w:rPr>
            </w:pPr>
            <w:r w:rsidRPr="00EA1BB2">
              <w:rPr>
                <w:rFonts w:ascii="Cambria" w:eastAsia="Calibri" w:hAnsi="Cambria" w:cs="Times New Roman"/>
                <w:sz w:val="24"/>
                <w:szCs w:val="24"/>
              </w:rPr>
              <w:t>46</w:t>
            </w:r>
            <w:r w:rsidR="00A9523D" w:rsidRPr="00EA1BB2">
              <w:rPr>
                <w:rFonts w:ascii="Cambria" w:eastAsia="Calibri" w:hAnsi="Cambria" w:cs="Times New Roman"/>
                <w:sz w:val="24"/>
                <w:szCs w:val="24"/>
              </w:rPr>
              <w:t>.</w:t>
            </w:r>
            <w:r w:rsidRPr="00EA1BB2">
              <w:rPr>
                <w:rFonts w:ascii="Cambria" w:eastAsia="Calibri" w:hAnsi="Cambria" w:cs="Times New Roman"/>
                <w:sz w:val="24"/>
                <w:szCs w:val="24"/>
              </w:rPr>
              <w:t>148</w:t>
            </w:r>
          </w:p>
        </w:tc>
        <w:tc>
          <w:tcPr>
            <w:tcW w:w="1529" w:type="dxa"/>
            <w:shd w:val="clear" w:color="auto" w:fill="auto"/>
            <w:vAlign w:val="center"/>
          </w:tcPr>
          <w:p w14:paraId="1AE19DDC" w14:textId="77777777" w:rsidR="00430C05" w:rsidRPr="00EA1BB2" w:rsidRDefault="00710080" w:rsidP="00430C05">
            <w:pPr>
              <w:spacing w:line="360" w:lineRule="auto"/>
              <w:jc w:val="center"/>
              <w:rPr>
                <w:rFonts w:ascii="Cambria" w:eastAsia="Calibri" w:hAnsi="Cambria" w:cs="Times New Roman"/>
                <w:sz w:val="24"/>
                <w:szCs w:val="24"/>
              </w:rPr>
            </w:pPr>
            <w:r w:rsidRPr="00EA1BB2">
              <w:rPr>
                <w:rFonts w:ascii="Cambria" w:eastAsia="Calibri" w:hAnsi="Cambria" w:cs="Times New Roman"/>
                <w:sz w:val="24"/>
                <w:szCs w:val="24"/>
              </w:rPr>
              <w:t>447</w:t>
            </w:r>
          </w:p>
        </w:tc>
        <w:tc>
          <w:tcPr>
            <w:tcW w:w="1529" w:type="dxa"/>
            <w:shd w:val="clear" w:color="auto" w:fill="auto"/>
            <w:vAlign w:val="center"/>
          </w:tcPr>
          <w:p w14:paraId="5C71C9AD" w14:textId="77777777" w:rsidR="00430C05" w:rsidRPr="00EA1BB2" w:rsidRDefault="00710080" w:rsidP="00430C05">
            <w:pPr>
              <w:spacing w:line="360" w:lineRule="auto"/>
              <w:jc w:val="center"/>
              <w:rPr>
                <w:rFonts w:ascii="Cambria" w:eastAsia="Calibri" w:hAnsi="Cambria" w:cs="Times New Roman"/>
                <w:sz w:val="24"/>
                <w:szCs w:val="24"/>
              </w:rPr>
            </w:pPr>
            <w:r w:rsidRPr="00EA1BB2">
              <w:rPr>
                <w:rFonts w:ascii="Cambria" w:eastAsia="Calibri" w:hAnsi="Cambria" w:cs="Times New Roman"/>
                <w:sz w:val="24"/>
                <w:szCs w:val="24"/>
              </w:rPr>
              <w:t>25</w:t>
            </w:r>
          </w:p>
        </w:tc>
        <w:tc>
          <w:tcPr>
            <w:tcW w:w="1075" w:type="dxa"/>
            <w:shd w:val="clear" w:color="auto" w:fill="auto"/>
          </w:tcPr>
          <w:p w14:paraId="1452DA00" w14:textId="77777777" w:rsidR="00430C05" w:rsidRPr="00EA1BB2" w:rsidRDefault="00710080" w:rsidP="00430C05">
            <w:pPr>
              <w:spacing w:line="360" w:lineRule="auto"/>
              <w:jc w:val="center"/>
              <w:rPr>
                <w:rFonts w:ascii="Cambria" w:eastAsia="Calibri" w:hAnsi="Cambria" w:cs="Times New Roman"/>
                <w:sz w:val="24"/>
                <w:szCs w:val="24"/>
              </w:rPr>
            </w:pPr>
            <w:r w:rsidRPr="00EA1BB2">
              <w:rPr>
                <w:rFonts w:ascii="Cambria" w:eastAsia="Calibri" w:hAnsi="Cambria" w:cs="Times New Roman"/>
                <w:sz w:val="24"/>
                <w:szCs w:val="24"/>
              </w:rPr>
              <w:t>7</w:t>
            </w:r>
          </w:p>
        </w:tc>
      </w:tr>
      <w:tr w:rsidR="00430C05" w:rsidRPr="00EA1BB2" w14:paraId="2D8E06AB" w14:textId="77777777" w:rsidTr="00430C05">
        <w:trPr>
          <w:jc w:val="center"/>
        </w:trPr>
        <w:tc>
          <w:tcPr>
            <w:tcW w:w="1169" w:type="dxa"/>
          </w:tcPr>
          <w:p w14:paraId="1A106B2E" w14:textId="77777777" w:rsidR="00430C05" w:rsidRPr="00EA1BB2" w:rsidRDefault="00430C05" w:rsidP="00430C05">
            <w:pPr>
              <w:spacing w:line="360" w:lineRule="auto"/>
              <w:rPr>
                <w:rFonts w:ascii="Cambria" w:hAnsi="Cambria"/>
                <w:sz w:val="24"/>
                <w:szCs w:val="24"/>
              </w:rPr>
            </w:pPr>
            <w:r w:rsidRPr="00EA1BB2">
              <w:rPr>
                <w:rFonts w:ascii="Cambria" w:hAnsi="Cambria"/>
                <w:sz w:val="24"/>
                <w:szCs w:val="24"/>
              </w:rPr>
              <w:t>Rural</w:t>
            </w:r>
          </w:p>
        </w:tc>
        <w:tc>
          <w:tcPr>
            <w:tcW w:w="1591" w:type="dxa"/>
            <w:shd w:val="clear" w:color="auto" w:fill="auto"/>
          </w:tcPr>
          <w:p w14:paraId="02EC8CC5" w14:textId="77777777" w:rsidR="00430C05" w:rsidRPr="00EA1BB2" w:rsidRDefault="00710080" w:rsidP="00430C05">
            <w:pPr>
              <w:spacing w:line="360" w:lineRule="auto"/>
              <w:jc w:val="center"/>
              <w:rPr>
                <w:rFonts w:ascii="Cambria" w:hAnsi="Cambria"/>
                <w:sz w:val="24"/>
                <w:szCs w:val="24"/>
              </w:rPr>
            </w:pPr>
            <w:r w:rsidRPr="00EA1BB2">
              <w:rPr>
                <w:rFonts w:ascii="Cambria" w:hAnsi="Cambria"/>
                <w:sz w:val="24"/>
                <w:szCs w:val="24"/>
              </w:rPr>
              <w:t>6</w:t>
            </w:r>
          </w:p>
        </w:tc>
        <w:tc>
          <w:tcPr>
            <w:tcW w:w="1246" w:type="dxa"/>
            <w:shd w:val="clear" w:color="auto" w:fill="auto"/>
          </w:tcPr>
          <w:p w14:paraId="47E118DD" w14:textId="77777777" w:rsidR="00430C05" w:rsidRPr="00EA1BB2" w:rsidRDefault="00710080" w:rsidP="00430C05">
            <w:pPr>
              <w:spacing w:line="360" w:lineRule="auto"/>
              <w:jc w:val="center"/>
              <w:rPr>
                <w:rFonts w:ascii="Cambria" w:hAnsi="Cambria"/>
                <w:sz w:val="24"/>
                <w:szCs w:val="24"/>
              </w:rPr>
            </w:pPr>
            <w:r w:rsidRPr="00EA1BB2">
              <w:rPr>
                <w:rFonts w:ascii="Cambria" w:hAnsi="Cambria"/>
                <w:sz w:val="24"/>
                <w:szCs w:val="24"/>
              </w:rPr>
              <w:t>34</w:t>
            </w:r>
          </w:p>
        </w:tc>
        <w:tc>
          <w:tcPr>
            <w:tcW w:w="1070" w:type="dxa"/>
            <w:shd w:val="clear" w:color="auto" w:fill="auto"/>
          </w:tcPr>
          <w:p w14:paraId="2183B214" w14:textId="77777777" w:rsidR="00430C05" w:rsidRPr="00EA1BB2" w:rsidRDefault="00710080" w:rsidP="00430C05">
            <w:pPr>
              <w:spacing w:line="360" w:lineRule="auto"/>
              <w:jc w:val="center"/>
              <w:rPr>
                <w:rFonts w:ascii="Cambria" w:hAnsi="Cambria"/>
                <w:sz w:val="24"/>
                <w:szCs w:val="24"/>
              </w:rPr>
            </w:pPr>
            <w:r w:rsidRPr="00EA1BB2">
              <w:rPr>
                <w:rFonts w:ascii="Cambria" w:hAnsi="Cambria"/>
                <w:sz w:val="24"/>
                <w:szCs w:val="24"/>
              </w:rPr>
              <w:t>788</w:t>
            </w:r>
          </w:p>
        </w:tc>
        <w:tc>
          <w:tcPr>
            <w:tcW w:w="1529" w:type="dxa"/>
            <w:shd w:val="clear" w:color="auto" w:fill="auto"/>
          </w:tcPr>
          <w:p w14:paraId="545360F0" w14:textId="77777777" w:rsidR="00430C05" w:rsidRPr="00EA1BB2" w:rsidRDefault="00710080" w:rsidP="00430C05">
            <w:pPr>
              <w:spacing w:line="360" w:lineRule="auto"/>
              <w:jc w:val="center"/>
              <w:rPr>
                <w:rFonts w:ascii="Cambria" w:hAnsi="Cambria"/>
                <w:sz w:val="24"/>
                <w:szCs w:val="24"/>
              </w:rPr>
            </w:pPr>
            <w:r w:rsidRPr="00EA1BB2">
              <w:rPr>
                <w:rFonts w:ascii="Cambria" w:hAnsi="Cambria"/>
                <w:sz w:val="24"/>
                <w:szCs w:val="24"/>
              </w:rPr>
              <w:t>505</w:t>
            </w:r>
          </w:p>
        </w:tc>
        <w:tc>
          <w:tcPr>
            <w:tcW w:w="1529" w:type="dxa"/>
            <w:shd w:val="clear" w:color="auto" w:fill="auto"/>
          </w:tcPr>
          <w:p w14:paraId="1DBAAF75" w14:textId="77777777" w:rsidR="00430C05" w:rsidRPr="00EA1BB2" w:rsidRDefault="00710080" w:rsidP="00430C05">
            <w:pPr>
              <w:spacing w:line="360" w:lineRule="auto"/>
              <w:jc w:val="center"/>
              <w:rPr>
                <w:rFonts w:ascii="Cambria" w:hAnsi="Cambria"/>
                <w:sz w:val="24"/>
                <w:szCs w:val="24"/>
              </w:rPr>
            </w:pPr>
            <w:r w:rsidRPr="00EA1BB2">
              <w:rPr>
                <w:rFonts w:ascii="Cambria" w:hAnsi="Cambria"/>
                <w:sz w:val="24"/>
                <w:szCs w:val="24"/>
              </w:rPr>
              <w:t>19</w:t>
            </w:r>
          </w:p>
        </w:tc>
        <w:tc>
          <w:tcPr>
            <w:tcW w:w="1075" w:type="dxa"/>
            <w:shd w:val="clear" w:color="auto" w:fill="auto"/>
          </w:tcPr>
          <w:p w14:paraId="1DE9CDEF" w14:textId="77777777" w:rsidR="00430C05" w:rsidRPr="00EA1BB2" w:rsidRDefault="00710080" w:rsidP="00430C05">
            <w:pPr>
              <w:spacing w:line="360" w:lineRule="auto"/>
              <w:jc w:val="center"/>
              <w:rPr>
                <w:rFonts w:ascii="Cambria" w:hAnsi="Cambria"/>
                <w:sz w:val="24"/>
                <w:szCs w:val="24"/>
              </w:rPr>
            </w:pPr>
            <w:r w:rsidRPr="00EA1BB2">
              <w:rPr>
                <w:rFonts w:ascii="Cambria" w:hAnsi="Cambria"/>
                <w:sz w:val="24"/>
                <w:szCs w:val="24"/>
              </w:rPr>
              <w:t>3</w:t>
            </w:r>
          </w:p>
        </w:tc>
      </w:tr>
      <w:tr w:rsidR="00430C05" w:rsidRPr="00EA1BB2" w14:paraId="2A313E95" w14:textId="77777777" w:rsidTr="00430C05">
        <w:trPr>
          <w:jc w:val="center"/>
        </w:trPr>
        <w:tc>
          <w:tcPr>
            <w:tcW w:w="1169" w:type="dxa"/>
          </w:tcPr>
          <w:p w14:paraId="3CA2947B" w14:textId="77777777" w:rsidR="00430C05" w:rsidRPr="00EA1BB2" w:rsidRDefault="00430C05" w:rsidP="00430C05">
            <w:pPr>
              <w:spacing w:line="360" w:lineRule="auto"/>
              <w:rPr>
                <w:rFonts w:ascii="Cambria" w:hAnsi="Cambria"/>
                <w:sz w:val="24"/>
                <w:szCs w:val="24"/>
              </w:rPr>
            </w:pPr>
            <w:r w:rsidRPr="00EA1BB2">
              <w:rPr>
                <w:rFonts w:ascii="Cambria" w:hAnsi="Cambria"/>
                <w:sz w:val="24"/>
                <w:szCs w:val="24"/>
              </w:rPr>
              <w:t>TOTAL</w:t>
            </w:r>
          </w:p>
        </w:tc>
        <w:tc>
          <w:tcPr>
            <w:tcW w:w="1591" w:type="dxa"/>
            <w:shd w:val="clear" w:color="auto" w:fill="auto"/>
          </w:tcPr>
          <w:p w14:paraId="4426FBAA" w14:textId="77777777" w:rsidR="00430C05" w:rsidRPr="00EA1BB2" w:rsidRDefault="00710080" w:rsidP="00430C05">
            <w:pPr>
              <w:spacing w:line="360" w:lineRule="auto"/>
              <w:jc w:val="center"/>
              <w:rPr>
                <w:rFonts w:ascii="Cambria" w:hAnsi="Cambria"/>
                <w:sz w:val="24"/>
                <w:szCs w:val="24"/>
              </w:rPr>
            </w:pPr>
            <w:r w:rsidRPr="00EA1BB2">
              <w:rPr>
                <w:rFonts w:ascii="Cambria" w:hAnsi="Cambria"/>
                <w:sz w:val="24"/>
                <w:szCs w:val="24"/>
              </w:rPr>
              <w:t>12</w:t>
            </w:r>
            <w:r w:rsidR="00A9523D" w:rsidRPr="00EA1BB2">
              <w:rPr>
                <w:rFonts w:ascii="Cambria" w:hAnsi="Cambria"/>
                <w:sz w:val="24"/>
                <w:szCs w:val="24"/>
              </w:rPr>
              <w:t>.</w:t>
            </w:r>
            <w:r w:rsidRPr="00EA1BB2">
              <w:rPr>
                <w:rFonts w:ascii="Cambria" w:hAnsi="Cambria"/>
                <w:sz w:val="24"/>
                <w:szCs w:val="24"/>
              </w:rPr>
              <w:t>428</w:t>
            </w:r>
          </w:p>
        </w:tc>
        <w:tc>
          <w:tcPr>
            <w:tcW w:w="1246" w:type="dxa"/>
            <w:shd w:val="clear" w:color="auto" w:fill="auto"/>
          </w:tcPr>
          <w:p w14:paraId="26917F74" w14:textId="77777777" w:rsidR="00430C05" w:rsidRPr="00EA1BB2" w:rsidRDefault="00710080" w:rsidP="00430C05">
            <w:pPr>
              <w:spacing w:line="360" w:lineRule="auto"/>
              <w:jc w:val="center"/>
              <w:rPr>
                <w:rFonts w:ascii="Cambria" w:hAnsi="Cambria"/>
                <w:sz w:val="24"/>
                <w:szCs w:val="24"/>
              </w:rPr>
            </w:pPr>
            <w:r w:rsidRPr="00EA1BB2">
              <w:rPr>
                <w:rFonts w:ascii="Cambria" w:hAnsi="Cambria"/>
                <w:sz w:val="24"/>
                <w:szCs w:val="24"/>
              </w:rPr>
              <w:t>98</w:t>
            </w:r>
          </w:p>
        </w:tc>
        <w:tc>
          <w:tcPr>
            <w:tcW w:w="1070" w:type="dxa"/>
            <w:shd w:val="clear" w:color="auto" w:fill="auto"/>
          </w:tcPr>
          <w:p w14:paraId="36D33EB0" w14:textId="77777777" w:rsidR="00430C05" w:rsidRPr="00EA1BB2" w:rsidRDefault="00710080" w:rsidP="00430C05">
            <w:pPr>
              <w:spacing w:line="360" w:lineRule="auto"/>
              <w:jc w:val="center"/>
              <w:rPr>
                <w:rFonts w:ascii="Cambria" w:hAnsi="Cambria"/>
                <w:sz w:val="24"/>
                <w:szCs w:val="24"/>
              </w:rPr>
            </w:pPr>
            <w:r w:rsidRPr="00EA1BB2">
              <w:rPr>
                <w:rFonts w:ascii="Cambria" w:hAnsi="Cambria"/>
                <w:sz w:val="24"/>
                <w:szCs w:val="24"/>
              </w:rPr>
              <w:t>46</w:t>
            </w:r>
            <w:r w:rsidR="00A9523D" w:rsidRPr="00EA1BB2">
              <w:rPr>
                <w:rFonts w:ascii="Cambria" w:hAnsi="Cambria"/>
                <w:sz w:val="24"/>
                <w:szCs w:val="24"/>
              </w:rPr>
              <w:t>.</w:t>
            </w:r>
            <w:r w:rsidRPr="00EA1BB2">
              <w:rPr>
                <w:rFonts w:ascii="Cambria" w:hAnsi="Cambria"/>
                <w:sz w:val="24"/>
                <w:szCs w:val="24"/>
              </w:rPr>
              <w:t>936</w:t>
            </w:r>
          </w:p>
        </w:tc>
        <w:tc>
          <w:tcPr>
            <w:tcW w:w="1529" w:type="dxa"/>
            <w:shd w:val="clear" w:color="auto" w:fill="auto"/>
          </w:tcPr>
          <w:p w14:paraId="6118AC98" w14:textId="77777777" w:rsidR="00430C05" w:rsidRPr="00EA1BB2" w:rsidRDefault="00710080" w:rsidP="00430C05">
            <w:pPr>
              <w:spacing w:line="360" w:lineRule="auto"/>
              <w:jc w:val="center"/>
              <w:rPr>
                <w:rFonts w:ascii="Cambria" w:hAnsi="Cambria"/>
                <w:sz w:val="24"/>
                <w:szCs w:val="24"/>
              </w:rPr>
            </w:pPr>
            <w:r w:rsidRPr="00EA1BB2">
              <w:rPr>
                <w:rFonts w:ascii="Cambria" w:hAnsi="Cambria"/>
                <w:sz w:val="24"/>
                <w:szCs w:val="24"/>
              </w:rPr>
              <w:t>952</w:t>
            </w:r>
          </w:p>
        </w:tc>
        <w:tc>
          <w:tcPr>
            <w:tcW w:w="1529" w:type="dxa"/>
            <w:shd w:val="clear" w:color="auto" w:fill="auto"/>
          </w:tcPr>
          <w:p w14:paraId="0AA22813" w14:textId="77777777" w:rsidR="00430C05" w:rsidRPr="00EA1BB2" w:rsidRDefault="00710080" w:rsidP="00430C05">
            <w:pPr>
              <w:spacing w:line="360" w:lineRule="auto"/>
              <w:jc w:val="center"/>
              <w:rPr>
                <w:rFonts w:ascii="Cambria" w:hAnsi="Cambria"/>
                <w:sz w:val="24"/>
                <w:szCs w:val="24"/>
              </w:rPr>
            </w:pPr>
            <w:r w:rsidRPr="00EA1BB2">
              <w:rPr>
                <w:rFonts w:ascii="Cambria" w:hAnsi="Cambria"/>
                <w:sz w:val="24"/>
                <w:szCs w:val="24"/>
              </w:rPr>
              <w:t>44</w:t>
            </w:r>
          </w:p>
        </w:tc>
        <w:tc>
          <w:tcPr>
            <w:tcW w:w="1075" w:type="dxa"/>
            <w:shd w:val="clear" w:color="auto" w:fill="auto"/>
          </w:tcPr>
          <w:p w14:paraId="09E8271D" w14:textId="77777777" w:rsidR="00430C05" w:rsidRPr="00EA1BB2" w:rsidRDefault="00710080" w:rsidP="00430C05">
            <w:pPr>
              <w:spacing w:line="360" w:lineRule="auto"/>
              <w:jc w:val="center"/>
              <w:rPr>
                <w:rFonts w:ascii="Cambria" w:hAnsi="Cambria"/>
                <w:sz w:val="24"/>
                <w:szCs w:val="24"/>
              </w:rPr>
            </w:pPr>
            <w:r w:rsidRPr="00EA1BB2">
              <w:rPr>
                <w:rFonts w:ascii="Cambria" w:hAnsi="Cambria"/>
                <w:sz w:val="24"/>
                <w:szCs w:val="24"/>
              </w:rPr>
              <w:t>10</w:t>
            </w:r>
          </w:p>
        </w:tc>
      </w:tr>
    </w:tbl>
    <w:p w14:paraId="3E3A92B3" w14:textId="77777777" w:rsidR="00604040" w:rsidRPr="00EA1BB2" w:rsidRDefault="00E21918" w:rsidP="00042796">
      <w:pPr>
        <w:spacing w:line="276" w:lineRule="auto"/>
        <w:rPr>
          <w:rFonts w:ascii="Cambria" w:eastAsia="Calibri" w:hAnsi="Cambria" w:cs="Times New Roman"/>
          <w:sz w:val="24"/>
          <w:szCs w:val="24"/>
        </w:rPr>
      </w:pPr>
      <w:r w:rsidRPr="00EA1BB2">
        <w:rPr>
          <w:rFonts w:ascii="Cambria" w:eastAsia="Calibri" w:hAnsi="Cambria" w:cs="Times New Roman"/>
          <w:szCs w:val="24"/>
        </w:rPr>
        <w:t>S</w:t>
      </w:r>
      <w:r w:rsidR="00430C05" w:rsidRPr="00EA1BB2">
        <w:rPr>
          <w:rFonts w:ascii="Cambria" w:eastAsia="Calibri" w:hAnsi="Cambria" w:cs="Times New Roman"/>
          <w:szCs w:val="24"/>
        </w:rPr>
        <w:t>ursa</w:t>
      </w:r>
      <w:r w:rsidRPr="00EA1BB2">
        <w:rPr>
          <w:rFonts w:ascii="Cambria" w:eastAsia="Calibri" w:hAnsi="Cambria" w:cs="Times New Roman"/>
          <w:szCs w:val="24"/>
        </w:rPr>
        <w:t xml:space="preserve"> date</w:t>
      </w:r>
      <w:r w:rsidR="00430C05" w:rsidRPr="00EA1BB2">
        <w:rPr>
          <w:rFonts w:ascii="Cambria" w:eastAsia="Calibri" w:hAnsi="Cambria" w:cs="Times New Roman"/>
          <w:szCs w:val="24"/>
        </w:rPr>
        <w:t>: Direcția Județeană de Statistică Brăila</w:t>
      </w:r>
    </w:p>
    <w:p w14:paraId="681ABC2F" w14:textId="579F5CF7" w:rsidR="00430C05" w:rsidRPr="00EA1BB2" w:rsidRDefault="00430C05" w:rsidP="00430C05">
      <w:pPr>
        <w:keepNext/>
        <w:spacing w:line="360" w:lineRule="auto"/>
        <w:ind w:firstLine="708"/>
        <w:jc w:val="both"/>
        <w:rPr>
          <w:rFonts w:ascii="Cambria" w:eastAsia="Calibri" w:hAnsi="Cambria" w:cs="Times New Roman"/>
          <w:b/>
          <w:iCs/>
          <w:sz w:val="24"/>
          <w:szCs w:val="24"/>
        </w:rPr>
      </w:pPr>
      <w:bookmarkStart w:id="94" w:name="_Toc526889775"/>
      <w:r w:rsidRPr="00EA1BB2">
        <w:rPr>
          <w:rFonts w:ascii="Cambria" w:eastAsia="Calibri" w:hAnsi="Cambria" w:cs="Times New Roman"/>
          <w:b/>
          <w:iCs/>
          <w:sz w:val="24"/>
          <w:szCs w:val="24"/>
        </w:rPr>
        <w:lastRenderedPageBreak/>
        <w:t xml:space="preserve">Tabelul nr. </w:t>
      </w:r>
      <w:r w:rsidR="000A2FE7" w:rsidRPr="00EA1BB2">
        <w:rPr>
          <w:rFonts w:ascii="Cambria" w:eastAsia="Calibri" w:hAnsi="Cambria" w:cs="Times New Roman"/>
          <w:b/>
          <w:iCs/>
          <w:sz w:val="24"/>
          <w:szCs w:val="24"/>
        </w:rPr>
        <w:fldChar w:fldCharType="begin"/>
      </w:r>
      <w:r w:rsidR="000A2FE7" w:rsidRPr="00EA1BB2">
        <w:rPr>
          <w:rFonts w:ascii="Cambria" w:eastAsia="Calibri" w:hAnsi="Cambria" w:cs="Times New Roman"/>
          <w:b/>
          <w:iCs/>
          <w:sz w:val="24"/>
          <w:szCs w:val="24"/>
        </w:rPr>
        <w:instrText xml:space="preserve"> STYLEREF 1 \s </w:instrText>
      </w:r>
      <w:r w:rsidR="000A2FE7" w:rsidRPr="00EA1BB2">
        <w:rPr>
          <w:rFonts w:ascii="Cambria" w:eastAsia="Calibri" w:hAnsi="Cambria" w:cs="Times New Roman"/>
          <w:b/>
          <w:iCs/>
          <w:sz w:val="24"/>
          <w:szCs w:val="24"/>
        </w:rPr>
        <w:fldChar w:fldCharType="separate"/>
      </w:r>
      <w:r w:rsidR="00567555">
        <w:rPr>
          <w:rFonts w:ascii="Cambria" w:eastAsia="Calibri" w:hAnsi="Cambria" w:cs="Times New Roman"/>
          <w:b/>
          <w:iCs/>
          <w:noProof/>
          <w:sz w:val="24"/>
          <w:szCs w:val="24"/>
        </w:rPr>
        <w:t>3</w:t>
      </w:r>
      <w:r w:rsidR="000A2FE7" w:rsidRPr="00EA1BB2">
        <w:rPr>
          <w:rFonts w:ascii="Cambria" w:eastAsia="Calibri" w:hAnsi="Cambria" w:cs="Times New Roman"/>
          <w:b/>
          <w:iCs/>
          <w:sz w:val="24"/>
          <w:szCs w:val="24"/>
        </w:rPr>
        <w:fldChar w:fldCharType="end"/>
      </w:r>
      <w:r w:rsidR="000A2FE7" w:rsidRPr="00EA1BB2">
        <w:rPr>
          <w:rFonts w:ascii="Cambria" w:eastAsia="Calibri" w:hAnsi="Cambria" w:cs="Times New Roman"/>
          <w:b/>
          <w:iCs/>
          <w:sz w:val="24"/>
          <w:szCs w:val="24"/>
        </w:rPr>
        <w:noBreakHyphen/>
      </w:r>
      <w:r w:rsidR="000A2FE7" w:rsidRPr="00EA1BB2">
        <w:rPr>
          <w:rFonts w:ascii="Cambria" w:eastAsia="Calibri" w:hAnsi="Cambria" w:cs="Times New Roman"/>
          <w:b/>
          <w:iCs/>
          <w:sz w:val="24"/>
          <w:szCs w:val="24"/>
        </w:rPr>
        <w:fldChar w:fldCharType="begin"/>
      </w:r>
      <w:r w:rsidR="000A2FE7" w:rsidRPr="00EA1BB2">
        <w:rPr>
          <w:rFonts w:ascii="Cambria" w:eastAsia="Calibri" w:hAnsi="Cambria" w:cs="Times New Roman"/>
          <w:b/>
          <w:iCs/>
          <w:sz w:val="24"/>
          <w:szCs w:val="24"/>
        </w:rPr>
        <w:instrText xml:space="preserve"> SEQ Tabelul_nr. \* ARABIC \s 1 </w:instrText>
      </w:r>
      <w:r w:rsidR="000A2FE7" w:rsidRPr="00EA1BB2">
        <w:rPr>
          <w:rFonts w:ascii="Cambria" w:eastAsia="Calibri" w:hAnsi="Cambria" w:cs="Times New Roman"/>
          <w:b/>
          <w:iCs/>
          <w:sz w:val="24"/>
          <w:szCs w:val="24"/>
        </w:rPr>
        <w:fldChar w:fldCharType="separate"/>
      </w:r>
      <w:r w:rsidR="00567555">
        <w:rPr>
          <w:rFonts w:ascii="Cambria" w:eastAsia="Calibri" w:hAnsi="Cambria" w:cs="Times New Roman"/>
          <w:b/>
          <w:iCs/>
          <w:noProof/>
          <w:sz w:val="24"/>
          <w:szCs w:val="24"/>
        </w:rPr>
        <w:t>6</w:t>
      </w:r>
      <w:r w:rsidR="000A2FE7" w:rsidRPr="00EA1BB2">
        <w:rPr>
          <w:rFonts w:ascii="Cambria" w:eastAsia="Calibri" w:hAnsi="Cambria" w:cs="Times New Roman"/>
          <w:b/>
          <w:iCs/>
          <w:sz w:val="24"/>
          <w:szCs w:val="24"/>
        </w:rPr>
        <w:fldChar w:fldCharType="end"/>
      </w:r>
      <w:r w:rsidRPr="00EA1BB2">
        <w:rPr>
          <w:rFonts w:ascii="Cambria" w:eastAsia="Calibri" w:hAnsi="Cambria" w:cs="Times New Roman"/>
          <w:b/>
          <w:iCs/>
          <w:sz w:val="24"/>
          <w:szCs w:val="24"/>
        </w:rPr>
        <w:t xml:space="preserve"> - Numărul locuințelor fără încălzire centrală </w:t>
      </w:r>
      <w:r w:rsidRPr="00EA1BB2">
        <w:rPr>
          <w:rFonts w:ascii="Cambria" w:eastAsia="Calibri" w:hAnsi="Cambria" w:cs="Times New Roman"/>
          <w:b/>
          <w:iCs/>
          <w:sz w:val="24"/>
          <w:szCs w:val="18"/>
        </w:rPr>
        <w:t>(RPL 2011)</w:t>
      </w:r>
      <w:bookmarkEnd w:id="94"/>
    </w:p>
    <w:tbl>
      <w:tblPr>
        <w:tblW w:w="510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6"/>
        <w:gridCol w:w="928"/>
        <w:gridCol w:w="1075"/>
        <w:gridCol w:w="928"/>
        <w:gridCol w:w="1075"/>
        <w:gridCol w:w="1310"/>
        <w:gridCol w:w="1310"/>
        <w:gridCol w:w="1093"/>
        <w:gridCol w:w="1100"/>
      </w:tblGrid>
      <w:tr w:rsidR="00430C05" w:rsidRPr="00EA1BB2" w14:paraId="2814D1B0" w14:textId="77777777" w:rsidTr="00710080">
        <w:trPr>
          <w:jc w:val="center"/>
        </w:trPr>
        <w:tc>
          <w:tcPr>
            <w:tcW w:w="471" w:type="pct"/>
            <w:vMerge w:val="restart"/>
            <w:shd w:val="clear" w:color="auto" w:fill="BDD6EE" w:themeFill="accent1" w:themeFillTint="66"/>
            <w:vAlign w:val="center"/>
          </w:tcPr>
          <w:p w14:paraId="64B24B23" w14:textId="77777777" w:rsidR="00430C05" w:rsidRPr="00EA1BB2" w:rsidRDefault="00430C05" w:rsidP="00361255">
            <w:pPr>
              <w:spacing w:line="360" w:lineRule="auto"/>
              <w:jc w:val="center"/>
              <w:rPr>
                <w:rFonts w:ascii="Cambria" w:eastAsia="Calibri" w:hAnsi="Cambria" w:cs="Times New Roman"/>
                <w:b/>
                <w:sz w:val="24"/>
                <w:szCs w:val="24"/>
              </w:rPr>
            </w:pPr>
            <w:r w:rsidRPr="00EA1BB2">
              <w:rPr>
                <w:rFonts w:ascii="Cambria" w:eastAsia="Calibri" w:hAnsi="Cambria" w:cs="Times New Roman"/>
                <w:b/>
                <w:sz w:val="24"/>
                <w:szCs w:val="24"/>
              </w:rPr>
              <w:t>UAT</w:t>
            </w:r>
          </w:p>
        </w:tc>
        <w:tc>
          <w:tcPr>
            <w:tcW w:w="1007" w:type="pct"/>
            <w:gridSpan w:val="2"/>
            <w:shd w:val="clear" w:color="auto" w:fill="BDD6EE" w:themeFill="accent1" w:themeFillTint="66"/>
            <w:vAlign w:val="center"/>
          </w:tcPr>
          <w:p w14:paraId="26F9656B" w14:textId="77777777" w:rsidR="00430C05" w:rsidRPr="00EA1BB2" w:rsidRDefault="00430C05" w:rsidP="00361255">
            <w:pPr>
              <w:spacing w:line="360" w:lineRule="auto"/>
              <w:jc w:val="center"/>
              <w:rPr>
                <w:rFonts w:ascii="Cambria" w:eastAsia="Calibri" w:hAnsi="Cambria" w:cs="Times New Roman"/>
                <w:b/>
              </w:rPr>
            </w:pPr>
            <w:r w:rsidRPr="00EA1BB2">
              <w:rPr>
                <w:rFonts w:ascii="Cambria" w:eastAsia="Calibri" w:hAnsi="Cambria" w:cs="Times New Roman"/>
                <w:b/>
              </w:rPr>
              <w:t>Încălzire cu aragaz</w:t>
            </w:r>
          </w:p>
        </w:tc>
        <w:tc>
          <w:tcPr>
            <w:tcW w:w="2317" w:type="pct"/>
            <w:gridSpan w:val="4"/>
            <w:shd w:val="clear" w:color="auto" w:fill="BDD6EE" w:themeFill="accent1" w:themeFillTint="66"/>
            <w:vAlign w:val="center"/>
          </w:tcPr>
          <w:p w14:paraId="48B47C55" w14:textId="77777777" w:rsidR="00430C05" w:rsidRPr="00EA1BB2" w:rsidRDefault="00430C05" w:rsidP="00361255">
            <w:pPr>
              <w:spacing w:line="360" w:lineRule="auto"/>
              <w:jc w:val="center"/>
              <w:rPr>
                <w:rFonts w:ascii="Cambria" w:eastAsia="Calibri" w:hAnsi="Cambria" w:cs="Times New Roman"/>
                <w:b/>
              </w:rPr>
            </w:pPr>
            <w:r w:rsidRPr="00EA1BB2">
              <w:rPr>
                <w:rFonts w:ascii="Cambria" w:eastAsia="Calibri" w:hAnsi="Cambria" w:cs="Times New Roman"/>
                <w:b/>
              </w:rPr>
              <w:t>Încălzire cu sobe</w:t>
            </w:r>
          </w:p>
        </w:tc>
        <w:tc>
          <w:tcPr>
            <w:tcW w:w="548" w:type="pct"/>
            <w:vMerge w:val="restart"/>
            <w:shd w:val="clear" w:color="auto" w:fill="BDD6EE" w:themeFill="accent1" w:themeFillTint="66"/>
            <w:vAlign w:val="center"/>
          </w:tcPr>
          <w:p w14:paraId="4F12A723" w14:textId="77777777" w:rsidR="00430C05" w:rsidRPr="00EA1BB2" w:rsidRDefault="00430C05" w:rsidP="00E21918">
            <w:pPr>
              <w:spacing w:line="360" w:lineRule="auto"/>
              <w:jc w:val="center"/>
              <w:rPr>
                <w:rFonts w:ascii="Cambria" w:eastAsia="Calibri" w:hAnsi="Cambria" w:cs="Times New Roman"/>
                <w:b/>
              </w:rPr>
            </w:pPr>
            <w:r w:rsidRPr="00EA1BB2">
              <w:rPr>
                <w:rFonts w:ascii="Cambria" w:eastAsia="Calibri" w:hAnsi="Cambria" w:cs="Times New Roman"/>
                <w:b/>
              </w:rPr>
              <w:t>pe</w:t>
            </w:r>
          </w:p>
          <w:p w14:paraId="19A2D6E3" w14:textId="77777777" w:rsidR="00430C05" w:rsidRPr="00EA1BB2" w:rsidRDefault="00430C05" w:rsidP="00E21918">
            <w:pPr>
              <w:spacing w:line="360" w:lineRule="auto"/>
              <w:jc w:val="center"/>
              <w:rPr>
                <w:rFonts w:ascii="Cambria" w:eastAsia="Calibri" w:hAnsi="Cambria" w:cs="Times New Roman"/>
                <w:b/>
              </w:rPr>
            </w:pPr>
            <w:r w:rsidRPr="00EA1BB2">
              <w:rPr>
                <w:rFonts w:ascii="Cambria" w:eastAsia="Calibri" w:hAnsi="Cambria" w:cs="Times New Roman"/>
                <w:b/>
              </w:rPr>
              <w:t>energie</w:t>
            </w:r>
          </w:p>
          <w:p w14:paraId="171A8EE5" w14:textId="77777777" w:rsidR="00430C05" w:rsidRPr="00EA1BB2" w:rsidRDefault="00430C05" w:rsidP="00E21918">
            <w:pPr>
              <w:spacing w:line="360" w:lineRule="auto"/>
              <w:jc w:val="center"/>
              <w:rPr>
                <w:rFonts w:ascii="Cambria" w:eastAsia="Calibri" w:hAnsi="Cambria" w:cs="Times New Roman"/>
                <w:b/>
              </w:rPr>
            </w:pPr>
            <w:r w:rsidRPr="00EA1BB2">
              <w:rPr>
                <w:rFonts w:ascii="Cambria" w:eastAsia="Calibri" w:hAnsi="Cambria" w:cs="Times New Roman"/>
                <w:b/>
              </w:rPr>
              <w:t>electrică</w:t>
            </w:r>
          </w:p>
        </w:tc>
        <w:tc>
          <w:tcPr>
            <w:tcW w:w="656" w:type="pct"/>
            <w:vMerge w:val="restart"/>
            <w:shd w:val="clear" w:color="auto" w:fill="BDD6EE" w:themeFill="accent1" w:themeFillTint="66"/>
            <w:vAlign w:val="center"/>
          </w:tcPr>
          <w:p w14:paraId="70E8A528" w14:textId="77777777" w:rsidR="00430C05" w:rsidRPr="00EA1BB2" w:rsidRDefault="00430C05" w:rsidP="00710080">
            <w:pPr>
              <w:spacing w:line="360" w:lineRule="auto"/>
              <w:jc w:val="center"/>
              <w:rPr>
                <w:rFonts w:ascii="Cambria" w:eastAsia="Calibri" w:hAnsi="Cambria" w:cs="Times New Roman"/>
                <w:b/>
              </w:rPr>
            </w:pPr>
            <w:r w:rsidRPr="00EA1BB2">
              <w:rPr>
                <w:rFonts w:ascii="Cambria" w:eastAsia="Calibri" w:hAnsi="Cambria" w:cs="Times New Roman"/>
                <w:b/>
              </w:rPr>
              <w:t>alt mod de încălzire</w:t>
            </w:r>
          </w:p>
        </w:tc>
      </w:tr>
      <w:tr w:rsidR="00710080" w:rsidRPr="00EA1BB2" w14:paraId="512AE0F0" w14:textId="77777777" w:rsidTr="00EE7599">
        <w:trPr>
          <w:jc w:val="center"/>
        </w:trPr>
        <w:tc>
          <w:tcPr>
            <w:tcW w:w="471" w:type="pct"/>
            <w:vMerge/>
            <w:shd w:val="clear" w:color="auto" w:fill="BDD6EE" w:themeFill="accent1" w:themeFillTint="66"/>
          </w:tcPr>
          <w:p w14:paraId="41BD24FA" w14:textId="77777777" w:rsidR="00430C05" w:rsidRPr="00EA1BB2" w:rsidRDefault="00430C05" w:rsidP="00361255">
            <w:pPr>
              <w:spacing w:line="360" w:lineRule="auto"/>
              <w:jc w:val="center"/>
              <w:rPr>
                <w:rFonts w:ascii="Cambria" w:eastAsia="Calibri" w:hAnsi="Cambria" w:cs="Times New Roman"/>
                <w:b/>
                <w:sz w:val="24"/>
                <w:szCs w:val="24"/>
              </w:rPr>
            </w:pPr>
          </w:p>
        </w:tc>
        <w:tc>
          <w:tcPr>
            <w:tcW w:w="467" w:type="pct"/>
            <w:shd w:val="clear" w:color="auto" w:fill="BDD6EE" w:themeFill="accent1" w:themeFillTint="66"/>
            <w:vAlign w:val="center"/>
          </w:tcPr>
          <w:p w14:paraId="10407512" w14:textId="77777777" w:rsidR="00430C05" w:rsidRPr="00EA1BB2" w:rsidRDefault="00430C05" w:rsidP="00E21918">
            <w:pPr>
              <w:spacing w:line="360" w:lineRule="auto"/>
              <w:jc w:val="center"/>
              <w:rPr>
                <w:rFonts w:ascii="Cambria" w:eastAsia="Calibri" w:hAnsi="Cambria" w:cs="Times New Roman"/>
                <w:b/>
                <w:sz w:val="20"/>
              </w:rPr>
            </w:pPr>
            <w:r w:rsidRPr="00EA1BB2">
              <w:rPr>
                <w:rFonts w:ascii="Cambria" w:eastAsia="Calibri" w:hAnsi="Cambria" w:cs="Times New Roman"/>
                <w:b/>
                <w:sz w:val="20"/>
              </w:rPr>
              <w:t>gaze din rețeaua publică</w:t>
            </w:r>
          </w:p>
        </w:tc>
        <w:tc>
          <w:tcPr>
            <w:tcW w:w="540" w:type="pct"/>
            <w:shd w:val="clear" w:color="auto" w:fill="BDD6EE" w:themeFill="accent1" w:themeFillTint="66"/>
            <w:vAlign w:val="center"/>
          </w:tcPr>
          <w:p w14:paraId="13D7FCBF" w14:textId="77777777" w:rsidR="00430C05" w:rsidRPr="00EA1BB2" w:rsidRDefault="00430C05" w:rsidP="00E21918">
            <w:pPr>
              <w:spacing w:line="360" w:lineRule="auto"/>
              <w:jc w:val="center"/>
              <w:rPr>
                <w:rFonts w:ascii="Cambria" w:eastAsia="Calibri" w:hAnsi="Cambria" w:cs="Times New Roman"/>
                <w:b/>
                <w:sz w:val="20"/>
              </w:rPr>
            </w:pPr>
            <w:r w:rsidRPr="00EA1BB2">
              <w:rPr>
                <w:rFonts w:ascii="Cambria" w:eastAsia="Calibri" w:hAnsi="Cambria" w:cs="Times New Roman"/>
                <w:b/>
                <w:sz w:val="20"/>
              </w:rPr>
              <w:t>gaze lichefiate (butelie)</w:t>
            </w:r>
          </w:p>
        </w:tc>
        <w:tc>
          <w:tcPr>
            <w:tcW w:w="467" w:type="pct"/>
            <w:shd w:val="clear" w:color="auto" w:fill="BDD6EE" w:themeFill="accent1" w:themeFillTint="66"/>
            <w:vAlign w:val="center"/>
          </w:tcPr>
          <w:p w14:paraId="6007F09E" w14:textId="77777777" w:rsidR="00430C05" w:rsidRPr="00EA1BB2" w:rsidRDefault="00430C05" w:rsidP="00E21918">
            <w:pPr>
              <w:spacing w:line="360" w:lineRule="auto"/>
              <w:jc w:val="center"/>
              <w:rPr>
                <w:rFonts w:ascii="Cambria" w:eastAsia="Calibri" w:hAnsi="Cambria" w:cs="Times New Roman"/>
                <w:b/>
                <w:sz w:val="20"/>
              </w:rPr>
            </w:pPr>
            <w:r w:rsidRPr="00EA1BB2">
              <w:rPr>
                <w:rFonts w:ascii="Cambria" w:eastAsia="Calibri" w:hAnsi="Cambria" w:cs="Times New Roman"/>
                <w:b/>
                <w:sz w:val="20"/>
              </w:rPr>
              <w:t>gaze din</w:t>
            </w:r>
          </w:p>
          <w:p w14:paraId="2BA6D74F" w14:textId="77777777" w:rsidR="00430C05" w:rsidRPr="00EA1BB2" w:rsidRDefault="00430C05" w:rsidP="00E21918">
            <w:pPr>
              <w:spacing w:line="360" w:lineRule="auto"/>
              <w:jc w:val="center"/>
              <w:rPr>
                <w:rFonts w:ascii="Cambria" w:eastAsia="Calibri" w:hAnsi="Cambria" w:cs="Times New Roman"/>
                <w:b/>
                <w:sz w:val="20"/>
              </w:rPr>
            </w:pPr>
            <w:r w:rsidRPr="00EA1BB2">
              <w:rPr>
                <w:rFonts w:ascii="Cambria" w:eastAsia="Calibri" w:hAnsi="Cambria" w:cs="Times New Roman"/>
                <w:b/>
                <w:sz w:val="20"/>
              </w:rPr>
              <w:t>rețeaua</w:t>
            </w:r>
          </w:p>
          <w:p w14:paraId="3A9EB97B" w14:textId="77777777" w:rsidR="00430C05" w:rsidRPr="00EA1BB2" w:rsidRDefault="00430C05" w:rsidP="00E21918">
            <w:pPr>
              <w:spacing w:line="360" w:lineRule="auto"/>
              <w:jc w:val="center"/>
              <w:rPr>
                <w:rFonts w:ascii="Cambria" w:eastAsia="Calibri" w:hAnsi="Cambria" w:cs="Times New Roman"/>
                <w:b/>
                <w:sz w:val="20"/>
              </w:rPr>
            </w:pPr>
            <w:r w:rsidRPr="00EA1BB2">
              <w:rPr>
                <w:rFonts w:ascii="Cambria" w:eastAsia="Calibri" w:hAnsi="Cambria" w:cs="Times New Roman"/>
                <w:b/>
                <w:sz w:val="20"/>
              </w:rPr>
              <w:t>publică</w:t>
            </w:r>
          </w:p>
        </w:tc>
        <w:tc>
          <w:tcPr>
            <w:tcW w:w="540" w:type="pct"/>
            <w:shd w:val="clear" w:color="auto" w:fill="BDD6EE" w:themeFill="accent1" w:themeFillTint="66"/>
            <w:vAlign w:val="center"/>
          </w:tcPr>
          <w:p w14:paraId="763E7DF8" w14:textId="77777777" w:rsidR="00430C05" w:rsidRPr="00EA1BB2" w:rsidRDefault="00430C05" w:rsidP="00EE7599">
            <w:pPr>
              <w:spacing w:line="360" w:lineRule="auto"/>
              <w:jc w:val="center"/>
              <w:rPr>
                <w:rFonts w:ascii="Cambria" w:eastAsia="Calibri" w:hAnsi="Cambria" w:cs="Times New Roman"/>
                <w:b/>
                <w:sz w:val="20"/>
              </w:rPr>
            </w:pPr>
            <w:r w:rsidRPr="00EA1BB2">
              <w:rPr>
                <w:rFonts w:ascii="Cambria" w:eastAsia="Calibri" w:hAnsi="Cambria" w:cs="Times New Roman"/>
                <w:b/>
                <w:sz w:val="20"/>
              </w:rPr>
              <w:t>gaze lichefiate (butelie)</w:t>
            </w:r>
          </w:p>
        </w:tc>
        <w:tc>
          <w:tcPr>
            <w:tcW w:w="655" w:type="pct"/>
            <w:shd w:val="clear" w:color="auto" w:fill="BDD6EE" w:themeFill="accent1" w:themeFillTint="66"/>
            <w:vAlign w:val="center"/>
          </w:tcPr>
          <w:p w14:paraId="56738E93" w14:textId="77777777" w:rsidR="00430C05" w:rsidRPr="00EA1BB2" w:rsidRDefault="00430C05" w:rsidP="00E21918">
            <w:pPr>
              <w:spacing w:line="360" w:lineRule="auto"/>
              <w:jc w:val="center"/>
              <w:rPr>
                <w:rFonts w:ascii="Cambria" w:eastAsia="Calibri" w:hAnsi="Cambria" w:cs="Times New Roman"/>
                <w:b/>
                <w:sz w:val="20"/>
              </w:rPr>
            </w:pPr>
            <w:r w:rsidRPr="00EA1BB2">
              <w:rPr>
                <w:rFonts w:ascii="Cambria" w:eastAsia="Calibri" w:hAnsi="Cambria" w:cs="Times New Roman"/>
                <w:b/>
                <w:sz w:val="20"/>
              </w:rPr>
              <w:t>combustibil</w:t>
            </w:r>
          </w:p>
          <w:p w14:paraId="2A31846E" w14:textId="77777777" w:rsidR="00430C05" w:rsidRPr="00EA1BB2" w:rsidRDefault="00430C05" w:rsidP="00E21918">
            <w:pPr>
              <w:spacing w:line="360" w:lineRule="auto"/>
              <w:jc w:val="center"/>
              <w:rPr>
                <w:rFonts w:ascii="Cambria" w:eastAsia="Calibri" w:hAnsi="Cambria" w:cs="Times New Roman"/>
                <w:b/>
                <w:sz w:val="20"/>
              </w:rPr>
            </w:pPr>
            <w:r w:rsidRPr="00EA1BB2">
              <w:rPr>
                <w:rFonts w:ascii="Cambria" w:eastAsia="Calibri" w:hAnsi="Cambria" w:cs="Times New Roman"/>
                <w:b/>
                <w:sz w:val="20"/>
              </w:rPr>
              <w:t>solid</w:t>
            </w:r>
          </w:p>
        </w:tc>
        <w:tc>
          <w:tcPr>
            <w:tcW w:w="655" w:type="pct"/>
            <w:shd w:val="clear" w:color="auto" w:fill="BDD6EE" w:themeFill="accent1" w:themeFillTint="66"/>
            <w:vAlign w:val="center"/>
          </w:tcPr>
          <w:p w14:paraId="48B2406F" w14:textId="77777777" w:rsidR="00430C05" w:rsidRPr="00EA1BB2" w:rsidRDefault="00430C05" w:rsidP="00E21918">
            <w:pPr>
              <w:spacing w:line="360" w:lineRule="auto"/>
              <w:jc w:val="center"/>
              <w:rPr>
                <w:rFonts w:ascii="Cambria" w:eastAsia="Calibri" w:hAnsi="Cambria" w:cs="Times New Roman"/>
                <w:b/>
                <w:sz w:val="20"/>
              </w:rPr>
            </w:pPr>
            <w:r w:rsidRPr="00EA1BB2">
              <w:rPr>
                <w:rFonts w:ascii="Cambria" w:eastAsia="Calibri" w:hAnsi="Cambria" w:cs="Times New Roman"/>
                <w:b/>
                <w:sz w:val="20"/>
              </w:rPr>
              <w:t>combustibil</w:t>
            </w:r>
          </w:p>
          <w:p w14:paraId="795EBF4F" w14:textId="77777777" w:rsidR="00430C05" w:rsidRPr="00EA1BB2" w:rsidRDefault="00430C05" w:rsidP="00E21918">
            <w:pPr>
              <w:spacing w:line="360" w:lineRule="auto"/>
              <w:jc w:val="center"/>
              <w:rPr>
                <w:rFonts w:ascii="Cambria" w:eastAsia="Calibri" w:hAnsi="Cambria" w:cs="Times New Roman"/>
                <w:b/>
                <w:sz w:val="20"/>
              </w:rPr>
            </w:pPr>
            <w:r w:rsidRPr="00EA1BB2">
              <w:rPr>
                <w:rFonts w:ascii="Cambria" w:eastAsia="Calibri" w:hAnsi="Cambria" w:cs="Times New Roman"/>
                <w:b/>
                <w:sz w:val="20"/>
              </w:rPr>
              <w:t>lichid</w:t>
            </w:r>
          </w:p>
        </w:tc>
        <w:tc>
          <w:tcPr>
            <w:tcW w:w="548" w:type="pct"/>
            <w:vMerge/>
            <w:shd w:val="clear" w:color="auto" w:fill="BDD6EE" w:themeFill="accent1" w:themeFillTint="66"/>
            <w:vAlign w:val="center"/>
          </w:tcPr>
          <w:p w14:paraId="42DE2380" w14:textId="77777777" w:rsidR="00430C05" w:rsidRPr="00EA1BB2" w:rsidRDefault="00430C05" w:rsidP="00361255">
            <w:pPr>
              <w:spacing w:line="276" w:lineRule="auto"/>
              <w:jc w:val="center"/>
              <w:rPr>
                <w:rFonts w:ascii="Cambria" w:eastAsia="Calibri" w:hAnsi="Cambria" w:cs="Times New Roman"/>
                <w:b/>
              </w:rPr>
            </w:pPr>
          </w:p>
        </w:tc>
        <w:tc>
          <w:tcPr>
            <w:tcW w:w="656" w:type="pct"/>
            <w:vMerge/>
            <w:shd w:val="clear" w:color="auto" w:fill="BDD6EE" w:themeFill="accent1" w:themeFillTint="66"/>
          </w:tcPr>
          <w:p w14:paraId="5F04AB42" w14:textId="77777777" w:rsidR="00430C05" w:rsidRPr="00EA1BB2" w:rsidRDefault="00430C05" w:rsidP="00361255">
            <w:pPr>
              <w:spacing w:line="276" w:lineRule="auto"/>
              <w:jc w:val="center"/>
              <w:rPr>
                <w:rFonts w:ascii="Cambria" w:eastAsia="Calibri" w:hAnsi="Cambria" w:cs="Times New Roman"/>
                <w:b/>
              </w:rPr>
            </w:pPr>
          </w:p>
        </w:tc>
      </w:tr>
      <w:tr w:rsidR="00710080" w:rsidRPr="00EA1BB2" w14:paraId="45F25EF9" w14:textId="77777777" w:rsidTr="00710080">
        <w:trPr>
          <w:jc w:val="center"/>
        </w:trPr>
        <w:tc>
          <w:tcPr>
            <w:tcW w:w="471" w:type="pct"/>
          </w:tcPr>
          <w:p w14:paraId="7504287B" w14:textId="77777777" w:rsidR="00430C05" w:rsidRPr="00EA1BB2" w:rsidRDefault="00430C05" w:rsidP="00361255">
            <w:pPr>
              <w:spacing w:line="360" w:lineRule="auto"/>
              <w:rPr>
                <w:rFonts w:ascii="Cambria" w:eastAsia="Calibri" w:hAnsi="Cambria" w:cs="Times New Roman"/>
                <w:sz w:val="24"/>
                <w:szCs w:val="24"/>
              </w:rPr>
            </w:pPr>
            <w:r w:rsidRPr="00EA1BB2">
              <w:rPr>
                <w:rFonts w:ascii="Cambria" w:eastAsia="Calibri" w:hAnsi="Cambria" w:cs="Times New Roman"/>
                <w:sz w:val="24"/>
                <w:szCs w:val="24"/>
              </w:rPr>
              <w:t>Urban</w:t>
            </w:r>
          </w:p>
        </w:tc>
        <w:tc>
          <w:tcPr>
            <w:tcW w:w="467" w:type="pct"/>
            <w:shd w:val="clear" w:color="auto" w:fill="auto"/>
            <w:vAlign w:val="center"/>
          </w:tcPr>
          <w:p w14:paraId="3B91F9F5" w14:textId="77777777" w:rsidR="00430C05" w:rsidRPr="00EA1BB2" w:rsidRDefault="00710080" w:rsidP="00361255">
            <w:pPr>
              <w:spacing w:line="360" w:lineRule="auto"/>
              <w:jc w:val="center"/>
              <w:rPr>
                <w:rFonts w:ascii="Cambria" w:eastAsia="Calibri" w:hAnsi="Cambria" w:cs="Times New Roman"/>
                <w:sz w:val="24"/>
                <w:szCs w:val="24"/>
              </w:rPr>
            </w:pPr>
            <w:r w:rsidRPr="00EA1BB2">
              <w:rPr>
                <w:rFonts w:ascii="Cambria" w:eastAsia="Calibri" w:hAnsi="Cambria" w:cs="Times New Roman"/>
                <w:sz w:val="24"/>
                <w:szCs w:val="24"/>
              </w:rPr>
              <w:t>539</w:t>
            </w:r>
          </w:p>
        </w:tc>
        <w:tc>
          <w:tcPr>
            <w:tcW w:w="540" w:type="pct"/>
            <w:shd w:val="clear" w:color="auto" w:fill="auto"/>
            <w:vAlign w:val="center"/>
          </w:tcPr>
          <w:p w14:paraId="6A2F0ED5" w14:textId="77777777" w:rsidR="00430C05" w:rsidRPr="00EA1BB2" w:rsidRDefault="00710080" w:rsidP="00361255">
            <w:pPr>
              <w:spacing w:line="360" w:lineRule="auto"/>
              <w:jc w:val="center"/>
              <w:rPr>
                <w:rFonts w:ascii="Cambria" w:eastAsia="Calibri" w:hAnsi="Cambria" w:cs="Times New Roman"/>
                <w:sz w:val="24"/>
                <w:szCs w:val="24"/>
              </w:rPr>
            </w:pPr>
            <w:r w:rsidRPr="00EA1BB2">
              <w:rPr>
                <w:rFonts w:ascii="Cambria" w:eastAsia="Calibri" w:hAnsi="Cambria" w:cs="Times New Roman"/>
                <w:sz w:val="24"/>
                <w:szCs w:val="24"/>
              </w:rPr>
              <w:t>48</w:t>
            </w:r>
          </w:p>
        </w:tc>
        <w:tc>
          <w:tcPr>
            <w:tcW w:w="467" w:type="pct"/>
            <w:shd w:val="clear" w:color="auto" w:fill="auto"/>
            <w:vAlign w:val="center"/>
          </w:tcPr>
          <w:p w14:paraId="2A58F1A0" w14:textId="77777777" w:rsidR="00430C05" w:rsidRPr="00EA1BB2" w:rsidRDefault="00710080" w:rsidP="00361255">
            <w:pPr>
              <w:spacing w:line="360" w:lineRule="auto"/>
              <w:jc w:val="center"/>
              <w:rPr>
                <w:rFonts w:ascii="Cambria" w:eastAsia="Calibri" w:hAnsi="Cambria" w:cs="Times New Roman"/>
                <w:sz w:val="24"/>
                <w:szCs w:val="24"/>
              </w:rPr>
            </w:pPr>
            <w:r w:rsidRPr="00EA1BB2">
              <w:rPr>
                <w:rFonts w:ascii="Cambria" w:eastAsia="Calibri" w:hAnsi="Cambria" w:cs="Times New Roman"/>
                <w:sz w:val="24"/>
                <w:szCs w:val="24"/>
              </w:rPr>
              <w:t>4</w:t>
            </w:r>
            <w:r w:rsidR="00A9523D" w:rsidRPr="00EA1BB2">
              <w:rPr>
                <w:rFonts w:ascii="Cambria" w:eastAsia="Calibri" w:hAnsi="Cambria" w:cs="Times New Roman"/>
                <w:sz w:val="24"/>
                <w:szCs w:val="24"/>
              </w:rPr>
              <w:t>.</w:t>
            </w:r>
            <w:r w:rsidRPr="00EA1BB2">
              <w:rPr>
                <w:rFonts w:ascii="Cambria" w:eastAsia="Calibri" w:hAnsi="Cambria" w:cs="Times New Roman"/>
                <w:sz w:val="24"/>
                <w:szCs w:val="24"/>
              </w:rPr>
              <w:t>091</w:t>
            </w:r>
          </w:p>
        </w:tc>
        <w:tc>
          <w:tcPr>
            <w:tcW w:w="540" w:type="pct"/>
            <w:shd w:val="clear" w:color="auto" w:fill="auto"/>
          </w:tcPr>
          <w:p w14:paraId="313A3E59" w14:textId="77777777" w:rsidR="00430C05" w:rsidRPr="00EA1BB2" w:rsidRDefault="00710080" w:rsidP="00361255">
            <w:pPr>
              <w:spacing w:line="360" w:lineRule="auto"/>
              <w:jc w:val="center"/>
              <w:rPr>
                <w:rFonts w:ascii="Cambria" w:eastAsia="Calibri" w:hAnsi="Cambria" w:cs="Times New Roman"/>
                <w:sz w:val="24"/>
                <w:szCs w:val="24"/>
              </w:rPr>
            </w:pPr>
            <w:r w:rsidRPr="00EA1BB2">
              <w:rPr>
                <w:rFonts w:ascii="Cambria" w:eastAsia="Calibri" w:hAnsi="Cambria" w:cs="Times New Roman"/>
                <w:sz w:val="24"/>
                <w:szCs w:val="24"/>
              </w:rPr>
              <w:t>161</w:t>
            </w:r>
          </w:p>
        </w:tc>
        <w:tc>
          <w:tcPr>
            <w:tcW w:w="655" w:type="pct"/>
            <w:shd w:val="clear" w:color="auto" w:fill="auto"/>
            <w:vAlign w:val="center"/>
          </w:tcPr>
          <w:p w14:paraId="2276B127" w14:textId="77777777" w:rsidR="00430C05" w:rsidRPr="00EA1BB2" w:rsidRDefault="00710080" w:rsidP="00361255">
            <w:pPr>
              <w:spacing w:line="360" w:lineRule="auto"/>
              <w:jc w:val="center"/>
              <w:rPr>
                <w:rFonts w:ascii="Cambria" w:eastAsia="Calibri" w:hAnsi="Cambria" w:cs="Times New Roman"/>
                <w:sz w:val="24"/>
                <w:szCs w:val="24"/>
              </w:rPr>
            </w:pPr>
            <w:r w:rsidRPr="00EA1BB2">
              <w:rPr>
                <w:rFonts w:ascii="Cambria" w:eastAsia="Calibri" w:hAnsi="Cambria" w:cs="Times New Roman"/>
                <w:sz w:val="24"/>
                <w:szCs w:val="24"/>
              </w:rPr>
              <w:t>14</w:t>
            </w:r>
            <w:r w:rsidR="00A9523D" w:rsidRPr="00EA1BB2">
              <w:rPr>
                <w:rFonts w:ascii="Cambria" w:eastAsia="Calibri" w:hAnsi="Cambria" w:cs="Times New Roman"/>
                <w:sz w:val="24"/>
                <w:szCs w:val="24"/>
              </w:rPr>
              <w:t>.</w:t>
            </w:r>
            <w:r w:rsidRPr="00EA1BB2">
              <w:rPr>
                <w:rFonts w:ascii="Cambria" w:eastAsia="Calibri" w:hAnsi="Cambria" w:cs="Times New Roman"/>
                <w:sz w:val="24"/>
                <w:szCs w:val="24"/>
              </w:rPr>
              <w:t>892</w:t>
            </w:r>
          </w:p>
        </w:tc>
        <w:tc>
          <w:tcPr>
            <w:tcW w:w="655" w:type="pct"/>
            <w:shd w:val="clear" w:color="auto" w:fill="auto"/>
            <w:vAlign w:val="center"/>
          </w:tcPr>
          <w:p w14:paraId="3E76F052" w14:textId="77777777" w:rsidR="00430C05" w:rsidRPr="00EA1BB2" w:rsidRDefault="00710080" w:rsidP="00361255">
            <w:pPr>
              <w:spacing w:line="360" w:lineRule="auto"/>
              <w:jc w:val="center"/>
              <w:rPr>
                <w:rFonts w:ascii="Cambria" w:eastAsia="Calibri" w:hAnsi="Cambria" w:cs="Times New Roman"/>
                <w:sz w:val="24"/>
                <w:szCs w:val="24"/>
              </w:rPr>
            </w:pPr>
            <w:r w:rsidRPr="00EA1BB2">
              <w:rPr>
                <w:rFonts w:ascii="Cambria" w:eastAsia="Calibri" w:hAnsi="Cambria" w:cs="Times New Roman"/>
                <w:sz w:val="24"/>
                <w:szCs w:val="24"/>
              </w:rPr>
              <w:t>148</w:t>
            </w:r>
          </w:p>
        </w:tc>
        <w:tc>
          <w:tcPr>
            <w:tcW w:w="548" w:type="pct"/>
            <w:shd w:val="clear" w:color="auto" w:fill="auto"/>
            <w:vAlign w:val="center"/>
          </w:tcPr>
          <w:p w14:paraId="73EE5ABE" w14:textId="77777777" w:rsidR="00430C05" w:rsidRPr="00EA1BB2" w:rsidRDefault="00710080" w:rsidP="00361255">
            <w:pPr>
              <w:spacing w:line="360" w:lineRule="auto"/>
              <w:jc w:val="center"/>
              <w:rPr>
                <w:rFonts w:ascii="Cambria" w:eastAsia="Calibri" w:hAnsi="Cambria" w:cs="Times New Roman"/>
                <w:sz w:val="24"/>
                <w:szCs w:val="24"/>
              </w:rPr>
            </w:pPr>
            <w:r w:rsidRPr="00EA1BB2">
              <w:rPr>
                <w:rFonts w:ascii="Cambria" w:eastAsia="Calibri" w:hAnsi="Cambria" w:cs="Times New Roman"/>
                <w:sz w:val="24"/>
                <w:szCs w:val="24"/>
              </w:rPr>
              <w:t>1</w:t>
            </w:r>
            <w:r w:rsidR="00A9523D" w:rsidRPr="00EA1BB2">
              <w:rPr>
                <w:rFonts w:ascii="Cambria" w:eastAsia="Calibri" w:hAnsi="Cambria" w:cs="Times New Roman"/>
                <w:sz w:val="24"/>
                <w:szCs w:val="24"/>
              </w:rPr>
              <w:t>.</w:t>
            </w:r>
            <w:r w:rsidRPr="00EA1BB2">
              <w:rPr>
                <w:rFonts w:ascii="Cambria" w:eastAsia="Calibri" w:hAnsi="Cambria" w:cs="Times New Roman"/>
                <w:sz w:val="24"/>
                <w:szCs w:val="24"/>
              </w:rPr>
              <w:t>444</w:t>
            </w:r>
          </w:p>
        </w:tc>
        <w:tc>
          <w:tcPr>
            <w:tcW w:w="656" w:type="pct"/>
          </w:tcPr>
          <w:p w14:paraId="1A1C2CE0" w14:textId="77777777" w:rsidR="00430C05" w:rsidRPr="00EA1BB2" w:rsidRDefault="00710080" w:rsidP="00361255">
            <w:pPr>
              <w:spacing w:line="360" w:lineRule="auto"/>
              <w:jc w:val="center"/>
              <w:rPr>
                <w:rFonts w:ascii="Cambria" w:eastAsia="Calibri" w:hAnsi="Cambria" w:cs="Times New Roman"/>
                <w:sz w:val="24"/>
                <w:szCs w:val="24"/>
              </w:rPr>
            </w:pPr>
            <w:r w:rsidRPr="00EA1BB2">
              <w:rPr>
                <w:rFonts w:ascii="Cambria" w:eastAsia="Calibri" w:hAnsi="Cambria" w:cs="Times New Roman"/>
                <w:sz w:val="24"/>
                <w:szCs w:val="24"/>
              </w:rPr>
              <w:t>3</w:t>
            </w:r>
            <w:r w:rsidR="00A9523D" w:rsidRPr="00EA1BB2">
              <w:rPr>
                <w:rFonts w:ascii="Cambria" w:eastAsia="Calibri" w:hAnsi="Cambria" w:cs="Times New Roman"/>
                <w:sz w:val="24"/>
                <w:szCs w:val="24"/>
              </w:rPr>
              <w:t>.</w:t>
            </w:r>
            <w:r w:rsidRPr="00EA1BB2">
              <w:rPr>
                <w:rFonts w:ascii="Cambria" w:eastAsia="Calibri" w:hAnsi="Cambria" w:cs="Times New Roman"/>
                <w:sz w:val="24"/>
                <w:szCs w:val="24"/>
              </w:rPr>
              <w:t>420</w:t>
            </w:r>
          </w:p>
        </w:tc>
      </w:tr>
      <w:tr w:rsidR="00710080" w:rsidRPr="00EA1BB2" w14:paraId="31B043A5" w14:textId="77777777" w:rsidTr="00710080">
        <w:trPr>
          <w:jc w:val="center"/>
        </w:trPr>
        <w:tc>
          <w:tcPr>
            <w:tcW w:w="471" w:type="pct"/>
          </w:tcPr>
          <w:p w14:paraId="7E3248E0" w14:textId="77777777" w:rsidR="00430C05" w:rsidRPr="00EA1BB2" w:rsidRDefault="00430C05" w:rsidP="00361255">
            <w:pPr>
              <w:spacing w:line="360" w:lineRule="auto"/>
              <w:rPr>
                <w:rFonts w:ascii="Cambria" w:hAnsi="Cambria"/>
                <w:sz w:val="24"/>
                <w:szCs w:val="24"/>
              </w:rPr>
            </w:pPr>
            <w:r w:rsidRPr="00EA1BB2">
              <w:rPr>
                <w:rFonts w:ascii="Cambria" w:hAnsi="Cambria"/>
                <w:sz w:val="24"/>
                <w:szCs w:val="24"/>
              </w:rPr>
              <w:t>Rural</w:t>
            </w:r>
          </w:p>
        </w:tc>
        <w:tc>
          <w:tcPr>
            <w:tcW w:w="467" w:type="pct"/>
            <w:shd w:val="clear" w:color="auto" w:fill="auto"/>
          </w:tcPr>
          <w:p w14:paraId="6A22B215" w14:textId="77777777" w:rsidR="00430C05" w:rsidRPr="00EA1BB2" w:rsidRDefault="00710080" w:rsidP="00361255">
            <w:pPr>
              <w:spacing w:line="360" w:lineRule="auto"/>
              <w:jc w:val="center"/>
              <w:rPr>
                <w:rFonts w:ascii="Cambria" w:hAnsi="Cambria"/>
                <w:sz w:val="24"/>
                <w:szCs w:val="24"/>
              </w:rPr>
            </w:pPr>
            <w:r w:rsidRPr="00EA1BB2">
              <w:rPr>
                <w:rFonts w:ascii="Cambria" w:hAnsi="Cambria"/>
                <w:sz w:val="24"/>
                <w:szCs w:val="24"/>
              </w:rPr>
              <w:t>5</w:t>
            </w:r>
          </w:p>
        </w:tc>
        <w:tc>
          <w:tcPr>
            <w:tcW w:w="540" w:type="pct"/>
            <w:shd w:val="clear" w:color="auto" w:fill="auto"/>
          </w:tcPr>
          <w:p w14:paraId="5016C172" w14:textId="77777777" w:rsidR="00430C05" w:rsidRPr="00EA1BB2" w:rsidRDefault="00710080" w:rsidP="00361255">
            <w:pPr>
              <w:spacing w:line="360" w:lineRule="auto"/>
              <w:jc w:val="center"/>
              <w:rPr>
                <w:rFonts w:ascii="Cambria" w:hAnsi="Cambria"/>
                <w:sz w:val="24"/>
                <w:szCs w:val="24"/>
              </w:rPr>
            </w:pPr>
            <w:r w:rsidRPr="00EA1BB2">
              <w:rPr>
                <w:rFonts w:ascii="Cambria" w:hAnsi="Cambria"/>
                <w:sz w:val="24"/>
                <w:szCs w:val="24"/>
              </w:rPr>
              <w:t>9</w:t>
            </w:r>
          </w:p>
        </w:tc>
        <w:tc>
          <w:tcPr>
            <w:tcW w:w="467" w:type="pct"/>
            <w:shd w:val="clear" w:color="auto" w:fill="auto"/>
          </w:tcPr>
          <w:p w14:paraId="140808E2" w14:textId="77777777" w:rsidR="00430C05" w:rsidRPr="00EA1BB2" w:rsidRDefault="00710080" w:rsidP="00361255">
            <w:pPr>
              <w:spacing w:line="360" w:lineRule="auto"/>
              <w:jc w:val="center"/>
              <w:rPr>
                <w:rFonts w:ascii="Cambria" w:hAnsi="Cambria"/>
                <w:sz w:val="24"/>
                <w:szCs w:val="24"/>
              </w:rPr>
            </w:pPr>
            <w:r w:rsidRPr="00EA1BB2">
              <w:rPr>
                <w:rFonts w:ascii="Cambria" w:hAnsi="Cambria"/>
                <w:sz w:val="24"/>
                <w:szCs w:val="24"/>
              </w:rPr>
              <w:t>105</w:t>
            </w:r>
          </w:p>
        </w:tc>
        <w:tc>
          <w:tcPr>
            <w:tcW w:w="540" w:type="pct"/>
            <w:shd w:val="clear" w:color="auto" w:fill="auto"/>
          </w:tcPr>
          <w:p w14:paraId="1349911C" w14:textId="77777777" w:rsidR="00430C05" w:rsidRPr="00EA1BB2" w:rsidRDefault="00710080" w:rsidP="00361255">
            <w:pPr>
              <w:spacing w:line="360" w:lineRule="auto"/>
              <w:jc w:val="center"/>
              <w:rPr>
                <w:rFonts w:ascii="Cambria" w:hAnsi="Cambria"/>
                <w:sz w:val="24"/>
                <w:szCs w:val="24"/>
              </w:rPr>
            </w:pPr>
            <w:r w:rsidRPr="00EA1BB2">
              <w:rPr>
                <w:rFonts w:ascii="Cambria" w:hAnsi="Cambria"/>
                <w:sz w:val="24"/>
                <w:szCs w:val="24"/>
              </w:rPr>
              <w:t>152</w:t>
            </w:r>
          </w:p>
        </w:tc>
        <w:tc>
          <w:tcPr>
            <w:tcW w:w="655" w:type="pct"/>
            <w:shd w:val="clear" w:color="auto" w:fill="auto"/>
          </w:tcPr>
          <w:p w14:paraId="08508BD5" w14:textId="77777777" w:rsidR="00430C05" w:rsidRPr="00EA1BB2" w:rsidRDefault="00710080" w:rsidP="00361255">
            <w:pPr>
              <w:spacing w:line="360" w:lineRule="auto"/>
              <w:jc w:val="center"/>
              <w:rPr>
                <w:rFonts w:ascii="Cambria" w:hAnsi="Cambria"/>
                <w:sz w:val="24"/>
                <w:szCs w:val="24"/>
              </w:rPr>
            </w:pPr>
            <w:r w:rsidRPr="00EA1BB2">
              <w:rPr>
                <w:rFonts w:ascii="Cambria" w:hAnsi="Cambria"/>
                <w:sz w:val="24"/>
                <w:szCs w:val="24"/>
              </w:rPr>
              <w:t>46</w:t>
            </w:r>
            <w:r w:rsidR="00A9523D" w:rsidRPr="00EA1BB2">
              <w:rPr>
                <w:rFonts w:ascii="Cambria" w:hAnsi="Cambria"/>
                <w:sz w:val="24"/>
                <w:szCs w:val="24"/>
              </w:rPr>
              <w:t>.</w:t>
            </w:r>
            <w:r w:rsidRPr="00EA1BB2">
              <w:rPr>
                <w:rFonts w:ascii="Cambria" w:hAnsi="Cambria"/>
                <w:sz w:val="24"/>
                <w:szCs w:val="24"/>
              </w:rPr>
              <w:t>529</w:t>
            </w:r>
          </w:p>
        </w:tc>
        <w:tc>
          <w:tcPr>
            <w:tcW w:w="655" w:type="pct"/>
            <w:shd w:val="clear" w:color="auto" w:fill="auto"/>
          </w:tcPr>
          <w:p w14:paraId="151127C0" w14:textId="77777777" w:rsidR="00430C05" w:rsidRPr="00EA1BB2" w:rsidRDefault="00710080" w:rsidP="00361255">
            <w:pPr>
              <w:spacing w:line="360" w:lineRule="auto"/>
              <w:jc w:val="center"/>
              <w:rPr>
                <w:rFonts w:ascii="Cambria" w:hAnsi="Cambria"/>
                <w:sz w:val="24"/>
                <w:szCs w:val="24"/>
              </w:rPr>
            </w:pPr>
            <w:r w:rsidRPr="00EA1BB2">
              <w:rPr>
                <w:rFonts w:ascii="Cambria" w:hAnsi="Cambria"/>
                <w:sz w:val="24"/>
                <w:szCs w:val="24"/>
              </w:rPr>
              <w:t>244</w:t>
            </w:r>
          </w:p>
        </w:tc>
        <w:tc>
          <w:tcPr>
            <w:tcW w:w="548" w:type="pct"/>
            <w:shd w:val="clear" w:color="auto" w:fill="auto"/>
          </w:tcPr>
          <w:p w14:paraId="4E2E9B29" w14:textId="77777777" w:rsidR="00430C05" w:rsidRPr="00EA1BB2" w:rsidRDefault="00710080" w:rsidP="00361255">
            <w:pPr>
              <w:spacing w:line="360" w:lineRule="auto"/>
              <w:jc w:val="center"/>
              <w:rPr>
                <w:rFonts w:ascii="Cambria" w:hAnsi="Cambria"/>
                <w:sz w:val="24"/>
                <w:szCs w:val="24"/>
              </w:rPr>
            </w:pPr>
            <w:r w:rsidRPr="00EA1BB2">
              <w:rPr>
                <w:rFonts w:ascii="Cambria" w:hAnsi="Cambria"/>
                <w:sz w:val="24"/>
                <w:szCs w:val="24"/>
              </w:rPr>
              <w:t>100</w:t>
            </w:r>
          </w:p>
        </w:tc>
        <w:tc>
          <w:tcPr>
            <w:tcW w:w="656" w:type="pct"/>
          </w:tcPr>
          <w:p w14:paraId="6D034663" w14:textId="77777777" w:rsidR="00430C05" w:rsidRPr="00EA1BB2" w:rsidRDefault="00710080" w:rsidP="00361255">
            <w:pPr>
              <w:spacing w:line="360" w:lineRule="auto"/>
              <w:jc w:val="center"/>
              <w:rPr>
                <w:rFonts w:ascii="Cambria" w:hAnsi="Cambria"/>
                <w:sz w:val="24"/>
                <w:szCs w:val="24"/>
              </w:rPr>
            </w:pPr>
            <w:r w:rsidRPr="00EA1BB2">
              <w:rPr>
                <w:rFonts w:ascii="Cambria" w:hAnsi="Cambria"/>
                <w:sz w:val="24"/>
                <w:szCs w:val="24"/>
              </w:rPr>
              <w:t>86</w:t>
            </w:r>
          </w:p>
        </w:tc>
      </w:tr>
      <w:tr w:rsidR="00710080" w:rsidRPr="00EA1BB2" w14:paraId="32C4A26E" w14:textId="77777777" w:rsidTr="00710080">
        <w:trPr>
          <w:jc w:val="center"/>
        </w:trPr>
        <w:tc>
          <w:tcPr>
            <w:tcW w:w="471" w:type="pct"/>
          </w:tcPr>
          <w:p w14:paraId="521FD833" w14:textId="77777777" w:rsidR="00430C05" w:rsidRPr="00EA1BB2" w:rsidRDefault="00430C05" w:rsidP="00361255">
            <w:pPr>
              <w:spacing w:line="360" w:lineRule="auto"/>
              <w:rPr>
                <w:rFonts w:ascii="Cambria" w:hAnsi="Cambria"/>
                <w:sz w:val="24"/>
                <w:szCs w:val="24"/>
              </w:rPr>
            </w:pPr>
            <w:r w:rsidRPr="00EA1BB2">
              <w:rPr>
                <w:rFonts w:ascii="Cambria" w:hAnsi="Cambria"/>
                <w:sz w:val="24"/>
                <w:szCs w:val="24"/>
              </w:rPr>
              <w:t>TOTAL</w:t>
            </w:r>
          </w:p>
        </w:tc>
        <w:tc>
          <w:tcPr>
            <w:tcW w:w="467" w:type="pct"/>
            <w:shd w:val="clear" w:color="auto" w:fill="auto"/>
          </w:tcPr>
          <w:p w14:paraId="2AB5EC67" w14:textId="77777777" w:rsidR="00430C05" w:rsidRPr="00EA1BB2" w:rsidRDefault="00710080" w:rsidP="00361255">
            <w:pPr>
              <w:spacing w:line="360" w:lineRule="auto"/>
              <w:jc w:val="center"/>
              <w:rPr>
                <w:rFonts w:ascii="Cambria" w:hAnsi="Cambria"/>
                <w:sz w:val="24"/>
                <w:szCs w:val="24"/>
              </w:rPr>
            </w:pPr>
            <w:r w:rsidRPr="00EA1BB2">
              <w:rPr>
                <w:rFonts w:ascii="Cambria" w:hAnsi="Cambria"/>
                <w:sz w:val="24"/>
                <w:szCs w:val="24"/>
              </w:rPr>
              <w:t>544</w:t>
            </w:r>
          </w:p>
        </w:tc>
        <w:tc>
          <w:tcPr>
            <w:tcW w:w="540" w:type="pct"/>
            <w:shd w:val="clear" w:color="auto" w:fill="auto"/>
          </w:tcPr>
          <w:p w14:paraId="203AF706" w14:textId="77777777" w:rsidR="00430C05" w:rsidRPr="00EA1BB2" w:rsidRDefault="00710080" w:rsidP="00361255">
            <w:pPr>
              <w:spacing w:line="360" w:lineRule="auto"/>
              <w:jc w:val="center"/>
              <w:rPr>
                <w:rFonts w:ascii="Cambria" w:hAnsi="Cambria"/>
                <w:sz w:val="24"/>
                <w:szCs w:val="24"/>
              </w:rPr>
            </w:pPr>
            <w:r w:rsidRPr="00EA1BB2">
              <w:rPr>
                <w:rFonts w:ascii="Cambria" w:hAnsi="Cambria"/>
                <w:sz w:val="24"/>
                <w:szCs w:val="24"/>
              </w:rPr>
              <w:t>57</w:t>
            </w:r>
          </w:p>
        </w:tc>
        <w:tc>
          <w:tcPr>
            <w:tcW w:w="467" w:type="pct"/>
            <w:shd w:val="clear" w:color="auto" w:fill="auto"/>
          </w:tcPr>
          <w:p w14:paraId="11235F39" w14:textId="77777777" w:rsidR="00430C05" w:rsidRPr="00EA1BB2" w:rsidRDefault="00710080" w:rsidP="00361255">
            <w:pPr>
              <w:spacing w:line="360" w:lineRule="auto"/>
              <w:jc w:val="center"/>
              <w:rPr>
                <w:rFonts w:ascii="Cambria" w:hAnsi="Cambria"/>
                <w:sz w:val="24"/>
                <w:szCs w:val="24"/>
              </w:rPr>
            </w:pPr>
            <w:r w:rsidRPr="00EA1BB2">
              <w:rPr>
                <w:rFonts w:ascii="Cambria" w:hAnsi="Cambria"/>
                <w:sz w:val="24"/>
                <w:szCs w:val="24"/>
              </w:rPr>
              <w:t>4</w:t>
            </w:r>
            <w:r w:rsidR="00A9523D" w:rsidRPr="00EA1BB2">
              <w:rPr>
                <w:rFonts w:ascii="Cambria" w:hAnsi="Cambria"/>
                <w:sz w:val="24"/>
                <w:szCs w:val="24"/>
              </w:rPr>
              <w:t>.</w:t>
            </w:r>
            <w:r w:rsidRPr="00EA1BB2">
              <w:rPr>
                <w:rFonts w:ascii="Cambria" w:hAnsi="Cambria"/>
                <w:sz w:val="24"/>
                <w:szCs w:val="24"/>
              </w:rPr>
              <w:t>196</w:t>
            </w:r>
          </w:p>
        </w:tc>
        <w:tc>
          <w:tcPr>
            <w:tcW w:w="540" w:type="pct"/>
            <w:shd w:val="clear" w:color="auto" w:fill="auto"/>
          </w:tcPr>
          <w:p w14:paraId="1508D079" w14:textId="77777777" w:rsidR="00430C05" w:rsidRPr="00EA1BB2" w:rsidRDefault="00710080" w:rsidP="00361255">
            <w:pPr>
              <w:spacing w:line="360" w:lineRule="auto"/>
              <w:jc w:val="center"/>
              <w:rPr>
                <w:rFonts w:ascii="Cambria" w:hAnsi="Cambria"/>
                <w:sz w:val="24"/>
                <w:szCs w:val="24"/>
              </w:rPr>
            </w:pPr>
            <w:r w:rsidRPr="00EA1BB2">
              <w:rPr>
                <w:rFonts w:ascii="Cambria" w:hAnsi="Cambria"/>
                <w:sz w:val="24"/>
                <w:szCs w:val="24"/>
              </w:rPr>
              <w:t>313</w:t>
            </w:r>
          </w:p>
        </w:tc>
        <w:tc>
          <w:tcPr>
            <w:tcW w:w="655" w:type="pct"/>
            <w:shd w:val="clear" w:color="auto" w:fill="auto"/>
          </w:tcPr>
          <w:p w14:paraId="0E325F5E" w14:textId="77777777" w:rsidR="00430C05" w:rsidRPr="00EA1BB2" w:rsidRDefault="00710080" w:rsidP="00361255">
            <w:pPr>
              <w:spacing w:line="360" w:lineRule="auto"/>
              <w:jc w:val="center"/>
              <w:rPr>
                <w:rFonts w:ascii="Cambria" w:hAnsi="Cambria"/>
                <w:sz w:val="24"/>
                <w:szCs w:val="24"/>
              </w:rPr>
            </w:pPr>
            <w:r w:rsidRPr="00EA1BB2">
              <w:rPr>
                <w:rFonts w:ascii="Cambria" w:hAnsi="Cambria"/>
                <w:sz w:val="24"/>
                <w:szCs w:val="24"/>
              </w:rPr>
              <w:t>61</w:t>
            </w:r>
            <w:r w:rsidR="00A9523D" w:rsidRPr="00EA1BB2">
              <w:rPr>
                <w:rFonts w:ascii="Cambria" w:hAnsi="Cambria"/>
                <w:sz w:val="24"/>
                <w:szCs w:val="24"/>
              </w:rPr>
              <w:t>.</w:t>
            </w:r>
            <w:r w:rsidRPr="00EA1BB2">
              <w:rPr>
                <w:rFonts w:ascii="Cambria" w:hAnsi="Cambria"/>
                <w:sz w:val="24"/>
                <w:szCs w:val="24"/>
              </w:rPr>
              <w:t>421</w:t>
            </w:r>
          </w:p>
        </w:tc>
        <w:tc>
          <w:tcPr>
            <w:tcW w:w="655" w:type="pct"/>
            <w:shd w:val="clear" w:color="auto" w:fill="auto"/>
          </w:tcPr>
          <w:p w14:paraId="3D814F79" w14:textId="77777777" w:rsidR="00430C05" w:rsidRPr="00EA1BB2" w:rsidRDefault="00710080" w:rsidP="00361255">
            <w:pPr>
              <w:spacing w:line="360" w:lineRule="auto"/>
              <w:jc w:val="center"/>
              <w:rPr>
                <w:rFonts w:ascii="Cambria" w:hAnsi="Cambria"/>
                <w:sz w:val="24"/>
                <w:szCs w:val="24"/>
              </w:rPr>
            </w:pPr>
            <w:r w:rsidRPr="00EA1BB2">
              <w:rPr>
                <w:rFonts w:ascii="Cambria" w:hAnsi="Cambria"/>
                <w:sz w:val="24"/>
                <w:szCs w:val="24"/>
              </w:rPr>
              <w:t>392</w:t>
            </w:r>
          </w:p>
        </w:tc>
        <w:tc>
          <w:tcPr>
            <w:tcW w:w="548" w:type="pct"/>
            <w:shd w:val="clear" w:color="auto" w:fill="auto"/>
          </w:tcPr>
          <w:p w14:paraId="24D2A2E2" w14:textId="77777777" w:rsidR="00430C05" w:rsidRPr="00EA1BB2" w:rsidRDefault="00710080" w:rsidP="00361255">
            <w:pPr>
              <w:spacing w:line="360" w:lineRule="auto"/>
              <w:jc w:val="center"/>
              <w:rPr>
                <w:rFonts w:ascii="Cambria" w:hAnsi="Cambria"/>
                <w:sz w:val="24"/>
                <w:szCs w:val="24"/>
              </w:rPr>
            </w:pPr>
            <w:r w:rsidRPr="00EA1BB2">
              <w:rPr>
                <w:rFonts w:ascii="Cambria" w:hAnsi="Cambria"/>
                <w:sz w:val="24"/>
                <w:szCs w:val="24"/>
              </w:rPr>
              <w:t>1</w:t>
            </w:r>
            <w:r w:rsidR="00A9523D" w:rsidRPr="00EA1BB2">
              <w:rPr>
                <w:rFonts w:ascii="Cambria" w:hAnsi="Cambria"/>
                <w:sz w:val="24"/>
                <w:szCs w:val="24"/>
              </w:rPr>
              <w:t>.</w:t>
            </w:r>
            <w:r w:rsidRPr="00EA1BB2">
              <w:rPr>
                <w:rFonts w:ascii="Cambria" w:hAnsi="Cambria"/>
                <w:sz w:val="24"/>
                <w:szCs w:val="24"/>
              </w:rPr>
              <w:t>544</w:t>
            </w:r>
          </w:p>
        </w:tc>
        <w:tc>
          <w:tcPr>
            <w:tcW w:w="656" w:type="pct"/>
          </w:tcPr>
          <w:p w14:paraId="3FBF8E58" w14:textId="77777777" w:rsidR="00430C05" w:rsidRPr="00EA1BB2" w:rsidRDefault="00710080" w:rsidP="00361255">
            <w:pPr>
              <w:spacing w:line="360" w:lineRule="auto"/>
              <w:jc w:val="center"/>
              <w:rPr>
                <w:rFonts w:ascii="Cambria" w:hAnsi="Cambria"/>
                <w:sz w:val="24"/>
                <w:szCs w:val="24"/>
              </w:rPr>
            </w:pPr>
            <w:r w:rsidRPr="00EA1BB2">
              <w:rPr>
                <w:rFonts w:ascii="Cambria" w:hAnsi="Cambria"/>
                <w:sz w:val="24"/>
                <w:szCs w:val="24"/>
              </w:rPr>
              <w:t>3</w:t>
            </w:r>
            <w:r w:rsidR="00A9523D" w:rsidRPr="00EA1BB2">
              <w:rPr>
                <w:rFonts w:ascii="Cambria" w:hAnsi="Cambria"/>
                <w:sz w:val="24"/>
                <w:szCs w:val="24"/>
              </w:rPr>
              <w:t>.</w:t>
            </w:r>
            <w:r w:rsidRPr="00EA1BB2">
              <w:rPr>
                <w:rFonts w:ascii="Cambria" w:hAnsi="Cambria"/>
                <w:sz w:val="24"/>
                <w:szCs w:val="24"/>
              </w:rPr>
              <w:t>506</w:t>
            </w:r>
          </w:p>
        </w:tc>
      </w:tr>
    </w:tbl>
    <w:p w14:paraId="3C983558" w14:textId="77777777" w:rsidR="00430C05" w:rsidRPr="00EA1BB2" w:rsidRDefault="00E21918" w:rsidP="00430C05">
      <w:pPr>
        <w:rPr>
          <w:rFonts w:ascii="Cambria" w:eastAsia="Calibri" w:hAnsi="Cambria" w:cs="Times New Roman"/>
          <w:sz w:val="24"/>
          <w:szCs w:val="24"/>
        </w:rPr>
      </w:pPr>
      <w:r w:rsidRPr="00EA1BB2">
        <w:rPr>
          <w:rFonts w:ascii="Cambria" w:eastAsia="Calibri" w:hAnsi="Cambria" w:cs="Times New Roman"/>
          <w:szCs w:val="24"/>
        </w:rPr>
        <w:t>S</w:t>
      </w:r>
      <w:r w:rsidR="00430C05" w:rsidRPr="00EA1BB2">
        <w:rPr>
          <w:rFonts w:ascii="Cambria" w:eastAsia="Calibri" w:hAnsi="Cambria" w:cs="Times New Roman"/>
          <w:szCs w:val="24"/>
        </w:rPr>
        <w:t>ursa</w:t>
      </w:r>
      <w:r w:rsidRPr="00EA1BB2">
        <w:rPr>
          <w:rFonts w:ascii="Cambria" w:eastAsia="Calibri" w:hAnsi="Cambria" w:cs="Times New Roman"/>
          <w:szCs w:val="24"/>
        </w:rPr>
        <w:t xml:space="preserve"> date</w:t>
      </w:r>
      <w:r w:rsidR="00430C05" w:rsidRPr="00EA1BB2">
        <w:rPr>
          <w:rFonts w:ascii="Cambria" w:eastAsia="Calibri" w:hAnsi="Cambria" w:cs="Times New Roman"/>
          <w:szCs w:val="24"/>
        </w:rPr>
        <w:t>: Direcția Județeană de Statistică Brăila</w:t>
      </w:r>
    </w:p>
    <w:p w14:paraId="36435393" w14:textId="77777777" w:rsidR="005B216D" w:rsidRPr="00EA1BB2" w:rsidRDefault="005B216D" w:rsidP="006060F7">
      <w:pPr>
        <w:spacing w:line="360" w:lineRule="auto"/>
        <w:ind w:firstLine="708"/>
        <w:jc w:val="both"/>
        <w:rPr>
          <w:rFonts w:ascii="Cambria" w:eastAsia="Times New Roman" w:hAnsi="Cambria" w:cs="Times New Roman"/>
          <w:sz w:val="24"/>
          <w:szCs w:val="24"/>
        </w:rPr>
      </w:pPr>
    </w:p>
    <w:p w14:paraId="4FEA09BD" w14:textId="5D4F53E9" w:rsidR="00ED596B" w:rsidRPr="00EA1BB2" w:rsidRDefault="005D757E" w:rsidP="005D757E">
      <w:pPr>
        <w:spacing w:line="360" w:lineRule="auto"/>
        <w:ind w:firstLine="708"/>
        <w:jc w:val="both"/>
        <w:rPr>
          <w:rFonts w:ascii="Cambria" w:eastAsia="Times New Roman" w:hAnsi="Cambria" w:cs="Times New Roman"/>
          <w:sz w:val="24"/>
          <w:szCs w:val="24"/>
        </w:rPr>
      </w:pPr>
      <w:r w:rsidRPr="00EA1BB2">
        <w:rPr>
          <w:rFonts w:ascii="Cambria" w:eastAsia="Times New Roman" w:hAnsi="Cambria" w:cs="Times New Roman"/>
          <w:sz w:val="24"/>
          <w:szCs w:val="24"/>
        </w:rPr>
        <w:t xml:space="preserve">Fondul de </w:t>
      </w:r>
      <w:r w:rsidR="00CE3838" w:rsidRPr="00EA1BB2">
        <w:rPr>
          <w:rFonts w:ascii="Cambria" w:eastAsia="Times New Roman" w:hAnsi="Cambria" w:cs="Times New Roman"/>
          <w:sz w:val="24"/>
          <w:szCs w:val="24"/>
        </w:rPr>
        <w:t>locuințe</w:t>
      </w:r>
      <w:r w:rsidRPr="00EA1BB2">
        <w:rPr>
          <w:rFonts w:ascii="Cambria" w:eastAsia="Times New Roman" w:hAnsi="Cambria" w:cs="Times New Roman"/>
          <w:sz w:val="24"/>
          <w:szCs w:val="24"/>
        </w:rPr>
        <w:t xml:space="preserve"> se </w:t>
      </w:r>
      <w:r w:rsidR="00CE3838" w:rsidRPr="00EA1BB2">
        <w:rPr>
          <w:rFonts w:ascii="Cambria" w:eastAsia="Times New Roman" w:hAnsi="Cambria" w:cs="Times New Roman"/>
          <w:sz w:val="24"/>
          <w:szCs w:val="24"/>
        </w:rPr>
        <w:t>determină</w:t>
      </w:r>
      <w:r w:rsidRPr="00EA1BB2">
        <w:rPr>
          <w:rFonts w:ascii="Cambria" w:eastAsia="Times New Roman" w:hAnsi="Cambria" w:cs="Times New Roman"/>
          <w:sz w:val="24"/>
          <w:szCs w:val="24"/>
        </w:rPr>
        <w:t xml:space="preserve"> pe baza datelor </w:t>
      </w:r>
      <w:r w:rsidR="00CE3838" w:rsidRPr="00EA1BB2">
        <w:rPr>
          <w:rFonts w:ascii="Cambria" w:eastAsia="Times New Roman" w:hAnsi="Cambria" w:cs="Times New Roman"/>
          <w:sz w:val="24"/>
          <w:szCs w:val="24"/>
        </w:rPr>
        <w:t>obținute</w:t>
      </w:r>
      <w:r w:rsidRPr="00EA1BB2">
        <w:rPr>
          <w:rFonts w:ascii="Cambria" w:eastAsia="Times New Roman" w:hAnsi="Cambria" w:cs="Times New Roman"/>
          <w:sz w:val="24"/>
          <w:szCs w:val="24"/>
        </w:rPr>
        <w:t xml:space="preserve"> la </w:t>
      </w:r>
      <w:r w:rsidR="00CE3838" w:rsidRPr="00EA1BB2">
        <w:rPr>
          <w:rFonts w:ascii="Cambria" w:eastAsia="Times New Roman" w:hAnsi="Cambria" w:cs="Times New Roman"/>
          <w:sz w:val="24"/>
          <w:szCs w:val="24"/>
        </w:rPr>
        <w:t>recensământul</w:t>
      </w:r>
      <w:r w:rsidR="00BD06C5" w:rsidRPr="00EA1BB2">
        <w:rPr>
          <w:rFonts w:ascii="Cambria" w:eastAsia="Times New Roman" w:hAnsi="Cambria" w:cs="Times New Roman"/>
          <w:sz w:val="24"/>
          <w:szCs w:val="24"/>
        </w:rPr>
        <w:t xml:space="preserve"> </w:t>
      </w:r>
      <w:r w:rsidR="00CE3838" w:rsidRPr="00EA1BB2">
        <w:rPr>
          <w:rFonts w:ascii="Cambria" w:eastAsia="Times New Roman" w:hAnsi="Cambria" w:cs="Times New Roman"/>
          <w:sz w:val="24"/>
          <w:szCs w:val="24"/>
        </w:rPr>
        <w:t>populației</w:t>
      </w:r>
      <w:r w:rsidR="00BD06C5" w:rsidRPr="00EA1BB2">
        <w:rPr>
          <w:rFonts w:ascii="Cambria" w:eastAsia="Times New Roman" w:hAnsi="Cambria" w:cs="Times New Roman"/>
          <w:sz w:val="24"/>
          <w:szCs w:val="24"/>
        </w:rPr>
        <w:t xml:space="preserve"> </w:t>
      </w:r>
      <w:r w:rsidR="00CE3838" w:rsidRPr="00EA1BB2">
        <w:rPr>
          <w:rFonts w:ascii="Cambria" w:eastAsia="Times New Roman" w:hAnsi="Cambria" w:cs="Times New Roman"/>
          <w:sz w:val="24"/>
          <w:szCs w:val="24"/>
        </w:rPr>
        <w:t>ș</w:t>
      </w:r>
      <w:r w:rsidRPr="00EA1BB2">
        <w:rPr>
          <w:rFonts w:ascii="Cambria" w:eastAsia="Times New Roman" w:hAnsi="Cambria" w:cs="Times New Roman"/>
          <w:sz w:val="24"/>
          <w:szCs w:val="24"/>
        </w:rPr>
        <w:t xml:space="preserve">i </w:t>
      </w:r>
      <w:r w:rsidR="00CE3838" w:rsidRPr="00EA1BB2">
        <w:rPr>
          <w:rFonts w:ascii="Cambria" w:eastAsia="Times New Roman" w:hAnsi="Cambria" w:cs="Times New Roman"/>
          <w:sz w:val="24"/>
          <w:szCs w:val="24"/>
        </w:rPr>
        <w:t>locuințelor</w:t>
      </w:r>
      <w:r w:rsidR="00BD06C5" w:rsidRPr="00EA1BB2">
        <w:rPr>
          <w:rFonts w:ascii="Cambria" w:eastAsia="Times New Roman" w:hAnsi="Cambria" w:cs="Times New Roman"/>
          <w:sz w:val="24"/>
          <w:szCs w:val="24"/>
        </w:rPr>
        <w:t xml:space="preserve"> </w:t>
      </w:r>
      <w:r w:rsidR="00CE3838" w:rsidRPr="00EA1BB2">
        <w:rPr>
          <w:rFonts w:ascii="Cambria" w:eastAsia="Times New Roman" w:hAnsi="Cambria" w:cs="Times New Roman"/>
          <w:sz w:val="24"/>
          <w:szCs w:val="24"/>
        </w:rPr>
        <w:t>ținând</w:t>
      </w:r>
      <w:r w:rsidRPr="00EA1BB2">
        <w:rPr>
          <w:rFonts w:ascii="Cambria" w:eastAsia="Times New Roman" w:hAnsi="Cambria" w:cs="Times New Roman"/>
          <w:sz w:val="24"/>
          <w:szCs w:val="24"/>
        </w:rPr>
        <w:t xml:space="preserve"> seama de </w:t>
      </w:r>
      <w:r w:rsidR="00CE3838" w:rsidRPr="00EA1BB2">
        <w:rPr>
          <w:rFonts w:ascii="Cambria" w:eastAsia="Times New Roman" w:hAnsi="Cambria" w:cs="Times New Roman"/>
          <w:sz w:val="24"/>
          <w:szCs w:val="24"/>
        </w:rPr>
        <w:t>modificările</w:t>
      </w:r>
      <w:r w:rsidRPr="00EA1BB2">
        <w:rPr>
          <w:rFonts w:ascii="Cambria" w:eastAsia="Times New Roman" w:hAnsi="Cambria" w:cs="Times New Roman"/>
          <w:sz w:val="24"/>
          <w:szCs w:val="24"/>
        </w:rPr>
        <w:t xml:space="preserve"> in</w:t>
      </w:r>
      <w:r w:rsidR="00CE3838" w:rsidRPr="00EA1BB2">
        <w:rPr>
          <w:rFonts w:ascii="Cambria" w:eastAsia="Times New Roman" w:hAnsi="Cambria" w:cs="Times New Roman"/>
          <w:sz w:val="24"/>
          <w:szCs w:val="24"/>
        </w:rPr>
        <w:t>tervenite în cursul fiecărui an astfel:</w:t>
      </w:r>
      <w:r w:rsidR="00BD06C5" w:rsidRPr="00EA1BB2">
        <w:rPr>
          <w:rFonts w:ascii="Cambria" w:eastAsia="Times New Roman" w:hAnsi="Cambria" w:cs="Times New Roman"/>
          <w:sz w:val="24"/>
          <w:szCs w:val="24"/>
        </w:rPr>
        <w:t xml:space="preserve"> </w:t>
      </w:r>
      <w:r w:rsidR="00CE3838" w:rsidRPr="00EA1BB2">
        <w:rPr>
          <w:rFonts w:ascii="Cambria" w:eastAsia="Times New Roman" w:hAnsi="Cambria" w:cs="Times New Roman"/>
          <w:sz w:val="24"/>
          <w:szCs w:val="24"/>
        </w:rPr>
        <w:t>intrările</w:t>
      </w:r>
      <w:r w:rsidRPr="00EA1BB2">
        <w:rPr>
          <w:rFonts w:ascii="Cambria" w:eastAsia="Times New Roman" w:hAnsi="Cambria" w:cs="Times New Roman"/>
          <w:sz w:val="24"/>
          <w:szCs w:val="24"/>
        </w:rPr>
        <w:t xml:space="preserve"> prin </w:t>
      </w:r>
      <w:r w:rsidR="00CE3838" w:rsidRPr="00EA1BB2">
        <w:rPr>
          <w:rFonts w:ascii="Cambria" w:eastAsia="Times New Roman" w:hAnsi="Cambria" w:cs="Times New Roman"/>
          <w:sz w:val="24"/>
          <w:szCs w:val="24"/>
        </w:rPr>
        <w:t>construcții</w:t>
      </w:r>
      <w:r w:rsidRPr="00EA1BB2">
        <w:rPr>
          <w:rFonts w:ascii="Cambria" w:eastAsia="Times New Roman" w:hAnsi="Cambria" w:cs="Times New Roman"/>
          <w:sz w:val="24"/>
          <w:szCs w:val="24"/>
        </w:rPr>
        <w:t xml:space="preserve"> de </w:t>
      </w:r>
      <w:r w:rsidR="00CE3838" w:rsidRPr="00EA1BB2">
        <w:rPr>
          <w:rFonts w:ascii="Cambria" w:eastAsia="Times New Roman" w:hAnsi="Cambria" w:cs="Times New Roman"/>
          <w:sz w:val="24"/>
          <w:szCs w:val="24"/>
        </w:rPr>
        <w:t>locuințe</w:t>
      </w:r>
      <w:r w:rsidRPr="00EA1BB2">
        <w:rPr>
          <w:rFonts w:ascii="Cambria" w:eastAsia="Times New Roman" w:hAnsi="Cambria" w:cs="Times New Roman"/>
          <w:sz w:val="24"/>
          <w:szCs w:val="24"/>
        </w:rPr>
        <w:t xml:space="preserve"> noi, prin schimbarea unor</w:t>
      </w:r>
      <w:r w:rsidR="00BD06C5" w:rsidRPr="00EA1BB2">
        <w:rPr>
          <w:rFonts w:ascii="Cambria" w:eastAsia="Times New Roman" w:hAnsi="Cambria" w:cs="Times New Roman"/>
          <w:sz w:val="24"/>
          <w:szCs w:val="24"/>
        </w:rPr>
        <w:t xml:space="preserve"> </w:t>
      </w:r>
      <w:r w:rsidRPr="00EA1BB2">
        <w:rPr>
          <w:rFonts w:ascii="Cambria" w:eastAsia="Times New Roman" w:hAnsi="Cambria" w:cs="Times New Roman"/>
          <w:sz w:val="24"/>
          <w:szCs w:val="24"/>
        </w:rPr>
        <w:t>spa</w:t>
      </w:r>
      <w:r w:rsidR="00CE3838"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 cu alt</w:t>
      </w:r>
      <w:r w:rsidR="00CE3838" w:rsidRPr="00EA1BB2">
        <w:rPr>
          <w:rFonts w:ascii="Cambria" w:eastAsia="Times New Roman" w:hAnsi="Cambria" w:cs="Times New Roman"/>
          <w:sz w:val="24"/>
          <w:szCs w:val="24"/>
        </w:rPr>
        <w:t>ă</w:t>
      </w:r>
      <w:r w:rsidR="00BD06C5" w:rsidRPr="00EA1BB2">
        <w:rPr>
          <w:rFonts w:ascii="Cambria" w:eastAsia="Times New Roman" w:hAnsi="Cambria" w:cs="Times New Roman"/>
          <w:sz w:val="24"/>
          <w:szCs w:val="24"/>
        </w:rPr>
        <w:t xml:space="preserve"> </w:t>
      </w:r>
      <w:r w:rsidR="00CE3838" w:rsidRPr="00EA1BB2">
        <w:rPr>
          <w:rFonts w:ascii="Cambria" w:eastAsia="Times New Roman" w:hAnsi="Cambria" w:cs="Times New Roman"/>
          <w:sz w:val="24"/>
          <w:szCs w:val="24"/>
        </w:rPr>
        <w:t>destinație î</w:t>
      </w:r>
      <w:r w:rsidRPr="00EA1BB2">
        <w:rPr>
          <w:rFonts w:ascii="Cambria" w:eastAsia="Times New Roman" w:hAnsi="Cambria" w:cs="Times New Roman"/>
          <w:sz w:val="24"/>
          <w:szCs w:val="24"/>
        </w:rPr>
        <w:t xml:space="preserve">n </w:t>
      </w:r>
      <w:r w:rsidR="00CE3838" w:rsidRPr="00EA1BB2">
        <w:rPr>
          <w:rFonts w:ascii="Cambria" w:eastAsia="Times New Roman" w:hAnsi="Cambria" w:cs="Times New Roman"/>
          <w:sz w:val="24"/>
          <w:szCs w:val="24"/>
        </w:rPr>
        <w:t>locuințe</w:t>
      </w:r>
      <w:r w:rsidRPr="00EA1BB2">
        <w:rPr>
          <w:rFonts w:ascii="Cambria" w:eastAsia="Times New Roman" w:hAnsi="Cambria" w:cs="Times New Roman"/>
          <w:sz w:val="24"/>
          <w:szCs w:val="24"/>
        </w:rPr>
        <w:t xml:space="preserve"> și </w:t>
      </w:r>
      <w:r w:rsidR="00CE3838" w:rsidRPr="00EA1BB2">
        <w:rPr>
          <w:rFonts w:ascii="Cambria" w:eastAsia="Times New Roman" w:hAnsi="Cambria" w:cs="Times New Roman"/>
          <w:sz w:val="24"/>
          <w:szCs w:val="24"/>
        </w:rPr>
        <w:t>ieșirile</w:t>
      </w:r>
      <w:r w:rsidRPr="00EA1BB2">
        <w:rPr>
          <w:rFonts w:ascii="Cambria" w:eastAsia="Times New Roman" w:hAnsi="Cambria" w:cs="Times New Roman"/>
          <w:sz w:val="24"/>
          <w:szCs w:val="24"/>
        </w:rPr>
        <w:t xml:space="preserve"> prin </w:t>
      </w:r>
      <w:r w:rsidR="00CE3838" w:rsidRPr="00EA1BB2">
        <w:rPr>
          <w:rFonts w:ascii="Cambria" w:eastAsia="Times New Roman" w:hAnsi="Cambria" w:cs="Times New Roman"/>
          <w:sz w:val="24"/>
          <w:szCs w:val="24"/>
        </w:rPr>
        <w:t>demolări</w:t>
      </w:r>
      <w:r w:rsidRPr="00EA1BB2">
        <w:rPr>
          <w:rFonts w:ascii="Cambria" w:eastAsia="Times New Roman" w:hAnsi="Cambria" w:cs="Times New Roman"/>
          <w:sz w:val="24"/>
          <w:szCs w:val="24"/>
        </w:rPr>
        <w:t xml:space="preserve">, respectiv prin schimbarea din </w:t>
      </w:r>
      <w:r w:rsidR="00CE3838" w:rsidRPr="00EA1BB2">
        <w:rPr>
          <w:rFonts w:ascii="Cambria" w:eastAsia="Times New Roman" w:hAnsi="Cambria" w:cs="Times New Roman"/>
          <w:sz w:val="24"/>
          <w:szCs w:val="24"/>
        </w:rPr>
        <w:t>locuințe în spaț</w:t>
      </w:r>
      <w:r w:rsidRPr="00EA1BB2">
        <w:rPr>
          <w:rFonts w:ascii="Cambria" w:eastAsia="Times New Roman" w:hAnsi="Cambria" w:cs="Times New Roman"/>
          <w:sz w:val="24"/>
          <w:szCs w:val="24"/>
        </w:rPr>
        <w:t>ii cu alt</w:t>
      </w:r>
      <w:r w:rsidR="00CE3838" w:rsidRPr="00EA1BB2">
        <w:rPr>
          <w:rFonts w:ascii="Cambria" w:eastAsia="Times New Roman" w:hAnsi="Cambria" w:cs="Times New Roman"/>
          <w:sz w:val="24"/>
          <w:szCs w:val="24"/>
        </w:rPr>
        <w:t>ă</w:t>
      </w:r>
      <w:r w:rsidR="00BD06C5" w:rsidRPr="00EA1BB2">
        <w:rPr>
          <w:rFonts w:ascii="Cambria" w:eastAsia="Times New Roman" w:hAnsi="Cambria" w:cs="Times New Roman"/>
          <w:sz w:val="24"/>
          <w:szCs w:val="24"/>
        </w:rPr>
        <w:t xml:space="preserve"> </w:t>
      </w:r>
      <w:r w:rsidR="00CE3838" w:rsidRPr="00EA1BB2">
        <w:rPr>
          <w:rFonts w:ascii="Cambria" w:eastAsia="Times New Roman" w:hAnsi="Cambria" w:cs="Times New Roman"/>
          <w:sz w:val="24"/>
          <w:szCs w:val="24"/>
        </w:rPr>
        <w:t>destinație</w:t>
      </w:r>
      <w:r w:rsidRPr="00EA1BB2">
        <w:rPr>
          <w:rFonts w:ascii="Cambria" w:eastAsia="Times New Roman" w:hAnsi="Cambria" w:cs="Times New Roman"/>
          <w:sz w:val="24"/>
          <w:szCs w:val="24"/>
        </w:rPr>
        <w:t>.</w:t>
      </w:r>
      <w:r w:rsidR="00CE3838" w:rsidRPr="00EA1BB2">
        <w:rPr>
          <w:rFonts w:ascii="Cambria" w:eastAsia="Times New Roman" w:hAnsi="Cambria" w:cs="Times New Roman"/>
          <w:sz w:val="24"/>
          <w:szCs w:val="24"/>
        </w:rPr>
        <w:t xml:space="preserve"> Evoluția acestora</w:t>
      </w:r>
      <w:r w:rsidR="004B26B0" w:rsidRPr="00EA1BB2">
        <w:rPr>
          <w:rFonts w:ascii="Cambria" w:eastAsia="Times New Roman" w:hAnsi="Cambria" w:cs="Times New Roman"/>
          <w:sz w:val="24"/>
          <w:szCs w:val="24"/>
        </w:rPr>
        <w:t>,</w:t>
      </w:r>
      <w:r w:rsidR="00CE3838" w:rsidRPr="00EA1BB2">
        <w:rPr>
          <w:rFonts w:ascii="Cambria" w:eastAsia="Times New Roman" w:hAnsi="Cambria" w:cs="Times New Roman"/>
          <w:sz w:val="24"/>
          <w:szCs w:val="24"/>
        </w:rPr>
        <w:t xml:space="preserve"> disponibilă</w:t>
      </w:r>
      <w:r w:rsidR="00CE3838" w:rsidRPr="00EA1BB2">
        <w:rPr>
          <w:rFonts w:ascii="Cambria" w:hAnsi="Cambria"/>
          <w:sz w:val="24"/>
          <w:szCs w:val="24"/>
        </w:rPr>
        <w:t xml:space="preserve"> în baza de date INS</w:t>
      </w:r>
      <w:r w:rsidR="00CE3838" w:rsidRPr="00EA1BB2">
        <w:rPr>
          <w:rFonts w:ascii="Cambria" w:eastAsia="Times New Roman" w:hAnsi="Cambria" w:cs="Times New Roman"/>
          <w:sz w:val="24"/>
          <w:szCs w:val="24"/>
        </w:rPr>
        <w:t>TEMPO-Online</w:t>
      </w:r>
      <w:r w:rsidR="004B26B0" w:rsidRPr="00EA1BB2">
        <w:rPr>
          <w:rFonts w:ascii="Cambria" w:eastAsia="Times New Roman" w:hAnsi="Cambria" w:cs="Times New Roman"/>
          <w:sz w:val="24"/>
          <w:szCs w:val="24"/>
        </w:rPr>
        <w:t>,</w:t>
      </w:r>
      <w:r w:rsidR="00CE3838" w:rsidRPr="00EA1BB2">
        <w:rPr>
          <w:rFonts w:ascii="Cambria" w:eastAsia="Times New Roman" w:hAnsi="Cambria" w:cs="Times New Roman"/>
          <w:sz w:val="24"/>
          <w:szCs w:val="24"/>
        </w:rPr>
        <w:t xml:space="preserve"> este prezentată </w:t>
      </w:r>
      <w:r w:rsidR="008161C1" w:rsidRPr="00EA1BB2">
        <w:rPr>
          <w:rFonts w:ascii="Cambria" w:eastAsia="Times New Roman" w:hAnsi="Cambria" w:cs="Times New Roman"/>
          <w:sz w:val="24"/>
          <w:szCs w:val="24"/>
        </w:rPr>
        <w:t>î</w:t>
      </w:r>
      <w:r w:rsidR="00CE3838" w:rsidRPr="00EA1BB2">
        <w:rPr>
          <w:rFonts w:ascii="Cambria" w:eastAsia="Times New Roman" w:hAnsi="Cambria" w:cs="Times New Roman"/>
          <w:sz w:val="24"/>
          <w:szCs w:val="24"/>
        </w:rPr>
        <w:t>n tabelul de mai jos.</w:t>
      </w:r>
    </w:p>
    <w:p w14:paraId="6084819B" w14:textId="77777777" w:rsidR="00042796" w:rsidRPr="00EA1BB2" w:rsidRDefault="00042796" w:rsidP="00196B49">
      <w:pPr>
        <w:spacing w:line="276" w:lineRule="auto"/>
        <w:ind w:firstLine="708"/>
        <w:jc w:val="both"/>
        <w:rPr>
          <w:rFonts w:ascii="Cambria" w:eastAsia="Times New Roman" w:hAnsi="Cambria" w:cs="Times New Roman"/>
          <w:sz w:val="24"/>
          <w:szCs w:val="24"/>
        </w:rPr>
      </w:pPr>
    </w:p>
    <w:p w14:paraId="566D115E" w14:textId="4A75C8EE" w:rsidR="000F6436" w:rsidRPr="00EA1BB2" w:rsidRDefault="000F6436" w:rsidP="000F6436">
      <w:pPr>
        <w:pStyle w:val="Caption"/>
        <w:keepNext/>
        <w:spacing w:after="0" w:line="360" w:lineRule="auto"/>
        <w:ind w:firstLine="708"/>
        <w:jc w:val="both"/>
        <w:rPr>
          <w:rFonts w:ascii="Cambria" w:hAnsi="Cambria"/>
        </w:rPr>
      </w:pPr>
      <w:bookmarkStart w:id="95" w:name="_Toc526889776"/>
      <w:r w:rsidRPr="00EA1BB2">
        <w:rPr>
          <w:rFonts w:ascii="Cambria" w:hAnsi="Cambria"/>
        </w:rPr>
        <w:t xml:space="preserve">Tabelul nr. </w:t>
      </w:r>
      <w:r w:rsidR="000A2FE7" w:rsidRPr="00EA1BB2">
        <w:rPr>
          <w:rFonts w:ascii="Cambria" w:hAnsi="Cambria"/>
        </w:rPr>
        <w:fldChar w:fldCharType="begin"/>
      </w:r>
      <w:r w:rsidR="000A2FE7" w:rsidRPr="00EA1BB2">
        <w:rPr>
          <w:rFonts w:ascii="Cambria" w:hAnsi="Cambria"/>
        </w:rPr>
        <w:instrText xml:space="preserve"> STYLEREF 1 \s </w:instrText>
      </w:r>
      <w:r w:rsidR="000A2FE7" w:rsidRPr="00EA1BB2">
        <w:rPr>
          <w:rFonts w:ascii="Cambria" w:hAnsi="Cambria"/>
        </w:rPr>
        <w:fldChar w:fldCharType="separate"/>
      </w:r>
      <w:r w:rsidR="00567555">
        <w:rPr>
          <w:rFonts w:ascii="Cambria" w:hAnsi="Cambria"/>
          <w:noProof/>
        </w:rPr>
        <w:t>3</w:t>
      </w:r>
      <w:r w:rsidR="000A2FE7" w:rsidRPr="00EA1BB2">
        <w:rPr>
          <w:rFonts w:ascii="Cambria" w:hAnsi="Cambria"/>
        </w:rPr>
        <w:fldChar w:fldCharType="end"/>
      </w:r>
      <w:r w:rsidR="000A2FE7" w:rsidRPr="00EA1BB2">
        <w:rPr>
          <w:rFonts w:ascii="Cambria" w:hAnsi="Cambria"/>
        </w:rPr>
        <w:noBreakHyphen/>
      </w:r>
      <w:r w:rsidR="000A2FE7" w:rsidRPr="00EA1BB2">
        <w:rPr>
          <w:rFonts w:ascii="Cambria" w:hAnsi="Cambria"/>
        </w:rPr>
        <w:fldChar w:fldCharType="begin"/>
      </w:r>
      <w:r w:rsidR="000A2FE7" w:rsidRPr="00EA1BB2">
        <w:rPr>
          <w:rFonts w:ascii="Cambria" w:hAnsi="Cambria"/>
        </w:rPr>
        <w:instrText xml:space="preserve"> SEQ Tabelul_nr. \* ARABIC \s 1 </w:instrText>
      </w:r>
      <w:r w:rsidR="000A2FE7" w:rsidRPr="00EA1BB2">
        <w:rPr>
          <w:rFonts w:ascii="Cambria" w:hAnsi="Cambria"/>
        </w:rPr>
        <w:fldChar w:fldCharType="separate"/>
      </w:r>
      <w:r w:rsidR="00567555">
        <w:rPr>
          <w:rFonts w:ascii="Cambria" w:hAnsi="Cambria"/>
          <w:noProof/>
        </w:rPr>
        <w:t>7</w:t>
      </w:r>
      <w:r w:rsidR="000A2FE7" w:rsidRPr="00EA1BB2">
        <w:rPr>
          <w:rFonts w:ascii="Cambria" w:hAnsi="Cambria"/>
        </w:rPr>
        <w:fldChar w:fldCharType="end"/>
      </w:r>
      <w:r w:rsidRPr="00EA1BB2">
        <w:rPr>
          <w:rFonts w:ascii="Cambria" w:hAnsi="Cambria"/>
        </w:rPr>
        <w:t xml:space="preserve"> – </w:t>
      </w:r>
      <w:r w:rsidR="004A2422" w:rsidRPr="00EA1BB2">
        <w:rPr>
          <w:rFonts w:ascii="Cambria" w:hAnsi="Cambria"/>
        </w:rPr>
        <w:t>Evoluția locuințelor existente la sfârșitul anului</w:t>
      </w:r>
      <w:bookmarkEnd w:id="95"/>
    </w:p>
    <w:tbl>
      <w:tblPr>
        <w:tblStyle w:val="TableGrid"/>
        <w:tblW w:w="0" w:type="auto"/>
        <w:tblLook w:val="04A0" w:firstRow="1" w:lastRow="0" w:firstColumn="1" w:lastColumn="0" w:noHBand="0" w:noVBand="1"/>
      </w:tblPr>
      <w:tblGrid>
        <w:gridCol w:w="872"/>
        <w:gridCol w:w="1817"/>
        <w:gridCol w:w="1063"/>
        <w:gridCol w:w="1063"/>
        <w:gridCol w:w="1063"/>
        <w:gridCol w:w="1063"/>
        <w:gridCol w:w="1063"/>
        <w:gridCol w:w="1063"/>
      </w:tblGrid>
      <w:tr w:rsidR="00867296" w:rsidRPr="00EA1BB2" w14:paraId="71066EE1" w14:textId="77777777" w:rsidTr="00867296">
        <w:trPr>
          <w:trHeight w:val="290"/>
        </w:trPr>
        <w:tc>
          <w:tcPr>
            <w:tcW w:w="872" w:type="dxa"/>
            <w:shd w:val="clear" w:color="auto" w:fill="BDD6EE" w:themeFill="accent1" w:themeFillTint="66"/>
            <w:vAlign w:val="center"/>
          </w:tcPr>
          <w:p w14:paraId="314018DE" w14:textId="77777777" w:rsidR="00867296" w:rsidRPr="00EA1BB2" w:rsidRDefault="00867296" w:rsidP="00867296">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Nr. crt.</w:t>
            </w:r>
          </w:p>
        </w:tc>
        <w:tc>
          <w:tcPr>
            <w:tcW w:w="1817" w:type="dxa"/>
            <w:shd w:val="clear" w:color="auto" w:fill="BDD6EE" w:themeFill="accent1" w:themeFillTint="66"/>
            <w:noWrap/>
            <w:vAlign w:val="center"/>
          </w:tcPr>
          <w:p w14:paraId="0306CEB3" w14:textId="77777777" w:rsidR="00867296" w:rsidRPr="00EA1BB2" w:rsidRDefault="00867296" w:rsidP="00867296">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Mediu</w:t>
            </w:r>
          </w:p>
        </w:tc>
        <w:tc>
          <w:tcPr>
            <w:tcW w:w="1014" w:type="dxa"/>
            <w:shd w:val="clear" w:color="auto" w:fill="BDD6EE" w:themeFill="accent1" w:themeFillTint="66"/>
            <w:noWrap/>
            <w:vAlign w:val="center"/>
          </w:tcPr>
          <w:p w14:paraId="37345888" w14:textId="77777777" w:rsidR="00867296" w:rsidRPr="00EA1BB2" w:rsidRDefault="00867296" w:rsidP="00867296">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2011</w:t>
            </w:r>
          </w:p>
        </w:tc>
        <w:tc>
          <w:tcPr>
            <w:tcW w:w="1014" w:type="dxa"/>
            <w:shd w:val="clear" w:color="auto" w:fill="BDD6EE" w:themeFill="accent1" w:themeFillTint="66"/>
            <w:noWrap/>
            <w:vAlign w:val="center"/>
          </w:tcPr>
          <w:p w14:paraId="6E353964" w14:textId="77777777" w:rsidR="00867296" w:rsidRPr="00EA1BB2" w:rsidRDefault="00867296" w:rsidP="00867296">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2012</w:t>
            </w:r>
          </w:p>
        </w:tc>
        <w:tc>
          <w:tcPr>
            <w:tcW w:w="1014" w:type="dxa"/>
            <w:shd w:val="clear" w:color="auto" w:fill="BDD6EE" w:themeFill="accent1" w:themeFillTint="66"/>
            <w:vAlign w:val="center"/>
          </w:tcPr>
          <w:p w14:paraId="0AE795F6" w14:textId="77777777" w:rsidR="00867296" w:rsidRPr="00EA1BB2" w:rsidRDefault="00867296" w:rsidP="00867296">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2013</w:t>
            </w:r>
          </w:p>
        </w:tc>
        <w:tc>
          <w:tcPr>
            <w:tcW w:w="1014" w:type="dxa"/>
            <w:shd w:val="clear" w:color="auto" w:fill="BDD6EE" w:themeFill="accent1" w:themeFillTint="66"/>
            <w:vAlign w:val="center"/>
          </w:tcPr>
          <w:p w14:paraId="7170AFBE" w14:textId="77777777" w:rsidR="00867296" w:rsidRPr="00EA1BB2" w:rsidRDefault="00867296" w:rsidP="00867296">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2014</w:t>
            </w:r>
          </w:p>
        </w:tc>
        <w:tc>
          <w:tcPr>
            <w:tcW w:w="1014" w:type="dxa"/>
            <w:shd w:val="clear" w:color="auto" w:fill="BDD6EE" w:themeFill="accent1" w:themeFillTint="66"/>
            <w:vAlign w:val="center"/>
          </w:tcPr>
          <w:p w14:paraId="0B1300C4" w14:textId="77777777" w:rsidR="00867296" w:rsidRPr="00EA1BB2" w:rsidRDefault="00867296" w:rsidP="00867296">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2015</w:t>
            </w:r>
          </w:p>
        </w:tc>
        <w:tc>
          <w:tcPr>
            <w:tcW w:w="1014" w:type="dxa"/>
            <w:shd w:val="clear" w:color="auto" w:fill="BDD6EE" w:themeFill="accent1" w:themeFillTint="66"/>
            <w:vAlign w:val="center"/>
          </w:tcPr>
          <w:p w14:paraId="731112AD" w14:textId="77777777" w:rsidR="00867296" w:rsidRPr="00EA1BB2" w:rsidRDefault="00867296" w:rsidP="00867296">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2016</w:t>
            </w:r>
          </w:p>
        </w:tc>
      </w:tr>
      <w:tr w:rsidR="00867296" w:rsidRPr="00EA1BB2" w14:paraId="49451C89" w14:textId="77777777" w:rsidTr="00867296">
        <w:trPr>
          <w:trHeight w:val="290"/>
        </w:trPr>
        <w:tc>
          <w:tcPr>
            <w:tcW w:w="872" w:type="dxa"/>
            <w:vAlign w:val="center"/>
          </w:tcPr>
          <w:p w14:paraId="1ED8ADA5" w14:textId="77777777" w:rsidR="00867296" w:rsidRPr="00EA1BB2" w:rsidRDefault="00867296" w:rsidP="00867296">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w:t>
            </w:r>
          </w:p>
        </w:tc>
        <w:tc>
          <w:tcPr>
            <w:tcW w:w="1817" w:type="dxa"/>
            <w:noWrap/>
            <w:vAlign w:val="center"/>
          </w:tcPr>
          <w:p w14:paraId="798A48D0" w14:textId="77777777" w:rsidR="00867296" w:rsidRPr="00EA1BB2" w:rsidRDefault="00867296" w:rsidP="00867296">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Urban</w:t>
            </w:r>
          </w:p>
        </w:tc>
        <w:tc>
          <w:tcPr>
            <w:tcW w:w="1014" w:type="dxa"/>
            <w:noWrap/>
          </w:tcPr>
          <w:p w14:paraId="49184467" w14:textId="77777777" w:rsidR="00867296" w:rsidRPr="00EA1BB2" w:rsidRDefault="00867296" w:rsidP="00867296">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87.433</w:t>
            </w:r>
          </w:p>
        </w:tc>
        <w:tc>
          <w:tcPr>
            <w:tcW w:w="1014" w:type="dxa"/>
            <w:noWrap/>
          </w:tcPr>
          <w:p w14:paraId="43051289" w14:textId="77777777" w:rsidR="00867296" w:rsidRPr="00EA1BB2" w:rsidRDefault="00867296" w:rsidP="00867296">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87.393</w:t>
            </w:r>
          </w:p>
        </w:tc>
        <w:tc>
          <w:tcPr>
            <w:tcW w:w="1014" w:type="dxa"/>
          </w:tcPr>
          <w:p w14:paraId="34A4F9EC" w14:textId="77777777" w:rsidR="00867296" w:rsidRPr="00EA1BB2" w:rsidRDefault="00867296" w:rsidP="00867296">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87.381</w:t>
            </w:r>
          </w:p>
        </w:tc>
        <w:tc>
          <w:tcPr>
            <w:tcW w:w="1014" w:type="dxa"/>
          </w:tcPr>
          <w:p w14:paraId="381498A5" w14:textId="77777777" w:rsidR="00867296" w:rsidRPr="00EA1BB2" w:rsidRDefault="00867296" w:rsidP="00867296">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87.500</w:t>
            </w:r>
          </w:p>
        </w:tc>
        <w:tc>
          <w:tcPr>
            <w:tcW w:w="1014" w:type="dxa"/>
          </w:tcPr>
          <w:p w14:paraId="0930B77B" w14:textId="77777777" w:rsidR="00867296" w:rsidRPr="00EA1BB2" w:rsidRDefault="00867296" w:rsidP="00867296">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87.539</w:t>
            </w:r>
          </w:p>
        </w:tc>
        <w:tc>
          <w:tcPr>
            <w:tcW w:w="1014" w:type="dxa"/>
          </w:tcPr>
          <w:p w14:paraId="2CFB8C60" w14:textId="77777777" w:rsidR="00867296" w:rsidRPr="00EA1BB2" w:rsidRDefault="00867296" w:rsidP="00867296">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87.578</w:t>
            </w:r>
          </w:p>
        </w:tc>
      </w:tr>
      <w:tr w:rsidR="00867296" w:rsidRPr="00EA1BB2" w14:paraId="786ECA46" w14:textId="77777777" w:rsidTr="00867296">
        <w:trPr>
          <w:trHeight w:val="290"/>
        </w:trPr>
        <w:tc>
          <w:tcPr>
            <w:tcW w:w="872" w:type="dxa"/>
            <w:vAlign w:val="center"/>
          </w:tcPr>
          <w:p w14:paraId="7B648F8E" w14:textId="77777777" w:rsidR="00867296" w:rsidRPr="00EA1BB2" w:rsidRDefault="00867296" w:rsidP="00867296">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2</w:t>
            </w:r>
          </w:p>
        </w:tc>
        <w:tc>
          <w:tcPr>
            <w:tcW w:w="1817" w:type="dxa"/>
            <w:noWrap/>
            <w:vAlign w:val="center"/>
          </w:tcPr>
          <w:p w14:paraId="5BE427FB" w14:textId="77777777" w:rsidR="00867296" w:rsidRPr="00EA1BB2" w:rsidRDefault="00867296" w:rsidP="00867296">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Rural</w:t>
            </w:r>
          </w:p>
        </w:tc>
        <w:tc>
          <w:tcPr>
            <w:tcW w:w="1014" w:type="dxa"/>
            <w:noWrap/>
          </w:tcPr>
          <w:p w14:paraId="5ADEA984" w14:textId="77777777" w:rsidR="00867296" w:rsidRPr="00EA1BB2" w:rsidRDefault="00867296" w:rsidP="00867296">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49.755</w:t>
            </w:r>
          </w:p>
        </w:tc>
        <w:tc>
          <w:tcPr>
            <w:tcW w:w="1014" w:type="dxa"/>
            <w:noWrap/>
          </w:tcPr>
          <w:p w14:paraId="2B1A04EC" w14:textId="77777777" w:rsidR="00867296" w:rsidRPr="00EA1BB2" w:rsidRDefault="00867296" w:rsidP="00867296">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49.918</w:t>
            </w:r>
          </w:p>
        </w:tc>
        <w:tc>
          <w:tcPr>
            <w:tcW w:w="1014" w:type="dxa"/>
          </w:tcPr>
          <w:p w14:paraId="203B8EA7" w14:textId="77777777" w:rsidR="00867296" w:rsidRPr="00EA1BB2" w:rsidRDefault="00867296" w:rsidP="00867296">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50.093</w:t>
            </w:r>
          </w:p>
        </w:tc>
        <w:tc>
          <w:tcPr>
            <w:tcW w:w="1014" w:type="dxa"/>
          </w:tcPr>
          <w:p w14:paraId="27DC69FF" w14:textId="77777777" w:rsidR="00867296" w:rsidRPr="00EA1BB2" w:rsidRDefault="00867296" w:rsidP="00867296">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50.198</w:t>
            </w:r>
          </w:p>
        </w:tc>
        <w:tc>
          <w:tcPr>
            <w:tcW w:w="1014" w:type="dxa"/>
          </w:tcPr>
          <w:p w14:paraId="4DDB207F" w14:textId="77777777" w:rsidR="00867296" w:rsidRPr="00EA1BB2" w:rsidRDefault="00867296" w:rsidP="00867296">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50.344</w:t>
            </w:r>
          </w:p>
        </w:tc>
        <w:tc>
          <w:tcPr>
            <w:tcW w:w="1014" w:type="dxa"/>
          </w:tcPr>
          <w:p w14:paraId="6A7A7F33" w14:textId="77777777" w:rsidR="00867296" w:rsidRPr="00EA1BB2" w:rsidRDefault="00867296" w:rsidP="00867296">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50.494</w:t>
            </w:r>
          </w:p>
        </w:tc>
      </w:tr>
      <w:tr w:rsidR="00867296" w:rsidRPr="00EA1BB2" w14:paraId="1B1390F7" w14:textId="77777777" w:rsidTr="00867296">
        <w:trPr>
          <w:trHeight w:val="290"/>
        </w:trPr>
        <w:tc>
          <w:tcPr>
            <w:tcW w:w="872" w:type="dxa"/>
            <w:vAlign w:val="center"/>
          </w:tcPr>
          <w:p w14:paraId="4D52DE35" w14:textId="77777777" w:rsidR="00867296" w:rsidRPr="00EA1BB2" w:rsidRDefault="00867296" w:rsidP="00867296">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3</w:t>
            </w:r>
          </w:p>
        </w:tc>
        <w:tc>
          <w:tcPr>
            <w:tcW w:w="1817" w:type="dxa"/>
            <w:noWrap/>
            <w:vAlign w:val="center"/>
          </w:tcPr>
          <w:p w14:paraId="7F237DFA" w14:textId="77777777" w:rsidR="00867296" w:rsidRPr="00EA1BB2" w:rsidRDefault="00867296" w:rsidP="00867296">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Total</w:t>
            </w:r>
          </w:p>
        </w:tc>
        <w:tc>
          <w:tcPr>
            <w:tcW w:w="1014" w:type="dxa"/>
            <w:noWrap/>
          </w:tcPr>
          <w:p w14:paraId="0FA4E126" w14:textId="77777777" w:rsidR="00867296" w:rsidRPr="00EA1BB2" w:rsidRDefault="00867296" w:rsidP="00867296">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137.188</w:t>
            </w:r>
          </w:p>
        </w:tc>
        <w:tc>
          <w:tcPr>
            <w:tcW w:w="1014" w:type="dxa"/>
            <w:noWrap/>
          </w:tcPr>
          <w:p w14:paraId="435E3610" w14:textId="77777777" w:rsidR="00867296" w:rsidRPr="00EA1BB2" w:rsidRDefault="00867296" w:rsidP="00867296">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137.311</w:t>
            </w:r>
          </w:p>
        </w:tc>
        <w:tc>
          <w:tcPr>
            <w:tcW w:w="1014" w:type="dxa"/>
          </w:tcPr>
          <w:p w14:paraId="104CD3B0" w14:textId="77777777" w:rsidR="00867296" w:rsidRPr="00EA1BB2" w:rsidRDefault="00867296" w:rsidP="00867296">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137.474</w:t>
            </w:r>
          </w:p>
        </w:tc>
        <w:tc>
          <w:tcPr>
            <w:tcW w:w="1014" w:type="dxa"/>
          </w:tcPr>
          <w:p w14:paraId="6E61D28A" w14:textId="77777777" w:rsidR="00867296" w:rsidRPr="00EA1BB2" w:rsidRDefault="00867296" w:rsidP="00867296">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137.698</w:t>
            </w:r>
          </w:p>
        </w:tc>
        <w:tc>
          <w:tcPr>
            <w:tcW w:w="1014" w:type="dxa"/>
          </w:tcPr>
          <w:p w14:paraId="39D6DC8A" w14:textId="77777777" w:rsidR="00867296" w:rsidRPr="00EA1BB2" w:rsidRDefault="00867296" w:rsidP="00867296">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137.883</w:t>
            </w:r>
          </w:p>
        </w:tc>
        <w:tc>
          <w:tcPr>
            <w:tcW w:w="1014" w:type="dxa"/>
          </w:tcPr>
          <w:p w14:paraId="02D75CE6" w14:textId="77777777" w:rsidR="00867296" w:rsidRPr="00EA1BB2" w:rsidRDefault="00867296" w:rsidP="00867296">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138.072</w:t>
            </w:r>
          </w:p>
        </w:tc>
      </w:tr>
    </w:tbl>
    <w:p w14:paraId="58AD0A0E" w14:textId="77777777" w:rsidR="00ED596B" w:rsidRPr="00EA1BB2" w:rsidRDefault="000F6436" w:rsidP="005B216D">
      <w:pPr>
        <w:spacing w:line="276" w:lineRule="auto"/>
        <w:jc w:val="both"/>
        <w:rPr>
          <w:rFonts w:ascii="Cambria" w:eastAsia="Times New Roman" w:hAnsi="Cambria" w:cs="Times New Roman"/>
          <w:szCs w:val="24"/>
        </w:rPr>
      </w:pPr>
      <w:r w:rsidRPr="00EA1BB2">
        <w:rPr>
          <w:rFonts w:ascii="Cambria" w:eastAsia="Times New Roman" w:hAnsi="Cambria" w:cs="Times New Roman"/>
          <w:szCs w:val="24"/>
        </w:rPr>
        <w:t xml:space="preserve">Sursa date: </w:t>
      </w:r>
      <w:hyperlink r:id="rId56" w:history="1">
        <w:r w:rsidR="00042796" w:rsidRPr="00EA1BB2">
          <w:rPr>
            <w:rStyle w:val="Hyperlink"/>
            <w:rFonts w:ascii="Cambria" w:eastAsia="Times New Roman" w:hAnsi="Cambria" w:cs="Times New Roman"/>
            <w:szCs w:val="24"/>
          </w:rPr>
          <w:t>http://statistici.insse.ro</w:t>
        </w:r>
      </w:hyperlink>
    </w:p>
    <w:p w14:paraId="0167A005" w14:textId="77777777" w:rsidR="00042796" w:rsidRPr="00EA1BB2" w:rsidRDefault="00042796" w:rsidP="00196B49">
      <w:pPr>
        <w:spacing w:line="360" w:lineRule="auto"/>
        <w:jc w:val="both"/>
        <w:rPr>
          <w:rFonts w:ascii="Cambria" w:eastAsia="Times New Roman" w:hAnsi="Cambria" w:cs="Times New Roman"/>
          <w:sz w:val="24"/>
          <w:szCs w:val="24"/>
        </w:rPr>
      </w:pPr>
    </w:p>
    <w:p w14:paraId="7F7286A0" w14:textId="77777777" w:rsidR="00ED596B" w:rsidRPr="00EA1BB2" w:rsidRDefault="00D63B86" w:rsidP="00E859EF">
      <w:pPr>
        <w:pStyle w:val="ListParagraph"/>
        <w:keepNext/>
        <w:keepLines/>
        <w:numPr>
          <w:ilvl w:val="2"/>
          <w:numId w:val="1"/>
        </w:numPr>
        <w:spacing w:after="0" w:line="360" w:lineRule="auto"/>
        <w:ind w:left="709" w:firstLine="0"/>
        <w:jc w:val="both"/>
        <w:outlineLvl w:val="2"/>
        <w:rPr>
          <w:rFonts w:ascii="Cambria" w:eastAsia="Times New Roman" w:hAnsi="Cambria" w:cs="Times New Roman"/>
          <w:b/>
          <w:color w:val="0070C0"/>
          <w:sz w:val="24"/>
          <w:szCs w:val="24"/>
          <w:lang w:val="ro-RO"/>
        </w:rPr>
      </w:pPr>
      <w:bookmarkStart w:id="96" w:name="_Toc452983806"/>
      <w:bookmarkStart w:id="97" w:name="_Toc465648573"/>
      <w:bookmarkStart w:id="98" w:name="_Toc526889713"/>
      <w:r w:rsidRPr="00EA1BB2">
        <w:rPr>
          <w:rFonts w:ascii="Cambria" w:eastAsia="Times New Roman" w:hAnsi="Cambria" w:cs="Times New Roman"/>
          <w:b/>
          <w:color w:val="0070C0"/>
          <w:sz w:val="24"/>
          <w:szCs w:val="24"/>
          <w:lang w:val="ro-RO"/>
        </w:rPr>
        <w:t>Sector a</w:t>
      </w:r>
      <w:r w:rsidR="00ED596B" w:rsidRPr="00EA1BB2">
        <w:rPr>
          <w:rFonts w:ascii="Cambria" w:eastAsia="Times New Roman" w:hAnsi="Cambria" w:cs="Times New Roman"/>
          <w:b/>
          <w:color w:val="0070C0"/>
          <w:sz w:val="24"/>
          <w:szCs w:val="24"/>
          <w:lang w:val="ro-RO"/>
        </w:rPr>
        <w:t>gricultur</w:t>
      </w:r>
      <w:bookmarkEnd w:id="96"/>
      <w:bookmarkEnd w:id="97"/>
      <w:r w:rsidRPr="00EA1BB2">
        <w:rPr>
          <w:rFonts w:ascii="Cambria" w:eastAsia="Times New Roman" w:hAnsi="Cambria" w:cs="Times New Roman"/>
          <w:b/>
          <w:color w:val="0070C0"/>
          <w:sz w:val="24"/>
          <w:szCs w:val="24"/>
          <w:lang w:val="ro-RO"/>
        </w:rPr>
        <w:t>ă</w:t>
      </w:r>
      <w:bookmarkEnd w:id="98"/>
    </w:p>
    <w:p w14:paraId="67A3ABC6" w14:textId="77777777" w:rsidR="00083475" w:rsidRPr="00EA1BB2" w:rsidRDefault="00ED596B" w:rsidP="00083475">
      <w:pPr>
        <w:spacing w:line="360" w:lineRule="auto"/>
        <w:ind w:firstLine="708"/>
        <w:jc w:val="both"/>
        <w:rPr>
          <w:rFonts w:ascii="Cambria" w:eastAsia="Times New Roman" w:hAnsi="Cambria" w:cs="Times New Roman"/>
          <w:sz w:val="24"/>
          <w:szCs w:val="24"/>
        </w:rPr>
      </w:pPr>
      <w:r w:rsidRPr="00EA1BB2">
        <w:rPr>
          <w:rFonts w:ascii="Cambria" w:eastAsia="Times New Roman" w:hAnsi="Cambria" w:cs="Times New Roman"/>
          <w:sz w:val="24"/>
          <w:szCs w:val="24"/>
        </w:rPr>
        <w:t>Jude</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ul Brăila are o structură a fondului funciar favorabilă dezvoltării sectorului agricol, datorită ponderii ridicate a terenurilor agricole, care la sfâr</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itul anului 201</w:t>
      </w:r>
      <w:r w:rsidR="008161C1" w:rsidRPr="00EA1BB2">
        <w:rPr>
          <w:rFonts w:ascii="Cambria" w:eastAsia="Times New Roman" w:hAnsi="Cambria" w:cs="Times New Roman"/>
          <w:sz w:val="24"/>
          <w:szCs w:val="24"/>
        </w:rPr>
        <w:t xml:space="preserve">4 </w:t>
      </w:r>
      <w:r w:rsidRPr="00EA1BB2">
        <w:rPr>
          <w:rFonts w:ascii="Cambria" w:eastAsia="Times New Roman" w:hAnsi="Cambria" w:cs="Times New Roman"/>
          <w:sz w:val="24"/>
          <w:szCs w:val="24"/>
        </w:rPr>
        <w:t xml:space="preserve">însumau </w:t>
      </w:r>
      <w:r w:rsidR="008161C1" w:rsidRPr="00EA1BB2">
        <w:rPr>
          <w:rFonts w:ascii="Cambria" w:eastAsia="Times New Roman" w:hAnsi="Cambria" w:cs="Times New Roman"/>
          <w:sz w:val="24"/>
          <w:szCs w:val="24"/>
        </w:rPr>
        <w:t xml:space="preserve">81,58 </w:t>
      </w:r>
      <w:r w:rsidRPr="00EA1BB2">
        <w:rPr>
          <w:rFonts w:ascii="Cambria" w:eastAsia="Times New Roman" w:hAnsi="Cambria" w:cs="Times New Roman"/>
          <w:sz w:val="24"/>
          <w:szCs w:val="24"/>
        </w:rPr>
        <w:t>% din suprafa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a totală a jude</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ului</w:t>
      </w:r>
      <w:r w:rsidR="008161C1" w:rsidRPr="00EA1BB2">
        <w:rPr>
          <w:rFonts w:ascii="Cambria" w:eastAsia="Times New Roman" w:hAnsi="Cambria" w:cs="Times New Roman"/>
          <w:sz w:val="24"/>
          <w:szCs w:val="24"/>
        </w:rPr>
        <w:t xml:space="preserve"> față de anul 2013 când reprezentau doar 81,36%</w:t>
      </w:r>
      <w:r w:rsidRPr="00EA1BB2">
        <w:rPr>
          <w:rFonts w:ascii="Cambria" w:eastAsia="Times New Roman" w:hAnsi="Cambria" w:cs="Times New Roman"/>
          <w:sz w:val="24"/>
          <w:szCs w:val="24"/>
        </w:rPr>
        <w:t>.</w:t>
      </w:r>
      <w:r w:rsidR="00083475" w:rsidRPr="00EA1BB2">
        <w:rPr>
          <w:rFonts w:ascii="Cambria" w:eastAsia="Times New Roman" w:hAnsi="Cambria" w:cs="Times New Roman"/>
          <w:sz w:val="24"/>
          <w:szCs w:val="24"/>
        </w:rPr>
        <w:t xml:space="preserve"> Modelul structural al fondului funciar agricol oferă posibilități semnificative de dezvoltare a economiei rurale, prin practicarea unei agriculturi diversificate, cu largi posibilități de îmbinare a ramurilor și de dezvoltare a unei agriculturi complexe.</w:t>
      </w:r>
    </w:p>
    <w:p w14:paraId="0D01B5DB" w14:textId="77777777" w:rsidR="00EE7599" w:rsidRPr="00EA1BB2" w:rsidRDefault="00ED596B" w:rsidP="00ED596B">
      <w:pPr>
        <w:spacing w:line="360" w:lineRule="auto"/>
        <w:jc w:val="both"/>
        <w:rPr>
          <w:rFonts w:ascii="Cambria" w:eastAsia="Times New Roman" w:hAnsi="Cambria" w:cs="Times New Roman"/>
          <w:sz w:val="24"/>
          <w:szCs w:val="24"/>
        </w:rPr>
      </w:pPr>
      <w:r w:rsidRPr="00EA1BB2">
        <w:rPr>
          <w:rFonts w:ascii="Cambria" w:eastAsia="Times New Roman" w:hAnsi="Cambria" w:cs="Times New Roman"/>
          <w:sz w:val="24"/>
          <w:szCs w:val="24"/>
        </w:rPr>
        <w:lastRenderedPageBreak/>
        <w:tab/>
      </w:r>
      <w:r w:rsidR="008161C1" w:rsidRPr="00EA1BB2">
        <w:rPr>
          <w:rFonts w:ascii="Cambria" w:eastAsia="Times New Roman" w:hAnsi="Cambria" w:cs="Times New Roman"/>
          <w:sz w:val="24"/>
          <w:szCs w:val="24"/>
        </w:rPr>
        <w:t>Structura terenurilor agricole din județul Brăila în anul 2014, cel mai recent an pentru care sunt disponibile date pe INS TEMPO-Online, este prezentată în tabelul de mai jos.</w:t>
      </w:r>
    </w:p>
    <w:p w14:paraId="15AA4DC1" w14:textId="54C242E8" w:rsidR="00ED596B" w:rsidRPr="00EA1BB2" w:rsidRDefault="00ED596B" w:rsidP="00ED596B">
      <w:pPr>
        <w:keepNext/>
        <w:spacing w:line="360" w:lineRule="auto"/>
        <w:ind w:firstLine="708"/>
        <w:jc w:val="both"/>
        <w:rPr>
          <w:rFonts w:ascii="Cambria" w:hAnsi="Cambria"/>
          <w:iCs/>
          <w:sz w:val="24"/>
          <w:szCs w:val="24"/>
        </w:rPr>
      </w:pPr>
      <w:bookmarkStart w:id="99" w:name="_Toc466895957"/>
      <w:bookmarkStart w:id="100" w:name="_Toc526889777"/>
      <w:r w:rsidRPr="00EA1BB2">
        <w:rPr>
          <w:rFonts w:ascii="Cambria" w:hAnsi="Cambria"/>
          <w:b/>
          <w:iCs/>
          <w:sz w:val="24"/>
          <w:szCs w:val="24"/>
        </w:rPr>
        <w:t xml:space="preserve">Tabelul nr. </w:t>
      </w:r>
      <w:r w:rsidR="000A2FE7" w:rsidRPr="00EA1BB2">
        <w:rPr>
          <w:rFonts w:ascii="Cambria" w:hAnsi="Cambria"/>
          <w:b/>
          <w:iCs/>
          <w:sz w:val="24"/>
          <w:szCs w:val="24"/>
        </w:rPr>
        <w:fldChar w:fldCharType="begin"/>
      </w:r>
      <w:r w:rsidR="000A2FE7" w:rsidRPr="00EA1BB2">
        <w:rPr>
          <w:rFonts w:ascii="Cambria" w:hAnsi="Cambria"/>
          <w:b/>
          <w:iCs/>
          <w:sz w:val="24"/>
          <w:szCs w:val="24"/>
        </w:rPr>
        <w:instrText xml:space="preserve"> STYLEREF 1 \s </w:instrText>
      </w:r>
      <w:r w:rsidR="000A2FE7" w:rsidRPr="00EA1BB2">
        <w:rPr>
          <w:rFonts w:ascii="Cambria" w:hAnsi="Cambria"/>
          <w:b/>
          <w:iCs/>
          <w:sz w:val="24"/>
          <w:szCs w:val="24"/>
        </w:rPr>
        <w:fldChar w:fldCharType="separate"/>
      </w:r>
      <w:r w:rsidR="00567555">
        <w:rPr>
          <w:rFonts w:ascii="Cambria" w:hAnsi="Cambria"/>
          <w:b/>
          <w:iCs/>
          <w:noProof/>
          <w:sz w:val="24"/>
          <w:szCs w:val="24"/>
        </w:rPr>
        <w:t>3</w:t>
      </w:r>
      <w:r w:rsidR="000A2FE7" w:rsidRPr="00EA1BB2">
        <w:rPr>
          <w:rFonts w:ascii="Cambria" w:hAnsi="Cambria"/>
          <w:b/>
          <w:iCs/>
          <w:sz w:val="24"/>
          <w:szCs w:val="24"/>
        </w:rPr>
        <w:fldChar w:fldCharType="end"/>
      </w:r>
      <w:r w:rsidR="000A2FE7" w:rsidRPr="00EA1BB2">
        <w:rPr>
          <w:rFonts w:ascii="Cambria" w:hAnsi="Cambria"/>
          <w:b/>
          <w:iCs/>
          <w:sz w:val="24"/>
          <w:szCs w:val="24"/>
        </w:rPr>
        <w:noBreakHyphen/>
      </w:r>
      <w:r w:rsidR="000A2FE7" w:rsidRPr="00EA1BB2">
        <w:rPr>
          <w:rFonts w:ascii="Cambria" w:hAnsi="Cambria"/>
          <w:b/>
          <w:iCs/>
          <w:sz w:val="24"/>
          <w:szCs w:val="24"/>
        </w:rPr>
        <w:fldChar w:fldCharType="begin"/>
      </w:r>
      <w:r w:rsidR="000A2FE7" w:rsidRPr="00EA1BB2">
        <w:rPr>
          <w:rFonts w:ascii="Cambria" w:hAnsi="Cambria"/>
          <w:b/>
          <w:iCs/>
          <w:sz w:val="24"/>
          <w:szCs w:val="24"/>
        </w:rPr>
        <w:instrText xml:space="preserve"> SEQ Tabelul_nr. \* ARABIC \s 1 </w:instrText>
      </w:r>
      <w:r w:rsidR="000A2FE7" w:rsidRPr="00EA1BB2">
        <w:rPr>
          <w:rFonts w:ascii="Cambria" w:hAnsi="Cambria"/>
          <w:b/>
          <w:iCs/>
          <w:sz w:val="24"/>
          <w:szCs w:val="24"/>
        </w:rPr>
        <w:fldChar w:fldCharType="separate"/>
      </w:r>
      <w:r w:rsidR="00567555">
        <w:rPr>
          <w:rFonts w:ascii="Cambria" w:hAnsi="Cambria"/>
          <w:b/>
          <w:iCs/>
          <w:noProof/>
          <w:sz w:val="24"/>
          <w:szCs w:val="24"/>
        </w:rPr>
        <w:t>8</w:t>
      </w:r>
      <w:r w:rsidR="000A2FE7" w:rsidRPr="00EA1BB2">
        <w:rPr>
          <w:rFonts w:ascii="Cambria" w:hAnsi="Cambria"/>
          <w:b/>
          <w:iCs/>
          <w:sz w:val="24"/>
          <w:szCs w:val="24"/>
        </w:rPr>
        <w:fldChar w:fldCharType="end"/>
      </w:r>
      <w:r w:rsidRPr="00EA1BB2">
        <w:rPr>
          <w:rFonts w:ascii="Cambria" w:hAnsi="Cambria"/>
          <w:b/>
          <w:iCs/>
          <w:noProof/>
          <w:sz w:val="24"/>
          <w:szCs w:val="24"/>
        </w:rPr>
        <w:t xml:space="preserve"> - </w:t>
      </w:r>
      <w:r w:rsidRPr="00EA1BB2">
        <w:rPr>
          <w:rFonts w:ascii="Cambria" w:eastAsia="SimSun" w:hAnsi="Cambria" w:cs="Times New Roman"/>
          <w:b/>
          <w:iCs/>
          <w:sz w:val="24"/>
          <w:szCs w:val="24"/>
        </w:rPr>
        <w:t>Structura terenurilor agricole din jude</w:t>
      </w:r>
      <w:r w:rsidR="00054880" w:rsidRPr="00EA1BB2">
        <w:rPr>
          <w:rFonts w:ascii="Cambria" w:eastAsia="SimSun" w:hAnsi="Cambria" w:cs="Times New Roman"/>
          <w:b/>
          <w:iCs/>
          <w:sz w:val="24"/>
          <w:szCs w:val="24"/>
        </w:rPr>
        <w:t>ț</w:t>
      </w:r>
      <w:r w:rsidRPr="00EA1BB2">
        <w:rPr>
          <w:rFonts w:ascii="Cambria" w:eastAsia="SimSun" w:hAnsi="Cambria" w:cs="Times New Roman"/>
          <w:b/>
          <w:iCs/>
          <w:sz w:val="24"/>
          <w:szCs w:val="24"/>
        </w:rPr>
        <w:t>ul Brăila în anul 201</w:t>
      </w:r>
      <w:bookmarkEnd w:id="99"/>
      <w:r w:rsidR="00DF5CE0" w:rsidRPr="00EA1BB2">
        <w:rPr>
          <w:rFonts w:ascii="Cambria" w:eastAsia="SimSun" w:hAnsi="Cambria" w:cs="Times New Roman"/>
          <w:b/>
          <w:iCs/>
          <w:sz w:val="24"/>
          <w:szCs w:val="24"/>
        </w:rPr>
        <w:t>4</w:t>
      </w:r>
      <w:bookmarkEnd w:id="100"/>
    </w:p>
    <w:tbl>
      <w:tblPr>
        <w:tblStyle w:val="TableGrid40"/>
        <w:tblW w:w="5000" w:type="pct"/>
        <w:jc w:val="center"/>
        <w:tblLook w:val="04A0" w:firstRow="1" w:lastRow="0" w:firstColumn="1" w:lastColumn="0" w:noHBand="0" w:noVBand="1"/>
      </w:tblPr>
      <w:tblGrid>
        <w:gridCol w:w="857"/>
        <w:gridCol w:w="2936"/>
        <w:gridCol w:w="1898"/>
        <w:gridCol w:w="1751"/>
        <w:gridCol w:w="1844"/>
      </w:tblGrid>
      <w:tr w:rsidR="00974557" w:rsidRPr="00EA1BB2" w14:paraId="55534639" w14:textId="77777777" w:rsidTr="00E21918">
        <w:trPr>
          <w:trHeight w:val="854"/>
          <w:jc w:val="center"/>
        </w:trPr>
        <w:tc>
          <w:tcPr>
            <w:tcW w:w="461" w:type="pct"/>
            <w:shd w:val="clear" w:color="auto" w:fill="BDD6EE" w:themeFill="accent1" w:themeFillTint="66"/>
            <w:vAlign w:val="center"/>
          </w:tcPr>
          <w:p w14:paraId="4175AB9F" w14:textId="77777777" w:rsidR="00974557" w:rsidRPr="00EA1BB2" w:rsidRDefault="00974557" w:rsidP="00A25848">
            <w:pPr>
              <w:tabs>
                <w:tab w:val="left" w:pos="2160"/>
                <w:tab w:val="left" w:leader="dot" w:pos="8640"/>
              </w:tabs>
              <w:spacing w:line="360" w:lineRule="auto"/>
              <w:ind w:right="-38"/>
              <w:jc w:val="center"/>
              <w:rPr>
                <w:rFonts w:ascii="Cambria" w:eastAsia="SimSun" w:hAnsi="Cambria" w:cs="Times New Roman"/>
                <w:b/>
                <w:sz w:val="24"/>
                <w:szCs w:val="24"/>
                <w:lang w:val="ro-RO"/>
              </w:rPr>
            </w:pPr>
            <w:r w:rsidRPr="00EA1BB2">
              <w:rPr>
                <w:rFonts w:ascii="Cambria" w:eastAsia="SimSun" w:hAnsi="Cambria" w:cs="Times New Roman"/>
                <w:b/>
                <w:sz w:val="24"/>
                <w:szCs w:val="24"/>
                <w:lang w:val="ro-RO"/>
              </w:rPr>
              <w:t>Nr. crt.</w:t>
            </w:r>
          </w:p>
        </w:tc>
        <w:tc>
          <w:tcPr>
            <w:tcW w:w="1581" w:type="pct"/>
            <w:shd w:val="clear" w:color="auto" w:fill="BDD6EE" w:themeFill="accent1" w:themeFillTint="66"/>
            <w:vAlign w:val="center"/>
          </w:tcPr>
          <w:p w14:paraId="5A45C9AD" w14:textId="77777777" w:rsidR="00974557" w:rsidRPr="00EA1BB2" w:rsidRDefault="00974557" w:rsidP="00A25848">
            <w:pPr>
              <w:tabs>
                <w:tab w:val="left" w:pos="2160"/>
                <w:tab w:val="left" w:leader="dot" w:pos="8640"/>
              </w:tabs>
              <w:spacing w:line="360" w:lineRule="auto"/>
              <w:ind w:right="-38"/>
              <w:jc w:val="center"/>
              <w:rPr>
                <w:rFonts w:ascii="Cambria" w:eastAsia="SimSun" w:hAnsi="Cambria" w:cs="Times New Roman"/>
                <w:b/>
                <w:sz w:val="24"/>
                <w:szCs w:val="24"/>
                <w:lang w:val="ro-RO"/>
              </w:rPr>
            </w:pPr>
            <w:r w:rsidRPr="00EA1BB2">
              <w:rPr>
                <w:rFonts w:ascii="Cambria" w:eastAsia="SimSun" w:hAnsi="Cambria" w:cs="Times New Roman"/>
                <w:b/>
                <w:sz w:val="24"/>
                <w:szCs w:val="24"/>
                <w:lang w:val="ro-RO"/>
              </w:rPr>
              <w:t>Tipuri de folosință</w:t>
            </w:r>
          </w:p>
        </w:tc>
        <w:tc>
          <w:tcPr>
            <w:tcW w:w="1022" w:type="pct"/>
            <w:shd w:val="clear" w:color="auto" w:fill="BDD6EE" w:themeFill="accent1" w:themeFillTint="66"/>
            <w:vAlign w:val="center"/>
          </w:tcPr>
          <w:p w14:paraId="4256E6A9" w14:textId="77777777" w:rsidR="00974557" w:rsidRPr="00EA1BB2" w:rsidRDefault="00974557" w:rsidP="00A25848">
            <w:pPr>
              <w:tabs>
                <w:tab w:val="left" w:pos="2160"/>
                <w:tab w:val="left" w:leader="dot" w:pos="8640"/>
              </w:tabs>
              <w:spacing w:line="360" w:lineRule="auto"/>
              <w:ind w:right="-38"/>
              <w:jc w:val="center"/>
              <w:rPr>
                <w:rFonts w:ascii="Cambria" w:eastAsia="SimSun" w:hAnsi="Cambria" w:cs="Times New Roman"/>
                <w:b/>
                <w:sz w:val="24"/>
                <w:szCs w:val="24"/>
                <w:lang w:val="ro-RO"/>
              </w:rPr>
            </w:pPr>
            <w:r w:rsidRPr="00EA1BB2">
              <w:rPr>
                <w:rFonts w:ascii="Cambria" w:eastAsia="SimSun" w:hAnsi="Cambria" w:cs="Times New Roman"/>
                <w:b/>
                <w:sz w:val="24"/>
                <w:szCs w:val="24"/>
                <w:lang w:val="ro-RO"/>
              </w:rPr>
              <w:t>Suprafața</w:t>
            </w:r>
          </w:p>
          <w:p w14:paraId="1ADBC20E" w14:textId="77777777" w:rsidR="00974557" w:rsidRPr="00EA1BB2" w:rsidRDefault="00974557" w:rsidP="00A25848">
            <w:pPr>
              <w:tabs>
                <w:tab w:val="left" w:pos="2160"/>
                <w:tab w:val="left" w:leader="dot" w:pos="8640"/>
              </w:tabs>
              <w:spacing w:line="360" w:lineRule="auto"/>
              <w:ind w:right="-38"/>
              <w:jc w:val="center"/>
              <w:rPr>
                <w:rFonts w:ascii="Cambria" w:eastAsia="SimSun" w:hAnsi="Cambria" w:cs="Times New Roman"/>
                <w:b/>
                <w:sz w:val="24"/>
                <w:szCs w:val="24"/>
                <w:lang w:val="ro-RO"/>
              </w:rPr>
            </w:pPr>
            <w:r w:rsidRPr="00EA1BB2">
              <w:rPr>
                <w:rFonts w:ascii="Cambria" w:eastAsia="SimSun" w:hAnsi="Cambria" w:cs="Times New Roman"/>
                <w:b/>
                <w:sz w:val="24"/>
                <w:szCs w:val="24"/>
                <w:lang w:val="ro-RO"/>
              </w:rPr>
              <w:t>(ha)</w:t>
            </w:r>
          </w:p>
        </w:tc>
        <w:tc>
          <w:tcPr>
            <w:tcW w:w="943" w:type="pct"/>
            <w:tcBorders>
              <w:bottom w:val="single" w:sz="4" w:space="0" w:color="auto"/>
            </w:tcBorders>
            <w:shd w:val="clear" w:color="auto" w:fill="BDD6EE" w:themeFill="accent1" w:themeFillTint="66"/>
          </w:tcPr>
          <w:p w14:paraId="7BB052B2" w14:textId="77777777" w:rsidR="00974557" w:rsidRPr="00EA1BB2" w:rsidRDefault="00974557" w:rsidP="005B216D">
            <w:pPr>
              <w:tabs>
                <w:tab w:val="left" w:pos="2160"/>
                <w:tab w:val="left" w:leader="dot" w:pos="8640"/>
              </w:tabs>
              <w:spacing w:line="276" w:lineRule="auto"/>
              <w:ind w:right="-38"/>
              <w:jc w:val="center"/>
              <w:rPr>
                <w:rFonts w:ascii="Cambria" w:eastAsia="SimSun" w:hAnsi="Cambria" w:cs="Times New Roman"/>
                <w:b/>
                <w:sz w:val="24"/>
                <w:szCs w:val="24"/>
                <w:lang w:val="ro-RO"/>
              </w:rPr>
            </w:pPr>
            <w:r w:rsidRPr="00EA1BB2">
              <w:rPr>
                <w:rFonts w:ascii="Cambria" w:eastAsia="SimSun" w:hAnsi="Cambria" w:cs="Times New Roman"/>
                <w:b/>
                <w:sz w:val="24"/>
                <w:szCs w:val="24"/>
                <w:lang w:val="ro-RO"/>
              </w:rPr>
              <w:t>Procent din total teren agricol</w:t>
            </w:r>
          </w:p>
        </w:tc>
        <w:tc>
          <w:tcPr>
            <w:tcW w:w="993" w:type="pct"/>
            <w:tcBorders>
              <w:bottom w:val="single" w:sz="4" w:space="0" w:color="auto"/>
            </w:tcBorders>
            <w:shd w:val="clear" w:color="auto" w:fill="BDD6EE" w:themeFill="accent1" w:themeFillTint="66"/>
          </w:tcPr>
          <w:p w14:paraId="36617F09" w14:textId="77777777" w:rsidR="00974557" w:rsidRPr="00EA1BB2" w:rsidRDefault="00974557" w:rsidP="005B216D">
            <w:pPr>
              <w:tabs>
                <w:tab w:val="left" w:pos="2160"/>
                <w:tab w:val="left" w:leader="dot" w:pos="8640"/>
              </w:tabs>
              <w:spacing w:line="276" w:lineRule="auto"/>
              <w:ind w:right="-38"/>
              <w:jc w:val="center"/>
              <w:rPr>
                <w:rFonts w:ascii="Cambria" w:eastAsia="SimSun" w:hAnsi="Cambria" w:cs="Times New Roman"/>
                <w:b/>
                <w:sz w:val="24"/>
                <w:szCs w:val="24"/>
                <w:lang w:val="ro-RO"/>
              </w:rPr>
            </w:pPr>
            <w:r w:rsidRPr="00EA1BB2">
              <w:rPr>
                <w:rFonts w:ascii="Cambria" w:eastAsia="SimSun" w:hAnsi="Cambria" w:cs="Times New Roman"/>
                <w:b/>
                <w:sz w:val="24"/>
                <w:szCs w:val="24"/>
                <w:lang w:val="ro-RO"/>
              </w:rPr>
              <w:t>Procent din total teren județ</w:t>
            </w:r>
          </w:p>
        </w:tc>
      </w:tr>
      <w:tr w:rsidR="00A15217" w:rsidRPr="00EA1BB2" w14:paraId="59966070" w14:textId="77777777" w:rsidTr="00E21918">
        <w:trPr>
          <w:jc w:val="center"/>
        </w:trPr>
        <w:tc>
          <w:tcPr>
            <w:tcW w:w="461" w:type="pct"/>
            <w:vAlign w:val="center"/>
          </w:tcPr>
          <w:p w14:paraId="76B9DD42" w14:textId="77777777" w:rsidR="00A15217" w:rsidRPr="00EA1BB2" w:rsidRDefault="00A15217" w:rsidP="00A15217">
            <w:pPr>
              <w:tabs>
                <w:tab w:val="left" w:pos="2160"/>
                <w:tab w:val="left" w:leader="dot" w:pos="8640"/>
              </w:tabs>
              <w:spacing w:line="360" w:lineRule="auto"/>
              <w:ind w:right="-38"/>
              <w:jc w:val="center"/>
              <w:rPr>
                <w:rFonts w:ascii="Cambria" w:eastAsia="SimSun" w:hAnsi="Cambria" w:cs="Times New Roman"/>
                <w:sz w:val="24"/>
                <w:szCs w:val="24"/>
                <w:lang w:val="ro-RO"/>
              </w:rPr>
            </w:pPr>
            <w:r w:rsidRPr="00EA1BB2">
              <w:rPr>
                <w:rFonts w:ascii="Cambria" w:eastAsia="SimSun" w:hAnsi="Cambria" w:cs="Times New Roman"/>
                <w:sz w:val="24"/>
                <w:szCs w:val="24"/>
                <w:lang w:val="ro-RO"/>
              </w:rPr>
              <w:t>1</w:t>
            </w:r>
          </w:p>
        </w:tc>
        <w:tc>
          <w:tcPr>
            <w:tcW w:w="1581" w:type="pct"/>
            <w:vAlign w:val="center"/>
          </w:tcPr>
          <w:p w14:paraId="536A2409" w14:textId="77777777" w:rsidR="00A15217" w:rsidRPr="00EA1BB2" w:rsidRDefault="00A15217" w:rsidP="00A15217">
            <w:pPr>
              <w:tabs>
                <w:tab w:val="left" w:pos="2160"/>
                <w:tab w:val="left" w:leader="dot" w:pos="8640"/>
              </w:tabs>
              <w:spacing w:line="360" w:lineRule="auto"/>
              <w:ind w:right="-38"/>
              <w:rPr>
                <w:rFonts w:ascii="Cambria" w:eastAsia="SimSun" w:hAnsi="Cambria" w:cs="Times New Roman"/>
                <w:sz w:val="24"/>
                <w:szCs w:val="24"/>
                <w:lang w:val="ro-RO"/>
              </w:rPr>
            </w:pPr>
            <w:r w:rsidRPr="00EA1BB2">
              <w:rPr>
                <w:rFonts w:ascii="Cambria" w:hAnsi="Cambria" w:cs="Times New Roman"/>
                <w:sz w:val="24"/>
                <w:szCs w:val="24"/>
                <w:lang w:val="ro-RO"/>
              </w:rPr>
              <w:t>Teren arabil</w:t>
            </w:r>
          </w:p>
        </w:tc>
        <w:tc>
          <w:tcPr>
            <w:tcW w:w="1022" w:type="pct"/>
          </w:tcPr>
          <w:p w14:paraId="29F55F3D" w14:textId="77777777" w:rsidR="00A15217" w:rsidRPr="00EA1BB2" w:rsidRDefault="00A15217" w:rsidP="00A15217">
            <w:pPr>
              <w:tabs>
                <w:tab w:val="left" w:pos="2160"/>
                <w:tab w:val="left" w:leader="dot" w:pos="8640"/>
              </w:tabs>
              <w:spacing w:line="360" w:lineRule="auto"/>
              <w:ind w:right="-38"/>
              <w:jc w:val="center"/>
              <w:rPr>
                <w:rFonts w:ascii="Cambria" w:eastAsia="SimSun" w:hAnsi="Cambria" w:cs="Times New Roman"/>
                <w:sz w:val="24"/>
                <w:szCs w:val="24"/>
                <w:lang w:val="ro-RO"/>
              </w:rPr>
            </w:pPr>
            <w:r w:rsidRPr="00EA1BB2">
              <w:rPr>
                <w:rFonts w:ascii="Cambria" w:eastAsia="SimSun" w:hAnsi="Cambria" w:cs="Times New Roman"/>
                <w:sz w:val="24"/>
                <w:szCs w:val="24"/>
                <w:lang w:val="ro-RO"/>
              </w:rPr>
              <w:t>351.420</w:t>
            </w:r>
          </w:p>
        </w:tc>
        <w:tc>
          <w:tcPr>
            <w:tcW w:w="943" w:type="pct"/>
            <w:tcBorders>
              <w:top w:val="single" w:sz="4" w:space="0" w:color="auto"/>
              <w:left w:val="nil"/>
              <w:bottom w:val="single" w:sz="4" w:space="0" w:color="auto"/>
              <w:right w:val="single" w:sz="4" w:space="0" w:color="auto"/>
            </w:tcBorders>
            <w:shd w:val="clear" w:color="auto" w:fill="auto"/>
            <w:vAlign w:val="bottom"/>
          </w:tcPr>
          <w:p w14:paraId="45536533" w14:textId="77777777" w:rsidR="00A15217" w:rsidRPr="00EA1BB2" w:rsidRDefault="00A15217" w:rsidP="00A15217">
            <w:pPr>
              <w:tabs>
                <w:tab w:val="left" w:pos="2160"/>
                <w:tab w:val="left" w:leader="dot" w:pos="8640"/>
              </w:tabs>
              <w:spacing w:line="360" w:lineRule="auto"/>
              <w:ind w:right="-38"/>
              <w:jc w:val="center"/>
              <w:rPr>
                <w:rFonts w:ascii="Cambria" w:hAnsi="Cambria"/>
                <w:sz w:val="24"/>
                <w:szCs w:val="24"/>
                <w:lang w:val="ro-RO"/>
              </w:rPr>
            </w:pPr>
            <w:r w:rsidRPr="00EA1BB2">
              <w:rPr>
                <w:rFonts w:ascii="Cambria" w:hAnsi="Cambria" w:cs="Calibri"/>
                <w:color w:val="000000"/>
                <w:sz w:val="24"/>
                <w:lang w:val="ro-RO"/>
              </w:rPr>
              <w:t>90,63%</w:t>
            </w:r>
          </w:p>
        </w:tc>
        <w:tc>
          <w:tcPr>
            <w:tcW w:w="993" w:type="pct"/>
            <w:tcBorders>
              <w:top w:val="single" w:sz="4" w:space="0" w:color="auto"/>
              <w:left w:val="single" w:sz="4" w:space="0" w:color="auto"/>
              <w:bottom w:val="single" w:sz="4" w:space="0" w:color="auto"/>
              <w:right w:val="single" w:sz="4" w:space="0" w:color="auto"/>
            </w:tcBorders>
            <w:shd w:val="clear" w:color="auto" w:fill="auto"/>
            <w:vAlign w:val="bottom"/>
          </w:tcPr>
          <w:p w14:paraId="2B5E3EA7" w14:textId="77777777" w:rsidR="00A15217" w:rsidRPr="00EA1BB2" w:rsidRDefault="00A15217" w:rsidP="00A15217">
            <w:pPr>
              <w:tabs>
                <w:tab w:val="left" w:pos="2160"/>
                <w:tab w:val="left" w:leader="dot" w:pos="8640"/>
              </w:tabs>
              <w:spacing w:line="360" w:lineRule="auto"/>
              <w:ind w:right="-38"/>
              <w:jc w:val="center"/>
              <w:rPr>
                <w:rFonts w:ascii="Cambria" w:hAnsi="Cambria"/>
                <w:sz w:val="24"/>
                <w:szCs w:val="24"/>
                <w:lang w:val="ro-RO"/>
              </w:rPr>
            </w:pPr>
            <w:r w:rsidRPr="00EA1BB2">
              <w:rPr>
                <w:rFonts w:ascii="Cambria" w:hAnsi="Cambria" w:cs="Calibri"/>
                <w:color w:val="000000"/>
                <w:sz w:val="24"/>
                <w:lang w:val="ro-RO"/>
              </w:rPr>
              <w:t>73,74%</w:t>
            </w:r>
          </w:p>
        </w:tc>
      </w:tr>
      <w:tr w:rsidR="00A15217" w:rsidRPr="00EA1BB2" w14:paraId="06C5DE82" w14:textId="77777777" w:rsidTr="00E21918">
        <w:trPr>
          <w:jc w:val="center"/>
        </w:trPr>
        <w:tc>
          <w:tcPr>
            <w:tcW w:w="461" w:type="pct"/>
            <w:vAlign w:val="center"/>
          </w:tcPr>
          <w:p w14:paraId="78FE855F" w14:textId="77777777" w:rsidR="00A15217" w:rsidRPr="00EA1BB2" w:rsidRDefault="00A15217" w:rsidP="00A15217">
            <w:pPr>
              <w:tabs>
                <w:tab w:val="left" w:pos="2160"/>
                <w:tab w:val="left" w:leader="dot" w:pos="8640"/>
              </w:tabs>
              <w:spacing w:line="360" w:lineRule="auto"/>
              <w:ind w:right="-38"/>
              <w:jc w:val="center"/>
              <w:rPr>
                <w:rFonts w:ascii="Cambria" w:eastAsia="SimSun" w:hAnsi="Cambria" w:cs="Times New Roman"/>
                <w:sz w:val="24"/>
                <w:szCs w:val="24"/>
                <w:lang w:val="ro-RO"/>
              </w:rPr>
            </w:pPr>
            <w:r w:rsidRPr="00EA1BB2">
              <w:rPr>
                <w:rFonts w:ascii="Cambria" w:eastAsia="SimSun" w:hAnsi="Cambria" w:cs="Times New Roman"/>
                <w:sz w:val="24"/>
                <w:szCs w:val="24"/>
                <w:lang w:val="ro-RO"/>
              </w:rPr>
              <w:t>2</w:t>
            </w:r>
          </w:p>
        </w:tc>
        <w:tc>
          <w:tcPr>
            <w:tcW w:w="1581" w:type="pct"/>
          </w:tcPr>
          <w:p w14:paraId="574F81CD" w14:textId="77777777" w:rsidR="00A15217" w:rsidRPr="00EA1BB2" w:rsidRDefault="00A15217" w:rsidP="00A15217">
            <w:pPr>
              <w:tabs>
                <w:tab w:val="left" w:pos="2160"/>
                <w:tab w:val="left" w:leader="dot" w:pos="8640"/>
              </w:tabs>
              <w:spacing w:line="360" w:lineRule="auto"/>
              <w:ind w:right="-38"/>
              <w:rPr>
                <w:rFonts w:ascii="Cambria" w:eastAsia="SimSun" w:hAnsi="Cambria" w:cs="Times New Roman"/>
                <w:sz w:val="24"/>
                <w:szCs w:val="24"/>
                <w:lang w:val="ro-RO"/>
              </w:rPr>
            </w:pPr>
            <w:r w:rsidRPr="00EA1BB2">
              <w:rPr>
                <w:rFonts w:ascii="Cambria" w:hAnsi="Cambria" w:cs="Times New Roman"/>
                <w:sz w:val="24"/>
                <w:szCs w:val="24"/>
                <w:lang w:val="ro-RO"/>
              </w:rPr>
              <w:t>Pășuni</w:t>
            </w:r>
          </w:p>
        </w:tc>
        <w:tc>
          <w:tcPr>
            <w:tcW w:w="1022" w:type="pct"/>
          </w:tcPr>
          <w:p w14:paraId="20336BB8" w14:textId="77777777" w:rsidR="00A15217" w:rsidRPr="00EA1BB2" w:rsidRDefault="00A15217" w:rsidP="00A15217">
            <w:pPr>
              <w:tabs>
                <w:tab w:val="left" w:pos="2160"/>
                <w:tab w:val="left" w:leader="dot" w:pos="8640"/>
              </w:tabs>
              <w:spacing w:line="360" w:lineRule="auto"/>
              <w:ind w:right="-38"/>
              <w:jc w:val="center"/>
              <w:rPr>
                <w:rFonts w:ascii="Cambria" w:eastAsia="SimSun" w:hAnsi="Cambria" w:cs="Times New Roman"/>
                <w:sz w:val="24"/>
                <w:szCs w:val="24"/>
                <w:lang w:val="ro-RO"/>
              </w:rPr>
            </w:pPr>
            <w:r w:rsidRPr="00EA1BB2">
              <w:rPr>
                <w:rFonts w:ascii="Cambria" w:eastAsia="SimSun" w:hAnsi="Cambria" w:cs="Times New Roman"/>
                <w:sz w:val="24"/>
                <w:szCs w:val="24"/>
                <w:lang w:val="ro-RO"/>
              </w:rPr>
              <w:t>31</w:t>
            </w:r>
            <w:r w:rsidR="00196B49" w:rsidRPr="00EA1BB2">
              <w:rPr>
                <w:rFonts w:ascii="Cambria" w:eastAsia="SimSun" w:hAnsi="Cambria" w:cs="Times New Roman"/>
                <w:sz w:val="24"/>
                <w:szCs w:val="24"/>
                <w:lang w:val="ro-RO"/>
              </w:rPr>
              <w:t>.</w:t>
            </w:r>
            <w:r w:rsidRPr="00EA1BB2">
              <w:rPr>
                <w:rFonts w:ascii="Cambria" w:eastAsia="SimSun" w:hAnsi="Cambria" w:cs="Times New Roman"/>
                <w:sz w:val="24"/>
                <w:szCs w:val="24"/>
                <w:lang w:val="ro-RO"/>
              </w:rPr>
              <w:t>132</w:t>
            </w:r>
          </w:p>
        </w:tc>
        <w:tc>
          <w:tcPr>
            <w:tcW w:w="943" w:type="pct"/>
            <w:tcBorders>
              <w:top w:val="single" w:sz="4" w:space="0" w:color="auto"/>
              <w:left w:val="nil"/>
              <w:bottom w:val="single" w:sz="4" w:space="0" w:color="auto"/>
              <w:right w:val="single" w:sz="4" w:space="0" w:color="auto"/>
            </w:tcBorders>
            <w:shd w:val="clear" w:color="auto" w:fill="auto"/>
            <w:vAlign w:val="bottom"/>
          </w:tcPr>
          <w:p w14:paraId="6FB827F0" w14:textId="77777777" w:rsidR="00A15217" w:rsidRPr="00EA1BB2" w:rsidRDefault="00A15217" w:rsidP="00A15217">
            <w:pPr>
              <w:tabs>
                <w:tab w:val="left" w:pos="2160"/>
                <w:tab w:val="left" w:leader="dot" w:pos="8640"/>
              </w:tabs>
              <w:spacing w:line="360" w:lineRule="auto"/>
              <w:ind w:right="-38"/>
              <w:jc w:val="center"/>
              <w:rPr>
                <w:rFonts w:ascii="Cambria" w:hAnsi="Cambria"/>
                <w:sz w:val="24"/>
                <w:szCs w:val="24"/>
                <w:lang w:val="ro-RO"/>
              </w:rPr>
            </w:pPr>
            <w:r w:rsidRPr="00EA1BB2">
              <w:rPr>
                <w:rFonts w:ascii="Cambria" w:hAnsi="Cambria" w:cs="Calibri"/>
                <w:color w:val="000000"/>
                <w:sz w:val="24"/>
                <w:lang w:val="ro-RO"/>
              </w:rPr>
              <w:t>8,03%</w:t>
            </w:r>
          </w:p>
        </w:tc>
        <w:tc>
          <w:tcPr>
            <w:tcW w:w="993" w:type="pct"/>
            <w:tcBorders>
              <w:top w:val="single" w:sz="4" w:space="0" w:color="auto"/>
              <w:left w:val="single" w:sz="4" w:space="0" w:color="auto"/>
              <w:bottom w:val="single" w:sz="4" w:space="0" w:color="auto"/>
              <w:right w:val="single" w:sz="4" w:space="0" w:color="auto"/>
            </w:tcBorders>
            <w:shd w:val="clear" w:color="auto" w:fill="auto"/>
            <w:vAlign w:val="bottom"/>
          </w:tcPr>
          <w:p w14:paraId="06E127F0" w14:textId="77777777" w:rsidR="00A15217" w:rsidRPr="00EA1BB2" w:rsidRDefault="00A15217" w:rsidP="00A15217">
            <w:pPr>
              <w:tabs>
                <w:tab w:val="left" w:pos="2160"/>
                <w:tab w:val="left" w:leader="dot" w:pos="8640"/>
              </w:tabs>
              <w:spacing w:line="360" w:lineRule="auto"/>
              <w:ind w:right="-38"/>
              <w:jc w:val="center"/>
              <w:rPr>
                <w:rFonts w:ascii="Cambria" w:hAnsi="Cambria"/>
                <w:sz w:val="24"/>
                <w:szCs w:val="24"/>
                <w:lang w:val="ro-RO"/>
              </w:rPr>
            </w:pPr>
            <w:r w:rsidRPr="00EA1BB2">
              <w:rPr>
                <w:rFonts w:ascii="Cambria" w:hAnsi="Cambria" w:cs="Calibri"/>
                <w:color w:val="000000"/>
                <w:sz w:val="24"/>
                <w:lang w:val="ro-RO"/>
              </w:rPr>
              <w:t>6,53%</w:t>
            </w:r>
          </w:p>
        </w:tc>
      </w:tr>
      <w:tr w:rsidR="00A15217" w:rsidRPr="00EA1BB2" w14:paraId="4AEDE847" w14:textId="77777777" w:rsidTr="00E21918">
        <w:trPr>
          <w:jc w:val="center"/>
        </w:trPr>
        <w:tc>
          <w:tcPr>
            <w:tcW w:w="461" w:type="pct"/>
            <w:vAlign w:val="center"/>
          </w:tcPr>
          <w:p w14:paraId="6FF5DD2B" w14:textId="77777777" w:rsidR="00A15217" w:rsidRPr="00EA1BB2" w:rsidRDefault="00A15217" w:rsidP="00A15217">
            <w:pPr>
              <w:tabs>
                <w:tab w:val="left" w:pos="2160"/>
                <w:tab w:val="left" w:leader="dot" w:pos="8640"/>
              </w:tabs>
              <w:spacing w:line="360" w:lineRule="auto"/>
              <w:ind w:right="-38"/>
              <w:jc w:val="center"/>
              <w:rPr>
                <w:rFonts w:ascii="Cambria" w:eastAsia="SimSun" w:hAnsi="Cambria" w:cs="Times New Roman"/>
                <w:sz w:val="24"/>
                <w:szCs w:val="24"/>
                <w:lang w:val="ro-RO"/>
              </w:rPr>
            </w:pPr>
            <w:r w:rsidRPr="00EA1BB2">
              <w:rPr>
                <w:rFonts w:ascii="Cambria" w:eastAsia="SimSun" w:hAnsi="Cambria" w:cs="Times New Roman"/>
                <w:sz w:val="24"/>
                <w:szCs w:val="24"/>
                <w:lang w:val="ro-RO"/>
              </w:rPr>
              <w:t>3</w:t>
            </w:r>
          </w:p>
        </w:tc>
        <w:tc>
          <w:tcPr>
            <w:tcW w:w="1581" w:type="pct"/>
          </w:tcPr>
          <w:p w14:paraId="4632A073" w14:textId="77777777" w:rsidR="00A15217" w:rsidRPr="00EA1BB2" w:rsidRDefault="00A15217" w:rsidP="00A15217">
            <w:pPr>
              <w:tabs>
                <w:tab w:val="left" w:pos="2160"/>
                <w:tab w:val="left" w:leader="dot" w:pos="8640"/>
              </w:tabs>
              <w:spacing w:line="360" w:lineRule="auto"/>
              <w:ind w:right="-38"/>
              <w:rPr>
                <w:rFonts w:ascii="Cambria" w:hAnsi="Cambria" w:cs="Times New Roman"/>
                <w:sz w:val="24"/>
                <w:szCs w:val="24"/>
                <w:lang w:val="ro-RO"/>
              </w:rPr>
            </w:pPr>
            <w:r w:rsidRPr="00EA1BB2">
              <w:rPr>
                <w:rFonts w:ascii="Cambria" w:hAnsi="Cambria" w:cs="Times New Roman"/>
                <w:sz w:val="24"/>
                <w:szCs w:val="24"/>
                <w:lang w:val="ro-RO"/>
              </w:rPr>
              <w:t>Vii</w:t>
            </w:r>
          </w:p>
        </w:tc>
        <w:tc>
          <w:tcPr>
            <w:tcW w:w="1022" w:type="pct"/>
          </w:tcPr>
          <w:p w14:paraId="1F422FED" w14:textId="77777777" w:rsidR="00A15217" w:rsidRPr="00EA1BB2" w:rsidRDefault="00A15217" w:rsidP="00A15217">
            <w:pPr>
              <w:tabs>
                <w:tab w:val="left" w:pos="2160"/>
                <w:tab w:val="left" w:leader="dot" w:pos="8640"/>
              </w:tabs>
              <w:spacing w:line="360" w:lineRule="auto"/>
              <w:ind w:right="-38"/>
              <w:jc w:val="center"/>
              <w:rPr>
                <w:rFonts w:ascii="Cambria" w:hAnsi="Cambria" w:cs="Times New Roman"/>
                <w:sz w:val="24"/>
                <w:szCs w:val="24"/>
                <w:lang w:val="ro-RO"/>
              </w:rPr>
            </w:pPr>
            <w:r w:rsidRPr="00EA1BB2">
              <w:rPr>
                <w:rFonts w:ascii="Cambria" w:hAnsi="Cambria" w:cs="Times New Roman"/>
                <w:sz w:val="24"/>
                <w:szCs w:val="24"/>
                <w:lang w:val="ro-RO"/>
              </w:rPr>
              <w:t>4</w:t>
            </w:r>
            <w:r w:rsidR="00196B49" w:rsidRPr="00EA1BB2">
              <w:rPr>
                <w:rFonts w:ascii="Cambria" w:hAnsi="Cambria" w:cs="Times New Roman"/>
                <w:sz w:val="24"/>
                <w:szCs w:val="24"/>
                <w:lang w:val="ro-RO"/>
              </w:rPr>
              <w:t>.</w:t>
            </w:r>
            <w:r w:rsidRPr="00EA1BB2">
              <w:rPr>
                <w:rFonts w:ascii="Cambria" w:hAnsi="Cambria" w:cs="Times New Roman"/>
                <w:sz w:val="24"/>
                <w:szCs w:val="24"/>
                <w:lang w:val="ro-RO"/>
              </w:rPr>
              <w:t>560</w:t>
            </w:r>
          </w:p>
        </w:tc>
        <w:tc>
          <w:tcPr>
            <w:tcW w:w="943" w:type="pct"/>
            <w:tcBorders>
              <w:top w:val="single" w:sz="4" w:space="0" w:color="auto"/>
              <w:left w:val="nil"/>
              <w:bottom w:val="single" w:sz="4" w:space="0" w:color="auto"/>
              <w:right w:val="single" w:sz="4" w:space="0" w:color="auto"/>
            </w:tcBorders>
            <w:shd w:val="clear" w:color="auto" w:fill="auto"/>
            <w:vAlign w:val="bottom"/>
          </w:tcPr>
          <w:p w14:paraId="493549E6" w14:textId="77777777" w:rsidR="00A15217" w:rsidRPr="00EA1BB2" w:rsidRDefault="00A15217" w:rsidP="00A15217">
            <w:pPr>
              <w:tabs>
                <w:tab w:val="left" w:pos="2160"/>
                <w:tab w:val="left" w:leader="dot" w:pos="8640"/>
              </w:tabs>
              <w:spacing w:line="360" w:lineRule="auto"/>
              <w:ind w:right="-38"/>
              <w:jc w:val="center"/>
              <w:rPr>
                <w:rFonts w:ascii="Cambria" w:hAnsi="Cambria"/>
                <w:sz w:val="24"/>
                <w:szCs w:val="24"/>
                <w:lang w:val="ro-RO"/>
              </w:rPr>
            </w:pPr>
            <w:r w:rsidRPr="00EA1BB2">
              <w:rPr>
                <w:rFonts w:ascii="Cambria" w:hAnsi="Cambria" w:cs="Calibri"/>
                <w:color w:val="000000"/>
                <w:sz w:val="24"/>
                <w:lang w:val="ro-RO"/>
              </w:rPr>
              <w:t>1,18%</w:t>
            </w:r>
          </w:p>
        </w:tc>
        <w:tc>
          <w:tcPr>
            <w:tcW w:w="993" w:type="pct"/>
            <w:tcBorders>
              <w:top w:val="single" w:sz="4" w:space="0" w:color="auto"/>
              <w:left w:val="single" w:sz="4" w:space="0" w:color="auto"/>
              <w:bottom w:val="single" w:sz="4" w:space="0" w:color="auto"/>
              <w:right w:val="single" w:sz="4" w:space="0" w:color="auto"/>
            </w:tcBorders>
            <w:shd w:val="clear" w:color="auto" w:fill="auto"/>
            <w:vAlign w:val="bottom"/>
          </w:tcPr>
          <w:p w14:paraId="1C60DC3E" w14:textId="77777777" w:rsidR="00A15217" w:rsidRPr="00EA1BB2" w:rsidRDefault="00A15217" w:rsidP="00A15217">
            <w:pPr>
              <w:tabs>
                <w:tab w:val="left" w:pos="2160"/>
                <w:tab w:val="left" w:leader="dot" w:pos="8640"/>
              </w:tabs>
              <w:spacing w:line="360" w:lineRule="auto"/>
              <w:ind w:right="-38"/>
              <w:jc w:val="center"/>
              <w:rPr>
                <w:rFonts w:ascii="Cambria" w:hAnsi="Cambria"/>
                <w:sz w:val="24"/>
                <w:szCs w:val="24"/>
                <w:lang w:val="ro-RO"/>
              </w:rPr>
            </w:pPr>
            <w:r w:rsidRPr="00EA1BB2">
              <w:rPr>
                <w:rFonts w:ascii="Cambria" w:hAnsi="Cambria" w:cs="Calibri"/>
                <w:color w:val="000000"/>
                <w:sz w:val="24"/>
                <w:lang w:val="ro-RO"/>
              </w:rPr>
              <w:t>0,96%</w:t>
            </w:r>
          </w:p>
        </w:tc>
      </w:tr>
      <w:tr w:rsidR="00A15217" w:rsidRPr="00EA1BB2" w14:paraId="3C980896" w14:textId="77777777" w:rsidTr="00E21918">
        <w:trPr>
          <w:jc w:val="center"/>
        </w:trPr>
        <w:tc>
          <w:tcPr>
            <w:tcW w:w="461" w:type="pct"/>
            <w:vAlign w:val="center"/>
          </w:tcPr>
          <w:p w14:paraId="23F4B6A6" w14:textId="77777777" w:rsidR="00A15217" w:rsidRPr="00EA1BB2" w:rsidRDefault="00A15217" w:rsidP="00A15217">
            <w:pPr>
              <w:tabs>
                <w:tab w:val="left" w:pos="2160"/>
                <w:tab w:val="left" w:leader="dot" w:pos="8640"/>
              </w:tabs>
              <w:spacing w:line="360" w:lineRule="auto"/>
              <w:ind w:right="-38"/>
              <w:jc w:val="center"/>
              <w:rPr>
                <w:rFonts w:ascii="Cambria" w:eastAsia="SimSun" w:hAnsi="Cambria" w:cs="Times New Roman"/>
                <w:sz w:val="24"/>
                <w:szCs w:val="24"/>
                <w:lang w:val="ro-RO"/>
              </w:rPr>
            </w:pPr>
            <w:r w:rsidRPr="00EA1BB2">
              <w:rPr>
                <w:rFonts w:ascii="Cambria" w:eastAsia="SimSun" w:hAnsi="Cambria" w:cs="Times New Roman"/>
                <w:sz w:val="24"/>
                <w:szCs w:val="24"/>
                <w:lang w:val="ro-RO"/>
              </w:rPr>
              <w:t>4</w:t>
            </w:r>
          </w:p>
        </w:tc>
        <w:tc>
          <w:tcPr>
            <w:tcW w:w="1581" w:type="pct"/>
          </w:tcPr>
          <w:p w14:paraId="7E0FC363" w14:textId="77777777" w:rsidR="00A15217" w:rsidRPr="00EA1BB2" w:rsidRDefault="00A15217" w:rsidP="00A15217">
            <w:pPr>
              <w:tabs>
                <w:tab w:val="left" w:pos="2160"/>
                <w:tab w:val="left" w:leader="dot" w:pos="8640"/>
              </w:tabs>
              <w:spacing w:line="360" w:lineRule="auto"/>
              <w:ind w:right="-38"/>
              <w:rPr>
                <w:rFonts w:ascii="Cambria" w:hAnsi="Cambria" w:cs="Times New Roman"/>
                <w:sz w:val="24"/>
                <w:szCs w:val="24"/>
                <w:lang w:val="ro-RO"/>
              </w:rPr>
            </w:pPr>
            <w:r w:rsidRPr="00EA1BB2">
              <w:rPr>
                <w:rFonts w:ascii="Cambria" w:hAnsi="Cambria" w:cs="Times New Roman"/>
                <w:sz w:val="24"/>
                <w:szCs w:val="24"/>
                <w:lang w:val="ro-RO"/>
              </w:rPr>
              <w:t>Livezi</w:t>
            </w:r>
          </w:p>
        </w:tc>
        <w:tc>
          <w:tcPr>
            <w:tcW w:w="1022" w:type="pct"/>
          </w:tcPr>
          <w:p w14:paraId="3DC798F0" w14:textId="77777777" w:rsidR="00A15217" w:rsidRPr="00EA1BB2" w:rsidRDefault="00A15217" w:rsidP="00A15217">
            <w:pPr>
              <w:tabs>
                <w:tab w:val="left" w:pos="2160"/>
                <w:tab w:val="left" w:leader="dot" w:pos="8640"/>
              </w:tabs>
              <w:spacing w:line="360" w:lineRule="auto"/>
              <w:ind w:right="-38"/>
              <w:jc w:val="center"/>
              <w:rPr>
                <w:rFonts w:ascii="Cambria" w:hAnsi="Cambria" w:cs="Times New Roman"/>
                <w:sz w:val="24"/>
                <w:szCs w:val="24"/>
                <w:lang w:val="ro-RO"/>
              </w:rPr>
            </w:pPr>
            <w:r w:rsidRPr="00EA1BB2">
              <w:rPr>
                <w:rFonts w:ascii="Cambria" w:hAnsi="Cambria" w:cs="Times New Roman"/>
                <w:sz w:val="24"/>
                <w:szCs w:val="24"/>
                <w:lang w:val="ro-RO"/>
              </w:rPr>
              <w:t>638</w:t>
            </w:r>
          </w:p>
        </w:tc>
        <w:tc>
          <w:tcPr>
            <w:tcW w:w="943" w:type="pct"/>
            <w:tcBorders>
              <w:top w:val="single" w:sz="4" w:space="0" w:color="auto"/>
              <w:left w:val="nil"/>
              <w:bottom w:val="single" w:sz="4" w:space="0" w:color="auto"/>
              <w:right w:val="single" w:sz="4" w:space="0" w:color="auto"/>
            </w:tcBorders>
            <w:shd w:val="clear" w:color="auto" w:fill="auto"/>
            <w:vAlign w:val="bottom"/>
          </w:tcPr>
          <w:p w14:paraId="2D42FF4A" w14:textId="77777777" w:rsidR="00A15217" w:rsidRPr="00EA1BB2" w:rsidRDefault="00A15217" w:rsidP="00A15217">
            <w:pPr>
              <w:tabs>
                <w:tab w:val="left" w:pos="2160"/>
                <w:tab w:val="left" w:leader="dot" w:pos="8640"/>
              </w:tabs>
              <w:spacing w:line="360" w:lineRule="auto"/>
              <w:ind w:right="-38"/>
              <w:jc w:val="center"/>
              <w:rPr>
                <w:rFonts w:ascii="Cambria" w:hAnsi="Cambria"/>
                <w:sz w:val="24"/>
                <w:szCs w:val="24"/>
                <w:lang w:val="ro-RO"/>
              </w:rPr>
            </w:pPr>
            <w:r w:rsidRPr="00EA1BB2">
              <w:rPr>
                <w:rFonts w:ascii="Cambria" w:hAnsi="Cambria" w:cs="Calibri"/>
                <w:color w:val="000000"/>
                <w:sz w:val="24"/>
                <w:lang w:val="ro-RO"/>
              </w:rPr>
              <w:t>0,16%</w:t>
            </w:r>
          </w:p>
        </w:tc>
        <w:tc>
          <w:tcPr>
            <w:tcW w:w="993" w:type="pct"/>
            <w:tcBorders>
              <w:top w:val="single" w:sz="4" w:space="0" w:color="auto"/>
              <w:left w:val="single" w:sz="4" w:space="0" w:color="auto"/>
              <w:bottom w:val="single" w:sz="4" w:space="0" w:color="auto"/>
              <w:right w:val="single" w:sz="4" w:space="0" w:color="auto"/>
            </w:tcBorders>
            <w:shd w:val="clear" w:color="auto" w:fill="auto"/>
            <w:vAlign w:val="bottom"/>
          </w:tcPr>
          <w:p w14:paraId="7E487406" w14:textId="77777777" w:rsidR="00A15217" w:rsidRPr="00EA1BB2" w:rsidRDefault="00A15217" w:rsidP="00A15217">
            <w:pPr>
              <w:tabs>
                <w:tab w:val="left" w:pos="2160"/>
                <w:tab w:val="left" w:leader="dot" w:pos="8640"/>
              </w:tabs>
              <w:spacing w:line="360" w:lineRule="auto"/>
              <w:ind w:right="-38"/>
              <w:jc w:val="center"/>
              <w:rPr>
                <w:rFonts w:ascii="Cambria" w:hAnsi="Cambria"/>
                <w:sz w:val="24"/>
                <w:szCs w:val="24"/>
                <w:lang w:val="ro-RO"/>
              </w:rPr>
            </w:pPr>
            <w:r w:rsidRPr="00EA1BB2">
              <w:rPr>
                <w:rFonts w:ascii="Cambria" w:hAnsi="Cambria" w:cs="Calibri"/>
                <w:color w:val="000000"/>
                <w:sz w:val="24"/>
                <w:lang w:val="ro-RO"/>
              </w:rPr>
              <w:t>0,13%</w:t>
            </w:r>
          </w:p>
        </w:tc>
      </w:tr>
      <w:tr w:rsidR="00974557" w:rsidRPr="00EA1BB2" w14:paraId="48C054E8" w14:textId="77777777" w:rsidTr="00E21918">
        <w:trPr>
          <w:jc w:val="center"/>
        </w:trPr>
        <w:tc>
          <w:tcPr>
            <w:tcW w:w="461" w:type="pct"/>
            <w:vAlign w:val="center"/>
          </w:tcPr>
          <w:p w14:paraId="2F8E2674" w14:textId="77777777" w:rsidR="00974557" w:rsidRPr="00EA1BB2" w:rsidRDefault="00974557" w:rsidP="00A25848">
            <w:pPr>
              <w:tabs>
                <w:tab w:val="left" w:pos="2160"/>
                <w:tab w:val="left" w:leader="dot" w:pos="8640"/>
              </w:tabs>
              <w:spacing w:line="360" w:lineRule="auto"/>
              <w:ind w:right="-38"/>
              <w:jc w:val="center"/>
              <w:rPr>
                <w:rFonts w:ascii="Cambria" w:eastAsia="SimSun" w:hAnsi="Cambria" w:cs="Times New Roman"/>
                <w:sz w:val="24"/>
                <w:szCs w:val="24"/>
                <w:lang w:val="ro-RO"/>
              </w:rPr>
            </w:pPr>
            <w:r w:rsidRPr="00EA1BB2">
              <w:rPr>
                <w:rFonts w:ascii="Cambria" w:eastAsia="SimSun" w:hAnsi="Cambria" w:cs="Times New Roman"/>
                <w:sz w:val="24"/>
                <w:szCs w:val="24"/>
                <w:lang w:val="ro-RO"/>
              </w:rPr>
              <w:t>5</w:t>
            </w:r>
          </w:p>
        </w:tc>
        <w:tc>
          <w:tcPr>
            <w:tcW w:w="1581" w:type="pct"/>
          </w:tcPr>
          <w:p w14:paraId="7B660050" w14:textId="77777777" w:rsidR="00974557" w:rsidRPr="00EA1BB2" w:rsidRDefault="00974557" w:rsidP="00A25848">
            <w:pPr>
              <w:tabs>
                <w:tab w:val="left" w:pos="2160"/>
                <w:tab w:val="left" w:leader="dot" w:pos="8640"/>
              </w:tabs>
              <w:spacing w:line="360" w:lineRule="auto"/>
              <w:ind w:right="-38"/>
              <w:rPr>
                <w:rFonts w:ascii="Cambria" w:hAnsi="Cambria" w:cs="Times New Roman"/>
                <w:sz w:val="24"/>
                <w:szCs w:val="24"/>
                <w:lang w:val="ro-RO"/>
              </w:rPr>
            </w:pPr>
            <w:r w:rsidRPr="00EA1BB2">
              <w:rPr>
                <w:rFonts w:ascii="Cambria" w:hAnsi="Cambria" w:cs="Times New Roman"/>
                <w:sz w:val="24"/>
                <w:szCs w:val="24"/>
                <w:lang w:val="ro-RO"/>
              </w:rPr>
              <w:t>Total t</w:t>
            </w:r>
            <w:r w:rsidRPr="00EA1BB2">
              <w:rPr>
                <w:rFonts w:ascii="Cambria" w:eastAsia="SimSun" w:hAnsi="Cambria" w:cs="Times New Roman"/>
                <w:sz w:val="24"/>
                <w:szCs w:val="24"/>
                <w:lang w:val="ro-RO"/>
              </w:rPr>
              <w:t>erenuri agricole</w:t>
            </w:r>
          </w:p>
        </w:tc>
        <w:tc>
          <w:tcPr>
            <w:tcW w:w="1022" w:type="pct"/>
          </w:tcPr>
          <w:p w14:paraId="1326E48B" w14:textId="77777777" w:rsidR="00974557" w:rsidRPr="00EA1BB2" w:rsidRDefault="00A15217" w:rsidP="00A25848">
            <w:pPr>
              <w:tabs>
                <w:tab w:val="left" w:pos="2160"/>
                <w:tab w:val="left" w:leader="dot" w:pos="8640"/>
              </w:tabs>
              <w:spacing w:line="360" w:lineRule="auto"/>
              <w:ind w:right="-38"/>
              <w:jc w:val="center"/>
              <w:rPr>
                <w:rFonts w:ascii="Cambria" w:hAnsi="Cambria" w:cs="Times New Roman"/>
                <w:sz w:val="24"/>
                <w:szCs w:val="24"/>
                <w:lang w:val="ro-RO"/>
              </w:rPr>
            </w:pPr>
            <w:r w:rsidRPr="00EA1BB2">
              <w:rPr>
                <w:rFonts w:ascii="Cambria" w:eastAsia="SimSun" w:hAnsi="Cambria" w:cs="Times New Roman"/>
                <w:sz w:val="24"/>
                <w:szCs w:val="24"/>
                <w:lang w:val="ro-RO"/>
              </w:rPr>
              <w:t>387.750</w:t>
            </w:r>
          </w:p>
        </w:tc>
        <w:tc>
          <w:tcPr>
            <w:tcW w:w="943" w:type="pct"/>
            <w:tcBorders>
              <w:top w:val="single" w:sz="4" w:space="0" w:color="auto"/>
            </w:tcBorders>
          </w:tcPr>
          <w:p w14:paraId="561A5620" w14:textId="77777777" w:rsidR="00974557" w:rsidRPr="00EA1BB2" w:rsidRDefault="00974557" w:rsidP="00A25848">
            <w:pPr>
              <w:tabs>
                <w:tab w:val="left" w:pos="2160"/>
                <w:tab w:val="left" w:leader="dot" w:pos="8640"/>
              </w:tabs>
              <w:spacing w:line="360" w:lineRule="auto"/>
              <w:ind w:right="-38"/>
              <w:jc w:val="center"/>
              <w:rPr>
                <w:rFonts w:ascii="Cambria" w:eastAsia="SimSun" w:hAnsi="Cambria" w:cs="Times New Roman"/>
                <w:sz w:val="24"/>
                <w:szCs w:val="24"/>
                <w:lang w:val="ro-RO"/>
              </w:rPr>
            </w:pPr>
            <w:r w:rsidRPr="00EA1BB2">
              <w:rPr>
                <w:rFonts w:ascii="Cambria" w:eastAsia="SimSun" w:hAnsi="Cambria" w:cs="Times New Roman"/>
                <w:sz w:val="24"/>
                <w:szCs w:val="24"/>
                <w:lang w:val="ro-RO"/>
              </w:rPr>
              <w:t>100</w:t>
            </w:r>
          </w:p>
        </w:tc>
        <w:tc>
          <w:tcPr>
            <w:tcW w:w="993" w:type="pct"/>
            <w:tcBorders>
              <w:top w:val="single" w:sz="4" w:space="0" w:color="auto"/>
            </w:tcBorders>
          </w:tcPr>
          <w:p w14:paraId="4B66FB37" w14:textId="77777777" w:rsidR="00974557" w:rsidRPr="00EA1BB2" w:rsidRDefault="00A15217" w:rsidP="00A25848">
            <w:pPr>
              <w:tabs>
                <w:tab w:val="left" w:pos="2160"/>
                <w:tab w:val="left" w:leader="dot" w:pos="8640"/>
              </w:tabs>
              <w:spacing w:line="360" w:lineRule="auto"/>
              <w:ind w:right="-38"/>
              <w:jc w:val="center"/>
              <w:rPr>
                <w:rFonts w:ascii="Cambria" w:eastAsia="SimSun" w:hAnsi="Cambria" w:cs="Times New Roman"/>
                <w:sz w:val="24"/>
                <w:szCs w:val="24"/>
                <w:lang w:val="ro-RO"/>
              </w:rPr>
            </w:pPr>
            <w:r w:rsidRPr="00EA1BB2">
              <w:rPr>
                <w:rFonts w:ascii="Cambria" w:eastAsia="SimSun" w:hAnsi="Cambria" w:cs="Times New Roman"/>
                <w:sz w:val="24"/>
                <w:szCs w:val="24"/>
                <w:lang w:val="ro-RO"/>
              </w:rPr>
              <w:t>81,36%</w:t>
            </w:r>
          </w:p>
        </w:tc>
      </w:tr>
      <w:tr w:rsidR="00974557" w:rsidRPr="00EA1BB2" w14:paraId="067BAFCC" w14:textId="77777777" w:rsidTr="00E21918">
        <w:trPr>
          <w:jc w:val="center"/>
        </w:trPr>
        <w:tc>
          <w:tcPr>
            <w:tcW w:w="461" w:type="pct"/>
            <w:vAlign w:val="center"/>
          </w:tcPr>
          <w:p w14:paraId="15861FA7" w14:textId="77777777" w:rsidR="00974557" w:rsidRPr="00EA1BB2" w:rsidRDefault="00974557" w:rsidP="00A25848">
            <w:pPr>
              <w:tabs>
                <w:tab w:val="left" w:pos="2160"/>
                <w:tab w:val="left" w:leader="dot" w:pos="8640"/>
              </w:tabs>
              <w:spacing w:line="360" w:lineRule="auto"/>
              <w:ind w:right="-38"/>
              <w:jc w:val="center"/>
              <w:rPr>
                <w:rFonts w:ascii="Cambria" w:eastAsia="SimSun" w:hAnsi="Cambria" w:cs="Times New Roman"/>
                <w:sz w:val="24"/>
                <w:szCs w:val="24"/>
                <w:lang w:val="ro-RO"/>
              </w:rPr>
            </w:pPr>
            <w:r w:rsidRPr="00EA1BB2">
              <w:rPr>
                <w:rFonts w:ascii="Cambria" w:eastAsia="SimSun" w:hAnsi="Cambria" w:cs="Times New Roman"/>
                <w:sz w:val="24"/>
                <w:szCs w:val="24"/>
                <w:lang w:val="ro-RO"/>
              </w:rPr>
              <w:t>6</w:t>
            </w:r>
          </w:p>
        </w:tc>
        <w:tc>
          <w:tcPr>
            <w:tcW w:w="1581" w:type="pct"/>
            <w:vAlign w:val="center"/>
          </w:tcPr>
          <w:p w14:paraId="5578F533" w14:textId="77777777" w:rsidR="00974557" w:rsidRPr="00EA1BB2" w:rsidRDefault="00974557" w:rsidP="00A25848">
            <w:pPr>
              <w:tabs>
                <w:tab w:val="left" w:pos="2160"/>
                <w:tab w:val="left" w:leader="dot" w:pos="8640"/>
              </w:tabs>
              <w:spacing w:line="360" w:lineRule="auto"/>
              <w:ind w:right="-38"/>
              <w:rPr>
                <w:rFonts w:ascii="Cambria" w:eastAsia="SimSun" w:hAnsi="Cambria" w:cs="Times New Roman"/>
                <w:sz w:val="24"/>
                <w:szCs w:val="24"/>
                <w:lang w:val="ro-RO"/>
              </w:rPr>
            </w:pPr>
            <w:r w:rsidRPr="00EA1BB2">
              <w:rPr>
                <w:rFonts w:ascii="Cambria" w:eastAsia="SimSun" w:hAnsi="Cambria" w:cs="Times New Roman"/>
                <w:sz w:val="24"/>
                <w:szCs w:val="24"/>
                <w:lang w:val="ro-RO"/>
              </w:rPr>
              <w:t>Total județ</w:t>
            </w:r>
          </w:p>
        </w:tc>
        <w:tc>
          <w:tcPr>
            <w:tcW w:w="1022" w:type="pct"/>
            <w:vAlign w:val="center"/>
          </w:tcPr>
          <w:p w14:paraId="1C6393D3" w14:textId="77777777" w:rsidR="00974557" w:rsidRPr="00EA1BB2" w:rsidRDefault="00974557" w:rsidP="00A25848">
            <w:pPr>
              <w:tabs>
                <w:tab w:val="left" w:pos="2160"/>
                <w:tab w:val="left" w:leader="dot" w:pos="8640"/>
              </w:tabs>
              <w:spacing w:line="360" w:lineRule="auto"/>
              <w:ind w:right="-38"/>
              <w:jc w:val="center"/>
              <w:rPr>
                <w:rFonts w:ascii="Cambria" w:eastAsia="SimSun" w:hAnsi="Cambria" w:cs="Times New Roman"/>
                <w:sz w:val="24"/>
                <w:szCs w:val="24"/>
                <w:lang w:val="ro-RO"/>
              </w:rPr>
            </w:pPr>
            <w:r w:rsidRPr="00EA1BB2">
              <w:rPr>
                <w:rFonts w:ascii="Cambria" w:eastAsia="SimSun" w:hAnsi="Cambria" w:cs="Times New Roman"/>
                <w:sz w:val="24"/>
                <w:szCs w:val="24"/>
                <w:lang w:val="ro-RO"/>
              </w:rPr>
              <w:t>476.576</w:t>
            </w:r>
          </w:p>
        </w:tc>
        <w:tc>
          <w:tcPr>
            <w:tcW w:w="943" w:type="pct"/>
          </w:tcPr>
          <w:p w14:paraId="332AC784" w14:textId="77777777" w:rsidR="00974557" w:rsidRPr="00EA1BB2" w:rsidRDefault="00974557" w:rsidP="00A25848">
            <w:pPr>
              <w:tabs>
                <w:tab w:val="left" w:pos="2160"/>
                <w:tab w:val="left" w:leader="dot" w:pos="8640"/>
              </w:tabs>
              <w:spacing w:line="360" w:lineRule="auto"/>
              <w:ind w:right="-38"/>
              <w:jc w:val="center"/>
              <w:rPr>
                <w:rFonts w:ascii="Cambria" w:eastAsia="SimSun" w:hAnsi="Cambria" w:cs="Times New Roman"/>
                <w:sz w:val="24"/>
                <w:szCs w:val="24"/>
                <w:lang w:val="ro-RO"/>
              </w:rPr>
            </w:pPr>
            <w:r w:rsidRPr="00EA1BB2">
              <w:rPr>
                <w:rFonts w:ascii="Cambria" w:eastAsia="SimSun" w:hAnsi="Cambria" w:cs="Times New Roman"/>
                <w:sz w:val="24"/>
                <w:szCs w:val="24"/>
                <w:lang w:val="ro-RO"/>
              </w:rPr>
              <w:t>-</w:t>
            </w:r>
          </w:p>
        </w:tc>
        <w:tc>
          <w:tcPr>
            <w:tcW w:w="993" w:type="pct"/>
          </w:tcPr>
          <w:p w14:paraId="0B34DFD5" w14:textId="77777777" w:rsidR="00974557" w:rsidRPr="00EA1BB2" w:rsidRDefault="00974557" w:rsidP="00A25848">
            <w:pPr>
              <w:tabs>
                <w:tab w:val="left" w:pos="2160"/>
                <w:tab w:val="left" w:leader="dot" w:pos="8640"/>
              </w:tabs>
              <w:spacing w:line="360" w:lineRule="auto"/>
              <w:ind w:right="-38"/>
              <w:jc w:val="center"/>
              <w:rPr>
                <w:rFonts w:ascii="Cambria" w:eastAsia="SimSun" w:hAnsi="Cambria" w:cs="Times New Roman"/>
                <w:sz w:val="24"/>
                <w:szCs w:val="24"/>
                <w:lang w:val="ro-RO"/>
              </w:rPr>
            </w:pPr>
            <w:r w:rsidRPr="00EA1BB2">
              <w:rPr>
                <w:rFonts w:ascii="Cambria" w:eastAsia="SimSun" w:hAnsi="Cambria" w:cs="Times New Roman"/>
                <w:sz w:val="24"/>
                <w:szCs w:val="24"/>
                <w:lang w:val="ro-RO"/>
              </w:rPr>
              <w:t>-</w:t>
            </w:r>
          </w:p>
        </w:tc>
      </w:tr>
    </w:tbl>
    <w:p w14:paraId="5213C82D" w14:textId="77777777" w:rsidR="00ED596B" w:rsidRPr="00EA1BB2" w:rsidRDefault="00414F52" w:rsidP="00ED596B">
      <w:pPr>
        <w:jc w:val="both"/>
        <w:rPr>
          <w:rFonts w:ascii="Cambria" w:eastAsia="Times New Roman" w:hAnsi="Cambria" w:cs="Times New Roman"/>
          <w:szCs w:val="24"/>
        </w:rPr>
      </w:pPr>
      <w:r w:rsidRPr="00EA1BB2">
        <w:rPr>
          <w:rFonts w:ascii="Cambria" w:eastAsia="Times New Roman" w:hAnsi="Cambria" w:cs="Times New Roman"/>
          <w:szCs w:val="24"/>
        </w:rPr>
        <w:t>S</w:t>
      </w:r>
      <w:r w:rsidR="00ED596B" w:rsidRPr="00EA1BB2">
        <w:rPr>
          <w:rFonts w:ascii="Cambria" w:eastAsia="Times New Roman" w:hAnsi="Cambria" w:cs="Times New Roman"/>
          <w:szCs w:val="24"/>
        </w:rPr>
        <w:t>ursa</w:t>
      </w:r>
      <w:r w:rsidRPr="00EA1BB2">
        <w:rPr>
          <w:rFonts w:ascii="Cambria" w:eastAsia="Times New Roman" w:hAnsi="Cambria" w:cs="Times New Roman"/>
          <w:szCs w:val="24"/>
        </w:rPr>
        <w:t xml:space="preserve"> date</w:t>
      </w:r>
      <w:r w:rsidR="00ED596B" w:rsidRPr="00EA1BB2">
        <w:rPr>
          <w:rFonts w:ascii="Cambria" w:eastAsia="Times New Roman" w:hAnsi="Cambria" w:cs="Times New Roman"/>
          <w:szCs w:val="24"/>
        </w:rPr>
        <w:t>: http://statistici.insse.ro</w:t>
      </w:r>
    </w:p>
    <w:p w14:paraId="5BF3407C" w14:textId="77777777" w:rsidR="00ED596B" w:rsidRPr="00EA1BB2" w:rsidRDefault="00ED596B" w:rsidP="00281431">
      <w:pPr>
        <w:spacing w:after="200" w:line="360" w:lineRule="auto"/>
        <w:ind w:left="426"/>
        <w:contextualSpacing/>
        <w:jc w:val="both"/>
        <w:rPr>
          <w:rFonts w:ascii="Cambria" w:eastAsia="Times New Roman" w:hAnsi="Cambria" w:cs="Times New Roman"/>
          <w:sz w:val="24"/>
          <w:szCs w:val="24"/>
          <w:highlight w:val="cyan"/>
        </w:rPr>
      </w:pPr>
    </w:p>
    <w:p w14:paraId="1DFDC298" w14:textId="77777777" w:rsidR="00636142" w:rsidRPr="00EA1BB2" w:rsidRDefault="00ED596B" w:rsidP="00636142">
      <w:pPr>
        <w:spacing w:line="360" w:lineRule="auto"/>
        <w:jc w:val="both"/>
        <w:rPr>
          <w:rFonts w:ascii="Cambria" w:eastAsia="Times New Roman" w:hAnsi="Cambria" w:cs="Times New Roman"/>
          <w:sz w:val="24"/>
          <w:szCs w:val="24"/>
        </w:rPr>
      </w:pPr>
      <w:r w:rsidRPr="00EA1BB2">
        <w:rPr>
          <w:rFonts w:ascii="Cambria" w:eastAsia="Times New Roman" w:hAnsi="Cambria" w:cs="Times New Roman"/>
          <w:sz w:val="24"/>
          <w:szCs w:val="24"/>
        </w:rPr>
        <w:tab/>
      </w:r>
      <w:r w:rsidR="00636142" w:rsidRPr="00EA1BB2">
        <w:rPr>
          <w:rFonts w:ascii="Cambria" w:eastAsia="Times New Roman" w:hAnsi="Cambria" w:cs="Times New Roman"/>
          <w:sz w:val="24"/>
          <w:szCs w:val="24"/>
        </w:rPr>
        <w:t xml:space="preserve">Unitatea de pretabilitate reprezintă arealul rezultat din gruparea </w:t>
      </w:r>
      <w:r w:rsidR="00974557" w:rsidRPr="00EA1BB2">
        <w:rPr>
          <w:rFonts w:ascii="Cambria" w:eastAsia="Times New Roman" w:hAnsi="Cambria" w:cs="Times New Roman"/>
          <w:sz w:val="24"/>
          <w:szCs w:val="24"/>
        </w:rPr>
        <w:t>unităților</w:t>
      </w:r>
      <w:r w:rsidR="00636142" w:rsidRPr="00EA1BB2">
        <w:rPr>
          <w:rFonts w:ascii="Cambria" w:eastAsia="Times New Roman" w:hAnsi="Cambria" w:cs="Times New Roman"/>
          <w:sz w:val="24"/>
          <w:szCs w:val="24"/>
        </w:rPr>
        <w:t xml:space="preserve"> de teren conform unui anumit set de caracteristici specifice, în vederea stabilirii categoriilor de </w:t>
      </w:r>
      <w:r w:rsidR="00974557" w:rsidRPr="00EA1BB2">
        <w:rPr>
          <w:rFonts w:ascii="Cambria" w:eastAsia="Times New Roman" w:hAnsi="Cambria" w:cs="Times New Roman"/>
          <w:sz w:val="24"/>
          <w:szCs w:val="24"/>
        </w:rPr>
        <w:t>folosință</w:t>
      </w:r>
      <w:r w:rsidR="00636142" w:rsidRPr="00EA1BB2">
        <w:rPr>
          <w:rFonts w:ascii="Cambria" w:eastAsia="Times New Roman" w:hAnsi="Cambria" w:cs="Times New Roman"/>
          <w:sz w:val="24"/>
          <w:szCs w:val="24"/>
        </w:rPr>
        <w:t>.</w:t>
      </w:r>
    </w:p>
    <w:p w14:paraId="2B1F0A20" w14:textId="77777777" w:rsidR="00A102CE" w:rsidRPr="00EA1BB2" w:rsidRDefault="00636142" w:rsidP="00974557">
      <w:pPr>
        <w:spacing w:line="360" w:lineRule="auto"/>
        <w:ind w:firstLine="708"/>
        <w:jc w:val="both"/>
        <w:rPr>
          <w:rFonts w:ascii="Cambria" w:eastAsia="Times New Roman" w:hAnsi="Cambria" w:cs="Times New Roman"/>
          <w:sz w:val="24"/>
          <w:szCs w:val="24"/>
        </w:rPr>
      </w:pPr>
      <w:r w:rsidRPr="00EA1BB2">
        <w:rPr>
          <w:rFonts w:ascii="Cambria" w:eastAsia="Times New Roman" w:hAnsi="Cambria" w:cs="Times New Roman"/>
          <w:sz w:val="24"/>
          <w:szCs w:val="24"/>
        </w:rPr>
        <w:t xml:space="preserve">Calitatea terenurilor agricole este determinată atât de fertilitatea solului cât </w:t>
      </w:r>
      <w:r w:rsidR="00974557" w:rsidRPr="00EA1BB2">
        <w:rPr>
          <w:rFonts w:ascii="Cambria" w:eastAsia="Times New Roman" w:hAnsi="Cambria" w:cs="Times New Roman"/>
          <w:sz w:val="24"/>
          <w:szCs w:val="24"/>
        </w:rPr>
        <w:t>și</w:t>
      </w:r>
      <w:r w:rsidRPr="00EA1BB2">
        <w:rPr>
          <w:rFonts w:ascii="Cambria" w:eastAsia="Times New Roman" w:hAnsi="Cambria" w:cs="Times New Roman"/>
          <w:sz w:val="24"/>
          <w:szCs w:val="24"/>
        </w:rPr>
        <w:t xml:space="preserve"> de modul de manifestare al </w:t>
      </w:r>
      <w:r w:rsidR="00974557" w:rsidRPr="00EA1BB2">
        <w:rPr>
          <w:rFonts w:ascii="Cambria" w:eastAsia="Times New Roman" w:hAnsi="Cambria" w:cs="Times New Roman"/>
          <w:sz w:val="24"/>
          <w:szCs w:val="24"/>
        </w:rPr>
        <w:t>celorlalți</w:t>
      </w:r>
      <w:r w:rsidRPr="00EA1BB2">
        <w:rPr>
          <w:rFonts w:ascii="Cambria" w:eastAsia="Times New Roman" w:hAnsi="Cambria" w:cs="Times New Roman"/>
          <w:sz w:val="24"/>
          <w:szCs w:val="24"/>
        </w:rPr>
        <w:t xml:space="preserve"> factori de mediu </w:t>
      </w:r>
      <w:r w:rsidR="00A15217" w:rsidRPr="00EA1BB2">
        <w:rPr>
          <w:rFonts w:ascii="Cambria" w:eastAsia="Times New Roman" w:hAnsi="Cambria" w:cs="Times New Roman"/>
          <w:sz w:val="24"/>
          <w:szCs w:val="24"/>
        </w:rPr>
        <w:t>faț</w:t>
      </w:r>
      <w:r w:rsidR="00974557" w:rsidRPr="00EA1BB2">
        <w:rPr>
          <w:rFonts w:ascii="Cambria" w:eastAsia="Times New Roman" w:hAnsi="Cambria" w:cs="Times New Roman"/>
          <w:sz w:val="24"/>
          <w:szCs w:val="24"/>
        </w:rPr>
        <w:t>ă</w:t>
      </w:r>
      <w:r w:rsidRPr="00EA1BB2">
        <w:rPr>
          <w:rFonts w:ascii="Cambria" w:eastAsia="Times New Roman" w:hAnsi="Cambria" w:cs="Times New Roman"/>
          <w:sz w:val="24"/>
          <w:szCs w:val="24"/>
        </w:rPr>
        <w:t xml:space="preserve"> de plante. Din acest punct de vedere, terenurile agricole se grupează în cinci clase de calitate </w:t>
      </w:r>
      <w:r w:rsidR="00974557" w:rsidRPr="00EA1BB2">
        <w:rPr>
          <w:rFonts w:ascii="Cambria" w:eastAsia="Times New Roman" w:hAnsi="Cambria" w:cs="Times New Roman"/>
          <w:sz w:val="24"/>
          <w:szCs w:val="24"/>
        </w:rPr>
        <w:t>diferențiate</w:t>
      </w:r>
      <w:r w:rsidRPr="00EA1BB2">
        <w:rPr>
          <w:rFonts w:ascii="Cambria" w:eastAsia="Times New Roman" w:hAnsi="Cambria" w:cs="Times New Roman"/>
          <w:sz w:val="24"/>
          <w:szCs w:val="24"/>
        </w:rPr>
        <w:t xml:space="preserve"> după nota medie de bonitare (clasa I: 81 -100 puncte; clasa a II-a: 61 – 80 puncte, clasa a III-a: 41 – 60 puncte, clasa a IV-a: 21 – 40 punct</w:t>
      </w:r>
      <w:r w:rsidR="009F5436" w:rsidRPr="00EA1BB2">
        <w:rPr>
          <w:rFonts w:ascii="Cambria" w:eastAsia="Times New Roman" w:hAnsi="Cambria" w:cs="Times New Roman"/>
          <w:sz w:val="24"/>
          <w:szCs w:val="24"/>
        </w:rPr>
        <w:t>e, clasa a V-a: 1 – 20 puncte).</w:t>
      </w:r>
      <w:r w:rsidR="009F5436" w:rsidRPr="00EA1BB2">
        <w:rPr>
          <w:rStyle w:val="FootnoteReference"/>
          <w:rFonts w:ascii="Cambria" w:eastAsia="Times New Roman" w:hAnsi="Cambria" w:cs="Times New Roman"/>
          <w:sz w:val="24"/>
          <w:szCs w:val="24"/>
        </w:rPr>
        <w:footnoteReference w:id="13"/>
      </w:r>
    </w:p>
    <w:p w14:paraId="60D43D59" w14:textId="77777777" w:rsidR="00636142" w:rsidRPr="00EA1BB2" w:rsidRDefault="00636142" w:rsidP="00974557">
      <w:pPr>
        <w:spacing w:line="360" w:lineRule="auto"/>
        <w:ind w:firstLine="708"/>
        <w:jc w:val="both"/>
        <w:rPr>
          <w:rFonts w:ascii="Cambria" w:eastAsia="Times New Roman" w:hAnsi="Cambria" w:cs="Times New Roman"/>
          <w:sz w:val="24"/>
          <w:szCs w:val="24"/>
        </w:rPr>
      </w:pPr>
      <w:r w:rsidRPr="00EA1BB2">
        <w:rPr>
          <w:rFonts w:ascii="Cambria" w:eastAsia="Times New Roman" w:hAnsi="Cambria" w:cs="Times New Roman"/>
          <w:sz w:val="24"/>
          <w:szCs w:val="24"/>
        </w:rPr>
        <w:t xml:space="preserve">Clasele de calitate a terenurilor stabilesc pretabilitatea acestora pentru </w:t>
      </w:r>
      <w:r w:rsidR="00A102CE" w:rsidRPr="00EA1BB2">
        <w:rPr>
          <w:rFonts w:ascii="Cambria" w:eastAsia="Times New Roman" w:hAnsi="Cambria" w:cs="Times New Roman"/>
          <w:sz w:val="24"/>
          <w:szCs w:val="24"/>
        </w:rPr>
        <w:t>folosințele</w:t>
      </w:r>
      <w:r w:rsidRPr="00EA1BB2">
        <w:rPr>
          <w:rFonts w:ascii="Cambria" w:eastAsia="Times New Roman" w:hAnsi="Cambria" w:cs="Times New Roman"/>
          <w:sz w:val="24"/>
          <w:szCs w:val="24"/>
        </w:rPr>
        <w:t xml:space="preserve"> agricole. Numărul de puncte de bonitare se </w:t>
      </w:r>
      <w:r w:rsidR="00A102CE" w:rsidRPr="00EA1BB2">
        <w:rPr>
          <w:rFonts w:ascii="Cambria" w:eastAsia="Times New Roman" w:hAnsi="Cambria" w:cs="Times New Roman"/>
          <w:sz w:val="24"/>
          <w:szCs w:val="24"/>
        </w:rPr>
        <w:t>obține</w:t>
      </w:r>
      <w:r w:rsidRPr="00EA1BB2">
        <w:rPr>
          <w:rFonts w:ascii="Cambria" w:eastAsia="Times New Roman" w:hAnsi="Cambria" w:cs="Times New Roman"/>
          <w:sz w:val="24"/>
          <w:szCs w:val="24"/>
        </w:rPr>
        <w:t xml:space="preserve"> printr-o </w:t>
      </w:r>
      <w:r w:rsidR="00A102CE" w:rsidRPr="00EA1BB2">
        <w:rPr>
          <w:rFonts w:ascii="Cambria" w:eastAsia="Times New Roman" w:hAnsi="Cambria" w:cs="Times New Roman"/>
          <w:sz w:val="24"/>
          <w:szCs w:val="24"/>
        </w:rPr>
        <w:t>operațiune</w:t>
      </w:r>
      <w:r w:rsidRPr="00EA1BB2">
        <w:rPr>
          <w:rFonts w:ascii="Cambria" w:eastAsia="Times New Roman" w:hAnsi="Cambria" w:cs="Times New Roman"/>
          <w:sz w:val="24"/>
          <w:szCs w:val="24"/>
        </w:rPr>
        <w:t xml:space="preserve"> complexă de </w:t>
      </w:r>
      <w:r w:rsidR="00A102CE" w:rsidRPr="00EA1BB2">
        <w:rPr>
          <w:rFonts w:ascii="Cambria" w:eastAsia="Times New Roman" w:hAnsi="Cambria" w:cs="Times New Roman"/>
          <w:sz w:val="24"/>
          <w:szCs w:val="24"/>
        </w:rPr>
        <w:t>cunoaștere</w:t>
      </w:r>
      <w:r w:rsidRPr="00EA1BB2">
        <w:rPr>
          <w:rFonts w:ascii="Cambria" w:eastAsia="Times New Roman" w:hAnsi="Cambria" w:cs="Times New Roman"/>
          <w:sz w:val="24"/>
          <w:szCs w:val="24"/>
        </w:rPr>
        <w:t xml:space="preserve"> aprofundată a unui teren, exprimând favorabilitatea acestuia pentru </w:t>
      </w:r>
      <w:r w:rsidR="00A102CE" w:rsidRPr="00EA1BB2">
        <w:rPr>
          <w:rFonts w:ascii="Cambria" w:eastAsia="Times New Roman" w:hAnsi="Cambria" w:cs="Times New Roman"/>
          <w:sz w:val="24"/>
          <w:szCs w:val="24"/>
        </w:rPr>
        <w:t>cerințele</w:t>
      </w:r>
      <w:r w:rsidRPr="00EA1BB2">
        <w:rPr>
          <w:rFonts w:ascii="Cambria" w:eastAsia="Times New Roman" w:hAnsi="Cambria" w:cs="Times New Roman"/>
          <w:sz w:val="24"/>
          <w:szCs w:val="24"/>
        </w:rPr>
        <w:t xml:space="preserve"> de </w:t>
      </w:r>
      <w:r w:rsidR="00A15217" w:rsidRPr="00EA1BB2">
        <w:rPr>
          <w:rFonts w:ascii="Cambria" w:eastAsia="Times New Roman" w:hAnsi="Cambria" w:cs="Times New Roman"/>
          <w:sz w:val="24"/>
          <w:szCs w:val="24"/>
        </w:rPr>
        <w:t>existență</w:t>
      </w:r>
      <w:r w:rsidRPr="00EA1BB2">
        <w:rPr>
          <w:rFonts w:ascii="Cambria" w:eastAsia="Times New Roman" w:hAnsi="Cambria" w:cs="Times New Roman"/>
          <w:sz w:val="24"/>
          <w:szCs w:val="24"/>
        </w:rPr>
        <w:t xml:space="preserve"> ale unor plante de cultură date, în </w:t>
      </w:r>
      <w:r w:rsidR="00A102CE" w:rsidRPr="00EA1BB2">
        <w:rPr>
          <w:rFonts w:ascii="Cambria" w:eastAsia="Times New Roman" w:hAnsi="Cambria" w:cs="Times New Roman"/>
          <w:sz w:val="24"/>
          <w:szCs w:val="24"/>
        </w:rPr>
        <w:t>condiții</w:t>
      </w:r>
      <w:r w:rsidRPr="00EA1BB2">
        <w:rPr>
          <w:rFonts w:ascii="Cambria" w:eastAsia="Times New Roman" w:hAnsi="Cambria" w:cs="Times New Roman"/>
          <w:sz w:val="24"/>
          <w:szCs w:val="24"/>
        </w:rPr>
        <w:t xml:space="preserve"> climatice normale </w:t>
      </w:r>
      <w:r w:rsidR="00A102CE" w:rsidRPr="00EA1BB2">
        <w:rPr>
          <w:rFonts w:ascii="Cambria" w:eastAsia="Times New Roman" w:hAnsi="Cambria" w:cs="Times New Roman"/>
          <w:sz w:val="24"/>
          <w:szCs w:val="24"/>
        </w:rPr>
        <w:t>și</w:t>
      </w:r>
      <w:r w:rsidRPr="00EA1BB2">
        <w:rPr>
          <w:rFonts w:ascii="Cambria" w:eastAsia="Times New Roman" w:hAnsi="Cambria" w:cs="Times New Roman"/>
          <w:sz w:val="24"/>
          <w:szCs w:val="24"/>
        </w:rPr>
        <w:t xml:space="preserve"> în cadrul folosirii </w:t>
      </w:r>
      <w:r w:rsidR="00A102CE" w:rsidRPr="00EA1BB2">
        <w:rPr>
          <w:rFonts w:ascii="Cambria" w:eastAsia="Times New Roman" w:hAnsi="Cambria" w:cs="Times New Roman"/>
          <w:sz w:val="24"/>
          <w:szCs w:val="24"/>
        </w:rPr>
        <w:t>raționale</w:t>
      </w:r>
      <w:r w:rsidRPr="00EA1BB2">
        <w:rPr>
          <w:rFonts w:ascii="Cambria" w:eastAsia="Times New Roman" w:hAnsi="Cambria" w:cs="Times New Roman"/>
          <w:sz w:val="24"/>
          <w:szCs w:val="24"/>
        </w:rPr>
        <w:t>.</w:t>
      </w:r>
      <w:r w:rsidR="009F5436" w:rsidRPr="00EA1BB2">
        <w:rPr>
          <w:rStyle w:val="FootnoteReference"/>
          <w:rFonts w:ascii="Cambria" w:eastAsia="Times New Roman" w:hAnsi="Cambria" w:cs="Times New Roman"/>
          <w:sz w:val="24"/>
          <w:szCs w:val="24"/>
        </w:rPr>
        <w:footnoteReference w:id="14"/>
      </w:r>
    </w:p>
    <w:p w14:paraId="4942635C" w14:textId="77777777" w:rsidR="00042796" w:rsidRPr="00EA1BB2" w:rsidRDefault="00042796" w:rsidP="00974557">
      <w:pPr>
        <w:spacing w:line="360" w:lineRule="auto"/>
        <w:ind w:firstLine="708"/>
        <w:jc w:val="both"/>
        <w:rPr>
          <w:rFonts w:ascii="Cambria" w:eastAsia="Times New Roman" w:hAnsi="Cambria" w:cs="Times New Roman"/>
          <w:sz w:val="24"/>
          <w:szCs w:val="24"/>
        </w:rPr>
      </w:pPr>
    </w:p>
    <w:p w14:paraId="12EAAD12" w14:textId="655C5A8B" w:rsidR="00DF5CE0" w:rsidRPr="00EA1BB2" w:rsidRDefault="00DF5CE0" w:rsidP="00EE7599">
      <w:pPr>
        <w:pStyle w:val="Caption"/>
        <w:keepNext/>
        <w:spacing w:after="0" w:line="360" w:lineRule="auto"/>
        <w:ind w:firstLine="708"/>
        <w:jc w:val="both"/>
        <w:rPr>
          <w:rFonts w:ascii="Cambria" w:hAnsi="Cambria"/>
          <w:szCs w:val="24"/>
        </w:rPr>
      </w:pPr>
      <w:bookmarkStart w:id="101" w:name="_Toc526889778"/>
      <w:r w:rsidRPr="00EA1BB2">
        <w:rPr>
          <w:rFonts w:ascii="Cambria" w:hAnsi="Cambria"/>
          <w:szCs w:val="24"/>
        </w:rPr>
        <w:lastRenderedPageBreak/>
        <w:t xml:space="preserve">Tabelul nr. </w:t>
      </w:r>
      <w:r w:rsidR="000A2FE7" w:rsidRPr="00EA1BB2">
        <w:rPr>
          <w:rFonts w:ascii="Cambria" w:hAnsi="Cambria"/>
          <w:szCs w:val="24"/>
        </w:rPr>
        <w:fldChar w:fldCharType="begin"/>
      </w:r>
      <w:r w:rsidR="000A2FE7" w:rsidRPr="00EA1BB2">
        <w:rPr>
          <w:rFonts w:ascii="Cambria" w:hAnsi="Cambria"/>
          <w:szCs w:val="24"/>
        </w:rPr>
        <w:instrText xml:space="preserve"> STYLEREF 1 \s </w:instrText>
      </w:r>
      <w:r w:rsidR="000A2FE7" w:rsidRPr="00EA1BB2">
        <w:rPr>
          <w:rFonts w:ascii="Cambria" w:hAnsi="Cambria"/>
          <w:szCs w:val="24"/>
        </w:rPr>
        <w:fldChar w:fldCharType="separate"/>
      </w:r>
      <w:r w:rsidR="00567555">
        <w:rPr>
          <w:rFonts w:ascii="Cambria" w:hAnsi="Cambria"/>
          <w:noProof/>
          <w:szCs w:val="24"/>
        </w:rPr>
        <w:t>3</w:t>
      </w:r>
      <w:r w:rsidR="000A2FE7" w:rsidRPr="00EA1BB2">
        <w:rPr>
          <w:rFonts w:ascii="Cambria" w:hAnsi="Cambria"/>
          <w:szCs w:val="24"/>
        </w:rPr>
        <w:fldChar w:fldCharType="end"/>
      </w:r>
      <w:r w:rsidR="000A2FE7" w:rsidRPr="00EA1BB2">
        <w:rPr>
          <w:rFonts w:ascii="Cambria" w:hAnsi="Cambria"/>
          <w:szCs w:val="24"/>
        </w:rPr>
        <w:noBreakHyphen/>
      </w:r>
      <w:r w:rsidR="000A2FE7" w:rsidRPr="00EA1BB2">
        <w:rPr>
          <w:rFonts w:ascii="Cambria" w:hAnsi="Cambria"/>
          <w:szCs w:val="24"/>
        </w:rPr>
        <w:fldChar w:fldCharType="begin"/>
      </w:r>
      <w:r w:rsidR="000A2FE7" w:rsidRPr="00EA1BB2">
        <w:rPr>
          <w:rFonts w:ascii="Cambria" w:hAnsi="Cambria"/>
          <w:szCs w:val="24"/>
        </w:rPr>
        <w:instrText xml:space="preserve"> SEQ Tabelul_nr. \* ARABIC \s 1 </w:instrText>
      </w:r>
      <w:r w:rsidR="000A2FE7" w:rsidRPr="00EA1BB2">
        <w:rPr>
          <w:rFonts w:ascii="Cambria" w:hAnsi="Cambria"/>
          <w:szCs w:val="24"/>
        </w:rPr>
        <w:fldChar w:fldCharType="separate"/>
      </w:r>
      <w:r w:rsidR="00567555">
        <w:rPr>
          <w:rFonts w:ascii="Cambria" w:hAnsi="Cambria"/>
          <w:noProof/>
          <w:szCs w:val="24"/>
        </w:rPr>
        <w:t>9</w:t>
      </w:r>
      <w:r w:rsidR="000A2FE7" w:rsidRPr="00EA1BB2">
        <w:rPr>
          <w:rFonts w:ascii="Cambria" w:hAnsi="Cambria"/>
          <w:szCs w:val="24"/>
        </w:rPr>
        <w:fldChar w:fldCharType="end"/>
      </w:r>
      <w:r w:rsidRPr="00EA1BB2">
        <w:rPr>
          <w:rFonts w:ascii="Cambria" w:hAnsi="Cambria"/>
          <w:szCs w:val="24"/>
        </w:rPr>
        <w:t xml:space="preserve"> - </w:t>
      </w:r>
      <w:r w:rsidR="00E21918" w:rsidRPr="00EA1BB2">
        <w:rPr>
          <w:rFonts w:ascii="Cambria" w:hAnsi="Cambria"/>
          <w:szCs w:val="24"/>
        </w:rPr>
        <w:t>Repartiția</w:t>
      </w:r>
      <w:r w:rsidRPr="00EA1BB2">
        <w:rPr>
          <w:rFonts w:ascii="Cambria" w:hAnsi="Cambria"/>
          <w:szCs w:val="24"/>
        </w:rPr>
        <w:t xml:space="preserve"> terenurilor pe clase de pretabilitate în </w:t>
      </w:r>
      <w:r w:rsidR="00E21918" w:rsidRPr="00EA1BB2">
        <w:rPr>
          <w:rFonts w:ascii="Cambria" w:hAnsi="Cambria"/>
          <w:szCs w:val="24"/>
        </w:rPr>
        <w:t>județul</w:t>
      </w:r>
      <w:r w:rsidRPr="00EA1BB2">
        <w:rPr>
          <w:rFonts w:ascii="Cambria" w:hAnsi="Cambria"/>
          <w:szCs w:val="24"/>
        </w:rPr>
        <w:t xml:space="preserve"> Brăila</w:t>
      </w:r>
      <w:bookmarkEnd w:id="101"/>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3"/>
        <w:gridCol w:w="1217"/>
        <w:gridCol w:w="693"/>
        <w:gridCol w:w="881"/>
        <w:gridCol w:w="1014"/>
        <w:gridCol w:w="1098"/>
        <w:gridCol w:w="912"/>
        <w:gridCol w:w="1147"/>
        <w:gridCol w:w="1527"/>
      </w:tblGrid>
      <w:tr w:rsidR="00DF5CE0" w:rsidRPr="00EA1BB2" w14:paraId="02A3928E" w14:textId="77777777" w:rsidTr="00EE7599">
        <w:trPr>
          <w:jc w:val="center"/>
        </w:trPr>
        <w:tc>
          <w:tcPr>
            <w:tcW w:w="518"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4FFE4D8D" w14:textId="77777777" w:rsidR="00DF5CE0" w:rsidRPr="00EA1BB2" w:rsidRDefault="00DF5CE0" w:rsidP="00DF5CE0">
            <w:pPr>
              <w:spacing w:line="360" w:lineRule="auto"/>
              <w:jc w:val="center"/>
              <w:rPr>
                <w:rFonts w:ascii="Cambria" w:hAnsi="Cambria" w:cs="Arial"/>
                <w:b/>
                <w:sz w:val="24"/>
                <w:szCs w:val="24"/>
              </w:rPr>
            </w:pPr>
            <w:r w:rsidRPr="00EA1BB2">
              <w:rPr>
                <w:rFonts w:ascii="Cambria" w:hAnsi="Cambria" w:cs="Arial"/>
                <w:b/>
                <w:sz w:val="24"/>
                <w:szCs w:val="24"/>
              </w:rPr>
              <w:t>Nr. crt.</w:t>
            </w:r>
          </w:p>
        </w:tc>
        <w:tc>
          <w:tcPr>
            <w:tcW w:w="1220"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69F1F509" w14:textId="77777777" w:rsidR="00DF5CE0" w:rsidRPr="00EA1BB2" w:rsidRDefault="00DF5CE0" w:rsidP="00EE7599">
            <w:pPr>
              <w:spacing w:line="276" w:lineRule="auto"/>
              <w:jc w:val="center"/>
              <w:rPr>
                <w:rFonts w:ascii="Cambria" w:hAnsi="Cambria" w:cs="Arial"/>
                <w:b/>
                <w:sz w:val="24"/>
                <w:szCs w:val="24"/>
              </w:rPr>
            </w:pPr>
            <w:r w:rsidRPr="00EA1BB2">
              <w:rPr>
                <w:rFonts w:ascii="Cambria" w:hAnsi="Cambria" w:cs="Arial"/>
                <w:b/>
                <w:sz w:val="24"/>
                <w:szCs w:val="24"/>
              </w:rPr>
              <w:t>Tip de folosință</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25239CF" w14:textId="77777777" w:rsidR="00DF5CE0" w:rsidRPr="00EA1BB2" w:rsidRDefault="00DF5CE0" w:rsidP="00DF5CE0">
            <w:pPr>
              <w:spacing w:line="360" w:lineRule="auto"/>
              <w:jc w:val="center"/>
              <w:rPr>
                <w:rFonts w:ascii="Cambria" w:hAnsi="Cambria" w:cs="Arial"/>
                <w:b/>
                <w:sz w:val="24"/>
                <w:szCs w:val="24"/>
              </w:rPr>
            </w:pPr>
            <w:r w:rsidRPr="00EA1BB2">
              <w:rPr>
                <w:rFonts w:ascii="Cambria" w:hAnsi="Cambria" w:cs="Arial"/>
                <w:b/>
                <w:sz w:val="24"/>
                <w:szCs w:val="24"/>
              </w:rPr>
              <w:t>U.M.</w:t>
            </w:r>
          </w:p>
        </w:tc>
        <w:tc>
          <w:tcPr>
            <w:tcW w:w="6641" w:type="dxa"/>
            <w:gridSpan w:val="6"/>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7805E04" w14:textId="77777777" w:rsidR="00DF5CE0" w:rsidRPr="00EA1BB2" w:rsidRDefault="00DF5CE0" w:rsidP="00EE7599">
            <w:pPr>
              <w:spacing w:line="360" w:lineRule="auto"/>
              <w:jc w:val="center"/>
              <w:rPr>
                <w:rFonts w:ascii="Cambria" w:hAnsi="Cambria" w:cs="Arial"/>
                <w:b/>
                <w:sz w:val="24"/>
                <w:szCs w:val="24"/>
              </w:rPr>
            </w:pPr>
            <w:r w:rsidRPr="00EA1BB2">
              <w:rPr>
                <w:rFonts w:ascii="Cambria" w:hAnsi="Cambria" w:cs="Arial"/>
                <w:b/>
                <w:sz w:val="24"/>
                <w:szCs w:val="24"/>
              </w:rPr>
              <w:t>Clase de bonitate ale solurilor</w:t>
            </w:r>
          </w:p>
        </w:tc>
      </w:tr>
      <w:tr w:rsidR="00DF5CE0" w:rsidRPr="00EA1BB2" w14:paraId="5EC8EDD3" w14:textId="77777777" w:rsidTr="00EE7599">
        <w:trPr>
          <w:trHeight w:val="207"/>
          <w:jc w:val="center"/>
        </w:trPr>
        <w:tc>
          <w:tcPr>
            <w:tcW w:w="518"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583A068F" w14:textId="77777777" w:rsidR="00DF5CE0" w:rsidRPr="00EA1BB2" w:rsidRDefault="00DF5CE0" w:rsidP="00DF5CE0">
            <w:pPr>
              <w:spacing w:line="360" w:lineRule="auto"/>
              <w:jc w:val="center"/>
              <w:rPr>
                <w:rFonts w:ascii="Cambria" w:hAnsi="Cambria" w:cs="Arial"/>
                <w:b/>
                <w:sz w:val="24"/>
                <w:szCs w:val="24"/>
              </w:rPr>
            </w:pPr>
          </w:p>
        </w:tc>
        <w:tc>
          <w:tcPr>
            <w:tcW w:w="1220"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451A85E6" w14:textId="77777777" w:rsidR="00DF5CE0" w:rsidRPr="00EA1BB2" w:rsidRDefault="00DF5CE0" w:rsidP="00DF5CE0">
            <w:pPr>
              <w:spacing w:line="360" w:lineRule="auto"/>
              <w:jc w:val="center"/>
              <w:rPr>
                <w:rFonts w:ascii="Cambria" w:hAnsi="Cambria" w:cs="Arial"/>
                <w:b/>
                <w:sz w:val="24"/>
                <w:szCs w:val="24"/>
              </w:rPr>
            </w:pPr>
          </w:p>
        </w:tc>
        <w:tc>
          <w:tcPr>
            <w:tcW w:w="0" w:type="auto"/>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58FB341" w14:textId="77777777" w:rsidR="00DF5CE0" w:rsidRPr="00EA1BB2" w:rsidRDefault="00DF5CE0" w:rsidP="00DF5CE0">
            <w:pPr>
              <w:spacing w:line="360" w:lineRule="auto"/>
              <w:jc w:val="center"/>
              <w:rPr>
                <w:rFonts w:ascii="Cambria" w:hAnsi="Cambria" w:cs="Arial"/>
                <w:b/>
                <w:sz w:val="24"/>
                <w:szCs w:val="24"/>
              </w:rPr>
            </w:pPr>
          </w:p>
        </w:tc>
        <w:tc>
          <w:tcPr>
            <w:tcW w:w="0" w:type="auto"/>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4DC9145" w14:textId="77777777" w:rsidR="00DF5CE0" w:rsidRPr="00EA1BB2" w:rsidRDefault="00DF5CE0" w:rsidP="00DF5CE0">
            <w:pPr>
              <w:spacing w:line="360" w:lineRule="auto"/>
              <w:jc w:val="center"/>
              <w:rPr>
                <w:rFonts w:ascii="Cambria" w:hAnsi="Cambria" w:cs="Arial"/>
                <w:b/>
                <w:sz w:val="24"/>
                <w:szCs w:val="24"/>
              </w:rPr>
            </w:pPr>
            <w:r w:rsidRPr="00EA1BB2">
              <w:rPr>
                <w:rFonts w:ascii="Cambria" w:hAnsi="Cambria" w:cs="Arial"/>
                <w:b/>
                <w:sz w:val="24"/>
                <w:szCs w:val="24"/>
              </w:rPr>
              <w:t>I</w:t>
            </w:r>
          </w:p>
        </w:tc>
        <w:tc>
          <w:tcPr>
            <w:tcW w:w="0" w:type="auto"/>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6CBDB092" w14:textId="77777777" w:rsidR="00DF5CE0" w:rsidRPr="00EA1BB2" w:rsidRDefault="00DF5CE0" w:rsidP="00DF5CE0">
            <w:pPr>
              <w:spacing w:line="360" w:lineRule="auto"/>
              <w:jc w:val="center"/>
              <w:rPr>
                <w:rFonts w:ascii="Cambria" w:hAnsi="Cambria" w:cs="Arial"/>
                <w:b/>
                <w:sz w:val="24"/>
                <w:szCs w:val="24"/>
              </w:rPr>
            </w:pPr>
            <w:r w:rsidRPr="00EA1BB2">
              <w:rPr>
                <w:rFonts w:ascii="Cambria" w:hAnsi="Cambria" w:cs="Arial"/>
                <w:b/>
                <w:sz w:val="24"/>
                <w:szCs w:val="24"/>
              </w:rPr>
              <w:t>II</w:t>
            </w:r>
          </w:p>
        </w:tc>
        <w:tc>
          <w:tcPr>
            <w:tcW w:w="1106"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442BCD32" w14:textId="77777777" w:rsidR="00DF5CE0" w:rsidRPr="00EA1BB2" w:rsidRDefault="00DF5CE0" w:rsidP="00DF5CE0">
            <w:pPr>
              <w:spacing w:line="360" w:lineRule="auto"/>
              <w:jc w:val="center"/>
              <w:rPr>
                <w:rFonts w:ascii="Cambria" w:hAnsi="Cambria" w:cs="Arial"/>
                <w:b/>
                <w:sz w:val="24"/>
                <w:szCs w:val="24"/>
              </w:rPr>
            </w:pPr>
            <w:r w:rsidRPr="00EA1BB2">
              <w:rPr>
                <w:rFonts w:ascii="Cambria" w:hAnsi="Cambria" w:cs="Arial"/>
                <w:b/>
                <w:sz w:val="24"/>
                <w:szCs w:val="24"/>
              </w:rPr>
              <w:t>III</w:t>
            </w:r>
          </w:p>
        </w:tc>
        <w:tc>
          <w:tcPr>
            <w:tcW w:w="915"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5F6BD041" w14:textId="77777777" w:rsidR="00DF5CE0" w:rsidRPr="00EA1BB2" w:rsidRDefault="00DF5CE0" w:rsidP="00DF5CE0">
            <w:pPr>
              <w:spacing w:line="360" w:lineRule="auto"/>
              <w:jc w:val="center"/>
              <w:rPr>
                <w:rFonts w:ascii="Cambria" w:hAnsi="Cambria" w:cs="Arial"/>
                <w:b/>
                <w:sz w:val="24"/>
                <w:szCs w:val="24"/>
              </w:rPr>
            </w:pPr>
            <w:r w:rsidRPr="00EA1BB2">
              <w:rPr>
                <w:rFonts w:ascii="Cambria" w:hAnsi="Cambria" w:cs="Arial"/>
                <w:b/>
                <w:sz w:val="24"/>
                <w:szCs w:val="24"/>
              </w:rPr>
              <w:t>IV</w:t>
            </w:r>
          </w:p>
        </w:tc>
        <w:tc>
          <w:tcPr>
            <w:tcW w:w="0" w:type="auto"/>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46212654" w14:textId="77777777" w:rsidR="00DF5CE0" w:rsidRPr="00EA1BB2" w:rsidRDefault="00DF5CE0" w:rsidP="00DF5CE0">
            <w:pPr>
              <w:spacing w:line="360" w:lineRule="auto"/>
              <w:jc w:val="center"/>
              <w:rPr>
                <w:rFonts w:ascii="Cambria" w:hAnsi="Cambria" w:cs="Arial"/>
                <w:b/>
                <w:sz w:val="24"/>
                <w:szCs w:val="24"/>
              </w:rPr>
            </w:pPr>
            <w:r w:rsidRPr="00EA1BB2">
              <w:rPr>
                <w:rFonts w:ascii="Cambria" w:hAnsi="Cambria" w:cs="Arial"/>
                <w:b/>
                <w:sz w:val="24"/>
                <w:szCs w:val="24"/>
              </w:rPr>
              <w:t>V</w:t>
            </w:r>
          </w:p>
        </w:tc>
        <w:tc>
          <w:tcPr>
            <w:tcW w:w="1578"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0C840C2" w14:textId="77777777" w:rsidR="00DF5CE0" w:rsidRPr="00EA1BB2" w:rsidRDefault="00DF5CE0" w:rsidP="00EE7599">
            <w:pPr>
              <w:jc w:val="center"/>
              <w:rPr>
                <w:rFonts w:ascii="Cambria" w:hAnsi="Cambria" w:cs="Arial"/>
                <w:b/>
                <w:sz w:val="24"/>
                <w:szCs w:val="24"/>
              </w:rPr>
            </w:pPr>
            <w:r w:rsidRPr="00EA1BB2">
              <w:rPr>
                <w:rFonts w:ascii="Cambria" w:hAnsi="Cambria" w:cs="Arial"/>
                <w:b/>
                <w:sz w:val="24"/>
                <w:szCs w:val="24"/>
              </w:rPr>
              <w:t>Total cartat</w:t>
            </w:r>
          </w:p>
          <w:p w14:paraId="1D68F698" w14:textId="77777777" w:rsidR="00DF5CE0" w:rsidRPr="00EA1BB2" w:rsidRDefault="00DF5CE0" w:rsidP="005B216D">
            <w:pPr>
              <w:jc w:val="center"/>
              <w:rPr>
                <w:rFonts w:ascii="Cambria" w:hAnsi="Cambria" w:cs="Arial"/>
                <w:b/>
                <w:sz w:val="24"/>
                <w:szCs w:val="24"/>
              </w:rPr>
            </w:pPr>
            <w:r w:rsidRPr="00EA1BB2">
              <w:rPr>
                <w:rFonts w:ascii="Cambria" w:hAnsi="Cambria" w:cs="Arial"/>
                <w:b/>
                <w:sz w:val="24"/>
                <w:szCs w:val="24"/>
              </w:rPr>
              <w:t>(ha)</w:t>
            </w:r>
          </w:p>
        </w:tc>
      </w:tr>
      <w:tr w:rsidR="009F5436" w:rsidRPr="00EA1BB2" w14:paraId="2D11D5A8" w14:textId="77777777" w:rsidTr="00EE7599">
        <w:trPr>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589D5E" w14:textId="77777777" w:rsidR="009F5436" w:rsidRPr="00EA1BB2" w:rsidRDefault="009F5436" w:rsidP="009F5436">
            <w:pPr>
              <w:spacing w:line="360" w:lineRule="auto"/>
              <w:jc w:val="center"/>
              <w:rPr>
                <w:rFonts w:ascii="Cambria" w:hAnsi="Cambria" w:cs="Arial"/>
                <w:sz w:val="24"/>
                <w:szCs w:val="24"/>
              </w:rPr>
            </w:pPr>
            <w:r w:rsidRPr="00EA1BB2">
              <w:rPr>
                <w:rFonts w:ascii="Cambria" w:hAnsi="Cambria" w:cs="Arial"/>
                <w:sz w:val="24"/>
                <w:szCs w:val="24"/>
              </w:rPr>
              <w:t>1.</w:t>
            </w:r>
          </w:p>
        </w:tc>
        <w:tc>
          <w:tcPr>
            <w:tcW w:w="12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99FBE9" w14:textId="77777777" w:rsidR="009F5436" w:rsidRPr="00EA1BB2" w:rsidRDefault="009F5436" w:rsidP="00EE7599">
            <w:pPr>
              <w:spacing w:line="360" w:lineRule="auto"/>
              <w:rPr>
                <w:rFonts w:ascii="Cambria" w:hAnsi="Cambria" w:cs="Arial"/>
                <w:sz w:val="24"/>
                <w:szCs w:val="24"/>
              </w:rPr>
            </w:pPr>
            <w:r w:rsidRPr="00EA1BB2">
              <w:rPr>
                <w:rFonts w:ascii="Cambria" w:hAnsi="Cambria" w:cs="Arial"/>
                <w:sz w:val="24"/>
                <w:szCs w:val="24"/>
              </w:rPr>
              <w:t>Arabil</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D61EE8A" w14:textId="77777777" w:rsidR="009F5436" w:rsidRPr="00EA1BB2" w:rsidRDefault="009F5436" w:rsidP="009F5436">
            <w:pPr>
              <w:spacing w:line="360" w:lineRule="auto"/>
              <w:jc w:val="center"/>
              <w:rPr>
                <w:rFonts w:ascii="Cambria" w:hAnsi="Cambria" w:cs="Arial"/>
                <w:sz w:val="24"/>
                <w:szCs w:val="24"/>
              </w:rPr>
            </w:pPr>
            <w:r w:rsidRPr="00EA1BB2">
              <w:rPr>
                <w:rFonts w:ascii="Cambria" w:hAnsi="Cambria" w:cs="Arial"/>
                <w:sz w:val="24"/>
                <w:szCs w:val="24"/>
              </w:rPr>
              <w:t>ha</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108F641" w14:textId="77777777" w:rsidR="009F5436" w:rsidRPr="00EA1BB2" w:rsidRDefault="009F5436" w:rsidP="009F5436">
            <w:pPr>
              <w:spacing w:line="360" w:lineRule="auto"/>
              <w:jc w:val="center"/>
              <w:rPr>
                <w:rFonts w:ascii="Cambria" w:hAnsi="Cambria" w:cs="Arial"/>
                <w:sz w:val="24"/>
                <w:szCs w:val="24"/>
              </w:rPr>
            </w:pPr>
            <w:r w:rsidRPr="00EA1BB2">
              <w:rPr>
                <w:rFonts w:ascii="Cambria" w:hAnsi="Cambria"/>
                <w:sz w:val="24"/>
              </w:rPr>
              <w:t>24230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FDBF874" w14:textId="77777777" w:rsidR="009F5436" w:rsidRPr="00EA1BB2" w:rsidRDefault="009F5436" w:rsidP="009F5436">
            <w:pPr>
              <w:spacing w:line="360" w:lineRule="auto"/>
              <w:jc w:val="center"/>
              <w:rPr>
                <w:rFonts w:ascii="Cambria" w:hAnsi="Cambria" w:cs="Arial"/>
                <w:sz w:val="24"/>
                <w:szCs w:val="24"/>
              </w:rPr>
            </w:pPr>
            <w:r w:rsidRPr="00EA1BB2">
              <w:rPr>
                <w:rFonts w:ascii="Cambria" w:hAnsi="Cambria"/>
                <w:sz w:val="24"/>
              </w:rPr>
              <w:t>146194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4D72FA5" w14:textId="77777777" w:rsidR="009F5436" w:rsidRPr="00EA1BB2" w:rsidRDefault="009F5436" w:rsidP="009F5436">
            <w:pPr>
              <w:spacing w:line="360" w:lineRule="auto"/>
              <w:jc w:val="center"/>
              <w:rPr>
                <w:rFonts w:ascii="Cambria" w:hAnsi="Cambria" w:cs="Arial"/>
                <w:sz w:val="24"/>
                <w:szCs w:val="24"/>
              </w:rPr>
            </w:pPr>
            <w:r w:rsidRPr="00EA1BB2">
              <w:rPr>
                <w:rFonts w:ascii="Cambria" w:hAnsi="Cambria"/>
                <w:sz w:val="24"/>
              </w:rPr>
              <w:t>131086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E4B7494" w14:textId="77777777" w:rsidR="009F5436" w:rsidRPr="00EA1BB2" w:rsidRDefault="009F5436" w:rsidP="009F5436">
            <w:pPr>
              <w:spacing w:line="360" w:lineRule="auto"/>
              <w:jc w:val="center"/>
              <w:rPr>
                <w:rFonts w:ascii="Cambria" w:hAnsi="Cambria" w:cs="Arial"/>
                <w:sz w:val="24"/>
                <w:szCs w:val="24"/>
              </w:rPr>
            </w:pPr>
            <w:r w:rsidRPr="00EA1BB2">
              <w:rPr>
                <w:rFonts w:ascii="Cambria" w:hAnsi="Cambria"/>
                <w:sz w:val="24"/>
              </w:rPr>
              <w:t>35384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FC42EFA" w14:textId="77777777" w:rsidR="009F5436" w:rsidRPr="00EA1BB2" w:rsidRDefault="009F5436" w:rsidP="009F5436">
            <w:pPr>
              <w:spacing w:line="360" w:lineRule="auto"/>
              <w:jc w:val="center"/>
              <w:rPr>
                <w:rFonts w:ascii="Cambria" w:hAnsi="Cambria" w:cs="Arial"/>
                <w:sz w:val="24"/>
                <w:szCs w:val="24"/>
              </w:rPr>
            </w:pPr>
            <w:r w:rsidRPr="00EA1BB2">
              <w:rPr>
                <w:rFonts w:ascii="Cambria" w:hAnsi="Cambria"/>
                <w:sz w:val="24"/>
              </w:rPr>
              <w:t>3502862</w:t>
            </w:r>
          </w:p>
        </w:tc>
        <w:tc>
          <w:tcPr>
            <w:tcW w:w="1578" w:type="dxa"/>
            <w:tcBorders>
              <w:top w:val="single" w:sz="4" w:space="0" w:color="auto"/>
              <w:left w:val="single" w:sz="4" w:space="0" w:color="auto"/>
              <w:bottom w:val="single" w:sz="4" w:space="0" w:color="auto"/>
              <w:right w:val="single" w:sz="4" w:space="0" w:color="auto"/>
            </w:tcBorders>
            <w:shd w:val="clear" w:color="auto" w:fill="auto"/>
            <w:hideMark/>
          </w:tcPr>
          <w:p w14:paraId="644B0529" w14:textId="77777777" w:rsidR="009F5436" w:rsidRPr="00EA1BB2" w:rsidRDefault="00A15217" w:rsidP="009F5436">
            <w:pPr>
              <w:spacing w:line="360" w:lineRule="auto"/>
              <w:jc w:val="center"/>
              <w:rPr>
                <w:rFonts w:ascii="Cambria" w:hAnsi="Cambria" w:cs="Arial"/>
                <w:sz w:val="24"/>
                <w:szCs w:val="24"/>
              </w:rPr>
            </w:pPr>
            <w:r w:rsidRPr="00EA1BB2">
              <w:rPr>
                <w:rFonts w:ascii="Cambria" w:hAnsi="Cambria"/>
                <w:sz w:val="24"/>
              </w:rPr>
              <w:t>350</w:t>
            </w:r>
            <w:r w:rsidR="009F5436" w:rsidRPr="00EA1BB2">
              <w:rPr>
                <w:rFonts w:ascii="Cambria" w:hAnsi="Cambria"/>
                <w:sz w:val="24"/>
              </w:rPr>
              <w:t>862</w:t>
            </w:r>
          </w:p>
        </w:tc>
      </w:tr>
      <w:tr w:rsidR="009F5436" w:rsidRPr="00EA1BB2" w14:paraId="15996A6F" w14:textId="77777777" w:rsidTr="00EE7599">
        <w:trPr>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3E46C1" w14:textId="77777777" w:rsidR="009F5436" w:rsidRPr="00EA1BB2" w:rsidRDefault="009F5436" w:rsidP="009F5436">
            <w:pPr>
              <w:spacing w:line="360" w:lineRule="auto"/>
              <w:jc w:val="center"/>
              <w:rPr>
                <w:rFonts w:ascii="Cambria" w:hAnsi="Cambria" w:cs="Arial"/>
                <w:sz w:val="24"/>
                <w:szCs w:val="24"/>
              </w:rPr>
            </w:pPr>
            <w:r w:rsidRPr="00EA1BB2">
              <w:rPr>
                <w:rFonts w:ascii="Cambria" w:hAnsi="Cambria" w:cs="Arial"/>
                <w:sz w:val="24"/>
                <w:szCs w:val="24"/>
              </w:rPr>
              <w:t>2.</w:t>
            </w:r>
          </w:p>
        </w:tc>
        <w:tc>
          <w:tcPr>
            <w:tcW w:w="12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2D20D9" w14:textId="77777777" w:rsidR="009F5436" w:rsidRPr="00EA1BB2" w:rsidRDefault="009F5436" w:rsidP="00EE7599">
            <w:pPr>
              <w:spacing w:line="360" w:lineRule="auto"/>
              <w:rPr>
                <w:rFonts w:ascii="Cambria" w:hAnsi="Cambria" w:cs="Arial"/>
                <w:sz w:val="24"/>
                <w:szCs w:val="24"/>
              </w:rPr>
            </w:pPr>
            <w:r w:rsidRPr="00EA1BB2">
              <w:rPr>
                <w:rFonts w:ascii="Cambria" w:hAnsi="Cambria" w:cs="Arial"/>
                <w:sz w:val="24"/>
                <w:szCs w:val="24"/>
              </w:rPr>
              <w:t>Pășuni</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E51EA4B" w14:textId="77777777" w:rsidR="009F5436" w:rsidRPr="00EA1BB2" w:rsidRDefault="009F5436" w:rsidP="009F5436">
            <w:pPr>
              <w:spacing w:line="360" w:lineRule="auto"/>
              <w:jc w:val="center"/>
              <w:rPr>
                <w:rFonts w:ascii="Cambria" w:hAnsi="Cambria" w:cs="Arial"/>
                <w:sz w:val="24"/>
                <w:szCs w:val="24"/>
              </w:rPr>
            </w:pPr>
            <w:r w:rsidRPr="00EA1BB2">
              <w:rPr>
                <w:rFonts w:ascii="Cambria" w:hAnsi="Cambria" w:cs="Arial"/>
                <w:sz w:val="24"/>
                <w:szCs w:val="24"/>
              </w:rPr>
              <w:t>ha</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7960156" w14:textId="77777777" w:rsidR="009F5436" w:rsidRPr="00EA1BB2" w:rsidRDefault="009F5436" w:rsidP="009F5436">
            <w:pPr>
              <w:spacing w:line="360" w:lineRule="auto"/>
              <w:jc w:val="center"/>
              <w:rPr>
                <w:rFonts w:ascii="Cambria" w:hAnsi="Cambria" w:cs="Arial"/>
                <w:sz w:val="24"/>
                <w:szCs w:val="24"/>
              </w:rPr>
            </w:pPr>
            <w:r w:rsidRPr="00EA1BB2">
              <w:rPr>
                <w:rFonts w:ascii="Cambria" w:hAnsi="Cambria"/>
                <w:sz w:val="24"/>
              </w:rPr>
              <w:t>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0BDFBA8" w14:textId="77777777" w:rsidR="009F5436" w:rsidRPr="00EA1BB2" w:rsidRDefault="009F5436" w:rsidP="009F5436">
            <w:pPr>
              <w:spacing w:line="360" w:lineRule="auto"/>
              <w:jc w:val="center"/>
              <w:rPr>
                <w:rFonts w:ascii="Cambria" w:hAnsi="Cambria" w:cs="Arial"/>
                <w:sz w:val="24"/>
                <w:szCs w:val="24"/>
              </w:rPr>
            </w:pPr>
            <w:r w:rsidRPr="00EA1BB2">
              <w:rPr>
                <w:rFonts w:ascii="Cambria" w:hAnsi="Cambria"/>
                <w:sz w:val="24"/>
              </w:rPr>
              <w:t>2346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36C5DCF" w14:textId="77777777" w:rsidR="009F5436" w:rsidRPr="00EA1BB2" w:rsidRDefault="009F5436" w:rsidP="009F5436">
            <w:pPr>
              <w:spacing w:line="360" w:lineRule="auto"/>
              <w:jc w:val="center"/>
              <w:rPr>
                <w:rFonts w:ascii="Cambria" w:hAnsi="Cambria" w:cs="Arial"/>
                <w:sz w:val="24"/>
                <w:szCs w:val="24"/>
              </w:rPr>
            </w:pPr>
            <w:r w:rsidRPr="00EA1BB2">
              <w:rPr>
                <w:rFonts w:ascii="Cambria" w:hAnsi="Cambria"/>
                <w:sz w:val="24"/>
              </w:rPr>
              <w:t>11417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F5798C1" w14:textId="77777777" w:rsidR="009F5436" w:rsidRPr="00EA1BB2" w:rsidRDefault="009F5436" w:rsidP="009F5436">
            <w:pPr>
              <w:spacing w:line="360" w:lineRule="auto"/>
              <w:jc w:val="center"/>
              <w:rPr>
                <w:rFonts w:ascii="Cambria" w:hAnsi="Cambria" w:cs="Arial"/>
                <w:sz w:val="24"/>
                <w:szCs w:val="24"/>
              </w:rPr>
            </w:pPr>
            <w:r w:rsidRPr="00EA1BB2">
              <w:rPr>
                <w:rFonts w:ascii="Cambria" w:hAnsi="Cambria"/>
                <w:sz w:val="24"/>
              </w:rPr>
              <w:t>1611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E8BF3B0" w14:textId="77777777" w:rsidR="009F5436" w:rsidRPr="00EA1BB2" w:rsidRDefault="009F5436" w:rsidP="009F5436">
            <w:pPr>
              <w:spacing w:line="360" w:lineRule="auto"/>
              <w:jc w:val="center"/>
              <w:rPr>
                <w:rFonts w:ascii="Cambria" w:hAnsi="Cambria" w:cs="Arial"/>
                <w:sz w:val="24"/>
                <w:szCs w:val="24"/>
              </w:rPr>
            </w:pPr>
            <w:r w:rsidRPr="00EA1BB2">
              <w:rPr>
                <w:rFonts w:ascii="Cambria" w:hAnsi="Cambria"/>
                <w:sz w:val="24"/>
              </w:rPr>
              <w:t>31538</w:t>
            </w:r>
          </w:p>
        </w:tc>
        <w:tc>
          <w:tcPr>
            <w:tcW w:w="1578" w:type="dxa"/>
            <w:tcBorders>
              <w:top w:val="single" w:sz="4" w:space="0" w:color="auto"/>
              <w:left w:val="single" w:sz="4" w:space="0" w:color="auto"/>
              <w:bottom w:val="single" w:sz="4" w:space="0" w:color="auto"/>
              <w:right w:val="single" w:sz="4" w:space="0" w:color="auto"/>
            </w:tcBorders>
            <w:shd w:val="clear" w:color="auto" w:fill="auto"/>
            <w:hideMark/>
          </w:tcPr>
          <w:p w14:paraId="6A107D07" w14:textId="77777777" w:rsidR="009F5436" w:rsidRPr="00EA1BB2" w:rsidRDefault="009F5436" w:rsidP="009F5436">
            <w:pPr>
              <w:spacing w:line="360" w:lineRule="auto"/>
              <w:jc w:val="center"/>
              <w:rPr>
                <w:rFonts w:ascii="Cambria" w:hAnsi="Cambria" w:cs="Arial"/>
                <w:sz w:val="24"/>
                <w:szCs w:val="24"/>
              </w:rPr>
            </w:pPr>
            <w:r w:rsidRPr="00EA1BB2">
              <w:rPr>
                <w:rFonts w:ascii="Cambria" w:hAnsi="Cambria"/>
                <w:sz w:val="24"/>
              </w:rPr>
              <w:t>31538</w:t>
            </w:r>
          </w:p>
        </w:tc>
      </w:tr>
      <w:tr w:rsidR="009F5436" w:rsidRPr="00EA1BB2" w14:paraId="36776340" w14:textId="77777777" w:rsidTr="00EE7599">
        <w:trPr>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94E596" w14:textId="77777777" w:rsidR="009F5436" w:rsidRPr="00EA1BB2" w:rsidRDefault="009F5436" w:rsidP="009F5436">
            <w:pPr>
              <w:spacing w:line="360" w:lineRule="auto"/>
              <w:jc w:val="center"/>
              <w:rPr>
                <w:rFonts w:ascii="Cambria" w:hAnsi="Cambria" w:cs="Arial"/>
                <w:sz w:val="24"/>
                <w:szCs w:val="24"/>
              </w:rPr>
            </w:pPr>
            <w:r w:rsidRPr="00EA1BB2">
              <w:rPr>
                <w:rFonts w:ascii="Cambria" w:hAnsi="Cambria" w:cs="Arial"/>
                <w:sz w:val="24"/>
                <w:szCs w:val="24"/>
              </w:rPr>
              <w:t>3.</w:t>
            </w:r>
          </w:p>
        </w:tc>
        <w:tc>
          <w:tcPr>
            <w:tcW w:w="12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388D5A" w14:textId="77777777" w:rsidR="009F5436" w:rsidRPr="00EA1BB2" w:rsidRDefault="009F5436" w:rsidP="00EE7599">
            <w:pPr>
              <w:spacing w:line="360" w:lineRule="auto"/>
              <w:rPr>
                <w:rFonts w:ascii="Cambria" w:hAnsi="Cambria" w:cs="Arial"/>
                <w:sz w:val="24"/>
                <w:szCs w:val="24"/>
              </w:rPr>
            </w:pPr>
            <w:r w:rsidRPr="00EA1BB2">
              <w:rPr>
                <w:rFonts w:ascii="Cambria" w:hAnsi="Cambria" w:cs="Arial"/>
                <w:sz w:val="24"/>
                <w:szCs w:val="24"/>
              </w:rPr>
              <w:t>Vii</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49371B7" w14:textId="77777777" w:rsidR="009F5436" w:rsidRPr="00EA1BB2" w:rsidRDefault="009F5436" w:rsidP="009F5436">
            <w:pPr>
              <w:spacing w:line="360" w:lineRule="auto"/>
              <w:jc w:val="center"/>
              <w:rPr>
                <w:rFonts w:ascii="Cambria" w:hAnsi="Cambria" w:cs="Arial"/>
                <w:sz w:val="24"/>
                <w:szCs w:val="24"/>
              </w:rPr>
            </w:pPr>
            <w:r w:rsidRPr="00EA1BB2">
              <w:rPr>
                <w:rFonts w:ascii="Cambria" w:hAnsi="Cambria" w:cs="Arial"/>
                <w:sz w:val="24"/>
                <w:szCs w:val="24"/>
              </w:rPr>
              <w:t>ha</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77E3FEA" w14:textId="77777777" w:rsidR="009F5436" w:rsidRPr="00EA1BB2" w:rsidRDefault="009F5436" w:rsidP="009F5436">
            <w:pPr>
              <w:spacing w:line="360" w:lineRule="auto"/>
              <w:jc w:val="center"/>
              <w:rPr>
                <w:rFonts w:ascii="Cambria" w:hAnsi="Cambria" w:cs="Arial"/>
                <w:sz w:val="24"/>
                <w:szCs w:val="24"/>
              </w:rPr>
            </w:pPr>
            <w:r w:rsidRPr="00EA1BB2">
              <w:rPr>
                <w:rFonts w:ascii="Cambria" w:hAnsi="Cambria"/>
                <w:sz w:val="24"/>
              </w:rPr>
              <w:t>247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166C3F4" w14:textId="77777777" w:rsidR="009F5436" w:rsidRPr="00EA1BB2" w:rsidRDefault="009F5436" w:rsidP="009F5436">
            <w:pPr>
              <w:spacing w:line="360" w:lineRule="auto"/>
              <w:jc w:val="center"/>
              <w:rPr>
                <w:rFonts w:ascii="Cambria" w:hAnsi="Cambria" w:cs="Arial"/>
                <w:sz w:val="24"/>
                <w:szCs w:val="24"/>
              </w:rPr>
            </w:pPr>
            <w:r w:rsidRPr="00EA1BB2">
              <w:rPr>
                <w:rFonts w:ascii="Cambria" w:hAnsi="Cambria"/>
                <w:sz w:val="24"/>
              </w:rPr>
              <w:t>1715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E786093" w14:textId="77777777" w:rsidR="009F5436" w:rsidRPr="00EA1BB2" w:rsidRDefault="009F5436" w:rsidP="009F5436">
            <w:pPr>
              <w:spacing w:line="360" w:lineRule="auto"/>
              <w:jc w:val="center"/>
              <w:rPr>
                <w:rFonts w:ascii="Cambria" w:hAnsi="Cambria" w:cs="Arial"/>
                <w:sz w:val="24"/>
                <w:szCs w:val="24"/>
              </w:rPr>
            </w:pPr>
            <w:r w:rsidRPr="00EA1BB2">
              <w:rPr>
                <w:rFonts w:ascii="Cambria" w:hAnsi="Cambria"/>
                <w:sz w:val="24"/>
              </w:rPr>
              <w:t>1437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B1DC7B0" w14:textId="77777777" w:rsidR="009F5436" w:rsidRPr="00EA1BB2" w:rsidRDefault="009F5436" w:rsidP="009F5436">
            <w:pPr>
              <w:spacing w:line="360" w:lineRule="auto"/>
              <w:jc w:val="center"/>
              <w:rPr>
                <w:rFonts w:ascii="Cambria" w:hAnsi="Cambria" w:cs="Arial"/>
                <w:sz w:val="24"/>
                <w:szCs w:val="24"/>
              </w:rPr>
            </w:pPr>
            <w:r w:rsidRPr="00EA1BB2">
              <w:rPr>
                <w:rFonts w:ascii="Cambria" w:hAnsi="Cambria"/>
                <w:sz w:val="24"/>
              </w:rPr>
              <w:t>1131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0826E13" w14:textId="77777777" w:rsidR="009F5436" w:rsidRPr="00EA1BB2" w:rsidRDefault="009F5436" w:rsidP="009F5436">
            <w:pPr>
              <w:spacing w:line="360" w:lineRule="auto"/>
              <w:jc w:val="center"/>
              <w:rPr>
                <w:rFonts w:ascii="Cambria" w:hAnsi="Cambria" w:cs="Arial"/>
                <w:sz w:val="24"/>
                <w:szCs w:val="24"/>
              </w:rPr>
            </w:pPr>
            <w:r w:rsidRPr="00EA1BB2">
              <w:rPr>
                <w:rFonts w:ascii="Cambria" w:hAnsi="Cambria"/>
                <w:sz w:val="24"/>
              </w:rPr>
              <w:t>4560</w:t>
            </w:r>
          </w:p>
        </w:tc>
        <w:tc>
          <w:tcPr>
            <w:tcW w:w="1578" w:type="dxa"/>
            <w:tcBorders>
              <w:top w:val="single" w:sz="4" w:space="0" w:color="auto"/>
              <w:left w:val="single" w:sz="4" w:space="0" w:color="auto"/>
              <w:bottom w:val="single" w:sz="4" w:space="0" w:color="auto"/>
              <w:right w:val="single" w:sz="4" w:space="0" w:color="auto"/>
            </w:tcBorders>
            <w:shd w:val="clear" w:color="auto" w:fill="auto"/>
            <w:hideMark/>
          </w:tcPr>
          <w:p w14:paraId="16C59F27" w14:textId="77777777" w:rsidR="009F5436" w:rsidRPr="00EA1BB2" w:rsidRDefault="009F5436" w:rsidP="009F5436">
            <w:pPr>
              <w:spacing w:line="360" w:lineRule="auto"/>
              <w:jc w:val="center"/>
              <w:rPr>
                <w:rFonts w:ascii="Cambria" w:hAnsi="Cambria" w:cs="Arial"/>
                <w:sz w:val="24"/>
                <w:szCs w:val="24"/>
              </w:rPr>
            </w:pPr>
            <w:r w:rsidRPr="00EA1BB2">
              <w:rPr>
                <w:rFonts w:ascii="Cambria" w:hAnsi="Cambria"/>
                <w:sz w:val="24"/>
              </w:rPr>
              <w:t>4560</w:t>
            </w:r>
          </w:p>
        </w:tc>
      </w:tr>
      <w:tr w:rsidR="009F5436" w:rsidRPr="00EA1BB2" w14:paraId="22A03218" w14:textId="77777777" w:rsidTr="00EE7599">
        <w:trPr>
          <w:jc w:val="center"/>
        </w:trPr>
        <w:tc>
          <w:tcPr>
            <w:tcW w:w="5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275E0D" w14:textId="77777777" w:rsidR="009F5436" w:rsidRPr="00EA1BB2" w:rsidRDefault="009F5436" w:rsidP="009F5436">
            <w:pPr>
              <w:spacing w:line="360" w:lineRule="auto"/>
              <w:jc w:val="center"/>
              <w:rPr>
                <w:rFonts w:ascii="Cambria" w:hAnsi="Cambria" w:cs="Arial"/>
                <w:sz w:val="24"/>
                <w:szCs w:val="24"/>
              </w:rPr>
            </w:pPr>
            <w:r w:rsidRPr="00EA1BB2">
              <w:rPr>
                <w:rFonts w:ascii="Cambria" w:hAnsi="Cambria" w:cs="Arial"/>
                <w:sz w:val="24"/>
                <w:szCs w:val="24"/>
              </w:rPr>
              <w:t>4.</w:t>
            </w:r>
          </w:p>
        </w:tc>
        <w:tc>
          <w:tcPr>
            <w:tcW w:w="12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4FDD5C" w14:textId="77777777" w:rsidR="009F5436" w:rsidRPr="00EA1BB2" w:rsidRDefault="009F5436" w:rsidP="00EE7599">
            <w:pPr>
              <w:spacing w:line="360" w:lineRule="auto"/>
              <w:rPr>
                <w:rFonts w:ascii="Cambria" w:hAnsi="Cambria" w:cs="Arial"/>
                <w:sz w:val="24"/>
                <w:szCs w:val="24"/>
              </w:rPr>
            </w:pPr>
            <w:r w:rsidRPr="00EA1BB2">
              <w:rPr>
                <w:rFonts w:ascii="Cambria" w:hAnsi="Cambria" w:cs="Arial"/>
                <w:sz w:val="24"/>
                <w:szCs w:val="24"/>
              </w:rPr>
              <w:t>Livezi</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4EBD496" w14:textId="77777777" w:rsidR="009F5436" w:rsidRPr="00EA1BB2" w:rsidRDefault="009F5436" w:rsidP="009F5436">
            <w:pPr>
              <w:spacing w:line="360" w:lineRule="auto"/>
              <w:jc w:val="center"/>
              <w:rPr>
                <w:rFonts w:ascii="Cambria" w:hAnsi="Cambria" w:cs="Arial"/>
                <w:sz w:val="24"/>
                <w:szCs w:val="24"/>
              </w:rPr>
            </w:pPr>
            <w:r w:rsidRPr="00EA1BB2">
              <w:rPr>
                <w:rFonts w:ascii="Cambria" w:hAnsi="Cambria" w:cs="Arial"/>
                <w:sz w:val="24"/>
                <w:szCs w:val="24"/>
              </w:rPr>
              <w:t>ha</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64740E1" w14:textId="77777777" w:rsidR="009F5436" w:rsidRPr="00EA1BB2" w:rsidRDefault="009F5436" w:rsidP="009F5436">
            <w:pPr>
              <w:spacing w:line="360" w:lineRule="auto"/>
              <w:jc w:val="center"/>
              <w:rPr>
                <w:rFonts w:ascii="Cambria" w:hAnsi="Cambria" w:cs="Arial"/>
                <w:sz w:val="24"/>
                <w:szCs w:val="24"/>
              </w:rPr>
            </w:pPr>
            <w:r w:rsidRPr="00EA1BB2">
              <w:rPr>
                <w:rFonts w:ascii="Cambria" w:hAnsi="Cambria"/>
                <w:sz w:val="24"/>
              </w:rPr>
              <w:t>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690CF09" w14:textId="77777777" w:rsidR="009F5436" w:rsidRPr="00EA1BB2" w:rsidRDefault="009F5436" w:rsidP="009F5436">
            <w:pPr>
              <w:spacing w:line="360" w:lineRule="auto"/>
              <w:jc w:val="center"/>
              <w:rPr>
                <w:rFonts w:ascii="Cambria" w:hAnsi="Cambria" w:cs="Arial"/>
                <w:sz w:val="24"/>
                <w:szCs w:val="24"/>
              </w:rPr>
            </w:pPr>
            <w:r w:rsidRPr="00EA1BB2">
              <w:rPr>
                <w:rFonts w:ascii="Cambria" w:hAnsi="Cambria"/>
                <w:sz w:val="24"/>
              </w:rPr>
              <w:t>293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C6330D5" w14:textId="77777777" w:rsidR="009F5436" w:rsidRPr="00EA1BB2" w:rsidRDefault="009F5436" w:rsidP="009F5436">
            <w:pPr>
              <w:spacing w:line="360" w:lineRule="auto"/>
              <w:jc w:val="center"/>
              <w:rPr>
                <w:rFonts w:ascii="Cambria" w:hAnsi="Cambria" w:cs="Arial"/>
                <w:sz w:val="24"/>
                <w:szCs w:val="24"/>
              </w:rPr>
            </w:pPr>
            <w:r w:rsidRPr="00EA1BB2">
              <w:rPr>
                <w:rFonts w:ascii="Cambria" w:hAnsi="Cambria"/>
                <w:sz w:val="24"/>
              </w:rPr>
              <w:t>315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4554DCC" w14:textId="77777777" w:rsidR="009F5436" w:rsidRPr="00EA1BB2" w:rsidRDefault="009F5436" w:rsidP="009F5436">
            <w:pPr>
              <w:spacing w:line="360" w:lineRule="auto"/>
              <w:jc w:val="center"/>
              <w:rPr>
                <w:rFonts w:ascii="Cambria" w:hAnsi="Cambria" w:cs="Arial"/>
                <w:sz w:val="24"/>
                <w:szCs w:val="24"/>
              </w:rPr>
            </w:pPr>
            <w:r w:rsidRPr="00EA1BB2">
              <w:rPr>
                <w:rFonts w:ascii="Cambria" w:hAnsi="Cambria"/>
                <w:sz w:val="24"/>
              </w:rPr>
              <w:t>27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7964CAC" w14:textId="77777777" w:rsidR="009F5436" w:rsidRPr="00EA1BB2" w:rsidRDefault="009F5436" w:rsidP="009F5436">
            <w:pPr>
              <w:spacing w:line="360" w:lineRule="auto"/>
              <w:jc w:val="center"/>
              <w:rPr>
                <w:rFonts w:ascii="Cambria" w:hAnsi="Cambria" w:cs="Arial"/>
                <w:sz w:val="24"/>
                <w:szCs w:val="24"/>
              </w:rPr>
            </w:pPr>
            <w:r w:rsidRPr="00EA1BB2">
              <w:rPr>
                <w:rFonts w:ascii="Cambria" w:hAnsi="Cambria"/>
                <w:sz w:val="24"/>
              </w:rPr>
              <w:t>638</w:t>
            </w:r>
          </w:p>
        </w:tc>
        <w:tc>
          <w:tcPr>
            <w:tcW w:w="1578" w:type="dxa"/>
            <w:tcBorders>
              <w:top w:val="single" w:sz="4" w:space="0" w:color="auto"/>
              <w:left w:val="single" w:sz="4" w:space="0" w:color="auto"/>
              <w:bottom w:val="single" w:sz="4" w:space="0" w:color="auto"/>
              <w:right w:val="single" w:sz="4" w:space="0" w:color="auto"/>
            </w:tcBorders>
            <w:shd w:val="clear" w:color="auto" w:fill="auto"/>
            <w:hideMark/>
          </w:tcPr>
          <w:p w14:paraId="3C0839DA" w14:textId="77777777" w:rsidR="009F5436" w:rsidRPr="00EA1BB2" w:rsidRDefault="009F5436" w:rsidP="009F5436">
            <w:pPr>
              <w:spacing w:line="360" w:lineRule="auto"/>
              <w:jc w:val="center"/>
              <w:rPr>
                <w:rFonts w:ascii="Cambria" w:hAnsi="Cambria" w:cs="Arial"/>
                <w:sz w:val="24"/>
                <w:szCs w:val="24"/>
              </w:rPr>
            </w:pPr>
            <w:r w:rsidRPr="00EA1BB2">
              <w:rPr>
                <w:rFonts w:ascii="Cambria" w:hAnsi="Cambria"/>
                <w:sz w:val="24"/>
              </w:rPr>
              <w:t>638</w:t>
            </w:r>
          </w:p>
        </w:tc>
      </w:tr>
      <w:tr w:rsidR="009F5436" w:rsidRPr="00EA1BB2" w14:paraId="610518D4" w14:textId="77777777" w:rsidTr="00EE7599">
        <w:trPr>
          <w:jc w:val="center"/>
        </w:trPr>
        <w:tc>
          <w:tcPr>
            <w:tcW w:w="173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6AE8AA6" w14:textId="77777777" w:rsidR="009F5436" w:rsidRPr="00EA1BB2" w:rsidRDefault="009F5436" w:rsidP="009F5436">
            <w:pPr>
              <w:spacing w:line="360" w:lineRule="auto"/>
              <w:jc w:val="center"/>
              <w:rPr>
                <w:rFonts w:ascii="Cambria" w:hAnsi="Cambria" w:cs="Arial"/>
                <w:sz w:val="24"/>
                <w:szCs w:val="24"/>
              </w:rPr>
            </w:pPr>
            <w:r w:rsidRPr="00EA1BB2">
              <w:rPr>
                <w:rFonts w:ascii="Cambria" w:hAnsi="Cambria" w:cs="Arial"/>
                <w:sz w:val="24"/>
                <w:szCs w:val="24"/>
              </w:rPr>
              <w:t>Total</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109EA88" w14:textId="77777777" w:rsidR="009F5436" w:rsidRPr="00EA1BB2" w:rsidRDefault="009F5436" w:rsidP="009F5436">
            <w:pPr>
              <w:spacing w:line="360" w:lineRule="auto"/>
              <w:jc w:val="center"/>
              <w:rPr>
                <w:rFonts w:ascii="Cambria" w:hAnsi="Cambria" w:cs="Arial"/>
                <w:sz w:val="24"/>
                <w:szCs w:val="24"/>
              </w:rPr>
            </w:pPr>
            <w:r w:rsidRPr="00EA1BB2">
              <w:rPr>
                <w:rFonts w:ascii="Cambria" w:hAnsi="Cambria" w:cs="Arial"/>
                <w:sz w:val="24"/>
                <w:szCs w:val="24"/>
              </w:rPr>
              <w:t>ha</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477305C" w14:textId="77777777" w:rsidR="009F5436" w:rsidRPr="00EA1BB2" w:rsidRDefault="009F5436" w:rsidP="009F5436">
            <w:pPr>
              <w:spacing w:line="360" w:lineRule="auto"/>
              <w:jc w:val="center"/>
              <w:rPr>
                <w:rFonts w:ascii="Cambria" w:hAnsi="Cambria" w:cs="Arial"/>
                <w:sz w:val="24"/>
                <w:szCs w:val="24"/>
              </w:rPr>
            </w:pPr>
            <w:r w:rsidRPr="00EA1BB2">
              <w:rPr>
                <w:rFonts w:ascii="Cambria" w:hAnsi="Cambria"/>
                <w:sz w:val="24"/>
              </w:rPr>
              <w:t>24489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B8701CE" w14:textId="77777777" w:rsidR="009F5436" w:rsidRPr="00EA1BB2" w:rsidRDefault="009F5436" w:rsidP="009F5436">
            <w:pPr>
              <w:spacing w:line="360" w:lineRule="auto"/>
              <w:jc w:val="center"/>
              <w:rPr>
                <w:rFonts w:ascii="Cambria" w:hAnsi="Cambria" w:cs="Arial"/>
                <w:sz w:val="24"/>
                <w:szCs w:val="24"/>
              </w:rPr>
            </w:pPr>
            <w:r w:rsidRPr="00EA1BB2">
              <w:rPr>
                <w:rFonts w:ascii="Cambria" w:hAnsi="Cambria"/>
                <w:sz w:val="24"/>
              </w:rPr>
              <w:t>150548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55D0125" w14:textId="77777777" w:rsidR="009F5436" w:rsidRPr="00EA1BB2" w:rsidRDefault="009F5436" w:rsidP="009F5436">
            <w:pPr>
              <w:spacing w:line="360" w:lineRule="auto"/>
              <w:jc w:val="center"/>
              <w:rPr>
                <w:rFonts w:ascii="Cambria" w:hAnsi="Cambria" w:cs="Arial"/>
                <w:sz w:val="24"/>
                <w:szCs w:val="24"/>
              </w:rPr>
            </w:pPr>
            <w:r w:rsidRPr="00EA1BB2">
              <w:rPr>
                <w:rFonts w:ascii="Cambria" w:hAnsi="Cambria"/>
                <w:sz w:val="24"/>
              </w:rPr>
              <w:t>144255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C01C2F5" w14:textId="77777777" w:rsidR="009F5436" w:rsidRPr="00EA1BB2" w:rsidRDefault="009F5436" w:rsidP="009F5436">
            <w:pPr>
              <w:spacing w:line="360" w:lineRule="auto"/>
              <w:jc w:val="center"/>
              <w:rPr>
                <w:rFonts w:ascii="Cambria" w:hAnsi="Cambria" w:cs="Arial"/>
                <w:sz w:val="24"/>
                <w:szCs w:val="24"/>
              </w:rPr>
            </w:pPr>
            <w:r w:rsidRPr="00EA1BB2">
              <w:rPr>
                <w:rFonts w:ascii="Cambria" w:hAnsi="Cambria"/>
                <w:sz w:val="24"/>
              </w:rPr>
              <w:t>38503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AA0F4AB" w14:textId="77777777" w:rsidR="009F5436" w:rsidRPr="00EA1BB2" w:rsidRDefault="009F5436" w:rsidP="009F5436">
            <w:pPr>
              <w:spacing w:line="360" w:lineRule="auto"/>
              <w:jc w:val="center"/>
              <w:rPr>
                <w:rFonts w:ascii="Cambria" w:hAnsi="Cambria" w:cs="Arial"/>
                <w:sz w:val="24"/>
                <w:szCs w:val="24"/>
              </w:rPr>
            </w:pPr>
            <w:r w:rsidRPr="00EA1BB2">
              <w:rPr>
                <w:rFonts w:ascii="Cambria" w:hAnsi="Cambria"/>
                <w:sz w:val="24"/>
              </w:rPr>
              <w:t>29955</w:t>
            </w:r>
          </w:p>
        </w:tc>
        <w:tc>
          <w:tcPr>
            <w:tcW w:w="1578" w:type="dxa"/>
            <w:tcBorders>
              <w:top w:val="single" w:sz="4" w:space="0" w:color="auto"/>
              <w:left w:val="single" w:sz="4" w:space="0" w:color="auto"/>
              <w:bottom w:val="single" w:sz="4" w:space="0" w:color="auto"/>
              <w:right w:val="single" w:sz="4" w:space="0" w:color="auto"/>
            </w:tcBorders>
            <w:shd w:val="clear" w:color="auto" w:fill="auto"/>
            <w:hideMark/>
          </w:tcPr>
          <w:p w14:paraId="5BD6F86B" w14:textId="77777777" w:rsidR="009F5436" w:rsidRPr="00EA1BB2" w:rsidRDefault="009F5436" w:rsidP="009F5436">
            <w:pPr>
              <w:spacing w:line="360" w:lineRule="auto"/>
              <w:jc w:val="center"/>
              <w:rPr>
                <w:rFonts w:ascii="Cambria" w:hAnsi="Cambria" w:cs="Arial"/>
                <w:sz w:val="24"/>
                <w:szCs w:val="24"/>
              </w:rPr>
            </w:pPr>
            <w:r w:rsidRPr="00EA1BB2">
              <w:rPr>
                <w:rFonts w:ascii="Cambria" w:hAnsi="Cambria"/>
                <w:sz w:val="24"/>
              </w:rPr>
              <w:t>387598</w:t>
            </w:r>
          </w:p>
        </w:tc>
      </w:tr>
    </w:tbl>
    <w:p w14:paraId="1B9675CD" w14:textId="77777777" w:rsidR="00A102CE" w:rsidRPr="00EA1BB2" w:rsidRDefault="00DF5CE0" w:rsidP="005B216D">
      <w:pPr>
        <w:spacing w:line="276" w:lineRule="auto"/>
        <w:jc w:val="both"/>
        <w:rPr>
          <w:rFonts w:ascii="Cambria" w:hAnsi="Cambria" w:cs="Arial"/>
          <w:sz w:val="24"/>
          <w:szCs w:val="24"/>
        </w:rPr>
      </w:pPr>
      <w:r w:rsidRPr="00EA1BB2">
        <w:rPr>
          <w:rFonts w:ascii="Cambria" w:eastAsia="Times New Roman" w:hAnsi="Cambria" w:cs="Times New Roman"/>
          <w:szCs w:val="24"/>
        </w:rPr>
        <w:t>Sursa date: APM Brăila - Raportul anual privind starea mediului pentru județul Brăila - Anul 201</w:t>
      </w:r>
      <w:r w:rsidR="00A15217" w:rsidRPr="00EA1BB2">
        <w:rPr>
          <w:rFonts w:ascii="Cambria" w:eastAsia="Times New Roman" w:hAnsi="Cambria" w:cs="Times New Roman"/>
          <w:szCs w:val="24"/>
        </w:rPr>
        <w:t>3</w:t>
      </w:r>
    </w:p>
    <w:p w14:paraId="76320BD1" w14:textId="77777777" w:rsidR="005B216D" w:rsidRPr="00EA1BB2" w:rsidRDefault="005B216D" w:rsidP="005B216D">
      <w:pPr>
        <w:spacing w:line="276" w:lineRule="auto"/>
        <w:jc w:val="both"/>
        <w:rPr>
          <w:rFonts w:ascii="Cambria" w:eastAsia="Times New Roman" w:hAnsi="Cambria" w:cs="Times New Roman"/>
          <w:sz w:val="24"/>
          <w:szCs w:val="24"/>
        </w:rPr>
      </w:pPr>
    </w:p>
    <w:p w14:paraId="78FC42AA" w14:textId="362BA356" w:rsidR="00A102CE" w:rsidRPr="00EA1BB2" w:rsidRDefault="00A102CE" w:rsidP="00A102CE">
      <w:pPr>
        <w:pStyle w:val="Caption"/>
        <w:keepNext/>
        <w:spacing w:after="0" w:line="360" w:lineRule="auto"/>
        <w:ind w:firstLine="708"/>
        <w:jc w:val="both"/>
        <w:rPr>
          <w:rFonts w:ascii="Cambria" w:hAnsi="Cambria"/>
        </w:rPr>
      </w:pPr>
      <w:bookmarkStart w:id="102" w:name="_Toc524966214"/>
      <w:r w:rsidRPr="00EA1BB2">
        <w:rPr>
          <w:rFonts w:ascii="Cambria" w:hAnsi="Cambria"/>
          <w:szCs w:val="24"/>
        </w:rPr>
        <w:t>Figura nr.</w:t>
      </w:r>
      <w:r w:rsidR="00280BC9" w:rsidRPr="00EA1BB2">
        <w:rPr>
          <w:rFonts w:ascii="Cambria" w:hAnsi="Cambria"/>
        </w:rPr>
        <w:fldChar w:fldCharType="begin"/>
      </w:r>
      <w:r w:rsidR="00BA6FA3" w:rsidRPr="00EA1BB2">
        <w:rPr>
          <w:rFonts w:ascii="Cambria" w:hAnsi="Cambria"/>
        </w:rPr>
        <w:instrText xml:space="preserve"> STYLEREF 1 \s </w:instrText>
      </w:r>
      <w:r w:rsidR="00280BC9" w:rsidRPr="00EA1BB2">
        <w:rPr>
          <w:rFonts w:ascii="Cambria" w:hAnsi="Cambria"/>
        </w:rPr>
        <w:fldChar w:fldCharType="separate"/>
      </w:r>
      <w:r w:rsidR="00567555">
        <w:rPr>
          <w:rFonts w:ascii="Cambria" w:hAnsi="Cambria"/>
          <w:noProof/>
        </w:rPr>
        <w:t>3</w:t>
      </w:r>
      <w:r w:rsidR="00280BC9" w:rsidRPr="00EA1BB2">
        <w:rPr>
          <w:rFonts w:ascii="Cambria" w:hAnsi="Cambria"/>
        </w:rPr>
        <w:fldChar w:fldCharType="end"/>
      </w:r>
      <w:r w:rsidR="00BA6FA3" w:rsidRPr="00EA1BB2">
        <w:rPr>
          <w:rFonts w:ascii="Cambria" w:hAnsi="Cambria"/>
        </w:rPr>
        <w:noBreakHyphen/>
      </w:r>
      <w:r w:rsidR="00280BC9" w:rsidRPr="00EA1BB2">
        <w:rPr>
          <w:rFonts w:ascii="Cambria" w:hAnsi="Cambria"/>
        </w:rPr>
        <w:fldChar w:fldCharType="begin"/>
      </w:r>
      <w:r w:rsidR="00BA6FA3" w:rsidRPr="00EA1BB2">
        <w:rPr>
          <w:rFonts w:ascii="Cambria" w:hAnsi="Cambria"/>
        </w:rPr>
        <w:instrText xml:space="preserve"> SEQ Figura_nr. \* ARABIC \s 1 </w:instrText>
      </w:r>
      <w:r w:rsidR="00280BC9" w:rsidRPr="00EA1BB2">
        <w:rPr>
          <w:rFonts w:ascii="Cambria" w:hAnsi="Cambria"/>
        </w:rPr>
        <w:fldChar w:fldCharType="separate"/>
      </w:r>
      <w:r w:rsidR="00567555">
        <w:rPr>
          <w:rFonts w:ascii="Cambria" w:hAnsi="Cambria"/>
          <w:noProof/>
        </w:rPr>
        <w:t>3</w:t>
      </w:r>
      <w:r w:rsidR="00280BC9" w:rsidRPr="00EA1BB2">
        <w:rPr>
          <w:rFonts w:ascii="Cambria" w:hAnsi="Cambria"/>
        </w:rPr>
        <w:fldChar w:fldCharType="end"/>
      </w:r>
      <w:r w:rsidRPr="00EA1BB2">
        <w:rPr>
          <w:rFonts w:ascii="Cambria" w:hAnsi="Cambria"/>
        </w:rPr>
        <w:t xml:space="preserve"> – Gruparea terenurilor din județul Brăila în clase de calitate după pretabilitatea la folosința agricolă</w:t>
      </w:r>
      <w:bookmarkEnd w:id="102"/>
    </w:p>
    <w:p w14:paraId="009669C6" w14:textId="77777777" w:rsidR="00636142" w:rsidRPr="00EA1BB2" w:rsidRDefault="00636142" w:rsidP="00A102CE">
      <w:pPr>
        <w:spacing w:line="276" w:lineRule="auto"/>
        <w:jc w:val="both"/>
        <w:rPr>
          <w:rFonts w:ascii="Cambria" w:eastAsia="Times New Roman" w:hAnsi="Cambria" w:cs="Times New Roman"/>
          <w:sz w:val="24"/>
          <w:szCs w:val="24"/>
        </w:rPr>
      </w:pPr>
      <w:r w:rsidRPr="00EA1BB2">
        <w:rPr>
          <w:rFonts w:ascii="Cambria" w:eastAsia="Times New Roman" w:hAnsi="Cambria" w:cs="Times New Roman"/>
          <w:noProof/>
          <w:sz w:val="24"/>
          <w:szCs w:val="24"/>
          <w:lang w:val="en-US"/>
        </w:rPr>
        <w:drawing>
          <wp:inline distT="0" distB="0" distL="0" distR="0" wp14:anchorId="33B43D65" wp14:editId="24A407C9">
            <wp:extent cx="5731510" cy="3877945"/>
            <wp:effectExtent l="19050" t="19050" r="21590" b="273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tudiu-pedologic.jpg"/>
                    <pic:cNvPicPr/>
                  </pic:nvPicPr>
                  <pic:blipFill>
                    <a:blip r:embed="rId57">
                      <a:extLst>
                        <a:ext uri="{28A0092B-C50C-407E-A947-70E740481C1C}">
                          <a14:useLocalDpi xmlns:a14="http://schemas.microsoft.com/office/drawing/2010/main" val="0"/>
                        </a:ext>
                      </a:extLst>
                    </a:blip>
                    <a:stretch>
                      <a:fillRect/>
                    </a:stretch>
                  </pic:blipFill>
                  <pic:spPr>
                    <a:xfrm>
                      <a:off x="0" y="0"/>
                      <a:ext cx="5731510" cy="3877945"/>
                    </a:xfrm>
                    <a:prstGeom prst="rect">
                      <a:avLst/>
                    </a:prstGeom>
                    <a:ln>
                      <a:solidFill>
                        <a:schemeClr val="bg1">
                          <a:lumMod val="85000"/>
                        </a:schemeClr>
                      </a:solidFill>
                    </a:ln>
                  </pic:spPr>
                </pic:pic>
              </a:graphicData>
            </a:graphic>
          </wp:inline>
        </w:drawing>
      </w:r>
    </w:p>
    <w:p w14:paraId="256487B4" w14:textId="77777777" w:rsidR="00A102CE" w:rsidRPr="00EA1BB2" w:rsidRDefault="00A102CE" w:rsidP="009F5436">
      <w:pPr>
        <w:spacing w:line="276" w:lineRule="auto"/>
        <w:jc w:val="both"/>
        <w:rPr>
          <w:rFonts w:ascii="Cambria" w:eastAsia="Times New Roman" w:hAnsi="Cambria" w:cs="Times New Roman"/>
          <w:szCs w:val="24"/>
        </w:rPr>
      </w:pPr>
      <w:r w:rsidRPr="00EA1BB2">
        <w:rPr>
          <w:rFonts w:ascii="Cambria" w:eastAsia="Times New Roman" w:hAnsi="Cambria" w:cs="Times New Roman"/>
          <w:szCs w:val="24"/>
        </w:rPr>
        <w:t>Sursa: PATJ Brăila</w:t>
      </w:r>
    </w:p>
    <w:p w14:paraId="1CB6D5C4" w14:textId="77777777" w:rsidR="00A102CE" w:rsidRPr="00EA1BB2" w:rsidRDefault="00A102CE" w:rsidP="00ED596B">
      <w:pPr>
        <w:spacing w:line="360" w:lineRule="auto"/>
        <w:jc w:val="both"/>
        <w:rPr>
          <w:rFonts w:ascii="Cambria" w:eastAsia="Times New Roman" w:hAnsi="Cambria" w:cs="Times New Roman"/>
          <w:sz w:val="24"/>
          <w:szCs w:val="24"/>
          <w:highlight w:val="yellow"/>
        </w:rPr>
      </w:pPr>
    </w:p>
    <w:p w14:paraId="2D338939" w14:textId="77777777" w:rsidR="00ED596B" w:rsidRPr="00EA1BB2" w:rsidRDefault="00ED596B" w:rsidP="00ED596B">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Principalii agen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 economici din agricultură existen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 la nivelul jude</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ului Brăila, sunt prezenta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 în următorul tabel.</w:t>
      </w:r>
    </w:p>
    <w:p w14:paraId="2D2416B4" w14:textId="7E3F139D" w:rsidR="00ED596B" w:rsidRPr="00EA1BB2" w:rsidRDefault="00ED596B" w:rsidP="00ED596B">
      <w:pPr>
        <w:keepNext/>
        <w:spacing w:line="360" w:lineRule="auto"/>
        <w:ind w:firstLine="708"/>
        <w:jc w:val="both"/>
        <w:rPr>
          <w:rFonts w:ascii="Cambria" w:eastAsia="Times New Roman" w:hAnsi="Cambria" w:cs="Times New Roman"/>
          <w:b/>
          <w:sz w:val="24"/>
          <w:szCs w:val="24"/>
        </w:rPr>
      </w:pPr>
      <w:bookmarkStart w:id="103" w:name="_Toc452987732"/>
      <w:bookmarkStart w:id="104" w:name="_Toc461493297"/>
      <w:bookmarkStart w:id="105" w:name="_Toc466895964"/>
      <w:bookmarkStart w:id="106" w:name="_Toc526889779"/>
      <w:r w:rsidRPr="00EA1BB2">
        <w:rPr>
          <w:rFonts w:ascii="Cambria" w:eastAsia="Calibri" w:hAnsi="Cambria" w:cs="Times New Roman"/>
          <w:b/>
          <w:iCs/>
          <w:sz w:val="24"/>
          <w:szCs w:val="24"/>
        </w:rPr>
        <w:lastRenderedPageBreak/>
        <w:t xml:space="preserve">Tabelul nr. </w:t>
      </w:r>
      <w:r w:rsidR="000A2FE7" w:rsidRPr="00EA1BB2">
        <w:rPr>
          <w:rFonts w:ascii="Cambria" w:eastAsia="Calibri" w:hAnsi="Cambria" w:cs="Times New Roman"/>
          <w:b/>
          <w:iCs/>
          <w:sz w:val="24"/>
          <w:szCs w:val="24"/>
        </w:rPr>
        <w:fldChar w:fldCharType="begin"/>
      </w:r>
      <w:r w:rsidR="000A2FE7" w:rsidRPr="00EA1BB2">
        <w:rPr>
          <w:rFonts w:ascii="Cambria" w:eastAsia="Calibri" w:hAnsi="Cambria" w:cs="Times New Roman"/>
          <w:b/>
          <w:iCs/>
          <w:sz w:val="24"/>
          <w:szCs w:val="24"/>
        </w:rPr>
        <w:instrText xml:space="preserve"> STYLEREF 1 \s </w:instrText>
      </w:r>
      <w:r w:rsidR="000A2FE7" w:rsidRPr="00EA1BB2">
        <w:rPr>
          <w:rFonts w:ascii="Cambria" w:eastAsia="Calibri" w:hAnsi="Cambria" w:cs="Times New Roman"/>
          <w:b/>
          <w:iCs/>
          <w:sz w:val="24"/>
          <w:szCs w:val="24"/>
        </w:rPr>
        <w:fldChar w:fldCharType="separate"/>
      </w:r>
      <w:r w:rsidR="00567555">
        <w:rPr>
          <w:rFonts w:ascii="Cambria" w:eastAsia="Calibri" w:hAnsi="Cambria" w:cs="Times New Roman"/>
          <w:b/>
          <w:iCs/>
          <w:noProof/>
          <w:sz w:val="24"/>
          <w:szCs w:val="24"/>
        </w:rPr>
        <w:t>3</w:t>
      </w:r>
      <w:r w:rsidR="000A2FE7" w:rsidRPr="00EA1BB2">
        <w:rPr>
          <w:rFonts w:ascii="Cambria" w:eastAsia="Calibri" w:hAnsi="Cambria" w:cs="Times New Roman"/>
          <w:b/>
          <w:iCs/>
          <w:sz w:val="24"/>
          <w:szCs w:val="24"/>
        </w:rPr>
        <w:fldChar w:fldCharType="end"/>
      </w:r>
      <w:r w:rsidR="000A2FE7" w:rsidRPr="00EA1BB2">
        <w:rPr>
          <w:rFonts w:ascii="Cambria" w:eastAsia="Calibri" w:hAnsi="Cambria" w:cs="Times New Roman"/>
          <w:b/>
          <w:iCs/>
          <w:sz w:val="24"/>
          <w:szCs w:val="24"/>
        </w:rPr>
        <w:noBreakHyphen/>
      </w:r>
      <w:r w:rsidR="000A2FE7" w:rsidRPr="00EA1BB2">
        <w:rPr>
          <w:rFonts w:ascii="Cambria" w:eastAsia="Calibri" w:hAnsi="Cambria" w:cs="Times New Roman"/>
          <w:b/>
          <w:iCs/>
          <w:sz w:val="24"/>
          <w:szCs w:val="24"/>
        </w:rPr>
        <w:fldChar w:fldCharType="begin"/>
      </w:r>
      <w:r w:rsidR="000A2FE7" w:rsidRPr="00EA1BB2">
        <w:rPr>
          <w:rFonts w:ascii="Cambria" w:eastAsia="Calibri" w:hAnsi="Cambria" w:cs="Times New Roman"/>
          <w:b/>
          <w:iCs/>
          <w:sz w:val="24"/>
          <w:szCs w:val="24"/>
        </w:rPr>
        <w:instrText xml:space="preserve"> SEQ Tabelul_nr. \* ARABIC \s 1 </w:instrText>
      </w:r>
      <w:r w:rsidR="000A2FE7" w:rsidRPr="00EA1BB2">
        <w:rPr>
          <w:rFonts w:ascii="Cambria" w:eastAsia="Calibri" w:hAnsi="Cambria" w:cs="Times New Roman"/>
          <w:b/>
          <w:iCs/>
          <w:sz w:val="24"/>
          <w:szCs w:val="24"/>
        </w:rPr>
        <w:fldChar w:fldCharType="separate"/>
      </w:r>
      <w:r w:rsidR="00567555">
        <w:rPr>
          <w:rFonts w:ascii="Cambria" w:eastAsia="Calibri" w:hAnsi="Cambria" w:cs="Times New Roman"/>
          <w:b/>
          <w:iCs/>
          <w:noProof/>
          <w:sz w:val="24"/>
          <w:szCs w:val="24"/>
        </w:rPr>
        <w:t>10</w:t>
      </w:r>
      <w:r w:rsidR="000A2FE7" w:rsidRPr="00EA1BB2">
        <w:rPr>
          <w:rFonts w:ascii="Cambria" w:eastAsia="Calibri" w:hAnsi="Cambria" w:cs="Times New Roman"/>
          <w:b/>
          <w:iCs/>
          <w:sz w:val="24"/>
          <w:szCs w:val="24"/>
        </w:rPr>
        <w:fldChar w:fldCharType="end"/>
      </w:r>
      <w:bookmarkEnd w:id="103"/>
      <w:r w:rsidRPr="00EA1BB2">
        <w:rPr>
          <w:rFonts w:ascii="Cambria" w:eastAsia="Calibri" w:hAnsi="Cambria" w:cs="Times New Roman"/>
          <w:b/>
          <w:iCs/>
          <w:sz w:val="24"/>
          <w:szCs w:val="24"/>
        </w:rPr>
        <w:t xml:space="preserve"> - </w:t>
      </w:r>
      <w:r w:rsidRPr="00EA1BB2">
        <w:rPr>
          <w:rFonts w:ascii="Cambria" w:eastAsia="Times New Roman" w:hAnsi="Cambria" w:cs="Times New Roman"/>
          <w:b/>
          <w:sz w:val="24"/>
          <w:szCs w:val="24"/>
        </w:rPr>
        <w:t xml:space="preserve">Principalele surse de poluare din </w:t>
      </w:r>
      <w:bookmarkEnd w:id="104"/>
      <w:bookmarkEnd w:id="105"/>
      <w:r w:rsidRPr="00EA1BB2">
        <w:rPr>
          <w:rFonts w:ascii="Cambria" w:eastAsia="Times New Roman" w:hAnsi="Cambria" w:cs="Times New Roman"/>
          <w:b/>
          <w:sz w:val="24"/>
          <w:szCs w:val="24"/>
        </w:rPr>
        <w:t>sector agricultură în jude</w:t>
      </w:r>
      <w:r w:rsidR="00054880" w:rsidRPr="00EA1BB2">
        <w:rPr>
          <w:rFonts w:ascii="Cambria" w:eastAsia="Times New Roman" w:hAnsi="Cambria" w:cs="Times New Roman"/>
          <w:b/>
          <w:sz w:val="24"/>
          <w:szCs w:val="24"/>
        </w:rPr>
        <w:t>ț</w:t>
      </w:r>
      <w:r w:rsidRPr="00EA1BB2">
        <w:rPr>
          <w:rFonts w:ascii="Cambria" w:eastAsia="Times New Roman" w:hAnsi="Cambria" w:cs="Times New Roman"/>
          <w:b/>
          <w:sz w:val="24"/>
          <w:szCs w:val="24"/>
        </w:rPr>
        <w:t>ul Brăila</w:t>
      </w:r>
      <w:bookmarkEnd w:id="106"/>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32"/>
        <w:gridCol w:w="5033"/>
        <w:gridCol w:w="3402"/>
      </w:tblGrid>
      <w:tr w:rsidR="00ED596B" w:rsidRPr="00EA1BB2" w14:paraId="27E74BB3" w14:textId="77777777" w:rsidTr="009F5436">
        <w:trPr>
          <w:trHeight w:val="221"/>
          <w:tblHeader/>
          <w:jc w:val="center"/>
        </w:trPr>
        <w:tc>
          <w:tcPr>
            <w:tcW w:w="632"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5C87C20E" w14:textId="77777777" w:rsidR="00ED596B" w:rsidRPr="00EA1BB2" w:rsidRDefault="00ED596B" w:rsidP="00A25848">
            <w:pPr>
              <w:spacing w:line="360" w:lineRule="auto"/>
              <w:jc w:val="center"/>
              <w:rPr>
                <w:rFonts w:ascii="Cambria" w:eastAsia="Times New Roman" w:hAnsi="Cambria" w:cs="Times New Roman"/>
                <w:b/>
                <w:bCs/>
                <w:sz w:val="24"/>
                <w:szCs w:val="24"/>
              </w:rPr>
            </w:pPr>
            <w:r w:rsidRPr="00EA1BB2">
              <w:rPr>
                <w:rFonts w:ascii="Cambria" w:eastAsia="Times New Roman" w:hAnsi="Cambria" w:cs="Times New Roman"/>
                <w:b/>
                <w:bCs/>
                <w:sz w:val="24"/>
                <w:szCs w:val="24"/>
              </w:rPr>
              <w:t>Nr.</w:t>
            </w:r>
          </w:p>
          <w:p w14:paraId="5F2C804B" w14:textId="77777777" w:rsidR="00ED596B" w:rsidRPr="00EA1BB2" w:rsidRDefault="00ED596B" w:rsidP="00A25848">
            <w:pPr>
              <w:spacing w:line="360" w:lineRule="auto"/>
              <w:jc w:val="center"/>
              <w:rPr>
                <w:rFonts w:ascii="Cambria" w:eastAsia="Times New Roman" w:hAnsi="Cambria" w:cs="Times New Roman"/>
                <w:b/>
                <w:bCs/>
                <w:sz w:val="24"/>
                <w:szCs w:val="24"/>
              </w:rPr>
            </w:pPr>
            <w:r w:rsidRPr="00EA1BB2">
              <w:rPr>
                <w:rFonts w:ascii="Cambria" w:eastAsia="Times New Roman" w:hAnsi="Cambria" w:cs="Times New Roman"/>
                <w:b/>
                <w:bCs/>
                <w:sz w:val="24"/>
                <w:szCs w:val="24"/>
              </w:rPr>
              <w:t>crt.</w:t>
            </w:r>
          </w:p>
        </w:tc>
        <w:tc>
          <w:tcPr>
            <w:tcW w:w="5033"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4942A04D" w14:textId="77777777" w:rsidR="00ED596B" w:rsidRPr="00EA1BB2" w:rsidRDefault="00ED596B" w:rsidP="00A25848">
            <w:pPr>
              <w:spacing w:line="360" w:lineRule="auto"/>
              <w:jc w:val="center"/>
              <w:rPr>
                <w:rFonts w:ascii="Cambria" w:eastAsia="Times New Roman" w:hAnsi="Cambria" w:cs="Times New Roman"/>
                <w:b/>
                <w:bCs/>
                <w:sz w:val="24"/>
                <w:szCs w:val="24"/>
              </w:rPr>
            </w:pPr>
            <w:r w:rsidRPr="00EA1BB2">
              <w:rPr>
                <w:rFonts w:ascii="Cambria" w:eastAsia="Times New Roman" w:hAnsi="Cambria" w:cs="Times New Roman"/>
                <w:b/>
                <w:bCs/>
                <w:sz w:val="24"/>
                <w:szCs w:val="24"/>
              </w:rPr>
              <w:t>Sursa de poluare</w:t>
            </w:r>
          </w:p>
        </w:tc>
        <w:tc>
          <w:tcPr>
            <w:tcW w:w="3402"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1C0C88C2" w14:textId="77777777" w:rsidR="00ED596B" w:rsidRPr="00EA1BB2" w:rsidRDefault="00ED596B" w:rsidP="00A25848">
            <w:pPr>
              <w:spacing w:line="360" w:lineRule="auto"/>
              <w:jc w:val="center"/>
              <w:rPr>
                <w:rFonts w:ascii="Cambria" w:eastAsia="Times New Roman" w:hAnsi="Cambria" w:cs="Times New Roman"/>
                <w:b/>
                <w:bCs/>
                <w:sz w:val="24"/>
                <w:szCs w:val="24"/>
              </w:rPr>
            </w:pPr>
            <w:r w:rsidRPr="00EA1BB2">
              <w:rPr>
                <w:rFonts w:ascii="Cambria" w:eastAsia="Times New Roman" w:hAnsi="Cambria" w:cs="Times New Roman"/>
                <w:b/>
                <w:bCs/>
                <w:sz w:val="24"/>
                <w:szCs w:val="24"/>
              </w:rPr>
              <w:t>Activitatea desfă</w:t>
            </w:r>
            <w:r w:rsidR="00054880" w:rsidRPr="00EA1BB2">
              <w:rPr>
                <w:rFonts w:ascii="Cambria" w:eastAsia="Times New Roman" w:hAnsi="Cambria" w:cs="Times New Roman"/>
                <w:b/>
                <w:bCs/>
                <w:sz w:val="24"/>
                <w:szCs w:val="24"/>
              </w:rPr>
              <w:t>ș</w:t>
            </w:r>
            <w:r w:rsidRPr="00EA1BB2">
              <w:rPr>
                <w:rFonts w:ascii="Cambria" w:eastAsia="Times New Roman" w:hAnsi="Cambria" w:cs="Times New Roman"/>
                <w:b/>
                <w:bCs/>
                <w:sz w:val="24"/>
                <w:szCs w:val="24"/>
              </w:rPr>
              <w:t>urată</w:t>
            </w:r>
          </w:p>
        </w:tc>
      </w:tr>
      <w:tr w:rsidR="00ED596B" w:rsidRPr="00EA1BB2" w14:paraId="671B4588" w14:textId="77777777" w:rsidTr="00A25848">
        <w:trPr>
          <w:trHeight w:val="221"/>
          <w:jc w:val="center"/>
        </w:trPr>
        <w:tc>
          <w:tcPr>
            <w:tcW w:w="632" w:type="dxa"/>
            <w:tcBorders>
              <w:top w:val="single" w:sz="4" w:space="0" w:color="auto"/>
              <w:left w:val="single" w:sz="4" w:space="0" w:color="auto"/>
              <w:bottom w:val="single" w:sz="4" w:space="0" w:color="auto"/>
              <w:right w:val="single" w:sz="4" w:space="0" w:color="auto"/>
            </w:tcBorders>
            <w:vAlign w:val="center"/>
          </w:tcPr>
          <w:p w14:paraId="6F4FE7F8" w14:textId="77777777" w:rsidR="00ED596B" w:rsidRPr="00EA1BB2" w:rsidRDefault="00ED596B" w:rsidP="00A25848">
            <w:pPr>
              <w:spacing w:line="360" w:lineRule="auto"/>
              <w:jc w:val="center"/>
              <w:rPr>
                <w:rFonts w:ascii="Cambria" w:eastAsia="Times New Roman" w:hAnsi="Cambria" w:cs="Times New Roman"/>
                <w:sz w:val="24"/>
                <w:szCs w:val="24"/>
              </w:rPr>
            </w:pPr>
            <w:r w:rsidRPr="00EA1BB2">
              <w:rPr>
                <w:rFonts w:ascii="Cambria" w:eastAsia="Times New Roman" w:hAnsi="Cambria" w:cs="Times New Roman"/>
                <w:sz w:val="24"/>
                <w:szCs w:val="24"/>
              </w:rPr>
              <w:t>1</w:t>
            </w:r>
          </w:p>
        </w:tc>
        <w:tc>
          <w:tcPr>
            <w:tcW w:w="5033" w:type="dxa"/>
            <w:tcBorders>
              <w:top w:val="single" w:sz="4" w:space="0" w:color="auto"/>
              <w:left w:val="single" w:sz="4" w:space="0" w:color="auto"/>
              <w:bottom w:val="single" w:sz="4" w:space="0" w:color="auto"/>
              <w:right w:val="single" w:sz="4" w:space="0" w:color="auto"/>
            </w:tcBorders>
            <w:vAlign w:val="center"/>
          </w:tcPr>
          <w:p w14:paraId="6782FC0B" w14:textId="77777777" w:rsidR="00ED596B" w:rsidRPr="00EA1BB2" w:rsidRDefault="00ED596B" w:rsidP="00A25848">
            <w:pPr>
              <w:spacing w:line="360" w:lineRule="auto"/>
              <w:rPr>
                <w:rFonts w:ascii="Cambria" w:eastAsia="Times New Roman" w:hAnsi="Cambria" w:cs="Times New Roman"/>
                <w:sz w:val="24"/>
                <w:szCs w:val="24"/>
              </w:rPr>
            </w:pPr>
            <w:r w:rsidRPr="00EA1BB2">
              <w:rPr>
                <w:rFonts w:ascii="Cambria" w:eastAsia="Times New Roman" w:hAnsi="Cambria" w:cs="Times New Roman"/>
                <w:sz w:val="24"/>
                <w:szCs w:val="24"/>
              </w:rPr>
              <w:t>SUPER EGGS SRL Plopu</w:t>
            </w:r>
          </w:p>
          <w:p w14:paraId="270C2204" w14:textId="77777777" w:rsidR="00ED596B" w:rsidRPr="00EA1BB2" w:rsidRDefault="00ED596B" w:rsidP="00A25848">
            <w:pPr>
              <w:spacing w:line="360" w:lineRule="auto"/>
              <w:rPr>
                <w:rFonts w:ascii="Cambria" w:eastAsia="Times New Roman" w:hAnsi="Cambria" w:cs="Times New Roman"/>
                <w:sz w:val="24"/>
                <w:szCs w:val="24"/>
                <w:highlight w:val="yellow"/>
              </w:rPr>
            </w:pPr>
            <w:r w:rsidRPr="00EA1BB2">
              <w:rPr>
                <w:rFonts w:ascii="Cambria" w:eastAsia="Times New Roman" w:hAnsi="Cambria" w:cs="Times New Roman"/>
                <w:sz w:val="24"/>
                <w:szCs w:val="24"/>
              </w:rPr>
              <w:t>(fost AGRIMON SRL)</w:t>
            </w:r>
          </w:p>
        </w:tc>
        <w:tc>
          <w:tcPr>
            <w:tcW w:w="3402" w:type="dxa"/>
            <w:tcBorders>
              <w:top w:val="single" w:sz="4" w:space="0" w:color="auto"/>
              <w:left w:val="single" w:sz="4" w:space="0" w:color="auto"/>
              <w:bottom w:val="single" w:sz="4" w:space="0" w:color="auto"/>
              <w:right w:val="single" w:sz="4" w:space="0" w:color="auto"/>
            </w:tcBorders>
            <w:vAlign w:val="center"/>
          </w:tcPr>
          <w:p w14:paraId="1781BC23" w14:textId="77777777" w:rsidR="00ED596B" w:rsidRPr="00EA1BB2" w:rsidRDefault="00ED596B" w:rsidP="00A25848">
            <w:pPr>
              <w:spacing w:line="360" w:lineRule="auto"/>
              <w:jc w:val="center"/>
              <w:rPr>
                <w:rFonts w:ascii="Cambria" w:eastAsia="Times New Roman" w:hAnsi="Cambria" w:cs="Times New Roman"/>
                <w:sz w:val="24"/>
                <w:szCs w:val="24"/>
              </w:rPr>
            </w:pPr>
            <w:r w:rsidRPr="00EA1BB2">
              <w:rPr>
                <w:rFonts w:ascii="Cambria" w:eastAsia="Times New Roman" w:hAnsi="Cambria" w:cs="Times New Roman"/>
                <w:sz w:val="24"/>
                <w:szCs w:val="24"/>
              </w:rPr>
              <w:t>Cre</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terea păsărilor</w:t>
            </w:r>
          </w:p>
        </w:tc>
      </w:tr>
      <w:tr w:rsidR="00ED596B" w:rsidRPr="00EA1BB2" w14:paraId="43CA3E03" w14:textId="77777777" w:rsidTr="00A25848">
        <w:trPr>
          <w:trHeight w:val="221"/>
          <w:jc w:val="center"/>
        </w:trPr>
        <w:tc>
          <w:tcPr>
            <w:tcW w:w="632" w:type="dxa"/>
            <w:tcBorders>
              <w:top w:val="single" w:sz="4" w:space="0" w:color="auto"/>
              <w:left w:val="single" w:sz="4" w:space="0" w:color="auto"/>
              <w:bottom w:val="single" w:sz="4" w:space="0" w:color="auto"/>
              <w:right w:val="single" w:sz="4" w:space="0" w:color="auto"/>
            </w:tcBorders>
            <w:vAlign w:val="center"/>
          </w:tcPr>
          <w:p w14:paraId="1C4762CD" w14:textId="77777777" w:rsidR="00ED596B" w:rsidRPr="00EA1BB2" w:rsidRDefault="00ED596B" w:rsidP="00A25848">
            <w:pPr>
              <w:spacing w:line="360" w:lineRule="auto"/>
              <w:jc w:val="center"/>
              <w:rPr>
                <w:rFonts w:ascii="Cambria" w:eastAsia="Times New Roman" w:hAnsi="Cambria" w:cs="Times New Roman"/>
                <w:sz w:val="24"/>
                <w:szCs w:val="24"/>
              </w:rPr>
            </w:pPr>
            <w:r w:rsidRPr="00EA1BB2">
              <w:rPr>
                <w:rFonts w:ascii="Cambria" w:eastAsia="Times New Roman" w:hAnsi="Cambria" w:cs="Times New Roman"/>
                <w:sz w:val="24"/>
                <w:szCs w:val="24"/>
              </w:rPr>
              <w:t>2</w:t>
            </w:r>
          </w:p>
        </w:tc>
        <w:tc>
          <w:tcPr>
            <w:tcW w:w="5033" w:type="dxa"/>
            <w:tcBorders>
              <w:top w:val="single" w:sz="4" w:space="0" w:color="auto"/>
              <w:left w:val="single" w:sz="4" w:space="0" w:color="auto"/>
              <w:bottom w:val="single" w:sz="4" w:space="0" w:color="auto"/>
              <w:right w:val="single" w:sz="4" w:space="0" w:color="auto"/>
            </w:tcBorders>
            <w:vAlign w:val="center"/>
          </w:tcPr>
          <w:p w14:paraId="79A617A1" w14:textId="77777777" w:rsidR="00ED596B" w:rsidRPr="00EA1BB2" w:rsidRDefault="00ED596B" w:rsidP="00A25848">
            <w:pPr>
              <w:spacing w:line="360" w:lineRule="auto"/>
              <w:rPr>
                <w:rFonts w:ascii="Cambria" w:eastAsia="Times New Roman" w:hAnsi="Cambria" w:cs="Times New Roman"/>
                <w:sz w:val="24"/>
                <w:szCs w:val="24"/>
                <w:highlight w:val="yellow"/>
              </w:rPr>
            </w:pPr>
            <w:r w:rsidRPr="00EA1BB2">
              <w:rPr>
                <w:rFonts w:ascii="Cambria" w:eastAsia="Times New Roman" w:hAnsi="Cambria" w:cs="Times New Roman"/>
                <w:sz w:val="24"/>
                <w:szCs w:val="24"/>
              </w:rPr>
              <w:t>CODINTENSIV SRL Făurei</w:t>
            </w:r>
          </w:p>
        </w:tc>
        <w:tc>
          <w:tcPr>
            <w:tcW w:w="3402" w:type="dxa"/>
            <w:tcBorders>
              <w:top w:val="single" w:sz="4" w:space="0" w:color="auto"/>
              <w:left w:val="single" w:sz="4" w:space="0" w:color="auto"/>
              <w:bottom w:val="single" w:sz="4" w:space="0" w:color="auto"/>
              <w:right w:val="single" w:sz="4" w:space="0" w:color="auto"/>
            </w:tcBorders>
            <w:vAlign w:val="center"/>
          </w:tcPr>
          <w:p w14:paraId="73E56E6D" w14:textId="77777777" w:rsidR="00ED596B" w:rsidRPr="00EA1BB2" w:rsidRDefault="00ED596B" w:rsidP="00A25848">
            <w:pPr>
              <w:spacing w:line="360" w:lineRule="auto"/>
              <w:jc w:val="center"/>
              <w:rPr>
                <w:rFonts w:ascii="Cambria" w:eastAsia="Times New Roman" w:hAnsi="Cambria" w:cs="Times New Roman"/>
                <w:sz w:val="24"/>
                <w:szCs w:val="24"/>
              </w:rPr>
            </w:pPr>
            <w:r w:rsidRPr="00EA1BB2">
              <w:rPr>
                <w:rFonts w:ascii="Cambria" w:eastAsia="Times New Roman" w:hAnsi="Cambria" w:cs="Times New Roman"/>
                <w:sz w:val="24"/>
                <w:szCs w:val="24"/>
              </w:rPr>
              <w:t>Cre</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terea păsărilor</w:t>
            </w:r>
          </w:p>
        </w:tc>
      </w:tr>
      <w:tr w:rsidR="00ED596B" w:rsidRPr="00EA1BB2" w14:paraId="34CD305F" w14:textId="77777777" w:rsidTr="00A25848">
        <w:trPr>
          <w:trHeight w:val="221"/>
          <w:jc w:val="center"/>
        </w:trPr>
        <w:tc>
          <w:tcPr>
            <w:tcW w:w="632" w:type="dxa"/>
            <w:tcBorders>
              <w:top w:val="single" w:sz="4" w:space="0" w:color="auto"/>
              <w:left w:val="single" w:sz="4" w:space="0" w:color="auto"/>
              <w:bottom w:val="single" w:sz="4" w:space="0" w:color="auto"/>
              <w:right w:val="single" w:sz="4" w:space="0" w:color="auto"/>
            </w:tcBorders>
            <w:vAlign w:val="center"/>
          </w:tcPr>
          <w:p w14:paraId="40B9E104" w14:textId="77777777" w:rsidR="00ED596B" w:rsidRPr="00EA1BB2" w:rsidRDefault="00ED596B" w:rsidP="00A25848">
            <w:pPr>
              <w:spacing w:line="360" w:lineRule="auto"/>
              <w:jc w:val="center"/>
              <w:rPr>
                <w:rFonts w:ascii="Cambria" w:eastAsia="Times New Roman" w:hAnsi="Cambria" w:cs="Times New Roman"/>
                <w:sz w:val="24"/>
                <w:szCs w:val="24"/>
              </w:rPr>
            </w:pPr>
            <w:r w:rsidRPr="00EA1BB2">
              <w:rPr>
                <w:rFonts w:ascii="Cambria" w:eastAsia="Times New Roman" w:hAnsi="Cambria" w:cs="Times New Roman"/>
                <w:sz w:val="24"/>
                <w:szCs w:val="24"/>
              </w:rPr>
              <w:t>3</w:t>
            </w:r>
          </w:p>
        </w:tc>
        <w:tc>
          <w:tcPr>
            <w:tcW w:w="5033" w:type="dxa"/>
            <w:tcBorders>
              <w:top w:val="single" w:sz="4" w:space="0" w:color="auto"/>
              <w:left w:val="single" w:sz="4" w:space="0" w:color="auto"/>
              <w:bottom w:val="single" w:sz="4" w:space="0" w:color="auto"/>
              <w:right w:val="single" w:sz="4" w:space="0" w:color="auto"/>
            </w:tcBorders>
            <w:vAlign w:val="center"/>
          </w:tcPr>
          <w:p w14:paraId="35FA2DD2" w14:textId="77777777" w:rsidR="00ED596B" w:rsidRPr="00EA1BB2" w:rsidRDefault="00ED596B" w:rsidP="00A25848">
            <w:pPr>
              <w:spacing w:line="360" w:lineRule="auto"/>
              <w:rPr>
                <w:rFonts w:ascii="Cambria" w:eastAsia="Times New Roman" w:hAnsi="Cambria" w:cs="Times New Roman"/>
                <w:sz w:val="24"/>
                <w:szCs w:val="24"/>
                <w:highlight w:val="yellow"/>
              </w:rPr>
            </w:pPr>
            <w:r w:rsidRPr="00EA1BB2">
              <w:rPr>
                <w:rFonts w:ascii="Cambria" w:eastAsia="Times New Roman" w:hAnsi="Cambria" w:cs="Times New Roman"/>
                <w:sz w:val="24"/>
                <w:szCs w:val="24"/>
              </w:rPr>
              <w:t>CRUCIANI IMPEX SRL Dedule</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ti</w:t>
            </w:r>
          </w:p>
        </w:tc>
        <w:tc>
          <w:tcPr>
            <w:tcW w:w="3402" w:type="dxa"/>
            <w:tcBorders>
              <w:top w:val="single" w:sz="4" w:space="0" w:color="auto"/>
              <w:left w:val="single" w:sz="4" w:space="0" w:color="auto"/>
              <w:bottom w:val="single" w:sz="4" w:space="0" w:color="auto"/>
              <w:right w:val="single" w:sz="4" w:space="0" w:color="auto"/>
            </w:tcBorders>
            <w:vAlign w:val="center"/>
          </w:tcPr>
          <w:p w14:paraId="59BCA32F" w14:textId="77777777" w:rsidR="00ED596B" w:rsidRPr="00EA1BB2" w:rsidRDefault="00ED596B" w:rsidP="00A25848">
            <w:pPr>
              <w:spacing w:line="360" w:lineRule="auto"/>
              <w:jc w:val="center"/>
              <w:rPr>
                <w:rFonts w:ascii="Cambria" w:eastAsia="Times New Roman" w:hAnsi="Cambria" w:cs="Times New Roman"/>
                <w:sz w:val="24"/>
                <w:szCs w:val="24"/>
              </w:rPr>
            </w:pPr>
            <w:r w:rsidRPr="00EA1BB2">
              <w:rPr>
                <w:rFonts w:ascii="Cambria" w:eastAsia="Times New Roman" w:hAnsi="Cambria" w:cs="Times New Roman"/>
                <w:sz w:val="24"/>
                <w:szCs w:val="24"/>
              </w:rPr>
              <w:t>Cre</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terea păsărilor</w:t>
            </w:r>
          </w:p>
        </w:tc>
      </w:tr>
      <w:tr w:rsidR="00ED596B" w:rsidRPr="00EA1BB2" w14:paraId="77D7FE18" w14:textId="77777777" w:rsidTr="00A25848">
        <w:trPr>
          <w:trHeight w:val="221"/>
          <w:jc w:val="center"/>
        </w:trPr>
        <w:tc>
          <w:tcPr>
            <w:tcW w:w="632" w:type="dxa"/>
            <w:tcBorders>
              <w:top w:val="single" w:sz="4" w:space="0" w:color="auto"/>
              <w:left w:val="single" w:sz="4" w:space="0" w:color="auto"/>
              <w:bottom w:val="single" w:sz="4" w:space="0" w:color="auto"/>
              <w:right w:val="single" w:sz="4" w:space="0" w:color="auto"/>
            </w:tcBorders>
            <w:vAlign w:val="center"/>
          </w:tcPr>
          <w:p w14:paraId="3EC56E60" w14:textId="77777777" w:rsidR="00ED596B" w:rsidRPr="00EA1BB2" w:rsidRDefault="00ED596B" w:rsidP="00A25848">
            <w:pPr>
              <w:spacing w:line="360" w:lineRule="auto"/>
              <w:jc w:val="center"/>
              <w:rPr>
                <w:rFonts w:ascii="Cambria" w:eastAsia="Times New Roman" w:hAnsi="Cambria" w:cs="Times New Roman"/>
                <w:sz w:val="24"/>
                <w:szCs w:val="24"/>
              </w:rPr>
            </w:pPr>
            <w:r w:rsidRPr="00EA1BB2">
              <w:rPr>
                <w:rFonts w:ascii="Cambria" w:eastAsia="Times New Roman" w:hAnsi="Cambria" w:cs="Times New Roman"/>
                <w:sz w:val="24"/>
                <w:szCs w:val="24"/>
              </w:rPr>
              <w:t>4</w:t>
            </w:r>
          </w:p>
        </w:tc>
        <w:tc>
          <w:tcPr>
            <w:tcW w:w="5033" w:type="dxa"/>
            <w:tcBorders>
              <w:top w:val="single" w:sz="4" w:space="0" w:color="auto"/>
              <w:left w:val="single" w:sz="4" w:space="0" w:color="auto"/>
              <w:bottom w:val="single" w:sz="4" w:space="0" w:color="auto"/>
              <w:right w:val="single" w:sz="4" w:space="0" w:color="auto"/>
            </w:tcBorders>
            <w:vAlign w:val="center"/>
          </w:tcPr>
          <w:p w14:paraId="372825C1" w14:textId="77777777" w:rsidR="00ED596B" w:rsidRPr="00EA1BB2" w:rsidRDefault="00ED596B" w:rsidP="00A25848">
            <w:pPr>
              <w:spacing w:line="360" w:lineRule="auto"/>
              <w:rPr>
                <w:rFonts w:ascii="Cambria" w:eastAsia="Times New Roman" w:hAnsi="Cambria" w:cs="Times New Roman"/>
                <w:sz w:val="24"/>
                <w:szCs w:val="24"/>
              </w:rPr>
            </w:pPr>
            <w:r w:rsidRPr="00EA1BB2">
              <w:rPr>
                <w:rFonts w:ascii="Cambria" w:eastAsia="Times New Roman" w:hAnsi="Cambria" w:cs="Times New Roman"/>
                <w:sz w:val="24"/>
                <w:szCs w:val="24"/>
              </w:rPr>
              <w:t>SUPER EGGS SRL Opri</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ene</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ti</w:t>
            </w:r>
          </w:p>
          <w:p w14:paraId="1A3D1E87" w14:textId="77777777" w:rsidR="00ED596B" w:rsidRPr="00EA1BB2" w:rsidRDefault="00ED596B" w:rsidP="00A25848">
            <w:pPr>
              <w:spacing w:line="360" w:lineRule="auto"/>
              <w:rPr>
                <w:rFonts w:ascii="Cambria" w:eastAsia="Times New Roman" w:hAnsi="Cambria" w:cs="Times New Roman"/>
                <w:sz w:val="24"/>
                <w:szCs w:val="24"/>
                <w:highlight w:val="yellow"/>
              </w:rPr>
            </w:pPr>
            <w:r w:rsidRPr="00EA1BB2">
              <w:rPr>
                <w:rFonts w:ascii="Cambria" w:eastAsia="Times New Roman" w:hAnsi="Cambria" w:cs="Times New Roman"/>
                <w:sz w:val="24"/>
                <w:szCs w:val="24"/>
              </w:rPr>
              <w:t>(fost DRYMON SRL)</w:t>
            </w:r>
          </w:p>
        </w:tc>
        <w:tc>
          <w:tcPr>
            <w:tcW w:w="3402" w:type="dxa"/>
            <w:tcBorders>
              <w:top w:val="single" w:sz="4" w:space="0" w:color="auto"/>
              <w:left w:val="single" w:sz="4" w:space="0" w:color="auto"/>
              <w:bottom w:val="single" w:sz="4" w:space="0" w:color="auto"/>
              <w:right w:val="single" w:sz="4" w:space="0" w:color="auto"/>
            </w:tcBorders>
            <w:vAlign w:val="center"/>
          </w:tcPr>
          <w:p w14:paraId="35C8EA79" w14:textId="77777777" w:rsidR="00ED596B" w:rsidRPr="00EA1BB2" w:rsidRDefault="00ED596B" w:rsidP="00A25848">
            <w:pPr>
              <w:spacing w:line="360" w:lineRule="auto"/>
              <w:jc w:val="center"/>
              <w:rPr>
                <w:rFonts w:ascii="Cambria" w:eastAsia="Times New Roman" w:hAnsi="Cambria" w:cs="Times New Roman"/>
                <w:sz w:val="24"/>
                <w:szCs w:val="24"/>
              </w:rPr>
            </w:pPr>
            <w:r w:rsidRPr="00EA1BB2">
              <w:rPr>
                <w:rFonts w:ascii="Cambria" w:eastAsia="Times New Roman" w:hAnsi="Cambria" w:cs="Times New Roman"/>
                <w:sz w:val="24"/>
                <w:szCs w:val="24"/>
              </w:rPr>
              <w:t>Cre</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terea păsărilor</w:t>
            </w:r>
          </w:p>
        </w:tc>
      </w:tr>
      <w:tr w:rsidR="00ED596B" w:rsidRPr="00EA1BB2" w14:paraId="639326A3" w14:textId="77777777" w:rsidTr="00A25848">
        <w:trPr>
          <w:trHeight w:val="221"/>
          <w:jc w:val="center"/>
        </w:trPr>
        <w:tc>
          <w:tcPr>
            <w:tcW w:w="632" w:type="dxa"/>
            <w:tcBorders>
              <w:top w:val="single" w:sz="4" w:space="0" w:color="auto"/>
              <w:left w:val="single" w:sz="4" w:space="0" w:color="auto"/>
              <w:bottom w:val="single" w:sz="4" w:space="0" w:color="auto"/>
              <w:right w:val="single" w:sz="4" w:space="0" w:color="auto"/>
            </w:tcBorders>
            <w:vAlign w:val="center"/>
          </w:tcPr>
          <w:p w14:paraId="343BCC44" w14:textId="77777777" w:rsidR="00ED596B" w:rsidRPr="00EA1BB2" w:rsidRDefault="00ED596B" w:rsidP="00A25848">
            <w:pPr>
              <w:spacing w:line="360" w:lineRule="auto"/>
              <w:jc w:val="center"/>
              <w:rPr>
                <w:rFonts w:ascii="Cambria" w:eastAsia="Times New Roman" w:hAnsi="Cambria" w:cs="Times New Roman"/>
                <w:sz w:val="24"/>
                <w:szCs w:val="24"/>
              </w:rPr>
            </w:pPr>
            <w:r w:rsidRPr="00EA1BB2">
              <w:rPr>
                <w:rFonts w:ascii="Cambria" w:eastAsia="Times New Roman" w:hAnsi="Cambria" w:cs="Times New Roman"/>
                <w:sz w:val="24"/>
                <w:szCs w:val="24"/>
              </w:rPr>
              <w:t>5</w:t>
            </w:r>
          </w:p>
        </w:tc>
        <w:tc>
          <w:tcPr>
            <w:tcW w:w="5033" w:type="dxa"/>
            <w:tcBorders>
              <w:top w:val="single" w:sz="4" w:space="0" w:color="auto"/>
              <w:left w:val="single" w:sz="4" w:space="0" w:color="auto"/>
              <w:bottom w:val="single" w:sz="4" w:space="0" w:color="auto"/>
              <w:right w:val="single" w:sz="4" w:space="0" w:color="auto"/>
            </w:tcBorders>
            <w:vAlign w:val="center"/>
          </w:tcPr>
          <w:p w14:paraId="751815C1" w14:textId="77777777" w:rsidR="00ED596B" w:rsidRPr="00EA1BB2" w:rsidRDefault="00ED596B" w:rsidP="00A25848">
            <w:pPr>
              <w:spacing w:line="360" w:lineRule="auto"/>
              <w:rPr>
                <w:rFonts w:ascii="Cambria" w:eastAsia="Times New Roman" w:hAnsi="Cambria" w:cs="Times New Roman"/>
                <w:sz w:val="24"/>
                <w:szCs w:val="24"/>
              </w:rPr>
            </w:pPr>
            <w:r w:rsidRPr="00EA1BB2">
              <w:rPr>
                <w:rFonts w:ascii="Cambria" w:eastAsia="Times New Roman" w:hAnsi="Cambria" w:cs="Times New Roman"/>
                <w:sz w:val="24"/>
                <w:szCs w:val="24"/>
              </w:rPr>
              <w:t>SUPER EGGS SRL Traian</w:t>
            </w:r>
          </w:p>
          <w:p w14:paraId="38079123" w14:textId="77777777" w:rsidR="00ED596B" w:rsidRPr="00EA1BB2" w:rsidRDefault="00ED596B" w:rsidP="00A25848">
            <w:pPr>
              <w:spacing w:line="360" w:lineRule="auto"/>
              <w:rPr>
                <w:rFonts w:ascii="Cambria" w:eastAsia="Times New Roman" w:hAnsi="Cambria" w:cs="Times New Roman"/>
                <w:sz w:val="24"/>
                <w:szCs w:val="24"/>
                <w:highlight w:val="yellow"/>
              </w:rPr>
            </w:pPr>
            <w:r w:rsidRPr="00EA1BB2">
              <w:rPr>
                <w:rFonts w:ascii="Cambria" w:eastAsia="Times New Roman" w:hAnsi="Cambria" w:cs="Times New Roman"/>
                <w:sz w:val="24"/>
                <w:szCs w:val="24"/>
              </w:rPr>
              <w:t>(fost DRYMON SRL)</w:t>
            </w:r>
          </w:p>
        </w:tc>
        <w:tc>
          <w:tcPr>
            <w:tcW w:w="3402" w:type="dxa"/>
            <w:tcBorders>
              <w:top w:val="single" w:sz="4" w:space="0" w:color="auto"/>
              <w:left w:val="single" w:sz="4" w:space="0" w:color="auto"/>
              <w:bottom w:val="single" w:sz="4" w:space="0" w:color="auto"/>
              <w:right w:val="single" w:sz="4" w:space="0" w:color="auto"/>
            </w:tcBorders>
            <w:vAlign w:val="center"/>
          </w:tcPr>
          <w:p w14:paraId="1557C7A8" w14:textId="77777777" w:rsidR="00ED596B" w:rsidRPr="00EA1BB2" w:rsidRDefault="00ED596B" w:rsidP="00A25848">
            <w:pPr>
              <w:spacing w:line="360" w:lineRule="auto"/>
              <w:jc w:val="center"/>
              <w:rPr>
                <w:rFonts w:ascii="Cambria" w:eastAsia="Times New Roman" w:hAnsi="Cambria" w:cs="Times New Roman"/>
                <w:sz w:val="24"/>
                <w:szCs w:val="24"/>
              </w:rPr>
            </w:pPr>
            <w:r w:rsidRPr="00EA1BB2">
              <w:rPr>
                <w:rFonts w:ascii="Cambria" w:eastAsia="Times New Roman" w:hAnsi="Cambria" w:cs="Times New Roman"/>
                <w:sz w:val="24"/>
                <w:szCs w:val="24"/>
              </w:rPr>
              <w:t>Cre</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terea păsărilor</w:t>
            </w:r>
          </w:p>
        </w:tc>
      </w:tr>
      <w:tr w:rsidR="00ED596B" w:rsidRPr="00EA1BB2" w14:paraId="52F3B770" w14:textId="77777777" w:rsidTr="00A25848">
        <w:trPr>
          <w:trHeight w:val="221"/>
          <w:jc w:val="center"/>
        </w:trPr>
        <w:tc>
          <w:tcPr>
            <w:tcW w:w="632" w:type="dxa"/>
            <w:tcBorders>
              <w:top w:val="single" w:sz="4" w:space="0" w:color="auto"/>
              <w:left w:val="single" w:sz="4" w:space="0" w:color="auto"/>
              <w:bottom w:val="single" w:sz="4" w:space="0" w:color="auto"/>
              <w:right w:val="single" w:sz="4" w:space="0" w:color="auto"/>
            </w:tcBorders>
            <w:vAlign w:val="center"/>
          </w:tcPr>
          <w:p w14:paraId="1F3E144F" w14:textId="77777777" w:rsidR="00ED596B" w:rsidRPr="00EA1BB2" w:rsidRDefault="00ED596B" w:rsidP="00A25848">
            <w:pPr>
              <w:spacing w:line="360" w:lineRule="auto"/>
              <w:jc w:val="center"/>
              <w:rPr>
                <w:rFonts w:ascii="Cambria" w:eastAsia="Times New Roman" w:hAnsi="Cambria" w:cs="Times New Roman"/>
                <w:sz w:val="24"/>
                <w:szCs w:val="24"/>
              </w:rPr>
            </w:pPr>
            <w:r w:rsidRPr="00EA1BB2">
              <w:rPr>
                <w:rFonts w:ascii="Cambria" w:eastAsia="Times New Roman" w:hAnsi="Cambria" w:cs="Times New Roman"/>
                <w:sz w:val="24"/>
                <w:szCs w:val="24"/>
              </w:rPr>
              <w:t>6</w:t>
            </w:r>
          </w:p>
        </w:tc>
        <w:tc>
          <w:tcPr>
            <w:tcW w:w="5033" w:type="dxa"/>
            <w:tcBorders>
              <w:top w:val="single" w:sz="4" w:space="0" w:color="auto"/>
              <w:left w:val="single" w:sz="4" w:space="0" w:color="auto"/>
              <w:bottom w:val="single" w:sz="4" w:space="0" w:color="auto"/>
              <w:right w:val="single" w:sz="4" w:space="0" w:color="auto"/>
            </w:tcBorders>
            <w:vAlign w:val="center"/>
          </w:tcPr>
          <w:p w14:paraId="2B9DCD0D" w14:textId="77777777" w:rsidR="00ED596B" w:rsidRPr="00EA1BB2" w:rsidRDefault="00ED596B" w:rsidP="00A25848">
            <w:pPr>
              <w:spacing w:line="360" w:lineRule="auto"/>
              <w:rPr>
                <w:rFonts w:ascii="Cambria" w:eastAsia="Times New Roman" w:hAnsi="Cambria" w:cs="Times New Roman"/>
                <w:sz w:val="24"/>
                <w:szCs w:val="24"/>
              </w:rPr>
            </w:pPr>
            <w:r w:rsidRPr="00EA1BB2">
              <w:rPr>
                <w:rFonts w:ascii="Cambria" w:eastAsia="Times New Roman" w:hAnsi="Cambria" w:cs="Times New Roman"/>
                <w:sz w:val="24"/>
                <w:szCs w:val="24"/>
              </w:rPr>
              <w:t>SUPER EGGS SRL F1 Pietroiu</w:t>
            </w:r>
          </w:p>
          <w:p w14:paraId="5FD047F5" w14:textId="77777777" w:rsidR="00ED596B" w:rsidRPr="00EA1BB2" w:rsidRDefault="00ED596B" w:rsidP="00A25848">
            <w:pPr>
              <w:spacing w:line="360" w:lineRule="auto"/>
              <w:rPr>
                <w:rFonts w:ascii="Cambria" w:eastAsia="Times New Roman" w:hAnsi="Cambria" w:cs="Times New Roman"/>
                <w:sz w:val="24"/>
                <w:szCs w:val="24"/>
                <w:highlight w:val="yellow"/>
              </w:rPr>
            </w:pPr>
            <w:r w:rsidRPr="00EA1BB2">
              <w:rPr>
                <w:rFonts w:ascii="Cambria" w:eastAsia="Times New Roman" w:hAnsi="Cambria" w:cs="Times New Roman"/>
                <w:sz w:val="24"/>
                <w:szCs w:val="24"/>
              </w:rPr>
              <w:t>(fost DRYMON SRL, fost MARAGRI IMPEX SRL)</w:t>
            </w:r>
          </w:p>
        </w:tc>
        <w:tc>
          <w:tcPr>
            <w:tcW w:w="3402" w:type="dxa"/>
            <w:tcBorders>
              <w:top w:val="single" w:sz="4" w:space="0" w:color="auto"/>
              <w:left w:val="single" w:sz="4" w:space="0" w:color="auto"/>
              <w:bottom w:val="single" w:sz="4" w:space="0" w:color="auto"/>
              <w:right w:val="single" w:sz="4" w:space="0" w:color="auto"/>
            </w:tcBorders>
            <w:vAlign w:val="center"/>
          </w:tcPr>
          <w:p w14:paraId="546572D8" w14:textId="77777777" w:rsidR="00ED596B" w:rsidRPr="00EA1BB2" w:rsidRDefault="00ED596B" w:rsidP="00A25848">
            <w:pPr>
              <w:spacing w:line="360" w:lineRule="auto"/>
              <w:jc w:val="center"/>
              <w:rPr>
                <w:rFonts w:ascii="Cambria" w:eastAsia="Times New Roman" w:hAnsi="Cambria" w:cs="Times New Roman"/>
                <w:sz w:val="24"/>
                <w:szCs w:val="24"/>
              </w:rPr>
            </w:pPr>
            <w:r w:rsidRPr="00EA1BB2">
              <w:rPr>
                <w:rFonts w:ascii="Cambria" w:eastAsia="Times New Roman" w:hAnsi="Cambria" w:cs="Times New Roman"/>
                <w:sz w:val="24"/>
                <w:szCs w:val="24"/>
              </w:rPr>
              <w:t>Cre</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terea păsărilor</w:t>
            </w:r>
          </w:p>
        </w:tc>
      </w:tr>
      <w:tr w:rsidR="00ED596B" w:rsidRPr="00EA1BB2" w14:paraId="23BC3985" w14:textId="77777777" w:rsidTr="00A25848">
        <w:trPr>
          <w:trHeight w:val="221"/>
          <w:jc w:val="center"/>
        </w:trPr>
        <w:tc>
          <w:tcPr>
            <w:tcW w:w="632" w:type="dxa"/>
            <w:tcBorders>
              <w:top w:val="single" w:sz="4" w:space="0" w:color="auto"/>
              <w:left w:val="single" w:sz="4" w:space="0" w:color="auto"/>
              <w:bottom w:val="single" w:sz="4" w:space="0" w:color="auto"/>
              <w:right w:val="single" w:sz="4" w:space="0" w:color="auto"/>
            </w:tcBorders>
            <w:vAlign w:val="center"/>
          </w:tcPr>
          <w:p w14:paraId="6AD11DE6" w14:textId="77777777" w:rsidR="00ED596B" w:rsidRPr="00EA1BB2" w:rsidRDefault="00ED596B" w:rsidP="00A25848">
            <w:pPr>
              <w:spacing w:line="360" w:lineRule="auto"/>
              <w:jc w:val="center"/>
              <w:rPr>
                <w:rFonts w:ascii="Cambria" w:eastAsia="Times New Roman" w:hAnsi="Cambria" w:cs="Times New Roman"/>
                <w:sz w:val="24"/>
                <w:szCs w:val="24"/>
              </w:rPr>
            </w:pPr>
            <w:r w:rsidRPr="00EA1BB2">
              <w:rPr>
                <w:rFonts w:ascii="Cambria" w:eastAsia="Times New Roman" w:hAnsi="Cambria" w:cs="Times New Roman"/>
                <w:sz w:val="24"/>
                <w:szCs w:val="24"/>
              </w:rPr>
              <w:t>7</w:t>
            </w:r>
          </w:p>
        </w:tc>
        <w:tc>
          <w:tcPr>
            <w:tcW w:w="5033" w:type="dxa"/>
            <w:tcBorders>
              <w:top w:val="single" w:sz="4" w:space="0" w:color="auto"/>
              <w:left w:val="single" w:sz="4" w:space="0" w:color="auto"/>
              <w:bottom w:val="single" w:sz="4" w:space="0" w:color="auto"/>
              <w:right w:val="single" w:sz="4" w:space="0" w:color="auto"/>
            </w:tcBorders>
            <w:vAlign w:val="center"/>
          </w:tcPr>
          <w:p w14:paraId="7374F511" w14:textId="77777777" w:rsidR="00ED596B" w:rsidRPr="00EA1BB2" w:rsidRDefault="00ED596B" w:rsidP="00A25848">
            <w:pPr>
              <w:spacing w:line="360" w:lineRule="auto"/>
              <w:rPr>
                <w:rFonts w:ascii="Cambria" w:eastAsia="Times New Roman" w:hAnsi="Cambria" w:cs="Times New Roman"/>
                <w:sz w:val="24"/>
                <w:szCs w:val="24"/>
              </w:rPr>
            </w:pPr>
            <w:r w:rsidRPr="00EA1BB2">
              <w:rPr>
                <w:rFonts w:ascii="Cambria" w:eastAsia="Times New Roman" w:hAnsi="Cambria" w:cs="Times New Roman"/>
                <w:sz w:val="24"/>
                <w:szCs w:val="24"/>
              </w:rPr>
              <w:t>SUPER EGGS SRLF2 Pietroiu</w:t>
            </w:r>
          </w:p>
          <w:p w14:paraId="68EA7865" w14:textId="77777777" w:rsidR="00ED596B" w:rsidRPr="00EA1BB2" w:rsidRDefault="00ED596B" w:rsidP="00A25848">
            <w:pPr>
              <w:spacing w:line="360" w:lineRule="auto"/>
              <w:rPr>
                <w:rFonts w:ascii="Cambria" w:eastAsia="Times New Roman" w:hAnsi="Cambria" w:cs="Times New Roman"/>
                <w:sz w:val="24"/>
                <w:szCs w:val="24"/>
                <w:highlight w:val="yellow"/>
              </w:rPr>
            </w:pPr>
            <w:r w:rsidRPr="00EA1BB2">
              <w:rPr>
                <w:rFonts w:ascii="Cambria" w:eastAsia="Times New Roman" w:hAnsi="Cambria" w:cs="Times New Roman"/>
                <w:sz w:val="24"/>
                <w:szCs w:val="24"/>
              </w:rPr>
              <w:t>(fost DRYMON SRL, fost MARAGRI IMPEX SRL)</w:t>
            </w:r>
          </w:p>
        </w:tc>
        <w:tc>
          <w:tcPr>
            <w:tcW w:w="3402" w:type="dxa"/>
            <w:tcBorders>
              <w:top w:val="single" w:sz="4" w:space="0" w:color="auto"/>
              <w:left w:val="single" w:sz="4" w:space="0" w:color="auto"/>
              <w:bottom w:val="single" w:sz="4" w:space="0" w:color="auto"/>
              <w:right w:val="single" w:sz="4" w:space="0" w:color="auto"/>
            </w:tcBorders>
            <w:vAlign w:val="center"/>
          </w:tcPr>
          <w:p w14:paraId="0619B833" w14:textId="77777777" w:rsidR="00ED596B" w:rsidRPr="00EA1BB2" w:rsidRDefault="00ED596B" w:rsidP="00A25848">
            <w:pPr>
              <w:spacing w:line="360" w:lineRule="auto"/>
              <w:jc w:val="center"/>
              <w:rPr>
                <w:rFonts w:ascii="Cambria" w:eastAsia="Times New Roman" w:hAnsi="Cambria" w:cs="Times New Roman"/>
                <w:sz w:val="24"/>
                <w:szCs w:val="24"/>
              </w:rPr>
            </w:pPr>
            <w:r w:rsidRPr="00EA1BB2">
              <w:rPr>
                <w:rFonts w:ascii="Cambria" w:eastAsia="Times New Roman" w:hAnsi="Cambria" w:cs="Times New Roman"/>
                <w:sz w:val="24"/>
                <w:szCs w:val="24"/>
              </w:rPr>
              <w:t>Cre</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terea păsărilor</w:t>
            </w:r>
          </w:p>
        </w:tc>
      </w:tr>
      <w:tr w:rsidR="00ED596B" w:rsidRPr="00EA1BB2" w14:paraId="66B2BE60" w14:textId="77777777" w:rsidTr="00A25848">
        <w:trPr>
          <w:trHeight w:val="221"/>
          <w:jc w:val="center"/>
        </w:trPr>
        <w:tc>
          <w:tcPr>
            <w:tcW w:w="632" w:type="dxa"/>
            <w:tcBorders>
              <w:top w:val="single" w:sz="4" w:space="0" w:color="auto"/>
              <w:left w:val="single" w:sz="4" w:space="0" w:color="auto"/>
              <w:bottom w:val="single" w:sz="4" w:space="0" w:color="auto"/>
              <w:right w:val="single" w:sz="4" w:space="0" w:color="auto"/>
            </w:tcBorders>
            <w:vAlign w:val="center"/>
          </w:tcPr>
          <w:p w14:paraId="06F7779D" w14:textId="77777777" w:rsidR="00ED596B" w:rsidRPr="00EA1BB2" w:rsidRDefault="00ED596B" w:rsidP="00A25848">
            <w:pPr>
              <w:spacing w:line="360" w:lineRule="auto"/>
              <w:jc w:val="center"/>
              <w:rPr>
                <w:rFonts w:ascii="Cambria" w:eastAsia="Times New Roman" w:hAnsi="Cambria" w:cs="Times New Roman"/>
                <w:sz w:val="24"/>
                <w:szCs w:val="24"/>
              </w:rPr>
            </w:pPr>
            <w:r w:rsidRPr="00EA1BB2">
              <w:rPr>
                <w:rFonts w:ascii="Cambria" w:eastAsia="Times New Roman" w:hAnsi="Cambria" w:cs="Times New Roman"/>
                <w:sz w:val="24"/>
                <w:szCs w:val="24"/>
              </w:rPr>
              <w:t>8</w:t>
            </w:r>
          </w:p>
        </w:tc>
        <w:tc>
          <w:tcPr>
            <w:tcW w:w="5033" w:type="dxa"/>
            <w:tcBorders>
              <w:top w:val="single" w:sz="4" w:space="0" w:color="auto"/>
              <w:left w:val="single" w:sz="4" w:space="0" w:color="auto"/>
              <w:bottom w:val="single" w:sz="4" w:space="0" w:color="auto"/>
              <w:right w:val="single" w:sz="4" w:space="0" w:color="auto"/>
            </w:tcBorders>
            <w:vAlign w:val="center"/>
          </w:tcPr>
          <w:p w14:paraId="5EB482C6" w14:textId="77777777" w:rsidR="00ED596B" w:rsidRPr="00EA1BB2" w:rsidRDefault="00ED596B" w:rsidP="00A25848">
            <w:pPr>
              <w:spacing w:line="360" w:lineRule="auto"/>
              <w:rPr>
                <w:rFonts w:ascii="Cambria" w:eastAsia="Times New Roman" w:hAnsi="Cambria" w:cs="Times New Roman"/>
                <w:sz w:val="24"/>
                <w:szCs w:val="24"/>
                <w:highlight w:val="yellow"/>
              </w:rPr>
            </w:pPr>
            <w:r w:rsidRPr="00EA1BB2">
              <w:rPr>
                <w:rFonts w:ascii="Cambria" w:eastAsia="Times New Roman" w:hAnsi="Cambria" w:cs="Times New Roman"/>
                <w:sz w:val="24"/>
                <w:szCs w:val="24"/>
              </w:rPr>
              <w:t>ECOAVIS BEST PROIECT SRL Făurei</w:t>
            </w:r>
          </w:p>
        </w:tc>
        <w:tc>
          <w:tcPr>
            <w:tcW w:w="3402" w:type="dxa"/>
            <w:tcBorders>
              <w:top w:val="single" w:sz="4" w:space="0" w:color="auto"/>
              <w:left w:val="single" w:sz="4" w:space="0" w:color="auto"/>
              <w:bottom w:val="single" w:sz="4" w:space="0" w:color="auto"/>
              <w:right w:val="single" w:sz="4" w:space="0" w:color="auto"/>
            </w:tcBorders>
            <w:vAlign w:val="center"/>
          </w:tcPr>
          <w:p w14:paraId="4E09BD5F" w14:textId="77777777" w:rsidR="00ED596B" w:rsidRPr="00EA1BB2" w:rsidRDefault="00ED596B" w:rsidP="00A25848">
            <w:pPr>
              <w:spacing w:line="360" w:lineRule="auto"/>
              <w:jc w:val="center"/>
              <w:rPr>
                <w:rFonts w:ascii="Cambria" w:eastAsia="Times New Roman" w:hAnsi="Cambria" w:cs="Times New Roman"/>
                <w:sz w:val="24"/>
                <w:szCs w:val="24"/>
              </w:rPr>
            </w:pPr>
            <w:r w:rsidRPr="00EA1BB2">
              <w:rPr>
                <w:rFonts w:ascii="Cambria" w:eastAsia="Times New Roman" w:hAnsi="Cambria" w:cs="Times New Roman"/>
                <w:sz w:val="24"/>
                <w:szCs w:val="24"/>
              </w:rPr>
              <w:t>Cre</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terea păsărilor</w:t>
            </w:r>
          </w:p>
        </w:tc>
      </w:tr>
      <w:tr w:rsidR="00ED596B" w:rsidRPr="00EA1BB2" w14:paraId="1554CD61" w14:textId="77777777" w:rsidTr="00A25848">
        <w:trPr>
          <w:trHeight w:val="221"/>
          <w:jc w:val="center"/>
        </w:trPr>
        <w:tc>
          <w:tcPr>
            <w:tcW w:w="632" w:type="dxa"/>
            <w:tcBorders>
              <w:top w:val="single" w:sz="4" w:space="0" w:color="auto"/>
              <w:left w:val="single" w:sz="4" w:space="0" w:color="auto"/>
              <w:bottom w:val="single" w:sz="4" w:space="0" w:color="auto"/>
              <w:right w:val="single" w:sz="4" w:space="0" w:color="auto"/>
            </w:tcBorders>
            <w:vAlign w:val="center"/>
          </w:tcPr>
          <w:p w14:paraId="723E530C" w14:textId="77777777" w:rsidR="00ED596B" w:rsidRPr="00EA1BB2" w:rsidRDefault="00ED596B" w:rsidP="00A25848">
            <w:pPr>
              <w:spacing w:line="360" w:lineRule="auto"/>
              <w:jc w:val="center"/>
              <w:rPr>
                <w:rFonts w:ascii="Cambria" w:eastAsia="Times New Roman" w:hAnsi="Cambria" w:cs="Times New Roman"/>
                <w:sz w:val="24"/>
                <w:szCs w:val="24"/>
              </w:rPr>
            </w:pPr>
            <w:r w:rsidRPr="00EA1BB2">
              <w:rPr>
                <w:rFonts w:ascii="Cambria" w:eastAsia="Times New Roman" w:hAnsi="Cambria" w:cs="Times New Roman"/>
                <w:sz w:val="24"/>
                <w:szCs w:val="24"/>
              </w:rPr>
              <w:t>9</w:t>
            </w:r>
          </w:p>
        </w:tc>
        <w:tc>
          <w:tcPr>
            <w:tcW w:w="5033" w:type="dxa"/>
            <w:tcBorders>
              <w:top w:val="single" w:sz="4" w:space="0" w:color="auto"/>
              <w:left w:val="single" w:sz="4" w:space="0" w:color="auto"/>
              <w:bottom w:val="single" w:sz="4" w:space="0" w:color="auto"/>
              <w:right w:val="single" w:sz="4" w:space="0" w:color="auto"/>
            </w:tcBorders>
            <w:vAlign w:val="center"/>
          </w:tcPr>
          <w:p w14:paraId="5C04DBF5" w14:textId="2827D437" w:rsidR="00ED596B" w:rsidRPr="00EA1BB2" w:rsidRDefault="00ED596B" w:rsidP="00BD06C5">
            <w:pPr>
              <w:spacing w:line="360" w:lineRule="auto"/>
              <w:rPr>
                <w:rFonts w:ascii="Cambria" w:eastAsia="Times New Roman" w:hAnsi="Cambria" w:cs="Times New Roman"/>
                <w:sz w:val="24"/>
                <w:szCs w:val="24"/>
                <w:highlight w:val="yellow"/>
              </w:rPr>
            </w:pPr>
            <w:r w:rsidRPr="00EA1BB2">
              <w:rPr>
                <w:rFonts w:ascii="Cambria" w:eastAsia="Times New Roman" w:hAnsi="Cambria" w:cs="Times New Roman"/>
                <w:sz w:val="24"/>
                <w:szCs w:val="24"/>
              </w:rPr>
              <w:t>FERMA BUZOIANĂ SRL Surdila</w:t>
            </w:r>
            <w:r w:rsidR="00BD06C5" w:rsidRPr="00EA1BB2">
              <w:rPr>
                <w:rFonts w:ascii="Cambria" w:eastAsia="Times New Roman" w:hAnsi="Cambria" w:cs="Times New Roman"/>
                <w:sz w:val="24"/>
                <w:szCs w:val="24"/>
              </w:rPr>
              <w:t>-</w:t>
            </w:r>
            <w:r w:rsidRPr="00EA1BB2">
              <w:rPr>
                <w:rFonts w:ascii="Cambria" w:eastAsia="Times New Roman" w:hAnsi="Cambria" w:cs="Times New Roman"/>
                <w:sz w:val="24"/>
                <w:szCs w:val="24"/>
              </w:rPr>
              <w:t>Greci</w:t>
            </w:r>
          </w:p>
        </w:tc>
        <w:tc>
          <w:tcPr>
            <w:tcW w:w="3402" w:type="dxa"/>
            <w:tcBorders>
              <w:top w:val="single" w:sz="4" w:space="0" w:color="auto"/>
              <w:left w:val="single" w:sz="4" w:space="0" w:color="auto"/>
              <w:bottom w:val="single" w:sz="4" w:space="0" w:color="auto"/>
              <w:right w:val="single" w:sz="4" w:space="0" w:color="auto"/>
            </w:tcBorders>
            <w:vAlign w:val="center"/>
          </w:tcPr>
          <w:p w14:paraId="417735B9" w14:textId="77777777" w:rsidR="00ED596B" w:rsidRPr="00EA1BB2" w:rsidRDefault="00ED596B" w:rsidP="00A25848">
            <w:pPr>
              <w:spacing w:line="360" w:lineRule="auto"/>
              <w:jc w:val="center"/>
              <w:rPr>
                <w:rFonts w:ascii="Cambria" w:eastAsia="Times New Roman" w:hAnsi="Cambria" w:cs="Times New Roman"/>
                <w:sz w:val="24"/>
                <w:szCs w:val="24"/>
              </w:rPr>
            </w:pPr>
            <w:r w:rsidRPr="00EA1BB2">
              <w:rPr>
                <w:rFonts w:ascii="Cambria" w:eastAsia="Times New Roman" w:hAnsi="Cambria" w:cs="Times New Roman"/>
                <w:sz w:val="24"/>
                <w:szCs w:val="24"/>
              </w:rPr>
              <w:t>Cre</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terea păsărilor</w:t>
            </w:r>
          </w:p>
        </w:tc>
      </w:tr>
      <w:tr w:rsidR="00ED596B" w:rsidRPr="00EA1BB2" w14:paraId="057B60A8" w14:textId="77777777" w:rsidTr="00A25848">
        <w:trPr>
          <w:trHeight w:val="221"/>
          <w:jc w:val="center"/>
        </w:trPr>
        <w:tc>
          <w:tcPr>
            <w:tcW w:w="632" w:type="dxa"/>
            <w:tcBorders>
              <w:top w:val="single" w:sz="4" w:space="0" w:color="auto"/>
              <w:left w:val="single" w:sz="4" w:space="0" w:color="auto"/>
              <w:bottom w:val="single" w:sz="4" w:space="0" w:color="auto"/>
              <w:right w:val="single" w:sz="4" w:space="0" w:color="auto"/>
            </w:tcBorders>
          </w:tcPr>
          <w:p w14:paraId="7157CD8A" w14:textId="77777777" w:rsidR="00ED596B" w:rsidRPr="00EA1BB2" w:rsidRDefault="00ED596B" w:rsidP="00A25848">
            <w:pPr>
              <w:spacing w:line="360" w:lineRule="auto"/>
              <w:jc w:val="center"/>
              <w:rPr>
                <w:rFonts w:ascii="Cambria" w:eastAsia="Times New Roman" w:hAnsi="Cambria" w:cs="Times New Roman"/>
                <w:sz w:val="24"/>
                <w:szCs w:val="24"/>
              </w:rPr>
            </w:pPr>
            <w:r w:rsidRPr="00EA1BB2">
              <w:rPr>
                <w:rFonts w:ascii="Cambria" w:hAnsi="Cambria"/>
                <w:sz w:val="24"/>
              </w:rPr>
              <w:t>10</w:t>
            </w:r>
          </w:p>
        </w:tc>
        <w:tc>
          <w:tcPr>
            <w:tcW w:w="5033" w:type="dxa"/>
            <w:tcBorders>
              <w:top w:val="single" w:sz="4" w:space="0" w:color="auto"/>
              <w:left w:val="single" w:sz="4" w:space="0" w:color="auto"/>
              <w:bottom w:val="single" w:sz="4" w:space="0" w:color="auto"/>
              <w:right w:val="single" w:sz="4" w:space="0" w:color="auto"/>
            </w:tcBorders>
            <w:vAlign w:val="center"/>
          </w:tcPr>
          <w:p w14:paraId="50751607" w14:textId="77777777" w:rsidR="00ED596B" w:rsidRPr="00EA1BB2" w:rsidRDefault="00ED596B" w:rsidP="00A25848">
            <w:pPr>
              <w:spacing w:line="360" w:lineRule="auto"/>
              <w:rPr>
                <w:rFonts w:ascii="Cambria" w:eastAsia="Times New Roman" w:hAnsi="Cambria" w:cs="Times New Roman"/>
                <w:sz w:val="24"/>
                <w:szCs w:val="24"/>
                <w:highlight w:val="yellow"/>
              </w:rPr>
            </w:pPr>
            <w:r w:rsidRPr="00EA1BB2">
              <w:rPr>
                <w:rFonts w:ascii="Cambria" w:eastAsia="Times New Roman" w:hAnsi="Cambria" w:cs="Times New Roman"/>
                <w:sz w:val="24"/>
                <w:szCs w:val="24"/>
              </w:rPr>
              <w:t>TEBU CONSULT INVEST SRL F1 Tufe</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ti (transferată de la VEGETAL TRADING SRL)</w:t>
            </w:r>
          </w:p>
        </w:tc>
        <w:tc>
          <w:tcPr>
            <w:tcW w:w="3402" w:type="dxa"/>
            <w:tcBorders>
              <w:top w:val="single" w:sz="4" w:space="0" w:color="auto"/>
              <w:left w:val="single" w:sz="4" w:space="0" w:color="auto"/>
              <w:bottom w:val="single" w:sz="4" w:space="0" w:color="auto"/>
              <w:right w:val="single" w:sz="4" w:space="0" w:color="auto"/>
            </w:tcBorders>
            <w:vAlign w:val="center"/>
          </w:tcPr>
          <w:p w14:paraId="36DADDCA" w14:textId="77777777" w:rsidR="00ED596B" w:rsidRPr="00EA1BB2" w:rsidRDefault="00ED596B" w:rsidP="00A25848">
            <w:pPr>
              <w:spacing w:line="360" w:lineRule="auto"/>
              <w:jc w:val="center"/>
              <w:rPr>
                <w:rFonts w:ascii="Cambria" w:eastAsia="Times New Roman" w:hAnsi="Cambria" w:cs="Times New Roman"/>
                <w:sz w:val="24"/>
                <w:szCs w:val="24"/>
                <w:highlight w:val="yellow"/>
              </w:rPr>
            </w:pPr>
            <w:r w:rsidRPr="00EA1BB2">
              <w:rPr>
                <w:rFonts w:ascii="Cambria" w:eastAsia="Times New Roman" w:hAnsi="Cambria" w:cs="Times New Roman"/>
                <w:sz w:val="24"/>
                <w:szCs w:val="24"/>
              </w:rPr>
              <w:t>Cre</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terea porcilor</w:t>
            </w:r>
          </w:p>
        </w:tc>
      </w:tr>
      <w:tr w:rsidR="00ED596B" w:rsidRPr="00EA1BB2" w14:paraId="1F2E5BF7" w14:textId="77777777" w:rsidTr="00A25848">
        <w:trPr>
          <w:trHeight w:val="221"/>
          <w:jc w:val="center"/>
        </w:trPr>
        <w:tc>
          <w:tcPr>
            <w:tcW w:w="632" w:type="dxa"/>
            <w:tcBorders>
              <w:top w:val="single" w:sz="4" w:space="0" w:color="auto"/>
              <w:left w:val="single" w:sz="4" w:space="0" w:color="auto"/>
              <w:bottom w:val="single" w:sz="4" w:space="0" w:color="auto"/>
              <w:right w:val="single" w:sz="4" w:space="0" w:color="auto"/>
            </w:tcBorders>
          </w:tcPr>
          <w:p w14:paraId="6937D170" w14:textId="77777777" w:rsidR="00ED596B" w:rsidRPr="00EA1BB2" w:rsidRDefault="00ED596B" w:rsidP="00A25848">
            <w:pPr>
              <w:spacing w:line="360" w:lineRule="auto"/>
              <w:jc w:val="center"/>
              <w:rPr>
                <w:rFonts w:ascii="Cambria" w:eastAsia="Times New Roman" w:hAnsi="Cambria" w:cs="Times New Roman"/>
                <w:sz w:val="24"/>
                <w:szCs w:val="24"/>
              </w:rPr>
            </w:pPr>
            <w:r w:rsidRPr="00EA1BB2">
              <w:rPr>
                <w:rFonts w:ascii="Cambria" w:hAnsi="Cambria"/>
                <w:sz w:val="24"/>
              </w:rPr>
              <w:t>11</w:t>
            </w:r>
          </w:p>
        </w:tc>
        <w:tc>
          <w:tcPr>
            <w:tcW w:w="5033" w:type="dxa"/>
            <w:tcBorders>
              <w:top w:val="single" w:sz="4" w:space="0" w:color="auto"/>
              <w:left w:val="single" w:sz="4" w:space="0" w:color="auto"/>
              <w:bottom w:val="single" w:sz="4" w:space="0" w:color="auto"/>
              <w:right w:val="single" w:sz="4" w:space="0" w:color="auto"/>
            </w:tcBorders>
            <w:vAlign w:val="center"/>
          </w:tcPr>
          <w:p w14:paraId="1D6AAFAC" w14:textId="77777777" w:rsidR="00ED596B" w:rsidRPr="00EA1BB2" w:rsidRDefault="00ED596B" w:rsidP="00A25848">
            <w:pPr>
              <w:spacing w:line="360" w:lineRule="auto"/>
              <w:rPr>
                <w:rFonts w:ascii="Cambria" w:eastAsia="Times New Roman" w:hAnsi="Cambria" w:cs="Times New Roman"/>
                <w:sz w:val="24"/>
                <w:szCs w:val="24"/>
                <w:highlight w:val="yellow"/>
              </w:rPr>
            </w:pPr>
            <w:r w:rsidRPr="00EA1BB2">
              <w:rPr>
                <w:rFonts w:ascii="Cambria" w:eastAsia="Times New Roman" w:hAnsi="Cambria" w:cs="Times New Roman"/>
                <w:sz w:val="24"/>
                <w:szCs w:val="24"/>
              </w:rPr>
              <w:t>TEBU CONSULT INVEST SRL F2 Tufe</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ti (transferată de la VEGETAL TRADING SRL)</w:t>
            </w:r>
          </w:p>
        </w:tc>
        <w:tc>
          <w:tcPr>
            <w:tcW w:w="3402" w:type="dxa"/>
            <w:tcBorders>
              <w:top w:val="single" w:sz="4" w:space="0" w:color="auto"/>
              <w:left w:val="single" w:sz="4" w:space="0" w:color="auto"/>
              <w:bottom w:val="single" w:sz="4" w:space="0" w:color="auto"/>
              <w:right w:val="single" w:sz="4" w:space="0" w:color="auto"/>
            </w:tcBorders>
            <w:vAlign w:val="center"/>
          </w:tcPr>
          <w:p w14:paraId="20E2283C" w14:textId="77777777" w:rsidR="00ED596B" w:rsidRPr="00EA1BB2" w:rsidRDefault="00ED596B" w:rsidP="00A25848">
            <w:pPr>
              <w:spacing w:line="360" w:lineRule="auto"/>
              <w:jc w:val="center"/>
              <w:rPr>
                <w:rFonts w:ascii="Cambria" w:eastAsia="Times New Roman" w:hAnsi="Cambria" w:cs="Times New Roman"/>
                <w:sz w:val="24"/>
                <w:szCs w:val="24"/>
                <w:highlight w:val="yellow"/>
              </w:rPr>
            </w:pPr>
            <w:r w:rsidRPr="00EA1BB2">
              <w:rPr>
                <w:rFonts w:ascii="Cambria" w:eastAsia="Times New Roman" w:hAnsi="Cambria" w:cs="Times New Roman"/>
                <w:sz w:val="24"/>
                <w:szCs w:val="24"/>
              </w:rPr>
              <w:t>Cre</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terea porcilor</w:t>
            </w:r>
          </w:p>
        </w:tc>
      </w:tr>
      <w:tr w:rsidR="00ED596B" w:rsidRPr="00EA1BB2" w14:paraId="06C1BEC5" w14:textId="77777777" w:rsidTr="00A25848">
        <w:trPr>
          <w:trHeight w:val="221"/>
          <w:jc w:val="center"/>
        </w:trPr>
        <w:tc>
          <w:tcPr>
            <w:tcW w:w="632" w:type="dxa"/>
            <w:tcBorders>
              <w:top w:val="single" w:sz="4" w:space="0" w:color="auto"/>
              <w:left w:val="single" w:sz="4" w:space="0" w:color="auto"/>
              <w:bottom w:val="single" w:sz="4" w:space="0" w:color="auto"/>
              <w:right w:val="single" w:sz="4" w:space="0" w:color="auto"/>
            </w:tcBorders>
          </w:tcPr>
          <w:p w14:paraId="508AE839" w14:textId="77777777" w:rsidR="00ED596B" w:rsidRPr="00EA1BB2" w:rsidRDefault="00ED596B" w:rsidP="00A25848">
            <w:pPr>
              <w:spacing w:line="360" w:lineRule="auto"/>
              <w:jc w:val="center"/>
              <w:rPr>
                <w:rFonts w:ascii="Cambria" w:eastAsia="Times New Roman" w:hAnsi="Cambria" w:cs="Times New Roman"/>
                <w:sz w:val="24"/>
                <w:szCs w:val="24"/>
              </w:rPr>
            </w:pPr>
            <w:r w:rsidRPr="00EA1BB2">
              <w:rPr>
                <w:rFonts w:ascii="Cambria" w:hAnsi="Cambria"/>
                <w:sz w:val="24"/>
              </w:rPr>
              <w:t>12</w:t>
            </w:r>
          </w:p>
        </w:tc>
        <w:tc>
          <w:tcPr>
            <w:tcW w:w="5033" w:type="dxa"/>
            <w:tcBorders>
              <w:top w:val="single" w:sz="4" w:space="0" w:color="auto"/>
              <w:left w:val="single" w:sz="4" w:space="0" w:color="auto"/>
              <w:bottom w:val="single" w:sz="4" w:space="0" w:color="auto"/>
              <w:right w:val="single" w:sz="4" w:space="0" w:color="auto"/>
            </w:tcBorders>
            <w:vAlign w:val="center"/>
          </w:tcPr>
          <w:p w14:paraId="7BFBB635" w14:textId="77777777" w:rsidR="00ED596B" w:rsidRPr="00EA1BB2" w:rsidRDefault="00ED596B" w:rsidP="00A25848">
            <w:pPr>
              <w:spacing w:line="360" w:lineRule="auto"/>
              <w:rPr>
                <w:rFonts w:ascii="Cambria" w:eastAsia="Times New Roman" w:hAnsi="Cambria" w:cs="Times New Roman"/>
                <w:sz w:val="24"/>
                <w:szCs w:val="24"/>
                <w:highlight w:val="yellow"/>
              </w:rPr>
            </w:pPr>
            <w:r w:rsidRPr="00EA1BB2">
              <w:rPr>
                <w:rFonts w:ascii="Cambria" w:eastAsia="Times New Roman" w:hAnsi="Cambria" w:cs="Times New Roman"/>
                <w:sz w:val="24"/>
                <w:szCs w:val="24"/>
              </w:rPr>
              <w:t>TEBU CONSULT INVEST SRL F3 Tufe</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ti (transferată de la VEGETAL TRADING SRL)</w:t>
            </w:r>
          </w:p>
        </w:tc>
        <w:tc>
          <w:tcPr>
            <w:tcW w:w="3402" w:type="dxa"/>
            <w:tcBorders>
              <w:top w:val="single" w:sz="4" w:space="0" w:color="auto"/>
              <w:left w:val="single" w:sz="4" w:space="0" w:color="auto"/>
              <w:bottom w:val="single" w:sz="4" w:space="0" w:color="auto"/>
              <w:right w:val="single" w:sz="4" w:space="0" w:color="auto"/>
            </w:tcBorders>
            <w:vAlign w:val="center"/>
          </w:tcPr>
          <w:p w14:paraId="028A17DA" w14:textId="77777777" w:rsidR="00ED596B" w:rsidRPr="00EA1BB2" w:rsidRDefault="00ED596B" w:rsidP="00A25848">
            <w:pPr>
              <w:spacing w:line="360" w:lineRule="auto"/>
              <w:jc w:val="center"/>
              <w:rPr>
                <w:rFonts w:ascii="Cambria" w:eastAsia="Times New Roman" w:hAnsi="Cambria" w:cs="Times New Roman"/>
                <w:sz w:val="24"/>
                <w:szCs w:val="24"/>
                <w:highlight w:val="yellow"/>
              </w:rPr>
            </w:pPr>
            <w:r w:rsidRPr="00EA1BB2">
              <w:rPr>
                <w:rFonts w:ascii="Cambria" w:eastAsia="Times New Roman" w:hAnsi="Cambria" w:cs="Times New Roman"/>
                <w:sz w:val="24"/>
                <w:szCs w:val="24"/>
              </w:rPr>
              <w:t>Cre</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terea porcilor</w:t>
            </w:r>
          </w:p>
        </w:tc>
      </w:tr>
    </w:tbl>
    <w:p w14:paraId="51C0445D" w14:textId="77777777" w:rsidR="00ED596B" w:rsidRPr="00EA1BB2" w:rsidRDefault="00DF5CE0" w:rsidP="00CE3838">
      <w:pPr>
        <w:spacing w:line="276" w:lineRule="auto"/>
        <w:jc w:val="both"/>
        <w:rPr>
          <w:rFonts w:ascii="Cambria" w:eastAsia="Times New Roman" w:hAnsi="Cambria" w:cs="Times New Roman"/>
          <w:szCs w:val="24"/>
        </w:rPr>
      </w:pPr>
      <w:r w:rsidRPr="00EA1BB2">
        <w:rPr>
          <w:rFonts w:ascii="Cambria" w:eastAsia="Times New Roman" w:hAnsi="Cambria" w:cs="Times New Roman"/>
          <w:szCs w:val="24"/>
        </w:rPr>
        <w:t xml:space="preserve">Sursa date: </w:t>
      </w:r>
      <w:r w:rsidR="00ED596B" w:rsidRPr="00EA1BB2">
        <w:rPr>
          <w:rFonts w:ascii="Cambria" w:eastAsia="Times New Roman" w:hAnsi="Cambria" w:cs="Times New Roman"/>
          <w:szCs w:val="24"/>
        </w:rPr>
        <w:t>http://apmbr.anpm.ro/</w:t>
      </w:r>
    </w:p>
    <w:p w14:paraId="580B887A" w14:textId="77777777" w:rsidR="00ED596B" w:rsidRPr="00EA1BB2" w:rsidRDefault="00ED596B" w:rsidP="00ED596B">
      <w:pPr>
        <w:spacing w:line="360" w:lineRule="auto"/>
        <w:ind w:firstLine="720"/>
        <w:jc w:val="both"/>
        <w:rPr>
          <w:rFonts w:ascii="Cambria" w:eastAsia="Times New Roman" w:hAnsi="Cambria" w:cs="Times New Roman"/>
          <w:sz w:val="24"/>
          <w:szCs w:val="24"/>
        </w:rPr>
      </w:pPr>
    </w:p>
    <w:p w14:paraId="35116875" w14:textId="291960B7" w:rsidR="00BB3954" w:rsidRPr="00EA1BB2" w:rsidRDefault="00ED596B" w:rsidP="00C31A2A">
      <w:pPr>
        <w:spacing w:line="360" w:lineRule="auto"/>
        <w:ind w:firstLine="720"/>
        <w:jc w:val="both"/>
        <w:rPr>
          <w:rFonts w:ascii="Cambria" w:eastAsia="Times New Roman" w:hAnsi="Cambria" w:cs="Times New Roman"/>
          <w:color w:val="000000"/>
          <w:sz w:val="24"/>
          <w:szCs w:val="24"/>
        </w:rPr>
      </w:pPr>
      <w:r w:rsidRPr="00EA1BB2">
        <w:rPr>
          <w:rFonts w:ascii="Cambria" w:eastAsia="Times New Roman" w:hAnsi="Cambria" w:cs="Times New Roman"/>
          <w:sz w:val="24"/>
          <w:szCs w:val="24"/>
        </w:rPr>
        <w:t>În agricultură productivitatea muncii este în continuare mare însă scade ca pondere în total pe fondul cre</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terii accelerate a productivită</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 muncii în domenii precum industria, silvicultura, extrac</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ie. Totodată, în ciuda unei productivită</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 mari a muncii, ponderea cifrei de afaceri în total este mică pentru perioada studiată, iar evolu</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ia acesteia este destul de lentă. Acest fapt eviden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iază un domeniu cu poten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ial însă care nu este exploatat la maxima lui valoare. Produc</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iile în agricultură au o valoare cantitativă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uneori calitativă mult sub poten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ialul de produc</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ie fapt datorat în principal mijloacelor de produc</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ie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 xml:space="preserve">i echipamentelor utilizate uzate fizic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moral.</w:t>
      </w:r>
    </w:p>
    <w:p w14:paraId="77E12B64" w14:textId="77777777" w:rsidR="00BB3954" w:rsidRPr="00EA1BB2" w:rsidRDefault="00BB3954" w:rsidP="00E859EF">
      <w:pPr>
        <w:pStyle w:val="ListParagraph"/>
        <w:keepNext/>
        <w:keepLines/>
        <w:numPr>
          <w:ilvl w:val="2"/>
          <w:numId w:val="1"/>
        </w:numPr>
        <w:spacing w:after="0" w:line="360" w:lineRule="auto"/>
        <w:ind w:left="709" w:firstLine="0"/>
        <w:jc w:val="both"/>
        <w:outlineLvl w:val="2"/>
        <w:rPr>
          <w:rFonts w:ascii="Cambria" w:eastAsia="Times New Roman" w:hAnsi="Cambria" w:cs="Times New Roman"/>
          <w:b/>
          <w:color w:val="0070C0"/>
          <w:sz w:val="24"/>
          <w:szCs w:val="24"/>
          <w:lang w:val="ro-RO"/>
        </w:rPr>
      </w:pPr>
      <w:bookmarkStart w:id="107" w:name="_Toc496569127"/>
      <w:bookmarkStart w:id="108" w:name="_Toc526889714"/>
      <w:r w:rsidRPr="00EA1BB2">
        <w:rPr>
          <w:rFonts w:ascii="Cambria" w:eastAsia="Times New Roman" w:hAnsi="Cambria" w:cs="Times New Roman"/>
          <w:b/>
          <w:color w:val="0070C0"/>
          <w:sz w:val="24"/>
          <w:szCs w:val="24"/>
          <w:lang w:val="ro-RO"/>
        </w:rPr>
        <w:lastRenderedPageBreak/>
        <w:t>Formarea de poluan</w:t>
      </w:r>
      <w:r w:rsidR="00054880" w:rsidRPr="00EA1BB2">
        <w:rPr>
          <w:rFonts w:ascii="Cambria" w:eastAsia="Times New Roman" w:hAnsi="Cambria" w:cs="Times New Roman"/>
          <w:b/>
          <w:color w:val="0070C0"/>
          <w:sz w:val="24"/>
          <w:szCs w:val="24"/>
          <w:lang w:val="ro-RO"/>
        </w:rPr>
        <w:t>ț</w:t>
      </w:r>
      <w:r w:rsidRPr="00EA1BB2">
        <w:rPr>
          <w:rFonts w:ascii="Cambria" w:eastAsia="Times New Roman" w:hAnsi="Cambria" w:cs="Times New Roman"/>
          <w:b/>
          <w:color w:val="0070C0"/>
          <w:sz w:val="24"/>
          <w:szCs w:val="24"/>
          <w:lang w:val="ro-RO"/>
        </w:rPr>
        <w:t>i secundari în atmosferă</w:t>
      </w:r>
      <w:bookmarkEnd w:id="107"/>
      <w:bookmarkEnd w:id="108"/>
    </w:p>
    <w:p w14:paraId="144A81D5" w14:textId="77777777" w:rsidR="00BB3954" w:rsidRPr="00EA1BB2" w:rsidRDefault="00BB3954" w:rsidP="008B7502">
      <w:pPr>
        <w:spacing w:line="360" w:lineRule="auto"/>
        <w:ind w:firstLine="709"/>
        <w:jc w:val="both"/>
        <w:rPr>
          <w:rFonts w:ascii="Cambria" w:eastAsia="Times New Roman" w:hAnsi="Cambria" w:cs="Times New Roman"/>
          <w:color w:val="000000"/>
          <w:sz w:val="24"/>
          <w:szCs w:val="24"/>
        </w:rPr>
      </w:pPr>
      <w:r w:rsidRPr="00EA1BB2">
        <w:rPr>
          <w:rFonts w:ascii="Cambria" w:eastAsia="Times New Roman" w:hAnsi="Cambria" w:cs="Times New Roman"/>
          <w:color w:val="000000"/>
          <w:sz w:val="24"/>
          <w:szCs w:val="24"/>
        </w:rPr>
        <w:t>Atmosfera este unul dintre cele mai fragile subsisteme ale mediului datorită capacită</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 xml:space="preserve">ii sale limitate de a absorbi </w:t>
      </w:r>
      <w:r w:rsidR="00054880" w:rsidRPr="00EA1BB2">
        <w:rPr>
          <w:rFonts w:ascii="Cambria" w:eastAsia="Times New Roman" w:hAnsi="Cambria" w:cs="Times New Roman"/>
          <w:color w:val="000000"/>
          <w:sz w:val="24"/>
          <w:szCs w:val="24"/>
        </w:rPr>
        <w:t>ș</w:t>
      </w:r>
      <w:r w:rsidRPr="00EA1BB2">
        <w:rPr>
          <w:rFonts w:ascii="Cambria" w:eastAsia="Times New Roman" w:hAnsi="Cambria" w:cs="Times New Roman"/>
          <w:color w:val="000000"/>
          <w:sz w:val="24"/>
          <w:szCs w:val="24"/>
        </w:rPr>
        <w:t>i de a neutraliza substan</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ele eliberate continuu de activită</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i umane. Aerul atmosferic este unul din factorii de mediu dificil de controlat, deoarece poluan</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ii, odată ajun</w:t>
      </w:r>
      <w:r w:rsidR="00054880" w:rsidRPr="00EA1BB2">
        <w:rPr>
          <w:rFonts w:ascii="Cambria" w:eastAsia="Times New Roman" w:hAnsi="Cambria" w:cs="Times New Roman"/>
          <w:color w:val="000000"/>
          <w:sz w:val="24"/>
          <w:szCs w:val="24"/>
        </w:rPr>
        <w:t>ș</w:t>
      </w:r>
      <w:r w:rsidRPr="00EA1BB2">
        <w:rPr>
          <w:rFonts w:ascii="Cambria" w:eastAsia="Times New Roman" w:hAnsi="Cambria" w:cs="Times New Roman"/>
          <w:color w:val="000000"/>
          <w:sz w:val="24"/>
          <w:szCs w:val="24"/>
        </w:rPr>
        <w:t xml:space="preserve">i în atmosferă, se dispersează rapid </w:t>
      </w:r>
      <w:r w:rsidR="00054880" w:rsidRPr="00EA1BB2">
        <w:rPr>
          <w:rFonts w:ascii="Cambria" w:eastAsia="Times New Roman" w:hAnsi="Cambria" w:cs="Times New Roman"/>
          <w:color w:val="000000"/>
          <w:sz w:val="24"/>
          <w:szCs w:val="24"/>
        </w:rPr>
        <w:t>ș</w:t>
      </w:r>
      <w:r w:rsidRPr="00EA1BB2">
        <w:rPr>
          <w:rFonts w:ascii="Cambria" w:eastAsia="Times New Roman" w:hAnsi="Cambria" w:cs="Times New Roman"/>
          <w:color w:val="000000"/>
          <w:sz w:val="24"/>
          <w:szCs w:val="24"/>
        </w:rPr>
        <w:t>i nu mai pot fi capta</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i pentru a fi epura</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i/trata</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i. Pătrun</w:t>
      </w:r>
      <w:r w:rsidR="00054880" w:rsidRPr="00EA1BB2">
        <w:rPr>
          <w:rFonts w:ascii="Cambria" w:eastAsia="Times New Roman" w:hAnsi="Cambria" w:cs="Times New Roman"/>
          <w:color w:val="000000"/>
          <w:sz w:val="24"/>
          <w:szCs w:val="24"/>
        </w:rPr>
        <w:t>ș</w:t>
      </w:r>
      <w:r w:rsidRPr="00EA1BB2">
        <w:rPr>
          <w:rFonts w:ascii="Cambria" w:eastAsia="Times New Roman" w:hAnsi="Cambria" w:cs="Times New Roman"/>
          <w:color w:val="000000"/>
          <w:sz w:val="24"/>
          <w:szCs w:val="24"/>
        </w:rPr>
        <w:t>i în atmosferă, poluan</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ii pot reac</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iona chimic cu constituen</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ii atmosferici sau cu al</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i poluan</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i prezen</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i rezultând astfel noi substan</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 xml:space="preserve">e cu agresivitate mai mare sau mai mică asupra omului </w:t>
      </w:r>
      <w:r w:rsidR="00054880" w:rsidRPr="00EA1BB2">
        <w:rPr>
          <w:rFonts w:ascii="Cambria" w:eastAsia="Times New Roman" w:hAnsi="Cambria" w:cs="Times New Roman"/>
          <w:color w:val="000000"/>
          <w:sz w:val="24"/>
          <w:szCs w:val="24"/>
        </w:rPr>
        <w:t>ș</w:t>
      </w:r>
      <w:r w:rsidRPr="00EA1BB2">
        <w:rPr>
          <w:rFonts w:ascii="Cambria" w:eastAsia="Times New Roman" w:hAnsi="Cambria" w:cs="Times New Roman"/>
          <w:color w:val="000000"/>
          <w:sz w:val="24"/>
          <w:szCs w:val="24"/>
        </w:rPr>
        <w:t>i mediului.</w:t>
      </w:r>
    </w:p>
    <w:p w14:paraId="09638E71" w14:textId="77777777" w:rsidR="00BB3954" w:rsidRPr="00EA1BB2" w:rsidRDefault="00BB3954" w:rsidP="008B7502">
      <w:pPr>
        <w:spacing w:line="360" w:lineRule="auto"/>
        <w:ind w:firstLine="709"/>
        <w:jc w:val="both"/>
        <w:rPr>
          <w:rFonts w:ascii="Cambria" w:eastAsia="Times New Roman" w:hAnsi="Cambria" w:cs="Times New Roman"/>
          <w:color w:val="000000"/>
          <w:sz w:val="24"/>
          <w:szCs w:val="24"/>
        </w:rPr>
      </w:pPr>
      <w:r w:rsidRPr="00EA1BB2">
        <w:rPr>
          <w:rFonts w:ascii="Cambria" w:eastAsia="Times New Roman" w:hAnsi="Cambria" w:cs="Times New Roman"/>
          <w:color w:val="000000"/>
          <w:sz w:val="24"/>
          <w:szCs w:val="24"/>
        </w:rPr>
        <w:t>Compozi</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ia atmosferei s-a schimbat ca urmare a activită</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 xml:space="preserve">ii omului, emisiile de noxe gazoase, particule </w:t>
      </w:r>
      <w:r w:rsidR="00054880" w:rsidRPr="00EA1BB2">
        <w:rPr>
          <w:rFonts w:ascii="Cambria" w:eastAsia="Times New Roman" w:hAnsi="Cambria" w:cs="Times New Roman"/>
          <w:color w:val="000000"/>
          <w:sz w:val="24"/>
          <w:szCs w:val="24"/>
        </w:rPr>
        <w:t>ș</w:t>
      </w:r>
      <w:r w:rsidRPr="00EA1BB2">
        <w:rPr>
          <w:rFonts w:ascii="Cambria" w:eastAsia="Times New Roman" w:hAnsi="Cambria" w:cs="Times New Roman"/>
          <w:color w:val="000000"/>
          <w:sz w:val="24"/>
          <w:szCs w:val="24"/>
        </w:rPr>
        <w:t>i aerosoli conducând la grave probleme de mediu, ca: poluarea urbană, ploile acide, modificarea climei.</w:t>
      </w:r>
    </w:p>
    <w:p w14:paraId="4B5C3228" w14:textId="77777777" w:rsidR="00BB3954" w:rsidRPr="00EA1BB2" w:rsidRDefault="00BB3954" w:rsidP="008B7502">
      <w:pPr>
        <w:spacing w:line="360" w:lineRule="auto"/>
        <w:ind w:firstLine="709"/>
        <w:jc w:val="both"/>
        <w:rPr>
          <w:rFonts w:ascii="Cambria" w:eastAsia="Times New Roman" w:hAnsi="Cambria" w:cs="Times New Roman"/>
          <w:color w:val="000000"/>
          <w:sz w:val="24"/>
          <w:szCs w:val="24"/>
        </w:rPr>
      </w:pPr>
      <w:r w:rsidRPr="00EA1BB2">
        <w:rPr>
          <w:rFonts w:ascii="Cambria" w:eastAsia="Times New Roman" w:hAnsi="Cambria" w:cs="Times New Roman"/>
          <w:color w:val="000000"/>
          <w:sz w:val="24"/>
          <w:szCs w:val="24"/>
        </w:rPr>
        <w:t>Starea atmosferei este eviden</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iată prin prezentarea următoarelor aspecte: poluarea de impact cu diferite noxe, calitatea precipita</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iilor atmosferice, situa</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 xml:space="preserve">ia ozonului atmosferic, dinamica emisiilor de gaze cu efect de seră </w:t>
      </w:r>
      <w:r w:rsidR="00054880" w:rsidRPr="00EA1BB2">
        <w:rPr>
          <w:rFonts w:ascii="Cambria" w:eastAsia="Times New Roman" w:hAnsi="Cambria" w:cs="Times New Roman"/>
          <w:color w:val="000000"/>
          <w:sz w:val="24"/>
          <w:szCs w:val="24"/>
        </w:rPr>
        <w:t>ș</w:t>
      </w:r>
      <w:r w:rsidRPr="00EA1BB2">
        <w:rPr>
          <w:rFonts w:ascii="Cambria" w:eastAsia="Times New Roman" w:hAnsi="Cambria" w:cs="Times New Roman"/>
          <w:color w:val="000000"/>
          <w:sz w:val="24"/>
          <w:szCs w:val="24"/>
        </w:rPr>
        <w:t>i unele manifestări ale schimbărilor climatice.</w:t>
      </w:r>
    </w:p>
    <w:p w14:paraId="2AFD0FB6" w14:textId="77777777" w:rsidR="00BB3954" w:rsidRPr="00EA1BB2" w:rsidRDefault="00BB3954" w:rsidP="008B7502">
      <w:pPr>
        <w:spacing w:line="360" w:lineRule="auto"/>
        <w:ind w:firstLine="709"/>
        <w:jc w:val="both"/>
        <w:rPr>
          <w:rFonts w:ascii="Cambria" w:eastAsia="Times New Roman" w:hAnsi="Cambria" w:cs="Times New Roman"/>
          <w:color w:val="000000"/>
          <w:sz w:val="24"/>
          <w:szCs w:val="24"/>
        </w:rPr>
      </w:pPr>
      <w:r w:rsidRPr="00EA1BB2">
        <w:rPr>
          <w:rFonts w:ascii="Cambria" w:eastAsia="Times New Roman" w:hAnsi="Cambria" w:cs="Times New Roman"/>
          <w:color w:val="000000"/>
          <w:sz w:val="24"/>
          <w:szCs w:val="24"/>
        </w:rPr>
        <w:t>Aerul uscat con</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 xml:space="preserve">ine aproximativ 78 % azot, 21 % oxigen </w:t>
      </w:r>
      <w:r w:rsidR="00054880" w:rsidRPr="00EA1BB2">
        <w:rPr>
          <w:rFonts w:ascii="Cambria" w:eastAsia="Times New Roman" w:hAnsi="Cambria" w:cs="Times New Roman"/>
          <w:color w:val="000000"/>
          <w:sz w:val="24"/>
          <w:szCs w:val="24"/>
        </w:rPr>
        <w:t>ș</w:t>
      </w:r>
      <w:r w:rsidRPr="00EA1BB2">
        <w:rPr>
          <w:rFonts w:ascii="Cambria" w:eastAsia="Times New Roman" w:hAnsi="Cambria" w:cs="Times New Roman"/>
          <w:color w:val="000000"/>
          <w:sz w:val="24"/>
          <w:szCs w:val="24"/>
        </w:rPr>
        <w:t xml:space="preserve">i 1 % argon. În aer există </w:t>
      </w:r>
      <w:r w:rsidR="00054880" w:rsidRPr="00EA1BB2">
        <w:rPr>
          <w:rFonts w:ascii="Cambria" w:eastAsia="Times New Roman" w:hAnsi="Cambria" w:cs="Times New Roman"/>
          <w:color w:val="000000"/>
          <w:sz w:val="24"/>
          <w:szCs w:val="24"/>
        </w:rPr>
        <w:t>ș</w:t>
      </w:r>
      <w:r w:rsidRPr="00EA1BB2">
        <w:rPr>
          <w:rFonts w:ascii="Cambria" w:eastAsia="Times New Roman" w:hAnsi="Cambria" w:cs="Times New Roman"/>
          <w:color w:val="000000"/>
          <w:sz w:val="24"/>
          <w:szCs w:val="24"/>
        </w:rPr>
        <w:t xml:space="preserve">i vapori de apă, reprezentând între 0,1 % </w:t>
      </w:r>
      <w:r w:rsidR="00054880" w:rsidRPr="00EA1BB2">
        <w:rPr>
          <w:rFonts w:ascii="Cambria" w:eastAsia="Times New Roman" w:hAnsi="Cambria" w:cs="Times New Roman"/>
          <w:color w:val="000000"/>
          <w:sz w:val="24"/>
          <w:szCs w:val="24"/>
        </w:rPr>
        <w:t>ș</w:t>
      </w:r>
      <w:r w:rsidRPr="00EA1BB2">
        <w:rPr>
          <w:rFonts w:ascii="Cambria" w:eastAsia="Times New Roman" w:hAnsi="Cambria" w:cs="Times New Roman"/>
          <w:color w:val="000000"/>
          <w:sz w:val="24"/>
          <w:szCs w:val="24"/>
        </w:rPr>
        <w:t>i 4 % din troposferă. Aerul mai cald con</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ine de obicei o cantitate mai mare de vapori de apă decât aerul mai rece. Aerul con</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ine, de asemenea, cantită</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 xml:space="preserve">i foarte mici de alte gaze, cunoscute drept gaze reziduale, inclusiv dioxid de carbon </w:t>
      </w:r>
      <w:r w:rsidR="00054880" w:rsidRPr="00EA1BB2">
        <w:rPr>
          <w:rFonts w:ascii="Cambria" w:eastAsia="Times New Roman" w:hAnsi="Cambria" w:cs="Times New Roman"/>
          <w:color w:val="000000"/>
          <w:sz w:val="24"/>
          <w:szCs w:val="24"/>
        </w:rPr>
        <w:t>ș</w:t>
      </w:r>
      <w:r w:rsidRPr="00EA1BB2">
        <w:rPr>
          <w:rFonts w:ascii="Cambria" w:eastAsia="Times New Roman" w:hAnsi="Cambria" w:cs="Times New Roman"/>
          <w:color w:val="000000"/>
          <w:sz w:val="24"/>
          <w:szCs w:val="24"/>
        </w:rPr>
        <w:t>i metan. Concentra</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iile acestor gaze minore în atmosferă sunt în general măsurate în păr</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i pe milion (ppm). De exemplu, concentra</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 xml:space="preserve">iile de dioxid de carbon, unul dintre gazele reziduale cele mai importante </w:t>
      </w:r>
      <w:r w:rsidR="00054880" w:rsidRPr="00EA1BB2">
        <w:rPr>
          <w:rFonts w:ascii="Cambria" w:eastAsia="Times New Roman" w:hAnsi="Cambria" w:cs="Times New Roman"/>
          <w:color w:val="000000"/>
          <w:sz w:val="24"/>
          <w:szCs w:val="24"/>
        </w:rPr>
        <w:t>ș</w:t>
      </w:r>
      <w:r w:rsidRPr="00EA1BB2">
        <w:rPr>
          <w:rFonts w:ascii="Cambria" w:eastAsia="Times New Roman" w:hAnsi="Cambria" w:cs="Times New Roman"/>
          <w:color w:val="000000"/>
          <w:sz w:val="24"/>
          <w:szCs w:val="24"/>
        </w:rPr>
        <w:t>i aflat în cele mai mari cantită</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i în atmosferă, au fost estimate la aproximativ 391 ppm sau 0,0391 % în 2011 (indicatorul AEM privind concentra</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iile atmosferice).</w:t>
      </w:r>
      <w:r w:rsidRPr="00EA1BB2">
        <w:rPr>
          <w:rFonts w:ascii="Cambria" w:eastAsia="Times New Roman" w:hAnsi="Cambria" w:cs="Times New Roman"/>
          <w:color w:val="000000"/>
          <w:sz w:val="24"/>
          <w:szCs w:val="24"/>
          <w:vertAlign w:val="superscript"/>
        </w:rPr>
        <w:footnoteReference w:id="15"/>
      </w:r>
    </w:p>
    <w:p w14:paraId="4950712A" w14:textId="77777777" w:rsidR="00BB3954" w:rsidRPr="00EA1BB2" w:rsidRDefault="00BB3954" w:rsidP="008B7502">
      <w:pPr>
        <w:spacing w:line="360" w:lineRule="auto"/>
        <w:ind w:firstLine="709"/>
        <w:jc w:val="both"/>
        <w:rPr>
          <w:rFonts w:ascii="Cambria" w:eastAsia="Times New Roman" w:hAnsi="Cambria" w:cs="Times New Roman"/>
          <w:color w:val="000000"/>
          <w:sz w:val="24"/>
          <w:szCs w:val="24"/>
        </w:rPr>
      </w:pPr>
      <w:r w:rsidRPr="00EA1BB2">
        <w:rPr>
          <w:rFonts w:ascii="Cambria" w:eastAsia="Times New Roman" w:hAnsi="Cambria" w:cs="Times New Roman"/>
          <w:color w:val="000000"/>
          <w:sz w:val="24"/>
          <w:szCs w:val="24"/>
        </w:rPr>
        <w:t xml:space="preserve">În plus, există mii de alte gaze </w:t>
      </w:r>
      <w:r w:rsidR="00054880" w:rsidRPr="00EA1BB2">
        <w:rPr>
          <w:rFonts w:ascii="Cambria" w:eastAsia="Times New Roman" w:hAnsi="Cambria" w:cs="Times New Roman"/>
          <w:color w:val="000000"/>
          <w:sz w:val="24"/>
          <w:szCs w:val="24"/>
        </w:rPr>
        <w:t>ș</w:t>
      </w:r>
      <w:r w:rsidRPr="00EA1BB2">
        <w:rPr>
          <w:rFonts w:ascii="Cambria" w:eastAsia="Times New Roman" w:hAnsi="Cambria" w:cs="Times New Roman"/>
          <w:color w:val="000000"/>
          <w:sz w:val="24"/>
          <w:szCs w:val="24"/>
        </w:rPr>
        <w:t xml:space="preserve">i particule (inclusiv funingine </w:t>
      </w:r>
      <w:r w:rsidR="00054880" w:rsidRPr="00EA1BB2">
        <w:rPr>
          <w:rFonts w:ascii="Cambria" w:eastAsia="Times New Roman" w:hAnsi="Cambria" w:cs="Times New Roman"/>
          <w:color w:val="000000"/>
          <w:sz w:val="24"/>
          <w:szCs w:val="24"/>
        </w:rPr>
        <w:t>ș</w:t>
      </w:r>
      <w:r w:rsidRPr="00EA1BB2">
        <w:rPr>
          <w:rFonts w:ascii="Cambria" w:eastAsia="Times New Roman" w:hAnsi="Cambria" w:cs="Times New Roman"/>
          <w:color w:val="000000"/>
          <w:sz w:val="24"/>
          <w:szCs w:val="24"/>
        </w:rPr>
        <w:t xml:space="preserve">i metale) emise în atmosferă atât de surse naturale, cât </w:t>
      </w:r>
      <w:r w:rsidR="00054880" w:rsidRPr="00EA1BB2">
        <w:rPr>
          <w:rFonts w:ascii="Cambria" w:eastAsia="Times New Roman" w:hAnsi="Cambria" w:cs="Times New Roman"/>
          <w:color w:val="000000"/>
          <w:sz w:val="24"/>
          <w:szCs w:val="24"/>
        </w:rPr>
        <w:t>ș</w:t>
      </w:r>
      <w:r w:rsidRPr="00EA1BB2">
        <w:rPr>
          <w:rFonts w:ascii="Cambria" w:eastAsia="Times New Roman" w:hAnsi="Cambria" w:cs="Times New Roman"/>
          <w:color w:val="000000"/>
          <w:sz w:val="24"/>
          <w:szCs w:val="24"/>
        </w:rPr>
        <w:t>i antropice. Compozi</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ia aerului din atmosferă se modifică în permanen</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ă. Unele substan</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e din aer au un mare poten</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ial reactiv, cu alte cuvinte au o mai mare predispozi</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ie de a interac</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iona cu alte substan</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e pentru a forma unele noi. Atunci când unele dintre aceste substan</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e reac</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ionează cu altele, pot forma poluan</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 xml:space="preserve">i „secundari” dăunători pentru sănătatea noastră </w:t>
      </w:r>
      <w:r w:rsidR="00054880" w:rsidRPr="00EA1BB2">
        <w:rPr>
          <w:rFonts w:ascii="Cambria" w:eastAsia="Times New Roman" w:hAnsi="Cambria" w:cs="Times New Roman"/>
          <w:color w:val="000000"/>
          <w:sz w:val="24"/>
          <w:szCs w:val="24"/>
        </w:rPr>
        <w:t>ș</w:t>
      </w:r>
      <w:r w:rsidRPr="00EA1BB2">
        <w:rPr>
          <w:rFonts w:ascii="Cambria" w:eastAsia="Times New Roman" w:hAnsi="Cambria" w:cs="Times New Roman"/>
          <w:color w:val="000000"/>
          <w:sz w:val="24"/>
          <w:szCs w:val="24"/>
        </w:rPr>
        <w:t>i pentru mediu. Căldura – inclusiv cea solară – este de obicei un catalizator care facilitează sau declan</w:t>
      </w:r>
      <w:r w:rsidR="00054880" w:rsidRPr="00EA1BB2">
        <w:rPr>
          <w:rFonts w:ascii="Cambria" w:eastAsia="Times New Roman" w:hAnsi="Cambria" w:cs="Times New Roman"/>
          <w:color w:val="000000"/>
          <w:sz w:val="24"/>
          <w:szCs w:val="24"/>
        </w:rPr>
        <w:t>ș</w:t>
      </w:r>
      <w:r w:rsidRPr="00EA1BB2">
        <w:rPr>
          <w:rFonts w:ascii="Cambria" w:eastAsia="Times New Roman" w:hAnsi="Cambria" w:cs="Times New Roman"/>
          <w:color w:val="000000"/>
          <w:sz w:val="24"/>
          <w:szCs w:val="24"/>
        </w:rPr>
        <w:t>ează reac</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iile chimice.</w:t>
      </w:r>
      <w:r w:rsidRPr="00EA1BB2">
        <w:rPr>
          <w:rFonts w:ascii="Cambria" w:eastAsia="Times New Roman" w:hAnsi="Cambria" w:cs="Times New Roman"/>
          <w:color w:val="000000"/>
          <w:sz w:val="24"/>
          <w:szCs w:val="24"/>
          <w:vertAlign w:val="superscript"/>
        </w:rPr>
        <w:footnoteReference w:id="16"/>
      </w:r>
    </w:p>
    <w:p w14:paraId="4AF13F7C" w14:textId="77777777" w:rsidR="00AC4C38" w:rsidRPr="00EA1BB2" w:rsidRDefault="00BB3954" w:rsidP="008B7502">
      <w:pPr>
        <w:spacing w:line="360" w:lineRule="auto"/>
        <w:ind w:firstLine="709"/>
        <w:jc w:val="both"/>
        <w:rPr>
          <w:rFonts w:ascii="Cambria" w:eastAsia="Times New Roman" w:hAnsi="Cambria" w:cs="Times New Roman"/>
          <w:color w:val="000000"/>
          <w:sz w:val="24"/>
          <w:szCs w:val="24"/>
        </w:rPr>
      </w:pPr>
      <w:r w:rsidRPr="00EA1BB2">
        <w:rPr>
          <w:rFonts w:ascii="Cambria" w:eastAsia="Times New Roman" w:hAnsi="Cambria" w:cs="Times New Roman"/>
          <w:color w:val="000000"/>
          <w:sz w:val="24"/>
          <w:szCs w:val="24"/>
        </w:rPr>
        <w:lastRenderedPageBreak/>
        <w:t>Sunt două tipuri de poluan</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i, poluan</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 xml:space="preserve">ii atmosferici primari (în primul rând oxizi de azot </w:t>
      </w:r>
      <w:r w:rsidR="00054880" w:rsidRPr="00EA1BB2">
        <w:rPr>
          <w:rFonts w:ascii="Cambria" w:eastAsia="Times New Roman" w:hAnsi="Cambria" w:cs="Times New Roman"/>
          <w:color w:val="000000"/>
          <w:sz w:val="24"/>
          <w:szCs w:val="24"/>
        </w:rPr>
        <w:t>ș</w:t>
      </w:r>
      <w:r w:rsidRPr="00EA1BB2">
        <w:rPr>
          <w:rFonts w:ascii="Cambria" w:eastAsia="Times New Roman" w:hAnsi="Cambria" w:cs="Times New Roman"/>
          <w:color w:val="000000"/>
          <w:sz w:val="24"/>
          <w:szCs w:val="24"/>
        </w:rPr>
        <w:t xml:space="preserve">i sulf, dar </w:t>
      </w:r>
      <w:r w:rsidR="00054880" w:rsidRPr="00EA1BB2">
        <w:rPr>
          <w:rFonts w:ascii="Cambria" w:eastAsia="Times New Roman" w:hAnsi="Cambria" w:cs="Times New Roman"/>
          <w:color w:val="000000"/>
          <w:sz w:val="24"/>
          <w:szCs w:val="24"/>
        </w:rPr>
        <w:t>ș</w:t>
      </w:r>
      <w:r w:rsidRPr="00EA1BB2">
        <w:rPr>
          <w:rFonts w:ascii="Cambria" w:eastAsia="Times New Roman" w:hAnsi="Cambria" w:cs="Times New Roman"/>
          <w:color w:val="000000"/>
          <w:sz w:val="24"/>
          <w:szCs w:val="24"/>
        </w:rPr>
        <w:t>i compu</w:t>
      </w:r>
      <w:r w:rsidR="00054880" w:rsidRPr="00EA1BB2">
        <w:rPr>
          <w:rFonts w:ascii="Cambria" w:eastAsia="Times New Roman" w:hAnsi="Cambria" w:cs="Times New Roman"/>
          <w:color w:val="000000"/>
          <w:sz w:val="24"/>
          <w:szCs w:val="24"/>
        </w:rPr>
        <w:t>ș</w:t>
      </w:r>
      <w:r w:rsidRPr="00EA1BB2">
        <w:rPr>
          <w:rFonts w:ascii="Cambria" w:eastAsia="Times New Roman" w:hAnsi="Cambria" w:cs="Times New Roman"/>
          <w:color w:val="000000"/>
          <w:sz w:val="24"/>
          <w:szCs w:val="24"/>
        </w:rPr>
        <w:t xml:space="preserve">i organici volatili) </w:t>
      </w:r>
      <w:r w:rsidR="00054880" w:rsidRPr="00EA1BB2">
        <w:rPr>
          <w:rFonts w:ascii="Cambria" w:eastAsia="Times New Roman" w:hAnsi="Cambria" w:cs="Times New Roman"/>
          <w:color w:val="000000"/>
          <w:sz w:val="24"/>
          <w:szCs w:val="24"/>
        </w:rPr>
        <w:t>ș</w:t>
      </w:r>
      <w:r w:rsidRPr="00EA1BB2">
        <w:rPr>
          <w:rFonts w:ascii="Cambria" w:eastAsia="Times New Roman" w:hAnsi="Cambria" w:cs="Times New Roman"/>
          <w:color w:val="000000"/>
          <w:sz w:val="24"/>
          <w:szCs w:val="24"/>
        </w:rPr>
        <w:t>i poluan</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 xml:space="preserve">i atmosferici secundari (ozonul </w:t>
      </w:r>
      <w:r w:rsidR="00054880" w:rsidRPr="00EA1BB2">
        <w:rPr>
          <w:rFonts w:ascii="Cambria" w:eastAsia="Times New Roman" w:hAnsi="Cambria" w:cs="Times New Roman"/>
          <w:color w:val="000000"/>
          <w:sz w:val="24"/>
          <w:szCs w:val="24"/>
        </w:rPr>
        <w:t>ș</w:t>
      </w:r>
      <w:r w:rsidR="00FE0515" w:rsidRPr="00EA1BB2">
        <w:rPr>
          <w:rFonts w:ascii="Cambria" w:eastAsia="Times New Roman" w:hAnsi="Cambria" w:cs="Times New Roman"/>
          <w:color w:val="000000"/>
          <w:sz w:val="24"/>
          <w:szCs w:val="24"/>
        </w:rPr>
        <w:t>i ploile/pulberile acide). Î</w:t>
      </w:r>
      <w:r w:rsidRPr="00EA1BB2">
        <w:rPr>
          <w:rFonts w:ascii="Cambria" w:eastAsia="Times New Roman" w:hAnsi="Cambria" w:cs="Times New Roman"/>
          <w:color w:val="000000"/>
          <w:sz w:val="24"/>
          <w:szCs w:val="24"/>
        </w:rPr>
        <w:t>ntre cele dou</w:t>
      </w:r>
      <w:r w:rsidR="00AC4C38" w:rsidRPr="00EA1BB2">
        <w:rPr>
          <w:rFonts w:ascii="Cambria" w:eastAsia="Times New Roman" w:hAnsi="Cambria" w:cs="Times New Roman"/>
          <w:color w:val="000000"/>
          <w:sz w:val="24"/>
          <w:szCs w:val="24"/>
        </w:rPr>
        <w:t>ă</w:t>
      </w:r>
      <w:r w:rsidRPr="00EA1BB2">
        <w:rPr>
          <w:rFonts w:ascii="Cambria" w:eastAsia="Times New Roman" w:hAnsi="Cambria" w:cs="Times New Roman"/>
          <w:color w:val="000000"/>
          <w:sz w:val="24"/>
          <w:szCs w:val="24"/>
        </w:rPr>
        <w:t xml:space="preserve"> tipuri de poluan</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i există o continuă inter-corelare. Ozonul troposferic se formează prin reac</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 xml:space="preserve">ii fotochimice mediate de oxizii de azot </w:t>
      </w:r>
      <w:r w:rsidR="00054880" w:rsidRPr="00EA1BB2">
        <w:rPr>
          <w:rFonts w:ascii="Cambria" w:eastAsia="Times New Roman" w:hAnsi="Cambria" w:cs="Times New Roman"/>
          <w:color w:val="000000"/>
          <w:sz w:val="24"/>
          <w:szCs w:val="24"/>
        </w:rPr>
        <w:t>ș</w:t>
      </w:r>
      <w:r w:rsidRPr="00EA1BB2">
        <w:rPr>
          <w:rFonts w:ascii="Cambria" w:eastAsia="Times New Roman" w:hAnsi="Cambria" w:cs="Times New Roman"/>
          <w:color w:val="000000"/>
          <w:sz w:val="24"/>
          <w:szCs w:val="24"/>
        </w:rPr>
        <w:t>i compu</w:t>
      </w:r>
      <w:r w:rsidR="00054880" w:rsidRPr="00EA1BB2">
        <w:rPr>
          <w:rFonts w:ascii="Cambria" w:eastAsia="Times New Roman" w:hAnsi="Cambria" w:cs="Times New Roman"/>
          <w:color w:val="000000"/>
          <w:sz w:val="24"/>
          <w:szCs w:val="24"/>
        </w:rPr>
        <w:t>ș</w:t>
      </w:r>
      <w:r w:rsidRPr="00EA1BB2">
        <w:rPr>
          <w:rFonts w:ascii="Cambria" w:eastAsia="Times New Roman" w:hAnsi="Cambria" w:cs="Times New Roman"/>
          <w:color w:val="000000"/>
          <w:sz w:val="24"/>
          <w:szCs w:val="24"/>
        </w:rPr>
        <w:t>ii organici volatili.</w:t>
      </w:r>
      <w:r w:rsidR="00AC4C38" w:rsidRPr="00EA1BB2">
        <w:rPr>
          <w:rFonts w:ascii="Cambria" w:eastAsia="Times New Roman" w:hAnsi="Cambria" w:cs="Times New Roman"/>
          <w:color w:val="000000"/>
          <w:sz w:val="24"/>
          <w:szCs w:val="24"/>
        </w:rPr>
        <w:t xml:space="preserve"> </w:t>
      </w:r>
      <w:r w:rsidRPr="00EA1BB2">
        <w:rPr>
          <w:rFonts w:ascii="Cambria" w:eastAsia="Times New Roman" w:hAnsi="Cambria" w:cs="Times New Roman"/>
          <w:color w:val="000000"/>
          <w:sz w:val="24"/>
          <w:szCs w:val="24"/>
        </w:rPr>
        <w:t>Solul este afectat mai ales de poluan</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 xml:space="preserve">ii atmosferici secundari, ozon </w:t>
      </w:r>
      <w:r w:rsidR="00054880" w:rsidRPr="00EA1BB2">
        <w:rPr>
          <w:rFonts w:ascii="Cambria" w:eastAsia="Times New Roman" w:hAnsi="Cambria" w:cs="Times New Roman"/>
          <w:color w:val="000000"/>
          <w:sz w:val="24"/>
          <w:szCs w:val="24"/>
        </w:rPr>
        <w:t>ș</w:t>
      </w:r>
      <w:r w:rsidRPr="00EA1BB2">
        <w:rPr>
          <w:rFonts w:ascii="Cambria" w:eastAsia="Times New Roman" w:hAnsi="Cambria" w:cs="Times New Roman"/>
          <w:color w:val="000000"/>
          <w:sz w:val="24"/>
          <w:szCs w:val="24"/>
        </w:rPr>
        <w:t>i ploi acide/pulberile acide.</w:t>
      </w:r>
      <w:r w:rsidR="00AC4C38" w:rsidRPr="00EA1BB2">
        <w:rPr>
          <w:rFonts w:ascii="Cambria" w:eastAsia="Times New Roman" w:hAnsi="Cambria" w:cs="Times New Roman"/>
          <w:color w:val="000000"/>
          <w:sz w:val="24"/>
          <w:szCs w:val="24"/>
        </w:rPr>
        <w:t xml:space="preserve"> </w:t>
      </w:r>
    </w:p>
    <w:p w14:paraId="040D36F1" w14:textId="568AA8D1" w:rsidR="00042796" w:rsidRPr="00EA1BB2" w:rsidRDefault="009C7BC0" w:rsidP="00EE10C6">
      <w:pPr>
        <w:spacing w:line="360" w:lineRule="auto"/>
        <w:ind w:firstLine="708"/>
        <w:jc w:val="both"/>
        <w:rPr>
          <w:rFonts w:ascii="Cambria" w:eastAsia="Calibri" w:hAnsi="Cambria" w:cs="Times New Roman"/>
          <w:b/>
          <w:iCs/>
          <w:sz w:val="24"/>
          <w:szCs w:val="18"/>
        </w:rPr>
      </w:pPr>
      <w:r w:rsidRPr="00EA1BB2">
        <w:rPr>
          <w:rFonts w:ascii="Cambria" w:eastAsia="SimSun" w:hAnsi="Cambria" w:cs="Arial"/>
          <w:sz w:val="24"/>
          <w:szCs w:val="24"/>
        </w:rPr>
        <w:t>Tendința</w:t>
      </w:r>
      <w:r w:rsidR="00AC4C38" w:rsidRPr="00EA1BB2">
        <w:rPr>
          <w:rFonts w:ascii="Cambria" w:eastAsia="SimSun" w:hAnsi="Cambria" w:cs="Arial"/>
          <w:sz w:val="24"/>
          <w:szCs w:val="24"/>
        </w:rPr>
        <w:t xml:space="preserve"> </w:t>
      </w:r>
      <w:r w:rsidRPr="00EA1BB2">
        <w:rPr>
          <w:rFonts w:ascii="Cambria" w:eastAsia="SimSun" w:hAnsi="Cambria" w:cs="Arial"/>
          <w:sz w:val="24"/>
          <w:szCs w:val="24"/>
        </w:rPr>
        <w:t xml:space="preserve">emisiilor de precursori secundari </w:t>
      </w:r>
      <w:r w:rsidR="00AC4C38" w:rsidRPr="00EA1BB2">
        <w:rPr>
          <w:rFonts w:ascii="Cambria" w:eastAsia="SimSun" w:hAnsi="Cambria" w:cs="Arial"/>
          <w:sz w:val="24"/>
          <w:szCs w:val="24"/>
        </w:rPr>
        <w:t>ai ozonului</w:t>
      </w:r>
      <w:r w:rsidRPr="00EA1BB2">
        <w:rPr>
          <w:rFonts w:ascii="Cambria" w:eastAsia="SimSun" w:hAnsi="Cambria" w:cs="Arial"/>
          <w:sz w:val="24"/>
          <w:szCs w:val="24"/>
        </w:rPr>
        <w:t>, la nivelul județului Brăila, în perioada 2010-2016, date preluate din</w:t>
      </w:r>
      <w:r w:rsidR="00AC4C38" w:rsidRPr="00EA1BB2">
        <w:rPr>
          <w:rFonts w:ascii="Cambria" w:eastAsia="SimSun" w:hAnsi="Cambria" w:cs="Arial"/>
          <w:sz w:val="24"/>
          <w:szCs w:val="24"/>
        </w:rPr>
        <w:t xml:space="preserve"> </w:t>
      </w:r>
      <w:r w:rsidRPr="00EA1BB2">
        <w:rPr>
          <w:rFonts w:ascii="Cambria" w:eastAsia="SimSun" w:hAnsi="Cambria" w:cs="Arial"/>
          <w:sz w:val="24"/>
          <w:szCs w:val="24"/>
        </w:rPr>
        <w:t>Raportul anual privind starea mediului pentru județul Brăila, anul 2016, realizat de către Agenția p</w:t>
      </w:r>
      <w:r w:rsidR="00EE10C6">
        <w:rPr>
          <w:rFonts w:ascii="Cambria" w:eastAsia="SimSun" w:hAnsi="Cambria" w:cs="Arial"/>
          <w:sz w:val="24"/>
          <w:szCs w:val="24"/>
        </w:rPr>
        <w:t>entru Protecția Mediului Brăila sunt prezentate în figura următoare.</w:t>
      </w:r>
    </w:p>
    <w:p w14:paraId="0A01704E" w14:textId="48B64590" w:rsidR="009C7BC0" w:rsidRPr="00EA1BB2" w:rsidRDefault="009C7BC0" w:rsidP="009C7BC0">
      <w:pPr>
        <w:keepNext/>
        <w:spacing w:line="360" w:lineRule="auto"/>
        <w:ind w:firstLine="708"/>
        <w:jc w:val="both"/>
        <w:rPr>
          <w:rFonts w:ascii="Cambria" w:eastAsia="Calibri" w:hAnsi="Cambria" w:cs="Times New Roman"/>
          <w:b/>
          <w:iCs/>
          <w:sz w:val="24"/>
          <w:szCs w:val="18"/>
        </w:rPr>
      </w:pPr>
      <w:bookmarkStart w:id="109" w:name="_Toc524966215"/>
      <w:r w:rsidRPr="00EA1BB2">
        <w:rPr>
          <w:rFonts w:ascii="Cambria" w:eastAsia="Calibri" w:hAnsi="Cambria" w:cs="Times New Roman"/>
          <w:b/>
          <w:iCs/>
          <w:sz w:val="24"/>
          <w:szCs w:val="18"/>
        </w:rPr>
        <w:t xml:space="preserve">Figura nr. </w:t>
      </w:r>
      <w:r w:rsidR="00280BC9" w:rsidRPr="00EA1BB2">
        <w:rPr>
          <w:rFonts w:ascii="Cambria" w:eastAsia="Calibri" w:hAnsi="Cambria" w:cs="Times New Roman"/>
          <w:b/>
          <w:iCs/>
          <w:sz w:val="24"/>
          <w:szCs w:val="18"/>
        </w:rPr>
        <w:fldChar w:fldCharType="begin"/>
      </w:r>
      <w:r w:rsidR="00BA6FA3" w:rsidRPr="00EA1BB2">
        <w:rPr>
          <w:rFonts w:ascii="Cambria" w:eastAsia="Calibri" w:hAnsi="Cambria" w:cs="Times New Roman"/>
          <w:b/>
          <w:iCs/>
          <w:sz w:val="24"/>
          <w:szCs w:val="18"/>
        </w:rPr>
        <w:instrText xml:space="preserve"> STYLEREF 1 \s </w:instrText>
      </w:r>
      <w:r w:rsidR="00280BC9" w:rsidRPr="00EA1BB2">
        <w:rPr>
          <w:rFonts w:ascii="Cambria" w:eastAsia="Calibri" w:hAnsi="Cambria" w:cs="Times New Roman"/>
          <w:b/>
          <w:iCs/>
          <w:sz w:val="24"/>
          <w:szCs w:val="18"/>
        </w:rPr>
        <w:fldChar w:fldCharType="separate"/>
      </w:r>
      <w:r w:rsidR="00567555">
        <w:rPr>
          <w:rFonts w:ascii="Cambria" w:eastAsia="Calibri" w:hAnsi="Cambria" w:cs="Times New Roman"/>
          <w:b/>
          <w:iCs/>
          <w:noProof/>
          <w:sz w:val="24"/>
          <w:szCs w:val="18"/>
        </w:rPr>
        <w:t>3</w:t>
      </w:r>
      <w:r w:rsidR="00280BC9" w:rsidRPr="00EA1BB2">
        <w:rPr>
          <w:rFonts w:ascii="Cambria" w:eastAsia="Calibri" w:hAnsi="Cambria" w:cs="Times New Roman"/>
          <w:b/>
          <w:iCs/>
          <w:sz w:val="24"/>
          <w:szCs w:val="18"/>
        </w:rPr>
        <w:fldChar w:fldCharType="end"/>
      </w:r>
      <w:r w:rsidR="00BA6FA3" w:rsidRPr="00EA1BB2">
        <w:rPr>
          <w:rFonts w:ascii="Cambria" w:eastAsia="Calibri" w:hAnsi="Cambria" w:cs="Times New Roman"/>
          <w:b/>
          <w:iCs/>
          <w:sz w:val="24"/>
          <w:szCs w:val="18"/>
        </w:rPr>
        <w:noBreakHyphen/>
      </w:r>
      <w:r w:rsidR="00280BC9" w:rsidRPr="00EA1BB2">
        <w:rPr>
          <w:rFonts w:ascii="Cambria" w:eastAsia="Calibri" w:hAnsi="Cambria" w:cs="Times New Roman"/>
          <w:b/>
          <w:iCs/>
          <w:sz w:val="24"/>
          <w:szCs w:val="18"/>
        </w:rPr>
        <w:fldChar w:fldCharType="begin"/>
      </w:r>
      <w:r w:rsidR="00BA6FA3" w:rsidRPr="00EA1BB2">
        <w:rPr>
          <w:rFonts w:ascii="Cambria" w:eastAsia="Calibri" w:hAnsi="Cambria" w:cs="Times New Roman"/>
          <w:b/>
          <w:iCs/>
          <w:sz w:val="24"/>
          <w:szCs w:val="18"/>
        </w:rPr>
        <w:instrText xml:space="preserve"> SEQ Figura_nr. \* ARABIC \s 1 </w:instrText>
      </w:r>
      <w:r w:rsidR="00280BC9" w:rsidRPr="00EA1BB2">
        <w:rPr>
          <w:rFonts w:ascii="Cambria" w:eastAsia="Calibri" w:hAnsi="Cambria" w:cs="Times New Roman"/>
          <w:b/>
          <w:iCs/>
          <w:sz w:val="24"/>
          <w:szCs w:val="18"/>
        </w:rPr>
        <w:fldChar w:fldCharType="separate"/>
      </w:r>
      <w:r w:rsidR="00567555">
        <w:rPr>
          <w:rFonts w:ascii="Cambria" w:eastAsia="Calibri" w:hAnsi="Cambria" w:cs="Times New Roman"/>
          <w:b/>
          <w:iCs/>
          <w:noProof/>
          <w:sz w:val="24"/>
          <w:szCs w:val="18"/>
        </w:rPr>
        <w:t>4</w:t>
      </w:r>
      <w:r w:rsidR="00280BC9" w:rsidRPr="00EA1BB2">
        <w:rPr>
          <w:rFonts w:ascii="Cambria" w:eastAsia="Calibri" w:hAnsi="Cambria" w:cs="Times New Roman"/>
          <w:b/>
          <w:iCs/>
          <w:sz w:val="24"/>
          <w:szCs w:val="18"/>
        </w:rPr>
        <w:fldChar w:fldCharType="end"/>
      </w:r>
      <w:r w:rsidRPr="00EA1BB2">
        <w:rPr>
          <w:rFonts w:ascii="Cambria" w:eastAsia="Calibri" w:hAnsi="Cambria" w:cs="Times New Roman"/>
          <w:b/>
          <w:iCs/>
          <w:sz w:val="24"/>
          <w:szCs w:val="18"/>
        </w:rPr>
        <w:t xml:space="preserve"> – Tendința emisiilor de poluanți precursori ai ozonului, la nivelul județului Brăila, în perioada 2010-2016</w:t>
      </w:r>
      <w:bookmarkEnd w:id="109"/>
    </w:p>
    <w:p w14:paraId="743E0F03" w14:textId="77777777" w:rsidR="009C7BC0" w:rsidRPr="00EA1BB2" w:rsidRDefault="009C7BC0" w:rsidP="009C7BC0">
      <w:pPr>
        <w:spacing w:line="276" w:lineRule="auto"/>
        <w:jc w:val="center"/>
        <w:rPr>
          <w:rFonts w:ascii="Cambria" w:eastAsia="SimSun" w:hAnsi="Cambria" w:cs="Arial"/>
          <w:sz w:val="24"/>
          <w:szCs w:val="24"/>
        </w:rPr>
      </w:pPr>
      <w:r w:rsidRPr="00EA1BB2">
        <w:rPr>
          <w:rFonts w:ascii="Cambria" w:eastAsia="SimSun" w:hAnsi="Cambria" w:cs="Arial"/>
          <w:noProof/>
          <w:sz w:val="24"/>
          <w:szCs w:val="24"/>
          <w:lang w:val="en-US"/>
        </w:rPr>
        <w:drawing>
          <wp:inline distT="0" distB="0" distL="0" distR="0" wp14:anchorId="43CB776C" wp14:editId="6FB1360F">
            <wp:extent cx="5723890" cy="2628900"/>
            <wp:effectExtent l="0" t="0" r="10160" b="0"/>
            <wp:docPr id="6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0BD2EC84" w14:textId="77777777" w:rsidR="009C7BC0" w:rsidRPr="00EA1BB2" w:rsidRDefault="009C7BC0" w:rsidP="009C7BC0">
      <w:pPr>
        <w:spacing w:line="276" w:lineRule="auto"/>
        <w:jc w:val="both"/>
        <w:rPr>
          <w:rFonts w:ascii="Cambria" w:eastAsia="SimSun" w:hAnsi="Cambria" w:cs="Arial"/>
          <w:szCs w:val="24"/>
        </w:rPr>
      </w:pPr>
      <w:r w:rsidRPr="00EA1BB2">
        <w:rPr>
          <w:rFonts w:ascii="Cambria" w:eastAsia="SimSun" w:hAnsi="Cambria" w:cs="Arial"/>
          <w:szCs w:val="24"/>
        </w:rPr>
        <w:t>Sursa date: APM Brăila - Raportul anual privind starea mediului pentru județul Brăila, anul 2016</w:t>
      </w:r>
    </w:p>
    <w:p w14:paraId="13808016" w14:textId="77777777" w:rsidR="00AC4C38" w:rsidRPr="00EA1BB2" w:rsidRDefault="00AC4C38" w:rsidP="00AC4C38">
      <w:pPr>
        <w:spacing w:line="360" w:lineRule="auto"/>
        <w:ind w:firstLine="709"/>
        <w:jc w:val="both"/>
        <w:rPr>
          <w:rFonts w:ascii="Cambria" w:eastAsia="Times New Roman" w:hAnsi="Cambria" w:cs="Times New Roman"/>
          <w:color w:val="000000"/>
          <w:sz w:val="24"/>
          <w:szCs w:val="24"/>
        </w:rPr>
      </w:pPr>
    </w:p>
    <w:p w14:paraId="7715C062" w14:textId="50CAEA04" w:rsidR="00AC4C38" w:rsidRPr="00EA1BB2" w:rsidRDefault="00AC4C38" w:rsidP="00AC4C38">
      <w:pPr>
        <w:spacing w:line="360" w:lineRule="auto"/>
        <w:ind w:firstLine="709"/>
        <w:jc w:val="both"/>
        <w:rPr>
          <w:rFonts w:ascii="Cambria" w:eastAsia="Times New Roman" w:hAnsi="Cambria" w:cs="Times New Roman"/>
          <w:color w:val="000000"/>
          <w:sz w:val="24"/>
          <w:szCs w:val="24"/>
        </w:rPr>
      </w:pPr>
      <w:r w:rsidRPr="00EA1BB2">
        <w:rPr>
          <w:rFonts w:ascii="Cambria" w:eastAsia="Times New Roman" w:hAnsi="Cambria" w:cs="Times New Roman"/>
          <w:color w:val="000000"/>
          <w:sz w:val="24"/>
          <w:szCs w:val="24"/>
        </w:rPr>
        <w:t>Particulele reprezintă poluantul atmosferic care afectează cel mai mult sănătatea oamenilor în Europa. Unele dintre aceste particule sunt atât de mici (a treizecea parte din a cincea parte a diametrului unui fir de păr uman), încât nu numai că pătrund foarte adânc în plămânii noștri, ci ajung și în sânge, la fel ca oxigenul. Unele particule sunt emise direct în atmosferă. Altele sunt rezultatul reacțiilor chimice în care sunt implicate gaze precursoare, precum dioxidul de sulf, oxizii de azot, amoniacul și compușii organici volatili.</w:t>
      </w:r>
      <w:r w:rsidRPr="00EA1BB2">
        <w:rPr>
          <w:rFonts w:ascii="Cambria" w:eastAsia="Times New Roman" w:hAnsi="Cambria" w:cs="Times New Roman"/>
          <w:color w:val="000000"/>
          <w:sz w:val="24"/>
          <w:szCs w:val="24"/>
          <w:vertAlign w:val="superscript"/>
        </w:rPr>
        <w:footnoteReference w:id="17"/>
      </w:r>
    </w:p>
    <w:p w14:paraId="35C83256" w14:textId="77777777" w:rsidR="00BB3954" w:rsidRPr="00EA1BB2" w:rsidRDefault="00BB3954" w:rsidP="008B7502">
      <w:pPr>
        <w:spacing w:line="360" w:lineRule="auto"/>
        <w:ind w:firstLine="709"/>
        <w:jc w:val="both"/>
        <w:rPr>
          <w:rFonts w:ascii="Cambria" w:eastAsia="Times New Roman" w:hAnsi="Cambria" w:cs="Times New Roman"/>
          <w:color w:val="000000"/>
          <w:sz w:val="24"/>
          <w:szCs w:val="24"/>
        </w:rPr>
      </w:pPr>
      <w:r w:rsidRPr="00EA1BB2">
        <w:rPr>
          <w:rFonts w:ascii="Cambria" w:eastAsia="Times New Roman" w:hAnsi="Cambria" w:cs="Times New Roman"/>
          <w:color w:val="000000"/>
          <w:sz w:val="24"/>
          <w:szCs w:val="24"/>
        </w:rPr>
        <w:t>Aceste particule pot fi formate din diver</w:t>
      </w:r>
      <w:r w:rsidR="00054880" w:rsidRPr="00EA1BB2">
        <w:rPr>
          <w:rFonts w:ascii="Cambria" w:eastAsia="Times New Roman" w:hAnsi="Cambria" w:cs="Times New Roman"/>
          <w:color w:val="000000"/>
          <w:sz w:val="24"/>
          <w:szCs w:val="24"/>
        </w:rPr>
        <w:t>ș</w:t>
      </w:r>
      <w:r w:rsidRPr="00EA1BB2">
        <w:rPr>
          <w:rFonts w:ascii="Cambria" w:eastAsia="Times New Roman" w:hAnsi="Cambria" w:cs="Times New Roman"/>
          <w:color w:val="000000"/>
          <w:sz w:val="24"/>
          <w:szCs w:val="24"/>
        </w:rPr>
        <w:t>i compu</w:t>
      </w:r>
      <w:r w:rsidR="00054880" w:rsidRPr="00EA1BB2">
        <w:rPr>
          <w:rFonts w:ascii="Cambria" w:eastAsia="Times New Roman" w:hAnsi="Cambria" w:cs="Times New Roman"/>
          <w:color w:val="000000"/>
          <w:sz w:val="24"/>
          <w:szCs w:val="24"/>
        </w:rPr>
        <w:t>ș</w:t>
      </w:r>
      <w:r w:rsidRPr="00EA1BB2">
        <w:rPr>
          <w:rFonts w:ascii="Cambria" w:eastAsia="Times New Roman" w:hAnsi="Cambria" w:cs="Times New Roman"/>
          <w:color w:val="000000"/>
          <w:sz w:val="24"/>
          <w:szCs w:val="24"/>
        </w:rPr>
        <w:t>i chimici, iar impactul pe care îl au asupra sănătă</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 xml:space="preserve">ii noastre </w:t>
      </w:r>
      <w:r w:rsidR="00054880" w:rsidRPr="00EA1BB2">
        <w:rPr>
          <w:rFonts w:ascii="Cambria" w:eastAsia="Times New Roman" w:hAnsi="Cambria" w:cs="Times New Roman"/>
          <w:color w:val="000000"/>
          <w:sz w:val="24"/>
          <w:szCs w:val="24"/>
        </w:rPr>
        <w:t>ș</w:t>
      </w:r>
      <w:r w:rsidRPr="00EA1BB2">
        <w:rPr>
          <w:rFonts w:ascii="Cambria" w:eastAsia="Times New Roman" w:hAnsi="Cambria" w:cs="Times New Roman"/>
          <w:color w:val="000000"/>
          <w:sz w:val="24"/>
          <w:szCs w:val="24"/>
        </w:rPr>
        <w:t>i asupra mediului depinde de componen</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 xml:space="preserve">a lor. De </w:t>
      </w:r>
      <w:r w:rsidRPr="00EA1BB2">
        <w:rPr>
          <w:rFonts w:ascii="Cambria" w:eastAsia="Times New Roman" w:hAnsi="Cambria" w:cs="Times New Roman"/>
          <w:color w:val="000000"/>
          <w:sz w:val="24"/>
          <w:szCs w:val="24"/>
        </w:rPr>
        <w:lastRenderedPageBreak/>
        <w:t>asemenea, particulele pot con</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 xml:space="preserve">ine </w:t>
      </w:r>
      <w:r w:rsidR="00054880" w:rsidRPr="00EA1BB2">
        <w:rPr>
          <w:rFonts w:ascii="Cambria" w:eastAsia="Times New Roman" w:hAnsi="Cambria" w:cs="Times New Roman"/>
          <w:color w:val="000000"/>
          <w:sz w:val="24"/>
          <w:szCs w:val="24"/>
        </w:rPr>
        <w:t>ș</w:t>
      </w:r>
      <w:r w:rsidRPr="00EA1BB2">
        <w:rPr>
          <w:rFonts w:ascii="Cambria" w:eastAsia="Times New Roman" w:hAnsi="Cambria" w:cs="Times New Roman"/>
          <w:color w:val="000000"/>
          <w:sz w:val="24"/>
          <w:szCs w:val="24"/>
        </w:rPr>
        <w:t>i u</w:t>
      </w:r>
      <w:r w:rsidR="00D27A5E" w:rsidRPr="00EA1BB2">
        <w:rPr>
          <w:rFonts w:ascii="Cambria" w:eastAsia="Times New Roman" w:hAnsi="Cambria" w:cs="Times New Roman"/>
          <w:color w:val="000000"/>
          <w:sz w:val="24"/>
          <w:szCs w:val="24"/>
        </w:rPr>
        <w:t>nele metale grele, precum arsen</w:t>
      </w:r>
      <w:r w:rsidRPr="00EA1BB2">
        <w:rPr>
          <w:rFonts w:ascii="Cambria" w:eastAsia="Times New Roman" w:hAnsi="Cambria" w:cs="Times New Roman"/>
          <w:color w:val="000000"/>
          <w:sz w:val="24"/>
          <w:szCs w:val="24"/>
        </w:rPr>
        <w:t xml:space="preserve">ul, cadmiul, mercurul </w:t>
      </w:r>
      <w:r w:rsidR="00054880" w:rsidRPr="00EA1BB2">
        <w:rPr>
          <w:rFonts w:ascii="Cambria" w:eastAsia="Times New Roman" w:hAnsi="Cambria" w:cs="Times New Roman"/>
          <w:color w:val="000000"/>
          <w:sz w:val="24"/>
          <w:szCs w:val="24"/>
        </w:rPr>
        <w:t>ș</w:t>
      </w:r>
      <w:r w:rsidRPr="00EA1BB2">
        <w:rPr>
          <w:rFonts w:ascii="Cambria" w:eastAsia="Times New Roman" w:hAnsi="Cambria" w:cs="Times New Roman"/>
          <w:color w:val="000000"/>
          <w:sz w:val="24"/>
          <w:szCs w:val="24"/>
        </w:rPr>
        <w:t>i nichelul.</w:t>
      </w:r>
    </w:p>
    <w:p w14:paraId="5C3FD16D" w14:textId="77777777" w:rsidR="00BB3954" w:rsidRPr="00EA1BB2" w:rsidRDefault="00BB3954" w:rsidP="008B7502">
      <w:pPr>
        <w:spacing w:line="360" w:lineRule="auto"/>
        <w:ind w:firstLine="709"/>
        <w:jc w:val="both"/>
        <w:rPr>
          <w:rFonts w:ascii="Cambria" w:eastAsia="Times New Roman" w:hAnsi="Cambria" w:cs="Times New Roman"/>
          <w:color w:val="000000"/>
          <w:sz w:val="24"/>
          <w:szCs w:val="24"/>
        </w:rPr>
      </w:pPr>
      <w:r w:rsidRPr="00EA1BB2">
        <w:rPr>
          <w:rFonts w:ascii="Cambria" w:eastAsia="Times New Roman" w:hAnsi="Cambria" w:cs="Times New Roman"/>
          <w:color w:val="000000"/>
          <w:sz w:val="24"/>
          <w:szCs w:val="24"/>
        </w:rPr>
        <w:t>Un studiu recent al Organiza</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iei Mondiale a Sănătă</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ii (OMS) arată că poluarea cu particule fine ar putea reprezenta o problemă mai mare pentru sănătate decât se estimase anterior. Potrivit studiului OMS (WHO) „</w:t>
      </w:r>
      <w:r w:rsidRPr="00EA1BB2">
        <w:rPr>
          <w:rFonts w:ascii="Cambria" w:eastAsia="Times New Roman" w:hAnsi="Cambria" w:cs="Times New Roman"/>
          <w:i/>
          <w:color w:val="000000"/>
          <w:sz w:val="24"/>
          <w:szCs w:val="24"/>
        </w:rPr>
        <w:t>Review of evidence on health aspects of air pollution</w:t>
      </w:r>
      <w:r w:rsidRPr="00EA1BB2">
        <w:rPr>
          <w:rFonts w:ascii="Cambria" w:eastAsia="Times New Roman" w:hAnsi="Cambria" w:cs="Times New Roman"/>
          <w:color w:val="000000"/>
          <w:sz w:val="24"/>
          <w:szCs w:val="24"/>
        </w:rPr>
        <w:t>”</w:t>
      </w:r>
      <w:r w:rsidRPr="00EA1BB2">
        <w:rPr>
          <w:rFonts w:ascii="Cambria" w:eastAsia="Times New Roman" w:hAnsi="Cambria" w:cs="Times New Roman"/>
          <w:color w:val="000000"/>
          <w:sz w:val="24"/>
          <w:szCs w:val="24"/>
          <w:vertAlign w:val="superscript"/>
        </w:rPr>
        <w:footnoteReference w:id="18"/>
      </w:r>
      <w:r w:rsidRPr="00EA1BB2">
        <w:rPr>
          <w:rFonts w:ascii="Cambria" w:eastAsia="Times New Roman" w:hAnsi="Cambria" w:cs="Times New Roman"/>
          <w:color w:val="000000"/>
          <w:sz w:val="24"/>
          <w:szCs w:val="24"/>
        </w:rPr>
        <w:t xml:space="preserve"> (Analiza datelor privind aspectele legate de sănătate ale poluării aerului), expunerea pe termen lung la particulele fine poate cauza </w:t>
      </w:r>
      <w:r w:rsidR="00C6129E" w:rsidRPr="00EA1BB2">
        <w:rPr>
          <w:rFonts w:ascii="Cambria" w:eastAsia="Times New Roman" w:hAnsi="Cambria" w:cs="Times New Roman"/>
          <w:color w:val="000000"/>
          <w:sz w:val="24"/>
          <w:szCs w:val="24"/>
        </w:rPr>
        <w:t>arterioscleroză</w:t>
      </w:r>
      <w:r w:rsidRPr="00EA1BB2">
        <w:rPr>
          <w:rFonts w:ascii="Cambria" w:eastAsia="Times New Roman" w:hAnsi="Cambria" w:cs="Times New Roman"/>
          <w:color w:val="000000"/>
          <w:sz w:val="24"/>
          <w:szCs w:val="24"/>
        </w:rPr>
        <w:t>, consecin</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 xml:space="preserve">e negative asupra sarcinii </w:t>
      </w:r>
      <w:r w:rsidR="00054880" w:rsidRPr="00EA1BB2">
        <w:rPr>
          <w:rFonts w:ascii="Cambria" w:eastAsia="Times New Roman" w:hAnsi="Cambria" w:cs="Times New Roman"/>
          <w:color w:val="000000"/>
          <w:sz w:val="24"/>
          <w:szCs w:val="24"/>
        </w:rPr>
        <w:t>ș</w:t>
      </w:r>
      <w:r w:rsidRPr="00EA1BB2">
        <w:rPr>
          <w:rFonts w:ascii="Cambria" w:eastAsia="Times New Roman" w:hAnsi="Cambria" w:cs="Times New Roman"/>
          <w:color w:val="000000"/>
          <w:sz w:val="24"/>
          <w:szCs w:val="24"/>
        </w:rPr>
        <w:t>i boli respiratorii în copilărie. Studiul sugerează, de asemenea, posibila existen</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ă a unei legături cu dezvoltarea neurologică, func</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 xml:space="preserve">ia cognitivă </w:t>
      </w:r>
      <w:r w:rsidR="00054880" w:rsidRPr="00EA1BB2">
        <w:rPr>
          <w:rFonts w:ascii="Cambria" w:eastAsia="Times New Roman" w:hAnsi="Cambria" w:cs="Times New Roman"/>
          <w:color w:val="000000"/>
          <w:sz w:val="24"/>
          <w:szCs w:val="24"/>
        </w:rPr>
        <w:t>ș</w:t>
      </w:r>
      <w:r w:rsidRPr="00EA1BB2">
        <w:rPr>
          <w:rFonts w:ascii="Cambria" w:eastAsia="Times New Roman" w:hAnsi="Cambria" w:cs="Times New Roman"/>
          <w:color w:val="000000"/>
          <w:sz w:val="24"/>
          <w:szCs w:val="24"/>
        </w:rPr>
        <w:t xml:space="preserve">i diabetul </w:t>
      </w:r>
      <w:r w:rsidR="00054880" w:rsidRPr="00EA1BB2">
        <w:rPr>
          <w:rFonts w:ascii="Cambria" w:eastAsia="Times New Roman" w:hAnsi="Cambria" w:cs="Times New Roman"/>
          <w:color w:val="000000"/>
          <w:sz w:val="24"/>
          <w:szCs w:val="24"/>
        </w:rPr>
        <w:t>ș</w:t>
      </w:r>
      <w:r w:rsidRPr="00EA1BB2">
        <w:rPr>
          <w:rFonts w:ascii="Cambria" w:eastAsia="Times New Roman" w:hAnsi="Cambria" w:cs="Times New Roman"/>
          <w:color w:val="000000"/>
          <w:sz w:val="24"/>
          <w:szCs w:val="24"/>
        </w:rPr>
        <w:t>i întăre</w:t>
      </w:r>
      <w:r w:rsidR="00054880" w:rsidRPr="00EA1BB2">
        <w:rPr>
          <w:rFonts w:ascii="Cambria" w:eastAsia="Times New Roman" w:hAnsi="Cambria" w:cs="Times New Roman"/>
          <w:color w:val="000000"/>
          <w:sz w:val="24"/>
          <w:szCs w:val="24"/>
        </w:rPr>
        <w:t>ș</w:t>
      </w:r>
      <w:r w:rsidRPr="00EA1BB2">
        <w:rPr>
          <w:rFonts w:ascii="Cambria" w:eastAsia="Times New Roman" w:hAnsi="Cambria" w:cs="Times New Roman"/>
          <w:color w:val="000000"/>
          <w:sz w:val="24"/>
          <w:szCs w:val="24"/>
        </w:rPr>
        <w:t xml:space="preserve">te legătura cauzală dintre particule </w:t>
      </w:r>
      <w:r w:rsidR="00054880" w:rsidRPr="00EA1BB2">
        <w:rPr>
          <w:rFonts w:ascii="Cambria" w:eastAsia="Times New Roman" w:hAnsi="Cambria" w:cs="Times New Roman"/>
          <w:color w:val="000000"/>
          <w:sz w:val="24"/>
          <w:szCs w:val="24"/>
        </w:rPr>
        <w:t>ș</w:t>
      </w:r>
      <w:r w:rsidRPr="00EA1BB2">
        <w:rPr>
          <w:rFonts w:ascii="Cambria" w:eastAsia="Times New Roman" w:hAnsi="Cambria" w:cs="Times New Roman"/>
          <w:color w:val="000000"/>
          <w:sz w:val="24"/>
          <w:szCs w:val="24"/>
        </w:rPr>
        <w:t>i decesele cauzate de afec</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 xml:space="preserve">iuni cardiovasculare </w:t>
      </w:r>
      <w:r w:rsidR="00054880" w:rsidRPr="00EA1BB2">
        <w:rPr>
          <w:rFonts w:ascii="Cambria" w:eastAsia="Times New Roman" w:hAnsi="Cambria" w:cs="Times New Roman"/>
          <w:color w:val="000000"/>
          <w:sz w:val="24"/>
          <w:szCs w:val="24"/>
        </w:rPr>
        <w:t>ș</w:t>
      </w:r>
      <w:r w:rsidRPr="00EA1BB2">
        <w:rPr>
          <w:rFonts w:ascii="Cambria" w:eastAsia="Times New Roman" w:hAnsi="Cambria" w:cs="Times New Roman"/>
          <w:color w:val="000000"/>
          <w:sz w:val="24"/>
          <w:szCs w:val="24"/>
        </w:rPr>
        <w:t>i respiratorii.</w:t>
      </w:r>
      <w:r w:rsidRPr="00EA1BB2">
        <w:rPr>
          <w:rFonts w:ascii="Cambria" w:eastAsia="Times New Roman" w:hAnsi="Cambria" w:cs="Times New Roman"/>
          <w:color w:val="000000"/>
          <w:sz w:val="24"/>
          <w:szCs w:val="24"/>
          <w:vertAlign w:val="superscript"/>
        </w:rPr>
        <w:footnoteReference w:id="19"/>
      </w:r>
    </w:p>
    <w:p w14:paraId="175227AE" w14:textId="47FB780F" w:rsidR="00BB3954" w:rsidRPr="00EA1BB2" w:rsidRDefault="00BB3954" w:rsidP="008B7502">
      <w:pPr>
        <w:spacing w:line="360" w:lineRule="auto"/>
        <w:ind w:firstLine="709"/>
        <w:jc w:val="both"/>
        <w:rPr>
          <w:rFonts w:ascii="Cambria" w:eastAsia="Times New Roman" w:hAnsi="Cambria" w:cs="Times New Roman"/>
          <w:color w:val="000000"/>
          <w:sz w:val="24"/>
          <w:szCs w:val="24"/>
        </w:rPr>
      </w:pPr>
      <w:r w:rsidRPr="00EA1BB2">
        <w:rPr>
          <w:rFonts w:ascii="Cambria" w:eastAsia="Times New Roman" w:hAnsi="Cambria" w:cs="Times New Roman"/>
          <w:color w:val="000000"/>
          <w:sz w:val="24"/>
          <w:szCs w:val="24"/>
        </w:rPr>
        <w:t>În func</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ie de compozi</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 xml:space="preserve">ia lor chimică, particulele pot afecta </w:t>
      </w:r>
      <w:r w:rsidR="00054880" w:rsidRPr="00EA1BB2">
        <w:rPr>
          <w:rFonts w:ascii="Cambria" w:eastAsia="Times New Roman" w:hAnsi="Cambria" w:cs="Times New Roman"/>
          <w:color w:val="000000"/>
          <w:sz w:val="24"/>
          <w:szCs w:val="24"/>
        </w:rPr>
        <w:t>ș</w:t>
      </w:r>
      <w:r w:rsidRPr="00EA1BB2">
        <w:rPr>
          <w:rFonts w:ascii="Cambria" w:eastAsia="Times New Roman" w:hAnsi="Cambria" w:cs="Times New Roman"/>
          <w:color w:val="000000"/>
          <w:sz w:val="24"/>
          <w:szCs w:val="24"/>
        </w:rPr>
        <w:t>i clima globală, prin încălzirea sau răcirea planetei. De exemplu, carbonul negru, unul dintre compu</w:t>
      </w:r>
      <w:r w:rsidR="00054880" w:rsidRPr="00EA1BB2">
        <w:rPr>
          <w:rFonts w:ascii="Cambria" w:eastAsia="Times New Roman" w:hAnsi="Cambria" w:cs="Times New Roman"/>
          <w:color w:val="000000"/>
          <w:sz w:val="24"/>
          <w:szCs w:val="24"/>
        </w:rPr>
        <w:t>ș</w:t>
      </w:r>
      <w:r w:rsidRPr="00EA1BB2">
        <w:rPr>
          <w:rFonts w:ascii="Cambria" w:eastAsia="Times New Roman" w:hAnsi="Cambria" w:cs="Times New Roman"/>
          <w:color w:val="000000"/>
          <w:sz w:val="24"/>
          <w:szCs w:val="24"/>
        </w:rPr>
        <w:t>ii frecven</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 xml:space="preserve">i ai funinginii, în principal sub formă de particule fine (cu diametrul mai mic de 2,5 microni), rezultă din arderea incompletă a combustibililor – atât combustibili fosili, cât </w:t>
      </w:r>
      <w:r w:rsidR="00054880" w:rsidRPr="00EA1BB2">
        <w:rPr>
          <w:rFonts w:ascii="Cambria" w:eastAsia="Times New Roman" w:hAnsi="Cambria" w:cs="Times New Roman"/>
          <w:color w:val="000000"/>
          <w:sz w:val="24"/>
          <w:szCs w:val="24"/>
        </w:rPr>
        <w:t>ș</w:t>
      </w:r>
      <w:r w:rsidRPr="00EA1BB2">
        <w:rPr>
          <w:rFonts w:ascii="Cambria" w:eastAsia="Times New Roman" w:hAnsi="Cambria" w:cs="Times New Roman"/>
          <w:color w:val="000000"/>
          <w:sz w:val="24"/>
          <w:szCs w:val="24"/>
        </w:rPr>
        <w:t>i lemn. În zonele urbane, emisiile de carbon negru sunt cauzate în cea mai mare parte de transportul rutier, în special de motoarele diesel. Pe lângă impactul asupra sănătă</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ii, carbonul negru din particule contribuie la schimbările climatice prin absorb</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 xml:space="preserve">ia căldurii solare </w:t>
      </w:r>
      <w:r w:rsidR="00054880" w:rsidRPr="00EA1BB2">
        <w:rPr>
          <w:rFonts w:ascii="Cambria" w:eastAsia="Times New Roman" w:hAnsi="Cambria" w:cs="Times New Roman"/>
          <w:color w:val="000000"/>
          <w:sz w:val="24"/>
          <w:szCs w:val="24"/>
        </w:rPr>
        <w:t>ș</w:t>
      </w:r>
      <w:r w:rsidRPr="00EA1BB2">
        <w:rPr>
          <w:rFonts w:ascii="Cambria" w:eastAsia="Times New Roman" w:hAnsi="Cambria" w:cs="Times New Roman"/>
          <w:color w:val="000000"/>
          <w:sz w:val="24"/>
          <w:szCs w:val="24"/>
        </w:rPr>
        <w:t>i încălzirea atmosferei.</w:t>
      </w:r>
      <w:r w:rsidR="00AC4C38" w:rsidRPr="00EA1BB2">
        <w:rPr>
          <w:rFonts w:ascii="Cambria" w:eastAsia="Times New Roman" w:hAnsi="Cambria" w:cs="Times New Roman"/>
          <w:color w:val="000000"/>
          <w:sz w:val="24"/>
          <w:szCs w:val="24"/>
        </w:rPr>
        <w:t xml:space="preserve"> </w:t>
      </w:r>
      <w:r w:rsidRPr="00EA1BB2">
        <w:rPr>
          <w:rFonts w:ascii="Cambria" w:eastAsia="Times New Roman" w:hAnsi="Cambria" w:cs="Times New Roman"/>
          <w:color w:val="000000"/>
          <w:sz w:val="24"/>
          <w:szCs w:val="24"/>
        </w:rPr>
        <w:t xml:space="preserve">Ozonul este o formă specială </w:t>
      </w:r>
      <w:r w:rsidR="00054880" w:rsidRPr="00EA1BB2">
        <w:rPr>
          <w:rFonts w:ascii="Cambria" w:eastAsia="Times New Roman" w:hAnsi="Cambria" w:cs="Times New Roman"/>
          <w:color w:val="000000"/>
          <w:sz w:val="24"/>
          <w:szCs w:val="24"/>
        </w:rPr>
        <w:t>ș</w:t>
      </w:r>
      <w:r w:rsidRPr="00EA1BB2">
        <w:rPr>
          <w:rFonts w:ascii="Cambria" w:eastAsia="Times New Roman" w:hAnsi="Cambria" w:cs="Times New Roman"/>
          <w:color w:val="000000"/>
          <w:sz w:val="24"/>
          <w:szCs w:val="24"/>
        </w:rPr>
        <w:t>i foarte reactivă a oxigenului, constând în trei atomi de oxigen. În stratosferă – unul dintre straturile superioare ale atmosferei – ozonul ne protejează de radia</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 xml:space="preserve">iile ultraviolete periculoase ale soarelui. În straturile inferioare ale atmosferei – troposfera – ozonul este însă în fapt un important poluant care afectează sănătatea publică </w:t>
      </w:r>
      <w:r w:rsidR="00054880" w:rsidRPr="00EA1BB2">
        <w:rPr>
          <w:rFonts w:ascii="Cambria" w:eastAsia="Times New Roman" w:hAnsi="Cambria" w:cs="Times New Roman"/>
          <w:color w:val="000000"/>
          <w:sz w:val="24"/>
          <w:szCs w:val="24"/>
        </w:rPr>
        <w:t>ș</w:t>
      </w:r>
      <w:r w:rsidRPr="00EA1BB2">
        <w:rPr>
          <w:rFonts w:ascii="Cambria" w:eastAsia="Times New Roman" w:hAnsi="Cambria" w:cs="Times New Roman"/>
          <w:color w:val="000000"/>
          <w:sz w:val="24"/>
          <w:szCs w:val="24"/>
        </w:rPr>
        <w:t>i natura.</w:t>
      </w:r>
      <w:r w:rsidRPr="00EA1BB2">
        <w:rPr>
          <w:rFonts w:ascii="Cambria" w:eastAsia="Times New Roman" w:hAnsi="Cambria" w:cs="Times New Roman"/>
          <w:color w:val="000000"/>
          <w:sz w:val="24"/>
          <w:szCs w:val="24"/>
          <w:vertAlign w:val="superscript"/>
        </w:rPr>
        <w:footnoteReference w:id="20"/>
      </w:r>
    </w:p>
    <w:p w14:paraId="45C8F2F6" w14:textId="77777777" w:rsidR="00343667" w:rsidRPr="00EA1BB2" w:rsidRDefault="00343667" w:rsidP="00343667">
      <w:pPr>
        <w:spacing w:line="360" w:lineRule="auto"/>
        <w:rPr>
          <w:rFonts w:ascii="Cambria" w:hAnsi="Cambria"/>
          <w:sz w:val="24"/>
        </w:rPr>
      </w:pPr>
    </w:p>
    <w:p w14:paraId="491D9C69" w14:textId="77777777" w:rsidR="00744560" w:rsidRPr="00EA1BB2" w:rsidRDefault="00744560" w:rsidP="00E859EF">
      <w:pPr>
        <w:pStyle w:val="Heading2"/>
        <w:numPr>
          <w:ilvl w:val="1"/>
          <w:numId w:val="1"/>
        </w:numPr>
        <w:spacing w:before="0"/>
        <w:ind w:left="0" w:firstLine="709"/>
        <w:jc w:val="both"/>
        <w:rPr>
          <w:rFonts w:ascii="Cambria" w:eastAsia="Times New Roman" w:hAnsi="Cambria"/>
          <w:color w:val="0070C0"/>
          <w:szCs w:val="24"/>
        </w:rPr>
      </w:pPr>
      <w:bookmarkStart w:id="110" w:name="_Toc526889715"/>
      <w:r w:rsidRPr="00EA1BB2">
        <w:rPr>
          <w:rFonts w:ascii="Cambria" w:eastAsia="Times New Roman" w:hAnsi="Cambria"/>
          <w:color w:val="0070C0"/>
          <w:szCs w:val="24"/>
        </w:rPr>
        <w:t>Analiza situa</w:t>
      </w:r>
      <w:r w:rsidR="00054880" w:rsidRPr="00EA1BB2">
        <w:rPr>
          <w:rFonts w:ascii="Cambria" w:eastAsia="Times New Roman" w:hAnsi="Cambria"/>
          <w:color w:val="0070C0"/>
          <w:szCs w:val="24"/>
        </w:rPr>
        <w:t>ț</w:t>
      </w:r>
      <w:r w:rsidRPr="00EA1BB2">
        <w:rPr>
          <w:rFonts w:ascii="Cambria" w:eastAsia="Times New Roman" w:hAnsi="Cambria"/>
          <w:color w:val="0070C0"/>
          <w:szCs w:val="24"/>
        </w:rPr>
        <w:t>iei curente cu privire la calitatea aerului - la momentul ini</w:t>
      </w:r>
      <w:r w:rsidR="00054880" w:rsidRPr="00EA1BB2">
        <w:rPr>
          <w:rFonts w:ascii="Cambria" w:eastAsia="Times New Roman" w:hAnsi="Cambria"/>
          <w:color w:val="0070C0"/>
          <w:szCs w:val="24"/>
        </w:rPr>
        <w:t>ț</w:t>
      </w:r>
      <w:r w:rsidRPr="00EA1BB2">
        <w:rPr>
          <w:rFonts w:ascii="Cambria" w:eastAsia="Times New Roman" w:hAnsi="Cambria"/>
          <w:color w:val="0070C0"/>
          <w:szCs w:val="24"/>
        </w:rPr>
        <w:t>ierii planului de men</w:t>
      </w:r>
      <w:r w:rsidR="00054880" w:rsidRPr="00EA1BB2">
        <w:rPr>
          <w:rFonts w:ascii="Cambria" w:eastAsia="Times New Roman" w:hAnsi="Cambria"/>
          <w:color w:val="0070C0"/>
          <w:szCs w:val="24"/>
        </w:rPr>
        <w:t>ț</w:t>
      </w:r>
      <w:r w:rsidRPr="00EA1BB2">
        <w:rPr>
          <w:rFonts w:ascii="Cambria" w:eastAsia="Times New Roman" w:hAnsi="Cambria"/>
          <w:color w:val="0070C0"/>
          <w:szCs w:val="24"/>
        </w:rPr>
        <w:t>inere a calită</w:t>
      </w:r>
      <w:r w:rsidR="00054880" w:rsidRPr="00EA1BB2">
        <w:rPr>
          <w:rFonts w:ascii="Cambria" w:eastAsia="Times New Roman" w:hAnsi="Cambria"/>
          <w:color w:val="0070C0"/>
          <w:szCs w:val="24"/>
        </w:rPr>
        <w:t>ț</w:t>
      </w:r>
      <w:r w:rsidRPr="00EA1BB2">
        <w:rPr>
          <w:rFonts w:ascii="Cambria" w:eastAsia="Times New Roman" w:hAnsi="Cambria"/>
          <w:color w:val="0070C0"/>
          <w:szCs w:val="24"/>
        </w:rPr>
        <w:t>ii aerului</w:t>
      </w:r>
      <w:bookmarkEnd w:id="110"/>
    </w:p>
    <w:p w14:paraId="10064835" w14:textId="77777777" w:rsidR="00130D1D" w:rsidRPr="00EA1BB2" w:rsidRDefault="00C41B4A" w:rsidP="00E859EF">
      <w:pPr>
        <w:pStyle w:val="ListParagraph"/>
        <w:keepNext/>
        <w:keepLines/>
        <w:numPr>
          <w:ilvl w:val="2"/>
          <w:numId w:val="1"/>
        </w:numPr>
        <w:spacing w:after="0" w:line="360" w:lineRule="auto"/>
        <w:ind w:left="709" w:firstLine="0"/>
        <w:jc w:val="both"/>
        <w:outlineLvl w:val="2"/>
        <w:rPr>
          <w:rFonts w:ascii="Cambria" w:eastAsia="Times New Roman" w:hAnsi="Cambria" w:cs="Times New Roman"/>
          <w:b/>
          <w:color w:val="0070C0"/>
          <w:sz w:val="24"/>
          <w:szCs w:val="24"/>
          <w:lang w:val="ro-RO"/>
        </w:rPr>
      </w:pPr>
      <w:bookmarkStart w:id="111" w:name="_Toc512346949"/>
      <w:bookmarkStart w:id="112" w:name="_Toc526889716"/>
      <w:r w:rsidRPr="00EA1BB2">
        <w:rPr>
          <w:rFonts w:ascii="Cambria" w:eastAsia="Times New Roman" w:hAnsi="Cambria" w:cs="Times New Roman"/>
          <w:b/>
          <w:color w:val="0070C0"/>
          <w:sz w:val="24"/>
          <w:szCs w:val="24"/>
          <w:lang w:val="ro-RO"/>
        </w:rPr>
        <w:t>Evaluarea calității aerului prin măsurători în puncte fixe</w:t>
      </w:r>
      <w:bookmarkEnd w:id="111"/>
      <w:bookmarkEnd w:id="112"/>
    </w:p>
    <w:p w14:paraId="5C0CC77C" w14:textId="77777777" w:rsidR="00C41B4A" w:rsidRPr="00EA1BB2" w:rsidRDefault="00C41B4A" w:rsidP="00C41B4A">
      <w:pPr>
        <w:spacing w:line="360" w:lineRule="auto"/>
        <w:ind w:firstLine="708"/>
        <w:jc w:val="both"/>
        <w:rPr>
          <w:rFonts w:ascii="Cambria" w:eastAsia="Times New Roman" w:hAnsi="Cambria" w:cs="Times New Roman"/>
          <w:sz w:val="24"/>
          <w:szCs w:val="24"/>
        </w:rPr>
      </w:pPr>
      <w:r w:rsidRPr="00EA1BB2">
        <w:rPr>
          <w:rFonts w:ascii="Cambria" w:eastAsia="Times New Roman" w:hAnsi="Cambria" w:cs="Times New Roman"/>
          <w:sz w:val="24"/>
          <w:szCs w:val="24"/>
        </w:rPr>
        <w:t>Supravegherea calității aerului în județul Brăila se realizează prin cinci stații automate de monitorizare care fac parte din Rețeaua Națională de Monitorizare a Calității Aerului.</w:t>
      </w:r>
    </w:p>
    <w:p w14:paraId="714DBCA8" w14:textId="77777777" w:rsidR="00130D1D" w:rsidRPr="00EA1BB2" w:rsidRDefault="002D05A2" w:rsidP="00130D1D">
      <w:pPr>
        <w:spacing w:line="360" w:lineRule="auto"/>
        <w:ind w:firstLine="708"/>
        <w:jc w:val="both"/>
        <w:rPr>
          <w:rFonts w:ascii="Cambria" w:eastAsia="Times New Roman" w:hAnsi="Cambria" w:cs="Times New Roman"/>
          <w:sz w:val="24"/>
          <w:szCs w:val="24"/>
        </w:rPr>
      </w:pPr>
      <w:r w:rsidRPr="00EA1BB2">
        <w:rPr>
          <w:rFonts w:ascii="Cambria" w:eastAsia="Times New Roman" w:hAnsi="Cambria" w:cs="Times New Roman"/>
          <w:sz w:val="24"/>
          <w:szCs w:val="24"/>
        </w:rPr>
        <w:lastRenderedPageBreak/>
        <w:t>Pentru unii</w:t>
      </w:r>
      <w:r w:rsidR="00FE60CA" w:rsidRPr="00EA1BB2">
        <w:rPr>
          <w:rFonts w:ascii="Cambria" w:eastAsia="Times New Roman" w:hAnsi="Cambria" w:cs="Times New Roman"/>
          <w:sz w:val="24"/>
          <w:szCs w:val="24"/>
        </w:rPr>
        <w:t xml:space="preserve"> ani din perioada 2008-2017</w:t>
      </w:r>
      <w:r w:rsidR="00CA246A" w:rsidRPr="00EA1BB2">
        <w:rPr>
          <w:rFonts w:ascii="Cambria" w:eastAsia="Times New Roman" w:hAnsi="Cambria" w:cs="Times New Roman"/>
          <w:sz w:val="24"/>
          <w:szCs w:val="24"/>
        </w:rPr>
        <w:t xml:space="preserve">, </w:t>
      </w:r>
      <w:r w:rsidR="00E52AD4" w:rsidRPr="00EA1BB2">
        <w:rPr>
          <w:rFonts w:ascii="Cambria" w:eastAsia="Times New Roman" w:hAnsi="Cambria" w:cs="Times New Roman"/>
          <w:sz w:val="24"/>
          <w:szCs w:val="24"/>
        </w:rPr>
        <w:t>captura de date a fost insuficientă pentru evaluarea calității aerului în conformitate cu criteriul privind obiectivele de calitate și criteriile pentru calculul parametrilor statici prevăzute în Legea 104/2011 cu modificările ulterioare.</w:t>
      </w:r>
      <w:r w:rsidR="00783BE8" w:rsidRPr="00EA1BB2">
        <w:rPr>
          <w:rFonts w:ascii="Cambria" w:hAnsi="Cambria" w:cs="Arial"/>
          <w:sz w:val="24"/>
          <w:szCs w:val="24"/>
        </w:rPr>
        <w:t xml:space="preserve"> Stațiile automate nu monitorizează poluanții nichel (Ni), arsen (As) și cadmiu (Cd).</w:t>
      </w:r>
    </w:p>
    <w:p w14:paraId="4E4B665A" w14:textId="77777777" w:rsidR="00130D1D" w:rsidRPr="00EA1BB2" w:rsidRDefault="00130D1D" w:rsidP="00130D1D">
      <w:pPr>
        <w:rPr>
          <w:rFonts w:ascii="Cambria" w:hAnsi="Cambria"/>
          <w:sz w:val="24"/>
        </w:rPr>
      </w:pPr>
    </w:p>
    <w:p w14:paraId="3DA26522" w14:textId="77777777" w:rsidR="00744560" w:rsidRPr="00EA1BB2" w:rsidRDefault="00744560" w:rsidP="00E859EF">
      <w:pPr>
        <w:pStyle w:val="Heading4"/>
        <w:numPr>
          <w:ilvl w:val="3"/>
          <w:numId w:val="1"/>
        </w:numPr>
        <w:spacing w:before="0" w:line="360" w:lineRule="auto"/>
        <w:ind w:hanging="579"/>
        <w:rPr>
          <w:color w:val="0070C0"/>
          <w:sz w:val="24"/>
        </w:rPr>
      </w:pPr>
      <w:bookmarkStart w:id="113" w:name="_Toc526889717"/>
      <w:r w:rsidRPr="00EA1BB2">
        <w:rPr>
          <w:color w:val="0070C0"/>
          <w:sz w:val="24"/>
        </w:rPr>
        <w:t>Dioxidul de azot (NO</w:t>
      </w:r>
      <w:r w:rsidRPr="00EA1BB2">
        <w:rPr>
          <w:color w:val="0070C0"/>
          <w:sz w:val="24"/>
          <w:vertAlign w:val="subscript"/>
        </w:rPr>
        <w:t>2</w:t>
      </w:r>
      <w:r w:rsidRPr="00EA1BB2">
        <w:rPr>
          <w:color w:val="0070C0"/>
          <w:sz w:val="24"/>
        </w:rPr>
        <w:t>)</w:t>
      </w:r>
      <w:bookmarkEnd w:id="113"/>
    </w:p>
    <w:p w14:paraId="1A0EAC69" w14:textId="0794373F" w:rsidR="00E90707" w:rsidRPr="00EA1BB2" w:rsidRDefault="00E90707" w:rsidP="00E90707">
      <w:pPr>
        <w:pStyle w:val="Caption"/>
        <w:keepNext/>
        <w:spacing w:after="0" w:line="360" w:lineRule="auto"/>
        <w:ind w:firstLine="708"/>
        <w:jc w:val="both"/>
        <w:rPr>
          <w:rFonts w:ascii="Cambria" w:eastAsia="Times New Roman" w:hAnsi="Cambria" w:cs="Times New Roman"/>
          <w:b w:val="0"/>
          <w:szCs w:val="24"/>
        </w:rPr>
      </w:pPr>
      <w:bookmarkStart w:id="114" w:name="_Toc526889780"/>
      <w:r w:rsidRPr="00EA1BB2">
        <w:rPr>
          <w:rFonts w:ascii="Cambria" w:hAnsi="Cambria"/>
          <w:szCs w:val="24"/>
        </w:rPr>
        <w:t xml:space="preserve">Tabelul nr. </w:t>
      </w:r>
      <w:r w:rsidR="000A2FE7" w:rsidRPr="00EA1BB2">
        <w:rPr>
          <w:rFonts w:ascii="Cambria" w:hAnsi="Cambria"/>
          <w:szCs w:val="24"/>
        </w:rPr>
        <w:fldChar w:fldCharType="begin"/>
      </w:r>
      <w:r w:rsidR="000A2FE7" w:rsidRPr="00EA1BB2">
        <w:rPr>
          <w:rFonts w:ascii="Cambria" w:hAnsi="Cambria"/>
          <w:szCs w:val="24"/>
        </w:rPr>
        <w:instrText xml:space="preserve"> STYLEREF 1 \s </w:instrText>
      </w:r>
      <w:r w:rsidR="000A2FE7" w:rsidRPr="00EA1BB2">
        <w:rPr>
          <w:rFonts w:ascii="Cambria" w:hAnsi="Cambria"/>
          <w:szCs w:val="24"/>
        </w:rPr>
        <w:fldChar w:fldCharType="separate"/>
      </w:r>
      <w:r w:rsidR="00567555">
        <w:rPr>
          <w:rFonts w:ascii="Cambria" w:hAnsi="Cambria"/>
          <w:noProof/>
          <w:szCs w:val="24"/>
        </w:rPr>
        <w:t>3</w:t>
      </w:r>
      <w:r w:rsidR="000A2FE7" w:rsidRPr="00EA1BB2">
        <w:rPr>
          <w:rFonts w:ascii="Cambria" w:hAnsi="Cambria"/>
          <w:szCs w:val="24"/>
        </w:rPr>
        <w:fldChar w:fldCharType="end"/>
      </w:r>
      <w:r w:rsidR="000A2FE7" w:rsidRPr="00EA1BB2">
        <w:rPr>
          <w:rFonts w:ascii="Cambria" w:hAnsi="Cambria"/>
          <w:szCs w:val="24"/>
        </w:rPr>
        <w:noBreakHyphen/>
      </w:r>
      <w:r w:rsidR="000A2FE7" w:rsidRPr="00EA1BB2">
        <w:rPr>
          <w:rFonts w:ascii="Cambria" w:hAnsi="Cambria"/>
          <w:szCs w:val="24"/>
        </w:rPr>
        <w:fldChar w:fldCharType="begin"/>
      </w:r>
      <w:r w:rsidR="000A2FE7" w:rsidRPr="00EA1BB2">
        <w:rPr>
          <w:rFonts w:ascii="Cambria" w:hAnsi="Cambria"/>
          <w:szCs w:val="24"/>
        </w:rPr>
        <w:instrText xml:space="preserve"> SEQ Tabelul_nr. \* ARABIC \s 1 </w:instrText>
      </w:r>
      <w:r w:rsidR="000A2FE7" w:rsidRPr="00EA1BB2">
        <w:rPr>
          <w:rFonts w:ascii="Cambria" w:hAnsi="Cambria"/>
          <w:szCs w:val="24"/>
        </w:rPr>
        <w:fldChar w:fldCharType="separate"/>
      </w:r>
      <w:r w:rsidR="00567555">
        <w:rPr>
          <w:rFonts w:ascii="Cambria" w:hAnsi="Cambria"/>
          <w:noProof/>
          <w:szCs w:val="24"/>
        </w:rPr>
        <w:t>11</w:t>
      </w:r>
      <w:r w:rsidR="000A2FE7" w:rsidRPr="00EA1BB2">
        <w:rPr>
          <w:rFonts w:ascii="Cambria" w:hAnsi="Cambria"/>
          <w:szCs w:val="24"/>
        </w:rPr>
        <w:fldChar w:fldCharType="end"/>
      </w:r>
      <w:r w:rsidRPr="00EA1BB2">
        <w:rPr>
          <w:rFonts w:ascii="Cambria" w:hAnsi="Cambria"/>
          <w:noProof/>
          <w:szCs w:val="24"/>
        </w:rPr>
        <w:t xml:space="preserve"> - </w:t>
      </w:r>
      <w:r w:rsidRPr="00EA1BB2">
        <w:rPr>
          <w:rFonts w:ascii="Cambria" w:eastAsia="Times New Roman" w:hAnsi="Cambria" w:cs="Times New Roman"/>
          <w:szCs w:val="24"/>
        </w:rPr>
        <w:t>Concentrația medie anuală pentru dioxidul de azot (NO</w:t>
      </w:r>
      <w:r w:rsidRPr="00EA1BB2">
        <w:rPr>
          <w:rFonts w:ascii="Cambria" w:eastAsia="Times New Roman" w:hAnsi="Cambria" w:cs="Times New Roman"/>
          <w:szCs w:val="24"/>
          <w:vertAlign w:val="subscript"/>
        </w:rPr>
        <w:t>2</w:t>
      </w:r>
      <w:r w:rsidRPr="00EA1BB2">
        <w:rPr>
          <w:rFonts w:ascii="Cambria" w:eastAsia="Times New Roman" w:hAnsi="Cambria" w:cs="Times New Roman"/>
          <w:szCs w:val="24"/>
        </w:rPr>
        <w:t>), înregistrată la stații</w:t>
      </w:r>
      <w:r w:rsidR="00A05156" w:rsidRPr="00EA1BB2">
        <w:rPr>
          <w:rFonts w:ascii="Cambria" w:eastAsia="Times New Roman" w:hAnsi="Cambria" w:cs="Times New Roman"/>
          <w:szCs w:val="24"/>
        </w:rPr>
        <w:t>le</w:t>
      </w:r>
      <w:r w:rsidRPr="00EA1BB2">
        <w:rPr>
          <w:rFonts w:ascii="Cambria" w:eastAsia="Times New Roman" w:hAnsi="Cambria" w:cs="Times New Roman"/>
          <w:szCs w:val="24"/>
        </w:rPr>
        <w:t xml:space="preserve"> de monitorizare a aerului din </w:t>
      </w:r>
      <w:r w:rsidR="00A05156" w:rsidRPr="00EA1BB2">
        <w:rPr>
          <w:rFonts w:ascii="Cambria" w:eastAsia="Times New Roman" w:hAnsi="Cambria" w:cs="Times New Roman"/>
          <w:szCs w:val="24"/>
        </w:rPr>
        <w:t>zona</w:t>
      </w:r>
      <w:r w:rsidRPr="00EA1BB2">
        <w:rPr>
          <w:rFonts w:ascii="Cambria" w:eastAsia="Times New Roman" w:hAnsi="Cambria" w:cs="Times New Roman"/>
          <w:szCs w:val="24"/>
        </w:rPr>
        <w:t xml:space="preserve"> Brăila, în perioada 20</w:t>
      </w:r>
      <w:r w:rsidR="00A05156" w:rsidRPr="00EA1BB2">
        <w:rPr>
          <w:rFonts w:ascii="Cambria" w:eastAsia="Times New Roman" w:hAnsi="Cambria" w:cs="Times New Roman"/>
          <w:szCs w:val="24"/>
        </w:rPr>
        <w:t>0</w:t>
      </w:r>
      <w:r w:rsidR="00F64CF3" w:rsidRPr="00EA1BB2">
        <w:rPr>
          <w:rFonts w:ascii="Cambria" w:eastAsia="Times New Roman" w:hAnsi="Cambria" w:cs="Times New Roman"/>
          <w:szCs w:val="24"/>
        </w:rPr>
        <w:t>8</w:t>
      </w:r>
      <w:r w:rsidRPr="00EA1BB2">
        <w:rPr>
          <w:rFonts w:ascii="Cambria" w:eastAsia="Times New Roman" w:hAnsi="Cambria" w:cs="Times New Roman"/>
          <w:szCs w:val="24"/>
        </w:rPr>
        <w:t>-201</w:t>
      </w:r>
      <w:r w:rsidR="00A05156" w:rsidRPr="00EA1BB2">
        <w:rPr>
          <w:rFonts w:ascii="Cambria" w:eastAsia="Times New Roman" w:hAnsi="Cambria" w:cs="Times New Roman"/>
          <w:szCs w:val="24"/>
        </w:rPr>
        <w:t>7</w:t>
      </w:r>
      <w:bookmarkEnd w:id="114"/>
    </w:p>
    <w:tbl>
      <w:tblPr>
        <w:tblStyle w:val="TableGrid"/>
        <w:tblW w:w="9300" w:type="dxa"/>
        <w:jc w:val="center"/>
        <w:tblLook w:val="04A0" w:firstRow="1" w:lastRow="0" w:firstColumn="1" w:lastColumn="0" w:noHBand="0" w:noVBand="1"/>
      </w:tblPr>
      <w:tblGrid>
        <w:gridCol w:w="1329"/>
        <w:gridCol w:w="785"/>
        <w:gridCol w:w="785"/>
        <w:gridCol w:w="786"/>
        <w:gridCol w:w="786"/>
        <w:gridCol w:w="786"/>
        <w:gridCol w:w="786"/>
        <w:gridCol w:w="786"/>
        <w:gridCol w:w="786"/>
        <w:gridCol w:w="788"/>
        <w:gridCol w:w="897"/>
      </w:tblGrid>
      <w:tr w:rsidR="00E22002" w:rsidRPr="00EA1BB2" w14:paraId="62312ADC" w14:textId="77777777" w:rsidTr="0026557C">
        <w:trPr>
          <w:trHeight w:val="105"/>
          <w:tblHeader/>
          <w:jc w:val="center"/>
        </w:trPr>
        <w:tc>
          <w:tcPr>
            <w:tcW w:w="1329" w:type="dxa"/>
            <w:vMerge w:val="restart"/>
            <w:shd w:val="clear" w:color="auto" w:fill="BDD6EE" w:themeFill="accent1" w:themeFillTint="66"/>
            <w:noWrap/>
            <w:vAlign w:val="center"/>
          </w:tcPr>
          <w:p w14:paraId="3FF8F091" w14:textId="77777777" w:rsidR="00E22002" w:rsidRPr="00EA1BB2" w:rsidRDefault="00E22002" w:rsidP="00580765">
            <w:pPr>
              <w:spacing w:line="360" w:lineRule="auto"/>
              <w:jc w:val="center"/>
              <w:rPr>
                <w:rFonts w:ascii="Cambria" w:eastAsia="Times New Roman" w:hAnsi="Cambria" w:cs="Times New Roman"/>
                <w:b/>
                <w:sz w:val="20"/>
                <w:szCs w:val="24"/>
                <w:lang w:val="ro-RO"/>
              </w:rPr>
            </w:pPr>
            <w:r w:rsidRPr="00EA1BB2">
              <w:rPr>
                <w:rFonts w:ascii="Cambria" w:eastAsia="Times New Roman" w:hAnsi="Cambria" w:cs="Times New Roman"/>
                <w:b/>
                <w:sz w:val="20"/>
                <w:szCs w:val="24"/>
                <w:lang w:val="ro-RO"/>
              </w:rPr>
              <w:t xml:space="preserve">Stația de </w:t>
            </w:r>
          </w:p>
          <w:p w14:paraId="4C31BBE6" w14:textId="77777777" w:rsidR="00E22002" w:rsidRPr="00EA1BB2" w:rsidRDefault="00E22002" w:rsidP="00E22002">
            <w:pPr>
              <w:spacing w:line="360" w:lineRule="auto"/>
              <w:ind w:left="-110" w:right="-98"/>
              <w:jc w:val="center"/>
              <w:rPr>
                <w:rFonts w:ascii="Cambria" w:eastAsia="Times New Roman" w:hAnsi="Cambria" w:cs="Times New Roman"/>
                <w:b/>
                <w:sz w:val="24"/>
                <w:szCs w:val="24"/>
                <w:lang w:val="ro-RO"/>
              </w:rPr>
            </w:pPr>
            <w:r w:rsidRPr="00EA1BB2">
              <w:rPr>
                <w:rFonts w:ascii="Cambria" w:eastAsia="Times New Roman" w:hAnsi="Cambria" w:cs="Times New Roman"/>
                <w:b/>
                <w:sz w:val="20"/>
                <w:szCs w:val="24"/>
                <w:lang w:val="ro-RO"/>
              </w:rPr>
              <w:t>monitorizare</w:t>
            </w:r>
          </w:p>
        </w:tc>
        <w:tc>
          <w:tcPr>
            <w:tcW w:w="7971" w:type="dxa"/>
            <w:gridSpan w:val="10"/>
            <w:shd w:val="clear" w:color="auto" w:fill="BDD6EE" w:themeFill="accent1" w:themeFillTint="66"/>
          </w:tcPr>
          <w:p w14:paraId="2B023C80" w14:textId="77777777" w:rsidR="00E22002" w:rsidRPr="00EA1BB2" w:rsidRDefault="00E22002" w:rsidP="00E52AD4">
            <w:pPr>
              <w:spacing w:line="276"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Concentrația medie anuală</w:t>
            </w:r>
          </w:p>
          <w:p w14:paraId="0FD7BB17" w14:textId="77777777" w:rsidR="00E22002" w:rsidRPr="00EA1BB2" w:rsidRDefault="00FE4144" w:rsidP="00E52AD4">
            <w:pPr>
              <w:spacing w:line="276"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(µg</w:t>
            </w:r>
            <w:r w:rsidR="00E22002" w:rsidRPr="00EA1BB2">
              <w:rPr>
                <w:rFonts w:ascii="Cambria" w:eastAsia="Times New Roman" w:hAnsi="Cambria" w:cs="Times New Roman"/>
                <w:b/>
                <w:sz w:val="24"/>
                <w:szCs w:val="24"/>
                <w:lang w:val="ro-RO"/>
              </w:rPr>
              <w:t>/m</w:t>
            </w:r>
            <w:r w:rsidR="00E22002" w:rsidRPr="00EA1BB2">
              <w:rPr>
                <w:rFonts w:ascii="Cambria" w:eastAsia="Times New Roman" w:hAnsi="Cambria" w:cs="Times New Roman"/>
                <w:b/>
                <w:sz w:val="24"/>
                <w:szCs w:val="24"/>
                <w:vertAlign w:val="superscript"/>
                <w:lang w:val="ro-RO"/>
              </w:rPr>
              <w:t>3</w:t>
            </w:r>
            <w:r w:rsidR="00E22002" w:rsidRPr="00EA1BB2">
              <w:rPr>
                <w:rFonts w:ascii="Cambria" w:eastAsia="Times New Roman" w:hAnsi="Cambria" w:cs="Times New Roman"/>
                <w:b/>
                <w:sz w:val="24"/>
                <w:szCs w:val="24"/>
                <w:lang w:val="ro-RO"/>
              </w:rPr>
              <w:t>)</w:t>
            </w:r>
          </w:p>
        </w:tc>
      </w:tr>
      <w:tr w:rsidR="00E22002" w:rsidRPr="00EA1BB2" w14:paraId="3A61074F" w14:textId="77777777" w:rsidTr="008272EB">
        <w:trPr>
          <w:trHeight w:val="286"/>
          <w:tblHeader/>
          <w:jc w:val="center"/>
        </w:trPr>
        <w:tc>
          <w:tcPr>
            <w:tcW w:w="1329" w:type="dxa"/>
            <w:vMerge/>
            <w:shd w:val="clear" w:color="auto" w:fill="BDD6EE" w:themeFill="accent1" w:themeFillTint="66"/>
            <w:noWrap/>
            <w:vAlign w:val="center"/>
          </w:tcPr>
          <w:p w14:paraId="13461B08" w14:textId="77777777" w:rsidR="00E22002" w:rsidRPr="00EA1BB2" w:rsidRDefault="00E22002" w:rsidP="00580765">
            <w:pPr>
              <w:spacing w:line="360" w:lineRule="auto"/>
              <w:jc w:val="center"/>
              <w:rPr>
                <w:rFonts w:ascii="Cambria" w:eastAsia="Times New Roman" w:hAnsi="Cambria" w:cs="Times New Roman"/>
                <w:b/>
                <w:sz w:val="24"/>
                <w:szCs w:val="24"/>
                <w:lang w:val="ro-RO"/>
              </w:rPr>
            </w:pPr>
          </w:p>
        </w:tc>
        <w:tc>
          <w:tcPr>
            <w:tcW w:w="0" w:type="auto"/>
            <w:shd w:val="clear" w:color="auto" w:fill="BDD6EE" w:themeFill="accent1" w:themeFillTint="66"/>
          </w:tcPr>
          <w:p w14:paraId="0387C4F9" w14:textId="77777777" w:rsidR="00E22002" w:rsidRPr="00EA1BB2" w:rsidRDefault="00E22002" w:rsidP="00580765">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2008</w:t>
            </w:r>
          </w:p>
        </w:tc>
        <w:tc>
          <w:tcPr>
            <w:tcW w:w="0" w:type="auto"/>
            <w:shd w:val="clear" w:color="auto" w:fill="BDD6EE" w:themeFill="accent1" w:themeFillTint="66"/>
          </w:tcPr>
          <w:p w14:paraId="0A9C2761" w14:textId="77777777" w:rsidR="00E22002" w:rsidRPr="00EA1BB2" w:rsidRDefault="00E22002" w:rsidP="00580765">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2009</w:t>
            </w:r>
          </w:p>
        </w:tc>
        <w:tc>
          <w:tcPr>
            <w:tcW w:w="0" w:type="auto"/>
            <w:shd w:val="clear" w:color="auto" w:fill="BDD6EE" w:themeFill="accent1" w:themeFillTint="66"/>
          </w:tcPr>
          <w:p w14:paraId="239F5A14" w14:textId="77777777" w:rsidR="00E22002" w:rsidRPr="00EA1BB2" w:rsidRDefault="00E22002" w:rsidP="00580765">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2010</w:t>
            </w:r>
          </w:p>
        </w:tc>
        <w:tc>
          <w:tcPr>
            <w:tcW w:w="0" w:type="auto"/>
            <w:shd w:val="clear" w:color="auto" w:fill="BDD6EE" w:themeFill="accent1" w:themeFillTint="66"/>
          </w:tcPr>
          <w:p w14:paraId="334F80B1" w14:textId="77777777" w:rsidR="00E22002" w:rsidRPr="00EA1BB2" w:rsidRDefault="00E22002" w:rsidP="00580765">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2011</w:t>
            </w:r>
          </w:p>
        </w:tc>
        <w:tc>
          <w:tcPr>
            <w:tcW w:w="0" w:type="auto"/>
            <w:shd w:val="clear" w:color="auto" w:fill="BDD6EE" w:themeFill="accent1" w:themeFillTint="66"/>
          </w:tcPr>
          <w:p w14:paraId="0C08CE76" w14:textId="77777777" w:rsidR="00E22002" w:rsidRPr="00EA1BB2" w:rsidRDefault="00E22002" w:rsidP="00580765">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2012</w:t>
            </w:r>
          </w:p>
        </w:tc>
        <w:tc>
          <w:tcPr>
            <w:tcW w:w="0" w:type="auto"/>
            <w:shd w:val="clear" w:color="auto" w:fill="BDD6EE" w:themeFill="accent1" w:themeFillTint="66"/>
            <w:noWrap/>
            <w:vAlign w:val="center"/>
          </w:tcPr>
          <w:p w14:paraId="48E53545" w14:textId="77777777" w:rsidR="00E22002" w:rsidRPr="00EA1BB2" w:rsidRDefault="00E22002" w:rsidP="00580765">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2013</w:t>
            </w:r>
          </w:p>
        </w:tc>
        <w:tc>
          <w:tcPr>
            <w:tcW w:w="0" w:type="auto"/>
            <w:shd w:val="clear" w:color="auto" w:fill="BDD6EE" w:themeFill="accent1" w:themeFillTint="66"/>
            <w:noWrap/>
            <w:vAlign w:val="center"/>
          </w:tcPr>
          <w:p w14:paraId="1C397EF2" w14:textId="77777777" w:rsidR="00E22002" w:rsidRPr="00EA1BB2" w:rsidRDefault="00E22002" w:rsidP="00580765">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2014</w:t>
            </w:r>
          </w:p>
        </w:tc>
        <w:tc>
          <w:tcPr>
            <w:tcW w:w="0" w:type="auto"/>
            <w:shd w:val="clear" w:color="auto" w:fill="BDD6EE" w:themeFill="accent1" w:themeFillTint="66"/>
            <w:noWrap/>
            <w:vAlign w:val="center"/>
          </w:tcPr>
          <w:p w14:paraId="64C7CC73" w14:textId="77777777" w:rsidR="00E22002" w:rsidRPr="00EA1BB2" w:rsidRDefault="00E22002" w:rsidP="00580765">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2015</w:t>
            </w:r>
          </w:p>
        </w:tc>
        <w:tc>
          <w:tcPr>
            <w:tcW w:w="787" w:type="dxa"/>
            <w:shd w:val="clear" w:color="auto" w:fill="BDD6EE" w:themeFill="accent1" w:themeFillTint="66"/>
            <w:noWrap/>
            <w:vAlign w:val="center"/>
          </w:tcPr>
          <w:p w14:paraId="5FFB3D01" w14:textId="77777777" w:rsidR="00E22002" w:rsidRPr="00EA1BB2" w:rsidRDefault="00E22002" w:rsidP="00580765">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2016</w:t>
            </w:r>
          </w:p>
        </w:tc>
        <w:tc>
          <w:tcPr>
            <w:tcW w:w="896" w:type="dxa"/>
            <w:shd w:val="clear" w:color="auto" w:fill="BDD6EE" w:themeFill="accent1" w:themeFillTint="66"/>
            <w:noWrap/>
            <w:vAlign w:val="center"/>
          </w:tcPr>
          <w:p w14:paraId="4460386A" w14:textId="10D88152" w:rsidR="00E22002" w:rsidRPr="00EA1BB2" w:rsidRDefault="00E22002" w:rsidP="003948BC">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2017</w:t>
            </w:r>
          </w:p>
        </w:tc>
      </w:tr>
      <w:tr w:rsidR="00F64CF3" w:rsidRPr="00EA1BB2" w14:paraId="4CA91624" w14:textId="77777777" w:rsidTr="008272EB">
        <w:trPr>
          <w:trHeight w:val="340"/>
          <w:jc w:val="center"/>
        </w:trPr>
        <w:tc>
          <w:tcPr>
            <w:tcW w:w="1329" w:type="dxa"/>
            <w:noWrap/>
            <w:vAlign w:val="center"/>
          </w:tcPr>
          <w:p w14:paraId="37624282" w14:textId="77777777" w:rsidR="00F64CF3" w:rsidRPr="00EA1BB2" w:rsidRDefault="00F64CF3" w:rsidP="00785B8E">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BR</w:t>
            </w:r>
            <w:r w:rsidR="00785B8E" w:rsidRPr="00EA1BB2">
              <w:rPr>
                <w:rFonts w:ascii="Cambria" w:eastAsia="Times New Roman" w:hAnsi="Cambria" w:cs="Times New Roman"/>
                <w:sz w:val="24"/>
                <w:szCs w:val="24"/>
                <w:lang w:val="ro-RO"/>
              </w:rPr>
              <w:t>3</w:t>
            </w:r>
          </w:p>
        </w:tc>
        <w:tc>
          <w:tcPr>
            <w:tcW w:w="0" w:type="auto"/>
          </w:tcPr>
          <w:p w14:paraId="4F9E42C7" w14:textId="77777777" w:rsidR="00F64CF3" w:rsidRPr="00EA1BB2" w:rsidRDefault="00F64CF3" w:rsidP="00F64CF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0574A610" w14:textId="77777777" w:rsidR="00F64CF3" w:rsidRPr="00EA1BB2" w:rsidRDefault="00F64CF3" w:rsidP="00F64CF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67135827" w14:textId="77777777" w:rsidR="00F64CF3" w:rsidRPr="00EA1BB2" w:rsidRDefault="00F64CF3" w:rsidP="00F64CF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6C29ADAD" w14:textId="77777777" w:rsidR="00F64CF3" w:rsidRPr="00EA1BB2" w:rsidRDefault="00F64CF3" w:rsidP="00F64CF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15F8BA10" w14:textId="77777777" w:rsidR="00F64CF3" w:rsidRPr="00EA1BB2" w:rsidRDefault="00F64CF3" w:rsidP="00F64CF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0206C72A" w14:textId="77777777" w:rsidR="00F64CF3" w:rsidRPr="00EA1BB2" w:rsidRDefault="00F64CF3" w:rsidP="00F64CF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59135772" w14:textId="77777777" w:rsidR="00F64CF3" w:rsidRPr="00EA1BB2" w:rsidRDefault="00F64CF3" w:rsidP="00F64CF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560E8B4E" w14:textId="77777777" w:rsidR="00F64CF3" w:rsidRPr="00EA1BB2" w:rsidRDefault="00F64CF3" w:rsidP="00F64CF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787" w:type="dxa"/>
            <w:noWrap/>
          </w:tcPr>
          <w:p w14:paraId="0703067B" w14:textId="77777777" w:rsidR="00F64CF3" w:rsidRPr="00EA1BB2" w:rsidRDefault="00F64CF3" w:rsidP="00F64CF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896" w:type="dxa"/>
            <w:noWrap/>
            <w:vAlign w:val="center"/>
          </w:tcPr>
          <w:p w14:paraId="1A1C59AE" w14:textId="77777777" w:rsidR="00F64CF3" w:rsidRPr="00EA1BB2" w:rsidRDefault="00785B8E" w:rsidP="00785B8E">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12,13</w:t>
            </w:r>
          </w:p>
        </w:tc>
      </w:tr>
      <w:tr w:rsidR="00F64CF3" w:rsidRPr="00EA1BB2" w14:paraId="7900DB78" w14:textId="77777777" w:rsidTr="008272EB">
        <w:trPr>
          <w:trHeight w:val="340"/>
          <w:jc w:val="center"/>
        </w:trPr>
        <w:tc>
          <w:tcPr>
            <w:tcW w:w="1329" w:type="dxa"/>
            <w:noWrap/>
            <w:vAlign w:val="center"/>
          </w:tcPr>
          <w:p w14:paraId="0DC34A2F" w14:textId="77777777" w:rsidR="00F64CF3" w:rsidRPr="00EA1BB2" w:rsidRDefault="00F64CF3" w:rsidP="00F64CF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BR5</w:t>
            </w:r>
          </w:p>
        </w:tc>
        <w:tc>
          <w:tcPr>
            <w:tcW w:w="0" w:type="auto"/>
          </w:tcPr>
          <w:p w14:paraId="18019E28" w14:textId="77777777" w:rsidR="00F64CF3" w:rsidRPr="00EA1BB2" w:rsidRDefault="00F64CF3" w:rsidP="00F64CF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111D1709" w14:textId="77777777" w:rsidR="00F64CF3" w:rsidRPr="00EA1BB2" w:rsidRDefault="00F64CF3" w:rsidP="00F64CF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24097815" w14:textId="77777777" w:rsidR="00F64CF3" w:rsidRPr="00EA1BB2" w:rsidRDefault="00F64CF3" w:rsidP="00F64CF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1A507FDE" w14:textId="77777777" w:rsidR="00F64CF3" w:rsidRPr="00EA1BB2" w:rsidRDefault="00F64CF3" w:rsidP="00F64CF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1D463101" w14:textId="77777777" w:rsidR="00F64CF3" w:rsidRPr="00EA1BB2" w:rsidRDefault="00F64CF3" w:rsidP="00F64CF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28D2C689" w14:textId="77777777" w:rsidR="00F64CF3" w:rsidRPr="00EA1BB2" w:rsidRDefault="00F64CF3" w:rsidP="00F64CF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39174113" w14:textId="77777777" w:rsidR="00F64CF3" w:rsidRPr="00EA1BB2" w:rsidRDefault="00F64CF3" w:rsidP="00F64CF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4C283E6F" w14:textId="77777777" w:rsidR="00F64CF3" w:rsidRPr="00EA1BB2" w:rsidRDefault="00F64CF3" w:rsidP="00F64CF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787" w:type="dxa"/>
            <w:noWrap/>
          </w:tcPr>
          <w:p w14:paraId="3EEFFB92" w14:textId="77777777" w:rsidR="00F64CF3" w:rsidRPr="00EA1BB2" w:rsidRDefault="00F64CF3" w:rsidP="00F64CF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896" w:type="dxa"/>
            <w:noWrap/>
            <w:vAlign w:val="center"/>
          </w:tcPr>
          <w:p w14:paraId="1792E250" w14:textId="77777777" w:rsidR="00F64CF3" w:rsidRPr="00EA1BB2" w:rsidRDefault="00F64CF3" w:rsidP="00F64CF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10,75</w:t>
            </w:r>
          </w:p>
        </w:tc>
      </w:tr>
    </w:tbl>
    <w:p w14:paraId="30F08494" w14:textId="77777777" w:rsidR="0026557C" w:rsidRPr="00EA1BB2" w:rsidRDefault="000B506A" w:rsidP="00E90707">
      <w:pPr>
        <w:spacing w:line="276" w:lineRule="auto"/>
        <w:jc w:val="both"/>
        <w:rPr>
          <w:rFonts w:ascii="Cambria" w:eastAsia="Times New Roman" w:hAnsi="Cambria" w:cs="Times New Roman"/>
          <w:szCs w:val="24"/>
        </w:rPr>
      </w:pPr>
      <w:r w:rsidRPr="00EA1BB2">
        <w:rPr>
          <w:rFonts w:ascii="Cambria" w:eastAsia="Times New Roman" w:hAnsi="Cambria" w:cs="Times New Roman"/>
          <w:szCs w:val="24"/>
        </w:rPr>
        <w:t>V</w:t>
      </w:r>
      <w:r w:rsidR="00F256F6" w:rsidRPr="00EA1BB2">
        <w:rPr>
          <w:rFonts w:ascii="Cambria" w:eastAsia="Times New Roman" w:hAnsi="Cambria" w:cs="Times New Roman"/>
          <w:szCs w:val="24"/>
        </w:rPr>
        <w:t>aloarea-</w:t>
      </w:r>
      <w:r w:rsidR="0026557C" w:rsidRPr="00EA1BB2">
        <w:rPr>
          <w:rFonts w:ascii="Cambria" w:eastAsia="Times New Roman" w:hAnsi="Cambria" w:cs="Times New Roman"/>
          <w:szCs w:val="24"/>
        </w:rPr>
        <w:t>limită anuală pentru protecția sănătății umane a concentrației medii anuale pentru NO</w:t>
      </w:r>
      <w:r w:rsidR="0026557C" w:rsidRPr="00EA1BB2">
        <w:rPr>
          <w:rFonts w:ascii="Cambria" w:eastAsia="Times New Roman" w:hAnsi="Cambria" w:cs="Times New Roman"/>
          <w:szCs w:val="24"/>
          <w:vertAlign w:val="subscript"/>
        </w:rPr>
        <w:t>2</w:t>
      </w:r>
      <w:r w:rsidR="0026557C" w:rsidRPr="00EA1BB2">
        <w:rPr>
          <w:rFonts w:ascii="Cambria" w:eastAsia="Times New Roman" w:hAnsi="Cambria" w:cs="Times New Roman"/>
          <w:szCs w:val="24"/>
        </w:rPr>
        <w:t xml:space="preserve"> este 40 µg/m</w:t>
      </w:r>
      <w:r w:rsidR="0026557C" w:rsidRPr="00EA1BB2">
        <w:rPr>
          <w:rFonts w:ascii="Cambria" w:eastAsia="Times New Roman" w:hAnsi="Cambria" w:cs="Times New Roman"/>
          <w:szCs w:val="24"/>
          <w:vertAlign w:val="superscript"/>
        </w:rPr>
        <w:t>3</w:t>
      </w:r>
    </w:p>
    <w:p w14:paraId="2289CE1F" w14:textId="77777777" w:rsidR="00E90707" w:rsidRPr="00EA1BB2" w:rsidRDefault="00E90707" w:rsidP="00E90707">
      <w:pPr>
        <w:spacing w:line="276" w:lineRule="auto"/>
        <w:jc w:val="both"/>
        <w:rPr>
          <w:rFonts w:ascii="Cambria" w:eastAsia="Times New Roman" w:hAnsi="Cambria" w:cs="Times New Roman"/>
          <w:szCs w:val="24"/>
        </w:rPr>
      </w:pPr>
      <w:r w:rsidRPr="00EA1BB2">
        <w:rPr>
          <w:rFonts w:ascii="Cambria" w:eastAsia="Times New Roman" w:hAnsi="Cambria" w:cs="Times New Roman"/>
          <w:szCs w:val="24"/>
        </w:rPr>
        <w:t xml:space="preserve">Sursa date: </w:t>
      </w:r>
      <w:hyperlink r:id="rId59" w:history="1">
        <w:r w:rsidR="00A76AB0" w:rsidRPr="00EA1BB2">
          <w:rPr>
            <w:rStyle w:val="Hyperlink"/>
            <w:rFonts w:ascii="Cambria" w:eastAsia="Times New Roman" w:hAnsi="Cambria" w:cs="Times New Roman"/>
            <w:szCs w:val="24"/>
          </w:rPr>
          <w:t>www.calitateaer.ro</w:t>
        </w:r>
      </w:hyperlink>
      <w:r w:rsidR="00A76AB0" w:rsidRPr="00EA1BB2">
        <w:rPr>
          <w:rFonts w:ascii="Cambria" w:eastAsia="Times New Roman" w:hAnsi="Cambria" w:cs="Times New Roman"/>
          <w:szCs w:val="24"/>
        </w:rPr>
        <w:t xml:space="preserve"> accesat la data de 11.07.2018</w:t>
      </w:r>
    </w:p>
    <w:p w14:paraId="1BB550C2" w14:textId="77777777" w:rsidR="00744560" w:rsidRPr="00EA1BB2" w:rsidRDefault="00744560" w:rsidP="00C6129E">
      <w:pPr>
        <w:jc w:val="both"/>
        <w:rPr>
          <w:rFonts w:ascii="Cambria" w:eastAsia="Times New Roman" w:hAnsi="Cambria" w:cs="Times New Roman"/>
          <w:sz w:val="24"/>
          <w:szCs w:val="24"/>
        </w:rPr>
      </w:pPr>
    </w:p>
    <w:p w14:paraId="15E7DF9F" w14:textId="549DE9FB" w:rsidR="00F64CF3" w:rsidRPr="00EA1BB2" w:rsidRDefault="00F64CF3" w:rsidP="00F64CF3">
      <w:pPr>
        <w:pStyle w:val="Caption"/>
        <w:keepNext/>
        <w:spacing w:after="0" w:line="360" w:lineRule="auto"/>
        <w:ind w:firstLine="708"/>
        <w:jc w:val="both"/>
        <w:rPr>
          <w:rFonts w:ascii="Cambria" w:eastAsia="Times New Roman" w:hAnsi="Cambria" w:cs="Times New Roman"/>
          <w:b w:val="0"/>
          <w:szCs w:val="24"/>
        </w:rPr>
      </w:pPr>
      <w:bookmarkStart w:id="115" w:name="_Toc526889781"/>
      <w:r w:rsidRPr="00EA1BB2">
        <w:rPr>
          <w:rFonts w:ascii="Cambria" w:hAnsi="Cambria"/>
          <w:szCs w:val="24"/>
        </w:rPr>
        <w:t xml:space="preserve">Tabelul nr. </w:t>
      </w:r>
      <w:r w:rsidR="000A2FE7" w:rsidRPr="00EA1BB2">
        <w:rPr>
          <w:rFonts w:ascii="Cambria" w:hAnsi="Cambria"/>
          <w:szCs w:val="24"/>
        </w:rPr>
        <w:fldChar w:fldCharType="begin"/>
      </w:r>
      <w:r w:rsidR="000A2FE7" w:rsidRPr="00EA1BB2">
        <w:rPr>
          <w:rFonts w:ascii="Cambria" w:hAnsi="Cambria"/>
          <w:szCs w:val="24"/>
        </w:rPr>
        <w:instrText xml:space="preserve"> STYLEREF 1 \s </w:instrText>
      </w:r>
      <w:r w:rsidR="000A2FE7" w:rsidRPr="00EA1BB2">
        <w:rPr>
          <w:rFonts w:ascii="Cambria" w:hAnsi="Cambria"/>
          <w:szCs w:val="24"/>
        </w:rPr>
        <w:fldChar w:fldCharType="separate"/>
      </w:r>
      <w:r w:rsidR="00567555">
        <w:rPr>
          <w:rFonts w:ascii="Cambria" w:hAnsi="Cambria"/>
          <w:noProof/>
          <w:szCs w:val="24"/>
        </w:rPr>
        <w:t>3</w:t>
      </w:r>
      <w:r w:rsidR="000A2FE7" w:rsidRPr="00EA1BB2">
        <w:rPr>
          <w:rFonts w:ascii="Cambria" w:hAnsi="Cambria"/>
          <w:szCs w:val="24"/>
        </w:rPr>
        <w:fldChar w:fldCharType="end"/>
      </w:r>
      <w:r w:rsidR="000A2FE7" w:rsidRPr="00EA1BB2">
        <w:rPr>
          <w:rFonts w:ascii="Cambria" w:hAnsi="Cambria"/>
          <w:szCs w:val="24"/>
        </w:rPr>
        <w:noBreakHyphen/>
      </w:r>
      <w:r w:rsidR="000A2FE7" w:rsidRPr="00EA1BB2">
        <w:rPr>
          <w:rFonts w:ascii="Cambria" w:hAnsi="Cambria"/>
          <w:szCs w:val="24"/>
        </w:rPr>
        <w:fldChar w:fldCharType="begin"/>
      </w:r>
      <w:r w:rsidR="000A2FE7" w:rsidRPr="00EA1BB2">
        <w:rPr>
          <w:rFonts w:ascii="Cambria" w:hAnsi="Cambria"/>
          <w:szCs w:val="24"/>
        </w:rPr>
        <w:instrText xml:space="preserve"> SEQ Tabelul_nr. \* ARABIC \s 1 </w:instrText>
      </w:r>
      <w:r w:rsidR="000A2FE7" w:rsidRPr="00EA1BB2">
        <w:rPr>
          <w:rFonts w:ascii="Cambria" w:hAnsi="Cambria"/>
          <w:szCs w:val="24"/>
        </w:rPr>
        <w:fldChar w:fldCharType="separate"/>
      </w:r>
      <w:r w:rsidR="00567555">
        <w:rPr>
          <w:rFonts w:ascii="Cambria" w:hAnsi="Cambria"/>
          <w:noProof/>
          <w:szCs w:val="24"/>
        </w:rPr>
        <w:t>12</w:t>
      </w:r>
      <w:r w:rsidR="000A2FE7" w:rsidRPr="00EA1BB2">
        <w:rPr>
          <w:rFonts w:ascii="Cambria" w:hAnsi="Cambria"/>
          <w:szCs w:val="24"/>
        </w:rPr>
        <w:fldChar w:fldCharType="end"/>
      </w:r>
      <w:r w:rsidRPr="00EA1BB2">
        <w:rPr>
          <w:rFonts w:ascii="Cambria" w:hAnsi="Cambria"/>
          <w:noProof/>
          <w:szCs w:val="24"/>
        </w:rPr>
        <w:t xml:space="preserve"> - </w:t>
      </w:r>
      <w:r w:rsidRPr="00EA1BB2">
        <w:rPr>
          <w:rFonts w:ascii="Cambria" w:eastAsia="Times New Roman" w:hAnsi="Cambria" w:cs="Times New Roman"/>
          <w:szCs w:val="24"/>
        </w:rPr>
        <w:t>Concentrația medie anuală pentru oxi</w:t>
      </w:r>
      <w:r w:rsidR="0026557C" w:rsidRPr="00EA1BB2">
        <w:rPr>
          <w:rFonts w:ascii="Cambria" w:eastAsia="Times New Roman" w:hAnsi="Cambria" w:cs="Times New Roman"/>
          <w:szCs w:val="24"/>
        </w:rPr>
        <w:t>zi</w:t>
      </w:r>
      <w:r w:rsidRPr="00EA1BB2">
        <w:rPr>
          <w:rFonts w:ascii="Cambria" w:eastAsia="Times New Roman" w:hAnsi="Cambria" w:cs="Times New Roman"/>
          <w:szCs w:val="24"/>
        </w:rPr>
        <w:t xml:space="preserve"> de azot (NOx), înregistrată la stațiile de monitorizare a aerului din zona Brăila, în perioada 2008-2017</w:t>
      </w:r>
      <w:bookmarkEnd w:id="115"/>
    </w:p>
    <w:tbl>
      <w:tblPr>
        <w:tblStyle w:val="TableGrid"/>
        <w:tblW w:w="9300" w:type="dxa"/>
        <w:jc w:val="center"/>
        <w:tblLook w:val="04A0" w:firstRow="1" w:lastRow="0" w:firstColumn="1" w:lastColumn="0" w:noHBand="0" w:noVBand="1"/>
      </w:tblPr>
      <w:tblGrid>
        <w:gridCol w:w="1329"/>
        <w:gridCol w:w="787"/>
        <w:gridCol w:w="787"/>
        <w:gridCol w:w="786"/>
        <w:gridCol w:w="786"/>
        <w:gridCol w:w="786"/>
        <w:gridCol w:w="786"/>
        <w:gridCol w:w="786"/>
        <w:gridCol w:w="786"/>
        <w:gridCol w:w="786"/>
        <w:gridCol w:w="895"/>
      </w:tblGrid>
      <w:tr w:rsidR="00F64CF3" w:rsidRPr="00EA1BB2" w14:paraId="1E08C29C" w14:textId="77777777" w:rsidTr="0026557C">
        <w:trPr>
          <w:trHeight w:val="105"/>
          <w:tblHeader/>
          <w:jc w:val="center"/>
        </w:trPr>
        <w:tc>
          <w:tcPr>
            <w:tcW w:w="1329" w:type="dxa"/>
            <w:vMerge w:val="restart"/>
            <w:shd w:val="clear" w:color="auto" w:fill="BDD6EE" w:themeFill="accent1" w:themeFillTint="66"/>
            <w:noWrap/>
            <w:vAlign w:val="center"/>
          </w:tcPr>
          <w:p w14:paraId="7B7A92A0" w14:textId="77777777" w:rsidR="00F64CF3" w:rsidRPr="00EA1BB2" w:rsidRDefault="00F64CF3" w:rsidP="00580765">
            <w:pPr>
              <w:spacing w:line="360" w:lineRule="auto"/>
              <w:jc w:val="center"/>
              <w:rPr>
                <w:rFonts w:ascii="Cambria" w:eastAsia="Times New Roman" w:hAnsi="Cambria" w:cs="Times New Roman"/>
                <w:b/>
                <w:sz w:val="20"/>
                <w:szCs w:val="24"/>
                <w:lang w:val="ro-RO"/>
              </w:rPr>
            </w:pPr>
            <w:r w:rsidRPr="00EA1BB2">
              <w:rPr>
                <w:rFonts w:ascii="Cambria" w:eastAsia="Times New Roman" w:hAnsi="Cambria" w:cs="Times New Roman"/>
                <w:b/>
                <w:sz w:val="20"/>
                <w:szCs w:val="24"/>
                <w:lang w:val="ro-RO"/>
              </w:rPr>
              <w:t xml:space="preserve">Stația de </w:t>
            </w:r>
          </w:p>
          <w:p w14:paraId="28580959" w14:textId="77777777" w:rsidR="00F64CF3" w:rsidRPr="00EA1BB2" w:rsidRDefault="00F64CF3" w:rsidP="00580765">
            <w:pPr>
              <w:spacing w:line="360" w:lineRule="auto"/>
              <w:ind w:left="-110" w:right="-98"/>
              <w:jc w:val="center"/>
              <w:rPr>
                <w:rFonts w:ascii="Cambria" w:eastAsia="Times New Roman" w:hAnsi="Cambria" w:cs="Times New Roman"/>
                <w:b/>
                <w:sz w:val="24"/>
                <w:szCs w:val="24"/>
                <w:lang w:val="ro-RO"/>
              </w:rPr>
            </w:pPr>
            <w:r w:rsidRPr="00EA1BB2">
              <w:rPr>
                <w:rFonts w:ascii="Cambria" w:eastAsia="Times New Roman" w:hAnsi="Cambria" w:cs="Times New Roman"/>
                <w:b/>
                <w:sz w:val="20"/>
                <w:szCs w:val="24"/>
                <w:lang w:val="ro-RO"/>
              </w:rPr>
              <w:t>monitorizare</w:t>
            </w:r>
          </w:p>
        </w:tc>
        <w:tc>
          <w:tcPr>
            <w:tcW w:w="7971" w:type="dxa"/>
            <w:gridSpan w:val="10"/>
            <w:shd w:val="clear" w:color="auto" w:fill="BDD6EE" w:themeFill="accent1" w:themeFillTint="66"/>
          </w:tcPr>
          <w:p w14:paraId="546B73AC" w14:textId="77777777" w:rsidR="00F64CF3" w:rsidRPr="00EA1BB2" w:rsidRDefault="00F64CF3" w:rsidP="00E52AD4">
            <w:pPr>
              <w:spacing w:line="276"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Concentrația medie anuală</w:t>
            </w:r>
          </w:p>
          <w:p w14:paraId="39416D3E" w14:textId="77777777" w:rsidR="00F64CF3" w:rsidRPr="00EA1BB2" w:rsidRDefault="00F64CF3" w:rsidP="00E52AD4">
            <w:pPr>
              <w:spacing w:line="276"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(µg /m</w:t>
            </w:r>
            <w:r w:rsidRPr="00EA1BB2">
              <w:rPr>
                <w:rFonts w:ascii="Cambria" w:eastAsia="Times New Roman" w:hAnsi="Cambria" w:cs="Times New Roman"/>
                <w:b/>
                <w:sz w:val="24"/>
                <w:szCs w:val="24"/>
                <w:vertAlign w:val="superscript"/>
                <w:lang w:val="ro-RO"/>
              </w:rPr>
              <w:t>3</w:t>
            </w:r>
            <w:r w:rsidRPr="00EA1BB2">
              <w:rPr>
                <w:rFonts w:ascii="Cambria" w:eastAsia="Times New Roman" w:hAnsi="Cambria" w:cs="Times New Roman"/>
                <w:b/>
                <w:sz w:val="24"/>
                <w:szCs w:val="24"/>
                <w:lang w:val="ro-RO"/>
              </w:rPr>
              <w:t>)</w:t>
            </w:r>
          </w:p>
        </w:tc>
      </w:tr>
      <w:tr w:rsidR="00F64CF3" w:rsidRPr="00EA1BB2" w14:paraId="496AB361" w14:textId="77777777" w:rsidTr="0026557C">
        <w:trPr>
          <w:trHeight w:val="286"/>
          <w:tblHeader/>
          <w:jc w:val="center"/>
        </w:trPr>
        <w:tc>
          <w:tcPr>
            <w:tcW w:w="1329" w:type="dxa"/>
            <w:vMerge/>
            <w:shd w:val="clear" w:color="auto" w:fill="BDD6EE" w:themeFill="accent1" w:themeFillTint="66"/>
            <w:noWrap/>
            <w:vAlign w:val="center"/>
          </w:tcPr>
          <w:p w14:paraId="511EA167" w14:textId="77777777" w:rsidR="00F64CF3" w:rsidRPr="00EA1BB2" w:rsidRDefault="00F64CF3" w:rsidP="00580765">
            <w:pPr>
              <w:spacing w:line="360" w:lineRule="auto"/>
              <w:jc w:val="center"/>
              <w:rPr>
                <w:rFonts w:ascii="Cambria" w:eastAsia="Times New Roman" w:hAnsi="Cambria" w:cs="Times New Roman"/>
                <w:b/>
                <w:sz w:val="24"/>
                <w:szCs w:val="24"/>
                <w:lang w:val="ro-RO"/>
              </w:rPr>
            </w:pPr>
          </w:p>
        </w:tc>
        <w:tc>
          <w:tcPr>
            <w:tcW w:w="0" w:type="auto"/>
            <w:shd w:val="clear" w:color="auto" w:fill="BDD6EE" w:themeFill="accent1" w:themeFillTint="66"/>
          </w:tcPr>
          <w:p w14:paraId="1F22D83E" w14:textId="77777777" w:rsidR="00F64CF3" w:rsidRPr="00EA1BB2" w:rsidRDefault="00F64CF3" w:rsidP="00580765">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2008</w:t>
            </w:r>
          </w:p>
        </w:tc>
        <w:tc>
          <w:tcPr>
            <w:tcW w:w="0" w:type="auto"/>
            <w:shd w:val="clear" w:color="auto" w:fill="BDD6EE" w:themeFill="accent1" w:themeFillTint="66"/>
          </w:tcPr>
          <w:p w14:paraId="16CE849D" w14:textId="77777777" w:rsidR="00F64CF3" w:rsidRPr="00EA1BB2" w:rsidRDefault="00F64CF3" w:rsidP="00580765">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2009</w:t>
            </w:r>
          </w:p>
        </w:tc>
        <w:tc>
          <w:tcPr>
            <w:tcW w:w="0" w:type="auto"/>
            <w:shd w:val="clear" w:color="auto" w:fill="BDD6EE" w:themeFill="accent1" w:themeFillTint="66"/>
          </w:tcPr>
          <w:p w14:paraId="0BC23675" w14:textId="77777777" w:rsidR="00F64CF3" w:rsidRPr="00EA1BB2" w:rsidRDefault="00F64CF3" w:rsidP="00580765">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2010</w:t>
            </w:r>
          </w:p>
        </w:tc>
        <w:tc>
          <w:tcPr>
            <w:tcW w:w="0" w:type="auto"/>
            <w:shd w:val="clear" w:color="auto" w:fill="BDD6EE" w:themeFill="accent1" w:themeFillTint="66"/>
          </w:tcPr>
          <w:p w14:paraId="34AFDB8E" w14:textId="77777777" w:rsidR="00F64CF3" w:rsidRPr="00EA1BB2" w:rsidRDefault="00F64CF3" w:rsidP="00580765">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2011</w:t>
            </w:r>
          </w:p>
        </w:tc>
        <w:tc>
          <w:tcPr>
            <w:tcW w:w="0" w:type="auto"/>
            <w:shd w:val="clear" w:color="auto" w:fill="BDD6EE" w:themeFill="accent1" w:themeFillTint="66"/>
          </w:tcPr>
          <w:p w14:paraId="5986A123" w14:textId="77777777" w:rsidR="00F64CF3" w:rsidRPr="00EA1BB2" w:rsidRDefault="00F64CF3" w:rsidP="00580765">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2012</w:t>
            </w:r>
          </w:p>
        </w:tc>
        <w:tc>
          <w:tcPr>
            <w:tcW w:w="0" w:type="auto"/>
            <w:shd w:val="clear" w:color="auto" w:fill="BDD6EE" w:themeFill="accent1" w:themeFillTint="66"/>
            <w:noWrap/>
            <w:vAlign w:val="center"/>
          </w:tcPr>
          <w:p w14:paraId="1CE0B1A8" w14:textId="77777777" w:rsidR="00F64CF3" w:rsidRPr="00EA1BB2" w:rsidRDefault="00F64CF3" w:rsidP="00580765">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2013</w:t>
            </w:r>
          </w:p>
        </w:tc>
        <w:tc>
          <w:tcPr>
            <w:tcW w:w="0" w:type="auto"/>
            <w:shd w:val="clear" w:color="auto" w:fill="BDD6EE" w:themeFill="accent1" w:themeFillTint="66"/>
            <w:noWrap/>
            <w:vAlign w:val="center"/>
          </w:tcPr>
          <w:p w14:paraId="730C29C2" w14:textId="77777777" w:rsidR="00F64CF3" w:rsidRPr="00EA1BB2" w:rsidRDefault="00F64CF3" w:rsidP="00580765">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2014</w:t>
            </w:r>
          </w:p>
        </w:tc>
        <w:tc>
          <w:tcPr>
            <w:tcW w:w="0" w:type="auto"/>
            <w:shd w:val="clear" w:color="auto" w:fill="BDD6EE" w:themeFill="accent1" w:themeFillTint="66"/>
            <w:noWrap/>
            <w:vAlign w:val="center"/>
          </w:tcPr>
          <w:p w14:paraId="34AAEC5E" w14:textId="77777777" w:rsidR="00F64CF3" w:rsidRPr="00EA1BB2" w:rsidRDefault="00F64CF3" w:rsidP="00580765">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2015</w:t>
            </w:r>
          </w:p>
        </w:tc>
        <w:tc>
          <w:tcPr>
            <w:tcW w:w="785" w:type="dxa"/>
            <w:shd w:val="clear" w:color="auto" w:fill="BDD6EE" w:themeFill="accent1" w:themeFillTint="66"/>
            <w:noWrap/>
            <w:vAlign w:val="center"/>
          </w:tcPr>
          <w:p w14:paraId="1C3A936A" w14:textId="77777777" w:rsidR="00F64CF3" w:rsidRPr="00EA1BB2" w:rsidRDefault="00F64CF3" w:rsidP="00580765">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2016</w:t>
            </w:r>
          </w:p>
        </w:tc>
        <w:tc>
          <w:tcPr>
            <w:tcW w:w="894" w:type="dxa"/>
            <w:shd w:val="clear" w:color="auto" w:fill="BDD6EE" w:themeFill="accent1" w:themeFillTint="66"/>
            <w:noWrap/>
            <w:vAlign w:val="center"/>
          </w:tcPr>
          <w:p w14:paraId="0E360501" w14:textId="5B262895" w:rsidR="00F64CF3" w:rsidRPr="00EA1BB2" w:rsidRDefault="00F64CF3" w:rsidP="003948BC">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2017</w:t>
            </w:r>
          </w:p>
        </w:tc>
      </w:tr>
      <w:tr w:rsidR="00A959FC" w:rsidRPr="00EA1BB2" w14:paraId="7CE8E3EB" w14:textId="77777777" w:rsidTr="0026557C">
        <w:trPr>
          <w:trHeight w:val="340"/>
          <w:jc w:val="center"/>
        </w:trPr>
        <w:tc>
          <w:tcPr>
            <w:tcW w:w="1329" w:type="dxa"/>
            <w:noWrap/>
            <w:vAlign w:val="center"/>
          </w:tcPr>
          <w:p w14:paraId="1D707D09" w14:textId="77777777" w:rsidR="00A959FC" w:rsidRPr="00EA1BB2" w:rsidRDefault="00785B8E" w:rsidP="00A959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BR3</w:t>
            </w:r>
          </w:p>
        </w:tc>
        <w:tc>
          <w:tcPr>
            <w:tcW w:w="0" w:type="auto"/>
          </w:tcPr>
          <w:p w14:paraId="7F799237" w14:textId="77777777" w:rsidR="00A959FC" w:rsidRPr="00EA1BB2" w:rsidRDefault="00A959FC" w:rsidP="00A959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75EB40E9" w14:textId="77777777" w:rsidR="00A959FC" w:rsidRPr="00EA1BB2" w:rsidRDefault="00A959FC" w:rsidP="00A959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5D263170" w14:textId="77777777" w:rsidR="00A959FC" w:rsidRPr="00EA1BB2" w:rsidRDefault="00A959FC" w:rsidP="00A959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1D438D33" w14:textId="77777777" w:rsidR="00A959FC" w:rsidRPr="00EA1BB2" w:rsidRDefault="00A959FC" w:rsidP="00A959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438CAC80" w14:textId="77777777" w:rsidR="00A959FC" w:rsidRPr="00EA1BB2" w:rsidRDefault="00A959FC" w:rsidP="00A959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06C29594" w14:textId="77777777" w:rsidR="00A959FC" w:rsidRPr="00EA1BB2" w:rsidRDefault="00A959FC" w:rsidP="00A959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71F0F188" w14:textId="77777777" w:rsidR="00A959FC" w:rsidRPr="00EA1BB2" w:rsidRDefault="00A959FC" w:rsidP="00A959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436ED309" w14:textId="77777777" w:rsidR="00A959FC" w:rsidRPr="00EA1BB2" w:rsidRDefault="00A959FC" w:rsidP="00A959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785" w:type="dxa"/>
            <w:noWrap/>
          </w:tcPr>
          <w:p w14:paraId="0DA2D804" w14:textId="77777777" w:rsidR="00A959FC" w:rsidRPr="00EA1BB2" w:rsidRDefault="00A959FC" w:rsidP="00A959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894" w:type="dxa"/>
            <w:noWrap/>
            <w:vAlign w:val="center"/>
          </w:tcPr>
          <w:p w14:paraId="3B45B977" w14:textId="77777777" w:rsidR="00A959FC" w:rsidRPr="00EA1BB2" w:rsidRDefault="00785B8E" w:rsidP="00FE60CA">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18,08</w:t>
            </w:r>
          </w:p>
        </w:tc>
      </w:tr>
      <w:tr w:rsidR="00A959FC" w:rsidRPr="00EA1BB2" w14:paraId="00529EE9" w14:textId="77777777" w:rsidTr="0026557C">
        <w:trPr>
          <w:trHeight w:val="340"/>
          <w:jc w:val="center"/>
        </w:trPr>
        <w:tc>
          <w:tcPr>
            <w:tcW w:w="1329" w:type="dxa"/>
            <w:noWrap/>
            <w:vAlign w:val="center"/>
          </w:tcPr>
          <w:p w14:paraId="0D7C9879" w14:textId="77777777" w:rsidR="00A959FC" w:rsidRPr="00EA1BB2" w:rsidRDefault="00A959FC" w:rsidP="00A959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BR5</w:t>
            </w:r>
          </w:p>
        </w:tc>
        <w:tc>
          <w:tcPr>
            <w:tcW w:w="0" w:type="auto"/>
          </w:tcPr>
          <w:p w14:paraId="7FF21539" w14:textId="77777777" w:rsidR="00A959FC" w:rsidRPr="00EA1BB2" w:rsidRDefault="00A959FC" w:rsidP="00A959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05251F8D" w14:textId="77777777" w:rsidR="00A959FC" w:rsidRPr="00EA1BB2" w:rsidRDefault="00A959FC" w:rsidP="00A959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7C3810CD" w14:textId="77777777" w:rsidR="00A959FC" w:rsidRPr="00EA1BB2" w:rsidRDefault="00A959FC" w:rsidP="00A959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0DE98B9A" w14:textId="77777777" w:rsidR="00A959FC" w:rsidRPr="00EA1BB2" w:rsidRDefault="00A959FC" w:rsidP="00A959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539D41A0" w14:textId="77777777" w:rsidR="00A959FC" w:rsidRPr="00EA1BB2" w:rsidRDefault="00A959FC" w:rsidP="00A959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52EB772F" w14:textId="77777777" w:rsidR="00A959FC" w:rsidRPr="00EA1BB2" w:rsidRDefault="00A959FC" w:rsidP="00A959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2E481AAB" w14:textId="77777777" w:rsidR="00A959FC" w:rsidRPr="00EA1BB2" w:rsidRDefault="00A959FC" w:rsidP="00A959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1F33EEBC" w14:textId="77777777" w:rsidR="00A959FC" w:rsidRPr="00EA1BB2" w:rsidRDefault="00A959FC" w:rsidP="00A959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785" w:type="dxa"/>
            <w:noWrap/>
          </w:tcPr>
          <w:p w14:paraId="265A6942" w14:textId="77777777" w:rsidR="00A959FC" w:rsidRPr="00EA1BB2" w:rsidRDefault="00A959FC" w:rsidP="00A959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894" w:type="dxa"/>
            <w:noWrap/>
            <w:vAlign w:val="center"/>
          </w:tcPr>
          <w:p w14:paraId="7584BCF9" w14:textId="77777777" w:rsidR="00A959FC" w:rsidRPr="00EA1BB2" w:rsidRDefault="00FE60CA" w:rsidP="00A959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16,40</w:t>
            </w:r>
          </w:p>
        </w:tc>
      </w:tr>
    </w:tbl>
    <w:p w14:paraId="7CA70D42" w14:textId="77777777" w:rsidR="0026557C" w:rsidRPr="00EA1BB2" w:rsidRDefault="000B506A" w:rsidP="00C6129E">
      <w:pPr>
        <w:spacing w:line="276" w:lineRule="auto"/>
        <w:ind w:right="-428"/>
        <w:jc w:val="both"/>
        <w:rPr>
          <w:rFonts w:ascii="Cambria" w:eastAsia="Times New Roman" w:hAnsi="Cambria" w:cs="Times New Roman"/>
          <w:szCs w:val="24"/>
        </w:rPr>
      </w:pPr>
      <w:r w:rsidRPr="00EA1BB2">
        <w:rPr>
          <w:rFonts w:ascii="Cambria" w:eastAsia="Times New Roman" w:hAnsi="Cambria" w:cs="Times New Roman"/>
          <w:szCs w:val="24"/>
        </w:rPr>
        <w:t>N</w:t>
      </w:r>
      <w:r w:rsidR="0026557C" w:rsidRPr="00EA1BB2">
        <w:rPr>
          <w:rFonts w:ascii="Cambria" w:eastAsia="Times New Roman" w:hAnsi="Cambria" w:cs="Times New Roman"/>
          <w:szCs w:val="24"/>
        </w:rPr>
        <w:t>ivelul critic anual pentru protecția vegetației a concentrației medii anuale pentru NOx este 30 µg/m</w:t>
      </w:r>
      <w:r w:rsidR="0026557C" w:rsidRPr="00EA1BB2">
        <w:rPr>
          <w:rFonts w:ascii="Cambria" w:eastAsia="Times New Roman" w:hAnsi="Cambria" w:cs="Times New Roman"/>
          <w:szCs w:val="24"/>
          <w:vertAlign w:val="superscript"/>
        </w:rPr>
        <w:t>3</w:t>
      </w:r>
    </w:p>
    <w:p w14:paraId="3EB13143" w14:textId="77777777" w:rsidR="00754161" w:rsidRPr="00EA1BB2" w:rsidRDefault="00A76AB0" w:rsidP="00C6129E">
      <w:pPr>
        <w:spacing w:line="276" w:lineRule="auto"/>
        <w:jc w:val="both"/>
        <w:rPr>
          <w:rFonts w:ascii="Cambria" w:eastAsia="Times New Roman" w:hAnsi="Cambria" w:cs="Times New Roman"/>
          <w:szCs w:val="24"/>
        </w:rPr>
      </w:pPr>
      <w:r w:rsidRPr="00EA1BB2">
        <w:rPr>
          <w:rFonts w:ascii="Cambria" w:eastAsia="Times New Roman" w:hAnsi="Cambria" w:cs="Times New Roman"/>
          <w:szCs w:val="24"/>
        </w:rPr>
        <w:t xml:space="preserve">Sursa date: </w:t>
      </w:r>
      <w:hyperlink r:id="rId60" w:history="1">
        <w:r w:rsidRPr="00EA1BB2">
          <w:rPr>
            <w:rStyle w:val="Hyperlink"/>
            <w:rFonts w:ascii="Cambria" w:eastAsia="Times New Roman" w:hAnsi="Cambria" w:cs="Times New Roman"/>
            <w:szCs w:val="24"/>
          </w:rPr>
          <w:t>www.calitateaer.ro</w:t>
        </w:r>
      </w:hyperlink>
      <w:r w:rsidRPr="00EA1BB2">
        <w:rPr>
          <w:rFonts w:ascii="Cambria" w:eastAsia="Times New Roman" w:hAnsi="Cambria" w:cs="Times New Roman"/>
          <w:szCs w:val="24"/>
        </w:rPr>
        <w:t xml:space="preserve"> accesat la data de 11.07.2018</w:t>
      </w:r>
    </w:p>
    <w:p w14:paraId="13AE9E52" w14:textId="77777777" w:rsidR="00C31A2A" w:rsidRDefault="00C31A2A" w:rsidP="00E52AD4">
      <w:pPr>
        <w:spacing w:line="360" w:lineRule="auto"/>
        <w:ind w:firstLine="708"/>
        <w:jc w:val="both"/>
        <w:rPr>
          <w:rFonts w:ascii="Cambria" w:eastAsia="Times New Roman" w:hAnsi="Cambria" w:cs="Times New Roman"/>
          <w:sz w:val="24"/>
          <w:szCs w:val="24"/>
        </w:rPr>
      </w:pPr>
    </w:p>
    <w:p w14:paraId="2EBBA81D" w14:textId="7B15F03F" w:rsidR="00754161" w:rsidRPr="00EA1BB2" w:rsidRDefault="00754161" w:rsidP="00E52AD4">
      <w:pPr>
        <w:spacing w:line="360" w:lineRule="auto"/>
        <w:ind w:firstLine="708"/>
        <w:jc w:val="both"/>
        <w:rPr>
          <w:rFonts w:ascii="Cambria" w:eastAsia="Times New Roman" w:hAnsi="Cambria" w:cs="Times New Roman"/>
          <w:sz w:val="24"/>
          <w:szCs w:val="24"/>
        </w:rPr>
      </w:pPr>
      <w:r w:rsidRPr="00EA1BB2">
        <w:rPr>
          <w:rFonts w:ascii="Cambria" w:eastAsia="Times New Roman" w:hAnsi="Cambria" w:cs="Times New Roman"/>
          <w:sz w:val="24"/>
          <w:szCs w:val="24"/>
        </w:rPr>
        <w:t>În perioada 20</w:t>
      </w:r>
      <w:r w:rsidR="00E52AD4" w:rsidRPr="00EA1BB2">
        <w:rPr>
          <w:rFonts w:ascii="Cambria" w:eastAsia="Times New Roman" w:hAnsi="Cambria" w:cs="Times New Roman"/>
          <w:sz w:val="24"/>
          <w:szCs w:val="24"/>
        </w:rPr>
        <w:t>08</w:t>
      </w:r>
      <w:r w:rsidRPr="00EA1BB2">
        <w:rPr>
          <w:rFonts w:ascii="Cambria" w:eastAsia="Times New Roman" w:hAnsi="Cambria" w:cs="Times New Roman"/>
          <w:sz w:val="24"/>
          <w:szCs w:val="24"/>
        </w:rPr>
        <w:t xml:space="preserve">-2016 </w:t>
      </w:r>
      <w:r w:rsidR="00E52AD4" w:rsidRPr="00EA1BB2">
        <w:rPr>
          <w:rFonts w:ascii="Cambria" w:eastAsia="Times New Roman" w:hAnsi="Cambria" w:cs="Times New Roman"/>
          <w:sz w:val="24"/>
          <w:szCs w:val="24"/>
        </w:rPr>
        <w:t>captura de date a fost insuficientă pentru evaluarea calității aerului în conformitate cu criteriul privind obiectivele de calitate și criteriile pentru calculul parametrilor statici prevăzute în Legea 104/2011 cu modificările ulterioare.</w:t>
      </w:r>
    </w:p>
    <w:p w14:paraId="702D3307" w14:textId="77777777" w:rsidR="00754161" w:rsidRPr="00EA1BB2" w:rsidRDefault="00754161" w:rsidP="00C6129E">
      <w:pPr>
        <w:spacing w:line="276" w:lineRule="auto"/>
        <w:jc w:val="both"/>
        <w:rPr>
          <w:rFonts w:ascii="Cambria" w:eastAsia="Times New Roman" w:hAnsi="Cambria" w:cs="Times New Roman"/>
          <w:sz w:val="24"/>
          <w:szCs w:val="24"/>
        </w:rPr>
      </w:pPr>
    </w:p>
    <w:p w14:paraId="110B9339" w14:textId="77777777" w:rsidR="00744560" w:rsidRPr="00EA1BB2" w:rsidRDefault="00744560" w:rsidP="00E859EF">
      <w:pPr>
        <w:pStyle w:val="Heading4"/>
        <w:numPr>
          <w:ilvl w:val="3"/>
          <w:numId w:val="1"/>
        </w:numPr>
        <w:spacing w:before="0" w:line="360" w:lineRule="auto"/>
        <w:ind w:hanging="579"/>
        <w:rPr>
          <w:color w:val="0070C0"/>
          <w:sz w:val="24"/>
        </w:rPr>
      </w:pPr>
      <w:bookmarkStart w:id="116" w:name="_Toc526889718"/>
      <w:r w:rsidRPr="00EA1BB2">
        <w:rPr>
          <w:color w:val="0070C0"/>
          <w:sz w:val="24"/>
        </w:rPr>
        <w:lastRenderedPageBreak/>
        <w:t>Pulberi în suspensie – PM</w:t>
      </w:r>
      <w:r w:rsidRPr="00EA1BB2">
        <w:rPr>
          <w:color w:val="0070C0"/>
          <w:sz w:val="24"/>
          <w:vertAlign w:val="subscript"/>
        </w:rPr>
        <w:t>10</w:t>
      </w:r>
      <w:r w:rsidR="00054880" w:rsidRPr="00EA1BB2">
        <w:rPr>
          <w:color w:val="0070C0"/>
          <w:sz w:val="24"/>
        </w:rPr>
        <w:t>ș</w:t>
      </w:r>
      <w:r w:rsidRPr="00EA1BB2">
        <w:rPr>
          <w:color w:val="0070C0"/>
          <w:sz w:val="24"/>
        </w:rPr>
        <w:t>i PM</w:t>
      </w:r>
      <w:r w:rsidRPr="00EA1BB2">
        <w:rPr>
          <w:color w:val="0070C0"/>
          <w:sz w:val="24"/>
          <w:vertAlign w:val="subscript"/>
        </w:rPr>
        <w:t xml:space="preserve">2,5 </w:t>
      </w:r>
      <w:r w:rsidRPr="00EA1BB2">
        <w:rPr>
          <w:color w:val="0070C0"/>
          <w:sz w:val="24"/>
        </w:rPr>
        <w:t>(gravimetric)</w:t>
      </w:r>
      <w:bookmarkEnd w:id="116"/>
    </w:p>
    <w:p w14:paraId="041BB8F8" w14:textId="68C3539A" w:rsidR="00414AE2" w:rsidRPr="00EA1BB2" w:rsidRDefault="00414AE2" w:rsidP="00414AE2">
      <w:pPr>
        <w:pStyle w:val="Caption"/>
        <w:keepNext/>
        <w:spacing w:after="0" w:line="360" w:lineRule="auto"/>
        <w:ind w:firstLine="708"/>
        <w:jc w:val="both"/>
        <w:rPr>
          <w:rFonts w:ascii="Cambria" w:eastAsia="Times New Roman" w:hAnsi="Cambria" w:cs="Times New Roman"/>
          <w:b w:val="0"/>
          <w:szCs w:val="24"/>
        </w:rPr>
      </w:pPr>
      <w:bookmarkStart w:id="117" w:name="_Toc526889782"/>
      <w:r w:rsidRPr="00EA1BB2">
        <w:rPr>
          <w:rFonts w:ascii="Cambria" w:hAnsi="Cambria"/>
          <w:szCs w:val="24"/>
        </w:rPr>
        <w:t xml:space="preserve">Tabelul nr. </w:t>
      </w:r>
      <w:r w:rsidR="000A2FE7" w:rsidRPr="00EA1BB2">
        <w:rPr>
          <w:rFonts w:ascii="Cambria" w:hAnsi="Cambria"/>
          <w:szCs w:val="24"/>
        </w:rPr>
        <w:fldChar w:fldCharType="begin"/>
      </w:r>
      <w:r w:rsidR="000A2FE7" w:rsidRPr="00EA1BB2">
        <w:rPr>
          <w:rFonts w:ascii="Cambria" w:hAnsi="Cambria"/>
          <w:szCs w:val="24"/>
        </w:rPr>
        <w:instrText xml:space="preserve"> STYLEREF 1 \s </w:instrText>
      </w:r>
      <w:r w:rsidR="000A2FE7" w:rsidRPr="00EA1BB2">
        <w:rPr>
          <w:rFonts w:ascii="Cambria" w:hAnsi="Cambria"/>
          <w:szCs w:val="24"/>
        </w:rPr>
        <w:fldChar w:fldCharType="separate"/>
      </w:r>
      <w:r w:rsidR="00567555">
        <w:rPr>
          <w:rFonts w:ascii="Cambria" w:hAnsi="Cambria"/>
          <w:noProof/>
          <w:szCs w:val="24"/>
        </w:rPr>
        <w:t>3</w:t>
      </w:r>
      <w:r w:rsidR="000A2FE7" w:rsidRPr="00EA1BB2">
        <w:rPr>
          <w:rFonts w:ascii="Cambria" w:hAnsi="Cambria"/>
          <w:szCs w:val="24"/>
        </w:rPr>
        <w:fldChar w:fldCharType="end"/>
      </w:r>
      <w:r w:rsidR="000A2FE7" w:rsidRPr="00EA1BB2">
        <w:rPr>
          <w:rFonts w:ascii="Cambria" w:hAnsi="Cambria"/>
          <w:szCs w:val="24"/>
        </w:rPr>
        <w:noBreakHyphen/>
      </w:r>
      <w:r w:rsidR="000A2FE7" w:rsidRPr="00EA1BB2">
        <w:rPr>
          <w:rFonts w:ascii="Cambria" w:hAnsi="Cambria"/>
          <w:szCs w:val="24"/>
        </w:rPr>
        <w:fldChar w:fldCharType="begin"/>
      </w:r>
      <w:r w:rsidR="000A2FE7" w:rsidRPr="00EA1BB2">
        <w:rPr>
          <w:rFonts w:ascii="Cambria" w:hAnsi="Cambria"/>
          <w:szCs w:val="24"/>
        </w:rPr>
        <w:instrText xml:space="preserve"> SEQ Tabelul_nr. \* ARABIC \s 1 </w:instrText>
      </w:r>
      <w:r w:rsidR="000A2FE7" w:rsidRPr="00EA1BB2">
        <w:rPr>
          <w:rFonts w:ascii="Cambria" w:hAnsi="Cambria"/>
          <w:szCs w:val="24"/>
        </w:rPr>
        <w:fldChar w:fldCharType="separate"/>
      </w:r>
      <w:r w:rsidR="00567555">
        <w:rPr>
          <w:rFonts w:ascii="Cambria" w:hAnsi="Cambria"/>
          <w:noProof/>
          <w:szCs w:val="24"/>
        </w:rPr>
        <w:t>13</w:t>
      </w:r>
      <w:r w:rsidR="000A2FE7" w:rsidRPr="00EA1BB2">
        <w:rPr>
          <w:rFonts w:ascii="Cambria" w:hAnsi="Cambria"/>
          <w:szCs w:val="24"/>
        </w:rPr>
        <w:fldChar w:fldCharType="end"/>
      </w:r>
      <w:r w:rsidRPr="00EA1BB2">
        <w:rPr>
          <w:rFonts w:ascii="Cambria" w:hAnsi="Cambria"/>
          <w:noProof/>
          <w:szCs w:val="24"/>
        </w:rPr>
        <w:t xml:space="preserve"> - </w:t>
      </w:r>
      <w:r w:rsidRPr="00EA1BB2">
        <w:rPr>
          <w:rFonts w:ascii="Cambria" w:eastAsia="Times New Roman" w:hAnsi="Cambria" w:cs="Times New Roman"/>
          <w:szCs w:val="24"/>
        </w:rPr>
        <w:t xml:space="preserve">Concentrația medie anuală pentru </w:t>
      </w:r>
      <w:r w:rsidR="004F7169" w:rsidRPr="00EA1BB2">
        <w:rPr>
          <w:rFonts w:ascii="Cambria" w:eastAsia="Times New Roman" w:hAnsi="Cambria" w:cs="Times New Roman"/>
          <w:szCs w:val="24"/>
        </w:rPr>
        <w:t>pulberi în suspensie (PM</w:t>
      </w:r>
      <w:r w:rsidR="004F7169" w:rsidRPr="00EA1BB2">
        <w:rPr>
          <w:rFonts w:ascii="Cambria" w:eastAsia="Times New Roman" w:hAnsi="Cambria" w:cs="Times New Roman"/>
          <w:szCs w:val="24"/>
          <w:vertAlign w:val="subscript"/>
        </w:rPr>
        <w:t>10</w:t>
      </w:r>
      <w:r w:rsidRPr="00EA1BB2">
        <w:rPr>
          <w:rFonts w:ascii="Cambria" w:eastAsia="Times New Roman" w:hAnsi="Cambria" w:cs="Times New Roman"/>
          <w:szCs w:val="24"/>
        </w:rPr>
        <w:t xml:space="preserve">), înregistrată la stațiile de monitorizare a aerului din </w:t>
      </w:r>
      <w:r w:rsidR="00785B8E" w:rsidRPr="00EA1BB2">
        <w:rPr>
          <w:rFonts w:ascii="Cambria" w:eastAsia="Times New Roman" w:hAnsi="Cambria" w:cs="Times New Roman"/>
          <w:szCs w:val="24"/>
        </w:rPr>
        <w:t>județul</w:t>
      </w:r>
      <w:r w:rsidRPr="00EA1BB2">
        <w:rPr>
          <w:rFonts w:ascii="Cambria" w:eastAsia="Times New Roman" w:hAnsi="Cambria" w:cs="Times New Roman"/>
          <w:szCs w:val="24"/>
        </w:rPr>
        <w:t xml:space="preserve"> Brăila, în perioada 2008-2017</w:t>
      </w:r>
      <w:bookmarkEnd w:id="117"/>
    </w:p>
    <w:tbl>
      <w:tblPr>
        <w:tblStyle w:val="TableGrid"/>
        <w:tblW w:w="9336" w:type="dxa"/>
        <w:jc w:val="center"/>
        <w:tblLook w:val="04A0" w:firstRow="1" w:lastRow="0" w:firstColumn="1" w:lastColumn="0" w:noHBand="0" w:noVBand="1"/>
      </w:tblPr>
      <w:tblGrid>
        <w:gridCol w:w="1329"/>
        <w:gridCol w:w="785"/>
        <w:gridCol w:w="797"/>
        <w:gridCol w:w="797"/>
        <w:gridCol w:w="797"/>
        <w:gridCol w:w="797"/>
        <w:gridCol w:w="785"/>
        <w:gridCol w:w="785"/>
        <w:gridCol w:w="785"/>
        <w:gridCol w:w="785"/>
        <w:gridCol w:w="894"/>
      </w:tblGrid>
      <w:tr w:rsidR="00414AE2" w:rsidRPr="00EA1BB2" w14:paraId="56A964D1" w14:textId="77777777" w:rsidTr="002E3D2C">
        <w:trPr>
          <w:trHeight w:val="105"/>
          <w:tblHeader/>
          <w:jc w:val="center"/>
        </w:trPr>
        <w:tc>
          <w:tcPr>
            <w:tcW w:w="1329" w:type="dxa"/>
            <w:vMerge w:val="restart"/>
            <w:shd w:val="clear" w:color="auto" w:fill="BDD6EE" w:themeFill="accent1" w:themeFillTint="66"/>
            <w:noWrap/>
            <w:vAlign w:val="center"/>
          </w:tcPr>
          <w:p w14:paraId="3693AB9B" w14:textId="77777777" w:rsidR="00414AE2" w:rsidRPr="00EA1BB2" w:rsidRDefault="00414AE2" w:rsidP="00B44687">
            <w:pPr>
              <w:spacing w:line="360" w:lineRule="auto"/>
              <w:jc w:val="center"/>
              <w:rPr>
                <w:rFonts w:ascii="Cambria" w:eastAsia="Times New Roman" w:hAnsi="Cambria" w:cs="Times New Roman"/>
                <w:b/>
                <w:sz w:val="20"/>
                <w:szCs w:val="24"/>
                <w:lang w:val="ro-RO"/>
              </w:rPr>
            </w:pPr>
            <w:r w:rsidRPr="00EA1BB2">
              <w:rPr>
                <w:rFonts w:ascii="Cambria" w:eastAsia="Times New Roman" w:hAnsi="Cambria" w:cs="Times New Roman"/>
                <w:b/>
                <w:sz w:val="20"/>
                <w:szCs w:val="24"/>
                <w:lang w:val="ro-RO"/>
              </w:rPr>
              <w:t xml:space="preserve">Stația de </w:t>
            </w:r>
          </w:p>
          <w:p w14:paraId="5A2B24E9" w14:textId="77777777" w:rsidR="00414AE2" w:rsidRPr="00EA1BB2" w:rsidRDefault="00414AE2" w:rsidP="00B44687">
            <w:pPr>
              <w:spacing w:line="360" w:lineRule="auto"/>
              <w:ind w:left="-110" w:right="-98"/>
              <w:jc w:val="center"/>
              <w:rPr>
                <w:rFonts w:ascii="Cambria" w:eastAsia="Times New Roman" w:hAnsi="Cambria" w:cs="Times New Roman"/>
                <w:b/>
                <w:sz w:val="24"/>
                <w:szCs w:val="24"/>
                <w:lang w:val="ro-RO"/>
              </w:rPr>
            </w:pPr>
            <w:r w:rsidRPr="00EA1BB2">
              <w:rPr>
                <w:rFonts w:ascii="Cambria" w:eastAsia="Times New Roman" w:hAnsi="Cambria" w:cs="Times New Roman"/>
                <w:b/>
                <w:sz w:val="20"/>
                <w:szCs w:val="24"/>
                <w:lang w:val="ro-RO"/>
              </w:rPr>
              <w:t>monitorizare</w:t>
            </w:r>
          </w:p>
        </w:tc>
        <w:tc>
          <w:tcPr>
            <w:tcW w:w="8007" w:type="dxa"/>
            <w:gridSpan w:val="10"/>
            <w:shd w:val="clear" w:color="auto" w:fill="BDD6EE" w:themeFill="accent1" w:themeFillTint="66"/>
          </w:tcPr>
          <w:p w14:paraId="4433E30C" w14:textId="77777777" w:rsidR="00414AE2" w:rsidRPr="00EA1BB2" w:rsidRDefault="00414AE2"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Concentrația medie anuală</w:t>
            </w:r>
          </w:p>
          <w:p w14:paraId="159A2C7D" w14:textId="77777777" w:rsidR="00414AE2" w:rsidRPr="00EA1BB2" w:rsidRDefault="00FE4144"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(µg</w:t>
            </w:r>
            <w:r w:rsidR="00414AE2" w:rsidRPr="00EA1BB2">
              <w:rPr>
                <w:rFonts w:ascii="Cambria" w:eastAsia="Times New Roman" w:hAnsi="Cambria" w:cs="Times New Roman"/>
                <w:b/>
                <w:sz w:val="24"/>
                <w:szCs w:val="24"/>
                <w:lang w:val="ro-RO"/>
              </w:rPr>
              <w:t>/m</w:t>
            </w:r>
            <w:r w:rsidR="00414AE2" w:rsidRPr="00EA1BB2">
              <w:rPr>
                <w:rFonts w:ascii="Cambria" w:eastAsia="Times New Roman" w:hAnsi="Cambria" w:cs="Times New Roman"/>
                <w:b/>
                <w:sz w:val="24"/>
                <w:szCs w:val="24"/>
                <w:vertAlign w:val="superscript"/>
                <w:lang w:val="ro-RO"/>
              </w:rPr>
              <w:t>3</w:t>
            </w:r>
            <w:r w:rsidR="00414AE2" w:rsidRPr="00EA1BB2">
              <w:rPr>
                <w:rFonts w:ascii="Cambria" w:eastAsia="Times New Roman" w:hAnsi="Cambria" w:cs="Times New Roman"/>
                <w:b/>
                <w:sz w:val="24"/>
                <w:szCs w:val="24"/>
                <w:lang w:val="ro-RO"/>
              </w:rPr>
              <w:t>)</w:t>
            </w:r>
          </w:p>
        </w:tc>
      </w:tr>
      <w:tr w:rsidR="00414AE2" w:rsidRPr="00EA1BB2" w14:paraId="7A9928BB" w14:textId="77777777" w:rsidTr="002E3D2C">
        <w:trPr>
          <w:trHeight w:val="286"/>
          <w:tblHeader/>
          <w:jc w:val="center"/>
        </w:trPr>
        <w:tc>
          <w:tcPr>
            <w:tcW w:w="1329" w:type="dxa"/>
            <w:vMerge/>
            <w:shd w:val="clear" w:color="auto" w:fill="BDD6EE" w:themeFill="accent1" w:themeFillTint="66"/>
            <w:noWrap/>
            <w:vAlign w:val="center"/>
          </w:tcPr>
          <w:p w14:paraId="3B8D829D" w14:textId="77777777" w:rsidR="00414AE2" w:rsidRPr="00EA1BB2" w:rsidRDefault="00414AE2" w:rsidP="00B44687">
            <w:pPr>
              <w:spacing w:line="360" w:lineRule="auto"/>
              <w:jc w:val="center"/>
              <w:rPr>
                <w:rFonts w:ascii="Cambria" w:eastAsia="Times New Roman" w:hAnsi="Cambria" w:cs="Times New Roman"/>
                <w:b/>
                <w:sz w:val="24"/>
                <w:szCs w:val="24"/>
                <w:lang w:val="ro-RO"/>
              </w:rPr>
            </w:pPr>
          </w:p>
        </w:tc>
        <w:tc>
          <w:tcPr>
            <w:tcW w:w="0" w:type="auto"/>
            <w:shd w:val="clear" w:color="auto" w:fill="BDD6EE" w:themeFill="accent1" w:themeFillTint="66"/>
          </w:tcPr>
          <w:p w14:paraId="3ED88EF6" w14:textId="77777777" w:rsidR="00414AE2" w:rsidRPr="00EA1BB2" w:rsidRDefault="00414AE2"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2008</w:t>
            </w:r>
          </w:p>
        </w:tc>
        <w:tc>
          <w:tcPr>
            <w:tcW w:w="0" w:type="auto"/>
            <w:shd w:val="clear" w:color="auto" w:fill="BDD6EE" w:themeFill="accent1" w:themeFillTint="66"/>
          </w:tcPr>
          <w:p w14:paraId="14F1499D" w14:textId="77777777" w:rsidR="00414AE2" w:rsidRPr="00EA1BB2" w:rsidRDefault="00414AE2"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2009</w:t>
            </w:r>
          </w:p>
        </w:tc>
        <w:tc>
          <w:tcPr>
            <w:tcW w:w="0" w:type="auto"/>
            <w:shd w:val="clear" w:color="auto" w:fill="BDD6EE" w:themeFill="accent1" w:themeFillTint="66"/>
          </w:tcPr>
          <w:p w14:paraId="07A1C223" w14:textId="77777777" w:rsidR="00414AE2" w:rsidRPr="00EA1BB2" w:rsidRDefault="00414AE2"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2010</w:t>
            </w:r>
          </w:p>
        </w:tc>
        <w:tc>
          <w:tcPr>
            <w:tcW w:w="0" w:type="auto"/>
            <w:shd w:val="clear" w:color="auto" w:fill="BDD6EE" w:themeFill="accent1" w:themeFillTint="66"/>
          </w:tcPr>
          <w:p w14:paraId="63A171BC" w14:textId="77777777" w:rsidR="00414AE2" w:rsidRPr="00EA1BB2" w:rsidRDefault="00414AE2"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2011</w:t>
            </w:r>
          </w:p>
        </w:tc>
        <w:tc>
          <w:tcPr>
            <w:tcW w:w="0" w:type="auto"/>
            <w:shd w:val="clear" w:color="auto" w:fill="BDD6EE" w:themeFill="accent1" w:themeFillTint="66"/>
          </w:tcPr>
          <w:p w14:paraId="43951BE7" w14:textId="77777777" w:rsidR="00414AE2" w:rsidRPr="00EA1BB2" w:rsidRDefault="00414AE2"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2012</w:t>
            </w:r>
          </w:p>
        </w:tc>
        <w:tc>
          <w:tcPr>
            <w:tcW w:w="0" w:type="auto"/>
            <w:shd w:val="clear" w:color="auto" w:fill="BDD6EE" w:themeFill="accent1" w:themeFillTint="66"/>
            <w:noWrap/>
            <w:vAlign w:val="center"/>
          </w:tcPr>
          <w:p w14:paraId="4A5C4841" w14:textId="77777777" w:rsidR="00414AE2" w:rsidRPr="00EA1BB2" w:rsidRDefault="00414AE2"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2013</w:t>
            </w:r>
          </w:p>
        </w:tc>
        <w:tc>
          <w:tcPr>
            <w:tcW w:w="0" w:type="auto"/>
            <w:shd w:val="clear" w:color="auto" w:fill="BDD6EE" w:themeFill="accent1" w:themeFillTint="66"/>
            <w:noWrap/>
            <w:vAlign w:val="center"/>
          </w:tcPr>
          <w:p w14:paraId="514CCF90" w14:textId="77777777" w:rsidR="00414AE2" w:rsidRPr="00EA1BB2" w:rsidRDefault="00414AE2"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2014</w:t>
            </w:r>
          </w:p>
        </w:tc>
        <w:tc>
          <w:tcPr>
            <w:tcW w:w="0" w:type="auto"/>
            <w:shd w:val="clear" w:color="auto" w:fill="BDD6EE" w:themeFill="accent1" w:themeFillTint="66"/>
            <w:noWrap/>
            <w:vAlign w:val="center"/>
          </w:tcPr>
          <w:p w14:paraId="0AC39B03" w14:textId="77777777" w:rsidR="00414AE2" w:rsidRPr="00EA1BB2" w:rsidRDefault="00414AE2"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2015</w:t>
            </w:r>
          </w:p>
        </w:tc>
        <w:tc>
          <w:tcPr>
            <w:tcW w:w="785" w:type="dxa"/>
            <w:shd w:val="clear" w:color="auto" w:fill="BDD6EE" w:themeFill="accent1" w:themeFillTint="66"/>
            <w:noWrap/>
            <w:vAlign w:val="center"/>
          </w:tcPr>
          <w:p w14:paraId="0D1E7173" w14:textId="77777777" w:rsidR="00414AE2" w:rsidRPr="00EA1BB2" w:rsidRDefault="00414AE2"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2016</w:t>
            </w:r>
          </w:p>
        </w:tc>
        <w:tc>
          <w:tcPr>
            <w:tcW w:w="894" w:type="dxa"/>
            <w:shd w:val="clear" w:color="auto" w:fill="BDD6EE" w:themeFill="accent1" w:themeFillTint="66"/>
            <w:noWrap/>
            <w:vAlign w:val="center"/>
          </w:tcPr>
          <w:p w14:paraId="63F2F475" w14:textId="6B377C5A" w:rsidR="00414AE2" w:rsidRPr="00EA1BB2" w:rsidRDefault="00414AE2" w:rsidP="003948BC">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2017</w:t>
            </w:r>
          </w:p>
        </w:tc>
      </w:tr>
      <w:tr w:rsidR="00414AE2" w:rsidRPr="00EA1BB2" w14:paraId="5CE7AC6E" w14:textId="77777777" w:rsidTr="002E3D2C">
        <w:trPr>
          <w:trHeight w:val="340"/>
          <w:jc w:val="center"/>
        </w:trPr>
        <w:tc>
          <w:tcPr>
            <w:tcW w:w="1329" w:type="dxa"/>
            <w:noWrap/>
            <w:vAlign w:val="center"/>
          </w:tcPr>
          <w:p w14:paraId="60BC9447" w14:textId="77777777" w:rsidR="00414AE2" w:rsidRPr="00EA1BB2" w:rsidRDefault="00414AE2"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BR1</w:t>
            </w:r>
          </w:p>
        </w:tc>
        <w:tc>
          <w:tcPr>
            <w:tcW w:w="0" w:type="auto"/>
          </w:tcPr>
          <w:p w14:paraId="3D915BDB" w14:textId="77777777" w:rsidR="00414AE2" w:rsidRPr="00EA1BB2" w:rsidRDefault="00414AE2"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0C7DC843" w14:textId="77777777" w:rsidR="00414AE2" w:rsidRPr="00EA1BB2" w:rsidRDefault="00414AE2"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21,48</w:t>
            </w:r>
          </w:p>
        </w:tc>
        <w:tc>
          <w:tcPr>
            <w:tcW w:w="0" w:type="auto"/>
          </w:tcPr>
          <w:p w14:paraId="507874CD" w14:textId="77777777" w:rsidR="00414AE2" w:rsidRPr="00EA1BB2" w:rsidRDefault="00414AE2"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3825BABC" w14:textId="77777777" w:rsidR="00414AE2" w:rsidRPr="00EA1BB2" w:rsidRDefault="00414AE2"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1A79851B" w14:textId="77777777" w:rsidR="00414AE2" w:rsidRPr="00EA1BB2" w:rsidRDefault="00414AE2"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42F4293C" w14:textId="77777777" w:rsidR="00414AE2" w:rsidRPr="00EA1BB2" w:rsidRDefault="00414AE2"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2BDEC721" w14:textId="77777777" w:rsidR="00414AE2" w:rsidRPr="00EA1BB2" w:rsidRDefault="00414AE2"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1C89F8C9" w14:textId="77777777" w:rsidR="00414AE2" w:rsidRPr="00EA1BB2" w:rsidRDefault="00414AE2"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785" w:type="dxa"/>
            <w:noWrap/>
          </w:tcPr>
          <w:p w14:paraId="7419E88B" w14:textId="77777777" w:rsidR="00414AE2" w:rsidRPr="00EA1BB2" w:rsidRDefault="00414AE2"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894" w:type="dxa"/>
            <w:noWrap/>
            <w:vAlign w:val="center"/>
          </w:tcPr>
          <w:p w14:paraId="20FB1F2C" w14:textId="77777777" w:rsidR="00414AE2" w:rsidRPr="00EA1BB2" w:rsidRDefault="00414AE2"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22,98</w:t>
            </w:r>
          </w:p>
        </w:tc>
      </w:tr>
      <w:tr w:rsidR="00414AE2" w:rsidRPr="00EA1BB2" w14:paraId="66D667FF" w14:textId="77777777" w:rsidTr="002E3D2C">
        <w:trPr>
          <w:trHeight w:val="340"/>
          <w:jc w:val="center"/>
        </w:trPr>
        <w:tc>
          <w:tcPr>
            <w:tcW w:w="1329" w:type="dxa"/>
            <w:noWrap/>
            <w:vAlign w:val="center"/>
          </w:tcPr>
          <w:p w14:paraId="3ECEE2CF" w14:textId="77777777" w:rsidR="00414AE2" w:rsidRPr="00EA1BB2" w:rsidRDefault="00414AE2" w:rsidP="00414AE2">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BR2</w:t>
            </w:r>
          </w:p>
        </w:tc>
        <w:tc>
          <w:tcPr>
            <w:tcW w:w="0" w:type="auto"/>
          </w:tcPr>
          <w:p w14:paraId="21DFF9CA" w14:textId="77777777" w:rsidR="00414AE2" w:rsidRPr="00EA1BB2" w:rsidRDefault="00414AE2" w:rsidP="00414AE2">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287E8503" w14:textId="77777777" w:rsidR="00414AE2" w:rsidRPr="00EA1BB2" w:rsidRDefault="00414AE2" w:rsidP="00414AE2">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18C19AA2" w14:textId="77777777" w:rsidR="00414AE2" w:rsidRPr="00EA1BB2" w:rsidRDefault="00414AE2" w:rsidP="00414AE2">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56560AD2" w14:textId="77777777" w:rsidR="00414AE2" w:rsidRPr="00EA1BB2" w:rsidRDefault="00414AE2" w:rsidP="00414AE2">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3DEA0F8D" w14:textId="77777777" w:rsidR="00414AE2" w:rsidRPr="00EA1BB2" w:rsidRDefault="00414AE2" w:rsidP="00414AE2">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57637853" w14:textId="77777777" w:rsidR="00414AE2" w:rsidRPr="00EA1BB2" w:rsidRDefault="00414AE2" w:rsidP="00414AE2">
            <w:pPr>
              <w:spacing w:line="360" w:lineRule="auto"/>
              <w:jc w:val="center"/>
              <w:rPr>
                <w:rFonts w:ascii="Cambria" w:eastAsia="Times New Roman" w:hAnsi="Cambria" w:cs="Times New Roman"/>
                <w:sz w:val="24"/>
                <w:szCs w:val="24"/>
                <w:lang w:val="ro-RO"/>
              </w:rPr>
            </w:pPr>
            <w:r w:rsidRPr="00EA1BB2">
              <w:rPr>
                <w:rFonts w:ascii="Cambria" w:hAnsi="Cambria"/>
                <w:sz w:val="24"/>
                <w:szCs w:val="24"/>
                <w:lang w:val="ro-RO"/>
              </w:rPr>
              <w:t>-</w:t>
            </w:r>
          </w:p>
        </w:tc>
        <w:tc>
          <w:tcPr>
            <w:tcW w:w="0" w:type="auto"/>
            <w:noWrap/>
          </w:tcPr>
          <w:p w14:paraId="1E0BFBC5" w14:textId="77777777" w:rsidR="00414AE2" w:rsidRPr="00EA1BB2" w:rsidRDefault="00414AE2" w:rsidP="00414AE2">
            <w:pPr>
              <w:spacing w:line="360" w:lineRule="auto"/>
              <w:jc w:val="center"/>
              <w:rPr>
                <w:rFonts w:ascii="Cambria" w:eastAsia="Times New Roman" w:hAnsi="Cambria" w:cs="Times New Roman"/>
                <w:sz w:val="24"/>
                <w:szCs w:val="24"/>
                <w:lang w:val="ro-RO"/>
              </w:rPr>
            </w:pPr>
            <w:r w:rsidRPr="00EA1BB2">
              <w:rPr>
                <w:rFonts w:ascii="Cambria" w:hAnsi="Cambria"/>
                <w:sz w:val="24"/>
                <w:szCs w:val="24"/>
                <w:lang w:val="ro-RO"/>
              </w:rPr>
              <w:t>-</w:t>
            </w:r>
          </w:p>
        </w:tc>
        <w:tc>
          <w:tcPr>
            <w:tcW w:w="0" w:type="auto"/>
            <w:noWrap/>
          </w:tcPr>
          <w:p w14:paraId="4CC67275" w14:textId="77777777" w:rsidR="00414AE2" w:rsidRPr="00EA1BB2" w:rsidRDefault="00414AE2" w:rsidP="00414AE2">
            <w:pPr>
              <w:spacing w:line="360" w:lineRule="auto"/>
              <w:jc w:val="center"/>
              <w:rPr>
                <w:rFonts w:ascii="Cambria" w:eastAsia="Times New Roman" w:hAnsi="Cambria" w:cs="Times New Roman"/>
                <w:sz w:val="24"/>
                <w:szCs w:val="24"/>
                <w:lang w:val="ro-RO"/>
              </w:rPr>
            </w:pPr>
            <w:r w:rsidRPr="00EA1BB2">
              <w:rPr>
                <w:rFonts w:ascii="Cambria" w:hAnsi="Cambria"/>
                <w:sz w:val="24"/>
                <w:szCs w:val="24"/>
                <w:lang w:val="ro-RO"/>
              </w:rPr>
              <w:t>-</w:t>
            </w:r>
          </w:p>
        </w:tc>
        <w:tc>
          <w:tcPr>
            <w:tcW w:w="785" w:type="dxa"/>
            <w:noWrap/>
          </w:tcPr>
          <w:p w14:paraId="7421CDB0" w14:textId="77777777" w:rsidR="00414AE2" w:rsidRPr="00EA1BB2" w:rsidRDefault="00414AE2" w:rsidP="00414AE2">
            <w:pPr>
              <w:spacing w:line="360" w:lineRule="auto"/>
              <w:jc w:val="center"/>
              <w:rPr>
                <w:rFonts w:ascii="Cambria" w:eastAsia="Times New Roman" w:hAnsi="Cambria" w:cs="Times New Roman"/>
                <w:sz w:val="24"/>
                <w:szCs w:val="24"/>
                <w:lang w:val="ro-RO"/>
              </w:rPr>
            </w:pPr>
            <w:r w:rsidRPr="00EA1BB2">
              <w:rPr>
                <w:rFonts w:ascii="Cambria" w:hAnsi="Cambria"/>
                <w:sz w:val="24"/>
                <w:szCs w:val="24"/>
                <w:lang w:val="ro-RO"/>
              </w:rPr>
              <w:t>-</w:t>
            </w:r>
          </w:p>
        </w:tc>
        <w:tc>
          <w:tcPr>
            <w:tcW w:w="894" w:type="dxa"/>
            <w:noWrap/>
          </w:tcPr>
          <w:p w14:paraId="4FDCDB50" w14:textId="77777777" w:rsidR="00414AE2" w:rsidRPr="00EA1BB2" w:rsidRDefault="00414AE2" w:rsidP="00414AE2">
            <w:pPr>
              <w:spacing w:line="360" w:lineRule="auto"/>
              <w:jc w:val="center"/>
              <w:rPr>
                <w:rFonts w:ascii="Cambria" w:eastAsia="Times New Roman" w:hAnsi="Cambria" w:cs="Times New Roman"/>
                <w:sz w:val="24"/>
                <w:szCs w:val="24"/>
                <w:lang w:val="ro-RO"/>
              </w:rPr>
            </w:pPr>
            <w:r w:rsidRPr="00EA1BB2">
              <w:rPr>
                <w:rFonts w:ascii="Cambria" w:hAnsi="Cambria"/>
                <w:sz w:val="24"/>
                <w:szCs w:val="24"/>
                <w:lang w:val="ro-RO"/>
              </w:rPr>
              <w:t>-</w:t>
            </w:r>
          </w:p>
        </w:tc>
      </w:tr>
      <w:tr w:rsidR="00414AE2" w:rsidRPr="00EA1BB2" w14:paraId="7E93D6CD" w14:textId="77777777" w:rsidTr="002E3D2C">
        <w:trPr>
          <w:trHeight w:val="340"/>
          <w:jc w:val="center"/>
        </w:trPr>
        <w:tc>
          <w:tcPr>
            <w:tcW w:w="1329" w:type="dxa"/>
            <w:noWrap/>
            <w:vAlign w:val="center"/>
          </w:tcPr>
          <w:p w14:paraId="4A609CF8" w14:textId="77777777" w:rsidR="00414AE2" w:rsidRPr="00EA1BB2" w:rsidRDefault="00414AE2" w:rsidP="00414AE2">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BR3</w:t>
            </w:r>
          </w:p>
        </w:tc>
        <w:tc>
          <w:tcPr>
            <w:tcW w:w="0" w:type="auto"/>
          </w:tcPr>
          <w:p w14:paraId="7772AF2E" w14:textId="77777777" w:rsidR="00414AE2" w:rsidRPr="00EA1BB2" w:rsidRDefault="00414AE2" w:rsidP="00414AE2">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05B776CB" w14:textId="77777777" w:rsidR="00414AE2" w:rsidRPr="00EA1BB2" w:rsidRDefault="00414AE2" w:rsidP="00414AE2">
            <w:pPr>
              <w:spacing w:line="360" w:lineRule="auto"/>
              <w:jc w:val="center"/>
              <w:rPr>
                <w:rFonts w:ascii="Cambria" w:eastAsia="Times New Roman" w:hAnsi="Cambria" w:cs="Times New Roman"/>
                <w:sz w:val="24"/>
                <w:szCs w:val="24"/>
                <w:lang w:val="ro-RO"/>
              </w:rPr>
            </w:pPr>
            <w:r w:rsidRPr="00EA1BB2">
              <w:rPr>
                <w:rFonts w:ascii="Cambria" w:hAnsi="Cambria"/>
                <w:sz w:val="24"/>
                <w:szCs w:val="24"/>
                <w:lang w:val="ro-RO"/>
              </w:rPr>
              <w:t>22,99</w:t>
            </w:r>
          </w:p>
        </w:tc>
        <w:tc>
          <w:tcPr>
            <w:tcW w:w="0" w:type="auto"/>
          </w:tcPr>
          <w:p w14:paraId="6A54FF9E" w14:textId="77777777" w:rsidR="00414AE2" w:rsidRPr="00EA1BB2" w:rsidRDefault="00414AE2" w:rsidP="00414AE2">
            <w:pPr>
              <w:spacing w:line="360" w:lineRule="auto"/>
              <w:jc w:val="center"/>
              <w:rPr>
                <w:rFonts w:ascii="Cambria" w:eastAsia="Times New Roman" w:hAnsi="Cambria" w:cs="Times New Roman"/>
                <w:sz w:val="24"/>
                <w:szCs w:val="24"/>
                <w:lang w:val="ro-RO"/>
              </w:rPr>
            </w:pPr>
            <w:r w:rsidRPr="00EA1BB2">
              <w:rPr>
                <w:rFonts w:ascii="Cambria" w:hAnsi="Cambria"/>
                <w:sz w:val="24"/>
                <w:szCs w:val="24"/>
                <w:lang w:val="ro-RO"/>
              </w:rPr>
              <w:t>23,57</w:t>
            </w:r>
          </w:p>
        </w:tc>
        <w:tc>
          <w:tcPr>
            <w:tcW w:w="0" w:type="auto"/>
          </w:tcPr>
          <w:p w14:paraId="59DF413D" w14:textId="77777777" w:rsidR="00414AE2" w:rsidRPr="00EA1BB2" w:rsidRDefault="00414AE2" w:rsidP="00414AE2">
            <w:pPr>
              <w:spacing w:line="360" w:lineRule="auto"/>
              <w:jc w:val="center"/>
              <w:rPr>
                <w:rFonts w:ascii="Cambria" w:eastAsia="Times New Roman" w:hAnsi="Cambria" w:cs="Times New Roman"/>
                <w:sz w:val="24"/>
                <w:szCs w:val="24"/>
                <w:lang w:val="ro-RO"/>
              </w:rPr>
            </w:pPr>
            <w:r w:rsidRPr="00EA1BB2">
              <w:rPr>
                <w:rFonts w:ascii="Cambria" w:hAnsi="Cambria"/>
                <w:sz w:val="24"/>
                <w:szCs w:val="24"/>
                <w:lang w:val="ro-RO"/>
              </w:rPr>
              <w:t>22,77</w:t>
            </w:r>
          </w:p>
        </w:tc>
        <w:tc>
          <w:tcPr>
            <w:tcW w:w="0" w:type="auto"/>
          </w:tcPr>
          <w:p w14:paraId="64D6B021" w14:textId="77777777" w:rsidR="00414AE2" w:rsidRPr="00EA1BB2" w:rsidRDefault="00414AE2" w:rsidP="00414AE2">
            <w:pPr>
              <w:spacing w:line="360" w:lineRule="auto"/>
              <w:jc w:val="center"/>
              <w:rPr>
                <w:rFonts w:ascii="Cambria" w:eastAsia="Times New Roman" w:hAnsi="Cambria" w:cs="Times New Roman"/>
                <w:sz w:val="24"/>
                <w:szCs w:val="24"/>
                <w:lang w:val="ro-RO"/>
              </w:rPr>
            </w:pPr>
            <w:r w:rsidRPr="00EA1BB2">
              <w:rPr>
                <w:rFonts w:ascii="Cambria" w:hAnsi="Cambria"/>
                <w:sz w:val="24"/>
                <w:szCs w:val="24"/>
                <w:lang w:val="ro-RO"/>
              </w:rPr>
              <w:t>30,94</w:t>
            </w:r>
          </w:p>
        </w:tc>
        <w:tc>
          <w:tcPr>
            <w:tcW w:w="0" w:type="auto"/>
            <w:noWrap/>
          </w:tcPr>
          <w:p w14:paraId="1B2FBC34" w14:textId="77777777" w:rsidR="00414AE2" w:rsidRPr="00EA1BB2" w:rsidRDefault="00414AE2" w:rsidP="00414AE2">
            <w:pPr>
              <w:spacing w:line="360" w:lineRule="auto"/>
              <w:jc w:val="center"/>
              <w:rPr>
                <w:rFonts w:ascii="Cambria" w:eastAsia="Times New Roman" w:hAnsi="Cambria" w:cs="Times New Roman"/>
                <w:sz w:val="24"/>
                <w:szCs w:val="24"/>
                <w:lang w:val="ro-RO"/>
              </w:rPr>
            </w:pPr>
            <w:r w:rsidRPr="00EA1BB2">
              <w:rPr>
                <w:rFonts w:ascii="Cambria" w:hAnsi="Cambria"/>
                <w:sz w:val="24"/>
                <w:szCs w:val="24"/>
                <w:lang w:val="ro-RO"/>
              </w:rPr>
              <w:t>-</w:t>
            </w:r>
          </w:p>
        </w:tc>
        <w:tc>
          <w:tcPr>
            <w:tcW w:w="0" w:type="auto"/>
            <w:noWrap/>
          </w:tcPr>
          <w:p w14:paraId="1153E50B" w14:textId="77777777" w:rsidR="00414AE2" w:rsidRPr="00EA1BB2" w:rsidRDefault="00414AE2" w:rsidP="00414AE2">
            <w:pPr>
              <w:spacing w:line="360" w:lineRule="auto"/>
              <w:jc w:val="center"/>
              <w:rPr>
                <w:rFonts w:ascii="Cambria" w:eastAsia="Times New Roman" w:hAnsi="Cambria" w:cs="Times New Roman"/>
                <w:sz w:val="24"/>
                <w:szCs w:val="24"/>
                <w:lang w:val="ro-RO"/>
              </w:rPr>
            </w:pPr>
            <w:r w:rsidRPr="00EA1BB2">
              <w:rPr>
                <w:rFonts w:ascii="Cambria" w:hAnsi="Cambria"/>
                <w:sz w:val="24"/>
                <w:szCs w:val="24"/>
                <w:lang w:val="ro-RO"/>
              </w:rPr>
              <w:t>-</w:t>
            </w:r>
          </w:p>
        </w:tc>
        <w:tc>
          <w:tcPr>
            <w:tcW w:w="0" w:type="auto"/>
            <w:noWrap/>
          </w:tcPr>
          <w:p w14:paraId="5A869BC7" w14:textId="77777777" w:rsidR="00414AE2" w:rsidRPr="00EA1BB2" w:rsidRDefault="00414AE2" w:rsidP="00414AE2">
            <w:pPr>
              <w:spacing w:line="360" w:lineRule="auto"/>
              <w:jc w:val="center"/>
              <w:rPr>
                <w:rFonts w:ascii="Cambria" w:eastAsia="Times New Roman" w:hAnsi="Cambria" w:cs="Times New Roman"/>
                <w:sz w:val="24"/>
                <w:szCs w:val="24"/>
                <w:lang w:val="ro-RO"/>
              </w:rPr>
            </w:pPr>
            <w:r w:rsidRPr="00EA1BB2">
              <w:rPr>
                <w:rFonts w:ascii="Cambria" w:hAnsi="Cambria"/>
                <w:sz w:val="24"/>
                <w:szCs w:val="24"/>
                <w:lang w:val="ro-RO"/>
              </w:rPr>
              <w:t>-</w:t>
            </w:r>
          </w:p>
        </w:tc>
        <w:tc>
          <w:tcPr>
            <w:tcW w:w="785" w:type="dxa"/>
            <w:noWrap/>
          </w:tcPr>
          <w:p w14:paraId="791317C0" w14:textId="77777777" w:rsidR="00414AE2" w:rsidRPr="00EA1BB2" w:rsidRDefault="00414AE2" w:rsidP="00414AE2">
            <w:pPr>
              <w:spacing w:line="360" w:lineRule="auto"/>
              <w:jc w:val="center"/>
              <w:rPr>
                <w:rFonts w:ascii="Cambria" w:eastAsia="Times New Roman" w:hAnsi="Cambria" w:cs="Times New Roman"/>
                <w:sz w:val="24"/>
                <w:szCs w:val="24"/>
                <w:lang w:val="ro-RO"/>
              </w:rPr>
            </w:pPr>
            <w:r w:rsidRPr="00EA1BB2">
              <w:rPr>
                <w:rFonts w:ascii="Cambria" w:hAnsi="Cambria"/>
                <w:sz w:val="24"/>
                <w:szCs w:val="24"/>
                <w:lang w:val="ro-RO"/>
              </w:rPr>
              <w:t>-</w:t>
            </w:r>
          </w:p>
        </w:tc>
        <w:tc>
          <w:tcPr>
            <w:tcW w:w="894" w:type="dxa"/>
            <w:noWrap/>
          </w:tcPr>
          <w:p w14:paraId="6C83279E" w14:textId="77777777" w:rsidR="00414AE2" w:rsidRPr="00EA1BB2" w:rsidRDefault="00414AE2" w:rsidP="00414AE2">
            <w:pPr>
              <w:spacing w:line="360" w:lineRule="auto"/>
              <w:jc w:val="center"/>
              <w:rPr>
                <w:rFonts w:ascii="Cambria" w:eastAsia="Times New Roman" w:hAnsi="Cambria" w:cs="Times New Roman"/>
                <w:sz w:val="24"/>
                <w:szCs w:val="24"/>
                <w:lang w:val="ro-RO"/>
              </w:rPr>
            </w:pPr>
            <w:r w:rsidRPr="00EA1BB2">
              <w:rPr>
                <w:rFonts w:ascii="Cambria" w:hAnsi="Cambria"/>
                <w:sz w:val="24"/>
                <w:szCs w:val="24"/>
                <w:lang w:val="ro-RO"/>
              </w:rPr>
              <w:t>24,58</w:t>
            </w:r>
          </w:p>
        </w:tc>
      </w:tr>
      <w:tr w:rsidR="00414AE2" w:rsidRPr="00EA1BB2" w14:paraId="596799B8" w14:textId="77777777" w:rsidTr="002E3D2C">
        <w:trPr>
          <w:trHeight w:val="340"/>
          <w:jc w:val="center"/>
        </w:trPr>
        <w:tc>
          <w:tcPr>
            <w:tcW w:w="1329" w:type="dxa"/>
            <w:noWrap/>
            <w:vAlign w:val="center"/>
          </w:tcPr>
          <w:p w14:paraId="08A460CD" w14:textId="77777777" w:rsidR="00414AE2" w:rsidRPr="00EA1BB2" w:rsidRDefault="00414AE2" w:rsidP="00414AE2">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BR4</w:t>
            </w:r>
          </w:p>
        </w:tc>
        <w:tc>
          <w:tcPr>
            <w:tcW w:w="0" w:type="auto"/>
          </w:tcPr>
          <w:p w14:paraId="2522425C" w14:textId="77777777" w:rsidR="00414AE2" w:rsidRPr="00EA1BB2" w:rsidRDefault="00414AE2" w:rsidP="00414AE2">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2E588B81" w14:textId="77777777" w:rsidR="00414AE2" w:rsidRPr="00EA1BB2" w:rsidRDefault="00414AE2" w:rsidP="00414AE2">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27,44</w:t>
            </w:r>
          </w:p>
        </w:tc>
        <w:tc>
          <w:tcPr>
            <w:tcW w:w="0" w:type="auto"/>
          </w:tcPr>
          <w:p w14:paraId="15ECA3AA" w14:textId="77777777" w:rsidR="00414AE2" w:rsidRPr="00EA1BB2" w:rsidRDefault="00414AE2" w:rsidP="00414AE2">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324F7565" w14:textId="77777777" w:rsidR="00414AE2" w:rsidRPr="00EA1BB2" w:rsidRDefault="00414AE2" w:rsidP="00414AE2">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2D5765DB" w14:textId="77777777" w:rsidR="00414AE2" w:rsidRPr="00EA1BB2" w:rsidRDefault="00414AE2" w:rsidP="00414AE2">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0CEB44F3" w14:textId="77777777" w:rsidR="00414AE2" w:rsidRPr="00EA1BB2" w:rsidRDefault="00414AE2" w:rsidP="00414AE2">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38C0CF35" w14:textId="77777777" w:rsidR="00414AE2" w:rsidRPr="00EA1BB2" w:rsidRDefault="00414AE2" w:rsidP="00414AE2">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57D9EF2E" w14:textId="77777777" w:rsidR="00414AE2" w:rsidRPr="00EA1BB2" w:rsidRDefault="00414AE2" w:rsidP="00414AE2">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785" w:type="dxa"/>
            <w:noWrap/>
          </w:tcPr>
          <w:p w14:paraId="5EB9AA20" w14:textId="77777777" w:rsidR="00414AE2" w:rsidRPr="00EA1BB2" w:rsidRDefault="00414AE2" w:rsidP="00414AE2">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894" w:type="dxa"/>
            <w:noWrap/>
            <w:vAlign w:val="center"/>
          </w:tcPr>
          <w:p w14:paraId="13C0757B" w14:textId="77777777" w:rsidR="00414AE2" w:rsidRPr="00EA1BB2" w:rsidRDefault="00414AE2" w:rsidP="00414AE2">
            <w:pPr>
              <w:spacing w:line="360" w:lineRule="auto"/>
              <w:jc w:val="center"/>
              <w:rPr>
                <w:rFonts w:ascii="Cambria" w:eastAsia="Times New Roman" w:hAnsi="Cambria" w:cs="Times New Roman"/>
                <w:sz w:val="24"/>
                <w:szCs w:val="24"/>
                <w:lang w:val="ro-RO"/>
              </w:rPr>
            </w:pPr>
          </w:p>
        </w:tc>
      </w:tr>
    </w:tbl>
    <w:p w14:paraId="7680FDDC" w14:textId="77777777" w:rsidR="002E3D2C" w:rsidRPr="00EA1BB2" w:rsidRDefault="00831372" w:rsidP="00A76AB0">
      <w:pPr>
        <w:spacing w:line="276" w:lineRule="auto"/>
        <w:jc w:val="both"/>
        <w:rPr>
          <w:rFonts w:ascii="Cambria" w:eastAsia="Times New Roman" w:hAnsi="Cambria" w:cs="Times New Roman"/>
          <w:szCs w:val="24"/>
        </w:rPr>
      </w:pPr>
      <w:r w:rsidRPr="00EA1BB2">
        <w:rPr>
          <w:rFonts w:ascii="Cambria" w:eastAsia="Times New Roman" w:hAnsi="Cambria" w:cs="Times New Roman"/>
          <w:szCs w:val="24"/>
        </w:rPr>
        <w:t>Valoarea-</w:t>
      </w:r>
      <w:r w:rsidR="000B506A" w:rsidRPr="00EA1BB2">
        <w:rPr>
          <w:rFonts w:ascii="Cambria" w:eastAsia="Times New Roman" w:hAnsi="Cambria" w:cs="Times New Roman"/>
          <w:szCs w:val="24"/>
        </w:rPr>
        <w:t xml:space="preserve">limită anuală pentru protecția sănătății umane a </w:t>
      </w:r>
      <w:r w:rsidR="002E3D2C" w:rsidRPr="00EA1BB2">
        <w:rPr>
          <w:rFonts w:ascii="Cambria" w:eastAsia="Times New Roman" w:hAnsi="Cambria" w:cs="Times New Roman"/>
          <w:szCs w:val="24"/>
        </w:rPr>
        <w:t>con</w:t>
      </w:r>
      <w:r w:rsidR="00B44687" w:rsidRPr="00EA1BB2">
        <w:rPr>
          <w:rFonts w:ascii="Cambria" w:eastAsia="Times New Roman" w:hAnsi="Cambria" w:cs="Times New Roman"/>
          <w:szCs w:val="24"/>
        </w:rPr>
        <w:t>centrației medii anuale pentru PM</w:t>
      </w:r>
      <w:r w:rsidR="00B44687" w:rsidRPr="00EA1BB2">
        <w:rPr>
          <w:rFonts w:ascii="Cambria" w:eastAsia="Times New Roman" w:hAnsi="Cambria" w:cs="Times New Roman"/>
          <w:szCs w:val="24"/>
          <w:vertAlign w:val="subscript"/>
        </w:rPr>
        <w:t>10</w:t>
      </w:r>
      <w:r w:rsidR="00B44687" w:rsidRPr="00EA1BB2">
        <w:rPr>
          <w:rFonts w:ascii="Cambria" w:eastAsia="Times New Roman" w:hAnsi="Cambria" w:cs="Times New Roman"/>
          <w:szCs w:val="24"/>
        </w:rPr>
        <w:t>este</w:t>
      </w:r>
      <w:r w:rsidR="002E3D2C" w:rsidRPr="00EA1BB2">
        <w:rPr>
          <w:rFonts w:ascii="Cambria" w:eastAsia="Times New Roman" w:hAnsi="Cambria" w:cs="Times New Roman"/>
          <w:szCs w:val="24"/>
        </w:rPr>
        <w:t xml:space="preserve"> 40 µg/m</w:t>
      </w:r>
      <w:r w:rsidR="002E3D2C" w:rsidRPr="00EA1BB2">
        <w:rPr>
          <w:rFonts w:ascii="Cambria" w:eastAsia="Times New Roman" w:hAnsi="Cambria" w:cs="Times New Roman"/>
          <w:szCs w:val="24"/>
          <w:vertAlign w:val="superscript"/>
        </w:rPr>
        <w:t>3</w:t>
      </w:r>
    </w:p>
    <w:p w14:paraId="53E6F9ED" w14:textId="77777777" w:rsidR="00A76AB0" w:rsidRPr="00EA1BB2" w:rsidRDefault="00A76AB0" w:rsidP="00A76AB0">
      <w:pPr>
        <w:spacing w:line="276" w:lineRule="auto"/>
        <w:jc w:val="both"/>
        <w:rPr>
          <w:rFonts w:ascii="Cambria" w:eastAsia="Times New Roman" w:hAnsi="Cambria" w:cs="Times New Roman"/>
          <w:szCs w:val="24"/>
        </w:rPr>
      </w:pPr>
      <w:r w:rsidRPr="00EA1BB2">
        <w:rPr>
          <w:rFonts w:ascii="Cambria" w:eastAsia="Times New Roman" w:hAnsi="Cambria" w:cs="Times New Roman"/>
          <w:szCs w:val="24"/>
        </w:rPr>
        <w:t xml:space="preserve">Sursa date: </w:t>
      </w:r>
      <w:hyperlink r:id="rId61" w:history="1">
        <w:r w:rsidRPr="00EA1BB2">
          <w:rPr>
            <w:rStyle w:val="Hyperlink"/>
            <w:rFonts w:ascii="Cambria" w:eastAsia="Times New Roman" w:hAnsi="Cambria" w:cs="Times New Roman"/>
            <w:szCs w:val="24"/>
          </w:rPr>
          <w:t>www.calitateaer.ro</w:t>
        </w:r>
      </w:hyperlink>
      <w:r w:rsidRPr="00EA1BB2">
        <w:rPr>
          <w:rFonts w:ascii="Cambria" w:eastAsia="Times New Roman" w:hAnsi="Cambria" w:cs="Times New Roman"/>
          <w:szCs w:val="24"/>
        </w:rPr>
        <w:t xml:space="preserve"> accesat la data de 11.07.2018</w:t>
      </w:r>
    </w:p>
    <w:p w14:paraId="5F0EE18C" w14:textId="77777777" w:rsidR="00AB3799" w:rsidRPr="00EA1BB2" w:rsidRDefault="00AB3799" w:rsidP="005B216D">
      <w:pPr>
        <w:spacing w:line="360" w:lineRule="auto"/>
      </w:pPr>
    </w:p>
    <w:p w14:paraId="58EF99A4" w14:textId="7F00663A" w:rsidR="00C6129E" w:rsidRDefault="0033579E" w:rsidP="0033579E">
      <w:pPr>
        <w:spacing w:line="360" w:lineRule="auto"/>
        <w:ind w:firstLine="708"/>
        <w:jc w:val="both"/>
        <w:rPr>
          <w:rFonts w:ascii="Cambria" w:eastAsia="Times New Roman" w:hAnsi="Cambria"/>
          <w:sz w:val="24"/>
          <w:szCs w:val="24"/>
        </w:rPr>
      </w:pPr>
      <w:r w:rsidRPr="00EA1BB2">
        <w:rPr>
          <w:rFonts w:ascii="Cambria" w:eastAsia="Times New Roman" w:hAnsi="Cambria"/>
          <w:sz w:val="24"/>
          <w:szCs w:val="24"/>
        </w:rPr>
        <w:t xml:space="preserve">În tabelul următor este prezentat numărul zilelor în care concentrația medie a depășit valoarea de 50 </w:t>
      </w:r>
      <w:r w:rsidRPr="00EA1BB2">
        <w:rPr>
          <w:rFonts w:ascii="Cambria" w:hAnsi="Cambria"/>
          <w:sz w:val="24"/>
        </w:rPr>
        <w:t>µg/m</w:t>
      </w:r>
      <w:r w:rsidRPr="00EA1BB2">
        <w:rPr>
          <w:rFonts w:ascii="Cambria" w:hAnsi="Cambria"/>
          <w:sz w:val="24"/>
          <w:vertAlign w:val="superscript"/>
        </w:rPr>
        <w:t>3</w:t>
      </w:r>
      <w:r w:rsidRPr="00EA1BB2">
        <w:rPr>
          <w:rFonts w:ascii="Cambria" w:eastAsia="Times New Roman" w:hAnsi="Cambria"/>
          <w:sz w:val="24"/>
          <w:szCs w:val="24"/>
        </w:rPr>
        <w:t xml:space="preserve"> la indicatorul particule în suspensie PM</w:t>
      </w:r>
      <w:r w:rsidRPr="00EA1BB2">
        <w:rPr>
          <w:rFonts w:ascii="Cambria" w:eastAsia="Times New Roman" w:hAnsi="Cambria"/>
          <w:sz w:val="24"/>
          <w:szCs w:val="24"/>
          <w:vertAlign w:val="subscript"/>
        </w:rPr>
        <w:t xml:space="preserve">10 </w:t>
      </w:r>
      <w:r w:rsidRPr="00EA1BB2">
        <w:rPr>
          <w:rFonts w:ascii="Cambria" w:eastAsia="Times New Roman" w:hAnsi="Cambria"/>
          <w:sz w:val="24"/>
          <w:szCs w:val="24"/>
        </w:rPr>
        <w:t>determinate gravimetric în stațiile automate de monitorizare a calității aerului, corespunzătoare anilor 2008-2017.</w:t>
      </w:r>
    </w:p>
    <w:p w14:paraId="4D5EB455" w14:textId="77777777" w:rsidR="00C31A2A" w:rsidRPr="00EA1BB2" w:rsidRDefault="00C31A2A" w:rsidP="0033579E">
      <w:pPr>
        <w:spacing w:line="360" w:lineRule="auto"/>
        <w:ind w:firstLine="708"/>
        <w:jc w:val="both"/>
      </w:pPr>
    </w:p>
    <w:p w14:paraId="7AE603FD" w14:textId="157364D3" w:rsidR="00AB3799" w:rsidRPr="00EA1BB2" w:rsidRDefault="00AB3799" w:rsidP="00AB3799">
      <w:pPr>
        <w:pStyle w:val="Caption"/>
        <w:keepNext/>
        <w:spacing w:after="0" w:line="360" w:lineRule="auto"/>
        <w:ind w:firstLine="708"/>
        <w:jc w:val="both"/>
        <w:rPr>
          <w:rFonts w:ascii="Cambria" w:eastAsia="Times New Roman" w:hAnsi="Cambria" w:cs="Times New Roman"/>
          <w:b w:val="0"/>
          <w:szCs w:val="24"/>
        </w:rPr>
      </w:pPr>
      <w:bookmarkStart w:id="118" w:name="_Toc526889783"/>
      <w:r w:rsidRPr="00EA1BB2">
        <w:rPr>
          <w:rFonts w:ascii="Cambria" w:hAnsi="Cambria"/>
          <w:szCs w:val="24"/>
        </w:rPr>
        <w:t xml:space="preserve">Tabelul nr. </w:t>
      </w:r>
      <w:r w:rsidR="000A2FE7" w:rsidRPr="00EA1BB2">
        <w:rPr>
          <w:rFonts w:ascii="Cambria" w:hAnsi="Cambria"/>
          <w:szCs w:val="24"/>
        </w:rPr>
        <w:fldChar w:fldCharType="begin"/>
      </w:r>
      <w:r w:rsidR="000A2FE7" w:rsidRPr="00EA1BB2">
        <w:rPr>
          <w:rFonts w:ascii="Cambria" w:hAnsi="Cambria"/>
          <w:szCs w:val="24"/>
        </w:rPr>
        <w:instrText xml:space="preserve"> STYLEREF 1 \s </w:instrText>
      </w:r>
      <w:r w:rsidR="000A2FE7" w:rsidRPr="00EA1BB2">
        <w:rPr>
          <w:rFonts w:ascii="Cambria" w:hAnsi="Cambria"/>
          <w:szCs w:val="24"/>
        </w:rPr>
        <w:fldChar w:fldCharType="separate"/>
      </w:r>
      <w:r w:rsidR="00567555">
        <w:rPr>
          <w:rFonts w:ascii="Cambria" w:hAnsi="Cambria"/>
          <w:noProof/>
          <w:szCs w:val="24"/>
        </w:rPr>
        <w:t>3</w:t>
      </w:r>
      <w:r w:rsidR="000A2FE7" w:rsidRPr="00EA1BB2">
        <w:rPr>
          <w:rFonts w:ascii="Cambria" w:hAnsi="Cambria"/>
          <w:szCs w:val="24"/>
        </w:rPr>
        <w:fldChar w:fldCharType="end"/>
      </w:r>
      <w:r w:rsidR="000A2FE7" w:rsidRPr="00EA1BB2">
        <w:rPr>
          <w:rFonts w:ascii="Cambria" w:hAnsi="Cambria"/>
          <w:szCs w:val="24"/>
        </w:rPr>
        <w:noBreakHyphen/>
      </w:r>
      <w:r w:rsidR="000A2FE7" w:rsidRPr="00EA1BB2">
        <w:rPr>
          <w:rFonts w:ascii="Cambria" w:hAnsi="Cambria"/>
          <w:szCs w:val="24"/>
        </w:rPr>
        <w:fldChar w:fldCharType="begin"/>
      </w:r>
      <w:r w:rsidR="000A2FE7" w:rsidRPr="00EA1BB2">
        <w:rPr>
          <w:rFonts w:ascii="Cambria" w:hAnsi="Cambria"/>
          <w:szCs w:val="24"/>
        </w:rPr>
        <w:instrText xml:space="preserve"> SEQ Tabelul_nr. \* ARABIC \s 1 </w:instrText>
      </w:r>
      <w:r w:rsidR="000A2FE7" w:rsidRPr="00EA1BB2">
        <w:rPr>
          <w:rFonts w:ascii="Cambria" w:hAnsi="Cambria"/>
          <w:szCs w:val="24"/>
        </w:rPr>
        <w:fldChar w:fldCharType="separate"/>
      </w:r>
      <w:r w:rsidR="00567555">
        <w:rPr>
          <w:rFonts w:ascii="Cambria" w:hAnsi="Cambria"/>
          <w:noProof/>
          <w:szCs w:val="24"/>
        </w:rPr>
        <w:t>14</w:t>
      </w:r>
      <w:r w:rsidR="000A2FE7" w:rsidRPr="00EA1BB2">
        <w:rPr>
          <w:rFonts w:ascii="Cambria" w:hAnsi="Cambria"/>
          <w:szCs w:val="24"/>
        </w:rPr>
        <w:fldChar w:fldCharType="end"/>
      </w:r>
      <w:r w:rsidRPr="00EA1BB2">
        <w:rPr>
          <w:rFonts w:ascii="Cambria" w:hAnsi="Cambria"/>
          <w:noProof/>
          <w:szCs w:val="24"/>
        </w:rPr>
        <w:t xml:space="preserve"> – Numărul </w:t>
      </w:r>
      <w:r w:rsidR="0070699D" w:rsidRPr="00EA1BB2">
        <w:rPr>
          <w:rFonts w:ascii="Cambria" w:hAnsi="Cambria"/>
          <w:noProof/>
          <w:szCs w:val="24"/>
        </w:rPr>
        <w:t xml:space="preserve">anual </w:t>
      </w:r>
      <w:r w:rsidRPr="00EA1BB2">
        <w:rPr>
          <w:rFonts w:ascii="Cambria" w:hAnsi="Cambria"/>
          <w:noProof/>
          <w:szCs w:val="24"/>
        </w:rPr>
        <w:t>de depă</w:t>
      </w:r>
      <w:r w:rsidR="002074AA" w:rsidRPr="00EA1BB2">
        <w:rPr>
          <w:rFonts w:ascii="Cambria" w:hAnsi="Cambria"/>
          <w:noProof/>
          <w:szCs w:val="24"/>
        </w:rPr>
        <w:t>și</w:t>
      </w:r>
      <w:r w:rsidRPr="00EA1BB2">
        <w:rPr>
          <w:rFonts w:ascii="Cambria" w:hAnsi="Cambria"/>
          <w:noProof/>
          <w:szCs w:val="24"/>
        </w:rPr>
        <w:t xml:space="preserve">ri </w:t>
      </w:r>
      <w:r w:rsidR="002074AA" w:rsidRPr="00EA1BB2">
        <w:rPr>
          <w:rFonts w:ascii="Cambria" w:eastAsia="Times New Roman" w:hAnsi="Cambria" w:cs="Times New Roman"/>
          <w:szCs w:val="24"/>
        </w:rPr>
        <w:t>a valorii-limită</w:t>
      </w:r>
      <w:r w:rsidR="00A909DC" w:rsidRPr="00EA1BB2">
        <w:rPr>
          <w:rFonts w:ascii="Cambria" w:eastAsia="Times New Roman" w:hAnsi="Cambria" w:cs="Times New Roman"/>
          <w:szCs w:val="24"/>
        </w:rPr>
        <w:t xml:space="preserve"> </w:t>
      </w:r>
      <w:r w:rsidR="002074AA" w:rsidRPr="00EA1BB2">
        <w:rPr>
          <w:rFonts w:ascii="Cambria" w:eastAsia="Times New Roman" w:hAnsi="Cambria" w:cs="Times New Roman"/>
          <w:szCs w:val="24"/>
        </w:rPr>
        <w:t xml:space="preserve">zilnice </w:t>
      </w:r>
      <w:r w:rsidRPr="00EA1BB2">
        <w:rPr>
          <w:rFonts w:ascii="Cambria" w:eastAsia="Times New Roman" w:hAnsi="Cambria" w:cs="Times New Roman"/>
          <w:szCs w:val="24"/>
        </w:rPr>
        <w:t>pentru pulberi în suspensie (PM</w:t>
      </w:r>
      <w:r w:rsidRPr="00EA1BB2">
        <w:rPr>
          <w:rFonts w:ascii="Cambria" w:eastAsia="Times New Roman" w:hAnsi="Cambria" w:cs="Times New Roman"/>
          <w:szCs w:val="24"/>
          <w:vertAlign w:val="subscript"/>
        </w:rPr>
        <w:t>10</w:t>
      </w:r>
      <w:r w:rsidRPr="00EA1BB2">
        <w:rPr>
          <w:rFonts w:ascii="Cambria" w:eastAsia="Times New Roman" w:hAnsi="Cambria" w:cs="Times New Roman"/>
          <w:szCs w:val="24"/>
        </w:rPr>
        <w:t>), înregistrat</w:t>
      </w:r>
      <w:r w:rsidR="0070699D" w:rsidRPr="00EA1BB2">
        <w:rPr>
          <w:rFonts w:ascii="Cambria" w:eastAsia="Times New Roman" w:hAnsi="Cambria" w:cs="Times New Roman"/>
          <w:szCs w:val="24"/>
        </w:rPr>
        <w:t>e</w:t>
      </w:r>
      <w:r w:rsidRPr="00EA1BB2">
        <w:rPr>
          <w:rFonts w:ascii="Cambria" w:eastAsia="Times New Roman" w:hAnsi="Cambria" w:cs="Times New Roman"/>
          <w:szCs w:val="24"/>
        </w:rPr>
        <w:t xml:space="preserve"> la stațiile de monitorizare a aerului din zona Brăila, în perioada 2008-2017</w:t>
      </w:r>
      <w:bookmarkEnd w:id="118"/>
    </w:p>
    <w:tbl>
      <w:tblPr>
        <w:tblStyle w:val="TableGrid"/>
        <w:tblW w:w="9336" w:type="dxa"/>
        <w:jc w:val="center"/>
        <w:tblLook w:val="04A0" w:firstRow="1" w:lastRow="0" w:firstColumn="1" w:lastColumn="0" w:noHBand="0" w:noVBand="1"/>
      </w:tblPr>
      <w:tblGrid>
        <w:gridCol w:w="1329"/>
        <w:gridCol w:w="787"/>
        <w:gridCol w:w="787"/>
        <w:gridCol w:w="787"/>
        <w:gridCol w:w="786"/>
        <w:gridCol w:w="786"/>
        <w:gridCol w:w="786"/>
        <w:gridCol w:w="786"/>
        <w:gridCol w:w="786"/>
        <w:gridCol w:w="803"/>
        <w:gridCol w:w="913"/>
      </w:tblGrid>
      <w:tr w:rsidR="00AB3799" w:rsidRPr="00EA1BB2" w14:paraId="056D69B2" w14:textId="77777777" w:rsidTr="00F96DB3">
        <w:trPr>
          <w:trHeight w:val="105"/>
          <w:tblHeader/>
          <w:jc w:val="center"/>
        </w:trPr>
        <w:tc>
          <w:tcPr>
            <w:tcW w:w="1329" w:type="dxa"/>
            <w:vMerge w:val="restart"/>
            <w:shd w:val="clear" w:color="auto" w:fill="BDD6EE" w:themeFill="accent1" w:themeFillTint="66"/>
            <w:noWrap/>
            <w:vAlign w:val="center"/>
          </w:tcPr>
          <w:p w14:paraId="6533F1D3" w14:textId="77777777" w:rsidR="00AB3799" w:rsidRPr="00EA1BB2" w:rsidRDefault="00AB3799" w:rsidP="00F96DB3">
            <w:pPr>
              <w:spacing w:line="360" w:lineRule="auto"/>
              <w:jc w:val="center"/>
              <w:rPr>
                <w:rFonts w:ascii="Cambria" w:eastAsia="Times New Roman" w:hAnsi="Cambria" w:cs="Times New Roman"/>
                <w:b/>
                <w:sz w:val="20"/>
                <w:szCs w:val="24"/>
                <w:lang w:val="ro-RO"/>
              </w:rPr>
            </w:pPr>
            <w:r w:rsidRPr="00EA1BB2">
              <w:rPr>
                <w:rFonts w:ascii="Cambria" w:eastAsia="Times New Roman" w:hAnsi="Cambria" w:cs="Times New Roman"/>
                <w:b/>
                <w:sz w:val="20"/>
                <w:szCs w:val="24"/>
                <w:lang w:val="ro-RO"/>
              </w:rPr>
              <w:t xml:space="preserve">Stația de </w:t>
            </w:r>
          </w:p>
          <w:p w14:paraId="14D121AB" w14:textId="77777777" w:rsidR="00AB3799" w:rsidRPr="00EA1BB2" w:rsidRDefault="00AB3799" w:rsidP="00F96DB3">
            <w:pPr>
              <w:spacing w:line="360" w:lineRule="auto"/>
              <w:ind w:left="-110" w:right="-98"/>
              <w:jc w:val="center"/>
              <w:rPr>
                <w:rFonts w:ascii="Cambria" w:eastAsia="Times New Roman" w:hAnsi="Cambria" w:cs="Times New Roman"/>
                <w:b/>
                <w:sz w:val="24"/>
                <w:szCs w:val="24"/>
                <w:lang w:val="ro-RO"/>
              </w:rPr>
            </w:pPr>
            <w:r w:rsidRPr="00EA1BB2">
              <w:rPr>
                <w:rFonts w:ascii="Cambria" w:eastAsia="Times New Roman" w:hAnsi="Cambria" w:cs="Times New Roman"/>
                <w:b/>
                <w:sz w:val="20"/>
                <w:szCs w:val="24"/>
                <w:lang w:val="ro-RO"/>
              </w:rPr>
              <w:t>monitorizare</w:t>
            </w:r>
          </w:p>
        </w:tc>
        <w:tc>
          <w:tcPr>
            <w:tcW w:w="8007" w:type="dxa"/>
            <w:gridSpan w:val="10"/>
            <w:shd w:val="clear" w:color="auto" w:fill="BDD6EE" w:themeFill="accent1" w:themeFillTint="66"/>
          </w:tcPr>
          <w:p w14:paraId="360553D2" w14:textId="77777777" w:rsidR="00AB3799" w:rsidRPr="00EA1BB2" w:rsidRDefault="002074AA" w:rsidP="002074AA">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Numărul</w:t>
            </w:r>
            <w:r w:rsidR="0070699D" w:rsidRPr="00EA1BB2">
              <w:rPr>
                <w:rFonts w:ascii="Cambria" w:eastAsia="Times New Roman" w:hAnsi="Cambria" w:cs="Times New Roman"/>
                <w:b/>
                <w:sz w:val="24"/>
                <w:szCs w:val="24"/>
                <w:lang w:val="ro-RO"/>
              </w:rPr>
              <w:t xml:space="preserve"> anual</w:t>
            </w:r>
            <w:r w:rsidRPr="00EA1BB2">
              <w:rPr>
                <w:rFonts w:ascii="Cambria" w:eastAsia="Times New Roman" w:hAnsi="Cambria" w:cs="Times New Roman"/>
                <w:b/>
                <w:sz w:val="24"/>
                <w:szCs w:val="24"/>
                <w:lang w:val="ro-RO"/>
              </w:rPr>
              <w:t xml:space="preserve"> de depășiri a valorii-limită zilnice</w:t>
            </w:r>
          </w:p>
        </w:tc>
      </w:tr>
      <w:tr w:rsidR="00AB3799" w:rsidRPr="00EA1BB2" w14:paraId="36A5C6AB" w14:textId="77777777" w:rsidTr="0070699D">
        <w:trPr>
          <w:trHeight w:val="286"/>
          <w:tblHeader/>
          <w:jc w:val="center"/>
        </w:trPr>
        <w:tc>
          <w:tcPr>
            <w:tcW w:w="1329" w:type="dxa"/>
            <w:vMerge/>
            <w:shd w:val="clear" w:color="auto" w:fill="BDD6EE" w:themeFill="accent1" w:themeFillTint="66"/>
            <w:noWrap/>
            <w:vAlign w:val="center"/>
          </w:tcPr>
          <w:p w14:paraId="517C934D" w14:textId="77777777" w:rsidR="00AB3799" w:rsidRPr="00EA1BB2" w:rsidRDefault="00AB3799" w:rsidP="00F96DB3">
            <w:pPr>
              <w:spacing w:line="360" w:lineRule="auto"/>
              <w:jc w:val="center"/>
              <w:rPr>
                <w:rFonts w:ascii="Cambria" w:eastAsia="Times New Roman" w:hAnsi="Cambria" w:cs="Times New Roman"/>
                <w:b/>
                <w:sz w:val="24"/>
                <w:szCs w:val="24"/>
                <w:lang w:val="ro-RO"/>
              </w:rPr>
            </w:pPr>
          </w:p>
        </w:tc>
        <w:tc>
          <w:tcPr>
            <w:tcW w:w="0" w:type="auto"/>
            <w:shd w:val="clear" w:color="auto" w:fill="BDD6EE" w:themeFill="accent1" w:themeFillTint="66"/>
          </w:tcPr>
          <w:p w14:paraId="332BCF4F" w14:textId="77777777" w:rsidR="00AB3799" w:rsidRPr="00EA1BB2" w:rsidRDefault="00AB3799" w:rsidP="00F96DB3">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2008</w:t>
            </w:r>
          </w:p>
        </w:tc>
        <w:tc>
          <w:tcPr>
            <w:tcW w:w="0" w:type="auto"/>
            <w:shd w:val="clear" w:color="auto" w:fill="BDD6EE" w:themeFill="accent1" w:themeFillTint="66"/>
          </w:tcPr>
          <w:p w14:paraId="32BCD77A" w14:textId="77777777" w:rsidR="00AB3799" w:rsidRPr="00EA1BB2" w:rsidRDefault="00AB3799" w:rsidP="00F96DB3">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2009</w:t>
            </w:r>
          </w:p>
        </w:tc>
        <w:tc>
          <w:tcPr>
            <w:tcW w:w="0" w:type="auto"/>
            <w:shd w:val="clear" w:color="auto" w:fill="BDD6EE" w:themeFill="accent1" w:themeFillTint="66"/>
          </w:tcPr>
          <w:p w14:paraId="11A32BA1" w14:textId="77777777" w:rsidR="00AB3799" w:rsidRPr="00EA1BB2" w:rsidRDefault="00AB3799" w:rsidP="00F96DB3">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2010</w:t>
            </w:r>
          </w:p>
        </w:tc>
        <w:tc>
          <w:tcPr>
            <w:tcW w:w="0" w:type="auto"/>
            <w:shd w:val="clear" w:color="auto" w:fill="BDD6EE" w:themeFill="accent1" w:themeFillTint="66"/>
          </w:tcPr>
          <w:p w14:paraId="3BCD7DD4" w14:textId="77777777" w:rsidR="00AB3799" w:rsidRPr="00EA1BB2" w:rsidRDefault="00AB3799" w:rsidP="00F96DB3">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2011</w:t>
            </w:r>
          </w:p>
        </w:tc>
        <w:tc>
          <w:tcPr>
            <w:tcW w:w="0" w:type="auto"/>
            <w:shd w:val="clear" w:color="auto" w:fill="BDD6EE" w:themeFill="accent1" w:themeFillTint="66"/>
          </w:tcPr>
          <w:p w14:paraId="55610CA6" w14:textId="77777777" w:rsidR="00AB3799" w:rsidRPr="00EA1BB2" w:rsidRDefault="00AB3799" w:rsidP="00F96DB3">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2012</w:t>
            </w:r>
          </w:p>
        </w:tc>
        <w:tc>
          <w:tcPr>
            <w:tcW w:w="0" w:type="auto"/>
            <w:shd w:val="clear" w:color="auto" w:fill="BDD6EE" w:themeFill="accent1" w:themeFillTint="66"/>
            <w:noWrap/>
            <w:vAlign w:val="center"/>
          </w:tcPr>
          <w:p w14:paraId="072F25F5" w14:textId="77777777" w:rsidR="00AB3799" w:rsidRPr="00EA1BB2" w:rsidRDefault="00AB3799" w:rsidP="00F96DB3">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2013</w:t>
            </w:r>
          </w:p>
        </w:tc>
        <w:tc>
          <w:tcPr>
            <w:tcW w:w="0" w:type="auto"/>
            <w:shd w:val="clear" w:color="auto" w:fill="BDD6EE" w:themeFill="accent1" w:themeFillTint="66"/>
            <w:noWrap/>
            <w:vAlign w:val="center"/>
          </w:tcPr>
          <w:p w14:paraId="36CFDFD4" w14:textId="77777777" w:rsidR="00AB3799" w:rsidRPr="00EA1BB2" w:rsidRDefault="00AB3799" w:rsidP="00F96DB3">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2014</w:t>
            </w:r>
          </w:p>
        </w:tc>
        <w:tc>
          <w:tcPr>
            <w:tcW w:w="0" w:type="auto"/>
            <w:shd w:val="clear" w:color="auto" w:fill="BDD6EE" w:themeFill="accent1" w:themeFillTint="66"/>
            <w:noWrap/>
            <w:vAlign w:val="center"/>
          </w:tcPr>
          <w:p w14:paraId="5FCA87DA" w14:textId="77777777" w:rsidR="00AB3799" w:rsidRPr="00EA1BB2" w:rsidRDefault="00AB3799" w:rsidP="00F96DB3">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2015</w:t>
            </w:r>
          </w:p>
        </w:tc>
        <w:tc>
          <w:tcPr>
            <w:tcW w:w="801" w:type="dxa"/>
            <w:shd w:val="clear" w:color="auto" w:fill="BDD6EE" w:themeFill="accent1" w:themeFillTint="66"/>
            <w:noWrap/>
            <w:vAlign w:val="center"/>
          </w:tcPr>
          <w:p w14:paraId="77CAAD1A" w14:textId="77777777" w:rsidR="00AB3799" w:rsidRPr="00EA1BB2" w:rsidRDefault="00AB3799" w:rsidP="00F96DB3">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2016</w:t>
            </w:r>
          </w:p>
        </w:tc>
        <w:tc>
          <w:tcPr>
            <w:tcW w:w="911" w:type="dxa"/>
            <w:shd w:val="clear" w:color="auto" w:fill="BDD6EE" w:themeFill="accent1" w:themeFillTint="66"/>
            <w:noWrap/>
            <w:vAlign w:val="center"/>
          </w:tcPr>
          <w:p w14:paraId="355FC8C4" w14:textId="7B791481" w:rsidR="00AB3799" w:rsidRPr="00EA1BB2" w:rsidRDefault="00AB3799" w:rsidP="003948BC">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2017</w:t>
            </w:r>
          </w:p>
        </w:tc>
      </w:tr>
      <w:tr w:rsidR="0070699D" w:rsidRPr="00EA1BB2" w14:paraId="70343936" w14:textId="77777777" w:rsidTr="0070699D">
        <w:trPr>
          <w:trHeight w:val="340"/>
          <w:jc w:val="center"/>
        </w:trPr>
        <w:tc>
          <w:tcPr>
            <w:tcW w:w="1329" w:type="dxa"/>
            <w:noWrap/>
            <w:vAlign w:val="center"/>
          </w:tcPr>
          <w:p w14:paraId="10C36232" w14:textId="77777777" w:rsidR="0070699D" w:rsidRPr="00EA1BB2" w:rsidRDefault="0070699D" w:rsidP="0070699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BR1</w:t>
            </w:r>
          </w:p>
        </w:tc>
        <w:tc>
          <w:tcPr>
            <w:tcW w:w="0" w:type="auto"/>
          </w:tcPr>
          <w:p w14:paraId="329AC400" w14:textId="77777777" w:rsidR="0070699D" w:rsidRPr="00EA1BB2" w:rsidRDefault="0070699D" w:rsidP="0070699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765DF170" w14:textId="77777777" w:rsidR="0070699D" w:rsidRPr="00EA1BB2" w:rsidRDefault="0070699D" w:rsidP="0070699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13</w:t>
            </w:r>
          </w:p>
        </w:tc>
        <w:tc>
          <w:tcPr>
            <w:tcW w:w="0" w:type="auto"/>
          </w:tcPr>
          <w:p w14:paraId="0D0453CC" w14:textId="77777777" w:rsidR="0070699D" w:rsidRPr="00EA1BB2" w:rsidRDefault="0070699D" w:rsidP="0070699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9</w:t>
            </w:r>
          </w:p>
        </w:tc>
        <w:tc>
          <w:tcPr>
            <w:tcW w:w="0" w:type="auto"/>
          </w:tcPr>
          <w:p w14:paraId="7A0F6131" w14:textId="77777777" w:rsidR="0070699D" w:rsidRPr="00EA1BB2" w:rsidRDefault="0070699D" w:rsidP="0070699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3B109BD2" w14:textId="77777777" w:rsidR="0070699D" w:rsidRPr="00EA1BB2" w:rsidRDefault="0070699D" w:rsidP="0070699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0736AD6C" w14:textId="77777777" w:rsidR="0070699D" w:rsidRPr="00EA1BB2" w:rsidRDefault="0070699D" w:rsidP="0070699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57A7AB73" w14:textId="77777777" w:rsidR="0070699D" w:rsidRPr="00EA1BB2" w:rsidRDefault="0070699D" w:rsidP="0070699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566942DA" w14:textId="77777777" w:rsidR="0070699D" w:rsidRPr="00EA1BB2" w:rsidRDefault="0070699D" w:rsidP="0070699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801" w:type="dxa"/>
            <w:noWrap/>
          </w:tcPr>
          <w:p w14:paraId="1F368A80" w14:textId="77777777" w:rsidR="0070699D" w:rsidRPr="00EA1BB2" w:rsidRDefault="0070699D" w:rsidP="0070699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911" w:type="dxa"/>
            <w:noWrap/>
            <w:vAlign w:val="center"/>
          </w:tcPr>
          <w:p w14:paraId="0A6C1A28" w14:textId="77777777" w:rsidR="0070699D" w:rsidRPr="00EA1BB2" w:rsidRDefault="0070699D" w:rsidP="0070699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w:t>
            </w:r>
          </w:p>
        </w:tc>
      </w:tr>
      <w:tr w:rsidR="0070699D" w:rsidRPr="00EA1BB2" w14:paraId="02D43B5D" w14:textId="77777777" w:rsidTr="0070699D">
        <w:trPr>
          <w:trHeight w:val="340"/>
          <w:jc w:val="center"/>
        </w:trPr>
        <w:tc>
          <w:tcPr>
            <w:tcW w:w="1329" w:type="dxa"/>
            <w:noWrap/>
            <w:vAlign w:val="center"/>
          </w:tcPr>
          <w:p w14:paraId="1E83ADCD" w14:textId="77777777" w:rsidR="0070699D" w:rsidRPr="00EA1BB2" w:rsidRDefault="0070699D" w:rsidP="0070699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BR2</w:t>
            </w:r>
          </w:p>
        </w:tc>
        <w:tc>
          <w:tcPr>
            <w:tcW w:w="0" w:type="auto"/>
          </w:tcPr>
          <w:p w14:paraId="3CAF5B94" w14:textId="77777777" w:rsidR="0070699D" w:rsidRPr="00EA1BB2" w:rsidRDefault="0070699D" w:rsidP="0070699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2E5908E5" w14:textId="77777777" w:rsidR="0070699D" w:rsidRPr="00EA1BB2" w:rsidRDefault="0070699D" w:rsidP="0070699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28B701A6" w14:textId="77777777" w:rsidR="0070699D" w:rsidRPr="00EA1BB2" w:rsidRDefault="0070699D" w:rsidP="0070699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0FC70996" w14:textId="77777777" w:rsidR="0070699D" w:rsidRPr="00EA1BB2" w:rsidRDefault="0070699D" w:rsidP="0070699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61C76F85" w14:textId="77777777" w:rsidR="0070699D" w:rsidRPr="00EA1BB2" w:rsidRDefault="0070699D" w:rsidP="0070699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3B0E2BB7" w14:textId="77777777" w:rsidR="0070699D" w:rsidRPr="00EA1BB2" w:rsidRDefault="0070699D" w:rsidP="0070699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29AFE2A0" w14:textId="77777777" w:rsidR="0070699D" w:rsidRPr="00EA1BB2" w:rsidRDefault="0070699D" w:rsidP="0070699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5B95D11E" w14:textId="77777777" w:rsidR="0070699D" w:rsidRPr="00EA1BB2" w:rsidRDefault="0070699D" w:rsidP="0070699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801" w:type="dxa"/>
            <w:noWrap/>
          </w:tcPr>
          <w:p w14:paraId="1D844032" w14:textId="77777777" w:rsidR="0070699D" w:rsidRPr="00EA1BB2" w:rsidRDefault="0070699D" w:rsidP="0070699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911" w:type="dxa"/>
            <w:noWrap/>
          </w:tcPr>
          <w:p w14:paraId="759F7EE6" w14:textId="77777777" w:rsidR="0070699D" w:rsidRPr="00EA1BB2" w:rsidRDefault="0070699D" w:rsidP="0070699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r>
      <w:tr w:rsidR="0070699D" w:rsidRPr="00EA1BB2" w14:paraId="7A0E860C" w14:textId="77777777" w:rsidTr="0070699D">
        <w:trPr>
          <w:trHeight w:val="340"/>
          <w:jc w:val="center"/>
        </w:trPr>
        <w:tc>
          <w:tcPr>
            <w:tcW w:w="1329" w:type="dxa"/>
            <w:noWrap/>
            <w:vAlign w:val="center"/>
          </w:tcPr>
          <w:p w14:paraId="22F6115D" w14:textId="77777777" w:rsidR="0070699D" w:rsidRPr="00EA1BB2" w:rsidRDefault="0070699D" w:rsidP="0070699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BR3</w:t>
            </w:r>
          </w:p>
        </w:tc>
        <w:tc>
          <w:tcPr>
            <w:tcW w:w="0" w:type="auto"/>
          </w:tcPr>
          <w:p w14:paraId="5504E791" w14:textId="77777777" w:rsidR="0070699D" w:rsidRPr="00EA1BB2" w:rsidRDefault="0070699D" w:rsidP="0070699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38347ACC" w14:textId="77777777" w:rsidR="0070699D" w:rsidRPr="00EA1BB2" w:rsidRDefault="0070699D" w:rsidP="0070699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3</w:t>
            </w:r>
          </w:p>
        </w:tc>
        <w:tc>
          <w:tcPr>
            <w:tcW w:w="0" w:type="auto"/>
          </w:tcPr>
          <w:p w14:paraId="5057A4C6" w14:textId="77777777" w:rsidR="0070699D" w:rsidRPr="00EA1BB2" w:rsidRDefault="0070699D" w:rsidP="0070699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4</w:t>
            </w:r>
          </w:p>
        </w:tc>
        <w:tc>
          <w:tcPr>
            <w:tcW w:w="0" w:type="auto"/>
          </w:tcPr>
          <w:p w14:paraId="4D591067" w14:textId="77777777" w:rsidR="0070699D" w:rsidRPr="00EA1BB2" w:rsidRDefault="0070699D" w:rsidP="0070699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10</w:t>
            </w:r>
          </w:p>
        </w:tc>
        <w:tc>
          <w:tcPr>
            <w:tcW w:w="0" w:type="auto"/>
          </w:tcPr>
          <w:p w14:paraId="6CD71C67" w14:textId="77777777" w:rsidR="0070699D" w:rsidRPr="00EA1BB2" w:rsidRDefault="0070699D" w:rsidP="0070699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23</w:t>
            </w:r>
          </w:p>
        </w:tc>
        <w:tc>
          <w:tcPr>
            <w:tcW w:w="0" w:type="auto"/>
            <w:noWrap/>
          </w:tcPr>
          <w:p w14:paraId="13698538" w14:textId="77777777" w:rsidR="0070699D" w:rsidRPr="00EA1BB2" w:rsidRDefault="0070699D" w:rsidP="0070699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19</w:t>
            </w:r>
          </w:p>
        </w:tc>
        <w:tc>
          <w:tcPr>
            <w:tcW w:w="0" w:type="auto"/>
            <w:noWrap/>
          </w:tcPr>
          <w:p w14:paraId="52287B1A" w14:textId="77777777" w:rsidR="0070699D" w:rsidRPr="00EA1BB2" w:rsidRDefault="0070699D" w:rsidP="0070699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76077267" w14:textId="77777777" w:rsidR="0070699D" w:rsidRPr="00EA1BB2" w:rsidRDefault="0070699D" w:rsidP="0070699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801" w:type="dxa"/>
            <w:noWrap/>
          </w:tcPr>
          <w:p w14:paraId="16BCD115" w14:textId="77777777" w:rsidR="0070699D" w:rsidRPr="00EA1BB2" w:rsidRDefault="0070699D" w:rsidP="0070699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911" w:type="dxa"/>
            <w:noWrap/>
          </w:tcPr>
          <w:p w14:paraId="64ADC940" w14:textId="77777777" w:rsidR="0070699D" w:rsidRPr="00EA1BB2" w:rsidRDefault="0070699D" w:rsidP="0070699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3</w:t>
            </w:r>
          </w:p>
        </w:tc>
      </w:tr>
      <w:tr w:rsidR="0070699D" w:rsidRPr="00EA1BB2" w14:paraId="341C0292" w14:textId="77777777" w:rsidTr="0070699D">
        <w:trPr>
          <w:trHeight w:val="340"/>
          <w:jc w:val="center"/>
        </w:trPr>
        <w:tc>
          <w:tcPr>
            <w:tcW w:w="1329" w:type="dxa"/>
            <w:noWrap/>
            <w:vAlign w:val="center"/>
          </w:tcPr>
          <w:p w14:paraId="1A39667C" w14:textId="77777777" w:rsidR="0070699D" w:rsidRPr="00EA1BB2" w:rsidRDefault="0070699D" w:rsidP="0070699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BR4</w:t>
            </w:r>
          </w:p>
        </w:tc>
        <w:tc>
          <w:tcPr>
            <w:tcW w:w="0" w:type="auto"/>
          </w:tcPr>
          <w:p w14:paraId="271D5AB8" w14:textId="77777777" w:rsidR="0070699D" w:rsidRPr="00EA1BB2" w:rsidRDefault="0070699D" w:rsidP="0070699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2C2E1D1C" w14:textId="77777777" w:rsidR="0070699D" w:rsidRPr="00EA1BB2" w:rsidRDefault="0070699D" w:rsidP="0070699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9</w:t>
            </w:r>
          </w:p>
        </w:tc>
        <w:tc>
          <w:tcPr>
            <w:tcW w:w="0" w:type="auto"/>
          </w:tcPr>
          <w:p w14:paraId="001F93F7" w14:textId="77777777" w:rsidR="0070699D" w:rsidRPr="00EA1BB2" w:rsidRDefault="0070699D" w:rsidP="0070699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567C2792" w14:textId="77777777" w:rsidR="0070699D" w:rsidRPr="00EA1BB2" w:rsidRDefault="0070699D" w:rsidP="0070699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7406F8C2" w14:textId="77777777" w:rsidR="0070699D" w:rsidRPr="00EA1BB2" w:rsidRDefault="0070699D" w:rsidP="0070699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4A822835" w14:textId="77777777" w:rsidR="0070699D" w:rsidRPr="00EA1BB2" w:rsidRDefault="0070699D" w:rsidP="0070699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7E4D4B4C" w14:textId="77777777" w:rsidR="0070699D" w:rsidRPr="00EA1BB2" w:rsidRDefault="0070699D" w:rsidP="0070699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764E9ED6" w14:textId="77777777" w:rsidR="0070699D" w:rsidRPr="00EA1BB2" w:rsidRDefault="0070699D" w:rsidP="0070699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801" w:type="dxa"/>
            <w:noWrap/>
          </w:tcPr>
          <w:p w14:paraId="41307E3D" w14:textId="77777777" w:rsidR="0070699D" w:rsidRPr="00EA1BB2" w:rsidRDefault="0070699D" w:rsidP="0070699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911" w:type="dxa"/>
            <w:noWrap/>
            <w:vAlign w:val="center"/>
          </w:tcPr>
          <w:p w14:paraId="7C67C5CB" w14:textId="77777777" w:rsidR="0070699D" w:rsidRPr="00EA1BB2" w:rsidRDefault="0070699D" w:rsidP="0070699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r>
    </w:tbl>
    <w:p w14:paraId="30815436" w14:textId="77777777" w:rsidR="00AB3799" w:rsidRPr="00EA1BB2" w:rsidRDefault="00AB3799" w:rsidP="00AB3799">
      <w:pPr>
        <w:spacing w:line="276" w:lineRule="auto"/>
        <w:jc w:val="both"/>
        <w:rPr>
          <w:rFonts w:ascii="Cambria" w:eastAsia="Times New Roman" w:hAnsi="Cambria" w:cs="Times New Roman"/>
          <w:szCs w:val="24"/>
        </w:rPr>
      </w:pPr>
      <w:r w:rsidRPr="00EA1BB2">
        <w:rPr>
          <w:rFonts w:ascii="Cambria" w:eastAsia="Times New Roman" w:hAnsi="Cambria" w:cs="Times New Roman"/>
          <w:szCs w:val="24"/>
        </w:rPr>
        <w:t xml:space="preserve">Sursa date: </w:t>
      </w:r>
      <w:hyperlink r:id="rId62" w:history="1">
        <w:r w:rsidRPr="00EA1BB2">
          <w:rPr>
            <w:rStyle w:val="Hyperlink"/>
            <w:rFonts w:ascii="Cambria" w:eastAsia="Times New Roman" w:hAnsi="Cambria" w:cs="Times New Roman"/>
            <w:szCs w:val="24"/>
          </w:rPr>
          <w:t>www.calitateaer.ro</w:t>
        </w:r>
      </w:hyperlink>
      <w:r w:rsidRPr="00EA1BB2">
        <w:rPr>
          <w:rFonts w:ascii="Cambria" w:eastAsia="Times New Roman" w:hAnsi="Cambria" w:cs="Times New Roman"/>
          <w:szCs w:val="24"/>
        </w:rPr>
        <w:t xml:space="preserve"> accesat la data de 11.07.2018</w:t>
      </w:r>
    </w:p>
    <w:p w14:paraId="6C885755" w14:textId="66DFC4B6" w:rsidR="004771AF" w:rsidRPr="00EA1BB2" w:rsidRDefault="004771AF" w:rsidP="004771AF">
      <w:pPr>
        <w:pStyle w:val="Caption"/>
        <w:keepNext/>
        <w:spacing w:after="0" w:line="360" w:lineRule="auto"/>
        <w:ind w:firstLine="708"/>
        <w:jc w:val="both"/>
        <w:rPr>
          <w:rFonts w:ascii="Cambria" w:eastAsia="Times New Roman" w:hAnsi="Cambria" w:cs="Times New Roman"/>
          <w:szCs w:val="24"/>
        </w:rPr>
      </w:pPr>
      <w:bookmarkStart w:id="119" w:name="_Toc524966216"/>
      <w:r w:rsidRPr="00EA1BB2">
        <w:rPr>
          <w:rFonts w:ascii="Cambria" w:hAnsi="Cambria"/>
        </w:rPr>
        <w:lastRenderedPageBreak/>
        <w:t xml:space="preserve">Figura nr. </w:t>
      </w:r>
      <w:r w:rsidR="00280BC9" w:rsidRPr="00EA1BB2">
        <w:rPr>
          <w:rFonts w:ascii="Cambria" w:hAnsi="Cambria"/>
        </w:rPr>
        <w:fldChar w:fldCharType="begin"/>
      </w:r>
      <w:r w:rsidR="00BA6FA3" w:rsidRPr="00EA1BB2">
        <w:rPr>
          <w:rFonts w:ascii="Cambria" w:hAnsi="Cambria"/>
        </w:rPr>
        <w:instrText xml:space="preserve"> STYLEREF 1 \s </w:instrText>
      </w:r>
      <w:r w:rsidR="00280BC9" w:rsidRPr="00EA1BB2">
        <w:rPr>
          <w:rFonts w:ascii="Cambria" w:hAnsi="Cambria"/>
        </w:rPr>
        <w:fldChar w:fldCharType="separate"/>
      </w:r>
      <w:r w:rsidR="00567555">
        <w:rPr>
          <w:rFonts w:ascii="Cambria" w:hAnsi="Cambria"/>
          <w:noProof/>
        </w:rPr>
        <w:t>3</w:t>
      </w:r>
      <w:r w:rsidR="00280BC9" w:rsidRPr="00EA1BB2">
        <w:rPr>
          <w:rFonts w:ascii="Cambria" w:hAnsi="Cambria"/>
        </w:rPr>
        <w:fldChar w:fldCharType="end"/>
      </w:r>
      <w:r w:rsidR="00BA6FA3" w:rsidRPr="00EA1BB2">
        <w:rPr>
          <w:rFonts w:ascii="Cambria" w:hAnsi="Cambria"/>
        </w:rPr>
        <w:noBreakHyphen/>
      </w:r>
      <w:r w:rsidR="00280BC9" w:rsidRPr="00EA1BB2">
        <w:rPr>
          <w:rFonts w:ascii="Cambria" w:hAnsi="Cambria"/>
        </w:rPr>
        <w:fldChar w:fldCharType="begin"/>
      </w:r>
      <w:r w:rsidR="00BA6FA3" w:rsidRPr="00EA1BB2">
        <w:rPr>
          <w:rFonts w:ascii="Cambria" w:hAnsi="Cambria"/>
        </w:rPr>
        <w:instrText xml:space="preserve"> SEQ Figura_nr. \* ARABIC \s 1 </w:instrText>
      </w:r>
      <w:r w:rsidR="00280BC9" w:rsidRPr="00EA1BB2">
        <w:rPr>
          <w:rFonts w:ascii="Cambria" w:hAnsi="Cambria"/>
        </w:rPr>
        <w:fldChar w:fldCharType="separate"/>
      </w:r>
      <w:r w:rsidR="00567555">
        <w:rPr>
          <w:rFonts w:ascii="Cambria" w:hAnsi="Cambria"/>
          <w:noProof/>
        </w:rPr>
        <w:t>5</w:t>
      </w:r>
      <w:r w:rsidR="00280BC9" w:rsidRPr="00EA1BB2">
        <w:rPr>
          <w:rFonts w:ascii="Cambria" w:hAnsi="Cambria"/>
        </w:rPr>
        <w:fldChar w:fldCharType="end"/>
      </w:r>
      <w:r w:rsidRPr="00EA1BB2">
        <w:rPr>
          <w:rFonts w:ascii="Cambria" w:hAnsi="Cambria"/>
        </w:rPr>
        <w:t xml:space="preserve"> – Număr anual de depășiri ale valorii</w:t>
      </w:r>
      <w:r w:rsidR="00831372" w:rsidRPr="00EA1BB2">
        <w:rPr>
          <w:rFonts w:ascii="Cambria" w:hAnsi="Cambria"/>
        </w:rPr>
        <w:t>-</w:t>
      </w:r>
      <w:r w:rsidRPr="00EA1BB2">
        <w:rPr>
          <w:rFonts w:ascii="Cambria" w:hAnsi="Cambria"/>
        </w:rPr>
        <w:t>limită zilnice de 50 µg/m</w:t>
      </w:r>
      <w:r w:rsidRPr="00EA1BB2">
        <w:rPr>
          <w:rFonts w:ascii="Cambria" w:hAnsi="Cambria"/>
          <w:vertAlign w:val="superscript"/>
        </w:rPr>
        <w:t>3</w:t>
      </w:r>
      <w:r w:rsidRPr="00EA1BB2">
        <w:rPr>
          <w:rFonts w:ascii="Cambria" w:hAnsi="Cambria"/>
        </w:rPr>
        <w:t xml:space="preserve"> pentru PM</w:t>
      </w:r>
      <w:r w:rsidRPr="00EA1BB2">
        <w:rPr>
          <w:rFonts w:ascii="Cambria" w:hAnsi="Cambria"/>
          <w:vertAlign w:val="subscript"/>
        </w:rPr>
        <w:t>10</w:t>
      </w:r>
      <w:bookmarkEnd w:id="119"/>
    </w:p>
    <w:p w14:paraId="458B4F2A" w14:textId="77777777" w:rsidR="002074AA" w:rsidRPr="00EA1BB2" w:rsidRDefault="002074AA" w:rsidP="00AB3799">
      <w:r w:rsidRPr="00EA1BB2">
        <w:rPr>
          <w:noProof/>
          <w:lang w:val="en-US"/>
        </w:rPr>
        <w:drawing>
          <wp:inline distT="0" distB="0" distL="0" distR="0" wp14:anchorId="7C73D6C1" wp14:editId="0302AD51">
            <wp:extent cx="5759450" cy="2438400"/>
            <wp:effectExtent l="0" t="0" r="1270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2E33FD60" w14:textId="4A5F2409" w:rsidR="004771AF" w:rsidRPr="00EA1BB2" w:rsidRDefault="004771AF" w:rsidP="004771AF">
      <w:pPr>
        <w:spacing w:line="276" w:lineRule="auto"/>
        <w:jc w:val="both"/>
        <w:rPr>
          <w:rFonts w:ascii="Cambria" w:eastAsia="Times New Roman" w:hAnsi="Cambria" w:cs="Times New Roman"/>
          <w:szCs w:val="24"/>
        </w:rPr>
      </w:pPr>
      <w:r w:rsidRPr="00EA1BB2">
        <w:rPr>
          <w:rFonts w:ascii="Cambria" w:eastAsia="Times New Roman" w:hAnsi="Cambria" w:cs="Times New Roman"/>
          <w:szCs w:val="24"/>
        </w:rPr>
        <w:t xml:space="preserve">Sursa date: </w:t>
      </w:r>
      <w:hyperlink r:id="rId64" w:history="1">
        <w:r w:rsidRPr="00EA1BB2">
          <w:rPr>
            <w:rStyle w:val="Hyperlink"/>
            <w:rFonts w:ascii="Cambria" w:eastAsia="Times New Roman" w:hAnsi="Cambria" w:cs="Times New Roman"/>
            <w:szCs w:val="24"/>
          </w:rPr>
          <w:t>www.calitateaer.ro</w:t>
        </w:r>
      </w:hyperlink>
      <w:r w:rsidRPr="00EA1BB2">
        <w:rPr>
          <w:rFonts w:ascii="Cambria" w:eastAsia="Times New Roman" w:hAnsi="Cambria" w:cs="Times New Roman"/>
          <w:szCs w:val="24"/>
        </w:rPr>
        <w:t xml:space="preserve"> accesat la data de 11.07.2018</w:t>
      </w:r>
    </w:p>
    <w:p w14:paraId="1B8C13E2" w14:textId="77777777" w:rsidR="002074AA" w:rsidRPr="00EA1BB2" w:rsidRDefault="002074AA" w:rsidP="0033579E">
      <w:pPr>
        <w:spacing w:line="360" w:lineRule="auto"/>
      </w:pPr>
    </w:p>
    <w:p w14:paraId="67E38DEE" w14:textId="7270E32F" w:rsidR="004F7169" w:rsidRPr="00EA1BB2" w:rsidRDefault="004F7169" w:rsidP="004F7169">
      <w:pPr>
        <w:pStyle w:val="Caption"/>
        <w:keepNext/>
        <w:spacing w:after="0" w:line="360" w:lineRule="auto"/>
        <w:ind w:firstLine="708"/>
        <w:jc w:val="both"/>
        <w:rPr>
          <w:rFonts w:ascii="Cambria" w:eastAsia="Times New Roman" w:hAnsi="Cambria" w:cs="Times New Roman"/>
          <w:b w:val="0"/>
          <w:szCs w:val="24"/>
        </w:rPr>
      </w:pPr>
      <w:bookmarkStart w:id="120" w:name="_Toc526889784"/>
      <w:r w:rsidRPr="00EA1BB2">
        <w:rPr>
          <w:rFonts w:ascii="Cambria" w:hAnsi="Cambria"/>
          <w:szCs w:val="24"/>
        </w:rPr>
        <w:t xml:space="preserve">Tabelul nr. </w:t>
      </w:r>
      <w:r w:rsidR="000A2FE7" w:rsidRPr="00EA1BB2">
        <w:rPr>
          <w:rFonts w:ascii="Cambria" w:hAnsi="Cambria"/>
          <w:szCs w:val="24"/>
        </w:rPr>
        <w:fldChar w:fldCharType="begin"/>
      </w:r>
      <w:r w:rsidR="000A2FE7" w:rsidRPr="00EA1BB2">
        <w:rPr>
          <w:rFonts w:ascii="Cambria" w:hAnsi="Cambria"/>
          <w:szCs w:val="24"/>
        </w:rPr>
        <w:instrText xml:space="preserve"> STYLEREF 1 \s </w:instrText>
      </w:r>
      <w:r w:rsidR="000A2FE7" w:rsidRPr="00EA1BB2">
        <w:rPr>
          <w:rFonts w:ascii="Cambria" w:hAnsi="Cambria"/>
          <w:szCs w:val="24"/>
        </w:rPr>
        <w:fldChar w:fldCharType="separate"/>
      </w:r>
      <w:r w:rsidR="00567555">
        <w:rPr>
          <w:rFonts w:ascii="Cambria" w:hAnsi="Cambria"/>
          <w:noProof/>
          <w:szCs w:val="24"/>
        </w:rPr>
        <w:t>3</w:t>
      </w:r>
      <w:r w:rsidR="000A2FE7" w:rsidRPr="00EA1BB2">
        <w:rPr>
          <w:rFonts w:ascii="Cambria" w:hAnsi="Cambria"/>
          <w:szCs w:val="24"/>
        </w:rPr>
        <w:fldChar w:fldCharType="end"/>
      </w:r>
      <w:r w:rsidR="000A2FE7" w:rsidRPr="00EA1BB2">
        <w:rPr>
          <w:rFonts w:ascii="Cambria" w:hAnsi="Cambria"/>
          <w:szCs w:val="24"/>
        </w:rPr>
        <w:noBreakHyphen/>
      </w:r>
      <w:r w:rsidR="000A2FE7" w:rsidRPr="00EA1BB2">
        <w:rPr>
          <w:rFonts w:ascii="Cambria" w:hAnsi="Cambria"/>
          <w:szCs w:val="24"/>
        </w:rPr>
        <w:fldChar w:fldCharType="begin"/>
      </w:r>
      <w:r w:rsidR="000A2FE7" w:rsidRPr="00EA1BB2">
        <w:rPr>
          <w:rFonts w:ascii="Cambria" w:hAnsi="Cambria"/>
          <w:szCs w:val="24"/>
        </w:rPr>
        <w:instrText xml:space="preserve"> SEQ Tabelul_nr. \* ARABIC \s 1 </w:instrText>
      </w:r>
      <w:r w:rsidR="000A2FE7" w:rsidRPr="00EA1BB2">
        <w:rPr>
          <w:rFonts w:ascii="Cambria" w:hAnsi="Cambria"/>
          <w:szCs w:val="24"/>
        </w:rPr>
        <w:fldChar w:fldCharType="separate"/>
      </w:r>
      <w:r w:rsidR="00567555">
        <w:rPr>
          <w:rFonts w:ascii="Cambria" w:hAnsi="Cambria"/>
          <w:noProof/>
          <w:szCs w:val="24"/>
        </w:rPr>
        <w:t>15</w:t>
      </w:r>
      <w:r w:rsidR="000A2FE7" w:rsidRPr="00EA1BB2">
        <w:rPr>
          <w:rFonts w:ascii="Cambria" w:hAnsi="Cambria"/>
          <w:szCs w:val="24"/>
        </w:rPr>
        <w:fldChar w:fldCharType="end"/>
      </w:r>
      <w:r w:rsidRPr="00EA1BB2">
        <w:rPr>
          <w:rFonts w:ascii="Cambria" w:hAnsi="Cambria"/>
          <w:noProof/>
          <w:szCs w:val="24"/>
        </w:rPr>
        <w:t xml:space="preserve"> - </w:t>
      </w:r>
      <w:r w:rsidRPr="00EA1BB2">
        <w:rPr>
          <w:rFonts w:ascii="Cambria" w:eastAsia="Times New Roman" w:hAnsi="Cambria" w:cs="Times New Roman"/>
          <w:szCs w:val="24"/>
        </w:rPr>
        <w:t>Concentrația medie anuală pentru pulberi în suspensie (PM</w:t>
      </w:r>
      <w:r w:rsidRPr="00EA1BB2">
        <w:rPr>
          <w:rFonts w:ascii="Cambria" w:eastAsia="Times New Roman" w:hAnsi="Cambria" w:cs="Times New Roman"/>
          <w:szCs w:val="24"/>
          <w:vertAlign w:val="subscript"/>
        </w:rPr>
        <w:t>2,5</w:t>
      </w:r>
      <w:r w:rsidR="00A57AA2" w:rsidRPr="00EA1BB2">
        <w:rPr>
          <w:rFonts w:ascii="Cambria" w:eastAsia="Times New Roman" w:hAnsi="Cambria" w:cs="Times New Roman"/>
          <w:szCs w:val="24"/>
        </w:rPr>
        <w:t>), înregistrată la stația</w:t>
      </w:r>
      <w:r w:rsidRPr="00EA1BB2">
        <w:rPr>
          <w:rFonts w:ascii="Cambria" w:eastAsia="Times New Roman" w:hAnsi="Cambria" w:cs="Times New Roman"/>
          <w:szCs w:val="24"/>
        </w:rPr>
        <w:t xml:space="preserve"> de monitorizare a aerului din </w:t>
      </w:r>
      <w:r w:rsidR="00785B8E" w:rsidRPr="00EA1BB2">
        <w:rPr>
          <w:rFonts w:ascii="Cambria" w:eastAsia="Times New Roman" w:hAnsi="Cambria" w:cs="Times New Roman"/>
          <w:szCs w:val="24"/>
        </w:rPr>
        <w:t>aglomerarea</w:t>
      </w:r>
      <w:r w:rsidRPr="00EA1BB2">
        <w:rPr>
          <w:rFonts w:ascii="Cambria" w:eastAsia="Times New Roman" w:hAnsi="Cambria" w:cs="Times New Roman"/>
          <w:szCs w:val="24"/>
        </w:rPr>
        <w:t xml:space="preserve"> Brăila, în perioada 2008-2017</w:t>
      </w:r>
      <w:bookmarkEnd w:id="120"/>
    </w:p>
    <w:tbl>
      <w:tblPr>
        <w:tblStyle w:val="TableGrid"/>
        <w:tblW w:w="9305" w:type="dxa"/>
        <w:jc w:val="center"/>
        <w:tblLook w:val="04A0" w:firstRow="1" w:lastRow="0" w:firstColumn="1" w:lastColumn="0" w:noHBand="0" w:noVBand="1"/>
      </w:tblPr>
      <w:tblGrid>
        <w:gridCol w:w="1330"/>
        <w:gridCol w:w="785"/>
        <w:gridCol w:w="797"/>
        <w:gridCol w:w="785"/>
        <w:gridCol w:w="785"/>
        <w:gridCol w:w="785"/>
        <w:gridCol w:w="785"/>
        <w:gridCol w:w="785"/>
        <w:gridCol w:w="785"/>
        <w:gridCol w:w="789"/>
        <w:gridCol w:w="894"/>
      </w:tblGrid>
      <w:tr w:rsidR="004F7169" w:rsidRPr="00EA1BB2" w14:paraId="39F2A23A" w14:textId="77777777" w:rsidTr="00B44687">
        <w:trPr>
          <w:trHeight w:val="105"/>
          <w:tblHeader/>
          <w:jc w:val="center"/>
        </w:trPr>
        <w:tc>
          <w:tcPr>
            <w:tcW w:w="1330" w:type="dxa"/>
            <w:vMerge w:val="restart"/>
            <w:shd w:val="clear" w:color="auto" w:fill="BDD6EE" w:themeFill="accent1" w:themeFillTint="66"/>
            <w:noWrap/>
            <w:vAlign w:val="center"/>
          </w:tcPr>
          <w:p w14:paraId="1FC8D295" w14:textId="77777777" w:rsidR="004F7169" w:rsidRPr="00EA1BB2" w:rsidRDefault="004F7169" w:rsidP="00B44687">
            <w:pPr>
              <w:spacing w:line="360" w:lineRule="auto"/>
              <w:jc w:val="center"/>
              <w:rPr>
                <w:rFonts w:ascii="Cambria" w:eastAsia="Times New Roman" w:hAnsi="Cambria" w:cs="Times New Roman"/>
                <w:b/>
                <w:sz w:val="20"/>
                <w:szCs w:val="24"/>
                <w:lang w:val="ro-RO"/>
              </w:rPr>
            </w:pPr>
            <w:r w:rsidRPr="00EA1BB2">
              <w:rPr>
                <w:rFonts w:ascii="Cambria" w:eastAsia="Times New Roman" w:hAnsi="Cambria" w:cs="Times New Roman"/>
                <w:b/>
                <w:sz w:val="20"/>
                <w:szCs w:val="24"/>
                <w:lang w:val="ro-RO"/>
              </w:rPr>
              <w:t xml:space="preserve">Stația de </w:t>
            </w:r>
          </w:p>
          <w:p w14:paraId="76435FEA" w14:textId="77777777" w:rsidR="004F7169" w:rsidRPr="00EA1BB2" w:rsidRDefault="004F7169" w:rsidP="00B44687">
            <w:pPr>
              <w:spacing w:line="360" w:lineRule="auto"/>
              <w:ind w:left="-110" w:right="-98"/>
              <w:jc w:val="center"/>
              <w:rPr>
                <w:rFonts w:ascii="Cambria" w:eastAsia="Times New Roman" w:hAnsi="Cambria" w:cs="Times New Roman"/>
                <w:b/>
                <w:sz w:val="24"/>
                <w:szCs w:val="24"/>
                <w:lang w:val="ro-RO"/>
              </w:rPr>
            </w:pPr>
            <w:r w:rsidRPr="00EA1BB2">
              <w:rPr>
                <w:rFonts w:ascii="Cambria" w:eastAsia="Times New Roman" w:hAnsi="Cambria" w:cs="Times New Roman"/>
                <w:b/>
                <w:sz w:val="20"/>
                <w:szCs w:val="24"/>
                <w:lang w:val="ro-RO"/>
              </w:rPr>
              <w:t>monitorizare</w:t>
            </w:r>
          </w:p>
        </w:tc>
        <w:tc>
          <w:tcPr>
            <w:tcW w:w="7975" w:type="dxa"/>
            <w:gridSpan w:val="10"/>
            <w:shd w:val="clear" w:color="auto" w:fill="BDD6EE" w:themeFill="accent1" w:themeFillTint="66"/>
          </w:tcPr>
          <w:p w14:paraId="11C38048" w14:textId="77777777" w:rsidR="004F7169" w:rsidRPr="00EA1BB2" w:rsidRDefault="004F7169"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Concentrația medie anuală</w:t>
            </w:r>
          </w:p>
          <w:p w14:paraId="141D0FC5" w14:textId="77777777" w:rsidR="004F7169" w:rsidRPr="00EA1BB2" w:rsidRDefault="004F7169"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(µg /m</w:t>
            </w:r>
            <w:r w:rsidRPr="00EA1BB2">
              <w:rPr>
                <w:rFonts w:ascii="Cambria" w:eastAsia="Times New Roman" w:hAnsi="Cambria" w:cs="Times New Roman"/>
                <w:b/>
                <w:sz w:val="24"/>
                <w:szCs w:val="24"/>
                <w:vertAlign w:val="superscript"/>
                <w:lang w:val="ro-RO"/>
              </w:rPr>
              <w:t>3</w:t>
            </w:r>
            <w:r w:rsidRPr="00EA1BB2">
              <w:rPr>
                <w:rFonts w:ascii="Cambria" w:eastAsia="Times New Roman" w:hAnsi="Cambria" w:cs="Times New Roman"/>
                <w:b/>
                <w:sz w:val="24"/>
                <w:szCs w:val="24"/>
                <w:lang w:val="ro-RO"/>
              </w:rPr>
              <w:t>)</w:t>
            </w:r>
          </w:p>
        </w:tc>
      </w:tr>
      <w:tr w:rsidR="004F7169" w:rsidRPr="00EA1BB2" w14:paraId="4561DED5" w14:textId="77777777" w:rsidTr="00B44687">
        <w:trPr>
          <w:trHeight w:val="286"/>
          <w:tblHeader/>
          <w:jc w:val="center"/>
        </w:trPr>
        <w:tc>
          <w:tcPr>
            <w:tcW w:w="1330" w:type="dxa"/>
            <w:vMerge/>
            <w:shd w:val="clear" w:color="auto" w:fill="BDD6EE" w:themeFill="accent1" w:themeFillTint="66"/>
            <w:noWrap/>
            <w:vAlign w:val="center"/>
          </w:tcPr>
          <w:p w14:paraId="2C46649C" w14:textId="77777777" w:rsidR="004F7169" w:rsidRPr="00EA1BB2" w:rsidRDefault="004F7169" w:rsidP="00B44687">
            <w:pPr>
              <w:spacing w:line="360" w:lineRule="auto"/>
              <w:jc w:val="center"/>
              <w:rPr>
                <w:rFonts w:ascii="Cambria" w:eastAsia="Times New Roman" w:hAnsi="Cambria" w:cs="Times New Roman"/>
                <w:b/>
                <w:sz w:val="24"/>
                <w:szCs w:val="24"/>
                <w:lang w:val="ro-RO"/>
              </w:rPr>
            </w:pPr>
          </w:p>
        </w:tc>
        <w:tc>
          <w:tcPr>
            <w:tcW w:w="0" w:type="auto"/>
            <w:shd w:val="clear" w:color="auto" w:fill="BDD6EE" w:themeFill="accent1" w:themeFillTint="66"/>
          </w:tcPr>
          <w:p w14:paraId="238E90D6" w14:textId="77777777" w:rsidR="004F7169" w:rsidRPr="00EA1BB2" w:rsidRDefault="004F7169"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2008</w:t>
            </w:r>
          </w:p>
        </w:tc>
        <w:tc>
          <w:tcPr>
            <w:tcW w:w="0" w:type="auto"/>
            <w:shd w:val="clear" w:color="auto" w:fill="BDD6EE" w:themeFill="accent1" w:themeFillTint="66"/>
          </w:tcPr>
          <w:p w14:paraId="2F572541" w14:textId="77777777" w:rsidR="004F7169" w:rsidRPr="00EA1BB2" w:rsidRDefault="004F7169"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2009</w:t>
            </w:r>
          </w:p>
        </w:tc>
        <w:tc>
          <w:tcPr>
            <w:tcW w:w="0" w:type="auto"/>
            <w:shd w:val="clear" w:color="auto" w:fill="BDD6EE" w:themeFill="accent1" w:themeFillTint="66"/>
          </w:tcPr>
          <w:p w14:paraId="3D3CFB57" w14:textId="77777777" w:rsidR="004F7169" w:rsidRPr="00EA1BB2" w:rsidRDefault="004F7169"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2010</w:t>
            </w:r>
          </w:p>
        </w:tc>
        <w:tc>
          <w:tcPr>
            <w:tcW w:w="0" w:type="auto"/>
            <w:shd w:val="clear" w:color="auto" w:fill="BDD6EE" w:themeFill="accent1" w:themeFillTint="66"/>
          </w:tcPr>
          <w:p w14:paraId="67831271" w14:textId="77777777" w:rsidR="004F7169" w:rsidRPr="00EA1BB2" w:rsidRDefault="004F7169"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2011</w:t>
            </w:r>
          </w:p>
        </w:tc>
        <w:tc>
          <w:tcPr>
            <w:tcW w:w="0" w:type="auto"/>
            <w:shd w:val="clear" w:color="auto" w:fill="BDD6EE" w:themeFill="accent1" w:themeFillTint="66"/>
          </w:tcPr>
          <w:p w14:paraId="2A677116" w14:textId="77777777" w:rsidR="004F7169" w:rsidRPr="00EA1BB2" w:rsidRDefault="004F7169"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2012</w:t>
            </w:r>
          </w:p>
        </w:tc>
        <w:tc>
          <w:tcPr>
            <w:tcW w:w="0" w:type="auto"/>
            <w:shd w:val="clear" w:color="auto" w:fill="BDD6EE" w:themeFill="accent1" w:themeFillTint="66"/>
            <w:noWrap/>
            <w:vAlign w:val="center"/>
          </w:tcPr>
          <w:p w14:paraId="5D6A3261" w14:textId="77777777" w:rsidR="004F7169" w:rsidRPr="00EA1BB2" w:rsidRDefault="004F7169"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2013</w:t>
            </w:r>
          </w:p>
        </w:tc>
        <w:tc>
          <w:tcPr>
            <w:tcW w:w="0" w:type="auto"/>
            <w:shd w:val="clear" w:color="auto" w:fill="BDD6EE" w:themeFill="accent1" w:themeFillTint="66"/>
            <w:noWrap/>
            <w:vAlign w:val="center"/>
          </w:tcPr>
          <w:p w14:paraId="4E1BA7D3" w14:textId="77777777" w:rsidR="004F7169" w:rsidRPr="00EA1BB2" w:rsidRDefault="004F7169"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2014</w:t>
            </w:r>
          </w:p>
        </w:tc>
        <w:tc>
          <w:tcPr>
            <w:tcW w:w="0" w:type="auto"/>
            <w:shd w:val="clear" w:color="auto" w:fill="BDD6EE" w:themeFill="accent1" w:themeFillTint="66"/>
            <w:noWrap/>
            <w:vAlign w:val="center"/>
          </w:tcPr>
          <w:p w14:paraId="16023BC5" w14:textId="77777777" w:rsidR="004F7169" w:rsidRPr="00EA1BB2" w:rsidRDefault="004F7169"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2015</w:t>
            </w:r>
          </w:p>
        </w:tc>
        <w:tc>
          <w:tcPr>
            <w:tcW w:w="789" w:type="dxa"/>
            <w:shd w:val="clear" w:color="auto" w:fill="BDD6EE" w:themeFill="accent1" w:themeFillTint="66"/>
            <w:noWrap/>
            <w:vAlign w:val="center"/>
          </w:tcPr>
          <w:p w14:paraId="6EBBC08B" w14:textId="77777777" w:rsidR="004F7169" w:rsidRPr="00EA1BB2" w:rsidRDefault="004F7169"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2016</w:t>
            </w:r>
          </w:p>
        </w:tc>
        <w:tc>
          <w:tcPr>
            <w:tcW w:w="894" w:type="dxa"/>
            <w:shd w:val="clear" w:color="auto" w:fill="BDD6EE" w:themeFill="accent1" w:themeFillTint="66"/>
            <w:noWrap/>
            <w:vAlign w:val="center"/>
          </w:tcPr>
          <w:p w14:paraId="33D67561" w14:textId="77777777" w:rsidR="004F7169" w:rsidRPr="00EA1BB2" w:rsidRDefault="004F7169"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2017</w:t>
            </w:r>
          </w:p>
        </w:tc>
      </w:tr>
      <w:tr w:rsidR="004F7169" w:rsidRPr="00EA1BB2" w14:paraId="0EEE16FC" w14:textId="77777777" w:rsidTr="00B44687">
        <w:trPr>
          <w:trHeight w:val="340"/>
          <w:jc w:val="center"/>
        </w:trPr>
        <w:tc>
          <w:tcPr>
            <w:tcW w:w="1330" w:type="dxa"/>
            <w:noWrap/>
            <w:vAlign w:val="center"/>
          </w:tcPr>
          <w:p w14:paraId="56AE6DFD" w14:textId="77777777" w:rsidR="004F7169" w:rsidRPr="00EA1BB2" w:rsidRDefault="004F7169"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BR2</w:t>
            </w:r>
          </w:p>
        </w:tc>
        <w:tc>
          <w:tcPr>
            <w:tcW w:w="0" w:type="auto"/>
          </w:tcPr>
          <w:p w14:paraId="7CBE703A" w14:textId="77777777" w:rsidR="004F7169" w:rsidRPr="00EA1BB2" w:rsidRDefault="004F7169"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30E461CC" w14:textId="77777777" w:rsidR="004F7169" w:rsidRPr="00EA1BB2" w:rsidRDefault="004F7169"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13,67</w:t>
            </w:r>
          </w:p>
        </w:tc>
        <w:tc>
          <w:tcPr>
            <w:tcW w:w="0" w:type="auto"/>
          </w:tcPr>
          <w:p w14:paraId="4488AB59" w14:textId="77777777" w:rsidR="004F7169" w:rsidRPr="00EA1BB2" w:rsidRDefault="004F7169"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4A223FCF" w14:textId="77777777" w:rsidR="004F7169" w:rsidRPr="00EA1BB2" w:rsidRDefault="004F7169"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1EF6D72C" w14:textId="77777777" w:rsidR="004F7169" w:rsidRPr="00EA1BB2" w:rsidRDefault="004F7169"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7EA966D5" w14:textId="77777777" w:rsidR="004F7169" w:rsidRPr="00EA1BB2" w:rsidRDefault="004F7169" w:rsidP="00B44687">
            <w:pPr>
              <w:spacing w:line="360" w:lineRule="auto"/>
              <w:jc w:val="center"/>
              <w:rPr>
                <w:rFonts w:ascii="Cambria" w:eastAsia="Times New Roman" w:hAnsi="Cambria" w:cs="Times New Roman"/>
                <w:sz w:val="24"/>
                <w:szCs w:val="24"/>
                <w:lang w:val="ro-RO"/>
              </w:rPr>
            </w:pPr>
            <w:r w:rsidRPr="00EA1BB2">
              <w:rPr>
                <w:rFonts w:ascii="Cambria" w:hAnsi="Cambria"/>
                <w:sz w:val="24"/>
                <w:szCs w:val="24"/>
                <w:lang w:val="ro-RO"/>
              </w:rPr>
              <w:t>-</w:t>
            </w:r>
          </w:p>
        </w:tc>
        <w:tc>
          <w:tcPr>
            <w:tcW w:w="0" w:type="auto"/>
            <w:noWrap/>
          </w:tcPr>
          <w:p w14:paraId="43DAEDE4" w14:textId="77777777" w:rsidR="004F7169" w:rsidRPr="00EA1BB2" w:rsidRDefault="004F7169" w:rsidP="00B44687">
            <w:pPr>
              <w:spacing w:line="360" w:lineRule="auto"/>
              <w:jc w:val="center"/>
              <w:rPr>
                <w:rFonts w:ascii="Cambria" w:eastAsia="Times New Roman" w:hAnsi="Cambria" w:cs="Times New Roman"/>
                <w:sz w:val="24"/>
                <w:szCs w:val="24"/>
                <w:lang w:val="ro-RO"/>
              </w:rPr>
            </w:pPr>
            <w:r w:rsidRPr="00EA1BB2">
              <w:rPr>
                <w:rFonts w:ascii="Cambria" w:hAnsi="Cambria"/>
                <w:sz w:val="24"/>
                <w:szCs w:val="24"/>
                <w:lang w:val="ro-RO"/>
              </w:rPr>
              <w:t>-</w:t>
            </w:r>
          </w:p>
        </w:tc>
        <w:tc>
          <w:tcPr>
            <w:tcW w:w="0" w:type="auto"/>
            <w:noWrap/>
          </w:tcPr>
          <w:p w14:paraId="40E52F0D" w14:textId="77777777" w:rsidR="004F7169" w:rsidRPr="00EA1BB2" w:rsidRDefault="004F7169" w:rsidP="00B44687">
            <w:pPr>
              <w:spacing w:line="360" w:lineRule="auto"/>
              <w:jc w:val="center"/>
              <w:rPr>
                <w:rFonts w:ascii="Cambria" w:eastAsia="Times New Roman" w:hAnsi="Cambria" w:cs="Times New Roman"/>
                <w:sz w:val="24"/>
                <w:szCs w:val="24"/>
                <w:lang w:val="ro-RO"/>
              </w:rPr>
            </w:pPr>
            <w:r w:rsidRPr="00EA1BB2">
              <w:rPr>
                <w:rFonts w:ascii="Cambria" w:hAnsi="Cambria"/>
                <w:sz w:val="24"/>
                <w:szCs w:val="24"/>
                <w:lang w:val="ro-RO"/>
              </w:rPr>
              <w:t>-</w:t>
            </w:r>
          </w:p>
        </w:tc>
        <w:tc>
          <w:tcPr>
            <w:tcW w:w="789" w:type="dxa"/>
            <w:noWrap/>
          </w:tcPr>
          <w:p w14:paraId="334ADCCA" w14:textId="77777777" w:rsidR="004F7169" w:rsidRPr="00EA1BB2" w:rsidRDefault="004F7169" w:rsidP="00B44687">
            <w:pPr>
              <w:spacing w:line="360" w:lineRule="auto"/>
              <w:jc w:val="center"/>
              <w:rPr>
                <w:rFonts w:ascii="Cambria" w:eastAsia="Times New Roman" w:hAnsi="Cambria" w:cs="Times New Roman"/>
                <w:sz w:val="24"/>
                <w:szCs w:val="24"/>
                <w:lang w:val="ro-RO"/>
              </w:rPr>
            </w:pPr>
            <w:r w:rsidRPr="00EA1BB2">
              <w:rPr>
                <w:rFonts w:ascii="Cambria" w:hAnsi="Cambria"/>
                <w:sz w:val="24"/>
                <w:szCs w:val="24"/>
                <w:lang w:val="ro-RO"/>
              </w:rPr>
              <w:t>-</w:t>
            </w:r>
          </w:p>
        </w:tc>
        <w:tc>
          <w:tcPr>
            <w:tcW w:w="894" w:type="dxa"/>
            <w:noWrap/>
          </w:tcPr>
          <w:p w14:paraId="5A050DC5" w14:textId="77777777" w:rsidR="004F7169" w:rsidRPr="00EA1BB2" w:rsidRDefault="004F7169" w:rsidP="00B44687">
            <w:pPr>
              <w:spacing w:line="360" w:lineRule="auto"/>
              <w:jc w:val="center"/>
              <w:rPr>
                <w:rFonts w:ascii="Cambria" w:eastAsia="Times New Roman" w:hAnsi="Cambria" w:cs="Times New Roman"/>
                <w:sz w:val="24"/>
                <w:szCs w:val="24"/>
                <w:lang w:val="ro-RO"/>
              </w:rPr>
            </w:pPr>
            <w:r w:rsidRPr="00EA1BB2">
              <w:rPr>
                <w:rFonts w:ascii="Cambria" w:hAnsi="Cambria"/>
                <w:sz w:val="24"/>
                <w:szCs w:val="24"/>
                <w:lang w:val="ro-RO"/>
              </w:rPr>
              <w:t>-</w:t>
            </w:r>
          </w:p>
        </w:tc>
      </w:tr>
    </w:tbl>
    <w:p w14:paraId="5EF481E9" w14:textId="77777777" w:rsidR="00B44687" w:rsidRPr="00EA1BB2" w:rsidRDefault="00831372" w:rsidP="00A76AB0">
      <w:pPr>
        <w:spacing w:line="276" w:lineRule="auto"/>
        <w:jc w:val="both"/>
        <w:rPr>
          <w:rFonts w:ascii="Cambria" w:eastAsia="Times New Roman" w:hAnsi="Cambria" w:cs="Times New Roman"/>
          <w:szCs w:val="24"/>
        </w:rPr>
      </w:pPr>
      <w:r w:rsidRPr="00EA1BB2">
        <w:rPr>
          <w:rFonts w:ascii="Cambria" w:eastAsia="Times New Roman" w:hAnsi="Cambria" w:cs="Times New Roman"/>
          <w:szCs w:val="24"/>
        </w:rPr>
        <w:t>Valoarea-</w:t>
      </w:r>
      <w:r w:rsidR="00B44687" w:rsidRPr="00EA1BB2">
        <w:rPr>
          <w:rFonts w:ascii="Cambria" w:eastAsia="Times New Roman" w:hAnsi="Cambria" w:cs="Times New Roman"/>
          <w:szCs w:val="24"/>
        </w:rPr>
        <w:t>limită anuală care trebuie atinsă până la 1 ianuarie 2015 a concentrației medii anuale pentru PM</w:t>
      </w:r>
      <w:r w:rsidR="00B44687" w:rsidRPr="00EA1BB2">
        <w:rPr>
          <w:rFonts w:ascii="Cambria" w:eastAsia="Times New Roman" w:hAnsi="Cambria" w:cs="Times New Roman"/>
          <w:szCs w:val="24"/>
          <w:vertAlign w:val="subscript"/>
        </w:rPr>
        <w:t>2,5</w:t>
      </w:r>
      <w:r w:rsidR="00B44687" w:rsidRPr="00EA1BB2">
        <w:rPr>
          <w:rFonts w:ascii="Cambria" w:eastAsia="Times New Roman" w:hAnsi="Cambria" w:cs="Times New Roman"/>
          <w:szCs w:val="24"/>
        </w:rPr>
        <w:t xml:space="preserve"> este 25 µg/m</w:t>
      </w:r>
      <w:r w:rsidR="00B44687" w:rsidRPr="00EA1BB2">
        <w:rPr>
          <w:rFonts w:ascii="Cambria" w:eastAsia="Times New Roman" w:hAnsi="Cambria" w:cs="Times New Roman"/>
          <w:szCs w:val="24"/>
          <w:vertAlign w:val="superscript"/>
        </w:rPr>
        <w:t>3</w:t>
      </w:r>
      <w:r w:rsidRPr="00EA1BB2">
        <w:rPr>
          <w:rFonts w:ascii="Cambria" w:eastAsia="Times New Roman" w:hAnsi="Cambria" w:cs="Times New Roman"/>
          <w:szCs w:val="24"/>
        </w:rPr>
        <w:t>, Valoarea-</w:t>
      </w:r>
      <w:r w:rsidR="00B44687" w:rsidRPr="00EA1BB2">
        <w:rPr>
          <w:rFonts w:ascii="Cambria" w:eastAsia="Times New Roman" w:hAnsi="Cambria" w:cs="Times New Roman"/>
          <w:szCs w:val="24"/>
        </w:rPr>
        <w:t>limită anuală care trebuie atinsă până la 1 ianuarie 2020 a concentrației medii anuale pentru PM</w:t>
      </w:r>
      <w:r w:rsidR="00B44687" w:rsidRPr="00EA1BB2">
        <w:rPr>
          <w:rFonts w:ascii="Cambria" w:eastAsia="Times New Roman" w:hAnsi="Cambria" w:cs="Times New Roman"/>
          <w:szCs w:val="24"/>
          <w:vertAlign w:val="subscript"/>
        </w:rPr>
        <w:t>2,5</w:t>
      </w:r>
      <w:r w:rsidR="00B44687" w:rsidRPr="00EA1BB2">
        <w:rPr>
          <w:rFonts w:ascii="Cambria" w:eastAsia="Times New Roman" w:hAnsi="Cambria" w:cs="Times New Roman"/>
          <w:szCs w:val="24"/>
        </w:rPr>
        <w:t xml:space="preserve"> este 20 µg/m</w:t>
      </w:r>
      <w:r w:rsidR="00B44687" w:rsidRPr="00EA1BB2">
        <w:rPr>
          <w:rFonts w:ascii="Cambria" w:eastAsia="Times New Roman" w:hAnsi="Cambria" w:cs="Times New Roman"/>
          <w:szCs w:val="24"/>
          <w:vertAlign w:val="superscript"/>
        </w:rPr>
        <w:t>3</w:t>
      </w:r>
    </w:p>
    <w:p w14:paraId="6528A29B" w14:textId="77777777" w:rsidR="00A76AB0" w:rsidRPr="00EA1BB2" w:rsidRDefault="00A76AB0" w:rsidP="00A76AB0">
      <w:pPr>
        <w:spacing w:line="276" w:lineRule="auto"/>
        <w:jc w:val="both"/>
        <w:rPr>
          <w:rFonts w:ascii="Cambria" w:eastAsia="Times New Roman" w:hAnsi="Cambria" w:cs="Times New Roman"/>
          <w:szCs w:val="24"/>
        </w:rPr>
      </w:pPr>
      <w:r w:rsidRPr="00EA1BB2">
        <w:rPr>
          <w:rFonts w:ascii="Cambria" w:eastAsia="Times New Roman" w:hAnsi="Cambria" w:cs="Times New Roman"/>
          <w:szCs w:val="24"/>
        </w:rPr>
        <w:t xml:space="preserve">Sursa date: </w:t>
      </w:r>
      <w:hyperlink r:id="rId65" w:history="1">
        <w:r w:rsidRPr="00EA1BB2">
          <w:rPr>
            <w:rStyle w:val="Hyperlink"/>
            <w:rFonts w:ascii="Cambria" w:eastAsia="Times New Roman" w:hAnsi="Cambria" w:cs="Times New Roman"/>
            <w:szCs w:val="24"/>
          </w:rPr>
          <w:t>www.calitateaer.ro</w:t>
        </w:r>
      </w:hyperlink>
      <w:r w:rsidRPr="00EA1BB2">
        <w:rPr>
          <w:rFonts w:ascii="Cambria" w:eastAsia="Times New Roman" w:hAnsi="Cambria" w:cs="Times New Roman"/>
          <w:szCs w:val="24"/>
        </w:rPr>
        <w:t xml:space="preserve"> accesat la data de 11.07.2018</w:t>
      </w:r>
    </w:p>
    <w:p w14:paraId="62F301C7" w14:textId="77777777" w:rsidR="00744560" w:rsidRPr="00EA1BB2" w:rsidRDefault="00744560" w:rsidP="00744560">
      <w:pPr>
        <w:spacing w:line="360" w:lineRule="auto"/>
        <w:ind w:firstLine="720"/>
        <w:jc w:val="both"/>
        <w:rPr>
          <w:rFonts w:ascii="Cambria" w:eastAsia="Times New Roman" w:hAnsi="Cambria" w:cs="Times New Roman"/>
          <w:sz w:val="24"/>
          <w:szCs w:val="24"/>
        </w:rPr>
      </w:pPr>
    </w:p>
    <w:p w14:paraId="1F981798" w14:textId="77777777" w:rsidR="00744560" w:rsidRPr="00EA1BB2" w:rsidRDefault="00744560" w:rsidP="00E859EF">
      <w:pPr>
        <w:pStyle w:val="Heading4"/>
        <w:numPr>
          <w:ilvl w:val="3"/>
          <w:numId w:val="1"/>
        </w:numPr>
        <w:spacing w:before="0" w:line="360" w:lineRule="auto"/>
        <w:ind w:hanging="579"/>
        <w:rPr>
          <w:color w:val="0070C0"/>
          <w:sz w:val="24"/>
        </w:rPr>
      </w:pPr>
      <w:bookmarkStart w:id="121" w:name="_Toc526889719"/>
      <w:r w:rsidRPr="00EA1BB2">
        <w:rPr>
          <w:color w:val="0070C0"/>
          <w:sz w:val="24"/>
        </w:rPr>
        <w:t>Benzen (C</w:t>
      </w:r>
      <w:r w:rsidRPr="00EA1BB2">
        <w:rPr>
          <w:color w:val="0070C0"/>
          <w:sz w:val="24"/>
          <w:vertAlign w:val="subscript"/>
        </w:rPr>
        <w:t>6</w:t>
      </w:r>
      <w:r w:rsidRPr="00EA1BB2">
        <w:rPr>
          <w:color w:val="0070C0"/>
          <w:sz w:val="24"/>
        </w:rPr>
        <w:t>H</w:t>
      </w:r>
      <w:r w:rsidRPr="00EA1BB2">
        <w:rPr>
          <w:color w:val="0070C0"/>
          <w:sz w:val="24"/>
          <w:vertAlign w:val="subscript"/>
        </w:rPr>
        <w:t>6</w:t>
      </w:r>
      <w:r w:rsidRPr="00EA1BB2">
        <w:rPr>
          <w:color w:val="0070C0"/>
          <w:sz w:val="24"/>
        </w:rPr>
        <w:t>)</w:t>
      </w:r>
      <w:bookmarkEnd w:id="121"/>
    </w:p>
    <w:p w14:paraId="28CDF611" w14:textId="5698EE3C" w:rsidR="000023A8" w:rsidRPr="00EA1BB2" w:rsidRDefault="000023A8" w:rsidP="000023A8">
      <w:pPr>
        <w:pStyle w:val="Caption"/>
        <w:keepNext/>
        <w:spacing w:after="0" w:line="360" w:lineRule="auto"/>
        <w:ind w:firstLine="708"/>
        <w:jc w:val="both"/>
        <w:rPr>
          <w:rFonts w:ascii="Cambria" w:eastAsia="Times New Roman" w:hAnsi="Cambria" w:cs="Times New Roman"/>
          <w:b w:val="0"/>
          <w:szCs w:val="24"/>
        </w:rPr>
      </w:pPr>
      <w:bookmarkStart w:id="122" w:name="_Toc526889785"/>
      <w:r w:rsidRPr="00EA1BB2">
        <w:rPr>
          <w:rFonts w:ascii="Cambria" w:hAnsi="Cambria"/>
          <w:szCs w:val="24"/>
        </w:rPr>
        <w:t xml:space="preserve">Tabelul nr. </w:t>
      </w:r>
      <w:r w:rsidR="000A2FE7" w:rsidRPr="00EA1BB2">
        <w:rPr>
          <w:rFonts w:ascii="Cambria" w:hAnsi="Cambria"/>
          <w:szCs w:val="24"/>
        </w:rPr>
        <w:fldChar w:fldCharType="begin"/>
      </w:r>
      <w:r w:rsidR="000A2FE7" w:rsidRPr="00EA1BB2">
        <w:rPr>
          <w:rFonts w:ascii="Cambria" w:hAnsi="Cambria"/>
          <w:szCs w:val="24"/>
        </w:rPr>
        <w:instrText xml:space="preserve"> STYLEREF 1 \s </w:instrText>
      </w:r>
      <w:r w:rsidR="000A2FE7" w:rsidRPr="00EA1BB2">
        <w:rPr>
          <w:rFonts w:ascii="Cambria" w:hAnsi="Cambria"/>
          <w:szCs w:val="24"/>
        </w:rPr>
        <w:fldChar w:fldCharType="separate"/>
      </w:r>
      <w:r w:rsidR="00567555">
        <w:rPr>
          <w:rFonts w:ascii="Cambria" w:hAnsi="Cambria"/>
          <w:noProof/>
          <w:szCs w:val="24"/>
        </w:rPr>
        <w:t>3</w:t>
      </w:r>
      <w:r w:rsidR="000A2FE7" w:rsidRPr="00EA1BB2">
        <w:rPr>
          <w:rFonts w:ascii="Cambria" w:hAnsi="Cambria"/>
          <w:szCs w:val="24"/>
        </w:rPr>
        <w:fldChar w:fldCharType="end"/>
      </w:r>
      <w:r w:rsidR="000A2FE7" w:rsidRPr="00EA1BB2">
        <w:rPr>
          <w:rFonts w:ascii="Cambria" w:hAnsi="Cambria"/>
          <w:szCs w:val="24"/>
        </w:rPr>
        <w:noBreakHyphen/>
      </w:r>
      <w:r w:rsidR="000A2FE7" w:rsidRPr="00EA1BB2">
        <w:rPr>
          <w:rFonts w:ascii="Cambria" w:hAnsi="Cambria"/>
          <w:szCs w:val="24"/>
        </w:rPr>
        <w:fldChar w:fldCharType="begin"/>
      </w:r>
      <w:r w:rsidR="000A2FE7" w:rsidRPr="00EA1BB2">
        <w:rPr>
          <w:rFonts w:ascii="Cambria" w:hAnsi="Cambria"/>
          <w:szCs w:val="24"/>
        </w:rPr>
        <w:instrText xml:space="preserve"> SEQ Tabelul_nr. \* ARABIC \s 1 </w:instrText>
      </w:r>
      <w:r w:rsidR="000A2FE7" w:rsidRPr="00EA1BB2">
        <w:rPr>
          <w:rFonts w:ascii="Cambria" w:hAnsi="Cambria"/>
          <w:szCs w:val="24"/>
        </w:rPr>
        <w:fldChar w:fldCharType="separate"/>
      </w:r>
      <w:r w:rsidR="00567555">
        <w:rPr>
          <w:rFonts w:ascii="Cambria" w:hAnsi="Cambria"/>
          <w:noProof/>
          <w:szCs w:val="24"/>
        </w:rPr>
        <w:t>16</w:t>
      </w:r>
      <w:r w:rsidR="000A2FE7" w:rsidRPr="00EA1BB2">
        <w:rPr>
          <w:rFonts w:ascii="Cambria" w:hAnsi="Cambria"/>
          <w:szCs w:val="24"/>
        </w:rPr>
        <w:fldChar w:fldCharType="end"/>
      </w:r>
      <w:r w:rsidRPr="00EA1BB2">
        <w:rPr>
          <w:rFonts w:ascii="Cambria" w:hAnsi="Cambria"/>
          <w:noProof/>
          <w:szCs w:val="24"/>
        </w:rPr>
        <w:t xml:space="preserve"> - </w:t>
      </w:r>
      <w:r w:rsidRPr="00EA1BB2">
        <w:rPr>
          <w:rFonts w:ascii="Cambria" w:eastAsia="Times New Roman" w:hAnsi="Cambria" w:cs="Times New Roman"/>
          <w:szCs w:val="24"/>
        </w:rPr>
        <w:t>Concentrația medie anuală pentru benzen (C</w:t>
      </w:r>
      <w:r w:rsidRPr="00EA1BB2">
        <w:rPr>
          <w:rFonts w:ascii="Cambria" w:eastAsia="Times New Roman" w:hAnsi="Cambria" w:cs="Times New Roman"/>
          <w:szCs w:val="24"/>
          <w:vertAlign w:val="subscript"/>
        </w:rPr>
        <w:t>6</w:t>
      </w:r>
      <w:r w:rsidRPr="00EA1BB2">
        <w:rPr>
          <w:rFonts w:ascii="Cambria" w:eastAsia="Times New Roman" w:hAnsi="Cambria" w:cs="Times New Roman"/>
          <w:szCs w:val="24"/>
        </w:rPr>
        <w:t>H</w:t>
      </w:r>
      <w:r w:rsidRPr="00EA1BB2">
        <w:rPr>
          <w:rFonts w:ascii="Cambria" w:eastAsia="Times New Roman" w:hAnsi="Cambria" w:cs="Times New Roman"/>
          <w:szCs w:val="24"/>
          <w:vertAlign w:val="subscript"/>
        </w:rPr>
        <w:t>6</w:t>
      </w:r>
      <w:r w:rsidRPr="00EA1BB2">
        <w:rPr>
          <w:rFonts w:ascii="Cambria" w:eastAsia="Times New Roman" w:hAnsi="Cambria" w:cs="Times New Roman"/>
          <w:szCs w:val="24"/>
        </w:rPr>
        <w:t xml:space="preserve">), înregistrată la stațiile de monitorizare a aerului din </w:t>
      </w:r>
      <w:r w:rsidR="00785B8E" w:rsidRPr="00EA1BB2">
        <w:rPr>
          <w:rFonts w:ascii="Cambria" w:eastAsia="Times New Roman" w:hAnsi="Cambria" w:cs="Times New Roman"/>
          <w:szCs w:val="24"/>
        </w:rPr>
        <w:t>județul</w:t>
      </w:r>
      <w:r w:rsidRPr="00EA1BB2">
        <w:rPr>
          <w:rFonts w:ascii="Cambria" w:eastAsia="Times New Roman" w:hAnsi="Cambria" w:cs="Times New Roman"/>
          <w:szCs w:val="24"/>
        </w:rPr>
        <w:t xml:space="preserve"> Brăila, în perioada 2008-2017</w:t>
      </w:r>
      <w:bookmarkEnd w:id="122"/>
    </w:p>
    <w:tbl>
      <w:tblPr>
        <w:tblStyle w:val="TableGrid"/>
        <w:tblW w:w="9290" w:type="dxa"/>
        <w:jc w:val="center"/>
        <w:tblLook w:val="04A0" w:firstRow="1" w:lastRow="0" w:firstColumn="1" w:lastColumn="0" w:noHBand="0" w:noVBand="1"/>
      </w:tblPr>
      <w:tblGrid>
        <w:gridCol w:w="1329"/>
        <w:gridCol w:w="785"/>
        <w:gridCol w:w="785"/>
        <w:gridCol w:w="785"/>
        <w:gridCol w:w="785"/>
        <w:gridCol w:w="785"/>
        <w:gridCol w:w="785"/>
        <w:gridCol w:w="785"/>
        <w:gridCol w:w="785"/>
        <w:gridCol w:w="787"/>
        <w:gridCol w:w="894"/>
      </w:tblGrid>
      <w:tr w:rsidR="000023A8" w:rsidRPr="00EA1BB2" w14:paraId="6C8E519E" w14:textId="77777777" w:rsidTr="00B44687">
        <w:trPr>
          <w:trHeight w:val="105"/>
          <w:tblHeader/>
          <w:jc w:val="center"/>
        </w:trPr>
        <w:tc>
          <w:tcPr>
            <w:tcW w:w="1329" w:type="dxa"/>
            <w:vMerge w:val="restart"/>
            <w:shd w:val="clear" w:color="auto" w:fill="BDD6EE" w:themeFill="accent1" w:themeFillTint="66"/>
            <w:noWrap/>
            <w:vAlign w:val="center"/>
          </w:tcPr>
          <w:p w14:paraId="0065A779" w14:textId="77777777" w:rsidR="000023A8" w:rsidRPr="00EA1BB2" w:rsidRDefault="000023A8" w:rsidP="00B44687">
            <w:pPr>
              <w:spacing w:line="360" w:lineRule="auto"/>
              <w:jc w:val="center"/>
              <w:rPr>
                <w:rFonts w:ascii="Cambria" w:eastAsia="Times New Roman" w:hAnsi="Cambria" w:cs="Times New Roman"/>
                <w:b/>
                <w:sz w:val="20"/>
                <w:szCs w:val="24"/>
                <w:lang w:val="ro-RO"/>
              </w:rPr>
            </w:pPr>
            <w:r w:rsidRPr="00EA1BB2">
              <w:rPr>
                <w:rFonts w:ascii="Cambria" w:eastAsia="Times New Roman" w:hAnsi="Cambria" w:cs="Times New Roman"/>
                <w:b/>
                <w:sz w:val="20"/>
                <w:szCs w:val="24"/>
                <w:lang w:val="ro-RO"/>
              </w:rPr>
              <w:t xml:space="preserve">Stația de </w:t>
            </w:r>
          </w:p>
          <w:p w14:paraId="56D67066" w14:textId="77777777" w:rsidR="000023A8" w:rsidRPr="00EA1BB2" w:rsidRDefault="000023A8" w:rsidP="00B44687">
            <w:pPr>
              <w:spacing w:line="360" w:lineRule="auto"/>
              <w:ind w:left="-110" w:right="-98"/>
              <w:jc w:val="center"/>
              <w:rPr>
                <w:rFonts w:ascii="Cambria" w:eastAsia="Times New Roman" w:hAnsi="Cambria" w:cs="Times New Roman"/>
                <w:b/>
                <w:sz w:val="24"/>
                <w:szCs w:val="24"/>
                <w:lang w:val="ro-RO"/>
              </w:rPr>
            </w:pPr>
            <w:r w:rsidRPr="00EA1BB2">
              <w:rPr>
                <w:rFonts w:ascii="Cambria" w:eastAsia="Times New Roman" w:hAnsi="Cambria" w:cs="Times New Roman"/>
                <w:b/>
                <w:sz w:val="20"/>
                <w:szCs w:val="24"/>
                <w:lang w:val="ro-RO"/>
              </w:rPr>
              <w:t>monitorizare</w:t>
            </w:r>
          </w:p>
        </w:tc>
        <w:tc>
          <w:tcPr>
            <w:tcW w:w="7961" w:type="dxa"/>
            <w:gridSpan w:val="10"/>
            <w:shd w:val="clear" w:color="auto" w:fill="BDD6EE" w:themeFill="accent1" w:themeFillTint="66"/>
          </w:tcPr>
          <w:p w14:paraId="7BA2CFAC" w14:textId="77777777" w:rsidR="000023A8" w:rsidRPr="00EA1BB2" w:rsidRDefault="000023A8"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Concentrația medie anuală</w:t>
            </w:r>
          </w:p>
          <w:p w14:paraId="3005E0D0" w14:textId="77777777" w:rsidR="000023A8" w:rsidRPr="00EA1BB2" w:rsidRDefault="00FE4144"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(µg</w:t>
            </w:r>
            <w:r w:rsidR="000023A8" w:rsidRPr="00EA1BB2">
              <w:rPr>
                <w:rFonts w:ascii="Cambria" w:eastAsia="Times New Roman" w:hAnsi="Cambria" w:cs="Times New Roman"/>
                <w:b/>
                <w:sz w:val="24"/>
                <w:szCs w:val="24"/>
                <w:lang w:val="ro-RO"/>
              </w:rPr>
              <w:t>/m</w:t>
            </w:r>
            <w:r w:rsidR="000023A8" w:rsidRPr="00EA1BB2">
              <w:rPr>
                <w:rFonts w:ascii="Cambria" w:eastAsia="Times New Roman" w:hAnsi="Cambria" w:cs="Times New Roman"/>
                <w:b/>
                <w:sz w:val="24"/>
                <w:szCs w:val="24"/>
                <w:vertAlign w:val="superscript"/>
                <w:lang w:val="ro-RO"/>
              </w:rPr>
              <w:t>3</w:t>
            </w:r>
            <w:r w:rsidR="000023A8" w:rsidRPr="00EA1BB2">
              <w:rPr>
                <w:rFonts w:ascii="Cambria" w:eastAsia="Times New Roman" w:hAnsi="Cambria" w:cs="Times New Roman"/>
                <w:b/>
                <w:sz w:val="24"/>
                <w:szCs w:val="24"/>
                <w:lang w:val="ro-RO"/>
              </w:rPr>
              <w:t>)</w:t>
            </w:r>
          </w:p>
        </w:tc>
      </w:tr>
      <w:tr w:rsidR="000023A8" w:rsidRPr="00EA1BB2" w14:paraId="1FCDEBA8" w14:textId="77777777" w:rsidTr="00B44687">
        <w:trPr>
          <w:trHeight w:val="286"/>
          <w:tblHeader/>
          <w:jc w:val="center"/>
        </w:trPr>
        <w:tc>
          <w:tcPr>
            <w:tcW w:w="1329" w:type="dxa"/>
            <w:vMerge/>
            <w:shd w:val="clear" w:color="auto" w:fill="BDD6EE" w:themeFill="accent1" w:themeFillTint="66"/>
            <w:noWrap/>
            <w:vAlign w:val="center"/>
          </w:tcPr>
          <w:p w14:paraId="2ADE143C" w14:textId="77777777" w:rsidR="000023A8" w:rsidRPr="00EA1BB2" w:rsidRDefault="000023A8" w:rsidP="00B44687">
            <w:pPr>
              <w:spacing w:line="360" w:lineRule="auto"/>
              <w:jc w:val="center"/>
              <w:rPr>
                <w:rFonts w:ascii="Cambria" w:eastAsia="Times New Roman" w:hAnsi="Cambria" w:cs="Times New Roman"/>
                <w:b/>
                <w:sz w:val="24"/>
                <w:szCs w:val="24"/>
                <w:lang w:val="ro-RO"/>
              </w:rPr>
            </w:pPr>
          </w:p>
        </w:tc>
        <w:tc>
          <w:tcPr>
            <w:tcW w:w="0" w:type="auto"/>
            <w:shd w:val="clear" w:color="auto" w:fill="BDD6EE" w:themeFill="accent1" w:themeFillTint="66"/>
          </w:tcPr>
          <w:p w14:paraId="24BB02C3" w14:textId="77777777" w:rsidR="000023A8" w:rsidRPr="00EA1BB2" w:rsidRDefault="000023A8"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2008</w:t>
            </w:r>
          </w:p>
        </w:tc>
        <w:tc>
          <w:tcPr>
            <w:tcW w:w="0" w:type="auto"/>
            <w:shd w:val="clear" w:color="auto" w:fill="BDD6EE" w:themeFill="accent1" w:themeFillTint="66"/>
          </w:tcPr>
          <w:p w14:paraId="3565B8D3" w14:textId="77777777" w:rsidR="000023A8" w:rsidRPr="00EA1BB2" w:rsidRDefault="000023A8"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2009</w:t>
            </w:r>
          </w:p>
        </w:tc>
        <w:tc>
          <w:tcPr>
            <w:tcW w:w="0" w:type="auto"/>
            <w:shd w:val="clear" w:color="auto" w:fill="BDD6EE" w:themeFill="accent1" w:themeFillTint="66"/>
          </w:tcPr>
          <w:p w14:paraId="1A704328" w14:textId="77777777" w:rsidR="000023A8" w:rsidRPr="00EA1BB2" w:rsidRDefault="000023A8"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2010</w:t>
            </w:r>
          </w:p>
        </w:tc>
        <w:tc>
          <w:tcPr>
            <w:tcW w:w="0" w:type="auto"/>
            <w:shd w:val="clear" w:color="auto" w:fill="BDD6EE" w:themeFill="accent1" w:themeFillTint="66"/>
          </w:tcPr>
          <w:p w14:paraId="5FCD1A77" w14:textId="77777777" w:rsidR="000023A8" w:rsidRPr="00EA1BB2" w:rsidRDefault="000023A8"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2011</w:t>
            </w:r>
          </w:p>
        </w:tc>
        <w:tc>
          <w:tcPr>
            <w:tcW w:w="0" w:type="auto"/>
            <w:shd w:val="clear" w:color="auto" w:fill="BDD6EE" w:themeFill="accent1" w:themeFillTint="66"/>
          </w:tcPr>
          <w:p w14:paraId="5A7D2544" w14:textId="77777777" w:rsidR="000023A8" w:rsidRPr="00EA1BB2" w:rsidRDefault="000023A8"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2012</w:t>
            </w:r>
          </w:p>
        </w:tc>
        <w:tc>
          <w:tcPr>
            <w:tcW w:w="0" w:type="auto"/>
            <w:shd w:val="clear" w:color="auto" w:fill="BDD6EE" w:themeFill="accent1" w:themeFillTint="66"/>
            <w:noWrap/>
            <w:vAlign w:val="center"/>
          </w:tcPr>
          <w:p w14:paraId="0E0B79F9" w14:textId="77777777" w:rsidR="000023A8" w:rsidRPr="00EA1BB2" w:rsidRDefault="000023A8"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2013</w:t>
            </w:r>
          </w:p>
        </w:tc>
        <w:tc>
          <w:tcPr>
            <w:tcW w:w="0" w:type="auto"/>
            <w:shd w:val="clear" w:color="auto" w:fill="BDD6EE" w:themeFill="accent1" w:themeFillTint="66"/>
            <w:noWrap/>
            <w:vAlign w:val="center"/>
          </w:tcPr>
          <w:p w14:paraId="6952F7E2" w14:textId="77777777" w:rsidR="000023A8" w:rsidRPr="00EA1BB2" w:rsidRDefault="000023A8"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2014</w:t>
            </w:r>
          </w:p>
        </w:tc>
        <w:tc>
          <w:tcPr>
            <w:tcW w:w="0" w:type="auto"/>
            <w:shd w:val="clear" w:color="auto" w:fill="BDD6EE" w:themeFill="accent1" w:themeFillTint="66"/>
            <w:noWrap/>
            <w:vAlign w:val="center"/>
          </w:tcPr>
          <w:p w14:paraId="2EFC7C4F" w14:textId="77777777" w:rsidR="000023A8" w:rsidRPr="00EA1BB2" w:rsidRDefault="000023A8"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2015</w:t>
            </w:r>
          </w:p>
        </w:tc>
        <w:tc>
          <w:tcPr>
            <w:tcW w:w="787" w:type="dxa"/>
            <w:shd w:val="clear" w:color="auto" w:fill="BDD6EE" w:themeFill="accent1" w:themeFillTint="66"/>
            <w:noWrap/>
            <w:vAlign w:val="center"/>
          </w:tcPr>
          <w:p w14:paraId="2739A90F" w14:textId="77777777" w:rsidR="000023A8" w:rsidRPr="00EA1BB2" w:rsidRDefault="000023A8"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2016</w:t>
            </w:r>
          </w:p>
        </w:tc>
        <w:tc>
          <w:tcPr>
            <w:tcW w:w="894" w:type="dxa"/>
            <w:shd w:val="clear" w:color="auto" w:fill="BDD6EE" w:themeFill="accent1" w:themeFillTint="66"/>
            <w:noWrap/>
            <w:vAlign w:val="center"/>
          </w:tcPr>
          <w:p w14:paraId="6A176D6D" w14:textId="1FBDBE86" w:rsidR="000023A8" w:rsidRPr="00EA1BB2" w:rsidRDefault="000023A8" w:rsidP="00C913AA">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2017</w:t>
            </w:r>
          </w:p>
        </w:tc>
      </w:tr>
      <w:tr w:rsidR="000023A8" w:rsidRPr="00EA1BB2" w14:paraId="68B59DA2" w14:textId="77777777" w:rsidTr="00B44687">
        <w:trPr>
          <w:trHeight w:val="340"/>
          <w:jc w:val="center"/>
        </w:trPr>
        <w:tc>
          <w:tcPr>
            <w:tcW w:w="1329" w:type="dxa"/>
            <w:noWrap/>
            <w:vAlign w:val="center"/>
          </w:tcPr>
          <w:p w14:paraId="39D64594"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BR1</w:t>
            </w:r>
          </w:p>
        </w:tc>
        <w:tc>
          <w:tcPr>
            <w:tcW w:w="0" w:type="auto"/>
          </w:tcPr>
          <w:p w14:paraId="6C38056C"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3C34E517"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hAnsi="Cambria"/>
                <w:sz w:val="24"/>
                <w:szCs w:val="24"/>
                <w:lang w:val="ro-RO"/>
              </w:rPr>
              <w:t>-</w:t>
            </w:r>
          </w:p>
        </w:tc>
        <w:tc>
          <w:tcPr>
            <w:tcW w:w="0" w:type="auto"/>
          </w:tcPr>
          <w:p w14:paraId="544569B6"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05F55A77"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309C378F"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740C48DB"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1653E695"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2BC1A0B2"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787" w:type="dxa"/>
            <w:noWrap/>
          </w:tcPr>
          <w:p w14:paraId="3E3E99D7"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894" w:type="dxa"/>
            <w:noWrap/>
            <w:vAlign w:val="center"/>
          </w:tcPr>
          <w:p w14:paraId="02A0AA65"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2,39</w:t>
            </w:r>
          </w:p>
        </w:tc>
      </w:tr>
      <w:tr w:rsidR="000023A8" w:rsidRPr="00EA1BB2" w14:paraId="04766C30" w14:textId="77777777" w:rsidTr="00B44687">
        <w:trPr>
          <w:trHeight w:val="340"/>
          <w:jc w:val="center"/>
        </w:trPr>
        <w:tc>
          <w:tcPr>
            <w:tcW w:w="1329" w:type="dxa"/>
            <w:noWrap/>
            <w:vAlign w:val="center"/>
          </w:tcPr>
          <w:p w14:paraId="1A6D51DB"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BR2</w:t>
            </w:r>
          </w:p>
        </w:tc>
        <w:tc>
          <w:tcPr>
            <w:tcW w:w="0" w:type="auto"/>
          </w:tcPr>
          <w:p w14:paraId="6EEA0EA8"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2441238A"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0,66</w:t>
            </w:r>
          </w:p>
        </w:tc>
        <w:tc>
          <w:tcPr>
            <w:tcW w:w="0" w:type="auto"/>
          </w:tcPr>
          <w:p w14:paraId="71FD3D2C"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1B20AB3C"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4F55E627"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2D6B3957"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058389EA"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224E782D"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787" w:type="dxa"/>
            <w:noWrap/>
          </w:tcPr>
          <w:p w14:paraId="37652998"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894" w:type="dxa"/>
            <w:noWrap/>
            <w:vAlign w:val="center"/>
          </w:tcPr>
          <w:p w14:paraId="3EF97E7E"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1,40</w:t>
            </w:r>
          </w:p>
        </w:tc>
      </w:tr>
      <w:tr w:rsidR="000023A8" w:rsidRPr="00EA1BB2" w14:paraId="4A67A541" w14:textId="77777777" w:rsidTr="00B44687">
        <w:trPr>
          <w:trHeight w:val="340"/>
          <w:jc w:val="center"/>
        </w:trPr>
        <w:tc>
          <w:tcPr>
            <w:tcW w:w="1329" w:type="dxa"/>
            <w:noWrap/>
            <w:vAlign w:val="center"/>
          </w:tcPr>
          <w:p w14:paraId="4E211AB2"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lastRenderedPageBreak/>
              <w:t>BR3</w:t>
            </w:r>
          </w:p>
        </w:tc>
        <w:tc>
          <w:tcPr>
            <w:tcW w:w="0" w:type="auto"/>
          </w:tcPr>
          <w:p w14:paraId="6709ED69"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02E5D1AE"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45A9AF57"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19B8801E"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5617AB68"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65178A92"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532C026B"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5A65949E"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787" w:type="dxa"/>
            <w:noWrap/>
          </w:tcPr>
          <w:p w14:paraId="060351C3"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894" w:type="dxa"/>
            <w:noWrap/>
            <w:vAlign w:val="center"/>
          </w:tcPr>
          <w:p w14:paraId="48644995"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2,71</w:t>
            </w:r>
          </w:p>
        </w:tc>
      </w:tr>
      <w:tr w:rsidR="000023A8" w:rsidRPr="00EA1BB2" w14:paraId="701E4C44" w14:textId="77777777" w:rsidTr="00B44687">
        <w:trPr>
          <w:trHeight w:val="340"/>
          <w:jc w:val="center"/>
        </w:trPr>
        <w:tc>
          <w:tcPr>
            <w:tcW w:w="1329" w:type="dxa"/>
            <w:noWrap/>
            <w:vAlign w:val="center"/>
          </w:tcPr>
          <w:p w14:paraId="053B9D70"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BR5</w:t>
            </w:r>
          </w:p>
        </w:tc>
        <w:tc>
          <w:tcPr>
            <w:tcW w:w="0" w:type="auto"/>
          </w:tcPr>
          <w:p w14:paraId="5B13779A"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14E02557"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76053EA3"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4240F0B8"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505FA646"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007AA6B2"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7C59B747"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18D91CFA"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787" w:type="dxa"/>
            <w:noWrap/>
          </w:tcPr>
          <w:p w14:paraId="5C395D57"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894" w:type="dxa"/>
            <w:noWrap/>
            <w:vAlign w:val="center"/>
          </w:tcPr>
          <w:p w14:paraId="1FBEA720"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1,91</w:t>
            </w:r>
          </w:p>
        </w:tc>
      </w:tr>
    </w:tbl>
    <w:p w14:paraId="5560BE25" w14:textId="77777777" w:rsidR="00B44687" w:rsidRPr="00EA1BB2" w:rsidRDefault="00B44687" w:rsidP="00B44687">
      <w:pPr>
        <w:spacing w:line="276" w:lineRule="auto"/>
        <w:jc w:val="both"/>
        <w:rPr>
          <w:rFonts w:ascii="Cambria" w:eastAsia="Times New Roman" w:hAnsi="Cambria" w:cs="Times New Roman"/>
          <w:szCs w:val="24"/>
        </w:rPr>
      </w:pPr>
      <w:r w:rsidRPr="00EA1BB2">
        <w:rPr>
          <w:rFonts w:ascii="Cambria" w:eastAsia="Times New Roman" w:hAnsi="Cambria" w:cs="Times New Roman"/>
          <w:szCs w:val="24"/>
        </w:rPr>
        <w:t>Valoarea</w:t>
      </w:r>
      <w:r w:rsidR="00831372" w:rsidRPr="00EA1BB2">
        <w:rPr>
          <w:rFonts w:ascii="Cambria" w:eastAsia="Times New Roman" w:hAnsi="Cambria" w:cs="Times New Roman"/>
          <w:szCs w:val="24"/>
        </w:rPr>
        <w:t>-</w:t>
      </w:r>
      <w:r w:rsidRPr="00EA1BB2">
        <w:rPr>
          <w:rFonts w:ascii="Cambria" w:eastAsia="Times New Roman" w:hAnsi="Cambria" w:cs="Times New Roman"/>
          <w:szCs w:val="24"/>
        </w:rPr>
        <w:t>limită anuală pentru protecția sănătății umane a conc</w:t>
      </w:r>
      <w:r w:rsidR="002B3216" w:rsidRPr="00EA1BB2">
        <w:rPr>
          <w:rFonts w:ascii="Cambria" w:eastAsia="Times New Roman" w:hAnsi="Cambria" w:cs="Times New Roman"/>
          <w:szCs w:val="24"/>
        </w:rPr>
        <w:t>entrației medii anuale pentru C</w:t>
      </w:r>
      <w:r w:rsidR="002B3216" w:rsidRPr="00EA1BB2">
        <w:rPr>
          <w:rFonts w:ascii="Cambria" w:eastAsia="Times New Roman" w:hAnsi="Cambria" w:cs="Times New Roman"/>
          <w:szCs w:val="24"/>
          <w:vertAlign w:val="subscript"/>
        </w:rPr>
        <w:t>6</w:t>
      </w:r>
      <w:r w:rsidR="002B3216" w:rsidRPr="00EA1BB2">
        <w:rPr>
          <w:rFonts w:ascii="Cambria" w:eastAsia="Times New Roman" w:hAnsi="Cambria" w:cs="Times New Roman"/>
          <w:szCs w:val="24"/>
        </w:rPr>
        <w:t>H</w:t>
      </w:r>
      <w:r w:rsidR="002B3216" w:rsidRPr="00EA1BB2">
        <w:rPr>
          <w:rFonts w:ascii="Cambria" w:eastAsia="Times New Roman" w:hAnsi="Cambria" w:cs="Times New Roman"/>
          <w:szCs w:val="24"/>
          <w:vertAlign w:val="subscript"/>
        </w:rPr>
        <w:t>6</w:t>
      </w:r>
      <w:r w:rsidRPr="00EA1BB2">
        <w:rPr>
          <w:rFonts w:ascii="Cambria" w:eastAsia="Times New Roman" w:hAnsi="Cambria" w:cs="Times New Roman"/>
          <w:szCs w:val="24"/>
        </w:rPr>
        <w:t>este 5 µg/m</w:t>
      </w:r>
      <w:r w:rsidRPr="00EA1BB2">
        <w:rPr>
          <w:rFonts w:ascii="Cambria" w:eastAsia="Times New Roman" w:hAnsi="Cambria" w:cs="Times New Roman"/>
          <w:szCs w:val="24"/>
          <w:vertAlign w:val="superscript"/>
        </w:rPr>
        <w:t>3</w:t>
      </w:r>
    </w:p>
    <w:p w14:paraId="630AFA4F" w14:textId="77777777" w:rsidR="00A76AB0" w:rsidRPr="00EA1BB2" w:rsidRDefault="00A76AB0" w:rsidP="00A76AB0">
      <w:pPr>
        <w:spacing w:line="276" w:lineRule="auto"/>
        <w:jc w:val="both"/>
        <w:rPr>
          <w:rFonts w:ascii="Cambria" w:eastAsia="Times New Roman" w:hAnsi="Cambria" w:cs="Times New Roman"/>
          <w:szCs w:val="24"/>
        </w:rPr>
      </w:pPr>
      <w:r w:rsidRPr="00EA1BB2">
        <w:rPr>
          <w:rFonts w:ascii="Cambria" w:eastAsia="Times New Roman" w:hAnsi="Cambria" w:cs="Times New Roman"/>
          <w:szCs w:val="24"/>
        </w:rPr>
        <w:t xml:space="preserve">Sursa date: </w:t>
      </w:r>
      <w:hyperlink r:id="rId66" w:history="1">
        <w:r w:rsidRPr="00EA1BB2">
          <w:rPr>
            <w:rStyle w:val="Hyperlink"/>
            <w:rFonts w:ascii="Cambria" w:eastAsia="Times New Roman" w:hAnsi="Cambria" w:cs="Times New Roman"/>
            <w:szCs w:val="24"/>
          </w:rPr>
          <w:t>www.calitateaer.ro</w:t>
        </w:r>
      </w:hyperlink>
      <w:r w:rsidRPr="00EA1BB2">
        <w:rPr>
          <w:rFonts w:ascii="Cambria" w:eastAsia="Times New Roman" w:hAnsi="Cambria" w:cs="Times New Roman"/>
          <w:szCs w:val="24"/>
        </w:rPr>
        <w:t xml:space="preserve"> accesat la data de 11.07.2018</w:t>
      </w:r>
    </w:p>
    <w:p w14:paraId="3731981E" w14:textId="77777777" w:rsidR="00744560" w:rsidRPr="00EA1BB2" w:rsidRDefault="00744560" w:rsidP="00744560">
      <w:pPr>
        <w:spacing w:line="360" w:lineRule="auto"/>
        <w:ind w:firstLine="714"/>
        <w:jc w:val="both"/>
        <w:rPr>
          <w:rFonts w:ascii="Cambria" w:eastAsia="Times New Roman" w:hAnsi="Cambria" w:cs="Times New Roman"/>
          <w:sz w:val="24"/>
          <w:szCs w:val="24"/>
        </w:rPr>
      </w:pPr>
    </w:p>
    <w:p w14:paraId="04A59490" w14:textId="77777777" w:rsidR="00744560" w:rsidRPr="00EA1BB2" w:rsidRDefault="00744560" w:rsidP="00E859EF">
      <w:pPr>
        <w:pStyle w:val="Heading4"/>
        <w:numPr>
          <w:ilvl w:val="3"/>
          <w:numId w:val="1"/>
        </w:numPr>
        <w:spacing w:before="0" w:line="360" w:lineRule="auto"/>
        <w:ind w:hanging="579"/>
        <w:rPr>
          <w:color w:val="0070C0"/>
          <w:sz w:val="24"/>
        </w:rPr>
      </w:pPr>
      <w:bookmarkStart w:id="123" w:name="_Toc526889720"/>
      <w:r w:rsidRPr="00EA1BB2">
        <w:rPr>
          <w:color w:val="0070C0"/>
          <w:sz w:val="24"/>
        </w:rPr>
        <w:t>Dioxidul de sulf (SO</w:t>
      </w:r>
      <w:r w:rsidRPr="00EA1BB2">
        <w:rPr>
          <w:color w:val="0070C0"/>
          <w:sz w:val="24"/>
          <w:vertAlign w:val="subscript"/>
        </w:rPr>
        <w:t>2</w:t>
      </w:r>
      <w:r w:rsidRPr="00EA1BB2">
        <w:rPr>
          <w:color w:val="0070C0"/>
          <w:sz w:val="24"/>
        </w:rPr>
        <w:t>)</w:t>
      </w:r>
      <w:bookmarkEnd w:id="123"/>
    </w:p>
    <w:p w14:paraId="5F410DBC" w14:textId="2D408082" w:rsidR="000023A8" w:rsidRPr="00EA1BB2" w:rsidRDefault="000023A8" w:rsidP="000023A8">
      <w:pPr>
        <w:pStyle w:val="Caption"/>
        <w:keepNext/>
        <w:spacing w:after="0" w:line="360" w:lineRule="auto"/>
        <w:ind w:firstLine="708"/>
        <w:jc w:val="both"/>
        <w:rPr>
          <w:rFonts w:ascii="Cambria" w:eastAsia="Times New Roman" w:hAnsi="Cambria" w:cs="Times New Roman"/>
          <w:b w:val="0"/>
          <w:szCs w:val="24"/>
        </w:rPr>
      </w:pPr>
      <w:bookmarkStart w:id="124" w:name="_Toc526889786"/>
      <w:r w:rsidRPr="00EA1BB2">
        <w:rPr>
          <w:rFonts w:ascii="Cambria" w:hAnsi="Cambria"/>
          <w:szCs w:val="24"/>
        </w:rPr>
        <w:t xml:space="preserve">Tabelul nr. </w:t>
      </w:r>
      <w:r w:rsidR="000A2FE7" w:rsidRPr="00EA1BB2">
        <w:rPr>
          <w:rFonts w:ascii="Cambria" w:hAnsi="Cambria"/>
          <w:szCs w:val="24"/>
        </w:rPr>
        <w:fldChar w:fldCharType="begin"/>
      </w:r>
      <w:r w:rsidR="000A2FE7" w:rsidRPr="00EA1BB2">
        <w:rPr>
          <w:rFonts w:ascii="Cambria" w:hAnsi="Cambria"/>
          <w:szCs w:val="24"/>
        </w:rPr>
        <w:instrText xml:space="preserve"> STYLEREF 1 \s </w:instrText>
      </w:r>
      <w:r w:rsidR="000A2FE7" w:rsidRPr="00EA1BB2">
        <w:rPr>
          <w:rFonts w:ascii="Cambria" w:hAnsi="Cambria"/>
          <w:szCs w:val="24"/>
        </w:rPr>
        <w:fldChar w:fldCharType="separate"/>
      </w:r>
      <w:r w:rsidR="00567555">
        <w:rPr>
          <w:rFonts w:ascii="Cambria" w:hAnsi="Cambria"/>
          <w:noProof/>
          <w:szCs w:val="24"/>
        </w:rPr>
        <w:t>3</w:t>
      </w:r>
      <w:r w:rsidR="000A2FE7" w:rsidRPr="00EA1BB2">
        <w:rPr>
          <w:rFonts w:ascii="Cambria" w:hAnsi="Cambria"/>
          <w:szCs w:val="24"/>
        </w:rPr>
        <w:fldChar w:fldCharType="end"/>
      </w:r>
      <w:r w:rsidR="000A2FE7" w:rsidRPr="00EA1BB2">
        <w:rPr>
          <w:rFonts w:ascii="Cambria" w:hAnsi="Cambria"/>
          <w:szCs w:val="24"/>
        </w:rPr>
        <w:noBreakHyphen/>
      </w:r>
      <w:r w:rsidR="000A2FE7" w:rsidRPr="00EA1BB2">
        <w:rPr>
          <w:rFonts w:ascii="Cambria" w:hAnsi="Cambria"/>
          <w:szCs w:val="24"/>
        </w:rPr>
        <w:fldChar w:fldCharType="begin"/>
      </w:r>
      <w:r w:rsidR="000A2FE7" w:rsidRPr="00EA1BB2">
        <w:rPr>
          <w:rFonts w:ascii="Cambria" w:hAnsi="Cambria"/>
          <w:szCs w:val="24"/>
        </w:rPr>
        <w:instrText xml:space="preserve"> SEQ Tabelul_nr. \* ARABIC \s 1 </w:instrText>
      </w:r>
      <w:r w:rsidR="000A2FE7" w:rsidRPr="00EA1BB2">
        <w:rPr>
          <w:rFonts w:ascii="Cambria" w:hAnsi="Cambria"/>
          <w:szCs w:val="24"/>
        </w:rPr>
        <w:fldChar w:fldCharType="separate"/>
      </w:r>
      <w:r w:rsidR="00567555">
        <w:rPr>
          <w:rFonts w:ascii="Cambria" w:hAnsi="Cambria"/>
          <w:noProof/>
          <w:szCs w:val="24"/>
        </w:rPr>
        <w:t>17</w:t>
      </w:r>
      <w:r w:rsidR="000A2FE7" w:rsidRPr="00EA1BB2">
        <w:rPr>
          <w:rFonts w:ascii="Cambria" w:hAnsi="Cambria"/>
          <w:szCs w:val="24"/>
        </w:rPr>
        <w:fldChar w:fldCharType="end"/>
      </w:r>
      <w:r w:rsidRPr="00EA1BB2">
        <w:rPr>
          <w:rFonts w:ascii="Cambria" w:hAnsi="Cambria"/>
          <w:noProof/>
          <w:szCs w:val="24"/>
        </w:rPr>
        <w:t xml:space="preserve"> - </w:t>
      </w:r>
      <w:r w:rsidRPr="00EA1BB2">
        <w:rPr>
          <w:rFonts w:ascii="Cambria" w:eastAsia="Times New Roman" w:hAnsi="Cambria" w:cs="Times New Roman"/>
          <w:szCs w:val="24"/>
        </w:rPr>
        <w:t>Concentrația medie anuală pentru dioxidul de sulf (SO</w:t>
      </w:r>
      <w:r w:rsidRPr="00EA1BB2">
        <w:rPr>
          <w:rFonts w:ascii="Cambria" w:eastAsia="Times New Roman" w:hAnsi="Cambria" w:cs="Times New Roman"/>
          <w:szCs w:val="24"/>
          <w:vertAlign w:val="subscript"/>
        </w:rPr>
        <w:t>2</w:t>
      </w:r>
      <w:r w:rsidRPr="00EA1BB2">
        <w:rPr>
          <w:rFonts w:ascii="Cambria" w:eastAsia="Times New Roman" w:hAnsi="Cambria" w:cs="Times New Roman"/>
          <w:szCs w:val="24"/>
        </w:rPr>
        <w:t xml:space="preserve">), înregistrată la stațiile de monitorizare a aerului din </w:t>
      </w:r>
      <w:r w:rsidR="00785B8E" w:rsidRPr="00EA1BB2">
        <w:rPr>
          <w:rFonts w:ascii="Cambria" w:eastAsia="Times New Roman" w:hAnsi="Cambria" w:cs="Times New Roman"/>
          <w:szCs w:val="24"/>
        </w:rPr>
        <w:t>județul</w:t>
      </w:r>
      <w:r w:rsidRPr="00EA1BB2">
        <w:rPr>
          <w:rFonts w:ascii="Cambria" w:eastAsia="Times New Roman" w:hAnsi="Cambria" w:cs="Times New Roman"/>
          <w:szCs w:val="24"/>
        </w:rPr>
        <w:t xml:space="preserve"> Brăila, în perioada 2008-2017</w:t>
      </w:r>
      <w:bookmarkEnd w:id="124"/>
    </w:p>
    <w:tbl>
      <w:tblPr>
        <w:tblStyle w:val="TableGrid"/>
        <w:tblW w:w="9336" w:type="dxa"/>
        <w:jc w:val="center"/>
        <w:tblLook w:val="04A0" w:firstRow="1" w:lastRow="0" w:firstColumn="1" w:lastColumn="0" w:noHBand="0" w:noVBand="1"/>
      </w:tblPr>
      <w:tblGrid>
        <w:gridCol w:w="1329"/>
        <w:gridCol w:w="797"/>
        <w:gridCol w:w="797"/>
        <w:gridCol w:w="797"/>
        <w:gridCol w:w="785"/>
        <w:gridCol w:w="797"/>
        <w:gridCol w:w="785"/>
        <w:gridCol w:w="785"/>
        <w:gridCol w:w="785"/>
        <w:gridCol w:w="785"/>
        <w:gridCol w:w="894"/>
      </w:tblGrid>
      <w:tr w:rsidR="000023A8" w:rsidRPr="00EA1BB2" w14:paraId="78EB0294" w14:textId="77777777" w:rsidTr="00924FA0">
        <w:trPr>
          <w:trHeight w:val="105"/>
          <w:tblHeader/>
          <w:jc w:val="center"/>
        </w:trPr>
        <w:tc>
          <w:tcPr>
            <w:tcW w:w="1329" w:type="dxa"/>
            <w:vMerge w:val="restart"/>
            <w:shd w:val="clear" w:color="auto" w:fill="BDD6EE" w:themeFill="accent1" w:themeFillTint="66"/>
            <w:noWrap/>
            <w:vAlign w:val="center"/>
          </w:tcPr>
          <w:p w14:paraId="5DB8D2B1" w14:textId="77777777" w:rsidR="000023A8" w:rsidRPr="00EA1BB2" w:rsidRDefault="000023A8" w:rsidP="00B44687">
            <w:pPr>
              <w:spacing w:line="360" w:lineRule="auto"/>
              <w:jc w:val="center"/>
              <w:rPr>
                <w:rFonts w:ascii="Cambria" w:eastAsia="Times New Roman" w:hAnsi="Cambria" w:cs="Times New Roman"/>
                <w:b/>
                <w:sz w:val="20"/>
                <w:szCs w:val="24"/>
                <w:lang w:val="ro-RO"/>
              </w:rPr>
            </w:pPr>
            <w:r w:rsidRPr="00EA1BB2">
              <w:rPr>
                <w:rFonts w:ascii="Cambria" w:eastAsia="Times New Roman" w:hAnsi="Cambria" w:cs="Times New Roman"/>
                <w:b/>
                <w:sz w:val="20"/>
                <w:szCs w:val="24"/>
                <w:lang w:val="ro-RO"/>
              </w:rPr>
              <w:t xml:space="preserve">Stația de </w:t>
            </w:r>
          </w:p>
          <w:p w14:paraId="1677B1A3" w14:textId="77777777" w:rsidR="000023A8" w:rsidRPr="00EA1BB2" w:rsidRDefault="000023A8" w:rsidP="00B44687">
            <w:pPr>
              <w:spacing w:line="360" w:lineRule="auto"/>
              <w:ind w:left="-110" w:right="-98"/>
              <w:jc w:val="center"/>
              <w:rPr>
                <w:rFonts w:ascii="Cambria" w:eastAsia="Times New Roman" w:hAnsi="Cambria" w:cs="Times New Roman"/>
                <w:b/>
                <w:sz w:val="24"/>
                <w:szCs w:val="24"/>
                <w:lang w:val="ro-RO"/>
              </w:rPr>
            </w:pPr>
            <w:r w:rsidRPr="00EA1BB2">
              <w:rPr>
                <w:rFonts w:ascii="Cambria" w:eastAsia="Times New Roman" w:hAnsi="Cambria" w:cs="Times New Roman"/>
                <w:b/>
                <w:sz w:val="20"/>
                <w:szCs w:val="24"/>
                <w:lang w:val="ro-RO"/>
              </w:rPr>
              <w:t>monitorizare</w:t>
            </w:r>
          </w:p>
        </w:tc>
        <w:tc>
          <w:tcPr>
            <w:tcW w:w="8007" w:type="dxa"/>
            <w:gridSpan w:val="10"/>
            <w:shd w:val="clear" w:color="auto" w:fill="BDD6EE" w:themeFill="accent1" w:themeFillTint="66"/>
          </w:tcPr>
          <w:p w14:paraId="08E66BD2" w14:textId="77777777" w:rsidR="000023A8" w:rsidRPr="00EA1BB2" w:rsidRDefault="000023A8"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Concentrația medie anuală</w:t>
            </w:r>
          </w:p>
          <w:p w14:paraId="0AC31436" w14:textId="77777777" w:rsidR="000023A8" w:rsidRPr="00EA1BB2" w:rsidRDefault="00FE4144"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(µg</w:t>
            </w:r>
            <w:r w:rsidR="000023A8" w:rsidRPr="00EA1BB2">
              <w:rPr>
                <w:rFonts w:ascii="Cambria" w:eastAsia="Times New Roman" w:hAnsi="Cambria" w:cs="Times New Roman"/>
                <w:b/>
                <w:sz w:val="24"/>
                <w:szCs w:val="24"/>
                <w:lang w:val="ro-RO"/>
              </w:rPr>
              <w:t>/m</w:t>
            </w:r>
            <w:r w:rsidR="000023A8" w:rsidRPr="00EA1BB2">
              <w:rPr>
                <w:rFonts w:ascii="Cambria" w:eastAsia="Times New Roman" w:hAnsi="Cambria" w:cs="Times New Roman"/>
                <w:b/>
                <w:sz w:val="24"/>
                <w:szCs w:val="24"/>
                <w:vertAlign w:val="superscript"/>
                <w:lang w:val="ro-RO"/>
              </w:rPr>
              <w:t>3</w:t>
            </w:r>
            <w:r w:rsidR="000023A8" w:rsidRPr="00EA1BB2">
              <w:rPr>
                <w:rFonts w:ascii="Cambria" w:eastAsia="Times New Roman" w:hAnsi="Cambria" w:cs="Times New Roman"/>
                <w:b/>
                <w:sz w:val="24"/>
                <w:szCs w:val="24"/>
                <w:lang w:val="ro-RO"/>
              </w:rPr>
              <w:t>)</w:t>
            </w:r>
          </w:p>
        </w:tc>
      </w:tr>
      <w:tr w:rsidR="000023A8" w:rsidRPr="00EA1BB2" w14:paraId="2F4276D8" w14:textId="77777777" w:rsidTr="00924FA0">
        <w:trPr>
          <w:trHeight w:val="286"/>
          <w:tblHeader/>
          <w:jc w:val="center"/>
        </w:trPr>
        <w:tc>
          <w:tcPr>
            <w:tcW w:w="1329" w:type="dxa"/>
            <w:vMerge/>
            <w:shd w:val="clear" w:color="auto" w:fill="BDD6EE" w:themeFill="accent1" w:themeFillTint="66"/>
            <w:noWrap/>
            <w:vAlign w:val="center"/>
          </w:tcPr>
          <w:p w14:paraId="6ACED2FC" w14:textId="77777777" w:rsidR="000023A8" w:rsidRPr="00EA1BB2" w:rsidRDefault="000023A8" w:rsidP="00B44687">
            <w:pPr>
              <w:spacing w:line="360" w:lineRule="auto"/>
              <w:jc w:val="center"/>
              <w:rPr>
                <w:rFonts w:ascii="Cambria" w:eastAsia="Times New Roman" w:hAnsi="Cambria" w:cs="Times New Roman"/>
                <w:b/>
                <w:sz w:val="24"/>
                <w:szCs w:val="24"/>
                <w:lang w:val="ro-RO"/>
              </w:rPr>
            </w:pPr>
          </w:p>
        </w:tc>
        <w:tc>
          <w:tcPr>
            <w:tcW w:w="0" w:type="auto"/>
            <w:shd w:val="clear" w:color="auto" w:fill="BDD6EE" w:themeFill="accent1" w:themeFillTint="66"/>
          </w:tcPr>
          <w:p w14:paraId="1B810B0E" w14:textId="77777777" w:rsidR="000023A8" w:rsidRPr="00EA1BB2" w:rsidRDefault="000023A8"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2008</w:t>
            </w:r>
          </w:p>
        </w:tc>
        <w:tc>
          <w:tcPr>
            <w:tcW w:w="0" w:type="auto"/>
            <w:shd w:val="clear" w:color="auto" w:fill="BDD6EE" w:themeFill="accent1" w:themeFillTint="66"/>
          </w:tcPr>
          <w:p w14:paraId="4091D527" w14:textId="77777777" w:rsidR="000023A8" w:rsidRPr="00EA1BB2" w:rsidRDefault="000023A8"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2009</w:t>
            </w:r>
          </w:p>
        </w:tc>
        <w:tc>
          <w:tcPr>
            <w:tcW w:w="0" w:type="auto"/>
            <w:shd w:val="clear" w:color="auto" w:fill="BDD6EE" w:themeFill="accent1" w:themeFillTint="66"/>
          </w:tcPr>
          <w:p w14:paraId="35AB146E" w14:textId="77777777" w:rsidR="000023A8" w:rsidRPr="00EA1BB2" w:rsidRDefault="000023A8"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2010</w:t>
            </w:r>
          </w:p>
        </w:tc>
        <w:tc>
          <w:tcPr>
            <w:tcW w:w="0" w:type="auto"/>
            <w:shd w:val="clear" w:color="auto" w:fill="BDD6EE" w:themeFill="accent1" w:themeFillTint="66"/>
          </w:tcPr>
          <w:p w14:paraId="7F3BA2F0" w14:textId="77777777" w:rsidR="000023A8" w:rsidRPr="00EA1BB2" w:rsidRDefault="000023A8"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2011</w:t>
            </w:r>
          </w:p>
        </w:tc>
        <w:tc>
          <w:tcPr>
            <w:tcW w:w="0" w:type="auto"/>
            <w:shd w:val="clear" w:color="auto" w:fill="BDD6EE" w:themeFill="accent1" w:themeFillTint="66"/>
          </w:tcPr>
          <w:p w14:paraId="2DE6CF5E" w14:textId="77777777" w:rsidR="000023A8" w:rsidRPr="00EA1BB2" w:rsidRDefault="000023A8"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2012</w:t>
            </w:r>
          </w:p>
        </w:tc>
        <w:tc>
          <w:tcPr>
            <w:tcW w:w="0" w:type="auto"/>
            <w:shd w:val="clear" w:color="auto" w:fill="BDD6EE" w:themeFill="accent1" w:themeFillTint="66"/>
            <w:noWrap/>
            <w:vAlign w:val="center"/>
          </w:tcPr>
          <w:p w14:paraId="0AAE1E7F" w14:textId="77777777" w:rsidR="000023A8" w:rsidRPr="00EA1BB2" w:rsidRDefault="000023A8"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2013</w:t>
            </w:r>
          </w:p>
        </w:tc>
        <w:tc>
          <w:tcPr>
            <w:tcW w:w="0" w:type="auto"/>
            <w:shd w:val="clear" w:color="auto" w:fill="BDD6EE" w:themeFill="accent1" w:themeFillTint="66"/>
            <w:noWrap/>
            <w:vAlign w:val="center"/>
          </w:tcPr>
          <w:p w14:paraId="54D49D57" w14:textId="77777777" w:rsidR="000023A8" w:rsidRPr="00EA1BB2" w:rsidRDefault="000023A8"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2014</w:t>
            </w:r>
          </w:p>
        </w:tc>
        <w:tc>
          <w:tcPr>
            <w:tcW w:w="0" w:type="auto"/>
            <w:shd w:val="clear" w:color="auto" w:fill="BDD6EE" w:themeFill="accent1" w:themeFillTint="66"/>
            <w:noWrap/>
            <w:vAlign w:val="center"/>
          </w:tcPr>
          <w:p w14:paraId="7BA4FD13" w14:textId="77777777" w:rsidR="000023A8" w:rsidRPr="00EA1BB2" w:rsidRDefault="000023A8"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2015</w:t>
            </w:r>
          </w:p>
        </w:tc>
        <w:tc>
          <w:tcPr>
            <w:tcW w:w="785" w:type="dxa"/>
            <w:shd w:val="clear" w:color="auto" w:fill="BDD6EE" w:themeFill="accent1" w:themeFillTint="66"/>
            <w:noWrap/>
            <w:vAlign w:val="center"/>
          </w:tcPr>
          <w:p w14:paraId="038DC661" w14:textId="77777777" w:rsidR="000023A8" w:rsidRPr="00EA1BB2" w:rsidRDefault="000023A8"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2016</w:t>
            </w:r>
          </w:p>
        </w:tc>
        <w:tc>
          <w:tcPr>
            <w:tcW w:w="894" w:type="dxa"/>
            <w:shd w:val="clear" w:color="auto" w:fill="BDD6EE" w:themeFill="accent1" w:themeFillTint="66"/>
            <w:noWrap/>
            <w:vAlign w:val="center"/>
          </w:tcPr>
          <w:p w14:paraId="7100301B" w14:textId="325EDE00" w:rsidR="000023A8" w:rsidRPr="00EA1BB2" w:rsidRDefault="000023A8" w:rsidP="003948BC">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2017</w:t>
            </w:r>
          </w:p>
        </w:tc>
      </w:tr>
      <w:tr w:rsidR="000023A8" w:rsidRPr="00EA1BB2" w14:paraId="521A5590" w14:textId="77777777" w:rsidTr="00924FA0">
        <w:trPr>
          <w:trHeight w:val="340"/>
          <w:jc w:val="center"/>
        </w:trPr>
        <w:tc>
          <w:tcPr>
            <w:tcW w:w="1329" w:type="dxa"/>
            <w:noWrap/>
            <w:vAlign w:val="center"/>
          </w:tcPr>
          <w:p w14:paraId="23D5F9D6"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BR1</w:t>
            </w:r>
          </w:p>
        </w:tc>
        <w:tc>
          <w:tcPr>
            <w:tcW w:w="0" w:type="auto"/>
          </w:tcPr>
          <w:p w14:paraId="62DE5783" w14:textId="77777777" w:rsidR="000023A8" w:rsidRPr="00EA1BB2" w:rsidRDefault="00412385"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3,53</w:t>
            </w:r>
          </w:p>
        </w:tc>
        <w:tc>
          <w:tcPr>
            <w:tcW w:w="0" w:type="auto"/>
          </w:tcPr>
          <w:p w14:paraId="06D03574" w14:textId="77777777" w:rsidR="000023A8" w:rsidRPr="00EA1BB2" w:rsidRDefault="000F04C2"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8,67</w:t>
            </w:r>
          </w:p>
        </w:tc>
        <w:tc>
          <w:tcPr>
            <w:tcW w:w="0" w:type="auto"/>
          </w:tcPr>
          <w:p w14:paraId="7C9F5617"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07B69DFB"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03D74FC6"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761C0B22"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2CE41E00"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465FA936"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785" w:type="dxa"/>
            <w:noWrap/>
          </w:tcPr>
          <w:p w14:paraId="5EEB53D5" w14:textId="77777777" w:rsidR="000023A8" w:rsidRPr="00EA1BB2" w:rsidRDefault="000F04C2"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5,10</w:t>
            </w:r>
          </w:p>
        </w:tc>
        <w:tc>
          <w:tcPr>
            <w:tcW w:w="894" w:type="dxa"/>
            <w:noWrap/>
            <w:vAlign w:val="center"/>
          </w:tcPr>
          <w:p w14:paraId="04FBFCB5" w14:textId="77777777" w:rsidR="000023A8" w:rsidRPr="00EA1BB2" w:rsidRDefault="000F04C2"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5,08</w:t>
            </w:r>
          </w:p>
        </w:tc>
      </w:tr>
      <w:tr w:rsidR="000023A8" w:rsidRPr="00EA1BB2" w14:paraId="6E4CCB88" w14:textId="77777777" w:rsidTr="00924FA0">
        <w:trPr>
          <w:trHeight w:val="340"/>
          <w:jc w:val="center"/>
        </w:trPr>
        <w:tc>
          <w:tcPr>
            <w:tcW w:w="1329" w:type="dxa"/>
            <w:noWrap/>
            <w:vAlign w:val="center"/>
          </w:tcPr>
          <w:p w14:paraId="57515CCA"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BR2</w:t>
            </w:r>
          </w:p>
        </w:tc>
        <w:tc>
          <w:tcPr>
            <w:tcW w:w="0" w:type="auto"/>
          </w:tcPr>
          <w:p w14:paraId="6761854D"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2343C599" w14:textId="77777777" w:rsidR="000023A8" w:rsidRPr="00EA1BB2" w:rsidRDefault="000F04C2"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7A004443" w14:textId="77777777" w:rsidR="000023A8" w:rsidRPr="00EA1BB2" w:rsidRDefault="000F04C2"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11,62</w:t>
            </w:r>
          </w:p>
        </w:tc>
        <w:tc>
          <w:tcPr>
            <w:tcW w:w="0" w:type="auto"/>
          </w:tcPr>
          <w:p w14:paraId="7747BBB1"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15F87129"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7719EF1C"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38F6EE5F"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74238D3F"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785" w:type="dxa"/>
            <w:noWrap/>
          </w:tcPr>
          <w:p w14:paraId="12EEA8D1"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894" w:type="dxa"/>
            <w:noWrap/>
            <w:vAlign w:val="center"/>
          </w:tcPr>
          <w:p w14:paraId="68CF2860" w14:textId="77777777" w:rsidR="000023A8" w:rsidRPr="00EA1BB2" w:rsidRDefault="000F04C2"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4,41</w:t>
            </w:r>
          </w:p>
        </w:tc>
      </w:tr>
      <w:tr w:rsidR="000023A8" w:rsidRPr="00EA1BB2" w14:paraId="3AB96A0A" w14:textId="77777777" w:rsidTr="00924FA0">
        <w:trPr>
          <w:trHeight w:val="340"/>
          <w:jc w:val="center"/>
        </w:trPr>
        <w:tc>
          <w:tcPr>
            <w:tcW w:w="1329" w:type="dxa"/>
            <w:noWrap/>
            <w:vAlign w:val="center"/>
          </w:tcPr>
          <w:p w14:paraId="13290663"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BR3</w:t>
            </w:r>
          </w:p>
        </w:tc>
        <w:tc>
          <w:tcPr>
            <w:tcW w:w="0" w:type="auto"/>
          </w:tcPr>
          <w:p w14:paraId="27E6BFAF" w14:textId="77777777" w:rsidR="000023A8" w:rsidRPr="00EA1BB2" w:rsidRDefault="000F04C2"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6,41</w:t>
            </w:r>
          </w:p>
        </w:tc>
        <w:tc>
          <w:tcPr>
            <w:tcW w:w="0" w:type="auto"/>
          </w:tcPr>
          <w:p w14:paraId="5A546D7F" w14:textId="77777777" w:rsidR="000023A8" w:rsidRPr="00EA1BB2" w:rsidRDefault="000F04C2"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10,92</w:t>
            </w:r>
          </w:p>
        </w:tc>
        <w:tc>
          <w:tcPr>
            <w:tcW w:w="0" w:type="auto"/>
          </w:tcPr>
          <w:p w14:paraId="73F98191"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45EC8F1D"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1F3B13B2"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386F4412"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1F93270E"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6B4E069F"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785" w:type="dxa"/>
            <w:noWrap/>
          </w:tcPr>
          <w:p w14:paraId="2B60E6FE"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894" w:type="dxa"/>
            <w:noWrap/>
            <w:vAlign w:val="center"/>
          </w:tcPr>
          <w:p w14:paraId="3F8A6109" w14:textId="77777777" w:rsidR="000023A8" w:rsidRPr="00EA1BB2" w:rsidRDefault="000F04C2"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5,27</w:t>
            </w:r>
          </w:p>
        </w:tc>
      </w:tr>
      <w:tr w:rsidR="000023A8" w:rsidRPr="00EA1BB2" w14:paraId="0BD1F2CA" w14:textId="77777777" w:rsidTr="00924FA0">
        <w:trPr>
          <w:trHeight w:val="340"/>
          <w:jc w:val="center"/>
        </w:trPr>
        <w:tc>
          <w:tcPr>
            <w:tcW w:w="1329" w:type="dxa"/>
            <w:noWrap/>
            <w:vAlign w:val="center"/>
          </w:tcPr>
          <w:p w14:paraId="7625DE51"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BR4</w:t>
            </w:r>
          </w:p>
        </w:tc>
        <w:tc>
          <w:tcPr>
            <w:tcW w:w="0" w:type="auto"/>
          </w:tcPr>
          <w:p w14:paraId="25CEBDB7" w14:textId="77777777" w:rsidR="000023A8" w:rsidRPr="00EA1BB2" w:rsidRDefault="000F04C2"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10,56</w:t>
            </w:r>
          </w:p>
        </w:tc>
        <w:tc>
          <w:tcPr>
            <w:tcW w:w="0" w:type="auto"/>
          </w:tcPr>
          <w:p w14:paraId="0750EBBA" w14:textId="77777777" w:rsidR="000023A8" w:rsidRPr="00EA1BB2" w:rsidRDefault="000F04C2"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466FF4AB" w14:textId="77777777" w:rsidR="000023A8" w:rsidRPr="00EA1BB2" w:rsidRDefault="000F04C2"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13,64</w:t>
            </w:r>
          </w:p>
        </w:tc>
        <w:tc>
          <w:tcPr>
            <w:tcW w:w="0" w:type="auto"/>
          </w:tcPr>
          <w:p w14:paraId="500A2381"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3000EE78"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2EC94CEF"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7B993068"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3EE2FFD7"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785" w:type="dxa"/>
            <w:noWrap/>
          </w:tcPr>
          <w:p w14:paraId="257DB0E6"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894" w:type="dxa"/>
            <w:noWrap/>
            <w:vAlign w:val="center"/>
          </w:tcPr>
          <w:p w14:paraId="61F84091" w14:textId="77777777" w:rsidR="000023A8" w:rsidRPr="00EA1BB2" w:rsidRDefault="000F04C2"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5,36</w:t>
            </w:r>
          </w:p>
        </w:tc>
      </w:tr>
      <w:tr w:rsidR="000023A8" w:rsidRPr="00EA1BB2" w14:paraId="67FBE3F3" w14:textId="77777777" w:rsidTr="00924FA0">
        <w:trPr>
          <w:trHeight w:val="340"/>
          <w:jc w:val="center"/>
        </w:trPr>
        <w:tc>
          <w:tcPr>
            <w:tcW w:w="1329" w:type="dxa"/>
            <w:noWrap/>
            <w:vAlign w:val="center"/>
          </w:tcPr>
          <w:p w14:paraId="105BE961"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BR5</w:t>
            </w:r>
          </w:p>
        </w:tc>
        <w:tc>
          <w:tcPr>
            <w:tcW w:w="0" w:type="auto"/>
          </w:tcPr>
          <w:p w14:paraId="3114F858"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0C881419" w14:textId="77777777" w:rsidR="000023A8" w:rsidRPr="00EA1BB2" w:rsidRDefault="000F04C2"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12,41</w:t>
            </w:r>
          </w:p>
        </w:tc>
        <w:tc>
          <w:tcPr>
            <w:tcW w:w="0" w:type="auto"/>
          </w:tcPr>
          <w:p w14:paraId="5B77CB89" w14:textId="77777777" w:rsidR="000023A8" w:rsidRPr="00EA1BB2" w:rsidRDefault="000F04C2"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15,14</w:t>
            </w:r>
          </w:p>
        </w:tc>
        <w:tc>
          <w:tcPr>
            <w:tcW w:w="0" w:type="auto"/>
          </w:tcPr>
          <w:p w14:paraId="1DC8396A"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254F478A" w14:textId="77777777" w:rsidR="000023A8" w:rsidRPr="00EA1BB2" w:rsidRDefault="000F04C2"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17,34</w:t>
            </w:r>
          </w:p>
        </w:tc>
        <w:tc>
          <w:tcPr>
            <w:tcW w:w="0" w:type="auto"/>
            <w:noWrap/>
          </w:tcPr>
          <w:p w14:paraId="6D783D2A"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38CF71C3"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094C2946"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785" w:type="dxa"/>
            <w:noWrap/>
          </w:tcPr>
          <w:p w14:paraId="49D81754" w14:textId="77777777" w:rsidR="000023A8" w:rsidRPr="00EA1BB2" w:rsidRDefault="000023A8"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894" w:type="dxa"/>
            <w:noWrap/>
            <w:vAlign w:val="center"/>
          </w:tcPr>
          <w:p w14:paraId="0203D480" w14:textId="77777777" w:rsidR="000023A8" w:rsidRPr="00EA1BB2" w:rsidRDefault="000F04C2" w:rsidP="00B44687">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4,59</w:t>
            </w:r>
          </w:p>
        </w:tc>
      </w:tr>
    </w:tbl>
    <w:p w14:paraId="4564DCFC" w14:textId="6411EB18" w:rsidR="00924FA0" w:rsidRPr="00EA1BB2" w:rsidRDefault="00924FA0" w:rsidP="00924FA0">
      <w:pPr>
        <w:spacing w:line="276" w:lineRule="auto"/>
        <w:jc w:val="both"/>
        <w:rPr>
          <w:rFonts w:ascii="Cambria" w:eastAsia="Times New Roman" w:hAnsi="Cambria" w:cs="Times New Roman"/>
          <w:szCs w:val="24"/>
        </w:rPr>
      </w:pPr>
      <w:r w:rsidRPr="00EA1BB2">
        <w:rPr>
          <w:rFonts w:ascii="Cambria" w:eastAsia="Times New Roman" w:hAnsi="Cambria" w:cs="Times New Roman"/>
          <w:szCs w:val="24"/>
        </w:rPr>
        <w:t>Nivelul critic pentru protecția vegetației pentru perioada de mediere</w:t>
      </w:r>
      <w:r w:rsidR="00A909DC" w:rsidRPr="00EA1BB2">
        <w:rPr>
          <w:rFonts w:ascii="Cambria" w:eastAsia="Times New Roman" w:hAnsi="Cambria" w:cs="Times New Roman"/>
          <w:szCs w:val="24"/>
        </w:rPr>
        <w:t xml:space="preserve"> </w:t>
      </w:r>
      <w:r w:rsidRPr="00EA1BB2">
        <w:rPr>
          <w:rFonts w:ascii="Cambria" w:eastAsia="Times New Roman" w:hAnsi="Cambria" w:cs="Times New Roman"/>
          <w:szCs w:val="24"/>
        </w:rPr>
        <w:t>an calendaristic și iarnă (1 octombrie - 31 martie) pentru SO</w:t>
      </w:r>
      <w:r w:rsidRPr="00EA1BB2">
        <w:rPr>
          <w:rFonts w:ascii="Cambria" w:eastAsia="Times New Roman" w:hAnsi="Cambria" w:cs="Times New Roman"/>
          <w:szCs w:val="24"/>
          <w:vertAlign w:val="subscript"/>
        </w:rPr>
        <w:t>2</w:t>
      </w:r>
      <w:r w:rsidRPr="00EA1BB2">
        <w:rPr>
          <w:rFonts w:ascii="Cambria" w:eastAsia="Times New Roman" w:hAnsi="Cambria" w:cs="Times New Roman"/>
          <w:szCs w:val="24"/>
        </w:rPr>
        <w:t xml:space="preserve"> este 20 µg/m</w:t>
      </w:r>
      <w:r w:rsidRPr="00EA1BB2">
        <w:rPr>
          <w:rFonts w:ascii="Cambria" w:eastAsia="Times New Roman" w:hAnsi="Cambria" w:cs="Times New Roman"/>
          <w:szCs w:val="24"/>
          <w:vertAlign w:val="superscript"/>
        </w:rPr>
        <w:t>3</w:t>
      </w:r>
      <w:r w:rsidR="006605AF" w:rsidRPr="00EA1BB2">
        <w:rPr>
          <w:rFonts w:ascii="Cambria" w:eastAsia="Times New Roman" w:hAnsi="Cambria" w:cs="Times New Roman"/>
          <w:szCs w:val="24"/>
        </w:rPr>
        <w:t xml:space="preserve">. </w:t>
      </w:r>
    </w:p>
    <w:p w14:paraId="19380C4F" w14:textId="77777777" w:rsidR="00A76AB0" w:rsidRPr="00EA1BB2" w:rsidRDefault="00A76AB0" w:rsidP="00A76AB0">
      <w:pPr>
        <w:spacing w:line="276" w:lineRule="auto"/>
        <w:jc w:val="both"/>
        <w:rPr>
          <w:rFonts w:ascii="Cambria" w:eastAsia="Times New Roman" w:hAnsi="Cambria" w:cs="Times New Roman"/>
          <w:szCs w:val="24"/>
        </w:rPr>
      </w:pPr>
      <w:r w:rsidRPr="00EA1BB2">
        <w:rPr>
          <w:rFonts w:ascii="Cambria" w:eastAsia="Times New Roman" w:hAnsi="Cambria" w:cs="Times New Roman"/>
          <w:szCs w:val="24"/>
        </w:rPr>
        <w:t xml:space="preserve">Sursa date: </w:t>
      </w:r>
      <w:hyperlink r:id="rId67" w:history="1">
        <w:r w:rsidRPr="00EA1BB2">
          <w:rPr>
            <w:rStyle w:val="Hyperlink"/>
            <w:rFonts w:ascii="Cambria" w:eastAsia="Times New Roman" w:hAnsi="Cambria" w:cs="Times New Roman"/>
            <w:szCs w:val="24"/>
          </w:rPr>
          <w:t>www.calitateaer.ro</w:t>
        </w:r>
      </w:hyperlink>
      <w:r w:rsidRPr="00EA1BB2">
        <w:rPr>
          <w:rFonts w:ascii="Cambria" w:eastAsia="Times New Roman" w:hAnsi="Cambria" w:cs="Times New Roman"/>
          <w:szCs w:val="24"/>
        </w:rPr>
        <w:t xml:space="preserve"> accesat la data de 11.07.2018</w:t>
      </w:r>
    </w:p>
    <w:p w14:paraId="163CEB46" w14:textId="77777777" w:rsidR="00744560" w:rsidRPr="00EA1BB2" w:rsidRDefault="00744560" w:rsidP="0033579E">
      <w:pPr>
        <w:spacing w:line="360" w:lineRule="auto"/>
        <w:jc w:val="both"/>
        <w:rPr>
          <w:rFonts w:ascii="Cambria" w:eastAsia="Times New Roman" w:hAnsi="Cambria" w:cs="Times New Roman"/>
          <w:sz w:val="24"/>
          <w:szCs w:val="24"/>
        </w:rPr>
      </w:pPr>
    </w:p>
    <w:p w14:paraId="3A1A953A" w14:textId="77777777" w:rsidR="00A02CBE" w:rsidRPr="00EA1BB2" w:rsidRDefault="009211B6" w:rsidP="009211B6">
      <w:pPr>
        <w:spacing w:line="360" w:lineRule="auto"/>
        <w:ind w:firstLine="708"/>
        <w:jc w:val="both"/>
        <w:rPr>
          <w:rFonts w:ascii="Cambria" w:eastAsia="Times New Roman" w:hAnsi="Cambria" w:cs="Times New Roman"/>
          <w:sz w:val="24"/>
          <w:szCs w:val="24"/>
        </w:rPr>
      </w:pPr>
      <w:r w:rsidRPr="00EA1BB2">
        <w:rPr>
          <w:rFonts w:ascii="Cambria" w:eastAsia="Times New Roman" w:hAnsi="Cambria" w:cs="Times New Roman"/>
          <w:sz w:val="24"/>
          <w:szCs w:val="24"/>
        </w:rPr>
        <w:t>Valoarea maximă a concentrațiilor medii orare pentru dioxidul de sulf (SO</w:t>
      </w:r>
      <w:r w:rsidRPr="00EA1BB2">
        <w:rPr>
          <w:rFonts w:ascii="Cambria" w:eastAsia="Times New Roman" w:hAnsi="Cambria" w:cs="Times New Roman"/>
          <w:sz w:val="24"/>
          <w:szCs w:val="24"/>
          <w:vertAlign w:val="subscript"/>
        </w:rPr>
        <w:t>2</w:t>
      </w:r>
      <w:r w:rsidRPr="00EA1BB2">
        <w:rPr>
          <w:rFonts w:ascii="Cambria" w:eastAsia="Times New Roman" w:hAnsi="Cambria" w:cs="Times New Roman"/>
          <w:sz w:val="24"/>
          <w:szCs w:val="24"/>
        </w:rPr>
        <w:t xml:space="preserve">), înregistrată la stațiile de monitorizare a aerului din </w:t>
      </w:r>
      <w:r w:rsidR="003833CA" w:rsidRPr="00EA1BB2">
        <w:rPr>
          <w:rFonts w:ascii="Cambria" w:eastAsia="Times New Roman" w:hAnsi="Cambria" w:cs="Times New Roman"/>
          <w:sz w:val="24"/>
          <w:szCs w:val="24"/>
        </w:rPr>
        <w:t>județul</w:t>
      </w:r>
      <w:r w:rsidRPr="00EA1BB2">
        <w:rPr>
          <w:rFonts w:ascii="Cambria" w:eastAsia="Times New Roman" w:hAnsi="Cambria" w:cs="Times New Roman"/>
          <w:sz w:val="24"/>
          <w:szCs w:val="24"/>
        </w:rPr>
        <w:t xml:space="preserve"> Brăila, în perioada 2008-2017, pentru anii în care captura de date a fost suficientă pentru evaluarea calității aerului în conformitate cu criteriul privind obiectivele de calitate și criteriile pentru calculul parametrilor statici prevăzute în Legea 104/2011 cu modificările ulterioare, sunt prezentate în tabelul de mai jos.</w:t>
      </w:r>
    </w:p>
    <w:p w14:paraId="28DB9FC6" w14:textId="77777777" w:rsidR="009211B6" w:rsidRPr="00EA1BB2" w:rsidRDefault="009211B6" w:rsidP="009211B6">
      <w:pPr>
        <w:spacing w:line="360" w:lineRule="auto"/>
        <w:jc w:val="both"/>
        <w:rPr>
          <w:rFonts w:ascii="Cambria" w:eastAsia="Times New Roman" w:hAnsi="Cambria" w:cs="Times New Roman"/>
          <w:sz w:val="24"/>
          <w:szCs w:val="24"/>
        </w:rPr>
      </w:pPr>
    </w:p>
    <w:p w14:paraId="0C8D3045" w14:textId="04714DB1" w:rsidR="00DA5F35" w:rsidRPr="00EA1BB2" w:rsidRDefault="00DA5F35" w:rsidP="00DA5F35">
      <w:pPr>
        <w:pStyle w:val="Caption"/>
        <w:keepNext/>
        <w:spacing w:after="0" w:line="360" w:lineRule="auto"/>
        <w:ind w:firstLine="708"/>
        <w:jc w:val="both"/>
        <w:rPr>
          <w:rFonts w:ascii="Cambria" w:eastAsia="Times New Roman" w:hAnsi="Cambria" w:cs="Times New Roman"/>
          <w:b w:val="0"/>
          <w:szCs w:val="24"/>
        </w:rPr>
      </w:pPr>
      <w:bookmarkStart w:id="125" w:name="_Toc526889787"/>
      <w:r w:rsidRPr="00EA1BB2">
        <w:rPr>
          <w:rFonts w:ascii="Cambria" w:hAnsi="Cambria"/>
          <w:szCs w:val="24"/>
        </w:rPr>
        <w:lastRenderedPageBreak/>
        <w:t xml:space="preserve">Tabelul nr. </w:t>
      </w:r>
      <w:r w:rsidR="000A2FE7" w:rsidRPr="00EA1BB2">
        <w:rPr>
          <w:rFonts w:ascii="Cambria" w:hAnsi="Cambria"/>
          <w:szCs w:val="24"/>
        </w:rPr>
        <w:fldChar w:fldCharType="begin"/>
      </w:r>
      <w:r w:rsidR="000A2FE7" w:rsidRPr="00EA1BB2">
        <w:rPr>
          <w:rFonts w:ascii="Cambria" w:hAnsi="Cambria"/>
          <w:szCs w:val="24"/>
        </w:rPr>
        <w:instrText xml:space="preserve"> STYLEREF 1 \s </w:instrText>
      </w:r>
      <w:r w:rsidR="000A2FE7" w:rsidRPr="00EA1BB2">
        <w:rPr>
          <w:rFonts w:ascii="Cambria" w:hAnsi="Cambria"/>
          <w:szCs w:val="24"/>
        </w:rPr>
        <w:fldChar w:fldCharType="separate"/>
      </w:r>
      <w:r w:rsidR="00567555">
        <w:rPr>
          <w:rFonts w:ascii="Cambria" w:hAnsi="Cambria"/>
          <w:noProof/>
          <w:szCs w:val="24"/>
        </w:rPr>
        <w:t>3</w:t>
      </w:r>
      <w:r w:rsidR="000A2FE7" w:rsidRPr="00EA1BB2">
        <w:rPr>
          <w:rFonts w:ascii="Cambria" w:hAnsi="Cambria"/>
          <w:szCs w:val="24"/>
        </w:rPr>
        <w:fldChar w:fldCharType="end"/>
      </w:r>
      <w:r w:rsidR="000A2FE7" w:rsidRPr="00EA1BB2">
        <w:rPr>
          <w:rFonts w:ascii="Cambria" w:hAnsi="Cambria"/>
          <w:szCs w:val="24"/>
        </w:rPr>
        <w:noBreakHyphen/>
      </w:r>
      <w:r w:rsidR="000A2FE7" w:rsidRPr="00EA1BB2">
        <w:rPr>
          <w:rFonts w:ascii="Cambria" w:hAnsi="Cambria"/>
          <w:szCs w:val="24"/>
        </w:rPr>
        <w:fldChar w:fldCharType="begin"/>
      </w:r>
      <w:r w:rsidR="000A2FE7" w:rsidRPr="00EA1BB2">
        <w:rPr>
          <w:rFonts w:ascii="Cambria" w:hAnsi="Cambria"/>
          <w:szCs w:val="24"/>
        </w:rPr>
        <w:instrText xml:space="preserve"> SEQ Tabelul_nr. \* ARABIC \s 1 </w:instrText>
      </w:r>
      <w:r w:rsidR="000A2FE7" w:rsidRPr="00EA1BB2">
        <w:rPr>
          <w:rFonts w:ascii="Cambria" w:hAnsi="Cambria"/>
          <w:szCs w:val="24"/>
        </w:rPr>
        <w:fldChar w:fldCharType="separate"/>
      </w:r>
      <w:r w:rsidR="00567555">
        <w:rPr>
          <w:rFonts w:ascii="Cambria" w:hAnsi="Cambria"/>
          <w:noProof/>
          <w:szCs w:val="24"/>
        </w:rPr>
        <w:t>18</w:t>
      </w:r>
      <w:r w:rsidR="000A2FE7" w:rsidRPr="00EA1BB2">
        <w:rPr>
          <w:rFonts w:ascii="Cambria" w:hAnsi="Cambria"/>
          <w:szCs w:val="24"/>
        </w:rPr>
        <w:fldChar w:fldCharType="end"/>
      </w:r>
      <w:r w:rsidRPr="00EA1BB2">
        <w:rPr>
          <w:rFonts w:ascii="Cambria" w:hAnsi="Cambria"/>
          <w:noProof/>
          <w:szCs w:val="24"/>
        </w:rPr>
        <w:t xml:space="preserve"> - </w:t>
      </w:r>
      <w:r w:rsidRPr="00EA1BB2">
        <w:rPr>
          <w:rFonts w:ascii="Cambria" w:eastAsia="Times New Roman" w:hAnsi="Cambria" w:cs="Times New Roman"/>
          <w:szCs w:val="24"/>
        </w:rPr>
        <w:t>Valoarea maximă a concentrațiilor m</w:t>
      </w:r>
      <w:r w:rsidR="009211B6" w:rsidRPr="00EA1BB2">
        <w:rPr>
          <w:rFonts w:ascii="Cambria" w:eastAsia="Times New Roman" w:hAnsi="Cambria" w:cs="Times New Roman"/>
          <w:szCs w:val="24"/>
        </w:rPr>
        <w:t>edii</w:t>
      </w:r>
      <w:r w:rsidRPr="00EA1BB2">
        <w:rPr>
          <w:rFonts w:ascii="Cambria" w:eastAsia="Times New Roman" w:hAnsi="Cambria" w:cs="Times New Roman"/>
          <w:szCs w:val="24"/>
        </w:rPr>
        <w:t xml:space="preserve"> orare pentru dioxidul de sulf (SO</w:t>
      </w:r>
      <w:r w:rsidRPr="00EA1BB2">
        <w:rPr>
          <w:rFonts w:ascii="Cambria" w:eastAsia="Times New Roman" w:hAnsi="Cambria" w:cs="Times New Roman"/>
          <w:szCs w:val="24"/>
          <w:vertAlign w:val="subscript"/>
        </w:rPr>
        <w:t>2</w:t>
      </w:r>
      <w:r w:rsidRPr="00EA1BB2">
        <w:rPr>
          <w:rFonts w:ascii="Cambria" w:eastAsia="Times New Roman" w:hAnsi="Cambria" w:cs="Times New Roman"/>
          <w:szCs w:val="24"/>
        </w:rPr>
        <w:t xml:space="preserve">), înregistrată la stațiile de monitorizare a aerului din </w:t>
      </w:r>
      <w:r w:rsidR="00785B8E" w:rsidRPr="00EA1BB2">
        <w:rPr>
          <w:rFonts w:ascii="Cambria" w:eastAsia="Times New Roman" w:hAnsi="Cambria" w:cs="Times New Roman"/>
          <w:szCs w:val="24"/>
        </w:rPr>
        <w:t>județul</w:t>
      </w:r>
      <w:r w:rsidRPr="00EA1BB2">
        <w:rPr>
          <w:rFonts w:ascii="Cambria" w:eastAsia="Times New Roman" w:hAnsi="Cambria" w:cs="Times New Roman"/>
          <w:szCs w:val="24"/>
        </w:rPr>
        <w:t xml:space="preserve"> Brăila, în perioada 2008-2017</w:t>
      </w:r>
      <w:bookmarkEnd w:id="125"/>
    </w:p>
    <w:tbl>
      <w:tblPr>
        <w:tblStyle w:val="TableGrid"/>
        <w:tblW w:w="9498" w:type="dxa"/>
        <w:jc w:val="center"/>
        <w:tblLook w:val="04A0" w:firstRow="1" w:lastRow="0" w:firstColumn="1" w:lastColumn="0" w:noHBand="0" w:noVBand="1"/>
      </w:tblPr>
      <w:tblGrid>
        <w:gridCol w:w="1329"/>
        <w:gridCol w:w="797"/>
        <w:gridCol w:w="797"/>
        <w:gridCol w:w="930"/>
        <w:gridCol w:w="785"/>
        <w:gridCol w:w="797"/>
        <w:gridCol w:w="785"/>
        <w:gridCol w:w="785"/>
        <w:gridCol w:w="785"/>
        <w:gridCol w:w="799"/>
        <w:gridCol w:w="909"/>
      </w:tblGrid>
      <w:tr w:rsidR="00DA5F35" w:rsidRPr="00EA1BB2" w14:paraId="3DDF88FA" w14:textId="77777777" w:rsidTr="00CF6FEF">
        <w:trPr>
          <w:trHeight w:val="105"/>
          <w:tblHeader/>
          <w:jc w:val="center"/>
        </w:trPr>
        <w:tc>
          <w:tcPr>
            <w:tcW w:w="1329" w:type="dxa"/>
            <w:vMerge w:val="restart"/>
            <w:shd w:val="clear" w:color="auto" w:fill="BDD6EE" w:themeFill="accent1" w:themeFillTint="66"/>
            <w:noWrap/>
            <w:vAlign w:val="center"/>
          </w:tcPr>
          <w:p w14:paraId="1F818988" w14:textId="77777777" w:rsidR="00DA5F35" w:rsidRPr="00EA1BB2" w:rsidRDefault="00DA5F35" w:rsidP="00F96DB3">
            <w:pPr>
              <w:spacing w:line="360" w:lineRule="auto"/>
              <w:jc w:val="center"/>
              <w:rPr>
                <w:rFonts w:ascii="Cambria" w:eastAsia="Times New Roman" w:hAnsi="Cambria" w:cs="Times New Roman"/>
                <w:b/>
                <w:sz w:val="20"/>
                <w:szCs w:val="24"/>
                <w:lang w:val="ro-RO"/>
              </w:rPr>
            </w:pPr>
            <w:r w:rsidRPr="00EA1BB2">
              <w:rPr>
                <w:rFonts w:ascii="Cambria" w:eastAsia="Times New Roman" w:hAnsi="Cambria" w:cs="Times New Roman"/>
                <w:b/>
                <w:sz w:val="20"/>
                <w:szCs w:val="24"/>
                <w:lang w:val="ro-RO"/>
              </w:rPr>
              <w:t xml:space="preserve">Stația de </w:t>
            </w:r>
          </w:p>
          <w:p w14:paraId="4785DE4D" w14:textId="77777777" w:rsidR="00DA5F35" w:rsidRPr="00EA1BB2" w:rsidRDefault="00DA5F35" w:rsidP="00F96DB3">
            <w:pPr>
              <w:spacing w:line="360" w:lineRule="auto"/>
              <w:ind w:left="-110" w:right="-98"/>
              <w:jc w:val="center"/>
              <w:rPr>
                <w:rFonts w:ascii="Cambria" w:eastAsia="Times New Roman" w:hAnsi="Cambria" w:cs="Times New Roman"/>
                <w:b/>
                <w:sz w:val="24"/>
                <w:szCs w:val="24"/>
                <w:lang w:val="ro-RO"/>
              </w:rPr>
            </w:pPr>
            <w:r w:rsidRPr="00EA1BB2">
              <w:rPr>
                <w:rFonts w:ascii="Cambria" w:eastAsia="Times New Roman" w:hAnsi="Cambria" w:cs="Times New Roman"/>
                <w:b/>
                <w:sz w:val="20"/>
                <w:szCs w:val="24"/>
                <w:lang w:val="ro-RO"/>
              </w:rPr>
              <w:t>monitorizare</w:t>
            </w:r>
          </w:p>
        </w:tc>
        <w:tc>
          <w:tcPr>
            <w:tcW w:w="8169" w:type="dxa"/>
            <w:gridSpan w:val="10"/>
            <w:shd w:val="clear" w:color="auto" w:fill="BDD6EE" w:themeFill="accent1" w:themeFillTint="66"/>
          </w:tcPr>
          <w:p w14:paraId="75AE1D24" w14:textId="77777777" w:rsidR="00DA5F35" w:rsidRPr="00EA1BB2" w:rsidRDefault="00DA5F35" w:rsidP="0033579E">
            <w:pPr>
              <w:spacing w:line="276"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 xml:space="preserve">Concentrația </w:t>
            </w:r>
            <w:r w:rsidR="009211B6" w:rsidRPr="00EA1BB2">
              <w:rPr>
                <w:rFonts w:ascii="Cambria" w:eastAsia="Times New Roman" w:hAnsi="Cambria" w:cs="Times New Roman"/>
                <w:b/>
                <w:sz w:val="24"/>
                <w:szCs w:val="24"/>
                <w:lang w:val="ro-RO"/>
              </w:rPr>
              <w:t xml:space="preserve">maximă a </w:t>
            </w:r>
            <w:r w:rsidRPr="00EA1BB2">
              <w:rPr>
                <w:rFonts w:ascii="Cambria" w:eastAsia="Times New Roman" w:hAnsi="Cambria" w:cs="Times New Roman"/>
                <w:b/>
                <w:sz w:val="24"/>
                <w:szCs w:val="24"/>
                <w:lang w:val="ro-RO"/>
              </w:rPr>
              <w:t>m</w:t>
            </w:r>
            <w:r w:rsidR="009211B6" w:rsidRPr="00EA1BB2">
              <w:rPr>
                <w:rFonts w:ascii="Cambria" w:eastAsia="Times New Roman" w:hAnsi="Cambria" w:cs="Times New Roman"/>
                <w:b/>
                <w:sz w:val="24"/>
                <w:szCs w:val="24"/>
                <w:lang w:val="ro-RO"/>
              </w:rPr>
              <w:t>ediei</w:t>
            </w:r>
            <w:r w:rsidRPr="00EA1BB2">
              <w:rPr>
                <w:rFonts w:ascii="Cambria" w:eastAsia="Times New Roman" w:hAnsi="Cambria" w:cs="Times New Roman"/>
                <w:b/>
                <w:sz w:val="24"/>
                <w:szCs w:val="24"/>
                <w:lang w:val="ro-RO"/>
              </w:rPr>
              <w:t xml:space="preserve"> orar</w:t>
            </w:r>
            <w:r w:rsidR="009211B6" w:rsidRPr="00EA1BB2">
              <w:rPr>
                <w:rFonts w:ascii="Cambria" w:eastAsia="Times New Roman" w:hAnsi="Cambria" w:cs="Times New Roman"/>
                <w:b/>
                <w:sz w:val="24"/>
                <w:szCs w:val="24"/>
                <w:lang w:val="ro-RO"/>
              </w:rPr>
              <w:t>e</w:t>
            </w:r>
          </w:p>
          <w:p w14:paraId="33A0E0DF" w14:textId="77777777" w:rsidR="00DA5F35" w:rsidRPr="00EA1BB2" w:rsidRDefault="00DA5F35" w:rsidP="00DA5F35">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(µg/m</w:t>
            </w:r>
            <w:r w:rsidRPr="00EA1BB2">
              <w:rPr>
                <w:rFonts w:ascii="Cambria" w:eastAsia="Times New Roman" w:hAnsi="Cambria" w:cs="Times New Roman"/>
                <w:b/>
                <w:sz w:val="24"/>
                <w:szCs w:val="24"/>
                <w:vertAlign w:val="superscript"/>
                <w:lang w:val="ro-RO"/>
              </w:rPr>
              <w:t>3</w:t>
            </w:r>
            <w:r w:rsidRPr="00EA1BB2">
              <w:rPr>
                <w:rFonts w:ascii="Cambria" w:eastAsia="Times New Roman" w:hAnsi="Cambria" w:cs="Times New Roman"/>
                <w:b/>
                <w:sz w:val="24"/>
                <w:szCs w:val="24"/>
                <w:lang w:val="ro-RO"/>
              </w:rPr>
              <w:t>)</w:t>
            </w:r>
          </w:p>
        </w:tc>
      </w:tr>
      <w:tr w:rsidR="00CF6FEF" w:rsidRPr="00EA1BB2" w14:paraId="0B6CB00B" w14:textId="77777777" w:rsidTr="00CF6FEF">
        <w:trPr>
          <w:trHeight w:val="286"/>
          <w:tblHeader/>
          <w:jc w:val="center"/>
        </w:trPr>
        <w:tc>
          <w:tcPr>
            <w:tcW w:w="1329" w:type="dxa"/>
            <w:vMerge/>
            <w:shd w:val="clear" w:color="auto" w:fill="BDD6EE" w:themeFill="accent1" w:themeFillTint="66"/>
            <w:noWrap/>
            <w:vAlign w:val="center"/>
          </w:tcPr>
          <w:p w14:paraId="4396C0FA" w14:textId="77777777" w:rsidR="00DA5F35" w:rsidRPr="00EA1BB2" w:rsidRDefault="00DA5F35" w:rsidP="00F96DB3">
            <w:pPr>
              <w:spacing w:line="360" w:lineRule="auto"/>
              <w:jc w:val="center"/>
              <w:rPr>
                <w:rFonts w:ascii="Cambria" w:eastAsia="Times New Roman" w:hAnsi="Cambria" w:cs="Times New Roman"/>
                <w:b/>
                <w:sz w:val="24"/>
                <w:szCs w:val="24"/>
                <w:lang w:val="ro-RO"/>
              </w:rPr>
            </w:pPr>
          </w:p>
        </w:tc>
        <w:tc>
          <w:tcPr>
            <w:tcW w:w="0" w:type="auto"/>
            <w:shd w:val="clear" w:color="auto" w:fill="BDD6EE" w:themeFill="accent1" w:themeFillTint="66"/>
          </w:tcPr>
          <w:p w14:paraId="09760EB7" w14:textId="77777777" w:rsidR="00DA5F35" w:rsidRPr="00EA1BB2" w:rsidRDefault="00DA5F35" w:rsidP="0033579E">
            <w:pPr>
              <w:spacing w:line="276"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2008</w:t>
            </w:r>
          </w:p>
        </w:tc>
        <w:tc>
          <w:tcPr>
            <w:tcW w:w="0" w:type="auto"/>
            <w:shd w:val="clear" w:color="auto" w:fill="BDD6EE" w:themeFill="accent1" w:themeFillTint="66"/>
          </w:tcPr>
          <w:p w14:paraId="111F386F" w14:textId="77777777" w:rsidR="00DA5F35" w:rsidRPr="00EA1BB2" w:rsidRDefault="00DA5F35" w:rsidP="0033579E">
            <w:pPr>
              <w:spacing w:line="276"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2009</w:t>
            </w:r>
          </w:p>
        </w:tc>
        <w:tc>
          <w:tcPr>
            <w:tcW w:w="0" w:type="auto"/>
            <w:shd w:val="clear" w:color="auto" w:fill="BDD6EE" w:themeFill="accent1" w:themeFillTint="66"/>
          </w:tcPr>
          <w:p w14:paraId="75C4A568" w14:textId="77777777" w:rsidR="00DA5F35" w:rsidRPr="00EA1BB2" w:rsidRDefault="00DA5F35" w:rsidP="0033579E">
            <w:pPr>
              <w:spacing w:line="276"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2010</w:t>
            </w:r>
          </w:p>
        </w:tc>
        <w:tc>
          <w:tcPr>
            <w:tcW w:w="0" w:type="auto"/>
            <w:shd w:val="clear" w:color="auto" w:fill="BDD6EE" w:themeFill="accent1" w:themeFillTint="66"/>
          </w:tcPr>
          <w:p w14:paraId="140A71A2" w14:textId="77777777" w:rsidR="00DA5F35" w:rsidRPr="00EA1BB2" w:rsidRDefault="00DA5F35" w:rsidP="0033579E">
            <w:pPr>
              <w:spacing w:line="276"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2011</w:t>
            </w:r>
          </w:p>
        </w:tc>
        <w:tc>
          <w:tcPr>
            <w:tcW w:w="0" w:type="auto"/>
            <w:shd w:val="clear" w:color="auto" w:fill="BDD6EE" w:themeFill="accent1" w:themeFillTint="66"/>
          </w:tcPr>
          <w:p w14:paraId="6FB60839" w14:textId="77777777" w:rsidR="00DA5F35" w:rsidRPr="00EA1BB2" w:rsidRDefault="00DA5F35" w:rsidP="0033579E">
            <w:pPr>
              <w:spacing w:line="276"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2012</w:t>
            </w:r>
          </w:p>
        </w:tc>
        <w:tc>
          <w:tcPr>
            <w:tcW w:w="0" w:type="auto"/>
            <w:shd w:val="clear" w:color="auto" w:fill="BDD6EE" w:themeFill="accent1" w:themeFillTint="66"/>
            <w:noWrap/>
            <w:vAlign w:val="center"/>
          </w:tcPr>
          <w:p w14:paraId="356671A3" w14:textId="77777777" w:rsidR="00DA5F35" w:rsidRPr="00EA1BB2" w:rsidRDefault="00DA5F35" w:rsidP="0033579E">
            <w:pPr>
              <w:spacing w:line="276"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2013</w:t>
            </w:r>
          </w:p>
        </w:tc>
        <w:tc>
          <w:tcPr>
            <w:tcW w:w="0" w:type="auto"/>
            <w:shd w:val="clear" w:color="auto" w:fill="BDD6EE" w:themeFill="accent1" w:themeFillTint="66"/>
            <w:noWrap/>
            <w:vAlign w:val="center"/>
          </w:tcPr>
          <w:p w14:paraId="362248AA" w14:textId="77777777" w:rsidR="00DA5F35" w:rsidRPr="00EA1BB2" w:rsidRDefault="00DA5F35" w:rsidP="0033579E">
            <w:pPr>
              <w:spacing w:line="276"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2014</w:t>
            </w:r>
          </w:p>
        </w:tc>
        <w:tc>
          <w:tcPr>
            <w:tcW w:w="0" w:type="auto"/>
            <w:shd w:val="clear" w:color="auto" w:fill="BDD6EE" w:themeFill="accent1" w:themeFillTint="66"/>
            <w:noWrap/>
            <w:vAlign w:val="center"/>
          </w:tcPr>
          <w:p w14:paraId="5C4A826A" w14:textId="77777777" w:rsidR="00DA5F35" w:rsidRPr="00EA1BB2" w:rsidRDefault="00DA5F35" w:rsidP="0033579E">
            <w:pPr>
              <w:spacing w:line="276"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2015</w:t>
            </w:r>
          </w:p>
        </w:tc>
        <w:tc>
          <w:tcPr>
            <w:tcW w:w="799" w:type="dxa"/>
            <w:shd w:val="clear" w:color="auto" w:fill="BDD6EE" w:themeFill="accent1" w:themeFillTint="66"/>
            <w:noWrap/>
            <w:vAlign w:val="center"/>
          </w:tcPr>
          <w:p w14:paraId="317A027D" w14:textId="77777777" w:rsidR="00DA5F35" w:rsidRPr="00EA1BB2" w:rsidRDefault="00DA5F35" w:rsidP="0033579E">
            <w:pPr>
              <w:spacing w:line="276"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2016</w:t>
            </w:r>
          </w:p>
        </w:tc>
        <w:tc>
          <w:tcPr>
            <w:tcW w:w="909" w:type="dxa"/>
            <w:shd w:val="clear" w:color="auto" w:fill="BDD6EE" w:themeFill="accent1" w:themeFillTint="66"/>
            <w:noWrap/>
            <w:vAlign w:val="center"/>
          </w:tcPr>
          <w:p w14:paraId="30BE310E" w14:textId="49513489" w:rsidR="00DA5F35" w:rsidRPr="00EA1BB2" w:rsidRDefault="00DA5F35" w:rsidP="00C913AA">
            <w:pPr>
              <w:spacing w:line="276"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2017</w:t>
            </w:r>
          </w:p>
        </w:tc>
      </w:tr>
      <w:tr w:rsidR="004A1F13" w:rsidRPr="00EA1BB2" w14:paraId="5A404C1D" w14:textId="77777777" w:rsidTr="00F96DB3">
        <w:trPr>
          <w:trHeight w:val="340"/>
          <w:jc w:val="center"/>
        </w:trPr>
        <w:tc>
          <w:tcPr>
            <w:tcW w:w="1329" w:type="dxa"/>
            <w:noWrap/>
            <w:vAlign w:val="center"/>
          </w:tcPr>
          <w:p w14:paraId="63AA542F"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BR1</w:t>
            </w:r>
          </w:p>
        </w:tc>
        <w:tc>
          <w:tcPr>
            <w:tcW w:w="0" w:type="auto"/>
          </w:tcPr>
          <w:p w14:paraId="186C8623"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hAnsi="Cambria"/>
                <w:sz w:val="24"/>
                <w:szCs w:val="24"/>
                <w:lang w:val="ro-RO"/>
              </w:rPr>
              <w:t>25,79</w:t>
            </w:r>
          </w:p>
        </w:tc>
        <w:tc>
          <w:tcPr>
            <w:tcW w:w="0" w:type="auto"/>
          </w:tcPr>
          <w:p w14:paraId="1662B83F"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hAnsi="Cambria"/>
                <w:sz w:val="24"/>
                <w:szCs w:val="24"/>
                <w:lang w:val="ro-RO"/>
              </w:rPr>
              <w:t>34.33</w:t>
            </w:r>
          </w:p>
        </w:tc>
        <w:tc>
          <w:tcPr>
            <w:tcW w:w="0" w:type="auto"/>
          </w:tcPr>
          <w:p w14:paraId="6442FFF5"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7962473F"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4A5435A5"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1B9ADB3A"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1ED90335"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065CD882"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799" w:type="dxa"/>
            <w:noWrap/>
          </w:tcPr>
          <w:p w14:paraId="32EA94F2"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hAnsi="Cambria"/>
                <w:sz w:val="24"/>
                <w:szCs w:val="24"/>
                <w:lang w:val="ro-RO"/>
              </w:rPr>
              <w:t>35.21</w:t>
            </w:r>
          </w:p>
        </w:tc>
        <w:tc>
          <w:tcPr>
            <w:tcW w:w="909" w:type="dxa"/>
            <w:noWrap/>
          </w:tcPr>
          <w:p w14:paraId="6C60D7B6"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hAnsi="Cambria"/>
                <w:sz w:val="24"/>
                <w:szCs w:val="24"/>
                <w:lang w:val="ro-RO"/>
              </w:rPr>
              <w:t>55,06</w:t>
            </w:r>
          </w:p>
        </w:tc>
      </w:tr>
      <w:tr w:rsidR="004A1F13" w:rsidRPr="00EA1BB2" w14:paraId="69BB42C4" w14:textId="77777777" w:rsidTr="00CF6FEF">
        <w:trPr>
          <w:trHeight w:val="340"/>
          <w:jc w:val="center"/>
        </w:trPr>
        <w:tc>
          <w:tcPr>
            <w:tcW w:w="1329" w:type="dxa"/>
            <w:noWrap/>
            <w:vAlign w:val="center"/>
          </w:tcPr>
          <w:p w14:paraId="6FB4DD0F"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BR2</w:t>
            </w:r>
          </w:p>
        </w:tc>
        <w:tc>
          <w:tcPr>
            <w:tcW w:w="0" w:type="auto"/>
          </w:tcPr>
          <w:p w14:paraId="08917134"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4EB088F8"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65836AF5"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hAnsi="Cambria"/>
                <w:sz w:val="24"/>
                <w:szCs w:val="24"/>
                <w:lang w:val="ro-RO"/>
              </w:rPr>
              <w:t>105.29</w:t>
            </w:r>
          </w:p>
        </w:tc>
        <w:tc>
          <w:tcPr>
            <w:tcW w:w="0" w:type="auto"/>
          </w:tcPr>
          <w:p w14:paraId="7DAB232D"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29715DF3"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7D2DFCA1"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6841A605"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398AFFA2"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799" w:type="dxa"/>
            <w:noWrap/>
          </w:tcPr>
          <w:p w14:paraId="247DC052"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909" w:type="dxa"/>
            <w:noWrap/>
          </w:tcPr>
          <w:p w14:paraId="0747D4CC"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hAnsi="Cambria"/>
                <w:sz w:val="24"/>
                <w:szCs w:val="24"/>
                <w:lang w:val="ro-RO"/>
              </w:rPr>
              <w:t>39,54</w:t>
            </w:r>
          </w:p>
        </w:tc>
      </w:tr>
      <w:tr w:rsidR="004A1F13" w:rsidRPr="00EA1BB2" w14:paraId="3538BD12" w14:textId="77777777" w:rsidTr="00CF6FEF">
        <w:trPr>
          <w:trHeight w:val="340"/>
          <w:jc w:val="center"/>
        </w:trPr>
        <w:tc>
          <w:tcPr>
            <w:tcW w:w="1329" w:type="dxa"/>
            <w:noWrap/>
            <w:vAlign w:val="center"/>
          </w:tcPr>
          <w:p w14:paraId="4FFD3CEF"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BR3</w:t>
            </w:r>
          </w:p>
        </w:tc>
        <w:tc>
          <w:tcPr>
            <w:tcW w:w="0" w:type="auto"/>
          </w:tcPr>
          <w:p w14:paraId="41176D99"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hAnsi="Cambria"/>
                <w:sz w:val="24"/>
                <w:szCs w:val="24"/>
                <w:lang w:val="ro-RO"/>
              </w:rPr>
              <w:t>41,39</w:t>
            </w:r>
          </w:p>
        </w:tc>
        <w:tc>
          <w:tcPr>
            <w:tcW w:w="0" w:type="auto"/>
          </w:tcPr>
          <w:p w14:paraId="3AD45914"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hAnsi="Cambria"/>
                <w:sz w:val="24"/>
                <w:szCs w:val="24"/>
                <w:lang w:val="ro-RO"/>
              </w:rPr>
              <w:t>58.20</w:t>
            </w:r>
          </w:p>
        </w:tc>
        <w:tc>
          <w:tcPr>
            <w:tcW w:w="0" w:type="auto"/>
          </w:tcPr>
          <w:p w14:paraId="7F6A2D94"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27637463"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2D74C9EA"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7472E893"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7751560C"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065EF3F0"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799" w:type="dxa"/>
            <w:noWrap/>
          </w:tcPr>
          <w:p w14:paraId="03C0EF1F"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909" w:type="dxa"/>
            <w:noWrap/>
          </w:tcPr>
          <w:p w14:paraId="1BA21CD4"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hAnsi="Cambria"/>
                <w:sz w:val="24"/>
                <w:szCs w:val="24"/>
                <w:lang w:val="ro-RO"/>
              </w:rPr>
              <w:t>43,38</w:t>
            </w:r>
          </w:p>
        </w:tc>
      </w:tr>
      <w:tr w:rsidR="004A1F13" w:rsidRPr="00EA1BB2" w14:paraId="7698604D" w14:textId="77777777" w:rsidTr="00F96DB3">
        <w:trPr>
          <w:trHeight w:val="340"/>
          <w:jc w:val="center"/>
        </w:trPr>
        <w:tc>
          <w:tcPr>
            <w:tcW w:w="1329" w:type="dxa"/>
            <w:noWrap/>
            <w:vAlign w:val="center"/>
          </w:tcPr>
          <w:p w14:paraId="5CBA1D06"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BR4</w:t>
            </w:r>
          </w:p>
        </w:tc>
        <w:tc>
          <w:tcPr>
            <w:tcW w:w="0" w:type="auto"/>
          </w:tcPr>
          <w:p w14:paraId="6AF865F0"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hAnsi="Cambria"/>
                <w:sz w:val="24"/>
                <w:szCs w:val="24"/>
                <w:lang w:val="ro-RO"/>
              </w:rPr>
              <w:t>43,67</w:t>
            </w:r>
          </w:p>
        </w:tc>
        <w:tc>
          <w:tcPr>
            <w:tcW w:w="0" w:type="auto"/>
          </w:tcPr>
          <w:p w14:paraId="566BA491"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7A953C98"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hAnsi="Cambria"/>
                <w:sz w:val="24"/>
                <w:szCs w:val="24"/>
                <w:lang w:val="ro-RO"/>
              </w:rPr>
              <w:t>64.71</w:t>
            </w:r>
          </w:p>
        </w:tc>
        <w:tc>
          <w:tcPr>
            <w:tcW w:w="0" w:type="auto"/>
          </w:tcPr>
          <w:p w14:paraId="4A427EF7"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740DAB5C"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4B73DC43"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36D5C949"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4297D248"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799" w:type="dxa"/>
            <w:noWrap/>
          </w:tcPr>
          <w:p w14:paraId="556AE90D"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909" w:type="dxa"/>
            <w:noWrap/>
          </w:tcPr>
          <w:p w14:paraId="017B69D9"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hAnsi="Cambria"/>
                <w:sz w:val="24"/>
                <w:szCs w:val="24"/>
                <w:lang w:val="ro-RO"/>
              </w:rPr>
              <w:t>51,73</w:t>
            </w:r>
          </w:p>
        </w:tc>
      </w:tr>
      <w:tr w:rsidR="004A1F13" w:rsidRPr="00EA1BB2" w14:paraId="1B33915F" w14:textId="77777777" w:rsidTr="00F96DB3">
        <w:trPr>
          <w:trHeight w:val="340"/>
          <w:jc w:val="center"/>
        </w:trPr>
        <w:tc>
          <w:tcPr>
            <w:tcW w:w="1329" w:type="dxa"/>
            <w:noWrap/>
            <w:vAlign w:val="center"/>
          </w:tcPr>
          <w:p w14:paraId="4EB36C33"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BR5</w:t>
            </w:r>
          </w:p>
        </w:tc>
        <w:tc>
          <w:tcPr>
            <w:tcW w:w="0" w:type="auto"/>
          </w:tcPr>
          <w:p w14:paraId="544ABA11"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51D0FA56"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hAnsi="Cambria"/>
                <w:sz w:val="24"/>
                <w:szCs w:val="24"/>
                <w:lang w:val="ro-RO"/>
              </w:rPr>
              <w:t>66.76</w:t>
            </w:r>
          </w:p>
        </w:tc>
        <w:tc>
          <w:tcPr>
            <w:tcW w:w="0" w:type="auto"/>
          </w:tcPr>
          <w:p w14:paraId="59209F1D"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hAnsi="Cambria"/>
                <w:sz w:val="24"/>
                <w:szCs w:val="24"/>
                <w:lang w:val="ro-RO"/>
              </w:rPr>
              <w:t>98.59</w:t>
            </w:r>
          </w:p>
        </w:tc>
        <w:tc>
          <w:tcPr>
            <w:tcW w:w="0" w:type="auto"/>
          </w:tcPr>
          <w:p w14:paraId="53850EA0"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328EE9F7"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hAnsi="Cambria"/>
                <w:sz w:val="24"/>
                <w:szCs w:val="24"/>
                <w:lang w:val="ro-RO"/>
              </w:rPr>
              <w:t>67.42</w:t>
            </w:r>
          </w:p>
        </w:tc>
        <w:tc>
          <w:tcPr>
            <w:tcW w:w="0" w:type="auto"/>
            <w:noWrap/>
          </w:tcPr>
          <w:p w14:paraId="2FB27A67"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6D0E9ACE"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6455C56C"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799" w:type="dxa"/>
            <w:noWrap/>
          </w:tcPr>
          <w:p w14:paraId="4983B25A"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909" w:type="dxa"/>
            <w:noWrap/>
          </w:tcPr>
          <w:p w14:paraId="5C5DF2AC" w14:textId="77777777" w:rsidR="004A1F13" w:rsidRPr="00EA1BB2" w:rsidRDefault="004A1F13" w:rsidP="004A1F13">
            <w:pPr>
              <w:spacing w:line="360" w:lineRule="auto"/>
              <w:jc w:val="center"/>
              <w:rPr>
                <w:rFonts w:ascii="Cambria" w:eastAsia="Times New Roman" w:hAnsi="Cambria" w:cs="Times New Roman"/>
                <w:sz w:val="24"/>
                <w:szCs w:val="24"/>
                <w:lang w:val="ro-RO"/>
              </w:rPr>
            </w:pPr>
            <w:r w:rsidRPr="00EA1BB2">
              <w:rPr>
                <w:rFonts w:ascii="Cambria" w:hAnsi="Cambria"/>
                <w:sz w:val="24"/>
                <w:szCs w:val="24"/>
                <w:lang w:val="ro-RO"/>
              </w:rPr>
              <w:t>51,76</w:t>
            </w:r>
          </w:p>
        </w:tc>
      </w:tr>
    </w:tbl>
    <w:p w14:paraId="245C97AB" w14:textId="77777777" w:rsidR="00DA5F35" w:rsidRPr="00EA1BB2" w:rsidRDefault="00DA5F35" w:rsidP="00DA5F35">
      <w:pPr>
        <w:spacing w:line="276" w:lineRule="auto"/>
        <w:jc w:val="both"/>
        <w:rPr>
          <w:rFonts w:ascii="Cambria" w:eastAsia="Times New Roman" w:hAnsi="Cambria" w:cs="Times New Roman"/>
          <w:szCs w:val="24"/>
        </w:rPr>
      </w:pPr>
      <w:r w:rsidRPr="00EA1BB2">
        <w:rPr>
          <w:rFonts w:ascii="Cambria" w:eastAsia="Times New Roman" w:hAnsi="Cambria" w:cs="Times New Roman"/>
          <w:szCs w:val="24"/>
        </w:rPr>
        <w:t>Valoarea</w:t>
      </w:r>
      <w:r w:rsidR="00831372" w:rsidRPr="00EA1BB2">
        <w:rPr>
          <w:rFonts w:ascii="Cambria" w:eastAsia="Times New Roman" w:hAnsi="Cambria" w:cs="Times New Roman"/>
          <w:szCs w:val="24"/>
        </w:rPr>
        <w:t>-</w:t>
      </w:r>
      <w:r w:rsidRPr="00EA1BB2">
        <w:rPr>
          <w:rFonts w:ascii="Cambria" w:eastAsia="Times New Roman" w:hAnsi="Cambria" w:cs="Times New Roman"/>
          <w:szCs w:val="24"/>
        </w:rPr>
        <w:t>limită orară pentru protecția sănătății umane a concentrației maxime orare pentru SO</w:t>
      </w:r>
      <w:r w:rsidRPr="00EA1BB2">
        <w:rPr>
          <w:rFonts w:ascii="Cambria" w:eastAsia="Times New Roman" w:hAnsi="Cambria" w:cs="Times New Roman"/>
          <w:szCs w:val="24"/>
          <w:vertAlign w:val="subscript"/>
        </w:rPr>
        <w:t>2</w:t>
      </w:r>
      <w:r w:rsidRPr="00EA1BB2">
        <w:rPr>
          <w:rFonts w:ascii="Cambria" w:eastAsia="Times New Roman" w:hAnsi="Cambria" w:cs="Times New Roman"/>
          <w:szCs w:val="24"/>
        </w:rPr>
        <w:t xml:space="preserve"> este 350 µg/m</w:t>
      </w:r>
      <w:r w:rsidRPr="00EA1BB2">
        <w:rPr>
          <w:rFonts w:ascii="Cambria" w:eastAsia="Times New Roman" w:hAnsi="Cambria" w:cs="Times New Roman"/>
          <w:szCs w:val="24"/>
          <w:vertAlign w:val="superscript"/>
        </w:rPr>
        <w:t>3</w:t>
      </w:r>
      <w:r w:rsidR="00880DD8" w:rsidRPr="00EA1BB2">
        <w:rPr>
          <w:rFonts w:ascii="Cambria" w:eastAsia="Times New Roman" w:hAnsi="Cambria" w:cs="Times New Roman"/>
          <w:szCs w:val="24"/>
        </w:rPr>
        <w:t xml:space="preserve"> (a nu se depăși de mai mult de 24 ori într-un an calendaristic)</w:t>
      </w:r>
    </w:p>
    <w:p w14:paraId="3EAE3A48" w14:textId="77777777" w:rsidR="00DA5F35" w:rsidRPr="00EA1BB2" w:rsidRDefault="00DA5F35" w:rsidP="00DA5F35">
      <w:pPr>
        <w:spacing w:line="276" w:lineRule="auto"/>
        <w:jc w:val="both"/>
        <w:rPr>
          <w:rFonts w:ascii="Cambria" w:eastAsia="Times New Roman" w:hAnsi="Cambria" w:cs="Times New Roman"/>
          <w:szCs w:val="24"/>
        </w:rPr>
      </w:pPr>
      <w:r w:rsidRPr="00EA1BB2">
        <w:rPr>
          <w:rFonts w:ascii="Cambria" w:eastAsia="Times New Roman" w:hAnsi="Cambria" w:cs="Times New Roman"/>
          <w:szCs w:val="24"/>
        </w:rPr>
        <w:t xml:space="preserve">Sursa date: </w:t>
      </w:r>
      <w:hyperlink r:id="rId68" w:history="1">
        <w:r w:rsidRPr="00EA1BB2">
          <w:rPr>
            <w:rStyle w:val="Hyperlink"/>
            <w:rFonts w:ascii="Cambria" w:eastAsia="Times New Roman" w:hAnsi="Cambria" w:cs="Times New Roman"/>
            <w:szCs w:val="24"/>
          </w:rPr>
          <w:t>www.calitateaer.ro</w:t>
        </w:r>
      </w:hyperlink>
      <w:r w:rsidRPr="00EA1BB2">
        <w:rPr>
          <w:rFonts w:ascii="Cambria" w:eastAsia="Times New Roman" w:hAnsi="Cambria" w:cs="Times New Roman"/>
          <w:szCs w:val="24"/>
        </w:rPr>
        <w:t xml:space="preserve"> accesat la data de 11.07.2018</w:t>
      </w:r>
    </w:p>
    <w:p w14:paraId="3CFEB625" w14:textId="77777777" w:rsidR="00A02CBE" w:rsidRPr="00EA1BB2" w:rsidRDefault="00A02CBE" w:rsidP="0033579E">
      <w:pPr>
        <w:jc w:val="both"/>
        <w:rPr>
          <w:rFonts w:ascii="Cambria" w:eastAsia="Times New Roman" w:hAnsi="Cambria" w:cs="Times New Roman"/>
          <w:sz w:val="24"/>
          <w:szCs w:val="24"/>
        </w:rPr>
      </w:pPr>
    </w:p>
    <w:p w14:paraId="129E890E" w14:textId="600A3801" w:rsidR="00A02CBE" w:rsidRDefault="00A909DC" w:rsidP="009211B6">
      <w:pPr>
        <w:spacing w:line="360" w:lineRule="auto"/>
        <w:ind w:firstLine="708"/>
        <w:jc w:val="both"/>
        <w:rPr>
          <w:rFonts w:ascii="Cambria" w:eastAsia="Times New Roman" w:hAnsi="Cambria" w:cs="Times New Roman"/>
          <w:sz w:val="24"/>
          <w:szCs w:val="24"/>
        </w:rPr>
      </w:pPr>
      <w:r w:rsidRPr="00EA1BB2">
        <w:rPr>
          <w:rFonts w:ascii="Cambria" w:eastAsia="Times New Roman" w:hAnsi="Cambria" w:cs="Times New Roman"/>
          <w:sz w:val="24"/>
          <w:szCs w:val="24"/>
        </w:rPr>
        <w:t>Valorile</w:t>
      </w:r>
      <w:r w:rsidR="009211B6" w:rsidRPr="00EA1BB2">
        <w:rPr>
          <w:rFonts w:ascii="Cambria" w:eastAsia="Times New Roman" w:hAnsi="Cambria" w:cs="Times New Roman"/>
          <w:sz w:val="24"/>
          <w:szCs w:val="24"/>
        </w:rPr>
        <w:t xml:space="preserve"> maxim</w:t>
      </w:r>
      <w:r w:rsidR="00C913AA" w:rsidRPr="00EA1BB2">
        <w:rPr>
          <w:rFonts w:ascii="Cambria" w:eastAsia="Times New Roman" w:hAnsi="Cambria" w:cs="Times New Roman"/>
          <w:sz w:val="24"/>
          <w:szCs w:val="24"/>
        </w:rPr>
        <w:t>e</w:t>
      </w:r>
      <w:r w:rsidR="009211B6" w:rsidRPr="00EA1BB2">
        <w:rPr>
          <w:rFonts w:ascii="Cambria" w:eastAsia="Times New Roman" w:hAnsi="Cambria" w:cs="Times New Roman"/>
          <w:sz w:val="24"/>
          <w:szCs w:val="24"/>
        </w:rPr>
        <w:t xml:space="preserve"> a</w:t>
      </w:r>
      <w:r w:rsidR="00C913AA" w:rsidRPr="00EA1BB2">
        <w:rPr>
          <w:rFonts w:ascii="Cambria" w:eastAsia="Times New Roman" w:hAnsi="Cambria" w:cs="Times New Roman"/>
          <w:sz w:val="24"/>
          <w:szCs w:val="24"/>
        </w:rPr>
        <w:t>le</w:t>
      </w:r>
      <w:r w:rsidR="009211B6" w:rsidRPr="00EA1BB2">
        <w:rPr>
          <w:rFonts w:ascii="Cambria" w:eastAsia="Times New Roman" w:hAnsi="Cambria" w:cs="Times New Roman"/>
          <w:sz w:val="24"/>
          <w:szCs w:val="24"/>
        </w:rPr>
        <w:t xml:space="preserve"> concentrațiilor medii zilnice pentru dioxidul de sulf (SO</w:t>
      </w:r>
      <w:r w:rsidR="009211B6" w:rsidRPr="00EA1BB2">
        <w:rPr>
          <w:rFonts w:ascii="Cambria" w:eastAsia="Times New Roman" w:hAnsi="Cambria" w:cs="Times New Roman"/>
          <w:sz w:val="24"/>
          <w:szCs w:val="24"/>
          <w:vertAlign w:val="subscript"/>
        </w:rPr>
        <w:t>2</w:t>
      </w:r>
      <w:r w:rsidR="009211B6" w:rsidRPr="00EA1BB2">
        <w:rPr>
          <w:rFonts w:ascii="Cambria" w:eastAsia="Times New Roman" w:hAnsi="Cambria" w:cs="Times New Roman"/>
          <w:sz w:val="24"/>
          <w:szCs w:val="24"/>
        </w:rPr>
        <w:t>), înregistrat</w:t>
      </w:r>
      <w:r w:rsidR="00A2357A" w:rsidRPr="00EA1BB2">
        <w:rPr>
          <w:rFonts w:ascii="Cambria" w:eastAsia="Times New Roman" w:hAnsi="Cambria" w:cs="Times New Roman"/>
          <w:sz w:val="24"/>
          <w:szCs w:val="24"/>
        </w:rPr>
        <w:t>e</w:t>
      </w:r>
      <w:r w:rsidR="009211B6" w:rsidRPr="00EA1BB2">
        <w:rPr>
          <w:rFonts w:ascii="Cambria" w:eastAsia="Times New Roman" w:hAnsi="Cambria" w:cs="Times New Roman"/>
          <w:sz w:val="24"/>
          <w:szCs w:val="24"/>
        </w:rPr>
        <w:t xml:space="preserve"> la stațiile de monitorizare a aerului din </w:t>
      </w:r>
      <w:r w:rsidR="00573C72" w:rsidRPr="00EA1BB2">
        <w:rPr>
          <w:rFonts w:ascii="Cambria" w:eastAsia="Times New Roman" w:hAnsi="Cambria" w:cs="Times New Roman"/>
          <w:sz w:val="24"/>
          <w:szCs w:val="24"/>
        </w:rPr>
        <w:t>județul</w:t>
      </w:r>
      <w:r w:rsidR="009211B6" w:rsidRPr="00EA1BB2">
        <w:rPr>
          <w:rFonts w:ascii="Cambria" w:eastAsia="Times New Roman" w:hAnsi="Cambria" w:cs="Times New Roman"/>
          <w:sz w:val="24"/>
          <w:szCs w:val="24"/>
        </w:rPr>
        <w:t xml:space="preserve"> Brăila, în perioada 2008-2017, pentru anii în care captura de date a fost suficientă pentru evaluarea calității aerului în conformitate cu criteriul privind obiectivele de calitate și criteriile pentru calculul parametrilor statici prevăzute în Legea 104/2011 cu modificările ulterioare, sunt prezentate în tabelul de mai jos.</w:t>
      </w:r>
    </w:p>
    <w:p w14:paraId="0313792D" w14:textId="77777777" w:rsidR="00C31A2A" w:rsidRPr="00EA1BB2" w:rsidRDefault="00C31A2A" w:rsidP="009211B6">
      <w:pPr>
        <w:spacing w:line="360" w:lineRule="auto"/>
        <w:ind w:firstLine="708"/>
        <w:jc w:val="both"/>
        <w:rPr>
          <w:rFonts w:ascii="Cambria" w:eastAsia="Times New Roman" w:hAnsi="Cambria" w:cs="Times New Roman"/>
          <w:sz w:val="24"/>
          <w:szCs w:val="24"/>
        </w:rPr>
      </w:pPr>
    </w:p>
    <w:p w14:paraId="66FC88DE" w14:textId="189C50B8" w:rsidR="00615D1E" w:rsidRPr="00EA1BB2" w:rsidRDefault="00615D1E" w:rsidP="00615D1E">
      <w:pPr>
        <w:pStyle w:val="Caption"/>
        <w:keepNext/>
        <w:spacing w:after="0" w:line="360" w:lineRule="auto"/>
        <w:ind w:firstLine="708"/>
        <w:jc w:val="both"/>
        <w:rPr>
          <w:rFonts w:ascii="Cambria" w:eastAsia="Times New Roman" w:hAnsi="Cambria" w:cs="Times New Roman"/>
          <w:b w:val="0"/>
          <w:szCs w:val="24"/>
        </w:rPr>
      </w:pPr>
      <w:bookmarkStart w:id="126" w:name="_Toc526889788"/>
      <w:r w:rsidRPr="00EA1BB2">
        <w:rPr>
          <w:rFonts w:ascii="Cambria" w:hAnsi="Cambria"/>
          <w:szCs w:val="24"/>
        </w:rPr>
        <w:t xml:space="preserve">Tabelul nr. </w:t>
      </w:r>
      <w:r w:rsidR="000A2FE7" w:rsidRPr="00EA1BB2">
        <w:rPr>
          <w:rFonts w:ascii="Cambria" w:hAnsi="Cambria"/>
          <w:szCs w:val="24"/>
        </w:rPr>
        <w:fldChar w:fldCharType="begin"/>
      </w:r>
      <w:r w:rsidR="000A2FE7" w:rsidRPr="00EA1BB2">
        <w:rPr>
          <w:rFonts w:ascii="Cambria" w:hAnsi="Cambria"/>
          <w:szCs w:val="24"/>
        </w:rPr>
        <w:instrText xml:space="preserve"> STYLEREF 1 \s </w:instrText>
      </w:r>
      <w:r w:rsidR="000A2FE7" w:rsidRPr="00EA1BB2">
        <w:rPr>
          <w:rFonts w:ascii="Cambria" w:hAnsi="Cambria"/>
          <w:szCs w:val="24"/>
        </w:rPr>
        <w:fldChar w:fldCharType="separate"/>
      </w:r>
      <w:r w:rsidR="00567555">
        <w:rPr>
          <w:rFonts w:ascii="Cambria" w:hAnsi="Cambria"/>
          <w:noProof/>
          <w:szCs w:val="24"/>
        </w:rPr>
        <w:t>3</w:t>
      </w:r>
      <w:r w:rsidR="000A2FE7" w:rsidRPr="00EA1BB2">
        <w:rPr>
          <w:rFonts w:ascii="Cambria" w:hAnsi="Cambria"/>
          <w:szCs w:val="24"/>
        </w:rPr>
        <w:fldChar w:fldCharType="end"/>
      </w:r>
      <w:r w:rsidR="000A2FE7" w:rsidRPr="00EA1BB2">
        <w:rPr>
          <w:rFonts w:ascii="Cambria" w:hAnsi="Cambria"/>
          <w:szCs w:val="24"/>
        </w:rPr>
        <w:noBreakHyphen/>
      </w:r>
      <w:r w:rsidR="000A2FE7" w:rsidRPr="00EA1BB2">
        <w:rPr>
          <w:rFonts w:ascii="Cambria" w:hAnsi="Cambria"/>
          <w:szCs w:val="24"/>
        </w:rPr>
        <w:fldChar w:fldCharType="begin"/>
      </w:r>
      <w:r w:rsidR="000A2FE7" w:rsidRPr="00EA1BB2">
        <w:rPr>
          <w:rFonts w:ascii="Cambria" w:hAnsi="Cambria"/>
          <w:szCs w:val="24"/>
        </w:rPr>
        <w:instrText xml:space="preserve"> SEQ Tabelul_nr. \* ARABIC \s 1 </w:instrText>
      </w:r>
      <w:r w:rsidR="000A2FE7" w:rsidRPr="00EA1BB2">
        <w:rPr>
          <w:rFonts w:ascii="Cambria" w:hAnsi="Cambria"/>
          <w:szCs w:val="24"/>
        </w:rPr>
        <w:fldChar w:fldCharType="separate"/>
      </w:r>
      <w:r w:rsidR="00567555">
        <w:rPr>
          <w:rFonts w:ascii="Cambria" w:hAnsi="Cambria"/>
          <w:noProof/>
          <w:szCs w:val="24"/>
        </w:rPr>
        <w:t>19</w:t>
      </w:r>
      <w:r w:rsidR="000A2FE7" w:rsidRPr="00EA1BB2">
        <w:rPr>
          <w:rFonts w:ascii="Cambria" w:hAnsi="Cambria"/>
          <w:szCs w:val="24"/>
        </w:rPr>
        <w:fldChar w:fldCharType="end"/>
      </w:r>
      <w:r w:rsidRPr="00EA1BB2">
        <w:rPr>
          <w:rFonts w:ascii="Cambria" w:hAnsi="Cambria"/>
          <w:noProof/>
          <w:szCs w:val="24"/>
        </w:rPr>
        <w:t xml:space="preserve"> - </w:t>
      </w:r>
      <w:r w:rsidRPr="00EA1BB2">
        <w:rPr>
          <w:rFonts w:ascii="Cambria" w:eastAsia="Times New Roman" w:hAnsi="Cambria" w:cs="Times New Roman"/>
          <w:szCs w:val="24"/>
        </w:rPr>
        <w:t>Valoarea maximă a concentrațiilor m</w:t>
      </w:r>
      <w:r w:rsidR="009211B6" w:rsidRPr="00EA1BB2">
        <w:rPr>
          <w:rFonts w:ascii="Cambria" w:eastAsia="Times New Roman" w:hAnsi="Cambria" w:cs="Times New Roman"/>
          <w:szCs w:val="24"/>
        </w:rPr>
        <w:t>edii</w:t>
      </w:r>
      <w:r w:rsidRPr="00EA1BB2">
        <w:rPr>
          <w:rFonts w:ascii="Cambria" w:eastAsia="Times New Roman" w:hAnsi="Cambria" w:cs="Times New Roman"/>
          <w:szCs w:val="24"/>
        </w:rPr>
        <w:t xml:space="preserve"> zilnice pentru dioxidul de sulf (SO</w:t>
      </w:r>
      <w:r w:rsidRPr="00EA1BB2">
        <w:rPr>
          <w:rFonts w:ascii="Cambria" w:eastAsia="Times New Roman" w:hAnsi="Cambria" w:cs="Times New Roman"/>
          <w:szCs w:val="24"/>
          <w:vertAlign w:val="subscript"/>
        </w:rPr>
        <w:t>2</w:t>
      </w:r>
      <w:r w:rsidRPr="00EA1BB2">
        <w:rPr>
          <w:rFonts w:ascii="Cambria" w:eastAsia="Times New Roman" w:hAnsi="Cambria" w:cs="Times New Roman"/>
          <w:szCs w:val="24"/>
        </w:rPr>
        <w:t xml:space="preserve">), înregistrată la stațiile de monitorizare a aerului din </w:t>
      </w:r>
      <w:r w:rsidR="00785B8E" w:rsidRPr="00EA1BB2">
        <w:rPr>
          <w:rFonts w:ascii="Cambria" w:eastAsia="Times New Roman" w:hAnsi="Cambria" w:cs="Times New Roman"/>
          <w:szCs w:val="24"/>
        </w:rPr>
        <w:t>județul</w:t>
      </w:r>
      <w:r w:rsidRPr="00EA1BB2">
        <w:rPr>
          <w:rFonts w:ascii="Cambria" w:eastAsia="Times New Roman" w:hAnsi="Cambria" w:cs="Times New Roman"/>
          <w:szCs w:val="24"/>
        </w:rPr>
        <w:t xml:space="preserve"> Brăila, în perioada 2008-2017</w:t>
      </w:r>
      <w:bookmarkEnd w:id="126"/>
    </w:p>
    <w:tbl>
      <w:tblPr>
        <w:tblStyle w:val="TableGrid"/>
        <w:tblW w:w="9336" w:type="dxa"/>
        <w:jc w:val="center"/>
        <w:tblLook w:val="04A0" w:firstRow="1" w:lastRow="0" w:firstColumn="1" w:lastColumn="0" w:noHBand="0" w:noVBand="1"/>
      </w:tblPr>
      <w:tblGrid>
        <w:gridCol w:w="1329"/>
        <w:gridCol w:w="797"/>
        <w:gridCol w:w="797"/>
        <w:gridCol w:w="797"/>
        <w:gridCol w:w="785"/>
        <w:gridCol w:w="797"/>
        <w:gridCol w:w="785"/>
        <w:gridCol w:w="785"/>
        <w:gridCol w:w="785"/>
        <w:gridCol w:w="797"/>
        <w:gridCol w:w="906"/>
      </w:tblGrid>
      <w:tr w:rsidR="00615D1E" w:rsidRPr="00EA1BB2" w14:paraId="6357625B" w14:textId="77777777" w:rsidTr="00F96DB3">
        <w:trPr>
          <w:trHeight w:val="105"/>
          <w:tblHeader/>
          <w:jc w:val="center"/>
        </w:trPr>
        <w:tc>
          <w:tcPr>
            <w:tcW w:w="1329" w:type="dxa"/>
            <w:vMerge w:val="restart"/>
            <w:shd w:val="clear" w:color="auto" w:fill="BDD6EE" w:themeFill="accent1" w:themeFillTint="66"/>
            <w:noWrap/>
            <w:vAlign w:val="center"/>
          </w:tcPr>
          <w:p w14:paraId="011BA1FE" w14:textId="77777777" w:rsidR="00615D1E" w:rsidRPr="00EA1BB2" w:rsidRDefault="00615D1E" w:rsidP="00F96DB3">
            <w:pPr>
              <w:spacing w:line="360" w:lineRule="auto"/>
              <w:jc w:val="center"/>
              <w:rPr>
                <w:rFonts w:ascii="Cambria" w:eastAsia="Times New Roman" w:hAnsi="Cambria" w:cs="Times New Roman"/>
                <w:b/>
                <w:sz w:val="20"/>
                <w:szCs w:val="24"/>
                <w:lang w:val="ro-RO"/>
              </w:rPr>
            </w:pPr>
            <w:r w:rsidRPr="00EA1BB2">
              <w:rPr>
                <w:rFonts w:ascii="Cambria" w:eastAsia="Times New Roman" w:hAnsi="Cambria" w:cs="Times New Roman"/>
                <w:b/>
                <w:sz w:val="20"/>
                <w:szCs w:val="24"/>
                <w:lang w:val="ro-RO"/>
              </w:rPr>
              <w:t xml:space="preserve">Stația de </w:t>
            </w:r>
          </w:p>
          <w:p w14:paraId="1C222B9F" w14:textId="77777777" w:rsidR="00615D1E" w:rsidRPr="00EA1BB2" w:rsidRDefault="00615D1E" w:rsidP="00F96DB3">
            <w:pPr>
              <w:spacing w:line="360" w:lineRule="auto"/>
              <w:ind w:left="-110" w:right="-98"/>
              <w:jc w:val="center"/>
              <w:rPr>
                <w:rFonts w:ascii="Cambria" w:eastAsia="Times New Roman" w:hAnsi="Cambria" w:cs="Times New Roman"/>
                <w:b/>
                <w:sz w:val="24"/>
                <w:szCs w:val="24"/>
                <w:lang w:val="ro-RO"/>
              </w:rPr>
            </w:pPr>
            <w:r w:rsidRPr="00EA1BB2">
              <w:rPr>
                <w:rFonts w:ascii="Cambria" w:eastAsia="Times New Roman" w:hAnsi="Cambria" w:cs="Times New Roman"/>
                <w:b/>
                <w:sz w:val="20"/>
                <w:szCs w:val="24"/>
                <w:lang w:val="ro-RO"/>
              </w:rPr>
              <w:t>monitorizare</w:t>
            </w:r>
          </w:p>
        </w:tc>
        <w:tc>
          <w:tcPr>
            <w:tcW w:w="8007" w:type="dxa"/>
            <w:gridSpan w:val="10"/>
            <w:shd w:val="clear" w:color="auto" w:fill="BDD6EE" w:themeFill="accent1" w:themeFillTint="66"/>
          </w:tcPr>
          <w:p w14:paraId="65F03BE4" w14:textId="77777777" w:rsidR="00615D1E" w:rsidRPr="00EA1BB2" w:rsidRDefault="00615D1E" w:rsidP="0033579E">
            <w:pPr>
              <w:spacing w:line="276"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 xml:space="preserve">Concentrația </w:t>
            </w:r>
            <w:r w:rsidR="009211B6" w:rsidRPr="00EA1BB2">
              <w:rPr>
                <w:rFonts w:ascii="Cambria" w:eastAsia="Times New Roman" w:hAnsi="Cambria" w:cs="Times New Roman"/>
                <w:b/>
                <w:sz w:val="24"/>
                <w:szCs w:val="24"/>
                <w:lang w:val="ro-RO"/>
              </w:rPr>
              <w:t xml:space="preserve">maximă a </w:t>
            </w:r>
            <w:r w:rsidRPr="00EA1BB2">
              <w:rPr>
                <w:rFonts w:ascii="Cambria" w:eastAsia="Times New Roman" w:hAnsi="Cambria" w:cs="Times New Roman"/>
                <w:b/>
                <w:sz w:val="24"/>
                <w:szCs w:val="24"/>
                <w:lang w:val="ro-RO"/>
              </w:rPr>
              <w:t>m</w:t>
            </w:r>
            <w:r w:rsidR="009211B6" w:rsidRPr="00EA1BB2">
              <w:rPr>
                <w:rFonts w:ascii="Cambria" w:eastAsia="Times New Roman" w:hAnsi="Cambria" w:cs="Times New Roman"/>
                <w:b/>
                <w:sz w:val="24"/>
                <w:szCs w:val="24"/>
                <w:lang w:val="ro-RO"/>
              </w:rPr>
              <w:t>ediei</w:t>
            </w:r>
            <w:r w:rsidRPr="00EA1BB2">
              <w:rPr>
                <w:rFonts w:ascii="Cambria" w:eastAsia="Times New Roman" w:hAnsi="Cambria" w:cs="Times New Roman"/>
                <w:b/>
                <w:sz w:val="24"/>
                <w:szCs w:val="24"/>
                <w:lang w:val="ro-RO"/>
              </w:rPr>
              <w:t xml:space="preserve"> zilnic</w:t>
            </w:r>
            <w:r w:rsidR="009211B6" w:rsidRPr="00EA1BB2">
              <w:rPr>
                <w:rFonts w:ascii="Cambria" w:eastAsia="Times New Roman" w:hAnsi="Cambria" w:cs="Times New Roman"/>
                <w:b/>
                <w:sz w:val="24"/>
                <w:szCs w:val="24"/>
                <w:lang w:val="ro-RO"/>
              </w:rPr>
              <w:t>e</w:t>
            </w:r>
          </w:p>
          <w:p w14:paraId="4C3689F5" w14:textId="77777777" w:rsidR="00615D1E" w:rsidRPr="00EA1BB2" w:rsidRDefault="00615D1E" w:rsidP="00F96DB3">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(µg/m</w:t>
            </w:r>
            <w:r w:rsidRPr="00EA1BB2">
              <w:rPr>
                <w:rFonts w:ascii="Cambria" w:eastAsia="Times New Roman" w:hAnsi="Cambria" w:cs="Times New Roman"/>
                <w:b/>
                <w:sz w:val="24"/>
                <w:szCs w:val="24"/>
                <w:vertAlign w:val="superscript"/>
                <w:lang w:val="ro-RO"/>
              </w:rPr>
              <w:t>3</w:t>
            </w:r>
            <w:r w:rsidRPr="00EA1BB2">
              <w:rPr>
                <w:rFonts w:ascii="Cambria" w:eastAsia="Times New Roman" w:hAnsi="Cambria" w:cs="Times New Roman"/>
                <w:b/>
                <w:sz w:val="24"/>
                <w:szCs w:val="24"/>
                <w:lang w:val="ro-RO"/>
              </w:rPr>
              <w:t>)</w:t>
            </w:r>
          </w:p>
        </w:tc>
      </w:tr>
      <w:tr w:rsidR="00615D1E" w:rsidRPr="00EA1BB2" w14:paraId="51D010B5" w14:textId="77777777" w:rsidTr="000A0AFC">
        <w:trPr>
          <w:trHeight w:val="286"/>
          <w:tblHeader/>
          <w:jc w:val="center"/>
        </w:trPr>
        <w:tc>
          <w:tcPr>
            <w:tcW w:w="1329" w:type="dxa"/>
            <w:vMerge/>
            <w:shd w:val="clear" w:color="auto" w:fill="BDD6EE" w:themeFill="accent1" w:themeFillTint="66"/>
            <w:noWrap/>
            <w:vAlign w:val="center"/>
          </w:tcPr>
          <w:p w14:paraId="2A651B8B" w14:textId="77777777" w:rsidR="00615D1E" w:rsidRPr="00EA1BB2" w:rsidRDefault="00615D1E" w:rsidP="00F96DB3">
            <w:pPr>
              <w:spacing w:line="360" w:lineRule="auto"/>
              <w:jc w:val="center"/>
              <w:rPr>
                <w:rFonts w:ascii="Cambria" w:eastAsia="Times New Roman" w:hAnsi="Cambria" w:cs="Times New Roman"/>
                <w:b/>
                <w:sz w:val="24"/>
                <w:szCs w:val="24"/>
                <w:lang w:val="ro-RO"/>
              </w:rPr>
            </w:pPr>
          </w:p>
        </w:tc>
        <w:tc>
          <w:tcPr>
            <w:tcW w:w="0" w:type="auto"/>
            <w:shd w:val="clear" w:color="auto" w:fill="BDD6EE" w:themeFill="accent1" w:themeFillTint="66"/>
          </w:tcPr>
          <w:p w14:paraId="03DE7F36" w14:textId="77777777" w:rsidR="00615D1E" w:rsidRPr="00EA1BB2" w:rsidRDefault="00615D1E" w:rsidP="0033579E">
            <w:pPr>
              <w:spacing w:line="276"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2008</w:t>
            </w:r>
          </w:p>
        </w:tc>
        <w:tc>
          <w:tcPr>
            <w:tcW w:w="0" w:type="auto"/>
            <w:shd w:val="clear" w:color="auto" w:fill="BDD6EE" w:themeFill="accent1" w:themeFillTint="66"/>
          </w:tcPr>
          <w:p w14:paraId="09C2FAAF" w14:textId="77777777" w:rsidR="00615D1E" w:rsidRPr="00EA1BB2" w:rsidRDefault="00615D1E" w:rsidP="0033579E">
            <w:pPr>
              <w:spacing w:line="276"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2009</w:t>
            </w:r>
          </w:p>
        </w:tc>
        <w:tc>
          <w:tcPr>
            <w:tcW w:w="0" w:type="auto"/>
            <w:shd w:val="clear" w:color="auto" w:fill="BDD6EE" w:themeFill="accent1" w:themeFillTint="66"/>
          </w:tcPr>
          <w:p w14:paraId="1817CAAB" w14:textId="77777777" w:rsidR="00615D1E" w:rsidRPr="00EA1BB2" w:rsidRDefault="00615D1E" w:rsidP="0033579E">
            <w:pPr>
              <w:spacing w:line="276"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2010</w:t>
            </w:r>
          </w:p>
        </w:tc>
        <w:tc>
          <w:tcPr>
            <w:tcW w:w="0" w:type="auto"/>
            <w:shd w:val="clear" w:color="auto" w:fill="BDD6EE" w:themeFill="accent1" w:themeFillTint="66"/>
          </w:tcPr>
          <w:p w14:paraId="63C6B359" w14:textId="77777777" w:rsidR="00615D1E" w:rsidRPr="00EA1BB2" w:rsidRDefault="00615D1E" w:rsidP="0033579E">
            <w:pPr>
              <w:spacing w:line="276"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2011</w:t>
            </w:r>
          </w:p>
        </w:tc>
        <w:tc>
          <w:tcPr>
            <w:tcW w:w="0" w:type="auto"/>
            <w:shd w:val="clear" w:color="auto" w:fill="BDD6EE" w:themeFill="accent1" w:themeFillTint="66"/>
          </w:tcPr>
          <w:p w14:paraId="58DB4422" w14:textId="77777777" w:rsidR="00615D1E" w:rsidRPr="00EA1BB2" w:rsidRDefault="00615D1E" w:rsidP="0033579E">
            <w:pPr>
              <w:spacing w:line="276"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2012</w:t>
            </w:r>
          </w:p>
        </w:tc>
        <w:tc>
          <w:tcPr>
            <w:tcW w:w="0" w:type="auto"/>
            <w:shd w:val="clear" w:color="auto" w:fill="BDD6EE" w:themeFill="accent1" w:themeFillTint="66"/>
            <w:noWrap/>
            <w:vAlign w:val="center"/>
          </w:tcPr>
          <w:p w14:paraId="6ED1AE48" w14:textId="77777777" w:rsidR="00615D1E" w:rsidRPr="00EA1BB2" w:rsidRDefault="00615D1E" w:rsidP="0033579E">
            <w:pPr>
              <w:spacing w:line="276"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2013</w:t>
            </w:r>
          </w:p>
        </w:tc>
        <w:tc>
          <w:tcPr>
            <w:tcW w:w="0" w:type="auto"/>
            <w:shd w:val="clear" w:color="auto" w:fill="BDD6EE" w:themeFill="accent1" w:themeFillTint="66"/>
            <w:noWrap/>
            <w:vAlign w:val="center"/>
          </w:tcPr>
          <w:p w14:paraId="7D17E981" w14:textId="77777777" w:rsidR="00615D1E" w:rsidRPr="00EA1BB2" w:rsidRDefault="00615D1E" w:rsidP="0033579E">
            <w:pPr>
              <w:spacing w:line="276"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2014</w:t>
            </w:r>
          </w:p>
        </w:tc>
        <w:tc>
          <w:tcPr>
            <w:tcW w:w="0" w:type="auto"/>
            <w:shd w:val="clear" w:color="auto" w:fill="BDD6EE" w:themeFill="accent1" w:themeFillTint="66"/>
            <w:noWrap/>
            <w:vAlign w:val="center"/>
          </w:tcPr>
          <w:p w14:paraId="1965E2B1" w14:textId="77777777" w:rsidR="00615D1E" w:rsidRPr="00EA1BB2" w:rsidRDefault="00615D1E" w:rsidP="0033579E">
            <w:pPr>
              <w:spacing w:line="276"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2015</w:t>
            </w:r>
          </w:p>
        </w:tc>
        <w:tc>
          <w:tcPr>
            <w:tcW w:w="797" w:type="dxa"/>
            <w:shd w:val="clear" w:color="auto" w:fill="BDD6EE" w:themeFill="accent1" w:themeFillTint="66"/>
            <w:noWrap/>
            <w:vAlign w:val="center"/>
          </w:tcPr>
          <w:p w14:paraId="74B65845" w14:textId="77777777" w:rsidR="00615D1E" w:rsidRPr="00EA1BB2" w:rsidRDefault="00615D1E" w:rsidP="0033579E">
            <w:pPr>
              <w:spacing w:line="276"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2016</w:t>
            </w:r>
          </w:p>
        </w:tc>
        <w:tc>
          <w:tcPr>
            <w:tcW w:w="906" w:type="dxa"/>
            <w:shd w:val="clear" w:color="auto" w:fill="BDD6EE" w:themeFill="accent1" w:themeFillTint="66"/>
            <w:noWrap/>
            <w:vAlign w:val="center"/>
          </w:tcPr>
          <w:p w14:paraId="12654335" w14:textId="22064B5B" w:rsidR="00615D1E" w:rsidRPr="00EA1BB2" w:rsidRDefault="00615D1E" w:rsidP="00C913AA">
            <w:pPr>
              <w:spacing w:line="276"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2017</w:t>
            </w:r>
          </w:p>
        </w:tc>
      </w:tr>
      <w:tr w:rsidR="000A0AFC" w:rsidRPr="00EA1BB2" w14:paraId="7950A255" w14:textId="77777777" w:rsidTr="000A0AFC">
        <w:trPr>
          <w:trHeight w:val="340"/>
          <w:jc w:val="center"/>
        </w:trPr>
        <w:tc>
          <w:tcPr>
            <w:tcW w:w="1329" w:type="dxa"/>
            <w:noWrap/>
            <w:vAlign w:val="center"/>
          </w:tcPr>
          <w:p w14:paraId="361DE265" w14:textId="77777777" w:rsidR="000A0AFC" w:rsidRPr="00EA1BB2" w:rsidRDefault="000A0AFC"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BR1</w:t>
            </w:r>
          </w:p>
        </w:tc>
        <w:tc>
          <w:tcPr>
            <w:tcW w:w="0" w:type="auto"/>
          </w:tcPr>
          <w:p w14:paraId="33831316" w14:textId="77777777" w:rsidR="000A0AFC" w:rsidRPr="00EA1BB2" w:rsidRDefault="000A0AFC"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15,65</w:t>
            </w:r>
          </w:p>
        </w:tc>
        <w:tc>
          <w:tcPr>
            <w:tcW w:w="0" w:type="auto"/>
          </w:tcPr>
          <w:p w14:paraId="467FF707" w14:textId="77777777" w:rsidR="000A0AFC" w:rsidRPr="00EA1BB2" w:rsidRDefault="000A0AFC"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17,55</w:t>
            </w:r>
          </w:p>
        </w:tc>
        <w:tc>
          <w:tcPr>
            <w:tcW w:w="0" w:type="auto"/>
          </w:tcPr>
          <w:p w14:paraId="36349EAF" w14:textId="77777777" w:rsidR="000A0AFC" w:rsidRPr="00EA1BB2" w:rsidRDefault="000A0AFC"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1BB882EF" w14:textId="77777777" w:rsidR="000A0AFC" w:rsidRPr="00EA1BB2" w:rsidRDefault="000A0AFC"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1083B8C2" w14:textId="77777777" w:rsidR="000A0AFC" w:rsidRPr="00EA1BB2" w:rsidRDefault="000A0AFC"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2853AB37" w14:textId="77777777" w:rsidR="000A0AFC" w:rsidRPr="00EA1BB2" w:rsidRDefault="000A0AFC"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2CDC346C" w14:textId="77777777" w:rsidR="000A0AFC" w:rsidRPr="00EA1BB2" w:rsidRDefault="000A0AFC"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16D3EC1A" w14:textId="77777777" w:rsidR="000A0AFC" w:rsidRPr="00EA1BB2" w:rsidRDefault="000A0AFC"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797" w:type="dxa"/>
            <w:noWrap/>
          </w:tcPr>
          <w:p w14:paraId="5B156541" w14:textId="77777777" w:rsidR="000A0AFC" w:rsidRPr="00EA1BB2" w:rsidRDefault="00800E51"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28,34</w:t>
            </w:r>
          </w:p>
        </w:tc>
        <w:tc>
          <w:tcPr>
            <w:tcW w:w="906" w:type="dxa"/>
            <w:noWrap/>
            <w:vAlign w:val="center"/>
          </w:tcPr>
          <w:p w14:paraId="5EDA5736" w14:textId="77777777" w:rsidR="000A0AFC" w:rsidRPr="00EA1BB2" w:rsidRDefault="00800E51"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20,33</w:t>
            </w:r>
          </w:p>
        </w:tc>
      </w:tr>
      <w:tr w:rsidR="000A0AFC" w:rsidRPr="00EA1BB2" w14:paraId="2A7F152A" w14:textId="77777777" w:rsidTr="000A0AFC">
        <w:trPr>
          <w:trHeight w:val="340"/>
          <w:jc w:val="center"/>
        </w:trPr>
        <w:tc>
          <w:tcPr>
            <w:tcW w:w="1329" w:type="dxa"/>
            <w:noWrap/>
            <w:vAlign w:val="center"/>
          </w:tcPr>
          <w:p w14:paraId="2570906A" w14:textId="77777777" w:rsidR="000A0AFC" w:rsidRPr="00EA1BB2" w:rsidRDefault="000A0AFC"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BR2</w:t>
            </w:r>
          </w:p>
        </w:tc>
        <w:tc>
          <w:tcPr>
            <w:tcW w:w="0" w:type="auto"/>
          </w:tcPr>
          <w:p w14:paraId="6A60FDF5" w14:textId="77777777" w:rsidR="000A0AFC" w:rsidRPr="00EA1BB2" w:rsidRDefault="000A0AFC"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25FB9CD6" w14:textId="77777777" w:rsidR="000A0AFC" w:rsidRPr="00EA1BB2" w:rsidRDefault="000A0AFC"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40BC88BF" w14:textId="77777777" w:rsidR="000A0AFC" w:rsidRPr="00EA1BB2" w:rsidRDefault="00800E51"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49,56</w:t>
            </w:r>
          </w:p>
        </w:tc>
        <w:tc>
          <w:tcPr>
            <w:tcW w:w="0" w:type="auto"/>
          </w:tcPr>
          <w:p w14:paraId="1BD6DA69" w14:textId="77777777" w:rsidR="000A0AFC" w:rsidRPr="00EA1BB2" w:rsidRDefault="000A0AFC"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1C85AB83" w14:textId="77777777" w:rsidR="000A0AFC" w:rsidRPr="00EA1BB2" w:rsidRDefault="000A0AFC"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4F11915D" w14:textId="77777777" w:rsidR="000A0AFC" w:rsidRPr="00EA1BB2" w:rsidRDefault="000A0AFC"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70026F47" w14:textId="77777777" w:rsidR="000A0AFC" w:rsidRPr="00EA1BB2" w:rsidRDefault="000A0AFC"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2873F679" w14:textId="77777777" w:rsidR="000A0AFC" w:rsidRPr="00EA1BB2" w:rsidRDefault="000A0AFC"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797" w:type="dxa"/>
            <w:noWrap/>
          </w:tcPr>
          <w:p w14:paraId="03C34738" w14:textId="77777777" w:rsidR="000A0AFC" w:rsidRPr="00EA1BB2" w:rsidRDefault="000A0AFC"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906" w:type="dxa"/>
            <w:noWrap/>
            <w:vAlign w:val="center"/>
          </w:tcPr>
          <w:p w14:paraId="758FD8DA" w14:textId="77777777" w:rsidR="000A0AFC" w:rsidRPr="00EA1BB2" w:rsidRDefault="00800E51"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22,92</w:t>
            </w:r>
          </w:p>
        </w:tc>
      </w:tr>
      <w:tr w:rsidR="000A0AFC" w:rsidRPr="00EA1BB2" w14:paraId="3956126C" w14:textId="77777777" w:rsidTr="000A0AFC">
        <w:trPr>
          <w:trHeight w:val="340"/>
          <w:jc w:val="center"/>
        </w:trPr>
        <w:tc>
          <w:tcPr>
            <w:tcW w:w="1329" w:type="dxa"/>
            <w:noWrap/>
            <w:vAlign w:val="center"/>
          </w:tcPr>
          <w:p w14:paraId="685BAA5F" w14:textId="77777777" w:rsidR="000A0AFC" w:rsidRPr="00EA1BB2" w:rsidRDefault="000A0AFC"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BR3</w:t>
            </w:r>
          </w:p>
        </w:tc>
        <w:tc>
          <w:tcPr>
            <w:tcW w:w="0" w:type="auto"/>
          </w:tcPr>
          <w:p w14:paraId="1FA3EE9B" w14:textId="77777777" w:rsidR="000A0AFC" w:rsidRPr="00EA1BB2" w:rsidRDefault="000A0AFC"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22,62</w:t>
            </w:r>
          </w:p>
        </w:tc>
        <w:tc>
          <w:tcPr>
            <w:tcW w:w="0" w:type="auto"/>
          </w:tcPr>
          <w:p w14:paraId="6F057FF4" w14:textId="77777777" w:rsidR="000A0AFC" w:rsidRPr="00EA1BB2" w:rsidRDefault="000A0AFC"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21,04</w:t>
            </w:r>
          </w:p>
        </w:tc>
        <w:tc>
          <w:tcPr>
            <w:tcW w:w="0" w:type="auto"/>
          </w:tcPr>
          <w:p w14:paraId="410AB711" w14:textId="77777777" w:rsidR="000A0AFC" w:rsidRPr="00EA1BB2" w:rsidRDefault="000A0AFC"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531DD1BB" w14:textId="77777777" w:rsidR="000A0AFC" w:rsidRPr="00EA1BB2" w:rsidRDefault="000A0AFC"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3A03C282" w14:textId="77777777" w:rsidR="000A0AFC" w:rsidRPr="00EA1BB2" w:rsidRDefault="000A0AFC"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3D49CB52" w14:textId="77777777" w:rsidR="000A0AFC" w:rsidRPr="00EA1BB2" w:rsidRDefault="000A0AFC"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5309D750" w14:textId="77777777" w:rsidR="000A0AFC" w:rsidRPr="00EA1BB2" w:rsidRDefault="000A0AFC"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3B95FFB0" w14:textId="77777777" w:rsidR="000A0AFC" w:rsidRPr="00EA1BB2" w:rsidRDefault="000A0AFC"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797" w:type="dxa"/>
            <w:noWrap/>
          </w:tcPr>
          <w:p w14:paraId="047EE4CC" w14:textId="77777777" w:rsidR="000A0AFC" w:rsidRPr="00EA1BB2" w:rsidRDefault="000A0AFC"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906" w:type="dxa"/>
            <w:noWrap/>
            <w:vAlign w:val="center"/>
          </w:tcPr>
          <w:p w14:paraId="131C2221" w14:textId="77777777" w:rsidR="000A0AFC" w:rsidRPr="00EA1BB2" w:rsidRDefault="00800E51"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28,23</w:t>
            </w:r>
          </w:p>
        </w:tc>
      </w:tr>
      <w:tr w:rsidR="000A0AFC" w:rsidRPr="00EA1BB2" w14:paraId="614217AC" w14:textId="77777777" w:rsidTr="000A0AFC">
        <w:trPr>
          <w:trHeight w:val="340"/>
          <w:jc w:val="center"/>
        </w:trPr>
        <w:tc>
          <w:tcPr>
            <w:tcW w:w="1329" w:type="dxa"/>
            <w:noWrap/>
            <w:vAlign w:val="center"/>
          </w:tcPr>
          <w:p w14:paraId="360D892F" w14:textId="77777777" w:rsidR="000A0AFC" w:rsidRPr="00EA1BB2" w:rsidRDefault="000A0AFC"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BR4</w:t>
            </w:r>
          </w:p>
        </w:tc>
        <w:tc>
          <w:tcPr>
            <w:tcW w:w="0" w:type="auto"/>
          </w:tcPr>
          <w:p w14:paraId="4054A2A5" w14:textId="77777777" w:rsidR="000A0AFC" w:rsidRPr="00EA1BB2" w:rsidRDefault="000A0AFC"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27,38</w:t>
            </w:r>
          </w:p>
        </w:tc>
        <w:tc>
          <w:tcPr>
            <w:tcW w:w="0" w:type="auto"/>
          </w:tcPr>
          <w:p w14:paraId="09F0743A" w14:textId="77777777" w:rsidR="000A0AFC" w:rsidRPr="00EA1BB2" w:rsidRDefault="000A0AFC"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68A79834" w14:textId="77777777" w:rsidR="000A0AFC" w:rsidRPr="00EA1BB2" w:rsidRDefault="00800E51"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46,00</w:t>
            </w:r>
          </w:p>
        </w:tc>
        <w:tc>
          <w:tcPr>
            <w:tcW w:w="0" w:type="auto"/>
          </w:tcPr>
          <w:p w14:paraId="0086F982" w14:textId="77777777" w:rsidR="000A0AFC" w:rsidRPr="00EA1BB2" w:rsidRDefault="000A0AFC"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551E91F1" w14:textId="77777777" w:rsidR="000A0AFC" w:rsidRPr="00EA1BB2" w:rsidRDefault="000A0AFC"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10D1C0B8" w14:textId="77777777" w:rsidR="000A0AFC" w:rsidRPr="00EA1BB2" w:rsidRDefault="000A0AFC"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59DAFC94" w14:textId="77777777" w:rsidR="000A0AFC" w:rsidRPr="00EA1BB2" w:rsidRDefault="000A0AFC"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41189A46" w14:textId="77777777" w:rsidR="000A0AFC" w:rsidRPr="00EA1BB2" w:rsidRDefault="000A0AFC"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797" w:type="dxa"/>
            <w:noWrap/>
          </w:tcPr>
          <w:p w14:paraId="67E34778" w14:textId="77777777" w:rsidR="000A0AFC" w:rsidRPr="00EA1BB2" w:rsidRDefault="000A0AFC"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906" w:type="dxa"/>
            <w:noWrap/>
            <w:vAlign w:val="center"/>
          </w:tcPr>
          <w:p w14:paraId="1539B0D8" w14:textId="77777777" w:rsidR="000A0AFC" w:rsidRPr="00EA1BB2" w:rsidRDefault="00800E51"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25,14</w:t>
            </w:r>
          </w:p>
        </w:tc>
      </w:tr>
      <w:tr w:rsidR="000A0AFC" w:rsidRPr="00EA1BB2" w14:paraId="79A7F47C" w14:textId="77777777" w:rsidTr="000A0AFC">
        <w:trPr>
          <w:trHeight w:val="340"/>
          <w:jc w:val="center"/>
        </w:trPr>
        <w:tc>
          <w:tcPr>
            <w:tcW w:w="1329" w:type="dxa"/>
            <w:noWrap/>
            <w:vAlign w:val="center"/>
          </w:tcPr>
          <w:p w14:paraId="3F930D15" w14:textId="77777777" w:rsidR="000A0AFC" w:rsidRPr="00EA1BB2" w:rsidRDefault="000A0AFC"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BR5</w:t>
            </w:r>
          </w:p>
        </w:tc>
        <w:tc>
          <w:tcPr>
            <w:tcW w:w="0" w:type="auto"/>
          </w:tcPr>
          <w:p w14:paraId="0769B22D" w14:textId="77777777" w:rsidR="000A0AFC" w:rsidRPr="00EA1BB2" w:rsidRDefault="000A0AFC"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7CE53020" w14:textId="77777777" w:rsidR="000A0AFC" w:rsidRPr="00EA1BB2" w:rsidRDefault="00800E51"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37,31</w:t>
            </w:r>
          </w:p>
        </w:tc>
        <w:tc>
          <w:tcPr>
            <w:tcW w:w="0" w:type="auto"/>
          </w:tcPr>
          <w:p w14:paraId="7F743C46" w14:textId="77777777" w:rsidR="000A0AFC" w:rsidRPr="00EA1BB2" w:rsidRDefault="00800E51"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44,55</w:t>
            </w:r>
          </w:p>
        </w:tc>
        <w:tc>
          <w:tcPr>
            <w:tcW w:w="0" w:type="auto"/>
          </w:tcPr>
          <w:p w14:paraId="293944FD" w14:textId="77777777" w:rsidR="000A0AFC" w:rsidRPr="00EA1BB2" w:rsidRDefault="000A0AFC"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1518659F" w14:textId="77777777" w:rsidR="000A0AFC" w:rsidRPr="00EA1BB2" w:rsidRDefault="00800E51"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36,09</w:t>
            </w:r>
          </w:p>
        </w:tc>
        <w:tc>
          <w:tcPr>
            <w:tcW w:w="0" w:type="auto"/>
            <w:noWrap/>
          </w:tcPr>
          <w:p w14:paraId="63FF31B8" w14:textId="77777777" w:rsidR="000A0AFC" w:rsidRPr="00EA1BB2" w:rsidRDefault="000A0AFC"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50233915" w14:textId="77777777" w:rsidR="000A0AFC" w:rsidRPr="00EA1BB2" w:rsidRDefault="000A0AFC"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7251C147" w14:textId="77777777" w:rsidR="000A0AFC" w:rsidRPr="00EA1BB2" w:rsidRDefault="000A0AFC"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797" w:type="dxa"/>
            <w:noWrap/>
          </w:tcPr>
          <w:p w14:paraId="4570BB27" w14:textId="77777777" w:rsidR="000A0AFC" w:rsidRPr="00EA1BB2" w:rsidRDefault="000A0AFC"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906" w:type="dxa"/>
            <w:noWrap/>
            <w:vAlign w:val="center"/>
          </w:tcPr>
          <w:p w14:paraId="10C89279" w14:textId="77777777" w:rsidR="000A0AFC" w:rsidRPr="00EA1BB2" w:rsidRDefault="00800E51" w:rsidP="000A0AFC">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17,90</w:t>
            </w:r>
          </w:p>
        </w:tc>
      </w:tr>
    </w:tbl>
    <w:p w14:paraId="3B5B32A8" w14:textId="77777777" w:rsidR="00615D1E" w:rsidRPr="00EA1BB2" w:rsidRDefault="00831372" w:rsidP="00615D1E">
      <w:pPr>
        <w:spacing w:line="276" w:lineRule="auto"/>
        <w:jc w:val="both"/>
        <w:rPr>
          <w:rFonts w:ascii="Cambria" w:eastAsia="Times New Roman" w:hAnsi="Cambria" w:cs="Times New Roman"/>
          <w:szCs w:val="24"/>
        </w:rPr>
      </w:pPr>
      <w:r w:rsidRPr="00EA1BB2">
        <w:rPr>
          <w:rFonts w:ascii="Cambria" w:eastAsia="Times New Roman" w:hAnsi="Cambria" w:cs="Times New Roman"/>
          <w:szCs w:val="24"/>
        </w:rPr>
        <w:t>Valoarea-</w:t>
      </w:r>
      <w:r w:rsidR="00615D1E" w:rsidRPr="00EA1BB2">
        <w:rPr>
          <w:rFonts w:ascii="Cambria" w:eastAsia="Times New Roman" w:hAnsi="Cambria" w:cs="Times New Roman"/>
          <w:szCs w:val="24"/>
        </w:rPr>
        <w:t>limită zilnică pentru protecția sănătății umane a concentrației maxime zilnice pentru SO</w:t>
      </w:r>
      <w:r w:rsidR="00615D1E" w:rsidRPr="00EA1BB2">
        <w:rPr>
          <w:rFonts w:ascii="Cambria" w:eastAsia="Times New Roman" w:hAnsi="Cambria" w:cs="Times New Roman"/>
          <w:szCs w:val="24"/>
          <w:vertAlign w:val="subscript"/>
        </w:rPr>
        <w:t>2</w:t>
      </w:r>
      <w:r w:rsidR="00615D1E" w:rsidRPr="00EA1BB2">
        <w:rPr>
          <w:rFonts w:ascii="Cambria" w:eastAsia="Times New Roman" w:hAnsi="Cambria" w:cs="Times New Roman"/>
          <w:szCs w:val="24"/>
        </w:rPr>
        <w:t xml:space="preserve"> este 125 µg/m</w:t>
      </w:r>
      <w:r w:rsidR="00615D1E" w:rsidRPr="00EA1BB2">
        <w:rPr>
          <w:rFonts w:ascii="Cambria" w:eastAsia="Times New Roman" w:hAnsi="Cambria" w:cs="Times New Roman"/>
          <w:szCs w:val="24"/>
          <w:vertAlign w:val="superscript"/>
        </w:rPr>
        <w:t>3</w:t>
      </w:r>
      <w:r w:rsidR="00615D1E" w:rsidRPr="00EA1BB2">
        <w:rPr>
          <w:rFonts w:ascii="Cambria" w:eastAsia="Times New Roman" w:hAnsi="Cambria" w:cs="Times New Roman"/>
          <w:szCs w:val="24"/>
        </w:rPr>
        <w:t xml:space="preserve"> (a nu se depăși de mai mult de 3 ori într-un an calendaristic)</w:t>
      </w:r>
    </w:p>
    <w:p w14:paraId="5847399D" w14:textId="77777777" w:rsidR="00A02CBE" w:rsidRPr="00EA1BB2" w:rsidRDefault="00615D1E" w:rsidP="0033579E">
      <w:pPr>
        <w:spacing w:line="276" w:lineRule="auto"/>
        <w:jc w:val="both"/>
        <w:rPr>
          <w:rFonts w:ascii="Cambria" w:eastAsia="Times New Roman" w:hAnsi="Cambria" w:cs="Times New Roman"/>
          <w:sz w:val="24"/>
          <w:szCs w:val="24"/>
        </w:rPr>
      </w:pPr>
      <w:r w:rsidRPr="00EA1BB2">
        <w:rPr>
          <w:rFonts w:ascii="Cambria" w:eastAsia="Times New Roman" w:hAnsi="Cambria" w:cs="Times New Roman"/>
          <w:szCs w:val="24"/>
        </w:rPr>
        <w:t xml:space="preserve">Sursa date: </w:t>
      </w:r>
      <w:hyperlink r:id="rId69" w:history="1">
        <w:r w:rsidRPr="00EA1BB2">
          <w:rPr>
            <w:rStyle w:val="Hyperlink"/>
            <w:rFonts w:ascii="Cambria" w:eastAsia="Times New Roman" w:hAnsi="Cambria" w:cs="Times New Roman"/>
            <w:szCs w:val="24"/>
          </w:rPr>
          <w:t>www.calitateaer.ro</w:t>
        </w:r>
      </w:hyperlink>
      <w:r w:rsidRPr="00EA1BB2">
        <w:rPr>
          <w:rFonts w:ascii="Cambria" w:eastAsia="Times New Roman" w:hAnsi="Cambria" w:cs="Times New Roman"/>
          <w:szCs w:val="24"/>
        </w:rPr>
        <w:t xml:space="preserve"> accesat la data de 11.07.2018</w:t>
      </w:r>
    </w:p>
    <w:p w14:paraId="3F7A31E6" w14:textId="77777777" w:rsidR="00744560" w:rsidRPr="00EA1BB2" w:rsidRDefault="00744560" w:rsidP="00E859EF">
      <w:pPr>
        <w:pStyle w:val="Heading4"/>
        <w:numPr>
          <w:ilvl w:val="3"/>
          <w:numId w:val="1"/>
        </w:numPr>
        <w:spacing w:before="0" w:line="360" w:lineRule="auto"/>
        <w:ind w:hanging="579"/>
        <w:rPr>
          <w:color w:val="0070C0"/>
          <w:sz w:val="24"/>
        </w:rPr>
      </w:pPr>
      <w:bookmarkStart w:id="127" w:name="_Toc526889721"/>
      <w:r w:rsidRPr="00EA1BB2">
        <w:rPr>
          <w:color w:val="0070C0"/>
          <w:sz w:val="24"/>
        </w:rPr>
        <w:lastRenderedPageBreak/>
        <w:t>Monoxid de carbon (CO)</w:t>
      </w:r>
      <w:bookmarkEnd w:id="127"/>
    </w:p>
    <w:p w14:paraId="4DD913AE" w14:textId="2B29CD6C" w:rsidR="00D90FE6" w:rsidRPr="00EA1BB2" w:rsidRDefault="00D90FE6" w:rsidP="00D90FE6">
      <w:pPr>
        <w:pStyle w:val="Caption"/>
        <w:keepNext/>
        <w:spacing w:after="0" w:line="360" w:lineRule="auto"/>
        <w:ind w:firstLine="708"/>
        <w:jc w:val="both"/>
        <w:rPr>
          <w:rFonts w:ascii="Cambria" w:eastAsia="Times New Roman" w:hAnsi="Cambria" w:cs="Times New Roman"/>
          <w:b w:val="0"/>
          <w:szCs w:val="24"/>
        </w:rPr>
      </w:pPr>
      <w:bookmarkStart w:id="128" w:name="_Toc526889789"/>
      <w:r w:rsidRPr="00EA1BB2">
        <w:rPr>
          <w:rFonts w:ascii="Cambria" w:hAnsi="Cambria"/>
          <w:szCs w:val="24"/>
        </w:rPr>
        <w:t xml:space="preserve">Tabelul nr. </w:t>
      </w:r>
      <w:r w:rsidR="000A2FE7" w:rsidRPr="00EA1BB2">
        <w:rPr>
          <w:rFonts w:ascii="Cambria" w:hAnsi="Cambria"/>
          <w:szCs w:val="24"/>
        </w:rPr>
        <w:fldChar w:fldCharType="begin"/>
      </w:r>
      <w:r w:rsidR="000A2FE7" w:rsidRPr="00EA1BB2">
        <w:rPr>
          <w:rFonts w:ascii="Cambria" w:hAnsi="Cambria"/>
          <w:szCs w:val="24"/>
        </w:rPr>
        <w:instrText xml:space="preserve"> STYLEREF 1 \s </w:instrText>
      </w:r>
      <w:r w:rsidR="000A2FE7" w:rsidRPr="00EA1BB2">
        <w:rPr>
          <w:rFonts w:ascii="Cambria" w:hAnsi="Cambria"/>
          <w:szCs w:val="24"/>
        </w:rPr>
        <w:fldChar w:fldCharType="separate"/>
      </w:r>
      <w:r w:rsidR="00567555">
        <w:rPr>
          <w:rFonts w:ascii="Cambria" w:hAnsi="Cambria"/>
          <w:noProof/>
          <w:szCs w:val="24"/>
        </w:rPr>
        <w:t>3</w:t>
      </w:r>
      <w:r w:rsidR="000A2FE7" w:rsidRPr="00EA1BB2">
        <w:rPr>
          <w:rFonts w:ascii="Cambria" w:hAnsi="Cambria"/>
          <w:szCs w:val="24"/>
        </w:rPr>
        <w:fldChar w:fldCharType="end"/>
      </w:r>
      <w:r w:rsidR="000A2FE7" w:rsidRPr="00EA1BB2">
        <w:rPr>
          <w:rFonts w:ascii="Cambria" w:hAnsi="Cambria"/>
          <w:szCs w:val="24"/>
        </w:rPr>
        <w:noBreakHyphen/>
      </w:r>
      <w:r w:rsidR="000A2FE7" w:rsidRPr="00EA1BB2">
        <w:rPr>
          <w:rFonts w:ascii="Cambria" w:hAnsi="Cambria"/>
          <w:szCs w:val="24"/>
        </w:rPr>
        <w:fldChar w:fldCharType="begin"/>
      </w:r>
      <w:r w:rsidR="000A2FE7" w:rsidRPr="00EA1BB2">
        <w:rPr>
          <w:rFonts w:ascii="Cambria" w:hAnsi="Cambria"/>
          <w:szCs w:val="24"/>
        </w:rPr>
        <w:instrText xml:space="preserve"> SEQ Tabelul_nr. \* ARABIC \s 1 </w:instrText>
      </w:r>
      <w:r w:rsidR="000A2FE7" w:rsidRPr="00EA1BB2">
        <w:rPr>
          <w:rFonts w:ascii="Cambria" w:hAnsi="Cambria"/>
          <w:szCs w:val="24"/>
        </w:rPr>
        <w:fldChar w:fldCharType="separate"/>
      </w:r>
      <w:r w:rsidR="00567555">
        <w:rPr>
          <w:rFonts w:ascii="Cambria" w:hAnsi="Cambria"/>
          <w:noProof/>
          <w:szCs w:val="24"/>
        </w:rPr>
        <w:t>20</w:t>
      </w:r>
      <w:r w:rsidR="000A2FE7" w:rsidRPr="00EA1BB2">
        <w:rPr>
          <w:rFonts w:ascii="Cambria" w:hAnsi="Cambria"/>
          <w:szCs w:val="24"/>
        </w:rPr>
        <w:fldChar w:fldCharType="end"/>
      </w:r>
      <w:r w:rsidRPr="00EA1BB2">
        <w:rPr>
          <w:rFonts w:ascii="Cambria" w:hAnsi="Cambria"/>
          <w:noProof/>
          <w:szCs w:val="24"/>
        </w:rPr>
        <w:t xml:space="preserve"> - </w:t>
      </w:r>
      <w:r w:rsidR="00AB3799" w:rsidRPr="00EA1BB2">
        <w:rPr>
          <w:rFonts w:ascii="Cambria" w:eastAsia="Times New Roman" w:hAnsi="Cambria" w:cs="Times New Roman"/>
          <w:szCs w:val="24"/>
        </w:rPr>
        <w:t xml:space="preserve">Valoarea maximă a </w:t>
      </w:r>
      <w:r w:rsidR="004B6CBF" w:rsidRPr="00EA1BB2">
        <w:rPr>
          <w:rFonts w:ascii="Cambria" w:eastAsia="Times New Roman" w:hAnsi="Cambria" w:cs="Times New Roman"/>
          <w:szCs w:val="24"/>
        </w:rPr>
        <w:t>concentrațiilor</w:t>
      </w:r>
      <w:r w:rsidR="00EB2A50" w:rsidRPr="00EA1BB2">
        <w:rPr>
          <w:rFonts w:ascii="Cambria" w:eastAsia="Times New Roman" w:hAnsi="Cambria" w:cs="Times New Roman"/>
          <w:szCs w:val="24"/>
        </w:rPr>
        <w:t xml:space="preserve"> maxime zilnice ale mediilor pe 8 ore </w:t>
      </w:r>
      <w:r w:rsidRPr="00EA1BB2">
        <w:rPr>
          <w:rFonts w:ascii="Cambria" w:eastAsia="Times New Roman" w:hAnsi="Cambria" w:cs="Times New Roman"/>
          <w:szCs w:val="24"/>
        </w:rPr>
        <w:t xml:space="preserve">pentru </w:t>
      </w:r>
      <w:r w:rsidR="00D83884" w:rsidRPr="00EA1BB2">
        <w:rPr>
          <w:rFonts w:ascii="Cambria" w:eastAsia="Times New Roman" w:hAnsi="Cambria" w:cs="Times New Roman"/>
          <w:szCs w:val="24"/>
        </w:rPr>
        <w:t>monoxid de carbon</w:t>
      </w:r>
      <w:r w:rsidRPr="00EA1BB2">
        <w:rPr>
          <w:rFonts w:ascii="Cambria" w:eastAsia="Times New Roman" w:hAnsi="Cambria" w:cs="Times New Roman"/>
          <w:szCs w:val="24"/>
        </w:rPr>
        <w:t xml:space="preserve"> (</w:t>
      </w:r>
      <w:r w:rsidR="00D83884" w:rsidRPr="00EA1BB2">
        <w:rPr>
          <w:rFonts w:ascii="Cambria" w:eastAsia="Times New Roman" w:hAnsi="Cambria" w:cs="Times New Roman"/>
          <w:szCs w:val="24"/>
        </w:rPr>
        <w:t>CO</w:t>
      </w:r>
      <w:r w:rsidRPr="00EA1BB2">
        <w:rPr>
          <w:rFonts w:ascii="Cambria" w:eastAsia="Times New Roman" w:hAnsi="Cambria" w:cs="Times New Roman"/>
          <w:szCs w:val="24"/>
        </w:rPr>
        <w:t xml:space="preserve">), înregistrată la stațiile de monitorizare a aerului din </w:t>
      </w:r>
      <w:r w:rsidR="00785B8E" w:rsidRPr="00EA1BB2">
        <w:rPr>
          <w:rFonts w:ascii="Cambria" w:eastAsia="Times New Roman" w:hAnsi="Cambria" w:cs="Times New Roman"/>
          <w:szCs w:val="24"/>
        </w:rPr>
        <w:t>județul</w:t>
      </w:r>
      <w:r w:rsidRPr="00EA1BB2">
        <w:rPr>
          <w:rFonts w:ascii="Cambria" w:eastAsia="Times New Roman" w:hAnsi="Cambria" w:cs="Times New Roman"/>
          <w:szCs w:val="24"/>
        </w:rPr>
        <w:t xml:space="preserve"> Brăila, în perioada 2008-2017</w:t>
      </w:r>
      <w:bookmarkEnd w:id="128"/>
    </w:p>
    <w:tbl>
      <w:tblPr>
        <w:tblStyle w:val="TableGrid"/>
        <w:tblW w:w="9336" w:type="dxa"/>
        <w:jc w:val="center"/>
        <w:tblLook w:val="04A0" w:firstRow="1" w:lastRow="0" w:firstColumn="1" w:lastColumn="0" w:noHBand="0" w:noVBand="1"/>
      </w:tblPr>
      <w:tblGrid>
        <w:gridCol w:w="1329"/>
        <w:gridCol w:w="789"/>
        <w:gridCol w:w="789"/>
        <w:gridCol w:w="790"/>
        <w:gridCol w:w="790"/>
        <w:gridCol w:w="790"/>
        <w:gridCol w:w="790"/>
        <w:gridCol w:w="790"/>
        <w:gridCol w:w="790"/>
        <w:gridCol w:w="790"/>
        <w:gridCol w:w="899"/>
      </w:tblGrid>
      <w:tr w:rsidR="00D90FE6" w:rsidRPr="00EA1BB2" w14:paraId="3E35E4E3" w14:textId="77777777" w:rsidTr="00F96DB3">
        <w:trPr>
          <w:trHeight w:val="105"/>
          <w:tblHeader/>
          <w:jc w:val="center"/>
        </w:trPr>
        <w:tc>
          <w:tcPr>
            <w:tcW w:w="1329" w:type="dxa"/>
            <w:vMerge w:val="restart"/>
            <w:shd w:val="clear" w:color="auto" w:fill="BDD6EE" w:themeFill="accent1" w:themeFillTint="66"/>
            <w:noWrap/>
            <w:vAlign w:val="center"/>
          </w:tcPr>
          <w:p w14:paraId="1BD4CCDC" w14:textId="77777777" w:rsidR="00D90FE6" w:rsidRPr="00EA1BB2" w:rsidRDefault="00D90FE6" w:rsidP="00F96DB3">
            <w:pPr>
              <w:spacing w:line="360" w:lineRule="auto"/>
              <w:jc w:val="center"/>
              <w:rPr>
                <w:rFonts w:ascii="Cambria" w:eastAsia="Times New Roman" w:hAnsi="Cambria" w:cs="Times New Roman"/>
                <w:b/>
                <w:sz w:val="20"/>
                <w:szCs w:val="24"/>
                <w:lang w:val="ro-RO"/>
              </w:rPr>
            </w:pPr>
            <w:r w:rsidRPr="00EA1BB2">
              <w:rPr>
                <w:rFonts w:ascii="Cambria" w:eastAsia="Times New Roman" w:hAnsi="Cambria" w:cs="Times New Roman"/>
                <w:b/>
                <w:sz w:val="20"/>
                <w:szCs w:val="24"/>
                <w:lang w:val="ro-RO"/>
              </w:rPr>
              <w:t xml:space="preserve">Stația de </w:t>
            </w:r>
          </w:p>
          <w:p w14:paraId="4DC3D4CF" w14:textId="77777777" w:rsidR="00D90FE6" w:rsidRPr="00EA1BB2" w:rsidRDefault="00D90FE6" w:rsidP="00F96DB3">
            <w:pPr>
              <w:spacing w:line="360" w:lineRule="auto"/>
              <w:ind w:left="-110" w:right="-98"/>
              <w:jc w:val="center"/>
              <w:rPr>
                <w:rFonts w:ascii="Cambria" w:eastAsia="Times New Roman" w:hAnsi="Cambria" w:cs="Times New Roman"/>
                <w:b/>
                <w:sz w:val="24"/>
                <w:szCs w:val="24"/>
                <w:lang w:val="ro-RO"/>
              </w:rPr>
            </w:pPr>
            <w:r w:rsidRPr="00EA1BB2">
              <w:rPr>
                <w:rFonts w:ascii="Cambria" w:eastAsia="Times New Roman" w:hAnsi="Cambria" w:cs="Times New Roman"/>
                <w:b/>
                <w:sz w:val="20"/>
                <w:szCs w:val="24"/>
                <w:lang w:val="ro-RO"/>
              </w:rPr>
              <w:t>monitorizare</w:t>
            </w:r>
          </w:p>
        </w:tc>
        <w:tc>
          <w:tcPr>
            <w:tcW w:w="8007" w:type="dxa"/>
            <w:gridSpan w:val="10"/>
            <w:shd w:val="clear" w:color="auto" w:fill="BDD6EE" w:themeFill="accent1" w:themeFillTint="66"/>
          </w:tcPr>
          <w:p w14:paraId="6CC7EE93" w14:textId="77777777" w:rsidR="00D90FE6" w:rsidRPr="00EA1BB2" w:rsidRDefault="00A2080B" w:rsidP="00F96DB3">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Maxima zilnică medie mobilă</w:t>
            </w:r>
          </w:p>
          <w:p w14:paraId="4D187463" w14:textId="77777777" w:rsidR="00D90FE6" w:rsidRPr="00EA1BB2" w:rsidRDefault="00A2080B" w:rsidP="00A2080B">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(mg</w:t>
            </w:r>
            <w:r w:rsidR="00D90FE6" w:rsidRPr="00EA1BB2">
              <w:rPr>
                <w:rFonts w:ascii="Cambria" w:eastAsia="Times New Roman" w:hAnsi="Cambria" w:cs="Times New Roman"/>
                <w:b/>
                <w:sz w:val="24"/>
                <w:szCs w:val="24"/>
                <w:lang w:val="ro-RO"/>
              </w:rPr>
              <w:t>/m</w:t>
            </w:r>
            <w:r w:rsidR="00D90FE6" w:rsidRPr="00EA1BB2">
              <w:rPr>
                <w:rFonts w:ascii="Cambria" w:eastAsia="Times New Roman" w:hAnsi="Cambria" w:cs="Times New Roman"/>
                <w:b/>
                <w:sz w:val="24"/>
                <w:szCs w:val="24"/>
                <w:vertAlign w:val="superscript"/>
                <w:lang w:val="ro-RO"/>
              </w:rPr>
              <w:t>3</w:t>
            </w:r>
            <w:r w:rsidR="00D90FE6" w:rsidRPr="00EA1BB2">
              <w:rPr>
                <w:rFonts w:ascii="Cambria" w:eastAsia="Times New Roman" w:hAnsi="Cambria" w:cs="Times New Roman"/>
                <w:b/>
                <w:sz w:val="24"/>
                <w:szCs w:val="24"/>
                <w:lang w:val="ro-RO"/>
              </w:rPr>
              <w:t>)</w:t>
            </w:r>
          </w:p>
        </w:tc>
      </w:tr>
      <w:tr w:rsidR="00D90FE6" w:rsidRPr="00EA1BB2" w14:paraId="554EFA4D" w14:textId="77777777" w:rsidTr="00F96DB3">
        <w:trPr>
          <w:trHeight w:val="286"/>
          <w:tblHeader/>
          <w:jc w:val="center"/>
        </w:trPr>
        <w:tc>
          <w:tcPr>
            <w:tcW w:w="1329" w:type="dxa"/>
            <w:vMerge/>
            <w:shd w:val="clear" w:color="auto" w:fill="BDD6EE" w:themeFill="accent1" w:themeFillTint="66"/>
            <w:noWrap/>
            <w:vAlign w:val="center"/>
          </w:tcPr>
          <w:p w14:paraId="349ABA06" w14:textId="77777777" w:rsidR="00D90FE6" w:rsidRPr="00EA1BB2" w:rsidRDefault="00D90FE6" w:rsidP="00F96DB3">
            <w:pPr>
              <w:spacing w:line="360" w:lineRule="auto"/>
              <w:jc w:val="center"/>
              <w:rPr>
                <w:rFonts w:ascii="Cambria" w:eastAsia="Times New Roman" w:hAnsi="Cambria" w:cs="Times New Roman"/>
                <w:b/>
                <w:sz w:val="24"/>
                <w:szCs w:val="24"/>
                <w:lang w:val="ro-RO"/>
              </w:rPr>
            </w:pPr>
          </w:p>
        </w:tc>
        <w:tc>
          <w:tcPr>
            <w:tcW w:w="0" w:type="auto"/>
            <w:shd w:val="clear" w:color="auto" w:fill="BDD6EE" w:themeFill="accent1" w:themeFillTint="66"/>
          </w:tcPr>
          <w:p w14:paraId="2EDF3EB0" w14:textId="77777777" w:rsidR="00D90FE6" w:rsidRPr="00EA1BB2" w:rsidRDefault="00D90FE6" w:rsidP="00F96DB3">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2008</w:t>
            </w:r>
          </w:p>
        </w:tc>
        <w:tc>
          <w:tcPr>
            <w:tcW w:w="0" w:type="auto"/>
            <w:shd w:val="clear" w:color="auto" w:fill="BDD6EE" w:themeFill="accent1" w:themeFillTint="66"/>
          </w:tcPr>
          <w:p w14:paraId="4574BCDB" w14:textId="77777777" w:rsidR="00D90FE6" w:rsidRPr="00EA1BB2" w:rsidRDefault="00D90FE6" w:rsidP="00F96DB3">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2009</w:t>
            </w:r>
          </w:p>
        </w:tc>
        <w:tc>
          <w:tcPr>
            <w:tcW w:w="0" w:type="auto"/>
            <w:shd w:val="clear" w:color="auto" w:fill="BDD6EE" w:themeFill="accent1" w:themeFillTint="66"/>
          </w:tcPr>
          <w:p w14:paraId="2A7DEC03" w14:textId="77777777" w:rsidR="00D90FE6" w:rsidRPr="00EA1BB2" w:rsidRDefault="00D90FE6" w:rsidP="00F96DB3">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2010</w:t>
            </w:r>
          </w:p>
        </w:tc>
        <w:tc>
          <w:tcPr>
            <w:tcW w:w="0" w:type="auto"/>
            <w:shd w:val="clear" w:color="auto" w:fill="BDD6EE" w:themeFill="accent1" w:themeFillTint="66"/>
          </w:tcPr>
          <w:p w14:paraId="3BD3E962" w14:textId="77777777" w:rsidR="00D90FE6" w:rsidRPr="00EA1BB2" w:rsidRDefault="00D90FE6" w:rsidP="00F96DB3">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2011</w:t>
            </w:r>
          </w:p>
        </w:tc>
        <w:tc>
          <w:tcPr>
            <w:tcW w:w="0" w:type="auto"/>
            <w:shd w:val="clear" w:color="auto" w:fill="BDD6EE" w:themeFill="accent1" w:themeFillTint="66"/>
          </w:tcPr>
          <w:p w14:paraId="4BAD3A94" w14:textId="77777777" w:rsidR="00D90FE6" w:rsidRPr="00EA1BB2" w:rsidRDefault="00D90FE6" w:rsidP="00F96DB3">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2012</w:t>
            </w:r>
          </w:p>
        </w:tc>
        <w:tc>
          <w:tcPr>
            <w:tcW w:w="0" w:type="auto"/>
            <w:shd w:val="clear" w:color="auto" w:fill="BDD6EE" w:themeFill="accent1" w:themeFillTint="66"/>
            <w:noWrap/>
            <w:vAlign w:val="center"/>
          </w:tcPr>
          <w:p w14:paraId="4FAD21C5" w14:textId="77777777" w:rsidR="00D90FE6" w:rsidRPr="00EA1BB2" w:rsidRDefault="00D90FE6" w:rsidP="00F96DB3">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2013</w:t>
            </w:r>
          </w:p>
        </w:tc>
        <w:tc>
          <w:tcPr>
            <w:tcW w:w="0" w:type="auto"/>
            <w:shd w:val="clear" w:color="auto" w:fill="BDD6EE" w:themeFill="accent1" w:themeFillTint="66"/>
            <w:noWrap/>
            <w:vAlign w:val="center"/>
          </w:tcPr>
          <w:p w14:paraId="3FF572E2" w14:textId="77777777" w:rsidR="00D90FE6" w:rsidRPr="00EA1BB2" w:rsidRDefault="00D90FE6" w:rsidP="00F96DB3">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2014</w:t>
            </w:r>
          </w:p>
        </w:tc>
        <w:tc>
          <w:tcPr>
            <w:tcW w:w="0" w:type="auto"/>
            <w:shd w:val="clear" w:color="auto" w:fill="BDD6EE" w:themeFill="accent1" w:themeFillTint="66"/>
            <w:noWrap/>
            <w:vAlign w:val="center"/>
          </w:tcPr>
          <w:p w14:paraId="46452CA8" w14:textId="77777777" w:rsidR="00D90FE6" w:rsidRPr="00EA1BB2" w:rsidRDefault="00D90FE6" w:rsidP="00F96DB3">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2015</w:t>
            </w:r>
          </w:p>
        </w:tc>
        <w:tc>
          <w:tcPr>
            <w:tcW w:w="785" w:type="dxa"/>
            <w:shd w:val="clear" w:color="auto" w:fill="BDD6EE" w:themeFill="accent1" w:themeFillTint="66"/>
            <w:noWrap/>
            <w:vAlign w:val="center"/>
          </w:tcPr>
          <w:p w14:paraId="66CEF9BA" w14:textId="77777777" w:rsidR="00D90FE6" w:rsidRPr="00EA1BB2" w:rsidRDefault="00D90FE6" w:rsidP="00F96DB3">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2016</w:t>
            </w:r>
          </w:p>
        </w:tc>
        <w:tc>
          <w:tcPr>
            <w:tcW w:w="894" w:type="dxa"/>
            <w:shd w:val="clear" w:color="auto" w:fill="BDD6EE" w:themeFill="accent1" w:themeFillTint="66"/>
            <w:noWrap/>
            <w:vAlign w:val="center"/>
          </w:tcPr>
          <w:p w14:paraId="2D4F4676" w14:textId="60B4C623" w:rsidR="00D90FE6" w:rsidRPr="00EA1BB2" w:rsidRDefault="00D90FE6" w:rsidP="00C913AA">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2017</w:t>
            </w:r>
          </w:p>
        </w:tc>
      </w:tr>
      <w:tr w:rsidR="00D90FE6" w:rsidRPr="00EA1BB2" w14:paraId="3A308FE5" w14:textId="77777777" w:rsidTr="00F96DB3">
        <w:trPr>
          <w:trHeight w:val="340"/>
          <w:jc w:val="center"/>
        </w:trPr>
        <w:tc>
          <w:tcPr>
            <w:tcW w:w="1329" w:type="dxa"/>
            <w:noWrap/>
            <w:vAlign w:val="center"/>
          </w:tcPr>
          <w:p w14:paraId="51E54938" w14:textId="77777777" w:rsidR="00D90FE6" w:rsidRPr="00EA1BB2" w:rsidRDefault="00D90FE6"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BR1</w:t>
            </w:r>
          </w:p>
        </w:tc>
        <w:tc>
          <w:tcPr>
            <w:tcW w:w="0" w:type="auto"/>
          </w:tcPr>
          <w:p w14:paraId="6436BCBD" w14:textId="77777777" w:rsidR="00D90FE6" w:rsidRPr="00EA1BB2" w:rsidRDefault="00832080"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6,10</w:t>
            </w:r>
          </w:p>
        </w:tc>
        <w:tc>
          <w:tcPr>
            <w:tcW w:w="0" w:type="auto"/>
          </w:tcPr>
          <w:p w14:paraId="22F37EDF" w14:textId="77777777" w:rsidR="00D90FE6" w:rsidRPr="00EA1BB2" w:rsidRDefault="009229B4"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1,94</w:t>
            </w:r>
          </w:p>
        </w:tc>
        <w:tc>
          <w:tcPr>
            <w:tcW w:w="0" w:type="auto"/>
          </w:tcPr>
          <w:p w14:paraId="7256ED2D" w14:textId="77777777" w:rsidR="00D90FE6" w:rsidRPr="00EA1BB2" w:rsidRDefault="009229B4"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1,69</w:t>
            </w:r>
          </w:p>
        </w:tc>
        <w:tc>
          <w:tcPr>
            <w:tcW w:w="0" w:type="auto"/>
          </w:tcPr>
          <w:p w14:paraId="0BD5D215" w14:textId="77777777" w:rsidR="00D90FE6" w:rsidRPr="00EA1BB2" w:rsidRDefault="009229B4"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4,11</w:t>
            </w:r>
          </w:p>
        </w:tc>
        <w:tc>
          <w:tcPr>
            <w:tcW w:w="0" w:type="auto"/>
          </w:tcPr>
          <w:p w14:paraId="24E9377D" w14:textId="77777777" w:rsidR="00D90FE6" w:rsidRPr="00EA1BB2" w:rsidRDefault="009229B4"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3,52</w:t>
            </w:r>
          </w:p>
        </w:tc>
        <w:tc>
          <w:tcPr>
            <w:tcW w:w="0" w:type="auto"/>
            <w:noWrap/>
          </w:tcPr>
          <w:p w14:paraId="2202714E" w14:textId="77777777" w:rsidR="00D90FE6" w:rsidRPr="00EA1BB2" w:rsidRDefault="009229B4"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52C18E55" w14:textId="77777777" w:rsidR="00D90FE6" w:rsidRPr="00EA1BB2" w:rsidRDefault="009229B4"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667E3A47" w14:textId="77777777" w:rsidR="00D90FE6" w:rsidRPr="00EA1BB2" w:rsidRDefault="009229B4"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6,76</w:t>
            </w:r>
          </w:p>
        </w:tc>
        <w:tc>
          <w:tcPr>
            <w:tcW w:w="785" w:type="dxa"/>
            <w:noWrap/>
          </w:tcPr>
          <w:p w14:paraId="138EA91C" w14:textId="77777777" w:rsidR="00D90FE6" w:rsidRPr="00EA1BB2" w:rsidRDefault="009229B4"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3,07</w:t>
            </w:r>
          </w:p>
        </w:tc>
        <w:tc>
          <w:tcPr>
            <w:tcW w:w="894" w:type="dxa"/>
            <w:noWrap/>
            <w:vAlign w:val="center"/>
          </w:tcPr>
          <w:p w14:paraId="62FA5F8D" w14:textId="77777777" w:rsidR="00D90FE6" w:rsidRPr="00EA1BB2" w:rsidRDefault="009229B4" w:rsidP="00A2080B">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1,7</w:t>
            </w:r>
            <w:r w:rsidR="00A2080B" w:rsidRPr="00EA1BB2">
              <w:rPr>
                <w:rFonts w:ascii="Cambria" w:eastAsia="Times New Roman" w:hAnsi="Cambria" w:cs="Times New Roman"/>
                <w:sz w:val="24"/>
                <w:szCs w:val="24"/>
                <w:lang w:val="ro-RO"/>
              </w:rPr>
              <w:t>8</w:t>
            </w:r>
          </w:p>
        </w:tc>
      </w:tr>
      <w:tr w:rsidR="00D90FE6" w:rsidRPr="00EA1BB2" w14:paraId="6FDD5268" w14:textId="77777777" w:rsidTr="00F96DB3">
        <w:trPr>
          <w:trHeight w:val="340"/>
          <w:jc w:val="center"/>
        </w:trPr>
        <w:tc>
          <w:tcPr>
            <w:tcW w:w="1329" w:type="dxa"/>
            <w:noWrap/>
            <w:vAlign w:val="center"/>
          </w:tcPr>
          <w:p w14:paraId="740D1EB4" w14:textId="77777777" w:rsidR="00D90FE6" w:rsidRPr="00EA1BB2" w:rsidRDefault="00D90FE6"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BR2</w:t>
            </w:r>
          </w:p>
        </w:tc>
        <w:tc>
          <w:tcPr>
            <w:tcW w:w="0" w:type="auto"/>
          </w:tcPr>
          <w:p w14:paraId="365FC96A" w14:textId="77777777" w:rsidR="00D90FE6" w:rsidRPr="00EA1BB2" w:rsidRDefault="00AB3799"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1,32</w:t>
            </w:r>
          </w:p>
        </w:tc>
        <w:tc>
          <w:tcPr>
            <w:tcW w:w="0" w:type="auto"/>
          </w:tcPr>
          <w:p w14:paraId="13BEC240" w14:textId="77777777" w:rsidR="00D90FE6" w:rsidRPr="00EA1BB2" w:rsidRDefault="009229B4"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1,50</w:t>
            </w:r>
          </w:p>
        </w:tc>
        <w:tc>
          <w:tcPr>
            <w:tcW w:w="0" w:type="auto"/>
          </w:tcPr>
          <w:p w14:paraId="182EC374" w14:textId="77777777" w:rsidR="00D90FE6" w:rsidRPr="00EA1BB2" w:rsidRDefault="009229B4"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1,46</w:t>
            </w:r>
          </w:p>
        </w:tc>
        <w:tc>
          <w:tcPr>
            <w:tcW w:w="0" w:type="auto"/>
          </w:tcPr>
          <w:p w14:paraId="550D0771" w14:textId="77777777" w:rsidR="00D90FE6" w:rsidRPr="00EA1BB2" w:rsidRDefault="009229B4"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1,69</w:t>
            </w:r>
          </w:p>
        </w:tc>
        <w:tc>
          <w:tcPr>
            <w:tcW w:w="0" w:type="auto"/>
          </w:tcPr>
          <w:p w14:paraId="6FE34CC5" w14:textId="77777777" w:rsidR="00D90FE6" w:rsidRPr="00EA1BB2" w:rsidRDefault="009229B4" w:rsidP="009229B4">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2,08</w:t>
            </w:r>
          </w:p>
        </w:tc>
        <w:tc>
          <w:tcPr>
            <w:tcW w:w="0" w:type="auto"/>
            <w:noWrap/>
          </w:tcPr>
          <w:p w14:paraId="7E050FC8" w14:textId="77777777" w:rsidR="00D90FE6" w:rsidRPr="00EA1BB2" w:rsidRDefault="009229B4"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1,55</w:t>
            </w:r>
          </w:p>
        </w:tc>
        <w:tc>
          <w:tcPr>
            <w:tcW w:w="0" w:type="auto"/>
            <w:noWrap/>
          </w:tcPr>
          <w:p w14:paraId="233B735A" w14:textId="77777777" w:rsidR="00D90FE6" w:rsidRPr="00EA1BB2" w:rsidRDefault="009229B4"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0,96</w:t>
            </w:r>
          </w:p>
        </w:tc>
        <w:tc>
          <w:tcPr>
            <w:tcW w:w="0" w:type="auto"/>
            <w:noWrap/>
          </w:tcPr>
          <w:p w14:paraId="3AC51BBD" w14:textId="77777777" w:rsidR="00D90FE6" w:rsidRPr="00EA1BB2" w:rsidRDefault="009229B4"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1,95</w:t>
            </w:r>
          </w:p>
        </w:tc>
        <w:tc>
          <w:tcPr>
            <w:tcW w:w="785" w:type="dxa"/>
            <w:noWrap/>
          </w:tcPr>
          <w:p w14:paraId="36C5E58C" w14:textId="77777777" w:rsidR="00D90FE6" w:rsidRPr="00EA1BB2" w:rsidRDefault="009229B4"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1,63</w:t>
            </w:r>
          </w:p>
        </w:tc>
        <w:tc>
          <w:tcPr>
            <w:tcW w:w="894" w:type="dxa"/>
            <w:noWrap/>
          </w:tcPr>
          <w:p w14:paraId="6103F510" w14:textId="77777777" w:rsidR="00D90FE6" w:rsidRPr="00EA1BB2" w:rsidRDefault="009229B4"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1,23</w:t>
            </w:r>
          </w:p>
        </w:tc>
      </w:tr>
      <w:tr w:rsidR="00D90FE6" w:rsidRPr="00EA1BB2" w14:paraId="2CED684B" w14:textId="77777777" w:rsidTr="00F96DB3">
        <w:trPr>
          <w:trHeight w:val="340"/>
          <w:jc w:val="center"/>
        </w:trPr>
        <w:tc>
          <w:tcPr>
            <w:tcW w:w="1329" w:type="dxa"/>
            <w:noWrap/>
            <w:vAlign w:val="center"/>
          </w:tcPr>
          <w:p w14:paraId="18AF59B1" w14:textId="77777777" w:rsidR="00D90FE6" w:rsidRPr="00EA1BB2" w:rsidRDefault="00D90FE6"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BR3</w:t>
            </w:r>
          </w:p>
        </w:tc>
        <w:tc>
          <w:tcPr>
            <w:tcW w:w="0" w:type="auto"/>
          </w:tcPr>
          <w:p w14:paraId="1A10A329" w14:textId="77777777" w:rsidR="00D90FE6" w:rsidRPr="00EA1BB2" w:rsidRDefault="00AB3799"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2,20</w:t>
            </w:r>
          </w:p>
        </w:tc>
        <w:tc>
          <w:tcPr>
            <w:tcW w:w="0" w:type="auto"/>
          </w:tcPr>
          <w:p w14:paraId="0B5016CB" w14:textId="77777777" w:rsidR="00D90FE6" w:rsidRPr="00EA1BB2" w:rsidRDefault="009229B4"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2,32</w:t>
            </w:r>
          </w:p>
        </w:tc>
        <w:tc>
          <w:tcPr>
            <w:tcW w:w="0" w:type="auto"/>
          </w:tcPr>
          <w:p w14:paraId="1A871462" w14:textId="77777777" w:rsidR="00D90FE6" w:rsidRPr="00EA1BB2" w:rsidRDefault="009229B4"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2,02</w:t>
            </w:r>
          </w:p>
        </w:tc>
        <w:tc>
          <w:tcPr>
            <w:tcW w:w="0" w:type="auto"/>
          </w:tcPr>
          <w:p w14:paraId="4B25B4A4" w14:textId="77777777" w:rsidR="00D90FE6" w:rsidRPr="00EA1BB2" w:rsidRDefault="009229B4"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1,22</w:t>
            </w:r>
          </w:p>
        </w:tc>
        <w:tc>
          <w:tcPr>
            <w:tcW w:w="0" w:type="auto"/>
          </w:tcPr>
          <w:p w14:paraId="008FC489" w14:textId="77777777" w:rsidR="00D90FE6" w:rsidRPr="00EA1BB2" w:rsidRDefault="009229B4"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2,42</w:t>
            </w:r>
          </w:p>
        </w:tc>
        <w:tc>
          <w:tcPr>
            <w:tcW w:w="0" w:type="auto"/>
            <w:noWrap/>
          </w:tcPr>
          <w:p w14:paraId="26735DCA" w14:textId="77777777" w:rsidR="00D90FE6" w:rsidRPr="00EA1BB2" w:rsidRDefault="00A2080B"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2,17</w:t>
            </w:r>
          </w:p>
        </w:tc>
        <w:tc>
          <w:tcPr>
            <w:tcW w:w="0" w:type="auto"/>
            <w:noWrap/>
          </w:tcPr>
          <w:p w14:paraId="32E1D3B2" w14:textId="77777777" w:rsidR="00D90FE6" w:rsidRPr="00EA1BB2" w:rsidRDefault="009229B4"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0,68</w:t>
            </w:r>
          </w:p>
        </w:tc>
        <w:tc>
          <w:tcPr>
            <w:tcW w:w="0" w:type="auto"/>
            <w:noWrap/>
          </w:tcPr>
          <w:p w14:paraId="1C831351" w14:textId="77777777" w:rsidR="00D90FE6" w:rsidRPr="00EA1BB2" w:rsidRDefault="009229B4"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1,52</w:t>
            </w:r>
          </w:p>
        </w:tc>
        <w:tc>
          <w:tcPr>
            <w:tcW w:w="785" w:type="dxa"/>
            <w:noWrap/>
          </w:tcPr>
          <w:p w14:paraId="6B88DCBB" w14:textId="77777777" w:rsidR="00D90FE6" w:rsidRPr="00EA1BB2" w:rsidRDefault="009229B4"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1,80</w:t>
            </w:r>
          </w:p>
        </w:tc>
        <w:tc>
          <w:tcPr>
            <w:tcW w:w="894" w:type="dxa"/>
            <w:noWrap/>
          </w:tcPr>
          <w:p w14:paraId="7C88F35E" w14:textId="77777777" w:rsidR="00D90FE6" w:rsidRPr="00EA1BB2" w:rsidRDefault="009229B4" w:rsidP="00A2080B">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1,6</w:t>
            </w:r>
            <w:r w:rsidR="00A2080B" w:rsidRPr="00EA1BB2">
              <w:rPr>
                <w:rFonts w:ascii="Cambria" w:eastAsia="Times New Roman" w:hAnsi="Cambria" w:cs="Times New Roman"/>
                <w:sz w:val="24"/>
                <w:szCs w:val="24"/>
                <w:lang w:val="ro-RO"/>
              </w:rPr>
              <w:t>9</w:t>
            </w:r>
          </w:p>
        </w:tc>
      </w:tr>
      <w:tr w:rsidR="00D90FE6" w:rsidRPr="00EA1BB2" w14:paraId="7B789D66" w14:textId="77777777" w:rsidTr="00F96DB3">
        <w:trPr>
          <w:trHeight w:val="340"/>
          <w:jc w:val="center"/>
        </w:trPr>
        <w:tc>
          <w:tcPr>
            <w:tcW w:w="1329" w:type="dxa"/>
            <w:noWrap/>
            <w:vAlign w:val="center"/>
          </w:tcPr>
          <w:p w14:paraId="2AC6C490" w14:textId="77777777" w:rsidR="00D90FE6" w:rsidRPr="00EA1BB2" w:rsidRDefault="00D90FE6"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BR4</w:t>
            </w:r>
          </w:p>
        </w:tc>
        <w:tc>
          <w:tcPr>
            <w:tcW w:w="0" w:type="auto"/>
          </w:tcPr>
          <w:p w14:paraId="266F8E73" w14:textId="77777777" w:rsidR="00D90FE6" w:rsidRPr="00EA1BB2" w:rsidRDefault="00AB3799"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2,00</w:t>
            </w:r>
          </w:p>
        </w:tc>
        <w:tc>
          <w:tcPr>
            <w:tcW w:w="0" w:type="auto"/>
          </w:tcPr>
          <w:p w14:paraId="20B885DB" w14:textId="77777777" w:rsidR="00D90FE6" w:rsidRPr="00EA1BB2" w:rsidRDefault="009229B4"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2,64</w:t>
            </w:r>
          </w:p>
        </w:tc>
        <w:tc>
          <w:tcPr>
            <w:tcW w:w="0" w:type="auto"/>
          </w:tcPr>
          <w:p w14:paraId="61F3DF40" w14:textId="77777777" w:rsidR="00D90FE6" w:rsidRPr="00EA1BB2" w:rsidRDefault="009229B4"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2,06</w:t>
            </w:r>
          </w:p>
        </w:tc>
        <w:tc>
          <w:tcPr>
            <w:tcW w:w="0" w:type="auto"/>
          </w:tcPr>
          <w:p w14:paraId="63C87908" w14:textId="77777777" w:rsidR="00D90FE6" w:rsidRPr="00EA1BB2" w:rsidRDefault="009229B4"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2,13</w:t>
            </w:r>
          </w:p>
        </w:tc>
        <w:tc>
          <w:tcPr>
            <w:tcW w:w="0" w:type="auto"/>
          </w:tcPr>
          <w:p w14:paraId="1CD81F7F" w14:textId="77777777" w:rsidR="00D90FE6" w:rsidRPr="00EA1BB2" w:rsidRDefault="009229B4"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3,72</w:t>
            </w:r>
          </w:p>
        </w:tc>
        <w:tc>
          <w:tcPr>
            <w:tcW w:w="0" w:type="auto"/>
            <w:noWrap/>
          </w:tcPr>
          <w:p w14:paraId="2A3CFAB8" w14:textId="77777777" w:rsidR="00D90FE6" w:rsidRPr="00EA1BB2" w:rsidRDefault="009229B4"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1,11</w:t>
            </w:r>
          </w:p>
        </w:tc>
        <w:tc>
          <w:tcPr>
            <w:tcW w:w="0" w:type="auto"/>
            <w:noWrap/>
          </w:tcPr>
          <w:p w14:paraId="006B2570" w14:textId="77777777" w:rsidR="00D90FE6" w:rsidRPr="00EA1BB2" w:rsidRDefault="009229B4"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0,98</w:t>
            </w:r>
          </w:p>
        </w:tc>
        <w:tc>
          <w:tcPr>
            <w:tcW w:w="0" w:type="auto"/>
            <w:noWrap/>
          </w:tcPr>
          <w:p w14:paraId="2987DCD5" w14:textId="77777777" w:rsidR="00D90FE6" w:rsidRPr="00EA1BB2" w:rsidRDefault="009229B4"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1,47</w:t>
            </w:r>
          </w:p>
        </w:tc>
        <w:tc>
          <w:tcPr>
            <w:tcW w:w="785" w:type="dxa"/>
            <w:noWrap/>
          </w:tcPr>
          <w:p w14:paraId="5C2F921F" w14:textId="77777777" w:rsidR="00D90FE6" w:rsidRPr="00EA1BB2" w:rsidRDefault="009229B4"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2,33</w:t>
            </w:r>
          </w:p>
        </w:tc>
        <w:tc>
          <w:tcPr>
            <w:tcW w:w="894" w:type="dxa"/>
            <w:noWrap/>
            <w:vAlign w:val="center"/>
          </w:tcPr>
          <w:p w14:paraId="2805A430" w14:textId="77777777" w:rsidR="00D90FE6" w:rsidRPr="00EA1BB2" w:rsidRDefault="009229B4"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1,97</w:t>
            </w:r>
          </w:p>
        </w:tc>
      </w:tr>
      <w:tr w:rsidR="003834EC" w:rsidRPr="00EA1BB2" w14:paraId="43B91F16" w14:textId="77777777" w:rsidTr="00F96DB3">
        <w:trPr>
          <w:trHeight w:val="340"/>
          <w:jc w:val="center"/>
        </w:trPr>
        <w:tc>
          <w:tcPr>
            <w:tcW w:w="1329" w:type="dxa"/>
            <w:noWrap/>
            <w:vAlign w:val="center"/>
          </w:tcPr>
          <w:p w14:paraId="5D3B5BB2" w14:textId="77777777" w:rsidR="003834EC" w:rsidRPr="00EA1BB2" w:rsidRDefault="003834EC"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BR5</w:t>
            </w:r>
          </w:p>
        </w:tc>
        <w:tc>
          <w:tcPr>
            <w:tcW w:w="0" w:type="auto"/>
          </w:tcPr>
          <w:p w14:paraId="4939AF6E" w14:textId="77777777" w:rsidR="003834EC" w:rsidRPr="00EA1BB2" w:rsidRDefault="00AB3799"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2,03</w:t>
            </w:r>
          </w:p>
        </w:tc>
        <w:tc>
          <w:tcPr>
            <w:tcW w:w="0" w:type="auto"/>
          </w:tcPr>
          <w:p w14:paraId="450BDACA" w14:textId="77777777" w:rsidR="003834EC" w:rsidRPr="00EA1BB2" w:rsidRDefault="009229B4"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0,93</w:t>
            </w:r>
          </w:p>
        </w:tc>
        <w:tc>
          <w:tcPr>
            <w:tcW w:w="0" w:type="auto"/>
          </w:tcPr>
          <w:p w14:paraId="72D54A53" w14:textId="77777777" w:rsidR="003834EC" w:rsidRPr="00EA1BB2" w:rsidRDefault="009229B4"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0,86</w:t>
            </w:r>
          </w:p>
        </w:tc>
        <w:tc>
          <w:tcPr>
            <w:tcW w:w="0" w:type="auto"/>
          </w:tcPr>
          <w:p w14:paraId="7B915546" w14:textId="77777777" w:rsidR="003834EC" w:rsidRPr="00EA1BB2" w:rsidRDefault="009229B4"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2,23</w:t>
            </w:r>
          </w:p>
        </w:tc>
        <w:tc>
          <w:tcPr>
            <w:tcW w:w="0" w:type="auto"/>
          </w:tcPr>
          <w:p w14:paraId="118159D7" w14:textId="77777777" w:rsidR="003834EC" w:rsidRPr="00EA1BB2" w:rsidRDefault="009229B4"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2,53</w:t>
            </w:r>
          </w:p>
        </w:tc>
        <w:tc>
          <w:tcPr>
            <w:tcW w:w="0" w:type="auto"/>
            <w:noWrap/>
          </w:tcPr>
          <w:p w14:paraId="2A6046E0" w14:textId="77777777" w:rsidR="003834EC" w:rsidRPr="00EA1BB2" w:rsidRDefault="009229B4" w:rsidP="00A2080B">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w:t>
            </w:r>
            <w:r w:rsidR="00A2080B" w:rsidRPr="00EA1BB2">
              <w:rPr>
                <w:rFonts w:ascii="Cambria" w:eastAsia="Times New Roman" w:hAnsi="Cambria" w:cs="Times New Roman"/>
                <w:sz w:val="24"/>
                <w:szCs w:val="24"/>
                <w:lang w:val="ro-RO"/>
              </w:rPr>
              <w:t>34</w:t>
            </w:r>
          </w:p>
        </w:tc>
        <w:tc>
          <w:tcPr>
            <w:tcW w:w="0" w:type="auto"/>
            <w:noWrap/>
          </w:tcPr>
          <w:p w14:paraId="4A8BDAF0" w14:textId="77777777" w:rsidR="003834EC" w:rsidRPr="00EA1BB2" w:rsidRDefault="009229B4"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0,65</w:t>
            </w:r>
          </w:p>
        </w:tc>
        <w:tc>
          <w:tcPr>
            <w:tcW w:w="0" w:type="auto"/>
            <w:noWrap/>
          </w:tcPr>
          <w:p w14:paraId="725B01AD" w14:textId="77777777" w:rsidR="003834EC" w:rsidRPr="00EA1BB2" w:rsidRDefault="009229B4" w:rsidP="00A2080B">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0,</w:t>
            </w:r>
            <w:r w:rsidR="00A2080B" w:rsidRPr="00EA1BB2">
              <w:rPr>
                <w:rFonts w:ascii="Cambria" w:eastAsia="Times New Roman" w:hAnsi="Cambria" w:cs="Times New Roman"/>
                <w:sz w:val="24"/>
                <w:szCs w:val="24"/>
                <w:lang w:val="ro-RO"/>
              </w:rPr>
              <w:t>71</w:t>
            </w:r>
          </w:p>
        </w:tc>
        <w:tc>
          <w:tcPr>
            <w:tcW w:w="785" w:type="dxa"/>
            <w:noWrap/>
          </w:tcPr>
          <w:p w14:paraId="285C378B" w14:textId="77777777" w:rsidR="003834EC" w:rsidRPr="00EA1BB2" w:rsidRDefault="009229B4"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1,56</w:t>
            </w:r>
          </w:p>
        </w:tc>
        <w:tc>
          <w:tcPr>
            <w:tcW w:w="894" w:type="dxa"/>
            <w:noWrap/>
            <w:vAlign w:val="center"/>
          </w:tcPr>
          <w:p w14:paraId="74CBA656" w14:textId="77777777" w:rsidR="003834EC" w:rsidRPr="00EA1BB2" w:rsidRDefault="009229B4" w:rsidP="00F96DB3">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0,79</w:t>
            </w:r>
          </w:p>
        </w:tc>
      </w:tr>
    </w:tbl>
    <w:p w14:paraId="2FEA73EC" w14:textId="77777777" w:rsidR="00D90FE6" w:rsidRPr="00EA1BB2" w:rsidRDefault="00D90FE6" w:rsidP="00D90FE6">
      <w:pPr>
        <w:spacing w:line="276" w:lineRule="auto"/>
        <w:jc w:val="both"/>
        <w:rPr>
          <w:rFonts w:ascii="Cambria" w:eastAsia="Times New Roman" w:hAnsi="Cambria" w:cs="Times New Roman"/>
          <w:szCs w:val="24"/>
        </w:rPr>
      </w:pPr>
      <w:r w:rsidRPr="00EA1BB2">
        <w:rPr>
          <w:rFonts w:ascii="Cambria" w:eastAsia="Times New Roman" w:hAnsi="Cambria" w:cs="Times New Roman"/>
          <w:szCs w:val="24"/>
        </w:rPr>
        <w:t>Valoarea</w:t>
      </w:r>
      <w:r w:rsidR="00831372" w:rsidRPr="00EA1BB2">
        <w:rPr>
          <w:rFonts w:ascii="Cambria" w:eastAsia="Times New Roman" w:hAnsi="Cambria" w:cs="Times New Roman"/>
          <w:szCs w:val="24"/>
        </w:rPr>
        <w:t>-</w:t>
      </w:r>
      <w:r w:rsidRPr="00EA1BB2">
        <w:rPr>
          <w:rFonts w:ascii="Cambria" w:eastAsia="Times New Roman" w:hAnsi="Cambria" w:cs="Times New Roman"/>
          <w:szCs w:val="24"/>
        </w:rPr>
        <w:t>limită pentru protecția sănătății umane (valoarea maximă zilnică a mediilor pe 8 ore) a concentrației pentru CO este 10 mg/m</w:t>
      </w:r>
      <w:r w:rsidRPr="00EA1BB2">
        <w:rPr>
          <w:rFonts w:ascii="Cambria" w:eastAsia="Times New Roman" w:hAnsi="Cambria" w:cs="Times New Roman"/>
          <w:szCs w:val="24"/>
          <w:vertAlign w:val="superscript"/>
        </w:rPr>
        <w:t>3</w:t>
      </w:r>
    </w:p>
    <w:p w14:paraId="24E654EF" w14:textId="77777777" w:rsidR="00D90FE6" w:rsidRPr="00EA1BB2" w:rsidRDefault="00D90FE6" w:rsidP="00D90FE6">
      <w:pPr>
        <w:spacing w:line="276" w:lineRule="auto"/>
        <w:jc w:val="both"/>
        <w:rPr>
          <w:rFonts w:ascii="Cambria" w:eastAsia="Times New Roman" w:hAnsi="Cambria" w:cs="Times New Roman"/>
          <w:szCs w:val="24"/>
        </w:rPr>
      </w:pPr>
      <w:r w:rsidRPr="00EA1BB2">
        <w:rPr>
          <w:rFonts w:ascii="Cambria" w:eastAsia="Times New Roman" w:hAnsi="Cambria" w:cs="Times New Roman"/>
          <w:szCs w:val="24"/>
        </w:rPr>
        <w:t xml:space="preserve">Sursa date: </w:t>
      </w:r>
      <w:hyperlink r:id="rId70" w:history="1">
        <w:r w:rsidRPr="00EA1BB2">
          <w:rPr>
            <w:rStyle w:val="Hyperlink"/>
            <w:rFonts w:ascii="Cambria" w:eastAsia="Times New Roman" w:hAnsi="Cambria" w:cs="Times New Roman"/>
            <w:szCs w:val="24"/>
          </w:rPr>
          <w:t>www.calitateaer.ro</w:t>
        </w:r>
      </w:hyperlink>
      <w:r w:rsidRPr="00EA1BB2">
        <w:rPr>
          <w:rFonts w:ascii="Cambria" w:eastAsia="Times New Roman" w:hAnsi="Cambria" w:cs="Times New Roman"/>
          <w:szCs w:val="24"/>
        </w:rPr>
        <w:t xml:space="preserve"> accesat la data de 11.07.2018</w:t>
      </w:r>
    </w:p>
    <w:p w14:paraId="33550DC5" w14:textId="77777777" w:rsidR="00A76AB0" w:rsidRPr="00EA1BB2" w:rsidRDefault="00A76AB0" w:rsidP="00744560">
      <w:pPr>
        <w:spacing w:line="360" w:lineRule="auto"/>
        <w:ind w:firstLine="708"/>
        <w:jc w:val="both"/>
        <w:rPr>
          <w:rFonts w:ascii="Cambria" w:eastAsia="Times New Roman" w:hAnsi="Cambria" w:cs="Times New Roman"/>
          <w:sz w:val="24"/>
          <w:szCs w:val="24"/>
        </w:rPr>
      </w:pPr>
    </w:p>
    <w:p w14:paraId="60FE1A34" w14:textId="77777777" w:rsidR="00744560" w:rsidRPr="00EA1BB2" w:rsidRDefault="00744560" w:rsidP="00E859EF">
      <w:pPr>
        <w:pStyle w:val="Heading4"/>
        <w:numPr>
          <w:ilvl w:val="3"/>
          <w:numId w:val="1"/>
        </w:numPr>
        <w:spacing w:before="0" w:line="360" w:lineRule="auto"/>
        <w:ind w:hanging="579"/>
        <w:rPr>
          <w:color w:val="0070C0"/>
          <w:sz w:val="24"/>
        </w:rPr>
      </w:pPr>
      <w:bookmarkStart w:id="129" w:name="_Toc526889722"/>
      <w:r w:rsidRPr="00EA1BB2">
        <w:rPr>
          <w:color w:val="0070C0"/>
          <w:sz w:val="24"/>
        </w:rPr>
        <w:t>Metale grele – Plumb (Pb)</w:t>
      </w:r>
      <w:bookmarkEnd w:id="129"/>
    </w:p>
    <w:p w14:paraId="0F401C5A" w14:textId="1BEC981C" w:rsidR="00A76AB0" w:rsidRPr="00EA1BB2" w:rsidRDefault="00A76AB0" w:rsidP="00A76AB0">
      <w:pPr>
        <w:pStyle w:val="Caption"/>
        <w:keepNext/>
        <w:spacing w:after="0" w:line="360" w:lineRule="auto"/>
        <w:ind w:firstLine="708"/>
        <w:jc w:val="both"/>
        <w:rPr>
          <w:rFonts w:ascii="Cambria" w:eastAsia="Times New Roman" w:hAnsi="Cambria" w:cs="Times New Roman"/>
          <w:b w:val="0"/>
          <w:szCs w:val="24"/>
        </w:rPr>
      </w:pPr>
      <w:bookmarkStart w:id="130" w:name="_Toc526889790"/>
      <w:r w:rsidRPr="00EA1BB2">
        <w:rPr>
          <w:rFonts w:ascii="Cambria" w:hAnsi="Cambria"/>
          <w:szCs w:val="24"/>
        </w:rPr>
        <w:t xml:space="preserve">Tabelul nr. </w:t>
      </w:r>
      <w:r w:rsidR="000A2FE7" w:rsidRPr="00EA1BB2">
        <w:rPr>
          <w:rFonts w:ascii="Cambria" w:hAnsi="Cambria"/>
          <w:szCs w:val="24"/>
        </w:rPr>
        <w:fldChar w:fldCharType="begin"/>
      </w:r>
      <w:r w:rsidR="000A2FE7" w:rsidRPr="00EA1BB2">
        <w:rPr>
          <w:rFonts w:ascii="Cambria" w:hAnsi="Cambria"/>
          <w:szCs w:val="24"/>
        </w:rPr>
        <w:instrText xml:space="preserve"> STYLEREF 1 \s </w:instrText>
      </w:r>
      <w:r w:rsidR="000A2FE7" w:rsidRPr="00EA1BB2">
        <w:rPr>
          <w:rFonts w:ascii="Cambria" w:hAnsi="Cambria"/>
          <w:szCs w:val="24"/>
        </w:rPr>
        <w:fldChar w:fldCharType="separate"/>
      </w:r>
      <w:r w:rsidR="00567555">
        <w:rPr>
          <w:rFonts w:ascii="Cambria" w:hAnsi="Cambria"/>
          <w:noProof/>
          <w:szCs w:val="24"/>
        </w:rPr>
        <w:t>3</w:t>
      </w:r>
      <w:r w:rsidR="000A2FE7" w:rsidRPr="00EA1BB2">
        <w:rPr>
          <w:rFonts w:ascii="Cambria" w:hAnsi="Cambria"/>
          <w:szCs w:val="24"/>
        </w:rPr>
        <w:fldChar w:fldCharType="end"/>
      </w:r>
      <w:r w:rsidR="000A2FE7" w:rsidRPr="00EA1BB2">
        <w:rPr>
          <w:rFonts w:ascii="Cambria" w:hAnsi="Cambria"/>
          <w:szCs w:val="24"/>
        </w:rPr>
        <w:noBreakHyphen/>
      </w:r>
      <w:r w:rsidR="000A2FE7" w:rsidRPr="00EA1BB2">
        <w:rPr>
          <w:rFonts w:ascii="Cambria" w:hAnsi="Cambria"/>
          <w:szCs w:val="24"/>
        </w:rPr>
        <w:fldChar w:fldCharType="begin"/>
      </w:r>
      <w:r w:rsidR="000A2FE7" w:rsidRPr="00EA1BB2">
        <w:rPr>
          <w:rFonts w:ascii="Cambria" w:hAnsi="Cambria"/>
          <w:szCs w:val="24"/>
        </w:rPr>
        <w:instrText xml:space="preserve"> SEQ Tabelul_nr. \* ARABIC \s 1 </w:instrText>
      </w:r>
      <w:r w:rsidR="000A2FE7" w:rsidRPr="00EA1BB2">
        <w:rPr>
          <w:rFonts w:ascii="Cambria" w:hAnsi="Cambria"/>
          <w:szCs w:val="24"/>
        </w:rPr>
        <w:fldChar w:fldCharType="separate"/>
      </w:r>
      <w:r w:rsidR="00567555">
        <w:rPr>
          <w:rFonts w:ascii="Cambria" w:hAnsi="Cambria"/>
          <w:noProof/>
          <w:szCs w:val="24"/>
        </w:rPr>
        <w:t>21</w:t>
      </w:r>
      <w:r w:rsidR="000A2FE7" w:rsidRPr="00EA1BB2">
        <w:rPr>
          <w:rFonts w:ascii="Cambria" w:hAnsi="Cambria"/>
          <w:szCs w:val="24"/>
        </w:rPr>
        <w:fldChar w:fldCharType="end"/>
      </w:r>
      <w:r w:rsidRPr="00EA1BB2">
        <w:rPr>
          <w:rFonts w:ascii="Cambria" w:hAnsi="Cambria"/>
          <w:noProof/>
          <w:szCs w:val="24"/>
        </w:rPr>
        <w:t xml:space="preserve"> - </w:t>
      </w:r>
      <w:r w:rsidRPr="00EA1BB2">
        <w:rPr>
          <w:rFonts w:ascii="Cambria" w:eastAsia="Times New Roman" w:hAnsi="Cambria" w:cs="Times New Roman"/>
          <w:szCs w:val="24"/>
        </w:rPr>
        <w:t xml:space="preserve">Concentrația medie anuală pentru plumb (Pb), înregistrată la stațiile de monitorizare a aerului din </w:t>
      </w:r>
      <w:r w:rsidR="00785B8E" w:rsidRPr="00EA1BB2">
        <w:rPr>
          <w:rFonts w:ascii="Cambria" w:eastAsia="Times New Roman" w:hAnsi="Cambria" w:cs="Times New Roman"/>
          <w:szCs w:val="24"/>
        </w:rPr>
        <w:t>județul</w:t>
      </w:r>
      <w:r w:rsidRPr="00EA1BB2">
        <w:rPr>
          <w:rFonts w:ascii="Cambria" w:eastAsia="Times New Roman" w:hAnsi="Cambria" w:cs="Times New Roman"/>
          <w:szCs w:val="24"/>
        </w:rPr>
        <w:t xml:space="preserve"> Brăila, în perioada 2008-2017</w:t>
      </w:r>
      <w:bookmarkEnd w:id="130"/>
    </w:p>
    <w:tbl>
      <w:tblPr>
        <w:tblStyle w:val="TableGrid"/>
        <w:tblW w:w="9300" w:type="dxa"/>
        <w:jc w:val="center"/>
        <w:tblLook w:val="04A0" w:firstRow="1" w:lastRow="0" w:firstColumn="1" w:lastColumn="0" w:noHBand="0" w:noVBand="1"/>
      </w:tblPr>
      <w:tblGrid>
        <w:gridCol w:w="1329"/>
        <w:gridCol w:w="785"/>
        <w:gridCol w:w="797"/>
        <w:gridCol w:w="785"/>
        <w:gridCol w:w="785"/>
        <w:gridCol w:w="785"/>
        <w:gridCol w:w="785"/>
        <w:gridCol w:w="785"/>
        <w:gridCol w:w="785"/>
        <w:gridCol w:w="785"/>
        <w:gridCol w:w="894"/>
      </w:tblGrid>
      <w:tr w:rsidR="00A76AB0" w:rsidRPr="00EA1BB2" w14:paraId="3071EE1C" w14:textId="77777777" w:rsidTr="00A76AB0">
        <w:trPr>
          <w:trHeight w:val="105"/>
          <w:tblHeader/>
          <w:jc w:val="center"/>
        </w:trPr>
        <w:tc>
          <w:tcPr>
            <w:tcW w:w="1329" w:type="dxa"/>
            <w:vMerge w:val="restart"/>
            <w:shd w:val="clear" w:color="auto" w:fill="BDD6EE" w:themeFill="accent1" w:themeFillTint="66"/>
            <w:noWrap/>
            <w:vAlign w:val="center"/>
          </w:tcPr>
          <w:p w14:paraId="298C6BE8" w14:textId="77777777" w:rsidR="00A76AB0" w:rsidRPr="00EA1BB2" w:rsidRDefault="00A76AB0" w:rsidP="00B44687">
            <w:pPr>
              <w:spacing w:line="360" w:lineRule="auto"/>
              <w:jc w:val="center"/>
              <w:rPr>
                <w:rFonts w:ascii="Cambria" w:eastAsia="Times New Roman" w:hAnsi="Cambria" w:cs="Times New Roman"/>
                <w:b/>
                <w:sz w:val="20"/>
                <w:szCs w:val="24"/>
                <w:lang w:val="ro-RO"/>
              </w:rPr>
            </w:pPr>
            <w:r w:rsidRPr="00EA1BB2">
              <w:rPr>
                <w:rFonts w:ascii="Cambria" w:eastAsia="Times New Roman" w:hAnsi="Cambria" w:cs="Times New Roman"/>
                <w:b/>
                <w:sz w:val="20"/>
                <w:szCs w:val="24"/>
                <w:lang w:val="ro-RO"/>
              </w:rPr>
              <w:t xml:space="preserve">Stația de </w:t>
            </w:r>
          </w:p>
          <w:p w14:paraId="0B147A80" w14:textId="77777777" w:rsidR="00A76AB0" w:rsidRPr="00EA1BB2" w:rsidRDefault="00A76AB0" w:rsidP="00B44687">
            <w:pPr>
              <w:spacing w:line="360" w:lineRule="auto"/>
              <w:ind w:left="-110" w:right="-98"/>
              <w:jc w:val="center"/>
              <w:rPr>
                <w:rFonts w:ascii="Cambria" w:eastAsia="Times New Roman" w:hAnsi="Cambria" w:cs="Times New Roman"/>
                <w:b/>
                <w:sz w:val="24"/>
                <w:szCs w:val="24"/>
                <w:lang w:val="ro-RO"/>
              </w:rPr>
            </w:pPr>
            <w:r w:rsidRPr="00EA1BB2">
              <w:rPr>
                <w:rFonts w:ascii="Cambria" w:eastAsia="Times New Roman" w:hAnsi="Cambria" w:cs="Times New Roman"/>
                <w:b/>
                <w:sz w:val="20"/>
                <w:szCs w:val="24"/>
                <w:lang w:val="ro-RO"/>
              </w:rPr>
              <w:t>monitorizare</w:t>
            </w:r>
          </w:p>
        </w:tc>
        <w:tc>
          <w:tcPr>
            <w:tcW w:w="7971" w:type="dxa"/>
            <w:gridSpan w:val="10"/>
            <w:shd w:val="clear" w:color="auto" w:fill="BDD6EE" w:themeFill="accent1" w:themeFillTint="66"/>
          </w:tcPr>
          <w:p w14:paraId="2BAC4476" w14:textId="77777777" w:rsidR="00A76AB0" w:rsidRPr="00EA1BB2" w:rsidRDefault="00A76AB0"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Concentrația medie anuală</w:t>
            </w:r>
          </w:p>
          <w:p w14:paraId="0ACB330B" w14:textId="77777777" w:rsidR="00A76AB0" w:rsidRPr="00EA1BB2" w:rsidRDefault="00A76AB0" w:rsidP="00FE4144">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(µg/m</w:t>
            </w:r>
            <w:r w:rsidRPr="00EA1BB2">
              <w:rPr>
                <w:rFonts w:ascii="Cambria" w:eastAsia="Times New Roman" w:hAnsi="Cambria" w:cs="Times New Roman"/>
                <w:b/>
                <w:sz w:val="24"/>
                <w:szCs w:val="24"/>
                <w:vertAlign w:val="superscript"/>
                <w:lang w:val="ro-RO"/>
              </w:rPr>
              <w:t>3</w:t>
            </w:r>
            <w:r w:rsidRPr="00EA1BB2">
              <w:rPr>
                <w:rFonts w:ascii="Cambria" w:eastAsia="Times New Roman" w:hAnsi="Cambria" w:cs="Times New Roman"/>
                <w:b/>
                <w:sz w:val="24"/>
                <w:szCs w:val="24"/>
                <w:lang w:val="ro-RO"/>
              </w:rPr>
              <w:t>)</w:t>
            </w:r>
          </w:p>
        </w:tc>
      </w:tr>
      <w:tr w:rsidR="00A76AB0" w:rsidRPr="00EA1BB2" w14:paraId="1586378E" w14:textId="77777777" w:rsidTr="00A76AB0">
        <w:trPr>
          <w:trHeight w:val="286"/>
          <w:tblHeader/>
          <w:jc w:val="center"/>
        </w:trPr>
        <w:tc>
          <w:tcPr>
            <w:tcW w:w="1329" w:type="dxa"/>
            <w:vMerge/>
            <w:shd w:val="clear" w:color="auto" w:fill="BDD6EE" w:themeFill="accent1" w:themeFillTint="66"/>
            <w:noWrap/>
            <w:vAlign w:val="center"/>
          </w:tcPr>
          <w:p w14:paraId="1DC87C18" w14:textId="77777777" w:rsidR="00A76AB0" w:rsidRPr="00EA1BB2" w:rsidRDefault="00A76AB0" w:rsidP="00B44687">
            <w:pPr>
              <w:spacing w:line="360" w:lineRule="auto"/>
              <w:jc w:val="center"/>
              <w:rPr>
                <w:rFonts w:ascii="Cambria" w:eastAsia="Times New Roman" w:hAnsi="Cambria" w:cs="Times New Roman"/>
                <w:b/>
                <w:sz w:val="24"/>
                <w:szCs w:val="24"/>
                <w:lang w:val="ro-RO"/>
              </w:rPr>
            </w:pPr>
          </w:p>
        </w:tc>
        <w:tc>
          <w:tcPr>
            <w:tcW w:w="0" w:type="auto"/>
            <w:shd w:val="clear" w:color="auto" w:fill="BDD6EE" w:themeFill="accent1" w:themeFillTint="66"/>
          </w:tcPr>
          <w:p w14:paraId="2F4D68FB" w14:textId="77777777" w:rsidR="00A76AB0" w:rsidRPr="00EA1BB2" w:rsidRDefault="00A76AB0"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2008</w:t>
            </w:r>
          </w:p>
        </w:tc>
        <w:tc>
          <w:tcPr>
            <w:tcW w:w="0" w:type="auto"/>
            <w:shd w:val="clear" w:color="auto" w:fill="BDD6EE" w:themeFill="accent1" w:themeFillTint="66"/>
          </w:tcPr>
          <w:p w14:paraId="47C12ADE" w14:textId="77777777" w:rsidR="00A76AB0" w:rsidRPr="00EA1BB2" w:rsidRDefault="00A76AB0"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2009</w:t>
            </w:r>
          </w:p>
        </w:tc>
        <w:tc>
          <w:tcPr>
            <w:tcW w:w="0" w:type="auto"/>
            <w:shd w:val="clear" w:color="auto" w:fill="BDD6EE" w:themeFill="accent1" w:themeFillTint="66"/>
          </w:tcPr>
          <w:p w14:paraId="58965DA4" w14:textId="77777777" w:rsidR="00A76AB0" w:rsidRPr="00EA1BB2" w:rsidRDefault="00A76AB0"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2010</w:t>
            </w:r>
          </w:p>
        </w:tc>
        <w:tc>
          <w:tcPr>
            <w:tcW w:w="0" w:type="auto"/>
            <w:shd w:val="clear" w:color="auto" w:fill="BDD6EE" w:themeFill="accent1" w:themeFillTint="66"/>
          </w:tcPr>
          <w:p w14:paraId="1B933200" w14:textId="77777777" w:rsidR="00A76AB0" w:rsidRPr="00EA1BB2" w:rsidRDefault="00A76AB0"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2011</w:t>
            </w:r>
          </w:p>
        </w:tc>
        <w:tc>
          <w:tcPr>
            <w:tcW w:w="0" w:type="auto"/>
            <w:shd w:val="clear" w:color="auto" w:fill="BDD6EE" w:themeFill="accent1" w:themeFillTint="66"/>
          </w:tcPr>
          <w:p w14:paraId="78F1E02C" w14:textId="77777777" w:rsidR="00A76AB0" w:rsidRPr="00EA1BB2" w:rsidRDefault="00A76AB0"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2012</w:t>
            </w:r>
          </w:p>
        </w:tc>
        <w:tc>
          <w:tcPr>
            <w:tcW w:w="0" w:type="auto"/>
            <w:shd w:val="clear" w:color="auto" w:fill="BDD6EE" w:themeFill="accent1" w:themeFillTint="66"/>
            <w:noWrap/>
            <w:vAlign w:val="center"/>
          </w:tcPr>
          <w:p w14:paraId="7231DE55" w14:textId="77777777" w:rsidR="00A76AB0" w:rsidRPr="00EA1BB2" w:rsidRDefault="00A76AB0"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2013</w:t>
            </w:r>
          </w:p>
        </w:tc>
        <w:tc>
          <w:tcPr>
            <w:tcW w:w="0" w:type="auto"/>
            <w:shd w:val="clear" w:color="auto" w:fill="BDD6EE" w:themeFill="accent1" w:themeFillTint="66"/>
            <w:noWrap/>
            <w:vAlign w:val="center"/>
          </w:tcPr>
          <w:p w14:paraId="7E2B67E0" w14:textId="77777777" w:rsidR="00A76AB0" w:rsidRPr="00EA1BB2" w:rsidRDefault="00A76AB0"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2014</w:t>
            </w:r>
          </w:p>
        </w:tc>
        <w:tc>
          <w:tcPr>
            <w:tcW w:w="0" w:type="auto"/>
            <w:shd w:val="clear" w:color="auto" w:fill="BDD6EE" w:themeFill="accent1" w:themeFillTint="66"/>
            <w:noWrap/>
            <w:vAlign w:val="center"/>
          </w:tcPr>
          <w:p w14:paraId="623CE619" w14:textId="77777777" w:rsidR="00A76AB0" w:rsidRPr="00EA1BB2" w:rsidRDefault="00A76AB0"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2015</w:t>
            </w:r>
          </w:p>
        </w:tc>
        <w:tc>
          <w:tcPr>
            <w:tcW w:w="785" w:type="dxa"/>
            <w:shd w:val="clear" w:color="auto" w:fill="BDD6EE" w:themeFill="accent1" w:themeFillTint="66"/>
            <w:noWrap/>
            <w:vAlign w:val="center"/>
          </w:tcPr>
          <w:p w14:paraId="5554324F" w14:textId="77777777" w:rsidR="00A76AB0" w:rsidRPr="00EA1BB2" w:rsidRDefault="00A76AB0"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2016</w:t>
            </w:r>
          </w:p>
        </w:tc>
        <w:tc>
          <w:tcPr>
            <w:tcW w:w="894" w:type="dxa"/>
            <w:shd w:val="clear" w:color="auto" w:fill="BDD6EE" w:themeFill="accent1" w:themeFillTint="66"/>
            <w:noWrap/>
            <w:vAlign w:val="center"/>
          </w:tcPr>
          <w:p w14:paraId="1A1AE9C0" w14:textId="77777777" w:rsidR="00A76AB0" w:rsidRPr="00EA1BB2" w:rsidRDefault="00142EAB" w:rsidP="00B44687">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2017</w:t>
            </w:r>
          </w:p>
        </w:tc>
      </w:tr>
      <w:tr w:rsidR="00A76AB0" w:rsidRPr="00EA1BB2" w14:paraId="7A705A99" w14:textId="77777777" w:rsidTr="00A76AB0">
        <w:trPr>
          <w:trHeight w:val="340"/>
          <w:jc w:val="center"/>
        </w:trPr>
        <w:tc>
          <w:tcPr>
            <w:tcW w:w="1329" w:type="dxa"/>
            <w:noWrap/>
            <w:vAlign w:val="center"/>
          </w:tcPr>
          <w:p w14:paraId="590DFD07" w14:textId="77777777" w:rsidR="00A76AB0" w:rsidRPr="00EA1BB2" w:rsidRDefault="00A76AB0" w:rsidP="00A76AB0">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BR1</w:t>
            </w:r>
          </w:p>
        </w:tc>
        <w:tc>
          <w:tcPr>
            <w:tcW w:w="0" w:type="auto"/>
          </w:tcPr>
          <w:p w14:paraId="08B0E976" w14:textId="77777777" w:rsidR="00A76AB0" w:rsidRPr="00EA1BB2" w:rsidRDefault="00A76AB0" w:rsidP="00A76AB0">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05F90746" w14:textId="77777777" w:rsidR="00A76AB0" w:rsidRPr="00EA1BB2" w:rsidRDefault="00A76AB0" w:rsidP="00A76AB0">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0,006</w:t>
            </w:r>
          </w:p>
        </w:tc>
        <w:tc>
          <w:tcPr>
            <w:tcW w:w="0" w:type="auto"/>
          </w:tcPr>
          <w:p w14:paraId="3D98ACC5" w14:textId="77777777" w:rsidR="00A76AB0" w:rsidRPr="00EA1BB2" w:rsidRDefault="00A76AB0" w:rsidP="00A76AB0">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2528DF14" w14:textId="77777777" w:rsidR="00A76AB0" w:rsidRPr="00EA1BB2" w:rsidRDefault="00A76AB0" w:rsidP="00A76AB0">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2C02D01E" w14:textId="77777777" w:rsidR="00A76AB0" w:rsidRPr="00EA1BB2" w:rsidRDefault="00A76AB0" w:rsidP="00A76AB0">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02F6DE2D" w14:textId="77777777" w:rsidR="00A76AB0" w:rsidRPr="00EA1BB2" w:rsidRDefault="00A76AB0" w:rsidP="00A76AB0">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53B61E91" w14:textId="77777777" w:rsidR="00A76AB0" w:rsidRPr="00EA1BB2" w:rsidRDefault="00A76AB0" w:rsidP="00A76AB0">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0CBF7FB1" w14:textId="77777777" w:rsidR="00A76AB0" w:rsidRPr="00EA1BB2" w:rsidRDefault="00A76AB0" w:rsidP="00A76AB0">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785" w:type="dxa"/>
            <w:noWrap/>
          </w:tcPr>
          <w:p w14:paraId="299259B5" w14:textId="77777777" w:rsidR="00A76AB0" w:rsidRPr="00EA1BB2" w:rsidRDefault="00A76AB0" w:rsidP="00A76AB0">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894" w:type="dxa"/>
            <w:noWrap/>
          </w:tcPr>
          <w:p w14:paraId="6E883544" w14:textId="77777777" w:rsidR="00A76AB0" w:rsidRPr="00EA1BB2" w:rsidRDefault="00A76AB0" w:rsidP="00A76AB0">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r>
      <w:tr w:rsidR="00A76AB0" w:rsidRPr="00EA1BB2" w14:paraId="2687C781" w14:textId="77777777" w:rsidTr="00A76AB0">
        <w:trPr>
          <w:trHeight w:val="340"/>
          <w:jc w:val="center"/>
        </w:trPr>
        <w:tc>
          <w:tcPr>
            <w:tcW w:w="1329" w:type="dxa"/>
            <w:noWrap/>
            <w:vAlign w:val="center"/>
          </w:tcPr>
          <w:p w14:paraId="4350AB2C" w14:textId="77777777" w:rsidR="00A76AB0" w:rsidRPr="00EA1BB2" w:rsidRDefault="00A76AB0" w:rsidP="00A76AB0">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BR3</w:t>
            </w:r>
          </w:p>
        </w:tc>
        <w:tc>
          <w:tcPr>
            <w:tcW w:w="0" w:type="auto"/>
          </w:tcPr>
          <w:p w14:paraId="08C3A01D" w14:textId="77777777" w:rsidR="00A76AB0" w:rsidRPr="00EA1BB2" w:rsidRDefault="00A76AB0" w:rsidP="00A76AB0">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53E225F1" w14:textId="77777777" w:rsidR="00A76AB0" w:rsidRPr="00EA1BB2" w:rsidRDefault="00A76AB0" w:rsidP="00A76AB0">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25D66B3D" w14:textId="77777777" w:rsidR="00A76AB0" w:rsidRPr="00EA1BB2" w:rsidRDefault="00A76AB0" w:rsidP="00A76AB0">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2DDCD116" w14:textId="77777777" w:rsidR="00A76AB0" w:rsidRPr="00EA1BB2" w:rsidRDefault="00A76AB0" w:rsidP="00A76AB0">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0B4E0F3D" w14:textId="77777777" w:rsidR="00A76AB0" w:rsidRPr="00EA1BB2" w:rsidRDefault="00A76AB0" w:rsidP="00A76AB0">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4CAB4D42" w14:textId="77777777" w:rsidR="00A76AB0" w:rsidRPr="00EA1BB2" w:rsidRDefault="00A76AB0" w:rsidP="00A76AB0">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62BFBC5C" w14:textId="77777777" w:rsidR="00A76AB0" w:rsidRPr="00EA1BB2" w:rsidRDefault="00A76AB0" w:rsidP="00A76AB0">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70A9F806" w14:textId="77777777" w:rsidR="00A76AB0" w:rsidRPr="00EA1BB2" w:rsidRDefault="00A76AB0" w:rsidP="00A76AB0">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785" w:type="dxa"/>
            <w:noWrap/>
          </w:tcPr>
          <w:p w14:paraId="439CFFE1" w14:textId="77777777" w:rsidR="00A76AB0" w:rsidRPr="00EA1BB2" w:rsidRDefault="00A76AB0" w:rsidP="00A76AB0">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894" w:type="dxa"/>
            <w:noWrap/>
          </w:tcPr>
          <w:p w14:paraId="791144C2" w14:textId="77777777" w:rsidR="00A76AB0" w:rsidRPr="00EA1BB2" w:rsidRDefault="00A76AB0" w:rsidP="00A76AB0">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r>
      <w:tr w:rsidR="00A76AB0" w:rsidRPr="00EA1BB2" w14:paraId="014DECAE" w14:textId="77777777" w:rsidTr="00A76AB0">
        <w:trPr>
          <w:trHeight w:val="340"/>
          <w:jc w:val="center"/>
        </w:trPr>
        <w:tc>
          <w:tcPr>
            <w:tcW w:w="1329" w:type="dxa"/>
            <w:noWrap/>
            <w:vAlign w:val="center"/>
          </w:tcPr>
          <w:p w14:paraId="41FD719C" w14:textId="77777777" w:rsidR="00A76AB0" w:rsidRPr="00EA1BB2" w:rsidRDefault="00A76AB0" w:rsidP="00A76AB0">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BR4</w:t>
            </w:r>
          </w:p>
        </w:tc>
        <w:tc>
          <w:tcPr>
            <w:tcW w:w="0" w:type="auto"/>
          </w:tcPr>
          <w:p w14:paraId="32FC4E08" w14:textId="77777777" w:rsidR="00A76AB0" w:rsidRPr="00EA1BB2" w:rsidRDefault="00A76AB0" w:rsidP="00A76AB0">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144A5303" w14:textId="77777777" w:rsidR="00A76AB0" w:rsidRPr="00EA1BB2" w:rsidRDefault="00A76AB0" w:rsidP="00A76AB0">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025F6639" w14:textId="77777777" w:rsidR="00A76AB0" w:rsidRPr="00EA1BB2" w:rsidRDefault="00A76AB0" w:rsidP="00A76AB0">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20E13ACD" w14:textId="77777777" w:rsidR="00A76AB0" w:rsidRPr="00EA1BB2" w:rsidRDefault="00A76AB0" w:rsidP="00A76AB0">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tcPr>
          <w:p w14:paraId="7B9996C0" w14:textId="77777777" w:rsidR="00A76AB0" w:rsidRPr="00EA1BB2" w:rsidRDefault="00A76AB0" w:rsidP="00A76AB0">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4E393125" w14:textId="77777777" w:rsidR="00A76AB0" w:rsidRPr="00EA1BB2" w:rsidRDefault="00A76AB0" w:rsidP="00A76AB0">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031F39C7" w14:textId="77777777" w:rsidR="00A76AB0" w:rsidRPr="00EA1BB2" w:rsidRDefault="00A76AB0" w:rsidP="00A76AB0">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tcPr>
          <w:p w14:paraId="5FF838E5" w14:textId="77777777" w:rsidR="00A76AB0" w:rsidRPr="00EA1BB2" w:rsidRDefault="00A76AB0" w:rsidP="00A76AB0">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785" w:type="dxa"/>
            <w:noWrap/>
          </w:tcPr>
          <w:p w14:paraId="50AB8C79" w14:textId="77777777" w:rsidR="00A76AB0" w:rsidRPr="00EA1BB2" w:rsidRDefault="00A76AB0" w:rsidP="00A76AB0">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894" w:type="dxa"/>
            <w:noWrap/>
          </w:tcPr>
          <w:p w14:paraId="6038E249" w14:textId="77777777" w:rsidR="00A76AB0" w:rsidRPr="00EA1BB2" w:rsidRDefault="00A76AB0" w:rsidP="00A76AB0">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r>
    </w:tbl>
    <w:p w14:paraId="257D80BE" w14:textId="77777777" w:rsidR="00783BE8" w:rsidRPr="00EA1BB2" w:rsidRDefault="00783BE8" w:rsidP="00783BE8">
      <w:pPr>
        <w:spacing w:line="276" w:lineRule="auto"/>
        <w:jc w:val="both"/>
        <w:rPr>
          <w:rFonts w:ascii="Cambria" w:eastAsia="Times New Roman" w:hAnsi="Cambria" w:cs="Times New Roman"/>
          <w:szCs w:val="24"/>
        </w:rPr>
      </w:pPr>
      <w:r w:rsidRPr="00EA1BB2">
        <w:rPr>
          <w:rFonts w:ascii="Cambria" w:eastAsia="Times New Roman" w:hAnsi="Cambria" w:cs="Times New Roman"/>
          <w:szCs w:val="24"/>
        </w:rPr>
        <w:t>Valoarea</w:t>
      </w:r>
      <w:r w:rsidR="00831372" w:rsidRPr="00EA1BB2">
        <w:rPr>
          <w:rFonts w:ascii="Cambria" w:eastAsia="Times New Roman" w:hAnsi="Cambria" w:cs="Times New Roman"/>
          <w:szCs w:val="24"/>
        </w:rPr>
        <w:t>-</w:t>
      </w:r>
      <w:r w:rsidRPr="00EA1BB2">
        <w:rPr>
          <w:rFonts w:ascii="Cambria" w:eastAsia="Times New Roman" w:hAnsi="Cambria" w:cs="Times New Roman"/>
          <w:szCs w:val="24"/>
        </w:rPr>
        <w:t>limită anuală pentru protecția sănătății umane a concentrației medii anuale pentru Pb este 0,5 µg/m</w:t>
      </w:r>
      <w:r w:rsidRPr="00EA1BB2">
        <w:rPr>
          <w:rFonts w:ascii="Cambria" w:eastAsia="Times New Roman" w:hAnsi="Cambria" w:cs="Times New Roman"/>
          <w:szCs w:val="24"/>
          <w:vertAlign w:val="superscript"/>
        </w:rPr>
        <w:t>3</w:t>
      </w:r>
    </w:p>
    <w:p w14:paraId="5AC0AEF9" w14:textId="77777777" w:rsidR="00A76AB0" w:rsidRPr="00EA1BB2" w:rsidRDefault="00A76AB0" w:rsidP="00A76AB0">
      <w:pPr>
        <w:spacing w:line="276" w:lineRule="auto"/>
        <w:jc w:val="both"/>
        <w:rPr>
          <w:rFonts w:ascii="Cambria" w:eastAsia="Times New Roman" w:hAnsi="Cambria" w:cs="Times New Roman"/>
          <w:szCs w:val="24"/>
        </w:rPr>
      </w:pPr>
      <w:r w:rsidRPr="00EA1BB2">
        <w:rPr>
          <w:rFonts w:ascii="Cambria" w:eastAsia="Times New Roman" w:hAnsi="Cambria" w:cs="Times New Roman"/>
          <w:szCs w:val="24"/>
        </w:rPr>
        <w:t xml:space="preserve">Sursa date: </w:t>
      </w:r>
      <w:hyperlink r:id="rId71" w:history="1">
        <w:r w:rsidRPr="00EA1BB2">
          <w:rPr>
            <w:rStyle w:val="Hyperlink"/>
            <w:rFonts w:ascii="Cambria" w:eastAsia="Times New Roman" w:hAnsi="Cambria" w:cs="Times New Roman"/>
            <w:szCs w:val="24"/>
          </w:rPr>
          <w:t>www.calitateaer.ro</w:t>
        </w:r>
      </w:hyperlink>
      <w:r w:rsidRPr="00EA1BB2">
        <w:rPr>
          <w:rFonts w:ascii="Cambria" w:eastAsia="Times New Roman" w:hAnsi="Cambria" w:cs="Times New Roman"/>
          <w:szCs w:val="24"/>
        </w:rPr>
        <w:t xml:space="preserve"> accesat la data de 11.07.2018</w:t>
      </w:r>
    </w:p>
    <w:p w14:paraId="2D056368" w14:textId="77777777" w:rsidR="007B7BF0" w:rsidRPr="00EA1BB2" w:rsidRDefault="007B7BF0" w:rsidP="0005362D">
      <w:pPr>
        <w:spacing w:line="360" w:lineRule="auto"/>
        <w:jc w:val="both"/>
        <w:rPr>
          <w:rFonts w:ascii="Cambria" w:hAnsi="Cambria"/>
          <w:sz w:val="24"/>
          <w:szCs w:val="24"/>
        </w:rPr>
      </w:pPr>
    </w:p>
    <w:p w14:paraId="42C35FF4" w14:textId="77777777" w:rsidR="0033579E" w:rsidRPr="00EA1BB2" w:rsidRDefault="0033579E" w:rsidP="0005362D">
      <w:pPr>
        <w:spacing w:line="360" w:lineRule="auto"/>
        <w:jc w:val="both"/>
        <w:rPr>
          <w:rFonts w:ascii="Cambria" w:hAnsi="Cambria"/>
          <w:sz w:val="24"/>
          <w:szCs w:val="24"/>
        </w:rPr>
      </w:pPr>
    </w:p>
    <w:p w14:paraId="5C44DEF1" w14:textId="77777777" w:rsidR="0033579E" w:rsidRPr="00EA1BB2" w:rsidRDefault="0033579E" w:rsidP="0005362D">
      <w:pPr>
        <w:spacing w:line="360" w:lineRule="auto"/>
        <w:jc w:val="both"/>
        <w:rPr>
          <w:rFonts w:ascii="Cambria" w:hAnsi="Cambria"/>
          <w:sz w:val="24"/>
          <w:szCs w:val="24"/>
        </w:rPr>
      </w:pPr>
    </w:p>
    <w:p w14:paraId="5929B272" w14:textId="77777777" w:rsidR="00C2266B" w:rsidRPr="00EA1BB2" w:rsidRDefault="00C2266B" w:rsidP="00E859EF">
      <w:pPr>
        <w:pStyle w:val="ListParagraph"/>
        <w:keepNext/>
        <w:keepLines/>
        <w:numPr>
          <w:ilvl w:val="2"/>
          <w:numId w:val="1"/>
        </w:numPr>
        <w:spacing w:after="0" w:line="360" w:lineRule="auto"/>
        <w:ind w:left="709" w:firstLine="0"/>
        <w:jc w:val="both"/>
        <w:outlineLvl w:val="2"/>
        <w:rPr>
          <w:rFonts w:ascii="Cambria" w:eastAsia="Times New Roman" w:hAnsi="Cambria" w:cs="Times New Roman"/>
          <w:b/>
          <w:color w:val="0070C0"/>
          <w:sz w:val="24"/>
          <w:szCs w:val="24"/>
          <w:lang w:val="ro-RO"/>
        </w:rPr>
      </w:pPr>
      <w:bookmarkStart w:id="131" w:name="_Toc512346956"/>
      <w:bookmarkStart w:id="132" w:name="_Toc526889723"/>
      <w:r w:rsidRPr="00EA1BB2">
        <w:rPr>
          <w:rFonts w:ascii="Cambria" w:eastAsia="Times New Roman" w:hAnsi="Cambria" w:cs="Times New Roman"/>
          <w:b/>
          <w:color w:val="0070C0"/>
          <w:sz w:val="24"/>
          <w:szCs w:val="24"/>
          <w:lang w:val="ro-RO"/>
        </w:rPr>
        <w:lastRenderedPageBreak/>
        <w:t>Inventarul local de emisii în anul de referință 201</w:t>
      </w:r>
      <w:bookmarkEnd w:id="131"/>
      <w:r w:rsidRPr="00EA1BB2">
        <w:rPr>
          <w:rFonts w:ascii="Cambria" w:eastAsia="Times New Roman" w:hAnsi="Cambria" w:cs="Times New Roman"/>
          <w:b/>
          <w:color w:val="0070C0"/>
          <w:sz w:val="24"/>
          <w:szCs w:val="24"/>
          <w:lang w:val="ro-RO"/>
        </w:rPr>
        <w:t>3</w:t>
      </w:r>
      <w:bookmarkEnd w:id="132"/>
    </w:p>
    <w:p w14:paraId="2FAF92A9" w14:textId="77777777" w:rsidR="00C75800" w:rsidRPr="00EA1BB2" w:rsidRDefault="00C75800" w:rsidP="00C75800">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Inventarul privind emisiile de poluanți în atmosferă la nivel național stă la baza întocmirii rapoartelor către organismele europene și internaționale și stabilirii conformării cu obligațiile României privind emisiile de poluanți în atmosferă.</w:t>
      </w:r>
    </w:p>
    <w:p w14:paraId="7D9A2FAA" w14:textId="77777777" w:rsidR="00C75800" w:rsidRPr="00EA1BB2" w:rsidRDefault="00C75800" w:rsidP="00C75800">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Inventarele privind emisiile de poluanți în atmosferă la nivel local cuprind datele colectate la nivel local în scopul evaluării calității aerului prin modelarea dispersiei poluanților în aer. Inventarele locale se elaborează anual pentru anul anterior anului curent.</w:t>
      </w:r>
    </w:p>
    <w:p w14:paraId="1F237788" w14:textId="6C730562" w:rsidR="00C2266B" w:rsidRPr="00EA1BB2" w:rsidRDefault="0005362D" w:rsidP="00C2266B">
      <w:pPr>
        <w:spacing w:line="360" w:lineRule="auto"/>
        <w:ind w:firstLine="698"/>
        <w:jc w:val="both"/>
        <w:rPr>
          <w:rFonts w:ascii="Cambria" w:hAnsi="Cambria" w:cs="Times New Roman"/>
          <w:sz w:val="24"/>
          <w:szCs w:val="24"/>
        </w:rPr>
      </w:pPr>
      <w:r w:rsidRPr="00EA1BB2">
        <w:rPr>
          <w:rFonts w:ascii="Cambria" w:hAnsi="Cambria" w:cs="Times New Roman"/>
          <w:sz w:val="24"/>
          <w:szCs w:val="24"/>
        </w:rPr>
        <w:t>Emisiile raportate în I</w:t>
      </w:r>
      <w:r w:rsidR="00042796" w:rsidRPr="00EA1BB2">
        <w:rPr>
          <w:rFonts w:ascii="Cambria" w:hAnsi="Cambria" w:cs="Times New Roman"/>
          <w:sz w:val="24"/>
          <w:szCs w:val="24"/>
        </w:rPr>
        <w:t>nventarul local de emisii și</w:t>
      </w:r>
      <w:r w:rsidR="00BD06C5" w:rsidRPr="00EA1BB2">
        <w:rPr>
          <w:rFonts w:ascii="Cambria" w:hAnsi="Cambria" w:cs="Times New Roman"/>
          <w:sz w:val="24"/>
          <w:szCs w:val="24"/>
        </w:rPr>
        <w:t xml:space="preserve"> </w:t>
      </w:r>
      <w:r w:rsidR="00042796" w:rsidRPr="00EA1BB2">
        <w:rPr>
          <w:rFonts w:ascii="Cambria" w:hAnsi="Cambria" w:cs="Times New Roman"/>
          <w:sz w:val="24"/>
          <w:szCs w:val="24"/>
        </w:rPr>
        <w:t>Inventarul emisii trafic (Copert)</w:t>
      </w:r>
      <w:r w:rsidR="00A812FA" w:rsidRPr="00EA1BB2">
        <w:rPr>
          <w:rFonts w:ascii="Cambria" w:hAnsi="Cambria" w:cs="Times New Roman"/>
          <w:sz w:val="24"/>
          <w:szCs w:val="24"/>
        </w:rPr>
        <w:t xml:space="preserve"> </w:t>
      </w:r>
      <w:r w:rsidRPr="00EA1BB2">
        <w:rPr>
          <w:rFonts w:ascii="Cambria" w:hAnsi="Cambria" w:cs="Times New Roman"/>
          <w:sz w:val="24"/>
          <w:szCs w:val="24"/>
        </w:rPr>
        <w:t xml:space="preserve">2013 </w:t>
      </w:r>
      <w:r w:rsidR="00042796" w:rsidRPr="00EA1BB2">
        <w:rPr>
          <w:rFonts w:ascii="Cambria" w:hAnsi="Cambria" w:cs="Times New Roman"/>
          <w:sz w:val="24"/>
          <w:szCs w:val="24"/>
        </w:rPr>
        <w:t xml:space="preserve">pentru </w:t>
      </w:r>
      <w:r w:rsidRPr="00EA1BB2">
        <w:rPr>
          <w:rFonts w:ascii="Cambria" w:hAnsi="Cambria" w:cs="Times New Roman"/>
          <w:sz w:val="24"/>
          <w:szCs w:val="24"/>
        </w:rPr>
        <w:t>județul Brăila pe coduri NFR</w:t>
      </w:r>
      <w:r w:rsidR="00C2266B" w:rsidRPr="00EA1BB2">
        <w:rPr>
          <w:rFonts w:ascii="Cambria" w:hAnsi="Cambria" w:cs="Times New Roman"/>
          <w:sz w:val="24"/>
          <w:szCs w:val="24"/>
        </w:rPr>
        <w:t xml:space="preserve"> sunt prezentate în </w:t>
      </w:r>
      <w:r w:rsidRPr="00EA1BB2">
        <w:rPr>
          <w:rFonts w:ascii="Cambria" w:hAnsi="Cambria" w:cs="Times New Roman"/>
          <w:sz w:val="24"/>
          <w:szCs w:val="24"/>
        </w:rPr>
        <w:t>tabelul</w:t>
      </w:r>
      <w:r w:rsidR="00C2266B" w:rsidRPr="00EA1BB2">
        <w:rPr>
          <w:rFonts w:ascii="Cambria" w:hAnsi="Cambria" w:cs="Times New Roman"/>
          <w:sz w:val="24"/>
          <w:szCs w:val="24"/>
        </w:rPr>
        <w:t xml:space="preserve"> de mai jos.</w:t>
      </w:r>
    </w:p>
    <w:p w14:paraId="2EAD701A" w14:textId="77777777" w:rsidR="00C75800" w:rsidRPr="00EA1BB2" w:rsidRDefault="00C75800" w:rsidP="00C2266B">
      <w:pPr>
        <w:spacing w:line="360" w:lineRule="auto"/>
        <w:ind w:firstLine="698"/>
        <w:jc w:val="both"/>
        <w:rPr>
          <w:rFonts w:ascii="Cambria" w:hAnsi="Cambria" w:cs="Times New Roman"/>
          <w:sz w:val="24"/>
          <w:szCs w:val="24"/>
        </w:rPr>
      </w:pPr>
    </w:p>
    <w:p w14:paraId="4EB26B2A" w14:textId="77777777" w:rsidR="00483B81" w:rsidRPr="00EA1BB2" w:rsidRDefault="00483B81" w:rsidP="00483B81">
      <w:pPr>
        <w:spacing w:line="276" w:lineRule="auto"/>
        <w:jc w:val="center"/>
        <w:rPr>
          <w:rFonts w:ascii="Cambria" w:eastAsia="Times New Roman" w:hAnsi="Cambria" w:cs="Times New Roman"/>
          <w:sz w:val="24"/>
          <w:szCs w:val="24"/>
        </w:rPr>
      </w:pPr>
    </w:p>
    <w:p w14:paraId="2DC5FC4E" w14:textId="77777777" w:rsidR="00483B81" w:rsidRPr="00EA1BB2" w:rsidRDefault="00483B81" w:rsidP="00483B81">
      <w:pPr>
        <w:spacing w:line="276" w:lineRule="auto"/>
        <w:jc w:val="center"/>
        <w:rPr>
          <w:rFonts w:ascii="Cambria" w:eastAsia="Times New Roman" w:hAnsi="Cambria" w:cs="Times New Roman"/>
          <w:sz w:val="24"/>
          <w:szCs w:val="24"/>
        </w:rPr>
      </w:pPr>
    </w:p>
    <w:p w14:paraId="1F6D1235" w14:textId="77777777" w:rsidR="00483B81" w:rsidRPr="00EA1BB2" w:rsidRDefault="00483B81" w:rsidP="00483B81">
      <w:pPr>
        <w:spacing w:line="276" w:lineRule="auto"/>
        <w:rPr>
          <w:rFonts w:ascii="Cambria" w:eastAsia="Times New Roman" w:hAnsi="Cambria" w:cs="Times New Roman"/>
          <w:sz w:val="24"/>
          <w:szCs w:val="24"/>
        </w:rPr>
      </w:pPr>
    </w:p>
    <w:p w14:paraId="366034E0" w14:textId="77777777" w:rsidR="00483B81" w:rsidRPr="00EA1BB2" w:rsidRDefault="00483B81" w:rsidP="00483B81">
      <w:pPr>
        <w:spacing w:line="360" w:lineRule="auto"/>
        <w:ind w:firstLine="714"/>
        <w:jc w:val="both"/>
        <w:rPr>
          <w:rFonts w:ascii="Cambria" w:eastAsia="Times New Roman" w:hAnsi="Cambria" w:cs="Times New Roman"/>
          <w:sz w:val="24"/>
          <w:szCs w:val="24"/>
        </w:rPr>
        <w:sectPr w:rsidR="00483B81" w:rsidRPr="00EA1BB2" w:rsidSect="00483B81">
          <w:headerReference w:type="default" r:id="rId72"/>
          <w:footerReference w:type="default" r:id="rId73"/>
          <w:type w:val="continuous"/>
          <w:pgSz w:w="11906" w:h="16838" w:code="9"/>
          <w:pgMar w:top="1134" w:right="1418" w:bottom="1134" w:left="1418" w:header="283" w:footer="283" w:gutter="0"/>
          <w:cols w:space="708"/>
          <w:docGrid w:linePitch="360"/>
        </w:sectPr>
      </w:pPr>
    </w:p>
    <w:p w14:paraId="23D94301" w14:textId="51FE38CD" w:rsidR="00483B81" w:rsidRPr="00EA1BB2" w:rsidRDefault="00483B81" w:rsidP="00483B81">
      <w:pPr>
        <w:pStyle w:val="Caption"/>
        <w:keepNext/>
        <w:spacing w:after="0" w:line="360" w:lineRule="auto"/>
        <w:ind w:firstLine="426"/>
        <w:jc w:val="both"/>
        <w:rPr>
          <w:rFonts w:ascii="Cambria" w:eastAsia="Times New Roman" w:hAnsi="Cambria" w:cs="Times New Roman"/>
          <w:szCs w:val="24"/>
        </w:rPr>
      </w:pPr>
      <w:bookmarkStart w:id="133" w:name="_Toc526889791"/>
      <w:r w:rsidRPr="00EA1BB2">
        <w:rPr>
          <w:rFonts w:ascii="Cambria" w:hAnsi="Cambria"/>
        </w:rPr>
        <w:lastRenderedPageBreak/>
        <w:t xml:space="preserve">Tabelul nr. </w:t>
      </w:r>
      <w:r w:rsidR="000A2FE7" w:rsidRPr="00EA1BB2">
        <w:rPr>
          <w:rFonts w:ascii="Cambria" w:hAnsi="Cambria"/>
        </w:rPr>
        <w:fldChar w:fldCharType="begin"/>
      </w:r>
      <w:r w:rsidR="000A2FE7" w:rsidRPr="00EA1BB2">
        <w:rPr>
          <w:rFonts w:ascii="Cambria" w:hAnsi="Cambria"/>
        </w:rPr>
        <w:instrText xml:space="preserve"> STYLEREF 1 \s </w:instrText>
      </w:r>
      <w:r w:rsidR="000A2FE7" w:rsidRPr="00EA1BB2">
        <w:rPr>
          <w:rFonts w:ascii="Cambria" w:hAnsi="Cambria"/>
        </w:rPr>
        <w:fldChar w:fldCharType="separate"/>
      </w:r>
      <w:r w:rsidR="00567555">
        <w:rPr>
          <w:rFonts w:ascii="Cambria" w:hAnsi="Cambria"/>
          <w:noProof/>
        </w:rPr>
        <w:t>3</w:t>
      </w:r>
      <w:r w:rsidR="000A2FE7" w:rsidRPr="00EA1BB2">
        <w:rPr>
          <w:rFonts w:ascii="Cambria" w:hAnsi="Cambria"/>
        </w:rPr>
        <w:fldChar w:fldCharType="end"/>
      </w:r>
      <w:r w:rsidR="000A2FE7" w:rsidRPr="00EA1BB2">
        <w:rPr>
          <w:rFonts w:ascii="Cambria" w:hAnsi="Cambria"/>
        </w:rPr>
        <w:noBreakHyphen/>
      </w:r>
      <w:r w:rsidR="000A2FE7" w:rsidRPr="00EA1BB2">
        <w:rPr>
          <w:rFonts w:ascii="Cambria" w:hAnsi="Cambria"/>
        </w:rPr>
        <w:fldChar w:fldCharType="begin"/>
      </w:r>
      <w:r w:rsidR="000A2FE7" w:rsidRPr="00EA1BB2">
        <w:rPr>
          <w:rFonts w:ascii="Cambria" w:hAnsi="Cambria"/>
        </w:rPr>
        <w:instrText xml:space="preserve"> SEQ Tabelul_nr. \* ARABIC \s 1 </w:instrText>
      </w:r>
      <w:r w:rsidR="000A2FE7" w:rsidRPr="00EA1BB2">
        <w:rPr>
          <w:rFonts w:ascii="Cambria" w:hAnsi="Cambria"/>
        </w:rPr>
        <w:fldChar w:fldCharType="separate"/>
      </w:r>
      <w:r w:rsidR="00567555">
        <w:rPr>
          <w:rFonts w:ascii="Cambria" w:hAnsi="Cambria"/>
          <w:noProof/>
        </w:rPr>
        <w:t>22</w:t>
      </w:r>
      <w:r w:rsidR="000A2FE7" w:rsidRPr="00EA1BB2">
        <w:rPr>
          <w:rFonts w:ascii="Cambria" w:hAnsi="Cambria"/>
        </w:rPr>
        <w:fldChar w:fldCharType="end"/>
      </w:r>
      <w:r w:rsidRPr="00EA1BB2">
        <w:rPr>
          <w:rFonts w:ascii="Cambria" w:hAnsi="Cambria"/>
        </w:rPr>
        <w:t xml:space="preserve"> - Emisii </w:t>
      </w:r>
      <w:r w:rsidR="0005362D" w:rsidRPr="00EA1BB2">
        <w:rPr>
          <w:rFonts w:ascii="Cambria" w:hAnsi="Cambria"/>
        </w:rPr>
        <w:t xml:space="preserve">în </w:t>
      </w:r>
      <w:r w:rsidRPr="00EA1BB2">
        <w:rPr>
          <w:rFonts w:ascii="Cambria" w:hAnsi="Cambria"/>
        </w:rPr>
        <w:t>județul Brăi</w:t>
      </w:r>
      <w:r w:rsidR="007C5A8C" w:rsidRPr="00EA1BB2">
        <w:rPr>
          <w:rFonts w:ascii="Cambria" w:hAnsi="Cambria"/>
        </w:rPr>
        <w:t>la, în anul de referință 2013 (t</w:t>
      </w:r>
      <w:r w:rsidRPr="00EA1BB2">
        <w:rPr>
          <w:rFonts w:ascii="Cambria" w:hAnsi="Cambria"/>
        </w:rPr>
        <w:t>/an)</w:t>
      </w:r>
      <w:bookmarkEnd w:id="133"/>
    </w:p>
    <w:tbl>
      <w:tblPr>
        <w:tblW w:w="465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0"/>
        <w:gridCol w:w="1132"/>
        <w:gridCol w:w="1132"/>
        <w:gridCol w:w="1506"/>
        <w:gridCol w:w="1226"/>
        <w:gridCol w:w="1475"/>
        <w:gridCol w:w="1226"/>
        <w:gridCol w:w="1505"/>
        <w:gridCol w:w="1515"/>
        <w:gridCol w:w="1348"/>
      </w:tblGrid>
      <w:tr w:rsidR="000262C3" w:rsidRPr="00EA1BB2" w14:paraId="16FB64BD" w14:textId="77777777" w:rsidTr="00DF6F87">
        <w:trPr>
          <w:trHeight w:val="397"/>
        </w:trPr>
        <w:tc>
          <w:tcPr>
            <w:tcW w:w="445" w:type="pct"/>
            <w:shd w:val="clear" w:color="auto" w:fill="BDD6EE" w:themeFill="accent1" w:themeFillTint="66"/>
            <w:vAlign w:val="center"/>
            <w:hideMark/>
          </w:tcPr>
          <w:p w14:paraId="60EC37BB" w14:textId="77777777" w:rsidR="00483B81" w:rsidRPr="00EA1BB2" w:rsidRDefault="00483B81" w:rsidP="00FD3817">
            <w:pPr>
              <w:jc w:val="center"/>
              <w:rPr>
                <w:rFonts w:ascii="Cambria" w:eastAsia="Times New Roman" w:hAnsi="Cambria" w:cs="Arial"/>
                <w:b/>
                <w:bCs/>
                <w:color w:val="FFFFFF"/>
                <w:lang w:eastAsia="ro-RO"/>
              </w:rPr>
            </w:pPr>
            <w:r w:rsidRPr="00EA1BB2">
              <w:rPr>
                <w:rFonts w:ascii="Cambria" w:eastAsia="Times New Roman" w:hAnsi="Cambria" w:cs="Arial"/>
                <w:b/>
                <w:bCs/>
                <w:lang w:eastAsia="ro-RO"/>
              </w:rPr>
              <w:t>Cod NFR</w:t>
            </w:r>
          </w:p>
        </w:tc>
        <w:tc>
          <w:tcPr>
            <w:tcW w:w="427" w:type="pct"/>
            <w:shd w:val="clear" w:color="auto" w:fill="BDD6EE" w:themeFill="accent1" w:themeFillTint="66"/>
            <w:noWrap/>
            <w:vAlign w:val="center"/>
            <w:hideMark/>
          </w:tcPr>
          <w:p w14:paraId="6122EDE1" w14:textId="77777777" w:rsidR="00483B81" w:rsidRPr="00EA1BB2" w:rsidRDefault="00483B81" w:rsidP="00FD3817">
            <w:pPr>
              <w:jc w:val="center"/>
              <w:rPr>
                <w:rFonts w:ascii="Cambria" w:eastAsia="Times New Roman" w:hAnsi="Cambria" w:cs="Times New Roman"/>
                <w:b/>
                <w:color w:val="000000"/>
                <w:lang w:eastAsia="ro-RO"/>
              </w:rPr>
            </w:pPr>
            <w:r w:rsidRPr="00EA1BB2">
              <w:rPr>
                <w:rFonts w:ascii="Cambria" w:eastAsia="Times New Roman" w:hAnsi="Cambria" w:cs="Times New Roman"/>
                <w:b/>
                <w:color w:val="000000"/>
                <w:lang w:eastAsia="ro-RO"/>
              </w:rPr>
              <w:t>As</w:t>
            </w:r>
          </w:p>
        </w:tc>
        <w:tc>
          <w:tcPr>
            <w:tcW w:w="427" w:type="pct"/>
            <w:shd w:val="clear" w:color="auto" w:fill="BDD6EE" w:themeFill="accent1" w:themeFillTint="66"/>
            <w:noWrap/>
            <w:vAlign w:val="center"/>
            <w:hideMark/>
          </w:tcPr>
          <w:p w14:paraId="140CAEA0" w14:textId="77777777" w:rsidR="00483B81" w:rsidRPr="00EA1BB2" w:rsidRDefault="00483B81" w:rsidP="00FD3817">
            <w:pPr>
              <w:jc w:val="center"/>
              <w:rPr>
                <w:rFonts w:ascii="Cambria" w:eastAsia="Times New Roman" w:hAnsi="Cambria" w:cs="Times New Roman"/>
                <w:b/>
                <w:color w:val="000000"/>
                <w:lang w:eastAsia="ro-RO"/>
              </w:rPr>
            </w:pPr>
            <w:r w:rsidRPr="00EA1BB2">
              <w:rPr>
                <w:rFonts w:ascii="Cambria" w:eastAsia="Times New Roman" w:hAnsi="Cambria" w:cs="Times New Roman"/>
                <w:b/>
                <w:color w:val="000000"/>
                <w:lang w:eastAsia="ro-RO"/>
              </w:rPr>
              <w:t>Cd</w:t>
            </w:r>
          </w:p>
        </w:tc>
        <w:tc>
          <w:tcPr>
            <w:tcW w:w="568" w:type="pct"/>
            <w:shd w:val="clear" w:color="auto" w:fill="BDD6EE" w:themeFill="accent1" w:themeFillTint="66"/>
            <w:noWrap/>
            <w:vAlign w:val="center"/>
            <w:hideMark/>
          </w:tcPr>
          <w:p w14:paraId="4593FA74" w14:textId="77777777" w:rsidR="00483B81" w:rsidRPr="00EA1BB2" w:rsidRDefault="00483B81" w:rsidP="00FD3817">
            <w:pPr>
              <w:jc w:val="center"/>
              <w:rPr>
                <w:rFonts w:ascii="Cambria" w:eastAsia="Times New Roman" w:hAnsi="Cambria" w:cs="Times New Roman"/>
                <w:b/>
                <w:color w:val="000000"/>
                <w:lang w:eastAsia="ro-RO"/>
              </w:rPr>
            </w:pPr>
            <w:r w:rsidRPr="00EA1BB2">
              <w:rPr>
                <w:rFonts w:ascii="Cambria" w:eastAsia="Times New Roman" w:hAnsi="Cambria" w:cs="Times New Roman"/>
                <w:b/>
                <w:color w:val="000000"/>
                <w:lang w:eastAsia="ro-RO"/>
              </w:rPr>
              <w:t>CO</w:t>
            </w:r>
          </w:p>
        </w:tc>
        <w:tc>
          <w:tcPr>
            <w:tcW w:w="463" w:type="pct"/>
            <w:shd w:val="clear" w:color="auto" w:fill="BDD6EE" w:themeFill="accent1" w:themeFillTint="66"/>
            <w:noWrap/>
            <w:vAlign w:val="center"/>
            <w:hideMark/>
          </w:tcPr>
          <w:p w14:paraId="58FC152C" w14:textId="77777777" w:rsidR="00483B81" w:rsidRPr="00EA1BB2" w:rsidRDefault="00483B81" w:rsidP="00FD3817">
            <w:pPr>
              <w:jc w:val="center"/>
              <w:rPr>
                <w:rFonts w:ascii="Cambria" w:eastAsia="Times New Roman" w:hAnsi="Cambria" w:cs="Times New Roman"/>
                <w:b/>
                <w:color w:val="000000"/>
                <w:lang w:eastAsia="ro-RO"/>
              </w:rPr>
            </w:pPr>
            <w:r w:rsidRPr="00EA1BB2">
              <w:rPr>
                <w:rFonts w:ascii="Cambria" w:eastAsia="Times New Roman" w:hAnsi="Cambria" w:cs="Times New Roman"/>
                <w:b/>
                <w:color w:val="000000"/>
                <w:lang w:eastAsia="ro-RO"/>
              </w:rPr>
              <w:t>Ni</w:t>
            </w:r>
          </w:p>
        </w:tc>
        <w:tc>
          <w:tcPr>
            <w:tcW w:w="557" w:type="pct"/>
            <w:shd w:val="clear" w:color="auto" w:fill="BDD6EE" w:themeFill="accent1" w:themeFillTint="66"/>
            <w:noWrap/>
            <w:vAlign w:val="center"/>
            <w:hideMark/>
          </w:tcPr>
          <w:p w14:paraId="59C51B70" w14:textId="77777777" w:rsidR="00483B81" w:rsidRPr="00EA1BB2" w:rsidRDefault="00483B81" w:rsidP="00FD3817">
            <w:pPr>
              <w:jc w:val="center"/>
              <w:rPr>
                <w:rFonts w:ascii="Cambria" w:eastAsia="Times New Roman" w:hAnsi="Cambria" w:cs="Times New Roman"/>
                <w:b/>
                <w:color w:val="000000"/>
                <w:lang w:eastAsia="ro-RO"/>
              </w:rPr>
            </w:pPr>
            <w:r w:rsidRPr="00EA1BB2">
              <w:rPr>
                <w:rFonts w:ascii="Cambria" w:eastAsia="Times New Roman" w:hAnsi="Cambria" w:cs="Times New Roman"/>
                <w:b/>
                <w:color w:val="000000"/>
                <w:lang w:eastAsia="ro-RO"/>
              </w:rPr>
              <w:t>NOx*</w:t>
            </w:r>
          </w:p>
        </w:tc>
        <w:tc>
          <w:tcPr>
            <w:tcW w:w="463" w:type="pct"/>
            <w:shd w:val="clear" w:color="auto" w:fill="BDD6EE" w:themeFill="accent1" w:themeFillTint="66"/>
            <w:noWrap/>
            <w:vAlign w:val="center"/>
            <w:hideMark/>
          </w:tcPr>
          <w:p w14:paraId="79BA8B73" w14:textId="77777777" w:rsidR="00483B81" w:rsidRPr="00EA1BB2" w:rsidRDefault="00483B81" w:rsidP="00FD3817">
            <w:pPr>
              <w:jc w:val="center"/>
              <w:rPr>
                <w:rFonts w:ascii="Cambria" w:eastAsia="Times New Roman" w:hAnsi="Cambria" w:cs="Times New Roman"/>
                <w:b/>
                <w:color w:val="000000"/>
                <w:lang w:eastAsia="ro-RO"/>
              </w:rPr>
            </w:pPr>
            <w:r w:rsidRPr="00EA1BB2">
              <w:rPr>
                <w:rFonts w:ascii="Cambria" w:eastAsia="Times New Roman" w:hAnsi="Cambria" w:cs="Times New Roman"/>
                <w:b/>
                <w:color w:val="000000"/>
                <w:lang w:eastAsia="ro-RO"/>
              </w:rPr>
              <w:t>Pb</w:t>
            </w:r>
          </w:p>
        </w:tc>
        <w:tc>
          <w:tcPr>
            <w:tcW w:w="568" w:type="pct"/>
            <w:shd w:val="clear" w:color="auto" w:fill="BDD6EE" w:themeFill="accent1" w:themeFillTint="66"/>
            <w:noWrap/>
            <w:vAlign w:val="center"/>
            <w:hideMark/>
          </w:tcPr>
          <w:p w14:paraId="0484ACF9" w14:textId="77777777" w:rsidR="00483B81" w:rsidRPr="00EA1BB2" w:rsidRDefault="00483B81" w:rsidP="00FD3817">
            <w:pPr>
              <w:jc w:val="center"/>
              <w:rPr>
                <w:rFonts w:ascii="Cambria" w:eastAsia="Times New Roman" w:hAnsi="Cambria" w:cs="Times New Roman"/>
                <w:b/>
                <w:color w:val="000000"/>
                <w:lang w:eastAsia="ro-RO"/>
              </w:rPr>
            </w:pPr>
            <w:r w:rsidRPr="00EA1BB2">
              <w:rPr>
                <w:rFonts w:ascii="Cambria" w:eastAsia="Times New Roman" w:hAnsi="Cambria" w:cs="Times New Roman"/>
                <w:b/>
                <w:color w:val="000000"/>
                <w:lang w:eastAsia="ro-RO"/>
              </w:rPr>
              <w:t>PM</w:t>
            </w:r>
            <w:r w:rsidRPr="00EA1BB2">
              <w:rPr>
                <w:rFonts w:ascii="Cambria" w:eastAsia="Times New Roman" w:hAnsi="Cambria" w:cs="Times New Roman"/>
                <w:b/>
                <w:color w:val="000000"/>
                <w:vertAlign w:val="subscript"/>
                <w:lang w:eastAsia="ro-RO"/>
              </w:rPr>
              <w:t>10</w:t>
            </w:r>
          </w:p>
        </w:tc>
        <w:tc>
          <w:tcPr>
            <w:tcW w:w="572" w:type="pct"/>
            <w:shd w:val="clear" w:color="auto" w:fill="BDD6EE" w:themeFill="accent1" w:themeFillTint="66"/>
            <w:noWrap/>
            <w:vAlign w:val="center"/>
            <w:hideMark/>
          </w:tcPr>
          <w:p w14:paraId="70EC7909" w14:textId="77777777" w:rsidR="00483B81" w:rsidRPr="00EA1BB2" w:rsidRDefault="00483B81" w:rsidP="00FD3817">
            <w:pPr>
              <w:jc w:val="center"/>
              <w:rPr>
                <w:rFonts w:ascii="Cambria" w:eastAsia="Times New Roman" w:hAnsi="Cambria" w:cs="Times New Roman"/>
                <w:b/>
                <w:color w:val="000000"/>
                <w:lang w:eastAsia="ro-RO"/>
              </w:rPr>
            </w:pPr>
            <w:r w:rsidRPr="00EA1BB2">
              <w:rPr>
                <w:rFonts w:ascii="Cambria" w:eastAsia="Times New Roman" w:hAnsi="Cambria" w:cs="Times New Roman"/>
                <w:b/>
                <w:color w:val="000000"/>
                <w:lang w:eastAsia="ro-RO"/>
              </w:rPr>
              <w:t>PM</w:t>
            </w:r>
            <w:r w:rsidRPr="00EA1BB2">
              <w:rPr>
                <w:rFonts w:ascii="Cambria" w:eastAsia="Times New Roman" w:hAnsi="Cambria" w:cs="Times New Roman"/>
                <w:b/>
                <w:color w:val="000000"/>
                <w:vertAlign w:val="subscript"/>
                <w:lang w:eastAsia="ro-RO"/>
              </w:rPr>
              <w:t>2,5</w:t>
            </w:r>
          </w:p>
        </w:tc>
        <w:tc>
          <w:tcPr>
            <w:tcW w:w="509" w:type="pct"/>
            <w:shd w:val="clear" w:color="auto" w:fill="BDD6EE" w:themeFill="accent1" w:themeFillTint="66"/>
            <w:noWrap/>
            <w:vAlign w:val="center"/>
            <w:hideMark/>
          </w:tcPr>
          <w:p w14:paraId="3AEC5165" w14:textId="77777777" w:rsidR="00483B81" w:rsidRPr="00EA1BB2" w:rsidRDefault="00483B81" w:rsidP="00FD3817">
            <w:pPr>
              <w:jc w:val="center"/>
              <w:rPr>
                <w:rFonts w:ascii="Cambria" w:eastAsia="Times New Roman" w:hAnsi="Cambria" w:cs="Times New Roman"/>
                <w:b/>
                <w:color w:val="000000"/>
                <w:lang w:eastAsia="ro-RO"/>
              </w:rPr>
            </w:pPr>
            <w:r w:rsidRPr="00EA1BB2">
              <w:rPr>
                <w:rFonts w:ascii="Cambria" w:eastAsia="Times New Roman" w:hAnsi="Cambria" w:cs="Times New Roman"/>
                <w:b/>
                <w:color w:val="000000"/>
                <w:lang w:eastAsia="ro-RO"/>
              </w:rPr>
              <w:t>SOx</w:t>
            </w:r>
          </w:p>
        </w:tc>
      </w:tr>
      <w:tr w:rsidR="000262C3" w:rsidRPr="00EA1BB2" w14:paraId="23DA2F13" w14:textId="77777777" w:rsidTr="00DF6F87">
        <w:trPr>
          <w:trHeight w:val="300"/>
        </w:trPr>
        <w:tc>
          <w:tcPr>
            <w:tcW w:w="445" w:type="pct"/>
            <w:shd w:val="clear" w:color="auto" w:fill="auto"/>
            <w:noWrap/>
            <w:hideMark/>
          </w:tcPr>
          <w:p w14:paraId="4554605B" w14:textId="77777777" w:rsidR="00236B8F" w:rsidRPr="00EA1BB2" w:rsidRDefault="00236B8F" w:rsidP="00236B8F">
            <w:pPr>
              <w:spacing w:line="360" w:lineRule="auto"/>
              <w:rPr>
                <w:rFonts w:ascii="Cambria" w:eastAsia="Times New Roman" w:hAnsi="Cambria" w:cs="Times New Roman"/>
                <w:color w:val="000000"/>
                <w:lang w:eastAsia="ro-RO"/>
              </w:rPr>
            </w:pPr>
            <w:r w:rsidRPr="00EA1BB2">
              <w:rPr>
                <w:rFonts w:ascii="Cambria" w:hAnsi="Cambria"/>
              </w:rPr>
              <w:t>1.A.1.a</w:t>
            </w:r>
          </w:p>
        </w:tc>
        <w:tc>
          <w:tcPr>
            <w:tcW w:w="427" w:type="pct"/>
            <w:shd w:val="clear" w:color="auto" w:fill="auto"/>
            <w:noWrap/>
          </w:tcPr>
          <w:p w14:paraId="510157A7"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2,20E-08</w:t>
            </w:r>
          </w:p>
        </w:tc>
        <w:tc>
          <w:tcPr>
            <w:tcW w:w="427" w:type="pct"/>
            <w:shd w:val="clear" w:color="auto" w:fill="auto"/>
            <w:noWrap/>
          </w:tcPr>
          <w:p w14:paraId="3B8C7E48"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0,000000</w:t>
            </w:r>
          </w:p>
        </w:tc>
        <w:tc>
          <w:tcPr>
            <w:tcW w:w="568" w:type="pct"/>
            <w:shd w:val="clear" w:color="auto" w:fill="auto"/>
            <w:noWrap/>
          </w:tcPr>
          <w:p w14:paraId="17D5571E"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0,009403</w:t>
            </w:r>
          </w:p>
        </w:tc>
        <w:tc>
          <w:tcPr>
            <w:tcW w:w="463" w:type="pct"/>
            <w:shd w:val="clear" w:color="auto" w:fill="auto"/>
            <w:noWrap/>
          </w:tcPr>
          <w:p w14:paraId="6E7BCDE5"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2,41E-07</w:t>
            </w:r>
          </w:p>
        </w:tc>
        <w:tc>
          <w:tcPr>
            <w:tcW w:w="557" w:type="pct"/>
            <w:shd w:val="clear" w:color="auto" w:fill="auto"/>
            <w:noWrap/>
          </w:tcPr>
          <w:p w14:paraId="1E96CCA5" w14:textId="77777777" w:rsidR="00236B8F" w:rsidRPr="00EA1BB2" w:rsidRDefault="00236B8F" w:rsidP="00236B8F">
            <w:pPr>
              <w:spacing w:line="360" w:lineRule="auto"/>
              <w:jc w:val="center"/>
              <w:rPr>
                <w:rFonts w:ascii="Cambria" w:eastAsia="Times New Roman" w:hAnsi="Cambria" w:cs="Times New Roman"/>
                <w:color w:val="000000"/>
                <w:lang w:eastAsia="ro-RO"/>
              </w:rPr>
            </w:pPr>
          </w:p>
        </w:tc>
        <w:tc>
          <w:tcPr>
            <w:tcW w:w="463" w:type="pct"/>
            <w:shd w:val="clear" w:color="auto" w:fill="auto"/>
            <w:noWrap/>
          </w:tcPr>
          <w:p w14:paraId="1A359290"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4,80E-08</w:t>
            </w:r>
          </w:p>
        </w:tc>
        <w:tc>
          <w:tcPr>
            <w:tcW w:w="568" w:type="pct"/>
            <w:shd w:val="clear" w:color="auto" w:fill="auto"/>
            <w:noWrap/>
          </w:tcPr>
          <w:p w14:paraId="14444FC5"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0,000217</w:t>
            </w:r>
          </w:p>
        </w:tc>
        <w:tc>
          <w:tcPr>
            <w:tcW w:w="572" w:type="pct"/>
            <w:shd w:val="clear" w:color="auto" w:fill="auto"/>
            <w:noWrap/>
          </w:tcPr>
          <w:p w14:paraId="1BB4E78D"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0,000217</w:t>
            </w:r>
          </w:p>
        </w:tc>
        <w:tc>
          <w:tcPr>
            <w:tcW w:w="509" w:type="pct"/>
            <w:shd w:val="clear" w:color="auto" w:fill="auto"/>
            <w:noWrap/>
          </w:tcPr>
          <w:p w14:paraId="0623BB6E"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0,000072</w:t>
            </w:r>
          </w:p>
        </w:tc>
      </w:tr>
      <w:tr w:rsidR="000262C3" w:rsidRPr="00EA1BB2" w14:paraId="0E608DFA" w14:textId="77777777" w:rsidTr="00DF6F87">
        <w:trPr>
          <w:trHeight w:val="300"/>
        </w:trPr>
        <w:tc>
          <w:tcPr>
            <w:tcW w:w="445" w:type="pct"/>
            <w:shd w:val="clear" w:color="auto" w:fill="auto"/>
            <w:noWrap/>
            <w:hideMark/>
          </w:tcPr>
          <w:p w14:paraId="044CA3A7" w14:textId="77777777" w:rsidR="00236B8F" w:rsidRPr="00EA1BB2" w:rsidRDefault="00236B8F" w:rsidP="00236B8F">
            <w:pPr>
              <w:spacing w:line="360" w:lineRule="auto"/>
              <w:rPr>
                <w:rFonts w:ascii="Cambria" w:eastAsia="Times New Roman" w:hAnsi="Cambria" w:cs="Times New Roman"/>
                <w:color w:val="000000"/>
                <w:lang w:eastAsia="ro-RO"/>
              </w:rPr>
            </w:pPr>
            <w:r w:rsidRPr="00EA1BB2">
              <w:rPr>
                <w:rFonts w:ascii="Cambria" w:hAnsi="Cambria"/>
              </w:rPr>
              <w:t>1.A.2.a</w:t>
            </w:r>
          </w:p>
        </w:tc>
        <w:tc>
          <w:tcPr>
            <w:tcW w:w="427" w:type="pct"/>
            <w:shd w:val="clear" w:color="auto" w:fill="auto"/>
            <w:noWrap/>
          </w:tcPr>
          <w:p w14:paraId="0B2EF68B" w14:textId="77777777" w:rsidR="00236B8F" w:rsidRPr="00EA1BB2" w:rsidRDefault="00236B8F" w:rsidP="00236B8F">
            <w:pPr>
              <w:spacing w:line="360" w:lineRule="auto"/>
              <w:jc w:val="center"/>
              <w:rPr>
                <w:rFonts w:ascii="Cambria" w:eastAsia="Times New Roman" w:hAnsi="Cambria" w:cs="Times New Roman"/>
                <w:color w:val="000000"/>
                <w:lang w:eastAsia="ro-RO"/>
              </w:rPr>
            </w:pPr>
          </w:p>
        </w:tc>
        <w:tc>
          <w:tcPr>
            <w:tcW w:w="427" w:type="pct"/>
            <w:shd w:val="clear" w:color="auto" w:fill="auto"/>
            <w:noWrap/>
          </w:tcPr>
          <w:p w14:paraId="23B4E0CE" w14:textId="77777777" w:rsidR="00236B8F" w:rsidRPr="00EA1BB2" w:rsidRDefault="00236B8F" w:rsidP="00236B8F">
            <w:pPr>
              <w:spacing w:line="360" w:lineRule="auto"/>
              <w:jc w:val="center"/>
              <w:rPr>
                <w:rFonts w:ascii="Cambria" w:eastAsia="Times New Roman" w:hAnsi="Cambria" w:cs="Times New Roman"/>
                <w:lang w:eastAsia="ro-RO"/>
              </w:rPr>
            </w:pPr>
          </w:p>
        </w:tc>
        <w:tc>
          <w:tcPr>
            <w:tcW w:w="568" w:type="pct"/>
            <w:shd w:val="clear" w:color="auto" w:fill="auto"/>
            <w:noWrap/>
          </w:tcPr>
          <w:p w14:paraId="6D20FC0D"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0,233438</w:t>
            </w:r>
          </w:p>
        </w:tc>
        <w:tc>
          <w:tcPr>
            <w:tcW w:w="463" w:type="pct"/>
            <w:shd w:val="clear" w:color="auto" w:fill="auto"/>
            <w:noWrap/>
          </w:tcPr>
          <w:p w14:paraId="257267ED" w14:textId="77777777" w:rsidR="00236B8F" w:rsidRPr="00EA1BB2" w:rsidRDefault="00236B8F" w:rsidP="00236B8F">
            <w:pPr>
              <w:spacing w:line="360" w:lineRule="auto"/>
              <w:jc w:val="center"/>
              <w:rPr>
                <w:rFonts w:ascii="Cambria" w:eastAsia="Times New Roman" w:hAnsi="Cambria" w:cs="Times New Roman"/>
                <w:color w:val="000000"/>
                <w:lang w:eastAsia="ro-RO"/>
              </w:rPr>
            </w:pPr>
          </w:p>
        </w:tc>
        <w:tc>
          <w:tcPr>
            <w:tcW w:w="557" w:type="pct"/>
            <w:shd w:val="clear" w:color="auto" w:fill="auto"/>
            <w:noWrap/>
          </w:tcPr>
          <w:p w14:paraId="3109A379" w14:textId="77777777" w:rsidR="00236B8F" w:rsidRPr="00EA1BB2" w:rsidRDefault="00236B8F" w:rsidP="00236B8F">
            <w:pPr>
              <w:spacing w:line="360" w:lineRule="auto"/>
              <w:jc w:val="center"/>
              <w:rPr>
                <w:rFonts w:ascii="Cambria" w:eastAsia="Times New Roman" w:hAnsi="Cambria" w:cs="Times New Roman"/>
                <w:lang w:eastAsia="ro-RO"/>
              </w:rPr>
            </w:pPr>
          </w:p>
        </w:tc>
        <w:tc>
          <w:tcPr>
            <w:tcW w:w="463" w:type="pct"/>
            <w:shd w:val="clear" w:color="auto" w:fill="auto"/>
            <w:noWrap/>
          </w:tcPr>
          <w:p w14:paraId="59D13185" w14:textId="77777777" w:rsidR="00236B8F" w:rsidRPr="00EA1BB2" w:rsidRDefault="00236B8F" w:rsidP="00236B8F">
            <w:pPr>
              <w:spacing w:line="360" w:lineRule="auto"/>
              <w:jc w:val="center"/>
              <w:rPr>
                <w:rFonts w:ascii="Cambria" w:eastAsia="Times New Roman" w:hAnsi="Cambria" w:cs="Times New Roman"/>
                <w:lang w:eastAsia="ro-RO"/>
              </w:rPr>
            </w:pPr>
          </w:p>
        </w:tc>
        <w:tc>
          <w:tcPr>
            <w:tcW w:w="568" w:type="pct"/>
            <w:shd w:val="clear" w:color="auto" w:fill="auto"/>
            <w:noWrap/>
          </w:tcPr>
          <w:p w14:paraId="4965AFFB" w14:textId="77777777" w:rsidR="00236B8F" w:rsidRPr="00EA1BB2" w:rsidRDefault="00236B8F" w:rsidP="00236B8F">
            <w:pPr>
              <w:spacing w:line="360" w:lineRule="auto"/>
              <w:jc w:val="center"/>
              <w:rPr>
                <w:rFonts w:ascii="Cambria" w:eastAsia="Times New Roman" w:hAnsi="Cambria" w:cs="Times New Roman"/>
                <w:lang w:eastAsia="ro-RO"/>
              </w:rPr>
            </w:pPr>
          </w:p>
        </w:tc>
        <w:tc>
          <w:tcPr>
            <w:tcW w:w="572" w:type="pct"/>
            <w:shd w:val="clear" w:color="auto" w:fill="auto"/>
            <w:noWrap/>
          </w:tcPr>
          <w:p w14:paraId="5D1D02E7" w14:textId="77777777" w:rsidR="00236B8F" w:rsidRPr="00EA1BB2" w:rsidRDefault="00236B8F" w:rsidP="00236B8F">
            <w:pPr>
              <w:spacing w:line="360" w:lineRule="auto"/>
              <w:jc w:val="center"/>
              <w:rPr>
                <w:rFonts w:ascii="Cambria" w:eastAsia="Times New Roman" w:hAnsi="Cambria" w:cs="Times New Roman"/>
                <w:lang w:eastAsia="ro-RO"/>
              </w:rPr>
            </w:pPr>
          </w:p>
        </w:tc>
        <w:tc>
          <w:tcPr>
            <w:tcW w:w="509" w:type="pct"/>
            <w:shd w:val="clear" w:color="auto" w:fill="auto"/>
            <w:noWrap/>
          </w:tcPr>
          <w:p w14:paraId="3D054623"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0,046688</w:t>
            </w:r>
          </w:p>
        </w:tc>
      </w:tr>
      <w:tr w:rsidR="000262C3" w:rsidRPr="00EA1BB2" w14:paraId="416D2249" w14:textId="77777777" w:rsidTr="00DF6F87">
        <w:trPr>
          <w:trHeight w:val="300"/>
        </w:trPr>
        <w:tc>
          <w:tcPr>
            <w:tcW w:w="445" w:type="pct"/>
            <w:shd w:val="clear" w:color="auto" w:fill="auto"/>
            <w:noWrap/>
            <w:hideMark/>
          </w:tcPr>
          <w:p w14:paraId="29335A75" w14:textId="77777777" w:rsidR="00236B8F" w:rsidRPr="00EA1BB2" w:rsidRDefault="00236B8F" w:rsidP="00236B8F">
            <w:pPr>
              <w:spacing w:line="360" w:lineRule="auto"/>
              <w:rPr>
                <w:rFonts w:ascii="Cambria" w:eastAsia="Times New Roman" w:hAnsi="Cambria" w:cs="Times New Roman"/>
                <w:lang w:eastAsia="ro-RO"/>
              </w:rPr>
            </w:pPr>
            <w:r w:rsidRPr="00EA1BB2">
              <w:rPr>
                <w:rFonts w:ascii="Cambria" w:hAnsi="Cambria"/>
              </w:rPr>
              <w:t>1.A.2.e</w:t>
            </w:r>
          </w:p>
        </w:tc>
        <w:tc>
          <w:tcPr>
            <w:tcW w:w="427" w:type="pct"/>
            <w:shd w:val="clear" w:color="auto" w:fill="auto"/>
            <w:noWrap/>
          </w:tcPr>
          <w:p w14:paraId="3221FB8B"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0,000001</w:t>
            </w:r>
          </w:p>
        </w:tc>
        <w:tc>
          <w:tcPr>
            <w:tcW w:w="427" w:type="pct"/>
            <w:shd w:val="clear" w:color="auto" w:fill="auto"/>
            <w:noWrap/>
          </w:tcPr>
          <w:p w14:paraId="5CBBD072"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0,000003</w:t>
            </w:r>
          </w:p>
        </w:tc>
        <w:tc>
          <w:tcPr>
            <w:tcW w:w="568" w:type="pct"/>
            <w:shd w:val="clear" w:color="auto" w:fill="auto"/>
            <w:noWrap/>
          </w:tcPr>
          <w:p w14:paraId="2C389429"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0,137724</w:t>
            </w:r>
          </w:p>
        </w:tc>
        <w:tc>
          <w:tcPr>
            <w:tcW w:w="463" w:type="pct"/>
            <w:shd w:val="clear" w:color="auto" w:fill="auto"/>
            <w:noWrap/>
          </w:tcPr>
          <w:p w14:paraId="1198AE35"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0,000007</w:t>
            </w:r>
          </w:p>
        </w:tc>
        <w:tc>
          <w:tcPr>
            <w:tcW w:w="557" w:type="pct"/>
            <w:shd w:val="clear" w:color="auto" w:fill="auto"/>
            <w:noWrap/>
          </w:tcPr>
          <w:p w14:paraId="295FDB68" w14:textId="77777777" w:rsidR="00236B8F" w:rsidRPr="00EA1BB2" w:rsidRDefault="00236B8F" w:rsidP="00236B8F">
            <w:pPr>
              <w:spacing w:line="360" w:lineRule="auto"/>
              <w:jc w:val="center"/>
              <w:rPr>
                <w:rFonts w:ascii="Cambria" w:eastAsia="Times New Roman" w:hAnsi="Cambria" w:cs="Times New Roman"/>
                <w:color w:val="000000"/>
                <w:lang w:eastAsia="ro-RO"/>
              </w:rPr>
            </w:pPr>
          </w:p>
        </w:tc>
        <w:tc>
          <w:tcPr>
            <w:tcW w:w="463" w:type="pct"/>
            <w:shd w:val="clear" w:color="auto" w:fill="auto"/>
            <w:noWrap/>
          </w:tcPr>
          <w:p w14:paraId="5D70E871"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0,000006</w:t>
            </w:r>
          </w:p>
        </w:tc>
        <w:tc>
          <w:tcPr>
            <w:tcW w:w="568" w:type="pct"/>
            <w:shd w:val="clear" w:color="auto" w:fill="auto"/>
            <w:noWrap/>
          </w:tcPr>
          <w:p w14:paraId="4F9211B7"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0,003396</w:t>
            </w:r>
          </w:p>
        </w:tc>
        <w:tc>
          <w:tcPr>
            <w:tcW w:w="572" w:type="pct"/>
            <w:shd w:val="clear" w:color="auto" w:fill="auto"/>
            <w:noWrap/>
          </w:tcPr>
          <w:p w14:paraId="31BE6B14"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0,003396</w:t>
            </w:r>
          </w:p>
        </w:tc>
        <w:tc>
          <w:tcPr>
            <w:tcW w:w="509" w:type="pct"/>
            <w:shd w:val="clear" w:color="auto" w:fill="auto"/>
            <w:noWrap/>
          </w:tcPr>
          <w:p w14:paraId="711EB0AF"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0,003264</w:t>
            </w:r>
          </w:p>
        </w:tc>
      </w:tr>
      <w:tr w:rsidR="000262C3" w:rsidRPr="00EA1BB2" w14:paraId="72C3C78A" w14:textId="77777777" w:rsidTr="00DF6F87">
        <w:trPr>
          <w:trHeight w:val="300"/>
        </w:trPr>
        <w:tc>
          <w:tcPr>
            <w:tcW w:w="445" w:type="pct"/>
            <w:shd w:val="clear" w:color="auto" w:fill="auto"/>
            <w:noWrap/>
            <w:hideMark/>
          </w:tcPr>
          <w:p w14:paraId="12C915FA" w14:textId="77777777" w:rsidR="00236B8F" w:rsidRPr="00EA1BB2" w:rsidRDefault="00236B8F" w:rsidP="00236B8F">
            <w:pPr>
              <w:spacing w:line="360" w:lineRule="auto"/>
              <w:rPr>
                <w:rFonts w:ascii="Cambria" w:eastAsia="Times New Roman" w:hAnsi="Cambria" w:cs="Times New Roman"/>
                <w:lang w:eastAsia="ro-RO"/>
              </w:rPr>
            </w:pPr>
            <w:r w:rsidRPr="00EA1BB2">
              <w:rPr>
                <w:rFonts w:ascii="Cambria" w:hAnsi="Cambria"/>
              </w:rPr>
              <w:t>1.A.2.f.i</w:t>
            </w:r>
          </w:p>
        </w:tc>
        <w:tc>
          <w:tcPr>
            <w:tcW w:w="427" w:type="pct"/>
            <w:shd w:val="clear" w:color="auto" w:fill="auto"/>
            <w:noWrap/>
          </w:tcPr>
          <w:p w14:paraId="475CC7ED" w14:textId="77777777" w:rsidR="00236B8F" w:rsidRPr="00EA1BB2" w:rsidRDefault="00236B8F" w:rsidP="00236B8F">
            <w:pPr>
              <w:spacing w:line="360" w:lineRule="auto"/>
              <w:jc w:val="center"/>
              <w:rPr>
                <w:rFonts w:ascii="Cambria" w:eastAsia="Times New Roman" w:hAnsi="Cambria" w:cs="Times New Roman"/>
                <w:color w:val="000000"/>
                <w:lang w:eastAsia="ro-RO"/>
              </w:rPr>
            </w:pPr>
          </w:p>
        </w:tc>
        <w:tc>
          <w:tcPr>
            <w:tcW w:w="427" w:type="pct"/>
            <w:shd w:val="clear" w:color="auto" w:fill="auto"/>
            <w:noWrap/>
          </w:tcPr>
          <w:p w14:paraId="4D6E9A1A" w14:textId="77777777" w:rsidR="00236B8F" w:rsidRPr="00EA1BB2" w:rsidRDefault="00236B8F" w:rsidP="00236B8F">
            <w:pPr>
              <w:spacing w:line="360" w:lineRule="auto"/>
              <w:jc w:val="center"/>
              <w:rPr>
                <w:rFonts w:ascii="Cambria" w:eastAsia="Times New Roman" w:hAnsi="Cambria" w:cs="Times New Roman"/>
                <w:color w:val="000000"/>
                <w:lang w:eastAsia="ro-RO"/>
              </w:rPr>
            </w:pPr>
          </w:p>
        </w:tc>
        <w:tc>
          <w:tcPr>
            <w:tcW w:w="568" w:type="pct"/>
            <w:shd w:val="clear" w:color="auto" w:fill="auto"/>
            <w:noWrap/>
          </w:tcPr>
          <w:p w14:paraId="271AAA78"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33,770</w:t>
            </w:r>
          </w:p>
        </w:tc>
        <w:tc>
          <w:tcPr>
            <w:tcW w:w="463" w:type="pct"/>
            <w:shd w:val="clear" w:color="auto" w:fill="auto"/>
            <w:noWrap/>
          </w:tcPr>
          <w:p w14:paraId="450A7AF6" w14:textId="77777777" w:rsidR="00236B8F" w:rsidRPr="00EA1BB2" w:rsidRDefault="00236B8F" w:rsidP="00236B8F">
            <w:pPr>
              <w:spacing w:line="360" w:lineRule="auto"/>
              <w:jc w:val="center"/>
              <w:rPr>
                <w:rFonts w:ascii="Cambria" w:eastAsia="Times New Roman" w:hAnsi="Cambria" w:cs="Times New Roman"/>
                <w:color w:val="000000"/>
                <w:lang w:eastAsia="ro-RO"/>
              </w:rPr>
            </w:pPr>
          </w:p>
        </w:tc>
        <w:tc>
          <w:tcPr>
            <w:tcW w:w="557" w:type="pct"/>
            <w:shd w:val="clear" w:color="auto" w:fill="auto"/>
            <w:noWrap/>
          </w:tcPr>
          <w:p w14:paraId="3E1C0024"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5,834</w:t>
            </w:r>
          </w:p>
        </w:tc>
        <w:tc>
          <w:tcPr>
            <w:tcW w:w="463" w:type="pct"/>
            <w:shd w:val="clear" w:color="auto" w:fill="auto"/>
            <w:noWrap/>
          </w:tcPr>
          <w:p w14:paraId="533E3793" w14:textId="77777777" w:rsidR="00236B8F" w:rsidRPr="00EA1BB2" w:rsidRDefault="00236B8F" w:rsidP="00236B8F">
            <w:pPr>
              <w:spacing w:line="360" w:lineRule="auto"/>
              <w:jc w:val="center"/>
              <w:rPr>
                <w:rFonts w:ascii="Cambria" w:eastAsia="Times New Roman" w:hAnsi="Cambria" w:cs="Times New Roman"/>
                <w:color w:val="000000"/>
                <w:lang w:eastAsia="ro-RO"/>
              </w:rPr>
            </w:pPr>
          </w:p>
        </w:tc>
        <w:tc>
          <w:tcPr>
            <w:tcW w:w="568" w:type="pct"/>
            <w:shd w:val="clear" w:color="auto" w:fill="auto"/>
            <w:noWrap/>
          </w:tcPr>
          <w:p w14:paraId="14E6DBB8" w14:textId="77777777" w:rsidR="00236B8F" w:rsidRPr="00EA1BB2" w:rsidRDefault="00236B8F" w:rsidP="00236B8F">
            <w:pPr>
              <w:spacing w:line="360" w:lineRule="auto"/>
              <w:jc w:val="center"/>
              <w:rPr>
                <w:rFonts w:ascii="Cambria" w:eastAsia="Times New Roman" w:hAnsi="Cambria" w:cs="Times New Roman"/>
                <w:color w:val="000000"/>
                <w:lang w:eastAsia="ro-RO"/>
              </w:rPr>
            </w:pPr>
          </w:p>
        </w:tc>
        <w:tc>
          <w:tcPr>
            <w:tcW w:w="572" w:type="pct"/>
            <w:shd w:val="clear" w:color="auto" w:fill="auto"/>
            <w:noWrap/>
          </w:tcPr>
          <w:p w14:paraId="7787E919" w14:textId="77777777" w:rsidR="00236B8F" w:rsidRPr="00EA1BB2" w:rsidRDefault="00236B8F" w:rsidP="00236B8F">
            <w:pPr>
              <w:spacing w:line="360" w:lineRule="auto"/>
              <w:jc w:val="center"/>
              <w:rPr>
                <w:rFonts w:ascii="Cambria" w:eastAsia="Times New Roman" w:hAnsi="Cambria" w:cs="Times New Roman"/>
                <w:color w:val="000000"/>
                <w:lang w:eastAsia="ro-RO"/>
              </w:rPr>
            </w:pPr>
          </w:p>
        </w:tc>
        <w:tc>
          <w:tcPr>
            <w:tcW w:w="509" w:type="pct"/>
            <w:shd w:val="clear" w:color="auto" w:fill="auto"/>
            <w:noWrap/>
          </w:tcPr>
          <w:p w14:paraId="34065A52"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3,626200</w:t>
            </w:r>
          </w:p>
        </w:tc>
      </w:tr>
      <w:tr w:rsidR="000262C3" w:rsidRPr="00EA1BB2" w14:paraId="2CD51868" w14:textId="77777777" w:rsidTr="00DF6F87">
        <w:trPr>
          <w:trHeight w:val="300"/>
        </w:trPr>
        <w:tc>
          <w:tcPr>
            <w:tcW w:w="445" w:type="pct"/>
            <w:noWrap/>
          </w:tcPr>
          <w:p w14:paraId="5BCAEB79" w14:textId="77777777" w:rsidR="00236B8F" w:rsidRPr="00EA1BB2" w:rsidRDefault="00236B8F" w:rsidP="00236B8F">
            <w:pPr>
              <w:spacing w:line="360" w:lineRule="auto"/>
              <w:rPr>
                <w:rFonts w:ascii="Cambria" w:hAnsi="Cambria"/>
              </w:rPr>
            </w:pPr>
            <w:r w:rsidRPr="00EA1BB2">
              <w:rPr>
                <w:rFonts w:ascii="Cambria" w:hAnsi="Cambria"/>
                <w:sz w:val="24"/>
              </w:rPr>
              <w:t>1.A.3.b.i</w:t>
            </w:r>
          </w:p>
        </w:tc>
        <w:tc>
          <w:tcPr>
            <w:tcW w:w="427" w:type="pct"/>
            <w:shd w:val="clear" w:color="auto" w:fill="auto"/>
            <w:noWrap/>
          </w:tcPr>
          <w:p w14:paraId="12B861FE" w14:textId="77777777" w:rsidR="00236B8F" w:rsidRPr="00EA1BB2" w:rsidRDefault="00236B8F" w:rsidP="00236B8F">
            <w:pPr>
              <w:spacing w:line="360" w:lineRule="auto"/>
              <w:jc w:val="center"/>
              <w:rPr>
                <w:rFonts w:ascii="Cambria" w:eastAsia="Times New Roman" w:hAnsi="Cambria" w:cs="Times New Roman"/>
                <w:color w:val="000000"/>
                <w:lang w:eastAsia="ro-RO"/>
              </w:rPr>
            </w:pPr>
          </w:p>
        </w:tc>
        <w:tc>
          <w:tcPr>
            <w:tcW w:w="427" w:type="pct"/>
            <w:noWrap/>
          </w:tcPr>
          <w:p w14:paraId="4694095E"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0,000203</w:t>
            </w:r>
          </w:p>
        </w:tc>
        <w:tc>
          <w:tcPr>
            <w:tcW w:w="568" w:type="pct"/>
            <w:shd w:val="clear" w:color="auto" w:fill="auto"/>
            <w:noWrap/>
          </w:tcPr>
          <w:p w14:paraId="3838288D" w14:textId="77777777" w:rsidR="00236B8F" w:rsidRPr="00EA1BB2" w:rsidRDefault="00236B8F" w:rsidP="00236B8F">
            <w:pPr>
              <w:spacing w:line="360" w:lineRule="auto"/>
              <w:jc w:val="center"/>
              <w:rPr>
                <w:rFonts w:ascii="Cambria" w:hAnsi="Cambria"/>
              </w:rPr>
            </w:pPr>
            <w:r w:rsidRPr="00EA1BB2">
              <w:rPr>
                <w:rFonts w:ascii="Cambria" w:hAnsi="Cambria"/>
              </w:rPr>
              <w:t>1998,738</w:t>
            </w:r>
          </w:p>
        </w:tc>
        <w:tc>
          <w:tcPr>
            <w:tcW w:w="463" w:type="pct"/>
            <w:shd w:val="clear" w:color="auto" w:fill="auto"/>
            <w:noWrap/>
          </w:tcPr>
          <w:p w14:paraId="5D78750C"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0,000565</w:t>
            </w:r>
          </w:p>
        </w:tc>
        <w:tc>
          <w:tcPr>
            <w:tcW w:w="557" w:type="pct"/>
            <w:shd w:val="clear" w:color="auto" w:fill="auto"/>
            <w:noWrap/>
          </w:tcPr>
          <w:p w14:paraId="712F46AA" w14:textId="77777777" w:rsidR="00236B8F" w:rsidRPr="00EA1BB2" w:rsidRDefault="00236B8F" w:rsidP="00236B8F">
            <w:pPr>
              <w:spacing w:line="360" w:lineRule="auto"/>
              <w:jc w:val="center"/>
              <w:rPr>
                <w:rFonts w:ascii="Cambria" w:hAnsi="Cambria"/>
              </w:rPr>
            </w:pPr>
            <w:r w:rsidRPr="00EA1BB2">
              <w:rPr>
                <w:rFonts w:ascii="Cambria" w:hAnsi="Cambria"/>
              </w:rPr>
              <w:t>128,520</w:t>
            </w:r>
          </w:p>
        </w:tc>
        <w:tc>
          <w:tcPr>
            <w:tcW w:w="463" w:type="pct"/>
            <w:shd w:val="clear" w:color="auto" w:fill="auto"/>
            <w:noWrap/>
          </w:tcPr>
          <w:p w14:paraId="3DB6EAE2"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0,006558</w:t>
            </w:r>
          </w:p>
        </w:tc>
        <w:tc>
          <w:tcPr>
            <w:tcW w:w="568" w:type="pct"/>
            <w:shd w:val="clear" w:color="auto" w:fill="auto"/>
            <w:noWrap/>
          </w:tcPr>
          <w:p w14:paraId="2D5DB526"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7,983495</w:t>
            </w:r>
          </w:p>
        </w:tc>
        <w:tc>
          <w:tcPr>
            <w:tcW w:w="572" w:type="pct"/>
            <w:shd w:val="clear" w:color="auto" w:fill="auto"/>
            <w:noWrap/>
          </w:tcPr>
          <w:p w14:paraId="7EFB2C7F"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5,874894</w:t>
            </w:r>
          </w:p>
        </w:tc>
        <w:tc>
          <w:tcPr>
            <w:tcW w:w="509" w:type="pct"/>
            <w:shd w:val="clear" w:color="auto" w:fill="auto"/>
            <w:noWrap/>
          </w:tcPr>
          <w:p w14:paraId="04E6FF19" w14:textId="77777777" w:rsidR="00236B8F" w:rsidRPr="00EA1BB2" w:rsidRDefault="00236B8F" w:rsidP="00236B8F">
            <w:pPr>
              <w:spacing w:line="360" w:lineRule="auto"/>
              <w:jc w:val="center"/>
              <w:rPr>
                <w:rFonts w:ascii="Cambria" w:hAnsi="Cambria"/>
              </w:rPr>
            </w:pPr>
          </w:p>
        </w:tc>
      </w:tr>
      <w:tr w:rsidR="000262C3" w:rsidRPr="00EA1BB2" w14:paraId="39D93013" w14:textId="77777777" w:rsidTr="00DF6F87">
        <w:trPr>
          <w:trHeight w:val="300"/>
        </w:trPr>
        <w:tc>
          <w:tcPr>
            <w:tcW w:w="445" w:type="pct"/>
            <w:noWrap/>
          </w:tcPr>
          <w:p w14:paraId="06161BB6" w14:textId="77777777" w:rsidR="00236B8F" w:rsidRPr="00EA1BB2" w:rsidRDefault="00236B8F" w:rsidP="00236B8F">
            <w:pPr>
              <w:spacing w:line="360" w:lineRule="auto"/>
              <w:rPr>
                <w:rFonts w:ascii="Cambria" w:hAnsi="Cambria"/>
              </w:rPr>
            </w:pPr>
            <w:r w:rsidRPr="00EA1BB2">
              <w:rPr>
                <w:rFonts w:ascii="Cambria" w:hAnsi="Cambria"/>
                <w:sz w:val="24"/>
              </w:rPr>
              <w:t>1.A.3.b.ii</w:t>
            </w:r>
          </w:p>
        </w:tc>
        <w:tc>
          <w:tcPr>
            <w:tcW w:w="427" w:type="pct"/>
            <w:shd w:val="clear" w:color="auto" w:fill="auto"/>
            <w:noWrap/>
          </w:tcPr>
          <w:p w14:paraId="1931C500" w14:textId="77777777" w:rsidR="00236B8F" w:rsidRPr="00EA1BB2" w:rsidRDefault="00236B8F" w:rsidP="00236B8F">
            <w:pPr>
              <w:spacing w:line="360" w:lineRule="auto"/>
              <w:jc w:val="center"/>
              <w:rPr>
                <w:rFonts w:ascii="Cambria" w:eastAsia="Times New Roman" w:hAnsi="Cambria" w:cs="Times New Roman"/>
                <w:color w:val="000000"/>
                <w:lang w:eastAsia="ro-RO"/>
              </w:rPr>
            </w:pPr>
          </w:p>
        </w:tc>
        <w:tc>
          <w:tcPr>
            <w:tcW w:w="427" w:type="pct"/>
            <w:noWrap/>
          </w:tcPr>
          <w:p w14:paraId="255F471A"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0,000027</w:t>
            </w:r>
          </w:p>
        </w:tc>
        <w:tc>
          <w:tcPr>
            <w:tcW w:w="568" w:type="pct"/>
            <w:shd w:val="clear" w:color="auto" w:fill="auto"/>
            <w:noWrap/>
          </w:tcPr>
          <w:p w14:paraId="53376977" w14:textId="77777777" w:rsidR="00236B8F" w:rsidRPr="00EA1BB2" w:rsidRDefault="00236B8F" w:rsidP="00236B8F">
            <w:pPr>
              <w:spacing w:line="360" w:lineRule="auto"/>
              <w:jc w:val="center"/>
              <w:rPr>
                <w:rFonts w:ascii="Cambria" w:hAnsi="Cambria"/>
              </w:rPr>
            </w:pPr>
            <w:r w:rsidRPr="00EA1BB2">
              <w:rPr>
                <w:rFonts w:ascii="Cambria" w:hAnsi="Cambria"/>
              </w:rPr>
              <w:t>256,201</w:t>
            </w:r>
          </w:p>
        </w:tc>
        <w:tc>
          <w:tcPr>
            <w:tcW w:w="463" w:type="pct"/>
            <w:shd w:val="clear" w:color="auto" w:fill="auto"/>
            <w:noWrap/>
          </w:tcPr>
          <w:p w14:paraId="0FD5DCD7"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0,000080</w:t>
            </w:r>
          </w:p>
        </w:tc>
        <w:tc>
          <w:tcPr>
            <w:tcW w:w="557" w:type="pct"/>
            <w:shd w:val="clear" w:color="auto" w:fill="auto"/>
            <w:noWrap/>
          </w:tcPr>
          <w:p w14:paraId="1A85D915" w14:textId="77777777" w:rsidR="00236B8F" w:rsidRPr="00EA1BB2" w:rsidRDefault="00236B8F" w:rsidP="00236B8F">
            <w:pPr>
              <w:spacing w:line="360" w:lineRule="auto"/>
              <w:jc w:val="center"/>
              <w:rPr>
                <w:rFonts w:ascii="Cambria" w:hAnsi="Cambria"/>
              </w:rPr>
            </w:pPr>
            <w:r w:rsidRPr="00EA1BB2">
              <w:rPr>
                <w:rFonts w:ascii="Cambria" w:hAnsi="Cambria"/>
              </w:rPr>
              <w:t>10,372</w:t>
            </w:r>
          </w:p>
        </w:tc>
        <w:tc>
          <w:tcPr>
            <w:tcW w:w="463" w:type="pct"/>
            <w:shd w:val="clear" w:color="auto" w:fill="auto"/>
            <w:noWrap/>
          </w:tcPr>
          <w:p w14:paraId="1BE5BE37"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0,001003</w:t>
            </w:r>
          </w:p>
        </w:tc>
        <w:tc>
          <w:tcPr>
            <w:tcW w:w="568" w:type="pct"/>
            <w:shd w:val="clear" w:color="auto" w:fill="auto"/>
            <w:noWrap/>
          </w:tcPr>
          <w:p w14:paraId="57BF17AD"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2,277385</w:t>
            </w:r>
          </w:p>
        </w:tc>
        <w:tc>
          <w:tcPr>
            <w:tcW w:w="572" w:type="pct"/>
            <w:shd w:val="clear" w:color="auto" w:fill="auto"/>
            <w:noWrap/>
          </w:tcPr>
          <w:p w14:paraId="58FC1D90"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1,958442</w:t>
            </w:r>
          </w:p>
        </w:tc>
        <w:tc>
          <w:tcPr>
            <w:tcW w:w="509" w:type="pct"/>
            <w:shd w:val="clear" w:color="auto" w:fill="auto"/>
            <w:noWrap/>
          </w:tcPr>
          <w:p w14:paraId="5B0715B9" w14:textId="77777777" w:rsidR="00236B8F" w:rsidRPr="00EA1BB2" w:rsidRDefault="00236B8F" w:rsidP="00236B8F">
            <w:pPr>
              <w:spacing w:line="360" w:lineRule="auto"/>
              <w:jc w:val="center"/>
              <w:rPr>
                <w:rFonts w:ascii="Cambria" w:hAnsi="Cambria"/>
              </w:rPr>
            </w:pPr>
          </w:p>
        </w:tc>
      </w:tr>
      <w:tr w:rsidR="000262C3" w:rsidRPr="00EA1BB2" w14:paraId="1F6A37DC" w14:textId="77777777" w:rsidTr="00DF6F87">
        <w:trPr>
          <w:trHeight w:val="300"/>
        </w:trPr>
        <w:tc>
          <w:tcPr>
            <w:tcW w:w="445" w:type="pct"/>
            <w:noWrap/>
          </w:tcPr>
          <w:p w14:paraId="5C1628E2" w14:textId="77777777" w:rsidR="00236B8F" w:rsidRPr="00EA1BB2" w:rsidRDefault="00236B8F" w:rsidP="00236B8F">
            <w:pPr>
              <w:spacing w:line="360" w:lineRule="auto"/>
              <w:rPr>
                <w:rFonts w:ascii="Cambria" w:hAnsi="Cambria"/>
              </w:rPr>
            </w:pPr>
            <w:r w:rsidRPr="00EA1BB2">
              <w:rPr>
                <w:rFonts w:ascii="Cambria" w:hAnsi="Cambria"/>
                <w:sz w:val="24"/>
              </w:rPr>
              <w:t>1.A.3.b.iii</w:t>
            </w:r>
          </w:p>
        </w:tc>
        <w:tc>
          <w:tcPr>
            <w:tcW w:w="427" w:type="pct"/>
            <w:shd w:val="clear" w:color="auto" w:fill="auto"/>
            <w:noWrap/>
          </w:tcPr>
          <w:p w14:paraId="592B5A17" w14:textId="77777777" w:rsidR="00236B8F" w:rsidRPr="00EA1BB2" w:rsidRDefault="00236B8F" w:rsidP="00236B8F">
            <w:pPr>
              <w:spacing w:line="360" w:lineRule="auto"/>
              <w:jc w:val="center"/>
              <w:rPr>
                <w:rFonts w:ascii="Cambria" w:eastAsia="Times New Roman" w:hAnsi="Cambria" w:cs="Times New Roman"/>
                <w:color w:val="000000"/>
                <w:lang w:eastAsia="ro-RO"/>
              </w:rPr>
            </w:pPr>
          </w:p>
        </w:tc>
        <w:tc>
          <w:tcPr>
            <w:tcW w:w="427" w:type="pct"/>
            <w:noWrap/>
          </w:tcPr>
          <w:p w14:paraId="6F2C0516"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0,000315</w:t>
            </w:r>
          </w:p>
        </w:tc>
        <w:tc>
          <w:tcPr>
            <w:tcW w:w="568" w:type="pct"/>
            <w:shd w:val="clear" w:color="auto" w:fill="auto"/>
            <w:noWrap/>
          </w:tcPr>
          <w:p w14:paraId="06CC09F1" w14:textId="77777777" w:rsidR="00236B8F" w:rsidRPr="00EA1BB2" w:rsidRDefault="00236B8F" w:rsidP="00236B8F">
            <w:pPr>
              <w:spacing w:line="360" w:lineRule="auto"/>
              <w:jc w:val="center"/>
              <w:rPr>
                <w:rFonts w:ascii="Cambria" w:hAnsi="Cambria"/>
              </w:rPr>
            </w:pPr>
            <w:r w:rsidRPr="00EA1BB2">
              <w:rPr>
                <w:rFonts w:ascii="Cambria" w:hAnsi="Cambria"/>
              </w:rPr>
              <w:t>237,942</w:t>
            </w:r>
          </w:p>
        </w:tc>
        <w:tc>
          <w:tcPr>
            <w:tcW w:w="463" w:type="pct"/>
            <w:shd w:val="clear" w:color="auto" w:fill="auto"/>
            <w:noWrap/>
          </w:tcPr>
          <w:p w14:paraId="5CA61A39"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0,001042</w:t>
            </w:r>
          </w:p>
        </w:tc>
        <w:tc>
          <w:tcPr>
            <w:tcW w:w="557" w:type="pct"/>
            <w:shd w:val="clear" w:color="auto" w:fill="auto"/>
            <w:noWrap/>
          </w:tcPr>
          <w:p w14:paraId="6B48D4F8" w14:textId="77777777" w:rsidR="00236B8F" w:rsidRPr="00EA1BB2" w:rsidRDefault="00236B8F" w:rsidP="00236B8F">
            <w:pPr>
              <w:spacing w:line="360" w:lineRule="auto"/>
              <w:jc w:val="center"/>
              <w:rPr>
                <w:rFonts w:ascii="Cambria" w:hAnsi="Cambria"/>
              </w:rPr>
            </w:pPr>
            <w:r w:rsidRPr="00EA1BB2">
              <w:rPr>
                <w:rFonts w:ascii="Cambria" w:hAnsi="Cambria"/>
              </w:rPr>
              <w:t>269,399</w:t>
            </w:r>
          </w:p>
        </w:tc>
        <w:tc>
          <w:tcPr>
            <w:tcW w:w="463" w:type="pct"/>
            <w:shd w:val="clear" w:color="auto" w:fill="auto"/>
            <w:noWrap/>
          </w:tcPr>
          <w:p w14:paraId="641F2D3F"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0,015230</w:t>
            </w:r>
          </w:p>
        </w:tc>
        <w:tc>
          <w:tcPr>
            <w:tcW w:w="568" w:type="pct"/>
            <w:shd w:val="clear" w:color="auto" w:fill="auto"/>
            <w:noWrap/>
          </w:tcPr>
          <w:p w14:paraId="1B17AD2B"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32,035</w:t>
            </w:r>
          </w:p>
        </w:tc>
        <w:tc>
          <w:tcPr>
            <w:tcW w:w="572" w:type="pct"/>
            <w:shd w:val="clear" w:color="auto" w:fill="auto"/>
            <w:noWrap/>
          </w:tcPr>
          <w:p w14:paraId="765B17F2"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27,801</w:t>
            </w:r>
          </w:p>
        </w:tc>
        <w:tc>
          <w:tcPr>
            <w:tcW w:w="509" w:type="pct"/>
            <w:shd w:val="clear" w:color="auto" w:fill="auto"/>
            <w:noWrap/>
          </w:tcPr>
          <w:p w14:paraId="1FB28A24" w14:textId="77777777" w:rsidR="00236B8F" w:rsidRPr="00EA1BB2" w:rsidRDefault="00236B8F" w:rsidP="00236B8F">
            <w:pPr>
              <w:spacing w:line="360" w:lineRule="auto"/>
              <w:jc w:val="center"/>
              <w:rPr>
                <w:rFonts w:ascii="Cambria" w:hAnsi="Cambria"/>
              </w:rPr>
            </w:pPr>
          </w:p>
        </w:tc>
      </w:tr>
      <w:tr w:rsidR="000262C3" w:rsidRPr="00EA1BB2" w14:paraId="14E50A45" w14:textId="77777777" w:rsidTr="00DF6F87">
        <w:trPr>
          <w:trHeight w:val="300"/>
        </w:trPr>
        <w:tc>
          <w:tcPr>
            <w:tcW w:w="445" w:type="pct"/>
            <w:noWrap/>
          </w:tcPr>
          <w:p w14:paraId="48EDAFEA" w14:textId="77777777" w:rsidR="00236B8F" w:rsidRPr="00EA1BB2" w:rsidRDefault="00236B8F" w:rsidP="00236B8F">
            <w:pPr>
              <w:spacing w:line="360" w:lineRule="auto"/>
              <w:rPr>
                <w:rFonts w:ascii="Cambria" w:hAnsi="Cambria"/>
              </w:rPr>
            </w:pPr>
            <w:r w:rsidRPr="00EA1BB2">
              <w:rPr>
                <w:rFonts w:ascii="Cambria" w:hAnsi="Cambria"/>
                <w:sz w:val="24"/>
              </w:rPr>
              <w:t>1.A.3.b.iv</w:t>
            </w:r>
          </w:p>
        </w:tc>
        <w:tc>
          <w:tcPr>
            <w:tcW w:w="427" w:type="pct"/>
            <w:shd w:val="clear" w:color="auto" w:fill="auto"/>
            <w:noWrap/>
          </w:tcPr>
          <w:p w14:paraId="6182784D" w14:textId="77777777" w:rsidR="00236B8F" w:rsidRPr="00EA1BB2" w:rsidRDefault="00236B8F" w:rsidP="00236B8F">
            <w:pPr>
              <w:spacing w:line="360" w:lineRule="auto"/>
              <w:jc w:val="center"/>
              <w:rPr>
                <w:rFonts w:ascii="Cambria" w:eastAsia="Times New Roman" w:hAnsi="Cambria" w:cs="Times New Roman"/>
                <w:color w:val="000000"/>
                <w:lang w:eastAsia="ro-RO"/>
              </w:rPr>
            </w:pPr>
          </w:p>
        </w:tc>
        <w:tc>
          <w:tcPr>
            <w:tcW w:w="427" w:type="pct"/>
            <w:noWrap/>
          </w:tcPr>
          <w:p w14:paraId="654E0912"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0,000001</w:t>
            </w:r>
          </w:p>
        </w:tc>
        <w:tc>
          <w:tcPr>
            <w:tcW w:w="568" w:type="pct"/>
            <w:shd w:val="clear" w:color="auto" w:fill="auto"/>
            <w:noWrap/>
          </w:tcPr>
          <w:p w14:paraId="7DBEF557" w14:textId="77777777" w:rsidR="00236B8F" w:rsidRPr="00EA1BB2" w:rsidRDefault="00236B8F" w:rsidP="00236B8F">
            <w:pPr>
              <w:spacing w:line="360" w:lineRule="auto"/>
              <w:jc w:val="center"/>
              <w:rPr>
                <w:rFonts w:ascii="Cambria" w:hAnsi="Cambria"/>
              </w:rPr>
            </w:pPr>
            <w:r w:rsidRPr="00EA1BB2">
              <w:rPr>
                <w:rFonts w:ascii="Cambria" w:hAnsi="Cambria"/>
              </w:rPr>
              <w:t>14,214</w:t>
            </w:r>
          </w:p>
        </w:tc>
        <w:tc>
          <w:tcPr>
            <w:tcW w:w="463" w:type="pct"/>
            <w:shd w:val="clear" w:color="auto" w:fill="auto"/>
            <w:noWrap/>
          </w:tcPr>
          <w:p w14:paraId="21D709D6"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0,000002</w:t>
            </w:r>
          </w:p>
        </w:tc>
        <w:tc>
          <w:tcPr>
            <w:tcW w:w="557" w:type="pct"/>
            <w:shd w:val="clear" w:color="auto" w:fill="auto"/>
            <w:noWrap/>
          </w:tcPr>
          <w:p w14:paraId="51A11AB4" w14:textId="77777777" w:rsidR="00236B8F" w:rsidRPr="00EA1BB2" w:rsidRDefault="00236B8F" w:rsidP="00236B8F">
            <w:pPr>
              <w:spacing w:line="360" w:lineRule="auto"/>
              <w:jc w:val="center"/>
              <w:rPr>
                <w:rFonts w:ascii="Cambria" w:hAnsi="Cambria"/>
              </w:rPr>
            </w:pPr>
            <w:r w:rsidRPr="00EA1BB2">
              <w:rPr>
                <w:rFonts w:ascii="Cambria" w:hAnsi="Cambria"/>
              </w:rPr>
              <w:t>0,145951</w:t>
            </w:r>
          </w:p>
        </w:tc>
        <w:tc>
          <w:tcPr>
            <w:tcW w:w="463" w:type="pct"/>
            <w:shd w:val="clear" w:color="auto" w:fill="auto"/>
            <w:noWrap/>
          </w:tcPr>
          <w:p w14:paraId="2C8A3B91"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0,000024</w:t>
            </w:r>
          </w:p>
        </w:tc>
        <w:tc>
          <w:tcPr>
            <w:tcW w:w="568" w:type="pct"/>
            <w:shd w:val="clear" w:color="auto" w:fill="auto"/>
            <w:noWrap/>
          </w:tcPr>
          <w:p w14:paraId="4E1BEACA"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0,098517</w:t>
            </w:r>
          </w:p>
        </w:tc>
        <w:tc>
          <w:tcPr>
            <w:tcW w:w="572" w:type="pct"/>
            <w:shd w:val="clear" w:color="auto" w:fill="auto"/>
            <w:noWrap/>
          </w:tcPr>
          <w:p w14:paraId="200B1B4E"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0,090836</w:t>
            </w:r>
          </w:p>
        </w:tc>
        <w:tc>
          <w:tcPr>
            <w:tcW w:w="509" w:type="pct"/>
            <w:shd w:val="clear" w:color="auto" w:fill="auto"/>
            <w:noWrap/>
          </w:tcPr>
          <w:p w14:paraId="65234398" w14:textId="77777777" w:rsidR="00236B8F" w:rsidRPr="00EA1BB2" w:rsidRDefault="00236B8F" w:rsidP="00236B8F">
            <w:pPr>
              <w:spacing w:line="360" w:lineRule="auto"/>
              <w:jc w:val="center"/>
              <w:rPr>
                <w:rFonts w:ascii="Cambria" w:hAnsi="Cambria"/>
              </w:rPr>
            </w:pPr>
          </w:p>
        </w:tc>
      </w:tr>
      <w:tr w:rsidR="000262C3" w:rsidRPr="00EA1BB2" w14:paraId="4E3CAA7C" w14:textId="77777777" w:rsidTr="00DF6F87">
        <w:trPr>
          <w:trHeight w:val="300"/>
        </w:trPr>
        <w:tc>
          <w:tcPr>
            <w:tcW w:w="445" w:type="pct"/>
            <w:shd w:val="clear" w:color="auto" w:fill="auto"/>
            <w:noWrap/>
            <w:hideMark/>
          </w:tcPr>
          <w:p w14:paraId="31C7A9B2" w14:textId="77777777" w:rsidR="00236B8F" w:rsidRPr="00EA1BB2" w:rsidRDefault="00236B8F" w:rsidP="00236B8F">
            <w:pPr>
              <w:spacing w:line="360" w:lineRule="auto"/>
              <w:rPr>
                <w:rFonts w:ascii="Cambria" w:eastAsia="Times New Roman" w:hAnsi="Cambria" w:cs="Times New Roman"/>
                <w:lang w:eastAsia="ro-RO"/>
              </w:rPr>
            </w:pPr>
            <w:r w:rsidRPr="00EA1BB2">
              <w:rPr>
                <w:rFonts w:ascii="Cambria" w:hAnsi="Cambria"/>
              </w:rPr>
              <w:t>1.A.4.a.i</w:t>
            </w:r>
          </w:p>
        </w:tc>
        <w:tc>
          <w:tcPr>
            <w:tcW w:w="427" w:type="pct"/>
            <w:shd w:val="clear" w:color="auto" w:fill="auto"/>
            <w:noWrap/>
          </w:tcPr>
          <w:p w14:paraId="53C5E715"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0,000179</w:t>
            </w:r>
          </w:p>
        </w:tc>
        <w:tc>
          <w:tcPr>
            <w:tcW w:w="427" w:type="pct"/>
            <w:shd w:val="clear" w:color="auto" w:fill="auto"/>
            <w:noWrap/>
          </w:tcPr>
          <w:p w14:paraId="6A3EED2A"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0,000293</w:t>
            </w:r>
          </w:p>
        </w:tc>
        <w:tc>
          <w:tcPr>
            <w:tcW w:w="568" w:type="pct"/>
            <w:shd w:val="clear" w:color="auto" w:fill="auto"/>
            <w:noWrap/>
          </w:tcPr>
          <w:p w14:paraId="0B1D4A9D" w14:textId="77777777" w:rsidR="00236B8F" w:rsidRPr="00EA1BB2" w:rsidRDefault="00236B8F" w:rsidP="00236B8F">
            <w:pPr>
              <w:spacing w:line="360" w:lineRule="auto"/>
              <w:ind w:right="-160"/>
              <w:jc w:val="center"/>
              <w:rPr>
                <w:rFonts w:ascii="Cambria" w:eastAsia="Times New Roman" w:hAnsi="Cambria" w:cs="Times New Roman"/>
                <w:color w:val="000000"/>
                <w:lang w:eastAsia="ro-RO"/>
              </w:rPr>
            </w:pPr>
            <w:r w:rsidRPr="00EA1BB2">
              <w:rPr>
                <w:rFonts w:ascii="Cambria" w:hAnsi="Cambria"/>
              </w:rPr>
              <w:t>212,185</w:t>
            </w:r>
          </w:p>
        </w:tc>
        <w:tc>
          <w:tcPr>
            <w:tcW w:w="463" w:type="pct"/>
            <w:shd w:val="clear" w:color="auto" w:fill="auto"/>
            <w:noWrap/>
          </w:tcPr>
          <w:p w14:paraId="7DC42127"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0,031275</w:t>
            </w:r>
          </w:p>
        </w:tc>
        <w:tc>
          <w:tcPr>
            <w:tcW w:w="557" w:type="pct"/>
            <w:shd w:val="clear" w:color="auto" w:fill="auto"/>
            <w:noWrap/>
          </w:tcPr>
          <w:p w14:paraId="6838D73E"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26,578</w:t>
            </w:r>
          </w:p>
        </w:tc>
        <w:tc>
          <w:tcPr>
            <w:tcW w:w="463" w:type="pct"/>
            <w:shd w:val="clear" w:color="auto" w:fill="auto"/>
            <w:noWrap/>
          </w:tcPr>
          <w:p w14:paraId="67A64BF3"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0,002222</w:t>
            </w:r>
          </w:p>
        </w:tc>
        <w:tc>
          <w:tcPr>
            <w:tcW w:w="568" w:type="pct"/>
            <w:shd w:val="clear" w:color="auto" w:fill="auto"/>
            <w:noWrap/>
          </w:tcPr>
          <w:p w14:paraId="71BC8EBA"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6,724694</w:t>
            </w:r>
          </w:p>
        </w:tc>
        <w:tc>
          <w:tcPr>
            <w:tcW w:w="572" w:type="pct"/>
            <w:shd w:val="clear" w:color="auto" w:fill="auto"/>
            <w:noWrap/>
          </w:tcPr>
          <w:p w14:paraId="69BC7386"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6,386294</w:t>
            </w:r>
          </w:p>
        </w:tc>
        <w:tc>
          <w:tcPr>
            <w:tcW w:w="509" w:type="pct"/>
            <w:shd w:val="clear" w:color="auto" w:fill="auto"/>
            <w:noWrap/>
          </w:tcPr>
          <w:p w14:paraId="7DA8C28E" w14:textId="77777777" w:rsidR="00236B8F" w:rsidRPr="00EA1BB2" w:rsidRDefault="00236B8F" w:rsidP="00236B8F">
            <w:pPr>
              <w:spacing w:line="360" w:lineRule="auto"/>
              <w:ind w:right="-144"/>
              <w:jc w:val="center"/>
              <w:rPr>
                <w:rFonts w:ascii="Cambria" w:eastAsia="Times New Roman" w:hAnsi="Cambria" w:cs="Times New Roman"/>
                <w:color w:val="000000"/>
                <w:lang w:eastAsia="ro-RO"/>
              </w:rPr>
            </w:pPr>
            <w:r w:rsidRPr="00EA1BB2">
              <w:rPr>
                <w:rFonts w:ascii="Cambria" w:hAnsi="Cambria"/>
              </w:rPr>
              <w:t>11,041190</w:t>
            </w:r>
          </w:p>
        </w:tc>
      </w:tr>
      <w:tr w:rsidR="000262C3" w:rsidRPr="00EA1BB2" w14:paraId="3CD7C427" w14:textId="77777777" w:rsidTr="00DF6F87">
        <w:trPr>
          <w:trHeight w:val="300"/>
        </w:trPr>
        <w:tc>
          <w:tcPr>
            <w:tcW w:w="445" w:type="pct"/>
            <w:shd w:val="clear" w:color="auto" w:fill="auto"/>
            <w:noWrap/>
            <w:hideMark/>
          </w:tcPr>
          <w:p w14:paraId="08653C47" w14:textId="77777777" w:rsidR="00236B8F" w:rsidRPr="00EA1BB2" w:rsidRDefault="00236B8F" w:rsidP="00236B8F">
            <w:pPr>
              <w:spacing w:line="360" w:lineRule="auto"/>
              <w:rPr>
                <w:rFonts w:ascii="Cambria" w:eastAsia="Times New Roman" w:hAnsi="Cambria" w:cs="Times New Roman"/>
                <w:lang w:eastAsia="ro-RO"/>
              </w:rPr>
            </w:pPr>
            <w:r w:rsidRPr="00EA1BB2">
              <w:rPr>
                <w:rFonts w:ascii="Cambria" w:hAnsi="Cambria"/>
              </w:rPr>
              <w:t>1.A.4.a.ii</w:t>
            </w:r>
          </w:p>
        </w:tc>
        <w:tc>
          <w:tcPr>
            <w:tcW w:w="427" w:type="pct"/>
            <w:shd w:val="clear" w:color="auto" w:fill="auto"/>
            <w:noWrap/>
          </w:tcPr>
          <w:p w14:paraId="2EC6327B"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2,30E-08</w:t>
            </w:r>
          </w:p>
        </w:tc>
        <w:tc>
          <w:tcPr>
            <w:tcW w:w="427" w:type="pct"/>
            <w:shd w:val="clear" w:color="auto" w:fill="auto"/>
            <w:noWrap/>
          </w:tcPr>
          <w:p w14:paraId="048B657D"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1,26E-07</w:t>
            </w:r>
          </w:p>
        </w:tc>
        <w:tc>
          <w:tcPr>
            <w:tcW w:w="568" w:type="pct"/>
            <w:shd w:val="clear" w:color="auto" w:fill="auto"/>
            <w:noWrap/>
          </w:tcPr>
          <w:p w14:paraId="72C126DA"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0,004865</w:t>
            </w:r>
          </w:p>
        </w:tc>
        <w:tc>
          <w:tcPr>
            <w:tcW w:w="463" w:type="pct"/>
            <w:shd w:val="clear" w:color="auto" w:fill="auto"/>
            <w:noWrap/>
          </w:tcPr>
          <w:p w14:paraId="76FC6D1B"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0,000000</w:t>
            </w:r>
          </w:p>
        </w:tc>
        <w:tc>
          <w:tcPr>
            <w:tcW w:w="557" w:type="pct"/>
            <w:shd w:val="clear" w:color="auto" w:fill="auto"/>
            <w:noWrap/>
          </w:tcPr>
          <w:p w14:paraId="4CF2A503" w14:textId="77777777" w:rsidR="00236B8F" w:rsidRPr="00EA1BB2" w:rsidRDefault="00236B8F" w:rsidP="00236B8F">
            <w:pPr>
              <w:spacing w:line="360" w:lineRule="auto"/>
              <w:jc w:val="center"/>
              <w:rPr>
                <w:rFonts w:ascii="Cambria" w:eastAsia="Times New Roman" w:hAnsi="Cambria" w:cs="Times New Roman"/>
                <w:color w:val="000000"/>
                <w:lang w:eastAsia="ro-RO"/>
              </w:rPr>
            </w:pPr>
          </w:p>
        </w:tc>
        <w:tc>
          <w:tcPr>
            <w:tcW w:w="463" w:type="pct"/>
            <w:shd w:val="clear" w:color="auto" w:fill="auto"/>
            <w:noWrap/>
          </w:tcPr>
          <w:p w14:paraId="13B135D7"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2,38E-07</w:t>
            </w:r>
          </w:p>
        </w:tc>
        <w:tc>
          <w:tcPr>
            <w:tcW w:w="568" w:type="pct"/>
            <w:shd w:val="clear" w:color="auto" w:fill="auto"/>
            <w:noWrap/>
          </w:tcPr>
          <w:p w14:paraId="106B331A"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0,000122</w:t>
            </w:r>
          </w:p>
        </w:tc>
        <w:tc>
          <w:tcPr>
            <w:tcW w:w="572" w:type="pct"/>
            <w:shd w:val="clear" w:color="auto" w:fill="auto"/>
            <w:noWrap/>
          </w:tcPr>
          <w:p w14:paraId="7B94368C"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0,000122</w:t>
            </w:r>
          </w:p>
        </w:tc>
        <w:tc>
          <w:tcPr>
            <w:tcW w:w="509" w:type="pct"/>
            <w:shd w:val="clear" w:color="auto" w:fill="auto"/>
            <w:noWrap/>
          </w:tcPr>
          <w:p w14:paraId="7FFD8B59"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0,000122</w:t>
            </w:r>
          </w:p>
        </w:tc>
      </w:tr>
      <w:tr w:rsidR="000262C3" w:rsidRPr="00EA1BB2" w14:paraId="65416F3A" w14:textId="77777777" w:rsidTr="00DF6F87">
        <w:trPr>
          <w:trHeight w:val="300"/>
        </w:trPr>
        <w:tc>
          <w:tcPr>
            <w:tcW w:w="445" w:type="pct"/>
            <w:shd w:val="clear" w:color="auto" w:fill="auto"/>
            <w:noWrap/>
            <w:hideMark/>
          </w:tcPr>
          <w:p w14:paraId="3C8CD885" w14:textId="77777777" w:rsidR="00236B8F" w:rsidRPr="00EA1BB2" w:rsidRDefault="00236B8F" w:rsidP="00236B8F">
            <w:pPr>
              <w:spacing w:line="360" w:lineRule="auto"/>
              <w:rPr>
                <w:rFonts w:ascii="Cambria" w:eastAsia="Times New Roman" w:hAnsi="Cambria" w:cs="Times New Roman"/>
                <w:lang w:eastAsia="ro-RO"/>
              </w:rPr>
            </w:pPr>
            <w:r w:rsidRPr="00EA1BB2">
              <w:rPr>
                <w:rFonts w:ascii="Cambria" w:hAnsi="Cambria"/>
              </w:rPr>
              <w:t>1.A.4.b.i</w:t>
            </w:r>
          </w:p>
        </w:tc>
        <w:tc>
          <w:tcPr>
            <w:tcW w:w="427" w:type="pct"/>
            <w:shd w:val="clear" w:color="auto" w:fill="auto"/>
            <w:noWrap/>
          </w:tcPr>
          <w:p w14:paraId="025B43AE"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0,000200</w:t>
            </w:r>
          </w:p>
        </w:tc>
        <w:tc>
          <w:tcPr>
            <w:tcW w:w="427" w:type="pct"/>
            <w:shd w:val="clear" w:color="auto" w:fill="auto"/>
            <w:noWrap/>
          </w:tcPr>
          <w:p w14:paraId="02402A21" w14:textId="77777777" w:rsidR="00236B8F" w:rsidRPr="00EA1BB2" w:rsidRDefault="00236B8F" w:rsidP="00236B8F">
            <w:pPr>
              <w:spacing w:line="360" w:lineRule="auto"/>
              <w:jc w:val="center"/>
              <w:rPr>
                <w:rFonts w:ascii="Cambria" w:eastAsia="Times New Roman" w:hAnsi="Cambria" w:cs="Times New Roman"/>
                <w:lang w:eastAsia="ro-RO"/>
              </w:rPr>
            </w:pPr>
            <w:r w:rsidRPr="00EA1BB2">
              <w:rPr>
                <w:rFonts w:ascii="Cambria" w:hAnsi="Cambria"/>
              </w:rPr>
              <w:t>0,000363</w:t>
            </w:r>
          </w:p>
        </w:tc>
        <w:tc>
          <w:tcPr>
            <w:tcW w:w="568" w:type="pct"/>
            <w:shd w:val="clear" w:color="auto" w:fill="auto"/>
            <w:noWrap/>
          </w:tcPr>
          <w:p w14:paraId="729CE524" w14:textId="77777777" w:rsidR="00236B8F" w:rsidRPr="00EA1BB2" w:rsidRDefault="00236B8F" w:rsidP="00236B8F">
            <w:pPr>
              <w:spacing w:line="360" w:lineRule="auto"/>
              <w:ind w:left="-53" w:right="-160"/>
              <w:jc w:val="center"/>
              <w:rPr>
                <w:rFonts w:ascii="Cambria" w:eastAsia="Times New Roman" w:hAnsi="Cambria" w:cs="Times New Roman"/>
                <w:lang w:eastAsia="ro-RO"/>
              </w:rPr>
            </w:pPr>
            <w:r w:rsidRPr="00EA1BB2">
              <w:rPr>
                <w:rFonts w:ascii="Cambria" w:hAnsi="Cambria"/>
              </w:rPr>
              <w:t>1359,363</w:t>
            </w:r>
          </w:p>
        </w:tc>
        <w:tc>
          <w:tcPr>
            <w:tcW w:w="463" w:type="pct"/>
            <w:shd w:val="clear" w:color="auto" w:fill="auto"/>
            <w:noWrap/>
          </w:tcPr>
          <w:p w14:paraId="080F8CEA" w14:textId="77777777" w:rsidR="00236B8F" w:rsidRPr="00EA1BB2" w:rsidRDefault="00236B8F" w:rsidP="00236B8F">
            <w:pPr>
              <w:spacing w:line="360" w:lineRule="auto"/>
              <w:jc w:val="center"/>
              <w:rPr>
                <w:rFonts w:ascii="Cambria" w:eastAsia="Times New Roman" w:hAnsi="Cambria" w:cs="Times New Roman"/>
                <w:lang w:eastAsia="ro-RO"/>
              </w:rPr>
            </w:pPr>
            <w:r w:rsidRPr="00EA1BB2">
              <w:rPr>
                <w:rFonts w:ascii="Cambria" w:hAnsi="Cambria"/>
              </w:rPr>
              <w:t>0,000982</w:t>
            </w:r>
          </w:p>
        </w:tc>
        <w:tc>
          <w:tcPr>
            <w:tcW w:w="557" w:type="pct"/>
            <w:shd w:val="clear" w:color="auto" w:fill="auto"/>
            <w:noWrap/>
          </w:tcPr>
          <w:p w14:paraId="579D9C23" w14:textId="77777777" w:rsidR="00236B8F" w:rsidRPr="00EA1BB2" w:rsidRDefault="00236B8F" w:rsidP="00236B8F">
            <w:pPr>
              <w:spacing w:line="360" w:lineRule="auto"/>
              <w:jc w:val="center"/>
              <w:rPr>
                <w:rFonts w:ascii="Cambria" w:eastAsia="Times New Roman" w:hAnsi="Cambria" w:cs="Times New Roman"/>
                <w:lang w:eastAsia="ro-RO"/>
              </w:rPr>
            </w:pPr>
            <w:r w:rsidRPr="00EA1BB2">
              <w:rPr>
                <w:rFonts w:ascii="Cambria" w:hAnsi="Cambria"/>
              </w:rPr>
              <w:t>18,115</w:t>
            </w:r>
          </w:p>
        </w:tc>
        <w:tc>
          <w:tcPr>
            <w:tcW w:w="463" w:type="pct"/>
            <w:shd w:val="clear" w:color="auto" w:fill="auto"/>
            <w:noWrap/>
          </w:tcPr>
          <w:p w14:paraId="547BCE38" w14:textId="77777777" w:rsidR="00236B8F" w:rsidRPr="00EA1BB2" w:rsidRDefault="00236B8F" w:rsidP="00236B8F">
            <w:pPr>
              <w:spacing w:line="360" w:lineRule="auto"/>
              <w:jc w:val="center"/>
              <w:rPr>
                <w:rFonts w:ascii="Cambria" w:eastAsia="Times New Roman" w:hAnsi="Cambria" w:cs="Times New Roman"/>
                <w:lang w:eastAsia="ro-RO"/>
              </w:rPr>
            </w:pPr>
            <w:r w:rsidRPr="00EA1BB2">
              <w:rPr>
                <w:rFonts w:ascii="Cambria" w:hAnsi="Cambria"/>
              </w:rPr>
              <w:t>0,009773</w:t>
            </w:r>
          </w:p>
        </w:tc>
        <w:tc>
          <w:tcPr>
            <w:tcW w:w="568" w:type="pct"/>
            <w:shd w:val="clear" w:color="auto" w:fill="auto"/>
            <w:noWrap/>
          </w:tcPr>
          <w:p w14:paraId="2CA31C94"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180,106</w:t>
            </w:r>
          </w:p>
        </w:tc>
        <w:tc>
          <w:tcPr>
            <w:tcW w:w="572" w:type="pct"/>
            <w:shd w:val="clear" w:color="auto" w:fill="auto"/>
            <w:noWrap/>
          </w:tcPr>
          <w:p w14:paraId="088C1244"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180,105</w:t>
            </w:r>
          </w:p>
        </w:tc>
        <w:tc>
          <w:tcPr>
            <w:tcW w:w="509" w:type="pct"/>
            <w:shd w:val="clear" w:color="auto" w:fill="auto"/>
            <w:noWrap/>
          </w:tcPr>
          <w:p w14:paraId="00A56C89"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3,416069</w:t>
            </w:r>
          </w:p>
        </w:tc>
      </w:tr>
      <w:tr w:rsidR="000262C3" w:rsidRPr="00EA1BB2" w14:paraId="0019D5B7" w14:textId="77777777" w:rsidTr="00DF6F87">
        <w:trPr>
          <w:trHeight w:val="300"/>
        </w:trPr>
        <w:tc>
          <w:tcPr>
            <w:tcW w:w="445" w:type="pct"/>
            <w:shd w:val="clear" w:color="auto" w:fill="auto"/>
            <w:noWrap/>
            <w:hideMark/>
          </w:tcPr>
          <w:p w14:paraId="1A54EB66" w14:textId="77777777" w:rsidR="00236B8F" w:rsidRPr="00EA1BB2" w:rsidRDefault="00236B8F" w:rsidP="00236B8F">
            <w:pPr>
              <w:spacing w:line="360" w:lineRule="auto"/>
              <w:rPr>
                <w:rFonts w:ascii="Cambria" w:eastAsia="Times New Roman" w:hAnsi="Cambria" w:cs="Times New Roman"/>
                <w:lang w:eastAsia="ro-RO"/>
              </w:rPr>
            </w:pPr>
            <w:r w:rsidRPr="00EA1BB2">
              <w:rPr>
                <w:rFonts w:ascii="Cambria" w:hAnsi="Cambria"/>
              </w:rPr>
              <w:t>1.A.4.c.i</w:t>
            </w:r>
          </w:p>
        </w:tc>
        <w:tc>
          <w:tcPr>
            <w:tcW w:w="427" w:type="pct"/>
            <w:shd w:val="clear" w:color="auto" w:fill="auto"/>
            <w:noWrap/>
          </w:tcPr>
          <w:p w14:paraId="46D77980"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0,000001</w:t>
            </w:r>
          </w:p>
        </w:tc>
        <w:tc>
          <w:tcPr>
            <w:tcW w:w="427" w:type="pct"/>
            <w:shd w:val="clear" w:color="auto" w:fill="auto"/>
            <w:noWrap/>
          </w:tcPr>
          <w:p w14:paraId="535D0E59"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0,000005</w:t>
            </w:r>
          </w:p>
        </w:tc>
        <w:tc>
          <w:tcPr>
            <w:tcW w:w="568" w:type="pct"/>
            <w:shd w:val="clear" w:color="auto" w:fill="auto"/>
            <w:noWrap/>
          </w:tcPr>
          <w:p w14:paraId="33FC46EC"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0,233408</w:t>
            </w:r>
          </w:p>
        </w:tc>
        <w:tc>
          <w:tcPr>
            <w:tcW w:w="463" w:type="pct"/>
            <w:shd w:val="clear" w:color="auto" w:fill="auto"/>
            <w:noWrap/>
          </w:tcPr>
          <w:p w14:paraId="7039965C"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0,000010</w:t>
            </w:r>
          </w:p>
        </w:tc>
        <w:tc>
          <w:tcPr>
            <w:tcW w:w="557" w:type="pct"/>
            <w:shd w:val="clear" w:color="auto" w:fill="auto"/>
            <w:noWrap/>
          </w:tcPr>
          <w:p w14:paraId="6C4A4453"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0,685090</w:t>
            </w:r>
          </w:p>
        </w:tc>
        <w:tc>
          <w:tcPr>
            <w:tcW w:w="463" w:type="pct"/>
            <w:shd w:val="clear" w:color="auto" w:fill="auto"/>
            <w:noWrap/>
          </w:tcPr>
          <w:p w14:paraId="782C1C8F"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0,000010</w:t>
            </w:r>
          </w:p>
        </w:tc>
        <w:tc>
          <w:tcPr>
            <w:tcW w:w="568" w:type="pct"/>
            <w:shd w:val="clear" w:color="auto" w:fill="auto"/>
            <w:noWrap/>
          </w:tcPr>
          <w:p w14:paraId="4F509641"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0,142528</w:t>
            </w:r>
          </w:p>
        </w:tc>
        <w:tc>
          <w:tcPr>
            <w:tcW w:w="572" w:type="pct"/>
            <w:shd w:val="clear" w:color="auto" w:fill="auto"/>
            <w:noWrap/>
          </w:tcPr>
          <w:p w14:paraId="61A122A3"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0,142528</w:t>
            </w:r>
          </w:p>
        </w:tc>
        <w:tc>
          <w:tcPr>
            <w:tcW w:w="509" w:type="pct"/>
            <w:shd w:val="clear" w:color="auto" w:fill="auto"/>
            <w:noWrap/>
          </w:tcPr>
          <w:p w14:paraId="7DBABE0C"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0,671335</w:t>
            </w:r>
          </w:p>
        </w:tc>
      </w:tr>
      <w:tr w:rsidR="000262C3" w:rsidRPr="00EA1BB2" w14:paraId="4A2FFA38" w14:textId="77777777" w:rsidTr="00DF6F87">
        <w:trPr>
          <w:trHeight w:val="300"/>
        </w:trPr>
        <w:tc>
          <w:tcPr>
            <w:tcW w:w="445" w:type="pct"/>
            <w:shd w:val="clear" w:color="auto" w:fill="auto"/>
            <w:noWrap/>
          </w:tcPr>
          <w:p w14:paraId="7A286AA0" w14:textId="77777777" w:rsidR="00236B8F" w:rsidRPr="00EA1BB2" w:rsidRDefault="00236B8F" w:rsidP="00236B8F">
            <w:pPr>
              <w:spacing w:line="360" w:lineRule="auto"/>
              <w:rPr>
                <w:rFonts w:ascii="Cambria" w:hAnsi="Cambria"/>
              </w:rPr>
            </w:pPr>
            <w:r w:rsidRPr="00EA1BB2">
              <w:rPr>
                <w:rFonts w:ascii="Cambria" w:hAnsi="Cambria"/>
              </w:rPr>
              <w:t>2.A.6</w:t>
            </w:r>
          </w:p>
        </w:tc>
        <w:tc>
          <w:tcPr>
            <w:tcW w:w="427" w:type="pct"/>
            <w:shd w:val="clear" w:color="auto" w:fill="auto"/>
            <w:noWrap/>
          </w:tcPr>
          <w:p w14:paraId="7B8F6F37" w14:textId="77777777" w:rsidR="00236B8F" w:rsidRPr="00EA1BB2" w:rsidRDefault="00236B8F" w:rsidP="00236B8F">
            <w:pPr>
              <w:spacing w:line="360" w:lineRule="auto"/>
              <w:jc w:val="center"/>
              <w:rPr>
                <w:rFonts w:ascii="Cambria" w:eastAsia="Times New Roman" w:hAnsi="Cambria" w:cs="Times New Roman"/>
                <w:color w:val="000000"/>
                <w:lang w:eastAsia="ro-RO"/>
              </w:rPr>
            </w:pPr>
          </w:p>
        </w:tc>
        <w:tc>
          <w:tcPr>
            <w:tcW w:w="427" w:type="pct"/>
            <w:shd w:val="clear" w:color="auto" w:fill="auto"/>
            <w:noWrap/>
          </w:tcPr>
          <w:p w14:paraId="48AA789B" w14:textId="77777777" w:rsidR="00236B8F" w:rsidRPr="00EA1BB2" w:rsidRDefault="00236B8F" w:rsidP="00236B8F">
            <w:pPr>
              <w:spacing w:line="360" w:lineRule="auto"/>
              <w:jc w:val="center"/>
              <w:rPr>
                <w:rFonts w:ascii="Cambria" w:eastAsia="Times New Roman" w:hAnsi="Cambria" w:cs="Times New Roman"/>
                <w:color w:val="000000"/>
                <w:lang w:eastAsia="ro-RO"/>
              </w:rPr>
            </w:pPr>
          </w:p>
        </w:tc>
        <w:tc>
          <w:tcPr>
            <w:tcW w:w="568" w:type="pct"/>
            <w:shd w:val="clear" w:color="auto" w:fill="auto"/>
            <w:noWrap/>
          </w:tcPr>
          <w:p w14:paraId="4EE1B43D" w14:textId="77777777" w:rsidR="00236B8F" w:rsidRPr="00EA1BB2" w:rsidRDefault="00236B8F" w:rsidP="00236B8F">
            <w:pPr>
              <w:spacing w:line="360" w:lineRule="auto"/>
              <w:jc w:val="center"/>
              <w:rPr>
                <w:rFonts w:ascii="Cambria" w:eastAsia="Times New Roman" w:hAnsi="Cambria" w:cs="Times New Roman"/>
                <w:color w:val="000000"/>
                <w:lang w:eastAsia="ro-RO"/>
              </w:rPr>
            </w:pPr>
          </w:p>
        </w:tc>
        <w:tc>
          <w:tcPr>
            <w:tcW w:w="463" w:type="pct"/>
            <w:shd w:val="clear" w:color="auto" w:fill="auto"/>
            <w:noWrap/>
          </w:tcPr>
          <w:p w14:paraId="43CC7182" w14:textId="77777777" w:rsidR="00236B8F" w:rsidRPr="00EA1BB2" w:rsidRDefault="00236B8F" w:rsidP="00236B8F">
            <w:pPr>
              <w:spacing w:line="360" w:lineRule="auto"/>
              <w:jc w:val="center"/>
              <w:rPr>
                <w:rFonts w:ascii="Cambria" w:eastAsia="Times New Roman" w:hAnsi="Cambria" w:cs="Times New Roman"/>
                <w:color w:val="000000"/>
                <w:lang w:eastAsia="ro-RO"/>
              </w:rPr>
            </w:pPr>
          </w:p>
        </w:tc>
        <w:tc>
          <w:tcPr>
            <w:tcW w:w="557" w:type="pct"/>
            <w:shd w:val="clear" w:color="auto" w:fill="auto"/>
            <w:noWrap/>
          </w:tcPr>
          <w:p w14:paraId="152B70E8" w14:textId="77777777" w:rsidR="00236B8F" w:rsidRPr="00EA1BB2" w:rsidRDefault="00236B8F" w:rsidP="00236B8F">
            <w:pPr>
              <w:spacing w:line="360" w:lineRule="auto"/>
              <w:jc w:val="center"/>
              <w:rPr>
                <w:rFonts w:ascii="Cambria" w:eastAsia="Times New Roman" w:hAnsi="Cambria" w:cs="Times New Roman"/>
                <w:color w:val="000000"/>
                <w:lang w:eastAsia="ro-RO"/>
              </w:rPr>
            </w:pPr>
          </w:p>
        </w:tc>
        <w:tc>
          <w:tcPr>
            <w:tcW w:w="463" w:type="pct"/>
            <w:shd w:val="clear" w:color="auto" w:fill="auto"/>
            <w:noWrap/>
          </w:tcPr>
          <w:p w14:paraId="3E971E3E" w14:textId="77777777" w:rsidR="00236B8F" w:rsidRPr="00EA1BB2" w:rsidRDefault="00236B8F" w:rsidP="00236B8F">
            <w:pPr>
              <w:spacing w:line="360" w:lineRule="auto"/>
              <w:jc w:val="center"/>
              <w:rPr>
                <w:rFonts w:ascii="Cambria" w:eastAsia="Times New Roman" w:hAnsi="Cambria" w:cs="Times New Roman"/>
                <w:color w:val="000000"/>
                <w:lang w:eastAsia="ro-RO"/>
              </w:rPr>
            </w:pPr>
          </w:p>
        </w:tc>
        <w:tc>
          <w:tcPr>
            <w:tcW w:w="568" w:type="pct"/>
            <w:shd w:val="clear" w:color="auto" w:fill="auto"/>
            <w:noWrap/>
          </w:tcPr>
          <w:p w14:paraId="466FFF93" w14:textId="77777777" w:rsidR="00236B8F" w:rsidRPr="00EA1BB2" w:rsidRDefault="00236B8F" w:rsidP="00236B8F">
            <w:pPr>
              <w:spacing w:line="360" w:lineRule="auto"/>
              <w:jc w:val="center"/>
              <w:rPr>
                <w:rFonts w:ascii="Cambria" w:hAnsi="Cambria"/>
              </w:rPr>
            </w:pPr>
            <w:r w:rsidRPr="00EA1BB2">
              <w:rPr>
                <w:rFonts w:ascii="Cambria" w:hAnsi="Cambria"/>
              </w:rPr>
              <w:t>491,652</w:t>
            </w:r>
          </w:p>
        </w:tc>
        <w:tc>
          <w:tcPr>
            <w:tcW w:w="572" w:type="pct"/>
            <w:shd w:val="clear" w:color="auto" w:fill="auto"/>
            <w:noWrap/>
          </w:tcPr>
          <w:p w14:paraId="51AC7614" w14:textId="77777777" w:rsidR="00236B8F" w:rsidRPr="00EA1BB2" w:rsidRDefault="00236B8F" w:rsidP="00236B8F">
            <w:pPr>
              <w:spacing w:line="360" w:lineRule="auto"/>
              <w:jc w:val="center"/>
              <w:rPr>
                <w:rFonts w:ascii="Cambria" w:hAnsi="Cambria"/>
              </w:rPr>
            </w:pPr>
            <w:r w:rsidRPr="00EA1BB2">
              <w:rPr>
                <w:rFonts w:ascii="Cambria" w:hAnsi="Cambria"/>
              </w:rPr>
              <w:t>114,719</w:t>
            </w:r>
          </w:p>
        </w:tc>
        <w:tc>
          <w:tcPr>
            <w:tcW w:w="509" w:type="pct"/>
            <w:shd w:val="clear" w:color="auto" w:fill="auto"/>
            <w:noWrap/>
          </w:tcPr>
          <w:p w14:paraId="603AC8A3" w14:textId="77777777" w:rsidR="00236B8F" w:rsidRPr="00EA1BB2" w:rsidRDefault="00236B8F" w:rsidP="00236B8F">
            <w:pPr>
              <w:spacing w:line="360" w:lineRule="auto"/>
              <w:jc w:val="center"/>
              <w:rPr>
                <w:rFonts w:ascii="Cambria" w:eastAsia="Times New Roman" w:hAnsi="Cambria" w:cs="Times New Roman"/>
                <w:color w:val="000000"/>
                <w:lang w:eastAsia="ro-RO"/>
              </w:rPr>
            </w:pPr>
          </w:p>
        </w:tc>
      </w:tr>
      <w:tr w:rsidR="000262C3" w:rsidRPr="00EA1BB2" w14:paraId="2E28CD63" w14:textId="77777777" w:rsidTr="00DF6F87">
        <w:trPr>
          <w:trHeight w:val="300"/>
        </w:trPr>
        <w:tc>
          <w:tcPr>
            <w:tcW w:w="445" w:type="pct"/>
            <w:shd w:val="clear" w:color="auto" w:fill="auto"/>
            <w:noWrap/>
          </w:tcPr>
          <w:p w14:paraId="2D9F0A7D" w14:textId="77777777" w:rsidR="00236B8F" w:rsidRPr="00EA1BB2" w:rsidRDefault="00236B8F" w:rsidP="00236B8F">
            <w:pPr>
              <w:spacing w:line="360" w:lineRule="auto"/>
              <w:rPr>
                <w:rFonts w:ascii="Cambria" w:hAnsi="Cambria"/>
              </w:rPr>
            </w:pPr>
            <w:r w:rsidRPr="00EA1BB2">
              <w:rPr>
                <w:rFonts w:ascii="Cambria" w:hAnsi="Cambria"/>
              </w:rPr>
              <w:t>2.A.7.b</w:t>
            </w:r>
          </w:p>
        </w:tc>
        <w:tc>
          <w:tcPr>
            <w:tcW w:w="427" w:type="pct"/>
            <w:shd w:val="clear" w:color="auto" w:fill="auto"/>
            <w:noWrap/>
          </w:tcPr>
          <w:p w14:paraId="49623693" w14:textId="77777777" w:rsidR="00236B8F" w:rsidRPr="00EA1BB2" w:rsidRDefault="00236B8F" w:rsidP="00236B8F">
            <w:pPr>
              <w:spacing w:line="360" w:lineRule="auto"/>
              <w:jc w:val="center"/>
              <w:rPr>
                <w:rFonts w:ascii="Cambria" w:eastAsia="Times New Roman" w:hAnsi="Cambria" w:cs="Times New Roman"/>
                <w:color w:val="000000"/>
                <w:lang w:eastAsia="ro-RO"/>
              </w:rPr>
            </w:pPr>
          </w:p>
        </w:tc>
        <w:tc>
          <w:tcPr>
            <w:tcW w:w="427" w:type="pct"/>
            <w:shd w:val="clear" w:color="auto" w:fill="auto"/>
            <w:noWrap/>
          </w:tcPr>
          <w:p w14:paraId="57D48516" w14:textId="77777777" w:rsidR="00236B8F" w:rsidRPr="00EA1BB2" w:rsidRDefault="00236B8F" w:rsidP="00236B8F">
            <w:pPr>
              <w:spacing w:line="360" w:lineRule="auto"/>
              <w:jc w:val="center"/>
              <w:rPr>
                <w:rFonts w:ascii="Cambria" w:eastAsia="Times New Roman" w:hAnsi="Cambria" w:cs="Times New Roman"/>
                <w:color w:val="000000"/>
                <w:lang w:eastAsia="ro-RO"/>
              </w:rPr>
            </w:pPr>
          </w:p>
        </w:tc>
        <w:tc>
          <w:tcPr>
            <w:tcW w:w="568" w:type="pct"/>
            <w:shd w:val="clear" w:color="auto" w:fill="auto"/>
            <w:noWrap/>
          </w:tcPr>
          <w:p w14:paraId="0F02751C" w14:textId="77777777" w:rsidR="00236B8F" w:rsidRPr="00EA1BB2" w:rsidRDefault="00236B8F" w:rsidP="00236B8F">
            <w:pPr>
              <w:spacing w:line="360" w:lineRule="auto"/>
              <w:jc w:val="center"/>
              <w:rPr>
                <w:rFonts w:ascii="Cambria" w:eastAsia="Times New Roman" w:hAnsi="Cambria" w:cs="Times New Roman"/>
                <w:color w:val="000000"/>
                <w:lang w:eastAsia="ro-RO"/>
              </w:rPr>
            </w:pPr>
          </w:p>
        </w:tc>
        <w:tc>
          <w:tcPr>
            <w:tcW w:w="463" w:type="pct"/>
            <w:shd w:val="clear" w:color="auto" w:fill="auto"/>
            <w:noWrap/>
          </w:tcPr>
          <w:p w14:paraId="6C537E06" w14:textId="77777777" w:rsidR="00236B8F" w:rsidRPr="00EA1BB2" w:rsidRDefault="00236B8F" w:rsidP="00236B8F">
            <w:pPr>
              <w:spacing w:line="360" w:lineRule="auto"/>
              <w:jc w:val="center"/>
              <w:rPr>
                <w:rFonts w:ascii="Cambria" w:eastAsia="Times New Roman" w:hAnsi="Cambria" w:cs="Times New Roman"/>
                <w:color w:val="000000"/>
                <w:lang w:eastAsia="ro-RO"/>
              </w:rPr>
            </w:pPr>
          </w:p>
        </w:tc>
        <w:tc>
          <w:tcPr>
            <w:tcW w:w="557" w:type="pct"/>
            <w:shd w:val="clear" w:color="auto" w:fill="auto"/>
            <w:noWrap/>
          </w:tcPr>
          <w:p w14:paraId="5A1697A0" w14:textId="77777777" w:rsidR="00236B8F" w:rsidRPr="00EA1BB2" w:rsidRDefault="00236B8F" w:rsidP="00236B8F">
            <w:pPr>
              <w:spacing w:line="360" w:lineRule="auto"/>
              <w:jc w:val="center"/>
              <w:rPr>
                <w:rFonts w:ascii="Cambria" w:eastAsia="Times New Roman" w:hAnsi="Cambria" w:cs="Times New Roman"/>
                <w:color w:val="000000"/>
                <w:lang w:eastAsia="ro-RO"/>
              </w:rPr>
            </w:pPr>
          </w:p>
        </w:tc>
        <w:tc>
          <w:tcPr>
            <w:tcW w:w="463" w:type="pct"/>
            <w:shd w:val="clear" w:color="auto" w:fill="auto"/>
            <w:noWrap/>
          </w:tcPr>
          <w:p w14:paraId="2FC3C13F" w14:textId="77777777" w:rsidR="00236B8F" w:rsidRPr="00EA1BB2" w:rsidRDefault="00236B8F" w:rsidP="00236B8F">
            <w:pPr>
              <w:spacing w:line="360" w:lineRule="auto"/>
              <w:jc w:val="center"/>
              <w:rPr>
                <w:rFonts w:ascii="Cambria" w:eastAsia="Times New Roman" w:hAnsi="Cambria" w:cs="Times New Roman"/>
                <w:color w:val="000000"/>
                <w:lang w:eastAsia="ro-RO"/>
              </w:rPr>
            </w:pPr>
          </w:p>
        </w:tc>
        <w:tc>
          <w:tcPr>
            <w:tcW w:w="568" w:type="pct"/>
            <w:shd w:val="clear" w:color="auto" w:fill="auto"/>
            <w:noWrap/>
          </w:tcPr>
          <w:p w14:paraId="03D96BDA" w14:textId="77777777" w:rsidR="00236B8F" w:rsidRPr="00EA1BB2" w:rsidRDefault="00236B8F" w:rsidP="00236B8F">
            <w:pPr>
              <w:spacing w:line="360" w:lineRule="auto"/>
              <w:jc w:val="center"/>
              <w:rPr>
                <w:rFonts w:ascii="Cambria" w:hAnsi="Cambria"/>
              </w:rPr>
            </w:pPr>
            <w:r w:rsidRPr="00EA1BB2">
              <w:rPr>
                <w:rFonts w:ascii="Cambria" w:hAnsi="Cambria"/>
              </w:rPr>
              <w:t>0,261139</w:t>
            </w:r>
          </w:p>
        </w:tc>
        <w:tc>
          <w:tcPr>
            <w:tcW w:w="572" w:type="pct"/>
            <w:shd w:val="clear" w:color="auto" w:fill="auto"/>
            <w:noWrap/>
          </w:tcPr>
          <w:p w14:paraId="470B3521" w14:textId="77777777" w:rsidR="00236B8F" w:rsidRPr="00EA1BB2" w:rsidRDefault="00236B8F" w:rsidP="00236B8F">
            <w:pPr>
              <w:spacing w:line="360" w:lineRule="auto"/>
              <w:jc w:val="center"/>
              <w:rPr>
                <w:rFonts w:ascii="Cambria" w:hAnsi="Cambria"/>
              </w:rPr>
            </w:pPr>
            <w:r w:rsidRPr="00EA1BB2">
              <w:rPr>
                <w:rFonts w:ascii="Cambria" w:hAnsi="Cambria"/>
              </w:rPr>
              <w:t>0,026114</w:t>
            </w:r>
          </w:p>
        </w:tc>
        <w:tc>
          <w:tcPr>
            <w:tcW w:w="509" w:type="pct"/>
            <w:shd w:val="clear" w:color="auto" w:fill="auto"/>
            <w:noWrap/>
          </w:tcPr>
          <w:p w14:paraId="14020FE7" w14:textId="77777777" w:rsidR="00236B8F" w:rsidRPr="00EA1BB2" w:rsidRDefault="00236B8F" w:rsidP="00236B8F">
            <w:pPr>
              <w:spacing w:line="360" w:lineRule="auto"/>
              <w:jc w:val="center"/>
              <w:rPr>
                <w:rFonts w:ascii="Cambria" w:eastAsia="Times New Roman" w:hAnsi="Cambria" w:cs="Times New Roman"/>
                <w:color w:val="000000"/>
                <w:lang w:eastAsia="ro-RO"/>
              </w:rPr>
            </w:pPr>
          </w:p>
        </w:tc>
      </w:tr>
      <w:tr w:rsidR="000262C3" w:rsidRPr="00EA1BB2" w14:paraId="121F68F9" w14:textId="77777777" w:rsidTr="00DF6F87">
        <w:trPr>
          <w:trHeight w:val="300"/>
        </w:trPr>
        <w:tc>
          <w:tcPr>
            <w:tcW w:w="445" w:type="pct"/>
            <w:shd w:val="clear" w:color="auto" w:fill="auto"/>
            <w:noWrap/>
          </w:tcPr>
          <w:p w14:paraId="6E5C18D7" w14:textId="77777777" w:rsidR="00236B8F" w:rsidRPr="00EA1BB2" w:rsidRDefault="00236B8F" w:rsidP="00236B8F">
            <w:pPr>
              <w:spacing w:line="360" w:lineRule="auto"/>
              <w:rPr>
                <w:rFonts w:ascii="Cambria" w:hAnsi="Cambria"/>
              </w:rPr>
            </w:pPr>
            <w:r w:rsidRPr="00EA1BB2">
              <w:rPr>
                <w:rFonts w:ascii="Cambria" w:hAnsi="Cambria"/>
              </w:rPr>
              <w:t>2.C.1</w:t>
            </w:r>
          </w:p>
        </w:tc>
        <w:tc>
          <w:tcPr>
            <w:tcW w:w="427" w:type="pct"/>
            <w:shd w:val="clear" w:color="auto" w:fill="auto"/>
            <w:noWrap/>
          </w:tcPr>
          <w:p w14:paraId="5E31F40D"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0,000169</w:t>
            </w:r>
          </w:p>
        </w:tc>
        <w:tc>
          <w:tcPr>
            <w:tcW w:w="427" w:type="pct"/>
            <w:shd w:val="clear" w:color="auto" w:fill="auto"/>
            <w:noWrap/>
          </w:tcPr>
          <w:p w14:paraId="3D6C91FB"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0,000239</w:t>
            </w:r>
          </w:p>
        </w:tc>
        <w:tc>
          <w:tcPr>
            <w:tcW w:w="568" w:type="pct"/>
            <w:shd w:val="clear" w:color="auto" w:fill="auto"/>
            <w:noWrap/>
          </w:tcPr>
          <w:p w14:paraId="09291C4F"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2,616555</w:t>
            </w:r>
          </w:p>
        </w:tc>
        <w:tc>
          <w:tcPr>
            <w:tcW w:w="463" w:type="pct"/>
            <w:shd w:val="clear" w:color="auto" w:fill="auto"/>
            <w:noWrap/>
          </w:tcPr>
          <w:p w14:paraId="092FB92D"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0,001490</w:t>
            </w:r>
          </w:p>
        </w:tc>
        <w:tc>
          <w:tcPr>
            <w:tcW w:w="557" w:type="pct"/>
            <w:shd w:val="clear" w:color="auto" w:fill="auto"/>
            <w:noWrap/>
          </w:tcPr>
          <w:p w14:paraId="06DFA8DA" w14:textId="77777777" w:rsidR="00236B8F" w:rsidRPr="00EA1BB2" w:rsidRDefault="00236B8F" w:rsidP="00236B8F">
            <w:pPr>
              <w:spacing w:line="360" w:lineRule="auto"/>
              <w:jc w:val="center"/>
              <w:rPr>
                <w:rFonts w:ascii="Cambria" w:eastAsia="Times New Roman" w:hAnsi="Cambria" w:cs="Times New Roman"/>
                <w:color w:val="000000"/>
                <w:lang w:eastAsia="ro-RO"/>
              </w:rPr>
            </w:pPr>
          </w:p>
        </w:tc>
        <w:tc>
          <w:tcPr>
            <w:tcW w:w="463" w:type="pct"/>
            <w:shd w:val="clear" w:color="auto" w:fill="auto"/>
            <w:noWrap/>
          </w:tcPr>
          <w:p w14:paraId="4D5D5AD5"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0,033460</w:t>
            </w:r>
          </w:p>
        </w:tc>
        <w:tc>
          <w:tcPr>
            <w:tcW w:w="568" w:type="pct"/>
            <w:shd w:val="clear" w:color="auto" w:fill="auto"/>
            <w:noWrap/>
          </w:tcPr>
          <w:p w14:paraId="11727A98" w14:textId="77777777" w:rsidR="00236B8F" w:rsidRPr="00EA1BB2" w:rsidRDefault="00236B8F" w:rsidP="00236B8F">
            <w:pPr>
              <w:spacing w:line="360" w:lineRule="auto"/>
              <w:jc w:val="center"/>
              <w:rPr>
                <w:rFonts w:ascii="Cambria" w:hAnsi="Cambria"/>
              </w:rPr>
            </w:pPr>
            <w:r w:rsidRPr="00EA1BB2">
              <w:rPr>
                <w:rFonts w:ascii="Cambria" w:hAnsi="Cambria"/>
              </w:rPr>
              <w:t>0,293465</w:t>
            </w:r>
          </w:p>
        </w:tc>
        <w:tc>
          <w:tcPr>
            <w:tcW w:w="572" w:type="pct"/>
            <w:shd w:val="clear" w:color="auto" w:fill="auto"/>
            <w:noWrap/>
          </w:tcPr>
          <w:p w14:paraId="6FD5CB31" w14:textId="77777777" w:rsidR="00236B8F" w:rsidRPr="00EA1BB2" w:rsidRDefault="00236B8F" w:rsidP="00236B8F">
            <w:pPr>
              <w:spacing w:line="360" w:lineRule="auto"/>
              <w:jc w:val="center"/>
              <w:rPr>
                <w:rFonts w:ascii="Cambria" w:hAnsi="Cambria"/>
              </w:rPr>
            </w:pPr>
            <w:r w:rsidRPr="00EA1BB2">
              <w:rPr>
                <w:rFonts w:ascii="Cambria" w:hAnsi="Cambria"/>
              </w:rPr>
              <w:t>0,237542</w:t>
            </w:r>
          </w:p>
        </w:tc>
        <w:tc>
          <w:tcPr>
            <w:tcW w:w="509" w:type="pct"/>
            <w:shd w:val="clear" w:color="auto" w:fill="auto"/>
            <w:noWrap/>
          </w:tcPr>
          <w:p w14:paraId="77E11CEB" w14:textId="77777777" w:rsidR="00236B8F" w:rsidRPr="00EA1BB2" w:rsidRDefault="00236B8F" w:rsidP="00236B8F">
            <w:pPr>
              <w:spacing w:line="360" w:lineRule="auto"/>
              <w:jc w:val="center"/>
              <w:rPr>
                <w:rFonts w:ascii="Cambria" w:eastAsia="Times New Roman" w:hAnsi="Cambria" w:cs="Times New Roman"/>
                <w:color w:val="000000"/>
                <w:lang w:eastAsia="ro-RO"/>
              </w:rPr>
            </w:pPr>
            <w:r w:rsidRPr="00EA1BB2">
              <w:rPr>
                <w:rFonts w:ascii="Cambria" w:hAnsi="Cambria"/>
              </w:rPr>
              <w:t>0,092349</w:t>
            </w:r>
          </w:p>
        </w:tc>
      </w:tr>
      <w:tr w:rsidR="000262C3" w:rsidRPr="00EA1BB2" w14:paraId="4695D53E" w14:textId="77777777" w:rsidTr="00DF6F87">
        <w:trPr>
          <w:trHeight w:val="300"/>
        </w:trPr>
        <w:tc>
          <w:tcPr>
            <w:tcW w:w="445" w:type="pct"/>
            <w:shd w:val="clear" w:color="auto" w:fill="auto"/>
            <w:noWrap/>
          </w:tcPr>
          <w:p w14:paraId="5A0AC6D6" w14:textId="77777777" w:rsidR="00236B8F" w:rsidRPr="00EA1BB2" w:rsidRDefault="00236B8F" w:rsidP="00236B8F">
            <w:pPr>
              <w:spacing w:line="360" w:lineRule="auto"/>
              <w:rPr>
                <w:rFonts w:ascii="Cambria" w:hAnsi="Cambria"/>
              </w:rPr>
            </w:pPr>
            <w:r w:rsidRPr="00EA1BB2">
              <w:rPr>
                <w:rFonts w:ascii="Cambria" w:hAnsi="Cambria"/>
              </w:rPr>
              <w:t>4.B.8</w:t>
            </w:r>
          </w:p>
        </w:tc>
        <w:tc>
          <w:tcPr>
            <w:tcW w:w="427" w:type="pct"/>
            <w:shd w:val="clear" w:color="auto" w:fill="auto"/>
            <w:noWrap/>
          </w:tcPr>
          <w:p w14:paraId="6A7AEA4A" w14:textId="77777777" w:rsidR="00236B8F" w:rsidRPr="00EA1BB2" w:rsidRDefault="00236B8F" w:rsidP="00236B8F">
            <w:pPr>
              <w:spacing w:line="360" w:lineRule="auto"/>
              <w:jc w:val="center"/>
              <w:rPr>
                <w:rFonts w:ascii="Cambria" w:hAnsi="Cambria"/>
              </w:rPr>
            </w:pPr>
          </w:p>
        </w:tc>
        <w:tc>
          <w:tcPr>
            <w:tcW w:w="427" w:type="pct"/>
            <w:shd w:val="clear" w:color="auto" w:fill="auto"/>
            <w:noWrap/>
          </w:tcPr>
          <w:p w14:paraId="087AFDF7" w14:textId="77777777" w:rsidR="00236B8F" w:rsidRPr="00EA1BB2" w:rsidRDefault="00236B8F" w:rsidP="00236B8F">
            <w:pPr>
              <w:spacing w:line="360" w:lineRule="auto"/>
              <w:jc w:val="center"/>
              <w:rPr>
                <w:rFonts w:ascii="Cambria" w:hAnsi="Cambria"/>
              </w:rPr>
            </w:pPr>
          </w:p>
        </w:tc>
        <w:tc>
          <w:tcPr>
            <w:tcW w:w="568" w:type="pct"/>
            <w:shd w:val="clear" w:color="auto" w:fill="auto"/>
            <w:noWrap/>
          </w:tcPr>
          <w:p w14:paraId="716DA17A" w14:textId="77777777" w:rsidR="00236B8F" w:rsidRPr="00EA1BB2" w:rsidRDefault="00236B8F" w:rsidP="00236B8F">
            <w:pPr>
              <w:spacing w:line="360" w:lineRule="auto"/>
              <w:jc w:val="center"/>
              <w:rPr>
                <w:rFonts w:ascii="Cambria" w:hAnsi="Cambria"/>
              </w:rPr>
            </w:pPr>
          </w:p>
        </w:tc>
        <w:tc>
          <w:tcPr>
            <w:tcW w:w="463" w:type="pct"/>
            <w:shd w:val="clear" w:color="auto" w:fill="auto"/>
            <w:noWrap/>
          </w:tcPr>
          <w:p w14:paraId="15D8C0BB" w14:textId="77777777" w:rsidR="00236B8F" w:rsidRPr="00EA1BB2" w:rsidRDefault="00236B8F" w:rsidP="00236B8F">
            <w:pPr>
              <w:spacing w:line="360" w:lineRule="auto"/>
              <w:jc w:val="center"/>
              <w:rPr>
                <w:rFonts w:ascii="Cambria" w:hAnsi="Cambria"/>
              </w:rPr>
            </w:pPr>
          </w:p>
        </w:tc>
        <w:tc>
          <w:tcPr>
            <w:tcW w:w="557" w:type="pct"/>
            <w:shd w:val="clear" w:color="auto" w:fill="auto"/>
            <w:noWrap/>
          </w:tcPr>
          <w:p w14:paraId="37667FB4" w14:textId="77777777" w:rsidR="00236B8F" w:rsidRPr="00EA1BB2" w:rsidRDefault="00236B8F" w:rsidP="00236B8F">
            <w:pPr>
              <w:spacing w:line="360" w:lineRule="auto"/>
              <w:jc w:val="center"/>
              <w:rPr>
                <w:rFonts w:ascii="Cambria" w:eastAsia="Times New Roman" w:hAnsi="Cambria" w:cs="Times New Roman"/>
                <w:color w:val="000000"/>
                <w:lang w:eastAsia="ro-RO"/>
              </w:rPr>
            </w:pPr>
          </w:p>
        </w:tc>
        <w:tc>
          <w:tcPr>
            <w:tcW w:w="463" w:type="pct"/>
            <w:shd w:val="clear" w:color="auto" w:fill="auto"/>
            <w:noWrap/>
          </w:tcPr>
          <w:p w14:paraId="723DF7F3" w14:textId="77777777" w:rsidR="00236B8F" w:rsidRPr="00EA1BB2" w:rsidRDefault="00236B8F" w:rsidP="00236B8F">
            <w:pPr>
              <w:spacing w:line="360" w:lineRule="auto"/>
              <w:jc w:val="center"/>
              <w:rPr>
                <w:rFonts w:ascii="Cambria" w:hAnsi="Cambria"/>
              </w:rPr>
            </w:pPr>
          </w:p>
        </w:tc>
        <w:tc>
          <w:tcPr>
            <w:tcW w:w="568" w:type="pct"/>
            <w:shd w:val="clear" w:color="auto" w:fill="auto"/>
            <w:noWrap/>
          </w:tcPr>
          <w:p w14:paraId="4E5E2421" w14:textId="77777777" w:rsidR="00236B8F" w:rsidRPr="00EA1BB2" w:rsidRDefault="00236B8F" w:rsidP="00236B8F">
            <w:pPr>
              <w:spacing w:line="360" w:lineRule="auto"/>
              <w:jc w:val="center"/>
              <w:rPr>
                <w:rFonts w:ascii="Cambria" w:hAnsi="Cambria"/>
              </w:rPr>
            </w:pPr>
            <w:r w:rsidRPr="00EA1BB2">
              <w:rPr>
                <w:rFonts w:ascii="Cambria" w:hAnsi="Cambria"/>
              </w:rPr>
              <w:t>72,759</w:t>
            </w:r>
          </w:p>
        </w:tc>
        <w:tc>
          <w:tcPr>
            <w:tcW w:w="572" w:type="pct"/>
            <w:shd w:val="clear" w:color="auto" w:fill="auto"/>
            <w:noWrap/>
          </w:tcPr>
          <w:p w14:paraId="0C9CF3C3" w14:textId="77777777" w:rsidR="00236B8F" w:rsidRPr="00EA1BB2" w:rsidRDefault="00236B8F" w:rsidP="00236B8F">
            <w:pPr>
              <w:spacing w:line="360" w:lineRule="auto"/>
              <w:jc w:val="center"/>
              <w:rPr>
                <w:rFonts w:ascii="Cambria" w:hAnsi="Cambria"/>
              </w:rPr>
            </w:pPr>
            <w:r w:rsidRPr="00EA1BB2">
              <w:rPr>
                <w:rFonts w:ascii="Cambria" w:hAnsi="Cambria"/>
              </w:rPr>
              <w:t>11,539</w:t>
            </w:r>
          </w:p>
        </w:tc>
        <w:tc>
          <w:tcPr>
            <w:tcW w:w="509" w:type="pct"/>
            <w:shd w:val="clear" w:color="auto" w:fill="auto"/>
            <w:noWrap/>
          </w:tcPr>
          <w:p w14:paraId="7C403749" w14:textId="77777777" w:rsidR="00236B8F" w:rsidRPr="00EA1BB2" w:rsidRDefault="00236B8F" w:rsidP="00236B8F">
            <w:pPr>
              <w:spacing w:line="360" w:lineRule="auto"/>
              <w:jc w:val="center"/>
              <w:rPr>
                <w:rFonts w:ascii="Cambria" w:hAnsi="Cambria"/>
              </w:rPr>
            </w:pPr>
          </w:p>
        </w:tc>
      </w:tr>
      <w:tr w:rsidR="000262C3" w:rsidRPr="00EA1BB2" w14:paraId="4C7E964F" w14:textId="77777777" w:rsidTr="00DF6F87">
        <w:trPr>
          <w:trHeight w:val="300"/>
        </w:trPr>
        <w:tc>
          <w:tcPr>
            <w:tcW w:w="445" w:type="pct"/>
            <w:shd w:val="clear" w:color="auto" w:fill="auto"/>
            <w:noWrap/>
          </w:tcPr>
          <w:p w14:paraId="7D2290C0" w14:textId="77777777" w:rsidR="00236B8F" w:rsidRPr="00EA1BB2" w:rsidRDefault="00236B8F" w:rsidP="00236B8F">
            <w:pPr>
              <w:spacing w:line="360" w:lineRule="auto"/>
              <w:rPr>
                <w:rFonts w:ascii="Cambria" w:hAnsi="Cambria"/>
              </w:rPr>
            </w:pPr>
            <w:r w:rsidRPr="00EA1BB2">
              <w:rPr>
                <w:rFonts w:ascii="Cambria" w:hAnsi="Cambria"/>
              </w:rPr>
              <w:t>4.D.2.a</w:t>
            </w:r>
          </w:p>
        </w:tc>
        <w:tc>
          <w:tcPr>
            <w:tcW w:w="427" w:type="pct"/>
            <w:shd w:val="clear" w:color="auto" w:fill="auto"/>
            <w:noWrap/>
          </w:tcPr>
          <w:p w14:paraId="3217FECD" w14:textId="77777777" w:rsidR="00236B8F" w:rsidRPr="00EA1BB2" w:rsidRDefault="00236B8F" w:rsidP="00236B8F">
            <w:pPr>
              <w:spacing w:line="360" w:lineRule="auto"/>
              <w:jc w:val="center"/>
              <w:rPr>
                <w:rFonts w:ascii="Cambria" w:hAnsi="Cambria"/>
              </w:rPr>
            </w:pPr>
          </w:p>
        </w:tc>
        <w:tc>
          <w:tcPr>
            <w:tcW w:w="427" w:type="pct"/>
            <w:shd w:val="clear" w:color="auto" w:fill="auto"/>
            <w:noWrap/>
          </w:tcPr>
          <w:p w14:paraId="5D96CB6C" w14:textId="77777777" w:rsidR="00236B8F" w:rsidRPr="00EA1BB2" w:rsidRDefault="00236B8F" w:rsidP="00236B8F">
            <w:pPr>
              <w:spacing w:line="360" w:lineRule="auto"/>
              <w:jc w:val="center"/>
              <w:rPr>
                <w:rFonts w:ascii="Cambria" w:hAnsi="Cambria"/>
              </w:rPr>
            </w:pPr>
          </w:p>
        </w:tc>
        <w:tc>
          <w:tcPr>
            <w:tcW w:w="568" w:type="pct"/>
            <w:shd w:val="clear" w:color="auto" w:fill="auto"/>
            <w:noWrap/>
          </w:tcPr>
          <w:p w14:paraId="7D06DCFA" w14:textId="77777777" w:rsidR="00236B8F" w:rsidRPr="00EA1BB2" w:rsidRDefault="00236B8F" w:rsidP="00236B8F">
            <w:pPr>
              <w:spacing w:line="360" w:lineRule="auto"/>
              <w:jc w:val="center"/>
              <w:rPr>
                <w:rFonts w:ascii="Cambria" w:hAnsi="Cambria"/>
              </w:rPr>
            </w:pPr>
          </w:p>
        </w:tc>
        <w:tc>
          <w:tcPr>
            <w:tcW w:w="463" w:type="pct"/>
            <w:shd w:val="clear" w:color="auto" w:fill="auto"/>
            <w:noWrap/>
          </w:tcPr>
          <w:p w14:paraId="0B584E7F" w14:textId="77777777" w:rsidR="00236B8F" w:rsidRPr="00EA1BB2" w:rsidRDefault="00236B8F" w:rsidP="00236B8F">
            <w:pPr>
              <w:spacing w:line="360" w:lineRule="auto"/>
              <w:jc w:val="center"/>
              <w:rPr>
                <w:rFonts w:ascii="Cambria" w:hAnsi="Cambria"/>
              </w:rPr>
            </w:pPr>
          </w:p>
        </w:tc>
        <w:tc>
          <w:tcPr>
            <w:tcW w:w="557" w:type="pct"/>
            <w:shd w:val="clear" w:color="auto" w:fill="auto"/>
            <w:noWrap/>
          </w:tcPr>
          <w:p w14:paraId="55C8125C" w14:textId="77777777" w:rsidR="00236B8F" w:rsidRPr="00EA1BB2" w:rsidRDefault="00236B8F" w:rsidP="00236B8F">
            <w:pPr>
              <w:spacing w:line="360" w:lineRule="auto"/>
              <w:jc w:val="center"/>
              <w:rPr>
                <w:rFonts w:ascii="Cambria" w:eastAsia="Times New Roman" w:hAnsi="Cambria" w:cs="Times New Roman"/>
                <w:color w:val="000000"/>
                <w:lang w:eastAsia="ro-RO"/>
              </w:rPr>
            </w:pPr>
          </w:p>
        </w:tc>
        <w:tc>
          <w:tcPr>
            <w:tcW w:w="463" w:type="pct"/>
            <w:shd w:val="clear" w:color="auto" w:fill="auto"/>
            <w:noWrap/>
          </w:tcPr>
          <w:p w14:paraId="77754469" w14:textId="77777777" w:rsidR="00236B8F" w:rsidRPr="00EA1BB2" w:rsidRDefault="00236B8F" w:rsidP="00236B8F">
            <w:pPr>
              <w:spacing w:line="360" w:lineRule="auto"/>
              <w:jc w:val="center"/>
              <w:rPr>
                <w:rFonts w:ascii="Cambria" w:hAnsi="Cambria"/>
              </w:rPr>
            </w:pPr>
          </w:p>
        </w:tc>
        <w:tc>
          <w:tcPr>
            <w:tcW w:w="568" w:type="pct"/>
            <w:shd w:val="clear" w:color="auto" w:fill="auto"/>
            <w:noWrap/>
          </w:tcPr>
          <w:p w14:paraId="68CE6D0C" w14:textId="77777777" w:rsidR="00236B8F" w:rsidRPr="00EA1BB2" w:rsidRDefault="00236B8F" w:rsidP="00236B8F">
            <w:pPr>
              <w:spacing w:line="360" w:lineRule="auto"/>
              <w:jc w:val="center"/>
              <w:rPr>
                <w:rFonts w:ascii="Cambria" w:hAnsi="Cambria"/>
              </w:rPr>
            </w:pPr>
            <w:r w:rsidRPr="00EA1BB2">
              <w:rPr>
                <w:rFonts w:ascii="Cambria" w:hAnsi="Cambria"/>
              </w:rPr>
              <w:t>0,201240</w:t>
            </w:r>
          </w:p>
        </w:tc>
        <w:tc>
          <w:tcPr>
            <w:tcW w:w="572" w:type="pct"/>
            <w:shd w:val="clear" w:color="auto" w:fill="auto"/>
            <w:noWrap/>
          </w:tcPr>
          <w:p w14:paraId="523A5DC5" w14:textId="77777777" w:rsidR="00236B8F" w:rsidRPr="00EA1BB2" w:rsidRDefault="00236B8F" w:rsidP="00236B8F">
            <w:pPr>
              <w:spacing w:line="360" w:lineRule="auto"/>
              <w:jc w:val="center"/>
              <w:rPr>
                <w:rFonts w:ascii="Cambria" w:hAnsi="Cambria"/>
              </w:rPr>
            </w:pPr>
            <w:r w:rsidRPr="00EA1BB2">
              <w:rPr>
                <w:rFonts w:ascii="Cambria" w:hAnsi="Cambria"/>
              </w:rPr>
              <w:t>0,007740</w:t>
            </w:r>
          </w:p>
        </w:tc>
        <w:tc>
          <w:tcPr>
            <w:tcW w:w="509" w:type="pct"/>
            <w:shd w:val="clear" w:color="auto" w:fill="auto"/>
            <w:noWrap/>
          </w:tcPr>
          <w:p w14:paraId="242C2470" w14:textId="77777777" w:rsidR="00236B8F" w:rsidRPr="00EA1BB2" w:rsidRDefault="00236B8F" w:rsidP="00236B8F">
            <w:pPr>
              <w:spacing w:line="360" w:lineRule="auto"/>
              <w:jc w:val="center"/>
              <w:rPr>
                <w:rFonts w:ascii="Cambria" w:hAnsi="Cambria"/>
              </w:rPr>
            </w:pPr>
          </w:p>
        </w:tc>
      </w:tr>
      <w:tr w:rsidR="000262C3" w:rsidRPr="00EA1BB2" w14:paraId="48438ACE" w14:textId="77777777" w:rsidTr="00DF6F87">
        <w:trPr>
          <w:trHeight w:val="300"/>
        </w:trPr>
        <w:tc>
          <w:tcPr>
            <w:tcW w:w="445" w:type="pct"/>
            <w:shd w:val="clear" w:color="auto" w:fill="auto"/>
            <w:noWrap/>
          </w:tcPr>
          <w:p w14:paraId="2F592254" w14:textId="77777777" w:rsidR="00236B8F" w:rsidRPr="00EA1BB2" w:rsidRDefault="00236B8F" w:rsidP="00236B8F">
            <w:pPr>
              <w:spacing w:line="360" w:lineRule="auto"/>
              <w:rPr>
                <w:rFonts w:ascii="Cambria" w:hAnsi="Cambria"/>
              </w:rPr>
            </w:pPr>
            <w:r w:rsidRPr="00EA1BB2">
              <w:rPr>
                <w:rFonts w:ascii="Cambria" w:hAnsi="Cambria"/>
              </w:rPr>
              <w:t>6.C.d</w:t>
            </w:r>
          </w:p>
        </w:tc>
        <w:tc>
          <w:tcPr>
            <w:tcW w:w="427" w:type="pct"/>
            <w:shd w:val="clear" w:color="auto" w:fill="auto"/>
            <w:noWrap/>
          </w:tcPr>
          <w:p w14:paraId="0986AAE3" w14:textId="77777777" w:rsidR="00236B8F" w:rsidRPr="00EA1BB2" w:rsidRDefault="00236B8F" w:rsidP="00236B8F">
            <w:pPr>
              <w:spacing w:line="360" w:lineRule="auto"/>
              <w:jc w:val="center"/>
              <w:rPr>
                <w:rFonts w:ascii="Cambria" w:eastAsia="Times New Roman" w:hAnsi="Cambria" w:cs="Times New Roman"/>
                <w:color w:val="000000"/>
                <w:lang w:eastAsia="ro-RO"/>
              </w:rPr>
            </w:pPr>
          </w:p>
        </w:tc>
        <w:tc>
          <w:tcPr>
            <w:tcW w:w="427" w:type="pct"/>
            <w:shd w:val="clear" w:color="auto" w:fill="auto"/>
            <w:noWrap/>
          </w:tcPr>
          <w:p w14:paraId="0E568D0D" w14:textId="77777777" w:rsidR="00236B8F" w:rsidRPr="00EA1BB2" w:rsidRDefault="00236B8F" w:rsidP="00236B8F">
            <w:pPr>
              <w:spacing w:line="360" w:lineRule="auto"/>
              <w:jc w:val="center"/>
              <w:rPr>
                <w:rFonts w:ascii="Cambria" w:eastAsia="Times New Roman" w:hAnsi="Cambria" w:cs="Times New Roman"/>
                <w:color w:val="000000"/>
                <w:lang w:eastAsia="ro-RO"/>
              </w:rPr>
            </w:pPr>
          </w:p>
        </w:tc>
        <w:tc>
          <w:tcPr>
            <w:tcW w:w="568" w:type="pct"/>
            <w:shd w:val="clear" w:color="auto" w:fill="auto"/>
            <w:noWrap/>
          </w:tcPr>
          <w:p w14:paraId="296DE33F" w14:textId="77777777" w:rsidR="00236B8F" w:rsidRPr="00EA1BB2" w:rsidRDefault="00236B8F" w:rsidP="00236B8F">
            <w:pPr>
              <w:spacing w:line="360" w:lineRule="auto"/>
              <w:jc w:val="center"/>
              <w:rPr>
                <w:rFonts w:ascii="Cambria" w:eastAsia="Times New Roman" w:hAnsi="Cambria" w:cs="Times New Roman"/>
                <w:color w:val="000000"/>
                <w:lang w:eastAsia="ro-RO"/>
              </w:rPr>
            </w:pPr>
          </w:p>
        </w:tc>
        <w:tc>
          <w:tcPr>
            <w:tcW w:w="463" w:type="pct"/>
            <w:shd w:val="clear" w:color="auto" w:fill="auto"/>
            <w:noWrap/>
          </w:tcPr>
          <w:p w14:paraId="77B3B236" w14:textId="77777777" w:rsidR="00236B8F" w:rsidRPr="00EA1BB2" w:rsidRDefault="00236B8F" w:rsidP="00236B8F">
            <w:pPr>
              <w:spacing w:line="360" w:lineRule="auto"/>
              <w:jc w:val="center"/>
              <w:rPr>
                <w:rFonts w:ascii="Cambria" w:eastAsia="Times New Roman" w:hAnsi="Cambria" w:cs="Times New Roman"/>
                <w:color w:val="000000"/>
                <w:lang w:eastAsia="ro-RO"/>
              </w:rPr>
            </w:pPr>
          </w:p>
        </w:tc>
        <w:tc>
          <w:tcPr>
            <w:tcW w:w="557" w:type="pct"/>
            <w:shd w:val="clear" w:color="auto" w:fill="auto"/>
            <w:noWrap/>
          </w:tcPr>
          <w:p w14:paraId="43C8C903" w14:textId="77777777" w:rsidR="00236B8F" w:rsidRPr="00EA1BB2" w:rsidRDefault="00236B8F" w:rsidP="00236B8F">
            <w:pPr>
              <w:spacing w:line="360" w:lineRule="auto"/>
              <w:jc w:val="center"/>
              <w:rPr>
                <w:rFonts w:ascii="Cambria" w:eastAsia="Times New Roman" w:hAnsi="Cambria" w:cs="Times New Roman"/>
                <w:color w:val="000000"/>
                <w:lang w:eastAsia="ro-RO"/>
              </w:rPr>
            </w:pPr>
          </w:p>
        </w:tc>
        <w:tc>
          <w:tcPr>
            <w:tcW w:w="463" w:type="pct"/>
            <w:shd w:val="clear" w:color="auto" w:fill="auto"/>
            <w:noWrap/>
          </w:tcPr>
          <w:p w14:paraId="08D45AA0" w14:textId="77777777" w:rsidR="00236B8F" w:rsidRPr="00EA1BB2" w:rsidRDefault="00236B8F" w:rsidP="00236B8F">
            <w:pPr>
              <w:spacing w:line="360" w:lineRule="auto"/>
              <w:jc w:val="center"/>
              <w:rPr>
                <w:rFonts w:ascii="Cambria" w:eastAsia="Times New Roman" w:hAnsi="Cambria" w:cs="Times New Roman"/>
                <w:color w:val="000000"/>
                <w:lang w:eastAsia="ro-RO"/>
              </w:rPr>
            </w:pPr>
          </w:p>
        </w:tc>
        <w:tc>
          <w:tcPr>
            <w:tcW w:w="568" w:type="pct"/>
            <w:shd w:val="clear" w:color="auto" w:fill="auto"/>
            <w:noWrap/>
          </w:tcPr>
          <w:p w14:paraId="55A55A21" w14:textId="77777777" w:rsidR="00236B8F" w:rsidRPr="00EA1BB2" w:rsidRDefault="00236B8F" w:rsidP="00236B8F">
            <w:pPr>
              <w:spacing w:line="360" w:lineRule="auto"/>
              <w:jc w:val="center"/>
              <w:rPr>
                <w:rFonts w:ascii="Cambria" w:hAnsi="Cambria"/>
              </w:rPr>
            </w:pPr>
            <w:r w:rsidRPr="00EA1BB2">
              <w:rPr>
                <w:rFonts w:ascii="Cambria" w:hAnsi="Cambria"/>
              </w:rPr>
              <w:t>6,154578</w:t>
            </w:r>
          </w:p>
        </w:tc>
        <w:tc>
          <w:tcPr>
            <w:tcW w:w="572" w:type="pct"/>
            <w:shd w:val="clear" w:color="auto" w:fill="auto"/>
            <w:noWrap/>
          </w:tcPr>
          <w:p w14:paraId="437F920F" w14:textId="77777777" w:rsidR="00236B8F" w:rsidRPr="00EA1BB2" w:rsidRDefault="00236B8F" w:rsidP="00236B8F">
            <w:pPr>
              <w:spacing w:line="360" w:lineRule="auto"/>
              <w:jc w:val="center"/>
              <w:rPr>
                <w:rFonts w:ascii="Cambria" w:hAnsi="Cambria"/>
              </w:rPr>
            </w:pPr>
            <w:r w:rsidRPr="00EA1BB2">
              <w:rPr>
                <w:rFonts w:ascii="Cambria" w:hAnsi="Cambria"/>
              </w:rPr>
              <w:t>5,269606</w:t>
            </w:r>
          </w:p>
        </w:tc>
        <w:tc>
          <w:tcPr>
            <w:tcW w:w="509" w:type="pct"/>
            <w:shd w:val="clear" w:color="auto" w:fill="auto"/>
            <w:noWrap/>
          </w:tcPr>
          <w:p w14:paraId="10131CC6" w14:textId="77777777" w:rsidR="00236B8F" w:rsidRPr="00EA1BB2" w:rsidRDefault="00236B8F" w:rsidP="00236B8F">
            <w:pPr>
              <w:spacing w:line="360" w:lineRule="auto"/>
              <w:jc w:val="center"/>
              <w:rPr>
                <w:rFonts w:ascii="Cambria" w:eastAsia="Times New Roman" w:hAnsi="Cambria" w:cs="Times New Roman"/>
                <w:color w:val="000000"/>
                <w:lang w:eastAsia="ro-RO"/>
              </w:rPr>
            </w:pPr>
          </w:p>
        </w:tc>
      </w:tr>
      <w:tr w:rsidR="00E03320" w:rsidRPr="00EA1BB2" w14:paraId="44102CA8" w14:textId="77777777" w:rsidTr="00DF6F87">
        <w:trPr>
          <w:trHeight w:val="300"/>
        </w:trPr>
        <w:tc>
          <w:tcPr>
            <w:tcW w:w="445" w:type="pct"/>
            <w:shd w:val="clear" w:color="auto" w:fill="auto"/>
            <w:noWrap/>
            <w:vAlign w:val="center"/>
            <w:hideMark/>
          </w:tcPr>
          <w:p w14:paraId="6230E77C" w14:textId="77777777" w:rsidR="00E03320" w:rsidRPr="00EA1BB2" w:rsidRDefault="00E03320" w:rsidP="00E03320">
            <w:pPr>
              <w:spacing w:line="360" w:lineRule="auto"/>
              <w:jc w:val="center"/>
              <w:rPr>
                <w:rFonts w:ascii="Cambria" w:eastAsia="Times New Roman" w:hAnsi="Cambria" w:cs="Times New Roman"/>
                <w:color w:val="000000"/>
                <w:lang w:eastAsia="ro-RO"/>
              </w:rPr>
            </w:pPr>
            <w:r w:rsidRPr="00EA1BB2">
              <w:rPr>
                <w:rFonts w:ascii="Cambria" w:eastAsia="Times New Roman" w:hAnsi="Cambria" w:cs="Times New Roman"/>
                <w:color w:val="000000"/>
                <w:lang w:eastAsia="ro-RO"/>
              </w:rPr>
              <w:t>TOTAL</w:t>
            </w:r>
          </w:p>
        </w:tc>
        <w:tc>
          <w:tcPr>
            <w:tcW w:w="427" w:type="pct"/>
            <w:shd w:val="clear" w:color="auto" w:fill="auto"/>
            <w:noWrap/>
          </w:tcPr>
          <w:p w14:paraId="092D7A69" w14:textId="77777777" w:rsidR="00E03320" w:rsidRPr="00EA1BB2" w:rsidRDefault="00E03320" w:rsidP="00E03320">
            <w:pPr>
              <w:spacing w:line="360" w:lineRule="auto"/>
              <w:jc w:val="center"/>
              <w:rPr>
                <w:rFonts w:ascii="Cambria" w:hAnsi="Cambria"/>
              </w:rPr>
            </w:pPr>
            <w:r w:rsidRPr="00EA1BB2">
              <w:rPr>
                <w:rFonts w:ascii="Cambria" w:hAnsi="Cambria"/>
              </w:rPr>
              <w:t>0,000551</w:t>
            </w:r>
          </w:p>
        </w:tc>
        <w:tc>
          <w:tcPr>
            <w:tcW w:w="427" w:type="pct"/>
            <w:shd w:val="clear" w:color="auto" w:fill="auto"/>
            <w:noWrap/>
          </w:tcPr>
          <w:p w14:paraId="30BDB303" w14:textId="77777777" w:rsidR="00E03320" w:rsidRPr="00EA1BB2" w:rsidRDefault="00E03320" w:rsidP="00E03320">
            <w:pPr>
              <w:spacing w:line="360" w:lineRule="auto"/>
              <w:jc w:val="center"/>
              <w:rPr>
                <w:rFonts w:ascii="Cambria" w:hAnsi="Cambria"/>
              </w:rPr>
            </w:pPr>
            <w:r w:rsidRPr="00EA1BB2">
              <w:rPr>
                <w:rFonts w:ascii="Cambria" w:hAnsi="Cambria"/>
              </w:rPr>
              <w:t>0,001449</w:t>
            </w:r>
          </w:p>
        </w:tc>
        <w:tc>
          <w:tcPr>
            <w:tcW w:w="568" w:type="pct"/>
            <w:shd w:val="clear" w:color="auto" w:fill="auto"/>
            <w:noWrap/>
          </w:tcPr>
          <w:p w14:paraId="78893BA6" w14:textId="77777777" w:rsidR="00E03320" w:rsidRPr="00EA1BB2" w:rsidRDefault="00E03320" w:rsidP="00E03320">
            <w:pPr>
              <w:spacing w:line="360" w:lineRule="auto"/>
              <w:jc w:val="center"/>
              <w:rPr>
                <w:rFonts w:ascii="Cambria" w:hAnsi="Cambria"/>
              </w:rPr>
            </w:pPr>
            <w:r w:rsidRPr="00EA1BB2">
              <w:rPr>
                <w:rFonts w:ascii="Cambria" w:hAnsi="Cambria"/>
              </w:rPr>
              <w:t>4115,648229</w:t>
            </w:r>
          </w:p>
        </w:tc>
        <w:tc>
          <w:tcPr>
            <w:tcW w:w="463" w:type="pct"/>
            <w:shd w:val="clear" w:color="auto" w:fill="auto"/>
            <w:noWrap/>
          </w:tcPr>
          <w:p w14:paraId="43C24D09" w14:textId="77777777" w:rsidR="00E03320" w:rsidRPr="00EA1BB2" w:rsidRDefault="00E03320" w:rsidP="00E03320">
            <w:pPr>
              <w:spacing w:line="360" w:lineRule="auto"/>
              <w:jc w:val="center"/>
              <w:rPr>
                <w:rFonts w:ascii="Cambria" w:hAnsi="Cambria"/>
              </w:rPr>
            </w:pPr>
            <w:r w:rsidRPr="00EA1BB2">
              <w:rPr>
                <w:rFonts w:ascii="Cambria" w:hAnsi="Cambria"/>
              </w:rPr>
              <w:t>0,035453</w:t>
            </w:r>
          </w:p>
        </w:tc>
        <w:tc>
          <w:tcPr>
            <w:tcW w:w="557" w:type="pct"/>
            <w:shd w:val="clear" w:color="auto" w:fill="auto"/>
            <w:noWrap/>
          </w:tcPr>
          <w:p w14:paraId="10122452" w14:textId="77777777" w:rsidR="00E03320" w:rsidRPr="00EA1BB2" w:rsidRDefault="00E03320" w:rsidP="00E03320">
            <w:pPr>
              <w:spacing w:line="360" w:lineRule="auto"/>
              <w:jc w:val="center"/>
              <w:rPr>
                <w:rFonts w:ascii="Cambria" w:hAnsi="Cambria"/>
              </w:rPr>
            </w:pPr>
            <w:r w:rsidRPr="00EA1BB2">
              <w:rPr>
                <w:rFonts w:ascii="Cambria" w:hAnsi="Cambria"/>
              </w:rPr>
              <w:t>459,649347</w:t>
            </w:r>
          </w:p>
        </w:tc>
        <w:tc>
          <w:tcPr>
            <w:tcW w:w="463" w:type="pct"/>
            <w:shd w:val="clear" w:color="auto" w:fill="auto"/>
            <w:noWrap/>
          </w:tcPr>
          <w:p w14:paraId="23080D4C" w14:textId="77777777" w:rsidR="00E03320" w:rsidRPr="00EA1BB2" w:rsidRDefault="00E03320" w:rsidP="00E03320">
            <w:pPr>
              <w:spacing w:line="360" w:lineRule="auto"/>
              <w:jc w:val="center"/>
              <w:rPr>
                <w:rFonts w:ascii="Cambria" w:hAnsi="Cambria"/>
              </w:rPr>
            </w:pPr>
            <w:r w:rsidRPr="00EA1BB2">
              <w:rPr>
                <w:rFonts w:ascii="Cambria" w:hAnsi="Cambria"/>
              </w:rPr>
              <w:t>0,068287</w:t>
            </w:r>
          </w:p>
        </w:tc>
        <w:tc>
          <w:tcPr>
            <w:tcW w:w="568" w:type="pct"/>
            <w:shd w:val="clear" w:color="auto" w:fill="auto"/>
            <w:noWrap/>
          </w:tcPr>
          <w:p w14:paraId="06F2D63C" w14:textId="77777777" w:rsidR="00E03320" w:rsidRPr="00EA1BB2" w:rsidRDefault="00E03320" w:rsidP="00E03320">
            <w:pPr>
              <w:spacing w:line="360" w:lineRule="auto"/>
              <w:jc w:val="center"/>
              <w:rPr>
                <w:rFonts w:ascii="Cambria" w:hAnsi="Cambria"/>
              </w:rPr>
            </w:pPr>
            <w:r w:rsidRPr="00EA1BB2">
              <w:rPr>
                <w:rFonts w:ascii="Cambria" w:hAnsi="Cambria"/>
              </w:rPr>
              <w:t>800,692214</w:t>
            </w:r>
          </w:p>
        </w:tc>
        <w:tc>
          <w:tcPr>
            <w:tcW w:w="572" w:type="pct"/>
            <w:shd w:val="clear" w:color="auto" w:fill="auto"/>
            <w:noWrap/>
          </w:tcPr>
          <w:p w14:paraId="2D116310" w14:textId="77777777" w:rsidR="00E03320" w:rsidRPr="00EA1BB2" w:rsidRDefault="00E03320" w:rsidP="00E03320">
            <w:pPr>
              <w:spacing w:line="360" w:lineRule="auto"/>
              <w:jc w:val="center"/>
              <w:rPr>
                <w:rFonts w:ascii="Cambria" w:hAnsi="Cambria"/>
              </w:rPr>
            </w:pPr>
            <w:r w:rsidRPr="00EA1BB2">
              <w:rPr>
                <w:rFonts w:ascii="Cambria" w:hAnsi="Cambria"/>
              </w:rPr>
              <w:t>354,161685</w:t>
            </w:r>
          </w:p>
        </w:tc>
        <w:tc>
          <w:tcPr>
            <w:tcW w:w="509" w:type="pct"/>
            <w:shd w:val="clear" w:color="auto" w:fill="auto"/>
            <w:noWrap/>
          </w:tcPr>
          <w:p w14:paraId="0F12172F" w14:textId="77777777" w:rsidR="00E03320" w:rsidRPr="00EA1BB2" w:rsidRDefault="00E03320" w:rsidP="00E03320">
            <w:pPr>
              <w:spacing w:line="360" w:lineRule="auto"/>
              <w:jc w:val="center"/>
              <w:rPr>
                <w:rFonts w:ascii="Cambria" w:hAnsi="Cambria"/>
              </w:rPr>
            </w:pPr>
            <w:r w:rsidRPr="00EA1BB2">
              <w:rPr>
                <w:rFonts w:ascii="Cambria" w:hAnsi="Cambria"/>
              </w:rPr>
              <w:t>18,897287</w:t>
            </w:r>
          </w:p>
        </w:tc>
      </w:tr>
    </w:tbl>
    <w:p w14:paraId="3B8E06EB" w14:textId="77777777" w:rsidR="00483B81" w:rsidRPr="00EA1BB2" w:rsidRDefault="00483B81" w:rsidP="00811204">
      <w:pPr>
        <w:jc w:val="both"/>
        <w:rPr>
          <w:rFonts w:ascii="Cambria" w:eastAsia="Times New Roman" w:hAnsi="Cambria" w:cs="Times New Roman"/>
          <w:sz w:val="20"/>
          <w:szCs w:val="24"/>
        </w:rPr>
      </w:pPr>
      <w:r w:rsidRPr="00EA1BB2">
        <w:rPr>
          <w:rFonts w:ascii="Cambria" w:eastAsia="Times New Roman" w:hAnsi="Cambria" w:cs="Times New Roman"/>
          <w:sz w:val="20"/>
          <w:szCs w:val="24"/>
        </w:rPr>
        <w:t>*cu excepția municipiului Brăila</w:t>
      </w:r>
    </w:p>
    <w:p w14:paraId="52AC2FB3" w14:textId="77777777" w:rsidR="00811204" w:rsidRPr="00EA1BB2" w:rsidRDefault="00811204" w:rsidP="00811204">
      <w:pPr>
        <w:jc w:val="both"/>
        <w:rPr>
          <w:rFonts w:ascii="Cambria" w:eastAsia="Times New Roman" w:hAnsi="Cambria" w:cs="Times New Roman"/>
          <w:sz w:val="20"/>
          <w:szCs w:val="24"/>
        </w:rPr>
      </w:pPr>
      <w:r w:rsidRPr="00EA1BB2">
        <w:rPr>
          <w:rFonts w:ascii="Cambria" w:eastAsia="Times New Roman" w:hAnsi="Cambria" w:cs="Times New Roman"/>
          <w:sz w:val="20"/>
          <w:szCs w:val="24"/>
        </w:rPr>
        <w:t>Notă: În ILE nu sunt raportate emisii de C</w:t>
      </w:r>
      <w:r w:rsidRPr="00EA1BB2">
        <w:rPr>
          <w:rFonts w:ascii="Cambria" w:eastAsia="Times New Roman" w:hAnsi="Cambria" w:cs="Times New Roman"/>
          <w:sz w:val="20"/>
          <w:szCs w:val="24"/>
          <w:vertAlign w:val="subscript"/>
        </w:rPr>
        <w:t>6</w:t>
      </w:r>
      <w:r w:rsidRPr="00EA1BB2">
        <w:rPr>
          <w:rFonts w:ascii="Cambria" w:eastAsia="Times New Roman" w:hAnsi="Cambria" w:cs="Times New Roman"/>
          <w:sz w:val="20"/>
          <w:szCs w:val="24"/>
        </w:rPr>
        <w:t>H</w:t>
      </w:r>
      <w:r w:rsidRPr="00EA1BB2">
        <w:rPr>
          <w:rFonts w:ascii="Cambria" w:eastAsia="Times New Roman" w:hAnsi="Cambria" w:cs="Times New Roman"/>
          <w:sz w:val="20"/>
          <w:szCs w:val="24"/>
          <w:vertAlign w:val="subscript"/>
        </w:rPr>
        <w:t>6</w:t>
      </w:r>
    </w:p>
    <w:p w14:paraId="32AEC710" w14:textId="77777777" w:rsidR="00483B81" w:rsidRPr="00EA1BB2" w:rsidRDefault="00483B81" w:rsidP="00811204">
      <w:pPr>
        <w:jc w:val="both"/>
        <w:rPr>
          <w:rFonts w:ascii="Cambria" w:eastAsia="Times New Roman" w:hAnsi="Cambria" w:cs="Times New Roman"/>
          <w:szCs w:val="24"/>
        </w:rPr>
      </w:pPr>
      <w:r w:rsidRPr="00EA1BB2">
        <w:rPr>
          <w:rFonts w:ascii="Cambria" w:eastAsia="Times New Roman" w:hAnsi="Cambria" w:cs="Times New Roman"/>
          <w:sz w:val="20"/>
          <w:szCs w:val="24"/>
        </w:rPr>
        <w:t>Sursa: ANPM - ILE 2013</w:t>
      </w:r>
      <w:r w:rsidR="0038759F" w:rsidRPr="00EA1BB2">
        <w:rPr>
          <w:rFonts w:ascii="Cambria" w:hAnsi="Cambria"/>
          <w:sz w:val="20"/>
        </w:rPr>
        <w:t xml:space="preserve"> și </w:t>
      </w:r>
      <w:r w:rsidR="0038759F" w:rsidRPr="00EA1BB2">
        <w:rPr>
          <w:rFonts w:ascii="Cambria" w:eastAsia="Times New Roman" w:hAnsi="Cambria" w:cs="Times New Roman"/>
          <w:sz w:val="20"/>
          <w:szCs w:val="24"/>
        </w:rPr>
        <w:t>Inventar emisii trafic 2013 (Copert)</w:t>
      </w:r>
    </w:p>
    <w:p w14:paraId="76176CE7" w14:textId="77777777" w:rsidR="00483B81" w:rsidRPr="00EA1BB2" w:rsidRDefault="00483B81" w:rsidP="00483B81">
      <w:pPr>
        <w:spacing w:line="360" w:lineRule="auto"/>
        <w:ind w:firstLine="714"/>
        <w:jc w:val="both"/>
        <w:rPr>
          <w:rFonts w:ascii="Cambria" w:eastAsia="Times New Roman" w:hAnsi="Cambria" w:cs="Times New Roman"/>
          <w:sz w:val="24"/>
          <w:szCs w:val="24"/>
        </w:rPr>
        <w:sectPr w:rsidR="00483B81" w:rsidRPr="00EA1BB2" w:rsidSect="00C75800">
          <w:pgSz w:w="16838" w:h="11906" w:orient="landscape" w:code="9"/>
          <w:pgMar w:top="1134" w:right="1418" w:bottom="1134" w:left="1418" w:header="283" w:footer="283" w:gutter="0"/>
          <w:cols w:space="708"/>
          <w:docGrid w:linePitch="360"/>
        </w:sectPr>
      </w:pPr>
    </w:p>
    <w:p w14:paraId="7BB9CDAE" w14:textId="73FD50E1" w:rsidR="00DF6F87" w:rsidRPr="00EA1BB2" w:rsidRDefault="001B61B7" w:rsidP="001B61B7">
      <w:pPr>
        <w:pStyle w:val="Caption"/>
        <w:keepNext/>
        <w:spacing w:after="0" w:line="360" w:lineRule="auto"/>
        <w:ind w:firstLine="567"/>
        <w:jc w:val="both"/>
        <w:rPr>
          <w:rFonts w:ascii="Cambria" w:hAnsi="Cambria"/>
          <w:szCs w:val="24"/>
        </w:rPr>
      </w:pPr>
      <w:bookmarkStart w:id="134" w:name="_Toc524966217"/>
      <w:r w:rsidRPr="00EA1BB2">
        <w:rPr>
          <w:rFonts w:ascii="Cambria" w:hAnsi="Cambria"/>
          <w:szCs w:val="24"/>
        </w:rPr>
        <w:lastRenderedPageBreak/>
        <w:t xml:space="preserve">Figura nr. </w:t>
      </w:r>
      <w:r w:rsidR="00280BC9" w:rsidRPr="00EA1BB2">
        <w:rPr>
          <w:rFonts w:ascii="Cambria" w:hAnsi="Cambria"/>
          <w:szCs w:val="24"/>
        </w:rPr>
        <w:fldChar w:fldCharType="begin"/>
      </w:r>
      <w:r w:rsidR="00BA6FA3" w:rsidRPr="00EA1BB2">
        <w:rPr>
          <w:rFonts w:ascii="Cambria" w:hAnsi="Cambria"/>
          <w:szCs w:val="24"/>
        </w:rPr>
        <w:instrText xml:space="preserve"> STYLEREF 1 \s </w:instrText>
      </w:r>
      <w:r w:rsidR="00280BC9" w:rsidRPr="00EA1BB2">
        <w:rPr>
          <w:rFonts w:ascii="Cambria" w:hAnsi="Cambria"/>
          <w:szCs w:val="24"/>
        </w:rPr>
        <w:fldChar w:fldCharType="separate"/>
      </w:r>
      <w:r w:rsidR="00567555">
        <w:rPr>
          <w:rFonts w:ascii="Cambria" w:hAnsi="Cambria"/>
          <w:noProof/>
          <w:szCs w:val="24"/>
        </w:rPr>
        <w:t>3</w:t>
      </w:r>
      <w:r w:rsidR="00280BC9" w:rsidRPr="00EA1BB2">
        <w:rPr>
          <w:rFonts w:ascii="Cambria" w:hAnsi="Cambria"/>
          <w:szCs w:val="24"/>
        </w:rPr>
        <w:fldChar w:fldCharType="end"/>
      </w:r>
      <w:r w:rsidR="00BA6FA3" w:rsidRPr="00EA1BB2">
        <w:rPr>
          <w:rFonts w:ascii="Cambria" w:hAnsi="Cambria"/>
          <w:szCs w:val="24"/>
        </w:rPr>
        <w:noBreakHyphen/>
      </w:r>
      <w:r w:rsidR="00280BC9" w:rsidRPr="00EA1BB2">
        <w:rPr>
          <w:rFonts w:ascii="Cambria" w:hAnsi="Cambria"/>
          <w:szCs w:val="24"/>
        </w:rPr>
        <w:fldChar w:fldCharType="begin"/>
      </w:r>
      <w:r w:rsidR="00BA6FA3" w:rsidRPr="00EA1BB2">
        <w:rPr>
          <w:rFonts w:ascii="Cambria" w:hAnsi="Cambria"/>
          <w:szCs w:val="24"/>
        </w:rPr>
        <w:instrText xml:space="preserve"> SEQ Figura_nr. \* ARABIC \s 1 </w:instrText>
      </w:r>
      <w:r w:rsidR="00280BC9" w:rsidRPr="00EA1BB2">
        <w:rPr>
          <w:rFonts w:ascii="Cambria" w:hAnsi="Cambria"/>
          <w:szCs w:val="24"/>
        </w:rPr>
        <w:fldChar w:fldCharType="separate"/>
      </w:r>
      <w:r w:rsidR="00567555">
        <w:rPr>
          <w:rFonts w:ascii="Cambria" w:hAnsi="Cambria"/>
          <w:noProof/>
          <w:szCs w:val="24"/>
        </w:rPr>
        <w:t>6</w:t>
      </w:r>
      <w:r w:rsidR="00280BC9" w:rsidRPr="00EA1BB2">
        <w:rPr>
          <w:rFonts w:ascii="Cambria" w:hAnsi="Cambria"/>
          <w:szCs w:val="24"/>
        </w:rPr>
        <w:fldChar w:fldCharType="end"/>
      </w:r>
      <w:r w:rsidR="00301413" w:rsidRPr="00EA1BB2">
        <w:rPr>
          <w:rFonts w:ascii="Cambria" w:hAnsi="Cambria"/>
          <w:szCs w:val="24"/>
        </w:rPr>
        <w:t xml:space="preserve"> – Contribuția emisiilor di</w:t>
      </w:r>
      <w:r w:rsidRPr="00EA1BB2">
        <w:rPr>
          <w:rFonts w:ascii="Cambria" w:hAnsi="Cambria"/>
          <w:szCs w:val="24"/>
        </w:rPr>
        <w:t>n județul Brăila, în anul de referință 2013</w:t>
      </w:r>
      <w:bookmarkEnd w:id="134"/>
    </w:p>
    <w:p w14:paraId="22147E7B" w14:textId="77777777" w:rsidR="00DF6F87" w:rsidRPr="00EA1BB2" w:rsidRDefault="00DF6F87" w:rsidP="00DF6F87">
      <w:pPr>
        <w:spacing w:line="360" w:lineRule="auto"/>
        <w:rPr>
          <w:rFonts w:ascii="Cambria" w:hAnsi="Cambria"/>
          <w:sz w:val="24"/>
        </w:rPr>
      </w:pPr>
      <w:r w:rsidRPr="00EA1BB2">
        <w:rPr>
          <w:rFonts w:ascii="Cambria" w:hAnsi="Cambria"/>
          <w:noProof/>
          <w:sz w:val="24"/>
          <w:lang w:val="en-US"/>
        </w:rPr>
        <w:drawing>
          <wp:inline distT="0" distB="0" distL="0" distR="0" wp14:anchorId="18BFB201" wp14:editId="0D1C7EF9">
            <wp:extent cx="5759450" cy="4222750"/>
            <wp:effectExtent l="0" t="0" r="12700" b="635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0744E850" w14:textId="77777777" w:rsidR="00DF6F87" w:rsidRPr="00EA1BB2" w:rsidRDefault="00DF6F87" w:rsidP="00DF6F87">
      <w:pPr>
        <w:spacing w:line="360" w:lineRule="auto"/>
        <w:rPr>
          <w:rFonts w:ascii="Cambria" w:hAnsi="Cambria"/>
          <w:sz w:val="24"/>
        </w:rPr>
      </w:pPr>
    </w:p>
    <w:p w14:paraId="7990FE4E" w14:textId="77777777" w:rsidR="00305926" w:rsidRPr="00EA1BB2" w:rsidRDefault="00305926" w:rsidP="00E859EF">
      <w:pPr>
        <w:pStyle w:val="Heading2"/>
        <w:numPr>
          <w:ilvl w:val="1"/>
          <w:numId w:val="1"/>
        </w:numPr>
        <w:spacing w:before="0"/>
        <w:ind w:left="0" w:firstLine="709"/>
        <w:jc w:val="both"/>
        <w:rPr>
          <w:rFonts w:ascii="Cambria" w:eastAsia="Times New Roman" w:hAnsi="Cambria"/>
          <w:color w:val="0070C0"/>
          <w:szCs w:val="24"/>
        </w:rPr>
      </w:pPr>
      <w:bookmarkStart w:id="135" w:name="_Toc526889724"/>
      <w:r w:rsidRPr="00EA1BB2">
        <w:rPr>
          <w:rFonts w:ascii="Cambria" w:eastAsia="Times New Roman" w:hAnsi="Cambria"/>
          <w:color w:val="0070C0"/>
          <w:szCs w:val="24"/>
        </w:rPr>
        <w:t>Evaluarea nivelului de fond regional</w:t>
      </w:r>
      <w:r w:rsidR="001B7137" w:rsidRPr="00EA1BB2">
        <w:rPr>
          <w:rFonts w:ascii="Cambria" w:eastAsia="Times New Roman" w:hAnsi="Cambria"/>
          <w:color w:val="0070C0"/>
          <w:szCs w:val="24"/>
        </w:rPr>
        <w:t xml:space="preserve"> total, natural </w:t>
      </w:r>
      <w:r w:rsidR="00054880" w:rsidRPr="00EA1BB2">
        <w:rPr>
          <w:rFonts w:ascii="Cambria" w:eastAsia="Times New Roman" w:hAnsi="Cambria"/>
          <w:color w:val="0070C0"/>
          <w:szCs w:val="24"/>
        </w:rPr>
        <w:t>ș</w:t>
      </w:r>
      <w:r w:rsidR="001B7137" w:rsidRPr="00EA1BB2">
        <w:rPr>
          <w:rFonts w:ascii="Cambria" w:eastAsia="Times New Roman" w:hAnsi="Cambria"/>
          <w:color w:val="0070C0"/>
          <w:szCs w:val="24"/>
        </w:rPr>
        <w:t>i transfrontier</w:t>
      </w:r>
      <w:bookmarkEnd w:id="135"/>
    </w:p>
    <w:p w14:paraId="03B53C1D" w14:textId="35DDBA8E" w:rsidR="00A909DC" w:rsidRDefault="00D07245" w:rsidP="00C31A2A">
      <w:pPr>
        <w:spacing w:line="360" w:lineRule="auto"/>
        <w:ind w:firstLine="708"/>
        <w:jc w:val="both"/>
        <w:rPr>
          <w:rFonts w:ascii="Cambria" w:hAnsi="Cambria"/>
          <w:sz w:val="24"/>
          <w:szCs w:val="24"/>
        </w:rPr>
      </w:pPr>
      <w:r w:rsidRPr="00EA1BB2">
        <w:rPr>
          <w:rFonts w:ascii="Cambria" w:hAnsi="Cambria"/>
          <w:sz w:val="24"/>
          <w:szCs w:val="24"/>
        </w:rPr>
        <w:t>Nivelul de fond regional - reprezintă concentrațiile poluanților la o scară spațială de peste 50 km și, pentru o anumită zonă de depășiri ale valorilor limită, cuprinde contribuții atât din afara zonei, cât și de la surse de emisie din interiorul acesteia. Pentru zona Brăila</w:t>
      </w:r>
      <w:r w:rsidR="002D2342" w:rsidRPr="00EA1BB2">
        <w:rPr>
          <w:rFonts w:ascii="Cambria" w:hAnsi="Cambria"/>
          <w:sz w:val="24"/>
          <w:szCs w:val="24"/>
        </w:rPr>
        <w:t xml:space="preserve"> și pentru aglomerarea Brăila</w:t>
      </w:r>
      <w:r w:rsidRPr="00EA1BB2">
        <w:rPr>
          <w:rFonts w:ascii="Cambria" w:hAnsi="Cambria"/>
          <w:sz w:val="24"/>
          <w:szCs w:val="24"/>
        </w:rPr>
        <w:t>, datele de fond regional total obținute prin modelare,</w:t>
      </w:r>
      <w:r w:rsidRPr="00EA1BB2">
        <w:rPr>
          <w:rStyle w:val="FootnoteReference"/>
          <w:rFonts w:ascii="Cambria" w:hAnsi="Cambria"/>
          <w:sz w:val="24"/>
          <w:szCs w:val="24"/>
        </w:rPr>
        <w:footnoteReference w:id="21"/>
      </w:r>
      <w:r w:rsidRPr="00EA1BB2">
        <w:rPr>
          <w:rFonts w:ascii="Cambria" w:hAnsi="Cambria"/>
          <w:sz w:val="24"/>
          <w:szCs w:val="24"/>
        </w:rPr>
        <w:t xml:space="preserve"> transmise de S.C. Westagem S.A., sunt prezentate în tabelul </w:t>
      </w:r>
      <w:r w:rsidR="002D2342" w:rsidRPr="00EA1BB2">
        <w:rPr>
          <w:rFonts w:ascii="Cambria" w:hAnsi="Cambria"/>
          <w:sz w:val="24"/>
          <w:szCs w:val="24"/>
        </w:rPr>
        <w:t>nr. 3-23</w:t>
      </w:r>
      <w:r w:rsidRPr="00EA1BB2">
        <w:rPr>
          <w:rFonts w:ascii="Cambria" w:hAnsi="Cambria"/>
          <w:sz w:val="24"/>
          <w:szCs w:val="24"/>
        </w:rPr>
        <w:t xml:space="preserve">. Pentru evaluarea concentrațiilor de fond datorate transportului poluanților la lungă distanță, precum </w:t>
      </w:r>
      <w:r w:rsidR="002D2D1B" w:rsidRPr="00EA1BB2">
        <w:rPr>
          <w:rFonts w:ascii="Cambria" w:hAnsi="Cambria"/>
          <w:sz w:val="24"/>
          <w:szCs w:val="24"/>
        </w:rPr>
        <w:t>și</w:t>
      </w:r>
      <w:r w:rsidRPr="00EA1BB2">
        <w:rPr>
          <w:rFonts w:ascii="Cambria" w:hAnsi="Cambria"/>
          <w:sz w:val="24"/>
          <w:szCs w:val="24"/>
        </w:rPr>
        <w:t xml:space="preserve"> fondului natural, au fost analizate datele de monitorizare înregistrate de către cele mai apropiate stații de monitorizare a calității aerului de tip EMEP și fond regional.</w:t>
      </w:r>
    </w:p>
    <w:p w14:paraId="164A9B13" w14:textId="77777777" w:rsidR="00C31A2A" w:rsidRPr="00EA1BB2" w:rsidRDefault="00C31A2A" w:rsidP="00C31A2A">
      <w:pPr>
        <w:spacing w:line="360" w:lineRule="auto"/>
        <w:ind w:firstLine="708"/>
        <w:jc w:val="both"/>
        <w:rPr>
          <w:rFonts w:ascii="Cambria" w:hAnsi="Cambria"/>
        </w:rPr>
      </w:pPr>
    </w:p>
    <w:p w14:paraId="47E2E5C7" w14:textId="56C1C5FF" w:rsidR="00D07245" w:rsidRPr="00EA1BB2" w:rsidRDefault="00D07245" w:rsidP="00D07245">
      <w:pPr>
        <w:pStyle w:val="Caption"/>
        <w:keepNext/>
        <w:spacing w:after="0" w:line="360" w:lineRule="auto"/>
        <w:ind w:firstLine="708"/>
        <w:jc w:val="both"/>
        <w:rPr>
          <w:rFonts w:ascii="Cambria" w:hAnsi="Cambria"/>
        </w:rPr>
      </w:pPr>
      <w:bookmarkStart w:id="136" w:name="_Toc526889792"/>
      <w:r w:rsidRPr="00EA1BB2">
        <w:rPr>
          <w:rFonts w:ascii="Cambria" w:hAnsi="Cambria"/>
        </w:rPr>
        <w:lastRenderedPageBreak/>
        <w:t xml:space="preserve">Tabelul nr. </w:t>
      </w:r>
      <w:r w:rsidR="000A2FE7" w:rsidRPr="00EA1BB2">
        <w:rPr>
          <w:rFonts w:ascii="Cambria" w:hAnsi="Cambria"/>
        </w:rPr>
        <w:fldChar w:fldCharType="begin"/>
      </w:r>
      <w:r w:rsidR="000A2FE7" w:rsidRPr="00EA1BB2">
        <w:rPr>
          <w:rFonts w:ascii="Cambria" w:hAnsi="Cambria"/>
        </w:rPr>
        <w:instrText xml:space="preserve"> STYLEREF 1 \s </w:instrText>
      </w:r>
      <w:r w:rsidR="000A2FE7" w:rsidRPr="00EA1BB2">
        <w:rPr>
          <w:rFonts w:ascii="Cambria" w:hAnsi="Cambria"/>
        </w:rPr>
        <w:fldChar w:fldCharType="separate"/>
      </w:r>
      <w:r w:rsidR="00567555">
        <w:rPr>
          <w:rFonts w:ascii="Cambria" w:hAnsi="Cambria"/>
          <w:noProof/>
        </w:rPr>
        <w:t>3</w:t>
      </w:r>
      <w:r w:rsidR="000A2FE7" w:rsidRPr="00EA1BB2">
        <w:rPr>
          <w:rFonts w:ascii="Cambria" w:hAnsi="Cambria"/>
        </w:rPr>
        <w:fldChar w:fldCharType="end"/>
      </w:r>
      <w:r w:rsidR="000A2FE7" w:rsidRPr="00EA1BB2">
        <w:rPr>
          <w:rFonts w:ascii="Cambria" w:hAnsi="Cambria"/>
        </w:rPr>
        <w:noBreakHyphen/>
      </w:r>
      <w:r w:rsidR="000A2FE7" w:rsidRPr="00EA1BB2">
        <w:rPr>
          <w:rFonts w:ascii="Cambria" w:hAnsi="Cambria"/>
        </w:rPr>
        <w:fldChar w:fldCharType="begin"/>
      </w:r>
      <w:r w:rsidR="000A2FE7" w:rsidRPr="00EA1BB2">
        <w:rPr>
          <w:rFonts w:ascii="Cambria" w:hAnsi="Cambria"/>
        </w:rPr>
        <w:instrText xml:space="preserve"> SEQ Tabelul_nr. \* ARABIC \s 1 </w:instrText>
      </w:r>
      <w:r w:rsidR="000A2FE7" w:rsidRPr="00EA1BB2">
        <w:rPr>
          <w:rFonts w:ascii="Cambria" w:hAnsi="Cambria"/>
        </w:rPr>
        <w:fldChar w:fldCharType="separate"/>
      </w:r>
      <w:r w:rsidR="00567555">
        <w:rPr>
          <w:rFonts w:ascii="Cambria" w:hAnsi="Cambria"/>
          <w:noProof/>
        </w:rPr>
        <w:t>23</w:t>
      </w:r>
      <w:r w:rsidR="000A2FE7" w:rsidRPr="00EA1BB2">
        <w:rPr>
          <w:rFonts w:ascii="Cambria" w:hAnsi="Cambria"/>
        </w:rPr>
        <w:fldChar w:fldCharType="end"/>
      </w:r>
      <w:r w:rsidRPr="00EA1BB2">
        <w:rPr>
          <w:rFonts w:ascii="Cambria" w:hAnsi="Cambria"/>
        </w:rPr>
        <w:t xml:space="preserve"> - Concentrații de fond regional pentru poluanții de interes</w:t>
      </w:r>
      <w:bookmarkEnd w:id="136"/>
    </w:p>
    <w:tbl>
      <w:tblPr>
        <w:tblW w:w="94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
        <w:gridCol w:w="860"/>
        <w:gridCol w:w="1114"/>
        <w:gridCol w:w="1114"/>
        <w:gridCol w:w="1596"/>
        <w:gridCol w:w="1103"/>
        <w:gridCol w:w="1107"/>
        <w:gridCol w:w="1586"/>
      </w:tblGrid>
      <w:tr w:rsidR="00301413" w:rsidRPr="00EA1BB2" w14:paraId="20EB61F4" w14:textId="77777777" w:rsidTr="00585E25">
        <w:trPr>
          <w:trHeight w:val="300"/>
          <w:jc w:val="center"/>
        </w:trPr>
        <w:tc>
          <w:tcPr>
            <w:tcW w:w="907" w:type="dxa"/>
            <w:vMerge w:val="restart"/>
            <w:shd w:val="clear" w:color="auto" w:fill="BDD6EE" w:themeFill="accent1" w:themeFillTint="66"/>
            <w:noWrap/>
            <w:vAlign w:val="center"/>
          </w:tcPr>
          <w:p w14:paraId="6695EEAA" w14:textId="77777777" w:rsidR="00301413" w:rsidRPr="00EA1BB2" w:rsidRDefault="00301413" w:rsidP="00301413">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0"/>
                <w:lang w:eastAsia="ro-RO"/>
              </w:rPr>
              <w:t>Poluant</w:t>
            </w:r>
          </w:p>
        </w:tc>
        <w:tc>
          <w:tcPr>
            <w:tcW w:w="860" w:type="dxa"/>
            <w:vMerge w:val="restart"/>
            <w:shd w:val="clear" w:color="auto" w:fill="BDD6EE" w:themeFill="accent1" w:themeFillTint="66"/>
            <w:noWrap/>
            <w:vAlign w:val="center"/>
          </w:tcPr>
          <w:p w14:paraId="20F1D4C3" w14:textId="77777777" w:rsidR="00301413" w:rsidRPr="00EA1BB2" w:rsidRDefault="00301413" w:rsidP="00301413">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0"/>
                <w:lang w:eastAsia="ro-RO"/>
              </w:rPr>
              <w:t>u.m.</w:t>
            </w:r>
          </w:p>
        </w:tc>
        <w:tc>
          <w:tcPr>
            <w:tcW w:w="3824" w:type="dxa"/>
            <w:gridSpan w:val="3"/>
            <w:shd w:val="clear" w:color="auto" w:fill="BDD6EE" w:themeFill="accent1" w:themeFillTint="66"/>
            <w:noWrap/>
            <w:vAlign w:val="center"/>
          </w:tcPr>
          <w:p w14:paraId="787C10FB" w14:textId="77777777" w:rsidR="00301413" w:rsidRPr="00EA1BB2" w:rsidRDefault="00301413" w:rsidP="00301413">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0"/>
                <w:lang w:eastAsia="ro-RO"/>
              </w:rPr>
              <w:t>Zona Brăila</w:t>
            </w:r>
          </w:p>
        </w:tc>
        <w:tc>
          <w:tcPr>
            <w:tcW w:w="3824" w:type="dxa"/>
            <w:gridSpan w:val="3"/>
            <w:shd w:val="clear" w:color="auto" w:fill="BDD6EE" w:themeFill="accent1" w:themeFillTint="66"/>
            <w:vAlign w:val="center"/>
          </w:tcPr>
          <w:p w14:paraId="4AA46CB6" w14:textId="77777777" w:rsidR="00301413" w:rsidRPr="00EA1BB2" w:rsidRDefault="00301413" w:rsidP="00301413">
            <w:pPr>
              <w:spacing w:line="276"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0"/>
                <w:lang w:eastAsia="ro-RO"/>
              </w:rPr>
              <w:t>Aglomerarea Brăila</w:t>
            </w:r>
          </w:p>
        </w:tc>
      </w:tr>
      <w:tr w:rsidR="00301413" w:rsidRPr="00EA1BB2" w14:paraId="3B46726A" w14:textId="77777777" w:rsidTr="00585E25">
        <w:trPr>
          <w:trHeight w:val="300"/>
          <w:jc w:val="center"/>
        </w:trPr>
        <w:tc>
          <w:tcPr>
            <w:tcW w:w="907" w:type="dxa"/>
            <w:vMerge/>
            <w:shd w:val="clear" w:color="auto" w:fill="BDD6EE" w:themeFill="accent1" w:themeFillTint="66"/>
            <w:noWrap/>
            <w:vAlign w:val="center"/>
            <w:hideMark/>
          </w:tcPr>
          <w:p w14:paraId="01198D55" w14:textId="77777777" w:rsidR="00301413" w:rsidRPr="00EA1BB2" w:rsidRDefault="00301413" w:rsidP="00301413">
            <w:pPr>
              <w:spacing w:line="360" w:lineRule="auto"/>
              <w:jc w:val="center"/>
              <w:rPr>
                <w:rFonts w:ascii="Cambria" w:eastAsia="Times New Roman" w:hAnsi="Cambria" w:cs="Calibri"/>
                <w:b/>
                <w:color w:val="000000"/>
                <w:sz w:val="20"/>
                <w:szCs w:val="20"/>
                <w:lang w:eastAsia="ro-RO"/>
              </w:rPr>
            </w:pPr>
          </w:p>
        </w:tc>
        <w:tc>
          <w:tcPr>
            <w:tcW w:w="860" w:type="dxa"/>
            <w:vMerge/>
            <w:shd w:val="clear" w:color="auto" w:fill="BDD6EE" w:themeFill="accent1" w:themeFillTint="66"/>
            <w:noWrap/>
            <w:vAlign w:val="center"/>
            <w:hideMark/>
          </w:tcPr>
          <w:p w14:paraId="4C4FB87D" w14:textId="77777777" w:rsidR="00301413" w:rsidRPr="00EA1BB2" w:rsidRDefault="00301413" w:rsidP="00301413">
            <w:pPr>
              <w:spacing w:line="360" w:lineRule="auto"/>
              <w:jc w:val="center"/>
              <w:rPr>
                <w:rFonts w:ascii="Cambria" w:eastAsia="Times New Roman" w:hAnsi="Cambria" w:cs="Calibri"/>
                <w:b/>
                <w:color w:val="000000"/>
                <w:sz w:val="20"/>
                <w:szCs w:val="20"/>
                <w:lang w:eastAsia="ro-RO"/>
              </w:rPr>
            </w:pPr>
          </w:p>
        </w:tc>
        <w:tc>
          <w:tcPr>
            <w:tcW w:w="1114" w:type="dxa"/>
            <w:shd w:val="clear" w:color="auto" w:fill="BDD6EE" w:themeFill="accent1" w:themeFillTint="66"/>
            <w:noWrap/>
            <w:vAlign w:val="center"/>
            <w:hideMark/>
          </w:tcPr>
          <w:p w14:paraId="29657F9C" w14:textId="77777777" w:rsidR="00301413" w:rsidRPr="00EA1BB2" w:rsidRDefault="00301413" w:rsidP="00301413">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0"/>
                <w:lang w:eastAsia="ro-RO"/>
              </w:rPr>
              <w:t>Nivel de fond regional</w:t>
            </w:r>
          </w:p>
          <w:p w14:paraId="35DD4DB4" w14:textId="77777777" w:rsidR="00301413" w:rsidRPr="00EA1BB2" w:rsidRDefault="00301413" w:rsidP="00301413">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0"/>
                <w:lang w:eastAsia="ro-RO"/>
              </w:rPr>
              <w:t>total</w:t>
            </w:r>
          </w:p>
        </w:tc>
        <w:tc>
          <w:tcPr>
            <w:tcW w:w="1114" w:type="dxa"/>
            <w:shd w:val="clear" w:color="auto" w:fill="BDD6EE" w:themeFill="accent1" w:themeFillTint="66"/>
            <w:vAlign w:val="center"/>
          </w:tcPr>
          <w:p w14:paraId="05FAB78E" w14:textId="77777777" w:rsidR="00301413" w:rsidRPr="00EA1BB2" w:rsidRDefault="00301413" w:rsidP="00301413">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0"/>
                <w:lang w:eastAsia="ro-RO"/>
              </w:rPr>
              <w:t>Nivel de fond regional</w:t>
            </w:r>
          </w:p>
          <w:p w14:paraId="7E6068CC" w14:textId="77777777" w:rsidR="00301413" w:rsidRPr="00EA1BB2" w:rsidRDefault="00301413" w:rsidP="00301413">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0"/>
                <w:lang w:eastAsia="ro-RO"/>
              </w:rPr>
              <w:t>național</w:t>
            </w:r>
          </w:p>
        </w:tc>
        <w:tc>
          <w:tcPr>
            <w:tcW w:w="1596" w:type="dxa"/>
            <w:shd w:val="clear" w:color="auto" w:fill="BDD6EE" w:themeFill="accent1" w:themeFillTint="66"/>
            <w:vAlign w:val="center"/>
          </w:tcPr>
          <w:p w14:paraId="53A14C60" w14:textId="77777777" w:rsidR="00301413" w:rsidRPr="00EA1BB2" w:rsidRDefault="00301413" w:rsidP="00301413">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0"/>
                <w:lang w:eastAsia="ro-RO"/>
              </w:rPr>
              <w:t>Nivel de fond regional</w:t>
            </w:r>
          </w:p>
          <w:p w14:paraId="6DFBD8DD" w14:textId="77777777" w:rsidR="00301413" w:rsidRPr="00EA1BB2" w:rsidRDefault="00301413" w:rsidP="00301413">
            <w:pPr>
              <w:spacing w:line="360" w:lineRule="auto"/>
              <w:ind w:right="-87"/>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0"/>
                <w:lang w:eastAsia="ro-RO"/>
              </w:rPr>
              <w:t>transfrontalier</w:t>
            </w:r>
          </w:p>
        </w:tc>
        <w:tc>
          <w:tcPr>
            <w:tcW w:w="1114" w:type="dxa"/>
            <w:shd w:val="clear" w:color="auto" w:fill="BDD6EE" w:themeFill="accent1" w:themeFillTint="66"/>
            <w:vAlign w:val="center"/>
          </w:tcPr>
          <w:p w14:paraId="71BB75E4" w14:textId="77777777" w:rsidR="00301413" w:rsidRPr="00EA1BB2" w:rsidRDefault="00301413" w:rsidP="00301413">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0"/>
                <w:lang w:eastAsia="ro-RO"/>
              </w:rPr>
              <w:t>Nivel de fond regional</w:t>
            </w:r>
          </w:p>
          <w:p w14:paraId="3FA6A357" w14:textId="77777777" w:rsidR="00301413" w:rsidRPr="00EA1BB2" w:rsidRDefault="00301413" w:rsidP="00301413">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0"/>
                <w:lang w:eastAsia="ro-RO"/>
              </w:rPr>
              <w:t>total</w:t>
            </w:r>
          </w:p>
        </w:tc>
        <w:tc>
          <w:tcPr>
            <w:tcW w:w="1114" w:type="dxa"/>
            <w:shd w:val="clear" w:color="auto" w:fill="BDD6EE" w:themeFill="accent1" w:themeFillTint="66"/>
            <w:vAlign w:val="center"/>
          </w:tcPr>
          <w:p w14:paraId="76D50FA7" w14:textId="77777777" w:rsidR="00301413" w:rsidRPr="00EA1BB2" w:rsidRDefault="00301413" w:rsidP="00301413">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0"/>
                <w:lang w:eastAsia="ro-RO"/>
              </w:rPr>
              <w:t>Nivel de fond regional</w:t>
            </w:r>
          </w:p>
          <w:p w14:paraId="66C66BB5" w14:textId="77777777" w:rsidR="00301413" w:rsidRPr="00EA1BB2" w:rsidRDefault="00301413" w:rsidP="00301413">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0"/>
                <w:lang w:eastAsia="ro-RO"/>
              </w:rPr>
              <w:t>național</w:t>
            </w:r>
          </w:p>
        </w:tc>
        <w:tc>
          <w:tcPr>
            <w:tcW w:w="1596" w:type="dxa"/>
            <w:shd w:val="clear" w:color="auto" w:fill="BDD6EE" w:themeFill="accent1" w:themeFillTint="66"/>
            <w:vAlign w:val="center"/>
          </w:tcPr>
          <w:p w14:paraId="651EEA46" w14:textId="77777777" w:rsidR="00301413" w:rsidRPr="00EA1BB2" w:rsidRDefault="00301413" w:rsidP="00301413">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0"/>
                <w:lang w:eastAsia="ro-RO"/>
              </w:rPr>
              <w:t>Nivel de fond regional</w:t>
            </w:r>
          </w:p>
          <w:p w14:paraId="6E0E725E" w14:textId="77777777" w:rsidR="00301413" w:rsidRPr="00EA1BB2" w:rsidRDefault="00301413" w:rsidP="00301413">
            <w:pPr>
              <w:spacing w:line="360" w:lineRule="auto"/>
              <w:ind w:right="-112"/>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0"/>
                <w:lang w:eastAsia="ro-RO"/>
              </w:rPr>
              <w:t>transfrontalier</w:t>
            </w:r>
          </w:p>
        </w:tc>
      </w:tr>
      <w:tr w:rsidR="00301413" w:rsidRPr="00EA1BB2" w14:paraId="57C8D3A5" w14:textId="77777777" w:rsidTr="00585E25">
        <w:trPr>
          <w:trHeight w:val="188"/>
          <w:jc w:val="center"/>
        </w:trPr>
        <w:tc>
          <w:tcPr>
            <w:tcW w:w="907" w:type="dxa"/>
            <w:shd w:val="clear" w:color="auto" w:fill="auto"/>
            <w:noWrap/>
            <w:vAlign w:val="center"/>
          </w:tcPr>
          <w:p w14:paraId="18A02680" w14:textId="77777777" w:rsidR="00301413" w:rsidRPr="00EA1BB2" w:rsidRDefault="00301413" w:rsidP="00301413">
            <w:pPr>
              <w:spacing w:line="360" w:lineRule="auto"/>
              <w:jc w:val="center"/>
              <w:rPr>
                <w:rFonts w:ascii="Cambria" w:eastAsia="Times New Roman" w:hAnsi="Cambria" w:cs="Arial"/>
                <w:color w:val="000000"/>
                <w:lang w:eastAsia="ro-RO"/>
              </w:rPr>
            </w:pPr>
            <w:r w:rsidRPr="00EA1BB2">
              <w:rPr>
                <w:rFonts w:ascii="Cambria" w:hAnsi="Cambria" w:cs="Calibri"/>
                <w:color w:val="000000"/>
              </w:rPr>
              <w:t>SO</w:t>
            </w:r>
            <w:r w:rsidRPr="00EA1BB2">
              <w:rPr>
                <w:rFonts w:ascii="Cambria" w:hAnsi="Cambria" w:cs="Calibri"/>
                <w:color w:val="000000"/>
                <w:vertAlign w:val="subscript"/>
              </w:rPr>
              <w:t>2</w:t>
            </w:r>
          </w:p>
        </w:tc>
        <w:tc>
          <w:tcPr>
            <w:tcW w:w="860" w:type="dxa"/>
            <w:shd w:val="clear" w:color="auto" w:fill="auto"/>
            <w:noWrap/>
            <w:vAlign w:val="center"/>
          </w:tcPr>
          <w:p w14:paraId="52F1B5BF" w14:textId="77777777" w:rsidR="00301413" w:rsidRPr="00EA1BB2" w:rsidRDefault="00301413" w:rsidP="00301413">
            <w:pPr>
              <w:spacing w:line="360" w:lineRule="auto"/>
              <w:jc w:val="center"/>
              <w:rPr>
                <w:rFonts w:ascii="Cambria" w:eastAsia="Times New Roman" w:hAnsi="Cambria" w:cs="Arial"/>
                <w:color w:val="000000"/>
                <w:lang w:eastAsia="ro-RO"/>
              </w:rPr>
            </w:pPr>
            <w:r w:rsidRPr="00EA1BB2">
              <w:rPr>
                <w:rFonts w:ascii="Cambria" w:eastAsia="Times New Roman" w:hAnsi="Cambria" w:cs="Arial"/>
                <w:color w:val="000000"/>
                <w:lang w:eastAsia="ro-RO"/>
              </w:rPr>
              <w:t>µ</w:t>
            </w:r>
            <w:r w:rsidRPr="00EA1BB2">
              <w:rPr>
                <w:rFonts w:ascii="Cambria" w:eastAsia="Times New Roman" w:hAnsi="Cambria" w:cs="Calibri"/>
                <w:color w:val="000000"/>
                <w:lang w:eastAsia="ro-RO"/>
              </w:rPr>
              <w:t>g/m</w:t>
            </w:r>
            <w:r w:rsidRPr="00EA1BB2">
              <w:rPr>
                <w:rFonts w:ascii="Cambria" w:eastAsia="Times New Roman" w:hAnsi="Cambria" w:cs="Calibri"/>
                <w:color w:val="000000"/>
                <w:vertAlign w:val="superscript"/>
                <w:lang w:eastAsia="ro-RO"/>
              </w:rPr>
              <w:t>3</w:t>
            </w:r>
          </w:p>
        </w:tc>
        <w:tc>
          <w:tcPr>
            <w:tcW w:w="1114" w:type="dxa"/>
            <w:shd w:val="clear" w:color="auto" w:fill="auto"/>
            <w:noWrap/>
            <w:vAlign w:val="center"/>
          </w:tcPr>
          <w:p w14:paraId="1DD63189" w14:textId="77777777" w:rsidR="00301413" w:rsidRPr="00EA1BB2" w:rsidRDefault="00301413" w:rsidP="00301413">
            <w:pPr>
              <w:spacing w:line="360" w:lineRule="auto"/>
              <w:jc w:val="center"/>
              <w:rPr>
                <w:rFonts w:ascii="Cambria" w:eastAsia="Times New Roman" w:hAnsi="Cambria" w:cs="Arial"/>
                <w:color w:val="000000"/>
                <w:lang w:eastAsia="ro-RO"/>
              </w:rPr>
            </w:pPr>
            <w:r w:rsidRPr="00EA1BB2">
              <w:rPr>
                <w:rFonts w:ascii="Cambria" w:hAnsi="Cambria" w:cs="Calibri"/>
                <w:color w:val="000000"/>
              </w:rPr>
              <w:t>3,679</w:t>
            </w:r>
          </w:p>
        </w:tc>
        <w:tc>
          <w:tcPr>
            <w:tcW w:w="1114" w:type="dxa"/>
            <w:vAlign w:val="center"/>
          </w:tcPr>
          <w:p w14:paraId="3D3723BF" w14:textId="77777777" w:rsidR="00301413" w:rsidRPr="00EA1BB2" w:rsidRDefault="00301413" w:rsidP="00301413">
            <w:pPr>
              <w:spacing w:line="360" w:lineRule="auto"/>
              <w:jc w:val="center"/>
              <w:rPr>
                <w:rFonts w:ascii="Cambria" w:hAnsi="Cambria" w:cs="Calibri"/>
                <w:color w:val="000000"/>
              </w:rPr>
            </w:pPr>
            <w:r w:rsidRPr="00EA1BB2">
              <w:rPr>
                <w:rFonts w:ascii="Cambria" w:hAnsi="Cambria" w:cs="Calibri"/>
                <w:color w:val="000000"/>
              </w:rPr>
              <w:t>0,001</w:t>
            </w:r>
          </w:p>
        </w:tc>
        <w:tc>
          <w:tcPr>
            <w:tcW w:w="1596" w:type="dxa"/>
            <w:vAlign w:val="center"/>
          </w:tcPr>
          <w:p w14:paraId="07631B1A" w14:textId="77777777" w:rsidR="00301413" w:rsidRPr="00EA1BB2" w:rsidRDefault="00301413" w:rsidP="00301413">
            <w:pPr>
              <w:spacing w:line="360" w:lineRule="auto"/>
              <w:jc w:val="center"/>
              <w:rPr>
                <w:rFonts w:ascii="Cambria" w:hAnsi="Cambria" w:cs="Calibri"/>
                <w:color w:val="000000"/>
              </w:rPr>
            </w:pPr>
            <w:r w:rsidRPr="00EA1BB2">
              <w:rPr>
                <w:rFonts w:ascii="Cambria" w:hAnsi="Cambria" w:cs="Calibri"/>
                <w:color w:val="000000"/>
              </w:rPr>
              <w:t>3,678</w:t>
            </w:r>
          </w:p>
        </w:tc>
        <w:tc>
          <w:tcPr>
            <w:tcW w:w="1114" w:type="dxa"/>
            <w:vAlign w:val="center"/>
          </w:tcPr>
          <w:p w14:paraId="00135737" w14:textId="77777777" w:rsidR="00301413" w:rsidRPr="00EA1BB2" w:rsidRDefault="00301413" w:rsidP="00301413">
            <w:pPr>
              <w:spacing w:line="360" w:lineRule="auto"/>
              <w:jc w:val="center"/>
              <w:rPr>
                <w:rFonts w:ascii="Cambria" w:hAnsi="Cambria" w:cs="Calibri"/>
                <w:color w:val="000000"/>
              </w:rPr>
            </w:pPr>
            <w:r w:rsidRPr="00EA1BB2">
              <w:rPr>
                <w:rFonts w:ascii="Cambria" w:hAnsi="Cambria"/>
              </w:rPr>
              <w:t>3,041</w:t>
            </w:r>
          </w:p>
        </w:tc>
        <w:tc>
          <w:tcPr>
            <w:tcW w:w="1114" w:type="dxa"/>
            <w:vAlign w:val="center"/>
          </w:tcPr>
          <w:p w14:paraId="01059740" w14:textId="77777777" w:rsidR="00301413" w:rsidRPr="00EA1BB2" w:rsidRDefault="00301413" w:rsidP="00301413">
            <w:pPr>
              <w:spacing w:line="360" w:lineRule="auto"/>
              <w:jc w:val="center"/>
              <w:rPr>
                <w:rFonts w:ascii="Cambria" w:hAnsi="Cambria"/>
              </w:rPr>
            </w:pPr>
            <w:r w:rsidRPr="00EA1BB2">
              <w:rPr>
                <w:rFonts w:ascii="Cambria" w:hAnsi="Cambria"/>
              </w:rPr>
              <w:t>0,001</w:t>
            </w:r>
          </w:p>
        </w:tc>
        <w:tc>
          <w:tcPr>
            <w:tcW w:w="1596" w:type="dxa"/>
            <w:vAlign w:val="center"/>
          </w:tcPr>
          <w:p w14:paraId="4E88238E" w14:textId="77777777" w:rsidR="00301413" w:rsidRPr="00EA1BB2" w:rsidRDefault="00301413" w:rsidP="00301413">
            <w:pPr>
              <w:spacing w:line="360" w:lineRule="auto"/>
              <w:jc w:val="center"/>
              <w:rPr>
                <w:rFonts w:ascii="Cambria" w:hAnsi="Cambria"/>
              </w:rPr>
            </w:pPr>
            <w:r w:rsidRPr="00EA1BB2">
              <w:rPr>
                <w:rFonts w:ascii="Cambria" w:hAnsi="Cambria"/>
              </w:rPr>
              <w:t>3,040</w:t>
            </w:r>
          </w:p>
        </w:tc>
      </w:tr>
      <w:tr w:rsidR="00301413" w:rsidRPr="00EA1BB2" w14:paraId="4B8CBDD1" w14:textId="77777777" w:rsidTr="00585E25">
        <w:trPr>
          <w:trHeight w:val="188"/>
          <w:jc w:val="center"/>
        </w:trPr>
        <w:tc>
          <w:tcPr>
            <w:tcW w:w="907" w:type="dxa"/>
            <w:shd w:val="clear" w:color="auto" w:fill="auto"/>
            <w:noWrap/>
            <w:vAlign w:val="center"/>
          </w:tcPr>
          <w:p w14:paraId="4E6C5408" w14:textId="77777777" w:rsidR="00301413" w:rsidRPr="00EA1BB2" w:rsidRDefault="00301413" w:rsidP="00301413">
            <w:pPr>
              <w:spacing w:line="360" w:lineRule="auto"/>
              <w:jc w:val="center"/>
              <w:rPr>
                <w:rFonts w:ascii="Cambria" w:eastAsia="Times New Roman" w:hAnsi="Cambria" w:cs="Arial"/>
                <w:color w:val="000000"/>
                <w:lang w:eastAsia="ro-RO"/>
              </w:rPr>
            </w:pPr>
            <w:r w:rsidRPr="00EA1BB2">
              <w:rPr>
                <w:rFonts w:ascii="Cambria" w:hAnsi="Cambria" w:cs="Calibri"/>
                <w:color w:val="000000"/>
              </w:rPr>
              <w:t>NO</w:t>
            </w:r>
            <w:r w:rsidRPr="00EA1BB2">
              <w:rPr>
                <w:rFonts w:ascii="Cambria" w:hAnsi="Cambria" w:cs="Calibri"/>
                <w:color w:val="000000"/>
                <w:vertAlign w:val="subscript"/>
              </w:rPr>
              <w:t>2</w:t>
            </w:r>
          </w:p>
        </w:tc>
        <w:tc>
          <w:tcPr>
            <w:tcW w:w="860" w:type="dxa"/>
            <w:shd w:val="clear" w:color="auto" w:fill="auto"/>
            <w:noWrap/>
            <w:vAlign w:val="center"/>
          </w:tcPr>
          <w:p w14:paraId="2CE090BF" w14:textId="77777777" w:rsidR="00301413" w:rsidRPr="00EA1BB2" w:rsidRDefault="00301413" w:rsidP="00301413">
            <w:pPr>
              <w:spacing w:line="360" w:lineRule="auto"/>
              <w:jc w:val="center"/>
              <w:rPr>
                <w:rFonts w:ascii="Cambria" w:eastAsia="Times New Roman" w:hAnsi="Cambria" w:cs="Arial"/>
                <w:color w:val="000000"/>
                <w:lang w:eastAsia="ro-RO"/>
              </w:rPr>
            </w:pPr>
            <w:r w:rsidRPr="00EA1BB2">
              <w:rPr>
                <w:rFonts w:ascii="Cambria" w:eastAsia="Times New Roman" w:hAnsi="Cambria" w:cs="Arial"/>
                <w:color w:val="000000"/>
                <w:lang w:eastAsia="ro-RO"/>
              </w:rPr>
              <w:t>µ</w:t>
            </w:r>
            <w:r w:rsidRPr="00EA1BB2">
              <w:rPr>
                <w:rFonts w:ascii="Cambria" w:eastAsia="Times New Roman" w:hAnsi="Cambria" w:cs="Calibri"/>
                <w:color w:val="000000"/>
                <w:lang w:eastAsia="ro-RO"/>
              </w:rPr>
              <w:t>g/m</w:t>
            </w:r>
            <w:r w:rsidRPr="00EA1BB2">
              <w:rPr>
                <w:rFonts w:ascii="Cambria" w:eastAsia="Times New Roman" w:hAnsi="Cambria" w:cs="Calibri"/>
                <w:color w:val="000000"/>
                <w:vertAlign w:val="superscript"/>
                <w:lang w:eastAsia="ro-RO"/>
              </w:rPr>
              <w:t>3</w:t>
            </w:r>
          </w:p>
        </w:tc>
        <w:tc>
          <w:tcPr>
            <w:tcW w:w="1114" w:type="dxa"/>
            <w:shd w:val="clear" w:color="auto" w:fill="auto"/>
            <w:noWrap/>
            <w:vAlign w:val="center"/>
          </w:tcPr>
          <w:p w14:paraId="3E1DC10F" w14:textId="77777777" w:rsidR="00301413" w:rsidRPr="00EA1BB2" w:rsidRDefault="00301413" w:rsidP="00301413">
            <w:pPr>
              <w:spacing w:line="360" w:lineRule="auto"/>
              <w:jc w:val="center"/>
              <w:rPr>
                <w:rFonts w:ascii="Cambria" w:eastAsia="Times New Roman" w:hAnsi="Cambria" w:cs="Arial"/>
                <w:color w:val="000000"/>
                <w:lang w:eastAsia="ro-RO"/>
              </w:rPr>
            </w:pPr>
            <w:r w:rsidRPr="00EA1BB2">
              <w:rPr>
                <w:rFonts w:ascii="Cambria" w:hAnsi="Cambria" w:cs="Calibri"/>
                <w:color w:val="000000"/>
              </w:rPr>
              <w:t>11,663</w:t>
            </w:r>
          </w:p>
        </w:tc>
        <w:tc>
          <w:tcPr>
            <w:tcW w:w="1114" w:type="dxa"/>
            <w:vAlign w:val="center"/>
          </w:tcPr>
          <w:p w14:paraId="168435D7" w14:textId="77777777" w:rsidR="00301413" w:rsidRPr="00EA1BB2" w:rsidRDefault="00301413" w:rsidP="00301413">
            <w:pPr>
              <w:spacing w:line="360" w:lineRule="auto"/>
              <w:jc w:val="center"/>
              <w:rPr>
                <w:rFonts w:ascii="Cambria" w:hAnsi="Cambria" w:cs="Calibri"/>
                <w:color w:val="000000"/>
              </w:rPr>
            </w:pPr>
            <w:r w:rsidRPr="00EA1BB2">
              <w:rPr>
                <w:rFonts w:ascii="Cambria" w:hAnsi="Cambria"/>
              </w:rPr>
              <w:t>7,393</w:t>
            </w:r>
          </w:p>
        </w:tc>
        <w:tc>
          <w:tcPr>
            <w:tcW w:w="1596" w:type="dxa"/>
            <w:vAlign w:val="center"/>
          </w:tcPr>
          <w:p w14:paraId="69124754" w14:textId="77777777" w:rsidR="00301413" w:rsidRPr="00EA1BB2" w:rsidRDefault="00301413" w:rsidP="00301413">
            <w:pPr>
              <w:spacing w:line="360" w:lineRule="auto"/>
              <w:jc w:val="center"/>
              <w:rPr>
                <w:rFonts w:ascii="Cambria" w:hAnsi="Cambria" w:cs="Calibri"/>
                <w:color w:val="000000"/>
              </w:rPr>
            </w:pPr>
            <w:r w:rsidRPr="00EA1BB2">
              <w:rPr>
                <w:rFonts w:ascii="Cambria" w:hAnsi="Cambria" w:cs="Calibri"/>
                <w:color w:val="000000"/>
              </w:rPr>
              <w:t>4,27</w:t>
            </w:r>
          </w:p>
        </w:tc>
        <w:tc>
          <w:tcPr>
            <w:tcW w:w="1114" w:type="dxa"/>
            <w:vAlign w:val="center"/>
          </w:tcPr>
          <w:p w14:paraId="7D4753A1" w14:textId="77777777" w:rsidR="00301413" w:rsidRPr="00EA1BB2" w:rsidRDefault="00301413" w:rsidP="00301413">
            <w:pPr>
              <w:spacing w:line="360" w:lineRule="auto"/>
              <w:jc w:val="center"/>
              <w:rPr>
                <w:rFonts w:ascii="Cambria" w:hAnsi="Cambria" w:cs="Calibri"/>
                <w:color w:val="000000"/>
              </w:rPr>
            </w:pPr>
            <w:r w:rsidRPr="00EA1BB2">
              <w:rPr>
                <w:rFonts w:ascii="Cambria" w:hAnsi="Cambria"/>
              </w:rPr>
              <w:t>9,406</w:t>
            </w:r>
          </w:p>
        </w:tc>
        <w:tc>
          <w:tcPr>
            <w:tcW w:w="1114" w:type="dxa"/>
            <w:vAlign w:val="center"/>
          </w:tcPr>
          <w:p w14:paraId="346039D4" w14:textId="77777777" w:rsidR="00301413" w:rsidRPr="00EA1BB2" w:rsidRDefault="00301413" w:rsidP="00301413">
            <w:pPr>
              <w:spacing w:line="360" w:lineRule="auto"/>
              <w:jc w:val="center"/>
              <w:rPr>
                <w:rFonts w:ascii="Cambria" w:hAnsi="Cambria"/>
              </w:rPr>
            </w:pPr>
            <w:r w:rsidRPr="00EA1BB2">
              <w:rPr>
                <w:rFonts w:ascii="Cambria" w:hAnsi="Cambria"/>
              </w:rPr>
              <w:t>5,962</w:t>
            </w:r>
          </w:p>
        </w:tc>
        <w:tc>
          <w:tcPr>
            <w:tcW w:w="1596" w:type="dxa"/>
            <w:vAlign w:val="center"/>
          </w:tcPr>
          <w:p w14:paraId="6A975B0C" w14:textId="77777777" w:rsidR="00301413" w:rsidRPr="00EA1BB2" w:rsidRDefault="00301413" w:rsidP="00301413">
            <w:pPr>
              <w:spacing w:line="360" w:lineRule="auto"/>
              <w:jc w:val="center"/>
              <w:rPr>
                <w:rFonts w:ascii="Cambria" w:hAnsi="Cambria"/>
              </w:rPr>
            </w:pPr>
            <w:r w:rsidRPr="00EA1BB2">
              <w:rPr>
                <w:rFonts w:ascii="Cambria" w:hAnsi="Cambria"/>
              </w:rPr>
              <w:t>3,444</w:t>
            </w:r>
          </w:p>
        </w:tc>
      </w:tr>
      <w:tr w:rsidR="00301413" w:rsidRPr="00EA1BB2" w14:paraId="542AAFEE" w14:textId="77777777" w:rsidTr="00585E25">
        <w:trPr>
          <w:trHeight w:val="188"/>
          <w:jc w:val="center"/>
        </w:trPr>
        <w:tc>
          <w:tcPr>
            <w:tcW w:w="907" w:type="dxa"/>
            <w:shd w:val="clear" w:color="auto" w:fill="auto"/>
            <w:noWrap/>
            <w:vAlign w:val="center"/>
          </w:tcPr>
          <w:p w14:paraId="715AC853" w14:textId="77777777" w:rsidR="00301413" w:rsidRPr="00EA1BB2" w:rsidRDefault="00301413" w:rsidP="00301413">
            <w:pPr>
              <w:spacing w:line="360" w:lineRule="auto"/>
              <w:jc w:val="center"/>
              <w:rPr>
                <w:rFonts w:ascii="Cambria" w:eastAsia="Times New Roman" w:hAnsi="Cambria" w:cs="Arial"/>
                <w:color w:val="000000"/>
                <w:lang w:eastAsia="ro-RO"/>
              </w:rPr>
            </w:pPr>
            <w:r w:rsidRPr="00EA1BB2">
              <w:rPr>
                <w:rFonts w:ascii="Cambria" w:hAnsi="Cambria" w:cs="Calibri"/>
                <w:color w:val="000000"/>
              </w:rPr>
              <w:t>NOx</w:t>
            </w:r>
          </w:p>
        </w:tc>
        <w:tc>
          <w:tcPr>
            <w:tcW w:w="860" w:type="dxa"/>
            <w:shd w:val="clear" w:color="auto" w:fill="auto"/>
            <w:noWrap/>
            <w:vAlign w:val="center"/>
          </w:tcPr>
          <w:p w14:paraId="42C40A58" w14:textId="77777777" w:rsidR="00301413" w:rsidRPr="00EA1BB2" w:rsidRDefault="00301413" w:rsidP="00301413">
            <w:pPr>
              <w:spacing w:line="360" w:lineRule="auto"/>
              <w:jc w:val="center"/>
              <w:rPr>
                <w:rFonts w:ascii="Cambria" w:eastAsia="Times New Roman" w:hAnsi="Cambria" w:cs="Arial"/>
                <w:color w:val="000000"/>
                <w:lang w:eastAsia="ro-RO"/>
              </w:rPr>
            </w:pPr>
            <w:r w:rsidRPr="00EA1BB2">
              <w:rPr>
                <w:rFonts w:ascii="Cambria" w:eastAsia="Times New Roman" w:hAnsi="Cambria" w:cs="Arial"/>
                <w:color w:val="000000"/>
                <w:lang w:eastAsia="ro-RO"/>
              </w:rPr>
              <w:t>µ</w:t>
            </w:r>
            <w:r w:rsidRPr="00EA1BB2">
              <w:rPr>
                <w:rFonts w:ascii="Cambria" w:eastAsia="Times New Roman" w:hAnsi="Cambria" w:cs="Calibri"/>
                <w:color w:val="000000"/>
                <w:lang w:eastAsia="ro-RO"/>
              </w:rPr>
              <w:t>g/m</w:t>
            </w:r>
            <w:r w:rsidRPr="00EA1BB2">
              <w:rPr>
                <w:rFonts w:ascii="Cambria" w:eastAsia="Times New Roman" w:hAnsi="Cambria" w:cs="Calibri"/>
                <w:color w:val="000000"/>
                <w:vertAlign w:val="superscript"/>
                <w:lang w:eastAsia="ro-RO"/>
              </w:rPr>
              <w:t>3</w:t>
            </w:r>
          </w:p>
        </w:tc>
        <w:tc>
          <w:tcPr>
            <w:tcW w:w="1114" w:type="dxa"/>
            <w:shd w:val="clear" w:color="auto" w:fill="auto"/>
            <w:noWrap/>
            <w:vAlign w:val="center"/>
          </w:tcPr>
          <w:p w14:paraId="75CDA4E9" w14:textId="77777777" w:rsidR="00301413" w:rsidRPr="00EA1BB2" w:rsidRDefault="00301413" w:rsidP="00301413">
            <w:pPr>
              <w:spacing w:line="360" w:lineRule="auto"/>
              <w:jc w:val="center"/>
              <w:rPr>
                <w:rFonts w:ascii="Cambria" w:eastAsia="Times New Roman" w:hAnsi="Cambria" w:cs="Arial"/>
                <w:color w:val="000000"/>
                <w:lang w:eastAsia="ro-RO"/>
              </w:rPr>
            </w:pPr>
            <w:r w:rsidRPr="00EA1BB2">
              <w:rPr>
                <w:rFonts w:ascii="Cambria" w:hAnsi="Cambria" w:cs="Calibri"/>
                <w:color w:val="000000"/>
              </w:rPr>
              <w:t>12,191</w:t>
            </w:r>
          </w:p>
        </w:tc>
        <w:tc>
          <w:tcPr>
            <w:tcW w:w="1114" w:type="dxa"/>
            <w:vAlign w:val="center"/>
          </w:tcPr>
          <w:p w14:paraId="6D3C81C4" w14:textId="77777777" w:rsidR="00301413" w:rsidRPr="00EA1BB2" w:rsidRDefault="00301413" w:rsidP="00301413">
            <w:pPr>
              <w:spacing w:line="360" w:lineRule="auto"/>
              <w:jc w:val="center"/>
              <w:rPr>
                <w:rFonts w:ascii="Cambria" w:hAnsi="Cambria" w:cs="Calibri"/>
                <w:color w:val="000000"/>
              </w:rPr>
            </w:pPr>
            <w:r w:rsidRPr="00EA1BB2">
              <w:rPr>
                <w:rFonts w:ascii="Cambria" w:hAnsi="Cambria"/>
              </w:rPr>
              <w:t>3,731</w:t>
            </w:r>
          </w:p>
        </w:tc>
        <w:tc>
          <w:tcPr>
            <w:tcW w:w="1596" w:type="dxa"/>
            <w:vAlign w:val="center"/>
          </w:tcPr>
          <w:p w14:paraId="454B379C" w14:textId="77777777" w:rsidR="00301413" w:rsidRPr="00EA1BB2" w:rsidRDefault="00301413" w:rsidP="00301413">
            <w:pPr>
              <w:spacing w:line="360" w:lineRule="auto"/>
              <w:jc w:val="center"/>
              <w:rPr>
                <w:rFonts w:ascii="Cambria" w:hAnsi="Cambria" w:cs="Calibri"/>
                <w:color w:val="000000"/>
              </w:rPr>
            </w:pPr>
            <w:r w:rsidRPr="00EA1BB2">
              <w:rPr>
                <w:rFonts w:ascii="Cambria" w:hAnsi="Cambria" w:cs="Calibri"/>
                <w:color w:val="000000"/>
              </w:rPr>
              <w:t>8,46</w:t>
            </w:r>
          </w:p>
        </w:tc>
        <w:tc>
          <w:tcPr>
            <w:tcW w:w="1114" w:type="dxa"/>
            <w:vAlign w:val="center"/>
          </w:tcPr>
          <w:p w14:paraId="71A13BCD" w14:textId="77777777" w:rsidR="00301413" w:rsidRPr="00EA1BB2" w:rsidRDefault="00301413" w:rsidP="00301413">
            <w:pPr>
              <w:spacing w:line="360" w:lineRule="auto"/>
              <w:jc w:val="center"/>
              <w:rPr>
                <w:rFonts w:ascii="Cambria" w:hAnsi="Cambria" w:cs="Calibri"/>
                <w:color w:val="000000"/>
              </w:rPr>
            </w:pPr>
            <w:r w:rsidRPr="00EA1BB2">
              <w:rPr>
                <w:rFonts w:ascii="Cambria" w:hAnsi="Cambria"/>
              </w:rPr>
              <w:t>11,350</w:t>
            </w:r>
          </w:p>
        </w:tc>
        <w:tc>
          <w:tcPr>
            <w:tcW w:w="1114" w:type="dxa"/>
            <w:vAlign w:val="center"/>
          </w:tcPr>
          <w:p w14:paraId="51802966" w14:textId="77777777" w:rsidR="00301413" w:rsidRPr="00EA1BB2" w:rsidRDefault="00301413" w:rsidP="00301413">
            <w:pPr>
              <w:spacing w:line="360" w:lineRule="auto"/>
              <w:jc w:val="center"/>
              <w:rPr>
                <w:rFonts w:ascii="Cambria" w:hAnsi="Cambria"/>
              </w:rPr>
            </w:pPr>
            <w:r w:rsidRPr="00EA1BB2">
              <w:rPr>
                <w:rFonts w:ascii="Cambria" w:hAnsi="Cambria"/>
              </w:rPr>
              <w:t>3,474</w:t>
            </w:r>
          </w:p>
        </w:tc>
        <w:tc>
          <w:tcPr>
            <w:tcW w:w="1596" w:type="dxa"/>
            <w:vAlign w:val="center"/>
          </w:tcPr>
          <w:p w14:paraId="3CC106B2" w14:textId="77777777" w:rsidR="00301413" w:rsidRPr="00EA1BB2" w:rsidRDefault="00301413" w:rsidP="00301413">
            <w:pPr>
              <w:spacing w:line="360" w:lineRule="auto"/>
              <w:jc w:val="center"/>
              <w:rPr>
                <w:rFonts w:ascii="Cambria" w:hAnsi="Cambria"/>
              </w:rPr>
            </w:pPr>
            <w:r w:rsidRPr="00EA1BB2">
              <w:rPr>
                <w:rFonts w:ascii="Cambria" w:hAnsi="Cambria"/>
              </w:rPr>
              <w:t>7,876</w:t>
            </w:r>
          </w:p>
        </w:tc>
      </w:tr>
      <w:tr w:rsidR="00301413" w:rsidRPr="00EA1BB2" w14:paraId="721056D0" w14:textId="77777777" w:rsidTr="00585E25">
        <w:trPr>
          <w:trHeight w:val="188"/>
          <w:jc w:val="center"/>
        </w:trPr>
        <w:tc>
          <w:tcPr>
            <w:tcW w:w="907" w:type="dxa"/>
            <w:shd w:val="clear" w:color="auto" w:fill="auto"/>
            <w:noWrap/>
            <w:vAlign w:val="center"/>
          </w:tcPr>
          <w:p w14:paraId="04AC326E" w14:textId="77777777" w:rsidR="00301413" w:rsidRPr="00EA1BB2" w:rsidRDefault="00301413" w:rsidP="00301413">
            <w:pPr>
              <w:spacing w:line="360" w:lineRule="auto"/>
              <w:jc w:val="center"/>
              <w:rPr>
                <w:rFonts w:ascii="Cambria" w:eastAsia="Times New Roman" w:hAnsi="Cambria" w:cs="Arial"/>
                <w:color w:val="000000"/>
                <w:lang w:eastAsia="ro-RO"/>
              </w:rPr>
            </w:pPr>
            <w:r w:rsidRPr="00EA1BB2">
              <w:rPr>
                <w:rFonts w:ascii="Cambria" w:hAnsi="Cambria" w:cs="Calibri"/>
                <w:color w:val="000000"/>
              </w:rPr>
              <w:t>CO</w:t>
            </w:r>
          </w:p>
        </w:tc>
        <w:tc>
          <w:tcPr>
            <w:tcW w:w="860" w:type="dxa"/>
            <w:shd w:val="clear" w:color="auto" w:fill="auto"/>
            <w:noWrap/>
            <w:vAlign w:val="center"/>
          </w:tcPr>
          <w:p w14:paraId="5D1747D4" w14:textId="77777777" w:rsidR="00301413" w:rsidRPr="00EA1BB2" w:rsidRDefault="00301413" w:rsidP="00301413">
            <w:pPr>
              <w:spacing w:line="360" w:lineRule="auto"/>
              <w:ind w:left="-17" w:right="-81"/>
              <w:jc w:val="center"/>
              <w:rPr>
                <w:rFonts w:ascii="Cambria" w:eastAsia="Times New Roman" w:hAnsi="Cambria" w:cs="Arial"/>
                <w:color w:val="000000"/>
                <w:lang w:eastAsia="ro-RO"/>
              </w:rPr>
            </w:pPr>
            <w:r w:rsidRPr="00EA1BB2">
              <w:rPr>
                <w:rFonts w:ascii="Cambria" w:eastAsia="Times New Roman" w:hAnsi="Cambria" w:cs="Arial"/>
                <w:color w:val="000000"/>
                <w:lang w:eastAsia="ro-RO"/>
              </w:rPr>
              <w:t>m</w:t>
            </w:r>
            <w:r w:rsidRPr="00EA1BB2">
              <w:rPr>
                <w:rFonts w:ascii="Cambria" w:eastAsia="Times New Roman" w:hAnsi="Cambria" w:cs="Calibri"/>
                <w:color w:val="000000"/>
                <w:lang w:eastAsia="ro-RO"/>
              </w:rPr>
              <w:t>g/m</w:t>
            </w:r>
            <w:r w:rsidRPr="00EA1BB2">
              <w:rPr>
                <w:rFonts w:ascii="Cambria" w:eastAsia="Times New Roman" w:hAnsi="Cambria" w:cs="Calibri"/>
                <w:color w:val="000000"/>
                <w:vertAlign w:val="superscript"/>
                <w:lang w:eastAsia="ro-RO"/>
              </w:rPr>
              <w:t>3</w:t>
            </w:r>
          </w:p>
        </w:tc>
        <w:tc>
          <w:tcPr>
            <w:tcW w:w="1114" w:type="dxa"/>
            <w:shd w:val="clear" w:color="auto" w:fill="auto"/>
            <w:noWrap/>
            <w:vAlign w:val="center"/>
          </w:tcPr>
          <w:p w14:paraId="612B6DC0" w14:textId="77777777" w:rsidR="00301413" w:rsidRPr="00EA1BB2" w:rsidRDefault="00301413" w:rsidP="00301413">
            <w:pPr>
              <w:spacing w:line="360" w:lineRule="auto"/>
              <w:ind w:right="-125"/>
              <w:jc w:val="center"/>
              <w:rPr>
                <w:rFonts w:ascii="Cambria" w:eastAsia="Times New Roman" w:hAnsi="Cambria" w:cs="Arial"/>
                <w:color w:val="000000"/>
                <w:lang w:eastAsia="ro-RO"/>
              </w:rPr>
            </w:pPr>
            <w:r w:rsidRPr="00EA1BB2">
              <w:rPr>
                <w:rFonts w:ascii="Cambria" w:hAnsi="Cambria" w:cs="Calibri"/>
                <w:color w:val="000000"/>
              </w:rPr>
              <w:t>0,630434</w:t>
            </w:r>
          </w:p>
        </w:tc>
        <w:tc>
          <w:tcPr>
            <w:tcW w:w="1114" w:type="dxa"/>
            <w:vAlign w:val="center"/>
          </w:tcPr>
          <w:p w14:paraId="5A1E4181" w14:textId="77777777" w:rsidR="00301413" w:rsidRPr="00EA1BB2" w:rsidRDefault="00301413" w:rsidP="00301413">
            <w:pPr>
              <w:spacing w:line="360" w:lineRule="auto"/>
              <w:ind w:right="-48"/>
              <w:jc w:val="center"/>
              <w:rPr>
                <w:rFonts w:ascii="Cambria" w:hAnsi="Cambria" w:cs="Calibri"/>
                <w:color w:val="000000"/>
              </w:rPr>
            </w:pPr>
            <w:r w:rsidRPr="00EA1BB2">
              <w:rPr>
                <w:rFonts w:ascii="Cambria" w:hAnsi="Cambria"/>
              </w:rPr>
              <w:t>0,190434</w:t>
            </w:r>
          </w:p>
        </w:tc>
        <w:tc>
          <w:tcPr>
            <w:tcW w:w="1596" w:type="dxa"/>
            <w:vAlign w:val="center"/>
          </w:tcPr>
          <w:p w14:paraId="55C3DB23" w14:textId="77777777" w:rsidR="00301413" w:rsidRPr="00EA1BB2" w:rsidRDefault="00301413" w:rsidP="00301413">
            <w:pPr>
              <w:spacing w:line="360" w:lineRule="auto"/>
              <w:jc w:val="center"/>
              <w:rPr>
                <w:rFonts w:ascii="Cambria" w:hAnsi="Cambria" w:cs="Calibri"/>
                <w:color w:val="000000"/>
              </w:rPr>
            </w:pPr>
            <w:r w:rsidRPr="00EA1BB2">
              <w:rPr>
                <w:rFonts w:ascii="Cambria" w:hAnsi="Cambria" w:cs="Calibri"/>
                <w:color w:val="000000"/>
              </w:rPr>
              <w:t>0,440</w:t>
            </w:r>
          </w:p>
        </w:tc>
        <w:tc>
          <w:tcPr>
            <w:tcW w:w="1114" w:type="dxa"/>
            <w:vAlign w:val="center"/>
          </w:tcPr>
          <w:p w14:paraId="55BAAF6C" w14:textId="77777777" w:rsidR="00301413" w:rsidRPr="00EA1BB2" w:rsidRDefault="00301413" w:rsidP="00301413">
            <w:pPr>
              <w:spacing w:line="360" w:lineRule="auto"/>
              <w:ind w:right="-151"/>
              <w:jc w:val="center"/>
              <w:rPr>
                <w:rFonts w:ascii="Cambria" w:hAnsi="Cambria" w:cs="Calibri"/>
                <w:color w:val="000000"/>
              </w:rPr>
            </w:pPr>
            <w:r w:rsidRPr="00EA1BB2">
              <w:rPr>
                <w:rFonts w:ascii="Cambria" w:hAnsi="Cambria"/>
              </w:rPr>
              <w:t>0,306377</w:t>
            </w:r>
          </w:p>
        </w:tc>
        <w:tc>
          <w:tcPr>
            <w:tcW w:w="1114" w:type="dxa"/>
            <w:vAlign w:val="center"/>
          </w:tcPr>
          <w:p w14:paraId="75E896AD" w14:textId="77777777" w:rsidR="00301413" w:rsidRPr="00EA1BB2" w:rsidRDefault="00301413" w:rsidP="00301413">
            <w:pPr>
              <w:spacing w:line="360" w:lineRule="auto"/>
              <w:ind w:right="-83"/>
              <w:jc w:val="center"/>
              <w:rPr>
                <w:rFonts w:ascii="Cambria" w:hAnsi="Cambria"/>
              </w:rPr>
            </w:pPr>
            <w:r w:rsidRPr="00EA1BB2">
              <w:rPr>
                <w:rFonts w:ascii="Cambria" w:hAnsi="Cambria"/>
              </w:rPr>
              <w:t>0,092377</w:t>
            </w:r>
          </w:p>
        </w:tc>
        <w:tc>
          <w:tcPr>
            <w:tcW w:w="1596" w:type="dxa"/>
            <w:vAlign w:val="center"/>
          </w:tcPr>
          <w:p w14:paraId="76E95FE2" w14:textId="77777777" w:rsidR="00301413" w:rsidRPr="00EA1BB2" w:rsidRDefault="00301413" w:rsidP="00301413">
            <w:pPr>
              <w:spacing w:line="360" w:lineRule="auto"/>
              <w:jc w:val="center"/>
              <w:rPr>
                <w:rFonts w:ascii="Cambria" w:hAnsi="Cambria"/>
              </w:rPr>
            </w:pPr>
            <w:r w:rsidRPr="00EA1BB2">
              <w:rPr>
                <w:rFonts w:ascii="Cambria" w:hAnsi="Cambria"/>
              </w:rPr>
              <w:t>0,214</w:t>
            </w:r>
          </w:p>
        </w:tc>
      </w:tr>
      <w:tr w:rsidR="00301413" w:rsidRPr="00EA1BB2" w14:paraId="630BA814" w14:textId="77777777" w:rsidTr="00585E25">
        <w:trPr>
          <w:trHeight w:val="188"/>
          <w:jc w:val="center"/>
        </w:trPr>
        <w:tc>
          <w:tcPr>
            <w:tcW w:w="907" w:type="dxa"/>
            <w:shd w:val="clear" w:color="auto" w:fill="auto"/>
            <w:noWrap/>
            <w:vAlign w:val="center"/>
          </w:tcPr>
          <w:p w14:paraId="77DF512F" w14:textId="77777777" w:rsidR="00301413" w:rsidRPr="00EA1BB2" w:rsidRDefault="00301413" w:rsidP="00301413">
            <w:pPr>
              <w:spacing w:line="360" w:lineRule="auto"/>
              <w:jc w:val="center"/>
              <w:rPr>
                <w:rFonts w:ascii="Cambria" w:eastAsia="Times New Roman" w:hAnsi="Cambria" w:cs="Arial"/>
                <w:color w:val="000000"/>
                <w:lang w:eastAsia="ro-RO"/>
              </w:rPr>
            </w:pPr>
            <w:r w:rsidRPr="00EA1BB2">
              <w:rPr>
                <w:rFonts w:ascii="Cambria" w:hAnsi="Cambria" w:cs="Calibri"/>
                <w:color w:val="000000"/>
              </w:rPr>
              <w:t>C</w:t>
            </w:r>
            <w:r w:rsidRPr="00EA1BB2">
              <w:rPr>
                <w:rFonts w:ascii="Cambria" w:hAnsi="Cambria" w:cs="Calibri"/>
                <w:color w:val="000000"/>
                <w:vertAlign w:val="subscript"/>
              </w:rPr>
              <w:t>6</w:t>
            </w:r>
            <w:r w:rsidRPr="00EA1BB2">
              <w:rPr>
                <w:rFonts w:ascii="Cambria" w:hAnsi="Cambria" w:cs="Calibri"/>
                <w:color w:val="000000"/>
              </w:rPr>
              <w:t>H</w:t>
            </w:r>
            <w:r w:rsidRPr="00EA1BB2">
              <w:rPr>
                <w:rFonts w:ascii="Cambria" w:hAnsi="Cambria" w:cs="Calibri"/>
                <w:color w:val="000000"/>
                <w:vertAlign w:val="subscript"/>
              </w:rPr>
              <w:t>6</w:t>
            </w:r>
          </w:p>
        </w:tc>
        <w:tc>
          <w:tcPr>
            <w:tcW w:w="860" w:type="dxa"/>
            <w:shd w:val="clear" w:color="auto" w:fill="auto"/>
            <w:noWrap/>
            <w:vAlign w:val="center"/>
          </w:tcPr>
          <w:p w14:paraId="4D3A805E" w14:textId="77777777" w:rsidR="00301413" w:rsidRPr="00EA1BB2" w:rsidRDefault="00301413" w:rsidP="00301413">
            <w:pPr>
              <w:spacing w:line="360" w:lineRule="auto"/>
              <w:jc w:val="center"/>
              <w:rPr>
                <w:rFonts w:ascii="Cambria" w:eastAsia="Times New Roman" w:hAnsi="Cambria" w:cs="Arial"/>
                <w:color w:val="000000"/>
                <w:lang w:eastAsia="ro-RO"/>
              </w:rPr>
            </w:pPr>
            <w:r w:rsidRPr="00EA1BB2">
              <w:rPr>
                <w:rFonts w:ascii="Cambria" w:eastAsia="Times New Roman" w:hAnsi="Cambria" w:cs="Arial"/>
                <w:color w:val="000000"/>
                <w:lang w:eastAsia="ro-RO"/>
              </w:rPr>
              <w:t>µ</w:t>
            </w:r>
            <w:r w:rsidRPr="00EA1BB2">
              <w:rPr>
                <w:rFonts w:ascii="Cambria" w:eastAsia="Times New Roman" w:hAnsi="Cambria" w:cs="Calibri"/>
                <w:color w:val="000000"/>
                <w:lang w:eastAsia="ro-RO"/>
              </w:rPr>
              <w:t>g/m</w:t>
            </w:r>
            <w:r w:rsidRPr="00EA1BB2">
              <w:rPr>
                <w:rFonts w:ascii="Cambria" w:eastAsia="Times New Roman" w:hAnsi="Cambria" w:cs="Calibri"/>
                <w:color w:val="000000"/>
                <w:vertAlign w:val="superscript"/>
                <w:lang w:eastAsia="ro-RO"/>
              </w:rPr>
              <w:t>3</w:t>
            </w:r>
          </w:p>
        </w:tc>
        <w:tc>
          <w:tcPr>
            <w:tcW w:w="1114" w:type="dxa"/>
            <w:shd w:val="clear" w:color="auto" w:fill="auto"/>
            <w:noWrap/>
            <w:vAlign w:val="center"/>
          </w:tcPr>
          <w:p w14:paraId="585B7F92" w14:textId="77777777" w:rsidR="00301413" w:rsidRPr="00EA1BB2" w:rsidRDefault="00301413" w:rsidP="00301413">
            <w:pPr>
              <w:spacing w:line="360" w:lineRule="auto"/>
              <w:jc w:val="center"/>
              <w:rPr>
                <w:rFonts w:ascii="Cambria" w:eastAsia="Times New Roman" w:hAnsi="Cambria" w:cs="Arial"/>
                <w:color w:val="000000"/>
                <w:lang w:eastAsia="ro-RO"/>
              </w:rPr>
            </w:pPr>
            <w:r w:rsidRPr="00EA1BB2">
              <w:rPr>
                <w:rFonts w:ascii="Cambria" w:hAnsi="Cambria" w:cs="Calibri"/>
                <w:color w:val="000000"/>
              </w:rPr>
              <w:t>0,282</w:t>
            </w:r>
          </w:p>
        </w:tc>
        <w:tc>
          <w:tcPr>
            <w:tcW w:w="1114" w:type="dxa"/>
            <w:vAlign w:val="center"/>
          </w:tcPr>
          <w:p w14:paraId="4939F3AF" w14:textId="77777777" w:rsidR="00301413" w:rsidRPr="00EA1BB2" w:rsidRDefault="00301413" w:rsidP="00301413">
            <w:pPr>
              <w:spacing w:line="360" w:lineRule="auto"/>
              <w:jc w:val="center"/>
              <w:rPr>
                <w:rFonts w:ascii="Cambria" w:hAnsi="Cambria" w:cs="Calibri"/>
                <w:color w:val="000000"/>
              </w:rPr>
            </w:pPr>
            <w:r w:rsidRPr="00EA1BB2">
              <w:rPr>
                <w:rFonts w:ascii="Cambria" w:hAnsi="Cambria" w:cs="Calibri"/>
                <w:color w:val="000000"/>
              </w:rPr>
              <w:t>0,001</w:t>
            </w:r>
          </w:p>
        </w:tc>
        <w:tc>
          <w:tcPr>
            <w:tcW w:w="1596" w:type="dxa"/>
            <w:vAlign w:val="center"/>
          </w:tcPr>
          <w:p w14:paraId="4F464CC7" w14:textId="77777777" w:rsidR="00301413" w:rsidRPr="00EA1BB2" w:rsidRDefault="00301413" w:rsidP="00301413">
            <w:pPr>
              <w:spacing w:line="360" w:lineRule="auto"/>
              <w:jc w:val="center"/>
              <w:rPr>
                <w:rFonts w:ascii="Cambria" w:hAnsi="Cambria" w:cs="Calibri"/>
                <w:color w:val="000000"/>
              </w:rPr>
            </w:pPr>
            <w:r w:rsidRPr="00EA1BB2">
              <w:rPr>
                <w:rFonts w:ascii="Cambria" w:hAnsi="Cambria" w:cs="Calibri"/>
                <w:color w:val="000000"/>
              </w:rPr>
              <w:t>0,281</w:t>
            </w:r>
          </w:p>
        </w:tc>
        <w:tc>
          <w:tcPr>
            <w:tcW w:w="1114" w:type="dxa"/>
            <w:vAlign w:val="center"/>
          </w:tcPr>
          <w:p w14:paraId="56FC3DB7" w14:textId="77777777" w:rsidR="00301413" w:rsidRPr="00EA1BB2" w:rsidRDefault="00301413" w:rsidP="00301413">
            <w:pPr>
              <w:spacing w:line="360" w:lineRule="auto"/>
              <w:jc w:val="center"/>
              <w:rPr>
                <w:rFonts w:ascii="Cambria" w:hAnsi="Cambria" w:cs="Calibri"/>
                <w:color w:val="000000"/>
              </w:rPr>
            </w:pPr>
            <w:r w:rsidRPr="00EA1BB2">
              <w:rPr>
                <w:rFonts w:ascii="Cambria" w:hAnsi="Cambria"/>
              </w:rPr>
              <w:t>0,332</w:t>
            </w:r>
          </w:p>
        </w:tc>
        <w:tc>
          <w:tcPr>
            <w:tcW w:w="1114" w:type="dxa"/>
            <w:vAlign w:val="center"/>
          </w:tcPr>
          <w:p w14:paraId="25D88400" w14:textId="77777777" w:rsidR="00301413" w:rsidRPr="00EA1BB2" w:rsidRDefault="00301413" w:rsidP="00301413">
            <w:pPr>
              <w:spacing w:line="360" w:lineRule="auto"/>
              <w:jc w:val="center"/>
              <w:rPr>
                <w:rFonts w:ascii="Cambria" w:hAnsi="Cambria"/>
              </w:rPr>
            </w:pPr>
            <w:r w:rsidRPr="00EA1BB2">
              <w:rPr>
                <w:rFonts w:ascii="Cambria" w:hAnsi="Cambria"/>
              </w:rPr>
              <w:t>0,001</w:t>
            </w:r>
          </w:p>
        </w:tc>
        <w:tc>
          <w:tcPr>
            <w:tcW w:w="1596" w:type="dxa"/>
            <w:vAlign w:val="center"/>
          </w:tcPr>
          <w:p w14:paraId="7E4CCAC3" w14:textId="77777777" w:rsidR="00301413" w:rsidRPr="00EA1BB2" w:rsidRDefault="00301413" w:rsidP="00301413">
            <w:pPr>
              <w:spacing w:line="360" w:lineRule="auto"/>
              <w:jc w:val="center"/>
              <w:rPr>
                <w:rFonts w:ascii="Cambria" w:hAnsi="Cambria"/>
              </w:rPr>
            </w:pPr>
            <w:r w:rsidRPr="00EA1BB2">
              <w:rPr>
                <w:rFonts w:ascii="Cambria" w:hAnsi="Cambria"/>
              </w:rPr>
              <w:t>0,331</w:t>
            </w:r>
          </w:p>
        </w:tc>
      </w:tr>
      <w:tr w:rsidR="00301413" w:rsidRPr="00EA1BB2" w14:paraId="4B527191" w14:textId="77777777" w:rsidTr="00585E25">
        <w:trPr>
          <w:trHeight w:val="188"/>
          <w:jc w:val="center"/>
        </w:trPr>
        <w:tc>
          <w:tcPr>
            <w:tcW w:w="907" w:type="dxa"/>
            <w:shd w:val="clear" w:color="auto" w:fill="auto"/>
            <w:noWrap/>
            <w:vAlign w:val="center"/>
          </w:tcPr>
          <w:p w14:paraId="513BF03D" w14:textId="77777777" w:rsidR="00301413" w:rsidRPr="00EA1BB2" w:rsidRDefault="00301413" w:rsidP="00301413">
            <w:pPr>
              <w:spacing w:line="360" w:lineRule="auto"/>
              <w:jc w:val="center"/>
              <w:rPr>
                <w:rFonts w:ascii="Cambria" w:eastAsia="Times New Roman" w:hAnsi="Cambria" w:cs="Arial"/>
                <w:color w:val="000000"/>
                <w:lang w:eastAsia="ro-RO"/>
              </w:rPr>
            </w:pPr>
            <w:r w:rsidRPr="00EA1BB2">
              <w:rPr>
                <w:rFonts w:ascii="Cambria" w:hAnsi="Cambria" w:cs="Calibri"/>
                <w:color w:val="000000"/>
              </w:rPr>
              <w:t>PM</w:t>
            </w:r>
            <w:r w:rsidRPr="00EA1BB2">
              <w:rPr>
                <w:rFonts w:ascii="Cambria" w:hAnsi="Cambria" w:cs="Calibri"/>
                <w:color w:val="000000"/>
                <w:vertAlign w:val="subscript"/>
              </w:rPr>
              <w:t>10</w:t>
            </w:r>
          </w:p>
        </w:tc>
        <w:tc>
          <w:tcPr>
            <w:tcW w:w="860" w:type="dxa"/>
            <w:shd w:val="clear" w:color="auto" w:fill="auto"/>
            <w:noWrap/>
            <w:vAlign w:val="center"/>
          </w:tcPr>
          <w:p w14:paraId="037C405C" w14:textId="77777777" w:rsidR="00301413" w:rsidRPr="00EA1BB2" w:rsidRDefault="00301413" w:rsidP="00301413">
            <w:pPr>
              <w:spacing w:line="360" w:lineRule="auto"/>
              <w:jc w:val="center"/>
              <w:rPr>
                <w:rFonts w:ascii="Cambria" w:eastAsia="Times New Roman" w:hAnsi="Cambria" w:cs="Arial"/>
                <w:color w:val="000000"/>
                <w:lang w:eastAsia="ro-RO"/>
              </w:rPr>
            </w:pPr>
            <w:r w:rsidRPr="00EA1BB2">
              <w:rPr>
                <w:rFonts w:ascii="Cambria" w:eastAsia="Times New Roman" w:hAnsi="Cambria" w:cs="Arial"/>
                <w:color w:val="000000"/>
                <w:lang w:eastAsia="ro-RO"/>
              </w:rPr>
              <w:t>µ</w:t>
            </w:r>
            <w:r w:rsidRPr="00EA1BB2">
              <w:rPr>
                <w:rFonts w:ascii="Cambria" w:eastAsia="Times New Roman" w:hAnsi="Cambria" w:cs="Calibri"/>
                <w:color w:val="000000"/>
                <w:lang w:eastAsia="ro-RO"/>
              </w:rPr>
              <w:t>g/m</w:t>
            </w:r>
            <w:r w:rsidRPr="00EA1BB2">
              <w:rPr>
                <w:rFonts w:ascii="Cambria" w:eastAsia="Times New Roman" w:hAnsi="Cambria" w:cs="Calibri"/>
                <w:color w:val="000000"/>
                <w:vertAlign w:val="superscript"/>
                <w:lang w:eastAsia="ro-RO"/>
              </w:rPr>
              <w:t>3</w:t>
            </w:r>
          </w:p>
        </w:tc>
        <w:tc>
          <w:tcPr>
            <w:tcW w:w="1114" w:type="dxa"/>
            <w:shd w:val="clear" w:color="auto" w:fill="auto"/>
            <w:noWrap/>
            <w:vAlign w:val="center"/>
          </w:tcPr>
          <w:p w14:paraId="50BDC7FC" w14:textId="77777777" w:rsidR="00301413" w:rsidRPr="00EA1BB2" w:rsidRDefault="00301413" w:rsidP="00301413">
            <w:pPr>
              <w:spacing w:line="360" w:lineRule="auto"/>
              <w:jc w:val="center"/>
              <w:rPr>
                <w:rFonts w:ascii="Cambria" w:eastAsia="Times New Roman" w:hAnsi="Cambria" w:cs="Arial"/>
                <w:color w:val="000000"/>
                <w:lang w:eastAsia="ro-RO"/>
              </w:rPr>
            </w:pPr>
            <w:r w:rsidRPr="00EA1BB2">
              <w:rPr>
                <w:rFonts w:ascii="Cambria" w:hAnsi="Cambria" w:cs="Calibri"/>
                <w:color w:val="000000"/>
              </w:rPr>
              <w:t>21,652</w:t>
            </w:r>
          </w:p>
        </w:tc>
        <w:tc>
          <w:tcPr>
            <w:tcW w:w="1114" w:type="dxa"/>
            <w:vAlign w:val="center"/>
          </w:tcPr>
          <w:p w14:paraId="1BAE0217" w14:textId="77777777" w:rsidR="00301413" w:rsidRPr="00EA1BB2" w:rsidRDefault="00301413" w:rsidP="00301413">
            <w:pPr>
              <w:spacing w:line="360" w:lineRule="auto"/>
              <w:jc w:val="center"/>
              <w:rPr>
                <w:rFonts w:ascii="Cambria" w:hAnsi="Cambria" w:cs="Calibri"/>
                <w:color w:val="000000"/>
              </w:rPr>
            </w:pPr>
            <w:r w:rsidRPr="00EA1BB2">
              <w:rPr>
                <w:rFonts w:ascii="Cambria" w:hAnsi="Cambria"/>
              </w:rPr>
              <w:t>3,232</w:t>
            </w:r>
          </w:p>
        </w:tc>
        <w:tc>
          <w:tcPr>
            <w:tcW w:w="1596" w:type="dxa"/>
            <w:vAlign w:val="center"/>
          </w:tcPr>
          <w:p w14:paraId="7D92E346" w14:textId="77777777" w:rsidR="00301413" w:rsidRPr="00EA1BB2" w:rsidRDefault="00301413" w:rsidP="00301413">
            <w:pPr>
              <w:spacing w:line="360" w:lineRule="auto"/>
              <w:jc w:val="center"/>
              <w:rPr>
                <w:rFonts w:ascii="Cambria" w:hAnsi="Cambria" w:cs="Calibri"/>
                <w:color w:val="000000"/>
              </w:rPr>
            </w:pPr>
            <w:r w:rsidRPr="00EA1BB2">
              <w:rPr>
                <w:rFonts w:ascii="Cambria" w:hAnsi="Cambria" w:cs="Calibri"/>
                <w:color w:val="000000"/>
              </w:rPr>
              <w:t>18,42</w:t>
            </w:r>
          </w:p>
        </w:tc>
        <w:tc>
          <w:tcPr>
            <w:tcW w:w="1114" w:type="dxa"/>
            <w:vAlign w:val="center"/>
          </w:tcPr>
          <w:p w14:paraId="0725FA1B" w14:textId="77777777" w:rsidR="00301413" w:rsidRPr="00EA1BB2" w:rsidRDefault="00301413" w:rsidP="00301413">
            <w:pPr>
              <w:spacing w:line="360" w:lineRule="auto"/>
              <w:jc w:val="center"/>
              <w:rPr>
                <w:rFonts w:ascii="Cambria" w:hAnsi="Cambria" w:cs="Calibri"/>
                <w:color w:val="000000"/>
              </w:rPr>
            </w:pPr>
            <w:r w:rsidRPr="00EA1BB2">
              <w:rPr>
                <w:rFonts w:ascii="Cambria" w:hAnsi="Cambria"/>
              </w:rPr>
              <w:t>20,027</w:t>
            </w:r>
          </w:p>
        </w:tc>
        <w:tc>
          <w:tcPr>
            <w:tcW w:w="1114" w:type="dxa"/>
            <w:vAlign w:val="center"/>
          </w:tcPr>
          <w:p w14:paraId="56F89315" w14:textId="77777777" w:rsidR="00301413" w:rsidRPr="00EA1BB2" w:rsidRDefault="00301413" w:rsidP="00301413">
            <w:pPr>
              <w:spacing w:line="360" w:lineRule="auto"/>
              <w:jc w:val="center"/>
              <w:rPr>
                <w:rFonts w:ascii="Cambria" w:hAnsi="Cambria"/>
              </w:rPr>
            </w:pPr>
            <w:r w:rsidRPr="00EA1BB2">
              <w:rPr>
                <w:rFonts w:ascii="Cambria" w:hAnsi="Cambria"/>
              </w:rPr>
              <w:t>2,989</w:t>
            </w:r>
          </w:p>
        </w:tc>
        <w:tc>
          <w:tcPr>
            <w:tcW w:w="1596" w:type="dxa"/>
            <w:vAlign w:val="center"/>
          </w:tcPr>
          <w:p w14:paraId="192F6C17" w14:textId="77777777" w:rsidR="00301413" w:rsidRPr="00EA1BB2" w:rsidRDefault="00301413" w:rsidP="00301413">
            <w:pPr>
              <w:spacing w:line="360" w:lineRule="auto"/>
              <w:jc w:val="center"/>
              <w:rPr>
                <w:rFonts w:ascii="Cambria" w:hAnsi="Cambria"/>
              </w:rPr>
            </w:pPr>
            <w:r w:rsidRPr="00EA1BB2">
              <w:rPr>
                <w:rFonts w:ascii="Cambria" w:hAnsi="Cambria"/>
              </w:rPr>
              <w:t>17,038</w:t>
            </w:r>
          </w:p>
        </w:tc>
      </w:tr>
      <w:tr w:rsidR="00301413" w:rsidRPr="00EA1BB2" w14:paraId="514704D4" w14:textId="77777777" w:rsidTr="00585E25">
        <w:trPr>
          <w:trHeight w:val="188"/>
          <w:jc w:val="center"/>
        </w:trPr>
        <w:tc>
          <w:tcPr>
            <w:tcW w:w="907" w:type="dxa"/>
            <w:shd w:val="clear" w:color="auto" w:fill="auto"/>
            <w:noWrap/>
            <w:vAlign w:val="center"/>
          </w:tcPr>
          <w:p w14:paraId="34DB9EE5" w14:textId="77777777" w:rsidR="00301413" w:rsidRPr="00EA1BB2" w:rsidRDefault="00301413" w:rsidP="00301413">
            <w:pPr>
              <w:spacing w:line="360" w:lineRule="auto"/>
              <w:jc w:val="center"/>
              <w:rPr>
                <w:rFonts w:ascii="Cambria" w:eastAsia="Times New Roman" w:hAnsi="Cambria" w:cs="Arial"/>
                <w:color w:val="000000"/>
                <w:lang w:eastAsia="ro-RO"/>
              </w:rPr>
            </w:pPr>
            <w:r w:rsidRPr="00EA1BB2">
              <w:rPr>
                <w:rFonts w:ascii="Cambria" w:hAnsi="Cambria" w:cs="Calibri"/>
                <w:color w:val="000000"/>
              </w:rPr>
              <w:t>PM</w:t>
            </w:r>
            <w:r w:rsidRPr="00EA1BB2">
              <w:rPr>
                <w:rFonts w:ascii="Cambria" w:hAnsi="Cambria" w:cs="Calibri"/>
                <w:color w:val="000000"/>
                <w:vertAlign w:val="subscript"/>
              </w:rPr>
              <w:t>2,5</w:t>
            </w:r>
          </w:p>
        </w:tc>
        <w:tc>
          <w:tcPr>
            <w:tcW w:w="860" w:type="dxa"/>
            <w:shd w:val="clear" w:color="auto" w:fill="auto"/>
            <w:noWrap/>
            <w:vAlign w:val="center"/>
          </w:tcPr>
          <w:p w14:paraId="686B7B26" w14:textId="77777777" w:rsidR="00301413" w:rsidRPr="00EA1BB2" w:rsidRDefault="00301413" w:rsidP="00301413">
            <w:pPr>
              <w:spacing w:line="360" w:lineRule="auto"/>
              <w:jc w:val="center"/>
              <w:rPr>
                <w:rFonts w:ascii="Cambria" w:eastAsia="Times New Roman" w:hAnsi="Cambria" w:cs="Arial"/>
                <w:color w:val="000000"/>
                <w:lang w:eastAsia="ro-RO"/>
              </w:rPr>
            </w:pPr>
            <w:r w:rsidRPr="00EA1BB2">
              <w:rPr>
                <w:rFonts w:ascii="Cambria" w:eastAsia="Times New Roman" w:hAnsi="Cambria" w:cs="Arial"/>
                <w:color w:val="000000"/>
                <w:lang w:eastAsia="ro-RO"/>
              </w:rPr>
              <w:t>µ</w:t>
            </w:r>
            <w:r w:rsidRPr="00EA1BB2">
              <w:rPr>
                <w:rFonts w:ascii="Cambria" w:eastAsia="Times New Roman" w:hAnsi="Cambria" w:cs="Calibri"/>
                <w:color w:val="000000"/>
                <w:lang w:eastAsia="ro-RO"/>
              </w:rPr>
              <w:t>g/m</w:t>
            </w:r>
            <w:r w:rsidRPr="00EA1BB2">
              <w:rPr>
                <w:rFonts w:ascii="Cambria" w:eastAsia="Times New Roman" w:hAnsi="Cambria" w:cs="Calibri"/>
                <w:color w:val="000000"/>
                <w:vertAlign w:val="superscript"/>
                <w:lang w:eastAsia="ro-RO"/>
              </w:rPr>
              <w:t>3</w:t>
            </w:r>
          </w:p>
        </w:tc>
        <w:tc>
          <w:tcPr>
            <w:tcW w:w="1114" w:type="dxa"/>
            <w:shd w:val="clear" w:color="auto" w:fill="auto"/>
            <w:noWrap/>
            <w:vAlign w:val="center"/>
          </w:tcPr>
          <w:p w14:paraId="7E605756" w14:textId="77777777" w:rsidR="00301413" w:rsidRPr="00EA1BB2" w:rsidRDefault="00301413" w:rsidP="00301413">
            <w:pPr>
              <w:spacing w:line="360" w:lineRule="auto"/>
              <w:jc w:val="center"/>
              <w:rPr>
                <w:rFonts w:ascii="Cambria" w:eastAsia="Times New Roman" w:hAnsi="Cambria" w:cs="Arial"/>
                <w:color w:val="000000"/>
                <w:lang w:eastAsia="ro-RO"/>
              </w:rPr>
            </w:pPr>
            <w:r w:rsidRPr="00EA1BB2">
              <w:rPr>
                <w:rFonts w:ascii="Cambria" w:hAnsi="Cambria" w:cs="Calibri"/>
                <w:color w:val="000000"/>
              </w:rPr>
              <w:t>17,434</w:t>
            </w:r>
          </w:p>
        </w:tc>
        <w:tc>
          <w:tcPr>
            <w:tcW w:w="1114" w:type="dxa"/>
            <w:vAlign w:val="center"/>
          </w:tcPr>
          <w:p w14:paraId="51038C15" w14:textId="77777777" w:rsidR="00301413" w:rsidRPr="00EA1BB2" w:rsidRDefault="00301413" w:rsidP="00301413">
            <w:pPr>
              <w:spacing w:line="360" w:lineRule="auto"/>
              <w:jc w:val="center"/>
              <w:rPr>
                <w:rFonts w:ascii="Cambria" w:hAnsi="Cambria" w:cs="Calibri"/>
                <w:color w:val="000000"/>
              </w:rPr>
            </w:pPr>
            <w:r w:rsidRPr="00EA1BB2">
              <w:rPr>
                <w:rFonts w:ascii="Cambria" w:hAnsi="Cambria"/>
              </w:rPr>
              <w:t>2,694</w:t>
            </w:r>
          </w:p>
        </w:tc>
        <w:tc>
          <w:tcPr>
            <w:tcW w:w="1596" w:type="dxa"/>
            <w:vAlign w:val="center"/>
          </w:tcPr>
          <w:p w14:paraId="1021D5A0" w14:textId="77777777" w:rsidR="00301413" w:rsidRPr="00EA1BB2" w:rsidRDefault="00301413" w:rsidP="00301413">
            <w:pPr>
              <w:spacing w:line="360" w:lineRule="auto"/>
              <w:jc w:val="center"/>
              <w:rPr>
                <w:rFonts w:ascii="Cambria" w:hAnsi="Cambria" w:cs="Calibri"/>
                <w:color w:val="000000"/>
              </w:rPr>
            </w:pPr>
            <w:r w:rsidRPr="00EA1BB2">
              <w:rPr>
                <w:rFonts w:ascii="Cambria" w:hAnsi="Cambria" w:cs="Calibri"/>
                <w:color w:val="000000"/>
              </w:rPr>
              <w:t>14,74</w:t>
            </w:r>
          </w:p>
        </w:tc>
        <w:tc>
          <w:tcPr>
            <w:tcW w:w="1114" w:type="dxa"/>
            <w:vAlign w:val="center"/>
          </w:tcPr>
          <w:p w14:paraId="7D0D2659" w14:textId="77777777" w:rsidR="00301413" w:rsidRPr="00EA1BB2" w:rsidRDefault="00301413" w:rsidP="00301413">
            <w:pPr>
              <w:spacing w:line="360" w:lineRule="auto"/>
              <w:jc w:val="center"/>
              <w:rPr>
                <w:rFonts w:ascii="Cambria" w:hAnsi="Cambria" w:cs="Calibri"/>
                <w:color w:val="000000"/>
              </w:rPr>
            </w:pPr>
            <w:r w:rsidRPr="00EA1BB2">
              <w:rPr>
                <w:rFonts w:ascii="Cambria" w:hAnsi="Cambria"/>
              </w:rPr>
              <w:t>16,399</w:t>
            </w:r>
          </w:p>
        </w:tc>
        <w:tc>
          <w:tcPr>
            <w:tcW w:w="1114" w:type="dxa"/>
            <w:vAlign w:val="center"/>
          </w:tcPr>
          <w:p w14:paraId="7C85329E" w14:textId="77777777" w:rsidR="00301413" w:rsidRPr="00EA1BB2" w:rsidRDefault="00301413" w:rsidP="00301413">
            <w:pPr>
              <w:spacing w:line="360" w:lineRule="auto"/>
              <w:jc w:val="center"/>
              <w:rPr>
                <w:rFonts w:ascii="Cambria" w:hAnsi="Cambria"/>
              </w:rPr>
            </w:pPr>
            <w:r w:rsidRPr="00EA1BB2">
              <w:rPr>
                <w:rFonts w:ascii="Cambria" w:hAnsi="Cambria"/>
              </w:rPr>
              <w:t>2,534</w:t>
            </w:r>
          </w:p>
        </w:tc>
        <w:tc>
          <w:tcPr>
            <w:tcW w:w="1596" w:type="dxa"/>
            <w:vAlign w:val="center"/>
          </w:tcPr>
          <w:p w14:paraId="1CF3D535" w14:textId="77777777" w:rsidR="00301413" w:rsidRPr="00EA1BB2" w:rsidRDefault="00301413" w:rsidP="00301413">
            <w:pPr>
              <w:spacing w:line="360" w:lineRule="auto"/>
              <w:jc w:val="center"/>
              <w:rPr>
                <w:rFonts w:ascii="Cambria" w:hAnsi="Cambria"/>
              </w:rPr>
            </w:pPr>
            <w:r w:rsidRPr="00EA1BB2">
              <w:rPr>
                <w:rFonts w:ascii="Cambria" w:hAnsi="Cambria"/>
              </w:rPr>
              <w:t>13,865</w:t>
            </w:r>
          </w:p>
        </w:tc>
      </w:tr>
      <w:tr w:rsidR="00301413" w:rsidRPr="00EA1BB2" w14:paraId="092E9348" w14:textId="77777777" w:rsidTr="00585E25">
        <w:trPr>
          <w:trHeight w:val="188"/>
          <w:jc w:val="center"/>
        </w:trPr>
        <w:tc>
          <w:tcPr>
            <w:tcW w:w="907" w:type="dxa"/>
            <w:shd w:val="clear" w:color="auto" w:fill="auto"/>
            <w:noWrap/>
            <w:vAlign w:val="center"/>
          </w:tcPr>
          <w:p w14:paraId="2C912A29" w14:textId="77777777" w:rsidR="00301413" w:rsidRPr="00EA1BB2" w:rsidRDefault="00301413" w:rsidP="00301413">
            <w:pPr>
              <w:spacing w:line="360" w:lineRule="auto"/>
              <w:jc w:val="center"/>
              <w:rPr>
                <w:rFonts w:ascii="Cambria" w:eastAsia="Times New Roman" w:hAnsi="Cambria" w:cs="Arial"/>
                <w:color w:val="000000"/>
                <w:lang w:eastAsia="ro-RO"/>
              </w:rPr>
            </w:pPr>
            <w:r w:rsidRPr="00EA1BB2">
              <w:rPr>
                <w:rFonts w:ascii="Cambria" w:hAnsi="Cambria" w:cs="Calibri"/>
                <w:color w:val="000000"/>
              </w:rPr>
              <w:t>As</w:t>
            </w:r>
          </w:p>
        </w:tc>
        <w:tc>
          <w:tcPr>
            <w:tcW w:w="860" w:type="dxa"/>
            <w:shd w:val="clear" w:color="auto" w:fill="auto"/>
            <w:noWrap/>
            <w:vAlign w:val="center"/>
          </w:tcPr>
          <w:p w14:paraId="580B2502" w14:textId="77777777" w:rsidR="00301413" w:rsidRPr="00EA1BB2" w:rsidRDefault="00301413" w:rsidP="00301413">
            <w:pPr>
              <w:spacing w:line="360" w:lineRule="auto"/>
              <w:jc w:val="center"/>
              <w:rPr>
                <w:rFonts w:ascii="Cambria" w:eastAsia="Times New Roman" w:hAnsi="Cambria" w:cs="Arial"/>
                <w:color w:val="000000"/>
                <w:lang w:eastAsia="ro-RO"/>
              </w:rPr>
            </w:pPr>
            <w:r w:rsidRPr="00EA1BB2">
              <w:rPr>
                <w:rFonts w:ascii="Cambria" w:eastAsia="Times New Roman" w:hAnsi="Cambria" w:cs="Calibri"/>
                <w:color w:val="000000"/>
                <w:lang w:eastAsia="ro-RO"/>
              </w:rPr>
              <w:t>ng/m</w:t>
            </w:r>
            <w:r w:rsidRPr="00EA1BB2">
              <w:rPr>
                <w:rFonts w:ascii="Cambria" w:eastAsia="Times New Roman" w:hAnsi="Cambria" w:cs="Calibri"/>
                <w:color w:val="000000"/>
                <w:vertAlign w:val="superscript"/>
                <w:lang w:eastAsia="ro-RO"/>
              </w:rPr>
              <w:t>3</w:t>
            </w:r>
          </w:p>
        </w:tc>
        <w:tc>
          <w:tcPr>
            <w:tcW w:w="1114" w:type="dxa"/>
            <w:shd w:val="clear" w:color="auto" w:fill="auto"/>
            <w:noWrap/>
            <w:vAlign w:val="center"/>
          </w:tcPr>
          <w:p w14:paraId="3E97ADD2" w14:textId="77777777" w:rsidR="00301413" w:rsidRPr="00EA1BB2" w:rsidRDefault="00301413" w:rsidP="00301413">
            <w:pPr>
              <w:spacing w:line="360" w:lineRule="auto"/>
              <w:jc w:val="center"/>
              <w:rPr>
                <w:rFonts w:ascii="Cambria" w:eastAsia="Times New Roman" w:hAnsi="Cambria" w:cs="Arial"/>
                <w:color w:val="000000"/>
                <w:lang w:eastAsia="ro-RO"/>
              </w:rPr>
            </w:pPr>
            <w:r w:rsidRPr="00EA1BB2">
              <w:rPr>
                <w:rFonts w:ascii="Cambria" w:hAnsi="Cambria" w:cs="Calibri"/>
                <w:color w:val="000000"/>
              </w:rPr>
              <w:t>0,811</w:t>
            </w:r>
          </w:p>
        </w:tc>
        <w:tc>
          <w:tcPr>
            <w:tcW w:w="1114" w:type="dxa"/>
            <w:vAlign w:val="center"/>
          </w:tcPr>
          <w:p w14:paraId="5BF420F0" w14:textId="77777777" w:rsidR="00301413" w:rsidRPr="00EA1BB2" w:rsidRDefault="00301413" w:rsidP="00301413">
            <w:pPr>
              <w:spacing w:line="360" w:lineRule="auto"/>
              <w:jc w:val="center"/>
              <w:rPr>
                <w:rFonts w:ascii="Cambria" w:hAnsi="Cambria" w:cs="Calibri"/>
                <w:color w:val="000000"/>
              </w:rPr>
            </w:pPr>
            <w:r w:rsidRPr="00EA1BB2">
              <w:rPr>
                <w:rFonts w:ascii="Cambria" w:hAnsi="Cambria"/>
              </w:rPr>
              <w:t>0,606</w:t>
            </w:r>
          </w:p>
        </w:tc>
        <w:tc>
          <w:tcPr>
            <w:tcW w:w="1596" w:type="dxa"/>
            <w:vAlign w:val="center"/>
          </w:tcPr>
          <w:p w14:paraId="3FA07440" w14:textId="77777777" w:rsidR="00301413" w:rsidRPr="00EA1BB2" w:rsidRDefault="00301413" w:rsidP="00301413">
            <w:pPr>
              <w:spacing w:line="360" w:lineRule="auto"/>
              <w:jc w:val="center"/>
              <w:rPr>
                <w:rFonts w:ascii="Cambria" w:hAnsi="Cambria" w:cs="Calibri"/>
                <w:color w:val="000000"/>
              </w:rPr>
            </w:pPr>
            <w:r w:rsidRPr="00EA1BB2">
              <w:rPr>
                <w:rFonts w:ascii="Cambria" w:hAnsi="Cambria" w:cs="Calibri"/>
                <w:color w:val="000000"/>
              </w:rPr>
              <w:t>0,205</w:t>
            </w:r>
          </w:p>
        </w:tc>
        <w:tc>
          <w:tcPr>
            <w:tcW w:w="1114" w:type="dxa"/>
            <w:vAlign w:val="center"/>
          </w:tcPr>
          <w:p w14:paraId="099885A8" w14:textId="77777777" w:rsidR="00301413" w:rsidRPr="00EA1BB2" w:rsidRDefault="00301413" w:rsidP="00301413">
            <w:pPr>
              <w:spacing w:line="360" w:lineRule="auto"/>
              <w:jc w:val="center"/>
              <w:rPr>
                <w:rFonts w:ascii="Cambria" w:hAnsi="Cambria" w:cs="Calibri"/>
                <w:color w:val="000000"/>
              </w:rPr>
            </w:pPr>
            <w:r w:rsidRPr="00EA1BB2">
              <w:rPr>
                <w:rFonts w:ascii="Cambria" w:hAnsi="Cambria"/>
              </w:rPr>
              <w:t>0,679</w:t>
            </w:r>
          </w:p>
        </w:tc>
        <w:tc>
          <w:tcPr>
            <w:tcW w:w="1114" w:type="dxa"/>
            <w:vAlign w:val="center"/>
          </w:tcPr>
          <w:p w14:paraId="3B4C3FAB" w14:textId="77777777" w:rsidR="00301413" w:rsidRPr="00EA1BB2" w:rsidRDefault="00301413" w:rsidP="00301413">
            <w:pPr>
              <w:spacing w:line="360" w:lineRule="auto"/>
              <w:jc w:val="center"/>
              <w:rPr>
                <w:rFonts w:ascii="Cambria" w:hAnsi="Cambria"/>
              </w:rPr>
            </w:pPr>
            <w:r w:rsidRPr="00EA1BB2">
              <w:rPr>
                <w:rFonts w:ascii="Cambria" w:hAnsi="Cambria"/>
              </w:rPr>
              <w:t>0,507</w:t>
            </w:r>
          </w:p>
        </w:tc>
        <w:tc>
          <w:tcPr>
            <w:tcW w:w="1596" w:type="dxa"/>
            <w:vAlign w:val="center"/>
          </w:tcPr>
          <w:p w14:paraId="77336174" w14:textId="77777777" w:rsidR="00301413" w:rsidRPr="00EA1BB2" w:rsidRDefault="00301413" w:rsidP="00301413">
            <w:pPr>
              <w:spacing w:line="360" w:lineRule="auto"/>
              <w:jc w:val="center"/>
              <w:rPr>
                <w:rFonts w:ascii="Cambria" w:hAnsi="Cambria"/>
              </w:rPr>
            </w:pPr>
            <w:r w:rsidRPr="00EA1BB2">
              <w:rPr>
                <w:rFonts w:ascii="Cambria" w:hAnsi="Cambria"/>
              </w:rPr>
              <w:t>0,172</w:t>
            </w:r>
          </w:p>
        </w:tc>
      </w:tr>
      <w:tr w:rsidR="00301413" w:rsidRPr="00EA1BB2" w14:paraId="6EC495B3" w14:textId="77777777" w:rsidTr="00585E25">
        <w:trPr>
          <w:trHeight w:val="188"/>
          <w:jc w:val="center"/>
        </w:trPr>
        <w:tc>
          <w:tcPr>
            <w:tcW w:w="907" w:type="dxa"/>
            <w:shd w:val="clear" w:color="auto" w:fill="auto"/>
            <w:noWrap/>
            <w:vAlign w:val="center"/>
          </w:tcPr>
          <w:p w14:paraId="5AD4F99C" w14:textId="77777777" w:rsidR="00301413" w:rsidRPr="00EA1BB2" w:rsidRDefault="00301413" w:rsidP="00301413">
            <w:pPr>
              <w:spacing w:line="360" w:lineRule="auto"/>
              <w:jc w:val="center"/>
              <w:rPr>
                <w:rFonts w:ascii="Cambria" w:eastAsia="Times New Roman" w:hAnsi="Cambria" w:cs="Arial"/>
                <w:color w:val="000000"/>
                <w:lang w:eastAsia="ro-RO"/>
              </w:rPr>
            </w:pPr>
            <w:r w:rsidRPr="00EA1BB2">
              <w:rPr>
                <w:rFonts w:ascii="Cambria" w:hAnsi="Cambria" w:cs="Calibri"/>
                <w:color w:val="000000"/>
              </w:rPr>
              <w:t>Cd</w:t>
            </w:r>
          </w:p>
        </w:tc>
        <w:tc>
          <w:tcPr>
            <w:tcW w:w="860" w:type="dxa"/>
            <w:shd w:val="clear" w:color="auto" w:fill="auto"/>
            <w:noWrap/>
            <w:vAlign w:val="center"/>
          </w:tcPr>
          <w:p w14:paraId="3778C850" w14:textId="77777777" w:rsidR="00301413" w:rsidRPr="00EA1BB2" w:rsidRDefault="00301413" w:rsidP="00301413">
            <w:pPr>
              <w:spacing w:line="360" w:lineRule="auto"/>
              <w:jc w:val="center"/>
              <w:rPr>
                <w:rFonts w:ascii="Cambria" w:eastAsia="Times New Roman" w:hAnsi="Cambria" w:cs="Arial"/>
                <w:color w:val="000000"/>
                <w:lang w:eastAsia="ro-RO"/>
              </w:rPr>
            </w:pPr>
            <w:r w:rsidRPr="00EA1BB2">
              <w:rPr>
                <w:rFonts w:ascii="Cambria" w:eastAsia="Times New Roman" w:hAnsi="Cambria" w:cs="Calibri"/>
                <w:color w:val="000000"/>
                <w:lang w:eastAsia="ro-RO"/>
              </w:rPr>
              <w:t>ng/m</w:t>
            </w:r>
            <w:r w:rsidRPr="00EA1BB2">
              <w:rPr>
                <w:rFonts w:ascii="Cambria" w:eastAsia="Times New Roman" w:hAnsi="Cambria" w:cs="Calibri"/>
                <w:color w:val="000000"/>
                <w:vertAlign w:val="superscript"/>
                <w:lang w:eastAsia="ro-RO"/>
              </w:rPr>
              <w:t>3</w:t>
            </w:r>
          </w:p>
        </w:tc>
        <w:tc>
          <w:tcPr>
            <w:tcW w:w="1114" w:type="dxa"/>
            <w:shd w:val="clear" w:color="auto" w:fill="auto"/>
            <w:noWrap/>
            <w:vAlign w:val="center"/>
          </w:tcPr>
          <w:p w14:paraId="2FA97B75" w14:textId="77777777" w:rsidR="00301413" w:rsidRPr="00EA1BB2" w:rsidRDefault="00301413" w:rsidP="00301413">
            <w:pPr>
              <w:spacing w:line="360" w:lineRule="auto"/>
              <w:jc w:val="center"/>
              <w:rPr>
                <w:rFonts w:ascii="Cambria" w:eastAsia="Times New Roman" w:hAnsi="Cambria" w:cs="Arial"/>
                <w:color w:val="000000"/>
                <w:lang w:eastAsia="ro-RO"/>
              </w:rPr>
            </w:pPr>
            <w:r w:rsidRPr="00EA1BB2">
              <w:rPr>
                <w:rFonts w:ascii="Cambria" w:hAnsi="Cambria" w:cs="Calibri"/>
                <w:color w:val="000000"/>
              </w:rPr>
              <w:t>0,196</w:t>
            </w:r>
          </w:p>
        </w:tc>
        <w:tc>
          <w:tcPr>
            <w:tcW w:w="1114" w:type="dxa"/>
            <w:vAlign w:val="center"/>
          </w:tcPr>
          <w:p w14:paraId="13F1FB8B" w14:textId="77777777" w:rsidR="00301413" w:rsidRPr="00EA1BB2" w:rsidRDefault="00301413" w:rsidP="00301413">
            <w:pPr>
              <w:spacing w:line="360" w:lineRule="auto"/>
              <w:jc w:val="center"/>
              <w:rPr>
                <w:rFonts w:ascii="Cambria" w:hAnsi="Cambria" w:cs="Calibri"/>
                <w:color w:val="000000"/>
              </w:rPr>
            </w:pPr>
            <w:r w:rsidRPr="00EA1BB2">
              <w:rPr>
                <w:rFonts w:ascii="Cambria" w:hAnsi="Cambria"/>
              </w:rPr>
              <w:t>0,001</w:t>
            </w:r>
          </w:p>
        </w:tc>
        <w:tc>
          <w:tcPr>
            <w:tcW w:w="1596" w:type="dxa"/>
            <w:vAlign w:val="center"/>
          </w:tcPr>
          <w:p w14:paraId="454BB446" w14:textId="77777777" w:rsidR="00301413" w:rsidRPr="00EA1BB2" w:rsidRDefault="00301413" w:rsidP="00301413">
            <w:pPr>
              <w:spacing w:line="360" w:lineRule="auto"/>
              <w:jc w:val="center"/>
              <w:rPr>
                <w:rFonts w:ascii="Cambria" w:hAnsi="Cambria" w:cs="Calibri"/>
                <w:color w:val="000000"/>
              </w:rPr>
            </w:pPr>
            <w:r w:rsidRPr="00EA1BB2">
              <w:rPr>
                <w:rFonts w:ascii="Cambria" w:hAnsi="Cambria" w:cs="Calibri"/>
                <w:color w:val="000000"/>
              </w:rPr>
              <w:t>0,195</w:t>
            </w:r>
          </w:p>
        </w:tc>
        <w:tc>
          <w:tcPr>
            <w:tcW w:w="1114" w:type="dxa"/>
            <w:vAlign w:val="center"/>
          </w:tcPr>
          <w:p w14:paraId="044FC4CA" w14:textId="77777777" w:rsidR="00301413" w:rsidRPr="00EA1BB2" w:rsidRDefault="00301413" w:rsidP="00301413">
            <w:pPr>
              <w:spacing w:line="360" w:lineRule="auto"/>
              <w:jc w:val="center"/>
              <w:rPr>
                <w:rFonts w:ascii="Cambria" w:hAnsi="Cambria" w:cs="Calibri"/>
                <w:color w:val="000000"/>
              </w:rPr>
            </w:pPr>
            <w:r w:rsidRPr="00EA1BB2">
              <w:rPr>
                <w:rFonts w:ascii="Cambria" w:hAnsi="Cambria"/>
              </w:rPr>
              <w:t>0,237</w:t>
            </w:r>
          </w:p>
        </w:tc>
        <w:tc>
          <w:tcPr>
            <w:tcW w:w="1114" w:type="dxa"/>
            <w:vAlign w:val="center"/>
          </w:tcPr>
          <w:p w14:paraId="033D2751" w14:textId="77777777" w:rsidR="00301413" w:rsidRPr="00EA1BB2" w:rsidRDefault="00301413" w:rsidP="00301413">
            <w:pPr>
              <w:spacing w:line="360" w:lineRule="auto"/>
              <w:jc w:val="center"/>
              <w:rPr>
                <w:rFonts w:ascii="Cambria" w:hAnsi="Cambria"/>
              </w:rPr>
            </w:pPr>
            <w:r w:rsidRPr="00EA1BB2">
              <w:rPr>
                <w:rFonts w:ascii="Cambria" w:hAnsi="Cambria"/>
              </w:rPr>
              <w:t>0,001</w:t>
            </w:r>
          </w:p>
        </w:tc>
        <w:tc>
          <w:tcPr>
            <w:tcW w:w="1596" w:type="dxa"/>
            <w:vAlign w:val="center"/>
          </w:tcPr>
          <w:p w14:paraId="5C1A0F2A" w14:textId="77777777" w:rsidR="00301413" w:rsidRPr="00EA1BB2" w:rsidRDefault="00301413" w:rsidP="00301413">
            <w:pPr>
              <w:spacing w:line="360" w:lineRule="auto"/>
              <w:jc w:val="center"/>
              <w:rPr>
                <w:rFonts w:ascii="Cambria" w:hAnsi="Cambria"/>
              </w:rPr>
            </w:pPr>
            <w:r w:rsidRPr="00EA1BB2">
              <w:rPr>
                <w:rFonts w:ascii="Cambria" w:hAnsi="Cambria"/>
              </w:rPr>
              <w:t>0,236</w:t>
            </w:r>
          </w:p>
        </w:tc>
      </w:tr>
      <w:tr w:rsidR="00301413" w:rsidRPr="00EA1BB2" w14:paraId="1569CDAE" w14:textId="77777777" w:rsidTr="00585E25">
        <w:trPr>
          <w:trHeight w:val="188"/>
          <w:jc w:val="center"/>
        </w:trPr>
        <w:tc>
          <w:tcPr>
            <w:tcW w:w="907" w:type="dxa"/>
            <w:shd w:val="clear" w:color="auto" w:fill="auto"/>
            <w:noWrap/>
            <w:vAlign w:val="center"/>
          </w:tcPr>
          <w:p w14:paraId="06AFE3E6" w14:textId="77777777" w:rsidR="00301413" w:rsidRPr="00EA1BB2" w:rsidRDefault="00301413" w:rsidP="00301413">
            <w:pPr>
              <w:spacing w:line="360" w:lineRule="auto"/>
              <w:jc w:val="center"/>
              <w:rPr>
                <w:rFonts w:ascii="Cambria" w:eastAsia="Times New Roman" w:hAnsi="Cambria" w:cs="Arial"/>
                <w:color w:val="000000"/>
                <w:lang w:eastAsia="ro-RO"/>
              </w:rPr>
            </w:pPr>
            <w:r w:rsidRPr="00EA1BB2">
              <w:rPr>
                <w:rFonts w:ascii="Cambria" w:hAnsi="Cambria" w:cs="Calibri"/>
                <w:color w:val="000000"/>
              </w:rPr>
              <w:t>Ni</w:t>
            </w:r>
          </w:p>
        </w:tc>
        <w:tc>
          <w:tcPr>
            <w:tcW w:w="860" w:type="dxa"/>
            <w:shd w:val="clear" w:color="auto" w:fill="auto"/>
            <w:noWrap/>
            <w:vAlign w:val="center"/>
          </w:tcPr>
          <w:p w14:paraId="24C6A960" w14:textId="77777777" w:rsidR="00301413" w:rsidRPr="00EA1BB2" w:rsidRDefault="00301413" w:rsidP="00301413">
            <w:pPr>
              <w:spacing w:line="360" w:lineRule="auto"/>
              <w:jc w:val="center"/>
              <w:rPr>
                <w:rFonts w:ascii="Cambria" w:eastAsia="Times New Roman" w:hAnsi="Cambria" w:cs="Arial"/>
                <w:color w:val="000000"/>
                <w:lang w:eastAsia="ro-RO"/>
              </w:rPr>
            </w:pPr>
            <w:r w:rsidRPr="00EA1BB2">
              <w:rPr>
                <w:rFonts w:ascii="Cambria" w:eastAsia="Times New Roman" w:hAnsi="Cambria" w:cs="Calibri"/>
                <w:color w:val="000000"/>
                <w:lang w:eastAsia="ro-RO"/>
              </w:rPr>
              <w:t>ng/m</w:t>
            </w:r>
            <w:r w:rsidRPr="00EA1BB2">
              <w:rPr>
                <w:rFonts w:ascii="Cambria" w:eastAsia="Times New Roman" w:hAnsi="Cambria" w:cs="Calibri"/>
                <w:color w:val="000000"/>
                <w:vertAlign w:val="superscript"/>
                <w:lang w:eastAsia="ro-RO"/>
              </w:rPr>
              <w:t>3</w:t>
            </w:r>
          </w:p>
        </w:tc>
        <w:tc>
          <w:tcPr>
            <w:tcW w:w="1114" w:type="dxa"/>
            <w:shd w:val="clear" w:color="auto" w:fill="auto"/>
            <w:noWrap/>
            <w:vAlign w:val="center"/>
          </w:tcPr>
          <w:p w14:paraId="745C91E7" w14:textId="77777777" w:rsidR="00301413" w:rsidRPr="00EA1BB2" w:rsidRDefault="00301413" w:rsidP="00301413">
            <w:pPr>
              <w:spacing w:line="360" w:lineRule="auto"/>
              <w:jc w:val="center"/>
              <w:rPr>
                <w:rFonts w:ascii="Cambria" w:eastAsia="Times New Roman" w:hAnsi="Cambria" w:cs="Arial"/>
                <w:color w:val="000000"/>
                <w:lang w:eastAsia="ro-RO"/>
              </w:rPr>
            </w:pPr>
            <w:r w:rsidRPr="00EA1BB2">
              <w:rPr>
                <w:rFonts w:ascii="Cambria" w:hAnsi="Cambria" w:cs="Calibri"/>
                <w:color w:val="000000"/>
              </w:rPr>
              <w:t>0,748</w:t>
            </w:r>
          </w:p>
        </w:tc>
        <w:tc>
          <w:tcPr>
            <w:tcW w:w="1114" w:type="dxa"/>
            <w:vAlign w:val="center"/>
          </w:tcPr>
          <w:p w14:paraId="1E563671" w14:textId="77777777" w:rsidR="00301413" w:rsidRPr="00EA1BB2" w:rsidRDefault="00301413" w:rsidP="00301413">
            <w:pPr>
              <w:spacing w:line="360" w:lineRule="auto"/>
              <w:jc w:val="center"/>
              <w:rPr>
                <w:rFonts w:ascii="Cambria" w:hAnsi="Cambria" w:cs="Calibri"/>
                <w:color w:val="000000"/>
              </w:rPr>
            </w:pPr>
            <w:r w:rsidRPr="00EA1BB2">
              <w:rPr>
                <w:rFonts w:ascii="Cambria" w:hAnsi="Cambria" w:cs="Calibri"/>
                <w:color w:val="000000"/>
              </w:rPr>
              <w:t>0,001</w:t>
            </w:r>
          </w:p>
        </w:tc>
        <w:tc>
          <w:tcPr>
            <w:tcW w:w="1596" w:type="dxa"/>
            <w:vAlign w:val="center"/>
          </w:tcPr>
          <w:p w14:paraId="6C7359B3" w14:textId="77777777" w:rsidR="00301413" w:rsidRPr="00EA1BB2" w:rsidRDefault="00301413" w:rsidP="00301413">
            <w:pPr>
              <w:spacing w:line="360" w:lineRule="auto"/>
              <w:jc w:val="center"/>
              <w:rPr>
                <w:rFonts w:ascii="Cambria" w:hAnsi="Cambria" w:cs="Calibri"/>
                <w:color w:val="000000"/>
              </w:rPr>
            </w:pPr>
            <w:r w:rsidRPr="00EA1BB2">
              <w:rPr>
                <w:rFonts w:ascii="Cambria" w:hAnsi="Cambria" w:cs="Calibri"/>
                <w:color w:val="000000"/>
              </w:rPr>
              <w:t>0,747</w:t>
            </w:r>
          </w:p>
        </w:tc>
        <w:tc>
          <w:tcPr>
            <w:tcW w:w="1114" w:type="dxa"/>
            <w:vAlign w:val="center"/>
          </w:tcPr>
          <w:p w14:paraId="20452143" w14:textId="77777777" w:rsidR="00301413" w:rsidRPr="00EA1BB2" w:rsidRDefault="00301413" w:rsidP="00301413">
            <w:pPr>
              <w:spacing w:line="360" w:lineRule="auto"/>
              <w:jc w:val="center"/>
              <w:rPr>
                <w:rFonts w:ascii="Cambria" w:hAnsi="Cambria" w:cs="Calibri"/>
                <w:color w:val="000000"/>
              </w:rPr>
            </w:pPr>
            <w:r w:rsidRPr="00EA1BB2">
              <w:rPr>
                <w:rFonts w:ascii="Cambria" w:hAnsi="Cambria"/>
              </w:rPr>
              <w:t>0,531</w:t>
            </w:r>
          </w:p>
        </w:tc>
        <w:tc>
          <w:tcPr>
            <w:tcW w:w="1114" w:type="dxa"/>
            <w:vAlign w:val="center"/>
          </w:tcPr>
          <w:p w14:paraId="1719DD49" w14:textId="77777777" w:rsidR="00301413" w:rsidRPr="00EA1BB2" w:rsidRDefault="00301413" w:rsidP="00301413">
            <w:pPr>
              <w:spacing w:line="360" w:lineRule="auto"/>
              <w:jc w:val="center"/>
              <w:rPr>
                <w:rFonts w:ascii="Cambria" w:hAnsi="Cambria"/>
              </w:rPr>
            </w:pPr>
            <w:r w:rsidRPr="00EA1BB2">
              <w:rPr>
                <w:rFonts w:ascii="Cambria" w:hAnsi="Cambria"/>
              </w:rPr>
              <w:t>0,001</w:t>
            </w:r>
          </w:p>
        </w:tc>
        <w:tc>
          <w:tcPr>
            <w:tcW w:w="1596" w:type="dxa"/>
            <w:vAlign w:val="center"/>
          </w:tcPr>
          <w:p w14:paraId="564AFA1B" w14:textId="77777777" w:rsidR="00301413" w:rsidRPr="00EA1BB2" w:rsidRDefault="00301413" w:rsidP="00301413">
            <w:pPr>
              <w:spacing w:line="360" w:lineRule="auto"/>
              <w:jc w:val="center"/>
              <w:rPr>
                <w:rFonts w:ascii="Cambria" w:hAnsi="Cambria"/>
              </w:rPr>
            </w:pPr>
            <w:r w:rsidRPr="00EA1BB2">
              <w:rPr>
                <w:rFonts w:ascii="Cambria" w:hAnsi="Cambria"/>
              </w:rPr>
              <w:t>0,530</w:t>
            </w:r>
          </w:p>
        </w:tc>
      </w:tr>
      <w:tr w:rsidR="00301413" w:rsidRPr="00EA1BB2" w14:paraId="1B1CCE65" w14:textId="77777777" w:rsidTr="00585E25">
        <w:trPr>
          <w:trHeight w:val="188"/>
          <w:jc w:val="center"/>
        </w:trPr>
        <w:tc>
          <w:tcPr>
            <w:tcW w:w="907" w:type="dxa"/>
            <w:shd w:val="clear" w:color="auto" w:fill="auto"/>
            <w:noWrap/>
            <w:vAlign w:val="center"/>
          </w:tcPr>
          <w:p w14:paraId="170446F5" w14:textId="77777777" w:rsidR="00301413" w:rsidRPr="00EA1BB2" w:rsidRDefault="00301413" w:rsidP="00301413">
            <w:pPr>
              <w:spacing w:line="360" w:lineRule="auto"/>
              <w:jc w:val="center"/>
              <w:rPr>
                <w:rFonts w:ascii="Cambria" w:eastAsia="Times New Roman" w:hAnsi="Cambria" w:cs="Arial"/>
                <w:color w:val="000000"/>
                <w:lang w:eastAsia="ro-RO"/>
              </w:rPr>
            </w:pPr>
            <w:r w:rsidRPr="00EA1BB2">
              <w:rPr>
                <w:rFonts w:ascii="Cambria" w:hAnsi="Cambria" w:cs="Calibri"/>
                <w:color w:val="000000"/>
              </w:rPr>
              <w:t>Pb</w:t>
            </w:r>
          </w:p>
        </w:tc>
        <w:tc>
          <w:tcPr>
            <w:tcW w:w="860" w:type="dxa"/>
            <w:shd w:val="clear" w:color="auto" w:fill="auto"/>
            <w:noWrap/>
            <w:vAlign w:val="center"/>
          </w:tcPr>
          <w:p w14:paraId="1A22E811" w14:textId="77777777" w:rsidR="00301413" w:rsidRPr="00EA1BB2" w:rsidRDefault="00301413" w:rsidP="00301413">
            <w:pPr>
              <w:spacing w:line="360" w:lineRule="auto"/>
              <w:jc w:val="center"/>
              <w:rPr>
                <w:rFonts w:ascii="Cambria" w:eastAsia="Times New Roman" w:hAnsi="Cambria" w:cs="Arial"/>
                <w:color w:val="000000"/>
                <w:lang w:eastAsia="ro-RO"/>
              </w:rPr>
            </w:pPr>
            <w:r w:rsidRPr="00EA1BB2">
              <w:rPr>
                <w:rFonts w:ascii="Cambria" w:eastAsia="Times New Roman" w:hAnsi="Cambria" w:cs="Calibri"/>
                <w:color w:val="000000"/>
                <w:lang w:eastAsia="ro-RO"/>
              </w:rPr>
              <w:t>ng/m</w:t>
            </w:r>
            <w:r w:rsidRPr="00EA1BB2">
              <w:rPr>
                <w:rFonts w:ascii="Cambria" w:eastAsia="Times New Roman" w:hAnsi="Cambria" w:cs="Calibri"/>
                <w:color w:val="000000"/>
                <w:vertAlign w:val="superscript"/>
                <w:lang w:eastAsia="ro-RO"/>
              </w:rPr>
              <w:t>3</w:t>
            </w:r>
          </w:p>
        </w:tc>
        <w:tc>
          <w:tcPr>
            <w:tcW w:w="1114" w:type="dxa"/>
            <w:shd w:val="clear" w:color="auto" w:fill="auto"/>
            <w:noWrap/>
            <w:vAlign w:val="center"/>
          </w:tcPr>
          <w:p w14:paraId="482D9D75" w14:textId="77777777" w:rsidR="00301413" w:rsidRPr="00EA1BB2" w:rsidRDefault="00301413" w:rsidP="00301413">
            <w:pPr>
              <w:spacing w:line="360" w:lineRule="auto"/>
              <w:jc w:val="center"/>
              <w:rPr>
                <w:rFonts w:ascii="Cambria" w:eastAsia="Times New Roman" w:hAnsi="Cambria" w:cs="Arial"/>
                <w:color w:val="000000"/>
                <w:lang w:eastAsia="ro-RO"/>
              </w:rPr>
            </w:pPr>
            <w:r w:rsidRPr="00EA1BB2">
              <w:rPr>
                <w:rFonts w:ascii="Cambria" w:hAnsi="Cambria" w:cs="Calibri"/>
                <w:color w:val="000000"/>
              </w:rPr>
              <w:t>8,954</w:t>
            </w:r>
          </w:p>
        </w:tc>
        <w:tc>
          <w:tcPr>
            <w:tcW w:w="1114" w:type="dxa"/>
            <w:vAlign w:val="center"/>
          </w:tcPr>
          <w:p w14:paraId="18FE5DB5" w14:textId="77777777" w:rsidR="00301413" w:rsidRPr="00EA1BB2" w:rsidRDefault="00301413" w:rsidP="00301413">
            <w:pPr>
              <w:spacing w:line="360" w:lineRule="auto"/>
              <w:jc w:val="center"/>
              <w:rPr>
                <w:rFonts w:ascii="Cambria" w:hAnsi="Cambria" w:cs="Calibri"/>
                <w:color w:val="000000"/>
              </w:rPr>
            </w:pPr>
            <w:r w:rsidRPr="00EA1BB2">
              <w:rPr>
                <w:rFonts w:ascii="Cambria" w:hAnsi="Cambria"/>
              </w:rPr>
              <w:t>5,954</w:t>
            </w:r>
          </w:p>
        </w:tc>
        <w:tc>
          <w:tcPr>
            <w:tcW w:w="1596" w:type="dxa"/>
            <w:vAlign w:val="center"/>
          </w:tcPr>
          <w:p w14:paraId="715DB82D" w14:textId="77777777" w:rsidR="00301413" w:rsidRPr="00EA1BB2" w:rsidRDefault="00301413" w:rsidP="00301413">
            <w:pPr>
              <w:spacing w:line="360" w:lineRule="auto"/>
              <w:jc w:val="center"/>
              <w:rPr>
                <w:rFonts w:ascii="Cambria" w:hAnsi="Cambria" w:cs="Calibri"/>
                <w:color w:val="000000"/>
              </w:rPr>
            </w:pPr>
            <w:r w:rsidRPr="00EA1BB2">
              <w:rPr>
                <w:rFonts w:ascii="Cambria" w:hAnsi="Cambria" w:cs="Calibri"/>
                <w:color w:val="000000"/>
              </w:rPr>
              <w:t>3</w:t>
            </w:r>
          </w:p>
        </w:tc>
        <w:tc>
          <w:tcPr>
            <w:tcW w:w="1114" w:type="dxa"/>
            <w:vAlign w:val="center"/>
          </w:tcPr>
          <w:p w14:paraId="336F84DE" w14:textId="77777777" w:rsidR="00301413" w:rsidRPr="00EA1BB2" w:rsidRDefault="00301413" w:rsidP="00301413">
            <w:pPr>
              <w:spacing w:line="360" w:lineRule="auto"/>
              <w:jc w:val="center"/>
              <w:rPr>
                <w:rFonts w:ascii="Cambria" w:hAnsi="Cambria" w:cs="Calibri"/>
                <w:color w:val="000000"/>
              </w:rPr>
            </w:pPr>
            <w:r w:rsidRPr="00EA1BB2">
              <w:rPr>
                <w:rFonts w:ascii="Cambria" w:hAnsi="Cambria"/>
              </w:rPr>
              <w:t>4,948</w:t>
            </w:r>
          </w:p>
        </w:tc>
        <w:tc>
          <w:tcPr>
            <w:tcW w:w="1114" w:type="dxa"/>
            <w:vAlign w:val="center"/>
          </w:tcPr>
          <w:p w14:paraId="58490F7D" w14:textId="77777777" w:rsidR="00301413" w:rsidRPr="00EA1BB2" w:rsidRDefault="00301413" w:rsidP="00301413">
            <w:pPr>
              <w:spacing w:line="360" w:lineRule="auto"/>
              <w:jc w:val="center"/>
              <w:rPr>
                <w:rFonts w:ascii="Cambria" w:hAnsi="Cambria"/>
              </w:rPr>
            </w:pPr>
            <w:r w:rsidRPr="00EA1BB2">
              <w:rPr>
                <w:rFonts w:ascii="Cambria" w:hAnsi="Cambria"/>
              </w:rPr>
              <w:t>3,290</w:t>
            </w:r>
          </w:p>
        </w:tc>
        <w:tc>
          <w:tcPr>
            <w:tcW w:w="1596" w:type="dxa"/>
            <w:vAlign w:val="center"/>
          </w:tcPr>
          <w:p w14:paraId="05E41C42" w14:textId="77777777" w:rsidR="00301413" w:rsidRPr="00EA1BB2" w:rsidRDefault="00301413" w:rsidP="00301413">
            <w:pPr>
              <w:spacing w:line="360" w:lineRule="auto"/>
              <w:jc w:val="center"/>
              <w:rPr>
                <w:rFonts w:ascii="Cambria" w:hAnsi="Cambria"/>
              </w:rPr>
            </w:pPr>
            <w:r w:rsidRPr="00EA1BB2">
              <w:rPr>
                <w:rFonts w:ascii="Cambria" w:hAnsi="Cambria"/>
              </w:rPr>
              <w:t>1,658</w:t>
            </w:r>
          </w:p>
        </w:tc>
      </w:tr>
    </w:tbl>
    <w:p w14:paraId="3B26B7EE" w14:textId="77777777" w:rsidR="00D07245" w:rsidRPr="00EA1BB2" w:rsidRDefault="00D07245" w:rsidP="00D07245">
      <w:pPr>
        <w:spacing w:line="360" w:lineRule="auto"/>
        <w:ind w:firstLine="567"/>
        <w:jc w:val="both"/>
        <w:rPr>
          <w:rFonts w:ascii="Cambria" w:eastAsia="Times New Roman" w:hAnsi="Cambria" w:cs="Times New Roman"/>
          <w:sz w:val="24"/>
          <w:szCs w:val="24"/>
          <w:highlight w:val="cyan"/>
        </w:rPr>
      </w:pPr>
    </w:p>
    <w:p w14:paraId="576B0AFD" w14:textId="77777777" w:rsidR="00D07245" w:rsidRPr="00EA1BB2" w:rsidRDefault="00D07245" w:rsidP="00D07245">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 xml:space="preserve">Concentrațiile de fond regional total </w:t>
      </w:r>
      <w:r w:rsidR="001A3090" w:rsidRPr="00EA1BB2">
        <w:rPr>
          <w:rFonts w:ascii="Cambria" w:eastAsia="Times New Roman" w:hAnsi="Cambria" w:cs="Times New Roman"/>
          <w:sz w:val="24"/>
          <w:szCs w:val="24"/>
        </w:rPr>
        <w:t xml:space="preserve">(pentru zona Brăila și aglomerarea Brăila) </w:t>
      </w:r>
      <w:r w:rsidRPr="00EA1BB2">
        <w:rPr>
          <w:rFonts w:ascii="Cambria" w:eastAsia="Times New Roman" w:hAnsi="Cambria" w:cs="Times New Roman"/>
          <w:sz w:val="24"/>
          <w:szCs w:val="24"/>
        </w:rPr>
        <w:t xml:space="preserve">sunt date care se introduc în modelul de dispersie ales (ca date de intrare) pentru estimarea dispersiei poluanților în atmosferă pentru anul de proiecție 2022. </w:t>
      </w:r>
    </w:p>
    <w:p w14:paraId="40916A78" w14:textId="77777777" w:rsidR="009A0935" w:rsidRPr="00EA1BB2" w:rsidRDefault="009A0935" w:rsidP="00D07245">
      <w:pPr>
        <w:spacing w:line="360" w:lineRule="auto"/>
        <w:ind w:firstLine="709"/>
        <w:jc w:val="both"/>
        <w:rPr>
          <w:rFonts w:ascii="Cambria" w:eastAsia="Times New Roman" w:hAnsi="Cambria" w:cs="Times New Roman"/>
          <w:color w:val="000000"/>
          <w:sz w:val="24"/>
          <w:szCs w:val="24"/>
        </w:rPr>
      </w:pPr>
    </w:p>
    <w:p w14:paraId="25AE6047" w14:textId="77777777" w:rsidR="00E57CA2" w:rsidRPr="00EA1BB2" w:rsidRDefault="00305926" w:rsidP="00E859EF">
      <w:pPr>
        <w:pStyle w:val="Heading2"/>
        <w:numPr>
          <w:ilvl w:val="1"/>
          <w:numId w:val="1"/>
        </w:numPr>
        <w:spacing w:before="0"/>
        <w:ind w:left="0" w:firstLine="709"/>
        <w:jc w:val="both"/>
        <w:rPr>
          <w:rFonts w:ascii="Cambria" w:eastAsia="Times New Roman" w:hAnsi="Cambria"/>
          <w:color w:val="0070C0"/>
          <w:szCs w:val="24"/>
        </w:rPr>
      </w:pPr>
      <w:bookmarkStart w:id="137" w:name="_Toc526889725"/>
      <w:r w:rsidRPr="00EA1BB2">
        <w:rPr>
          <w:rFonts w:ascii="Cambria" w:eastAsia="Times New Roman" w:hAnsi="Cambria"/>
          <w:color w:val="0070C0"/>
          <w:szCs w:val="24"/>
        </w:rPr>
        <w:t>E</w:t>
      </w:r>
      <w:r w:rsidR="00E57CA2" w:rsidRPr="00EA1BB2">
        <w:rPr>
          <w:rFonts w:ascii="Cambria" w:eastAsia="Times New Roman" w:hAnsi="Cambria"/>
          <w:color w:val="0070C0"/>
          <w:szCs w:val="24"/>
        </w:rPr>
        <w:t>va</w:t>
      </w:r>
      <w:r w:rsidR="00E40B49" w:rsidRPr="00EA1BB2">
        <w:rPr>
          <w:rFonts w:ascii="Cambria" w:eastAsia="Times New Roman" w:hAnsi="Cambria"/>
          <w:color w:val="0070C0"/>
          <w:szCs w:val="24"/>
        </w:rPr>
        <w:t>luarea nivelului de fond urban</w:t>
      </w:r>
      <w:r w:rsidR="001B7137" w:rsidRPr="00EA1BB2">
        <w:rPr>
          <w:rFonts w:ascii="Cambria" w:eastAsia="Times New Roman" w:hAnsi="Cambria"/>
          <w:color w:val="0070C0"/>
          <w:szCs w:val="24"/>
        </w:rPr>
        <w:t>: total, trafic, industrie, inclusiv produc</w:t>
      </w:r>
      <w:r w:rsidR="00054880" w:rsidRPr="00EA1BB2">
        <w:rPr>
          <w:rFonts w:ascii="Cambria" w:eastAsia="Times New Roman" w:hAnsi="Cambria"/>
          <w:color w:val="0070C0"/>
          <w:szCs w:val="24"/>
        </w:rPr>
        <w:t>ț</w:t>
      </w:r>
      <w:r w:rsidR="001B7137" w:rsidRPr="00EA1BB2">
        <w:rPr>
          <w:rFonts w:ascii="Cambria" w:eastAsia="Times New Roman" w:hAnsi="Cambria"/>
          <w:color w:val="0070C0"/>
          <w:szCs w:val="24"/>
        </w:rPr>
        <w:t xml:space="preserve">ia de energie termică </w:t>
      </w:r>
      <w:r w:rsidR="00054880" w:rsidRPr="00EA1BB2">
        <w:rPr>
          <w:rFonts w:ascii="Cambria" w:eastAsia="Times New Roman" w:hAnsi="Cambria"/>
          <w:color w:val="0070C0"/>
          <w:szCs w:val="24"/>
        </w:rPr>
        <w:t>ș</w:t>
      </w:r>
      <w:r w:rsidR="001B7137" w:rsidRPr="00EA1BB2">
        <w:rPr>
          <w:rFonts w:ascii="Cambria" w:eastAsia="Times New Roman" w:hAnsi="Cambria"/>
          <w:color w:val="0070C0"/>
          <w:szCs w:val="24"/>
        </w:rPr>
        <w:t xml:space="preserve">i electrică, agricultură, surse comerciale </w:t>
      </w:r>
      <w:r w:rsidR="00054880" w:rsidRPr="00EA1BB2">
        <w:rPr>
          <w:rFonts w:ascii="Cambria" w:eastAsia="Times New Roman" w:hAnsi="Cambria"/>
          <w:color w:val="0070C0"/>
          <w:szCs w:val="24"/>
        </w:rPr>
        <w:t>ș</w:t>
      </w:r>
      <w:r w:rsidR="001B7137" w:rsidRPr="00EA1BB2">
        <w:rPr>
          <w:rFonts w:ascii="Cambria" w:eastAsia="Times New Roman" w:hAnsi="Cambria"/>
          <w:color w:val="0070C0"/>
          <w:szCs w:val="24"/>
        </w:rPr>
        <w:t>i reziden</w:t>
      </w:r>
      <w:r w:rsidR="00054880" w:rsidRPr="00EA1BB2">
        <w:rPr>
          <w:rFonts w:ascii="Cambria" w:eastAsia="Times New Roman" w:hAnsi="Cambria"/>
          <w:color w:val="0070C0"/>
          <w:szCs w:val="24"/>
        </w:rPr>
        <w:t>ț</w:t>
      </w:r>
      <w:r w:rsidR="001B7137" w:rsidRPr="00EA1BB2">
        <w:rPr>
          <w:rFonts w:ascii="Cambria" w:eastAsia="Times New Roman" w:hAnsi="Cambria"/>
          <w:color w:val="0070C0"/>
          <w:szCs w:val="24"/>
        </w:rPr>
        <w:t>iale, echipamente mobile off-road, transfrontier</w:t>
      </w:r>
      <w:bookmarkEnd w:id="137"/>
    </w:p>
    <w:p w14:paraId="2DB03FBD" w14:textId="77777777" w:rsidR="00A25848" w:rsidRPr="00EA1BB2" w:rsidRDefault="00A25848" w:rsidP="00A25848">
      <w:pPr>
        <w:spacing w:line="360" w:lineRule="auto"/>
        <w:ind w:firstLine="709"/>
        <w:jc w:val="both"/>
        <w:rPr>
          <w:rFonts w:ascii="Cambria" w:eastAsia="Calibri" w:hAnsi="Cambria" w:cs="Times New Roman"/>
        </w:rPr>
      </w:pPr>
      <w:r w:rsidRPr="00EA1BB2">
        <w:rPr>
          <w:rFonts w:ascii="Cambria" w:eastAsia="Calibri" w:hAnsi="Cambria" w:cs="Times New Roman"/>
          <w:sz w:val="24"/>
          <w:szCs w:val="24"/>
        </w:rPr>
        <w:t>Fondul urban reprezintă concentra</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iile datorate emisiilor din interiorul ora</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elor sau aglomerărilor, care nu constituie emisii locale directe. Este suma componentelor de: trafic, industrie inclusiv produc</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 xml:space="preserve">ia de energie termică </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i electrică, agricultură, etc.</w:t>
      </w:r>
    </w:p>
    <w:p w14:paraId="5D89F51F" w14:textId="77777777" w:rsidR="00F96DB3" w:rsidRPr="00EA1BB2" w:rsidRDefault="00091444" w:rsidP="00F96DB3">
      <w:pPr>
        <w:spacing w:line="360" w:lineRule="auto"/>
        <w:ind w:firstLine="709"/>
        <w:jc w:val="both"/>
        <w:rPr>
          <w:rFonts w:ascii="Cambria" w:eastAsia="Times New Roman" w:hAnsi="Cambria" w:cs="Times New Roman"/>
          <w:bCs/>
          <w:sz w:val="24"/>
          <w:szCs w:val="26"/>
        </w:rPr>
      </w:pPr>
      <w:r w:rsidRPr="00EA1BB2">
        <w:rPr>
          <w:rFonts w:ascii="Cambria" w:eastAsia="Times New Roman" w:hAnsi="Cambria" w:cs="Times New Roman"/>
          <w:bCs/>
          <w:sz w:val="24"/>
          <w:szCs w:val="26"/>
        </w:rPr>
        <w:t>E</w:t>
      </w:r>
      <w:r w:rsidR="00F96DB3" w:rsidRPr="00EA1BB2">
        <w:rPr>
          <w:rFonts w:ascii="Cambria" w:eastAsia="Times New Roman" w:hAnsi="Cambria" w:cs="Times New Roman"/>
          <w:bCs/>
          <w:sz w:val="24"/>
          <w:szCs w:val="26"/>
        </w:rPr>
        <w:t xml:space="preserve">stimarea contribuțiilor individuale ale fiecărei categorii importante de surse de emisii la nivelul de fond urban </w:t>
      </w:r>
      <w:r w:rsidRPr="00EA1BB2">
        <w:rPr>
          <w:rFonts w:ascii="Cambria" w:eastAsia="Times New Roman" w:hAnsi="Cambria" w:cs="Times New Roman"/>
          <w:bCs/>
          <w:sz w:val="24"/>
          <w:szCs w:val="26"/>
        </w:rPr>
        <w:t xml:space="preserve">s-a realizat prin modelare </w:t>
      </w:r>
      <w:r w:rsidR="00861A3F" w:rsidRPr="00EA1BB2">
        <w:rPr>
          <w:rFonts w:ascii="Cambria" w:eastAsia="Times New Roman" w:hAnsi="Cambria" w:cs="Times New Roman"/>
          <w:bCs/>
          <w:sz w:val="24"/>
          <w:szCs w:val="26"/>
        </w:rPr>
        <w:t xml:space="preserve">și </w:t>
      </w:r>
      <w:r w:rsidR="00F96DB3" w:rsidRPr="00EA1BB2">
        <w:rPr>
          <w:rFonts w:ascii="Cambria" w:eastAsia="Times New Roman" w:hAnsi="Cambria" w:cs="Times New Roman"/>
          <w:bCs/>
          <w:sz w:val="24"/>
          <w:szCs w:val="26"/>
        </w:rPr>
        <w:t>au fost extrase în puncte</w:t>
      </w:r>
      <w:r w:rsidR="00861A3F" w:rsidRPr="00EA1BB2">
        <w:rPr>
          <w:rFonts w:ascii="Cambria" w:eastAsia="Times New Roman" w:hAnsi="Cambria" w:cs="Times New Roman"/>
          <w:bCs/>
          <w:sz w:val="24"/>
          <w:szCs w:val="26"/>
        </w:rPr>
        <w:t xml:space="preserve"> ce coincid cu</w:t>
      </w:r>
      <w:r w:rsidR="00F96DB3" w:rsidRPr="00EA1BB2">
        <w:rPr>
          <w:rFonts w:ascii="Cambria" w:eastAsia="Times New Roman" w:hAnsi="Cambria" w:cs="Times New Roman"/>
          <w:bCs/>
          <w:sz w:val="24"/>
          <w:szCs w:val="26"/>
        </w:rPr>
        <w:t xml:space="preserve"> amplasament</w:t>
      </w:r>
      <w:r w:rsidR="00861A3F" w:rsidRPr="00EA1BB2">
        <w:rPr>
          <w:rFonts w:ascii="Cambria" w:eastAsia="Times New Roman" w:hAnsi="Cambria" w:cs="Times New Roman"/>
          <w:bCs/>
          <w:sz w:val="24"/>
          <w:szCs w:val="26"/>
        </w:rPr>
        <w:t>ul</w:t>
      </w:r>
      <w:r w:rsidR="00F96DB3" w:rsidRPr="00EA1BB2">
        <w:rPr>
          <w:rFonts w:ascii="Cambria" w:eastAsia="Times New Roman" w:hAnsi="Cambria" w:cs="Times New Roman"/>
          <w:bCs/>
          <w:sz w:val="24"/>
          <w:szCs w:val="26"/>
        </w:rPr>
        <w:t xml:space="preserve"> stațiilor din cadrul RNMCA care se află pe teritoriul județului Brăila, deoarece acestea reprezintă puncte în care se poate monitoriza evoluția, în timp, a efectului aplicării măsurilor din cadrul </w:t>
      </w:r>
      <w:r w:rsidR="007E6775" w:rsidRPr="00EA1BB2">
        <w:rPr>
          <w:rFonts w:ascii="Cambria" w:eastAsia="Times New Roman" w:hAnsi="Cambria" w:cs="Times New Roman"/>
          <w:bCs/>
          <w:sz w:val="24"/>
          <w:szCs w:val="26"/>
        </w:rPr>
        <w:t xml:space="preserve">Planului de menținere a calității aerului, </w:t>
      </w:r>
      <w:r w:rsidR="00F96DB3" w:rsidRPr="00EA1BB2">
        <w:rPr>
          <w:rFonts w:ascii="Cambria" w:eastAsia="Times New Roman" w:hAnsi="Cambria" w:cs="Times New Roman"/>
          <w:bCs/>
          <w:sz w:val="24"/>
          <w:szCs w:val="26"/>
        </w:rPr>
        <w:t>prin urmărirea evoluției în timp a valorilor concentrațiilor măsurate.</w:t>
      </w:r>
    </w:p>
    <w:p w14:paraId="108DA0B3" w14:textId="241FCF04" w:rsidR="00E53210" w:rsidRPr="00EA1BB2" w:rsidRDefault="00917858" w:rsidP="00E53210">
      <w:pPr>
        <w:spacing w:line="360" w:lineRule="auto"/>
        <w:ind w:firstLine="709"/>
        <w:jc w:val="both"/>
        <w:rPr>
          <w:rFonts w:ascii="Cambria" w:eastAsia="Times New Roman" w:hAnsi="Cambria" w:cs="Times New Roman"/>
          <w:bCs/>
          <w:sz w:val="24"/>
          <w:szCs w:val="26"/>
        </w:rPr>
      </w:pPr>
      <w:r w:rsidRPr="00EA1BB2">
        <w:rPr>
          <w:rFonts w:ascii="Cambria" w:eastAsia="Times New Roman" w:hAnsi="Cambria" w:cs="Times New Roman"/>
          <w:bCs/>
          <w:sz w:val="24"/>
          <w:szCs w:val="26"/>
        </w:rPr>
        <w:lastRenderedPageBreak/>
        <w:t>N</w:t>
      </w:r>
      <w:r w:rsidR="00E53210" w:rsidRPr="00EA1BB2">
        <w:rPr>
          <w:rFonts w:ascii="Cambria" w:eastAsia="Times New Roman" w:hAnsi="Cambria" w:cs="Times New Roman"/>
          <w:bCs/>
          <w:sz w:val="24"/>
          <w:szCs w:val="26"/>
        </w:rPr>
        <w:t>ive</w:t>
      </w:r>
      <w:r w:rsidRPr="00EA1BB2">
        <w:rPr>
          <w:rFonts w:ascii="Cambria" w:eastAsia="Times New Roman" w:hAnsi="Cambria" w:cs="Times New Roman"/>
          <w:bCs/>
          <w:sz w:val="24"/>
          <w:szCs w:val="26"/>
        </w:rPr>
        <w:t>lul</w:t>
      </w:r>
      <w:r w:rsidR="00E53210" w:rsidRPr="00EA1BB2">
        <w:rPr>
          <w:rFonts w:ascii="Cambria" w:eastAsia="Times New Roman" w:hAnsi="Cambria" w:cs="Times New Roman"/>
          <w:bCs/>
          <w:sz w:val="24"/>
          <w:szCs w:val="26"/>
        </w:rPr>
        <w:t xml:space="preserve"> de fond urban </w:t>
      </w:r>
      <w:r w:rsidR="007E6B43" w:rsidRPr="00EA1BB2">
        <w:rPr>
          <w:rFonts w:ascii="Cambria" w:eastAsia="Times New Roman" w:hAnsi="Cambria" w:cs="Times New Roman"/>
          <w:bCs/>
          <w:sz w:val="24"/>
          <w:szCs w:val="26"/>
        </w:rPr>
        <w:t xml:space="preserve">pentru zona Brăila </w:t>
      </w:r>
      <w:r w:rsidR="00E53210" w:rsidRPr="00EA1BB2">
        <w:rPr>
          <w:rFonts w:ascii="Cambria" w:eastAsia="Times New Roman" w:hAnsi="Cambria" w:cs="Times New Roman"/>
          <w:bCs/>
          <w:sz w:val="24"/>
          <w:szCs w:val="26"/>
        </w:rPr>
        <w:t>a fost calculat, atât în total, cât și pe categorii</w:t>
      </w:r>
      <w:r w:rsidR="00785B8E" w:rsidRPr="00EA1BB2">
        <w:rPr>
          <w:rFonts w:ascii="Cambria" w:eastAsia="Times New Roman" w:hAnsi="Cambria" w:cs="Times New Roman"/>
          <w:bCs/>
          <w:sz w:val="24"/>
          <w:szCs w:val="26"/>
        </w:rPr>
        <w:t xml:space="preserve"> de surse, ca fiind reprezentat</w:t>
      </w:r>
      <w:r w:rsidR="00E53210" w:rsidRPr="00EA1BB2">
        <w:rPr>
          <w:rFonts w:ascii="Cambria" w:eastAsia="Times New Roman" w:hAnsi="Cambria" w:cs="Times New Roman"/>
          <w:bCs/>
          <w:sz w:val="24"/>
          <w:szCs w:val="26"/>
        </w:rPr>
        <w:t xml:space="preserve"> de concentrația medie anuală obținută prin modelare în punctu</w:t>
      </w:r>
      <w:r w:rsidR="00785B8E" w:rsidRPr="00EA1BB2">
        <w:rPr>
          <w:rFonts w:ascii="Cambria" w:eastAsia="Times New Roman" w:hAnsi="Cambria" w:cs="Times New Roman"/>
          <w:bCs/>
          <w:sz w:val="24"/>
          <w:szCs w:val="26"/>
        </w:rPr>
        <w:t>l de amplasament al</w:t>
      </w:r>
      <w:r w:rsidR="0094281A" w:rsidRPr="00EA1BB2">
        <w:rPr>
          <w:rFonts w:ascii="Cambria" w:eastAsia="Times New Roman" w:hAnsi="Cambria" w:cs="Times New Roman"/>
          <w:bCs/>
          <w:sz w:val="24"/>
          <w:szCs w:val="26"/>
        </w:rPr>
        <w:t xml:space="preserve"> stației BR</w:t>
      </w:r>
      <w:r w:rsidR="00171C34" w:rsidRPr="00EA1BB2">
        <w:rPr>
          <w:rFonts w:ascii="Cambria" w:eastAsia="Times New Roman" w:hAnsi="Cambria" w:cs="Times New Roman"/>
          <w:bCs/>
          <w:sz w:val="24"/>
          <w:szCs w:val="26"/>
        </w:rPr>
        <w:t>3</w:t>
      </w:r>
      <w:r w:rsidR="004C5F2E">
        <w:rPr>
          <w:rFonts w:ascii="Cambria" w:eastAsia="Times New Roman" w:hAnsi="Cambria" w:cs="Times New Roman"/>
          <w:bCs/>
          <w:sz w:val="24"/>
          <w:szCs w:val="26"/>
        </w:rPr>
        <w:t xml:space="preserve"> </w:t>
      </w:r>
      <w:r w:rsidR="00785B8E" w:rsidRPr="00EA1BB2">
        <w:rPr>
          <w:rFonts w:ascii="Cambria" w:eastAsia="Times New Roman" w:hAnsi="Cambria" w:cs="Times New Roman"/>
          <w:bCs/>
          <w:sz w:val="24"/>
          <w:szCs w:val="26"/>
        </w:rPr>
        <w:t xml:space="preserve">de </w:t>
      </w:r>
      <w:r w:rsidR="00171C34" w:rsidRPr="00EA1BB2">
        <w:rPr>
          <w:rFonts w:ascii="Cambria" w:eastAsia="Times New Roman" w:hAnsi="Cambria" w:cs="Times New Roman"/>
          <w:bCs/>
          <w:sz w:val="24"/>
          <w:szCs w:val="26"/>
        </w:rPr>
        <w:t xml:space="preserve">fond, iar nivelul de fond urban pentru aglomerarea Brăila a fost calculat, atât în total, cât și pe categorii de surse, ca fiind reprezentat de concentrația medie anuală obținută prin modelare în punctul de amplasament al stației BR2 de fond urban.  </w:t>
      </w:r>
    </w:p>
    <w:p w14:paraId="245A9EDD" w14:textId="77777777" w:rsidR="00305926" w:rsidRPr="00EA1BB2" w:rsidRDefault="00305926" w:rsidP="00305926">
      <w:pPr>
        <w:spacing w:line="360" w:lineRule="auto"/>
        <w:rPr>
          <w:rFonts w:ascii="Cambria" w:hAnsi="Cambria"/>
          <w:sz w:val="24"/>
          <w:szCs w:val="24"/>
        </w:rPr>
      </w:pPr>
    </w:p>
    <w:p w14:paraId="438D41BA" w14:textId="77777777" w:rsidR="00C2266B" w:rsidRPr="00EA1BB2" w:rsidRDefault="00C2266B" w:rsidP="00C2266B">
      <w:pPr>
        <w:spacing w:line="360" w:lineRule="auto"/>
        <w:ind w:firstLine="709"/>
        <w:jc w:val="both"/>
        <w:rPr>
          <w:rFonts w:ascii="Cambria" w:eastAsia="Calibri" w:hAnsi="Cambria" w:cs="Times New Roman"/>
          <w:sz w:val="24"/>
          <w:szCs w:val="24"/>
        </w:rPr>
        <w:sectPr w:rsidR="00C2266B" w:rsidRPr="00EA1BB2" w:rsidSect="00EC1F7F">
          <w:headerReference w:type="default" r:id="rId75"/>
          <w:footerReference w:type="default" r:id="rId76"/>
          <w:pgSz w:w="11906" w:h="16838" w:code="9"/>
          <w:pgMar w:top="1247" w:right="1418" w:bottom="1247" w:left="1418" w:header="283" w:footer="283" w:gutter="0"/>
          <w:cols w:space="708"/>
          <w:docGrid w:linePitch="360"/>
        </w:sectPr>
      </w:pPr>
    </w:p>
    <w:p w14:paraId="1D1F5450" w14:textId="12CAFB80" w:rsidR="007E6B43" w:rsidRPr="00EA1BB2" w:rsidRDefault="007E6B43" w:rsidP="007E6B43">
      <w:pPr>
        <w:pStyle w:val="Caption"/>
        <w:keepNext/>
        <w:spacing w:after="0" w:line="360" w:lineRule="auto"/>
        <w:ind w:firstLine="708"/>
        <w:jc w:val="both"/>
        <w:rPr>
          <w:rFonts w:ascii="Cambria" w:hAnsi="Cambria"/>
        </w:rPr>
      </w:pPr>
      <w:bookmarkStart w:id="138" w:name="_Toc526889793"/>
      <w:bookmarkStart w:id="139" w:name="_Toc512346884"/>
      <w:r w:rsidRPr="00EA1BB2">
        <w:rPr>
          <w:rFonts w:ascii="Cambria" w:hAnsi="Cambria"/>
        </w:rPr>
        <w:lastRenderedPageBreak/>
        <w:t xml:space="preserve">Tabelul nr. </w:t>
      </w:r>
      <w:r w:rsidR="000A2FE7" w:rsidRPr="00EA1BB2">
        <w:rPr>
          <w:rFonts w:ascii="Cambria" w:hAnsi="Cambria"/>
        </w:rPr>
        <w:fldChar w:fldCharType="begin"/>
      </w:r>
      <w:r w:rsidR="000A2FE7" w:rsidRPr="00EA1BB2">
        <w:rPr>
          <w:rFonts w:ascii="Cambria" w:hAnsi="Cambria"/>
        </w:rPr>
        <w:instrText xml:space="preserve"> STYLEREF 1 \s </w:instrText>
      </w:r>
      <w:r w:rsidR="000A2FE7" w:rsidRPr="00EA1BB2">
        <w:rPr>
          <w:rFonts w:ascii="Cambria" w:hAnsi="Cambria"/>
        </w:rPr>
        <w:fldChar w:fldCharType="separate"/>
      </w:r>
      <w:r w:rsidR="00567555">
        <w:rPr>
          <w:rFonts w:ascii="Cambria" w:hAnsi="Cambria"/>
          <w:noProof/>
        </w:rPr>
        <w:t>3</w:t>
      </w:r>
      <w:r w:rsidR="000A2FE7" w:rsidRPr="00EA1BB2">
        <w:rPr>
          <w:rFonts w:ascii="Cambria" w:hAnsi="Cambria"/>
        </w:rPr>
        <w:fldChar w:fldCharType="end"/>
      </w:r>
      <w:r w:rsidR="000A2FE7" w:rsidRPr="00EA1BB2">
        <w:rPr>
          <w:rFonts w:ascii="Cambria" w:hAnsi="Cambria"/>
        </w:rPr>
        <w:noBreakHyphen/>
      </w:r>
      <w:r w:rsidR="000A2FE7" w:rsidRPr="00EA1BB2">
        <w:rPr>
          <w:rFonts w:ascii="Cambria" w:hAnsi="Cambria"/>
        </w:rPr>
        <w:fldChar w:fldCharType="begin"/>
      </w:r>
      <w:r w:rsidR="000A2FE7" w:rsidRPr="00EA1BB2">
        <w:rPr>
          <w:rFonts w:ascii="Cambria" w:hAnsi="Cambria"/>
        </w:rPr>
        <w:instrText xml:space="preserve"> SEQ Tabelul_nr. \* ARABIC \s 1 </w:instrText>
      </w:r>
      <w:r w:rsidR="000A2FE7" w:rsidRPr="00EA1BB2">
        <w:rPr>
          <w:rFonts w:ascii="Cambria" w:hAnsi="Cambria"/>
        </w:rPr>
        <w:fldChar w:fldCharType="separate"/>
      </w:r>
      <w:r w:rsidR="00567555">
        <w:rPr>
          <w:rFonts w:ascii="Cambria" w:hAnsi="Cambria"/>
          <w:noProof/>
        </w:rPr>
        <w:t>24</w:t>
      </w:r>
      <w:r w:rsidR="000A2FE7" w:rsidRPr="00EA1BB2">
        <w:rPr>
          <w:rFonts w:ascii="Cambria" w:hAnsi="Cambria"/>
        </w:rPr>
        <w:fldChar w:fldCharType="end"/>
      </w:r>
      <w:r w:rsidRPr="00EA1BB2">
        <w:rPr>
          <w:rFonts w:ascii="Cambria" w:hAnsi="Cambria"/>
        </w:rPr>
        <w:t xml:space="preserve"> – Nivelul de fond urban pentru poluanții de interes</w:t>
      </w:r>
      <w:bookmarkEnd w:id="138"/>
    </w:p>
    <w:tbl>
      <w:tblPr>
        <w:tblW w:w="133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992"/>
        <w:gridCol w:w="1474"/>
        <w:gridCol w:w="2211"/>
        <w:gridCol w:w="1701"/>
        <w:gridCol w:w="2041"/>
        <w:gridCol w:w="1985"/>
        <w:gridCol w:w="1984"/>
      </w:tblGrid>
      <w:tr w:rsidR="007E6B43" w:rsidRPr="00EA1BB2" w14:paraId="22B68B17" w14:textId="77777777" w:rsidTr="007E6B43">
        <w:trPr>
          <w:trHeight w:val="300"/>
          <w:jc w:val="center"/>
        </w:trPr>
        <w:tc>
          <w:tcPr>
            <w:tcW w:w="988" w:type="dxa"/>
            <w:vMerge w:val="restart"/>
            <w:shd w:val="clear" w:color="auto" w:fill="BDD6EE" w:themeFill="accent1" w:themeFillTint="66"/>
            <w:noWrap/>
            <w:vAlign w:val="center"/>
          </w:tcPr>
          <w:p w14:paraId="55F24F70" w14:textId="77777777" w:rsidR="007E6B43" w:rsidRPr="00EA1BB2" w:rsidRDefault="007E6B43" w:rsidP="007E6B43">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0"/>
                <w:lang w:eastAsia="ro-RO"/>
              </w:rPr>
              <w:t>Poluant</w:t>
            </w:r>
          </w:p>
        </w:tc>
        <w:tc>
          <w:tcPr>
            <w:tcW w:w="992" w:type="dxa"/>
            <w:vMerge w:val="restart"/>
            <w:shd w:val="clear" w:color="auto" w:fill="BDD6EE" w:themeFill="accent1" w:themeFillTint="66"/>
            <w:noWrap/>
            <w:vAlign w:val="center"/>
          </w:tcPr>
          <w:p w14:paraId="4BDE5560" w14:textId="77777777" w:rsidR="007E6B43" w:rsidRPr="00EA1BB2" w:rsidRDefault="007E6B43" w:rsidP="007E6B43">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0"/>
                <w:lang w:eastAsia="ro-RO"/>
              </w:rPr>
              <w:t>u.m.</w:t>
            </w:r>
          </w:p>
        </w:tc>
        <w:tc>
          <w:tcPr>
            <w:tcW w:w="11396" w:type="dxa"/>
            <w:gridSpan w:val="6"/>
            <w:shd w:val="clear" w:color="auto" w:fill="BDD6EE" w:themeFill="accent1" w:themeFillTint="66"/>
            <w:vAlign w:val="center"/>
          </w:tcPr>
          <w:p w14:paraId="2B7E2DFA" w14:textId="77777777" w:rsidR="007E6B43" w:rsidRPr="00EA1BB2" w:rsidRDefault="007E6B43" w:rsidP="007E6B43">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Cs w:val="20"/>
                <w:lang w:eastAsia="ro-RO"/>
              </w:rPr>
              <w:t>Nivelul de fond urban zona Brăila:</w:t>
            </w:r>
          </w:p>
        </w:tc>
      </w:tr>
      <w:tr w:rsidR="007E6B43" w:rsidRPr="00EA1BB2" w14:paraId="08070C1F" w14:textId="77777777" w:rsidTr="007E6B43">
        <w:trPr>
          <w:trHeight w:val="300"/>
          <w:jc w:val="center"/>
        </w:trPr>
        <w:tc>
          <w:tcPr>
            <w:tcW w:w="988" w:type="dxa"/>
            <w:vMerge/>
            <w:shd w:val="clear" w:color="auto" w:fill="BDD6EE" w:themeFill="accent1" w:themeFillTint="66"/>
            <w:noWrap/>
            <w:vAlign w:val="center"/>
            <w:hideMark/>
          </w:tcPr>
          <w:p w14:paraId="5002BED5" w14:textId="77777777" w:rsidR="007E6B43" w:rsidRPr="00EA1BB2" w:rsidRDefault="007E6B43" w:rsidP="007E6B43">
            <w:pPr>
              <w:spacing w:line="360" w:lineRule="auto"/>
              <w:jc w:val="center"/>
              <w:rPr>
                <w:rFonts w:ascii="Cambria" w:eastAsia="Times New Roman" w:hAnsi="Cambria" w:cs="Calibri"/>
                <w:b/>
                <w:color w:val="000000"/>
                <w:sz w:val="20"/>
                <w:szCs w:val="20"/>
                <w:lang w:eastAsia="ro-RO"/>
              </w:rPr>
            </w:pPr>
          </w:p>
        </w:tc>
        <w:tc>
          <w:tcPr>
            <w:tcW w:w="992" w:type="dxa"/>
            <w:vMerge/>
            <w:shd w:val="clear" w:color="auto" w:fill="BDD6EE" w:themeFill="accent1" w:themeFillTint="66"/>
            <w:noWrap/>
            <w:vAlign w:val="center"/>
            <w:hideMark/>
          </w:tcPr>
          <w:p w14:paraId="145FC42D" w14:textId="77777777" w:rsidR="007E6B43" w:rsidRPr="00EA1BB2" w:rsidRDefault="007E6B43" w:rsidP="007E6B43">
            <w:pPr>
              <w:spacing w:line="360" w:lineRule="auto"/>
              <w:jc w:val="center"/>
              <w:rPr>
                <w:rFonts w:ascii="Cambria" w:eastAsia="Times New Roman" w:hAnsi="Cambria" w:cs="Calibri"/>
                <w:b/>
                <w:color w:val="000000"/>
                <w:sz w:val="20"/>
                <w:szCs w:val="20"/>
                <w:lang w:eastAsia="ro-RO"/>
              </w:rPr>
            </w:pPr>
          </w:p>
        </w:tc>
        <w:tc>
          <w:tcPr>
            <w:tcW w:w="1474" w:type="dxa"/>
            <w:shd w:val="clear" w:color="auto" w:fill="BDD6EE" w:themeFill="accent1" w:themeFillTint="66"/>
            <w:vAlign w:val="center"/>
          </w:tcPr>
          <w:p w14:paraId="38F5C12C" w14:textId="77777777" w:rsidR="007E6B43" w:rsidRPr="00EA1BB2" w:rsidRDefault="007E6B43" w:rsidP="007E6B43">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0"/>
                <w:lang w:eastAsia="ro-RO"/>
              </w:rPr>
              <w:t>total</w:t>
            </w:r>
          </w:p>
        </w:tc>
        <w:tc>
          <w:tcPr>
            <w:tcW w:w="2211" w:type="dxa"/>
            <w:shd w:val="clear" w:color="auto" w:fill="BDD6EE" w:themeFill="accent1" w:themeFillTint="66"/>
            <w:vAlign w:val="center"/>
          </w:tcPr>
          <w:p w14:paraId="4700921F" w14:textId="77777777" w:rsidR="007E6B43" w:rsidRPr="00EA1BB2" w:rsidRDefault="007E6B43" w:rsidP="007E6B43">
            <w:pPr>
              <w:spacing w:line="360" w:lineRule="auto"/>
              <w:jc w:val="center"/>
              <w:rPr>
                <w:rFonts w:ascii="Cambria" w:eastAsia="Times New Roman" w:hAnsi="Cambria" w:cs="Calibri"/>
                <w:b/>
                <w:color w:val="000000"/>
                <w:sz w:val="20"/>
                <w:szCs w:val="24"/>
                <w:lang w:eastAsia="ro-RO"/>
              </w:rPr>
            </w:pPr>
            <w:r w:rsidRPr="00EA1BB2">
              <w:rPr>
                <w:rFonts w:ascii="Cambria" w:eastAsia="Times New Roman" w:hAnsi="Cambria" w:cs="Calibri"/>
                <w:b/>
                <w:color w:val="000000"/>
                <w:sz w:val="20"/>
                <w:szCs w:val="20"/>
                <w:lang w:eastAsia="ro-RO"/>
              </w:rPr>
              <w:t>industrie, inclusiv producția de energie termică și electrică</w:t>
            </w:r>
          </w:p>
        </w:tc>
        <w:tc>
          <w:tcPr>
            <w:tcW w:w="1701" w:type="dxa"/>
            <w:shd w:val="clear" w:color="auto" w:fill="BDD6EE" w:themeFill="accent1" w:themeFillTint="66"/>
            <w:vAlign w:val="center"/>
          </w:tcPr>
          <w:p w14:paraId="7BF280A1" w14:textId="77777777" w:rsidR="007E6B43" w:rsidRPr="00EA1BB2" w:rsidRDefault="007E6B43" w:rsidP="007E6B43">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0"/>
                <w:lang w:eastAsia="ro-RO"/>
              </w:rPr>
              <w:t>agricultură</w:t>
            </w:r>
          </w:p>
        </w:tc>
        <w:tc>
          <w:tcPr>
            <w:tcW w:w="2041" w:type="dxa"/>
            <w:shd w:val="clear" w:color="auto" w:fill="BDD6EE" w:themeFill="accent1" w:themeFillTint="66"/>
            <w:vAlign w:val="center"/>
          </w:tcPr>
          <w:p w14:paraId="213DAABC" w14:textId="77777777" w:rsidR="007E6B43" w:rsidRPr="00EA1BB2" w:rsidRDefault="007E6B43" w:rsidP="007E6B43">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0"/>
                <w:lang w:eastAsia="ro-RO"/>
              </w:rPr>
              <w:t>surse rezidențiale, comerciale și instituționale</w:t>
            </w:r>
          </w:p>
        </w:tc>
        <w:tc>
          <w:tcPr>
            <w:tcW w:w="1985" w:type="dxa"/>
            <w:shd w:val="clear" w:color="auto" w:fill="BDD6EE" w:themeFill="accent1" w:themeFillTint="66"/>
            <w:vAlign w:val="center"/>
          </w:tcPr>
          <w:p w14:paraId="55CBA6B8" w14:textId="77777777" w:rsidR="007E6B43" w:rsidRPr="00EA1BB2" w:rsidRDefault="007E6B43" w:rsidP="007E6B43">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0"/>
                <w:lang w:eastAsia="ro-RO"/>
              </w:rPr>
              <w:t>transport</w:t>
            </w:r>
          </w:p>
        </w:tc>
        <w:tc>
          <w:tcPr>
            <w:tcW w:w="1984" w:type="dxa"/>
            <w:shd w:val="clear" w:color="auto" w:fill="BDD6EE" w:themeFill="accent1" w:themeFillTint="66"/>
            <w:vAlign w:val="center"/>
          </w:tcPr>
          <w:p w14:paraId="00C7B212" w14:textId="77777777" w:rsidR="007E6B43" w:rsidRPr="00EA1BB2" w:rsidRDefault="007E6B43" w:rsidP="007E6B43">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4"/>
                <w:lang w:eastAsia="ro-RO"/>
              </w:rPr>
              <w:t>Nivelul de fond regional</w:t>
            </w:r>
          </w:p>
        </w:tc>
      </w:tr>
      <w:tr w:rsidR="006B3A27" w:rsidRPr="00EA1BB2" w14:paraId="7FB34F0E" w14:textId="77777777" w:rsidTr="007E6B43">
        <w:trPr>
          <w:trHeight w:val="188"/>
          <w:jc w:val="center"/>
        </w:trPr>
        <w:tc>
          <w:tcPr>
            <w:tcW w:w="988" w:type="dxa"/>
            <w:shd w:val="clear" w:color="auto" w:fill="auto"/>
            <w:noWrap/>
            <w:vAlign w:val="bottom"/>
          </w:tcPr>
          <w:p w14:paraId="1168C1DB" w14:textId="77777777" w:rsidR="006B3A27" w:rsidRPr="00EA1BB2" w:rsidRDefault="006B3A27" w:rsidP="006B3A27">
            <w:pPr>
              <w:spacing w:line="360" w:lineRule="auto"/>
              <w:jc w:val="center"/>
              <w:rPr>
                <w:rFonts w:ascii="Cambria" w:eastAsia="Times New Roman" w:hAnsi="Cambria" w:cs="Arial"/>
                <w:color w:val="000000"/>
                <w:sz w:val="24"/>
                <w:szCs w:val="24"/>
                <w:lang w:eastAsia="ro-RO"/>
              </w:rPr>
            </w:pPr>
            <w:r w:rsidRPr="00EA1BB2">
              <w:rPr>
                <w:rFonts w:ascii="Cambria" w:hAnsi="Cambria" w:cs="Calibri"/>
                <w:color w:val="000000"/>
                <w:sz w:val="24"/>
                <w:szCs w:val="24"/>
              </w:rPr>
              <w:t>SO</w:t>
            </w:r>
            <w:r w:rsidRPr="00EA1BB2">
              <w:rPr>
                <w:rFonts w:ascii="Cambria" w:hAnsi="Cambria" w:cs="Calibri"/>
                <w:color w:val="000000"/>
                <w:sz w:val="24"/>
                <w:szCs w:val="24"/>
                <w:vertAlign w:val="subscript"/>
              </w:rPr>
              <w:t>2</w:t>
            </w:r>
          </w:p>
        </w:tc>
        <w:tc>
          <w:tcPr>
            <w:tcW w:w="992" w:type="dxa"/>
            <w:shd w:val="clear" w:color="auto" w:fill="auto"/>
            <w:noWrap/>
          </w:tcPr>
          <w:p w14:paraId="7AE19D33" w14:textId="77777777" w:rsidR="006B3A27" w:rsidRPr="00EA1BB2" w:rsidRDefault="006B3A27" w:rsidP="006B3A27">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µ</w:t>
            </w:r>
            <w:r w:rsidRPr="00EA1BB2">
              <w:rPr>
                <w:rFonts w:ascii="Cambria" w:eastAsia="Times New Roman" w:hAnsi="Cambria" w:cs="Calibri"/>
                <w:color w:val="000000"/>
                <w:sz w:val="24"/>
                <w:szCs w:val="24"/>
                <w:lang w:eastAsia="ro-RO"/>
              </w:rPr>
              <w:t>g/m</w:t>
            </w:r>
            <w:r w:rsidRPr="00EA1BB2">
              <w:rPr>
                <w:rFonts w:ascii="Cambria" w:eastAsia="Times New Roman" w:hAnsi="Cambria" w:cs="Calibri"/>
                <w:color w:val="000000"/>
                <w:sz w:val="24"/>
                <w:szCs w:val="24"/>
                <w:vertAlign w:val="superscript"/>
                <w:lang w:eastAsia="ro-RO"/>
              </w:rPr>
              <w:t>3</w:t>
            </w:r>
          </w:p>
        </w:tc>
        <w:tc>
          <w:tcPr>
            <w:tcW w:w="1474" w:type="dxa"/>
            <w:shd w:val="clear" w:color="auto" w:fill="auto"/>
          </w:tcPr>
          <w:p w14:paraId="3C589D49" w14:textId="77777777" w:rsidR="006B3A27" w:rsidRPr="00EA1BB2" w:rsidRDefault="006B3A27" w:rsidP="006B3A27">
            <w:pPr>
              <w:spacing w:line="360" w:lineRule="auto"/>
              <w:jc w:val="center"/>
              <w:rPr>
                <w:rFonts w:ascii="Cambria" w:eastAsia="Times New Roman" w:hAnsi="Cambria" w:cs="Arial"/>
                <w:color w:val="000000"/>
                <w:sz w:val="24"/>
                <w:szCs w:val="24"/>
                <w:lang w:eastAsia="ro-RO"/>
              </w:rPr>
            </w:pPr>
            <w:r w:rsidRPr="00EA1BB2">
              <w:rPr>
                <w:rFonts w:ascii="Cambria" w:hAnsi="Cambria"/>
                <w:sz w:val="24"/>
                <w:szCs w:val="24"/>
              </w:rPr>
              <w:t>3,680</w:t>
            </w:r>
          </w:p>
        </w:tc>
        <w:tc>
          <w:tcPr>
            <w:tcW w:w="2211" w:type="dxa"/>
          </w:tcPr>
          <w:p w14:paraId="2E96BD08"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0,0005</w:t>
            </w:r>
          </w:p>
        </w:tc>
        <w:tc>
          <w:tcPr>
            <w:tcW w:w="1701" w:type="dxa"/>
          </w:tcPr>
          <w:p w14:paraId="67DEA8A1"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0,0004</w:t>
            </w:r>
          </w:p>
        </w:tc>
        <w:tc>
          <w:tcPr>
            <w:tcW w:w="2041" w:type="dxa"/>
          </w:tcPr>
          <w:p w14:paraId="63F828B0"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0,0001</w:t>
            </w:r>
          </w:p>
        </w:tc>
        <w:tc>
          <w:tcPr>
            <w:tcW w:w="1985" w:type="dxa"/>
          </w:tcPr>
          <w:p w14:paraId="423DDFF9"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984" w:type="dxa"/>
          </w:tcPr>
          <w:p w14:paraId="5AC62CD8"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3,679</w:t>
            </w:r>
          </w:p>
        </w:tc>
      </w:tr>
      <w:tr w:rsidR="006B3A27" w:rsidRPr="00EA1BB2" w14:paraId="4DE699E5" w14:textId="77777777" w:rsidTr="007E6B43">
        <w:trPr>
          <w:trHeight w:val="188"/>
          <w:jc w:val="center"/>
        </w:trPr>
        <w:tc>
          <w:tcPr>
            <w:tcW w:w="988" w:type="dxa"/>
            <w:shd w:val="clear" w:color="auto" w:fill="auto"/>
            <w:noWrap/>
            <w:vAlign w:val="bottom"/>
          </w:tcPr>
          <w:p w14:paraId="1CECBE34" w14:textId="77777777" w:rsidR="006B3A27" w:rsidRPr="00EA1BB2" w:rsidRDefault="006B3A27" w:rsidP="006B3A27">
            <w:pPr>
              <w:spacing w:line="360" w:lineRule="auto"/>
              <w:jc w:val="center"/>
              <w:rPr>
                <w:rFonts w:ascii="Cambria" w:eastAsia="Times New Roman" w:hAnsi="Cambria" w:cs="Arial"/>
                <w:color w:val="000000"/>
                <w:sz w:val="24"/>
                <w:szCs w:val="24"/>
                <w:lang w:eastAsia="ro-RO"/>
              </w:rPr>
            </w:pPr>
            <w:r w:rsidRPr="00EA1BB2">
              <w:rPr>
                <w:rFonts w:ascii="Cambria" w:hAnsi="Cambria" w:cs="Calibri"/>
                <w:color w:val="000000"/>
                <w:sz w:val="24"/>
                <w:szCs w:val="24"/>
              </w:rPr>
              <w:t>NO</w:t>
            </w:r>
            <w:r w:rsidRPr="00EA1BB2">
              <w:rPr>
                <w:rFonts w:ascii="Cambria" w:hAnsi="Cambria" w:cs="Calibri"/>
                <w:color w:val="000000"/>
                <w:sz w:val="24"/>
                <w:szCs w:val="24"/>
                <w:vertAlign w:val="subscript"/>
              </w:rPr>
              <w:t>2</w:t>
            </w:r>
          </w:p>
        </w:tc>
        <w:tc>
          <w:tcPr>
            <w:tcW w:w="992" w:type="dxa"/>
            <w:shd w:val="clear" w:color="auto" w:fill="auto"/>
            <w:noWrap/>
          </w:tcPr>
          <w:p w14:paraId="41499CF1" w14:textId="77777777" w:rsidR="006B3A27" w:rsidRPr="00EA1BB2" w:rsidRDefault="006B3A27" w:rsidP="006B3A27">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µ</w:t>
            </w:r>
            <w:r w:rsidRPr="00EA1BB2">
              <w:rPr>
                <w:rFonts w:ascii="Cambria" w:eastAsia="Times New Roman" w:hAnsi="Cambria" w:cs="Calibri"/>
                <w:color w:val="000000"/>
                <w:sz w:val="24"/>
                <w:szCs w:val="24"/>
                <w:lang w:eastAsia="ro-RO"/>
              </w:rPr>
              <w:t>g/m</w:t>
            </w:r>
            <w:r w:rsidRPr="00EA1BB2">
              <w:rPr>
                <w:rFonts w:ascii="Cambria" w:eastAsia="Times New Roman" w:hAnsi="Cambria" w:cs="Calibri"/>
                <w:color w:val="000000"/>
                <w:sz w:val="24"/>
                <w:szCs w:val="24"/>
                <w:vertAlign w:val="superscript"/>
                <w:lang w:eastAsia="ro-RO"/>
              </w:rPr>
              <w:t>3</w:t>
            </w:r>
          </w:p>
        </w:tc>
        <w:tc>
          <w:tcPr>
            <w:tcW w:w="1474" w:type="dxa"/>
            <w:shd w:val="clear" w:color="auto" w:fill="auto"/>
          </w:tcPr>
          <w:p w14:paraId="4016B167" w14:textId="77777777" w:rsidR="006B3A27" w:rsidRPr="00EA1BB2" w:rsidRDefault="006B3A27" w:rsidP="006B3A27">
            <w:pPr>
              <w:spacing w:line="360" w:lineRule="auto"/>
              <w:jc w:val="center"/>
              <w:rPr>
                <w:rFonts w:ascii="Cambria" w:eastAsia="Times New Roman" w:hAnsi="Cambria" w:cs="Arial"/>
                <w:color w:val="000000"/>
                <w:sz w:val="24"/>
                <w:szCs w:val="24"/>
                <w:lang w:eastAsia="ro-RO"/>
              </w:rPr>
            </w:pPr>
            <w:r w:rsidRPr="00EA1BB2">
              <w:rPr>
                <w:rFonts w:ascii="Cambria" w:hAnsi="Cambria"/>
                <w:sz w:val="24"/>
                <w:szCs w:val="24"/>
              </w:rPr>
              <w:t>11,721</w:t>
            </w:r>
          </w:p>
        </w:tc>
        <w:tc>
          <w:tcPr>
            <w:tcW w:w="2211" w:type="dxa"/>
          </w:tcPr>
          <w:p w14:paraId="41A08CD1"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701" w:type="dxa"/>
          </w:tcPr>
          <w:p w14:paraId="474703F1"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2041" w:type="dxa"/>
          </w:tcPr>
          <w:p w14:paraId="0A6F2279"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0,039</w:t>
            </w:r>
          </w:p>
        </w:tc>
        <w:tc>
          <w:tcPr>
            <w:tcW w:w="1985" w:type="dxa"/>
          </w:tcPr>
          <w:p w14:paraId="648A4157"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0,019</w:t>
            </w:r>
          </w:p>
        </w:tc>
        <w:tc>
          <w:tcPr>
            <w:tcW w:w="1984" w:type="dxa"/>
          </w:tcPr>
          <w:p w14:paraId="26F98817"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11,663</w:t>
            </w:r>
          </w:p>
        </w:tc>
      </w:tr>
      <w:tr w:rsidR="006B3A27" w:rsidRPr="00EA1BB2" w14:paraId="0E0D8618" w14:textId="77777777" w:rsidTr="007E6B43">
        <w:trPr>
          <w:trHeight w:val="188"/>
          <w:jc w:val="center"/>
        </w:trPr>
        <w:tc>
          <w:tcPr>
            <w:tcW w:w="988" w:type="dxa"/>
            <w:shd w:val="clear" w:color="auto" w:fill="auto"/>
            <w:noWrap/>
            <w:vAlign w:val="bottom"/>
          </w:tcPr>
          <w:p w14:paraId="22AAC13B"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cs="Calibri"/>
                <w:color w:val="000000"/>
                <w:sz w:val="24"/>
                <w:szCs w:val="24"/>
              </w:rPr>
              <w:t>NOx</w:t>
            </w:r>
          </w:p>
        </w:tc>
        <w:tc>
          <w:tcPr>
            <w:tcW w:w="992" w:type="dxa"/>
            <w:shd w:val="clear" w:color="auto" w:fill="auto"/>
            <w:noWrap/>
          </w:tcPr>
          <w:p w14:paraId="0BC3C283" w14:textId="77777777" w:rsidR="006B3A27" w:rsidRPr="00EA1BB2" w:rsidRDefault="006B3A27" w:rsidP="006B3A27">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µg/m</w:t>
            </w:r>
            <w:r w:rsidRPr="00EA1BB2">
              <w:rPr>
                <w:rFonts w:ascii="Cambria" w:eastAsia="Times New Roman" w:hAnsi="Cambria" w:cs="Arial"/>
                <w:color w:val="000000"/>
                <w:sz w:val="24"/>
                <w:szCs w:val="24"/>
                <w:vertAlign w:val="superscript"/>
                <w:lang w:eastAsia="ro-RO"/>
              </w:rPr>
              <w:t>3</w:t>
            </w:r>
          </w:p>
        </w:tc>
        <w:tc>
          <w:tcPr>
            <w:tcW w:w="1474" w:type="dxa"/>
            <w:shd w:val="clear" w:color="auto" w:fill="auto"/>
          </w:tcPr>
          <w:p w14:paraId="7009D967" w14:textId="77777777" w:rsidR="006B3A27" w:rsidRPr="00EA1BB2" w:rsidRDefault="006B3A27" w:rsidP="006B3A27">
            <w:pPr>
              <w:spacing w:line="360" w:lineRule="auto"/>
              <w:jc w:val="center"/>
              <w:rPr>
                <w:rFonts w:ascii="Cambria" w:eastAsia="Times New Roman" w:hAnsi="Cambria" w:cs="Arial"/>
                <w:color w:val="000000"/>
                <w:sz w:val="24"/>
                <w:szCs w:val="24"/>
                <w:lang w:eastAsia="ro-RO"/>
              </w:rPr>
            </w:pPr>
            <w:r w:rsidRPr="00EA1BB2">
              <w:rPr>
                <w:rFonts w:ascii="Cambria" w:hAnsi="Cambria"/>
                <w:sz w:val="24"/>
                <w:szCs w:val="24"/>
              </w:rPr>
              <w:t>12,249</w:t>
            </w:r>
          </w:p>
        </w:tc>
        <w:tc>
          <w:tcPr>
            <w:tcW w:w="2211" w:type="dxa"/>
          </w:tcPr>
          <w:p w14:paraId="44E63F00"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701" w:type="dxa"/>
          </w:tcPr>
          <w:p w14:paraId="500BC322"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2041" w:type="dxa"/>
          </w:tcPr>
          <w:p w14:paraId="6E49CAE9"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0,039</w:t>
            </w:r>
          </w:p>
        </w:tc>
        <w:tc>
          <w:tcPr>
            <w:tcW w:w="1985" w:type="dxa"/>
          </w:tcPr>
          <w:p w14:paraId="1FFA4B80"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0,019</w:t>
            </w:r>
          </w:p>
        </w:tc>
        <w:tc>
          <w:tcPr>
            <w:tcW w:w="1984" w:type="dxa"/>
          </w:tcPr>
          <w:p w14:paraId="602F34E8"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12,191</w:t>
            </w:r>
          </w:p>
        </w:tc>
      </w:tr>
      <w:tr w:rsidR="006B3A27" w:rsidRPr="00EA1BB2" w14:paraId="120F9B03" w14:textId="77777777" w:rsidTr="007E6B43">
        <w:trPr>
          <w:trHeight w:val="188"/>
          <w:jc w:val="center"/>
        </w:trPr>
        <w:tc>
          <w:tcPr>
            <w:tcW w:w="988" w:type="dxa"/>
            <w:shd w:val="clear" w:color="auto" w:fill="auto"/>
            <w:noWrap/>
            <w:vAlign w:val="bottom"/>
          </w:tcPr>
          <w:p w14:paraId="37DE0A15" w14:textId="77777777" w:rsidR="006B3A27" w:rsidRPr="00EA1BB2" w:rsidRDefault="006B3A27" w:rsidP="006B3A27">
            <w:pPr>
              <w:spacing w:line="360" w:lineRule="auto"/>
              <w:jc w:val="center"/>
              <w:rPr>
                <w:rFonts w:ascii="Cambria" w:eastAsia="Times New Roman" w:hAnsi="Cambria" w:cs="Arial"/>
                <w:color w:val="000000"/>
                <w:sz w:val="24"/>
                <w:szCs w:val="24"/>
                <w:lang w:eastAsia="ro-RO"/>
              </w:rPr>
            </w:pPr>
            <w:r w:rsidRPr="00EA1BB2">
              <w:rPr>
                <w:rFonts w:ascii="Cambria" w:hAnsi="Cambria" w:cs="Calibri"/>
                <w:color w:val="000000"/>
                <w:sz w:val="24"/>
                <w:szCs w:val="24"/>
              </w:rPr>
              <w:t>CO</w:t>
            </w:r>
          </w:p>
        </w:tc>
        <w:tc>
          <w:tcPr>
            <w:tcW w:w="992" w:type="dxa"/>
            <w:shd w:val="clear" w:color="auto" w:fill="auto"/>
            <w:noWrap/>
          </w:tcPr>
          <w:p w14:paraId="5C35866B" w14:textId="77777777" w:rsidR="006B3A27" w:rsidRPr="00EA1BB2" w:rsidRDefault="006B3A27" w:rsidP="006B3A27">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m</w:t>
            </w:r>
            <w:r w:rsidRPr="00EA1BB2">
              <w:rPr>
                <w:rFonts w:ascii="Cambria" w:eastAsia="Times New Roman" w:hAnsi="Cambria" w:cs="Calibri"/>
                <w:color w:val="000000"/>
                <w:sz w:val="24"/>
                <w:szCs w:val="24"/>
                <w:lang w:eastAsia="ro-RO"/>
              </w:rPr>
              <w:t>g/m</w:t>
            </w:r>
            <w:r w:rsidRPr="00EA1BB2">
              <w:rPr>
                <w:rFonts w:ascii="Cambria" w:eastAsia="Times New Roman" w:hAnsi="Cambria" w:cs="Calibri"/>
                <w:color w:val="000000"/>
                <w:sz w:val="24"/>
                <w:szCs w:val="24"/>
                <w:vertAlign w:val="superscript"/>
                <w:lang w:eastAsia="ro-RO"/>
              </w:rPr>
              <w:t>3</w:t>
            </w:r>
          </w:p>
        </w:tc>
        <w:tc>
          <w:tcPr>
            <w:tcW w:w="1474" w:type="dxa"/>
            <w:shd w:val="clear" w:color="auto" w:fill="auto"/>
          </w:tcPr>
          <w:p w14:paraId="0C7298F5" w14:textId="77777777" w:rsidR="006B3A27" w:rsidRPr="00EA1BB2" w:rsidRDefault="006B3A27" w:rsidP="006B3A27">
            <w:pPr>
              <w:spacing w:line="360" w:lineRule="auto"/>
              <w:jc w:val="center"/>
              <w:rPr>
                <w:rFonts w:ascii="Cambria" w:eastAsia="Times New Roman" w:hAnsi="Cambria" w:cs="Arial"/>
                <w:color w:val="000000"/>
                <w:sz w:val="24"/>
                <w:szCs w:val="24"/>
                <w:lang w:eastAsia="ro-RO"/>
              </w:rPr>
            </w:pPr>
            <w:r w:rsidRPr="00EA1BB2">
              <w:rPr>
                <w:rFonts w:ascii="Cambria" w:hAnsi="Cambria"/>
                <w:sz w:val="24"/>
                <w:szCs w:val="24"/>
              </w:rPr>
              <w:t>0,631</w:t>
            </w:r>
          </w:p>
        </w:tc>
        <w:tc>
          <w:tcPr>
            <w:tcW w:w="2211" w:type="dxa"/>
          </w:tcPr>
          <w:p w14:paraId="23629991"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0,000046</w:t>
            </w:r>
          </w:p>
        </w:tc>
        <w:tc>
          <w:tcPr>
            <w:tcW w:w="1701" w:type="dxa"/>
          </w:tcPr>
          <w:p w14:paraId="18AA09BF"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2041" w:type="dxa"/>
          </w:tcPr>
          <w:p w14:paraId="4E44B575"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0,000008</w:t>
            </w:r>
          </w:p>
        </w:tc>
        <w:tc>
          <w:tcPr>
            <w:tcW w:w="1985" w:type="dxa"/>
          </w:tcPr>
          <w:p w14:paraId="3CF237E0"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0,000512</w:t>
            </w:r>
          </w:p>
        </w:tc>
        <w:tc>
          <w:tcPr>
            <w:tcW w:w="1984" w:type="dxa"/>
          </w:tcPr>
          <w:p w14:paraId="33565535"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0,630434</w:t>
            </w:r>
          </w:p>
        </w:tc>
      </w:tr>
      <w:tr w:rsidR="006B3A27" w:rsidRPr="00EA1BB2" w14:paraId="284E4028" w14:textId="77777777" w:rsidTr="007E6B43">
        <w:trPr>
          <w:trHeight w:val="188"/>
          <w:jc w:val="center"/>
        </w:trPr>
        <w:tc>
          <w:tcPr>
            <w:tcW w:w="988" w:type="dxa"/>
            <w:shd w:val="clear" w:color="auto" w:fill="auto"/>
            <w:noWrap/>
            <w:vAlign w:val="bottom"/>
          </w:tcPr>
          <w:p w14:paraId="7BBA83E0" w14:textId="77777777" w:rsidR="006B3A27" w:rsidRPr="00EA1BB2" w:rsidRDefault="006B3A27" w:rsidP="006B3A27">
            <w:pPr>
              <w:spacing w:line="360" w:lineRule="auto"/>
              <w:jc w:val="center"/>
              <w:rPr>
                <w:rFonts w:ascii="Cambria" w:eastAsia="Times New Roman" w:hAnsi="Cambria" w:cs="Arial"/>
                <w:color w:val="000000"/>
                <w:sz w:val="24"/>
                <w:szCs w:val="24"/>
                <w:lang w:eastAsia="ro-RO"/>
              </w:rPr>
            </w:pPr>
            <w:r w:rsidRPr="00EA1BB2">
              <w:rPr>
                <w:rFonts w:ascii="Cambria" w:hAnsi="Cambria" w:cs="Calibri"/>
                <w:color w:val="000000"/>
                <w:sz w:val="24"/>
                <w:szCs w:val="24"/>
              </w:rPr>
              <w:t>C</w:t>
            </w:r>
            <w:r w:rsidRPr="00EA1BB2">
              <w:rPr>
                <w:rFonts w:ascii="Cambria" w:hAnsi="Cambria" w:cs="Calibri"/>
                <w:color w:val="000000"/>
                <w:sz w:val="24"/>
                <w:szCs w:val="24"/>
                <w:vertAlign w:val="subscript"/>
              </w:rPr>
              <w:t>6</w:t>
            </w:r>
            <w:r w:rsidRPr="00EA1BB2">
              <w:rPr>
                <w:rFonts w:ascii="Cambria" w:hAnsi="Cambria" w:cs="Calibri"/>
                <w:color w:val="000000"/>
                <w:sz w:val="24"/>
                <w:szCs w:val="24"/>
              </w:rPr>
              <w:t>H</w:t>
            </w:r>
            <w:r w:rsidRPr="00EA1BB2">
              <w:rPr>
                <w:rFonts w:ascii="Cambria" w:hAnsi="Cambria" w:cs="Calibri"/>
                <w:color w:val="000000"/>
                <w:sz w:val="24"/>
                <w:szCs w:val="24"/>
                <w:vertAlign w:val="subscript"/>
              </w:rPr>
              <w:t>6</w:t>
            </w:r>
          </w:p>
        </w:tc>
        <w:tc>
          <w:tcPr>
            <w:tcW w:w="992" w:type="dxa"/>
            <w:shd w:val="clear" w:color="auto" w:fill="auto"/>
            <w:noWrap/>
          </w:tcPr>
          <w:p w14:paraId="3D6214A6" w14:textId="77777777" w:rsidR="006B3A27" w:rsidRPr="00EA1BB2" w:rsidRDefault="006B3A27" w:rsidP="006B3A27">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µ</w:t>
            </w:r>
            <w:r w:rsidRPr="00EA1BB2">
              <w:rPr>
                <w:rFonts w:ascii="Cambria" w:eastAsia="Times New Roman" w:hAnsi="Cambria" w:cs="Calibri"/>
                <w:color w:val="000000"/>
                <w:sz w:val="24"/>
                <w:szCs w:val="24"/>
                <w:lang w:eastAsia="ro-RO"/>
              </w:rPr>
              <w:t>g/m</w:t>
            </w:r>
            <w:r w:rsidRPr="00EA1BB2">
              <w:rPr>
                <w:rFonts w:ascii="Cambria" w:eastAsia="Times New Roman" w:hAnsi="Cambria" w:cs="Calibri"/>
                <w:color w:val="000000"/>
                <w:sz w:val="24"/>
                <w:szCs w:val="24"/>
                <w:vertAlign w:val="superscript"/>
                <w:lang w:eastAsia="ro-RO"/>
              </w:rPr>
              <w:t>3</w:t>
            </w:r>
          </w:p>
        </w:tc>
        <w:tc>
          <w:tcPr>
            <w:tcW w:w="1474" w:type="dxa"/>
            <w:shd w:val="clear" w:color="auto" w:fill="auto"/>
          </w:tcPr>
          <w:p w14:paraId="76BEE9E9" w14:textId="77777777" w:rsidR="006B3A27" w:rsidRPr="00EA1BB2" w:rsidRDefault="006B3A27" w:rsidP="006B3A27">
            <w:pPr>
              <w:spacing w:line="360" w:lineRule="auto"/>
              <w:jc w:val="center"/>
              <w:rPr>
                <w:rFonts w:ascii="Cambria" w:eastAsia="Times New Roman" w:hAnsi="Cambria" w:cs="Arial"/>
                <w:color w:val="000000"/>
                <w:sz w:val="24"/>
                <w:szCs w:val="24"/>
                <w:highlight w:val="yellow"/>
                <w:lang w:eastAsia="ro-RO"/>
              </w:rPr>
            </w:pPr>
            <w:r w:rsidRPr="00EA1BB2">
              <w:rPr>
                <w:rFonts w:ascii="Cambria" w:hAnsi="Cambria"/>
                <w:sz w:val="24"/>
                <w:szCs w:val="24"/>
              </w:rPr>
              <w:t>1,177</w:t>
            </w:r>
          </w:p>
        </w:tc>
        <w:tc>
          <w:tcPr>
            <w:tcW w:w="2211" w:type="dxa"/>
          </w:tcPr>
          <w:p w14:paraId="15208609"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701" w:type="dxa"/>
          </w:tcPr>
          <w:p w14:paraId="1BC2BA73"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2041" w:type="dxa"/>
          </w:tcPr>
          <w:p w14:paraId="18778394"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985" w:type="dxa"/>
          </w:tcPr>
          <w:p w14:paraId="3BFF8847"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0,895</w:t>
            </w:r>
          </w:p>
        </w:tc>
        <w:tc>
          <w:tcPr>
            <w:tcW w:w="1984" w:type="dxa"/>
          </w:tcPr>
          <w:p w14:paraId="551BD885" w14:textId="77777777" w:rsidR="006B3A27" w:rsidRPr="00EA1BB2" w:rsidRDefault="006B3A27" w:rsidP="006B3A27">
            <w:pPr>
              <w:spacing w:line="360" w:lineRule="auto"/>
              <w:jc w:val="center"/>
              <w:rPr>
                <w:rFonts w:ascii="Cambria" w:hAnsi="Cambria" w:cs="Calibri"/>
                <w:color w:val="000000"/>
                <w:sz w:val="24"/>
                <w:szCs w:val="24"/>
                <w:highlight w:val="yellow"/>
              </w:rPr>
            </w:pPr>
            <w:r w:rsidRPr="00EA1BB2">
              <w:rPr>
                <w:rFonts w:ascii="Cambria" w:hAnsi="Cambria"/>
                <w:sz w:val="24"/>
                <w:szCs w:val="24"/>
              </w:rPr>
              <w:t>0,282</w:t>
            </w:r>
          </w:p>
        </w:tc>
      </w:tr>
      <w:tr w:rsidR="006B3A27" w:rsidRPr="00EA1BB2" w14:paraId="0EA79676" w14:textId="77777777" w:rsidTr="007E6B43">
        <w:trPr>
          <w:trHeight w:val="188"/>
          <w:jc w:val="center"/>
        </w:trPr>
        <w:tc>
          <w:tcPr>
            <w:tcW w:w="988" w:type="dxa"/>
            <w:shd w:val="clear" w:color="auto" w:fill="auto"/>
            <w:noWrap/>
            <w:vAlign w:val="bottom"/>
          </w:tcPr>
          <w:p w14:paraId="5D001034" w14:textId="77777777" w:rsidR="006B3A27" w:rsidRPr="00EA1BB2" w:rsidRDefault="006B3A27" w:rsidP="006B3A27">
            <w:pPr>
              <w:spacing w:line="360" w:lineRule="auto"/>
              <w:jc w:val="center"/>
              <w:rPr>
                <w:rFonts w:ascii="Cambria" w:eastAsia="Times New Roman" w:hAnsi="Cambria" w:cs="Arial"/>
                <w:color w:val="000000"/>
                <w:sz w:val="24"/>
                <w:szCs w:val="24"/>
                <w:lang w:eastAsia="ro-RO"/>
              </w:rPr>
            </w:pPr>
            <w:r w:rsidRPr="00EA1BB2">
              <w:rPr>
                <w:rFonts w:ascii="Cambria" w:hAnsi="Cambria" w:cs="Calibri"/>
                <w:color w:val="000000"/>
                <w:sz w:val="24"/>
                <w:szCs w:val="24"/>
              </w:rPr>
              <w:t>PM</w:t>
            </w:r>
            <w:r w:rsidRPr="00EA1BB2">
              <w:rPr>
                <w:rFonts w:ascii="Cambria" w:hAnsi="Cambria" w:cs="Calibri"/>
                <w:color w:val="000000"/>
                <w:sz w:val="24"/>
                <w:szCs w:val="24"/>
                <w:vertAlign w:val="subscript"/>
              </w:rPr>
              <w:t>10</w:t>
            </w:r>
          </w:p>
        </w:tc>
        <w:tc>
          <w:tcPr>
            <w:tcW w:w="992" w:type="dxa"/>
            <w:shd w:val="clear" w:color="auto" w:fill="auto"/>
            <w:noWrap/>
          </w:tcPr>
          <w:p w14:paraId="667A7447" w14:textId="77777777" w:rsidR="006B3A27" w:rsidRPr="00EA1BB2" w:rsidRDefault="006B3A27" w:rsidP="006B3A27">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µ</w:t>
            </w:r>
            <w:r w:rsidRPr="00EA1BB2">
              <w:rPr>
                <w:rFonts w:ascii="Cambria" w:eastAsia="Times New Roman" w:hAnsi="Cambria" w:cs="Calibri"/>
                <w:color w:val="000000"/>
                <w:sz w:val="24"/>
                <w:szCs w:val="24"/>
                <w:lang w:eastAsia="ro-RO"/>
              </w:rPr>
              <w:t>g/m</w:t>
            </w:r>
            <w:r w:rsidRPr="00EA1BB2">
              <w:rPr>
                <w:rFonts w:ascii="Cambria" w:eastAsia="Times New Roman" w:hAnsi="Cambria" w:cs="Calibri"/>
                <w:color w:val="000000"/>
                <w:sz w:val="24"/>
                <w:szCs w:val="24"/>
                <w:vertAlign w:val="superscript"/>
                <w:lang w:eastAsia="ro-RO"/>
              </w:rPr>
              <w:t>3</w:t>
            </w:r>
          </w:p>
        </w:tc>
        <w:tc>
          <w:tcPr>
            <w:tcW w:w="1474" w:type="dxa"/>
            <w:shd w:val="clear" w:color="auto" w:fill="auto"/>
          </w:tcPr>
          <w:p w14:paraId="02CBBC63" w14:textId="77777777" w:rsidR="006B3A27" w:rsidRPr="00EA1BB2" w:rsidRDefault="006B3A27" w:rsidP="006B3A27">
            <w:pPr>
              <w:spacing w:line="360" w:lineRule="auto"/>
              <w:jc w:val="center"/>
              <w:rPr>
                <w:rFonts w:ascii="Cambria" w:eastAsia="Times New Roman" w:hAnsi="Cambria" w:cs="Arial"/>
                <w:color w:val="000000"/>
                <w:sz w:val="24"/>
                <w:szCs w:val="24"/>
                <w:lang w:eastAsia="ro-RO"/>
              </w:rPr>
            </w:pPr>
            <w:r w:rsidRPr="00EA1BB2">
              <w:rPr>
                <w:rFonts w:ascii="Cambria" w:hAnsi="Cambria"/>
                <w:sz w:val="24"/>
                <w:szCs w:val="24"/>
              </w:rPr>
              <w:t>22,163</w:t>
            </w:r>
          </w:p>
        </w:tc>
        <w:tc>
          <w:tcPr>
            <w:tcW w:w="2211" w:type="dxa"/>
          </w:tcPr>
          <w:p w14:paraId="5D06C75A" w14:textId="77777777" w:rsidR="006B3A27" w:rsidRPr="00EA1BB2" w:rsidRDefault="006B3A27" w:rsidP="006B3A27">
            <w:pPr>
              <w:spacing w:line="360" w:lineRule="auto"/>
              <w:jc w:val="center"/>
              <w:rPr>
                <w:rFonts w:ascii="Cambria" w:hAnsi="Cambria"/>
                <w:sz w:val="24"/>
                <w:szCs w:val="24"/>
              </w:rPr>
            </w:pPr>
            <w:r w:rsidRPr="00EA1BB2">
              <w:rPr>
                <w:rFonts w:ascii="Cambria" w:hAnsi="Cambria"/>
                <w:sz w:val="24"/>
                <w:szCs w:val="24"/>
              </w:rPr>
              <w:t>0,294</w:t>
            </w:r>
          </w:p>
        </w:tc>
        <w:tc>
          <w:tcPr>
            <w:tcW w:w="1701" w:type="dxa"/>
          </w:tcPr>
          <w:p w14:paraId="681ABA09"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0,002</w:t>
            </w:r>
          </w:p>
        </w:tc>
        <w:tc>
          <w:tcPr>
            <w:tcW w:w="2041" w:type="dxa"/>
          </w:tcPr>
          <w:p w14:paraId="645FE327"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0,004</w:t>
            </w:r>
          </w:p>
        </w:tc>
        <w:tc>
          <w:tcPr>
            <w:tcW w:w="1985" w:type="dxa"/>
          </w:tcPr>
          <w:p w14:paraId="4D9A40FC"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0,211</w:t>
            </w:r>
          </w:p>
        </w:tc>
        <w:tc>
          <w:tcPr>
            <w:tcW w:w="1984" w:type="dxa"/>
          </w:tcPr>
          <w:p w14:paraId="31BBDA04"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21,652</w:t>
            </w:r>
          </w:p>
        </w:tc>
      </w:tr>
      <w:tr w:rsidR="006B3A27" w:rsidRPr="00EA1BB2" w14:paraId="57DDD60E" w14:textId="77777777" w:rsidTr="007E6B43">
        <w:trPr>
          <w:trHeight w:val="188"/>
          <w:jc w:val="center"/>
        </w:trPr>
        <w:tc>
          <w:tcPr>
            <w:tcW w:w="988" w:type="dxa"/>
            <w:shd w:val="clear" w:color="auto" w:fill="auto"/>
            <w:noWrap/>
            <w:vAlign w:val="bottom"/>
          </w:tcPr>
          <w:p w14:paraId="4E43D986" w14:textId="77777777" w:rsidR="006B3A27" w:rsidRPr="00EA1BB2" w:rsidRDefault="006B3A27" w:rsidP="006B3A27">
            <w:pPr>
              <w:spacing w:line="360" w:lineRule="auto"/>
              <w:jc w:val="center"/>
              <w:rPr>
                <w:rFonts w:ascii="Cambria" w:eastAsia="Times New Roman" w:hAnsi="Cambria" w:cs="Arial"/>
                <w:color w:val="000000"/>
                <w:sz w:val="24"/>
                <w:szCs w:val="24"/>
                <w:lang w:eastAsia="ro-RO"/>
              </w:rPr>
            </w:pPr>
            <w:r w:rsidRPr="00EA1BB2">
              <w:rPr>
                <w:rFonts w:ascii="Cambria" w:hAnsi="Cambria" w:cs="Calibri"/>
                <w:color w:val="000000"/>
                <w:sz w:val="24"/>
                <w:szCs w:val="24"/>
              </w:rPr>
              <w:t>PM</w:t>
            </w:r>
            <w:r w:rsidRPr="00EA1BB2">
              <w:rPr>
                <w:rFonts w:ascii="Cambria" w:hAnsi="Cambria" w:cs="Calibri"/>
                <w:color w:val="000000"/>
                <w:sz w:val="24"/>
                <w:szCs w:val="24"/>
                <w:vertAlign w:val="subscript"/>
              </w:rPr>
              <w:t>2,5</w:t>
            </w:r>
          </w:p>
        </w:tc>
        <w:tc>
          <w:tcPr>
            <w:tcW w:w="992" w:type="dxa"/>
            <w:shd w:val="clear" w:color="auto" w:fill="auto"/>
            <w:noWrap/>
          </w:tcPr>
          <w:p w14:paraId="1BFCCD69" w14:textId="77777777" w:rsidR="006B3A27" w:rsidRPr="00EA1BB2" w:rsidRDefault="006B3A27" w:rsidP="006B3A27">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µ</w:t>
            </w:r>
            <w:r w:rsidRPr="00EA1BB2">
              <w:rPr>
                <w:rFonts w:ascii="Cambria" w:eastAsia="Times New Roman" w:hAnsi="Cambria" w:cs="Calibri"/>
                <w:color w:val="000000"/>
                <w:sz w:val="24"/>
                <w:szCs w:val="24"/>
                <w:lang w:eastAsia="ro-RO"/>
              </w:rPr>
              <w:t>g/m</w:t>
            </w:r>
            <w:r w:rsidRPr="00EA1BB2">
              <w:rPr>
                <w:rFonts w:ascii="Cambria" w:eastAsia="Times New Roman" w:hAnsi="Cambria" w:cs="Calibri"/>
                <w:color w:val="000000"/>
                <w:sz w:val="24"/>
                <w:szCs w:val="24"/>
                <w:vertAlign w:val="superscript"/>
                <w:lang w:eastAsia="ro-RO"/>
              </w:rPr>
              <w:t>3</w:t>
            </w:r>
          </w:p>
        </w:tc>
        <w:tc>
          <w:tcPr>
            <w:tcW w:w="1474" w:type="dxa"/>
            <w:shd w:val="clear" w:color="auto" w:fill="auto"/>
          </w:tcPr>
          <w:p w14:paraId="4C6105EB" w14:textId="77777777" w:rsidR="006B3A27" w:rsidRPr="00EA1BB2" w:rsidRDefault="006B3A27" w:rsidP="006B3A27">
            <w:pPr>
              <w:spacing w:line="360" w:lineRule="auto"/>
              <w:jc w:val="center"/>
              <w:rPr>
                <w:rFonts w:ascii="Cambria" w:eastAsia="Times New Roman" w:hAnsi="Cambria" w:cs="Arial"/>
                <w:color w:val="000000"/>
                <w:sz w:val="24"/>
                <w:szCs w:val="24"/>
                <w:lang w:eastAsia="ro-RO"/>
              </w:rPr>
            </w:pPr>
            <w:r w:rsidRPr="00EA1BB2">
              <w:rPr>
                <w:rFonts w:ascii="Cambria" w:hAnsi="Cambria"/>
                <w:sz w:val="24"/>
                <w:szCs w:val="24"/>
              </w:rPr>
              <w:t>17,542</w:t>
            </w:r>
          </w:p>
        </w:tc>
        <w:tc>
          <w:tcPr>
            <w:tcW w:w="2211" w:type="dxa"/>
          </w:tcPr>
          <w:p w14:paraId="412CDADE" w14:textId="77777777" w:rsidR="006B3A27" w:rsidRPr="00EA1BB2" w:rsidRDefault="006B3A27" w:rsidP="006B3A27">
            <w:pPr>
              <w:spacing w:line="360" w:lineRule="auto"/>
              <w:jc w:val="center"/>
              <w:rPr>
                <w:rFonts w:ascii="Cambria" w:hAnsi="Cambria"/>
                <w:sz w:val="24"/>
                <w:szCs w:val="24"/>
              </w:rPr>
            </w:pPr>
            <w:r w:rsidRPr="00EA1BB2">
              <w:rPr>
                <w:rFonts w:ascii="Cambria" w:hAnsi="Cambria"/>
                <w:sz w:val="24"/>
                <w:szCs w:val="24"/>
              </w:rPr>
              <w:t>0,065</w:t>
            </w:r>
          </w:p>
        </w:tc>
        <w:tc>
          <w:tcPr>
            <w:tcW w:w="1701" w:type="dxa"/>
          </w:tcPr>
          <w:p w14:paraId="70D54FF6"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0,001</w:t>
            </w:r>
          </w:p>
        </w:tc>
        <w:tc>
          <w:tcPr>
            <w:tcW w:w="2041" w:type="dxa"/>
          </w:tcPr>
          <w:p w14:paraId="42697DFD"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0,001</w:t>
            </w:r>
          </w:p>
        </w:tc>
        <w:tc>
          <w:tcPr>
            <w:tcW w:w="1985" w:type="dxa"/>
          </w:tcPr>
          <w:p w14:paraId="641322DB"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0,041</w:t>
            </w:r>
          </w:p>
        </w:tc>
        <w:tc>
          <w:tcPr>
            <w:tcW w:w="1984" w:type="dxa"/>
          </w:tcPr>
          <w:p w14:paraId="4D2D247E"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17,434</w:t>
            </w:r>
          </w:p>
        </w:tc>
      </w:tr>
      <w:tr w:rsidR="006B3A27" w:rsidRPr="00EA1BB2" w14:paraId="735E0C1C" w14:textId="77777777" w:rsidTr="007E6B43">
        <w:trPr>
          <w:trHeight w:val="188"/>
          <w:jc w:val="center"/>
        </w:trPr>
        <w:tc>
          <w:tcPr>
            <w:tcW w:w="988" w:type="dxa"/>
            <w:shd w:val="clear" w:color="auto" w:fill="auto"/>
            <w:noWrap/>
            <w:vAlign w:val="bottom"/>
          </w:tcPr>
          <w:p w14:paraId="7469C095" w14:textId="77777777" w:rsidR="006B3A27" w:rsidRPr="00EA1BB2" w:rsidRDefault="006B3A27" w:rsidP="006B3A27">
            <w:pPr>
              <w:spacing w:line="360" w:lineRule="auto"/>
              <w:jc w:val="center"/>
              <w:rPr>
                <w:rFonts w:ascii="Cambria" w:eastAsia="Times New Roman" w:hAnsi="Cambria" w:cs="Arial"/>
                <w:color w:val="000000"/>
                <w:sz w:val="24"/>
                <w:szCs w:val="24"/>
                <w:lang w:eastAsia="ro-RO"/>
              </w:rPr>
            </w:pPr>
            <w:r w:rsidRPr="00EA1BB2">
              <w:rPr>
                <w:rFonts w:ascii="Cambria" w:hAnsi="Cambria" w:cs="Calibri"/>
                <w:color w:val="000000"/>
                <w:sz w:val="24"/>
                <w:szCs w:val="24"/>
              </w:rPr>
              <w:t>As</w:t>
            </w:r>
          </w:p>
        </w:tc>
        <w:tc>
          <w:tcPr>
            <w:tcW w:w="992" w:type="dxa"/>
            <w:shd w:val="clear" w:color="auto" w:fill="auto"/>
            <w:noWrap/>
          </w:tcPr>
          <w:p w14:paraId="180E0ABE" w14:textId="77777777" w:rsidR="006B3A27" w:rsidRPr="00EA1BB2" w:rsidRDefault="006B3A27" w:rsidP="006B3A27">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Calibri"/>
                <w:color w:val="000000"/>
                <w:sz w:val="24"/>
                <w:szCs w:val="24"/>
                <w:lang w:eastAsia="ro-RO"/>
              </w:rPr>
              <w:t>ng/m</w:t>
            </w:r>
            <w:r w:rsidRPr="00EA1BB2">
              <w:rPr>
                <w:rFonts w:ascii="Cambria" w:eastAsia="Times New Roman" w:hAnsi="Cambria" w:cs="Calibri"/>
                <w:color w:val="000000"/>
                <w:sz w:val="24"/>
                <w:szCs w:val="24"/>
                <w:vertAlign w:val="superscript"/>
                <w:lang w:eastAsia="ro-RO"/>
              </w:rPr>
              <w:t>3</w:t>
            </w:r>
          </w:p>
        </w:tc>
        <w:tc>
          <w:tcPr>
            <w:tcW w:w="1474" w:type="dxa"/>
            <w:shd w:val="clear" w:color="auto" w:fill="auto"/>
          </w:tcPr>
          <w:p w14:paraId="6DBEE32D" w14:textId="77777777" w:rsidR="006B3A27" w:rsidRPr="00EA1BB2" w:rsidRDefault="006B3A27" w:rsidP="006B3A27">
            <w:pPr>
              <w:spacing w:line="360" w:lineRule="auto"/>
              <w:jc w:val="center"/>
              <w:rPr>
                <w:rFonts w:ascii="Cambria" w:eastAsia="Times New Roman" w:hAnsi="Cambria" w:cs="Arial"/>
                <w:color w:val="000000"/>
                <w:sz w:val="24"/>
                <w:szCs w:val="24"/>
                <w:lang w:eastAsia="ro-RO"/>
              </w:rPr>
            </w:pPr>
            <w:r w:rsidRPr="00EA1BB2">
              <w:rPr>
                <w:rFonts w:ascii="Cambria" w:hAnsi="Cambria"/>
                <w:sz w:val="24"/>
                <w:szCs w:val="24"/>
              </w:rPr>
              <w:t>0,814</w:t>
            </w:r>
          </w:p>
        </w:tc>
        <w:tc>
          <w:tcPr>
            <w:tcW w:w="2211" w:type="dxa"/>
          </w:tcPr>
          <w:p w14:paraId="4F1E327A" w14:textId="77777777" w:rsidR="006B3A27" w:rsidRPr="00EA1BB2" w:rsidRDefault="006B3A27" w:rsidP="006B3A27">
            <w:pPr>
              <w:spacing w:line="360" w:lineRule="auto"/>
              <w:jc w:val="center"/>
              <w:rPr>
                <w:rFonts w:ascii="Cambria" w:hAnsi="Cambria"/>
                <w:sz w:val="24"/>
                <w:szCs w:val="24"/>
              </w:rPr>
            </w:pPr>
            <w:r w:rsidRPr="00EA1BB2">
              <w:rPr>
                <w:rFonts w:ascii="Cambria" w:hAnsi="Cambria"/>
                <w:sz w:val="24"/>
                <w:szCs w:val="24"/>
              </w:rPr>
              <w:t>0,002</w:t>
            </w:r>
          </w:p>
        </w:tc>
        <w:tc>
          <w:tcPr>
            <w:tcW w:w="1701" w:type="dxa"/>
          </w:tcPr>
          <w:p w14:paraId="54835959"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2041" w:type="dxa"/>
          </w:tcPr>
          <w:p w14:paraId="4E077BCE"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0,001</w:t>
            </w:r>
          </w:p>
        </w:tc>
        <w:tc>
          <w:tcPr>
            <w:tcW w:w="1985" w:type="dxa"/>
          </w:tcPr>
          <w:p w14:paraId="10256AD3"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984" w:type="dxa"/>
          </w:tcPr>
          <w:p w14:paraId="067FE417"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0,811</w:t>
            </w:r>
          </w:p>
        </w:tc>
      </w:tr>
      <w:tr w:rsidR="006B3A27" w:rsidRPr="00EA1BB2" w14:paraId="5F580AA9" w14:textId="77777777" w:rsidTr="007E6B43">
        <w:trPr>
          <w:trHeight w:val="188"/>
          <w:jc w:val="center"/>
        </w:trPr>
        <w:tc>
          <w:tcPr>
            <w:tcW w:w="988" w:type="dxa"/>
            <w:shd w:val="clear" w:color="auto" w:fill="auto"/>
            <w:noWrap/>
            <w:vAlign w:val="bottom"/>
          </w:tcPr>
          <w:p w14:paraId="7A03927E" w14:textId="77777777" w:rsidR="006B3A27" w:rsidRPr="00EA1BB2" w:rsidRDefault="006B3A27" w:rsidP="006B3A27">
            <w:pPr>
              <w:spacing w:line="360" w:lineRule="auto"/>
              <w:jc w:val="center"/>
              <w:rPr>
                <w:rFonts w:ascii="Cambria" w:eastAsia="Times New Roman" w:hAnsi="Cambria" w:cs="Arial"/>
                <w:color w:val="000000"/>
                <w:sz w:val="24"/>
                <w:szCs w:val="24"/>
                <w:lang w:eastAsia="ro-RO"/>
              </w:rPr>
            </w:pPr>
            <w:r w:rsidRPr="00EA1BB2">
              <w:rPr>
                <w:rFonts w:ascii="Cambria" w:hAnsi="Cambria" w:cs="Calibri"/>
                <w:color w:val="000000"/>
                <w:sz w:val="24"/>
                <w:szCs w:val="24"/>
              </w:rPr>
              <w:t>Cd</w:t>
            </w:r>
          </w:p>
        </w:tc>
        <w:tc>
          <w:tcPr>
            <w:tcW w:w="992" w:type="dxa"/>
            <w:shd w:val="clear" w:color="auto" w:fill="auto"/>
            <w:noWrap/>
          </w:tcPr>
          <w:p w14:paraId="7617E395" w14:textId="77777777" w:rsidR="006B3A27" w:rsidRPr="00EA1BB2" w:rsidRDefault="006B3A27" w:rsidP="006B3A27">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Calibri"/>
                <w:color w:val="000000"/>
                <w:sz w:val="24"/>
                <w:szCs w:val="24"/>
                <w:lang w:eastAsia="ro-RO"/>
              </w:rPr>
              <w:t>ng/m</w:t>
            </w:r>
            <w:r w:rsidRPr="00EA1BB2">
              <w:rPr>
                <w:rFonts w:ascii="Cambria" w:eastAsia="Times New Roman" w:hAnsi="Cambria" w:cs="Calibri"/>
                <w:color w:val="000000"/>
                <w:sz w:val="24"/>
                <w:szCs w:val="24"/>
                <w:vertAlign w:val="superscript"/>
                <w:lang w:eastAsia="ro-RO"/>
              </w:rPr>
              <w:t>3</w:t>
            </w:r>
          </w:p>
        </w:tc>
        <w:tc>
          <w:tcPr>
            <w:tcW w:w="1474" w:type="dxa"/>
            <w:shd w:val="clear" w:color="auto" w:fill="auto"/>
          </w:tcPr>
          <w:p w14:paraId="0D82B60E" w14:textId="77777777" w:rsidR="006B3A27" w:rsidRPr="00EA1BB2" w:rsidRDefault="006B3A27" w:rsidP="006B3A27">
            <w:pPr>
              <w:spacing w:line="360" w:lineRule="auto"/>
              <w:jc w:val="center"/>
              <w:rPr>
                <w:rFonts w:ascii="Cambria" w:eastAsia="Times New Roman" w:hAnsi="Cambria" w:cs="Arial"/>
                <w:color w:val="000000"/>
                <w:sz w:val="24"/>
                <w:szCs w:val="24"/>
                <w:lang w:eastAsia="ro-RO"/>
              </w:rPr>
            </w:pPr>
            <w:r w:rsidRPr="00EA1BB2">
              <w:rPr>
                <w:rFonts w:ascii="Cambria" w:hAnsi="Cambria"/>
                <w:sz w:val="24"/>
                <w:szCs w:val="24"/>
              </w:rPr>
              <w:t>0,200</w:t>
            </w:r>
          </w:p>
        </w:tc>
        <w:tc>
          <w:tcPr>
            <w:tcW w:w="2211" w:type="dxa"/>
          </w:tcPr>
          <w:p w14:paraId="6A8EF25A" w14:textId="77777777" w:rsidR="006B3A27" w:rsidRPr="00EA1BB2" w:rsidRDefault="006B3A27" w:rsidP="006B3A27">
            <w:pPr>
              <w:spacing w:line="360" w:lineRule="auto"/>
              <w:jc w:val="center"/>
              <w:rPr>
                <w:rFonts w:ascii="Cambria" w:hAnsi="Cambria"/>
                <w:sz w:val="24"/>
                <w:szCs w:val="24"/>
              </w:rPr>
            </w:pPr>
            <w:r w:rsidRPr="00EA1BB2">
              <w:rPr>
                <w:rFonts w:ascii="Cambria" w:hAnsi="Cambria"/>
                <w:sz w:val="24"/>
                <w:szCs w:val="24"/>
              </w:rPr>
              <w:t>0,004</w:t>
            </w:r>
          </w:p>
        </w:tc>
        <w:tc>
          <w:tcPr>
            <w:tcW w:w="1701" w:type="dxa"/>
          </w:tcPr>
          <w:p w14:paraId="08F45A8A"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2041" w:type="dxa"/>
          </w:tcPr>
          <w:p w14:paraId="21420C91"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985" w:type="dxa"/>
          </w:tcPr>
          <w:p w14:paraId="7DE8E57F"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984" w:type="dxa"/>
          </w:tcPr>
          <w:p w14:paraId="6AB93CA2"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0,196</w:t>
            </w:r>
          </w:p>
        </w:tc>
      </w:tr>
      <w:tr w:rsidR="006B3A27" w:rsidRPr="00EA1BB2" w14:paraId="180154A3" w14:textId="77777777" w:rsidTr="007E6B43">
        <w:trPr>
          <w:trHeight w:val="188"/>
          <w:jc w:val="center"/>
        </w:trPr>
        <w:tc>
          <w:tcPr>
            <w:tcW w:w="988" w:type="dxa"/>
            <w:shd w:val="clear" w:color="auto" w:fill="auto"/>
            <w:noWrap/>
            <w:vAlign w:val="bottom"/>
          </w:tcPr>
          <w:p w14:paraId="4F9DE03E" w14:textId="77777777" w:rsidR="006B3A27" w:rsidRPr="00EA1BB2" w:rsidRDefault="006B3A27" w:rsidP="006B3A27">
            <w:pPr>
              <w:spacing w:line="360" w:lineRule="auto"/>
              <w:jc w:val="center"/>
              <w:rPr>
                <w:rFonts w:ascii="Cambria" w:eastAsia="Times New Roman" w:hAnsi="Cambria" w:cs="Arial"/>
                <w:color w:val="000000"/>
                <w:sz w:val="24"/>
                <w:szCs w:val="24"/>
                <w:lang w:eastAsia="ro-RO"/>
              </w:rPr>
            </w:pPr>
            <w:r w:rsidRPr="00EA1BB2">
              <w:rPr>
                <w:rFonts w:ascii="Cambria" w:hAnsi="Cambria" w:cs="Calibri"/>
                <w:color w:val="000000"/>
                <w:sz w:val="24"/>
                <w:szCs w:val="24"/>
              </w:rPr>
              <w:t>Ni</w:t>
            </w:r>
          </w:p>
        </w:tc>
        <w:tc>
          <w:tcPr>
            <w:tcW w:w="992" w:type="dxa"/>
            <w:shd w:val="clear" w:color="auto" w:fill="auto"/>
            <w:noWrap/>
          </w:tcPr>
          <w:p w14:paraId="76B0851C" w14:textId="77777777" w:rsidR="006B3A27" w:rsidRPr="00EA1BB2" w:rsidRDefault="006B3A27" w:rsidP="006B3A27">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Calibri"/>
                <w:color w:val="000000"/>
                <w:sz w:val="24"/>
                <w:szCs w:val="24"/>
                <w:lang w:eastAsia="ro-RO"/>
              </w:rPr>
              <w:t>ng/m</w:t>
            </w:r>
            <w:r w:rsidRPr="00EA1BB2">
              <w:rPr>
                <w:rFonts w:ascii="Cambria" w:eastAsia="Times New Roman" w:hAnsi="Cambria" w:cs="Calibri"/>
                <w:color w:val="000000"/>
                <w:sz w:val="24"/>
                <w:szCs w:val="24"/>
                <w:vertAlign w:val="superscript"/>
                <w:lang w:eastAsia="ro-RO"/>
              </w:rPr>
              <w:t>3</w:t>
            </w:r>
          </w:p>
        </w:tc>
        <w:tc>
          <w:tcPr>
            <w:tcW w:w="1474" w:type="dxa"/>
            <w:shd w:val="clear" w:color="auto" w:fill="auto"/>
          </w:tcPr>
          <w:p w14:paraId="6CEF7429" w14:textId="77777777" w:rsidR="006B3A27" w:rsidRPr="00EA1BB2" w:rsidRDefault="006B3A27" w:rsidP="006B3A27">
            <w:pPr>
              <w:spacing w:line="360" w:lineRule="auto"/>
              <w:jc w:val="center"/>
              <w:rPr>
                <w:rFonts w:ascii="Cambria" w:eastAsia="Times New Roman" w:hAnsi="Cambria" w:cs="Arial"/>
                <w:color w:val="000000"/>
                <w:sz w:val="24"/>
                <w:szCs w:val="24"/>
                <w:lang w:eastAsia="ro-RO"/>
              </w:rPr>
            </w:pPr>
            <w:r w:rsidRPr="00EA1BB2">
              <w:rPr>
                <w:rFonts w:ascii="Cambria" w:hAnsi="Cambria"/>
                <w:sz w:val="24"/>
                <w:szCs w:val="24"/>
              </w:rPr>
              <w:t>0,768</w:t>
            </w:r>
          </w:p>
        </w:tc>
        <w:tc>
          <w:tcPr>
            <w:tcW w:w="2211" w:type="dxa"/>
          </w:tcPr>
          <w:p w14:paraId="394845CD" w14:textId="77777777" w:rsidR="006B3A27" w:rsidRPr="00EA1BB2" w:rsidRDefault="006B3A27" w:rsidP="006B3A27">
            <w:pPr>
              <w:spacing w:line="360" w:lineRule="auto"/>
              <w:jc w:val="center"/>
              <w:rPr>
                <w:rFonts w:ascii="Cambria" w:hAnsi="Cambria"/>
                <w:sz w:val="24"/>
                <w:szCs w:val="24"/>
              </w:rPr>
            </w:pPr>
            <w:r w:rsidRPr="00EA1BB2">
              <w:rPr>
                <w:rFonts w:ascii="Cambria" w:hAnsi="Cambria"/>
                <w:sz w:val="24"/>
                <w:szCs w:val="24"/>
              </w:rPr>
              <w:t>0,014</w:t>
            </w:r>
          </w:p>
        </w:tc>
        <w:tc>
          <w:tcPr>
            <w:tcW w:w="1701" w:type="dxa"/>
          </w:tcPr>
          <w:p w14:paraId="24AA9B85"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2041" w:type="dxa"/>
          </w:tcPr>
          <w:p w14:paraId="401D132F"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0,003</w:t>
            </w:r>
          </w:p>
        </w:tc>
        <w:tc>
          <w:tcPr>
            <w:tcW w:w="1985" w:type="dxa"/>
          </w:tcPr>
          <w:p w14:paraId="3675D20F"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0,003</w:t>
            </w:r>
          </w:p>
        </w:tc>
        <w:tc>
          <w:tcPr>
            <w:tcW w:w="1984" w:type="dxa"/>
          </w:tcPr>
          <w:p w14:paraId="61085713"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0,748</w:t>
            </w:r>
          </w:p>
        </w:tc>
      </w:tr>
      <w:tr w:rsidR="006B3A27" w:rsidRPr="00EA1BB2" w14:paraId="0A326D8F" w14:textId="77777777" w:rsidTr="007E6B43">
        <w:trPr>
          <w:trHeight w:val="188"/>
          <w:jc w:val="center"/>
        </w:trPr>
        <w:tc>
          <w:tcPr>
            <w:tcW w:w="988" w:type="dxa"/>
            <w:shd w:val="clear" w:color="auto" w:fill="auto"/>
            <w:noWrap/>
            <w:vAlign w:val="bottom"/>
          </w:tcPr>
          <w:p w14:paraId="0618B7CD" w14:textId="77777777" w:rsidR="006B3A27" w:rsidRPr="00EA1BB2" w:rsidRDefault="006B3A27" w:rsidP="006B3A27">
            <w:pPr>
              <w:spacing w:line="360" w:lineRule="auto"/>
              <w:jc w:val="center"/>
              <w:rPr>
                <w:rFonts w:ascii="Cambria" w:eastAsia="Times New Roman" w:hAnsi="Cambria" w:cs="Arial"/>
                <w:color w:val="000000"/>
                <w:sz w:val="24"/>
                <w:szCs w:val="24"/>
                <w:lang w:eastAsia="ro-RO"/>
              </w:rPr>
            </w:pPr>
            <w:r w:rsidRPr="00EA1BB2">
              <w:rPr>
                <w:rFonts w:ascii="Cambria" w:hAnsi="Cambria" w:cs="Calibri"/>
                <w:color w:val="000000"/>
                <w:sz w:val="24"/>
                <w:szCs w:val="24"/>
              </w:rPr>
              <w:t>Pb</w:t>
            </w:r>
          </w:p>
        </w:tc>
        <w:tc>
          <w:tcPr>
            <w:tcW w:w="992" w:type="dxa"/>
            <w:shd w:val="clear" w:color="auto" w:fill="auto"/>
            <w:noWrap/>
          </w:tcPr>
          <w:p w14:paraId="7D4FEAFE" w14:textId="77777777" w:rsidR="006B3A27" w:rsidRPr="00EA1BB2" w:rsidRDefault="006B3A27" w:rsidP="006B3A27">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Calibri"/>
                <w:color w:val="000000"/>
                <w:sz w:val="24"/>
                <w:szCs w:val="24"/>
                <w:lang w:eastAsia="ro-RO"/>
              </w:rPr>
              <w:t>ng/m</w:t>
            </w:r>
            <w:r w:rsidRPr="00EA1BB2">
              <w:rPr>
                <w:rFonts w:ascii="Cambria" w:eastAsia="Times New Roman" w:hAnsi="Cambria" w:cs="Calibri"/>
                <w:color w:val="000000"/>
                <w:sz w:val="24"/>
                <w:szCs w:val="24"/>
                <w:vertAlign w:val="superscript"/>
                <w:lang w:eastAsia="ro-RO"/>
              </w:rPr>
              <w:t>3</w:t>
            </w:r>
          </w:p>
        </w:tc>
        <w:tc>
          <w:tcPr>
            <w:tcW w:w="1474" w:type="dxa"/>
            <w:shd w:val="clear" w:color="auto" w:fill="auto"/>
          </w:tcPr>
          <w:p w14:paraId="7DF702F6" w14:textId="77777777" w:rsidR="006B3A27" w:rsidRPr="00EA1BB2" w:rsidRDefault="006B3A27" w:rsidP="006B3A27">
            <w:pPr>
              <w:spacing w:line="360" w:lineRule="auto"/>
              <w:jc w:val="center"/>
              <w:rPr>
                <w:rFonts w:ascii="Cambria" w:eastAsia="Times New Roman" w:hAnsi="Cambria" w:cs="Arial"/>
                <w:color w:val="000000"/>
                <w:sz w:val="24"/>
                <w:szCs w:val="24"/>
                <w:lang w:eastAsia="ro-RO"/>
              </w:rPr>
            </w:pPr>
            <w:r w:rsidRPr="00EA1BB2">
              <w:rPr>
                <w:rFonts w:ascii="Cambria" w:hAnsi="Cambria"/>
                <w:sz w:val="24"/>
                <w:szCs w:val="24"/>
              </w:rPr>
              <w:t>8,971</w:t>
            </w:r>
          </w:p>
        </w:tc>
        <w:tc>
          <w:tcPr>
            <w:tcW w:w="2211" w:type="dxa"/>
          </w:tcPr>
          <w:p w14:paraId="08399EC4" w14:textId="77777777" w:rsidR="006B3A27" w:rsidRPr="00EA1BB2" w:rsidRDefault="006B3A27" w:rsidP="006B3A27">
            <w:pPr>
              <w:spacing w:line="360" w:lineRule="auto"/>
              <w:jc w:val="center"/>
              <w:rPr>
                <w:rFonts w:ascii="Cambria" w:hAnsi="Cambria"/>
                <w:sz w:val="24"/>
                <w:szCs w:val="24"/>
              </w:rPr>
            </w:pPr>
            <w:r w:rsidRPr="00EA1BB2">
              <w:rPr>
                <w:rFonts w:ascii="Cambria" w:hAnsi="Cambria"/>
                <w:sz w:val="24"/>
                <w:szCs w:val="24"/>
              </w:rPr>
              <w:t>0,014</w:t>
            </w:r>
          </w:p>
        </w:tc>
        <w:tc>
          <w:tcPr>
            <w:tcW w:w="1701" w:type="dxa"/>
          </w:tcPr>
          <w:p w14:paraId="258C815F"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2041" w:type="dxa"/>
          </w:tcPr>
          <w:p w14:paraId="1A4BEDE2"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985" w:type="dxa"/>
          </w:tcPr>
          <w:p w14:paraId="6DF1BECE"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0,003</w:t>
            </w:r>
          </w:p>
        </w:tc>
        <w:tc>
          <w:tcPr>
            <w:tcW w:w="1984" w:type="dxa"/>
          </w:tcPr>
          <w:p w14:paraId="6E31DE84" w14:textId="77777777" w:rsidR="006B3A27" w:rsidRPr="00EA1BB2" w:rsidRDefault="006B3A27" w:rsidP="006B3A27">
            <w:pPr>
              <w:spacing w:line="360" w:lineRule="auto"/>
              <w:jc w:val="center"/>
              <w:rPr>
                <w:rFonts w:ascii="Cambria" w:hAnsi="Cambria" w:cs="Calibri"/>
                <w:color w:val="000000"/>
                <w:sz w:val="24"/>
                <w:szCs w:val="24"/>
              </w:rPr>
            </w:pPr>
            <w:r w:rsidRPr="00EA1BB2">
              <w:rPr>
                <w:rFonts w:ascii="Cambria" w:hAnsi="Cambria"/>
                <w:sz w:val="24"/>
                <w:szCs w:val="24"/>
              </w:rPr>
              <w:t>8,954</w:t>
            </w:r>
          </w:p>
        </w:tc>
      </w:tr>
    </w:tbl>
    <w:p w14:paraId="4BA1C750" w14:textId="77777777" w:rsidR="007E6B43" w:rsidRPr="00EA1BB2" w:rsidRDefault="007E6B43" w:rsidP="007E6B43">
      <w:pPr>
        <w:spacing w:line="360" w:lineRule="auto"/>
        <w:rPr>
          <w:rFonts w:ascii="Cambria" w:hAnsi="Cambria"/>
          <w:sz w:val="24"/>
          <w:szCs w:val="24"/>
        </w:rPr>
      </w:pPr>
    </w:p>
    <w:p w14:paraId="18682307" w14:textId="77777777" w:rsidR="007E6B43" w:rsidRPr="00EA1BB2" w:rsidRDefault="007E6B43" w:rsidP="007E6B43">
      <w:pPr>
        <w:spacing w:line="360" w:lineRule="auto"/>
        <w:rPr>
          <w:rFonts w:ascii="Cambria" w:hAnsi="Cambria"/>
          <w:sz w:val="24"/>
          <w:szCs w:val="24"/>
        </w:rPr>
      </w:pPr>
    </w:p>
    <w:p w14:paraId="6E148AA6" w14:textId="77777777" w:rsidR="007E6B43" w:rsidRPr="00EA1BB2" w:rsidRDefault="007E6B43" w:rsidP="00C2266B">
      <w:pPr>
        <w:pStyle w:val="Caption"/>
        <w:keepNext/>
        <w:spacing w:after="0" w:line="360" w:lineRule="auto"/>
        <w:ind w:firstLine="708"/>
        <w:jc w:val="both"/>
        <w:rPr>
          <w:rFonts w:ascii="Cambria" w:hAnsi="Cambria"/>
        </w:rPr>
      </w:pPr>
    </w:p>
    <w:p w14:paraId="2517EA9B" w14:textId="77777777" w:rsidR="007E6B43" w:rsidRPr="00EA1BB2" w:rsidRDefault="007E6B43" w:rsidP="007E6B43"/>
    <w:p w14:paraId="21901028" w14:textId="079C3255" w:rsidR="00C2266B" w:rsidRPr="00EA1BB2" w:rsidRDefault="00C2266B" w:rsidP="00C2266B">
      <w:pPr>
        <w:pStyle w:val="Caption"/>
        <w:keepNext/>
        <w:spacing w:after="0" w:line="360" w:lineRule="auto"/>
        <w:ind w:firstLine="708"/>
        <w:jc w:val="both"/>
        <w:rPr>
          <w:rFonts w:ascii="Cambria" w:hAnsi="Cambria"/>
        </w:rPr>
      </w:pPr>
      <w:bookmarkStart w:id="140" w:name="_Toc526889794"/>
      <w:r w:rsidRPr="00EA1BB2">
        <w:rPr>
          <w:rFonts w:ascii="Cambria" w:hAnsi="Cambria"/>
        </w:rPr>
        <w:lastRenderedPageBreak/>
        <w:t xml:space="preserve">Tabelul nr. </w:t>
      </w:r>
      <w:r w:rsidR="000A2FE7" w:rsidRPr="00EA1BB2">
        <w:rPr>
          <w:rFonts w:ascii="Cambria" w:hAnsi="Cambria"/>
        </w:rPr>
        <w:fldChar w:fldCharType="begin"/>
      </w:r>
      <w:r w:rsidR="000A2FE7" w:rsidRPr="00EA1BB2">
        <w:rPr>
          <w:rFonts w:ascii="Cambria" w:hAnsi="Cambria"/>
        </w:rPr>
        <w:instrText xml:space="preserve"> STYLEREF 1 \s </w:instrText>
      </w:r>
      <w:r w:rsidR="000A2FE7" w:rsidRPr="00EA1BB2">
        <w:rPr>
          <w:rFonts w:ascii="Cambria" w:hAnsi="Cambria"/>
        </w:rPr>
        <w:fldChar w:fldCharType="separate"/>
      </w:r>
      <w:r w:rsidR="00567555">
        <w:rPr>
          <w:rFonts w:ascii="Cambria" w:hAnsi="Cambria"/>
          <w:noProof/>
        </w:rPr>
        <w:t>3</w:t>
      </w:r>
      <w:r w:rsidR="000A2FE7" w:rsidRPr="00EA1BB2">
        <w:rPr>
          <w:rFonts w:ascii="Cambria" w:hAnsi="Cambria"/>
        </w:rPr>
        <w:fldChar w:fldCharType="end"/>
      </w:r>
      <w:r w:rsidR="000A2FE7" w:rsidRPr="00EA1BB2">
        <w:rPr>
          <w:rFonts w:ascii="Cambria" w:hAnsi="Cambria"/>
        </w:rPr>
        <w:noBreakHyphen/>
      </w:r>
      <w:r w:rsidR="000A2FE7" w:rsidRPr="00EA1BB2">
        <w:rPr>
          <w:rFonts w:ascii="Cambria" w:hAnsi="Cambria"/>
        </w:rPr>
        <w:fldChar w:fldCharType="begin"/>
      </w:r>
      <w:r w:rsidR="000A2FE7" w:rsidRPr="00EA1BB2">
        <w:rPr>
          <w:rFonts w:ascii="Cambria" w:hAnsi="Cambria"/>
        </w:rPr>
        <w:instrText xml:space="preserve"> SEQ Tabelul_nr. \* ARABIC \s 1 </w:instrText>
      </w:r>
      <w:r w:rsidR="000A2FE7" w:rsidRPr="00EA1BB2">
        <w:rPr>
          <w:rFonts w:ascii="Cambria" w:hAnsi="Cambria"/>
        </w:rPr>
        <w:fldChar w:fldCharType="separate"/>
      </w:r>
      <w:r w:rsidR="00567555">
        <w:rPr>
          <w:rFonts w:ascii="Cambria" w:hAnsi="Cambria"/>
          <w:noProof/>
        </w:rPr>
        <w:t>25</w:t>
      </w:r>
      <w:r w:rsidR="000A2FE7" w:rsidRPr="00EA1BB2">
        <w:rPr>
          <w:rFonts w:ascii="Cambria" w:hAnsi="Cambria"/>
        </w:rPr>
        <w:fldChar w:fldCharType="end"/>
      </w:r>
      <w:r w:rsidRPr="00EA1BB2">
        <w:rPr>
          <w:rFonts w:ascii="Cambria" w:hAnsi="Cambria"/>
        </w:rPr>
        <w:t xml:space="preserve"> – Nivelul de fond urban pentru poluanții de interes</w:t>
      </w:r>
      <w:bookmarkEnd w:id="139"/>
      <w:bookmarkEnd w:id="140"/>
    </w:p>
    <w:tbl>
      <w:tblPr>
        <w:tblW w:w="133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992"/>
        <w:gridCol w:w="1474"/>
        <w:gridCol w:w="2211"/>
        <w:gridCol w:w="1701"/>
        <w:gridCol w:w="2041"/>
        <w:gridCol w:w="1985"/>
        <w:gridCol w:w="1984"/>
      </w:tblGrid>
      <w:tr w:rsidR="005174D3" w:rsidRPr="00EA1BB2" w14:paraId="555C6033" w14:textId="77777777" w:rsidTr="005174D3">
        <w:trPr>
          <w:trHeight w:val="300"/>
          <w:jc w:val="center"/>
        </w:trPr>
        <w:tc>
          <w:tcPr>
            <w:tcW w:w="988" w:type="dxa"/>
            <w:vMerge w:val="restart"/>
            <w:shd w:val="clear" w:color="auto" w:fill="BDD6EE" w:themeFill="accent1" w:themeFillTint="66"/>
            <w:noWrap/>
            <w:vAlign w:val="center"/>
          </w:tcPr>
          <w:p w14:paraId="2EC88BD3" w14:textId="77777777" w:rsidR="005174D3" w:rsidRPr="00EA1BB2" w:rsidRDefault="005174D3" w:rsidP="00732A52">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0"/>
                <w:lang w:eastAsia="ro-RO"/>
              </w:rPr>
              <w:t>Poluant</w:t>
            </w:r>
          </w:p>
        </w:tc>
        <w:tc>
          <w:tcPr>
            <w:tcW w:w="992" w:type="dxa"/>
            <w:vMerge w:val="restart"/>
            <w:shd w:val="clear" w:color="auto" w:fill="BDD6EE" w:themeFill="accent1" w:themeFillTint="66"/>
            <w:noWrap/>
            <w:vAlign w:val="center"/>
          </w:tcPr>
          <w:p w14:paraId="5EA8E775" w14:textId="77777777" w:rsidR="005174D3" w:rsidRPr="00EA1BB2" w:rsidRDefault="005174D3" w:rsidP="00732A52">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0"/>
                <w:lang w:eastAsia="ro-RO"/>
              </w:rPr>
              <w:t>u.m.</w:t>
            </w:r>
          </w:p>
        </w:tc>
        <w:tc>
          <w:tcPr>
            <w:tcW w:w="11396" w:type="dxa"/>
            <w:gridSpan w:val="6"/>
            <w:shd w:val="clear" w:color="auto" w:fill="BDD6EE" w:themeFill="accent1" w:themeFillTint="66"/>
            <w:vAlign w:val="center"/>
          </w:tcPr>
          <w:p w14:paraId="10C44A20" w14:textId="77777777" w:rsidR="005174D3" w:rsidRPr="00EA1BB2" w:rsidRDefault="005174D3" w:rsidP="005174D3">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Cs w:val="20"/>
                <w:lang w:eastAsia="ro-RO"/>
              </w:rPr>
              <w:t>Nivelul de fond urban</w:t>
            </w:r>
            <w:r w:rsidR="005E0D85" w:rsidRPr="00EA1BB2">
              <w:rPr>
                <w:rFonts w:ascii="Cambria" w:eastAsia="Times New Roman" w:hAnsi="Cambria" w:cs="Calibri"/>
                <w:b/>
                <w:color w:val="000000"/>
                <w:szCs w:val="20"/>
                <w:lang w:eastAsia="ro-RO"/>
              </w:rPr>
              <w:t xml:space="preserve"> aglomerarea Brăila</w:t>
            </w:r>
            <w:r w:rsidRPr="00EA1BB2">
              <w:rPr>
                <w:rFonts w:ascii="Cambria" w:eastAsia="Times New Roman" w:hAnsi="Cambria" w:cs="Calibri"/>
                <w:b/>
                <w:color w:val="000000"/>
                <w:szCs w:val="20"/>
                <w:lang w:eastAsia="ro-RO"/>
              </w:rPr>
              <w:t>:</w:t>
            </w:r>
          </w:p>
        </w:tc>
      </w:tr>
      <w:tr w:rsidR="00110B8B" w:rsidRPr="00EA1BB2" w14:paraId="3F7AE26E" w14:textId="77777777" w:rsidTr="00110B8B">
        <w:trPr>
          <w:trHeight w:val="300"/>
          <w:jc w:val="center"/>
        </w:trPr>
        <w:tc>
          <w:tcPr>
            <w:tcW w:w="988" w:type="dxa"/>
            <w:vMerge/>
            <w:shd w:val="clear" w:color="auto" w:fill="BDD6EE" w:themeFill="accent1" w:themeFillTint="66"/>
            <w:noWrap/>
            <w:vAlign w:val="center"/>
            <w:hideMark/>
          </w:tcPr>
          <w:p w14:paraId="53E375AB" w14:textId="77777777" w:rsidR="00110B8B" w:rsidRPr="00EA1BB2" w:rsidRDefault="00110B8B" w:rsidP="00110B8B">
            <w:pPr>
              <w:spacing w:line="360" w:lineRule="auto"/>
              <w:jc w:val="center"/>
              <w:rPr>
                <w:rFonts w:ascii="Cambria" w:eastAsia="Times New Roman" w:hAnsi="Cambria" w:cs="Calibri"/>
                <w:b/>
                <w:color w:val="000000"/>
                <w:sz w:val="20"/>
                <w:szCs w:val="20"/>
                <w:lang w:eastAsia="ro-RO"/>
              </w:rPr>
            </w:pPr>
          </w:p>
        </w:tc>
        <w:tc>
          <w:tcPr>
            <w:tcW w:w="992" w:type="dxa"/>
            <w:vMerge/>
            <w:shd w:val="clear" w:color="auto" w:fill="BDD6EE" w:themeFill="accent1" w:themeFillTint="66"/>
            <w:noWrap/>
            <w:vAlign w:val="center"/>
            <w:hideMark/>
          </w:tcPr>
          <w:p w14:paraId="58260599" w14:textId="77777777" w:rsidR="00110B8B" w:rsidRPr="00EA1BB2" w:rsidRDefault="00110B8B" w:rsidP="00110B8B">
            <w:pPr>
              <w:spacing w:line="360" w:lineRule="auto"/>
              <w:jc w:val="center"/>
              <w:rPr>
                <w:rFonts w:ascii="Cambria" w:eastAsia="Times New Roman" w:hAnsi="Cambria" w:cs="Calibri"/>
                <w:b/>
                <w:color w:val="000000"/>
                <w:sz w:val="20"/>
                <w:szCs w:val="20"/>
                <w:lang w:eastAsia="ro-RO"/>
              </w:rPr>
            </w:pPr>
          </w:p>
        </w:tc>
        <w:tc>
          <w:tcPr>
            <w:tcW w:w="1474" w:type="dxa"/>
            <w:shd w:val="clear" w:color="auto" w:fill="BDD6EE" w:themeFill="accent1" w:themeFillTint="66"/>
            <w:vAlign w:val="center"/>
          </w:tcPr>
          <w:p w14:paraId="45B1AEAD" w14:textId="77777777" w:rsidR="00110B8B" w:rsidRPr="00EA1BB2" w:rsidRDefault="00110B8B" w:rsidP="00110B8B">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0"/>
                <w:lang w:eastAsia="ro-RO"/>
              </w:rPr>
              <w:t>total</w:t>
            </w:r>
          </w:p>
        </w:tc>
        <w:tc>
          <w:tcPr>
            <w:tcW w:w="2211" w:type="dxa"/>
            <w:shd w:val="clear" w:color="auto" w:fill="BDD6EE" w:themeFill="accent1" w:themeFillTint="66"/>
            <w:vAlign w:val="center"/>
          </w:tcPr>
          <w:p w14:paraId="4C86F27F" w14:textId="77777777" w:rsidR="00110B8B" w:rsidRPr="00EA1BB2" w:rsidRDefault="00110B8B" w:rsidP="00110B8B">
            <w:pPr>
              <w:spacing w:line="360" w:lineRule="auto"/>
              <w:jc w:val="center"/>
              <w:rPr>
                <w:rFonts w:ascii="Cambria" w:eastAsia="Times New Roman" w:hAnsi="Cambria" w:cs="Calibri"/>
                <w:b/>
                <w:color w:val="000000"/>
                <w:sz w:val="20"/>
                <w:szCs w:val="24"/>
                <w:lang w:eastAsia="ro-RO"/>
              </w:rPr>
            </w:pPr>
            <w:r w:rsidRPr="00EA1BB2">
              <w:rPr>
                <w:rFonts w:ascii="Cambria" w:eastAsia="Times New Roman" w:hAnsi="Cambria" w:cs="Calibri"/>
                <w:b/>
                <w:color w:val="000000"/>
                <w:sz w:val="20"/>
                <w:szCs w:val="20"/>
                <w:lang w:eastAsia="ro-RO"/>
              </w:rPr>
              <w:t>industrie, inclusiv producția de energie termică și electrică</w:t>
            </w:r>
          </w:p>
        </w:tc>
        <w:tc>
          <w:tcPr>
            <w:tcW w:w="1701" w:type="dxa"/>
            <w:shd w:val="clear" w:color="auto" w:fill="BDD6EE" w:themeFill="accent1" w:themeFillTint="66"/>
            <w:vAlign w:val="center"/>
          </w:tcPr>
          <w:p w14:paraId="7011CF32" w14:textId="77777777" w:rsidR="00110B8B" w:rsidRPr="00EA1BB2" w:rsidRDefault="00110B8B" w:rsidP="00110B8B">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0"/>
                <w:lang w:eastAsia="ro-RO"/>
              </w:rPr>
              <w:t>agricultură</w:t>
            </w:r>
          </w:p>
        </w:tc>
        <w:tc>
          <w:tcPr>
            <w:tcW w:w="2041" w:type="dxa"/>
            <w:shd w:val="clear" w:color="auto" w:fill="BDD6EE" w:themeFill="accent1" w:themeFillTint="66"/>
            <w:vAlign w:val="center"/>
          </w:tcPr>
          <w:p w14:paraId="7646A1EE" w14:textId="77777777" w:rsidR="00110B8B" w:rsidRPr="00EA1BB2" w:rsidRDefault="00EA69C6" w:rsidP="00110B8B">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0"/>
                <w:lang w:eastAsia="ro-RO"/>
              </w:rPr>
              <w:t>surse rezidențiale, comerciale</w:t>
            </w:r>
            <w:r w:rsidR="00110B8B" w:rsidRPr="00EA1BB2">
              <w:rPr>
                <w:rFonts w:ascii="Cambria" w:eastAsia="Times New Roman" w:hAnsi="Cambria" w:cs="Calibri"/>
                <w:b/>
                <w:color w:val="000000"/>
                <w:sz w:val="20"/>
                <w:szCs w:val="20"/>
                <w:lang w:eastAsia="ro-RO"/>
              </w:rPr>
              <w:t xml:space="preserve"> și instituționale</w:t>
            </w:r>
          </w:p>
        </w:tc>
        <w:tc>
          <w:tcPr>
            <w:tcW w:w="1985" w:type="dxa"/>
            <w:shd w:val="clear" w:color="auto" w:fill="BDD6EE" w:themeFill="accent1" w:themeFillTint="66"/>
            <w:vAlign w:val="center"/>
          </w:tcPr>
          <w:p w14:paraId="0EBF0F8A" w14:textId="77777777" w:rsidR="00110B8B" w:rsidRPr="00EA1BB2" w:rsidRDefault="00110B8B" w:rsidP="00110B8B">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0"/>
                <w:lang w:eastAsia="ro-RO"/>
              </w:rPr>
              <w:t>transport</w:t>
            </w:r>
          </w:p>
        </w:tc>
        <w:tc>
          <w:tcPr>
            <w:tcW w:w="1984" w:type="dxa"/>
            <w:shd w:val="clear" w:color="auto" w:fill="BDD6EE" w:themeFill="accent1" w:themeFillTint="66"/>
            <w:vAlign w:val="center"/>
          </w:tcPr>
          <w:p w14:paraId="52C3E026" w14:textId="77777777" w:rsidR="00110B8B" w:rsidRPr="00EA1BB2" w:rsidRDefault="00110B8B" w:rsidP="00110B8B">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4"/>
                <w:lang w:eastAsia="ro-RO"/>
              </w:rPr>
              <w:t>Nivelul de fond regional</w:t>
            </w:r>
          </w:p>
        </w:tc>
      </w:tr>
      <w:tr w:rsidR="007509F3" w:rsidRPr="00EA1BB2" w14:paraId="599C883E" w14:textId="77777777" w:rsidTr="00142278">
        <w:trPr>
          <w:trHeight w:val="188"/>
          <w:jc w:val="center"/>
        </w:trPr>
        <w:tc>
          <w:tcPr>
            <w:tcW w:w="988" w:type="dxa"/>
            <w:shd w:val="clear" w:color="auto" w:fill="auto"/>
            <w:noWrap/>
            <w:vAlign w:val="bottom"/>
          </w:tcPr>
          <w:p w14:paraId="684D5A85" w14:textId="77777777" w:rsidR="007509F3" w:rsidRPr="00EA1BB2" w:rsidRDefault="007509F3" w:rsidP="007509F3">
            <w:pPr>
              <w:spacing w:line="360" w:lineRule="auto"/>
              <w:jc w:val="center"/>
              <w:rPr>
                <w:rFonts w:ascii="Cambria" w:eastAsia="Times New Roman" w:hAnsi="Cambria" w:cs="Arial"/>
                <w:color w:val="000000"/>
                <w:sz w:val="24"/>
                <w:szCs w:val="24"/>
                <w:lang w:eastAsia="ro-RO"/>
              </w:rPr>
            </w:pPr>
            <w:r w:rsidRPr="00EA1BB2">
              <w:rPr>
                <w:rFonts w:ascii="Cambria" w:hAnsi="Cambria" w:cs="Calibri"/>
                <w:color w:val="000000"/>
                <w:sz w:val="24"/>
                <w:szCs w:val="24"/>
              </w:rPr>
              <w:t>SO</w:t>
            </w:r>
            <w:r w:rsidRPr="00EA1BB2">
              <w:rPr>
                <w:rFonts w:ascii="Cambria" w:hAnsi="Cambria" w:cs="Calibri"/>
                <w:color w:val="000000"/>
                <w:sz w:val="24"/>
                <w:szCs w:val="24"/>
                <w:vertAlign w:val="subscript"/>
              </w:rPr>
              <w:t>2</w:t>
            </w:r>
          </w:p>
        </w:tc>
        <w:tc>
          <w:tcPr>
            <w:tcW w:w="992" w:type="dxa"/>
            <w:shd w:val="clear" w:color="auto" w:fill="auto"/>
            <w:noWrap/>
          </w:tcPr>
          <w:p w14:paraId="7A9681DF" w14:textId="77777777" w:rsidR="007509F3" w:rsidRPr="00EA1BB2" w:rsidRDefault="007509F3" w:rsidP="007509F3">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µ</w:t>
            </w:r>
            <w:r w:rsidRPr="00EA1BB2">
              <w:rPr>
                <w:rFonts w:ascii="Cambria" w:eastAsia="Times New Roman" w:hAnsi="Cambria" w:cs="Calibri"/>
                <w:color w:val="000000"/>
                <w:sz w:val="24"/>
                <w:szCs w:val="24"/>
                <w:lang w:eastAsia="ro-RO"/>
              </w:rPr>
              <w:t>g/m</w:t>
            </w:r>
            <w:r w:rsidRPr="00EA1BB2">
              <w:rPr>
                <w:rFonts w:ascii="Cambria" w:eastAsia="Times New Roman" w:hAnsi="Cambria" w:cs="Calibri"/>
                <w:color w:val="000000"/>
                <w:sz w:val="24"/>
                <w:szCs w:val="24"/>
                <w:vertAlign w:val="superscript"/>
                <w:lang w:eastAsia="ro-RO"/>
              </w:rPr>
              <w:t>3</w:t>
            </w:r>
          </w:p>
        </w:tc>
        <w:tc>
          <w:tcPr>
            <w:tcW w:w="1474" w:type="dxa"/>
            <w:shd w:val="clear" w:color="auto" w:fill="auto"/>
          </w:tcPr>
          <w:p w14:paraId="7B0134E1" w14:textId="77777777" w:rsidR="007509F3" w:rsidRPr="00EA1BB2" w:rsidRDefault="007509F3" w:rsidP="007509F3">
            <w:pPr>
              <w:spacing w:line="360" w:lineRule="auto"/>
              <w:jc w:val="center"/>
              <w:rPr>
                <w:rFonts w:ascii="Cambria" w:eastAsia="Times New Roman" w:hAnsi="Cambria" w:cs="Arial"/>
                <w:color w:val="000000"/>
                <w:sz w:val="24"/>
                <w:szCs w:val="24"/>
                <w:lang w:eastAsia="ro-RO"/>
              </w:rPr>
            </w:pPr>
            <w:r w:rsidRPr="00EA1BB2">
              <w:rPr>
                <w:rFonts w:ascii="Cambria" w:hAnsi="Cambria"/>
                <w:sz w:val="24"/>
                <w:szCs w:val="24"/>
              </w:rPr>
              <w:t>3,089</w:t>
            </w:r>
          </w:p>
        </w:tc>
        <w:tc>
          <w:tcPr>
            <w:tcW w:w="2211" w:type="dxa"/>
          </w:tcPr>
          <w:p w14:paraId="78569917" w14:textId="77777777" w:rsidR="007509F3" w:rsidRPr="00EA1BB2" w:rsidRDefault="007509F3" w:rsidP="007509F3">
            <w:pPr>
              <w:spacing w:line="360" w:lineRule="auto"/>
              <w:jc w:val="center"/>
              <w:rPr>
                <w:rFonts w:ascii="Cambria" w:hAnsi="Cambria" w:cs="Calibri"/>
                <w:color w:val="000000"/>
                <w:sz w:val="24"/>
                <w:szCs w:val="24"/>
              </w:rPr>
            </w:pPr>
            <w:r w:rsidRPr="00EA1BB2">
              <w:rPr>
                <w:rFonts w:ascii="Cambria" w:hAnsi="Cambria"/>
                <w:sz w:val="24"/>
              </w:rPr>
              <w:t>0,024</w:t>
            </w:r>
          </w:p>
        </w:tc>
        <w:tc>
          <w:tcPr>
            <w:tcW w:w="1701" w:type="dxa"/>
          </w:tcPr>
          <w:p w14:paraId="2D3C0337" w14:textId="77777777" w:rsidR="007509F3" w:rsidRPr="00EA1BB2" w:rsidRDefault="007509F3" w:rsidP="007509F3">
            <w:pPr>
              <w:spacing w:line="360" w:lineRule="auto"/>
              <w:jc w:val="center"/>
              <w:rPr>
                <w:rFonts w:ascii="Cambria" w:hAnsi="Cambria" w:cs="Calibri"/>
                <w:color w:val="000000"/>
                <w:sz w:val="24"/>
                <w:szCs w:val="24"/>
              </w:rPr>
            </w:pPr>
            <w:r w:rsidRPr="00EA1BB2">
              <w:rPr>
                <w:rFonts w:ascii="Cambria" w:hAnsi="Cambria"/>
                <w:sz w:val="24"/>
              </w:rPr>
              <w:t>0,018</w:t>
            </w:r>
          </w:p>
        </w:tc>
        <w:tc>
          <w:tcPr>
            <w:tcW w:w="2041" w:type="dxa"/>
          </w:tcPr>
          <w:p w14:paraId="72541232" w14:textId="77777777" w:rsidR="007509F3" w:rsidRPr="00EA1BB2" w:rsidRDefault="007509F3" w:rsidP="007509F3">
            <w:pPr>
              <w:spacing w:line="360" w:lineRule="auto"/>
              <w:jc w:val="center"/>
              <w:rPr>
                <w:rFonts w:ascii="Cambria" w:hAnsi="Cambria" w:cs="Calibri"/>
                <w:color w:val="000000"/>
                <w:sz w:val="24"/>
                <w:szCs w:val="24"/>
              </w:rPr>
            </w:pPr>
            <w:r w:rsidRPr="00EA1BB2">
              <w:rPr>
                <w:rFonts w:ascii="Cambria" w:hAnsi="Cambria"/>
                <w:sz w:val="24"/>
              </w:rPr>
              <w:t>0,006</w:t>
            </w:r>
          </w:p>
        </w:tc>
        <w:tc>
          <w:tcPr>
            <w:tcW w:w="1985" w:type="dxa"/>
          </w:tcPr>
          <w:p w14:paraId="1E4AF15E" w14:textId="77777777" w:rsidR="007509F3" w:rsidRPr="00EA1BB2" w:rsidRDefault="007509F3" w:rsidP="007509F3">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984" w:type="dxa"/>
          </w:tcPr>
          <w:p w14:paraId="3C1A5786" w14:textId="77777777" w:rsidR="007509F3" w:rsidRPr="00EA1BB2" w:rsidRDefault="007509F3" w:rsidP="007509F3">
            <w:pPr>
              <w:spacing w:line="360" w:lineRule="auto"/>
              <w:jc w:val="center"/>
              <w:rPr>
                <w:rFonts w:ascii="Cambria" w:hAnsi="Cambria" w:cs="Calibri"/>
                <w:color w:val="000000"/>
                <w:sz w:val="24"/>
                <w:szCs w:val="24"/>
              </w:rPr>
            </w:pPr>
            <w:r w:rsidRPr="00EA1BB2">
              <w:rPr>
                <w:rFonts w:ascii="Cambria" w:hAnsi="Cambria"/>
                <w:sz w:val="24"/>
                <w:szCs w:val="24"/>
              </w:rPr>
              <w:t>3,041</w:t>
            </w:r>
          </w:p>
        </w:tc>
      </w:tr>
      <w:tr w:rsidR="00917858" w:rsidRPr="00EA1BB2" w14:paraId="2912DE89" w14:textId="77777777" w:rsidTr="00142278">
        <w:trPr>
          <w:trHeight w:val="188"/>
          <w:jc w:val="center"/>
        </w:trPr>
        <w:tc>
          <w:tcPr>
            <w:tcW w:w="988" w:type="dxa"/>
            <w:shd w:val="clear" w:color="auto" w:fill="auto"/>
            <w:noWrap/>
            <w:vAlign w:val="bottom"/>
          </w:tcPr>
          <w:p w14:paraId="6523A72F" w14:textId="77777777" w:rsidR="00917858" w:rsidRPr="00EA1BB2" w:rsidRDefault="00917858" w:rsidP="00917858">
            <w:pPr>
              <w:spacing w:line="360" w:lineRule="auto"/>
              <w:jc w:val="center"/>
              <w:rPr>
                <w:rFonts w:ascii="Cambria" w:eastAsia="Times New Roman" w:hAnsi="Cambria" w:cs="Arial"/>
                <w:color w:val="000000"/>
                <w:sz w:val="24"/>
                <w:szCs w:val="24"/>
                <w:lang w:eastAsia="ro-RO"/>
              </w:rPr>
            </w:pPr>
            <w:r w:rsidRPr="00EA1BB2">
              <w:rPr>
                <w:rFonts w:ascii="Cambria" w:hAnsi="Cambria" w:cs="Calibri"/>
                <w:color w:val="000000"/>
                <w:sz w:val="24"/>
                <w:szCs w:val="24"/>
              </w:rPr>
              <w:t>NO</w:t>
            </w:r>
            <w:r w:rsidRPr="00EA1BB2">
              <w:rPr>
                <w:rFonts w:ascii="Cambria" w:hAnsi="Cambria" w:cs="Calibri"/>
                <w:color w:val="000000"/>
                <w:sz w:val="24"/>
                <w:szCs w:val="24"/>
                <w:vertAlign w:val="subscript"/>
              </w:rPr>
              <w:t>2</w:t>
            </w:r>
          </w:p>
        </w:tc>
        <w:tc>
          <w:tcPr>
            <w:tcW w:w="992" w:type="dxa"/>
            <w:shd w:val="clear" w:color="auto" w:fill="auto"/>
            <w:noWrap/>
          </w:tcPr>
          <w:p w14:paraId="23D1AF29" w14:textId="77777777" w:rsidR="00917858" w:rsidRPr="00EA1BB2" w:rsidRDefault="00917858" w:rsidP="00917858">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µ</w:t>
            </w:r>
            <w:r w:rsidRPr="00EA1BB2">
              <w:rPr>
                <w:rFonts w:ascii="Cambria" w:eastAsia="Times New Roman" w:hAnsi="Cambria" w:cs="Calibri"/>
                <w:color w:val="000000"/>
                <w:sz w:val="24"/>
                <w:szCs w:val="24"/>
                <w:lang w:eastAsia="ro-RO"/>
              </w:rPr>
              <w:t>g/m</w:t>
            </w:r>
            <w:r w:rsidRPr="00EA1BB2">
              <w:rPr>
                <w:rFonts w:ascii="Cambria" w:eastAsia="Times New Roman" w:hAnsi="Cambria" w:cs="Calibri"/>
                <w:color w:val="000000"/>
                <w:sz w:val="24"/>
                <w:szCs w:val="24"/>
                <w:vertAlign w:val="superscript"/>
                <w:lang w:eastAsia="ro-RO"/>
              </w:rPr>
              <w:t>3</w:t>
            </w:r>
          </w:p>
        </w:tc>
        <w:tc>
          <w:tcPr>
            <w:tcW w:w="1474" w:type="dxa"/>
            <w:shd w:val="clear" w:color="auto" w:fill="auto"/>
          </w:tcPr>
          <w:p w14:paraId="3E397FC0" w14:textId="77777777" w:rsidR="00917858" w:rsidRPr="00EA1BB2" w:rsidRDefault="00917858" w:rsidP="009A0935">
            <w:pPr>
              <w:spacing w:line="360" w:lineRule="auto"/>
              <w:jc w:val="center"/>
              <w:rPr>
                <w:rFonts w:ascii="Cambria" w:eastAsia="Times New Roman" w:hAnsi="Cambria" w:cs="Arial"/>
                <w:color w:val="000000"/>
                <w:sz w:val="24"/>
                <w:szCs w:val="24"/>
                <w:lang w:eastAsia="ro-RO"/>
              </w:rPr>
            </w:pPr>
            <w:r w:rsidRPr="00EA1BB2">
              <w:rPr>
                <w:rFonts w:ascii="Cambria" w:hAnsi="Cambria"/>
                <w:sz w:val="24"/>
                <w:szCs w:val="24"/>
              </w:rPr>
              <w:t>9</w:t>
            </w:r>
            <w:r w:rsidR="009A0935" w:rsidRPr="00EA1BB2">
              <w:rPr>
                <w:rFonts w:ascii="Cambria" w:hAnsi="Cambria"/>
                <w:sz w:val="24"/>
                <w:szCs w:val="24"/>
              </w:rPr>
              <w:t>,</w:t>
            </w:r>
            <w:r w:rsidRPr="00EA1BB2">
              <w:rPr>
                <w:rFonts w:ascii="Cambria" w:hAnsi="Cambria"/>
                <w:sz w:val="24"/>
                <w:szCs w:val="24"/>
              </w:rPr>
              <w:t>481</w:t>
            </w:r>
          </w:p>
        </w:tc>
        <w:tc>
          <w:tcPr>
            <w:tcW w:w="2211" w:type="dxa"/>
          </w:tcPr>
          <w:p w14:paraId="3EE6CA02" w14:textId="77777777" w:rsidR="00917858" w:rsidRPr="00EA1BB2" w:rsidRDefault="00917858" w:rsidP="009A0935">
            <w:pPr>
              <w:spacing w:line="360" w:lineRule="auto"/>
              <w:jc w:val="center"/>
              <w:rPr>
                <w:rFonts w:ascii="Cambria" w:hAnsi="Cambria" w:cs="Calibri"/>
                <w:color w:val="000000"/>
                <w:sz w:val="24"/>
                <w:szCs w:val="24"/>
              </w:rPr>
            </w:pPr>
            <w:r w:rsidRPr="00EA1BB2">
              <w:rPr>
                <w:rFonts w:ascii="Cambria" w:hAnsi="Cambria"/>
                <w:sz w:val="24"/>
                <w:szCs w:val="24"/>
              </w:rPr>
              <w:t>0</w:t>
            </w:r>
            <w:r w:rsidR="009A0935" w:rsidRPr="00EA1BB2">
              <w:rPr>
                <w:rFonts w:ascii="Cambria" w:hAnsi="Cambria"/>
                <w:sz w:val="24"/>
                <w:szCs w:val="24"/>
              </w:rPr>
              <w:t>,</w:t>
            </w:r>
            <w:r w:rsidRPr="00EA1BB2">
              <w:rPr>
                <w:rFonts w:ascii="Cambria" w:hAnsi="Cambria"/>
                <w:sz w:val="24"/>
                <w:szCs w:val="24"/>
              </w:rPr>
              <w:t>000008</w:t>
            </w:r>
          </w:p>
        </w:tc>
        <w:tc>
          <w:tcPr>
            <w:tcW w:w="1701" w:type="dxa"/>
          </w:tcPr>
          <w:p w14:paraId="36E07FBA" w14:textId="77777777" w:rsidR="00917858" w:rsidRPr="00EA1BB2" w:rsidRDefault="006B3A27" w:rsidP="00917858">
            <w:pPr>
              <w:spacing w:line="360" w:lineRule="auto"/>
              <w:jc w:val="center"/>
              <w:rPr>
                <w:rFonts w:ascii="Cambria" w:hAnsi="Cambria" w:cs="Calibri"/>
                <w:color w:val="000000"/>
                <w:sz w:val="24"/>
                <w:szCs w:val="24"/>
              </w:rPr>
            </w:pPr>
            <w:r w:rsidRPr="00EA1BB2">
              <w:rPr>
                <w:rFonts w:ascii="Cambria" w:hAnsi="Cambria" w:cs="Calibri"/>
                <w:color w:val="000000"/>
                <w:sz w:val="24"/>
                <w:szCs w:val="24"/>
              </w:rPr>
              <w:t>0</w:t>
            </w:r>
          </w:p>
        </w:tc>
        <w:tc>
          <w:tcPr>
            <w:tcW w:w="2041" w:type="dxa"/>
          </w:tcPr>
          <w:p w14:paraId="5D90C39B" w14:textId="77777777" w:rsidR="00917858" w:rsidRPr="00EA1BB2" w:rsidRDefault="00917858" w:rsidP="009A0935">
            <w:pPr>
              <w:spacing w:line="360" w:lineRule="auto"/>
              <w:jc w:val="center"/>
              <w:rPr>
                <w:rFonts w:ascii="Cambria" w:hAnsi="Cambria" w:cs="Calibri"/>
                <w:color w:val="000000"/>
                <w:sz w:val="24"/>
                <w:szCs w:val="24"/>
              </w:rPr>
            </w:pPr>
            <w:r w:rsidRPr="00EA1BB2">
              <w:rPr>
                <w:rFonts w:ascii="Cambria" w:hAnsi="Cambria"/>
                <w:sz w:val="24"/>
                <w:szCs w:val="24"/>
              </w:rPr>
              <w:t>0</w:t>
            </w:r>
            <w:r w:rsidR="009A0935" w:rsidRPr="00EA1BB2">
              <w:rPr>
                <w:rFonts w:ascii="Cambria" w:hAnsi="Cambria"/>
                <w:sz w:val="24"/>
                <w:szCs w:val="24"/>
              </w:rPr>
              <w:t>,</w:t>
            </w:r>
            <w:r w:rsidRPr="00EA1BB2">
              <w:rPr>
                <w:rFonts w:ascii="Cambria" w:hAnsi="Cambria"/>
                <w:sz w:val="24"/>
                <w:szCs w:val="24"/>
              </w:rPr>
              <w:t>050</w:t>
            </w:r>
          </w:p>
        </w:tc>
        <w:tc>
          <w:tcPr>
            <w:tcW w:w="1985" w:type="dxa"/>
          </w:tcPr>
          <w:p w14:paraId="15AD04A0" w14:textId="77777777" w:rsidR="00917858" w:rsidRPr="00EA1BB2" w:rsidRDefault="00917858" w:rsidP="009A0935">
            <w:pPr>
              <w:spacing w:line="360" w:lineRule="auto"/>
              <w:jc w:val="center"/>
              <w:rPr>
                <w:rFonts w:ascii="Cambria" w:hAnsi="Cambria" w:cs="Calibri"/>
                <w:color w:val="000000"/>
                <w:sz w:val="24"/>
                <w:szCs w:val="24"/>
              </w:rPr>
            </w:pPr>
            <w:r w:rsidRPr="00EA1BB2">
              <w:rPr>
                <w:rFonts w:ascii="Cambria" w:hAnsi="Cambria"/>
                <w:sz w:val="24"/>
                <w:szCs w:val="24"/>
              </w:rPr>
              <w:t>0</w:t>
            </w:r>
            <w:r w:rsidR="009A0935" w:rsidRPr="00EA1BB2">
              <w:rPr>
                <w:rFonts w:ascii="Cambria" w:hAnsi="Cambria"/>
                <w:sz w:val="24"/>
                <w:szCs w:val="24"/>
              </w:rPr>
              <w:t>,</w:t>
            </w:r>
            <w:r w:rsidRPr="00EA1BB2">
              <w:rPr>
                <w:rFonts w:ascii="Cambria" w:hAnsi="Cambria"/>
                <w:sz w:val="24"/>
                <w:szCs w:val="24"/>
              </w:rPr>
              <w:t>025</w:t>
            </w:r>
          </w:p>
        </w:tc>
        <w:tc>
          <w:tcPr>
            <w:tcW w:w="1984" w:type="dxa"/>
          </w:tcPr>
          <w:p w14:paraId="29973682" w14:textId="77777777" w:rsidR="00917858" w:rsidRPr="00EA1BB2" w:rsidRDefault="00917858" w:rsidP="009A0935">
            <w:pPr>
              <w:spacing w:line="360" w:lineRule="auto"/>
              <w:jc w:val="center"/>
              <w:rPr>
                <w:rFonts w:ascii="Cambria" w:hAnsi="Cambria" w:cs="Calibri"/>
                <w:color w:val="000000"/>
                <w:sz w:val="24"/>
                <w:szCs w:val="24"/>
              </w:rPr>
            </w:pPr>
            <w:r w:rsidRPr="00EA1BB2">
              <w:rPr>
                <w:rFonts w:ascii="Cambria" w:hAnsi="Cambria"/>
                <w:sz w:val="24"/>
                <w:szCs w:val="24"/>
              </w:rPr>
              <w:t>9</w:t>
            </w:r>
            <w:r w:rsidR="009A0935" w:rsidRPr="00EA1BB2">
              <w:rPr>
                <w:rFonts w:ascii="Cambria" w:hAnsi="Cambria"/>
                <w:sz w:val="24"/>
                <w:szCs w:val="24"/>
              </w:rPr>
              <w:t>,</w:t>
            </w:r>
            <w:r w:rsidRPr="00EA1BB2">
              <w:rPr>
                <w:rFonts w:ascii="Cambria" w:hAnsi="Cambria"/>
                <w:sz w:val="24"/>
                <w:szCs w:val="24"/>
              </w:rPr>
              <w:t>406</w:t>
            </w:r>
          </w:p>
        </w:tc>
      </w:tr>
      <w:tr w:rsidR="00917858" w:rsidRPr="00EA1BB2" w14:paraId="22EB41CB" w14:textId="77777777" w:rsidTr="00142278">
        <w:trPr>
          <w:trHeight w:val="188"/>
          <w:jc w:val="center"/>
        </w:trPr>
        <w:tc>
          <w:tcPr>
            <w:tcW w:w="988" w:type="dxa"/>
            <w:shd w:val="clear" w:color="auto" w:fill="auto"/>
            <w:noWrap/>
            <w:vAlign w:val="bottom"/>
          </w:tcPr>
          <w:p w14:paraId="53F00848" w14:textId="77777777" w:rsidR="00917858" w:rsidRPr="00EA1BB2" w:rsidRDefault="00917858" w:rsidP="00917858">
            <w:pPr>
              <w:spacing w:line="360" w:lineRule="auto"/>
              <w:jc w:val="center"/>
              <w:rPr>
                <w:rFonts w:ascii="Cambria" w:hAnsi="Cambria" w:cs="Calibri"/>
                <w:color w:val="000000"/>
                <w:sz w:val="24"/>
                <w:szCs w:val="24"/>
              </w:rPr>
            </w:pPr>
            <w:r w:rsidRPr="00EA1BB2">
              <w:rPr>
                <w:rFonts w:ascii="Cambria" w:hAnsi="Cambria" w:cs="Calibri"/>
                <w:color w:val="000000"/>
                <w:sz w:val="24"/>
                <w:szCs w:val="24"/>
              </w:rPr>
              <w:t>NOx</w:t>
            </w:r>
          </w:p>
        </w:tc>
        <w:tc>
          <w:tcPr>
            <w:tcW w:w="992" w:type="dxa"/>
            <w:shd w:val="clear" w:color="auto" w:fill="auto"/>
            <w:noWrap/>
          </w:tcPr>
          <w:p w14:paraId="3A7A9C2E" w14:textId="77777777" w:rsidR="00917858" w:rsidRPr="00EA1BB2" w:rsidRDefault="00917858" w:rsidP="00917858">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µg/m</w:t>
            </w:r>
            <w:r w:rsidRPr="00EA1BB2">
              <w:rPr>
                <w:rFonts w:ascii="Cambria" w:eastAsia="Times New Roman" w:hAnsi="Cambria" w:cs="Arial"/>
                <w:color w:val="000000"/>
                <w:sz w:val="24"/>
                <w:szCs w:val="24"/>
                <w:vertAlign w:val="superscript"/>
                <w:lang w:eastAsia="ro-RO"/>
              </w:rPr>
              <w:t>3</w:t>
            </w:r>
          </w:p>
        </w:tc>
        <w:tc>
          <w:tcPr>
            <w:tcW w:w="1474" w:type="dxa"/>
            <w:shd w:val="clear" w:color="auto" w:fill="auto"/>
          </w:tcPr>
          <w:p w14:paraId="0CC66B61" w14:textId="77777777" w:rsidR="00917858" w:rsidRPr="00EA1BB2" w:rsidRDefault="00917858" w:rsidP="009A0935">
            <w:pPr>
              <w:spacing w:line="360" w:lineRule="auto"/>
              <w:jc w:val="center"/>
              <w:rPr>
                <w:rFonts w:ascii="Cambria" w:eastAsia="Times New Roman" w:hAnsi="Cambria" w:cs="Arial"/>
                <w:color w:val="000000"/>
                <w:sz w:val="24"/>
                <w:szCs w:val="24"/>
                <w:lang w:eastAsia="ro-RO"/>
              </w:rPr>
            </w:pPr>
            <w:r w:rsidRPr="00EA1BB2">
              <w:rPr>
                <w:rFonts w:ascii="Cambria" w:hAnsi="Cambria"/>
                <w:sz w:val="24"/>
                <w:szCs w:val="24"/>
              </w:rPr>
              <w:t>11</w:t>
            </w:r>
            <w:r w:rsidR="009A0935" w:rsidRPr="00EA1BB2">
              <w:rPr>
                <w:rFonts w:ascii="Cambria" w:hAnsi="Cambria"/>
                <w:sz w:val="24"/>
                <w:szCs w:val="24"/>
              </w:rPr>
              <w:t>,</w:t>
            </w:r>
            <w:r w:rsidRPr="00EA1BB2">
              <w:rPr>
                <w:rFonts w:ascii="Cambria" w:hAnsi="Cambria"/>
                <w:sz w:val="24"/>
                <w:szCs w:val="24"/>
              </w:rPr>
              <w:t>425</w:t>
            </w:r>
          </w:p>
        </w:tc>
        <w:tc>
          <w:tcPr>
            <w:tcW w:w="2211" w:type="dxa"/>
          </w:tcPr>
          <w:p w14:paraId="33121379" w14:textId="77777777" w:rsidR="00917858" w:rsidRPr="00EA1BB2" w:rsidRDefault="00917858" w:rsidP="009A0935">
            <w:pPr>
              <w:spacing w:line="360" w:lineRule="auto"/>
              <w:jc w:val="center"/>
              <w:rPr>
                <w:rFonts w:ascii="Cambria" w:hAnsi="Cambria" w:cs="Calibri"/>
                <w:color w:val="000000"/>
                <w:sz w:val="24"/>
                <w:szCs w:val="24"/>
              </w:rPr>
            </w:pPr>
            <w:r w:rsidRPr="00EA1BB2">
              <w:rPr>
                <w:rFonts w:ascii="Cambria" w:hAnsi="Cambria"/>
                <w:sz w:val="24"/>
                <w:szCs w:val="24"/>
              </w:rPr>
              <w:t>0</w:t>
            </w:r>
            <w:r w:rsidR="009A0935" w:rsidRPr="00EA1BB2">
              <w:rPr>
                <w:rFonts w:ascii="Cambria" w:hAnsi="Cambria"/>
                <w:sz w:val="24"/>
                <w:szCs w:val="24"/>
              </w:rPr>
              <w:t>,</w:t>
            </w:r>
            <w:r w:rsidRPr="00EA1BB2">
              <w:rPr>
                <w:rFonts w:ascii="Cambria" w:hAnsi="Cambria"/>
                <w:sz w:val="24"/>
                <w:szCs w:val="24"/>
              </w:rPr>
              <w:t>000008</w:t>
            </w:r>
          </w:p>
        </w:tc>
        <w:tc>
          <w:tcPr>
            <w:tcW w:w="1701" w:type="dxa"/>
          </w:tcPr>
          <w:p w14:paraId="5781DB61" w14:textId="77777777" w:rsidR="00917858" w:rsidRPr="00EA1BB2" w:rsidRDefault="006B3A27" w:rsidP="00917858">
            <w:pPr>
              <w:spacing w:line="360" w:lineRule="auto"/>
              <w:jc w:val="center"/>
              <w:rPr>
                <w:rFonts w:ascii="Cambria" w:hAnsi="Cambria" w:cs="Calibri"/>
                <w:color w:val="000000"/>
                <w:sz w:val="24"/>
                <w:szCs w:val="24"/>
              </w:rPr>
            </w:pPr>
            <w:r w:rsidRPr="00EA1BB2">
              <w:rPr>
                <w:rFonts w:ascii="Cambria" w:hAnsi="Cambria" w:cs="Calibri"/>
                <w:color w:val="000000"/>
                <w:sz w:val="24"/>
                <w:szCs w:val="24"/>
              </w:rPr>
              <w:t>0</w:t>
            </w:r>
          </w:p>
        </w:tc>
        <w:tc>
          <w:tcPr>
            <w:tcW w:w="2041" w:type="dxa"/>
          </w:tcPr>
          <w:p w14:paraId="2BC9EA96" w14:textId="77777777" w:rsidR="00917858" w:rsidRPr="00EA1BB2" w:rsidRDefault="00917858" w:rsidP="009A0935">
            <w:pPr>
              <w:spacing w:line="360" w:lineRule="auto"/>
              <w:jc w:val="center"/>
              <w:rPr>
                <w:rFonts w:ascii="Cambria" w:hAnsi="Cambria" w:cs="Calibri"/>
                <w:color w:val="000000"/>
                <w:sz w:val="24"/>
                <w:szCs w:val="24"/>
              </w:rPr>
            </w:pPr>
            <w:r w:rsidRPr="00EA1BB2">
              <w:rPr>
                <w:rFonts w:ascii="Cambria" w:hAnsi="Cambria"/>
                <w:sz w:val="24"/>
                <w:szCs w:val="24"/>
              </w:rPr>
              <w:t>0</w:t>
            </w:r>
            <w:r w:rsidR="009A0935" w:rsidRPr="00EA1BB2">
              <w:rPr>
                <w:rFonts w:ascii="Cambria" w:hAnsi="Cambria"/>
                <w:sz w:val="24"/>
                <w:szCs w:val="24"/>
              </w:rPr>
              <w:t>,</w:t>
            </w:r>
            <w:r w:rsidRPr="00EA1BB2">
              <w:rPr>
                <w:rFonts w:ascii="Cambria" w:hAnsi="Cambria"/>
                <w:sz w:val="24"/>
                <w:szCs w:val="24"/>
              </w:rPr>
              <w:t>050</w:t>
            </w:r>
          </w:p>
        </w:tc>
        <w:tc>
          <w:tcPr>
            <w:tcW w:w="1985" w:type="dxa"/>
          </w:tcPr>
          <w:p w14:paraId="7C3947DE" w14:textId="77777777" w:rsidR="00917858" w:rsidRPr="00EA1BB2" w:rsidRDefault="00917858" w:rsidP="009A0935">
            <w:pPr>
              <w:spacing w:line="360" w:lineRule="auto"/>
              <w:jc w:val="center"/>
              <w:rPr>
                <w:rFonts w:ascii="Cambria" w:hAnsi="Cambria" w:cs="Calibri"/>
                <w:color w:val="000000"/>
                <w:sz w:val="24"/>
                <w:szCs w:val="24"/>
              </w:rPr>
            </w:pPr>
            <w:r w:rsidRPr="00EA1BB2">
              <w:rPr>
                <w:rFonts w:ascii="Cambria" w:hAnsi="Cambria"/>
                <w:sz w:val="24"/>
                <w:szCs w:val="24"/>
              </w:rPr>
              <w:t>0</w:t>
            </w:r>
            <w:r w:rsidR="009A0935" w:rsidRPr="00EA1BB2">
              <w:rPr>
                <w:rFonts w:ascii="Cambria" w:hAnsi="Cambria"/>
                <w:sz w:val="24"/>
                <w:szCs w:val="24"/>
              </w:rPr>
              <w:t>,</w:t>
            </w:r>
            <w:r w:rsidRPr="00EA1BB2">
              <w:rPr>
                <w:rFonts w:ascii="Cambria" w:hAnsi="Cambria"/>
                <w:sz w:val="24"/>
                <w:szCs w:val="24"/>
              </w:rPr>
              <w:t>025</w:t>
            </w:r>
          </w:p>
        </w:tc>
        <w:tc>
          <w:tcPr>
            <w:tcW w:w="1984" w:type="dxa"/>
          </w:tcPr>
          <w:p w14:paraId="3C870583" w14:textId="77777777" w:rsidR="00917858" w:rsidRPr="00EA1BB2" w:rsidRDefault="00917858" w:rsidP="009A0935">
            <w:pPr>
              <w:spacing w:line="360" w:lineRule="auto"/>
              <w:jc w:val="center"/>
              <w:rPr>
                <w:rFonts w:ascii="Cambria" w:hAnsi="Cambria" w:cs="Calibri"/>
                <w:color w:val="000000"/>
                <w:sz w:val="24"/>
                <w:szCs w:val="24"/>
              </w:rPr>
            </w:pPr>
            <w:r w:rsidRPr="00EA1BB2">
              <w:rPr>
                <w:rFonts w:ascii="Cambria" w:hAnsi="Cambria"/>
                <w:sz w:val="24"/>
                <w:szCs w:val="24"/>
              </w:rPr>
              <w:t>11</w:t>
            </w:r>
            <w:r w:rsidR="009A0935" w:rsidRPr="00EA1BB2">
              <w:rPr>
                <w:rFonts w:ascii="Cambria" w:hAnsi="Cambria"/>
                <w:sz w:val="24"/>
                <w:szCs w:val="24"/>
              </w:rPr>
              <w:t>,</w:t>
            </w:r>
            <w:r w:rsidRPr="00EA1BB2">
              <w:rPr>
                <w:rFonts w:ascii="Cambria" w:hAnsi="Cambria"/>
                <w:sz w:val="24"/>
                <w:szCs w:val="24"/>
              </w:rPr>
              <w:t>35</w:t>
            </w:r>
          </w:p>
        </w:tc>
      </w:tr>
      <w:tr w:rsidR="00917858" w:rsidRPr="00EA1BB2" w14:paraId="367F10B1" w14:textId="77777777" w:rsidTr="00142278">
        <w:trPr>
          <w:trHeight w:val="188"/>
          <w:jc w:val="center"/>
        </w:trPr>
        <w:tc>
          <w:tcPr>
            <w:tcW w:w="988" w:type="dxa"/>
            <w:shd w:val="clear" w:color="auto" w:fill="auto"/>
            <w:noWrap/>
            <w:vAlign w:val="bottom"/>
          </w:tcPr>
          <w:p w14:paraId="3647BBFF" w14:textId="77777777" w:rsidR="00917858" w:rsidRPr="00EA1BB2" w:rsidRDefault="00917858" w:rsidP="00917858">
            <w:pPr>
              <w:spacing w:line="360" w:lineRule="auto"/>
              <w:jc w:val="center"/>
              <w:rPr>
                <w:rFonts w:ascii="Cambria" w:eastAsia="Times New Roman" w:hAnsi="Cambria" w:cs="Arial"/>
                <w:color w:val="000000"/>
                <w:sz w:val="24"/>
                <w:szCs w:val="24"/>
                <w:lang w:eastAsia="ro-RO"/>
              </w:rPr>
            </w:pPr>
            <w:r w:rsidRPr="00EA1BB2">
              <w:rPr>
                <w:rFonts w:ascii="Cambria" w:hAnsi="Cambria" w:cs="Calibri"/>
                <w:color w:val="000000"/>
                <w:sz w:val="24"/>
                <w:szCs w:val="24"/>
              </w:rPr>
              <w:t>CO</w:t>
            </w:r>
          </w:p>
        </w:tc>
        <w:tc>
          <w:tcPr>
            <w:tcW w:w="992" w:type="dxa"/>
            <w:shd w:val="clear" w:color="auto" w:fill="auto"/>
            <w:noWrap/>
          </w:tcPr>
          <w:p w14:paraId="790408C4" w14:textId="77777777" w:rsidR="00917858" w:rsidRPr="00EA1BB2" w:rsidRDefault="00917858" w:rsidP="00917858">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m</w:t>
            </w:r>
            <w:r w:rsidRPr="00EA1BB2">
              <w:rPr>
                <w:rFonts w:ascii="Cambria" w:eastAsia="Times New Roman" w:hAnsi="Cambria" w:cs="Calibri"/>
                <w:color w:val="000000"/>
                <w:sz w:val="24"/>
                <w:szCs w:val="24"/>
                <w:lang w:eastAsia="ro-RO"/>
              </w:rPr>
              <w:t>g/m</w:t>
            </w:r>
            <w:r w:rsidRPr="00EA1BB2">
              <w:rPr>
                <w:rFonts w:ascii="Cambria" w:eastAsia="Times New Roman" w:hAnsi="Cambria" w:cs="Calibri"/>
                <w:color w:val="000000"/>
                <w:sz w:val="24"/>
                <w:szCs w:val="24"/>
                <w:vertAlign w:val="superscript"/>
                <w:lang w:eastAsia="ro-RO"/>
              </w:rPr>
              <w:t>3</w:t>
            </w:r>
          </w:p>
        </w:tc>
        <w:tc>
          <w:tcPr>
            <w:tcW w:w="1474" w:type="dxa"/>
            <w:shd w:val="clear" w:color="auto" w:fill="auto"/>
          </w:tcPr>
          <w:p w14:paraId="2AD12CF5" w14:textId="77777777" w:rsidR="00917858" w:rsidRPr="00EA1BB2" w:rsidRDefault="00917858" w:rsidP="009A0935">
            <w:pPr>
              <w:spacing w:line="360" w:lineRule="auto"/>
              <w:jc w:val="center"/>
              <w:rPr>
                <w:rFonts w:ascii="Cambria" w:eastAsia="Times New Roman" w:hAnsi="Cambria" w:cs="Arial"/>
                <w:color w:val="000000"/>
                <w:sz w:val="24"/>
                <w:szCs w:val="24"/>
                <w:lang w:eastAsia="ro-RO"/>
              </w:rPr>
            </w:pPr>
            <w:r w:rsidRPr="00EA1BB2">
              <w:rPr>
                <w:rFonts w:ascii="Cambria" w:hAnsi="Cambria"/>
                <w:sz w:val="24"/>
                <w:szCs w:val="24"/>
              </w:rPr>
              <w:t>0</w:t>
            </w:r>
            <w:r w:rsidR="009A0935" w:rsidRPr="00EA1BB2">
              <w:rPr>
                <w:rFonts w:ascii="Cambria" w:hAnsi="Cambria"/>
                <w:sz w:val="24"/>
                <w:szCs w:val="24"/>
              </w:rPr>
              <w:t>,</w:t>
            </w:r>
            <w:r w:rsidRPr="00EA1BB2">
              <w:rPr>
                <w:rFonts w:ascii="Cambria" w:hAnsi="Cambria"/>
                <w:sz w:val="24"/>
                <w:szCs w:val="24"/>
              </w:rPr>
              <w:t>512</w:t>
            </w:r>
          </w:p>
        </w:tc>
        <w:tc>
          <w:tcPr>
            <w:tcW w:w="2211" w:type="dxa"/>
          </w:tcPr>
          <w:p w14:paraId="35B68042" w14:textId="77777777" w:rsidR="00917858" w:rsidRPr="00EA1BB2" w:rsidRDefault="00917858" w:rsidP="009A0935">
            <w:pPr>
              <w:spacing w:line="360" w:lineRule="auto"/>
              <w:jc w:val="center"/>
              <w:rPr>
                <w:rFonts w:ascii="Cambria" w:hAnsi="Cambria" w:cs="Calibri"/>
                <w:color w:val="000000"/>
                <w:sz w:val="24"/>
                <w:szCs w:val="24"/>
              </w:rPr>
            </w:pPr>
            <w:r w:rsidRPr="00EA1BB2">
              <w:rPr>
                <w:rFonts w:ascii="Cambria" w:hAnsi="Cambria"/>
                <w:sz w:val="24"/>
                <w:szCs w:val="24"/>
              </w:rPr>
              <w:t>0</w:t>
            </w:r>
            <w:r w:rsidR="009A0935" w:rsidRPr="00EA1BB2">
              <w:rPr>
                <w:rFonts w:ascii="Cambria" w:hAnsi="Cambria"/>
                <w:sz w:val="24"/>
                <w:szCs w:val="24"/>
              </w:rPr>
              <w:t>,</w:t>
            </w:r>
            <w:r w:rsidRPr="00EA1BB2">
              <w:rPr>
                <w:rFonts w:ascii="Cambria" w:hAnsi="Cambria"/>
                <w:sz w:val="24"/>
                <w:szCs w:val="24"/>
              </w:rPr>
              <w:t>017</w:t>
            </w:r>
          </w:p>
        </w:tc>
        <w:tc>
          <w:tcPr>
            <w:tcW w:w="1701" w:type="dxa"/>
          </w:tcPr>
          <w:p w14:paraId="356321DE" w14:textId="77777777" w:rsidR="00917858" w:rsidRPr="00EA1BB2" w:rsidRDefault="006B3A27" w:rsidP="00917858">
            <w:pPr>
              <w:spacing w:line="360" w:lineRule="auto"/>
              <w:jc w:val="center"/>
              <w:rPr>
                <w:rFonts w:ascii="Cambria" w:hAnsi="Cambria" w:cs="Calibri"/>
                <w:color w:val="000000"/>
                <w:sz w:val="24"/>
                <w:szCs w:val="24"/>
              </w:rPr>
            </w:pPr>
            <w:r w:rsidRPr="00EA1BB2">
              <w:rPr>
                <w:rFonts w:ascii="Cambria" w:hAnsi="Cambria" w:cs="Calibri"/>
                <w:color w:val="000000"/>
                <w:sz w:val="24"/>
                <w:szCs w:val="24"/>
              </w:rPr>
              <w:t>0</w:t>
            </w:r>
          </w:p>
        </w:tc>
        <w:tc>
          <w:tcPr>
            <w:tcW w:w="2041" w:type="dxa"/>
          </w:tcPr>
          <w:p w14:paraId="37171CD6" w14:textId="77777777" w:rsidR="00917858" w:rsidRPr="00EA1BB2" w:rsidRDefault="00917858" w:rsidP="009A0935">
            <w:pPr>
              <w:spacing w:line="360" w:lineRule="auto"/>
              <w:jc w:val="center"/>
              <w:rPr>
                <w:rFonts w:ascii="Cambria" w:hAnsi="Cambria" w:cs="Calibri"/>
                <w:color w:val="000000"/>
                <w:sz w:val="24"/>
                <w:szCs w:val="24"/>
              </w:rPr>
            </w:pPr>
            <w:r w:rsidRPr="00EA1BB2">
              <w:rPr>
                <w:rFonts w:ascii="Cambria" w:hAnsi="Cambria"/>
                <w:sz w:val="24"/>
                <w:szCs w:val="24"/>
              </w:rPr>
              <w:t>0</w:t>
            </w:r>
            <w:r w:rsidR="009A0935" w:rsidRPr="00EA1BB2">
              <w:rPr>
                <w:rFonts w:ascii="Cambria" w:hAnsi="Cambria"/>
                <w:sz w:val="24"/>
                <w:szCs w:val="24"/>
              </w:rPr>
              <w:t>,</w:t>
            </w:r>
            <w:r w:rsidRPr="00EA1BB2">
              <w:rPr>
                <w:rFonts w:ascii="Cambria" w:hAnsi="Cambria"/>
                <w:sz w:val="24"/>
                <w:szCs w:val="24"/>
              </w:rPr>
              <w:t>003</w:t>
            </w:r>
          </w:p>
        </w:tc>
        <w:tc>
          <w:tcPr>
            <w:tcW w:w="1985" w:type="dxa"/>
          </w:tcPr>
          <w:p w14:paraId="0CBA19C2" w14:textId="77777777" w:rsidR="00917858" w:rsidRPr="00EA1BB2" w:rsidRDefault="00917858" w:rsidP="009A0935">
            <w:pPr>
              <w:spacing w:line="360" w:lineRule="auto"/>
              <w:jc w:val="center"/>
              <w:rPr>
                <w:rFonts w:ascii="Cambria" w:hAnsi="Cambria" w:cs="Calibri"/>
                <w:color w:val="000000"/>
                <w:sz w:val="24"/>
                <w:szCs w:val="24"/>
              </w:rPr>
            </w:pPr>
            <w:r w:rsidRPr="00EA1BB2">
              <w:rPr>
                <w:rFonts w:ascii="Cambria" w:hAnsi="Cambria"/>
                <w:sz w:val="24"/>
                <w:szCs w:val="24"/>
              </w:rPr>
              <w:t>0</w:t>
            </w:r>
            <w:r w:rsidR="009A0935" w:rsidRPr="00EA1BB2">
              <w:rPr>
                <w:rFonts w:ascii="Cambria" w:hAnsi="Cambria"/>
                <w:sz w:val="24"/>
                <w:szCs w:val="24"/>
              </w:rPr>
              <w:t>,</w:t>
            </w:r>
            <w:r w:rsidRPr="00EA1BB2">
              <w:rPr>
                <w:rFonts w:ascii="Cambria" w:hAnsi="Cambria"/>
                <w:sz w:val="24"/>
                <w:szCs w:val="24"/>
              </w:rPr>
              <w:t>186</w:t>
            </w:r>
          </w:p>
        </w:tc>
        <w:tc>
          <w:tcPr>
            <w:tcW w:w="1984" w:type="dxa"/>
          </w:tcPr>
          <w:p w14:paraId="5A7ADD0D" w14:textId="77777777" w:rsidR="00917858" w:rsidRPr="00EA1BB2" w:rsidRDefault="00917858" w:rsidP="009A0935">
            <w:pPr>
              <w:spacing w:line="360" w:lineRule="auto"/>
              <w:jc w:val="center"/>
              <w:rPr>
                <w:rFonts w:ascii="Cambria" w:hAnsi="Cambria" w:cs="Calibri"/>
                <w:color w:val="000000"/>
                <w:sz w:val="24"/>
                <w:szCs w:val="24"/>
              </w:rPr>
            </w:pPr>
            <w:r w:rsidRPr="00EA1BB2">
              <w:rPr>
                <w:rFonts w:ascii="Cambria" w:hAnsi="Cambria"/>
                <w:sz w:val="24"/>
                <w:szCs w:val="24"/>
              </w:rPr>
              <w:t>0</w:t>
            </w:r>
            <w:r w:rsidR="009A0935" w:rsidRPr="00EA1BB2">
              <w:rPr>
                <w:rFonts w:ascii="Cambria" w:hAnsi="Cambria"/>
                <w:sz w:val="24"/>
                <w:szCs w:val="24"/>
              </w:rPr>
              <w:t>,</w:t>
            </w:r>
            <w:r w:rsidRPr="00EA1BB2">
              <w:rPr>
                <w:rFonts w:ascii="Cambria" w:hAnsi="Cambria"/>
                <w:sz w:val="24"/>
                <w:szCs w:val="24"/>
              </w:rPr>
              <w:t>306377</w:t>
            </w:r>
          </w:p>
        </w:tc>
      </w:tr>
      <w:tr w:rsidR="00917858" w:rsidRPr="00EA1BB2" w14:paraId="4D5D50F5" w14:textId="77777777" w:rsidTr="00142278">
        <w:trPr>
          <w:trHeight w:val="188"/>
          <w:jc w:val="center"/>
        </w:trPr>
        <w:tc>
          <w:tcPr>
            <w:tcW w:w="988" w:type="dxa"/>
            <w:shd w:val="clear" w:color="auto" w:fill="auto"/>
            <w:noWrap/>
            <w:vAlign w:val="bottom"/>
          </w:tcPr>
          <w:p w14:paraId="43B02F64" w14:textId="77777777" w:rsidR="00917858" w:rsidRPr="00EA1BB2" w:rsidRDefault="00917858" w:rsidP="00917858">
            <w:pPr>
              <w:spacing w:line="360" w:lineRule="auto"/>
              <w:jc w:val="center"/>
              <w:rPr>
                <w:rFonts w:ascii="Cambria" w:eastAsia="Times New Roman" w:hAnsi="Cambria" w:cs="Arial"/>
                <w:color w:val="000000"/>
                <w:sz w:val="24"/>
                <w:szCs w:val="24"/>
                <w:lang w:eastAsia="ro-RO"/>
              </w:rPr>
            </w:pPr>
            <w:r w:rsidRPr="00EA1BB2">
              <w:rPr>
                <w:rFonts w:ascii="Cambria" w:hAnsi="Cambria" w:cs="Calibri"/>
                <w:color w:val="000000"/>
                <w:sz w:val="24"/>
                <w:szCs w:val="24"/>
              </w:rPr>
              <w:t>C</w:t>
            </w:r>
            <w:r w:rsidRPr="00EA1BB2">
              <w:rPr>
                <w:rFonts w:ascii="Cambria" w:hAnsi="Cambria" w:cs="Calibri"/>
                <w:color w:val="000000"/>
                <w:sz w:val="24"/>
                <w:szCs w:val="24"/>
                <w:vertAlign w:val="subscript"/>
              </w:rPr>
              <w:t>6</w:t>
            </w:r>
            <w:r w:rsidRPr="00EA1BB2">
              <w:rPr>
                <w:rFonts w:ascii="Cambria" w:hAnsi="Cambria" w:cs="Calibri"/>
                <w:color w:val="000000"/>
                <w:sz w:val="24"/>
                <w:szCs w:val="24"/>
              </w:rPr>
              <w:t>H</w:t>
            </w:r>
            <w:r w:rsidRPr="00EA1BB2">
              <w:rPr>
                <w:rFonts w:ascii="Cambria" w:hAnsi="Cambria" w:cs="Calibri"/>
                <w:color w:val="000000"/>
                <w:sz w:val="24"/>
                <w:szCs w:val="24"/>
                <w:vertAlign w:val="subscript"/>
              </w:rPr>
              <w:t>6</w:t>
            </w:r>
          </w:p>
        </w:tc>
        <w:tc>
          <w:tcPr>
            <w:tcW w:w="992" w:type="dxa"/>
            <w:shd w:val="clear" w:color="auto" w:fill="auto"/>
            <w:noWrap/>
          </w:tcPr>
          <w:p w14:paraId="5916E80B" w14:textId="77777777" w:rsidR="00917858" w:rsidRPr="00EA1BB2" w:rsidRDefault="00917858" w:rsidP="00917858">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µ</w:t>
            </w:r>
            <w:r w:rsidRPr="00EA1BB2">
              <w:rPr>
                <w:rFonts w:ascii="Cambria" w:eastAsia="Times New Roman" w:hAnsi="Cambria" w:cs="Calibri"/>
                <w:color w:val="000000"/>
                <w:sz w:val="24"/>
                <w:szCs w:val="24"/>
                <w:lang w:eastAsia="ro-RO"/>
              </w:rPr>
              <w:t>g/m</w:t>
            </w:r>
            <w:r w:rsidRPr="00EA1BB2">
              <w:rPr>
                <w:rFonts w:ascii="Cambria" w:eastAsia="Times New Roman" w:hAnsi="Cambria" w:cs="Calibri"/>
                <w:color w:val="000000"/>
                <w:sz w:val="24"/>
                <w:szCs w:val="24"/>
                <w:vertAlign w:val="superscript"/>
                <w:lang w:eastAsia="ro-RO"/>
              </w:rPr>
              <w:t>3</w:t>
            </w:r>
          </w:p>
        </w:tc>
        <w:tc>
          <w:tcPr>
            <w:tcW w:w="1474" w:type="dxa"/>
            <w:shd w:val="clear" w:color="auto" w:fill="auto"/>
          </w:tcPr>
          <w:p w14:paraId="5ED0CA3B" w14:textId="77777777" w:rsidR="00917858" w:rsidRPr="00EA1BB2" w:rsidRDefault="00FC261F" w:rsidP="00917858">
            <w:pPr>
              <w:spacing w:line="360" w:lineRule="auto"/>
              <w:jc w:val="center"/>
              <w:rPr>
                <w:rFonts w:ascii="Cambria" w:eastAsia="Times New Roman" w:hAnsi="Cambria" w:cs="Arial"/>
                <w:color w:val="000000"/>
                <w:sz w:val="24"/>
                <w:szCs w:val="24"/>
                <w:lang w:eastAsia="ro-RO"/>
              </w:rPr>
            </w:pPr>
            <w:r w:rsidRPr="00EA1BB2">
              <w:rPr>
                <w:rFonts w:ascii="Cambria" w:hAnsi="Cambria"/>
                <w:sz w:val="24"/>
                <w:szCs w:val="24"/>
              </w:rPr>
              <w:t>1,284</w:t>
            </w:r>
          </w:p>
        </w:tc>
        <w:tc>
          <w:tcPr>
            <w:tcW w:w="2211" w:type="dxa"/>
          </w:tcPr>
          <w:p w14:paraId="0AEB2A47" w14:textId="77777777" w:rsidR="00917858" w:rsidRPr="00EA1BB2" w:rsidRDefault="006B3A27" w:rsidP="00917858">
            <w:pPr>
              <w:spacing w:line="360" w:lineRule="auto"/>
              <w:jc w:val="center"/>
              <w:rPr>
                <w:rFonts w:ascii="Cambria" w:hAnsi="Cambria" w:cs="Calibri"/>
                <w:color w:val="000000"/>
                <w:sz w:val="24"/>
                <w:szCs w:val="24"/>
              </w:rPr>
            </w:pPr>
            <w:r w:rsidRPr="00EA1BB2">
              <w:rPr>
                <w:rFonts w:ascii="Cambria" w:hAnsi="Cambria" w:cs="Calibri"/>
                <w:color w:val="000000"/>
                <w:sz w:val="24"/>
                <w:szCs w:val="24"/>
              </w:rPr>
              <w:t>0</w:t>
            </w:r>
          </w:p>
        </w:tc>
        <w:tc>
          <w:tcPr>
            <w:tcW w:w="1701" w:type="dxa"/>
          </w:tcPr>
          <w:p w14:paraId="7AC1AE65" w14:textId="77777777" w:rsidR="00917858" w:rsidRPr="00EA1BB2" w:rsidRDefault="006B3A27" w:rsidP="00917858">
            <w:pPr>
              <w:spacing w:line="360" w:lineRule="auto"/>
              <w:jc w:val="center"/>
              <w:rPr>
                <w:rFonts w:ascii="Cambria" w:hAnsi="Cambria" w:cs="Calibri"/>
                <w:color w:val="000000"/>
                <w:sz w:val="24"/>
                <w:szCs w:val="24"/>
              </w:rPr>
            </w:pPr>
            <w:r w:rsidRPr="00EA1BB2">
              <w:rPr>
                <w:rFonts w:ascii="Cambria" w:hAnsi="Cambria" w:cs="Calibri"/>
                <w:color w:val="000000"/>
                <w:sz w:val="24"/>
                <w:szCs w:val="24"/>
              </w:rPr>
              <w:t>0</w:t>
            </w:r>
          </w:p>
        </w:tc>
        <w:tc>
          <w:tcPr>
            <w:tcW w:w="2041" w:type="dxa"/>
          </w:tcPr>
          <w:p w14:paraId="734C5944" w14:textId="77777777" w:rsidR="00917858" w:rsidRPr="00EA1BB2" w:rsidRDefault="006B3A27" w:rsidP="00917858">
            <w:pPr>
              <w:spacing w:line="360" w:lineRule="auto"/>
              <w:jc w:val="center"/>
              <w:rPr>
                <w:rFonts w:ascii="Cambria" w:hAnsi="Cambria" w:cs="Calibri"/>
                <w:color w:val="000000"/>
                <w:sz w:val="24"/>
                <w:szCs w:val="24"/>
              </w:rPr>
            </w:pPr>
            <w:r w:rsidRPr="00EA1BB2">
              <w:rPr>
                <w:rFonts w:ascii="Cambria" w:hAnsi="Cambria" w:cs="Calibri"/>
                <w:color w:val="000000"/>
                <w:sz w:val="24"/>
                <w:szCs w:val="24"/>
              </w:rPr>
              <w:t>0</w:t>
            </w:r>
          </w:p>
        </w:tc>
        <w:tc>
          <w:tcPr>
            <w:tcW w:w="1985" w:type="dxa"/>
          </w:tcPr>
          <w:p w14:paraId="53097A37" w14:textId="77777777" w:rsidR="00917858" w:rsidRPr="00EA1BB2" w:rsidRDefault="00FC261F" w:rsidP="00917858">
            <w:pPr>
              <w:spacing w:line="360" w:lineRule="auto"/>
              <w:jc w:val="center"/>
              <w:rPr>
                <w:rFonts w:ascii="Cambria" w:hAnsi="Cambria" w:cs="Calibri"/>
                <w:color w:val="000000"/>
                <w:sz w:val="24"/>
                <w:szCs w:val="24"/>
              </w:rPr>
            </w:pPr>
            <w:r w:rsidRPr="00EA1BB2">
              <w:rPr>
                <w:rFonts w:ascii="Cambria" w:hAnsi="Cambria" w:cs="Calibri"/>
                <w:color w:val="000000"/>
                <w:sz w:val="24"/>
                <w:szCs w:val="24"/>
              </w:rPr>
              <w:t>0,952</w:t>
            </w:r>
          </w:p>
        </w:tc>
        <w:tc>
          <w:tcPr>
            <w:tcW w:w="1984" w:type="dxa"/>
          </w:tcPr>
          <w:p w14:paraId="2DA27B34" w14:textId="77777777" w:rsidR="00917858" w:rsidRPr="00EA1BB2" w:rsidRDefault="00917858" w:rsidP="009A0935">
            <w:pPr>
              <w:spacing w:line="360" w:lineRule="auto"/>
              <w:jc w:val="center"/>
              <w:rPr>
                <w:rFonts w:ascii="Cambria" w:hAnsi="Cambria" w:cs="Calibri"/>
                <w:color w:val="000000"/>
                <w:sz w:val="24"/>
                <w:szCs w:val="24"/>
              </w:rPr>
            </w:pPr>
            <w:r w:rsidRPr="00EA1BB2">
              <w:rPr>
                <w:rFonts w:ascii="Cambria" w:hAnsi="Cambria"/>
                <w:sz w:val="24"/>
                <w:szCs w:val="24"/>
              </w:rPr>
              <w:t>0</w:t>
            </w:r>
            <w:r w:rsidR="009A0935" w:rsidRPr="00EA1BB2">
              <w:rPr>
                <w:rFonts w:ascii="Cambria" w:hAnsi="Cambria"/>
                <w:sz w:val="24"/>
                <w:szCs w:val="24"/>
              </w:rPr>
              <w:t>,</w:t>
            </w:r>
            <w:r w:rsidRPr="00EA1BB2">
              <w:rPr>
                <w:rFonts w:ascii="Cambria" w:hAnsi="Cambria"/>
                <w:sz w:val="24"/>
                <w:szCs w:val="24"/>
              </w:rPr>
              <w:t>332</w:t>
            </w:r>
          </w:p>
        </w:tc>
      </w:tr>
      <w:tr w:rsidR="00917858" w:rsidRPr="00EA1BB2" w14:paraId="37EBB18B" w14:textId="77777777" w:rsidTr="00142278">
        <w:trPr>
          <w:trHeight w:val="188"/>
          <w:jc w:val="center"/>
        </w:trPr>
        <w:tc>
          <w:tcPr>
            <w:tcW w:w="988" w:type="dxa"/>
            <w:shd w:val="clear" w:color="auto" w:fill="auto"/>
            <w:noWrap/>
            <w:vAlign w:val="bottom"/>
          </w:tcPr>
          <w:p w14:paraId="0FF7A365" w14:textId="77777777" w:rsidR="00917858" w:rsidRPr="00EA1BB2" w:rsidRDefault="00917858" w:rsidP="00917858">
            <w:pPr>
              <w:spacing w:line="360" w:lineRule="auto"/>
              <w:jc w:val="center"/>
              <w:rPr>
                <w:rFonts w:ascii="Cambria" w:eastAsia="Times New Roman" w:hAnsi="Cambria" w:cs="Arial"/>
                <w:color w:val="000000"/>
                <w:sz w:val="24"/>
                <w:szCs w:val="24"/>
                <w:lang w:eastAsia="ro-RO"/>
              </w:rPr>
            </w:pPr>
            <w:r w:rsidRPr="00EA1BB2">
              <w:rPr>
                <w:rFonts w:ascii="Cambria" w:hAnsi="Cambria" w:cs="Calibri"/>
                <w:color w:val="000000"/>
                <w:sz w:val="24"/>
                <w:szCs w:val="24"/>
              </w:rPr>
              <w:t>PM</w:t>
            </w:r>
            <w:r w:rsidRPr="00EA1BB2">
              <w:rPr>
                <w:rFonts w:ascii="Cambria" w:hAnsi="Cambria" w:cs="Calibri"/>
                <w:color w:val="000000"/>
                <w:sz w:val="24"/>
                <w:szCs w:val="24"/>
                <w:vertAlign w:val="subscript"/>
              </w:rPr>
              <w:t>10</w:t>
            </w:r>
          </w:p>
        </w:tc>
        <w:tc>
          <w:tcPr>
            <w:tcW w:w="992" w:type="dxa"/>
            <w:shd w:val="clear" w:color="auto" w:fill="auto"/>
            <w:noWrap/>
          </w:tcPr>
          <w:p w14:paraId="2A440BBF" w14:textId="77777777" w:rsidR="00917858" w:rsidRPr="00EA1BB2" w:rsidRDefault="00917858" w:rsidP="00917858">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µ</w:t>
            </w:r>
            <w:r w:rsidRPr="00EA1BB2">
              <w:rPr>
                <w:rFonts w:ascii="Cambria" w:eastAsia="Times New Roman" w:hAnsi="Cambria" w:cs="Calibri"/>
                <w:color w:val="000000"/>
                <w:sz w:val="24"/>
                <w:szCs w:val="24"/>
                <w:lang w:eastAsia="ro-RO"/>
              </w:rPr>
              <w:t>g/m</w:t>
            </w:r>
            <w:r w:rsidRPr="00EA1BB2">
              <w:rPr>
                <w:rFonts w:ascii="Cambria" w:eastAsia="Times New Roman" w:hAnsi="Cambria" w:cs="Calibri"/>
                <w:color w:val="000000"/>
                <w:sz w:val="24"/>
                <w:szCs w:val="24"/>
                <w:vertAlign w:val="superscript"/>
                <w:lang w:eastAsia="ro-RO"/>
              </w:rPr>
              <w:t>3</w:t>
            </w:r>
          </w:p>
        </w:tc>
        <w:tc>
          <w:tcPr>
            <w:tcW w:w="1474" w:type="dxa"/>
            <w:shd w:val="clear" w:color="auto" w:fill="auto"/>
          </w:tcPr>
          <w:p w14:paraId="0F835EC1" w14:textId="77777777" w:rsidR="00917858" w:rsidRPr="00EA1BB2" w:rsidRDefault="00917858" w:rsidP="009A0935">
            <w:pPr>
              <w:spacing w:line="360" w:lineRule="auto"/>
              <w:jc w:val="center"/>
              <w:rPr>
                <w:rFonts w:ascii="Cambria" w:eastAsia="Times New Roman" w:hAnsi="Cambria" w:cs="Arial"/>
                <w:color w:val="000000"/>
                <w:sz w:val="24"/>
                <w:szCs w:val="24"/>
                <w:lang w:eastAsia="ro-RO"/>
              </w:rPr>
            </w:pPr>
            <w:r w:rsidRPr="00EA1BB2">
              <w:rPr>
                <w:rFonts w:ascii="Cambria" w:hAnsi="Cambria"/>
                <w:sz w:val="24"/>
                <w:szCs w:val="24"/>
              </w:rPr>
              <w:t>20</w:t>
            </w:r>
            <w:r w:rsidR="009A0935" w:rsidRPr="00EA1BB2">
              <w:rPr>
                <w:rFonts w:ascii="Cambria" w:hAnsi="Cambria"/>
                <w:sz w:val="24"/>
                <w:szCs w:val="24"/>
              </w:rPr>
              <w:t>,</w:t>
            </w:r>
            <w:r w:rsidRPr="00EA1BB2">
              <w:rPr>
                <w:rFonts w:ascii="Cambria" w:hAnsi="Cambria"/>
                <w:sz w:val="24"/>
                <w:szCs w:val="24"/>
              </w:rPr>
              <w:t>685</w:t>
            </w:r>
          </w:p>
        </w:tc>
        <w:tc>
          <w:tcPr>
            <w:tcW w:w="2211" w:type="dxa"/>
          </w:tcPr>
          <w:p w14:paraId="3DD6C6B7" w14:textId="77777777" w:rsidR="00917858" w:rsidRPr="00EA1BB2" w:rsidRDefault="00917858" w:rsidP="009A0935">
            <w:pPr>
              <w:spacing w:line="360" w:lineRule="auto"/>
              <w:jc w:val="center"/>
              <w:rPr>
                <w:rFonts w:ascii="Cambria" w:hAnsi="Cambria"/>
                <w:sz w:val="24"/>
                <w:szCs w:val="24"/>
              </w:rPr>
            </w:pPr>
            <w:r w:rsidRPr="00EA1BB2">
              <w:rPr>
                <w:rFonts w:ascii="Cambria" w:hAnsi="Cambria"/>
                <w:sz w:val="24"/>
                <w:szCs w:val="24"/>
              </w:rPr>
              <w:t>0</w:t>
            </w:r>
            <w:r w:rsidR="009A0935" w:rsidRPr="00EA1BB2">
              <w:rPr>
                <w:rFonts w:ascii="Cambria" w:hAnsi="Cambria"/>
                <w:sz w:val="24"/>
                <w:szCs w:val="24"/>
              </w:rPr>
              <w:t>,</w:t>
            </w:r>
            <w:r w:rsidRPr="00EA1BB2">
              <w:rPr>
                <w:rFonts w:ascii="Cambria" w:hAnsi="Cambria"/>
                <w:sz w:val="24"/>
                <w:szCs w:val="24"/>
              </w:rPr>
              <w:t>379</w:t>
            </w:r>
          </w:p>
        </w:tc>
        <w:tc>
          <w:tcPr>
            <w:tcW w:w="1701" w:type="dxa"/>
          </w:tcPr>
          <w:p w14:paraId="73922196" w14:textId="77777777" w:rsidR="00917858" w:rsidRPr="00EA1BB2" w:rsidRDefault="00917858" w:rsidP="009A0935">
            <w:pPr>
              <w:spacing w:line="360" w:lineRule="auto"/>
              <w:jc w:val="center"/>
              <w:rPr>
                <w:rFonts w:ascii="Cambria" w:hAnsi="Cambria" w:cs="Calibri"/>
                <w:color w:val="000000"/>
                <w:sz w:val="24"/>
                <w:szCs w:val="24"/>
              </w:rPr>
            </w:pPr>
            <w:r w:rsidRPr="00EA1BB2">
              <w:rPr>
                <w:rFonts w:ascii="Cambria" w:hAnsi="Cambria"/>
                <w:sz w:val="24"/>
                <w:szCs w:val="24"/>
              </w:rPr>
              <w:t>0</w:t>
            </w:r>
            <w:r w:rsidR="009A0935" w:rsidRPr="00EA1BB2">
              <w:rPr>
                <w:rFonts w:ascii="Cambria" w:hAnsi="Cambria"/>
                <w:sz w:val="24"/>
                <w:szCs w:val="24"/>
              </w:rPr>
              <w:t>,</w:t>
            </w:r>
            <w:r w:rsidRPr="00EA1BB2">
              <w:rPr>
                <w:rFonts w:ascii="Cambria" w:hAnsi="Cambria"/>
                <w:sz w:val="24"/>
                <w:szCs w:val="24"/>
              </w:rPr>
              <w:t>003</w:t>
            </w:r>
          </w:p>
        </w:tc>
        <w:tc>
          <w:tcPr>
            <w:tcW w:w="2041" w:type="dxa"/>
          </w:tcPr>
          <w:p w14:paraId="481F5FCB" w14:textId="77777777" w:rsidR="00917858" w:rsidRPr="00EA1BB2" w:rsidRDefault="00917858" w:rsidP="009A0935">
            <w:pPr>
              <w:spacing w:line="360" w:lineRule="auto"/>
              <w:jc w:val="center"/>
              <w:rPr>
                <w:rFonts w:ascii="Cambria" w:hAnsi="Cambria" w:cs="Calibri"/>
                <w:color w:val="000000"/>
                <w:sz w:val="24"/>
                <w:szCs w:val="24"/>
              </w:rPr>
            </w:pPr>
            <w:r w:rsidRPr="00EA1BB2">
              <w:rPr>
                <w:rFonts w:ascii="Cambria" w:hAnsi="Cambria"/>
                <w:sz w:val="24"/>
                <w:szCs w:val="24"/>
              </w:rPr>
              <w:t>0</w:t>
            </w:r>
            <w:r w:rsidR="009A0935" w:rsidRPr="00EA1BB2">
              <w:rPr>
                <w:rFonts w:ascii="Cambria" w:hAnsi="Cambria"/>
                <w:sz w:val="24"/>
                <w:szCs w:val="24"/>
              </w:rPr>
              <w:t>,</w:t>
            </w:r>
            <w:r w:rsidRPr="00EA1BB2">
              <w:rPr>
                <w:rFonts w:ascii="Cambria" w:hAnsi="Cambria"/>
                <w:sz w:val="24"/>
                <w:szCs w:val="24"/>
              </w:rPr>
              <w:t>005</w:t>
            </w:r>
          </w:p>
        </w:tc>
        <w:tc>
          <w:tcPr>
            <w:tcW w:w="1985" w:type="dxa"/>
          </w:tcPr>
          <w:p w14:paraId="76AAC296" w14:textId="77777777" w:rsidR="00917858" w:rsidRPr="00EA1BB2" w:rsidRDefault="00917858" w:rsidP="009A0935">
            <w:pPr>
              <w:spacing w:line="360" w:lineRule="auto"/>
              <w:jc w:val="center"/>
              <w:rPr>
                <w:rFonts w:ascii="Cambria" w:hAnsi="Cambria" w:cs="Calibri"/>
                <w:color w:val="000000"/>
                <w:sz w:val="24"/>
                <w:szCs w:val="24"/>
              </w:rPr>
            </w:pPr>
            <w:r w:rsidRPr="00EA1BB2">
              <w:rPr>
                <w:rFonts w:ascii="Cambria" w:hAnsi="Cambria"/>
                <w:sz w:val="24"/>
                <w:szCs w:val="24"/>
              </w:rPr>
              <w:t>0</w:t>
            </w:r>
            <w:r w:rsidR="009A0935" w:rsidRPr="00EA1BB2">
              <w:rPr>
                <w:rFonts w:ascii="Cambria" w:hAnsi="Cambria"/>
                <w:sz w:val="24"/>
                <w:szCs w:val="24"/>
              </w:rPr>
              <w:t>,</w:t>
            </w:r>
            <w:r w:rsidRPr="00EA1BB2">
              <w:rPr>
                <w:rFonts w:ascii="Cambria" w:hAnsi="Cambria"/>
                <w:sz w:val="24"/>
                <w:szCs w:val="24"/>
              </w:rPr>
              <w:t>271</w:t>
            </w:r>
          </w:p>
        </w:tc>
        <w:tc>
          <w:tcPr>
            <w:tcW w:w="1984" w:type="dxa"/>
          </w:tcPr>
          <w:p w14:paraId="0FF7FE83" w14:textId="77777777" w:rsidR="00917858" w:rsidRPr="00EA1BB2" w:rsidRDefault="00917858" w:rsidP="009A0935">
            <w:pPr>
              <w:spacing w:line="360" w:lineRule="auto"/>
              <w:jc w:val="center"/>
              <w:rPr>
                <w:rFonts w:ascii="Cambria" w:hAnsi="Cambria" w:cs="Calibri"/>
                <w:color w:val="000000"/>
                <w:sz w:val="24"/>
                <w:szCs w:val="24"/>
              </w:rPr>
            </w:pPr>
            <w:r w:rsidRPr="00EA1BB2">
              <w:rPr>
                <w:rFonts w:ascii="Cambria" w:hAnsi="Cambria"/>
                <w:sz w:val="24"/>
                <w:szCs w:val="24"/>
              </w:rPr>
              <w:t>20</w:t>
            </w:r>
            <w:r w:rsidR="009A0935" w:rsidRPr="00EA1BB2">
              <w:rPr>
                <w:rFonts w:ascii="Cambria" w:hAnsi="Cambria"/>
                <w:sz w:val="24"/>
                <w:szCs w:val="24"/>
              </w:rPr>
              <w:t>,</w:t>
            </w:r>
            <w:r w:rsidRPr="00EA1BB2">
              <w:rPr>
                <w:rFonts w:ascii="Cambria" w:hAnsi="Cambria"/>
                <w:sz w:val="24"/>
                <w:szCs w:val="24"/>
              </w:rPr>
              <w:t>027</w:t>
            </w:r>
          </w:p>
        </w:tc>
      </w:tr>
      <w:tr w:rsidR="00917858" w:rsidRPr="00EA1BB2" w14:paraId="2BEA99F8" w14:textId="77777777" w:rsidTr="00142278">
        <w:trPr>
          <w:trHeight w:val="188"/>
          <w:jc w:val="center"/>
        </w:trPr>
        <w:tc>
          <w:tcPr>
            <w:tcW w:w="988" w:type="dxa"/>
            <w:shd w:val="clear" w:color="auto" w:fill="auto"/>
            <w:noWrap/>
            <w:vAlign w:val="bottom"/>
          </w:tcPr>
          <w:p w14:paraId="6807060C" w14:textId="77777777" w:rsidR="00917858" w:rsidRPr="00EA1BB2" w:rsidRDefault="00917858" w:rsidP="00917858">
            <w:pPr>
              <w:spacing w:line="360" w:lineRule="auto"/>
              <w:jc w:val="center"/>
              <w:rPr>
                <w:rFonts w:ascii="Cambria" w:eastAsia="Times New Roman" w:hAnsi="Cambria" w:cs="Arial"/>
                <w:color w:val="000000"/>
                <w:sz w:val="24"/>
                <w:szCs w:val="24"/>
                <w:lang w:eastAsia="ro-RO"/>
              </w:rPr>
            </w:pPr>
            <w:r w:rsidRPr="00EA1BB2">
              <w:rPr>
                <w:rFonts w:ascii="Cambria" w:hAnsi="Cambria" w:cs="Calibri"/>
                <w:color w:val="000000"/>
                <w:sz w:val="24"/>
                <w:szCs w:val="24"/>
              </w:rPr>
              <w:t>PM</w:t>
            </w:r>
            <w:r w:rsidRPr="00EA1BB2">
              <w:rPr>
                <w:rFonts w:ascii="Cambria" w:hAnsi="Cambria" w:cs="Calibri"/>
                <w:color w:val="000000"/>
                <w:sz w:val="24"/>
                <w:szCs w:val="24"/>
                <w:vertAlign w:val="subscript"/>
              </w:rPr>
              <w:t>2,5</w:t>
            </w:r>
          </w:p>
        </w:tc>
        <w:tc>
          <w:tcPr>
            <w:tcW w:w="992" w:type="dxa"/>
            <w:shd w:val="clear" w:color="auto" w:fill="auto"/>
            <w:noWrap/>
          </w:tcPr>
          <w:p w14:paraId="707FF16B" w14:textId="77777777" w:rsidR="00917858" w:rsidRPr="00EA1BB2" w:rsidRDefault="00917858" w:rsidP="00917858">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µ</w:t>
            </w:r>
            <w:r w:rsidRPr="00EA1BB2">
              <w:rPr>
                <w:rFonts w:ascii="Cambria" w:eastAsia="Times New Roman" w:hAnsi="Cambria" w:cs="Calibri"/>
                <w:color w:val="000000"/>
                <w:sz w:val="24"/>
                <w:szCs w:val="24"/>
                <w:lang w:eastAsia="ro-RO"/>
              </w:rPr>
              <w:t>g/m</w:t>
            </w:r>
            <w:r w:rsidRPr="00EA1BB2">
              <w:rPr>
                <w:rFonts w:ascii="Cambria" w:eastAsia="Times New Roman" w:hAnsi="Cambria" w:cs="Calibri"/>
                <w:color w:val="000000"/>
                <w:sz w:val="24"/>
                <w:szCs w:val="24"/>
                <w:vertAlign w:val="superscript"/>
                <w:lang w:eastAsia="ro-RO"/>
              </w:rPr>
              <w:t>3</w:t>
            </w:r>
          </w:p>
        </w:tc>
        <w:tc>
          <w:tcPr>
            <w:tcW w:w="1474" w:type="dxa"/>
            <w:shd w:val="clear" w:color="auto" w:fill="auto"/>
          </w:tcPr>
          <w:p w14:paraId="775D87C2" w14:textId="77777777" w:rsidR="00917858" w:rsidRPr="00EA1BB2" w:rsidRDefault="00917858" w:rsidP="009A0935">
            <w:pPr>
              <w:spacing w:line="360" w:lineRule="auto"/>
              <w:jc w:val="center"/>
              <w:rPr>
                <w:rFonts w:ascii="Cambria" w:eastAsia="Times New Roman" w:hAnsi="Cambria" w:cs="Arial"/>
                <w:color w:val="000000"/>
                <w:sz w:val="24"/>
                <w:szCs w:val="24"/>
                <w:lang w:eastAsia="ro-RO"/>
              </w:rPr>
            </w:pPr>
            <w:r w:rsidRPr="00EA1BB2">
              <w:rPr>
                <w:rFonts w:ascii="Cambria" w:hAnsi="Cambria"/>
                <w:sz w:val="24"/>
                <w:szCs w:val="24"/>
              </w:rPr>
              <w:t>16</w:t>
            </w:r>
            <w:r w:rsidR="009A0935" w:rsidRPr="00EA1BB2">
              <w:rPr>
                <w:rFonts w:ascii="Cambria" w:hAnsi="Cambria"/>
                <w:sz w:val="24"/>
                <w:szCs w:val="24"/>
              </w:rPr>
              <w:t>,</w:t>
            </w:r>
            <w:r w:rsidRPr="00EA1BB2">
              <w:rPr>
                <w:rFonts w:ascii="Cambria" w:hAnsi="Cambria"/>
                <w:sz w:val="24"/>
                <w:szCs w:val="24"/>
              </w:rPr>
              <w:t>531</w:t>
            </w:r>
          </w:p>
        </w:tc>
        <w:tc>
          <w:tcPr>
            <w:tcW w:w="2211" w:type="dxa"/>
          </w:tcPr>
          <w:p w14:paraId="5A2E2146" w14:textId="77777777" w:rsidR="00917858" w:rsidRPr="00EA1BB2" w:rsidRDefault="00917858" w:rsidP="009A0935">
            <w:pPr>
              <w:spacing w:line="360" w:lineRule="auto"/>
              <w:jc w:val="center"/>
              <w:rPr>
                <w:rFonts w:ascii="Cambria" w:hAnsi="Cambria"/>
                <w:sz w:val="24"/>
                <w:szCs w:val="24"/>
              </w:rPr>
            </w:pPr>
            <w:r w:rsidRPr="00EA1BB2">
              <w:rPr>
                <w:rFonts w:ascii="Cambria" w:hAnsi="Cambria"/>
                <w:sz w:val="24"/>
                <w:szCs w:val="24"/>
              </w:rPr>
              <w:t>0</w:t>
            </w:r>
            <w:r w:rsidR="009A0935" w:rsidRPr="00EA1BB2">
              <w:rPr>
                <w:rFonts w:ascii="Cambria" w:hAnsi="Cambria"/>
                <w:sz w:val="24"/>
                <w:szCs w:val="24"/>
              </w:rPr>
              <w:t>,</w:t>
            </w:r>
            <w:r w:rsidRPr="00EA1BB2">
              <w:rPr>
                <w:rFonts w:ascii="Cambria" w:hAnsi="Cambria"/>
                <w:sz w:val="24"/>
                <w:szCs w:val="24"/>
              </w:rPr>
              <w:t>08</w:t>
            </w:r>
          </w:p>
        </w:tc>
        <w:tc>
          <w:tcPr>
            <w:tcW w:w="1701" w:type="dxa"/>
          </w:tcPr>
          <w:p w14:paraId="36BF67C0" w14:textId="77777777" w:rsidR="00917858" w:rsidRPr="00EA1BB2" w:rsidRDefault="00917858" w:rsidP="009A0935">
            <w:pPr>
              <w:spacing w:line="360" w:lineRule="auto"/>
              <w:jc w:val="center"/>
              <w:rPr>
                <w:rFonts w:ascii="Cambria" w:hAnsi="Cambria" w:cs="Calibri"/>
                <w:color w:val="000000"/>
                <w:sz w:val="24"/>
                <w:szCs w:val="24"/>
              </w:rPr>
            </w:pPr>
            <w:r w:rsidRPr="00EA1BB2">
              <w:rPr>
                <w:rFonts w:ascii="Cambria" w:hAnsi="Cambria"/>
                <w:sz w:val="24"/>
                <w:szCs w:val="24"/>
              </w:rPr>
              <w:t>0</w:t>
            </w:r>
            <w:r w:rsidR="009A0935" w:rsidRPr="00EA1BB2">
              <w:rPr>
                <w:rFonts w:ascii="Cambria" w:hAnsi="Cambria"/>
                <w:sz w:val="24"/>
                <w:szCs w:val="24"/>
              </w:rPr>
              <w:t>,</w:t>
            </w:r>
            <w:r w:rsidRPr="00EA1BB2">
              <w:rPr>
                <w:rFonts w:ascii="Cambria" w:hAnsi="Cambria"/>
                <w:sz w:val="24"/>
                <w:szCs w:val="24"/>
              </w:rPr>
              <w:t>001</w:t>
            </w:r>
          </w:p>
        </w:tc>
        <w:tc>
          <w:tcPr>
            <w:tcW w:w="2041" w:type="dxa"/>
          </w:tcPr>
          <w:p w14:paraId="67FC0B1D" w14:textId="77777777" w:rsidR="00917858" w:rsidRPr="00EA1BB2" w:rsidRDefault="00917858" w:rsidP="009A0935">
            <w:pPr>
              <w:spacing w:line="360" w:lineRule="auto"/>
              <w:jc w:val="center"/>
              <w:rPr>
                <w:rFonts w:ascii="Cambria" w:hAnsi="Cambria" w:cs="Calibri"/>
                <w:color w:val="000000"/>
                <w:sz w:val="24"/>
                <w:szCs w:val="24"/>
              </w:rPr>
            </w:pPr>
            <w:r w:rsidRPr="00EA1BB2">
              <w:rPr>
                <w:rFonts w:ascii="Cambria" w:hAnsi="Cambria"/>
                <w:sz w:val="24"/>
                <w:szCs w:val="24"/>
              </w:rPr>
              <w:t>0</w:t>
            </w:r>
            <w:r w:rsidR="009A0935" w:rsidRPr="00EA1BB2">
              <w:rPr>
                <w:rFonts w:ascii="Cambria" w:hAnsi="Cambria"/>
                <w:sz w:val="24"/>
                <w:szCs w:val="24"/>
              </w:rPr>
              <w:t>,</w:t>
            </w:r>
            <w:r w:rsidRPr="00EA1BB2">
              <w:rPr>
                <w:rFonts w:ascii="Cambria" w:hAnsi="Cambria"/>
                <w:sz w:val="24"/>
                <w:szCs w:val="24"/>
              </w:rPr>
              <w:t>001</w:t>
            </w:r>
          </w:p>
        </w:tc>
        <w:tc>
          <w:tcPr>
            <w:tcW w:w="1985" w:type="dxa"/>
          </w:tcPr>
          <w:p w14:paraId="4B43339F" w14:textId="77777777" w:rsidR="00917858" w:rsidRPr="00EA1BB2" w:rsidRDefault="00917858" w:rsidP="009A0935">
            <w:pPr>
              <w:spacing w:line="360" w:lineRule="auto"/>
              <w:jc w:val="center"/>
              <w:rPr>
                <w:rFonts w:ascii="Cambria" w:hAnsi="Cambria" w:cs="Calibri"/>
                <w:color w:val="000000"/>
                <w:sz w:val="24"/>
                <w:szCs w:val="24"/>
              </w:rPr>
            </w:pPr>
            <w:r w:rsidRPr="00EA1BB2">
              <w:rPr>
                <w:rFonts w:ascii="Cambria" w:hAnsi="Cambria"/>
                <w:sz w:val="24"/>
                <w:szCs w:val="24"/>
              </w:rPr>
              <w:t>0</w:t>
            </w:r>
            <w:r w:rsidR="009A0935" w:rsidRPr="00EA1BB2">
              <w:rPr>
                <w:rFonts w:ascii="Cambria" w:hAnsi="Cambria"/>
                <w:sz w:val="24"/>
                <w:szCs w:val="24"/>
              </w:rPr>
              <w:t>,</w:t>
            </w:r>
            <w:r w:rsidRPr="00EA1BB2">
              <w:rPr>
                <w:rFonts w:ascii="Cambria" w:hAnsi="Cambria"/>
                <w:sz w:val="24"/>
                <w:szCs w:val="24"/>
              </w:rPr>
              <w:t>05</w:t>
            </w:r>
          </w:p>
        </w:tc>
        <w:tc>
          <w:tcPr>
            <w:tcW w:w="1984" w:type="dxa"/>
          </w:tcPr>
          <w:p w14:paraId="6C203DAA" w14:textId="77777777" w:rsidR="00917858" w:rsidRPr="00EA1BB2" w:rsidRDefault="00917858" w:rsidP="009A0935">
            <w:pPr>
              <w:spacing w:line="360" w:lineRule="auto"/>
              <w:jc w:val="center"/>
              <w:rPr>
                <w:rFonts w:ascii="Cambria" w:hAnsi="Cambria" w:cs="Calibri"/>
                <w:color w:val="000000"/>
                <w:sz w:val="24"/>
                <w:szCs w:val="24"/>
              </w:rPr>
            </w:pPr>
            <w:r w:rsidRPr="00EA1BB2">
              <w:rPr>
                <w:rFonts w:ascii="Cambria" w:hAnsi="Cambria"/>
                <w:sz w:val="24"/>
                <w:szCs w:val="24"/>
              </w:rPr>
              <w:t>16</w:t>
            </w:r>
            <w:r w:rsidR="009A0935" w:rsidRPr="00EA1BB2">
              <w:rPr>
                <w:rFonts w:ascii="Cambria" w:hAnsi="Cambria"/>
                <w:sz w:val="24"/>
                <w:szCs w:val="24"/>
              </w:rPr>
              <w:t>,</w:t>
            </w:r>
            <w:r w:rsidRPr="00EA1BB2">
              <w:rPr>
                <w:rFonts w:ascii="Cambria" w:hAnsi="Cambria"/>
                <w:sz w:val="24"/>
                <w:szCs w:val="24"/>
              </w:rPr>
              <w:t>399</w:t>
            </w:r>
          </w:p>
        </w:tc>
      </w:tr>
      <w:tr w:rsidR="00917858" w:rsidRPr="00EA1BB2" w14:paraId="38D9038B" w14:textId="77777777" w:rsidTr="00142278">
        <w:trPr>
          <w:trHeight w:val="188"/>
          <w:jc w:val="center"/>
        </w:trPr>
        <w:tc>
          <w:tcPr>
            <w:tcW w:w="988" w:type="dxa"/>
            <w:shd w:val="clear" w:color="auto" w:fill="auto"/>
            <w:noWrap/>
            <w:vAlign w:val="bottom"/>
          </w:tcPr>
          <w:p w14:paraId="622198A2" w14:textId="77777777" w:rsidR="00917858" w:rsidRPr="00EA1BB2" w:rsidRDefault="00917858" w:rsidP="00917858">
            <w:pPr>
              <w:spacing w:line="360" w:lineRule="auto"/>
              <w:jc w:val="center"/>
              <w:rPr>
                <w:rFonts w:ascii="Cambria" w:eastAsia="Times New Roman" w:hAnsi="Cambria" w:cs="Arial"/>
                <w:color w:val="000000"/>
                <w:sz w:val="24"/>
                <w:szCs w:val="24"/>
                <w:lang w:eastAsia="ro-RO"/>
              </w:rPr>
            </w:pPr>
            <w:r w:rsidRPr="00EA1BB2">
              <w:rPr>
                <w:rFonts w:ascii="Cambria" w:hAnsi="Cambria" w:cs="Calibri"/>
                <w:color w:val="000000"/>
                <w:sz w:val="24"/>
                <w:szCs w:val="24"/>
              </w:rPr>
              <w:t>As</w:t>
            </w:r>
          </w:p>
        </w:tc>
        <w:tc>
          <w:tcPr>
            <w:tcW w:w="992" w:type="dxa"/>
            <w:shd w:val="clear" w:color="auto" w:fill="auto"/>
            <w:noWrap/>
          </w:tcPr>
          <w:p w14:paraId="3DE95B04" w14:textId="77777777" w:rsidR="00917858" w:rsidRPr="00EA1BB2" w:rsidRDefault="00917858" w:rsidP="00917858">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Calibri"/>
                <w:color w:val="000000"/>
                <w:sz w:val="24"/>
                <w:szCs w:val="24"/>
                <w:lang w:eastAsia="ro-RO"/>
              </w:rPr>
              <w:t>ng/m</w:t>
            </w:r>
            <w:r w:rsidRPr="00EA1BB2">
              <w:rPr>
                <w:rFonts w:ascii="Cambria" w:eastAsia="Times New Roman" w:hAnsi="Cambria" w:cs="Calibri"/>
                <w:color w:val="000000"/>
                <w:sz w:val="24"/>
                <w:szCs w:val="24"/>
                <w:vertAlign w:val="superscript"/>
                <w:lang w:eastAsia="ro-RO"/>
              </w:rPr>
              <w:t>3</w:t>
            </w:r>
          </w:p>
        </w:tc>
        <w:tc>
          <w:tcPr>
            <w:tcW w:w="1474" w:type="dxa"/>
            <w:shd w:val="clear" w:color="auto" w:fill="auto"/>
          </w:tcPr>
          <w:p w14:paraId="3C556BF7" w14:textId="77777777" w:rsidR="00917858" w:rsidRPr="00EA1BB2" w:rsidRDefault="00917858" w:rsidP="009A0935">
            <w:pPr>
              <w:spacing w:line="360" w:lineRule="auto"/>
              <w:jc w:val="center"/>
              <w:rPr>
                <w:rFonts w:ascii="Cambria" w:eastAsia="Times New Roman" w:hAnsi="Cambria" w:cs="Arial"/>
                <w:color w:val="000000"/>
                <w:sz w:val="24"/>
                <w:szCs w:val="24"/>
                <w:lang w:eastAsia="ro-RO"/>
              </w:rPr>
            </w:pPr>
            <w:r w:rsidRPr="00EA1BB2">
              <w:rPr>
                <w:rFonts w:ascii="Cambria" w:hAnsi="Cambria"/>
                <w:sz w:val="24"/>
                <w:szCs w:val="24"/>
              </w:rPr>
              <w:t>0</w:t>
            </w:r>
            <w:r w:rsidR="009A0935" w:rsidRPr="00EA1BB2">
              <w:rPr>
                <w:rFonts w:ascii="Cambria" w:hAnsi="Cambria"/>
                <w:sz w:val="24"/>
                <w:szCs w:val="24"/>
              </w:rPr>
              <w:t>,</w:t>
            </w:r>
            <w:r w:rsidRPr="00EA1BB2">
              <w:rPr>
                <w:rFonts w:ascii="Cambria" w:hAnsi="Cambria"/>
                <w:sz w:val="24"/>
                <w:szCs w:val="24"/>
              </w:rPr>
              <w:t>693</w:t>
            </w:r>
          </w:p>
        </w:tc>
        <w:tc>
          <w:tcPr>
            <w:tcW w:w="2211" w:type="dxa"/>
          </w:tcPr>
          <w:p w14:paraId="341BAF75" w14:textId="77777777" w:rsidR="00917858" w:rsidRPr="00EA1BB2" w:rsidRDefault="00917858" w:rsidP="009A0935">
            <w:pPr>
              <w:spacing w:line="360" w:lineRule="auto"/>
              <w:jc w:val="center"/>
              <w:rPr>
                <w:rFonts w:ascii="Cambria" w:hAnsi="Cambria"/>
                <w:sz w:val="24"/>
                <w:szCs w:val="24"/>
              </w:rPr>
            </w:pPr>
            <w:r w:rsidRPr="00EA1BB2">
              <w:rPr>
                <w:rFonts w:ascii="Cambria" w:hAnsi="Cambria"/>
                <w:sz w:val="24"/>
                <w:szCs w:val="24"/>
              </w:rPr>
              <w:t>0</w:t>
            </w:r>
            <w:r w:rsidR="009A0935" w:rsidRPr="00EA1BB2">
              <w:rPr>
                <w:rFonts w:ascii="Cambria" w:hAnsi="Cambria"/>
                <w:sz w:val="24"/>
                <w:szCs w:val="24"/>
              </w:rPr>
              <w:t>,</w:t>
            </w:r>
            <w:r w:rsidRPr="00EA1BB2">
              <w:rPr>
                <w:rFonts w:ascii="Cambria" w:hAnsi="Cambria"/>
                <w:sz w:val="24"/>
                <w:szCs w:val="24"/>
              </w:rPr>
              <w:t>011</w:t>
            </w:r>
          </w:p>
        </w:tc>
        <w:tc>
          <w:tcPr>
            <w:tcW w:w="1701" w:type="dxa"/>
          </w:tcPr>
          <w:p w14:paraId="2526F558" w14:textId="77777777" w:rsidR="00917858" w:rsidRPr="00EA1BB2" w:rsidRDefault="006B3A27" w:rsidP="00917858">
            <w:pPr>
              <w:spacing w:line="360" w:lineRule="auto"/>
              <w:jc w:val="center"/>
              <w:rPr>
                <w:rFonts w:ascii="Cambria" w:hAnsi="Cambria" w:cs="Calibri"/>
                <w:color w:val="000000"/>
                <w:sz w:val="24"/>
                <w:szCs w:val="24"/>
              </w:rPr>
            </w:pPr>
            <w:r w:rsidRPr="00EA1BB2">
              <w:rPr>
                <w:rFonts w:ascii="Cambria" w:hAnsi="Cambria" w:cs="Calibri"/>
                <w:color w:val="000000"/>
                <w:sz w:val="24"/>
                <w:szCs w:val="24"/>
              </w:rPr>
              <w:t>0</w:t>
            </w:r>
          </w:p>
        </w:tc>
        <w:tc>
          <w:tcPr>
            <w:tcW w:w="2041" w:type="dxa"/>
          </w:tcPr>
          <w:p w14:paraId="629F02A4" w14:textId="77777777" w:rsidR="00917858" w:rsidRPr="00EA1BB2" w:rsidRDefault="00917858" w:rsidP="009A0935">
            <w:pPr>
              <w:spacing w:line="360" w:lineRule="auto"/>
              <w:jc w:val="center"/>
              <w:rPr>
                <w:rFonts w:ascii="Cambria" w:hAnsi="Cambria" w:cs="Calibri"/>
                <w:color w:val="000000"/>
                <w:sz w:val="24"/>
                <w:szCs w:val="24"/>
              </w:rPr>
            </w:pPr>
            <w:r w:rsidRPr="00EA1BB2">
              <w:rPr>
                <w:rFonts w:ascii="Cambria" w:hAnsi="Cambria"/>
                <w:sz w:val="24"/>
                <w:szCs w:val="24"/>
              </w:rPr>
              <w:t>0</w:t>
            </w:r>
            <w:r w:rsidR="009A0935" w:rsidRPr="00EA1BB2">
              <w:rPr>
                <w:rFonts w:ascii="Cambria" w:hAnsi="Cambria"/>
                <w:sz w:val="24"/>
                <w:szCs w:val="24"/>
              </w:rPr>
              <w:t>,</w:t>
            </w:r>
            <w:r w:rsidRPr="00EA1BB2">
              <w:rPr>
                <w:rFonts w:ascii="Cambria" w:hAnsi="Cambria"/>
                <w:sz w:val="24"/>
                <w:szCs w:val="24"/>
              </w:rPr>
              <w:t>003</w:t>
            </w:r>
          </w:p>
        </w:tc>
        <w:tc>
          <w:tcPr>
            <w:tcW w:w="1985" w:type="dxa"/>
          </w:tcPr>
          <w:p w14:paraId="093526F9" w14:textId="77777777" w:rsidR="00917858" w:rsidRPr="00EA1BB2" w:rsidRDefault="006B3A27" w:rsidP="00917858">
            <w:pPr>
              <w:spacing w:line="360" w:lineRule="auto"/>
              <w:jc w:val="center"/>
              <w:rPr>
                <w:rFonts w:ascii="Cambria" w:hAnsi="Cambria" w:cs="Calibri"/>
                <w:color w:val="000000"/>
                <w:sz w:val="24"/>
                <w:szCs w:val="24"/>
              </w:rPr>
            </w:pPr>
            <w:r w:rsidRPr="00EA1BB2">
              <w:rPr>
                <w:rFonts w:ascii="Cambria" w:hAnsi="Cambria" w:cs="Calibri"/>
                <w:color w:val="000000"/>
                <w:sz w:val="24"/>
                <w:szCs w:val="24"/>
              </w:rPr>
              <w:t>0</w:t>
            </w:r>
          </w:p>
        </w:tc>
        <w:tc>
          <w:tcPr>
            <w:tcW w:w="1984" w:type="dxa"/>
          </w:tcPr>
          <w:p w14:paraId="5724C651" w14:textId="77777777" w:rsidR="00917858" w:rsidRPr="00EA1BB2" w:rsidRDefault="00917858" w:rsidP="009A0935">
            <w:pPr>
              <w:spacing w:line="360" w:lineRule="auto"/>
              <w:jc w:val="center"/>
              <w:rPr>
                <w:rFonts w:ascii="Cambria" w:hAnsi="Cambria" w:cs="Calibri"/>
                <w:color w:val="000000"/>
                <w:sz w:val="24"/>
                <w:szCs w:val="24"/>
              </w:rPr>
            </w:pPr>
            <w:r w:rsidRPr="00EA1BB2">
              <w:rPr>
                <w:rFonts w:ascii="Cambria" w:hAnsi="Cambria"/>
                <w:sz w:val="24"/>
                <w:szCs w:val="24"/>
              </w:rPr>
              <w:t>0</w:t>
            </w:r>
            <w:r w:rsidR="009A0935" w:rsidRPr="00EA1BB2">
              <w:rPr>
                <w:rFonts w:ascii="Cambria" w:hAnsi="Cambria"/>
                <w:sz w:val="24"/>
                <w:szCs w:val="24"/>
              </w:rPr>
              <w:t>,</w:t>
            </w:r>
            <w:r w:rsidRPr="00EA1BB2">
              <w:rPr>
                <w:rFonts w:ascii="Cambria" w:hAnsi="Cambria"/>
                <w:sz w:val="24"/>
                <w:szCs w:val="24"/>
              </w:rPr>
              <w:t>679</w:t>
            </w:r>
          </w:p>
        </w:tc>
      </w:tr>
      <w:tr w:rsidR="00917858" w:rsidRPr="00EA1BB2" w14:paraId="4BE91F11" w14:textId="77777777" w:rsidTr="00142278">
        <w:trPr>
          <w:trHeight w:val="188"/>
          <w:jc w:val="center"/>
        </w:trPr>
        <w:tc>
          <w:tcPr>
            <w:tcW w:w="988" w:type="dxa"/>
            <w:shd w:val="clear" w:color="auto" w:fill="auto"/>
            <w:noWrap/>
            <w:vAlign w:val="bottom"/>
          </w:tcPr>
          <w:p w14:paraId="7869B778" w14:textId="77777777" w:rsidR="00917858" w:rsidRPr="00EA1BB2" w:rsidRDefault="00917858" w:rsidP="00917858">
            <w:pPr>
              <w:spacing w:line="360" w:lineRule="auto"/>
              <w:jc w:val="center"/>
              <w:rPr>
                <w:rFonts w:ascii="Cambria" w:eastAsia="Times New Roman" w:hAnsi="Cambria" w:cs="Arial"/>
                <w:color w:val="000000"/>
                <w:sz w:val="24"/>
                <w:szCs w:val="24"/>
                <w:lang w:eastAsia="ro-RO"/>
              </w:rPr>
            </w:pPr>
            <w:r w:rsidRPr="00EA1BB2">
              <w:rPr>
                <w:rFonts w:ascii="Cambria" w:hAnsi="Cambria" w:cs="Calibri"/>
                <w:color w:val="000000"/>
                <w:sz w:val="24"/>
                <w:szCs w:val="24"/>
              </w:rPr>
              <w:t>Cd</w:t>
            </w:r>
          </w:p>
        </w:tc>
        <w:tc>
          <w:tcPr>
            <w:tcW w:w="992" w:type="dxa"/>
            <w:shd w:val="clear" w:color="auto" w:fill="auto"/>
            <w:noWrap/>
          </w:tcPr>
          <w:p w14:paraId="0AB07DD8" w14:textId="77777777" w:rsidR="00917858" w:rsidRPr="00EA1BB2" w:rsidRDefault="00917858" w:rsidP="00917858">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Calibri"/>
                <w:color w:val="000000"/>
                <w:sz w:val="24"/>
                <w:szCs w:val="24"/>
                <w:lang w:eastAsia="ro-RO"/>
              </w:rPr>
              <w:t>ng/m</w:t>
            </w:r>
            <w:r w:rsidRPr="00EA1BB2">
              <w:rPr>
                <w:rFonts w:ascii="Cambria" w:eastAsia="Times New Roman" w:hAnsi="Cambria" w:cs="Calibri"/>
                <w:color w:val="000000"/>
                <w:sz w:val="24"/>
                <w:szCs w:val="24"/>
                <w:vertAlign w:val="superscript"/>
                <w:lang w:eastAsia="ro-RO"/>
              </w:rPr>
              <w:t>3</w:t>
            </w:r>
          </w:p>
        </w:tc>
        <w:tc>
          <w:tcPr>
            <w:tcW w:w="1474" w:type="dxa"/>
            <w:shd w:val="clear" w:color="auto" w:fill="auto"/>
          </w:tcPr>
          <w:p w14:paraId="2FD875B3" w14:textId="77777777" w:rsidR="00917858" w:rsidRPr="00EA1BB2" w:rsidRDefault="00917858" w:rsidP="009A0935">
            <w:pPr>
              <w:spacing w:line="360" w:lineRule="auto"/>
              <w:jc w:val="center"/>
              <w:rPr>
                <w:rFonts w:ascii="Cambria" w:eastAsia="Times New Roman" w:hAnsi="Cambria" w:cs="Arial"/>
                <w:color w:val="000000"/>
                <w:sz w:val="24"/>
                <w:szCs w:val="24"/>
                <w:lang w:eastAsia="ro-RO"/>
              </w:rPr>
            </w:pPr>
            <w:r w:rsidRPr="00EA1BB2">
              <w:rPr>
                <w:rFonts w:ascii="Cambria" w:hAnsi="Cambria"/>
                <w:sz w:val="24"/>
                <w:szCs w:val="24"/>
              </w:rPr>
              <w:t>0</w:t>
            </w:r>
            <w:r w:rsidR="009A0935" w:rsidRPr="00EA1BB2">
              <w:rPr>
                <w:rFonts w:ascii="Cambria" w:hAnsi="Cambria"/>
                <w:sz w:val="24"/>
                <w:szCs w:val="24"/>
              </w:rPr>
              <w:t>,</w:t>
            </w:r>
            <w:r w:rsidRPr="00EA1BB2">
              <w:rPr>
                <w:rFonts w:ascii="Cambria" w:hAnsi="Cambria"/>
                <w:sz w:val="24"/>
                <w:szCs w:val="24"/>
              </w:rPr>
              <w:t>238</w:t>
            </w:r>
          </w:p>
        </w:tc>
        <w:tc>
          <w:tcPr>
            <w:tcW w:w="2211" w:type="dxa"/>
          </w:tcPr>
          <w:p w14:paraId="1E2830A4" w14:textId="77777777" w:rsidR="00917858" w:rsidRPr="00EA1BB2" w:rsidRDefault="00917858" w:rsidP="009A0935">
            <w:pPr>
              <w:spacing w:line="360" w:lineRule="auto"/>
              <w:jc w:val="center"/>
              <w:rPr>
                <w:rFonts w:ascii="Cambria" w:hAnsi="Cambria"/>
                <w:sz w:val="24"/>
                <w:szCs w:val="24"/>
              </w:rPr>
            </w:pPr>
            <w:r w:rsidRPr="00EA1BB2">
              <w:rPr>
                <w:rFonts w:ascii="Cambria" w:hAnsi="Cambria"/>
                <w:sz w:val="24"/>
                <w:szCs w:val="24"/>
              </w:rPr>
              <w:t>0</w:t>
            </w:r>
            <w:r w:rsidR="009A0935" w:rsidRPr="00EA1BB2">
              <w:rPr>
                <w:rFonts w:ascii="Cambria" w:hAnsi="Cambria"/>
                <w:sz w:val="24"/>
                <w:szCs w:val="24"/>
              </w:rPr>
              <w:t>,</w:t>
            </w:r>
            <w:r w:rsidRPr="00EA1BB2">
              <w:rPr>
                <w:rFonts w:ascii="Cambria" w:hAnsi="Cambria"/>
                <w:sz w:val="24"/>
                <w:szCs w:val="24"/>
              </w:rPr>
              <w:t>001</w:t>
            </w:r>
          </w:p>
        </w:tc>
        <w:tc>
          <w:tcPr>
            <w:tcW w:w="1701" w:type="dxa"/>
          </w:tcPr>
          <w:p w14:paraId="06DECA8A" w14:textId="77777777" w:rsidR="00917858" w:rsidRPr="00EA1BB2" w:rsidRDefault="006B3A27" w:rsidP="00917858">
            <w:pPr>
              <w:spacing w:line="360" w:lineRule="auto"/>
              <w:jc w:val="center"/>
              <w:rPr>
                <w:rFonts w:ascii="Cambria" w:hAnsi="Cambria" w:cs="Calibri"/>
                <w:color w:val="000000"/>
                <w:sz w:val="24"/>
                <w:szCs w:val="24"/>
              </w:rPr>
            </w:pPr>
            <w:r w:rsidRPr="00EA1BB2">
              <w:rPr>
                <w:rFonts w:ascii="Cambria" w:hAnsi="Cambria" w:cs="Calibri"/>
                <w:color w:val="000000"/>
                <w:sz w:val="24"/>
                <w:szCs w:val="24"/>
              </w:rPr>
              <w:t>0</w:t>
            </w:r>
          </w:p>
        </w:tc>
        <w:tc>
          <w:tcPr>
            <w:tcW w:w="2041" w:type="dxa"/>
          </w:tcPr>
          <w:p w14:paraId="2C0CC422" w14:textId="77777777" w:rsidR="00917858" w:rsidRPr="00EA1BB2" w:rsidRDefault="006B3A27" w:rsidP="00917858">
            <w:pPr>
              <w:spacing w:line="360" w:lineRule="auto"/>
              <w:jc w:val="center"/>
              <w:rPr>
                <w:rFonts w:ascii="Cambria" w:hAnsi="Cambria" w:cs="Calibri"/>
                <w:color w:val="000000"/>
                <w:sz w:val="24"/>
                <w:szCs w:val="24"/>
              </w:rPr>
            </w:pPr>
            <w:r w:rsidRPr="00EA1BB2">
              <w:rPr>
                <w:rFonts w:ascii="Cambria" w:hAnsi="Cambria" w:cs="Calibri"/>
                <w:color w:val="000000"/>
                <w:sz w:val="24"/>
                <w:szCs w:val="24"/>
              </w:rPr>
              <w:t>0</w:t>
            </w:r>
          </w:p>
        </w:tc>
        <w:tc>
          <w:tcPr>
            <w:tcW w:w="1985" w:type="dxa"/>
          </w:tcPr>
          <w:p w14:paraId="00CD2871" w14:textId="77777777" w:rsidR="00917858" w:rsidRPr="00EA1BB2" w:rsidRDefault="006B3A27" w:rsidP="00917858">
            <w:pPr>
              <w:spacing w:line="360" w:lineRule="auto"/>
              <w:jc w:val="center"/>
              <w:rPr>
                <w:rFonts w:ascii="Cambria" w:hAnsi="Cambria" w:cs="Calibri"/>
                <w:color w:val="000000"/>
                <w:sz w:val="24"/>
                <w:szCs w:val="24"/>
              </w:rPr>
            </w:pPr>
            <w:r w:rsidRPr="00EA1BB2">
              <w:rPr>
                <w:rFonts w:ascii="Cambria" w:hAnsi="Cambria" w:cs="Calibri"/>
                <w:color w:val="000000"/>
                <w:sz w:val="24"/>
                <w:szCs w:val="24"/>
              </w:rPr>
              <w:t>0</w:t>
            </w:r>
          </w:p>
        </w:tc>
        <w:tc>
          <w:tcPr>
            <w:tcW w:w="1984" w:type="dxa"/>
          </w:tcPr>
          <w:p w14:paraId="59953397" w14:textId="77777777" w:rsidR="00917858" w:rsidRPr="00EA1BB2" w:rsidRDefault="00917858" w:rsidP="009A0935">
            <w:pPr>
              <w:spacing w:line="360" w:lineRule="auto"/>
              <w:jc w:val="center"/>
              <w:rPr>
                <w:rFonts w:ascii="Cambria" w:hAnsi="Cambria" w:cs="Calibri"/>
                <w:color w:val="000000"/>
                <w:sz w:val="24"/>
                <w:szCs w:val="24"/>
              </w:rPr>
            </w:pPr>
            <w:r w:rsidRPr="00EA1BB2">
              <w:rPr>
                <w:rFonts w:ascii="Cambria" w:hAnsi="Cambria"/>
                <w:sz w:val="24"/>
                <w:szCs w:val="24"/>
              </w:rPr>
              <w:t>0</w:t>
            </w:r>
            <w:r w:rsidR="009A0935" w:rsidRPr="00EA1BB2">
              <w:rPr>
                <w:rFonts w:ascii="Cambria" w:hAnsi="Cambria"/>
                <w:sz w:val="24"/>
                <w:szCs w:val="24"/>
              </w:rPr>
              <w:t>,</w:t>
            </w:r>
            <w:r w:rsidRPr="00EA1BB2">
              <w:rPr>
                <w:rFonts w:ascii="Cambria" w:hAnsi="Cambria"/>
                <w:sz w:val="24"/>
                <w:szCs w:val="24"/>
              </w:rPr>
              <w:t>237</w:t>
            </w:r>
          </w:p>
        </w:tc>
      </w:tr>
      <w:tr w:rsidR="00917858" w:rsidRPr="00EA1BB2" w14:paraId="66AF1DCC" w14:textId="77777777" w:rsidTr="00142278">
        <w:trPr>
          <w:trHeight w:val="188"/>
          <w:jc w:val="center"/>
        </w:trPr>
        <w:tc>
          <w:tcPr>
            <w:tcW w:w="988" w:type="dxa"/>
            <w:shd w:val="clear" w:color="auto" w:fill="auto"/>
            <w:noWrap/>
            <w:vAlign w:val="bottom"/>
          </w:tcPr>
          <w:p w14:paraId="4959B41B" w14:textId="77777777" w:rsidR="00917858" w:rsidRPr="00EA1BB2" w:rsidRDefault="00917858" w:rsidP="00917858">
            <w:pPr>
              <w:spacing w:line="360" w:lineRule="auto"/>
              <w:jc w:val="center"/>
              <w:rPr>
                <w:rFonts w:ascii="Cambria" w:eastAsia="Times New Roman" w:hAnsi="Cambria" w:cs="Arial"/>
                <w:color w:val="000000"/>
                <w:sz w:val="24"/>
                <w:szCs w:val="24"/>
                <w:lang w:eastAsia="ro-RO"/>
              </w:rPr>
            </w:pPr>
            <w:r w:rsidRPr="00EA1BB2">
              <w:rPr>
                <w:rFonts w:ascii="Cambria" w:hAnsi="Cambria" w:cs="Calibri"/>
                <w:color w:val="000000"/>
                <w:sz w:val="24"/>
                <w:szCs w:val="24"/>
              </w:rPr>
              <w:t>Ni</w:t>
            </w:r>
          </w:p>
        </w:tc>
        <w:tc>
          <w:tcPr>
            <w:tcW w:w="992" w:type="dxa"/>
            <w:shd w:val="clear" w:color="auto" w:fill="auto"/>
            <w:noWrap/>
          </w:tcPr>
          <w:p w14:paraId="115F3CFD" w14:textId="77777777" w:rsidR="00917858" w:rsidRPr="00EA1BB2" w:rsidRDefault="00917858" w:rsidP="00917858">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Calibri"/>
                <w:color w:val="000000"/>
                <w:sz w:val="24"/>
                <w:szCs w:val="24"/>
                <w:lang w:eastAsia="ro-RO"/>
              </w:rPr>
              <w:t>ng/m</w:t>
            </w:r>
            <w:r w:rsidRPr="00EA1BB2">
              <w:rPr>
                <w:rFonts w:ascii="Cambria" w:eastAsia="Times New Roman" w:hAnsi="Cambria" w:cs="Calibri"/>
                <w:color w:val="000000"/>
                <w:sz w:val="24"/>
                <w:szCs w:val="24"/>
                <w:vertAlign w:val="superscript"/>
                <w:lang w:eastAsia="ro-RO"/>
              </w:rPr>
              <w:t>3</w:t>
            </w:r>
          </w:p>
        </w:tc>
        <w:tc>
          <w:tcPr>
            <w:tcW w:w="1474" w:type="dxa"/>
            <w:shd w:val="clear" w:color="auto" w:fill="auto"/>
          </w:tcPr>
          <w:p w14:paraId="0DB36CD6" w14:textId="77777777" w:rsidR="00917858" w:rsidRPr="00EA1BB2" w:rsidRDefault="00917858" w:rsidP="009A0935">
            <w:pPr>
              <w:spacing w:line="360" w:lineRule="auto"/>
              <w:jc w:val="center"/>
              <w:rPr>
                <w:rFonts w:ascii="Cambria" w:eastAsia="Times New Roman" w:hAnsi="Cambria" w:cs="Arial"/>
                <w:color w:val="000000"/>
                <w:sz w:val="24"/>
                <w:szCs w:val="24"/>
                <w:lang w:eastAsia="ro-RO"/>
              </w:rPr>
            </w:pPr>
            <w:r w:rsidRPr="00EA1BB2">
              <w:rPr>
                <w:rFonts w:ascii="Cambria" w:hAnsi="Cambria"/>
                <w:sz w:val="24"/>
                <w:szCs w:val="24"/>
              </w:rPr>
              <w:t>0</w:t>
            </w:r>
            <w:r w:rsidR="009A0935" w:rsidRPr="00EA1BB2">
              <w:rPr>
                <w:rFonts w:ascii="Cambria" w:hAnsi="Cambria"/>
                <w:sz w:val="24"/>
                <w:szCs w:val="24"/>
              </w:rPr>
              <w:t>,</w:t>
            </w:r>
            <w:r w:rsidRPr="00EA1BB2">
              <w:rPr>
                <w:rFonts w:ascii="Cambria" w:hAnsi="Cambria"/>
                <w:sz w:val="24"/>
                <w:szCs w:val="24"/>
              </w:rPr>
              <w:t>584</w:t>
            </w:r>
          </w:p>
        </w:tc>
        <w:tc>
          <w:tcPr>
            <w:tcW w:w="2211" w:type="dxa"/>
          </w:tcPr>
          <w:p w14:paraId="376306B0" w14:textId="77777777" w:rsidR="00917858" w:rsidRPr="00EA1BB2" w:rsidRDefault="00917858" w:rsidP="009A0935">
            <w:pPr>
              <w:spacing w:line="360" w:lineRule="auto"/>
              <w:jc w:val="center"/>
              <w:rPr>
                <w:rFonts w:ascii="Cambria" w:hAnsi="Cambria"/>
                <w:sz w:val="24"/>
                <w:szCs w:val="24"/>
              </w:rPr>
            </w:pPr>
            <w:r w:rsidRPr="00EA1BB2">
              <w:rPr>
                <w:rFonts w:ascii="Cambria" w:hAnsi="Cambria"/>
                <w:sz w:val="24"/>
                <w:szCs w:val="24"/>
              </w:rPr>
              <w:t>0</w:t>
            </w:r>
            <w:r w:rsidR="009A0935" w:rsidRPr="00EA1BB2">
              <w:rPr>
                <w:rFonts w:ascii="Cambria" w:hAnsi="Cambria"/>
                <w:sz w:val="24"/>
                <w:szCs w:val="24"/>
              </w:rPr>
              <w:t>,</w:t>
            </w:r>
            <w:r w:rsidRPr="00EA1BB2">
              <w:rPr>
                <w:rFonts w:ascii="Cambria" w:hAnsi="Cambria"/>
                <w:sz w:val="24"/>
                <w:szCs w:val="24"/>
              </w:rPr>
              <w:t>035</w:t>
            </w:r>
          </w:p>
        </w:tc>
        <w:tc>
          <w:tcPr>
            <w:tcW w:w="1701" w:type="dxa"/>
          </w:tcPr>
          <w:p w14:paraId="6D046993" w14:textId="77777777" w:rsidR="00917858" w:rsidRPr="00EA1BB2" w:rsidRDefault="006B3A27" w:rsidP="00917858">
            <w:pPr>
              <w:spacing w:line="360" w:lineRule="auto"/>
              <w:jc w:val="center"/>
              <w:rPr>
                <w:rFonts w:ascii="Cambria" w:hAnsi="Cambria" w:cs="Calibri"/>
                <w:color w:val="000000"/>
                <w:sz w:val="24"/>
                <w:szCs w:val="24"/>
              </w:rPr>
            </w:pPr>
            <w:r w:rsidRPr="00EA1BB2">
              <w:rPr>
                <w:rFonts w:ascii="Cambria" w:hAnsi="Cambria" w:cs="Calibri"/>
                <w:color w:val="000000"/>
                <w:sz w:val="24"/>
                <w:szCs w:val="24"/>
              </w:rPr>
              <w:t>0</w:t>
            </w:r>
          </w:p>
        </w:tc>
        <w:tc>
          <w:tcPr>
            <w:tcW w:w="2041" w:type="dxa"/>
          </w:tcPr>
          <w:p w14:paraId="5D530BDC" w14:textId="77777777" w:rsidR="00917858" w:rsidRPr="00EA1BB2" w:rsidRDefault="00917858" w:rsidP="009A0935">
            <w:pPr>
              <w:spacing w:line="360" w:lineRule="auto"/>
              <w:jc w:val="center"/>
              <w:rPr>
                <w:rFonts w:ascii="Cambria" w:hAnsi="Cambria" w:cs="Calibri"/>
                <w:color w:val="000000"/>
                <w:sz w:val="24"/>
                <w:szCs w:val="24"/>
              </w:rPr>
            </w:pPr>
            <w:r w:rsidRPr="00EA1BB2">
              <w:rPr>
                <w:rFonts w:ascii="Cambria" w:hAnsi="Cambria"/>
                <w:sz w:val="24"/>
                <w:szCs w:val="24"/>
              </w:rPr>
              <w:t>0</w:t>
            </w:r>
            <w:r w:rsidR="009A0935" w:rsidRPr="00EA1BB2">
              <w:rPr>
                <w:rFonts w:ascii="Cambria" w:hAnsi="Cambria"/>
                <w:sz w:val="24"/>
                <w:szCs w:val="24"/>
              </w:rPr>
              <w:t>,</w:t>
            </w:r>
            <w:r w:rsidRPr="00EA1BB2">
              <w:rPr>
                <w:rFonts w:ascii="Cambria" w:hAnsi="Cambria"/>
                <w:sz w:val="24"/>
                <w:szCs w:val="24"/>
              </w:rPr>
              <w:t>009</w:t>
            </w:r>
          </w:p>
        </w:tc>
        <w:tc>
          <w:tcPr>
            <w:tcW w:w="1985" w:type="dxa"/>
          </w:tcPr>
          <w:p w14:paraId="55FAE0A5" w14:textId="77777777" w:rsidR="00917858" w:rsidRPr="00EA1BB2" w:rsidRDefault="00917858" w:rsidP="009A0935">
            <w:pPr>
              <w:spacing w:line="360" w:lineRule="auto"/>
              <w:jc w:val="center"/>
              <w:rPr>
                <w:rFonts w:ascii="Cambria" w:hAnsi="Cambria" w:cs="Calibri"/>
                <w:color w:val="000000"/>
                <w:sz w:val="24"/>
                <w:szCs w:val="24"/>
              </w:rPr>
            </w:pPr>
            <w:r w:rsidRPr="00EA1BB2">
              <w:rPr>
                <w:rFonts w:ascii="Cambria" w:hAnsi="Cambria"/>
                <w:sz w:val="24"/>
                <w:szCs w:val="24"/>
              </w:rPr>
              <w:t>0</w:t>
            </w:r>
            <w:r w:rsidR="009A0935" w:rsidRPr="00EA1BB2">
              <w:rPr>
                <w:rFonts w:ascii="Cambria" w:hAnsi="Cambria"/>
                <w:sz w:val="24"/>
                <w:szCs w:val="24"/>
              </w:rPr>
              <w:t>,</w:t>
            </w:r>
            <w:r w:rsidRPr="00EA1BB2">
              <w:rPr>
                <w:rFonts w:ascii="Cambria" w:hAnsi="Cambria"/>
                <w:sz w:val="24"/>
                <w:szCs w:val="24"/>
              </w:rPr>
              <w:t>009</w:t>
            </w:r>
          </w:p>
        </w:tc>
        <w:tc>
          <w:tcPr>
            <w:tcW w:w="1984" w:type="dxa"/>
          </w:tcPr>
          <w:p w14:paraId="1488FF19" w14:textId="77777777" w:rsidR="00917858" w:rsidRPr="00EA1BB2" w:rsidRDefault="00917858" w:rsidP="009A0935">
            <w:pPr>
              <w:spacing w:line="360" w:lineRule="auto"/>
              <w:jc w:val="center"/>
              <w:rPr>
                <w:rFonts w:ascii="Cambria" w:hAnsi="Cambria" w:cs="Calibri"/>
                <w:color w:val="000000"/>
                <w:sz w:val="24"/>
                <w:szCs w:val="24"/>
              </w:rPr>
            </w:pPr>
            <w:r w:rsidRPr="00EA1BB2">
              <w:rPr>
                <w:rFonts w:ascii="Cambria" w:hAnsi="Cambria"/>
                <w:sz w:val="24"/>
                <w:szCs w:val="24"/>
              </w:rPr>
              <w:t>0</w:t>
            </w:r>
            <w:r w:rsidR="009A0935" w:rsidRPr="00EA1BB2">
              <w:rPr>
                <w:rFonts w:ascii="Cambria" w:hAnsi="Cambria"/>
                <w:sz w:val="24"/>
                <w:szCs w:val="24"/>
              </w:rPr>
              <w:t>,</w:t>
            </w:r>
            <w:r w:rsidRPr="00EA1BB2">
              <w:rPr>
                <w:rFonts w:ascii="Cambria" w:hAnsi="Cambria"/>
                <w:sz w:val="24"/>
                <w:szCs w:val="24"/>
              </w:rPr>
              <w:t>531</w:t>
            </w:r>
          </w:p>
        </w:tc>
      </w:tr>
      <w:tr w:rsidR="00917858" w:rsidRPr="00EA1BB2" w14:paraId="2F0C259C" w14:textId="77777777" w:rsidTr="00142278">
        <w:trPr>
          <w:trHeight w:val="188"/>
          <w:jc w:val="center"/>
        </w:trPr>
        <w:tc>
          <w:tcPr>
            <w:tcW w:w="988" w:type="dxa"/>
            <w:shd w:val="clear" w:color="auto" w:fill="auto"/>
            <w:noWrap/>
            <w:vAlign w:val="bottom"/>
          </w:tcPr>
          <w:p w14:paraId="67171265" w14:textId="77777777" w:rsidR="00917858" w:rsidRPr="00EA1BB2" w:rsidRDefault="00917858" w:rsidP="00917858">
            <w:pPr>
              <w:spacing w:line="360" w:lineRule="auto"/>
              <w:jc w:val="center"/>
              <w:rPr>
                <w:rFonts w:ascii="Cambria" w:eastAsia="Times New Roman" w:hAnsi="Cambria" w:cs="Arial"/>
                <w:color w:val="000000"/>
                <w:sz w:val="24"/>
                <w:szCs w:val="24"/>
                <w:lang w:eastAsia="ro-RO"/>
              </w:rPr>
            </w:pPr>
            <w:r w:rsidRPr="00EA1BB2">
              <w:rPr>
                <w:rFonts w:ascii="Cambria" w:hAnsi="Cambria" w:cs="Calibri"/>
                <w:color w:val="000000"/>
                <w:sz w:val="24"/>
                <w:szCs w:val="24"/>
              </w:rPr>
              <w:t>Pb</w:t>
            </w:r>
          </w:p>
        </w:tc>
        <w:tc>
          <w:tcPr>
            <w:tcW w:w="992" w:type="dxa"/>
            <w:shd w:val="clear" w:color="auto" w:fill="auto"/>
            <w:noWrap/>
          </w:tcPr>
          <w:p w14:paraId="7B298D1F" w14:textId="77777777" w:rsidR="00917858" w:rsidRPr="00EA1BB2" w:rsidRDefault="00917858" w:rsidP="00917858">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Calibri"/>
                <w:color w:val="000000"/>
                <w:sz w:val="24"/>
                <w:szCs w:val="24"/>
                <w:lang w:eastAsia="ro-RO"/>
              </w:rPr>
              <w:t>ng/m</w:t>
            </w:r>
            <w:r w:rsidRPr="00EA1BB2">
              <w:rPr>
                <w:rFonts w:ascii="Cambria" w:eastAsia="Times New Roman" w:hAnsi="Cambria" w:cs="Calibri"/>
                <w:color w:val="000000"/>
                <w:sz w:val="24"/>
                <w:szCs w:val="24"/>
                <w:vertAlign w:val="superscript"/>
                <w:lang w:eastAsia="ro-RO"/>
              </w:rPr>
              <w:t>3</w:t>
            </w:r>
          </w:p>
        </w:tc>
        <w:tc>
          <w:tcPr>
            <w:tcW w:w="1474" w:type="dxa"/>
            <w:shd w:val="clear" w:color="auto" w:fill="auto"/>
          </w:tcPr>
          <w:p w14:paraId="0417D5B4" w14:textId="77777777" w:rsidR="00917858" w:rsidRPr="00EA1BB2" w:rsidRDefault="00917858" w:rsidP="009A0935">
            <w:pPr>
              <w:spacing w:line="360" w:lineRule="auto"/>
              <w:jc w:val="center"/>
              <w:rPr>
                <w:rFonts w:ascii="Cambria" w:eastAsia="Times New Roman" w:hAnsi="Cambria" w:cs="Arial"/>
                <w:color w:val="000000"/>
                <w:sz w:val="24"/>
                <w:szCs w:val="24"/>
                <w:lang w:eastAsia="ro-RO"/>
              </w:rPr>
            </w:pPr>
            <w:r w:rsidRPr="00EA1BB2">
              <w:rPr>
                <w:rFonts w:ascii="Cambria" w:hAnsi="Cambria"/>
                <w:sz w:val="24"/>
                <w:szCs w:val="24"/>
              </w:rPr>
              <w:t>5</w:t>
            </w:r>
            <w:r w:rsidR="009A0935" w:rsidRPr="00EA1BB2">
              <w:rPr>
                <w:rFonts w:ascii="Cambria" w:hAnsi="Cambria"/>
                <w:sz w:val="24"/>
                <w:szCs w:val="24"/>
              </w:rPr>
              <w:t>,</w:t>
            </w:r>
            <w:r w:rsidRPr="00EA1BB2">
              <w:rPr>
                <w:rFonts w:ascii="Cambria" w:hAnsi="Cambria"/>
                <w:sz w:val="24"/>
                <w:szCs w:val="24"/>
              </w:rPr>
              <w:t>403</w:t>
            </w:r>
          </w:p>
        </w:tc>
        <w:tc>
          <w:tcPr>
            <w:tcW w:w="2211" w:type="dxa"/>
          </w:tcPr>
          <w:p w14:paraId="216DFC2F" w14:textId="77777777" w:rsidR="00917858" w:rsidRPr="00EA1BB2" w:rsidRDefault="00917858" w:rsidP="009A0935">
            <w:pPr>
              <w:spacing w:line="360" w:lineRule="auto"/>
              <w:jc w:val="center"/>
              <w:rPr>
                <w:rFonts w:ascii="Cambria" w:hAnsi="Cambria"/>
                <w:sz w:val="24"/>
                <w:szCs w:val="24"/>
              </w:rPr>
            </w:pPr>
            <w:r w:rsidRPr="00EA1BB2">
              <w:rPr>
                <w:rFonts w:ascii="Cambria" w:hAnsi="Cambria"/>
                <w:sz w:val="24"/>
                <w:szCs w:val="24"/>
              </w:rPr>
              <w:t>0</w:t>
            </w:r>
            <w:r w:rsidR="009A0935" w:rsidRPr="00EA1BB2">
              <w:rPr>
                <w:rFonts w:ascii="Cambria" w:hAnsi="Cambria"/>
                <w:sz w:val="24"/>
                <w:szCs w:val="24"/>
              </w:rPr>
              <w:t>,</w:t>
            </w:r>
            <w:r w:rsidRPr="00EA1BB2">
              <w:rPr>
                <w:rFonts w:ascii="Cambria" w:hAnsi="Cambria"/>
                <w:sz w:val="24"/>
                <w:szCs w:val="24"/>
              </w:rPr>
              <w:t>374</w:t>
            </w:r>
          </w:p>
        </w:tc>
        <w:tc>
          <w:tcPr>
            <w:tcW w:w="1701" w:type="dxa"/>
          </w:tcPr>
          <w:p w14:paraId="13706DD8" w14:textId="77777777" w:rsidR="00917858" w:rsidRPr="00EA1BB2" w:rsidRDefault="006B3A27" w:rsidP="00917858">
            <w:pPr>
              <w:spacing w:line="360" w:lineRule="auto"/>
              <w:jc w:val="center"/>
              <w:rPr>
                <w:rFonts w:ascii="Cambria" w:hAnsi="Cambria" w:cs="Calibri"/>
                <w:color w:val="000000"/>
                <w:sz w:val="24"/>
                <w:szCs w:val="24"/>
              </w:rPr>
            </w:pPr>
            <w:r w:rsidRPr="00EA1BB2">
              <w:rPr>
                <w:rFonts w:ascii="Cambria" w:hAnsi="Cambria" w:cs="Calibri"/>
                <w:color w:val="000000"/>
                <w:sz w:val="24"/>
                <w:szCs w:val="24"/>
              </w:rPr>
              <w:t>0</w:t>
            </w:r>
          </w:p>
        </w:tc>
        <w:tc>
          <w:tcPr>
            <w:tcW w:w="2041" w:type="dxa"/>
          </w:tcPr>
          <w:p w14:paraId="5B32B7FB" w14:textId="77777777" w:rsidR="00917858" w:rsidRPr="00EA1BB2" w:rsidRDefault="00917858" w:rsidP="009A0935">
            <w:pPr>
              <w:spacing w:line="360" w:lineRule="auto"/>
              <w:jc w:val="center"/>
              <w:rPr>
                <w:rFonts w:ascii="Cambria" w:hAnsi="Cambria" w:cs="Calibri"/>
                <w:color w:val="000000"/>
                <w:sz w:val="24"/>
                <w:szCs w:val="24"/>
              </w:rPr>
            </w:pPr>
            <w:r w:rsidRPr="00EA1BB2">
              <w:rPr>
                <w:rFonts w:ascii="Cambria" w:hAnsi="Cambria"/>
                <w:sz w:val="24"/>
                <w:szCs w:val="24"/>
              </w:rPr>
              <w:t>0</w:t>
            </w:r>
            <w:r w:rsidR="009A0935" w:rsidRPr="00EA1BB2">
              <w:rPr>
                <w:rFonts w:ascii="Cambria" w:hAnsi="Cambria"/>
                <w:sz w:val="24"/>
                <w:szCs w:val="24"/>
              </w:rPr>
              <w:t>,</w:t>
            </w:r>
            <w:r w:rsidRPr="00EA1BB2">
              <w:rPr>
                <w:rFonts w:ascii="Cambria" w:hAnsi="Cambria"/>
                <w:sz w:val="24"/>
                <w:szCs w:val="24"/>
              </w:rPr>
              <w:t>005</w:t>
            </w:r>
          </w:p>
        </w:tc>
        <w:tc>
          <w:tcPr>
            <w:tcW w:w="1985" w:type="dxa"/>
          </w:tcPr>
          <w:p w14:paraId="43C90115" w14:textId="77777777" w:rsidR="00917858" w:rsidRPr="00EA1BB2" w:rsidRDefault="00917858" w:rsidP="009A0935">
            <w:pPr>
              <w:spacing w:line="360" w:lineRule="auto"/>
              <w:jc w:val="center"/>
              <w:rPr>
                <w:rFonts w:ascii="Cambria" w:hAnsi="Cambria" w:cs="Calibri"/>
                <w:color w:val="000000"/>
                <w:sz w:val="24"/>
                <w:szCs w:val="24"/>
              </w:rPr>
            </w:pPr>
            <w:r w:rsidRPr="00EA1BB2">
              <w:rPr>
                <w:rFonts w:ascii="Cambria" w:hAnsi="Cambria"/>
                <w:sz w:val="24"/>
                <w:szCs w:val="24"/>
              </w:rPr>
              <w:t>0</w:t>
            </w:r>
            <w:r w:rsidR="009A0935" w:rsidRPr="00EA1BB2">
              <w:rPr>
                <w:rFonts w:ascii="Cambria" w:hAnsi="Cambria"/>
                <w:sz w:val="24"/>
                <w:szCs w:val="24"/>
              </w:rPr>
              <w:t>,</w:t>
            </w:r>
            <w:r w:rsidRPr="00EA1BB2">
              <w:rPr>
                <w:rFonts w:ascii="Cambria" w:hAnsi="Cambria"/>
                <w:sz w:val="24"/>
                <w:szCs w:val="24"/>
              </w:rPr>
              <w:t>076</w:t>
            </w:r>
          </w:p>
        </w:tc>
        <w:tc>
          <w:tcPr>
            <w:tcW w:w="1984" w:type="dxa"/>
          </w:tcPr>
          <w:p w14:paraId="113B67DC" w14:textId="77777777" w:rsidR="00917858" w:rsidRPr="00EA1BB2" w:rsidRDefault="00917858" w:rsidP="009A0935">
            <w:pPr>
              <w:spacing w:line="360" w:lineRule="auto"/>
              <w:jc w:val="center"/>
              <w:rPr>
                <w:rFonts w:ascii="Cambria" w:hAnsi="Cambria" w:cs="Calibri"/>
                <w:color w:val="000000"/>
                <w:sz w:val="24"/>
                <w:szCs w:val="24"/>
              </w:rPr>
            </w:pPr>
            <w:r w:rsidRPr="00EA1BB2">
              <w:rPr>
                <w:rFonts w:ascii="Cambria" w:hAnsi="Cambria"/>
                <w:sz w:val="24"/>
                <w:szCs w:val="24"/>
              </w:rPr>
              <w:t>4</w:t>
            </w:r>
            <w:r w:rsidR="009A0935" w:rsidRPr="00EA1BB2">
              <w:rPr>
                <w:rFonts w:ascii="Cambria" w:hAnsi="Cambria"/>
                <w:sz w:val="24"/>
                <w:szCs w:val="24"/>
              </w:rPr>
              <w:t>,</w:t>
            </w:r>
            <w:r w:rsidRPr="00EA1BB2">
              <w:rPr>
                <w:rFonts w:ascii="Cambria" w:hAnsi="Cambria"/>
                <w:sz w:val="24"/>
                <w:szCs w:val="24"/>
              </w:rPr>
              <w:t>948</w:t>
            </w:r>
          </w:p>
        </w:tc>
      </w:tr>
    </w:tbl>
    <w:p w14:paraId="000B9E7A" w14:textId="77777777" w:rsidR="00C2266B" w:rsidRPr="00EA1BB2" w:rsidRDefault="00C2266B" w:rsidP="00C2266B">
      <w:pPr>
        <w:spacing w:line="360" w:lineRule="auto"/>
        <w:rPr>
          <w:rFonts w:ascii="Cambria" w:hAnsi="Cambria"/>
          <w:sz w:val="24"/>
          <w:szCs w:val="24"/>
        </w:rPr>
      </w:pPr>
    </w:p>
    <w:p w14:paraId="58CB68C3" w14:textId="77777777" w:rsidR="00C2266B" w:rsidRPr="00EA1BB2" w:rsidRDefault="00C2266B" w:rsidP="00C2266B">
      <w:pPr>
        <w:spacing w:line="360" w:lineRule="auto"/>
        <w:ind w:firstLine="709"/>
        <w:jc w:val="both"/>
        <w:rPr>
          <w:rFonts w:ascii="Cambria" w:eastAsia="Calibri" w:hAnsi="Cambria" w:cs="Times New Roman"/>
          <w:sz w:val="24"/>
          <w:szCs w:val="24"/>
          <w:highlight w:val="cyan"/>
        </w:rPr>
        <w:sectPr w:rsidR="00C2266B" w:rsidRPr="00EA1BB2" w:rsidSect="00732A52">
          <w:pgSz w:w="16838" w:h="11906" w:orient="landscape" w:code="9"/>
          <w:pgMar w:top="1418" w:right="1247" w:bottom="1418" w:left="1247" w:header="510" w:footer="510" w:gutter="0"/>
          <w:cols w:space="708"/>
          <w:docGrid w:linePitch="360"/>
        </w:sectPr>
      </w:pPr>
    </w:p>
    <w:p w14:paraId="0E7EF4C2" w14:textId="77777777" w:rsidR="00E57CA2" w:rsidRPr="00EA1BB2" w:rsidRDefault="00305926" w:rsidP="00E859EF">
      <w:pPr>
        <w:pStyle w:val="Heading2"/>
        <w:numPr>
          <w:ilvl w:val="1"/>
          <w:numId w:val="1"/>
        </w:numPr>
        <w:spacing w:before="0"/>
        <w:ind w:left="0" w:firstLine="709"/>
        <w:jc w:val="both"/>
        <w:rPr>
          <w:rFonts w:ascii="Cambria" w:eastAsia="Times New Roman" w:hAnsi="Cambria"/>
          <w:color w:val="0070C0"/>
          <w:szCs w:val="24"/>
        </w:rPr>
      </w:pPr>
      <w:bookmarkStart w:id="141" w:name="_Toc526889726"/>
      <w:r w:rsidRPr="00EA1BB2">
        <w:rPr>
          <w:rFonts w:ascii="Cambria" w:eastAsia="Times New Roman" w:hAnsi="Cambria"/>
          <w:color w:val="0070C0"/>
          <w:szCs w:val="24"/>
        </w:rPr>
        <w:lastRenderedPageBreak/>
        <w:t>E</w:t>
      </w:r>
      <w:r w:rsidR="00E57CA2" w:rsidRPr="00EA1BB2">
        <w:rPr>
          <w:rFonts w:ascii="Cambria" w:eastAsia="Times New Roman" w:hAnsi="Cambria"/>
          <w:color w:val="0070C0"/>
          <w:szCs w:val="24"/>
        </w:rPr>
        <w:t>va</w:t>
      </w:r>
      <w:r w:rsidR="00E40B49" w:rsidRPr="00EA1BB2">
        <w:rPr>
          <w:rFonts w:ascii="Cambria" w:eastAsia="Times New Roman" w:hAnsi="Cambria"/>
          <w:color w:val="0070C0"/>
          <w:szCs w:val="24"/>
        </w:rPr>
        <w:t>luarea nivelului de fond local</w:t>
      </w:r>
      <w:r w:rsidR="001B7137" w:rsidRPr="00EA1BB2">
        <w:rPr>
          <w:rFonts w:ascii="Cambria" w:eastAsia="Times New Roman" w:hAnsi="Cambria"/>
          <w:color w:val="0070C0"/>
          <w:szCs w:val="24"/>
        </w:rPr>
        <w:t>: total, trafic, industrie, inclusiv produc</w:t>
      </w:r>
      <w:r w:rsidR="00054880" w:rsidRPr="00EA1BB2">
        <w:rPr>
          <w:rFonts w:ascii="Cambria" w:eastAsia="Times New Roman" w:hAnsi="Cambria"/>
          <w:color w:val="0070C0"/>
          <w:szCs w:val="24"/>
        </w:rPr>
        <w:t>ț</w:t>
      </w:r>
      <w:r w:rsidR="001B7137" w:rsidRPr="00EA1BB2">
        <w:rPr>
          <w:rFonts w:ascii="Cambria" w:eastAsia="Times New Roman" w:hAnsi="Cambria"/>
          <w:color w:val="0070C0"/>
          <w:szCs w:val="24"/>
        </w:rPr>
        <w:t xml:space="preserve">ia de energie termică </w:t>
      </w:r>
      <w:r w:rsidR="00054880" w:rsidRPr="00EA1BB2">
        <w:rPr>
          <w:rFonts w:ascii="Cambria" w:eastAsia="Times New Roman" w:hAnsi="Cambria"/>
          <w:color w:val="0070C0"/>
          <w:szCs w:val="24"/>
        </w:rPr>
        <w:t>ș</w:t>
      </w:r>
      <w:r w:rsidR="001B7137" w:rsidRPr="00EA1BB2">
        <w:rPr>
          <w:rFonts w:ascii="Cambria" w:eastAsia="Times New Roman" w:hAnsi="Cambria"/>
          <w:color w:val="0070C0"/>
          <w:szCs w:val="24"/>
        </w:rPr>
        <w:t xml:space="preserve">i electrică, agricultură, surse comerciale </w:t>
      </w:r>
      <w:r w:rsidR="00054880" w:rsidRPr="00EA1BB2">
        <w:rPr>
          <w:rFonts w:ascii="Cambria" w:eastAsia="Times New Roman" w:hAnsi="Cambria"/>
          <w:color w:val="0070C0"/>
          <w:szCs w:val="24"/>
        </w:rPr>
        <w:t>ș</w:t>
      </w:r>
      <w:r w:rsidR="001B7137" w:rsidRPr="00EA1BB2">
        <w:rPr>
          <w:rFonts w:ascii="Cambria" w:eastAsia="Times New Roman" w:hAnsi="Cambria"/>
          <w:color w:val="0070C0"/>
          <w:szCs w:val="24"/>
        </w:rPr>
        <w:t>i reziden</w:t>
      </w:r>
      <w:r w:rsidR="00054880" w:rsidRPr="00EA1BB2">
        <w:rPr>
          <w:rFonts w:ascii="Cambria" w:eastAsia="Times New Roman" w:hAnsi="Cambria"/>
          <w:color w:val="0070C0"/>
          <w:szCs w:val="24"/>
        </w:rPr>
        <w:t>ț</w:t>
      </w:r>
      <w:r w:rsidR="001B7137" w:rsidRPr="00EA1BB2">
        <w:rPr>
          <w:rFonts w:ascii="Cambria" w:eastAsia="Times New Roman" w:hAnsi="Cambria"/>
          <w:color w:val="0070C0"/>
          <w:szCs w:val="24"/>
        </w:rPr>
        <w:t>iale, echipamente mobile off-road, transfrontier</w:t>
      </w:r>
      <w:bookmarkEnd w:id="141"/>
    </w:p>
    <w:p w14:paraId="37807784" w14:textId="77777777" w:rsidR="00A53A8A" w:rsidRPr="00EA1BB2" w:rsidRDefault="009E3645" w:rsidP="00A53A8A">
      <w:pPr>
        <w:spacing w:line="360" w:lineRule="auto"/>
        <w:ind w:firstLine="709"/>
        <w:jc w:val="both"/>
        <w:rPr>
          <w:rFonts w:ascii="Cambria" w:eastAsia="Times New Roman" w:hAnsi="Cambria" w:cs="Times New Roman"/>
          <w:bCs/>
          <w:sz w:val="24"/>
          <w:szCs w:val="26"/>
        </w:rPr>
      </w:pPr>
      <w:bookmarkStart w:id="142" w:name="_Toc497059505"/>
      <w:bookmarkStart w:id="143" w:name="_Toc501546730"/>
      <w:bookmarkStart w:id="144" w:name="_Toc450760748"/>
      <w:r w:rsidRPr="00EA1BB2">
        <w:rPr>
          <w:rFonts w:ascii="Cambria" w:eastAsia="Times New Roman" w:hAnsi="Cambria" w:cs="Times New Roman"/>
          <w:bCs/>
          <w:sz w:val="24"/>
          <w:szCs w:val="26"/>
        </w:rPr>
        <w:t xml:space="preserve">Estimarea contribuțiilor individuale ale fiecărei categorii importante de surse de emisii </w:t>
      </w:r>
      <w:r w:rsidR="00A53A8A" w:rsidRPr="00EA1BB2">
        <w:rPr>
          <w:rFonts w:ascii="Cambria" w:eastAsia="Times New Roman" w:hAnsi="Cambria" w:cs="Times New Roman"/>
          <w:bCs/>
          <w:sz w:val="24"/>
          <w:szCs w:val="26"/>
        </w:rPr>
        <w:t xml:space="preserve">(trafic, industrie inclusiv producția de energie termică și electrică, agricultură, etc.) </w:t>
      </w:r>
      <w:r w:rsidRPr="00EA1BB2">
        <w:rPr>
          <w:rFonts w:ascii="Cambria" w:eastAsia="Times New Roman" w:hAnsi="Cambria" w:cs="Times New Roman"/>
          <w:bCs/>
          <w:sz w:val="24"/>
          <w:szCs w:val="26"/>
        </w:rPr>
        <w:t xml:space="preserve">la nivelul de fond </w:t>
      </w:r>
      <w:r w:rsidR="007E6775" w:rsidRPr="00EA1BB2">
        <w:rPr>
          <w:rFonts w:ascii="Cambria" w:eastAsia="Times New Roman" w:hAnsi="Cambria" w:cs="Times New Roman"/>
          <w:bCs/>
          <w:sz w:val="24"/>
          <w:szCs w:val="26"/>
        </w:rPr>
        <w:t>local</w:t>
      </w:r>
      <w:r w:rsidRPr="00EA1BB2">
        <w:rPr>
          <w:rFonts w:ascii="Cambria" w:eastAsia="Times New Roman" w:hAnsi="Cambria" w:cs="Times New Roman"/>
          <w:bCs/>
          <w:sz w:val="24"/>
          <w:szCs w:val="26"/>
        </w:rPr>
        <w:t xml:space="preserve"> s-a realizat prin modelare și au fost extrase în puncte ce coincid cu amplasamentul stațiilor </w:t>
      </w:r>
      <w:r w:rsidR="00F22F3B" w:rsidRPr="00EA1BB2">
        <w:rPr>
          <w:rFonts w:ascii="Cambria" w:eastAsia="Times New Roman" w:hAnsi="Cambria" w:cs="Times New Roman"/>
          <w:bCs/>
          <w:sz w:val="24"/>
          <w:szCs w:val="26"/>
        </w:rPr>
        <w:t xml:space="preserve">BR1 și BR4 </w:t>
      </w:r>
      <w:r w:rsidRPr="00EA1BB2">
        <w:rPr>
          <w:rFonts w:ascii="Cambria" w:eastAsia="Times New Roman" w:hAnsi="Cambria" w:cs="Times New Roman"/>
          <w:bCs/>
          <w:sz w:val="24"/>
          <w:szCs w:val="26"/>
        </w:rPr>
        <w:t xml:space="preserve">din cadrul RNMCA care se află pe teritoriul </w:t>
      </w:r>
      <w:r w:rsidR="00171C34" w:rsidRPr="00EA1BB2">
        <w:rPr>
          <w:rFonts w:ascii="Cambria" w:eastAsia="Times New Roman" w:hAnsi="Cambria" w:cs="Times New Roman"/>
          <w:bCs/>
          <w:sz w:val="24"/>
          <w:szCs w:val="26"/>
        </w:rPr>
        <w:t>aglomerării</w:t>
      </w:r>
      <w:r w:rsidRPr="00EA1BB2">
        <w:rPr>
          <w:rFonts w:ascii="Cambria" w:eastAsia="Times New Roman" w:hAnsi="Cambria" w:cs="Times New Roman"/>
          <w:bCs/>
          <w:sz w:val="24"/>
          <w:szCs w:val="26"/>
        </w:rPr>
        <w:t xml:space="preserve"> Brăila, </w:t>
      </w:r>
      <w:r w:rsidR="00171C34" w:rsidRPr="00EA1BB2">
        <w:rPr>
          <w:rFonts w:ascii="Cambria" w:eastAsia="Times New Roman" w:hAnsi="Cambria" w:cs="Times New Roman"/>
          <w:bCs/>
          <w:sz w:val="24"/>
          <w:szCs w:val="26"/>
        </w:rPr>
        <w:t xml:space="preserve">și al stației BR5 care se află în zona Brăila, </w:t>
      </w:r>
      <w:r w:rsidRPr="00EA1BB2">
        <w:rPr>
          <w:rFonts w:ascii="Cambria" w:eastAsia="Times New Roman" w:hAnsi="Cambria" w:cs="Times New Roman"/>
          <w:bCs/>
          <w:sz w:val="24"/>
          <w:szCs w:val="26"/>
        </w:rPr>
        <w:t xml:space="preserve">deoarece acestea reprezintă puncte în care se poate monitoriza evoluția, în timp, a efectului aplicării măsurilor din cadrul Planului de </w:t>
      </w:r>
      <w:r w:rsidR="007E6775" w:rsidRPr="00EA1BB2">
        <w:rPr>
          <w:rFonts w:ascii="Cambria" w:eastAsia="Times New Roman" w:hAnsi="Cambria" w:cs="Times New Roman"/>
          <w:bCs/>
          <w:sz w:val="24"/>
          <w:szCs w:val="26"/>
        </w:rPr>
        <w:t xml:space="preserve">menținere a </w:t>
      </w:r>
      <w:r w:rsidRPr="00EA1BB2">
        <w:rPr>
          <w:rFonts w:ascii="Cambria" w:eastAsia="Times New Roman" w:hAnsi="Cambria" w:cs="Times New Roman"/>
          <w:bCs/>
          <w:sz w:val="24"/>
          <w:szCs w:val="26"/>
        </w:rPr>
        <w:t>calit</w:t>
      </w:r>
      <w:r w:rsidR="007E6775" w:rsidRPr="00EA1BB2">
        <w:rPr>
          <w:rFonts w:ascii="Cambria" w:eastAsia="Times New Roman" w:hAnsi="Cambria" w:cs="Times New Roman"/>
          <w:bCs/>
          <w:sz w:val="24"/>
          <w:szCs w:val="26"/>
        </w:rPr>
        <w:t>ății</w:t>
      </w:r>
      <w:r w:rsidRPr="00EA1BB2">
        <w:rPr>
          <w:rFonts w:ascii="Cambria" w:eastAsia="Times New Roman" w:hAnsi="Cambria" w:cs="Times New Roman"/>
          <w:bCs/>
          <w:sz w:val="24"/>
          <w:szCs w:val="26"/>
        </w:rPr>
        <w:t xml:space="preserve"> aerului, prin urmărirea evoluției în timp a valorilor concentrațiilor măsurate.</w:t>
      </w:r>
    </w:p>
    <w:bookmarkEnd w:id="142"/>
    <w:bookmarkEnd w:id="143"/>
    <w:p w14:paraId="5675CFE7" w14:textId="77777777" w:rsidR="00C2266B" w:rsidRPr="00EA1BB2" w:rsidRDefault="007E6775" w:rsidP="007E6775">
      <w:pPr>
        <w:spacing w:line="360" w:lineRule="auto"/>
        <w:ind w:firstLine="709"/>
        <w:jc w:val="both"/>
        <w:rPr>
          <w:rFonts w:ascii="Cambria" w:eastAsia="Times New Roman" w:hAnsi="Cambria" w:cs="Times New Roman"/>
          <w:bCs/>
          <w:sz w:val="24"/>
          <w:szCs w:val="26"/>
        </w:rPr>
      </w:pPr>
      <w:r w:rsidRPr="00EA1BB2">
        <w:rPr>
          <w:rFonts w:ascii="Cambria" w:eastAsia="Times New Roman" w:hAnsi="Cambria" w:cs="Times New Roman"/>
          <w:bCs/>
          <w:sz w:val="24"/>
          <w:szCs w:val="26"/>
        </w:rPr>
        <w:t>Nivelul de fond local a fost calculat, atât în total, cât și pe categorii de surse, ca fiind reprezentată de concentrația medie anuală obținută prin modelare în punctele de amplasament ale stațiilor BR1 de tip trafic și BR4</w:t>
      </w:r>
      <w:r w:rsidR="004832FC" w:rsidRPr="00EA1BB2">
        <w:rPr>
          <w:rFonts w:ascii="Cambria" w:eastAsia="Times New Roman" w:hAnsi="Cambria" w:cs="Times New Roman"/>
          <w:bCs/>
          <w:sz w:val="24"/>
          <w:szCs w:val="26"/>
        </w:rPr>
        <w:t xml:space="preserve"> și BR5</w:t>
      </w:r>
      <w:r w:rsidRPr="00EA1BB2">
        <w:rPr>
          <w:rFonts w:ascii="Cambria" w:eastAsia="Times New Roman" w:hAnsi="Cambria" w:cs="Times New Roman"/>
          <w:bCs/>
          <w:sz w:val="24"/>
          <w:szCs w:val="26"/>
        </w:rPr>
        <w:t xml:space="preserve"> de tip industrial</w:t>
      </w:r>
      <w:r w:rsidR="00A53A8A" w:rsidRPr="00EA1BB2">
        <w:rPr>
          <w:rFonts w:ascii="Cambria" w:eastAsia="Times New Roman" w:hAnsi="Cambria" w:cs="Times New Roman"/>
          <w:bCs/>
          <w:sz w:val="24"/>
          <w:szCs w:val="26"/>
        </w:rPr>
        <w:t>, identificându-se contribuțiile surselor aflate în imediata vecinătate a punctului de monitorizare.</w:t>
      </w:r>
    </w:p>
    <w:p w14:paraId="00B5BFAB" w14:textId="77777777" w:rsidR="007E6775" w:rsidRPr="00EA1BB2" w:rsidRDefault="007E6775" w:rsidP="007E6775">
      <w:pPr>
        <w:spacing w:line="360" w:lineRule="auto"/>
        <w:ind w:firstLine="709"/>
        <w:jc w:val="both"/>
        <w:rPr>
          <w:rFonts w:ascii="Cambria" w:eastAsia="Times New Roman" w:hAnsi="Cambria" w:cs="Times New Roman"/>
          <w:bCs/>
          <w:sz w:val="24"/>
          <w:szCs w:val="26"/>
        </w:rPr>
      </w:pPr>
    </w:p>
    <w:p w14:paraId="5786A211" w14:textId="77777777" w:rsidR="007E6775" w:rsidRPr="00EA1BB2" w:rsidRDefault="007E6775" w:rsidP="007E6775">
      <w:pPr>
        <w:spacing w:line="360" w:lineRule="auto"/>
        <w:ind w:firstLine="709"/>
        <w:jc w:val="both"/>
        <w:rPr>
          <w:rFonts w:ascii="Cambria" w:eastAsia="Times New Roman" w:hAnsi="Cambria" w:cs="Times New Roman"/>
          <w:bCs/>
          <w:sz w:val="24"/>
          <w:szCs w:val="26"/>
        </w:rPr>
      </w:pPr>
    </w:p>
    <w:p w14:paraId="630440B0" w14:textId="77777777" w:rsidR="007E6775" w:rsidRPr="00EA1BB2" w:rsidRDefault="007E6775" w:rsidP="007E6775">
      <w:pPr>
        <w:spacing w:line="360" w:lineRule="auto"/>
        <w:jc w:val="both"/>
        <w:rPr>
          <w:rFonts w:ascii="Cambria" w:eastAsia="Times New Roman" w:hAnsi="Cambria" w:cs="Times New Roman"/>
          <w:bCs/>
          <w:sz w:val="24"/>
          <w:szCs w:val="26"/>
        </w:rPr>
      </w:pPr>
    </w:p>
    <w:p w14:paraId="3532956D" w14:textId="77777777" w:rsidR="007E6775" w:rsidRPr="00EA1BB2" w:rsidRDefault="007E6775" w:rsidP="007E6775">
      <w:pPr>
        <w:spacing w:line="360" w:lineRule="auto"/>
        <w:jc w:val="both"/>
        <w:rPr>
          <w:rFonts w:ascii="Cambria" w:eastAsia="Calibri" w:hAnsi="Cambria" w:cs="Times New Roman"/>
          <w:sz w:val="24"/>
          <w:szCs w:val="24"/>
        </w:rPr>
        <w:sectPr w:rsidR="007E6775" w:rsidRPr="00EA1BB2" w:rsidSect="00EC1F7F">
          <w:headerReference w:type="default" r:id="rId77"/>
          <w:footerReference w:type="default" r:id="rId78"/>
          <w:pgSz w:w="11906" w:h="16838" w:code="9"/>
          <w:pgMar w:top="1247" w:right="1418" w:bottom="1247" w:left="1418" w:header="283" w:footer="283" w:gutter="0"/>
          <w:cols w:space="708"/>
          <w:docGrid w:linePitch="360"/>
        </w:sectPr>
      </w:pPr>
    </w:p>
    <w:p w14:paraId="709B493E" w14:textId="76E24C8B" w:rsidR="007E6B43" w:rsidRPr="00EA1BB2" w:rsidRDefault="007E6B43" w:rsidP="007E6B43">
      <w:pPr>
        <w:pStyle w:val="Caption"/>
        <w:keepNext/>
        <w:spacing w:after="0" w:line="360" w:lineRule="auto"/>
        <w:ind w:firstLine="708"/>
        <w:jc w:val="both"/>
        <w:rPr>
          <w:rFonts w:ascii="Cambria" w:hAnsi="Cambria"/>
        </w:rPr>
      </w:pPr>
      <w:bookmarkStart w:id="145" w:name="_Toc526889795"/>
      <w:r w:rsidRPr="00EA1BB2">
        <w:rPr>
          <w:rFonts w:ascii="Cambria" w:hAnsi="Cambria"/>
        </w:rPr>
        <w:lastRenderedPageBreak/>
        <w:t xml:space="preserve">Tabelul nr. </w:t>
      </w:r>
      <w:r w:rsidR="000A2FE7" w:rsidRPr="00EA1BB2">
        <w:rPr>
          <w:rFonts w:ascii="Cambria" w:hAnsi="Cambria"/>
        </w:rPr>
        <w:fldChar w:fldCharType="begin"/>
      </w:r>
      <w:r w:rsidR="000A2FE7" w:rsidRPr="00EA1BB2">
        <w:rPr>
          <w:rFonts w:ascii="Cambria" w:hAnsi="Cambria"/>
        </w:rPr>
        <w:instrText xml:space="preserve"> STYLEREF 1 \s </w:instrText>
      </w:r>
      <w:r w:rsidR="000A2FE7" w:rsidRPr="00EA1BB2">
        <w:rPr>
          <w:rFonts w:ascii="Cambria" w:hAnsi="Cambria"/>
        </w:rPr>
        <w:fldChar w:fldCharType="separate"/>
      </w:r>
      <w:r w:rsidR="00567555">
        <w:rPr>
          <w:rFonts w:ascii="Cambria" w:hAnsi="Cambria"/>
          <w:noProof/>
        </w:rPr>
        <w:t>3</w:t>
      </w:r>
      <w:r w:rsidR="000A2FE7" w:rsidRPr="00EA1BB2">
        <w:rPr>
          <w:rFonts w:ascii="Cambria" w:hAnsi="Cambria"/>
        </w:rPr>
        <w:fldChar w:fldCharType="end"/>
      </w:r>
      <w:r w:rsidR="000A2FE7" w:rsidRPr="00EA1BB2">
        <w:rPr>
          <w:rFonts w:ascii="Cambria" w:hAnsi="Cambria"/>
        </w:rPr>
        <w:noBreakHyphen/>
      </w:r>
      <w:r w:rsidR="000A2FE7" w:rsidRPr="00EA1BB2">
        <w:rPr>
          <w:rFonts w:ascii="Cambria" w:hAnsi="Cambria"/>
        </w:rPr>
        <w:fldChar w:fldCharType="begin"/>
      </w:r>
      <w:r w:rsidR="000A2FE7" w:rsidRPr="00EA1BB2">
        <w:rPr>
          <w:rFonts w:ascii="Cambria" w:hAnsi="Cambria"/>
        </w:rPr>
        <w:instrText xml:space="preserve"> SEQ Tabelul_nr. \* ARABIC \s 1 </w:instrText>
      </w:r>
      <w:r w:rsidR="000A2FE7" w:rsidRPr="00EA1BB2">
        <w:rPr>
          <w:rFonts w:ascii="Cambria" w:hAnsi="Cambria"/>
        </w:rPr>
        <w:fldChar w:fldCharType="separate"/>
      </w:r>
      <w:r w:rsidR="00567555">
        <w:rPr>
          <w:rFonts w:ascii="Cambria" w:hAnsi="Cambria"/>
          <w:noProof/>
        </w:rPr>
        <w:t>26</w:t>
      </w:r>
      <w:r w:rsidR="000A2FE7" w:rsidRPr="00EA1BB2">
        <w:rPr>
          <w:rFonts w:ascii="Cambria" w:hAnsi="Cambria"/>
        </w:rPr>
        <w:fldChar w:fldCharType="end"/>
      </w:r>
      <w:r w:rsidRPr="00EA1BB2">
        <w:rPr>
          <w:rFonts w:ascii="Cambria" w:hAnsi="Cambria"/>
        </w:rPr>
        <w:t xml:space="preserve"> – Nivelul de fond local pentru poluanții de interes</w:t>
      </w:r>
      <w:bookmarkEnd w:id="145"/>
    </w:p>
    <w:tbl>
      <w:tblPr>
        <w:tblW w:w="143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9"/>
        <w:gridCol w:w="992"/>
        <w:gridCol w:w="1143"/>
        <w:gridCol w:w="1266"/>
        <w:gridCol w:w="1417"/>
        <w:gridCol w:w="2268"/>
        <w:gridCol w:w="1276"/>
        <w:gridCol w:w="1984"/>
        <w:gridCol w:w="1418"/>
        <w:gridCol w:w="1581"/>
      </w:tblGrid>
      <w:tr w:rsidR="007E6B43" w:rsidRPr="00EA1BB2" w14:paraId="4C028318" w14:textId="77777777" w:rsidTr="007E6B43">
        <w:trPr>
          <w:trHeight w:val="300"/>
          <w:tblHeader/>
          <w:jc w:val="center"/>
        </w:trPr>
        <w:tc>
          <w:tcPr>
            <w:tcW w:w="989" w:type="dxa"/>
            <w:vMerge w:val="restart"/>
            <w:shd w:val="clear" w:color="auto" w:fill="BDD6EE" w:themeFill="accent1" w:themeFillTint="66"/>
            <w:noWrap/>
            <w:vAlign w:val="center"/>
          </w:tcPr>
          <w:p w14:paraId="1055B6C7" w14:textId="77777777" w:rsidR="007E6B43" w:rsidRPr="00EA1BB2" w:rsidRDefault="007E6B43" w:rsidP="007E6B43">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0"/>
                <w:lang w:eastAsia="ro-RO"/>
              </w:rPr>
              <w:t>Poluant</w:t>
            </w:r>
          </w:p>
        </w:tc>
        <w:tc>
          <w:tcPr>
            <w:tcW w:w="992" w:type="dxa"/>
            <w:vMerge w:val="restart"/>
            <w:shd w:val="clear" w:color="auto" w:fill="BDD6EE" w:themeFill="accent1" w:themeFillTint="66"/>
            <w:noWrap/>
            <w:vAlign w:val="center"/>
          </w:tcPr>
          <w:p w14:paraId="4351AF75" w14:textId="77777777" w:rsidR="007E6B43" w:rsidRPr="00EA1BB2" w:rsidRDefault="007E6B43" w:rsidP="007E6B43">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0"/>
                <w:lang w:eastAsia="ro-RO"/>
              </w:rPr>
              <w:t>u.m.</w:t>
            </w:r>
          </w:p>
        </w:tc>
        <w:tc>
          <w:tcPr>
            <w:tcW w:w="1143" w:type="dxa"/>
            <w:vMerge w:val="restart"/>
            <w:shd w:val="clear" w:color="auto" w:fill="BDD6EE" w:themeFill="accent1" w:themeFillTint="66"/>
            <w:vAlign w:val="center"/>
          </w:tcPr>
          <w:p w14:paraId="2FC4FA11" w14:textId="77777777" w:rsidR="007E6B43" w:rsidRPr="00EA1BB2" w:rsidRDefault="007E6B43" w:rsidP="007E6B43">
            <w:pPr>
              <w:spacing w:line="360" w:lineRule="auto"/>
              <w:jc w:val="center"/>
              <w:rPr>
                <w:rFonts w:ascii="Cambria" w:eastAsia="Times New Roman" w:hAnsi="Cambria" w:cs="Calibri"/>
                <w:b/>
                <w:color w:val="000000"/>
                <w:sz w:val="20"/>
                <w:szCs w:val="24"/>
                <w:lang w:eastAsia="ro-RO"/>
              </w:rPr>
            </w:pPr>
            <w:r w:rsidRPr="00EA1BB2">
              <w:rPr>
                <w:rFonts w:ascii="Cambria" w:eastAsia="Times New Roman" w:hAnsi="Cambria" w:cs="Calibri"/>
                <w:b/>
                <w:color w:val="000000"/>
                <w:sz w:val="20"/>
                <w:szCs w:val="24"/>
                <w:lang w:eastAsia="ro-RO"/>
              </w:rPr>
              <w:t>Denumire stație</w:t>
            </w:r>
          </w:p>
        </w:tc>
        <w:tc>
          <w:tcPr>
            <w:tcW w:w="1266" w:type="dxa"/>
            <w:vMerge w:val="restart"/>
            <w:shd w:val="clear" w:color="auto" w:fill="BDD6EE" w:themeFill="accent1" w:themeFillTint="66"/>
            <w:noWrap/>
            <w:vAlign w:val="center"/>
          </w:tcPr>
          <w:p w14:paraId="32BA1A7F" w14:textId="77777777" w:rsidR="007E6B43" w:rsidRPr="00EA1BB2" w:rsidRDefault="007E6B43" w:rsidP="007E6B43">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0"/>
                <w:lang w:eastAsia="ro-RO"/>
              </w:rPr>
              <w:t>Tip stație</w:t>
            </w:r>
          </w:p>
        </w:tc>
        <w:tc>
          <w:tcPr>
            <w:tcW w:w="9944" w:type="dxa"/>
            <w:gridSpan w:val="6"/>
            <w:shd w:val="clear" w:color="auto" w:fill="BDD6EE" w:themeFill="accent1" w:themeFillTint="66"/>
            <w:vAlign w:val="center"/>
          </w:tcPr>
          <w:p w14:paraId="28973615" w14:textId="77777777" w:rsidR="007E6B43" w:rsidRPr="00EA1BB2" w:rsidRDefault="007E6B43" w:rsidP="007E6B43">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0"/>
                <w:lang w:eastAsia="ro-RO"/>
              </w:rPr>
              <w:t>Nivelul de fond local Zona Brăila:</w:t>
            </w:r>
          </w:p>
        </w:tc>
      </w:tr>
      <w:tr w:rsidR="007E6B43" w:rsidRPr="00EA1BB2" w14:paraId="207C2E05" w14:textId="77777777" w:rsidTr="007E6B43">
        <w:trPr>
          <w:trHeight w:val="300"/>
          <w:tblHeader/>
          <w:jc w:val="center"/>
        </w:trPr>
        <w:tc>
          <w:tcPr>
            <w:tcW w:w="989" w:type="dxa"/>
            <w:vMerge/>
            <w:shd w:val="clear" w:color="auto" w:fill="BDD6EE" w:themeFill="accent1" w:themeFillTint="66"/>
            <w:noWrap/>
            <w:vAlign w:val="center"/>
            <w:hideMark/>
          </w:tcPr>
          <w:p w14:paraId="176C03CB" w14:textId="77777777" w:rsidR="007E6B43" w:rsidRPr="00EA1BB2" w:rsidRDefault="007E6B43" w:rsidP="007E6B43">
            <w:pPr>
              <w:spacing w:line="360" w:lineRule="auto"/>
              <w:jc w:val="center"/>
              <w:rPr>
                <w:rFonts w:ascii="Cambria" w:eastAsia="Times New Roman" w:hAnsi="Cambria" w:cs="Calibri"/>
                <w:b/>
                <w:color w:val="000000"/>
                <w:sz w:val="20"/>
                <w:szCs w:val="20"/>
                <w:lang w:eastAsia="ro-RO"/>
              </w:rPr>
            </w:pPr>
          </w:p>
        </w:tc>
        <w:tc>
          <w:tcPr>
            <w:tcW w:w="992" w:type="dxa"/>
            <w:vMerge/>
            <w:shd w:val="clear" w:color="auto" w:fill="BDD6EE" w:themeFill="accent1" w:themeFillTint="66"/>
            <w:noWrap/>
            <w:vAlign w:val="center"/>
            <w:hideMark/>
          </w:tcPr>
          <w:p w14:paraId="25DA2E95" w14:textId="77777777" w:rsidR="007E6B43" w:rsidRPr="00EA1BB2" w:rsidRDefault="007E6B43" w:rsidP="007E6B43">
            <w:pPr>
              <w:spacing w:line="360" w:lineRule="auto"/>
              <w:jc w:val="center"/>
              <w:rPr>
                <w:rFonts w:ascii="Cambria" w:eastAsia="Times New Roman" w:hAnsi="Cambria" w:cs="Calibri"/>
                <w:b/>
                <w:color w:val="000000"/>
                <w:sz w:val="20"/>
                <w:szCs w:val="20"/>
                <w:lang w:eastAsia="ro-RO"/>
              </w:rPr>
            </w:pPr>
          </w:p>
        </w:tc>
        <w:tc>
          <w:tcPr>
            <w:tcW w:w="1143" w:type="dxa"/>
            <w:vMerge/>
            <w:shd w:val="clear" w:color="auto" w:fill="BDD6EE" w:themeFill="accent1" w:themeFillTint="66"/>
            <w:vAlign w:val="center"/>
          </w:tcPr>
          <w:p w14:paraId="3E39C792" w14:textId="77777777" w:rsidR="007E6B43" w:rsidRPr="00EA1BB2" w:rsidRDefault="007E6B43" w:rsidP="007E6B43">
            <w:pPr>
              <w:spacing w:line="360" w:lineRule="auto"/>
              <w:jc w:val="center"/>
              <w:rPr>
                <w:rFonts w:ascii="Cambria" w:eastAsia="Times New Roman" w:hAnsi="Cambria" w:cs="Calibri"/>
                <w:b/>
                <w:color w:val="000000"/>
                <w:sz w:val="20"/>
                <w:szCs w:val="20"/>
                <w:lang w:eastAsia="ro-RO"/>
              </w:rPr>
            </w:pPr>
          </w:p>
        </w:tc>
        <w:tc>
          <w:tcPr>
            <w:tcW w:w="1266" w:type="dxa"/>
            <w:vMerge/>
            <w:shd w:val="clear" w:color="auto" w:fill="BDD6EE" w:themeFill="accent1" w:themeFillTint="66"/>
            <w:noWrap/>
            <w:vAlign w:val="center"/>
            <w:hideMark/>
          </w:tcPr>
          <w:p w14:paraId="49AA03C8" w14:textId="77777777" w:rsidR="007E6B43" w:rsidRPr="00EA1BB2" w:rsidRDefault="007E6B43" w:rsidP="007E6B43">
            <w:pPr>
              <w:spacing w:line="360" w:lineRule="auto"/>
              <w:jc w:val="center"/>
              <w:rPr>
                <w:rFonts w:ascii="Cambria" w:eastAsia="Times New Roman" w:hAnsi="Cambria" w:cs="Calibri"/>
                <w:b/>
                <w:color w:val="000000"/>
                <w:sz w:val="20"/>
                <w:szCs w:val="20"/>
                <w:lang w:eastAsia="ro-RO"/>
              </w:rPr>
            </w:pPr>
          </w:p>
        </w:tc>
        <w:tc>
          <w:tcPr>
            <w:tcW w:w="1417" w:type="dxa"/>
            <w:shd w:val="clear" w:color="auto" w:fill="BDD6EE" w:themeFill="accent1" w:themeFillTint="66"/>
            <w:vAlign w:val="center"/>
          </w:tcPr>
          <w:p w14:paraId="1A5FDE09" w14:textId="77777777" w:rsidR="007E6B43" w:rsidRPr="00EA1BB2" w:rsidRDefault="007E6B43" w:rsidP="007E6B43">
            <w:pPr>
              <w:spacing w:line="360" w:lineRule="auto"/>
              <w:jc w:val="center"/>
              <w:rPr>
                <w:rFonts w:ascii="Cambria" w:hAnsi="Cambria"/>
                <w:b/>
                <w:sz w:val="20"/>
                <w:szCs w:val="20"/>
              </w:rPr>
            </w:pPr>
            <w:r w:rsidRPr="00EA1BB2">
              <w:rPr>
                <w:rFonts w:ascii="Cambria" w:hAnsi="Cambria"/>
                <w:b/>
                <w:sz w:val="20"/>
                <w:szCs w:val="20"/>
              </w:rPr>
              <w:t>total</w:t>
            </w:r>
          </w:p>
        </w:tc>
        <w:tc>
          <w:tcPr>
            <w:tcW w:w="2268" w:type="dxa"/>
            <w:shd w:val="clear" w:color="auto" w:fill="BDD6EE" w:themeFill="accent1" w:themeFillTint="66"/>
            <w:vAlign w:val="center"/>
          </w:tcPr>
          <w:p w14:paraId="6AD5B298" w14:textId="77777777" w:rsidR="007E6B43" w:rsidRPr="00EA1BB2" w:rsidRDefault="007E6B43" w:rsidP="007E6B43">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0"/>
                <w:lang w:eastAsia="ro-RO"/>
              </w:rPr>
              <w:t>industrie, inclusiv producția de energie termică și electrică</w:t>
            </w:r>
          </w:p>
        </w:tc>
        <w:tc>
          <w:tcPr>
            <w:tcW w:w="1276" w:type="dxa"/>
            <w:shd w:val="clear" w:color="auto" w:fill="BDD6EE" w:themeFill="accent1" w:themeFillTint="66"/>
            <w:vAlign w:val="center"/>
          </w:tcPr>
          <w:p w14:paraId="23315B52" w14:textId="77777777" w:rsidR="007E6B43" w:rsidRPr="00EA1BB2" w:rsidRDefault="007E6B43" w:rsidP="007E6B43">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0"/>
                <w:lang w:eastAsia="ro-RO"/>
              </w:rPr>
              <w:t>agricultură</w:t>
            </w:r>
          </w:p>
        </w:tc>
        <w:tc>
          <w:tcPr>
            <w:tcW w:w="1984" w:type="dxa"/>
            <w:shd w:val="clear" w:color="auto" w:fill="BDD6EE" w:themeFill="accent1" w:themeFillTint="66"/>
            <w:vAlign w:val="center"/>
          </w:tcPr>
          <w:p w14:paraId="3789140F" w14:textId="77777777" w:rsidR="007E6B43" w:rsidRPr="00EA1BB2" w:rsidRDefault="007E6B43" w:rsidP="007E6B43">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0"/>
                <w:lang w:eastAsia="ro-RO"/>
              </w:rPr>
              <w:t>surse rezidențiale, comerciale și instituționale</w:t>
            </w:r>
          </w:p>
        </w:tc>
        <w:tc>
          <w:tcPr>
            <w:tcW w:w="1418" w:type="dxa"/>
            <w:shd w:val="clear" w:color="auto" w:fill="BDD6EE" w:themeFill="accent1" w:themeFillTint="66"/>
            <w:vAlign w:val="center"/>
          </w:tcPr>
          <w:p w14:paraId="20D350ED" w14:textId="77777777" w:rsidR="007E6B43" w:rsidRPr="00EA1BB2" w:rsidRDefault="007E6B43" w:rsidP="007E6B43">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0"/>
                <w:lang w:eastAsia="ro-RO"/>
              </w:rPr>
              <w:t>transport</w:t>
            </w:r>
          </w:p>
        </w:tc>
        <w:tc>
          <w:tcPr>
            <w:tcW w:w="1581" w:type="dxa"/>
            <w:shd w:val="clear" w:color="auto" w:fill="BDD6EE" w:themeFill="accent1" w:themeFillTint="66"/>
            <w:vAlign w:val="center"/>
          </w:tcPr>
          <w:p w14:paraId="65D466E4" w14:textId="77777777" w:rsidR="007E6B43" w:rsidRPr="00EA1BB2" w:rsidRDefault="007E6B43" w:rsidP="007E6B43">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4"/>
                <w:lang w:eastAsia="ro-RO"/>
              </w:rPr>
              <w:t>Nivelul de fond regional</w:t>
            </w:r>
          </w:p>
        </w:tc>
      </w:tr>
      <w:tr w:rsidR="00FC23BB" w:rsidRPr="00EA1BB2" w14:paraId="4821A138" w14:textId="77777777" w:rsidTr="007E6B43">
        <w:trPr>
          <w:trHeight w:val="188"/>
          <w:jc w:val="center"/>
        </w:trPr>
        <w:tc>
          <w:tcPr>
            <w:tcW w:w="989" w:type="dxa"/>
            <w:shd w:val="clear" w:color="auto" w:fill="auto"/>
            <w:noWrap/>
            <w:vAlign w:val="center"/>
          </w:tcPr>
          <w:p w14:paraId="56FE2C97" w14:textId="77777777" w:rsidR="00FC23BB" w:rsidRPr="00EA1BB2" w:rsidRDefault="00FC23BB" w:rsidP="00FC23BB">
            <w:pPr>
              <w:spacing w:line="360" w:lineRule="auto"/>
              <w:jc w:val="center"/>
              <w:rPr>
                <w:rFonts w:ascii="Cambria" w:eastAsia="Times New Roman" w:hAnsi="Cambria" w:cs="Arial"/>
                <w:color w:val="000000"/>
                <w:sz w:val="24"/>
                <w:szCs w:val="24"/>
                <w:lang w:eastAsia="ro-RO"/>
              </w:rPr>
            </w:pPr>
            <w:r w:rsidRPr="00EA1BB2">
              <w:rPr>
                <w:rFonts w:ascii="Cambria" w:hAnsi="Cambria" w:cs="Calibri"/>
                <w:color w:val="000000"/>
                <w:sz w:val="24"/>
                <w:szCs w:val="24"/>
              </w:rPr>
              <w:t>SO</w:t>
            </w:r>
            <w:r w:rsidRPr="00EA1BB2">
              <w:rPr>
                <w:rFonts w:ascii="Cambria" w:hAnsi="Cambria" w:cs="Calibri"/>
                <w:color w:val="000000"/>
                <w:sz w:val="24"/>
                <w:szCs w:val="24"/>
                <w:vertAlign w:val="subscript"/>
              </w:rPr>
              <w:t>2</w:t>
            </w:r>
          </w:p>
        </w:tc>
        <w:tc>
          <w:tcPr>
            <w:tcW w:w="992" w:type="dxa"/>
            <w:shd w:val="clear" w:color="auto" w:fill="auto"/>
            <w:noWrap/>
            <w:vAlign w:val="center"/>
          </w:tcPr>
          <w:p w14:paraId="70016E3A" w14:textId="77777777" w:rsidR="00FC23BB" w:rsidRPr="00EA1BB2" w:rsidRDefault="00FC23BB" w:rsidP="00FC23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µ</w:t>
            </w:r>
            <w:r w:rsidRPr="00EA1BB2">
              <w:rPr>
                <w:rFonts w:ascii="Cambria" w:eastAsia="Times New Roman" w:hAnsi="Cambria" w:cs="Calibri"/>
                <w:color w:val="000000"/>
                <w:sz w:val="24"/>
                <w:szCs w:val="24"/>
                <w:lang w:eastAsia="ro-RO"/>
              </w:rPr>
              <w:t>g/m</w:t>
            </w:r>
            <w:r w:rsidRPr="00EA1BB2">
              <w:rPr>
                <w:rFonts w:ascii="Cambria" w:eastAsia="Times New Roman" w:hAnsi="Cambria" w:cs="Calibri"/>
                <w:color w:val="000000"/>
                <w:sz w:val="24"/>
                <w:szCs w:val="24"/>
                <w:vertAlign w:val="superscript"/>
                <w:lang w:eastAsia="ro-RO"/>
              </w:rPr>
              <w:t>3</w:t>
            </w:r>
          </w:p>
        </w:tc>
        <w:tc>
          <w:tcPr>
            <w:tcW w:w="1143" w:type="dxa"/>
            <w:shd w:val="clear" w:color="auto" w:fill="auto"/>
            <w:vAlign w:val="bottom"/>
          </w:tcPr>
          <w:p w14:paraId="01EE8AF4" w14:textId="77777777" w:rsidR="00FC23BB" w:rsidRPr="00EA1BB2" w:rsidRDefault="00FC23BB" w:rsidP="00FC23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BR5</w:t>
            </w:r>
          </w:p>
        </w:tc>
        <w:tc>
          <w:tcPr>
            <w:tcW w:w="1266" w:type="dxa"/>
            <w:shd w:val="clear" w:color="auto" w:fill="auto"/>
            <w:noWrap/>
          </w:tcPr>
          <w:p w14:paraId="37556B10" w14:textId="77777777" w:rsidR="00FC23BB" w:rsidRPr="00EA1BB2" w:rsidRDefault="00FC23BB" w:rsidP="00FC23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Industrial</w:t>
            </w:r>
          </w:p>
        </w:tc>
        <w:tc>
          <w:tcPr>
            <w:tcW w:w="1417" w:type="dxa"/>
          </w:tcPr>
          <w:p w14:paraId="62F91609"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3,681</w:t>
            </w:r>
          </w:p>
        </w:tc>
        <w:tc>
          <w:tcPr>
            <w:tcW w:w="2268" w:type="dxa"/>
          </w:tcPr>
          <w:p w14:paraId="08CF4438"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276" w:type="dxa"/>
          </w:tcPr>
          <w:p w14:paraId="1278CFDE"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984" w:type="dxa"/>
          </w:tcPr>
          <w:p w14:paraId="3FCB41FA"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0,002</w:t>
            </w:r>
          </w:p>
        </w:tc>
        <w:tc>
          <w:tcPr>
            <w:tcW w:w="1418" w:type="dxa"/>
          </w:tcPr>
          <w:p w14:paraId="73AEF4DA"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581" w:type="dxa"/>
          </w:tcPr>
          <w:p w14:paraId="19F431A7"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3,679</w:t>
            </w:r>
          </w:p>
        </w:tc>
      </w:tr>
      <w:tr w:rsidR="00FC23BB" w:rsidRPr="00EA1BB2" w14:paraId="5E8E027E" w14:textId="77777777" w:rsidTr="007E6B43">
        <w:trPr>
          <w:trHeight w:val="188"/>
          <w:jc w:val="center"/>
        </w:trPr>
        <w:tc>
          <w:tcPr>
            <w:tcW w:w="989" w:type="dxa"/>
            <w:shd w:val="clear" w:color="auto" w:fill="auto"/>
            <w:noWrap/>
            <w:vAlign w:val="center"/>
          </w:tcPr>
          <w:p w14:paraId="4D32BB1B" w14:textId="77777777" w:rsidR="00FC23BB" w:rsidRPr="00EA1BB2" w:rsidRDefault="00FC23BB" w:rsidP="00FC23BB">
            <w:pPr>
              <w:spacing w:line="360" w:lineRule="auto"/>
              <w:jc w:val="center"/>
              <w:rPr>
                <w:rFonts w:ascii="Cambria" w:eastAsia="Times New Roman" w:hAnsi="Cambria" w:cs="Arial"/>
                <w:color w:val="000000"/>
                <w:sz w:val="24"/>
                <w:szCs w:val="24"/>
                <w:lang w:eastAsia="ro-RO"/>
              </w:rPr>
            </w:pPr>
            <w:r w:rsidRPr="00EA1BB2">
              <w:rPr>
                <w:rFonts w:ascii="Cambria" w:hAnsi="Cambria" w:cs="Calibri"/>
                <w:color w:val="000000"/>
                <w:sz w:val="24"/>
                <w:szCs w:val="24"/>
              </w:rPr>
              <w:t>NO</w:t>
            </w:r>
            <w:r w:rsidRPr="00EA1BB2">
              <w:rPr>
                <w:rFonts w:ascii="Cambria" w:hAnsi="Cambria" w:cs="Calibri"/>
                <w:color w:val="000000"/>
                <w:sz w:val="24"/>
                <w:szCs w:val="24"/>
                <w:vertAlign w:val="subscript"/>
              </w:rPr>
              <w:t>2</w:t>
            </w:r>
          </w:p>
        </w:tc>
        <w:tc>
          <w:tcPr>
            <w:tcW w:w="992" w:type="dxa"/>
            <w:shd w:val="clear" w:color="auto" w:fill="auto"/>
            <w:noWrap/>
            <w:vAlign w:val="center"/>
          </w:tcPr>
          <w:p w14:paraId="2E40EBE0" w14:textId="77777777" w:rsidR="00FC23BB" w:rsidRPr="00EA1BB2" w:rsidRDefault="00FC23BB" w:rsidP="00FC23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µ</w:t>
            </w:r>
            <w:r w:rsidRPr="00EA1BB2">
              <w:rPr>
                <w:rFonts w:ascii="Cambria" w:eastAsia="Times New Roman" w:hAnsi="Cambria" w:cs="Calibri"/>
                <w:color w:val="000000"/>
                <w:sz w:val="24"/>
                <w:szCs w:val="24"/>
                <w:lang w:eastAsia="ro-RO"/>
              </w:rPr>
              <w:t>g/m</w:t>
            </w:r>
            <w:r w:rsidRPr="00EA1BB2">
              <w:rPr>
                <w:rFonts w:ascii="Cambria" w:eastAsia="Times New Roman" w:hAnsi="Cambria" w:cs="Calibri"/>
                <w:color w:val="000000"/>
                <w:sz w:val="24"/>
                <w:szCs w:val="24"/>
                <w:vertAlign w:val="superscript"/>
                <w:lang w:eastAsia="ro-RO"/>
              </w:rPr>
              <w:t>3</w:t>
            </w:r>
          </w:p>
        </w:tc>
        <w:tc>
          <w:tcPr>
            <w:tcW w:w="1143" w:type="dxa"/>
            <w:shd w:val="clear" w:color="auto" w:fill="auto"/>
          </w:tcPr>
          <w:p w14:paraId="0BA5CDE4" w14:textId="77777777" w:rsidR="00FC23BB" w:rsidRPr="00EA1BB2" w:rsidRDefault="00FC23BB" w:rsidP="00FC23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BR5</w:t>
            </w:r>
          </w:p>
        </w:tc>
        <w:tc>
          <w:tcPr>
            <w:tcW w:w="1266" w:type="dxa"/>
            <w:shd w:val="clear" w:color="auto" w:fill="auto"/>
            <w:noWrap/>
          </w:tcPr>
          <w:p w14:paraId="72D84B50" w14:textId="77777777" w:rsidR="00FC23BB" w:rsidRPr="00EA1BB2" w:rsidRDefault="00FC23BB" w:rsidP="00FC23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Industrial</w:t>
            </w:r>
          </w:p>
        </w:tc>
        <w:tc>
          <w:tcPr>
            <w:tcW w:w="1417" w:type="dxa"/>
          </w:tcPr>
          <w:p w14:paraId="6ECE31B3"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11,686</w:t>
            </w:r>
          </w:p>
        </w:tc>
        <w:tc>
          <w:tcPr>
            <w:tcW w:w="2268" w:type="dxa"/>
          </w:tcPr>
          <w:p w14:paraId="775580C2"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0,004</w:t>
            </w:r>
          </w:p>
        </w:tc>
        <w:tc>
          <w:tcPr>
            <w:tcW w:w="1276" w:type="dxa"/>
          </w:tcPr>
          <w:p w14:paraId="26397F80"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984" w:type="dxa"/>
          </w:tcPr>
          <w:p w14:paraId="06DD1012"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0,018</w:t>
            </w:r>
          </w:p>
        </w:tc>
        <w:tc>
          <w:tcPr>
            <w:tcW w:w="1418" w:type="dxa"/>
          </w:tcPr>
          <w:p w14:paraId="69BE295A"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0,001</w:t>
            </w:r>
          </w:p>
        </w:tc>
        <w:tc>
          <w:tcPr>
            <w:tcW w:w="1581" w:type="dxa"/>
          </w:tcPr>
          <w:p w14:paraId="3F453EFB"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11,663</w:t>
            </w:r>
          </w:p>
        </w:tc>
      </w:tr>
      <w:tr w:rsidR="00FC23BB" w:rsidRPr="00EA1BB2" w14:paraId="2151E761" w14:textId="77777777" w:rsidTr="007E6B43">
        <w:trPr>
          <w:trHeight w:val="188"/>
          <w:jc w:val="center"/>
        </w:trPr>
        <w:tc>
          <w:tcPr>
            <w:tcW w:w="989" w:type="dxa"/>
            <w:shd w:val="clear" w:color="auto" w:fill="auto"/>
            <w:noWrap/>
            <w:vAlign w:val="center"/>
          </w:tcPr>
          <w:p w14:paraId="0902776A"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cs="Calibri"/>
                <w:color w:val="000000"/>
                <w:sz w:val="24"/>
                <w:szCs w:val="24"/>
              </w:rPr>
              <w:t>NOx</w:t>
            </w:r>
          </w:p>
        </w:tc>
        <w:tc>
          <w:tcPr>
            <w:tcW w:w="992" w:type="dxa"/>
            <w:shd w:val="clear" w:color="auto" w:fill="auto"/>
            <w:noWrap/>
            <w:vAlign w:val="center"/>
          </w:tcPr>
          <w:p w14:paraId="3EABD69B" w14:textId="77777777" w:rsidR="00FC23BB" w:rsidRPr="00EA1BB2" w:rsidRDefault="00FC23BB" w:rsidP="00FC23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µg/m</w:t>
            </w:r>
            <w:r w:rsidRPr="00EA1BB2">
              <w:rPr>
                <w:rFonts w:ascii="Cambria" w:eastAsia="Times New Roman" w:hAnsi="Cambria" w:cs="Arial"/>
                <w:color w:val="000000"/>
                <w:sz w:val="24"/>
                <w:szCs w:val="24"/>
                <w:vertAlign w:val="superscript"/>
                <w:lang w:eastAsia="ro-RO"/>
              </w:rPr>
              <w:t>3</w:t>
            </w:r>
          </w:p>
        </w:tc>
        <w:tc>
          <w:tcPr>
            <w:tcW w:w="1143" w:type="dxa"/>
            <w:shd w:val="clear" w:color="auto" w:fill="auto"/>
          </w:tcPr>
          <w:p w14:paraId="6154BB84" w14:textId="77777777" w:rsidR="00FC23BB" w:rsidRPr="00EA1BB2" w:rsidRDefault="00FC23BB" w:rsidP="00FC23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BR5</w:t>
            </w:r>
          </w:p>
        </w:tc>
        <w:tc>
          <w:tcPr>
            <w:tcW w:w="1266" w:type="dxa"/>
            <w:shd w:val="clear" w:color="auto" w:fill="auto"/>
            <w:noWrap/>
          </w:tcPr>
          <w:p w14:paraId="0AAAB489" w14:textId="77777777" w:rsidR="00FC23BB" w:rsidRPr="00EA1BB2" w:rsidRDefault="00FC23BB" w:rsidP="00FC23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Industrial</w:t>
            </w:r>
          </w:p>
        </w:tc>
        <w:tc>
          <w:tcPr>
            <w:tcW w:w="1417" w:type="dxa"/>
          </w:tcPr>
          <w:p w14:paraId="51DCAFBB"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12,214</w:t>
            </w:r>
          </w:p>
        </w:tc>
        <w:tc>
          <w:tcPr>
            <w:tcW w:w="2268" w:type="dxa"/>
          </w:tcPr>
          <w:p w14:paraId="1A4E691C"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0,004</w:t>
            </w:r>
          </w:p>
        </w:tc>
        <w:tc>
          <w:tcPr>
            <w:tcW w:w="1276" w:type="dxa"/>
          </w:tcPr>
          <w:p w14:paraId="4D231849"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984" w:type="dxa"/>
          </w:tcPr>
          <w:p w14:paraId="56677C70"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0,018</w:t>
            </w:r>
          </w:p>
        </w:tc>
        <w:tc>
          <w:tcPr>
            <w:tcW w:w="1418" w:type="dxa"/>
          </w:tcPr>
          <w:p w14:paraId="5B1DBF4F"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0,001</w:t>
            </w:r>
          </w:p>
        </w:tc>
        <w:tc>
          <w:tcPr>
            <w:tcW w:w="1581" w:type="dxa"/>
          </w:tcPr>
          <w:p w14:paraId="1F4125C0"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12,191</w:t>
            </w:r>
          </w:p>
        </w:tc>
      </w:tr>
      <w:tr w:rsidR="00FC23BB" w:rsidRPr="00EA1BB2" w14:paraId="0BA0239A" w14:textId="77777777" w:rsidTr="007E6B43">
        <w:trPr>
          <w:trHeight w:val="188"/>
          <w:jc w:val="center"/>
        </w:trPr>
        <w:tc>
          <w:tcPr>
            <w:tcW w:w="989" w:type="dxa"/>
            <w:shd w:val="clear" w:color="auto" w:fill="auto"/>
            <w:noWrap/>
            <w:vAlign w:val="center"/>
          </w:tcPr>
          <w:p w14:paraId="5E2649A8" w14:textId="77777777" w:rsidR="00FC23BB" w:rsidRPr="00EA1BB2" w:rsidRDefault="00FC23BB" w:rsidP="00FC23BB">
            <w:pPr>
              <w:spacing w:line="360" w:lineRule="auto"/>
              <w:jc w:val="center"/>
              <w:rPr>
                <w:rFonts w:ascii="Cambria" w:eastAsia="Times New Roman" w:hAnsi="Cambria" w:cs="Arial"/>
                <w:color w:val="000000"/>
                <w:sz w:val="24"/>
                <w:szCs w:val="24"/>
                <w:lang w:eastAsia="ro-RO"/>
              </w:rPr>
            </w:pPr>
            <w:r w:rsidRPr="00EA1BB2">
              <w:rPr>
                <w:rFonts w:ascii="Cambria" w:hAnsi="Cambria" w:cs="Calibri"/>
                <w:color w:val="000000"/>
                <w:sz w:val="24"/>
                <w:szCs w:val="24"/>
              </w:rPr>
              <w:t>CO</w:t>
            </w:r>
          </w:p>
        </w:tc>
        <w:tc>
          <w:tcPr>
            <w:tcW w:w="992" w:type="dxa"/>
            <w:shd w:val="clear" w:color="auto" w:fill="auto"/>
            <w:noWrap/>
            <w:vAlign w:val="center"/>
          </w:tcPr>
          <w:p w14:paraId="7DE48E90" w14:textId="77777777" w:rsidR="00FC23BB" w:rsidRPr="00EA1BB2" w:rsidRDefault="00FC23BB" w:rsidP="00FC23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m</w:t>
            </w:r>
            <w:r w:rsidRPr="00EA1BB2">
              <w:rPr>
                <w:rFonts w:ascii="Cambria" w:eastAsia="Times New Roman" w:hAnsi="Cambria" w:cs="Calibri"/>
                <w:color w:val="000000"/>
                <w:sz w:val="24"/>
                <w:szCs w:val="24"/>
                <w:lang w:eastAsia="ro-RO"/>
              </w:rPr>
              <w:t>g/m</w:t>
            </w:r>
            <w:r w:rsidRPr="00EA1BB2">
              <w:rPr>
                <w:rFonts w:ascii="Cambria" w:eastAsia="Times New Roman" w:hAnsi="Cambria" w:cs="Calibri"/>
                <w:color w:val="000000"/>
                <w:sz w:val="24"/>
                <w:szCs w:val="24"/>
                <w:vertAlign w:val="superscript"/>
                <w:lang w:eastAsia="ro-RO"/>
              </w:rPr>
              <w:t>3</w:t>
            </w:r>
          </w:p>
        </w:tc>
        <w:tc>
          <w:tcPr>
            <w:tcW w:w="1143" w:type="dxa"/>
            <w:shd w:val="clear" w:color="auto" w:fill="auto"/>
          </w:tcPr>
          <w:p w14:paraId="443E3707" w14:textId="77777777" w:rsidR="00FC23BB" w:rsidRPr="00EA1BB2" w:rsidRDefault="00FC23BB" w:rsidP="00FC23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BR5</w:t>
            </w:r>
          </w:p>
        </w:tc>
        <w:tc>
          <w:tcPr>
            <w:tcW w:w="1266" w:type="dxa"/>
            <w:shd w:val="clear" w:color="auto" w:fill="auto"/>
            <w:noWrap/>
          </w:tcPr>
          <w:p w14:paraId="21D1E62E" w14:textId="77777777" w:rsidR="00FC23BB" w:rsidRPr="00EA1BB2" w:rsidRDefault="00FC23BB" w:rsidP="00FC23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Industrial</w:t>
            </w:r>
          </w:p>
        </w:tc>
        <w:tc>
          <w:tcPr>
            <w:tcW w:w="1417" w:type="dxa"/>
          </w:tcPr>
          <w:p w14:paraId="0C783600"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0,631</w:t>
            </w:r>
          </w:p>
        </w:tc>
        <w:tc>
          <w:tcPr>
            <w:tcW w:w="2268" w:type="dxa"/>
          </w:tcPr>
          <w:p w14:paraId="7ABC55D1"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276" w:type="dxa"/>
          </w:tcPr>
          <w:p w14:paraId="26353F7E"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984" w:type="dxa"/>
          </w:tcPr>
          <w:p w14:paraId="63D19552"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0,001</w:t>
            </w:r>
          </w:p>
        </w:tc>
        <w:tc>
          <w:tcPr>
            <w:tcW w:w="1418" w:type="dxa"/>
          </w:tcPr>
          <w:p w14:paraId="7A5A4EBD"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581" w:type="dxa"/>
          </w:tcPr>
          <w:p w14:paraId="758BB4B3"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0,63</w:t>
            </w:r>
          </w:p>
        </w:tc>
      </w:tr>
      <w:tr w:rsidR="00FC23BB" w:rsidRPr="00EA1BB2" w14:paraId="40768616" w14:textId="77777777" w:rsidTr="007E6B43">
        <w:trPr>
          <w:trHeight w:val="188"/>
          <w:jc w:val="center"/>
        </w:trPr>
        <w:tc>
          <w:tcPr>
            <w:tcW w:w="989" w:type="dxa"/>
            <w:shd w:val="clear" w:color="auto" w:fill="auto"/>
            <w:noWrap/>
            <w:vAlign w:val="center"/>
          </w:tcPr>
          <w:p w14:paraId="19828611" w14:textId="77777777" w:rsidR="00FC23BB" w:rsidRPr="00EA1BB2" w:rsidRDefault="00FC23BB" w:rsidP="00FC23BB">
            <w:pPr>
              <w:spacing w:line="360" w:lineRule="auto"/>
              <w:jc w:val="center"/>
              <w:rPr>
                <w:rFonts w:ascii="Cambria" w:eastAsia="Times New Roman" w:hAnsi="Cambria" w:cs="Arial"/>
                <w:color w:val="000000"/>
                <w:sz w:val="24"/>
                <w:szCs w:val="24"/>
                <w:lang w:eastAsia="ro-RO"/>
              </w:rPr>
            </w:pPr>
            <w:r w:rsidRPr="00EA1BB2">
              <w:rPr>
                <w:rFonts w:ascii="Cambria" w:hAnsi="Cambria" w:cs="Calibri"/>
                <w:color w:val="000000"/>
                <w:sz w:val="24"/>
                <w:szCs w:val="24"/>
              </w:rPr>
              <w:t>C</w:t>
            </w:r>
            <w:r w:rsidRPr="00EA1BB2">
              <w:rPr>
                <w:rFonts w:ascii="Cambria" w:hAnsi="Cambria" w:cs="Calibri"/>
                <w:color w:val="000000"/>
                <w:sz w:val="24"/>
                <w:szCs w:val="24"/>
                <w:vertAlign w:val="subscript"/>
              </w:rPr>
              <w:t>6</w:t>
            </w:r>
            <w:r w:rsidRPr="00EA1BB2">
              <w:rPr>
                <w:rFonts w:ascii="Cambria" w:hAnsi="Cambria" w:cs="Calibri"/>
                <w:color w:val="000000"/>
                <w:sz w:val="24"/>
                <w:szCs w:val="24"/>
              </w:rPr>
              <w:t>H</w:t>
            </w:r>
            <w:r w:rsidRPr="00EA1BB2">
              <w:rPr>
                <w:rFonts w:ascii="Cambria" w:hAnsi="Cambria" w:cs="Calibri"/>
                <w:color w:val="000000"/>
                <w:sz w:val="24"/>
                <w:szCs w:val="24"/>
                <w:vertAlign w:val="subscript"/>
              </w:rPr>
              <w:t>6</w:t>
            </w:r>
          </w:p>
        </w:tc>
        <w:tc>
          <w:tcPr>
            <w:tcW w:w="992" w:type="dxa"/>
            <w:shd w:val="clear" w:color="auto" w:fill="auto"/>
            <w:noWrap/>
            <w:vAlign w:val="center"/>
          </w:tcPr>
          <w:p w14:paraId="3F5DF9B7" w14:textId="77777777" w:rsidR="00FC23BB" w:rsidRPr="00EA1BB2" w:rsidRDefault="00FC23BB" w:rsidP="00FC23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µ</w:t>
            </w:r>
            <w:r w:rsidRPr="00EA1BB2">
              <w:rPr>
                <w:rFonts w:ascii="Cambria" w:eastAsia="Times New Roman" w:hAnsi="Cambria" w:cs="Calibri"/>
                <w:color w:val="000000"/>
                <w:sz w:val="24"/>
                <w:szCs w:val="24"/>
                <w:lang w:eastAsia="ro-RO"/>
              </w:rPr>
              <w:t>g/m</w:t>
            </w:r>
            <w:r w:rsidRPr="00EA1BB2">
              <w:rPr>
                <w:rFonts w:ascii="Cambria" w:eastAsia="Times New Roman" w:hAnsi="Cambria" w:cs="Calibri"/>
                <w:color w:val="000000"/>
                <w:sz w:val="24"/>
                <w:szCs w:val="24"/>
                <w:vertAlign w:val="superscript"/>
                <w:lang w:eastAsia="ro-RO"/>
              </w:rPr>
              <w:t>3</w:t>
            </w:r>
          </w:p>
        </w:tc>
        <w:tc>
          <w:tcPr>
            <w:tcW w:w="1143" w:type="dxa"/>
            <w:shd w:val="clear" w:color="auto" w:fill="auto"/>
          </w:tcPr>
          <w:p w14:paraId="1341BC85" w14:textId="77777777" w:rsidR="00FC23BB" w:rsidRPr="00EA1BB2" w:rsidRDefault="00FC23BB" w:rsidP="00FC23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BR5</w:t>
            </w:r>
          </w:p>
        </w:tc>
        <w:tc>
          <w:tcPr>
            <w:tcW w:w="1266" w:type="dxa"/>
            <w:shd w:val="clear" w:color="auto" w:fill="auto"/>
            <w:noWrap/>
          </w:tcPr>
          <w:p w14:paraId="5BEA0864" w14:textId="77777777" w:rsidR="00FC23BB" w:rsidRPr="00EA1BB2" w:rsidRDefault="00FC23BB" w:rsidP="00FC23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Industrial</w:t>
            </w:r>
          </w:p>
        </w:tc>
        <w:tc>
          <w:tcPr>
            <w:tcW w:w="1417" w:type="dxa"/>
          </w:tcPr>
          <w:p w14:paraId="3C50C882"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1,173</w:t>
            </w:r>
          </w:p>
        </w:tc>
        <w:tc>
          <w:tcPr>
            <w:tcW w:w="2268" w:type="dxa"/>
          </w:tcPr>
          <w:p w14:paraId="0228F773"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cs="Calibri"/>
                <w:color w:val="000000"/>
                <w:sz w:val="24"/>
                <w:szCs w:val="24"/>
              </w:rPr>
              <w:t>0</w:t>
            </w:r>
          </w:p>
        </w:tc>
        <w:tc>
          <w:tcPr>
            <w:tcW w:w="1276" w:type="dxa"/>
          </w:tcPr>
          <w:p w14:paraId="78A9B08B"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cs="Calibri"/>
                <w:color w:val="000000"/>
                <w:sz w:val="24"/>
                <w:szCs w:val="24"/>
              </w:rPr>
              <w:t>0</w:t>
            </w:r>
          </w:p>
        </w:tc>
        <w:tc>
          <w:tcPr>
            <w:tcW w:w="1984" w:type="dxa"/>
          </w:tcPr>
          <w:p w14:paraId="20E6C66D"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cs="Calibri"/>
                <w:color w:val="000000"/>
                <w:sz w:val="24"/>
                <w:szCs w:val="24"/>
              </w:rPr>
              <w:t>0</w:t>
            </w:r>
          </w:p>
        </w:tc>
        <w:tc>
          <w:tcPr>
            <w:tcW w:w="1418" w:type="dxa"/>
          </w:tcPr>
          <w:p w14:paraId="50570CCD"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0,891</w:t>
            </w:r>
          </w:p>
        </w:tc>
        <w:tc>
          <w:tcPr>
            <w:tcW w:w="1581" w:type="dxa"/>
          </w:tcPr>
          <w:p w14:paraId="36930012"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0,282</w:t>
            </w:r>
          </w:p>
        </w:tc>
      </w:tr>
      <w:tr w:rsidR="00FC23BB" w:rsidRPr="00EA1BB2" w14:paraId="7D0091B7" w14:textId="77777777" w:rsidTr="007E6B43">
        <w:trPr>
          <w:trHeight w:val="188"/>
          <w:jc w:val="center"/>
        </w:trPr>
        <w:tc>
          <w:tcPr>
            <w:tcW w:w="989" w:type="dxa"/>
            <w:shd w:val="clear" w:color="auto" w:fill="auto"/>
            <w:noWrap/>
            <w:vAlign w:val="center"/>
          </w:tcPr>
          <w:p w14:paraId="1E02C1C7" w14:textId="77777777" w:rsidR="00FC23BB" w:rsidRPr="00EA1BB2" w:rsidRDefault="00FC23BB" w:rsidP="00FC23BB">
            <w:pPr>
              <w:spacing w:line="360" w:lineRule="auto"/>
              <w:jc w:val="center"/>
              <w:rPr>
                <w:rFonts w:ascii="Cambria" w:eastAsia="Times New Roman" w:hAnsi="Cambria" w:cs="Arial"/>
                <w:color w:val="000000"/>
                <w:sz w:val="24"/>
                <w:szCs w:val="24"/>
                <w:lang w:eastAsia="ro-RO"/>
              </w:rPr>
            </w:pPr>
            <w:r w:rsidRPr="00EA1BB2">
              <w:rPr>
                <w:rFonts w:ascii="Cambria" w:hAnsi="Cambria" w:cs="Calibri"/>
                <w:color w:val="000000"/>
                <w:sz w:val="24"/>
                <w:szCs w:val="24"/>
              </w:rPr>
              <w:t>PM</w:t>
            </w:r>
            <w:r w:rsidRPr="00EA1BB2">
              <w:rPr>
                <w:rFonts w:ascii="Cambria" w:hAnsi="Cambria" w:cs="Calibri"/>
                <w:color w:val="000000"/>
                <w:sz w:val="24"/>
                <w:szCs w:val="24"/>
                <w:vertAlign w:val="subscript"/>
              </w:rPr>
              <w:t>10</w:t>
            </w:r>
          </w:p>
        </w:tc>
        <w:tc>
          <w:tcPr>
            <w:tcW w:w="992" w:type="dxa"/>
            <w:shd w:val="clear" w:color="auto" w:fill="auto"/>
            <w:noWrap/>
            <w:vAlign w:val="center"/>
          </w:tcPr>
          <w:p w14:paraId="6AD0A337" w14:textId="77777777" w:rsidR="00FC23BB" w:rsidRPr="00EA1BB2" w:rsidRDefault="00FC23BB" w:rsidP="00FC23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µ</w:t>
            </w:r>
            <w:r w:rsidRPr="00EA1BB2">
              <w:rPr>
                <w:rFonts w:ascii="Cambria" w:eastAsia="Times New Roman" w:hAnsi="Cambria" w:cs="Calibri"/>
                <w:color w:val="000000"/>
                <w:sz w:val="24"/>
                <w:szCs w:val="24"/>
                <w:lang w:eastAsia="ro-RO"/>
              </w:rPr>
              <w:t>g/m</w:t>
            </w:r>
            <w:r w:rsidRPr="00EA1BB2">
              <w:rPr>
                <w:rFonts w:ascii="Cambria" w:eastAsia="Times New Roman" w:hAnsi="Cambria" w:cs="Calibri"/>
                <w:color w:val="000000"/>
                <w:sz w:val="24"/>
                <w:szCs w:val="24"/>
                <w:vertAlign w:val="superscript"/>
                <w:lang w:eastAsia="ro-RO"/>
              </w:rPr>
              <w:t>3</w:t>
            </w:r>
          </w:p>
        </w:tc>
        <w:tc>
          <w:tcPr>
            <w:tcW w:w="1143" w:type="dxa"/>
            <w:shd w:val="clear" w:color="auto" w:fill="auto"/>
          </w:tcPr>
          <w:p w14:paraId="61127076" w14:textId="77777777" w:rsidR="00FC23BB" w:rsidRPr="00EA1BB2" w:rsidRDefault="00FC23BB" w:rsidP="00FC23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BR5</w:t>
            </w:r>
          </w:p>
        </w:tc>
        <w:tc>
          <w:tcPr>
            <w:tcW w:w="1266" w:type="dxa"/>
            <w:shd w:val="clear" w:color="auto" w:fill="auto"/>
            <w:noWrap/>
          </w:tcPr>
          <w:p w14:paraId="1B7145E5" w14:textId="77777777" w:rsidR="00FC23BB" w:rsidRPr="00EA1BB2" w:rsidRDefault="00FC23BB" w:rsidP="00FC23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Industrial</w:t>
            </w:r>
          </w:p>
        </w:tc>
        <w:tc>
          <w:tcPr>
            <w:tcW w:w="1417" w:type="dxa"/>
          </w:tcPr>
          <w:p w14:paraId="639332AA" w14:textId="77777777" w:rsidR="00FC23BB" w:rsidRPr="00EA1BB2" w:rsidRDefault="00FC23BB" w:rsidP="00FC23BB">
            <w:pPr>
              <w:spacing w:line="360" w:lineRule="auto"/>
              <w:jc w:val="center"/>
              <w:rPr>
                <w:rFonts w:ascii="Cambria" w:hAnsi="Cambria"/>
                <w:sz w:val="24"/>
                <w:szCs w:val="24"/>
              </w:rPr>
            </w:pPr>
            <w:r w:rsidRPr="00EA1BB2">
              <w:rPr>
                <w:rFonts w:ascii="Cambria" w:hAnsi="Cambria"/>
                <w:sz w:val="24"/>
                <w:szCs w:val="24"/>
              </w:rPr>
              <w:t>21,741</w:t>
            </w:r>
          </w:p>
        </w:tc>
        <w:tc>
          <w:tcPr>
            <w:tcW w:w="2268" w:type="dxa"/>
          </w:tcPr>
          <w:p w14:paraId="210B80BF"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0,042</w:t>
            </w:r>
          </w:p>
        </w:tc>
        <w:tc>
          <w:tcPr>
            <w:tcW w:w="1276" w:type="dxa"/>
          </w:tcPr>
          <w:p w14:paraId="5156E2D2"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0,015</w:t>
            </w:r>
          </w:p>
        </w:tc>
        <w:tc>
          <w:tcPr>
            <w:tcW w:w="1984" w:type="dxa"/>
          </w:tcPr>
          <w:p w14:paraId="0D487E6A"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0,027</w:t>
            </w:r>
          </w:p>
        </w:tc>
        <w:tc>
          <w:tcPr>
            <w:tcW w:w="1418" w:type="dxa"/>
          </w:tcPr>
          <w:p w14:paraId="3126601B"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0,005</w:t>
            </w:r>
          </w:p>
        </w:tc>
        <w:tc>
          <w:tcPr>
            <w:tcW w:w="1581" w:type="dxa"/>
          </w:tcPr>
          <w:p w14:paraId="2841BD1C"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21,652</w:t>
            </w:r>
          </w:p>
        </w:tc>
      </w:tr>
      <w:tr w:rsidR="00FC23BB" w:rsidRPr="00EA1BB2" w14:paraId="5DDE801F" w14:textId="77777777" w:rsidTr="007E6B43">
        <w:trPr>
          <w:trHeight w:val="188"/>
          <w:jc w:val="center"/>
        </w:trPr>
        <w:tc>
          <w:tcPr>
            <w:tcW w:w="989" w:type="dxa"/>
            <w:shd w:val="clear" w:color="auto" w:fill="auto"/>
            <w:noWrap/>
            <w:vAlign w:val="center"/>
          </w:tcPr>
          <w:p w14:paraId="19E322AD" w14:textId="77777777" w:rsidR="00FC23BB" w:rsidRPr="00EA1BB2" w:rsidRDefault="00FC23BB" w:rsidP="00FC23BB">
            <w:pPr>
              <w:spacing w:line="360" w:lineRule="auto"/>
              <w:jc w:val="center"/>
              <w:rPr>
                <w:rFonts w:ascii="Cambria" w:eastAsia="Times New Roman" w:hAnsi="Cambria" w:cs="Arial"/>
                <w:color w:val="000000"/>
                <w:sz w:val="24"/>
                <w:szCs w:val="24"/>
                <w:lang w:eastAsia="ro-RO"/>
              </w:rPr>
            </w:pPr>
            <w:r w:rsidRPr="00EA1BB2">
              <w:rPr>
                <w:rFonts w:ascii="Cambria" w:hAnsi="Cambria" w:cs="Calibri"/>
                <w:color w:val="000000"/>
                <w:sz w:val="24"/>
                <w:szCs w:val="24"/>
              </w:rPr>
              <w:t>PM</w:t>
            </w:r>
            <w:r w:rsidRPr="00EA1BB2">
              <w:rPr>
                <w:rFonts w:ascii="Cambria" w:hAnsi="Cambria" w:cs="Calibri"/>
                <w:color w:val="000000"/>
                <w:sz w:val="24"/>
                <w:szCs w:val="24"/>
                <w:vertAlign w:val="subscript"/>
              </w:rPr>
              <w:t>2,5</w:t>
            </w:r>
          </w:p>
        </w:tc>
        <w:tc>
          <w:tcPr>
            <w:tcW w:w="992" w:type="dxa"/>
            <w:shd w:val="clear" w:color="auto" w:fill="auto"/>
            <w:noWrap/>
            <w:vAlign w:val="center"/>
          </w:tcPr>
          <w:p w14:paraId="39B610CD" w14:textId="77777777" w:rsidR="00FC23BB" w:rsidRPr="00EA1BB2" w:rsidRDefault="00FC23BB" w:rsidP="00FC23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µ</w:t>
            </w:r>
            <w:r w:rsidRPr="00EA1BB2">
              <w:rPr>
                <w:rFonts w:ascii="Cambria" w:eastAsia="Times New Roman" w:hAnsi="Cambria" w:cs="Calibri"/>
                <w:color w:val="000000"/>
                <w:sz w:val="24"/>
                <w:szCs w:val="24"/>
                <w:lang w:eastAsia="ro-RO"/>
              </w:rPr>
              <w:t>g/m</w:t>
            </w:r>
            <w:r w:rsidRPr="00EA1BB2">
              <w:rPr>
                <w:rFonts w:ascii="Cambria" w:eastAsia="Times New Roman" w:hAnsi="Cambria" w:cs="Calibri"/>
                <w:color w:val="000000"/>
                <w:sz w:val="24"/>
                <w:szCs w:val="24"/>
                <w:vertAlign w:val="superscript"/>
                <w:lang w:eastAsia="ro-RO"/>
              </w:rPr>
              <w:t>3</w:t>
            </w:r>
          </w:p>
        </w:tc>
        <w:tc>
          <w:tcPr>
            <w:tcW w:w="1143" w:type="dxa"/>
            <w:shd w:val="clear" w:color="auto" w:fill="auto"/>
          </w:tcPr>
          <w:p w14:paraId="18AF6D07" w14:textId="77777777" w:rsidR="00FC23BB" w:rsidRPr="00EA1BB2" w:rsidRDefault="00FC23BB" w:rsidP="00FC23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BR5</w:t>
            </w:r>
          </w:p>
        </w:tc>
        <w:tc>
          <w:tcPr>
            <w:tcW w:w="1266" w:type="dxa"/>
            <w:shd w:val="clear" w:color="auto" w:fill="auto"/>
            <w:noWrap/>
          </w:tcPr>
          <w:p w14:paraId="1CF6763E" w14:textId="77777777" w:rsidR="00FC23BB" w:rsidRPr="00EA1BB2" w:rsidRDefault="00FC23BB" w:rsidP="00FC23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Industrial</w:t>
            </w:r>
          </w:p>
        </w:tc>
        <w:tc>
          <w:tcPr>
            <w:tcW w:w="1417" w:type="dxa"/>
          </w:tcPr>
          <w:p w14:paraId="3622F40D" w14:textId="77777777" w:rsidR="00FC23BB" w:rsidRPr="00EA1BB2" w:rsidRDefault="00FC23BB" w:rsidP="00FC23BB">
            <w:pPr>
              <w:spacing w:line="360" w:lineRule="auto"/>
              <w:jc w:val="center"/>
              <w:rPr>
                <w:rFonts w:ascii="Cambria" w:hAnsi="Cambria"/>
                <w:sz w:val="24"/>
                <w:szCs w:val="24"/>
              </w:rPr>
            </w:pPr>
            <w:r w:rsidRPr="00EA1BB2">
              <w:rPr>
                <w:rFonts w:ascii="Cambria" w:hAnsi="Cambria"/>
                <w:sz w:val="24"/>
                <w:szCs w:val="24"/>
              </w:rPr>
              <w:t>17,499</w:t>
            </w:r>
          </w:p>
        </w:tc>
        <w:tc>
          <w:tcPr>
            <w:tcW w:w="2268" w:type="dxa"/>
          </w:tcPr>
          <w:p w14:paraId="75F97428"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0,008</w:t>
            </w:r>
          </w:p>
        </w:tc>
        <w:tc>
          <w:tcPr>
            <w:tcW w:w="1276" w:type="dxa"/>
          </w:tcPr>
          <w:p w14:paraId="7DEA0FC6"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0,001</w:t>
            </w:r>
          </w:p>
        </w:tc>
        <w:tc>
          <w:tcPr>
            <w:tcW w:w="1984" w:type="dxa"/>
          </w:tcPr>
          <w:p w14:paraId="176C18D7"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0,049</w:t>
            </w:r>
          </w:p>
        </w:tc>
        <w:tc>
          <w:tcPr>
            <w:tcW w:w="1418" w:type="dxa"/>
          </w:tcPr>
          <w:p w14:paraId="2901B7F7"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0,007</w:t>
            </w:r>
          </w:p>
        </w:tc>
        <w:tc>
          <w:tcPr>
            <w:tcW w:w="1581" w:type="dxa"/>
          </w:tcPr>
          <w:p w14:paraId="41FB39A0"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17,434</w:t>
            </w:r>
          </w:p>
        </w:tc>
      </w:tr>
      <w:tr w:rsidR="00FC23BB" w:rsidRPr="00EA1BB2" w14:paraId="7792CF9C" w14:textId="77777777" w:rsidTr="007E6B43">
        <w:trPr>
          <w:trHeight w:val="188"/>
          <w:jc w:val="center"/>
        </w:trPr>
        <w:tc>
          <w:tcPr>
            <w:tcW w:w="989" w:type="dxa"/>
            <w:shd w:val="clear" w:color="auto" w:fill="auto"/>
            <w:noWrap/>
            <w:vAlign w:val="center"/>
          </w:tcPr>
          <w:p w14:paraId="3BE60CAA" w14:textId="77777777" w:rsidR="00FC23BB" w:rsidRPr="00EA1BB2" w:rsidRDefault="00FC23BB" w:rsidP="00FC23BB">
            <w:pPr>
              <w:spacing w:line="360" w:lineRule="auto"/>
              <w:jc w:val="center"/>
              <w:rPr>
                <w:rFonts w:ascii="Cambria" w:eastAsia="Times New Roman" w:hAnsi="Cambria" w:cs="Arial"/>
                <w:color w:val="000000"/>
                <w:sz w:val="24"/>
                <w:szCs w:val="24"/>
                <w:lang w:eastAsia="ro-RO"/>
              </w:rPr>
            </w:pPr>
            <w:r w:rsidRPr="00EA1BB2">
              <w:rPr>
                <w:rFonts w:ascii="Cambria" w:hAnsi="Cambria" w:cs="Calibri"/>
                <w:color w:val="000000"/>
                <w:sz w:val="24"/>
                <w:szCs w:val="24"/>
              </w:rPr>
              <w:t>As</w:t>
            </w:r>
          </w:p>
        </w:tc>
        <w:tc>
          <w:tcPr>
            <w:tcW w:w="992" w:type="dxa"/>
            <w:shd w:val="clear" w:color="auto" w:fill="auto"/>
            <w:noWrap/>
            <w:vAlign w:val="center"/>
          </w:tcPr>
          <w:p w14:paraId="0380A2B7" w14:textId="77777777" w:rsidR="00FC23BB" w:rsidRPr="00EA1BB2" w:rsidRDefault="00FC23BB" w:rsidP="00FC23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Calibri"/>
                <w:color w:val="000000"/>
                <w:sz w:val="24"/>
                <w:szCs w:val="24"/>
                <w:lang w:eastAsia="ro-RO"/>
              </w:rPr>
              <w:t>ng/m</w:t>
            </w:r>
            <w:r w:rsidRPr="00EA1BB2">
              <w:rPr>
                <w:rFonts w:ascii="Cambria" w:eastAsia="Times New Roman" w:hAnsi="Cambria" w:cs="Calibri"/>
                <w:color w:val="000000"/>
                <w:sz w:val="24"/>
                <w:szCs w:val="24"/>
                <w:vertAlign w:val="superscript"/>
                <w:lang w:eastAsia="ro-RO"/>
              </w:rPr>
              <w:t>3</w:t>
            </w:r>
          </w:p>
        </w:tc>
        <w:tc>
          <w:tcPr>
            <w:tcW w:w="1143" w:type="dxa"/>
            <w:shd w:val="clear" w:color="auto" w:fill="auto"/>
          </w:tcPr>
          <w:p w14:paraId="78EEE87F" w14:textId="77777777" w:rsidR="00FC23BB" w:rsidRPr="00EA1BB2" w:rsidRDefault="00FC23BB" w:rsidP="00FC23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BR5</w:t>
            </w:r>
          </w:p>
        </w:tc>
        <w:tc>
          <w:tcPr>
            <w:tcW w:w="1266" w:type="dxa"/>
            <w:shd w:val="clear" w:color="auto" w:fill="auto"/>
            <w:noWrap/>
          </w:tcPr>
          <w:p w14:paraId="005A3BD0" w14:textId="77777777" w:rsidR="00FC23BB" w:rsidRPr="00EA1BB2" w:rsidRDefault="00FC23BB" w:rsidP="00FC23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Industrial</w:t>
            </w:r>
          </w:p>
        </w:tc>
        <w:tc>
          <w:tcPr>
            <w:tcW w:w="1417" w:type="dxa"/>
          </w:tcPr>
          <w:p w14:paraId="20B54ECA" w14:textId="77777777" w:rsidR="00FC23BB" w:rsidRPr="00EA1BB2" w:rsidRDefault="00FC23BB" w:rsidP="00FC23BB">
            <w:pPr>
              <w:spacing w:line="360" w:lineRule="auto"/>
              <w:jc w:val="center"/>
              <w:rPr>
                <w:rFonts w:ascii="Cambria" w:hAnsi="Cambria"/>
                <w:sz w:val="24"/>
                <w:szCs w:val="24"/>
              </w:rPr>
            </w:pPr>
            <w:r w:rsidRPr="00EA1BB2">
              <w:rPr>
                <w:rFonts w:ascii="Cambria" w:hAnsi="Cambria"/>
                <w:sz w:val="24"/>
                <w:szCs w:val="24"/>
              </w:rPr>
              <w:t>0,814</w:t>
            </w:r>
          </w:p>
        </w:tc>
        <w:tc>
          <w:tcPr>
            <w:tcW w:w="2268" w:type="dxa"/>
          </w:tcPr>
          <w:p w14:paraId="669C6603"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276" w:type="dxa"/>
          </w:tcPr>
          <w:p w14:paraId="19026605"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984" w:type="dxa"/>
          </w:tcPr>
          <w:p w14:paraId="0C109AFF"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0,003</w:t>
            </w:r>
          </w:p>
        </w:tc>
        <w:tc>
          <w:tcPr>
            <w:tcW w:w="1418" w:type="dxa"/>
          </w:tcPr>
          <w:p w14:paraId="7416DF8E"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581" w:type="dxa"/>
          </w:tcPr>
          <w:p w14:paraId="2C8B5042"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0,811</w:t>
            </w:r>
          </w:p>
        </w:tc>
      </w:tr>
      <w:tr w:rsidR="00FC23BB" w:rsidRPr="00EA1BB2" w14:paraId="4C31A803" w14:textId="77777777" w:rsidTr="007E6B43">
        <w:trPr>
          <w:trHeight w:val="188"/>
          <w:jc w:val="center"/>
        </w:trPr>
        <w:tc>
          <w:tcPr>
            <w:tcW w:w="989" w:type="dxa"/>
            <w:shd w:val="clear" w:color="auto" w:fill="auto"/>
            <w:noWrap/>
            <w:vAlign w:val="center"/>
          </w:tcPr>
          <w:p w14:paraId="5633997E" w14:textId="77777777" w:rsidR="00FC23BB" w:rsidRPr="00EA1BB2" w:rsidRDefault="00FC23BB" w:rsidP="00FC23BB">
            <w:pPr>
              <w:spacing w:line="360" w:lineRule="auto"/>
              <w:jc w:val="center"/>
              <w:rPr>
                <w:rFonts w:ascii="Cambria" w:eastAsia="Times New Roman" w:hAnsi="Cambria" w:cs="Arial"/>
                <w:color w:val="000000"/>
                <w:sz w:val="24"/>
                <w:szCs w:val="24"/>
                <w:lang w:eastAsia="ro-RO"/>
              </w:rPr>
            </w:pPr>
            <w:r w:rsidRPr="00EA1BB2">
              <w:rPr>
                <w:rFonts w:ascii="Cambria" w:hAnsi="Cambria" w:cs="Calibri"/>
                <w:color w:val="000000"/>
                <w:sz w:val="24"/>
                <w:szCs w:val="24"/>
              </w:rPr>
              <w:t>Cd</w:t>
            </w:r>
          </w:p>
        </w:tc>
        <w:tc>
          <w:tcPr>
            <w:tcW w:w="992" w:type="dxa"/>
            <w:shd w:val="clear" w:color="auto" w:fill="auto"/>
            <w:noWrap/>
            <w:vAlign w:val="center"/>
          </w:tcPr>
          <w:p w14:paraId="14946080" w14:textId="77777777" w:rsidR="00FC23BB" w:rsidRPr="00EA1BB2" w:rsidRDefault="00FC23BB" w:rsidP="00FC23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Calibri"/>
                <w:color w:val="000000"/>
                <w:sz w:val="24"/>
                <w:szCs w:val="24"/>
                <w:lang w:eastAsia="ro-RO"/>
              </w:rPr>
              <w:t>ng/m</w:t>
            </w:r>
            <w:r w:rsidRPr="00EA1BB2">
              <w:rPr>
                <w:rFonts w:ascii="Cambria" w:eastAsia="Times New Roman" w:hAnsi="Cambria" w:cs="Calibri"/>
                <w:color w:val="000000"/>
                <w:sz w:val="24"/>
                <w:szCs w:val="24"/>
                <w:vertAlign w:val="superscript"/>
                <w:lang w:eastAsia="ro-RO"/>
              </w:rPr>
              <w:t>3</w:t>
            </w:r>
          </w:p>
        </w:tc>
        <w:tc>
          <w:tcPr>
            <w:tcW w:w="1143" w:type="dxa"/>
            <w:shd w:val="clear" w:color="auto" w:fill="auto"/>
          </w:tcPr>
          <w:p w14:paraId="1B46CD4B" w14:textId="77777777" w:rsidR="00FC23BB" w:rsidRPr="00EA1BB2" w:rsidRDefault="00FC23BB" w:rsidP="00FC23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BR5</w:t>
            </w:r>
          </w:p>
        </w:tc>
        <w:tc>
          <w:tcPr>
            <w:tcW w:w="1266" w:type="dxa"/>
            <w:shd w:val="clear" w:color="auto" w:fill="auto"/>
            <w:noWrap/>
          </w:tcPr>
          <w:p w14:paraId="063E71F8" w14:textId="77777777" w:rsidR="00FC23BB" w:rsidRPr="00EA1BB2" w:rsidRDefault="00FC23BB" w:rsidP="00FC23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Industrial</w:t>
            </w:r>
          </w:p>
        </w:tc>
        <w:tc>
          <w:tcPr>
            <w:tcW w:w="1417" w:type="dxa"/>
          </w:tcPr>
          <w:p w14:paraId="24A6E1A8" w14:textId="77777777" w:rsidR="00FC23BB" w:rsidRPr="00EA1BB2" w:rsidRDefault="00FC23BB" w:rsidP="00FC23BB">
            <w:pPr>
              <w:spacing w:line="360" w:lineRule="auto"/>
              <w:jc w:val="center"/>
              <w:rPr>
                <w:rFonts w:ascii="Cambria" w:hAnsi="Cambria"/>
                <w:sz w:val="24"/>
                <w:szCs w:val="24"/>
              </w:rPr>
            </w:pPr>
            <w:r w:rsidRPr="00EA1BB2">
              <w:rPr>
                <w:rFonts w:ascii="Cambria" w:hAnsi="Cambria"/>
                <w:sz w:val="24"/>
                <w:szCs w:val="24"/>
              </w:rPr>
              <w:t>0,199</w:t>
            </w:r>
          </w:p>
        </w:tc>
        <w:tc>
          <w:tcPr>
            <w:tcW w:w="2268" w:type="dxa"/>
          </w:tcPr>
          <w:p w14:paraId="312BA41A"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0,001</w:t>
            </w:r>
          </w:p>
        </w:tc>
        <w:tc>
          <w:tcPr>
            <w:tcW w:w="1276" w:type="dxa"/>
          </w:tcPr>
          <w:p w14:paraId="72434A84"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984" w:type="dxa"/>
          </w:tcPr>
          <w:p w14:paraId="1A8E9853"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0,002</w:t>
            </w:r>
          </w:p>
        </w:tc>
        <w:tc>
          <w:tcPr>
            <w:tcW w:w="1418" w:type="dxa"/>
          </w:tcPr>
          <w:p w14:paraId="6B76710E"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581" w:type="dxa"/>
          </w:tcPr>
          <w:p w14:paraId="39DC1C2C"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0,196</w:t>
            </w:r>
          </w:p>
        </w:tc>
      </w:tr>
      <w:tr w:rsidR="00FC23BB" w:rsidRPr="00EA1BB2" w14:paraId="2A31B8E3" w14:textId="77777777" w:rsidTr="007E6B43">
        <w:trPr>
          <w:trHeight w:val="188"/>
          <w:jc w:val="center"/>
        </w:trPr>
        <w:tc>
          <w:tcPr>
            <w:tcW w:w="989" w:type="dxa"/>
            <w:shd w:val="clear" w:color="auto" w:fill="auto"/>
            <w:noWrap/>
            <w:vAlign w:val="center"/>
          </w:tcPr>
          <w:p w14:paraId="280767BD" w14:textId="77777777" w:rsidR="00FC23BB" w:rsidRPr="00EA1BB2" w:rsidRDefault="00FC23BB" w:rsidP="00FC23BB">
            <w:pPr>
              <w:spacing w:line="360" w:lineRule="auto"/>
              <w:jc w:val="center"/>
              <w:rPr>
                <w:rFonts w:ascii="Cambria" w:eastAsia="Times New Roman" w:hAnsi="Cambria" w:cs="Arial"/>
                <w:color w:val="000000"/>
                <w:sz w:val="24"/>
                <w:szCs w:val="24"/>
                <w:lang w:eastAsia="ro-RO"/>
              </w:rPr>
            </w:pPr>
            <w:r w:rsidRPr="00EA1BB2">
              <w:rPr>
                <w:rFonts w:ascii="Cambria" w:hAnsi="Cambria" w:cs="Calibri"/>
                <w:color w:val="000000"/>
                <w:sz w:val="24"/>
                <w:szCs w:val="24"/>
              </w:rPr>
              <w:t>Ni</w:t>
            </w:r>
          </w:p>
        </w:tc>
        <w:tc>
          <w:tcPr>
            <w:tcW w:w="992" w:type="dxa"/>
            <w:shd w:val="clear" w:color="auto" w:fill="auto"/>
            <w:noWrap/>
            <w:vAlign w:val="center"/>
          </w:tcPr>
          <w:p w14:paraId="3F237FAC" w14:textId="77777777" w:rsidR="00FC23BB" w:rsidRPr="00EA1BB2" w:rsidRDefault="00FC23BB" w:rsidP="00FC23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Calibri"/>
                <w:color w:val="000000"/>
                <w:sz w:val="24"/>
                <w:szCs w:val="24"/>
                <w:lang w:eastAsia="ro-RO"/>
              </w:rPr>
              <w:t>ng/m</w:t>
            </w:r>
            <w:r w:rsidRPr="00EA1BB2">
              <w:rPr>
                <w:rFonts w:ascii="Cambria" w:eastAsia="Times New Roman" w:hAnsi="Cambria" w:cs="Calibri"/>
                <w:color w:val="000000"/>
                <w:sz w:val="24"/>
                <w:szCs w:val="24"/>
                <w:vertAlign w:val="superscript"/>
                <w:lang w:eastAsia="ro-RO"/>
              </w:rPr>
              <w:t>3</w:t>
            </w:r>
          </w:p>
        </w:tc>
        <w:tc>
          <w:tcPr>
            <w:tcW w:w="1143" w:type="dxa"/>
            <w:shd w:val="clear" w:color="auto" w:fill="auto"/>
          </w:tcPr>
          <w:p w14:paraId="4FE5C44C" w14:textId="77777777" w:rsidR="00FC23BB" w:rsidRPr="00EA1BB2" w:rsidRDefault="00FC23BB" w:rsidP="00FC23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BR5</w:t>
            </w:r>
          </w:p>
        </w:tc>
        <w:tc>
          <w:tcPr>
            <w:tcW w:w="1266" w:type="dxa"/>
            <w:shd w:val="clear" w:color="auto" w:fill="auto"/>
            <w:noWrap/>
          </w:tcPr>
          <w:p w14:paraId="3CA87725" w14:textId="77777777" w:rsidR="00FC23BB" w:rsidRPr="00EA1BB2" w:rsidRDefault="00FC23BB" w:rsidP="00FC23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Industrial</w:t>
            </w:r>
          </w:p>
        </w:tc>
        <w:tc>
          <w:tcPr>
            <w:tcW w:w="1417" w:type="dxa"/>
          </w:tcPr>
          <w:p w14:paraId="25EF909F" w14:textId="77777777" w:rsidR="00FC23BB" w:rsidRPr="00EA1BB2" w:rsidRDefault="00FC23BB" w:rsidP="00FC23BB">
            <w:pPr>
              <w:spacing w:line="360" w:lineRule="auto"/>
              <w:jc w:val="center"/>
              <w:rPr>
                <w:rFonts w:ascii="Cambria" w:hAnsi="Cambria"/>
                <w:sz w:val="24"/>
                <w:szCs w:val="24"/>
              </w:rPr>
            </w:pPr>
            <w:r w:rsidRPr="00EA1BB2">
              <w:rPr>
                <w:rFonts w:ascii="Cambria" w:hAnsi="Cambria"/>
                <w:sz w:val="24"/>
                <w:szCs w:val="24"/>
              </w:rPr>
              <w:t>0,771</w:t>
            </w:r>
          </w:p>
        </w:tc>
        <w:tc>
          <w:tcPr>
            <w:tcW w:w="2268" w:type="dxa"/>
          </w:tcPr>
          <w:p w14:paraId="728BF6DB"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276" w:type="dxa"/>
          </w:tcPr>
          <w:p w14:paraId="7E8A1A41"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984" w:type="dxa"/>
          </w:tcPr>
          <w:p w14:paraId="131E22A2"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0,023</w:t>
            </w:r>
          </w:p>
        </w:tc>
        <w:tc>
          <w:tcPr>
            <w:tcW w:w="1418" w:type="dxa"/>
          </w:tcPr>
          <w:p w14:paraId="06234D70"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581" w:type="dxa"/>
          </w:tcPr>
          <w:p w14:paraId="135E7817"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0,748</w:t>
            </w:r>
          </w:p>
        </w:tc>
      </w:tr>
      <w:tr w:rsidR="00FC23BB" w:rsidRPr="00EA1BB2" w14:paraId="18DF4B33" w14:textId="77777777" w:rsidTr="007E6B43">
        <w:trPr>
          <w:trHeight w:val="188"/>
          <w:jc w:val="center"/>
        </w:trPr>
        <w:tc>
          <w:tcPr>
            <w:tcW w:w="989" w:type="dxa"/>
            <w:shd w:val="clear" w:color="auto" w:fill="auto"/>
            <w:noWrap/>
            <w:vAlign w:val="center"/>
          </w:tcPr>
          <w:p w14:paraId="508EAE96" w14:textId="77777777" w:rsidR="00FC23BB" w:rsidRPr="00EA1BB2" w:rsidRDefault="00FC23BB" w:rsidP="00FC23BB">
            <w:pPr>
              <w:spacing w:line="360" w:lineRule="auto"/>
              <w:jc w:val="center"/>
              <w:rPr>
                <w:rFonts w:ascii="Cambria" w:eastAsia="Times New Roman" w:hAnsi="Cambria" w:cs="Arial"/>
                <w:color w:val="000000"/>
                <w:sz w:val="24"/>
                <w:szCs w:val="24"/>
                <w:lang w:eastAsia="ro-RO"/>
              </w:rPr>
            </w:pPr>
            <w:r w:rsidRPr="00EA1BB2">
              <w:rPr>
                <w:rFonts w:ascii="Cambria" w:hAnsi="Cambria" w:cs="Calibri"/>
                <w:color w:val="000000"/>
                <w:sz w:val="24"/>
                <w:szCs w:val="24"/>
              </w:rPr>
              <w:t>Pb</w:t>
            </w:r>
          </w:p>
        </w:tc>
        <w:tc>
          <w:tcPr>
            <w:tcW w:w="992" w:type="dxa"/>
            <w:shd w:val="clear" w:color="auto" w:fill="auto"/>
            <w:noWrap/>
            <w:vAlign w:val="center"/>
          </w:tcPr>
          <w:p w14:paraId="0CCC8D55" w14:textId="77777777" w:rsidR="00FC23BB" w:rsidRPr="00EA1BB2" w:rsidRDefault="00FC23BB" w:rsidP="00FC23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Calibri"/>
                <w:color w:val="000000"/>
                <w:sz w:val="24"/>
                <w:szCs w:val="24"/>
                <w:lang w:eastAsia="ro-RO"/>
              </w:rPr>
              <w:t>ng/m</w:t>
            </w:r>
            <w:r w:rsidRPr="00EA1BB2">
              <w:rPr>
                <w:rFonts w:ascii="Cambria" w:eastAsia="Times New Roman" w:hAnsi="Cambria" w:cs="Calibri"/>
                <w:color w:val="000000"/>
                <w:sz w:val="24"/>
                <w:szCs w:val="24"/>
                <w:vertAlign w:val="superscript"/>
                <w:lang w:eastAsia="ro-RO"/>
              </w:rPr>
              <w:t>3</w:t>
            </w:r>
          </w:p>
        </w:tc>
        <w:tc>
          <w:tcPr>
            <w:tcW w:w="1143" w:type="dxa"/>
            <w:shd w:val="clear" w:color="auto" w:fill="auto"/>
            <w:vAlign w:val="bottom"/>
          </w:tcPr>
          <w:p w14:paraId="1E56AB61" w14:textId="77777777" w:rsidR="00FC23BB" w:rsidRPr="00EA1BB2" w:rsidRDefault="00FC23BB" w:rsidP="00FC23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BR5</w:t>
            </w:r>
          </w:p>
        </w:tc>
        <w:tc>
          <w:tcPr>
            <w:tcW w:w="1266" w:type="dxa"/>
            <w:shd w:val="clear" w:color="auto" w:fill="auto"/>
            <w:noWrap/>
          </w:tcPr>
          <w:p w14:paraId="7DF9763C" w14:textId="77777777" w:rsidR="00FC23BB" w:rsidRPr="00EA1BB2" w:rsidRDefault="00FC23BB" w:rsidP="00FC23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Industrial</w:t>
            </w:r>
          </w:p>
        </w:tc>
        <w:tc>
          <w:tcPr>
            <w:tcW w:w="1417" w:type="dxa"/>
          </w:tcPr>
          <w:p w14:paraId="6639DF5E" w14:textId="77777777" w:rsidR="00FC23BB" w:rsidRPr="00EA1BB2" w:rsidRDefault="00FC23BB" w:rsidP="00FC23BB">
            <w:pPr>
              <w:spacing w:line="360" w:lineRule="auto"/>
              <w:jc w:val="center"/>
              <w:rPr>
                <w:rFonts w:ascii="Cambria" w:hAnsi="Cambria"/>
                <w:sz w:val="24"/>
                <w:szCs w:val="24"/>
              </w:rPr>
            </w:pPr>
            <w:r w:rsidRPr="00EA1BB2">
              <w:rPr>
                <w:rFonts w:ascii="Cambria" w:hAnsi="Cambria"/>
                <w:sz w:val="24"/>
                <w:szCs w:val="24"/>
              </w:rPr>
              <w:t>8,969</w:t>
            </w:r>
          </w:p>
        </w:tc>
        <w:tc>
          <w:tcPr>
            <w:tcW w:w="2268" w:type="dxa"/>
          </w:tcPr>
          <w:p w14:paraId="553B17DA"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276" w:type="dxa"/>
          </w:tcPr>
          <w:p w14:paraId="570EE5F4"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984" w:type="dxa"/>
          </w:tcPr>
          <w:p w14:paraId="7198A0B9"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0,014</w:t>
            </w:r>
          </w:p>
        </w:tc>
        <w:tc>
          <w:tcPr>
            <w:tcW w:w="1418" w:type="dxa"/>
          </w:tcPr>
          <w:p w14:paraId="075AC64E"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0,001</w:t>
            </w:r>
          </w:p>
        </w:tc>
        <w:tc>
          <w:tcPr>
            <w:tcW w:w="1581" w:type="dxa"/>
          </w:tcPr>
          <w:p w14:paraId="407663CB" w14:textId="77777777" w:rsidR="00FC23BB" w:rsidRPr="00EA1BB2" w:rsidRDefault="00FC23BB" w:rsidP="00FC23BB">
            <w:pPr>
              <w:spacing w:line="360" w:lineRule="auto"/>
              <w:jc w:val="center"/>
              <w:rPr>
                <w:rFonts w:ascii="Cambria" w:hAnsi="Cambria" w:cs="Calibri"/>
                <w:color w:val="000000"/>
                <w:sz w:val="24"/>
                <w:szCs w:val="24"/>
              </w:rPr>
            </w:pPr>
            <w:r w:rsidRPr="00EA1BB2">
              <w:rPr>
                <w:rFonts w:ascii="Cambria" w:hAnsi="Cambria"/>
                <w:sz w:val="24"/>
                <w:szCs w:val="24"/>
              </w:rPr>
              <w:t>8,954</w:t>
            </w:r>
          </w:p>
        </w:tc>
      </w:tr>
    </w:tbl>
    <w:p w14:paraId="49549EF2" w14:textId="77777777" w:rsidR="007E6B43" w:rsidRPr="00EA1BB2" w:rsidRDefault="007E6B43" w:rsidP="007E6B43">
      <w:pPr>
        <w:spacing w:line="360" w:lineRule="auto"/>
        <w:jc w:val="center"/>
        <w:rPr>
          <w:rFonts w:ascii="Cambria" w:hAnsi="Cambria" w:cs="Calibri"/>
          <w:color w:val="000000"/>
          <w:sz w:val="24"/>
          <w:szCs w:val="24"/>
        </w:rPr>
      </w:pPr>
    </w:p>
    <w:p w14:paraId="4E628553" w14:textId="77777777" w:rsidR="007E6B43" w:rsidRPr="00EA1BB2" w:rsidRDefault="007E6B43" w:rsidP="007E6B43">
      <w:pPr>
        <w:spacing w:line="360" w:lineRule="auto"/>
        <w:jc w:val="center"/>
        <w:rPr>
          <w:rFonts w:ascii="Cambria" w:eastAsia="Times New Roman" w:hAnsi="Cambria" w:cs="Calibri"/>
          <w:color w:val="000000"/>
          <w:sz w:val="24"/>
          <w:szCs w:val="24"/>
          <w:lang w:eastAsia="ro-RO"/>
        </w:rPr>
      </w:pPr>
    </w:p>
    <w:p w14:paraId="34A1B212" w14:textId="77777777" w:rsidR="007E6B43" w:rsidRPr="00EA1BB2" w:rsidRDefault="007E6B43" w:rsidP="007E6B43">
      <w:pPr>
        <w:spacing w:line="360" w:lineRule="auto"/>
        <w:jc w:val="center"/>
        <w:rPr>
          <w:rFonts w:ascii="Cambria" w:hAnsi="Cambria"/>
          <w:sz w:val="24"/>
          <w:szCs w:val="24"/>
        </w:rPr>
      </w:pPr>
    </w:p>
    <w:p w14:paraId="3A392C1D" w14:textId="77777777" w:rsidR="007E6B43" w:rsidRPr="00EA1BB2" w:rsidRDefault="007E6B43" w:rsidP="007E6B43">
      <w:pPr>
        <w:spacing w:line="360" w:lineRule="auto"/>
        <w:jc w:val="center"/>
        <w:rPr>
          <w:rFonts w:ascii="Cambria" w:hAnsi="Cambria"/>
          <w:sz w:val="24"/>
          <w:szCs w:val="24"/>
        </w:rPr>
      </w:pPr>
    </w:p>
    <w:p w14:paraId="3E5E2AA1" w14:textId="08616162" w:rsidR="00C2266B" w:rsidRPr="00EA1BB2" w:rsidRDefault="00C2266B" w:rsidP="00C2266B">
      <w:pPr>
        <w:pStyle w:val="Caption"/>
        <w:keepNext/>
        <w:spacing w:after="0" w:line="360" w:lineRule="auto"/>
        <w:ind w:firstLine="708"/>
        <w:jc w:val="both"/>
        <w:rPr>
          <w:rFonts w:ascii="Cambria" w:hAnsi="Cambria"/>
        </w:rPr>
      </w:pPr>
      <w:bookmarkStart w:id="146" w:name="_Toc526889796"/>
      <w:r w:rsidRPr="00EA1BB2">
        <w:rPr>
          <w:rFonts w:ascii="Cambria" w:hAnsi="Cambria"/>
        </w:rPr>
        <w:lastRenderedPageBreak/>
        <w:t xml:space="preserve">Tabelul nr. </w:t>
      </w:r>
      <w:r w:rsidR="000A2FE7" w:rsidRPr="00EA1BB2">
        <w:rPr>
          <w:rFonts w:ascii="Cambria" w:hAnsi="Cambria"/>
        </w:rPr>
        <w:fldChar w:fldCharType="begin"/>
      </w:r>
      <w:r w:rsidR="000A2FE7" w:rsidRPr="00EA1BB2">
        <w:rPr>
          <w:rFonts w:ascii="Cambria" w:hAnsi="Cambria"/>
        </w:rPr>
        <w:instrText xml:space="preserve"> STYLEREF 1 \s </w:instrText>
      </w:r>
      <w:r w:rsidR="000A2FE7" w:rsidRPr="00EA1BB2">
        <w:rPr>
          <w:rFonts w:ascii="Cambria" w:hAnsi="Cambria"/>
        </w:rPr>
        <w:fldChar w:fldCharType="separate"/>
      </w:r>
      <w:r w:rsidR="00567555">
        <w:rPr>
          <w:rFonts w:ascii="Cambria" w:hAnsi="Cambria"/>
          <w:noProof/>
        </w:rPr>
        <w:t>3</w:t>
      </w:r>
      <w:r w:rsidR="000A2FE7" w:rsidRPr="00EA1BB2">
        <w:rPr>
          <w:rFonts w:ascii="Cambria" w:hAnsi="Cambria"/>
        </w:rPr>
        <w:fldChar w:fldCharType="end"/>
      </w:r>
      <w:r w:rsidR="000A2FE7" w:rsidRPr="00EA1BB2">
        <w:rPr>
          <w:rFonts w:ascii="Cambria" w:hAnsi="Cambria"/>
        </w:rPr>
        <w:noBreakHyphen/>
      </w:r>
      <w:r w:rsidR="000A2FE7" w:rsidRPr="00EA1BB2">
        <w:rPr>
          <w:rFonts w:ascii="Cambria" w:hAnsi="Cambria"/>
        </w:rPr>
        <w:fldChar w:fldCharType="begin"/>
      </w:r>
      <w:r w:rsidR="000A2FE7" w:rsidRPr="00EA1BB2">
        <w:rPr>
          <w:rFonts w:ascii="Cambria" w:hAnsi="Cambria"/>
        </w:rPr>
        <w:instrText xml:space="preserve"> SEQ Tabelul_nr. \* ARABIC \s 1 </w:instrText>
      </w:r>
      <w:r w:rsidR="000A2FE7" w:rsidRPr="00EA1BB2">
        <w:rPr>
          <w:rFonts w:ascii="Cambria" w:hAnsi="Cambria"/>
        </w:rPr>
        <w:fldChar w:fldCharType="separate"/>
      </w:r>
      <w:r w:rsidR="00567555">
        <w:rPr>
          <w:rFonts w:ascii="Cambria" w:hAnsi="Cambria"/>
          <w:noProof/>
        </w:rPr>
        <w:t>27</w:t>
      </w:r>
      <w:r w:rsidR="000A2FE7" w:rsidRPr="00EA1BB2">
        <w:rPr>
          <w:rFonts w:ascii="Cambria" w:hAnsi="Cambria"/>
        </w:rPr>
        <w:fldChar w:fldCharType="end"/>
      </w:r>
      <w:r w:rsidRPr="00EA1BB2">
        <w:rPr>
          <w:rFonts w:ascii="Cambria" w:hAnsi="Cambria"/>
        </w:rPr>
        <w:t xml:space="preserve"> – Nivelul de fond </w:t>
      </w:r>
      <w:r w:rsidR="007D6713" w:rsidRPr="00EA1BB2">
        <w:rPr>
          <w:rFonts w:ascii="Cambria" w:hAnsi="Cambria"/>
        </w:rPr>
        <w:t>local</w:t>
      </w:r>
      <w:r w:rsidRPr="00EA1BB2">
        <w:rPr>
          <w:rFonts w:ascii="Cambria" w:hAnsi="Cambria"/>
        </w:rPr>
        <w:t xml:space="preserve"> pentru poluanții de interes</w:t>
      </w:r>
      <w:bookmarkEnd w:id="146"/>
    </w:p>
    <w:tbl>
      <w:tblPr>
        <w:tblW w:w="143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9"/>
        <w:gridCol w:w="992"/>
        <w:gridCol w:w="1143"/>
        <w:gridCol w:w="1266"/>
        <w:gridCol w:w="1417"/>
        <w:gridCol w:w="2268"/>
        <w:gridCol w:w="1276"/>
        <w:gridCol w:w="1984"/>
        <w:gridCol w:w="1418"/>
        <w:gridCol w:w="1581"/>
      </w:tblGrid>
      <w:tr w:rsidR="00110B8B" w:rsidRPr="00EA1BB2" w14:paraId="568607E6" w14:textId="77777777" w:rsidTr="00110B8B">
        <w:trPr>
          <w:trHeight w:val="300"/>
          <w:tblHeader/>
          <w:jc w:val="center"/>
        </w:trPr>
        <w:tc>
          <w:tcPr>
            <w:tcW w:w="989" w:type="dxa"/>
            <w:vMerge w:val="restart"/>
            <w:shd w:val="clear" w:color="auto" w:fill="BDD6EE" w:themeFill="accent1" w:themeFillTint="66"/>
            <w:noWrap/>
            <w:vAlign w:val="center"/>
          </w:tcPr>
          <w:p w14:paraId="3D963103" w14:textId="77777777" w:rsidR="00110B8B" w:rsidRPr="00EA1BB2" w:rsidRDefault="00110B8B" w:rsidP="00732A52">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0"/>
                <w:lang w:eastAsia="ro-RO"/>
              </w:rPr>
              <w:t>Poluant</w:t>
            </w:r>
          </w:p>
        </w:tc>
        <w:tc>
          <w:tcPr>
            <w:tcW w:w="992" w:type="dxa"/>
            <w:vMerge w:val="restart"/>
            <w:shd w:val="clear" w:color="auto" w:fill="BDD6EE" w:themeFill="accent1" w:themeFillTint="66"/>
            <w:noWrap/>
            <w:vAlign w:val="center"/>
          </w:tcPr>
          <w:p w14:paraId="45E327B7" w14:textId="77777777" w:rsidR="00110B8B" w:rsidRPr="00EA1BB2" w:rsidRDefault="00110B8B" w:rsidP="00732A52">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0"/>
                <w:lang w:eastAsia="ro-RO"/>
              </w:rPr>
              <w:t>u.m.</w:t>
            </w:r>
          </w:p>
        </w:tc>
        <w:tc>
          <w:tcPr>
            <w:tcW w:w="1143" w:type="dxa"/>
            <w:vMerge w:val="restart"/>
            <w:shd w:val="clear" w:color="auto" w:fill="BDD6EE" w:themeFill="accent1" w:themeFillTint="66"/>
            <w:vAlign w:val="center"/>
          </w:tcPr>
          <w:p w14:paraId="36777956" w14:textId="77777777" w:rsidR="00110B8B" w:rsidRPr="00EA1BB2" w:rsidRDefault="00110B8B" w:rsidP="00732A52">
            <w:pPr>
              <w:spacing w:line="360" w:lineRule="auto"/>
              <w:jc w:val="center"/>
              <w:rPr>
                <w:rFonts w:ascii="Cambria" w:eastAsia="Times New Roman" w:hAnsi="Cambria" w:cs="Calibri"/>
                <w:b/>
                <w:color w:val="000000"/>
                <w:sz w:val="20"/>
                <w:szCs w:val="24"/>
                <w:lang w:eastAsia="ro-RO"/>
              </w:rPr>
            </w:pPr>
            <w:r w:rsidRPr="00EA1BB2">
              <w:rPr>
                <w:rFonts w:ascii="Cambria" w:eastAsia="Times New Roman" w:hAnsi="Cambria" w:cs="Calibri"/>
                <w:b/>
                <w:color w:val="000000"/>
                <w:sz w:val="20"/>
                <w:szCs w:val="24"/>
                <w:lang w:eastAsia="ro-RO"/>
              </w:rPr>
              <w:t>Denumire stație</w:t>
            </w:r>
          </w:p>
        </w:tc>
        <w:tc>
          <w:tcPr>
            <w:tcW w:w="1266" w:type="dxa"/>
            <w:vMerge w:val="restart"/>
            <w:shd w:val="clear" w:color="auto" w:fill="BDD6EE" w:themeFill="accent1" w:themeFillTint="66"/>
            <w:noWrap/>
            <w:vAlign w:val="center"/>
          </w:tcPr>
          <w:p w14:paraId="2076BAA0" w14:textId="77777777" w:rsidR="00110B8B" w:rsidRPr="00EA1BB2" w:rsidRDefault="00110B8B" w:rsidP="00732A52">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0"/>
                <w:lang w:eastAsia="ro-RO"/>
              </w:rPr>
              <w:t>Tip stație</w:t>
            </w:r>
          </w:p>
        </w:tc>
        <w:tc>
          <w:tcPr>
            <w:tcW w:w="9944" w:type="dxa"/>
            <w:gridSpan w:val="6"/>
            <w:shd w:val="clear" w:color="auto" w:fill="BDD6EE" w:themeFill="accent1" w:themeFillTint="66"/>
            <w:vAlign w:val="center"/>
          </w:tcPr>
          <w:p w14:paraId="05E25290" w14:textId="77777777" w:rsidR="00110B8B" w:rsidRPr="00EA1BB2" w:rsidRDefault="00110B8B" w:rsidP="005174D3">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0"/>
                <w:lang w:eastAsia="ro-RO"/>
              </w:rPr>
              <w:t>Nivelul de fond local</w:t>
            </w:r>
            <w:r w:rsidR="007E6B43" w:rsidRPr="00EA1BB2">
              <w:rPr>
                <w:rFonts w:ascii="Cambria" w:eastAsia="Times New Roman" w:hAnsi="Cambria" w:cs="Calibri"/>
                <w:b/>
                <w:color w:val="000000"/>
                <w:sz w:val="20"/>
                <w:szCs w:val="20"/>
                <w:lang w:eastAsia="ro-RO"/>
              </w:rPr>
              <w:t xml:space="preserve"> Aglomerarea Brăila</w:t>
            </w:r>
            <w:r w:rsidRPr="00EA1BB2">
              <w:rPr>
                <w:rFonts w:ascii="Cambria" w:eastAsia="Times New Roman" w:hAnsi="Cambria" w:cs="Calibri"/>
                <w:b/>
                <w:color w:val="000000"/>
                <w:sz w:val="20"/>
                <w:szCs w:val="20"/>
                <w:lang w:eastAsia="ro-RO"/>
              </w:rPr>
              <w:t>:</w:t>
            </w:r>
          </w:p>
        </w:tc>
      </w:tr>
      <w:tr w:rsidR="00110B8B" w:rsidRPr="00EA1BB2" w14:paraId="23A2BB77" w14:textId="77777777" w:rsidTr="00110B8B">
        <w:trPr>
          <w:trHeight w:val="300"/>
          <w:tblHeader/>
          <w:jc w:val="center"/>
        </w:trPr>
        <w:tc>
          <w:tcPr>
            <w:tcW w:w="989" w:type="dxa"/>
            <w:vMerge/>
            <w:shd w:val="clear" w:color="auto" w:fill="BDD6EE" w:themeFill="accent1" w:themeFillTint="66"/>
            <w:noWrap/>
            <w:vAlign w:val="center"/>
            <w:hideMark/>
          </w:tcPr>
          <w:p w14:paraId="6EE9D520" w14:textId="77777777" w:rsidR="00110B8B" w:rsidRPr="00EA1BB2" w:rsidRDefault="00110B8B" w:rsidP="00732A52">
            <w:pPr>
              <w:spacing w:line="360" w:lineRule="auto"/>
              <w:jc w:val="center"/>
              <w:rPr>
                <w:rFonts w:ascii="Cambria" w:eastAsia="Times New Roman" w:hAnsi="Cambria" w:cs="Calibri"/>
                <w:b/>
                <w:color w:val="000000"/>
                <w:sz w:val="20"/>
                <w:szCs w:val="20"/>
                <w:lang w:eastAsia="ro-RO"/>
              </w:rPr>
            </w:pPr>
          </w:p>
        </w:tc>
        <w:tc>
          <w:tcPr>
            <w:tcW w:w="992" w:type="dxa"/>
            <w:vMerge/>
            <w:shd w:val="clear" w:color="auto" w:fill="BDD6EE" w:themeFill="accent1" w:themeFillTint="66"/>
            <w:noWrap/>
            <w:vAlign w:val="center"/>
            <w:hideMark/>
          </w:tcPr>
          <w:p w14:paraId="1BA20CE9" w14:textId="77777777" w:rsidR="00110B8B" w:rsidRPr="00EA1BB2" w:rsidRDefault="00110B8B" w:rsidP="00732A52">
            <w:pPr>
              <w:spacing w:line="360" w:lineRule="auto"/>
              <w:jc w:val="center"/>
              <w:rPr>
                <w:rFonts w:ascii="Cambria" w:eastAsia="Times New Roman" w:hAnsi="Cambria" w:cs="Calibri"/>
                <w:b/>
                <w:color w:val="000000"/>
                <w:sz w:val="20"/>
                <w:szCs w:val="20"/>
                <w:lang w:eastAsia="ro-RO"/>
              </w:rPr>
            </w:pPr>
          </w:p>
        </w:tc>
        <w:tc>
          <w:tcPr>
            <w:tcW w:w="1143" w:type="dxa"/>
            <w:vMerge/>
            <w:shd w:val="clear" w:color="auto" w:fill="BDD6EE" w:themeFill="accent1" w:themeFillTint="66"/>
            <w:vAlign w:val="center"/>
          </w:tcPr>
          <w:p w14:paraId="32D609DB" w14:textId="77777777" w:rsidR="00110B8B" w:rsidRPr="00EA1BB2" w:rsidRDefault="00110B8B" w:rsidP="00732A52">
            <w:pPr>
              <w:spacing w:line="360" w:lineRule="auto"/>
              <w:jc w:val="center"/>
              <w:rPr>
                <w:rFonts w:ascii="Cambria" w:eastAsia="Times New Roman" w:hAnsi="Cambria" w:cs="Calibri"/>
                <w:b/>
                <w:color w:val="000000"/>
                <w:sz w:val="20"/>
                <w:szCs w:val="20"/>
                <w:lang w:eastAsia="ro-RO"/>
              </w:rPr>
            </w:pPr>
          </w:p>
        </w:tc>
        <w:tc>
          <w:tcPr>
            <w:tcW w:w="1266" w:type="dxa"/>
            <w:vMerge/>
            <w:shd w:val="clear" w:color="auto" w:fill="BDD6EE" w:themeFill="accent1" w:themeFillTint="66"/>
            <w:noWrap/>
            <w:vAlign w:val="center"/>
            <w:hideMark/>
          </w:tcPr>
          <w:p w14:paraId="5844EDC6" w14:textId="77777777" w:rsidR="00110B8B" w:rsidRPr="00EA1BB2" w:rsidRDefault="00110B8B" w:rsidP="00732A52">
            <w:pPr>
              <w:spacing w:line="360" w:lineRule="auto"/>
              <w:jc w:val="center"/>
              <w:rPr>
                <w:rFonts w:ascii="Cambria" w:eastAsia="Times New Roman" w:hAnsi="Cambria" w:cs="Calibri"/>
                <w:b/>
                <w:color w:val="000000"/>
                <w:sz w:val="20"/>
                <w:szCs w:val="20"/>
                <w:lang w:eastAsia="ro-RO"/>
              </w:rPr>
            </w:pPr>
          </w:p>
        </w:tc>
        <w:tc>
          <w:tcPr>
            <w:tcW w:w="1417" w:type="dxa"/>
            <w:shd w:val="clear" w:color="auto" w:fill="BDD6EE" w:themeFill="accent1" w:themeFillTint="66"/>
            <w:vAlign w:val="center"/>
          </w:tcPr>
          <w:p w14:paraId="6762AF40" w14:textId="77777777" w:rsidR="00110B8B" w:rsidRPr="00EA1BB2" w:rsidRDefault="00110B8B" w:rsidP="00732A52">
            <w:pPr>
              <w:spacing w:line="360" w:lineRule="auto"/>
              <w:jc w:val="center"/>
              <w:rPr>
                <w:rFonts w:ascii="Cambria" w:hAnsi="Cambria"/>
                <w:b/>
                <w:sz w:val="20"/>
                <w:szCs w:val="20"/>
              </w:rPr>
            </w:pPr>
            <w:r w:rsidRPr="00EA1BB2">
              <w:rPr>
                <w:rFonts w:ascii="Cambria" w:hAnsi="Cambria"/>
                <w:b/>
                <w:sz w:val="20"/>
                <w:szCs w:val="20"/>
              </w:rPr>
              <w:t>total</w:t>
            </w:r>
          </w:p>
        </w:tc>
        <w:tc>
          <w:tcPr>
            <w:tcW w:w="2268" w:type="dxa"/>
            <w:shd w:val="clear" w:color="auto" w:fill="BDD6EE" w:themeFill="accent1" w:themeFillTint="66"/>
            <w:vAlign w:val="center"/>
          </w:tcPr>
          <w:p w14:paraId="4FEA20C9" w14:textId="77777777" w:rsidR="00110B8B" w:rsidRPr="00EA1BB2" w:rsidRDefault="00110B8B" w:rsidP="00732A52">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0"/>
                <w:lang w:eastAsia="ro-RO"/>
              </w:rPr>
              <w:t>industrie, inclusiv producția de energie termică și electrică</w:t>
            </w:r>
          </w:p>
        </w:tc>
        <w:tc>
          <w:tcPr>
            <w:tcW w:w="1276" w:type="dxa"/>
            <w:shd w:val="clear" w:color="auto" w:fill="BDD6EE" w:themeFill="accent1" w:themeFillTint="66"/>
            <w:vAlign w:val="center"/>
          </w:tcPr>
          <w:p w14:paraId="63F8A67E" w14:textId="77777777" w:rsidR="00110B8B" w:rsidRPr="00EA1BB2" w:rsidRDefault="00110B8B" w:rsidP="00732A52">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0"/>
                <w:lang w:eastAsia="ro-RO"/>
              </w:rPr>
              <w:t>agricultură</w:t>
            </w:r>
          </w:p>
        </w:tc>
        <w:tc>
          <w:tcPr>
            <w:tcW w:w="1984" w:type="dxa"/>
            <w:shd w:val="clear" w:color="auto" w:fill="BDD6EE" w:themeFill="accent1" w:themeFillTint="66"/>
            <w:vAlign w:val="center"/>
          </w:tcPr>
          <w:p w14:paraId="55182A0E" w14:textId="77777777" w:rsidR="00110B8B" w:rsidRPr="00EA1BB2" w:rsidRDefault="00EA69C6" w:rsidP="00732A52">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0"/>
                <w:lang w:eastAsia="ro-RO"/>
              </w:rPr>
              <w:t>surse rezidențiale, comerciale</w:t>
            </w:r>
            <w:r w:rsidR="00110B8B" w:rsidRPr="00EA1BB2">
              <w:rPr>
                <w:rFonts w:ascii="Cambria" w:eastAsia="Times New Roman" w:hAnsi="Cambria" w:cs="Calibri"/>
                <w:b/>
                <w:color w:val="000000"/>
                <w:sz w:val="20"/>
                <w:szCs w:val="20"/>
                <w:lang w:eastAsia="ro-RO"/>
              </w:rPr>
              <w:t xml:space="preserve"> și instituționale</w:t>
            </w:r>
          </w:p>
        </w:tc>
        <w:tc>
          <w:tcPr>
            <w:tcW w:w="1418" w:type="dxa"/>
            <w:shd w:val="clear" w:color="auto" w:fill="BDD6EE" w:themeFill="accent1" w:themeFillTint="66"/>
            <w:vAlign w:val="center"/>
          </w:tcPr>
          <w:p w14:paraId="1B1245B6" w14:textId="77777777" w:rsidR="00110B8B" w:rsidRPr="00EA1BB2" w:rsidRDefault="00110B8B" w:rsidP="00732A52">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0"/>
                <w:lang w:eastAsia="ro-RO"/>
              </w:rPr>
              <w:t>transport</w:t>
            </w:r>
          </w:p>
        </w:tc>
        <w:tc>
          <w:tcPr>
            <w:tcW w:w="1581" w:type="dxa"/>
            <w:shd w:val="clear" w:color="auto" w:fill="BDD6EE" w:themeFill="accent1" w:themeFillTint="66"/>
            <w:vAlign w:val="center"/>
          </w:tcPr>
          <w:p w14:paraId="27091CCD" w14:textId="77777777" w:rsidR="00110B8B" w:rsidRPr="00EA1BB2" w:rsidRDefault="00110B8B" w:rsidP="00110B8B">
            <w:pPr>
              <w:spacing w:line="360" w:lineRule="auto"/>
              <w:jc w:val="center"/>
              <w:rPr>
                <w:rFonts w:ascii="Cambria" w:eastAsia="Times New Roman" w:hAnsi="Cambria" w:cs="Calibri"/>
                <w:b/>
                <w:color w:val="000000"/>
                <w:sz w:val="20"/>
                <w:szCs w:val="20"/>
                <w:lang w:eastAsia="ro-RO"/>
              </w:rPr>
            </w:pPr>
            <w:r w:rsidRPr="00EA1BB2">
              <w:rPr>
                <w:rFonts w:ascii="Cambria" w:eastAsia="Times New Roman" w:hAnsi="Cambria" w:cs="Calibri"/>
                <w:b/>
                <w:color w:val="000000"/>
                <w:sz w:val="20"/>
                <w:szCs w:val="24"/>
                <w:lang w:eastAsia="ro-RO"/>
              </w:rPr>
              <w:t>Nivelul de fond regional</w:t>
            </w:r>
          </w:p>
        </w:tc>
      </w:tr>
      <w:tr w:rsidR="00D077BB" w:rsidRPr="00EA1BB2" w14:paraId="78F7B2DB" w14:textId="77777777" w:rsidTr="00110B8B">
        <w:trPr>
          <w:trHeight w:val="188"/>
          <w:jc w:val="center"/>
        </w:trPr>
        <w:tc>
          <w:tcPr>
            <w:tcW w:w="989" w:type="dxa"/>
            <w:vMerge w:val="restart"/>
            <w:shd w:val="clear" w:color="auto" w:fill="auto"/>
            <w:noWrap/>
            <w:vAlign w:val="center"/>
          </w:tcPr>
          <w:p w14:paraId="34FE99A6"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hAnsi="Cambria" w:cs="Calibri"/>
                <w:color w:val="000000"/>
                <w:sz w:val="24"/>
                <w:szCs w:val="24"/>
              </w:rPr>
              <w:t>SO</w:t>
            </w:r>
            <w:r w:rsidRPr="00EA1BB2">
              <w:rPr>
                <w:rFonts w:ascii="Cambria" w:hAnsi="Cambria" w:cs="Calibri"/>
                <w:color w:val="000000"/>
                <w:sz w:val="24"/>
                <w:szCs w:val="24"/>
                <w:vertAlign w:val="subscript"/>
              </w:rPr>
              <w:t>2</w:t>
            </w:r>
          </w:p>
        </w:tc>
        <w:tc>
          <w:tcPr>
            <w:tcW w:w="992" w:type="dxa"/>
            <w:vMerge w:val="restart"/>
            <w:shd w:val="clear" w:color="auto" w:fill="auto"/>
            <w:noWrap/>
            <w:vAlign w:val="center"/>
          </w:tcPr>
          <w:p w14:paraId="265951D8"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µ</w:t>
            </w:r>
            <w:r w:rsidRPr="00EA1BB2">
              <w:rPr>
                <w:rFonts w:ascii="Cambria" w:eastAsia="Times New Roman" w:hAnsi="Cambria" w:cs="Calibri"/>
                <w:color w:val="000000"/>
                <w:sz w:val="24"/>
                <w:szCs w:val="24"/>
                <w:lang w:eastAsia="ro-RO"/>
              </w:rPr>
              <w:t>g/m</w:t>
            </w:r>
            <w:r w:rsidRPr="00EA1BB2">
              <w:rPr>
                <w:rFonts w:ascii="Cambria" w:eastAsia="Times New Roman" w:hAnsi="Cambria" w:cs="Calibri"/>
                <w:color w:val="000000"/>
                <w:sz w:val="24"/>
                <w:szCs w:val="24"/>
                <w:vertAlign w:val="superscript"/>
                <w:lang w:eastAsia="ro-RO"/>
              </w:rPr>
              <w:t>3</w:t>
            </w:r>
          </w:p>
        </w:tc>
        <w:tc>
          <w:tcPr>
            <w:tcW w:w="1143" w:type="dxa"/>
            <w:shd w:val="clear" w:color="auto" w:fill="auto"/>
            <w:vAlign w:val="bottom"/>
          </w:tcPr>
          <w:p w14:paraId="4BA58B75"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BR1</w:t>
            </w:r>
          </w:p>
        </w:tc>
        <w:tc>
          <w:tcPr>
            <w:tcW w:w="1266" w:type="dxa"/>
            <w:shd w:val="clear" w:color="auto" w:fill="auto"/>
            <w:noWrap/>
            <w:vAlign w:val="bottom"/>
          </w:tcPr>
          <w:p w14:paraId="28E3E5FD"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Trafic</w:t>
            </w:r>
          </w:p>
        </w:tc>
        <w:tc>
          <w:tcPr>
            <w:tcW w:w="1417" w:type="dxa"/>
          </w:tcPr>
          <w:p w14:paraId="49FAF69F"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3,111</w:t>
            </w:r>
          </w:p>
        </w:tc>
        <w:tc>
          <w:tcPr>
            <w:tcW w:w="2268" w:type="dxa"/>
          </w:tcPr>
          <w:p w14:paraId="3BD41830"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276" w:type="dxa"/>
          </w:tcPr>
          <w:p w14:paraId="52B0CEE4"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984" w:type="dxa"/>
          </w:tcPr>
          <w:p w14:paraId="63FDD86B"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0,070</w:t>
            </w:r>
          </w:p>
        </w:tc>
        <w:tc>
          <w:tcPr>
            <w:tcW w:w="1418" w:type="dxa"/>
          </w:tcPr>
          <w:p w14:paraId="1C6467AD"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581" w:type="dxa"/>
          </w:tcPr>
          <w:p w14:paraId="52EA136A"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3,041</w:t>
            </w:r>
          </w:p>
        </w:tc>
      </w:tr>
      <w:tr w:rsidR="00D077BB" w:rsidRPr="00EA1BB2" w14:paraId="2715C75E" w14:textId="77777777" w:rsidTr="00110B8B">
        <w:trPr>
          <w:trHeight w:val="188"/>
          <w:jc w:val="center"/>
        </w:trPr>
        <w:tc>
          <w:tcPr>
            <w:tcW w:w="989" w:type="dxa"/>
            <w:vMerge/>
            <w:shd w:val="clear" w:color="auto" w:fill="auto"/>
            <w:noWrap/>
            <w:vAlign w:val="center"/>
          </w:tcPr>
          <w:p w14:paraId="5195643C" w14:textId="77777777" w:rsidR="00D077BB" w:rsidRPr="00EA1BB2" w:rsidRDefault="00D077BB" w:rsidP="00D077BB">
            <w:pPr>
              <w:spacing w:line="360" w:lineRule="auto"/>
              <w:jc w:val="center"/>
              <w:rPr>
                <w:rFonts w:ascii="Cambria" w:hAnsi="Cambria" w:cs="Calibri"/>
                <w:color w:val="000000"/>
                <w:sz w:val="24"/>
                <w:szCs w:val="24"/>
              </w:rPr>
            </w:pPr>
          </w:p>
        </w:tc>
        <w:tc>
          <w:tcPr>
            <w:tcW w:w="992" w:type="dxa"/>
            <w:vMerge/>
            <w:shd w:val="clear" w:color="auto" w:fill="auto"/>
            <w:noWrap/>
            <w:vAlign w:val="center"/>
          </w:tcPr>
          <w:p w14:paraId="6B332231"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p>
        </w:tc>
        <w:tc>
          <w:tcPr>
            <w:tcW w:w="1143" w:type="dxa"/>
            <w:shd w:val="clear" w:color="auto" w:fill="auto"/>
            <w:vAlign w:val="bottom"/>
          </w:tcPr>
          <w:p w14:paraId="23B3AE2F"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cs="Calibri"/>
                <w:color w:val="000000"/>
                <w:sz w:val="24"/>
                <w:szCs w:val="24"/>
              </w:rPr>
              <w:t>BR4</w:t>
            </w:r>
          </w:p>
        </w:tc>
        <w:tc>
          <w:tcPr>
            <w:tcW w:w="1266" w:type="dxa"/>
            <w:shd w:val="clear" w:color="auto" w:fill="auto"/>
            <w:noWrap/>
            <w:vAlign w:val="bottom"/>
          </w:tcPr>
          <w:p w14:paraId="3F2E08A2"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Industrial</w:t>
            </w:r>
          </w:p>
        </w:tc>
        <w:tc>
          <w:tcPr>
            <w:tcW w:w="1417" w:type="dxa"/>
          </w:tcPr>
          <w:p w14:paraId="640DF43C"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3,109</w:t>
            </w:r>
          </w:p>
        </w:tc>
        <w:tc>
          <w:tcPr>
            <w:tcW w:w="2268" w:type="dxa"/>
          </w:tcPr>
          <w:p w14:paraId="065F8348"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0,067</w:t>
            </w:r>
          </w:p>
        </w:tc>
        <w:tc>
          <w:tcPr>
            <w:tcW w:w="1276" w:type="dxa"/>
          </w:tcPr>
          <w:p w14:paraId="193C20B3"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984" w:type="dxa"/>
          </w:tcPr>
          <w:p w14:paraId="32BF27B4"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418" w:type="dxa"/>
          </w:tcPr>
          <w:p w14:paraId="6A62F277"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581" w:type="dxa"/>
          </w:tcPr>
          <w:p w14:paraId="70FCA368"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3,041</w:t>
            </w:r>
          </w:p>
        </w:tc>
      </w:tr>
      <w:tr w:rsidR="00D077BB" w:rsidRPr="00EA1BB2" w14:paraId="24A3252F" w14:textId="77777777" w:rsidTr="00110B8B">
        <w:trPr>
          <w:trHeight w:val="188"/>
          <w:jc w:val="center"/>
        </w:trPr>
        <w:tc>
          <w:tcPr>
            <w:tcW w:w="989" w:type="dxa"/>
            <w:vMerge w:val="restart"/>
            <w:shd w:val="clear" w:color="auto" w:fill="auto"/>
            <w:noWrap/>
            <w:vAlign w:val="center"/>
          </w:tcPr>
          <w:p w14:paraId="098E1AEC"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hAnsi="Cambria" w:cs="Calibri"/>
                <w:color w:val="000000"/>
                <w:sz w:val="24"/>
                <w:szCs w:val="24"/>
              </w:rPr>
              <w:t>NO</w:t>
            </w:r>
            <w:r w:rsidRPr="00EA1BB2">
              <w:rPr>
                <w:rFonts w:ascii="Cambria" w:hAnsi="Cambria" w:cs="Calibri"/>
                <w:color w:val="000000"/>
                <w:sz w:val="24"/>
                <w:szCs w:val="24"/>
                <w:vertAlign w:val="subscript"/>
              </w:rPr>
              <w:t>2</w:t>
            </w:r>
          </w:p>
        </w:tc>
        <w:tc>
          <w:tcPr>
            <w:tcW w:w="992" w:type="dxa"/>
            <w:vMerge w:val="restart"/>
            <w:shd w:val="clear" w:color="auto" w:fill="auto"/>
            <w:noWrap/>
            <w:vAlign w:val="center"/>
          </w:tcPr>
          <w:p w14:paraId="2BAB84EF"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µ</w:t>
            </w:r>
            <w:r w:rsidRPr="00EA1BB2">
              <w:rPr>
                <w:rFonts w:ascii="Cambria" w:eastAsia="Times New Roman" w:hAnsi="Cambria" w:cs="Calibri"/>
                <w:color w:val="000000"/>
                <w:sz w:val="24"/>
                <w:szCs w:val="24"/>
                <w:lang w:eastAsia="ro-RO"/>
              </w:rPr>
              <w:t>g/m</w:t>
            </w:r>
            <w:r w:rsidRPr="00EA1BB2">
              <w:rPr>
                <w:rFonts w:ascii="Cambria" w:eastAsia="Times New Roman" w:hAnsi="Cambria" w:cs="Calibri"/>
                <w:color w:val="000000"/>
                <w:sz w:val="24"/>
                <w:szCs w:val="24"/>
                <w:vertAlign w:val="superscript"/>
                <w:lang w:eastAsia="ro-RO"/>
              </w:rPr>
              <w:t>3</w:t>
            </w:r>
          </w:p>
        </w:tc>
        <w:tc>
          <w:tcPr>
            <w:tcW w:w="1143" w:type="dxa"/>
            <w:shd w:val="clear" w:color="auto" w:fill="auto"/>
            <w:vAlign w:val="bottom"/>
          </w:tcPr>
          <w:p w14:paraId="6E179D50"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BR1</w:t>
            </w:r>
          </w:p>
        </w:tc>
        <w:tc>
          <w:tcPr>
            <w:tcW w:w="1266" w:type="dxa"/>
            <w:shd w:val="clear" w:color="auto" w:fill="auto"/>
            <w:noWrap/>
            <w:vAlign w:val="bottom"/>
          </w:tcPr>
          <w:p w14:paraId="1AFAF3C3"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Trafic</w:t>
            </w:r>
          </w:p>
        </w:tc>
        <w:tc>
          <w:tcPr>
            <w:tcW w:w="1417" w:type="dxa"/>
          </w:tcPr>
          <w:p w14:paraId="28663052"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9,484</w:t>
            </w:r>
          </w:p>
        </w:tc>
        <w:tc>
          <w:tcPr>
            <w:tcW w:w="2268" w:type="dxa"/>
          </w:tcPr>
          <w:p w14:paraId="73588145"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276" w:type="dxa"/>
          </w:tcPr>
          <w:p w14:paraId="256418D9"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984" w:type="dxa"/>
          </w:tcPr>
          <w:p w14:paraId="0C19FC26"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0,034</w:t>
            </w:r>
          </w:p>
        </w:tc>
        <w:tc>
          <w:tcPr>
            <w:tcW w:w="1418" w:type="dxa"/>
          </w:tcPr>
          <w:p w14:paraId="5BEB03F0"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0,044</w:t>
            </w:r>
          </w:p>
        </w:tc>
        <w:tc>
          <w:tcPr>
            <w:tcW w:w="1581" w:type="dxa"/>
          </w:tcPr>
          <w:p w14:paraId="6202E8A0"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9,406</w:t>
            </w:r>
          </w:p>
        </w:tc>
      </w:tr>
      <w:tr w:rsidR="00D077BB" w:rsidRPr="00EA1BB2" w14:paraId="76FAD7FA" w14:textId="77777777" w:rsidTr="00110B8B">
        <w:trPr>
          <w:trHeight w:val="188"/>
          <w:jc w:val="center"/>
        </w:trPr>
        <w:tc>
          <w:tcPr>
            <w:tcW w:w="989" w:type="dxa"/>
            <w:vMerge/>
            <w:shd w:val="clear" w:color="auto" w:fill="auto"/>
            <w:noWrap/>
            <w:vAlign w:val="center"/>
          </w:tcPr>
          <w:p w14:paraId="21D6347F" w14:textId="77777777" w:rsidR="00D077BB" w:rsidRPr="00EA1BB2" w:rsidRDefault="00D077BB" w:rsidP="00D077BB">
            <w:pPr>
              <w:spacing w:line="360" w:lineRule="auto"/>
              <w:jc w:val="center"/>
              <w:rPr>
                <w:rFonts w:ascii="Cambria" w:hAnsi="Cambria" w:cs="Calibri"/>
                <w:color w:val="000000"/>
                <w:sz w:val="24"/>
                <w:szCs w:val="24"/>
              </w:rPr>
            </w:pPr>
          </w:p>
        </w:tc>
        <w:tc>
          <w:tcPr>
            <w:tcW w:w="992" w:type="dxa"/>
            <w:vMerge/>
            <w:shd w:val="clear" w:color="auto" w:fill="auto"/>
            <w:noWrap/>
            <w:vAlign w:val="center"/>
          </w:tcPr>
          <w:p w14:paraId="31A8BD5C"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p>
        </w:tc>
        <w:tc>
          <w:tcPr>
            <w:tcW w:w="1143" w:type="dxa"/>
            <w:shd w:val="clear" w:color="auto" w:fill="auto"/>
            <w:vAlign w:val="bottom"/>
          </w:tcPr>
          <w:p w14:paraId="3175485E"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cs="Calibri"/>
                <w:color w:val="000000"/>
                <w:sz w:val="24"/>
                <w:szCs w:val="24"/>
              </w:rPr>
              <w:t>BR4</w:t>
            </w:r>
          </w:p>
        </w:tc>
        <w:tc>
          <w:tcPr>
            <w:tcW w:w="1266" w:type="dxa"/>
            <w:shd w:val="clear" w:color="auto" w:fill="auto"/>
            <w:noWrap/>
            <w:vAlign w:val="bottom"/>
          </w:tcPr>
          <w:p w14:paraId="7B65FEBC"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Industrial</w:t>
            </w:r>
          </w:p>
        </w:tc>
        <w:tc>
          <w:tcPr>
            <w:tcW w:w="1417" w:type="dxa"/>
          </w:tcPr>
          <w:p w14:paraId="12EA622B"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9,83</w:t>
            </w:r>
          </w:p>
        </w:tc>
        <w:tc>
          <w:tcPr>
            <w:tcW w:w="2268" w:type="dxa"/>
          </w:tcPr>
          <w:p w14:paraId="44C4C671"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276" w:type="dxa"/>
          </w:tcPr>
          <w:p w14:paraId="4BFDA714"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0,013</w:t>
            </w:r>
          </w:p>
        </w:tc>
        <w:tc>
          <w:tcPr>
            <w:tcW w:w="1984" w:type="dxa"/>
          </w:tcPr>
          <w:p w14:paraId="5CFF95C9"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0,274</w:t>
            </w:r>
          </w:p>
        </w:tc>
        <w:tc>
          <w:tcPr>
            <w:tcW w:w="1418" w:type="dxa"/>
          </w:tcPr>
          <w:p w14:paraId="542232F5"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0,137</w:t>
            </w:r>
          </w:p>
        </w:tc>
        <w:tc>
          <w:tcPr>
            <w:tcW w:w="1581" w:type="dxa"/>
          </w:tcPr>
          <w:p w14:paraId="3F09D345"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9,406</w:t>
            </w:r>
          </w:p>
        </w:tc>
      </w:tr>
      <w:tr w:rsidR="00D077BB" w:rsidRPr="00EA1BB2" w14:paraId="438137AD" w14:textId="77777777" w:rsidTr="00110B8B">
        <w:trPr>
          <w:trHeight w:val="188"/>
          <w:jc w:val="center"/>
        </w:trPr>
        <w:tc>
          <w:tcPr>
            <w:tcW w:w="989" w:type="dxa"/>
            <w:vMerge w:val="restart"/>
            <w:shd w:val="clear" w:color="auto" w:fill="auto"/>
            <w:noWrap/>
            <w:vAlign w:val="center"/>
          </w:tcPr>
          <w:p w14:paraId="103C90D4"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cs="Calibri"/>
                <w:color w:val="000000"/>
                <w:sz w:val="24"/>
                <w:szCs w:val="24"/>
              </w:rPr>
              <w:t>NOx</w:t>
            </w:r>
          </w:p>
        </w:tc>
        <w:tc>
          <w:tcPr>
            <w:tcW w:w="992" w:type="dxa"/>
            <w:vMerge w:val="restart"/>
            <w:shd w:val="clear" w:color="auto" w:fill="auto"/>
            <w:noWrap/>
            <w:vAlign w:val="center"/>
          </w:tcPr>
          <w:p w14:paraId="7E8CC3FE"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µg/m</w:t>
            </w:r>
            <w:r w:rsidRPr="00EA1BB2">
              <w:rPr>
                <w:rFonts w:ascii="Cambria" w:eastAsia="Times New Roman" w:hAnsi="Cambria" w:cs="Arial"/>
                <w:color w:val="000000"/>
                <w:sz w:val="24"/>
                <w:szCs w:val="24"/>
                <w:vertAlign w:val="superscript"/>
                <w:lang w:eastAsia="ro-RO"/>
              </w:rPr>
              <w:t>3</w:t>
            </w:r>
          </w:p>
        </w:tc>
        <w:tc>
          <w:tcPr>
            <w:tcW w:w="1143" w:type="dxa"/>
            <w:shd w:val="clear" w:color="auto" w:fill="auto"/>
            <w:vAlign w:val="bottom"/>
          </w:tcPr>
          <w:p w14:paraId="7947E334"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BR1</w:t>
            </w:r>
          </w:p>
        </w:tc>
        <w:tc>
          <w:tcPr>
            <w:tcW w:w="1266" w:type="dxa"/>
            <w:shd w:val="clear" w:color="auto" w:fill="auto"/>
            <w:noWrap/>
            <w:vAlign w:val="bottom"/>
          </w:tcPr>
          <w:p w14:paraId="55E42C83"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Trafic</w:t>
            </w:r>
          </w:p>
        </w:tc>
        <w:tc>
          <w:tcPr>
            <w:tcW w:w="1417" w:type="dxa"/>
          </w:tcPr>
          <w:p w14:paraId="2D8C89B6"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11,428</w:t>
            </w:r>
          </w:p>
        </w:tc>
        <w:tc>
          <w:tcPr>
            <w:tcW w:w="2268" w:type="dxa"/>
          </w:tcPr>
          <w:p w14:paraId="038BE915"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276" w:type="dxa"/>
          </w:tcPr>
          <w:p w14:paraId="29797591"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984" w:type="dxa"/>
          </w:tcPr>
          <w:p w14:paraId="339FF23A"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0,034</w:t>
            </w:r>
          </w:p>
        </w:tc>
        <w:tc>
          <w:tcPr>
            <w:tcW w:w="1418" w:type="dxa"/>
          </w:tcPr>
          <w:p w14:paraId="1A1C578A"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0,044</w:t>
            </w:r>
          </w:p>
        </w:tc>
        <w:tc>
          <w:tcPr>
            <w:tcW w:w="1581" w:type="dxa"/>
          </w:tcPr>
          <w:p w14:paraId="4C571303"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11,350</w:t>
            </w:r>
          </w:p>
        </w:tc>
      </w:tr>
      <w:tr w:rsidR="00D077BB" w:rsidRPr="00EA1BB2" w14:paraId="593EBCC3" w14:textId="77777777" w:rsidTr="00110B8B">
        <w:trPr>
          <w:trHeight w:val="188"/>
          <w:jc w:val="center"/>
        </w:trPr>
        <w:tc>
          <w:tcPr>
            <w:tcW w:w="989" w:type="dxa"/>
            <w:vMerge/>
            <w:shd w:val="clear" w:color="auto" w:fill="auto"/>
            <w:noWrap/>
            <w:vAlign w:val="center"/>
          </w:tcPr>
          <w:p w14:paraId="4F41BCAA" w14:textId="77777777" w:rsidR="00D077BB" w:rsidRPr="00EA1BB2" w:rsidRDefault="00D077BB" w:rsidP="00D077BB">
            <w:pPr>
              <w:spacing w:line="360" w:lineRule="auto"/>
              <w:jc w:val="center"/>
              <w:rPr>
                <w:rFonts w:ascii="Cambria" w:hAnsi="Cambria" w:cs="Calibri"/>
                <w:color w:val="000000"/>
                <w:sz w:val="24"/>
                <w:szCs w:val="24"/>
              </w:rPr>
            </w:pPr>
          </w:p>
        </w:tc>
        <w:tc>
          <w:tcPr>
            <w:tcW w:w="992" w:type="dxa"/>
            <w:vMerge/>
            <w:shd w:val="clear" w:color="auto" w:fill="auto"/>
            <w:noWrap/>
            <w:vAlign w:val="center"/>
          </w:tcPr>
          <w:p w14:paraId="27EFB747"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p>
        </w:tc>
        <w:tc>
          <w:tcPr>
            <w:tcW w:w="1143" w:type="dxa"/>
            <w:shd w:val="clear" w:color="auto" w:fill="auto"/>
            <w:vAlign w:val="bottom"/>
          </w:tcPr>
          <w:p w14:paraId="3256D963"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cs="Calibri"/>
                <w:color w:val="000000"/>
                <w:sz w:val="24"/>
                <w:szCs w:val="24"/>
              </w:rPr>
              <w:t>BR4</w:t>
            </w:r>
          </w:p>
        </w:tc>
        <w:tc>
          <w:tcPr>
            <w:tcW w:w="1266" w:type="dxa"/>
            <w:shd w:val="clear" w:color="auto" w:fill="auto"/>
            <w:noWrap/>
            <w:vAlign w:val="bottom"/>
          </w:tcPr>
          <w:p w14:paraId="48DE8674"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Industrial</w:t>
            </w:r>
          </w:p>
        </w:tc>
        <w:tc>
          <w:tcPr>
            <w:tcW w:w="1417" w:type="dxa"/>
          </w:tcPr>
          <w:p w14:paraId="1BD8E1AA"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11,774</w:t>
            </w:r>
          </w:p>
        </w:tc>
        <w:tc>
          <w:tcPr>
            <w:tcW w:w="2268" w:type="dxa"/>
          </w:tcPr>
          <w:p w14:paraId="6A560235"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276" w:type="dxa"/>
          </w:tcPr>
          <w:p w14:paraId="009FA817"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0,013</w:t>
            </w:r>
          </w:p>
        </w:tc>
        <w:tc>
          <w:tcPr>
            <w:tcW w:w="1984" w:type="dxa"/>
          </w:tcPr>
          <w:p w14:paraId="08001F00"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0,274</w:t>
            </w:r>
          </w:p>
        </w:tc>
        <w:tc>
          <w:tcPr>
            <w:tcW w:w="1418" w:type="dxa"/>
          </w:tcPr>
          <w:p w14:paraId="07B1EFAA"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0,137</w:t>
            </w:r>
          </w:p>
        </w:tc>
        <w:tc>
          <w:tcPr>
            <w:tcW w:w="1581" w:type="dxa"/>
          </w:tcPr>
          <w:p w14:paraId="5043EF43"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11,350</w:t>
            </w:r>
          </w:p>
        </w:tc>
      </w:tr>
      <w:tr w:rsidR="00D077BB" w:rsidRPr="00EA1BB2" w14:paraId="0693B461" w14:textId="77777777" w:rsidTr="00110B8B">
        <w:trPr>
          <w:trHeight w:val="188"/>
          <w:jc w:val="center"/>
        </w:trPr>
        <w:tc>
          <w:tcPr>
            <w:tcW w:w="989" w:type="dxa"/>
            <w:vMerge w:val="restart"/>
            <w:shd w:val="clear" w:color="auto" w:fill="auto"/>
            <w:noWrap/>
            <w:vAlign w:val="center"/>
          </w:tcPr>
          <w:p w14:paraId="56DC57B6"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hAnsi="Cambria" w:cs="Calibri"/>
                <w:color w:val="000000"/>
                <w:sz w:val="24"/>
                <w:szCs w:val="24"/>
              </w:rPr>
              <w:t>CO</w:t>
            </w:r>
          </w:p>
        </w:tc>
        <w:tc>
          <w:tcPr>
            <w:tcW w:w="992" w:type="dxa"/>
            <w:vMerge w:val="restart"/>
            <w:shd w:val="clear" w:color="auto" w:fill="auto"/>
            <w:noWrap/>
            <w:vAlign w:val="center"/>
          </w:tcPr>
          <w:p w14:paraId="5E1DB6E9"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m</w:t>
            </w:r>
            <w:r w:rsidRPr="00EA1BB2">
              <w:rPr>
                <w:rFonts w:ascii="Cambria" w:eastAsia="Times New Roman" w:hAnsi="Cambria" w:cs="Calibri"/>
                <w:color w:val="000000"/>
                <w:sz w:val="24"/>
                <w:szCs w:val="24"/>
                <w:lang w:eastAsia="ro-RO"/>
              </w:rPr>
              <w:t>g/m</w:t>
            </w:r>
            <w:r w:rsidRPr="00EA1BB2">
              <w:rPr>
                <w:rFonts w:ascii="Cambria" w:eastAsia="Times New Roman" w:hAnsi="Cambria" w:cs="Calibri"/>
                <w:color w:val="000000"/>
                <w:sz w:val="24"/>
                <w:szCs w:val="24"/>
                <w:vertAlign w:val="superscript"/>
                <w:lang w:eastAsia="ro-RO"/>
              </w:rPr>
              <w:t>3</w:t>
            </w:r>
          </w:p>
        </w:tc>
        <w:tc>
          <w:tcPr>
            <w:tcW w:w="1143" w:type="dxa"/>
            <w:shd w:val="clear" w:color="auto" w:fill="auto"/>
            <w:vAlign w:val="bottom"/>
          </w:tcPr>
          <w:p w14:paraId="34FEE1A9"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BR1</w:t>
            </w:r>
          </w:p>
        </w:tc>
        <w:tc>
          <w:tcPr>
            <w:tcW w:w="1266" w:type="dxa"/>
            <w:shd w:val="clear" w:color="auto" w:fill="auto"/>
            <w:noWrap/>
            <w:vAlign w:val="bottom"/>
          </w:tcPr>
          <w:p w14:paraId="3123E224"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Trafic</w:t>
            </w:r>
          </w:p>
        </w:tc>
        <w:tc>
          <w:tcPr>
            <w:tcW w:w="1417" w:type="dxa"/>
          </w:tcPr>
          <w:p w14:paraId="48A75F70"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0,615</w:t>
            </w:r>
          </w:p>
        </w:tc>
        <w:tc>
          <w:tcPr>
            <w:tcW w:w="2268" w:type="dxa"/>
          </w:tcPr>
          <w:p w14:paraId="580515CA"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276" w:type="dxa"/>
          </w:tcPr>
          <w:p w14:paraId="5621D8DF"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984" w:type="dxa"/>
          </w:tcPr>
          <w:p w14:paraId="6B89D1D4"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0,127</w:t>
            </w:r>
          </w:p>
        </w:tc>
        <w:tc>
          <w:tcPr>
            <w:tcW w:w="1418" w:type="dxa"/>
          </w:tcPr>
          <w:p w14:paraId="2143A4A8"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0,182</w:t>
            </w:r>
          </w:p>
        </w:tc>
        <w:tc>
          <w:tcPr>
            <w:tcW w:w="1581" w:type="dxa"/>
          </w:tcPr>
          <w:p w14:paraId="3B109793"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0,306</w:t>
            </w:r>
          </w:p>
        </w:tc>
      </w:tr>
      <w:tr w:rsidR="00D077BB" w:rsidRPr="00EA1BB2" w14:paraId="34C5174D" w14:textId="77777777" w:rsidTr="00110B8B">
        <w:trPr>
          <w:trHeight w:val="188"/>
          <w:jc w:val="center"/>
        </w:trPr>
        <w:tc>
          <w:tcPr>
            <w:tcW w:w="989" w:type="dxa"/>
            <w:vMerge/>
            <w:shd w:val="clear" w:color="auto" w:fill="auto"/>
            <w:noWrap/>
            <w:vAlign w:val="center"/>
          </w:tcPr>
          <w:p w14:paraId="6B7B95C6" w14:textId="77777777" w:rsidR="00D077BB" w:rsidRPr="00EA1BB2" w:rsidRDefault="00D077BB" w:rsidP="00D077BB">
            <w:pPr>
              <w:spacing w:line="360" w:lineRule="auto"/>
              <w:jc w:val="center"/>
              <w:rPr>
                <w:rFonts w:ascii="Cambria" w:hAnsi="Cambria" w:cs="Calibri"/>
                <w:color w:val="000000"/>
                <w:sz w:val="24"/>
                <w:szCs w:val="24"/>
              </w:rPr>
            </w:pPr>
          </w:p>
        </w:tc>
        <w:tc>
          <w:tcPr>
            <w:tcW w:w="992" w:type="dxa"/>
            <w:vMerge/>
            <w:shd w:val="clear" w:color="auto" w:fill="auto"/>
            <w:noWrap/>
            <w:vAlign w:val="center"/>
          </w:tcPr>
          <w:p w14:paraId="7F2DB108"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p>
        </w:tc>
        <w:tc>
          <w:tcPr>
            <w:tcW w:w="1143" w:type="dxa"/>
            <w:shd w:val="clear" w:color="auto" w:fill="auto"/>
            <w:vAlign w:val="bottom"/>
          </w:tcPr>
          <w:p w14:paraId="16ED7386"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cs="Calibri"/>
                <w:color w:val="000000"/>
                <w:sz w:val="24"/>
                <w:szCs w:val="24"/>
              </w:rPr>
              <w:t>BR4</w:t>
            </w:r>
          </w:p>
        </w:tc>
        <w:tc>
          <w:tcPr>
            <w:tcW w:w="1266" w:type="dxa"/>
            <w:shd w:val="clear" w:color="auto" w:fill="auto"/>
            <w:noWrap/>
            <w:vAlign w:val="bottom"/>
          </w:tcPr>
          <w:p w14:paraId="2E7599A6"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Industrial</w:t>
            </w:r>
          </w:p>
        </w:tc>
        <w:tc>
          <w:tcPr>
            <w:tcW w:w="1417" w:type="dxa"/>
          </w:tcPr>
          <w:p w14:paraId="70943118"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0,526</w:t>
            </w:r>
          </w:p>
        </w:tc>
        <w:tc>
          <w:tcPr>
            <w:tcW w:w="2268" w:type="dxa"/>
          </w:tcPr>
          <w:p w14:paraId="002C63FA"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0,152</w:t>
            </w:r>
          </w:p>
        </w:tc>
        <w:tc>
          <w:tcPr>
            <w:tcW w:w="1276" w:type="dxa"/>
          </w:tcPr>
          <w:p w14:paraId="420423D8"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984" w:type="dxa"/>
          </w:tcPr>
          <w:p w14:paraId="33DFEDE3"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0,029</w:t>
            </w:r>
          </w:p>
        </w:tc>
        <w:tc>
          <w:tcPr>
            <w:tcW w:w="1418" w:type="dxa"/>
          </w:tcPr>
          <w:p w14:paraId="30B5EC37"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0,038</w:t>
            </w:r>
          </w:p>
        </w:tc>
        <w:tc>
          <w:tcPr>
            <w:tcW w:w="1581" w:type="dxa"/>
          </w:tcPr>
          <w:p w14:paraId="4E33D026"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0,306</w:t>
            </w:r>
          </w:p>
        </w:tc>
      </w:tr>
      <w:tr w:rsidR="00FC261F" w:rsidRPr="00EA1BB2" w14:paraId="627034F1" w14:textId="77777777" w:rsidTr="00FC261F">
        <w:trPr>
          <w:trHeight w:val="215"/>
          <w:jc w:val="center"/>
        </w:trPr>
        <w:tc>
          <w:tcPr>
            <w:tcW w:w="989" w:type="dxa"/>
            <w:vMerge w:val="restart"/>
            <w:shd w:val="clear" w:color="auto" w:fill="auto"/>
            <w:noWrap/>
            <w:vAlign w:val="center"/>
          </w:tcPr>
          <w:p w14:paraId="081BA21E" w14:textId="77777777" w:rsidR="00FC261F" w:rsidRPr="00EA1BB2" w:rsidRDefault="00FC261F" w:rsidP="00FC261F">
            <w:pPr>
              <w:spacing w:line="360" w:lineRule="auto"/>
              <w:jc w:val="center"/>
              <w:rPr>
                <w:rFonts w:ascii="Cambria" w:eastAsia="Times New Roman" w:hAnsi="Cambria" w:cs="Arial"/>
                <w:color w:val="000000"/>
                <w:sz w:val="24"/>
                <w:szCs w:val="24"/>
                <w:lang w:eastAsia="ro-RO"/>
              </w:rPr>
            </w:pPr>
            <w:r w:rsidRPr="00EA1BB2">
              <w:rPr>
                <w:rFonts w:ascii="Cambria" w:hAnsi="Cambria" w:cs="Calibri"/>
                <w:color w:val="000000"/>
                <w:sz w:val="24"/>
                <w:szCs w:val="24"/>
              </w:rPr>
              <w:t>C</w:t>
            </w:r>
            <w:r w:rsidRPr="00EA1BB2">
              <w:rPr>
                <w:rFonts w:ascii="Cambria" w:hAnsi="Cambria" w:cs="Calibri"/>
                <w:color w:val="000000"/>
                <w:sz w:val="24"/>
                <w:szCs w:val="24"/>
                <w:vertAlign w:val="subscript"/>
              </w:rPr>
              <w:t>6</w:t>
            </w:r>
            <w:r w:rsidRPr="00EA1BB2">
              <w:rPr>
                <w:rFonts w:ascii="Cambria" w:hAnsi="Cambria" w:cs="Calibri"/>
                <w:color w:val="000000"/>
                <w:sz w:val="24"/>
                <w:szCs w:val="24"/>
              </w:rPr>
              <w:t>H</w:t>
            </w:r>
            <w:r w:rsidRPr="00EA1BB2">
              <w:rPr>
                <w:rFonts w:ascii="Cambria" w:hAnsi="Cambria" w:cs="Calibri"/>
                <w:color w:val="000000"/>
                <w:sz w:val="24"/>
                <w:szCs w:val="24"/>
                <w:vertAlign w:val="subscript"/>
              </w:rPr>
              <w:t>6</w:t>
            </w:r>
          </w:p>
        </w:tc>
        <w:tc>
          <w:tcPr>
            <w:tcW w:w="992" w:type="dxa"/>
            <w:vMerge w:val="restart"/>
            <w:shd w:val="clear" w:color="auto" w:fill="auto"/>
            <w:noWrap/>
            <w:vAlign w:val="center"/>
          </w:tcPr>
          <w:p w14:paraId="272714C5" w14:textId="77777777" w:rsidR="00FC261F" w:rsidRPr="00EA1BB2" w:rsidRDefault="00FC261F" w:rsidP="00FC261F">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µ</w:t>
            </w:r>
            <w:r w:rsidRPr="00EA1BB2">
              <w:rPr>
                <w:rFonts w:ascii="Cambria" w:eastAsia="Times New Roman" w:hAnsi="Cambria" w:cs="Calibri"/>
                <w:color w:val="000000"/>
                <w:sz w:val="24"/>
                <w:szCs w:val="24"/>
                <w:lang w:eastAsia="ro-RO"/>
              </w:rPr>
              <w:t>g/m</w:t>
            </w:r>
            <w:r w:rsidRPr="00EA1BB2">
              <w:rPr>
                <w:rFonts w:ascii="Cambria" w:eastAsia="Times New Roman" w:hAnsi="Cambria" w:cs="Calibri"/>
                <w:color w:val="000000"/>
                <w:sz w:val="24"/>
                <w:szCs w:val="24"/>
                <w:vertAlign w:val="superscript"/>
                <w:lang w:eastAsia="ro-RO"/>
              </w:rPr>
              <w:t>3</w:t>
            </w:r>
          </w:p>
        </w:tc>
        <w:tc>
          <w:tcPr>
            <w:tcW w:w="1143" w:type="dxa"/>
            <w:shd w:val="clear" w:color="auto" w:fill="auto"/>
            <w:vAlign w:val="bottom"/>
          </w:tcPr>
          <w:p w14:paraId="21548211" w14:textId="77777777" w:rsidR="00FC261F" w:rsidRPr="00EA1BB2" w:rsidRDefault="00FC261F" w:rsidP="00FC261F">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BR1</w:t>
            </w:r>
          </w:p>
        </w:tc>
        <w:tc>
          <w:tcPr>
            <w:tcW w:w="1266" w:type="dxa"/>
            <w:shd w:val="clear" w:color="auto" w:fill="auto"/>
            <w:noWrap/>
            <w:vAlign w:val="bottom"/>
          </w:tcPr>
          <w:p w14:paraId="420E7801" w14:textId="77777777" w:rsidR="00FC261F" w:rsidRPr="00EA1BB2" w:rsidRDefault="00FC261F" w:rsidP="00FC261F">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Trafic</w:t>
            </w:r>
          </w:p>
        </w:tc>
        <w:tc>
          <w:tcPr>
            <w:tcW w:w="1417" w:type="dxa"/>
          </w:tcPr>
          <w:p w14:paraId="401E902F" w14:textId="77777777" w:rsidR="00FC261F" w:rsidRPr="00EA1BB2" w:rsidRDefault="00FC261F" w:rsidP="00FC261F">
            <w:pPr>
              <w:spacing w:line="360" w:lineRule="auto"/>
              <w:jc w:val="center"/>
              <w:rPr>
                <w:rFonts w:ascii="Cambria" w:hAnsi="Cambria" w:cs="Calibri"/>
                <w:color w:val="000000"/>
                <w:sz w:val="24"/>
                <w:szCs w:val="24"/>
              </w:rPr>
            </w:pPr>
            <w:r w:rsidRPr="00EA1BB2">
              <w:rPr>
                <w:rFonts w:ascii="Cambria" w:hAnsi="Cambria"/>
                <w:sz w:val="24"/>
                <w:szCs w:val="24"/>
              </w:rPr>
              <w:t>1,284</w:t>
            </w:r>
          </w:p>
        </w:tc>
        <w:tc>
          <w:tcPr>
            <w:tcW w:w="2268" w:type="dxa"/>
          </w:tcPr>
          <w:p w14:paraId="6F8E4266" w14:textId="77777777" w:rsidR="00FC261F" w:rsidRPr="00EA1BB2" w:rsidRDefault="00FC261F" w:rsidP="00FC261F">
            <w:pPr>
              <w:spacing w:line="360" w:lineRule="auto"/>
              <w:jc w:val="center"/>
              <w:rPr>
                <w:rFonts w:ascii="Cambria" w:hAnsi="Cambria" w:cs="Calibri"/>
                <w:color w:val="000000"/>
                <w:sz w:val="24"/>
                <w:szCs w:val="24"/>
              </w:rPr>
            </w:pPr>
            <w:r w:rsidRPr="00EA1BB2">
              <w:rPr>
                <w:rFonts w:ascii="Cambria" w:hAnsi="Cambria" w:cs="Calibri"/>
                <w:color w:val="000000"/>
                <w:sz w:val="24"/>
                <w:szCs w:val="24"/>
              </w:rPr>
              <w:t>0</w:t>
            </w:r>
          </w:p>
        </w:tc>
        <w:tc>
          <w:tcPr>
            <w:tcW w:w="1276" w:type="dxa"/>
          </w:tcPr>
          <w:p w14:paraId="3F962F67" w14:textId="77777777" w:rsidR="00FC261F" w:rsidRPr="00EA1BB2" w:rsidRDefault="00FC261F" w:rsidP="00FC261F">
            <w:pPr>
              <w:spacing w:line="360" w:lineRule="auto"/>
              <w:jc w:val="center"/>
              <w:rPr>
                <w:rFonts w:ascii="Cambria" w:hAnsi="Cambria" w:cs="Calibri"/>
                <w:color w:val="000000"/>
                <w:sz w:val="24"/>
                <w:szCs w:val="24"/>
              </w:rPr>
            </w:pPr>
            <w:r w:rsidRPr="00EA1BB2">
              <w:rPr>
                <w:rFonts w:ascii="Cambria" w:hAnsi="Cambria" w:cs="Calibri"/>
                <w:color w:val="000000"/>
                <w:sz w:val="24"/>
                <w:szCs w:val="24"/>
              </w:rPr>
              <w:t>0</w:t>
            </w:r>
          </w:p>
        </w:tc>
        <w:tc>
          <w:tcPr>
            <w:tcW w:w="1984" w:type="dxa"/>
          </w:tcPr>
          <w:p w14:paraId="7FA54F11" w14:textId="77777777" w:rsidR="00FC261F" w:rsidRPr="00EA1BB2" w:rsidRDefault="00FC261F" w:rsidP="00FC261F">
            <w:pPr>
              <w:spacing w:line="360" w:lineRule="auto"/>
              <w:jc w:val="center"/>
              <w:rPr>
                <w:rFonts w:ascii="Cambria" w:hAnsi="Cambria" w:cs="Calibri"/>
                <w:color w:val="000000"/>
                <w:sz w:val="24"/>
                <w:szCs w:val="24"/>
              </w:rPr>
            </w:pPr>
            <w:r w:rsidRPr="00EA1BB2">
              <w:rPr>
                <w:rFonts w:ascii="Cambria" w:hAnsi="Cambria" w:cs="Calibri"/>
                <w:color w:val="000000"/>
                <w:sz w:val="24"/>
                <w:szCs w:val="24"/>
              </w:rPr>
              <w:t>0</w:t>
            </w:r>
          </w:p>
        </w:tc>
        <w:tc>
          <w:tcPr>
            <w:tcW w:w="1418" w:type="dxa"/>
            <w:vAlign w:val="center"/>
          </w:tcPr>
          <w:p w14:paraId="03D7386A" w14:textId="77777777" w:rsidR="00FC261F" w:rsidRPr="00EA1BB2" w:rsidRDefault="00FC261F" w:rsidP="00FC261F">
            <w:pPr>
              <w:spacing w:line="360" w:lineRule="auto"/>
              <w:jc w:val="center"/>
              <w:rPr>
                <w:rFonts w:ascii="Cambria" w:hAnsi="Cambria" w:cs="Calibri"/>
                <w:color w:val="000000"/>
                <w:sz w:val="24"/>
                <w:szCs w:val="24"/>
              </w:rPr>
            </w:pPr>
            <w:r w:rsidRPr="00EA1BB2">
              <w:rPr>
                <w:rFonts w:ascii="Cambria" w:hAnsi="Cambria"/>
                <w:sz w:val="24"/>
              </w:rPr>
              <w:t>0,952</w:t>
            </w:r>
          </w:p>
        </w:tc>
        <w:tc>
          <w:tcPr>
            <w:tcW w:w="1581" w:type="dxa"/>
          </w:tcPr>
          <w:p w14:paraId="729BEA16" w14:textId="77777777" w:rsidR="00FC261F" w:rsidRPr="00EA1BB2" w:rsidRDefault="00FC261F" w:rsidP="00FC261F">
            <w:pPr>
              <w:spacing w:line="360" w:lineRule="auto"/>
              <w:jc w:val="center"/>
              <w:rPr>
                <w:rFonts w:ascii="Cambria" w:hAnsi="Cambria" w:cs="Calibri"/>
                <w:color w:val="000000"/>
                <w:sz w:val="24"/>
                <w:szCs w:val="24"/>
              </w:rPr>
            </w:pPr>
            <w:r w:rsidRPr="00EA1BB2">
              <w:rPr>
                <w:rFonts w:ascii="Cambria" w:hAnsi="Cambria"/>
                <w:sz w:val="24"/>
                <w:szCs w:val="24"/>
              </w:rPr>
              <w:t>0,332</w:t>
            </w:r>
          </w:p>
        </w:tc>
      </w:tr>
      <w:tr w:rsidR="00FC261F" w:rsidRPr="00EA1BB2" w14:paraId="641F1CAB" w14:textId="77777777" w:rsidTr="00FC261F">
        <w:trPr>
          <w:trHeight w:val="188"/>
          <w:jc w:val="center"/>
        </w:trPr>
        <w:tc>
          <w:tcPr>
            <w:tcW w:w="989" w:type="dxa"/>
            <w:vMerge/>
            <w:shd w:val="clear" w:color="auto" w:fill="auto"/>
            <w:noWrap/>
            <w:vAlign w:val="center"/>
          </w:tcPr>
          <w:p w14:paraId="05ABF193" w14:textId="77777777" w:rsidR="00FC261F" w:rsidRPr="00EA1BB2" w:rsidRDefault="00FC261F" w:rsidP="00FC261F">
            <w:pPr>
              <w:spacing w:line="360" w:lineRule="auto"/>
              <w:jc w:val="center"/>
              <w:rPr>
                <w:rFonts w:ascii="Cambria" w:hAnsi="Cambria" w:cs="Calibri"/>
                <w:color w:val="000000"/>
                <w:sz w:val="24"/>
                <w:szCs w:val="24"/>
              </w:rPr>
            </w:pPr>
          </w:p>
        </w:tc>
        <w:tc>
          <w:tcPr>
            <w:tcW w:w="992" w:type="dxa"/>
            <w:vMerge/>
            <w:shd w:val="clear" w:color="auto" w:fill="auto"/>
            <w:noWrap/>
            <w:vAlign w:val="center"/>
          </w:tcPr>
          <w:p w14:paraId="305F36B9" w14:textId="77777777" w:rsidR="00FC261F" w:rsidRPr="00EA1BB2" w:rsidRDefault="00FC261F" w:rsidP="00FC261F">
            <w:pPr>
              <w:spacing w:line="360" w:lineRule="auto"/>
              <w:jc w:val="center"/>
              <w:rPr>
                <w:rFonts w:ascii="Cambria" w:eastAsia="Times New Roman" w:hAnsi="Cambria" w:cs="Arial"/>
                <w:color w:val="000000"/>
                <w:sz w:val="24"/>
                <w:szCs w:val="24"/>
                <w:lang w:eastAsia="ro-RO"/>
              </w:rPr>
            </w:pPr>
          </w:p>
        </w:tc>
        <w:tc>
          <w:tcPr>
            <w:tcW w:w="1143" w:type="dxa"/>
            <w:shd w:val="clear" w:color="auto" w:fill="auto"/>
            <w:vAlign w:val="bottom"/>
          </w:tcPr>
          <w:p w14:paraId="4FC31206" w14:textId="77777777" w:rsidR="00FC261F" w:rsidRPr="00EA1BB2" w:rsidRDefault="00FC261F" w:rsidP="00FC261F">
            <w:pPr>
              <w:spacing w:line="360" w:lineRule="auto"/>
              <w:jc w:val="center"/>
              <w:rPr>
                <w:rFonts w:ascii="Cambria" w:hAnsi="Cambria" w:cs="Calibri"/>
                <w:color w:val="000000"/>
                <w:sz w:val="24"/>
                <w:szCs w:val="24"/>
              </w:rPr>
            </w:pPr>
            <w:r w:rsidRPr="00EA1BB2">
              <w:rPr>
                <w:rFonts w:ascii="Cambria" w:hAnsi="Cambria" w:cs="Calibri"/>
                <w:color w:val="000000"/>
                <w:sz w:val="24"/>
                <w:szCs w:val="24"/>
              </w:rPr>
              <w:t>BR4</w:t>
            </w:r>
          </w:p>
        </w:tc>
        <w:tc>
          <w:tcPr>
            <w:tcW w:w="1266" w:type="dxa"/>
            <w:shd w:val="clear" w:color="auto" w:fill="auto"/>
            <w:noWrap/>
            <w:vAlign w:val="bottom"/>
          </w:tcPr>
          <w:p w14:paraId="09976093" w14:textId="77777777" w:rsidR="00FC261F" w:rsidRPr="00EA1BB2" w:rsidRDefault="00FC261F" w:rsidP="00FC261F">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Industrial</w:t>
            </w:r>
          </w:p>
        </w:tc>
        <w:tc>
          <w:tcPr>
            <w:tcW w:w="1417" w:type="dxa"/>
          </w:tcPr>
          <w:p w14:paraId="0F60AC90" w14:textId="77777777" w:rsidR="00FC261F" w:rsidRPr="00EA1BB2" w:rsidRDefault="00FC261F" w:rsidP="00FC261F">
            <w:pPr>
              <w:spacing w:line="360" w:lineRule="auto"/>
              <w:jc w:val="center"/>
              <w:rPr>
                <w:rFonts w:ascii="Cambria" w:hAnsi="Cambria" w:cs="Calibri"/>
                <w:color w:val="000000"/>
                <w:sz w:val="24"/>
                <w:szCs w:val="24"/>
              </w:rPr>
            </w:pPr>
            <w:r w:rsidRPr="00EA1BB2">
              <w:rPr>
                <w:rFonts w:ascii="Cambria" w:hAnsi="Cambria"/>
                <w:sz w:val="24"/>
                <w:szCs w:val="24"/>
              </w:rPr>
              <w:t>1,227</w:t>
            </w:r>
          </w:p>
        </w:tc>
        <w:tc>
          <w:tcPr>
            <w:tcW w:w="2268" w:type="dxa"/>
          </w:tcPr>
          <w:p w14:paraId="0AC8DCE5" w14:textId="77777777" w:rsidR="00FC261F" w:rsidRPr="00EA1BB2" w:rsidRDefault="00FC261F" w:rsidP="00FC261F">
            <w:pPr>
              <w:spacing w:line="360" w:lineRule="auto"/>
              <w:jc w:val="center"/>
              <w:rPr>
                <w:rFonts w:ascii="Cambria" w:hAnsi="Cambria" w:cs="Calibri"/>
                <w:color w:val="000000"/>
                <w:sz w:val="24"/>
                <w:szCs w:val="24"/>
              </w:rPr>
            </w:pPr>
            <w:r w:rsidRPr="00EA1BB2">
              <w:rPr>
                <w:rFonts w:ascii="Cambria" w:hAnsi="Cambria" w:cs="Calibri"/>
                <w:color w:val="000000"/>
                <w:sz w:val="24"/>
                <w:szCs w:val="24"/>
              </w:rPr>
              <w:t>0</w:t>
            </w:r>
          </w:p>
        </w:tc>
        <w:tc>
          <w:tcPr>
            <w:tcW w:w="1276" w:type="dxa"/>
          </w:tcPr>
          <w:p w14:paraId="56CEE2BB" w14:textId="77777777" w:rsidR="00FC261F" w:rsidRPr="00EA1BB2" w:rsidRDefault="00FC261F" w:rsidP="00FC261F">
            <w:pPr>
              <w:spacing w:line="360" w:lineRule="auto"/>
              <w:jc w:val="center"/>
              <w:rPr>
                <w:rFonts w:ascii="Cambria" w:hAnsi="Cambria" w:cs="Calibri"/>
                <w:color w:val="000000"/>
                <w:sz w:val="24"/>
                <w:szCs w:val="24"/>
              </w:rPr>
            </w:pPr>
            <w:r w:rsidRPr="00EA1BB2">
              <w:rPr>
                <w:rFonts w:ascii="Cambria" w:hAnsi="Cambria" w:cs="Calibri"/>
                <w:color w:val="000000"/>
                <w:sz w:val="24"/>
                <w:szCs w:val="24"/>
              </w:rPr>
              <w:t>0</w:t>
            </w:r>
          </w:p>
        </w:tc>
        <w:tc>
          <w:tcPr>
            <w:tcW w:w="1984" w:type="dxa"/>
          </w:tcPr>
          <w:p w14:paraId="59DCF9D9" w14:textId="77777777" w:rsidR="00FC261F" w:rsidRPr="00EA1BB2" w:rsidRDefault="00FC261F" w:rsidP="00FC261F">
            <w:pPr>
              <w:spacing w:line="360" w:lineRule="auto"/>
              <w:jc w:val="center"/>
              <w:rPr>
                <w:rFonts w:ascii="Cambria" w:hAnsi="Cambria" w:cs="Calibri"/>
                <w:color w:val="000000"/>
                <w:sz w:val="24"/>
                <w:szCs w:val="24"/>
              </w:rPr>
            </w:pPr>
            <w:r w:rsidRPr="00EA1BB2">
              <w:rPr>
                <w:rFonts w:ascii="Cambria" w:hAnsi="Cambria" w:cs="Calibri"/>
                <w:color w:val="000000"/>
                <w:sz w:val="24"/>
                <w:szCs w:val="24"/>
              </w:rPr>
              <w:t>0</w:t>
            </w:r>
          </w:p>
        </w:tc>
        <w:tc>
          <w:tcPr>
            <w:tcW w:w="1418" w:type="dxa"/>
            <w:vAlign w:val="center"/>
          </w:tcPr>
          <w:p w14:paraId="0D69D27A" w14:textId="77777777" w:rsidR="00FC261F" w:rsidRPr="00EA1BB2" w:rsidRDefault="00FC261F" w:rsidP="00FC261F">
            <w:pPr>
              <w:spacing w:line="360" w:lineRule="auto"/>
              <w:jc w:val="center"/>
              <w:rPr>
                <w:rFonts w:ascii="Cambria" w:hAnsi="Cambria" w:cs="Calibri"/>
                <w:color w:val="000000"/>
                <w:sz w:val="24"/>
                <w:szCs w:val="24"/>
              </w:rPr>
            </w:pPr>
            <w:r w:rsidRPr="00EA1BB2">
              <w:rPr>
                <w:rFonts w:ascii="Cambria" w:hAnsi="Cambria"/>
                <w:sz w:val="24"/>
              </w:rPr>
              <w:t>0,895</w:t>
            </w:r>
          </w:p>
        </w:tc>
        <w:tc>
          <w:tcPr>
            <w:tcW w:w="1581" w:type="dxa"/>
          </w:tcPr>
          <w:p w14:paraId="2FBC413A" w14:textId="77777777" w:rsidR="00FC261F" w:rsidRPr="00EA1BB2" w:rsidRDefault="00FC261F" w:rsidP="00FC261F">
            <w:pPr>
              <w:spacing w:line="360" w:lineRule="auto"/>
              <w:jc w:val="center"/>
              <w:rPr>
                <w:rFonts w:ascii="Cambria" w:hAnsi="Cambria" w:cs="Calibri"/>
                <w:color w:val="000000"/>
                <w:sz w:val="24"/>
                <w:szCs w:val="24"/>
              </w:rPr>
            </w:pPr>
            <w:r w:rsidRPr="00EA1BB2">
              <w:rPr>
                <w:rFonts w:ascii="Cambria" w:hAnsi="Cambria"/>
                <w:sz w:val="24"/>
                <w:szCs w:val="24"/>
              </w:rPr>
              <w:t>0,332</w:t>
            </w:r>
          </w:p>
        </w:tc>
      </w:tr>
      <w:tr w:rsidR="00D077BB" w:rsidRPr="00EA1BB2" w14:paraId="6FEB7732" w14:textId="77777777" w:rsidTr="00110B8B">
        <w:trPr>
          <w:trHeight w:val="188"/>
          <w:jc w:val="center"/>
        </w:trPr>
        <w:tc>
          <w:tcPr>
            <w:tcW w:w="989" w:type="dxa"/>
            <w:vMerge w:val="restart"/>
            <w:shd w:val="clear" w:color="auto" w:fill="auto"/>
            <w:noWrap/>
            <w:vAlign w:val="center"/>
          </w:tcPr>
          <w:p w14:paraId="189BBAB8"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hAnsi="Cambria" w:cs="Calibri"/>
                <w:color w:val="000000"/>
                <w:sz w:val="24"/>
                <w:szCs w:val="24"/>
              </w:rPr>
              <w:t>PM</w:t>
            </w:r>
            <w:r w:rsidRPr="00EA1BB2">
              <w:rPr>
                <w:rFonts w:ascii="Cambria" w:hAnsi="Cambria" w:cs="Calibri"/>
                <w:color w:val="000000"/>
                <w:sz w:val="24"/>
                <w:szCs w:val="24"/>
                <w:vertAlign w:val="subscript"/>
              </w:rPr>
              <w:t>10</w:t>
            </w:r>
          </w:p>
        </w:tc>
        <w:tc>
          <w:tcPr>
            <w:tcW w:w="992" w:type="dxa"/>
            <w:vMerge w:val="restart"/>
            <w:shd w:val="clear" w:color="auto" w:fill="auto"/>
            <w:noWrap/>
            <w:vAlign w:val="center"/>
          </w:tcPr>
          <w:p w14:paraId="2956DC38"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µ</w:t>
            </w:r>
            <w:r w:rsidRPr="00EA1BB2">
              <w:rPr>
                <w:rFonts w:ascii="Cambria" w:eastAsia="Times New Roman" w:hAnsi="Cambria" w:cs="Calibri"/>
                <w:color w:val="000000"/>
                <w:sz w:val="24"/>
                <w:szCs w:val="24"/>
                <w:lang w:eastAsia="ro-RO"/>
              </w:rPr>
              <w:t>g/m</w:t>
            </w:r>
            <w:r w:rsidRPr="00EA1BB2">
              <w:rPr>
                <w:rFonts w:ascii="Cambria" w:eastAsia="Times New Roman" w:hAnsi="Cambria" w:cs="Calibri"/>
                <w:color w:val="000000"/>
                <w:sz w:val="24"/>
                <w:szCs w:val="24"/>
                <w:vertAlign w:val="superscript"/>
                <w:lang w:eastAsia="ro-RO"/>
              </w:rPr>
              <w:t>3</w:t>
            </w:r>
          </w:p>
        </w:tc>
        <w:tc>
          <w:tcPr>
            <w:tcW w:w="1143" w:type="dxa"/>
            <w:shd w:val="clear" w:color="auto" w:fill="auto"/>
            <w:vAlign w:val="bottom"/>
          </w:tcPr>
          <w:p w14:paraId="044B0CBD"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BR1</w:t>
            </w:r>
          </w:p>
        </w:tc>
        <w:tc>
          <w:tcPr>
            <w:tcW w:w="1266" w:type="dxa"/>
            <w:shd w:val="clear" w:color="auto" w:fill="auto"/>
            <w:noWrap/>
            <w:vAlign w:val="bottom"/>
          </w:tcPr>
          <w:p w14:paraId="4E347192"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Trafic</w:t>
            </w:r>
          </w:p>
        </w:tc>
        <w:tc>
          <w:tcPr>
            <w:tcW w:w="1417" w:type="dxa"/>
          </w:tcPr>
          <w:p w14:paraId="4CF5CFBF" w14:textId="77777777" w:rsidR="00D077BB" w:rsidRPr="00EA1BB2" w:rsidRDefault="00D077BB" w:rsidP="00D077BB">
            <w:pPr>
              <w:spacing w:line="360" w:lineRule="auto"/>
              <w:jc w:val="center"/>
              <w:rPr>
                <w:rFonts w:ascii="Cambria" w:hAnsi="Cambria"/>
                <w:sz w:val="24"/>
                <w:szCs w:val="24"/>
              </w:rPr>
            </w:pPr>
            <w:r w:rsidRPr="00EA1BB2">
              <w:rPr>
                <w:rFonts w:ascii="Cambria" w:hAnsi="Cambria"/>
                <w:sz w:val="24"/>
                <w:szCs w:val="24"/>
              </w:rPr>
              <w:t>21,387</w:t>
            </w:r>
          </w:p>
        </w:tc>
        <w:tc>
          <w:tcPr>
            <w:tcW w:w="2268" w:type="dxa"/>
          </w:tcPr>
          <w:p w14:paraId="0D2FA6D6"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0,015</w:t>
            </w:r>
          </w:p>
        </w:tc>
        <w:tc>
          <w:tcPr>
            <w:tcW w:w="1276" w:type="dxa"/>
          </w:tcPr>
          <w:p w14:paraId="7820080D"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984" w:type="dxa"/>
          </w:tcPr>
          <w:p w14:paraId="7FE1D048"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0,572</w:t>
            </w:r>
          </w:p>
        </w:tc>
        <w:tc>
          <w:tcPr>
            <w:tcW w:w="1418" w:type="dxa"/>
          </w:tcPr>
          <w:p w14:paraId="15005A36"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0,773</w:t>
            </w:r>
          </w:p>
        </w:tc>
        <w:tc>
          <w:tcPr>
            <w:tcW w:w="1581" w:type="dxa"/>
          </w:tcPr>
          <w:p w14:paraId="49918D6D"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20,027</w:t>
            </w:r>
          </w:p>
        </w:tc>
      </w:tr>
      <w:tr w:rsidR="00D077BB" w:rsidRPr="00EA1BB2" w14:paraId="58FE7496" w14:textId="77777777" w:rsidTr="00110B8B">
        <w:trPr>
          <w:trHeight w:val="188"/>
          <w:jc w:val="center"/>
        </w:trPr>
        <w:tc>
          <w:tcPr>
            <w:tcW w:w="989" w:type="dxa"/>
            <w:vMerge/>
            <w:shd w:val="clear" w:color="auto" w:fill="auto"/>
            <w:noWrap/>
            <w:vAlign w:val="center"/>
          </w:tcPr>
          <w:p w14:paraId="3748A8E2" w14:textId="77777777" w:rsidR="00D077BB" w:rsidRPr="00EA1BB2" w:rsidRDefault="00D077BB" w:rsidP="00D077BB">
            <w:pPr>
              <w:spacing w:line="360" w:lineRule="auto"/>
              <w:jc w:val="center"/>
              <w:rPr>
                <w:rFonts w:ascii="Cambria" w:hAnsi="Cambria" w:cs="Calibri"/>
                <w:color w:val="000000"/>
                <w:sz w:val="24"/>
                <w:szCs w:val="24"/>
              </w:rPr>
            </w:pPr>
          </w:p>
        </w:tc>
        <w:tc>
          <w:tcPr>
            <w:tcW w:w="992" w:type="dxa"/>
            <w:vMerge/>
            <w:shd w:val="clear" w:color="auto" w:fill="auto"/>
            <w:noWrap/>
            <w:vAlign w:val="center"/>
          </w:tcPr>
          <w:p w14:paraId="7983B958"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p>
        </w:tc>
        <w:tc>
          <w:tcPr>
            <w:tcW w:w="1143" w:type="dxa"/>
            <w:shd w:val="clear" w:color="auto" w:fill="auto"/>
            <w:vAlign w:val="bottom"/>
          </w:tcPr>
          <w:p w14:paraId="4D6A5D9A"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cs="Calibri"/>
                <w:color w:val="000000"/>
                <w:sz w:val="24"/>
                <w:szCs w:val="24"/>
              </w:rPr>
              <w:t>BR4</w:t>
            </w:r>
          </w:p>
        </w:tc>
        <w:tc>
          <w:tcPr>
            <w:tcW w:w="1266" w:type="dxa"/>
            <w:shd w:val="clear" w:color="auto" w:fill="auto"/>
            <w:noWrap/>
            <w:vAlign w:val="bottom"/>
          </w:tcPr>
          <w:p w14:paraId="0495C7DF"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Industrial</w:t>
            </w:r>
          </w:p>
        </w:tc>
        <w:tc>
          <w:tcPr>
            <w:tcW w:w="1417" w:type="dxa"/>
          </w:tcPr>
          <w:p w14:paraId="01217136" w14:textId="77777777" w:rsidR="00D077BB" w:rsidRPr="00EA1BB2" w:rsidRDefault="00D077BB" w:rsidP="00D077BB">
            <w:pPr>
              <w:spacing w:line="360" w:lineRule="auto"/>
              <w:jc w:val="center"/>
              <w:rPr>
                <w:rFonts w:ascii="Cambria" w:hAnsi="Cambria"/>
                <w:sz w:val="24"/>
                <w:szCs w:val="24"/>
              </w:rPr>
            </w:pPr>
            <w:r w:rsidRPr="00EA1BB2">
              <w:rPr>
                <w:rFonts w:ascii="Cambria" w:hAnsi="Cambria"/>
                <w:sz w:val="24"/>
                <w:szCs w:val="24"/>
              </w:rPr>
              <w:t>21,171</w:t>
            </w:r>
          </w:p>
        </w:tc>
        <w:tc>
          <w:tcPr>
            <w:tcW w:w="2268" w:type="dxa"/>
          </w:tcPr>
          <w:p w14:paraId="7B00C4C2"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1,011</w:t>
            </w:r>
          </w:p>
        </w:tc>
        <w:tc>
          <w:tcPr>
            <w:tcW w:w="1276" w:type="dxa"/>
          </w:tcPr>
          <w:p w14:paraId="678943C1"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984" w:type="dxa"/>
          </w:tcPr>
          <w:p w14:paraId="17F94378"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0,058</w:t>
            </w:r>
          </w:p>
        </w:tc>
        <w:tc>
          <w:tcPr>
            <w:tcW w:w="1418" w:type="dxa"/>
          </w:tcPr>
          <w:p w14:paraId="509E0BD7"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0,075</w:t>
            </w:r>
          </w:p>
        </w:tc>
        <w:tc>
          <w:tcPr>
            <w:tcW w:w="1581" w:type="dxa"/>
          </w:tcPr>
          <w:p w14:paraId="5A390840"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20,027</w:t>
            </w:r>
          </w:p>
        </w:tc>
      </w:tr>
      <w:tr w:rsidR="00D077BB" w:rsidRPr="00EA1BB2" w14:paraId="2F377B49" w14:textId="77777777" w:rsidTr="00110B8B">
        <w:trPr>
          <w:trHeight w:val="188"/>
          <w:jc w:val="center"/>
        </w:trPr>
        <w:tc>
          <w:tcPr>
            <w:tcW w:w="989" w:type="dxa"/>
            <w:vMerge w:val="restart"/>
            <w:shd w:val="clear" w:color="auto" w:fill="auto"/>
            <w:noWrap/>
            <w:vAlign w:val="center"/>
          </w:tcPr>
          <w:p w14:paraId="34CB8991"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hAnsi="Cambria" w:cs="Calibri"/>
                <w:color w:val="000000"/>
                <w:sz w:val="24"/>
                <w:szCs w:val="24"/>
              </w:rPr>
              <w:t>PM</w:t>
            </w:r>
            <w:r w:rsidRPr="00EA1BB2">
              <w:rPr>
                <w:rFonts w:ascii="Cambria" w:hAnsi="Cambria" w:cs="Calibri"/>
                <w:color w:val="000000"/>
                <w:sz w:val="24"/>
                <w:szCs w:val="24"/>
                <w:vertAlign w:val="subscript"/>
              </w:rPr>
              <w:t>2,5</w:t>
            </w:r>
          </w:p>
        </w:tc>
        <w:tc>
          <w:tcPr>
            <w:tcW w:w="992" w:type="dxa"/>
            <w:vMerge w:val="restart"/>
            <w:shd w:val="clear" w:color="auto" w:fill="auto"/>
            <w:noWrap/>
            <w:vAlign w:val="center"/>
          </w:tcPr>
          <w:p w14:paraId="7F6948CD"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µ</w:t>
            </w:r>
            <w:r w:rsidRPr="00EA1BB2">
              <w:rPr>
                <w:rFonts w:ascii="Cambria" w:eastAsia="Times New Roman" w:hAnsi="Cambria" w:cs="Calibri"/>
                <w:color w:val="000000"/>
                <w:sz w:val="24"/>
                <w:szCs w:val="24"/>
                <w:lang w:eastAsia="ro-RO"/>
              </w:rPr>
              <w:t>g/m</w:t>
            </w:r>
            <w:r w:rsidRPr="00EA1BB2">
              <w:rPr>
                <w:rFonts w:ascii="Cambria" w:eastAsia="Times New Roman" w:hAnsi="Cambria" w:cs="Calibri"/>
                <w:color w:val="000000"/>
                <w:sz w:val="24"/>
                <w:szCs w:val="24"/>
                <w:vertAlign w:val="superscript"/>
                <w:lang w:eastAsia="ro-RO"/>
              </w:rPr>
              <w:t>3</w:t>
            </w:r>
          </w:p>
        </w:tc>
        <w:tc>
          <w:tcPr>
            <w:tcW w:w="1143" w:type="dxa"/>
            <w:shd w:val="clear" w:color="auto" w:fill="auto"/>
            <w:vAlign w:val="bottom"/>
          </w:tcPr>
          <w:p w14:paraId="051AEB78"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BR1</w:t>
            </w:r>
          </w:p>
        </w:tc>
        <w:tc>
          <w:tcPr>
            <w:tcW w:w="1266" w:type="dxa"/>
            <w:shd w:val="clear" w:color="auto" w:fill="auto"/>
            <w:noWrap/>
            <w:vAlign w:val="bottom"/>
          </w:tcPr>
          <w:p w14:paraId="74C80BF8"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Trafic</w:t>
            </w:r>
          </w:p>
        </w:tc>
        <w:tc>
          <w:tcPr>
            <w:tcW w:w="1417" w:type="dxa"/>
          </w:tcPr>
          <w:p w14:paraId="39801DD5" w14:textId="77777777" w:rsidR="00D077BB" w:rsidRPr="00EA1BB2" w:rsidRDefault="00D077BB" w:rsidP="00D077BB">
            <w:pPr>
              <w:spacing w:line="360" w:lineRule="auto"/>
              <w:jc w:val="center"/>
              <w:rPr>
                <w:rFonts w:ascii="Cambria" w:hAnsi="Cambria"/>
                <w:sz w:val="24"/>
                <w:szCs w:val="24"/>
              </w:rPr>
            </w:pPr>
            <w:r w:rsidRPr="00EA1BB2">
              <w:rPr>
                <w:rFonts w:ascii="Cambria" w:hAnsi="Cambria"/>
                <w:sz w:val="24"/>
                <w:szCs w:val="24"/>
              </w:rPr>
              <w:t>16,522</w:t>
            </w:r>
          </w:p>
        </w:tc>
        <w:tc>
          <w:tcPr>
            <w:tcW w:w="2268" w:type="dxa"/>
          </w:tcPr>
          <w:p w14:paraId="03054E39"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276" w:type="dxa"/>
          </w:tcPr>
          <w:p w14:paraId="7D968C03"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984" w:type="dxa"/>
          </w:tcPr>
          <w:p w14:paraId="13864ED9"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0,049</w:t>
            </w:r>
          </w:p>
        </w:tc>
        <w:tc>
          <w:tcPr>
            <w:tcW w:w="1418" w:type="dxa"/>
          </w:tcPr>
          <w:p w14:paraId="228B99B3"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0,074</w:t>
            </w:r>
          </w:p>
        </w:tc>
        <w:tc>
          <w:tcPr>
            <w:tcW w:w="1581" w:type="dxa"/>
          </w:tcPr>
          <w:p w14:paraId="60942AB6"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16,399</w:t>
            </w:r>
          </w:p>
        </w:tc>
      </w:tr>
      <w:tr w:rsidR="00D077BB" w:rsidRPr="00EA1BB2" w14:paraId="6B2EEDFF" w14:textId="77777777" w:rsidTr="00110B8B">
        <w:trPr>
          <w:trHeight w:val="188"/>
          <w:jc w:val="center"/>
        </w:trPr>
        <w:tc>
          <w:tcPr>
            <w:tcW w:w="989" w:type="dxa"/>
            <w:vMerge/>
            <w:shd w:val="clear" w:color="auto" w:fill="auto"/>
            <w:noWrap/>
            <w:vAlign w:val="center"/>
          </w:tcPr>
          <w:p w14:paraId="7E8159F6" w14:textId="77777777" w:rsidR="00D077BB" w:rsidRPr="00EA1BB2" w:rsidRDefault="00D077BB" w:rsidP="00D077BB">
            <w:pPr>
              <w:spacing w:line="360" w:lineRule="auto"/>
              <w:jc w:val="center"/>
              <w:rPr>
                <w:rFonts w:ascii="Cambria" w:hAnsi="Cambria" w:cs="Calibri"/>
                <w:color w:val="000000"/>
                <w:sz w:val="24"/>
                <w:szCs w:val="24"/>
              </w:rPr>
            </w:pPr>
          </w:p>
        </w:tc>
        <w:tc>
          <w:tcPr>
            <w:tcW w:w="992" w:type="dxa"/>
            <w:vMerge/>
            <w:shd w:val="clear" w:color="auto" w:fill="auto"/>
            <w:noWrap/>
            <w:vAlign w:val="center"/>
          </w:tcPr>
          <w:p w14:paraId="43652648"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p>
        </w:tc>
        <w:tc>
          <w:tcPr>
            <w:tcW w:w="1143" w:type="dxa"/>
            <w:shd w:val="clear" w:color="auto" w:fill="auto"/>
            <w:vAlign w:val="bottom"/>
          </w:tcPr>
          <w:p w14:paraId="1A7A71FF"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cs="Calibri"/>
                <w:color w:val="000000"/>
                <w:sz w:val="24"/>
                <w:szCs w:val="24"/>
              </w:rPr>
              <w:t>BR4</w:t>
            </w:r>
          </w:p>
        </w:tc>
        <w:tc>
          <w:tcPr>
            <w:tcW w:w="1266" w:type="dxa"/>
            <w:shd w:val="clear" w:color="auto" w:fill="auto"/>
            <w:noWrap/>
            <w:vAlign w:val="bottom"/>
          </w:tcPr>
          <w:p w14:paraId="6674154E"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Industrial</w:t>
            </w:r>
          </w:p>
        </w:tc>
        <w:tc>
          <w:tcPr>
            <w:tcW w:w="1417" w:type="dxa"/>
          </w:tcPr>
          <w:p w14:paraId="0E625118" w14:textId="77777777" w:rsidR="00D077BB" w:rsidRPr="00EA1BB2" w:rsidRDefault="00D077BB" w:rsidP="00D077BB">
            <w:pPr>
              <w:spacing w:line="360" w:lineRule="auto"/>
              <w:jc w:val="center"/>
              <w:rPr>
                <w:rFonts w:ascii="Cambria" w:hAnsi="Cambria"/>
                <w:sz w:val="24"/>
                <w:szCs w:val="24"/>
              </w:rPr>
            </w:pPr>
            <w:r w:rsidRPr="00EA1BB2">
              <w:rPr>
                <w:rFonts w:ascii="Cambria" w:hAnsi="Cambria"/>
                <w:sz w:val="24"/>
                <w:szCs w:val="24"/>
              </w:rPr>
              <w:t>16,744</w:t>
            </w:r>
          </w:p>
        </w:tc>
        <w:tc>
          <w:tcPr>
            <w:tcW w:w="2268" w:type="dxa"/>
          </w:tcPr>
          <w:p w14:paraId="6CCDAD94"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0,297</w:t>
            </w:r>
          </w:p>
        </w:tc>
        <w:tc>
          <w:tcPr>
            <w:tcW w:w="1276" w:type="dxa"/>
          </w:tcPr>
          <w:p w14:paraId="2988F8E2"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984" w:type="dxa"/>
          </w:tcPr>
          <w:p w14:paraId="06C0C228"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0,021</w:t>
            </w:r>
          </w:p>
        </w:tc>
        <w:tc>
          <w:tcPr>
            <w:tcW w:w="1418" w:type="dxa"/>
          </w:tcPr>
          <w:p w14:paraId="2BE53A05"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0,027</w:t>
            </w:r>
          </w:p>
        </w:tc>
        <w:tc>
          <w:tcPr>
            <w:tcW w:w="1581" w:type="dxa"/>
          </w:tcPr>
          <w:p w14:paraId="13EFA238"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16,399</w:t>
            </w:r>
          </w:p>
        </w:tc>
      </w:tr>
      <w:tr w:rsidR="00D077BB" w:rsidRPr="00EA1BB2" w14:paraId="087B949B" w14:textId="77777777" w:rsidTr="00110B8B">
        <w:trPr>
          <w:trHeight w:val="188"/>
          <w:jc w:val="center"/>
        </w:trPr>
        <w:tc>
          <w:tcPr>
            <w:tcW w:w="989" w:type="dxa"/>
            <w:vMerge w:val="restart"/>
            <w:shd w:val="clear" w:color="auto" w:fill="auto"/>
            <w:noWrap/>
            <w:vAlign w:val="center"/>
          </w:tcPr>
          <w:p w14:paraId="026D3D90"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hAnsi="Cambria" w:cs="Calibri"/>
                <w:color w:val="000000"/>
                <w:sz w:val="24"/>
                <w:szCs w:val="24"/>
              </w:rPr>
              <w:t>As</w:t>
            </w:r>
          </w:p>
        </w:tc>
        <w:tc>
          <w:tcPr>
            <w:tcW w:w="992" w:type="dxa"/>
            <w:vMerge w:val="restart"/>
            <w:shd w:val="clear" w:color="auto" w:fill="auto"/>
            <w:noWrap/>
            <w:vAlign w:val="center"/>
          </w:tcPr>
          <w:p w14:paraId="33DF5C69"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Calibri"/>
                <w:color w:val="000000"/>
                <w:sz w:val="24"/>
                <w:szCs w:val="24"/>
                <w:lang w:eastAsia="ro-RO"/>
              </w:rPr>
              <w:t>ng/m</w:t>
            </w:r>
            <w:r w:rsidRPr="00EA1BB2">
              <w:rPr>
                <w:rFonts w:ascii="Cambria" w:eastAsia="Times New Roman" w:hAnsi="Cambria" w:cs="Calibri"/>
                <w:color w:val="000000"/>
                <w:sz w:val="24"/>
                <w:szCs w:val="24"/>
                <w:vertAlign w:val="superscript"/>
                <w:lang w:eastAsia="ro-RO"/>
              </w:rPr>
              <w:t>3</w:t>
            </w:r>
          </w:p>
        </w:tc>
        <w:tc>
          <w:tcPr>
            <w:tcW w:w="1143" w:type="dxa"/>
            <w:shd w:val="clear" w:color="auto" w:fill="auto"/>
            <w:vAlign w:val="bottom"/>
          </w:tcPr>
          <w:p w14:paraId="1AE8EA3C"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BR1</w:t>
            </w:r>
          </w:p>
        </w:tc>
        <w:tc>
          <w:tcPr>
            <w:tcW w:w="1266" w:type="dxa"/>
            <w:shd w:val="clear" w:color="auto" w:fill="auto"/>
            <w:noWrap/>
            <w:vAlign w:val="bottom"/>
          </w:tcPr>
          <w:p w14:paraId="746ED237"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Trafic</w:t>
            </w:r>
          </w:p>
        </w:tc>
        <w:tc>
          <w:tcPr>
            <w:tcW w:w="1417" w:type="dxa"/>
          </w:tcPr>
          <w:p w14:paraId="5A8380B0" w14:textId="77777777" w:rsidR="00D077BB" w:rsidRPr="00EA1BB2" w:rsidRDefault="00D077BB" w:rsidP="00D077BB">
            <w:pPr>
              <w:spacing w:line="360" w:lineRule="auto"/>
              <w:jc w:val="center"/>
              <w:rPr>
                <w:rFonts w:ascii="Cambria" w:hAnsi="Cambria"/>
                <w:sz w:val="24"/>
                <w:szCs w:val="24"/>
              </w:rPr>
            </w:pPr>
            <w:r w:rsidRPr="00EA1BB2">
              <w:rPr>
                <w:rFonts w:ascii="Cambria" w:hAnsi="Cambria"/>
                <w:sz w:val="24"/>
                <w:szCs w:val="24"/>
              </w:rPr>
              <w:t>0,703</w:t>
            </w:r>
          </w:p>
        </w:tc>
        <w:tc>
          <w:tcPr>
            <w:tcW w:w="2268" w:type="dxa"/>
          </w:tcPr>
          <w:p w14:paraId="01ECD1C2"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0,005</w:t>
            </w:r>
          </w:p>
        </w:tc>
        <w:tc>
          <w:tcPr>
            <w:tcW w:w="1276" w:type="dxa"/>
          </w:tcPr>
          <w:p w14:paraId="7537AF94"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984" w:type="dxa"/>
          </w:tcPr>
          <w:p w14:paraId="7457B222"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0,019</w:t>
            </w:r>
          </w:p>
        </w:tc>
        <w:tc>
          <w:tcPr>
            <w:tcW w:w="1418" w:type="dxa"/>
          </w:tcPr>
          <w:p w14:paraId="6359AC60"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581" w:type="dxa"/>
          </w:tcPr>
          <w:p w14:paraId="0236B99E"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0,679</w:t>
            </w:r>
          </w:p>
        </w:tc>
      </w:tr>
      <w:tr w:rsidR="00D077BB" w:rsidRPr="00EA1BB2" w14:paraId="7C9F2856" w14:textId="77777777" w:rsidTr="00110B8B">
        <w:trPr>
          <w:trHeight w:val="188"/>
          <w:jc w:val="center"/>
        </w:trPr>
        <w:tc>
          <w:tcPr>
            <w:tcW w:w="989" w:type="dxa"/>
            <w:vMerge/>
            <w:shd w:val="clear" w:color="auto" w:fill="auto"/>
            <w:noWrap/>
            <w:vAlign w:val="center"/>
          </w:tcPr>
          <w:p w14:paraId="0800A640" w14:textId="77777777" w:rsidR="00D077BB" w:rsidRPr="00EA1BB2" w:rsidRDefault="00D077BB" w:rsidP="00D077BB">
            <w:pPr>
              <w:spacing w:line="360" w:lineRule="auto"/>
              <w:jc w:val="center"/>
              <w:rPr>
                <w:rFonts w:ascii="Cambria" w:hAnsi="Cambria" w:cs="Calibri"/>
                <w:color w:val="000000"/>
                <w:sz w:val="24"/>
                <w:szCs w:val="24"/>
              </w:rPr>
            </w:pPr>
          </w:p>
        </w:tc>
        <w:tc>
          <w:tcPr>
            <w:tcW w:w="992" w:type="dxa"/>
            <w:vMerge/>
            <w:shd w:val="clear" w:color="auto" w:fill="auto"/>
            <w:noWrap/>
            <w:vAlign w:val="center"/>
          </w:tcPr>
          <w:p w14:paraId="1BF6A89B" w14:textId="77777777" w:rsidR="00D077BB" w:rsidRPr="00EA1BB2" w:rsidRDefault="00D077BB" w:rsidP="00D077BB">
            <w:pPr>
              <w:spacing w:line="360" w:lineRule="auto"/>
              <w:jc w:val="center"/>
              <w:rPr>
                <w:rFonts w:ascii="Cambria" w:eastAsia="Times New Roman" w:hAnsi="Cambria" w:cs="Calibri"/>
                <w:color w:val="000000"/>
                <w:sz w:val="24"/>
                <w:szCs w:val="24"/>
                <w:lang w:eastAsia="ro-RO"/>
              </w:rPr>
            </w:pPr>
          </w:p>
        </w:tc>
        <w:tc>
          <w:tcPr>
            <w:tcW w:w="1143" w:type="dxa"/>
            <w:shd w:val="clear" w:color="auto" w:fill="auto"/>
            <w:vAlign w:val="bottom"/>
          </w:tcPr>
          <w:p w14:paraId="60AEF1D7"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cs="Calibri"/>
                <w:color w:val="000000"/>
                <w:sz w:val="24"/>
                <w:szCs w:val="24"/>
              </w:rPr>
              <w:t>BR4</w:t>
            </w:r>
          </w:p>
        </w:tc>
        <w:tc>
          <w:tcPr>
            <w:tcW w:w="1266" w:type="dxa"/>
            <w:shd w:val="clear" w:color="auto" w:fill="auto"/>
            <w:noWrap/>
            <w:vAlign w:val="bottom"/>
          </w:tcPr>
          <w:p w14:paraId="3280AC82"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Industrial</w:t>
            </w:r>
          </w:p>
        </w:tc>
        <w:tc>
          <w:tcPr>
            <w:tcW w:w="1417" w:type="dxa"/>
          </w:tcPr>
          <w:p w14:paraId="0D66C42E" w14:textId="77777777" w:rsidR="00D077BB" w:rsidRPr="00EA1BB2" w:rsidRDefault="00D077BB" w:rsidP="00D077BB">
            <w:pPr>
              <w:spacing w:line="360" w:lineRule="auto"/>
              <w:jc w:val="center"/>
              <w:rPr>
                <w:rFonts w:ascii="Cambria" w:hAnsi="Cambria"/>
                <w:sz w:val="24"/>
                <w:szCs w:val="24"/>
              </w:rPr>
            </w:pPr>
            <w:r w:rsidRPr="00EA1BB2">
              <w:rPr>
                <w:rFonts w:ascii="Cambria" w:hAnsi="Cambria"/>
                <w:sz w:val="24"/>
                <w:szCs w:val="24"/>
              </w:rPr>
              <w:t>0,706</w:t>
            </w:r>
          </w:p>
        </w:tc>
        <w:tc>
          <w:tcPr>
            <w:tcW w:w="2268" w:type="dxa"/>
          </w:tcPr>
          <w:p w14:paraId="3A80E118"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0,026</w:t>
            </w:r>
          </w:p>
        </w:tc>
        <w:tc>
          <w:tcPr>
            <w:tcW w:w="1276" w:type="dxa"/>
          </w:tcPr>
          <w:p w14:paraId="7D481B06"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984" w:type="dxa"/>
          </w:tcPr>
          <w:p w14:paraId="5241B60E"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418" w:type="dxa"/>
          </w:tcPr>
          <w:p w14:paraId="3DF2211C"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581" w:type="dxa"/>
          </w:tcPr>
          <w:p w14:paraId="0CED09D7"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0,679</w:t>
            </w:r>
          </w:p>
        </w:tc>
      </w:tr>
      <w:tr w:rsidR="00D077BB" w:rsidRPr="00EA1BB2" w14:paraId="45E22D25" w14:textId="77777777" w:rsidTr="00110B8B">
        <w:trPr>
          <w:trHeight w:val="188"/>
          <w:jc w:val="center"/>
        </w:trPr>
        <w:tc>
          <w:tcPr>
            <w:tcW w:w="989" w:type="dxa"/>
            <w:vMerge w:val="restart"/>
            <w:shd w:val="clear" w:color="auto" w:fill="auto"/>
            <w:noWrap/>
            <w:vAlign w:val="center"/>
          </w:tcPr>
          <w:p w14:paraId="00DB6408"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hAnsi="Cambria" w:cs="Calibri"/>
                <w:color w:val="000000"/>
                <w:sz w:val="24"/>
                <w:szCs w:val="24"/>
              </w:rPr>
              <w:lastRenderedPageBreak/>
              <w:t>Cd</w:t>
            </w:r>
          </w:p>
        </w:tc>
        <w:tc>
          <w:tcPr>
            <w:tcW w:w="992" w:type="dxa"/>
            <w:vMerge w:val="restart"/>
            <w:shd w:val="clear" w:color="auto" w:fill="auto"/>
            <w:noWrap/>
            <w:vAlign w:val="center"/>
          </w:tcPr>
          <w:p w14:paraId="7B9932E3"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Calibri"/>
                <w:color w:val="000000"/>
                <w:sz w:val="24"/>
                <w:szCs w:val="24"/>
                <w:lang w:eastAsia="ro-RO"/>
              </w:rPr>
              <w:t>ng/m</w:t>
            </w:r>
            <w:r w:rsidRPr="00EA1BB2">
              <w:rPr>
                <w:rFonts w:ascii="Cambria" w:eastAsia="Times New Roman" w:hAnsi="Cambria" w:cs="Calibri"/>
                <w:color w:val="000000"/>
                <w:sz w:val="24"/>
                <w:szCs w:val="24"/>
                <w:vertAlign w:val="superscript"/>
                <w:lang w:eastAsia="ro-RO"/>
              </w:rPr>
              <w:t>3</w:t>
            </w:r>
          </w:p>
        </w:tc>
        <w:tc>
          <w:tcPr>
            <w:tcW w:w="1143" w:type="dxa"/>
            <w:shd w:val="clear" w:color="auto" w:fill="auto"/>
            <w:vAlign w:val="bottom"/>
          </w:tcPr>
          <w:p w14:paraId="3F422035"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BR1</w:t>
            </w:r>
          </w:p>
        </w:tc>
        <w:tc>
          <w:tcPr>
            <w:tcW w:w="1266" w:type="dxa"/>
            <w:shd w:val="clear" w:color="auto" w:fill="auto"/>
            <w:noWrap/>
            <w:vAlign w:val="bottom"/>
          </w:tcPr>
          <w:p w14:paraId="66DA6C4A"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Trafic</w:t>
            </w:r>
          </w:p>
        </w:tc>
        <w:tc>
          <w:tcPr>
            <w:tcW w:w="1417" w:type="dxa"/>
          </w:tcPr>
          <w:p w14:paraId="64794752" w14:textId="77777777" w:rsidR="00D077BB" w:rsidRPr="00EA1BB2" w:rsidRDefault="00D077BB" w:rsidP="00D077BB">
            <w:pPr>
              <w:spacing w:line="360" w:lineRule="auto"/>
              <w:jc w:val="center"/>
              <w:rPr>
                <w:rFonts w:ascii="Cambria" w:hAnsi="Cambria"/>
                <w:sz w:val="24"/>
                <w:szCs w:val="24"/>
              </w:rPr>
            </w:pPr>
            <w:r w:rsidRPr="00EA1BB2">
              <w:rPr>
                <w:rFonts w:ascii="Cambria" w:hAnsi="Cambria"/>
                <w:sz w:val="24"/>
                <w:szCs w:val="24"/>
              </w:rPr>
              <w:t>0,25</w:t>
            </w:r>
          </w:p>
        </w:tc>
        <w:tc>
          <w:tcPr>
            <w:tcW w:w="2268" w:type="dxa"/>
          </w:tcPr>
          <w:p w14:paraId="1BB1F8F9"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0,002</w:t>
            </w:r>
          </w:p>
        </w:tc>
        <w:tc>
          <w:tcPr>
            <w:tcW w:w="1276" w:type="dxa"/>
          </w:tcPr>
          <w:p w14:paraId="15A91651"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984" w:type="dxa"/>
          </w:tcPr>
          <w:p w14:paraId="12C9DB33"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0,004</w:t>
            </w:r>
          </w:p>
        </w:tc>
        <w:tc>
          <w:tcPr>
            <w:tcW w:w="1418" w:type="dxa"/>
          </w:tcPr>
          <w:p w14:paraId="64EAE8B9"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0,007</w:t>
            </w:r>
          </w:p>
        </w:tc>
        <w:tc>
          <w:tcPr>
            <w:tcW w:w="1581" w:type="dxa"/>
          </w:tcPr>
          <w:p w14:paraId="22EF0010"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0,237</w:t>
            </w:r>
          </w:p>
        </w:tc>
      </w:tr>
      <w:tr w:rsidR="00D077BB" w:rsidRPr="00EA1BB2" w14:paraId="7243C61F" w14:textId="77777777" w:rsidTr="00110B8B">
        <w:trPr>
          <w:trHeight w:val="188"/>
          <w:jc w:val="center"/>
        </w:trPr>
        <w:tc>
          <w:tcPr>
            <w:tcW w:w="989" w:type="dxa"/>
            <w:vMerge/>
            <w:shd w:val="clear" w:color="auto" w:fill="auto"/>
            <w:noWrap/>
            <w:vAlign w:val="center"/>
          </w:tcPr>
          <w:p w14:paraId="10EABB49" w14:textId="77777777" w:rsidR="00D077BB" w:rsidRPr="00EA1BB2" w:rsidRDefault="00D077BB" w:rsidP="00D077BB">
            <w:pPr>
              <w:spacing w:line="360" w:lineRule="auto"/>
              <w:jc w:val="center"/>
              <w:rPr>
                <w:rFonts w:ascii="Cambria" w:hAnsi="Cambria" w:cs="Calibri"/>
                <w:color w:val="000000"/>
                <w:sz w:val="24"/>
                <w:szCs w:val="24"/>
              </w:rPr>
            </w:pPr>
          </w:p>
        </w:tc>
        <w:tc>
          <w:tcPr>
            <w:tcW w:w="992" w:type="dxa"/>
            <w:vMerge/>
            <w:shd w:val="clear" w:color="auto" w:fill="auto"/>
            <w:noWrap/>
            <w:vAlign w:val="center"/>
          </w:tcPr>
          <w:p w14:paraId="181FA701" w14:textId="77777777" w:rsidR="00D077BB" w:rsidRPr="00EA1BB2" w:rsidRDefault="00D077BB" w:rsidP="00D077BB">
            <w:pPr>
              <w:spacing w:line="360" w:lineRule="auto"/>
              <w:jc w:val="center"/>
              <w:rPr>
                <w:rFonts w:ascii="Cambria" w:eastAsia="Times New Roman" w:hAnsi="Cambria" w:cs="Calibri"/>
                <w:color w:val="000000"/>
                <w:sz w:val="24"/>
                <w:szCs w:val="24"/>
                <w:lang w:eastAsia="ro-RO"/>
              </w:rPr>
            </w:pPr>
          </w:p>
        </w:tc>
        <w:tc>
          <w:tcPr>
            <w:tcW w:w="1143" w:type="dxa"/>
            <w:shd w:val="clear" w:color="auto" w:fill="auto"/>
            <w:vAlign w:val="bottom"/>
          </w:tcPr>
          <w:p w14:paraId="11568FC8"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cs="Calibri"/>
                <w:color w:val="000000"/>
                <w:sz w:val="24"/>
                <w:szCs w:val="24"/>
              </w:rPr>
              <w:t>BR4</w:t>
            </w:r>
          </w:p>
        </w:tc>
        <w:tc>
          <w:tcPr>
            <w:tcW w:w="1266" w:type="dxa"/>
            <w:shd w:val="clear" w:color="auto" w:fill="auto"/>
            <w:noWrap/>
            <w:vAlign w:val="bottom"/>
          </w:tcPr>
          <w:p w14:paraId="40D6AAE5"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Industrial</w:t>
            </w:r>
          </w:p>
        </w:tc>
        <w:tc>
          <w:tcPr>
            <w:tcW w:w="1417" w:type="dxa"/>
          </w:tcPr>
          <w:p w14:paraId="0666F8B9" w14:textId="77777777" w:rsidR="00D077BB" w:rsidRPr="00EA1BB2" w:rsidRDefault="00D077BB" w:rsidP="00D077BB">
            <w:pPr>
              <w:spacing w:line="360" w:lineRule="auto"/>
              <w:jc w:val="center"/>
              <w:rPr>
                <w:rFonts w:ascii="Cambria" w:hAnsi="Cambria"/>
                <w:sz w:val="24"/>
                <w:szCs w:val="24"/>
              </w:rPr>
            </w:pPr>
            <w:r w:rsidRPr="00EA1BB2">
              <w:rPr>
                <w:rFonts w:ascii="Cambria" w:hAnsi="Cambria"/>
                <w:sz w:val="24"/>
                <w:szCs w:val="24"/>
              </w:rPr>
              <w:t>0,254</w:t>
            </w:r>
          </w:p>
        </w:tc>
        <w:tc>
          <w:tcPr>
            <w:tcW w:w="2268" w:type="dxa"/>
          </w:tcPr>
          <w:p w14:paraId="37608967"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0,014</w:t>
            </w:r>
          </w:p>
        </w:tc>
        <w:tc>
          <w:tcPr>
            <w:tcW w:w="1276" w:type="dxa"/>
          </w:tcPr>
          <w:p w14:paraId="0D84171A"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984" w:type="dxa"/>
          </w:tcPr>
          <w:p w14:paraId="1F76FC64"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418" w:type="dxa"/>
          </w:tcPr>
          <w:p w14:paraId="32BD47CB"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581" w:type="dxa"/>
          </w:tcPr>
          <w:p w14:paraId="22780AD1"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0,237</w:t>
            </w:r>
          </w:p>
        </w:tc>
      </w:tr>
      <w:tr w:rsidR="00D077BB" w:rsidRPr="00EA1BB2" w14:paraId="031669AD" w14:textId="77777777" w:rsidTr="00110B8B">
        <w:trPr>
          <w:trHeight w:val="188"/>
          <w:jc w:val="center"/>
        </w:trPr>
        <w:tc>
          <w:tcPr>
            <w:tcW w:w="989" w:type="dxa"/>
            <w:vMerge w:val="restart"/>
            <w:shd w:val="clear" w:color="auto" w:fill="auto"/>
            <w:noWrap/>
            <w:vAlign w:val="center"/>
          </w:tcPr>
          <w:p w14:paraId="2D147711"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hAnsi="Cambria" w:cs="Calibri"/>
                <w:color w:val="000000"/>
                <w:sz w:val="24"/>
                <w:szCs w:val="24"/>
              </w:rPr>
              <w:t>Ni</w:t>
            </w:r>
          </w:p>
        </w:tc>
        <w:tc>
          <w:tcPr>
            <w:tcW w:w="992" w:type="dxa"/>
            <w:vMerge w:val="restart"/>
            <w:shd w:val="clear" w:color="auto" w:fill="auto"/>
            <w:noWrap/>
            <w:vAlign w:val="center"/>
          </w:tcPr>
          <w:p w14:paraId="05289EEC"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Calibri"/>
                <w:color w:val="000000"/>
                <w:sz w:val="24"/>
                <w:szCs w:val="24"/>
                <w:lang w:eastAsia="ro-RO"/>
              </w:rPr>
              <w:t>ng/m</w:t>
            </w:r>
            <w:r w:rsidRPr="00EA1BB2">
              <w:rPr>
                <w:rFonts w:ascii="Cambria" w:eastAsia="Times New Roman" w:hAnsi="Cambria" w:cs="Calibri"/>
                <w:color w:val="000000"/>
                <w:sz w:val="24"/>
                <w:szCs w:val="24"/>
                <w:vertAlign w:val="superscript"/>
                <w:lang w:eastAsia="ro-RO"/>
              </w:rPr>
              <w:t>3</w:t>
            </w:r>
          </w:p>
        </w:tc>
        <w:tc>
          <w:tcPr>
            <w:tcW w:w="1143" w:type="dxa"/>
            <w:shd w:val="clear" w:color="auto" w:fill="auto"/>
            <w:vAlign w:val="bottom"/>
          </w:tcPr>
          <w:p w14:paraId="02656BC0"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BR1</w:t>
            </w:r>
          </w:p>
        </w:tc>
        <w:tc>
          <w:tcPr>
            <w:tcW w:w="1266" w:type="dxa"/>
            <w:shd w:val="clear" w:color="auto" w:fill="auto"/>
            <w:noWrap/>
            <w:vAlign w:val="bottom"/>
          </w:tcPr>
          <w:p w14:paraId="07E35814"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Trafic</w:t>
            </w:r>
          </w:p>
        </w:tc>
        <w:tc>
          <w:tcPr>
            <w:tcW w:w="1417" w:type="dxa"/>
          </w:tcPr>
          <w:p w14:paraId="37B6BB01" w14:textId="77777777" w:rsidR="00D077BB" w:rsidRPr="00EA1BB2" w:rsidRDefault="00D077BB" w:rsidP="00D077BB">
            <w:pPr>
              <w:spacing w:line="360" w:lineRule="auto"/>
              <w:jc w:val="center"/>
              <w:rPr>
                <w:rFonts w:ascii="Cambria" w:hAnsi="Cambria"/>
                <w:sz w:val="24"/>
                <w:szCs w:val="24"/>
              </w:rPr>
            </w:pPr>
            <w:r w:rsidRPr="00EA1BB2">
              <w:rPr>
                <w:rFonts w:ascii="Cambria" w:hAnsi="Cambria"/>
                <w:sz w:val="24"/>
                <w:szCs w:val="24"/>
              </w:rPr>
              <w:t>0,62</w:t>
            </w:r>
          </w:p>
        </w:tc>
        <w:tc>
          <w:tcPr>
            <w:tcW w:w="2268" w:type="dxa"/>
          </w:tcPr>
          <w:p w14:paraId="7830E79F"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0,007</w:t>
            </w:r>
          </w:p>
        </w:tc>
        <w:tc>
          <w:tcPr>
            <w:tcW w:w="1276" w:type="dxa"/>
          </w:tcPr>
          <w:p w14:paraId="0732C09E"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984" w:type="dxa"/>
          </w:tcPr>
          <w:p w14:paraId="411418A2"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0,032</w:t>
            </w:r>
          </w:p>
        </w:tc>
        <w:tc>
          <w:tcPr>
            <w:tcW w:w="1418" w:type="dxa"/>
          </w:tcPr>
          <w:p w14:paraId="3B01D146"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0,050</w:t>
            </w:r>
          </w:p>
        </w:tc>
        <w:tc>
          <w:tcPr>
            <w:tcW w:w="1581" w:type="dxa"/>
          </w:tcPr>
          <w:p w14:paraId="4FC63CC6"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0,531</w:t>
            </w:r>
          </w:p>
        </w:tc>
      </w:tr>
      <w:tr w:rsidR="00D077BB" w:rsidRPr="00EA1BB2" w14:paraId="6E47F520" w14:textId="77777777" w:rsidTr="00110B8B">
        <w:trPr>
          <w:trHeight w:val="188"/>
          <w:jc w:val="center"/>
        </w:trPr>
        <w:tc>
          <w:tcPr>
            <w:tcW w:w="989" w:type="dxa"/>
            <w:vMerge/>
            <w:shd w:val="clear" w:color="auto" w:fill="auto"/>
            <w:noWrap/>
            <w:vAlign w:val="center"/>
          </w:tcPr>
          <w:p w14:paraId="0DE0BAFD" w14:textId="77777777" w:rsidR="00D077BB" w:rsidRPr="00EA1BB2" w:rsidRDefault="00D077BB" w:rsidP="00D077BB">
            <w:pPr>
              <w:spacing w:line="360" w:lineRule="auto"/>
              <w:jc w:val="center"/>
              <w:rPr>
                <w:rFonts w:ascii="Cambria" w:hAnsi="Cambria" w:cs="Calibri"/>
                <w:color w:val="000000"/>
                <w:sz w:val="24"/>
                <w:szCs w:val="24"/>
              </w:rPr>
            </w:pPr>
          </w:p>
        </w:tc>
        <w:tc>
          <w:tcPr>
            <w:tcW w:w="992" w:type="dxa"/>
            <w:vMerge/>
            <w:shd w:val="clear" w:color="auto" w:fill="auto"/>
            <w:noWrap/>
            <w:vAlign w:val="center"/>
          </w:tcPr>
          <w:p w14:paraId="017224AD" w14:textId="77777777" w:rsidR="00D077BB" w:rsidRPr="00EA1BB2" w:rsidRDefault="00D077BB" w:rsidP="00D077BB">
            <w:pPr>
              <w:spacing w:line="360" w:lineRule="auto"/>
              <w:jc w:val="center"/>
              <w:rPr>
                <w:rFonts w:ascii="Cambria" w:eastAsia="Times New Roman" w:hAnsi="Cambria" w:cs="Calibri"/>
                <w:color w:val="000000"/>
                <w:sz w:val="24"/>
                <w:szCs w:val="24"/>
                <w:lang w:eastAsia="ro-RO"/>
              </w:rPr>
            </w:pPr>
          </w:p>
        </w:tc>
        <w:tc>
          <w:tcPr>
            <w:tcW w:w="1143" w:type="dxa"/>
            <w:shd w:val="clear" w:color="auto" w:fill="auto"/>
            <w:vAlign w:val="bottom"/>
          </w:tcPr>
          <w:p w14:paraId="12F5C423"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cs="Calibri"/>
                <w:color w:val="000000"/>
                <w:sz w:val="24"/>
                <w:szCs w:val="24"/>
              </w:rPr>
              <w:t>BR4</w:t>
            </w:r>
          </w:p>
        </w:tc>
        <w:tc>
          <w:tcPr>
            <w:tcW w:w="1266" w:type="dxa"/>
            <w:shd w:val="clear" w:color="auto" w:fill="auto"/>
            <w:noWrap/>
            <w:vAlign w:val="bottom"/>
          </w:tcPr>
          <w:p w14:paraId="79722A89"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Industrial</w:t>
            </w:r>
          </w:p>
        </w:tc>
        <w:tc>
          <w:tcPr>
            <w:tcW w:w="1417" w:type="dxa"/>
          </w:tcPr>
          <w:p w14:paraId="2BD6BB7A" w14:textId="77777777" w:rsidR="00D077BB" w:rsidRPr="00EA1BB2" w:rsidRDefault="00D077BB" w:rsidP="00D077BB">
            <w:pPr>
              <w:spacing w:line="360" w:lineRule="auto"/>
              <w:jc w:val="center"/>
              <w:rPr>
                <w:rFonts w:ascii="Cambria" w:hAnsi="Cambria"/>
                <w:sz w:val="24"/>
                <w:szCs w:val="24"/>
              </w:rPr>
            </w:pPr>
            <w:r w:rsidRPr="00EA1BB2">
              <w:rPr>
                <w:rFonts w:ascii="Cambria" w:hAnsi="Cambria"/>
                <w:sz w:val="24"/>
                <w:szCs w:val="24"/>
              </w:rPr>
              <w:t>0,672</w:t>
            </w:r>
          </w:p>
        </w:tc>
        <w:tc>
          <w:tcPr>
            <w:tcW w:w="2268" w:type="dxa"/>
          </w:tcPr>
          <w:p w14:paraId="67E2F030"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0,134</w:t>
            </w:r>
          </w:p>
        </w:tc>
        <w:tc>
          <w:tcPr>
            <w:tcW w:w="1276" w:type="dxa"/>
          </w:tcPr>
          <w:p w14:paraId="08255C79"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984" w:type="dxa"/>
          </w:tcPr>
          <w:p w14:paraId="1C594B2D"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0,003</w:t>
            </w:r>
          </w:p>
        </w:tc>
        <w:tc>
          <w:tcPr>
            <w:tcW w:w="1418" w:type="dxa"/>
          </w:tcPr>
          <w:p w14:paraId="28A5C02F"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0,004</w:t>
            </w:r>
          </w:p>
        </w:tc>
        <w:tc>
          <w:tcPr>
            <w:tcW w:w="1581" w:type="dxa"/>
          </w:tcPr>
          <w:p w14:paraId="79CAA5CF"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0,531</w:t>
            </w:r>
          </w:p>
        </w:tc>
      </w:tr>
      <w:tr w:rsidR="00D077BB" w:rsidRPr="00EA1BB2" w14:paraId="73871DBC" w14:textId="77777777" w:rsidTr="00110B8B">
        <w:trPr>
          <w:trHeight w:val="188"/>
          <w:jc w:val="center"/>
        </w:trPr>
        <w:tc>
          <w:tcPr>
            <w:tcW w:w="989" w:type="dxa"/>
            <w:vMerge w:val="restart"/>
            <w:shd w:val="clear" w:color="auto" w:fill="auto"/>
            <w:noWrap/>
            <w:vAlign w:val="center"/>
          </w:tcPr>
          <w:p w14:paraId="5993C170"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hAnsi="Cambria" w:cs="Calibri"/>
                <w:color w:val="000000"/>
                <w:sz w:val="24"/>
                <w:szCs w:val="24"/>
              </w:rPr>
              <w:t>Pb</w:t>
            </w:r>
          </w:p>
        </w:tc>
        <w:tc>
          <w:tcPr>
            <w:tcW w:w="992" w:type="dxa"/>
            <w:vMerge w:val="restart"/>
            <w:shd w:val="clear" w:color="auto" w:fill="auto"/>
            <w:noWrap/>
            <w:vAlign w:val="center"/>
          </w:tcPr>
          <w:p w14:paraId="1470C66C"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Calibri"/>
                <w:color w:val="000000"/>
                <w:sz w:val="24"/>
                <w:szCs w:val="24"/>
                <w:lang w:eastAsia="ro-RO"/>
              </w:rPr>
              <w:t>ng/m</w:t>
            </w:r>
            <w:r w:rsidRPr="00EA1BB2">
              <w:rPr>
                <w:rFonts w:ascii="Cambria" w:eastAsia="Times New Roman" w:hAnsi="Cambria" w:cs="Calibri"/>
                <w:color w:val="000000"/>
                <w:sz w:val="24"/>
                <w:szCs w:val="24"/>
                <w:vertAlign w:val="superscript"/>
                <w:lang w:eastAsia="ro-RO"/>
              </w:rPr>
              <w:t>3</w:t>
            </w:r>
          </w:p>
        </w:tc>
        <w:tc>
          <w:tcPr>
            <w:tcW w:w="1143" w:type="dxa"/>
            <w:shd w:val="clear" w:color="auto" w:fill="auto"/>
            <w:vAlign w:val="bottom"/>
          </w:tcPr>
          <w:p w14:paraId="4578E3D1"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BR1</w:t>
            </w:r>
          </w:p>
        </w:tc>
        <w:tc>
          <w:tcPr>
            <w:tcW w:w="1266" w:type="dxa"/>
            <w:shd w:val="clear" w:color="auto" w:fill="auto"/>
            <w:noWrap/>
            <w:vAlign w:val="bottom"/>
          </w:tcPr>
          <w:p w14:paraId="49C8A6D0"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Trafic</w:t>
            </w:r>
          </w:p>
        </w:tc>
        <w:tc>
          <w:tcPr>
            <w:tcW w:w="1417" w:type="dxa"/>
          </w:tcPr>
          <w:p w14:paraId="31B443E4" w14:textId="77777777" w:rsidR="00D077BB" w:rsidRPr="00EA1BB2" w:rsidRDefault="00D077BB" w:rsidP="00D077BB">
            <w:pPr>
              <w:spacing w:line="360" w:lineRule="auto"/>
              <w:jc w:val="center"/>
              <w:rPr>
                <w:rFonts w:ascii="Cambria" w:hAnsi="Cambria"/>
                <w:sz w:val="24"/>
                <w:szCs w:val="24"/>
              </w:rPr>
            </w:pPr>
            <w:r w:rsidRPr="00EA1BB2">
              <w:rPr>
                <w:rFonts w:ascii="Cambria" w:hAnsi="Cambria"/>
                <w:sz w:val="24"/>
                <w:szCs w:val="24"/>
              </w:rPr>
              <w:t>5,887</w:t>
            </w:r>
          </w:p>
        </w:tc>
        <w:tc>
          <w:tcPr>
            <w:tcW w:w="2268" w:type="dxa"/>
          </w:tcPr>
          <w:p w14:paraId="6B9D62DC"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0,003</w:t>
            </w:r>
          </w:p>
        </w:tc>
        <w:tc>
          <w:tcPr>
            <w:tcW w:w="1276" w:type="dxa"/>
          </w:tcPr>
          <w:p w14:paraId="0FE67462"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984" w:type="dxa"/>
          </w:tcPr>
          <w:p w14:paraId="170B7ACB"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0,399</w:t>
            </w:r>
          </w:p>
        </w:tc>
        <w:tc>
          <w:tcPr>
            <w:tcW w:w="1418" w:type="dxa"/>
          </w:tcPr>
          <w:p w14:paraId="2E727126"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0,537</w:t>
            </w:r>
          </w:p>
        </w:tc>
        <w:tc>
          <w:tcPr>
            <w:tcW w:w="1581" w:type="dxa"/>
          </w:tcPr>
          <w:p w14:paraId="776B8981"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4,948</w:t>
            </w:r>
          </w:p>
        </w:tc>
      </w:tr>
      <w:tr w:rsidR="00D077BB" w:rsidRPr="00EA1BB2" w14:paraId="7A9412FA" w14:textId="77777777" w:rsidTr="00110B8B">
        <w:trPr>
          <w:trHeight w:val="188"/>
          <w:jc w:val="center"/>
        </w:trPr>
        <w:tc>
          <w:tcPr>
            <w:tcW w:w="989" w:type="dxa"/>
            <w:vMerge/>
            <w:shd w:val="clear" w:color="auto" w:fill="auto"/>
            <w:noWrap/>
            <w:vAlign w:val="bottom"/>
          </w:tcPr>
          <w:p w14:paraId="218CA983" w14:textId="77777777" w:rsidR="00D077BB" w:rsidRPr="00EA1BB2" w:rsidRDefault="00D077BB" w:rsidP="00D077BB">
            <w:pPr>
              <w:spacing w:line="360" w:lineRule="auto"/>
              <w:jc w:val="center"/>
              <w:rPr>
                <w:rFonts w:ascii="Cambria" w:hAnsi="Cambria" w:cs="Calibri"/>
                <w:color w:val="000000"/>
                <w:sz w:val="24"/>
                <w:szCs w:val="24"/>
              </w:rPr>
            </w:pPr>
          </w:p>
        </w:tc>
        <w:tc>
          <w:tcPr>
            <w:tcW w:w="992" w:type="dxa"/>
            <w:vMerge/>
            <w:shd w:val="clear" w:color="auto" w:fill="auto"/>
            <w:noWrap/>
          </w:tcPr>
          <w:p w14:paraId="2C4FD5F1" w14:textId="77777777" w:rsidR="00D077BB" w:rsidRPr="00EA1BB2" w:rsidRDefault="00D077BB" w:rsidP="00D077BB">
            <w:pPr>
              <w:spacing w:line="360" w:lineRule="auto"/>
              <w:jc w:val="center"/>
              <w:rPr>
                <w:rFonts w:ascii="Cambria" w:eastAsia="Times New Roman" w:hAnsi="Cambria" w:cs="Calibri"/>
                <w:color w:val="000000"/>
                <w:sz w:val="24"/>
                <w:szCs w:val="24"/>
                <w:lang w:eastAsia="ro-RO"/>
              </w:rPr>
            </w:pPr>
          </w:p>
        </w:tc>
        <w:tc>
          <w:tcPr>
            <w:tcW w:w="1143" w:type="dxa"/>
            <w:shd w:val="clear" w:color="auto" w:fill="auto"/>
            <w:vAlign w:val="bottom"/>
          </w:tcPr>
          <w:p w14:paraId="0DCF3FBE"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cs="Calibri"/>
                <w:color w:val="000000"/>
                <w:sz w:val="24"/>
                <w:szCs w:val="24"/>
              </w:rPr>
              <w:t>BR4</w:t>
            </w:r>
          </w:p>
        </w:tc>
        <w:tc>
          <w:tcPr>
            <w:tcW w:w="1266" w:type="dxa"/>
            <w:shd w:val="clear" w:color="auto" w:fill="auto"/>
            <w:noWrap/>
            <w:vAlign w:val="bottom"/>
          </w:tcPr>
          <w:p w14:paraId="62CD108C" w14:textId="77777777" w:rsidR="00D077BB" w:rsidRPr="00EA1BB2" w:rsidRDefault="00D077BB" w:rsidP="00D077BB">
            <w:pPr>
              <w:spacing w:line="360" w:lineRule="auto"/>
              <w:jc w:val="center"/>
              <w:rPr>
                <w:rFonts w:ascii="Cambria" w:eastAsia="Times New Roman" w:hAnsi="Cambria" w:cs="Arial"/>
                <w:color w:val="000000"/>
                <w:sz w:val="24"/>
                <w:szCs w:val="24"/>
                <w:lang w:eastAsia="ro-RO"/>
              </w:rPr>
            </w:pPr>
            <w:r w:rsidRPr="00EA1BB2">
              <w:rPr>
                <w:rFonts w:ascii="Cambria" w:eastAsia="Times New Roman" w:hAnsi="Cambria" w:cs="Arial"/>
                <w:color w:val="000000"/>
                <w:sz w:val="24"/>
                <w:szCs w:val="24"/>
                <w:lang w:eastAsia="ro-RO"/>
              </w:rPr>
              <w:t>Industrial</w:t>
            </w:r>
          </w:p>
        </w:tc>
        <w:tc>
          <w:tcPr>
            <w:tcW w:w="1417" w:type="dxa"/>
          </w:tcPr>
          <w:p w14:paraId="7000B15C" w14:textId="77777777" w:rsidR="00D077BB" w:rsidRPr="00EA1BB2" w:rsidRDefault="00D077BB" w:rsidP="00D077BB">
            <w:pPr>
              <w:spacing w:line="360" w:lineRule="auto"/>
              <w:jc w:val="center"/>
              <w:rPr>
                <w:rFonts w:ascii="Cambria" w:hAnsi="Cambria"/>
                <w:sz w:val="24"/>
                <w:szCs w:val="24"/>
              </w:rPr>
            </w:pPr>
            <w:r w:rsidRPr="00EA1BB2">
              <w:rPr>
                <w:rFonts w:ascii="Cambria" w:hAnsi="Cambria"/>
                <w:sz w:val="24"/>
                <w:szCs w:val="24"/>
              </w:rPr>
              <w:t>6,605</w:t>
            </w:r>
          </w:p>
        </w:tc>
        <w:tc>
          <w:tcPr>
            <w:tcW w:w="2268" w:type="dxa"/>
          </w:tcPr>
          <w:p w14:paraId="65A102D7"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1,653</w:t>
            </w:r>
          </w:p>
        </w:tc>
        <w:tc>
          <w:tcPr>
            <w:tcW w:w="1276" w:type="dxa"/>
          </w:tcPr>
          <w:p w14:paraId="6CF6EC03"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w:t>
            </w:r>
          </w:p>
        </w:tc>
        <w:tc>
          <w:tcPr>
            <w:tcW w:w="1984" w:type="dxa"/>
          </w:tcPr>
          <w:p w14:paraId="57C91D3C"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0,002</w:t>
            </w:r>
          </w:p>
        </w:tc>
        <w:tc>
          <w:tcPr>
            <w:tcW w:w="1418" w:type="dxa"/>
          </w:tcPr>
          <w:p w14:paraId="5973613C"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0,002</w:t>
            </w:r>
          </w:p>
        </w:tc>
        <w:tc>
          <w:tcPr>
            <w:tcW w:w="1581" w:type="dxa"/>
          </w:tcPr>
          <w:p w14:paraId="3A661DDA" w14:textId="77777777" w:rsidR="00D077BB" w:rsidRPr="00EA1BB2" w:rsidRDefault="00D077BB" w:rsidP="00D077BB">
            <w:pPr>
              <w:spacing w:line="360" w:lineRule="auto"/>
              <w:jc w:val="center"/>
              <w:rPr>
                <w:rFonts w:ascii="Cambria" w:hAnsi="Cambria" w:cs="Calibri"/>
                <w:color w:val="000000"/>
                <w:sz w:val="24"/>
                <w:szCs w:val="24"/>
              </w:rPr>
            </w:pPr>
            <w:r w:rsidRPr="00EA1BB2">
              <w:rPr>
                <w:rFonts w:ascii="Cambria" w:hAnsi="Cambria"/>
                <w:sz w:val="24"/>
                <w:szCs w:val="24"/>
              </w:rPr>
              <w:t>4,948</w:t>
            </w:r>
          </w:p>
        </w:tc>
      </w:tr>
    </w:tbl>
    <w:p w14:paraId="1DA8F869" w14:textId="77777777" w:rsidR="00C2266B" w:rsidRPr="00EA1BB2" w:rsidRDefault="00C2266B" w:rsidP="00C2266B">
      <w:pPr>
        <w:spacing w:line="360" w:lineRule="auto"/>
        <w:rPr>
          <w:rFonts w:ascii="Cambria" w:hAnsi="Cambria"/>
          <w:sz w:val="24"/>
          <w:szCs w:val="24"/>
        </w:rPr>
      </w:pPr>
    </w:p>
    <w:p w14:paraId="764E83B9" w14:textId="77777777" w:rsidR="00E53210" w:rsidRPr="00EA1BB2" w:rsidRDefault="00E53210">
      <w:pPr>
        <w:rPr>
          <w:rFonts w:ascii="Cambria" w:hAnsi="Cambria"/>
          <w:sz w:val="24"/>
          <w:szCs w:val="24"/>
        </w:rPr>
      </w:pPr>
    </w:p>
    <w:p w14:paraId="3D203729" w14:textId="77777777" w:rsidR="00E53210" w:rsidRPr="00EA1BB2" w:rsidRDefault="00E53210" w:rsidP="00E53210">
      <w:pPr>
        <w:spacing w:line="360" w:lineRule="auto"/>
        <w:rPr>
          <w:rFonts w:ascii="Cambria" w:hAnsi="Cambria"/>
          <w:sz w:val="24"/>
          <w:szCs w:val="24"/>
        </w:rPr>
      </w:pPr>
    </w:p>
    <w:p w14:paraId="17F0E98D" w14:textId="77777777" w:rsidR="00C2266B" w:rsidRPr="00EA1BB2" w:rsidRDefault="00C2266B" w:rsidP="00C2266B">
      <w:pPr>
        <w:spacing w:line="360" w:lineRule="auto"/>
        <w:ind w:firstLine="709"/>
        <w:jc w:val="both"/>
        <w:rPr>
          <w:rFonts w:ascii="Cambria" w:eastAsia="Calibri" w:hAnsi="Cambria" w:cs="Times New Roman"/>
          <w:sz w:val="24"/>
          <w:szCs w:val="24"/>
          <w:highlight w:val="cyan"/>
        </w:rPr>
      </w:pPr>
    </w:p>
    <w:p w14:paraId="103C8EE8" w14:textId="77777777" w:rsidR="00E53210" w:rsidRPr="00EA1BB2" w:rsidRDefault="00E53210" w:rsidP="00C2266B">
      <w:pPr>
        <w:spacing w:line="360" w:lineRule="auto"/>
        <w:ind w:firstLine="709"/>
        <w:jc w:val="both"/>
        <w:rPr>
          <w:rFonts w:ascii="Cambria" w:eastAsia="Calibri" w:hAnsi="Cambria" w:cs="Times New Roman"/>
          <w:sz w:val="24"/>
          <w:szCs w:val="24"/>
          <w:highlight w:val="cyan"/>
        </w:rPr>
      </w:pPr>
    </w:p>
    <w:p w14:paraId="7E431519" w14:textId="77777777" w:rsidR="00E53210" w:rsidRPr="00EA1BB2" w:rsidRDefault="00E53210" w:rsidP="00C2266B">
      <w:pPr>
        <w:spacing w:line="360" w:lineRule="auto"/>
        <w:ind w:firstLine="709"/>
        <w:jc w:val="both"/>
        <w:rPr>
          <w:rFonts w:ascii="Cambria" w:eastAsia="Calibri" w:hAnsi="Cambria" w:cs="Times New Roman"/>
          <w:sz w:val="24"/>
          <w:szCs w:val="24"/>
          <w:highlight w:val="cyan"/>
        </w:rPr>
        <w:sectPr w:rsidR="00E53210" w:rsidRPr="00EA1BB2" w:rsidSect="00C33981">
          <w:pgSz w:w="16838" w:h="11906" w:orient="landscape" w:code="9"/>
          <w:pgMar w:top="1418" w:right="1247" w:bottom="1418" w:left="1247" w:header="283" w:footer="283" w:gutter="0"/>
          <w:cols w:space="708"/>
          <w:docGrid w:linePitch="360"/>
        </w:sectPr>
      </w:pPr>
    </w:p>
    <w:p w14:paraId="6E8D5079" w14:textId="77777777" w:rsidR="00343667" w:rsidRPr="00EA1BB2" w:rsidRDefault="00343667" w:rsidP="00E859EF">
      <w:pPr>
        <w:pStyle w:val="Heading2"/>
        <w:numPr>
          <w:ilvl w:val="1"/>
          <w:numId w:val="1"/>
        </w:numPr>
        <w:spacing w:before="0"/>
        <w:ind w:left="0" w:firstLine="709"/>
        <w:jc w:val="both"/>
        <w:rPr>
          <w:rFonts w:ascii="Cambria" w:eastAsia="Times New Roman" w:hAnsi="Cambria"/>
          <w:color w:val="0070C0"/>
          <w:szCs w:val="24"/>
        </w:rPr>
      </w:pPr>
      <w:bookmarkStart w:id="147" w:name="_Toc526889727"/>
      <w:r w:rsidRPr="00EA1BB2">
        <w:rPr>
          <w:rFonts w:ascii="Cambria" w:eastAsia="Times New Roman" w:hAnsi="Cambria"/>
          <w:color w:val="0070C0"/>
          <w:szCs w:val="24"/>
        </w:rPr>
        <w:lastRenderedPageBreak/>
        <w:t>Caracterizarea indicatorilor pentru care se elaborează planul de men</w:t>
      </w:r>
      <w:r w:rsidR="00054880" w:rsidRPr="00EA1BB2">
        <w:rPr>
          <w:rFonts w:ascii="Cambria" w:eastAsia="Times New Roman" w:hAnsi="Cambria"/>
          <w:color w:val="0070C0"/>
          <w:szCs w:val="24"/>
        </w:rPr>
        <w:t>ț</w:t>
      </w:r>
      <w:r w:rsidRPr="00EA1BB2">
        <w:rPr>
          <w:rFonts w:ascii="Cambria" w:eastAsia="Times New Roman" w:hAnsi="Cambria"/>
          <w:color w:val="0070C0"/>
          <w:szCs w:val="24"/>
        </w:rPr>
        <w:t>inere a calită</w:t>
      </w:r>
      <w:r w:rsidR="00054880" w:rsidRPr="00EA1BB2">
        <w:rPr>
          <w:rFonts w:ascii="Cambria" w:eastAsia="Times New Roman" w:hAnsi="Cambria"/>
          <w:color w:val="0070C0"/>
          <w:szCs w:val="24"/>
        </w:rPr>
        <w:t>ț</w:t>
      </w:r>
      <w:r w:rsidRPr="00EA1BB2">
        <w:rPr>
          <w:rFonts w:ascii="Cambria" w:eastAsia="Times New Roman" w:hAnsi="Cambria"/>
          <w:color w:val="0070C0"/>
          <w:szCs w:val="24"/>
        </w:rPr>
        <w:t>ii aerului</w:t>
      </w:r>
      <w:bookmarkEnd w:id="147"/>
    </w:p>
    <w:p w14:paraId="3E551D7B" w14:textId="77777777" w:rsidR="00343667" w:rsidRPr="00EA1BB2" w:rsidRDefault="00343667" w:rsidP="00343667">
      <w:pPr>
        <w:spacing w:line="360" w:lineRule="auto"/>
        <w:ind w:firstLine="708"/>
        <w:jc w:val="both"/>
        <w:rPr>
          <w:rFonts w:ascii="Cambria" w:hAnsi="Cambria" w:cs="Times New Roman"/>
          <w:sz w:val="24"/>
          <w:szCs w:val="24"/>
        </w:rPr>
      </w:pPr>
      <w:r w:rsidRPr="00EA1BB2">
        <w:rPr>
          <w:rFonts w:ascii="Cambria" w:hAnsi="Cambria" w:cs="Times New Roman"/>
          <w:sz w:val="24"/>
          <w:szCs w:val="24"/>
        </w:rPr>
        <w:t>Poluan</w:t>
      </w:r>
      <w:r w:rsidR="00054880" w:rsidRPr="00EA1BB2">
        <w:rPr>
          <w:rFonts w:ascii="Cambria" w:hAnsi="Cambria" w:cs="Times New Roman"/>
          <w:sz w:val="24"/>
          <w:szCs w:val="24"/>
        </w:rPr>
        <w:t>ț</w:t>
      </w:r>
      <w:r w:rsidRPr="00EA1BB2">
        <w:rPr>
          <w:rFonts w:ascii="Cambria" w:hAnsi="Cambria" w:cs="Times New Roman"/>
          <w:sz w:val="24"/>
          <w:szCs w:val="24"/>
        </w:rPr>
        <w:t>ii atmosferici lua</w:t>
      </w:r>
      <w:r w:rsidR="00054880" w:rsidRPr="00EA1BB2">
        <w:rPr>
          <w:rFonts w:ascii="Cambria" w:hAnsi="Cambria" w:cs="Times New Roman"/>
          <w:sz w:val="24"/>
          <w:szCs w:val="24"/>
        </w:rPr>
        <w:t>ț</w:t>
      </w:r>
      <w:r w:rsidRPr="00EA1BB2">
        <w:rPr>
          <w:rFonts w:ascii="Cambria" w:hAnsi="Cambria" w:cs="Times New Roman"/>
          <w:sz w:val="24"/>
          <w:szCs w:val="24"/>
        </w:rPr>
        <w:t>i în considerare în evaluarea calită</w:t>
      </w:r>
      <w:r w:rsidR="00054880" w:rsidRPr="00EA1BB2">
        <w:rPr>
          <w:rFonts w:ascii="Cambria" w:hAnsi="Cambria" w:cs="Times New Roman"/>
          <w:sz w:val="24"/>
          <w:szCs w:val="24"/>
        </w:rPr>
        <w:t>ț</w:t>
      </w:r>
      <w:r w:rsidRPr="00EA1BB2">
        <w:rPr>
          <w:rFonts w:ascii="Cambria" w:hAnsi="Cambria" w:cs="Times New Roman"/>
          <w:sz w:val="24"/>
          <w:szCs w:val="24"/>
        </w:rPr>
        <w:t xml:space="preserve">ii aerului înconjurător: dioxid de azot </w:t>
      </w:r>
      <w:r w:rsidR="00054880" w:rsidRPr="00EA1BB2">
        <w:rPr>
          <w:rFonts w:ascii="Cambria" w:hAnsi="Cambria" w:cs="Times New Roman"/>
          <w:sz w:val="24"/>
          <w:szCs w:val="24"/>
        </w:rPr>
        <w:t>ș</w:t>
      </w:r>
      <w:r w:rsidRPr="00EA1BB2">
        <w:rPr>
          <w:rFonts w:ascii="Cambria" w:hAnsi="Cambria" w:cs="Times New Roman"/>
          <w:sz w:val="24"/>
          <w:szCs w:val="24"/>
        </w:rPr>
        <w:t>i oxizi de azot (NO</w:t>
      </w:r>
      <w:r w:rsidRPr="00EA1BB2">
        <w:rPr>
          <w:rFonts w:ascii="Cambria" w:hAnsi="Cambria" w:cs="Times New Roman"/>
          <w:sz w:val="24"/>
          <w:szCs w:val="24"/>
          <w:vertAlign w:val="subscript"/>
        </w:rPr>
        <w:t>2</w:t>
      </w:r>
      <w:r w:rsidRPr="00EA1BB2">
        <w:rPr>
          <w:rFonts w:ascii="Cambria" w:hAnsi="Cambria" w:cs="Times New Roman"/>
          <w:sz w:val="24"/>
          <w:szCs w:val="24"/>
        </w:rPr>
        <w:t>/NOx), pulberi în suspensie (PM</w:t>
      </w:r>
      <w:r w:rsidRPr="00EA1BB2">
        <w:rPr>
          <w:rFonts w:ascii="Cambria" w:hAnsi="Cambria" w:cs="Times New Roman"/>
          <w:sz w:val="24"/>
          <w:szCs w:val="24"/>
          <w:vertAlign w:val="subscript"/>
        </w:rPr>
        <w:t>10</w:t>
      </w:r>
      <w:r w:rsidR="00054880" w:rsidRPr="00EA1BB2">
        <w:rPr>
          <w:rFonts w:ascii="Cambria" w:hAnsi="Cambria" w:cs="Times New Roman"/>
          <w:sz w:val="24"/>
          <w:szCs w:val="24"/>
        </w:rPr>
        <w:t>ș</w:t>
      </w:r>
      <w:r w:rsidRPr="00EA1BB2">
        <w:rPr>
          <w:rFonts w:ascii="Cambria" w:hAnsi="Cambria" w:cs="Times New Roman"/>
          <w:sz w:val="24"/>
          <w:szCs w:val="24"/>
        </w:rPr>
        <w:t>i PM</w:t>
      </w:r>
      <w:r w:rsidRPr="00EA1BB2">
        <w:rPr>
          <w:rFonts w:ascii="Cambria" w:hAnsi="Cambria" w:cs="Times New Roman"/>
          <w:sz w:val="24"/>
          <w:szCs w:val="24"/>
          <w:vertAlign w:val="subscript"/>
        </w:rPr>
        <w:t>2,5</w:t>
      </w:r>
      <w:r w:rsidRPr="00EA1BB2">
        <w:rPr>
          <w:rFonts w:ascii="Cambria" w:hAnsi="Cambria" w:cs="Times New Roman"/>
          <w:sz w:val="24"/>
          <w:szCs w:val="24"/>
        </w:rPr>
        <w:t>), benzen (C</w:t>
      </w:r>
      <w:r w:rsidRPr="00EA1BB2">
        <w:rPr>
          <w:rFonts w:ascii="Cambria" w:hAnsi="Cambria" w:cs="Times New Roman"/>
          <w:sz w:val="24"/>
          <w:szCs w:val="24"/>
          <w:vertAlign w:val="subscript"/>
        </w:rPr>
        <w:t>6</w:t>
      </w:r>
      <w:r w:rsidRPr="00EA1BB2">
        <w:rPr>
          <w:rFonts w:ascii="Cambria" w:hAnsi="Cambria" w:cs="Times New Roman"/>
          <w:sz w:val="24"/>
          <w:szCs w:val="24"/>
        </w:rPr>
        <w:t>H</w:t>
      </w:r>
      <w:r w:rsidRPr="00EA1BB2">
        <w:rPr>
          <w:rFonts w:ascii="Cambria" w:hAnsi="Cambria" w:cs="Times New Roman"/>
          <w:sz w:val="24"/>
          <w:szCs w:val="24"/>
          <w:vertAlign w:val="subscript"/>
        </w:rPr>
        <w:t>6</w:t>
      </w:r>
      <w:r w:rsidRPr="00EA1BB2">
        <w:rPr>
          <w:rFonts w:ascii="Cambria" w:hAnsi="Cambria" w:cs="Times New Roman"/>
          <w:sz w:val="24"/>
          <w:szCs w:val="24"/>
        </w:rPr>
        <w:t>), dioxid de sulf (SO</w:t>
      </w:r>
      <w:r w:rsidRPr="00EA1BB2">
        <w:rPr>
          <w:rFonts w:ascii="Cambria" w:hAnsi="Cambria" w:cs="Times New Roman"/>
          <w:sz w:val="24"/>
          <w:szCs w:val="24"/>
          <w:vertAlign w:val="subscript"/>
        </w:rPr>
        <w:t>2</w:t>
      </w:r>
      <w:r w:rsidRPr="00EA1BB2">
        <w:rPr>
          <w:rFonts w:ascii="Cambria" w:hAnsi="Cambria" w:cs="Times New Roman"/>
          <w:sz w:val="24"/>
          <w:szCs w:val="24"/>
        </w:rPr>
        <w:t xml:space="preserve">), monoxid de carbon (CO), plumb (Pb), arsen (As), cadmiu (Cd) </w:t>
      </w:r>
      <w:r w:rsidR="00054880" w:rsidRPr="00EA1BB2">
        <w:rPr>
          <w:rFonts w:ascii="Cambria" w:hAnsi="Cambria" w:cs="Times New Roman"/>
          <w:sz w:val="24"/>
          <w:szCs w:val="24"/>
        </w:rPr>
        <w:t>ș</w:t>
      </w:r>
      <w:r w:rsidRPr="00EA1BB2">
        <w:rPr>
          <w:rFonts w:ascii="Cambria" w:hAnsi="Cambria" w:cs="Times New Roman"/>
          <w:sz w:val="24"/>
          <w:szCs w:val="24"/>
        </w:rPr>
        <w:t>i nichel (Ni).</w:t>
      </w:r>
    </w:p>
    <w:p w14:paraId="6258C455" w14:textId="77777777" w:rsidR="00AD4176" w:rsidRPr="00EA1BB2" w:rsidRDefault="00AD4176" w:rsidP="00585E25">
      <w:pPr>
        <w:ind w:firstLine="708"/>
        <w:jc w:val="both"/>
        <w:rPr>
          <w:rFonts w:ascii="Cambria" w:hAnsi="Cambria" w:cs="Times New Roman"/>
          <w:sz w:val="24"/>
          <w:szCs w:val="24"/>
        </w:rPr>
      </w:pPr>
    </w:p>
    <w:p w14:paraId="0270EA1E" w14:textId="77777777" w:rsidR="00AD4176" w:rsidRPr="00EA1BB2" w:rsidRDefault="00AD4176" w:rsidP="00E859EF">
      <w:pPr>
        <w:pStyle w:val="ListParagraph"/>
        <w:keepNext/>
        <w:keepLines/>
        <w:numPr>
          <w:ilvl w:val="2"/>
          <w:numId w:val="1"/>
        </w:numPr>
        <w:spacing w:after="0" w:line="360" w:lineRule="auto"/>
        <w:ind w:left="709" w:firstLine="0"/>
        <w:jc w:val="both"/>
        <w:outlineLvl w:val="2"/>
        <w:rPr>
          <w:rFonts w:ascii="Cambria" w:eastAsia="Times New Roman" w:hAnsi="Cambria" w:cs="Times New Roman"/>
          <w:b/>
          <w:color w:val="0070C0"/>
          <w:sz w:val="24"/>
          <w:szCs w:val="24"/>
          <w:lang w:val="ro-RO"/>
        </w:rPr>
      </w:pPr>
      <w:bookmarkStart w:id="148" w:name="_Toc526889728"/>
      <w:r w:rsidRPr="00EA1BB2">
        <w:rPr>
          <w:rFonts w:ascii="Cambria" w:eastAsia="Times New Roman" w:hAnsi="Cambria" w:cs="Times New Roman"/>
          <w:b/>
          <w:color w:val="0070C0"/>
          <w:sz w:val="24"/>
          <w:szCs w:val="24"/>
          <w:lang w:val="ro-RO"/>
        </w:rPr>
        <w:t>Caracteri</w:t>
      </w:r>
      <w:r w:rsidR="00030F7D" w:rsidRPr="00EA1BB2">
        <w:rPr>
          <w:rFonts w:ascii="Cambria" w:eastAsia="Times New Roman" w:hAnsi="Cambria" w:cs="Times New Roman"/>
          <w:b/>
          <w:color w:val="0070C0"/>
          <w:sz w:val="24"/>
          <w:szCs w:val="24"/>
          <w:lang w:val="ro-RO"/>
        </w:rPr>
        <w:t xml:space="preserve">stici generale, norme </w:t>
      </w:r>
      <w:r w:rsidR="00054880" w:rsidRPr="00EA1BB2">
        <w:rPr>
          <w:rFonts w:ascii="Cambria" w:eastAsia="Times New Roman" w:hAnsi="Cambria" w:cs="Times New Roman"/>
          <w:b/>
          <w:color w:val="0070C0"/>
          <w:sz w:val="24"/>
          <w:szCs w:val="24"/>
          <w:lang w:val="ro-RO"/>
        </w:rPr>
        <w:t>ș</w:t>
      </w:r>
      <w:r w:rsidR="00030F7D" w:rsidRPr="00EA1BB2">
        <w:rPr>
          <w:rFonts w:ascii="Cambria" w:eastAsia="Times New Roman" w:hAnsi="Cambria" w:cs="Times New Roman"/>
          <w:b/>
          <w:color w:val="0070C0"/>
          <w:sz w:val="24"/>
          <w:szCs w:val="24"/>
          <w:lang w:val="ro-RO"/>
        </w:rPr>
        <w:t>i metode de măsurare</w:t>
      </w:r>
      <w:bookmarkEnd w:id="148"/>
    </w:p>
    <w:p w14:paraId="40D23054" w14:textId="77777777" w:rsidR="00343667" w:rsidRPr="00EA1BB2" w:rsidRDefault="00343667" w:rsidP="00E859EF">
      <w:pPr>
        <w:pStyle w:val="Heading4"/>
        <w:numPr>
          <w:ilvl w:val="3"/>
          <w:numId w:val="1"/>
        </w:numPr>
        <w:spacing w:line="360" w:lineRule="auto"/>
        <w:ind w:hanging="579"/>
        <w:rPr>
          <w:color w:val="0070C0"/>
          <w:sz w:val="24"/>
        </w:rPr>
      </w:pPr>
      <w:bookmarkStart w:id="149" w:name="_Toc459107468"/>
      <w:bookmarkStart w:id="150" w:name="_Toc463955955"/>
      <w:bookmarkStart w:id="151" w:name="_Toc526889729"/>
      <w:r w:rsidRPr="00EA1BB2">
        <w:rPr>
          <w:color w:val="0070C0"/>
          <w:sz w:val="24"/>
        </w:rPr>
        <w:t>Dioxid de azot si oxizi de azot (NO</w:t>
      </w:r>
      <w:r w:rsidRPr="00EA1BB2">
        <w:rPr>
          <w:color w:val="0070C0"/>
          <w:sz w:val="24"/>
          <w:vertAlign w:val="subscript"/>
        </w:rPr>
        <w:t>2</w:t>
      </w:r>
      <w:r w:rsidRPr="00EA1BB2">
        <w:rPr>
          <w:color w:val="0070C0"/>
          <w:sz w:val="24"/>
        </w:rPr>
        <w:t>/NOx)</w:t>
      </w:r>
      <w:bookmarkEnd w:id="149"/>
      <w:bookmarkEnd w:id="150"/>
      <w:bookmarkEnd w:id="151"/>
    </w:p>
    <w:p w14:paraId="5A94DF88" w14:textId="77777777" w:rsidR="00343667" w:rsidRPr="00EA1BB2" w:rsidRDefault="00343667" w:rsidP="00343667">
      <w:pPr>
        <w:spacing w:line="360" w:lineRule="auto"/>
        <w:ind w:firstLine="708"/>
        <w:jc w:val="both"/>
        <w:rPr>
          <w:rFonts w:ascii="Cambria" w:hAnsi="Cambria" w:cs="Times New Roman"/>
          <w:sz w:val="24"/>
          <w:szCs w:val="24"/>
        </w:rPr>
      </w:pPr>
      <w:r w:rsidRPr="00EA1BB2">
        <w:rPr>
          <w:rFonts w:ascii="Cambria" w:hAnsi="Cambria" w:cs="Times New Roman"/>
          <w:sz w:val="24"/>
          <w:szCs w:val="24"/>
        </w:rPr>
        <w:t>Oxizii de azot sunt un grup de gaze foarte reactive, care con</w:t>
      </w:r>
      <w:r w:rsidR="00054880" w:rsidRPr="00EA1BB2">
        <w:rPr>
          <w:rFonts w:ascii="Cambria" w:hAnsi="Cambria" w:cs="Times New Roman"/>
          <w:sz w:val="24"/>
          <w:szCs w:val="24"/>
        </w:rPr>
        <w:t>ț</w:t>
      </w:r>
      <w:r w:rsidRPr="00EA1BB2">
        <w:rPr>
          <w:rFonts w:ascii="Cambria" w:hAnsi="Cambria" w:cs="Times New Roman"/>
          <w:sz w:val="24"/>
          <w:szCs w:val="24"/>
        </w:rPr>
        <w:t xml:space="preserve">in azot </w:t>
      </w:r>
      <w:r w:rsidR="00054880" w:rsidRPr="00EA1BB2">
        <w:rPr>
          <w:rFonts w:ascii="Cambria" w:hAnsi="Cambria" w:cs="Times New Roman"/>
          <w:sz w:val="24"/>
          <w:szCs w:val="24"/>
        </w:rPr>
        <w:t>ș</w:t>
      </w:r>
      <w:r w:rsidRPr="00EA1BB2">
        <w:rPr>
          <w:rFonts w:ascii="Cambria" w:hAnsi="Cambria" w:cs="Times New Roman"/>
          <w:sz w:val="24"/>
          <w:szCs w:val="24"/>
        </w:rPr>
        <w:t>i oxigen în cantită</w:t>
      </w:r>
      <w:r w:rsidR="00054880" w:rsidRPr="00EA1BB2">
        <w:rPr>
          <w:rFonts w:ascii="Cambria" w:hAnsi="Cambria" w:cs="Times New Roman"/>
          <w:sz w:val="24"/>
          <w:szCs w:val="24"/>
        </w:rPr>
        <w:t>ț</w:t>
      </w:r>
      <w:r w:rsidRPr="00EA1BB2">
        <w:rPr>
          <w:rFonts w:ascii="Cambria" w:hAnsi="Cambria" w:cs="Times New Roman"/>
          <w:sz w:val="24"/>
          <w:szCs w:val="24"/>
        </w:rPr>
        <w:t>i variabile. Majoritatea oxizilor de azot sunt gaze fără culoare sau miros.</w:t>
      </w:r>
    </w:p>
    <w:p w14:paraId="1C504D29" w14:textId="77777777" w:rsidR="00343667" w:rsidRPr="00EA1BB2" w:rsidRDefault="00343667" w:rsidP="00343667">
      <w:pPr>
        <w:spacing w:line="360" w:lineRule="auto"/>
        <w:ind w:firstLine="708"/>
        <w:jc w:val="both"/>
        <w:rPr>
          <w:rFonts w:ascii="Cambria" w:hAnsi="Cambria" w:cs="Times New Roman"/>
          <w:sz w:val="24"/>
          <w:szCs w:val="24"/>
        </w:rPr>
      </w:pPr>
      <w:r w:rsidRPr="00EA1BB2">
        <w:rPr>
          <w:rFonts w:ascii="Cambria" w:hAnsi="Cambria" w:cs="Times New Roman"/>
          <w:sz w:val="24"/>
          <w:szCs w:val="24"/>
        </w:rPr>
        <w:t>Principalii oxizi de azot sunt:</w:t>
      </w:r>
    </w:p>
    <w:p w14:paraId="4FACCED2" w14:textId="77777777" w:rsidR="00343667" w:rsidRPr="00EA1BB2" w:rsidRDefault="00343667" w:rsidP="003A520C">
      <w:pPr>
        <w:numPr>
          <w:ilvl w:val="0"/>
          <w:numId w:val="29"/>
        </w:numPr>
        <w:spacing w:after="200" w:line="360" w:lineRule="auto"/>
        <w:contextualSpacing/>
        <w:jc w:val="both"/>
        <w:rPr>
          <w:rFonts w:ascii="Cambria" w:hAnsi="Cambria" w:cs="Times New Roman"/>
          <w:sz w:val="24"/>
          <w:szCs w:val="24"/>
        </w:rPr>
      </w:pPr>
      <w:r w:rsidRPr="00EA1BB2">
        <w:rPr>
          <w:rFonts w:ascii="Cambria" w:hAnsi="Cambria" w:cs="Times New Roman"/>
          <w:sz w:val="24"/>
          <w:szCs w:val="24"/>
        </w:rPr>
        <w:t xml:space="preserve">monoxidul de azot (NO) care este un gaz incolor </w:t>
      </w:r>
      <w:r w:rsidR="00054880" w:rsidRPr="00EA1BB2">
        <w:rPr>
          <w:rFonts w:ascii="Cambria" w:hAnsi="Cambria" w:cs="Times New Roman"/>
          <w:sz w:val="24"/>
          <w:szCs w:val="24"/>
        </w:rPr>
        <w:t>ș</w:t>
      </w:r>
      <w:r w:rsidRPr="00EA1BB2">
        <w:rPr>
          <w:rFonts w:ascii="Cambria" w:hAnsi="Cambria" w:cs="Times New Roman"/>
          <w:sz w:val="24"/>
          <w:szCs w:val="24"/>
        </w:rPr>
        <w:t>i inodor;</w:t>
      </w:r>
    </w:p>
    <w:p w14:paraId="33873F95" w14:textId="77777777" w:rsidR="00343667" w:rsidRPr="00EA1BB2" w:rsidRDefault="00343667" w:rsidP="003A520C">
      <w:pPr>
        <w:numPr>
          <w:ilvl w:val="0"/>
          <w:numId w:val="29"/>
        </w:numPr>
        <w:spacing w:line="360" w:lineRule="auto"/>
        <w:contextualSpacing/>
        <w:jc w:val="both"/>
        <w:rPr>
          <w:rFonts w:ascii="Cambria" w:hAnsi="Cambria" w:cs="Times New Roman"/>
          <w:sz w:val="24"/>
          <w:szCs w:val="24"/>
        </w:rPr>
      </w:pPr>
      <w:r w:rsidRPr="00EA1BB2">
        <w:rPr>
          <w:rFonts w:ascii="Cambria" w:hAnsi="Cambria" w:cs="Times New Roman"/>
          <w:sz w:val="24"/>
          <w:szCs w:val="24"/>
        </w:rPr>
        <w:t>dioxidul de azot (NO</w:t>
      </w:r>
      <w:r w:rsidRPr="00EA1BB2">
        <w:rPr>
          <w:rFonts w:ascii="Cambria" w:hAnsi="Cambria" w:cs="Times New Roman"/>
          <w:sz w:val="24"/>
          <w:szCs w:val="24"/>
          <w:vertAlign w:val="subscript"/>
        </w:rPr>
        <w:t>2</w:t>
      </w:r>
      <w:r w:rsidRPr="00EA1BB2">
        <w:rPr>
          <w:rFonts w:ascii="Cambria" w:hAnsi="Cambria" w:cs="Times New Roman"/>
          <w:sz w:val="24"/>
          <w:szCs w:val="24"/>
        </w:rPr>
        <w:t>) care este un gaz de culoare brun-ro</w:t>
      </w:r>
      <w:r w:rsidR="00054880" w:rsidRPr="00EA1BB2">
        <w:rPr>
          <w:rFonts w:ascii="Cambria" w:hAnsi="Cambria" w:cs="Times New Roman"/>
          <w:sz w:val="24"/>
          <w:szCs w:val="24"/>
        </w:rPr>
        <w:t>ș</w:t>
      </w:r>
      <w:r w:rsidRPr="00EA1BB2">
        <w:rPr>
          <w:rFonts w:ascii="Cambria" w:hAnsi="Cambria" w:cs="Times New Roman"/>
          <w:sz w:val="24"/>
          <w:szCs w:val="24"/>
        </w:rPr>
        <w:t>cat cu un miros puternic, înecăcios.</w:t>
      </w:r>
    </w:p>
    <w:p w14:paraId="669F032E" w14:textId="77777777" w:rsidR="00343667" w:rsidRPr="00EA1BB2" w:rsidRDefault="00343667" w:rsidP="00343667">
      <w:pPr>
        <w:spacing w:line="360" w:lineRule="auto"/>
        <w:ind w:firstLine="709"/>
        <w:jc w:val="both"/>
        <w:rPr>
          <w:rFonts w:ascii="Cambria" w:hAnsi="Cambria" w:cs="Times New Roman"/>
          <w:sz w:val="24"/>
          <w:szCs w:val="24"/>
        </w:rPr>
      </w:pPr>
      <w:r w:rsidRPr="00EA1BB2">
        <w:rPr>
          <w:rFonts w:ascii="Cambria" w:hAnsi="Cambria" w:cs="Times New Roman"/>
          <w:sz w:val="24"/>
          <w:szCs w:val="24"/>
        </w:rPr>
        <w:t>Dioxidul de azot în combina</w:t>
      </w:r>
      <w:r w:rsidR="00054880" w:rsidRPr="00EA1BB2">
        <w:rPr>
          <w:rFonts w:ascii="Cambria" w:hAnsi="Cambria" w:cs="Times New Roman"/>
          <w:sz w:val="24"/>
          <w:szCs w:val="24"/>
        </w:rPr>
        <w:t>ț</w:t>
      </w:r>
      <w:r w:rsidRPr="00EA1BB2">
        <w:rPr>
          <w:rFonts w:ascii="Cambria" w:hAnsi="Cambria" w:cs="Times New Roman"/>
          <w:sz w:val="24"/>
          <w:szCs w:val="24"/>
        </w:rPr>
        <w:t>ie cu particule din aer poate forma un strat brun-ro</w:t>
      </w:r>
      <w:r w:rsidR="00054880" w:rsidRPr="00EA1BB2">
        <w:rPr>
          <w:rFonts w:ascii="Cambria" w:hAnsi="Cambria" w:cs="Times New Roman"/>
          <w:sz w:val="24"/>
          <w:szCs w:val="24"/>
        </w:rPr>
        <w:t>ș</w:t>
      </w:r>
      <w:r w:rsidRPr="00EA1BB2">
        <w:rPr>
          <w:rFonts w:ascii="Cambria" w:hAnsi="Cambria" w:cs="Times New Roman"/>
          <w:sz w:val="24"/>
          <w:szCs w:val="24"/>
        </w:rPr>
        <w:t>cat. În prezen</w:t>
      </w:r>
      <w:r w:rsidR="00054880" w:rsidRPr="00EA1BB2">
        <w:rPr>
          <w:rFonts w:ascii="Cambria" w:hAnsi="Cambria" w:cs="Times New Roman"/>
          <w:sz w:val="24"/>
          <w:szCs w:val="24"/>
        </w:rPr>
        <w:t>ț</w:t>
      </w:r>
      <w:r w:rsidRPr="00EA1BB2">
        <w:rPr>
          <w:rFonts w:ascii="Cambria" w:hAnsi="Cambria" w:cs="Times New Roman"/>
          <w:sz w:val="24"/>
          <w:szCs w:val="24"/>
        </w:rPr>
        <w:t>a luminii solare, oxizii de azot pot reac</w:t>
      </w:r>
      <w:r w:rsidR="00054880" w:rsidRPr="00EA1BB2">
        <w:rPr>
          <w:rFonts w:ascii="Cambria" w:hAnsi="Cambria" w:cs="Times New Roman"/>
          <w:sz w:val="24"/>
          <w:szCs w:val="24"/>
        </w:rPr>
        <w:t>ț</w:t>
      </w:r>
      <w:r w:rsidRPr="00EA1BB2">
        <w:rPr>
          <w:rFonts w:ascii="Cambria" w:hAnsi="Cambria" w:cs="Times New Roman"/>
          <w:sz w:val="24"/>
          <w:szCs w:val="24"/>
        </w:rPr>
        <w:t xml:space="preserve">iona </w:t>
      </w:r>
      <w:r w:rsidR="00054880" w:rsidRPr="00EA1BB2">
        <w:rPr>
          <w:rFonts w:ascii="Cambria" w:hAnsi="Cambria" w:cs="Times New Roman"/>
          <w:sz w:val="24"/>
          <w:szCs w:val="24"/>
        </w:rPr>
        <w:t>ș</w:t>
      </w:r>
      <w:r w:rsidRPr="00EA1BB2">
        <w:rPr>
          <w:rFonts w:ascii="Cambria" w:hAnsi="Cambria" w:cs="Times New Roman"/>
          <w:sz w:val="24"/>
          <w:szCs w:val="24"/>
        </w:rPr>
        <w:t>i cu hidrocarburile formând oxidan</w:t>
      </w:r>
      <w:r w:rsidR="00054880" w:rsidRPr="00EA1BB2">
        <w:rPr>
          <w:rFonts w:ascii="Cambria" w:hAnsi="Cambria" w:cs="Times New Roman"/>
          <w:sz w:val="24"/>
          <w:szCs w:val="24"/>
        </w:rPr>
        <w:t>ț</w:t>
      </w:r>
      <w:r w:rsidRPr="00EA1BB2">
        <w:rPr>
          <w:rFonts w:ascii="Cambria" w:hAnsi="Cambria" w:cs="Times New Roman"/>
          <w:sz w:val="24"/>
          <w:szCs w:val="24"/>
        </w:rPr>
        <w:t xml:space="preserve">i fotochimici. </w:t>
      </w:r>
    </w:p>
    <w:p w14:paraId="7D49E38F" w14:textId="77777777" w:rsidR="00343667" w:rsidRPr="00EA1BB2" w:rsidRDefault="00343667" w:rsidP="00343667">
      <w:pPr>
        <w:spacing w:line="360" w:lineRule="auto"/>
        <w:ind w:firstLine="709"/>
        <w:jc w:val="both"/>
        <w:rPr>
          <w:rFonts w:ascii="Cambria" w:hAnsi="Cambria" w:cs="Times New Roman"/>
          <w:sz w:val="24"/>
          <w:szCs w:val="24"/>
        </w:rPr>
      </w:pPr>
      <w:r w:rsidRPr="00EA1BB2">
        <w:rPr>
          <w:rFonts w:ascii="Cambria" w:hAnsi="Cambria" w:cs="Times New Roman"/>
          <w:sz w:val="24"/>
          <w:szCs w:val="24"/>
        </w:rPr>
        <w:t>Oxizii de azot sunt responsabili pentru ploile acide care afectează atât suprafa</w:t>
      </w:r>
      <w:r w:rsidR="00054880" w:rsidRPr="00EA1BB2">
        <w:rPr>
          <w:rFonts w:ascii="Cambria" w:hAnsi="Cambria" w:cs="Times New Roman"/>
          <w:sz w:val="24"/>
          <w:szCs w:val="24"/>
        </w:rPr>
        <w:t>ț</w:t>
      </w:r>
      <w:r w:rsidRPr="00EA1BB2">
        <w:rPr>
          <w:rFonts w:ascii="Cambria" w:hAnsi="Cambria" w:cs="Times New Roman"/>
          <w:sz w:val="24"/>
          <w:szCs w:val="24"/>
        </w:rPr>
        <w:t xml:space="preserve">a terestră cât </w:t>
      </w:r>
      <w:r w:rsidR="00054880" w:rsidRPr="00EA1BB2">
        <w:rPr>
          <w:rFonts w:ascii="Cambria" w:hAnsi="Cambria" w:cs="Times New Roman"/>
          <w:sz w:val="24"/>
          <w:szCs w:val="24"/>
        </w:rPr>
        <w:t>ș</w:t>
      </w:r>
      <w:r w:rsidRPr="00EA1BB2">
        <w:rPr>
          <w:rFonts w:ascii="Cambria" w:hAnsi="Cambria" w:cs="Times New Roman"/>
          <w:sz w:val="24"/>
          <w:szCs w:val="24"/>
        </w:rPr>
        <w:t>i ecosistemul acvatic.</w:t>
      </w:r>
    </w:p>
    <w:p w14:paraId="16ABDBB7" w14:textId="77777777" w:rsidR="00343667" w:rsidRPr="00EA1BB2" w:rsidRDefault="00343667" w:rsidP="003A520C">
      <w:pPr>
        <w:numPr>
          <w:ilvl w:val="0"/>
          <w:numId w:val="30"/>
        </w:numPr>
        <w:spacing w:line="360" w:lineRule="auto"/>
        <w:contextualSpacing/>
        <w:jc w:val="both"/>
        <w:rPr>
          <w:rFonts w:ascii="Cambria" w:hAnsi="Cambria" w:cs="Times New Roman"/>
          <w:sz w:val="24"/>
          <w:szCs w:val="24"/>
        </w:rPr>
      </w:pPr>
      <w:r w:rsidRPr="00EA1BB2">
        <w:rPr>
          <w:rFonts w:ascii="Cambria" w:hAnsi="Cambria" w:cs="Times New Roman"/>
          <w:sz w:val="24"/>
          <w:szCs w:val="24"/>
        </w:rPr>
        <w:t>Surse de poluare</w:t>
      </w:r>
    </w:p>
    <w:p w14:paraId="5A18AB35" w14:textId="77777777" w:rsidR="00343667" w:rsidRPr="00EA1BB2" w:rsidRDefault="00343667" w:rsidP="00343667">
      <w:pPr>
        <w:spacing w:line="360" w:lineRule="auto"/>
        <w:ind w:firstLine="708"/>
        <w:jc w:val="both"/>
        <w:rPr>
          <w:rFonts w:ascii="Cambria" w:hAnsi="Cambria" w:cs="Times New Roman"/>
          <w:sz w:val="24"/>
          <w:szCs w:val="24"/>
        </w:rPr>
      </w:pPr>
      <w:r w:rsidRPr="00EA1BB2">
        <w:rPr>
          <w:rFonts w:ascii="Cambria" w:hAnsi="Cambria" w:cs="Times New Roman"/>
          <w:sz w:val="24"/>
          <w:szCs w:val="24"/>
        </w:rPr>
        <w:t>Surse antropice: Oxizii de azot se formează în procesul de combustie atunci când combustibilii sunt ar</w:t>
      </w:r>
      <w:r w:rsidR="00054880" w:rsidRPr="00EA1BB2">
        <w:rPr>
          <w:rFonts w:ascii="Cambria" w:hAnsi="Cambria" w:cs="Times New Roman"/>
          <w:sz w:val="24"/>
          <w:szCs w:val="24"/>
        </w:rPr>
        <w:t>ș</w:t>
      </w:r>
      <w:r w:rsidRPr="00EA1BB2">
        <w:rPr>
          <w:rFonts w:ascii="Cambria" w:hAnsi="Cambria" w:cs="Times New Roman"/>
          <w:sz w:val="24"/>
          <w:szCs w:val="24"/>
        </w:rPr>
        <w:t>i la temperaturi înalte, dar cel mai adesea ei sunt rezultatul traficului rutier, activită</w:t>
      </w:r>
      <w:r w:rsidR="00054880" w:rsidRPr="00EA1BB2">
        <w:rPr>
          <w:rFonts w:ascii="Cambria" w:hAnsi="Cambria" w:cs="Times New Roman"/>
          <w:sz w:val="24"/>
          <w:szCs w:val="24"/>
        </w:rPr>
        <w:t>ț</w:t>
      </w:r>
      <w:r w:rsidRPr="00EA1BB2">
        <w:rPr>
          <w:rFonts w:ascii="Cambria" w:hAnsi="Cambria" w:cs="Times New Roman"/>
          <w:sz w:val="24"/>
          <w:szCs w:val="24"/>
        </w:rPr>
        <w:t>ilor industriale, producerii energiei electrice. Oxizii de azot sunt responsabili pentru formarea smogului, a ploilor acide, deteriorarea calită</w:t>
      </w:r>
      <w:r w:rsidR="00054880" w:rsidRPr="00EA1BB2">
        <w:rPr>
          <w:rFonts w:ascii="Cambria" w:hAnsi="Cambria" w:cs="Times New Roman"/>
          <w:sz w:val="24"/>
          <w:szCs w:val="24"/>
        </w:rPr>
        <w:t>ț</w:t>
      </w:r>
      <w:r w:rsidRPr="00EA1BB2">
        <w:rPr>
          <w:rFonts w:ascii="Cambria" w:hAnsi="Cambria" w:cs="Times New Roman"/>
          <w:sz w:val="24"/>
          <w:szCs w:val="24"/>
        </w:rPr>
        <w:t>ii apei, efectului de seră, reducerea vizibilită</w:t>
      </w:r>
      <w:r w:rsidR="00054880" w:rsidRPr="00EA1BB2">
        <w:rPr>
          <w:rFonts w:ascii="Cambria" w:hAnsi="Cambria" w:cs="Times New Roman"/>
          <w:sz w:val="24"/>
          <w:szCs w:val="24"/>
        </w:rPr>
        <w:t>ț</w:t>
      </w:r>
      <w:r w:rsidRPr="00EA1BB2">
        <w:rPr>
          <w:rFonts w:ascii="Cambria" w:hAnsi="Cambria" w:cs="Times New Roman"/>
          <w:sz w:val="24"/>
          <w:szCs w:val="24"/>
        </w:rPr>
        <w:t>ii în zonele urbane.</w:t>
      </w:r>
    </w:p>
    <w:p w14:paraId="7F6D0523" w14:textId="77777777" w:rsidR="00343667" w:rsidRPr="00EA1BB2" w:rsidRDefault="00343667" w:rsidP="003A520C">
      <w:pPr>
        <w:numPr>
          <w:ilvl w:val="0"/>
          <w:numId w:val="30"/>
        </w:numPr>
        <w:spacing w:line="360" w:lineRule="auto"/>
        <w:contextualSpacing/>
        <w:jc w:val="both"/>
        <w:rPr>
          <w:rFonts w:ascii="Cambria" w:hAnsi="Cambria" w:cs="Times New Roman"/>
          <w:sz w:val="24"/>
          <w:szCs w:val="24"/>
        </w:rPr>
      </w:pPr>
      <w:r w:rsidRPr="00EA1BB2">
        <w:rPr>
          <w:rFonts w:ascii="Cambria" w:hAnsi="Cambria" w:cs="Times New Roman"/>
          <w:sz w:val="24"/>
          <w:szCs w:val="24"/>
        </w:rPr>
        <w:t>Efecte asupra sănătă</w:t>
      </w:r>
      <w:r w:rsidR="00054880" w:rsidRPr="00EA1BB2">
        <w:rPr>
          <w:rFonts w:ascii="Cambria" w:hAnsi="Cambria" w:cs="Times New Roman"/>
          <w:sz w:val="24"/>
          <w:szCs w:val="24"/>
        </w:rPr>
        <w:t>ț</w:t>
      </w:r>
      <w:r w:rsidRPr="00EA1BB2">
        <w:rPr>
          <w:rFonts w:ascii="Cambria" w:hAnsi="Cambria" w:cs="Times New Roman"/>
          <w:sz w:val="24"/>
          <w:szCs w:val="24"/>
        </w:rPr>
        <w:t>ii popula</w:t>
      </w:r>
      <w:r w:rsidR="00054880" w:rsidRPr="00EA1BB2">
        <w:rPr>
          <w:rFonts w:ascii="Cambria" w:hAnsi="Cambria" w:cs="Times New Roman"/>
          <w:sz w:val="24"/>
          <w:szCs w:val="24"/>
        </w:rPr>
        <w:t>ț</w:t>
      </w:r>
      <w:r w:rsidRPr="00EA1BB2">
        <w:rPr>
          <w:rFonts w:ascii="Cambria" w:hAnsi="Cambria" w:cs="Times New Roman"/>
          <w:sz w:val="24"/>
          <w:szCs w:val="24"/>
        </w:rPr>
        <w:t xml:space="preserve">iei </w:t>
      </w:r>
    </w:p>
    <w:p w14:paraId="146B1DB5" w14:textId="77777777" w:rsidR="00343667" w:rsidRPr="00EA1BB2" w:rsidRDefault="00343667" w:rsidP="00343667">
      <w:pPr>
        <w:spacing w:line="360" w:lineRule="auto"/>
        <w:ind w:firstLine="708"/>
        <w:jc w:val="both"/>
        <w:rPr>
          <w:rFonts w:ascii="Cambria" w:hAnsi="Cambria" w:cs="Times New Roman"/>
          <w:sz w:val="24"/>
          <w:szCs w:val="24"/>
        </w:rPr>
      </w:pPr>
      <w:r w:rsidRPr="00EA1BB2">
        <w:rPr>
          <w:rFonts w:ascii="Cambria" w:hAnsi="Cambria" w:cs="Times New Roman"/>
          <w:sz w:val="24"/>
          <w:szCs w:val="24"/>
        </w:rPr>
        <w:t xml:space="preserve">Dioxidul de azot este cunoscut ca fiind un gaz foarte toxic atât pentru oameni cât </w:t>
      </w:r>
      <w:r w:rsidR="00054880" w:rsidRPr="00EA1BB2">
        <w:rPr>
          <w:rFonts w:ascii="Cambria" w:hAnsi="Cambria" w:cs="Times New Roman"/>
          <w:sz w:val="24"/>
          <w:szCs w:val="24"/>
        </w:rPr>
        <w:t>ș</w:t>
      </w:r>
      <w:r w:rsidRPr="00EA1BB2">
        <w:rPr>
          <w:rFonts w:ascii="Cambria" w:hAnsi="Cambria" w:cs="Times New Roman"/>
          <w:sz w:val="24"/>
          <w:szCs w:val="24"/>
        </w:rPr>
        <w:t>i pentru animale (gradul de toxicitate al dioxidului de azot este de 4 ori mai mare decât cel al monoxidului de azot). Expunerea la concentra</w:t>
      </w:r>
      <w:r w:rsidR="00054880" w:rsidRPr="00EA1BB2">
        <w:rPr>
          <w:rFonts w:ascii="Cambria" w:hAnsi="Cambria" w:cs="Times New Roman"/>
          <w:sz w:val="24"/>
          <w:szCs w:val="24"/>
        </w:rPr>
        <w:t>ț</w:t>
      </w:r>
      <w:r w:rsidRPr="00EA1BB2">
        <w:rPr>
          <w:rFonts w:ascii="Cambria" w:hAnsi="Cambria" w:cs="Times New Roman"/>
          <w:sz w:val="24"/>
          <w:szCs w:val="24"/>
        </w:rPr>
        <w:t>ii ridicate poate fi fatală, iar la concentra</w:t>
      </w:r>
      <w:r w:rsidR="00054880" w:rsidRPr="00EA1BB2">
        <w:rPr>
          <w:rFonts w:ascii="Cambria" w:hAnsi="Cambria" w:cs="Times New Roman"/>
          <w:sz w:val="24"/>
          <w:szCs w:val="24"/>
        </w:rPr>
        <w:t>ț</w:t>
      </w:r>
      <w:r w:rsidRPr="00EA1BB2">
        <w:rPr>
          <w:rFonts w:ascii="Cambria" w:hAnsi="Cambria" w:cs="Times New Roman"/>
          <w:sz w:val="24"/>
          <w:szCs w:val="24"/>
        </w:rPr>
        <w:t xml:space="preserve">ii reduse afectează </w:t>
      </w:r>
      <w:r w:rsidR="00054880" w:rsidRPr="00EA1BB2">
        <w:rPr>
          <w:rFonts w:ascii="Cambria" w:hAnsi="Cambria" w:cs="Times New Roman"/>
          <w:sz w:val="24"/>
          <w:szCs w:val="24"/>
        </w:rPr>
        <w:t>ț</w:t>
      </w:r>
      <w:r w:rsidRPr="00EA1BB2">
        <w:rPr>
          <w:rFonts w:ascii="Cambria" w:hAnsi="Cambria" w:cs="Times New Roman"/>
          <w:sz w:val="24"/>
          <w:szCs w:val="24"/>
        </w:rPr>
        <w:t>esutul pulmonar.</w:t>
      </w:r>
    </w:p>
    <w:p w14:paraId="6C5F6452" w14:textId="77777777" w:rsidR="00343667" w:rsidRPr="00EA1BB2" w:rsidRDefault="00343667" w:rsidP="00343667">
      <w:pPr>
        <w:spacing w:line="360" w:lineRule="auto"/>
        <w:ind w:firstLine="708"/>
        <w:jc w:val="both"/>
        <w:rPr>
          <w:rFonts w:ascii="Cambria" w:hAnsi="Cambria" w:cs="Times New Roman"/>
          <w:sz w:val="24"/>
          <w:szCs w:val="24"/>
        </w:rPr>
      </w:pPr>
      <w:r w:rsidRPr="00EA1BB2">
        <w:rPr>
          <w:rFonts w:ascii="Cambria" w:hAnsi="Cambria" w:cs="Times New Roman"/>
          <w:sz w:val="24"/>
          <w:szCs w:val="24"/>
        </w:rPr>
        <w:t>Popula</w:t>
      </w:r>
      <w:r w:rsidR="00054880" w:rsidRPr="00EA1BB2">
        <w:rPr>
          <w:rFonts w:ascii="Cambria" w:hAnsi="Cambria" w:cs="Times New Roman"/>
          <w:sz w:val="24"/>
          <w:szCs w:val="24"/>
        </w:rPr>
        <w:t>ț</w:t>
      </w:r>
      <w:r w:rsidRPr="00EA1BB2">
        <w:rPr>
          <w:rFonts w:ascii="Cambria" w:hAnsi="Cambria" w:cs="Times New Roman"/>
          <w:sz w:val="24"/>
          <w:szCs w:val="24"/>
        </w:rPr>
        <w:t>ia expusă la acest tip de poluan</w:t>
      </w:r>
      <w:r w:rsidR="00054880" w:rsidRPr="00EA1BB2">
        <w:rPr>
          <w:rFonts w:ascii="Cambria" w:hAnsi="Cambria" w:cs="Times New Roman"/>
          <w:sz w:val="24"/>
          <w:szCs w:val="24"/>
        </w:rPr>
        <w:t>ț</w:t>
      </w:r>
      <w:r w:rsidRPr="00EA1BB2">
        <w:rPr>
          <w:rFonts w:ascii="Cambria" w:hAnsi="Cambria" w:cs="Times New Roman"/>
          <w:sz w:val="24"/>
          <w:szCs w:val="24"/>
        </w:rPr>
        <w:t>i poate avea dificultă</w:t>
      </w:r>
      <w:r w:rsidR="00054880" w:rsidRPr="00EA1BB2">
        <w:rPr>
          <w:rFonts w:ascii="Cambria" w:hAnsi="Cambria" w:cs="Times New Roman"/>
          <w:sz w:val="24"/>
          <w:szCs w:val="24"/>
        </w:rPr>
        <w:t>ț</w:t>
      </w:r>
      <w:r w:rsidRPr="00EA1BB2">
        <w:rPr>
          <w:rFonts w:ascii="Cambria" w:hAnsi="Cambria" w:cs="Times New Roman"/>
          <w:sz w:val="24"/>
          <w:szCs w:val="24"/>
        </w:rPr>
        <w:t>i respiratorii, irita</w:t>
      </w:r>
      <w:r w:rsidR="00054880" w:rsidRPr="00EA1BB2">
        <w:rPr>
          <w:rFonts w:ascii="Cambria" w:hAnsi="Cambria" w:cs="Times New Roman"/>
          <w:sz w:val="24"/>
          <w:szCs w:val="24"/>
        </w:rPr>
        <w:t>ț</w:t>
      </w:r>
      <w:r w:rsidRPr="00EA1BB2">
        <w:rPr>
          <w:rFonts w:ascii="Cambria" w:hAnsi="Cambria" w:cs="Times New Roman"/>
          <w:sz w:val="24"/>
          <w:szCs w:val="24"/>
        </w:rPr>
        <w:t>ii ale căilor respiratorii, disfunc</w:t>
      </w:r>
      <w:r w:rsidR="00054880" w:rsidRPr="00EA1BB2">
        <w:rPr>
          <w:rFonts w:ascii="Cambria" w:hAnsi="Cambria" w:cs="Times New Roman"/>
          <w:sz w:val="24"/>
          <w:szCs w:val="24"/>
        </w:rPr>
        <w:t>ț</w:t>
      </w:r>
      <w:r w:rsidRPr="00EA1BB2">
        <w:rPr>
          <w:rFonts w:ascii="Cambria" w:hAnsi="Cambria" w:cs="Times New Roman"/>
          <w:sz w:val="24"/>
          <w:szCs w:val="24"/>
        </w:rPr>
        <w:t>ii ale plămânilor. Expunerea pe termen lung la o concentra</w:t>
      </w:r>
      <w:r w:rsidR="00054880" w:rsidRPr="00EA1BB2">
        <w:rPr>
          <w:rFonts w:ascii="Cambria" w:hAnsi="Cambria" w:cs="Times New Roman"/>
          <w:sz w:val="24"/>
          <w:szCs w:val="24"/>
        </w:rPr>
        <w:t>ț</w:t>
      </w:r>
      <w:r w:rsidRPr="00EA1BB2">
        <w:rPr>
          <w:rFonts w:ascii="Cambria" w:hAnsi="Cambria" w:cs="Times New Roman"/>
          <w:sz w:val="24"/>
          <w:szCs w:val="24"/>
        </w:rPr>
        <w:t xml:space="preserve">ie redusă poate distruge </w:t>
      </w:r>
      <w:r w:rsidR="00054880" w:rsidRPr="00EA1BB2">
        <w:rPr>
          <w:rFonts w:ascii="Cambria" w:hAnsi="Cambria" w:cs="Times New Roman"/>
          <w:sz w:val="24"/>
          <w:szCs w:val="24"/>
        </w:rPr>
        <w:t>ț</w:t>
      </w:r>
      <w:r w:rsidRPr="00EA1BB2">
        <w:rPr>
          <w:rFonts w:ascii="Cambria" w:hAnsi="Cambria" w:cs="Times New Roman"/>
          <w:sz w:val="24"/>
          <w:szCs w:val="24"/>
        </w:rPr>
        <w:t>esuturile pulmonare ducând la emfizem pulmonar.</w:t>
      </w:r>
    </w:p>
    <w:p w14:paraId="22988724" w14:textId="77777777" w:rsidR="00343667" w:rsidRPr="00EA1BB2" w:rsidRDefault="00343667" w:rsidP="00343667">
      <w:pPr>
        <w:spacing w:line="360" w:lineRule="auto"/>
        <w:ind w:firstLine="708"/>
        <w:jc w:val="both"/>
        <w:rPr>
          <w:rFonts w:ascii="Cambria" w:hAnsi="Cambria" w:cs="Times New Roman"/>
          <w:sz w:val="24"/>
          <w:szCs w:val="24"/>
        </w:rPr>
      </w:pPr>
      <w:r w:rsidRPr="00EA1BB2">
        <w:rPr>
          <w:rFonts w:ascii="Cambria" w:hAnsi="Cambria" w:cs="Times New Roman"/>
          <w:sz w:val="24"/>
          <w:szCs w:val="24"/>
        </w:rPr>
        <w:lastRenderedPageBreak/>
        <w:t>Persoanele cele mai afectate de expunerea la acest poluant sunt copiii.</w:t>
      </w:r>
    </w:p>
    <w:p w14:paraId="5085328A" w14:textId="77777777" w:rsidR="00343667" w:rsidRPr="00EA1BB2" w:rsidRDefault="00343667" w:rsidP="003A520C">
      <w:pPr>
        <w:numPr>
          <w:ilvl w:val="0"/>
          <w:numId w:val="30"/>
        </w:numPr>
        <w:spacing w:line="360" w:lineRule="auto"/>
        <w:contextualSpacing/>
        <w:jc w:val="both"/>
        <w:rPr>
          <w:rFonts w:ascii="Cambria" w:hAnsi="Cambria" w:cs="Times New Roman"/>
          <w:sz w:val="24"/>
          <w:szCs w:val="24"/>
        </w:rPr>
      </w:pPr>
      <w:r w:rsidRPr="00EA1BB2">
        <w:rPr>
          <w:rFonts w:ascii="Cambria" w:hAnsi="Cambria" w:cs="Times New Roman"/>
          <w:sz w:val="24"/>
          <w:szCs w:val="24"/>
        </w:rPr>
        <w:t xml:space="preserve">Efecte asupra plantelor </w:t>
      </w:r>
      <w:r w:rsidR="00054880" w:rsidRPr="00EA1BB2">
        <w:rPr>
          <w:rFonts w:ascii="Cambria" w:hAnsi="Cambria" w:cs="Times New Roman"/>
          <w:sz w:val="24"/>
          <w:szCs w:val="24"/>
        </w:rPr>
        <w:t>ș</w:t>
      </w:r>
      <w:r w:rsidRPr="00EA1BB2">
        <w:rPr>
          <w:rFonts w:ascii="Cambria" w:hAnsi="Cambria" w:cs="Times New Roman"/>
          <w:sz w:val="24"/>
          <w:szCs w:val="24"/>
        </w:rPr>
        <w:t>i animalelor</w:t>
      </w:r>
    </w:p>
    <w:p w14:paraId="20F0B665" w14:textId="77777777" w:rsidR="00343667" w:rsidRPr="00EA1BB2" w:rsidRDefault="00343667" w:rsidP="00343667">
      <w:pPr>
        <w:spacing w:line="360" w:lineRule="auto"/>
        <w:ind w:firstLine="708"/>
        <w:jc w:val="both"/>
        <w:rPr>
          <w:rFonts w:ascii="Cambria" w:hAnsi="Cambria" w:cs="Times New Roman"/>
          <w:sz w:val="24"/>
          <w:szCs w:val="24"/>
        </w:rPr>
      </w:pPr>
      <w:r w:rsidRPr="00EA1BB2">
        <w:rPr>
          <w:rFonts w:ascii="Cambria" w:hAnsi="Cambria" w:cs="Times New Roman"/>
          <w:sz w:val="24"/>
          <w:szCs w:val="24"/>
        </w:rPr>
        <w:t>Expunerea la acest poluant produce vătămarea serioasă a vegeta</w:t>
      </w:r>
      <w:r w:rsidR="00054880" w:rsidRPr="00EA1BB2">
        <w:rPr>
          <w:rFonts w:ascii="Cambria" w:hAnsi="Cambria" w:cs="Times New Roman"/>
          <w:sz w:val="24"/>
          <w:szCs w:val="24"/>
        </w:rPr>
        <w:t>ț</w:t>
      </w:r>
      <w:r w:rsidRPr="00EA1BB2">
        <w:rPr>
          <w:rFonts w:ascii="Cambria" w:hAnsi="Cambria" w:cs="Times New Roman"/>
          <w:sz w:val="24"/>
          <w:szCs w:val="24"/>
        </w:rPr>
        <w:t xml:space="preserve">iei prin albirea sau moartea </w:t>
      </w:r>
      <w:r w:rsidR="00054880" w:rsidRPr="00EA1BB2">
        <w:rPr>
          <w:rFonts w:ascii="Cambria" w:hAnsi="Cambria" w:cs="Times New Roman"/>
          <w:sz w:val="24"/>
          <w:szCs w:val="24"/>
        </w:rPr>
        <w:t>ț</w:t>
      </w:r>
      <w:r w:rsidRPr="00EA1BB2">
        <w:rPr>
          <w:rFonts w:ascii="Cambria" w:hAnsi="Cambria" w:cs="Times New Roman"/>
          <w:sz w:val="24"/>
          <w:szCs w:val="24"/>
        </w:rPr>
        <w:t>esuturilor plantelor, reducerea ritmului de cre</w:t>
      </w:r>
      <w:r w:rsidR="00054880" w:rsidRPr="00EA1BB2">
        <w:rPr>
          <w:rFonts w:ascii="Cambria" w:hAnsi="Cambria" w:cs="Times New Roman"/>
          <w:sz w:val="24"/>
          <w:szCs w:val="24"/>
        </w:rPr>
        <w:t>ș</w:t>
      </w:r>
      <w:r w:rsidRPr="00EA1BB2">
        <w:rPr>
          <w:rFonts w:ascii="Cambria" w:hAnsi="Cambria" w:cs="Times New Roman"/>
          <w:sz w:val="24"/>
          <w:szCs w:val="24"/>
        </w:rPr>
        <w:t>tere a acestora.</w:t>
      </w:r>
    </w:p>
    <w:p w14:paraId="4D920780" w14:textId="77777777" w:rsidR="00343667" w:rsidRPr="00EA1BB2" w:rsidRDefault="00343667" w:rsidP="00343667">
      <w:pPr>
        <w:spacing w:line="360" w:lineRule="auto"/>
        <w:ind w:firstLine="708"/>
        <w:jc w:val="both"/>
        <w:rPr>
          <w:rFonts w:ascii="Cambria" w:hAnsi="Cambria" w:cs="Times New Roman"/>
          <w:sz w:val="24"/>
          <w:szCs w:val="24"/>
        </w:rPr>
      </w:pPr>
      <w:r w:rsidRPr="00EA1BB2">
        <w:rPr>
          <w:rFonts w:ascii="Cambria" w:hAnsi="Cambria" w:cs="Times New Roman"/>
          <w:sz w:val="24"/>
          <w:szCs w:val="24"/>
        </w:rPr>
        <w:t>Expunerea la oxizii de azot poate provoca boli pulmonare animalelor, care seamănă cu emfizemul pulmonar, iar expunerea la dioxidul de azot poate reduce imunitatea animalelor favorizând apari</w:t>
      </w:r>
      <w:r w:rsidR="00054880" w:rsidRPr="00EA1BB2">
        <w:rPr>
          <w:rFonts w:ascii="Cambria" w:hAnsi="Cambria" w:cs="Times New Roman"/>
          <w:sz w:val="24"/>
          <w:szCs w:val="24"/>
        </w:rPr>
        <w:t>ț</w:t>
      </w:r>
      <w:r w:rsidRPr="00EA1BB2">
        <w:rPr>
          <w:rFonts w:ascii="Cambria" w:hAnsi="Cambria" w:cs="Times New Roman"/>
          <w:sz w:val="24"/>
          <w:szCs w:val="24"/>
        </w:rPr>
        <w:t xml:space="preserve">ia </w:t>
      </w:r>
      <w:r w:rsidR="00054880" w:rsidRPr="00EA1BB2">
        <w:rPr>
          <w:rFonts w:ascii="Cambria" w:hAnsi="Cambria" w:cs="Times New Roman"/>
          <w:sz w:val="24"/>
          <w:szCs w:val="24"/>
        </w:rPr>
        <w:t>ș</w:t>
      </w:r>
      <w:r w:rsidRPr="00EA1BB2">
        <w:rPr>
          <w:rFonts w:ascii="Cambria" w:hAnsi="Cambria" w:cs="Times New Roman"/>
          <w:sz w:val="24"/>
          <w:szCs w:val="24"/>
        </w:rPr>
        <w:t>i evolu</w:t>
      </w:r>
      <w:r w:rsidR="00054880" w:rsidRPr="00EA1BB2">
        <w:rPr>
          <w:rFonts w:ascii="Cambria" w:hAnsi="Cambria" w:cs="Times New Roman"/>
          <w:sz w:val="24"/>
          <w:szCs w:val="24"/>
        </w:rPr>
        <w:t>ț</w:t>
      </w:r>
      <w:r w:rsidRPr="00EA1BB2">
        <w:rPr>
          <w:rFonts w:ascii="Cambria" w:hAnsi="Cambria" w:cs="Times New Roman"/>
          <w:sz w:val="24"/>
          <w:szCs w:val="24"/>
        </w:rPr>
        <w:t xml:space="preserve">ia unor boli precum pneumonia </w:t>
      </w:r>
      <w:r w:rsidR="00054880" w:rsidRPr="00EA1BB2">
        <w:rPr>
          <w:rFonts w:ascii="Cambria" w:hAnsi="Cambria" w:cs="Times New Roman"/>
          <w:sz w:val="24"/>
          <w:szCs w:val="24"/>
        </w:rPr>
        <w:t>ș</w:t>
      </w:r>
      <w:r w:rsidRPr="00EA1BB2">
        <w:rPr>
          <w:rFonts w:ascii="Cambria" w:hAnsi="Cambria" w:cs="Times New Roman"/>
          <w:sz w:val="24"/>
          <w:szCs w:val="24"/>
        </w:rPr>
        <w:t>i gripa.</w:t>
      </w:r>
    </w:p>
    <w:p w14:paraId="763685ED" w14:textId="77777777" w:rsidR="00343667" w:rsidRPr="00EA1BB2" w:rsidRDefault="00343667" w:rsidP="003A520C">
      <w:pPr>
        <w:numPr>
          <w:ilvl w:val="0"/>
          <w:numId w:val="30"/>
        </w:numPr>
        <w:spacing w:line="360" w:lineRule="auto"/>
        <w:contextualSpacing/>
        <w:jc w:val="both"/>
        <w:rPr>
          <w:rFonts w:ascii="Cambria" w:hAnsi="Cambria" w:cs="Times New Roman"/>
          <w:sz w:val="24"/>
          <w:szCs w:val="24"/>
        </w:rPr>
      </w:pPr>
      <w:r w:rsidRPr="00EA1BB2">
        <w:rPr>
          <w:rFonts w:ascii="Cambria" w:hAnsi="Cambria" w:cs="Times New Roman"/>
          <w:sz w:val="24"/>
          <w:szCs w:val="24"/>
        </w:rPr>
        <w:t>Alte efecte</w:t>
      </w:r>
    </w:p>
    <w:p w14:paraId="24BCB96E" w14:textId="77777777" w:rsidR="00343667" w:rsidRPr="00EA1BB2" w:rsidRDefault="00343667" w:rsidP="00343667">
      <w:pPr>
        <w:spacing w:line="360" w:lineRule="auto"/>
        <w:ind w:firstLine="708"/>
        <w:jc w:val="both"/>
        <w:rPr>
          <w:rFonts w:ascii="Cambria" w:hAnsi="Cambria" w:cs="Times New Roman"/>
          <w:sz w:val="24"/>
          <w:szCs w:val="24"/>
        </w:rPr>
      </w:pPr>
      <w:r w:rsidRPr="00EA1BB2">
        <w:rPr>
          <w:rFonts w:ascii="Cambria" w:hAnsi="Cambria" w:cs="Times New Roman"/>
          <w:sz w:val="24"/>
          <w:szCs w:val="24"/>
        </w:rPr>
        <w:t xml:space="preserve">Oxizii de azot contribuie la formarea ploilor acide </w:t>
      </w:r>
      <w:r w:rsidR="00054880" w:rsidRPr="00EA1BB2">
        <w:rPr>
          <w:rFonts w:ascii="Cambria" w:hAnsi="Cambria" w:cs="Times New Roman"/>
          <w:sz w:val="24"/>
          <w:szCs w:val="24"/>
        </w:rPr>
        <w:t>ș</w:t>
      </w:r>
      <w:r w:rsidRPr="00EA1BB2">
        <w:rPr>
          <w:rFonts w:ascii="Cambria" w:hAnsi="Cambria" w:cs="Times New Roman"/>
          <w:sz w:val="24"/>
          <w:szCs w:val="24"/>
        </w:rPr>
        <w:t>i favorizează acumularea nitra</w:t>
      </w:r>
      <w:r w:rsidR="00054880" w:rsidRPr="00EA1BB2">
        <w:rPr>
          <w:rFonts w:ascii="Cambria" w:hAnsi="Cambria" w:cs="Times New Roman"/>
          <w:sz w:val="24"/>
          <w:szCs w:val="24"/>
        </w:rPr>
        <w:t>ț</w:t>
      </w:r>
      <w:r w:rsidRPr="00EA1BB2">
        <w:rPr>
          <w:rFonts w:ascii="Cambria" w:hAnsi="Cambria" w:cs="Times New Roman"/>
          <w:sz w:val="24"/>
          <w:szCs w:val="24"/>
        </w:rPr>
        <w:t>ilor la nivelul solului care pot provoca alterarea echilibrului ecologic ambiental.</w:t>
      </w:r>
    </w:p>
    <w:p w14:paraId="77226CD3" w14:textId="77777777" w:rsidR="00343667" w:rsidRPr="00EA1BB2" w:rsidRDefault="00343667" w:rsidP="00343667">
      <w:pPr>
        <w:spacing w:line="360" w:lineRule="auto"/>
        <w:ind w:firstLine="708"/>
        <w:jc w:val="both"/>
        <w:rPr>
          <w:rFonts w:ascii="Cambria" w:hAnsi="Cambria" w:cs="Times New Roman"/>
          <w:sz w:val="24"/>
          <w:szCs w:val="24"/>
        </w:rPr>
      </w:pPr>
      <w:r w:rsidRPr="00EA1BB2">
        <w:rPr>
          <w:rFonts w:ascii="Cambria" w:hAnsi="Cambria" w:cs="Times New Roman"/>
          <w:sz w:val="24"/>
          <w:szCs w:val="24"/>
        </w:rPr>
        <w:t xml:space="preserve">De asemenea, poate provoca deteriorarea </w:t>
      </w:r>
      <w:r w:rsidR="00054880" w:rsidRPr="00EA1BB2">
        <w:rPr>
          <w:rFonts w:ascii="Cambria" w:hAnsi="Cambria" w:cs="Times New Roman"/>
          <w:sz w:val="24"/>
          <w:szCs w:val="24"/>
        </w:rPr>
        <w:t>ț</w:t>
      </w:r>
      <w:r w:rsidRPr="00EA1BB2">
        <w:rPr>
          <w:rFonts w:ascii="Cambria" w:hAnsi="Cambria" w:cs="Times New Roman"/>
          <w:sz w:val="24"/>
          <w:szCs w:val="24"/>
        </w:rPr>
        <w:t xml:space="preserve">esăturilor </w:t>
      </w:r>
      <w:r w:rsidR="00054880" w:rsidRPr="00EA1BB2">
        <w:rPr>
          <w:rFonts w:ascii="Cambria" w:hAnsi="Cambria" w:cs="Times New Roman"/>
          <w:sz w:val="24"/>
          <w:szCs w:val="24"/>
        </w:rPr>
        <w:t>ș</w:t>
      </w:r>
      <w:r w:rsidRPr="00EA1BB2">
        <w:rPr>
          <w:rFonts w:ascii="Cambria" w:hAnsi="Cambria" w:cs="Times New Roman"/>
          <w:sz w:val="24"/>
          <w:szCs w:val="24"/>
        </w:rPr>
        <w:t>i decolorarea vopselurilor, degradarea metalelor.</w:t>
      </w:r>
    </w:p>
    <w:p w14:paraId="7EB5DFDF" w14:textId="77777777" w:rsidR="00C21764" w:rsidRPr="00EA1BB2" w:rsidRDefault="00C21764" w:rsidP="00C21764">
      <w:pPr>
        <w:spacing w:line="360" w:lineRule="auto"/>
        <w:jc w:val="both"/>
        <w:rPr>
          <w:rFonts w:ascii="Cambria" w:hAnsi="Cambria" w:cs="Times New Roman"/>
          <w:sz w:val="24"/>
          <w:szCs w:val="24"/>
        </w:rPr>
      </w:pPr>
    </w:p>
    <w:p w14:paraId="225A6CB8" w14:textId="6B506E6B" w:rsidR="00C21764" w:rsidRPr="00EA1BB2" w:rsidRDefault="00C21764" w:rsidP="00C21764">
      <w:pPr>
        <w:keepNext/>
        <w:spacing w:line="360" w:lineRule="auto"/>
        <w:ind w:firstLine="708"/>
        <w:jc w:val="both"/>
        <w:rPr>
          <w:rFonts w:ascii="Cambria" w:eastAsia="Times New Roman" w:hAnsi="Cambria" w:cs="Times New Roman"/>
          <w:b/>
          <w:sz w:val="24"/>
          <w:szCs w:val="24"/>
        </w:rPr>
      </w:pPr>
      <w:bookmarkStart w:id="152" w:name="_Toc526889797"/>
      <w:r w:rsidRPr="00EA1BB2">
        <w:rPr>
          <w:rFonts w:ascii="Cambria" w:eastAsia="Calibri" w:hAnsi="Cambria" w:cs="Times New Roman"/>
          <w:b/>
          <w:iCs/>
          <w:sz w:val="24"/>
          <w:szCs w:val="24"/>
        </w:rPr>
        <w:t xml:space="preserve">Tabelul nr. </w:t>
      </w:r>
      <w:r w:rsidR="000A2FE7" w:rsidRPr="00EA1BB2">
        <w:rPr>
          <w:rFonts w:ascii="Cambria" w:eastAsia="Calibri" w:hAnsi="Cambria" w:cs="Times New Roman"/>
          <w:b/>
          <w:iCs/>
          <w:sz w:val="24"/>
          <w:szCs w:val="24"/>
        </w:rPr>
        <w:fldChar w:fldCharType="begin"/>
      </w:r>
      <w:r w:rsidR="000A2FE7" w:rsidRPr="00EA1BB2">
        <w:rPr>
          <w:rFonts w:ascii="Cambria" w:eastAsia="Calibri" w:hAnsi="Cambria" w:cs="Times New Roman"/>
          <w:b/>
          <w:iCs/>
          <w:sz w:val="24"/>
          <w:szCs w:val="24"/>
        </w:rPr>
        <w:instrText xml:space="preserve"> STYLEREF 1 \s </w:instrText>
      </w:r>
      <w:r w:rsidR="000A2FE7" w:rsidRPr="00EA1BB2">
        <w:rPr>
          <w:rFonts w:ascii="Cambria" w:eastAsia="Calibri" w:hAnsi="Cambria" w:cs="Times New Roman"/>
          <w:b/>
          <w:iCs/>
          <w:sz w:val="24"/>
          <w:szCs w:val="24"/>
        </w:rPr>
        <w:fldChar w:fldCharType="separate"/>
      </w:r>
      <w:r w:rsidR="00567555">
        <w:rPr>
          <w:rFonts w:ascii="Cambria" w:eastAsia="Calibri" w:hAnsi="Cambria" w:cs="Times New Roman"/>
          <w:b/>
          <w:iCs/>
          <w:noProof/>
          <w:sz w:val="24"/>
          <w:szCs w:val="24"/>
        </w:rPr>
        <w:t>3</w:t>
      </w:r>
      <w:r w:rsidR="000A2FE7" w:rsidRPr="00EA1BB2">
        <w:rPr>
          <w:rFonts w:ascii="Cambria" w:eastAsia="Calibri" w:hAnsi="Cambria" w:cs="Times New Roman"/>
          <w:b/>
          <w:iCs/>
          <w:sz w:val="24"/>
          <w:szCs w:val="24"/>
        </w:rPr>
        <w:fldChar w:fldCharType="end"/>
      </w:r>
      <w:r w:rsidR="000A2FE7" w:rsidRPr="00EA1BB2">
        <w:rPr>
          <w:rFonts w:ascii="Cambria" w:eastAsia="Calibri" w:hAnsi="Cambria" w:cs="Times New Roman"/>
          <w:b/>
          <w:iCs/>
          <w:sz w:val="24"/>
          <w:szCs w:val="24"/>
        </w:rPr>
        <w:noBreakHyphen/>
      </w:r>
      <w:r w:rsidR="000A2FE7" w:rsidRPr="00EA1BB2">
        <w:rPr>
          <w:rFonts w:ascii="Cambria" w:eastAsia="Calibri" w:hAnsi="Cambria" w:cs="Times New Roman"/>
          <w:b/>
          <w:iCs/>
          <w:sz w:val="24"/>
          <w:szCs w:val="24"/>
        </w:rPr>
        <w:fldChar w:fldCharType="begin"/>
      </w:r>
      <w:r w:rsidR="000A2FE7" w:rsidRPr="00EA1BB2">
        <w:rPr>
          <w:rFonts w:ascii="Cambria" w:eastAsia="Calibri" w:hAnsi="Cambria" w:cs="Times New Roman"/>
          <w:b/>
          <w:iCs/>
          <w:sz w:val="24"/>
          <w:szCs w:val="24"/>
        </w:rPr>
        <w:instrText xml:space="preserve"> SEQ Tabelul_nr. \* ARABIC \s 1 </w:instrText>
      </w:r>
      <w:r w:rsidR="000A2FE7" w:rsidRPr="00EA1BB2">
        <w:rPr>
          <w:rFonts w:ascii="Cambria" w:eastAsia="Calibri" w:hAnsi="Cambria" w:cs="Times New Roman"/>
          <w:b/>
          <w:iCs/>
          <w:sz w:val="24"/>
          <w:szCs w:val="24"/>
        </w:rPr>
        <w:fldChar w:fldCharType="separate"/>
      </w:r>
      <w:r w:rsidR="00567555">
        <w:rPr>
          <w:rFonts w:ascii="Cambria" w:eastAsia="Calibri" w:hAnsi="Cambria" w:cs="Times New Roman"/>
          <w:b/>
          <w:iCs/>
          <w:noProof/>
          <w:sz w:val="24"/>
          <w:szCs w:val="24"/>
        </w:rPr>
        <w:t>28</w:t>
      </w:r>
      <w:r w:rsidR="000A2FE7" w:rsidRPr="00EA1BB2">
        <w:rPr>
          <w:rFonts w:ascii="Cambria" w:eastAsia="Calibri" w:hAnsi="Cambria" w:cs="Times New Roman"/>
          <w:b/>
          <w:iCs/>
          <w:sz w:val="24"/>
          <w:szCs w:val="24"/>
        </w:rPr>
        <w:fldChar w:fldCharType="end"/>
      </w:r>
      <w:r w:rsidRPr="00EA1BB2">
        <w:rPr>
          <w:rFonts w:ascii="Cambria" w:eastAsia="Calibri" w:hAnsi="Cambria" w:cs="Times New Roman"/>
          <w:b/>
          <w:iCs/>
          <w:sz w:val="24"/>
          <w:szCs w:val="24"/>
        </w:rPr>
        <w:t xml:space="preserve"> - </w:t>
      </w:r>
      <w:r w:rsidR="003035DF" w:rsidRPr="00EA1BB2">
        <w:rPr>
          <w:rFonts w:ascii="Cambria" w:eastAsia="Times New Roman" w:hAnsi="Cambria" w:cs="Times New Roman"/>
          <w:b/>
          <w:sz w:val="24"/>
          <w:szCs w:val="24"/>
        </w:rPr>
        <w:t>Cerin</w:t>
      </w:r>
      <w:r w:rsidR="00054880" w:rsidRPr="00EA1BB2">
        <w:rPr>
          <w:rFonts w:ascii="Cambria" w:eastAsia="Times New Roman" w:hAnsi="Cambria" w:cs="Times New Roman"/>
          <w:b/>
          <w:sz w:val="24"/>
          <w:szCs w:val="24"/>
        </w:rPr>
        <w:t>ț</w:t>
      </w:r>
      <w:r w:rsidR="003035DF" w:rsidRPr="00EA1BB2">
        <w:rPr>
          <w:rFonts w:ascii="Cambria" w:eastAsia="Times New Roman" w:hAnsi="Cambria" w:cs="Times New Roman"/>
          <w:b/>
          <w:sz w:val="24"/>
          <w:szCs w:val="24"/>
        </w:rPr>
        <w:t>ele pentru evaluarea concentra</w:t>
      </w:r>
      <w:r w:rsidR="00054880" w:rsidRPr="00EA1BB2">
        <w:rPr>
          <w:rFonts w:ascii="Cambria" w:eastAsia="Times New Roman" w:hAnsi="Cambria" w:cs="Times New Roman"/>
          <w:b/>
          <w:sz w:val="24"/>
          <w:szCs w:val="24"/>
        </w:rPr>
        <w:t>ț</w:t>
      </w:r>
      <w:r w:rsidR="003035DF" w:rsidRPr="00EA1BB2">
        <w:rPr>
          <w:rFonts w:ascii="Cambria" w:eastAsia="Times New Roman" w:hAnsi="Cambria" w:cs="Times New Roman"/>
          <w:b/>
          <w:sz w:val="24"/>
          <w:szCs w:val="24"/>
        </w:rPr>
        <w:t>iilor</w:t>
      </w:r>
      <w:r w:rsidR="00F44C9E" w:rsidRPr="00EA1BB2">
        <w:rPr>
          <w:rFonts w:ascii="Cambria" w:eastAsia="Times New Roman" w:hAnsi="Cambria" w:cs="Times New Roman"/>
          <w:b/>
          <w:sz w:val="24"/>
          <w:szCs w:val="24"/>
        </w:rPr>
        <w:t xml:space="preserve"> de Oxizi</w:t>
      </w:r>
      <w:r w:rsidRPr="00EA1BB2">
        <w:rPr>
          <w:rFonts w:ascii="Cambria" w:eastAsia="Times New Roman" w:hAnsi="Cambria" w:cs="Times New Roman"/>
          <w:b/>
          <w:sz w:val="24"/>
          <w:szCs w:val="24"/>
        </w:rPr>
        <w:t xml:space="preserve"> de azot NOx (NO/ NO</w:t>
      </w:r>
      <w:r w:rsidRPr="00EA1BB2">
        <w:rPr>
          <w:rFonts w:ascii="Cambria" w:eastAsia="Times New Roman" w:hAnsi="Cambria" w:cs="Times New Roman"/>
          <w:b/>
          <w:sz w:val="24"/>
          <w:szCs w:val="24"/>
          <w:vertAlign w:val="subscript"/>
        </w:rPr>
        <w:t>2</w:t>
      </w:r>
      <w:r w:rsidRPr="00EA1BB2">
        <w:rPr>
          <w:rFonts w:ascii="Cambria" w:eastAsia="Times New Roman" w:hAnsi="Cambria" w:cs="Times New Roman"/>
          <w:b/>
          <w:sz w:val="24"/>
          <w:szCs w:val="24"/>
        </w:rPr>
        <w:t>)</w:t>
      </w:r>
      <w:bookmarkEnd w:id="152"/>
    </w:p>
    <w:tbl>
      <w:tblPr>
        <w:tblStyle w:val="TableGrid97"/>
        <w:tblW w:w="9067" w:type="dxa"/>
        <w:tblLook w:val="04A0" w:firstRow="1" w:lastRow="0" w:firstColumn="1" w:lastColumn="0" w:noHBand="0" w:noVBand="1"/>
      </w:tblPr>
      <w:tblGrid>
        <w:gridCol w:w="583"/>
        <w:gridCol w:w="2389"/>
        <w:gridCol w:w="6095"/>
      </w:tblGrid>
      <w:tr w:rsidR="00F44C9E" w:rsidRPr="00EA1BB2" w14:paraId="179BFE6E" w14:textId="77777777" w:rsidTr="00F07577">
        <w:trPr>
          <w:tblHeader/>
        </w:trPr>
        <w:tc>
          <w:tcPr>
            <w:tcW w:w="583" w:type="dxa"/>
            <w:shd w:val="clear" w:color="auto" w:fill="BDD6EE" w:themeFill="accent1" w:themeFillTint="66"/>
            <w:vAlign w:val="center"/>
          </w:tcPr>
          <w:p w14:paraId="02098851" w14:textId="77777777" w:rsidR="00C21764" w:rsidRPr="00EA1BB2" w:rsidRDefault="00C21764" w:rsidP="00C21764">
            <w:pPr>
              <w:spacing w:line="360" w:lineRule="auto"/>
              <w:jc w:val="center"/>
              <w:rPr>
                <w:rFonts w:ascii="Cambria" w:hAnsi="Cambria"/>
                <w:b/>
                <w:sz w:val="24"/>
                <w:szCs w:val="24"/>
                <w:lang w:val="ro-RO"/>
              </w:rPr>
            </w:pPr>
            <w:r w:rsidRPr="00EA1BB2">
              <w:rPr>
                <w:rFonts w:ascii="Cambria" w:hAnsi="Cambria"/>
                <w:b/>
                <w:sz w:val="24"/>
                <w:szCs w:val="24"/>
                <w:lang w:val="ro-RO"/>
              </w:rPr>
              <w:t>Nr. crt.</w:t>
            </w:r>
          </w:p>
        </w:tc>
        <w:tc>
          <w:tcPr>
            <w:tcW w:w="2389" w:type="dxa"/>
            <w:shd w:val="clear" w:color="auto" w:fill="BDD6EE" w:themeFill="accent1" w:themeFillTint="66"/>
            <w:vAlign w:val="center"/>
          </w:tcPr>
          <w:p w14:paraId="42BF4B1D" w14:textId="77777777" w:rsidR="00C21764" w:rsidRPr="00EA1BB2" w:rsidRDefault="00C21764" w:rsidP="00C21764">
            <w:pPr>
              <w:spacing w:line="360" w:lineRule="auto"/>
              <w:jc w:val="center"/>
              <w:rPr>
                <w:rFonts w:ascii="Cambria" w:hAnsi="Cambria"/>
                <w:b/>
                <w:sz w:val="24"/>
                <w:szCs w:val="24"/>
                <w:lang w:val="ro-RO"/>
              </w:rPr>
            </w:pPr>
            <w:r w:rsidRPr="00EA1BB2">
              <w:rPr>
                <w:rFonts w:ascii="Cambria" w:hAnsi="Cambria"/>
                <w:b/>
                <w:sz w:val="24"/>
                <w:szCs w:val="24"/>
                <w:lang w:val="ro-RO"/>
              </w:rPr>
              <w:t>Parametru</w:t>
            </w:r>
          </w:p>
        </w:tc>
        <w:tc>
          <w:tcPr>
            <w:tcW w:w="6095" w:type="dxa"/>
            <w:shd w:val="clear" w:color="auto" w:fill="BDD6EE" w:themeFill="accent1" w:themeFillTint="66"/>
            <w:vAlign w:val="center"/>
          </w:tcPr>
          <w:p w14:paraId="3FB18083" w14:textId="77777777" w:rsidR="00C21764" w:rsidRPr="00EA1BB2" w:rsidRDefault="00C21764" w:rsidP="00C21764">
            <w:pPr>
              <w:spacing w:line="360" w:lineRule="auto"/>
              <w:jc w:val="center"/>
              <w:rPr>
                <w:rFonts w:ascii="Cambria" w:hAnsi="Cambria"/>
                <w:b/>
                <w:sz w:val="24"/>
                <w:szCs w:val="24"/>
                <w:lang w:val="ro-RO"/>
              </w:rPr>
            </w:pPr>
            <w:r w:rsidRPr="00EA1BB2">
              <w:rPr>
                <w:rFonts w:ascii="Cambria" w:hAnsi="Cambria"/>
                <w:b/>
                <w:sz w:val="24"/>
                <w:szCs w:val="24"/>
                <w:lang w:val="ro-RO"/>
              </w:rPr>
              <w:t>Valoare</w:t>
            </w:r>
          </w:p>
        </w:tc>
      </w:tr>
      <w:tr w:rsidR="00C21764" w:rsidRPr="00EA1BB2" w14:paraId="6826F619" w14:textId="77777777" w:rsidTr="00B46084">
        <w:tc>
          <w:tcPr>
            <w:tcW w:w="583" w:type="dxa"/>
            <w:vAlign w:val="center"/>
          </w:tcPr>
          <w:p w14:paraId="567C7775" w14:textId="77777777" w:rsidR="00C21764" w:rsidRPr="00EA1BB2" w:rsidRDefault="00C21764" w:rsidP="00C21764">
            <w:pPr>
              <w:spacing w:line="360" w:lineRule="auto"/>
              <w:jc w:val="center"/>
              <w:rPr>
                <w:rFonts w:ascii="Cambria" w:hAnsi="Cambria"/>
                <w:sz w:val="24"/>
                <w:szCs w:val="24"/>
                <w:lang w:val="ro-RO"/>
              </w:rPr>
            </w:pPr>
            <w:r w:rsidRPr="00EA1BB2">
              <w:rPr>
                <w:rFonts w:ascii="Cambria" w:hAnsi="Cambria"/>
                <w:sz w:val="24"/>
                <w:szCs w:val="24"/>
                <w:lang w:val="ro-RO"/>
              </w:rPr>
              <w:t>1.</w:t>
            </w:r>
          </w:p>
        </w:tc>
        <w:tc>
          <w:tcPr>
            <w:tcW w:w="2389" w:type="dxa"/>
            <w:vAlign w:val="center"/>
          </w:tcPr>
          <w:p w14:paraId="7FFFB7DD" w14:textId="77777777" w:rsidR="00153B24" w:rsidRPr="00EA1BB2" w:rsidRDefault="00C21764" w:rsidP="00C21764">
            <w:pPr>
              <w:spacing w:line="360" w:lineRule="auto"/>
              <w:jc w:val="center"/>
              <w:rPr>
                <w:rFonts w:ascii="Cambria" w:hAnsi="Cambria"/>
                <w:bCs/>
                <w:sz w:val="24"/>
                <w:szCs w:val="24"/>
                <w:lang w:val="ro-RO"/>
              </w:rPr>
            </w:pPr>
            <w:r w:rsidRPr="00EA1BB2">
              <w:rPr>
                <w:rFonts w:ascii="Cambria" w:hAnsi="Cambria"/>
                <w:bCs/>
                <w:sz w:val="24"/>
                <w:szCs w:val="24"/>
                <w:lang w:val="ro-RO"/>
              </w:rPr>
              <w:t>Prag de alertă</w:t>
            </w:r>
          </w:p>
          <w:p w14:paraId="103D9CDD" w14:textId="77777777" w:rsidR="00C21764" w:rsidRPr="00EA1BB2" w:rsidRDefault="00153B24" w:rsidP="00C21764">
            <w:pPr>
              <w:spacing w:line="360" w:lineRule="auto"/>
              <w:jc w:val="center"/>
              <w:rPr>
                <w:rFonts w:ascii="Cambria" w:hAnsi="Cambria"/>
                <w:sz w:val="24"/>
                <w:szCs w:val="24"/>
                <w:lang w:val="ro-RO"/>
              </w:rPr>
            </w:pPr>
            <w:r w:rsidRPr="00EA1BB2">
              <w:rPr>
                <w:rFonts w:ascii="Cambria" w:hAnsi="Cambria"/>
                <w:bCs/>
                <w:sz w:val="24"/>
                <w:szCs w:val="24"/>
                <w:lang w:val="ro-RO"/>
              </w:rPr>
              <w:t>(NO</w:t>
            </w:r>
            <w:r w:rsidRPr="00EA1BB2">
              <w:rPr>
                <w:rFonts w:ascii="Cambria" w:hAnsi="Cambria"/>
                <w:bCs/>
                <w:sz w:val="24"/>
                <w:szCs w:val="24"/>
                <w:vertAlign w:val="subscript"/>
                <w:lang w:val="ro-RO"/>
              </w:rPr>
              <w:t>2</w:t>
            </w:r>
            <w:r w:rsidRPr="00EA1BB2">
              <w:rPr>
                <w:rFonts w:ascii="Cambria" w:hAnsi="Cambria"/>
                <w:bCs/>
                <w:sz w:val="24"/>
                <w:szCs w:val="24"/>
                <w:lang w:val="ro-RO"/>
              </w:rPr>
              <w:t>)</w:t>
            </w:r>
          </w:p>
        </w:tc>
        <w:tc>
          <w:tcPr>
            <w:tcW w:w="6095" w:type="dxa"/>
            <w:vAlign w:val="center"/>
          </w:tcPr>
          <w:p w14:paraId="26B77C44" w14:textId="77777777" w:rsidR="00C21764" w:rsidRPr="00EA1BB2" w:rsidRDefault="00C21764" w:rsidP="00C21764">
            <w:pPr>
              <w:spacing w:line="360" w:lineRule="auto"/>
              <w:jc w:val="both"/>
              <w:rPr>
                <w:rFonts w:ascii="Cambria" w:hAnsi="Cambria"/>
                <w:sz w:val="24"/>
                <w:szCs w:val="24"/>
                <w:lang w:val="ro-RO"/>
              </w:rPr>
            </w:pPr>
            <w:r w:rsidRPr="00EA1BB2">
              <w:rPr>
                <w:rFonts w:ascii="Cambria" w:hAnsi="Cambria"/>
                <w:bCs/>
                <w:sz w:val="24"/>
                <w:szCs w:val="24"/>
                <w:lang w:val="ro-RO"/>
              </w:rPr>
              <w:t>400 µg/m</w:t>
            </w:r>
            <w:r w:rsidRPr="00EA1BB2">
              <w:rPr>
                <w:rFonts w:ascii="Cambria" w:hAnsi="Cambria"/>
                <w:bCs/>
                <w:sz w:val="24"/>
                <w:szCs w:val="24"/>
                <w:vertAlign w:val="superscript"/>
                <w:lang w:val="ro-RO"/>
              </w:rPr>
              <w:t>3</w:t>
            </w:r>
            <w:r w:rsidRPr="00EA1BB2">
              <w:rPr>
                <w:rFonts w:ascii="Cambria" w:hAnsi="Cambria"/>
                <w:sz w:val="24"/>
                <w:szCs w:val="24"/>
                <w:lang w:val="ro-RO"/>
              </w:rPr>
              <w:t>- măsurat timp de 3 ore consecutive, în puncte reprezentative pentru calitatea aerului pentru o suprafa</w:t>
            </w:r>
            <w:r w:rsidR="00054880" w:rsidRPr="00EA1BB2">
              <w:rPr>
                <w:rFonts w:ascii="Cambria" w:hAnsi="Cambria"/>
                <w:sz w:val="24"/>
                <w:szCs w:val="24"/>
                <w:lang w:val="ro-RO"/>
              </w:rPr>
              <w:t>ț</w:t>
            </w:r>
            <w:r w:rsidRPr="00EA1BB2">
              <w:rPr>
                <w:rFonts w:ascii="Cambria" w:hAnsi="Cambria"/>
                <w:sz w:val="24"/>
                <w:szCs w:val="24"/>
                <w:lang w:val="ro-RO"/>
              </w:rPr>
              <w:t>ă de cel pu</w:t>
            </w:r>
            <w:r w:rsidR="00054880" w:rsidRPr="00EA1BB2">
              <w:rPr>
                <w:rFonts w:ascii="Cambria" w:hAnsi="Cambria"/>
                <w:sz w:val="24"/>
                <w:szCs w:val="24"/>
                <w:lang w:val="ro-RO"/>
              </w:rPr>
              <w:t>ț</w:t>
            </w:r>
            <w:r w:rsidRPr="00EA1BB2">
              <w:rPr>
                <w:rFonts w:ascii="Cambria" w:hAnsi="Cambria"/>
                <w:sz w:val="24"/>
                <w:szCs w:val="24"/>
                <w:lang w:val="ro-RO"/>
              </w:rPr>
              <w:t>in 100 km</w:t>
            </w:r>
            <w:r w:rsidRPr="00EA1BB2">
              <w:rPr>
                <w:rFonts w:ascii="Cambria" w:hAnsi="Cambria"/>
                <w:sz w:val="24"/>
                <w:szCs w:val="24"/>
                <w:vertAlign w:val="superscript"/>
                <w:lang w:val="ro-RO"/>
              </w:rPr>
              <w:t>2</w:t>
            </w:r>
            <w:r w:rsidRPr="00EA1BB2">
              <w:rPr>
                <w:rFonts w:ascii="Cambria" w:hAnsi="Cambria"/>
                <w:sz w:val="24"/>
                <w:szCs w:val="24"/>
                <w:lang w:val="ro-RO"/>
              </w:rPr>
              <w:t xml:space="preserve"> sau pentru o întreagă zonă sau aglomerare</w:t>
            </w:r>
            <w:r w:rsidR="00D659DC" w:rsidRPr="00EA1BB2">
              <w:rPr>
                <w:rFonts w:ascii="Cambria" w:hAnsi="Cambria"/>
                <w:sz w:val="24"/>
                <w:szCs w:val="24"/>
                <w:lang w:val="ro-RO"/>
              </w:rPr>
              <w:t>, oricare dintre acestea este mai mică</w:t>
            </w:r>
          </w:p>
        </w:tc>
      </w:tr>
      <w:tr w:rsidR="00C21764" w:rsidRPr="00EA1BB2" w14:paraId="269F9D26" w14:textId="77777777" w:rsidTr="00B46084">
        <w:tc>
          <w:tcPr>
            <w:tcW w:w="583" w:type="dxa"/>
            <w:vAlign w:val="center"/>
          </w:tcPr>
          <w:p w14:paraId="39BBFC2B" w14:textId="77777777" w:rsidR="00C21764" w:rsidRPr="00EA1BB2" w:rsidRDefault="00C21764" w:rsidP="00C21764">
            <w:pPr>
              <w:spacing w:line="360" w:lineRule="auto"/>
              <w:jc w:val="center"/>
              <w:rPr>
                <w:rFonts w:ascii="Cambria" w:hAnsi="Cambria"/>
                <w:sz w:val="24"/>
                <w:szCs w:val="24"/>
                <w:lang w:val="ro-RO"/>
              </w:rPr>
            </w:pPr>
            <w:r w:rsidRPr="00EA1BB2">
              <w:rPr>
                <w:rFonts w:ascii="Cambria" w:hAnsi="Cambria"/>
                <w:sz w:val="24"/>
                <w:szCs w:val="24"/>
                <w:lang w:val="ro-RO"/>
              </w:rPr>
              <w:t>2.</w:t>
            </w:r>
          </w:p>
        </w:tc>
        <w:tc>
          <w:tcPr>
            <w:tcW w:w="2389" w:type="dxa"/>
            <w:vAlign w:val="center"/>
          </w:tcPr>
          <w:p w14:paraId="7BC5C45A" w14:textId="77777777" w:rsidR="00C21764" w:rsidRPr="00EA1BB2" w:rsidRDefault="003035DF" w:rsidP="00C21764">
            <w:pPr>
              <w:spacing w:line="360" w:lineRule="auto"/>
              <w:jc w:val="center"/>
              <w:rPr>
                <w:rFonts w:ascii="Cambria" w:hAnsi="Cambria"/>
                <w:sz w:val="24"/>
                <w:szCs w:val="24"/>
                <w:lang w:val="ro-RO"/>
              </w:rPr>
            </w:pPr>
            <w:r w:rsidRPr="00EA1BB2">
              <w:rPr>
                <w:rFonts w:ascii="Cambria" w:hAnsi="Cambria"/>
                <w:bCs/>
                <w:sz w:val="24"/>
                <w:szCs w:val="24"/>
                <w:lang w:val="ro-RO"/>
              </w:rPr>
              <w:t>Valoarea</w:t>
            </w:r>
            <w:r w:rsidR="00831372" w:rsidRPr="00EA1BB2">
              <w:rPr>
                <w:rFonts w:ascii="Cambria" w:hAnsi="Cambria"/>
                <w:bCs/>
                <w:sz w:val="24"/>
                <w:szCs w:val="24"/>
                <w:lang w:val="ro-RO"/>
              </w:rPr>
              <w:t>-</w:t>
            </w:r>
            <w:r w:rsidR="00C21764" w:rsidRPr="00EA1BB2">
              <w:rPr>
                <w:rFonts w:ascii="Cambria" w:hAnsi="Cambria"/>
                <w:bCs/>
                <w:sz w:val="24"/>
                <w:szCs w:val="24"/>
                <w:lang w:val="ro-RO"/>
              </w:rPr>
              <w:t>limită</w:t>
            </w:r>
            <w:r w:rsidR="00153B24" w:rsidRPr="00EA1BB2">
              <w:rPr>
                <w:rFonts w:ascii="Cambria" w:hAnsi="Cambria"/>
                <w:bCs/>
                <w:sz w:val="24"/>
                <w:szCs w:val="24"/>
                <w:lang w:val="ro-RO"/>
              </w:rPr>
              <w:t xml:space="preserve"> (NO</w:t>
            </w:r>
            <w:r w:rsidR="00153B24" w:rsidRPr="00EA1BB2">
              <w:rPr>
                <w:rFonts w:ascii="Cambria" w:hAnsi="Cambria"/>
                <w:bCs/>
                <w:sz w:val="24"/>
                <w:szCs w:val="24"/>
                <w:vertAlign w:val="subscript"/>
                <w:lang w:val="ro-RO"/>
              </w:rPr>
              <w:t>2</w:t>
            </w:r>
            <w:r w:rsidR="00153B24" w:rsidRPr="00EA1BB2">
              <w:rPr>
                <w:rFonts w:ascii="Cambria" w:hAnsi="Cambria"/>
                <w:bCs/>
                <w:sz w:val="24"/>
                <w:szCs w:val="24"/>
                <w:lang w:val="ro-RO"/>
              </w:rPr>
              <w:t>)</w:t>
            </w:r>
          </w:p>
        </w:tc>
        <w:tc>
          <w:tcPr>
            <w:tcW w:w="6095" w:type="dxa"/>
            <w:vAlign w:val="center"/>
          </w:tcPr>
          <w:p w14:paraId="6D0A9C84" w14:textId="77777777" w:rsidR="00F44C9E" w:rsidRPr="00EA1BB2" w:rsidRDefault="00C21764" w:rsidP="00F44C9E">
            <w:pPr>
              <w:spacing w:line="360" w:lineRule="auto"/>
              <w:jc w:val="both"/>
              <w:rPr>
                <w:rFonts w:ascii="Cambria" w:hAnsi="Cambria"/>
                <w:sz w:val="24"/>
                <w:szCs w:val="24"/>
                <w:lang w:val="ro-RO"/>
              </w:rPr>
            </w:pPr>
            <w:r w:rsidRPr="00EA1BB2">
              <w:rPr>
                <w:rFonts w:ascii="Cambria" w:hAnsi="Cambria"/>
                <w:bCs/>
                <w:sz w:val="24"/>
                <w:szCs w:val="24"/>
                <w:lang w:val="ro-RO"/>
              </w:rPr>
              <w:t>200 µg/m</w:t>
            </w:r>
            <w:r w:rsidRPr="00EA1BB2">
              <w:rPr>
                <w:rFonts w:ascii="Cambria" w:hAnsi="Cambria"/>
                <w:bCs/>
                <w:sz w:val="24"/>
                <w:szCs w:val="24"/>
                <w:vertAlign w:val="superscript"/>
                <w:lang w:val="ro-RO"/>
              </w:rPr>
              <w:t>3</w:t>
            </w:r>
            <w:r w:rsidRPr="00EA1BB2">
              <w:rPr>
                <w:rFonts w:ascii="Cambria" w:hAnsi="Cambria"/>
                <w:bCs/>
                <w:sz w:val="24"/>
                <w:szCs w:val="24"/>
                <w:lang w:val="ro-RO"/>
              </w:rPr>
              <w:t xml:space="preserve"> NO</w:t>
            </w:r>
            <w:r w:rsidRPr="00EA1BB2">
              <w:rPr>
                <w:rFonts w:ascii="Cambria" w:hAnsi="Cambria"/>
                <w:bCs/>
                <w:sz w:val="24"/>
                <w:szCs w:val="24"/>
                <w:vertAlign w:val="subscript"/>
                <w:lang w:val="ro-RO"/>
              </w:rPr>
              <w:t>2</w:t>
            </w:r>
            <w:r w:rsidRPr="00EA1BB2">
              <w:rPr>
                <w:rFonts w:ascii="Cambria" w:hAnsi="Cambria"/>
                <w:sz w:val="24"/>
                <w:szCs w:val="24"/>
                <w:lang w:val="ro-RO"/>
              </w:rPr>
              <w:t> </w:t>
            </w:r>
            <w:r w:rsidR="00831372" w:rsidRPr="00EA1BB2">
              <w:rPr>
                <w:rFonts w:ascii="Cambria" w:hAnsi="Cambria"/>
                <w:sz w:val="24"/>
                <w:szCs w:val="24"/>
                <w:lang w:val="ro-RO"/>
              </w:rPr>
              <w:t>–</w:t>
            </w:r>
            <w:r w:rsidRPr="00EA1BB2">
              <w:rPr>
                <w:rFonts w:ascii="Cambria" w:hAnsi="Cambria"/>
                <w:sz w:val="24"/>
                <w:szCs w:val="24"/>
                <w:lang w:val="ro-RO"/>
              </w:rPr>
              <w:t xml:space="preserve"> valoarea</w:t>
            </w:r>
            <w:r w:rsidR="00831372" w:rsidRPr="00EA1BB2">
              <w:rPr>
                <w:rFonts w:ascii="Cambria" w:hAnsi="Cambria"/>
                <w:sz w:val="24"/>
                <w:szCs w:val="24"/>
                <w:lang w:val="ro-RO"/>
              </w:rPr>
              <w:t>-</w:t>
            </w:r>
            <w:r w:rsidRPr="00EA1BB2">
              <w:rPr>
                <w:rFonts w:ascii="Cambria" w:hAnsi="Cambria"/>
                <w:sz w:val="24"/>
                <w:szCs w:val="24"/>
                <w:lang w:val="ro-RO"/>
              </w:rPr>
              <w:t>limită orară pentru protec</w:t>
            </w:r>
            <w:r w:rsidR="00054880" w:rsidRPr="00EA1BB2">
              <w:rPr>
                <w:rFonts w:ascii="Cambria" w:hAnsi="Cambria"/>
                <w:sz w:val="24"/>
                <w:szCs w:val="24"/>
                <w:lang w:val="ro-RO"/>
              </w:rPr>
              <w:t>ț</w:t>
            </w:r>
            <w:r w:rsidRPr="00EA1BB2">
              <w:rPr>
                <w:rFonts w:ascii="Cambria" w:hAnsi="Cambria"/>
                <w:sz w:val="24"/>
                <w:szCs w:val="24"/>
                <w:lang w:val="ro-RO"/>
              </w:rPr>
              <w:t>ia sănătă</w:t>
            </w:r>
            <w:r w:rsidR="00054880" w:rsidRPr="00EA1BB2">
              <w:rPr>
                <w:rFonts w:ascii="Cambria" w:hAnsi="Cambria"/>
                <w:sz w:val="24"/>
                <w:szCs w:val="24"/>
                <w:lang w:val="ro-RO"/>
              </w:rPr>
              <w:t>ț</w:t>
            </w:r>
            <w:r w:rsidRPr="00EA1BB2">
              <w:rPr>
                <w:rFonts w:ascii="Cambria" w:hAnsi="Cambria"/>
                <w:sz w:val="24"/>
                <w:szCs w:val="24"/>
                <w:lang w:val="ro-RO"/>
              </w:rPr>
              <w:t>ii umane, a nu se depă</w:t>
            </w:r>
            <w:r w:rsidR="00054880" w:rsidRPr="00EA1BB2">
              <w:rPr>
                <w:rFonts w:ascii="Cambria" w:hAnsi="Cambria"/>
                <w:sz w:val="24"/>
                <w:szCs w:val="24"/>
                <w:lang w:val="ro-RO"/>
              </w:rPr>
              <w:t>ș</w:t>
            </w:r>
            <w:r w:rsidRPr="00EA1BB2">
              <w:rPr>
                <w:rFonts w:ascii="Cambria" w:hAnsi="Cambria"/>
                <w:sz w:val="24"/>
                <w:szCs w:val="24"/>
                <w:lang w:val="ro-RO"/>
              </w:rPr>
              <w:t>i mai mult de 18 ori într-un an calendaristic</w:t>
            </w:r>
          </w:p>
          <w:p w14:paraId="4B235C7A" w14:textId="77777777" w:rsidR="00C21764" w:rsidRPr="00EA1BB2" w:rsidRDefault="00C21764" w:rsidP="00831372">
            <w:pPr>
              <w:spacing w:line="360" w:lineRule="auto"/>
              <w:jc w:val="both"/>
              <w:rPr>
                <w:rFonts w:ascii="Cambria" w:hAnsi="Cambria"/>
                <w:sz w:val="24"/>
                <w:szCs w:val="24"/>
                <w:lang w:val="ro-RO"/>
              </w:rPr>
            </w:pPr>
            <w:r w:rsidRPr="00EA1BB2">
              <w:rPr>
                <w:rFonts w:ascii="Cambria" w:hAnsi="Cambria"/>
                <w:bCs/>
                <w:sz w:val="24"/>
                <w:szCs w:val="24"/>
                <w:lang w:val="ro-RO"/>
              </w:rPr>
              <w:t>40 µg/m</w:t>
            </w:r>
            <w:r w:rsidRPr="00EA1BB2">
              <w:rPr>
                <w:rFonts w:ascii="Cambria" w:hAnsi="Cambria"/>
                <w:bCs/>
                <w:sz w:val="24"/>
                <w:szCs w:val="24"/>
                <w:vertAlign w:val="superscript"/>
                <w:lang w:val="ro-RO"/>
              </w:rPr>
              <w:t>3</w:t>
            </w:r>
            <w:r w:rsidRPr="00EA1BB2">
              <w:rPr>
                <w:rFonts w:ascii="Cambria" w:hAnsi="Cambria"/>
                <w:bCs/>
                <w:sz w:val="24"/>
                <w:szCs w:val="24"/>
                <w:lang w:val="ro-RO"/>
              </w:rPr>
              <w:t xml:space="preserve"> NO</w:t>
            </w:r>
            <w:r w:rsidRPr="00EA1BB2">
              <w:rPr>
                <w:rFonts w:ascii="Cambria" w:hAnsi="Cambria"/>
                <w:bCs/>
                <w:sz w:val="24"/>
                <w:szCs w:val="24"/>
                <w:vertAlign w:val="subscript"/>
                <w:lang w:val="ro-RO"/>
              </w:rPr>
              <w:t>2</w:t>
            </w:r>
            <w:r w:rsidRPr="00EA1BB2">
              <w:rPr>
                <w:rFonts w:ascii="Cambria" w:hAnsi="Cambria"/>
                <w:sz w:val="24"/>
                <w:szCs w:val="24"/>
                <w:lang w:val="ro-RO"/>
              </w:rPr>
              <w:t> </w:t>
            </w:r>
            <w:r w:rsidR="00831372" w:rsidRPr="00EA1BB2">
              <w:rPr>
                <w:rFonts w:ascii="Cambria" w:hAnsi="Cambria"/>
                <w:sz w:val="24"/>
                <w:szCs w:val="24"/>
                <w:lang w:val="ro-RO"/>
              </w:rPr>
              <w:t>–</w:t>
            </w:r>
            <w:r w:rsidRPr="00EA1BB2">
              <w:rPr>
                <w:rFonts w:ascii="Cambria" w:hAnsi="Cambria"/>
                <w:sz w:val="24"/>
                <w:szCs w:val="24"/>
                <w:lang w:val="ro-RO"/>
              </w:rPr>
              <w:t xml:space="preserve"> valoarea</w:t>
            </w:r>
            <w:r w:rsidR="00831372" w:rsidRPr="00EA1BB2">
              <w:rPr>
                <w:rFonts w:ascii="Cambria" w:hAnsi="Cambria"/>
                <w:sz w:val="24"/>
                <w:szCs w:val="24"/>
                <w:lang w:val="ro-RO"/>
              </w:rPr>
              <w:t>-</w:t>
            </w:r>
            <w:r w:rsidRPr="00EA1BB2">
              <w:rPr>
                <w:rFonts w:ascii="Cambria" w:hAnsi="Cambria"/>
                <w:sz w:val="24"/>
                <w:szCs w:val="24"/>
                <w:lang w:val="ro-RO"/>
              </w:rPr>
              <w:t>limită anuală pentru protec</w:t>
            </w:r>
            <w:r w:rsidR="00054880" w:rsidRPr="00EA1BB2">
              <w:rPr>
                <w:rFonts w:ascii="Cambria" w:hAnsi="Cambria"/>
                <w:sz w:val="24"/>
                <w:szCs w:val="24"/>
                <w:lang w:val="ro-RO"/>
              </w:rPr>
              <w:t>ț</w:t>
            </w:r>
            <w:r w:rsidRPr="00EA1BB2">
              <w:rPr>
                <w:rFonts w:ascii="Cambria" w:hAnsi="Cambria"/>
                <w:sz w:val="24"/>
                <w:szCs w:val="24"/>
                <w:lang w:val="ro-RO"/>
              </w:rPr>
              <w:t>ia sănătă</w:t>
            </w:r>
            <w:r w:rsidR="00054880" w:rsidRPr="00EA1BB2">
              <w:rPr>
                <w:rFonts w:ascii="Cambria" w:hAnsi="Cambria"/>
                <w:sz w:val="24"/>
                <w:szCs w:val="24"/>
                <w:lang w:val="ro-RO"/>
              </w:rPr>
              <w:t>ț</w:t>
            </w:r>
            <w:r w:rsidRPr="00EA1BB2">
              <w:rPr>
                <w:rFonts w:ascii="Cambria" w:hAnsi="Cambria"/>
                <w:sz w:val="24"/>
                <w:szCs w:val="24"/>
                <w:lang w:val="ro-RO"/>
              </w:rPr>
              <w:t>ii umane</w:t>
            </w:r>
          </w:p>
        </w:tc>
      </w:tr>
      <w:tr w:rsidR="003035DF" w:rsidRPr="00EA1BB2" w14:paraId="643AF23F" w14:textId="77777777" w:rsidTr="00B46084">
        <w:tc>
          <w:tcPr>
            <w:tcW w:w="583" w:type="dxa"/>
            <w:vAlign w:val="center"/>
          </w:tcPr>
          <w:p w14:paraId="545C72B3" w14:textId="77777777" w:rsidR="003035DF" w:rsidRPr="00EA1BB2" w:rsidRDefault="003035DF" w:rsidP="00C21764">
            <w:pPr>
              <w:spacing w:line="360" w:lineRule="auto"/>
              <w:jc w:val="center"/>
              <w:rPr>
                <w:rFonts w:ascii="Cambria" w:hAnsi="Cambria"/>
                <w:sz w:val="24"/>
                <w:szCs w:val="24"/>
                <w:lang w:val="ro-RO"/>
              </w:rPr>
            </w:pPr>
            <w:r w:rsidRPr="00EA1BB2">
              <w:rPr>
                <w:rFonts w:ascii="Cambria" w:hAnsi="Cambria"/>
                <w:sz w:val="24"/>
                <w:szCs w:val="24"/>
                <w:lang w:val="ro-RO"/>
              </w:rPr>
              <w:t>3.</w:t>
            </w:r>
          </w:p>
        </w:tc>
        <w:tc>
          <w:tcPr>
            <w:tcW w:w="2389" w:type="dxa"/>
            <w:vAlign w:val="center"/>
          </w:tcPr>
          <w:p w14:paraId="79A92A32" w14:textId="36B00BA1" w:rsidR="003035DF" w:rsidRPr="00EA1BB2" w:rsidRDefault="003035DF" w:rsidP="00F44C9E">
            <w:pPr>
              <w:spacing w:line="360" w:lineRule="auto"/>
              <w:jc w:val="center"/>
              <w:rPr>
                <w:rFonts w:ascii="Cambria" w:hAnsi="Cambria"/>
                <w:bCs/>
                <w:sz w:val="24"/>
                <w:szCs w:val="24"/>
                <w:lang w:val="ro-RO"/>
              </w:rPr>
            </w:pPr>
            <w:r w:rsidRPr="00EA1BB2">
              <w:rPr>
                <w:rFonts w:ascii="Cambria" w:hAnsi="Cambria"/>
                <w:bCs/>
                <w:sz w:val="24"/>
                <w:szCs w:val="24"/>
                <w:lang w:val="ro-RO"/>
              </w:rPr>
              <w:t>Pragul superior de evaluare</w:t>
            </w:r>
            <w:r w:rsidRPr="00EA1BB2">
              <w:rPr>
                <w:rFonts w:ascii="Cambria" w:hAnsi="Cambria"/>
                <w:sz w:val="24"/>
                <w:szCs w:val="24"/>
                <w:lang w:val="ro-RO"/>
              </w:rPr>
              <w:t xml:space="preserve"> pentru </w:t>
            </w:r>
            <w:r w:rsidR="00F44C9E" w:rsidRPr="00EA1BB2">
              <w:rPr>
                <w:rFonts w:ascii="Cambria" w:hAnsi="Cambria"/>
                <w:bCs/>
                <w:sz w:val="24"/>
                <w:szCs w:val="24"/>
                <w:lang w:val="ro-RO"/>
              </w:rPr>
              <w:t>p</w:t>
            </w:r>
            <w:r w:rsidRPr="00EA1BB2">
              <w:rPr>
                <w:rFonts w:ascii="Cambria" w:hAnsi="Cambria"/>
                <w:bCs/>
                <w:sz w:val="24"/>
                <w:szCs w:val="24"/>
                <w:lang w:val="ro-RO"/>
              </w:rPr>
              <w:t>rotec</w:t>
            </w:r>
            <w:r w:rsidR="00054880" w:rsidRPr="00EA1BB2">
              <w:rPr>
                <w:rFonts w:ascii="Cambria" w:hAnsi="Cambria"/>
                <w:bCs/>
                <w:sz w:val="24"/>
                <w:szCs w:val="24"/>
                <w:lang w:val="ro-RO"/>
              </w:rPr>
              <w:t>ț</w:t>
            </w:r>
            <w:r w:rsidRPr="00EA1BB2">
              <w:rPr>
                <w:rFonts w:ascii="Cambria" w:hAnsi="Cambria"/>
                <w:bCs/>
                <w:sz w:val="24"/>
                <w:szCs w:val="24"/>
                <w:lang w:val="ro-RO"/>
              </w:rPr>
              <w:t>ia sănătă</w:t>
            </w:r>
            <w:r w:rsidR="00054880" w:rsidRPr="00EA1BB2">
              <w:rPr>
                <w:rFonts w:ascii="Cambria" w:hAnsi="Cambria"/>
                <w:bCs/>
                <w:sz w:val="24"/>
                <w:szCs w:val="24"/>
                <w:lang w:val="ro-RO"/>
              </w:rPr>
              <w:t>ț</w:t>
            </w:r>
            <w:r w:rsidRPr="00EA1BB2">
              <w:rPr>
                <w:rFonts w:ascii="Cambria" w:hAnsi="Cambria"/>
                <w:bCs/>
                <w:sz w:val="24"/>
                <w:szCs w:val="24"/>
                <w:lang w:val="ro-RO"/>
              </w:rPr>
              <w:t>ii</w:t>
            </w:r>
            <w:r w:rsidR="009B697F" w:rsidRPr="00EA1BB2">
              <w:rPr>
                <w:rFonts w:ascii="Cambria" w:hAnsi="Cambria"/>
                <w:bCs/>
                <w:sz w:val="24"/>
                <w:szCs w:val="24"/>
                <w:lang w:val="ro-RO"/>
              </w:rPr>
              <w:t xml:space="preserve"> </w:t>
            </w:r>
            <w:r w:rsidR="00D659DC" w:rsidRPr="00EA1BB2">
              <w:rPr>
                <w:rFonts w:ascii="Cambria" w:hAnsi="Cambria"/>
                <w:bCs/>
                <w:sz w:val="24"/>
                <w:szCs w:val="24"/>
                <w:lang w:val="ro-RO"/>
              </w:rPr>
              <w:t xml:space="preserve">umane </w:t>
            </w:r>
            <w:r w:rsidR="00153B24" w:rsidRPr="00EA1BB2">
              <w:rPr>
                <w:rFonts w:ascii="Cambria" w:hAnsi="Cambria"/>
                <w:bCs/>
                <w:sz w:val="24"/>
                <w:szCs w:val="24"/>
                <w:lang w:val="ro-RO"/>
              </w:rPr>
              <w:t>(NO</w:t>
            </w:r>
            <w:r w:rsidR="00153B24" w:rsidRPr="00EA1BB2">
              <w:rPr>
                <w:rFonts w:ascii="Cambria" w:hAnsi="Cambria"/>
                <w:bCs/>
                <w:sz w:val="24"/>
                <w:szCs w:val="24"/>
                <w:vertAlign w:val="subscript"/>
                <w:lang w:val="ro-RO"/>
              </w:rPr>
              <w:t>2</w:t>
            </w:r>
            <w:r w:rsidR="00153B24" w:rsidRPr="00EA1BB2">
              <w:rPr>
                <w:rFonts w:ascii="Cambria" w:hAnsi="Cambria"/>
                <w:bCs/>
                <w:sz w:val="24"/>
                <w:szCs w:val="24"/>
                <w:lang w:val="ro-RO"/>
              </w:rPr>
              <w:t>)</w:t>
            </w:r>
          </w:p>
        </w:tc>
        <w:tc>
          <w:tcPr>
            <w:tcW w:w="6095" w:type="dxa"/>
            <w:vAlign w:val="center"/>
          </w:tcPr>
          <w:p w14:paraId="69C4B2F4" w14:textId="44AE4DB0" w:rsidR="003035DF" w:rsidRPr="00EA1BB2" w:rsidRDefault="000F7FC5" w:rsidP="000F7FC5">
            <w:pPr>
              <w:spacing w:line="360" w:lineRule="auto"/>
              <w:jc w:val="both"/>
              <w:rPr>
                <w:rFonts w:ascii="Cambria" w:hAnsi="Cambria"/>
                <w:bCs/>
                <w:sz w:val="24"/>
                <w:szCs w:val="24"/>
                <w:lang w:val="ro-RO"/>
              </w:rPr>
            </w:pPr>
            <w:r w:rsidRPr="00EA1BB2">
              <w:rPr>
                <w:rFonts w:ascii="Cambria" w:hAnsi="Cambria"/>
                <w:bCs/>
                <w:sz w:val="24"/>
                <w:szCs w:val="24"/>
                <w:lang w:val="ro-RO"/>
              </w:rPr>
              <w:t>7</w:t>
            </w:r>
            <w:r w:rsidR="003035DF" w:rsidRPr="00EA1BB2">
              <w:rPr>
                <w:rFonts w:ascii="Cambria" w:hAnsi="Cambria"/>
                <w:bCs/>
                <w:sz w:val="24"/>
                <w:szCs w:val="24"/>
                <w:lang w:val="ro-RO"/>
              </w:rPr>
              <w:t xml:space="preserve">0% din valoarea-limită </w:t>
            </w:r>
            <w:r w:rsidR="000970C9" w:rsidRPr="00EA1BB2">
              <w:rPr>
                <w:rFonts w:ascii="Cambria" w:hAnsi="Cambria"/>
                <w:bCs/>
                <w:sz w:val="24"/>
                <w:szCs w:val="24"/>
                <w:lang w:val="ro-RO"/>
              </w:rPr>
              <w:t>orară</w:t>
            </w:r>
            <w:r w:rsidR="003035DF" w:rsidRPr="00EA1BB2">
              <w:rPr>
                <w:rFonts w:ascii="Cambria" w:hAnsi="Cambria"/>
                <w:bCs/>
                <w:sz w:val="24"/>
                <w:szCs w:val="24"/>
                <w:lang w:val="ro-RO"/>
              </w:rPr>
              <w:t xml:space="preserve"> (</w:t>
            </w:r>
            <w:r w:rsidRPr="00EA1BB2">
              <w:rPr>
                <w:rFonts w:ascii="Cambria" w:hAnsi="Cambria"/>
                <w:bCs/>
                <w:sz w:val="24"/>
                <w:szCs w:val="24"/>
                <w:lang w:val="ro-RO"/>
              </w:rPr>
              <w:t>140</w:t>
            </w:r>
            <w:r w:rsidR="003035DF" w:rsidRPr="00EA1BB2">
              <w:rPr>
                <w:rFonts w:ascii="Cambria" w:hAnsi="Cambria"/>
                <w:bCs/>
                <w:sz w:val="24"/>
                <w:szCs w:val="24"/>
                <w:lang w:val="ro-RO"/>
              </w:rPr>
              <w:t xml:space="preserve"> µg/m</w:t>
            </w:r>
            <w:r w:rsidR="003035DF" w:rsidRPr="00EA1BB2">
              <w:rPr>
                <w:rFonts w:ascii="Cambria" w:hAnsi="Cambria"/>
                <w:bCs/>
                <w:sz w:val="24"/>
                <w:szCs w:val="24"/>
                <w:vertAlign w:val="superscript"/>
                <w:lang w:val="ro-RO"/>
              </w:rPr>
              <w:t>3</w:t>
            </w:r>
            <w:r w:rsidR="003035DF" w:rsidRPr="00EA1BB2">
              <w:rPr>
                <w:rFonts w:ascii="Cambria" w:hAnsi="Cambria"/>
                <w:bCs/>
                <w:sz w:val="24"/>
                <w:szCs w:val="24"/>
                <w:lang w:val="ro-RO"/>
              </w:rPr>
              <w:t>, a nu se</w:t>
            </w:r>
            <w:r w:rsidR="009B697F" w:rsidRPr="00EA1BB2">
              <w:rPr>
                <w:rFonts w:ascii="Cambria" w:hAnsi="Cambria"/>
                <w:bCs/>
                <w:sz w:val="24"/>
                <w:szCs w:val="24"/>
                <w:lang w:val="ro-RO"/>
              </w:rPr>
              <w:t xml:space="preserve"> </w:t>
            </w:r>
            <w:r w:rsidR="003035DF" w:rsidRPr="00EA1BB2">
              <w:rPr>
                <w:rFonts w:ascii="Cambria" w:hAnsi="Cambria"/>
                <w:bCs/>
                <w:sz w:val="24"/>
                <w:szCs w:val="24"/>
                <w:lang w:val="ro-RO"/>
              </w:rPr>
              <w:t>depă</w:t>
            </w:r>
            <w:r w:rsidR="00054880" w:rsidRPr="00EA1BB2">
              <w:rPr>
                <w:rFonts w:ascii="Cambria" w:hAnsi="Cambria"/>
                <w:bCs/>
                <w:sz w:val="24"/>
                <w:szCs w:val="24"/>
                <w:lang w:val="ro-RO"/>
              </w:rPr>
              <w:t>ș</w:t>
            </w:r>
            <w:r w:rsidR="003035DF" w:rsidRPr="00EA1BB2">
              <w:rPr>
                <w:rFonts w:ascii="Cambria" w:hAnsi="Cambria"/>
                <w:bCs/>
                <w:sz w:val="24"/>
                <w:szCs w:val="24"/>
                <w:lang w:val="ro-RO"/>
              </w:rPr>
              <w:t xml:space="preserve">i de mai mult de </w:t>
            </w:r>
            <w:r w:rsidR="00153B24" w:rsidRPr="00EA1BB2">
              <w:rPr>
                <w:rFonts w:ascii="Cambria" w:hAnsi="Cambria"/>
                <w:bCs/>
                <w:sz w:val="24"/>
                <w:szCs w:val="24"/>
                <w:lang w:val="ro-RO"/>
              </w:rPr>
              <w:t>18</w:t>
            </w:r>
            <w:r w:rsidR="003035DF" w:rsidRPr="00EA1BB2">
              <w:rPr>
                <w:rFonts w:ascii="Cambria" w:hAnsi="Cambria"/>
                <w:bCs/>
                <w:sz w:val="24"/>
                <w:szCs w:val="24"/>
                <w:lang w:val="ro-RO"/>
              </w:rPr>
              <w:t xml:space="preserve"> ori</w:t>
            </w:r>
            <w:r w:rsidR="009B697F" w:rsidRPr="00EA1BB2">
              <w:rPr>
                <w:rFonts w:ascii="Cambria" w:hAnsi="Cambria"/>
                <w:bCs/>
                <w:sz w:val="24"/>
                <w:szCs w:val="24"/>
                <w:lang w:val="ro-RO"/>
              </w:rPr>
              <w:t xml:space="preserve"> </w:t>
            </w:r>
            <w:r w:rsidR="003035DF" w:rsidRPr="00EA1BB2">
              <w:rPr>
                <w:rFonts w:ascii="Cambria" w:hAnsi="Cambria"/>
                <w:bCs/>
                <w:sz w:val="24"/>
                <w:szCs w:val="24"/>
                <w:lang w:val="ro-RO"/>
              </w:rPr>
              <w:t>într-un an calendaristic)</w:t>
            </w:r>
          </w:p>
          <w:p w14:paraId="3A121EF8" w14:textId="77777777" w:rsidR="000F7FC5" w:rsidRPr="00EA1BB2" w:rsidRDefault="00153B24" w:rsidP="00153B24">
            <w:pPr>
              <w:spacing w:line="360" w:lineRule="auto"/>
              <w:jc w:val="both"/>
              <w:rPr>
                <w:rFonts w:ascii="Cambria" w:hAnsi="Cambria"/>
                <w:bCs/>
                <w:sz w:val="24"/>
                <w:szCs w:val="24"/>
                <w:lang w:val="ro-RO"/>
              </w:rPr>
            </w:pPr>
            <w:r w:rsidRPr="00EA1BB2">
              <w:rPr>
                <w:rFonts w:ascii="Cambria" w:hAnsi="Cambria"/>
                <w:bCs/>
                <w:sz w:val="24"/>
                <w:szCs w:val="24"/>
                <w:lang w:val="ro-RO"/>
              </w:rPr>
              <w:t>80% din valoarea-limită anuală (32 µg/m</w:t>
            </w:r>
            <w:r w:rsidRPr="00EA1BB2">
              <w:rPr>
                <w:rFonts w:ascii="Cambria" w:hAnsi="Cambria"/>
                <w:bCs/>
                <w:sz w:val="24"/>
                <w:szCs w:val="24"/>
                <w:vertAlign w:val="superscript"/>
                <w:lang w:val="ro-RO"/>
              </w:rPr>
              <w:t>3</w:t>
            </w:r>
            <w:r w:rsidRPr="00EA1BB2">
              <w:rPr>
                <w:rFonts w:ascii="Cambria" w:hAnsi="Cambria"/>
                <w:bCs/>
                <w:sz w:val="24"/>
                <w:szCs w:val="24"/>
                <w:lang w:val="ro-RO"/>
              </w:rPr>
              <w:t>)</w:t>
            </w:r>
          </w:p>
        </w:tc>
      </w:tr>
      <w:tr w:rsidR="003035DF" w:rsidRPr="00EA1BB2" w14:paraId="7F7B0DE1" w14:textId="77777777" w:rsidTr="00B46084">
        <w:tc>
          <w:tcPr>
            <w:tcW w:w="583" w:type="dxa"/>
            <w:vAlign w:val="center"/>
          </w:tcPr>
          <w:p w14:paraId="446C5924" w14:textId="77777777" w:rsidR="003035DF" w:rsidRPr="00EA1BB2" w:rsidRDefault="003035DF" w:rsidP="00C21764">
            <w:pPr>
              <w:spacing w:line="360" w:lineRule="auto"/>
              <w:jc w:val="center"/>
              <w:rPr>
                <w:rFonts w:ascii="Cambria" w:hAnsi="Cambria"/>
                <w:sz w:val="24"/>
                <w:szCs w:val="24"/>
                <w:lang w:val="ro-RO"/>
              </w:rPr>
            </w:pPr>
            <w:r w:rsidRPr="00EA1BB2">
              <w:rPr>
                <w:rFonts w:ascii="Cambria" w:hAnsi="Cambria"/>
                <w:sz w:val="24"/>
                <w:szCs w:val="24"/>
                <w:lang w:val="ro-RO"/>
              </w:rPr>
              <w:t>4.</w:t>
            </w:r>
          </w:p>
        </w:tc>
        <w:tc>
          <w:tcPr>
            <w:tcW w:w="2389" w:type="dxa"/>
            <w:vAlign w:val="center"/>
          </w:tcPr>
          <w:p w14:paraId="0BA49665" w14:textId="77777777" w:rsidR="003035DF" w:rsidRPr="00EA1BB2" w:rsidRDefault="003035DF" w:rsidP="00D659DC">
            <w:pPr>
              <w:spacing w:line="360" w:lineRule="auto"/>
              <w:jc w:val="center"/>
              <w:rPr>
                <w:rFonts w:ascii="Cambria" w:hAnsi="Cambria"/>
                <w:bCs/>
                <w:sz w:val="24"/>
                <w:szCs w:val="24"/>
                <w:lang w:val="ro-RO"/>
              </w:rPr>
            </w:pPr>
            <w:r w:rsidRPr="00EA1BB2">
              <w:rPr>
                <w:rFonts w:ascii="Cambria" w:hAnsi="Cambria"/>
                <w:bCs/>
                <w:sz w:val="24"/>
                <w:szCs w:val="24"/>
                <w:lang w:val="ro-RO"/>
              </w:rPr>
              <w:t xml:space="preserve">Pragul inferior de </w:t>
            </w:r>
            <w:r w:rsidRPr="00EA1BB2">
              <w:rPr>
                <w:rFonts w:ascii="Cambria" w:hAnsi="Cambria"/>
                <w:bCs/>
                <w:sz w:val="24"/>
                <w:szCs w:val="24"/>
                <w:lang w:val="ro-RO"/>
              </w:rPr>
              <w:lastRenderedPageBreak/>
              <w:t>evaluare pentru protec</w:t>
            </w:r>
            <w:r w:rsidR="00054880" w:rsidRPr="00EA1BB2">
              <w:rPr>
                <w:rFonts w:ascii="Cambria" w:hAnsi="Cambria"/>
                <w:bCs/>
                <w:sz w:val="24"/>
                <w:szCs w:val="24"/>
                <w:lang w:val="ro-RO"/>
              </w:rPr>
              <w:t>ț</w:t>
            </w:r>
            <w:r w:rsidRPr="00EA1BB2">
              <w:rPr>
                <w:rFonts w:ascii="Cambria" w:hAnsi="Cambria"/>
                <w:bCs/>
                <w:sz w:val="24"/>
                <w:szCs w:val="24"/>
                <w:lang w:val="ro-RO"/>
              </w:rPr>
              <w:t>ia sănătă</w:t>
            </w:r>
            <w:r w:rsidR="00054880" w:rsidRPr="00EA1BB2">
              <w:rPr>
                <w:rFonts w:ascii="Cambria" w:hAnsi="Cambria"/>
                <w:bCs/>
                <w:sz w:val="24"/>
                <w:szCs w:val="24"/>
                <w:lang w:val="ro-RO"/>
              </w:rPr>
              <w:t>ț</w:t>
            </w:r>
            <w:r w:rsidRPr="00EA1BB2">
              <w:rPr>
                <w:rFonts w:ascii="Cambria" w:hAnsi="Cambria"/>
                <w:bCs/>
                <w:sz w:val="24"/>
                <w:szCs w:val="24"/>
                <w:lang w:val="ro-RO"/>
              </w:rPr>
              <w:t>ii</w:t>
            </w:r>
            <w:r w:rsidR="00D659DC" w:rsidRPr="00EA1BB2">
              <w:rPr>
                <w:rFonts w:ascii="Cambria" w:hAnsi="Cambria"/>
                <w:bCs/>
                <w:sz w:val="24"/>
                <w:szCs w:val="24"/>
                <w:lang w:val="ro-RO"/>
              </w:rPr>
              <w:t xml:space="preserve"> umane </w:t>
            </w:r>
            <w:r w:rsidR="00153B24" w:rsidRPr="00EA1BB2">
              <w:rPr>
                <w:rFonts w:ascii="Cambria" w:hAnsi="Cambria"/>
                <w:bCs/>
                <w:sz w:val="24"/>
                <w:szCs w:val="24"/>
                <w:lang w:val="ro-RO"/>
              </w:rPr>
              <w:t>(NO</w:t>
            </w:r>
            <w:r w:rsidR="00153B24" w:rsidRPr="00EA1BB2">
              <w:rPr>
                <w:rFonts w:ascii="Cambria" w:hAnsi="Cambria"/>
                <w:bCs/>
                <w:sz w:val="24"/>
                <w:szCs w:val="24"/>
                <w:vertAlign w:val="subscript"/>
                <w:lang w:val="ro-RO"/>
              </w:rPr>
              <w:t>2</w:t>
            </w:r>
            <w:r w:rsidR="00153B24" w:rsidRPr="00EA1BB2">
              <w:rPr>
                <w:rFonts w:ascii="Cambria" w:hAnsi="Cambria"/>
                <w:bCs/>
                <w:sz w:val="24"/>
                <w:szCs w:val="24"/>
                <w:lang w:val="ro-RO"/>
              </w:rPr>
              <w:t>)</w:t>
            </w:r>
          </w:p>
        </w:tc>
        <w:tc>
          <w:tcPr>
            <w:tcW w:w="6095" w:type="dxa"/>
            <w:vAlign w:val="center"/>
          </w:tcPr>
          <w:p w14:paraId="442A4BC6" w14:textId="77777777" w:rsidR="003035DF" w:rsidRPr="00EA1BB2" w:rsidRDefault="00153B24" w:rsidP="003035DF">
            <w:pPr>
              <w:spacing w:line="360" w:lineRule="auto"/>
              <w:jc w:val="both"/>
              <w:rPr>
                <w:rFonts w:ascii="Cambria" w:hAnsi="Cambria"/>
                <w:bCs/>
                <w:sz w:val="24"/>
                <w:szCs w:val="24"/>
                <w:lang w:val="ro-RO"/>
              </w:rPr>
            </w:pPr>
            <w:r w:rsidRPr="00EA1BB2">
              <w:rPr>
                <w:rFonts w:ascii="Cambria" w:hAnsi="Cambria"/>
                <w:bCs/>
                <w:sz w:val="24"/>
                <w:szCs w:val="24"/>
                <w:lang w:val="ro-RO"/>
              </w:rPr>
              <w:lastRenderedPageBreak/>
              <w:t>5</w:t>
            </w:r>
            <w:r w:rsidR="003035DF" w:rsidRPr="00EA1BB2">
              <w:rPr>
                <w:rFonts w:ascii="Cambria" w:hAnsi="Cambria"/>
                <w:bCs/>
                <w:sz w:val="24"/>
                <w:szCs w:val="24"/>
                <w:lang w:val="ro-RO"/>
              </w:rPr>
              <w:t xml:space="preserve">0% din valoarea-limită </w:t>
            </w:r>
            <w:r w:rsidR="000970C9" w:rsidRPr="00EA1BB2">
              <w:rPr>
                <w:rFonts w:ascii="Cambria" w:hAnsi="Cambria"/>
                <w:bCs/>
                <w:sz w:val="24"/>
                <w:szCs w:val="24"/>
                <w:lang w:val="ro-RO"/>
              </w:rPr>
              <w:t>orară</w:t>
            </w:r>
            <w:r w:rsidR="003035DF" w:rsidRPr="00EA1BB2">
              <w:rPr>
                <w:rFonts w:ascii="Cambria" w:hAnsi="Cambria"/>
                <w:bCs/>
                <w:sz w:val="24"/>
                <w:szCs w:val="24"/>
                <w:lang w:val="ro-RO"/>
              </w:rPr>
              <w:t xml:space="preserve"> (</w:t>
            </w:r>
            <w:r w:rsidRPr="00EA1BB2">
              <w:rPr>
                <w:rFonts w:ascii="Cambria" w:hAnsi="Cambria"/>
                <w:bCs/>
                <w:sz w:val="24"/>
                <w:szCs w:val="24"/>
                <w:lang w:val="ro-RO"/>
              </w:rPr>
              <w:t>10</w:t>
            </w:r>
            <w:r w:rsidR="003035DF" w:rsidRPr="00EA1BB2">
              <w:rPr>
                <w:rFonts w:ascii="Cambria" w:hAnsi="Cambria"/>
                <w:bCs/>
                <w:sz w:val="24"/>
                <w:szCs w:val="24"/>
                <w:lang w:val="ro-RO"/>
              </w:rPr>
              <w:t>0 µg/m</w:t>
            </w:r>
            <w:r w:rsidR="003035DF" w:rsidRPr="00EA1BB2">
              <w:rPr>
                <w:rFonts w:ascii="Cambria" w:hAnsi="Cambria"/>
                <w:bCs/>
                <w:sz w:val="24"/>
                <w:szCs w:val="24"/>
                <w:vertAlign w:val="superscript"/>
                <w:lang w:val="ro-RO"/>
              </w:rPr>
              <w:t>3</w:t>
            </w:r>
            <w:r w:rsidR="003035DF" w:rsidRPr="00EA1BB2">
              <w:rPr>
                <w:rFonts w:ascii="Cambria" w:hAnsi="Cambria"/>
                <w:bCs/>
                <w:sz w:val="24"/>
                <w:szCs w:val="24"/>
                <w:lang w:val="ro-RO"/>
              </w:rPr>
              <w:t>, a nu se depă</w:t>
            </w:r>
            <w:r w:rsidR="00054880" w:rsidRPr="00EA1BB2">
              <w:rPr>
                <w:rFonts w:ascii="Cambria" w:hAnsi="Cambria"/>
                <w:bCs/>
                <w:sz w:val="24"/>
                <w:szCs w:val="24"/>
                <w:lang w:val="ro-RO"/>
              </w:rPr>
              <w:t>ș</w:t>
            </w:r>
            <w:r w:rsidR="003035DF" w:rsidRPr="00EA1BB2">
              <w:rPr>
                <w:rFonts w:ascii="Cambria" w:hAnsi="Cambria"/>
                <w:bCs/>
                <w:sz w:val="24"/>
                <w:szCs w:val="24"/>
                <w:lang w:val="ro-RO"/>
              </w:rPr>
              <w:t xml:space="preserve">i </w:t>
            </w:r>
            <w:r w:rsidR="003035DF" w:rsidRPr="00EA1BB2">
              <w:rPr>
                <w:rFonts w:ascii="Cambria" w:hAnsi="Cambria"/>
                <w:bCs/>
                <w:sz w:val="24"/>
                <w:szCs w:val="24"/>
                <w:lang w:val="ro-RO"/>
              </w:rPr>
              <w:lastRenderedPageBreak/>
              <w:t xml:space="preserve">de mai mult de </w:t>
            </w:r>
            <w:r w:rsidRPr="00EA1BB2">
              <w:rPr>
                <w:rFonts w:ascii="Cambria" w:hAnsi="Cambria"/>
                <w:bCs/>
                <w:sz w:val="24"/>
                <w:szCs w:val="24"/>
                <w:lang w:val="ro-RO"/>
              </w:rPr>
              <w:t>18</w:t>
            </w:r>
            <w:r w:rsidR="003035DF" w:rsidRPr="00EA1BB2">
              <w:rPr>
                <w:rFonts w:ascii="Cambria" w:hAnsi="Cambria"/>
                <w:bCs/>
                <w:sz w:val="24"/>
                <w:szCs w:val="24"/>
                <w:lang w:val="ro-RO"/>
              </w:rPr>
              <w:t xml:space="preserve"> ori într-un an calendaristic)</w:t>
            </w:r>
          </w:p>
          <w:p w14:paraId="25A9D5C8" w14:textId="77777777" w:rsidR="000F7FC5" w:rsidRPr="00EA1BB2" w:rsidRDefault="00153B24" w:rsidP="00153B24">
            <w:pPr>
              <w:spacing w:line="360" w:lineRule="auto"/>
              <w:jc w:val="both"/>
              <w:rPr>
                <w:rFonts w:ascii="Cambria" w:hAnsi="Cambria"/>
                <w:bCs/>
                <w:sz w:val="24"/>
                <w:szCs w:val="24"/>
                <w:lang w:val="ro-RO"/>
              </w:rPr>
            </w:pPr>
            <w:r w:rsidRPr="00EA1BB2">
              <w:rPr>
                <w:rFonts w:ascii="Cambria" w:hAnsi="Cambria"/>
                <w:bCs/>
                <w:sz w:val="24"/>
                <w:szCs w:val="24"/>
                <w:lang w:val="ro-RO"/>
              </w:rPr>
              <w:t>65% din valoarea-limită anuală (26 µg/m</w:t>
            </w:r>
            <w:r w:rsidRPr="00EA1BB2">
              <w:rPr>
                <w:rFonts w:ascii="Cambria" w:hAnsi="Cambria"/>
                <w:bCs/>
                <w:sz w:val="24"/>
                <w:szCs w:val="24"/>
                <w:vertAlign w:val="superscript"/>
                <w:lang w:val="ro-RO"/>
              </w:rPr>
              <w:t>3</w:t>
            </w:r>
            <w:r w:rsidRPr="00EA1BB2">
              <w:rPr>
                <w:rFonts w:ascii="Cambria" w:hAnsi="Cambria"/>
                <w:bCs/>
                <w:sz w:val="24"/>
                <w:szCs w:val="24"/>
                <w:lang w:val="ro-RO"/>
              </w:rPr>
              <w:t>)</w:t>
            </w:r>
          </w:p>
        </w:tc>
      </w:tr>
      <w:tr w:rsidR="00C21764" w:rsidRPr="00EA1BB2" w14:paraId="2306B28D" w14:textId="77777777" w:rsidTr="00B46084">
        <w:tc>
          <w:tcPr>
            <w:tcW w:w="583" w:type="dxa"/>
            <w:vAlign w:val="center"/>
          </w:tcPr>
          <w:p w14:paraId="2ED061BB" w14:textId="77777777" w:rsidR="00C21764" w:rsidRPr="00EA1BB2" w:rsidRDefault="003035DF" w:rsidP="00C21764">
            <w:pPr>
              <w:spacing w:line="360" w:lineRule="auto"/>
              <w:jc w:val="center"/>
              <w:rPr>
                <w:rFonts w:ascii="Cambria" w:hAnsi="Cambria"/>
                <w:sz w:val="24"/>
                <w:szCs w:val="24"/>
                <w:lang w:val="ro-RO"/>
              </w:rPr>
            </w:pPr>
            <w:r w:rsidRPr="00EA1BB2">
              <w:rPr>
                <w:rFonts w:ascii="Cambria" w:hAnsi="Cambria"/>
                <w:sz w:val="24"/>
                <w:szCs w:val="24"/>
                <w:lang w:val="ro-RO"/>
              </w:rPr>
              <w:lastRenderedPageBreak/>
              <w:t>5.</w:t>
            </w:r>
          </w:p>
        </w:tc>
        <w:tc>
          <w:tcPr>
            <w:tcW w:w="2389" w:type="dxa"/>
            <w:vAlign w:val="center"/>
          </w:tcPr>
          <w:p w14:paraId="0B42197B" w14:textId="77777777" w:rsidR="00C21764" w:rsidRPr="00EA1BB2" w:rsidRDefault="00C21764" w:rsidP="00C21764">
            <w:pPr>
              <w:spacing w:line="360" w:lineRule="auto"/>
              <w:jc w:val="center"/>
              <w:rPr>
                <w:rFonts w:ascii="Cambria" w:hAnsi="Cambria"/>
                <w:bCs/>
                <w:sz w:val="24"/>
                <w:szCs w:val="24"/>
                <w:lang w:val="ro-RO"/>
              </w:rPr>
            </w:pPr>
            <w:r w:rsidRPr="00EA1BB2">
              <w:rPr>
                <w:rFonts w:ascii="Cambria" w:hAnsi="Cambria"/>
                <w:bCs/>
                <w:sz w:val="24"/>
                <w:szCs w:val="24"/>
                <w:lang w:val="ro-RO"/>
              </w:rPr>
              <w:t>Nivel critic</w:t>
            </w:r>
            <w:r w:rsidR="00D659DC" w:rsidRPr="00EA1BB2">
              <w:rPr>
                <w:rFonts w:ascii="Cambria" w:hAnsi="Cambria"/>
                <w:bCs/>
                <w:sz w:val="24"/>
                <w:szCs w:val="24"/>
                <w:lang w:val="ro-RO"/>
              </w:rPr>
              <w:t xml:space="preserve"> pentru protecția vegetației</w:t>
            </w:r>
          </w:p>
          <w:p w14:paraId="01D82F4C" w14:textId="77777777" w:rsidR="00153B24" w:rsidRPr="00EA1BB2" w:rsidRDefault="00153B24" w:rsidP="00C21764">
            <w:pPr>
              <w:spacing w:line="360" w:lineRule="auto"/>
              <w:jc w:val="center"/>
              <w:rPr>
                <w:rFonts w:ascii="Cambria" w:hAnsi="Cambria"/>
                <w:sz w:val="24"/>
                <w:szCs w:val="24"/>
                <w:lang w:val="ro-RO"/>
              </w:rPr>
            </w:pPr>
            <w:r w:rsidRPr="00EA1BB2">
              <w:rPr>
                <w:rFonts w:ascii="Cambria" w:hAnsi="Cambria"/>
                <w:bCs/>
                <w:sz w:val="24"/>
                <w:szCs w:val="24"/>
                <w:lang w:val="ro-RO"/>
              </w:rPr>
              <w:t>(NOx)</w:t>
            </w:r>
          </w:p>
        </w:tc>
        <w:tc>
          <w:tcPr>
            <w:tcW w:w="6095" w:type="dxa"/>
            <w:vAlign w:val="center"/>
          </w:tcPr>
          <w:p w14:paraId="5D9B1F25" w14:textId="77777777" w:rsidR="00C21764" w:rsidRPr="00EA1BB2" w:rsidRDefault="00C21764" w:rsidP="00C21764">
            <w:pPr>
              <w:spacing w:line="360" w:lineRule="auto"/>
              <w:jc w:val="both"/>
              <w:rPr>
                <w:rFonts w:ascii="Cambria" w:hAnsi="Cambria"/>
                <w:sz w:val="24"/>
                <w:szCs w:val="24"/>
                <w:lang w:val="ro-RO"/>
              </w:rPr>
            </w:pPr>
            <w:r w:rsidRPr="00EA1BB2">
              <w:rPr>
                <w:rFonts w:ascii="Cambria" w:hAnsi="Cambria"/>
                <w:bCs/>
                <w:sz w:val="24"/>
                <w:szCs w:val="24"/>
                <w:lang w:val="ro-RO"/>
              </w:rPr>
              <w:t>30 µg/m</w:t>
            </w:r>
            <w:r w:rsidRPr="00EA1BB2">
              <w:rPr>
                <w:rFonts w:ascii="Cambria" w:hAnsi="Cambria"/>
                <w:bCs/>
                <w:sz w:val="24"/>
                <w:szCs w:val="24"/>
                <w:vertAlign w:val="superscript"/>
                <w:lang w:val="ro-RO"/>
              </w:rPr>
              <w:t>3</w:t>
            </w:r>
            <w:r w:rsidRPr="00EA1BB2">
              <w:rPr>
                <w:rFonts w:ascii="Cambria" w:hAnsi="Cambria"/>
                <w:bCs/>
                <w:sz w:val="24"/>
                <w:szCs w:val="24"/>
                <w:lang w:val="ro-RO"/>
              </w:rPr>
              <w:t xml:space="preserve"> NOx</w:t>
            </w:r>
            <w:r w:rsidRPr="00EA1BB2">
              <w:rPr>
                <w:rFonts w:ascii="Cambria" w:hAnsi="Cambria"/>
                <w:sz w:val="24"/>
                <w:szCs w:val="24"/>
                <w:lang w:val="ro-RO"/>
              </w:rPr>
              <w:t> - nivelul critic anual pentru protec</w:t>
            </w:r>
            <w:r w:rsidR="00054880" w:rsidRPr="00EA1BB2">
              <w:rPr>
                <w:rFonts w:ascii="Cambria" w:hAnsi="Cambria"/>
                <w:sz w:val="24"/>
                <w:szCs w:val="24"/>
                <w:lang w:val="ro-RO"/>
              </w:rPr>
              <w:t>ț</w:t>
            </w:r>
            <w:r w:rsidRPr="00EA1BB2">
              <w:rPr>
                <w:rFonts w:ascii="Cambria" w:hAnsi="Cambria"/>
                <w:sz w:val="24"/>
                <w:szCs w:val="24"/>
                <w:lang w:val="ro-RO"/>
              </w:rPr>
              <w:t>ia vegeta</w:t>
            </w:r>
            <w:r w:rsidR="00054880" w:rsidRPr="00EA1BB2">
              <w:rPr>
                <w:rFonts w:ascii="Cambria" w:hAnsi="Cambria"/>
                <w:sz w:val="24"/>
                <w:szCs w:val="24"/>
                <w:lang w:val="ro-RO"/>
              </w:rPr>
              <w:t>ț</w:t>
            </w:r>
            <w:r w:rsidRPr="00EA1BB2">
              <w:rPr>
                <w:rFonts w:ascii="Cambria" w:hAnsi="Cambria"/>
                <w:sz w:val="24"/>
                <w:szCs w:val="24"/>
                <w:lang w:val="ro-RO"/>
              </w:rPr>
              <w:t>iei</w:t>
            </w:r>
          </w:p>
        </w:tc>
      </w:tr>
    </w:tbl>
    <w:p w14:paraId="52FC891D" w14:textId="77777777" w:rsidR="00C21764" w:rsidRPr="00EA1BB2" w:rsidRDefault="00C21764" w:rsidP="00C21764">
      <w:pPr>
        <w:autoSpaceDE w:val="0"/>
        <w:autoSpaceDN w:val="0"/>
        <w:adjustRightInd w:val="0"/>
        <w:spacing w:line="276" w:lineRule="auto"/>
        <w:jc w:val="both"/>
        <w:rPr>
          <w:rFonts w:ascii="Cambria" w:eastAsia="Calibri" w:hAnsi="Cambria" w:cs="Times New Roman"/>
        </w:rPr>
      </w:pPr>
      <w:r w:rsidRPr="00EA1BB2">
        <w:rPr>
          <w:rFonts w:ascii="Cambria" w:eastAsia="Calibri" w:hAnsi="Cambria" w:cs="Times New Roman"/>
        </w:rPr>
        <w:t xml:space="preserve">sursa: </w:t>
      </w:r>
      <w:hyperlink r:id="rId79" w:history="1">
        <w:r w:rsidRPr="00EA1BB2">
          <w:rPr>
            <w:rFonts w:ascii="Cambria" w:eastAsia="Calibri" w:hAnsi="Cambria" w:cs="Times New Roman"/>
          </w:rPr>
          <w:t>http://www.calitateaer.ro/public/assessment-page/pollutants-page/oxid-azot-page/?__</w:t>
        </w:r>
      </w:hyperlink>
    </w:p>
    <w:p w14:paraId="3D24F8B9" w14:textId="77777777" w:rsidR="00C21764" w:rsidRPr="00EA1BB2" w:rsidRDefault="00C21764" w:rsidP="00C21764">
      <w:pPr>
        <w:autoSpaceDE w:val="0"/>
        <w:autoSpaceDN w:val="0"/>
        <w:adjustRightInd w:val="0"/>
        <w:spacing w:line="276" w:lineRule="auto"/>
        <w:jc w:val="both"/>
        <w:rPr>
          <w:rFonts w:ascii="Cambria" w:eastAsia="Calibri" w:hAnsi="Cambria" w:cs="Times New Roman"/>
        </w:rPr>
      </w:pPr>
      <w:r w:rsidRPr="00EA1BB2">
        <w:rPr>
          <w:rFonts w:ascii="Cambria" w:eastAsia="Calibri" w:hAnsi="Cambria" w:cs="Times New Roman"/>
        </w:rPr>
        <w:t>locale=ro</w:t>
      </w:r>
    </w:p>
    <w:p w14:paraId="4E66AD38" w14:textId="77777777" w:rsidR="00C21764" w:rsidRPr="00EA1BB2" w:rsidRDefault="00C21764" w:rsidP="00C21764">
      <w:pPr>
        <w:spacing w:line="360" w:lineRule="auto"/>
        <w:jc w:val="both"/>
        <w:rPr>
          <w:rFonts w:ascii="Cambria" w:hAnsi="Cambria" w:cs="Times New Roman"/>
          <w:sz w:val="24"/>
          <w:szCs w:val="24"/>
        </w:rPr>
      </w:pPr>
    </w:p>
    <w:p w14:paraId="54101948" w14:textId="77777777" w:rsidR="00570343" w:rsidRPr="00EA1BB2" w:rsidRDefault="00570343" w:rsidP="00570343">
      <w:pPr>
        <w:autoSpaceDE w:val="0"/>
        <w:autoSpaceDN w:val="0"/>
        <w:adjustRightInd w:val="0"/>
        <w:spacing w:line="360" w:lineRule="auto"/>
        <w:ind w:firstLine="720"/>
        <w:jc w:val="both"/>
        <w:rPr>
          <w:rFonts w:ascii="Cambria" w:eastAsia="Times New Roman" w:hAnsi="Cambria" w:cs="Times New Roman"/>
          <w:sz w:val="24"/>
          <w:szCs w:val="24"/>
        </w:rPr>
      </w:pPr>
      <w:r w:rsidRPr="00EA1BB2">
        <w:rPr>
          <w:rFonts w:ascii="Cambria" w:eastAsia="Times New Roman" w:hAnsi="Cambria" w:cs="Times New Roman"/>
          <w:sz w:val="24"/>
          <w:szCs w:val="24"/>
        </w:rPr>
        <w:t xml:space="preserve">Măsurarea în puncte fixe pentru </w:t>
      </w:r>
      <w:r w:rsidRPr="00EA1BB2">
        <w:rPr>
          <w:rFonts w:ascii="Cambria" w:eastAsia="Times New Roman" w:hAnsi="Cambria" w:cs="Times New Roman"/>
          <w:b/>
          <w:bCs/>
          <w:sz w:val="24"/>
          <w:szCs w:val="24"/>
        </w:rPr>
        <w:t>NO</w:t>
      </w:r>
      <w:r w:rsidRPr="00EA1BB2">
        <w:rPr>
          <w:rFonts w:ascii="Cambria" w:eastAsia="Times New Roman" w:hAnsi="Cambria" w:cs="Times New Roman"/>
          <w:b/>
          <w:bCs/>
          <w:sz w:val="24"/>
          <w:szCs w:val="24"/>
          <w:vertAlign w:val="subscript"/>
        </w:rPr>
        <w:t>2</w:t>
      </w:r>
      <w:r w:rsidRPr="00EA1BB2">
        <w:rPr>
          <w:rFonts w:ascii="Cambria" w:eastAsia="Times New Roman" w:hAnsi="Cambria" w:cs="Times New Roman"/>
          <w:b/>
          <w:sz w:val="24"/>
          <w:szCs w:val="24"/>
        </w:rPr>
        <w:t>/ NOx</w:t>
      </w:r>
      <w:r w:rsidRPr="00EA1BB2">
        <w:rPr>
          <w:rFonts w:ascii="Cambria" w:eastAsia="Times New Roman" w:hAnsi="Cambria" w:cs="Times New Roman"/>
          <w:sz w:val="24"/>
          <w:szCs w:val="24"/>
        </w:rPr>
        <w:t xml:space="preserve"> se face aplicând metoda de referin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ă care este cea prevăzută în standardul SR EN 14211 "Aer înconjurător. Metodă standardizată pentru măsurarea concentra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iei de dioxid de azot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monoxid de azot prin chemiluminiscen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ă".</w:t>
      </w:r>
    </w:p>
    <w:p w14:paraId="08A6B421" w14:textId="77777777" w:rsidR="00C21764" w:rsidRPr="00EA1BB2" w:rsidRDefault="00C21764" w:rsidP="00C21764">
      <w:pPr>
        <w:spacing w:line="360" w:lineRule="auto"/>
        <w:jc w:val="both"/>
        <w:rPr>
          <w:rFonts w:ascii="Cambria" w:hAnsi="Cambria" w:cs="Times New Roman"/>
          <w:sz w:val="24"/>
          <w:szCs w:val="24"/>
        </w:rPr>
      </w:pPr>
    </w:p>
    <w:p w14:paraId="7E5908B6" w14:textId="77777777" w:rsidR="00343667" w:rsidRPr="00EA1BB2" w:rsidRDefault="00343667" w:rsidP="00343667">
      <w:pPr>
        <w:jc w:val="both"/>
        <w:rPr>
          <w:rFonts w:ascii="Cambria" w:hAnsi="Cambria" w:cs="Times New Roman"/>
          <w:sz w:val="6"/>
          <w:szCs w:val="24"/>
        </w:rPr>
      </w:pPr>
    </w:p>
    <w:p w14:paraId="38B02D32" w14:textId="77777777" w:rsidR="00343667" w:rsidRPr="00EA1BB2" w:rsidRDefault="00343667" w:rsidP="00E859EF">
      <w:pPr>
        <w:pStyle w:val="Heading4"/>
        <w:numPr>
          <w:ilvl w:val="3"/>
          <w:numId w:val="1"/>
        </w:numPr>
        <w:spacing w:before="0" w:line="360" w:lineRule="auto"/>
        <w:ind w:hanging="579"/>
        <w:rPr>
          <w:color w:val="0070C0"/>
          <w:sz w:val="24"/>
        </w:rPr>
      </w:pPr>
      <w:bookmarkStart w:id="153" w:name="_Toc459107448"/>
      <w:bookmarkStart w:id="154" w:name="_Toc463955935"/>
      <w:bookmarkStart w:id="155" w:name="_Toc526889730"/>
      <w:r w:rsidRPr="00EA1BB2">
        <w:rPr>
          <w:color w:val="0070C0"/>
          <w:sz w:val="24"/>
        </w:rPr>
        <w:t>Pulberi în suspensie (PM</w:t>
      </w:r>
      <w:r w:rsidRPr="00EA1BB2">
        <w:rPr>
          <w:color w:val="0070C0"/>
          <w:sz w:val="24"/>
          <w:vertAlign w:val="subscript"/>
        </w:rPr>
        <w:t>10</w:t>
      </w:r>
      <w:r w:rsidR="00054880" w:rsidRPr="00EA1BB2">
        <w:rPr>
          <w:color w:val="0070C0"/>
          <w:sz w:val="24"/>
        </w:rPr>
        <w:t>ș</w:t>
      </w:r>
      <w:r w:rsidRPr="00EA1BB2">
        <w:rPr>
          <w:color w:val="0070C0"/>
          <w:sz w:val="24"/>
        </w:rPr>
        <w:t>i PM</w:t>
      </w:r>
      <w:r w:rsidRPr="00EA1BB2">
        <w:rPr>
          <w:color w:val="0070C0"/>
          <w:sz w:val="24"/>
          <w:vertAlign w:val="subscript"/>
        </w:rPr>
        <w:t>2,5</w:t>
      </w:r>
      <w:r w:rsidRPr="00EA1BB2">
        <w:rPr>
          <w:color w:val="0070C0"/>
          <w:sz w:val="24"/>
        </w:rPr>
        <w:t>)</w:t>
      </w:r>
      <w:bookmarkEnd w:id="153"/>
      <w:bookmarkEnd w:id="154"/>
      <w:bookmarkEnd w:id="155"/>
    </w:p>
    <w:p w14:paraId="59C2B366" w14:textId="77777777" w:rsidR="00343667" w:rsidRPr="00EA1BB2" w:rsidRDefault="00343667" w:rsidP="00343667">
      <w:pPr>
        <w:spacing w:line="360" w:lineRule="auto"/>
        <w:ind w:firstLine="708"/>
        <w:jc w:val="both"/>
        <w:rPr>
          <w:rFonts w:ascii="Cambria" w:hAnsi="Cambria" w:cs="Times New Roman"/>
          <w:sz w:val="24"/>
          <w:szCs w:val="24"/>
        </w:rPr>
      </w:pPr>
      <w:r w:rsidRPr="00EA1BB2">
        <w:rPr>
          <w:rFonts w:ascii="Cambria" w:hAnsi="Cambria" w:cs="Times New Roman"/>
          <w:sz w:val="24"/>
          <w:szCs w:val="24"/>
        </w:rPr>
        <w:t xml:space="preserve">Pulberile în suspensie reprezintă un amestec complex de particule foarte mici </w:t>
      </w:r>
      <w:r w:rsidR="00054880" w:rsidRPr="00EA1BB2">
        <w:rPr>
          <w:rFonts w:ascii="Cambria" w:hAnsi="Cambria" w:cs="Times New Roman"/>
          <w:sz w:val="24"/>
          <w:szCs w:val="24"/>
        </w:rPr>
        <w:t>ș</w:t>
      </w:r>
      <w:r w:rsidRPr="00EA1BB2">
        <w:rPr>
          <w:rFonts w:ascii="Cambria" w:hAnsi="Cambria" w:cs="Times New Roman"/>
          <w:sz w:val="24"/>
          <w:szCs w:val="24"/>
        </w:rPr>
        <w:t>i picături de lichid.</w:t>
      </w:r>
    </w:p>
    <w:p w14:paraId="1D6940E6" w14:textId="77777777" w:rsidR="00343667" w:rsidRPr="00EA1BB2" w:rsidRDefault="00343667" w:rsidP="003A520C">
      <w:pPr>
        <w:numPr>
          <w:ilvl w:val="0"/>
          <w:numId w:val="25"/>
        </w:numPr>
        <w:spacing w:line="360" w:lineRule="auto"/>
        <w:contextualSpacing/>
        <w:jc w:val="both"/>
        <w:rPr>
          <w:rFonts w:ascii="Cambria" w:hAnsi="Cambria" w:cs="Times New Roman"/>
          <w:sz w:val="24"/>
          <w:szCs w:val="24"/>
        </w:rPr>
      </w:pPr>
      <w:r w:rsidRPr="00EA1BB2">
        <w:rPr>
          <w:rFonts w:ascii="Cambria" w:hAnsi="Cambria" w:cs="Times New Roman"/>
          <w:sz w:val="24"/>
          <w:szCs w:val="24"/>
        </w:rPr>
        <w:t xml:space="preserve">Surse de poluare: </w:t>
      </w:r>
    </w:p>
    <w:p w14:paraId="69EB8028" w14:textId="77777777" w:rsidR="00343667" w:rsidRPr="00EA1BB2" w:rsidRDefault="00343667" w:rsidP="00343667">
      <w:pPr>
        <w:spacing w:line="360" w:lineRule="auto"/>
        <w:ind w:firstLine="708"/>
        <w:jc w:val="both"/>
        <w:rPr>
          <w:rFonts w:ascii="Cambria" w:hAnsi="Cambria" w:cs="Times New Roman"/>
          <w:sz w:val="24"/>
          <w:szCs w:val="24"/>
        </w:rPr>
      </w:pPr>
      <w:r w:rsidRPr="00EA1BB2">
        <w:rPr>
          <w:rFonts w:ascii="Cambria" w:hAnsi="Cambria" w:cs="Times New Roman"/>
          <w:sz w:val="24"/>
          <w:szCs w:val="24"/>
        </w:rPr>
        <w:t>Surse naturale: erup</w:t>
      </w:r>
      <w:r w:rsidR="00054880" w:rsidRPr="00EA1BB2">
        <w:rPr>
          <w:rFonts w:ascii="Cambria" w:hAnsi="Cambria" w:cs="Times New Roman"/>
          <w:sz w:val="24"/>
          <w:szCs w:val="24"/>
        </w:rPr>
        <w:t>ț</w:t>
      </w:r>
      <w:r w:rsidRPr="00EA1BB2">
        <w:rPr>
          <w:rFonts w:ascii="Cambria" w:hAnsi="Cambria" w:cs="Times New Roman"/>
          <w:sz w:val="24"/>
          <w:szCs w:val="24"/>
        </w:rPr>
        <w:t xml:space="preserve">ii vulcanice, eroziunea rocilor furtuni de nisip </w:t>
      </w:r>
      <w:r w:rsidR="00054880" w:rsidRPr="00EA1BB2">
        <w:rPr>
          <w:rFonts w:ascii="Cambria" w:hAnsi="Cambria" w:cs="Times New Roman"/>
          <w:sz w:val="24"/>
          <w:szCs w:val="24"/>
        </w:rPr>
        <w:t>ș</w:t>
      </w:r>
      <w:r w:rsidRPr="00EA1BB2">
        <w:rPr>
          <w:rFonts w:ascii="Cambria" w:hAnsi="Cambria" w:cs="Times New Roman"/>
          <w:sz w:val="24"/>
          <w:szCs w:val="24"/>
        </w:rPr>
        <w:t>i dispersia polenului.</w:t>
      </w:r>
    </w:p>
    <w:p w14:paraId="0AA07F1D" w14:textId="77777777" w:rsidR="00343667" w:rsidRPr="00EA1BB2" w:rsidRDefault="00343667" w:rsidP="00343667">
      <w:pPr>
        <w:spacing w:line="360" w:lineRule="auto"/>
        <w:ind w:firstLine="708"/>
        <w:jc w:val="both"/>
        <w:rPr>
          <w:rFonts w:ascii="Cambria" w:hAnsi="Cambria" w:cs="Times New Roman"/>
          <w:sz w:val="24"/>
          <w:szCs w:val="24"/>
        </w:rPr>
      </w:pPr>
      <w:r w:rsidRPr="00EA1BB2">
        <w:rPr>
          <w:rFonts w:ascii="Cambria" w:hAnsi="Cambria" w:cs="Times New Roman"/>
          <w:sz w:val="24"/>
          <w:szCs w:val="24"/>
        </w:rPr>
        <w:t>Surse antropice: activitatea industrială, sistemul de încălzire a popula</w:t>
      </w:r>
      <w:r w:rsidR="00054880" w:rsidRPr="00EA1BB2">
        <w:rPr>
          <w:rFonts w:ascii="Cambria" w:hAnsi="Cambria" w:cs="Times New Roman"/>
          <w:sz w:val="24"/>
          <w:szCs w:val="24"/>
        </w:rPr>
        <w:t>ț</w:t>
      </w:r>
      <w:r w:rsidRPr="00EA1BB2">
        <w:rPr>
          <w:rFonts w:ascii="Cambria" w:hAnsi="Cambria" w:cs="Times New Roman"/>
          <w:sz w:val="24"/>
          <w:szCs w:val="24"/>
        </w:rPr>
        <w:t>iei, centralele termoelectrice. Traficul rutier contribuie la poluarea cu particule produsă de pneurile ma</w:t>
      </w:r>
      <w:r w:rsidR="00054880" w:rsidRPr="00EA1BB2">
        <w:rPr>
          <w:rFonts w:ascii="Cambria" w:hAnsi="Cambria" w:cs="Times New Roman"/>
          <w:sz w:val="24"/>
          <w:szCs w:val="24"/>
        </w:rPr>
        <w:t>ș</w:t>
      </w:r>
      <w:r w:rsidRPr="00EA1BB2">
        <w:rPr>
          <w:rFonts w:ascii="Cambria" w:hAnsi="Cambria" w:cs="Times New Roman"/>
          <w:sz w:val="24"/>
          <w:szCs w:val="24"/>
        </w:rPr>
        <w:t xml:space="preserve">inilor atât la oprirea acestora cât </w:t>
      </w:r>
      <w:r w:rsidR="00054880" w:rsidRPr="00EA1BB2">
        <w:rPr>
          <w:rFonts w:ascii="Cambria" w:hAnsi="Cambria" w:cs="Times New Roman"/>
          <w:sz w:val="24"/>
          <w:szCs w:val="24"/>
        </w:rPr>
        <w:t>ș</w:t>
      </w:r>
      <w:r w:rsidRPr="00EA1BB2">
        <w:rPr>
          <w:rFonts w:ascii="Cambria" w:hAnsi="Cambria" w:cs="Times New Roman"/>
          <w:sz w:val="24"/>
          <w:szCs w:val="24"/>
        </w:rPr>
        <w:t>i datorită arderilor incomplete.</w:t>
      </w:r>
    </w:p>
    <w:p w14:paraId="4A392352" w14:textId="77777777" w:rsidR="00343667" w:rsidRPr="00EA1BB2" w:rsidRDefault="00343667" w:rsidP="003A520C">
      <w:pPr>
        <w:numPr>
          <w:ilvl w:val="0"/>
          <w:numId w:val="25"/>
        </w:numPr>
        <w:spacing w:line="360" w:lineRule="auto"/>
        <w:contextualSpacing/>
        <w:jc w:val="both"/>
        <w:rPr>
          <w:rFonts w:ascii="Cambria" w:hAnsi="Cambria" w:cs="Times New Roman"/>
          <w:sz w:val="24"/>
          <w:szCs w:val="24"/>
        </w:rPr>
      </w:pPr>
      <w:r w:rsidRPr="00EA1BB2">
        <w:rPr>
          <w:rFonts w:ascii="Cambria" w:hAnsi="Cambria" w:cs="Times New Roman"/>
          <w:sz w:val="24"/>
          <w:szCs w:val="24"/>
        </w:rPr>
        <w:t>Efecte asupra sănătă</w:t>
      </w:r>
      <w:r w:rsidR="00054880" w:rsidRPr="00EA1BB2">
        <w:rPr>
          <w:rFonts w:ascii="Cambria" w:hAnsi="Cambria" w:cs="Times New Roman"/>
          <w:sz w:val="24"/>
          <w:szCs w:val="24"/>
        </w:rPr>
        <w:t>ț</w:t>
      </w:r>
      <w:r w:rsidRPr="00EA1BB2">
        <w:rPr>
          <w:rFonts w:ascii="Cambria" w:hAnsi="Cambria" w:cs="Times New Roman"/>
          <w:sz w:val="24"/>
          <w:szCs w:val="24"/>
        </w:rPr>
        <w:t>ii popula</w:t>
      </w:r>
      <w:r w:rsidR="00054880" w:rsidRPr="00EA1BB2">
        <w:rPr>
          <w:rFonts w:ascii="Cambria" w:hAnsi="Cambria" w:cs="Times New Roman"/>
          <w:sz w:val="24"/>
          <w:szCs w:val="24"/>
        </w:rPr>
        <w:t>ț</w:t>
      </w:r>
      <w:r w:rsidRPr="00EA1BB2">
        <w:rPr>
          <w:rFonts w:ascii="Cambria" w:hAnsi="Cambria" w:cs="Times New Roman"/>
          <w:sz w:val="24"/>
          <w:szCs w:val="24"/>
        </w:rPr>
        <w:t>iei</w:t>
      </w:r>
    </w:p>
    <w:p w14:paraId="0D0CEBF1" w14:textId="77777777" w:rsidR="00343667" w:rsidRPr="00EA1BB2" w:rsidRDefault="00343667" w:rsidP="00343667">
      <w:pPr>
        <w:spacing w:line="360" w:lineRule="auto"/>
        <w:ind w:firstLine="708"/>
        <w:jc w:val="both"/>
        <w:rPr>
          <w:rFonts w:ascii="Cambria" w:hAnsi="Cambria" w:cs="Times New Roman"/>
          <w:sz w:val="24"/>
          <w:szCs w:val="24"/>
        </w:rPr>
      </w:pPr>
      <w:r w:rsidRPr="00EA1BB2">
        <w:rPr>
          <w:rFonts w:ascii="Cambria" w:hAnsi="Cambria" w:cs="Times New Roman"/>
          <w:sz w:val="24"/>
          <w:szCs w:val="24"/>
        </w:rPr>
        <w:t>Dimensiunea particulelor este direct legată de poten</w:t>
      </w:r>
      <w:r w:rsidR="00054880" w:rsidRPr="00EA1BB2">
        <w:rPr>
          <w:rFonts w:ascii="Cambria" w:hAnsi="Cambria" w:cs="Times New Roman"/>
          <w:sz w:val="24"/>
          <w:szCs w:val="24"/>
        </w:rPr>
        <w:t>ț</w:t>
      </w:r>
      <w:r w:rsidRPr="00EA1BB2">
        <w:rPr>
          <w:rFonts w:ascii="Cambria" w:hAnsi="Cambria" w:cs="Times New Roman"/>
          <w:sz w:val="24"/>
          <w:szCs w:val="24"/>
        </w:rPr>
        <w:t xml:space="preserve">ialul de a cauza efecte. O problemă importantă o reprezintă particulele cu diametrul aerodinamic mai mic de 10 µm, care trec prin nas </w:t>
      </w:r>
      <w:r w:rsidR="00054880" w:rsidRPr="00EA1BB2">
        <w:rPr>
          <w:rFonts w:ascii="Cambria" w:hAnsi="Cambria" w:cs="Times New Roman"/>
          <w:sz w:val="24"/>
          <w:szCs w:val="24"/>
        </w:rPr>
        <w:t>ș</w:t>
      </w:r>
      <w:r w:rsidRPr="00EA1BB2">
        <w:rPr>
          <w:rFonts w:ascii="Cambria" w:hAnsi="Cambria" w:cs="Times New Roman"/>
          <w:sz w:val="24"/>
          <w:szCs w:val="24"/>
        </w:rPr>
        <w:t xml:space="preserve">i gât </w:t>
      </w:r>
      <w:r w:rsidR="00054880" w:rsidRPr="00EA1BB2">
        <w:rPr>
          <w:rFonts w:ascii="Cambria" w:hAnsi="Cambria" w:cs="Times New Roman"/>
          <w:sz w:val="24"/>
          <w:szCs w:val="24"/>
        </w:rPr>
        <w:t>ș</w:t>
      </w:r>
      <w:r w:rsidRPr="00EA1BB2">
        <w:rPr>
          <w:rFonts w:ascii="Cambria" w:hAnsi="Cambria" w:cs="Times New Roman"/>
          <w:sz w:val="24"/>
          <w:szCs w:val="24"/>
        </w:rPr>
        <w:t>i pătrund în alveolele pulmonare provocând inflama</w:t>
      </w:r>
      <w:r w:rsidR="00054880" w:rsidRPr="00EA1BB2">
        <w:rPr>
          <w:rFonts w:ascii="Cambria" w:hAnsi="Cambria" w:cs="Times New Roman"/>
          <w:sz w:val="24"/>
          <w:szCs w:val="24"/>
        </w:rPr>
        <w:t>ț</w:t>
      </w:r>
      <w:r w:rsidRPr="00EA1BB2">
        <w:rPr>
          <w:rFonts w:ascii="Cambria" w:hAnsi="Cambria" w:cs="Times New Roman"/>
          <w:sz w:val="24"/>
          <w:szCs w:val="24"/>
        </w:rPr>
        <w:t xml:space="preserve">ii </w:t>
      </w:r>
      <w:r w:rsidR="00054880" w:rsidRPr="00EA1BB2">
        <w:rPr>
          <w:rFonts w:ascii="Cambria" w:hAnsi="Cambria" w:cs="Times New Roman"/>
          <w:sz w:val="24"/>
          <w:szCs w:val="24"/>
        </w:rPr>
        <w:t>ș</w:t>
      </w:r>
      <w:r w:rsidRPr="00EA1BB2">
        <w:rPr>
          <w:rFonts w:ascii="Cambria" w:hAnsi="Cambria" w:cs="Times New Roman"/>
          <w:sz w:val="24"/>
          <w:szCs w:val="24"/>
        </w:rPr>
        <w:t>i intoxicări.</w:t>
      </w:r>
    </w:p>
    <w:p w14:paraId="43C42649" w14:textId="77777777" w:rsidR="00343667" w:rsidRPr="00EA1BB2" w:rsidRDefault="00343667" w:rsidP="00343667">
      <w:pPr>
        <w:spacing w:line="360" w:lineRule="auto"/>
        <w:ind w:firstLine="708"/>
        <w:jc w:val="both"/>
        <w:rPr>
          <w:rFonts w:ascii="Cambria" w:hAnsi="Cambria" w:cs="Times New Roman"/>
          <w:sz w:val="24"/>
          <w:szCs w:val="24"/>
        </w:rPr>
      </w:pPr>
      <w:r w:rsidRPr="00EA1BB2">
        <w:rPr>
          <w:rFonts w:ascii="Cambria" w:hAnsi="Cambria" w:cs="Times New Roman"/>
          <w:sz w:val="24"/>
          <w:szCs w:val="24"/>
        </w:rPr>
        <w:t xml:space="preserve">Sunt afectate în special persoanele cu boli cardiovasculare </w:t>
      </w:r>
      <w:r w:rsidR="00054880" w:rsidRPr="00EA1BB2">
        <w:rPr>
          <w:rFonts w:ascii="Cambria" w:hAnsi="Cambria" w:cs="Times New Roman"/>
          <w:sz w:val="24"/>
          <w:szCs w:val="24"/>
        </w:rPr>
        <w:t>ș</w:t>
      </w:r>
      <w:r w:rsidRPr="00EA1BB2">
        <w:rPr>
          <w:rFonts w:ascii="Cambria" w:hAnsi="Cambria" w:cs="Times New Roman"/>
          <w:sz w:val="24"/>
          <w:szCs w:val="24"/>
        </w:rPr>
        <w:t xml:space="preserve">i respiratorii, copiii, vârstnicii </w:t>
      </w:r>
      <w:r w:rsidR="00054880" w:rsidRPr="00EA1BB2">
        <w:rPr>
          <w:rFonts w:ascii="Cambria" w:hAnsi="Cambria" w:cs="Times New Roman"/>
          <w:sz w:val="24"/>
          <w:szCs w:val="24"/>
        </w:rPr>
        <w:t>ș</w:t>
      </w:r>
      <w:r w:rsidRPr="00EA1BB2">
        <w:rPr>
          <w:rFonts w:ascii="Cambria" w:hAnsi="Cambria" w:cs="Times New Roman"/>
          <w:sz w:val="24"/>
          <w:szCs w:val="24"/>
        </w:rPr>
        <w:t>i astmaticii.</w:t>
      </w:r>
    </w:p>
    <w:p w14:paraId="56FD9F07" w14:textId="77777777" w:rsidR="00343667" w:rsidRPr="00EA1BB2" w:rsidRDefault="00343667" w:rsidP="00343667">
      <w:pPr>
        <w:spacing w:line="360" w:lineRule="auto"/>
        <w:ind w:firstLine="708"/>
        <w:jc w:val="both"/>
        <w:rPr>
          <w:rFonts w:ascii="Cambria" w:hAnsi="Cambria" w:cs="Times New Roman"/>
          <w:sz w:val="24"/>
          <w:szCs w:val="24"/>
        </w:rPr>
      </w:pPr>
      <w:r w:rsidRPr="00EA1BB2">
        <w:rPr>
          <w:rFonts w:ascii="Cambria" w:hAnsi="Cambria" w:cs="Times New Roman"/>
          <w:sz w:val="24"/>
          <w:szCs w:val="24"/>
        </w:rPr>
        <w:t xml:space="preserve">Copiii cu vârsta mai mică de 15 ani inhalează mai mult aer, </w:t>
      </w:r>
      <w:r w:rsidR="00054880" w:rsidRPr="00EA1BB2">
        <w:rPr>
          <w:rFonts w:ascii="Cambria" w:hAnsi="Cambria" w:cs="Times New Roman"/>
          <w:sz w:val="24"/>
          <w:szCs w:val="24"/>
        </w:rPr>
        <w:t>ș</w:t>
      </w:r>
      <w:r w:rsidRPr="00EA1BB2">
        <w:rPr>
          <w:rFonts w:ascii="Cambria" w:hAnsi="Cambria" w:cs="Times New Roman"/>
          <w:sz w:val="24"/>
          <w:szCs w:val="24"/>
        </w:rPr>
        <w:t>i în consecin</w:t>
      </w:r>
      <w:r w:rsidR="00054880" w:rsidRPr="00EA1BB2">
        <w:rPr>
          <w:rFonts w:ascii="Cambria" w:hAnsi="Cambria" w:cs="Times New Roman"/>
          <w:sz w:val="24"/>
          <w:szCs w:val="24"/>
        </w:rPr>
        <w:t>ț</w:t>
      </w:r>
      <w:r w:rsidRPr="00EA1BB2">
        <w:rPr>
          <w:rFonts w:ascii="Cambria" w:hAnsi="Cambria" w:cs="Times New Roman"/>
          <w:sz w:val="24"/>
          <w:szCs w:val="24"/>
        </w:rPr>
        <w:t>ă mai mul</w:t>
      </w:r>
      <w:r w:rsidR="00054880" w:rsidRPr="00EA1BB2">
        <w:rPr>
          <w:rFonts w:ascii="Cambria" w:hAnsi="Cambria" w:cs="Times New Roman"/>
          <w:sz w:val="24"/>
          <w:szCs w:val="24"/>
        </w:rPr>
        <w:t>ț</w:t>
      </w:r>
      <w:r w:rsidRPr="00EA1BB2">
        <w:rPr>
          <w:rFonts w:ascii="Cambria" w:hAnsi="Cambria" w:cs="Times New Roman"/>
          <w:sz w:val="24"/>
          <w:szCs w:val="24"/>
        </w:rPr>
        <w:t>i poluan</w:t>
      </w:r>
      <w:r w:rsidR="00054880" w:rsidRPr="00EA1BB2">
        <w:rPr>
          <w:rFonts w:ascii="Cambria" w:hAnsi="Cambria" w:cs="Times New Roman"/>
          <w:sz w:val="24"/>
          <w:szCs w:val="24"/>
        </w:rPr>
        <w:t>ț</w:t>
      </w:r>
      <w:r w:rsidRPr="00EA1BB2">
        <w:rPr>
          <w:rFonts w:ascii="Cambria" w:hAnsi="Cambria" w:cs="Times New Roman"/>
          <w:sz w:val="24"/>
          <w:szCs w:val="24"/>
        </w:rPr>
        <w:t>i. Ei respiră mai repede decât adul</w:t>
      </w:r>
      <w:r w:rsidR="00054880" w:rsidRPr="00EA1BB2">
        <w:rPr>
          <w:rFonts w:ascii="Cambria" w:hAnsi="Cambria" w:cs="Times New Roman"/>
          <w:sz w:val="24"/>
          <w:szCs w:val="24"/>
        </w:rPr>
        <w:t>ț</w:t>
      </w:r>
      <w:r w:rsidRPr="00EA1BB2">
        <w:rPr>
          <w:rFonts w:ascii="Cambria" w:hAnsi="Cambria" w:cs="Times New Roman"/>
          <w:sz w:val="24"/>
          <w:szCs w:val="24"/>
        </w:rPr>
        <w:t xml:space="preserve">ii </w:t>
      </w:r>
      <w:r w:rsidR="00054880" w:rsidRPr="00EA1BB2">
        <w:rPr>
          <w:rFonts w:ascii="Cambria" w:hAnsi="Cambria" w:cs="Times New Roman"/>
          <w:sz w:val="24"/>
          <w:szCs w:val="24"/>
        </w:rPr>
        <w:t>ș</w:t>
      </w:r>
      <w:r w:rsidRPr="00EA1BB2">
        <w:rPr>
          <w:rFonts w:ascii="Cambria" w:hAnsi="Cambria" w:cs="Times New Roman"/>
          <w:sz w:val="24"/>
          <w:szCs w:val="24"/>
        </w:rPr>
        <w:t xml:space="preserve">i tind să respire mai mult pe gură, </w:t>
      </w:r>
      <w:r w:rsidRPr="00EA1BB2">
        <w:rPr>
          <w:rFonts w:ascii="Cambria" w:hAnsi="Cambria" w:cs="Times New Roman"/>
          <w:sz w:val="24"/>
          <w:szCs w:val="24"/>
        </w:rPr>
        <w:lastRenderedPageBreak/>
        <w:t>ocolind practic filtrul natural din nas. Sunt în mod special vulnerabili, deoarece plămânii lor nu sunt dezvolta</w:t>
      </w:r>
      <w:r w:rsidR="00054880" w:rsidRPr="00EA1BB2">
        <w:rPr>
          <w:rFonts w:ascii="Cambria" w:hAnsi="Cambria" w:cs="Times New Roman"/>
          <w:sz w:val="24"/>
          <w:szCs w:val="24"/>
        </w:rPr>
        <w:t>ț</w:t>
      </w:r>
      <w:r w:rsidRPr="00EA1BB2">
        <w:rPr>
          <w:rFonts w:ascii="Cambria" w:hAnsi="Cambria" w:cs="Times New Roman"/>
          <w:sz w:val="24"/>
          <w:szCs w:val="24"/>
        </w:rPr>
        <w:t xml:space="preserve">i, iar </w:t>
      </w:r>
      <w:r w:rsidR="00054880" w:rsidRPr="00EA1BB2">
        <w:rPr>
          <w:rFonts w:ascii="Cambria" w:hAnsi="Cambria" w:cs="Times New Roman"/>
          <w:sz w:val="24"/>
          <w:szCs w:val="24"/>
        </w:rPr>
        <w:t>ț</w:t>
      </w:r>
      <w:r w:rsidRPr="00EA1BB2">
        <w:rPr>
          <w:rFonts w:ascii="Cambria" w:hAnsi="Cambria" w:cs="Times New Roman"/>
          <w:sz w:val="24"/>
          <w:szCs w:val="24"/>
        </w:rPr>
        <w:t>esutul pulmonar care se dezvoltă în copilărie este mai sensibil.</w:t>
      </w:r>
    </w:p>
    <w:p w14:paraId="5ACAA795" w14:textId="77777777" w:rsidR="00343667" w:rsidRPr="00EA1BB2" w:rsidRDefault="00343667" w:rsidP="00343667">
      <w:pPr>
        <w:spacing w:line="360" w:lineRule="auto"/>
        <w:ind w:firstLine="708"/>
        <w:jc w:val="both"/>
        <w:rPr>
          <w:rFonts w:ascii="Cambria" w:hAnsi="Cambria" w:cs="Times New Roman"/>
          <w:sz w:val="24"/>
          <w:szCs w:val="24"/>
        </w:rPr>
      </w:pPr>
      <w:r w:rsidRPr="00EA1BB2">
        <w:rPr>
          <w:rFonts w:ascii="Cambria" w:hAnsi="Cambria" w:cs="Times New Roman"/>
          <w:sz w:val="24"/>
          <w:szCs w:val="24"/>
        </w:rPr>
        <w:t>Poluarea cu particule înrăută</w:t>
      </w:r>
      <w:r w:rsidR="00054880" w:rsidRPr="00EA1BB2">
        <w:rPr>
          <w:rFonts w:ascii="Cambria" w:hAnsi="Cambria" w:cs="Times New Roman"/>
          <w:sz w:val="24"/>
          <w:szCs w:val="24"/>
        </w:rPr>
        <w:t>ț</w:t>
      </w:r>
      <w:r w:rsidRPr="00EA1BB2">
        <w:rPr>
          <w:rFonts w:ascii="Cambria" w:hAnsi="Cambria" w:cs="Times New Roman"/>
          <w:sz w:val="24"/>
          <w:szCs w:val="24"/>
        </w:rPr>
        <w:t>e</w:t>
      </w:r>
      <w:r w:rsidR="00054880" w:rsidRPr="00EA1BB2">
        <w:rPr>
          <w:rFonts w:ascii="Cambria" w:hAnsi="Cambria" w:cs="Times New Roman"/>
          <w:sz w:val="24"/>
          <w:szCs w:val="24"/>
        </w:rPr>
        <w:t>ș</w:t>
      </w:r>
      <w:r w:rsidRPr="00EA1BB2">
        <w:rPr>
          <w:rFonts w:ascii="Cambria" w:hAnsi="Cambria" w:cs="Times New Roman"/>
          <w:sz w:val="24"/>
          <w:szCs w:val="24"/>
        </w:rPr>
        <w:t xml:space="preserve">te simptomele astmului, respectiv tuse, dureri în piept </w:t>
      </w:r>
      <w:r w:rsidR="00054880" w:rsidRPr="00EA1BB2">
        <w:rPr>
          <w:rFonts w:ascii="Cambria" w:hAnsi="Cambria" w:cs="Times New Roman"/>
          <w:sz w:val="24"/>
          <w:szCs w:val="24"/>
        </w:rPr>
        <w:t>ș</w:t>
      </w:r>
      <w:r w:rsidRPr="00EA1BB2">
        <w:rPr>
          <w:rFonts w:ascii="Cambria" w:hAnsi="Cambria" w:cs="Times New Roman"/>
          <w:sz w:val="24"/>
          <w:szCs w:val="24"/>
        </w:rPr>
        <w:t>i dificultă</w:t>
      </w:r>
      <w:r w:rsidR="00054880" w:rsidRPr="00EA1BB2">
        <w:rPr>
          <w:rFonts w:ascii="Cambria" w:hAnsi="Cambria" w:cs="Times New Roman"/>
          <w:sz w:val="24"/>
          <w:szCs w:val="24"/>
        </w:rPr>
        <w:t>ț</w:t>
      </w:r>
      <w:r w:rsidRPr="00EA1BB2">
        <w:rPr>
          <w:rFonts w:ascii="Cambria" w:hAnsi="Cambria" w:cs="Times New Roman"/>
          <w:sz w:val="24"/>
          <w:szCs w:val="24"/>
        </w:rPr>
        <w:t>i respiratorii. Expunerea pe termen lung la o concentra</w:t>
      </w:r>
      <w:r w:rsidR="00054880" w:rsidRPr="00EA1BB2">
        <w:rPr>
          <w:rFonts w:ascii="Cambria" w:hAnsi="Cambria" w:cs="Times New Roman"/>
          <w:sz w:val="24"/>
          <w:szCs w:val="24"/>
        </w:rPr>
        <w:t>ț</w:t>
      </w:r>
      <w:r w:rsidRPr="00EA1BB2">
        <w:rPr>
          <w:rFonts w:ascii="Cambria" w:hAnsi="Cambria" w:cs="Times New Roman"/>
          <w:sz w:val="24"/>
          <w:szCs w:val="24"/>
        </w:rPr>
        <w:t xml:space="preserve">ie scăzută de particule poate cauza cancer </w:t>
      </w:r>
      <w:r w:rsidR="00054880" w:rsidRPr="00EA1BB2">
        <w:rPr>
          <w:rFonts w:ascii="Cambria" w:hAnsi="Cambria" w:cs="Times New Roman"/>
          <w:sz w:val="24"/>
          <w:szCs w:val="24"/>
        </w:rPr>
        <w:t>ș</w:t>
      </w:r>
      <w:r w:rsidRPr="00EA1BB2">
        <w:rPr>
          <w:rFonts w:ascii="Cambria" w:hAnsi="Cambria" w:cs="Times New Roman"/>
          <w:sz w:val="24"/>
          <w:szCs w:val="24"/>
        </w:rPr>
        <w:t>i moartea prematură.</w:t>
      </w:r>
    </w:p>
    <w:p w14:paraId="2B8BE961" w14:textId="77777777" w:rsidR="00343667" w:rsidRPr="00EA1BB2" w:rsidRDefault="00343667" w:rsidP="002553EA">
      <w:pPr>
        <w:spacing w:line="360" w:lineRule="auto"/>
        <w:jc w:val="both"/>
        <w:rPr>
          <w:rFonts w:ascii="Cambria" w:hAnsi="Cambria" w:cs="Times New Roman"/>
          <w:sz w:val="24"/>
          <w:szCs w:val="24"/>
        </w:rPr>
      </w:pPr>
    </w:p>
    <w:p w14:paraId="3184F772" w14:textId="1CAB8208" w:rsidR="002553EA" w:rsidRPr="00EA1BB2" w:rsidRDefault="002553EA" w:rsidP="002553EA">
      <w:pPr>
        <w:keepNext/>
        <w:spacing w:line="360" w:lineRule="auto"/>
        <w:ind w:firstLine="708"/>
        <w:jc w:val="both"/>
        <w:rPr>
          <w:rFonts w:ascii="Cambria" w:eastAsia="Times New Roman" w:hAnsi="Cambria" w:cs="Times New Roman"/>
          <w:b/>
          <w:sz w:val="24"/>
          <w:szCs w:val="24"/>
        </w:rPr>
      </w:pPr>
      <w:bookmarkStart w:id="156" w:name="_Toc526889798"/>
      <w:r w:rsidRPr="00EA1BB2">
        <w:rPr>
          <w:rFonts w:ascii="Cambria" w:eastAsia="Calibri" w:hAnsi="Cambria" w:cs="Times New Roman"/>
          <w:b/>
          <w:iCs/>
          <w:sz w:val="24"/>
          <w:szCs w:val="24"/>
        </w:rPr>
        <w:t xml:space="preserve">Tabelul nr. </w:t>
      </w:r>
      <w:r w:rsidR="000A2FE7" w:rsidRPr="00EA1BB2">
        <w:rPr>
          <w:rFonts w:ascii="Cambria" w:eastAsia="Calibri" w:hAnsi="Cambria" w:cs="Times New Roman"/>
          <w:b/>
          <w:iCs/>
          <w:sz w:val="24"/>
          <w:szCs w:val="24"/>
        </w:rPr>
        <w:fldChar w:fldCharType="begin"/>
      </w:r>
      <w:r w:rsidR="000A2FE7" w:rsidRPr="00EA1BB2">
        <w:rPr>
          <w:rFonts w:ascii="Cambria" w:eastAsia="Calibri" w:hAnsi="Cambria" w:cs="Times New Roman"/>
          <w:b/>
          <w:iCs/>
          <w:sz w:val="24"/>
          <w:szCs w:val="24"/>
        </w:rPr>
        <w:instrText xml:space="preserve"> STYLEREF 1 \s </w:instrText>
      </w:r>
      <w:r w:rsidR="000A2FE7" w:rsidRPr="00EA1BB2">
        <w:rPr>
          <w:rFonts w:ascii="Cambria" w:eastAsia="Calibri" w:hAnsi="Cambria" w:cs="Times New Roman"/>
          <w:b/>
          <w:iCs/>
          <w:sz w:val="24"/>
          <w:szCs w:val="24"/>
        </w:rPr>
        <w:fldChar w:fldCharType="separate"/>
      </w:r>
      <w:r w:rsidR="00567555">
        <w:rPr>
          <w:rFonts w:ascii="Cambria" w:eastAsia="Calibri" w:hAnsi="Cambria" w:cs="Times New Roman"/>
          <w:b/>
          <w:iCs/>
          <w:noProof/>
          <w:sz w:val="24"/>
          <w:szCs w:val="24"/>
        </w:rPr>
        <w:t>3</w:t>
      </w:r>
      <w:r w:rsidR="000A2FE7" w:rsidRPr="00EA1BB2">
        <w:rPr>
          <w:rFonts w:ascii="Cambria" w:eastAsia="Calibri" w:hAnsi="Cambria" w:cs="Times New Roman"/>
          <w:b/>
          <w:iCs/>
          <w:sz w:val="24"/>
          <w:szCs w:val="24"/>
        </w:rPr>
        <w:fldChar w:fldCharType="end"/>
      </w:r>
      <w:r w:rsidR="000A2FE7" w:rsidRPr="00EA1BB2">
        <w:rPr>
          <w:rFonts w:ascii="Cambria" w:eastAsia="Calibri" w:hAnsi="Cambria" w:cs="Times New Roman"/>
          <w:b/>
          <w:iCs/>
          <w:sz w:val="24"/>
          <w:szCs w:val="24"/>
        </w:rPr>
        <w:noBreakHyphen/>
      </w:r>
      <w:r w:rsidR="000A2FE7" w:rsidRPr="00EA1BB2">
        <w:rPr>
          <w:rFonts w:ascii="Cambria" w:eastAsia="Calibri" w:hAnsi="Cambria" w:cs="Times New Roman"/>
          <w:b/>
          <w:iCs/>
          <w:sz w:val="24"/>
          <w:szCs w:val="24"/>
        </w:rPr>
        <w:fldChar w:fldCharType="begin"/>
      </w:r>
      <w:r w:rsidR="000A2FE7" w:rsidRPr="00EA1BB2">
        <w:rPr>
          <w:rFonts w:ascii="Cambria" w:eastAsia="Calibri" w:hAnsi="Cambria" w:cs="Times New Roman"/>
          <w:b/>
          <w:iCs/>
          <w:sz w:val="24"/>
          <w:szCs w:val="24"/>
        </w:rPr>
        <w:instrText xml:space="preserve"> SEQ Tabelul_nr. \* ARABIC \s 1 </w:instrText>
      </w:r>
      <w:r w:rsidR="000A2FE7" w:rsidRPr="00EA1BB2">
        <w:rPr>
          <w:rFonts w:ascii="Cambria" w:eastAsia="Calibri" w:hAnsi="Cambria" w:cs="Times New Roman"/>
          <w:b/>
          <w:iCs/>
          <w:sz w:val="24"/>
          <w:szCs w:val="24"/>
        </w:rPr>
        <w:fldChar w:fldCharType="separate"/>
      </w:r>
      <w:r w:rsidR="00567555">
        <w:rPr>
          <w:rFonts w:ascii="Cambria" w:eastAsia="Calibri" w:hAnsi="Cambria" w:cs="Times New Roman"/>
          <w:b/>
          <w:iCs/>
          <w:noProof/>
          <w:sz w:val="24"/>
          <w:szCs w:val="24"/>
        </w:rPr>
        <w:t>29</w:t>
      </w:r>
      <w:r w:rsidR="000A2FE7" w:rsidRPr="00EA1BB2">
        <w:rPr>
          <w:rFonts w:ascii="Cambria" w:eastAsia="Calibri" w:hAnsi="Cambria" w:cs="Times New Roman"/>
          <w:b/>
          <w:iCs/>
          <w:sz w:val="24"/>
          <w:szCs w:val="24"/>
        </w:rPr>
        <w:fldChar w:fldCharType="end"/>
      </w:r>
      <w:r w:rsidRPr="00EA1BB2">
        <w:rPr>
          <w:rFonts w:ascii="Cambria" w:eastAsia="Calibri" w:hAnsi="Cambria" w:cs="Times New Roman"/>
          <w:b/>
          <w:iCs/>
          <w:sz w:val="24"/>
          <w:szCs w:val="24"/>
        </w:rPr>
        <w:t xml:space="preserve"> - </w:t>
      </w:r>
      <w:r w:rsidRPr="00EA1BB2">
        <w:rPr>
          <w:rFonts w:ascii="Cambria" w:eastAsia="Times New Roman" w:hAnsi="Cambria" w:cs="Times New Roman"/>
          <w:b/>
          <w:sz w:val="24"/>
          <w:szCs w:val="24"/>
        </w:rPr>
        <w:t>Cerin</w:t>
      </w:r>
      <w:r w:rsidR="00054880" w:rsidRPr="00EA1BB2">
        <w:rPr>
          <w:rFonts w:ascii="Cambria" w:eastAsia="Times New Roman" w:hAnsi="Cambria" w:cs="Times New Roman"/>
          <w:b/>
          <w:sz w:val="24"/>
          <w:szCs w:val="24"/>
        </w:rPr>
        <w:t>ț</w:t>
      </w:r>
      <w:r w:rsidRPr="00EA1BB2">
        <w:rPr>
          <w:rFonts w:ascii="Cambria" w:eastAsia="Times New Roman" w:hAnsi="Cambria" w:cs="Times New Roman"/>
          <w:b/>
          <w:sz w:val="24"/>
          <w:szCs w:val="24"/>
        </w:rPr>
        <w:t>ele pentru evaluarea concentra</w:t>
      </w:r>
      <w:r w:rsidR="00054880" w:rsidRPr="00EA1BB2">
        <w:rPr>
          <w:rFonts w:ascii="Cambria" w:eastAsia="Times New Roman" w:hAnsi="Cambria" w:cs="Times New Roman"/>
          <w:b/>
          <w:sz w:val="24"/>
          <w:szCs w:val="24"/>
        </w:rPr>
        <w:t>ț</w:t>
      </w:r>
      <w:r w:rsidRPr="00EA1BB2">
        <w:rPr>
          <w:rFonts w:ascii="Cambria" w:eastAsia="Times New Roman" w:hAnsi="Cambria" w:cs="Times New Roman"/>
          <w:b/>
          <w:sz w:val="24"/>
          <w:szCs w:val="24"/>
        </w:rPr>
        <w:t>iilor de Pulberi în suspensie</w:t>
      </w:r>
      <w:bookmarkEnd w:id="156"/>
    </w:p>
    <w:tbl>
      <w:tblPr>
        <w:tblStyle w:val="TableGrid7"/>
        <w:tblW w:w="9067" w:type="dxa"/>
        <w:tblLook w:val="04A0" w:firstRow="1" w:lastRow="0" w:firstColumn="1" w:lastColumn="0" w:noHBand="0" w:noVBand="1"/>
      </w:tblPr>
      <w:tblGrid>
        <w:gridCol w:w="1980"/>
        <w:gridCol w:w="7087"/>
      </w:tblGrid>
      <w:tr w:rsidR="002553EA" w:rsidRPr="00EA1BB2" w14:paraId="786476F9" w14:textId="77777777" w:rsidTr="00F07577">
        <w:tc>
          <w:tcPr>
            <w:tcW w:w="1980" w:type="dxa"/>
            <w:shd w:val="clear" w:color="auto" w:fill="BDD6EE" w:themeFill="accent1" w:themeFillTint="66"/>
            <w:vAlign w:val="center"/>
          </w:tcPr>
          <w:p w14:paraId="551595A6" w14:textId="77777777" w:rsidR="002553EA" w:rsidRPr="00EA1BB2" w:rsidRDefault="002553EA" w:rsidP="002553EA">
            <w:pPr>
              <w:spacing w:line="360" w:lineRule="auto"/>
              <w:jc w:val="center"/>
              <w:rPr>
                <w:rFonts w:ascii="Cambria" w:hAnsi="Cambria"/>
                <w:b/>
                <w:sz w:val="24"/>
                <w:szCs w:val="24"/>
                <w:lang w:val="ro-RO"/>
              </w:rPr>
            </w:pPr>
            <w:r w:rsidRPr="00EA1BB2">
              <w:rPr>
                <w:rFonts w:ascii="Cambria" w:hAnsi="Cambria"/>
                <w:b/>
                <w:sz w:val="24"/>
                <w:szCs w:val="24"/>
                <w:lang w:val="ro-RO"/>
              </w:rPr>
              <w:t>Parametru</w:t>
            </w:r>
          </w:p>
        </w:tc>
        <w:tc>
          <w:tcPr>
            <w:tcW w:w="7087" w:type="dxa"/>
            <w:shd w:val="clear" w:color="auto" w:fill="BDD6EE" w:themeFill="accent1" w:themeFillTint="66"/>
            <w:vAlign w:val="center"/>
          </w:tcPr>
          <w:p w14:paraId="381AD4DA" w14:textId="77777777" w:rsidR="002553EA" w:rsidRPr="00EA1BB2" w:rsidRDefault="002553EA" w:rsidP="002553EA">
            <w:pPr>
              <w:spacing w:line="360" w:lineRule="auto"/>
              <w:jc w:val="center"/>
              <w:rPr>
                <w:rFonts w:ascii="Cambria" w:hAnsi="Cambria"/>
                <w:b/>
                <w:sz w:val="24"/>
                <w:szCs w:val="24"/>
                <w:lang w:val="ro-RO"/>
              </w:rPr>
            </w:pPr>
            <w:r w:rsidRPr="00EA1BB2">
              <w:rPr>
                <w:rFonts w:ascii="Cambria" w:hAnsi="Cambria"/>
                <w:b/>
                <w:sz w:val="24"/>
                <w:szCs w:val="24"/>
                <w:lang w:val="ro-RO"/>
              </w:rPr>
              <w:t>Valoare</w:t>
            </w:r>
          </w:p>
        </w:tc>
      </w:tr>
      <w:tr w:rsidR="002553EA" w:rsidRPr="00EA1BB2" w14:paraId="305D1A5E" w14:textId="77777777" w:rsidTr="00B46084">
        <w:tc>
          <w:tcPr>
            <w:tcW w:w="9067" w:type="dxa"/>
            <w:gridSpan w:val="2"/>
            <w:vAlign w:val="center"/>
          </w:tcPr>
          <w:p w14:paraId="41352F1C" w14:textId="77777777" w:rsidR="002553EA" w:rsidRPr="00EA1BB2" w:rsidRDefault="002553EA" w:rsidP="002553EA">
            <w:pPr>
              <w:spacing w:line="360" w:lineRule="auto"/>
              <w:rPr>
                <w:rFonts w:ascii="Cambria" w:hAnsi="Cambria"/>
                <w:bCs/>
                <w:sz w:val="24"/>
                <w:szCs w:val="24"/>
                <w:lang w:val="ro-RO"/>
              </w:rPr>
            </w:pPr>
            <w:r w:rsidRPr="00EA1BB2">
              <w:rPr>
                <w:rFonts w:ascii="Cambria" w:hAnsi="Cambria"/>
                <w:bCs/>
                <w:sz w:val="24"/>
                <w:szCs w:val="24"/>
                <w:lang w:val="ro-RO"/>
              </w:rPr>
              <w:t>Pulberi în suspensie - PM</w:t>
            </w:r>
            <w:r w:rsidRPr="00EA1BB2">
              <w:rPr>
                <w:rFonts w:ascii="Cambria" w:hAnsi="Cambria"/>
                <w:bCs/>
                <w:sz w:val="24"/>
                <w:szCs w:val="24"/>
                <w:vertAlign w:val="subscript"/>
                <w:lang w:val="ro-RO"/>
              </w:rPr>
              <w:t>10</w:t>
            </w:r>
          </w:p>
        </w:tc>
      </w:tr>
      <w:tr w:rsidR="002553EA" w:rsidRPr="00EA1BB2" w14:paraId="22C38C24" w14:textId="77777777" w:rsidTr="00F07577">
        <w:tc>
          <w:tcPr>
            <w:tcW w:w="1980" w:type="dxa"/>
            <w:vAlign w:val="center"/>
          </w:tcPr>
          <w:p w14:paraId="7EC94FC7" w14:textId="77777777" w:rsidR="002553EA" w:rsidRPr="00EA1BB2" w:rsidRDefault="002553EA" w:rsidP="00831372">
            <w:pPr>
              <w:spacing w:line="360" w:lineRule="auto"/>
              <w:jc w:val="center"/>
              <w:rPr>
                <w:rFonts w:ascii="Cambria" w:hAnsi="Cambria"/>
                <w:sz w:val="24"/>
                <w:szCs w:val="24"/>
                <w:lang w:val="ro-RO"/>
              </w:rPr>
            </w:pPr>
            <w:r w:rsidRPr="00EA1BB2">
              <w:rPr>
                <w:rFonts w:ascii="Cambria" w:hAnsi="Cambria"/>
                <w:bCs/>
                <w:sz w:val="24"/>
                <w:szCs w:val="24"/>
                <w:lang w:val="ro-RO"/>
              </w:rPr>
              <w:t>Valori</w:t>
            </w:r>
            <w:r w:rsidR="00831372" w:rsidRPr="00EA1BB2">
              <w:rPr>
                <w:rFonts w:ascii="Cambria" w:hAnsi="Cambria"/>
                <w:bCs/>
                <w:sz w:val="24"/>
                <w:szCs w:val="24"/>
                <w:lang w:val="ro-RO"/>
              </w:rPr>
              <w:t>-</w:t>
            </w:r>
            <w:r w:rsidRPr="00EA1BB2">
              <w:rPr>
                <w:rFonts w:ascii="Cambria" w:hAnsi="Cambria"/>
                <w:bCs/>
                <w:sz w:val="24"/>
                <w:szCs w:val="24"/>
                <w:lang w:val="ro-RO"/>
              </w:rPr>
              <w:t>limită</w:t>
            </w:r>
          </w:p>
        </w:tc>
        <w:tc>
          <w:tcPr>
            <w:tcW w:w="7087" w:type="dxa"/>
            <w:vAlign w:val="center"/>
          </w:tcPr>
          <w:p w14:paraId="0C067803" w14:textId="77777777" w:rsidR="002553EA" w:rsidRPr="00EA1BB2" w:rsidRDefault="002553EA" w:rsidP="00831372">
            <w:pPr>
              <w:spacing w:line="360" w:lineRule="auto"/>
              <w:ind w:right="-112"/>
              <w:rPr>
                <w:rFonts w:ascii="Cambria" w:hAnsi="Cambria"/>
                <w:bCs/>
                <w:sz w:val="24"/>
                <w:szCs w:val="24"/>
                <w:lang w:val="ro-RO"/>
              </w:rPr>
            </w:pPr>
            <w:r w:rsidRPr="00EA1BB2">
              <w:rPr>
                <w:rFonts w:ascii="Cambria" w:hAnsi="Cambria"/>
                <w:bCs/>
                <w:sz w:val="24"/>
                <w:szCs w:val="24"/>
                <w:lang w:val="ro-RO"/>
              </w:rPr>
              <w:t xml:space="preserve">50 </w:t>
            </w:r>
            <w:r w:rsidRPr="00EA1BB2">
              <w:rPr>
                <w:rFonts w:ascii="Cambria" w:hAnsi="Cambria" w:cs="Times New Roman"/>
                <w:bCs/>
                <w:sz w:val="24"/>
                <w:szCs w:val="24"/>
                <w:lang w:val="ro-RO"/>
              </w:rPr>
              <w:t>µ</w:t>
            </w:r>
            <w:r w:rsidRPr="00EA1BB2">
              <w:rPr>
                <w:rFonts w:ascii="Cambria" w:hAnsi="Cambria"/>
                <w:bCs/>
                <w:sz w:val="24"/>
                <w:szCs w:val="24"/>
                <w:lang w:val="ro-RO"/>
              </w:rPr>
              <w:t>g/m</w:t>
            </w:r>
            <w:r w:rsidRPr="00EA1BB2">
              <w:rPr>
                <w:rFonts w:ascii="Cambria" w:hAnsi="Cambria"/>
                <w:bCs/>
                <w:sz w:val="24"/>
                <w:szCs w:val="24"/>
                <w:vertAlign w:val="superscript"/>
                <w:lang w:val="ro-RO"/>
              </w:rPr>
              <w:t>3</w:t>
            </w:r>
            <w:r w:rsidR="00831372" w:rsidRPr="00EA1BB2">
              <w:rPr>
                <w:rFonts w:ascii="Cambria" w:hAnsi="Cambria"/>
                <w:bCs/>
                <w:sz w:val="24"/>
                <w:szCs w:val="24"/>
                <w:lang w:val="ro-RO"/>
              </w:rPr>
              <w:t>–</w:t>
            </w:r>
            <w:r w:rsidRPr="00EA1BB2">
              <w:rPr>
                <w:rFonts w:ascii="Cambria" w:hAnsi="Cambria"/>
                <w:bCs/>
                <w:sz w:val="24"/>
                <w:szCs w:val="24"/>
                <w:lang w:val="ro-RO"/>
              </w:rPr>
              <w:t xml:space="preserve"> valoarea</w:t>
            </w:r>
            <w:r w:rsidR="00831372" w:rsidRPr="00EA1BB2">
              <w:rPr>
                <w:rFonts w:ascii="Cambria" w:hAnsi="Cambria"/>
                <w:bCs/>
                <w:sz w:val="24"/>
                <w:szCs w:val="24"/>
                <w:lang w:val="ro-RO"/>
              </w:rPr>
              <w:t>-</w:t>
            </w:r>
            <w:r w:rsidRPr="00EA1BB2">
              <w:rPr>
                <w:rFonts w:ascii="Cambria" w:hAnsi="Cambria"/>
                <w:bCs/>
                <w:sz w:val="24"/>
                <w:szCs w:val="24"/>
                <w:lang w:val="ro-RO"/>
              </w:rPr>
              <w:t>limită zilnică pentru protec</w:t>
            </w:r>
            <w:r w:rsidR="00054880" w:rsidRPr="00EA1BB2">
              <w:rPr>
                <w:rFonts w:ascii="Cambria" w:hAnsi="Cambria"/>
                <w:bCs/>
                <w:sz w:val="24"/>
                <w:szCs w:val="24"/>
                <w:lang w:val="ro-RO"/>
              </w:rPr>
              <w:t>ț</w:t>
            </w:r>
            <w:r w:rsidRPr="00EA1BB2">
              <w:rPr>
                <w:rFonts w:ascii="Cambria" w:hAnsi="Cambria"/>
                <w:bCs/>
                <w:sz w:val="24"/>
                <w:szCs w:val="24"/>
                <w:lang w:val="ro-RO"/>
              </w:rPr>
              <w:t>ia sănătă</w:t>
            </w:r>
            <w:r w:rsidR="00054880" w:rsidRPr="00EA1BB2">
              <w:rPr>
                <w:rFonts w:ascii="Cambria" w:hAnsi="Cambria"/>
                <w:bCs/>
                <w:sz w:val="24"/>
                <w:szCs w:val="24"/>
                <w:lang w:val="ro-RO"/>
              </w:rPr>
              <w:t>ț</w:t>
            </w:r>
            <w:r w:rsidRPr="00EA1BB2">
              <w:rPr>
                <w:rFonts w:ascii="Cambria" w:hAnsi="Cambria"/>
                <w:bCs/>
                <w:sz w:val="24"/>
                <w:szCs w:val="24"/>
                <w:lang w:val="ro-RO"/>
              </w:rPr>
              <w:t>ii umane</w:t>
            </w:r>
            <w:r w:rsidR="006455F6" w:rsidRPr="00EA1BB2">
              <w:rPr>
                <w:rFonts w:ascii="Cambria" w:hAnsi="Cambria"/>
                <w:bCs/>
                <w:sz w:val="24"/>
                <w:szCs w:val="24"/>
                <w:lang w:val="ro-RO"/>
              </w:rPr>
              <w:t xml:space="preserve"> (a nu se depăși mai mult de 35 de ori într-un an calendaristic)</w:t>
            </w:r>
          </w:p>
          <w:p w14:paraId="6F36C229" w14:textId="77777777" w:rsidR="002553EA" w:rsidRPr="00EA1BB2" w:rsidRDefault="002553EA" w:rsidP="00831372">
            <w:pPr>
              <w:spacing w:line="360" w:lineRule="auto"/>
              <w:ind w:right="-112"/>
              <w:rPr>
                <w:rFonts w:ascii="Cambria" w:hAnsi="Cambria"/>
                <w:sz w:val="24"/>
                <w:szCs w:val="24"/>
                <w:lang w:val="ro-RO"/>
              </w:rPr>
            </w:pPr>
            <w:r w:rsidRPr="00EA1BB2">
              <w:rPr>
                <w:rFonts w:ascii="Cambria" w:hAnsi="Cambria"/>
                <w:bCs/>
                <w:sz w:val="24"/>
                <w:szCs w:val="24"/>
                <w:lang w:val="ro-RO"/>
              </w:rPr>
              <w:t xml:space="preserve">40 </w:t>
            </w:r>
            <w:r w:rsidRPr="00EA1BB2">
              <w:rPr>
                <w:rFonts w:ascii="Cambria" w:hAnsi="Cambria" w:cs="Times New Roman"/>
                <w:bCs/>
                <w:sz w:val="24"/>
                <w:szCs w:val="24"/>
                <w:lang w:val="ro-RO"/>
              </w:rPr>
              <w:t>µ</w:t>
            </w:r>
            <w:r w:rsidRPr="00EA1BB2">
              <w:rPr>
                <w:rFonts w:ascii="Cambria" w:hAnsi="Cambria"/>
                <w:bCs/>
                <w:sz w:val="24"/>
                <w:szCs w:val="24"/>
                <w:lang w:val="ro-RO"/>
              </w:rPr>
              <w:t>g/m</w:t>
            </w:r>
            <w:r w:rsidRPr="00EA1BB2">
              <w:rPr>
                <w:rFonts w:ascii="Cambria" w:hAnsi="Cambria"/>
                <w:bCs/>
                <w:sz w:val="24"/>
                <w:szCs w:val="24"/>
                <w:vertAlign w:val="superscript"/>
                <w:lang w:val="ro-RO"/>
              </w:rPr>
              <w:t>3</w:t>
            </w:r>
            <w:r w:rsidR="00831372" w:rsidRPr="00EA1BB2">
              <w:rPr>
                <w:rFonts w:ascii="Cambria" w:hAnsi="Cambria"/>
                <w:bCs/>
                <w:sz w:val="24"/>
                <w:szCs w:val="24"/>
                <w:lang w:val="ro-RO"/>
              </w:rPr>
              <w:t>–</w:t>
            </w:r>
            <w:r w:rsidRPr="00EA1BB2">
              <w:rPr>
                <w:rFonts w:ascii="Cambria" w:hAnsi="Cambria"/>
                <w:bCs/>
                <w:sz w:val="24"/>
                <w:szCs w:val="24"/>
                <w:lang w:val="ro-RO"/>
              </w:rPr>
              <w:t xml:space="preserve"> valoarea</w:t>
            </w:r>
            <w:r w:rsidR="00831372" w:rsidRPr="00EA1BB2">
              <w:rPr>
                <w:rFonts w:ascii="Cambria" w:hAnsi="Cambria"/>
                <w:bCs/>
                <w:sz w:val="24"/>
                <w:szCs w:val="24"/>
                <w:lang w:val="ro-RO"/>
              </w:rPr>
              <w:t>-</w:t>
            </w:r>
            <w:r w:rsidRPr="00EA1BB2">
              <w:rPr>
                <w:rFonts w:ascii="Cambria" w:hAnsi="Cambria"/>
                <w:bCs/>
                <w:sz w:val="24"/>
                <w:szCs w:val="24"/>
                <w:lang w:val="ro-RO"/>
              </w:rPr>
              <w:t>limită zilnică pentru protec</w:t>
            </w:r>
            <w:r w:rsidR="00054880" w:rsidRPr="00EA1BB2">
              <w:rPr>
                <w:rFonts w:ascii="Cambria" w:hAnsi="Cambria"/>
                <w:bCs/>
                <w:sz w:val="24"/>
                <w:szCs w:val="24"/>
                <w:lang w:val="ro-RO"/>
              </w:rPr>
              <w:t>ț</w:t>
            </w:r>
            <w:r w:rsidRPr="00EA1BB2">
              <w:rPr>
                <w:rFonts w:ascii="Cambria" w:hAnsi="Cambria"/>
                <w:bCs/>
                <w:sz w:val="24"/>
                <w:szCs w:val="24"/>
                <w:lang w:val="ro-RO"/>
              </w:rPr>
              <w:t>ia sănătă</w:t>
            </w:r>
            <w:r w:rsidR="00054880" w:rsidRPr="00EA1BB2">
              <w:rPr>
                <w:rFonts w:ascii="Cambria" w:hAnsi="Cambria"/>
                <w:bCs/>
                <w:sz w:val="24"/>
                <w:szCs w:val="24"/>
                <w:lang w:val="ro-RO"/>
              </w:rPr>
              <w:t>ț</w:t>
            </w:r>
            <w:r w:rsidRPr="00EA1BB2">
              <w:rPr>
                <w:rFonts w:ascii="Cambria" w:hAnsi="Cambria"/>
                <w:bCs/>
                <w:sz w:val="24"/>
                <w:szCs w:val="24"/>
                <w:lang w:val="ro-RO"/>
              </w:rPr>
              <w:t>ii umane</w:t>
            </w:r>
          </w:p>
        </w:tc>
      </w:tr>
      <w:tr w:rsidR="000970C9" w:rsidRPr="00EA1BB2" w14:paraId="78500928" w14:textId="77777777" w:rsidTr="00F07577">
        <w:tc>
          <w:tcPr>
            <w:tcW w:w="1980" w:type="dxa"/>
            <w:vAlign w:val="center"/>
          </w:tcPr>
          <w:p w14:paraId="42E414A0" w14:textId="77777777" w:rsidR="000970C9" w:rsidRPr="00EA1BB2" w:rsidRDefault="000970C9" w:rsidP="000970C9">
            <w:pPr>
              <w:spacing w:line="360" w:lineRule="auto"/>
              <w:jc w:val="center"/>
              <w:rPr>
                <w:rFonts w:ascii="Cambria" w:hAnsi="Cambria"/>
                <w:bCs/>
                <w:sz w:val="24"/>
                <w:szCs w:val="24"/>
                <w:lang w:val="ro-RO"/>
              </w:rPr>
            </w:pPr>
            <w:r w:rsidRPr="00EA1BB2">
              <w:rPr>
                <w:rFonts w:ascii="Cambria" w:hAnsi="Cambria"/>
                <w:bCs/>
                <w:sz w:val="24"/>
                <w:szCs w:val="24"/>
                <w:lang w:val="ro-RO"/>
              </w:rPr>
              <w:t>Pragul superior de evaluare</w:t>
            </w:r>
          </w:p>
        </w:tc>
        <w:tc>
          <w:tcPr>
            <w:tcW w:w="7087" w:type="dxa"/>
            <w:vAlign w:val="center"/>
          </w:tcPr>
          <w:p w14:paraId="42F805E8" w14:textId="01E71867" w:rsidR="000970C9" w:rsidRPr="00EA1BB2" w:rsidRDefault="000970C9" w:rsidP="000970C9">
            <w:pPr>
              <w:spacing w:line="360" w:lineRule="auto"/>
              <w:jc w:val="both"/>
              <w:rPr>
                <w:rFonts w:ascii="Cambria" w:hAnsi="Cambria"/>
                <w:bCs/>
                <w:sz w:val="24"/>
                <w:szCs w:val="24"/>
                <w:lang w:val="ro-RO"/>
              </w:rPr>
            </w:pPr>
            <w:r w:rsidRPr="00EA1BB2">
              <w:rPr>
                <w:rFonts w:ascii="Cambria" w:hAnsi="Cambria"/>
                <w:bCs/>
                <w:sz w:val="24"/>
                <w:szCs w:val="24"/>
                <w:lang w:val="ro-RO"/>
              </w:rPr>
              <w:t>70% din valoarea-limită pentru24 de ore (35 µg/m</w:t>
            </w:r>
            <w:r w:rsidRPr="00EA1BB2">
              <w:rPr>
                <w:rFonts w:ascii="Cambria" w:hAnsi="Cambria"/>
                <w:bCs/>
                <w:sz w:val="24"/>
                <w:szCs w:val="24"/>
                <w:vertAlign w:val="superscript"/>
                <w:lang w:val="ro-RO"/>
              </w:rPr>
              <w:t>3</w:t>
            </w:r>
            <w:r w:rsidRPr="00EA1BB2">
              <w:rPr>
                <w:rFonts w:ascii="Cambria" w:hAnsi="Cambria"/>
                <w:bCs/>
                <w:sz w:val="24"/>
                <w:szCs w:val="24"/>
                <w:lang w:val="ro-RO"/>
              </w:rPr>
              <w:t>, a nu se</w:t>
            </w:r>
            <w:r w:rsidR="00BD06C5" w:rsidRPr="00EA1BB2">
              <w:rPr>
                <w:rFonts w:ascii="Cambria" w:hAnsi="Cambria"/>
                <w:bCs/>
                <w:sz w:val="24"/>
                <w:szCs w:val="24"/>
                <w:lang w:val="ro-RO"/>
              </w:rPr>
              <w:t xml:space="preserve"> </w:t>
            </w:r>
            <w:r w:rsidRPr="00EA1BB2">
              <w:rPr>
                <w:rFonts w:ascii="Cambria" w:hAnsi="Cambria"/>
                <w:bCs/>
                <w:sz w:val="24"/>
                <w:szCs w:val="24"/>
                <w:lang w:val="ro-RO"/>
              </w:rPr>
              <w:t>depă</w:t>
            </w:r>
            <w:r w:rsidR="00054880" w:rsidRPr="00EA1BB2">
              <w:rPr>
                <w:rFonts w:ascii="Cambria" w:hAnsi="Cambria"/>
                <w:bCs/>
                <w:sz w:val="24"/>
                <w:szCs w:val="24"/>
                <w:lang w:val="ro-RO"/>
              </w:rPr>
              <w:t>ș</w:t>
            </w:r>
            <w:r w:rsidR="00D14C8B" w:rsidRPr="00EA1BB2">
              <w:rPr>
                <w:rFonts w:ascii="Cambria" w:hAnsi="Cambria"/>
                <w:bCs/>
                <w:sz w:val="24"/>
                <w:szCs w:val="24"/>
                <w:lang w:val="ro-RO"/>
              </w:rPr>
              <w:t>i</w:t>
            </w:r>
            <w:r w:rsidRPr="00EA1BB2">
              <w:rPr>
                <w:rFonts w:ascii="Cambria" w:hAnsi="Cambria"/>
                <w:bCs/>
                <w:sz w:val="24"/>
                <w:szCs w:val="24"/>
                <w:lang w:val="ro-RO"/>
              </w:rPr>
              <w:t xml:space="preserve"> mai mult de 35 ori</w:t>
            </w:r>
            <w:r w:rsidR="00BD06C5" w:rsidRPr="00EA1BB2">
              <w:rPr>
                <w:rFonts w:ascii="Cambria" w:hAnsi="Cambria"/>
                <w:bCs/>
                <w:sz w:val="24"/>
                <w:szCs w:val="24"/>
                <w:lang w:val="ro-RO"/>
              </w:rPr>
              <w:t xml:space="preserve"> </w:t>
            </w:r>
            <w:r w:rsidRPr="00EA1BB2">
              <w:rPr>
                <w:rFonts w:ascii="Cambria" w:hAnsi="Cambria"/>
                <w:bCs/>
                <w:sz w:val="24"/>
                <w:szCs w:val="24"/>
                <w:lang w:val="ro-RO"/>
              </w:rPr>
              <w:t>într-un an calendaristic)</w:t>
            </w:r>
          </w:p>
          <w:p w14:paraId="40076F92" w14:textId="77777777" w:rsidR="000970C9" w:rsidRPr="00EA1BB2" w:rsidRDefault="000970C9" w:rsidP="000970C9">
            <w:pPr>
              <w:spacing w:line="360" w:lineRule="auto"/>
              <w:rPr>
                <w:rFonts w:ascii="Cambria" w:hAnsi="Cambria"/>
                <w:bCs/>
                <w:sz w:val="24"/>
                <w:szCs w:val="24"/>
                <w:lang w:val="ro-RO"/>
              </w:rPr>
            </w:pPr>
            <w:r w:rsidRPr="00EA1BB2">
              <w:rPr>
                <w:rFonts w:ascii="Cambria" w:hAnsi="Cambria"/>
                <w:bCs/>
                <w:sz w:val="24"/>
                <w:szCs w:val="24"/>
                <w:lang w:val="ro-RO"/>
              </w:rPr>
              <w:t>70% din valoarea-limită anuală (28 µg/m</w:t>
            </w:r>
            <w:r w:rsidRPr="00EA1BB2">
              <w:rPr>
                <w:rFonts w:ascii="Cambria" w:hAnsi="Cambria"/>
                <w:bCs/>
                <w:sz w:val="24"/>
                <w:szCs w:val="24"/>
                <w:vertAlign w:val="superscript"/>
                <w:lang w:val="ro-RO"/>
              </w:rPr>
              <w:t>3</w:t>
            </w:r>
            <w:r w:rsidRPr="00EA1BB2">
              <w:rPr>
                <w:rFonts w:ascii="Cambria" w:hAnsi="Cambria"/>
                <w:bCs/>
                <w:sz w:val="24"/>
                <w:szCs w:val="24"/>
                <w:lang w:val="ro-RO"/>
              </w:rPr>
              <w:t>)</w:t>
            </w:r>
          </w:p>
        </w:tc>
      </w:tr>
      <w:tr w:rsidR="000970C9" w:rsidRPr="00EA1BB2" w14:paraId="20969409" w14:textId="77777777" w:rsidTr="00F07577">
        <w:tc>
          <w:tcPr>
            <w:tcW w:w="1980" w:type="dxa"/>
            <w:vAlign w:val="center"/>
          </w:tcPr>
          <w:p w14:paraId="317C2A8F" w14:textId="77777777" w:rsidR="000970C9" w:rsidRPr="00EA1BB2" w:rsidRDefault="000970C9" w:rsidP="000970C9">
            <w:pPr>
              <w:spacing w:line="360" w:lineRule="auto"/>
              <w:jc w:val="center"/>
              <w:rPr>
                <w:rFonts w:ascii="Cambria" w:hAnsi="Cambria"/>
                <w:bCs/>
                <w:sz w:val="24"/>
                <w:szCs w:val="24"/>
                <w:lang w:val="ro-RO"/>
              </w:rPr>
            </w:pPr>
            <w:r w:rsidRPr="00EA1BB2">
              <w:rPr>
                <w:rFonts w:ascii="Cambria" w:hAnsi="Cambria"/>
                <w:bCs/>
                <w:sz w:val="24"/>
                <w:szCs w:val="24"/>
                <w:lang w:val="ro-RO"/>
              </w:rPr>
              <w:t xml:space="preserve">Pragul inferior de evaluare </w:t>
            </w:r>
          </w:p>
        </w:tc>
        <w:tc>
          <w:tcPr>
            <w:tcW w:w="7087" w:type="dxa"/>
            <w:vAlign w:val="center"/>
          </w:tcPr>
          <w:p w14:paraId="03798080" w14:textId="77777777" w:rsidR="000970C9" w:rsidRPr="00EA1BB2" w:rsidRDefault="000970C9" w:rsidP="000970C9">
            <w:pPr>
              <w:spacing w:line="360" w:lineRule="auto"/>
              <w:jc w:val="both"/>
              <w:rPr>
                <w:rFonts w:ascii="Cambria" w:hAnsi="Cambria"/>
                <w:bCs/>
                <w:sz w:val="24"/>
                <w:szCs w:val="24"/>
                <w:lang w:val="ro-RO"/>
              </w:rPr>
            </w:pPr>
            <w:r w:rsidRPr="00EA1BB2">
              <w:rPr>
                <w:rFonts w:ascii="Cambria" w:hAnsi="Cambria"/>
                <w:bCs/>
                <w:sz w:val="24"/>
                <w:szCs w:val="24"/>
                <w:lang w:val="ro-RO"/>
              </w:rPr>
              <w:t>50% din valoarea-limită pentru 24 de ore (25 µg/m</w:t>
            </w:r>
            <w:r w:rsidRPr="00EA1BB2">
              <w:rPr>
                <w:rFonts w:ascii="Cambria" w:hAnsi="Cambria"/>
                <w:bCs/>
                <w:sz w:val="24"/>
                <w:szCs w:val="24"/>
                <w:vertAlign w:val="superscript"/>
                <w:lang w:val="ro-RO"/>
              </w:rPr>
              <w:t>3</w:t>
            </w:r>
            <w:r w:rsidRPr="00EA1BB2">
              <w:rPr>
                <w:rFonts w:ascii="Cambria" w:hAnsi="Cambria"/>
                <w:bCs/>
                <w:sz w:val="24"/>
                <w:szCs w:val="24"/>
                <w:lang w:val="ro-RO"/>
              </w:rPr>
              <w:t>, a nu se depă</w:t>
            </w:r>
            <w:r w:rsidR="00054880" w:rsidRPr="00EA1BB2">
              <w:rPr>
                <w:rFonts w:ascii="Cambria" w:hAnsi="Cambria"/>
                <w:bCs/>
                <w:sz w:val="24"/>
                <w:szCs w:val="24"/>
                <w:lang w:val="ro-RO"/>
              </w:rPr>
              <w:t>ș</w:t>
            </w:r>
            <w:r w:rsidRPr="00EA1BB2">
              <w:rPr>
                <w:rFonts w:ascii="Cambria" w:hAnsi="Cambria"/>
                <w:bCs/>
                <w:sz w:val="24"/>
                <w:szCs w:val="24"/>
                <w:lang w:val="ro-RO"/>
              </w:rPr>
              <w:t>i de mai mult de 35 ori într-un an calendaristic)</w:t>
            </w:r>
          </w:p>
          <w:p w14:paraId="67436C17" w14:textId="77777777" w:rsidR="000970C9" w:rsidRPr="00EA1BB2" w:rsidRDefault="000970C9" w:rsidP="000970C9">
            <w:pPr>
              <w:spacing w:line="360" w:lineRule="auto"/>
              <w:rPr>
                <w:rFonts w:ascii="Cambria" w:hAnsi="Cambria"/>
                <w:bCs/>
                <w:sz w:val="24"/>
                <w:szCs w:val="24"/>
                <w:lang w:val="ro-RO"/>
              </w:rPr>
            </w:pPr>
            <w:r w:rsidRPr="00EA1BB2">
              <w:rPr>
                <w:rFonts w:ascii="Cambria" w:hAnsi="Cambria"/>
                <w:bCs/>
                <w:sz w:val="24"/>
                <w:szCs w:val="24"/>
                <w:lang w:val="ro-RO"/>
              </w:rPr>
              <w:t>50% din valoarea-limită anuală (20 µg/m</w:t>
            </w:r>
            <w:r w:rsidRPr="00EA1BB2">
              <w:rPr>
                <w:rFonts w:ascii="Cambria" w:hAnsi="Cambria"/>
                <w:bCs/>
                <w:sz w:val="24"/>
                <w:szCs w:val="24"/>
                <w:vertAlign w:val="superscript"/>
                <w:lang w:val="ro-RO"/>
              </w:rPr>
              <w:t>3</w:t>
            </w:r>
            <w:r w:rsidRPr="00EA1BB2">
              <w:rPr>
                <w:rFonts w:ascii="Cambria" w:hAnsi="Cambria"/>
                <w:bCs/>
                <w:sz w:val="24"/>
                <w:szCs w:val="24"/>
                <w:lang w:val="ro-RO"/>
              </w:rPr>
              <w:t>)</w:t>
            </w:r>
          </w:p>
        </w:tc>
      </w:tr>
      <w:tr w:rsidR="002553EA" w:rsidRPr="00EA1BB2" w14:paraId="3555C0DB" w14:textId="77777777" w:rsidTr="00B46084">
        <w:tc>
          <w:tcPr>
            <w:tcW w:w="9067" w:type="dxa"/>
            <w:gridSpan w:val="2"/>
            <w:vAlign w:val="center"/>
          </w:tcPr>
          <w:p w14:paraId="4BB9E367" w14:textId="77777777" w:rsidR="002553EA" w:rsidRPr="00EA1BB2" w:rsidRDefault="002553EA" w:rsidP="002553EA">
            <w:pPr>
              <w:spacing w:line="360" w:lineRule="auto"/>
              <w:rPr>
                <w:rFonts w:ascii="Cambria" w:hAnsi="Cambria"/>
                <w:bCs/>
                <w:sz w:val="24"/>
                <w:szCs w:val="24"/>
                <w:lang w:val="ro-RO"/>
              </w:rPr>
            </w:pPr>
            <w:r w:rsidRPr="00EA1BB2">
              <w:rPr>
                <w:rFonts w:ascii="Cambria" w:hAnsi="Cambria"/>
                <w:bCs/>
                <w:sz w:val="24"/>
                <w:szCs w:val="24"/>
                <w:lang w:val="ro-RO"/>
              </w:rPr>
              <w:t>Pulberi în suspensie - PM</w:t>
            </w:r>
            <w:r w:rsidRPr="00EA1BB2">
              <w:rPr>
                <w:rFonts w:ascii="Cambria" w:hAnsi="Cambria"/>
                <w:bCs/>
                <w:sz w:val="24"/>
                <w:szCs w:val="24"/>
                <w:vertAlign w:val="subscript"/>
                <w:lang w:val="ro-RO"/>
              </w:rPr>
              <w:t>2,5</w:t>
            </w:r>
          </w:p>
        </w:tc>
      </w:tr>
      <w:tr w:rsidR="002553EA" w:rsidRPr="00EA1BB2" w14:paraId="3BCAB835" w14:textId="77777777" w:rsidTr="00F07577">
        <w:tc>
          <w:tcPr>
            <w:tcW w:w="1980" w:type="dxa"/>
            <w:vAlign w:val="center"/>
          </w:tcPr>
          <w:p w14:paraId="39F78D89" w14:textId="77777777" w:rsidR="002553EA" w:rsidRPr="00EA1BB2" w:rsidRDefault="002553EA" w:rsidP="00831372">
            <w:pPr>
              <w:spacing w:line="360" w:lineRule="auto"/>
              <w:jc w:val="center"/>
              <w:rPr>
                <w:rFonts w:ascii="Cambria" w:hAnsi="Cambria"/>
                <w:sz w:val="24"/>
                <w:szCs w:val="24"/>
                <w:lang w:val="ro-RO"/>
              </w:rPr>
            </w:pPr>
            <w:r w:rsidRPr="00EA1BB2">
              <w:rPr>
                <w:rFonts w:ascii="Cambria" w:hAnsi="Cambria"/>
                <w:bCs/>
                <w:sz w:val="24"/>
                <w:szCs w:val="24"/>
                <w:lang w:val="ro-RO"/>
              </w:rPr>
              <w:t>Valori</w:t>
            </w:r>
            <w:r w:rsidR="00831372" w:rsidRPr="00EA1BB2">
              <w:rPr>
                <w:rFonts w:ascii="Cambria" w:hAnsi="Cambria"/>
                <w:bCs/>
                <w:sz w:val="24"/>
                <w:szCs w:val="24"/>
                <w:lang w:val="ro-RO"/>
              </w:rPr>
              <w:t>-</w:t>
            </w:r>
            <w:r w:rsidRPr="00EA1BB2">
              <w:rPr>
                <w:rFonts w:ascii="Cambria" w:hAnsi="Cambria"/>
                <w:bCs/>
                <w:sz w:val="24"/>
                <w:szCs w:val="24"/>
                <w:lang w:val="ro-RO"/>
              </w:rPr>
              <w:t>limită</w:t>
            </w:r>
          </w:p>
        </w:tc>
        <w:tc>
          <w:tcPr>
            <w:tcW w:w="7087" w:type="dxa"/>
            <w:vAlign w:val="center"/>
          </w:tcPr>
          <w:p w14:paraId="68FD815B" w14:textId="77777777" w:rsidR="002553EA" w:rsidRPr="00EA1BB2" w:rsidRDefault="002553EA" w:rsidP="002553EA">
            <w:pPr>
              <w:spacing w:line="360" w:lineRule="auto"/>
              <w:rPr>
                <w:rFonts w:ascii="Cambria" w:hAnsi="Cambria"/>
                <w:bCs/>
                <w:sz w:val="24"/>
                <w:szCs w:val="24"/>
                <w:lang w:val="ro-RO"/>
              </w:rPr>
            </w:pPr>
            <w:r w:rsidRPr="00EA1BB2">
              <w:rPr>
                <w:rFonts w:ascii="Cambria" w:hAnsi="Cambria"/>
                <w:bCs/>
                <w:sz w:val="24"/>
                <w:szCs w:val="24"/>
                <w:lang w:val="ro-RO"/>
              </w:rPr>
              <w:t xml:space="preserve">25 </w:t>
            </w:r>
            <w:r w:rsidRPr="00EA1BB2">
              <w:rPr>
                <w:rFonts w:ascii="Cambria" w:hAnsi="Cambria" w:cs="Times New Roman"/>
                <w:bCs/>
                <w:sz w:val="24"/>
                <w:szCs w:val="24"/>
                <w:lang w:val="ro-RO"/>
              </w:rPr>
              <w:t>µ</w:t>
            </w:r>
            <w:r w:rsidRPr="00EA1BB2">
              <w:rPr>
                <w:rFonts w:ascii="Cambria" w:hAnsi="Cambria"/>
                <w:bCs/>
                <w:sz w:val="24"/>
                <w:szCs w:val="24"/>
                <w:lang w:val="ro-RO"/>
              </w:rPr>
              <w:t>g/m</w:t>
            </w:r>
            <w:r w:rsidRPr="00EA1BB2">
              <w:rPr>
                <w:rFonts w:ascii="Cambria" w:hAnsi="Cambria"/>
                <w:bCs/>
                <w:sz w:val="24"/>
                <w:szCs w:val="24"/>
                <w:vertAlign w:val="superscript"/>
                <w:lang w:val="ro-RO"/>
              </w:rPr>
              <w:t>3</w:t>
            </w:r>
            <w:r w:rsidR="00831372" w:rsidRPr="00EA1BB2">
              <w:rPr>
                <w:rFonts w:ascii="Cambria" w:hAnsi="Cambria"/>
                <w:bCs/>
                <w:sz w:val="24"/>
                <w:szCs w:val="24"/>
                <w:lang w:val="ro-RO"/>
              </w:rPr>
              <w:t>–</w:t>
            </w:r>
            <w:r w:rsidRPr="00EA1BB2">
              <w:rPr>
                <w:rFonts w:ascii="Cambria" w:hAnsi="Cambria"/>
                <w:bCs/>
                <w:sz w:val="24"/>
                <w:szCs w:val="24"/>
                <w:lang w:val="ro-RO"/>
              </w:rPr>
              <w:t xml:space="preserve"> valoarea</w:t>
            </w:r>
            <w:r w:rsidR="00831372" w:rsidRPr="00EA1BB2">
              <w:rPr>
                <w:rFonts w:ascii="Cambria" w:hAnsi="Cambria"/>
                <w:bCs/>
                <w:sz w:val="24"/>
                <w:szCs w:val="24"/>
                <w:lang w:val="ro-RO"/>
              </w:rPr>
              <w:t>-</w:t>
            </w:r>
            <w:r w:rsidRPr="00EA1BB2">
              <w:rPr>
                <w:rFonts w:ascii="Cambria" w:hAnsi="Cambria"/>
                <w:bCs/>
                <w:sz w:val="24"/>
                <w:szCs w:val="24"/>
                <w:lang w:val="ro-RO"/>
              </w:rPr>
              <w:t>limită anuală care trebuie atinsă până la 1 ianuarie 2015</w:t>
            </w:r>
          </w:p>
          <w:p w14:paraId="60586FED" w14:textId="77777777" w:rsidR="002553EA" w:rsidRPr="00EA1BB2" w:rsidRDefault="002553EA" w:rsidP="00831372">
            <w:pPr>
              <w:spacing w:line="360" w:lineRule="auto"/>
              <w:rPr>
                <w:rFonts w:ascii="Cambria" w:hAnsi="Cambria"/>
                <w:sz w:val="24"/>
                <w:szCs w:val="24"/>
                <w:lang w:val="ro-RO"/>
              </w:rPr>
            </w:pPr>
            <w:r w:rsidRPr="00EA1BB2">
              <w:rPr>
                <w:rFonts w:ascii="Cambria" w:hAnsi="Cambria"/>
                <w:bCs/>
                <w:sz w:val="24"/>
                <w:szCs w:val="24"/>
                <w:lang w:val="ro-RO"/>
              </w:rPr>
              <w:t xml:space="preserve">20 </w:t>
            </w:r>
            <w:r w:rsidRPr="00EA1BB2">
              <w:rPr>
                <w:rFonts w:ascii="Cambria" w:hAnsi="Cambria" w:cs="Times New Roman"/>
                <w:bCs/>
                <w:sz w:val="24"/>
                <w:szCs w:val="24"/>
                <w:lang w:val="ro-RO"/>
              </w:rPr>
              <w:t>µ</w:t>
            </w:r>
            <w:r w:rsidRPr="00EA1BB2">
              <w:rPr>
                <w:rFonts w:ascii="Cambria" w:hAnsi="Cambria"/>
                <w:bCs/>
                <w:sz w:val="24"/>
                <w:szCs w:val="24"/>
                <w:lang w:val="ro-RO"/>
              </w:rPr>
              <w:t>g/m</w:t>
            </w:r>
            <w:r w:rsidRPr="00EA1BB2">
              <w:rPr>
                <w:rFonts w:ascii="Cambria" w:hAnsi="Cambria"/>
                <w:bCs/>
                <w:sz w:val="24"/>
                <w:szCs w:val="24"/>
                <w:vertAlign w:val="superscript"/>
                <w:lang w:val="ro-RO"/>
              </w:rPr>
              <w:t>3</w:t>
            </w:r>
            <w:r w:rsidR="00831372" w:rsidRPr="00EA1BB2">
              <w:rPr>
                <w:rFonts w:ascii="Cambria" w:hAnsi="Cambria"/>
                <w:bCs/>
                <w:sz w:val="24"/>
                <w:szCs w:val="24"/>
                <w:lang w:val="ro-RO"/>
              </w:rPr>
              <w:t>–</w:t>
            </w:r>
            <w:r w:rsidRPr="00EA1BB2">
              <w:rPr>
                <w:rFonts w:ascii="Cambria" w:hAnsi="Cambria"/>
                <w:bCs/>
                <w:sz w:val="24"/>
                <w:szCs w:val="24"/>
                <w:lang w:val="ro-RO"/>
              </w:rPr>
              <w:t xml:space="preserve"> valoarea</w:t>
            </w:r>
            <w:r w:rsidR="00831372" w:rsidRPr="00EA1BB2">
              <w:rPr>
                <w:rFonts w:ascii="Cambria" w:hAnsi="Cambria"/>
                <w:bCs/>
                <w:sz w:val="24"/>
                <w:szCs w:val="24"/>
                <w:lang w:val="ro-RO"/>
              </w:rPr>
              <w:t>-</w:t>
            </w:r>
            <w:r w:rsidRPr="00EA1BB2">
              <w:rPr>
                <w:rFonts w:ascii="Cambria" w:hAnsi="Cambria"/>
                <w:bCs/>
                <w:sz w:val="24"/>
                <w:szCs w:val="24"/>
                <w:lang w:val="ro-RO"/>
              </w:rPr>
              <w:t>limită anuală care trebuie atinsă până la 1 ianuarie 2020</w:t>
            </w:r>
            <w:r w:rsidR="00C41A0F" w:rsidRPr="00EA1BB2">
              <w:rPr>
                <w:rFonts w:ascii="Cambria" w:hAnsi="Cambria"/>
                <w:bCs/>
                <w:sz w:val="24"/>
                <w:szCs w:val="24"/>
                <w:lang w:val="ro-RO"/>
              </w:rPr>
              <w:t>*</w:t>
            </w:r>
          </w:p>
        </w:tc>
      </w:tr>
    </w:tbl>
    <w:p w14:paraId="6B098C50" w14:textId="77777777" w:rsidR="00C41A0F" w:rsidRPr="00EA1BB2" w:rsidRDefault="00C41A0F" w:rsidP="00C41A0F">
      <w:pPr>
        <w:jc w:val="both"/>
        <w:rPr>
          <w:rFonts w:ascii="Cambria" w:hAnsi="Cambria" w:cs="Times New Roman"/>
          <w:szCs w:val="24"/>
        </w:rPr>
      </w:pPr>
      <w:r w:rsidRPr="00EA1BB2">
        <w:rPr>
          <w:rFonts w:ascii="Cambria" w:hAnsi="Cambria" w:cs="Times New Roman"/>
          <w:szCs w:val="24"/>
        </w:rPr>
        <w:t>*valoare-limită indicativă; se va revizui de către Comisia Europeană în 2013, luând în considerare noi informații cu privire la efectele asupra sănătății și mediului, fezabilitatea tehnică și experiența statelor membre ale Uniunii Europene în ceea ce privește valoarea-țintă.</w:t>
      </w:r>
    </w:p>
    <w:p w14:paraId="6858C8B4" w14:textId="77777777" w:rsidR="002553EA" w:rsidRPr="00EA1BB2" w:rsidRDefault="002553EA" w:rsidP="002553EA">
      <w:pPr>
        <w:spacing w:line="276" w:lineRule="auto"/>
        <w:jc w:val="both"/>
        <w:rPr>
          <w:rFonts w:ascii="Cambria" w:hAnsi="Cambria" w:cs="Times New Roman"/>
          <w:szCs w:val="24"/>
        </w:rPr>
      </w:pPr>
      <w:r w:rsidRPr="00EA1BB2">
        <w:rPr>
          <w:rFonts w:ascii="Cambria" w:hAnsi="Cambria" w:cs="Times New Roman"/>
          <w:szCs w:val="24"/>
        </w:rPr>
        <w:t>sursa: http://www.calitateaer.ro/public/assessment-page/pollutants-page/pulbere-suspensie-page/?__locale=ro</w:t>
      </w:r>
    </w:p>
    <w:p w14:paraId="3118941B" w14:textId="77777777" w:rsidR="002553EA" w:rsidRPr="00EA1BB2" w:rsidRDefault="002553EA" w:rsidP="002553EA">
      <w:pPr>
        <w:spacing w:line="360" w:lineRule="auto"/>
        <w:jc w:val="both"/>
        <w:rPr>
          <w:rFonts w:ascii="Cambria" w:hAnsi="Cambria" w:cs="Times New Roman"/>
          <w:sz w:val="24"/>
          <w:szCs w:val="24"/>
        </w:rPr>
      </w:pPr>
    </w:p>
    <w:p w14:paraId="16F6AD2C" w14:textId="77777777" w:rsidR="002553EA" w:rsidRPr="00EA1BB2" w:rsidRDefault="00570343" w:rsidP="00570343">
      <w:pPr>
        <w:spacing w:line="360" w:lineRule="auto"/>
        <w:ind w:firstLine="708"/>
        <w:jc w:val="both"/>
        <w:rPr>
          <w:rFonts w:ascii="Cambria" w:hAnsi="Cambria" w:cs="Times New Roman"/>
          <w:sz w:val="24"/>
          <w:szCs w:val="24"/>
        </w:rPr>
      </w:pPr>
      <w:r w:rsidRPr="00EA1BB2">
        <w:rPr>
          <w:rFonts w:ascii="Cambria" w:hAnsi="Cambria" w:cs="Times New Roman"/>
          <w:sz w:val="24"/>
          <w:szCs w:val="24"/>
        </w:rPr>
        <w:t>Metoda de referin</w:t>
      </w:r>
      <w:r w:rsidR="00054880" w:rsidRPr="00EA1BB2">
        <w:rPr>
          <w:rFonts w:ascii="Cambria" w:hAnsi="Cambria" w:cs="Times New Roman"/>
          <w:sz w:val="24"/>
          <w:szCs w:val="24"/>
        </w:rPr>
        <w:t>ț</w:t>
      </w:r>
      <w:r w:rsidRPr="00EA1BB2">
        <w:rPr>
          <w:rFonts w:ascii="Cambria" w:hAnsi="Cambria" w:cs="Times New Roman"/>
          <w:sz w:val="24"/>
          <w:szCs w:val="24"/>
        </w:rPr>
        <w:t xml:space="preserve">ă pentru prelevarea </w:t>
      </w:r>
      <w:r w:rsidR="00054880" w:rsidRPr="00EA1BB2">
        <w:rPr>
          <w:rFonts w:ascii="Cambria" w:hAnsi="Cambria" w:cs="Times New Roman"/>
          <w:sz w:val="24"/>
          <w:szCs w:val="24"/>
        </w:rPr>
        <w:t>ș</w:t>
      </w:r>
      <w:r w:rsidRPr="00EA1BB2">
        <w:rPr>
          <w:rFonts w:ascii="Cambria" w:hAnsi="Cambria" w:cs="Times New Roman"/>
          <w:sz w:val="24"/>
          <w:szCs w:val="24"/>
        </w:rPr>
        <w:t>i măsurarea PM</w:t>
      </w:r>
      <w:r w:rsidRPr="00EA1BB2">
        <w:rPr>
          <w:rFonts w:ascii="Cambria" w:hAnsi="Cambria" w:cs="Times New Roman"/>
          <w:sz w:val="24"/>
          <w:szCs w:val="24"/>
          <w:vertAlign w:val="subscript"/>
        </w:rPr>
        <w:t>10</w:t>
      </w:r>
      <w:r w:rsidRPr="00EA1BB2">
        <w:rPr>
          <w:rFonts w:ascii="Cambria" w:hAnsi="Cambria" w:cs="Times New Roman"/>
          <w:sz w:val="24"/>
          <w:szCs w:val="24"/>
        </w:rPr>
        <w:t xml:space="preserve"> este cea prevăzută în standardul SR EN 12341 „Aer înconjurător. Metodă standardizată de măsurare gravimetrică pentru determinarea frac</w:t>
      </w:r>
      <w:r w:rsidR="00054880" w:rsidRPr="00EA1BB2">
        <w:rPr>
          <w:rFonts w:ascii="Cambria" w:hAnsi="Cambria" w:cs="Times New Roman"/>
          <w:sz w:val="24"/>
          <w:szCs w:val="24"/>
        </w:rPr>
        <w:t>ț</w:t>
      </w:r>
      <w:r w:rsidRPr="00EA1BB2">
        <w:rPr>
          <w:rFonts w:ascii="Cambria" w:hAnsi="Cambria" w:cs="Times New Roman"/>
          <w:sz w:val="24"/>
          <w:szCs w:val="24"/>
        </w:rPr>
        <w:t>iei masice de PM</w:t>
      </w:r>
      <w:r w:rsidRPr="00EA1BB2">
        <w:rPr>
          <w:rFonts w:ascii="Cambria" w:hAnsi="Cambria" w:cs="Times New Roman"/>
          <w:sz w:val="24"/>
          <w:szCs w:val="24"/>
          <w:vertAlign w:val="subscript"/>
        </w:rPr>
        <w:t>10</w:t>
      </w:r>
      <w:r w:rsidRPr="00EA1BB2">
        <w:rPr>
          <w:rFonts w:ascii="Cambria" w:hAnsi="Cambria" w:cs="Times New Roman"/>
          <w:sz w:val="24"/>
          <w:szCs w:val="24"/>
        </w:rPr>
        <w:t xml:space="preserve"> sau PM</w:t>
      </w:r>
      <w:r w:rsidRPr="00EA1BB2">
        <w:rPr>
          <w:rFonts w:ascii="Cambria" w:hAnsi="Cambria" w:cs="Times New Roman"/>
          <w:sz w:val="24"/>
          <w:szCs w:val="24"/>
          <w:vertAlign w:val="subscript"/>
        </w:rPr>
        <w:t xml:space="preserve">2,5 </w:t>
      </w:r>
      <w:r w:rsidRPr="00EA1BB2">
        <w:rPr>
          <w:rFonts w:ascii="Cambria" w:hAnsi="Cambria" w:cs="Times New Roman"/>
          <w:sz w:val="24"/>
          <w:szCs w:val="24"/>
        </w:rPr>
        <w:t>a particulelor în suspensie”.</w:t>
      </w:r>
    </w:p>
    <w:p w14:paraId="105E30E7" w14:textId="77777777" w:rsidR="00570343" w:rsidRPr="00EA1BB2" w:rsidRDefault="00570343" w:rsidP="00570343">
      <w:pPr>
        <w:spacing w:line="360" w:lineRule="auto"/>
        <w:ind w:firstLine="708"/>
        <w:jc w:val="both"/>
        <w:rPr>
          <w:rFonts w:ascii="Cambria" w:hAnsi="Cambria" w:cs="Times New Roman"/>
          <w:sz w:val="24"/>
          <w:szCs w:val="24"/>
        </w:rPr>
      </w:pPr>
      <w:r w:rsidRPr="00EA1BB2">
        <w:rPr>
          <w:rFonts w:ascii="Cambria" w:hAnsi="Cambria" w:cs="Times New Roman"/>
          <w:sz w:val="24"/>
          <w:szCs w:val="24"/>
        </w:rPr>
        <w:lastRenderedPageBreak/>
        <w:t>Metoda de referin</w:t>
      </w:r>
      <w:r w:rsidR="00054880" w:rsidRPr="00EA1BB2">
        <w:rPr>
          <w:rFonts w:ascii="Cambria" w:hAnsi="Cambria" w:cs="Times New Roman"/>
          <w:sz w:val="24"/>
          <w:szCs w:val="24"/>
        </w:rPr>
        <w:t>ț</w:t>
      </w:r>
      <w:r w:rsidRPr="00EA1BB2">
        <w:rPr>
          <w:rFonts w:ascii="Cambria" w:hAnsi="Cambria" w:cs="Times New Roman"/>
          <w:sz w:val="24"/>
          <w:szCs w:val="24"/>
        </w:rPr>
        <w:t xml:space="preserve">ă pentru prelevarea </w:t>
      </w:r>
      <w:r w:rsidR="00054880" w:rsidRPr="00EA1BB2">
        <w:rPr>
          <w:rFonts w:ascii="Cambria" w:hAnsi="Cambria" w:cs="Times New Roman"/>
          <w:sz w:val="24"/>
          <w:szCs w:val="24"/>
        </w:rPr>
        <w:t>ș</w:t>
      </w:r>
      <w:r w:rsidRPr="00EA1BB2">
        <w:rPr>
          <w:rFonts w:ascii="Cambria" w:hAnsi="Cambria" w:cs="Times New Roman"/>
          <w:sz w:val="24"/>
          <w:szCs w:val="24"/>
        </w:rPr>
        <w:t>i măsurarea PM</w:t>
      </w:r>
      <w:r w:rsidRPr="00EA1BB2">
        <w:rPr>
          <w:rFonts w:ascii="Cambria" w:hAnsi="Cambria" w:cs="Times New Roman"/>
          <w:sz w:val="24"/>
          <w:szCs w:val="24"/>
          <w:vertAlign w:val="subscript"/>
        </w:rPr>
        <w:t xml:space="preserve">2,5 </w:t>
      </w:r>
      <w:r w:rsidRPr="00EA1BB2">
        <w:rPr>
          <w:rFonts w:ascii="Cambria" w:hAnsi="Cambria" w:cs="Times New Roman"/>
          <w:sz w:val="24"/>
          <w:szCs w:val="24"/>
        </w:rPr>
        <w:t>este cea prevăzută în standardul EN 12341 „Aer înconjurător. Metodă standardizată de măsurare gravimetrică pentru determinarea frac</w:t>
      </w:r>
      <w:r w:rsidR="00054880" w:rsidRPr="00EA1BB2">
        <w:rPr>
          <w:rFonts w:ascii="Cambria" w:hAnsi="Cambria" w:cs="Times New Roman"/>
          <w:sz w:val="24"/>
          <w:szCs w:val="24"/>
        </w:rPr>
        <w:t>ț</w:t>
      </w:r>
      <w:r w:rsidRPr="00EA1BB2">
        <w:rPr>
          <w:rFonts w:ascii="Cambria" w:hAnsi="Cambria" w:cs="Times New Roman"/>
          <w:sz w:val="24"/>
          <w:szCs w:val="24"/>
        </w:rPr>
        <w:t>iei masice de PM</w:t>
      </w:r>
      <w:r w:rsidRPr="00EA1BB2">
        <w:rPr>
          <w:rFonts w:ascii="Cambria" w:hAnsi="Cambria" w:cs="Times New Roman"/>
          <w:sz w:val="24"/>
          <w:szCs w:val="24"/>
          <w:vertAlign w:val="subscript"/>
        </w:rPr>
        <w:t>10</w:t>
      </w:r>
      <w:r w:rsidRPr="00EA1BB2">
        <w:rPr>
          <w:rFonts w:ascii="Cambria" w:hAnsi="Cambria" w:cs="Times New Roman"/>
          <w:sz w:val="24"/>
          <w:szCs w:val="24"/>
        </w:rPr>
        <w:t xml:space="preserve"> sau PM</w:t>
      </w:r>
      <w:r w:rsidRPr="00EA1BB2">
        <w:rPr>
          <w:rFonts w:ascii="Cambria" w:hAnsi="Cambria" w:cs="Times New Roman"/>
          <w:sz w:val="24"/>
          <w:szCs w:val="24"/>
          <w:vertAlign w:val="subscript"/>
        </w:rPr>
        <w:t xml:space="preserve">2,5 </w:t>
      </w:r>
      <w:r w:rsidRPr="00EA1BB2">
        <w:rPr>
          <w:rFonts w:ascii="Cambria" w:hAnsi="Cambria" w:cs="Times New Roman"/>
          <w:sz w:val="24"/>
          <w:szCs w:val="24"/>
        </w:rPr>
        <w:t>a particulelor în suspensie”.</w:t>
      </w:r>
    </w:p>
    <w:p w14:paraId="0886BF13" w14:textId="77777777" w:rsidR="00570343" w:rsidRPr="00EA1BB2" w:rsidRDefault="00570343" w:rsidP="00570343">
      <w:pPr>
        <w:spacing w:line="360" w:lineRule="auto"/>
        <w:ind w:firstLine="708"/>
        <w:jc w:val="both"/>
        <w:rPr>
          <w:rFonts w:ascii="Cambria" w:hAnsi="Cambria" w:cs="Times New Roman"/>
          <w:sz w:val="24"/>
          <w:szCs w:val="24"/>
        </w:rPr>
      </w:pPr>
    </w:p>
    <w:p w14:paraId="345CF560" w14:textId="77777777" w:rsidR="00343667" w:rsidRPr="00EA1BB2" w:rsidRDefault="00343667" w:rsidP="00E859EF">
      <w:pPr>
        <w:pStyle w:val="Heading4"/>
        <w:numPr>
          <w:ilvl w:val="3"/>
          <w:numId w:val="1"/>
        </w:numPr>
        <w:spacing w:before="0" w:line="360" w:lineRule="auto"/>
        <w:ind w:hanging="579"/>
        <w:rPr>
          <w:color w:val="0070C0"/>
          <w:sz w:val="24"/>
        </w:rPr>
      </w:pPr>
      <w:bookmarkStart w:id="157" w:name="_Toc459107452"/>
      <w:bookmarkStart w:id="158" w:name="_Toc463955939"/>
      <w:bookmarkStart w:id="159" w:name="_Toc526889731"/>
      <w:r w:rsidRPr="00EA1BB2">
        <w:rPr>
          <w:color w:val="0070C0"/>
          <w:sz w:val="24"/>
        </w:rPr>
        <w:t>Benzen (C</w:t>
      </w:r>
      <w:r w:rsidRPr="00EA1BB2">
        <w:rPr>
          <w:color w:val="0070C0"/>
          <w:sz w:val="24"/>
          <w:vertAlign w:val="subscript"/>
        </w:rPr>
        <w:t>6</w:t>
      </w:r>
      <w:r w:rsidRPr="00EA1BB2">
        <w:rPr>
          <w:color w:val="0070C0"/>
          <w:sz w:val="24"/>
        </w:rPr>
        <w:t>H</w:t>
      </w:r>
      <w:r w:rsidRPr="00EA1BB2">
        <w:rPr>
          <w:color w:val="0070C0"/>
          <w:sz w:val="24"/>
          <w:vertAlign w:val="subscript"/>
        </w:rPr>
        <w:t>6</w:t>
      </w:r>
      <w:r w:rsidRPr="00EA1BB2">
        <w:rPr>
          <w:color w:val="0070C0"/>
          <w:sz w:val="24"/>
        </w:rPr>
        <w:t>)</w:t>
      </w:r>
      <w:bookmarkEnd w:id="157"/>
      <w:bookmarkEnd w:id="158"/>
      <w:bookmarkEnd w:id="159"/>
    </w:p>
    <w:p w14:paraId="6D3E2390" w14:textId="77777777" w:rsidR="00343667" w:rsidRPr="00EA1BB2" w:rsidRDefault="00343667" w:rsidP="00343667">
      <w:pPr>
        <w:spacing w:line="360" w:lineRule="auto"/>
        <w:ind w:firstLine="708"/>
        <w:jc w:val="both"/>
        <w:rPr>
          <w:rFonts w:ascii="Cambria" w:hAnsi="Cambria" w:cs="Times New Roman"/>
          <w:sz w:val="24"/>
          <w:szCs w:val="24"/>
        </w:rPr>
      </w:pPr>
      <w:r w:rsidRPr="00EA1BB2">
        <w:rPr>
          <w:rFonts w:ascii="Cambria" w:hAnsi="Cambria" w:cs="Times New Roman"/>
          <w:sz w:val="24"/>
          <w:szCs w:val="24"/>
        </w:rPr>
        <w:t>Benzenul este un compus aromatic foarte u</w:t>
      </w:r>
      <w:r w:rsidR="00054880" w:rsidRPr="00EA1BB2">
        <w:rPr>
          <w:rFonts w:ascii="Cambria" w:hAnsi="Cambria" w:cs="Times New Roman"/>
          <w:sz w:val="24"/>
          <w:szCs w:val="24"/>
        </w:rPr>
        <w:t>ș</w:t>
      </w:r>
      <w:r w:rsidRPr="00EA1BB2">
        <w:rPr>
          <w:rFonts w:ascii="Cambria" w:hAnsi="Cambria" w:cs="Times New Roman"/>
          <w:sz w:val="24"/>
          <w:szCs w:val="24"/>
        </w:rPr>
        <w:t xml:space="preserve">or, volatil </w:t>
      </w:r>
      <w:r w:rsidR="00054880" w:rsidRPr="00EA1BB2">
        <w:rPr>
          <w:rFonts w:ascii="Cambria" w:hAnsi="Cambria" w:cs="Times New Roman"/>
          <w:sz w:val="24"/>
          <w:szCs w:val="24"/>
        </w:rPr>
        <w:t>ș</w:t>
      </w:r>
      <w:r w:rsidRPr="00EA1BB2">
        <w:rPr>
          <w:rFonts w:ascii="Cambria" w:hAnsi="Cambria" w:cs="Times New Roman"/>
          <w:sz w:val="24"/>
          <w:szCs w:val="24"/>
        </w:rPr>
        <w:t xml:space="preserve">i solubil în apă. 90% din cantitatea de benzen în aerul ambiental provine din traficul rutier. Restul de 10% provine din evaporarea combustibilului la stocarea </w:t>
      </w:r>
      <w:r w:rsidR="00054880" w:rsidRPr="00EA1BB2">
        <w:rPr>
          <w:rFonts w:ascii="Cambria" w:hAnsi="Cambria" w:cs="Times New Roman"/>
          <w:sz w:val="24"/>
          <w:szCs w:val="24"/>
        </w:rPr>
        <w:t>ș</w:t>
      </w:r>
      <w:r w:rsidRPr="00EA1BB2">
        <w:rPr>
          <w:rFonts w:ascii="Cambria" w:hAnsi="Cambria" w:cs="Times New Roman"/>
          <w:sz w:val="24"/>
          <w:szCs w:val="24"/>
        </w:rPr>
        <w:t>i distribu</w:t>
      </w:r>
      <w:r w:rsidR="00054880" w:rsidRPr="00EA1BB2">
        <w:rPr>
          <w:rFonts w:ascii="Cambria" w:hAnsi="Cambria" w:cs="Times New Roman"/>
          <w:sz w:val="24"/>
          <w:szCs w:val="24"/>
        </w:rPr>
        <w:t>ț</w:t>
      </w:r>
      <w:r w:rsidRPr="00EA1BB2">
        <w:rPr>
          <w:rFonts w:ascii="Cambria" w:hAnsi="Cambria" w:cs="Times New Roman"/>
          <w:sz w:val="24"/>
          <w:szCs w:val="24"/>
        </w:rPr>
        <w:t>ia acestuia.</w:t>
      </w:r>
    </w:p>
    <w:p w14:paraId="03E7344B" w14:textId="77777777" w:rsidR="00343667" w:rsidRPr="00EA1BB2" w:rsidRDefault="00343667" w:rsidP="00343667">
      <w:pPr>
        <w:spacing w:line="360" w:lineRule="auto"/>
        <w:ind w:firstLine="708"/>
        <w:jc w:val="both"/>
        <w:rPr>
          <w:rFonts w:ascii="Cambria" w:hAnsi="Cambria" w:cs="Times New Roman"/>
          <w:sz w:val="24"/>
          <w:szCs w:val="24"/>
        </w:rPr>
      </w:pPr>
      <w:r w:rsidRPr="00EA1BB2">
        <w:rPr>
          <w:rFonts w:ascii="Cambria" w:hAnsi="Cambria" w:cs="Times New Roman"/>
          <w:sz w:val="24"/>
          <w:szCs w:val="24"/>
        </w:rPr>
        <w:t>Efecte asupra sănătă</w:t>
      </w:r>
      <w:r w:rsidR="00054880" w:rsidRPr="00EA1BB2">
        <w:rPr>
          <w:rFonts w:ascii="Cambria" w:hAnsi="Cambria" w:cs="Times New Roman"/>
          <w:sz w:val="24"/>
          <w:szCs w:val="24"/>
        </w:rPr>
        <w:t>ț</w:t>
      </w:r>
      <w:r w:rsidRPr="00EA1BB2">
        <w:rPr>
          <w:rFonts w:ascii="Cambria" w:hAnsi="Cambria" w:cs="Times New Roman"/>
          <w:sz w:val="24"/>
          <w:szCs w:val="24"/>
        </w:rPr>
        <w:t>ii: Substan</w:t>
      </w:r>
      <w:r w:rsidR="00054880" w:rsidRPr="00EA1BB2">
        <w:rPr>
          <w:rFonts w:ascii="Cambria" w:hAnsi="Cambria" w:cs="Times New Roman"/>
          <w:sz w:val="24"/>
          <w:szCs w:val="24"/>
        </w:rPr>
        <w:t>ț</w:t>
      </w:r>
      <w:r w:rsidRPr="00EA1BB2">
        <w:rPr>
          <w:rFonts w:ascii="Cambria" w:hAnsi="Cambria" w:cs="Times New Roman"/>
          <w:sz w:val="24"/>
          <w:szCs w:val="24"/>
        </w:rPr>
        <w:t>ă cancerigenă, încadrată în clasa A1 de toxicitate, cunoscută drept cancerigenă pentru om. Produce efecte dăunătoare asupra sistemului nervos central.</w:t>
      </w:r>
    </w:p>
    <w:p w14:paraId="57CDC0CA" w14:textId="77777777" w:rsidR="00F07577" w:rsidRPr="00EA1BB2" w:rsidRDefault="00F07577" w:rsidP="00343667">
      <w:pPr>
        <w:spacing w:line="360" w:lineRule="auto"/>
        <w:ind w:firstLine="708"/>
        <w:jc w:val="both"/>
        <w:rPr>
          <w:rFonts w:ascii="Cambria" w:hAnsi="Cambria" w:cs="Times New Roman"/>
          <w:sz w:val="24"/>
          <w:szCs w:val="24"/>
        </w:rPr>
      </w:pPr>
    </w:p>
    <w:p w14:paraId="0B69F148" w14:textId="4E42407A" w:rsidR="000970C9" w:rsidRPr="00EA1BB2" w:rsidRDefault="000970C9" w:rsidP="000970C9">
      <w:pPr>
        <w:keepNext/>
        <w:spacing w:line="276" w:lineRule="auto"/>
        <w:ind w:firstLine="708"/>
        <w:jc w:val="both"/>
        <w:rPr>
          <w:rFonts w:ascii="Cambria" w:eastAsia="Times New Roman" w:hAnsi="Cambria" w:cs="Times New Roman"/>
          <w:b/>
          <w:sz w:val="24"/>
          <w:szCs w:val="24"/>
        </w:rPr>
      </w:pPr>
      <w:bookmarkStart w:id="160" w:name="_Toc526889799"/>
      <w:r w:rsidRPr="00EA1BB2">
        <w:rPr>
          <w:rFonts w:ascii="Cambria" w:eastAsia="Calibri" w:hAnsi="Cambria" w:cs="Times New Roman"/>
          <w:b/>
          <w:iCs/>
          <w:sz w:val="24"/>
          <w:szCs w:val="24"/>
        </w:rPr>
        <w:t xml:space="preserve">Tabelul nr. </w:t>
      </w:r>
      <w:r w:rsidR="000A2FE7" w:rsidRPr="00EA1BB2">
        <w:rPr>
          <w:rFonts w:ascii="Cambria" w:eastAsia="Calibri" w:hAnsi="Cambria" w:cs="Times New Roman"/>
          <w:b/>
          <w:iCs/>
          <w:sz w:val="24"/>
          <w:szCs w:val="24"/>
        </w:rPr>
        <w:fldChar w:fldCharType="begin"/>
      </w:r>
      <w:r w:rsidR="000A2FE7" w:rsidRPr="00EA1BB2">
        <w:rPr>
          <w:rFonts w:ascii="Cambria" w:eastAsia="Calibri" w:hAnsi="Cambria" w:cs="Times New Roman"/>
          <w:b/>
          <w:iCs/>
          <w:sz w:val="24"/>
          <w:szCs w:val="24"/>
        </w:rPr>
        <w:instrText xml:space="preserve"> STYLEREF 1 \s </w:instrText>
      </w:r>
      <w:r w:rsidR="000A2FE7" w:rsidRPr="00EA1BB2">
        <w:rPr>
          <w:rFonts w:ascii="Cambria" w:eastAsia="Calibri" w:hAnsi="Cambria" w:cs="Times New Roman"/>
          <w:b/>
          <w:iCs/>
          <w:sz w:val="24"/>
          <w:szCs w:val="24"/>
        </w:rPr>
        <w:fldChar w:fldCharType="separate"/>
      </w:r>
      <w:r w:rsidR="00567555">
        <w:rPr>
          <w:rFonts w:ascii="Cambria" w:eastAsia="Calibri" w:hAnsi="Cambria" w:cs="Times New Roman"/>
          <w:b/>
          <w:iCs/>
          <w:noProof/>
          <w:sz w:val="24"/>
          <w:szCs w:val="24"/>
        </w:rPr>
        <w:t>3</w:t>
      </w:r>
      <w:r w:rsidR="000A2FE7" w:rsidRPr="00EA1BB2">
        <w:rPr>
          <w:rFonts w:ascii="Cambria" w:eastAsia="Calibri" w:hAnsi="Cambria" w:cs="Times New Roman"/>
          <w:b/>
          <w:iCs/>
          <w:sz w:val="24"/>
          <w:szCs w:val="24"/>
        </w:rPr>
        <w:fldChar w:fldCharType="end"/>
      </w:r>
      <w:r w:rsidR="000A2FE7" w:rsidRPr="00EA1BB2">
        <w:rPr>
          <w:rFonts w:ascii="Cambria" w:eastAsia="Calibri" w:hAnsi="Cambria" w:cs="Times New Roman"/>
          <w:b/>
          <w:iCs/>
          <w:sz w:val="24"/>
          <w:szCs w:val="24"/>
        </w:rPr>
        <w:noBreakHyphen/>
      </w:r>
      <w:r w:rsidR="000A2FE7" w:rsidRPr="00EA1BB2">
        <w:rPr>
          <w:rFonts w:ascii="Cambria" w:eastAsia="Calibri" w:hAnsi="Cambria" w:cs="Times New Roman"/>
          <w:b/>
          <w:iCs/>
          <w:sz w:val="24"/>
          <w:szCs w:val="24"/>
        </w:rPr>
        <w:fldChar w:fldCharType="begin"/>
      </w:r>
      <w:r w:rsidR="000A2FE7" w:rsidRPr="00EA1BB2">
        <w:rPr>
          <w:rFonts w:ascii="Cambria" w:eastAsia="Calibri" w:hAnsi="Cambria" w:cs="Times New Roman"/>
          <w:b/>
          <w:iCs/>
          <w:sz w:val="24"/>
          <w:szCs w:val="24"/>
        </w:rPr>
        <w:instrText xml:space="preserve"> SEQ Tabelul_nr. \* ARABIC \s 1 </w:instrText>
      </w:r>
      <w:r w:rsidR="000A2FE7" w:rsidRPr="00EA1BB2">
        <w:rPr>
          <w:rFonts w:ascii="Cambria" w:eastAsia="Calibri" w:hAnsi="Cambria" w:cs="Times New Roman"/>
          <w:b/>
          <w:iCs/>
          <w:sz w:val="24"/>
          <w:szCs w:val="24"/>
        </w:rPr>
        <w:fldChar w:fldCharType="separate"/>
      </w:r>
      <w:r w:rsidR="00567555">
        <w:rPr>
          <w:rFonts w:ascii="Cambria" w:eastAsia="Calibri" w:hAnsi="Cambria" w:cs="Times New Roman"/>
          <w:b/>
          <w:iCs/>
          <w:noProof/>
          <w:sz w:val="24"/>
          <w:szCs w:val="24"/>
        </w:rPr>
        <w:t>30</w:t>
      </w:r>
      <w:r w:rsidR="000A2FE7" w:rsidRPr="00EA1BB2">
        <w:rPr>
          <w:rFonts w:ascii="Cambria" w:eastAsia="Calibri" w:hAnsi="Cambria" w:cs="Times New Roman"/>
          <w:b/>
          <w:iCs/>
          <w:sz w:val="24"/>
          <w:szCs w:val="24"/>
        </w:rPr>
        <w:fldChar w:fldCharType="end"/>
      </w:r>
      <w:r w:rsidRPr="00EA1BB2">
        <w:rPr>
          <w:rFonts w:ascii="Cambria" w:eastAsia="Calibri" w:hAnsi="Cambria" w:cs="Times New Roman"/>
          <w:b/>
          <w:iCs/>
          <w:sz w:val="24"/>
          <w:szCs w:val="24"/>
        </w:rPr>
        <w:t xml:space="preserve"> - </w:t>
      </w:r>
      <w:r w:rsidR="00B46084" w:rsidRPr="00EA1BB2">
        <w:rPr>
          <w:rFonts w:ascii="Cambria" w:eastAsia="Times New Roman" w:hAnsi="Cambria" w:cs="Times New Roman"/>
          <w:b/>
          <w:sz w:val="24"/>
          <w:szCs w:val="24"/>
        </w:rPr>
        <w:t>Cerin</w:t>
      </w:r>
      <w:r w:rsidR="00054880" w:rsidRPr="00EA1BB2">
        <w:rPr>
          <w:rFonts w:ascii="Cambria" w:eastAsia="Times New Roman" w:hAnsi="Cambria" w:cs="Times New Roman"/>
          <w:b/>
          <w:sz w:val="24"/>
          <w:szCs w:val="24"/>
        </w:rPr>
        <w:t>ț</w:t>
      </w:r>
      <w:r w:rsidR="00B46084" w:rsidRPr="00EA1BB2">
        <w:rPr>
          <w:rFonts w:ascii="Cambria" w:eastAsia="Times New Roman" w:hAnsi="Cambria" w:cs="Times New Roman"/>
          <w:b/>
          <w:sz w:val="24"/>
          <w:szCs w:val="24"/>
        </w:rPr>
        <w:t>ele pentru evaluarea concentra</w:t>
      </w:r>
      <w:r w:rsidR="00054880" w:rsidRPr="00EA1BB2">
        <w:rPr>
          <w:rFonts w:ascii="Cambria" w:eastAsia="Times New Roman" w:hAnsi="Cambria" w:cs="Times New Roman"/>
          <w:b/>
          <w:sz w:val="24"/>
          <w:szCs w:val="24"/>
        </w:rPr>
        <w:t>ț</w:t>
      </w:r>
      <w:r w:rsidR="00B46084" w:rsidRPr="00EA1BB2">
        <w:rPr>
          <w:rFonts w:ascii="Cambria" w:eastAsia="Times New Roman" w:hAnsi="Cambria" w:cs="Times New Roman"/>
          <w:b/>
          <w:sz w:val="24"/>
          <w:szCs w:val="24"/>
        </w:rPr>
        <w:t xml:space="preserve">iilor de </w:t>
      </w:r>
      <w:r w:rsidRPr="00EA1BB2">
        <w:rPr>
          <w:rFonts w:ascii="Cambria" w:eastAsia="Times New Roman" w:hAnsi="Cambria" w:cs="Times New Roman"/>
          <w:b/>
          <w:sz w:val="24"/>
          <w:szCs w:val="24"/>
        </w:rPr>
        <w:t>Benzen (C</w:t>
      </w:r>
      <w:r w:rsidRPr="00EA1BB2">
        <w:rPr>
          <w:rFonts w:ascii="Cambria" w:eastAsia="Times New Roman" w:hAnsi="Cambria" w:cs="Times New Roman"/>
          <w:b/>
          <w:sz w:val="24"/>
          <w:szCs w:val="24"/>
          <w:vertAlign w:val="subscript"/>
        </w:rPr>
        <w:t>6</w:t>
      </w:r>
      <w:r w:rsidRPr="00EA1BB2">
        <w:rPr>
          <w:rFonts w:ascii="Cambria" w:eastAsia="Times New Roman" w:hAnsi="Cambria" w:cs="Times New Roman"/>
          <w:b/>
          <w:sz w:val="24"/>
          <w:szCs w:val="24"/>
        </w:rPr>
        <w:t>H</w:t>
      </w:r>
      <w:r w:rsidRPr="00EA1BB2">
        <w:rPr>
          <w:rFonts w:ascii="Cambria" w:eastAsia="Times New Roman" w:hAnsi="Cambria" w:cs="Times New Roman"/>
          <w:b/>
          <w:sz w:val="24"/>
          <w:szCs w:val="24"/>
          <w:vertAlign w:val="subscript"/>
        </w:rPr>
        <w:t>6</w:t>
      </w:r>
      <w:r w:rsidRPr="00EA1BB2">
        <w:rPr>
          <w:rFonts w:ascii="Cambria" w:eastAsia="Times New Roman" w:hAnsi="Cambria" w:cs="Times New Roman"/>
          <w:b/>
          <w:sz w:val="24"/>
          <w:szCs w:val="24"/>
        </w:rPr>
        <w:t>)</w:t>
      </w:r>
      <w:bookmarkEnd w:id="160"/>
    </w:p>
    <w:tbl>
      <w:tblPr>
        <w:tblStyle w:val="TableGrid7"/>
        <w:tblpPr w:leftFromText="180" w:rightFromText="180" w:vertAnchor="text" w:horzAnchor="margin" w:tblpXSpec="center" w:tblpY="134"/>
        <w:tblW w:w="9209" w:type="dxa"/>
        <w:tblLook w:val="04A0" w:firstRow="1" w:lastRow="0" w:firstColumn="1" w:lastColumn="0" w:noHBand="0" w:noVBand="1"/>
      </w:tblPr>
      <w:tblGrid>
        <w:gridCol w:w="704"/>
        <w:gridCol w:w="2268"/>
        <w:gridCol w:w="6237"/>
      </w:tblGrid>
      <w:tr w:rsidR="000970C9" w:rsidRPr="00EA1BB2" w14:paraId="23A3FAFB" w14:textId="77777777" w:rsidTr="00AA06F2">
        <w:tc>
          <w:tcPr>
            <w:tcW w:w="704" w:type="dxa"/>
            <w:shd w:val="clear" w:color="auto" w:fill="BDD6EE" w:themeFill="accent1" w:themeFillTint="66"/>
            <w:vAlign w:val="center"/>
          </w:tcPr>
          <w:p w14:paraId="7A5A2035" w14:textId="77777777" w:rsidR="000970C9" w:rsidRPr="00EA1BB2" w:rsidRDefault="000970C9" w:rsidP="00030F7D">
            <w:pPr>
              <w:spacing w:line="360" w:lineRule="auto"/>
              <w:jc w:val="center"/>
              <w:rPr>
                <w:rFonts w:ascii="Cambria" w:hAnsi="Cambria"/>
                <w:b/>
                <w:sz w:val="24"/>
                <w:szCs w:val="24"/>
                <w:lang w:val="ro-RO"/>
              </w:rPr>
            </w:pPr>
            <w:r w:rsidRPr="00EA1BB2">
              <w:rPr>
                <w:rFonts w:ascii="Cambria" w:eastAsia="Times New Roman" w:hAnsi="Cambria" w:cs="Times New Roman"/>
                <w:b/>
                <w:sz w:val="24"/>
                <w:szCs w:val="24"/>
                <w:lang w:val="ro-RO"/>
              </w:rPr>
              <w:t>Nr. crt.</w:t>
            </w:r>
          </w:p>
        </w:tc>
        <w:tc>
          <w:tcPr>
            <w:tcW w:w="2268" w:type="dxa"/>
            <w:shd w:val="clear" w:color="auto" w:fill="BDD6EE" w:themeFill="accent1" w:themeFillTint="66"/>
            <w:vAlign w:val="center"/>
          </w:tcPr>
          <w:p w14:paraId="6E929546" w14:textId="77777777" w:rsidR="000970C9" w:rsidRPr="00EA1BB2" w:rsidRDefault="000970C9" w:rsidP="00030F7D">
            <w:pPr>
              <w:spacing w:line="360" w:lineRule="auto"/>
              <w:jc w:val="center"/>
              <w:rPr>
                <w:rFonts w:ascii="Cambria" w:hAnsi="Cambria"/>
                <w:b/>
                <w:sz w:val="24"/>
                <w:szCs w:val="24"/>
                <w:lang w:val="ro-RO"/>
              </w:rPr>
            </w:pPr>
            <w:r w:rsidRPr="00EA1BB2">
              <w:rPr>
                <w:rFonts w:ascii="Cambria" w:hAnsi="Cambria"/>
                <w:b/>
                <w:sz w:val="24"/>
                <w:szCs w:val="24"/>
                <w:lang w:val="ro-RO"/>
              </w:rPr>
              <w:t>Parametru</w:t>
            </w:r>
          </w:p>
        </w:tc>
        <w:tc>
          <w:tcPr>
            <w:tcW w:w="6237" w:type="dxa"/>
            <w:shd w:val="clear" w:color="auto" w:fill="BDD6EE" w:themeFill="accent1" w:themeFillTint="66"/>
            <w:vAlign w:val="center"/>
          </w:tcPr>
          <w:p w14:paraId="0875A0BC" w14:textId="77777777" w:rsidR="000970C9" w:rsidRPr="00EA1BB2" w:rsidRDefault="000970C9" w:rsidP="00030F7D">
            <w:pPr>
              <w:spacing w:line="360" w:lineRule="auto"/>
              <w:jc w:val="center"/>
              <w:rPr>
                <w:rFonts w:ascii="Cambria" w:hAnsi="Cambria"/>
                <w:b/>
                <w:sz w:val="24"/>
                <w:szCs w:val="24"/>
                <w:lang w:val="ro-RO"/>
              </w:rPr>
            </w:pPr>
            <w:r w:rsidRPr="00EA1BB2">
              <w:rPr>
                <w:rFonts w:ascii="Cambria" w:hAnsi="Cambria"/>
                <w:b/>
                <w:sz w:val="24"/>
                <w:szCs w:val="24"/>
                <w:lang w:val="ro-RO"/>
              </w:rPr>
              <w:t>Valoare</w:t>
            </w:r>
          </w:p>
        </w:tc>
      </w:tr>
      <w:tr w:rsidR="000970C9" w:rsidRPr="00EA1BB2" w14:paraId="78AAF1BA" w14:textId="77777777" w:rsidTr="00AA06F2">
        <w:tc>
          <w:tcPr>
            <w:tcW w:w="704" w:type="dxa"/>
            <w:vAlign w:val="center"/>
          </w:tcPr>
          <w:p w14:paraId="64E028E0" w14:textId="77777777" w:rsidR="000970C9" w:rsidRPr="00EA1BB2" w:rsidRDefault="00AA06F2" w:rsidP="00030F7D">
            <w:pPr>
              <w:spacing w:line="360" w:lineRule="auto"/>
              <w:jc w:val="center"/>
              <w:rPr>
                <w:rFonts w:ascii="Cambria" w:hAnsi="Cambria"/>
                <w:bCs/>
                <w:sz w:val="24"/>
                <w:szCs w:val="24"/>
                <w:lang w:val="ro-RO"/>
              </w:rPr>
            </w:pPr>
            <w:r w:rsidRPr="00EA1BB2">
              <w:rPr>
                <w:rFonts w:ascii="Cambria" w:eastAsia="Times New Roman" w:hAnsi="Cambria" w:cs="Times New Roman"/>
                <w:sz w:val="24"/>
                <w:szCs w:val="24"/>
                <w:lang w:val="ro-RO"/>
              </w:rPr>
              <w:t>1</w:t>
            </w:r>
          </w:p>
        </w:tc>
        <w:tc>
          <w:tcPr>
            <w:tcW w:w="2268" w:type="dxa"/>
            <w:vAlign w:val="center"/>
          </w:tcPr>
          <w:p w14:paraId="068D1456" w14:textId="77777777" w:rsidR="000970C9" w:rsidRPr="00EA1BB2" w:rsidRDefault="000970C9" w:rsidP="00831372">
            <w:pPr>
              <w:spacing w:line="360" w:lineRule="auto"/>
              <w:jc w:val="center"/>
              <w:rPr>
                <w:rFonts w:ascii="Cambria" w:hAnsi="Cambria"/>
                <w:sz w:val="24"/>
                <w:szCs w:val="24"/>
                <w:lang w:val="ro-RO"/>
              </w:rPr>
            </w:pPr>
            <w:r w:rsidRPr="00EA1BB2">
              <w:rPr>
                <w:rFonts w:ascii="Cambria" w:hAnsi="Cambria"/>
                <w:bCs/>
                <w:sz w:val="24"/>
                <w:szCs w:val="24"/>
                <w:lang w:val="ro-RO"/>
              </w:rPr>
              <w:t>Valoare</w:t>
            </w:r>
            <w:r w:rsidR="00831372" w:rsidRPr="00EA1BB2">
              <w:rPr>
                <w:rFonts w:ascii="Cambria" w:hAnsi="Cambria"/>
                <w:bCs/>
                <w:sz w:val="24"/>
                <w:szCs w:val="24"/>
                <w:lang w:val="ro-RO"/>
              </w:rPr>
              <w:t>-</w:t>
            </w:r>
            <w:r w:rsidRPr="00EA1BB2">
              <w:rPr>
                <w:rFonts w:ascii="Cambria" w:hAnsi="Cambria"/>
                <w:bCs/>
                <w:sz w:val="24"/>
                <w:szCs w:val="24"/>
                <w:lang w:val="ro-RO"/>
              </w:rPr>
              <w:t>limită</w:t>
            </w:r>
          </w:p>
        </w:tc>
        <w:tc>
          <w:tcPr>
            <w:tcW w:w="6237" w:type="dxa"/>
            <w:vAlign w:val="center"/>
          </w:tcPr>
          <w:p w14:paraId="6D51DD7D" w14:textId="77777777" w:rsidR="000970C9" w:rsidRPr="00EA1BB2" w:rsidRDefault="000970C9" w:rsidP="00831372">
            <w:pPr>
              <w:spacing w:line="360" w:lineRule="auto"/>
              <w:jc w:val="both"/>
              <w:rPr>
                <w:rFonts w:ascii="Cambria" w:hAnsi="Cambria"/>
                <w:bCs/>
                <w:sz w:val="24"/>
                <w:szCs w:val="24"/>
                <w:lang w:val="ro-RO"/>
              </w:rPr>
            </w:pPr>
            <w:r w:rsidRPr="00EA1BB2">
              <w:rPr>
                <w:rFonts w:ascii="Cambria" w:hAnsi="Cambria"/>
                <w:bCs/>
                <w:sz w:val="24"/>
                <w:szCs w:val="24"/>
                <w:lang w:val="ro-RO"/>
              </w:rPr>
              <w:t xml:space="preserve">5 </w:t>
            </w:r>
            <w:r w:rsidRPr="00EA1BB2">
              <w:rPr>
                <w:rFonts w:ascii="Cambria" w:hAnsi="Cambria" w:cs="Times New Roman"/>
                <w:bCs/>
                <w:sz w:val="24"/>
                <w:szCs w:val="24"/>
                <w:lang w:val="ro-RO"/>
              </w:rPr>
              <w:t>µ</w:t>
            </w:r>
            <w:r w:rsidRPr="00EA1BB2">
              <w:rPr>
                <w:rFonts w:ascii="Cambria" w:hAnsi="Cambria"/>
                <w:bCs/>
                <w:sz w:val="24"/>
                <w:szCs w:val="24"/>
                <w:lang w:val="ro-RO"/>
              </w:rPr>
              <w:t>g/m</w:t>
            </w:r>
            <w:r w:rsidRPr="00EA1BB2">
              <w:rPr>
                <w:rFonts w:ascii="Cambria" w:hAnsi="Cambria"/>
                <w:bCs/>
                <w:sz w:val="24"/>
                <w:szCs w:val="24"/>
                <w:vertAlign w:val="superscript"/>
                <w:lang w:val="ro-RO"/>
              </w:rPr>
              <w:t>3</w:t>
            </w:r>
            <w:r w:rsidR="00831372" w:rsidRPr="00EA1BB2">
              <w:rPr>
                <w:rFonts w:ascii="Cambria" w:hAnsi="Cambria"/>
                <w:bCs/>
                <w:sz w:val="24"/>
                <w:szCs w:val="24"/>
                <w:lang w:val="ro-RO"/>
              </w:rPr>
              <w:t>–</w:t>
            </w:r>
            <w:r w:rsidRPr="00EA1BB2">
              <w:rPr>
                <w:rFonts w:ascii="Cambria" w:hAnsi="Cambria"/>
                <w:bCs/>
                <w:sz w:val="24"/>
                <w:szCs w:val="24"/>
                <w:lang w:val="ro-RO"/>
              </w:rPr>
              <w:t xml:space="preserve"> valoarea</w:t>
            </w:r>
            <w:r w:rsidR="00831372" w:rsidRPr="00EA1BB2">
              <w:rPr>
                <w:rFonts w:ascii="Cambria" w:hAnsi="Cambria"/>
                <w:bCs/>
                <w:sz w:val="24"/>
                <w:szCs w:val="24"/>
                <w:lang w:val="ro-RO"/>
              </w:rPr>
              <w:t>-</w:t>
            </w:r>
            <w:r w:rsidRPr="00EA1BB2">
              <w:rPr>
                <w:rFonts w:ascii="Cambria" w:hAnsi="Cambria"/>
                <w:bCs/>
                <w:sz w:val="24"/>
                <w:szCs w:val="24"/>
                <w:lang w:val="ro-RO"/>
              </w:rPr>
              <w:t>limită anuală pentru protec</w:t>
            </w:r>
            <w:r w:rsidR="00054880" w:rsidRPr="00EA1BB2">
              <w:rPr>
                <w:rFonts w:ascii="Cambria" w:hAnsi="Cambria"/>
                <w:bCs/>
                <w:sz w:val="24"/>
                <w:szCs w:val="24"/>
                <w:lang w:val="ro-RO"/>
              </w:rPr>
              <w:t>ț</w:t>
            </w:r>
            <w:r w:rsidRPr="00EA1BB2">
              <w:rPr>
                <w:rFonts w:ascii="Cambria" w:hAnsi="Cambria"/>
                <w:bCs/>
                <w:sz w:val="24"/>
                <w:szCs w:val="24"/>
                <w:lang w:val="ro-RO"/>
              </w:rPr>
              <w:t>ia sănătă</w:t>
            </w:r>
            <w:r w:rsidR="00054880" w:rsidRPr="00EA1BB2">
              <w:rPr>
                <w:rFonts w:ascii="Cambria" w:hAnsi="Cambria"/>
                <w:bCs/>
                <w:sz w:val="24"/>
                <w:szCs w:val="24"/>
                <w:lang w:val="ro-RO"/>
              </w:rPr>
              <w:t>ț</w:t>
            </w:r>
            <w:r w:rsidRPr="00EA1BB2">
              <w:rPr>
                <w:rFonts w:ascii="Cambria" w:hAnsi="Cambria"/>
                <w:bCs/>
                <w:sz w:val="24"/>
                <w:szCs w:val="24"/>
                <w:lang w:val="ro-RO"/>
              </w:rPr>
              <w:t>ii umane</w:t>
            </w:r>
          </w:p>
        </w:tc>
      </w:tr>
      <w:tr w:rsidR="00AA06F2" w:rsidRPr="00EA1BB2" w14:paraId="782CF6FA" w14:textId="77777777" w:rsidTr="00AA06F2">
        <w:tc>
          <w:tcPr>
            <w:tcW w:w="704" w:type="dxa"/>
            <w:vAlign w:val="center"/>
          </w:tcPr>
          <w:p w14:paraId="51086D5F" w14:textId="77777777" w:rsidR="00AA06F2" w:rsidRPr="00EA1BB2" w:rsidRDefault="00AA06F2" w:rsidP="00AA06F2">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2</w:t>
            </w:r>
          </w:p>
        </w:tc>
        <w:tc>
          <w:tcPr>
            <w:tcW w:w="2268" w:type="dxa"/>
            <w:vAlign w:val="center"/>
          </w:tcPr>
          <w:p w14:paraId="4B58B8A4" w14:textId="77777777" w:rsidR="00AA06F2" w:rsidRPr="00EA1BB2" w:rsidRDefault="00AA06F2" w:rsidP="00AA06F2">
            <w:pPr>
              <w:spacing w:line="360" w:lineRule="auto"/>
              <w:jc w:val="center"/>
              <w:rPr>
                <w:rFonts w:ascii="Cambria" w:hAnsi="Cambria"/>
                <w:bCs/>
                <w:sz w:val="24"/>
                <w:szCs w:val="24"/>
                <w:lang w:val="ro-RO"/>
              </w:rPr>
            </w:pPr>
            <w:r w:rsidRPr="00EA1BB2">
              <w:rPr>
                <w:rFonts w:ascii="Cambria" w:hAnsi="Cambria"/>
                <w:bCs/>
                <w:sz w:val="24"/>
                <w:szCs w:val="24"/>
                <w:lang w:val="ro-RO"/>
              </w:rPr>
              <w:t>Pragul superior de evaluare</w:t>
            </w:r>
          </w:p>
        </w:tc>
        <w:tc>
          <w:tcPr>
            <w:tcW w:w="6237" w:type="dxa"/>
            <w:vAlign w:val="center"/>
          </w:tcPr>
          <w:p w14:paraId="25B05155" w14:textId="77777777" w:rsidR="00AA06F2" w:rsidRPr="00EA1BB2" w:rsidRDefault="00AA06F2" w:rsidP="00AA06F2">
            <w:pPr>
              <w:spacing w:line="360" w:lineRule="auto"/>
              <w:jc w:val="both"/>
              <w:rPr>
                <w:rFonts w:ascii="Cambria" w:hAnsi="Cambria"/>
                <w:bCs/>
                <w:sz w:val="24"/>
                <w:szCs w:val="24"/>
                <w:lang w:val="ro-RO"/>
              </w:rPr>
            </w:pPr>
            <w:r w:rsidRPr="00EA1BB2">
              <w:rPr>
                <w:rFonts w:ascii="Cambria" w:hAnsi="Cambria"/>
                <w:bCs/>
                <w:sz w:val="24"/>
                <w:szCs w:val="24"/>
                <w:lang w:val="ro-RO"/>
              </w:rPr>
              <w:t>70% din valoarea-limită anuală (3,5 µg/m</w:t>
            </w:r>
            <w:r w:rsidRPr="00EA1BB2">
              <w:rPr>
                <w:rFonts w:ascii="Cambria" w:hAnsi="Cambria"/>
                <w:bCs/>
                <w:sz w:val="24"/>
                <w:szCs w:val="24"/>
                <w:vertAlign w:val="superscript"/>
                <w:lang w:val="ro-RO"/>
              </w:rPr>
              <w:t>3</w:t>
            </w:r>
            <w:r w:rsidRPr="00EA1BB2">
              <w:rPr>
                <w:rFonts w:ascii="Cambria" w:hAnsi="Cambria"/>
                <w:bCs/>
                <w:sz w:val="24"/>
                <w:szCs w:val="24"/>
                <w:lang w:val="ro-RO"/>
              </w:rPr>
              <w:t>)</w:t>
            </w:r>
          </w:p>
        </w:tc>
      </w:tr>
      <w:tr w:rsidR="00AA06F2" w:rsidRPr="00EA1BB2" w14:paraId="05C73B10" w14:textId="77777777" w:rsidTr="00AA06F2">
        <w:tc>
          <w:tcPr>
            <w:tcW w:w="704" w:type="dxa"/>
            <w:vAlign w:val="center"/>
          </w:tcPr>
          <w:p w14:paraId="700BD180" w14:textId="77777777" w:rsidR="00AA06F2" w:rsidRPr="00EA1BB2" w:rsidRDefault="00AA06F2" w:rsidP="00AA06F2">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3</w:t>
            </w:r>
          </w:p>
        </w:tc>
        <w:tc>
          <w:tcPr>
            <w:tcW w:w="2268" w:type="dxa"/>
            <w:vAlign w:val="center"/>
          </w:tcPr>
          <w:p w14:paraId="1070FEEF" w14:textId="77777777" w:rsidR="00AA06F2" w:rsidRPr="00EA1BB2" w:rsidRDefault="00AA06F2" w:rsidP="00AA06F2">
            <w:pPr>
              <w:spacing w:line="360" w:lineRule="auto"/>
              <w:jc w:val="center"/>
              <w:rPr>
                <w:rFonts w:ascii="Cambria" w:hAnsi="Cambria"/>
                <w:bCs/>
                <w:sz w:val="24"/>
                <w:szCs w:val="24"/>
                <w:lang w:val="ro-RO"/>
              </w:rPr>
            </w:pPr>
            <w:r w:rsidRPr="00EA1BB2">
              <w:rPr>
                <w:rFonts w:ascii="Cambria" w:hAnsi="Cambria"/>
                <w:bCs/>
                <w:sz w:val="24"/>
                <w:szCs w:val="24"/>
                <w:lang w:val="ro-RO"/>
              </w:rPr>
              <w:t xml:space="preserve">Pragul inferior de evaluare </w:t>
            </w:r>
          </w:p>
        </w:tc>
        <w:tc>
          <w:tcPr>
            <w:tcW w:w="6237" w:type="dxa"/>
            <w:vAlign w:val="center"/>
          </w:tcPr>
          <w:p w14:paraId="59F0CBCC" w14:textId="77777777" w:rsidR="00AA06F2" w:rsidRPr="00EA1BB2" w:rsidRDefault="00AA06F2" w:rsidP="00AA06F2">
            <w:pPr>
              <w:spacing w:line="360" w:lineRule="auto"/>
              <w:jc w:val="both"/>
              <w:rPr>
                <w:rFonts w:ascii="Cambria" w:hAnsi="Cambria"/>
                <w:bCs/>
                <w:sz w:val="24"/>
                <w:szCs w:val="24"/>
                <w:lang w:val="ro-RO"/>
              </w:rPr>
            </w:pPr>
            <w:r w:rsidRPr="00EA1BB2">
              <w:rPr>
                <w:rFonts w:ascii="Cambria" w:hAnsi="Cambria"/>
                <w:bCs/>
                <w:sz w:val="24"/>
                <w:szCs w:val="24"/>
                <w:lang w:val="ro-RO"/>
              </w:rPr>
              <w:t>40% din valoarea-limită anuală (2 µg/m</w:t>
            </w:r>
            <w:r w:rsidRPr="00EA1BB2">
              <w:rPr>
                <w:rFonts w:ascii="Cambria" w:hAnsi="Cambria"/>
                <w:bCs/>
                <w:sz w:val="24"/>
                <w:szCs w:val="24"/>
                <w:vertAlign w:val="superscript"/>
                <w:lang w:val="ro-RO"/>
              </w:rPr>
              <w:t>3</w:t>
            </w:r>
            <w:r w:rsidRPr="00EA1BB2">
              <w:rPr>
                <w:rFonts w:ascii="Cambria" w:hAnsi="Cambria"/>
                <w:bCs/>
                <w:sz w:val="24"/>
                <w:szCs w:val="24"/>
                <w:lang w:val="ro-RO"/>
              </w:rPr>
              <w:t>)</w:t>
            </w:r>
          </w:p>
        </w:tc>
      </w:tr>
    </w:tbl>
    <w:p w14:paraId="47318225" w14:textId="77777777" w:rsidR="000970C9" w:rsidRPr="00EA1BB2" w:rsidRDefault="000970C9" w:rsidP="000970C9">
      <w:pPr>
        <w:spacing w:line="276" w:lineRule="auto"/>
        <w:jc w:val="both"/>
        <w:rPr>
          <w:rFonts w:ascii="Cambria" w:hAnsi="Cambria" w:cs="Times New Roman"/>
          <w:szCs w:val="24"/>
        </w:rPr>
      </w:pPr>
      <w:r w:rsidRPr="00EA1BB2">
        <w:rPr>
          <w:rFonts w:ascii="Cambria" w:hAnsi="Cambria" w:cs="Times New Roman"/>
          <w:szCs w:val="24"/>
        </w:rPr>
        <w:t xml:space="preserve">sursa: </w:t>
      </w:r>
      <w:hyperlink r:id="rId80" w:history="1">
        <w:r w:rsidRPr="00EA1BB2">
          <w:rPr>
            <w:rStyle w:val="Hyperlink"/>
            <w:rFonts w:ascii="Cambria" w:hAnsi="Cambria" w:cs="Times New Roman"/>
            <w:color w:val="auto"/>
            <w:szCs w:val="24"/>
            <w:u w:val="none"/>
          </w:rPr>
          <w:t>http://www.calitateaer.ro/public/assessment-page/pollutants-page/benzen-page/?__</w:t>
        </w:r>
      </w:hyperlink>
    </w:p>
    <w:p w14:paraId="515A9B29" w14:textId="77777777" w:rsidR="000970C9" w:rsidRPr="00EA1BB2" w:rsidRDefault="000970C9" w:rsidP="000970C9">
      <w:pPr>
        <w:spacing w:line="276" w:lineRule="auto"/>
        <w:jc w:val="both"/>
        <w:rPr>
          <w:rFonts w:ascii="Cambria" w:hAnsi="Cambria" w:cs="Times New Roman"/>
          <w:szCs w:val="24"/>
        </w:rPr>
      </w:pPr>
      <w:r w:rsidRPr="00EA1BB2">
        <w:rPr>
          <w:rFonts w:ascii="Cambria" w:hAnsi="Cambria" w:cs="Times New Roman"/>
          <w:szCs w:val="24"/>
        </w:rPr>
        <w:t>locale=ro</w:t>
      </w:r>
    </w:p>
    <w:p w14:paraId="1BFF45F2" w14:textId="77777777" w:rsidR="00343667" w:rsidRPr="00EA1BB2" w:rsidRDefault="00343667" w:rsidP="00A36A61">
      <w:pPr>
        <w:spacing w:line="360" w:lineRule="auto"/>
        <w:jc w:val="both"/>
        <w:rPr>
          <w:rFonts w:ascii="Cambria" w:hAnsi="Cambria" w:cs="Times New Roman"/>
          <w:sz w:val="24"/>
          <w:szCs w:val="24"/>
        </w:rPr>
      </w:pPr>
    </w:p>
    <w:p w14:paraId="2B2B046C" w14:textId="77777777" w:rsidR="00A36A61" w:rsidRPr="00EA1BB2" w:rsidRDefault="00A36A61" w:rsidP="00A36A61">
      <w:pPr>
        <w:spacing w:line="360" w:lineRule="auto"/>
        <w:ind w:firstLine="708"/>
        <w:jc w:val="both"/>
        <w:rPr>
          <w:rFonts w:ascii="Cambria" w:hAnsi="Cambria" w:cs="Times New Roman"/>
          <w:sz w:val="24"/>
          <w:szCs w:val="24"/>
        </w:rPr>
      </w:pPr>
      <w:r w:rsidRPr="00EA1BB2">
        <w:rPr>
          <w:rFonts w:ascii="Cambria" w:hAnsi="Cambria" w:cs="Times New Roman"/>
          <w:sz w:val="24"/>
          <w:szCs w:val="24"/>
        </w:rPr>
        <w:t>Metoda de referință pentru măsurarea benzenului este cea prevăzută în standardul SR EN 14662 "Calitatea aerului înconjurător. Metodă standardizată pentru măsurarea concentrațiilor de benzen" - p</w:t>
      </w:r>
      <w:r w:rsidR="00B54EC7" w:rsidRPr="00EA1BB2">
        <w:rPr>
          <w:rFonts w:ascii="Cambria" w:hAnsi="Cambria" w:cs="Times New Roman"/>
          <w:sz w:val="24"/>
          <w:szCs w:val="24"/>
        </w:rPr>
        <w:t>ă</w:t>
      </w:r>
      <w:r w:rsidRPr="00EA1BB2">
        <w:rPr>
          <w:rFonts w:ascii="Cambria" w:hAnsi="Cambria" w:cs="Times New Roman"/>
          <w:sz w:val="24"/>
          <w:szCs w:val="24"/>
        </w:rPr>
        <w:t>rțile 1, 2 și 3.</w:t>
      </w:r>
    </w:p>
    <w:p w14:paraId="2C555CDB" w14:textId="77777777" w:rsidR="00A36A61" w:rsidRPr="00EA1BB2" w:rsidRDefault="00A36A61" w:rsidP="00343667">
      <w:pPr>
        <w:spacing w:line="360" w:lineRule="auto"/>
        <w:jc w:val="both"/>
        <w:rPr>
          <w:rFonts w:ascii="Cambria" w:hAnsi="Cambria" w:cs="Times New Roman"/>
          <w:sz w:val="24"/>
          <w:szCs w:val="24"/>
        </w:rPr>
      </w:pPr>
    </w:p>
    <w:p w14:paraId="61D80B2F" w14:textId="77777777" w:rsidR="00343667" w:rsidRPr="00EA1BB2" w:rsidRDefault="00343667" w:rsidP="00E859EF">
      <w:pPr>
        <w:pStyle w:val="Heading4"/>
        <w:numPr>
          <w:ilvl w:val="3"/>
          <w:numId w:val="1"/>
        </w:numPr>
        <w:spacing w:before="0" w:line="360" w:lineRule="auto"/>
        <w:ind w:hanging="579"/>
        <w:rPr>
          <w:color w:val="0070C0"/>
          <w:sz w:val="24"/>
        </w:rPr>
      </w:pPr>
      <w:bookmarkStart w:id="161" w:name="_Toc459107456"/>
      <w:bookmarkStart w:id="162" w:name="_Toc463955943"/>
      <w:bookmarkStart w:id="163" w:name="_Toc526889732"/>
      <w:r w:rsidRPr="00EA1BB2">
        <w:rPr>
          <w:color w:val="0070C0"/>
          <w:sz w:val="24"/>
        </w:rPr>
        <w:t>Dioxid de sulf (SO</w:t>
      </w:r>
      <w:r w:rsidRPr="00EA1BB2">
        <w:rPr>
          <w:color w:val="0070C0"/>
          <w:sz w:val="24"/>
          <w:vertAlign w:val="subscript"/>
        </w:rPr>
        <w:t>2</w:t>
      </w:r>
      <w:r w:rsidRPr="00EA1BB2">
        <w:rPr>
          <w:color w:val="0070C0"/>
          <w:sz w:val="24"/>
        </w:rPr>
        <w:t>)</w:t>
      </w:r>
      <w:bookmarkEnd w:id="161"/>
      <w:bookmarkEnd w:id="162"/>
      <w:bookmarkEnd w:id="163"/>
    </w:p>
    <w:p w14:paraId="3831EACF" w14:textId="77777777" w:rsidR="00343667" w:rsidRPr="00EA1BB2" w:rsidRDefault="00343667" w:rsidP="00343667">
      <w:pPr>
        <w:spacing w:line="360" w:lineRule="auto"/>
        <w:ind w:firstLine="708"/>
        <w:jc w:val="both"/>
        <w:rPr>
          <w:rFonts w:ascii="Cambria" w:hAnsi="Cambria" w:cs="Times New Roman"/>
          <w:sz w:val="24"/>
          <w:szCs w:val="24"/>
        </w:rPr>
      </w:pPr>
      <w:r w:rsidRPr="00EA1BB2">
        <w:rPr>
          <w:rFonts w:ascii="Cambria" w:hAnsi="Cambria" w:cs="Times New Roman"/>
          <w:sz w:val="24"/>
          <w:szCs w:val="24"/>
        </w:rPr>
        <w:t xml:space="preserve">Dioxidul de sulf este un gaz incolor, amărui, neinflamabil, cu un miros pătrunzător care irită ochii </w:t>
      </w:r>
      <w:r w:rsidR="00054880" w:rsidRPr="00EA1BB2">
        <w:rPr>
          <w:rFonts w:ascii="Cambria" w:hAnsi="Cambria" w:cs="Times New Roman"/>
          <w:sz w:val="24"/>
          <w:szCs w:val="24"/>
        </w:rPr>
        <w:t>ș</w:t>
      </w:r>
      <w:r w:rsidRPr="00EA1BB2">
        <w:rPr>
          <w:rFonts w:ascii="Cambria" w:hAnsi="Cambria" w:cs="Times New Roman"/>
          <w:sz w:val="24"/>
          <w:szCs w:val="24"/>
        </w:rPr>
        <w:t>i căile respiratorii.</w:t>
      </w:r>
    </w:p>
    <w:p w14:paraId="6E09CDC7" w14:textId="77777777" w:rsidR="00343667" w:rsidRPr="00EA1BB2" w:rsidRDefault="00343667" w:rsidP="003A520C">
      <w:pPr>
        <w:numPr>
          <w:ilvl w:val="0"/>
          <w:numId w:val="26"/>
        </w:numPr>
        <w:spacing w:line="360" w:lineRule="auto"/>
        <w:contextualSpacing/>
        <w:jc w:val="both"/>
        <w:rPr>
          <w:rFonts w:ascii="Cambria" w:hAnsi="Cambria" w:cs="Times New Roman"/>
          <w:sz w:val="24"/>
          <w:szCs w:val="24"/>
        </w:rPr>
      </w:pPr>
      <w:r w:rsidRPr="00EA1BB2">
        <w:rPr>
          <w:rFonts w:ascii="Cambria" w:hAnsi="Cambria" w:cs="Times New Roman"/>
          <w:sz w:val="24"/>
          <w:szCs w:val="24"/>
        </w:rPr>
        <w:t>Surse de poluare:</w:t>
      </w:r>
    </w:p>
    <w:p w14:paraId="09284F8C" w14:textId="77777777" w:rsidR="00343667" w:rsidRPr="00EA1BB2" w:rsidRDefault="00343667" w:rsidP="00343667">
      <w:pPr>
        <w:spacing w:line="360" w:lineRule="auto"/>
        <w:ind w:firstLine="708"/>
        <w:jc w:val="both"/>
        <w:rPr>
          <w:rFonts w:ascii="Cambria" w:hAnsi="Cambria" w:cs="Times New Roman"/>
          <w:sz w:val="24"/>
          <w:szCs w:val="24"/>
        </w:rPr>
      </w:pPr>
      <w:r w:rsidRPr="00EA1BB2">
        <w:rPr>
          <w:rFonts w:ascii="Cambria" w:hAnsi="Cambria" w:cs="Times New Roman"/>
          <w:sz w:val="24"/>
          <w:szCs w:val="24"/>
        </w:rPr>
        <w:lastRenderedPageBreak/>
        <w:t>Surse naturale: erup</w:t>
      </w:r>
      <w:r w:rsidR="00054880" w:rsidRPr="00EA1BB2">
        <w:rPr>
          <w:rFonts w:ascii="Cambria" w:hAnsi="Cambria" w:cs="Times New Roman"/>
          <w:sz w:val="24"/>
          <w:szCs w:val="24"/>
        </w:rPr>
        <w:t>ț</w:t>
      </w:r>
      <w:r w:rsidRPr="00EA1BB2">
        <w:rPr>
          <w:rFonts w:ascii="Cambria" w:hAnsi="Cambria" w:cs="Times New Roman"/>
          <w:sz w:val="24"/>
          <w:szCs w:val="24"/>
        </w:rPr>
        <w:t>iile vulcanice, fitoplanctonul marin, fermenta</w:t>
      </w:r>
      <w:r w:rsidR="00054880" w:rsidRPr="00EA1BB2">
        <w:rPr>
          <w:rFonts w:ascii="Cambria" w:hAnsi="Cambria" w:cs="Times New Roman"/>
          <w:sz w:val="24"/>
          <w:szCs w:val="24"/>
        </w:rPr>
        <w:t>ț</w:t>
      </w:r>
      <w:r w:rsidRPr="00EA1BB2">
        <w:rPr>
          <w:rFonts w:ascii="Cambria" w:hAnsi="Cambria" w:cs="Times New Roman"/>
          <w:sz w:val="24"/>
          <w:szCs w:val="24"/>
        </w:rPr>
        <w:t>ia bacteriană în zonele mlă</w:t>
      </w:r>
      <w:r w:rsidR="00054880" w:rsidRPr="00EA1BB2">
        <w:rPr>
          <w:rFonts w:ascii="Cambria" w:hAnsi="Cambria" w:cs="Times New Roman"/>
          <w:sz w:val="24"/>
          <w:szCs w:val="24"/>
        </w:rPr>
        <w:t>ș</w:t>
      </w:r>
      <w:r w:rsidRPr="00EA1BB2">
        <w:rPr>
          <w:rFonts w:ascii="Cambria" w:hAnsi="Cambria" w:cs="Times New Roman"/>
          <w:sz w:val="24"/>
          <w:szCs w:val="24"/>
        </w:rPr>
        <w:t>tinoase, oxidarea gazului cu con</w:t>
      </w:r>
      <w:r w:rsidR="00054880" w:rsidRPr="00EA1BB2">
        <w:rPr>
          <w:rFonts w:ascii="Cambria" w:hAnsi="Cambria" w:cs="Times New Roman"/>
          <w:sz w:val="24"/>
          <w:szCs w:val="24"/>
        </w:rPr>
        <w:t>ț</w:t>
      </w:r>
      <w:r w:rsidRPr="00EA1BB2">
        <w:rPr>
          <w:rFonts w:ascii="Cambria" w:hAnsi="Cambria" w:cs="Times New Roman"/>
          <w:sz w:val="24"/>
          <w:szCs w:val="24"/>
        </w:rPr>
        <w:t>inut de sulf rezultat din descompunerea biomasei.</w:t>
      </w:r>
    </w:p>
    <w:p w14:paraId="6A8051E6" w14:textId="77777777" w:rsidR="00343667" w:rsidRPr="00EA1BB2" w:rsidRDefault="00343667" w:rsidP="00343667">
      <w:pPr>
        <w:spacing w:line="360" w:lineRule="auto"/>
        <w:ind w:firstLine="708"/>
        <w:jc w:val="both"/>
        <w:rPr>
          <w:rFonts w:ascii="Cambria" w:hAnsi="Cambria" w:cs="Times New Roman"/>
          <w:sz w:val="24"/>
          <w:szCs w:val="24"/>
        </w:rPr>
      </w:pPr>
      <w:r w:rsidRPr="00EA1BB2">
        <w:rPr>
          <w:rFonts w:ascii="Cambria" w:hAnsi="Cambria" w:cs="Times New Roman"/>
          <w:sz w:val="24"/>
          <w:szCs w:val="24"/>
        </w:rPr>
        <w:t>Surse antropice (datorate activită</w:t>
      </w:r>
      <w:r w:rsidR="00054880" w:rsidRPr="00EA1BB2">
        <w:rPr>
          <w:rFonts w:ascii="Cambria" w:hAnsi="Cambria" w:cs="Times New Roman"/>
          <w:sz w:val="24"/>
          <w:szCs w:val="24"/>
        </w:rPr>
        <w:t>ț</w:t>
      </w:r>
      <w:r w:rsidRPr="00EA1BB2">
        <w:rPr>
          <w:rFonts w:ascii="Cambria" w:hAnsi="Cambria" w:cs="Times New Roman"/>
          <w:sz w:val="24"/>
          <w:szCs w:val="24"/>
        </w:rPr>
        <w:t>ilor umane): sistemele de încălzire a popula</w:t>
      </w:r>
      <w:r w:rsidR="00054880" w:rsidRPr="00EA1BB2">
        <w:rPr>
          <w:rFonts w:ascii="Cambria" w:hAnsi="Cambria" w:cs="Times New Roman"/>
          <w:sz w:val="24"/>
          <w:szCs w:val="24"/>
        </w:rPr>
        <w:t>ț</w:t>
      </w:r>
      <w:r w:rsidRPr="00EA1BB2">
        <w:rPr>
          <w:rFonts w:ascii="Cambria" w:hAnsi="Cambria" w:cs="Times New Roman"/>
          <w:sz w:val="24"/>
          <w:szCs w:val="24"/>
        </w:rPr>
        <w:t xml:space="preserve">iei care nu utilizează gaz metan, centralele termoelectrice, procesele industriale (siderurgie, rafinărie, producerea acidului sulfuric), industria celulozei </w:t>
      </w:r>
      <w:r w:rsidR="00054880" w:rsidRPr="00EA1BB2">
        <w:rPr>
          <w:rFonts w:ascii="Cambria" w:hAnsi="Cambria" w:cs="Times New Roman"/>
          <w:sz w:val="24"/>
          <w:szCs w:val="24"/>
        </w:rPr>
        <w:t>ș</w:t>
      </w:r>
      <w:r w:rsidRPr="00EA1BB2">
        <w:rPr>
          <w:rFonts w:ascii="Cambria" w:hAnsi="Cambria" w:cs="Times New Roman"/>
          <w:sz w:val="24"/>
          <w:szCs w:val="24"/>
        </w:rPr>
        <w:t xml:space="preserve">i hârtiei </w:t>
      </w:r>
      <w:r w:rsidR="00054880" w:rsidRPr="00EA1BB2">
        <w:rPr>
          <w:rFonts w:ascii="Cambria" w:hAnsi="Cambria" w:cs="Times New Roman"/>
          <w:sz w:val="24"/>
          <w:szCs w:val="24"/>
        </w:rPr>
        <w:t>ș</w:t>
      </w:r>
      <w:r w:rsidRPr="00EA1BB2">
        <w:rPr>
          <w:rFonts w:ascii="Cambria" w:hAnsi="Cambria" w:cs="Times New Roman"/>
          <w:sz w:val="24"/>
          <w:szCs w:val="24"/>
        </w:rPr>
        <w:t>i, în măsură mai mica, emisiile provenite de la motoarele diesel.</w:t>
      </w:r>
    </w:p>
    <w:p w14:paraId="57D2CC8E" w14:textId="77777777" w:rsidR="00343667" w:rsidRPr="00EA1BB2" w:rsidRDefault="00343667" w:rsidP="003A520C">
      <w:pPr>
        <w:numPr>
          <w:ilvl w:val="0"/>
          <w:numId w:val="26"/>
        </w:numPr>
        <w:spacing w:line="360" w:lineRule="auto"/>
        <w:contextualSpacing/>
        <w:jc w:val="both"/>
        <w:rPr>
          <w:rFonts w:ascii="Cambria" w:hAnsi="Cambria" w:cs="Times New Roman"/>
          <w:sz w:val="24"/>
          <w:szCs w:val="24"/>
        </w:rPr>
      </w:pPr>
      <w:r w:rsidRPr="00EA1BB2">
        <w:rPr>
          <w:rFonts w:ascii="Cambria" w:hAnsi="Cambria" w:cs="Times New Roman"/>
          <w:sz w:val="24"/>
          <w:szCs w:val="24"/>
        </w:rPr>
        <w:t>Efecte asupra sănătă</w:t>
      </w:r>
      <w:r w:rsidR="00054880" w:rsidRPr="00EA1BB2">
        <w:rPr>
          <w:rFonts w:ascii="Cambria" w:hAnsi="Cambria" w:cs="Times New Roman"/>
          <w:sz w:val="24"/>
          <w:szCs w:val="24"/>
        </w:rPr>
        <w:t>ț</w:t>
      </w:r>
      <w:r w:rsidRPr="00EA1BB2">
        <w:rPr>
          <w:rFonts w:ascii="Cambria" w:hAnsi="Cambria" w:cs="Times New Roman"/>
          <w:sz w:val="24"/>
          <w:szCs w:val="24"/>
        </w:rPr>
        <w:t>ii popula</w:t>
      </w:r>
      <w:r w:rsidR="00054880" w:rsidRPr="00EA1BB2">
        <w:rPr>
          <w:rFonts w:ascii="Cambria" w:hAnsi="Cambria" w:cs="Times New Roman"/>
          <w:sz w:val="24"/>
          <w:szCs w:val="24"/>
        </w:rPr>
        <w:t>ț</w:t>
      </w:r>
      <w:r w:rsidRPr="00EA1BB2">
        <w:rPr>
          <w:rFonts w:ascii="Cambria" w:hAnsi="Cambria" w:cs="Times New Roman"/>
          <w:sz w:val="24"/>
          <w:szCs w:val="24"/>
        </w:rPr>
        <w:t xml:space="preserve">iei </w:t>
      </w:r>
    </w:p>
    <w:p w14:paraId="4CFE41EC" w14:textId="77777777" w:rsidR="00343667" w:rsidRPr="00EA1BB2" w:rsidRDefault="00343667" w:rsidP="00343667">
      <w:pPr>
        <w:spacing w:line="360" w:lineRule="auto"/>
        <w:ind w:firstLine="708"/>
        <w:jc w:val="both"/>
        <w:rPr>
          <w:rFonts w:ascii="Cambria" w:hAnsi="Cambria" w:cs="Times New Roman"/>
          <w:sz w:val="24"/>
          <w:szCs w:val="24"/>
        </w:rPr>
      </w:pPr>
      <w:r w:rsidRPr="00EA1BB2">
        <w:rPr>
          <w:rFonts w:ascii="Cambria" w:hAnsi="Cambria" w:cs="Times New Roman"/>
          <w:sz w:val="24"/>
          <w:szCs w:val="24"/>
        </w:rPr>
        <w:t>În func</w:t>
      </w:r>
      <w:r w:rsidR="00054880" w:rsidRPr="00EA1BB2">
        <w:rPr>
          <w:rFonts w:ascii="Cambria" w:hAnsi="Cambria" w:cs="Times New Roman"/>
          <w:sz w:val="24"/>
          <w:szCs w:val="24"/>
        </w:rPr>
        <w:t>ț</w:t>
      </w:r>
      <w:r w:rsidRPr="00EA1BB2">
        <w:rPr>
          <w:rFonts w:ascii="Cambria" w:hAnsi="Cambria" w:cs="Times New Roman"/>
          <w:sz w:val="24"/>
          <w:szCs w:val="24"/>
        </w:rPr>
        <w:t>ie de concentra</w:t>
      </w:r>
      <w:r w:rsidR="00054880" w:rsidRPr="00EA1BB2">
        <w:rPr>
          <w:rFonts w:ascii="Cambria" w:hAnsi="Cambria" w:cs="Times New Roman"/>
          <w:sz w:val="24"/>
          <w:szCs w:val="24"/>
        </w:rPr>
        <w:t>ț</w:t>
      </w:r>
      <w:r w:rsidRPr="00EA1BB2">
        <w:rPr>
          <w:rFonts w:ascii="Cambria" w:hAnsi="Cambria" w:cs="Times New Roman"/>
          <w:sz w:val="24"/>
          <w:szCs w:val="24"/>
        </w:rPr>
        <w:t xml:space="preserve">ie </w:t>
      </w:r>
      <w:r w:rsidR="00054880" w:rsidRPr="00EA1BB2">
        <w:rPr>
          <w:rFonts w:ascii="Cambria" w:hAnsi="Cambria" w:cs="Times New Roman"/>
          <w:sz w:val="24"/>
          <w:szCs w:val="24"/>
        </w:rPr>
        <w:t>ș</w:t>
      </w:r>
      <w:r w:rsidRPr="00EA1BB2">
        <w:rPr>
          <w:rFonts w:ascii="Cambria" w:hAnsi="Cambria" w:cs="Times New Roman"/>
          <w:sz w:val="24"/>
          <w:szCs w:val="24"/>
        </w:rPr>
        <w:t>i perioada de expunere, dioxidul de sulf are diferite efecte asupra sănătă</w:t>
      </w:r>
      <w:r w:rsidR="00054880" w:rsidRPr="00EA1BB2">
        <w:rPr>
          <w:rFonts w:ascii="Cambria" w:hAnsi="Cambria" w:cs="Times New Roman"/>
          <w:sz w:val="24"/>
          <w:szCs w:val="24"/>
        </w:rPr>
        <w:t>ț</w:t>
      </w:r>
      <w:r w:rsidRPr="00EA1BB2">
        <w:rPr>
          <w:rFonts w:ascii="Cambria" w:hAnsi="Cambria" w:cs="Times New Roman"/>
          <w:sz w:val="24"/>
          <w:szCs w:val="24"/>
        </w:rPr>
        <w:t>ii umane. Expunerea la o concentra</w:t>
      </w:r>
      <w:r w:rsidR="00054880" w:rsidRPr="00EA1BB2">
        <w:rPr>
          <w:rFonts w:ascii="Cambria" w:hAnsi="Cambria" w:cs="Times New Roman"/>
          <w:sz w:val="24"/>
          <w:szCs w:val="24"/>
        </w:rPr>
        <w:t>ț</w:t>
      </w:r>
      <w:r w:rsidRPr="00EA1BB2">
        <w:rPr>
          <w:rFonts w:ascii="Cambria" w:hAnsi="Cambria" w:cs="Times New Roman"/>
          <w:sz w:val="24"/>
          <w:szCs w:val="24"/>
        </w:rPr>
        <w:t>ie mare de dioxid de sulf, pe o perioadă scurtă de timp, poate provoca dificultă</w:t>
      </w:r>
      <w:r w:rsidR="00054880" w:rsidRPr="00EA1BB2">
        <w:rPr>
          <w:rFonts w:ascii="Cambria" w:hAnsi="Cambria" w:cs="Times New Roman"/>
          <w:sz w:val="24"/>
          <w:szCs w:val="24"/>
        </w:rPr>
        <w:t>ț</w:t>
      </w:r>
      <w:r w:rsidRPr="00EA1BB2">
        <w:rPr>
          <w:rFonts w:ascii="Cambria" w:hAnsi="Cambria" w:cs="Times New Roman"/>
          <w:sz w:val="24"/>
          <w:szCs w:val="24"/>
        </w:rPr>
        <w:t xml:space="preserve">i respiratorii severe. Sunt afectate în special persoanele cu astm, copiii, vârstnicii </w:t>
      </w:r>
      <w:r w:rsidR="00054880" w:rsidRPr="00EA1BB2">
        <w:rPr>
          <w:rFonts w:ascii="Cambria" w:hAnsi="Cambria" w:cs="Times New Roman"/>
          <w:sz w:val="24"/>
          <w:szCs w:val="24"/>
        </w:rPr>
        <w:t>ș</w:t>
      </w:r>
      <w:r w:rsidRPr="00EA1BB2">
        <w:rPr>
          <w:rFonts w:ascii="Cambria" w:hAnsi="Cambria" w:cs="Times New Roman"/>
          <w:sz w:val="24"/>
          <w:szCs w:val="24"/>
        </w:rPr>
        <w:t>i persoanele cu boli cronice ale căilor respiratorii. Expunerea la o concentra</w:t>
      </w:r>
      <w:r w:rsidR="00054880" w:rsidRPr="00EA1BB2">
        <w:rPr>
          <w:rFonts w:ascii="Cambria" w:hAnsi="Cambria" w:cs="Times New Roman"/>
          <w:sz w:val="24"/>
          <w:szCs w:val="24"/>
        </w:rPr>
        <w:t>ț</w:t>
      </w:r>
      <w:r w:rsidRPr="00EA1BB2">
        <w:rPr>
          <w:rFonts w:ascii="Cambria" w:hAnsi="Cambria" w:cs="Times New Roman"/>
          <w:sz w:val="24"/>
          <w:szCs w:val="24"/>
        </w:rPr>
        <w:t>ie redusă de dioxid de sulf, pe termen lung poate avea ca efect infec</w:t>
      </w:r>
      <w:r w:rsidR="00054880" w:rsidRPr="00EA1BB2">
        <w:rPr>
          <w:rFonts w:ascii="Cambria" w:hAnsi="Cambria" w:cs="Times New Roman"/>
          <w:sz w:val="24"/>
          <w:szCs w:val="24"/>
        </w:rPr>
        <w:t>ț</w:t>
      </w:r>
      <w:r w:rsidRPr="00EA1BB2">
        <w:rPr>
          <w:rFonts w:ascii="Cambria" w:hAnsi="Cambria" w:cs="Times New Roman"/>
          <w:sz w:val="24"/>
          <w:szCs w:val="24"/>
        </w:rPr>
        <w:t>ii ale tractului respirator. Dioxidul de sulf poate poten</w:t>
      </w:r>
      <w:r w:rsidR="00054880" w:rsidRPr="00EA1BB2">
        <w:rPr>
          <w:rFonts w:ascii="Cambria" w:hAnsi="Cambria" w:cs="Times New Roman"/>
          <w:sz w:val="24"/>
          <w:szCs w:val="24"/>
        </w:rPr>
        <w:t>ț</w:t>
      </w:r>
      <w:r w:rsidRPr="00EA1BB2">
        <w:rPr>
          <w:rFonts w:ascii="Cambria" w:hAnsi="Cambria" w:cs="Times New Roman"/>
          <w:sz w:val="24"/>
          <w:szCs w:val="24"/>
        </w:rPr>
        <w:t>a efectele periculoase ale ozonului.</w:t>
      </w:r>
    </w:p>
    <w:p w14:paraId="5133C882" w14:textId="77777777" w:rsidR="00343667" w:rsidRPr="00EA1BB2" w:rsidRDefault="00343667" w:rsidP="003A520C">
      <w:pPr>
        <w:numPr>
          <w:ilvl w:val="0"/>
          <w:numId w:val="26"/>
        </w:numPr>
        <w:spacing w:line="360" w:lineRule="auto"/>
        <w:contextualSpacing/>
        <w:jc w:val="both"/>
        <w:rPr>
          <w:rFonts w:ascii="Cambria" w:hAnsi="Cambria" w:cs="Times New Roman"/>
          <w:sz w:val="24"/>
          <w:szCs w:val="24"/>
        </w:rPr>
      </w:pPr>
      <w:r w:rsidRPr="00EA1BB2">
        <w:rPr>
          <w:rFonts w:ascii="Cambria" w:hAnsi="Cambria" w:cs="Times New Roman"/>
          <w:sz w:val="24"/>
          <w:szCs w:val="24"/>
        </w:rPr>
        <w:t>Efecte asupra plantelor</w:t>
      </w:r>
    </w:p>
    <w:p w14:paraId="4AA011E5" w14:textId="77777777" w:rsidR="00343667" w:rsidRPr="00EA1BB2" w:rsidRDefault="00343667" w:rsidP="00343667">
      <w:pPr>
        <w:spacing w:line="360" w:lineRule="auto"/>
        <w:ind w:firstLine="708"/>
        <w:jc w:val="both"/>
        <w:rPr>
          <w:rFonts w:ascii="Cambria" w:hAnsi="Cambria" w:cs="Times New Roman"/>
          <w:sz w:val="24"/>
          <w:szCs w:val="24"/>
        </w:rPr>
      </w:pPr>
      <w:r w:rsidRPr="00EA1BB2">
        <w:rPr>
          <w:rFonts w:ascii="Cambria" w:hAnsi="Cambria" w:cs="Times New Roman"/>
          <w:sz w:val="24"/>
          <w:szCs w:val="24"/>
        </w:rPr>
        <w:t xml:space="preserve">Dioxidul de sulf afectează vizibil multe specii de plante, efectul negativ asupra structurii </w:t>
      </w:r>
      <w:r w:rsidR="00054880" w:rsidRPr="00EA1BB2">
        <w:rPr>
          <w:rFonts w:ascii="Cambria" w:hAnsi="Cambria" w:cs="Times New Roman"/>
          <w:sz w:val="24"/>
          <w:szCs w:val="24"/>
        </w:rPr>
        <w:t>ș</w:t>
      </w:r>
      <w:r w:rsidRPr="00EA1BB2">
        <w:rPr>
          <w:rFonts w:ascii="Cambria" w:hAnsi="Cambria" w:cs="Times New Roman"/>
          <w:sz w:val="24"/>
          <w:szCs w:val="24"/>
        </w:rPr>
        <w:t xml:space="preserve">i </w:t>
      </w:r>
      <w:r w:rsidR="00054880" w:rsidRPr="00EA1BB2">
        <w:rPr>
          <w:rFonts w:ascii="Cambria" w:hAnsi="Cambria" w:cs="Times New Roman"/>
          <w:sz w:val="24"/>
          <w:szCs w:val="24"/>
        </w:rPr>
        <w:t>ț</w:t>
      </w:r>
      <w:r w:rsidRPr="00EA1BB2">
        <w:rPr>
          <w:rFonts w:ascii="Cambria" w:hAnsi="Cambria" w:cs="Times New Roman"/>
          <w:sz w:val="24"/>
          <w:szCs w:val="24"/>
        </w:rPr>
        <w:t>esuturilor acestora fiind sesizabil cu ochiul liber. Unele dintre cele mai sensibile plante sunt: pinul, legumele, ghindele ro</w:t>
      </w:r>
      <w:r w:rsidR="00054880" w:rsidRPr="00EA1BB2">
        <w:rPr>
          <w:rFonts w:ascii="Cambria" w:hAnsi="Cambria" w:cs="Times New Roman"/>
          <w:sz w:val="24"/>
          <w:szCs w:val="24"/>
        </w:rPr>
        <w:t>ș</w:t>
      </w:r>
      <w:r w:rsidRPr="00EA1BB2">
        <w:rPr>
          <w:rFonts w:ascii="Cambria" w:hAnsi="Cambria" w:cs="Times New Roman"/>
          <w:sz w:val="24"/>
          <w:szCs w:val="24"/>
        </w:rPr>
        <w:t xml:space="preserve">ii </w:t>
      </w:r>
      <w:r w:rsidR="00054880" w:rsidRPr="00EA1BB2">
        <w:rPr>
          <w:rFonts w:ascii="Cambria" w:hAnsi="Cambria" w:cs="Times New Roman"/>
          <w:sz w:val="24"/>
          <w:szCs w:val="24"/>
        </w:rPr>
        <w:t>ș</w:t>
      </w:r>
      <w:r w:rsidRPr="00EA1BB2">
        <w:rPr>
          <w:rFonts w:ascii="Cambria" w:hAnsi="Cambria" w:cs="Times New Roman"/>
          <w:sz w:val="24"/>
          <w:szCs w:val="24"/>
        </w:rPr>
        <w:t>i negre, frasinul alb, lucerna, murele.</w:t>
      </w:r>
    </w:p>
    <w:p w14:paraId="79DB62E4" w14:textId="77777777" w:rsidR="00343667" w:rsidRPr="00EA1BB2" w:rsidRDefault="00343667" w:rsidP="003A520C">
      <w:pPr>
        <w:numPr>
          <w:ilvl w:val="0"/>
          <w:numId w:val="26"/>
        </w:numPr>
        <w:spacing w:line="360" w:lineRule="auto"/>
        <w:contextualSpacing/>
        <w:jc w:val="both"/>
        <w:rPr>
          <w:rFonts w:ascii="Cambria" w:hAnsi="Cambria" w:cs="Times New Roman"/>
          <w:sz w:val="24"/>
          <w:szCs w:val="24"/>
        </w:rPr>
      </w:pPr>
      <w:r w:rsidRPr="00EA1BB2">
        <w:rPr>
          <w:rFonts w:ascii="Cambria" w:hAnsi="Cambria" w:cs="Times New Roman"/>
          <w:sz w:val="24"/>
          <w:szCs w:val="24"/>
        </w:rPr>
        <w:t>Efecte asupra mediului</w:t>
      </w:r>
    </w:p>
    <w:p w14:paraId="706DC9D3" w14:textId="77777777" w:rsidR="00343667" w:rsidRPr="00EA1BB2" w:rsidRDefault="00343667" w:rsidP="00343667">
      <w:pPr>
        <w:spacing w:line="360" w:lineRule="auto"/>
        <w:ind w:firstLine="708"/>
        <w:jc w:val="both"/>
        <w:rPr>
          <w:rFonts w:ascii="Cambria" w:hAnsi="Cambria" w:cs="Times New Roman"/>
          <w:sz w:val="24"/>
          <w:szCs w:val="24"/>
        </w:rPr>
      </w:pPr>
      <w:r w:rsidRPr="00EA1BB2">
        <w:rPr>
          <w:rFonts w:ascii="Cambria" w:hAnsi="Cambria" w:cs="Times New Roman"/>
          <w:sz w:val="24"/>
          <w:szCs w:val="24"/>
        </w:rPr>
        <w:t>În atmosferă, contribuie la acidifierea precipita</w:t>
      </w:r>
      <w:r w:rsidR="00054880" w:rsidRPr="00EA1BB2">
        <w:rPr>
          <w:rFonts w:ascii="Cambria" w:hAnsi="Cambria" w:cs="Times New Roman"/>
          <w:sz w:val="24"/>
          <w:szCs w:val="24"/>
        </w:rPr>
        <w:t>ț</w:t>
      </w:r>
      <w:r w:rsidRPr="00EA1BB2">
        <w:rPr>
          <w:rFonts w:ascii="Cambria" w:hAnsi="Cambria" w:cs="Times New Roman"/>
          <w:sz w:val="24"/>
          <w:szCs w:val="24"/>
        </w:rPr>
        <w:t>iilor, cu efecte toxice asupra vegeta</w:t>
      </w:r>
      <w:r w:rsidR="00054880" w:rsidRPr="00EA1BB2">
        <w:rPr>
          <w:rFonts w:ascii="Cambria" w:hAnsi="Cambria" w:cs="Times New Roman"/>
          <w:sz w:val="24"/>
          <w:szCs w:val="24"/>
        </w:rPr>
        <w:t>ț</w:t>
      </w:r>
      <w:r w:rsidRPr="00EA1BB2">
        <w:rPr>
          <w:rFonts w:ascii="Cambria" w:hAnsi="Cambria" w:cs="Times New Roman"/>
          <w:sz w:val="24"/>
          <w:szCs w:val="24"/>
        </w:rPr>
        <w:t xml:space="preserve">iei </w:t>
      </w:r>
      <w:r w:rsidR="00054880" w:rsidRPr="00EA1BB2">
        <w:rPr>
          <w:rFonts w:ascii="Cambria" w:hAnsi="Cambria" w:cs="Times New Roman"/>
          <w:sz w:val="24"/>
          <w:szCs w:val="24"/>
        </w:rPr>
        <w:t>ș</w:t>
      </w:r>
      <w:r w:rsidRPr="00EA1BB2">
        <w:rPr>
          <w:rFonts w:ascii="Cambria" w:hAnsi="Cambria" w:cs="Times New Roman"/>
          <w:sz w:val="24"/>
          <w:szCs w:val="24"/>
        </w:rPr>
        <w:t>i solului. Cre</w:t>
      </w:r>
      <w:r w:rsidR="00054880" w:rsidRPr="00EA1BB2">
        <w:rPr>
          <w:rFonts w:ascii="Cambria" w:hAnsi="Cambria" w:cs="Times New Roman"/>
          <w:sz w:val="24"/>
          <w:szCs w:val="24"/>
        </w:rPr>
        <w:t>ș</w:t>
      </w:r>
      <w:r w:rsidRPr="00EA1BB2">
        <w:rPr>
          <w:rFonts w:ascii="Cambria" w:hAnsi="Cambria" w:cs="Times New Roman"/>
          <w:sz w:val="24"/>
          <w:szCs w:val="24"/>
        </w:rPr>
        <w:t>terea concentra</w:t>
      </w:r>
      <w:r w:rsidR="00054880" w:rsidRPr="00EA1BB2">
        <w:rPr>
          <w:rFonts w:ascii="Cambria" w:hAnsi="Cambria" w:cs="Times New Roman"/>
          <w:sz w:val="24"/>
          <w:szCs w:val="24"/>
        </w:rPr>
        <w:t>ț</w:t>
      </w:r>
      <w:r w:rsidRPr="00EA1BB2">
        <w:rPr>
          <w:rFonts w:ascii="Cambria" w:hAnsi="Cambria" w:cs="Times New Roman"/>
          <w:sz w:val="24"/>
          <w:szCs w:val="24"/>
        </w:rPr>
        <w:t xml:space="preserve">iei de dioxid de sulf accelerează coroziunea metalelor, din cauza formării acizilor. Oxizii de sulf pot eroda: piatra, zidăria, vopselurile, fibrele, hârtia, pielea </w:t>
      </w:r>
      <w:r w:rsidR="00054880" w:rsidRPr="00EA1BB2">
        <w:rPr>
          <w:rFonts w:ascii="Cambria" w:hAnsi="Cambria" w:cs="Times New Roman"/>
          <w:sz w:val="24"/>
          <w:szCs w:val="24"/>
        </w:rPr>
        <w:t>ș</w:t>
      </w:r>
      <w:r w:rsidRPr="00EA1BB2">
        <w:rPr>
          <w:rFonts w:ascii="Cambria" w:hAnsi="Cambria" w:cs="Times New Roman"/>
          <w:sz w:val="24"/>
          <w:szCs w:val="24"/>
        </w:rPr>
        <w:t>i componentele electrice.</w:t>
      </w:r>
    </w:p>
    <w:p w14:paraId="3EE48D60" w14:textId="6DE09EE1" w:rsidR="002553EA" w:rsidRPr="00EA1BB2" w:rsidRDefault="002553EA" w:rsidP="002553EA">
      <w:pPr>
        <w:keepNext/>
        <w:spacing w:line="360" w:lineRule="auto"/>
        <w:ind w:firstLine="708"/>
        <w:jc w:val="both"/>
        <w:rPr>
          <w:rFonts w:ascii="Cambria" w:eastAsia="Times New Roman" w:hAnsi="Cambria" w:cs="Times New Roman"/>
          <w:b/>
          <w:sz w:val="24"/>
          <w:szCs w:val="24"/>
        </w:rPr>
      </w:pPr>
      <w:bookmarkStart w:id="164" w:name="_Toc526889800"/>
      <w:r w:rsidRPr="00EA1BB2">
        <w:rPr>
          <w:rFonts w:ascii="Cambria" w:eastAsia="Calibri" w:hAnsi="Cambria" w:cs="Times New Roman"/>
          <w:b/>
          <w:iCs/>
          <w:sz w:val="24"/>
          <w:szCs w:val="24"/>
        </w:rPr>
        <w:t xml:space="preserve">Tabelul nr. </w:t>
      </w:r>
      <w:r w:rsidR="000A2FE7" w:rsidRPr="00EA1BB2">
        <w:rPr>
          <w:rFonts w:ascii="Cambria" w:eastAsia="Calibri" w:hAnsi="Cambria" w:cs="Times New Roman"/>
          <w:b/>
          <w:iCs/>
          <w:sz w:val="24"/>
          <w:szCs w:val="24"/>
        </w:rPr>
        <w:fldChar w:fldCharType="begin"/>
      </w:r>
      <w:r w:rsidR="000A2FE7" w:rsidRPr="00EA1BB2">
        <w:rPr>
          <w:rFonts w:ascii="Cambria" w:eastAsia="Calibri" w:hAnsi="Cambria" w:cs="Times New Roman"/>
          <w:b/>
          <w:iCs/>
          <w:sz w:val="24"/>
          <w:szCs w:val="24"/>
        </w:rPr>
        <w:instrText xml:space="preserve"> STYLEREF 1 \s </w:instrText>
      </w:r>
      <w:r w:rsidR="000A2FE7" w:rsidRPr="00EA1BB2">
        <w:rPr>
          <w:rFonts w:ascii="Cambria" w:eastAsia="Calibri" w:hAnsi="Cambria" w:cs="Times New Roman"/>
          <w:b/>
          <w:iCs/>
          <w:sz w:val="24"/>
          <w:szCs w:val="24"/>
        </w:rPr>
        <w:fldChar w:fldCharType="separate"/>
      </w:r>
      <w:r w:rsidR="00567555">
        <w:rPr>
          <w:rFonts w:ascii="Cambria" w:eastAsia="Calibri" w:hAnsi="Cambria" w:cs="Times New Roman"/>
          <w:b/>
          <w:iCs/>
          <w:noProof/>
          <w:sz w:val="24"/>
          <w:szCs w:val="24"/>
        </w:rPr>
        <w:t>3</w:t>
      </w:r>
      <w:r w:rsidR="000A2FE7" w:rsidRPr="00EA1BB2">
        <w:rPr>
          <w:rFonts w:ascii="Cambria" w:eastAsia="Calibri" w:hAnsi="Cambria" w:cs="Times New Roman"/>
          <w:b/>
          <w:iCs/>
          <w:sz w:val="24"/>
          <w:szCs w:val="24"/>
        </w:rPr>
        <w:fldChar w:fldCharType="end"/>
      </w:r>
      <w:r w:rsidR="000A2FE7" w:rsidRPr="00EA1BB2">
        <w:rPr>
          <w:rFonts w:ascii="Cambria" w:eastAsia="Calibri" w:hAnsi="Cambria" w:cs="Times New Roman"/>
          <w:b/>
          <w:iCs/>
          <w:sz w:val="24"/>
          <w:szCs w:val="24"/>
        </w:rPr>
        <w:noBreakHyphen/>
      </w:r>
      <w:r w:rsidR="000A2FE7" w:rsidRPr="00EA1BB2">
        <w:rPr>
          <w:rFonts w:ascii="Cambria" w:eastAsia="Calibri" w:hAnsi="Cambria" w:cs="Times New Roman"/>
          <w:b/>
          <w:iCs/>
          <w:sz w:val="24"/>
          <w:szCs w:val="24"/>
        </w:rPr>
        <w:fldChar w:fldCharType="begin"/>
      </w:r>
      <w:r w:rsidR="000A2FE7" w:rsidRPr="00EA1BB2">
        <w:rPr>
          <w:rFonts w:ascii="Cambria" w:eastAsia="Calibri" w:hAnsi="Cambria" w:cs="Times New Roman"/>
          <w:b/>
          <w:iCs/>
          <w:sz w:val="24"/>
          <w:szCs w:val="24"/>
        </w:rPr>
        <w:instrText xml:space="preserve"> SEQ Tabelul_nr. \* ARABIC \s 1 </w:instrText>
      </w:r>
      <w:r w:rsidR="000A2FE7" w:rsidRPr="00EA1BB2">
        <w:rPr>
          <w:rFonts w:ascii="Cambria" w:eastAsia="Calibri" w:hAnsi="Cambria" w:cs="Times New Roman"/>
          <w:b/>
          <w:iCs/>
          <w:sz w:val="24"/>
          <w:szCs w:val="24"/>
        </w:rPr>
        <w:fldChar w:fldCharType="separate"/>
      </w:r>
      <w:r w:rsidR="00567555">
        <w:rPr>
          <w:rFonts w:ascii="Cambria" w:eastAsia="Calibri" w:hAnsi="Cambria" w:cs="Times New Roman"/>
          <w:b/>
          <w:iCs/>
          <w:noProof/>
          <w:sz w:val="24"/>
          <w:szCs w:val="24"/>
        </w:rPr>
        <w:t>31</w:t>
      </w:r>
      <w:r w:rsidR="000A2FE7" w:rsidRPr="00EA1BB2">
        <w:rPr>
          <w:rFonts w:ascii="Cambria" w:eastAsia="Calibri" w:hAnsi="Cambria" w:cs="Times New Roman"/>
          <w:b/>
          <w:iCs/>
          <w:sz w:val="24"/>
          <w:szCs w:val="24"/>
        </w:rPr>
        <w:fldChar w:fldCharType="end"/>
      </w:r>
      <w:r w:rsidRPr="00EA1BB2">
        <w:rPr>
          <w:rFonts w:ascii="Cambria" w:eastAsia="Calibri" w:hAnsi="Cambria" w:cs="Times New Roman"/>
          <w:b/>
          <w:iCs/>
          <w:sz w:val="24"/>
          <w:szCs w:val="24"/>
        </w:rPr>
        <w:t xml:space="preserve"> - </w:t>
      </w:r>
      <w:r w:rsidR="00B46084" w:rsidRPr="00EA1BB2">
        <w:rPr>
          <w:rFonts w:ascii="Cambria" w:eastAsia="Times New Roman" w:hAnsi="Cambria" w:cs="Times New Roman"/>
          <w:b/>
          <w:sz w:val="24"/>
          <w:szCs w:val="24"/>
        </w:rPr>
        <w:t>Cerin</w:t>
      </w:r>
      <w:r w:rsidR="00054880" w:rsidRPr="00EA1BB2">
        <w:rPr>
          <w:rFonts w:ascii="Cambria" w:eastAsia="Times New Roman" w:hAnsi="Cambria" w:cs="Times New Roman"/>
          <w:b/>
          <w:sz w:val="24"/>
          <w:szCs w:val="24"/>
        </w:rPr>
        <w:t>ț</w:t>
      </w:r>
      <w:r w:rsidR="00B46084" w:rsidRPr="00EA1BB2">
        <w:rPr>
          <w:rFonts w:ascii="Cambria" w:eastAsia="Times New Roman" w:hAnsi="Cambria" w:cs="Times New Roman"/>
          <w:b/>
          <w:sz w:val="24"/>
          <w:szCs w:val="24"/>
        </w:rPr>
        <w:t>ele pentru evaluarea concentra</w:t>
      </w:r>
      <w:r w:rsidR="00054880" w:rsidRPr="00EA1BB2">
        <w:rPr>
          <w:rFonts w:ascii="Cambria" w:eastAsia="Times New Roman" w:hAnsi="Cambria" w:cs="Times New Roman"/>
          <w:b/>
          <w:sz w:val="24"/>
          <w:szCs w:val="24"/>
        </w:rPr>
        <w:t>ț</w:t>
      </w:r>
      <w:r w:rsidR="00B46084" w:rsidRPr="00EA1BB2">
        <w:rPr>
          <w:rFonts w:ascii="Cambria" w:eastAsia="Times New Roman" w:hAnsi="Cambria" w:cs="Times New Roman"/>
          <w:b/>
          <w:sz w:val="24"/>
          <w:szCs w:val="24"/>
        </w:rPr>
        <w:t xml:space="preserve">iilor de Dioxid </w:t>
      </w:r>
      <w:r w:rsidRPr="00EA1BB2">
        <w:rPr>
          <w:rFonts w:ascii="Cambria" w:eastAsia="Times New Roman" w:hAnsi="Cambria" w:cs="Times New Roman"/>
          <w:b/>
          <w:sz w:val="24"/>
          <w:szCs w:val="24"/>
        </w:rPr>
        <w:t>de sulf - SO</w:t>
      </w:r>
      <w:r w:rsidRPr="00EA1BB2">
        <w:rPr>
          <w:rFonts w:ascii="Cambria" w:eastAsia="Times New Roman" w:hAnsi="Cambria" w:cs="Times New Roman"/>
          <w:b/>
          <w:sz w:val="24"/>
          <w:szCs w:val="24"/>
          <w:vertAlign w:val="subscript"/>
        </w:rPr>
        <w:t>2</w:t>
      </w:r>
      <w:bookmarkEnd w:id="164"/>
    </w:p>
    <w:tbl>
      <w:tblPr>
        <w:tblStyle w:val="TableGrid8"/>
        <w:tblW w:w="0" w:type="auto"/>
        <w:tblLook w:val="04A0" w:firstRow="1" w:lastRow="0" w:firstColumn="1" w:lastColumn="0" w:noHBand="0" w:noVBand="1"/>
      </w:tblPr>
      <w:tblGrid>
        <w:gridCol w:w="704"/>
        <w:gridCol w:w="2410"/>
        <w:gridCol w:w="5902"/>
      </w:tblGrid>
      <w:tr w:rsidR="002553EA" w:rsidRPr="00EA1BB2" w14:paraId="269B1EFF" w14:textId="77777777" w:rsidTr="000970C9">
        <w:trPr>
          <w:tblHeader/>
        </w:trPr>
        <w:tc>
          <w:tcPr>
            <w:tcW w:w="704" w:type="dxa"/>
            <w:shd w:val="clear" w:color="auto" w:fill="BDD6EE" w:themeFill="accent1" w:themeFillTint="66"/>
            <w:vAlign w:val="center"/>
          </w:tcPr>
          <w:p w14:paraId="6110811A" w14:textId="77777777" w:rsidR="002553EA" w:rsidRPr="00EA1BB2" w:rsidRDefault="002553EA" w:rsidP="002553EA">
            <w:pPr>
              <w:spacing w:line="360" w:lineRule="auto"/>
              <w:jc w:val="center"/>
              <w:rPr>
                <w:rFonts w:ascii="Cambria" w:hAnsi="Cambria"/>
                <w:b/>
                <w:sz w:val="24"/>
                <w:szCs w:val="24"/>
                <w:lang w:val="ro-RO"/>
              </w:rPr>
            </w:pPr>
            <w:r w:rsidRPr="00EA1BB2">
              <w:rPr>
                <w:rFonts w:ascii="Cambria" w:hAnsi="Cambria"/>
                <w:b/>
                <w:sz w:val="24"/>
                <w:szCs w:val="24"/>
                <w:lang w:val="ro-RO"/>
              </w:rPr>
              <w:t>Nr. crt.</w:t>
            </w:r>
          </w:p>
        </w:tc>
        <w:tc>
          <w:tcPr>
            <w:tcW w:w="2410" w:type="dxa"/>
            <w:shd w:val="clear" w:color="auto" w:fill="BDD6EE" w:themeFill="accent1" w:themeFillTint="66"/>
            <w:vAlign w:val="center"/>
          </w:tcPr>
          <w:p w14:paraId="5135AB7E" w14:textId="77777777" w:rsidR="002553EA" w:rsidRPr="00EA1BB2" w:rsidRDefault="002553EA" w:rsidP="002553EA">
            <w:pPr>
              <w:spacing w:line="360" w:lineRule="auto"/>
              <w:jc w:val="center"/>
              <w:rPr>
                <w:rFonts w:ascii="Cambria" w:hAnsi="Cambria"/>
                <w:b/>
                <w:sz w:val="24"/>
                <w:szCs w:val="24"/>
                <w:lang w:val="ro-RO"/>
              </w:rPr>
            </w:pPr>
            <w:r w:rsidRPr="00EA1BB2">
              <w:rPr>
                <w:rFonts w:ascii="Cambria" w:hAnsi="Cambria"/>
                <w:b/>
                <w:sz w:val="24"/>
                <w:szCs w:val="24"/>
                <w:lang w:val="ro-RO"/>
              </w:rPr>
              <w:t>Parametru</w:t>
            </w:r>
          </w:p>
        </w:tc>
        <w:tc>
          <w:tcPr>
            <w:tcW w:w="5902" w:type="dxa"/>
            <w:shd w:val="clear" w:color="auto" w:fill="BDD6EE" w:themeFill="accent1" w:themeFillTint="66"/>
            <w:vAlign w:val="center"/>
          </w:tcPr>
          <w:p w14:paraId="1300F3F1" w14:textId="77777777" w:rsidR="002553EA" w:rsidRPr="00EA1BB2" w:rsidRDefault="002553EA" w:rsidP="002553EA">
            <w:pPr>
              <w:spacing w:line="360" w:lineRule="auto"/>
              <w:jc w:val="center"/>
              <w:rPr>
                <w:rFonts w:ascii="Cambria" w:hAnsi="Cambria"/>
                <w:b/>
                <w:sz w:val="24"/>
                <w:szCs w:val="24"/>
                <w:lang w:val="ro-RO"/>
              </w:rPr>
            </w:pPr>
            <w:r w:rsidRPr="00EA1BB2">
              <w:rPr>
                <w:rFonts w:ascii="Cambria" w:hAnsi="Cambria"/>
                <w:b/>
                <w:sz w:val="24"/>
                <w:szCs w:val="24"/>
                <w:lang w:val="ro-RO"/>
              </w:rPr>
              <w:t>Valoare</w:t>
            </w:r>
          </w:p>
        </w:tc>
      </w:tr>
      <w:tr w:rsidR="002553EA" w:rsidRPr="00EA1BB2" w14:paraId="206BFABB" w14:textId="77777777" w:rsidTr="000970C9">
        <w:tc>
          <w:tcPr>
            <w:tcW w:w="704" w:type="dxa"/>
            <w:vAlign w:val="center"/>
          </w:tcPr>
          <w:p w14:paraId="2800EA30" w14:textId="77777777" w:rsidR="002553EA" w:rsidRPr="00EA1BB2" w:rsidRDefault="002553EA" w:rsidP="002553EA">
            <w:pPr>
              <w:spacing w:line="360" w:lineRule="auto"/>
              <w:jc w:val="center"/>
              <w:rPr>
                <w:rFonts w:ascii="Cambria" w:hAnsi="Cambria"/>
                <w:sz w:val="24"/>
                <w:szCs w:val="24"/>
                <w:lang w:val="ro-RO"/>
              </w:rPr>
            </w:pPr>
            <w:r w:rsidRPr="00EA1BB2">
              <w:rPr>
                <w:rFonts w:ascii="Cambria" w:hAnsi="Cambria"/>
                <w:sz w:val="24"/>
                <w:szCs w:val="24"/>
                <w:lang w:val="ro-RO"/>
              </w:rPr>
              <w:t>1.</w:t>
            </w:r>
          </w:p>
        </w:tc>
        <w:tc>
          <w:tcPr>
            <w:tcW w:w="2410" w:type="dxa"/>
            <w:vAlign w:val="center"/>
          </w:tcPr>
          <w:p w14:paraId="46250D34" w14:textId="77777777" w:rsidR="002553EA" w:rsidRPr="00EA1BB2" w:rsidRDefault="002553EA" w:rsidP="002553EA">
            <w:pPr>
              <w:spacing w:line="360" w:lineRule="auto"/>
              <w:jc w:val="center"/>
              <w:rPr>
                <w:rFonts w:ascii="Cambria" w:hAnsi="Cambria"/>
                <w:sz w:val="24"/>
                <w:szCs w:val="24"/>
                <w:lang w:val="ro-RO"/>
              </w:rPr>
            </w:pPr>
            <w:r w:rsidRPr="00EA1BB2">
              <w:rPr>
                <w:rFonts w:ascii="Cambria" w:hAnsi="Cambria"/>
                <w:bCs/>
                <w:sz w:val="24"/>
                <w:szCs w:val="24"/>
                <w:lang w:val="ro-RO"/>
              </w:rPr>
              <w:t>Prag de alertă</w:t>
            </w:r>
          </w:p>
        </w:tc>
        <w:tc>
          <w:tcPr>
            <w:tcW w:w="5902" w:type="dxa"/>
            <w:vAlign w:val="center"/>
          </w:tcPr>
          <w:p w14:paraId="16784E99" w14:textId="5BBD9179" w:rsidR="002553EA" w:rsidRPr="00EA1BB2" w:rsidRDefault="002553EA" w:rsidP="002553EA">
            <w:pPr>
              <w:spacing w:line="360" w:lineRule="auto"/>
              <w:jc w:val="both"/>
              <w:rPr>
                <w:rFonts w:ascii="Cambria" w:hAnsi="Cambria"/>
                <w:sz w:val="24"/>
                <w:szCs w:val="24"/>
                <w:lang w:val="ro-RO"/>
              </w:rPr>
            </w:pPr>
            <w:r w:rsidRPr="00EA1BB2">
              <w:rPr>
                <w:rFonts w:ascii="Cambria" w:hAnsi="Cambria"/>
                <w:bCs/>
                <w:sz w:val="24"/>
                <w:szCs w:val="24"/>
                <w:lang w:val="ro-RO"/>
              </w:rPr>
              <w:t>500 µg/m</w:t>
            </w:r>
            <w:r w:rsidRPr="00EA1BB2">
              <w:rPr>
                <w:rFonts w:ascii="Cambria" w:hAnsi="Cambria"/>
                <w:bCs/>
                <w:sz w:val="24"/>
                <w:szCs w:val="24"/>
                <w:vertAlign w:val="superscript"/>
                <w:lang w:val="ro-RO"/>
              </w:rPr>
              <w:t>3</w:t>
            </w:r>
            <w:r w:rsidR="009B697F" w:rsidRPr="00EA1BB2">
              <w:rPr>
                <w:rFonts w:ascii="Cambria" w:hAnsi="Cambria"/>
                <w:bCs/>
                <w:sz w:val="24"/>
                <w:szCs w:val="24"/>
                <w:vertAlign w:val="superscript"/>
                <w:lang w:val="ro-RO"/>
              </w:rPr>
              <w:t xml:space="preserve"> </w:t>
            </w:r>
            <w:r w:rsidRPr="00EA1BB2">
              <w:rPr>
                <w:rFonts w:ascii="Cambria" w:hAnsi="Cambria"/>
                <w:sz w:val="24"/>
                <w:szCs w:val="24"/>
                <w:lang w:val="ro-RO"/>
              </w:rPr>
              <w:t>- măsurat timp de 3 ore consecutive, în puncte reprezentative pentru calitatea aerului pentru o suprafa</w:t>
            </w:r>
            <w:r w:rsidR="00054880" w:rsidRPr="00EA1BB2">
              <w:rPr>
                <w:rFonts w:ascii="Cambria" w:hAnsi="Cambria"/>
                <w:sz w:val="24"/>
                <w:szCs w:val="24"/>
                <w:lang w:val="ro-RO"/>
              </w:rPr>
              <w:t>ț</w:t>
            </w:r>
            <w:r w:rsidRPr="00EA1BB2">
              <w:rPr>
                <w:rFonts w:ascii="Cambria" w:hAnsi="Cambria"/>
                <w:sz w:val="24"/>
                <w:szCs w:val="24"/>
                <w:lang w:val="ro-RO"/>
              </w:rPr>
              <w:t>ă de cel pu</w:t>
            </w:r>
            <w:r w:rsidR="00054880" w:rsidRPr="00EA1BB2">
              <w:rPr>
                <w:rFonts w:ascii="Cambria" w:hAnsi="Cambria"/>
                <w:sz w:val="24"/>
                <w:szCs w:val="24"/>
                <w:lang w:val="ro-RO"/>
              </w:rPr>
              <w:t>ț</w:t>
            </w:r>
            <w:r w:rsidRPr="00EA1BB2">
              <w:rPr>
                <w:rFonts w:ascii="Cambria" w:hAnsi="Cambria"/>
                <w:sz w:val="24"/>
                <w:szCs w:val="24"/>
                <w:lang w:val="ro-RO"/>
              </w:rPr>
              <w:t>in 100 km</w:t>
            </w:r>
            <w:r w:rsidRPr="00EA1BB2">
              <w:rPr>
                <w:rFonts w:ascii="Cambria" w:hAnsi="Cambria"/>
                <w:sz w:val="24"/>
                <w:szCs w:val="24"/>
                <w:vertAlign w:val="superscript"/>
                <w:lang w:val="ro-RO"/>
              </w:rPr>
              <w:t>2</w:t>
            </w:r>
            <w:r w:rsidRPr="00EA1BB2">
              <w:rPr>
                <w:rFonts w:ascii="Cambria" w:hAnsi="Cambria"/>
                <w:sz w:val="24"/>
                <w:szCs w:val="24"/>
                <w:lang w:val="ro-RO"/>
              </w:rPr>
              <w:t xml:space="preserve"> sau pentru o întreagă zonă sau aglomerare, oricare dintre acestea este mai </w:t>
            </w:r>
            <w:r w:rsidRPr="00EA1BB2">
              <w:rPr>
                <w:rFonts w:ascii="Cambria" w:hAnsi="Cambria"/>
                <w:sz w:val="24"/>
                <w:szCs w:val="24"/>
                <w:lang w:val="ro-RO"/>
              </w:rPr>
              <w:lastRenderedPageBreak/>
              <w:t>mică.</w:t>
            </w:r>
          </w:p>
        </w:tc>
      </w:tr>
      <w:tr w:rsidR="002553EA" w:rsidRPr="00EA1BB2" w14:paraId="4183804F" w14:textId="77777777" w:rsidTr="000970C9">
        <w:tc>
          <w:tcPr>
            <w:tcW w:w="704" w:type="dxa"/>
            <w:vAlign w:val="center"/>
          </w:tcPr>
          <w:p w14:paraId="697EA5C8" w14:textId="77777777" w:rsidR="002553EA" w:rsidRPr="00EA1BB2" w:rsidRDefault="002553EA" w:rsidP="002553EA">
            <w:pPr>
              <w:spacing w:line="360" w:lineRule="auto"/>
              <w:jc w:val="center"/>
              <w:rPr>
                <w:rFonts w:ascii="Cambria" w:hAnsi="Cambria"/>
                <w:sz w:val="24"/>
                <w:szCs w:val="24"/>
                <w:lang w:val="ro-RO"/>
              </w:rPr>
            </w:pPr>
            <w:r w:rsidRPr="00EA1BB2">
              <w:rPr>
                <w:rFonts w:ascii="Cambria" w:hAnsi="Cambria"/>
                <w:sz w:val="24"/>
                <w:szCs w:val="24"/>
                <w:lang w:val="ro-RO"/>
              </w:rPr>
              <w:lastRenderedPageBreak/>
              <w:t>2.</w:t>
            </w:r>
          </w:p>
        </w:tc>
        <w:tc>
          <w:tcPr>
            <w:tcW w:w="2410" w:type="dxa"/>
            <w:vAlign w:val="center"/>
          </w:tcPr>
          <w:p w14:paraId="3AAADF4B" w14:textId="77777777" w:rsidR="002553EA" w:rsidRPr="00EA1BB2" w:rsidRDefault="000970C9" w:rsidP="000970C9">
            <w:pPr>
              <w:spacing w:line="360" w:lineRule="auto"/>
              <w:jc w:val="center"/>
              <w:rPr>
                <w:rFonts w:ascii="Cambria" w:hAnsi="Cambria"/>
                <w:sz w:val="24"/>
                <w:szCs w:val="24"/>
                <w:lang w:val="ro-RO"/>
              </w:rPr>
            </w:pPr>
            <w:r w:rsidRPr="00EA1BB2">
              <w:rPr>
                <w:rFonts w:ascii="Cambria" w:hAnsi="Cambria"/>
                <w:bCs/>
                <w:sz w:val="24"/>
                <w:szCs w:val="24"/>
                <w:lang w:val="ro-RO"/>
              </w:rPr>
              <w:t>Valoarea</w:t>
            </w:r>
            <w:r w:rsidR="00831372" w:rsidRPr="00EA1BB2">
              <w:rPr>
                <w:rFonts w:ascii="Cambria" w:hAnsi="Cambria"/>
                <w:bCs/>
                <w:sz w:val="24"/>
                <w:szCs w:val="24"/>
                <w:lang w:val="ro-RO"/>
              </w:rPr>
              <w:t>-</w:t>
            </w:r>
            <w:r w:rsidR="002553EA" w:rsidRPr="00EA1BB2">
              <w:rPr>
                <w:rFonts w:ascii="Cambria" w:hAnsi="Cambria"/>
                <w:bCs/>
                <w:sz w:val="24"/>
                <w:szCs w:val="24"/>
                <w:lang w:val="ro-RO"/>
              </w:rPr>
              <w:t>limită</w:t>
            </w:r>
          </w:p>
        </w:tc>
        <w:tc>
          <w:tcPr>
            <w:tcW w:w="5902" w:type="dxa"/>
            <w:vAlign w:val="center"/>
          </w:tcPr>
          <w:p w14:paraId="484520D4" w14:textId="77777777" w:rsidR="000970C9" w:rsidRPr="00EA1BB2" w:rsidRDefault="002553EA" w:rsidP="002553EA">
            <w:pPr>
              <w:spacing w:line="360" w:lineRule="auto"/>
              <w:jc w:val="both"/>
              <w:rPr>
                <w:rFonts w:ascii="Cambria" w:hAnsi="Cambria"/>
                <w:sz w:val="24"/>
                <w:szCs w:val="24"/>
                <w:lang w:val="ro-RO"/>
              </w:rPr>
            </w:pPr>
            <w:r w:rsidRPr="00EA1BB2">
              <w:rPr>
                <w:rFonts w:ascii="Cambria" w:hAnsi="Cambria"/>
                <w:bCs/>
                <w:sz w:val="24"/>
                <w:szCs w:val="24"/>
                <w:lang w:val="ro-RO"/>
              </w:rPr>
              <w:t>350 µg/m</w:t>
            </w:r>
            <w:r w:rsidRPr="00EA1BB2">
              <w:rPr>
                <w:rFonts w:ascii="Cambria" w:hAnsi="Cambria"/>
                <w:bCs/>
                <w:sz w:val="24"/>
                <w:szCs w:val="24"/>
                <w:vertAlign w:val="superscript"/>
                <w:lang w:val="ro-RO"/>
              </w:rPr>
              <w:t>3</w:t>
            </w:r>
            <w:r w:rsidRPr="00EA1BB2">
              <w:rPr>
                <w:rFonts w:ascii="Cambria" w:hAnsi="Cambria"/>
                <w:sz w:val="24"/>
                <w:szCs w:val="24"/>
                <w:lang w:val="ro-RO"/>
              </w:rPr>
              <w:t> </w:t>
            </w:r>
            <w:r w:rsidR="00831372" w:rsidRPr="00EA1BB2">
              <w:rPr>
                <w:rFonts w:ascii="Cambria" w:hAnsi="Cambria"/>
                <w:sz w:val="24"/>
                <w:szCs w:val="24"/>
                <w:lang w:val="ro-RO"/>
              </w:rPr>
              <w:t>–</w:t>
            </w:r>
            <w:r w:rsidRPr="00EA1BB2">
              <w:rPr>
                <w:rFonts w:ascii="Cambria" w:hAnsi="Cambria"/>
                <w:sz w:val="24"/>
                <w:szCs w:val="24"/>
                <w:lang w:val="ro-RO"/>
              </w:rPr>
              <w:t xml:space="preserve"> valoarea</w:t>
            </w:r>
            <w:r w:rsidR="00831372" w:rsidRPr="00EA1BB2">
              <w:rPr>
                <w:rFonts w:ascii="Cambria" w:hAnsi="Cambria"/>
                <w:sz w:val="24"/>
                <w:szCs w:val="24"/>
                <w:lang w:val="ro-RO"/>
              </w:rPr>
              <w:t>-</w:t>
            </w:r>
            <w:r w:rsidRPr="00EA1BB2">
              <w:rPr>
                <w:rFonts w:ascii="Cambria" w:hAnsi="Cambria"/>
                <w:sz w:val="24"/>
                <w:szCs w:val="24"/>
                <w:lang w:val="ro-RO"/>
              </w:rPr>
              <w:t>limită orară pentru protec</w:t>
            </w:r>
            <w:r w:rsidR="00054880" w:rsidRPr="00EA1BB2">
              <w:rPr>
                <w:rFonts w:ascii="Cambria" w:hAnsi="Cambria"/>
                <w:sz w:val="24"/>
                <w:szCs w:val="24"/>
                <w:lang w:val="ro-RO"/>
              </w:rPr>
              <w:t>ț</w:t>
            </w:r>
            <w:r w:rsidRPr="00EA1BB2">
              <w:rPr>
                <w:rFonts w:ascii="Cambria" w:hAnsi="Cambria"/>
                <w:sz w:val="24"/>
                <w:szCs w:val="24"/>
                <w:lang w:val="ro-RO"/>
              </w:rPr>
              <w:t>ia sănătă</w:t>
            </w:r>
            <w:r w:rsidR="00054880" w:rsidRPr="00EA1BB2">
              <w:rPr>
                <w:rFonts w:ascii="Cambria" w:hAnsi="Cambria"/>
                <w:sz w:val="24"/>
                <w:szCs w:val="24"/>
                <w:lang w:val="ro-RO"/>
              </w:rPr>
              <w:t>ț</w:t>
            </w:r>
            <w:r w:rsidRPr="00EA1BB2">
              <w:rPr>
                <w:rFonts w:ascii="Cambria" w:hAnsi="Cambria"/>
                <w:sz w:val="24"/>
                <w:szCs w:val="24"/>
                <w:lang w:val="ro-RO"/>
              </w:rPr>
              <w:t>ii umane</w:t>
            </w:r>
            <w:r w:rsidR="00D14C8B" w:rsidRPr="00EA1BB2">
              <w:rPr>
                <w:rFonts w:ascii="Cambria" w:hAnsi="Cambria"/>
                <w:lang w:val="ro-RO"/>
              </w:rPr>
              <w:t>(</w:t>
            </w:r>
            <w:r w:rsidR="000970C9" w:rsidRPr="00EA1BB2">
              <w:rPr>
                <w:rFonts w:ascii="Cambria" w:hAnsi="Cambria"/>
                <w:sz w:val="24"/>
                <w:szCs w:val="24"/>
                <w:lang w:val="ro-RO"/>
              </w:rPr>
              <w:t>a nu se depă</w:t>
            </w:r>
            <w:r w:rsidR="00054880" w:rsidRPr="00EA1BB2">
              <w:rPr>
                <w:rFonts w:ascii="Cambria" w:hAnsi="Cambria"/>
                <w:sz w:val="24"/>
                <w:szCs w:val="24"/>
                <w:lang w:val="ro-RO"/>
              </w:rPr>
              <w:t>ș</w:t>
            </w:r>
            <w:r w:rsidR="000970C9" w:rsidRPr="00EA1BB2">
              <w:rPr>
                <w:rFonts w:ascii="Cambria" w:hAnsi="Cambria"/>
                <w:sz w:val="24"/>
                <w:szCs w:val="24"/>
                <w:lang w:val="ro-RO"/>
              </w:rPr>
              <w:t xml:space="preserve">i de mai mult de </w:t>
            </w:r>
            <w:r w:rsidR="00D14C8B" w:rsidRPr="00EA1BB2">
              <w:rPr>
                <w:rFonts w:ascii="Cambria" w:hAnsi="Cambria"/>
                <w:sz w:val="24"/>
                <w:szCs w:val="24"/>
                <w:lang w:val="ro-RO"/>
              </w:rPr>
              <w:t>24</w:t>
            </w:r>
            <w:r w:rsidR="000970C9" w:rsidRPr="00EA1BB2">
              <w:rPr>
                <w:rFonts w:ascii="Cambria" w:hAnsi="Cambria"/>
                <w:sz w:val="24"/>
                <w:szCs w:val="24"/>
                <w:lang w:val="ro-RO"/>
              </w:rPr>
              <w:t xml:space="preserve"> ori într-un an calendaristic)</w:t>
            </w:r>
          </w:p>
          <w:p w14:paraId="1F094407" w14:textId="77777777" w:rsidR="002553EA" w:rsidRPr="00EA1BB2" w:rsidRDefault="002553EA" w:rsidP="00831372">
            <w:pPr>
              <w:spacing w:line="360" w:lineRule="auto"/>
              <w:jc w:val="both"/>
              <w:rPr>
                <w:rFonts w:ascii="Cambria" w:hAnsi="Cambria"/>
                <w:sz w:val="24"/>
                <w:szCs w:val="24"/>
                <w:lang w:val="ro-RO"/>
              </w:rPr>
            </w:pPr>
            <w:r w:rsidRPr="00EA1BB2">
              <w:rPr>
                <w:rFonts w:ascii="Cambria" w:hAnsi="Cambria"/>
                <w:bCs/>
                <w:sz w:val="24"/>
                <w:szCs w:val="24"/>
                <w:lang w:val="ro-RO"/>
              </w:rPr>
              <w:t>125 µg/m</w:t>
            </w:r>
            <w:r w:rsidRPr="00EA1BB2">
              <w:rPr>
                <w:rFonts w:ascii="Cambria" w:hAnsi="Cambria"/>
                <w:bCs/>
                <w:sz w:val="24"/>
                <w:szCs w:val="24"/>
                <w:vertAlign w:val="superscript"/>
                <w:lang w:val="ro-RO"/>
              </w:rPr>
              <w:t>3</w:t>
            </w:r>
            <w:r w:rsidRPr="00EA1BB2">
              <w:rPr>
                <w:rFonts w:ascii="Cambria" w:hAnsi="Cambria"/>
                <w:sz w:val="24"/>
                <w:szCs w:val="24"/>
                <w:lang w:val="ro-RO"/>
              </w:rPr>
              <w:t> </w:t>
            </w:r>
            <w:r w:rsidR="00831372" w:rsidRPr="00EA1BB2">
              <w:rPr>
                <w:rFonts w:ascii="Cambria" w:hAnsi="Cambria"/>
                <w:sz w:val="24"/>
                <w:szCs w:val="24"/>
                <w:lang w:val="ro-RO"/>
              </w:rPr>
              <w:t>–</w:t>
            </w:r>
            <w:r w:rsidRPr="00EA1BB2">
              <w:rPr>
                <w:rFonts w:ascii="Cambria" w:hAnsi="Cambria"/>
                <w:sz w:val="24"/>
                <w:szCs w:val="24"/>
                <w:lang w:val="ro-RO"/>
              </w:rPr>
              <w:t xml:space="preserve"> valoarea</w:t>
            </w:r>
            <w:r w:rsidR="00831372" w:rsidRPr="00EA1BB2">
              <w:rPr>
                <w:rFonts w:ascii="Cambria" w:hAnsi="Cambria"/>
                <w:sz w:val="24"/>
                <w:szCs w:val="24"/>
                <w:lang w:val="ro-RO"/>
              </w:rPr>
              <w:t>-</w:t>
            </w:r>
            <w:r w:rsidRPr="00EA1BB2">
              <w:rPr>
                <w:rFonts w:ascii="Cambria" w:hAnsi="Cambria"/>
                <w:sz w:val="24"/>
                <w:szCs w:val="24"/>
                <w:lang w:val="ro-RO"/>
              </w:rPr>
              <w:t>limită zilnică pentru protec</w:t>
            </w:r>
            <w:r w:rsidR="00054880" w:rsidRPr="00EA1BB2">
              <w:rPr>
                <w:rFonts w:ascii="Cambria" w:hAnsi="Cambria"/>
                <w:sz w:val="24"/>
                <w:szCs w:val="24"/>
                <w:lang w:val="ro-RO"/>
              </w:rPr>
              <w:t>ț</w:t>
            </w:r>
            <w:r w:rsidRPr="00EA1BB2">
              <w:rPr>
                <w:rFonts w:ascii="Cambria" w:hAnsi="Cambria"/>
                <w:sz w:val="24"/>
                <w:szCs w:val="24"/>
                <w:lang w:val="ro-RO"/>
              </w:rPr>
              <w:t>ia sănătă</w:t>
            </w:r>
            <w:r w:rsidR="00054880" w:rsidRPr="00EA1BB2">
              <w:rPr>
                <w:rFonts w:ascii="Cambria" w:hAnsi="Cambria"/>
                <w:sz w:val="24"/>
                <w:szCs w:val="24"/>
                <w:lang w:val="ro-RO"/>
              </w:rPr>
              <w:t>ț</w:t>
            </w:r>
            <w:r w:rsidRPr="00EA1BB2">
              <w:rPr>
                <w:rFonts w:ascii="Cambria" w:hAnsi="Cambria"/>
                <w:sz w:val="24"/>
                <w:szCs w:val="24"/>
                <w:lang w:val="ro-RO"/>
              </w:rPr>
              <w:t>ii umane</w:t>
            </w:r>
            <w:r w:rsidR="00D14C8B" w:rsidRPr="00EA1BB2">
              <w:rPr>
                <w:rFonts w:ascii="Cambria" w:hAnsi="Cambria"/>
                <w:lang w:val="ro-RO"/>
              </w:rPr>
              <w:t>(</w:t>
            </w:r>
            <w:r w:rsidR="00D14C8B" w:rsidRPr="00EA1BB2">
              <w:rPr>
                <w:rFonts w:ascii="Cambria" w:hAnsi="Cambria"/>
                <w:sz w:val="24"/>
                <w:szCs w:val="24"/>
                <w:lang w:val="ro-RO"/>
              </w:rPr>
              <w:t>a nu se depăși de mai mult de 3 ori într-un an calendaristic)</w:t>
            </w:r>
          </w:p>
        </w:tc>
      </w:tr>
      <w:tr w:rsidR="002553EA" w:rsidRPr="00EA1BB2" w14:paraId="3A80E22B" w14:textId="77777777" w:rsidTr="000970C9">
        <w:tc>
          <w:tcPr>
            <w:tcW w:w="704" w:type="dxa"/>
            <w:vAlign w:val="center"/>
          </w:tcPr>
          <w:p w14:paraId="6CDE2047" w14:textId="77777777" w:rsidR="002553EA" w:rsidRPr="00EA1BB2" w:rsidRDefault="00B46084" w:rsidP="002553EA">
            <w:pPr>
              <w:spacing w:line="360" w:lineRule="auto"/>
              <w:jc w:val="center"/>
              <w:rPr>
                <w:rFonts w:ascii="Cambria" w:hAnsi="Cambria"/>
                <w:sz w:val="24"/>
                <w:szCs w:val="24"/>
                <w:lang w:val="ro-RO"/>
              </w:rPr>
            </w:pPr>
            <w:r w:rsidRPr="00EA1BB2">
              <w:rPr>
                <w:rFonts w:ascii="Cambria" w:hAnsi="Cambria"/>
                <w:sz w:val="24"/>
                <w:szCs w:val="24"/>
                <w:lang w:val="ro-RO"/>
              </w:rPr>
              <w:t>3.</w:t>
            </w:r>
          </w:p>
        </w:tc>
        <w:tc>
          <w:tcPr>
            <w:tcW w:w="2410" w:type="dxa"/>
            <w:vAlign w:val="center"/>
          </w:tcPr>
          <w:p w14:paraId="20892BDF" w14:textId="77777777" w:rsidR="002553EA" w:rsidRPr="00EA1BB2" w:rsidRDefault="002553EA" w:rsidP="002553EA">
            <w:pPr>
              <w:spacing w:line="360" w:lineRule="auto"/>
              <w:jc w:val="center"/>
              <w:rPr>
                <w:rFonts w:ascii="Cambria" w:hAnsi="Cambria"/>
                <w:bCs/>
                <w:sz w:val="24"/>
                <w:szCs w:val="24"/>
                <w:lang w:val="ro-RO"/>
              </w:rPr>
            </w:pPr>
            <w:r w:rsidRPr="00EA1BB2">
              <w:rPr>
                <w:rFonts w:ascii="Cambria" w:hAnsi="Cambria"/>
                <w:bCs/>
                <w:sz w:val="24"/>
                <w:szCs w:val="24"/>
                <w:lang w:val="ro-RO"/>
              </w:rPr>
              <w:t>Pragul superior de evaluare</w:t>
            </w:r>
            <w:r w:rsidRPr="00EA1BB2">
              <w:rPr>
                <w:rFonts w:ascii="Cambria" w:hAnsi="Cambria"/>
                <w:sz w:val="24"/>
                <w:szCs w:val="24"/>
                <w:lang w:val="ro-RO"/>
              </w:rPr>
              <w:t xml:space="preserve"> pentru </w:t>
            </w:r>
            <w:r w:rsidRPr="00EA1BB2">
              <w:rPr>
                <w:rFonts w:ascii="Cambria" w:hAnsi="Cambria"/>
                <w:bCs/>
                <w:sz w:val="24"/>
                <w:szCs w:val="24"/>
                <w:lang w:val="ro-RO"/>
              </w:rPr>
              <w:t>protec</w:t>
            </w:r>
            <w:r w:rsidR="00054880" w:rsidRPr="00EA1BB2">
              <w:rPr>
                <w:rFonts w:ascii="Cambria" w:hAnsi="Cambria"/>
                <w:bCs/>
                <w:sz w:val="24"/>
                <w:szCs w:val="24"/>
                <w:lang w:val="ro-RO"/>
              </w:rPr>
              <w:t>ț</w:t>
            </w:r>
            <w:r w:rsidRPr="00EA1BB2">
              <w:rPr>
                <w:rFonts w:ascii="Cambria" w:hAnsi="Cambria"/>
                <w:bCs/>
                <w:sz w:val="24"/>
                <w:szCs w:val="24"/>
                <w:lang w:val="ro-RO"/>
              </w:rPr>
              <w:t>ia sănătă</w:t>
            </w:r>
            <w:r w:rsidR="00054880" w:rsidRPr="00EA1BB2">
              <w:rPr>
                <w:rFonts w:ascii="Cambria" w:hAnsi="Cambria"/>
                <w:bCs/>
                <w:sz w:val="24"/>
                <w:szCs w:val="24"/>
                <w:lang w:val="ro-RO"/>
              </w:rPr>
              <w:t>ț</w:t>
            </w:r>
            <w:r w:rsidRPr="00EA1BB2">
              <w:rPr>
                <w:rFonts w:ascii="Cambria" w:hAnsi="Cambria"/>
                <w:bCs/>
                <w:sz w:val="24"/>
                <w:szCs w:val="24"/>
                <w:lang w:val="ro-RO"/>
              </w:rPr>
              <w:t>ii</w:t>
            </w:r>
            <w:r w:rsidR="00D14C8B" w:rsidRPr="00EA1BB2">
              <w:rPr>
                <w:rFonts w:ascii="Cambria" w:hAnsi="Cambria"/>
                <w:bCs/>
                <w:sz w:val="24"/>
                <w:szCs w:val="24"/>
                <w:lang w:val="ro-RO"/>
              </w:rPr>
              <w:t xml:space="preserve"> umane</w:t>
            </w:r>
          </w:p>
        </w:tc>
        <w:tc>
          <w:tcPr>
            <w:tcW w:w="5902" w:type="dxa"/>
            <w:vAlign w:val="center"/>
          </w:tcPr>
          <w:p w14:paraId="4964C907" w14:textId="5158B5D8" w:rsidR="002553EA" w:rsidRPr="00EA1BB2" w:rsidRDefault="002553EA" w:rsidP="002553EA">
            <w:pPr>
              <w:spacing w:line="360" w:lineRule="auto"/>
              <w:jc w:val="both"/>
              <w:rPr>
                <w:rFonts w:ascii="Cambria" w:hAnsi="Cambria"/>
                <w:bCs/>
                <w:sz w:val="24"/>
                <w:szCs w:val="24"/>
                <w:lang w:val="ro-RO"/>
              </w:rPr>
            </w:pPr>
            <w:r w:rsidRPr="00EA1BB2">
              <w:rPr>
                <w:rFonts w:ascii="Cambria" w:hAnsi="Cambria"/>
                <w:bCs/>
                <w:sz w:val="24"/>
                <w:szCs w:val="24"/>
                <w:lang w:val="ro-RO"/>
              </w:rPr>
              <w:t>60% din valoarea-limită pentru24 de ore (75 µg/m</w:t>
            </w:r>
            <w:r w:rsidRPr="00EA1BB2">
              <w:rPr>
                <w:rFonts w:ascii="Cambria" w:hAnsi="Cambria"/>
                <w:bCs/>
                <w:sz w:val="24"/>
                <w:szCs w:val="24"/>
                <w:vertAlign w:val="superscript"/>
                <w:lang w:val="ro-RO"/>
              </w:rPr>
              <w:t>3</w:t>
            </w:r>
            <w:r w:rsidRPr="00EA1BB2">
              <w:rPr>
                <w:rFonts w:ascii="Cambria" w:hAnsi="Cambria"/>
                <w:bCs/>
                <w:sz w:val="24"/>
                <w:szCs w:val="24"/>
                <w:lang w:val="ro-RO"/>
              </w:rPr>
              <w:t>, a nu se</w:t>
            </w:r>
            <w:r w:rsidR="00BD06C5" w:rsidRPr="00EA1BB2">
              <w:rPr>
                <w:rFonts w:ascii="Cambria" w:hAnsi="Cambria"/>
                <w:bCs/>
                <w:sz w:val="24"/>
                <w:szCs w:val="24"/>
                <w:lang w:val="ro-RO"/>
              </w:rPr>
              <w:t xml:space="preserve"> </w:t>
            </w:r>
            <w:r w:rsidRPr="00EA1BB2">
              <w:rPr>
                <w:rFonts w:ascii="Cambria" w:hAnsi="Cambria"/>
                <w:bCs/>
                <w:sz w:val="24"/>
                <w:szCs w:val="24"/>
                <w:lang w:val="ro-RO"/>
              </w:rPr>
              <w:t>depă</w:t>
            </w:r>
            <w:r w:rsidR="00054880" w:rsidRPr="00EA1BB2">
              <w:rPr>
                <w:rFonts w:ascii="Cambria" w:hAnsi="Cambria"/>
                <w:bCs/>
                <w:sz w:val="24"/>
                <w:szCs w:val="24"/>
                <w:lang w:val="ro-RO"/>
              </w:rPr>
              <w:t>ș</w:t>
            </w:r>
            <w:r w:rsidRPr="00EA1BB2">
              <w:rPr>
                <w:rFonts w:ascii="Cambria" w:hAnsi="Cambria"/>
                <w:bCs/>
                <w:sz w:val="24"/>
                <w:szCs w:val="24"/>
                <w:lang w:val="ro-RO"/>
              </w:rPr>
              <w:t>i de mai mult de 3 ori</w:t>
            </w:r>
            <w:r w:rsidR="00BD06C5" w:rsidRPr="00EA1BB2">
              <w:rPr>
                <w:rFonts w:ascii="Cambria" w:hAnsi="Cambria"/>
                <w:bCs/>
                <w:sz w:val="24"/>
                <w:szCs w:val="24"/>
                <w:lang w:val="ro-RO"/>
              </w:rPr>
              <w:t xml:space="preserve"> </w:t>
            </w:r>
            <w:r w:rsidRPr="00EA1BB2">
              <w:rPr>
                <w:rFonts w:ascii="Cambria" w:hAnsi="Cambria"/>
                <w:bCs/>
                <w:sz w:val="24"/>
                <w:szCs w:val="24"/>
                <w:lang w:val="ro-RO"/>
              </w:rPr>
              <w:t>într-un an calendaristic)</w:t>
            </w:r>
          </w:p>
        </w:tc>
      </w:tr>
      <w:tr w:rsidR="002553EA" w:rsidRPr="00EA1BB2" w14:paraId="60472D22" w14:textId="77777777" w:rsidTr="000970C9">
        <w:tc>
          <w:tcPr>
            <w:tcW w:w="704" w:type="dxa"/>
            <w:vAlign w:val="center"/>
          </w:tcPr>
          <w:p w14:paraId="7D71502D" w14:textId="77777777" w:rsidR="002553EA" w:rsidRPr="00EA1BB2" w:rsidRDefault="00B46084" w:rsidP="002553EA">
            <w:pPr>
              <w:spacing w:line="360" w:lineRule="auto"/>
              <w:jc w:val="center"/>
              <w:rPr>
                <w:rFonts w:ascii="Cambria" w:hAnsi="Cambria"/>
                <w:sz w:val="24"/>
                <w:szCs w:val="24"/>
                <w:lang w:val="ro-RO"/>
              </w:rPr>
            </w:pPr>
            <w:r w:rsidRPr="00EA1BB2">
              <w:rPr>
                <w:rFonts w:ascii="Cambria" w:hAnsi="Cambria"/>
                <w:sz w:val="24"/>
                <w:szCs w:val="24"/>
                <w:lang w:val="ro-RO"/>
              </w:rPr>
              <w:t>4.</w:t>
            </w:r>
          </w:p>
        </w:tc>
        <w:tc>
          <w:tcPr>
            <w:tcW w:w="2410" w:type="dxa"/>
            <w:vAlign w:val="center"/>
          </w:tcPr>
          <w:p w14:paraId="7F1DD644" w14:textId="77777777" w:rsidR="002553EA" w:rsidRPr="00EA1BB2" w:rsidRDefault="002553EA" w:rsidP="002553EA">
            <w:pPr>
              <w:spacing w:line="360" w:lineRule="auto"/>
              <w:jc w:val="center"/>
              <w:rPr>
                <w:rFonts w:ascii="Cambria" w:hAnsi="Cambria"/>
                <w:bCs/>
                <w:sz w:val="24"/>
                <w:szCs w:val="24"/>
                <w:lang w:val="ro-RO"/>
              </w:rPr>
            </w:pPr>
            <w:r w:rsidRPr="00EA1BB2">
              <w:rPr>
                <w:rFonts w:ascii="Cambria" w:hAnsi="Cambria"/>
                <w:bCs/>
                <w:sz w:val="24"/>
                <w:szCs w:val="24"/>
                <w:lang w:val="ro-RO"/>
              </w:rPr>
              <w:t>Pragul inferior de evaluare pentru protec</w:t>
            </w:r>
            <w:r w:rsidR="00054880" w:rsidRPr="00EA1BB2">
              <w:rPr>
                <w:rFonts w:ascii="Cambria" w:hAnsi="Cambria"/>
                <w:bCs/>
                <w:sz w:val="24"/>
                <w:szCs w:val="24"/>
                <w:lang w:val="ro-RO"/>
              </w:rPr>
              <w:t>ț</w:t>
            </w:r>
            <w:r w:rsidRPr="00EA1BB2">
              <w:rPr>
                <w:rFonts w:ascii="Cambria" w:hAnsi="Cambria"/>
                <w:bCs/>
                <w:sz w:val="24"/>
                <w:szCs w:val="24"/>
                <w:lang w:val="ro-RO"/>
              </w:rPr>
              <w:t>ia sănătă</w:t>
            </w:r>
            <w:r w:rsidR="00054880" w:rsidRPr="00EA1BB2">
              <w:rPr>
                <w:rFonts w:ascii="Cambria" w:hAnsi="Cambria"/>
                <w:bCs/>
                <w:sz w:val="24"/>
                <w:szCs w:val="24"/>
                <w:lang w:val="ro-RO"/>
              </w:rPr>
              <w:t>ț</w:t>
            </w:r>
            <w:r w:rsidRPr="00EA1BB2">
              <w:rPr>
                <w:rFonts w:ascii="Cambria" w:hAnsi="Cambria"/>
                <w:bCs/>
                <w:sz w:val="24"/>
                <w:szCs w:val="24"/>
                <w:lang w:val="ro-RO"/>
              </w:rPr>
              <w:t>ii</w:t>
            </w:r>
            <w:r w:rsidR="00D14C8B" w:rsidRPr="00EA1BB2">
              <w:rPr>
                <w:rFonts w:ascii="Cambria" w:hAnsi="Cambria"/>
                <w:bCs/>
                <w:sz w:val="24"/>
                <w:szCs w:val="24"/>
                <w:lang w:val="ro-RO"/>
              </w:rPr>
              <w:t xml:space="preserve"> umane</w:t>
            </w:r>
          </w:p>
        </w:tc>
        <w:tc>
          <w:tcPr>
            <w:tcW w:w="5902" w:type="dxa"/>
            <w:vAlign w:val="center"/>
          </w:tcPr>
          <w:p w14:paraId="36B1DBBA" w14:textId="77777777" w:rsidR="002553EA" w:rsidRPr="00EA1BB2" w:rsidRDefault="002553EA" w:rsidP="002553EA">
            <w:pPr>
              <w:spacing w:line="360" w:lineRule="auto"/>
              <w:jc w:val="both"/>
              <w:rPr>
                <w:rFonts w:ascii="Cambria" w:hAnsi="Cambria"/>
                <w:bCs/>
                <w:sz w:val="24"/>
                <w:szCs w:val="24"/>
                <w:lang w:val="ro-RO"/>
              </w:rPr>
            </w:pPr>
            <w:r w:rsidRPr="00EA1BB2">
              <w:rPr>
                <w:rFonts w:ascii="Cambria" w:hAnsi="Cambria"/>
                <w:bCs/>
                <w:sz w:val="24"/>
                <w:szCs w:val="24"/>
                <w:lang w:val="ro-RO"/>
              </w:rPr>
              <w:t>40% din valoarea-limită pentru 24 de ore (50 µg/m3, a nu se depă</w:t>
            </w:r>
            <w:r w:rsidR="00054880" w:rsidRPr="00EA1BB2">
              <w:rPr>
                <w:rFonts w:ascii="Cambria" w:hAnsi="Cambria"/>
                <w:bCs/>
                <w:sz w:val="24"/>
                <w:szCs w:val="24"/>
                <w:lang w:val="ro-RO"/>
              </w:rPr>
              <w:t>ș</w:t>
            </w:r>
            <w:r w:rsidRPr="00EA1BB2">
              <w:rPr>
                <w:rFonts w:ascii="Cambria" w:hAnsi="Cambria"/>
                <w:bCs/>
                <w:sz w:val="24"/>
                <w:szCs w:val="24"/>
                <w:lang w:val="ro-RO"/>
              </w:rPr>
              <w:t>i de mai mult de 3 ori într-un an calendaristic)</w:t>
            </w:r>
          </w:p>
        </w:tc>
      </w:tr>
      <w:tr w:rsidR="002553EA" w:rsidRPr="00EA1BB2" w14:paraId="1596711C" w14:textId="77777777" w:rsidTr="000970C9">
        <w:tc>
          <w:tcPr>
            <w:tcW w:w="704" w:type="dxa"/>
            <w:vAlign w:val="center"/>
          </w:tcPr>
          <w:p w14:paraId="259B64E5" w14:textId="77777777" w:rsidR="002553EA" w:rsidRPr="00EA1BB2" w:rsidRDefault="00B46084" w:rsidP="002553EA">
            <w:pPr>
              <w:spacing w:line="360" w:lineRule="auto"/>
              <w:jc w:val="center"/>
              <w:rPr>
                <w:rFonts w:ascii="Cambria" w:hAnsi="Cambria"/>
                <w:sz w:val="24"/>
                <w:szCs w:val="24"/>
                <w:lang w:val="ro-RO"/>
              </w:rPr>
            </w:pPr>
            <w:r w:rsidRPr="00EA1BB2">
              <w:rPr>
                <w:rFonts w:ascii="Cambria" w:hAnsi="Cambria"/>
                <w:sz w:val="24"/>
                <w:szCs w:val="24"/>
                <w:lang w:val="ro-RO"/>
              </w:rPr>
              <w:t>5</w:t>
            </w:r>
            <w:r w:rsidR="002553EA" w:rsidRPr="00EA1BB2">
              <w:rPr>
                <w:rFonts w:ascii="Cambria" w:hAnsi="Cambria"/>
                <w:sz w:val="24"/>
                <w:szCs w:val="24"/>
                <w:lang w:val="ro-RO"/>
              </w:rPr>
              <w:t>.</w:t>
            </w:r>
          </w:p>
        </w:tc>
        <w:tc>
          <w:tcPr>
            <w:tcW w:w="2410" w:type="dxa"/>
            <w:vAlign w:val="center"/>
          </w:tcPr>
          <w:p w14:paraId="557A5C1D" w14:textId="77777777" w:rsidR="002553EA" w:rsidRPr="00EA1BB2" w:rsidRDefault="002553EA" w:rsidP="002553EA">
            <w:pPr>
              <w:spacing w:line="360" w:lineRule="auto"/>
              <w:jc w:val="center"/>
              <w:rPr>
                <w:rFonts w:ascii="Cambria" w:hAnsi="Cambria"/>
                <w:sz w:val="24"/>
                <w:szCs w:val="24"/>
                <w:lang w:val="ro-RO"/>
              </w:rPr>
            </w:pPr>
            <w:r w:rsidRPr="00EA1BB2">
              <w:rPr>
                <w:rFonts w:ascii="Cambria" w:hAnsi="Cambria"/>
                <w:bCs/>
                <w:sz w:val="24"/>
                <w:szCs w:val="24"/>
                <w:lang w:val="ro-RO"/>
              </w:rPr>
              <w:t>Nivel critic</w:t>
            </w:r>
            <w:r w:rsidR="00D14C8B" w:rsidRPr="00EA1BB2">
              <w:rPr>
                <w:rFonts w:ascii="Cambria" w:hAnsi="Cambria"/>
                <w:bCs/>
                <w:sz w:val="24"/>
                <w:szCs w:val="24"/>
                <w:lang w:val="ro-RO"/>
              </w:rPr>
              <w:t xml:space="preserve"> pentru protecția vegetației</w:t>
            </w:r>
          </w:p>
        </w:tc>
        <w:tc>
          <w:tcPr>
            <w:tcW w:w="5902" w:type="dxa"/>
            <w:vAlign w:val="center"/>
          </w:tcPr>
          <w:p w14:paraId="522CA3D8" w14:textId="77777777" w:rsidR="002553EA" w:rsidRPr="00EA1BB2" w:rsidRDefault="002553EA" w:rsidP="002553EA">
            <w:pPr>
              <w:spacing w:line="360" w:lineRule="auto"/>
              <w:jc w:val="both"/>
              <w:rPr>
                <w:rFonts w:ascii="Cambria" w:hAnsi="Cambria"/>
                <w:sz w:val="24"/>
                <w:szCs w:val="24"/>
                <w:lang w:val="ro-RO"/>
              </w:rPr>
            </w:pPr>
            <w:r w:rsidRPr="00EA1BB2">
              <w:rPr>
                <w:rFonts w:ascii="Cambria" w:hAnsi="Cambria"/>
                <w:bCs/>
                <w:sz w:val="24"/>
                <w:szCs w:val="24"/>
                <w:lang w:val="ro-RO"/>
              </w:rPr>
              <w:t>20 µg/m</w:t>
            </w:r>
            <w:r w:rsidRPr="00EA1BB2">
              <w:rPr>
                <w:rFonts w:ascii="Cambria" w:hAnsi="Cambria"/>
                <w:bCs/>
                <w:sz w:val="24"/>
                <w:szCs w:val="24"/>
                <w:vertAlign w:val="superscript"/>
                <w:lang w:val="ro-RO"/>
              </w:rPr>
              <w:t>3</w:t>
            </w:r>
            <w:r w:rsidRPr="00EA1BB2">
              <w:rPr>
                <w:rFonts w:ascii="Cambria" w:hAnsi="Cambria"/>
                <w:sz w:val="24"/>
                <w:szCs w:val="24"/>
                <w:lang w:val="ro-RO"/>
              </w:rPr>
              <w:t> - nivelul critic anual pentru protec</w:t>
            </w:r>
            <w:r w:rsidR="00054880" w:rsidRPr="00EA1BB2">
              <w:rPr>
                <w:rFonts w:ascii="Cambria" w:hAnsi="Cambria"/>
                <w:sz w:val="24"/>
                <w:szCs w:val="24"/>
                <w:lang w:val="ro-RO"/>
              </w:rPr>
              <w:t>ț</w:t>
            </w:r>
            <w:r w:rsidRPr="00EA1BB2">
              <w:rPr>
                <w:rFonts w:ascii="Cambria" w:hAnsi="Cambria"/>
                <w:sz w:val="24"/>
                <w:szCs w:val="24"/>
                <w:lang w:val="ro-RO"/>
              </w:rPr>
              <w:t>ia vegeta</w:t>
            </w:r>
            <w:r w:rsidR="00054880" w:rsidRPr="00EA1BB2">
              <w:rPr>
                <w:rFonts w:ascii="Cambria" w:hAnsi="Cambria"/>
                <w:sz w:val="24"/>
                <w:szCs w:val="24"/>
                <w:lang w:val="ro-RO"/>
              </w:rPr>
              <w:t>ț</w:t>
            </w:r>
            <w:r w:rsidRPr="00EA1BB2">
              <w:rPr>
                <w:rFonts w:ascii="Cambria" w:hAnsi="Cambria"/>
                <w:sz w:val="24"/>
                <w:szCs w:val="24"/>
                <w:lang w:val="ro-RO"/>
              </w:rPr>
              <w:t xml:space="preserve">iei an calendaristic </w:t>
            </w:r>
            <w:r w:rsidR="00054880" w:rsidRPr="00EA1BB2">
              <w:rPr>
                <w:rFonts w:ascii="Cambria" w:hAnsi="Cambria"/>
                <w:sz w:val="24"/>
                <w:szCs w:val="24"/>
                <w:lang w:val="ro-RO"/>
              </w:rPr>
              <w:t>ș</w:t>
            </w:r>
            <w:r w:rsidRPr="00EA1BB2">
              <w:rPr>
                <w:rFonts w:ascii="Cambria" w:hAnsi="Cambria"/>
                <w:sz w:val="24"/>
                <w:szCs w:val="24"/>
                <w:lang w:val="ro-RO"/>
              </w:rPr>
              <w:t>i iarnă (1octombrie - 31 martie)</w:t>
            </w:r>
          </w:p>
        </w:tc>
      </w:tr>
    </w:tbl>
    <w:p w14:paraId="477DF844" w14:textId="77777777" w:rsidR="002553EA" w:rsidRPr="00EA1BB2" w:rsidRDefault="002553EA" w:rsidP="002553EA">
      <w:pPr>
        <w:spacing w:line="276" w:lineRule="auto"/>
        <w:jc w:val="both"/>
        <w:rPr>
          <w:rFonts w:ascii="Cambria" w:hAnsi="Cambria" w:cs="Times New Roman"/>
          <w:szCs w:val="24"/>
        </w:rPr>
      </w:pPr>
      <w:r w:rsidRPr="00EA1BB2">
        <w:rPr>
          <w:rFonts w:ascii="Cambria" w:hAnsi="Cambria" w:cs="Times New Roman"/>
          <w:szCs w:val="24"/>
        </w:rPr>
        <w:t xml:space="preserve">Sursa: </w:t>
      </w:r>
      <w:hyperlink r:id="rId81" w:history="1">
        <w:r w:rsidRPr="00EA1BB2">
          <w:rPr>
            <w:rStyle w:val="Hyperlink"/>
            <w:rFonts w:ascii="Cambria" w:hAnsi="Cambria" w:cs="Times New Roman"/>
            <w:color w:val="auto"/>
            <w:szCs w:val="24"/>
            <w:u w:val="none"/>
          </w:rPr>
          <w:t>http://www.calitateaer.ro/public/assessment-page/pollutants-page/dioxid-sulf-page</w:t>
        </w:r>
      </w:hyperlink>
      <w:r w:rsidRPr="00EA1BB2">
        <w:rPr>
          <w:rFonts w:ascii="Cambria" w:hAnsi="Cambria" w:cs="Times New Roman"/>
          <w:szCs w:val="24"/>
        </w:rPr>
        <w:t xml:space="preserve"> /?__ locale=ro</w:t>
      </w:r>
    </w:p>
    <w:p w14:paraId="46AA3247" w14:textId="77777777" w:rsidR="002553EA" w:rsidRPr="00EA1BB2" w:rsidRDefault="002553EA" w:rsidP="00585E25">
      <w:pPr>
        <w:jc w:val="both"/>
        <w:rPr>
          <w:rFonts w:ascii="Cambria" w:hAnsi="Cambria" w:cs="Times New Roman"/>
          <w:sz w:val="24"/>
          <w:szCs w:val="24"/>
        </w:rPr>
      </w:pPr>
    </w:p>
    <w:p w14:paraId="0A57A503" w14:textId="77777777" w:rsidR="00570343" w:rsidRPr="00EA1BB2" w:rsidRDefault="00570343" w:rsidP="00570343">
      <w:pPr>
        <w:autoSpaceDE w:val="0"/>
        <w:autoSpaceDN w:val="0"/>
        <w:adjustRightInd w:val="0"/>
        <w:spacing w:line="360" w:lineRule="auto"/>
        <w:ind w:firstLine="720"/>
        <w:jc w:val="both"/>
        <w:rPr>
          <w:rFonts w:ascii="Cambria" w:eastAsia="Times New Roman" w:hAnsi="Cambria" w:cs="Times New Roman"/>
          <w:sz w:val="24"/>
          <w:szCs w:val="24"/>
        </w:rPr>
      </w:pPr>
      <w:r w:rsidRPr="00EA1BB2">
        <w:rPr>
          <w:rFonts w:ascii="Cambria" w:eastAsia="Times New Roman" w:hAnsi="Cambria" w:cs="Times New Roman"/>
          <w:sz w:val="24"/>
          <w:szCs w:val="24"/>
        </w:rPr>
        <w:t xml:space="preserve">Măsurarea în puncte fixe pentru </w:t>
      </w:r>
      <w:r w:rsidRPr="00EA1BB2">
        <w:rPr>
          <w:rFonts w:ascii="Cambria" w:eastAsia="Times New Roman" w:hAnsi="Cambria" w:cs="Times New Roman"/>
          <w:bCs/>
          <w:sz w:val="24"/>
          <w:szCs w:val="24"/>
        </w:rPr>
        <w:t>SO</w:t>
      </w:r>
      <w:r w:rsidRPr="00EA1BB2">
        <w:rPr>
          <w:rFonts w:ascii="Cambria" w:eastAsia="Times New Roman" w:hAnsi="Cambria" w:cs="Times New Roman"/>
          <w:bCs/>
          <w:sz w:val="24"/>
          <w:szCs w:val="24"/>
          <w:vertAlign w:val="subscript"/>
        </w:rPr>
        <w:t>2</w:t>
      </w:r>
      <w:r w:rsidRPr="00EA1BB2">
        <w:rPr>
          <w:rFonts w:ascii="Cambria" w:eastAsia="Times New Roman" w:hAnsi="Cambria" w:cs="Times New Roman"/>
          <w:sz w:val="24"/>
          <w:szCs w:val="24"/>
        </w:rPr>
        <w:t>se face aplicând metoda de referin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ă care este cea prevăzută în standardul SR EN 14212 "Aer înconjurător. Metodă standardizată pentru măsurarea concentra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iei de dioxid de sulf prin fluorescen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ă în ultraviolet".</w:t>
      </w:r>
    </w:p>
    <w:p w14:paraId="5F62280C" w14:textId="77777777" w:rsidR="002553EA" w:rsidRPr="00EA1BB2" w:rsidRDefault="002553EA" w:rsidP="00585E25">
      <w:pPr>
        <w:jc w:val="both"/>
        <w:rPr>
          <w:rFonts w:ascii="Cambria" w:hAnsi="Cambria" w:cs="Times New Roman"/>
          <w:sz w:val="24"/>
          <w:szCs w:val="24"/>
        </w:rPr>
      </w:pPr>
    </w:p>
    <w:p w14:paraId="53A74AE5" w14:textId="77777777" w:rsidR="00343667" w:rsidRPr="00EA1BB2" w:rsidRDefault="00343667" w:rsidP="00E859EF">
      <w:pPr>
        <w:pStyle w:val="Heading4"/>
        <w:numPr>
          <w:ilvl w:val="3"/>
          <w:numId w:val="1"/>
        </w:numPr>
        <w:spacing w:before="0" w:line="360" w:lineRule="auto"/>
        <w:ind w:hanging="579"/>
        <w:rPr>
          <w:color w:val="0070C0"/>
          <w:sz w:val="24"/>
        </w:rPr>
      </w:pPr>
      <w:bookmarkStart w:id="165" w:name="_Toc459107460"/>
      <w:bookmarkStart w:id="166" w:name="_Toc463955947"/>
      <w:bookmarkStart w:id="167" w:name="_Toc526889733"/>
      <w:r w:rsidRPr="00EA1BB2">
        <w:rPr>
          <w:color w:val="0070C0"/>
          <w:sz w:val="24"/>
        </w:rPr>
        <w:t>Monoxid de carbon (CO)</w:t>
      </w:r>
      <w:bookmarkEnd w:id="165"/>
      <w:bookmarkEnd w:id="166"/>
      <w:bookmarkEnd w:id="167"/>
    </w:p>
    <w:p w14:paraId="53F11AAB" w14:textId="77777777" w:rsidR="00343667" w:rsidRPr="00EA1BB2" w:rsidRDefault="00343667" w:rsidP="00343667">
      <w:pPr>
        <w:spacing w:line="360" w:lineRule="auto"/>
        <w:ind w:firstLine="708"/>
        <w:jc w:val="both"/>
        <w:rPr>
          <w:rFonts w:ascii="Cambria" w:hAnsi="Cambria" w:cs="Times New Roman"/>
          <w:sz w:val="24"/>
          <w:szCs w:val="24"/>
        </w:rPr>
      </w:pPr>
      <w:r w:rsidRPr="00EA1BB2">
        <w:rPr>
          <w:rFonts w:ascii="Cambria" w:hAnsi="Cambria" w:cs="Times New Roman"/>
          <w:sz w:val="24"/>
          <w:szCs w:val="24"/>
        </w:rPr>
        <w:t xml:space="preserve">La temperatura mediului ambiental, monoxidul de carbon este un gaz incolor, inodor, insipid, de origine atât naturală cât </w:t>
      </w:r>
      <w:r w:rsidR="00054880" w:rsidRPr="00EA1BB2">
        <w:rPr>
          <w:rFonts w:ascii="Cambria" w:hAnsi="Cambria" w:cs="Times New Roman"/>
          <w:sz w:val="24"/>
          <w:szCs w:val="24"/>
        </w:rPr>
        <w:t>ș</w:t>
      </w:r>
      <w:r w:rsidRPr="00EA1BB2">
        <w:rPr>
          <w:rFonts w:ascii="Cambria" w:hAnsi="Cambria" w:cs="Times New Roman"/>
          <w:sz w:val="24"/>
          <w:szCs w:val="24"/>
        </w:rPr>
        <w:t>i antropică. Monoxidul de carbon se formează în principal prin arderea incompletă a combustibililor fosili.</w:t>
      </w:r>
    </w:p>
    <w:p w14:paraId="6398E60A" w14:textId="77777777" w:rsidR="00343667" w:rsidRPr="00EA1BB2" w:rsidRDefault="00343667" w:rsidP="003A520C">
      <w:pPr>
        <w:numPr>
          <w:ilvl w:val="0"/>
          <w:numId w:val="27"/>
        </w:numPr>
        <w:spacing w:line="360" w:lineRule="auto"/>
        <w:contextualSpacing/>
        <w:jc w:val="both"/>
        <w:rPr>
          <w:rFonts w:ascii="Cambria" w:hAnsi="Cambria" w:cs="Times New Roman"/>
          <w:sz w:val="24"/>
          <w:szCs w:val="24"/>
        </w:rPr>
      </w:pPr>
      <w:r w:rsidRPr="00EA1BB2">
        <w:rPr>
          <w:rFonts w:ascii="Cambria" w:hAnsi="Cambria" w:cs="Times New Roman"/>
          <w:sz w:val="24"/>
          <w:szCs w:val="24"/>
        </w:rPr>
        <w:t>Surse de poluare</w:t>
      </w:r>
    </w:p>
    <w:p w14:paraId="7BBDF841" w14:textId="77777777" w:rsidR="00343667" w:rsidRPr="00EA1BB2" w:rsidRDefault="00343667" w:rsidP="00343667">
      <w:pPr>
        <w:spacing w:line="360" w:lineRule="auto"/>
        <w:ind w:firstLine="705"/>
        <w:jc w:val="both"/>
        <w:rPr>
          <w:rFonts w:ascii="Cambria" w:hAnsi="Cambria" w:cs="Times New Roman"/>
          <w:sz w:val="24"/>
          <w:szCs w:val="24"/>
        </w:rPr>
      </w:pPr>
      <w:r w:rsidRPr="00EA1BB2">
        <w:rPr>
          <w:rFonts w:ascii="Cambria" w:hAnsi="Cambria" w:cs="Times New Roman"/>
          <w:sz w:val="24"/>
          <w:szCs w:val="24"/>
        </w:rPr>
        <w:t xml:space="preserve">Surse naturale: arderea pădurilor, emisiile vulcanice </w:t>
      </w:r>
      <w:r w:rsidR="00054880" w:rsidRPr="00EA1BB2">
        <w:rPr>
          <w:rFonts w:ascii="Cambria" w:hAnsi="Cambria" w:cs="Times New Roman"/>
          <w:sz w:val="24"/>
          <w:szCs w:val="24"/>
        </w:rPr>
        <w:t>ș</w:t>
      </w:r>
      <w:r w:rsidRPr="00EA1BB2">
        <w:rPr>
          <w:rFonts w:ascii="Cambria" w:hAnsi="Cambria" w:cs="Times New Roman"/>
          <w:sz w:val="24"/>
          <w:szCs w:val="24"/>
        </w:rPr>
        <w:t>i descărcările electrice.</w:t>
      </w:r>
    </w:p>
    <w:p w14:paraId="41E9C1A9" w14:textId="77777777" w:rsidR="00343667" w:rsidRPr="00EA1BB2" w:rsidRDefault="00343667" w:rsidP="00343667">
      <w:pPr>
        <w:spacing w:line="360" w:lineRule="auto"/>
        <w:ind w:firstLine="705"/>
        <w:jc w:val="both"/>
        <w:rPr>
          <w:rFonts w:ascii="Cambria" w:hAnsi="Cambria" w:cs="Times New Roman"/>
          <w:sz w:val="24"/>
          <w:szCs w:val="24"/>
        </w:rPr>
      </w:pPr>
      <w:r w:rsidRPr="00EA1BB2">
        <w:rPr>
          <w:rFonts w:ascii="Cambria" w:hAnsi="Cambria" w:cs="Times New Roman"/>
          <w:sz w:val="24"/>
          <w:szCs w:val="24"/>
        </w:rPr>
        <w:lastRenderedPageBreak/>
        <w:t>Surse antropice: se formează în principal prin arderea incompletă a combustibililor fosili. Alte surse antropice: producerea o</w:t>
      </w:r>
      <w:r w:rsidR="00054880" w:rsidRPr="00EA1BB2">
        <w:rPr>
          <w:rFonts w:ascii="Cambria" w:hAnsi="Cambria" w:cs="Times New Roman"/>
          <w:sz w:val="24"/>
          <w:szCs w:val="24"/>
        </w:rPr>
        <w:t>ț</w:t>
      </w:r>
      <w:r w:rsidRPr="00EA1BB2">
        <w:rPr>
          <w:rFonts w:ascii="Cambria" w:hAnsi="Cambria" w:cs="Times New Roman"/>
          <w:sz w:val="24"/>
          <w:szCs w:val="24"/>
        </w:rPr>
        <w:t xml:space="preserve">elului </w:t>
      </w:r>
      <w:r w:rsidR="00054880" w:rsidRPr="00EA1BB2">
        <w:rPr>
          <w:rFonts w:ascii="Cambria" w:hAnsi="Cambria" w:cs="Times New Roman"/>
          <w:sz w:val="24"/>
          <w:szCs w:val="24"/>
        </w:rPr>
        <w:t>ș</w:t>
      </w:r>
      <w:r w:rsidRPr="00EA1BB2">
        <w:rPr>
          <w:rFonts w:ascii="Cambria" w:hAnsi="Cambria" w:cs="Times New Roman"/>
          <w:sz w:val="24"/>
          <w:szCs w:val="24"/>
        </w:rPr>
        <w:t xml:space="preserve">i a fontei, rafinarea petrolului, traficul rutier, aerian </w:t>
      </w:r>
      <w:r w:rsidR="00054880" w:rsidRPr="00EA1BB2">
        <w:rPr>
          <w:rFonts w:ascii="Cambria" w:hAnsi="Cambria" w:cs="Times New Roman"/>
          <w:sz w:val="24"/>
          <w:szCs w:val="24"/>
        </w:rPr>
        <w:t>ș</w:t>
      </w:r>
      <w:r w:rsidRPr="00EA1BB2">
        <w:rPr>
          <w:rFonts w:ascii="Cambria" w:hAnsi="Cambria" w:cs="Times New Roman"/>
          <w:sz w:val="24"/>
          <w:szCs w:val="24"/>
        </w:rPr>
        <w:t>i feroviar.</w:t>
      </w:r>
    </w:p>
    <w:p w14:paraId="3FB74789" w14:textId="77777777" w:rsidR="00343667" w:rsidRPr="00EA1BB2" w:rsidRDefault="00343667" w:rsidP="00343667">
      <w:pPr>
        <w:spacing w:line="360" w:lineRule="auto"/>
        <w:ind w:firstLine="705"/>
        <w:jc w:val="both"/>
        <w:rPr>
          <w:rFonts w:ascii="Cambria" w:hAnsi="Cambria" w:cs="Times New Roman"/>
          <w:sz w:val="24"/>
          <w:szCs w:val="24"/>
        </w:rPr>
      </w:pPr>
      <w:r w:rsidRPr="00EA1BB2">
        <w:rPr>
          <w:rFonts w:ascii="Cambria" w:hAnsi="Cambria" w:cs="Times New Roman"/>
          <w:sz w:val="24"/>
          <w:szCs w:val="24"/>
        </w:rPr>
        <w:t xml:space="preserve">Monoxidul de carbon se poate acumula la un nivel periculos în special în perioada de calm atmosferic din timpul iernii </w:t>
      </w:r>
      <w:r w:rsidR="00054880" w:rsidRPr="00EA1BB2">
        <w:rPr>
          <w:rFonts w:ascii="Cambria" w:hAnsi="Cambria" w:cs="Times New Roman"/>
          <w:sz w:val="24"/>
          <w:szCs w:val="24"/>
        </w:rPr>
        <w:t>ș</w:t>
      </w:r>
      <w:r w:rsidRPr="00EA1BB2">
        <w:rPr>
          <w:rFonts w:ascii="Cambria" w:hAnsi="Cambria" w:cs="Times New Roman"/>
          <w:sz w:val="24"/>
          <w:szCs w:val="24"/>
        </w:rPr>
        <w:t>i primăverii (acesta fiind mult mai stabil din punct de vedere chimic la temperaturi scăzute), când arderea combustibililor fosili atinge un maxim.</w:t>
      </w:r>
    </w:p>
    <w:p w14:paraId="7540361F" w14:textId="77777777" w:rsidR="00343667" w:rsidRPr="00EA1BB2" w:rsidRDefault="00343667" w:rsidP="00343667">
      <w:pPr>
        <w:spacing w:line="360" w:lineRule="auto"/>
        <w:ind w:firstLine="705"/>
        <w:jc w:val="both"/>
        <w:rPr>
          <w:rFonts w:ascii="Cambria" w:hAnsi="Cambria" w:cs="Times New Roman"/>
          <w:sz w:val="24"/>
          <w:szCs w:val="24"/>
        </w:rPr>
      </w:pPr>
      <w:r w:rsidRPr="00EA1BB2">
        <w:rPr>
          <w:rFonts w:ascii="Cambria" w:hAnsi="Cambria" w:cs="Times New Roman"/>
          <w:sz w:val="24"/>
          <w:szCs w:val="24"/>
        </w:rPr>
        <w:t>Monoxidul de carbon produs din surse naturale este foarte repede dispersat pe o suprafa</w:t>
      </w:r>
      <w:r w:rsidR="00054880" w:rsidRPr="00EA1BB2">
        <w:rPr>
          <w:rFonts w:ascii="Cambria" w:hAnsi="Cambria" w:cs="Times New Roman"/>
          <w:sz w:val="24"/>
          <w:szCs w:val="24"/>
        </w:rPr>
        <w:t>ț</w:t>
      </w:r>
      <w:r w:rsidRPr="00EA1BB2">
        <w:rPr>
          <w:rFonts w:ascii="Cambria" w:hAnsi="Cambria" w:cs="Times New Roman"/>
          <w:sz w:val="24"/>
          <w:szCs w:val="24"/>
        </w:rPr>
        <w:t>ă întinsă, nepunând în pericol sănătatea umană.</w:t>
      </w:r>
    </w:p>
    <w:p w14:paraId="3B693DEC" w14:textId="77777777" w:rsidR="00343667" w:rsidRPr="00EA1BB2" w:rsidRDefault="00343667" w:rsidP="003A520C">
      <w:pPr>
        <w:numPr>
          <w:ilvl w:val="0"/>
          <w:numId w:val="27"/>
        </w:numPr>
        <w:spacing w:line="360" w:lineRule="auto"/>
        <w:contextualSpacing/>
        <w:jc w:val="both"/>
        <w:rPr>
          <w:rFonts w:ascii="Cambria" w:hAnsi="Cambria" w:cs="Times New Roman"/>
          <w:sz w:val="24"/>
          <w:szCs w:val="24"/>
        </w:rPr>
      </w:pPr>
      <w:r w:rsidRPr="00EA1BB2">
        <w:rPr>
          <w:rFonts w:ascii="Cambria" w:hAnsi="Cambria" w:cs="Times New Roman"/>
          <w:sz w:val="24"/>
          <w:szCs w:val="24"/>
        </w:rPr>
        <w:t>Efecte asupra sănătă</w:t>
      </w:r>
      <w:r w:rsidR="00054880" w:rsidRPr="00EA1BB2">
        <w:rPr>
          <w:rFonts w:ascii="Cambria" w:hAnsi="Cambria" w:cs="Times New Roman"/>
          <w:sz w:val="24"/>
          <w:szCs w:val="24"/>
        </w:rPr>
        <w:t>ț</w:t>
      </w:r>
      <w:r w:rsidRPr="00EA1BB2">
        <w:rPr>
          <w:rFonts w:ascii="Cambria" w:hAnsi="Cambria" w:cs="Times New Roman"/>
          <w:sz w:val="24"/>
          <w:szCs w:val="24"/>
        </w:rPr>
        <w:t>ii popula</w:t>
      </w:r>
      <w:r w:rsidR="00054880" w:rsidRPr="00EA1BB2">
        <w:rPr>
          <w:rFonts w:ascii="Cambria" w:hAnsi="Cambria" w:cs="Times New Roman"/>
          <w:sz w:val="24"/>
          <w:szCs w:val="24"/>
        </w:rPr>
        <w:t>ț</w:t>
      </w:r>
      <w:r w:rsidRPr="00EA1BB2">
        <w:rPr>
          <w:rFonts w:ascii="Cambria" w:hAnsi="Cambria" w:cs="Times New Roman"/>
          <w:sz w:val="24"/>
          <w:szCs w:val="24"/>
        </w:rPr>
        <w:t xml:space="preserve">iei </w:t>
      </w:r>
    </w:p>
    <w:p w14:paraId="4F79478C" w14:textId="77777777" w:rsidR="00343667" w:rsidRPr="00EA1BB2" w:rsidRDefault="00343667" w:rsidP="00343667">
      <w:pPr>
        <w:spacing w:line="360" w:lineRule="auto"/>
        <w:ind w:firstLine="705"/>
        <w:jc w:val="both"/>
        <w:rPr>
          <w:rFonts w:ascii="Cambria" w:hAnsi="Cambria" w:cs="Times New Roman"/>
          <w:sz w:val="24"/>
          <w:szCs w:val="24"/>
        </w:rPr>
      </w:pPr>
      <w:r w:rsidRPr="00EA1BB2">
        <w:rPr>
          <w:rFonts w:ascii="Cambria" w:hAnsi="Cambria" w:cs="Times New Roman"/>
          <w:sz w:val="24"/>
          <w:szCs w:val="24"/>
        </w:rPr>
        <w:t>Este un gaz toxic, în concentra</w:t>
      </w:r>
      <w:r w:rsidR="00054880" w:rsidRPr="00EA1BB2">
        <w:rPr>
          <w:rFonts w:ascii="Cambria" w:hAnsi="Cambria" w:cs="Times New Roman"/>
          <w:sz w:val="24"/>
          <w:szCs w:val="24"/>
        </w:rPr>
        <w:t>ț</w:t>
      </w:r>
      <w:r w:rsidRPr="00EA1BB2">
        <w:rPr>
          <w:rFonts w:ascii="Cambria" w:hAnsi="Cambria" w:cs="Times New Roman"/>
          <w:sz w:val="24"/>
          <w:szCs w:val="24"/>
        </w:rPr>
        <w:t>ii mari fiind letal (la concentra</w:t>
      </w:r>
      <w:r w:rsidR="00054880" w:rsidRPr="00EA1BB2">
        <w:rPr>
          <w:rFonts w:ascii="Cambria" w:hAnsi="Cambria" w:cs="Times New Roman"/>
          <w:sz w:val="24"/>
          <w:szCs w:val="24"/>
        </w:rPr>
        <w:t>ț</w:t>
      </w:r>
      <w:r w:rsidRPr="00EA1BB2">
        <w:rPr>
          <w:rFonts w:ascii="Cambria" w:hAnsi="Cambria" w:cs="Times New Roman"/>
          <w:sz w:val="24"/>
          <w:szCs w:val="24"/>
        </w:rPr>
        <w:t>ii de aproximativ 100 mg/m</w:t>
      </w:r>
      <w:r w:rsidRPr="00EA1BB2">
        <w:rPr>
          <w:rFonts w:ascii="Cambria" w:hAnsi="Cambria" w:cs="Times New Roman"/>
          <w:sz w:val="24"/>
          <w:szCs w:val="24"/>
          <w:vertAlign w:val="superscript"/>
        </w:rPr>
        <w:t>3</w:t>
      </w:r>
      <w:r w:rsidRPr="00EA1BB2">
        <w:rPr>
          <w:rFonts w:ascii="Cambria" w:hAnsi="Cambria" w:cs="Times New Roman"/>
          <w:sz w:val="24"/>
          <w:szCs w:val="24"/>
        </w:rPr>
        <w:t>) prin reducerea capacită</w:t>
      </w:r>
      <w:r w:rsidR="00054880" w:rsidRPr="00EA1BB2">
        <w:rPr>
          <w:rFonts w:ascii="Cambria" w:hAnsi="Cambria" w:cs="Times New Roman"/>
          <w:sz w:val="24"/>
          <w:szCs w:val="24"/>
        </w:rPr>
        <w:t>ț</w:t>
      </w:r>
      <w:r w:rsidRPr="00EA1BB2">
        <w:rPr>
          <w:rFonts w:ascii="Cambria" w:hAnsi="Cambria" w:cs="Times New Roman"/>
          <w:sz w:val="24"/>
          <w:szCs w:val="24"/>
        </w:rPr>
        <w:t>ii de transport a oxigenului în sânge, cu consecin</w:t>
      </w:r>
      <w:r w:rsidR="00054880" w:rsidRPr="00EA1BB2">
        <w:rPr>
          <w:rFonts w:ascii="Cambria" w:hAnsi="Cambria" w:cs="Times New Roman"/>
          <w:sz w:val="24"/>
          <w:szCs w:val="24"/>
        </w:rPr>
        <w:t>ț</w:t>
      </w:r>
      <w:r w:rsidRPr="00EA1BB2">
        <w:rPr>
          <w:rFonts w:ascii="Cambria" w:hAnsi="Cambria" w:cs="Times New Roman"/>
          <w:sz w:val="24"/>
          <w:szCs w:val="24"/>
        </w:rPr>
        <w:t xml:space="preserve">e asupra sistemului respirator </w:t>
      </w:r>
      <w:r w:rsidR="00054880" w:rsidRPr="00EA1BB2">
        <w:rPr>
          <w:rFonts w:ascii="Cambria" w:hAnsi="Cambria" w:cs="Times New Roman"/>
          <w:sz w:val="24"/>
          <w:szCs w:val="24"/>
        </w:rPr>
        <w:t>ș</w:t>
      </w:r>
      <w:r w:rsidRPr="00EA1BB2">
        <w:rPr>
          <w:rFonts w:ascii="Cambria" w:hAnsi="Cambria" w:cs="Times New Roman"/>
          <w:sz w:val="24"/>
          <w:szCs w:val="24"/>
        </w:rPr>
        <w:t>i a sistemului cardiovascular.</w:t>
      </w:r>
    </w:p>
    <w:p w14:paraId="7ABAA444" w14:textId="77777777" w:rsidR="00343667" w:rsidRPr="00EA1BB2" w:rsidRDefault="00343667" w:rsidP="00343667">
      <w:pPr>
        <w:spacing w:line="360" w:lineRule="auto"/>
        <w:ind w:firstLine="705"/>
        <w:jc w:val="both"/>
        <w:rPr>
          <w:rFonts w:ascii="Cambria" w:hAnsi="Cambria" w:cs="Times New Roman"/>
          <w:sz w:val="24"/>
          <w:szCs w:val="24"/>
        </w:rPr>
      </w:pPr>
      <w:r w:rsidRPr="00EA1BB2">
        <w:rPr>
          <w:rFonts w:ascii="Cambria" w:hAnsi="Cambria" w:cs="Times New Roman"/>
          <w:sz w:val="24"/>
          <w:szCs w:val="24"/>
        </w:rPr>
        <w:t>La concentra</w:t>
      </w:r>
      <w:r w:rsidR="00054880" w:rsidRPr="00EA1BB2">
        <w:rPr>
          <w:rFonts w:ascii="Cambria" w:hAnsi="Cambria" w:cs="Times New Roman"/>
          <w:sz w:val="24"/>
          <w:szCs w:val="24"/>
        </w:rPr>
        <w:t>ț</w:t>
      </w:r>
      <w:r w:rsidRPr="00EA1BB2">
        <w:rPr>
          <w:rFonts w:ascii="Cambria" w:hAnsi="Cambria" w:cs="Times New Roman"/>
          <w:sz w:val="24"/>
          <w:szCs w:val="24"/>
        </w:rPr>
        <w:t>ii relativ scăzute:</w:t>
      </w:r>
    </w:p>
    <w:p w14:paraId="653CBFCF" w14:textId="77777777" w:rsidR="00343667" w:rsidRPr="00EA1BB2" w:rsidRDefault="00343667" w:rsidP="003A520C">
      <w:pPr>
        <w:numPr>
          <w:ilvl w:val="0"/>
          <w:numId w:val="28"/>
        </w:numPr>
        <w:spacing w:line="360" w:lineRule="auto"/>
        <w:contextualSpacing/>
        <w:jc w:val="both"/>
        <w:rPr>
          <w:rFonts w:ascii="Cambria" w:hAnsi="Cambria" w:cs="Times New Roman"/>
          <w:sz w:val="24"/>
          <w:szCs w:val="24"/>
        </w:rPr>
      </w:pPr>
      <w:r w:rsidRPr="00EA1BB2">
        <w:rPr>
          <w:rFonts w:ascii="Cambria" w:hAnsi="Cambria" w:cs="Times New Roman"/>
          <w:sz w:val="24"/>
          <w:szCs w:val="24"/>
        </w:rPr>
        <w:t>afectează sistemul nervos central;</w:t>
      </w:r>
    </w:p>
    <w:p w14:paraId="669752D2" w14:textId="77777777" w:rsidR="00343667" w:rsidRPr="00EA1BB2" w:rsidRDefault="00343667" w:rsidP="003A520C">
      <w:pPr>
        <w:numPr>
          <w:ilvl w:val="0"/>
          <w:numId w:val="28"/>
        </w:numPr>
        <w:spacing w:line="360" w:lineRule="auto"/>
        <w:contextualSpacing/>
        <w:jc w:val="both"/>
        <w:rPr>
          <w:rFonts w:ascii="Cambria" w:hAnsi="Cambria" w:cs="Times New Roman"/>
          <w:sz w:val="24"/>
          <w:szCs w:val="24"/>
        </w:rPr>
      </w:pPr>
      <w:r w:rsidRPr="00EA1BB2">
        <w:rPr>
          <w:rFonts w:ascii="Cambria" w:hAnsi="Cambria" w:cs="Times New Roman"/>
          <w:sz w:val="24"/>
          <w:szCs w:val="24"/>
        </w:rPr>
        <w:t>slăbe</w:t>
      </w:r>
      <w:r w:rsidR="00054880" w:rsidRPr="00EA1BB2">
        <w:rPr>
          <w:rFonts w:ascii="Cambria" w:hAnsi="Cambria" w:cs="Times New Roman"/>
          <w:sz w:val="24"/>
          <w:szCs w:val="24"/>
        </w:rPr>
        <w:t>ș</w:t>
      </w:r>
      <w:r w:rsidRPr="00EA1BB2">
        <w:rPr>
          <w:rFonts w:ascii="Cambria" w:hAnsi="Cambria" w:cs="Times New Roman"/>
          <w:sz w:val="24"/>
          <w:szCs w:val="24"/>
        </w:rPr>
        <w:t>te pulsul inimii, mic</w:t>
      </w:r>
      <w:r w:rsidR="00054880" w:rsidRPr="00EA1BB2">
        <w:rPr>
          <w:rFonts w:ascii="Cambria" w:hAnsi="Cambria" w:cs="Times New Roman"/>
          <w:sz w:val="24"/>
          <w:szCs w:val="24"/>
        </w:rPr>
        <w:t>ș</w:t>
      </w:r>
      <w:r w:rsidRPr="00EA1BB2">
        <w:rPr>
          <w:rFonts w:ascii="Cambria" w:hAnsi="Cambria" w:cs="Times New Roman"/>
          <w:sz w:val="24"/>
          <w:szCs w:val="24"/>
        </w:rPr>
        <w:t>orând astfel volumul de sânge distribuit în organism;</w:t>
      </w:r>
    </w:p>
    <w:p w14:paraId="56512E56" w14:textId="77777777" w:rsidR="00343667" w:rsidRPr="00EA1BB2" w:rsidRDefault="00343667" w:rsidP="003A520C">
      <w:pPr>
        <w:numPr>
          <w:ilvl w:val="0"/>
          <w:numId w:val="28"/>
        </w:numPr>
        <w:spacing w:line="360" w:lineRule="auto"/>
        <w:contextualSpacing/>
        <w:jc w:val="both"/>
        <w:rPr>
          <w:rFonts w:ascii="Cambria" w:hAnsi="Cambria" w:cs="Times New Roman"/>
          <w:sz w:val="24"/>
          <w:szCs w:val="24"/>
        </w:rPr>
      </w:pPr>
      <w:r w:rsidRPr="00EA1BB2">
        <w:rPr>
          <w:rFonts w:ascii="Cambria" w:hAnsi="Cambria" w:cs="Times New Roman"/>
          <w:sz w:val="24"/>
          <w:szCs w:val="24"/>
        </w:rPr>
        <w:t xml:space="preserve">reduce acuitatea vizuală </w:t>
      </w:r>
      <w:r w:rsidR="00054880" w:rsidRPr="00EA1BB2">
        <w:rPr>
          <w:rFonts w:ascii="Cambria" w:hAnsi="Cambria" w:cs="Times New Roman"/>
          <w:sz w:val="24"/>
          <w:szCs w:val="24"/>
        </w:rPr>
        <w:t>ș</w:t>
      </w:r>
      <w:r w:rsidRPr="00EA1BB2">
        <w:rPr>
          <w:rFonts w:ascii="Cambria" w:hAnsi="Cambria" w:cs="Times New Roman"/>
          <w:sz w:val="24"/>
          <w:szCs w:val="24"/>
        </w:rPr>
        <w:t>i capacitatea fizică;</w:t>
      </w:r>
    </w:p>
    <w:p w14:paraId="036B703D" w14:textId="77777777" w:rsidR="00343667" w:rsidRPr="00EA1BB2" w:rsidRDefault="00343667" w:rsidP="003A520C">
      <w:pPr>
        <w:numPr>
          <w:ilvl w:val="0"/>
          <w:numId w:val="28"/>
        </w:numPr>
        <w:spacing w:line="360" w:lineRule="auto"/>
        <w:contextualSpacing/>
        <w:jc w:val="both"/>
        <w:rPr>
          <w:rFonts w:ascii="Cambria" w:hAnsi="Cambria" w:cs="Times New Roman"/>
          <w:sz w:val="24"/>
          <w:szCs w:val="24"/>
        </w:rPr>
      </w:pPr>
      <w:r w:rsidRPr="00EA1BB2">
        <w:rPr>
          <w:rFonts w:ascii="Cambria" w:hAnsi="Cambria" w:cs="Times New Roman"/>
          <w:sz w:val="24"/>
          <w:szCs w:val="24"/>
        </w:rPr>
        <w:t>expunerea pe o perioada scurtă poate cauza oboseala acută;</w:t>
      </w:r>
    </w:p>
    <w:p w14:paraId="4BBD8337" w14:textId="77777777" w:rsidR="00343667" w:rsidRPr="00EA1BB2" w:rsidRDefault="00343667" w:rsidP="003A520C">
      <w:pPr>
        <w:numPr>
          <w:ilvl w:val="0"/>
          <w:numId w:val="28"/>
        </w:numPr>
        <w:spacing w:line="360" w:lineRule="auto"/>
        <w:contextualSpacing/>
        <w:jc w:val="both"/>
        <w:rPr>
          <w:rFonts w:ascii="Cambria" w:hAnsi="Cambria" w:cs="Times New Roman"/>
          <w:sz w:val="24"/>
          <w:szCs w:val="24"/>
        </w:rPr>
      </w:pPr>
      <w:r w:rsidRPr="00EA1BB2">
        <w:rPr>
          <w:rFonts w:ascii="Cambria" w:hAnsi="Cambria" w:cs="Times New Roman"/>
          <w:sz w:val="24"/>
          <w:szCs w:val="24"/>
        </w:rPr>
        <w:t>poate cauza dificultă</w:t>
      </w:r>
      <w:r w:rsidR="00054880" w:rsidRPr="00EA1BB2">
        <w:rPr>
          <w:rFonts w:ascii="Cambria" w:hAnsi="Cambria" w:cs="Times New Roman"/>
          <w:sz w:val="24"/>
          <w:szCs w:val="24"/>
        </w:rPr>
        <w:t>ț</w:t>
      </w:r>
      <w:r w:rsidRPr="00EA1BB2">
        <w:rPr>
          <w:rFonts w:ascii="Cambria" w:hAnsi="Cambria" w:cs="Times New Roman"/>
          <w:sz w:val="24"/>
          <w:szCs w:val="24"/>
        </w:rPr>
        <w:t xml:space="preserve">i respiratorii </w:t>
      </w:r>
      <w:r w:rsidR="00054880" w:rsidRPr="00EA1BB2">
        <w:rPr>
          <w:rFonts w:ascii="Cambria" w:hAnsi="Cambria" w:cs="Times New Roman"/>
          <w:sz w:val="24"/>
          <w:szCs w:val="24"/>
        </w:rPr>
        <w:t>ș</w:t>
      </w:r>
      <w:r w:rsidRPr="00EA1BB2">
        <w:rPr>
          <w:rFonts w:ascii="Cambria" w:hAnsi="Cambria" w:cs="Times New Roman"/>
          <w:sz w:val="24"/>
          <w:szCs w:val="24"/>
        </w:rPr>
        <w:t>i dureri în piept persoanelor cu boli cardiovasculare;</w:t>
      </w:r>
    </w:p>
    <w:p w14:paraId="405FB184" w14:textId="77777777" w:rsidR="00343667" w:rsidRPr="00EA1BB2" w:rsidRDefault="00343667" w:rsidP="003A520C">
      <w:pPr>
        <w:numPr>
          <w:ilvl w:val="0"/>
          <w:numId w:val="28"/>
        </w:numPr>
        <w:spacing w:line="360" w:lineRule="auto"/>
        <w:contextualSpacing/>
        <w:jc w:val="both"/>
        <w:rPr>
          <w:rFonts w:ascii="Cambria" w:hAnsi="Cambria" w:cs="Times New Roman"/>
          <w:sz w:val="24"/>
          <w:szCs w:val="24"/>
        </w:rPr>
      </w:pPr>
      <w:r w:rsidRPr="00EA1BB2">
        <w:rPr>
          <w:rFonts w:ascii="Cambria" w:hAnsi="Cambria" w:cs="Times New Roman"/>
          <w:sz w:val="24"/>
          <w:szCs w:val="24"/>
        </w:rPr>
        <w:t>determină iritabilitate, migrene, respira</w:t>
      </w:r>
      <w:r w:rsidR="00054880" w:rsidRPr="00EA1BB2">
        <w:rPr>
          <w:rFonts w:ascii="Cambria" w:hAnsi="Cambria" w:cs="Times New Roman"/>
          <w:sz w:val="24"/>
          <w:szCs w:val="24"/>
        </w:rPr>
        <w:t>ț</w:t>
      </w:r>
      <w:r w:rsidRPr="00EA1BB2">
        <w:rPr>
          <w:rFonts w:ascii="Cambria" w:hAnsi="Cambria" w:cs="Times New Roman"/>
          <w:sz w:val="24"/>
          <w:szCs w:val="24"/>
        </w:rPr>
        <w:t>ie rapidă, lipsă de coordonare, grea</w:t>
      </w:r>
      <w:r w:rsidR="00054880" w:rsidRPr="00EA1BB2">
        <w:rPr>
          <w:rFonts w:ascii="Cambria" w:hAnsi="Cambria" w:cs="Times New Roman"/>
          <w:sz w:val="24"/>
          <w:szCs w:val="24"/>
        </w:rPr>
        <w:t>ț</w:t>
      </w:r>
      <w:r w:rsidRPr="00EA1BB2">
        <w:rPr>
          <w:rFonts w:ascii="Cambria" w:hAnsi="Cambria" w:cs="Times New Roman"/>
          <w:sz w:val="24"/>
          <w:szCs w:val="24"/>
        </w:rPr>
        <w:t>ă, ame</w:t>
      </w:r>
      <w:r w:rsidR="00054880" w:rsidRPr="00EA1BB2">
        <w:rPr>
          <w:rFonts w:ascii="Cambria" w:hAnsi="Cambria" w:cs="Times New Roman"/>
          <w:sz w:val="24"/>
          <w:szCs w:val="24"/>
        </w:rPr>
        <w:t>ț</w:t>
      </w:r>
      <w:r w:rsidRPr="00EA1BB2">
        <w:rPr>
          <w:rFonts w:ascii="Cambria" w:hAnsi="Cambria" w:cs="Times New Roman"/>
          <w:sz w:val="24"/>
          <w:szCs w:val="24"/>
        </w:rPr>
        <w:t>eală, confuzie, reduce capacitatea de concentrare.</w:t>
      </w:r>
    </w:p>
    <w:p w14:paraId="3229FB4E" w14:textId="77777777" w:rsidR="00343667" w:rsidRPr="00EA1BB2" w:rsidRDefault="00343667" w:rsidP="00343667">
      <w:pPr>
        <w:spacing w:line="360" w:lineRule="auto"/>
        <w:ind w:firstLine="709"/>
        <w:jc w:val="both"/>
        <w:rPr>
          <w:rFonts w:ascii="Cambria" w:hAnsi="Cambria" w:cs="Times New Roman"/>
          <w:sz w:val="24"/>
          <w:szCs w:val="24"/>
        </w:rPr>
      </w:pPr>
      <w:r w:rsidRPr="00EA1BB2">
        <w:rPr>
          <w:rFonts w:ascii="Cambria" w:hAnsi="Cambria" w:cs="Times New Roman"/>
          <w:sz w:val="24"/>
          <w:szCs w:val="24"/>
        </w:rPr>
        <w:t>Segmentul de popula</w:t>
      </w:r>
      <w:r w:rsidR="00054880" w:rsidRPr="00EA1BB2">
        <w:rPr>
          <w:rFonts w:ascii="Cambria" w:hAnsi="Cambria" w:cs="Times New Roman"/>
          <w:sz w:val="24"/>
          <w:szCs w:val="24"/>
        </w:rPr>
        <w:t>ț</w:t>
      </w:r>
      <w:r w:rsidRPr="00EA1BB2">
        <w:rPr>
          <w:rFonts w:ascii="Cambria" w:hAnsi="Cambria" w:cs="Times New Roman"/>
          <w:sz w:val="24"/>
          <w:szCs w:val="24"/>
        </w:rPr>
        <w:t xml:space="preserve">ie cel mai afectat de expunerea la monoxid de carbon îl reprezintă: copiii, vârstnicii, persoanele cu boli respiratorii </w:t>
      </w:r>
      <w:r w:rsidR="00054880" w:rsidRPr="00EA1BB2">
        <w:rPr>
          <w:rFonts w:ascii="Cambria" w:hAnsi="Cambria" w:cs="Times New Roman"/>
          <w:sz w:val="24"/>
          <w:szCs w:val="24"/>
        </w:rPr>
        <w:t>ș</w:t>
      </w:r>
      <w:r w:rsidRPr="00EA1BB2">
        <w:rPr>
          <w:rFonts w:ascii="Cambria" w:hAnsi="Cambria" w:cs="Times New Roman"/>
          <w:sz w:val="24"/>
          <w:szCs w:val="24"/>
        </w:rPr>
        <w:t>i cardiovasculare, persoanele anemice, fumătorii.</w:t>
      </w:r>
    </w:p>
    <w:p w14:paraId="0F9ABDD3" w14:textId="77777777" w:rsidR="00343667" w:rsidRPr="00EA1BB2" w:rsidRDefault="00343667" w:rsidP="003A520C">
      <w:pPr>
        <w:numPr>
          <w:ilvl w:val="0"/>
          <w:numId w:val="27"/>
        </w:numPr>
        <w:spacing w:line="360" w:lineRule="auto"/>
        <w:contextualSpacing/>
        <w:jc w:val="both"/>
        <w:rPr>
          <w:rFonts w:ascii="Cambria" w:hAnsi="Cambria" w:cs="Times New Roman"/>
          <w:sz w:val="24"/>
          <w:szCs w:val="24"/>
        </w:rPr>
      </w:pPr>
      <w:r w:rsidRPr="00EA1BB2">
        <w:rPr>
          <w:rFonts w:ascii="Cambria" w:hAnsi="Cambria" w:cs="Times New Roman"/>
          <w:sz w:val="24"/>
          <w:szCs w:val="24"/>
        </w:rPr>
        <w:t>Efecte asupra plantelor</w:t>
      </w:r>
    </w:p>
    <w:p w14:paraId="0FA6CF6E" w14:textId="49B8DBA3" w:rsidR="00BE0BB8" w:rsidRPr="00EA1BB2" w:rsidRDefault="00343667" w:rsidP="00042796">
      <w:pPr>
        <w:spacing w:line="360" w:lineRule="auto"/>
        <w:ind w:firstLine="705"/>
        <w:jc w:val="both"/>
        <w:rPr>
          <w:rFonts w:ascii="Cambria" w:hAnsi="Cambria" w:cs="Times New Roman"/>
          <w:sz w:val="24"/>
          <w:szCs w:val="24"/>
        </w:rPr>
      </w:pPr>
      <w:r w:rsidRPr="00EA1BB2">
        <w:rPr>
          <w:rFonts w:ascii="Cambria" w:hAnsi="Cambria" w:cs="Times New Roman"/>
          <w:sz w:val="24"/>
          <w:szCs w:val="24"/>
        </w:rPr>
        <w:t>La concentra</w:t>
      </w:r>
      <w:r w:rsidR="00054880" w:rsidRPr="00EA1BB2">
        <w:rPr>
          <w:rFonts w:ascii="Cambria" w:hAnsi="Cambria" w:cs="Times New Roman"/>
          <w:sz w:val="24"/>
          <w:szCs w:val="24"/>
        </w:rPr>
        <w:t>ț</w:t>
      </w:r>
      <w:r w:rsidRPr="00EA1BB2">
        <w:rPr>
          <w:rFonts w:ascii="Cambria" w:hAnsi="Cambria" w:cs="Times New Roman"/>
          <w:sz w:val="24"/>
          <w:szCs w:val="24"/>
        </w:rPr>
        <w:t>ii monitorizate în mod obi</w:t>
      </w:r>
      <w:r w:rsidR="00054880" w:rsidRPr="00EA1BB2">
        <w:rPr>
          <w:rFonts w:ascii="Cambria" w:hAnsi="Cambria" w:cs="Times New Roman"/>
          <w:sz w:val="24"/>
          <w:szCs w:val="24"/>
        </w:rPr>
        <w:t>ș</w:t>
      </w:r>
      <w:r w:rsidRPr="00EA1BB2">
        <w:rPr>
          <w:rFonts w:ascii="Cambria" w:hAnsi="Cambria" w:cs="Times New Roman"/>
          <w:sz w:val="24"/>
          <w:szCs w:val="24"/>
        </w:rPr>
        <w:t>nuit în atmosferă nu are efecte asupra plantelor, animalelor sau mediului.</w:t>
      </w:r>
    </w:p>
    <w:p w14:paraId="0D706E0E" w14:textId="79844C85" w:rsidR="00BE0BB8" w:rsidRPr="00EA1BB2" w:rsidRDefault="000970C9" w:rsidP="00585E25">
      <w:pPr>
        <w:keepNext/>
        <w:spacing w:line="360" w:lineRule="auto"/>
        <w:ind w:firstLine="708"/>
        <w:jc w:val="both"/>
        <w:rPr>
          <w:rFonts w:ascii="Cambria" w:hAnsi="Cambria" w:cs="Times New Roman"/>
          <w:sz w:val="24"/>
          <w:szCs w:val="24"/>
        </w:rPr>
      </w:pPr>
      <w:bookmarkStart w:id="168" w:name="_Toc459107326"/>
      <w:bookmarkStart w:id="169" w:name="_Toc463955793"/>
      <w:bookmarkStart w:id="170" w:name="_Toc526889801"/>
      <w:r w:rsidRPr="00EA1BB2">
        <w:rPr>
          <w:rFonts w:ascii="Cambria" w:eastAsia="Calibri" w:hAnsi="Cambria" w:cs="Times New Roman"/>
          <w:b/>
          <w:iCs/>
          <w:sz w:val="24"/>
          <w:szCs w:val="24"/>
        </w:rPr>
        <w:t xml:space="preserve">Tabelul nr. </w:t>
      </w:r>
      <w:r w:rsidR="000A2FE7" w:rsidRPr="00EA1BB2">
        <w:rPr>
          <w:rFonts w:ascii="Cambria" w:eastAsia="Calibri" w:hAnsi="Cambria" w:cs="Times New Roman"/>
          <w:b/>
          <w:iCs/>
          <w:sz w:val="24"/>
          <w:szCs w:val="24"/>
        </w:rPr>
        <w:fldChar w:fldCharType="begin"/>
      </w:r>
      <w:r w:rsidR="000A2FE7" w:rsidRPr="00EA1BB2">
        <w:rPr>
          <w:rFonts w:ascii="Cambria" w:eastAsia="Calibri" w:hAnsi="Cambria" w:cs="Times New Roman"/>
          <w:b/>
          <w:iCs/>
          <w:sz w:val="24"/>
          <w:szCs w:val="24"/>
        </w:rPr>
        <w:instrText xml:space="preserve"> STYLEREF 1 \s </w:instrText>
      </w:r>
      <w:r w:rsidR="000A2FE7" w:rsidRPr="00EA1BB2">
        <w:rPr>
          <w:rFonts w:ascii="Cambria" w:eastAsia="Calibri" w:hAnsi="Cambria" w:cs="Times New Roman"/>
          <w:b/>
          <w:iCs/>
          <w:sz w:val="24"/>
          <w:szCs w:val="24"/>
        </w:rPr>
        <w:fldChar w:fldCharType="separate"/>
      </w:r>
      <w:r w:rsidR="00567555">
        <w:rPr>
          <w:rFonts w:ascii="Cambria" w:eastAsia="Calibri" w:hAnsi="Cambria" w:cs="Times New Roman"/>
          <w:b/>
          <w:iCs/>
          <w:noProof/>
          <w:sz w:val="24"/>
          <w:szCs w:val="24"/>
        </w:rPr>
        <w:t>3</w:t>
      </w:r>
      <w:r w:rsidR="000A2FE7" w:rsidRPr="00EA1BB2">
        <w:rPr>
          <w:rFonts w:ascii="Cambria" w:eastAsia="Calibri" w:hAnsi="Cambria" w:cs="Times New Roman"/>
          <w:b/>
          <w:iCs/>
          <w:sz w:val="24"/>
          <w:szCs w:val="24"/>
        </w:rPr>
        <w:fldChar w:fldCharType="end"/>
      </w:r>
      <w:r w:rsidR="000A2FE7" w:rsidRPr="00EA1BB2">
        <w:rPr>
          <w:rFonts w:ascii="Cambria" w:eastAsia="Calibri" w:hAnsi="Cambria" w:cs="Times New Roman"/>
          <w:b/>
          <w:iCs/>
          <w:sz w:val="24"/>
          <w:szCs w:val="24"/>
        </w:rPr>
        <w:noBreakHyphen/>
      </w:r>
      <w:r w:rsidR="000A2FE7" w:rsidRPr="00EA1BB2">
        <w:rPr>
          <w:rFonts w:ascii="Cambria" w:eastAsia="Calibri" w:hAnsi="Cambria" w:cs="Times New Roman"/>
          <w:b/>
          <w:iCs/>
          <w:sz w:val="24"/>
          <w:szCs w:val="24"/>
        </w:rPr>
        <w:fldChar w:fldCharType="begin"/>
      </w:r>
      <w:r w:rsidR="000A2FE7" w:rsidRPr="00EA1BB2">
        <w:rPr>
          <w:rFonts w:ascii="Cambria" w:eastAsia="Calibri" w:hAnsi="Cambria" w:cs="Times New Roman"/>
          <w:b/>
          <w:iCs/>
          <w:sz w:val="24"/>
          <w:szCs w:val="24"/>
        </w:rPr>
        <w:instrText xml:space="preserve"> SEQ Tabelul_nr. \* ARABIC \s 1 </w:instrText>
      </w:r>
      <w:r w:rsidR="000A2FE7" w:rsidRPr="00EA1BB2">
        <w:rPr>
          <w:rFonts w:ascii="Cambria" w:eastAsia="Calibri" w:hAnsi="Cambria" w:cs="Times New Roman"/>
          <w:b/>
          <w:iCs/>
          <w:sz w:val="24"/>
          <w:szCs w:val="24"/>
        </w:rPr>
        <w:fldChar w:fldCharType="separate"/>
      </w:r>
      <w:r w:rsidR="00567555">
        <w:rPr>
          <w:rFonts w:ascii="Cambria" w:eastAsia="Calibri" w:hAnsi="Cambria" w:cs="Times New Roman"/>
          <w:b/>
          <w:iCs/>
          <w:noProof/>
          <w:sz w:val="24"/>
          <w:szCs w:val="24"/>
        </w:rPr>
        <w:t>32</w:t>
      </w:r>
      <w:r w:rsidR="000A2FE7" w:rsidRPr="00EA1BB2">
        <w:rPr>
          <w:rFonts w:ascii="Cambria" w:eastAsia="Calibri" w:hAnsi="Cambria" w:cs="Times New Roman"/>
          <w:b/>
          <w:iCs/>
          <w:sz w:val="24"/>
          <w:szCs w:val="24"/>
        </w:rPr>
        <w:fldChar w:fldCharType="end"/>
      </w:r>
      <w:r w:rsidRPr="00EA1BB2">
        <w:rPr>
          <w:rFonts w:ascii="Cambria" w:eastAsia="Calibri" w:hAnsi="Cambria" w:cs="Times New Roman"/>
          <w:b/>
          <w:iCs/>
          <w:sz w:val="24"/>
          <w:szCs w:val="24"/>
        </w:rPr>
        <w:t xml:space="preserve"> - </w:t>
      </w:r>
      <w:r w:rsidR="00B46084" w:rsidRPr="00EA1BB2">
        <w:rPr>
          <w:rFonts w:ascii="Cambria" w:eastAsia="Times New Roman" w:hAnsi="Cambria" w:cs="Times New Roman"/>
          <w:b/>
          <w:sz w:val="24"/>
          <w:szCs w:val="24"/>
        </w:rPr>
        <w:t>Cerin</w:t>
      </w:r>
      <w:r w:rsidR="00054880" w:rsidRPr="00EA1BB2">
        <w:rPr>
          <w:rFonts w:ascii="Cambria" w:eastAsia="Times New Roman" w:hAnsi="Cambria" w:cs="Times New Roman"/>
          <w:b/>
          <w:sz w:val="24"/>
          <w:szCs w:val="24"/>
        </w:rPr>
        <w:t>ț</w:t>
      </w:r>
      <w:r w:rsidR="00B46084" w:rsidRPr="00EA1BB2">
        <w:rPr>
          <w:rFonts w:ascii="Cambria" w:eastAsia="Times New Roman" w:hAnsi="Cambria" w:cs="Times New Roman"/>
          <w:b/>
          <w:sz w:val="24"/>
          <w:szCs w:val="24"/>
        </w:rPr>
        <w:t>ele pentru evaluarea concentra</w:t>
      </w:r>
      <w:r w:rsidR="00054880" w:rsidRPr="00EA1BB2">
        <w:rPr>
          <w:rFonts w:ascii="Cambria" w:eastAsia="Times New Roman" w:hAnsi="Cambria" w:cs="Times New Roman"/>
          <w:b/>
          <w:sz w:val="24"/>
          <w:szCs w:val="24"/>
        </w:rPr>
        <w:t>ț</w:t>
      </w:r>
      <w:r w:rsidR="00B46084" w:rsidRPr="00EA1BB2">
        <w:rPr>
          <w:rFonts w:ascii="Cambria" w:eastAsia="Times New Roman" w:hAnsi="Cambria" w:cs="Times New Roman"/>
          <w:b/>
          <w:sz w:val="24"/>
          <w:szCs w:val="24"/>
        </w:rPr>
        <w:t>iilor de Monoxid</w:t>
      </w:r>
      <w:r w:rsidRPr="00EA1BB2">
        <w:rPr>
          <w:rFonts w:ascii="Cambria" w:eastAsia="Times New Roman" w:hAnsi="Cambria" w:cs="Times New Roman"/>
          <w:b/>
          <w:sz w:val="24"/>
          <w:szCs w:val="24"/>
        </w:rPr>
        <w:t xml:space="preserve"> de carbon (CO)</w:t>
      </w:r>
      <w:bookmarkEnd w:id="168"/>
      <w:bookmarkEnd w:id="169"/>
      <w:bookmarkEnd w:id="170"/>
    </w:p>
    <w:tbl>
      <w:tblPr>
        <w:tblStyle w:val="TableGrid"/>
        <w:tblW w:w="0" w:type="auto"/>
        <w:tblLook w:val="04A0" w:firstRow="1" w:lastRow="0" w:firstColumn="1" w:lastColumn="0" w:noHBand="0" w:noVBand="1"/>
      </w:tblPr>
      <w:tblGrid>
        <w:gridCol w:w="846"/>
        <w:gridCol w:w="2126"/>
        <w:gridCol w:w="6088"/>
      </w:tblGrid>
      <w:tr w:rsidR="00585E25" w:rsidRPr="00EA1BB2" w14:paraId="5A122254" w14:textId="77777777" w:rsidTr="00585E25">
        <w:trPr>
          <w:tblHeader/>
        </w:trPr>
        <w:tc>
          <w:tcPr>
            <w:tcW w:w="846" w:type="dxa"/>
            <w:shd w:val="clear" w:color="auto" w:fill="BDD6EE" w:themeFill="accent1" w:themeFillTint="66"/>
            <w:vAlign w:val="center"/>
          </w:tcPr>
          <w:p w14:paraId="2D3AC051" w14:textId="77777777" w:rsidR="00585E25" w:rsidRPr="00EA1BB2" w:rsidRDefault="00585E25" w:rsidP="00585E25">
            <w:pPr>
              <w:spacing w:line="276" w:lineRule="auto"/>
              <w:jc w:val="center"/>
              <w:rPr>
                <w:rFonts w:ascii="Cambria" w:hAnsi="Cambria" w:cs="Times New Roman"/>
                <w:sz w:val="24"/>
                <w:szCs w:val="24"/>
                <w:lang w:val="ro-RO"/>
              </w:rPr>
            </w:pPr>
            <w:r w:rsidRPr="00EA1BB2">
              <w:rPr>
                <w:rFonts w:ascii="Cambria" w:eastAsia="Times New Roman" w:hAnsi="Cambria" w:cs="Times New Roman"/>
                <w:b/>
                <w:sz w:val="24"/>
                <w:szCs w:val="24"/>
                <w:lang w:val="ro-RO"/>
              </w:rPr>
              <w:t>Nr. crt.</w:t>
            </w:r>
          </w:p>
        </w:tc>
        <w:tc>
          <w:tcPr>
            <w:tcW w:w="2126" w:type="dxa"/>
            <w:shd w:val="clear" w:color="auto" w:fill="BDD6EE" w:themeFill="accent1" w:themeFillTint="66"/>
            <w:vAlign w:val="center"/>
          </w:tcPr>
          <w:p w14:paraId="41F0A3DD" w14:textId="77777777" w:rsidR="00585E25" w:rsidRPr="00EA1BB2" w:rsidRDefault="00585E25" w:rsidP="00585E25">
            <w:pPr>
              <w:spacing w:line="360" w:lineRule="auto"/>
              <w:jc w:val="center"/>
              <w:rPr>
                <w:rFonts w:ascii="Cambria" w:hAnsi="Cambria" w:cs="Times New Roman"/>
                <w:sz w:val="24"/>
                <w:szCs w:val="24"/>
                <w:lang w:val="ro-RO"/>
              </w:rPr>
            </w:pPr>
            <w:r w:rsidRPr="00EA1BB2">
              <w:rPr>
                <w:rFonts w:ascii="Cambria" w:hAnsi="Cambria"/>
                <w:b/>
                <w:sz w:val="24"/>
                <w:szCs w:val="24"/>
                <w:lang w:val="ro-RO"/>
              </w:rPr>
              <w:t>Parametru</w:t>
            </w:r>
          </w:p>
        </w:tc>
        <w:tc>
          <w:tcPr>
            <w:tcW w:w="6088" w:type="dxa"/>
            <w:shd w:val="clear" w:color="auto" w:fill="BDD6EE" w:themeFill="accent1" w:themeFillTint="66"/>
            <w:vAlign w:val="center"/>
          </w:tcPr>
          <w:p w14:paraId="47CB3737" w14:textId="77777777" w:rsidR="00585E25" w:rsidRPr="00EA1BB2" w:rsidRDefault="00585E25" w:rsidP="00585E25">
            <w:pPr>
              <w:spacing w:line="360" w:lineRule="auto"/>
              <w:jc w:val="center"/>
              <w:rPr>
                <w:rFonts w:ascii="Cambria" w:hAnsi="Cambria" w:cs="Times New Roman"/>
                <w:sz w:val="24"/>
                <w:szCs w:val="24"/>
                <w:lang w:val="ro-RO"/>
              </w:rPr>
            </w:pPr>
            <w:r w:rsidRPr="00EA1BB2">
              <w:rPr>
                <w:rFonts w:ascii="Cambria" w:hAnsi="Cambria"/>
                <w:b/>
                <w:sz w:val="24"/>
                <w:szCs w:val="24"/>
                <w:lang w:val="ro-RO"/>
              </w:rPr>
              <w:t>Valoare</w:t>
            </w:r>
          </w:p>
        </w:tc>
      </w:tr>
      <w:tr w:rsidR="00585E25" w:rsidRPr="00EA1BB2" w14:paraId="3DF64F87" w14:textId="77777777" w:rsidTr="00585E25">
        <w:tc>
          <w:tcPr>
            <w:tcW w:w="846" w:type="dxa"/>
            <w:vAlign w:val="center"/>
          </w:tcPr>
          <w:p w14:paraId="04BBD932" w14:textId="77777777" w:rsidR="00585E25" w:rsidRPr="00EA1BB2" w:rsidRDefault="00585E25" w:rsidP="00585E25">
            <w:pPr>
              <w:spacing w:line="360" w:lineRule="auto"/>
              <w:jc w:val="center"/>
              <w:rPr>
                <w:rFonts w:ascii="Cambria" w:hAnsi="Cambria" w:cs="Times New Roman"/>
                <w:sz w:val="24"/>
                <w:szCs w:val="24"/>
                <w:lang w:val="ro-RO"/>
              </w:rPr>
            </w:pPr>
            <w:r w:rsidRPr="00EA1BB2">
              <w:rPr>
                <w:rFonts w:ascii="Cambria" w:eastAsia="Times New Roman" w:hAnsi="Cambria" w:cs="Times New Roman"/>
                <w:sz w:val="24"/>
                <w:szCs w:val="24"/>
                <w:lang w:val="ro-RO"/>
              </w:rPr>
              <w:t>1</w:t>
            </w:r>
          </w:p>
        </w:tc>
        <w:tc>
          <w:tcPr>
            <w:tcW w:w="2126" w:type="dxa"/>
            <w:vAlign w:val="center"/>
          </w:tcPr>
          <w:p w14:paraId="3587FD20" w14:textId="77777777" w:rsidR="00585E25" w:rsidRPr="00EA1BB2" w:rsidRDefault="00585E25" w:rsidP="00585E25">
            <w:pPr>
              <w:spacing w:line="360" w:lineRule="auto"/>
              <w:jc w:val="center"/>
              <w:rPr>
                <w:rFonts w:ascii="Cambria" w:hAnsi="Cambria" w:cs="Times New Roman"/>
                <w:sz w:val="24"/>
                <w:szCs w:val="24"/>
                <w:lang w:val="ro-RO"/>
              </w:rPr>
            </w:pPr>
            <w:r w:rsidRPr="00EA1BB2">
              <w:rPr>
                <w:rFonts w:ascii="Cambria" w:hAnsi="Cambria"/>
                <w:bCs/>
                <w:sz w:val="24"/>
                <w:szCs w:val="24"/>
                <w:lang w:val="ro-RO"/>
              </w:rPr>
              <w:t>Valoare-limită</w:t>
            </w:r>
          </w:p>
        </w:tc>
        <w:tc>
          <w:tcPr>
            <w:tcW w:w="6088" w:type="dxa"/>
            <w:vAlign w:val="center"/>
          </w:tcPr>
          <w:p w14:paraId="3D0683AD" w14:textId="77777777" w:rsidR="00585E25" w:rsidRPr="00EA1BB2" w:rsidRDefault="00585E25" w:rsidP="00585E25">
            <w:pPr>
              <w:spacing w:line="360" w:lineRule="auto"/>
              <w:jc w:val="both"/>
              <w:rPr>
                <w:rFonts w:ascii="Cambria" w:hAnsi="Cambria" w:cs="Times New Roman"/>
                <w:sz w:val="24"/>
                <w:szCs w:val="24"/>
                <w:lang w:val="ro-RO"/>
              </w:rPr>
            </w:pPr>
            <w:r w:rsidRPr="00EA1BB2">
              <w:rPr>
                <w:rFonts w:ascii="Cambria" w:hAnsi="Cambria"/>
                <w:bCs/>
                <w:sz w:val="24"/>
                <w:szCs w:val="24"/>
                <w:lang w:val="ro-RO"/>
              </w:rPr>
              <w:t xml:space="preserve">10 </w:t>
            </w:r>
            <w:r w:rsidRPr="00EA1BB2">
              <w:rPr>
                <w:rFonts w:ascii="Cambria" w:hAnsi="Cambria" w:cs="Times New Roman"/>
                <w:bCs/>
                <w:sz w:val="24"/>
                <w:szCs w:val="24"/>
                <w:lang w:val="ro-RO"/>
              </w:rPr>
              <w:t>m</w:t>
            </w:r>
            <w:r w:rsidRPr="00EA1BB2">
              <w:rPr>
                <w:rFonts w:ascii="Cambria" w:hAnsi="Cambria"/>
                <w:bCs/>
                <w:sz w:val="24"/>
                <w:szCs w:val="24"/>
                <w:lang w:val="ro-RO"/>
              </w:rPr>
              <w:t>g/m</w:t>
            </w:r>
            <w:r w:rsidRPr="00EA1BB2">
              <w:rPr>
                <w:rFonts w:ascii="Cambria" w:hAnsi="Cambria"/>
                <w:bCs/>
                <w:sz w:val="24"/>
                <w:szCs w:val="24"/>
                <w:vertAlign w:val="superscript"/>
                <w:lang w:val="ro-RO"/>
              </w:rPr>
              <w:t>3</w:t>
            </w:r>
            <w:r w:rsidRPr="00EA1BB2">
              <w:rPr>
                <w:rFonts w:ascii="Cambria" w:hAnsi="Cambria"/>
                <w:bCs/>
                <w:sz w:val="24"/>
                <w:szCs w:val="24"/>
                <w:lang w:val="ro-RO"/>
              </w:rPr>
              <w:t xml:space="preserve"> - valoarea-limită pentru protecția sănătății umane (valoarea maximă zilnică a mediilor pe 8 ore)</w:t>
            </w:r>
          </w:p>
        </w:tc>
      </w:tr>
      <w:tr w:rsidR="00585E25" w:rsidRPr="00EA1BB2" w14:paraId="7F699AA4" w14:textId="77777777" w:rsidTr="00585E25">
        <w:tc>
          <w:tcPr>
            <w:tcW w:w="846" w:type="dxa"/>
            <w:vAlign w:val="center"/>
          </w:tcPr>
          <w:p w14:paraId="2D55B30E" w14:textId="77777777" w:rsidR="00585E25" w:rsidRPr="00EA1BB2" w:rsidRDefault="00585E25" w:rsidP="00585E25">
            <w:pPr>
              <w:spacing w:line="360" w:lineRule="auto"/>
              <w:jc w:val="center"/>
              <w:rPr>
                <w:rFonts w:ascii="Cambria" w:hAnsi="Cambria" w:cs="Times New Roman"/>
                <w:sz w:val="24"/>
                <w:szCs w:val="24"/>
                <w:lang w:val="ro-RO"/>
              </w:rPr>
            </w:pPr>
            <w:r w:rsidRPr="00EA1BB2">
              <w:rPr>
                <w:rFonts w:ascii="Cambria" w:eastAsia="Times New Roman" w:hAnsi="Cambria" w:cs="Times New Roman"/>
                <w:sz w:val="24"/>
                <w:szCs w:val="24"/>
                <w:lang w:val="ro-RO"/>
              </w:rPr>
              <w:lastRenderedPageBreak/>
              <w:t>2</w:t>
            </w:r>
          </w:p>
        </w:tc>
        <w:tc>
          <w:tcPr>
            <w:tcW w:w="2126" w:type="dxa"/>
            <w:vAlign w:val="center"/>
          </w:tcPr>
          <w:p w14:paraId="4BC2DEBA" w14:textId="77777777" w:rsidR="00585E25" w:rsidRPr="00EA1BB2" w:rsidRDefault="00585E25" w:rsidP="00585E25">
            <w:pPr>
              <w:spacing w:line="360" w:lineRule="auto"/>
              <w:jc w:val="center"/>
              <w:rPr>
                <w:rFonts w:ascii="Cambria" w:hAnsi="Cambria" w:cs="Times New Roman"/>
                <w:sz w:val="24"/>
                <w:szCs w:val="24"/>
                <w:lang w:val="ro-RO"/>
              </w:rPr>
            </w:pPr>
            <w:r w:rsidRPr="00EA1BB2">
              <w:rPr>
                <w:rFonts w:ascii="Cambria" w:hAnsi="Cambria"/>
                <w:bCs/>
                <w:sz w:val="24"/>
                <w:szCs w:val="24"/>
                <w:lang w:val="ro-RO"/>
              </w:rPr>
              <w:t>Pragul superior de evaluare</w:t>
            </w:r>
          </w:p>
        </w:tc>
        <w:tc>
          <w:tcPr>
            <w:tcW w:w="6088" w:type="dxa"/>
            <w:vAlign w:val="center"/>
          </w:tcPr>
          <w:p w14:paraId="0DE759B8" w14:textId="77777777" w:rsidR="00585E25" w:rsidRPr="00EA1BB2" w:rsidRDefault="00585E25" w:rsidP="00585E25">
            <w:pPr>
              <w:spacing w:line="360" w:lineRule="auto"/>
              <w:jc w:val="both"/>
              <w:rPr>
                <w:rFonts w:ascii="Cambria" w:hAnsi="Cambria" w:cs="Times New Roman"/>
                <w:sz w:val="24"/>
                <w:szCs w:val="24"/>
                <w:lang w:val="ro-RO"/>
              </w:rPr>
            </w:pPr>
            <w:r w:rsidRPr="00EA1BB2">
              <w:rPr>
                <w:rFonts w:ascii="Cambria" w:hAnsi="Cambria"/>
                <w:bCs/>
                <w:sz w:val="24"/>
                <w:szCs w:val="24"/>
                <w:lang w:val="ro-RO"/>
              </w:rPr>
              <w:t>70% din valoarea-limită (7 mg/m</w:t>
            </w:r>
            <w:r w:rsidRPr="00EA1BB2">
              <w:rPr>
                <w:rFonts w:ascii="Cambria" w:hAnsi="Cambria"/>
                <w:bCs/>
                <w:sz w:val="24"/>
                <w:szCs w:val="24"/>
                <w:vertAlign w:val="superscript"/>
                <w:lang w:val="ro-RO"/>
              </w:rPr>
              <w:t>3</w:t>
            </w:r>
            <w:r w:rsidRPr="00EA1BB2">
              <w:rPr>
                <w:rFonts w:ascii="Cambria" w:hAnsi="Cambria"/>
                <w:bCs/>
                <w:sz w:val="24"/>
                <w:szCs w:val="24"/>
                <w:lang w:val="ro-RO"/>
              </w:rPr>
              <w:t>)</w:t>
            </w:r>
          </w:p>
        </w:tc>
      </w:tr>
      <w:tr w:rsidR="00585E25" w:rsidRPr="00EA1BB2" w14:paraId="18E8F237" w14:textId="77777777" w:rsidTr="00585E25">
        <w:tc>
          <w:tcPr>
            <w:tcW w:w="846" w:type="dxa"/>
            <w:vAlign w:val="center"/>
          </w:tcPr>
          <w:p w14:paraId="115E8BA1" w14:textId="77777777" w:rsidR="00585E25" w:rsidRPr="00EA1BB2" w:rsidRDefault="00585E25" w:rsidP="00585E25">
            <w:pPr>
              <w:spacing w:line="360" w:lineRule="auto"/>
              <w:jc w:val="center"/>
              <w:rPr>
                <w:rFonts w:ascii="Cambria" w:hAnsi="Cambria" w:cs="Times New Roman"/>
                <w:sz w:val="24"/>
                <w:szCs w:val="24"/>
                <w:lang w:val="ro-RO"/>
              </w:rPr>
            </w:pPr>
            <w:r w:rsidRPr="00EA1BB2">
              <w:rPr>
                <w:rFonts w:ascii="Cambria" w:eastAsia="Times New Roman" w:hAnsi="Cambria" w:cs="Times New Roman"/>
                <w:sz w:val="24"/>
                <w:szCs w:val="24"/>
                <w:lang w:val="ro-RO"/>
              </w:rPr>
              <w:t>3</w:t>
            </w:r>
          </w:p>
        </w:tc>
        <w:tc>
          <w:tcPr>
            <w:tcW w:w="2126" w:type="dxa"/>
            <w:vAlign w:val="center"/>
          </w:tcPr>
          <w:p w14:paraId="731F5150" w14:textId="77777777" w:rsidR="00585E25" w:rsidRPr="00EA1BB2" w:rsidRDefault="00585E25" w:rsidP="00585E25">
            <w:pPr>
              <w:spacing w:line="360" w:lineRule="auto"/>
              <w:jc w:val="center"/>
              <w:rPr>
                <w:rFonts w:ascii="Cambria" w:hAnsi="Cambria" w:cs="Times New Roman"/>
                <w:sz w:val="24"/>
                <w:szCs w:val="24"/>
                <w:lang w:val="ro-RO"/>
              </w:rPr>
            </w:pPr>
            <w:r w:rsidRPr="00EA1BB2">
              <w:rPr>
                <w:rFonts w:ascii="Cambria" w:hAnsi="Cambria"/>
                <w:bCs/>
                <w:sz w:val="24"/>
                <w:szCs w:val="24"/>
                <w:lang w:val="ro-RO"/>
              </w:rPr>
              <w:t>Pragul inferior de evaluare</w:t>
            </w:r>
          </w:p>
        </w:tc>
        <w:tc>
          <w:tcPr>
            <w:tcW w:w="6088" w:type="dxa"/>
            <w:vAlign w:val="center"/>
          </w:tcPr>
          <w:p w14:paraId="137F6240" w14:textId="77777777" w:rsidR="00585E25" w:rsidRPr="00EA1BB2" w:rsidRDefault="00585E25" w:rsidP="00585E25">
            <w:pPr>
              <w:spacing w:line="360" w:lineRule="auto"/>
              <w:jc w:val="both"/>
              <w:rPr>
                <w:rFonts w:ascii="Cambria" w:hAnsi="Cambria" w:cs="Times New Roman"/>
                <w:sz w:val="24"/>
                <w:szCs w:val="24"/>
                <w:lang w:val="ro-RO"/>
              </w:rPr>
            </w:pPr>
            <w:r w:rsidRPr="00EA1BB2">
              <w:rPr>
                <w:rFonts w:ascii="Cambria" w:hAnsi="Cambria"/>
                <w:bCs/>
                <w:sz w:val="24"/>
                <w:szCs w:val="24"/>
                <w:lang w:val="ro-RO"/>
              </w:rPr>
              <w:t>50% din valoarea-limită anuală (5 mg/m</w:t>
            </w:r>
            <w:r w:rsidRPr="00EA1BB2">
              <w:rPr>
                <w:rFonts w:ascii="Cambria" w:hAnsi="Cambria"/>
                <w:bCs/>
                <w:sz w:val="24"/>
                <w:szCs w:val="24"/>
                <w:vertAlign w:val="superscript"/>
                <w:lang w:val="ro-RO"/>
              </w:rPr>
              <w:t>3</w:t>
            </w:r>
            <w:r w:rsidRPr="00EA1BB2">
              <w:rPr>
                <w:rFonts w:ascii="Cambria" w:hAnsi="Cambria"/>
                <w:bCs/>
                <w:sz w:val="24"/>
                <w:szCs w:val="24"/>
                <w:lang w:val="ro-RO"/>
              </w:rPr>
              <w:t>)</w:t>
            </w:r>
          </w:p>
        </w:tc>
      </w:tr>
    </w:tbl>
    <w:p w14:paraId="3BA0EDF7" w14:textId="77777777" w:rsidR="00585E25" w:rsidRPr="00EA1BB2" w:rsidRDefault="00585E25" w:rsidP="00585E25">
      <w:pPr>
        <w:spacing w:line="276" w:lineRule="auto"/>
        <w:jc w:val="both"/>
        <w:rPr>
          <w:rFonts w:ascii="Cambria" w:hAnsi="Cambria" w:cs="Times New Roman"/>
          <w:sz w:val="24"/>
          <w:szCs w:val="24"/>
        </w:rPr>
      </w:pPr>
      <w:r w:rsidRPr="00EA1BB2">
        <w:rPr>
          <w:rFonts w:ascii="Cambria" w:hAnsi="Cambria" w:cs="Times New Roman"/>
        </w:rPr>
        <w:t xml:space="preserve">sursa: </w:t>
      </w:r>
      <w:hyperlink r:id="rId82" w:history="1">
        <w:r w:rsidRPr="00EA1BB2">
          <w:rPr>
            <w:rStyle w:val="Hyperlink"/>
            <w:rFonts w:ascii="Cambria" w:hAnsi="Cambria" w:cs="Times New Roman"/>
            <w:color w:val="auto"/>
            <w:u w:val="none"/>
          </w:rPr>
          <w:t>http://www.calitateaer.ro/public/assessment-page/pollutants-page/monoxid-carbon-page/?__locale=ro</w:t>
        </w:r>
      </w:hyperlink>
    </w:p>
    <w:p w14:paraId="27D5E93C" w14:textId="77777777" w:rsidR="00585E25" w:rsidRPr="00EA1BB2" w:rsidRDefault="00585E25" w:rsidP="00585E25">
      <w:pPr>
        <w:jc w:val="both"/>
        <w:rPr>
          <w:rFonts w:ascii="Cambria" w:hAnsi="Cambria" w:cs="Times New Roman"/>
          <w:sz w:val="24"/>
          <w:szCs w:val="24"/>
        </w:rPr>
      </w:pPr>
    </w:p>
    <w:p w14:paraId="546167BB" w14:textId="77777777" w:rsidR="000970C9" w:rsidRPr="00EA1BB2" w:rsidRDefault="00570343" w:rsidP="00570343">
      <w:pPr>
        <w:spacing w:line="360" w:lineRule="auto"/>
        <w:ind w:firstLine="708"/>
        <w:jc w:val="both"/>
        <w:rPr>
          <w:rFonts w:ascii="Cambria" w:hAnsi="Cambria" w:cs="Times New Roman"/>
          <w:sz w:val="24"/>
          <w:szCs w:val="24"/>
        </w:rPr>
      </w:pPr>
      <w:r w:rsidRPr="00EA1BB2">
        <w:rPr>
          <w:rFonts w:ascii="Cambria" w:hAnsi="Cambria" w:cs="Times New Roman"/>
          <w:sz w:val="24"/>
          <w:szCs w:val="24"/>
        </w:rPr>
        <w:t>Metoda de referin</w:t>
      </w:r>
      <w:r w:rsidR="00054880" w:rsidRPr="00EA1BB2">
        <w:rPr>
          <w:rFonts w:ascii="Cambria" w:hAnsi="Cambria" w:cs="Times New Roman"/>
          <w:sz w:val="24"/>
          <w:szCs w:val="24"/>
        </w:rPr>
        <w:t>ț</w:t>
      </w:r>
      <w:r w:rsidRPr="00EA1BB2">
        <w:rPr>
          <w:rFonts w:ascii="Cambria" w:hAnsi="Cambria" w:cs="Times New Roman"/>
          <w:sz w:val="24"/>
          <w:szCs w:val="24"/>
        </w:rPr>
        <w:t>ă pentru măsurarea monoxidului de carbon este cea prevăzută în standardul SR EN 14626 „Aer înconjurător. Metodă standardizată pentru măsurarea concentra</w:t>
      </w:r>
      <w:r w:rsidR="00054880" w:rsidRPr="00EA1BB2">
        <w:rPr>
          <w:rFonts w:ascii="Cambria" w:hAnsi="Cambria" w:cs="Times New Roman"/>
          <w:sz w:val="24"/>
          <w:szCs w:val="24"/>
        </w:rPr>
        <w:t>ț</w:t>
      </w:r>
      <w:r w:rsidRPr="00EA1BB2">
        <w:rPr>
          <w:rFonts w:ascii="Cambria" w:hAnsi="Cambria" w:cs="Times New Roman"/>
          <w:sz w:val="24"/>
          <w:szCs w:val="24"/>
        </w:rPr>
        <w:t>iei de monoxid de carbon prin spectroscopie în infraro</w:t>
      </w:r>
      <w:r w:rsidR="00054880" w:rsidRPr="00EA1BB2">
        <w:rPr>
          <w:rFonts w:ascii="Cambria" w:hAnsi="Cambria" w:cs="Times New Roman"/>
          <w:sz w:val="24"/>
          <w:szCs w:val="24"/>
        </w:rPr>
        <w:t>ș</w:t>
      </w:r>
      <w:r w:rsidRPr="00EA1BB2">
        <w:rPr>
          <w:rFonts w:ascii="Cambria" w:hAnsi="Cambria" w:cs="Times New Roman"/>
          <w:sz w:val="24"/>
          <w:szCs w:val="24"/>
        </w:rPr>
        <w:t>u nedispersiv”.</w:t>
      </w:r>
    </w:p>
    <w:p w14:paraId="37D54EF8" w14:textId="77777777" w:rsidR="000970C9" w:rsidRPr="00EA1BB2" w:rsidRDefault="000970C9" w:rsidP="00BE0BB8">
      <w:pPr>
        <w:jc w:val="both"/>
        <w:rPr>
          <w:rFonts w:ascii="Cambria" w:hAnsi="Cambria" w:cs="Times New Roman"/>
          <w:sz w:val="24"/>
          <w:szCs w:val="24"/>
        </w:rPr>
      </w:pPr>
    </w:p>
    <w:p w14:paraId="0D43585D" w14:textId="77777777" w:rsidR="00343667" w:rsidRPr="00EA1BB2" w:rsidRDefault="00343667" w:rsidP="00E859EF">
      <w:pPr>
        <w:pStyle w:val="Heading4"/>
        <w:numPr>
          <w:ilvl w:val="3"/>
          <w:numId w:val="1"/>
        </w:numPr>
        <w:spacing w:before="0" w:line="360" w:lineRule="auto"/>
        <w:ind w:hanging="579"/>
        <w:rPr>
          <w:color w:val="0070C0"/>
          <w:sz w:val="24"/>
        </w:rPr>
      </w:pPr>
      <w:bookmarkStart w:id="171" w:name="_Toc459107464"/>
      <w:bookmarkStart w:id="172" w:name="_Toc463955951"/>
      <w:bookmarkStart w:id="173" w:name="_Toc526889734"/>
      <w:r w:rsidRPr="00EA1BB2">
        <w:rPr>
          <w:color w:val="0070C0"/>
          <w:sz w:val="24"/>
        </w:rPr>
        <w:t xml:space="preserve">Plumb (Pb) </w:t>
      </w:r>
      <w:r w:rsidR="00054880" w:rsidRPr="00EA1BB2">
        <w:rPr>
          <w:color w:val="0070C0"/>
          <w:sz w:val="24"/>
        </w:rPr>
        <w:t>ș</w:t>
      </w:r>
      <w:r w:rsidRPr="00EA1BB2">
        <w:rPr>
          <w:color w:val="0070C0"/>
          <w:sz w:val="24"/>
        </w:rPr>
        <w:t xml:space="preserve">i alte metale toxice: Arsen (As), Cadmiu (Cd) </w:t>
      </w:r>
      <w:r w:rsidR="00054880" w:rsidRPr="00EA1BB2">
        <w:rPr>
          <w:color w:val="0070C0"/>
          <w:sz w:val="24"/>
        </w:rPr>
        <w:t>ș</w:t>
      </w:r>
      <w:r w:rsidRPr="00EA1BB2">
        <w:rPr>
          <w:color w:val="0070C0"/>
          <w:sz w:val="24"/>
        </w:rPr>
        <w:t>i Nichel (Ni)</w:t>
      </w:r>
      <w:bookmarkEnd w:id="171"/>
      <w:bookmarkEnd w:id="172"/>
      <w:bookmarkEnd w:id="173"/>
    </w:p>
    <w:p w14:paraId="6BA19A36" w14:textId="77777777" w:rsidR="00343667" w:rsidRPr="00EA1BB2" w:rsidRDefault="00343667" w:rsidP="00343667">
      <w:pPr>
        <w:spacing w:line="360" w:lineRule="auto"/>
        <w:ind w:firstLine="708"/>
        <w:jc w:val="both"/>
        <w:rPr>
          <w:rFonts w:ascii="Cambria" w:hAnsi="Cambria" w:cs="Times New Roman"/>
          <w:sz w:val="24"/>
          <w:szCs w:val="24"/>
        </w:rPr>
      </w:pPr>
      <w:r w:rsidRPr="00EA1BB2">
        <w:rPr>
          <w:rFonts w:ascii="Cambria" w:hAnsi="Cambria" w:cs="Times New Roman"/>
          <w:sz w:val="24"/>
          <w:szCs w:val="24"/>
        </w:rPr>
        <w:t>Metalele toxice provin din combustia cărbunilor, carburan</w:t>
      </w:r>
      <w:r w:rsidR="00054880" w:rsidRPr="00EA1BB2">
        <w:rPr>
          <w:rFonts w:ascii="Cambria" w:hAnsi="Cambria" w:cs="Times New Roman"/>
          <w:sz w:val="24"/>
          <w:szCs w:val="24"/>
        </w:rPr>
        <w:t>ț</w:t>
      </w:r>
      <w:r w:rsidRPr="00EA1BB2">
        <w:rPr>
          <w:rFonts w:ascii="Cambria" w:hAnsi="Cambria" w:cs="Times New Roman"/>
          <w:sz w:val="24"/>
          <w:szCs w:val="24"/>
        </w:rPr>
        <w:t>ilor, de</w:t>
      </w:r>
      <w:r w:rsidR="00054880" w:rsidRPr="00EA1BB2">
        <w:rPr>
          <w:rFonts w:ascii="Cambria" w:hAnsi="Cambria" w:cs="Times New Roman"/>
          <w:sz w:val="24"/>
          <w:szCs w:val="24"/>
        </w:rPr>
        <w:t>ș</w:t>
      </w:r>
      <w:r w:rsidRPr="00EA1BB2">
        <w:rPr>
          <w:rFonts w:ascii="Cambria" w:hAnsi="Cambria" w:cs="Times New Roman"/>
          <w:sz w:val="24"/>
          <w:szCs w:val="24"/>
        </w:rPr>
        <w:t xml:space="preserve">eurilor menajere, etc. </w:t>
      </w:r>
      <w:r w:rsidR="00054880" w:rsidRPr="00EA1BB2">
        <w:rPr>
          <w:rFonts w:ascii="Cambria" w:hAnsi="Cambria" w:cs="Times New Roman"/>
          <w:sz w:val="24"/>
          <w:szCs w:val="24"/>
        </w:rPr>
        <w:t>ș</w:t>
      </w:r>
      <w:r w:rsidRPr="00EA1BB2">
        <w:rPr>
          <w:rFonts w:ascii="Cambria" w:hAnsi="Cambria" w:cs="Times New Roman"/>
          <w:sz w:val="24"/>
          <w:szCs w:val="24"/>
        </w:rPr>
        <w:t>i din anumite procedee industriale. Se găsesc în general sub formă de particule (cu excep</w:t>
      </w:r>
      <w:r w:rsidR="00054880" w:rsidRPr="00EA1BB2">
        <w:rPr>
          <w:rFonts w:ascii="Cambria" w:hAnsi="Cambria" w:cs="Times New Roman"/>
          <w:sz w:val="24"/>
          <w:szCs w:val="24"/>
        </w:rPr>
        <w:t>ț</w:t>
      </w:r>
      <w:r w:rsidRPr="00EA1BB2">
        <w:rPr>
          <w:rFonts w:ascii="Cambria" w:hAnsi="Cambria" w:cs="Times New Roman"/>
          <w:sz w:val="24"/>
          <w:szCs w:val="24"/>
        </w:rPr>
        <w:t>ia mercurului care este gazos).</w:t>
      </w:r>
    </w:p>
    <w:p w14:paraId="31A5ECD3" w14:textId="06E896A3" w:rsidR="00343667" w:rsidRPr="00EA1BB2" w:rsidRDefault="00343667" w:rsidP="00343667">
      <w:pPr>
        <w:spacing w:line="360" w:lineRule="auto"/>
        <w:ind w:firstLine="708"/>
        <w:jc w:val="both"/>
        <w:rPr>
          <w:rFonts w:ascii="Cambria" w:hAnsi="Cambria" w:cs="Times New Roman"/>
          <w:sz w:val="24"/>
          <w:szCs w:val="24"/>
        </w:rPr>
      </w:pPr>
      <w:r w:rsidRPr="00EA1BB2">
        <w:rPr>
          <w:rFonts w:ascii="Cambria" w:hAnsi="Cambria" w:cs="Times New Roman"/>
          <w:sz w:val="24"/>
          <w:szCs w:val="24"/>
        </w:rPr>
        <w:t xml:space="preserve">Metalele se acumulează în organism </w:t>
      </w:r>
      <w:r w:rsidR="00054880" w:rsidRPr="00EA1BB2">
        <w:rPr>
          <w:rFonts w:ascii="Cambria" w:hAnsi="Cambria" w:cs="Times New Roman"/>
          <w:sz w:val="24"/>
          <w:szCs w:val="24"/>
        </w:rPr>
        <w:t>ș</w:t>
      </w:r>
      <w:r w:rsidRPr="00EA1BB2">
        <w:rPr>
          <w:rFonts w:ascii="Cambria" w:hAnsi="Cambria" w:cs="Times New Roman"/>
          <w:sz w:val="24"/>
          <w:szCs w:val="24"/>
        </w:rPr>
        <w:t xml:space="preserve">i provoacă efecte toxice de scurtă </w:t>
      </w:r>
      <w:r w:rsidR="00054880" w:rsidRPr="00EA1BB2">
        <w:rPr>
          <w:rFonts w:ascii="Cambria" w:hAnsi="Cambria" w:cs="Times New Roman"/>
          <w:sz w:val="24"/>
          <w:szCs w:val="24"/>
        </w:rPr>
        <w:t>ș</w:t>
      </w:r>
      <w:r w:rsidRPr="00EA1BB2">
        <w:rPr>
          <w:rFonts w:ascii="Cambria" w:hAnsi="Cambria" w:cs="Times New Roman"/>
          <w:sz w:val="24"/>
          <w:szCs w:val="24"/>
        </w:rPr>
        <w:t>i/sau lungă durată. În cazul expunerii la concentra</w:t>
      </w:r>
      <w:r w:rsidR="00054880" w:rsidRPr="00EA1BB2">
        <w:rPr>
          <w:rFonts w:ascii="Cambria" w:hAnsi="Cambria" w:cs="Times New Roman"/>
          <w:sz w:val="24"/>
          <w:szCs w:val="24"/>
        </w:rPr>
        <w:t>ț</w:t>
      </w:r>
      <w:r w:rsidRPr="00EA1BB2">
        <w:rPr>
          <w:rFonts w:ascii="Cambria" w:hAnsi="Cambria" w:cs="Times New Roman"/>
          <w:sz w:val="24"/>
          <w:szCs w:val="24"/>
        </w:rPr>
        <w:t>ii ridicate ele pot afecta sistemul nervos, func</w:t>
      </w:r>
      <w:r w:rsidR="00054880" w:rsidRPr="00EA1BB2">
        <w:rPr>
          <w:rFonts w:ascii="Cambria" w:hAnsi="Cambria" w:cs="Times New Roman"/>
          <w:sz w:val="24"/>
          <w:szCs w:val="24"/>
        </w:rPr>
        <w:t>ț</w:t>
      </w:r>
      <w:r w:rsidRPr="00EA1BB2">
        <w:rPr>
          <w:rFonts w:ascii="Cambria" w:hAnsi="Cambria" w:cs="Times New Roman"/>
          <w:sz w:val="24"/>
          <w:szCs w:val="24"/>
        </w:rPr>
        <w:t>iile renale, hepatice, respiratorii.</w:t>
      </w:r>
    </w:p>
    <w:p w14:paraId="23E7958D" w14:textId="77777777" w:rsidR="009B697F" w:rsidRPr="00EA1BB2" w:rsidRDefault="009B697F" w:rsidP="00343667">
      <w:pPr>
        <w:spacing w:line="360" w:lineRule="auto"/>
        <w:ind w:firstLine="708"/>
        <w:jc w:val="both"/>
        <w:rPr>
          <w:rFonts w:ascii="Cambria" w:hAnsi="Cambria" w:cs="Times New Roman"/>
          <w:sz w:val="24"/>
          <w:szCs w:val="24"/>
        </w:rPr>
      </w:pPr>
    </w:p>
    <w:p w14:paraId="457B2103" w14:textId="42772D99" w:rsidR="000970C9" w:rsidRPr="00EA1BB2" w:rsidRDefault="000970C9" w:rsidP="000970C9">
      <w:pPr>
        <w:keepNext/>
        <w:spacing w:line="276" w:lineRule="auto"/>
        <w:ind w:firstLine="708"/>
        <w:jc w:val="both"/>
        <w:rPr>
          <w:rFonts w:ascii="Cambria" w:eastAsia="Times New Roman" w:hAnsi="Cambria" w:cs="Times New Roman"/>
          <w:b/>
          <w:sz w:val="24"/>
          <w:szCs w:val="24"/>
        </w:rPr>
      </w:pPr>
      <w:bookmarkStart w:id="174" w:name="_Toc526889802"/>
      <w:r w:rsidRPr="00EA1BB2">
        <w:rPr>
          <w:rFonts w:ascii="Cambria" w:eastAsia="Calibri" w:hAnsi="Cambria" w:cs="Times New Roman"/>
          <w:b/>
          <w:iCs/>
          <w:sz w:val="24"/>
          <w:szCs w:val="24"/>
        </w:rPr>
        <w:t xml:space="preserve">Tabelul nr. </w:t>
      </w:r>
      <w:r w:rsidR="000A2FE7" w:rsidRPr="00EA1BB2">
        <w:rPr>
          <w:rFonts w:ascii="Cambria" w:eastAsia="Calibri" w:hAnsi="Cambria" w:cs="Times New Roman"/>
          <w:b/>
          <w:iCs/>
          <w:sz w:val="24"/>
          <w:szCs w:val="24"/>
        </w:rPr>
        <w:fldChar w:fldCharType="begin"/>
      </w:r>
      <w:r w:rsidR="000A2FE7" w:rsidRPr="00EA1BB2">
        <w:rPr>
          <w:rFonts w:ascii="Cambria" w:eastAsia="Calibri" w:hAnsi="Cambria" w:cs="Times New Roman"/>
          <w:b/>
          <w:iCs/>
          <w:sz w:val="24"/>
          <w:szCs w:val="24"/>
        </w:rPr>
        <w:instrText xml:space="preserve"> STYLEREF 1 \s </w:instrText>
      </w:r>
      <w:r w:rsidR="000A2FE7" w:rsidRPr="00EA1BB2">
        <w:rPr>
          <w:rFonts w:ascii="Cambria" w:eastAsia="Calibri" w:hAnsi="Cambria" w:cs="Times New Roman"/>
          <w:b/>
          <w:iCs/>
          <w:sz w:val="24"/>
          <w:szCs w:val="24"/>
        </w:rPr>
        <w:fldChar w:fldCharType="separate"/>
      </w:r>
      <w:r w:rsidR="00567555">
        <w:rPr>
          <w:rFonts w:ascii="Cambria" w:eastAsia="Calibri" w:hAnsi="Cambria" w:cs="Times New Roman"/>
          <w:b/>
          <w:iCs/>
          <w:noProof/>
          <w:sz w:val="24"/>
          <w:szCs w:val="24"/>
        </w:rPr>
        <w:t>3</w:t>
      </w:r>
      <w:r w:rsidR="000A2FE7" w:rsidRPr="00EA1BB2">
        <w:rPr>
          <w:rFonts w:ascii="Cambria" w:eastAsia="Calibri" w:hAnsi="Cambria" w:cs="Times New Roman"/>
          <w:b/>
          <w:iCs/>
          <w:sz w:val="24"/>
          <w:szCs w:val="24"/>
        </w:rPr>
        <w:fldChar w:fldCharType="end"/>
      </w:r>
      <w:r w:rsidR="000A2FE7" w:rsidRPr="00EA1BB2">
        <w:rPr>
          <w:rFonts w:ascii="Cambria" w:eastAsia="Calibri" w:hAnsi="Cambria" w:cs="Times New Roman"/>
          <w:b/>
          <w:iCs/>
          <w:sz w:val="24"/>
          <w:szCs w:val="24"/>
        </w:rPr>
        <w:noBreakHyphen/>
      </w:r>
      <w:r w:rsidR="000A2FE7" w:rsidRPr="00EA1BB2">
        <w:rPr>
          <w:rFonts w:ascii="Cambria" w:eastAsia="Calibri" w:hAnsi="Cambria" w:cs="Times New Roman"/>
          <w:b/>
          <w:iCs/>
          <w:sz w:val="24"/>
          <w:szCs w:val="24"/>
        </w:rPr>
        <w:fldChar w:fldCharType="begin"/>
      </w:r>
      <w:r w:rsidR="000A2FE7" w:rsidRPr="00EA1BB2">
        <w:rPr>
          <w:rFonts w:ascii="Cambria" w:eastAsia="Calibri" w:hAnsi="Cambria" w:cs="Times New Roman"/>
          <w:b/>
          <w:iCs/>
          <w:sz w:val="24"/>
          <w:szCs w:val="24"/>
        </w:rPr>
        <w:instrText xml:space="preserve"> SEQ Tabelul_nr. \* ARABIC \s 1 </w:instrText>
      </w:r>
      <w:r w:rsidR="000A2FE7" w:rsidRPr="00EA1BB2">
        <w:rPr>
          <w:rFonts w:ascii="Cambria" w:eastAsia="Calibri" w:hAnsi="Cambria" w:cs="Times New Roman"/>
          <w:b/>
          <w:iCs/>
          <w:sz w:val="24"/>
          <w:szCs w:val="24"/>
        </w:rPr>
        <w:fldChar w:fldCharType="separate"/>
      </w:r>
      <w:r w:rsidR="00567555">
        <w:rPr>
          <w:rFonts w:ascii="Cambria" w:eastAsia="Calibri" w:hAnsi="Cambria" w:cs="Times New Roman"/>
          <w:b/>
          <w:iCs/>
          <w:noProof/>
          <w:sz w:val="24"/>
          <w:szCs w:val="24"/>
        </w:rPr>
        <w:t>33</w:t>
      </w:r>
      <w:r w:rsidR="000A2FE7" w:rsidRPr="00EA1BB2">
        <w:rPr>
          <w:rFonts w:ascii="Cambria" w:eastAsia="Calibri" w:hAnsi="Cambria" w:cs="Times New Roman"/>
          <w:b/>
          <w:iCs/>
          <w:sz w:val="24"/>
          <w:szCs w:val="24"/>
        </w:rPr>
        <w:fldChar w:fldCharType="end"/>
      </w:r>
      <w:r w:rsidRPr="00EA1BB2">
        <w:rPr>
          <w:rFonts w:ascii="Cambria" w:eastAsia="Calibri" w:hAnsi="Cambria" w:cs="Times New Roman"/>
          <w:b/>
          <w:iCs/>
          <w:sz w:val="24"/>
          <w:szCs w:val="24"/>
        </w:rPr>
        <w:t xml:space="preserve"> - </w:t>
      </w:r>
      <w:r w:rsidR="00AA06F2" w:rsidRPr="00EA1BB2">
        <w:rPr>
          <w:rFonts w:ascii="Cambria" w:eastAsia="Times New Roman" w:hAnsi="Cambria" w:cs="Times New Roman"/>
          <w:b/>
          <w:sz w:val="24"/>
          <w:szCs w:val="24"/>
        </w:rPr>
        <w:t>Cerin</w:t>
      </w:r>
      <w:r w:rsidR="00054880" w:rsidRPr="00EA1BB2">
        <w:rPr>
          <w:rFonts w:ascii="Cambria" w:eastAsia="Times New Roman" w:hAnsi="Cambria" w:cs="Times New Roman"/>
          <w:b/>
          <w:sz w:val="24"/>
          <w:szCs w:val="24"/>
        </w:rPr>
        <w:t>ț</w:t>
      </w:r>
      <w:r w:rsidR="00AA06F2" w:rsidRPr="00EA1BB2">
        <w:rPr>
          <w:rFonts w:ascii="Cambria" w:eastAsia="Times New Roman" w:hAnsi="Cambria" w:cs="Times New Roman"/>
          <w:b/>
          <w:sz w:val="24"/>
          <w:szCs w:val="24"/>
        </w:rPr>
        <w:t>ele pentru evaluarea concentra</w:t>
      </w:r>
      <w:r w:rsidR="00054880" w:rsidRPr="00EA1BB2">
        <w:rPr>
          <w:rFonts w:ascii="Cambria" w:eastAsia="Times New Roman" w:hAnsi="Cambria" w:cs="Times New Roman"/>
          <w:b/>
          <w:sz w:val="24"/>
          <w:szCs w:val="24"/>
        </w:rPr>
        <w:t>ț</w:t>
      </w:r>
      <w:r w:rsidR="00AA06F2" w:rsidRPr="00EA1BB2">
        <w:rPr>
          <w:rFonts w:ascii="Cambria" w:eastAsia="Times New Roman" w:hAnsi="Cambria" w:cs="Times New Roman"/>
          <w:b/>
          <w:sz w:val="24"/>
          <w:szCs w:val="24"/>
        </w:rPr>
        <w:t xml:space="preserve">iilor de </w:t>
      </w:r>
      <w:r w:rsidRPr="00EA1BB2">
        <w:rPr>
          <w:rFonts w:ascii="Cambria" w:eastAsia="Times New Roman" w:hAnsi="Cambria" w:cs="Times New Roman"/>
          <w:b/>
          <w:sz w:val="24"/>
          <w:szCs w:val="24"/>
        </w:rPr>
        <w:t>Plumb (Pb)</w:t>
      </w:r>
      <w:bookmarkEnd w:id="174"/>
    </w:p>
    <w:tbl>
      <w:tblPr>
        <w:tblStyle w:val="TableGrid7"/>
        <w:tblpPr w:leftFromText="180" w:rightFromText="180" w:vertAnchor="text" w:horzAnchor="margin" w:tblpXSpec="center" w:tblpY="134"/>
        <w:tblW w:w="9067" w:type="dxa"/>
        <w:tblLook w:val="04A0" w:firstRow="1" w:lastRow="0" w:firstColumn="1" w:lastColumn="0" w:noHBand="0" w:noVBand="1"/>
      </w:tblPr>
      <w:tblGrid>
        <w:gridCol w:w="846"/>
        <w:gridCol w:w="2126"/>
        <w:gridCol w:w="6095"/>
      </w:tblGrid>
      <w:tr w:rsidR="000970C9" w:rsidRPr="00EA1BB2" w14:paraId="4F6E1FA0" w14:textId="77777777" w:rsidTr="00042796">
        <w:trPr>
          <w:tblHeader/>
        </w:trPr>
        <w:tc>
          <w:tcPr>
            <w:tcW w:w="846" w:type="dxa"/>
            <w:shd w:val="clear" w:color="auto" w:fill="BDD6EE" w:themeFill="accent1" w:themeFillTint="66"/>
            <w:vAlign w:val="center"/>
          </w:tcPr>
          <w:p w14:paraId="1FAE3913" w14:textId="77777777" w:rsidR="000970C9" w:rsidRPr="00EA1BB2" w:rsidRDefault="000970C9" w:rsidP="00BE0BB8">
            <w:pPr>
              <w:spacing w:line="276" w:lineRule="auto"/>
              <w:jc w:val="center"/>
              <w:rPr>
                <w:rFonts w:ascii="Cambria" w:hAnsi="Cambria"/>
                <w:b/>
                <w:sz w:val="24"/>
                <w:szCs w:val="24"/>
                <w:lang w:val="ro-RO"/>
              </w:rPr>
            </w:pPr>
            <w:r w:rsidRPr="00EA1BB2">
              <w:rPr>
                <w:rFonts w:ascii="Cambria" w:eastAsia="Times New Roman" w:hAnsi="Cambria" w:cs="Times New Roman"/>
                <w:b/>
                <w:sz w:val="24"/>
                <w:szCs w:val="24"/>
                <w:lang w:val="ro-RO"/>
              </w:rPr>
              <w:t>Nr. crt.</w:t>
            </w:r>
          </w:p>
        </w:tc>
        <w:tc>
          <w:tcPr>
            <w:tcW w:w="2126" w:type="dxa"/>
            <w:shd w:val="clear" w:color="auto" w:fill="BDD6EE" w:themeFill="accent1" w:themeFillTint="66"/>
            <w:vAlign w:val="center"/>
          </w:tcPr>
          <w:p w14:paraId="79D03E3A" w14:textId="77777777" w:rsidR="000970C9" w:rsidRPr="00EA1BB2" w:rsidRDefault="000970C9" w:rsidP="00030F7D">
            <w:pPr>
              <w:spacing w:line="360" w:lineRule="auto"/>
              <w:jc w:val="center"/>
              <w:rPr>
                <w:rFonts w:ascii="Cambria" w:hAnsi="Cambria"/>
                <w:b/>
                <w:sz w:val="24"/>
                <w:szCs w:val="24"/>
                <w:lang w:val="ro-RO"/>
              </w:rPr>
            </w:pPr>
            <w:r w:rsidRPr="00EA1BB2">
              <w:rPr>
                <w:rFonts w:ascii="Cambria" w:hAnsi="Cambria"/>
                <w:b/>
                <w:sz w:val="24"/>
                <w:szCs w:val="24"/>
                <w:lang w:val="ro-RO"/>
              </w:rPr>
              <w:t>Parametru</w:t>
            </w:r>
          </w:p>
        </w:tc>
        <w:tc>
          <w:tcPr>
            <w:tcW w:w="6095" w:type="dxa"/>
            <w:shd w:val="clear" w:color="auto" w:fill="BDD6EE" w:themeFill="accent1" w:themeFillTint="66"/>
            <w:vAlign w:val="center"/>
          </w:tcPr>
          <w:p w14:paraId="44F03D58" w14:textId="77777777" w:rsidR="000970C9" w:rsidRPr="00EA1BB2" w:rsidRDefault="000970C9" w:rsidP="00030F7D">
            <w:pPr>
              <w:spacing w:line="360" w:lineRule="auto"/>
              <w:jc w:val="center"/>
              <w:rPr>
                <w:rFonts w:ascii="Cambria" w:hAnsi="Cambria"/>
                <w:b/>
                <w:sz w:val="24"/>
                <w:szCs w:val="24"/>
                <w:lang w:val="ro-RO"/>
              </w:rPr>
            </w:pPr>
            <w:r w:rsidRPr="00EA1BB2">
              <w:rPr>
                <w:rFonts w:ascii="Cambria" w:hAnsi="Cambria"/>
                <w:b/>
                <w:sz w:val="24"/>
                <w:szCs w:val="24"/>
                <w:lang w:val="ro-RO"/>
              </w:rPr>
              <w:t>Valoare</w:t>
            </w:r>
          </w:p>
        </w:tc>
      </w:tr>
      <w:tr w:rsidR="000970C9" w:rsidRPr="00EA1BB2" w14:paraId="5845B43B" w14:textId="77777777" w:rsidTr="00AA06F2">
        <w:tc>
          <w:tcPr>
            <w:tcW w:w="846" w:type="dxa"/>
            <w:vAlign w:val="center"/>
          </w:tcPr>
          <w:p w14:paraId="4EC021FA" w14:textId="77777777" w:rsidR="000970C9" w:rsidRPr="00EA1BB2" w:rsidRDefault="00B46084" w:rsidP="00030F7D">
            <w:pPr>
              <w:spacing w:line="360" w:lineRule="auto"/>
              <w:jc w:val="center"/>
              <w:rPr>
                <w:rFonts w:ascii="Cambria" w:hAnsi="Cambria"/>
                <w:bCs/>
                <w:sz w:val="24"/>
                <w:szCs w:val="24"/>
                <w:lang w:val="ro-RO"/>
              </w:rPr>
            </w:pPr>
            <w:r w:rsidRPr="00EA1BB2">
              <w:rPr>
                <w:rFonts w:ascii="Cambria" w:eastAsia="Times New Roman" w:hAnsi="Cambria" w:cs="Times New Roman"/>
                <w:sz w:val="24"/>
                <w:szCs w:val="24"/>
                <w:lang w:val="ro-RO"/>
              </w:rPr>
              <w:t>1</w:t>
            </w:r>
          </w:p>
        </w:tc>
        <w:tc>
          <w:tcPr>
            <w:tcW w:w="2126" w:type="dxa"/>
            <w:vAlign w:val="center"/>
          </w:tcPr>
          <w:p w14:paraId="3BE46064" w14:textId="77777777" w:rsidR="000970C9" w:rsidRPr="00EA1BB2" w:rsidRDefault="000970C9" w:rsidP="00831372">
            <w:pPr>
              <w:spacing w:line="360" w:lineRule="auto"/>
              <w:jc w:val="center"/>
              <w:rPr>
                <w:rFonts w:ascii="Cambria" w:hAnsi="Cambria"/>
                <w:sz w:val="24"/>
                <w:szCs w:val="24"/>
                <w:lang w:val="ro-RO"/>
              </w:rPr>
            </w:pPr>
            <w:r w:rsidRPr="00EA1BB2">
              <w:rPr>
                <w:rFonts w:ascii="Cambria" w:hAnsi="Cambria"/>
                <w:bCs/>
                <w:sz w:val="24"/>
                <w:szCs w:val="24"/>
                <w:lang w:val="ro-RO"/>
              </w:rPr>
              <w:t>Valoare</w:t>
            </w:r>
            <w:r w:rsidR="00831372" w:rsidRPr="00EA1BB2">
              <w:rPr>
                <w:rFonts w:ascii="Cambria" w:hAnsi="Cambria"/>
                <w:bCs/>
                <w:sz w:val="24"/>
                <w:szCs w:val="24"/>
                <w:lang w:val="ro-RO"/>
              </w:rPr>
              <w:t>-</w:t>
            </w:r>
            <w:r w:rsidRPr="00EA1BB2">
              <w:rPr>
                <w:rFonts w:ascii="Cambria" w:hAnsi="Cambria"/>
                <w:bCs/>
                <w:sz w:val="24"/>
                <w:szCs w:val="24"/>
                <w:lang w:val="ro-RO"/>
              </w:rPr>
              <w:t>limită</w:t>
            </w:r>
          </w:p>
        </w:tc>
        <w:tc>
          <w:tcPr>
            <w:tcW w:w="6095" w:type="dxa"/>
            <w:vAlign w:val="center"/>
          </w:tcPr>
          <w:p w14:paraId="4352BDBC" w14:textId="77777777" w:rsidR="000970C9" w:rsidRPr="00EA1BB2" w:rsidRDefault="000970C9" w:rsidP="00831372">
            <w:pPr>
              <w:spacing w:line="360" w:lineRule="auto"/>
              <w:jc w:val="both"/>
              <w:rPr>
                <w:rFonts w:ascii="Cambria" w:hAnsi="Cambria"/>
                <w:bCs/>
                <w:sz w:val="24"/>
                <w:szCs w:val="24"/>
                <w:lang w:val="ro-RO"/>
              </w:rPr>
            </w:pPr>
            <w:r w:rsidRPr="00EA1BB2">
              <w:rPr>
                <w:rFonts w:ascii="Cambria" w:hAnsi="Cambria"/>
                <w:bCs/>
                <w:sz w:val="24"/>
                <w:szCs w:val="24"/>
                <w:lang w:val="ro-RO"/>
              </w:rPr>
              <w:t xml:space="preserve">0,5 </w:t>
            </w:r>
            <w:r w:rsidRPr="00EA1BB2">
              <w:rPr>
                <w:rFonts w:ascii="Cambria" w:hAnsi="Cambria" w:cs="Times New Roman"/>
                <w:bCs/>
                <w:sz w:val="24"/>
                <w:szCs w:val="24"/>
                <w:lang w:val="ro-RO"/>
              </w:rPr>
              <w:t>µ</w:t>
            </w:r>
            <w:r w:rsidRPr="00EA1BB2">
              <w:rPr>
                <w:rFonts w:ascii="Cambria" w:hAnsi="Cambria"/>
                <w:bCs/>
                <w:sz w:val="24"/>
                <w:szCs w:val="24"/>
                <w:lang w:val="ro-RO"/>
              </w:rPr>
              <w:t>g/m</w:t>
            </w:r>
            <w:r w:rsidRPr="00EA1BB2">
              <w:rPr>
                <w:rFonts w:ascii="Cambria" w:hAnsi="Cambria"/>
                <w:bCs/>
                <w:sz w:val="24"/>
                <w:szCs w:val="24"/>
                <w:vertAlign w:val="superscript"/>
                <w:lang w:val="ro-RO"/>
              </w:rPr>
              <w:t>3</w:t>
            </w:r>
            <w:r w:rsidR="00831372" w:rsidRPr="00EA1BB2">
              <w:rPr>
                <w:rFonts w:ascii="Cambria" w:hAnsi="Cambria"/>
                <w:bCs/>
                <w:sz w:val="24"/>
                <w:szCs w:val="24"/>
                <w:lang w:val="ro-RO"/>
              </w:rPr>
              <w:t>–</w:t>
            </w:r>
            <w:r w:rsidRPr="00EA1BB2">
              <w:rPr>
                <w:rFonts w:ascii="Cambria" w:hAnsi="Cambria"/>
                <w:bCs/>
                <w:sz w:val="24"/>
                <w:szCs w:val="24"/>
                <w:lang w:val="ro-RO"/>
              </w:rPr>
              <w:t xml:space="preserve"> valoarea</w:t>
            </w:r>
            <w:r w:rsidR="00831372" w:rsidRPr="00EA1BB2">
              <w:rPr>
                <w:rFonts w:ascii="Cambria" w:hAnsi="Cambria"/>
                <w:bCs/>
                <w:sz w:val="24"/>
                <w:szCs w:val="24"/>
                <w:lang w:val="ro-RO"/>
              </w:rPr>
              <w:t>-</w:t>
            </w:r>
            <w:r w:rsidRPr="00EA1BB2">
              <w:rPr>
                <w:rFonts w:ascii="Cambria" w:hAnsi="Cambria"/>
                <w:bCs/>
                <w:sz w:val="24"/>
                <w:szCs w:val="24"/>
                <w:lang w:val="ro-RO"/>
              </w:rPr>
              <w:t>limită anuală pentru protec</w:t>
            </w:r>
            <w:r w:rsidR="00054880" w:rsidRPr="00EA1BB2">
              <w:rPr>
                <w:rFonts w:ascii="Cambria" w:hAnsi="Cambria"/>
                <w:bCs/>
                <w:sz w:val="24"/>
                <w:szCs w:val="24"/>
                <w:lang w:val="ro-RO"/>
              </w:rPr>
              <w:t>ț</w:t>
            </w:r>
            <w:r w:rsidRPr="00EA1BB2">
              <w:rPr>
                <w:rFonts w:ascii="Cambria" w:hAnsi="Cambria"/>
                <w:bCs/>
                <w:sz w:val="24"/>
                <w:szCs w:val="24"/>
                <w:lang w:val="ro-RO"/>
              </w:rPr>
              <w:t>ia sănătă</w:t>
            </w:r>
            <w:r w:rsidR="00054880" w:rsidRPr="00EA1BB2">
              <w:rPr>
                <w:rFonts w:ascii="Cambria" w:hAnsi="Cambria"/>
                <w:bCs/>
                <w:sz w:val="24"/>
                <w:szCs w:val="24"/>
                <w:lang w:val="ro-RO"/>
              </w:rPr>
              <w:t>ț</w:t>
            </w:r>
            <w:r w:rsidRPr="00EA1BB2">
              <w:rPr>
                <w:rFonts w:ascii="Cambria" w:hAnsi="Cambria"/>
                <w:bCs/>
                <w:sz w:val="24"/>
                <w:szCs w:val="24"/>
                <w:lang w:val="ro-RO"/>
              </w:rPr>
              <w:t>ii umane</w:t>
            </w:r>
          </w:p>
        </w:tc>
      </w:tr>
      <w:tr w:rsidR="00B46084" w:rsidRPr="00EA1BB2" w14:paraId="3B48945D" w14:textId="77777777" w:rsidTr="00AA06F2">
        <w:tc>
          <w:tcPr>
            <w:tcW w:w="846" w:type="dxa"/>
            <w:vAlign w:val="center"/>
          </w:tcPr>
          <w:p w14:paraId="05201A99" w14:textId="77777777" w:rsidR="00B46084" w:rsidRPr="00EA1BB2" w:rsidRDefault="00B46084" w:rsidP="00B46084">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2</w:t>
            </w:r>
          </w:p>
        </w:tc>
        <w:tc>
          <w:tcPr>
            <w:tcW w:w="2126" w:type="dxa"/>
            <w:vAlign w:val="center"/>
          </w:tcPr>
          <w:p w14:paraId="3BA906EC" w14:textId="77777777" w:rsidR="00B46084" w:rsidRPr="00EA1BB2" w:rsidRDefault="00B46084" w:rsidP="00B46084">
            <w:pPr>
              <w:spacing w:line="360" w:lineRule="auto"/>
              <w:jc w:val="center"/>
              <w:rPr>
                <w:rFonts w:ascii="Cambria" w:hAnsi="Cambria"/>
                <w:bCs/>
                <w:sz w:val="24"/>
                <w:szCs w:val="24"/>
                <w:lang w:val="ro-RO"/>
              </w:rPr>
            </w:pPr>
            <w:r w:rsidRPr="00EA1BB2">
              <w:rPr>
                <w:rFonts w:ascii="Cambria" w:hAnsi="Cambria"/>
                <w:bCs/>
                <w:sz w:val="24"/>
                <w:szCs w:val="24"/>
                <w:lang w:val="ro-RO"/>
              </w:rPr>
              <w:t>Pragul superior de evaluare</w:t>
            </w:r>
          </w:p>
        </w:tc>
        <w:tc>
          <w:tcPr>
            <w:tcW w:w="6095" w:type="dxa"/>
            <w:vAlign w:val="center"/>
          </w:tcPr>
          <w:p w14:paraId="5E7B4D12" w14:textId="77777777" w:rsidR="00B46084" w:rsidRPr="00EA1BB2" w:rsidRDefault="00B46084" w:rsidP="00B46084">
            <w:pPr>
              <w:spacing w:line="360" w:lineRule="auto"/>
              <w:jc w:val="both"/>
              <w:rPr>
                <w:rFonts w:ascii="Cambria" w:hAnsi="Cambria"/>
                <w:bCs/>
                <w:sz w:val="24"/>
                <w:szCs w:val="24"/>
                <w:lang w:val="ro-RO"/>
              </w:rPr>
            </w:pPr>
            <w:r w:rsidRPr="00EA1BB2">
              <w:rPr>
                <w:rFonts w:ascii="Cambria" w:hAnsi="Cambria"/>
                <w:bCs/>
                <w:sz w:val="24"/>
                <w:szCs w:val="24"/>
                <w:lang w:val="ro-RO"/>
              </w:rPr>
              <w:t>70% din valoarea-limită anuală (0,35 µg/m</w:t>
            </w:r>
            <w:r w:rsidRPr="00EA1BB2">
              <w:rPr>
                <w:rFonts w:ascii="Cambria" w:hAnsi="Cambria"/>
                <w:bCs/>
                <w:sz w:val="24"/>
                <w:szCs w:val="24"/>
                <w:vertAlign w:val="superscript"/>
                <w:lang w:val="ro-RO"/>
              </w:rPr>
              <w:t>3</w:t>
            </w:r>
            <w:r w:rsidRPr="00EA1BB2">
              <w:rPr>
                <w:rFonts w:ascii="Cambria" w:hAnsi="Cambria"/>
                <w:bCs/>
                <w:sz w:val="24"/>
                <w:szCs w:val="24"/>
                <w:lang w:val="ro-RO"/>
              </w:rPr>
              <w:t>)</w:t>
            </w:r>
          </w:p>
        </w:tc>
      </w:tr>
      <w:tr w:rsidR="00B46084" w:rsidRPr="00EA1BB2" w14:paraId="567B7BB0" w14:textId="77777777" w:rsidTr="00AA06F2">
        <w:tc>
          <w:tcPr>
            <w:tcW w:w="846" w:type="dxa"/>
            <w:vAlign w:val="center"/>
          </w:tcPr>
          <w:p w14:paraId="6A70920B" w14:textId="77777777" w:rsidR="00B46084" w:rsidRPr="00EA1BB2" w:rsidRDefault="00B46084" w:rsidP="00B46084">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3</w:t>
            </w:r>
          </w:p>
        </w:tc>
        <w:tc>
          <w:tcPr>
            <w:tcW w:w="2126" w:type="dxa"/>
            <w:vAlign w:val="center"/>
          </w:tcPr>
          <w:p w14:paraId="7B9F9D2A" w14:textId="77777777" w:rsidR="00B46084" w:rsidRPr="00EA1BB2" w:rsidRDefault="00B46084" w:rsidP="00B46084">
            <w:pPr>
              <w:spacing w:line="360" w:lineRule="auto"/>
              <w:jc w:val="center"/>
              <w:rPr>
                <w:rFonts w:ascii="Cambria" w:hAnsi="Cambria"/>
                <w:bCs/>
                <w:sz w:val="24"/>
                <w:szCs w:val="24"/>
                <w:lang w:val="ro-RO"/>
              </w:rPr>
            </w:pPr>
            <w:r w:rsidRPr="00EA1BB2">
              <w:rPr>
                <w:rFonts w:ascii="Cambria" w:hAnsi="Cambria"/>
                <w:bCs/>
                <w:sz w:val="24"/>
                <w:szCs w:val="24"/>
                <w:lang w:val="ro-RO"/>
              </w:rPr>
              <w:t xml:space="preserve">Pragul inferior de evaluare </w:t>
            </w:r>
          </w:p>
        </w:tc>
        <w:tc>
          <w:tcPr>
            <w:tcW w:w="6095" w:type="dxa"/>
            <w:vAlign w:val="center"/>
          </w:tcPr>
          <w:p w14:paraId="355D470D" w14:textId="77777777" w:rsidR="00B46084" w:rsidRPr="00EA1BB2" w:rsidRDefault="00B46084" w:rsidP="00B46084">
            <w:pPr>
              <w:spacing w:line="360" w:lineRule="auto"/>
              <w:jc w:val="both"/>
              <w:rPr>
                <w:rFonts w:ascii="Cambria" w:hAnsi="Cambria"/>
                <w:bCs/>
                <w:sz w:val="24"/>
                <w:szCs w:val="24"/>
                <w:lang w:val="ro-RO"/>
              </w:rPr>
            </w:pPr>
            <w:r w:rsidRPr="00EA1BB2">
              <w:rPr>
                <w:rFonts w:ascii="Cambria" w:hAnsi="Cambria"/>
                <w:bCs/>
                <w:sz w:val="24"/>
                <w:szCs w:val="24"/>
                <w:lang w:val="ro-RO"/>
              </w:rPr>
              <w:t>50% din valoarea-limită anuală (0,25 µg/m</w:t>
            </w:r>
            <w:r w:rsidRPr="00EA1BB2">
              <w:rPr>
                <w:rFonts w:ascii="Cambria" w:hAnsi="Cambria"/>
                <w:bCs/>
                <w:sz w:val="24"/>
                <w:szCs w:val="24"/>
                <w:vertAlign w:val="superscript"/>
                <w:lang w:val="ro-RO"/>
              </w:rPr>
              <w:t>3</w:t>
            </w:r>
            <w:r w:rsidRPr="00EA1BB2">
              <w:rPr>
                <w:rFonts w:ascii="Cambria" w:hAnsi="Cambria"/>
                <w:bCs/>
                <w:sz w:val="24"/>
                <w:szCs w:val="24"/>
                <w:lang w:val="ro-RO"/>
              </w:rPr>
              <w:t>)</w:t>
            </w:r>
          </w:p>
        </w:tc>
      </w:tr>
    </w:tbl>
    <w:p w14:paraId="5A44F118" w14:textId="77777777" w:rsidR="000970C9" w:rsidRPr="00EA1BB2" w:rsidRDefault="000970C9" w:rsidP="00BE0BB8">
      <w:pPr>
        <w:keepNext/>
        <w:jc w:val="both"/>
        <w:rPr>
          <w:rFonts w:ascii="Cambria" w:eastAsia="Calibri" w:hAnsi="Cambria" w:cs="Times New Roman"/>
          <w:iCs/>
          <w:szCs w:val="24"/>
        </w:rPr>
      </w:pPr>
      <w:r w:rsidRPr="00EA1BB2">
        <w:rPr>
          <w:rFonts w:ascii="Cambria" w:eastAsia="Calibri" w:hAnsi="Cambria" w:cs="Times New Roman"/>
          <w:iCs/>
          <w:szCs w:val="24"/>
        </w:rPr>
        <w:t>sursa: http://www.calitateaer.ro/public/assessment-page/pollutants-page/plumb-page/?__locale=ro</w:t>
      </w:r>
    </w:p>
    <w:p w14:paraId="21E1FD9D" w14:textId="222CE25A" w:rsidR="00AA06F2" w:rsidRPr="00EA1BB2" w:rsidRDefault="00AA06F2" w:rsidP="008D3FB0">
      <w:pPr>
        <w:jc w:val="both"/>
        <w:rPr>
          <w:rFonts w:ascii="Cambria" w:eastAsia="Times New Roman" w:hAnsi="Cambria" w:cs="Times New Roman"/>
          <w:sz w:val="24"/>
          <w:szCs w:val="24"/>
        </w:rPr>
      </w:pPr>
    </w:p>
    <w:p w14:paraId="2EF45FC0" w14:textId="096C88C8" w:rsidR="009B697F" w:rsidRPr="00EA1BB2" w:rsidRDefault="009B697F" w:rsidP="008D3FB0">
      <w:pPr>
        <w:jc w:val="both"/>
        <w:rPr>
          <w:rFonts w:ascii="Cambria" w:eastAsia="Times New Roman" w:hAnsi="Cambria" w:cs="Times New Roman"/>
          <w:sz w:val="24"/>
          <w:szCs w:val="24"/>
        </w:rPr>
      </w:pPr>
    </w:p>
    <w:p w14:paraId="23C810FD" w14:textId="77777777" w:rsidR="009B697F" w:rsidRPr="00EA1BB2" w:rsidRDefault="009B697F" w:rsidP="008D3FB0">
      <w:pPr>
        <w:jc w:val="both"/>
        <w:rPr>
          <w:rFonts w:ascii="Cambria" w:eastAsia="Times New Roman" w:hAnsi="Cambria" w:cs="Times New Roman"/>
          <w:sz w:val="24"/>
          <w:szCs w:val="24"/>
        </w:rPr>
      </w:pPr>
    </w:p>
    <w:p w14:paraId="75CB25FB" w14:textId="3AF8BEAF" w:rsidR="00AA06F2" w:rsidRPr="00EA1BB2" w:rsidRDefault="00AA06F2" w:rsidP="00585E25">
      <w:pPr>
        <w:keepNext/>
        <w:spacing w:line="360" w:lineRule="auto"/>
        <w:ind w:firstLine="708"/>
        <w:jc w:val="both"/>
        <w:rPr>
          <w:rFonts w:ascii="Cambria" w:eastAsia="Times New Roman" w:hAnsi="Cambria" w:cs="Times New Roman"/>
          <w:b/>
          <w:sz w:val="24"/>
          <w:szCs w:val="24"/>
        </w:rPr>
      </w:pPr>
      <w:bookmarkStart w:id="175" w:name="_Toc526889803"/>
      <w:r w:rsidRPr="00EA1BB2">
        <w:rPr>
          <w:rFonts w:ascii="Cambria" w:eastAsia="Calibri" w:hAnsi="Cambria" w:cs="Times New Roman"/>
          <w:b/>
          <w:iCs/>
          <w:sz w:val="24"/>
          <w:szCs w:val="24"/>
        </w:rPr>
        <w:lastRenderedPageBreak/>
        <w:t xml:space="preserve">Tabelul nr. </w:t>
      </w:r>
      <w:r w:rsidR="000A2FE7" w:rsidRPr="00EA1BB2">
        <w:rPr>
          <w:rFonts w:ascii="Cambria" w:eastAsia="Calibri" w:hAnsi="Cambria" w:cs="Times New Roman"/>
          <w:b/>
          <w:iCs/>
          <w:sz w:val="24"/>
          <w:szCs w:val="24"/>
        </w:rPr>
        <w:fldChar w:fldCharType="begin"/>
      </w:r>
      <w:r w:rsidR="000A2FE7" w:rsidRPr="00EA1BB2">
        <w:rPr>
          <w:rFonts w:ascii="Cambria" w:eastAsia="Calibri" w:hAnsi="Cambria" w:cs="Times New Roman"/>
          <w:b/>
          <w:iCs/>
          <w:sz w:val="24"/>
          <w:szCs w:val="24"/>
        </w:rPr>
        <w:instrText xml:space="preserve"> STYLEREF 1 \s </w:instrText>
      </w:r>
      <w:r w:rsidR="000A2FE7" w:rsidRPr="00EA1BB2">
        <w:rPr>
          <w:rFonts w:ascii="Cambria" w:eastAsia="Calibri" w:hAnsi="Cambria" w:cs="Times New Roman"/>
          <w:b/>
          <w:iCs/>
          <w:sz w:val="24"/>
          <w:szCs w:val="24"/>
        </w:rPr>
        <w:fldChar w:fldCharType="separate"/>
      </w:r>
      <w:r w:rsidR="00567555">
        <w:rPr>
          <w:rFonts w:ascii="Cambria" w:eastAsia="Calibri" w:hAnsi="Cambria" w:cs="Times New Roman"/>
          <w:b/>
          <w:iCs/>
          <w:noProof/>
          <w:sz w:val="24"/>
          <w:szCs w:val="24"/>
        </w:rPr>
        <w:t>3</w:t>
      </w:r>
      <w:r w:rsidR="000A2FE7" w:rsidRPr="00EA1BB2">
        <w:rPr>
          <w:rFonts w:ascii="Cambria" w:eastAsia="Calibri" w:hAnsi="Cambria" w:cs="Times New Roman"/>
          <w:b/>
          <w:iCs/>
          <w:sz w:val="24"/>
          <w:szCs w:val="24"/>
        </w:rPr>
        <w:fldChar w:fldCharType="end"/>
      </w:r>
      <w:r w:rsidR="000A2FE7" w:rsidRPr="00EA1BB2">
        <w:rPr>
          <w:rFonts w:ascii="Cambria" w:eastAsia="Calibri" w:hAnsi="Cambria" w:cs="Times New Roman"/>
          <w:b/>
          <w:iCs/>
          <w:sz w:val="24"/>
          <w:szCs w:val="24"/>
        </w:rPr>
        <w:noBreakHyphen/>
      </w:r>
      <w:r w:rsidR="000A2FE7" w:rsidRPr="00EA1BB2">
        <w:rPr>
          <w:rFonts w:ascii="Cambria" w:eastAsia="Calibri" w:hAnsi="Cambria" w:cs="Times New Roman"/>
          <w:b/>
          <w:iCs/>
          <w:sz w:val="24"/>
          <w:szCs w:val="24"/>
        </w:rPr>
        <w:fldChar w:fldCharType="begin"/>
      </w:r>
      <w:r w:rsidR="000A2FE7" w:rsidRPr="00EA1BB2">
        <w:rPr>
          <w:rFonts w:ascii="Cambria" w:eastAsia="Calibri" w:hAnsi="Cambria" w:cs="Times New Roman"/>
          <w:b/>
          <w:iCs/>
          <w:sz w:val="24"/>
          <w:szCs w:val="24"/>
        </w:rPr>
        <w:instrText xml:space="preserve"> SEQ Tabelul_nr. \* ARABIC \s 1 </w:instrText>
      </w:r>
      <w:r w:rsidR="000A2FE7" w:rsidRPr="00EA1BB2">
        <w:rPr>
          <w:rFonts w:ascii="Cambria" w:eastAsia="Calibri" w:hAnsi="Cambria" w:cs="Times New Roman"/>
          <w:b/>
          <w:iCs/>
          <w:sz w:val="24"/>
          <w:szCs w:val="24"/>
        </w:rPr>
        <w:fldChar w:fldCharType="separate"/>
      </w:r>
      <w:r w:rsidR="00567555">
        <w:rPr>
          <w:rFonts w:ascii="Cambria" w:eastAsia="Calibri" w:hAnsi="Cambria" w:cs="Times New Roman"/>
          <w:b/>
          <w:iCs/>
          <w:noProof/>
          <w:sz w:val="24"/>
          <w:szCs w:val="24"/>
        </w:rPr>
        <w:t>34</w:t>
      </w:r>
      <w:r w:rsidR="000A2FE7" w:rsidRPr="00EA1BB2">
        <w:rPr>
          <w:rFonts w:ascii="Cambria" w:eastAsia="Calibri" w:hAnsi="Cambria" w:cs="Times New Roman"/>
          <w:b/>
          <w:iCs/>
          <w:sz w:val="24"/>
          <w:szCs w:val="24"/>
        </w:rPr>
        <w:fldChar w:fldCharType="end"/>
      </w:r>
      <w:r w:rsidRPr="00EA1BB2">
        <w:rPr>
          <w:rFonts w:ascii="Cambria" w:eastAsia="Calibri" w:hAnsi="Cambria" w:cs="Times New Roman"/>
          <w:b/>
          <w:iCs/>
          <w:sz w:val="24"/>
          <w:szCs w:val="24"/>
        </w:rPr>
        <w:t xml:space="preserve"> - </w:t>
      </w:r>
      <w:r w:rsidRPr="00EA1BB2">
        <w:rPr>
          <w:rFonts w:ascii="Cambria" w:eastAsia="Times New Roman" w:hAnsi="Cambria" w:cs="Times New Roman"/>
          <w:b/>
          <w:sz w:val="24"/>
          <w:szCs w:val="24"/>
        </w:rPr>
        <w:t xml:space="preserve"> Cerin</w:t>
      </w:r>
      <w:r w:rsidR="00054880" w:rsidRPr="00EA1BB2">
        <w:rPr>
          <w:rFonts w:ascii="Cambria" w:eastAsia="Times New Roman" w:hAnsi="Cambria" w:cs="Times New Roman"/>
          <w:b/>
          <w:sz w:val="24"/>
          <w:szCs w:val="24"/>
        </w:rPr>
        <w:t>ț</w:t>
      </w:r>
      <w:r w:rsidRPr="00EA1BB2">
        <w:rPr>
          <w:rFonts w:ascii="Cambria" w:eastAsia="Times New Roman" w:hAnsi="Cambria" w:cs="Times New Roman"/>
          <w:b/>
          <w:sz w:val="24"/>
          <w:szCs w:val="24"/>
        </w:rPr>
        <w:t>ele pentru evaluarea concentra</w:t>
      </w:r>
      <w:r w:rsidR="00054880" w:rsidRPr="00EA1BB2">
        <w:rPr>
          <w:rFonts w:ascii="Cambria" w:eastAsia="Times New Roman" w:hAnsi="Cambria" w:cs="Times New Roman"/>
          <w:b/>
          <w:sz w:val="24"/>
          <w:szCs w:val="24"/>
        </w:rPr>
        <w:t>ț</w:t>
      </w:r>
      <w:r w:rsidRPr="00EA1BB2">
        <w:rPr>
          <w:rFonts w:ascii="Cambria" w:eastAsia="Times New Roman" w:hAnsi="Cambria" w:cs="Times New Roman"/>
          <w:b/>
          <w:sz w:val="24"/>
          <w:szCs w:val="24"/>
        </w:rPr>
        <w:t>iilor de Arsen (As)</w:t>
      </w:r>
      <w:bookmarkEnd w:id="175"/>
    </w:p>
    <w:tbl>
      <w:tblPr>
        <w:tblStyle w:val="TableGrid"/>
        <w:tblW w:w="0" w:type="auto"/>
        <w:tblLook w:val="04A0" w:firstRow="1" w:lastRow="0" w:firstColumn="1" w:lastColumn="0" w:noHBand="0" w:noVBand="1"/>
      </w:tblPr>
      <w:tblGrid>
        <w:gridCol w:w="846"/>
        <w:gridCol w:w="2126"/>
        <w:gridCol w:w="6088"/>
      </w:tblGrid>
      <w:tr w:rsidR="00585E25" w:rsidRPr="00EA1BB2" w14:paraId="49582EB7" w14:textId="77777777" w:rsidTr="008F249F">
        <w:trPr>
          <w:tblHeader/>
        </w:trPr>
        <w:tc>
          <w:tcPr>
            <w:tcW w:w="846" w:type="dxa"/>
            <w:shd w:val="clear" w:color="auto" w:fill="BDD6EE" w:themeFill="accent1" w:themeFillTint="66"/>
            <w:vAlign w:val="center"/>
          </w:tcPr>
          <w:p w14:paraId="0D7D05FF" w14:textId="77777777" w:rsidR="00585E25" w:rsidRPr="00EA1BB2" w:rsidRDefault="00585E25" w:rsidP="008F249F">
            <w:pPr>
              <w:spacing w:line="276" w:lineRule="auto"/>
              <w:jc w:val="center"/>
              <w:rPr>
                <w:rFonts w:ascii="Cambria" w:hAnsi="Cambria" w:cs="Times New Roman"/>
                <w:sz w:val="24"/>
                <w:szCs w:val="24"/>
                <w:lang w:val="ro-RO"/>
              </w:rPr>
            </w:pPr>
            <w:r w:rsidRPr="00EA1BB2">
              <w:rPr>
                <w:rFonts w:ascii="Cambria" w:eastAsia="Times New Roman" w:hAnsi="Cambria" w:cs="Times New Roman"/>
                <w:b/>
                <w:sz w:val="24"/>
                <w:szCs w:val="24"/>
                <w:lang w:val="ro-RO"/>
              </w:rPr>
              <w:t>Nr. crt.</w:t>
            </w:r>
          </w:p>
        </w:tc>
        <w:tc>
          <w:tcPr>
            <w:tcW w:w="2126" w:type="dxa"/>
            <w:shd w:val="clear" w:color="auto" w:fill="BDD6EE" w:themeFill="accent1" w:themeFillTint="66"/>
            <w:vAlign w:val="center"/>
          </w:tcPr>
          <w:p w14:paraId="105BCC33" w14:textId="77777777" w:rsidR="00585E25" w:rsidRPr="00EA1BB2" w:rsidRDefault="00585E25" w:rsidP="008F249F">
            <w:pPr>
              <w:spacing w:line="360" w:lineRule="auto"/>
              <w:jc w:val="center"/>
              <w:rPr>
                <w:rFonts w:ascii="Cambria" w:hAnsi="Cambria" w:cs="Times New Roman"/>
                <w:sz w:val="24"/>
                <w:szCs w:val="24"/>
                <w:lang w:val="ro-RO"/>
              </w:rPr>
            </w:pPr>
            <w:r w:rsidRPr="00EA1BB2">
              <w:rPr>
                <w:rFonts w:ascii="Cambria" w:hAnsi="Cambria"/>
                <w:b/>
                <w:sz w:val="24"/>
                <w:szCs w:val="24"/>
                <w:lang w:val="ro-RO"/>
              </w:rPr>
              <w:t>Parametru</w:t>
            </w:r>
          </w:p>
        </w:tc>
        <w:tc>
          <w:tcPr>
            <w:tcW w:w="6088" w:type="dxa"/>
            <w:shd w:val="clear" w:color="auto" w:fill="BDD6EE" w:themeFill="accent1" w:themeFillTint="66"/>
            <w:vAlign w:val="center"/>
          </w:tcPr>
          <w:p w14:paraId="2CB57BB9" w14:textId="77777777" w:rsidR="00585E25" w:rsidRPr="00EA1BB2" w:rsidRDefault="00585E25" w:rsidP="008F249F">
            <w:pPr>
              <w:spacing w:line="360" w:lineRule="auto"/>
              <w:jc w:val="center"/>
              <w:rPr>
                <w:rFonts w:ascii="Cambria" w:hAnsi="Cambria" w:cs="Times New Roman"/>
                <w:sz w:val="24"/>
                <w:szCs w:val="24"/>
                <w:lang w:val="ro-RO"/>
              </w:rPr>
            </w:pPr>
            <w:r w:rsidRPr="00EA1BB2">
              <w:rPr>
                <w:rFonts w:ascii="Cambria" w:hAnsi="Cambria"/>
                <w:b/>
                <w:sz w:val="24"/>
                <w:szCs w:val="24"/>
                <w:lang w:val="ro-RO"/>
              </w:rPr>
              <w:t>Valoare</w:t>
            </w:r>
          </w:p>
        </w:tc>
      </w:tr>
      <w:tr w:rsidR="00585E25" w:rsidRPr="00EA1BB2" w14:paraId="3D5C0172" w14:textId="77777777" w:rsidTr="008F249F">
        <w:tc>
          <w:tcPr>
            <w:tcW w:w="846" w:type="dxa"/>
            <w:vAlign w:val="center"/>
          </w:tcPr>
          <w:p w14:paraId="5704F965" w14:textId="77777777" w:rsidR="00585E25" w:rsidRPr="00EA1BB2" w:rsidRDefault="00585E25" w:rsidP="00585E25">
            <w:pPr>
              <w:spacing w:line="360" w:lineRule="auto"/>
              <w:jc w:val="center"/>
              <w:rPr>
                <w:rFonts w:ascii="Cambria" w:hAnsi="Cambria" w:cs="Times New Roman"/>
                <w:sz w:val="24"/>
                <w:szCs w:val="24"/>
                <w:lang w:val="ro-RO"/>
              </w:rPr>
            </w:pPr>
            <w:r w:rsidRPr="00EA1BB2">
              <w:rPr>
                <w:rFonts w:ascii="Cambria" w:eastAsia="Times New Roman" w:hAnsi="Cambria" w:cs="Times New Roman"/>
                <w:sz w:val="24"/>
                <w:szCs w:val="24"/>
                <w:lang w:val="ro-RO"/>
              </w:rPr>
              <w:t>1</w:t>
            </w:r>
          </w:p>
        </w:tc>
        <w:tc>
          <w:tcPr>
            <w:tcW w:w="2126" w:type="dxa"/>
            <w:vAlign w:val="center"/>
          </w:tcPr>
          <w:p w14:paraId="74E08C80" w14:textId="77777777" w:rsidR="00585E25" w:rsidRPr="00EA1BB2" w:rsidRDefault="00585E25" w:rsidP="00585E25">
            <w:pPr>
              <w:spacing w:line="360" w:lineRule="auto"/>
              <w:jc w:val="center"/>
              <w:rPr>
                <w:rFonts w:ascii="Cambria" w:hAnsi="Cambria" w:cs="Times New Roman"/>
                <w:sz w:val="24"/>
                <w:szCs w:val="24"/>
                <w:lang w:val="ro-RO"/>
              </w:rPr>
            </w:pPr>
            <w:r w:rsidRPr="00EA1BB2">
              <w:rPr>
                <w:rFonts w:ascii="Cambria" w:hAnsi="Cambria"/>
                <w:bCs/>
                <w:sz w:val="24"/>
                <w:szCs w:val="24"/>
                <w:lang w:val="ro-RO"/>
              </w:rPr>
              <w:t>Valoare țintă</w:t>
            </w:r>
          </w:p>
        </w:tc>
        <w:tc>
          <w:tcPr>
            <w:tcW w:w="6088" w:type="dxa"/>
            <w:vAlign w:val="center"/>
          </w:tcPr>
          <w:p w14:paraId="657B1185" w14:textId="77777777" w:rsidR="00585E25" w:rsidRPr="00EA1BB2" w:rsidRDefault="00585E25" w:rsidP="00585E25">
            <w:pPr>
              <w:spacing w:line="360" w:lineRule="auto"/>
              <w:jc w:val="both"/>
              <w:rPr>
                <w:rFonts w:ascii="Cambria" w:hAnsi="Cambria" w:cs="Times New Roman"/>
                <w:sz w:val="24"/>
                <w:szCs w:val="24"/>
                <w:lang w:val="ro-RO"/>
              </w:rPr>
            </w:pPr>
            <w:r w:rsidRPr="00EA1BB2">
              <w:rPr>
                <w:rFonts w:ascii="Cambria" w:hAnsi="Cambria"/>
                <w:bCs/>
                <w:sz w:val="24"/>
                <w:szCs w:val="24"/>
                <w:lang w:val="ro-RO"/>
              </w:rPr>
              <w:t xml:space="preserve">6 </w:t>
            </w:r>
            <w:r w:rsidRPr="00EA1BB2">
              <w:rPr>
                <w:rFonts w:ascii="Cambria" w:hAnsi="Cambria" w:cs="Times New Roman"/>
                <w:bCs/>
                <w:sz w:val="24"/>
                <w:szCs w:val="24"/>
                <w:lang w:val="ro-RO"/>
              </w:rPr>
              <w:t xml:space="preserve"> n</w:t>
            </w:r>
            <w:r w:rsidRPr="00EA1BB2">
              <w:rPr>
                <w:rFonts w:ascii="Cambria" w:hAnsi="Cambria"/>
                <w:bCs/>
                <w:sz w:val="24"/>
                <w:szCs w:val="24"/>
                <w:lang w:val="ro-RO"/>
              </w:rPr>
              <w:t>g/m</w:t>
            </w:r>
            <w:r w:rsidRPr="00EA1BB2">
              <w:rPr>
                <w:rFonts w:ascii="Cambria" w:hAnsi="Cambria"/>
                <w:bCs/>
                <w:sz w:val="24"/>
                <w:szCs w:val="24"/>
                <w:vertAlign w:val="superscript"/>
                <w:lang w:val="ro-RO"/>
              </w:rPr>
              <w:t>3</w:t>
            </w:r>
            <w:r w:rsidRPr="00EA1BB2">
              <w:rPr>
                <w:rFonts w:ascii="Cambria" w:hAnsi="Cambria"/>
                <w:bCs/>
                <w:sz w:val="24"/>
                <w:szCs w:val="24"/>
                <w:lang w:val="ro-RO"/>
              </w:rPr>
              <w:t xml:space="preserve"> - valoarea țintă pentru conținutul total din fracția PM</w:t>
            </w:r>
            <w:r w:rsidRPr="00EA1BB2">
              <w:rPr>
                <w:rFonts w:ascii="Cambria" w:hAnsi="Cambria"/>
                <w:bCs/>
                <w:sz w:val="24"/>
                <w:szCs w:val="24"/>
                <w:vertAlign w:val="subscript"/>
                <w:lang w:val="ro-RO"/>
              </w:rPr>
              <w:t>10</w:t>
            </w:r>
            <w:r w:rsidRPr="00EA1BB2">
              <w:rPr>
                <w:rFonts w:ascii="Cambria" w:hAnsi="Cambria"/>
                <w:bCs/>
                <w:sz w:val="24"/>
                <w:szCs w:val="24"/>
                <w:lang w:val="ro-RO"/>
              </w:rPr>
              <w:t>, mediată pentru un an calendaristic.</w:t>
            </w:r>
          </w:p>
        </w:tc>
      </w:tr>
      <w:tr w:rsidR="00585E25" w:rsidRPr="00EA1BB2" w14:paraId="701484DE" w14:textId="77777777" w:rsidTr="008F249F">
        <w:tc>
          <w:tcPr>
            <w:tcW w:w="846" w:type="dxa"/>
            <w:vAlign w:val="center"/>
          </w:tcPr>
          <w:p w14:paraId="0DB03BFF" w14:textId="77777777" w:rsidR="00585E25" w:rsidRPr="00EA1BB2" w:rsidRDefault="00585E25" w:rsidP="00585E25">
            <w:pPr>
              <w:spacing w:line="360" w:lineRule="auto"/>
              <w:jc w:val="center"/>
              <w:rPr>
                <w:rFonts w:ascii="Cambria" w:hAnsi="Cambria" w:cs="Times New Roman"/>
                <w:sz w:val="24"/>
                <w:szCs w:val="24"/>
                <w:lang w:val="ro-RO"/>
              </w:rPr>
            </w:pPr>
            <w:r w:rsidRPr="00EA1BB2">
              <w:rPr>
                <w:rFonts w:ascii="Cambria" w:eastAsia="Times New Roman" w:hAnsi="Cambria" w:cs="Times New Roman"/>
                <w:sz w:val="24"/>
                <w:szCs w:val="24"/>
                <w:lang w:val="ro-RO"/>
              </w:rPr>
              <w:t>2</w:t>
            </w:r>
          </w:p>
        </w:tc>
        <w:tc>
          <w:tcPr>
            <w:tcW w:w="2126" w:type="dxa"/>
            <w:vAlign w:val="center"/>
          </w:tcPr>
          <w:p w14:paraId="3CFA6759" w14:textId="77777777" w:rsidR="00585E25" w:rsidRPr="00EA1BB2" w:rsidRDefault="00585E25" w:rsidP="00585E25">
            <w:pPr>
              <w:spacing w:line="360" w:lineRule="auto"/>
              <w:jc w:val="center"/>
              <w:rPr>
                <w:rFonts w:ascii="Cambria" w:hAnsi="Cambria" w:cs="Times New Roman"/>
                <w:sz w:val="24"/>
                <w:szCs w:val="24"/>
                <w:lang w:val="ro-RO"/>
              </w:rPr>
            </w:pPr>
            <w:r w:rsidRPr="00EA1BB2">
              <w:rPr>
                <w:rFonts w:ascii="Cambria" w:hAnsi="Cambria"/>
                <w:bCs/>
                <w:sz w:val="24"/>
                <w:szCs w:val="24"/>
                <w:lang w:val="ro-RO"/>
              </w:rPr>
              <w:t>Pragul superior de evaluare</w:t>
            </w:r>
          </w:p>
        </w:tc>
        <w:tc>
          <w:tcPr>
            <w:tcW w:w="6088" w:type="dxa"/>
            <w:vAlign w:val="center"/>
          </w:tcPr>
          <w:p w14:paraId="6D5BA6A2" w14:textId="77777777" w:rsidR="00585E25" w:rsidRPr="00EA1BB2" w:rsidRDefault="00585E25" w:rsidP="00585E25">
            <w:pPr>
              <w:spacing w:line="360" w:lineRule="auto"/>
              <w:jc w:val="both"/>
              <w:rPr>
                <w:rFonts w:ascii="Cambria" w:hAnsi="Cambria" w:cs="Times New Roman"/>
                <w:sz w:val="24"/>
                <w:szCs w:val="24"/>
                <w:lang w:val="ro-RO"/>
              </w:rPr>
            </w:pPr>
            <w:r w:rsidRPr="00EA1BB2">
              <w:rPr>
                <w:rFonts w:ascii="Cambria" w:hAnsi="Cambria"/>
                <w:bCs/>
                <w:sz w:val="24"/>
                <w:szCs w:val="24"/>
                <w:lang w:val="ro-RO"/>
              </w:rPr>
              <w:t>60% din valoarea-țintă (3,6 ng/m</w:t>
            </w:r>
            <w:r w:rsidRPr="00EA1BB2">
              <w:rPr>
                <w:rFonts w:ascii="Cambria" w:hAnsi="Cambria"/>
                <w:bCs/>
                <w:sz w:val="24"/>
                <w:szCs w:val="24"/>
                <w:vertAlign w:val="superscript"/>
                <w:lang w:val="ro-RO"/>
              </w:rPr>
              <w:t>3</w:t>
            </w:r>
            <w:r w:rsidRPr="00EA1BB2">
              <w:rPr>
                <w:rFonts w:ascii="Cambria" w:hAnsi="Cambria"/>
                <w:bCs/>
                <w:sz w:val="24"/>
                <w:szCs w:val="24"/>
                <w:lang w:val="ro-RO"/>
              </w:rPr>
              <w:t>)</w:t>
            </w:r>
          </w:p>
        </w:tc>
      </w:tr>
      <w:tr w:rsidR="00585E25" w:rsidRPr="00EA1BB2" w14:paraId="3BB7A3AB" w14:textId="77777777" w:rsidTr="008F249F">
        <w:tc>
          <w:tcPr>
            <w:tcW w:w="846" w:type="dxa"/>
            <w:vAlign w:val="center"/>
          </w:tcPr>
          <w:p w14:paraId="5E3A27C4" w14:textId="77777777" w:rsidR="00585E25" w:rsidRPr="00EA1BB2" w:rsidRDefault="00585E25" w:rsidP="00585E25">
            <w:pPr>
              <w:spacing w:line="360" w:lineRule="auto"/>
              <w:jc w:val="center"/>
              <w:rPr>
                <w:rFonts w:ascii="Cambria" w:hAnsi="Cambria" w:cs="Times New Roman"/>
                <w:sz w:val="24"/>
                <w:szCs w:val="24"/>
                <w:lang w:val="ro-RO"/>
              </w:rPr>
            </w:pPr>
            <w:r w:rsidRPr="00EA1BB2">
              <w:rPr>
                <w:rFonts w:ascii="Cambria" w:eastAsia="Times New Roman" w:hAnsi="Cambria" w:cs="Times New Roman"/>
                <w:sz w:val="24"/>
                <w:szCs w:val="24"/>
                <w:lang w:val="ro-RO"/>
              </w:rPr>
              <w:t>3</w:t>
            </w:r>
          </w:p>
        </w:tc>
        <w:tc>
          <w:tcPr>
            <w:tcW w:w="2126" w:type="dxa"/>
            <w:vAlign w:val="center"/>
          </w:tcPr>
          <w:p w14:paraId="7814726D" w14:textId="77777777" w:rsidR="00585E25" w:rsidRPr="00EA1BB2" w:rsidRDefault="00585E25" w:rsidP="00585E25">
            <w:pPr>
              <w:spacing w:line="360" w:lineRule="auto"/>
              <w:jc w:val="center"/>
              <w:rPr>
                <w:rFonts w:ascii="Cambria" w:hAnsi="Cambria" w:cs="Times New Roman"/>
                <w:sz w:val="24"/>
                <w:szCs w:val="24"/>
                <w:lang w:val="ro-RO"/>
              </w:rPr>
            </w:pPr>
            <w:r w:rsidRPr="00EA1BB2">
              <w:rPr>
                <w:rFonts w:ascii="Cambria" w:hAnsi="Cambria"/>
                <w:bCs/>
                <w:sz w:val="24"/>
                <w:szCs w:val="24"/>
                <w:lang w:val="ro-RO"/>
              </w:rPr>
              <w:t xml:space="preserve">Pragul inferior de evaluare </w:t>
            </w:r>
          </w:p>
        </w:tc>
        <w:tc>
          <w:tcPr>
            <w:tcW w:w="6088" w:type="dxa"/>
            <w:vAlign w:val="center"/>
          </w:tcPr>
          <w:p w14:paraId="4376B2D6" w14:textId="77777777" w:rsidR="00585E25" w:rsidRPr="00EA1BB2" w:rsidRDefault="00585E25" w:rsidP="00585E25">
            <w:pPr>
              <w:spacing w:line="360" w:lineRule="auto"/>
              <w:jc w:val="both"/>
              <w:rPr>
                <w:rFonts w:ascii="Cambria" w:hAnsi="Cambria" w:cs="Times New Roman"/>
                <w:sz w:val="24"/>
                <w:szCs w:val="24"/>
                <w:lang w:val="ro-RO"/>
              </w:rPr>
            </w:pPr>
            <w:r w:rsidRPr="00EA1BB2">
              <w:rPr>
                <w:rFonts w:ascii="Cambria" w:hAnsi="Cambria"/>
                <w:bCs/>
                <w:sz w:val="24"/>
                <w:szCs w:val="24"/>
                <w:lang w:val="ro-RO"/>
              </w:rPr>
              <w:t>40% din valoarea-țintă (2,4 ng/m</w:t>
            </w:r>
            <w:r w:rsidRPr="00EA1BB2">
              <w:rPr>
                <w:rFonts w:ascii="Cambria" w:hAnsi="Cambria"/>
                <w:bCs/>
                <w:sz w:val="24"/>
                <w:szCs w:val="24"/>
                <w:vertAlign w:val="superscript"/>
                <w:lang w:val="ro-RO"/>
              </w:rPr>
              <w:t>3</w:t>
            </w:r>
            <w:r w:rsidRPr="00EA1BB2">
              <w:rPr>
                <w:rFonts w:ascii="Cambria" w:hAnsi="Cambria"/>
                <w:bCs/>
                <w:sz w:val="24"/>
                <w:szCs w:val="24"/>
                <w:lang w:val="ro-RO"/>
              </w:rPr>
              <w:t>)</w:t>
            </w:r>
          </w:p>
        </w:tc>
      </w:tr>
    </w:tbl>
    <w:p w14:paraId="0F0EAE7E" w14:textId="77777777" w:rsidR="00AA06F2" w:rsidRPr="00EA1BB2" w:rsidRDefault="00AA06F2" w:rsidP="009B697F">
      <w:pPr>
        <w:keepNext/>
        <w:spacing w:line="276" w:lineRule="auto"/>
        <w:ind w:right="-569"/>
        <w:jc w:val="both"/>
        <w:rPr>
          <w:rFonts w:ascii="Cambria" w:eastAsia="Calibri" w:hAnsi="Cambria" w:cs="Times New Roman"/>
          <w:iCs/>
          <w:szCs w:val="24"/>
        </w:rPr>
      </w:pPr>
      <w:r w:rsidRPr="00EA1BB2">
        <w:rPr>
          <w:rFonts w:ascii="Cambria" w:eastAsia="Calibri" w:hAnsi="Cambria" w:cs="Times New Roman"/>
          <w:iCs/>
          <w:szCs w:val="24"/>
        </w:rPr>
        <w:t>sursa: http://www.calitateaer.ro/public/assessment-page/pollutants-page/plumb-page/?__locale=ro</w:t>
      </w:r>
    </w:p>
    <w:p w14:paraId="4148C34F" w14:textId="77777777" w:rsidR="00AA06F2" w:rsidRPr="00EA1BB2" w:rsidRDefault="00AA06F2" w:rsidP="00042796">
      <w:pPr>
        <w:spacing w:line="360" w:lineRule="auto"/>
        <w:jc w:val="both"/>
        <w:rPr>
          <w:rFonts w:ascii="Cambria" w:eastAsia="Times New Roman" w:hAnsi="Cambria" w:cs="Times New Roman"/>
          <w:sz w:val="24"/>
          <w:szCs w:val="24"/>
        </w:rPr>
      </w:pPr>
    </w:p>
    <w:p w14:paraId="1F7975A2" w14:textId="73C0CF7F" w:rsidR="00AA06F2" w:rsidRPr="00EA1BB2" w:rsidRDefault="00AA06F2" w:rsidP="00AA06F2">
      <w:pPr>
        <w:keepNext/>
        <w:spacing w:line="276" w:lineRule="auto"/>
        <w:ind w:firstLine="708"/>
        <w:jc w:val="both"/>
        <w:rPr>
          <w:rFonts w:ascii="Cambria" w:eastAsia="Times New Roman" w:hAnsi="Cambria" w:cs="Times New Roman"/>
          <w:b/>
          <w:sz w:val="24"/>
          <w:szCs w:val="24"/>
        </w:rPr>
      </w:pPr>
      <w:bookmarkStart w:id="176" w:name="_Toc526889804"/>
      <w:r w:rsidRPr="00EA1BB2">
        <w:rPr>
          <w:rFonts w:ascii="Cambria" w:eastAsia="Calibri" w:hAnsi="Cambria" w:cs="Times New Roman"/>
          <w:b/>
          <w:iCs/>
          <w:sz w:val="24"/>
          <w:szCs w:val="24"/>
        </w:rPr>
        <w:t xml:space="preserve">Tabelul nr. </w:t>
      </w:r>
      <w:r w:rsidR="000A2FE7" w:rsidRPr="00EA1BB2">
        <w:rPr>
          <w:rFonts w:ascii="Cambria" w:eastAsia="Calibri" w:hAnsi="Cambria" w:cs="Times New Roman"/>
          <w:b/>
          <w:iCs/>
          <w:sz w:val="24"/>
          <w:szCs w:val="24"/>
        </w:rPr>
        <w:fldChar w:fldCharType="begin"/>
      </w:r>
      <w:r w:rsidR="000A2FE7" w:rsidRPr="00EA1BB2">
        <w:rPr>
          <w:rFonts w:ascii="Cambria" w:eastAsia="Calibri" w:hAnsi="Cambria" w:cs="Times New Roman"/>
          <w:b/>
          <w:iCs/>
          <w:sz w:val="24"/>
          <w:szCs w:val="24"/>
        </w:rPr>
        <w:instrText xml:space="preserve"> STYLEREF 1 \s </w:instrText>
      </w:r>
      <w:r w:rsidR="000A2FE7" w:rsidRPr="00EA1BB2">
        <w:rPr>
          <w:rFonts w:ascii="Cambria" w:eastAsia="Calibri" w:hAnsi="Cambria" w:cs="Times New Roman"/>
          <w:b/>
          <w:iCs/>
          <w:sz w:val="24"/>
          <w:szCs w:val="24"/>
        </w:rPr>
        <w:fldChar w:fldCharType="separate"/>
      </w:r>
      <w:r w:rsidR="00567555">
        <w:rPr>
          <w:rFonts w:ascii="Cambria" w:eastAsia="Calibri" w:hAnsi="Cambria" w:cs="Times New Roman"/>
          <w:b/>
          <w:iCs/>
          <w:noProof/>
          <w:sz w:val="24"/>
          <w:szCs w:val="24"/>
        </w:rPr>
        <w:t>3</w:t>
      </w:r>
      <w:r w:rsidR="000A2FE7" w:rsidRPr="00EA1BB2">
        <w:rPr>
          <w:rFonts w:ascii="Cambria" w:eastAsia="Calibri" w:hAnsi="Cambria" w:cs="Times New Roman"/>
          <w:b/>
          <w:iCs/>
          <w:sz w:val="24"/>
          <w:szCs w:val="24"/>
        </w:rPr>
        <w:fldChar w:fldCharType="end"/>
      </w:r>
      <w:r w:rsidR="000A2FE7" w:rsidRPr="00EA1BB2">
        <w:rPr>
          <w:rFonts w:ascii="Cambria" w:eastAsia="Calibri" w:hAnsi="Cambria" w:cs="Times New Roman"/>
          <w:b/>
          <w:iCs/>
          <w:sz w:val="24"/>
          <w:szCs w:val="24"/>
        </w:rPr>
        <w:noBreakHyphen/>
      </w:r>
      <w:r w:rsidR="000A2FE7" w:rsidRPr="00EA1BB2">
        <w:rPr>
          <w:rFonts w:ascii="Cambria" w:eastAsia="Calibri" w:hAnsi="Cambria" w:cs="Times New Roman"/>
          <w:b/>
          <w:iCs/>
          <w:sz w:val="24"/>
          <w:szCs w:val="24"/>
        </w:rPr>
        <w:fldChar w:fldCharType="begin"/>
      </w:r>
      <w:r w:rsidR="000A2FE7" w:rsidRPr="00EA1BB2">
        <w:rPr>
          <w:rFonts w:ascii="Cambria" w:eastAsia="Calibri" w:hAnsi="Cambria" w:cs="Times New Roman"/>
          <w:b/>
          <w:iCs/>
          <w:sz w:val="24"/>
          <w:szCs w:val="24"/>
        </w:rPr>
        <w:instrText xml:space="preserve"> SEQ Tabelul_nr. \* ARABIC \s 1 </w:instrText>
      </w:r>
      <w:r w:rsidR="000A2FE7" w:rsidRPr="00EA1BB2">
        <w:rPr>
          <w:rFonts w:ascii="Cambria" w:eastAsia="Calibri" w:hAnsi="Cambria" w:cs="Times New Roman"/>
          <w:b/>
          <w:iCs/>
          <w:sz w:val="24"/>
          <w:szCs w:val="24"/>
        </w:rPr>
        <w:fldChar w:fldCharType="separate"/>
      </w:r>
      <w:r w:rsidR="00567555">
        <w:rPr>
          <w:rFonts w:ascii="Cambria" w:eastAsia="Calibri" w:hAnsi="Cambria" w:cs="Times New Roman"/>
          <w:b/>
          <w:iCs/>
          <w:noProof/>
          <w:sz w:val="24"/>
          <w:szCs w:val="24"/>
        </w:rPr>
        <w:t>35</w:t>
      </w:r>
      <w:r w:rsidR="000A2FE7" w:rsidRPr="00EA1BB2">
        <w:rPr>
          <w:rFonts w:ascii="Cambria" w:eastAsia="Calibri" w:hAnsi="Cambria" w:cs="Times New Roman"/>
          <w:b/>
          <w:iCs/>
          <w:sz w:val="24"/>
          <w:szCs w:val="24"/>
        </w:rPr>
        <w:fldChar w:fldCharType="end"/>
      </w:r>
      <w:r w:rsidRPr="00EA1BB2">
        <w:rPr>
          <w:rFonts w:ascii="Cambria" w:eastAsia="Calibri" w:hAnsi="Cambria" w:cs="Times New Roman"/>
          <w:b/>
          <w:iCs/>
          <w:sz w:val="24"/>
          <w:szCs w:val="24"/>
        </w:rPr>
        <w:t xml:space="preserve"> - </w:t>
      </w:r>
      <w:r w:rsidRPr="00EA1BB2">
        <w:rPr>
          <w:rFonts w:ascii="Cambria" w:eastAsia="Times New Roman" w:hAnsi="Cambria" w:cs="Times New Roman"/>
          <w:b/>
          <w:sz w:val="24"/>
          <w:szCs w:val="24"/>
        </w:rPr>
        <w:t xml:space="preserve"> Cerin</w:t>
      </w:r>
      <w:r w:rsidR="00054880" w:rsidRPr="00EA1BB2">
        <w:rPr>
          <w:rFonts w:ascii="Cambria" w:eastAsia="Times New Roman" w:hAnsi="Cambria" w:cs="Times New Roman"/>
          <w:b/>
          <w:sz w:val="24"/>
          <w:szCs w:val="24"/>
        </w:rPr>
        <w:t>ț</w:t>
      </w:r>
      <w:r w:rsidRPr="00EA1BB2">
        <w:rPr>
          <w:rFonts w:ascii="Cambria" w:eastAsia="Times New Roman" w:hAnsi="Cambria" w:cs="Times New Roman"/>
          <w:b/>
          <w:sz w:val="24"/>
          <w:szCs w:val="24"/>
        </w:rPr>
        <w:t>ele pentru evaluarea concentra</w:t>
      </w:r>
      <w:r w:rsidR="00054880" w:rsidRPr="00EA1BB2">
        <w:rPr>
          <w:rFonts w:ascii="Cambria" w:eastAsia="Times New Roman" w:hAnsi="Cambria" w:cs="Times New Roman"/>
          <w:b/>
          <w:sz w:val="24"/>
          <w:szCs w:val="24"/>
        </w:rPr>
        <w:t>ț</w:t>
      </w:r>
      <w:r w:rsidRPr="00EA1BB2">
        <w:rPr>
          <w:rFonts w:ascii="Cambria" w:eastAsia="Times New Roman" w:hAnsi="Cambria" w:cs="Times New Roman"/>
          <w:b/>
          <w:sz w:val="24"/>
          <w:szCs w:val="24"/>
        </w:rPr>
        <w:t>iilor de Cadmiu (Cd)</w:t>
      </w:r>
      <w:bookmarkEnd w:id="176"/>
    </w:p>
    <w:tbl>
      <w:tblPr>
        <w:tblStyle w:val="TableGrid7"/>
        <w:tblpPr w:leftFromText="180" w:rightFromText="180" w:vertAnchor="text" w:horzAnchor="margin" w:tblpXSpec="center" w:tblpY="134"/>
        <w:tblW w:w="9067" w:type="dxa"/>
        <w:tblLook w:val="04A0" w:firstRow="1" w:lastRow="0" w:firstColumn="1" w:lastColumn="0" w:noHBand="0" w:noVBand="1"/>
      </w:tblPr>
      <w:tblGrid>
        <w:gridCol w:w="846"/>
        <w:gridCol w:w="2126"/>
        <w:gridCol w:w="6095"/>
      </w:tblGrid>
      <w:tr w:rsidR="00AA06F2" w:rsidRPr="00EA1BB2" w14:paraId="2E2B6B2C" w14:textId="77777777" w:rsidTr="00030F7D">
        <w:tc>
          <w:tcPr>
            <w:tcW w:w="846" w:type="dxa"/>
            <w:shd w:val="clear" w:color="auto" w:fill="BDD6EE" w:themeFill="accent1" w:themeFillTint="66"/>
            <w:vAlign w:val="center"/>
          </w:tcPr>
          <w:p w14:paraId="11A289B7" w14:textId="77777777" w:rsidR="00AA06F2" w:rsidRPr="00EA1BB2" w:rsidRDefault="00AA06F2" w:rsidP="00030F7D">
            <w:pPr>
              <w:spacing w:line="360" w:lineRule="auto"/>
              <w:jc w:val="center"/>
              <w:rPr>
                <w:rFonts w:ascii="Cambria" w:hAnsi="Cambria"/>
                <w:b/>
                <w:sz w:val="24"/>
                <w:szCs w:val="24"/>
                <w:lang w:val="ro-RO"/>
              </w:rPr>
            </w:pPr>
            <w:r w:rsidRPr="00EA1BB2">
              <w:rPr>
                <w:rFonts w:ascii="Cambria" w:eastAsia="Times New Roman" w:hAnsi="Cambria" w:cs="Times New Roman"/>
                <w:b/>
                <w:sz w:val="24"/>
                <w:szCs w:val="24"/>
                <w:lang w:val="ro-RO"/>
              </w:rPr>
              <w:t>Nr. crt.</w:t>
            </w:r>
          </w:p>
        </w:tc>
        <w:tc>
          <w:tcPr>
            <w:tcW w:w="2126" w:type="dxa"/>
            <w:shd w:val="clear" w:color="auto" w:fill="BDD6EE" w:themeFill="accent1" w:themeFillTint="66"/>
            <w:vAlign w:val="center"/>
          </w:tcPr>
          <w:p w14:paraId="2389FE5C" w14:textId="77777777" w:rsidR="00AA06F2" w:rsidRPr="00EA1BB2" w:rsidRDefault="00AA06F2" w:rsidP="00030F7D">
            <w:pPr>
              <w:spacing w:line="360" w:lineRule="auto"/>
              <w:jc w:val="center"/>
              <w:rPr>
                <w:rFonts w:ascii="Cambria" w:hAnsi="Cambria"/>
                <w:b/>
                <w:sz w:val="24"/>
                <w:szCs w:val="24"/>
                <w:lang w:val="ro-RO"/>
              </w:rPr>
            </w:pPr>
            <w:r w:rsidRPr="00EA1BB2">
              <w:rPr>
                <w:rFonts w:ascii="Cambria" w:hAnsi="Cambria"/>
                <w:b/>
                <w:sz w:val="24"/>
                <w:szCs w:val="24"/>
                <w:lang w:val="ro-RO"/>
              </w:rPr>
              <w:t>Parametru</w:t>
            </w:r>
          </w:p>
        </w:tc>
        <w:tc>
          <w:tcPr>
            <w:tcW w:w="6095" w:type="dxa"/>
            <w:shd w:val="clear" w:color="auto" w:fill="BDD6EE" w:themeFill="accent1" w:themeFillTint="66"/>
            <w:vAlign w:val="center"/>
          </w:tcPr>
          <w:p w14:paraId="7FEFD0D5" w14:textId="77777777" w:rsidR="00AA06F2" w:rsidRPr="00EA1BB2" w:rsidRDefault="00AA06F2" w:rsidP="00030F7D">
            <w:pPr>
              <w:spacing w:line="360" w:lineRule="auto"/>
              <w:jc w:val="center"/>
              <w:rPr>
                <w:rFonts w:ascii="Cambria" w:hAnsi="Cambria"/>
                <w:b/>
                <w:sz w:val="24"/>
                <w:szCs w:val="24"/>
                <w:lang w:val="ro-RO"/>
              </w:rPr>
            </w:pPr>
            <w:r w:rsidRPr="00EA1BB2">
              <w:rPr>
                <w:rFonts w:ascii="Cambria" w:hAnsi="Cambria"/>
                <w:b/>
                <w:sz w:val="24"/>
                <w:szCs w:val="24"/>
                <w:lang w:val="ro-RO"/>
              </w:rPr>
              <w:t>Valoare</w:t>
            </w:r>
          </w:p>
        </w:tc>
      </w:tr>
      <w:tr w:rsidR="00AA06F2" w:rsidRPr="00EA1BB2" w14:paraId="5A14E89B" w14:textId="77777777" w:rsidTr="00030F7D">
        <w:tc>
          <w:tcPr>
            <w:tcW w:w="846" w:type="dxa"/>
            <w:vAlign w:val="center"/>
          </w:tcPr>
          <w:p w14:paraId="52BB511F" w14:textId="77777777" w:rsidR="00AA06F2" w:rsidRPr="00EA1BB2" w:rsidRDefault="00AA06F2" w:rsidP="00030F7D">
            <w:pPr>
              <w:spacing w:line="360" w:lineRule="auto"/>
              <w:jc w:val="center"/>
              <w:rPr>
                <w:rFonts w:ascii="Cambria" w:hAnsi="Cambria"/>
                <w:bCs/>
                <w:sz w:val="24"/>
                <w:szCs w:val="24"/>
                <w:lang w:val="ro-RO"/>
              </w:rPr>
            </w:pPr>
            <w:r w:rsidRPr="00EA1BB2">
              <w:rPr>
                <w:rFonts w:ascii="Cambria" w:eastAsia="Times New Roman" w:hAnsi="Cambria" w:cs="Times New Roman"/>
                <w:sz w:val="24"/>
                <w:szCs w:val="24"/>
                <w:lang w:val="ro-RO"/>
              </w:rPr>
              <w:t>1</w:t>
            </w:r>
          </w:p>
        </w:tc>
        <w:tc>
          <w:tcPr>
            <w:tcW w:w="2126" w:type="dxa"/>
            <w:vAlign w:val="center"/>
          </w:tcPr>
          <w:p w14:paraId="7723FFCE" w14:textId="77777777" w:rsidR="00AA06F2" w:rsidRPr="00EA1BB2" w:rsidRDefault="00AA06F2" w:rsidP="00831372">
            <w:pPr>
              <w:spacing w:line="360" w:lineRule="auto"/>
              <w:jc w:val="center"/>
              <w:rPr>
                <w:rFonts w:ascii="Cambria" w:hAnsi="Cambria"/>
                <w:sz w:val="24"/>
                <w:szCs w:val="24"/>
                <w:lang w:val="ro-RO"/>
              </w:rPr>
            </w:pPr>
            <w:r w:rsidRPr="00EA1BB2">
              <w:rPr>
                <w:rFonts w:ascii="Cambria" w:hAnsi="Cambria"/>
                <w:bCs/>
                <w:sz w:val="24"/>
                <w:szCs w:val="24"/>
                <w:lang w:val="ro-RO"/>
              </w:rPr>
              <w:t>Valoare</w:t>
            </w:r>
            <w:r w:rsidR="00831372" w:rsidRPr="00EA1BB2">
              <w:rPr>
                <w:rFonts w:ascii="Cambria" w:hAnsi="Cambria"/>
                <w:bCs/>
                <w:sz w:val="24"/>
                <w:szCs w:val="24"/>
                <w:lang w:val="ro-RO"/>
              </w:rPr>
              <w:t>-</w:t>
            </w:r>
            <w:r w:rsidRPr="00EA1BB2">
              <w:rPr>
                <w:rFonts w:ascii="Cambria" w:hAnsi="Cambria"/>
                <w:bCs/>
                <w:sz w:val="24"/>
                <w:szCs w:val="24"/>
                <w:lang w:val="ro-RO"/>
              </w:rPr>
              <w:t>limită</w:t>
            </w:r>
          </w:p>
        </w:tc>
        <w:tc>
          <w:tcPr>
            <w:tcW w:w="6095" w:type="dxa"/>
            <w:vAlign w:val="center"/>
          </w:tcPr>
          <w:p w14:paraId="3B19711B" w14:textId="77777777" w:rsidR="00AA06F2" w:rsidRPr="00EA1BB2" w:rsidRDefault="00AA06F2" w:rsidP="00176855">
            <w:pPr>
              <w:spacing w:line="360" w:lineRule="auto"/>
              <w:jc w:val="both"/>
              <w:rPr>
                <w:rFonts w:ascii="Cambria" w:hAnsi="Cambria"/>
                <w:bCs/>
                <w:sz w:val="24"/>
                <w:szCs w:val="24"/>
                <w:lang w:val="ro-RO"/>
              </w:rPr>
            </w:pPr>
            <w:r w:rsidRPr="00EA1BB2">
              <w:rPr>
                <w:rFonts w:ascii="Cambria" w:hAnsi="Cambria"/>
                <w:bCs/>
                <w:sz w:val="24"/>
                <w:szCs w:val="24"/>
                <w:lang w:val="ro-RO"/>
              </w:rPr>
              <w:t xml:space="preserve">5 </w:t>
            </w:r>
            <w:r w:rsidR="00176855" w:rsidRPr="00EA1BB2">
              <w:rPr>
                <w:rFonts w:ascii="Cambria" w:hAnsi="Cambria" w:cs="Times New Roman"/>
                <w:bCs/>
                <w:sz w:val="24"/>
                <w:szCs w:val="24"/>
                <w:lang w:val="ro-RO"/>
              </w:rPr>
              <w:t>n</w:t>
            </w:r>
            <w:r w:rsidRPr="00EA1BB2">
              <w:rPr>
                <w:rFonts w:ascii="Cambria" w:hAnsi="Cambria"/>
                <w:bCs/>
                <w:sz w:val="24"/>
                <w:szCs w:val="24"/>
                <w:lang w:val="ro-RO"/>
              </w:rPr>
              <w:t>g/m</w:t>
            </w:r>
            <w:r w:rsidRPr="00EA1BB2">
              <w:rPr>
                <w:rFonts w:ascii="Cambria" w:hAnsi="Cambria"/>
                <w:bCs/>
                <w:sz w:val="24"/>
                <w:szCs w:val="24"/>
                <w:vertAlign w:val="superscript"/>
                <w:lang w:val="ro-RO"/>
              </w:rPr>
              <w:t>3</w:t>
            </w:r>
            <w:r w:rsidRPr="00EA1BB2">
              <w:rPr>
                <w:rFonts w:ascii="Cambria" w:hAnsi="Cambria"/>
                <w:bCs/>
                <w:sz w:val="24"/>
                <w:szCs w:val="24"/>
                <w:lang w:val="ro-RO"/>
              </w:rPr>
              <w:t xml:space="preserve"> - valoarea </w:t>
            </w:r>
            <w:r w:rsidR="00054880" w:rsidRPr="00EA1BB2">
              <w:rPr>
                <w:rFonts w:ascii="Cambria" w:hAnsi="Cambria"/>
                <w:bCs/>
                <w:sz w:val="24"/>
                <w:szCs w:val="24"/>
                <w:lang w:val="ro-RO"/>
              </w:rPr>
              <w:t>ț</w:t>
            </w:r>
            <w:r w:rsidRPr="00EA1BB2">
              <w:rPr>
                <w:rFonts w:ascii="Cambria" w:hAnsi="Cambria"/>
                <w:bCs/>
                <w:sz w:val="24"/>
                <w:szCs w:val="24"/>
                <w:lang w:val="ro-RO"/>
              </w:rPr>
              <w:t>intă pentru con</w:t>
            </w:r>
            <w:r w:rsidR="00054880" w:rsidRPr="00EA1BB2">
              <w:rPr>
                <w:rFonts w:ascii="Cambria" w:hAnsi="Cambria"/>
                <w:bCs/>
                <w:sz w:val="24"/>
                <w:szCs w:val="24"/>
                <w:lang w:val="ro-RO"/>
              </w:rPr>
              <w:t>ț</w:t>
            </w:r>
            <w:r w:rsidRPr="00EA1BB2">
              <w:rPr>
                <w:rFonts w:ascii="Cambria" w:hAnsi="Cambria"/>
                <w:bCs/>
                <w:sz w:val="24"/>
                <w:szCs w:val="24"/>
                <w:lang w:val="ro-RO"/>
              </w:rPr>
              <w:t>inutul total din frac</w:t>
            </w:r>
            <w:r w:rsidR="00054880" w:rsidRPr="00EA1BB2">
              <w:rPr>
                <w:rFonts w:ascii="Cambria" w:hAnsi="Cambria"/>
                <w:bCs/>
                <w:sz w:val="24"/>
                <w:szCs w:val="24"/>
                <w:lang w:val="ro-RO"/>
              </w:rPr>
              <w:t>ț</w:t>
            </w:r>
            <w:r w:rsidRPr="00EA1BB2">
              <w:rPr>
                <w:rFonts w:ascii="Cambria" w:hAnsi="Cambria"/>
                <w:bCs/>
                <w:sz w:val="24"/>
                <w:szCs w:val="24"/>
                <w:lang w:val="ro-RO"/>
              </w:rPr>
              <w:t>ia PM</w:t>
            </w:r>
            <w:r w:rsidRPr="00EA1BB2">
              <w:rPr>
                <w:rFonts w:ascii="Cambria" w:hAnsi="Cambria"/>
                <w:bCs/>
                <w:sz w:val="24"/>
                <w:szCs w:val="24"/>
                <w:vertAlign w:val="subscript"/>
                <w:lang w:val="ro-RO"/>
              </w:rPr>
              <w:t>10</w:t>
            </w:r>
            <w:r w:rsidRPr="00EA1BB2">
              <w:rPr>
                <w:rFonts w:ascii="Cambria" w:hAnsi="Cambria"/>
                <w:bCs/>
                <w:sz w:val="24"/>
                <w:szCs w:val="24"/>
                <w:lang w:val="ro-RO"/>
              </w:rPr>
              <w:t>, mediată pentru un an calendaristic.</w:t>
            </w:r>
          </w:p>
        </w:tc>
      </w:tr>
      <w:tr w:rsidR="00AA06F2" w:rsidRPr="00EA1BB2" w14:paraId="58A156A5" w14:textId="77777777" w:rsidTr="00030F7D">
        <w:tc>
          <w:tcPr>
            <w:tcW w:w="846" w:type="dxa"/>
            <w:vAlign w:val="center"/>
          </w:tcPr>
          <w:p w14:paraId="6F2C6D4E" w14:textId="77777777" w:rsidR="00AA06F2" w:rsidRPr="00EA1BB2" w:rsidRDefault="00AA06F2" w:rsidP="00030F7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2</w:t>
            </w:r>
          </w:p>
        </w:tc>
        <w:tc>
          <w:tcPr>
            <w:tcW w:w="2126" w:type="dxa"/>
            <w:vAlign w:val="center"/>
          </w:tcPr>
          <w:p w14:paraId="166A31DD" w14:textId="77777777" w:rsidR="00AA06F2" w:rsidRPr="00EA1BB2" w:rsidRDefault="00AA06F2" w:rsidP="00030F7D">
            <w:pPr>
              <w:spacing w:line="360" w:lineRule="auto"/>
              <w:jc w:val="center"/>
              <w:rPr>
                <w:rFonts w:ascii="Cambria" w:hAnsi="Cambria"/>
                <w:bCs/>
                <w:sz w:val="24"/>
                <w:szCs w:val="24"/>
                <w:lang w:val="ro-RO"/>
              </w:rPr>
            </w:pPr>
            <w:r w:rsidRPr="00EA1BB2">
              <w:rPr>
                <w:rFonts w:ascii="Cambria" w:hAnsi="Cambria"/>
                <w:bCs/>
                <w:sz w:val="24"/>
                <w:szCs w:val="24"/>
                <w:lang w:val="ro-RO"/>
              </w:rPr>
              <w:t>Pragul superior de evaluare</w:t>
            </w:r>
          </w:p>
        </w:tc>
        <w:tc>
          <w:tcPr>
            <w:tcW w:w="6095" w:type="dxa"/>
            <w:vAlign w:val="center"/>
          </w:tcPr>
          <w:p w14:paraId="0307ADC0" w14:textId="77777777" w:rsidR="00AA06F2" w:rsidRPr="00EA1BB2" w:rsidRDefault="00AA06F2" w:rsidP="00AA06F2">
            <w:pPr>
              <w:spacing w:line="360" w:lineRule="auto"/>
              <w:jc w:val="both"/>
              <w:rPr>
                <w:rFonts w:ascii="Cambria" w:hAnsi="Cambria"/>
                <w:bCs/>
                <w:sz w:val="24"/>
                <w:szCs w:val="24"/>
                <w:lang w:val="ro-RO"/>
              </w:rPr>
            </w:pPr>
            <w:r w:rsidRPr="00EA1BB2">
              <w:rPr>
                <w:rFonts w:ascii="Cambria" w:hAnsi="Cambria"/>
                <w:bCs/>
                <w:sz w:val="24"/>
                <w:szCs w:val="24"/>
                <w:lang w:val="ro-RO"/>
              </w:rPr>
              <w:t>60% din valoarea-</w:t>
            </w:r>
            <w:r w:rsidR="00054880" w:rsidRPr="00EA1BB2">
              <w:rPr>
                <w:rFonts w:ascii="Cambria" w:hAnsi="Cambria"/>
                <w:bCs/>
                <w:sz w:val="24"/>
                <w:szCs w:val="24"/>
                <w:lang w:val="ro-RO"/>
              </w:rPr>
              <w:t>ț</w:t>
            </w:r>
            <w:r w:rsidRPr="00EA1BB2">
              <w:rPr>
                <w:rFonts w:ascii="Cambria" w:hAnsi="Cambria"/>
                <w:bCs/>
                <w:sz w:val="24"/>
                <w:szCs w:val="24"/>
                <w:lang w:val="ro-RO"/>
              </w:rPr>
              <w:t>intă (3 ng/m</w:t>
            </w:r>
            <w:r w:rsidRPr="00EA1BB2">
              <w:rPr>
                <w:rFonts w:ascii="Cambria" w:hAnsi="Cambria"/>
                <w:bCs/>
                <w:sz w:val="24"/>
                <w:szCs w:val="24"/>
                <w:vertAlign w:val="superscript"/>
                <w:lang w:val="ro-RO"/>
              </w:rPr>
              <w:t>3</w:t>
            </w:r>
            <w:r w:rsidRPr="00EA1BB2">
              <w:rPr>
                <w:rFonts w:ascii="Cambria" w:hAnsi="Cambria"/>
                <w:bCs/>
                <w:sz w:val="24"/>
                <w:szCs w:val="24"/>
                <w:lang w:val="ro-RO"/>
              </w:rPr>
              <w:t>)</w:t>
            </w:r>
          </w:p>
        </w:tc>
      </w:tr>
      <w:tr w:rsidR="00AA06F2" w:rsidRPr="00EA1BB2" w14:paraId="7DE06566" w14:textId="77777777" w:rsidTr="00030F7D">
        <w:tc>
          <w:tcPr>
            <w:tcW w:w="846" w:type="dxa"/>
            <w:vAlign w:val="center"/>
          </w:tcPr>
          <w:p w14:paraId="4085E51D" w14:textId="77777777" w:rsidR="00AA06F2" w:rsidRPr="00EA1BB2" w:rsidRDefault="00AA06F2" w:rsidP="00030F7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3</w:t>
            </w:r>
          </w:p>
        </w:tc>
        <w:tc>
          <w:tcPr>
            <w:tcW w:w="2126" w:type="dxa"/>
            <w:vAlign w:val="center"/>
          </w:tcPr>
          <w:p w14:paraId="6BB36CF6" w14:textId="77777777" w:rsidR="00AA06F2" w:rsidRPr="00EA1BB2" w:rsidRDefault="00AA06F2" w:rsidP="00030F7D">
            <w:pPr>
              <w:spacing w:line="360" w:lineRule="auto"/>
              <w:jc w:val="center"/>
              <w:rPr>
                <w:rFonts w:ascii="Cambria" w:hAnsi="Cambria"/>
                <w:bCs/>
                <w:sz w:val="24"/>
                <w:szCs w:val="24"/>
                <w:lang w:val="ro-RO"/>
              </w:rPr>
            </w:pPr>
            <w:r w:rsidRPr="00EA1BB2">
              <w:rPr>
                <w:rFonts w:ascii="Cambria" w:hAnsi="Cambria"/>
                <w:bCs/>
                <w:sz w:val="24"/>
                <w:szCs w:val="24"/>
                <w:lang w:val="ro-RO"/>
              </w:rPr>
              <w:t xml:space="preserve">Pragul inferior de evaluare </w:t>
            </w:r>
          </w:p>
        </w:tc>
        <w:tc>
          <w:tcPr>
            <w:tcW w:w="6095" w:type="dxa"/>
            <w:vAlign w:val="center"/>
          </w:tcPr>
          <w:p w14:paraId="5D681AFE" w14:textId="77777777" w:rsidR="00AA06F2" w:rsidRPr="00EA1BB2" w:rsidRDefault="00AA06F2" w:rsidP="00AA06F2">
            <w:pPr>
              <w:spacing w:line="360" w:lineRule="auto"/>
              <w:jc w:val="both"/>
              <w:rPr>
                <w:rFonts w:ascii="Cambria" w:hAnsi="Cambria"/>
                <w:bCs/>
                <w:sz w:val="24"/>
                <w:szCs w:val="24"/>
                <w:lang w:val="ro-RO"/>
              </w:rPr>
            </w:pPr>
            <w:r w:rsidRPr="00EA1BB2">
              <w:rPr>
                <w:rFonts w:ascii="Cambria" w:hAnsi="Cambria"/>
                <w:bCs/>
                <w:sz w:val="24"/>
                <w:szCs w:val="24"/>
                <w:lang w:val="ro-RO"/>
              </w:rPr>
              <w:t>40% din valoarea-</w:t>
            </w:r>
            <w:r w:rsidR="00054880" w:rsidRPr="00EA1BB2">
              <w:rPr>
                <w:rFonts w:ascii="Cambria" w:hAnsi="Cambria"/>
                <w:bCs/>
                <w:sz w:val="24"/>
                <w:szCs w:val="24"/>
                <w:lang w:val="ro-RO"/>
              </w:rPr>
              <w:t>ț</w:t>
            </w:r>
            <w:r w:rsidRPr="00EA1BB2">
              <w:rPr>
                <w:rFonts w:ascii="Cambria" w:hAnsi="Cambria"/>
                <w:bCs/>
                <w:sz w:val="24"/>
                <w:szCs w:val="24"/>
                <w:lang w:val="ro-RO"/>
              </w:rPr>
              <w:t>intă (2 ng/m</w:t>
            </w:r>
            <w:r w:rsidRPr="00EA1BB2">
              <w:rPr>
                <w:rFonts w:ascii="Cambria" w:hAnsi="Cambria"/>
                <w:bCs/>
                <w:sz w:val="24"/>
                <w:szCs w:val="24"/>
                <w:vertAlign w:val="superscript"/>
                <w:lang w:val="ro-RO"/>
              </w:rPr>
              <w:t>3</w:t>
            </w:r>
            <w:r w:rsidRPr="00EA1BB2">
              <w:rPr>
                <w:rFonts w:ascii="Cambria" w:hAnsi="Cambria"/>
                <w:bCs/>
                <w:sz w:val="24"/>
                <w:szCs w:val="24"/>
                <w:lang w:val="ro-RO"/>
              </w:rPr>
              <w:t>)</w:t>
            </w:r>
          </w:p>
        </w:tc>
      </w:tr>
    </w:tbl>
    <w:p w14:paraId="249F062C" w14:textId="77777777" w:rsidR="00AA06F2" w:rsidRPr="00EA1BB2" w:rsidRDefault="00AA06F2" w:rsidP="009B697F">
      <w:pPr>
        <w:keepNext/>
        <w:spacing w:line="276" w:lineRule="auto"/>
        <w:ind w:right="-569"/>
        <w:jc w:val="both"/>
        <w:rPr>
          <w:rFonts w:ascii="Cambria" w:eastAsia="Calibri" w:hAnsi="Cambria" w:cs="Times New Roman"/>
          <w:iCs/>
          <w:szCs w:val="24"/>
        </w:rPr>
      </w:pPr>
      <w:r w:rsidRPr="00EA1BB2">
        <w:rPr>
          <w:rFonts w:ascii="Cambria" w:eastAsia="Calibri" w:hAnsi="Cambria" w:cs="Times New Roman"/>
          <w:iCs/>
          <w:szCs w:val="24"/>
        </w:rPr>
        <w:t>sursa: http://www.calitateaer.ro/public/assessment-page/pollutants-page/plumb-page/?__locale=ro</w:t>
      </w:r>
    </w:p>
    <w:p w14:paraId="03BC933D" w14:textId="77777777" w:rsidR="00AA06F2" w:rsidRPr="00EA1BB2" w:rsidRDefault="00AA06F2" w:rsidP="00042796">
      <w:pPr>
        <w:spacing w:line="360" w:lineRule="auto"/>
        <w:jc w:val="both"/>
        <w:rPr>
          <w:rFonts w:ascii="Cambria" w:eastAsia="Times New Roman" w:hAnsi="Cambria" w:cs="Times New Roman"/>
          <w:sz w:val="24"/>
          <w:szCs w:val="24"/>
        </w:rPr>
      </w:pPr>
    </w:p>
    <w:p w14:paraId="7469490C" w14:textId="08253462" w:rsidR="00AA06F2" w:rsidRPr="00EA1BB2" w:rsidRDefault="00AA06F2" w:rsidP="00AA06F2">
      <w:pPr>
        <w:keepNext/>
        <w:spacing w:line="276" w:lineRule="auto"/>
        <w:ind w:firstLine="708"/>
        <w:jc w:val="both"/>
        <w:rPr>
          <w:rFonts w:ascii="Cambria" w:eastAsia="Times New Roman" w:hAnsi="Cambria" w:cs="Times New Roman"/>
          <w:b/>
          <w:sz w:val="24"/>
          <w:szCs w:val="24"/>
        </w:rPr>
      </w:pPr>
      <w:bookmarkStart w:id="177" w:name="_Toc526889805"/>
      <w:r w:rsidRPr="00EA1BB2">
        <w:rPr>
          <w:rFonts w:ascii="Cambria" w:eastAsia="Calibri" w:hAnsi="Cambria" w:cs="Times New Roman"/>
          <w:b/>
          <w:iCs/>
          <w:sz w:val="24"/>
          <w:szCs w:val="24"/>
        </w:rPr>
        <w:t xml:space="preserve">Tabelul nr. </w:t>
      </w:r>
      <w:r w:rsidR="000A2FE7" w:rsidRPr="00EA1BB2">
        <w:rPr>
          <w:rFonts w:ascii="Cambria" w:eastAsia="Calibri" w:hAnsi="Cambria" w:cs="Times New Roman"/>
          <w:b/>
          <w:iCs/>
          <w:sz w:val="24"/>
          <w:szCs w:val="24"/>
        </w:rPr>
        <w:fldChar w:fldCharType="begin"/>
      </w:r>
      <w:r w:rsidR="000A2FE7" w:rsidRPr="00EA1BB2">
        <w:rPr>
          <w:rFonts w:ascii="Cambria" w:eastAsia="Calibri" w:hAnsi="Cambria" w:cs="Times New Roman"/>
          <w:b/>
          <w:iCs/>
          <w:sz w:val="24"/>
          <w:szCs w:val="24"/>
        </w:rPr>
        <w:instrText xml:space="preserve"> STYLEREF 1 \s </w:instrText>
      </w:r>
      <w:r w:rsidR="000A2FE7" w:rsidRPr="00EA1BB2">
        <w:rPr>
          <w:rFonts w:ascii="Cambria" w:eastAsia="Calibri" w:hAnsi="Cambria" w:cs="Times New Roman"/>
          <w:b/>
          <w:iCs/>
          <w:sz w:val="24"/>
          <w:szCs w:val="24"/>
        </w:rPr>
        <w:fldChar w:fldCharType="separate"/>
      </w:r>
      <w:r w:rsidR="00567555">
        <w:rPr>
          <w:rFonts w:ascii="Cambria" w:eastAsia="Calibri" w:hAnsi="Cambria" w:cs="Times New Roman"/>
          <w:b/>
          <w:iCs/>
          <w:noProof/>
          <w:sz w:val="24"/>
          <w:szCs w:val="24"/>
        </w:rPr>
        <w:t>3</w:t>
      </w:r>
      <w:r w:rsidR="000A2FE7" w:rsidRPr="00EA1BB2">
        <w:rPr>
          <w:rFonts w:ascii="Cambria" w:eastAsia="Calibri" w:hAnsi="Cambria" w:cs="Times New Roman"/>
          <w:b/>
          <w:iCs/>
          <w:sz w:val="24"/>
          <w:szCs w:val="24"/>
        </w:rPr>
        <w:fldChar w:fldCharType="end"/>
      </w:r>
      <w:r w:rsidR="000A2FE7" w:rsidRPr="00EA1BB2">
        <w:rPr>
          <w:rFonts w:ascii="Cambria" w:eastAsia="Calibri" w:hAnsi="Cambria" w:cs="Times New Roman"/>
          <w:b/>
          <w:iCs/>
          <w:sz w:val="24"/>
          <w:szCs w:val="24"/>
        </w:rPr>
        <w:noBreakHyphen/>
      </w:r>
      <w:r w:rsidR="000A2FE7" w:rsidRPr="00EA1BB2">
        <w:rPr>
          <w:rFonts w:ascii="Cambria" w:eastAsia="Calibri" w:hAnsi="Cambria" w:cs="Times New Roman"/>
          <w:b/>
          <w:iCs/>
          <w:sz w:val="24"/>
          <w:szCs w:val="24"/>
        </w:rPr>
        <w:fldChar w:fldCharType="begin"/>
      </w:r>
      <w:r w:rsidR="000A2FE7" w:rsidRPr="00EA1BB2">
        <w:rPr>
          <w:rFonts w:ascii="Cambria" w:eastAsia="Calibri" w:hAnsi="Cambria" w:cs="Times New Roman"/>
          <w:b/>
          <w:iCs/>
          <w:sz w:val="24"/>
          <w:szCs w:val="24"/>
        </w:rPr>
        <w:instrText xml:space="preserve"> SEQ Tabelul_nr. \* ARABIC \s 1 </w:instrText>
      </w:r>
      <w:r w:rsidR="000A2FE7" w:rsidRPr="00EA1BB2">
        <w:rPr>
          <w:rFonts w:ascii="Cambria" w:eastAsia="Calibri" w:hAnsi="Cambria" w:cs="Times New Roman"/>
          <w:b/>
          <w:iCs/>
          <w:sz w:val="24"/>
          <w:szCs w:val="24"/>
        </w:rPr>
        <w:fldChar w:fldCharType="separate"/>
      </w:r>
      <w:r w:rsidR="00567555">
        <w:rPr>
          <w:rFonts w:ascii="Cambria" w:eastAsia="Calibri" w:hAnsi="Cambria" w:cs="Times New Roman"/>
          <w:b/>
          <w:iCs/>
          <w:noProof/>
          <w:sz w:val="24"/>
          <w:szCs w:val="24"/>
        </w:rPr>
        <w:t>36</w:t>
      </w:r>
      <w:r w:rsidR="000A2FE7" w:rsidRPr="00EA1BB2">
        <w:rPr>
          <w:rFonts w:ascii="Cambria" w:eastAsia="Calibri" w:hAnsi="Cambria" w:cs="Times New Roman"/>
          <w:b/>
          <w:iCs/>
          <w:sz w:val="24"/>
          <w:szCs w:val="24"/>
        </w:rPr>
        <w:fldChar w:fldCharType="end"/>
      </w:r>
      <w:r w:rsidRPr="00EA1BB2">
        <w:rPr>
          <w:rFonts w:ascii="Cambria" w:eastAsia="Calibri" w:hAnsi="Cambria" w:cs="Times New Roman"/>
          <w:b/>
          <w:iCs/>
          <w:sz w:val="24"/>
          <w:szCs w:val="24"/>
        </w:rPr>
        <w:t xml:space="preserve"> - </w:t>
      </w:r>
      <w:r w:rsidRPr="00EA1BB2">
        <w:rPr>
          <w:rFonts w:ascii="Cambria" w:eastAsia="Times New Roman" w:hAnsi="Cambria" w:cs="Times New Roman"/>
          <w:b/>
          <w:sz w:val="24"/>
          <w:szCs w:val="24"/>
        </w:rPr>
        <w:t xml:space="preserve"> Cerin</w:t>
      </w:r>
      <w:r w:rsidR="00054880" w:rsidRPr="00EA1BB2">
        <w:rPr>
          <w:rFonts w:ascii="Cambria" w:eastAsia="Times New Roman" w:hAnsi="Cambria" w:cs="Times New Roman"/>
          <w:b/>
          <w:sz w:val="24"/>
          <w:szCs w:val="24"/>
        </w:rPr>
        <w:t>ț</w:t>
      </w:r>
      <w:r w:rsidRPr="00EA1BB2">
        <w:rPr>
          <w:rFonts w:ascii="Cambria" w:eastAsia="Times New Roman" w:hAnsi="Cambria" w:cs="Times New Roman"/>
          <w:b/>
          <w:sz w:val="24"/>
          <w:szCs w:val="24"/>
        </w:rPr>
        <w:t>ele pentru evaluarea concentra</w:t>
      </w:r>
      <w:r w:rsidR="00054880" w:rsidRPr="00EA1BB2">
        <w:rPr>
          <w:rFonts w:ascii="Cambria" w:eastAsia="Times New Roman" w:hAnsi="Cambria" w:cs="Times New Roman"/>
          <w:b/>
          <w:sz w:val="24"/>
          <w:szCs w:val="24"/>
        </w:rPr>
        <w:t>ț</w:t>
      </w:r>
      <w:r w:rsidRPr="00EA1BB2">
        <w:rPr>
          <w:rFonts w:ascii="Cambria" w:eastAsia="Times New Roman" w:hAnsi="Cambria" w:cs="Times New Roman"/>
          <w:b/>
          <w:sz w:val="24"/>
          <w:szCs w:val="24"/>
        </w:rPr>
        <w:t>iilor de Nichel (Ni)</w:t>
      </w:r>
      <w:bookmarkEnd w:id="177"/>
    </w:p>
    <w:tbl>
      <w:tblPr>
        <w:tblStyle w:val="TableGrid7"/>
        <w:tblpPr w:leftFromText="180" w:rightFromText="180" w:vertAnchor="text" w:horzAnchor="margin" w:tblpXSpec="center" w:tblpY="134"/>
        <w:tblW w:w="9067" w:type="dxa"/>
        <w:tblLook w:val="04A0" w:firstRow="1" w:lastRow="0" w:firstColumn="1" w:lastColumn="0" w:noHBand="0" w:noVBand="1"/>
      </w:tblPr>
      <w:tblGrid>
        <w:gridCol w:w="846"/>
        <w:gridCol w:w="2126"/>
        <w:gridCol w:w="6095"/>
      </w:tblGrid>
      <w:tr w:rsidR="00AA06F2" w:rsidRPr="00EA1BB2" w14:paraId="77EF60F3" w14:textId="77777777" w:rsidTr="00042796">
        <w:trPr>
          <w:tblHeader/>
        </w:trPr>
        <w:tc>
          <w:tcPr>
            <w:tcW w:w="846" w:type="dxa"/>
            <w:shd w:val="clear" w:color="auto" w:fill="BDD6EE" w:themeFill="accent1" w:themeFillTint="66"/>
            <w:vAlign w:val="center"/>
          </w:tcPr>
          <w:p w14:paraId="062452EA" w14:textId="77777777" w:rsidR="00AA06F2" w:rsidRPr="00EA1BB2" w:rsidRDefault="00AA06F2" w:rsidP="00BE0BB8">
            <w:pPr>
              <w:spacing w:line="276" w:lineRule="auto"/>
              <w:jc w:val="center"/>
              <w:rPr>
                <w:rFonts w:ascii="Cambria" w:hAnsi="Cambria"/>
                <w:b/>
                <w:sz w:val="24"/>
                <w:szCs w:val="24"/>
                <w:lang w:val="ro-RO"/>
              </w:rPr>
            </w:pPr>
            <w:r w:rsidRPr="00EA1BB2">
              <w:rPr>
                <w:rFonts w:ascii="Cambria" w:eastAsia="Times New Roman" w:hAnsi="Cambria" w:cs="Times New Roman"/>
                <w:b/>
                <w:sz w:val="24"/>
                <w:szCs w:val="24"/>
                <w:lang w:val="ro-RO"/>
              </w:rPr>
              <w:t>Nr. crt.</w:t>
            </w:r>
          </w:p>
        </w:tc>
        <w:tc>
          <w:tcPr>
            <w:tcW w:w="2126" w:type="dxa"/>
            <w:shd w:val="clear" w:color="auto" w:fill="BDD6EE" w:themeFill="accent1" w:themeFillTint="66"/>
            <w:vAlign w:val="center"/>
          </w:tcPr>
          <w:p w14:paraId="3A8D90BB" w14:textId="77777777" w:rsidR="00AA06F2" w:rsidRPr="00EA1BB2" w:rsidRDefault="00AA06F2" w:rsidP="00030F7D">
            <w:pPr>
              <w:spacing w:line="360" w:lineRule="auto"/>
              <w:jc w:val="center"/>
              <w:rPr>
                <w:rFonts w:ascii="Cambria" w:hAnsi="Cambria"/>
                <w:b/>
                <w:sz w:val="24"/>
                <w:szCs w:val="24"/>
                <w:lang w:val="ro-RO"/>
              </w:rPr>
            </w:pPr>
            <w:r w:rsidRPr="00EA1BB2">
              <w:rPr>
                <w:rFonts w:ascii="Cambria" w:hAnsi="Cambria"/>
                <w:b/>
                <w:sz w:val="24"/>
                <w:szCs w:val="24"/>
                <w:lang w:val="ro-RO"/>
              </w:rPr>
              <w:t>Parametru</w:t>
            </w:r>
          </w:p>
        </w:tc>
        <w:tc>
          <w:tcPr>
            <w:tcW w:w="6095" w:type="dxa"/>
            <w:shd w:val="clear" w:color="auto" w:fill="BDD6EE" w:themeFill="accent1" w:themeFillTint="66"/>
            <w:vAlign w:val="center"/>
          </w:tcPr>
          <w:p w14:paraId="63F638D6" w14:textId="77777777" w:rsidR="00AA06F2" w:rsidRPr="00EA1BB2" w:rsidRDefault="00AA06F2" w:rsidP="00030F7D">
            <w:pPr>
              <w:spacing w:line="360" w:lineRule="auto"/>
              <w:jc w:val="center"/>
              <w:rPr>
                <w:rFonts w:ascii="Cambria" w:hAnsi="Cambria"/>
                <w:b/>
                <w:sz w:val="24"/>
                <w:szCs w:val="24"/>
                <w:lang w:val="ro-RO"/>
              </w:rPr>
            </w:pPr>
            <w:r w:rsidRPr="00EA1BB2">
              <w:rPr>
                <w:rFonts w:ascii="Cambria" w:hAnsi="Cambria"/>
                <w:b/>
                <w:sz w:val="24"/>
                <w:szCs w:val="24"/>
                <w:lang w:val="ro-RO"/>
              </w:rPr>
              <w:t>Valoare</w:t>
            </w:r>
          </w:p>
        </w:tc>
      </w:tr>
      <w:tr w:rsidR="00AA06F2" w:rsidRPr="00EA1BB2" w14:paraId="06D20AC6" w14:textId="77777777" w:rsidTr="00042796">
        <w:tc>
          <w:tcPr>
            <w:tcW w:w="846" w:type="dxa"/>
            <w:vAlign w:val="center"/>
          </w:tcPr>
          <w:p w14:paraId="35674A1B" w14:textId="77777777" w:rsidR="00AA06F2" w:rsidRPr="00EA1BB2" w:rsidRDefault="00AA06F2" w:rsidP="00030F7D">
            <w:pPr>
              <w:spacing w:line="360" w:lineRule="auto"/>
              <w:jc w:val="center"/>
              <w:rPr>
                <w:rFonts w:ascii="Cambria" w:hAnsi="Cambria"/>
                <w:bCs/>
                <w:sz w:val="24"/>
                <w:szCs w:val="24"/>
                <w:lang w:val="ro-RO"/>
              </w:rPr>
            </w:pPr>
            <w:r w:rsidRPr="00EA1BB2">
              <w:rPr>
                <w:rFonts w:ascii="Cambria" w:eastAsia="Times New Roman" w:hAnsi="Cambria" w:cs="Times New Roman"/>
                <w:sz w:val="24"/>
                <w:szCs w:val="24"/>
                <w:lang w:val="ro-RO"/>
              </w:rPr>
              <w:t>1</w:t>
            </w:r>
          </w:p>
        </w:tc>
        <w:tc>
          <w:tcPr>
            <w:tcW w:w="2126" w:type="dxa"/>
            <w:vAlign w:val="center"/>
          </w:tcPr>
          <w:p w14:paraId="5692C327" w14:textId="77777777" w:rsidR="00AA06F2" w:rsidRPr="00EA1BB2" w:rsidRDefault="00AA06F2" w:rsidP="00831372">
            <w:pPr>
              <w:spacing w:line="360" w:lineRule="auto"/>
              <w:jc w:val="center"/>
              <w:rPr>
                <w:rFonts w:ascii="Cambria" w:hAnsi="Cambria"/>
                <w:sz w:val="24"/>
                <w:szCs w:val="24"/>
                <w:lang w:val="ro-RO"/>
              </w:rPr>
            </w:pPr>
            <w:r w:rsidRPr="00EA1BB2">
              <w:rPr>
                <w:rFonts w:ascii="Cambria" w:hAnsi="Cambria"/>
                <w:bCs/>
                <w:sz w:val="24"/>
                <w:szCs w:val="24"/>
                <w:lang w:val="ro-RO"/>
              </w:rPr>
              <w:t>Valoare</w:t>
            </w:r>
            <w:r w:rsidR="00831372" w:rsidRPr="00EA1BB2">
              <w:rPr>
                <w:rFonts w:ascii="Cambria" w:hAnsi="Cambria"/>
                <w:bCs/>
                <w:sz w:val="24"/>
                <w:szCs w:val="24"/>
                <w:lang w:val="ro-RO"/>
              </w:rPr>
              <w:t>-</w:t>
            </w:r>
            <w:r w:rsidRPr="00EA1BB2">
              <w:rPr>
                <w:rFonts w:ascii="Cambria" w:hAnsi="Cambria"/>
                <w:bCs/>
                <w:sz w:val="24"/>
                <w:szCs w:val="24"/>
                <w:lang w:val="ro-RO"/>
              </w:rPr>
              <w:t>limită</w:t>
            </w:r>
          </w:p>
        </w:tc>
        <w:tc>
          <w:tcPr>
            <w:tcW w:w="6095" w:type="dxa"/>
            <w:vAlign w:val="center"/>
          </w:tcPr>
          <w:p w14:paraId="575584BC" w14:textId="77777777" w:rsidR="00AA06F2" w:rsidRPr="00EA1BB2" w:rsidRDefault="00AA06F2" w:rsidP="00176855">
            <w:pPr>
              <w:spacing w:line="360" w:lineRule="auto"/>
              <w:jc w:val="both"/>
              <w:rPr>
                <w:rFonts w:ascii="Cambria" w:hAnsi="Cambria"/>
                <w:bCs/>
                <w:sz w:val="24"/>
                <w:szCs w:val="24"/>
                <w:lang w:val="ro-RO"/>
              </w:rPr>
            </w:pPr>
            <w:r w:rsidRPr="00EA1BB2">
              <w:rPr>
                <w:rFonts w:ascii="Cambria" w:hAnsi="Cambria"/>
                <w:bCs/>
                <w:sz w:val="24"/>
                <w:szCs w:val="24"/>
                <w:lang w:val="ro-RO"/>
              </w:rPr>
              <w:t xml:space="preserve">20 </w:t>
            </w:r>
            <w:r w:rsidR="00176855" w:rsidRPr="00EA1BB2">
              <w:rPr>
                <w:rFonts w:ascii="Cambria" w:hAnsi="Cambria" w:cs="Times New Roman"/>
                <w:bCs/>
                <w:sz w:val="24"/>
                <w:szCs w:val="24"/>
                <w:lang w:val="ro-RO"/>
              </w:rPr>
              <w:t>n</w:t>
            </w:r>
            <w:r w:rsidRPr="00EA1BB2">
              <w:rPr>
                <w:rFonts w:ascii="Cambria" w:hAnsi="Cambria"/>
                <w:bCs/>
                <w:sz w:val="24"/>
                <w:szCs w:val="24"/>
                <w:lang w:val="ro-RO"/>
              </w:rPr>
              <w:t>g/m</w:t>
            </w:r>
            <w:r w:rsidRPr="00EA1BB2">
              <w:rPr>
                <w:rFonts w:ascii="Cambria" w:hAnsi="Cambria"/>
                <w:bCs/>
                <w:sz w:val="24"/>
                <w:szCs w:val="24"/>
                <w:vertAlign w:val="superscript"/>
                <w:lang w:val="ro-RO"/>
              </w:rPr>
              <w:t>3</w:t>
            </w:r>
            <w:r w:rsidRPr="00EA1BB2">
              <w:rPr>
                <w:rFonts w:ascii="Cambria" w:hAnsi="Cambria"/>
                <w:bCs/>
                <w:sz w:val="24"/>
                <w:szCs w:val="24"/>
                <w:lang w:val="ro-RO"/>
              </w:rPr>
              <w:t xml:space="preserve"> - valoarea </w:t>
            </w:r>
            <w:r w:rsidR="00054880" w:rsidRPr="00EA1BB2">
              <w:rPr>
                <w:rFonts w:ascii="Cambria" w:hAnsi="Cambria"/>
                <w:bCs/>
                <w:sz w:val="24"/>
                <w:szCs w:val="24"/>
                <w:lang w:val="ro-RO"/>
              </w:rPr>
              <w:t>ț</w:t>
            </w:r>
            <w:r w:rsidRPr="00EA1BB2">
              <w:rPr>
                <w:rFonts w:ascii="Cambria" w:hAnsi="Cambria"/>
                <w:bCs/>
                <w:sz w:val="24"/>
                <w:szCs w:val="24"/>
                <w:lang w:val="ro-RO"/>
              </w:rPr>
              <w:t>intă pentru con</w:t>
            </w:r>
            <w:r w:rsidR="00054880" w:rsidRPr="00EA1BB2">
              <w:rPr>
                <w:rFonts w:ascii="Cambria" w:hAnsi="Cambria"/>
                <w:bCs/>
                <w:sz w:val="24"/>
                <w:szCs w:val="24"/>
                <w:lang w:val="ro-RO"/>
              </w:rPr>
              <w:t>ț</w:t>
            </w:r>
            <w:r w:rsidRPr="00EA1BB2">
              <w:rPr>
                <w:rFonts w:ascii="Cambria" w:hAnsi="Cambria"/>
                <w:bCs/>
                <w:sz w:val="24"/>
                <w:szCs w:val="24"/>
                <w:lang w:val="ro-RO"/>
              </w:rPr>
              <w:t>inutul total din frac</w:t>
            </w:r>
            <w:r w:rsidR="00054880" w:rsidRPr="00EA1BB2">
              <w:rPr>
                <w:rFonts w:ascii="Cambria" w:hAnsi="Cambria"/>
                <w:bCs/>
                <w:sz w:val="24"/>
                <w:szCs w:val="24"/>
                <w:lang w:val="ro-RO"/>
              </w:rPr>
              <w:t>ț</w:t>
            </w:r>
            <w:r w:rsidRPr="00EA1BB2">
              <w:rPr>
                <w:rFonts w:ascii="Cambria" w:hAnsi="Cambria"/>
                <w:bCs/>
                <w:sz w:val="24"/>
                <w:szCs w:val="24"/>
                <w:lang w:val="ro-RO"/>
              </w:rPr>
              <w:t>ia PM</w:t>
            </w:r>
            <w:r w:rsidRPr="00EA1BB2">
              <w:rPr>
                <w:rFonts w:ascii="Cambria" w:hAnsi="Cambria"/>
                <w:bCs/>
                <w:sz w:val="24"/>
                <w:szCs w:val="24"/>
                <w:vertAlign w:val="subscript"/>
                <w:lang w:val="ro-RO"/>
              </w:rPr>
              <w:t>10</w:t>
            </w:r>
            <w:r w:rsidRPr="00EA1BB2">
              <w:rPr>
                <w:rFonts w:ascii="Cambria" w:hAnsi="Cambria"/>
                <w:bCs/>
                <w:sz w:val="24"/>
                <w:szCs w:val="24"/>
                <w:lang w:val="ro-RO"/>
              </w:rPr>
              <w:t>, mediată pentru un an calendaristic.</w:t>
            </w:r>
          </w:p>
        </w:tc>
      </w:tr>
      <w:tr w:rsidR="00AA06F2" w:rsidRPr="00EA1BB2" w14:paraId="0AC05E31" w14:textId="77777777" w:rsidTr="00042796">
        <w:tc>
          <w:tcPr>
            <w:tcW w:w="846" w:type="dxa"/>
            <w:vAlign w:val="center"/>
          </w:tcPr>
          <w:p w14:paraId="42F405AD" w14:textId="77777777" w:rsidR="00AA06F2" w:rsidRPr="00EA1BB2" w:rsidRDefault="00AA06F2" w:rsidP="00030F7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2</w:t>
            </w:r>
          </w:p>
        </w:tc>
        <w:tc>
          <w:tcPr>
            <w:tcW w:w="2126" w:type="dxa"/>
            <w:vAlign w:val="center"/>
          </w:tcPr>
          <w:p w14:paraId="268A9D15" w14:textId="77777777" w:rsidR="00AA06F2" w:rsidRPr="00EA1BB2" w:rsidRDefault="00AA06F2" w:rsidP="00030F7D">
            <w:pPr>
              <w:spacing w:line="360" w:lineRule="auto"/>
              <w:jc w:val="center"/>
              <w:rPr>
                <w:rFonts w:ascii="Cambria" w:hAnsi="Cambria"/>
                <w:bCs/>
                <w:sz w:val="24"/>
                <w:szCs w:val="24"/>
                <w:lang w:val="ro-RO"/>
              </w:rPr>
            </w:pPr>
            <w:r w:rsidRPr="00EA1BB2">
              <w:rPr>
                <w:rFonts w:ascii="Cambria" w:hAnsi="Cambria"/>
                <w:bCs/>
                <w:sz w:val="24"/>
                <w:szCs w:val="24"/>
                <w:lang w:val="ro-RO"/>
              </w:rPr>
              <w:t>Pragul superior de evaluare</w:t>
            </w:r>
          </w:p>
        </w:tc>
        <w:tc>
          <w:tcPr>
            <w:tcW w:w="6095" w:type="dxa"/>
            <w:vAlign w:val="center"/>
          </w:tcPr>
          <w:p w14:paraId="2EB9034D" w14:textId="77777777" w:rsidR="00AA06F2" w:rsidRPr="00EA1BB2" w:rsidRDefault="00AA06F2" w:rsidP="00AA06F2">
            <w:pPr>
              <w:spacing w:line="360" w:lineRule="auto"/>
              <w:jc w:val="both"/>
              <w:rPr>
                <w:rFonts w:ascii="Cambria" w:hAnsi="Cambria"/>
                <w:bCs/>
                <w:sz w:val="24"/>
                <w:szCs w:val="24"/>
                <w:lang w:val="ro-RO"/>
              </w:rPr>
            </w:pPr>
            <w:r w:rsidRPr="00EA1BB2">
              <w:rPr>
                <w:rFonts w:ascii="Cambria" w:hAnsi="Cambria"/>
                <w:bCs/>
                <w:sz w:val="24"/>
                <w:szCs w:val="24"/>
                <w:lang w:val="ro-RO"/>
              </w:rPr>
              <w:t>70% din valoarea-</w:t>
            </w:r>
            <w:r w:rsidR="00054880" w:rsidRPr="00EA1BB2">
              <w:rPr>
                <w:rFonts w:ascii="Cambria" w:hAnsi="Cambria"/>
                <w:bCs/>
                <w:sz w:val="24"/>
                <w:szCs w:val="24"/>
                <w:lang w:val="ro-RO"/>
              </w:rPr>
              <w:t>ț</w:t>
            </w:r>
            <w:r w:rsidRPr="00EA1BB2">
              <w:rPr>
                <w:rFonts w:ascii="Cambria" w:hAnsi="Cambria"/>
                <w:bCs/>
                <w:sz w:val="24"/>
                <w:szCs w:val="24"/>
                <w:lang w:val="ro-RO"/>
              </w:rPr>
              <w:t>intă (14 ng/m</w:t>
            </w:r>
            <w:r w:rsidRPr="00EA1BB2">
              <w:rPr>
                <w:rFonts w:ascii="Cambria" w:hAnsi="Cambria"/>
                <w:bCs/>
                <w:sz w:val="24"/>
                <w:szCs w:val="24"/>
                <w:vertAlign w:val="superscript"/>
                <w:lang w:val="ro-RO"/>
              </w:rPr>
              <w:t>3</w:t>
            </w:r>
            <w:r w:rsidRPr="00EA1BB2">
              <w:rPr>
                <w:rFonts w:ascii="Cambria" w:hAnsi="Cambria"/>
                <w:bCs/>
                <w:sz w:val="24"/>
                <w:szCs w:val="24"/>
                <w:lang w:val="ro-RO"/>
              </w:rPr>
              <w:t>)</w:t>
            </w:r>
          </w:p>
        </w:tc>
      </w:tr>
      <w:tr w:rsidR="00AA06F2" w:rsidRPr="00EA1BB2" w14:paraId="36E0E38E" w14:textId="77777777" w:rsidTr="00042796">
        <w:tc>
          <w:tcPr>
            <w:tcW w:w="846" w:type="dxa"/>
            <w:vAlign w:val="center"/>
          </w:tcPr>
          <w:p w14:paraId="10EA40A4" w14:textId="77777777" w:rsidR="00AA06F2" w:rsidRPr="00EA1BB2" w:rsidRDefault="00AA06F2" w:rsidP="00030F7D">
            <w:pPr>
              <w:spacing w:line="360" w:lineRule="auto"/>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3</w:t>
            </w:r>
          </w:p>
        </w:tc>
        <w:tc>
          <w:tcPr>
            <w:tcW w:w="2126" w:type="dxa"/>
            <w:vAlign w:val="center"/>
          </w:tcPr>
          <w:p w14:paraId="05BE87F5" w14:textId="77777777" w:rsidR="00AA06F2" w:rsidRPr="00EA1BB2" w:rsidRDefault="00AA06F2" w:rsidP="00030F7D">
            <w:pPr>
              <w:spacing w:line="360" w:lineRule="auto"/>
              <w:jc w:val="center"/>
              <w:rPr>
                <w:rFonts w:ascii="Cambria" w:hAnsi="Cambria"/>
                <w:bCs/>
                <w:sz w:val="24"/>
                <w:szCs w:val="24"/>
                <w:lang w:val="ro-RO"/>
              </w:rPr>
            </w:pPr>
            <w:r w:rsidRPr="00EA1BB2">
              <w:rPr>
                <w:rFonts w:ascii="Cambria" w:hAnsi="Cambria"/>
                <w:bCs/>
                <w:sz w:val="24"/>
                <w:szCs w:val="24"/>
                <w:lang w:val="ro-RO"/>
              </w:rPr>
              <w:t xml:space="preserve">Pragul inferior de evaluare </w:t>
            </w:r>
          </w:p>
        </w:tc>
        <w:tc>
          <w:tcPr>
            <w:tcW w:w="6095" w:type="dxa"/>
            <w:vAlign w:val="center"/>
          </w:tcPr>
          <w:p w14:paraId="79727434" w14:textId="77777777" w:rsidR="00AA06F2" w:rsidRPr="00EA1BB2" w:rsidRDefault="00AA06F2" w:rsidP="00AA06F2">
            <w:pPr>
              <w:spacing w:line="360" w:lineRule="auto"/>
              <w:jc w:val="both"/>
              <w:rPr>
                <w:rFonts w:ascii="Cambria" w:hAnsi="Cambria"/>
                <w:bCs/>
                <w:sz w:val="24"/>
                <w:szCs w:val="24"/>
                <w:lang w:val="ro-RO"/>
              </w:rPr>
            </w:pPr>
            <w:r w:rsidRPr="00EA1BB2">
              <w:rPr>
                <w:rFonts w:ascii="Cambria" w:hAnsi="Cambria"/>
                <w:bCs/>
                <w:sz w:val="24"/>
                <w:szCs w:val="24"/>
                <w:lang w:val="ro-RO"/>
              </w:rPr>
              <w:t>50% din valoarea-</w:t>
            </w:r>
            <w:r w:rsidR="00054880" w:rsidRPr="00EA1BB2">
              <w:rPr>
                <w:rFonts w:ascii="Cambria" w:hAnsi="Cambria"/>
                <w:bCs/>
                <w:sz w:val="24"/>
                <w:szCs w:val="24"/>
                <w:lang w:val="ro-RO"/>
              </w:rPr>
              <w:t>ț</w:t>
            </w:r>
            <w:r w:rsidRPr="00EA1BB2">
              <w:rPr>
                <w:rFonts w:ascii="Cambria" w:hAnsi="Cambria"/>
                <w:bCs/>
                <w:sz w:val="24"/>
                <w:szCs w:val="24"/>
                <w:lang w:val="ro-RO"/>
              </w:rPr>
              <w:t>intă (10 ng/m</w:t>
            </w:r>
            <w:r w:rsidRPr="00EA1BB2">
              <w:rPr>
                <w:rFonts w:ascii="Cambria" w:hAnsi="Cambria"/>
                <w:bCs/>
                <w:sz w:val="24"/>
                <w:szCs w:val="24"/>
                <w:vertAlign w:val="superscript"/>
                <w:lang w:val="ro-RO"/>
              </w:rPr>
              <w:t>3</w:t>
            </w:r>
            <w:r w:rsidRPr="00EA1BB2">
              <w:rPr>
                <w:rFonts w:ascii="Cambria" w:hAnsi="Cambria"/>
                <w:bCs/>
                <w:sz w:val="24"/>
                <w:szCs w:val="24"/>
                <w:lang w:val="ro-RO"/>
              </w:rPr>
              <w:t>)</w:t>
            </w:r>
          </w:p>
        </w:tc>
      </w:tr>
    </w:tbl>
    <w:p w14:paraId="6C869161" w14:textId="77777777" w:rsidR="00AA06F2" w:rsidRPr="00EA1BB2" w:rsidRDefault="00AA06F2" w:rsidP="009B697F">
      <w:pPr>
        <w:keepNext/>
        <w:spacing w:line="276" w:lineRule="auto"/>
        <w:ind w:right="-569"/>
        <w:jc w:val="both"/>
        <w:rPr>
          <w:rFonts w:ascii="Cambria" w:eastAsia="Calibri" w:hAnsi="Cambria" w:cs="Times New Roman"/>
          <w:iCs/>
          <w:szCs w:val="24"/>
        </w:rPr>
      </w:pPr>
      <w:r w:rsidRPr="00EA1BB2">
        <w:rPr>
          <w:rFonts w:ascii="Cambria" w:eastAsia="Calibri" w:hAnsi="Cambria" w:cs="Times New Roman"/>
          <w:iCs/>
          <w:szCs w:val="24"/>
        </w:rPr>
        <w:t>sursa: http://www.calitateaer.ro/public/assessment-page/pollutants-page/plumb-page/?__locale=ro</w:t>
      </w:r>
    </w:p>
    <w:p w14:paraId="01842B6E" w14:textId="77777777" w:rsidR="00AA06F2" w:rsidRPr="00EA1BB2" w:rsidRDefault="00AA06F2" w:rsidP="00343667">
      <w:pPr>
        <w:spacing w:line="360" w:lineRule="auto"/>
        <w:jc w:val="both"/>
        <w:rPr>
          <w:rFonts w:ascii="Cambria" w:eastAsia="Times New Roman" w:hAnsi="Cambria" w:cs="Times New Roman"/>
          <w:sz w:val="24"/>
          <w:szCs w:val="24"/>
        </w:rPr>
      </w:pPr>
    </w:p>
    <w:p w14:paraId="4682D1BC" w14:textId="754F1868" w:rsidR="000970C9" w:rsidRPr="00EA1BB2" w:rsidRDefault="00570343" w:rsidP="008D3FB0">
      <w:pPr>
        <w:spacing w:line="360" w:lineRule="auto"/>
        <w:ind w:firstLine="708"/>
        <w:jc w:val="both"/>
        <w:rPr>
          <w:rFonts w:ascii="Cambria" w:eastAsia="Times New Roman" w:hAnsi="Cambria" w:cs="Times New Roman"/>
          <w:sz w:val="24"/>
          <w:szCs w:val="24"/>
        </w:rPr>
      </w:pPr>
      <w:r w:rsidRPr="00EA1BB2">
        <w:rPr>
          <w:rFonts w:ascii="Cambria" w:eastAsia="Times New Roman" w:hAnsi="Cambria" w:cs="Times New Roman"/>
          <w:sz w:val="24"/>
          <w:szCs w:val="24"/>
        </w:rPr>
        <w:lastRenderedPageBreak/>
        <w:t>Metoda de referin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ă pentru prelevarea de probe de arsen, cadmiu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nichel din aerul înconjurător este prevăzută în standardul EN 12341. Metoda de referin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ă pentru măsurarea arsenului, a cadmiului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 xml:space="preserve">i a nichelului din aerul înconjurător este cea prevăzută în standardul SR EN 14902 „Calitatea aerului înconjurător. Metoda standard de măsurare a Pb, Cd, As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Ni în frac</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ia PM(10) a particulelor în suspensie”.</w:t>
      </w:r>
    </w:p>
    <w:p w14:paraId="766832EE" w14:textId="77777777" w:rsidR="009B697F" w:rsidRPr="00EA1BB2" w:rsidRDefault="009B697F" w:rsidP="008D3FB0">
      <w:pPr>
        <w:spacing w:line="360" w:lineRule="auto"/>
        <w:ind w:firstLine="708"/>
        <w:jc w:val="both"/>
        <w:rPr>
          <w:rFonts w:ascii="Cambria" w:eastAsia="Times New Roman" w:hAnsi="Cambria" w:cs="Times New Roman"/>
          <w:sz w:val="24"/>
          <w:szCs w:val="24"/>
        </w:rPr>
      </w:pPr>
    </w:p>
    <w:p w14:paraId="23B4EAAC" w14:textId="77777777" w:rsidR="00B66DF1" w:rsidRPr="00EA1BB2" w:rsidRDefault="00B66DF1" w:rsidP="00E859EF">
      <w:pPr>
        <w:pStyle w:val="ListParagraph"/>
        <w:keepNext/>
        <w:keepLines/>
        <w:numPr>
          <w:ilvl w:val="2"/>
          <w:numId w:val="1"/>
        </w:numPr>
        <w:spacing w:after="0" w:line="360" w:lineRule="auto"/>
        <w:ind w:left="709" w:firstLine="0"/>
        <w:jc w:val="both"/>
        <w:outlineLvl w:val="2"/>
        <w:rPr>
          <w:rFonts w:ascii="Cambria" w:eastAsia="Times New Roman" w:hAnsi="Cambria" w:cs="Times New Roman"/>
          <w:b/>
          <w:color w:val="0070C0"/>
          <w:sz w:val="24"/>
          <w:szCs w:val="24"/>
          <w:lang w:val="ro-RO"/>
        </w:rPr>
      </w:pPr>
      <w:bookmarkStart w:id="178" w:name="_Toc526889735"/>
      <w:r w:rsidRPr="00EA1BB2">
        <w:rPr>
          <w:rFonts w:ascii="Cambria" w:eastAsia="Times New Roman" w:hAnsi="Cambria" w:cs="Times New Roman"/>
          <w:b/>
          <w:color w:val="0070C0"/>
          <w:sz w:val="24"/>
          <w:szCs w:val="24"/>
          <w:lang w:val="ro-RO"/>
        </w:rPr>
        <w:t>Efectele poluării aerului asupra mediului înconjurător</w:t>
      </w:r>
      <w:bookmarkEnd w:id="178"/>
    </w:p>
    <w:p w14:paraId="6E9B9176" w14:textId="77777777" w:rsidR="00B66DF1" w:rsidRPr="00EA1BB2" w:rsidRDefault="00B66DF1" w:rsidP="00B66DF1">
      <w:pPr>
        <w:spacing w:line="360" w:lineRule="auto"/>
        <w:ind w:firstLine="708"/>
        <w:jc w:val="both"/>
        <w:rPr>
          <w:rFonts w:ascii="Cambria" w:hAnsi="Cambria" w:cs="Times New Roman"/>
          <w:sz w:val="24"/>
          <w:szCs w:val="24"/>
        </w:rPr>
      </w:pPr>
      <w:r w:rsidRPr="00EA1BB2">
        <w:rPr>
          <w:rFonts w:ascii="Cambria" w:hAnsi="Cambria" w:cs="Times New Roman"/>
          <w:sz w:val="24"/>
          <w:szCs w:val="24"/>
        </w:rPr>
        <w:t xml:space="preserve">Aerul poluat reprezintă principalul factor de mediu cu risc pentru sănătatea umană. Poluarea aerului atmosferic </w:t>
      </w:r>
      <w:r w:rsidR="00054880" w:rsidRPr="00EA1BB2">
        <w:rPr>
          <w:rFonts w:ascii="Cambria" w:hAnsi="Cambria" w:cs="Times New Roman"/>
          <w:sz w:val="24"/>
          <w:szCs w:val="24"/>
        </w:rPr>
        <w:t>ș</w:t>
      </w:r>
      <w:r w:rsidRPr="00EA1BB2">
        <w:rPr>
          <w:rFonts w:ascii="Cambria" w:hAnsi="Cambria" w:cs="Times New Roman"/>
          <w:sz w:val="24"/>
          <w:szCs w:val="24"/>
        </w:rPr>
        <w:t>i ambiental este, în general, un fenomen complex.</w:t>
      </w:r>
    </w:p>
    <w:p w14:paraId="612858EC" w14:textId="77777777" w:rsidR="00B66DF1" w:rsidRPr="00EA1BB2" w:rsidRDefault="00B66DF1" w:rsidP="00B66DF1">
      <w:pPr>
        <w:spacing w:line="360" w:lineRule="auto"/>
        <w:ind w:firstLine="720"/>
        <w:jc w:val="both"/>
        <w:rPr>
          <w:rFonts w:ascii="Cambria" w:eastAsia="Times New Roman" w:hAnsi="Cambria" w:cs="Times New Roman"/>
          <w:sz w:val="24"/>
          <w:szCs w:val="24"/>
        </w:rPr>
      </w:pPr>
      <w:r w:rsidRPr="00EA1BB2">
        <w:rPr>
          <w:rFonts w:ascii="Cambria" w:eastAsia="Times New Roman" w:hAnsi="Cambria" w:cs="Times New Roman"/>
          <w:sz w:val="24"/>
          <w:szCs w:val="24"/>
        </w:rPr>
        <w:t>Efectele agen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ilor poluan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 din atmosferă asupra florei, faunei, omului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construc</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iilor depind de mai mul</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 factori:</w:t>
      </w:r>
    </w:p>
    <w:p w14:paraId="63E835B7" w14:textId="77777777" w:rsidR="00B66DF1" w:rsidRPr="00EA1BB2" w:rsidRDefault="00B66DF1" w:rsidP="008D3FB0">
      <w:pPr>
        <w:numPr>
          <w:ilvl w:val="0"/>
          <w:numId w:val="20"/>
        </w:numPr>
        <w:spacing w:after="200" w:line="360" w:lineRule="auto"/>
        <w:ind w:left="993" w:hanging="426"/>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concentra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ia în care se găsesc poluan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 în aer: cu cât nivelul concentra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iei este mai mare, cu atât ac</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iunea poluantă este mai mare;</w:t>
      </w:r>
    </w:p>
    <w:p w14:paraId="5E61A178" w14:textId="77777777" w:rsidR="00B66DF1" w:rsidRPr="00EA1BB2" w:rsidRDefault="00B66DF1" w:rsidP="008D3FB0">
      <w:pPr>
        <w:numPr>
          <w:ilvl w:val="0"/>
          <w:numId w:val="20"/>
        </w:numPr>
        <w:spacing w:after="200" w:line="360" w:lineRule="auto"/>
        <w:ind w:left="993" w:hanging="426"/>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timpul de ac</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iune: cu cât timpul de expunere este mai îndelungat cu atât efectul poluării este mai puternic.</w:t>
      </w:r>
    </w:p>
    <w:p w14:paraId="627C5953" w14:textId="77777777" w:rsidR="00B66DF1" w:rsidRPr="00EA1BB2" w:rsidRDefault="00B66DF1" w:rsidP="00B66DF1">
      <w:pPr>
        <w:spacing w:line="360" w:lineRule="auto"/>
        <w:ind w:firstLine="720"/>
        <w:jc w:val="both"/>
        <w:rPr>
          <w:rFonts w:ascii="Cambria" w:eastAsia="Times New Roman" w:hAnsi="Cambria" w:cs="Times New Roman"/>
          <w:sz w:val="24"/>
          <w:szCs w:val="24"/>
        </w:rPr>
      </w:pPr>
      <w:r w:rsidRPr="00EA1BB2">
        <w:rPr>
          <w:rFonts w:ascii="Cambria" w:eastAsia="Times New Roman" w:hAnsi="Cambria" w:cs="Times New Roman"/>
          <w:sz w:val="24"/>
          <w:szCs w:val="24"/>
        </w:rPr>
        <w:t>Din punct de vedere al ac</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iunii substan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elor poluante din atmosferă asupra sănătă</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ii plantelor, animalelor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 xml:space="preserve">i omului, se pot distinge efecte directe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efecte indirecte, astfel:</w:t>
      </w:r>
    </w:p>
    <w:p w14:paraId="577BB219" w14:textId="77777777" w:rsidR="00B66DF1" w:rsidRPr="00EA1BB2" w:rsidRDefault="00B66DF1" w:rsidP="003A520C">
      <w:pPr>
        <w:numPr>
          <w:ilvl w:val="0"/>
          <w:numId w:val="21"/>
        </w:numPr>
        <w:spacing w:after="200" w:line="360" w:lineRule="auto"/>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efectele directe ale substan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elor poluante sunt caracterizate prin modificări prompte ale morbidită</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ii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mortalită</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ii plantelor, animalelor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omului;</w:t>
      </w:r>
    </w:p>
    <w:p w14:paraId="3F6C46F8" w14:textId="77777777" w:rsidR="00B66DF1" w:rsidRPr="00EA1BB2" w:rsidRDefault="00B66DF1" w:rsidP="003A520C">
      <w:pPr>
        <w:numPr>
          <w:ilvl w:val="0"/>
          <w:numId w:val="21"/>
        </w:numPr>
        <w:spacing w:after="200" w:line="360" w:lineRule="auto"/>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efecte indirecte:</w:t>
      </w:r>
    </w:p>
    <w:p w14:paraId="37EB626C" w14:textId="77777777" w:rsidR="00B66DF1" w:rsidRPr="00EA1BB2" w:rsidRDefault="00B66DF1" w:rsidP="003A520C">
      <w:pPr>
        <w:numPr>
          <w:ilvl w:val="0"/>
          <w:numId w:val="19"/>
        </w:numPr>
        <w:spacing w:after="200" w:line="360" w:lineRule="auto"/>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efectul de seră: constă în încălzirea staturilor inferioare ale atmosferei datorită prezen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ei oxizilor de azot, care nu permit dispersia căldurii spre spa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iul cosmic, existând posibilitatea topirii par</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iale a calotei glaciare de la poli, ridicarea nivelului apei, inundarea unor zone fertile sau dispari</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ia unor centre urbane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a unor ecosisteme terestre.</w:t>
      </w:r>
    </w:p>
    <w:p w14:paraId="5C2BAA44" w14:textId="77777777" w:rsidR="00B66DF1" w:rsidRPr="00EA1BB2" w:rsidRDefault="00B66DF1" w:rsidP="003A520C">
      <w:pPr>
        <w:numPr>
          <w:ilvl w:val="0"/>
          <w:numId w:val="19"/>
        </w:numPr>
        <w:spacing w:after="200" w:line="360" w:lineRule="auto"/>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ploile acide, sunt definite ca precipita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iile atmosferice care au pH-ul mai mic de 5,6 unită</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 de pH. Caracterul acid al precipita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iilor se datorează în special prezen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ei în atmosferă a dioxidului de sulf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 xml:space="preserve">i a oxizilor de azot, gaze solubile în apă cu formarea acizilor sulfurici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azotici. Sub ac</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iunea vântului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a mi</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 xml:space="preserve">cărilor verticale ale aerului, dispersia oxizilor de sulf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de azot în atmosferă ajunge la mii de kilometri pe orizontală.</w:t>
      </w:r>
    </w:p>
    <w:p w14:paraId="122FD529" w14:textId="77777777" w:rsidR="00B66DF1" w:rsidRPr="00EA1BB2" w:rsidRDefault="00B66DF1" w:rsidP="00B66DF1">
      <w:pPr>
        <w:spacing w:line="360" w:lineRule="auto"/>
        <w:ind w:firstLine="720"/>
        <w:jc w:val="both"/>
        <w:rPr>
          <w:rFonts w:ascii="Cambria" w:eastAsia="Times New Roman" w:hAnsi="Cambria" w:cs="Times New Roman"/>
          <w:sz w:val="24"/>
          <w:szCs w:val="24"/>
        </w:rPr>
      </w:pPr>
      <w:r w:rsidRPr="00EA1BB2">
        <w:rPr>
          <w:rFonts w:ascii="Cambria" w:eastAsia="Times New Roman" w:hAnsi="Cambria" w:cs="Times New Roman"/>
          <w:sz w:val="24"/>
          <w:szCs w:val="24"/>
        </w:rPr>
        <w:lastRenderedPageBreak/>
        <w:t>Dintre efectele directe ale ploilor acide asupra componentelor geosistemelor, pot fi enumerate:</w:t>
      </w:r>
    </w:p>
    <w:p w14:paraId="5011534B" w14:textId="77777777" w:rsidR="00B66DF1" w:rsidRPr="00EA1BB2" w:rsidRDefault="00B66DF1" w:rsidP="003A520C">
      <w:pPr>
        <w:numPr>
          <w:ilvl w:val="0"/>
          <w:numId w:val="22"/>
        </w:numPr>
        <w:spacing w:after="200" w:line="360" w:lineRule="auto"/>
        <w:ind w:left="567"/>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 xml:space="preserve">asupra organismelor animale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asupra omului, se manifestă prin cre</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terea frecven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ei tulburărilor cardio-respiratorii;</w:t>
      </w:r>
    </w:p>
    <w:p w14:paraId="43B55670" w14:textId="77777777" w:rsidR="00B66DF1" w:rsidRPr="00EA1BB2" w:rsidRDefault="00B66DF1" w:rsidP="003A520C">
      <w:pPr>
        <w:numPr>
          <w:ilvl w:val="0"/>
          <w:numId w:val="22"/>
        </w:numPr>
        <w:spacing w:after="200" w:line="360" w:lineRule="auto"/>
        <w:ind w:left="567"/>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 xml:space="preserve">asupra plantelor, au efect distrugător, producând cloroze (îngălbenirea frunzelor)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necroze (uscarea frunzelor);</w:t>
      </w:r>
    </w:p>
    <w:p w14:paraId="1EC1D9A3" w14:textId="77777777" w:rsidR="00B66DF1" w:rsidRPr="00EA1BB2" w:rsidRDefault="00B66DF1" w:rsidP="003A520C">
      <w:pPr>
        <w:numPr>
          <w:ilvl w:val="0"/>
          <w:numId w:val="22"/>
        </w:numPr>
        <w:spacing w:after="200" w:line="360" w:lineRule="auto"/>
        <w:ind w:left="567"/>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asupra materialelor de construc</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ie, au ac</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iune corozivă asupra metalelor, decolorează materialele de construc</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ie, modifică porozitatea acestora.</w:t>
      </w:r>
    </w:p>
    <w:p w14:paraId="0DC6F89E" w14:textId="77777777" w:rsidR="00B66DF1" w:rsidRPr="00EA1BB2" w:rsidRDefault="00B66DF1" w:rsidP="00B66DF1">
      <w:pPr>
        <w:spacing w:line="360" w:lineRule="auto"/>
        <w:ind w:firstLine="720"/>
        <w:jc w:val="both"/>
        <w:rPr>
          <w:rFonts w:ascii="Cambria" w:eastAsia="Times New Roman" w:hAnsi="Cambria" w:cs="Times New Roman"/>
          <w:sz w:val="24"/>
          <w:szCs w:val="24"/>
        </w:rPr>
      </w:pPr>
      <w:r w:rsidRPr="00EA1BB2">
        <w:rPr>
          <w:rFonts w:ascii="Cambria" w:eastAsia="Times New Roman" w:hAnsi="Cambria" w:cs="Times New Roman"/>
          <w:sz w:val="24"/>
          <w:szCs w:val="24"/>
        </w:rPr>
        <w:t>Efectele indirecte ale ploilor acide asupra componentelor mediului:</w:t>
      </w:r>
    </w:p>
    <w:p w14:paraId="253C73EE" w14:textId="77777777" w:rsidR="00B66DF1" w:rsidRPr="00EA1BB2" w:rsidRDefault="00B66DF1" w:rsidP="003A520C">
      <w:pPr>
        <w:numPr>
          <w:ilvl w:val="0"/>
          <w:numId w:val="23"/>
        </w:numPr>
        <w:spacing w:line="360" w:lineRule="auto"/>
        <w:ind w:left="567"/>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depunerea compu</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ilor acizi din precipita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 pe suprafe</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ele apelor conduce la modificări ai parametrilor fizico-chimici ai acesteia: cre</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terea con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inutului de sulfa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azota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 iar scăderea pH-ului favorizează disocierea unor compu</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 xml:space="preserve">i metalici în apă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cre</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terea toxicită</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 acestora pentru organismele acvatice;</w:t>
      </w:r>
      <w:r w:rsidRPr="00EA1BB2">
        <w:rPr>
          <w:rFonts w:ascii="Cambria" w:eastAsia="Times New Roman" w:hAnsi="Cambria" w:cs="Times New Roman"/>
          <w:sz w:val="24"/>
          <w:szCs w:val="24"/>
        </w:rPr>
        <w:tab/>
      </w:r>
    </w:p>
    <w:p w14:paraId="1B384396" w14:textId="77777777" w:rsidR="00B66DF1" w:rsidRPr="00EA1BB2" w:rsidRDefault="00B66DF1" w:rsidP="003A520C">
      <w:pPr>
        <w:numPr>
          <w:ilvl w:val="0"/>
          <w:numId w:val="23"/>
        </w:numPr>
        <w:spacing w:after="200" w:line="360" w:lineRule="auto"/>
        <w:ind w:left="567"/>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 xml:space="preserve">acidifierea solului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ca urmare, cre</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terea solubilită</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ii ionilor toxici (metale grele) din sol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absorb</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ia acestora de către plante sau poluarea pânzei freatice.</w:t>
      </w:r>
    </w:p>
    <w:p w14:paraId="588587F7" w14:textId="77777777" w:rsidR="00B66DF1" w:rsidRPr="00EA1BB2" w:rsidRDefault="00B66DF1" w:rsidP="00B66DF1">
      <w:pPr>
        <w:spacing w:line="360" w:lineRule="auto"/>
        <w:ind w:firstLine="709"/>
        <w:jc w:val="both"/>
        <w:rPr>
          <w:rFonts w:ascii="Cambria" w:hAnsi="Cambria" w:cs="Times New Roman"/>
          <w:sz w:val="24"/>
          <w:szCs w:val="24"/>
        </w:rPr>
      </w:pPr>
      <w:r w:rsidRPr="00EA1BB2">
        <w:rPr>
          <w:rFonts w:ascii="Cambria" w:hAnsi="Cambria" w:cs="Times New Roman"/>
          <w:sz w:val="24"/>
          <w:szCs w:val="24"/>
        </w:rPr>
        <w:t>Numeroase studii epidemiologice au eviden</w:t>
      </w:r>
      <w:r w:rsidR="00054880" w:rsidRPr="00EA1BB2">
        <w:rPr>
          <w:rFonts w:ascii="Cambria" w:hAnsi="Cambria" w:cs="Times New Roman"/>
          <w:sz w:val="24"/>
          <w:szCs w:val="24"/>
        </w:rPr>
        <w:t>ț</w:t>
      </w:r>
      <w:r w:rsidRPr="00EA1BB2">
        <w:rPr>
          <w:rFonts w:ascii="Cambria" w:hAnsi="Cambria" w:cs="Times New Roman"/>
          <w:sz w:val="24"/>
          <w:szCs w:val="24"/>
        </w:rPr>
        <w:t xml:space="preserve">iat legătura dintre poluarea aerului </w:t>
      </w:r>
      <w:r w:rsidR="00054880" w:rsidRPr="00EA1BB2">
        <w:rPr>
          <w:rFonts w:ascii="Cambria" w:hAnsi="Cambria" w:cs="Times New Roman"/>
          <w:sz w:val="24"/>
          <w:szCs w:val="24"/>
        </w:rPr>
        <w:t>ș</w:t>
      </w:r>
      <w:r w:rsidRPr="00EA1BB2">
        <w:rPr>
          <w:rFonts w:ascii="Cambria" w:hAnsi="Cambria" w:cs="Times New Roman"/>
          <w:sz w:val="24"/>
          <w:szCs w:val="24"/>
        </w:rPr>
        <w:t xml:space="preserve">i o gamă largă de efecte negative asupra sistemului respirator </w:t>
      </w:r>
      <w:r w:rsidR="00054880" w:rsidRPr="00EA1BB2">
        <w:rPr>
          <w:rFonts w:ascii="Cambria" w:hAnsi="Cambria" w:cs="Times New Roman"/>
          <w:sz w:val="24"/>
          <w:szCs w:val="24"/>
        </w:rPr>
        <w:t>ș</w:t>
      </w:r>
      <w:r w:rsidRPr="00EA1BB2">
        <w:rPr>
          <w:rFonts w:ascii="Cambria" w:hAnsi="Cambria" w:cs="Times New Roman"/>
          <w:sz w:val="24"/>
          <w:szCs w:val="24"/>
        </w:rPr>
        <w:t>i a celui cardiovascular, care au variat de la boli cu simptomatologie slabă fără manifestări evidente (efecte subclinice) până la mor</w:t>
      </w:r>
      <w:r w:rsidR="00054880" w:rsidRPr="00EA1BB2">
        <w:rPr>
          <w:rFonts w:ascii="Cambria" w:hAnsi="Cambria" w:cs="Times New Roman"/>
          <w:sz w:val="24"/>
          <w:szCs w:val="24"/>
        </w:rPr>
        <w:t>ț</w:t>
      </w:r>
      <w:r w:rsidRPr="00EA1BB2">
        <w:rPr>
          <w:rFonts w:ascii="Cambria" w:hAnsi="Cambria" w:cs="Times New Roman"/>
          <w:sz w:val="24"/>
          <w:szCs w:val="24"/>
        </w:rPr>
        <w:t>i premature.</w:t>
      </w:r>
      <w:r w:rsidRPr="00EA1BB2">
        <w:rPr>
          <w:rFonts w:ascii="Cambria" w:hAnsi="Cambria" w:cs="Times New Roman"/>
          <w:sz w:val="24"/>
          <w:szCs w:val="24"/>
          <w:vertAlign w:val="superscript"/>
        </w:rPr>
        <w:footnoteReference w:id="22"/>
      </w:r>
    </w:p>
    <w:p w14:paraId="31DD9738" w14:textId="14BBCF88" w:rsidR="00B66DF1" w:rsidRPr="00EA1BB2" w:rsidRDefault="00B66DF1" w:rsidP="00B66DF1">
      <w:pPr>
        <w:keepNext/>
        <w:spacing w:line="360" w:lineRule="auto"/>
        <w:ind w:firstLine="708"/>
        <w:jc w:val="both"/>
        <w:rPr>
          <w:rFonts w:ascii="Cambria" w:hAnsi="Cambria"/>
          <w:b/>
          <w:iCs/>
          <w:sz w:val="24"/>
          <w:szCs w:val="18"/>
        </w:rPr>
      </w:pPr>
      <w:bookmarkStart w:id="179" w:name="_Toc524966218"/>
      <w:r w:rsidRPr="00EA1BB2">
        <w:rPr>
          <w:rFonts w:ascii="Cambria" w:hAnsi="Cambria"/>
          <w:b/>
          <w:iCs/>
          <w:sz w:val="24"/>
          <w:szCs w:val="18"/>
        </w:rPr>
        <w:t xml:space="preserve">Figura nr. </w:t>
      </w:r>
      <w:r w:rsidR="00280BC9" w:rsidRPr="00EA1BB2">
        <w:rPr>
          <w:rFonts w:ascii="Cambria" w:hAnsi="Cambria"/>
          <w:b/>
          <w:iCs/>
          <w:sz w:val="24"/>
          <w:szCs w:val="18"/>
        </w:rPr>
        <w:fldChar w:fldCharType="begin"/>
      </w:r>
      <w:r w:rsidR="00BA6FA3" w:rsidRPr="00EA1BB2">
        <w:rPr>
          <w:rFonts w:ascii="Cambria" w:hAnsi="Cambria"/>
          <w:b/>
          <w:iCs/>
          <w:sz w:val="24"/>
          <w:szCs w:val="18"/>
        </w:rPr>
        <w:instrText xml:space="preserve"> STYLEREF 1 \s </w:instrText>
      </w:r>
      <w:r w:rsidR="00280BC9" w:rsidRPr="00EA1BB2">
        <w:rPr>
          <w:rFonts w:ascii="Cambria" w:hAnsi="Cambria"/>
          <w:b/>
          <w:iCs/>
          <w:sz w:val="24"/>
          <w:szCs w:val="18"/>
        </w:rPr>
        <w:fldChar w:fldCharType="separate"/>
      </w:r>
      <w:r w:rsidR="00567555">
        <w:rPr>
          <w:rFonts w:ascii="Cambria" w:hAnsi="Cambria"/>
          <w:b/>
          <w:iCs/>
          <w:noProof/>
          <w:sz w:val="24"/>
          <w:szCs w:val="18"/>
        </w:rPr>
        <w:t>3</w:t>
      </w:r>
      <w:r w:rsidR="00280BC9" w:rsidRPr="00EA1BB2">
        <w:rPr>
          <w:rFonts w:ascii="Cambria" w:hAnsi="Cambria"/>
          <w:b/>
          <w:iCs/>
          <w:sz w:val="24"/>
          <w:szCs w:val="18"/>
        </w:rPr>
        <w:fldChar w:fldCharType="end"/>
      </w:r>
      <w:r w:rsidR="00BA6FA3" w:rsidRPr="00EA1BB2">
        <w:rPr>
          <w:rFonts w:ascii="Cambria" w:hAnsi="Cambria"/>
          <w:b/>
          <w:iCs/>
          <w:sz w:val="24"/>
          <w:szCs w:val="18"/>
        </w:rPr>
        <w:noBreakHyphen/>
      </w:r>
      <w:r w:rsidR="00280BC9" w:rsidRPr="00EA1BB2">
        <w:rPr>
          <w:rFonts w:ascii="Cambria" w:hAnsi="Cambria"/>
          <w:b/>
          <w:iCs/>
          <w:sz w:val="24"/>
          <w:szCs w:val="18"/>
        </w:rPr>
        <w:fldChar w:fldCharType="begin"/>
      </w:r>
      <w:r w:rsidR="00BA6FA3" w:rsidRPr="00EA1BB2">
        <w:rPr>
          <w:rFonts w:ascii="Cambria" w:hAnsi="Cambria"/>
          <w:b/>
          <w:iCs/>
          <w:sz w:val="24"/>
          <w:szCs w:val="18"/>
        </w:rPr>
        <w:instrText xml:space="preserve"> SEQ Figura_nr. \* ARABIC \s 1 </w:instrText>
      </w:r>
      <w:r w:rsidR="00280BC9" w:rsidRPr="00EA1BB2">
        <w:rPr>
          <w:rFonts w:ascii="Cambria" w:hAnsi="Cambria"/>
          <w:b/>
          <w:iCs/>
          <w:sz w:val="24"/>
          <w:szCs w:val="18"/>
        </w:rPr>
        <w:fldChar w:fldCharType="separate"/>
      </w:r>
      <w:r w:rsidR="00567555">
        <w:rPr>
          <w:rFonts w:ascii="Cambria" w:hAnsi="Cambria"/>
          <w:b/>
          <w:iCs/>
          <w:noProof/>
          <w:sz w:val="24"/>
          <w:szCs w:val="18"/>
        </w:rPr>
        <w:t>7</w:t>
      </w:r>
      <w:r w:rsidR="00280BC9" w:rsidRPr="00EA1BB2">
        <w:rPr>
          <w:rFonts w:ascii="Cambria" w:hAnsi="Cambria"/>
          <w:b/>
          <w:iCs/>
          <w:sz w:val="24"/>
          <w:szCs w:val="18"/>
        </w:rPr>
        <w:fldChar w:fldCharType="end"/>
      </w:r>
      <w:r w:rsidRPr="00EA1BB2">
        <w:rPr>
          <w:rFonts w:ascii="Cambria" w:hAnsi="Cambria"/>
          <w:b/>
          <w:iCs/>
          <w:sz w:val="24"/>
          <w:szCs w:val="18"/>
        </w:rPr>
        <w:t xml:space="preserve"> - Mortalitatea generală, la nivelul  jude</w:t>
      </w:r>
      <w:r w:rsidR="00054880" w:rsidRPr="00EA1BB2">
        <w:rPr>
          <w:rFonts w:ascii="Cambria" w:hAnsi="Cambria"/>
          <w:b/>
          <w:iCs/>
          <w:sz w:val="24"/>
          <w:szCs w:val="18"/>
        </w:rPr>
        <w:t>ț</w:t>
      </w:r>
      <w:r w:rsidRPr="00EA1BB2">
        <w:rPr>
          <w:rFonts w:ascii="Cambria" w:hAnsi="Cambria"/>
          <w:b/>
          <w:iCs/>
          <w:sz w:val="24"/>
          <w:szCs w:val="18"/>
        </w:rPr>
        <w:t>ului Brăila, cea datorată afec</w:t>
      </w:r>
      <w:r w:rsidR="00054880" w:rsidRPr="00EA1BB2">
        <w:rPr>
          <w:rFonts w:ascii="Cambria" w:hAnsi="Cambria"/>
          <w:b/>
          <w:iCs/>
          <w:sz w:val="24"/>
          <w:szCs w:val="18"/>
        </w:rPr>
        <w:t>ț</w:t>
      </w:r>
      <w:r w:rsidRPr="00EA1BB2">
        <w:rPr>
          <w:rFonts w:ascii="Cambria" w:hAnsi="Cambria"/>
          <w:b/>
          <w:iCs/>
          <w:sz w:val="24"/>
          <w:szCs w:val="18"/>
        </w:rPr>
        <w:t xml:space="preserve">iunilor respiratorii </w:t>
      </w:r>
      <w:r w:rsidR="00054880" w:rsidRPr="00EA1BB2">
        <w:rPr>
          <w:rFonts w:ascii="Cambria" w:hAnsi="Cambria"/>
          <w:b/>
          <w:iCs/>
          <w:sz w:val="24"/>
          <w:szCs w:val="18"/>
        </w:rPr>
        <w:t>ș</w:t>
      </w:r>
      <w:r w:rsidRPr="00EA1BB2">
        <w:rPr>
          <w:rFonts w:ascii="Cambria" w:hAnsi="Cambria"/>
          <w:b/>
          <w:iCs/>
          <w:sz w:val="24"/>
          <w:szCs w:val="18"/>
        </w:rPr>
        <w:t>i cea prin afec</w:t>
      </w:r>
      <w:r w:rsidR="00054880" w:rsidRPr="00EA1BB2">
        <w:rPr>
          <w:rFonts w:ascii="Cambria" w:hAnsi="Cambria"/>
          <w:b/>
          <w:iCs/>
          <w:sz w:val="24"/>
          <w:szCs w:val="18"/>
        </w:rPr>
        <w:t>ț</w:t>
      </w:r>
      <w:r w:rsidRPr="00EA1BB2">
        <w:rPr>
          <w:rFonts w:ascii="Cambria" w:hAnsi="Cambria"/>
          <w:b/>
          <w:iCs/>
          <w:sz w:val="24"/>
          <w:szCs w:val="18"/>
        </w:rPr>
        <w:t>iuni cardiovasculare în  perioada 2010 -2014</w:t>
      </w:r>
      <w:bookmarkEnd w:id="179"/>
    </w:p>
    <w:p w14:paraId="1CFF1C8F" w14:textId="77777777" w:rsidR="00B66DF1" w:rsidRPr="00EA1BB2" w:rsidRDefault="00B66DF1" w:rsidP="00B66DF1">
      <w:pPr>
        <w:spacing w:line="276" w:lineRule="auto"/>
        <w:jc w:val="center"/>
        <w:rPr>
          <w:rFonts w:ascii="Cambria" w:hAnsi="Cambria" w:cs="Times New Roman"/>
          <w:sz w:val="24"/>
          <w:szCs w:val="24"/>
        </w:rPr>
      </w:pPr>
      <w:r w:rsidRPr="00EA1BB2">
        <w:rPr>
          <w:rFonts w:ascii="Cambria" w:hAnsi="Cambria" w:cs="Times New Roman"/>
          <w:noProof/>
          <w:sz w:val="24"/>
          <w:szCs w:val="24"/>
          <w:lang w:val="en-US"/>
        </w:rPr>
        <w:drawing>
          <wp:inline distT="0" distB="0" distL="0" distR="0" wp14:anchorId="193FE030" wp14:editId="67548C6F">
            <wp:extent cx="5759450" cy="2419350"/>
            <wp:effectExtent l="0" t="0" r="12700" b="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01F74BEE" w14:textId="77777777" w:rsidR="00194FF0" w:rsidRPr="00EA1BB2" w:rsidRDefault="00194FF0" w:rsidP="00194FF0">
      <w:pPr>
        <w:rPr>
          <w:rFonts w:ascii="Cambria" w:eastAsia="SimSun" w:hAnsi="Cambria" w:cs="Arial"/>
          <w:sz w:val="24"/>
          <w:szCs w:val="24"/>
        </w:rPr>
      </w:pPr>
      <w:r w:rsidRPr="00EA1BB2">
        <w:rPr>
          <w:rFonts w:ascii="Cambria" w:eastAsia="SimSun" w:hAnsi="Cambria" w:cs="Arial"/>
          <w:szCs w:val="24"/>
        </w:rPr>
        <w:t>Sursa date: DJSP Brăila</w:t>
      </w:r>
    </w:p>
    <w:p w14:paraId="3CFC8AA5" w14:textId="3F877F65" w:rsidR="00B66DF1" w:rsidRPr="00EA1BB2" w:rsidRDefault="00B66DF1" w:rsidP="00B66DF1">
      <w:pPr>
        <w:keepNext/>
        <w:spacing w:line="360" w:lineRule="auto"/>
        <w:ind w:firstLine="708"/>
        <w:jc w:val="both"/>
        <w:rPr>
          <w:rFonts w:ascii="Cambria" w:hAnsi="Cambria"/>
          <w:b/>
          <w:iCs/>
          <w:sz w:val="24"/>
          <w:szCs w:val="18"/>
        </w:rPr>
      </w:pPr>
      <w:bookmarkStart w:id="180" w:name="_Toc526889806"/>
      <w:r w:rsidRPr="00EA1BB2">
        <w:rPr>
          <w:rFonts w:ascii="Cambria" w:hAnsi="Cambria"/>
          <w:b/>
          <w:iCs/>
          <w:sz w:val="24"/>
          <w:szCs w:val="18"/>
        </w:rPr>
        <w:lastRenderedPageBreak/>
        <w:t xml:space="preserve">Tabelul nr. </w:t>
      </w:r>
      <w:r w:rsidR="000A2FE7" w:rsidRPr="00EA1BB2">
        <w:rPr>
          <w:rFonts w:ascii="Cambria" w:hAnsi="Cambria"/>
          <w:b/>
          <w:iCs/>
          <w:sz w:val="24"/>
          <w:szCs w:val="18"/>
        </w:rPr>
        <w:fldChar w:fldCharType="begin"/>
      </w:r>
      <w:r w:rsidR="000A2FE7" w:rsidRPr="00EA1BB2">
        <w:rPr>
          <w:rFonts w:ascii="Cambria" w:hAnsi="Cambria"/>
          <w:b/>
          <w:iCs/>
          <w:sz w:val="24"/>
          <w:szCs w:val="18"/>
        </w:rPr>
        <w:instrText xml:space="preserve"> STYLEREF 1 \s </w:instrText>
      </w:r>
      <w:r w:rsidR="000A2FE7" w:rsidRPr="00EA1BB2">
        <w:rPr>
          <w:rFonts w:ascii="Cambria" w:hAnsi="Cambria"/>
          <w:b/>
          <w:iCs/>
          <w:sz w:val="24"/>
          <w:szCs w:val="18"/>
        </w:rPr>
        <w:fldChar w:fldCharType="separate"/>
      </w:r>
      <w:r w:rsidR="00567555">
        <w:rPr>
          <w:rFonts w:ascii="Cambria" w:hAnsi="Cambria"/>
          <w:b/>
          <w:iCs/>
          <w:noProof/>
          <w:sz w:val="24"/>
          <w:szCs w:val="18"/>
        </w:rPr>
        <w:t>3</w:t>
      </w:r>
      <w:r w:rsidR="000A2FE7" w:rsidRPr="00EA1BB2">
        <w:rPr>
          <w:rFonts w:ascii="Cambria" w:hAnsi="Cambria"/>
          <w:b/>
          <w:iCs/>
          <w:sz w:val="24"/>
          <w:szCs w:val="18"/>
        </w:rPr>
        <w:fldChar w:fldCharType="end"/>
      </w:r>
      <w:r w:rsidR="000A2FE7" w:rsidRPr="00EA1BB2">
        <w:rPr>
          <w:rFonts w:ascii="Cambria" w:hAnsi="Cambria"/>
          <w:b/>
          <w:iCs/>
          <w:sz w:val="24"/>
          <w:szCs w:val="18"/>
        </w:rPr>
        <w:noBreakHyphen/>
      </w:r>
      <w:r w:rsidR="000A2FE7" w:rsidRPr="00EA1BB2">
        <w:rPr>
          <w:rFonts w:ascii="Cambria" w:hAnsi="Cambria"/>
          <w:b/>
          <w:iCs/>
          <w:sz w:val="24"/>
          <w:szCs w:val="18"/>
        </w:rPr>
        <w:fldChar w:fldCharType="begin"/>
      </w:r>
      <w:r w:rsidR="000A2FE7" w:rsidRPr="00EA1BB2">
        <w:rPr>
          <w:rFonts w:ascii="Cambria" w:hAnsi="Cambria"/>
          <w:b/>
          <w:iCs/>
          <w:sz w:val="24"/>
          <w:szCs w:val="18"/>
        </w:rPr>
        <w:instrText xml:space="preserve"> SEQ Tabelul_nr. \* ARABIC \s 1 </w:instrText>
      </w:r>
      <w:r w:rsidR="000A2FE7" w:rsidRPr="00EA1BB2">
        <w:rPr>
          <w:rFonts w:ascii="Cambria" w:hAnsi="Cambria"/>
          <w:b/>
          <w:iCs/>
          <w:sz w:val="24"/>
          <w:szCs w:val="18"/>
        </w:rPr>
        <w:fldChar w:fldCharType="separate"/>
      </w:r>
      <w:r w:rsidR="00567555">
        <w:rPr>
          <w:rFonts w:ascii="Cambria" w:hAnsi="Cambria"/>
          <w:b/>
          <w:iCs/>
          <w:noProof/>
          <w:sz w:val="24"/>
          <w:szCs w:val="18"/>
        </w:rPr>
        <w:t>37</w:t>
      </w:r>
      <w:r w:rsidR="000A2FE7" w:rsidRPr="00EA1BB2">
        <w:rPr>
          <w:rFonts w:ascii="Cambria" w:hAnsi="Cambria"/>
          <w:b/>
          <w:iCs/>
          <w:sz w:val="24"/>
          <w:szCs w:val="18"/>
        </w:rPr>
        <w:fldChar w:fldCharType="end"/>
      </w:r>
      <w:r w:rsidRPr="00EA1BB2">
        <w:rPr>
          <w:rFonts w:ascii="Cambria" w:hAnsi="Cambria"/>
          <w:b/>
          <w:iCs/>
          <w:sz w:val="24"/>
          <w:szCs w:val="18"/>
        </w:rPr>
        <w:t xml:space="preserve"> - Mortalitate infantilă </w:t>
      </w:r>
      <w:r w:rsidR="00054880" w:rsidRPr="00EA1BB2">
        <w:rPr>
          <w:rFonts w:ascii="Cambria" w:hAnsi="Cambria"/>
          <w:b/>
          <w:iCs/>
          <w:sz w:val="24"/>
          <w:szCs w:val="18"/>
        </w:rPr>
        <w:t>ș</w:t>
      </w:r>
      <w:r w:rsidRPr="00EA1BB2">
        <w:rPr>
          <w:rFonts w:ascii="Cambria" w:hAnsi="Cambria"/>
          <w:b/>
          <w:iCs/>
          <w:sz w:val="24"/>
          <w:szCs w:val="18"/>
        </w:rPr>
        <w:t>i prin afec</w:t>
      </w:r>
      <w:r w:rsidR="00054880" w:rsidRPr="00EA1BB2">
        <w:rPr>
          <w:rFonts w:ascii="Cambria" w:hAnsi="Cambria"/>
          <w:b/>
          <w:iCs/>
          <w:sz w:val="24"/>
          <w:szCs w:val="18"/>
        </w:rPr>
        <w:t>ț</w:t>
      </w:r>
      <w:r w:rsidRPr="00EA1BB2">
        <w:rPr>
          <w:rFonts w:ascii="Cambria" w:hAnsi="Cambria"/>
          <w:b/>
          <w:iCs/>
          <w:sz w:val="24"/>
          <w:szCs w:val="18"/>
        </w:rPr>
        <w:t xml:space="preserve">iuni respiratorii în mediul </w:t>
      </w:r>
      <w:r w:rsidR="00227CAE" w:rsidRPr="00EA1BB2">
        <w:rPr>
          <w:rFonts w:ascii="Cambria" w:hAnsi="Cambria"/>
          <w:b/>
          <w:iCs/>
          <w:sz w:val="24"/>
          <w:szCs w:val="18"/>
        </w:rPr>
        <w:t>u</w:t>
      </w:r>
      <w:r w:rsidRPr="00EA1BB2">
        <w:rPr>
          <w:rFonts w:ascii="Cambria" w:hAnsi="Cambria"/>
          <w:b/>
          <w:iCs/>
          <w:sz w:val="24"/>
          <w:szCs w:val="18"/>
        </w:rPr>
        <w:t>rban în perioada 2010 - 2014</w:t>
      </w:r>
      <w:bookmarkEnd w:id="180"/>
    </w:p>
    <w:tbl>
      <w:tblPr>
        <w:tblW w:w="918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59"/>
        <w:gridCol w:w="989"/>
        <w:gridCol w:w="989"/>
        <w:gridCol w:w="915"/>
        <w:gridCol w:w="1048"/>
        <w:gridCol w:w="989"/>
      </w:tblGrid>
      <w:tr w:rsidR="00B66DF1" w:rsidRPr="00EA1BB2" w14:paraId="26745FB4" w14:textId="77777777" w:rsidTr="00AC7B91">
        <w:trPr>
          <w:jc w:val="center"/>
        </w:trPr>
        <w:tc>
          <w:tcPr>
            <w:tcW w:w="4259" w:type="dxa"/>
            <w:shd w:val="clear" w:color="auto" w:fill="BDD6EE" w:themeFill="accent1" w:themeFillTint="66"/>
          </w:tcPr>
          <w:p w14:paraId="3F5FB9AB" w14:textId="77777777" w:rsidR="00B66DF1" w:rsidRPr="00EA1BB2" w:rsidRDefault="00B66DF1" w:rsidP="00050BCA">
            <w:pPr>
              <w:spacing w:line="360" w:lineRule="auto"/>
              <w:jc w:val="center"/>
              <w:rPr>
                <w:rFonts w:ascii="Cambria" w:eastAsia="SimSun" w:hAnsi="Cambria" w:cs="Arial"/>
                <w:b/>
                <w:sz w:val="24"/>
                <w:szCs w:val="24"/>
              </w:rPr>
            </w:pPr>
            <w:r w:rsidRPr="00EA1BB2">
              <w:rPr>
                <w:rFonts w:ascii="Cambria" w:eastAsia="SimSun" w:hAnsi="Cambria" w:cs="Arial"/>
                <w:b/>
                <w:sz w:val="24"/>
                <w:szCs w:val="24"/>
              </w:rPr>
              <w:t>Jude</w:t>
            </w:r>
            <w:r w:rsidR="00054880" w:rsidRPr="00EA1BB2">
              <w:rPr>
                <w:rFonts w:ascii="Cambria" w:eastAsia="SimSun" w:hAnsi="Cambria" w:cs="Arial"/>
                <w:b/>
                <w:sz w:val="24"/>
                <w:szCs w:val="24"/>
              </w:rPr>
              <w:t>ț</w:t>
            </w:r>
            <w:r w:rsidRPr="00EA1BB2">
              <w:rPr>
                <w:rFonts w:ascii="Cambria" w:eastAsia="SimSun" w:hAnsi="Cambria" w:cs="Arial"/>
                <w:b/>
                <w:sz w:val="24"/>
                <w:szCs w:val="24"/>
              </w:rPr>
              <w:t>ul Brăila</w:t>
            </w:r>
          </w:p>
        </w:tc>
        <w:tc>
          <w:tcPr>
            <w:tcW w:w="989" w:type="dxa"/>
            <w:shd w:val="clear" w:color="auto" w:fill="BDD6EE" w:themeFill="accent1" w:themeFillTint="66"/>
          </w:tcPr>
          <w:p w14:paraId="5662A897" w14:textId="77777777" w:rsidR="00B66DF1" w:rsidRPr="00EA1BB2" w:rsidRDefault="00B66DF1" w:rsidP="00050BCA">
            <w:pPr>
              <w:spacing w:line="360" w:lineRule="auto"/>
              <w:jc w:val="center"/>
              <w:rPr>
                <w:rFonts w:ascii="Cambria" w:eastAsia="SimSun" w:hAnsi="Cambria" w:cs="Arial"/>
                <w:b/>
                <w:sz w:val="24"/>
                <w:szCs w:val="24"/>
              </w:rPr>
            </w:pPr>
            <w:r w:rsidRPr="00EA1BB2">
              <w:rPr>
                <w:rFonts w:ascii="Cambria" w:eastAsia="SimSun" w:hAnsi="Cambria" w:cs="Arial"/>
                <w:b/>
                <w:sz w:val="24"/>
                <w:szCs w:val="24"/>
              </w:rPr>
              <w:t>2010</w:t>
            </w:r>
          </w:p>
        </w:tc>
        <w:tc>
          <w:tcPr>
            <w:tcW w:w="989" w:type="dxa"/>
            <w:shd w:val="clear" w:color="auto" w:fill="BDD6EE" w:themeFill="accent1" w:themeFillTint="66"/>
          </w:tcPr>
          <w:p w14:paraId="21EA9009" w14:textId="77777777" w:rsidR="00B66DF1" w:rsidRPr="00EA1BB2" w:rsidRDefault="00B66DF1" w:rsidP="00050BCA">
            <w:pPr>
              <w:spacing w:line="360" w:lineRule="auto"/>
              <w:jc w:val="center"/>
              <w:rPr>
                <w:rFonts w:ascii="Cambria" w:eastAsia="SimSun" w:hAnsi="Cambria" w:cs="Arial"/>
                <w:b/>
                <w:sz w:val="24"/>
                <w:szCs w:val="24"/>
              </w:rPr>
            </w:pPr>
            <w:r w:rsidRPr="00EA1BB2">
              <w:rPr>
                <w:rFonts w:ascii="Cambria" w:eastAsia="SimSun" w:hAnsi="Cambria" w:cs="Arial"/>
                <w:b/>
                <w:sz w:val="24"/>
                <w:szCs w:val="24"/>
              </w:rPr>
              <w:t>2011</w:t>
            </w:r>
          </w:p>
        </w:tc>
        <w:tc>
          <w:tcPr>
            <w:tcW w:w="915" w:type="dxa"/>
            <w:shd w:val="clear" w:color="auto" w:fill="BDD6EE" w:themeFill="accent1" w:themeFillTint="66"/>
          </w:tcPr>
          <w:p w14:paraId="3EA46151" w14:textId="77777777" w:rsidR="00B66DF1" w:rsidRPr="00EA1BB2" w:rsidRDefault="00B66DF1" w:rsidP="00050BCA">
            <w:pPr>
              <w:spacing w:line="360" w:lineRule="auto"/>
              <w:jc w:val="center"/>
              <w:rPr>
                <w:rFonts w:ascii="Cambria" w:eastAsia="SimSun" w:hAnsi="Cambria" w:cs="Arial"/>
                <w:b/>
                <w:sz w:val="24"/>
                <w:szCs w:val="24"/>
              </w:rPr>
            </w:pPr>
            <w:r w:rsidRPr="00EA1BB2">
              <w:rPr>
                <w:rFonts w:ascii="Cambria" w:eastAsia="SimSun" w:hAnsi="Cambria" w:cs="Arial"/>
                <w:b/>
                <w:sz w:val="24"/>
                <w:szCs w:val="24"/>
              </w:rPr>
              <w:t>2012</w:t>
            </w:r>
          </w:p>
        </w:tc>
        <w:tc>
          <w:tcPr>
            <w:tcW w:w="1048" w:type="dxa"/>
            <w:shd w:val="clear" w:color="auto" w:fill="BDD6EE" w:themeFill="accent1" w:themeFillTint="66"/>
          </w:tcPr>
          <w:p w14:paraId="4336352B" w14:textId="77777777" w:rsidR="00B66DF1" w:rsidRPr="00EA1BB2" w:rsidRDefault="00B66DF1" w:rsidP="00050BCA">
            <w:pPr>
              <w:spacing w:line="360" w:lineRule="auto"/>
              <w:jc w:val="center"/>
              <w:rPr>
                <w:rFonts w:ascii="Cambria" w:eastAsia="SimSun" w:hAnsi="Cambria" w:cs="Arial"/>
                <w:b/>
                <w:sz w:val="24"/>
                <w:szCs w:val="24"/>
              </w:rPr>
            </w:pPr>
            <w:r w:rsidRPr="00EA1BB2">
              <w:rPr>
                <w:rFonts w:ascii="Cambria" w:eastAsia="SimSun" w:hAnsi="Cambria" w:cs="Arial"/>
                <w:b/>
                <w:sz w:val="24"/>
                <w:szCs w:val="24"/>
              </w:rPr>
              <w:t>2013</w:t>
            </w:r>
          </w:p>
        </w:tc>
        <w:tc>
          <w:tcPr>
            <w:tcW w:w="989" w:type="dxa"/>
            <w:shd w:val="clear" w:color="auto" w:fill="BDD6EE" w:themeFill="accent1" w:themeFillTint="66"/>
          </w:tcPr>
          <w:p w14:paraId="11A29D2C" w14:textId="77777777" w:rsidR="00B66DF1" w:rsidRPr="00EA1BB2" w:rsidRDefault="00B66DF1" w:rsidP="00050BCA">
            <w:pPr>
              <w:spacing w:line="360" w:lineRule="auto"/>
              <w:jc w:val="center"/>
              <w:rPr>
                <w:rFonts w:ascii="Cambria" w:eastAsia="SimSun" w:hAnsi="Cambria" w:cs="Arial"/>
                <w:b/>
                <w:sz w:val="24"/>
                <w:szCs w:val="24"/>
              </w:rPr>
            </w:pPr>
            <w:r w:rsidRPr="00EA1BB2">
              <w:rPr>
                <w:rFonts w:ascii="Cambria" w:eastAsia="SimSun" w:hAnsi="Cambria" w:cs="Arial"/>
                <w:b/>
                <w:sz w:val="24"/>
                <w:szCs w:val="24"/>
              </w:rPr>
              <w:t>2014</w:t>
            </w:r>
          </w:p>
        </w:tc>
      </w:tr>
      <w:tr w:rsidR="00B66DF1" w:rsidRPr="00EA1BB2" w14:paraId="19C03067" w14:textId="77777777" w:rsidTr="00AC7B91">
        <w:trPr>
          <w:jc w:val="center"/>
        </w:trPr>
        <w:tc>
          <w:tcPr>
            <w:tcW w:w="4259" w:type="dxa"/>
            <w:shd w:val="clear" w:color="auto" w:fill="auto"/>
          </w:tcPr>
          <w:p w14:paraId="59883124" w14:textId="77777777" w:rsidR="00B66DF1" w:rsidRPr="00EA1BB2" w:rsidRDefault="00B66DF1" w:rsidP="00852D83">
            <w:pPr>
              <w:spacing w:line="276" w:lineRule="auto"/>
              <w:rPr>
                <w:rFonts w:ascii="Cambria" w:eastAsia="SimSun" w:hAnsi="Cambria" w:cs="Arial"/>
                <w:sz w:val="24"/>
                <w:szCs w:val="24"/>
              </w:rPr>
            </w:pPr>
            <w:r w:rsidRPr="00EA1BB2">
              <w:rPr>
                <w:rFonts w:ascii="Cambria" w:eastAsia="SimSun" w:hAnsi="Cambria" w:cs="Arial"/>
                <w:sz w:val="24"/>
                <w:szCs w:val="24"/>
              </w:rPr>
              <w:t>Mortalitate infantilă în mediul Urban (deceda</w:t>
            </w:r>
            <w:r w:rsidR="00054880" w:rsidRPr="00EA1BB2">
              <w:rPr>
                <w:rFonts w:ascii="Cambria" w:eastAsia="SimSun" w:hAnsi="Cambria" w:cs="Arial"/>
                <w:sz w:val="24"/>
                <w:szCs w:val="24"/>
              </w:rPr>
              <w:t>ț</w:t>
            </w:r>
            <w:r w:rsidRPr="00EA1BB2">
              <w:rPr>
                <w:rFonts w:ascii="Cambria" w:eastAsia="SimSun" w:hAnsi="Cambria" w:cs="Arial"/>
                <w:sz w:val="24"/>
                <w:szCs w:val="24"/>
              </w:rPr>
              <w:t>i sub 1 an la 1000 născu</w:t>
            </w:r>
            <w:r w:rsidR="00054880" w:rsidRPr="00EA1BB2">
              <w:rPr>
                <w:rFonts w:ascii="Cambria" w:eastAsia="SimSun" w:hAnsi="Cambria" w:cs="Arial"/>
                <w:sz w:val="24"/>
                <w:szCs w:val="24"/>
              </w:rPr>
              <w:t>ț</w:t>
            </w:r>
            <w:r w:rsidRPr="00EA1BB2">
              <w:rPr>
                <w:rFonts w:ascii="Cambria" w:eastAsia="SimSun" w:hAnsi="Cambria" w:cs="Arial"/>
                <w:sz w:val="24"/>
                <w:szCs w:val="24"/>
              </w:rPr>
              <w:t>i vii)</w:t>
            </w:r>
          </w:p>
        </w:tc>
        <w:tc>
          <w:tcPr>
            <w:tcW w:w="989" w:type="dxa"/>
            <w:shd w:val="clear" w:color="auto" w:fill="auto"/>
            <w:vAlign w:val="center"/>
          </w:tcPr>
          <w:p w14:paraId="58D2071F" w14:textId="77777777" w:rsidR="00B66DF1" w:rsidRPr="00EA1BB2" w:rsidRDefault="00B66DF1" w:rsidP="00050BCA">
            <w:pPr>
              <w:jc w:val="center"/>
              <w:rPr>
                <w:rFonts w:ascii="Cambria" w:eastAsia="SimSun" w:hAnsi="Cambria" w:cs="Arial"/>
                <w:sz w:val="24"/>
                <w:szCs w:val="24"/>
              </w:rPr>
            </w:pPr>
            <w:r w:rsidRPr="00EA1BB2">
              <w:rPr>
                <w:rFonts w:ascii="Cambria" w:eastAsia="SimSun" w:hAnsi="Cambria" w:cs="Arial"/>
                <w:sz w:val="24"/>
                <w:szCs w:val="24"/>
              </w:rPr>
              <w:t xml:space="preserve">9/5,53 </w:t>
            </w:r>
            <w:r w:rsidRPr="00EA1BB2">
              <w:rPr>
                <w:rFonts w:ascii="Cambria" w:eastAsia="SimSun" w:hAnsi="Cambria" w:cs="Arial"/>
                <w:sz w:val="24"/>
                <w:szCs w:val="24"/>
                <w:vertAlign w:val="superscript"/>
              </w:rPr>
              <w:t>0</w:t>
            </w:r>
            <w:r w:rsidRPr="00EA1BB2">
              <w:rPr>
                <w:rFonts w:ascii="Cambria" w:eastAsia="SimSun" w:hAnsi="Cambria" w:cs="Arial"/>
                <w:sz w:val="24"/>
                <w:szCs w:val="24"/>
              </w:rPr>
              <w:t>/</w:t>
            </w:r>
            <w:r w:rsidRPr="00EA1BB2">
              <w:rPr>
                <w:rFonts w:ascii="Cambria" w:eastAsia="SimSun" w:hAnsi="Cambria" w:cs="Arial"/>
                <w:sz w:val="24"/>
                <w:szCs w:val="24"/>
                <w:vertAlign w:val="subscript"/>
              </w:rPr>
              <w:t>00</w:t>
            </w:r>
          </w:p>
        </w:tc>
        <w:tc>
          <w:tcPr>
            <w:tcW w:w="989" w:type="dxa"/>
            <w:shd w:val="clear" w:color="auto" w:fill="auto"/>
            <w:vAlign w:val="center"/>
          </w:tcPr>
          <w:p w14:paraId="0C681053" w14:textId="77777777" w:rsidR="00B66DF1" w:rsidRPr="00EA1BB2" w:rsidRDefault="00B66DF1" w:rsidP="00050BCA">
            <w:pPr>
              <w:jc w:val="center"/>
              <w:rPr>
                <w:rFonts w:ascii="Cambria" w:eastAsia="SimSun" w:hAnsi="Cambria" w:cs="Arial"/>
                <w:sz w:val="24"/>
                <w:szCs w:val="24"/>
              </w:rPr>
            </w:pPr>
            <w:r w:rsidRPr="00EA1BB2">
              <w:rPr>
                <w:rFonts w:ascii="Cambria" w:eastAsia="SimSun" w:hAnsi="Cambria" w:cs="Arial"/>
                <w:sz w:val="24"/>
                <w:szCs w:val="24"/>
              </w:rPr>
              <w:t>7/4,98</w:t>
            </w:r>
          </w:p>
          <w:p w14:paraId="0F46EE63" w14:textId="77777777" w:rsidR="00B66DF1" w:rsidRPr="00EA1BB2" w:rsidRDefault="00B66DF1" w:rsidP="00050BCA">
            <w:pPr>
              <w:jc w:val="center"/>
              <w:rPr>
                <w:rFonts w:ascii="Cambria" w:eastAsia="SimSun" w:hAnsi="Cambria" w:cs="Arial"/>
                <w:sz w:val="24"/>
                <w:szCs w:val="24"/>
              </w:rPr>
            </w:pPr>
            <w:r w:rsidRPr="00EA1BB2">
              <w:rPr>
                <w:rFonts w:ascii="Cambria" w:eastAsia="SimSun" w:hAnsi="Cambria" w:cs="Arial"/>
                <w:sz w:val="24"/>
                <w:szCs w:val="24"/>
                <w:vertAlign w:val="superscript"/>
              </w:rPr>
              <w:t>0</w:t>
            </w:r>
            <w:r w:rsidRPr="00EA1BB2">
              <w:rPr>
                <w:rFonts w:ascii="Cambria" w:eastAsia="SimSun" w:hAnsi="Cambria" w:cs="Arial"/>
                <w:sz w:val="24"/>
                <w:szCs w:val="24"/>
              </w:rPr>
              <w:t>/</w:t>
            </w:r>
            <w:r w:rsidRPr="00EA1BB2">
              <w:rPr>
                <w:rFonts w:ascii="Cambria" w:eastAsia="SimSun" w:hAnsi="Cambria" w:cs="Arial"/>
                <w:sz w:val="24"/>
                <w:szCs w:val="24"/>
                <w:vertAlign w:val="subscript"/>
              </w:rPr>
              <w:t>00</w:t>
            </w:r>
          </w:p>
        </w:tc>
        <w:tc>
          <w:tcPr>
            <w:tcW w:w="915" w:type="dxa"/>
            <w:shd w:val="clear" w:color="auto" w:fill="auto"/>
            <w:vAlign w:val="center"/>
          </w:tcPr>
          <w:p w14:paraId="2F340237" w14:textId="77777777" w:rsidR="00B66DF1" w:rsidRPr="00EA1BB2" w:rsidRDefault="00B66DF1" w:rsidP="00050BCA">
            <w:pPr>
              <w:jc w:val="center"/>
              <w:rPr>
                <w:rFonts w:ascii="Cambria" w:eastAsia="SimSun" w:hAnsi="Cambria" w:cs="Arial"/>
                <w:sz w:val="24"/>
                <w:szCs w:val="24"/>
              </w:rPr>
            </w:pPr>
            <w:r w:rsidRPr="00EA1BB2">
              <w:rPr>
                <w:rFonts w:ascii="Cambria" w:eastAsia="SimSun" w:hAnsi="Cambria" w:cs="Arial"/>
                <w:sz w:val="24"/>
                <w:szCs w:val="24"/>
              </w:rPr>
              <w:t>13/9,5</w:t>
            </w:r>
          </w:p>
          <w:p w14:paraId="7945BEEF" w14:textId="77777777" w:rsidR="00B66DF1" w:rsidRPr="00EA1BB2" w:rsidRDefault="00B66DF1" w:rsidP="00050BCA">
            <w:pPr>
              <w:jc w:val="center"/>
              <w:rPr>
                <w:rFonts w:ascii="Cambria" w:eastAsia="SimSun" w:hAnsi="Cambria" w:cs="Arial"/>
                <w:sz w:val="24"/>
                <w:szCs w:val="24"/>
              </w:rPr>
            </w:pPr>
            <w:r w:rsidRPr="00EA1BB2">
              <w:rPr>
                <w:rFonts w:ascii="Cambria" w:eastAsia="SimSun" w:hAnsi="Cambria" w:cs="Arial"/>
                <w:sz w:val="24"/>
                <w:szCs w:val="24"/>
                <w:vertAlign w:val="superscript"/>
              </w:rPr>
              <w:t>0</w:t>
            </w:r>
            <w:r w:rsidRPr="00EA1BB2">
              <w:rPr>
                <w:rFonts w:ascii="Cambria" w:eastAsia="SimSun" w:hAnsi="Cambria" w:cs="Arial"/>
                <w:sz w:val="24"/>
                <w:szCs w:val="24"/>
              </w:rPr>
              <w:t>/</w:t>
            </w:r>
            <w:r w:rsidRPr="00EA1BB2">
              <w:rPr>
                <w:rFonts w:ascii="Cambria" w:eastAsia="SimSun" w:hAnsi="Cambria" w:cs="Arial"/>
                <w:sz w:val="24"/>
                <w:szCs w:val="24"/>
                <w:vertAlign w:val="subscript"/>
              </w:rPr>
              <w:t>00</w:t>
            </w:r>
          </w:p>
        </w:tc>
        <w:tc>
          <w:tcPr>
            <w:tcW w:w="1048" w:type="dxa"/>
            <w:shd w:val="clear" w:color="auto" w:fill="auto"/>
            <w:vAlign w:val="center"/>
          </w:tcPr>
          <w:p w14:paraId="03BAD78E" w14:textId="77777777" w:rsidR="00B66DF1" w:rsidRPr="00EA1BB2" w:rsidRDefault="00B66DF1" w:rsidP="00050BCA">
            <w:pPr>
              <w:jc w:val="center"/>
              <w:rPr>
                <w:rFonts w:ascii="Cambria" w:eastAsia="SimSun" w:hAnsi="Cambria" w:cs="Arial"/>
                <w:sz w:val="24"/>
                <w:szCs w:val="24"/>
              </w:rPr>
            </w:pPr>
            <w:r w:rsidRPr="00EA1BB2">
              <w:rPr>
                <w:rFonts w:ascii="Cambria" w:eastAsia="SimSun" w:hAnsi="Cambria" w:cs="Arial"/>
                <w:sz w:val="24"/>
                <w:szCs w:val="24"/>
              </w:rPr>
              <w:t>16/12,1</w:t>
            </w:r>
          </w:p>
          <w:p w14:paraId="31EC1876" w14:textId="77777777" w:rsidR="00B66DF1" w:rsidRPr="00EA1BB2" w:rsidRDefault="00B66DF1" w:rsidP="00050BCA">
            <w:pPr>
              <w:jc w:val="center"/>
              <w:rPr>
                <w:rFonts w:ascii="Cambria" w:eastAsia="SimSun" w:hAnsi="Cambria" w:cs="Arial"/>
                <w:sz w:val="24"/>
                <w:szCs w:val="24"/>
              </w:rPr>
            </w:pPr>
            <w:r w:rsidRPr="00EA1BB2">
              <w:rPr>
                <w:rFonts w:ascii="Cambria" w:eastAsia="SimSun" w:hAnsi="Cambria" w:cs="Arial"/>
                <w:sz w:val="24"/>
                <w:szCs w:val="24"/>
                <w:vertAlign w:val="superscript"/>
              </w:rPr>
              <w:t>0</w:t>
            </w:r>
            <w:r w:rsidRPr="00EA1BB2">
              <w:rPr>
                <w:rFonts w:ascii="Cambria" w:eastAsia="SimSun" w:hAnsi="Cambria" w:cs="Arial"/>
                <w:sz w:val="24"/>
                <w:szCs w:val="24"/>
              </w:rPr>
              <w:t>/</w:t>
            </w:r>
            <w:r w:rsidRPr="00EA1BB2">
              <w:rPr>
                <w:rFonts w:ascii="Cambria" w:eastAsia="SimSun" w:hAnsi="Cambria" w:cs="Arial"/>
                <w:sz w:val="24"/>
                <w:szCs w:val="24"/>
                <w:vertAlign w:val="subscript"/>
              </w:rPr>
              <w:t>00</w:t>
            </w:r>
          </w:p>
        </w:tc>
        <w:tc>
          <w:tcPr>
            <w:tcW w:w="989" w:type="dxa"/>
            <w:shd w:val="clear" w:color="auto" w:fill="auto"/>
            <w:vAlign w:val="center"/>
          </w:tcPr>
          <w:p w14:paraId="49733158" w14:textId="77777777" w:rsidR="00B66DF1" w:rsidRPr="00EA1BB2" w:rsidRDefault="00B66DF1" w:rsidP="00050BCA">
            <w:pPr>
              <w:jc w:val="center"/>
              <w:rPr>
                <w:rFonts w:ascii="Cambria" w:eastAsia="SimSun" w:hAnsi="Cambria" w:cs="Arial"/>
                <w:sz w:val="24"/>
                <w:szCs w:val="24"/>
              </w:rPr>
            </w:pPr>
            <w:r w:rsidRPr="00EA1BB2">
              <w:rPr>
                <w:rFonts w:ascii="Cambria" w:eastAsia="SimSun" w:hAnsi="Cambria" w:cs="Arial"/>
                <w:sz w:val="24"/>
                <w:szCs w:val="24"/>
              </w:rPr>
              <w:t>8/6,03</w:t>
            </w:r>
          </w:p>
          <w:p w14:paraId="6338EBF0" w14:textId="77777777" w:rsidR="00B66DF1" w:rsidRPr="00EA1BB2" w:rsidRDefault="00B66DF1" w:rsidP="00050BCA">
            <w:pPr>
              <w:jc w:val="center"/>
              <w:rPr>
                <w:rFonts w:ascii="Cambria" w:eastAsia="SimSun" w:hAnsi="Cambria" w:cs="Arial"/>
                <w:sz w:val="24"/>
                <w:szCs w:val="24"/>
              </w:rPr>
            </w:pPr>
            <w:r w:rsidRPr="00EA1BB2">
              <w:rPr>
                <w:rFonts w:ascii="Cambria" w:eastAsia="SimSun" w:hAnsi="Cambria" w:cs="Arial"/>
                <w:sz w:val="24"/>
                <w:szCs w:val="24"/>
                <w:vertAlign w:val="superscript"/>
              </w:rPr>
              <w:t>0</w:t>
            </w:r>
            <w:r w:rsidRPr="00EA1BB2">
              <w:rPr>
                <w:rFonts w:ascii="Cambria" w:eastAsia="SimSun" w:hAnsi="Cambria" w:cs="Arial"/>
                <w:sz w:val="24"/>
                <w:szCs w:val="24"/>
              </w:rPr>
              <w:t>/</w:t>
            </w:r>
            <w:r w:rsidRPr="00EA1BB2">
              <w:rPr>
                <w:rFonts w:ascii="Cambria" w:eastAsia="SimSun" w:hAnsi="Cambria" w:cs="Arial"/>
                <w:sz w:val="24"/>
                <w:szCs w:val="24"/>
                <w:vertAlign w:val="subscript"/>
              </w:rPr>
              <w:t>00</w:t>
            </w:r>
          </w:p>
        </w:tc>
      </w:tr>
      <w:tr w:rsidR="00B66DF1" w:rsidRPr="00EA1BB2" w14:paraId="38BD1D85" w14:textId="77777777" w:rsidTr="00AC7B91">
        <w:trPr>
          <w:jc w:val="center"/>
        </w:trPr>
        <w:tc>
          <w:tcPr>
            <w:tcW w:w="4259" w:type="dxa"/>
            <w:shd w:val="clear" w:color="auto" w:fill="auto"/>
          </w:tcPr>
          <w:p w14:paraId="7D0DAD91" w14:textId="77777777" w:rsidR="00B66DF1" w:rsidRPr="00EA1BB2" w:rsidRDefault="00B66DF1" w:rsidP="00852D83">
            <w:pPr>
              <w:spacing w:line="276" w:lineRule="auto"/>
              <w:rPr>
                <w:rFonts w:ascii="Cambria" w:eastAsia="SimSun" w:hAnsi="Cambria" w:cs="Arial"/>
                <w:sz w:val="24"/>
                <w:szCs w:val="24"/>
              </w:rPr>
            </w:pPr>
            <w:r w:rsidRPr="00EA1BB2">
              <w:rPr>
                <w:rFonts w:ascii="Cambria" w:eastAsia="SimSun" w:hAnsi="Cambria" w:cs="Arial"/>
                <w:sz w:val="24"/>
                <w:szCs w:val="24"/>
              </w:rPr>
              <w:t>Mortalitate infantilă prin afec</w:t>
            </w:r>
            <w:r w:rsidR="00054880" w:rsidRPr="00EA1BB2">
              <w:rPr>
                <w:rFonts w:ascii="Cambria" w:eastAsia="SimSun" w:hAnsi="Cambria" w:cs="Arial"/>
                <w:sz w:val="24"/>
                <w:szCs w:val="24"/>
              </w:rPr>
              <w:t>ț</w:t>
            </w:r>
            <w:r w:rsidRPr="00EA1BB2">
              <w:rPr>
                <w:rFonts w:ascii="Cambria" w:eastAsia="SimSun" w:hAnsi="Cambria" w:cs="Arial"/>
                <w:sz w:val="24"/>
                <w:szCs w:val="24"/>
              </w:rPr>
              <w:t>iuni respiratorii în mediul Urban (deceda</w:t>
            </w:r>
            <w:r w:rsidR="00054880" w:rsidRPr="00EA1BB2">
              <w:rPr>
                <w:rFonts w:ascii="Cambria" w:eastAsia="SimSun" w:hAnsi="Cambria" w:cs="Arial"/>
                <w:sz w:val="24"/>
                <w:szCs w:val="24"/>
              </w:rPr>
              <w:t>ț</w:t>
            </w:r>
            <w:r w:rsidRPr="00EA1BB2">
              <w:rPr>
                <w:rFonts w:ascii="Cambria" w:eastAsia="SimSun" w:hAnsi="Cambria" w:cs="Arial"/>
                <w:sz w:val="24"/>
                <w:szCs w:val="24"/>
              </w:rPr>
              <w:t>i sub 1 an la 1000 născu</w:t>
            </w:r>
            <w:r w:rsidR="00054880" w:rsidRPr="00EA1BB2">
              <w:rPr>
                <w:rFonts w:ascii="Cambria" w:eastAsia="SimSun" w:hAnsi="Cambria" w:cs="Arial"/>
                <w:sz w:val="24"/>
                <w:szCs w:val="24"/>
              </w:rPr>
              <w:t>ț</w:t>
            </w:r>
            <w:r w:rsidRPr="00EA1BB2">
              <w:rPr>
                <w:rFonts w:ascii="Cambria" w:eastAsia="SimSun" w:hAnsi="Cambria" w:cs="Arial"/>
                <w:sz w:val="24"/>
                <w:szCs w:val="24"/>
              </w:rPr>
              <w:t>i vii)</w:t>
            </w:r>
          </w:p>
        </w:tc>
        <w:tc>
          <w:tcPr>
            <w:tcW w:w="989" w:type="dxa"/>
            <w:shd w:val="clear" w:color="auto" w:fill="auto"/>
            <w:vAlign w:val="center"/>
          </w:tcPr>
          <w:p w14:paraId="10C87ED4" w14:textId="77777777" w:rsidR="00B66DF1" w:rsidRPr="00EA1BB2" w:rsidRDefault="00B66DF1" w:rsidP="00050BCA">
            <w:pPr>
              <w:jc w:val="center"/>
              <w:rPr>
                <w:rFonts w:ascii="Cambria" w:eastAsia="SimSun" w:hAnsi="Cambria" w:cs="Arial"/>
                <w:sz w:val="24"/>
                <w:szCs w:val="24"/>
              </w:rPr>
            </w:pPr>
            <w:r w:rsidRPr="00EA1BB2">
              <w:rPr>
                <w:rFonts w:ascii="Cambria" w:eastAsia="SimSun" w:hAnsi="Cambria" w:cs="Arial"/>
                <w:sz w:val="24"/>
                <w:szCs w:val="24"/>
              </w:rPr>
              <w:t>0/0</w:t>
            </w:r>
          </w:p>
        </w:tc>
        <w:tc>
          <w:tcPr>
            <w:tcW w:w="989" w:type="dxa"/>
            <w:shd w:val="clear" w:color="auto" w:fill="auto"/>
            <w:vAlign w:val="center"/>
          </w:tcPr>
          <w:p w14:paraId="76B634E6" w14:textId="77777777" w:rsidR="00B66DF1" w:rsidRPr="00EA1BB2" w:rsidRDefault="00B66DF1" w:rsidP="00050BCA">
            <w:pPr>
              <w:jc w:val="center"/>
              <w:rPr>
                <w:rFonts w:ascii="Cambria" w:eastAsia="SimSun" w:hAnsi="Cambria" w:cs="Arial"/>
                <w:sz w:val="24"/>
                <w:szCs w:val="24"/>
              </w:rPr>
            </w:pPr>
            <w:r w:rsidRPr="00EA1BB2">
              <w:rPr>
                <w:rFonts w:ascii="Cambria" w:eastAsia="SimSun" w:hAnsi="Cambria" w:cs="Arial"/>
                <w:sz w:val="24"/>
                <w:szCs w:val="24"/>
              </w:rPr>
              <w:t>1/0,71</w:t>
            </w:r>
          </w:p>
          <w:p w14:paraId="47184A00" w14:textId="77777777" w:rsidR="00B66DF1" w:rsidRPr="00EA1BB2" w:rsidRDefault="00B66DF1" w:rsidP="00050BCA">
            <w:pPr>
              <w:jc w:val="center"/>
              <w:rPr>
                <w:rFonts w:ascii="Cambria" w:eastAsia="SimSun" w:hAnsi="Cambria" w:cs="Arial"/>
                <w:sz w:val="24"/>
                <w:szCs w:val="24"/>
              </w:rPr>
            </w:pPr>
            <w:r w:rsidRPr="00EA1BB2">
              <w:rPr>
                <w:rFonts w:ascii="Cambria" w:eastAsia="SimSun" w:hAnsi="Cambria" w:cs="Arial"/>
                <w:sz w:val="24"/>
                <w:szCs w:val="24"/>
                <w:vertAlign w:val="superscript"/>
              </w:rPr>
              <w:t>0</w:t>
            </w:r>
            <w:r w:rsidRPr="00EA1BB2">
              <w:rPr>
                <w:rFonts w:ascii="Cambria" w:eastAsia="SimSun" w:hAnsi="Cambria" w:cs="Arial"/>
                <w:sz w:val="24"/>
                <w:szCs w:val="24"/>
              </w:rPr>
              <w:t>/</w:t>
            </w:r>
            <w:r w:rsidRPr="00EA1BB2">
              <w:rPr>
                <w:rFonts w:ascii="Cambria" w:eastAsia="SimSun" w:hAnsi="Cambria" w:cs="Arial"/>
                <w:sz w:val="24"/>
                <w:szCs w:val="24"/>
                <w:vertAlign w:val="subscript"/>
              </w:rPr>
              <w:t>00</w:t>
            </w:r>
          </w:p>
        </w:tc>
        <w:tc>
          <w:tcPr>
            <w:tcW w:w="915" w:type="dxa"/>
            <w:shd w:val="clear" w:color="auto" w:fill="auto"/>
            <w:vAlign w:val="center"/>
          </w:tcPr>
          <w:p w14:paraId="09DBB1F4" w14:textId="77777777" w:rsidR="00B66DF1" w:rsidRPr="00EA1BB2" w:rsidRDefault="00B66DF1" w:rsidP="00050BCA">
            <w:pPr>
              <w:jc w:val="center"/>
              <w:rPr>
                <w:rFonts w:ascii="Cambria" w:eastAsia="SimSun" w:hAnsi="Cambria" w:cs="Arial"/>
                <w:sz w:val="24"/>
                <w:szCs w:val="24"/>
              </w:rPr>
            </w:pPr>
            <w:r w:rsidRPr="00EA1BB2">
              <w:rPr>
                <w:rFonts w:ascii="Cambria" w:eastAsia="SimSun" w:hAnsi="Cambria" w:cs="Arial"/>
                <w:sz w:val="24"/>
                <w:szCs w:val="24"/>
              </w:rPr>
              <w:t>0/0</w:t>
            </w:r>
          </w:p>
        </w:tc>
        <w:tc>
          <w:tcPr>
            <w:tcW w:w="1048" w:type="dxa"/>
            <w:shd w:val="clear" w:color="auto" w:fill="auto"/>
            <w:vAlign w:val="center"/>
          </w:tcPr>
          <w:p w14:paraId="4C4689D9" w14:textId="77777777" w:rsidR="00B66DF1" w:rsidRPr="00EA1BB2" w:rsidRDefault="00B66DF1" w:rsidP="00050BCA">
            <w:pPr>
              <w:jc w:val="center"/>
              <w:rPr>
                <w:rFonts w:ascii="Cambria" w:eastAsia="SimSun" w:hAnsi="Cambria" w:cs="Arial"/>
                <w:sz w:val="24"/>
                <w:szCs w:val="24"/>
              </w:rPr>
            </w:pPr>
            <w:r w:rsidRPr="00EA1BB2">
              <w:rPr>
                <w:rFonts w:ascii="Cambria" w:eastAsia="SimSun" w:hAnsi="Cambria" w:cs="Arial"/>
                <w:sz w:val="24"/>
                <w:szCs w:val="24"/>
              </w:rPr>
              <w:t>3/2,27</w:t>
            </w:r>
          </w:p>
          <w:p w14:paraId="49232A1D" w14:textId="77777777" w:rsidR="00B66DF1" w:rsidRPr="00EA1BB2" w:rsidRDefault="00B66DF1" w:rsidP="00050BCA">
            <w:pPr>
              <w:jc w:val="center"/>
              <w:rPr>
                <w:rFonts w:ascii="Cambria" w:eastAsia="SimSun" w:hAnsi="Cambria" w:cs="Arial"/>
                <w:sz w:val="24"/>
                <w:szCs w:val="24"/>
              </w:rPr>
            </w:pPr>
            <w:r w:rsidRPr="00EA1BB2">
              <w:rPr>
                <w:rFonts w:ascii="Cambria" w:eastAsia="SimSun" w:hAnsi="Cambria" w:cs="Arial"/>
                <w:sz w:val="24"/>
                <w:szCs w:val="24"/>
                <w:vertAlign w:val="superscript"/>
              </w:rPr>
              <w:t>0</w:t>
            </w:r>
            <w:r w:rsidRPr="00EA1BB2">
              <w:rPr>
                <w:rFonts w:ascii="Cambria" w:eastAsia="SimSun" w:hAnsi="Cambria" w:cs="Arial"/>
                <w:sz w:val="24"/>
                <w:szCs w:val="24"/>
              </w:rPr>
              <w:t>/</w:t>
            </w:r>
            <w:r w:rsidRPr="00EA1BB2">
              <w:rPr>
                <w:rFonts w:ascii="Cambria" w:eastAsia="SimSun" w:hAnsi="Cambria" w:cs="Arial"/>
                <w:sz w:val="24"/>
                <w:szCs w:val="24"/>
                <w:vertAlign w:val="subscript"/>
              </w:rPr>
              <w:t>00</w:t>
            </w:r>
          </w:p>
        </w:tc>
        <w:tc>
          <w:tcPr>
            <w:tcW w:w="989" w:type="dxa"/>
            <w:shd w:val="clear" w:color="auto" w:fill="auto"/>
            <w:vAlign w:val="center"/>
          </w:tcPr>
          <w:p w14:paraId="65138408" w14:textId="77777777" w:rsidR="00B66DF1" w:rsidRPr="00EA1BB2" w:rsidRDefault="00B66DF1" w:rsidP="00050BCA">
            <w:pPr>
              <w:jc w:val="center"/>
              <w:rPr>
                <w:rFonts w:ascii="Cambria" w:eastAsia="SimSun" w:hAnsi="Cambria" w:cs="Arial"/>
                <w:sz w:val="24"/>
                <w:szCs w:val="24"/>
              </w:rPr>
            </w:pPr>
            <w:r w:rsidRPr="00EA1BB2">
              <w:rPr>
                <w:rFonts w:ascii="Cambria" w:eastAsia="SimSun" w:hAnsi="Cambria" w:cs="Arial"/>
                <w:sz w:val="24"/>
                <w:szCs w:val="24"/>
              </w:rPr>
              <w:t>0/0</w:t>
            </w:r>
          </w:p>
        </w:tc>
      </w:tr>
    </w:tbl>
    <w:p w14:paraId="4A223F66" w14:textId="77777777" w:rsidR="00B66DF1" w:rsidRPr="00EA1BB2" w:rsidRDefault="00B66DF1" w:rsidP="00B66DF1">
      <w:pPr>
        <w:rPr>
          <w:rFonts w:ascii="Cambria" w:eastAsia="SimSun" w:hAnsi="Cambria" w:cs="Arial"/>
          <w:szCs w:val="24"/>
        </w:rPr>
      </w:pPr>
      <w:r w:rsidRPr="00EA1BB2">
        <w:rPr>
          <w:rFonts w:ascii="Cambria" w:eastAsia="SimSun" w:hAnsi="Cambria" w:cs="Arial"/>
          <w:szCs w:val="24"/>
        </w:rPr>
        <w:t>Sursa</w:t>
      </w:r>
      <w:r w:rsidR="00AC7B91" w:rsidRPr="00EA1BB2">
        <w:rPr>
          <w:rFonts w:ascii="Cambria" w:eastAsia="SimSun" w:hAnsi="Cambria" w:cs="Arial"/>
          <w:szCs w:val="24"/>
        </w:rPr>
        <w:t xml:space="preserve"> date</w:t>
      </w:r>
      <w:r w:rsidRPr="00EA1BB2">
        <w:rPr>
          <w:rFonts w:ascii="Cambria" w:eastAsia="SimSun" w:hAnsi="Cambria" w:cs="Arial"/>
          <w:szCs w:val="24"/>
        </w:rPr>
        <w:t>: D</w:t>
      </w:r>
      <w:r w:rsidR="007F03F5" w:rsidRPr="00EA1BB2">
        <w:rPr>
          <w:rFonts w:ascii="Cambria" w:eastAsia="SimSun" w:hAnsi="Cambria" w:cs="Arial"/>
          <w:szCs w:val="24"/>
        </w:rPr>
        <w:t>J</w:t>
      </w:r>
      <w:r w:rsidRPr="00EA1BB2">
        <w:rPr>
          <w:rFonts w:ascii="Cambria" w:eastAsia="SimSun" w:hAnsi="Cambria" w:cs="Arial"/>
          <w:szCs w:val="24"/>
        </w:rPr>
        <w:t>SP Brăila</w:t>
      </w:r>
    </w:p>
    <w:p w14:paraId="1EE6FBDB" w14:textId="77777777" w:rsidR="00B66DF1" w:rsidRPr="00EA1BB2" w:rsidRDefault="00B66DF1" w:rsidP="00194FF0">
      <w:pPr>
        <w:spacing w:line="360" w:lineRule="auto"/>
        <w:rPr>
          <w:rFonts w:ascii="Cambria" w:eastAsia="SimSun" w:hAnsi="Cambria" w:cs="Arial"/>
          <w:szCs w:val="24"/>
        </w:rPr>
      </w:pPr>
    </w:p>
    <w:p w14:paraId="1E58C532" w14:textId="350611D9" w:rsidR="00B66DF1" w:rsidRPr="00EA1BB2" w:rsidRDefault="00B66DF1" w:rsidP="00B66DF1">
      <w:pPr>
        <w:keepNext/>
        <w:spacing w:line="360" w:lineRule="auto"/>
        <w:ind w:firstLine="708"/>
        <w:jc w:val="both"/>
        <w:rPr>
          <w:rFonts w:ascii="Cambria" w:hAnsi="Cambria"/>
          <w:b/>
          <w:iCs/>
          <w:sz w:val="24"/>
          <w:szCs w:val="18"/>
        </w:rPr>
      </w:pPr>
      <w:bookmarkStart w:id="181" w:name="_Toc524966219"/>
      <w:r w:rsidRPr="00EA1BB2">
        <w:rPr>
          <w:rFonts w:ascii="Cambria" w:hAnsi="Cambria"/>
          <w:b/>
          <w:iCs/>
          <w:sz w:val="24"/>
          <w:szCs w:val="18"/>
        </w:rPr>
        <w:t xml:space="preserve">Figura nr. </w:t>
      </w:r>
      <w:r w:rsidR="00280BC9" w:rsidRPr="00EA1BB2">
        <w:rPr>
          <w:rFonts w:ascii="Cambria" w:hAnsi="Cambria"/>
          <w:b/>
          <w:iCs/>
          <w:sz w:val="24"/>
          <w:szCs w:val="18"/>
        </w:rPr>
        <w:fldChar w:fldCharType="begin"/>
      </w:r>
      <w:r w:rsidR="00BA6FA3" w:rsidRPr="00EA1BB2">
        <w:rPr>
          <w:rFonts w:ascii="Cambria" w:hAnsi="Cambria"/>
          <w:b/>
          <w:iCs/>
          <w:sz w:val="24"/>
          <w:szCs w:val="18"/>
        </w:rPr>
        <w:instrText xml:space="preserve"> STYLEREF 1 \s </w:instrText>
      </w:r>
      <w:r w:rsidR="00280BC9" w:rsidRPr="00EA1BB2">
        <w:rPr>
          <w:rFonts w:ascii="Cambria" w:hAnsi="Cambria"/>
          <w:b/>
          <w:iCs/>
          <w:sz w:val="24"/>
          <w:szCs w:val="18"/>
        </w:rPr>
        <w:fldChar w:fldCharType="separate"/>
      </w:r>
      <w:r w:rsidR="00567555">
        <w:rPr>
          <w:rFonts w:ascii="Cambria" w:hAnsi="Cambria"/>
          <w:b/>
          <w:iCs/>
          <w:noProof/>
          <w:sz w:val="24"/>
          <w:szCs w:val="18"/>
        </w:rPr>
        <w:t>3</w:t>
      </w:r>
      <w:r w:rsidR="00280BC9" w:rsidRPr="00EA1BB2">
        <w:rPr>
          <w:rFonts w:ascii="Cambria" w:hAnsi="Cambria"/>
          <w:b/>
          <w:iCs/>
          <w:sz w:val="24"/>
          <w:szCs w:val="18"/>
        </w:rPr>
        <w:fldChar w:fldCharType="end"/>
      </w:r>
      <w:r w:rsidR="00BA6FA3" w:rsidRPr="00EA1BB2">
        <w:rPr>
          <w:rFonts w:ascii="Cambria" w:hAnsi="Cambria"/>
          <w:b/>
          <w:iCs/>
          <w:sz w:val="24"/>
          <w:szCs w:val="18"/>
        </w:rPr>
        <w:noBreakHyphen/>
      </w:r>
      <w:r w:rsidR="00280BC9" w:rsidRPr="00EA1BB2">
        <w:rPr>
          <w:rFonts w:ascii="Cambria" w:hAnsi="Cambria"/>
          <w:b/>
          <w:iCs/>
          <w:sz w:val="24"/>
          <w:szCs w:val="18"/>
        </w:rPr>
        <w:fldChar w:fldCharType="begin"/>
      </w:r>
      <w:r w:rsidR="00BA6FA3" w:rsidRPr="00EA1BB2">
        <w:rPr>
          <w:rFonts w:ascii="Cambria" w:hAnsi="Cambria"/>
          <w:b/>
          <w:iCs/>
          <w:sz w:val="24"/>
          <w:szCs w:val="18"/>
        </w:rPr>
        <w:instrText xml:space="preserve"> SEQ Figura_nr. \* ARABIC \s 1 </w:instrText>
      </w:r>
      <w:r w:rsidR="00280BC9" w:rsidRPr="00EA1BB2">
        <w:rPr>
          <w:rFonts w:ascii="Cambria" w:hAnsi="Cambria"/>
          <w:b/>
          <w:iCs/>
          <w:sz w:val="24"/>
          <w:szCs w:val="18"/>
        </w:rPr>
        <w:fldChar w:fldCharType="separate"/>
      </w:r>
      <w:r w:rsidR="00567555">
        <w:rPr>
          <w:rFonts w:ascii="Cambria" w:hAnsi="Cambria"/>
          <w:b/>
          <w:iCs/>
          <w:noProof/>
          <w:sz w:val="24"/>
          <w:szCs w:val="18"/>
        </w:rPr>
        <w:t>8</w:t>
      </w:r>
      <w:r w:rsidR="00280BC9" w:rsidRPr="00EA1BB2">
        <w:rPr>
          <w:rFonts w:ascii="Cambria" w:hAnsi="Cambria"/>
          <w:b/>
          <w:iCs/>
          <w:sz w:val="24"/>
          <w:szCs w:val="18"/>
        </w:rPr>
        <w:fldChar w:fldCharType="end"/>
      </w:r>
      <w:r w:rsidRPr="00EA1BB2">
        <w:rPr>
          <w:rFonts w:ascii="Cambria" w:hAnsi="Cambria"/>
          <w:b/>
          <w:iCs/>
          <w:sz w:val="24"/>
          <w:szCs w:val="18"/>
        </w:rPr>
        <w:t xml:space="preserve"> - Mortalitate infantilă </w:t>
      </w:r>
      <w:r w:rsidR="00054880" w:rsidRPr="00EA1BB2">
        <w:rPr>
          <w:rFonts w:ascii="Cambria" w:hAnsi="Cambria"/>
          <w:b/>
          <w:iCs/>
          <w:sz w:val="24"/>
          <w:szCs w:val="18"/>
        </w:rPr>
        <w:t>ș</w:t>
      </w:r>
      <w:r w:rsidRPr="00EA1BB2">
        <w:rPr>
          <w:rFonts w:ascii="Cambria" w:hAnsi="Cambria"/>
          <w:b/>
          <w:iCs/>
          <w:sz w:val="24"/>
          <w:szCs w:val="18"/>
        </w:rPr>
        <w:t>i prin afec</w:t>
      </w:r>
      <w:r w:rsidR="00054880" w:rsidRPr="00EA1BB2">
        <w:rPr>
          <w:rFonts w:ascii="Cambria" w:hAnsi="Cambria"/>
          <w:b/>
          <w:iCs/>
          <w:sz w:val="24"/>
          <w:szCs w:val="18"/>
        </w:rPr>
        <w:t>ț</w:t>
      </w:r>
      <w:r w:rsidRPr="00EA1BB2">
        <w:rPr>
          <w:rFonts w:ascii="Cambria" w:hAnsi="Cambria"/>
          <w:b/>
          <w:iCs/>
          <w:sz w:val="24"/>
          <w:szCs w:val="18"/>
        </w:rPr>
        <w:t xml:space="preserve">iuni respiratorii în mediul </w:t>
      </w:r>
      <w:r w:rsidR="00227CAE" w:rsidRPr="00EA1BB2">
        <w:rPr>
          <w:rFonts w:ascii="Cambria" w:hAnsi="Cambria"/>
          <w:b/>
          <w:iCs/>
          <w:sz w:val="24"/>
          <w:szCs w:val="18"/>
        </w:rPr>
        <w:t>u</w:t>
      </w:r>
      <w:r w:rsidRPr="00EA1BB2">
        <w:rPr>
          <w:rFonts w:ascii="Cambria" w:hAnsi="Cambria"/>
          <w:b/>
          <w:iCs/>
          <w:sz w:val="24"/>
          <w:szCs w:val="18"/>
        </w:rPr>
        <w:t>rban în perioada 2010 - 2014</w:t>
      </w:r>
      <w:bookmarkEnd w:id="181"/>
    </w:p>
    <w:p w14:paraId="4E91D153" w14:textId="77777777" w:rsidR="00B66DF1" w:rsidRPr="00EA1BB2" w:rsidRDefault="00B66DF1" w:rsidP="00852D83">
      <w:pPr>
        <w:spacing w:line="276" w:lineRule="auto"/>
        <w:jc w:val="center"/>
        <w:rPr>
          <w:rFonts w:ascii="Cambria" w:eastAsia="Times New Roman" w:hAnsi="Cambria" w:cs="Times New Roman"/>
          <w:sz w:val="24"/>
          <w:szCs w:val="24"/>
        </w:rPr>
      </w:pPr>
      <w:r w:rsidRPr="00EA1BB2">
        <w:rPr>
          <w:rFonts w:ascii="Cambria" w:hAnsi="Cambria" w:cs="Times New Roman"/>
          <w:noProof/>
          <w:sz w:val="24"/>
          <w:szCs w:val="24"/>
          <w:lang w:val="en-US"/>
        </w:rPr>
        <w:drawing>
          <wp:inline distT="0" distB="0" distL="0" distR="0" wp14:anchorId="0501660F" wp14:editId="21B4F17E">
            <wp:extent cx="5759450" cy="3240000"/>
            <wp:effectExtent l="0" t="0" r="12700" b="17780"/>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4B1845E7" w14:textId="77777777" w:rsidR="00042796" w:rsidRPr="00EA1BB2" w:rsidRDefault="00042796" w:rsidP="00194FF0">
      <w:pPr>
        <w:spacing w:line="360" w:lineRule="auto"/>
        <w:jc w:val="center"/>
        <w:rPr>
          <w:rFonts w:ascii="Cambria" w:eastAsia="Times New Roman" w:hAnsi="Cambria" w:cs="Times New Roman"/>
          <w:sz w:val="24"/>
          <w:szCs w:val="24"/>
        </w:rPr>
      </w:pPr>
    </w:p>
    <w:p w14:paraId="7D3E8635" w14:textId="77777777" w:rsidR="00343667" w:rsidRPr="00EA1BB2" w:rsidRDefault="00343667" w:rsidP="00E859EF">
      <w:pPr>
        <w:pStyle w:val="Heading2"/>
        <w:numPr>
          <w:ilvl w:val="1"/>
          <w:numId w:val="1"/>
        </w:numPr>
        <w:spacing w:before="0"/>
        <w:ind w:left="0" w:firstLine="709"/>
        <w:jc w:val="both"/>
        <w:rPr>
          <w:rFonts w:ascii="Cambria" w:eastAsia="Times New Roman" w:hAnsi="Cambria"/>
          <w:color w:val="0070C0"/>
          <w:szCs w:val="24"/>
        </w:rPr>
      </w:pPr>
      <w:bookmarkStart w:id="182" w:name="_Toc526889736"/>
      <w:r w:rsidRPr="00EA1BB2">
        <w:rPr>
          <w:rFonts w:ascii="Cambria" w:eastAsia="Times New Roman" w:hAnsi="Cambria"/>
          <w:color w:val="0070C0"/>
          <w:szCs w:val="24"/>
        </w:rPr>
        <w:t>Identificarea principalelor surse de emisie care ar putea contribui la degradarea calită</w:t>
      </w:r>
      <w:r w:rsidR="00054880" w:rsidRPr="00EA1BB2">
        <w:rPr>
          <w:rFonts w:ascii="Cambria" w:eastAsia="Times New Roman" w:hAnsi="Cambria"/>
          <w:color w:val="0070C0"/>
          <w:szCs w:val="24"/>
        </w:rPr>
        <w:t>ț</w:t>
      </w:r>
      <w:r w:rsidRPr="00EA1BB2">
        <w:rPr>
          <w:rFonts w:ascii="Cambria" w:eastAsia="Times New Roman" w:hAnsi="Cambria"/>
          <w:color w:val="0070C0"/>
          <w:szCs w:val="24"/>
        </w:rPr>
        <w:t xml:space="preserve">ii aerului </w:t>
      </w:r>
      <w:r w:rsidR="00054880" w:rsidRPr="00EA1BB2">
        <w:rPr>
          <w:rFonts w:ascii="Cambria" w:eastAsia="Times New Roman" w:hAnsi="Cambria"/>
          <w:color w:val="0070C0"/>
          <w:szCs w:val="24"/>
        </w:rPr>
        <w:t>ș</w:t>
      </w:r>
      <w:r w:rsidRPr="00EA1BB2">
        <w:rPr>
          <w:rFonts w:ascii="Cambria" w:eastAsia="Times New Roman" w:hAnsi="Cambria"/>
          <w:color w:val="0070C0"/>
          <w:szCs w:val="24"/>
        </w:rPr>
        <w:t>i pozi</w:t>
      </w:r>
      <w:r w:rsidR="00054880" w:rsidRPr="00EA1BB2">
        <w:rPr>
          <w:rFonts w:ascii="Cambria" w:eastAsia="Times New Roman" w:hAnsi="Cambria"/>
          <w:color w:val="0070C0"/>
          <w:szCs w:val="24"/>
        </w:rPr>
        <w:t>ț</w:t>
      </w:r>
      <w:r w:rsidRPr="00EA1BB2">
        <w:rPr>
          <w:rFonts w:ascii="Cambria" w:eastAsia="Times New Roman" w:hAnsi="Cambria"/>
          <w:color w:val="0070C0"/>
          <w:szCs w:val="24"/>
        </w:rPr>
        <w:t xml:space="preserve">ionarea lor pe hartă, inclusiv tipul </w:t>
      </w:r>
      <w:r w:rsidR="00054880" w:rsidRPr="00EA1BB2">
        <w:rPr>
          <w:rFonts w:ascii="Cambria" w:eastAsia="Times New Roman" w:hAnsi="Cambria"/>
          <w:color w:val="0070C0"/>
          <w:szCs w:val="24"/>
        </w:rPr>
        <w:t>ș</w:t>
      </w:r>
      <w:r w:rsidRPr="00EA1BB2">
        <w:rPr>
          <w:rFonts w:ascii="Cambria" w:eastAsia="Times New Roman" w:hAnsi="Cambria"/>
          <w:color w:val="0070C0"/>
          <w:szCs w:val="24"/>
        </w:rPr>
        <w:t>i cantitatea totală de poluan</w:t>
      </w:r>
      <w:r w:rsidR="00054880" w:rsidRPr="00EA1BB2">
        <w:rPr>
          <w:rFonts w:ascii="Cambria" w:eastAsia="Times New Roman" w:hAnsi="Cambria"/>
          <w:color w:val="0070C0"/>
          <w:szCs w:val="24"/>
        </w:rPr>
        <w:t>ț</w:t>
      </w:r>
      <w:r w:rsidRPr="00EA1BB2">
        <w:rPr>
          <w:rFonts w:ascii="Cambria" w:eastAsia="Times New Roman" w:hAnsi="Cambria"/>
          <w:color w:val="0070C0"/>
          <w:szCs w:val="24"/>
        </w:rPr>
        <w:t>i emi</w:t>
      </w:r>
      <w:r w:rsidR="00054880" w:rsidRPr="00EA1BB2">
        <w:rPr>
          <w:rFonts w:ascii="Cambria" w:eastAsia="Times New Roman" w:hAnsi="Cambria"/>
          <w:color w:val="0070C0"/>
          <w:szCs w:val="24"/>
        </w:rPr>
        <w:t>ș</w:t>
      </w:r>
      <w:r w:rsidRPr="00EA1BB2">
        <w:rPr>
          <w:rFonts w:ascii="Cambria" w:eastAsia="Times New Roman" w:hAnsi="Cambria"/>
          <w:color w:val="0070C0"/>
          <w:szCs w:val="24"/>
        </w:rPr>
        <w:t>i d</w:t>
      </w:r>
      <w:r w:rsidR="00ED0CB6" w:rsidRPr="00EA1BB2">
        <w:rPr>
          <w:rFonts w:ascii="Cambria" w:eastAsia="Times New Roman" w:hAnsi="Cambria"/>
          <w:color w:val="0070C0"/>
          <w:szCs w:val="24"/>
        </w:rPr>
        <w:t>in sursele respective (tone/an)</w:t>
      </w:r>
      <w:bookmarkEnd w:id="182"/>
    </w:p>
    <w:p w14:paraId="62AF908B" w14:textId="77777777" w:rsidR="00343667" w:rsidRPr="00EA1BB2" w:rsidRDefault="00343667" w:rsidP="00E859EF">
      <w:pPr>
        <w:pStyle w:val="ListParagraph"/>
        <w:keepNext/>
        <w:keepLines/>
        <w:numPr>
          <w:ilvl w:val="2"/>
          <w:numId w:val="1"/>
        </w:numPr>
        <w:spacing w:after="0" w:line="360" w:lineRule="auto"/>
        <w:ind w:left="709" w:firstLine="0"/>
        <w:jc w:val="both"/>
        <w:outlineLvl w:val="2"/>
        <w:rPr>
          <w:rFonts w:ascii="Cambria" w:eastAsia="Times New Roman" w:hAnsi="Cambria" w:cs="Times New Roman"/>
          <w:b/>
          <w:color w:val="0070C0"/>
          <w:sz w:val="24"/>
          <w:szCs w:val="24"/>
          <w:lang w:val="ro-RO"/>
        </w:rPr>
      </w:pPr>
      <w:bookmarkStart w:id="183" w:name="_Toc526889737"/>
      <w:r w:rsidRPr="00EA1BB2">
        <w:rPr>
          <w:rFonts w:ascii="Cambria" w:eastAsia="Times New Roman" w:hAnsi="Cambria" w:cs="Times New Roman"/>
          <w:b/>
          <w:color w:val="0070C0"/>
          <w:sz w:val="24"/>
          <w:szCs w:val="24"/>
          <w:lang w:val="ro-RO"/>
        </w:rPr>
        <w:t>Lista principalelor surse de emisie responsabile de poluare</w:t>
      </w:r>
      <w:bookmarkEnd w:id="183"/>
    </w:p>
    <w:p w14:paraId="044916EA" w14:textId="77777777" w:rsidR="00343667" w:rsidRPr="00EA1BB2" w:rsidRDefault="00343667" w:rsidP="00343667">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Rezultatele analizei categoriilor de surse generatoare de emisii de poluan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 realizat pentru </w:t>
      </w:r>
      <w:r w:rsidR="00CF4AA9" w:rsidRPr="00EA1BB2">
        <w:rPr>
          <w:rFonts w:ascii="Cambria" w:eastAsia="Times New Roman" w:hAnsi="Cambria" w:cs="Times New Roman"/>
          <w:sz w:val="24"/>
          <w:szCs w:val="24"/>
        </w:rPr>
        <w:t>anul 2013</w:t>
      </w:r>
      <w:r w:rsidRPr="00EA1BB2">
        <w:rPr>
          <w:rFonts w:ascii="Cambria" w:eastAsia="Times New Roman" w:hAnsi="Cambria" w:cs="Times New Roman"/>
          <w:sz w:val="24"/>
          <w:szCs w:val="24"/>
        </w:rPr>
        <w:t xml:space="preserve"> la nivelul jude</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ului Brăila, au condus la identificarea următoarele categorii de surse cheie: </w:t>
      </w:r>
    </w:p>
    <w:p w14:paraId="0300D080" w14:textId="77777777" w:rsidR="00343667" w:rsidRPr="00EA1BB2" w:rsidRDefault="00343667" w:rsidP="00993575">
      <w:pPr>
        <w:pStyle w:val="ListParagraph"/>
        <w:numPr>
          <w:ilvl w:val="0"/>
          <w:numId w:val="47"/>
        </w:numPr>
        <w:tabs>
          <w:tab w:val="left" w:pos="851"/>
        </w:tabs>
        <w:spacing w:line="360" w:lineRule="auto"/>
        <w:jc w:val="both"/>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Încălzirea reziden</w:t>
      </w:r>
      <w:r w:rsidR="00054880" w:rsidRPr="00EA1BB2">
        <w:rPr>
          <w:rFonts w:ascii="Cambria" w:eastAsia="Times New Roman" w:hAnsi="Cambria" w:cs="Times New Roman"/>
          <w:sz w:val="24"/>
          <w:szCs w:val="24"/>
          <w:lang w:val="ro-RO"/>
        </w:rPr>
        <w:t>ț</w:t>
      </w:r>
      <w:r w:rsidRPr="00EA1BB2">
        <w:rPr>
          <w:rFonts w:ascii="Cambria" w:eastAsia="Times New Roman" w:hAnsi="Cambria" w:cs="Times New Roman"/>
          <w:sz w:val="24"/>
          <w:szCs w:val="24"/>
          <w:lang w:val="ro-RO"/>
        </w:rPr>
        <w:t xml:space="preserve">ială </w:t>
      </w:r>
      <w:r w:rsidR="00054880" w:rsidRPr="00EA1BB2">
        <w:rPr>
          <w:rFonts w:ascii="Cambria" w:eastAsia="Times New Roman" w:hAnsi="Cambria" w:cs="Times New Roman"/>
          <w:sz w:val="24"/>
          <w:szCs w:val="24"/>
          <w:lang w:val="ro-RO"/>
        </w:rPr>
        <w:t>ș</w:t>
      </w:r>
      <w:r w:rsidRPr="00EA1BB2">
        <w:rPr>
          <w:rFonts w:ascii="Cambria" w:eastAsia="Times New Roman" w:hAnsi="Cambria" w:cs="Times New Roman"/>
          <w:sz w:val="24"/>
          <w:szCs w:val="24"/>
          <w:lang w:val="ro-RO"/>
        </w:rPr>
        <w:t>i prepararea hranei – cod NFR 1.A.4.b (încălzire reziden</w:t>
      </w:r>
      <w:r w:rsidR="00054880" w:rsidRPr="00EA1BB2">
        <w:rPr>
          <w:rFonts w:ascii="Cambria" w:eastAsia="Times New Roman" w:hAnsi="Cambria" w:cs="Times New Roman"/>
          <w:sz w:val="24"/>
          <w:szCs w:val="24"/>
          <w:lang w:val="ro-RO"/>
        </w:rPr>
        <w:t>ț</w:t>
      </w:r>
      <w:r w:rsidRPr="00EA1BB2">
        <w:rPr>
          <w:rFonts w:ascii="Cambria" w:eastAsia="Times New Roman" w:hAnsi="Cambria" w:cs="Times New Roman"/>
          <w:sz w:val="24"/>
          <w:szCs w:val="24"/>
          <w:lang w:val="ro-RO"/>
        </w:rPr>
        <w:t>ială, prepararea hranei) este categoria de surse cheie numărul 1 pentru poluan</w:t>
      </w:r>
      <w:r w:rsidR="00054880" w:rsidRPr="00EA1BB2">
        <w:rPr>
          <w:rFonts w:ascii="Cambria" w:eastAsia="Times New Roman" w:hAnsi="Cambria" w:cs="Times New Roman"/>
          <w:sz w:val="24"/>
          <w:szCs w:val="24"/>
          <w:lang w:val="ro-RO"/>
        </w:rPr>
        <w:t>ț</w:t>
      </w:r>
      <w:r w:rsidRPr="00EA1BB2">
        <w:rPr>
          <w:rFonts w:ascii="Cambria" w:eastAsia="Times New Roman" w:hAnsi="Cambria" w:cs="Times New Roman"/>
          <w:sz w:val="24"/>
          <w:szCs w:val="24"/>
          <w:lang w:val="ro-RO"/>
        </w:rPr>
        <w:t xml:space="preserve">ii </w:t>
      </w:r>
      <w:r w:rsidR="00443FE3" w:rsidRPr="00EA1BB2">
        <w:rPr>
          <w:rFonts w:ascii="Cambria" w:eastAsia="Times New Roman" w:hAnsi="Cambria" w:cs="Times New Roman"/>
          <w:sz w:val="24"/>
          <w:szCs w:val="24"/>
          <w:lang w:val="ro-RO"/>
        </w:rPr>
        <w:t>As, Cd, C</w:t>
      </w:r>
      <w:r w:rsidR="00142EAB" w:rsidRPr="00EA1BB2">
        <w:rPr>
          <w:rFonts w:ascii="Cambria" w:eastAsia="Times New Roman" w:hAnsi="Cambria" w:cs="Times New Roman"/>
          <w:sz w:val="24"/>
          <w:szCs w:val="24"/>
          <w:lang w:val="ro-RO"/>
        </w:rPr>
        <w:t>O</w:t>
      </w:r>
      <w:r w:rsidR="00443FE3" w:rsidRPr="00EA1BB2">
        <w:rPr>
          <w:rFonts w:ascii="Cambria" w:eastAsia="Times New Roman" w:hAnsi="Cambria" w:cs="Times New Roman"/>
          <w:sz w:val="24"/>
          <w:szCs w:val="24"/>
          <w:lang w:val="ro-RO"/>
        </w:rPr>
        <w:t xml:space="preserve"> și particule PM</w:t>
      </w:r>
      <w:r w:rsidR="00443FE3" w:rsidRPr="00EA1BB2">
        <w:rPr>
          <w:rFonts w:ascii="Cambria" w:eastAsia="Times New Roman" w:hAnsi="Cambria" w:cs="Times New Roman"/>
          <w:sz w:val="24"/>
          <w:szCs w:val="24"/>
          <w:vertAlign w:val="subscript"/>
          <w:lang w:val="ro-RO"/>
        </w:rPr>
        <w:t>2,5</w:t>
      </w:r>
      <w:r w:rsidR="00443FE3" w:rsidRPr="00EA1BB2">
        <w:rPr>
          <w:rFonts w:ascii="Cambria" w:eastAsia="Times New Roman" w:hAnsi="Cambria" w:cs="Times New Roman"/>
          <w:sz w:val="24"/>
          <w:szCs w:val="24"/>
          <w:lang w:val="ro-RO"/>
        </w:rPr>
        <w:t>;</w:t>
      </w:r>
    </w:p>
    <w:p w14:paraId="514B6889" w14:textId="77777777" w:rsidR="00493EB4" w:rsidRPr="00EA1BB2" w:rsidRDefault="00493EB4" w:rsidP="00993575">
      <w:pPr>
        <w:pStyle w:val="ListParagraph"/>
        <w:numPr>
          <w:ilvl w:val="0"/>
          <w:numId w:val="47"/>
        </w:numPr>
        <w:tabs>
          <w:tab w:val="left" w:pos="851"/>
        </w:tabs>
        <w:spacing w:line="360" w:lineRule="auto"/>
        <w:jc w:val="both"/>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lastRenderedPageBreak/>
        <w:t>Comercial/Instituțional- încălzire comercială și instituțională – cod NFR 1.A.4.a (încălzire rezidențială, prepararea hranei) este categoria de surse cheie numărul 1 pentru poluanții NOx</w:t>
      </w:r>
      <w:r w:rsidR="00443FE3" w:rsidRPr="00EA1BB2">
        <w:rPr>
          <w:rFonts w:ascii="Cambria" w:eastAsia="Times New Roman" w:hAnsi="Cambria" w:cs="Times New Roman"/>
          <w:sz w:val="24"/>
          <w:szCs w:val="24"/>
          <w:lang w:val="ro-RO"/>
        </w:rPr>
        <w:t>, Ni</w:t>
      </w:r>
      <w:r w:rsidRPr="00EA1BB2">
        <w:rPr>
          <w:rFonts w:ascii="Cambria" w:eastAsia="Times New Roman" w:hAnsi="Cambria" w:cs="Times New Roman"/>
          <w:sz w:val="24"/>
          <w:szCs w:val="24"/>
          <w:lang w:val="ro-RO"/>
        </w:rPr>
        <w:t xml:space="preserve"> și SOx;</w:t>
      </w:r>
    </w:p>
    <w:p w14:paraId="54F625CA" w14:textId="77777777" w:rsidR="00343667" w:rsidRPr="00EA1BB2" w:rsidRDefault="00343667" w:rsidP="00993575">
      <w:pPr>
        <w:pStyle w:val="ListParagraph"/>
        <w:numPr>
          <w:ilvl w:val="0"/>
          <w:numId w:val="47"/>
        </w:numPr>
        <w:tabs>
          <w:tab w:val="left" w:pos="851"/>
        </w:tabs>
        <w:spacing w:line="360" w:lineRule="auto"/>
        <w:jc w:val="both"/>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Industria metalurgică, în special activită</w:t>
      </w:r>
      <w:r w:rsidR="00054880" w:rsidRPr="00EA1BB2">
        <w:rPr>
          <w:rFonts w:ascii="Cambria" w:eastAsia="Times New Roman" w:hAnsi="Cambria" w:cs="Times New Roman"/>
          <w:sz w:val="24"/>
          <w:szCs w:val="24"/>
          <w:lang w:val="ro-RO"/>
        </w:rPr>
        <w:t>ț</w:t>
      </w:r>
      <w:r w:rsidRPr="00EA1BB2">
        <w:rPr>
          <w:rFonts w:ascii="Cambria" w:eastAsia="Times New Roman" w:hAnsi="Cambria" w:cs="Times New Roman"/>
          <w:sz w:val="24"/>
          <w:szCs w:val="24"/>
          <w:lang w:val="ro-RO"/>
        </w:rPr>
        <w:t>ile de siderurgie – cod NFR 2.C.1. (fabricarea o</w:t>
      </w:r>
      <w:r w:rsidR="00054880" w:rsidRPr="00EA1BB2">
        <w:rPr>
          <w:rFonts w:ascii="Cambria" w:eastAsia="Times New Roman" w:hAnsi="Cambria" w:cs="Times New Roman"/>
          <w:sz w:val="24"/>
          <w:szCs w:val="24"/>
          <w:lang w:val="ro-RO"/>
        </w:rPr>
        <w:t>ț</w:t>
      </w:r>
      <w:r w:rsidRPr="00EA1BB2">
        <w:rPr>
          <w:rFonts w:ascii="Cambria" w:eastAsia="Times New Roman" w:hAnsi="Cambria" w:cs="Times New Roman"/>
          <w:sz w:val="24"/>
          <w:szCs w:val="24"/>
          <w:lang w:val="ro-RO"/>
        </w:rPr>
        <w:t xml:space="preserve">elului </w:t>
      </w:r>
      <w:r w:rsidR="00054880" w:rsidRPr="00EA1BB2">
        <w:rPr>
          <w:rFonts w:ascii="Cambria" w:eastAsia="Times New Roman" w:hAnsi="Cambria" w:cs="Times New Roman"/>
          <w:sz w:val="24"/>
          <w:szCs w:val="24"/>
          <w:lang w:val="ro-RO"/>
        </w:rPr>
        <w:t>ș</w:t>
      </w:r>
      <w:r w:rsidRPr="00EA1BB2">
        <w:rPr>
          <w:rFonts w:ascii="Cambria" w:eastAsia="Times New Roman" w:hAnsi="Cambria" w:cs="Times New Roman"/>
          <w:sz w:val="24"/>
          <w:szCs w:val="24"/>
          <w:lang w:val="ro-RO"/>
        </w:rPr>
        <w:t xml:space="preserve">i fontei), constituie a II-a categorie de </w:t>
      </w:r>
      <w:r w:rsidR="00493EB4" w:rsidRPr="00EA1BB2">
        <w:rPr>
          <w:rFonts w:ascii="Cambria" w:eastAsia="Times New Roman" w:hAnsi="Cambria" w:cs="Times New Roman"/>
          <w:sz w:val="24"/>
          <w:szCs w:val="24"/>
          <w:lang w:val="ro-RO"/>
        </w:rPr>
        <w:t>surse cheie pentru metale grele.</w:t>
      </w:r>
    </w:p>
    <w:p w14:paraId="021494F2" w14:textId="77777777" w:rsidR="00343667" w:rsidRPr="00EA1BB2" w:rsidRDefault="00343667" w:rsidP="00993575">
      <w:pPr>
        <w:pStyle w:val="ListParagraph"/>
        <w:numPr>
          <w:ilvl w:val="0"/>
          <w:numId w:val="47"/>
        </w:numPr>
        <w:tabs>
          <w:tab w:val="left" w:pos="851"/>
        </w:tabs>
        <w:spacing w:line="360" w:lineRule="auto"/>
        <w:jc w:val="both"/>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 xml:space="preserve">Transportul rutier – cod NFR 1.A.3.b (în mod special autoturismele – cod NFR 1.A.3.b.i) constituie a III-a categorie de surse cheie pentru </w:t>
      </w:r>
      <w:r w:rsidR="003F4509" w:rsidRPr="00EA1BB2">
        <w:rPr>
          <w:rFonts w:ascii="Cambria" w:eastAsia="Times New Roman" w:hAnsi="Cambria" w:cs="Times New Roman"/>
          <w:sz w:val="24"/>
          <w:szCs w:val="24"/>
          <w:lang w:val="ro-RO"/>
        </w:rPr>
        <w:t>emisiile de NOx</w:t>
      </w:r>
      <w:r w:rsidRPr="00EA1BB2">
        <w:rPr>
          <w:rFonts w:ascii="Cambria" w:eastAsia="Times New Roman" w:hAnsi="Cambria" w:cs="Times New Roman"/>
          <w:sz w:val="24"/>
          <w:szCs w:val="24"/>
          <w:lang w:val="ro-RO"/>
        </w:rPr>
        <w:t>;</w:t>
      </w:r>
    </w:p>
    <w:p w14:paraId="6AA2C43B" w14:textId="77777777" w:rsidR="00343667" w:rsidRPr="00EA1BB2" w:rsidRDefault="00343667" w:rsidP="00196B49">
      <w:pPr>
        <w:pStyle w:val="ListParagraph"/>
        <w:numPr>
          <w:ilvl w:val="0"/>
          <w:numId w:val="47"/>
        </w:numPr>
        <w:tabs>
          <w:tab w:val="left" w:pos="851"/>
        </w:tabs>
        <w:spacing w:after="0" w:line="360" w:lineRule="auto"/>
        <w:jc w:val="both"/>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Cre</w:t>
      </w:r>
      <w:r w:rsidR="00054880" w:rsidRPr="00EA1BB2">
        <w:rPr>
          <w:rFonts w:ascii="Cambria" w:eastAsia="Times New Roman" w:hAnsi="Cambria" w:cs="Times New Roman"/>
          <w:sz w:val="24"/>
          <w:szCs w:val="24"/>
          <w:lang w:val="ro-RO"/>
        </w:rPr>
        <w:t>ș</w:t>
      </w:r>
      <w:r w:rsidRPr="00EA1BB2">
        <w:rPr>
          <w:rFonts w:ascii="Cambria" w:eastAsia="Times New Roman" w:hAnsi="Cambria" w:cs="Times New Roman"/>
          <w:sz w:val="24"/>
          <w:szCs w:val="24"/>
          <w:lang w:val="ro-RO"/>
        </w:rPr>
        <w:t xml:space="preserve">terea animalelor </w:t>
      </w:r>
      <w:r w:rsidR="00054880" w:rsidRPr="00EA1BB2">
        <w:rPr>
          <w:rFonts w:ascii="Cambria" w:eastAsia="Times New Roman" w:hAnsi="Cambria" w:cs="Times New Roman"/>
          <w:sz w:val="24"/>
          <w:szCs w:val="24"/>
          <w:lang w:val="ro-RO"/>
        </w:rPr>
        <w:t>ș</w:t>
      </w:r>
      <w:r w:rsidRPr="00EA1BB2">
        <w:rPr>
          <w:rFonts w:ascii="Cambria" w:eastAsia="Times New Roman" w:hAnsi="Cambria" w:cs="Times New Roman"/>
          <w:sz w:val="24"/>
          <w:szCs w:val="24"/>
          <w:lang w:val="ro-RO"/>
        </w:rPr>
        <w:t>i managementul dejec</w:t>
      </w:r>
      <w:r w:rsidR="00054880" w:rsidRPr="00EA1BB2">
        <w:rPr>
          <w:rFonts w:ascii="Cambria" w:eastAsia="Times New Roman" w:hAnsi="Cambria" w:cs="Times New Roman"/>
          <w:sz w:val="24"/>
          <w:szCs w:val="24"/>
          <w:lang w:val="ro-RO"/>
        </w:rPr>
        <w:t>ț</w:t>
      </w:r>
      <w:r w:rsidRPr="00EA1BB2">
        <w:rPr>
          <w:rFonts w:ascii="Cambria" w:eastAsia="Times New Roman" w:hAnsi="Cambria" w:cs="Times New Roman"/>
          <w:sz w:val="24"/>
          <w:szCs w:val="24"/>
          <w:lang w:val="ro-RO"/>
        </w:rPr>
        <w:t>iilor animaliere, în special cele asociate cre</w:t>
      </w:r>
      <w:r w:rsidR="00054880" w:rsidRPr="00EA1BB2">
        <w:rPr>
          <w:rFonts w:ascii="Cambria" w:eastAsia="Times New Roman" w:hAnsi="Cambria" w:cs="Times New Roman"/>
          <w:sz w:val="24"/>
          <w:szCs w:val="24"/>
          <w:lang w:val="ro-RO"/>
        </w:rPr>
        <w:t>ș</w:t>
      </w:r>
      <w:r w:rsidRPr="00EA1BB2">
        <w:rPr>
          <w:rFonts w:ascii="Cambria" w:eastAsia="Times New Roman" w:hAnsi="Cambria" w:cs="Times New Roman"/>
          <w:sz w:val="24"/>
          <w:szCs w:val="24"/>
          <w:lang w:val="ro-RO"/>
        </w:rPr>
        <w:t xml:space="preserve">terii porcinelor (cod NFR 4.B.8) constituie a </w:t>
      </w:r>
      <w:r w:rsidR="00493EB4" w:rsidRPr="00EA1BB2">
        <w:rPr>
          <w:rFonts w:ascii="Cambria" w:eastAsia="Times New Roman" w:hAnsi="Cambria" w:cs="Times New Roman"/>
          <w:sz w:val="24"/>
          <w:szCs w:val="24"/>
          <w:lang w:val="ro-RO"/>
        </w:rPr>
        <w:t>I</w:t>
      </w:r>
      <w:r w:rsidRPr="00EA1BB2">
        <w:rPr>
          <w:rFonts w:ascii="Cambria" w:eastAsia="Times New Roman" w:hAnsi="Cambria" w:cs="Times New Roman"/>
          <w:sz w:val="24"/>
          <w:szCs w:val="24"/>
          <w:lang w:val="ro-RO"/>
        </w:rPr>
        <w:t>V-a categorie de surse cheie pentru particule.</w:t>
      </w:r>
    </w:p>
    <w:p w14:paraId="014EEDBF" w14:textId="77777777" w:rsidR="00194FF0" w:rsidRPr="00EA1BB2" w:rsidRDefault="00194FF0" w:rsidP="00194FF0">
      <w:pPr>
        <w:pStyle w:val="ListParagraph"/>
        <w:tabs>
          <w:tab w:val="left" w:pos="851"/>
        </w:tabs>
        <w:spacing w:after="0" w:line="360" w:lineRule="auto"/>
        <w:jc w:val="both"/>
        <w:rPr>
          <w:rFonts w:ascii="Cambria" w:eastAsia="Times New Roman" w:hAnsi="Cambria" w:cs="Times New Roman"/>
          <w:sz w:val="24"/>
          <w:szCs w:val="24"/>
          <w:lang w:val="ro-RO"/>
        </w:rPr>
      </w:pPr>
    </w:p>
    <w:p w14:paraId="4C03687E" w14:textId="77777777" w:rsidR="00343667" w:rsidRPr="00EA1BB2" w:rsidRDefault="00343667" w:rsidP="00E859EF">
      <w:pPr>
        <w:pStyle w:val="ListParagraph"/>
        <w:keepNext/>
        <w:keepLines/>
        <w:numPr>
          <w:ilvl w:val="2"/>
          <w:numId w:val="1"/>
        </w:numPr>
        <w:spacing w:after="0" w:line="360" w:lineRule="auto"/>
        <w:ind w:left="709" w:firstLine="0"/>
        <w:jc w:val="both"/>
        <w:outlineLvl w:val="2"/>
        <w:rPr>
          <w:rFonts w:ascii="Cambria" w:eastAsia="Times New Roman" w:hAnsi="Cambria" w:cs="Times New Roman"/>
          <w:b/>
          <w:color w:val="0070C0"/>
          <w:sz w:val="24"/>
          <w:szCs w:val="24"/>
          <w:lang w:val="ro-RO"/>
        </w:rPr>
      </w:pPr>
      <w:bookmarkStart w:id="184" w:name="_Toc526889738"/>
      <w:r w:rsidRPr="00EA1BB2">
        <w:rPr>
          <w:rFonts w:ascii="Cambria" w:eastAsia="Times New Roman" w:hAnsi="Cambria" w:cs="Times New Roman"/>
          <w:b/>
          <w:color w:val="0070C0"/>
          <w:sz w:val="24"/>
          <w:szCs w:val="24"/>
          <w:lang w:val="ro-RO"/>
        </w:rPr>
        <w:t>Cantitatea totală a emisiilor din aceste surse (tone/an)</w:t>
      </w:r>
      <w:bookmarkEnd w:id="184"/>
    </w:p>
    <w:p w14:paraId="39CC74C7" w14:textId="77777777" w:rsidR="00343667" w:rsidRPr="00EA1BB2" w:rsidRDefault="00343667" w:rsidP="00343667">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Emisiile de poluan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 pe </w:t>
      </w:r>
      <w:r w:rsidR="00C94E4F" w:rsidRPr="00EA1BB2">
        <w:rPr>
          <w:rFonts w:ascii="Cambria" w:eastAsia="Times New Roman" w:hAnsi="Cambria" w:cs="Times New Roman"/>
          <w:sz w:val="24"/>
          <w:szCs w:val="24"/>
        </w:rPr>
        <w:t>categorii</w:t>
      </w:r>
      <w:r w:rsidRPr="00EA1BB2">
        <w:rPr>
          <w:rFonts w:ascii="Cambria" w:eastAsia="Times New Roman" w:hAnsi="Cambria" w:cs="Times New Roman"/>
          <w:sz w:val="24"/>
          <w:szCs w:val="24"/>
        </w:rPr>
        <w:t xml:space="preserve"> de surse, în anul de referin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ă 2013, conform inventarului local de emisii</w:t>
      </w:r>
      <w:r w:rsidR="00414A83" w:rsidRPr="00EA1BB2">
        <w:rPr>
          <w:rFonts w:ascii="Cambria" w:eastAsia="Times New Roman" w:hAnsi="Cambria" w:cs="Times New Roman"/>
          <w:sz w:val="24"/>
          <w:szCs w:val="24"/>
        </w:rPr>
        <w:t xml:space="preserve"> și a Inventarului emisii trafic (Copert)</w:t>
      </w:r>
      <w:r w:rsidRPr="00EA1BB2">
        <w:rPr>
          <w:rFonts w:ascii="Cambria" w:eastAsia="Times New Roman" w:hAnsi="Cambria" w:cs="Times New Roman"/>
          <w:sz w:val="24"/>
          <w:szCs w:val="24"/>
        </w:rPr>
        <w:t>, sunt prezentate în tabelul de mai jos.</w:t>
      </w:r>
    </w:p>
    <w:p w14:paraId="73A8D4C6" w14:textId="77777777" w:rsidR="00343667" w:rsidRPr="00EA1BB2" w:rsidRDefault="00343667" w:rsidP="00852D83">
      <w:pPr>
        <w:ind w:firstLine="709"/>
        <w:jc w:val="both"/>
        <w:rPr>
          <w:rFonts w:ascii="Cambria" w:eastAsia="Times New Roman" w:hAnsi="Cambria" w:cs="Times New Roman"/>
          <w:sz w:val="24"/>
          <w:szCs w:val="24"/>
        </w:rPr>
      </w:pPr>
    </w:p>
    <w:p w14:paraId="2EF7B202" w14:textId="2E9A0B83" w:rsidR="00343667" w:rsidRPr="00EA1BB2" w:rsidRDefault="00343667" w:rsidP="00343667">
      <w:pPr>
        <w:pStyle w:val="Caption"/>
        <w:keepNext/>
        <w:spacing w:after="0" w:line="276" w:lineRule="auto"/>
        <w:ind w:firstLine="708"/>
        <w:jc w:val="both"/>
        <w:rPr>
          <w:rFonts w:ascii="Cambria" w:hAnsi="Cambria"/>
        </w:rPr>
      </w:pPr>
      <w:bookmarkStart w:id="185" w:name="_Toc526889807"/>
      <w:r w:rsidRPr="00EA1BB2">
        <w:rPr>
          <w:rFonts w:ascii="Cambria" w:hAnsi="Cambria"/>
        </w:rPr>
        <w:t xml:space="preserve">Tabelul nr. </w:t>
      </w:r>
      <w:r w:rsidR="000A2FE7" w:rsidRPr="00EA1BB2">
        <w:rPr>
          <w:rFonts w:ascii="Cambria" w:hAnsi="Cambria"/>
        </w:rPr>
        <w:fldChar w:fldCharType="begin"/>
      </w:r>
      <w:r w:rsidR="000A2FE7" w:rsidRPr="00EA1BB2">
        <w:rPr>
          <w:rFonts w:ascii="Cambria" w:hAnsi="Cambria"/>
        </w:rPr>
        <w:instrText xml:space="preserve"> STYLEREF 1 \s </w:instrText>
      </w:r>
      <w:r w:rsidR="000A2FE7" w:rsidRPr="00EA1BB2">
        <w:rPr>
          <w:rFonts w:ascii="Cambria" w:hAnsi="Cambria"/>
        </w:rPr>
        <w:fldChar w:fldCharType="separate"/>
      </w:r>
      <w:r w:rsidR="00567555">
        <w:rPr>
          <w:rFonts w:ascii="Cambria" w:hAnsi="Cambria"/>
          <w:noProof/>
        </w:rPr>
        <w:t>3</w:t>
      </w:r>
      <w:r w:rsidR="000A2FE7" w:rsidRPr="00EA1BB2">
        <w:rPr>
          <w:rFonts w:ascii="Cambria" w:hAnsi="Cambria"/>
        </w:rPr>
        <w:fldChar w:fldCharType="end"/>
      </w:r>
      <w:r w:rsidR="000A2FE7" w:rsidRPr="00EA1BB2">
        <w:rPr>
          <w:rFonts w:ascii="Cambria" w:hAnsi="Cambria"/>
        </w:rPr>
        <w:noBreakHyphen/>
      </w:r>
      <w:r w:rsidR="000A2FE7" w:rsidRPr="00EA1BB2">
        <w:rPr>
          <w:rFonts w:ascii="Cambria" w:hAnsi="Cambria"/>
        </w:rPr>
        <w:fldChar w:fldCharType="begin"/>
      </w:r>
      <w:r w:rsidR="000A2FE7" w:rsidRPr="00EA1BB2">
        <w:rPr>
          <w:rFonts w:ascii="Cambria" w:hAnsi="Cambria"/>
        </w:rPr>
        <w:instrText xml:space="preserve"> SEQ Tabelul_nr. \* ARABIC \s 1 </w:instrText>
      </w:r>
      <w:r w:rsidR="000A2FE7" w:rsidRPr="00EA1BB2">
        <w:rPr>
          <w:rFonts w:ascii="Cambria" w:hAnsi="Cambria"/>
        </w:rPr>
        <w:fldChar w:fldCharType="separate"/>
      </w:r>
      <w:r w:rsidR="00567555">
        <w:rPr>
          <w:rFonts w:ascii="Cambria" w:hAnsi="Cambria"/>
          <w:noProof/>
        </w:rPr>
        <w:t>38</w:t>
      </w:r>
      <w:r w:rsidR="000A2FE7" w:rsidRPr="00EA1BB2">
        <w:rPr>
          <w:rFonts w:ascii="Cambria" w:hAnsi="Cambria"/>
        </w:rPr>
        <w:fldChar w:fldCharType="end"/>
      </w:r>
      <w:r w:rsidRPr="00EA1BB2">
        <w:rPr>
          <w:rFonts w:ascii="Cambria" w:hAnsi="Cambria"/>
        </w:rPr>
        <w:t xml:space="preserve"> – Emisii de poluan</w:t>
      </w:r>
      <w:r w:rsidR="00054880" w:rsidRPr="00EA1BB2">
        <w:rPr>
          <w:rFonts w:ascii="Cambria" w:hAnsi="Cambria"/>
        </w:rPr>
        <w:t>ț</w:t>
      </w:r>
      <w:r w:rsidRPr="00EA1BB2">
        <w:rPr>
          <w:rFonts w:ascii="Cambria" w:hAnsi="Cambria"/>
        </w:rPr>
        <w:t xml:space="preserve">i, pe </w:t>
      </w:r>
      <w:r w:rsidR="00C94E4F" w:rsidRPr="00EA1BB2">
        <w:rPr>
          <w:rFonts w:ascii="Cambria" w:hAnsi="Cambria"/>
        </w:rPr>
        <w:t>categorii</w:t>
      </w:r>
      <w:r w:rsidRPr="00EA1BB2">
        <w:rPr>
          <w:rFonts w:ascii="Cambria" w:hAnsi="Cambria"/>
        </w:rPr>
        <w:t xml:space="preserve"> de surse, în anul 2013</w:t>
      </w:r>
      <w:bookmarkEnd w:id="185"/>
    </w:p>
    <w:tbl>
      <w:tblPr>
        <w:tblStyle w:val="TableGrid58"/>
        <w:tblW w:w="5000" w:type="pct"/>
        <w:jc w:val="center"/>
        <w:tblLook w:val="04A0" w:firstRow="1" w:lastRow="0" w:firstColumn="1" w:lastColumn="0" w:noHBand="0" w:noVBand="1"/>
      </w:tblPr>
      <w:tblGrid>
        <w:gridCol w:w="3402"/>
        <w:gridCol w:w="3098"/>
        <w:gridCol w:w="2786"/>
      </w:tblGrid>
      <w:tr w:rsidR="00C75800" w:rsidRPr="00EA1BB2" w14:paraId="0B639080" w14:textId="77777777" w:rsidTr="00C75800">
        <w:trPr>
          <w:tblHeader/>
          <w:jc w:val="center"/>
        </w:trPr>
        <w:tc>
          <w:tcPr>
            <w:tcW w:w="1832" w:type="pct"/>
            <w:shd w:val="clear" w:color="auto" w:fill="BDD6EE" w:themeFill="accent1" w:themeFillTint="66"/>
            <w:vAlign w:val="center"/>
          </w:tcPr>
          <w:p w14:paraId="6F74B6CA" w14:textId="77777777" w:rsidR="00C75800" w:rsidRPr="00EA1BB2" w:rsidRDefault="00C75800" w:rsidP="00343667">
            <w:pPr>
              <w:jc w:val="center"/>
              <w:rPr>
                <w:rFonts w:ascii="Cambria" w:hAnsi="Cambria"/>
                <w:b/>
                <w:sz w:val="24"/>
                <w:szCs w:val="24"/>
              </w:rPr>
            </w:pPr>
            <w:r w:rsidRPr="00EA1BB2">
              <w:rPr>
                <w:rFonts w:ascii="Cambria" w:hAnsi="Cambria"/>
                <w:b/>
                <w:sz w:val="24"/>
                <w:szCs w:val="24"/>
              </w:rPr>
              <w:t>Indicator</w:t>
            </w:r>
          </w:p>
        </w:tc>
        <w:tc>
          <w:tcPr>
            <w:tcW w:w="3168" w:type="pct"/>
            <w:gridSpan w:val="2"/>
            <w:shd w:val="clear" w:color="auto" w:fill="BDD6EE" w:themeFill="accent1" w:themeFillTint="66"/>
            <w:vAlign w:val="center"/>
          </w:tcPr>
          <w:p w14:paraId="6B9548D5" w14:textId="77777777" w:rsidR="00C75800" w:rsidRPr="00EA1BB2" w:rsidRDefault="00C75800" w:rsidP="00343667">
            <w:pPr>
              <w:jc w:val="center"/>
              <w:rPr>
                <w:rFonts w:ascii="Cambria" w:hAnsi="Cambria"/>
                <w:b/>
                <w:sz w:val="24"/>
                <w:szCs w:val="24"/>
              </w:rPr>
            </w:pPr>
            <w:r w:rsidRPr="00EA1BB2">
              <w:rPr>
                <w:rFonts w:ascii="Cambria" w:hAnsi="Cambria"/>
                <w:b/>
                <w:sz w:val="24"/>
                <w:szCs w:val="24"/>
              </w:rPr>
              <w:t xml:space="preserve">Cantitatea totală de emisii </w:t>
            </w:r>
          </w:p>
          <w:p w14:paraId="5918117B" w14:textId="77777777" w:rsidR="00C75800" w:rsidRPr="00EA1BB2" w:rsidRDefault="00C75800" w:rsidP="00343667">
            <w:pPr>
              <w:jc w:val="center"/>
              <w:rPr>
                <w:rFonts w:ascii="Cambria" w:hAnsi="Cambria"/>
                <w:b/>
                <w:sz w:val="24"/>
                <w:szCs w:val="24"/>
              </w:rPr>
            </w:pPr>
            <w:r w:rsidRPr="00EA1BB2">
              <w:rPr>
                <w:rFonts w:ascii="Cambria" w:hAnsi="Cambria"/>
                <w:b/>
                <w:sz w:val="24"/>
                <w:szCs w:val="24"/>
              </w:rPr>
              <w:t>(t/an)</w:t>
            </w:r>
          </w:p>
        </w:tc>
      </w:tr>
      <w:tr w:rsidR="00727823" w:rsidRPr="00EA1BB2" w14:paraId="46BF07EF" w14:textId="77777777" w:rsidTr="00A424BD">
        <w:trPr>
          <w:jc w:val="center"/>
        </w:trPr>
        <w:tc>
          <w:tcPr>
            <w:tcW w:w="1832" w:type="pct"/>
            <w:vMerge w:val="restart"/>
            <w:vAlign w:val="center"/>
          </w:tcPr>
          <w:p w14:paraId="05AB38CC" w14:textId="77777777" w:rsidR="00727823" w:rsidRPr="00EA1BB2" w:rsidRDefault="00727823" w:rsidP="00727823">
            <w:pPr>
              <w:jc w:val="center"/>
              <w:rPr>
                <w:rFonts w:ascii="Cambria" w:hAnsi="Cambria"/>
                <w:sz w:val="24"/>
                <w:szCs w:val="24"/>
              </w:rPr>
            </w:pPr>
            <w:r w:rsidRPr="00EA1BB2">
              <w:rPr>
                <w:rFonts w:ascii="Cambria" w:hAnsi="Cambria"/>
                <w:sz w:val="24"/>
                <w:szCs w:val="24"/>
              </w:rPr>
              <w:t>Oxizi de azot* (NO</w:t>
            </w:r>
            <w:r w:rsidRPr="00EA1BB2">
              <w:rPr>
                <w:rFonts w:ascii="Cambria" w:hAnsi="Cambria"/>
                <w:sz w:val="24"/>
                <w:szCs w:val="24"/>
                <w:vertAlign w:val="subscript"/>
              </w:rPr>
              <w:t>X</w:t>
            </w:r>
            <w:r w:rsidRPr="00EA1BB2">
              <w:rPr>
                <w:rFonts w:ascii="Cambria" w:hAnsi="Cambria"/>
                <w:sz w:val="24"/>
                <w:szCs w:val="24"/>
              </w:rPr>
              <w:t xml:space="preserve">) </w:t>
            </w:r>
          </w:p>
        </w:tc>
        <w:tc>
          <w:tcPr>
            <w:tcW w:w="1668" w:type="pct"/>
            <w:vAlign w:val="center"/>
          </w:tcPr>
          <w:p w14:paraId="14AEA9BA" w14:textId="77777777" w:rsidR="00727823" w:rsidRPr="00EA1BB2" w:rsidRDefault="00727823" w:rsidP="00727823">
            <w:pPr>
              <w:jc w:val="center"/>
              <w:rPr>
                <w:rFonts w:ascii="Cambria" w:hAnsi="Cambria"/>
                <w:sz w:val="24"/>
                <w:szCs w:val="24"/>
              </w:rPr>
            </w:pPr>
            <w:r w:rsidRPr="00EA1BB2">
              <w:rPr>
                <w:rFonts w:ascii="Cambria" w:hAnsi="Cambria"/>
                <w:sz w:val="24"/>
                <w:szCs w:val="24"/>
              </w:rPr>
              <w:t>Surse staționare</w:t>
            </w:r>
          </w:p>
        </w:tc>
        <w:tc>
          <w:tcPr>
            <w:tcW w:w="1500" w:type="pct"/>
            <w:tcBorders>
              <w:top w:val="single" w:sz="4" w:space="0" w:color="auto"/>
              <w:left w:val="nil"/>
              <w:bottom w:val="single" w:sz="4" w:space="0" w:color="auto"/>
              <w:right w:val="single" w:sz="4" w:space="0" w:color="auto"/>
            </w:tcBorders>
            <w:shd w:val="clear" w:color="auto" w:fill="auto"/>
          </w:tcPr>
          <w:p w14:paraId="0BB20037" w14:textId="77777777" w:rsidR="00727823" w:rsidRPr="00EA1BB2" w:rsidRDefault="00727823" w:rsidP="00727823">
            <w:pPr>
              <w:jc w:val="right"/>
              <w:rPr>
                <w:rFonts w:ascii="Cambria" w:hAnsi="Cambria"/>
                <w:color w:val="000000"/>
                <w:sz w:val="24"/>
                <w:szCs w:val="24"/>
              </w:rPr>
            </w:pPr>
            <w:r w:rsidRPr="00EA1BB2">
              <w:rPr>
                <w:rFonts w:ascii="Cambria" w:hAnsi="Cambria"/>
                <w:sz w:val="24"/>
                <w:szCs w:val="24"/>
              </w:rPr>
              <w:t>16,904097</w:t>
            </w:r>
          </w:p>
        </w:tc>
      </w:tr>
      <w:tr w:rsidR="00727823" w:rsidRPr="00EA1BB2" w14:paraId="5AF9E4EA" w14:textId="77777777" w:rsidTr="00A424BD">
        <w:trPr>
          <w:jc w:val="center"/>
        </w:trPr>
        <w:tc>
          <w:tcPr>
            <w:tcW w:w="1832" w:type="pct"/>
            <w:vMerge/>
            <w:vAlign w:val="center"/>
          </w:tcPr>
          <w:p w14:paraId="29A04061" w14:textId="77777777" w:rsidR="00727823" w:rsidRPr="00EA1BB2" w:rsidRDefault="00727823" w:rsidP="00727823">
            <w:pPr>
              <w:jc w:val="center"/>
              <w:rPr>
                <w:rFonts w:ascii="Cambria" w:hAnsi="Cambria"/>
                <w:sz w:val="24"/>
                <w:szCs w:val="24"/>
              </w:rPr>
            </w:pPr>
          </w:p>
        </w:tc>
        <w:tc>
          <w:tcPr>
            <w:tcW w:w="1668" w:type="pct"/>
            <w:vAlign w:val="center"/>
          </w:tcPr>
          <w:p w14:paraId="03D299F1" w14:textId="77777777" w:rsidR="00727823" w:rsidRPr="00EA1BB2" w:rsidRDefault="00727823" w:rsidP="00727823">
            <w:pPr>
              <w:jc w:val="center"/>
              <w:rPr>
                <w:rFonts w:ascii="Cambria" w:hAnsi="Cambria"/>
                <w:sz w:val="24"/>
                <w:szCs w:val="24"/>
              </w:rPr>
            </w:pPr>
            <w:r w:rsidRPr="00EA1BB2">
              <w:rPr>
                <w:rFonts w:ascii="Cambria" w:hAnsi="Cambria"/>
                <w:sz w:val="24"/>
                <w:szCs w:val="24"/>
              </w:rPr>
              <w:t>Surse mobile</w:t>
            </w:r>
          </w:p>
        </w:tc>
        <w:tc>
          <w:tcPr>
            <w:tcW w:w="1500" w:type="pct"/>
            <w:tcBorders>
              <w:top w:val="single" w:sz="4" w:space="0" w:color="auto"/>
              <w:left w:val="nil"/>
              <w:bottom w:val="single" w:sz="4" w:space="0" w:color="auto"/>
              <w:right w:val="single" w:sz="4" w:space="0" w:color="auto"/>
            </w:tcBorders>
            <w:shd w:val="clear" w:color="auto" w:fill="auto"/>
          </w:tcPr>
          <w:p w14:paraId="416857B7" w14:textId="77777777" w:rsidR="00727823" w:rsidRPr="00EA1BB2" w:rsidRDefault="00727823" w:rsidP="00727823">
            <w:pPr>
              <w:jc w:val="right"/>
              <w:rPr>
                <w:rFonts w:ascii="Cambria" w:hAnsi="Cambria"/>
                <w:color w:val="000000"/>
                <w:sz w:val="24"/>
                <w:szCs w:val="24"/>
              </w:rPr>
            </w:pPr>
            <w:r w:rsidRPr="00EA1BB2">
              <w:rPr>
                <w:rFonts w:ascii="Cambria" w:hAnsi="Cambria"/>
                <w:sz w:val="24"/>
                <w:szCs w:val="24"/>
              </w:rPr>
              <w:t>408,437471</w:t>
            </w:r>
          </w:p>
        </w:tc>
      </w:tr>
      <w:tr w:rsidR="00727823" w:rsidRPr="00EA1BB2" w14:paraId="3165A25B" w14:textId="77777777" w:rsidTr="00A424BD">
        <w:trPr>
          <w:trHeight w:val="182"/>
          <w:jc w:val="center"/>
        </w:trPr>
        <w:tc>
          <w:tcPr>
            <w:tcW w:w="1832" w:type="pct"/>
            <w:vMerge/>
            <w:vAlign w:val="center"/>
          </w:tcPr>
          <w:p w14:paraId="3FCFD241" w14:textId="77777777" w:rsidR="00727823" w:rsidRPr="00EA1BB2" w:rsidRDefault="00727823" w:rsidP="00727823">
            <w:pPr>
              <w:jc w:val="center"/>
              <w:rPr>
                <w:rFonts w:ascii="Cambria" w:hAnsi="Cambria"/>
                <w:sz w:val="24"/>
                <w:szCs w:val="24"/>
              </w:rPr>
            </w:pPr>
          </w:p>
        </w:tc>
        <w:tc>
          <w:tcPr>
            <w:tcW w:w="1668" w:type="pct"/>
            <w:vAlign w:val="center"/>
          </w:tcPr>
          <w:p w14:paraId="22C1DB03" w14:textId="77777777" w:rsidR="00727823" w:rsidRPr="00EA1BB2" w:rsidRDefault="00727823" w:rsidP="00727823">
            <w:pPr>
              <w:jc w:val="center"/>
              <w:rPr>
                <w:rFonts w:ascii="Cambria" w:hAnsi="Cambria"/>
                <w:sz w:val="24"/>
                <w:szCs w:val="24"/>
              </w:rPr>
            </w:pPr>
            <w:r w:rsidRPr="00EA1BB2">
              <w:rPr>
                <w:rFonts w:ascii="Cambria" w:hAnsi="Cambria"/>
                <w:sz w:val="24"/>
                <w:szCs w:val="24"/>
              </w:rPr>
              <w:t>Surse de suprafață</w:t>
            </w:r>
          </w:p>
        </w:tc>
        <w:tc>
          <w:tcPr>
            <w:tcW w:w="1500" w:type="pct"/>
            <w:tcBorders>
              <w:top w:val="single" w:sz="4" w:space="0" w:color="auto"/>
              <w:left w:val="nil"/>
              <w:bottom w:val="single" w:sz="4" w:space="0" w:color="auto"/>
              <w:right w:val="single" w:sz="4" w:space="0" w:color="auto"/>
            </w:tcBorders>
            <w:shd w:val="clear" w:color="auto" w:fill="auto"/>
          </w:tcPr>
          <w:p w14:paraId="01FBBBF0" w14:textId="77777777" w:rsidR="00727823" w:rsidRPr="00EA1BB2" w:rsidRDefault="00727823" w:rsidP="00727823">
            <w:pPr>
              <w:jc w:val="right"/>
              <w:rPr>
                <w:rFonts w:ascii="Cambria" w:hAnsi="Cambria"/>
                <w:color w:val="000000"/>
                <w:sz w:val="24"/>
                <w:szCs w:val="24"/>
                <w:highlight w:val="lightGray"/>
              </w:rPr>
            </w:pPr>
            <w:r w:rsidRPr="00EA1BB2">
              <w:rPr>
                <w:rFonts w:ascii="Cambria" w:hAnsi="Cambria"/>
                <w:sz w:val="24"/>
                <w:szCs w:val="24"/>
              </w:rPr>
              <w:t>35,064934</w:t>
            </w:r>
          </w:p>
        </w:tc>
      </w:tr>
      <w:tr w:rsidR="00727823" w:rsidRPr="00EA1BB2" w14:paraId="0EACBBBA" w14:textId="77777777" w:rsidTr="00A424BD">
        <w:trPr>
          <w:jc w:val="center"/>
        </w:trPr>
        <w:tc>
          <w:tcPr>
            <w:tcW w:w="1832" w:type="pct"/>
            <w:vMerge/>
            <w:vAlign w:val="center"/>
          </w:tcPr>
          <w:p w14:paraId="2312516F" w14:textId="77777777" w:rsidR="00727823" w:rsidRPr="00EA1BB2" w:rsidRDefault="00727823" w:rsidP="00727823">
            <w:pPr>
              <w:jc w:val="center"/>
              <w:rPr>
                <w:rFonts w:ascii="Cambria" w:hAnsi="Cambria"/>
                <w:sz w:val="24"/>
                <w:szCs w:val="24"/>
              </w:rPr>
            </w:pPr>
          </w:p>
        </w:tc>
        <w:tc>
          <w:tcPr>
            <w:tcW w:w="1668" w:type="pct"/>
            <w:vAlign w:val="center"/>
          </w:tcPr>
          <w:p w14:paraId="10CAC7AC" w14:textId="77777777" w:rsidR="00727823" w:rsidRPr="00EA1BB2" w:rsidRDefault="00727823" w:rsidP="00727823">
            <w:pPr>
              <w:jc w:val="center"/>
              <w:rPr>
                <w:rFonts w:ascii="Cambria" w:hAnsi="Cambria"/>
                <w:sz w:val="24"/>
                <w:szCs w:val="24"/>
              </w:rPr>
            </w:pPr>
            <w:r w:rsidRPr="00EA1BB2">
              <w:rPr>
                <w:rFonts w:ascii="Cambria" w:hAnsi="Cambria"/>
                <w:sz w:val="24"/>
                <w:szCs w:val="24"/>
              </w:rPr>
              <w:t>TOTAL</w:t>
            </w:r>
          </w:p>
        </w:tc>
        <w:tc>
          <w:tcPr>
            <w:tcW w:w="1500" w:type="pct"/>
            <w:tcBorders>
              <w:top w:val="single" w:sz="4" w:space="0" w:color="auto"/>
              <w:left w:val="nil"/>
              <w:bottom w:val="single" w:sz="4" w:space="0" w:color="auto"/>
              <w:right w:val="single" w:sz="4" w:space="0" w:color="auto"/>
            </w:tcBorders>
            <w:shd w:val="clear" w:color="auto" w:fill="auto"/>
          </w:tcPr>
          <w:p w14:paraId="4E5ADBBD" w14:textId="77777777" w:rsidR="00727823" w:rsidRPr="00EA1BB2" w:rsidRDefault="00727823" w:rsidP="00727823">
            <w:pPr>
              <w:jc w:val="right"/>
              <w:rPr>
                <w:rFonts w:ascii="Cambria" w:hAnsi="Cambria"/>
                <w:color w:val="000000"/>
                <w:sz w:val="24"/>
                <w:szCs w:val="24"/>
              </w:rPr>
            </w:pPr>
            <w:r w:rsidRPr="00EA1BB2">
              <w:rPr>
                <w:rFonts w:ascii="Cambria" w:hAnsi="Cambria"/>
                <w:sz w:val="24"/>
                <w:szCs w:val="24"/>
              </w:rPr>
              <w:t>460,406502</w:t>
            </w:r>
          </w:p>
        </w:tc>
      </w:tr>
      <w:tr w:rsidR="00727823" w:rsidRPr="00EA1BB2" w14:paraId="5EAC684E" w14:textId="77777777" w:rsidTr="00A424BD">
        <w:trPr>
          <w:jc w:val="center"/>
        </w:trPr>
        <w:tc>
          <w:tcPr>
            <w:tcW w:w="1832" w:type="pct"/>
            <w:vMerge w:val="restart"/>
            <w:vAlign w:val="center"/>
          </w:tcPr>
          <w:p w14:paraId="13AA8EC9" w14:textId="77777777" w:rsidR="00727823" w:rsidRPr="00EA1BB2" w:rsidRDefault="00727823" w:rsidP="00727823">
            <w:pPr>
              <w:jc w:val="center"/>
              <w:rPr>
                <w:rFonts w:ascii="Cambria" w:hAnsi="Cambria"/>
                <w:sz w:val="24"/>
                <w:szCs w:val="24"/>
              </w:rPr>
            </w:pPr>
            <w:r w:rsidRPr="00EA1BB2">
              <w:rPr>
                <w:rFonts w:ascii="Cambria" w:hAnsi="Cambria"/>
                <w:sz w:val="24"/>
                <w:szCs w:val="24"/>
              </w:rPr>
              <w:t>Pulb</w:t>
            </w:r>
            <w:r w:rsidR="00AF02E7" w:rsidRPr="00EA1BB2">
              <w:rPr>
                <w:rFonts w:ascii="Cambria" w:hAnsi="Cambria"/>
                <w:sz w:val="24"/>
                <w:szCs w:val="24"/>
              </w:rPr>
              <w:t>eri în suspensie PM</w:t>
            </w:r>
            <w:r w:rsidRPr="00EA1BB2">
              <w:rPr>
                <w:rFonts w:ascii="Cambria" w:hAnsi="Cambria"/>
                <w:sz w:val="24"/>
                <w:szCs w:val="24"/>
                <w:vertAlign w:val="subscript"/>
              </w:rPr>
              <w:t>10</w:t>
            </w:r>
            <w:r w:rsidR="00AF02E7" w:rsidRPr="00EA1BB2">
              <w:rPr>
                <w:rFonts w:ascii="Cambria" w:hAnsi="Cambria"/>
                <w:sz w:val="24"/>
                <w:szCs w:val="24"/>
              </w:rPr>
              <w:t>**</w:t>
            </w:r>
          </w:p>
        </w:tc>
        <w:tc>
          <w:tcPr>
            <w:tcW w:w="1668" w:type="pct"/>
            <w:vAlign w:val="center"/>
          </w:tcPr>
          <w:p w14:paraId="1134820D" w14:textId="77777777" w:rsidR="00727823" w:rsidRPr="00EA1BB2" w:rsidRDefault="00727823" w:rsidP="00727823">
            <w:pPr>
              <w:jc w:val="center"/>
              <w:rPr>
                <w:rFonts w:ascii="Cambria" w:hAnsi="Cambria"/>
                <w:sz w:val="24"/>
                <w:szCs w:val="24"/>
              </w:rPr>
            </w:pPr>
            <w:r w:rsidRPr="00EA1BB2">
              <w:rPr>
                <w:rFonts w:ascii="Cambria" w:hAnsi="Cambria"/>
                <w:sz w:val="24"/>
                <w:szCs w:val="24"/>
              </w:rPr>
              <w:t>Surse staționare</w:t>
            </w:r>
          </w:p>
        </w:tc>
        <w:tc>
          <w:tcPr>
            <w:tcW w:w="1500" w:type="pct"/>
            <w:tcBorders>
              <w:top w:val="single" w:sz="4" w:space="0" w:color="auto"/>
              <w:left w:val="nil"/>
              <w:bottom w:val="single" w:sz="4" w:space="0" w:color="auto"/>
              <w:right w:val="single" w:sz="4" w:space="0" w:color="auto"/>
            </w:tcBorders>
            <w:shd w:val="clear" w:color="auto" w:fill="auto"/>
          </w:tcPr>
          <w:p w14:paraId="266DD5B6" w14:textId="77777777" w:rsidR="00727823" w:rsidRPr="00EA1BB2" w:rsidRDefault="00727823" w:rsidP="00727823">
            <w:pPr>
              <w:jc w:val="right"/>
              <w:rPr>
                <w:rFonts w:ascii="Cambria" w:hAnsi="Cambria"/>
                <w:color w:val="000000"/>
                <w:sz w:val="24"/>
                <w:szCs w:val="24"/>
              </w:rPr>
            </w:pPr>
            <w:r w:rsidRPr="00EA1BB2">
              <w:rPr>
                <w:rFonts w:ascii="Cambria" w:hAnsi="Cambria"/>
                <w:sz w:val="24"/>
                <w:szCs w:val="24"/>
              </w:rPr>
              <w:t>504,248796</w:t>
            </w:r>
          </w:p>
        </w:tc>
      </w:tr>
      <w:tr w:rsidR="00727823" w:rsidRPr="00EA1BB2" w14:paraId="5F776151" w14:textId="77777777" w:rsidTr="00A424BD">
        <w:trPr>
          <w:jc w:val="center"/>
        </w:trPr>
        <w:tc>
          <w:tcPr>
            <w:tcW w:w="1832" w:type="pct"/>
            <w:vMerge/>
            <w:vAlign w:val="center"/>
          </w:tcPr>
          <w:p w14:paraId="172A533A" w14:textId="77777777" w:rsidR="00727823" w:rsidRPr="00EA1BB2" w:rsidRDefault="00727823" w:rsidP="00727823">
            <w:pPr>
              <w:jc w:val="center"/>
              <w:rPr>
                <w:rFonts w:ascii="Cambria" w:hAnsi="Cambria"/>
                <w:sz w:val="24"/>
                <w:szCs w:val="24"/>
              </w:rPr>
            </w:pPr>
          </w:p>
        </w:tc>
        <w:tc>
          <w:tcPr>
            <w:tcW w:w="1668" w:type="pct"/>
            <w:vAlign w:val="center"/>
          </w:tcPr>
          <w:p w14:paraId="4DC79835" w14:textId="77777777" w:rsidR="00727823" w:rsidRPr="00EA1BB2" w:rsidRDefault="00727823" w:rsidP="00727823">
            <w:pPr>
              <w:jc w:val="center"/>
              <w:rPr>
                <w:rFonts w:ascii="Cambria" w:hAnsi="Cambria"/>
                <w:sz w:val="24"/>
                <w:szCs w:val="24"/>
              </w:rPr>
            </w:pPr>
            <w:r w:rsidRPr="00EA1BB2">
              <w:rPr>
                <w:rFonts w:ascii="Cambria" w:hAnsi="Cambria"/>
                <w:sz w:val="24"/>
                <w:szCs w:val="24"/>
              </w:rPr>
              <w:t>Surse mobile</w:t>
            </w:r>
          </w:p>
        </w:tc>
        <w:tc>
          <w:tcPr>
            <w:tcW w:w="1500" w:type="pct"/>
            <w:tcBorders>
              <w:top w:val="single" w:sz="4" w:space="0" w:color="auto"/>
              <w:left w:val="nil"/>
              <w:bottom w:val="single" w:sz="4" w:space="0" w:color="auto"/>
              <w:right w:val="single" w:sz="4" w:space="0" w:color="auto"/>
            </w:tcBorders>
            <w:shd w:val="clear" w:color="auto" w:fill="auto"/>
          </w:tcPr>
          <w:p w14:paraId="7D2715AC" w14:textId="77777777" w:rsidR="00727823" w:rsidRPr="00EA1BB2" w:rsidRDefault="00727823" w:rsidP="00727823">
            <w:pPr>
              <w:jc w:val="right"/>
              <w:rPr>
                <w:rFonts w:ascii="Cambria" w:hAnsi="Cambria"/>
                <w:sz w:val="24"/>
                <w:szCs w:val="24"/>
              </w:rPr>
            </w:pPr>
            <w:r w:rsidRPr="00EA1BB2">
              <w:rPr>
                <w:rFonts w:ascii="Cambria" w:hAnsi="Cambria"/>
                <w:sz w:val="24"/>
                <w:szCs w:val="24"/>
              </w:rPr>
              <w:t>42,500322</w:t>
            </w:r>
          </w:p>
        </w:tc>
      </w:tr>
      <w:tr w:rsidR="00727823" w:rsidRPr="00EA1BB2" w14:paraId="3CB8FA6E" w14:textId="77777777" w:rsidTr="00A424BD">
        <w:trPr>
          <w:jc w:val="center"/>
        </w:trPr>
        <w:tc>
          <w:tcPr>
            <w:tcW w:w="1832" w:type="pct"/>
            <w:vMerge/>
            <w:vAlign w:val="center"/>
          </w:tcPr>
          <w:p w14:paraId="01DD47C2" w14:textId="77777777" w:rsidR="00727823" w:rsidRPr="00EA1BB2" w:rsidRDefault="00727823" w:rsidP="00727823">
            <w:pPr>
              <w:jc w:val="center"/>
              <w:rPr>
                <w:rFonts w:ascii="Cambria" w:hAnsi="Cambria"/>
                <w:sz w:val="24"/>
                <w:szCs w:val="24"/>
              </w:rPr>
            </w:pPr>
          </w:p>
        </w:tc>
        <w:tc>
          <w:tcPr>
            <w:tcW w:w="1668" w:type="pct"/>
            <w:vAlign w:val="center"/>
          </w:tcPr>
          <w:p w14:paraId="21167D19" w14:textId="77777777" w:rsidR="00727823" w:rsidRPr="00EA1BB2" w:rsidRDefault="00727823" w:rsidP="00727823">
            <w:pPr>
              <w:jc w:val="center"/>
              <w:rPr>
                <w:rFonts w:ascii="Cambria" w:hAnsi="Cambria"/>
                <w:sz w:val="24"/>
                <w:szCs w:val="24"/>
              </w:rPr>
            </w:pPr>
            <w:r w:rsidRPr="00EA1BB2">
              <w:rPr>
                <w:rFonts w:ascii="Cambria" w:hAnsi="Cambria"/>
                <w:sz w:val="24"/>
                <w:szCs w:val="24"/>
              </w:rPr>
              <w:t>Surse de suprafață</w:t>
            </w:r>
          </w:p>
        </w:tc>
        <w:tc>
          <w:tcPr>
            <w:tcW w:w="1500" w:type="pct"/>
            <w:tcBorders>
              <w:top w:val="single" w:sz="4" w:space="0" w:color="auto"/>
              <w:left w:val="nil"/>
              <w:bottom w:val="single" w:sz="4" w:space="0" w:color="auto"/>
              <w:right w:val="single" w:sz="4" w:space="0" w:color="auto"/>
            </w:tcBorders>
            <w:shd w:val="clear" w:color="auto" w:fill="auto"/>
          </w:tcPr>
          <w:p w14:paraId="76C9F495" w14:textId="77777777" w:rsidR="00727823" w:rsidRPr="00EA1BB2" w:rsidRDefault="00727823" w:rsidP="00727823">
            <w:pPr>
              <w:jc w:val="right"/>
              <w:rPr>
                <w:rFonts w:ascii="Cambria" w:hAnsi="Cambria"/>
                <w:sz w:val="24"/>
                <w:szCs w:val="24"/>
              </w:rPr>
            </w:pPr>
            <w:r w:rsidRPr="00EA1BB2">
              <w:rPr>
                <w:rFonts w:ascii="Cambria" w:hAnsi="Cambria"/>
                <w:sz w:val="24"/>
                <w:szCs w:val="24"/>
              </w:rPr>
              <w:t>266,686757</w:t>
            </w:r>
          </w:p>
        </w:tc>
      </w:tr>
      <w:tr w:rsidR="00727823" w:rsidRPr="00EA1BB2" w14:paraId="09451DA1" w14:textId="77777777" w:rsidTr="00A424BD">
        <w:trPr>
          <w:jc w:val="center"/>
        </w:trPr>
        <w:tc>
          <w:tcPr>
            <w:tcW w:w="1832" w:type="pct"/>
            <w:vMerge/>
            <w:vAlign w:val="center"/>
          </w:tcPr>
          <w:p w14:paraId="1F6C2302" w14:textId="77777777" w:rsidR="00727823" w:rsidRPr="00EA1BB2" w:rsidRDefault="00727823" w:rsidP="00727823">
            <w:pPr>
              <w:jc w:val="center"/>
              <w:rPr>
                <w:rFonts w:ascii="Cambria" w:hAnsi="Cambria"/>
                <w:sz w:val="24"/>
                <w:szCs w:val="24"/>
              </w:rPr>
            </w:pPr>
          </w:p>
        </w:tc>
        <w:tc>
          <w:tcPr>
            <w:tcW w:w="1668" w:type="pct"/>
            <w:vAlign w:val="center"/>
          </w:tcPr>
          <w:p w14:paraId="1287BD6D" w14:textId="77777777" w:rsidR="00727823" w:rsidRPr="00EA1BB2" w:rsidRDefault="00727823" w:rsidP="00727823">
            <w:pPr>
              <w:jc w:val="center"/>
              <w:rPr>
                <w:rFonts w:ascii="Cambria" w:hAnsi="Cambria"/>
                <w:sz w:val="24"/>
                <w:szCs w:val="24"/>
              </w:rPr>
            </w:pPr>
            <w:r w:rsidRPr="00EA1BB2">
              <w:rPr>
                <w:rFonts w:ascii="Cambria" w:hAnsi="Cambria"/>
                <w:sz w:val="24"/>
                <w:szCs w:val="24"/>
              </w:rPr>
              <w:t>TOTAL</w:t>
            </w:r>
          </w:p>
        </w:tc>
        <w:tc>
          <w:tcPr>
            <w:tcW w:w="1500" w:type="pct"/>
            <w:tcBorders>
              <w:top w:val="single" w:sz="4" w:space="0" w:color="auto"/>
              <w:left w:val="nil"/>
              <w:bottom w:val="single" w:sz="4" w:space="0" w:color="auto"/>
              <w:right w:val="single" w:sz="4" w:space="0" w:color="auto"/>
            </w:tcBorders>
            <w:shd w:val="clear" w:color="auto" w:fill="auto"/>
          </w:tcPr>
          <w:p w14:paraId="7C7AACD3" w14:textId="77777777" w:rsidR="00727823" w:rsidRPr="00EA1BB2" w:rsidRDefault="00727823" w:rsidP="00727823">
            <w:pPr>
              <w:jc w:val="right"/>
              <w:rPr>
                <w:rFonts w:ascii="Cambria" w:hAnsi="Cambria"/>
                <w:sz w:val="24"/>
                <w:szCs w:val="24"/>
              </w:rPr>
            </w:pPr>
            <w:r w:rsidRPr="00EA1BB2">
              <w:rPr>
                <w:rFonts w:ascii="Cambria" w:hAnsi="Cambria"/>
                <w:sz w:val="24"/>
                <w:szCs w:val="24"/>
              </w:rPr>
              <w:t>813,329548</w:t>
            </w:r>
          </w:p>
        </w:tc>
      </w:tr>
      <w:tr w:rsidR="00727823" w:rsidRPr="00EA1BB2" w14:paraId="45AC7925" w14:textId="77777777" w:rsidTr="00A424BD">
        <w:trPr>
          <w:jc w:val="center"/>
        </w:trPr>
        <w:tc>
          <w:tcPr>
            <w:tcW w:w="1832" w:type="pct"/>
            <w:vMerge w:val="restart"/>
            <w:vAlign w:val="center"/>
          </w:tcPr>
          <w:p w14:paraId="3B8E7072" w14:textId="77777777" w:rsidR="00727823" w:rsidRPr="00EA1BB2" w:rsidRDefault="00AF02E7" w:rsidP="00727823">
            <w:pPr>
              <w:jc w:val="center"/>
              <w:rPr>
                <w:rFonts w:ascii="Cambria" w:hAnsi="Cambria"/>
                <w:sz w:val="24"/>
                <w:szCs w:val="24"/>
                <w:highlight w:val="yellow"/>
              </w:rPr>
            </w:pPr>
            <w:r w:rsidRPr="00EA1BB2">
              <w:rPr>
                <w:rFonts w:ascii="Cambria" w:hAnsi="Cambria"/>
                <w:sz w:val="24"/>
                <w:szCs w:val="24"/>
              </w:rPr>
              <w:t>Pulberi în suspensie PM</w:t>
            </w:r>
            <w:r w:rsidRPr="00EA1BB2">
              <w:rPr>
                <w:rFonts w:ascii="Cambria" w:hAnsi="Cambria"/>
                <w:sz w:val="24"/>
                <w:szCs w:val="24"/>
                <w:vertAlign w:val="subscript"/>
              </w:rPr>
              <w:t>2,5</w:t>
            </w:r>
            <w:r w:rsidRPr="00EA1BB2">
              <w:rPr>
                <w:rFonts w:ascii="Cambria" w:hAnsi="Cambria"/>
                <w:sz w:val="24"/>
                <w:szCs w:val="24"/>
              </w:rPr>
              <w:t>**</w:t>
            </w:r>
          </w:p>
        </w:tc>
        <w:tc>
          <w:tcPr>
            <w:tcW w:w="1668" w:type="pct"/>
            <w:vAlign w:val="center"/>
          </w:tcPr>
          <w:p w14:paraId="627C9FC7" w14:textId="77777777" w:rsidR="00727823" w:rsidRPr="00EA1BB2" w:rsidRDefault="00727823" w:rsidP="00727823">
            <w:pPr>
              <w:jc w:val="center"/>
              <w:rPr>
                <w:rFonts w:ascii="Cambria" w:hAnsi="Cambria"/>
                <w:sz w:val="24"/>
                <w:szCs w:val="24"/>
              </w:rPr>
            </w:pPr>
            <w:r w:rsidRPr="00EA1BB2">
              <w:rPr>
                <w:rFonts w:ascii="Cambria" w:hAnsi="Cambria"/>
                <w:sz w:val="24"/>
                <w:szCs w:val="24"/>
              </w:rPr>
              <w:t>Surse staționare</w:t>
            </w:r>
          </w:p>
        </w:tc>
        <w:tc>
          <w:tcPr>
            <w:tcW w:w="1500" w:type="pct"/>
            <w:tcBorders>
              <w:top w:val="single" w:sz="4" w:space="0" w:color="auto"/>
              <w:left w:val="nil"/>
              <w:bottom w:val="single" w:sz="4" w:space="0" w:color="auto"/>
              <w:right w:val="single" w:sz="4" w:space="0" w:color="auto"/>
            </w:tcBorders>
            <w:shd w:val="clear" w:color="auto" w:fill="auto"/>
          </w:tcPr>
          <w:p w14:paraId="620A7161" w14:textId="77777777" w:rsidR="00727823" w:rsidRPr="00EA1BB2" w:rsidRDefault="00727823" w:rsidP="00727823">
            <w:pPr>
              <w:jc w:val="right"/>
              <w:rPr>
                <w:rFonts w:ascii="Cambria" w:hAnsi="Cambria"/>
                <w:sz w:val="24"/>
                <w:szCs w:val="24"/>
              </w:rPr>
            </w:pPr>
            <w:r w:rsidRPr="00EA1BB2">
              <w:rPr>
                <w:rFonts w:ascii="Cambria" w:hAnsi="Cambria"/>
                <w:sz w:val="24"/>
                <w:szCs w:val="24"/>
              </w:rPr>
              <w:t>126,374702</w:t>
            </w:r>
          </w:p>
        </w:tc>
      </w:tr>
      <w:tr w:rsidR="00727823" w:rsidRPr="00EA1BB2" w14:paraId="71B9A6BF" w14:textId="77777777" w:rsidTr="00A424BD">
        <w:trPr>
          <w:jc w:val="center"/>
        </w:trPr>
        <w:tc>
          <w:tcPr>
            <w:tcW w:w="1832" w:type="pct"/>
            <w:vMerge/>
            <w:vAlign w:val="center"/>
          </w:tcPr>
          <w:p w14:paraId="04B0514B" w14:textId="77777777" w:rsidR="00727823" w:rsidRPr="00EA1BB2" w:rsidRDefault="00727823" w:rsidP="00727823">
            <w:pPr>
              <w:jc w:val="center"/>
              <w:rPr>
                <w:rFonts w:ascii="Cambria" w:hAnsi="Cambria"/>
                <w:sz w:val="24"/>
                <w:szCs w:val="24"/>
              </w:rPr>
            </w:pPr>
          </w:p>
        </w:tc>
        <w:tc>
          <w:tcPr>
            <w:tcW w:w="1668" w:type="pct"/>
            <w:vAlign w:val="center"/>
          </w:tcPr>
          <w:p w14:paraId="7B2B5D58" w14:textId="77777777" w:rsidR="00727823" w:rsidRPr="00EA1BB2" w:rsidRDefault="00727823" w:rsidP="00727823">
            <w:pPr>
              <w:jc w:val="center"/>
              <w:rPr>
                <w:rFonts w:ascii="Cambria" w:hAnsi="Cambria"/>
                <w:sz w:val="24"/>
                <w:szCs w:val="24"/>
              </w:rPr>
            </w:pPr>
            <w:r w:rsidRPr="00EA1BB2">
              <w:rPr>
                <w:rFonts w:ascii="Cambria" w:hAnsi="Cambria"/>
                <w:sz w:val="24"/>
                <w:szCs w:val="24"/>
              </w:rPr>
              <w:t>Surse mobile</w:t>
            </w:r>
          </w:p>
        </w:tc>
        <w:tc>
          <w:tcPr>
            <w:tcW w:w="1500" w:type="pct"/>
            <w:tcBorders>
              <w:top w:val="single" w:sz="4" w:space="0" w:color="auto"/>
              <w:left w:val="nil"/>
              <w:bottom w:val="single" w:sz="4" w:space="0" w:color="auto"/>
              <w:right w:val="single" w:sz="4" w:space="0" w:color="auto"/>
            </w:tcBorders>
            <w:shd w:val="clear" w:color="auto" w:fill="auto"/>
          </w:tcPr>
          <w:p w14:paraId="49A8F486" w14:textId="77777777" w:rsidR="00727823" w:rsidRPr="00EA1BB2" w:rsidRDefault="00727823" w:rsidP="00727823">
            <w:pPr>
              <w:jc w:val="right"/>
              <w:rPr>
                <w:rFonts w:ascii="Cambria" w:hAnsi="Cambria"/>
                <w:sz w:val="24"/>
                <w:szCs w:val="24"/>
              </w:rPr>
            </w:pPr>
            <w:r w:rsidRPr="00EA1BB2">
              <w:rPr>
                <w:rFonts w:ascii="Cambria" w:hAnsi="Cambria"/>
                <w:sz w:val="24"/>
                <w:szCs w:val="24"/>
              </w:rPr>
              <w:t>35,816992</w:t>
            </w:r>
          </w:p>
        </w:tc>
      </w:tr>
      <w:tr w:rsidR="00727823" w:rsidRPr="00EA1BB2" w14:paraId="2B8E75C8" w14:textId="77777777" w:rsidTr="00A424BD">
        <w:trPr>
          <w:jc w:val="center"/>
        </w:trPr>
        <w:tc>
          <w:tcPr>
            <w:tcW w:w="1832" w:type="pct"/>
            <w:vMerge/>
            <w:vAlign w:val="center"/>
          </w:tcPr>
          <w:p w14:paraId="7A3EE711" w14:textId="77777777" w:rsidR="00727823" w:rsidRPr="00EA1BB2" w:rsidRDefault="00727823" w:rsidP="00727823">
            <w:pPr>
              <w:jc w:val="center"/>
              <w:rPr>
                <w:rFonts w:ascii="Cambria" w:hAnsi="Cambria"/>
                <w:sz w:val="24"/>
                <w:szCs w:val="24"/>
              </w:rPr>
            </w:pPr>
          </w:p>
        </w:tc>
        <w:tc>
          <w:tcPr>
            <w:tcW w:w="1668" w:type="pct"/>
            <w:vAlign w:val="center"/>
          </w:tcPr>
          <w:p w14:paraId="5A3376C7" w14:textId="77777777" w:rsidR="00727823" w:rsidRPr="00EA1BB2" w:rsidRDefault="00727823" w:rsidP="00727823">
            <w:pPr>
              <w:jc w:val="center"/>
              <w:rPr>
                <w:rFonts w:ascii="Cambria" w:hAnsi="Cambria"/>
                <w:sz w:val="24"/>
                <w:szCs w:val="24"/>
              </w:rPr>
            </w:pPr>
            <w:r w:rsidRPr="00EA1BB2">
              <w:rPr>
                <w:rFonts w:ascii="Cambria" w:hAnsi="Cambria"/>
                <w:sz w:val="24"/>
                <w:szCs w:val="24"/>
              </w:rPr>
              <w:t>Surse de suprafață</w:t>
            </w:r>
          </w:p>
        </w:tc>
        <w:tc>
          <w:tcPr>
            <w:tcW w:w="1500" w:type="pct"/>
            <w:tcBorders>
              <w:top w:val="single" w:sz="4" w:space="0" w:color="auto"/>
              <w:left w:val="nil"/>
              <w:bottom w:val="single" w:sz="4" w:space="0" w:color="auto"/>
              <w:right w:val="single" w:sz="4" w:space="0" w:color="auto"/>
            </w:tcBorders>
            <w:shd w:val="clear" w:color="auto" w:fill="auto"/>
          </w:tcPr>
          <w:p w14:paraId="03609706" w14:textId="77777777" w:rsidR="00727823" w:rsidRPr="00EA1BB2" w:rsidRDefault="00727823" w:rsidP="00727823">
            <w:pPr>
              <w:jc w:val="right"/>
              <w:rPr>
                <w:rFonts w:ascii="Cambria" w:hAnsi="Cambria"/>
                <w:color w:val="000000"/>
                <w:sz w:val="24"/>
                <w:szCs w:val="24"/>
              </w:rPr>
            </w:pPr>
            <w:r w:rsidRPr="00EA1BB2">
              <w:rPr>
                <w:rFonts w:ascii="Cambria" w:hAnsi="Cambria"/>
                <w:sz w:val="24"/>
                <w:szCs w:val="24"/>
              </w:rPr>
              <w:t>204,699478</w:t>
            </w:r>
          </w:p>
        </w:tc>
      </w:tr>
      <w:tr w:rsidR="00727823" w:rsidRPr="00EA1BB2" w14:paraId="0CFDC278" w14:textId="77777777" w:rsidTr="00A424BD">
        <w:trPr>
          <w:jc w:val="center"/>
        </w:trPr>
        <w:tc>
          <w:tcPr>
            <w:tcW w:w="1832" w:type="pct"/>
            <w:vMerge/>
            <w:vAlign w:val="center"/>
          </w:tcPr>
          <w:p w14:paraId="134940C4" w14:textId="77777777" w:rsidR="00727823" w:rsidRPr="00EA1BB2" w:rsidRDefault="00727823" w:rsidP="00727823">
            <w:pPr>
              <w:jc w:val="center"/>
              <w:rPr>
                <w:rFonts w:ascii="Cambria" w:hAnsi="Cambria"/>
                <w:sz w:val="24"/>
                <w:szCs w:val="24"/>
              </w:rPr>
            </w:pPr>
          </w:p>
        </w:tc>
        <w:tc>
          <w:tcPr>
            <w:tcW w:w="1668" w:type="pct"/>
            <w:vAlign w:val="center"/>
          </w:tcPr>
          <w:p w14:paraId="7C466123" w14:textId="77777777" w:rsidR="00727823" w:rsidRPr="00EA1BB2" w:rsidRDefault="00727823" w:rsidP="00727823">
            <w:pPr>
              <w:jc w:val="center"/>
              <w:rPr>
                <w:rFonts w:ascii="Cambria" w:hAnsi="Cambria"/>
                <w:sz w:val="24"/>
                <w:szCs w:val="24"/>
              </w:rPr>
            </w:pPr>
            <w:r w:rsidRPr="00EA1BB2">
              <w:rPr>
                <w:rFonts w:ascii="Cambria" w:hAnsi="Cambria"/>
                <w:sz w:val="24"/>
                <w:szCs w:val="24"/>
              </w:rPr>
              <w:t>TOTAL</w:t>
            </w:r>
          </w:p>
        </w:tc>
        <w:tc>
          <w:tcPr>
            <w:tcW w:w="1500" w:type="pct"/>
            <w:tcBorders>
              <w:top w:val="single" w:sz="4" w:space="0" w:color="auto"/>
              <w:left w:val="nil"/>
              <w:bottom w:val="single" w:sz="4" w:space="0" w:color="auto"/>
              <w:right w:val="single" w:sz="4" w:space="0" w:color="auto"/>
            </w:tcBorders>
            <w:shd w:val="clear" w:color="auto" w:fill="auto"/>
          </w:tcPr>
          <w:p w14:paraId="330975ED" w14:textId="77777777" w:rsidR="00727823" w:rsidRPr="00EA1BB2" w:rsidRDefault="00727823" w:rsidP="00727823">
            <w:pPr>
              <w:jc w:val="right"/>
              <w:rPr>
                <w:rFonts w:ascii="Cambria" w:hAnsi="Cambria"/>
                <w:color w:val="000000"/>
                <w:sz w:val="24"/>
                <w:szCs w:val="24"/>
              </w:rPr>
            </w:pPr>
            <w:r w:rsidRPr="00EA1BB2">
              <w:rPr>
                <w:rFonts w:ascii="Cambria" w:hAnsi="Cambria"/>
                <w:sz w:val="24"/>
                <w:szCs w:val="24"/>
              </w:rPr>
              <w:t>366,799021</w:t>
            </w:r>
          </w:p>
        </w:tc>
      </w:tr>
      <w:tr w:rsidR="00727823" w:rsidRPr="00EA1BB2" w14:paraId="5F8D1049" w14:textId="77777777" w:rsidTr="00A424BD">
        <w:trPr>
          <w:jc w:val="center"/>
        </w:trPr>
        <w:tc>
          <w:tcPr>
            <w:tcW w:w="1832" w:type="pct"/>
            <w:vMerge w:val="restart"/>
            <w:vAlign w:val="center"/>
          </w:tcPr>
          <w:p w14:paraId="7E1A2000" w14:textId="77777777" w:rsidR="00727823" w:rsidRPr="00EA1BB2" w:rsidRDefault="00727823" w:rsidP="00727823">
            <w:pPr>
              <w:jc w:val="center"/>
              <w:rPr>
                <w:rFonts w:ascii="Cambria" w:hAnsi="Cambria"/>
                <w:sz w:val="24"/>
                <w:szCs w:val="24"/>
              </w:rPr>
            </w:pPr>
            <w:r w:rsidRPr="00EA1BB2">
              <w:rPr>
                <w:rFonts w:ascii="Cambria" w:hAnsi="Cambria"/>
                <w:sz w:val="24"/>
                <w:szCs w:val="24"/>
              </w:rPr>
              <w:t>Benzen (C</w:t>
            </w:r>
            <w:r w:rsidRPr="00EA1BB2">
              <w:rPr>
                <w:rFonts w:ascii="Cambria" w:hAnsi="Cambria"/>
                <w:sz w:val="24"/>
                <w:szCs w:val="24"/>
                <w:vertAlign w:val="subscript"/>
              </w:rPr>
              <w:t>6</w:t>
            </w:r>
            <w:r w:rsidRPr="00EA1BB2">
              <w:rPr>
                <w:rFonts w:ascii="Cambria" w:hAnsi="Cambria"/>
                <w:sz w:val="24"/>
                <w:szCs w:val="24"/>
              </w:rPr>
              <w:t>H</w:t>
            </w:r>
            <w:r w:rsidRPr="00EA1BB2">
              <w:rPr>
                <w:rFonts w:ascii="Cambria" w:hAnsi="Cambria"/>
                <w:sz w:val="24"/>
                <w:szCs w:val="24"/>
                <w:vertAlign w:val="subscript"/>
              </w:rPr>
              <w:t>6</w:t>
            </w:r>
            <w:r w:rsidRPr="00EA1BB2">
              <w:rPr>
                <w:rFonts w:ascii="Cambria" w:hAnsi="Cambria"/>
                <w:sz w:val="24"/>
                <w:szCs w:val="24"/>
              </w:rPr>
              <w:t>)</w:t>
            </w:r>
            <w:r w:rsidR="007D3F70" w:rsidRPr="00EA1BB2">
              <w:rPr>
                <w:rFonts w:ascii="Cambria" w:hAnsi="Cambria"/>
                <w:sz w:val="24"/>
                <w:szCs w:val="24"/>
              </w:rPr>
              <w:t>***</w:t>
            </w:r>
          </w:p>
        </w:tc>
        <w:tc>
          <w:tcPr>
            <w:tcW w:w="1668" w:type="pct"/>
            <w:vAlign w:val="center"/>
          </w:tcPr>
          <w:p w14:paraId="4B4A98DC" w14:textId="77777777" w:rsidR="00727823" w:rsidRPr="00EA1BB2" w:rsidRDefault="00727823" w:rsidP="00727823">
            <w:pPr>
              <w:jc w:val="center"/>
              <w:rPr>
                <w:rFonts w:ascii="Cambria" w:hAnsi="Cambria"/>
                <w:sz w:val="24"/>
                <w:szCs w:val="24"/>
              </w:rPr>
            </w:pPr>
            <w:r w:rsidRPr="00EA1BB2">
              <w:rPr>
                <w:rFonts w:ascii="Cambria" w:hAnsi="Cambria"/>
                <w:sz w:val="24"/>
                <w:szCs w:val="24"/>
              </w:rPr>
              <w:t>Surse staționare</w:t>
            </w:r>
          </w:p>
        </w:tc>
        <w:tc>
          <w:tcPr>
            <w:tcW w:w="1500" w:type="pct"/>
            <w:tcBorders>
              <w:top w:val="single" w:sz="4" w:space="0" w:color="auto"/>
              <w:left w:val="nil"/>
              <w:bottom w:val="single" w:sz="4" w:space="0" w:color="auto"/>
              <w:right w:val="single" w:sz="4" w:space="0" w:color="auto"/>
            </w:tcBorders>
            <w:shd w:val="clear" w:color="auto" w:fill="auto"/>
          </w:tcPr>
          <w:p w14:paraId="07D70951" w14:textId="77777777" w:rsidR="00727823" w:rsidRPr="00EA1BB2" w:rsidRDefault="007D3F70" w:rsidP="00727823">
            <w:pPr>
              <w:jc w:val="right"/>
              <w:rPr>
                <w:rFonts w:ascii="Cambria" w:hAnsi="Cambria"/>
                <w:color w:val="000000"/>
                <w:sz w:val="24"/>
                <w:szCs w:val="24"/>
              </w:rPr>
            </w:pPr>
            <w:r w:rsidRPr="00EA1BB2">
              <w:rPr>
                <w:rFonts w:ascii="Cambria" w:hAnsi="Cambria"/>
                <w:color w:val="000000"/>
                <w:sz w:val="24"/>
                <w:szCs w:val="24"/>
              </w:rPr>
              <w:t>0</w:t>
            </w:r>
          </w:p>
        </w:tc>
      </w:tr>
      <w:tr w:rsidR="00727823" w:rsidRPr="00EA1BB2" w14:paraId="7DBFA117" w14:textId="77777777" w:rsidTr="00A424BD">
        <w:trPr>
          <w:jc w:val="center"/>
        </w:trPr>
        <w:tc>
          <w:tcPr>
            <w:tcW w:w="1832" w:type="pct"/>
            <w:vMerge/>
            <w:vAlign w:val="center"/>
          </w:tcPr>
          <w:p w14:paraId="41B6B2A3" w14:textId="77777777" w:rsidR="00727823" w:rsidRPr="00EA1BB2" w:rsidRDefault="00727823" w:rsidP="00727823">
            <w:pPr>
              <w:jc w:val="center"/>
              <w:rPr>
                <w:rFonts w:ascii="Cambria" w:hAnsi="Cambria"/>
                <w:sz w:val="24"/>
                <w:szCs w:val="24"/>
              </w:rPr>
            </w:pPr>
          </w:p>
        </w:tc>
        <w:tc>
          <w:tcPr>
            <w:tcW w:w="1668" w:type="pct"/>
            <w:vAlign w:val="center"/>
          </w:tcPr>
          <w:p w14:paraId="18EFE332" w14:textId="77777777" w:rsidR="00727823" w:rsidRPr="00EA1BB2" w:rsidRDefault="00727823" w:rsidP="00727823">
            <w:pPr>
              <w:jc w:val="center"/>
              <w:rPr>
                <w:rFonts w:ascii="Cambria" w:hAnsi="Cambria"/>
                <w:sz w:val="24"/>
                <w:szCs w:val="24"/>
              </w:rPr>
            </w:pPr>
            <w:r w:rsidRPr="00EA1BB2">
              <w:rPr>
                <w:rFonts w:ascii="Cambria" w:hAnsi="Cambria"/>
                <w:sz w:val="24"/>
                <w:szCs w:val="24"/>
              </w:rPr>
              <w:t>Surse mobile</w:t>
            </w:r>
          </w:p>
        </w:tc>
        <w:tc>
          <w:tcPr>
            <w:tcW w:w="1500" w:type="pct"/>
            <w:tcBorders>
              <w:top w:val="single" w:sz="4" w:space="0" w:color="auto"/>
              <w:left w:val="nil"/>
              <w:bottom w:val="single" w:sz="4" w:space="0" w:color="auto"/>
              <w:right w:val="single" w:sz="4" w:space="0" w:color="auto"/>
            </w:tcBorders>
            <w:shd w:val="clear" w:color="auto" w:fill="auto"/>
          </w:tcPr>
          <w:p w14:paraId="45EBAFAF" w14:textId="77777777" w:rsidR="00727823" w:rsidRPr="00EA1BB2" w:rsidRDefault="007D3F70" w:rsidP="00727823">
            <w:pPr>
              <w:jc w:val="right"/>
              <w:rPr>
                <w:rFonts w:ascii="Cambria" w:hAnsi="Cambria"/>
                <w:color w:val="000000"/>
                <w:sz w:val="24"/>
                <w:szCs w:val="24"/>
              </w:rPr>
            </w:pPr>
            <w:r w:rsidRPr="00EA1BB2">
              <w:rPr>
                <w:rFonts w:ascii="Cambria" w:hAnsi="Cambria"/>
                <w:color w:val="000000"/>
                <w:sz w:val="24"/>
                <w:szCs w:val="24"/>
              </w:rPr>
              <w:t>15,951</w:t>
            </w:r>
          </w:p>
        </w:tc>
      </w:tr>
      <w:tr w:rsidR="00727823" w:rsidRPr="00EA1BB2" w14:paraId="6FAA7FED" w14:textId="77777777" w:rsidTr="00A424BD">
        <w:trPr>
          <w:jc w:val="center"/>
        </w:trPr>
        <w:tc>
          <w:tcPr>
            <w:tcW w:w="1832" w:type="pct"/>
            <w:vMerge/>
            <w:vAlign w:val="center"/>
          </w:tcPr>
          <w:p w14:paraId="3B93EB5D" w14:textId="77777777" w:rsidR="00727823" w:rsidRPr="00EA1BB2" w:rsidRDefault="00727823" w:rsidP="00727823">
            <w:pPr>
              <w:jc w:val="center"/>
              <w:rPr>
                <w:rFonts w:ascii="Cambria" w:hAnsi="Cambria"/>
                <w:sz w:val="24"/>
                <w:szCs w:val="24"/>
              </w:rPr>
            </w:pPr>
          </w:p>
        </w:tc>
        <w:tc>
          <w:tcPr>
            <w:tcW w:w="1668" w:type="pct"/>
            <w:vAlign w:val="center"/>
          </w:tcPr>
          <w:p w14:paraId="34B919F0" w14:textId="77777777" w:rsidR="00727823" w:rsidRPr="00EA1BB2" w:rsidRDefault="00727823" w:rsidP="00727823">
            <w:pPr>
              <w:jc w:val="center"/>
              <w:rPr>
                <w:rFonts w:ascii="Cambria" w:hAnsi="Cambria"/>
                <w:sz w:val="24"/>
                <w:szCs w:val="24"/>
              </w:rPr>
            </w:pPr>
            <w:r w:rsidRPr="00EA1BB2">
              <w:rPr>
                <w:rFonts w:ascii="Cambria" w:hAnsi="Cambria"/>
                <w:sz w:val="24"/>
                <w:szCs w:val="24"/>
              </w:rPr>
              <w:t>Surse de suprafață</w:t>
            </w:r>
          </w:p>
        </w:tc>
        <w:tc>
          <w:tcPr>
            <w:tcW w:w="1500" w:type="pct"/>
            <w:tcBorders>
              <w:top w:val="single" w:sz="4" w:space="0" w:color="auto"/>
              <w:left w:val="nil"/>
              <w:bottom w:val="single" w:sz="4" w:space="0" w:color="auto"/>
              <w:right w:val="single" w:sz="4" w:space="0" w:color="auto"/>
            </w:tcBorders>
            <w:shd w:val="clear" w:color="auto" w:fill="auto"/>
          </w:tcPr>
          <w:p w14:paraId="3C24ED25" w14:textId="77777777" w:rsidR="00727823" w:rsidRPr="00EA1BB2" w:rsidRDefault="007D3F70" w:rsidP="00727823">
            <w:pPr>
              <w:jc w:val="right"/>
              <w:rPr>
                <w:rFonts w:ascii="Cambria" w:hAnsi="Cambria"/>
                <w:color w:val="000000"/>
                <w:sz w:val="24"/>
                <w:szCs w:val="24"/>
              </w:rPr>
            </w:pPr>
            <w:r w:rsidRPr="00EA1BB2">
              <w:rPr>
                <w:rFonts w:ascii="Cambria" w:hAnsi="Cambria"/>
                <w:color w:val="000000"/>
                <w:sz w:val="24"/>
                <w:szCs w:val="24"/>
              </w:rPr>
              <w:t>0</w:t>
            </w:r>
          </w:p>
        </w:tc>
      </w:tr>
      <w:tr w:rsidR="00727823" w:rsidRPr="00EA1BB2" w14:paraId="2229C18B" w14:textId="77777777" w:rsidTr="00A424BD">
        <w:trPr>
          <w:jc w:val="center"/>
        </w:trPr>
        <w:tc>
          <w:tcPr>
            <w:tcW w:w="1832" w:type="pct"/>
            <w:vMerge/>
            <w:vAlign w:val="center"/>
          </w:tcPr>
          <w:p w14:paraId="7AFA9EFB" w14:textId="77777777" w:rsidR="00727823" w:rsidRPr="00EA1BB2" w:rsidRDefault="00727823" w:rsidP="00727823">
            <w:pPr>
              <w:jc w:val="center"/>
              <w:rPr>
                <w:rFonts w:ascii="Cambria" w:hAnsi="Cambria"/>
                <w:sz w:val="24"/>
                <w:szCs w:val="24"/>
              </w:rPr>
            </w:pPr>
          </w:p>
        </w:tc>
        <w:tc>
          <w:tcPr>
            <w:tcW w:w="1668" w:type="pct"/>
            <w:vAlign w:val="center"/>
          </w:tcPr>
          <w:p w14:paraId="7BB1F4FF" w14:textId="77777777" w:rsidR="00727823" w:rsidRPr="00EA1BB2" w:rsidRDefault="00727823" w:rsidP="00727823">
            <w:pPr>
              <w:jc w:val="center"/>
              <w:rPr>
                <w:rFonts w:ascii="Cambria" w:hAnsi="Cambria"/>
                <w:sz w:val="24"/>
                <w:szCs w:val="24"/>
              </w:rPr>
            </w:pPr>
            <w:r w:rsidRPr="00EA1BB2">
              <w:rPr>
                <w:rFonts w:ascii="Cambria" w:hAnsi="Cambria"/>
                <w:sz w:val="24"/>
                <w:szCs w:val="24"/>
              </w:rPr>
              <w:t>TOTAL</w:t>
            </w:r>
          </w:p>
        </w:tc>
        <w:tc>
          <w:tcPr>
            <w:tcW w:w="1500" w:type="pct"/>
            <w:tcBorders>
              <w:top w:val="single" w:sz="4" w:space="0" w:color="auto"/>
              <w:left w:val="nil"/>
              <w:bottom w:val="single" w:sz="4" w:space="0" w:color="auto"/>
              <w:right w:val="single" w:sz="4" w:space="0" w:color="auto"/>
            </w:tcBorders>
            <w:shd w:val="clear" w:color="auto" w:fill="auto"/>
          </w:tcPr>
          <w:p w14:paraId="7510D78A" w14:textId="77777777" w:rsidR="00727823" w:rsidRPr="00EA1BB2" w:rsidRDefault="007D3F70" w:rsidP="00727823">
            <w:pPr>
              <w:jc w:val="right"/>
              <w:rPr>
                <w:rFonts w:ascii="Cambria" w:hAnsi="Cambria"/>
                <w:color w:val="000000"/>
                <w:sz w:val="24"/>
                <w:szCs w:val="24"/>
              </w:rPr>
            </w:pPr>
            <w:r w:rsidRPr="00EA1BB2">
              <w:rPr>
                <w:rFonts w:ascii="Cambria" w:hAnsi="Cambria"/>
                <w:color w:val="000000"/>
                <w:sz w:val="24"/>
                <w:szCs w:val="24"/>
              </w:rPr>
              <w:t>15,951</w:t>
            </w:r>
          </w:p>
        </w:tc>
      </w:tr>
      <w:tr w:rsidR="00727823" w:rsidRPr="00EA1BB2" w14:paraId="79702AB8" w14:textId="77777777" w:rsidTr="00A424BD">
        <w:trPr>
          <w:jc w:val="center"/>
        </w:trPr>
        <w:tc>
          <w:tcPr>
            <w:tcW w:w="1832" w:type="pct"/>
            <w:vMerge w:val="restart"/>
            <w:vAlign w:val="center"/>
          </w:tcPr>
          <w:p w14:paraId="36F2C771" w14:textId="77777777" w:rsidR="00727823" w:rsidRPr="00EA1BB2" w:rsidRDefault="00727823" w:rsidP="00727823">
            <w:pPr>
              <w:jc w:val="center"/>
              <w:rPr>
                <w:rFonts w:ascii="Cambria" w:hAnsi="Cambria"/>
                <w:sz w:val="24"/>
                <w:szCs w:val="24"/>
              </w:rPr>
            </w:pPr>
            <w:r w:rsidRPr="00EA1BB2">
              <w:rPr>
                <w:rFonts w:ascii="Cambria" w:hAnsi="Cambria"/>
                <w:sz w:val="24"/>
                <w:szCs w:val="24"/>
              </w:rPr>
              <w:t xml:space="preserve">Nichel </w:t>
            </w:r>
          </w:p>
          <w:p w14:paraId="1AD9FAA4" w14:textId="77777777" w:rsidR="00727823" w:rsidRPr="00EA1BB2" w:rsidRDefault="00727823" w:rsidP="00727823">
            <w:pPr>
              <w:jc w:val="center"/>
              <w:rPr>
                <w:rFonts w:ascii="Cambria" w:hAnsi="Cambria"/>
                <w:sz w:val="24"/>
                <w:szCs w:val="24"/>
              </w:rPr>
            </w:pPr>
            <w:r w:rsidRPr="00EA1BB2">
              <w:rPr>
                <w:rFonts w:ascii="Cambria" w:hAnsi="Cambria"/>
                <w:sz w:val="24"/>
                <w:szCs w:val="24"/>
              </w:rPr>
              <w:t>(Ni)</w:t>
            </w:r>
          </w:p>
        </w:tc>
        <w:tc>
          <w:tcPr>
            <w:tcW w:w="1668" w:type="pct"/>
            <w:vAlign w:val="center"/>
          </w:tcPr>
          <w:p w14:paraId="37712F15" w14:textId="77777777" w:rsidR="00727823" w:rsidRPr="00EA1BB2" w:rsidRDefault="00727823" w:rsidP="00727823">
            <w:pPr>
              <w:jc w:val="center"/>
              <w:rPr>
                <w:rFonts w:ascii="Cambria" w:hAnsi="Cambria"/>
                <w:sz w:val="24"/>
                <w:szCs w:val="24"/>
              </w:rPr>
            </w:pPr>
            <w:r w:rsidRPr="00EA1BB2">
              <w:rPr>
                <w:rFonts w:ascii="Cambria" w:hAnsi="Cambria"/>
                <w:sz w:val="24"/>
                <w:szCs w:val="24"/>
              </w:rPr>
              <w:t>Surse staționare</w:t>
            </w:r>
          </w:p>
        </w:tc>
        <w:tc>
          <w:tcPr>
            <w:tcW w:w="1500" w:type="pct"/>
            <w:tcBorders>
              <w:top w:val="single" w:sz="4" w:space="0" w:color="auto"/>
              <w:left w:val="nil"/>
              <w:bottom w:val="single" w:sz="4" w:space="0" w:color="auto"/>
              <w:right w:val="single" w:sz="4" w:space="0" w:color="auto"/>
            </w:tcBorders>
            <w:shd w:val="clear" w:color="auto" w:fill="auto"/>
          </w:tcPr>
          <w:p w14:paraId="0C2819BD" w14:textId="77777777" w:rsidR="00727823" w:rsidRPr="00EA1BB2" w:rsidRDefault="00727823" w:rsidP="00727823">
            <w:pPr>
              <w:jc w:val="right"/>
              <w:rPr>
                <w:rFonts w:ascii="Cambria" w:hAnsi="Cambria"/>
                <w:color w:val="000000"/>
                <w:sz w:val="24"/>
                <w:szCs w:val="24"/>
              </w:rPr>
            </w:pPr>
            <w:r w:rsidRPr="00EA1BB2">
              <w:rPr>
                <w:rFonts w:ascii="Cambria" w:hAnsi="Cambria"/>
                <w:sz w:val="24"/>
                <w:szCs w:val="24"/>
              </w:rPr>
              <w:t>0,014959</w:t>
            </w:r>
          </w:p>
        </w:tc>
      </w:tr>
      <w:tr w:rsidR="00727823" w:rsidRPr="00EA1BB2" w14:paraId="5CE15BF4" w14:textId="77777777" w:rsidTr="00A424BD">
        <w:trPr>
          <w:jc w:val="center"/>
        </w:trPr>
        <w:tc>
          <w:tcPr>
            <w:tcW w:w="1832" w:type="pct"/>
            <w:vMerge/>
            <w:vAlign w:val="center"/>
          </w:tcPr>
          <w:p w14:paraId="5F23C47C" w14:textId="77777777" w:rsidR="00727823" w:rsidRPr="00EA1BB2" w:rsidRDefault="00727823" w:rsidP="00727823">
            <w:pPr>
              <w:jc w:val="center"/>
              <w:rPr>
                <w:rFonts w:ascii="Cambria" w:hAnsi="Cambria"/>
                <w:sz w:val="24"/>
                <w:szCs w:val="24"/>
              </w:rPr>
            </w:pPr>
          </w:p>
        </w:tc>
        <w:tc>
          <w:tcPr>
            <w:tcW w:w="1668" w:type="pct"/>
            <w:vAlign w:val="center"/>
          </w:tcPr>
          <w:p w14:paraId="7A35BBC2" w14:textId="77777777" w:rsidR="00727823" w:rsidRPr="00EA1BB2" w:rsidRDefault="00727823" w:rsidP="00727823">
            <w:pPr>
              <w:jc w:val="center"/>
              <w:rPr>
                <w:rFonts w:ascii="Cambria" w:hAnsi="Cambria"/>
                <w:sz w:val="24"/>
                <w:szCs w:val="24"/>
              </w:rPr>
            </w:pPr>
            <w:r w:rsidRPr="00EA1BB2">
              <w:rPr>
                <w:rFonts w:ascii="Cambria" w:hAnsi="Cambria"/>
                <w:sz w:val="24"/>
                <w:szCs w:val="24"/>
              </w:rPr>
              <w:t>Surse mobile</w:t>
            </w:r>
          </w:p>
        </w:tc>
        <w:tc>
          <w:tcPr>
            <w:tcW w:w="1500" w:type="pct"/>
            <w:tcBorders>
              <w:top w:val="single" w:sz="4" w:space="0" w:color="auto"/>
              <w:left w:val="nil"/>
              <w:bottom w:val="single" w:sz="4" w:space="0" w:color="auto"/>
              <w:right w:val="single" w:sz="4" w:space="0" w:color="auto"/>
            </w:tcBorders>
            <w:shd w:val="clear" w:color="auto" w:fill="auto"/>
          </w:tcPr>
          <w:p w14:paraId="7A710533" w14:textId="77777777" w:rsidR="00727823" w:rsidRPr="00EA1BB2" w:rsidRDefault="00727823" w:rsidP="00727823">
            <w:pPr>
              <w:jc w:val="right"/>
              <w:rPr>
                <w:rFonts w:ascii="Cambria" w:hAnsi="Cambria"/>
                <w:color w:val="000000"/>
                <w:sz w:val="24"/>
                <w:szCs w:val="24"/>
              </w:rPr>
            </w:pPr>
            <w:r w:rsidRPr="00EA1BB2">
              <w:rPr>
                <w:rFonts w:ascii="Cambria" w:hAnsi="Cambria"/>
                <w:sz w:val="24"/>
                <w:szCs w:val="24"/>
              </w:rPr>
              <w:t>0,001689</w:t>
            </w:r>
          </w:p>
        </w:tc>
      </w:tr>
      <w:tr w:rsidR="00727823" w:rsidRPr="00EA1BB2" w14:paraId="62CE92A2" w14:textId="77777777" w:rsidTr="00A424BD">
        <w:trPr>
          <w:jc w:val="center"/>
        </w:trPr>
        <w:tc>
          <w:tcPr>
            <w:tcW w:w="1832" w:type="pct"/>
            <w:vMerge/>
            <w:vAlign w:val="center"/>
          </w:tcPr>
          <w:p w14:paraId="4C91852B" w14:textId="77777777" w:rsidR="00727823" w:rsidRPr="00EA1BB2" w:rsidRDefault="00727823" w:rsidP="00727823">
            <w:pPr>
              <w:jc w:val="center"/>
              <w:rPr>
                <w:rFonts w:ascii="Cambria" w:hAnsi="Cambria"/>
                <w:sz w:val="24"/>
                <w:szCs w:val="24"/>
              </w:rPr>
            </w:pPr>
          </w:p>
        </w:tc>
        <w:tc>
          <w:tcPr>
            <w:tcW w:w="1668" w:type="pct"/>
            <w:vAlign w:val="center"/>
          </w:tcPr>
          <w:p w14:paraId="05AEA12F" w14:textId="77777777" w:rsidR="00727823" w:rsidRPr="00EA1BB2" w:rsidRDefault="00727823" w:rsidP="00727823">
            <w:pPr>
              <w:jc w:val="center"/>
              <w:rPr>
                <w:rFonts w:ascii="Cambria" w:hAnsi="Cambria"/>
                <w:sz w:val="24"/>
                <w:szCs w:val="24"/>
              </w:rPr>
            </w:pPr>
            <w:r w:rsidRPr="00EA1BB2">
              <w:rPr>
                <w:rFonts w:ascii="Cambria" w:hAnsi="Cambria"/>
                <w:sz w:val="24"/>
                <w:szCs w:val="24"/>
              </w:rPr>
              <w:t>Surse de suprafață</w:t>
            </w:r>
          </w:p>
        </w:tc>
        <w:tc>
          <w:tcPr>
            <w:tcW w:w="1500" w:type="pct"/>
            <w:tcBorders>
              <w:top w:val="single" w:sz="4" w:space="0" w:color="auto"/>
              <w:left w:val="nil"/>
              <w:bottom w:val="single" w:sz="4" w:space="0" w:color="auto"/>
              <w:right w:val="single" w:sz="4" w:space="0" w:color="auto"/>
            </w:tcBorders>
            <w:shd w:val="clear" w:color="auto" w:fill="auto"/>
          </w:tcPr>
          <w:p w14:paraId="176A4465" w14:textId="77777777" w:rsidR="00727823" w:rsidRPr="00EA1BB2" w:rsidRDefault="00727823" w:rsidP="00727823">
            <w:pPr>
              <w:jc w:val="right"/>
              <w:rPr>
                <w:rFonts w:ascii="Cambria" w:hAnsi="Cambria"/>
                <w:color w:val="000000"/>
                <w:sz w:val="24"/>
                <w:szCs w:val="24"/>
              </w:rPr>
            </w:pPr>
            <w:r w:rsidRPr="00EA1BB2">
              <w:rPr>
                <w:rFonts w:ascii="Cambria" w:hAnsi="Cambria"/>
                <w:sz w:val="24"/>
                <w:szCs w:val="24"/>
              </w:rPr>
              <w:t>0,019230</w:t>
            </w:r>
          </w:p>
        </w:tc>
      </w:tr>
      <w:tr w:rsidR="00727823" w:rsidRPr="00EA1BB2" w14:paraId="34697981" w14:textId="77777777" w:rsidTr="00A424BD">
        <w:trPr>
          <w:jc w:val="center"/>
        </w:trPr>
        <w:tc>
          <w:tcPr>
            <w:tcW w:w="1832" w:type="pct"/>
            <w:vMerge/>
            <w:vAlign w:val="center"/>
          </w:tcPr>
          <w:p w14:paraId="29DC36AE" w14:textId="77777777" w:rsidR="00727823" w:rsidRPr="00EA1BB2" w:rsidRDefault="00727823" w:rsidP="00727823">
            <w:pPr>
              <w:jc w:val="center"/>
              <w:rPr>
                <w:rFonts w:ascii="Cambria" w:hAnsi="Cambria"/>
                <w:sz w:val="24"/>
                <w:szCs w:val="24"/>
              </w:rPr>
            </w:pPr>
          </w:p>
        </w:tc>
        <w:tc>
          <w:tcPr>
            <w:tcW w:w="1668" w:type="pct"/>
            <w:vAlign w:val="center"/>
          </w:tcPr>
          <w:p w14:paraId="002A8549" w14:textId="77777777" w:rsidR="00727823" w:rsidRPr="00EA1BB2" w:rsidRDefault="00727823" w:rsidP="00727823">
            <w:pPr>
              <w:jc w:val="center"/>
              <w:rPr>
                <w:rFonts w:ascii="Cambria" w:hAnsi="Cambria"/>
                <w:sz w:val="24"/>
                <w:szCs w:val="24"/>
              </w:rPr>
            </w:pPr>
            <w:r w:rsidRPr="00EA1BB2">
              <w:rPr>
                <w:rFonts w:ascii="Cambria" w:hAnsi="Cambria"/>
                <w:sz w:val="24"/>
                <w:szCs w:val="24"/>
              </w:rPr>
              <w:t>TOTAL</w:t>
            </w:r>
          </w:p>
        </w:tc>
        <w:tc>
          <w:tcPr>
            <w:tcW w:w="1500" w:type="pct"/>
            <w:tcBorders>
              <w:top w:val="single" w:sz="4" w:space="0" w:color="auto"/>
              <w:left w:val="nil"/>
              <w:bottom w:val="single" w:sz="4" w:space="0" w:color="auto"/>
              <w:right w:val="single" w:sz="4" w:space="0" w:color="auto"/>
            </w:tcBorders>
            <w:shd w:val="clear" w:color="auto" w:fill="auto"/>
          </w:tcPr>
          <w:p w14:paraId="7A47ED59" w14:textId="77777777" w:rsidR="00727823" w:rsidRPr="00EA1BB2" w:rsidRDefault="00727823" w:rsidP="00727823">
            <w:pPr>
              <w:jc w:val="right"/>
              <w:rPr>
                <w:rFonts w:ascii="Cambria" w:hAnsi="Cambria"/>
                <w:color w:val="000000"/>
                <w:sz w:val="24"/>
                <w:szCs w:val="24"/>
              </w:rPr>
            </w:pPr>
            <w:r w:rsidRPr="00EA1BB2">
              <w:rPr>
                <w:rFonts w:ascii="Cambria" w:hAnsi="Cambria"/>
                <w:sz w:val="24"/>
                <w:szCs w:val="24"/>
              </w:rPr>
              <w:t>0,035877</w:t>
            </w:r>
          </w:p>
        </w:tc>
      </w:tr>
      <w:tr w:rsidR="00727823" w:rsidRPr="00EA1BB2" w14:paraId="4EB4878D" w14:textId="77777777" w:rsidTr="00A424BD">
        <w:trPr>
          <w:jc w:val="center"/>
        </w:trPr>
        <w:tc>
          <w:tcPr>
            <w:tcW w:w="1832" w:type="pct"/>
            <w:vMerge w:val="restart"/>
            <w:vAlign w:val="center"/>
          </w:tcPr>
          <w:p w14:paraId="4D6709A0" w14:textId="77777777" w:rsidR="00727823" w:rsidRPr="00EA1BB2" w:rsidRDefault="00727823" w:rsidP="00727823">
            <w:pPr>
              <w:jc w:val="center"/>
              <w:rPr>
                <w:rFonts w:ascii="Cambria" w:hAnsi="Cambria"/>
                <w:sz w:val="24"/>
                <w:szCs w:val="24"/>
              </w:rPr>
            </w:pPr>
            <w:r w:rsidRPr="00EA1BB2">
              <w:rPr>
                <w:rFonts w:ascii="Cambria" w:hAnsi="Cambria"/>
                <w:sz w:val="24"/>
                <w:szCs w:val="24"/>
              </w:rPr>
              <w:t>Oxid de sulf (SOx)</w:t>
            </w:r>
          </w:p>
        </w:tc>
        <w:tc>
          <w:tcPr>
            <w:tcW w:w="1668" w:type="pct"/>
            <w:vAlign w:val="center"/>
          </w:tcPr>
          <w:p w14:paraId="04E92F12" w14:textId="77777777" w:rsidR="00727823" w:rsidRPr="00EA1BB2" w:rsidRDefault="00727823" w:rsidP="00727823">
            <w:pPr>
              <w:jc w:val="center"/>
              <w:rPr>
                <w:rFonts w:ascii="Cambria" w:hAnsi="Cambria"/>
                <w:sz w:val="24"/>
                <w:szCs w:val="24"/>
              </w:rPr>
            </w:pPr>
            <w:r w:rsidRPr="00EA1BB2">
              <w:rPr>
                <w:rFonts w:ascii="Cambria" w:hAnsi="Cambria"/>
                <w:sz w:val="24"/>
                <w:szCs w:val="24"/>
              </w:rPr>
              <w:t>Surse staționare</w:t>
            </w:r>
          </w:p>
        </w:tc>
        <w:tc>
          <w:tcPr>
            <w:tcW w:w="1500" w:type="pct"/>
            <w:tcBorders>
              <w:top w:val="single" w:sz="4" w:space="0" w:color="auto"/>
              <w:left w:val="nil"/>
              <w:bottom w:val="single" w:sz="4" w:space="0" w:color="auto"/>
              <w:right w:val="single" w:sz="4" w:space="0" w:color="auto"/>
            </w:tcBorders>
            <w:shd w:val="clear" w:color="auto" w:fill="auto"/>
          </w:tcPr>
          <w:p w14:paraId="00BF8741" w14:textId="77777777" w:rsidR="00727823" w:rsidRPr="00EA1BB2" w:rsidRDefault="00727823" w:rsidP="00727823">
            <w:pPr>
              <w:jc w:val="right"/>
              <w:rPr>
                <w:rFonts w:ascii="Cambria" w:hAnsi="Cambria"/>
                <w:color w:val="000000"/>
                <w:sz w:val="24"/>
                <w:szCs w:val="24"/>
              </w:rPr>
            </w:pPr>
            <w:r w:rsidRPr="00EA1BB2">
              <w:rPr>
                <w:rFonts w:ascii="Cambria" w:hAnsi="Cambria"/>
                <w:sz w:val="24"/>
                <w:szCs w:val="24"/>
              </w:rPr>
              <w:t>5,979358</w:t>
            </w:r>
          </w:p>
        </w:tc>
      </w:tr>
      <w:tr w:rsidR="00727823" w:rsidRPr="00EA1BB2" w14:paraId="1433BF14" w14:textId="77777777" w:rsidTr="00A424BD">
        <w:trPr>
          <w:jc w:val="center"/>
        </w:trPr>
        <w:tc>
          <w:tcPr>
            <w:tcW w:w="1832" w:type="pct"/>
            <w:vMerge/>
            <w:vAlign w:val="center"/>
          </w:tcPr>
          <w:p w14:paraId="7EC11C3D" w14:textId="77777777" w:rsidR="00727823" w:rsidRPr="00EA1BB2" w:rsidRDefault="00727823" w:rsidP="00727823">
            <w:pPr>
              <w:jc w:val="center"/>
              <w:rPr>
                <w:rFonts w:ascii="Cambria" w:hAnsi="Cambria"/>
                <w:sz w:val="24"/>
                <w:szCs w:val="24"/>
              </w:rPr>
            </w:pPr>
          </w:p>
        </w:tc>
        <w:tc>
          <w:tcPr>
            <w:tcW w:w="1668" w:type="pct"/>
            <w:vAlign w:val="center"/>
          </w:tcPr>
          <w:p w14:paraId="51654AAB" w14:textId="77777777" w:rsidR="00727823" w:rsidRPr="00EA1BB2" w:rsidRDefault="00727823" w:rsidP="00727823">
            <w:pPr>
              <w:jc w:val="center"/>
              <w:rPr>
                <w:rFonts w:ascii="Cambria" w:hAnsi="Cambria"/>
                <w:sz w:val="24"/>
                <w:szCs w:val="24"/>
              </w:rPr>
            </w:pPr>
            <w:r w:rsidRPr="00EA1BB2">
              <w:rPr>
                <w:rFonts w:ascii="Cambria" w:hAnsi="Cambria"/>
                <w:sz w:val="24"/>
                <w:szCs w:val="24"/>
              </w:rPr>
              <w:t>Surse mobile</w:t>
            </w:r>
          </w:p>
        </w:tc>
        <w:tc>
          <w:tcPr>
            <w:tcW w:w="1500" w:type="pct"/>
            <w:tcBorders>
              <w:top w:val="single" w:sz="4" w:space="0" w:color="auto"/>
              <w:left w:val="nil"/>
              <w:bottom w:val="single" w:sz="4" w:space="0" w:color="auto"/>
              <w:right w:val="single" w:sz="4" w:space="0" w:color="auto"/>
            </w:tcBorders>
            <w:shd w:val="clear" w:color="auto" w:fill="auto"/>
          </w:tcPr>
          <w:p w14:paraId="35EE5B5D" w14:textId="77777777" w:rsidR="00727823" w:rsidRPr="00EA1BB2" w:rsidRDefault="00727823" w:rsidP="00727823">
            <w:pPr>
              <w:jc w:val="right"/>
              <w:rPr>
                <w:rFonts w:ascii="Cambria" w:hAnsi="Cambria"/>
                <w:color w:val="000000"/>
                <w:sz w:val="24"/>
                <w:szCs w:val="24"/>
              </w:rPr>
            </w:pPr>
          </w:p>
        </w:tc>
      </w:tr>
      <w:tr w:rsidR="00727823" w:rsidRPr="00EA1BB2" w14:paraId="0A91A880" w14:textId="77777777" w:rsidTr="00A424BD">
        <w:trPr>
          <w:jc w:val="center"/>
        </w:trPr>
        <w:tc>
          <w:tcPr>
            <w:tcW w:w="1832" w:type="pct"/>
            <w:vMerge/>
            <w:vAlign w:val="center"/>
          </w:tcPr>
          <w:p w14:paraId="20360FE6" w14:textId="77777777" w:rsidR="00727823" w:rsidRPr="00EA1BB2" w:rsidRDefault="00727823" w:rsidP="00727823">
            <w:pPr>
              <w:jc w:val="center"/>
              <w:rPr>
                <w:rFonts w:ascii="Cambria" w:hAnsi="Cambria"/>
                <w:sz w:val="24"/>
                <w:szCs w:val="24"/>
              </w:rPr>
            </w:pPr>
          </w:p>
        </w:tc>
        <w:tc>
          <w:tcPr>
            <w:tcW w:w="1668" w:type="pct"/>
            <w:vAlign w:val="center"/>
          </w:tcPr>
          <w:p w14:paraId="550CB5C8" w14:textId="77777777" w:rsidR="00727823" w:rsidRPr="00EA1BB2" w:rsidRDefault="00727823" w:rsidP="00727823">
            <w:pPr>
              <w:jc w:val="center"/>
              <w:rPr>
                <w:rFonts w:ascii="Cambria" w:hAnsi="Cambria"/>
                <w:sz w:val="24"/>
                <w:szCs w:val="24"/>
              </w:rPr>
            </w:pPr>
            <w:r w:rsidRPr="00EA1BB2">
              <w:rPr>
                <w:rFonts w:ascii="Cambria" w:hAnsi="Cambria"/>
                <w:sz w:val="24"/>
                <w:szCs w:val="24"/>
              </w:rPr>
              <w:t>Surse de suprafață</w:t>
            </w:r>
          </w:p>
        </w:tc>
        <w:tc>
          <w:tcPr>
            <w:tcW w:w="1500" w:type="pct"/>
            <w:tcBorders>
              <w:top w:val="single" w:sz="4" w:space="0" w:color="auto"/>
              <w:left w:val="nil"/>
              <w:bottom w:val="single" w:sz="4" w:space="0" w:color="auto"/>
              <w:right w:val="single" w:sz="4" w:space="0" w:color="auto"/>
            </w:tcBorders>
            <w:shd w:val="clear" w:color="auto" w:fill="auto"/>
          </w:tcPr>
          <w:p w14:paraId="63A6A194" w14:textId="77777777" w:rsidR="00727823" w:rsidRPr="00EA1BB2" w:rsidRDefault="00727823" w:rsidP="00727823">
            <w:pPr>
              <w:jc w:val="right"/>
              <w:rPr>
                <w:rFonts w:ascii="Cambria" w:hAnsi="Cambria"/>
                <w:color w:val="000000"/>
                <w:sz w:val="24"/>
                <w:szCs w:val="24"/>
              </w:rPr>
            </w:pPr>
            <w:r w:rsidRPr="00EA1BB2">
              <w:rPr>
                <w:rFonts w:ascii="Cambria" w:hAnsi="Cambria"/>
                <w:sz w:val="24"/>
                <w:szCs w:val="24"/>
              </w:rPr>
              <w:t>12,917930</w:t>
            </w:r>
          </w:p>
        </w:tc>
      </w:tr>
      <w:tr w:rsidR="00727823" w:rsidRPr="00EA1BB2" w14:paraId="1D4EE7FE" w14:textId="77777777" w:rsidTr="00A424BD">
        <w:trPr>
          <w:jc w:val="center"/>
        </w:trPr>
        <w:tc>
          <w:tcPr>
            <w:tcW w:w="1832" w:type="pct"/>
            <w:vMerge/>
            <w:vAlign w:val="center"/>
          </w:tcPr>
          <w:p w14:paraId="10F9E209" w14:textId="77777777" w:rsidR="00727823" w:rsidRPr="00EA1BB2" w:rsidRDefault="00727823" w:rsidP="00727823">
            <w:pPr>
              <w:jc w:val="center"/>
              <w:rPr>
                <w:rFonts w:ascii="Cambria" w:hAnsi="Cambria"/>
                <w:sz w:val="24"/>
                <w:szCs w:val="24"/>
              </w:rPr>
            </w:pPr>
          </w:p>
        </w:tc>
        <w:tc>
          <w:tcPr>
            <w:tcW w:w="1668" w:type="pct"/>
            <w:vAlign w:val="center"/>
          </w:tcPr>
          <w:p w14:paraId="5D613B33" w14:textId="77777777" w:rsidR="00727823" w:rsidRPr="00EA1BB2" w:rsidRDefault="00727823" w:rsidP="00727823">
            <w:pPr>
              <w:jc w:val="center"/>
              <w:rPr>
                <w:rFonts w:ascii="Cambria" w:hAnsi="Cambria"/>
                <w:sz w:val="24"/>
                <w:szCs w:val="24"/>
              </w:rPr>
            </w:pPr>
            <w:r w:rsidRPr="00EA1BB2">
              <w:rPr>
                <w:rFonts w:ascii="Cambria" w:hAnsi="Cambria"/>
                <w:sz w:val="24"/>
                <w:szCs w:val="24"/>
              </w:rPr>
              <w:t>TOTAL</w:t>
            </w:r>
          </w:p>
        </w:tc>
        <w:tc>
          <w:tcPr>
            <w:tcW w:w="1500" w:type="pct"/>
            <w:tcBorders>
              <w:top w:val="single" w:sz="4" w:space="0" w:color="auto"/>
              <w:left w:val="nil"/>
              <w:bottom w:val="single" w:sz="4" w:space="0" w:color="auto"/>
              <w:right w:val="single" w:sz="4" w:space="0" w:color="auto"/>
            </w:tcBorders>
            <w:shd w:val="clear" w:color="auto" w:fill="auto"/>
          </w:tcPr>
          <w:p w14:paraId="7628FBC0" w14:textId="77777777" w:rsidR="00727823" w:rsidRPr="00EA1BB2" w:rsidRDefault="00727823" w:rsidP="00727823">
            <w:pPr>
              <w:jc w:val="right"/>
              <w:rPr>
                <w:rFonts w:ascii="Cambria" w:hAnsi="Cambria"/>
                <w:color w:val="000000"/>
                <w:sz w:val="24"/>
                <w:szCs w:val="24"/>
              </w:rPr>
            </w:pPr>
            <w:r w:rsidRPr="00EA1BB2">
              <w:rPr>
                <w:rFonts w:ascii="Cambria" w:hAnsi="Cambria"/>
                <w:sz w:val="24"/>
                <w:szCs w:val="24"/>
              </w:rPr>
              <w:t>18,897287</w:t>
            </w:r>
          </w:p>
        </w:tc>
      </w:tr>
      <w:tr w:rsidR="00727823" w:rsidRPr="00EA1BB2" w14:paraId="56C54B36" w14:textId="77777777" w:rsidTr="00A424BD">
        <w:trPr>
          <w:jc w:val="center"/>
        </w:trPr>
        <w:tc>
          <w:tcPr>
            <w:tcW w:w="1832" w:type="pct"/>
            <w:vMerge w:val="restart"/>
            <w:vAlign w:val="center"/>
          </w:tcPr>
          <w:p w14:paraId="7726BCD5" w14:textId="77777777" w:rsidR="00727823" w:rsidRPr="00EA1BB2" w:rsidRDefault="00727823" w:rsidP="00727823">
            <w:pPr>
              <w:jc w:val="center"/>
              <w:rPr>
                <w:rFonts w:ascii="Cambria" w:hAnsi="Cambria"/>
                <w:sz w:val="24"/>
                <w:szCs w:val="24"/>
              </w:rPr>
            </w:pPr>
            <w:r w:rsidRPr="00EA1BB2">
              <w:rPr>
                <w:rFonts w:ascii="Cambria" w:hAnsi="Cambria"/>
                <w:sz w:val="24"/>
                <w:szCs w:val="24"/>
              </w:rPr>
              <w:t>Monoxid de carbon (CO)</w:t>
            </w:r>
          </w:p>
        </w:tc>
        <w:tc>
          <w:tcPr>
            <w:tcW w:w="1668" w:type="pct"/>
            <w:vAlign w:val="center"/>
          </w:tcPr>
          <w:p w14:paraId="2427351C" w14:textId="77777777" w:rsidR="00727823" w:rsidRPr="00EA1BB2" w:rsidRDefault="00727823" w:rsidP="00727823">
            <w:pPr>
              <w:jc w:val="center"/>
              <w:rPr>
                <w:rFonts w:ascii="Cambria" w:hAnsi="Cambria"/>
                <w:sz w:val="24"/>
                <w:szCs w:val="24"/>
              </w:rPr>
            </w:pPr>
            <w:r w:rsidRPr="00EA1BB2">
              <w:rPr>
                <w:rFonts w:ascii="Cambria" w:hAnsi="Cambria"/>
                <w:sz w:val="24"/>
                <w:szCs w:val="24"/>
              </w:rPr>
              <w:t>Surse staționare</w:t>
            </w:r>
          </w:p>
        </w:tc>
        <w:tc>
          <w:tcPr>
            <w:tcW w:w="1500" w:type="pct"/>
            <w:tcBorders>
              <w:top w:val="single" w:sz="4" w:space="0" w:color="auto"/>
              <w:left w:val="nil"/>
              <w:bottom w:val="single" w:sz="4" w:space="0" w:color="auto"/>
              <w:right w:val="single" w:sz="4" w:space="0" w:color="auto"/>
            </w:tcBorders>
            <w:shd w:val="clear" w:color="auto" w:fill="auto"/>
          </w:tcPr>
          <w:p w14:paraId="0F2D4539" w14:textId="77777777" w:rsidR="00727823" w:rsidRPr="00EA1BB2" w:rsidRDefault="00727823" w:rsidP="00727823">
            <w:pPr>
              <w:jc w:val="right"/>
              <w:rPr>
                <w:rFonts w:ascii="Cambria" w:hAnsi="Cambria"/>
                <w:color w:val="000000"/>
                <w:sz w:val="24"/>
                <w:szCs w:val="24"/>
              </w:rPr>
            </w:pPr>
            <w:r w:rsidRPr="00EA1BB2">
              <w:rPr>
                <w:rFonts w:ascii="Cambria" w:hAnsi="Cambria"/>
                <w:sz w:val="24"/>
                <w:szCs w:val="24"/>
              </w:rPr>
              <w:t>248,786245</w:t>
            </w:r>
          </w:p>
        </w:tc>
      </w:tr>
      <w:tr w:rsidR="00727823" w:rsidRPr="00EA1BB2" w14:paraId="60594683" w14:textId="77777777" w:rsidTr="00A424BD">
        <w:trPr>
          <w:jc w:val="center"/>
        </w:trPr>
        <w:tc>
          <w:tcPr>
            <w:tcW w:w="1832" w:type="pct"/>
            <w:vMerge/>
            <w:vAlign w:val="center"/>
          </w:tcPr>
          <w:p w14:paraId="69E33699" w14:textId="77777777" w:rsidR="00727823" w:rsidRPr="00EA1BB2" w:rsidRDefault="00727823" w:rsidP="00727823">
            <w:pPr>
              <w:jc w:val="center"/>
              <w:rPr>
                <w:rFonts w:ascii="Cambria" w:hAnsi="Cambria"/>
                <w:sz w:val="24"/>
                <w:szCs w:val="24"/>
              </w:rPr>
            </w:pPr>
          </w:p>
        </w:tc>
        <w:tc>
          <w:tcPr>
            <w:tcW w:w="1668" w:type="pct"/>
            <w:vAlign w:val="center"/>
          </w:tcPr>
          <w:p w14:paraId="4CB27F92" w14:textId="77777777" w:rsidR="00727823" w:rsidRPr="00EA1BB2" w:rsidRDefault="00727823" w:rsidP="00727823">
            <w:pPr>
              <w:jc w:val="center"/>
              <w:rPr>
                <w:rFonts w:ascii="Cambria" w:hAnsi="Cambria"/>
                <w:sz w:val="24"/>
                <w:szCs w:val="24"/>
              </w:rPr>
            </w:pPr>
            <w:r w:rsidRPr="00EA1BB2">
              <w:rPr>
                <w:rFonts w:ascii="Cambria" w:hAnsi="Cambria"/>
                <w:sz w:val="24"/>
                <w:szCs w:val="24"/>
              </w:rPr>
              <w:t>Surse mobile</w:t>
            </w:r>
          </w:p>
        </w:tc>
        <w:tc>
          <w:tcPr>
            <w:tcW w:w="1500" w:type="pct"/>
            <w:tcBorders>
              <w:top w:val="single" w:sz="4" w:space="0" w:color="auto"/>
              <w:left w:val="nil"/>
              <w:bottom w:val="single" w:sz="4" w:space="0" w:color="auto"/>
              <w:right w:val="single" w:sz="4" w:space="0" w:color="auto"/>
            </w:tcBorders>
            <w:shd w:val="clear" w:color="auto" w:fill="auto"/>
          </w:tcPr>
          <w:p w14:paraId="76D4E4C5" w14:textId="77777777" w:rsidR="00727823" w:rsidRPr="00EA1BB2" w:rsidRDefault="00727823" w:rsidP="00727823">
            <w:pPr>
              <w:jc w:val="right"/>
              <w:rPr>
                <w:rFonts w:ascii="Cambria" w:hAnsi="Cambria"/>
                <w:color w:val="000000"/>
                <w:sz w:val="24"/>
                <w:szCs w:val="24"/>
              </w:rPr>
            </w:pPr>
            <w:r w:rsidRPr="00EA1BB2">
              <w:rPr>
                <w:rFonts w:ascii="Cambria" w:hAnsi="Cambria"/>
                <w:sz w:val="24"/>
                <w:szCs w:val="24"/>
              </w:rPr>
              <w:t>2507,094513</w:t>
            </w:r>
          </w:p>
        </w:tc>
      </w:tr>
      <w:tr w:rsidR="00727823" w:rsidRPr="00EA1BB2" w14:paraId="2EA5461B" w14:textId="77777777" w:rsidTr="00A424BD">
        <w:trPr>
          <w:jc w:val="center"/>
        </w:trPr>
        <w:tc>
          <w:tcPr>
            <w:tcW w:w="1832" w:type="pct"/>
            <w:vMerge/>
            <w:vAlign w:val="center"/>
          </w:tcPr>
          <w:p w14:paraId="5BF2EDA0" w14:textId="77777777" w:rsidR="00727823" w:rsidRPr="00EA1BB2" w:rsidRDefault="00727823" w:rsidP="00727823">
            <w:pPr>
              <w:jc w:val="center"/>
              <w:rPr>
                <w:rFonts w:ascii="Cambria" w:hAnsi="Cambria"/>
                <w:sz w:val="24"/>
                <w:szCs w:val="24"/>
              </w:rPr>
            </w:pPr>
          </w:p>
        </w:tc>
        <w:tc>
          <w:tcPr>
            <w:tcW w:w="1668" w:type="pct"/>
            <w:vAlign w:val="center"/>
          </w:tcPr>
          <w:p w14:paraId="1192EB65" w14:textId="77777777" w:rsidR="00727823" w:rsidRPr="00EA1BB2" w:rsidRDefault="00727823" w:rsidP="00727823">
            <w:pPr>
              <w:jc w:val="center"/>
              <w:rPr>
                <w:rFonts w:ascii="Cambria" w:hAnsi="Cambria"/>
                <w:sz w:val="24"/>
                <w:szCs w:val="24"/>
              </w:rPr>
            </w:pPr>
            <w:r w:rsidRPr="00EA1BB2">
              <w:rPr>
                <w:rFonts w:ascii="Cambria" w:hAnsi="Cambria"/>
                <w:sz w:val="24"/>
                <w:szCs w:val="24"/>
              </w:rPr>
              <w:t>Surse de suprafață</w:t>
            </w:r>
          </w:p>
        </w:tc>
        <w:tc>
          <w:tcPr>
            <w:tcW w:w="1500" w:type="pct"/>
            <w:tcBorders>
              <w:top w:val="single" w:sz="4" w:space="0" w:color="auto"/>
              <w:left w:val="nil"/>
              <w:bottom w:val="single" w:sz="4" w:space="0" w:color="auto"/>
              <w:right w:val="single" w:sz="4" w:space="0" w:color="auto"/>
            </w:tcBorders>
            <w:shd w:val="clear" w:color="auto" w:fill="auto"/>
          </w:tcPr>
          <w:p w14:paraId="4C5D341E" w14:textId="77777777" w:rsidR="00727823" w:rsidRPr="00EA1BB2" w:rsidRDefault="00727823" w:rsidP="00727823">
            <w:pPr>
              <w:jc w:val="right"/>
              <w:rPr>
                <w:rFonts w:ascii="Cambria" w:hAnsi="Cambria"/>
                <w:color w:val="000000"/>
                <w:sz w:val="24"/>
                <w:szCs w:val="24"/>
              </w:rPr>
            </w:pPr>
            <w:r w:rsidRPr="00EA1BB2">
              <w:rPr>
                <w:rFonts w:ascii="Cambria" w:hAnsi="Cambria"/>
                <w:sz w:val="24"/>
                <w:szCs w:val="24"/>
              </w:rPr>
              <w:t>1424,723139</w:t>
            </w:r>
          </w:p>
        </w:tc>
      </w:tr>
      <w:tr w:rsidR="00727823" w:rsidRPr="00EA1BB2" w14:paraId="1B541920" w14:textId="77777777" w:rsidTr="00A424BD">
        <w:trPr>
          <w:jc w:val="center"/>
        </w:trPr>
        <w:tc>
          <w:tcPr>
            <w:tcW w:w="1832" w:type="pct"/>
            <w:vMerge/>
            <w:vAlign w:val="center"/>
          </w:tcPr>
          <w:p w14:paraId="157F402B" w14:textId="77777777" w:rsidR="00727823" w:rsidRPr="00EA1BB2" w:rsidRDefault="00727823" w:rsidP="00727823">
            <w:pPr>
              <w:jc w:val="center"/>
              <w:rPr>
                <w:rFonts w:ascii="Cambria" w:hAnsi="Cambria"/>
                <w:sz w:val="24"/>
                <w:szCs w:val="24"/>
              </w:rPr>
            </w:pPr>
          </w:p>
        </w:tc>
        <w:tc>
          <w:tcPr>
            <w:tcW w:w="1668" w:type="pct"/>
            <w:vAlign w:val="center"/>
          </w:tcPr>
          <w:p w14:paraId="4DCD7A9A" w14:textId="77777777" w:rsidR="00727823" w:rsidRPr="00EA1BB2" w:rsidRDefault="00727823" w:rsidP="00727823">
            <w:pPr>
              <w:jc w:val="center"/>
              <w:rPr>
                <w:rFonts w:ascii="Cambria" w:hAnsi="Cambria"/>
                <w:sz w:val="24"/>
                <w:szCs w:val="24"/>
              </w:rPr>
            </w:pPr>
            <w:r w:rsidRPr="00EA1BB2">
              <w:rPr>
                <w:rFonts w:ascii="Cambria" w:hAnsi="Cambria"/>
                <w:sz w:val="24"/>
                <w:szCs w:val="24"/>
              </w:rPr>
              <w:t>TOTAL</w:t>
            </w:r>
          </w:p>
        </w:tc>
        <w:tc>
          <w:tcPr>
            <w:tcW w:w="1500" w:type="pct"/>
            <w:tcBorders>
              <w:top w:val="single" w:sz="4" w:space="0" w:color="auto"/>
              <w:left w:val="nil"/>
              <w:bottom w:val="single" w:sz="4" w:space="0" w:color="auto"/>
              <w:right w:val="single" w:sz="4" w:space="0" w:color="auto"/>
            </w:tcBorders>
            <w:shd w:val="clear" w:color="auto" w:fill="auto"/>
          </w:tcPr>
          <w:p w14:paraId="5EE53CA3" w14:textId="77777777" w:rsidR="00727823" w:rsidRPr="00EA1BB2" w:rsidRDefault="00727823" w:rsidP="00727823">
            <w:pPr>
              <w:jc w:val="right"/>
              <w:rPr>
                <w:rFonts w:ascii="Cambria" w:hAnsi="Cambria"/>
                <w:color w:val="000000"/>
                <w:sz w:val="24"/>
                <w:szCs w:val="24"/>
              </w:rPr>
            </w:pPr>
            <w:r w:rsidRPr="00EA1BB2">
              <w:rPr>
                <w:rFonts w:ascii="Cambria" w:hAnsi="Cambria"/>
                <w:sz w:val="24"/>
                <w:szCs w:val="24"/>
              </w:rPr>
              <w:t>4180,603897</w:t>
            </w:r>
          </w:p>
        </w:tc>
      </w:tr>
      <w:tr w:rsidR="00727823" w:rsidRPr="00EA1BB2" w14:paraId="520F0C63" w14:textId="77777777" w:rsidTr="00A424BD">
        <w:trPr>
          <w:jc w:val="center"/>
        </w:trPr>
        <w:tc>
          <w:tcPr>
            <w:tcW w:w="1832" w:type="pct"/>
            <w:vMerge w:val="restart"/>
            <w:vAlign w:val="center"/>
          </w:tcPr>
          <w:p w14:paraId="0454A749" w14:textId="77777777" w:rsidR="00727823" w:rsidRPr="00EA1BB2" w:rsidRDefault="00727823" w:rsidP="00727823">
            <w:pPr>
              <w:jc w:val="center"/>
              <w:rPr>
                <w:rFonts w:ascii="Cambria" w:hAnsi="Cambria"/>
                <w:sz w:val="24"/>
                <w:szCs w:val="24"/>
              </w:rPr>
            </w:pPr>
            <w:r w:rsidRPr="00EA1BB2">
              <w:rPr>
                <w:rFonts w:ascii="Cambria" w:hAnsi="Cambria"/>
                <w:sz w:val="24"/>
                <w:szCs w:val="24"/>
              </w:rPr>
              <w:t xml:space="preserve">Plumb </w:t>
            </w:r>
          </w:p>
          <w:p w14:paraId="3EA25A03" w14:textId="77777777" w:rsidR="00727823" w:rsidRPr="00EA1BB2" w:rsidRDefault="00727823" w:rsidP="00727823">
            <w:pPr>
              <w:jc w:val="center"/>
              <w:rPr>
                <w:rFonts w:ascii="Cambria" w:hAnsi="Cambria"/>
                <w:sz w:val="24"/>
                <w:szCs w:val="24"/>
              </w:rPr>
            </w:pPr>
            <w:r w:rsidRPr="00EA1BB2">
              <w:rPr>
                <w:rFonts w:ascii="Cambria" w:hAnsi="Cambria"/>
                <w:sz w:val="24"/>
                <w:szCs w:val="24"/>
              </w:rPr>
              <w:t>(Pb)</w:t>
            </w:r>
          </w:p>
        </w:tc>
        <w:tc>
          <w:tcPr>
            <w:tcW w:w="1668" w:type="pct"/>
            <w:vAlign w:val="center"/>
          </w:tcPr>
          <w:p w14:paraId="7563EB4B" w14:textId="77777777" w:rsidR="00727823" w:rsidRPr="00EA1BB2" w:rsidRDefault="00727823" w:rsidP="00727823">
            <w:pPr>
              <w:jc w:val="center"/>
              <w:rPr>
                <w:rFonts w:ascii="Cambria" w:hAnsi="Cambria"/>
                <w:sz w:val="24"/>
                <w:szCs w:val="24"/>
              </w:rPr>
            </w:pPr>
            <w:r w:rsidRPr="00EA1BB2">
              <w:rPr>
                <w:rFonts w:ascii="Cambria" w:hAnsi="Cambria"/>
                <w:sz w:val="24"/>
                <w:szCs w:val="24"/>
              </w:rPr>
              <w:t>Surse staționare</w:t>
            </w:r>
          </w:p>
        </w:tc>
        <w:tc>
          <w:tcPr>
            <w:tcW w:w="1500" w:type="pct"/>
            <w:tcBorders>
              <w:top w:val="single" w:sz="4" w:space="0" w:color="auto"/>
              <w:left w:val="nil"/>
              <w:bottom w:val="single" w:sz="4" w:space="0" w:color="auto"/>
              <w:right w:val="single" w:sz="4" w:space="0" w:color="auto"/>
            </w:tcBorders>
            <w:shd w:val="clear" w:color="auto" w:fill="auto"/>
          </w:tcPr>
          <w:p w14:paraId="1546A405" w14:textId="77777777" w:rsidR="00727823" w:rsidRPr="00EA1BB2" w:rsidRDefault="00727823" w:rsidP="00727823">
            <w:pPr>
              <w:jc w:val="right"/>
              <w:rPr>
                <w:rFonts w:ascii="Cambria" w:hAnsi="Cambria"/>
                <w:color w:val="000000"/>
                <w:sz w:val="24"/>
                <w:szCs w:val="24"/>
              </w:rPr>
            </w:pPr>
            <w:r w:rsidRPr="00EA1BB2">
              <w:rPr>
                <w:rFonts w:ascii="Cambria" w:hAnsi="Cambria"/>
                <w:sz w:val="24"/>
                <w:szCs w:val="24"/>
              </w:rPr>
              <w:t>0,034613</w:t>
            </w:r>
          </w:p>
        </w:tc>
      </w:tr>
      <w:tr w:rsidR="00727823" w:rsidRPr="00EA1BB2" w14:paraId="0421A506" w14:textId="77777777" w:rsidTr="00A424BD">
        <w:trPr>
          <w:jc w:val="center"/>
        </w:trPr>
        <w:tc>
          <w:tcPr>
            <w:tcW w:w="1832" w:type="pct"/>
            <w:vMerge/>
            <w:vAlign w:val="center"/>
          </w:tcPr>
          <w:p w14:paraId="265B1120" w14:textId="77777777" w:rsidR="00727823" w:rsidRPr="00EA1BB2" w:rsidRDefault="00727823" w:rsidP="00727823">
            <w:pPr>
              <w:jc w:val="center"/>
              <w:rPr>
                <w:rFonts w:ascii="Cambria" w:hAnsi="Cambria"/>
                <w:sz w:val="24"/>
                <w:szCs w:val="24"/>
              </w:rPr>
            </w:pPr>
          </w:p>
        </w:tc>
        <w:tc>
          <w:tcPr>
            <w:tcW w:w="1668" w:type="pct"/>
            <w:vAlign w:val="center"/>
          </w:tcPr>
          <w:p w14:paraId="0EACC654" w14:textId="77777777" w:rsidR="00727823" w:rsidRPr="00EA1BB2" w:rsidRDefault="00727823" w:rsidP="00727823">
            <w:pPr>
              <w:jc w:val="center"/>
              <w:rPr>
                <w:rFonts w:ascii="Cambria" w:hAnsi="Cambria"/>
                <w:sz w:val="24"/>
                <w:szCs w:val="24"/>
              </w:rPr>
            </w:pPr>
            <w:r w:rsidRPr="00EA1BB2">
              <w:rPr>
                <w:rFonts w:ascii="Cambria" w:hAnsi="Cambria"/>
                <w:sz w:val="24"/>
                <w:szCs w:val="24"/>
              </w:rPr>
              <w:t>Surse mobile</w:t>
            </w:r>
          </w:p>
        </w:tc>
        <w:tc>
          <w:tcPr>
            <w:tcW w:w="1500" w:type="pct"/>
            <w:tcBorders>
              <w:top w:val="single" w:sz="4" w:space="0" w:color="auto"/>
              <w:left w:val="nil"/>
              <w:bottom w:val="single" w:sz="4" w:space="0" w:color="auto"/>
              <w:right w:val="single" w:sz="4" w:space="0" w:color="auto"/>
            </w:tcBorders>
            <w:shd w:val="clear" w:color="auto" w:fill="auto"/>
          </w:tcPr>
          <w:p w14:paraId="154145DB" w14:textId="77777777" w:rsidR="00727823" w:rsidRPr="00EA1BB2" w:rsidRDefault="00727823" w:rsidP="00727823">
            <w:pPr>
              <w:jc w:val="right"/>
              <w:rPr>
                <w:rFonts w:ascii="Cambria" w:hAnsi="Cambria"/>
                <w:color w:val="000000"/>
                <w:sz w:val="24"/>
                <w:szCs w:val="24"/>
              </w:rPr>
            </w:pPr>
            <w:r w:rsidRPr="00EA1BB2">
              <w:rPr>
                <w:rFonts w:ascii="Cambria" w:hAnsi="Cambria"/>
                <w:sz w:val="24"/>
                <w:szCs w:val="24"/>
              </w:rPr>
              <w:t>0,022815</w:t>
            </w:r>
          </w:p>
        </w:tc>
      </w:tr>
      <w:tr w:rsidR="00727823" w:rsidRPr="00EA1BB2" w14:paraId="4E65ACD8" w14:textId="77777777" w:rsidTr="00A424BD">
        <w:trPr>
          <w:jc w:val="center"/>
        </w:trPr>
        <w:tc>
          <w:tcPr>
            <w:tcW w:w="1832" w:type="pct"/>
            <w:vMerge/>
            <w:vAlign w:val="center"/>
          </w:tcPr>
          <w:p w14:paraId="19C48F14" w14:textId="77777777" w:rsidR="00727823" w:rsidRPr="00EA1BB2" w:rsidRDefault="00727823" w:rsidP="00727823">
            <w:pPr>
              <w:jc w:val="center"/>
              <w:rPr>
                <w:rFonts w:ascii="Cambria" w:hAnsi="Cambria"/>
                <w:sz w:val="24"/>
                <w:szCs w:val="24"/>
              </w:rPr>
            </w:pPr>
          </w:p>
        </w:tc>
        <w:tc>
          <w:tcPr>
            <w:tcW w:w="1668" w:type="pct"/>
            <w:vAlign w:val="center"/>
          </w:tcPr>
          <w:p w14:paraId="24B1B913" w14:textId="77777777" w:rsidR="00727823" w:rsidRPr="00EA1BB2" w:rsidRDefault="00727823" w:rsidP="00727823">
            <w:pPr>
              <w:jc w:val="center"/>
              <w:rPr>
                <w:rFonts w:ascii="Cambria" w:hAnsi="Cambria"/>
                <w:sz w:val="24"/>
                <w:szCs w:val="24"/>
              </w:rPr>
            </w:pPr>
            <w:r w:rsidRPr="00EA1BB2">
              <w:rPr>
                <w:rFonts w:ascii="Cambria" w:hAnsi="Cambria"/>
                <w:sz w:val="24"/>
                <w:szCs w:val="24"/>
              </w:rPr>
              <w:t>Surse de suprafață</w:t>
            </w:r>
          </w:p>
        </w:tc>
        <w:tc>
          <w:tcPr>
            <w:tcW w:w="1500" w:type="pct"/>
            <w:tcBorders>
              <w:top w:val="single" w:sz="4" w:space="0" w:color="auto"/>
              <w:left w:val="nil"/>
              <w:bottom w:val="single" w:sz="4" w:space="0" w:color="auto"/>
              <w:right w:val="single" w:sz="4" w:space="0" w:color="auto"/>
            </w:tcBorders>
            <w:shd w:val="clear" w:color="auto" w:fill="auto"/>
          </w:tcPr>
          <w:p w14:paraId="5115DA54" w14:textId="77777777" w:rsidR="00727823" w:rsidRPr="00EA1BB2" w:rsidRDefault="00727823" w:rsidP="00727823">
            <w:pPr>
              <w:jc w:val="right"/>
              <w:rPr>
                <w:rFonts w:ascii="Cambria" w:hAnsi="Cambria"/>
                <w:color w:val="000000"/>
                <w:sz w:val="24"/>
                <w:szCs w:val="24"/>
              </w:rPr>
            </w:pPr>
            <w:r w:rsidRPr="00EA1BB2">
              <w:rPr>
                <w:rFonts w:ascii="Cambria" w:hAnsi="Cambria"/>
                <w:sz w:val="24"/>
                <w:szCs w:val="24"/>
              </w:rPr>
              <w:t>0,010859</w:t>
            </w:r>
          </w:p>
        </w:tc>
      </w:tr>
      <w:tr w:rsidR="00727823" w:rsidRPr="00EA1BB2" w14:paraId="26763FA7" w14:textId="77777777" w:rsidTr="00A424BD">
        <w:trPr>
          <w:jc w:val="center"/>
        </w:trPr>
        <w:tc>
          <w:tcPr>
            <w:tcW w:w="1832" w:type="pct"/>
            <w:vMerge/>
            <w:vAlign w:val="center"/>
          </w:tcPr>
          <w:p w14:paraId="2DA4BCA0" w14:textId="77777777" w:rsidR="00727823" w:rsidRPr="00EA1BB2" w:rsidRDefault="00727823" w:rsidP="00727823">
            <w:pPr>
              <w:jc w:val="center"/>
              <w:rPr>
                <w:rFonts w:ascii="Cambria" w:hAnsi="Cambria"/>
                <w:sz w:val="24"/>
                <w:szCs w:val="24"/>
              </w:rPr>
            </w:pPr>
          </w:p>
        </w:tc>
        <w:tc>
          <w:tcPr>
            <w:tcW w:w="1668" w:type="pct"/>
            <w:vAlign w:val="center"/>
          </w:tcPr>
          <w:p w14:paraId="23E51E05" w14:textId="77777777" w:rsidR="00727823" w:rsidRPr="00EA1BB2" w:rsidRDefault="00727823" w:rsidP="00727823">
            <w:pPr>
              <w:jc w:val="center"/>
              <w:rPr>
                <w:rFonts w:ascii="Cambria" w:hAnsi="Cambria"/>
                <w:sz w:val="24"/>
                <w:szCs w:val="24"/>
              </w:rPr>
            </w:pPr>
            <w:r w:rsidRPr="00EA1BB2">
              <w:rPr>
                <w:rFonts w:ascii="Cambria" w:hAnsi="Cambria"/>
                <w:sz w:val="24"/>
                <w:szCs w:val="24"/>
              </w:rPr>
              <w:t>TOTAL</w:t>
            </w:r>
          </w:p>
        </w:tc>
        <w:tc>
          <w:tcPr>
            <w:tcW w:w="1500" w:type="pct"/>
            <w:tcBorders>
              <w:top w:val="single" w:sz="4" w:space="0" w:color="auto"/>
              <w:left w:val="nil"/>
              <w:bottom w:val="single" w:sz="4" w:space="0" w:color="auto"/>
              <w:right w:val="single" w:sz="4" w:space="0" w:color="auto"/>
            </w:tcBorders>
            <w:shd w:val="clear" w:color="auto" w:fill="auto"/>
          </w:tcPr>
          <w:p w14:paraId="27BD5BC4" w14:textId="77777777" w:rsidR="00727823" w:rsidRPr="00EA1BB2" w:rsidRDefault="00727823" w:rsidP="00727823">
            <w:pPr>
              <w:jc w:val="right"/>
              <w:rPr>
                <w:rFonts w:ascii="Cambria" w:hAnsi="Cambria"/>
                <w:color w:val="000000"/>
                <w:sz w:val="24"/>
                <w:szCs w:val="24"/>
              </w:rPr>
            </w:pPr>
            <w:r w:rsidRPr="00EA1BB2">
              <w:rPr>
                <w:rFonts w:ascii="Cambria" w:hAnsi="Cambria"/>
                <w:sz w:val="24"/>
                <w:szCs w:val="24"/>
              </w:rPr>
              <w:t>0,068287</w:t>
            </w:r>
          </w:p>
        </w:tc>
      </w:tr>
      <w:tr w:rsidR="00727823" w:rsidRPr="00EA1BB2" w14:paraId="6B8175BD" w14:textId="77777777" w:rsidTr="00A424BD">
        <w:trPr>
          <w:jc w:val="center"/>
        </w:trPr>
        <w:tc>
          <w:tcPr>
            <w:tcW w:w="1832" w:type="pct"/>
            <w:vMerge w:val="restart"/>
            <w:vAlign w:val="center"/>
          </w:tcPr>
          <w:p w14:paraId="2174AE28" w14:textId="77777777" w:rsidR="00727823" w:rsidRPr="00EA1BB2" w:rsidRDefault="00727823" w:rsidP="00727823">
            <w:pPr>
              <w:jc w:val="center"/>
              <w:rPr>
                <w:rFonts w:ascii="Cambria" w:hAnsi="Cambria"/>
                <w:sz w:val="24"/>
                <w:szCs w:val="24"/>
              </w:rPr>
            </w:pPr>
            <w:r w:rsidRPr="00EA1BB2">
              <w:rPr>
                <w:rFonts w:ascii="Cambria" w:hAnsi="Cambria"/>
                <w:sz w:val="24"/>
                <w:szCs w:val="24"/>
              </w:rPr>
              <w:t xml:space="preserve">Arsen </w:t>
            </w:r>
          </w:p>
          <w:p w14:paraId="1449E8C2" w14:textId="77777777" w:rsidR="00727823" w:rsidRPr="00EA1BB2" w:rsidRDefault="00727823" w:rsidP="00727823">
            <w:pPr>
              <w:jc w:val="center"/>
              <w:rPr>
                <w:rFonts w:ascii="Cambria" w:hAnsi="Cambria"/>
                <w:sz w:val="24"/>
                <w:szCs w:val="24"/>
              </w:rPr>
            </w:pPr>
            <w:r w:rsidRPr="00EA1BB2">
              <w:rPr>
                <w:rFonts w:ascii="Cambria" w:hAnsi="Cambria"/>
                <w:sz w:val="24"/>
                <w:szCs w:val="24"/>
              </w:rPr>
              <w:t>(As)</w:t>
            </w:r>
          </w:p>
        </w:tc>
        <w:tc>
          <w:tcPr>
            <w:tcW w:w="1668" w:type="pct"/>
            <w:vAlign w:val="center"/>
          </w:tcPr>
          <w:p w14:paraId="7273251A" w14:textId="77777777" w:rsidR="00727823" w:rsidRPr="00EA1BB2" w:rsidRDefault="00727823" w:rsidP="00727823">
            <w:pPr>
              <w:jc w:val="center"/>
              <w:rPr>
                <w:rFonts w:ascii="Cambria" w:hAnsi="Cambria"/>
                <w:sz w:val="24"/>
                <w:szCs w:val="24"/>
              </w:rPr>
            </w:pPr>
            <w:r w:rsidRPr="00EA1BB2">
              <w:rPr>
                <w:rFonts w:ascii="Cambria" w:hAnsi="Cambria"/>
                <w:sz w:val="24"/>
                <w:szCs w:val="24"/>
              </w:rPr>
              <w:t>Surse staționare</w:t>
            </w:r>
          </w:p>
        </w:tc>
        <w:tc>
          <w:tcPr>
            <w:tcW w:w="1500" w:type="pct"/>
            <w:tcBorders>
              <w:top w:val="single" w:sz="4" w:space="0" w:color="auto"/>
              <w:left w:val="nil"/>
              <w:bottom w:val="single" w:sz="4" w:space="0" w:color="auto"/>
              <w:right w:val="single" w:sz="4" w:space="0" w:color="auto"/>
            </w:tcBorders>
            <w:shd w:val="clear" w:color="auto" w:fill="auto"/>
          </w:tcPr>
          <w:p w14:paraId="4663535A" w14:textId="77777777" w:rsidR="00727823" w:rsidRPr="00EA1BB2" w:rsidRDefault="00727823" w:rsidP="00727823">
            <w:pPr>
              <w:jc w:val="right"/>
              <w:rPr>
                <w:rFonts w:ascii="Cambria" w:hAnsi="Cambria"/>
                <w:color w:val="000000"/>
                <w:sz w:val="24"/>
                <w:szCs w:val="24"/>
              </w:rPr>
            </w:pPr>
            <w:r w:rsidRPr="00EA1BB2">
              <w:rPr>
                <w:rFonts w:ascii="Cambria" w:hAnsi="Cambria"/>
                <w:sz w:val="24"/>
                <w:szCs w:val="24"/>
              </w:rPr>
              <w:t>0,000279</w:t>
            </w:r>
          </w:p>
        </w:tc>
      </w:tr>
      <w:tr w:rsidR="00727823" w:rsidRPr="00EA1BB2" w14:paraId="77633FF3" w14:textId="77777777" w:rsidTr="00A424BD">
        <w:trPr>
          <w:jc w:val="center"/>
        </w:trPr>
        <w:tc>
          <w:tcPr>
            <w:tcW w:w="1832" w:type="pct"/>
            <w:vMerge/>
            <w:vAlign w:val="center"/>
          </w:tcPr>
          <w:p w14:paraId="608ECFE4" w14:textId="77777777" w:rsidR="00727823" w:rsidRPr="00EA1BB2" w:rsidRDefault="00727823" w:rsidP="00727823">
            <w:pPr>
              <w:jc w:val="center"/>
              <w:rPr>
                <w:rFonts w:ascii="Cambria" w:hAnsi="Cambria"/>
                <w:sz w:val="24"/>
                <w:szCs w:val="24"/>
              </w:rPr>
            </w:pPr>
          </w:p>
        </w:tc>
        <w:tc>
          <w:tcPr>
            <w:tcW w:w="1668" w:type="pct"/>
            <w:vAlign w:val="center"/>
          </w:tcPr>
          <w:p w14:paraId="61CA3DF6" w14:textId="77777777" w:rsidR="00727823" w:rsidRPr="00EA1BB2" w:rsidRDefault="00727823" w:rsidP="00727823">
            <w:pPr>
              <w:jc w:val="center"/>
              <w:rPr>
                <w:rFonts w:ascii="Cambria" w:hAnsi="Cambria"/>
                <w:sz w:val="24"/>
                <w:szCs w:val="24"/>
              </w:rPr>
            </w:pPr>
            <w:r w:rsidRPr="00EA1BB2">
              <w:rPr>
                <w:rFonts w:ascii="Cambria" w:hAnsi="Cambria"/>
                <w:sz w:val="24"/>
                <w:szCs w:val="24"/>
              </w:rPr>
              <w:t>Surse mobile</w:t>
            </w:r>
          </w:p>
        </w:tc>
        <w:tc>
          <w:tcPr>
            <w:tcW w:w="1500" w:type="pct"/>
            <w:tcBorders>
              <w:top w:val="single" w:sz="4" w:space="0" w:color="auto"/>
              <w:left w:val="nil"/>
              <w:bottom w:val="single" w:sz="4" w:space="0" w:color="auto"/>
              <w:right w:val="single" w:sz="4" w:space="0" w:color="auto"/>
            </w:tcBorders>
            <w:shd w:val="clear" w:color="auto" w:fill="auto"/>
          </w:tcPr>
          <w:p w14:paraId="26B7E1EE" w14:textId="77777777" w:rsidR="00727823" w:rsidRPr="00EA1BB2" w:rsidRDefault="00727823" w:rsidP="00727823">
            <w:pPr>
              <w:jc w:val="right"/>
              <w:rPr>
                <w:rFonts w:ascii="Cambria" w:hAnsi="Cambria"/>
                <w:color w:val="000000"/>
                <w:sz w:val="24"/>
                <w:szCs w:val="24"/>
              </w:rPr>
            </w:pPr>
          </w:p>
        </w:tc>
      </w:tr>
      <w:tr w:rsidR="00727823" w:rsidRPr="00EA1BB2" w14:paraId="187374EC" w14:textId="77777777" w:rsidTr="00A424BD">
        <w:trPr>
          <w:jc w:val="center"/>
        </w:trPr>
        <w:tc>
          <w:tcPr>
            <w:tcW w:w="1832" w:type="pct"/>
            <w:vMerge/>
            <w:vAlign w:val="center"/>
          </w:tcPr>
          <w:p w14:paraId="35993AF9" w14:textId="77777777" w:rsidR="00727823" w:rsidRPr="00EA1BB2" w:rsidRDefault="00727823" w:rsidP="00727823">
            <w:pPr>
              <w:jc w:val="center"/>
              <w:rPr>
                <w:rFonts w:ascii="Cambria" w:hAnsi="Cambria"/>
                <w:sz w:val="24"/>
                <w:szCs w:val="24"/>
              </w:rPr>
            </w:pPr>
          </w:p>
        </w:tc>
        <w:tc>
          <w:tcPr>
            <w:tcW w:w="1668" w:type="pct"/>
            <w:vAlign w:val="center"/>
          </w:tcPr>
          <w:p w14:paraId="5278394C" w14:textId="77777777" w:rsidR="00727823" w:rsidRPr="00EA1BB2" w:rsidRDefault="00727823" w:rsidP="00727823">
            <w:pPr>
              <w:jc w:val="center"/>
              <w:rPr>
                <w:rFonts w:ascii="Cambria" w:hAnsi="Cambria"/>
                <w:sz w:val="24"/>
                <w:szCs w:val="24"/>
              </w:rPr>
            </w:pPr>
            <w:r w:rsidRPr="00EA1BB2">
              <w:rPr>
                <w:rFonts w:ascii="Cambria" w:hAnsi="Cambria"/>
                <w:sz w:val="24"/>
                <w:szCs w:val="24"/>
              </w:rPr>
              <w:t>Surse de suprafață</w:t>
            </w:r>
          </w:p>
        </w:tc>
        <w:tc>
          <w:tcPr>
            <w:tcW w:w="1500" w:type="pct"/>
            <w:tcBorders>
              <w:top w:val="single" w:sz="4" w:space="0" w:color="auto"/>
              <w:left w:val="nil"/>
              <w:bottom w:val="single" w:sz="4" w:space="0" w:color="auto"/>
              <w:right w:val="single" w:sz="4" w:space="0" w:color="auto"/>
            </w:tcBorders>
            <w:shd w:val="clear" w:color="auto" w:fill="auto"/>
          </w:tcPr>
          <w:p w14:paraId="693B0674" w14:textId="77777777" w:rsidR="00727823" w:rsidRPr="00EA1BB2" w:rsidRDefault="00727823" w:rsidP="00727823">
            <w:pPr>
              <w:jc w:val="right"/>
              <w:rPr>
                <w:rFonts w:ascii="Cambria" w:hAnsi="Cambria"/>
                <w:color w:val="000000"/>
                <w:sz w:val="24"/>
                <w:szCs w:val="24"/>
              </w:rPr>
            </w:pPr>
            <w:r w:rsidRPr="00EA1BB2">
              <w:rPr>
                <w:rFonts w:ascii="Cambria" w:hAnsi="Cambria"/>
                <w:sz w:val="24"/>
                <w:szCs w:val="24"/>
              </w:rPr>
              <w:t>0,000272</w:t>
            </w:r>
          </w:p>
        </w:tc>
      </w:tr>
      <w:tr w:rsidR="00727823" w:rsidRPr="00EA1BB2" w14:paraId="12CCA57E" w14:textId="77777777" w:rsidTr="00A424BD">
        <w:trPr>
          <w:jc w:val="center"/>
        </w:trPr>
        <w:tc>
          <w:tcPr>
            <w:tcW w:w="1832" w:type="pct"/>
            <w:vMerge/>
            <w:vAlign w:val="center"/>
          </w:tcPr>
          <w:p w14:paraId="205940FA" w14:textId="77777777" w:rsidR="00727823" w:rsidRPr="00EA1BB2" w:rsidRDefault="00727823" w:rsidP="00727823">
            <w:pPr>
              <w:jc w:val="center"/>
              <w:rPr>
                <w:rFonts w:ascii="Cambria" w:hAnsi="Cambria"/>
                <w:sz w:val="24"/>
                <w:szCs w:val="24"/>
              </w:rPr>
            </w:pPr>
          </w:p>
        </w:tc>
        <w:tc>
          <w:tcPr>
            <w:tcW w:w="1668" w:type="pct"/>
            <w:vAlign w:val="center"/>
          </w:tcPr>
          <w:p w14:paraId="1B1E75FD" w14:textId="77777777" w:rsidR="00727823" w:rsidRPr="00EA1BB2" w:rsidRDefault="00727823" w:rsidP="00727823">
            <w:pPr>
              <w:jc w:val="center"/>
              <w:rPr>
                <w:rFonts w:ascii="Cambria" w:hAnsi="Cambria"/>
                <w:sz w:val="24"/>
                <w:szCs w:val="24"/>
              </w:rPr>
            </w:pPr>
            <w:r w:rsidRPr="00EA1BB2">
              <w:rPr>
                <w:rFonts w:ascii="Cambria" w:hAnsi="Cambria"/>
                <w:sz w:val="24"/>
                <w:szCs w:val="24"/>
              </w:rPr>
              <w:t>TOTAL</w:t>
            </w:r>
          </w:p>
        </w:tc>
        <w:tc>
          <w:tcPr>
            <w:tcW w:w="1500" w:type="pct"/>
            <w:tcBorders>
              <w:top w:val="single" w:sz="4" w:space="0" w:color="auto"/>
              <w:left w:val="nil"/>
              <w:bottom w:val="single" w:sz="4" w:space="0" w:color="auto"/>
              <w:right w:val="single" w:sz="4" w:space="0" w:color="auto"/>
            </w:tcBorders>
            <w:shd w:val="clear" w:color="auto" w:fill="auto"/>
          </w:tcPr>
          <w:p w14:paraId="7AA1231A" w14:textId="77777777" w:rsidR="00727823" w:rsidRPr="00EA1BB2" w:rsidRDefault="00727823" w:rsidP="00727823">
            <w:pPr>
              <w:jc w:val="right"/>
              <w:rPr>
                <w:rFonts w:ascii="Cambria" w:hAnsi="Cambria"/>
                <w:color w:val="000000"/>
                <w:sz w:val="24"/>
                <w:szCs w:val="24"/>
              </w:rPr>
            </w:pPr>
            <w:r w:rsidRPr="00EA1BB2">
              <w:rPr>
                <w:rFonts w:ascii="Cambria" w:hAnsi="Cambria"/>
                <w:sz w:val="24"/>
                <w:szCs w:val="24"/>
              </w:rPr>
              <w:t>0,000551</w:t>
            </w:r>
          </w:p>
        </w:tc>
      </w:tr>
      <w:tr w:rsidR="00727823" w:rsidRPr="00EA1BB2" w14:paraId="559691F7" w14:textId="77777777" w:rsidTr="00A424BD">
        <w:trPr>
          <w:jc w:val="center"/>
        </w:trPr>
        <w:tc>
          <w:tcPr>
            <w:tcW w:w="1832" w:type="pct"/>
            <w:vMerge w:val="restart"/>
            <w:vAlign w:val="center"/>
          </w:tcPr>
          <w:p w14:paraId="4FF58ECA" w14:textId="77777777" w:rsidR="00727823" w:rsidRPr="00EA1BB2" w:rsidRDefault="00727823" w:rsidP="00727823">
            <w:pPr>
              <w:jc w:val="center"/>
              <w:rPr>
                <w:rFonts w:ascii="Cambria" w:hAnsi="Cambria"/>
                <w:sz w:val="24"/>
                <w:szCs w:val="24"/>
              </w:rPr>
            </w:pPr>
            <w:r w:rsidRPr="00EA1BB2">
              <w:rPr>
                <w:rFonts w:ascii="Cambria" w:hAnsi="Cambria"/>
                <w:sz w:val="24"/>
                <w:szCs w:val="24"/>
              </w:rPr>
              <w:t>Cadmiu (Cd)</w:t>
            </w:r>
          </w:p>
        </w:tc>
        <w:tc>
          <w:tcPr>
            <w:tcW w:w="1668" w:type="pct"/>
            <w:vAlign w:val="center"/>
          </w:tcPr>
          <w:p w14:paraId="1A73C82E" w14:textId="77777777" w:rsidR="00727823" w:rsidRPr="00EA1BB2" w:rsidRDefault="00727823" w:rsidP="00727823">
            <w:pPr>
              <w:jc w:val="center"/>
              <w:rPr>
                <w:rFonts w:ascii="Cambria" w:hAnsi="Cambria"/>
                <w:sz w:val="24"/>
                <w:szCs w:val="24"/>
              </w:rPr>
            </w:pPr>
            <w:r w:rsidRPr="00EA1BB2">
              <w:rPr>
                <w:rFonts w:ascii="Cambria" w:hAnsi="Cambria"/>
                <w:sz w:val="24"/>
                <w:szCs w:val="24"/>
              </w:rPr>
              <w:t>Surse staționare</w:t>
            </w:r>
          </w:p>
        </w:tc>
        <w:tc>
          <w:tcPr>
            <w:tcW w:w="1500" w:type="pct"/>
            <w:tcBorders>
              <w:top w:val="single" w:sz="4" w:space="0" w:color="auto"/>
              <w:left w:val="nil"/>
              <w:bottom w:val="single" w:sz="4" w:space="0" w:color="auto"/>
              <w:right w:val="single" w:sz="4" w:space="0" w:color="auto"/>
            </w:tcBorders>
            <w:shd w:val="clear" w:color="auto" w:fill="auto"/>
          </w:tcPr>
          <w:p w14:paraId="66D35CA8" w14:textId="77777777" w:rsidR="00727823" w:rsidRPr="00EA1BB2" w:rsidRDefault="00727823" w:rsidP="00727823">
            <w:pPr>
              <w:jc w:val="right"/>
              <w:rPr>
                <w:rFonts w:ascii="Cambria" w:hAnsi="Cambria"/>
                <w:color w:val="000000"/>
                <w:sz w:val="24"/>
                <w:szCs w:val="24"/>
              </w:rPr>
            </w:pPr>
            <w:r w:rsidRPr="00EA1BB2">
              <w:rPr>
                <w:rFonts w:ascii="Cambria" w:hAnsi="Cambria"/>
                <w:sz w:val="24"/>
                <w:szCs w:val="24"/>
              </w:rPr>
              <w:t>0,000502</w:t>
            </w:r>
          </w:p>
        </w:tc>
      </w:tr>
      <w:tr w:rsidR="00727823" w:rsidRPr="00EA1BB2" w14:paraId="7A7CF1F6" w14:textId="77777777" w:rsidTr="00A424BD">
        <w:trPr>
          <w:jc w:val="center"/>
        </w:trPr>
        <w:tc>
          <w:tcPr>
            <w:tcW w:w="1832" w:type="pct"/>
            <w:vMerge/>
            <w:vAlign w:val="center"/>
          </w:tcPr>
          <w:p w14:paraId="0C6A9104" w14:textId="77777777" w:rsidR="00727823" w:rsidRPr="00EA1BB2" w:rsidRDefault="00727823" w:rsidP="00727823">
            <w:pPr>
              <w:jc w:val="center"/>
              <w:rPr>
                <w:rFonts w:ascii="Cambria" w:hAnsi="Cambria"/>
                <w:sz w:val="24"/>
                <w:szCs w:val="24"/>
              </w:rPr>
            </w:pPr>
          </w:p>
        </w:tc>
        <w:tc>
          <w:tcPr>
            <w:tcW w:w="1668" w:type="pct"/>
            <w:vAlign w:val="center"/>
          </w:tcPr>
          <w:p w14:paraId="6F4A0996" w14:textId="77777777" w:rsidR="00727823" w:rsidRPr="00EA1BB2" w:rsidRDefault="00727823" w:rsidP="00727823">
            <w:pPr>
              <w:jc w:val="center"/>
              <w:rPr>
                <w:rFonts w:ascii="Cambria" w:hAnsi="Cambria"/>
                <w:sz w:val="24"/>
                <w:szCs w:val="24"/>
              </w:rPr>
            </w:pPr>
            <w:r w:rsidRPr="00EA1BB2">
              <w:rPr>
                <w:rFonts w:ascii="Cambria" w:hAnsi="Cambria"/>
                <w:sz w:val="24"/>
                <w:szCs w:val="24"/>
              </w:rPr>
              <w:t>Surse mobile</w:t>
            </w:r>
          </w:p>
        </w:tc>
        <w:tc>
          <w:tcPr>
            <w:tcW w:w="1500" w:type="pct"/>
            <w:tcBorders>
              <w:top w:val="single" w:sz="4" w:space="0" w:color="auto"/>
              <w:left w:val="nil"/>
              <w:bottom w:val="single" w:sz="4" w:space="0" w:color="auto"/>
              <w:right w:val="single" w:sz="4" w:space="0" w:color="auto"/>
            </w:tcBorders>
            <w:shd w:val="clear" w:color="auto" w:fill="auto"/>
          </w:tcPr>
          <w:p w14:paraId="065EB61C" w14:textId="77777777" w:rsidR="00727823" w:rsidRPr="00EA1BB2" w:rsidRDefault="00727823" w:rsidP="00727823">
            <w:pPr>
              <w:jc w:val="right"/>
              <w:rPr>
                <w:rFonts w:ascii="Cambria" w:hAnsi="Cambria"/>
                <w:color w:val="000000"/>
                <w:sz w:val="24"/>
                <w:szCs w:val="24"/>
              </w:rPr>
            </w:pPr>
            <w:r w:rsidRPr="00EA1BB2">
              <w:rPr>
                <w:rFonts w:ascii="Cambria" w:hAnsi="Cambria"/>
                <w:sz w:val="24"/>
                <w:szCs w:val="24"/>
              </w:rPr>
              <w:t>0,000546</w:t>
            </w:r>
          </w:p>
        </w:tc>
      </w:tr>
      <w:tr w:rsidR="00727823" w:rsidRPr="00EA1BB2" w14:paraId="04E25BEC" w14:textId="77777777" w:rsidTr="00A424BD">
        <w:trPr>
          <w:jc w:val="center"/>
        </w:trPr>
        <w:tc>
          <w:tcPr>
            <w:tcW w:w="1832" w:type="pct"/>
            <w:vMerge/>
            <w:vAlign w:val="center"/>
          </w:tcPr>
          <w:p w14:paraId="265B6780" w14:textId="77777777" w:rsidR="00727823" w:rsidRPr="00EA1BB2" w:rsidRDefault="00727823" w:rsidP="00727823">
            <w:pPr>
              <w:jc w:val="center"/>
              <w:rPr>
                <w:rFonts w:ascii="Cambria" w:hAnsi="Cambria"/>
                <w:sz w:val="24"/>
                <w:szCs w:val="24"/>
              </w:rPr>
            </w:pPr>
          </w:p>
        </w:tc>
        <w:tc>
          <w:tcPr>
            <w:tcW w:w="1668" w:type="pct"/>
            <w:vAlign w:val="center"/>
          </w:tcPr>
          <w:p w14:paraId="1B9E5A2A" w14:textId="77777777" w:rsidR="00727823" w:rsidRPr="00EA1BB2" w:rsidRDefault="00727823" w:rsidP="00727823">
            <w:pPr>
              <w:jc w:val="center"/>
              <w:rPr>
                <w:rFonts w:ascii="Cambria" w:hAnsi="Cambria"/>
                <w:sz w:val="24"/>
                <w:szCs w:val="24"/>
              </w:rPr>
            </w:pPr>
            <w:r w:rsidRPr="00EA1BB2">
              <w:rPr>
                <w:rFonts w:ascii="Cambria" w:hAnsi="Cambria"/>
                <w:sz w:val="24"/>
                <w:szCs w:val="24"/>
              </w:rPr>
              <w:t>Surse de suprafață</w:t>
            </w:r>
          </w:p>
        </w:tc>
        <w:tc>
          <w:tcPr>
            <w:tcW w:w="1500" w:type="pct"/>
            <w:tcBorders>
              <w:top w:val="single" w:sz="4" w:space="0" w:color="auto"/>
              <w:left w:val="nil"/>
              <w:bottom w:val="single" w:sz="4" w:space="0" w:color="auto"/>
              <w:right w:val="single" w:sz="4" w:space="0" w:color="auto"/>
            </w:tcBorders>
            <w:shd w:val="clear" w:color="auto" w:fill="auto"/>
          </w:tcPr>
          <w:p w14:paraId="24F5CDBC" w14:textId="77777777" w:rsidR="00727823" w:rsidRPr="00EA1BB2" w:rsidRDefault="00727823" w:rsidP="00727823">
            <w:pPr>
              <w:jc w:val="right"/>
              <w:rPr>
                <w:rFonts w:ascii="Cambria" w:hAnsi="Cambria"/>
                <w:color w:val="000000"/>
                <w:sz w:val="24"/>
                <w:szCs w:val="24"/>
              </w:rPr>
            </w:pPr>
            <w:r w:rsidRPr="00EA1BB2">
              <w:rPr>
                <w:rFonts w:ascii="Cambria" w:hAnsi="Cambria"/>
                <w:sz w:val="24"/>
                <w:szCs w:val="24"/>
              </w:rPr>
              <w:t>0,000461</w:t>
            </w:r>
          </w:p>
        </w:tc>
      </w:tr>
      <w:tr w:rsidR="00727823" w:rsidRPr="00EA1BB2" w14:paraId="50FCA7CA" w14:textId="77777777" w:rsidTr="00A424BD">
        <w:trPr>
          <w:jc w:val="center"/>
        </w:trPr>
        <w:tc>
          <w:tcPr>
            <w:tcW w:w="1832" w:type="pct"/>
            <w:vMerge/>
            <w:vAlign w:val="center"/>
          </w:tcPr>
          <w:p w14:paraId="7AED302B" w14:textId="77777777" w:rsidR="00727823" w:rsidRPr="00EA1BB2" w:rsidRDefault="00727823" w:rsidP="00727823">
            <w:pPr>
              <w:jc w:val="center"/>
              <w:rPr>
                <w:rFonts w:ascii="Cambria" w:hAnsi="Cambria"/>
                <w:sz w:val="24"/>
                <w:szCs w:val="24"/>
              </w:rPr>
            </w:pPr>
          </w:p>
        </w:tc>
        <w:tc>
          <w:tcPr>
            <w:tcW w:w="1668" w:type="pct"/>
            <w:vAlign w:val="center"/>
          </w:tcPr>
          <w:p w14:paraId="785DCDBD" w14:textId="77777777" w:rsidR="00727823" w:rsidRPr="00EA1BB2" w:rsidRDefault="00727823" w:rsidP="00727823">
            <w:pPr>
              <w:jc w:val="center"/>
              <w:rPr>
                <w:rFonts w:ascii="Cambria" w:hAnsi="Cambria"/>
                <w:sz w:val="24"/>
                <w:szCs w:val="24"/>
              </w:rPr>
            </w:pPr>
            <w:r w:rsidRPr="00EA1BB2">
              <w:rPr>
                <w:rFonts w:ascii="Cambria" w:hAnsi="Cambria"/>
                <w:sz w:val="24"/>
                <w:szCs w:val="24"/>
              </w:rPr>
              <w:t>TOTAL</w:t>
            </w:r>
          </w:p>
        </w:tc>
        <w:tc>
          <w:tcPr>
            <w:tcW w:w="1500" w:type="pct"/>
            <w:tcBorders>
              <w:top w:val="single" w:sz="4" w:space="0" w:color="auto"/>
              <w:left w:val="nil"/>
              <w:bottom w:val="single" w:sz="4" w:space="0" w:color="auto"/>
              <w:right w:val="single" w:sz="4" w:space="0" w:color="auto"/>
            </w:tcBorders>
            <w:shd w:val="clear" w:color="auto" w:fill="auto"/>
          </w:tcPr>
          <w:p w14:paraId="41AAD00F" w14:textId="77777777" w:rsidR="00727823" w:rsidRPr="00EA1BB2" w:rsidRDefault="00727823" w:rsidP="00727823">
            <w:pPr>
              <w:jc w:val="right"/>
              <w:rPr>
                <w:rFonts w:ascii="Cambria" w:hAnsi="Cambria"/>
                <w:color w:val="000000"/>
                <w:sz w:val="24"/>
                <w:szCs w:val="24"/>
              </w:rPr>
            </w:pPr>
            <w:r w:rsidRPr="00EA1BB2">
              <w:rPr>
                <w:rFonts w:ascii="Cambria" w:hAnsi="Cambria"/>
                <w:sz w:val="24"/>
                <w:szCs w:val="24"/>
              </w:rPr>
              <w:t>0,001509</w:t>
            </w:r>
          </w:p>
        </w:tc>
      </w:tr>
    </w:tbl>
    <w:p w14:paraId="07BDD025" w14:textId="77777777" w:rsidR="00343667" w:rsidRPr="00EA1BB2" w:rsidRDefault="00343667" w:rsidP="00C75800">
      <w:pPr>
        <w:autoSpaceDE w:val="0"/>
        <w:autoSpaceDN w:val="0"/>
        <w:adjustRightInd w:val="0"/>
        <w:jc w:val="both"/>
        <w:rPr>
          <w:rFonts w:ascii="Cambria" w:hAnsi="Cambria"/>
          <w:szCs w:val="24"/>
        </w:rPr>
      </w:pPr>
      <w:r w:rsidRPr="00EA1BB2">
        <w:rPr>
          <w:rFonts w:ascii="Cambria" w:hAnsi="Cambria"/>
          <w:szCs w:val="24"/>
        </w:rPr>
        <w:t>*cu excep</w:t>
      </w:r>
      <w:r w:rsidR="00054880" w:rsidRPr="00EA1BB2">
        <w:rPr>
          <w:rFonts w:ascii="Cambria" w:hAnsi="Cambria"/>
          <w:szCs w:val="24"/>
        </w:rPr>
        <w:t>ț</w:t>
      </w:r>
      <w:r w:rsidRPr="00EA1BB2">
        <w:rPr>
          <w:rFonts w:ascii="Cambria" w:hAnsi="Cambria"/>
          <w:szCs w:val="24"/>
        </w:rPr>
        <w:t>ia municipiului Brăila</w:t>
      </w:r>
    </w:p>
    <w:p w14:paraId="17E6D42A" w14:textId="25A39E59" w:rsidR="00AF02E7" w:rsidRPr="00EA1BB2" w:rsidRDefault="00AF02E7" w:rsidP="00C75800">
      <w:pPr>
        <w:autoSpaceDE w:val="0"/>
        <w:autoSpaceDN w:val="0"/>
        <w:adjustRightInd w:val="0"/>
        <w:jc w:val="both"/>
        <w:rPr>
          <w:rFonts w:ascii="Cambria" w:hAnsi="Cambria"/>
          <w:szCs w:val="24"/>
        </w:rPr>
      </w:pPr>
      <w:r w:rsidRPr="00EA1BB2">
        <w:rPr>
          <w:rFonts w:ascii="Cambria" w:hAnsi="Cambria"/>
          <w:szCs w:val="24"/>
        </w:rPr>
        <w:t>** inclusiv emisii din</w:t>
      </w:r>
      <w:r w:rsidR="00A909DC" w:rsidRPr="00EA1BB2">
        <w:rPr>
          <w:rFonts w:ascii="Cambria" w:hAnsi="Cambria"/>
          <w:szCs w:val="24"/>
        </w:rPr>
        <w:t xml:space="preserve"> </w:t>
      </w:r>
      <w:r w:rsidRPr="00EA1BB2">
        <w:rPr>
          <w:rFonts w:ascii="Cambria" w:hAnsi="Cambria"/>
          <w:szCs w:val="24"/>
        </w:rPr>
        <w:t>transport naval național</w:t>
      </w:r>
    </w:p>
    <w:p w14:paraId="0D6615FE" w14:textId="77777777" w:rsidR="007D3F70" w:rsidRPr="00EA1BB2" w:rsidRDefault="007D3F70" w:rsidP="007D3F70">
      <w:pPr>
        <w:spacing w:line="276" w:lineRule="auto"/>
        <w:jc w:val="both"/>
        <w:rPr>
          <w:rFonts w:ascii="Cambria" w:hAnsi="Cambria"/>
          <w:szCs w:val="24"/>
        </w:rPr>
      </w:pPr>
      <w:r w:rsidRPr="00EA1BB2">
        <w:rPr>
          <w:rFonts w:ascii="Cambria" w:hAnsi="Cambria"/>
          <w:szCs w:val="24"/>
        </w:rPr>
        <w:t xml:space="preserve">*** </w:t>
      </w:r>
      <w:r w:rsidRPr="00EA1BB2">
        <w:rPr>
          <w:rFonts w:ascii="Cambria" w:eastAsia="Times New Roman" w:hAnsi="Cambria" w:cs="Times New Roman"/>
          <w:szCs w:val="24"/>
        </w:rPr>
        <w:t>Benzenul a fost calculat ca provenind din emisiile de NMVOC conform EMEP/EEA Emission Inventory Guidebook 2009</w:t>
      </w:r>
    </w:p>
    <w:p w14:paraId="206676BC" w14:textId="74A54245" w:rsidR="00343667" w:rsidRPr="00EA1BB2" w:rsidRDefault="00343667" w:rsidP="00C75800">
      <w:pPr>
        <w:autoSpaceDE w:val="0"/>
        <w:autoSpaceDN w:val="0"/>
        <w:adjustRightInd w:val="0"/>
        <w:jc w:val="both"/>
        <w:rPr>
          <w:rFonts w:ascii="Cambria" w:hAnsi="Cambria"/>
          <w:szCs w:val="24"/>
        </w:rPr>
      </w:pPr>
      <w:r w:rsidRPr="00EA1BB2">
        <w:rPr>
          <w:rFonts w:ascii="Cambria" w:hAnsi="Cambria"/>
          <w:szCs w:val="24"/>
        </w:rPr>
        <w:t>Sursa</w:t>
      </w:r>
      <w:r w:rsidR="00C75800" w:rsidRPr="00EA1BB2">
        <w:rPr>
          <w:rFonts w:ascii="Cambria" w:hAnsi="Cambria"/>
          <w:szCs w:val="24"/>
        </w:rPr>
        <w:t xml:space="preserve"> date</w:t>
      </w:r>
      <w:r w:rsidRPr="00EA1BB2">
        <w:rPr>
          <w:rFonts w:ascii="Cambria" w:hAnsi="Cambria"/>
          <w:szCs w:val="24"/>
        </w:rPr>
        <w:t xml:space="preserve">: Inventar local de emisii </w:t>
      </w:r>
      <w:r w:rsidR="00D82B75" w:rsidRPr="00EA1BB2">
        <w:rPr>
          <w:rFonts w:ascii="Cambria" w:hAnsi="Cambria"/>
          <w:szCs w:val="24"/>
        </w:rPr>
        <w:t>și</w:t>
      </w:r>
      <w:r w:rsidR="00A909DC" w:rsidRPr="00EA1BB2">
        <w:rPr>
          <w:rFonts w:ascii="Cambria" w:hAnsi="Cambria"/>
          <w:szCs w:val="24"/>
        </w:rPr>
        <w:t xml:space="preserve"> </w:t>
      </w:r>
      <w:r w:rsidR="00D82B75" w:rsidRPr="00EA1BB2">
        <w:rPr>
          <w:rFonts w:ascii="Cambria" w:hAnsi="Cambria"/>
          <w:szCs w:val="24"/>
        </w:rPr>
        <w:t xml:space="preserve">Inventar emisii trafic (Copert) 2013 </w:t>
      </w:r>
    </w:p>
    <w:p w14:paraId="15E5CC63" w14:textId="77777777" w:rsidR="00FE74D8" w:rsidRPr="00EA1BB2" w:rsidRDefault="00FE74D8" w:rsidP="00194FF0">
      <w:pPr>
        <w:autoSpaceDE w:val="0"/>
        <w:autoSpaceDN w:val="0"/>
        <w:adjustRightInd w:val="0"/>
        <w:spacing w:line="360" w:lineRule="auto"/>
        <w:jc w:val="both"/>
        <w:rPr>
          <w:rFonts w:ascii="Cambria" w:hAnsi="Cambria"/>
          <w:sz w:val="24"/>
          <w:szCs w:val="24"/>
        </w:rPr>
      </w:pPr>
    </w:p>
    <w:p w14:paraId="2BDEAD62" w14:textId="77777777" w:rsidR="00BE0BB8" w:rsidRPr="00EA1BB2" w:rsidRDefault="00191A99" w:rsidP="00C75800">
      <w:pPr>
        <w:autoSpaceDE w:val="0"/>
        <w:autoSpaceDN w:val="0"/>
        <w:adjustRightInd w:val="0"/>
        <w:spacing w:line="360" w:lineRule="auto"/>
        <w:ind w:firstLine="708"/>
        <w:jc w:val="both"/>
      </w:pPr>
      <w:r w:rsidRPr="00EA1BB2">
        <w:rPr>
          <w:rFonts w:ascii="Cambria" w:hAnsi="Cambria"/>
          <w:sz w:val="24"/>
          <w:szCs w:val="24"/>
        </w:rPr>
        <w:t xml:space="preserve">Emisiile de NOx din surse mobile au fost reevaluate pentru zona Brăila, iar emisiile de </w:t>
      </w:r>
      <w:r w:rsidR="00AF02E7" w:rsidRPr="00EA1BB2">
        <w:rPr>
          <w:rFonts w:ascii="Cambria" w:eastAsia="Calibri" w:hAnsi="Cambria" w:cs="Arial"/>
          <w:sz w:val="24"/>
          <w:szCs w:val="24"/>
        </w:rPr>
        <w:t>pulberi în suspensie (PM</w:t>
      </w:r>
      <w:r w:rsidR="00AF02E7" w:rsidRPr="00EA1BB2">
        <w:rPr>
          <w:rFonts w:ascii="Cambria" w:eastAsia="Calibri" w:hAnsi="Cambria" w:cs="Arial"/>
          <w:sz w:val="24"/>
          <w:szCs w:val="24"/>
          <w:vertAlign w:val="subscript"/>
        </w:rPr>
        <w:t>10</w:t>
      </w:r>
      <w:r w:rsidR="00AF02E7" w:rsidRPr="00EA1BB2">
        <w:rPr>
          <w:rFonts w:ascii="Cambria" w:eastAsia="Calibri" w:hAnsi="Cambria" w:cs="Arial"/>
          <w:sz w:val="24"/>
          <w:szCs w:val="24"/>
        </w:rPr>
        <w:t>, PM</w:t>
      </w:r>
      <w:r w:rsidR="00AF02E7" w:rsidRPr="00EA1BB2">
        <w:rPr>
          <w:rFonts w:ascii="Cambria" w:eastAsia="Calibri" w:hAnsi="Cambria" w:cs="Arial"/>
          <w:sz w:val="24"/>
          <w:szCs w:val="24"/>
          <w:vertAlign w:val="subscript"/>
        </w:rPr>
        <w:t>2,5</w:t>
      </w:r>
      <w:r w:rsidR="00AF02E7" w:rsidRPr="00EA1BB2">
        <w:rPr>
          <w:rFonts w:ascii="Cambria" w:eastAsia="Calibri" w:hAnsi="Cambria" w:cs="Arial"/>
          <w:sz w:val="24"/>
          <w:szCs w:val="24"/>
        </w:rPr>
        <w:t xml:space="preserve">) din surse mobile </w:t>
      </w:r>
      <w:r w:rsidR="00E81045" w:rsidRPr="00EA1BB2">
        <w:rPr>
          <w:rFonts w:ascii="Cambria" w:eastAsia="Calibri" w:hAnsi="Cambria" w:cs="Arial"/>
          <w:sz w:val="24"/>
          <w:szCs w:val="24"/>
        </w:rPr>
        <w:t>conțin</w:t>
      </w:r>
      <w:r w:rsidR="00AF02E7" w:rsidRPr="00EA1BB2">
        <w:rPr>
          <w:rFonts w:ascii="Cambria" w:eastAsia="Calibri" w:hAnsi="Cambria" w:cs="Arial"/>
          <w:sz w:val="24"/>
          <w:szCs w:val="24"/>
        </w:rPr>
        <w:t xml:space="preserve"> și emisiile din </w:t>
      </w:r>
      <w:r w:rsidR="00AF02E7" w:rsidRPr="00EA1BB2">
        <w:rPr>
          <w:rFonts w:ascii="Cambria" w:eastAsia="Times New Roman" w:hAnsi="Cambria" w:cs="Times New Roman"/>
          <w:sz w:val="24"/>
          <w:szCs w:val="24"/>
        </w:rPr>
        <w:t>transport naval național (cod NFR1.A.3.d.ii</w:t>
      </w:r>
      <w:r w:rsidR="00AF02E7" w:rsidRPr="00EA1BB2">
        <w:t>).</w:t>
      </w:r>
    </w:p>
    <w:p w14:paraId="18AE6404" w14:textId="77777777" w:rsidR="00BE0BB8" w:rsidRPr="00EA1BB2" w:rsidRDefault="00BE0BB8" w:rsidP="00BE0BB8">
      <w:pPr>
        <w:autoSpaceDE w:val="0"/>
        <w:autoSpaceDN w:val="0"/>
        <w:adjustRightInd w:val="0"/>
        <w:spacing w:line="360" w:lineRule="auto"/>
        <w:ind w:firstLine="708"/>
        <w:jc w:val="both"/>
        <w:rPr>
          <w:rFonts w:ascii="Cambria" w:hAnsi="Cambria"/>
          <w:sz w:val="24"/>
          <w:szCs w:val="24"/>
        </w:rPr>
      </w:pPr>
      <w:r w:rsidRPr="00EA1BB2">
        <w:rPr>
          <w:rFonts w:ascii="Cambria" w:hAnsi="Cambria"/>
          <w:sz w:val="24"/>
          <w:szCs w:val="24"/>
        </w:rPr>
        <w:t>Hărțile de dispersie a emisiilor de substanțe poluante în atmosferă, pe tipuri de poluanți</w:t>
      </w:r>
      <w:r w:rsidR="00414A83" w:rsidRPr="00EA1BB2">
        <w:rPr>
          <w:rFonts w:ascii="Cambria" w:hAnsi="Cambria"/>
          <w:sz w:val="24"/>
          <w:szCs w:val="24"/>
        </w:rPr>
        <w:t>, pentru anul de referință 2013</w:t>
      </w:r>
      <w:r w:rsidRPr="00EA1BB2">
        <w:rPr>
          <w:rFonts w:ascii="Cambria" w:hAnsi="Cambria"/>
          <w:sz w:val="24"/>
          <w:szCs w:val="24"/>
        </w:rPr>
        <w:t xml:space="preserve"> sunt prezentate în anexa 1 la prezentul Plan.</w:t>
      </w:r>
    </w:p>
    <w:p w14:paraId="753FB801" w14:textId="7063E694" w:rsidR="00FE74D8" w:rsidRPr="00EA1BB2" w:rsidRDefault="00C75800" w:rsidP="00852D83">
      <w:pPr>
        <w:autoSpaceDE w:val="0"/>
        <w:autoSpaceDN w:val="0"/>
        <w:adjustRightInd w:val="0"/>
        <w:spacing w:line="360" w:lineRule="auto"/>
        <w:ind w:firstLine="708"/>
        <w:jc w:val="both"/>
        <w:rPr>
          <w:rFonts w:ascii="Cambria" w:hAnsi="Cambria"/>
          <w:sz w:val="24"/>
          <w:szCs w:val="24"/>
        </w:rPr>
      </w:pPr>
      <w:r w:rsidRPr="00EA1BB2">
        <w:rPr>
          <w:rFonts w:ascii="Cambria" w:hAnsi="Cambria"/>
          <w:sz w:val="24"/>
          <w:szCs w:val="24"/>
        </w:rPr>
        <w:t>Detalii privind</w:t>
      </w:r>
      <w:r w:rsidR="00363AC0" w:rsidRPr="00EA1BB2">
        <w:rPr>
          <w:rFonts w:ascii="Cambria" w:hAnsi="Cambria"/>
          <w:sz w:val="24"/>
          <w:szCs w:val="24"/>
        </w:rPr>
        <w:t xml:space="preserve"> </w:t>
      </w:r>
      <w:r w:rsidRPr="00EA1BB2">
        <w:rPr>
          <w:rFonts w:ascii="Cambria" w:hAnsi="Cambria"/>
          <w:sz w:val="24"/>
          <w:szCs w:val="24"/>
        </w:rPr>
        <w:t>sursele de emisii de la nivelul județului Brăila identificate în inventarul local de emisii pentru anul 2013, inclusiv poziționarea lor pe hartă, sunt prezentate în subcapitolele următoare.</w:t>
      </w:r>
    </w:p>
    <w:p w14:paraId="2882F44D" w14:textId="77777777" w:rsidR="00194FF0" w:rsidRPr="00EA1BB2" w:rsidRDefault="00194FF0" w:rsidP="00852D83">
      <w:pPr>
        <w:autoSpaceDE w:val="0"/>
        <w:autoSpaceDN w:val="0"/>
        <w:adjustRightInd w:val="0"/>
        <w:spacing w:line="360" w:lineRule="auto"/>
        <w:ind w:firstLine="708"/>
        <w:jc w:val="both"/>
        <w:rPr>
          <w:rFonts w:ascii="Cambria" w:hAnsi="Cambria"/>
          <w:sz w:val="24"/>
          <w:szCs w:val="24"/>
        </w:rPr>
      </w:pPr>
    </w:p>
    <w:p w14:paraId="42E30437" w14:textId="77777777" w:rsidR="00343667" w:rsidRPr="00EA1BB2" w:rsidRDefault="00343667" w:rsidP="00E859EF">
      <w:pPr>
        <w:pStyle w:val="Heading4"/>
        <w:numPr>
          <w:ilvl w:val="3"/>
          <w:numId w:val="1"/>
        </w:numPr>
        <w:spacing w:before="0" w:line="360" w:lineRule="auto"/>
        <w:ind w:hanging="579"/>
        <w:rPr>
          <w:color w:val="0070C0"/>
          <w:sz w:val="24"/>
        </w:rPr>
      </w:pPr>
      <w:bookmarkStart w:id="186" w:name="_Toc526889739"/>
      <w:r w:rsidRPr="00EA1BB2">
        <w:rPr>
          <w:color w:val="0070C0"/>
          <w:sz w:val="24"/>
        </w:rPr>
        <w:t>Surse mobile</w:t>
      </w:r>
      <w:bookmarkEnd w:id="186"/>
    </w:p>
    <w:p w14:paraId="1A258E72" w14:textId="362EDE9F" w:rsidR="00343667" w:rsidRPr="00EA1BB2" w:rsidRDefault="00727823" w:rsidP="00343667">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 xml:space="preserve">Emisiile generate de traficul rutier în zona Brăila, în anul de referință 2013 </w:t>
      </w:r>
      <w:r w:rsidR="00343667" w:rsidRPr="00EA1BB2">
        <w:rPr>
          <w:rFonts w:ascii="Cambria" w:eastAsia="Times New Roman" w:hAnsi="Cambria" w:cs="Times New Roman"/>
          <w:sz w:val="24"/>
          <w:szCs w:val="24"/>
        </w:rPr>
        <w:t>aferente autovehiculelor clasificate pe categorii de autovehicule NFR</w:t>
      </w:r>
      <w:r w:rsidR="00343667" w:rsidRPr="00EA1BB2">
        <w:rPr>
          <w:rFonts w:ascii="Cambria" w:eastAsia="Times New Roman" w:hAnsi="Cambria" w:cs="Times New Roman"/>
          <w:sz w:val="24"/>
          <w:szCs w:val="24"/>
          <w:vertAlign w:val="superscript"/>
        </w:rPr>
        <w:footnoteReference w:id="23"/>
      </w:r>
      <w:r w:rsidR="00343667" w:rsidRPr="00EA1BB2">
        <w:rPr>
          <w:rFonts w:ascii="Cambria" w:eastAsia="Times New Roman" w:hAnsi="Cambria" w:cs="Times New Roman"/>
          <w:sz w:val="24"/>
          <w:szCs w:val="24"/>
        </w:rPr>
        <w:t xml:space="preserve"> </w:t>
      </w:r>
      <w:r w:rsidR="00414A83" w:rsidRPr="00EA1BB2">
        <w:rPr>
          <w:rFonts w:ascii="Cambria" w:eastAsia="Times New Roman" w:hAnsi="Cambria" w:cs="Times New Roman"/>
          <w:sz w:val="24"/>
          <w:szCs w:val="24"/>
        </w:rPr>
        <w:t>sunt prezen</w:t>
      </w:r>
      <w:r w:rsidR="00EE10C6">
        <w:rPr>
          <w:rFonts w:ascii="Cambria" w:eastAsia="Times New Roman" w:hAnsi="Cambria" w:cs="Times New Roman"/>
          <w:sz w:val="24"/>
          <w:szCs w:val="24"/>
        </w:rPr>
        <w:t>ta</w:t>
      </w:r>
      <w:r w:rsidR="00414A83" w:rsidRPr="00EA1BB2">
        <w:rPr>
          <w:rFonts w:ascii="Cambria" w:eastAsia="Times New Roman" w:hAnsi="Cambria" w:cs="Times New Roman"/>
          <w:sz w:val="24"/>
          <w:szCs w:val="24"/>
        </w:rPr>
        <w:t xml:space="preserve">te </w:t>
      </w:r>
      <w:r w:rsidRPr="00EA1BB2">
        <w:rPr>
          <w:rFonts w:ascii="Cambria" w:eastAsia="Times New Roman" w:hAnsi="Cambria" w:cs="Times New Roman"/>
          <w:sz w:val="24"/>
          <w:szCs w:val="24"/>
        </w:rPr>
        <w:t>în tabelul de mai jos</w:t>
      </w:r>
      <w:r w:rsidR="00343667" w:rsidRPr="00EA1BB2">
        <w:rPr>
          <w:rFonts w:ascii="Cambria" w:eastAsia="Times New Roman" w:hAnsi="Cambria" w:cs="Times New Roman"/>
          <w:sz w:val="24"/>
          <w:szCs w:val="24"/>
        </w:rPr>
        <w:t>.</w:t>
      </w:r>
    </w:p>
    <w:p w14:paraId="2DD66470" w14:textId="77777777" w:rsidR="000D2B1A" w:rsidRPr="00EA1BB2" w:rsidRDefault="000D2B1A" w:rsidP="000D2B1A">
      <w:pPr>
        <w:ind w:firstLine="709"/>
        <w:jc w:val="both"/>
        <w:rPr>
          <w:rFonts w:ascii="Cambria" w:eastAsia="Times New Roman" w:hAnsi="Cambria" w:cs="Times New Roman"/>
          <w:sz w:val="24"/>
          <w:szCs w:val="24"/>
        </w:rPr>
      </w:pPr>
    </w:p>
    <w:p w14:paraId="14D7D8EF" w14:textId="0EE2069A" w:rsidR="00343667" w:rsidRPr="00EA1BB2" w:rsidRDefault="00343667" w:rsidP="00343667">
      <w:pPr>
        <w:pStyle w:val="Caption"/>
        <w:keepNext/>
        <w:spacing w:after="0" w:line="360" w:lineRule="auto"/>
        <w:ind w:firstLine="708"/>
        <w:jc w:val="both"/>
        <w:rPr>
          <w:rFonts w:ascii="Cambria" w:hAnsi="Cambria"/>
        </w:rPr>
      </w:pPr>
      <w:bookmarkStart w:id="187" w:name="_Toc526889808"/>
      <w:r w:rsidRPr="00EA1BB2">
        <w:rPr>
          <w:rFonts w:ascii="Cambria" w:hAnsi="Cambria"/>
        </w:rPr>
        <w:lastRenderedPageBreak/>
        <w:t xml:space="preserve">Tabelul nr. </w:t>
      </w:r>
      <w:r w:rsidR="000A2FE7" w:rsidRPr="00EA1BB2">
        <w:rPr>
          <w:rFonts w:ascii="Cambria" w:hAnsi="Cambria"/>
        </w:rPr>
        <w:fldChar w:fldCharType="begin"/>
      </w:r>
      <w:r w:rsidR="000A2FE7" w:rsidRPr="00EA1BB2">
        <w:rPr>
          <w:rFonts w:ascii="Cambria" w:hAnsi="Cambria"/>
        </w:rPr>
        <w:instrText xml:space="preserve"> STYLEREF 1 \s </w:instrText>
      </w:r>
      <w:r w:rsidR="000A2FE7" w:rsidRPr="00EA1BB2">
        <w:rPr>
          <w:rFonts w:ascii="Cambria" w:hAnsi="Cambria"/>
        </w:rPr>
        <w:fldChar w:fldCharType="separate"/>
      </w:r>
      <w:r w:rsidR="00567555">
        <w:rPr>
          <w:rFonts w:ascii="Cambria" w:hAnsi="Cambria"/>
          <w:noProof/>
        </w:rPr>
        <w:t>3</w:t>
      </w:r>
      <w:r w:rsidR="000A2FE7" w:rsidRPr="00EA1BB2">
        <w:rPr>
          <w:rFonts w:ascii="Cambria" w:hAnsi="Cambria"/>
        </w:rPr>
        <w:fldChar w:fldCharType="end"/>
      </w:r>
      <w:r w:rsidR="000A2FE7" w:rsidRPr="00EA1BB2">
        <w:rPr>
          <w:rFonts w:ascii="Cambria" w:hAnsi="Cambria"/>
        </w:rPr>
        <w:noBreakHyphen/>
      </w:r>
      <w:r w:rsidR="000A2FE7" w:rsidRPr="00EA1BB2">
        <w:rPr>
          <w:rFonts w:ascii="Cambria" w:hAnsi="Cambria"/>
        </w:rPr>
        <w:fldChar w:fldCharType="begin"/>
      </w:r>
      <w:r w:rsidR="000A2FE7" w:rsidRPr="00EA1BB2">
        <w:rPr>
          <w:rFonts w:ascii="Cambria" w:hAnsi="Cambria"/>
        </w:rPr>
        <w:instrText xml:space="preserve"> SEQ Tabelul_nr. \* ARABIC \s 1 </w:instrText>
      </w:r>
      <w:r w:rsidR="000A2FE7" w:rsidRPr="00EA1BB2">
        <w:rPr>
          <w:rFonts w:ascii="Cambria" w:hAnsi="Cambria"/>
        </w:rPr>
        <w:fldChar w:fldCharType="separate"/>
      </w:r>
      <w:r w:rsidR="00567555">
        <w:rPr>
          <w:rFonts w:ascii="Cambria" w:hAnsi="Cambria"/>
          <w:noProof/>
        </w:rPr>
        <w:t>39</w:t>
      </w:r>
      <w:r w:rsidR="000A2FE7" w:rsidRPr="00EA1BB2">
        <w:rPr>
          <w:rFonts w:ascii="Cambria" w:hAnsi="Cambria"/>
        </w:rPr>
        <w:fldChar w:fldCharType="end"/>
      </w:r>
      <w:r w:rsidRPr="00EA1BB2">
        <w:rPr>
          <w:rFonts w:ascii="Cambria" w:hAnsi="Cambria"/>
        </w:rPr>
        <w:t xml:space="preserve"> - Emisii generate de traficul rutier în jude</w:t>
      </w:r>
      <w:r w:rsidR="00054880" w:rsidRPr="00EA1BB2">
        <w:rPr>
          <w:rFonts w:ascii="Cambria" w:hAnsi="Cambria"/>
        </w:rPr>
        <w:t>ț</w:t>
      </w:r>
      <w:r w:rsidRPr="00EA1BB2">
        <w:rPr>
          <w:rFonts w:ascii="Cambria" w:hAnsi="Cambria"/>
        </w:rPr>
        <w:t>ul Brăila, în anul de referin</w:t>
      </w:r>
      <w:r w:rsidR="00054880" w:rsidRPr="00EA1BB2">
        <w:rPr>
          <w:rFonts w:ascii="Cambria" w:hAnsi="Cambria"/>
        </w:rPr>
        <w:t>ț</w:t>
      </w:r>
      <w:r w:rsidRPr="00EA1BB2">
        <w:rPr>
          <w:rFonts w:ascii="Cambria" w:hAnsi="Cambria"/>
        </w:rPr>
        <w:t>ă 2013</w:t>
      </w:r>
      <w:r w:rsidR="00A424BD" w:rsidRPr="00EA1BB2">
        <w:rPr>
          <w:rFonts w:ascii="Cambria" w:hAnsi="Cambria"/>
        </w:rPr>
        <w:t xml:space="preserve"> (tone/an)</w:t>
      </w:r>
      <w:bookmarkEnd w:id="187"/>
    </w:p>
    <w:tbl>
      <w:tblPr>
        <w:tblStyle w:val="TableGrid"/>
        <w:tblW w:w="11066" w:type="dxa"/>
        <w:jc w:val="center"/>
        <w:tblLook w:val="04A0" w:firstRow="1" w:lastRow="0" w:firstColumn="1" w:lastColumn="0" w:noHBand="0" w:noVBand="1"/>
      </w:tblPr>
      <w:tblGrid>
        <w:gridCol w:w="1160"/>
        <w:gridCol w:w="1134"/>
        <w:gridCol w:w="1008"/>
        <w:gridCol w:w="1480"/>
        <w:gridCol w:w="1134"/>
        <w:gridCol w:w="1358"/>
        <w:gridCol w:w="1134"/>
        <w:gridCol w:w="1329"/>
        <w:gridCol w:w="1329"/>
      </w:tblGrid>
      <w:tr w:rsidR="00922A39" w:rsidRPr="00EA1BB2" w14:paraId="6583C424" w14:textId="77777777" w:rsidTr="00D448A3">
        <w:trPr>
          <w:trHeight w:val="300"/>
          <w:jc w:val="center"/>
        </w:trPr>
        <w:tc>
          <w:tcPr>
            <w:tcW w:w="1160" w:type="dxa"/>
            <w:vMerge w:val="restart"/>
            <w:shd w:val="clear" w:color="auto" w:fill="BDD6EE" w:themeFill="accent1" w:themeFillTint="66"/>
            <w:noWrap/>
            <w:vAlign w:val="center"/>
          </w:tcPr>
          <w:p w14:paraId="37A9FDCD" w14:textId="77777777" w:rsidR="00922A39" w:rsidRPr="00EA1BB2" w:rsidRDefault="00922A39" w:rsidP="007D6713">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Cod NFR</w:t>
            </w:r>
          </w:p>
        </w:tc>
        <w:tc>
          <w:tcPr>
            <w:tcW w:w="9906" w:type="dxa"/>
            <w:gridSpan w:val="8"/>
            <w:shd w:val="clear" w:color="auto" w:fill="BDD6EE" w:themeFill="accent1" w:themeFillTint="66"/>
          </w:tcPr>
          <w:p w14:paraId="0F7A6510" w14:textId="77777777" w:rsidR="00922A39" w:rsidRPr="00EA1BB2" w:rsidRDefault="00922A39" w:rsidP="007D6713">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Poluant</w:t>
            </w:r>
          </w:p>
        </w:tc>
      </w:tr>
      <w:tr w:rsidR="00922A39" w:rsidRPr="00EA1BB2" w14:paraId="549941AA" w14:textId="77777777" w:rsidTr="00D448A3">
        <w:trPr>
          <w:trHeight w:val="300"/>
          <w:jc w:val="center"/>
        </w:trPr>
        <w:tc>
          <w:tcPr>
            <w:tcW w:w="1160" w:type="dxa"/>
            <w:vMerge/>
            <w:shd w:val="clear" w:color="auto" w:fill="BDD6EE" w:themeFill="accent1" w:themeFillTint="66"/>
            <w:noWrap/>
            <w:vAlign w:val="center"/>
            <w:hideMark/>
          </w:tcPr>
          <w:p w14:paraId="0B08952A" w14:textId="77777777" w:rsidR="00922A39" w:rsidRPr="00EA1BB2" w:rsidRDefault="00922A39" w:rsidP="007D6713">
            <w:pPr>
              <w:spacing w:line="360" w:lineRule="auto"/>
              <w:jc w:val="center"/>
              <w:rPr>
                <w:rFonts w:ascii="Cambria" w:eastAsia="Times New Roman" w:hAnsi="Cambria" w:cs="Times New Roman"/>
                <w:b/>
                <w:sz w:val="24"/>
                <w:szCs w:val="24"/>
                <w:lang w:val="ro-RO"/>
              </w:rPr>
            </w:pPr>
          </w:p>
        </w:tc>
        <w:tc>
          <w:tcPr>
            <w:tcW w:w="1134" w:type="dxa"/>
            <w:shd w:val="clear" w:color="auto" w:fill="BDD6EE" w:themeFill="accent1" w:themeFillTint="66"/>
            <w:noWrap/>
            <w:vAlign w:val="center"/>
            <w:hideMark/>
          </w:tcPr>
          <w:p w14:paraId="634F17F0" w14:textId="77777777" w:rsidR="00922A39" w:rsidRPr="00EA1BB2" w:rsidRDefault="00922A39" w:rsidP="007D6713">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 xml:space="preserve">Cd </w:t>
            </w:r>
          </w:p>
        </w:tc>
        <w:tc>
          <w:tcPr>
            <w:tcW w:w="1145" w:type="dxa"/>
            <w:shd w:val="clear" w:color="auto" w:fill="BDD6EE" w:themeFill="accent1" w:themeFillTint="66"/>
          </w:tcPr>
          <w:p w14:paraId="6C564E6B" w14:textId="77777777" w:rsidR="00922A39" w:rsidRPr="00EA1BB2" w:rsidRDefault="00922A39" w:rsidP="007D6713">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C</w:t>
            </w:r>
            <w:r w:rsidRPr="00EA1BB2">
              <w:rPr>
                <w:rFonts w:ascii="Cambria" w:eastAsia="Times New Roman" w:hAnsi="Cambria" w:cs="Times New Roman"/>
                <w:b/>
                <w:sz w:val="24"/>
                <w:szCs w:val="24"/>
                <w:vertAlign w:val="subscript"/>
                <w:lang w:val="ro-RO"/>
              </w:rPr>
              <w:t>6</w:t>
            </w:r>
            <w:r w:rsidRPr="00EA1BB2">
              <w:rPr>
                <w:rFonts w:ascii="Cambria" w:eastAsia="Times New Roman" w:hAnsi="Cambria" w:cs="Times New Roman"/>
                <w:b/>
                <w:sz w:val="24"/>
                <w:szCs w:val="24"/>
                <w:lang w:val="ro-RO"/>
              </w:rPr>
              <w:t>H</w:t>
            </w:r>
            <w:r w:rsidRPr="00EA1BB2">
              <w:rPr>
                <w:rFonts w:ascii="Cambria" w:eastAsia="Times New Roman" w:hAnsi="Cambria" w:cs="Times New Roman"/>
                <w:b/>
                <w:sz w:val="24"/>
                <w:szCs w:val="24"/>
                <w:vertAlign w:val="subscript"/>
                <w:lang w:val="ro-RO"/>
              </w:rPr>
              <w:t>6</w:t>
            </w:r>
          </w:p>
        </w:tc>
        <w:tc>
          <w:tcPr>
            <w:tcW w:w="1480" w:type="dxa"/>
            <w:shd w:val="clear" w:color="auto" w:fill="BDD6EE" w:themeFill="accent1" w:themeFillTint="66"/>
            <w:noWrap/>
            <w:vAlign w:val="center"/>
            <w:hideMark/>
          </w:tcPr>
          <w:p w14:paraId="460B3EDB" w14:textId="77777777" w:rsidR="00922A39" w:rsidRPr="00EA1BB2" w:rsidRDefault="00922A39" w:rsidP="007D6713">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CO</w:t>
            </w:r>
          </w:p>
        </w:tc>
        <w:tc>
          <w:tcPr>
            <w:tcW w:w="1134" w:type="dxa"/>
            <w:shd w:val="clear" w:color="auto" w:fill="BDD6EE" w:themeFill="accent1" w:themeFillTint="66"/>
            <w:noWrap/>
            <w:vAlign w:val="center"/>
            <w:hideMark/>
          </w:tcPr>
          <w:p w14:paraId="38772543" w14:textId="77777777" w:rsidR="00922A39" w:rsidRPr="00EA1BB2" w:rsidRDefault="00922A39" w:rsidP="007D6713">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 xml:space="preserve">Ni </w:t>
            </w:r>
          </w:p>
        </w:tc>
        <w:tc>
          <w:tcPr>
            <w:tcW w:w="1358" w:type="dxa"/>
            <w:shd w:val="clear" w:color="auto" w:fill="BDD6EE" w:themeFill="accent1" w:themeFillTint="66"/>
            <w:noWrap/>
            <w:vAlign w:val="center"/>
            <w:hideMark/>
          </w:tcPr>
          <w:p w14:paraId="4DDD3CAD" w14:textId="77777777" w:rsidR="00922A39" w:rsidRPr="00EA1BB2" w:rsidRDefault="00922A39" w:rsidP="007D6713">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NOx*</w:t>
            </w:r>
          </w:p>
        </w:tc>
        <w:tc>
          <w:tcPr>
            <w:tcW w:w="1134" w:type="dxa"/>
            <w:shd w:val="clear" w:color="auto" w:fill="BDD6EE" w:themeFill="accent1" w:themeFillTint="66"/>
            <w:noWrap/>
            <w:vAlign w:val="center"/>
            <w:hideMark/>
          </w:tcPr>
          <w:p w14:paraId="3B6DA1AC" w14:textId="77777777" w:rsidR="00922A39" w:rsidRPr="00EA1BB2" w:rsidRDefault="00922A39" w:rsidP="007D6713">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 xml:space="preserve">Pb </w:t>
            </w:r>
          </w:p>
        </w:tc>
        <w:tc>
          <w:tcPr>
            <w:tcW w:w="1285" w:type="dxa"/>
            <w:shd w:val="clear" w:color="auto" w:fill="BDD6EE" w:themeFill="accent1" w:themeFillTint="66"/>
            <w:noWrap/>
            <w:vAlign w:val="center"/>
            <w:hideMark/>
          </w:tcPr>
          <w:p w14:paraId="77E021BE" w14:textId="77777777" w:rsidR="00922A39" w:rsidRPr="00EA1BB2" w:rsidRDefault="00922A39" w:rsidP="007D6713">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PM</w:t>
            </w:r>
            <w:r w:rsidRPr="00EA1BB2">
              <w:rPr>
                <w:rFonts w:ascii="Cambria" w:eastAsia="Times New Roman" w:hAnsi="Cambria" w:cs="Times New Roman"/>
                <w:b/>
                <w:sz w:val="24"/>
                <w:szCs w:val="24"/>
                <w:vertAlign w:val="subscript"/>
                <w:lang w:val="ro-RO"/>
              </w:rPr>
              <w:t>10</w:t>
            </w:r>
          </w:p>
        </w:tc>
        <w:tc>
          <w:tcPr>
            <w:tcW w:w="1236" w:type="dxa"/>
            <w:shd w:val="clear" w:color="auto" w:fill="BDD6EE" w:themeFill="accent1" w:themeFillTint="66"/>
            <w:noWrap/>
            <w:vAlign w:val="center"/>
            <w:hideMark/>
          </w:tcPr>
          <w:p w14:paraId="6C7B6331" w14:textId="77777777" w:rsidR="00922A39" w:rsidRPr="00EA1BB2" w:rsidRDefault="00922A39" w:rsidP="007D6713">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PM</w:t>
            </w:r>
            <w:r w:rsidRPr="00EA1BB2">
              <w:rPr>
                <w:rFonts w:ascii="Cambria" w:eastAsia="Times New Roman" w:hAnsi="Cambria" w:cs="Times New Roman"/>
                <w:b/>
                <w:sz w:val="24"/>
                <w:szCs w:val="24"/>
                <w:vertAlign w:val="subscript"/>
                <w:lang w:val="ro-RO"/>
              </w:rPr>
              <w:t xml:space="preserve">2,5 </w:t>
            </w:r>
          </w:p>
        </w:tc>
      </w:tr>
      <w:tr w:rsidR="00D448A3" w:rsidRPr="00EA1BB2" w14:paraId="17428EB5" w14:textId="77777777" w:rsidTr="00D448A3">
        <w:trPr>
          <w:trHeight w:val="300"/>
          <w:jc w:val="center"/>
        </w:trPr>
        <w:tc>
          <w:tcPr>
            <w:tcW w:w="1160" w:type="dxa"/>
            <w:noWrap/>
            <w:hideMark/>
          </w:tcPr>
          <w:p w14:paraId="16790222" w14:textId="77777777" w:rsidR="00D448A3" w:rsidRPr="00EA1BB2" w:rsidRDefault="00D448A3" w:rsidP="00D448A3">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1.A.3.b.i</w:t>
            </w:r>
          </w:p>
        </w:tc>
        <w:tc>
          <w:tcPr>
            <w:tcW w:w="1134" w:type="dxa"/>
            <w:noWrap/>
            <w:hideMark/>
          </w:tcPr>
          <w:p w14:paraId="3B5390FE" w14:textId="77777777" w:rsidR="00D448A3" w:rsidRPr="00EA1BB2" w:rsidRDefault="00D448A3" w:rsidP="00D448A3">
            <w:pPr>
              <w:spacing w:line="360" w:lineRule="auto"/>
              <w:jc w:val="center"/>
              <w:rPr>
                <w:rFonts w:ascii="Cambria" w:eastAsia="Times New Roman" w:hAnsi="Cambria" w:cs="Times New Roman"/>
                <w:szCs w:val="24"/>
                <w:lang w:val="ro-RO"/>
              </w:rPr>
            </w:pPr>
            <w:r w:rsidRPr="00EA1BB2">
              <w:rPr>
                <w:rFonts w:ascii="Cambria" w:hAnsi="Cambria"/>
                <w:lang w:val="ro-RO"/>
              </w:rPr>
              <w:t>0,000203</w:t>
            </w:r>
          </w:p>
        </w:tc>
        <w:tc>
          <w:tcPr>
            <w:tcW w:w="1145" w:type="dxa"/>
          </w:tcPr>
          <w:p w14:paraId="0FEE346C" w14:textId="77777777" w:rsidR="00D448A3" w:rsidRPr="00EA1BB2" w:rsidRDefault="00D448A3" w:rsidP="00D448A3">
            <w:pPr>
              <w:spacing w:line="360" w:lineRule="auto"/>
              <w:jc w:val="center"/>
              <w:rPr>
                <w:rFonts w:ascii="Cambria" w:hAnsi="Cambria"/>
                <w:lang w:val="ro-RO"/>
              </w:rPr>
            </w:pPr>
            <w:r w:rsidRPr="00EA1BB2">
              <w:rPr>
                <w:rFonts w:ascii="Cambria" w:hAnsi="Cambria"/>
                <w:lang w:val="ro-RO"/>
              </w:rPr>
              <w:t>11,398</w:t>
            </w:r>
          </w:p>
        </w:tc>
        <w:tc>
          <w:tcPr>
            <w:tcW w:w="1480" w:type="dxa"/>
            <w:noWrap/>
            <w:hideMark/>
          </w:tcPr>
          <w:p w14:paraId="405DC609" w14:textId="77777777" w:rsidR="00D448A3" w:rsidRPr="00EA1BB2" w:rsidRDefault="00D448A3" w:rsidP="00D448A3">
            <w:pPr>
              <w:spacing w:line="360" w:lineRule="auto"/>
              <w:jc w:val="center"/>
              <w:rPr>
                <w:rFonts w:ascii="Cambria" w:eastAsia="Times New Roman" w:hAnsi="Cambria" w:cs="Times New Roman"/>
                <w:szCs w:val="24"/>
                <w:lang w:val="ro-RO"/>
              </w:rPr>
            </w:pPr>
            <w:r w:rsidRPr="00EA1BB2">
              <w:rPr>
                <w:rFonts w:ascii="Cambria" w:hAnsi="Cambria"/>
                <w:lang w:val="ro-RO"/>
              </w:rPr>
              <w:t>1998,737912</w:t>
            </w:r>
          </w:p>
        </w:tc>
        <w:tc>
          <w:tcPr>
            <w:tcW w:w="1134" w:type="dxa"/>
            <w:noWrap/>
            <w:hideMark/>
          </w:tcPr>
          <w:p w14:paraId="688326F3" w14:textId="77777777" w:rsidR="00D448A3" w:rsidRPr="00EA1BB2" w:rsidRDefault="00D448A3" w:rsidP="00D448A3">
            <w:pPr>
              <w:spacing w:line="360" w:lineRule="auto"/>
              <w:jc w:val="center"/>
              <w:rPr>
                <w:rFonts w:ascii="Cambria" w:eastAsia="Times New Roman" w:hAnsi="Cambria" w:cs="Times New Roman"/>
                <w:szCs w:val="24"/>
                <w:lang w:val="ro-RO"/>
              </w:rPr>
            </w:pPr>
            <w:r w:rsidRPr="00EA1BB2">
              <w:rPr>
                <w:rFonts w:ascii="Cambria" w:hAnsi="Cambria"/>
                <w:lang w:val="ro-RO"/>
              </w:rPr>
              <w:t>0,000565</w:t>
            </w:r>
          </w:p>
        </w:tc>
        <w:tc>
          <w:tcPr>
            <w:tcW w:w="1358" w:type="dxa"/>
            <w:noWrap/>
          </w:tcPr>
          <w:p w14:paraId="0A7A36C3" w14:textId="77777777" w:rsidR="00D448A3" w:rsidRPr="00EA1BB2" w:rsidRDefault="00D448A3" w:rsidP="00D448A3">
            <w:pPr>
              <w:spacing w:line="360" w:lineRule="auto"/>
              <w:jc w:val="center"/>
              <w:rPr>
                <w:rFonts w:ascii="Cambria" w:eastAsia="Times New Roman" w:hAnsi="Cambria" w:cs="Times New Roman"/>
                <w:szCs w:val="24"/>
                <w:lang w:val="ro-RO"/>
              </w:rPr>
            </w:pPr>
            <w:r w:rsidRPr="00EA1BB2">
              <w:rPr>
                <w:rFonts w:ascii="Cambria" w:hAnsi="Cambria"/>
                <w:lang w:val="ro-RO"/>
              </w:rPr>
              <w:t>128,519507</w:t>
            </w:r>
          </w:p>
        </w:tc>
        <w:tc>
          <w:tcPr>
            <w:tcW w:w="1134" w:type="dxa"/>
            <w:noWrap/>
            <w:hideMark/>
          </w:tcPr>
          <w:p w14:paraId="0D937B55" w14:textId="77777777" w:rsidR="00D448A3" w:rsidRPr="00EA1BB2" w:rsidRDefault="00D448A3" w:rsidP="00D448A3">
            <w:pPr>
              <w:spacing w:line="360" w:lineRule="auto"/>
              <w:jc w:val="center"/>
              <w:rPr>
                <w:rFonts w:ascii="Cambria" w:eastAsia="Times New Roman" w:hAnsi="Cambria" w:cs="Times New Roman"/>
                <w:szCs w:val="24"/>
                <w:lang w:val="ro-RO"/>
              </w:rPr>
            </w:pPr>
            <w:r w:rsidRPr="00EA1BB2">
              <w:rPr>
                <w:rFonts w:ascii="Cambria" w:hAnsi="Cambria"/>
                <w:lang w:val="ro-RO"/>
              </w:rPr>
              <w:t>0,006558</w:t>
            </w:r>
          </w:p>
        </w:tc>
        <w:tc>
          <w:tcPr>
            <w:tcW w:w="1285" w:type="dxa"/>
            <w:noWrap/>
            <w:hideMark/>
          </w:tcPr>
          <w:p w14:paraId="6DEF30F6" w14:textId="77777777" w:rsidR="00D448A3" w:rsidRPr="00EA1BB2" w:rsidRDefault="00D448A3" w:rsidP="00D448A3">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7,983495</w:t>
            </w:r>
          </w:p>
        </w:tc>
        <w:tc>
          <w:tcPr>
            <w:tcW w:w="1236" w:type="dxa"/>
            <w:noWrap/>
            <w:hideMark/>
          </w:tcPr>
          <w:p w14:paraId="0C363958" w14:textId="77777777" w:rsidR="00D448A3" w:rsidRPr="00EA1BB2" w:rsidRDefault="00D448A3" w:rsidP="00D448A3">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5,874894</w:t>
            </w:r>
          </w:p>
        </w:tc>
      </w:tr>
      <w:tr w:rsidR="00D448A3" w:rsidRPr="00EA1BB2" w14:paraId="3437F34B" w14:textId="77777777" w:rsidTr="00D448A3">
        <w:trPr>
          <w:trHeight w:val="300"/>
          <w:jc w:val="center"/>
        </w:trPr>
        <w:tc>
          <w:tcPr>
            <w:tcW w:w="1160" w:type="dxa"/>
            <w:noWrap/>
            <w:hideMark/>
          </w:tcPr>
          <w:p w14:paraId="6F696FE5" w14:textId="77777777" w:rsidR="00D448A3" w:rsidRPr="00EA1BB2" w:rsidRDefault="00D448A3" w:rsidP="00D448A3">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1.A.3.b.ii</w:t>
            </w:r>
          </w:p>
        </w:tc>
        <w:tc>
          <w:tcPr>
            <w:tcW w:w="1134" w:type="dxa"/>
            <w:noWrap/>
            <w:hideMark/>
          </w:tcPr>
          <w:p w14:paraId="3AF6A299" w14:textId="77777777" w:rsidR="00D448A3" w:rsidRPr="00EA1BB2" w:rsidRDefault="00D448A3" w:rsidP="00D448A3">
            <w:pPr>
              <w:spacing w:line="360" w:lineRule="auto"/>
              <w:jc w:val="center"/>
              <w:rPr>
                <w:rFonts w:ascii="Cambria" w:eastAsia="Times New Roman" w:hAnsi="Cambria" w:cs="Times New Roman"/>
                <w:szCs w:val="24"/>
                <w:lang w:val="ro-RO"/>
              </w:rPr>
            </w:pPr>
            <w:r w:rsidRPr="00EA1BB2">
              <w:rPr>
                <w:rFonts w:ascii="Cambria" w:hAnsi="Cambria"/>
                <w:lang w:val="ro-RO"/>
              </w:rPr>
              <w:t>0,000027</w:t>
            </w:r>
          </w:p>
        </w:tc>
        <w:tc>
          <w:tcPr>
            <w:tcW w:w="1145" w:type="dxa"/>
          </w:tcPr>
          <w:p w14:paraId="22C88B8B" w14:textId="77777777" w:rsidR="00D448A3" w:rsidRPr="00EA1BB2" w:rsidRDefault="00D448A3" w:rsidP="00D448A3">
            <w:pPr>
              <w:spacing w:line="360" w:lineRule="auto"/>
              <w:jc w:val="center"/>
              <w:rPr>
                <w:rFonts w:ascii="Cambria" w:hAnsi="Cambria"/>
                <w:lang w:val="ro-RO"/>
              </w:rPr>
            </w:pPr>
            <w:r w:rsidRPr="00EA1BB2">
              <w:rPr>
                <w:rFonts w:ascii="Cambria" w:hAnsi="Cambria"/>
                <w:lang w:val="ro-RO"/>
              </w:rPr>
              <w:t>4,511</w:t>
            </w:r>
          </w:p>
        </w:tc>
        <w:tc>
          <w:tcPr>
            <w:tcW w:w="1480" w:type="dxa"/>
            <w:noWrap/>
            <w:hideMark/>
          </w:tcPr>
          <w:p w14:paraId="029E23AC" w14:textId="77777777" w:rsidR="00D448A3" w:rsidRPr="00EA1BB2" w:rsidRDefault="00D448A3" w:rsidP="00D448A3">
            <w:pPr>
              <w:spacing w:line="360" w:lineRule="auto"/>
              <w:jc w:val="center"/>
              <w:rPr>
                <w:rFonts w:ascii="Cambria" w:eastAsia="Times New Roman" w:hAnsi="Cambria" w:cs="Times New Roman"/>
                <w:szCs w:val="24"/>
                <w:lang w:val="ro-RO"/>
              </w:rPr>
            </w:pPr>
            <w:r w:rsidRPr="00EA1BB2">
              <w:rPr>
                <w:rFonts w:ascii="Cambria" w:hAnsi="Cambria"/>
                <w:lang w:val="ro-RO"/>
              </w:rPr>
              <w:t>256,201365</w:t>
            </w:r>
          </w:p>
        </w:tc>
        <w:tc>
          <w:tcPr>
            <w:tcW w:w="1134" w:type="dxa"/>
            <w:noWrap/>
            <w:hideMark/>
          </w:tcPr>
          <w:p w14:paraId="07CB3E9A" w14:textId="77777777" w:rsidR="00D448A3" w:rsidRPr="00EA1BB2" w:rsidRDefault="00D448A3" w:rsidP="00D448A3">
            <w:pPr>
              <w:spacing w:line="360" w:lineRule="auto"/>
              <w:jc w:val="center"/>
              <w:rPr>
                <w:rFonts w:ascii="Cambria" w:eastAsia="Times New Roman" w:hAnsi="Cambria" w:cs="Times New Roman"/>
                <w:szCs w:val="24"/>
                <w:lang w:val="ro-RO"/>
              </w:rPr>
            </w:pPr>
            <w:r w:rsidRPr="00EA1BB2">
              <w:rPr>
                <w:rFonts w:ascii="Cambria" w:hAnsi="Cambria"/>
                <w:lang w:val="ro-RO"/>
              </w:rPr>
              <w:t>0,000080</w:t>
            </w:r>
          </w:p>
        </w:tc>
        <w:tc>
          <w:tcPr>
            <w:tcW w:w="1358" w:type="dxa"/>
            <w:noWrap/>
          </w:tcPr>
          <w:p w14:paraId="1B2D4782" w14:textId="77777777" w:rsidR="00D448A3" w:rsidRPr="00EA1BB2" w:rsidRDefault="00D448A3" w:rsidP="00D448A3">
            <w:pPr>
              <w:spacing w:line="360" w:lineRule="auto"/>
              <w:jc w:val="center"/>
              <w:rPr>
                <w:rFonts w:ascii="Cambria" w:eastAsia="Times New Roman" w:hAnsi="Cambria" w:cs="Times New Roman"/>
                <w:szCs w:val="24"/>
                <w:lang w:val="ro-RO"/>
              </w:rPr>
            </w:pPr>
            <w:r w:rsidRPr="00EA1BB2">
              <w:rPr>
                <w:rFonts w:ascii="Cambria" w:hAnsi="Cambria"/>
                <w:lang w:val="ro-RO"/>
              </w:rPr>
              <w:t>10,372101</w:t>
            </w:r>
          </w:p>
        </w:tc>
        <w:tc>
          <w:tcPr>
            <w:tcW w:w="1134" w:type="dxa"/>
            <w:noWrap/>
            <w:hideMark/>
          </w:tcPr>
          <w:p w14:paraId="331CFB1E" w14:textId="77777777" w:rsidR="00D448A3" w:rsidRPr="00EA1BB2" w:rsidRDefault="00D448A3" w:rsidP="00D448A3">
            <w:pPr>
              <w:spacing w:line="360" w:lineRule="auto"/>
              <w:jc w:val="center"/>
              <w:rPr>
                <w:rFonts w:ascii="Cambria" w:eastAsia="Times New Roman" w:hAnsi="Cambria" w:cs="Times New Roman"/>
                <w:szCs w:val="24"/>
                <w:lang w:val="ro-RO"/>
              </w:rPr>
            </w:pPr>
            <w:r w:rsidRPr="00EA1BB2">
              <w:rPr>
                <w:rFonts w:ascii="Cambria" w:hAnsi="Cambria"/>
                <w:lang w:val="ro-RO"/>
              </w:rPr>
              <w:t>0,001003</w:t>
            </w:r>
          </w:p>
        </w:tc>
        <w:tc>
          <w:tcPr>
            <w:tcW w:w="1285" w:type="dxa"/>
            <w:noWrap/>
            <w:hideMark/>
          </w:tcPr>
          <w:p w14:paraId="79DA81A1" w14:textId="77777777" w:rsidR="00D448A3" w:rsidRPr="00EA1BB2" w:rsidRDefault="00D448A3" w:rsidP="00D448A3">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2,277385</w:t>
            </w:r>
          </w:p>
        </w:tc>
        <w:tc>
          <w:tcPr>
            <w:tcW w:w="1236" w:type="dxa"/>
            <w:noWrap/>
            <w:hideMark/>
          </w:tcPr>
          <w:p w14:paraId="4EABE9DF" w14:textId="77777777" w:rsidR="00D448A3" w:rsidRPr="00EA1BB2" w:rsidRDefault="00D448A3" w:rsidP="00D448A3">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1,958442</w:t>
            </w:r>
          </w:p>
        </w:tc>
      </w:tr>
      <w:tr w:rsidR="00D448A3" w:rsidRPr="00EA1BB2" w14:paraId="31CEC5CF" w14:textId="77777777" w:rsidTr="00D448A3">
        <w:trPr>
          <w:trHeight w:val="300"/>
          <w:jc w:val="center"/>
        </w:trPr>
        <w:tc>
          <w:tcPr>
            <w:tcW w:w="1160" w:type="dxa"/>
            <w:noWrap/>
            <w:hideMark/>
          </w:tcPr>
          <w:p w14:paraId="617D5192" w14:textId="77777777" w:rsidR="00D448A3" w:rsidRPr="00EA1BB2" w:rsidRDefault="00D448A3" w:rsidP="00D448A3">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1.A.3.b.iii</w:t>
            </w:r>
          </w:p>
        </w:tc>
        <w:tc>
          <w:tcPr>
            <w:tcW w:w="1134" w:type="dxa"/>
            <w:noWrap/>
            <w:hideMark/>
          </w:tcPr>
          <w:p w14:paraId="1FAF3944" w14:textId="77777777" w:rsidR="00D448A3" w:rsidRPr="00EA1BB2" w:rsidRDefault="00D448A3" w:rsidP="00D448A3">
            <w:pPr>
              <w:spacing w:line="360" w:lineRule="auto"/>
              <w:jc w:val="center"/>
              <w:rPr>
                <w:rFonts w:ascii="Cambria" w:eastAsia="Times New Roman" w:hAnsi="Cambria" w:cs="Times New Roman"/>
                <w:szCs w:val="24"/>
                <w:lang w:val="ro-RO"/>
              </w:rPr>
            </w:pPr>
            <w:r w:rsidRPr="00EA1BB2">
              <w:rPr>
                <w:rFonts w:ascii="Cambria" w:hAnsi="Cambria"/>
                <w:lang w:val="ro-RO"/>
              </w:rPr>
              <w:t>0,000315</w:t>
            </w:r>
          </w:p>
        </w:tc>
        <w:tc>
          <w:tcPr>
            <w:tcW w:w="1145" w:type="dxa"/>
          </w:tcPr>
          <w:p w14:paraId="20349669" w14:textId="77777777" w:rsidR="00D448A3" w:rsidRPr="00EA1BB2" w:rsidRDefault="00D448A3" w:rsidP="00D448A3">
            <w:pPr>
              <w:spacing w:line="360" w:lineRule="auto"/>
              <w:jc w:val="center"/>
              <w:rPr>
                <w:rFonts w:ascii="Cambria" w:hAnsi="Cambria"/>
                <w:lang w:val="ro-RO"/>
              </w:rPr>
            </w:pPr>
            <w:r w:rsidRPr="00EA1BB2">
              <w:rPr>
                <w:rFonts w:ascii="Cambria" w:hAnsi="Cambria"/>
                <w:lang w:val="ro-RO"/>
              </w:rPr>
              <w:t>0,042</w:t>
            </w:r>
          </w:p>
        </w:tc>
        <w:tc>
          <w:tcPr>
            <w:tcW w:w="1480" w:type="dxa"/>
            <w:noWrap/>
            <w:hideMark/>
          </w:tcPr>
          <w:p w14:paraId="1C7AF02C" w14:textId="77777777" w:rsidR="00D448A3" w:rsidRPr="00EA1BB2" w:rsidRDefault="00D448A3" w:rsidP="00D448A3">
            <w:pPr>
              <w:spacing w:line="360" w:lineRule="auto"/>
              <w:jc w:val="center"/>
              <w:rPr>
                <w:rFonts w:ascii="Cambria" w:eastAsia="Times New Roman" w:hAnsi="Cambria" w:cs="Times New Roman"/>
                <w:szCs w:val="24"/>
                <w:lang w:val="ro-RO"/>
              </w:rPr>
            </w:pPr>
            <w:r w:rsidRPr="00EA1BB2">
              <w:rPr>
                <w:rFonts w:ascii="Cambria" w:hAnsi="Cambria"/>
                <w:lang w:val="ro-RO"/>
              </w:rPr>
              <w:t>237,941684</w:t>
            </w:r>
          </w:p>
        </w:tc>
        <w:tc>
          <w:tcPr>
            <w:tcW w:w="1134" w:type="dxa"/>
            <w:noWrap/>
            <w:hideMark/>
          </w:tcPr>
          <w:p w14:paraId="335C7A0A" w14:textId="77777777" w:rsidR="00D448A3" w:rsidRPr="00EA1BB2" w:rsidRDefault="00D448A3" w:rsidP="00D448A3">
            <w:pPr>
              <w:spacing w:line="360" w:lineRule="auto"/>
              <w:jc w:val="center"/>
              <w:rPr>
                <w:rFonts w:ascii="Cambria" w:eastAsia="Times New Roman" w:hAnsi="Cambria" w:cs="Times New Roman"/>
                <w:szCs w:val="24"/>
                <w:lang w:val="ro-RO"/>
              </w:rPr>
            </w:pPr>
            <w:r w:rsidRPr="00EA1BB2">
              <w:rPr>
                <w:rFonts w:ascii="Cambria" w:hAnsi="Cambria"/>
                <w:lang w:val="ro-RO"/>
              </w:rPr>
              <w:t>0,001042</w:t>
            </w:r>
          </w:p>
        </w:tc>
        <w:tc>
          <w:tcPr>
            <w:tcW w:w="1358" w:type="dxa"/>
            <w:noWrap/>
          </w:tcPr>
          <w:p w14:paraId="7DC291FE" w14:textId="77777777" w:rsidR="00D448A3" w:rsidRPr="00EA1BB2" w:rsidRDefault="00D448A3" w:rsidP="00D448A3">
            <w:pPr>
              <w:spacing w:line="360" w:lineRule="auto"/>
              <w:jc w:val="center"/>
              <w:rPr>
                <w:rFonts w:ascii="Cambria" w:eastAsia="Times New Roman" w:hAnsi="Cambria" w:cs="Times New Roman"/>
                <w:szCs w:val="24"/>
                <w:lang w:val="ro-RO"/>
              </w:rPr>
            </w:pPr>
            <w:r w:rsidRPr="00EA1BB2">
              <w:rPr>
                <w:rFonts w:ascii="Cambria" w:hAnsi="Cambria"/>
                <w:lang w:val="ro-RO"/>
              </w:rPr>
              <w:t>269,399301</w:t>
            </w:r>
          </w:p>
        </w:tc>
        <w:tc>
          <w:tcPr>
            <w:tcW w:w="1134" w:type="dxa"/>
            <w:noWrap/>
            <w:hideMark/>
          </w:tcPr>
          <w:p w14:paraId="2C67BE9A" w14:textId="77777777" w:rsidR="00D448A3" w:rsidRPr="00EA1BB2" w:rsidRDefault="00D448A3" w:rsidP="00D448A3">
            <w:pPr>
              <w:spacing w:line="360" w:lineRule="auto"/>
              <w:jc w:val="center"/>
              <w:rPr>
                <w:rFonts w:ascii="Cambria" w:eastAsia="Times New Roman" w:hAnsi="Cambria" w:cs="Times New Roman"/>
                <w:szCs w:val="24"/>
                <w:lang w:val="ro-RO"/>
              </w:rPr>
            </w:pPr>
            <w:r w:rsidRPr="00EA1BB2">
              <w:rPr>
                <w:rFonts w:ascii="Cambria" w:hAnsi="Cambria"/>
                <w:lang w:val="ro-RO"/>
              </w:rPr>
              <w:t>0,015230</w:t>
            </w:r>
          </w:p>
        </w:tc>
        <w:tc>
          <w:tcPr>
            <w:tcW w:w="1285" w:type="dxa"/>
            <w:noWrap/>
            <w:hideMark/>
          </w:tcPr>
          <w:p w14:paraId="2307E134" w14:textId="77777777" w:rsidR="00D448A3" w:rsidRPr="00EA1BB2" w:rsidRDefault="00D448A3" w:rsidP="00D448A3">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32,034600</w:t>
            </w:r>
          </w:p>
        </w:tc>
        <w:tc>
          <w:tcPr>
            <w:tcW w:w="1236" w:type="dxa"/>
            <w:noWrap/>
            <w:hideMark/>
          </w:tcPr>
          <w:p w14:paraId="005757C5" w14:textId="77777777" w:rsidR="00D448A3" w:rsidRPr="00EA1BB2" w:rsidRDefault="00D448A3" w:rsidP="00D448A3">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27,800670</w:t>
            </w:r>
          </w:p>
        </w:tc>
      </w:tr>
      <w:tr w:rsidR="00D448A3" w:rsidRPr="00EA1BB2" w14:paraId="0ED6FE5E" w14:textId="77777777" w:rsidTr="00D448A3">
        <w:trPr>
          <w:trHeight w:val="300"/>
          <w:jc w:val="center"/>
        </w:trPr>
        <w:tc>
          <w:tcPr>
            <w:tcW w:w="1160" w:type="dxa"/>
            <w:noWrap/>
            <w:hideMark/>
          </w:tcPr>
          <w:p w14:paraId="6487543D" w14:textId="77777777" w:rsidR="00D448A3" w:rsidRPr="00EA1BB2" w:rsidRDefault="00D448A3" w:rsidP="00D448A3">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1.A.3.b.iv</w:t>
            </w:r>
          </w:p>
        </w:tc>
        <w:tc>
          <w:tcPr>
            <w:tcW w:w="1134" w:type="dxa"/>
            <w:noWrap/>
            <w:hideMark/>
          </w:tcPr>
          <w:p w14:paraId="36B79FAC" w14:textId="77777777" w:rsidR="00D448A3" w:rsidRPr="00EA1BB2" w:rsidRDefault="00D448A3" w:rsidP="00D448A3">
            <w:pPr>
              <w:spacing w:line="360" w:lineRule="auto"/>
              <w:jc w:val="center"/>
              <w:rPr>
                <w:rFonts w:ascii="Cambria" w:eastAsia="Times New Roman" w:hAnsi="Cambria" w:cs="Times New Roman"/>
                <w:szCs w:val="24"/>
                <w:lang w:val="ro-RO"/>
              </w:rPr>
            </w:pPr>
            <w:r w:rsidRPr="00EA1BB2">
              <w:rPr>
                <w:rFonts w:ascii="Cambria" w:hAnsi="Cambria"/>
                <w:lang w:val="ro-RO"/>
              </w:rPr>
              <w:t>0,000001</w:t>
            </w:r>
          </w:p>
        </w:tc>
        <w:tc>
          <w:tcPr>
            <w:tcW w:w="1145" w:type="dxa"/>
          </w:tcPr>
          <w:p w14:paraId="3D755876" w14:textId="77777777" w:rsidR="00D448A3" w:rsidRPr="00EA1BB2" w:rsidRDefault="00D448A3" w:rsidP="00D448A3">
            <w:pPr>
              <w:spacing w:line="360" w:lineRule="auto"/>
              <w:jc w:val="center"/>
              <w:rPr>
                <w:rFonts w:ascii="Cambria" w:hAnsi="Cambria"/>
                <w:lang w:val="ro-RO"/>
              </w:rPr>
            </w:pPr>
            <w:r w:rsidRPr="00EA1BB2">
              <w:rPr>
                <w:rFonts w:ascii="Cambria" w:hAnsi="Cambria"/>
                <w:lang w:val="ro-RO"/>
              </w:rPr>
              <w:t>0</w:t>
            </w:r>
          </w:p>
        </w:tc>
        <w:tc>
          <w:tcPr>
            <w:tcW w:w="1480" w:type="dxa"/>
            <w:noWrap/>
            <w:hideMark/>
          </w:tcPr>
          <w:p w14:paraId="59CF6B93" w14:textId="77777777" w:rsidR="00D448A3" w:rsidRPr="00EA1BB2" w:rsidRDefault="00D448A3" w:rsidP="00D448A3">
            <w:pPr>
              <w:spacing w:line="360" w:lineRule="auto"/>
              <w:jc w:val="center"/>
              <w:rPr>
                <w:rFonts w:ascii="Cambria" w:eastAsia="Times New Roman" w:hAnsi="Cambria" w:cs="Times New Roman"/>
                <w:szCs w:val="24"/>
                <w:lang w:val="ro-RO"/>
              </w:rPr>
            </w:pPr>
            <w:r w:rsidRPr="00EA1BB2">
              <w:rPr>
                <w:rFonts w:ascii="Cambria" w:hAnsi="Cambria"/>
                <w:lang w:val="ro-RO"/>
              </w:rPr>
              <w:t>14,213551</w:t>
            </w:r>
          </w:p>
        </w:tc>
        <w:tc>
          <w:tcPr>
            <w:tcW w:w="1134" w:type="dxa"/>
            <w:noWrap/>
            <w:hideMark/>
          </w:tcPr>
          <w:p w14:paraId="055ED5E6" w14:textId="77777777" w:rsidR="00D448A3" w:rsidRPr="00EA1BB2" w:rsidRDefault="00D448A3" w:rsidP="00D448A3">
            <w:pPr>
              <w:spacing w:line="360" w:lineRule="auto"/>
              <w:jc w:val="center"/>
              <w:rPr>
                <w:rFonts w:ascii="Cambria" w:eastAsia="Times New Roman" w:hAnsi="Cambria" w:cs="Times New Roman"/>
                <w:szCs w:val="24"/>
                <w:lang w:val="ro-RO"/>
              </w:rPr>
            </w:pPr>
            <w:r w:rsidRPr="00EA1BB2">
              <w:rPr>
                <w:rFonts w:ascii="Cambria" w:hAnsi="Cambria"/>
                <w:lang w:val="ro-RO"/>
              </w:rPr>
              <w:t>0,000002</w:t>
            </w:r>
          </w:p>
        </w:tc>
        <w:tc>
          <w:tcPr>
            <w:tcW w:w="1358" w:type="dxa"/>
            <w:noWrap/>
          </w:tcPr>
          <w:p w14:paraId="224096D2" w14:textId="77777777" w:rsidR="00D448A3" w:rsidRPr="00EA1BB2" w:rsidRDefault="00D448A3" w:rsidP="00D448A3">
            <w:pPr>
              <w:spacing w:line="360" w:lineRule="auto"/>
              <w:jc w:val="center"/>
              <w:rPr>
                <w:rFonts w:ascii="Cambria" w:eastAsia="Times New Roman" w:hAnsi="Cambria" w:cs="Times New Roman"/>
                <w:szCs w:val="24"/>
                <w:lang w:val="ro-RO"/>
              </w:rPr>
            </w:pPr>
            <w:r w:rsidRPr="00EA1BB2">
              <w:rPr>
                <w:rFonts w:ascii="Cambria" w:hAnsi="Cambria"/>
                <w:lang w:val="ro-RO"/>
              </w:rPr>
              <w:t>0,145951</w:t>
            </w:r>
          </w:p>
        </w:tc>
        <w:tc>
          <w:tcPr>
            <w:tcW w:w="1134" w:type="dxa"/>
            <w:noWrap/>
            <w:hideMark/>
          </w:tcPr>
          <w:p w14:paraId="22E6CDF5" w14:textId="77777777" w:rsidR="00D448A3" w:rsidRPr="00EA1BB2" w:rsidRDefault="00D448A3" w:rsidP="00D448A3">
            <w:pPr>
              <w:spacing w:line="360" w:lineRule="auto"/>
              <w:jc w:val="center"/>
              <w:rPr>
                <w:rFonts w:ascii="Cambria" w:eastAsia="Times New Roman" w:hAnsi="Cambria" w:cs="Times New Roman"/>
                <w:szCs w:val="24"/>
                <w:lang w:val="ro-RO"/>
              </w:rPr>
            </w:pPr>
            <w:r w:rsidRPr="00EA1BB2">
              <w:rPr>
                <w:rFonts w:ascii="Cambria" w:hAnsi="Cambria"/>
                <w:lang w:val="ro-RO"/>
              </w:rPr>
              <w:t>0,000024</w:t>
            </w:r>
          </w:p>
        </w:tc>
        <w:tc>
          <w:tcPr>
            <w:tcW w:w="1285" w:type="dxa"/>
            <w:noWrap/>
            <w:hideMark/>
          </w:tcPr>
          <w:p w14:paraId="0B77F76A" w14:textId="77777777" w:rsidR="00D448A3" w:rsidRPr="00EA1BB2" w:rsidRDefault="00D448A3" w:rsidP="00D448A3">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0,098517</w:t>
            </w:r>
          </w:p>
        </w:tc>
        <w:tc>
          <w:tcPr>
            <w:tcW w:w="1236" w:type="dxa"/>
            <w:noWrap/>
            <w:hideMark/>
          </w:tcPr>
          <w:p w14:paraId="145B54F5" w14:textId="77777777" w:rsidR="00D448A3" w:rsidRPr="00EA1BB2" w:rsidRDefault="00D448A3" w:rsidP="00D448A3">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0,090836</w:t>
            </w:r>
          </w:p>
        </w:tc>
      </w:tr>
      <w:tr w:rsidR="00795634" w:rsidRPr="00EA1BB2" w14:paraId="73BA7175" w14:textId="77777777" w:rsidTr="00D448A3">
        <w:trPr>
          <w:trHeight w:val="300"/>
          <w:jc w:val="center"/>
        </w:trPr>
        <w:tc>
          <w:tcPr>
            <w:tcW w:w="1160" w:type="dxa"/>
            <w:noWrap/>
          </w:tcPr>
          <w:p w14:paraId="68E91AF0" w14:textId="77777777" w:rsidR="00795634" w:rsidRPr="00EA1BB2" w:rsidRDefault="00795634" w:rsidP="00795634">
            <w:pPr>
              <w:spacing w:line="360" w:lineRule="auto"/>
              <w:jc w:val="center"/>
              <w:rPr>
                <w:rFonts w:ascii="Cambria" w:hAnsi="Cambria"/>
                <w:sz w:val="24"/>
                <w:lang w:val="ro-RO"/>
              </w:rPr>
            </w:pPr>
            <w:r w:rsidRPr="00EA1BB2">
              <w:rPr>
                <w:rFonts w:ascii="Cambria" w:hAnsi="Cambria"/>
                <w:sz w:val="24"/>
                <w:lang w:val="ro-RO"/>
              </w:rPr>
              <w:t>Total</w:t>
            </w:r>
          </w:p>
        </w:tc>
        <w:tc>
          <w:tcPr>
            <w:tcW w:w="1134" w:type="dxa"/>
            <w:noWrap/>
          </w:tcPr>
          <w:p w14:paraId="51BB4B45" w14:textId="77777777" w:rsidR="00795634" w:rsidRPr="00EA1BB2" w:rsidRDefault="00795634" w:rsidP="00795634">
            <w:pPr>
              <w:spacing w:line="360" w:lineRule="auto"/>
              <w:jc w:val="center"/>
              <w:rPr>
                <w:rFonts w:ascii="Cambria" w:hAnsi="Cambria"/>
                <w:szCs w:val="24"/>
                <w:lang w:val="ro-RO"/>
              </w:rPr>
            </w:pPr>
            <w:r w:rsidRPr="00EA1BB2">
              <w:rPr>
                <w:rFonts w:ascii="Cambria" w:hAnsi="Cambria"/>
                <w:szCs w:val="24"/>
                <w:lang w:val="ro-RO"/>
              </w:rPr>
              <w:t>0,000546</w:t>
            </w:r>
          </w:p>
        </w:tc>
        <w:tc>
          <w:tcPr>
            <w:tcW w:w="1145" w:type="dxa"/>
          </w:tcPr>
          <w:p w14:paraId="194366FE" w14:textId="77777777" w:rsidR="00795634" w:rsidRPr="00EA1BB2" w:rsidRDefault="00795634" w:rsidP="00795634">
            <w:pPr>
              <w:spacing w:line="360" w:lineRule="auto"/>
              <w:jc w:val="center"/>
              <w:rPr>
                <w:rFonts w:ascii="Cambria" w:hAnsi="Cambria"/>
                <w:szCs w:val="24"/>
                <w:lang w:val="ro-RO"/>
              </w:rPr>
            </w:pPr>
            <w:r w:rsidRPr="00EA1BB2">
              <w:rPr>
                <w:rFonts w:ascii="Cambria" w:hAnsi="Cambria"/>
                <w:lang w:val="ro-RO"/>
              </w:rPr>
              <w:t>15,951</w:t>
            </w:r>
          </w:p>
        </w:tc>
        <w:tc>
          <w:tcPr>
            <w:tcW w:w="1480" w:type="dxa"/>
            <w:noWrap/>
          </w:tcPr>
          <w:p w14:paraId="49D2D858" w14:textId="77777777" w:rsidR="00795634" w:rsidRPr="00EA1BB2" w:rsidRDefault="00795634" w:rsidP="00795634">
            <w:pPr>
              <w:spacing w:line="360" w:lineRule="auto"/>
              <w:jc w:val="center"/>
              <w:rPr>
                <w:rFonts w:ascii="Cambria" w:hAnsi="Cambria"/>
                <w:szCs w:val="24"/>
                <w:lang w:val="ro-RO"/>
              </w:rPr>
            </w:pPr>
            <w:r w:rsidRPr="00EA1BB2">
              <w:rPr>
                <w:rFonts w:ascii="Cambria" w:hAnsi="Cambria"/>
                <w:szCs w:val="24"/>
                <w:lang w:val="ro-RO"/>
              </w:rPr>
              <w:t>2507,094512</w:t>
            </w:r>
          </w:p>
        </w:tc>
        <w:tc>
          <w:tcPr>
            <w:tcW w:w="1134" w:type="dxa"/>
            <w:noWrap/>
          </w:tcPr>
          <w:p w14:paraId="38C2790B" w14:textId="77777777" w:rsidR="00795634" w:rsidRPr="00EA1BB2" w:rsidRDefault="00795634" w:rsidP="00795634">
            <w:pPr>
              <w:spacing w:line="360" w:lineRule="auto"/>
              <w:jc w:val="center"/>
              <w:rPr>
                <w:rFonts w:ascii="Cambria" w:hAnsi="Cambria"/>
                <w:szCs w:val="24"/>
                <w:lang w:val="ro-RO"/>
              </w:rPr>
            </w:pPr>
            <w:r w:rsidRPr="00EA1BB2">
              <w:rPr>
                <w:rFonts w:ascii="Cambria" w:hAnsi="Cambria"/>
                <w:szCs w:val="24"/>
                <w:lang w:val="ro-RO"/>
              </w:rPr>
              <w:t>0,001689</w:t>
            </w:r>
          </w:p>
        </w:tc>
        <w:tc>
          <w:tcPr>
            <w:tcW w:w="1358" w:type="dxa"/>
            <w:noWrap/>
          </w:tcPr>
          <w:p w14:paraId="17AA6301" w14:textId="77777777" w:rsidR="00795634" w:rsidRPr="00EA1BB2" w:rsidRDefault="00795634" w:rsidP="00795634">
            <w:pPr>
              <w:spacing w:line="360" w:lineRule="auto"/>
              <w:jc w:val="center"/>
              <w:rPr>
                <w:rFonts w:ascii="Cambria" w:hAnsi="Cambria"/>
                <w:szCs w:val="24"/>
                <w:lang w:val="ro-RO"/>
              </w:rPr>
            </w:pPr>
            <w:r w:rsidRPr="00EA1BB2">
              <w:rPr>
                <w:rFonts w:ascii="Cambria" w:hAnsi="Cambria"/>
                <w:lang w:val="ro-RO"/>
              </w:rPr>
              <w:t>408,436861</w:t>
            </w:r>
          </w:p>
        </w:tc>
        <w:tc>
          <w:tcPr>
            <w:tcW w:w="1134" w:type="dxa"/>
            <w:noWrap/>
          </w:tcPr>
          <w:p w14:paraId="7EA4E631" w14:textId="77777777" w:rsidR="00795634" w:rsidRPr="00EA1BB2" w:rsidRDefault="00795634" w:rsidP="00795634">
            <w:pPr>
              <w:spacing w:line="360" w:lineRule="auto"/>
              <w:jc w:val="center"/>
              <w:rPr>
                <w:rFonts w:ascii="Cambria" w:hAnsi="Cambria"/>
                <w:szCs w:val="24"/>
                <w:lang w:val="ro-RO"/>
              </w:rPr>
            </w:pPr>
            <w:r w:rsidRPr="00EA1BB2">
              <w:rPr>
                <w:rFonts w:ascii="Cambria" w:hAnsi="Cambria"/>
                <w:szCs w:val="24"/>
                <w:lang w:val="ro-RO"/>
              </w:rPr>
              <w:t>0,022815</w:t>
            </w:r>
          </w:p>
        </w:tc>
        <w:tc>
          <w:tcPr>
            <w:tcW w:w="1285" w:type="dxa"/>
            <w:noWrap/>
          </w:tcPr>
          <w:p w14:paraId="171FD4EC" w14:textId="77777777" w:rsidR="00795634" w:rsidRPr="00EA1BB2" w:rsidRDefault="00D448A3" w:rsidP="00795634">
            <w:pPr>
              <w:spacing w:line="360" w:lineRule="auto"/>
              <w:jc w:val="center"/>
              <w:rPr>
                <w:rFonts w:ascii="Cambria" w:hAnsi="Cambria"/>
                <w:szCs w:val="24"/>
                <w:lang w:val="ro-RO"/>
              </w:rPr>
            </w:pPr>
            <w:r w:rsidRPr="00EA1BB2">
              <w:rPr>
                <w:rFonts w:ascii="Cambria" w:hAnsi="Cambria"/>
                <w:szCs w:val="24"/>
                <w:lang w:val="ro-RO"/>
              </w:rPr>
              <w:t>42,393997</w:t>
            </w:r>
          </w:p>
        </w:tc>
        <w:tc>
          <w:tcPr>
            <w:tcW w:w="1236" w:type="dxa"/>
            <w:noWrap/>
          </w:tcPr>
          <w:p w14:paraId="3B382399" w14:textId="77777777" w:rsidR="00795634" w:rsidRPr="00EA1BB2" w:rsidRDefault="00795634" w:rsidP="00795634">
            <w:pPr>
              <w:spacing w:line="360" w:lineRule="auto"/>
              <w:jc w:val="center"/>
              <w:rPr>
                <w:rFonts w:ascii="Cambria" w:hAnsi="Cambria"/>
                <w:szCs w:val="24"/>
                <w:lang w:val="ro-RO"/>
              </w:rPr>
            </w:pPr>
            <w:r w:rsidRPr="00EA1BB2">
              <w:rPr>
                <w:rFonts w:ascii="Cambria" w:hAnsi="Cambria"/>
                <w:szCs w:val="24"/>
                <w:lang w:val="ro-RO"/>
              </w:rPr>
              <w:t>35,724842</w:t>
            </w:r>
          </w:p>
        </w:tc>
      </w:tr>
    </w:tbl>
    <w:p w14:paraId="529F7D47" w14:textId="77777777" w:rsidR="00AB1061" w:rsidRPr="00EA1BB2" w:rsidRDefault="00AB1061" w:rsidP="00AB1061">
      <w:pPr>
        <w:spacing w:line="276" w:lineRule="auto"/>
        <w:jc w:val="both"/>
        <w:rPr>
          <w:rFonts w:ascii="Cambria" w:eastAsia="Times New Roman" w:hAnsi="Cambria" w:cs="Times New Roman"/>
          <w:szCs w:val="24"/>
        </w:rPr>
      </w:pPr>
      <w:r w:rsidRPr="00EA1BB2">
        <w:rPr>
          <w:rFonts w:ascii="Cambria" w:eastAsia="Times New Roman" w:hAnsi="Cambria" w:cs="Times New Roman"/>
          <w:szCs w:val="24"/>
        </w:rPr>
        <w:t>*cu excepția municipiului Brăila</w:t>
      </w:r>
    </w:p>
    <w:p w14:paraId="4B95FCA9" w14:textId="77777777" w:rsidR="00171C34" w:rsidRPr="00EA1BB2" w:rsidRDefault="00171C34" w:rsidP="00AB1061">
      <w:pPr>
        <w:spacing w:line="276" w:lineRule="auto"/>
        <w:jc w:val="both"/>
        <w:rPr>
          <w:rFonts w:ascii="Cambria" w:eastAsia="Times New Roman" w:hAnsi="Cambria" w:cs="Times New Roman"/>
          <w:szCs w:val="24"/>
        </w:rPr>
      </w:pPr>
      <w:r w:rsidRPr="00EA1BB2">
        <w:rPr>
          <w:rFonts w:ascii="Cambria" w:eastAsia="Times New Roman" w:hAnsi="Cambria" w:cs="Times New Roman"/>
          <w:szCs w:val="24"/>
        </w:rPr>
        <w:t>Benzenul a fost calculat ca provenind din emisiile de NMVOC conform EMEP/EEA Emission Inventory Guidebook 2009</w:t>
      </w:r>
    </w:p>
    <w:p w14:paraId="540AC080" w14:textId="77777777" w:rsidR="00343667" w:rsidRPr="00EA1BB2" w:rsidRDefault="0078622B" w:rsidP="00AE5246">
      <w:pPr>
        <w:spacing w:line="360" w:lineRule="auto"/>
        <w:jc w:val="both"/>
        <w:rPr>
          <w:rFonts w:ascii="Cambria" w:eastAsia="Times New Roman" w:hAnsi="Cambria" w:cs="Times New Roman"/>
          <w:szCs w:val="24"/>
        </w:rPr>
      </w:pPr>
      <w:r w:rsidRPr="00EA1BB2">
        <w:rPr>
          <w:rFonts w:ascii="Cambria" w:eastAsia="Times New Roman" w:hAnsi="Cambria" w:cs="Times New Roman"/>
          <w:szCs w:val="24"/>
        </w:rPr>
        <w:t>Sursa: ANPM – I</w:t>
      </w:r>
      <w:r w:rsidR="00343667" w:rsidRPr="00EA1BB2">
        <w:rPr>
          <w:rFonts w:ascii="Cambria" w:eastAsia="Times New Roman" w:hAnsi="Cambria" w:cs="Times New Roman"/>
          <w:szCs w:val="24"/>
        </w:rPr>
        <w:t>nventar emisii trafic 2013</w:t>
      </w:r>
      <w:r w:rsidRPr="00EA1BB2">
        <w:rPr>
          <w:rFonts w:ascii="Cambria" w:eastAsia="Times New Roman" w:hAnsi="Cambria" w:cs="Times New Roman"/>
          <w:szCs w:val="24"/>
        </w:rPr>
        <w:t xml:space="preserve"> (Copert)</w:t>
      </w:r>
    </w:p>
    <w:p w14:paraId="3B87D7ED" w14:textId="77777777" w:rsidR="00852D83" w:rsidRPr="00EA1BB2" w:rsidRDefault="00852D83" w:rsidP="00AE5246">
      <w:pPr>
        <w:spacing w:line="360" w:lineRule="auto"/>
        <w:jc w:val="both"/>
        <w:rPr>
          <w:rFonts w:ascii="Cambria" w:eastAsia="Times New Roman" w:hAnsi="Cambria" w:cs="Times New Roman"/>
          <w:szCs w:val="24"/>
        </w:rPr>
      </w:pPr>
    </w:p>
    <w:p w14:paraId="65736860" w14:textId="3E8787C4" w:rsidR="00343667" w:rsidRPr="00EA1BB2" w:rsidRDefault="00343667" w:rsidP="00343667">
      <w:pPr>
        <w:pStyle w:val="Caption"/>
        <w:keepNext/>
        <w:spacing w:after="0" w:line="360" w:lineRule="auto"/>
        <w:ind w:firstLine="708"/>
        <w:jc w:val="both"/>
        <w:rPr>
          <w:rFonts w:ascii="Cambria" w:hAnsi="Cambria"/>
        </w:rPr>
      </w:pPr>
      <w:bookmarkStart w:id="188" w:name="_Toc524966220"/>
      <w:r w:rsidRPr="00EA1BB2">
        <w:rPr>
          <w:rFonts w:ascii="Cambria" w:hAnsi="Cambria"/>
        </w:rPr>
        <w:t xml:space="preserve">Figura nr. </w:t>
      </w:r>
      <w:r w:rsidR="00280BC9" w:rsidRPr="00EA1BB2">
        <w:rPr>
          <w:rFonts w:ascii="Cambria" w:hAnsi="Cambria"/>
        </w:rPr>
        <w:fldChar w:fldCharType="begin"/>
      </w:r>
      <w:r w:rsidR="00BA6FA3" w:rsidRPr="00EA1BB2">
        <w:rPr>
          <w:rFonts w:ascii="Cambria" w:hAnsi="Cambria"/>
        </w:rPr>
        <w:instrText xml:space="preserve"> STYLEREF 1 \s </w:instrText>
      </w:r>
      <w:r w:rsidR="00280BC9" w:rsidRPr="00EA1BB2">
        <w:rPr>
          <w:rFonts w:ascii="Cambria" w:hAnsi="Cambria"/>
        </w:rPr>
        <w:fldChar w:fldCharType="separate"/>
      </w:r>
      <w:r w:rsidR="00567555">
        <w:rPr>
          <w:rFonts w:ascii="Cambria" w:hAnsi="Cambria"/>
          <w:noProof/>
        </w:rPr>
        <w:t>3</w:t>
      </w:r>
      <w:r w:rsidR="00280BC9" w:rsidRPr="00EA1BB2">
        <w:rPr>
          <w:rFonts w:ascii="Cambria" w:hAnsi="Cambria"/>
        </w:rPr>
        <w:fldChar w:fldCharType="end"/>
      </w:r>
      <w:r w:rsidR="00BA6FA3" w:rsidRPr="00EA1BB2">
        <w:rPr>
          <w:rFonts w:ascii="Cambria" w:hAnsi="Cambria"/>
        </w:rPr>
        <w:noBreakHyphen/>
      </w:r>
      <w:r w:rsidR="00280BC9" w:rsidRPr="00EA1BB2">
        <w:rPr>
          <w:rFonts w:ascii="Cambria" w:hAnsi="Cambria"/>
        </w:rPr>
        <w:fldChar w:fldCharType="begin"/>
      </w:r>
      <w:r w:rsidR="00BA6FA3" w:rsidRPr="00EA1BB2">
        <w:rPr>
          <w:rFonts w:ascii="Cambria" w:hAnsi="Cambria"/>
        </w:rPr>
        <w:instrText xml:space="preserve"> SEQ Figura_nr. \* ARABIC \s 1 </w:instrText>
      </w:r>
      <w:r w:rsidR="00280BC9" w:rsidRPr="00EA1BB2">
        <w:rPr>
          <w:rFonts w:ascii="Cambria" w:hAnsi="Cambria"/>
        </w:rPr>
        <w:fldChar w:fldCharType="separate"/>
      </w:r>
      <w:r w:rsidR="00567555">
        <w:rPr>
          <w:rFonts w:ascii="Cambria" w:hAnsi="Cambria"/>
          <w:noProof/>
        </w:rPr>
        <w:t>9</w:t>
      </w:r>
      <w:r w:rsidR="00280BC9" w:rsidRPr="00EA1BB2">
        <w:rPr>
          <w:rFonts w:ascii="Cambria" w:hAnsi="Cambria"/>
        </w:rPr>
        <w:fldChar w:fldCharType="end"/>
      </w:r>
      <w:r w:rsidRPr="00EA1BB2">
        <w:rPr>
          <w:rFonts w:ascii="Cambria" w:hAnsi="Cambria"/>
        </w:rPr>
        <w:t xml:space="preserve"> – </w:t>
      </w:r>
      <w:r w:rsidR="00372B1D" w:rsidRPr="00EA1BB2">
        <w:rPr>
          <w:rFonts w:ascii="Cambria" w:hAnsi="Cambria"/>
        </w:rPr>
        <w:t xml:space="preserve">Contribuția diferitelor </w:t>
      </w:r>
      <w:r w:rsidR="00C94E4F" w:rsidRPr="00EA1BB2">
        <w:rPr>
          <w:rFonts w:ascii="Cambria" w:hAnsi="Cambria"/>
        </w:rPr>
        <w:t>categorii</w:t>
      </w:r>
      <w:r w:rsidR="00372B1D" w:rsidRPr="00EA1BB2">
        <w:rPr>
          <w:rFonts w:ascii="Cambria" w:hAnsi="Cambria"/>
        </w:rPr>
        <w:t xml:space="preserve"> de autovehicule la emisiile de poluanți în atmosferă</w:t>
      </w:r>
      <w:r w:rsidR="00BD06C5" w:rsidRPr="00EA1BB2">
        <w:rPr>
          <w:rFonts w:ascii="Cambria" w:hAnsi="Cambria"/>
        </w:rPr>
        <w:t xml:space="preserve"> </w:t>
      </w:r>
      <w:r w:rsidR="00142EAB" w:rsidRPr="00EA1BB2">
        <w:rPr>
          <w:rFonts w:ascii="Cambria" w:hAnsi="Cambria"/>
        </w:rPr>
        <w:t>în anul de referință 2013</w:t>
      </w:r>
      <w:bookmarkEnd w:id="188"/>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4508"/>
        <w:gridCol w:w="4508"/>
      </w:tblGrid>
      <w:tr w:rsidR="00372B1D" w:rsidRPr="00EA1BB2" w14:paraId="1CD8DB7B" w14:textId="77777777" w:rsidTr="00295F75">
        <w:tc>
          <w:tcPr>
            <w:tcW w:w="4508" w:type="dxa"/>
            <w:vAlign w:val="center"/>
          </w:tcPr>
          <w:p w14:paraId="17781D71" w14:textId="77777777" w:rsidR="00372B1D" w:rsidRPr="00EA1BB2" w:rsidRDefault="00372B1D" w:rsidP="00295F75">
            <w:pPr>
              <w:jc w:val="center"/>
              <w:rPr>
                <w:rFonts w:ascii="Cambria" w:hAnsi="Cambria"/>
              </w:rPr>
            </w:pPr>
            <w:r w:rsidRPr="00EA1BB2">
              <w:rPr>
                <w:rFonts w:ascii="Cambria" w:hAnsi="Cambria"/>
              </w:rPr>
              <w:t>1.</w:t>
            </w:r>
            <w:r w:rsidRPr="00EA1BB2">
              <w:rPr>
                <w:rFonts w:ascii="Cambria" w:hAnsi="Cambria"/>
                <w:noProof/>
                <w:lang w:val="en-US"/>
              </w:rPr>
              <w:drawing>
                <wp:inline distT="0" distB="0" distL="0" distR="0" wp14:anchorId="35A13069" wp14:editId="03CB0A7C">
                  <wp:extent cx="2562225" cy="1584000"/>
                  <wp:effectExtent l="0" t="0" r="9525" b="1651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tc>
        <w:tc>
          <w:tcPr>
            <w:tcW w:w="4508" w:type="dxa"/>
          </w:tcPr>
          <w:p w14:paraId="760E4779" w14:textId="77777777" w:rsidR="00372B1D" w:rsidRPr="00EA1BB2" w:rsidRDefault="00372B1D" w:rsidP="00295F75">
            <w:pPr>
              <w:jc w:val="both"/>
              <w:rPr>
                <w:rFonts w:ascii="Cambria" w:hAnsi="Cambria"/>
              </w:rPr>
            </w:pPr>
            <w:r w:rsidRPr="00EA1BB2">
              <w:rPr>
                <w:rFonts w:ascii="Cambria" w:hAnsi="Cambria"/>
              </w:rPr>
              <w:t>2.</w:t>
            </w:r>
            <w:r w:rsidRPr="00EA1BB2">
              <w:rPr>
                <w:rFonts w:ascii="Cambria" w:hAnsi="Cambria"/>
                <w:noProof/>
                <w:lang w:val="en-US"/>
              </w:rPr>
              <w:drawing>
                <wp:inline distT="0" distB="0" distL="0" distR="0" wp14:anchorId="1F5DDE76" wp14:editId="6F2C1D2C">
                  <wp:extent cx="2562225" cy="1584000"/>
                  <wp:effectExtent l="0" t="0" r="9525" b="1651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tc>
      </w:tr>
      <w:tr w:rsidR="00372B1D" w:rsidRPr="00EA1BB2" w14:paraId="28695F71" w14:textId="77777777" w:rsidTr="00295F75">
        <w:tc>
          <w:tcPr>
            <w:tcW w:w="4508" w:type="dxa"/>
          </w:tcPr>
          <w:p w14:paraId="4668AE2A" w14:textId="77777777" w:rsidR="00372B1D" w:rsidRPr="00EA1BB2" w:rsidRDefault="00372B1D" w:rsidP="00295F75">
            <w:pPr>
              <w:jc w:val="both"/>
              <w:rPr>
                <w:rFonts w:ascii="Cambria" w:hAnsi="Cambria"/>
              </w:rPr>
            </w:pPr>
            <w:r w:rsidRPr="00EA1BB2">
              <w:rPr>
                <w:rFonts w:ascii="Cambria" w:hAnsi="Cambria"/>
              </w:rPr>
              <w:t>3.</w:t>
            </w:r>
            <w:r w:rsidRPr="00EA1BB2">
              <w:rPr>
                <w:rFonts w:ascii="Cambria" w:hAnsi="Cambria"/>
                <w:noProof/>
                <w:lang w:val="en-US"/>
              </w:rPr>
              <w:drawing>
                <wp:inline distT="0" distB="0" distL="0" distR="0" wp14:anchorId="0A6805B1" wp14:editId="53AF0F92">
                  <wp:extent cx="2562225" cy="1584000"/>
                  <wp:effectExtent l="0" t="0" r="9525" b="1651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tc>
        <w:tc>
          <w:tcPr>
            <w:tcW w:w="4508" w:type="dxa"/>
          </w:tcPr>
          <w:p w14:paraId="38EE48BD" w14:textId="77777777" w:rsidR="00372B1D" w:rsidRPr="00EA1BB2" w:rsidRDefault="00372B1D" w:rsidP="00295F75">
            <w:pPr>
              <w:jc w:val="both"/>
              <w:rPr>
                <w:rFonts w:ascii="Cambria" w:hAnsi="Cambria"/>
              </w:rPr>
            </w:pPr>
            <w:r w:rsidRPr="00EA1BB2">
              <w:rPr>
                <w:rFonts w:ascii="Cambria" w:hAnsi="Cambria"/>
              </w:rPr>
              <w:t>4.</w:t>
            </w:r>
            <w:r w:rsidRPr="00EA1BB2">
              <w:rPr>
                <w:rFonts w:ascii="Cambria" w:hAnsi="Cambria"/>
                <w:noProof/>
                <w:lang w:val="en-US"/>
              </w:rPr>
              <w:drawing>
                <wp:inline distT="0" distB="0" distL="0" distR="0" wp14:anchorId="7DF53DAF" wp14:editId="444C671F">
                  <wp:extent cx="2562225" cy="1584000"/>
                  <wp:effectExtent l="0" t="0" r="9525" b="1651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tc>
      </w:tr>
      <w:tr w:rsidR="00372B1D" w:rsidRPr="00EA1BB2" w14:paraId="71459FC7" w14:textId="77777777" w:rsidTr="00295F75">
        <w:tc>
          <w:tcPr>
            <w:tcW w:w="4508" w:type="dxa"/>
          </w:tcPr>
          <w:p w14:paraId="6D7F314A" w14:textId="77777777" w:rsidR="00372B1D" w:rsidRPr="00EA1BB2" w:rsidRDefault="00372B1D" w:rsidP="00295F75">
            <w:pPr>
              <w:jc w:val="both"/>
              <w:rPr>
                <w:rFonts w:ascii="Cambria" w:hAnsi="Cambria"/>
              </w:rPr>
            </w:pPr>
            <w:r w:rsidRPr="00EA1BB2">
              <w:rPr>
                <w:rFonts w:ascii="Cambria" w:hAnsi="Cambria"/>
              </w:rPr>
              <w:t>5.</w:t>
            </w:r>
            <w:r w:rsidRPr="00EA1BB2">
              <w:rPr>
                <w:rFonts w:ascii="Cambria" w:hAnsi="Cambria"/>
                <w:noProof/>
                <w:lang w:val="en-US"/>
              </w:rPr>
              <w:drawing>
                <wp:inline distT="0" distB="0" distL="0" distR="0" wp14:anchorId="421CF68A" wp14:editId="3915DC92">
                  <wp:extent cx="2562225" cy="1584000"/>
                  <wp:effectExtent l="0" t="0" r="9525" b="16510"/>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tc>
        <w:tc>
          <w:tcPr>
            <w:tcW w:w="4508" w:type="dxa"/>
          </w:tcPr>
          <w:p w14:paraId="4392C969" w14:textId="77777777" w:rsidR="00372B1D" w:rsidRPr="00EA1BB2" w:rsidRDefault="00372B1D" w:rsidP="00295F75">
            <w:pPr>
              <w:jc w:val="both"/>
              <w:rPr>
                <w:rFonts w:ascii="Cambria" w:hAnsi="Cambria"/>
              </w:rPr>
            </w:pPr>
            <w:r w:rsidRPr="00EA1BB2">
              <w:rPr>
                <w:rFonts w:ascii="Cambria" w:hAnsi="Cambria"/>
              </w:rPr>
              <w:t>6.</w:t>
            </w:r>
            <w:r w:rsidRPr="00EA1BB2">
              <w:rPr>
                <w:rFonts w:ascii="Cambria" w:hAnsi="Cambria"/>
                <w:noProof/>
                <w:lang w:val="en-US"/>
              </w:rPr>
              <w:drawing>
                <wp:inline distT="0" distB="0" distL="0" distR="0" wp14:anchorId="446C3723" wp14:editId="068C1FD9">
                  <wp:extent cx="2562225" cy="1584000"/>
                  <wp:effectExtent l="0" t="0" r="9525" b="16510"/>
                  <wp:docPr id="51" name="Chart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tc>
      </w:tr>
      <w:tr w:rsidR="00372B1D" w:rsidRPr="00EA1BB2" w14:paraId="4E6BEF3D" w14:textId="77777777" w:rsidTr="00295F75">
        <w:tc>
          <w:tcPr>
            <w:tcW w:w="4508" w:type="dxa"/>
          </w:tcPr>
          <w:p w14:paraId="170F7EF2" w14:textId="77777777" w:rsidR="00372B1D" w:rsidRPr="00EA1BB2" w:rsidRDefault="00372B1D" w:rsidP="00295F75">
            <w:pPr>
              <w:jc w:val="both"/>
              <w:rPr>
                <w:rFonts w:ascii="Cambria" w:hAnsi="Cambria"/>
              </w:rPr>
            </w:pPr>
            <w:r w:rsidRPr="00EA1BB2">
              <w:rPr>
                <w:rFonts w:ascii="Cambria" w:hAnsi="Cambria"/>
              </w:rPr>
              <w:lastRenderedPageBreak/>
              <w:t>7.</w:t>
            </w:r>
            <w:r w:rsidRPr="00EA1BB2">
              <w:rPr>
                <w:rFonts w:ascii="Cambria" w:hAnsi="Cambria"/>
                <w:noProof/>
                <w:lang w:val="en-US"/>
              </w:rPr>
              <w:drawing>
                <wp:inline distT="0" distB="0" distL="0" distR="0" wp14:anchorId="48AE6B0C" wp14:editId="664D936F">
                  <wp:extent cx="2562225" cy="1584000"/>
                  <wp:effectExtent l="0" t="0" r="9525" b="16510"/>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tc>
        <w:tc>
          <w:tcPr>
            <w:tcW w:w="4508" w:type="dxa"/>
          </w:tcPr>
          <w:p w14:paraId="4885C1E3" w14:textId="77777777" w:rsidR="00372B1D" w:rsidRPr="00EA1BB2" w:rsidRDefault="00171C34" w:rsidP="00295F75">
            <w:pPr>
              <w:jc w:val="both"/>
              <w:rPr>
                <w:rFonts w:ascii="Cambria" w:hAnsi="Cambria"/>
              </w:rPr>
            </w:pPr>
            <w:r w:rsidRPr="00EA1BB2">
              <w:rPr>
                <w:rFonts w:ascii="Cambria" w:hAnsi="Cambria"/>
              </w:rPr>
              <w:t xml:space="preserve">8. </w:t>
            </w:r>
            <w:r w:rsidRPr="00EA1BB2">
              <w:rPr>
                <w:rFonts w:ascii="Cambria" w:hAnsi="Cambria"/>
                <w:noProof/>
                <w:lang w:val="en-US"/>
              </w:rPr>
              <w:drawing>
                <wp:inline distT="0" distB="0" distL="0" distR="0" wp14:anchorId="491DEEA1" wp14:editId="1C586025">
                  <wp:extent cx="2562225" cy="1584000"/>
                  <wp:effectExtent l="0" t="0" r="9525" b="16510"/>
                  <wp:docPr id="4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tc>
      </w:tr>
    </w:tbl>
    <w:p w14:paraId="1DC5E5D5" w14:textId="77777777" w:rsidR="00142EAB" w:rsidRPr="00EA1BB2" w:rsidRDefault="00142EAB" w:rsidP="00142EAB">
      <w:pPr>
        <w:spacing w:line="276" w:lineRule="auto"/>
        <w:jc w:val="both"/>
        <w:rPr>
          <w:rFonts w:ascii="Cambria" w:eastAsia="Times New Roman" w:hAnsi="Cambria" w:cs="Times New Roman"/>
          <w:szCs w:val="24"/>
        </w:rPr>
      </w:pPr>
      <w:r w:rsidRPr="00EA1BB2">
        <w:rPr>
          <w:rFonts w:ascii="Cambria" w:eastAsia="Times New Roman" w:hAnsi="Cambria" w:cs="Times New Roman"/>
          <w:szCs w:val="24"/>
        </w:rPr>
        <w:t>*cu excepția municipiului Brăila</w:t>
      </w:r>
    </w:p>
    <w:p w14:paraId="4C0EDAB8" w14:textId="77777777" w:rsidR="00142EAB" w:rsidRPr="00EA1BB2" w:rsidRDefault="00142EAB" w:rsidP="00142EAB">
      <w:pPr>
        <w:spacing w:line="360" w:lineRule="auto"/>
        <w:jc w:val="both"/>
        <w:rPr>
          <w:rFonts w:ascii="Cambria" w:eastAsia="Times New Roman" w:hAnsi="Cambria" w:cs="Times New Roman"/>
          <w:szCs w:val="24"/>
        </w:rPr>
      </w:pPr>
      <w:r w:rsidRPr="00EA1BB2">
        <w:rPr>
          <w:rFonts w:ascii="Cambria" w:eastAsia="Times New Roman" w:hAnsi="Cambria" w:cs="Times New Roman"/>
          <w:szCs w:val="24"/>
        </w:rPr>
        <w:t xml:space="preserve">Sursa: ANPM – </w:t>
      </w:r>
      <w:r w:rsidR="0078622B" w:rsidRPr="00EA1BB2">
        <w:rPr>
          <w:rFonts w:ascii="Cambria" w:eastAsia="Times New Roman" w:hAnsi="Cambria" w:cs="Times New Roman"/>
          <w:szCs w:val="24"/>
        </w:rPr>
        <w:t>I</w:t>
      </w:r>
      <w:r w:rsidRPr="00EA1BB2">
        <w:rPr>
          <w:rFonts w:ascii="Cambria" w:eastAsia="Times New Roman" w:hAnsi="Cambria" w:cs="Times New Roman"/>
          <w:szCs w:val="24"/>
        </w:rPr>
        <w:t>nventar emisii trafic 2013</w:t>
      </w:r>
      <w:r w:rsidR="0078622B" w:rsidRPr="00EA1BB2">
        <w:rPr>
          <w:rFonts w:ascii="Cambria" w:eastAsia="Times New Roman" w:hAnsi="Cambria" w:cs="Times New Roman"/>
          <w:szCs w:val="24"/>
        </w:rPr>
        <w:t xml:space="preserve"> (Copert)</w:t>
      </w:r>
    </w:p>
    <w:p w14:paraId="70E9A37A" w14:textId="77777777" w:rsidR="00343667" w:rsidRPr="00EA1BB2" w:rsidRDefault="00343667" w:rsidP="00343667">
      <w:pPr>
        <w:spacing w:line="360" w:lineRule="auto"/>
        <w:jc w:val="both"/>
        <w:rPr>
          <w:rFonts w:ascii="Cambria" w:eastAsia="Times New Roman" w:hAnsi="Cambria" w:cs="Times New Roman"/>
          <w:sz w:val="24"/>
          <w:szCs w:val="24"/>
        </w:rPr>
      </w:pPr>
    </w:p>
    <w:p w14:paraId="4E3168F8" w14:textId="77777777" w:rsidR="00727823" w:rsidRPr="00EA1BB2" w:rsidRDefault="00727823" w:rsidP="00727823">
      <w:pPr>
        <w:spacing w:line="360" w:lineRule="auto"/>
        <w:ind w:firstLine="708"/>
        <w:jc w:val="both"/>
      </w:pPr>
      <w:r w:rsidRPr="00EA1BB2">
        <w:rPr>
          <w:rFonts w:ascii="Cambria" w:eastAsia="Times New Roman" w:hAnsi="Cambria" w:cs="Times New Roman"/>
          <w:sz w:val="24"/>
          <w:szCs w:val="24"/>
        </w:rPr>
        <w:t xml:space="preserve">În inventarul local de emisii aferent județului Brăila mai există emisii </w:t>
      </w:r>
      <w:r w:rsidR="00191A99"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din sur</w:t>
      </w:r>
      <w:r w:rsidR="00191A99" w:rsidRPr="00EA1BB2">
        <w:rPr>
          <w:rFonts w:ascii="Cambria" w:eastAsia="Times New Roman" w:hAnsi="Cambria" w:cs="Times New Roman"/>
          <w:sz w:val="24"/>
          <w:szCs w:val="24"/>
        </w:rPr>
        <w:t>s</w:t>
      </w:r>
      <w:r w:rsidRPr="00EA1BB2">
        <w:rPr>
          <w:rFonts w:ascii="Cambria" w:eastAsia="Times New Roman" w:hAnsi="Cambria" w:cs="Times New Roman"/>
          <w:sz w:val="24"/>
          <w:szCs w:val="24"/>
        </w:rPr>
        <w:t>e mobile nerutiere</w:t>
      </w:r>
      <w:r w:rsidR="00191A99" w:rsidRPr="00EA1BB2">
        <w:rPr>
          <w:rFonts w:ascii="Cambria" w:eastAsia="Times New Roman" w:hAnsi="Cambria" w:cs="Times New Roman"/>
          <w:sz w:val="24"/>
          <w:szCs w:val="24"/>
        </w:rPr>
        <w:t>: transport naval național (cod NFR1.A.3.d.ii</w:t>
      </w:r>
      <w:r w:rsidR="00191A99" w:rsidRPr="00EA1BB2">
        <w:t>).</w:t>
      </w:r>
    </w:p>
    <w:p w14:paraId="5894D06D" w14:textId="77777777" w:rsidR="00852D83" w:rsidRPr="00EA1BB2" w:rsidRDefault="00852D83" w:rsidP="00727823">
      <w:pPr>
        <w:spacing w:line="360" w:lineRule="auto"/>
        <w:ind w:firstLine="708"/>
        <w:jc w:val="both"/>
        <w:rPr>
          <w:rFonts w:ascii="Cambria" w:eastAsia="Times New Roman" w:hAnsi="Cambria" w:cs="Times New Roman"/>
          <w:sz w:val="24"/>
          <w:szCs w:val="24"/>
        </w:rPr>
      </w:pPr>
    </w:p>
    <w:p w14:paraId="600CD9BC" w14:textId="00CE0F7E" w:rsidR="00191A99" w:rsidRPr="00EA1BB2" w:rsidRDefault="00191A99" w:rsidP="00191A99">
      <w:pPr>
        <w:pStyle w:val="Caption"/>
        <w:keepNext/>
        <w:spacing w:after="0" w:line="360" w:lineRule="auto"/>
        <w:ind w:firstLine="708"/>
        <w:jc w:val="both"/>
        <w:rPr>
          <w:rFonts w:ascii="Cambria" w:hAnsi="Cambria"/>
        </w:rPr>
      </w:pPr>
      <w:bookmarkStart w:id="189" w:name="_Toc526889809"/>
      <w:r w:rsidRPr="00EA1BB2">
        <w:rPr>
          <w:rFonts w:ascii="Cambria" w:hAnsi="Cambria"/>
        </w:rPr>
        <w:t xml:space="preserve">Tabelul nr. </w:t>
      </w:r>
      <w:r w:rsidR="000A2FE7" w:rsidRPr="00EA1BB2">
        <w:rPr>
          <w:rFonts w:ascii="Cambria" w:hAnsi="Cambria"/>
        </w:rPr>
        <w:fldChar w:fldCharType="begin"/>
      </w:r>
      <w:r w:rsidR="000A2FE7" w:rsidRPr="00EA1BB2">
        <w:rPr>
          <w:rFonts w:ascii="Cambria" w:hAnsi="Cambria"/>
        </w:rPr>
        <w:instrText xml:space="preserve"> STYLEREF 1 \s </w:instrText>
      </w:r>
      <w:r w:rsidR="000A2FE7" w:rsidRPr="00EA1BB2">
        <w:rPr>
          <w:rFonts w:ascii="Cambria" w:hAnsi="Cambria"/>
        </w:rPr>
        <w:fldChar w:fldCharType="separate"/>
      </w:r>
      <w:r w:rsidR="00567555">
        <w:rPr>
          <w:rFonts w:ascii="Cambria" w:hAnsi="Cambria"/>
          <w:noProof/>
        </w:rPr>
        <w:t>3</w:t>
      </w:r>
      <w:r w:rsidR="000A2FE7" w:rsidRPr="00EA1BB2">
        <w:rPr>
          <w:rFonts w:ascii="Cambria" w:hAnsi="Cambria"/>
        </w:rPr>
        <w:fldChar w:fldCharType="end"/>
      </w:r>
      <w:r w:rsidR="000A2FE7" w:rsidRPr="00EA1BB2">
        <w:rPr>
          <w:rFonts w:ascii="Cambria" w:hAnsi="Cambria"/>
        </w:rPr>
        <w:noBreakHyphen/>
      </w:r>
      <w:r w:rsidR="000A2FE7" w:rsidRPr="00EA1BB2">
        <w:rPr>
          <w:rFonts w:ascii="Cambria" w:hAnsi="Cambria"/>
        </w:rPr>
        <w:fldChar w:fldCharType="begin"/>
      </w:r>
      <w:r w:rsidR="000A2FE7" w:rsidRPr="00EA1BB2">
        <w:rPr>
          <w:rFonts w:ascii="Cambria" w:hAnsi="Cambria"/>
        </w:rPr>
        <w:instrText xml:space="preserve"> SEQ Tabelul_nr. \* ARABIC \s 1 </w:instrText>
      </w:r>
      <w:r w:rsidR="000A2FE7" w:rsidRPr="00EA1BB2">
        <w:rPr>
          <w:rFonts w:ascii="Cambria" w:hAnsi="Cambria"/>
        </w:rPr>
        <w:fldChar w:fldCharType="separate"/>
      </w:r>
      <w:r w:rsidR="00567555">
        <w:rPr>
          <w:rFonts w:ascii="Cambria" w:hAnsi="Cambria"/>
          <w:noProof/>
        </w:rPr>
        <w:t>40</w:t>
      </w:r>
      <w:r w:rsidR="000A2FE7" w:rsidRPr="00EA1BB2">
        <w:rPr>
          <w:rFonts w:ascii="Cambria" w:hAnsi="Cambria"/>
        </w:rPr>
        <w:fldChar w:fldCharType="end"/>
      </w:r>
      <w:r w:rsidRPr="00EA1BB2">
        <w:rPr>
          <w:rFonts w:ascii="Cambria" w:hAnsi="Cambria"/>
        </w:rPr>
        <w:t xml:space="preserve"> - Emisii generate din surse mobile nerutiere, în anul de referință 2013 (tone/an)</w:t>
      </w:r>
      <w:bookmarkEnd w:id="189"/>
    </w:p>
    <w:tbl>
      <w:tblPr>
        <w:tblStyle w:val="TableGrid"/>
        <w:tblW w:w="5000" w:type="pct"/>
        <w:jc w:val="center"/>
        <w:tblLook w:val="04A0" w:firstRow="1" w:lastRow="0" w:firstColumn="1" w:lastColumn="0" w:noHBand="0" w:noVBand="1"/>
      </w:tblPr>
      <w:tblGrid>
        <w:gridCol w:w="1594"/>
        <w:gridCol w:w="4067"/>
        <w:gridCol w:w="1744"/>
        <w:gridCol w:w="1881"/>
      </w:tblGrid>
      <w:tr w:rsidR="00191A99" w:rsidRPr="00EA1BB2" w14:paraId="6849F3A7" w14:textId="77777777" w:rsidTr="00191A99">
        <w:trPr>
          <w:trHeight w:val="300"/>
          <w:jc w:val="center"/>
        </w:trPr>
        <w:tc>
          <w:tcPr>
            <w:tcW w:w="858" w:type="pct"/>
            <w:vMerge w:val="restart"/>
            <w:shd w:val="clear" w:color="auto" w:fill="BDD6EE" w:themeFill="accent1" w:themeFillTint="66"/>
            <w:noWrap/>
            <w:vAlign w:val="center"/>
          </w:tcPr>
          <w:p w14:paraId="6809EFF7" w14:textId="77777777" w:rsidR="00191A99" w:rsidRPr="00EA1BB2" w:rsidRDefault="00191A99" w:rsidP="00890A1A">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Cod NFR</w:t>
            </w:r>
          </w:p>
        </w:tc>
        <w:tc>
          <w:tcPr>
            <w:tcW w:w="2190" w:type="pct"/>
            <w:vMerge w:val="restart"/>
            <w:shd w:val="clear" w:color="auto" w:fill="BDD6EE" w:themeFill="accent1" w:themeFillTint="66"/>
            <w:vAlign w:val="center"/>
          </w:tcPr>
          <w:p w14:paraId="6047BB6F" w14:textId="77777777" w:rsidR="00191A99" w:rsidRPr="00EA1BB2" w:rsidRDefault="00191A99" w:rsidP="00191A99">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Denumire</w:t>
            </w:r>
          </w:p>
        </w:tc>
        <w:tc>
          <w:tcPr>
            <w:tcW w:w="1952" w:type="pct"/>
            <w:gridSpan w:val="2"/>
            <w:shd w:val="clear" w:color="auto" w:fill="BDD6EE" w:themeFill="accent1" w:themeFillTint="66"/>
            <w:vAlign w:val="center"/>
          </w:tcPr>
          <w:p w14:paraId="3AEE6FF6" w14:textId="77777777" w:rsidR="00191A99" w:rsidRPr="00EA1BB2" w:rsidRDefault="00191A99" w:rsidP="00890A1A">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Poluant</w:t>
            </w:r>
          </w:p>
        </w:tc>
      </w:tr>
      <w:tr w:rsidR="00191A99" w:rsidRPr="00EA1BB2" w14:paraId="0E2FA93C" w14:textId="77777777" w:rsidTr="00191A99">
        <w:trPr>
          <w:trHeight w:val="300"/>
          <w:jc w:val="center"/>
        </w:trPr>
        <w:tc>
          <w:tcPr>
            <w:tcW w:w="858" w:type="pct"/>
            <w:vMerge/>
            <w:shd w:val="clear" w:color="auto" w:fill="BDD6EE" w:themeFill="accent1" w:themeFillTint="66"/>
            <w:noWrap/>
            <w:vAlign w:val="center"/>
            <w:hideMark/>
          </w:tcPr>
          <w:p w14:paraId="78152BDA" w14:textId="77777777" w:rsidR="00191A99" w:rsidRPr="00EA1BB2" w:rsidRDefault="00191A99" w:rsidP="00890A1A">
            <w:pPr>
              <w:spacing w:line="360" w:lineRule="auto"/>
              <w:jc w:val="center"/>
              <w:rPr>
                <w:rFonts w:ascii="Cambria" w:eastAsia="Times New Roman" w:hAnsi="Cambria" w:cs="Times New Roman"/>
                <w:b/>
                <w:sz w:val="24"/>
                <w:szCs w:val="24"/>
                <w:lang w:val="ro-RO"/>
              </w:rPr>
            </w:pPr>
          </w:p>
        </w:tc>
        <w:tc>
          <w:tcPr>
            <w:tcW w:w="2190" w:type="pct"/>
            <w:vMerge/>
            <w:shd w:val="clear" w:color="auto" w:fill="BDD6EE" w:themeFill="accent1" w:themeFillTint="66"/>
          </w:tcPr>
          <w:p w14:paraId="5F403065" w14:textId="77777777" w:rsidR="00191A99" w:rsidRPr="00EA1BB2" w:rsidRDefault="00191A99" w:rsidP="00890A1A">
            <w:pPr>
              <w:spacing w:line="360" w:lineRule="auto"/>
              <w:jc w:val="center"/>
              <w:rPr>
                <w:rFonts w:ascii="Cambria" w:eastAsia="Times New Roman" w:hAnsi="Cambria" w:cs="Times New Roman"/>
                <w:b/>
                <w:sz w:val="24"/>
                <w:szCs w:val="24"/>
                <w:lang w:val="ro-RO"/>
              </w:rPr>
            </w:pPr>
          </w:p>
        </w:tc>
        <w:tc>
          <w:tcPr>
            <w:tcW w:w="939" w:type="pct"/>
            <w:shd w:val="clear" w:color="auto" w:fill="BDD6EE" w:themeFill="accent1" w:themeFillTint="66"/>
            <w:noWrap/>
            <w:vAlign w:val="center"/>
            <w:hideMark/>
          </w:tcPr>
          <w:p w14:paraId="3C8D899A" w14:textId="77777777" w:rsidR="00191A99" w:rsidRPr="00EA1BB2" w:rsidRDefault="00191A99" w:rsidP="00890A1A">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PM</w:t>
            </w:r>
            <w:r w:rsidRPr="00EA1BB2">
              <w:rPr>
                <w:rFonts w:ascii="Cambria" w:eastAsia="Times New Roman" w:hAnsi="Cambria" w:cs="Times New Roman"/>
                <w:b/>
                <w:sz w:val="24"/>
                <w:szCs w:val="24"/>
                <w:vertAlign w:val="subscript"/>
                <w:lang w:val="ro-RO"/>
              </w:rPr>
              <w:t>10</w:t>
            </w:r>
          </w:p>
        </w:tc>
        <w:tc>
          <w:tcPr>
            <w:tcW w:w="1013" w:type="pct"/>
            <w:shd w:val="clear" w:color="auto" w:fill="BDD6EE" w:themeFill="accent1" w:themeFillTint="66"/>
            <w:noWrap/>
            <w:vAlign w:val="center"/>
            <w:hideMark/>
          </w:tcPr>
          <w:p w14:paraId="1CE4BCE7" w14:textId="77777777" w:rsidR="00191A99" w:rsidRPr="00EA1BB2" w:rsidRDefault="00191A99" w:rsidP="00890A1A">
            <w:pPr>
              <w:spacing w:line="360" w:lineRule="auto"/>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PM</w:t>
            </w:r>
            <w:r w:rsidRPr="00EA1BB2">
              <w:rPr>
                <w:rFonts w:ascii="Cambria" w:eastAsia="Times New Roman" w:hAnsi="Cambria" w:cs="Times New Roman"/>
                <w:b/>
                <w:sz w:val="24"/>
                <w:szCs w:val="24"/>
                <w:vertAlign w:val="subscript"/>
                <w:lang w:val="ro-RO"/>
              </w:rPr>
              <w:t xml:space="preserve">2,5 </w:t>
            </w:r>
          </w:p>
        </w:tc>
      </w:tr>
      <w:tr w:rsidR="00191A99" w:rsidRPr="00EA1BB2" w14:paraId="45CA22BA" w14:textId="77777777" w:rsidTr="00191A99">
        <w:trPr>
          <w:trHeight w:val="300"/>
          <w:jc w:val="center"/>
        </w:trPr>
        <w:tc>
          <w:tcPr>
            <w:tcW w:w="858" w:type="pct"/>
            <w:noWrap/>
            <w:hideMark/>
          </w:tcPr>
          <w:p w14:paraId="557C28EE" w14:textId="77777777" w:rsidR="00191A99" w:rsidRPr="00EA1BB2" w:rsidRDefault="00191A99" w:rsidP="00191A99">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1.A.3.d.ii</w:t>
            </w:r>
          </w:p>
        </w:tc>
        <w:tc>
          <w:tcPr>
            <w:tcW w:w="2190" w:type="pct"/>
          </w:tcPr>
          <w:p w14:paraId="173B0CE7" w14:textId="77777777" w:rsidR="00191A99" w:rsidRPr="00EA1BB2" w:rsidRDefault="00191A99" w:rsidP="00191A99">
            <w:pPr>
              <w:spacing w:line="360" w:lineRule="auto"/>
              <w:jc w:val="center"/>
              <w:rPr>
                <w:rFonts w:ascii="Cambria" w:hAnsi="Cambria"/>
                <w:lang w:val="ro-RO"/>
              </w:rPr>
            </w:pPr>
            <w:r w:rsidRPr="00EA1BB2">
              <w:rPr>
                <w:rFonts w:ascii="Cambria" w:hAnsi="Cambria"/>
                <w:lang w:val="ro-RO"/>
              </w:rPr>
              <w:t>Transport naval național</w:t>
            </w:r>
          </w:p>
        </w:tc>
        <w:tc>
          <w:tcPr>
            <w:tcW w:w="939" w:type="pct"/>
            <w:noWrap/>
          </w:tcPr>
          <w:p w14:paraId="4F6AB69C" w14:textId="77777777" w:rsidR="00191A99" w:rsidRPr="00EA1BB2" w:rsidRDefault="00191A99" w:rsidP="00191A99">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0,1063275</w:t>
            </w:r>
          </w:p>
        </w:tc>
        <w:tc>
          <w:tcPr>
            <w:tcW w:w="1013" w:type="pct"/>
            <w:noWrap/>
          </w:tcPr>
          <w:p w14:paraId="4BEC5D75" w14:textId="77777777" w:rsidR="00191A99" w:rsidRPr="00EA1BB2" w:rsidRDefault="00191A99" w:rsidP="00191A99">
            <w:pPr>
              <w:spacing w:line="360" w:lineRule="auto"/>
              <w:jc w:val="center"/>
              <w:rPr>
                <w:rFonts w:ascii="Cambria" w:eastAsia="Times New Roman" w:hAnsi="Cambria" w:cs="Times New Roman"/>
                <w:sz w:val="24"/>
                <w:szCs w:val="24"/>
                <w:lang w:val="ro-RO"/>
              </w:rPr>
            </w:pPr>
            <w:r w:rsidRPr="00EA1BB2">
              <w:rPr>
                <w:rFonts w:ascii="Cambria" w:hAnsi="Cambria"/>
                <w:sz w:val="24"/>
                <w:lang w:val="ro-RO"/>
              </w:rPr>
              <w:t>0,0921505</w:t>
            </w:r>
          </w:p>
        </w:tc>
      </w:tr>
    </w:tbl>
    <w:p w14:paraId="76A30F83" w14:textId="77777777" w:rsidR="00191A99" w:rsidRPr="00EA1BB2" w:rsidRDefault="00191A99" w:rsidP="00191A99">
      <w:pPr>
        <w:spacing w:line="360" w:lineRule="auto"/>
        <w:jc w:val="both"/>
        <w:rPr>
          <w:rFonts w:ascii="Cambria" w:eastAsia="Times New Roman" w:hAnsi="Cambria" w:cs="Times New Roman"/>
          <w:szCs w:val="24"/>
        </w:rPr>
      </w:pPr>
      <w:r w:rsidRPr="00EA1BB2">
        <w:rPr>
          <w:rFonts w:ascii="Cambria" w:eastAsia="Times New Roman" w:hAnsi="Cambria" w:cs="Times New Roman"/>
          <w:szCs w:val="24"/>
        </w:rPr>
        <w:t>Sursa: ANPM – ILE 2013</w:t>
      </w:r>
    </w:p>
    <w:p w14:paraId="6896FB8A" w14:textId="77777777" w:rsidR="00727823" w:rsidRPr="00EA1BB2" w:rsidRDefault="00727823" w:rsidP="00343667">
      <w:pPr>
        <w:spacing w:line="360" w:lineRule="auto"/>
        <w:jc w:val="both"/>
        <w:rPr>
          <w:rFonts w:ascii="Cambria" w:eastAsia="Times New Roman" w:hAnsi="Cambria" w:cs="Times New Roman"/>
          <w:sz w:val="24"/>
          <w:szCs w:val="24"/>
        </w:rPr>
      </w:pPr>
    </w:p>
    <w:p w14:paraId="033CCD28" w14:textId="77777777" w:rsidR="00343667" w:rsidRPr="00EA1BB2" w:rsidRDefault="00343667" w:rsidP="00E859EF">
      <w:pPr>
        <w:pStyle w:val="Heading4"/>
        <w:numPr>
          <w:ilvl w:val="3"/>
          <w:numId w:val="1"/>
        </w:numPr>
        <w:spacing w:line="360" w:lineRule="auto"/>
        <w:ind w:hanging="579"/>
        <w:rPr>
          <w:color w:val="0070C0"/>
          <w:sz w:val="24"/>
        </w:rPr>
      </w:pPr>
      <w:bookmarkStart w:id="190" w:name="_Toc526889740"/>
      <w:r w:rsidRPr="00EA1BB2">
        <w:rPr>
          <w:color w:val="0070C0"/>
          <w:sz w:val="24"/>
        </w:rPr>
        <w:t xml:space="preserve">Surse </w:t>
      </w:r>
      <w:r w:rsidR="00D25D41" w:rsidRPr="00EA1BB2">
        <w:rPr>
          <w:color w:val="0070C0"/>
          <w:sz w:val="24"/>
        </w:rPr>
        <w:t>staționare</w:t>
      </w:r>
      <w:bookmarkEnd w:id="190"/>
    </w:p>
    <w:p w14:paraId="4E9719D9" w14:textId="77777777" w:rsidR="00343667" w:rsidRPr="00EA1BB2" w:rsidRDefault="00343667" w:rsidP="00343667">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Principalele surse de emisie de poluan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 sunt instala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iile de ardere a combustibililor gazo</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 xml:space="preserve">i (metan), lichizi (păcură)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 xml:space="preserve">i solizi (cărbune). Conform clasificării SNAP - nomenclatura standard pentru poluarea aerului, dezvoltat ca parte a proiectului CORINAIR pentru a distinge sursele de emisie din diferite sectoare, sub-sectoare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activită</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 în cadrul jude</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ului Brăila sunt prezente surse de emisie după cum urmează:</w:t>
      </w:r>
    </w:p>
    <w:p w14:paraId="15C77B05" w14:textId="77777777" w:rsidR="00343667" w:rsidRPr="00EA1BB2" w:rsidRDefault="00343667" w:rsidP="003A520C">
      <w:pPr>
        <w:numPr>
          <w:ilvl w:val="0"/>
          <w:numId w:val="33"/>
        </w:numPr>
        <w:spacing w:after="200" w:line="360" w:lineRule="auto"/>
        <w:ind w:left="709" w:hanging="283"/>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 xml:space="preserve">Grupa 1.A.1. – Arderi în industrii energetice (1.A.1.a.- Producerea de energie electrică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 xml:space="preserve">i termică); </w:t>
      </w:r>
    </w:p>
    <w:p w14:paraId="20C7297D" w14:textId="77777777" w:rsidR="00343667" w:rsidRPr="00EA1BB2" w:rsidRDefault="00343667" w:rsidP="003A520C">
      <w:pPr>
        <w:numPr>
          <w:ilvl w:val="0"/>
          <w:numId w:val="33"/>
        </w:numPr>
        <w:spacing w:after="200" w:line="360" w:lineRule="auto"/>
        <w:ind w:left="709" w:hanging="283"/>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 xml:space="preserve">Grupa 1.A.2. – Arderi în industrii de fabricare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construc</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ii; </w:t>
      </w:r>
    </w:p>
    <w:p w14:paraId="138F5C81" w14:textId="77777777" w:rsidR="006123ED" w:rsidRPr="00EA1BB2" w:rsidRDefault="006123ED" w:rsidP="003A520C">
      <w:pPr>
        <w:numPr>
          <w:ilvl w:val="0"/>
          <w:numId w:val="33"/>
        </w:numPr>
        <w:spacing w:after="200" w:line="360" w:lineRule="auto"/>
        <w:ind w:left="709" w:hanging="283"/>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Grupa 1.A.4. - Arderi în surse staționare de mică putere sau în surse mobile nerutiere și echipamente;</w:t>
      </w:r>
    </w:p>
    <w:p w14:paraId="7DDC8E43" w14:textId="77777777" w:rsidR="006123ED" w:rsidRPr="00EA1BB2" w:rsidRDefault="006123ED" w:rsidP="003A520C">
      <w:pPr>
        <w:numPr>
          <w:ilvl w:val="0"/>
          <w:numId w:val="33"/>
        </w:numPr>
        <w:spacing w:after="200" w:line="360" w:lineRule="auto"/>
        <w:ind w:left="709" w:hanging="283"/>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Grupa 2.A.6 - Asfaltarea drumurilor</w:t>
      </w:r>
    </w:p>
    <w:p w14:paraId="114A9289" w14:textId="77777777" w:rsidR="00343667" w:rsidRPr="00EA1BB2" w:rsidRDefault="00343667" w:rsidP="003A520C">
      <w:pPr>
        <w:numPr>
          <w:ilvl w:val="0"/>
          <w:numId w:val="33"/>
        </w:numPr>
        <w:spacing w:after="200" w:line="360" w:lineRule="auto"/>
        <w:ind w:left="709" w:hanging="283"/>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 xml:space="preserve">Grupa 2.C.1 – Fabricare fontă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o</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el</w:t>
      </w:r>
    </w:p>
    <w:p w14:paraId="74E43E59" w14:textId="77777777" w:rsidR="00343667" w:rsidRPr="00EA1BB2" w:rsidRDefault="00343667" w:rsidP="003A520C">
      <w:pPr>
        <w:numPr>
          <w:ilvl w:val="0"/>
          <w:numId w:val="33"/>
        </w:numPr>
        <w:spacing w:after="200" w:line="360" w:lineRule="auto"/>
        <w:ind w:left="709" w:hanging="283"/>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Grupa 6.C.d. – Crematorii</w:t>
      </w:r>
    </w:p>
    <w:p w14:paraId="7338DF74" w14:textId="7CA6D2CE" w:rsidR="007D6713" w:rsidRPr="00EA1BB2" w:rsidRDefault="00FD3D3C" w:rsidP="007D6713">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lastRenderedPageBreak/>
        <w:t>Amplasarea</w:t>
      </w:r>
      <w:r w:rsidR="007D6713" w:rsidRPr="00EA1BB2">
        <w:rPr>
          <w:rFonts w:ascii="Cambria" w:eastAsia="Times New Roman" w:hAnsi="Cambria" w:cs="Times New Roman"/>
          <w:sz w:val="24"/>
          <w:szCs w:val="24"/>
        </w:rPr>
        <w:t xml:space="preserve"> surselor staționare de emisie la nivelul zonei studiate  - Județul Brăila - surse de emisie raportate în cadrul ILE 2013 sunt prezentate conform planșei de mai jos.</w:t>
      </w:r>
    </w:p>
    <w:p w14:paraId="67E1608C" w14:textId="77777777" w:rsidR="007D6713" w:rsidRPr="00EA1BB2" w:rsidRDefault="007D6713" w:rsidP="007D6713">
      <w:pPr>
        <w:spacing w:line="360" w:lineRule="auto"/>
        <w:ind w:firstLine="709"/>
        <w:jc w:val="both"/>
        <w:rPr>
          <w:rFonts w:ascii="Cambria" w:eastAsia="Times New Roman" w:hAnsi="Cambria" w:cs="Times New Roman"/>
          <w:sz w:val="24"/>
          <w:szCs w:val="24"/>
        </w:rPr>
      </w:pPr>
    </w:p>
    <w:p w14:paraId="4C41BAFE" w14:textId="10BF4BFA" w:rsidR="007D6713" w:rsidRPr="00EA1BB2" w:rsidRDefault="007D6713" w:rsidP="007D6713">
      <w:pPr>
        <w:pStyle w:val="Caption"/>
        <w:keepNext/>
        <w:spacing w:after="0" w:line="360" w:lineRule="auto"/>
        <w:ind w:firstLine="709"/>
        <w:jc w:val="both"/>
        <w:rPr>
          <w:rFonts w:ascii="Cambria" w:hAnsi="Cambria"/>
        </w:rPr>
      </w:pPr>
      <w:bookmarkStart w:id="191" w:name="_Toc524966221"/>
      <w:r w:rsidRPr="00EA1BB2">
        <w:rPr>
          <w:rFonts w:ascii="Cambria" w:hAnsi="Cambria"/>
        </w:rPr>
        <w:t xml:space="preserve">Figura nr. </w:t>
      </w:r>
      <w:r w:rsidR="00280BC9" w:rsidRPr="00EA1BB2">
        <w:rPr>
          <w:rFonts w:ascii="Cambria" w:hAnsi="Cambria"/>
        </w:rPr>
        <w:fldChar w:fldCharType="begin"/>
      </w:r>
      <w:r w:rsidR="00BA6FA3" w:rsidRPr="00EA1BB2">
        <w:rPr>
          <w:rFonts w:ascii="Cambria" w:hAnsi="Cambria"/>
        </w:rPr>
        <w:instrText xml:space="preserve"> STYLEREF 1 \s </w:instrText>
      </w:r>
      <w:r w:rsidR="00280BC9" w:rsidRPr="00EA1BB2">
        <w:rPr>
          <w:rFonts w:ascii="Cambria" w:hAnsi="Cambria"/>
        </w:rPr>
        <w:fldChar w:fldCharType="separate"/>
      </w:r>
      <w:r w:rsidR="00567555">
        <w:rPr>
          <w:rFonts w:ascii="Cambria" w:hAnsi="Cambria"/>
          <w:noProof/>
        </w:rPr>
        <w:t>3</w:t>
      </w:r>
      <w:r w:rsidR="00280BC9" w:rsidRPr="00EA1BB2">
        <w:rPr>
          <w:rFonts w:ascii="Cambria" w:hAnsi="Cambria"/>
        </w:rPr>
        <w:fldChar w:fldCharType="end"/>
      </w:r>
      <w:r w:rsidR="00BA6FA3" w:rsidRPr="00EA1BB2">
        <w:rPr>
          <w:rFonts w:ascii="Cambria" w:hAnsi="Cambria"/>
        </w:rPr>
        <w:noBreakHyphen/>
      </w:r>
      <w:r w:rsidR="00280BC9" w:rsidRPr="00EA1BB2">
        <w:rPr>
          <w:rFonts w:ascii="Cambria" w:hAnsi="Cambria"/>
        </w:rPr>
        <w:fldChar w:fldCharType="begin"/>
      </w:r>
      <w:r w:rsidR="00BA6FA3" w:rsidRPr="00EA1BB2">
        <w:rPr>
          <w:rFonts w:ascii="Cambria" w:hAnsi="Cambria"/>
        </w:rPr>
        <w:instrText xml:space="preserve"> SEQ Figura_nr. \* ARABIC \s 1 </w:instrText>
      </w:r>
      <w:r w:rsidR="00280BC9" w:rsidRPr="00EA1BB2">
        <w:rPr>
          <w:rFonts w:ascii="Cambria" w:hAnsi="Cambria"/>
        </w:rPr>
        <w:fldChar w:fldCharType="separate"/>
      </w:r>
      <w:r w:rsidR="00567555">
        <w:rPr>
          <w:rFonts w:ascii="Cambria" w:hAnsi="Cambria"/>
          <w:noProof/>
        </w:rPr>
        <w:t>10</w:t>
      </w:r>
      <w:r w:rsidR="00280BC9" w:rsidRPr="00EA1BB2">
        <w:rPr>
          <w:rFonts w:ascii="Cambria" w:hAnsi="Cambria"/>
        </w:rPr>
        <w:fldChar w:fldCharType="end"/>
      </w:r>
      <w:r w:rsidRPr="00EA1BB2">
        <w:rPr>
          <w:rFonts w:ascii="Cambria" w:hAnsi="Cambria"/>
        </w:rPr>
        <w:t xml:space="preserve"> – Surse staționare de emisii (coșuri) în județul Brăila</w:t>
      </w:r>
      <w:bookmarkEnd w:id="191"/>
    </w:p>
    <w:p w14:paraId="10AF7DD7" w14:textId="77777777" w:rsidR="007D6713" w:rsidRPr="00EA1BB2" w:rsidRDefault="007D6713" w:rsidP="007D6713">
      <w:pPr>
        <w:spacing w:line="276" w:lineRule="auto"/>
        <w:jc w:val="center"/>
        <w:rPr>
          <w:rFonts w:ascii="Cambria" w:eastAsia="Times New Roman" w:hAnsi="Cambria" w:cs="Times New Roman"/>
          <w:sz w:val="24"/>
          <w:szCs w:val="24"/>
        </w:rPr>
      </w:pPr>
      <w:r w:rsidRPr="00EA1BB2">
        <w:rPr>
          <w:rFonts w:ascii="Cambria" w:hAnsi="Cambria"/>
          <w:noProof/>
          <w:lang w:val="en-US"/>
        </w:rPr>
        <w:drawing>
          <wp:inline distT="0" distB="0" distL="0" distR="0" wp14:anchorId="056D3420" wp14:editId="49756A72">
            <wp:extent cx="5759998" cy="4450908"/>
            <wp:effectExtent l="19050" t="19050" r="12700" b="2603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15.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759998" cy="4450908"/>
                    </a:xfrm>
                    <a:prstGeom prst="rect">
                      <a:avLst/>
                    </a:prstGeom>
                    <a:ln>
                      <a:solidFill>
                        <a:sysClr val="window" lastClr="FFFFFF">
                          <a:lumMod val="85000"/>
                        </a:sysClr>
                      </a:solidFill>
                    </a:ln>
                  </pic:spPr>
                </pic:pic>
              </a:graphicData>
            </a:graphic>
          </wp:inline>
        </w:drawing>
      </w:r>
    </w:p>
    <w:p w14:paraId="377B533C" w14:textId="77777777" w:rsidR="00483B81" w:rsidRPr="00EA1BB2" w:rsidRDefault="00483B81" w:rsidP="00B14572">
      <w:pPr>
        <w:spacing w:line="276" w:lineRule="auto"/>
        <w:rPr>
          <w:rFonts w:ascii="Cambria" w:eastAsia="Times New Roman" w:hAnsi="Cambria" w:cs="Times New Roman"/>
          <w:sz w:val="24"/>
          <w:szCs w:val="24"/>
        </w:rPr>
      </w:pPr>
    </w:p>
    <w:p w14:paraId="1134EC22" w14:textId="77777777" w:rsidR="00B14572" w:rsidRPr="00EA1BB2" w:rsidRDefault="00B14572" w:rsidP="00B14572">
      <w:pPr>
        <w:spacing w:line="276" w:lineRule="auto"/>
        <w:rPr>
          <w:rFonts w:ascii="Cambria" w:eastAsia="Times New Roman" w:hAnsi="Cambria" w:cs="Times New Roman"/>
          <w:sz w:val="24"/>
          <w:szCs w:val="24"/>
        </w:rPr>
      </w:pPr>
    </w:p>
    <w:p w14:paraId="365384D5" w14:textId="77777777" w:rsidR="00483B81" w:rsidRPr="00EA1BB2" w:rsidRDefault="00483B81" w:rsidP="00B14572">
      <w:pPr>
        <w:spacing w:line="276" w:lineRule="auto"/>
        <w:rPr>
          <w:rFonts w:ascii="Cambria" w:eastAsia="Times New Roman" w:hAnsi="Cambria" w:cs="Times New Roman"/>
          <w:sz w:val="24"/>
          <w:szCs w:val="24"/>
        </w:rPr>
      </w:pPr>
    </w:p>
    <w:p w14:paraId="3D1BA6DC" w14:textId="77777777" w:rsidR="007D6713" w:rsidRPr="00EA1BB2" w:rsidRDefault="007D6713" w:rsidP="00B14572">
      <w:pPr>
        <w:spacing w:line="360" w:lineRule="auto"/>
        <w:jc w:val="both"/>
        <w:rPr>
          <w:rFonts w:ascii="Cambria" w:eastAsia="Times New Roman" w:hAnsi="Cambria" w:cs="Times New Roman"/>
          <w:sz w:val="24"/>
          <w:szCs w:val="24"/>
        </w:rPr>
        <w:sectPr w:rsidR="007D6713" w:rsidRPr="00EA1BB2" w:rsidSect="00C2266B">
          <w:headerReference w:type="default" r:id="rId94"/>
          <w:footerReference w:type="default" r:id="rId95"/>
          <w:pgSz w:w="11906" w:h="16838" w:code="9"/>
          <w:pgMar w:top="1134" w:right="1418" w:bottom="1134" w:left="1418" w:header="283" w:footer="283" w:gutter="0"/>
          <w:cols w:space="708"/>
          <w:docGrid w:linePitch="360"/>
        </w:sectPr>
      </w:pPr>
    </w:p>
    <w:p w14:paraId="68DD2AB3" w14:textId="776B8695" w:rsidR="00343667" w:rsidRPr="00EA1BB2" w:rsidRDefault="00343667" w:rsidP="00343667">
      <w:pPr>
        <w:pStyle w:val="Caption"/>
        <w:keepNext/>
        <w:spacing w:after="0" w:line="360" w:lineRule="auto"/>
        <w:ind w:firstLine="426"/>
        <w:jc w:val="both"/>
        <w:rPr>
          <w:rFonts w:ascii="Cambria" w:eastAsia="Times New Roman" w:hAnsi="Cambria" w:cs="Times New Roman"/>
          <w:szCs w:val="24"/>
        </w:rPr>
      </w:pPr>
      <w:bookmarkStart w:id="192" w:name="_Toc526889810"/>
      <w:r w:rsidRPr="00EA1BB2">
        <w:rPr>
          <w:rFonts w:ascii="Cambria" w:hAnsi="Cambria"/>
        </w:rPr>
        <w:lastRenderedPageBreak/>
        <w:t xml:space="preserve">Tabelul nr. </w:t>
      </w:r>
      <w:r w:rsidR="000A2FE7" w:rsidRPr="00EA1BB2">
        <w:rPr>
          <w:rFonts w:ascii="Cambria" w:hAnsi="Cambria"/>
        </w:rPr>
        <w:fldChar w:fldCharType="begin"/>
      </w:r>
      <w:r w:rsidR="000A2FE7" w:rsidRPr="00EA1BB2">
        <w:rPr>
          <w:rFonts w:ascii="Cambria" w:hAnsi="Cambria"/>
        </w:rPr>
        <w:instrText xml:space="preserve"> STYLEREF 1 \s </w:instrText>
      </w:r>
      <w:r w:rsidR="000A2FE7" w:rsidRPr="00EA1BB2">
        <w:rPr>
          <w:rFonts w:ascii="Cambria" w:hAnsi="Cambria"/>
        </w:rPr>
        <w:fldChar w:fldCharType="separate"/>
      </w:r>
      <w:r w:rsidR="00567555">
        <w:rPr>
          <w:rFonts w:ascii="Cambria" w:hAnsi="Cambria"/>
          <w:noProof/>
        </w:rPr>
        <w:t>3</w:t>
      </w:r>
      <w:r w:rsidR="000A2FE7" w:rsidRPr="00EA1BB2">
        <w:rPr>
          <w:rFonts w:ascii="Cambria" w:hAnsi="Cambria"/>
        </w:rPr>
        <w:fldChar w:fldCharType="end"/>
      </w:r>
      <w:r w:rsidR="000A2FE7" w:rsidRPr="00EA1BB2">
        <w:rPr>
          <w:rFonts w:ascii="Cambria" w:hAnsi="Cambria"/>
        </w:rPr>
        <w:noBreakHyphen/>
      </w:r>
      <w:r w:rsidR="000A2FE7" w:rsidRPr="00EA1BB2">
        <w:rPr>
          <w:rFonts w:ascii="Cambria" w:hAnsi="Cambria"/>
        </w:rPr>
        <w:fldChar w:fldCharType="begin"/>
      </w:r>
      <w:r w:rsidR="000A2FE7" w:rsidRPr="00EA1BB2">
        <w:rPr>
          <w:rFonts w:ascii="Cambria" w:hAnsi="Cambria"/>
        </w:rPr>
        <w:instrText xml:space="preserve"> SEQ Tabelul_nr. \* ARABIC \s 1 </w:instrText>
      </w:r>
      <w:r w:rsidR="000A2FE7" w:rsidRPr="00EA1BB2">
        <w:rPr>
          <w:rFonts w:ascii="Cambria" w:hAnsi="Cambria"/>
        </w:rPr>
        <w:fldChar w:fldCharType="separate"/>
      </w:r>
      <w:r w:rsidR="00567555">
        <w:rPr>
          <w:rFonts w:ascii="Cambria" w:hAnsi="Cambria"/>
          <w:noProof/>
        </w:rPr>
        <w:t>41</w:t>
      </w:r>
      <w:r w:rsidR="000A2FE7" w:rsidRPr="00EA1BB2">
        <w:rPr>
          <w:rFonts w:ascii="Cambria" w:hAnsi="Cambria"/>
        </w:rPr>
        <w:fldChar w:fldCharType="end"/>
      </w:r>
      <w:r w:rsidRPr="00EA1BB2">
        <w:rPr>
          <w:rFonts w:ascii="Cambria" w:hAnsi="Cambria"/>
        </w:rPr>
        <w:t xml:space="preserve"> - Emisii provenite din sursele </w:t>
      </w:r>
      <w:r w:rsidR="00DC34F4" w:rsidRPr="00EA1BB2">
        <w:rPr>
          <w:rFonts w:ascii="Cambria" w:hAnsi="Cambria"/>
        </w:rPr>
        <w:t>staționare</w:t>
      </w:r>
      <w:r w:rsidRPr="00EA1BB2">
        <w:rPr>
          <w:rFonts w:ascii="Cambria" w:hAnsi="Cambria"/>
        </w:rPr>
        <w:t xml:space="preserve"> din jude</w:t>
      </w:r>
      <w:r w:rsidR="00054880" w:rsidRPr="00EA1BB2">
        <w:rPr>
          <w:rFonts w:ascii="Cambria" w:hAnsi="Cambria"/>
        </w:rPr>
        <w:t>ț</w:t>
      </w:r>
      <w:r w:rsidRPr="00EA1BB2">
        <w:rPr>
          <w:rFonts w:ascii="Cambria" w:hAnsi="Cambria"/>
        </w:rPr>
        <w:t>ul Brăila, în anul de referin</w:t>
      </w:r>
      <w:r w:rsidR="00054880" w:rsidRPr="00EA1BB2">
        <w:rPr>
          <w:rFonts w:ascii="Cambria" w:hAnsi="Cambria"/>
        </w:rPr>
        <w:t>ț</w:t>
      </w:r>
      <w:r w:rsidRPr="00EA1BB2">
        <w:rPr>
          <w:rFonts w:ascii="Cambria" w:hAnsi="Cambria"/>
        </w:rPr>
        <w:t>ă 2013 (g/an)</w:t>
      </w:r>
      <w:bookmarkEnd w:id="192"/>
    </w:p>
    <w:tbl>
      <w:tblPr>
        <w:tblW w:w="5120"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3"/>
        <w:gridCol w:w="1506"/>
        <w:gridCol w:w="1506"/>
        <w:gridCol w:w="1505"/>
        <w:gridCol w:w="1505"/>
        <w:gridCol w:w="1505"/>
        <w:gridCol w:w="1505"/>
        <w:gridCol w:w="1505"/>
        <w:gridCol w:w="1505"/>
        <w:gridCol w:w="1494"/>
      </w:tblGrid>
      <w:tr w:rsidR="00922A39" w:rsidRPr="00EA1BB2" w14:paraId="7CC29F51" w14:textId="77777777" w:rsidTr="00922A39">
        <w:trPr>
          <w:trHeight w:val="885"/>
        </w:trPr>
        <w:tc>
          <w:tcPr>
            <w:tcW w:w="351" w:type="pct"/>
            <w:shd w:val="clear" w:color="auto" w:fill="BDD6EE" w:themeFill="accent1" w:themeFillTint="66"/>
            <w:vAlign w:val="center"/>
            <w:hideMark/>
          </w:tcPr>
          <w:p w14:paraId="07BBFAA2" w14:textId="77777777" w:rsidR="00922A39" w:rsidRPr="00EA1BB2" w:rsidRDefault="00922A39" w:rsidP="00343667">
            <w:pPr>
              <w:jc w:val="center"/>
              <w:rPr>
                <w:rFonts w:ascii="Cambria" w:eastAsia="Times New Roman" w:hAnsi="Cambria" w:cs="Arial"/>
                <w:b/>
                <w:bCs/>
                <w:color w:val="FFFFFF"/>
                <w:sz w:val="24"/>
                <w:szCs w:val="24"/>
                <w:lang w:eastAsia="ro-RO"/>
              </w:rPr>
            </w:pPr>
            <w:r w:rsidRPr="00EA1BB2">
              <w:rPr>
                <w:rFonts w:ascii="Cambria" w:eastAsia="Times New Roman" w:hAnsi="Cambria" w:cs="Arial"/>
                <w:b/>
                <w:bCs/>
                <w:sz w:val="24"/>
                <w:szCs w:val="24"/>
                <w:lang w:eastAsia="ro-RO"/>
              </w:rPr>
              <w:t>Cod NFR</w:t>
            </w:r>
          </w:p>
        </w:tc>
        <w:tc>
          <w:tcPr>
            <w:tcW w:w="517" w:type="pct"/>
            <w:shd w:val="clear" w:color="auto" w:fill="BDD6EE" w:themeFill="accent1" w:themeFillTint="66"/>
            <w:noWrap/>
            <w:vAlign w:val="center"/>
            <w:hideMark/>
          </w:tcPr>
          <w:p w14:paraId="518AD804" w14:textId="77777777" w:rsidR="00922A39" w:rsidRPr="00EA1BB2" w:rsidRDefault="00922A39" w:rsidP="00343667">
            <w:pPr>
              <w:jc w:val="center"/>
              <w:rPr>
                <w:rFonts w:ascii="Cambria" w:eastAsia="Times New Roman" w:hAnsi="Cambria" w:cs="Times New Roman"/>
                <w:b/>
                <w:color w:val="000000"/>
                <w:sz w:val="24"/>
                <w:szCs w:val="24"/>
                <w:lang w:eastAsia="ro-RO"/>
              </w:rPr>
            </w:pPr>
            <w:r w:rsidRPr="00EA1BB2">
              <w:rPr>
                <w:rFonts w:ascii="Cambria" w:eastAsia="Times New Roman" w:hAnsi="Cambria" w:cs="Times New Roman"/>
                <w:b/>
                <w:color w:val="000000"/>
                <w:sz w:val="24"/>
                <w:szCs w:val="24"/>
                <w:lang w:eastAsia="ro-RO"/>
              </w:rPr>
              <w:t>As</w:t>
            </w:r>
          </w:p>
        </w:tc>
        <w:tc>
          <w:tcPr>
            <w:tcW w:w="517" w:type="pct"/>
            <w:shd w:val="clear" w:color="auto" w:fill="BDD6EE" w:themeFill="accent1" w:themeFillTint="66"/>
            <w:noWrap/>
            <w:vAlign w:val="center"/>
            <w:hideMark/>
          </w:tcPr>
          <w:p w14:paraId="568DF003" w14:textId="77777777" w:rsidR="00922A39" w:rsidRPr="00EA1BB2" w:rsidRDefault="00922A39" w:rsidP="00343667">
            <w:pPr>
              <w:jc w:val="center"/>
              <w:rPr>
                <w:rFonts w:ascii="Cambria" w:eastAsia="Times New Roman" w:hAnsi="Cambria" w:cs="Times New Roman"/>
                <w:b/>
                <w:color w:val="000000"/>
                <w:sz w:val="24"/>
                <w:szCs w:val="24"/>
                <w:lang w:eastAsia="ro-RO"/>
              </w:rPr>
            </w:pPr>
            <w:r w:rsidRPr="00EA1BB2">
              <w:rPr>
                <w:rFonts w:ascii="Cambria" w:eastAsia="Times New Roman" w:hAnsi="Cambria" w:cs="Times New Roman"/>
                <w:b/>
                <w:color w:val="000000"/>
                <w:sz w:val="24"/>
                <w:szCs w:val="24"/>
                <w:lang w:eastAsia="ro-RO"/>
              </w:rPr>
              <w:t>Cd</w:t>
            </w:r>
          </w:p>
        </w:tc>
        <w:tc>
          <w:tcPr>
            <w:tcW w:w="517" w:type="pct"/>
            <w:shd w:val="clear" w:color="auto" w:fill="BDD6EE" w:themeFill="accent1" w:themeFillTint="66"/>
            <w:noWrap/>
            <w:vAlign w:val="center"/>
            <w:hideMark/>
          </w:tcPr>
          <w:p w14:paraId="1E3D85C6" w14:textId="77777777" w:rsidR="00922A39" w:rsidRPr="00EA1BB2" w:rsidRDefault="00922A39" w:rsidP="00343667">
            <w:pPr>
              <w:jc w:val="center"/>
              <w:rPr>
                <w:rFonts w:ascii="Cambria" w:eastAsia="Times New Roman" w:hAnsi="Cambria" w:cs="Times New Roman"/>
                <w:b/>
                <w:color w:val="000000"/>
                <w:sz w:val="24"/>
                <w:szCs w:val="24"/>
                <w:lang w:eastAsia="ro-RO"/>
              </w:rPr>
            </w:pPr>
            <w:r w:rsidRPr="00EA1BB2">
              <w:rPr>
                <w:rFonts w:ascii="Cambria" w:eastAsia="Times New Roman" w:hAnsi="Cambria" w:cs="Times New Roman"/>
                <w:b/>
                <w:color w:val="000000"/>
                <w:sz w:val="24"/>
                <w:szCs w:val="24"/>
                <w:lang w:eastAsia="ro-RO"/>
              </w:rPr>
              <w:t>CO</w:t>
            </w:r>
          </w:p>
        </w:tc>
        <w:tc>
          <w:tcPr>
            <w:tcW w:w="517" w:type="pct"/>
            <w:shd w:val="clear" w:color="auto" w:fill="BDD6EE" w:themeFill="accent1" w:themeFillTint="66"/>
            <w:noWrap/>
            <w:vAlign w:val="center"/>
            <w:hideMark/>
          </w:tcPr>
          <w:p w14:paraId="3941B8E0" w14:textId="77777777" w:rsidR="00922A39" w:rsidRPr="00EA1BB2" w:rsidRDefault="00922A39" w:rsidP="00343667">
            <w:pPr>
              <w:jc w:val="center"/>
              <w:rPr>
                <w:rFonts w:ascii="Cambria" w:eastAsia="Times New Roman" w:hAnsi="Cambria" w:cs="Times New Roman"/>
                <w:b/>
                <w:color w:val="000000"/>
                <w:sz w:val="24"/>
                <w:szCs w:val="24"/>
                <w:lang w:eastAsia="ro-RO"/>
              </w:rPr>
            </w:pPr>
            <w:r w:rsidRPr="00EA1BB2">
              <w:rPr>
                <w:rFonts w:ascii="Cambria" w:eastAsia="Times New Roman" w:hAnsi="Cambria" w:cs="Times New Roman"/>
                <w:b/>
                <w:color w:val="000000"/>
                <w:sz w:val="24"/>
                <w:szCs w:val="24"/>
                <w:lang w:eastAsia="ro-RO"/>
              </w:rPr>
              <w:t>Ni</w:t>
            </w:r>
          </w:p>
        </w:tc>
        <w:tc>
          <w:tcPr>
            <w:tcW w:w="517" w:type="pct"/>
            <w:shd w:val="clear" w:color="auto" w:fill="BDD6EE" w:themeFill="accent1" w:themeFillTint="66"/>
            <w:noWrap/>
            <w:vAlign w:val="center"/>
            <w:hideMark/>
          </w:tcPr>
          <w:p w14:paraId="295E28D7" w14:textId="77777777" w:rsidR="00922A39" w:rsidRPr="00EA1BB2" w:rsidRDefault="00922A39" w:rsidP="00343667">
            <w:pPr>
              <w:jc w:val="center"/>
              <w:rPr>
                <w:rFonts w:ascii="Cambria" w:eastAsia="Times New Roman" w:hAnsi="Cambria" w:cs="Times New Roman"/>
                <w:b/>
                <w:color w:val="000000"/>
                <w:sz w:val="24"/>
                <w:szCs w:val="24"/>
                <w:lang w:eastAsia="ro-RO"/>
              </w:rPr>
            </w:pPr>
            <w:r w:rsidRPr="00EA1BB2">
              <w:rPr>
                <w:rFonts w:ascii="Cambria" w:eastAsia="Times New Roman" w:hAnsi="Cambria" w:cs="Times New Roman"/>
                <w:b/>
                <w:color w:val="000000"/>
                <w:sz w:val="24"/>
                <w:szCs w:val="24"/>
                <w:lang w:eastAsia="ro-RO"/>
              </w:rPr>
              <w:t>NOx*</w:t>
            </w:r>
          </w:p>
        </w:tc>
        <w:tc>
          <w:tcPr>
            <w:tcW w:w="517" w:type="pct"/>
            <w:shd w:val="clear" w:color="auto" w:fill="BDD6EE" w:themeFill="accent1" w:themeFillTint="66"/>
            <w:noWrap/>
            <w:vAlign w:val="center"/>
            <w:hideMark/>
          </w:tcPr>
          <w:p w14:paraId="1C51942D" w14:textId="77777777" w:rsidR="00922A39" w:rsidRPr="00EA1BB2" w:rsidRDefault="00922A39" w:rsidP="00343667">
            <w:pPr>
              <w:jc w:val="center"/>
              <w:rPr>
                <w:rFonts w:ascii="Cambria" w:eastAsia="Times New Roman" w:hAnsi="Cambria" w:cs="Times New Roman"/>
                <w:b/>
                <w:color w:val="000000"/>
                <w:sz w:val="24"/>
                <w:szCs w:val="24"/>
                <w:lang w:eastAsia="ro-RO"/>
              </w:rPr>
            </w:pPr>
            <w:r w:rsidRPr="00EA1BB2">
              <w:rPr>
                <w:rFonts w:ascii="Cambria" w:eastAsia="Times New Roman" w:hAnsi="Cambria" w:cs="Times New Roman"/>
                <w:b/>
                <w:color w:val="000000"/>
                <w:sz w:val="24"/>
                <w:szCs w:val="24"/>
                <w:lang w:eastAsia="ro-RO"/>
              </w:rPr>
              <w:t>Pb</w:t>
            </w:r>
          </w:p>
        </w:tc>
        <w:tc>
          <w:tcPr>
            <w:tcW w:w="517" w:type="pct"/>
            <w:shd w:val="clear" w:color="auto" w:fill="BDD6EE" w:themeFill="accent1" w:themeFillTint="66"/>
            <w:noWrap/>
            <w:vAlign w:val="center"/>
            <w:hideMark/>
          </w:tcPr>
          <w:p w14:paraId="00AE548C" w14:textId="77777777" w:rsidR="00922A39" w:rsidRPr="00EA1BB2" w:rsidRDefault="00922A39" w:rsidP="00343667">
            <w:pPr>
              <w:jc w:val="center"/>
              <w:rPr>
                <w:rFonts w:ascii="Cambria" w:eastAsia="Times New Roman" w:hAnsi="Cambria" w:cs="Times New Roman"/>
                <w:b/>
                <w:color w:val="000000"/>
                <w:sz w:val="24"/>
                <w:szCs w:val="24"/>
                <w:lang w:eastAsia="ro-RO"/>
              </w:rPr>
            </w:pPr>
            <w:r w:rsidRPr="00EA1BB2">
              <w:rPr>
                <w:rFonts w:ascii="Cambria" w:eastAsia="Times New Roman" w:hAnsi="Cambria" w:cs="Times New Roman"/>
                <w:b/>
                <w:color w:val="000000"/>
                <w:sz w:val="24"/>
                <w:szCs w:val="24"/>
                <w:lang w:eastAsia="ro-RO"/>
              </w:rPr>
              <w:t>PM</w:t>
            </w:r>
            <w:r w:rsidRPr="00EA1BB2">
              <w:rPr>
                <w:rFonts w:ascii="Cambria" w:eastAsia="Times New Roman" w:hAnsi="Cambria" w:cs="Times New Roman"/>
                <w:b/>
                <w:color w:val="000000"/>
                <w:sz w:val="24"/>
                <w:szCs w:val="24"/>
                <w:vertAlign w:val="subscript"/>
                <w:lang w:eastAsia="ro-RO"/>
              </w:rPr>
              <w:t>10</w:t>
            </w:r>
          </w:p>
        </w:tc>
        <w:tc>
          <w:tcPr>
            <w:tcW w:w="517" w:type="pct"/>
            <w:shd w:val="clear" w:color="auto" w:fill="BDD6EE" w:themeFill="accent1" w:themeFillTint="66"/>
            <w:noWrap/>
            <w:vAlign w:val="center"/>
            <w:hideMark/>
          </w:tcPr>
          <w:p w14:paraId="3AEE3C4D" w14:textId="77777777" w:rsidR="00922A39" w:rsidRPr="00EA1BB2" w:rsidRDefault="00922A39" w:rsidP="00343667">
            <w:pPr>
              <w:jc w:val="center"/>
              <w:rPr>
                <w:rFonts w:ascii="Cambria" w:eastAsia="Times New Roman" w:hAnsi="Cambria" w:cs="Times New Roman"/>
                <w:b/>
                <w:color w:val="000000"/>
                <w:sz w:val="24"/>
                <w:szCs w:val="24"/>
                <w:lang w:eastAsia="ro-RO"/>
              </w:rPr>
            </w:pPr>
            <w:r w:rsidRPr="00EA1BB2">
              <w:rPr>
                <w:rFonts w:ascii="Cambria" w:eastAsia="Times New Roman" w:hAnsi="Cambria" w:cs="Times New Roman"/>
                <w:b/>
                <w:color w:val="000000"/>
                <w:sz w:val="24"/>
                <w:szCs w:val="24"/>
                <w:lang w:eastAsia="ro-RO"/>
              </w:rPr>
              <w:t>PM</w:t>
            </w:r>
            <w:r w:rsidRPr="00EA1BB2">
              <w:rPr>
                <w:rFonts w:ascii="Cambria" w:eastAsia="Times New Roman" w:hAnsi="Cambria" w:cs="Times New Roman"/>
                <w:b/>
                <w:color w:val="000000"/>
                <w:sz w:val="24"/>
                <w:szCs w:val="24"/>
                <w:vertAlign w:val="subscript"/>
                <w:lang w:eastAsia="ro-RO"/>
              </w:rPr>
              <w:t>2,5</w:t>
            </w:r>
          </w:p>
        </w:tc>
        <w:tc>
          <w:tcPr>
            <w:tcW w:w="517" w:type="pct"/>
            <w:shd w:val="clear" w:color="auto" w:fill="BDD6EE" w:themeFill="accent1" w:themeFillTint="66"/>
            <w:noWrap/>
            <w:vAlign w:val="center"/>
            <w:hideMark/>
          </w:tcPr>
          <w:p w14:paraId="608C2DB7" w14:textId="77777777" w:rsidR="00922A39" w:rsidRPr="00EA1BB2" w:rsidRDefault="00922A39" w:rsidP="00343667">
            <w:pPr>
              <w:jc w:val="center"/>
              <w:rPr>
                <w:rFonts w:ascii="Cambria" w:eastAsia="Times New Roman" w:hAnsi="Cambria" w:cs="Times New Roman"/>
                <w:b/>
                <w:color w:val="000000"/>
                <w:sz w:val="24"/>
                <w:szCs w:val="24"/>
                <w:lang w:eastAsia="ro-RO"/>
              </w:rPr>
            </w:pPr>
            <w:r w:rsidRPr="00EA1BB2">
              <w:rPr>
                <w:rFonts w:ascii="Cambria" w:eastAsia="Times New Roman" w:hAnsi="Cambria" w:cs="Times New Roman"/>
                <w:b/>
                <w:color w:val="000000"/>
                <w:sz w:val="24"/>
                <w:szCs w:val="24"/>
                <w:lang w:eastAsia="ro-RO"/>
              </w:rPr>
              <w:t>SOx</w:t>
            </w:r>
          </w:p>
        </w:tc>
      </w:tr>
      <w:tr w:rsidR="00922A39" w:rsidRPr="00EA1BB2" w14:paraId="053AE58C" w14:textId="77777777" w:rsidTr="00922A39">
        <w:trPr>
          <w:trHeight w:val="300"/>
        </w:trPr>
        <w:tc>
          <w:tcPr>
            <w:tcW w:w="351" w:type="pct"/>
            <w:shd w:val="clear" w:color="auto" w:fill="auto"/>
            <w:noWrap/>
            <w:hideMark/>
          </w:tcPr>
          <w:p w14:paraId="5166DE76" w14:textId="77777777" w:rsidR="00922A39" w:rsidRPr="00EA1BB2" w:rsidRDefault="00922A39" w:rsidP="000C3010">
            <w:pPr>
              <w:spacing w:line="360" w:lineRule="auto"/>
              <w:rPr>
                <w:rFonts w:ascii="Cambria" w:eastAsia="Times New Roman" w:hAnsi="Cambria" w:cs="Times New Roman"/>
                <w:color w:val="000000"/>
                <w:lang w:eastAsia="ro-RO"/>
              </w:rPr>
            </w:pPr>
            <w:r w:rsidRPr="00EA1BB2">
              <w:rPr>
                <w:rFonts w:ascii="Cambria" w:hAnsi="Cambria"/>
              </w:rPr>
              <w:t>1.A.1.a</w:t>
            </w:r>
          </w:p>
        </w:tc>
        <w:tc>
          <w:tcPr>
            <w:tcW w:w="517" w:type="pct"/>
            <w:shd w:val="clear" w:color="auto" w:fill="auto"/>
            <w:noWrap/>
          </w:tcPr>
          <w:p w14:paraId="72712E67"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0,0216991</w:t>
            </w:r>
          </w:p>
        </w:tc>
        <w:tc>
          <w:tcPr>
            <w:tcW w:w="517" w:type="pct"/>
            <w:shd w:val="clear" w:color="auto" w:fill="auto"/>
            <w:noWrap/>
          </w:tcPr>
          <w:p w14:paraId="7B0E27F1"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0,12055054</w:t>
            </w:r>
          </w:p>
        </w:tc>
        <w:tc>
          <w:tcPr>
            <w:tcW w:w="517" w:type="pct"/>
            <w:shd w:val="clear" w:color="auto" w:fill="auto"/>
            <w:noWrap/>
          </w:tcPr>
          <w:p w14:paraId="691F3292"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9402,94218</w:t>
            </w:r>
          </w:p>
        </w:tc>
        <w:tc>
          <w:tcPr>
            <w:tcW w:w="517" w:type="pct"/>
            <w:shd w:val="clear" w:color="auto" w:fill="auto"/>
            <w:noWrap/>
          </w:tcPr>
          <w:p w14:paraId="6CE40C23"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0,24110108</w:t>
            </w:r>
          </w:p>
        </w:tc>
        <w:tc>
          <w:tcPr>
            <w:tcW w:w="517" w:type="pct"/>
            <w:shd w:val="clear" w:color="auto" w:fill="auto"/>
            <w:noWrap/>
          </w:tcPr>
          <w:p w14:paraId="03B299A6" w14:textId="77777777" w:rsidR="00922A39" w:rsidRPr="00EA1BB2" w:rsidRDefault="00922A39" w:rsidP="000C3010">
            <w:pPr>
              <w:spacing w:line="360" w:lineRule="auto"/>
              <w:jc w:val="center"/>
              <w:rPr>
                <w:rFonts w:ascii="Cambria" w:eastAsia="Times New Roman" w:hAnsi="Cambria" w:cs="Times New Roman"/>
                <w:color w:val="000000"/>
                <w:lang w:eastAsia="ro-RO"/>
              </w:rPr>
            </w:pPr>
          </w:p>
        </w:tc>
        <w:tc>
          <w:tcPr>
            <w:tcW w:w="517" w:type="pct"/>
            <w:shd w:val="clear" w:color="auto" w:fill="auto"/>
            <w:noWrap/>
          </w:tcPr>
          <w:p w14:paraId="75BD1D63"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0,04822022</w:t>
            </w:r>
          </w:p>
        </w:tc>
        <w:tc>
          <w:tcPr>
            <w:tcW w:w="517" w:type="pct"/>
            <w:shd w:val="clear" w:color="auto" w:fill="auto"/>
            <w:noWrap/>
          </w:tcPr>
          <w:p w14:paraId="731D65FC"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216,9909734</w:t>
            </w:r>
          </w:p>
        </w:tc>
        <w:tc>
          <w:tcPr>
            <w:tcW w:w="517" w:type="pct"/>
            <w:shd w:val="clear" w:color="auto" w:fill="auto"/>
            <w:noWrap/>
          </w:tcPr>
          <w:p w14:paraId="49DE5AAD"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216,9909734</w:t>
            </w:r>
          </w:p>
        </w:tc>
        <w:tc>
          <w:tcPr>
            <w:tcW w:w="517" w:type="pct"/>
            <w:shd w:val="clear" w:color="auto" w:fill="auto"/>
            <w:noWrap/>
          </w:tcPr>
          <w:p w14:paraId="72496880"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72,33032446</w:t>
            </w:r>
          </w:p>
        </w:tc>
      </w:tr>
      <w:tr w:rsidR="00922A39" w:rsidRPr="00EA1BB2" w14:paraId="6F404BB9" w14:textId="77777777" w:rsidTr="00922A39">
        <w:trPr>
          <w:trHeight w:val="300"/>
        </w:trPr>
        <w:tc>
          <w:tcPr>
            <w:tcW w:w="351" w:type="pct"/>
            <w:shd w:val="clear" w:color="auto" w:fill="auto"/>
            <w:noWrap/>
            <w:hideMark/>
          </w:tcPr>
          <w:p w14:paraId="3F84E6D4" w14:textId="77777777" w:rsidR="00922A39" w:rsidRPr="00EA1BB2" w:rsidRDefault="00922A39" w:rsidP="000C3010">
            <w:pPr>
              <w:spacing w:line="360" w:lineRule="auto"/>
              <w:rPr>
                <w:rFonts w:ascii="Cambria" w:eastAsia="Times New Roman" w:hAnsi="Cambria" w:cs="Times New Roman"/>
                <w:color w:val="000000"/>
                <w:lang w:eastAsia="ro-RO"/>
              </w:rPr>
            </w:pPr>
            <w:r w:rsidRPr="00EA1BB2">
              <w:rPr>
                <w:rFonts w:ascii="Cambria" w:hAnsi="Cambria"/>
              </w:rPr>
              <w:t>1.A.2.a</w:t>
            </w:r>
          </w:p>
        </w:tc>
        <w:tc>
          <w:tcPr>
            <w:tcW w:w="517" w:type="pct"/>
            <w:shd w:val="clear" w:color="auto" w:fill="auto"/>
            <w:noWrap/>
          </w:tcPr>
          <w:p w14:paraId="68982AFB" w14:textId="77777777" w:rsidR="00922A39" w:rsidRPr="00EA1BB2" w:rsidRDefault="00922A39" w:rsidP="000C3010">
            <w:pPr>
              <w:spacing w:line="360" w:lineRule="auto"/>
              <w:jc w:val="center"/>
              <w:rPr>
                <w:rFonts w:ascii="Cambria" w:eastAsia="Times New Roman" w:hAnsi="Cambria" w:cs="Times New Roman"/>
                <w:color w:val="000000"/>
                <w:lang w:eastAsia="ro-RO"/>
              </w:rPr>
            </w:pPr>
          </w:p>
        </w:tc>
        <w:tc>
          <w:tcPr>
            <w:tcW w:w="517" w:type="pct"/>
            <w:shd w:val="clear" w:color="auto" w:fill="auto"/>
            <w:noWrap/>
          </w:tcPr>
          <w:p w14:paraId="30B5C277" w14:textId="77777777" w:rsidR="00922A39" w:rsidRPr="00EA1BB2" w:rsidRDefault="00922A39" w:rsidP="000C3010">
            <w:pPr>
              <w:spacing w:line="360" w:lineRule="auto"/>
              <w:jc w:val="center"/>
              <w:rPr>
                <w:rFonts w:ascii="Cambria" w:eastAsia="Times New Roman" w:hAnsi="Cambria" w:cs="Times New Roman"/>
                <w:lang w:eastAsia="ro-RO"/>
              </w:rPr>
            </w:pPr>
          </w:p>
        </w:tc>
        <w:tc>
          <w:tcPr>
            <w:tcW w:w="517" w:type="pct"/>
            <w:shd w:val="clear" w:color="auto" w:fill="auto"/>
            <w:noWrap/>
          </w:tcPr>
          <w:p w14:paraId="47F21C8E"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233437,75</w:t>
            </w:r>
          </w:p>
        </w:tc>
        <w:tc>
          <w:tcPr>
            <w:tcW w:w="517" w:type="pct"/>
            <w:shd w:val="clear" w:color="auto" w:fill="auto"/>
            <w:noWrap/>
          </w:tcPr>
          <w:p w14:paraId="2E3E5ECF" w14:textId="77777777" w:rsidR="00922A39" w:rsidRPr="00EA1BB2" w:rsidRDefault="00922A39" w:rsidP="000C3010">
            <w:pPr>
              <w:spacing w:line="360" w:lineRule="auto"/>
              <w:jc w:val="center"/>
              <w:rPr>
                <w:rFonts w:ascii="Cambria" w:eastAsia="Times New Roman" w:hAnsi="Cambria" w:cs="Times New Roman"/>
                <w:color w:val="000000"/>
                <w:lang w:eastAsia="ro-RO"/>
              </w:rPr>
            </w:pPr>
          </w:p>
        </w:tc>
        <w:tc>
          <w:tcPr>
            <w:tcW w:w="517" w:type="pct"/>
            <w:shd w:val="clear" w:color="auto" w:fill="auto"/>
            <w:noWrap/>
          </w:tcPr>
          <w:p w14:paraId="29C80244" w14:textId="77777777" w:rsidR="00922A39" w:rsidRPr="00EA1BB2" w:rsidRDefault="00922A39" w:rsidP="000C3010">
            <w:pPr>
              <w:spacing w:line="360" w:lineRule="auto"/>
              <w:jc w:val="center"/>
              <w:rPr>
                <w:rFonts w:ascii="Cambria" w:eastAsia="Times New Roman" w:hAnsi="Cambria" w:cs="Times New Roman"/>
                <w:lang w:eastAsia="ro-RO"/>
              </w:rPr>
            </w:pPr>
          </w:p>
        </w:tc>
        <w:tc>
          <w:tcPr>
            <w:tcW w:w="517" w:type="pct"/>
            <w:shd w:val="clear" w:color="auto" w:fill="auto"/>
            <w:noWrap/>
          </w:tcPr>
          <w:p w14:paraId="790BC716" w14:textId="77777777" w:rsidR="00922A39" w:rsidRPr="00EA1BB2" w:rsidRDefault="00922A39" w:rsidP="000C3010">
            <w:pPr>
              <w:spacing w:line="360" w:lineRule="auto"/>
              <w:jc w:val="center"/>
              <w:rPr>
                <w:rFonts w:ascii="Cambria" w:eastAsia="Times New Roman" w:hAnsi="Cambria" w:cs="Times New Roman"/>
                <w:lang w:eastAsia="ro-RO"/>
              </w:rPr>
            </w:pPr>
          </w:p>
        </w:tc>
        <w:tc>
          <w:tcPr>
            <w:tcW w:w="517" w:type="pct"/>
            <w:shd w:val="clear" w:color="auto" w:fill="auto"/>
            <w:noWrap/>
          </w:tcPr>
          <w:p w14:paraId="53E195C5" w14:textId="77777777" w:rsidR="00922A39" w:rsidRPr="00EA1BB2" w:rsidRDefault="00922A39" w:rsidP="000C3010">
            <w:pPr>
              <w:spacing w:line="360" w:lineRule="auto"/>
              <w:jc w:val="center"/>
              <w:rPr>
                <w:rFonts w:ascii="Cambria" w:eastAsia="Times New Roman" w:hAnsi="Cambria" w:cs="Times New Roman"/>
                <w:lang w:eastAsia="ro-RO"/>
              </w:rPr>
            </w:pPr>
          </w:p>
        </w:tc>
        <w:tc>
          <w:tcPr>
            <w:tcW w:w="517" w:type="pct"/>
            <w:shd w:val="clear" w:color="auto" w:fill="auto"/>
            <w:noWrap/>
          </w:tcPr>
          <w:p w14:paraId="103B8D4C" w14:textId="77777777" w:rsidR="00922A39" w:rsidRPr="00EA1BB2" w:rsidRDefault="00922A39" w:rsidP="000C3010">
            <w:pPr>
              <w:spacing w:line="360" w:lineRule="auto"/>
              <w:jc w:val="center"/>
              <w:rPr>
                <w:rFonts w:ascii="Cambria" w:eastAsia="Times New Roman" w:hAnsi="Cambria" w:cs="Times New Roman"/>
                <w:lang w:eastAsia="ro-RO"/>
              </w:rPr>
            </w:pPr>
          </w:p>
        </w:tc>
        <w:tc>
          <w:tcPr>
            <w:tcW w:w="517" w:type="pct"/>
            <w:shd w:val="clear" w:color="auto" w:fill="auto"/>
            <w:noWrap/>
          </w:tcPr>
          <w:p w14:paraId="57A85135"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46687,55</w:t>
            </w:r>
          </w:p>
        </w:tc>
      </w:tr>
      <w:tr w:rsidR="00922A39" w:rsidRPr="00EA1BB2" w14:paraId="78313C6E" w14:textId="77777777" w:rsidTr="00922A39">
        <w:trPr>
          <w:trHeight w:val="300"/>
        </w:trPr>
        <w:tc>
          <w:tcPr>
            <w:tcW w:w="351" w:type="pct"/>
            <w:shd w:val="clear" w:color="auto" w:fill="auto"/>
            <w:noWrap/>
            <w:hideMark/>
          </w:tcPr>
          <w:p w14:paraId="10A5E083" w14:textId="77777777" w:rsidR="00922A39" w:rsidRPr="00EA1BB2" w:rsidRDefault="00922A39" w:rsidP="000C3010">
            <w:pPr>
              <w:spacing w:line="360" w:lineRule="auto"/>
              <w:rPr>
                <w:rFonts w:ascii="Cambria" w:eastAsia="Times New Roman" w:hAnsi="Cambria" w:cs="Times New Roman"/>
                <w:color w:val="000000"/>
                <w:lang w:eastAsia="ro-RO"/>
              </w:rPr>
            </w:pPr>
            <w:r w:rsidRPr="00EA1BB2">
              <w:rPr>
                <w:rFonts w:ascii="Cambria" w:hAnsi="Cambria"/>
              </w:rPr>
              <w:t>1.A.2.e</w:t>
            </w:r>
          </w:p>
        </w:tc>
        <w:tc>
          <w:tcPr>
            <w:tcW w:w="517" w:type="pct"/>
            <w:shd w:val="clear" w:color="auto" w:fill="auto"/>
            <w:noWrap/>
          </w:tcPr>
          <w:p w14:paraId="46A2AF12"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0,59062259</w:t>
            </w:r>
          </w:p>
        </w:tc>
        <w:tc>
          <w:tcPr>
            <w:tcW w:w="517" w:type="pct"/>
            <w:shd w:val="clear" w:color="auto" w:fill="auto"/>
            <w:noWrap/>
          </w:tcPr>
          <w:p w14:paraId="6A232931"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3,26657232</w:t>
            </w:r>
          </w:p>
        </w:tc>
        <w:tc>
          <w:tcPr>
            <w:tcW w:w="517" w:type="pct"/>
            <w:shd w:val="clear" w:color="auto" w:fill="auto"/>
            <w:noWrap/>
          </w:tcPr>
          <w:p w14:paraId="61F02CF7"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131004,6081</w:t>
            </w:r>
          </w:p>
        </w:tc>
        <w:tc>
          <w:tcPr>
            <w:tcW w:w="517" w:type="pct"/>
            <w:shd w:val="clear" w:color="auto" w:fill="auto"/>
            <w:noWrap/>
          </w:tcPr>
          <w:p w14:paraId="55F9FCB6"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6,1833472</w:t>
            </w:r>
          </w:p>
        </w:tc>
        <w:tc>
          <w:tcPr>
            <w:tcW w:w="517" w:type="pct"/>
            <w:shd w:val="clear" w:color="auto" w:fill="auto"/>
            <w:noWrap/>
          </w:tcPr>
          <w:p w14:paraId="7260AB0E" w14:textId="77777777" w:rsidR="00922A39" w:rsidRPr="00EA1BB2" w:rsidRDefault="00922A39" w:rsidP="000C3010">
            <w:pPr>
              <w:spacing w:line="360" w:lineRule="auto"/>
              <w:jc w:val="center"/>
              <w:rPr>
                <w:rFonts w:ascii="Cambria" w:eastAsia="Times New Roman" w:hAnsi="Cambria" w:cs="Times New Roman"/>
                <w:color w:val="000000"/>
                <w:lang w:eastAsia="ro-RO"/>
              </w:rPr>
            </w:pPr>
          </w:p>
        </w:tc>
        <w:tc>
          <w:tcPr>
            <w:tcW w:w="517" w:type="pct"/>
            <w:shd w:val="clear" w:color="auto" w:fill="auto"/>
            <w:noWrap/>
          </w:tcPr>
          <w:p w14:paraId="018F293B"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6,00152242</w:t>
            </w:r>
          </w:p>
        </w:tc>
        <w:tc>
          <w:tcPr>
            <w:tcW w:w="517" w:type="pct"/>
            <w:shd w:val="clear" w:color="auto" w:fill="auto"/>
            <w:noWrap/>
          </w:tcPr>
          <w:p w14:paraId="6C2D7AB2"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3227,640716</w:t>
            </w:r>
          </w:p>
        </w:tc>
        <w:tc>
          <w:tcPr>
            <w:tcW w:w="517" w:type="pct"/>
            <w:shd w:val="clear" w:color="auto" w:fill="auto"/>
            <w:noWrap/>
          </w:tcPr>
          <w:p w14:paraId="27C8FCB2"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3227,640716</w:t>
            </w:r>
          </w:p>
        </w:tc>
        <w:tc>
          <w:tcPr>
            <w:tcW w:w="517" w:type="pct"/>
            <w:shd w:val="clear" w:color="auto" w:fill="auto"/>
            <w:noWrap/>
          </w:tcPr>
          <w:p w14:paraId="64930B9C"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3095,94614</w:t>
            </w:r>
          </w:p>
        </w:tc>
      </w:tr>
      <w:tr w:rsidR="00922A39" w:rsidRPr="00EA1BB2" w14:paraId="6AF79C22" w14:textId="77777777" w:rsidTr="00922A39">
        <w:trPr>
          <w:trHeight w:val="300"/>
        </w:trPr>
        <w:tc>
          <w:tcPr>
            <w:tcW w:w="351" w:type="pct"/>
            <w:shd w:val="clear" w:color="auto" w:fill="auto"/>
            <w:noWrap/>
            <w:hideMark/>
          </w:tcPr>
          <w:p w14:paraId="13E84339" w14:textId="77777777" w:rsidR="00922A39" w:rsidRPr="00EA1BB2" w:rsidRDefault="00922A39" w:rsidP="000C3010">
            <w:pPr>
              <w:spacing w:line="360" w:lineRule="auto"/>
              <w:rPr>
                <w:rFonts w:ascii="Cambria" w:eastAsia="Times New Roman" w:hAnsi="Cambria" w:cs="Times New Roman"/>
                <w:color w:val="000000"/>
                <w:lang w:eastAsia="ro-RO"/>
              </w:rPr>
            </w:pPr>
            <w:r w:rsidRPr="00EA1BB2">
              <w:rPr>
                <w:rFonts w:ascii="Cambria" w:hAnsi="Cambria"/>
              </w:rPr>
              <w:t>1.A.2.f.i</w:t>
            </w:r>
          </w:p>
        </w:tc>
        <w:tc>
          <w:tcPr>
            <w:tcW w:w="517" w:type="pct"/>
            <w:shd w:val="clear" w:color="auto" w:fill="auto"/>
            <w:noWrap/>
          </w:tcPr>
          <w:p w14:paraId="50678D8A" w14:textId="77777777" w:rsidR="00922A39" w:rsidRPr="00EA1BB2" w:rsidRDefault="00922A39" w:rsidP="000C3010">
            <w:pPr>
              <w:spacing w:line="360" w:lineRule="auto"/>
              <w:jc w:val="center"/>
              <w:rPr>
                <w:rFonts w:ascii="Cambria" w:eastAsia="Times New Roman" w:hAnsi="Cambria" w:cs="Times New Roman"/>
                <w:color w:val="000000"/>
                <w:lang w:eastAsia="ro-RO"/>
              </w:rPr>
            </w:pPr>
          </w:p>
        </w:tc>
        <w:tc>
          <w:tcPr>
            <w:tcW w:w="517" w:type="pct"/>
            <w:shd w:val="clear" w:color="auto" w:fill="auto"/>
            <w:noWrap/>
          </w:tcPr>
          <w:p w14:paraId="2FADCAF0" w14:textId="77777777" w:rsidR="00922A39" w:rsidRPr="00EA1BB2" w:rsidRDefault="00922A39" w:rsidP="000C3010">
            <w:pPr>
              <w:spacing w:line="360" w:lineRule="auto"/>
              <w:jc w:val="center"/>
              <w:rPr>
                <w:rFonts w:ascii="Cambria" w:eastAsia="Times New Roman" w:hAnsi="Cambria" w:cs="Times New Roman"/>
                <w:color w:val="000000"/>
                <w:lang w:eastAsia="ro-RO"/>
              </w:rPr>
            </w:pPr>
          </w:p>
        </w:tc>
        <w:tc>
          <w:tcPr>
            <w:tcW w:w="517" w:type="pct"/>
            <w:shd w:val="clear" w:color="auto" w:fill="auto"/>
            <w:noWrap/>
          </w:tcPr>
          <w:p w14:paraId="394F30EE"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33770064,8</w:t>
            </w:r>
          </w:p>
        </w:tc>
        <w:tc>
          <w:tcPr>
            <w:tcW w:w="517" w:type="pct"/>
            <w:shd w:val="clear" w:color="auto" w:fill="auto"/>
            <w:noWrap/>
          </w:tcPr>
          <w:p w14:paraId="2E14E8D6" w14:textId="77777777" w:rsidR="00922A39" w:rsidRPr="00EA1BB2" w:rsidRDefault="00922A39" w:rsidP="000C3010">
            <w:pPr>
              <w:spacing w:line="360" w:lineRule="auto"/>
              <w:jc w:val="center"/>
              <w:rPr>
                <w:rFonts w:ascii="Cambria" w:eastAsia="Times New Roman" w:hAnsi="Cambria" w:cs="Times New Roman"/>
                <w:color w:val="000000"/>
                <w:lang w:eastAsia="ro-RO"/>
              </w:rPr>
            </w:pPr>
          </w:p>
        </w:tc>
        <w:tc>
          <w:tcPr>
            <w:tcW w:w="517" w:type="pct"/>
            <w:shd w:val="clear" w:color="auto" w:fill="auto"/>
            <w:noWrap/>
          </w:tcPr>
          <w:p w14:paraId="7335336E"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5834270,4</w:t>
            </w:r>
          </w:p>
        </w:tc>
        <w:tc>
          <w:tcPr>
            <w:tcW w:w="517" w:type="pct"/>
            <w:shd w:val="clear" w:color="auto" w:fill="auto"/>
            <w:noWrap/>
          </w:tcPr>
          <w:p w14:paraId="5B02ED0F" w14:textId="77777777" w:rsidR="00922A39" w:rsidRPr="00EA1BB2" w:rsidRDefault="00922A39" w:rsidP="000C3010">
            <w:pPr>
              <w:spacing w:line="360" w:lineRule="auto"/>
              <w:jc w:val="center"/>
              <w:rPr>
                <w:rFonts w:ascii="Cambria" w:eastAsia="Times New Roman" w:hAnsi="Cambria" w:cs="Times New Roman"/>
                <w:color w:val="000000"/>
                <w:lang w:eastAsia="ro-RO"/>
              </w:rPr>
            </w:pPr>
          </w:p>
        </w:tc>
        <w:tc>
          <w:tcPr>
            <w:tcW w:w="517" w:type="pct"/>
            <w:shd w:val="clear" w:color="auto" w:fill="auto"/>
            <w:noWrap/>
          </w:tcPr>
          <w:p w14:paraId="1A4D3A15" w14:textId="77777777" w:rsidR="00922A39" w:rsidRPr="00EA1BB2" w:rsidRDefault="00922A39" w:rsidP="000C3010">
            <w:pPr>
              <w:spacing w:line="360" w:lineRule="auto"/>
              <w:jc w:val="center"/>
              <w:rPr>
                <w:rFonts w:ascii="Cambria" w:eastAsia="Times New Roman" w:hAnsi="Cambria" w:cs="Times New Roman"/>
                <w:color w:val="000000"/>
                <w:lang w:eastAsia="ro-RO"/>
              </w:rPr>
            </w:pPr>
          </w:p>
        </w:tc>
        <w:tc>
          <w:tcPr>
            <w:tcW w:w="517" w:type="pct"/>
            <w:shd w:val="clear" w:color="auto" w:fill="auto"/>
            <w:noWrap/>
          </w:tcPr>
          <w:p w14:paraId="1FBA051B" w14:textId="77777777" w:rsidR="00922A39" w:rsidRPr="00EA1BB2" w:rsidRDefault="00922A39" w:rsidP="000C3010">
            <w:pPr>
              <w:spacing w:line="360" w:lineRule="auto"/>
              <w:jc w:val="center"/>
              <w:rPr>
                <w:rFonts w:ascii="Cambria" w:eastAsia="Times New Roman" w:hAnsi="Cambria" w:cs="Times New Roman"/>
                <w:color w:val="000000"/>
                <w:lang w:eastAsia="ro-RO"/>
              </w:rPr>
            </w:pPr>
          </w:p>
        </w:tc>
        <w:tc>
          <w:tcPr>
            <w:tcW w:w="517" w:type="pct"/>
            <w:shd w:val="clear" w:color="auto" w:fill="auto"/>
            <w:noWrap/>
          </w:tcPr>
          <w:p w14:paraId="3E62AF9B"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3626199,5</w:t>
            </w:r>
          </w:p>
        </w:tc>
      </w:tr>
      <w:tr w:rsidR="00922A39" w:rsidRPr="00EA1BB2" w14:paraId="0FE9A00D" w14:textId="77777777" w:rsidTr="00922A39">
        <w:trPr>
          <w:trHeight w:val="300"/>
        </w:trPr>
        <w:tc>
          <w:tcPr>
            <w:tcW w:w="351" w:type="pct"/>
            <w:shd w:val="clear" w:color="auto" w:fill="auto"/>
            <w:noWrap/>
            <w:hideMark/>
          </w:tcPr>
          <w:p w14:paraId="382DA17D" w14:textId="77777777" w:rsidR="00922A39" w:rsidRPr="00EA1BB2" w:rsidRDefault="00922A39" w:rsidP="000C3010">
            <w:pPr>
              <w:spacing w:line="360" w:lineRule="auto"/>
              <w:rPr>
                <w:rFonts w:ascii="Cambria" w:eastAsia="Times New Roman" w:hAnsi="Cambria" w:cs="Times New Roman"/>
                <w:color w:val="000000"/>
                <w:lang w:eastAsia="ro-RO"/>
              </w:rPr>
            </w:pPr>
            <w:r w:rsidRPr="00EA1BB2">
              <w:rPr>
                <w:rFonts w:ascii="Cambria" w:hAnsi="Cambria"/>
              </w:rPr>
              <w:t>1.A.4.a.i</w:t>
            </w:r>
          </w:p>
        </w:tc>
        <w:tc>
          <w:tcPr>
            <w:tcW w:w="517" w:type="pct"/>
            <w:shd w:val="clear" w:color="auto" w:fill="auto"/>
            <w:noWrap/>
          </w:tcPr>
          <w:p w14:paraId="499909DB"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97,91771092</w:t>
            </w:r>
          </w:p>
        </w:tc>
        <w:tc>
          <w:tcPr>
            <w:tcW w:w="517" w:type="pct"/>
            <w:shd w:val="clear" w:color="auto" w:fill="auto"/>
            <w:noWrap/>
          </w:tcPr>
          <w:p w14:paraId="0F1C0169"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201,0707753</w:t>
            </w:r>
          </w:p>
        </w:tc>
        <w:tc>
          <w:tcPr>
            <w:tcW w:w="517" w:type="pct"/>
            <w:shd w:val="clear" w:color="auto" w:fill="auto"/>
            <w:noWrap/>
          </w:tcPr>
          <w:p w14:paraId="406ECD5F"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202563896,6</w:t>
            </w:r>
          </w:p>
        </w:tc>
        <w:tc>
          <w:tcPr>
            <w:tcW w:w="517" w:type="pct"/>
            <w:shd w:val="clear" w:color="auto" w:fill="auto"/>
            <w:noWrap/>
          </w:tcPr>
          <w:p w14:paraId="75C98023"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13349,53784</w:t>
            </w:r>
          </w:p>
        </w:tc>
        <w:tc>
          <w:tcPr>
            <w:tcW w:w="517" w:type="pct"/>
            <w:shd w:val="clear" w:color="auto" w:fill="auto"/>
            <w:noWrap/>
          </w:tcPr>
          <w:p w14:paraId="4E45BB9F"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10778686,03</w:t>
            </w:r>
          </w:p>
        </w:tc>
        <w:tc>
          <w:tcPr>
            <w:tcW w:w="517" w:type="pct"/>
            <w:shd w:val="clear" w:color="auto" w:fill="auto"/>
            <w:noWrap/>
          </w:tcPr>
          <w:p w14:paraId="643B94CE"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995,6240063</w:t>
            </w:r>
          </w:p>
        </w:tc>
        <w:tc>
          <w:tcPr>
            <w:tcW w:w="517" w:type="pct"/>
            <w:shd w:val="clear" w:color="auto" w:fill="auto"/>
            <w:noWrap/>
          </w:tcPr>
          <w:p w14:paraId="5CC89F11"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5127642,719</w:t>
            </w:r>
          </w:p>
        </w:tc>
        <w:tc>
          <w:tcPr>
            <w:tcW w:w="517" w:type="pct"/>
            <w:shd w:val="clear" w:color="auto" w:fill="auto"/>
            <w:noWrap/>
          </w:tcPr>
          <w:p w14:paraId="178B2F29"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5127642,719</w:t>
            </w:r>
          </w:p>
        </w:tc>
        <w:tc>
          <w:tcPr>
            <w:tcW w:w="517" w:type="pct"/>
            <w:shd w:val="clear" w:color="auto" w:fill="auto"/>
            <w:noWrap/>
          </w:tcPr>
          <w:p w14:paraId="519D0585"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1478394,344</w:t>
            </w:r>
          </w:p>
        </w:tc>
      </w:tr>
      <w:tr w:rsidR="00922A39" w:rsidRPr="00EA1BB2" w14:paraId="209581C1" w14:textId="77777777" w:rsidTr="00922A39">
        <w:trPr>
          <w:trHeight w:val="300"/>
        </w:trPr>
        <w:tc>
          <w:tcPr>
            <w:tcW w:w="351" w:type="pct"/>
            <w:shd w:val="clear" w:color="auto" w:fill="auto"/>
            <w:noWrap/>
            <w:hideMark/>
          </w:tcPr>
          <w:p w14:paraId="10ADD94F" w14:textId="77777777" w:rsidR="00922A39" w:rsidRPr="00EA1BB2" w:rsidRDefault="00922A39" w:rsidP="000C3010">
            <w:pPr>
              <w:spacing w:line="360" w:lineRule="auto"/>
              <w:rPr>
                <w:rFonts w:ascii="Cambria" w:eastAsia="Times New Roman" w:hAnsi="Cambria" w:cs="Times New Roman"/>
                <w:color w:val="000000"/>
                <w:lang w:eastAsia="ro-RO"/>
              </w:rPr>
            </w:pPr>
            <w:r w:rsidRPr="00EA1BB2">
              <w:rPr>
                <w:rFonts w:ascii="Cambria" w:hAnsi="Cambria"/>
              </w:rPr>
              <w:t>1.A.4.a.ii</w:t>
            </w:r>
          </w:p>
        </w:tc>
        <w:tc>
          <w:tcPr>
            <w:tcW w:w="517" w:type="pct"/>
            <w:shd w:val="clear" w:color="auto" w:fill="auto"/>
            <w:noWrap/>
          </w:tcPr>
          <w:p w14:paraId="78766338"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0,02286579</w:t>
            </w:r>
          </w:p>
        </w:tc>
        <w:tc>
          <w:tcPr>
            <w:tcW w:w="517" w:type="pct"/>
            <w:shd w:val="clear" w:color="auto" w:fill="auto"/>
            <w:noWrap/>
          </w:tcPr>
          <w:p w14:paraId="70C94C09"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0,1264916</w:t>
            </w:r>
          </w:p>
        </w:tc>
        <w:tc>
          <w:tcPr>
            <w:tcW w:w="517" w:type="pct"/>
            <w:shd w:val="clear" w:color="auto" w:fill="auto"/>
            <w:noWrap/>
          </w:tcPr>
          <w:p w14:paraId="7576D64C"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4865,0616</w:t>
            </w:r>
          </w:p>
        </w:tc>
        <w:tc>
          <w:tcPr>
            <w:tcW w:w="517" w:type="pct"/>
            <w:shd w:val="clear" w:color="auto" w:fill="auto"/>
            <w:noWrap/>
          </w:tcPr>
          <w:p w14:paraId="6B082A80"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0,23936103</w:t>
            </w:r>
          </w:p>
        </w:tc>
        <w:tc>
          <w:tcPr>
            <w:tcW w:w="517" w:type="pct"/>
            <w:shd w:val="clear" w:color="auto" w:fill="auto"/>
            <w:noWrap/>
          </w:tcPr>
          <w:p w14:paraId="33536B4F" w14:textId="77777777" w:rsidR="00922A39" w:rsidRPr="00EA1BB2" w:rsidRDefault="00922A39" w:rsidP="000C3010">
            <w:pPr>
              <w:spacing w:line="360" w:lineRule="auto"/>
              <w:jc w:val="center"/>
              <w:rPr>
                <w:rFonts w:ascii="Cambria" w:eastAsia="Times New Roman" w:hAnsi="Cambria" w:cs="Times New Roman"/>
                <w:color w:val="000000"/>
                <w:lang w:eastAsia="ro-RO"/>
              </w:rPr>
            </w:pPr>
          </w:p>
        </w:tc>
        <w:tc>
          <w:tcPr>
            <w:tcW w:w="517" w:type="pct"/>
            <w:shd w:val="clear" w:color="auto" w:fill="auto"/>
            <w:noWrap/>
          </w:tcPr>
          <w:p w14:paraId="22488473"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0,23838802</w:t>
            </w:r>
          </w:p>
        </w:tc>
        <w:tc>
          <w:tcPr>
            <w:tcW w:w="517" w:type="pct"/>
            <w:shd w:val="clear" w:color="auto" w:fill="auto"/>
            <w:noWrap/>
          </w:tcPr>
          <w:p w14:paraId="530E05F2"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121,62654</w:t>
            </w:r>
          </w:p>
        </w:tc>
        <w:tc>
          <w:tcPr>
            <w:tcW w:w="517" w:type="pct"/>
            <w:shd w:val="clear" w:color="auto" w:fill="auto"/>
            <w:noWrap/>
          </w:tcPr>
          <w:p w14:paraId="5C06EA68"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121,62654</w:t>
            </w:r>
          </w:p>
        </w:tc>
        <w:tc>
          <w:tcPr>
            <w:tcW w:w="517" w:type="pct"/>
            <w:shd w:val="clear" w:color="auto" w:fill="auto"/>
            <w:noWrap/>
          </w:tcPr>
          <w:p w14:paraId="105B7B4A"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121,62654</w:t>
            </w:r>
          </w:p>
        </w:tc>
      </w:tr>
      <w:tr w:rsidR="00922A39" w:rsidRPr="00EA1BB2" w14:paraId="5EDA019D" w14:textId="77777777" w:rsidTr="00922A39">
        <w:trPr>
          <w:trHeight w:val="300"/>
        </w:trPr>
        <w:tc>
          <w:tcPr>
            <w:tcW w:w="351" w:type="pct"/>
            <w:shd w:val="clear" w:color="auto" w:fill="auto"/>
            <w:noWrap/>
            <w:hideMark/>
          </w:tcPr>
          <w:p w14:paraId="229F819D" w14:textId="77777777" w:rsidR="00922A39" w:rsidRPr="00EA1BB2" w:rsidRDefault="00922A39" w:rsidP="000C3010">
            <w:pPr>
              <w:spacing w:line="360" w:lineRule="auto"/>
              <w:rPr>
                <w:rFonts w:ascii="Cambria" w:eastAsia="Times New Roman" w:hAnsi="Cambria" w:cs="Times New Roman"/>
                <w:color w:val="000000"/>
                <w:lang w:eastAsia="ro-RO"/>
              </w:rPr>
            </w:pPr>
            <w:r w:rsidRPr="00EA1BB2">
              <w:rPr>
                <w:rFonts w:ascii="Cambria" w:hAnsi="Cambria"/>
              </w:rPr>
              <w:t>1.A.4.b.i</w:t>
            </w:r>
          </w:p>
        </w:tc>
        <w:tc>
          <w:tcPr>
            <w:tcW w:w="517" w:type="pct"/>
            <w:shd w:val="clear" w:color="auto" w:fill="auto"/>
            <w:noWrap/>
          </w:tcPr>
          <w:p w14:paraId="5C3C15DC"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10,64811739</w:t>
            </w:r>
          </w:p>
        </w:tc>
        <w:tc>
          <w:tcPr>
            <w:tcW w:w="517" w:type="pct"/>
            <w:shd w:val="clear" w:color="auto" w:fill="auto"/>
            <w:noWrap/>
          </w:tcPr>
          <w:p w14:paraId="081F911C" w14:textId="77777777" w:rsidR="00922A39" w:rsidRPr="00EA1BB2" w:rsidRDefault="00922A39" w:rsidP="000C3010">
            <w:pPr>
              <w:spacing w:line="360" w:lineRule="auto"/>
              <w:jc w:val="center"/>
              <w:rPr>
                <w:rFonts w:ascii="Cambria" w:eastAsia="Times New Roman" w:hAnsi="Cambria" w:cs="Times New Roman"/>
                <w:lang w:eastAsia="ro-RO"/>
              </w:rPr>
            </w:pPr>
            <w:r w:rsidRPr="00EA1BB2">
              <w:rPr>
                <w:rFonts w:ascii="Cambria" w:hAnsi="Cambria"/>
              </w:rPr>
              <w:t>56,74633488</w:t>
            </w:r>
          </w:p>
        </w:tc>
        <w:tc>
          <w:tcPr>
            <w:tcW w:w="517" w:type="pct"/>
            <w:shd w:val="clear" w:color="auto" w:fill="auto"/>
            <w:noWrap/>
          </w:tcPr>
          <w:p w14:paraId="3E0EA023" w14:textId="77777777" w:rsidR="00922A39" w:rsidRPr="00EA1BB2" w:rsidRDefault="00922A39" w:rsidP="000C3010">
            <w:pPr>
              <w:spacing w:line="360" w:lineRule="auto"/>
              <w:jc w:val="center"/>
              <w:rPr>
                <w:rFonts w:ascii="Cambria" w:eastAsia="Times New Roman" w:hAnsi="Cambria" w:cs="Times New Roman"/>
                <w:lang w:eastAsia="ro-RO"/>
              </w:rPr>
            </w:pPr>
            <w:r w:rsidRPr="00EA1BB2">
              <w:rPr>
                <w:rFonts w:ascii="Cambria" w:hAnsi="Cambria"/>
              </w:rPr>
              <w:t>9350700,563</w:t>
            </w:r>
          </w:p>
        </w:tc>
        <w:tc>
          <w:tcPr>
            <w:tcW w:w="517" w:type="pct"/>
            <w:shd w:val="clear" w:color="auto" w:fill="auto"/>
            <w:noWrap/>
          </w:tcPr>
          <w:p w14:paraId="522224B2" w14:textId="77777777" w:rsidR="00922A39" w:rsidRPr="00EA1BB2" w:rsidRDefault="00922A39" w:rsidP="000C3010">
            <w:pPr>
              <w:spacing w:line="360" w:lineRule="auto"/>
              <w:jc w:val="center"/>
              <w:rPr>
                <w:rFonts w:ascii="Cambria" w:eastAsia="Times New Roman" w:hAnsi="Cambria" w:cs="Times New Roman"/>
                <w:lang w:eastAsia="ro-RO"/>
              </w:rPr>
            </w:pPr>
            <w:r w:rsidRPr="00EA1BB2">
              <w:rPr>
                <w:rFonts w:ascii="Cambria" w:hAnsi="Cambria"/>
              </w:rPr>
              <w:t>108,5149389</w:t>
            </w:r>
          </w:p>
        </w:tc>
        <w:tc>
          <w:tcPr>
            <w:tcW w:w="517" w:type="pct"/>
            <w:shd w:val="clear" w:color="auto" w:fill="auto"/>
            <w:noWrap/>
          </w:tcPr>
          <w:p w14:paraId="02E6B388" w14:textId="77777777" w:rsidR="00922A39" w:rsidRPr="00EA1BB2" w:rsidRDefault="00922A39" w:rsidP="000C3010">
            <w:pPr>
              <w:spacing w:line="360" w:lineRule="auto"/>
              <w:jc w:val="center"/>
              <w:rPr>
                <w:rFonts w:ascii="Cambria" w:eastAsia="Times New Roman" w:hAnsi="Cambria" w:cs="Times New Roman"/>
                <w:lang w:eastAsia="ro-RO"/>
              </w:rPr>
            </w:pPr>
            <w:r w:rsidRPr="00EA1BB2">
              <w:rPr>
                <w:rFonts w:ascii="Cambria" w:hAnsi="Cambria"/>
              </w:rPr>
              <w:t>50869,62</w:t>
            </w:r>
          </w:p>
        </w:tc>
        <w:tc>
          <w:tcPr>
            <w:tcW w:w="517" w:type="pct"/>
            <w:shd w:val="clear" w:color="auto" w:fill="auto"/>
            <w:noWrap/>
          </w:tcPr>
          <w:p w14:paraId="67822D57" w14:textId="77777777" w:rsidR="00922A39" w:rsidRPr="00EA1BB2" w:rsidRDefault="00922A39" w:rsidP="000C3010">
            <w:pPr>
              <w:spacing w:line="360" w:lineRule="auto"/>
              <w:jc w:val="center"/>
              <w:rPr>
                <w:rFonts w:ascii="Cambria" w:eastAsia="Times New Roman" w:hAnsi="Cambria" w:cs="Times New Roman"/>
                <w:lang w:eastAsia="ro-RO"/>
              </w:rPr>
            </w:pPr>
            <w:r w:rsidRPr="00EA1BB2">
              <w:rPr>
                <w:rFonts w:ascii="Cambria" w:hAnsi="Cambria"/>
              </w:rPr>
              <w:t>147,1758501</w:t>
            </w:r>
          </w:p>
        </w:tc>
        <w:tc>
          <w:tcPr>
            <w:tcW w:w="517" w:type="pct"/>
            <w:shd w:val="clear" w:color="auto" w:fill="auto"/>
            <w:noWrap/>
          </w:tcPr>
          <w:p w14:paraId="081240A6"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878193,6134</w:t>
            </w:r>
          </w:p>
        </w:tc>
        <w:tc>
          <w:tcPr>
            <w:tcW w:w="517" w:type="pct"/>
            <w:shd w:val="clear" w:color="auto" w:fill="auto"/>
            <w:noWrap/>
          </w:tcPr>
          <w:p w14:paraId="3F46C2D9"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878193,6134</w:t>
            </w:r>
          </w:p>
        </w:tc>
        <w:tc>
          <w:tcPr>
            <w:tcW w:w="517" w:type="pct"/>
            <w:shd w:val="clear" w:color="auto" w:fill="auto"/>
            <w:noWrap/>
          </w:tcPr>
          <w:p w14:paraId="18ADCE8F"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64279,69338</w:t>
            </w:r>
          </w:p>
        </w:tc>
      </w:tr>
      <w:tr w:rsidR="00922A39" w:rsidRPr="00EA1BB2" w14:paraId="128F5872" w14:textId="77777777" w:rsidTr="00922A39">
        <w:trPr>
          <w:trHeight w:val="300"/>
        </w:trPr>
        <w:tc>
          <w:tcPr>
            <w:tcW w:w="351" w:type="pct"/>
            <w:shd w:val="clear" w:color="auto" w:fill="auto"/>
            <w:noWrap/>
            <w:hideMark/>
          </w:tcPr>
          <w:p w14:paraId="6C7CD0AE" w14:textId="77777777" w:rsidR="00922A39" w:rsidRPr="00EA1BB2" w:rsidRDefault="00922A39" w:rsidP="000C3010">
            <w:pPr>
              <w:spacing w:line="360" w:lineRule="auto"/>
              <w:rPr>
                <w:rFonts w:ascii="Cambria" w:eastAsia="Times New Roman" w:hAnsi="Cambria" w:cs="Times New Roman"/>
                <w:color w:val="000000"/>
                <w:lang w:eastAsia="ro-RO"/>
              </w:rPr>
            </w:pPr>
            <w:r w:rsidRPr="00EA1BB2">
              <w:rPr>
                <w:rFonts w:ascii="Cambria" w:hAnsi="Cambria"/>
              </w:rPr>
              <w:t>1.A.4.c.i</w:t>
            </w:r>
          </w:p>
        </w:tc>
        <w:tc>
          <w:tcPr>
            <w:tcW w:w="517" w:type="pct"/>
            <w:shd w:val="clear" w:color="auto" w:fill="auto"/>
            <w:noWrap/>
          </w:tcPr>
          <w:p w14:paraId="0B5E8B97"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0,35162539</w:t>
            </w:r>
          </w:p>
        </w:tc>
        <w:tc>
          <w:tcPr>
            <w:tcW w:w="517" w:type="pct"/>
            <w:shd w:val="clear" w:color="auto" w:fill="auto"/>
            <w:noWrap/>
          </w:tcPr>
          <w:p w14:paraId="451DD461"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1,79935838</w:t>
            </w:r>
          </w:p>
        </w:tc>
        <w:tc>
          <w:tcPr>
            <w:tcW w:w="517" w:type="pct"/>
            <w:shd w:val="clear" w:color="auto" w:fill="auto"/>
            <w:noWrap/>
          </w:tcPr>
          <w:p w14:paraId="246973BE"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106317,2958</w:t>
            </w:r>
          </w:p>
        </w:tc>
        <w:tc>
          <w:tcPr>
            <w:tcW w:w="517" w:type="pct"/>
            <w:shd w:val="clear" w:color="auto" w:fill="auto"/>
            <w:noWrap/>
          </w:tcPr>
          <w:p w14:paraId="7C8A0614"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3,44996351</w:t>
            </w:r>
          </w:p>
        </w:tc>
        <w:tc>
          <w:tcPr>
            <w:tcW w:w="517" w:type="pct"/>
            <w:shd w:val="clear" w:color="auto" w:fill="auto"/>
            <w:noWrap/>
          </w:tcPr>
          <w:p w14:paraId="56182719"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240271,0317</w:t>
            </w:r>
          </w:p>
        </w:tc>
        <w:tc>
          <w:tcPr>
            <w:tcW w:w="517" w:type="pct"/>
            <w:shd w:val="clear" w:color="auto" w:fill="auto"/>
            <w:noWrap/>
          </w:tcPr>
          <w:p w14:paraId="77A0D168"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3,53764873</w:t>
            </w:r>
          </w:p>
        </w:tc>
        <w:tc>
          <w:tcPr>
            <w:tcW w:w="517" w:type="pct"/>
            <w:shd w:val="clear" w:color="auto" w:fill="auto"/>
            <w:noWrap/>
          </w:tcPr>
          <w:p w14:paraId="6F8E6F20"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139350,8681</w:t>
            </w:r>
          </w:p>
        </w:tc>
        <w:tc>
          <w:tcPr>
            <w:tcW w:w="517" w:type="pct"/>
            <w:shd w:val="clear" w:color="auto" w:fill="auto"/>
            <w:noWrap/>
          </w:tcPr>
          <w:p w14:paraId="464A11A4"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139350,8681</w:t>
            </w:r>
          </w:p>
        </w:tc>
        <w:tc>
          <w:tcPr>
            <w:tcW w:w="517" w:type="pct"/>
            <w:shd w:val="clear" w:color="auto" w:fill="auto"/>
            <w:noWrap/>
          </w:tcPr>
          <w:p w14:paraId="22939387"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668157,6678</w:t>
            </w:r>
          </w:p>
        </w:tc>
      </w:tr>
      <w:tr w:rsidR="00922A39" w:rsidRPr="00EA1BB2" w14:paraId="417D8EDF" w14:textId="77777777" w:rsidTr="00922A39">
        <w:trPr>
          <w:trHeight w:val="300"/>
        </w:trPr>
        <w:tc>
          <w:tcPr>
            <w:tcW w:w="351" w:type="pct"/>
            <w:shd w:val="clear" w:color="auto" w:fill="auto"/>
            <w:noWrap/>
          </w:tcPr>
          <w:p w14:paraId="2040BBF2" w14:textId="77777777" w:rsidR="00922A39" w:rsidRPr="00EA1BB2" w:rsidRDefault="00922A39" w:rsidP="000C3010">
            <w:pPr>
              <w:spacing w:line="360" w:lineRule="auto"/>
              <w:rPr>
                <w:rFonts w:ascii="Cambria" w:hAnsi="Cambria"/>
              </w:rPr>
            </w:pPr>
            <w:r w:rsidRPr="00EA1BB2">
              <w:rPr>
                <w:rFonts w:ascii="Cambria" w:hAnsi="Cambria"/>
              </w:rPr>
              <w:t>2.A.6</w:t>
            </w:r>
          </w:p>
        </w:tc>
        <w:tc>
          <w:tcPr>
            <w:tcW w:w="517" w:type="pct"/>
            <w:shd w:val="clear" w:color="auto" w:fill="auto"/>
            <w:noWrap/>
          </w:tcPr>
          <w:p w14:paraId="6E770508" w14:textId="77777777" w:rsidR="00922A39" w:rsidRPr="00EA1BB2" w:rsidRDefault="00922A39" w:rsidP="000C3010">
            <w:pPr>
              <w:spacing w:line="360" w:lineRule="auto"/>
              <w:jc w:val="center"/>
              <w:rPr>
                <w:rFonts w:ascii="Cambria" w:eastAsia="Times New Roman" w:hAnsi="Cambria" w:cs="Times New Roman"/>
                <w:color w:val="000000"/>
                <w:lang w:eastAsia="ro-RO"/>
              </w:rPr>
            </w:pPr>
          </w:p>
        </w:tc>
        <w:tc>
          <w:tcPr>
            <w:tcW w:w="517" w:type="pct"/>
            <w:shd w:val="clear" w:color="auto" w:fill="auto"/>
            <w:noWrap/>
          </w:tcPr>
          <w:p w14:paraId="6709071B" w14:textId="77777777" w:rsidR="00922A39" w:rsidRPr="00EA1BB2" w:rsidRDefault="00922A39" w:rsidP="000C3010">
            <w:pPr>
              <w:spacing w:line="360" w:lineRule="auto"/>
              <w:jc w:val="center"/>
              <w:rPr>
                <w:rFonts w:ascii="Cambria" w:eastAsia="Times New Roman" w:hAnsi="Cambria" w:cs="Times New Roman"/>
                <w:color w:val="000000"/>
                <w:lang w:eastAsia="ro-RO"/>
              </w:rPr>
            </w:pPr>
          </w:p>
        </w:tc>
        <w:tc>
          <w:tcPr>
            <w:tcW w:w="517" w:type="pct"/>
            <w:shd w:val="clear" w:color="auto" w:fill="auto"/>
            <w:noWrap/>
          </w:tcPr>
          <w:p w14:paraId="606272BE" w14:textId="77777777" w:rsidR="00922A39" w:rsidRPr="00EA1BB2" w:rsidRDefault="00922A39" w:rsidP="000C3010">
            <w:pPr>
              <w:spacing w:line="360" w:lineRule="auto"/>
              <w:jc w:val="center"/>
              <w:rPr>
                <w:rFonts w:ascii="Cambria" w:eastAsia="Times New Roman" w:hAnsi="Cambria" w:cs="Times New Roman"/>
                <w:color w:val="000000"/>
                <w:lang w:eastAsia="ro-RO"/>
              </w:rPr>
            </w:pPr>
          </w:p>
        </w:tc>
        <w:tc>
          <w:tcPr>
            <w:tcW w:w="517" w:type="pct"/>
            <w:shd w:val="clear" w:color="auto" w:fill="auto"/>
            <w:noWrap/>
          </w:tcPr>
          <w:p w14:paraId="3BD8DE5B" w14:textId="77777777" w:rsidR="00922A39" w:rsidRPr="00EA1BB2" w:rsidRDefault="00922A39" w:rsidP="000C3010">
            <w:pPr>
              <w:spacing w:line="360" w:lineRule="auto"/>
              <w:jc w:val="center"/>
              <w:rPr>
                <w:rFonts w:ascii="Cambria" w:eastAsia="Times New Roman" w:hAnsi="Cambria" w:cs="Times New Roman"/>
                <w:color w:val="000000"/>
                <w:lang w:eastAsia="ro-RO"/>
              </w:rPr>
            </w:pPr>
          </w:p>
        </w:tc>
        <w:tc>
          <w:tcPr>
            <w:tcW w:w="517" w:type="pct"/>
            <w:shd w:val="clear" w:color="auto" w:fill="auto"/>
            <w:noWrap/>
          </w:tcPr>
          <w:p w14:paraId="09D72227" w14:textId="77777777" w:rsidR="00922A39" w:rsidRPr="00EA1BB2" w:rsidRDefault="00922A39" w:rsidP="000C3010">
            <w:pPr>
              <w:spacing w:line="360" w:lineRule="auto"/>
              <w:jc w:val="center"/>
              <w:rPr>
                <w:rFonts w:ascii="Cambria" w:eastAsia="Times New Roman" w:hAnsi="Cambria" w:cs="Times New Roman"/>
                <w:color w:val="000000"/>
                <w:lang w:eastAsia="ro-RO"/>
              </w:rPr>
            </w:pPr>
          </w:p>
        </w:tc>
        <w:tc>
          <w:tcPr>
            <w:tcW w:w="517" w:type="pct"/>
            <w:shd w:val="clear" w:color="auto" w:fill="auto"/>
            <w:noWrap/>
          </w:tcPr>
          <w:p w14:paraId="1D45E486" w14:textId="77777777" w:rsidR="00922A39" w:rsidRPr="00EA1BB2" w:rsidRDefault="00922A39" w:rsidP="000C3010">
            <w:pPr>
              <w:spacing w:line="360" w:lineRule="auto"/>
              <w:jc w:val="center"/>
              <w:rPr>
                <w:rFonts w:ascii="Cambria" w:eastAsia="Times New Roman" w:hAnsi="Cambria" w:cs="Times New Roman"/>
                <w:color w:val="000000"/>
                <w:lang w:eastAsia="ro-RO"/>
              </w:rPr>
            </w:pPr>
          </w:p>
        </w:tc>
        <w:tc>
          <w:tcPr>
            <w:tcW w:w="517" w:type="pct"/>
            <w:shd w:val="clear" w:color="auto" w:fill="auto"/>
            <w:noWrap/>
          </w:tcPr>
          <w:p w14:paraId="1D5C9E8E" w14:textId="77777777" w:rsidR="00922A39" w:rsidRPr="00EA1BB2" w:rsidRDefault="00922A39" w:rsidP="000C3010">
            <w:pPr>
              <w:spacing w:line="360" w:lineRule="auto"/>
              <w:jc w:val="center"/>
              <w:rPr>
                <w:rFonts w:ascii="Cambria" w:hAnsi="Cambria"/>
              </w:rPr>
            </w:pPr>
            <w:r w:rsidRPr="00EA1BB2">
              <w:rPr>
                <w:rFonts w:ascii="Cambria" w:hAnsi="Cambria"/>
              </w:rPr>
              <w:t>491652000</w:t>
            </w:r>
          </w:p>
        </w:tc>
        <w:tc>
          <w:tcPr>
            <w:tcW w:w="517" w:type="pct"/>
            <w:shd w:val="clear" w:color="auto" w:fill="auto"/>
            <w:noWrap/>
          </w:tcPr>
          <w:p w14:paraId="053B7812" w14:textId="77777777" w:rsidR="00922A39" w:rsidRPr="00EA1BB2" w:rsidRDefault="00922A39" w:rsidP="000C3010">
            <w:pPr>
              <w:spacing w:line="360" w:lineRule="auto"/>
              <w:jc w:val="center"/>
              <w:rPr>
                <w:rFonts w:ascii="Cambria" w:hAnsi="Cambria"/>
              </w:rPr>
            </w:pPr>
            <w:r w:rsidRPr="00EA1BB2">
              <w:rPr>
                <w:rFonts w:ascii="Cambria" w:hAnsi="Cambria"/>
              </w:rPr>
              <w:t>114718800</w:t>
            </w:r>
          </w:p>
        </w:tc>
        <w:tc>
          <w:tcPr>
            <w:tcW w:w="517" w:type="pct"/>
            <w:shd w:val="clear" w:color="auto" w:fill="auto"/>
            <w:noWrap/>
          </w:tcPr>
          <w:p w14:paraId="5579ECC8" w14:textId="77777777" w:rsidR="00922A39" w:rsidRPr="00EA1BB2" w:rsidRDefault="00922A39" w:rsidP="000C3010">
            <w:pPr>
              <w:spacing w:line="360" w:lineRule="auto"/>
              <w:jc w:val="center"/>
              <w:rPr>
                <w:rFonts w:ascii="Cambria" w:eastAsia="Times New Roman" w:hAnsi="Cambria" w:cs="Times New Roman"/>
                <w:color w:val="000000"/>
                <w:lang w:eastAsia="ro-RO"/>
              </w:rPr>
            </w:pPr>
          </w:p>
        </w:tc>
      </w:tr>
      <w:tr w:rsidR="00922A39" w:rsidRPr="00EA1BB2" w14:paraId="6DF09F29" w14:textId="77777777" w:rsidTr="00922A39">
        <w:trPr>
          <w:trHeight w:val="300"/>
        </w:trPr>
        <w:tc>
          <w:tcPr>
            <w:tcW w:w="351" w:type="pct"/>
            <w:shd w:val="clear" w:color="auto" w:fill="auto"/>
            <w:noWrap/>
          </w:tcPr>
          <w:p w14:paraId="08DECF2A" w14:textId="77777777" w:rsidR="00922A39" w:rsidRPr="00EA1BB2" w:rsidRDefault="00922A39" w:rsidP="000C3010">
            <w:pPr>
              <w:spacing w:line="360" w:lineRule="auto"/>
              <w:rPr>
                <w:rFonts w:ascii="Cambria" w:hAnsi="Cambria"/>
              </w:rPr>
            </w:pPr>
            <w:r w:rsidRPr="00EA1BB2">
              <w:rPr>
                <w:rFonts w:ascii="Cambria" w:hAnsi="Cambria"/>
              </w:rPr>
              <w:t>2.C.1</w:t>
            </w:r>
          </w:p>
        </w:tc>
        <w:tc>
          <w:tcPr>
            <w:tcW w:w="517" w:type="pct"/>
            <w:shd w:val="clear" w:color="auto" w:fill="auto"/>
            <w:noWrap/>
          </w:tcPr>
          <w:p w14:paraId="66BE430A"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169,357805</w:t>
            </w:r>
          </w:p>
        </w:tc>
        <w:tc>
          <w:tcPr>
            <w:tcW w:w="517" w:type="pct"/>
            <w:shd w:val="clear" w:color="auto" w:fill="auto"/>
            <w:noWrap/>
          </w:tcPr>
          <w:p w14:paraId="2C1ECD19"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239,337825</w:t>
            </w:r>
          </w:p>
        </w:tc>
        <w:tc>
          <w:tcPr>
            <w:tcW w:w="517" w:type="pct"/>
            <w:shd w:val="clear" w:color="auto" w:fill="auto"/>
            <w:noWrap/>
          </w:tcPr>
          <w:p w14:paraId="34AEF23A"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2616555</w:t>
            </w:r>
          </w:p>
        </w:tc>
        <w:tc>
          <w:tcPr>
            <w:tcW w:w="517" w:type="pct"/>
            <w:shd w:val="clear" w:color="auto" w:fill="auto"/>
            <w:noWrap/>
          </w:tcPr>
          <w:p w14:paraId="368F731D"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1490,41025</w:t>
            </w:r>
          </w:p>
        </w:tc>
        <w:tc>
          <w:tcPr>
            <w:tcW w:w="517" w:type="pct"/>
            <w:shd w:val="clear" w:color="auto" w:fill="auto"/>
            <w:noWrap/>
          </w:tcPr>
          <w:p w14:paraId="383FE36C" w14:textId="77777777" w:rsidR="00922A39" w:rsidRPr="00EA1BB2" w:rsidRDefault="00922A39" w:rsidP="000C3010">
            <w:pPr>
              <w:spacing w:line="360" w:lineRule="auto"/>
              <w:jc w:val="center"/>
              <w:rPr>
                <w:rFonts w:ascii="Cambria" w:eastAsia="Times New Roman" w:hAnsi="Cambria" w:cs="Times New Roman"/>
                <w:color w:val="000000"/>
                <w:lang w:eastAsia="ro-RO"/>
              </w:rPr>
            </w:pPr>
          </w:p>
        </w:tc>
        <w:tc>
          <w:tcPr>
            <w:tcW w:w="517" w:type="pct"/>
            <w:shd w:val="clear" w:color="auto" w:fill="auto"/>
            <w:noWrap/>
          </w:tcPr>
          <w:p w14:paraId="06046F71"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33460,0949</w:t>
            </w:r>
          </w:p>
        </w:tc>
        <w:tc>
          <w:tcPr>
            <w:tcW w:w="517" w:type="pct"/>
            <w:shd w:val="clear" w:color="auto" w:fill="auto"/>
            <w:noWrap/>
          </w:tcPr>
          <w:p w14:paraId="73340748" w14:textId="77777777" w:rsidR="00922A39" w:rsidRPr="00EA1BB2" w:rsidRDefault="00922A39" w:rsidP="000C3010">
            <w:pPr>
              <w:spacing w:line="360" w:lineRule="auto"/>
              <w:jc w:val="center"/>
              <w:rPr>
                <w:rFonts w:ascii="Cambria" w:hAnsi="Cambria"/>
              </w:rPr>
            </w:pPr>
            <w:r w:rsidRPr="00EA1BB2">
              <w:rPr>
                <w:rFonts w:ascii="Cambria" w:hAnsi="Cambria"/>
              </w:rPr>
              <w:t>293464,6</w:t>
            </w:r>
          </w:p>
        </w:tc>
        <w:tc>
          <w:tcPr>
            <w:tcW w:w="517" w:type="pct"/>
            <w:shd w:val="clear" w:color="auto" w:fill="auto"/>
            <w:noWrap/>
          </w:tcPr>
          <w:p w14:paraId="2E084F11" w14:textId="77777777" w:rsidR="00922A39" w:rsidRPr="00EA1BB2" w:rsidRDefault="00922A39" w:rsidP="000C3010">
            <w:pPr>
              <w:spacing w:line="360" w:lineRule="auto"/>
              <w:jc w:val="center"/>
              <w:rPr>
                <w:rFonts w:ascii="Cambria" w:hAnsi="Cambria"/>
              </w:rPr>
            </w:pPr>
            <w:r w:rsidRPr="00EA1BB2">
              <w:rPr>
                <w:rFonts w:ascii="Cambria" w:hAnsi="Cambria"/>
              </w:rPr>
              <w:t>237542,15</w:t>
            </w:r>
          </w:p>
        </w:tc>
        <w:tc>
          <w:tcPr>
            <w:tcW w:w="517" w:type="pct"/>
            <w:shd w:val="clear" w:color="auto" w:fill="auto"/>
            <w:noWrap/>
          </w:tcPr>
          <w:p w14:paraId="0FCE0709"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hAnsi="Cambria"/>
              </w:rPr>
              <w:t>92349</w:t>
            </w:r>
          </w:p>
        </w:tc>
      </w:tr>
      <w:tr w:rsidR="00922A39" w:rsidRPr="00EA1BB2" w14:paraId="76CE5B05" w14:textId="77777777" w:rsidTr="00922A39">
        <w:trPr>
          <w:trHeight w:val="300"/>
        </w:trPr>
        <w:tc>
          <w:tcPr>
            <w:tcW w:w="351" w:type="pct"/>
            <w:shd w:val="clear" w:color="auto" w:fill="auto"/>
            <w:noWrap/>
          </w:tcPr>
          <w:p w14:paraId="4316DF41" w14:textId="77777777" w:rsidR="00922A39" w:rsidRPr="00EA1BB2" w:rsidRDefault="00922A39" w:rsidP="000C3010">
            <w:pPr>
              <w:spacing w:line="360" w:lineRule="auto"/>
              <w:rPr>
                <w:rFonts w:ascii="Cambria" w:hAnsi="Cambria"/>
              </w:rPr>
            </w:pPr>
            <w:r w:rsidRPr="00EA1BB2">
              <w:rPr>
                <w:rFonts w:ascii="Cambria" w:hAnsi="Cambria"/>
              </w:rPr>
              <w:t>6.C.d</w:t>
            </w:r>
          </w:p>
        </w:tc>
        <w:tc>
          <w:tcPr>
            <w:tcW w:w="517" w:type="pct"/>
            <w:shd w:val="clear" w:color="auto" w:fill="auto"/>
            <w:noWrap/>
          </w:tcPr>
          <w:p w14:paraId="5F7FA816" w14:textId="77777777" w:rsidR="00922A39" w:rsidRPr="00EA1BB2" w:rsidRDefault="00922A39" w:rsidP="000C3010">
            <w:pPr>
              <w:spacing w:line="360" w:lineRule="auto"/>
              <w:jc w:val="center"/>
              <w:rPr>
                <w:rFonts w:ascii="Cambria" w:eastAsia="Times New Roman" w:hAnsi="Cambria" w:cs="Times New Roman"/>
                <w:color w:val="000000"/>
                <w:lang w:eastAsia="ro-RO"/>
              </w:rPr>
            </w:pPr>
          </w:p>
        </w:tc>
        <w:tc>
          <w:tcPr>
            <w:tcW w:w="517" w:type="pct"/>
            <w:shd w:val="clear" w:color="auto" w:fill="auto"/>
            <w:noWrap/>
          </w:tcPr>
          <w:p w14:paraId="3F604E47" w14:textId="77777777" w:rsidR="00922A39" w:rsidRPr="00EA1BB2" w:rsidRDefault="00922A39" w:rsidP="000C3010">
            <w:pPr>
              <w:spacing w:line="360" w:lineRule="auto"/>
              <w:jc w:val="center"/>
              <w:rPr>
                <w:rFonts w:ascii="Cambria" w:eastAsia="Times New Roman" w:hAnsi="Cambria" w:cs="Times New Roman"/>
                <w:color w:val="000000"/>
                <w:lang w:eastAsia="ro-RO"/>
              </w:rPr>
            </w:pPr>
          </w:p>
        </w:tc>
        <w:tc>
          <w:tcPr>
            <w:tcW w:w="517" w:type="pct"/>
            <w:shd w:val="clear" w:color="auto" w:fill="auto"/>
            <w:noWrap/>
          </w:tcPr>
          <w:p w14:paraId="6CA7BE0D" w14:textId="77777777" w:rsidR="00922A39" w:rsidRPr="00EA1BB2" w:rsidRDefault="00922A39" w:rsidP="000C3010">
            <w:pPr>
              <w:spacing w:line="360" w:lineRule="auto"/>
              <w:jc w:val="center"/>
              <w:rPr>
                <w:rFonts w:ascii="Cambria" w:eastAsia="Times New Roman" w:hAnsi="Cambria" w:cs="Times New Roman"/>
                <w:color w:val="000000"/>
                <w:lang w:eastAsia="ro-RO"/>
              </w:rPr>
            </w:pPr>
          </w:p>
        </w:tc>
        <w:tc>
          <w:tcPr>
            <w:tcW w:w="517" w:type="pct"/>
            <w:shd w:val="clear" w:color="auto" w:fill="auto"/>
            <w:noWrap/>
          </w:tcPr>
          <w:p w14:paraId="7A32E4C4" w14:textId="77777777" w:rsidR="00922A39" w:rsidRPr="00EA1BB2" w:rsidRDefault="00922A39" w:rsidP="000C3010">
            <w:pPr>
              <w:spacing w:line="360" w:lineRule="auto"/>
              <w:jc w:val="center"/>
              <w:rPr>
                <w:rFonts w:ascii="Cambria" w:eastAsia="Times New Roman" w:hAnsi="Cambria" w:cs="Times New Roman"/>
                <w:color w:val="000000"/>
                <w:lang w:eastAsia="ro-RO"/>
              </w:rPr>
            </w:pPr>
          </w:p>
        </w:tc>
        <w:tc>
          <w:tcPr>
            <w:tcW w:w="517" w:type="pct"/>
            <w:shd w:val="clear" w:color="auto" w:fill="auto"/>
            <w:noWrap/>
          </w:tcPr>
          <w:p w14:paraId="0D7F30B6" w14:textId="77777777" w:rsidR="00922A39" w:rsidRPr="00EA1BB2" w:rsidRDefault="00922A39" w:rsidP="000C3010">
            <w:pPr>
              <w:spacing w:line="360" w:lineRule="auto"/>
              <w:jc w:val="center"/>
              <w:rPr>
                <w:rFonts w:ascii="Cambria" w:eastAsia="Times New Roman" w:hAnsi="Cambria" w:cs="Times New Roman"/>
                <w:color w:val="000000"/>
                <w:lang w:eastAsia="ro-RO"/>
              </w:rPr>
            </w:pPr>
          </w:p>
        </w:tc>
        <w:tc>
          <w:tcPr>
            <w:tcW w:w="517" w:type="pct"/>
            <w:shd w:val="clear" w:color="auto" w:fill="auto"/>
            <w:noWrap/>
          </w:tcPr>
          <w:p w14:paraId="637C732F" w14:textId="77777777" w:rsidR="00922A39" w:rsidRPr="00EA1BB2" w:rsidRDefault="00922A39" w:rsidP="000C3010">
            <w:pPr>
              <w:spacing w:line="360" w:lineRule="auto"/>
              <w:jc w:val="center"/>
              <w:rPr>
                <w:rFonts w:ascii="Cambria" w:eastAsia="Times New Roman" w:hAnsi="Cambria" w:cs="Times New Roman"/>
                <w:color w:val="000000"/>
                <w:lang w:eastAsia="ro-RO"/>
              </w:rPr>
            </w:pPr>
          </w:p>
        </w:tc>
        <w:tc>
          <w:tcPr>
            <w:tcW w:w="517" w:type="pct"/>
            <w:shd w:val="clear" w:color="auto" w:fill="auto"/>
            <w:noWrap/>
          </w:tcPr>
          <w:p w14:paraId="385BAD56" w14:textId="77777777" w:rsidR="00922A39" w:rsidRPr="00EA1BB2" w:rsidRDefault="00922A39" w:rsidP="000C3010">
            <w:pPr>
              <w:spacing w:line="360" w:lineRule="auto"/>
              <w:jc w:val="center"/>
              <w:rPr>
                <w:rFonts w:ascii="Cambria" w:hAnsi="Cambria"/>
              </w:rPr>
            </w:pPr>
            <w:r w:rsidRPr="00EA1BB2">
              <w:rPr>
                <w:rFonts w:ascii="Cambria" w:hAnsi="Cambria"/>
              </w:rPr>
              <w:t>6154578</w:t>
            </w:r>
          </w:p>
        </w:tc>
        <w:tc>
          <w:tcPr>
            <w:tcW w:w="517" w:type="pct"/>
            <w:shd w:val="clear" w:color="auto" w:fill="auto"/>
            <w:noWrap/>
          </w:tcPr>
          <w:p w14:paraId="30159F39" w14:textId="77777777" w:rsidR="00922A39" w:rsidRPr="00EA1BB2" w:rsidRDefault="00922A39" w:rsidP="000C3010">
            <w:pPr>
              <w:spacing w:line="360" w:lineRule="auto"/>
              <w:jc w:val="center"/>
              <w:rPr>
                <w:rFonts w:ascii="Cambria" w:hAnsi="Cambria"/>
              </w:rPr>
            </w:pPr>
            <w:r w:rsidRPr="00EA1BB2">
              <w:rPr>
                <w:rFonts w:ascii="Cambria" w:hAnsi="Cambria"/>
              </w:rPr>
              <w:t>5269606</w:t>
            </w:r>
          </w:p>
        </w:tc>
        <w:tc>
          <w:tcPr>
            <w:tcW w:w="517" w:type="pct"/>
            <w:shd w:val="clear" w:color="auto" w:fill="auto"/>
            <w:noWrap/>
          </w:tcPr>
          <w:p w14:paraId="488A2586" w14:textId="77777777" w:rsidR="00922A39" w:rsidRPr="00EA1BB2" w:rsidRDefault="00922A39" w:rsidP="000C3010">
            <w:pPr>
              <w:spacing w:line="360" w:lineRule="auto"/>
              <w:jc w:val="center"/>
              <w:rPr>
                <w:rFonts w:ascii="Cambria" w:eastAsia="Times New Roman" w:hAnsi="Cambria" w:cs="Times New Roman"/>
                <w:color w:val="000000"/>
                <w:lang w:eastAsia="ro-RO"/>
              </w:rPr>
            </w:pPr>
          </w:p>
        </w:tc>
      </w:tr>
      <w:tr w:rsidR="00922A39" w:rsidRPr="00EA1BB2" w14:paraId="18D01456" w14:textId="77777777" w:rsidTr="00922A39">
        <w:trPr>
          <w:trHeight w:val="300"/>
        </w:trPr>
        <w:tc>
          <w:tcPr>
            <w:tcW w:w="351" w:type="pct"/>
            <w:shd w:val="clear" w:color="auto" w:fill="auto"/>
            <w:noWrap/>
            <w:vAlign w:val="center"/>
            <w:hideMark/>
          </w:tcPr>
          <w:p w14:paraId="6586CABF" w14:textId="77777777" w:rsidR="00922A39" w:rsidRPr="00EA1BB2" w:rsidRDefault="00922A39" w:rsidP="000C3010">
            <w:pPr>
              <w:spacing w:line="360" w:lineRule="auto"/>
              <w:jc w:val="center"/>
              <w:rPr>
                <w:rFonts w:ascii="Cambria" w:eastAsia="Times New Roman" w:hAnsi="Cambria" w:cs="Times New Roman"/>
                <w:color w:val="000000"/>
                <w:lang w:eastAsia="ro-RO"/>
              </w:rPr>
            </w:pPr>
            <w:r w:rsidRPr="00EA1BB2">
              <w:rPr>
                <w:rFonts w:ascii="Cambria" w:eastAsia="Times New Roman" w:hAnsi="Cambria" w:cs="Times New Roman"/>
                <w:color w:val="000000"/>
                <w:lang w:eastAsia="ro-RO"/>
              </w:rPr>
              <w:t>TOTAL</w:t>
            </w:r>
          </w:p>
        </w:tc>
        <w:tc>
          <w:tcPr>
            <w:tcW w:w="517" w:type="pct"/>
            <w:shd w:val="clear" w:color="auto" w:fill="auto"/>
            <w:noWrap/>
          </w:tcPr>
          <w:p w14:paraId="7F1CEC02" w14:textId="77777777" w:rsidR="00922A39" w:rsidRPr="00EA1BB2" w:rsidRDefault="00922A39" w:rsidP="000C3010">
            <w:pPr>
              <w:spacing w:line="360" w:lineRule="auto"/>
              <w:jc w:val="center"/>
              <w:rPr>
                <w:rFonts w:ascii="Cambria" w:hAnsi="Cambria"/>
              </w:rPr>
            </w:pPr>
            <w:r w:rsidRPr="00EA1BB2">
              <w:rPr>
                <w:rFonts w:ascii="Cambria" w:hAnsi="Cambria"/>
              </w:rPr>
              <w:t>278,9104462</w:t>
            </w:r>
          </w:p>
        </w:tc>
        <w:tc>
          <w:tcPr>
            <w:tcW w:w="517" w:type="pct"/>
            <w:shd w:val="clear" w:color="auto" w:fill="auto"/>
            <w:noWrap/>
          </w:tcPr>
          <w:p w14:paraId="1396F4C7" w14:textId="77777777" w:rsidR="00922A39" w:rsidRPr="00EA1BB2" w:rsidRDefault="00922A39" w:rsidP="000C3010">
            <w:pPr>
              <w:spacing w:line="360" w:lineRule="auto"/>
              <w:jc w:val="center"/>
              <w:rPr>
                <w:rFonts w:ascii="Cambria" w:hAnsi="Cambria"/>
              </w:rPr>
            </w:pPr>
            <w:r w:rsidRPr="00EA1BB2">
              <w:rPr>
                <w:rFonts w:ascii="Cambria" w:hAnsi="Cambria"/>
              </w:rPr>
              <w:t>502,467908</w:t>
            </w:r>
          </w:p>
        </w:tc>
        <w:tc>
          <w:tcPr>
            <w:tcW w:w="517" w:type="pct"/>
            <w:shd w:val="clear" w:color="auto" w:fill="auto"/>
            <w:noWrap/>
          </w:tcPr>
          <w:p w14:paraId="21392713" w14:textId="77777777" w:rsidR="00922A39" w:rsidRPr="00EA1BB2" w:rsidRDefault="00922A39" w:rsidP="000C3010">
            <w:pPr>
              <w:spacing w:line="360" w:lineRule="auto"/>
              <w:jc w:val="center"/>
              <w:rPr>
                <w:rFonts w:ascii="Cambria" w:hAnsi="Cambria"/>
              </w:rPr>
            </w:pPr>
            <w:r w:rsidRPr="00EA1BB2">
              <w:rPr>
                <w:rFonts w:ascii="Cambria" w:hAnsi="Cambria"/>
              </w:rPr>
              <w:t>248786244,6</w:t>
            </w:r>
          </w:p>
        </w:tc>
        <w:tc>
          <w:tcPr>
            <w:tcW w:w="517" w:type="pct"/>
            <w:shd w:val="clear" w:color="auto" w:fill="auto"/>
            <w:noWrap/>
          </w:tcPr>
          <w:p w14:paraId="289CC0E5" w14:textId="77777777" w:rsidR="00922A39" w:rsidRPr="00EA1BB2" w:rsidRDefault="00922A39" w:rsidP="000C3010">
            <w:pPr>
              <w:spacing w:line="360" w:lineRule="auto"/>
              <w:jc w:val="center"/>
              <w:rPr>
                <w:rFonts w:ascii="Cambria" w:hAnsi="Cambria"/>
              </w:rPr>
            </w:pPr>
            <w:r w:rsidRPr="00EA1BB2">
              <w:rPr>
                <w:rFonts w:ascii="Cambria" w:hAnsi="Cambria"/>
              </w:rPr>
              <w:t>14958,57681</w:t>
            </w:r>
          </w:p>
        </w:tc>
        <w:tc>
          <w:tcPr>
            <w:tcW w:w="517" w:type="pct"/>
            <w:shd w:val="clear" w:color="auto" w:fill="auto"/>
            <w:noWrap/>
          </w:tcPr>
          <w:p w14:paraId="20A0E57D" w14:textId="77777777" w:rsidR="00922A39" w:rsidRPr="00EA1BB2" w:rsidRDefault="00922A39" w:rsidP="000C3010">
            <w:pPr>
              <w:spacing w:line="360" w:lineRule="auto"/>
              <w:jc w:val="center"/>
              <w:rPr>
                <w:rFonts w:ascii="Cambria" w:hAnsi="Cambria"/>
              </w:rPr>
            </w:pPr>
            <w:r w:rsidRPr="00EA1BB2">
              <w:rPr>
                <w:rFonts w:ascii="Cambria" w:hAnsi="Cambria"/>
              </w:rPr>
              <w:t>16904097,08</w:t>
            </w:r>
          </w:p>
        </w:tc>
        <w:tc>
          <w:tcPr>
            <w:tcW w:w="517" w:type="pct"/>
            <w:shd w:val="clear" w:color="auto" w:fill="auto"/>
            <w:noWrap/>
          </w:tcPr>
          <w:p w14:paraId="5790AD26" w14:textId="77777777" w:rsidR="00922A39" w:rsidRPr="00EA1BB2" w:rsidRDefault="00922A39" w:rsidP="000C3010">
            <w:pPr>
              <w:spacing w:line="360" w:lineRule="auto"/>
              <w:jc w:val="center"/>
              <w:rPr>
                <w:rFonts w:ascii="Cambria" w:hAnsi="Cambria"/>
              </w:rPr>
            </w:pPr>
            <w:r w:rsidRPr="00EA1BB2">
              <w:rPr>
                <w:rFonts w:ascii="Cambria" w:hAnsi="Cambria"/>
              </w:rPr>
              <w:t>34612,72054</w:t>
            </w:r>
          </w:p>
        </w:tc>
        <w:tc>
          <w:tcPr>
            <w:tcW w:w="517" w:type="pct"/>
            <w:shd w:val="clear" w:color="auto" w:fill="auto"/>
            <w:noWrap/>
          </w:tcPr>
          <w:p w14:paraId="644F623E" w14:textId="77777777" w:rsidR="00922A39" w:rsidRPr="00EA1BB2" w:rsidRDefault="00922A39" w:rsidP="000C3010">
            <w:pPr>
              <w:spacing w:line="360" w:lineRule="auto"/>
              <w:jc w:val="center"/>
              <w:rPr>
                <w:rFonts w:ascii="Cambria" w:hAnsi="Cambria"/>
              </w:rPr>
            </w:pPr>
            <w:r w:rsidRPr="00EA1BB2">
              <w:rPr>
                <w:rFonts w:ascii="Cambria" w:hAnsi="Cambria"/>
              </w:rPr>
              <w:t>504248796,1</w:t>
            </w:r>
          </w:p>
        </w:tc>
        <w:tc>
          <w:tcPr>
            <w:tcW w:w="517" w:type="pct"/>
            <w:shd w:val="clear" w:color="auto" w:fill="auto"/>
            <w:noWrap/>
          </w:tcPr>
          <w:p w14:paraId="5478E3C0" w14:textId="77777777" w:rsidR="00922A39" w:rsidRPr="00EA1BB2" w:rsidRDefault="00922A39" w:rsidP="000C3010">
            <w:pPr>
              <w:spacing w:line="360" w:lineRule="auto"/>
              <w:jc w:val="center"/>
              <w:rPr>
                <w:rFonts w:ascii="Cambria" w:hAnsi="Cambria"/>
              </w:rPr>
            </w:pPr>
            <w:r w:rsidRPr="00EA1BB2">
              <w:rPr>
                <w:rFonts w:ascii="Cambria" w:hAnsi="Cambria"/>
              </w:rPr>
              <w:t>126374701,6</w:t>
            </w:r>
          </w:p>
        </w:tc>
        <w:tc>
          <w:tcPr>
            <w:tcW w:w="517" w:type="pct"/>
            <w:shd w:val="clear" w:color="auto" w:fill="auto"/>
            <w:noWrap/>
          </w:tcPr>
          <w:p w14:paraId="3CC626ED" w14:textId="77777777" w:rsidR="00922A39" w:rsidRPr="00EA1BB2" w:rsidRDefault="00922A39" w:rsidP="000C3010">
            <w:pPr>
              <w:spacing w:line="360" w:lineRule="auto"/>
              <w:jc w:val="center"/>
              <w:rPr>
                <w:rFonts w:ascii="Cambria" w:hAnsi="Cambria"/>
              </w:rPr>
            </w:pPr>
            <w:r w:rsidRPr="00EA1BB2">
              <w:rPr>
                <w:rFonts w:ascii="Cambria" w:hAnsi="Cambria"/>
              </w:rPr>
              <w:t>5979357,658</w:t>
            </w:r>
          </w:p>
        </w:tc>
      </w:tr>
    </w:tbl>
    <w:p w14:paraId="01A8F09A" w14:textId="77777777" w:rsidR="00343667" w:rsidRPr="00EA1BB2" w:rsidRDefault="00343667" w:rsidP="00343667">
      <w:pPr>
        <w:spacing w:line="276" w:lineRule="auto"/>
        <w:jc w:val="both"/>
        <w:rPr>
          <w:rFonts w:ascii="Cambria" w:eastAsia="Times New Roman" w:hAnsi="Cambria" w:cs="Times New Roman"/>
          <w:szCs w:val="24"/>
        </w:rPr>
      </w:pPr>
      <w:r w:rsidRPr="00EA1BB2">
        <w:rPr>
          <w:rFonts w:ascii="Cambria" w:eastAsia="Times New Roman" w:hAnsi="Cambria" w:cs="Times New Roman"/>
          <w:szCs w:val="24"/>
        </w:rPr>
        <w:t>*cu excep</w:t>
      </w:r>
      <w:r w:rsidR="00054880" w:rsidRPr="00EA1BB2">
        <w:rPr>
          <w:rFonts w:ascii="Cambria" w:eastAsia="Times New Roman" w:hAnsi="Cambria" w:cs="Times New Roman"/>
          <w:szCs w:val="24"/>
        </w:rPr>
        <w:t>ț</w:t>
      </w:r>
      <w:r w:rsidRPr="00EA1BB2">
        <w:rPr>
          <w:rFonts w:ascii="Cambria" w:eastAsia="Times New Roman" w:hAnsi="Cambria" w:cs="Times New Roman"/>
          <w:szCs w:val="24"/>
        </w:rPr>
        <w:t>ia municipiului Brăila</w:t>
      </w:r>
    </w:p>
    <w:p w14:paraId="4922F0C1" w14:textId="77777777" w:rsidR="00811204" w:rsidRPr="00EA1BB2" w:rsidRDefault="00811204" w:rsidP="00343667">
      <w:pPr>
        <w:spacing w:line="276" w:lineRule="auto"/>
        <w:jc w:val="both"/>
        <w:rPr>
          <w:rFonts w:ascii="Cambria" w:eastAsia="Times New Roman" w:hAnsi="Cambria" w:cs="Times New Roman"/>
          <w:szCs w:val="24"/>
        </w:rPr>
      </w:pPr>
      <w:r w:rsidRPr="00EA1BB2">
        <w:rPr>
          <w:rFonts w:ascii="Cambria" w:eastAsia="Times New Roman" w:hAnsi="Cambria" w:cs="Times New Roman"/>
          <w:szCs w:val="24"/>
        </w:rPr>
        <w:t>Notă: În ILE nu sunt raportate emisii de C</w:t>
      </w:r>
      <w:r w:rsidRPr="00EA1BB2">
        <w:rPr>
          <w:rFonts w:ascii="Cambria" w:eastAsia="Times New Roman" w:hAnsi="Cambria" w:cs="Times New Roman"/>
          <w:szCs w:val="24"/>
          <w:vertAlign w:val="subscript"/>
        </w:rPr>
        <w:t>6</w:t>
      </w:r>
      <w:r w:rsidRPr="00EA1BB2">
        <w:rPr>
          <w:rFonts w:ascii="Cambria" w:eastAsia="Times New Roman" w:hAnsi="Cambria" w:cs="Times New Roman"/>
          <w:szCs w:val="24"/>
        </w:rPr>
        <w:t>H</w:t>
      </w:r>
      <w:r w:rsidRPr="00EA1BB2">
        <w:rPr>
          <w:rFonts w:ascii="Cambria" w:eastAsia="Times New Roman" w:hAnsi="Cambria" w:cs="Times New Roman"/>
          <w:szCs w:val="24"/>
          <w:vertAlign w:val="subscript"/>
        </w:rPr>
        <w:t>6</w:t>
      </w:r>
    </w:p>
    <w:p w14:paraId="5C7AE76A" w14:textId="77777777" w:rsidR="00343667" w:rsidRPr="00EA1BB2" w:rsidRDefault="00343667" w:rsidP="00343667">
      <w:pPr>
        <w:spacing w:line="276" w:lineRule="auto"/>
        <w:jc w:val="both"/>
        <w:rPr>
          <w:rFonts w:ascii="Cambria" w:eastAsia="Times New Roman" w:hAnsi="Cambria" w:cs="Times New Roman"/>
          <w:szCs w:val="24"/>
        </w:rPr>
      </w:pPr>
      <w:r w:rsidRPr="00EA1BB2">
        <w:rPr>
          <w:rFonts w:ascii="Cambria" w:eastAsia="Times New Roman" w:hAnsi="Cambria" w:cs="Times New Roman"/>
          <w:szCs w:val="24"/>
        </w:rPr>
        <w:t>Sursa: ANPM - ILE 2013</w:t>
      </w:r>
    </w:p>
    <w:p w14:paraId="720CC7DD" w14:textId="77777777" w:rsidR="00343667" w:rsidRPr="00EA1BB2" w:rsidRDefault="00343667" w:rsidP="00343667">
      <w:pPr>
        <w:spacing w:line="360" w:lineRule="auto"/>
        <w:jc w:val="both"/>
        <w:rPr>
          <w:rFonts w:ascii="Cambria" w:eastAsia="Times New Roman" w:hAnsi="Cambria" w:cs="Times New Roman"/>
          <w:sz w:val="24"/>
          <w:szCs w:val="24"/>
        </w:rPr>
      </w:pPr>
    </w:p>
    <w:p w14:paraId="6F5C5AE0" w14:textId="77777777" w:rsidR="00343667" w:rsidRPr="00EA1BB2" w:rsidRDefault="00343667" w:rsidP="00343667">
      <w:pPr>
        <w:spacing w:line="360" w:lineRule="auto"/>
        <w:ind w:firstLine="714"/>
        <w:jc w:val="both"/>
        <w:rPr>
          <w:rFonts w:ascii="Cambria" w:eastAsia="Times New Roman" w:hAnsi="Cambria" w:cs="Times New Roman"/>
          <w:sz w:val="24"/>
          <w:szCs w:val="24"/>
        </w:rPr>
      </w:pPr>
    </w:p>
    <w:p w14:paraId="45172B4D" w14:textId="77777777" w:rsidR="00343667" w:rsidRPr="00EA1BB2" w:rsidRDefault="00343667" w:rsidP="00343667">
      <w:pPr>
        <w:spacing w:line="360" w:lineRule="auto"/>
        <w:ind w:firstLine="714"/>
        <w:jc w:val="both"/>
        <w:rPr>
          <w:rFonts w:ascii="Cambria" w:eastAsia="Times New Roman" w:hAnsi="Cambria" w:cs="Times New Roman"/>
          <w:sz w:val="24"/>
          <w:szCs w:val="24"/>
        </w:rPr>
        <w:sectPr w:rsidR="00343667" w:rsidRPr="00EA1BB2" w:rsidSect="00C75800">
          <w:pgSz w:w="16838" w:h="11906" w:orient="landscape" w:code="9"/>
          <w:pgMar w:top="1134" w:right="1418" w:bottom="1134" w:left="1418" w:header="283" w:footer="283" w:gutter="0"/>
          <w:cols w:space="708"/>
          <w:docGrid w:linePitch="360"/>
        </w:sectPr>
      </w:pPr>
    </w:p>
    <w:p w14:paraId="24E5006A" w14:textId="0356CEB0" w:rsidR="00922A39" w:rsidRPr="00EA1BB2" w:rsidRDefault="00343667" w:rsidP="00922A39">
      <w:pPr>
        <w:pStyle w:val="Caption"/>
        <w:keepNext/>
        <w:spacing w:after="0" w:line="360" w:lineRule="auto"/>
        <w:ind w:firstLine="708"/>
        <w:jc w:val="both"/>
        <w:rPr>
          <w:rFonts w:ascii="Cambria" w:hAnsi="Cambria"/>
          <w:highlight w:val="yellow"/>
        </w:rPr>
      </w:pPr>
      <w:bookmarkStart w:id="193" w:name="_Toc524966222"/>
      <w:r w:rsidRPr="00EA1BB2">
        <w:rPr>
          <w:rFonts w:ascii="Cambria" w:hAnsi="Cambria"/>
        </w:rPr>
        <w:lastRenderedPageBreak/>
        <w:t xml:space="preserve">Figura nr. </w:t>
      </w:r>
      <w:r w:rsidR="00280BC9" w:rsidRPr="00EA1BB2">
        <w:rPr>
          <w:rFonts w:ascii="Cambria" w:hAnsi="Cambria"/>
        </w:rPr>
        <w:fldChar w:fldCharType="begin"/>
      </w:r>
      <w:r w:rsidR="00BA6FA3" w:rsidRPr="00EA1BB2">
        <w:rPr>
          <w:rFonts w:ascii="Cambria" w:hAnsi="Cambria"/>
        </w:rPr>
        <w:instrText xml:space="preserve"> STYLEREF 1 \s </w:instrText>
      </w:r>
      <w:r w:rsidR="00280BC9" w:rsidRPr="00EA1BB2">
        <w:rPr>
          <w:rFonts w:ascii="Cambria" w:hAnsi="Cambria"/>
        </w:rPr>
        <w:fldChar w:fldCharType="separate"/>
      </w:r>
      <w:r w:rsidR="00567555">
        <w:rPr>
          <w:rFonts w:ascii="Cambria" w:hAnsi="Cambria"/>
          <w:noProof/>
        </w:rPr>
        <w:t>3</w:t>
      </w:r>
      <w:r w:rsidR="00280BC9" w:rsidRPr="00EA1BB2">
        <w:rPr>
          <w:rFonts w:ascii="Cambria" w:hAnsi="Cambria"/>
        </w:rPr>
        <w:fldChar w:fldCharType="end"/>
      </w:r>
      <w:r w:rsidR="00BA6FA3" w:rsidRPr="00EA1BB2">
        <w:rPr>
          <w:rFonts w:ascii="Cambria" w:hAnsi="Cambria"/>
        </w:rPr>
        <w:noBreakHyphen/>
      </w:r>
      <w:r w:rsidR="00280BC9" w:rsidRPr="00EA1BB2">
        <w:rPr>
          <w:rFonts w:ascii="Cambria" w:hAnsi="Cambria"/>
        </w:rPr>
        <w:fldChar w:fldCharType="begin"/>
      </w:r>
      <w:r w:rsidR="00BA6FA3" w:rsidRPr="00EA1BB2">
        <w:rPr>
          <w:rFonts w:ascii="Cambria" w:hAnsi="Cambria"/>
        </w:rPr>
        <w:instrText xml:space="preserve"> SEQ Figura_nr. \* ARABIC \s 1 </w:instrText>
      </w:r>
      <w:r w:rsidR="00280BC9" w:rsidRPr="00EA1BB2">
        <w:rPr>
          <w:rFonts w:ascii="Cambria" w:hAnsi="Cambria"/>
        </w:rPr>
        <w:fldChar w:fldCharType="separate"/>
      </w:r>
      <w:r w:rsidR="00567555">
        <w:rPr>
          <w:rFonts w:ascii="Cambria" w:hAnsi="Cambria"/>
          <w:noProof/>
        </w:rPr>
        <w:t>11</w:t>
      </w:r>
      <w:r w:rsidR="00280BC9" w:rsidRPr="00EA1BB2">
        <w:rPr>
          <w:rFonts w:ascii="Cambria" w:hAnsi="Cambria"/>
        </w:rPr>
        <w:fldChar w:fldCharType="end"/>
      </w:r>
      <w:r w:rsidRPr="00EA1BB2">
        <w:rPr>
          <w:rFonts w:ascii="Cambria" w:hAnsi="Cambria"/>
        </w:rPr>
        <w:t xml:space="preserve"> - Contribu</w:t>
      </w:r>
      <w:r w:rsidR="00054880" w:rsidRPr="00EA1BB2">
        <w:rPr>
          <w:rFonts w:ascii="Cambria" w:hAnsi="Cambria"/>
        </w:rPr>
        <w:t>ț</w:t>
      </w:r>
      <w:r w:rsidRPr="00EA1BB2">
        <w:rPr>
          <w:rFonts w:ascii="Cambria" w:hAnsi="Cambria"/>
        </w:rPr>
        <w:t xml:space="preserve">ia sectoarelor de activitate (surse </w:t>
      </w:r>
      <w:r w:rsidR="00D70E2E" w:rsidRPr="00EA1BB2">
        <w:rPr>
          <w:rFonts w:ascii="Cambria" w:hAnsi="Cambria"/>
        </w:rPr>
        <w:t>staționare</w:t>
      </w:r>
      <w:r w:rsidRPr="00EA1BB2">
        <w:rPr>
          <w:rFonts w:ascii="Cambria" w:hAnsi="Cambria"/>
        </w:rPr>
        <w:t>) la emisiile totale de poluan</w:t>
      </w:r>
      <w:r w:rsidR="00054880" w:rsidRPr="00EA1BB2">
        <w:rPr>
          <w:rFonts w:ascii="Cambria" w:hAnsi="Cambria"/>
        </w:rPr>
        <w:t>ț</w:t>
      </w:r>
      <w:r w:rsidRPr="00EA1BB2">
        <w:rPr>
          <w:rFonts w:ascii="Cambria" w:hAnsi="Cambria"/>
        </w:rPr>
        <w:t>i din jude</w:t>
      </w:r>
      <w:r w:rsidR="00054880" w:rsidRPr="00EA1BB2">
        <w:rPr>
          <w:rFonts w:ascii="Cambria" w:hAnsi="Cambria"/>
        </w:rPr>
        <w:t>ț</w:t>
      </w:r>
      <w:r w:rsidRPr="00EA1BB2">
        <w:rPr>
          <w:rFonts w:ascii="Cambria" w:hAnsi="Cambria"/>
        </w:rPr>
        <w:t>ul Brăila, în anul de referin</w:t>
      </w:r>
      <w:r w:rsidR="00054880" w:rsidRPr="00EA1BB2">
        <w:rPr>
          <w:rFonts w:ascii="Cambria" w:hAnsi="Cambria"/>
        </w:rPr>
        <w:t>ț</w:t>
      </w:r>
      <w:r w:rsidRPr="00EA1BB2">
        <w:rPr>
          <w:rFonts w:ascii="Cambria" w:hAnsi="Cambria"/>
        </w:rPr>
        <w:t>ă 2013 (%)</w:t>
      </w:r>
      <w:bookmarkEnd w:id="193"/>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4508"/>
        <w:gridCol w:w="4508"/>
      </w:tblGrid>
      <w:tr w:rsidR="00922A39" w:rsidRPr="00EA1BB2" w14:paraId="20BEC32E" w14:textId="77777777" w:rsidTr="00795634">
        <w:tc>
          <w:tcPr>
            <w:tcW w:w="4508" w:type="dxa"/>
            <w:vAlign w:val="center"/>
          </w:tcPr>
          <w:p w14:paraId="004DBB61" w14:textId="77777777" w:rsidR="00922A39" w:rsidRPr="00EA1BB2" w:rsidRDefault="00922A39" w:rsidP="00795634">
            <w:pPr>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w:t>
            </w:r>
            <w:r w:rsidRPr="00EA1BB2">
              <w:rPr>
                <w:rFonts w:ascii="Cambria" w:eastAsia="Times New Roman" w:hAnsi="Cambria" w:cs="Times New Roman"/>
                <w:noProof/>
                <w:sz w:val="24"/>
                <w:szCs w:val="24"/>
              </w:rPr>
              <w:drawing>
                <wp:inline distT="0" distB="0" distL="0" distR="0" wp14:anchorId="38816172" wp14:editId="56841792">
                  <wp:extent cx="2562225" cy="1584000"/>
                  <wp:effectExtent l="0" t="0" r="9525" b="1651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tc>
        <w:tc>
          <w:tcPr>
            <w:tcW w:w="4508" w:type="dxa"/>
          </w:tcPr>
          <w:p w14:paraId="411A15AF" w14:textId="77777777" w:rsidR="00922A39" w:rsidRPr="00EA1BB2" w:rsidRDefault="00922A39" w:rsidP="00795634">
            <w:pPr>
              <w:jc w:val="both"/>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2.</w:t>
            </w:r>
            <w:r w:rsidRPr="00EA1BB2">
              <w:rPr>
                <w:rFonts w:ascii="Cambria" w:eastAsia="Times New Roman" w:hAnsi="Cambria" w:cs="Times New Roman"/>
                <w:noProof/>
                <w:sz w:val="24"/>
                <w:szCs w:val="24"/>
              </w:rPr>
              <w:drawing>
                <wp:inline distT="0" distB="0" distL="0" distR="0" wp14:anchorId="24892EFB" wp14:editId="60B6872B">
                  <wp:extent cx="2562225" cy="1584000"/>
                  <wp:effectExtent l="0" t="0" r="9525" b="1651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tc>
      </w:tr>
      <w:tr w:rsidR="00922A39" w:rsidRPr="00EA1BB2" w14:paraId="60C0B49F" w14:textId="77777777" w:rsidTr="00795634">
        <w:tc>
          <w:tcPr>
            <w:tcW w:w="4508" w:type="dxa"/>
          </w:tcPr>
          <w:p w14:paraId="51526D17" w14:textId="77777777" w:rsidR="00922A39" w:rsidRPr="00EA1BB2" w:rsidRDefault="00922A39" w:rsidP="00795634">
            <w:pPr>
              <w:jc w:val="both"/>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3.</w:t>
            </w:r>
            <w:r w:rsidRPr="00EA1BB2">
              <w:rPr>
                <w:rFonts w:ascii="Cambria" w:eastAsia="Times New Roman" w:hAnsi="Cambria" w:cs="Times New Roman"/>
                <w:noProof/>
                <w:sz w:val="24"/>
                <w:szCs w:val="24"/>
              </w:rPr>
              <w:drawing>
                <wp:inline distT="0" distB="0" distL="0" distR="0" wp14:anchorId="40A168E8" wp14:editId="0B4264ED">
                  <wp:extent cx="2562225" cy="1584000"/>
                  <wp:effectExtent l="0" t="0" r="9525" b="1651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tc>
        <w:tc>
          <w:tcPr>
            <w:tcW w:w="4508" w:type="dxa"/>
          </w:tcPr>
          <w:p w14:paraId="622FD9BB" w14:textId="77777777" w:rsidR="00922A39" w:rsidRPr="00EA1BB2" w:rsidRDefault="00922A39" w:rsidP="00795634">
            <w:pPr>
              <w:jc w:val="both"/>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4.</w:t>
            </w:r>
            <w:r w:rsidRPr="00EA1BB2">
              <w:rPr>
                <w:rFonts w:ascii="Cambria" w:eastAsia="Times New Roman" w:hAnsi="Cambria" w:cs="Times New Roman"/>
                <w:noProof/>
                <w:sz w:val="24"/>
                <w:szCs w:val="24"/>
              </w:rPr>
              <w:drawing>
                <wp:inline distT="0" distB="0" distL="0" distR="0" wp14:anchorId="0D268702" wp14:editId="1A15FFF7">
                  <wp:extent cx="2562225" cy="1584000"/>
                  <wp:effectExtent l="0" t="0" r="9525" b="1651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tc>
      </w:tr>
      <w:tr w:rsidR="00922A39" w:rsidRPr="00EA1BB2" w14:paraId="07C4D311" w14:textId="77777777" w:rsidTr="00795634">
        <w:tc>
          <w:tcPr>
            <w:tcW w:w="4508" w:type="dxa"/>
          </w:tcPr>
          <w:p w14:paraId="5BDE21DC" w14:textId="77777777" w:rsidR="00922A39" w:rsidRPr="00EA1BB2" w:rsidRDefault="00922A39" w:rsidP="00795634">
            <w:pPr>
              <w:jc w:val="both"/>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5.</w:t>
            </w:r>
            <w:r w:rsidRPr="00EA1BB2">
              <w:rPr>
                <w:rFonts w:ascii="Cambria" w:eastAsia="Times New Roman" w:hAnsi="Cambria" w:cs="Times New Roman"/>
                <w:noProof/>
                <w:sz w:val="24"/>
                <w:szCs w:val="24"/>
              </w:rPr>
              <w:drawing>
                <wp:inline distT="0" distB="0" distL="0" distR="0" wp14:anchorId="59096EF6" wp14:editId="64ED4A7E">
                  <wp:extent cx="2562225" cy="1584000"/>
                  <wp:effectExtent l="0" t="0" r="9525" b="1651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tc>
        <w:tc>
          <w:tcPr>
            <w:tcW w:w="4508" w:type="dxa"/>
          </w:tcPr>
          <w:p w14:paraId="73C5D68D" w14:textId="77777777" w:rsidR="00922A39" w:rsidRPr="00EA1BB2" w:rsidRDefault="00922A39" w:rsidP="00795634">
            <w:pPr>
              <w:jc w:val="both"/>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6.</w:t>
            </w:r>
            <w:r w:rsidRPr="00EA1BB2">
              <w:rPr>
                <w:rFonts w:ascii="Cambria" w:eastAsia="Times New Roman" w:hAnsi="Cambria" w:cs="Times New Roman"/>
                <w:noProof/>
                <w:sz w:val="24"/>
                <w:szCs w:val="24"/>
              </w:rPr>
              <w:drawing>
                <wp:inline distT="0" distB="0" distL="0" distR="0" wp14:anchorId="4E811533" wp14:editId="622BEE9A">
                  <wp:extent cx="2562225" cy="1584000"/>
                  <wp:effectExtent l="0" t="0" r="9525" b="1651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tc>
      </w:tr>
      <w:tr w:rsidR="00922A39" w:rsidRPr="00EA1BB2" w14:paraId="4AC6E30E" w14:textId="77777777" w:rsidTr="00795634">
        <w:tc>
          <w:tcPr>
            <w:tcW w:w="4508" w:type="dxa"/>
          </w:tcPr>
          <w:p w14:paraId="24E1DFC3" w14:textId="77777777" w:rsidR="00922A39" w:rsidRPr="00EA1BB2" w:rsidRDefault="00922A39" w:rsidP="00795634">
            <w:pPr>
              <w:jc w:val="both"/>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7.</w:t>
            </w:r>
            <w:r w:rsidRPr="00EA1BB2">
              <w:rPr>
                <w:rFonts w:ascii="Cambria" w:eastAsia="Times New Roman" w:hAnsi="Cambria" w:cs="Times New Roman"/>
                <w:noProof/>
                <w:sz w:val="24"/>
                <w:szCs w:val="24"/>
              </w:rPr>
              <w:drawing>
                <wp:inline distT="0" distB="0" distL="0" distR="0" wp14:anchorId="196B502F" wp14:editId="44EFC928">
                  <wp:extent cx="2562225" cy="1584000"/>
                  <wp:effectExtent l="0" t="0" r="9525" b="16510"/>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tc>
        <w:tc>
          <w:tcPr>
            <w:tcW w:w="4508" w:type="dxa"/>
          </w:tcPr>
          <w:p w14:paraId="0851F23E" w14:textId="77777777" w:rsidR="00922A39" w:rsidRPr="00EA1BB2" w:rsidRDefault="00922A39" w:rsidP="00795634">
            <w:pPr>
              <w:jc w:val="both"/>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8.</w:t>
            </w:r>
            <w:r w:rsidRPr="00EA1BB2">
              <w:rPr>
                <w:rFonts w:ascii="Cambria" w:eastAsia="Times New Roman" w:hAnsi="Cambria" w:cs="Times New Roman"/>
                <w:noProof/>
                <w:sz w:val="24"/>
                <w:szCs w:val="24"/>
              </w:rPr>
              <w:drawing>
                <wp:inline distT="0" distB="0" distL="0" distR="0" wp14:anchorId="3E04D235" wp14:editId="26520309">
                  <wp:extent cx="2562225" cy="1584000"/>
                  <wp:effectExtent l="0" t="0" r="9525" b="16510"/>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tc>
      </w:tr>
      <w:tr w:rsidR="00922A39" w:rsidRPr="00EA1BB2" w14:paraId="0FA31639" w14:textId="77777777" w:rsidTr="00795634">
        <w:tc>
          <w:tcPr>
            <w:tcW w:w="4508" w:type="dxa"/>
          </w:tcPr>
          <w:p w14:paraId="4B016235" w14:textId="77777777" w:rsidR="00922A39" w:rsidRPr="00EA1BB2" w:rsidRDefault="00922A39" w:rsidP="00795634">
            <w:pPr>
              <w:jc w:val="both"/>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9.</w:t>
            </w:r>
            <w:r w:rsidRPr="00EA1BB2">
              <w:rPr>
                <w:rFonts w:ascii="Cambria" w:eastAsia="Times New Roman" w:hAnsi="Cambria" w:cs="Times New Roman"/>
                <w:noProof/>
                <w:sz w:val="24"/>
                <w:szCs w:val="24"/>
              </w:rPr>
              <w:drawing>
                <wp:inline distT="0" distB="0" distL="0" distR="0" wp14:anchorId="74FADDC1" wp14:editId="571A183E">
                  <wp:extent cx="2562225" cy="1584000"/>
                  <wp:effectExtent l="0" t="0" r="9525" b="16510"/>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tc>
        <w:tc>
          <w:tcPr>
            <w:tcW w:w="4508" w:type="dxa"/>
          </w:tcPr>
          <w:p w14:paraId="0F216818" w14:textId="77777777" w:rsidR="00922A39" w:rsidRPr="00EA1BB2" w:rsidRDefault="00922A39" w:rsidP="00795634">
            <w:pPr>
              <w:jc w:val="both"/>
              <w:rPr>
                <w:rFonts w:ascii="Cambria" w:eastAsia="Times New Roman" w:hAnsi="Cambria" w:cs="Times New Roman"/>
                <w:sz w:val="24"/>
                <w:szCs w:val="24"/>
                <w:lang w:val="ro-RO"/>
              </w:rPr>
            </w:pPr>
          </w:p>
        </w:tc>
      </w:tr>
    </w:tbl>
    <w:p w14:paraId="7E983057" w14:textId="77777777" w:rsidR="00343667" w:rsidRPr="00EA1BB2" w:rsidRDefault="00343667" w:rsidP="00343667">
      <w:pPr>
        <w:spacing w:line="276" w:lineRule="auto"/>
        <w:jc w:val="both"/>
        <w:rPr>
          <w:rFonts w:ascii="Cambria" w:eastAsia="Times New Roman" w:hAnsi="Cambria" w:cs="Times New Roman"/>
          <w:szCs w:val="24"/>
        </w:rPr>
      </w:pPr>
      <w:r w:rsidRPr="00EA1BB2">
        <w:rPr>
          <w:rFonts w:ascii="Cambria" w:eastAsia="Times New Roman" w:hAnsi="Cambria" w:cs="Times New Roman"/>
          <w:szCs w:val="24"/>
        </w:rPr>
        <w:t>*cu excep</w:t>
      </w:r>
      <w:r w:rsidR="00054880" w:rsidRPr="00EA1BB2">
        <w:rPr>
          <w:rFonts w:ascii="Cambria" w:eastAsia="Times New Roman" w:hAnsi="Cambria" w:cs="Times New Roman"/>
          <w:szCs w:val="24"/>
        </w:rPr>
        <w:t>ț</w:t>
      </w:r>
      <w:r w:rsidRPr="00EA1BB2">
        <w:rPr>
          <w:rFonts w:ascii="Cambria" w:eastAsia="Times New Roman" w:hAnsi="Cambria" w:cs="Times New Roman"/>
          <w:szCs w:val="24"/>
        </w:rPr>
        <w:t>ia municipiului Brăila</w:t>
      </w:r>
    </w:p>
    <w:p w14:paraId="2F837D2E" w14:textId="77777777" w:rsidR="000D2B1A" w:rsidRPr="00EA1BB2" w:rsidRDefault="000D2B1A" w:rsidP="000D2B1A">
      <w:pPr>
        <w:spacing w:line="360" w:lineRule="auto"/>
        <w:ind w:firstLine="709"/>
        <w:jc w:val="both"/>
        <w:rPr>
          <w:rFonts w:ascii="Cambria" w:hAnsi="Cambria"/>
          <w:sz w:val="24"/>
        </w:rPr>
      </w:pPr>
      <w:r w:rsidRPr="00EA1BB2">
        <w:rPr>
          <w:rFonts w:ascii="Cambria" w:hAnsi="Cambria"/>
          <w:sz w:val="24"/>
        </w:rPr>
        <w:lastRenderedPageBreak/>
        <w:t>Din analiza ILE 2013, cel mai mare aport la emisia de PM</w:t>
      </w:r>
      <w:r w:rsidRPr="00EA1BB2">
        <w:rPr>
          <w:rFonts w:ascii="Cambria" w:hAnsi="Cambria"/>
          <w:sz w:val="24"/>
          <w:vertAlign w:val="subscript"/>
        </w:rPr>
        <w:t>10</w:t>
      </w:r>
      <w:r w:rsidRPr="00EA1BB2">
        <w:rPr>
          <w:rFonts w:ascii="Cambria" w:hAnsi="Cambria"/>
          <w:sz w:val="24"/>
        </w:rPr>
        <w:t xml:space="preserve"> din surse staționare, la nivelul județului Brăila, este din Asfaltarea drumurilor (cod NFR 2.A.6) </w:t>
      </w:r>
      <w:r w:rsidR="009D2BC0" w:rsidRPr="00EA1BB2">
        <w:rPr>
          <w:rFonts w:ascii="Cambria" w:hAnsi="Cambria"/>
          <w:sz w:val="24"/>
        </w:rPr>
        <w:t xml:space="preserve">cu o emisie de 491,652 tone în anul 2013 </w:t>
      </w:r>
      <w:r w:rsidR="009D2BC0" w:rsidRPr="00EA1BB2">
        <w:rPr>
          <w:rFonts w:ascii="Cambria" w:eastAsia="Times New Roman" w:hAnsi="Cambria" w:cs="Times New Roman"/>
          <w:sz w:val="24"/>
          <w:szCs w:val="24"/>
        </w:rPr>
        <w:t>(98% din totalul emisiei de PM</w:t>
      </w:r>
      <w:r w:rsidR="009D2BC0" w:rsidRPr="00EA1BB2">
        <w:rPr>
          <w:rFonts w:ascii="Cambria" w:eastAsia="Times New Roman" w:hAnsi="Cambria" w:cs="Times New Roman"/>
          <w:sz w:val="24"/>
          <w:szCs w:val="24"/>
          <w:vertAlign w:val="subscript"/>
        </w:rPr>
        <w:t>10</w:t>
      </w:r>
      <w:r w:rsidR="009D2BC0" w:rsidRPr="00EA1BB2">
        <w:rPr>
          <w:rFonts w:ascii="Cambria" w:eastAsia="Times New Roman" w:hAnsi="Cambria" w:cs="Times New Roman"/>
          <w:sz w:val="24"/>
          <w:szCs w:val="24"/>
        </w:rPr>
        <w:t xml:space="preserve">) </w:t>
      </w:r>
      <w:r w:rsidRPr="00EA1BB2">
        <w:rPr>
          <w:rFonts w:ascii="Cambria" w:hAnsi="Cambria"/>
          <w:sz w:val="24"/>
        </w:rPr>
        <w:t>și Incinerarea deșeurilor – crematorii (cod NFR 6.C.d) urmată de Comercial/Instituțional - încălzire comercială și instituțională (cod NFR 1.A.4.a.i) și Rezidențial - încălzire rezidențială, și prepararea hranei (cod NFR 1.A.4.b.i).</w:t>
      </w:r>
    </w:p>
    <w:p w14:paraId="6266260D" w14:textId="547501C6" w:rsidR="000D2B1A" w:rsidRPr="00EA1BB2" w:rsidRDefault="000D2B1A" w:rsidP="000D2B1A">
      <w:pPr>
        <w:spacing w:line="360" w:lineRule="auto"/>
        <w:ind w:firstLine="709"/>
        <w:jc w:val="both"/>
        <w:rPr>
          <w:rFonts w:ascii="Cambria" w:hAnsi="Cambria"/>
          <w:sz w:val="24"/>
        </w:rPr>
      </w:pPr>
      <w:r w:rsidRPr="00EA1BB2">
        <w:rPr>
          <w:rFonts w:ascii="Cambria" w:eastAsia="Times New Roman" w:hAnsi="Cambria" w:cs="Times New Roman"/>
          <w:sz w:val="24"/>
          <w:szCs w:val="24"/>
        </w:rPr>
        <w:t xml:space="preserve">Din analiza inventarului local de emisii pentru anul  de referință 2013, cel mai mare aport la emisia de CO din surse </w:t>
      </w:r>
      <w:r w:rsidR="009D2BC0" w:rsidRPr="00EA1BB2">
        <w:rPr>
          <w:rFonts w:ascii="Cambria" w:eastAsia="Times New Roman" w:hAnsi="Cambria" w:cs="Times New Roman"/>
          <w:sz w:val="24"/>
          <w:szCs w:val="24"/>
        </w:rPr>
        <w:t>staționare</w:t>
      </w:r>
      <w:r w:rsidRPr="00EA1BB2">
        <w:rPr>
          <w:rFonts w:ascii="Cambria" w:eastAsia="Times New Roman" w:hAnsi="Cambria" w:cs="Times New Roman"/>
          <w:sz w:val="24"/>
          <w:szCs w:val="24"/>
        </w:rPr>
        <w:t xml:space="preserve">, la nivelul județului Brăila este din Comercial/Instituțional - încălzire comercială și instituțională (cod NFR 1.A.4.a.i) </w:t>
      </w:r>
      <w:r w:rsidR="009D2BC0" w:rsidRPr="00EA1BB2">
        <w:rPr>
          <w:rFonts w:ascii="Cambria" w:eastAsia="Times New Roman" w:hAnsi="Cambria" w:cs="Times New Roman"/>
          <w:sz w:val="24"/>
          <w:szCs w:val="24"/>
        </w:rPr>
        <w:t xml:space="preserve">cu o emisie de 202,563 tone în anul 2013 (81% din totalul emisiei de CO) </w:t>
      </w:r>
      <w:r w:rsidRPr="00EA1BB2">
        <w:rPr>
          <w:rFonts w:ascii="Cambria" w:eastAsia="Times New Roman" w:hAnsi="Cambria" w:cs="Times New Roman"/>
          <w:sz w:val="24"/>
          <w:szCs w:val="24"/>
        </w:rPr>
        <w:t>și Arderi în industrii de fabricare și construcții - Alte surse staționare (cod NFR 1.A.2.f.i) urmată de</w:t>
      </w:r>
      <w:r w:rsidR="00BD06C5" w:rsidRPr="00EA1BB2">
        <w:rPr>
          <w:rFonts w:ascii="Cambria" w:eastAsia="Times New Roman" w:hAnsi="Cambria" w:cs="Times New Roman"/>
          <w:sz w:val="24"/>
          <w:szCs w:val="24"/>
        </w:rPr>
        <w:t xml:space="preserve"> </w:t>
      </w:r>
      <w:r w:rsidRPr="00EA1BB2">
        <w:rPr>
          <w:rFonts w:ascii="Cambria" w:eastAsia="Times New Roman" w:hAnsi="Cambria" w:cs="Times New Roman"/>
          <w:sz w:val="24"/>
          <w:szCs w:val="24"/>
        </w:rPr>
        <w:t>Rezidențial - încălzire rezidențială, și prepararea hranei (cod NFR 1.A.4.b.i) și Industria metalelor - Fabricare fontă și oțel (cod NFR 2.C.1).</w:t>
      </w:r>
    </w:p>
    <w:p w14:paraId="03CEA07C" w14:textId="77777777" w:rsidR="007D6713" w:rsidRPr="00EA1BB2" w:rsidRDefault="000D2B1A" w:rsidP="000D2B1A">
      <w:pPr>
        <w:spacing w:line="360" w:lineRule="auto"/>
        <w:ind w:firstLine="709"/>
        <w:jc w:val="both"/>
        <w:rPr>
          <w:rFonts w:ascii="Cambria" w:hAnsi="Cambria"/>
          <w:sz w:val="24"/>
        </w:rPr>
      </w:pPr>
      <w:r w:rsidRPr="00EA1BB2">
        <w:rPr>
          <w:rFonts w:ascii="Cambria" w:hAnsi="Cambria"/>
          <w:sz w:val="24"/>
        </w:rPr>
        <w:t xml:space="preserve">Cel mai mare aport la emisia de NOx din surse staționare, la nivelul județului Brăila, este din Comercial/Instituțional - încălzire comercială și instituțională (cod NFR 1.A.4.a.i) </w:t>
      </w:r>
      <w:r w:rsidR="0022078D" w:rsidRPr="00EA1BB2">
        <w:rPr>
          <w:rFonts w:ascii="Cambria" w:hAnsi="Cambria"/>
          <w:sz w:val="24"/>
        </w:rPr>
        <w:t xml:space="preserve">cu o emisie de 10,779 tone în anul 2013 (64% din totalul emisiei de NOx) </w:t>
      </w:r>
      <w:r w:rsidRPr="00EA1BB2">
        <w:rPr>
          <w:rFonts w:ascii="Cambria" w:hAnsi="Cambria"/>
          <w:sz w:val="24"/>
        </w:rPr>
        <w:t>și Arderi în industrii de fabricare și construcții - Alte surse staționare (cod NFR 1.A.2.f.i).</w:t>
      </w:r>
    </w:p>
    <w:p w14:paraId="28EF6DC5" w14:textId="77777777" w:rsidR="00B14572" w:rsidRPr="00EA1BB2" w:rsidRDefault="00B14572" w:rsidP="000D2B1A">
      <w:pPr>
        <w:spacing w:line="360" w:lineRule="auto"/>
        <w:ind w:firstLine="709"/>
        <w:jc w:val="both"/>
        <w:rPr>
          <w:rFonts w:ascii="Cambria" w:hAnsi="Cambria"/>
          <w:sz w:val="24"/>
        </w:rPr>
      </w:pPr>
    </w:p>
    <w:p w14:paraId="0452E54D" w14:textId="77777777" w:rsidR="00343667" w:rsidRPr="00EA1BB2" w:rsidRDefault="00343667" w:rsidP="00E859EF">
      <w:pPr>
        <w:pStyle w:val="Heading4"/>
        <w:numPr>
          <w:ilvl w:val="3"/>
          <w:numId w:val="1"/>
        </w:numPr>
        <w:spacing w:line="360" w:lineRule="auto"/>
        <w:ind w:hanging="579"/>
        <w:rPr>
          <w:color w:val="0070C0"/>
          <w:sz w:val="24"/>
        </w:rPr>
      </w:pPr>
      <w:bookmarkStart w:id="194" w:name="_Toc526889741"/>
      <w:r w:rsidRPr="00EA1BB2">
        <w:rPr>
          <w:color w:val="0070C0"/>
          <w:sz w:val="24"/>
        </w:rPr>
        <w:t>Surse de suprafa</w:t>
      </w:r>
      <w:r w:rsidR="00054880" w:rsidRPr="00EA1BB2">
        <w:rPr>
          <w:color w:val="0070C0"/>
          <w:sz w:val="24"/>
        </w:rPr>
        <w:t>ț</w:t>
      </w:r>
      <w:r w:rsidRPr="00EA1BB2">
        <w:rPr>
          <w:color w:val="0070C0"/>
          <w:sz w:val="24"/>
        </w:rPr>
        <w:t>ă</w:t>
      </w:r>
      <w:bookmarkEnd w:id="194"/>
    </w:p>
    <w:p w14:paraId="7B33806E" w14:textId="77777777" w:rsidR="00343667" w:rsidRPr="00EA1BB2" w:rsidRDefault="00343667" w:rsidP="00343667">
      <w:pPr>
        <w:pStyle w:val="Caption"/>
        <w:spacing w:after="0" w:line="360" w:lineRule="auto"/>
        <w:ind w:firstLine="708"/>
        <w:jc w:val="both"/>
        <w:rPr>
          <w:rFonts w:ascii="Cambria" w:eastAsia="Times New Roman" w:hAnsi="Cambria" w:cs="Times New Roman"/>
          <w:b w:val="0"/>
          <w:szCs w:val="24"/>
        </w:rPr>
      </w:pPr>
      <w:r w:rsidRPr="00EA1BB2">
        <w:rPr>
          <w:rFonts w:ascii="Cambria" w:eastAsia="Times New Roman" w:hAnsi="Cambria" w:cs="Times New Roman"/>
          <w:b w:val="0"/>
          <w:szCs w:val="24"/>
        </w:rPr>
        <w:t xml:space="preserve">Conform Procedurii pentru realizarea inventarelor locale de emisii </w:t>
      </w:r>
      <w:r w:rsidR="00054880" w:rsidRPr="00EA1BB2">
        <w:rPr>
          <w:rFonts w:ascii="Cambria" w:eastAsia="Times New Roman" w:hAnsi="Cambria" w:cs="Times New Roman"/>
          <w:b w:val="0"/>
          <w:szCs w:val="24"/>
        </w:rPr>
        <w:t>ș</w:t>
      </w:r>
      <w:r w:rsidRPr="00EA1BB2">
        <w:rPr>
          <w:rFonts w:ascii="Cambria" w:eastAsia="Times New Roman" w:hAnsi="Cambria" w:cs="Times New Roman"/>
          <w:b w:val="0"/>
          <w:szCs w:val="24"/>
        </w:rPr>
        <w:t>i a inventarului na</w:t>
      </w:r>
      <w:r w:rsidR="00054880" w:rsidRPr="00EA1BB2">
        <w:rPr>
          <w:rFonts w:ascii="Cambria" w:eastAsia="Times New Roman" w:hAnsi="Cambria" w:cs="Times New Roman"/>
          <w:b w:val="0"/>
          <w:szCs w:val="24"/>
        </w:rPr>
        <w:t>ț</w:t>
      </w:r>
      <w:r w:rsidRPr="00EA1BB2">
        <w:rPr>
          <w:rFonts w:ascii="Cambria" w:eastAsia="Times New Roman" w:hAnsi="Cambria" w:cs="Times New Roman"/>
          <w:b w:val="0"/>
          <w:szCs w:val="24"/>
        </w:rPr>
        <w:t>ional în conformitate cu cerin</w:t>
      </w:r>
      <w:r w:rsidR="00054880" w:rsidRPr="00EA1BB2">
        <w:rPr>
          <w:rFonts w:ascii="Cambria" w:eastAsia="Times New Roman" w:hAnsi="Cambria" w:cs="Times New Roman"/>
          <w:b w:val="0"/>
          <w:szCs w:val="24"/>
        </w:rPr>
        <w:t>ț</w:t>
      </w:r>
      <w:r w:rsidRPr="00EA1BB2">
        <w:rPr>
          <w:rFonts w:ascii="Cambria" w:eastAsia="Times New Roman" w:hAnsi="Cambria" w:cs="Times New Roman"/>
          <w:b w:val="0"/>
          <w:szCs w:val="24"/>
        </w:rPr>
        <w:t>ele Ghidului EMEP/</w:t>
      </w:r>
      <w:r w:rsidRPr="00EA1BB2">
        <w:rPr>
          <w:rFonts w:ascii="Cambria" w:eastAsia="Times New Roman" w:hAnsi="Cambria" w:cs="Times New Roman"/>
          <w:b w:val="0"/>
          <w:iCs w:val="0"/>
          <w:szCs w:val="24"/>
        </w:rPr>
        <w:t xml:space="preserve"> EEA, </w:t>
      </w:r>
      <w:r w:rsidRPr="00EA1BB2">
        <w:rPr>
          <w:rFonts w:ascii="Cambria" w:eastAsia="Times New Roman" w:hAnsi="Cambria" w:cs="Times New Roman"/>
          <w:b w:val="0"/>
          <w:szCs w:val="24"/>
        </w:rPr>
        <w:t>rezultatele analizei categoriilor de surse cheie, cumulate pe grupe de poluan</w:t>
      </w:r>
      <w:r w:rsidR="00054880" w:rsidRPr="00EA1BB2">
        <w:rPr>
          <w:rFonts w:ascii="Cambria" w:eastAsia="Times New Roman" w:hAnsi="Cambria" w:cs="Times New Roman"/>
          <w:b w:val="0"/>
          <w:szCs w:val="24"/>
        </w:rPr>
        <w:t>ț</w:t>
      </w:r>
      <w:r w:rsidRPr="00EA1BB2">
        <w:rPr>
          <w:rFonts w:ascii="Cambria" w:eastAsia="Times New Roman" w:hAnsi="Cambria" w:cs="Times New Roman"/>
          <w:b w:val="0"/>
          <w:szCs w:val="24"/>
        </w:rPr>
        <w:t>i, pentru anul de referin</w:t>
      </w:r>
      <w:r w:rsidR="00054880" w:rsidRPr="00EA1BB2">
        <w:rPr>
          <w:rFonts w:ascii="Cambria" w:eastAsia="Times New Roman" w:hAnsi="Cambria" w:cs="Times New Roman"/>
          <w:b w:val="0"/>
          <w:szCs w:val="24"/>
        </w:rPr>
        <w:t>ț</w:t>
      </w:r>
      <w:r w:rsidRPr="00EA1BB2">
        <w:rPr>
          <w:rFonts w:ascii="Cambria" w:eastAsia="Times New Roman" w:hAnsi="Cambria" w:cs="Times New Roman"/>
          <w:b w:val="0"/>
          <w:szCs w:val="24"/>
        </w:rPr>
        <w:t xml:space="preserve">ă 2013, au condus la identificarea </w:t>
      </w:r>
      <w:r w:rsidR="00564AD4" w:rsidRPr="00EA1BB2">
        <w:rPr>
          <w:rFonts w:ascii="Cambria" w:eastAsia="Times New Roman" w:hAnsi="Cambria" w:cs="Times New Roman"/>
          <w:b w:val="0"/>
          <w:szCs w:val="24"/>
        </w:rPr>
        <w:t>următoarele categorii de surse de emisie</w:t>
      </w:r>
      <w:r w:rsidRPr="00EA1BB2">
        <w:rPr>
          <w:rFonts w:ascii="Cambria" w:eastAsia="Times New Roman" w:hAnsi="Cambria" w:cs="Times New Roman"/>
          <w:b w:val="0"/>
          <w:szCs w:val="24"/>
        </w:rPr>
        <w:t>:</w:t>
      </w:r>
    </w:p>
    <w:p w14:paraId="01D2E46A" w14:textId="77777777" w:rsidR="006123ED" w:rsidRPr="00EA1BB2" w:rsidRDefault="006123ED" w:rsidP="00B73A99">
      <w:pPr>
        <w:numPr>
          <w:ilvl w:val="0"/>
          <w:numId w:val="33"/>
        </w:numPr>
        <w:spacing w:after="200" w:line="360" w:lineRule="auto"/>
        <w:ind w:left="993" w:hanging="426"/>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 xml:space="preserve">Grupa 1.A.2. – Arderi în industrii de fabricare și construcții; </w:t>
      </w:r>
    </w:p>
    <w:p w14:paraId="12917214" w14:textId="77777777" w:rsidR="00343667" w:rsidRPr="00EA1BB2" w:rsidRDefault="00343667" w:rsidP="00B73A99">
      <w:pPr>
        <w:numPr>
          <w:ilvl w:val="0"/>
          <w:numId w:val="33"/>
        </w:numPr>
        <w:spacing w:after="200" w:line="360" w:lineRule="auto"/>
        <w:ind w:left="993" w:hanging="426"/>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Grupa 1.A.4. – Arderi în surse sta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ionare de mică putere (institu</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ionale / comerciale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reziden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iale); </w:t>
      </w:r>
    </w:p>
    <w:p w14:paraId="70D22C40" w14:textId="77777777" w:rsidR="00343667" w:rsidRPr="00EA1BB2" w:rsidRDefault="00343667" w:rsidP="00B73A99">
      <w:pPr>
        <w:numPr>
          <w:ilvl w:val="0"/>
          <w:numId w:val="33"/>
        </w:numPr>
        <w:spacing w:after="200" w:line="360" w:lineRule="auto"/>
        <w:ind w:left="993" w:hanging="426"/>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Grupa 2.A.7</w:t>
      </w:r>
      <w:r w:rsidR="0012129B" w:rsidRPr="00EA1BB2">
        <w:rPr>
          <w:rFonts w:ascii="Cambria" w:eastAsia="Times New Roman" w:hAnsi="Cambria" w:cs="Times New Roman"/>
          <w:sz w:val="24"/>
          <w:szCs w:val="24"/>
        </w:rPr>
        <w:t>.b</w:t>
      </w:r>
      <w:r w:rsidRPr="00EA1BB2">
        <w:rPr>
          <w:rFonts w:ascii="Cambria" w:eastAsia="Times New Roman" w:hAnsi="Cambria" w:cs="Times New Roman"/>
          <w:sz w:val="24"/>
          <w:szCs w:val="24"/>
        </w:rPr>
        <w:t xml:space="preserve"> - Construc</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ii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demolări;</w:t>
      </w:r>
    </w:p>
    <w:p w14:paraId="49F892ED" w14:textId="77777777" w:rsidR="00343667" w:rsidRPr="00EA1BB2" w:rsidRDefault="00343667" w:rsidP="00B73A99">
      <w:pPr>
        <w:numPr>
          <w:ilvl w:val="0"/>
          <w:numId w:val="33"/>
        </w:numPr>
        <w:spacing w:line="360" w:lineRule="auto"/>
        <w:ind w:left="993" w:hanging="426"/>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Grupa 4.B.8 - Porcine</w:t>
      </w:r>
    </w:p>
    <w:p w14:paraId="60297BB7" w14:textId="77777777" w:rsidR="00343667" w:rsidRPr="00EA1BB2" w:rsidRDefault="00343667" w:rsidP="00B73A99">
      <w:pPr>
        <w:numPr>
          <w:ilvl w:val="0"/>
          <w:numId w:val="33"/>
        </w:numPr>
        <w:spacing w:line="360" w:lineRule="auto"/>
        <w:ind w:left="993" w:hanging="426"/>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Grupa 4.D.2.a – Opera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ii agricole efectuate în afara fermelor, inclusiv depozitarea, manevrarea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transportul produselor în vrac.</w:t>
      </w:r>
    </w:p>
    <w:p w14:paraId="327C11B8" w14:textId="77777777" w:rsidR="00483744" w:rsidRPr="00EA1BB2" w:rsidRDefault="00483744" w:rsidP="00483744">
      <w:pPr>
        <w:ind w:firstLine="709"/>
        <w:jc w:val="both"/>
        <w:rPr>
          <w:rFonts w:ascii="Cambria" w:eastAsia="Times New Roman" w:hAnsi="Cambria" w:cs="Times New Roman"/>
          <w:sz w:val="24"/>
          <w:szCs w:val="24"/>
        </w:rPr>
      </w:pPr>
    </w:p>
    <w:p w14:paraId="5CC08B72" w14:textId="77777777" w:rsidR="00483744" w:rsidRPr="00EA1BB2" w:rsidRDefault="00483744" w:rsidP="00343667">
      <w:pPr>
        <w:spacing w:line="360" w:lineRule="auto"/>
        <w:contextualSpacing/>
        <w:jc w:val="both"/>
        <w:rPr>
          <w:rFonts w:ascii="Cambria" w:eastAsia="Times New Roman" w:hAnsi="Cambria" w:cs="Times New Roman"/>
          <w:sz w:val="24"/>
          <w:szCs w:val="24"/>
        </w:rPr>
        <w:sectPr w:rsidR="00483744" w:rsidRPr="00EA1BB2" w:rsidSect="00C75800">
          <w:headerReference w:type="default" r:id="rId105"/>
          <w:footerReference w:type="default" r:id="rId106"/>
          <w:pgSz w:w="11906" w:h="16838" w:code="9"/>
          <w:pgMar w:top="1134" w:right="1418" w:bottom="1134" w:left="1418" w:header="283" w:footer="283" w:gutter="0"/>
          <w:cols w:space="708"/>
          <w:docGrid w:linePitch="360"/>
        </w:sectPr>
      </w:pPr>
    </w:p>
    <w:p w14:paraId="61B278D1" w14:textId="6D6CCD26" w:rsidR="00343667" w:rsidRPr="00EA1BB2" w:rsidRDefault="00343667" w:rsidP="00343667">
      <w:pPr>
        <w:pStyle w:val="Caption"/>
        <w:keepNext/>
        <w:spacing w:after="0" w:line="360" w:lineRule="auto"/>
        <w:ind w:firstLine="426"/>
        <w:jc w:val="both"/>
        <w:rPr>
          <w:rFonts w:ascii="Cambria" w:eastAsia="Times New Roman" w:hAnsi="Cambria" w:cs="Times New Roman"/>
          <w:szCs w:val="24"/>
        </w:rPr>
      </w:pPr>
      <w:bookmarkStart w:id="195" w:name="_Toc526889811"/>
      <w:r w:rsidRPr="00EA1BB2">
        <w:rPr>
          <w:rFonts w:ascii="Cambria" w:hAnsi="Cambria"/>
        </w:rPr>
        <w:lastRenderedPageBreak/>
        <w:t xml:space="preserve">Tabelul nr. </w:t>
      </w:r>
      <w:r w:rsidR="000A2FE7" w:rsidRPr="00EA1BB2">
        <w:rPr>
          <w:rFonts w:ascii="Cambria" w:hAnsi="Cambria"/>
        </w:rPr>
        <w:fldChar w:fldCharType="begin"/>
      </w:r>
      <w:r w:rsidR="000A2FE7" w:rsidRPr="00EA1BB2">
        <w:rPr>
          <w:rFonts w:ascii="Cambria" w:hAnsi="Cambria"/>
        </w:rPr>
        <w:instrText xml:space="preserve"> STYLEREF 1 \s </w:instrText>
      </w:r>
      <w:r w:rsidR="000A2FE7" w:rsidRPr="00EA1BB2">
        <w:rPr>
          <w:rFonts w:ascii="Cambria" w:hAnsi="Cambria"/>
        </w:rPr>
        <w:fldChar w:fldCharType="separate"/>
      </w:r>
      <w:r w:rsidR="00567555">
        <w:rPr>
          <w:rFonts w:ascii="Cambria" w:hAnsi="Cambria"/>
          <w:noProof/>
        </w:rPr>
        <w:t>3</w:t>
      </w:r>
      <w:r w:rsidR="000A2FE7" w:rsidRPr="00EA1BB2">
        <w:rPr>
          <w:rFonts w:ascii="Cambria" w:hAnsi="Cambria"/>
        </w:rPr>
        <w:fldChar w:fldCharType="end"/>
      </w:r>
      <w:r w:rsidR="000A2FE7" w:rsidRPr="00EA1BB2">
        <w:rPr>
          <w:rFonts w:ascii="Cambria" w:hAnsi="Cambria"/>
        </w:rPr>
        <w:noBreakHyphen/>
      </w:r>
      <w:r w:rsidR="000A2FE7" w:rsidRPr="00EA1BB2">
        <w:rPr>
          <w:rFonts w:ascii="Cambria" w:hAnsi="Cambria"/>
        </w:rPr>
        <w:fldChar w:fldCharType="begin"/>
      </w:r>
      <w:r w:rsidR="000A2FE7" w:rsidRPr="00EA1BB2">
        <w:rPr>
          <w:rFonts w:ascii="Cambria" w:hAnsi="Cambria"/>
        </w:rPr>
        <w:instrText xml:space="preserve"> SEQ Tabelul_nr. \* ARABIC \s 1 </w:instrText>
      </w:r>
      <w:r w:rsidR="000A2FE7" w:rsidRPr="00EA1BB2">
        <w:rPr>
          <w:rFonts w:ascii="Cambria" w:hAnsi="Cambria"/>
        </w:rPr>
        <w:fldChar w:fldCharType="separate"/>
      </w:r>
      <w:r w:rsidR="00567555">
        <w:rPr>
          <w:rFonts w:ascii="Cambria" w:hAnsi="Cambria"/>
          <w:noProof/>
        </w:rPr>
        <w:t>42</w:t>
      </w:r>
      <w:r w:rsidR="000A2FE7" w:rsidRPr="00EA1BB2">
        <w:rPr>
          <w:rFonts w:ascii="Cambria" w:hAnsi="Cambria"/>
        </w:rPr>
        <w:fldChar w:fldCharType="end"/>
      </w:r>
      <w:r w:rsidRPr="00EA1BB2">
        <w:rPr>
          <w:rFonts w:ascii="Cambria" w:hAnsi="Cambria"/>
        </w:rPr>
        <w:t xml:space="preserve"> - Emisii provenite din sursele de suprafa</w:t>
      </w:r>
      <w:r w:rsidR="00054880" w:rsidRPr="00EA1BB2">
        <w:rPr>
          <w:rFonts w:ascii="Cambria" w:hAnsi="Cambria"/>
        </w:rPr>
        <w:t>ț</w:t>
      </w:r>
      <w:r w:rsidRPr="00EA1BB2">
        <w:rPr>
          <w:rFonts w:ascii="Cambria" w:hAnsi="Cambria"/>
        </w:rPr>
        <w:t>ă din jude</w:t>
      </w:r>
      <w:r w:rsidR="00054880" w:rsidRPr="00EA1BB2">
        <w:rPr>
          <w:rFonts w:ascii="Cambria" w:hAnsi="Cambria"/>
        </w:rPr>
        <w:t>ț</w:t>
      </w:r>
      <w:r w:rsidRPr="00EA1BB2">
        <w:rPr>
          <w:rFonts w:ascii="Cambria" w:hAnsi="Cambria"/>
        </w:rPr>
        <w:t>ul Brăila, în anul de referin</w:t>
      </w:r>
      <w:r w:rsidR="00054880" w:rsidRPr="00EA1BB2">
        <w:rPr>
          <w:rFonts w:ascii="Cambria" w:hAnsi="Cambria"/>
        </w:rPr>
        <w:t>ț</w:t>
      </w:r>
      <w:r w:rsidRPr="00EA1BB2">
        <w:rPr>
          <w:rFonts w:ascii="Cambria" w:hAnsi="Cambria"/>
        </w:rPr>
        <w:t>ă 2013 (g/an)</w:t>
      </w:r>
      <w:bookmarkEnd w:id="195"/>
    </w:p>
    <w:tbl>
      <w:tblPr>
        <w:tblStyle w:val="TableGrid"/>
        <w:tblW w:w="5287" w:type="pct"/>
        <w:jc w:val="center"/>
        <w:tblLook w:val="04A0" w:firstRow="1" w:lastRow="0" w:firstColumn="1" w:lastColumn="0" w:noHBand="0" w:noVBand="1"/>
      </w:tblPr>
      <w:tblGrid>
        <w:gridCol w:w="1501"/>
        <w:gridCol w:w="1504"/>
        <w:gridCol w:w="1504"/>
        <w:gridCol w:w="1504"/>
        <w:gridCol w:w="1504"/>
        <w:gridCol w:w="1504"/>
        <w:gridCol w:w="1504"/>
        <w:gridCol w:w="1503"/>
        <w:gridCol w:w="1503"/>
        <w:gridCol w:w="1503"/>
      </w:tblGrid>
      <w:tr w:rsidR="00922A39" w:rsidRPr="00EA1BB2" w14:paraId="77F4F724" w14:textId="77777777" w:rsidTr="00922A39">
        <w:trPr>
          <w:trHeight w:val="300"/>
          <w:jc w:val="center"/>
        </w:trPr>
        <w:tc>
          <w:tcPr>
            <w:tcW w:w="499" w:type="pct"/>
            <w:shd w:val="clear" w:color="auto" w:fill="BDD6EE" w:themeFill="accent1" w:themeFillTint="66"/>
            <w:noWrap/>
            <w:vAlign w:val="center"/>
            <w:hideMark/>
          </w:tcPr>
          <w:p w14:paraId="16D1D30E" w14:textId="77777777" w:rsidR="00922A39" w:rsidRPr="00EA1BB2" w:rsidRDefault="00922A39" w:rsidP="00343667">
            <w:pPr>
              <w:spacing w:line="360" w:lineRule="auto"/>
              <w:jc w:val="center"/>
              <w:rPr>
                <w:rFonts w:ascii="Cambria" w:hAnsi="Cambria"/>
                <w:b/>
                <w:sz w:val="24"/>
                <w:lang w:val="ro-RO"/>
              </w:rPr>
            </w:pPr>
            <w:r w:rsidRPr="00EA1BB2">
              <w:rPr>
                <w:rFonts w:ascii="Cambria" w:hAnsi="Cambria"/>
                <w:b/>
                <w:sz w:val="24"/>
                <w:lang w:val="ro-RO"/>
              </w:rPr>
              <w:t xml:space="preserve">Cod </w:t>
            </w:r>
          </w:p>
          <w:p w14:paraId="0A9A6D7F" w14:textId="77777777" w:rsidR="00922A39" w:rsidRPr="00EA1BB2" w:rsidRDefault="00922A39" w:rsidP="00343667">
            <w:pPr>
              <w:spacing w:line="360" w:lineRule="auto"/>
              <w:jc w:val="center"/>
              <w:rPr>
                <w:rFonts w:ascii="Cambria" w:hAnsi="Cambria"/>
                <w:b/>
                <w:sz w:val="24"/>
                <w:lang w:val="ro-RO"/>
              </w:rPr>
            </w:pPr>
            <w:r w:rsidRPr="00EA1BB2">
              <w:rPr>
                <w:rFonts w:ascii="Cambria" w:hAnsi="Cambria"/>
                <w:b/>
                <w:sz w:val="24"/>
                <w:lang w:val="ro-RO"/>
              </w:rPr>
              <w:t>NFR</w:t>
            </w:r>
          </w:p>
        </w:tc>
        <w:tc>
          <w:tcPr>
            <w:tcW w:w="500" w:type="pct"/>
            <w:shd w:val="clear" w:color="auto" w:fill="BDD6EE" w:themeFill="accent1" w:themeFillTint="66"/>
            <w:noWrap/>
            <w:vAlign w:val="center"/>
            <w:hideMark/>
          </w:tcPr>
          <w:p w14:paraId="61675775" w14:textId="77777777" w:rsidR="00922A39" w:rsidRPr="00EA1BB2" w:rsidRDefault="00922A39" w:rsidP="00F22F3B">
            <w:pPr>
              <w:spacing w:line="360" w:lineRule="auto"/>
              <w:jc w:val="center"/>
              <w:rPr>
                <w:rFonts w:ascii="Cambria" w:hAnsi="Cambria"/>
                <w:b/>
                <w:sz w:val="24"/>
                <w:lang w:val="ro-RO"/>
              </w:rPr>
            </w:pPr>
            <w:r w:rsidRPr="00EA1BB2">
              <w:rPr>
                <w:rFonts w:ascii="Cambria" w:hAnsi="Cambria"/>
                <w:b/>
                <w:sz w:val="24"/>
                <w:lang w:val="ro-RO"/>
              </w:rPr>
              <w:t>As</w:t>
            </w:r>
          </w:p>
        </w:tc>
        <w:tc>
          <w:tcPr>
            <w:tcW w:w="500" w:type="pct"/>
            <w:shd w:val="clear" w:color="auto" w:fill="BDD6EE" w:themeFill="accent1" w:themeFillTint="66"/>
            <w:noWrap/>
            <w:vAlign w:val="center"/>
            <w:hideMark/>
          </w:tcPr>
          <w:p w14:paraId="549317CB" w14:textId="77777777" w:rsidR="00922A39" w:rsidRPr="00EA1BB2" w:rsidRDefault="00922A39" w:rsidP="00343667">
            <w:pPr>
              <w:spacing w:line="360" w:lineRule="auto"/>
              <w:jc w:val="center"/>
              <w:rPr>
                <w:rFonts w:ascii="Cambria" w:hAnsi="Cambria"/>
                <w:b/>
                <w:sz w:val="24"/>
                <w:lang w:val="ro-RO"/>
              </w:rPr>
            </w:pPr>
            <w:r w:rsidRPr="00EA1BB2">
              <w:rPr>
                <w:rFonts w:ascii="Cambria" w:hAnsi="Cambria"/>
                <w:b/>
                <w:sz w:val="24"/>
                <w:lang w:val="ro-RO"/>
              </w:rPr>
              <w:t>Cd</w:t>
            </w:r>
          </w:p>
        </w:tc>
        <w:tc>
          <w:tcPr>
            <w:tcW w:w="500" w:type="pct"/>
            <w:shd w:val="clear" w:color="auto" w:fill="BDD6EE" w:themeFill="accent1" w:themeFillTint="66"/>
            <w:noWrap/>
            <w:vAlign w:val="center"/>
            <w:hideMark/>
          </w:tcPr>
          <w:p w14:paraId="2A049CFD" w14:textId="77777777" w:rsidR="00922A39" w:rsidRPr="00EA1BB2" w:rsidRDefault="00922A39" w:rsidP="00343667">
            <w:pPr>
              <w:spacing w:line="360" w:lineRule="auto"/>
              <w:jc w:val="center"/>
              <w:rPr>
                <w:rFonts w:ascii="Cambria" w:hAnsi="Cambria"/>
                <w:b/>
                <w:sz w:val="24"/>
                <w:lang w:val="ro-RO"/>
              </w:rPr>
            </w:pPr>
            <w:r w:rsidRPr="00EA1BB2">
              <w:rPr>
                <w:rFonts w:ascii="Cambria" w:hAnsi="Cambria"/>
                <w:b/>
                <w:sz w:val="24"/>
                <w:lang w:val="ro-RO"/>
              </w:rPr>
              <w:t>CO</w:t>
            </w:r>
          </w:p>
        </w:tc>
        <w:tc>
          <w:tcPr>
            <w:tcW w:w="500" w:type="pct"/>
            <w:shd w:val="clear" w:color="auto" w:fill="BDD6EE" w:themeFill="accent1" w:themeFillTint="66"/>
            <w:noWrap/>
            <w:vAlign w:val="center"/>
            <w:hideMark/>
          </w:tcPr>
          <w:p w14:paraId="0E077260" w14:textId="77777777" w:rsidR="00922A39" w:rsidRPr="00EA1BB2" w:rsidRDefault="00922A39" w:rsidP="00343667">
            <w:pPr>
              <w:spacing w:line="360" w:lineRule="auto"/>
              <w:jc w:val="center"/>
              <w:rPr>
                <w:rFonts w:ascii="Cambria" w:hAnsi="Cambria"/>
                <w:b/>
                <w:sz w:val="24"/>
                <w:lang w:val="ro-RO"/>
              </w:rPr>
            </w:pPr>
            <w:r w:rsidRPr="00EA1BB2">
              <w:rPr>
                <w:rFonts w:ascii="Cambria" w:hAnsi="Cambria"/>
                <w:b/>
                <w:sz w:val="24"/>
                <w:lang w:val="ro-RO"/>
              </w:rPr>
              <w:t>Ni</w:t>
            </w:r>
          </w:p>
        </w:tc>
        <w:tc>
          <w:tcPr>
            <w:tcW w:w="500" w:type="pct"/>
            <w:shd w:val="clear" w:color="auto" w:fill="BDD6EE" w:themeFill="accent1" w:themeFillTint="66"/>
            <w:noWrap/>
            <w:vAlign w:val="center"/>
            <w:hideMark/>
          </w:tcPr>
          <w:p w14:paraId="4EBB85E5" w14:textId="77777777" w:rsidR="00922A39" w:rsidRPr="00EA1BB2" w:rsidRDefault="00922A39" w:rsidP="00343667">
            <w:pPr>
              <w:spacing w:line="360" w:lineRule="auto"/>
              <w:jc w:val="center"/>
              <w:rPr>
                <w:rFonts w:ascii="Cambria" w:hAnsi="Cambria"/>
                <w:b/>
                <w:sz w:val="24"/>
                <w:lang w:val="ro-RO"/>
              </w:rPr>
            </w:pPr>
            <w:r w:rsidRPr="00EA1BB2">
              <w:rPr>
                <w:rFonts w:ascii="Cambria" w:hAnsi="Cambria"/>
                <w:b/>
                <w:sz w:val="24"/>
                <w:lang w:val="ro-RO"/>
              </w:rPr>
              <w:t>NOx*</w:t>
            </w:r>
          </w:p>
        </w:tc>
        <w:tc>
          <w:tcPr>
            <w:tcW w:w="500" w:type="pct"/>
            <w:shd w:val="clear" w:color="auto" w:fill="BDD6EE" w:themeFill="accent1" w:themeFillTint="66"/>
            <w:noWrap/>
            <w:vAlign w:val="center"/>
            <w:hideMark/>
          </w:tcPr>
          <w:p w14:paraId="0B0C84CD" w14:textId="77777777" w:rsidR="00922A39" w:rsidRPr="00EA1BB2" w:rsidRDefault="00922A39" w:rsidP="00343667">
            <w:pPr>
              <w:spacing w:line="360" w:lineRule="auto"/>
              <w:jc w:val="center"/>
              <w:rPr>
                <w:rFonts w:ascii="Cambria" w:hAnsi="Cambria"/>
                <w:b/>
                <w:sz w:val="24"/>
                <w:lang w:val="ro-RO"/>
              </w:rPr>
            </w:pPr>
            <w:r w:rsidRPr="00EA1BB2">
              <w:rPr>
                <w:rFonts w:ascii="Cambria" w:hAnsi="Cambria"/>
                <w:b/>
                <w:sz w:val="24"/>
                <w:lang w:val="ro-RO"/>
              </w:rPr>
              <w:t>Pb</w:t>
            </w:r>
          </w:p>
        </w:tc>
        <w:tc>
          <w:tcPr>
            <w:tcW w:w="500" w:type="pct"/>
            <w:shd w:val="clear" w:color="auto" w:fill="BDD6EE" w:themeFill="accent1" w:themeFillTint="66"/>
            <w:noWrap/>
            <w:vAlign w:val="center"/>
            <w:hideMark/>
          </w:tcPr>
          <w:p w14:paraId="7A4F6172" w14:textId="77777777" w:rsidR="00922A39" w:rsidRPr="00EA1BB2" w:rsidRDefault="00922A39" w:rsidP="00343667">
            <w:pPr>
              <w:spacing w:line="360" w:lineRule="auto"/>
              <w:jc w:val="center"/>
              <w:rPr>
                <w:rFonts w:ascii="Cambria" w:hAnsi="Cambria"/>
                <w:b/>
                <w:sz w:val="24"/>
                <w:lang w:val="ro-RO"/>
              </w:rPr>
            </w:pPr>
            <w:r w:rsidRPr="00EA1BB2">
              <w:rPr>
                <w:rFonts w:ascii="Cambria" w:hAnsi="Cambria"/>
                <w:b/>
                <w:sz w:val="24"/>
                <w:lang w:val="ro-RO"/>
              </w:rPr>
              <w:t>PM</w:t>
            </w:r>
            <w:r w:rsidRPr="00EA1BB2">
              <w:rPr>
                <w:rFonts w:ascii="Cambria" w:hAnsi="Cambria"/>
                <w:b/>
                <w:sz w:val="24"/>
                <w:vertAlign w:val="subscript"/>
                <w:lang w:val="ro-RO"/>
              </w:rPr>
              <w:t>10</w:t>
            </w:r>
          </w:p>
        </w:tc>
        <w:tc>
          <w:tcPr>
            <w:tcW w:w="500" w:type="pct"/>
            <w:shd w:val="clear" w:color="auto" w:fill="BDD6EE" w:themeFill="accent1" w:themeFillTint="66"/>
            <w:noWrap/>
            <w:vAlign w:val="center"/>
            <w:hideMark/>
          </w:tcPr>
          <w:p w14:paraId="525A3C5D" w14:textId="77777777" w:rsidR="00922A39" w:rsidRPr="00EA1BB2" w:rsidRDefault="00922A39" w:rsidP="00343667">
            <w:pPr>
              <w:spacing w:line="360" w:lineRule="auto"/>
              <w:jc w:val="center"/>
              <w:rPr>
                <w:rFonts w:ascii="Cambria" w:hAnsi="Cambria"/>
                <w:b/>
                <w:sz w:val="24"/>
                <w:lang w:val="ro-RO"/>
              </w:rPr>
            </w:pPr>
            <w:r w:rsidRPr="00EA1BB2">
              <w:rPr>
                <w:rFonts w:ascii="Cambria" w:hAnsi="Cambria"/>
                <w:b/>
                <w:sz w:val="24"/>
                <w:lang w:val="ro-RO"/>
              </w:rPr>
              <w:t>PM</w:t>
            </w:r>
            <w:r w:rsidRPr="00EA1BB2">
              <w:rPr>
                <w:rFonts w:ascii="Cambria" w:hAnsi="Cambria"/>
                <w:b/>
                <w:sz w:val="24"/>
                <w:vertAlign w:val="subscript"/>
                <w:lang w:val="ro-RO"/>
              </w:rPr>
              <w:t>2,5</w:t>
            </w:r>
          </w:p>
        </w:tc>
        <w:tc>
          <w:tcPr>
            <w:tcW w:w="500" w:type="pct"/>
            <w:shd w:val="clear" w:color="auto" w:fill="BDD6EE" w:themeFill="accent1" w:themeFillTint="66"/>
            <w:noWrap/>
            <w:vAlign w:val="center"/>
            <w:hideMark/>
          </w:tcPr>
          <w:p w14:paraId="6ACA8FA1" w14:textId="77777777" w:rsidR="00922A39" w:rsidRPr="00EA1BB2" w:rsidRDefault="00922A39" w:rsidP="00343667">
            <w:pPr>
              <w:spacing w:line="360" w:lineRule="auto"/>
              <w:jc w:val="center"/>
              <w:rPr>
                <w:rFonts w:ascii="Cambria" w:hAnsi="Cambria"/>
                <w:b/>
                <w:sz w:val="24"/>
                <w:lang w:val="ro-RO"/>
              </w:rPr>
            </w:pPr>
            <w:r w:rsidRPr="00EA1BB2">
              <w:rPr>
                <w:rFonts w:ascii="Cambria" w:hAnsi="Cambria"/>
                <w:b/>
                <w:sz w:val="24"/>
                <w:lang w:val="ro-RO"/>
              </w:rPr>
              <w:t>SOx</w:t>
            </w:r>
          </w:p>
        </w:tc>
      </w:tr>
      <w:tr w:rsidR="00922A39" w:rsidRPr="00EA1BB2" w14:paraId="3ED45176" w14:textId="77777777" w:rsidTr="00922A39">
        <w:trPr>
          <w:trHeight w:val="300"/>
          <w:jc w:val="center"/>
        </w:trPr>
        <w:tc>
          <w:tcPr>
            <w:tcW w:w="499" w:type="pct"/>
            <w:noWrap/>
            <w:hideMark/>
          </w:tcPr>
          <w:p w14:paraId="0BBA1066" w14:textId="77777777" w:rsidR="00922A39" w:rsidRPr="00EA1BB2" w:rsidRDefault="00922A39" w:rsidP="00692EDC">
            <w:pPr>
              <w:spacing w:line="360" w:lineRule="auto"/>
              <w:rPr>
                <w:rFonts w:ascii="Cambria" w:hAnsi="Cambria"/>
                <w:lang w:val="ro-RO"/>
              </w:rPr>
            </w:pPr>
            <w:r w:rsidRPr="00EA1BB2">
              <w:rPr>
                <w:rFonts w:ascii="Cambria" w:hAnsi="Cambria"/>
                <w:lang w:val="ro-RO"/>
              </w:rPr>
              <w:t>1.A.2.e</w:t>
            </w:r>
          </w:p>
        </w:tc>
        <w:tc>
          <w:tcPr>
            <w:tcW w:w="500" w:type="pct"/>
            <w:noWrap/>
          </w:tcPr>
          <w:p w14:paraId="7C13D751" w14:textId="77777777" w:rsidR="00922A39" w:rsidRPr="00EA1BB2" w:rsidRDefault="00922A39" w:rsidP="00692EDC">
            <w:pPr>
              <w:spacing w:line="360" w:lineRule="auto"/>
              <w:jc w:val="center"/>
              <w:rPr>
                <w:rFonts w:ascii="Cambria" w:hAnsi="Cambria"/>
                <w:lang w:val="ro-RO"/>
              </w:rPr>
            </w:pPr>
            <w:r w:rsidRPr="00EA1BB2">
              <w:rPr>
                <w:rFonts w:ascii="Cambria" w:hAnsi="Cambria"/>
                <w:lang w:val="ro-RO"/>
              </w:rPr>
              <w:t>0,03158324</w:t>
            </w:r>
          </w:p>
        </w:tc>
        <w:tc>
          <w:tcPr>
            <w:tcW w:w="500" w:type="pct"/>
            <w:noWrap/>
          </w:tcPr>
          <w:p w14:paraId="20383C75" w14:textId="77777777" w:rsidR="00922A39" w:rsidRPr="00EA1BB2" w:rsidRDefault="00922A39" w:rsidP="00692EDC">
            <w:pPr>
              <w:spacing w:line="360" w:lineRule="auto"/>
              <w:jc w:val="center"/>
              <w:rPr>
                <w:rFonts w:ascii="Cambria" w:hAnsi="Cambria"/>
                <w:lang w:val="ro-RO"/>
              </w:rPr>
            </w:pPr>
            <w:r w:rsidRPr="00EA1BB2">
              <w:rPr>
                <w:rFonts w:ascii="Cambria" w:hAnsi="Cambria"/>
                <w:lang w:val="ro-RO"/>
              </w:rPr>
              <w:t>0,17471582</w:t>
            </w:r>
          </w:p>
        </w:tc>
        <w:tc>
          <w:tcPr>
            <w:tcW w:w="500" w:type="pct"/>
            <w:noWrap/>
          </w:tcPr>
          <w:p w14:paraId="28741C10" w14:textId="77777777" w:rsidR="00922A39" w:rsidRPr="00EA1BB2" w:rsidRDefault="00922A39" w:rsidP="00692EDC">
            <w:pPr>
              <w:spacing w:line="360" w:lineRule="auto"/>
              <w:jc w:val="center"/>
              <w:rPr>
                <w:rFonts w:ascii="Cambria" w:hAnsi="Cambria"/>
                <w:lang w:val="ro-RO"/>
              </w:rPr>
            </w:pPr>
            <w:r w:rsidRPr="00EA1BB2">
              <w:rPr>
                <w:rFonts w:ascii="Cambria" w:hAnsi="Cambria"/>
                <w:lang w:val="ro-RO"/>
              </w:rPr>
              <w:t>6719,839121</w:t>
            </w:r>
          </w:p>
        </w:tc>
        <w:tc>
          <w:tcPr>
            <w:tcW w:w="500" w:type="pct"/>
            <w:noWrap/>
          </w:tcPr>
          <w:p w14:paraId="09655733" w14:textId="77777777" w:rsidR="00922A39" w:rsidRPr="00EA1BB2" w:rsidRDefault="00922A39" w:rsidP="00692EDC">
            <w:pPr>
              <w:spacing w:line="360" w:lineRule="auto"/>
              <w:jc w:val="center"/>
              <w:rPr>
                <w:rFonts w:ascii="Cambria" w:hAnsi="Cambria"/>
                <w:lang w:val="ro-RO"/>
              </w:rPr>
            </w:pPr>
            <w:r w:rsidRPr="00EA1BB2">
              <w:rPr>
                <w:rFonts w:ascii="Cambria" w:hAnsi="Cambria"/>
                <w:lang w:val="ro-RO"/>
              </w:rPr>
              <w:t>0,33061608</w:t>
            </w:r>
          </w:p>
        </w:tc>
        <w:tc>
          <w:tcPr>
            <w:tcW w:w="500" w:type="pct"/>
            <w:noWrap/>
          </w:tcPr>
          <w:p w14:paraId="0FCEFAA6" w14:textId="77777777" w:rsidR="00922A39" w:rsidRPr="00EA1BB2" w:rsidRDefault="00922A39" w:rsidP="00692EDC">
            <w:pPr>
              <w:spacing w:line="360" w:lineRule="auto"/>
              <w:jc w:val="center"/>
              <w:rPr>
                <w:rFonts w:ascii="Cambria" w:hAnsi="Cambria"/>
                <w:lang w:val="ro-RO"/>
              </w:rPr>
            </w:pPr>
          </w:p>
        </w:tc>
        <w:tc>
          <w:tcPr>
            <w:tcW w:w="500" w:type="pct"/>
            <w:noWrap/>
          </w:tcPr>
          <w:p w14:paraId="127271D9" w14:textId="77777777" w:rsidR="00922A39" w:rsidRPr="00EA1BB2" w:rsidRDefault="00922A39" w:rsidP="00692EDC">
            <w:pPr>
              <w:spacing w:line="360" w:lineRule="auto"/>
              <w:jc w:val="center"/>
              <w:rPr>
                <w:rFonts w:ascii="Cambria" w:hAnsi="Cambria"/>
                <w:lang w:val="ro-RO"/>
              </w:rPr>
            </w:pPr>
            <w:r w:rsidRPr="00EA1BB2">
              <w:rPr>
                <w:rFonts w:ascii="Cambria" w:hAnsi="Cambria"/>
                <w:lang w:val="ro-RO"/>
              </w:rPr>
              <w:t>0,32927212</w:t>
            </w:r>
          </w:p>
        </w:tc>
        <w:tc>
          <w:tcPr>
            <w:tcW w:w="500" w:type="pct"/>
            <w:noWrap/>
          </w:tcPr>
          <w:p w14:paraId="4B864682" w14:textId="77777777" w:rsidR="00922A39" w:rsidRPr="00EA1BB2" w:rsidRDefault="00922A39" w:rsidP="00692EDC">
            <w:pPr>
              <w:spacing w:line="360" w:lineRule="auto"/>
              <w:jc w:val="center"/>
              <w:rPr>
                <w:rFonts w:ascii="Cambria" w:hAnsi="Cambria"/>
                <w:lang w:val="ro-RO"/>
              </w:rPr>
            </w:pPr>
            <w:r w:rsidRPr="00EA1BB2">
              <w:rPr>
                <w:rFonts w:ascii="Cambria" w:hAnsi="Cambria"/>
                <w:lang w:val="ro-RO"/>
              </w:rPr>
              <w:t>167,995978</w:t>
            </w:r>
          </w:p>
        </w:tc>
        <w:tc>
          <w:tcPr>
            <w:tcW w:w="500" w:type="pct"/>
            <w:noWrap/>
          </w:tcPr>
          <w:p w14:paraId="794BB74C" w14:textId="77777777" w:rsidR="00922A39" w:rsidRPr="00EA1BB2" w:rsidRDefault="00922A39" w:rsidP="00692EDC">
            <w:pPr>
              <w:spacing w:line="360" w:lineRule="auto"/>
              <w:jc w:val="center"/>
              <w:rPr>
                <w:rFonts w:ascii="Cambria" w:hAnsi="Cambria"/>
                <w:lang w:val="ro-RO"/>
              </w:rPr>
            </w:pPr>
            <w:r w:rsidRPr="00EA1BB2">
              <w:rPr>
                <w:rFonts w:ascii="Cambria" w:hAnsi="Cambria"/>
                <w:lang w:val="ro-RO"/>
              </w:rPr>
              <w:t>167,995978</w:t>
            </w:r>
          </w:p>
        </w:tc>
        <w:tc>
          <w:tcPr>
            <w:tcW w:w="500" w:type="pct"/>
            <w:noWrap/>
          </w:tcPr>
          <w:p w14:paraId="68C3E926" w14:textId="77777777" w:rsidR="00922A39" w:rsidRPr="00EA1BB2" w:rsidRDefault="00922A39" w:rsidP="00692EDC">
            <w:pPr>
              <w:spacing w:line="360" w:lineRule="auto"/>
              <w:jc w:val="center"/>
              <w:rPr>
                <w:rFonts w:ascii="Cambria" w:hAnsi="Cambria"/>
                <w:lang w:val="ro-RO"/>
              </w:rPr>
            </w:pPr>
            <w:r w:rsidRPr="00EA1BB2">
              <w:rPr>
                <w:rFonts w:ascii="Cambria" w:hAnsi="Cambria"/>
                <w:lang w:val="ro-RO"/>
              </w:rPr>
              <w:t>167,995978</w:t>
            </w:r>
          </w:p>
        </w:tc>
      </w:tr>
      <w:tr w:rsidR="00922A39" w:rsidRPr="00EA1BB2" w14:paraId="55A2825B" w14:textId="77777777" w:rsidTr="00922A39">
        <w:trPr>
          <w:trHeight w:val="300"/>
          <w:jc w:val="center"/>
        </w:trPr>
        <w:tc>
          <w:tcPr>
            <w:tcW w:w="499" w:type="pct"/>
            <w:noWrap/>
          </w:tcPr>
          <w:p w14:paraId="724602F7" w14:textId="77777777" w:rsidR="00922A39" w:rsidRPr="00EA1BB2" w:rsidRDefault="00922A39" w:rsidP="00246346">
            <w:pPr>
              <w:spacing w:line="360" w:lineRule="auto"/>
              <w:rPr>
                <w:rFonts w:ascii="Cambria" w:hAnsi="Cambria"/>
                <w:lang w:val="ro-RO"/>
              </w:rPr>
            </w:pPr>
            <w:r w:rsidRPr="00EA1BB2">
              <w:rPr>
                <w:rFonts w:ascii="Cambria" w:hAnsi="Cambria"/>
                <w:lang w:val="ro-RO"/>
              </w:rPr>
              <w:t>1.A.2.f.ii</w:t>
            </w:r>
          </w:p>
        </w:tc>
        <w:tc>
          <w:tcPr>
            <w:tcW w:w="500" w:type="pct"/>
            <w:noWrap/>
          </w:tcPr>
          <w:p w14:paraId="02ECBB8A" w14:textId="77777777" w:rsidR="00922A39" w:rsidRPr="00EA1BB2" w:rsidRDefault="00922A39" w:rsidP="00246346">
            <w:pPr>
              <w:spacing w:line="360" w:lineRule="auto"/>
              <w:jc w:val="center"/>
              <w:rPr>
                <w:rFonts w:ascii="Cambria" w:hAnsi="Cambria"/>
                <w:lang w:val="ro-RO"/>
              </w:rPr>
            </w:pPr>
          </w:p>
        </w:tc>
        <w:tc>
          <w:tcPr>
            <w:tcW w:w="500" w:type="pct"/>
            <w:noWrap/>
          </w:tcPr>
          <w:p w14:paraId="4EE34FB5" w14:textId="77777777" w:rsidR="00922A39" w:rsidRPr="00EA1BB2" w:rsidRDefault="00922A39" w:rsidP="00246346">
            <w:pPr>
              <w:spacing w:line="360" w:lineRule="auto"/>
              <w:jc w:val="center"/>
              <w:rPr>
                <w:rFonts w:ascii="Cambria" w:hAnsi="Cambria"/>
                <w:lang w:val="ro-RO"/>
              </w:rPr>
            </w:pPr>
            <w:r w:rsidRPr="00EA1BB2">
              <w:rPr>
                <w:rFonts w:ascii="Cambria" w:hAnsi="Cambria"/>
                <w:lang w:val="ro-RO"/>
              </w:rPr>
              <w:t>60,58167</w:t>
            </w:r>
          </w:p>
        </w:tc>
        <w:tc>
          <w:tcPr>
            <w:tcW w:w="500" w:type="pct"/>
            <w:noWrap/>
          </w:tcPr>
          <w:p w14:paraId="0175C3E7" w14:textId="77777777" w:rsidR="00922A39" w:rsidRPr="00EA1BB2" w:rsidRDefault="00922A39" w:rsidP="00246346">
            <w:pPr>
              <w:spacing w:line="360" w:lineRule="auto"/>
              <w:jc w:val="center"/>
              <w:rPr>
                <w:rFonts w:ascii="Cambria" w:hAnsi="Cambria"/>
                <w:lang w:val="ro-RO"/>
              </w:rPr>
            </w:pPr>
            <w:r w:rsidRPr="00EA1BB2">
              <w:rPr>
                <w:rFonts w:ascii="Cambria" w:hAnsi="Cambria"/>
                <w:lang w:val="ro-RO"/>
              </w:rPr>
              <w:t>64955666,57</w:t>
            </w:r>
          </w:p>
        </w:tc>
        <w:tc>
          <w:tcPr>
            <w:tcW w:w="500" w:type="pct"/>
            <w:noWrap/>
          </w:tcPr>
          <w:p w14:paraId="1DE923AD" w14:textId="77777777" w:rsidR="00922A39" w:rsidRPr="00EA1BB2" w:rsidRDefault="00922A39" w:rsidP="00246346">
            <w:pPr>
              <w:spacing w:line="360" w:lineRule="auto"/>
              <w:jc w:val="center"/>
              <w:rPr>
                <w:rFonts w:ascii="Cambria" w:hAnsi="Cambria"/>
                <w:lang w:val="ro-RO"/>
              </w:rPr>
            </w:pPr>
            <w:r w:rsidRPr="00EA1BB2">
              <w:rPr>
                <w:rFonts w:ascii="Cambria" w:hAnsi="Cambria"/>
                <w:lang w:val="ro-RO"/>
              </w:rPr>
              <w:t>424,07169</w:t>
            </w:r>
          </w:p>
        </w:tc>
        <w:tc>
          <w:tcPr>
            <w:tcW w:w="500" w:type="pct"/>
            <w:noWrap/>
          </w:tcPr>
          <w:p w14:paraId="140A6484" w14:textId="77777777" w:rsidR="00922A39" w:rsidRPr="00EA1BB2" w:rsidRDefault="00922A39" w:rsidP="00246346">
            <w:pPr>
              <w:spacing w:line="360" w:lineRule="auto"/>
              <w:jc w:val="center"/>
              <w:rPr>
                <w:rFonts w:ascii="Cambria" w:hAnsi="Cambria"/>
                <w:lang w:val="ro-RO"/>
              </w:rPr>
            </w:pPr>
            <w:r w:rsidRPr="00EA1BB2">
              <w:rPr>
                <w:rFonts w:ascii="Cambria" w:hAnsi="Cambria"/>
                <w:lang w:val="ro-RO"/>
              </w:rPr>
              <w:t>756544,232</w:t>
            </w:r>
          </w:p>
        </w:tc>
        <w:tc>
          <w:tcPr>
            <w:tcW w:w="500" w:type="pct"/>
            <w:noWrap/>
          </w:tcPr>
          <w:p w14:paraId="6DBED190" w14:textId="77777777" w:rsidR="00922A39" w:rsidRPr="00EA1BB2" w:rsidRDefault="00922A39" w:rsidP="00246346">
            <w:pPr>
              <w:spacing w:line="360" w:lineRule="auto"/>
              <w:jc w:val="center"/>
              <w:rPr>
                <w:rFonts w:ascii="Cambria" w:hAnsi="Cambria"/>
                <w:lang w:val="ro-RO"/>
              </w:rPr>
            </w:pPr>
          </w:p>
        </w:tc>
        <w:tc>
          <w:tcPr>
            <w:tcW w:w="500" w:type="pct"/>
            <w:noWrap/>
          </w:tcPr>
          <w:p w14:paraId="4C7A6CF2" w14:textId="77777777" w:rsidR="00922A39" w:rsidRPr="00EA1BB2" w:rsidRDefault="00922A39" w:rsidP="00246346">
            <w:pPr>
              <w:spacing w:line="360" w:lineRule="auto"/>
              <w:jc w:val="center"/>
              <w:rPr>
                <w:rFonts w:ascii="Cambria" w:hAnsi="Cambria"/>
                <w:lang w:val="ro-RO"/>
              </w:rPr>
            </w:pPr>
            <w:r w:rsidRPr="00EA1BB2">
              <w:rPr>
                <w:rFonts w:ascii="Cambria" w:hAnsi="Cambria"/>
                <w:lang w:val="ro-RO"/>
              </w:rPr>
              <w:t>12637336,36</w:t>
            </w:r>
          </w:p>
        </w:tc>
        <w:tc>
          <w:tcPr>
            <w:tcW w:w="500" w:type="pct"/>
            <w:noWrap/>
          </w:tcPr>
          <w:p w14:paraId="0FB26A3E" w14:textId="77777777" w:rsidR="00922A39" w:rsidRPr="00EA1BB2" w:rsidRDefault="00922A39" w:rsidP="00246346">
            <w:pPr>
              <w:spacing w:line="360" w:lineRule="auto"/>
              <w:jc w:val="center"/>
              <w:rPr>
                <w:rFonts w:ascii="Cambria" w:hAnsi="Cambria"/>
                <w:lang w:val="ro-RO"/>
              </w:rPr>
            </w:pPr>
            <w:r w:rsidRPr="00EA1BB2">
              <w:rPr>
                <w:rFonts w:ascii="Cambria" w:hAnsi="Cambria"/>
                <w:lang w:val="ro-RO"/>
              </w:rPr>
              <w:t>12637336,36</w:t>
            </w:r>
          </w:p>
        </w:tc>
        <w:tc>
          <w:tcPr>
            <w:tcW w:w="500" w:type="pct"/>
            <w:noWrap/>
          </w:tcPr>
          <w:p w14:paraId="4AA27655" w14:textId="77777777" w:rsidR="00922A39" w:rsidRPr="00EA1BB2" w:rsidRDefault="00922A39" w:rsidP="00246346">
            <w:pPr>
              <w:spacing w:line="360" w:lineRule="auto"/>
              <w:jc w:val="center"/>
              <w:rPr>
                <w:rFonts w:ascii="Cambria" w:hAnsi="Cambria"/>
                <w:lang w:val="ro-RO"/>
              </w:rPr>
            </w:pPr>
          </w:p>
        </w:tc>
      </w:tr>
      <w:tr w:rsidR="00922A39" w:rsidRPr="00EA1BB2" w14:paraId="4B6A010E" w14:textId="77777777" w:rsidTr="00922A39">
        <w:trPr>
          <w:trHeight w:val="300"/>
          <w:jc w:val="center"/>
        </w:trPr>
        <w:tc>
          <w:tcPr>
            <w:tcW w:w="499" w:type="pct"/>
            <w:noWrap/>
            <w:hideMark/>
          </w:tcPr>
          <w:p w14:paraId="566FB0FA" w14:textId="77777777" w:rsidR="00922A39" w:rsidRPr="00EA1BB2" w:rsidRDefault="00922A39" w:rsidP="00692EDC">
            <w:pPr>
              <w:spacing w:line="360" w:lineRule="auto"/>
              <w:rPr>
                <w:rFonts w:ascii="Cambria" w:hAnsi="Cambria"/>
                <w:lang w:val="ro-RO"/>
              </w:rPr>
            </w:pPr>
            <w:r w:rsidRPr="00EA1BB2">
              <w:rPr>
                <w:rFonts w:ascii="Cambria" w:hAnsi="Cambria"/>
                <w:lang w:val="ro-RO"/>
              </w:rPr>
              <w:t>1.A.4.a.i</w:t>
            </w:r>
          </w:p>
        </w:tc>
        <w:tc>
          <w:tcPr>
            <w:tcW w:w="500" w:type="pct"/>
            <w:noWrap/>
          </w:tcPr>
          <w:p w14:paraId="15E55172" w14:textId="77777777" w:rsidR="00922A39" w:rsidRPr="00EA1BB2" w:rsidRDefault="00922A39" w:rsidP="00692EDC">
            <w:pPr>
              <w:spacing w:line="360" w:lineRule="auto"/>
              <w:jc w:val="center"/>
              <w:rPr>
                <w:rFonts w:ascii="Cambria" w:hAnsi="Cambria"/>
                <w:lang w:val="ro-RO"/>
              </w:rPr>
            </w:pPr>
            <w:r w:rsidRPr="00EA1BB2">
              <w:rPr>
                <w:rFonts w:ascii="Cambria" w:hAnsi="Cambria"/>
                <w:lang w:val="ro-RO"/>
              </w:rPr>
              <w:t>81,46991849</w:t>
            </w:r>
          </w:p>
        </w:tc>
        <w:tc>
          <w:tcPr>
            <w:tcW w:w="500" w:type="pct"/>
            <w:noWrap/>
          </w:tcPr>
          <w:p w14:paraId="1972481A" w14:textId="77777777" w:rsidR="00922A39" w:rsidRPr="00EA1BB2" w:rsidRDefault="00922A39" w:rsidP="00692EDC">
            <w:pPr>
              <w:spacing w:line="360" w:lineRule="auto"/>
              <w:jc w:val="center"/>
              <w:rPr>
                <w:rFonts w:ascii="Cambria" w:hAnsi="Cambria"/>
                <w:lang w:val="ro-RO"/>
              </w:rPr>
            </w:pPr>
            <w:r w:rsidRPr="00EA1BB2">
              <w:rPr>
                <w:rFonts w:ascii="Cambria" w:hAnsi="Cambria"/>
                <w:lang w:val="ro-RO"/>
              </w:rPr>
              <w:t>91,51217611</w:t>
            </w:r>
          </w:p>
        </w:tc>
        <w:tc>
          <w:tcPr>
            <w:tcW w:w="500" w:type="pct"/>
            <w:noWrap/>
          </w:tcPr>
          <w:p w14:paraId="5044BE13" w14:textId="77777777" w:rsidR="00922A39" w:rsidRPr="00EA1BB2" w:rsidRDefault="00922A39" w:rsidP="00692EDC">
            <w:pPr>
              <w:spacing w:line="360" w:lineRule="auto"/>
              <w:jc w:val="center"/>
              <w:rPr>
                <w:rFonts w:ascii="Cambria" w:hAnsi="Cambria"/>
                <w:lang w:val="ro-RO"/>
              </w:rPr>
            </w:pPr>
            <w:r w:rsidRPr="00EA1BB2">
              <w:rPr>
                <w:rFonts w:ascii="Cambria" w:hAnsi="Cambria"/>
                <w:lang w:val="ro-RO"/>
              </w:rPr>
              <w:t>9621144,703</w:t>
            </w:r>
          </w:p>
        </w:tc>
        <w:tc>
          <w:tcPr>
            <w:tcW w:w="500" w:type="pct"/>
            <w:noWrap/>
          </w:tcPr>
          <w:p w14:paraId="783CB451" w14:textId="77777777" w:rsidR="00922A39" w:rsidRPr="00EA1BB2" w:rsidRDefault="00922A39" w:rsidP="00692EDC">
            <w:pPr>
              <w:spacing w:line="360" w:lineRule="auto"/>
              <w:jc w:val="center"/>
              <w:rPr>
                <w:rFonts w:ascii="Cambria" w:hAnsi="Cambria"/>
                <w:lang w:val="ro-RO"/>
              </w:rPr>
            </w:pPr>
            <w:r w:rsidRPr="00EA1BB2">
              <w:rPr>
                <w:rFonts w:ascii="Cambria" w:hAnsi="Cambria"/>
                <w:lang w:val="ro-RO"/>
              </w:rPr>
              <w:t>17925,05513</w:t>
            </w:r>
          </w:p>
        </w:tc>
        <w:tc>
          <w:tcPr>
            <w:tcW w:w="500" w:type="pct"/>
            <w:noWrap/>
          </w:tcPr>
          <w:p w14:paraId="4BDE8A53" w14:textId="77777777" w:rsidR="00922A39" w:rsidRPr="00EA1BB2" w:rsidRDefault="00922A39" w:rsidP="00692EDC">
            <w:pPr>
              <w:spacing w:line="360" w:lineRule="auto"/>
              <w:jc w:val="center"/>
              <w:rPr>
                <w:rFonts w:ascii="Cambria" w:hAnsi="Cambria"/>
                <w:lang w:val="ro-RO"/>
              </w:rPr>
            </w:pPr>
            <w:r w:rsidRPr="00EA1BB2">
              <w:rPr>
                <w:rFonts w:ascii="Cambria" w:hAnsi="Cambria"/>
                <w:lang w:val="ro-RO"/>
              </w:rPr>
              <w:t>15799635,8</w:t>
            </w:r>
          </w:p>
        </w:tc>
        <w:tc>
          <w:tcPr>
            <w:tcW w:w="500" w:type="pct"/>
            <w:noWrap/>
          </w:tcPr>
          <w:p w14:paraId="336D7895" w14:textId="77777777" w:rsidR="00922A39" w:rsidRPr="00EA1BB2" w:rsidRDefault="00922A39" w:rsidP="00692EDC">
            <w:pPr>
              <w:spacing w:line="360" w:lineRule="auto"/>
              <w:jc w:val="center"/>
              <w:rPr>
                <w:rFonts w:ascii="Cambria" w:hAnsi="Cambria"/>
                <w:lang w:val="ro-RO"/>
              </w:rPr>
            </w:pPr>
            <w:r w:rsidRPr="00EA1BB2">
              <w:rPr>
                <w:rFonts w:ascii="Cambria" w:hAnsi="Cambria"/>
                <w:lang w:val="ro-RO"/>
              </w:rPr>
              <w:t>1226,234346</w:t>
            </w:r>
          </w:p>
        </w:tc>
        <w:tc>
          <w:tcPr>
            <w:tcW w:w="500" w:type="pct"/>
            <w:noWrap/>
          </w:tcPr>
          <w:p w14:paraId="09B7AB39" w14:textId="77777777" w:rsidR="00922A39" w:rsidRPr="00EA1BB2" w:rsidRDefault="00922A39" w:rsidP="00692EDC">
            <w:pPr>
              <w:spacing w:line="360" w:lineRule="auto"/>
              <w:jc w:val="center"/>
              <w:rPr>
                <w:rFonts w:ascii="Cambria" w:hAnsi="Cambria"/>
                <w:lang w:val="ro-RO"/>
              </w:rPr>
            </w:pPr>
            <w:r w:rsidRPr="00EA1BB2">
              <w:rPr>
                <w:rFonts w:ascii="Cambria" w:hAnsi="Cambria"/>
                <w:lang w:val="ro-RO"/>
              </w:rPr>
              <w:t>1597051,617</w:t>
            </w:r>
          </w:p>
        </w:tc>
        <w:tc>
          <w:tcPr>
            <w:tcW w:w="500" w:type="pct"/>
            <w:noWrap/>
          </w:tcPr>
          <w:p w14:paraId="66305AEF" w14:textId="77777777" w:rsidR="00922A39" w:rsidRPr="00EA1BB2" w:rsidRDefault="00922A39" w:rsidP="00692EDC">
            <w:pPr>
              <w:spacing w:line="360" w:lineRule="auto"/>
              <w:jc w:val="center"/>
              <w:rPr>
                <w:rFonts w:ascii="Cambria" w:hAnsi="Cambria"/>
                <w:lang w:val="ro-RO"/>
              </w:rPr>
            </w:pPr>
            <w:r w:rsidRPr="00EA1BB2">
              <w:rPr>
                <w:rFonts w:ascii="Cambria" w:hAnsi="Cambria"/>
                <w:lang w:val="ro-RO"/>
              </w:rPr>
              <w:t>1258651,617</w:t>
            </w:r>
          </w:p>
        </w:tc>
        <w:tc>
          <w:tcPr>
            <w:tcW w:w="500" w:type="pct"/>
            <w:noWrap/>
          </w:tcPr>
          <w:p w14:paraId="681D69A0" w14:textId="77777777" w:rsidR="00922A39" w:rsidRPr="00EA1BB2" w:rsidRDefault="00922A39" w:rsidP="00692EDC">
            <w:pPr>
              <w:spacing w:line="360" w:lineRule="auto"/>
              <w:jc w:val="center"/>
              <w:rPr>
                <w:rFonts w:ascii="Cambria" w:hAnsi="Cambria"/>
                <w:lang w:val="ro-RO"/>
              </w:rPr>
            </w:pPr>
            <w:r w:rsidRPr="00EA1BB2">
              <w:rPr>
                <w:rFonts w:ascii="Cambria" w:hAnsi="Cambria"/>
                <w:lang w:val="ro-RO"/>
              </w:rPr>
              <w:t>9562795,326</w:t>
            </w:r>
          </w:p>
        </w:tc>
      </w:tr>
      <w:tr w:rsidR="00922A39" w:rsidRPr="00EA1BB2" w14:paraId="5D8ED9AF" w14:textId="77777777" w:rsidTr="00922A39">
        <w:trPr>
          <w:trHeight w:val="300"/>
          <w:jc w:val="center"/>
        </w:trPr>
        <w:tc>
          <w:tcPr>
            <w:tcW w:w="499" w:type="pct"/>
            <w:noWrap/>
            <w:hideMark/>
          </w:tcPr>
          <w:p w14:paraId="3CB75F70" w14:textId="77777777" w:rsidR="00922A39" w:rsidRPr="00EA1BB2" w:rsidRDefault="00922A39" w:rsidP="00692EDC">
            <w:pPr>
              <w:spacing w:line="360" w:lineRule="auto"/>
              <w:rPr>
                <w:rFonts w:ascii="Cambria" w:hAnsi="Cambria"/>
                <w:lang w:val="ro-RO"/>
              </w:rPr>
            </w:pPr>
            <w:r w:rsidRPr="00EA1BB2">
              <w:rPr>
                <w:rFonts w:ascii="Cambria" w:hAnsi="Cambria"/>
                <w:lang w:val="ro-RO"/>
              </w:rPr>
              <w:t>1.A.4.b.i</w:t>
            </w:r>
          </w:p>
        </w:tc>
        <w:tc>
          <w:tcPr>
            <w:tcW w:w="500" w:type="pct"/>
            <w:noWrap/>
          </w:tcPr>
          <w:p w14:paraId="61D50DFF" w14:textId="77777777" w:rsidR="00922A39" w:rsidRPr="00EA1BB2" w:rsidRDefault="00922A39" w:rsidP="00692EDC">
            <w:pPr>
              <w:spacing w:line="360" w:lineRule="auto"/>
              <w:jc w:val="center"/>
              <w:rPr>
                <w:rFonts w:ascii="Cambria" w:hAnsi="Cambria"/>
                <w:lang w:val="ro-RO"/>
              </w:rPr>
            </w:pPr>
            <w:r w:rsidRPr="00EA1BB2">
              <w:rPr>
                <w:rFonts w:ascii="Cambria" w:hAnsi="Cambria"/>
                <w:lang w:val="ro-RO"/>
              </w:rPr>
              <w:t>189,8251254</w:t>
            </w:r>
          </w:p>
        </w:tc>
        <w:tc>
          <w:tcPr>
            <w:tcW w:w="500" w:type="pct"/>
            <w:noWrap/>
          </w:tcPr>
          <w:p w14:paraId="4586E653" w14:textId="77777777" w:rsidR="00922A39" w:rsidRPr="00EA1BB2" w:rsidRDefault="00922A39" w:rsidP="00692EDC">
            <w:pPr>
              <w:spacing w:line="360" w:lineRule="auto"/>
              <w:jc w:val="center"/>
              <w:rPr>
                <w:rFonts w:ascii="Cambria" w:hAnsi="Cambria"/>
                <w:lang w:val="ro-RO"/>
              </w:rPr>
            </w:pPr>
            <w:r w:rsidRPr="00EA1BB2">
              <w:rPr>
                <w:rFonts w:ascii="Cambria" w:hAnsi="Cambria"/>
                <w:lang w:val="ro-RO"/>
              </w:rPr>
              <w:t>305,8187082</w:t>
            </w:r>
          </w:p>
        </w:tc>
        <w:tc>
          <w:tcPr>
            <w:tcW w:w="500" w:type="pct"/>
            <w:noWrap/>
          </w:tcPr>
          <w:p w14:paraId="633ECD33" w14:textId="77777777" w:rsidR="00922A39" w:rsidRPr="00EA1BB2" w:rsidRDefault="00922A39" w:rsidP="00692EDC">
            <w:pPr>
              <w:spacing w:line="360" w:lineRule="auto"/>
              <w:jc w:val="center"/>
              <w:rPr>
                <w:rFonts w:ascii="Cambria" w:hAnsi="Cambria"/>
                <w:lang w:val="ro-RO"/>
              </w:rPr>
            </w:pPr>
            <w:r w:rsidRPr="00EA1BB2">
              <w:rPr>
                <w:rFonts w:ascii="Cambria" w:hAnsi="Cambria"/>
                <w:lang w:val="ro-RO"/>
              </w:rPr>
              <w:t>1350012517</w:t>
            </w:r>
          </w:p>
        </w:tc>
        <w:tc>
          <w:tcPr>
            <w:tcW w:w="500" w:type="pct"/>
            <w:noWrap/>
          </w:tcPr>
          <w:p w14:paraId="7B530F91" w14:textId="77777777" w:rsidR="00922A39" w:rsidRPr="00EA1BB2" w:rsidRDefault="00922A39" w:rsidP="00692EDC">
            <w:pPr>
              <w:spacing w:line="360" w:lineRule="auto"/>
              <w:jc w:val="center"/>
              <w:rPr>
                <w:rFonts w:ascii="Cambria" w:hAnsi="Cambria"/>
                <w:lang w:val="ro-RO"/>
              </w:rPr>
            </w:pPr>
            <w:r w:rsidRPr="00EA1BB2">
              <w:rPr>
                <w:rFonts w:ascii="Cambria" w:hAnsi="Cambria"/>
                <w:lang w:val="ro-RO"/>
              </w:rPr>
              <w:t>873,8483939</w:t>
            </w:r>
          </w:p>
        </w:tc>
        <w:tc>
          <w:tcPr>
            <w:tcW w:w="500" w:type="pct"/>
            <w:noWrap/>
          </w:tcPr>
          <w:p w14:paraId="3C89190C" w14:textId="77777777" w:rsidR="00922A39" w:rsidRPr="00EA1BB2" w:rsidRDefault="00922A39" w:rsidP="00692EDC">
            <w:pPr>
              <w:spacing w:line="360" w:lineRule="auto"/>
              <w:jc w:val="center"/>
              <w:rPr>
                <w:rFonts w:ascii="Cambria" w:hAnsi="Cambria"/>
                <w:lang w:val="ro-RO"/>
              </w:rPr>
            </w:pPr>
            <w:r w:rsidRPr="00EA1BB2">
              <w:rPr>
                <w:rFonts w:ascii="Cambria" w:hAnsi="Cambria"/>
                <w:lang w:val="ro-RO"/>
              </w:rPr>
              <w:t>18063935,36</w:t>
            </w:r>
          </w:p>
        </w:tc>
        <w:tc>
          <w:tcPr>
            <w:tcW w:w="500" w:type="pct"/>
            <w:noWrap/>
          </w:tcPr>
          <w:p w14:paraId="7292C66F" w14:textId="77777777" w:rsidR="00922A39" w:rsidRPr="00EA1BB2" w:rsidRDefault="00922A39" w:rsidP="00692EDC">
            <w:pPr>
              <w:spacing w:line="360" w:lineRule="auto"/>
              <w:jc w:val="center"/>
              <w:rPr>
                <w:rFonts w:ascii="Cambria" w:hAnsi="Cambria"/>
                <w:lang w:val="ro-RO"/>
              </w:rPr>
            </w:pPr>
            <w:r w:rsidRPr="00EA1BB2">
              <w:rPr>
                <w:rFonts w:ascii="Cambria" w:hAnsi="Cambria"/>
                <w:lang w:val="ro-RO"/>
              </w:rPr>
              <w:t>9626,301594</w:t>
            </w:r>
          </w:p>
        </w:tc>
        <w:tc>
          <w:tcPr>
            <w:tcW w:w="500" w:type="pct"/>
            <w:noWrap/>
          </w:tcPr>
          <w:p w14:paraId="03D391CE" w14:textId="77777777" w:rsidR="00922A39" w:rsidRPr="00EA1BB2" w:rsidRDefault="00922A39" w:rsidP="00692EDC">
            <w:pPr>
              <w:spacing w:line="360" w:lineRule="auto"/>
              <w:jc w:val="center"/>
              <w:rPr>
                <w:rFonts w:ascii="Cambria" w:hAnsi="Cambria"/>
                <w:lang w:val="ro-RO"/>
              </w:rPr>
            </w:pPr>
            <w:r w:rsidRPr="00EA1BB2">
              <w:rPr>
                <w:rFonts w:ascii="Cambria" w:hAnsi="Cambria"/>
                <w:lang w:val="ro-RO"/>
              </w:rPr>
              <w:t>179227384,9</w:t>
            </w:r>
          </w:p>
        </w:tc>
        <w:tc>
          <w:tcPr>
            <w:tcW w:w="500" w:type="pct"/>
            <w:noWrap/>
          </w:tcPr>
          <w:p w14:paraId="668D3A84" w14:textId="77777777" w:rsidR="00922A39" w:rsidRPr="00EA1BB2" w:rsidRDefault="00922A39" w:rsidP="00692EDC">
            <w:pPr>
              <w:spacing w:line="360" w:lineRule="auto"/>
              <w:jc w:val="center"/>
              <w:rPr>
                <w:rFonts w:ascii="Cambria" w:hAnsi="Cambria"/>
                <w:lang w:val="ro-RO"/>
              </w:rPr>
            </w:pPr>
            <w:r w:rsidRPr="00EA1BB2">
              <w:rPr>
                <w:rFonts w:ascii="Cambria" w:hAnsi="Cambria"/>
                <w:lang w:val="ro-RO"/>
              </w:rPr>
              <w:t>179227000,9</w:t>
            </w:r>
          </w:p>
        </w:tc>
        <w:tc>
          <w:tcPr>
            <w:tcW w:w="500" w:type="pct"/>
            <w:noWrap/>
          </w:tcPr>
          <w:p w14:paraId="530ABA03" w14:textId="77777777" w:rsidR="00922A39" w:rsidRPr="00EA1BB2" w:rsidRDefault="00922A39" w:rsidP="00692EDC">
            <w:pPr>
              <w:spacing w:line="360" w:lineRule="auto"/>
              <w:jc w:val="center"/>
              <w:rPr>
                <w:rFonts w:ascii="Cambria" w:hAnsi="Cambria"/>
                <w:lang w:val="ro-RO"/>
              </w:rPr>
            </w:pPr>
            <w:r w:rsidRPr="00EA1BB2">
              <w:rPr>
                <w:rFonts w:ascii="Cambria" w:hAnsi="Cambria"/>
                <w:lang w:val="ro-RO"/>
              </w:rPr>
              <w:t>3351788,94</w:t>
            </w:r>
          </w:p>
        </w:tc>
      </w:tr>
      <w:tr w:rsidR="00922A39" w:rsidRPr="00EA1BB2" w14:paraId="22A4198B" w14:textId="77777777" w:rsidTr="00922A39">
        <w:trPr>
          <w:trHeight w:val="300"/>
          <w:jc w:val="center"/>
        </w:trPr>
        <w:tc>
          <w:tcPr>
            <w:tcW w:w="499" w:type="pct"/>
            <w:noWrap/>
            <w:hideMark/>
          </w:tcPr>
          <w:p w14:paraId="4C41EB2F" w14:textId="77777777" w:rsidR="00922A39" w:rsidRPr="00EA1BB2" w:rsidRDefault="00922A39" w:rsidP="00692EDC">
            <w:pPr>
              <w:spacing w:line="360" w:lineRule="auto"/>
              <w:rPr>
                <w:rFonts w:ascii="Cambria" w:hAnsi="Cambria"/>
                <w:lang w:val="ro-RO"/>
              </w:rPr>
            </w:pPr>
            <w:r w:rsidRPr="00EA1BB2">
              <w:rPr>
                <w:rFonts w:ascii="Cambria" w:hAnsi="Cambria"/>
                <w:lang w:val="ro-RO"/>
              </w:rPr>
              <w:t>1.A.4.c.i</w:t>
            </w:r>
          </w:p>
        </w:tc>
        <w:tc>
          <w:tcPr>
            <w:tcW w:w="500" w:type="pct"/>
            <w:noWrap/>
          </w:tcPr>
          <w:p w14:paraId="17E85766" w14:textId="77777777" w:rsidR="00922A39" w:rsidRPr="00EA1BB2" w:rsidRDefault="00922A39" w:rsidP="00692EDC">
            <w:pPr>
              <w:spacing w:line="360" w:lineRule="auto"/>
              <w:jc w:val="center"/>
              <w:rPr>
                <w:rFonts w:ascii="Cambria" w:hAnsi="Cambria"/>
                <w:lang w:val="ro-RO"/>
              </w:rPr>
            </w:pPr>
            <w:r w:rsidRPr="00EA1BB2">
              <w:rPr>
                <w:rFonts w:ascii="Cambria" w:hAnsi="Cambria"/>
                <w:lang w:val="ro-RO"/>
              </w:rPr>
              <w:t>0,59732841</w:t>
            </w:r>
          </w:p>
        </w:tc>
        <w:tc>
          <w:tcPr>
            <w:tcW w:w="500" w:type="pct"/>
            <w:noWrap/>
          </w:tcPr>
          <w:p w14:paraId="476D980E" w14:textId="77777777" w:rsidR="00922A39" w:rsidRPr="00EA1BB2" w:rsidRDefault="00922A39" w:rsidP="00692EDC">
            <w:pPr>
              <w:spacing w:line="360" w:lineRule="auto"/>
              <w:jc w:val="center"/>
              <w:rPr>
                <w:rFonts w:ascii="Cambria" w:hAnsi="Cambria"/>
                <w:lang w:val="ro-RO"/>
              </w:rPr>
            </w:pPr>
            <w:r w:rsidRPr="00EA1BB2">
              <w:rPr>
                <w:rFonts w:ascii="Cambria" w:hAnsi="Cambria"/>
                <w:lang w:val="ro-RO"/>
              </w:rPr>
              <w:t>3,30436994</w:t>
            </w:r>
          </w:p>
        </w:tc>
        <w:tc>
          <w:tcPr>
            <w:tcW w:w="500" w:type="pct"/>
            <w:noWrap/>
          </w:tcPr>
          <w:p w14:paraId="526F2D2C" w14:textId="77777777" w:rsidR="00922A39" w:rsidRPr="00EA1BB2" w:rsidRDefault="00922A39" w:rsidP="00692EDC">
            <w:pPr>
              <w:spacing w:line="360" w:lineRule="auto"/>
              <w:jc w:val="center"/>
              <w:rPr>
                <w:rFonts w:ascii="Cambria" w:hAnsi="Cambria"/>
                <w:lang w:val="ro-RO"/>
              </w:rPr>
            </w:pPr>
            <w:r w:rsidRPr="00EA1BB2">
              <w:rPr>
                <w:rFonts w:ascii="Cambria" w:hAnsi="Cambria"/>
                <w:lang w:val="ro-RO"/>
              </w:rPr>
              <w:t>127091,1514</w:t>
            </w:r>
          </w:p>
        </w:tc>
        <w:tc>
          <w:tcPr>
            <w:tcW w:w="500" w:type="pct"/>
            <w:noWrap/>
          </w:tcPr>
          <w:p w14:paraId="0E24D3E5" w14:textId="77777777" w:rsidR="00922A39" w:rsidRPr="00EA1BB2" w:rsidRDefault="00922A39" w:rsidP="00692EDC">
            <w:pPr>
              <w:spacing w:line="360" w:lineRule="auto"/>
              <w:jc w:val="center"/>
              <w:rPr>
                <w:rFonts w:ascii="Cambria" w:hAnsi="Cambria"/>
                <w:lang w:val="ro-RO"/>
              </w:rPr>
            </w:pPr>
            <w:r w:rsidRPr="00EA1BB2">
              <w:rPr>
                <w:rFonts w:ascii="Cambria" w:hAnsi="Cambria"/>
                <w:lang w:val="ro-RO"/>
              </w:rPr>
              <w:t>6,25288465</w:t>
            </w:r>
          </w:p>
        </w:tc>
        <w:tc>
          <w:tcPr>
            <w:tcW w:w="500" w:type="pct"/>
            <w:noWrap/>
          </w:tcPr>
          <w:p w14:paraId="35E1A2AD" w14:textId="77777777" w:rsidR="00922A39" w:rsidRPr="00EA1BB2" w:rsidRDefault="00922A39" w:rsidP="00692EDC">
            <w:pPr>
              <w:spacing w:line="360" w:lineRule="auto"/>
              <w:jc w:val="center"/>
              <w:rPr>
                <w:rFonts w:ascii="Cambria" w:hAnsi="Cambria"/>
                <w:lang w:val="ro-RO"/>
              </w:rPr>
            </w:pPr>
            <w:r w:rsidRPr="00EA1BB2">
              <w:rPr>
                <w:rFonts w:ascii="Cambria" w:hAnsi="Cambria"/>
                <w:lang w:val="ro-RO"/>
              </w:rPr>
              <w:t>444819,0298</w:t>
            </w:r>
          </w:p>
        </w:tc>
        <w:tc>
          <w:tcPr>
            <w:tcW w:w="500" w:type="pct"/>
            <w:noWrap/>
          </w:tcPr>
          <w:p w14:paraId="2C2AA050" w14:textId="77777777" w:rsidR="00922A39" w:rsidRPr="00EA1BB2" w:rsidRDefault="00922A39" w:rsidP="00692EDC">
            <w:pPr>
              <w:spacing w:line="360" w:lineRule="auto"/>
              <w:jc w:val="center"/>
              <w:rPr>
                <w:rFonts w:ascii="Cambria" w:hAnsi="Cambria"/>
                <w:lang w:val="ro-RO"/>
              </w:rPr>
            </w:pPr>
            <w:r w:rsidRPr="00EA1BB2">
              <w:rPr>
                <w:rFonts w:ascii="Cambria" w:hAnsi="Cambria"/>
                <w:lang w:val="ro-RO"/>
              </w:rPr>
              <w:t>6,22746642</w:t>
            </w:r>
          </w:p>
        </w:tc>
        <w:tc>
          <w:tcPr>
            <w:tcW w:w="500" w:type="pct"/>
            <w:noWrap/>
          </w:tcPr>
          <w:p w14:paraId="7A54F241" w14:textId="77777777" w:rsidR="00922A39" w:rsidRPr="00EA1BB2" w:rsidRDefault="00922A39" w:rsidP="00692EDC">
            <w:pPr>
              <w:spacing w:line="360" w:lineRule="auto"/>
              <w:jc w:val="center"/>
              <w:rPr>
                <w:rFonts w:ascii="Cambria" w:hAnsi="Cambria"/>
                <w:lang w:val="ro-RO"/>
              </w:rPr>
            </w:pPr>
            <w:r w:rsidRPr="00EA1BB2">
              <w:rPr>
                <w:rFonts w:ascii="Cambria" w:hAnsi="Cambria"/>
                <w:lang w:val="ro-RO"/>
              </w:rPr>
              <w:t>3177,278784</w:t>
            </w:r>
          </w:p>
        </w:tc>
        <w:tc>
          <w:tcPr>
            <w:tcW w:w="500" w:type="pct"/>
            <w:noWrap/>
          </w:tcPr>
          <w:p w14:paraId="27DE959C" w14:textId="77777777" w:rsidR="00922A39" w:rsidRPr="00EA1BB2" w:rsidRDefault="00922A39" w:rsidP="00692EDC">
            <w:pPr>
              <w:spacing w:line="360" w:lineRule="auto"/>
              <w:jc w:val="center"/>
              <w:rPr>
                <w:rFonts w:ascii="Cambria" w:hAnsi="Cambria"/>
                <w:lang w:val="ro-RO"/>
              </w:rPr>
            </w:pPr>
            <w:r w:rsidRPr="00EA1BB2">
              <w:rPr>
                <w:rFonts w:ascii="Cambria" w:hAnsi="Cambria"/>
                <w:lang w:val="ro-RO"/>
              </w:rPr>
              <w:t>3177,278784</w:t>
            </w:r>
          </w:p>
        </w:tc>
        <w:tc>
          <w:tcPr>
            <w:tcW w:w="500" w:type="pct"/>
            <w:noWrap/>
          </w:tcPr>
          <w:p w14:paraId="211E4E07" w14:textId="77777777" w:rsidR="00922A39" w:rsidRPr="00EA1BB2" w:rsidRDefault="00922A39" w:rsidP="00692EDC">
            <w:pPr>
              <w:spacing w:line="360" w:lineRule="auto"/>
              <w:jc w:val="center"/>
              <w:rPr>
                <w:rFonts w:ascii="Cambria" w:hAnsi="Cambria"/>
                <w:lang w:val="ro-RO"/>
              </w:rPr>
            </w:pPr>
            <w:r w:rsidRPr="00EA1BB2">
              <w:rPr>
                <w:rFonts w:ascii="Cambria" w:hAnsi="Cambria"/>
                <w:lang w:val="ro-RO"/>
              </w:rPr>
              <w:t>3177,278784</w:t>
            </w:r>
          </w:p>
        </w:tc>
      </w:tr>
      <w:tr w:rsidR="00922A39" w:rsidRPr="00EA1BB2" w14:paraId="194F2327" w14:textId="77777777" w:rsidTr="00922A39">
        <w:trPr>
          <w:trHeight w:val="300"/>
          <w:jc w:val="center"/>
        </w:trPr>
        <w:tc>
          <w:tcPr>
            <w:tcW w:w="499" w:type="pct"/>
            <w:noWrap/>
            <w:hideMark/>
          </w:tcPr>
          <w:p w14:paraId="0C74A96A" w14:textId="77777777" w:rsidR="00922A39" w:rsidRPr="00EA1BB2" w:rsidRDefault="00922A39" w:rsidP="00692EDC">
            <w:pPr>
              <w:spacing w:line="360" w:lineRule="auto"/>
              <w:rPr>
                <w:rFonts w:ascii="Cambria" w:hAnsi="Cambria"/>
                <w:lang w:val="ro-RO"/>
              </w:rPr>
            </w:pPr>
            <w:r w:rsidRPr="00EA1BB2">
              <w:rPr>
                <w:rFonts w:ascii="Cambria" w:hAnsi="Cambria"/>
                <w:lang w:val="ro-RO"/>
              </w:rPr>
              <w:t>2.A.7.b</w:t>
            </w:r>
          </w:p>
        </w:tc>
        <w:tc>
          <w:tcPr>
            <w:tcW w:w="500" w:type="pct"/>
            <w:noWrap/>
          </w:tcPr>
          <w:p w14:paraId="7293F8A8" w14:textId="77777777" w:rsidR="00922A39" w:rsidRPr="00EA1BB2" w:rsidRDefault="00922A39" w:rsidP="00692EDC">
            <w:pPr>
              <w:spacing w:line="360" w:lineRule="auto"/>
              <w:jc w:val="center"/>
              <w:rPr>
                <w:rFonts w:ascii="Cambria" w:hAnsi="Cambria"/>
                <w:lang w:val="ro-RO"/>
              </w:rPr>
            </w:pPr>
          </w:p>
        </w:tc>
        <w:tc>
          <w:tcPr>
            <w:tcW w:w="500" w:type="pct"/>
            <w:noWrap/>
          </w:tcPr>
          <w:p w14:paraId="31B74B3B" w14:textId="77777777" w:rsidR="00922A39" w:rsidRPr="00EA1BB2" w:rsidRDefault="00922A39" w:rsidP="00692EDC">
            <w:pPr>
              <w:spacing w:line="360" w:lineRule="auto"/>
              <w:jc w:val="center"/>
              <w:rPr>
                <w:rFonts w:ascii="Cambria" w:hAnsi="Cambria"/>
                <w:lang w:val="ro-RO"/>
              </w:rPr>
            </w:pPr>
          </w:p>
        </w:tc>
        <w:tc>
          <w:tcPr>
            <w:tcW w:w="500" w:type="pct"/>
            <w:noWrap/>
          </w:tcPr>
          <w:p w14:paraId="5FCDD632" w14:textId="77777777" w:rsidR="00922A39" w:rsidRPr="00EA1BB2" w:rsidRDefault="00922A39" w:rsidP="00692EDC">
            <w:pPr>
              <w:spacing w:line="360" w:lineRule="auto"/>
              <w:jc w:val="center"/>
              <w:rPr>
                <w:rFonts w:ascii="Cambria" w:hAnsi="Cambria"/>
                <w:lang w:val="ro-RO"/>
              </w:rPr>
            </w:pPr>
          </w:p>
        </w:tc>
        <w:tc>
          <w:tcPr>
            <w:tcW w:w="500" w:type="pct"/>
            <w:noWrap/>
          </w:tcPr>
          <w:p w14:paraId="769F2C1B" w14:textId="77777777" w:rsidR="00922A39" w:rsidRPr="00EA1BB2" w:rsidRDefault="00922A39" w:rsidP="00692EDC">
            <w:pPr>
              <w:spacing w:line="360" w:lineRule="auto"/>
              <w:jc w:val="center"/>
              <w:rPr>
                <w:rFonts w:ascii="Cambria" w:hAnsi="Cambria"/>
                <w:lang w:val="ro-RO"/>
              </w:rPr>
            </w:pPr>
          </w:p>
        </w:tc>
        <w:tc>
          <w:tcPr>
            <w:tcW w:w="500" w:type="pct"/>
            <w:noWrap/>
          </w:tcPr>
          <w:p w14:paraId="536BEFE2" w14:textId="77777777" w:rsidR="00922A39" w:rsidRPr="00EA1BB2" w:rsidRDefault="00922A39" w:rsidP="00692EDC">
            <w:pPr>
              <w:spacing w:line="360" w:lineRule="auto"/>
              <w:jc w:val="center"/>
              <w:rPr>
                <w:rFonts w:ascii="Cambria" w:hAnsi="Cambria"/>
                <w:lang w:val="ro-RO"/>
              </w:rPr>
            </w:pPr>
          </w:p>
        </w:tc>
        <w:tc>
          <w:tcPr>
            <w:tcW w:w="500" w:type="pct"/>
            <w:noWrap/>
          </w:tcPr>
          <w:p w14:paraId="6EDE967A" w14:textId="77777777" w:rsidR="00922A39" w:rsidRPr="00EA1BB2" w:rsidRDefault="00922A39" w:rsidP="00692EDC">
            <w:pPr>
              <w:spacing w:line="360" w:lineRule="auto"/>
              <w:jc w:val="center"/>
              <w:rPr>
                <w:rFonts w:ascii="Cambria" w:hAnsi="Cambria"/>
                <w:lang w:val="ro-RO"/>
              </w:rPr>
            </w:pPr>
          </w:p>
        </w:tc>
        <w:tc>
          <w:tcPr>
            <w:tcW w:w="500" w:type="pct"/>
            <w:noWrap/>
          </w:tcPr>
          <w:p w14:paraId="6C3FBD4E" w14:textId="77777777" w:rsidR="00922A39" w:rsidRPr="00EA1BB2" w:rsidRDefault="00922A39" w:rsidP="00692EDC">
            <w:pPr>
              <w:spacing w:line="360" w:lineRule="auto"/>
              <w:jc w:val="center"/>
              <w:rPr>
                <w:rFonts w:ascii="Cambria" w:hAnsi="Cambria"/>
                <w:lang w:val="ro-RO"/>
              </w:rPr>
            </w:pPr>
            <w:r w:rsidRPr="00EA1BB2">
              <w:rPr>
                <w:rFonts w:ascii="Cambria" w:hAnsi="Cambria"/>
                <w:lang w:val="ro-RO"/>
              </w:rPr>
              <w:t>261139,2</w:t>
            </w:r>
          </w:p>
        </w:tc>
        <w:tc>
          <w:tcPr>
            <w:tcW w:w="500" w:type="pct"/>
            <w:noWrap/>
          </w:tcPr>
          <w:p w14:paraId="644E4442" w14:textId="77777777" w:rsidR="00922A39" w:rsidRPr="00EA1BB2" w:rsidRDefault="00922A39" w:rsidP="00692EDC">
            <w:pPr>
              <w:spacing w:line="360" w:lineRule="auto"/>
              <w:jc w:val="center"/>
              <w:rPr>
                <w:rFonts w:ascii="Cambria" w:hAnsi="Cambria"/>
                <w:lang w:val="ro-RO"/>
              </w:rPr>
            </w:pPr>
            <w:r w:rsidRPr="00EA1BB2">
              <w:rPr>
                <w:rFonts w:ascii="Cambria" w:hAnsi="Cambria"/>
                <w:lang w:val="ro-RO"/>
              </w:rPr>
              <w:t>26113,92</w:t>
            </w:r>
          </w:p>
        </w:tc>
        <w:tc>
          <w:tcPr>
            <w:tcW w:w="500" w:type="pct"/>
            <w:noWrap/>
          </w:tcPr>
          <w:p w14:paraId="299D799C" w14:textId="77777777" w:rsidR="00922A39" w:rsidRPr="00EA1BB2" w:rsidRDefault="00922A39" w:rsidP="00692EDC">
            <w:pPr>
              <w:spacing w:line="360" w:lineRule="auto"/>
              <w:jc w:val="center"/>
              <w:rPr>
                <w:rFonts w:ascii="Cambria" w:hAnsi="Cambria"/>
                <w:lang w:val="ro-RO"/>
              </w:rPr>
            </w:pPr>
          </w:p>
        </w:tc>
      </w:tr>
      <w:tr w:rsidR="00922A39" w:rsidRPr="00EA1BB2" w14:paraId="75C290EF" w14:textId="77777777" w:rsidTr="00922A39">
        <w:trPr>
          <w:trHeight w:val="300"/>
          <w:jc w:val="center"/>
        </w:trPr>
        <w:tc>
          <w:tcPr>
            <w:tcW w:w="499" w:type="pct"/>
            <w:noWrap/>
            <w:hideMark/>
          </w:tcPr>
          <w:p w14:paraId="0C043B9B" w14:textId="77777777" w:rsidR="00922A39" w:rsidRPr="00EA1BB2" w:rsidRDefault="00922A39" w:rsidP="00692EDC">
            <w:pPr>
              <w:spacing w:line="360" w:lineRule="auto"/>
              <w:rPr>
                <w:rFonts w:ascii="Cambria" w:hAnsi="Cambria"/>
                <w:lang w:val="ro-RO"/>
              </w:rPr>
            </w:pPr>
            <w:r w:rsidRPr="00EA1BB2">
              <w:rPr>
                <w:rFonts w:ascii="Cambria" w:hAnsi="Cambria"/>
                <w:lang w:val="ro-RO"/>
              </w:rPr>
              <w:t>4.B.8</w:t>
            </w:r>
          </w:p>
        </w:tc>
        <w:tc>
          <w:tcPr>
            <w:tcW w:w="500" w:type="pct"/>
            <w:noWrap/>
          </w:tcPr>
          <w:p w14:paraId="196F51C6" w14:textId="77777777" w:rsidR="00922A39" w:rsidRPr="00EA1BB2" w:rsidRDefault="00922A39" w:rsidP="00692EDC">
            <w:pPr>
              <w:spacing w:line="360" w:lineRule="auto"/>
              <w:jc w:val="center"/>
              <w:rPr>
                <w:rFonts w:ascii="Cambria" w:hAnsi="Cambria"/>
                <w:lang w:val="ro-RO"/>
              </w:rPr>
            </w:pPr>
          </w:p>
        </w:tc>
        <w:tc>
          <w:tcPr>
            <w:tcW w:w="500" w:type="pct"/>
            <w:noWrap/>
          </w:tcPr>
          <w:p w14:paraId="5EA0CFB3" w14:textId="77777777" w:rsidR="00922A39" w:rsidRPr="00EA1BB2" w:rsidRDefault="00922A39" w:rsidP="00692EDC">
            <w:pPr>
              <w:spacing w:line="360" w:lineRule="auto"/>
              <w:jc w:val="center"/>
              <w:rPr>
                <w:rFonts w:ascii="Cambria" w:hAnsi="Cambria"/>
                <w:lang w:val="ro-RO"/>
              </w:rPr>
            </w:pPr>
          </w:p>
        </w:tc>
        <w:tc>
          <w:tcPr>
            <w:tcW w:w="500" w:type="pct"/>
            <w:noWrap/>
          </w:tcPr>
          <w:p w14:paraId="5A4CFDC3" w14:textId="77777777" w:rsidR="00922A39" w:rsidRPr="00EA1BB2" w:rsidRDefault="00922A39" w:rsidP="00692EDC">
            <w:pPr>
              <w:spacing w:line="360" w:lineRule="auto"/>
              <w:jc w:val="center"/>
              <w:rPr>
                <w:rFonts w:ascii="Cambria" w:hAnsi="Cambria"/>
                <w:lang w:val="ro-RO"/>
              </w:rPr>
            </w:pPr>
          </w:p>
        </w:tc>
        <w:tc>
          <w:tcPr>
            <w:tcW w:w="500" w:type="pct"/>
            <w:noWrap/>
          </w:tcPr>
          <w:p w14:paraId="56B005B8" w14:textId="77777777" w:rsidR="00922A39" w:rsidRPr="00EA1BB2" w:rsidRDefault="00922A39" w:rsidP="00692EDC">
            <w:pPr>
              <w:spacing w:line="360" w:lineRule="auto"/>
              <w:jc w:val="center"/>
              <w:rPr>
                <w:rFonts w:ascii="Cambria" w:hAnsi="Cambria"/>
                <w:lang w:val="ro-RO"/>
              </w:rPr>
            </w:pPr>
          </w:p>
        </w:tc>
        <w:tc>
          <w:tcPr>
            <w:tcW w:w="500" w:type="pct"/>
            <w:noWrap/>
          </w:tcPr>
          <w:p w14:paraId="39D8428E" w14:textId="77777777" w:rsidR="00922A39" w:rsidRPr="00EA1BB2" w:rsidRDefault="00922A39" w:rsidP="00692EDC">
            <w:pPr>
              <w:spacing w:line="360" w:lineRule="auto"/>
              <w:jc w:val="center"/>
              <w:rPr>
                <w:rFonts w:ascii="Cambria" w:hAnsi="Cambria"/>
                <w:lang w:val="ro-RO"/>
              </w:rPr>
            </w:pPr>
          </w:p>
        </w:tc>
        <w:tc>
          <w:tcPr>
            <w:tcW w:w="500" w:type="pct"/>
            <w:noWrap/>
          </w:tcPr>
          <w:p w14:paraId="387E0BD7" w14:textId="77777777" w:rsidR="00922A39" w:rsidRPr="00EA1BB2" w:rsidRDefault="00922A39" w:rsidP="00692EDC">
            <w:pPr>
              <w:spacing w:line="360" w:lineRule="auto"/>
              <w:jc w:val="center"/>
              <w:rPr>
                <w:rFonts w:ascii="Cambria" w:hAnsi="Cambria"/>
                <w:lang w:val="ro-RO"/>
              </w:rPr>
            </w:pPr>
          </w:p>
        </w:tc>
        <w:tc>
          <w:tcPr>
            <w:tcW w:w="500" w:type="pct"/>
            <w:noWrap/>
          </w:tcPr>
          <w:p w14:paraId="5699112B" w14:textId="77777777" w:rsidR="00922A39" w:rsidRPr="00EA1BB2" w:rsidRDefault="00922A39" w:rsidP="00692EDC">
            <w:pPr>
              <w:spacing w:line="360" w:lineRule="auto"/>
              <w:jc w:val="center"/>
              <w:rPr>
                <w:rFonts w:ascii="Cambria" w:hAnsi="Cambria"/>
                <w:lang w:val="ro-RO"/>
              </w:rPr>
            </w:pPr>
            <w:r w:rsidRPr="00EA1BB2">
              <w:rPr>
                <w:rFonts w:ascii="Cambria" w:hAnsi="Cambria"/>
                <w:lang w:val="ro-RO"/>
              </w:rPr>
              <w:t>72759260</w:t>
            </w:r>
          </w:p>
        </w:tc>
        <w:tc>
          <w:tcPr>
            <w:tcW w:w="500" w:type="pct"/>
            <w:noWrap/>
          </w:tcPr>
          <w:p w14:paraId="49348533" w14:textId="77777777" w:rsidR="00922A39" w:rsidRPr="00EA1BB2" w:rsidRDefault="00922A39" w:rsidP="00692EDC">
            <w:pPr>
              <w:spacing w:line="360" w:lineRule="auto"/>
              <w:jc w:val="center"/>
              <w:rPr>
                <w:rFonts w:ascii="Cambria" w:hAnsi="Cambria"/>
                <w:lang w:val="ro-RO"/>
              </w:rPr>
            </w:pPr>
            <w:r w:rsidRPr="00EA1BB2">
              <w:rPr>
                <w:rFonts w:ascii="Cambria" w:hAnsi="Cambria"/>
                <w:lang w:val="ro-RO"/>
              </w:rPr>
              <w:t>11539290</w:t>
            </w:r>
          </w:p>
        </w:tc>
        <w:tc>
          <w:tcPr>
            <w:tcW w:w="500" w:type="pct"/>
            <w:noWrap/>
          </w:tcPr>
          <w:p w14:paraId="7EE6C28D" w14:textId="77777777" w:rsidR="00922A39" w:rsidRPr="00EA1BB2" w:rsidRDefault="00922A39" w:rsidP="00692EDC">
            <w:pPr>
              <w:spacing w:line="360" w:lineRule="auto"/>
              <w:jc w:val="center"/>
              <w:rPr>
                <w:rFonts w:ascii="Cambria" w:hAnsi="Cambria"/>
                <w:lang w:val="ro-RO"/>
              </w:rPr>
            </w:pPr>
          </w:p>
        </w:tc>
      </w:tr>
      <w:tr w:rsidR="00922A39" w:rsidRPr="00EA1BB2" w14:paraId="3C61A80F" w14:textId="77777777" w:rsidTr="00922A39">
        <w:trPr>
          <w:trHeight w:val="300"/>
          <w:jc w:val="center"/>
        </w:trPr>
        <w:tc>
          <w:tcPr>
            <w:tcW w:w="499" w:type="pct"/>
            <w:noWrap/>
          </w:tcPr>
          <w:p w14:paraId="443F0873" w14:textId="77777777" w:rsidR="00922A39" w:rsidRPr="00EA1BB2" w:rsidRDefault="00922A39" w:rsidP="00692EDC">
            <w:pPr>
              <w:spacing w:line="360" w:lineRule="auto"/>
              <w:rPr>
                <w:rFonts w:ascii="Cambria" w:hAnsi="Cambria"/>
                <w:lang w:val="ro-RO"/>
              </w:rPr>
            </w:pPr>
            <w:r w:rsidRPr="00EA1BB2">
              <w:rPr>
                <w:rFonts w:ascii="Cambria" w:hAnsi="Cambria"/>
                <w:lang w:val="ro-RO"/>
              </w:rPr>
              <w:t>4.D.2.a</w:t>
            </w:r>
          </w:p>
        </w:tc>
        <w:tc>
          <w:tcPr>
            <w:tcW w:w="500" w:type="pct"/>
            <w:noWrap/>
          </w:tcPr>
          <w:p w14:paraId="413405B5" w14:textId="77777777" w:rsidR="00922A39" w:rsidRPr="00EA1BB2" w:rsidRDefault="00922A39" w:rsidP="00692EDC">
            <w:pPr>
              <w:spacing w:line="360" w:lineRule="auto"/>
              <w:jc w:val="center"/>
              <w:rPr>
                <w:rFonts w:ascii="Cambria" w:hAnsi="Cambria"/>
                <w:lang w:val="ro-RO"/>
              </w:rPr>
            </w:pPr>
          </w:p>
        </w:tc>
        <w:tc>
          <w:tcPr>
            <w:tcW w:w="500" w:type="pct"/>
            <w:noWrap/>
          </w:tcPr>
          <w:p w14:paraId="03CBDA1B" w14:textId="77777777" w:rsidR="00922A39" w:rsidRPr="00EA1BB2" w:rsidRDefault="00922A39" w:rsidP="00692EDC">
            <w:pPr>
              <w:spacing w:line="360" w:lineRule="auto"/>
              <w:jc w:val="center"/>
              <w:rPr>
                <w:rFonts w:ascii="Cambria" w:hAnsi="Cambria"/>
                <w:lang w:val="ro-RO"/>
              </w:rPr>
            </w:pPr>
          </w:p>
        </w:tc>
        <w:tc>
          <w:tcPr>
            <w:tcW w:w="500" w:type="pct"/>
            <w:noWrap/>
          </w:tcPr>
          <w:p w14:paraId="3E7B001F" w14:textId="77777777" w:rsidR="00922A39" w:rsidRPr="00EA1BB2" w:rsidRDefault="00922A39" w:rsidP="00692EDC">
            <w:pPr>
              <w:spacing w:line="360" w:lineRule="auto"/>
              <w:jc w:val="center"/>
              <w:rPr>
                <w:rFonts w:ascii="Cambria" w:hAnsi="Cambria"/>
                <w:lang w:val="ro-RO"/>
              </w:rPr>
            </w:pPr>
          </w:p>
        </w:tc>
        <w:tc>
          <w:tcPr>
            <w:tcW w:w="500" w:type="pct"/>
            <w:noWrap/>
          </w:tcPr>
          <w:p w14:paraId="0FC07597" w14:textId="77777777" w:rsidR="00922A39" w:rsidRPr="00EA1BB2" w:rsidRDefault="00922A39" w:rsidP="00692EDC">
            <w:pPr>
              <w:spacing w:line="360" w:lineRule="auto"/>
              <w:jc w:val="center"/>
              <w:rPr>
                <w:rFonts w:ascii="Cambria" w:hAnsi="Cambria"/>
                <w:lang w:val="ro-RO"/>
              </w:rPr>
            </w:pPr>
          </w:p>
        </w:tc>
        <w:tc>
          <w:tcPr>
            <w:tcW w:w="500" w:type="pct"/>
            <w:noWrap/>
          </w:tcPr>
          <w:p w14:paraId="656BCA8A" w14:textId="77777777" w:rsidR="00922A39" w:rsidRPr="00EA1BB2" w:rsidRDefault="00922A39" w:rsidP="00692EDC">
            <w:pPr>
              <w:spacing w:line="360" w:lineRule="auto"/>
              <w:jc w:val="center"/>
              <w:rPr>
                <w:rFonts w:ascii="Cambria" w:hAnsi="Cambria"/>
                <w:lang w:val="ro-RO"/>
              </w:rPr>
            </w:pPr>
          </w:p>
        </w:tc>
        <w:tc>
          <w:tcPr>
            <w:tcW w:w="500" w:type="pct"/>
            <w:noWrap/>
          </w:tcPr>
          <w:p w14:paraId="7346022C" w14:textId="77777777" w:rsidR="00922A39" w:rsidRPr="00EA1BB2" w:rsidRDefault="00922A39" w:rsidP="00692EDC">
            <w:pPr>
              <w:spacing w:line="360" w:lineRule="auto"/>
              <w:jc w:val="center"/>
              <w:rPr>
                <w:rFonts w:ascii="Cambria" w:hAnsi="Cambria"/>
                <w:lang w:val="ro-RO"/>
              </w:rPr>
            </w:pPr>
          </w:p>
        </w:tc>
        <w:tc>
          <w:tcPr>
            <w:tcW w:w="500" w:type="pct"/>
            <w:noWrap/>
          </w:tcPr>
          <w:p w14:paraId="5FCE3D5B" w14:textId="77777777" w:rsidR="00922A39" w:rsidRPr="00EA1BB2" w:rsidRDefault="00922A39" w:rsidP="00692EDC">
            <w:pPr>
              <w:spacing w:line="360" w:lineRule="auto"/>
              <w:jc w:val="center"/>
              <w:rPr>
                <w:rFonts w:ascii="Cambria" w:hAnsi="Cambria"/>
                <w:lang w:val="ro-RO"/>
              </w:rPr>
            </w:pPr>
            <w:r w:rsidRPr="00EA1BB2">
              <w:rPr>
                <w:rFonts w:ascii="Cambria" w:hAnsi="Cambria"/>
                <w:lang w:val="ro-RO"/>
              </w:rPr>
              <w:t>201240</w:t>
            </w:r>
          </w:p>
        </w:tc>
        <w:tc>
          <w:tcPr>
            <w:tcW w:w="500" w:type="pct"/>
            <w:noWrap/>
          </w:tcPr>
          <w:p w14:paraId="0614B124" w14:textId="77777777" w:rsidR="00922A39" w:rsidRPr="00EA1BB2" w:rsidRDefault="00922A39" w:rsidP="00692EDC">
            <w:pPr>
              <w:spacing w:line="360" w:lineRule="auto"/>
              <w:jc w:val="center"/>
              <w:rPr>
                <w:rFonts w:ascii="Cambria" w:hAnsi="Cambria"/>
                <w:lang w:val="ro-RO"/>
              </w:rPr>
            </w:pPr>
            <w:r w:rsidRPr="00EA1BB2">
              <w:rPr>
                <w:rFonts w:ascii="Cambria" w:hAnsi="Cambria"/>
                <w:lang w:val="ro-RO"/>
              </w:rPr>
              <w:t>7740</w:t>
            </w:r>
          </w:p>
        </w:tc>
        <w:tc>
          <w:tcPr>
            <w:tcW w:w="500" w:type="pct"/>
            <w:noWrap/>
          </w:tcPr>
          <w:p w14:paraId="62DC66D3" w14:textId="77777777" w:rsidR="00922A39" w:rsidRPr="00EA1BB2" w:rsidRDefault="00922A39" w:rsidP="00692EDC">
            <w:pPr>
              <w:spacing w:line="360" w:lineRule="auto"/>
              <w:jc w:val="center"/>
              <w:rPr>
                <w:rFonts w:ascii="Cambria" w:hAnsi="Cambria"/>
                <w:lang w:val="ro-RO"/>
              </w:rPr>
            </w:pPr>
          </w:p>
        </w:tc>
      </w:tr>
      <w:tr w:rsidR="00922A39" w:rsidRPr="00EA1BB2" w14:paraId="236E3359" w14:textId="77777777" w:rsidTr="00922A39">
        <w:trPr>
          <w:trHeight w:val="300"/>
          <w:jc w:val="center"/>
        </w:trPr>
        <w:tc>
          <w:tcPr>
            <w:tcW w:w="499" w:type="pct"/>
            <w:noWrap/>
            <w:vAlign w:val="center"/>
            <w:hideMark/>
          </w:tcPr>
          <w:p w14:paraId="09792783" w14:textId="77777777" w:rsidR="00922A39" w:rsidRPr="00EA1BB2" w:rsidRDefault="00922A39" w:rsidP="00246346">
            <w:pPr>
              <w:spacing w:line="360" w:lineRule="auto"/>
              <w:rPr>
                <w:rFonts w:ascii="Cambria" w:hAnsi="Cambria"/>
                <w:lang w:val="ro-RO"/>
              </w:rPr>
            </w:pPr>
            <w:r w:rsidRPr="00EA1BB2">
              <w:rPr>
                <w:rFonts w:ascii="Cambria" w:hAnsi="Cambria"/>
                <w:lang w:val="ro-RO"/>
              </w:rPr>
              <w:t>Total</w:t>
            </w:r>
          </w:p>
        </w:tc>
        <w:tc>
          <w:tcPr>
            <w:tcW w:w="500" w:type="pct"/>
            <w:noWrap/>
          </w:tcPr>
          <w:p w14:paraId="07ED7AD3" w14:textId="77777777" w:rsidR="00922A39" w:rsidRPr="00EA1BB2" w:rsidRDefault="00922A39" w:rsidP="00246346">
            <w:pPr>
              <w:spacing w:line="360" w:lineRule="auto"/>
              <w:jc w:val="center"/>
              <w:rPr>
                <w:rFonts w:ascii="Cambria" w:hAnsi="Cambria"/>
                <w:lang w:val="ro-RO"/>
              </w:rPr>
            </w:pPr>
            <w:r w:rsidRPr="00EA1BB2">
              <w:rPr>
                <w:rFonts w:ascii="Cambria" w:hAnsi="Cambria"/>
                <w:lang w:val="ro-RO"/>
              </w:rPr>
              <w:t>271,9239555</w:t>
            </w:r>
          </w:p>
        </w:tc>
        <w:tc>
          <w:tcPr>
            <w:tcW w:w="500" w:type="pct"/>
            <w:noWrap/>
          </w:tcPr>
          <w:p w14:paraId="3C8DA6E7" w14:textId="77777777" w:rsidR="00922A39" w:rsidRPr="00EA1BB2" w:rsidRDefault="00922A39" w:rsidP="00246346">
            <w:pPr>
              <w:spacing w:line="360" w:lineRule="auto"/>
              <w:jc w:val="center"/>
              <w:rPr>
                <w:rFonts w:ascii="Cambria" w:hAnsi="Cambria"/>
                <w:lang w:val="ro-RO"/>
              </w:rPr>
            </w:pPr>
            <w:r w:rsidRPr="00EA1BB2">
              <w:rPr>
                <w:rFonts w:ascii="Cambria" w:hAnsi="Cambria"/>
                <w:lang w:val="ro-RO"/>
              </w:rPr>
              <w:t>461,3916401</w:t>
            </w:r>
          </w:p>
        </w:tc>
        <w:tc>
          <w:tcPr>
            <w:tcW w:w="500" w:type="pct"/>
            <w:noWrap/>
          </w:tcPr>
          <w:p w14:paraId="2148B2E1" w14:textId="77777777" w:rsidR="00922A39" w:rsidRPr="00EA1BB2" w:rsidRDefault="00922A39" w:rsidP="00246346">
            <w:pPr>
              <w:spacing w:line="360" w:lineRule="auto"/>
              <w:jc w:val="center"/>
              <w:rPr>
                <w:rFonts w:ascii="Cambria" w:hAnsi="Cambria"/>
                <w:lang w:val="ro-RO"/>
              </w:rPr>
            </w:pPr>
            <w:r w:rsidRPr="00EA1BB2">
              <w:rPr>
                <w:rFonts w:ascii="Cambria" w:hAnsi="Cambria"/>
                <w:lang w:val="ro-RO"/>
              </w:rPr>
              <w:t>1424723139</w:t>
            </w:r>
          </w:p>
        </w:tc>
        <w:tc>
          <w:tcPr>
            <w:tcW w:w="500" w:type="pct"/>
            <w:noWrap/>
          </w:tcPr>
          <w:p w14:paraId="7D0315BC" w14:textId="77777777" w:rsidR="00922A39" w:rsidRPr="00EA1BB2" w:rsidRDefault="00922A39" w:rsidP="00246346">
            <w:pPr>
              <w:spacing w:line="360" w:lineRule="auto"/>
              <w:jc w:val="center"/>
              <w:rPr>
                <w:rFonts w:ascii="Cambria" w:hAnsi="Cambria"/>
                <w:lang w:val="ro-RO"/>
              </w:rPr>
            </w:pPr>
            <w:r w:rsidRPr="00EA1BB2">
              <w:rPr>
                <w:rFonts w:ascii="Cambria" w:hAnsi="Cambria"/>
                <w:lang w:val="ro-RO"/>
              </w:rPr>
              <w:t>19229,55872</w:t>
            </w:r>
          </w:p>
        </w:tc>
        <w:tc>
          <w:tcPr>
            <w:tcW w:w="500" w:type="pct"/>
            <w:noWrap/>
          </w:tcPr>
          <w:p w14:paraId="7A65CFBE" w14:textId="77777777" w:rsidR="00922A39" w:rsidRPr="00EA1BB2" w:rsidRDefault="00922A39" w:rsidP="00246346">
            <w:pPr>
              <w:spacing w:line="360" w:lineRule="auto"/>
              <w:jc w:val="center"/>
              <w:rPr>
                <w:rFonts w:ascii="Cambria" w:hAnsi="Cambria"/>
                <w:lang w:val="ro-RO"/>
              </w:rPr>
            </w:pPr>
            <w:r w:rsidRPr="00EA1BB2">
              <w:rPr>
                <w:rFonts w:ascii="Cambria" w:hAnsi="Cambria"/>
                <w:lang w:val="ro-RO"/>
              </w:rPr>
              <w:t>35064934,42</w:t>
            </w:r>
          </w:p>
        </w:tc>
        <w:tc>
          <w:tcPr>
            <w:tcW w:w="500" w:type="pct"/>
            <w:noWrap/>
          </w:tcPr>
          <w:p w14:paraId="2EDFB55E" w14:textId="77777777" w:rsidR="00922A39" w:rsidRPr="00EA1BB2" w:rsidRDefault="00922A39" w:rsidP="00246346">
            <w:pPr>
              <w:spacing w:line="360" w:lineRule="auto"/>
              <w:jc w:val="center"/>
              <w:rPr>
                <w:rFonts w:ascii="Cambria" w:hAnsi="Cambria"/>
                <w:lang w:val="ro-RO"/>
              </w:rPr>
            </w:pPr>
            <w:r w:rsidRPr="00EA1BB2">
              <w:rPr>
                <w:rFonts w:ascii="Cambria" w:hAnsi="Cambria"/>
                <w:lang w:val="ro-RO"/>
              </w:rPr>
              <w:t>10859,09268</w:t>
            </w:r>
          </w:p>
        </w:tc>
        <w:tc>
          <w:tcPr>
            <w:tcW w:w="500" w:type="pct"/>
            <w:noWrap/>
          </w:tcPr>
          <w:p w14:paraId="573DAF0A" w14:textId="77777777" w:rsidR="00922A39" w:rsidRPr="00EA1BB2" w:rsidRDefault="00922A39" w:rsidP="00246346">
            <w:pPr>
              <w:spacing w:line="360" w:lineRule="auto"/>
              <w:jc w:val="center"/>
              <w:rPr>
                <w:rFonts w:ascii="Cambria" w:hAnsi="Cambria"/>
                <w:lang w:val="ro-RO"/>
              </w:rPr>
            </w:pPr>
            <w:r w:rsidRPr="00EA1BB2">
              <w:rPr>
                <w:rFonts w:ascii="Cambria" w:hAnsi="Cambria"/>
                <w:lang w:val="ro-RO"/>
              </w:rPr>
              <w:t>266686757,4</w:t>
            </w:r>
          </w:p>
        </w:tc>
        <w:tc>
          <w:tcPr>
            <w:tcW w:w="500" w:type="pct"/>
            <w:noWrap/>
          </w:tcPr>
          <w:p w14:paraId="7470EEF1" w14:textId="77777777" w:rsidR="00922A39" w:rsidRPr="00EA1BB2" w:rsidRDefault="00922A39" w:rsidP="00246346">
            <w:pPr>
              <w:spacing w:line="360" w:lineRule="auto"/>
              <w:jc w:val="center"/>
              <w:rPr>
                <w:rFonts w:ascii="Cambria" w:hAnsi="Cambria"/>
                <w:lang w:val="ro-RO"/>
              </w:rPr>
            </w:pPr>
            <w:r w:rsidRPr="00EA1BB2">
              <w:rPr>
                <w:rFonts w:ascii="Cambria" w:hAnsi="Cambria"/>
                <w:lang w:val="ro-RO"/>
              </w:rPr>
              <w:t>204699478,1</w:t>
            </w:r>
          </w:p>
        </w:tc>
        <w:tc>
          <w:tcPr>
            <w:tcW w:w="500" w:type="pct"/>
            <w:noWrap/>
          </w:tcPr>
          <w:p w14:paraId="2B8B8B5D" w14:textId="77777777" w:rsidR="00922A39" w:rsidRPr="00EA1BB2" w:rsidRDefault="00922A39" w:rsidP="00246346">
            <w:pPr>
              <w:spacing w:line="360" w:lineRule="auto"/>
              <w:jc w:val="center"/>
              <w:rPr>
                <w:rFonts w:ascii="Cambria" w:hAnsi="Cambria"/>
                <w:lang w:val="ro-RO"/>
              </w:rPr>
            </w:pPr>
            <w:r w:rsidRPr="00EA1BB2">
              <w:rPr>
                <w:rFonts w:ascii="Cambria" w:hAnsi="Cambria"/>
                <w:lang w:val="ro-RO"/>
              </w:rPr>
              <w:t>12917929,54</w:t>
            </w:r>
          </w:p>
        </w:tc>
      </w:tr>
    </w:tbl>
    <w:p w14:paraId="55B49886" w14:textId="77777777" w:rsidR="00343667" w:rsidRPr="00EA1BB2" w:rsidRDefault="00343667" w:rsidP="00343667">
      <w:pPr>
        <w:spacing w:line="276" w:lineRule="auto"/>
        <w:jc w:val="both"/>
        <w:rPr>
          <w:rFonts w:ascii="Cambria" w:eastAsia="Times New Roman" w:hAnsi="Cambria" w:cs="Times New Roman"/>
          <w:szCs w:val="24"/>
        </w:rPr>
      </w:pPr>
      <w:r w:rsidRPr="00EA1BB2">
        <w:rPr>
          <w:rFonts w:ascii="Cambria" w:eastAsia="Times New Roman" w:hAnsi="Cambria" w:cs="Times New Roman"/>
          <w:szCs w:val="24"/>
        </w:rPr>
        <w:t>*cu excep</w:t>
      </w:r>
      <w:r w:rsidR="00054880" w:rsidRPr="00EA1BB2">
        <w:rPr>
          <w:rFonts w:ascii="Cambria" w:eastAsia="Times New Roman" w:hAnsi="Cambria" w:cs="Times New Roman"/>
          <w:szCs w:val="24"/>
        </w:rPr>
        <w:t>ț</w:t>
      </w:r>
      <w:r w:rsidRPr="00EA1BB2">
        <w:rPr>
          <w:rFonts w:ascii="Cambria" w:eastAsia="Times New Roman" w:hAnsi="Cambria" w:cs="Times New Roman"/>
          <w:szCs w:val="24"/>
        </w:rPr>
        <w:t>ia municipiului Brăila</w:t>
      </w:r>
    </w:p>
    <w:p w14:paraId="0C4C398E" w14:textId="77777777" w:rsidR="00811204" w:rsidRPr="00EA1BB2" w:rsidRDefault="00811204" w:rsidP="00811204">
      <w:pPr>
        <w:spacing w:line="276" w:lineRule="auto"/>
        <w:jc w:val="both"/>
        <w:rPr>
          <w:rFonts w:ascii="Cambria" w:eastAsia="Times New Roman" w:hAnsi="Cambria" w:cs="Times New Roman"/>
          <w:szCs w:val="24"/>
        </w:rPr>
      </w:pPr>
      <w:r w:rsidRPr="00EA1BB2">
        <w:rPr>
          <w:rFonts w:ascii="Cambria" w:eastAsia="Times New Roman" w:hAnsi="Cambria" w:cs="Times New Roman"/>
          <w:szCs w:val="24"/>
        </w:rPr>
        <w:t>Notă: În ILE nu sunt raportate emisii de C</w:t>
      </w:r>
      <w:r w:rsidRPr="00EA1BB2">
        <w:rPr>
          <w:rFonts w:ascii="Cambria" w:eastAsia="Times New Roman" w:hAnsi="Cambria" w:cs="Times New Roman"/>
          <w:szCs w:val="24"/>
          <w:vertAlign w:val="subscript"/>
        </w:rPr>
        <w:t>6</w:t>
      </w:r>
      <w:r w:rsidRPr="00EA1BB2">
        <w:rPr>
          <w:rFonts w:ascii="Cambria" w:eastAsia="Times New Roman" w:hAnsi="Cambria" w:cs="Times New Roman"/>
          <w:szCs w:val="24"/>
        </w:rPr>
        <w:t>H</w:t>
      </w:r>
      <w:r w:rsidRPr="00EA1BB2">
        <w:rPr>
          <w:rFonts w:ascii="Cambria" w:eastAsia="Times New Roman" w:hAnsi="Cambria" w:cs="Times New Roman"/>
          <w:szCs w:val="24"/>
          <w:vertAlign w:val="subscript"/>
        </w:rPr>
        <w:t>6</w:t>
      </w:r>
    </w:p>
    <w:p w14:paraId="6348AD23" w14:textId="77777777" w:rsidR="00343667" w:rsidRPr="00EA1BB2" w:rsidRDefault="00343667" w:rsidP="00343667">
      <w:pPr>
        <w:spacing w:line="276" w:lineRule="auto"/>
        <w:jc w:val="both"/>
        <w:rPr>
          <w:rFonts w:ascii="Cambria" w:eastAsia="Times New Roman" w:hAnsi="Cambria" w:cs="Times New Roman"/>
          <w:szCs w:val="24"/>
        </w:rPr>
      </w:pPr>
      <w:r w:rsidRPr="00EA1BB2">
        <w:rPr>
          <w:rFonts w:ascii="Cambria" w:eastAsia="Times New Roman" w:hAnsi="Cambria" w:cs="Times New Roman"/>
          <w:szCs w:val="24"/>
        </w:rPr>
        <w:t>Sursa: ANPM - ILE 2013</w:t>
      </w:r>
    </w:p>
    <w:p w14:paraId="76270C86" w14:textId="77777777" w:rsidR="00343667" w:rsidRPr="00EA1BB2" w:rsidRDefault="00343667" w:rsidP="00343667">
      <w:pPr>
        <w:rPr>
          <w:rFonts w:ascii="Cambria" w:hAnsi="Cambria"/>
        </w:rPr>
      </w:pPr>
    </w:p>
    <w:p w14:paraId="531877B3" w14:textId="77777777" w:rsidR="00343667" w:rsidRPr="00EA1BB2" w:rsidRDefault="00343667" w:rsidP="00343667">
      <w:pPr>
        <w:rPr>
          <w:rFonts w:ascii="Cambria" w:hAnsi="Cambria"/>
        </w:rPr>
      </w:pPr>
    </w:p>
    <w:p w14:paraId="6CB4F427" w14:textId="77777777" w:rsidR="00343667" w:rsidRPr="00EA1BB2" w:rsidRDefault="00343667" w:rsidP="00343667">
      <w:pPr>
        <w:jc w:val="center"/>
        <w:rPr>
          <w:rFonts w:ascii="Cambria" w:hAnsi="Cambria"/>
        </w:rPr>
      </w:pPr>
    </w:p>
    <w:p w14:paraId="75076C1C" w14:textId="77777777" w:rsidR="00343667" w:rsidRPr="00EA1BB2" w:rsidRDefault="00343667" w:rsidP="00343667">
      <w:pPr>
        <w:rPr>
          <w:rFonts w:ascii="Cambria" w:hAnsi="Cambria"/>
        </w:rPr>
      </w:pPr>
    </w:p>
    <w:p w14:paraId="38CB5666" w14:textId="77777777" w:rsidR="00343667" w:rsidRPr="00EA1BB2" w:rsidRDefault="00343667" w:rsidP="00343667">
      <w:pPr>
        <w:rPr>
          <w:rFonts w:ascii="Cambria" w:hAnsi="Cambria"/>
        </w:rPr>
      </w:pPr>
    </w:p>
    <w:p w14:paraId="6BBE5401" w14:textId="77777777" w:rsidR="00343667" w:rsidRPr="00EA1BB2" w:rsidRDefault="00343667" w:rsidP="00343667">
      <w:pPr>
        <w:rPr>
          <w:rFonts w:ascii="Cambria" w:hAnsi="Cambria"/>
        </w:rPr>
      </w:pPr>
    </w:p>
    <w:p w14:paraId="7FA9991B" w14:textId="77777777" w:rsidR="00343667" w:rsidRPr="00EA1BB2" w:rsidRDefault="00343667" w:rsidP="00343667">
      <w:pPr>
        <w:rPr>
          <w:rFonts w:ascii="Cambria" w:hAnsi="Cambria"/>
        </w:rPr>
      </w:pPr>
    </w:p>
    <w:p w14:paraId="28638CA2" w14:textId="77777777" w:rsidR="00343667" w:rsidRPr="00EA1BB2" w:rsidRDefault="00343667" w:rsidP="00343667">
      <w:pPr>
        <w:rPr>
          <w:rFonts w:ascii="Cambria" w:hAnsi="Cambria"/>
        </w:rPr>
      </w:pPr>
    </w:p>
    <w:p w14:paraId="0E16E504" w14:textId="77777777" w:rsidR="00343667" w:rsidRPr="00EA1BB2" w:rsidRDefault="00343667" w:rsidP="00343667">
      <w:pPr>
        <w:rPr>
          <w:rFonts w:ascii="Cambria" w:hAnsi="Cambria"/>
        </w:rPr>
      </w:pPr>
    </w:p>
    <w:p w14:paraId="1F5C8CD8" w14:textId="77777777" w:rsidR="00343667" w:rsidRPr="00EA1BB2" w:rsidRDefault="00343667" w:rsidP="00343667">
      <w:pPr>
        <w:rPr>
          <w:rFonts w:ascii="Cambria" w:hAnsi="Cambria"/>
        </w:rPr>
        <w:sectPr w:rsidR="00343667" w:rsidRPr="00EA1BB2" w:rsidSect="00C75800">
          <w:pgSz w:w="16838" w:h="11906" w:orient="landscape" w:code="9"/>
          <w:pgMar w:top="1134" w:right="1418" w:bottom="1134" w:left="1418" w:header="510" w:footer="510" w:gutter="0"/>
          <w:cols w:space="708"/>
          <w:docGrid w:linePitch="360"/>
        </w:sectPr>
      </w:pPr>
    </w:p>
    <w:p w14:paraId="3C93EB66" w14:textId="01A20BF7" w:rsidR="006E5783" w:rsidRPr="00EA1BB2" w:rsidRDefault="00343667" w:rsidP="006E5783">
      <w:pPr>
        <w:pStyle w:val="Caption"/>
        <w:keepNext/>
        <w:spacing w:after="0" w:line="360" w:lineRule="auto"/>
        <w:ind w:firstLine="708"/>
        <w:jc w:val="both"/>
        <w:rPr>
          <w:rFonts w:ascii="Cambria" w:hAnsi="Cambria"/>
          <w:highlight w:val="yellow"/>
        </w:rPr>
      </w:pPr>
      <w:bookmarkStart w:id="196" w:name="_Toc524966223"/>
      <w:r w:rsidRPr="00EA1BB2">
        <w:rPr>
          <w:rFonts w:ascii="Cambria" w:hAnsi="Cambria"/>
        </w:rPr>
        <w:lastRenderedPageBreak/>
        <w:t xml:space="preserve">Figura nr. </w:t>
      </w:r>
      <w:r w:rsidR="00280BC9" w:rsidRPr="00EA1BB2">
        <w:rPr>
          <w:rFonts w:ascii="Cambria" w:hAnsi="Cambria"/>
        </w:rPr>
        <w:fldChar w:fldCharType="begin"/>
      </w:r>
      <w:r w:rsidR="00BA6FA3" w:rsidRPr="00EA1BB2">
        <w:rPr>
          <w:rFonts w:ascii="Cambria" w:hAnsi="Cambria"/>
        </w:rPr>
        <w:instrText xml:space="preserve"> STYLEREF 1 \s </w:instrText>
      </w:r>
      <w:r w:rsidR="00280BC9" w:rsidRPr="00EA1BB2">
        <w:rPr>
          <w:rFonts w:ascii="Cambria" w:hAnsi="Cambria"/>
        </w:rPr>
        <w:fldChar w:fldCharType="separate"/>
      </w:r>
      <w:r w:rsidR="00567555">
        <w:rPr>
          <w:rFonts w:ascii="Cambria" w:hAnsi="Cambria"/>
          <w:noProof/>
        </w:rPr>
        <w:t>3</w:t>
      </w:r>
      <w:r w:rsidR="00280BC9" w:rsidRPr="00EA1BB2">
        <w:rPr>
          <w:rFonts w:ascii="Cambria" w:hAnsi="Cambria"/>
        </w:rPr>
        <w:fldChar w:fldCharType="end"/>
      </w:r>
      <w:r w:rsidR="00BA6FA3" w:rsidRPr="00EA1BB2">
        <w:rPr>
          <w:rFonts w:ascii="Cambria" w:hAnsi="Cambria"/>
        </w:rPr>
        <w:noBreakHyphen/>
      </w:r>
      <w:r w:rsidR="00280BC9" w:rsidRPr="00EA1BB2">
        <w:rPr>
          <w:rFonts w:ascii="Cambria" w:hAnsi="Cambria"/>
        </w:rPr>
        <w:fldChar w:fldCharType="begin"/>
      </w:r>
      <w:r w:rsidR="00BA6FA3" w:rsidRPr="00EA1BB2">
        <w:rPr>
          <w:rFonts w:ascii="Cambria" w:hAnsi="Cambria"/>
        </w:rPr>
        <w:instrText xml:space="preserve"> SEQ Figura_nr. \* ARABIC \s 1 </w:instrText>
      </w:r>
      <w:r w:rsidR="00280BC9" w:rsidRPr="00EA1BB2">
        <w:rPr>
          <w:rFonts w:ascii="Cambria" w:hAnsi="Cambria"/>
        </w:rPr>
        <w:fldChar w:fldCharType="separate"/>
      </w:r>
      <w:r w:rsidR="00567555">
        <w:rPr>
          <w:rFonts w:ascii="Cambria" w:hAnsi="Cambria"/>
          <w:noProof/>
        </w:rPr>
        <w:t>12</w:t>
      </w:r>
      <w:r w:rsidR="00280BC9" w:rsidRPr="00EA1BB2">
        <w:rPr>
          <w:rFonts w:ascii="Cambria" w:hAnsi="Cambria"/>
        </w:rPr>
        <w:fldChar w:fldCharType="end"/>
      </w:r>
      <w:r w:rsidRPr="00EA1BB2">
        <w:rPr>
          <w:rFonts w:ascii="Cambria" w:hAnsi="Cambria"/>
        </w:rPr>
        <w:t xml:space="preserve"> - Contribu</w:t>
      </w:r>
      <w:r w:rsidR="00054880" w:rsidRPr="00EA1BB2">
        <w:rPr>
          <w:rFonts w:ascii="Cambria" w:hAnsi="Cambria"/>
        </w:rPr>
        <w:t>ț</w:t>
      </w:r>
      <w:r w:rsidRPr="00EA1BB2">
        <w:rPr>
          <w:rFonts w:ascii="Cambria" w:hAnsi="Cambria"/>
        </w:rPr>
        <w:t>ia sectoarelor de activitate (surse de suprafa</w:t>
      </w:r>
      <w:r w:rsidR="00054880" w:rsidRPr="00EA1BB2">
        <w:rPr>
          <w:rFonts w:ascii="Cambria" w:hAnsi="Cambria"/>
        </w:rPr>
        <w:t>ț</w:t>
      </w:r>
      <w:r w:rsidRPr="00EA1BB2">
        <w:rPr>
          <w:rFonts w:ascii="Cambria" w:hAnsi="Cambria"/>
        </w:rPr>
        <w:t>ă) la emisiilor totale de poluan</w:t>
      </w:r>
      <w:r w:rsidR="00054880" w:rsidRPr="00EA1BB2">
        <w:rPr>
          <w:rFonts w:ascii="Cambria" w:hAnsi="Cambria"/>
        </w:rPr>
        <w:t>ț</w:t>
      </w:r>
      <w:r w:rsidRPr="00EA1BB2">
        <w:rPr>
          <w:rFonts w:ascii="Cambria" w:hAnsi="Cambria"/>
        </w:rPr>
        <w:t>i din jude</w:t>
      </w:r>
      <w:r w:rsidR="00054880" w:rsidRPr="00EA1BB2">
        <w:rPr>
          <w:rFonts w:ascii="Cambria" w:hAnsi="Cambria"/>
        </w:rPr>
        <w:t>ț</w:t>
      </w:r>
      <w:r w:rsidRPr="00EA1BB2">
        <w:rPr>
          <w:rFonts w:ascii="Cambria" w:hAnsi="Cambria"/>
        </w:rPr>
        <w:t>ul Brăila, în anul de referin</w:t>
      </w:r>
      <w:r w:rsidR="00054880" w:rsidRPr="00EA1BB2">
        <w:rPr>
          <w:rFonts w:ascii="Cambria" w:hAnsi="Cambria"/>
        </w:rPr>
        <w:t>ț</w:t>
      </w:r>
      <w:r w:rsidRPr="00EA1BB2">
        <w:rPr>
          <w:rFonts w:ascii="Cambria" w:hAnsi="Cambria"/>
        </w:rPr>
        <w:t>ă 2013 (%)</w:t>
      </w:r>
      <w:bookmarkEnd w:id="196"/>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4508"/>
        <w:gridCol w:w="4508"/>
      </w:tblGrid>
      <w:tr w:rsidR="006E5783" w:rsidRPr="00EA1BB2" w14:paraId="1D494A6F" w14:textId="77777777" w:rsidTr="00795634">
        <w:tc>
          <w:tcPr>
            <w:tcW w:w="4508" w:type="dxa"/>
            <w:vAlign w:val="center"/>
          </w:tcPr>
          <w:p w14:paraId="11BA72FC" w14:textId="77777777" w:rsidR="006E5783" w:rsidRPr="00EA1BB2" w:rsidRDefault="006E5783" w:rsidP="00795634">
            <w:pPr>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1.</w:t>
            </w:r>
            <w:r w:rsidRPr="00EA1BB2">
              <w:rPr>
                <w:rFonts w:ascii="Cambria" w:eastAsia="Times New Roman" w:hAnsi="Cambria" w:cs="Times New Roman"/>
                <w:noProof/>
                <w:sz w:val="24"/>
                <w:szCs w:val="24"/>
              </w:rPr>
              <w:drawing>
                <wp:inline distT="0" distB="0" distL="0" distR="0" wp14:anchorId="1F20E85A" wp14:editId="4C7E98C4">
                  <wp:extent cx="2562225" cy="1584000"/>
                  <wp:effectExtent l="0" t="0" r="9525" b="16510"/>
                  <wp:docPr id="83" name="Chart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tc>
        <w:tc>
          <w:tcPr>
            <w:tcW w:w="4508" w:type="dxa"/>
          </w:tcPr>
          <w:p w14:paraId="38D9F99A" w14:textId="77777777" w:rsidR="006E5783" w:rsidRPr="00EA1BB2" w:rsidRDefault="006E5783" w:rsidP="00795634">
            <w:pPr>
              <w:jc w:val="both"/>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2.</w:t>
            </w:r>
            <w:r w:rsidRPr="00EA1BB2">
              <w:rPr>
                <w:rFonts w:ascii="Cambria" w:eastAsia="Times New Roman" w:hAnsi="Cambria" w:cs="Times New Roman"/>
                <w:noProof/>
                <w:sz w:val="24"/>
                <w:szCs w:val="24"/>
              </w:rPr>
              <w:drawing>
                <wp:inline distT="0" distB="0" distL="0" distR="0" wp14:anchorId="2FB76967" wp14:editId="2A5351DC">
                  <wp:extent cx="2562225" cy="1584000"/>
                  <wp:effectExtent l="0" t="0" r="9525" b="16510"/>
                  <wp:docPr id="84" name="Chart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tc>
      </w:tr>
      <w:tr w:rsidR="006E5783" w:rsidRPr="00EA1BB2" w14:paraId="65925FA0" w14:textId="77777777" w:rsidTr="00795634">
        <w:tc>
          <w:tcPr>
            <w:tcW w:w="4508" w:type="dxa"/>
          </w:tcPr>
          <w:p w14:paraId="1FB954B9" w14:textId="77777777" w:rsidR="006E5783" w:rsidRPr="00EA1BB2" w:rsidRDefault="006E5783" w:rsidP="00795634">
            <w:pPr>
              <w:jc w:val="both"/>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3.</w:t>
            </w:r>
            <w:r w:rsidRPr="00EA1BB2">
              <w:rPr>
                <w:rFonts w:ascii="Cambria" w:eastAsia="Times New Roman" w:hAnsi="Cambria" w:cs="Times New Roman"/>
                <w:noProof/>
                <w:sz w:val="24"/>
                <w:szCs w:val="24"/>
              </w:rPr>
              <w:drawing>
                <wp:inline distT="0" distB="0" distL="0" distR="0" wp14:anchorId="59783CA9" wp14:editId="74BC1421">
                  <wp:extent cx="2562225" cy="1584000"/>
                  <wp:effectExtent l="0" t="0" r="9525" b="16510"/>
                  <wp:docPr id="85" name="Chart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tc>
        <w:tc>
          <w:tcPr>
            <w:tcW w:w="4508" w:type="dxa"/>
          </w:tcPr>
          <w:p w14:paraId="23F4133A" w14:textId="77777777" w:rsidR="006E5783" w:rsidRPr="00EA1BB2" w:rsidRDefault="006E5783" w:rsidP="00795634">
            <w:pPr>
              <w:jc w:val="both"/>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4.</w:t>
            </w:r>
            <w:r w:rsidRPr="00EA1BB2">
              <w:rPr>
                <w:rFonts w:ascii="Cambria" w:eastAsia="Times New Roman" w:hAnsi="Cambria" w:cs="Times New Roman"/>
                <w:noProof/>
                <w:sz w:val="24"/>
                <w:szCs w:val="24"/>
              </w:rPr>
              <w:drawing>
                <wp:inline distT="0" distB="0" distL="0" distR="0" wp14:anchorId="6E5D360A" wp14:editId="08EF07CF">
                  <wp:extent cx="2562225" cy="1584000"/>
                  <wp:effectExtent l="0" t="0" r="9525" b="16510"/>
                  <wp:docPr id="86" name="Chart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tc>
      </w:tr>
      <w:tr w:rsidR="006E5783" w:rsidRPr="00EA1BB2" w14:paraId="65560BAD" w14:textId="77777777" w:rsidTr="00795634">
        <w:tc>
          <w:tcPr>
            <w:tcW w:w="4508" w:type="dxa"/>
          </w:tcPr>
          <w:p w14:paraId="3B6B68DF" w14:textId="77777777" w:rsidR="006E5783" w:rsidRPr="00EA1BB2" w:rsidRDefault="006E5783" w:rsidP="00795634">
            <w:pPr>
              <w:jc w:val="both"/>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5.</w:t>
            </w:r>
            <w:r w:rsidRPr="00EA1BB2">
              <w:rPr>
                <w:rFonts w:ascii="Cambria" w:eastAsia="Times New Roman" w:hAnsi="Cambria" w:cs="Times New Roman"/>
                <w:noProof/>
                <w:sz w:val="24"/>
                <w:szCs w:val="24"/>
              </w:rPr>
              <w:drawing>
                <wp:inline distT="0" distB="0" distL="0" distR="0" wp14:anchorId="550B5283" wp14:editId="2E693BEA">
                  <wp:extent cx="2562225" cy="1584000"/>
                  <wp:effectExtent l="0" t="0" r="9525" b="16510"/>
                  <wp:docPr id="88" name="Chart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tc>
        <w:tc>
          <w:tcPr>
            <w:tcW w:w="4508" w:type="dxa"/>
          </w:tcPr>
          <w:p w14:paraId="22A3147F" w14:textId="77777777" w:rsidR="006E5783" w:rsidRPr="00EA1BB2" w:rsidRDefault="006E5783" w:rsidP="00795634">
            <w:pPr>
              <w:jc w:val="both"/>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6.</w:t>
            </w:r>
            <w:r w:rsidRPr="00EA1BB2">
              <w:rPr>
                <w:rFonts w:ascii="Cambria" w:eastAsia="Times New Roman" w:hAnsi="Cambria" w:cs="Times New Roman"/>
                <w:noProof/>
                <w:sz w:val="24"/>
                <w:szCs w:val="24"/>
              </w:rPr>
              <w:drawing>
                <wp:inline distT="0" distB="0" distL="0" distR="0" wp14:anchorId="162C4F0F" wp14:editId="3CE1BE21">
                  <wp:extent cx="2562225" cy="1584000"/>
                  <wp:effectExtent l="0" t="0" r="9525" b="16510"/>
                  <wp:docPr id="89" name="Chart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tc>
      </w:tr>
      <w:tr w:rsidR="006E5783" w:rsidRPr="00EA1BB2" w14:paraId="1DF35250" w14:textId="77777777" w:rsidTr="00795634">
        <w:tc>
          <w:tcPr>
            <w:tcW w:w="4508" w:type="dxa"/>
          </w:tcPr>
          <w:p w14:paraId="310AC6E3" w14:textId="77777777" w:rsidR="006E5783" w:rsidRPr="00EA1BB2" w:rsidRDefault="006E5783" w:rsidP="00795634">
            <w:pPr>
              <w:jc w:val="both"/>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7.</w:t>
            </w:r>
            <w:r w:rsidRPr="00EA1BB2">
              <w:rPr>
                <w:rFonts w:ascii="Cambria" w:eastAsia="Times New Roman" w:hAnsi="Cambria" w:cs="Times New Roman"/>
                <w:noProof/>
                <w:sz w:val="24"/>
                <w:szCs w:val="24"/>
              </w:rPr>
              <w:drawing>
                <wp:inline distT="0" distB="0" distL="0" distR="0" wp14:anchorId="3B47BCFF" wp14:editId="4A2A67A4">
                  <wp:extent cx="2562225" cy="1584000"/>
                  <wp:effectExtent l="0" t="0" r="9525" b="16510"/>
                  <wp:docPr id="91" name="Chart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tc>
        <w:tc>
          <w:tcPr>
            <w:tcW w:w="4508" w:type="dxa"/>
          </w:tcPr>
          <w:p w14:paraId="057CC08B" w14:textId="77777777" w:rsidR="006E5783" w:rsidRPr="00EA1BB2" w:rsidRDefault="006E5783" w:rsidP="00795634">
            <w:pPr>
              <w:jc w:val="both"/>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8.</w:t>
            </w:r>
            <w:r w:rsidRPr="00EA1BB2">
              <w:rPr>
                <w:rFonts w:ascii="Cambria" w:eastAsia="Times New Roman" w:hAnsi="Cambria" w:cs="Times New Roman"/>
                <w:noProof/>
                <w:sz w:val="24"/>
                <w:szCs w:val="24"/>
              </w:rPr>
              <w:drawing>
                <wp:inline distT="0" distB="0" distL="0" distR="0" wp14:anchorId="57D6D2B9" wp14:editId="675EDC5F">
                  <wp:extent cx="2562225" cy="1584000"/>
                  <wp:effectExtent l="0" t="0" r="9525" b="16510"/>
                  <wp:docPr id="92" name="Chart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tc>
      </w:tr>
      <w:tr w:rsidR="006E5783" w:rsidRPr="00EA1BB2" w14:paraId="41866772" w14:textId="77777777" w:rsidTr="00795634">
        <w:tc>
          <w:tcPr>
            <w:tcW w:w="4508" w:type="dxa"/>
          </w:tcPr>
          <w:p w14:paraId="1AA99B49" w14:textId="77777777" w:rsidR="006E5783" w:rsidRPr="00EA1BB2" w:rsidRDefault="006E5783" w:rsidP="00795634">
            <w:pPr>
              <w:jc w:val="both"/>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9.</w:t>
            </w:r>
            <w:r w:rsidRPr="00EA1BB2">
              <w:rPr>
                <w:rFonts w:ascii="Cambria" w:eastAsia="Times New Roman" w:hAnsi="Cambria" w:cs="Times New Roman"/>
                <w:noProof/>
                <w:sz w:val="24"/>
                <w:szCs w:val="24"/>
              </w:rPr>
              <w:drawing>
                <wp:inline distT="0" distB="0" distL="0" distR="0" wp14:anchorId="3D390832" wp14:editId="4FFC3E47">
                  <wp:extent cx="2562225" cy="1584000"/>
                  <wp:effectExtent l="0" t="0" r="9525" b="16510"/>
                  <wp:docPr id="93" name="Chart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tc>
        <w:tc>
          <w:tcPr>
            <w:tcW w:w="4508" w:type="dxa"/>
          </w:tcPr>
          <w:p w14:paraId="77B6F949" w14:textId="77777777" w:rsidR="006E5783" w:rsidRPr="00EA1BB2" w:rsidRDefault="006E5783" w:rsidP="00795634">
            <w:pPr>
              <w:jc w:val="both"/>
              <w:rPr>
                <w:rFonts w:ascii="Cambria" w:eastAsia="Times New Roman" w:hAnsi="Cambria" w:cs="Times New Roman"/>
                <w:sz w:val="24"/>
                <w:szCs w:val="24"/>
                <w:lang w:val="ro-RO"/>
              </w:rPr>
            </w:pPr>
          </w:p>
        </w:tc>
      </w:tr>
    </w:tbl>
    <w:p w14:paraId="5C3B590E" w14:textId="77777777" w:rsidR="00343667" w:rsidRPr="00EA1BB2" w:rsidRDefault="00343667" w:rsidP="00343667">
      <w:pPr>
        <w:spacing w:line="276" w:lineRule="auto"/>
        <w:jc w:val="both"/>
        <w:rPr>
          <w:rFonts w:ascii="Cambria" w:eastAsia="Times New Roman" w:hAnsi="Cambria" w:cs="Times New Roman"/>
          <w:szCs w:val="24"/>
        </w:rPr>
      </w:pPr>
      <w:r w:rsidRPr="00EA1BB2">
        <w:rPr>
          <w:rFonts w:ascii="Cambria" w:eastAsia="Times New Roman" w:hAnsi="Cambria" w:cs="Times New Roman"/>
          <w:szCs w:val="24"/>
        </w:rPr>
        <w:t>*cu excep</w:t>
      </w:r>
      <w:r w:rsidR="00054880" w:rsidRPr="00EA1BB2">
        <w:rPr>
          <w:rFonts w:ascii="Cambria" w:eastAsia="Times New Roman" w:hAnsi="Cambria" w:cs="Times New Roman"/>
          <w:szCs w:val="24"/>
        </w:rPr>
        <w:t>ț</w:t>
      </w:r>
      <w:r w:rsidRPr="00EA1BB2">
        <w:rPr>
          <w:rFonts w:ascii="Cambria" w:eastAsia="Times New Roman" w:hAnsi="Cambria" w:cs="Times New Roman"/>
          <w:szCs w:val="24"/>
        </w:rPr>
        <w:t>ia municipiului Brăila</w:t>
      </w:r>
    </w:p>
    <w:p w14:paraId="6BD4435A" w14:textId="77777777" w:rsidR="007D6713" w:rsidRPr="00EA1BB2" w:rsidRDefault="007D6713" w:rsidP="007D6713">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lastRenderedPageBreak/>
        <w:t xml:space="preserve">Din analiza ILE 2013, cel mai mare aport la emisia de CO din surse de suprafață, la nivelul județului Brăila este din Rezidențial - încălzire rezidențială, și prepararea hranei (cod NFR 1.A.4.b.i) </w:t>
      </w:r>
      <w:r w:rsidR="000A20EA" w:rsidRPr="00EA1BB2">
        <w:rPr>
          <w:rFonts w:ascii="Cambria" w:hAnsi="Cambria"/>
          <w:sz w:val="24"/>
        </w:rPr>
        <w:t xml:space="preserve">cu o emisie de 1350,012 tone în anul 2013 </w:t>
      </w:r>
      <w:r w:rsidR="000A20EA" w:rsidRPr="00EA1BB2">
        <w:rPr>
          <w:rFonts w:ascii="Cambria" w:eastAsia="Times New Roman" w:hAnsi="Cambria" w:cs="Times New Roman"/>
          <w:sz w:val="24"/>
          <w:szCs w:val="24"/>
        </w:rPr>
        <w:t xml:space="preserve">(95% din totalul emisiei de CO) </w:t>
      </w:r>
      <w:r w:rsidRPr="00EA1BB2">
        <w:rPr>
          <w:rFonts w:ascii="Cambria" w:eastAsia="Times New Roman" w:hAnsi="Cambria" w:cs="Times New Roman"/>
          <w:sz w:val="24"/>
          <w:szCs w:val="24"/>
        </w:rPr>
        <w:t xml:space="preserve">și </w:t>
      </w:r>
      <w:r w:rsidR="000365B1" w:rsidRPr="00EA1BB2">
        <w:rPr>
          <w:rFonts w:ascii="Cambria" w:eastAsia="Times New Roman" w:hAnsi="Cambria" w:cs="Times New Roman"/>
          <w:sz w:val="24"/>
          <w:szCs w:val="24"/>
        </w:rPr>
        <w:t xml:space="preserve">Arderi în industrii de fabricare și construcții - alte surse mobile nerutiere (cod NFR 1.A.2.f.ii) urmată de </w:t>
      </w:r>
      <w:r w:rsidRPr="00EA1BB2">
        <w:rPr>
          <w:rFonts w:ascii="Cambria" w:eastAsia="Times New Roman" w:hAnsi="Cambria" w:cs="Times New Roman"/>
          <w:sz w:val="24"/>
          <w:szCs w:val="24"/>
        </w:rPr>
        <w:t>Comercial/Instituțional - încălzire comercială și instituțională (cod NFR 1.A.4.a.i).</w:t>
      </w:r>
    </w:p>
    <w:p w14:paraId="4928C8A8" w14:textId="77777777" w:rsidR="007D6713" w:rsidRPr="00EA1BB2" w:rsidRDefault="007D6713" w:rsidP="007D6713">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Conform analizei efectuate, cel mai mare aport la emisia de PM</w:t>
      </w:r>
      <w:r w:rsidRPr="00EA1BB2">
        <w:rPr>
          <w:rFonts w:ascii="Cambria" w:eastAsia="Times New Roman" w:hAnsi="Cambria" w:cs="Times New Roman"/>
          <w:sz w:val="24"/>
          <w:szCs w:val="24"/>
          <w:vertAlign w:val="subscript"/>
        </w:rPr>
        <w:t>10</w:t>
      </w:r>
      <w:r w:rsidRPr="00EA1BB2">
        <w:rPr>
          <w:rFonts w:ascii="Cambria" w:eastAsia="Times New Roman" w:hAnsi="Cambria" w:cs="Times New Roman"/>
          <w:sz w:val="24"/>
          <w:szCs w:val="24"/>
        </w:rPr>
        <w:t xml:space="preserve"> din surse de suprafață, la nivelul județului Brăila, este din Rezidențial - încălzire rezidențială, și prepararea hranei (cod NFR 1.A.4.b.i) </w:t>
      </w:r>
      <w:r w:rsidR="000A20EA" w:rsidRPr="00EA1BB2">
        <w:rPr>
          <w:rFonts w:ascii="Cambria" w:hAnsi="Cambria"/>
          <w:sz w:val="24"/>
        </w:rPr>
        <w:t xml:space="preserve">cu o emisie de 179,227 tone în anul 2013 </w:t>
      </w:r>
      <w:r w:rsidR="000A20EA" w:rsidRPr="00EA1BB2">
        <w:rPr>
          <w:rFonts w:ascii="Cambria" w:eastAsia="Times New Roman" w:hAnsi="Cambria" w:cs="Times New Roman"/>
          <w:sz w:val="24"/>
          <w:szCs w:val="24"/>
        </w:rPr>
        <w:t>(67% din totalul emisiei de PM</w:t>
      </w:r>
      <w:r w:rsidR="000A20EA" w:rsidRPr="00EA1BB2">
        <w:rPr>
          <w:rFonts w:ascii="Cambria" w:eastAsia="Times New Roman" w:hAnsi="Cambria" w:cs="Times New Roman"/>
          <w:sz w:val="24"/>
          <w:szCs w:val="24"/>
          <w:vertAlign w:val="subscript"/>
        </w:rPr>
        <w:t>10</w:t>
      </w:r>
      <w:r w:rsidR="000A20EA" w:rsidRPr="00EA1BB2">
        <w:rPr>
          <w:rFonts w:ascii="Cambria" w:eastAsia="Times New Roman" w:hAnsi="Cambria" w:cs="Times New Roman"/>
          <w:sz w:val="24"/>
          <w:szCs w:val="24"/>
        </w:rPr>
        <w:t xml:space="preserve">) </w:t>
      </w:r>
      <w:r w:rsidRPr="00EA1BB2">
        <w:rPr>
          <w:rFonts w:ascii="Cambria" w:eastAsia="Times New Roman" w:hAnsi="Cambria" w:cs="Times New Roman"/>
          <w:sz w:val="24"/>
          <w:szCs w:val="24"/>
        </w:rPr>
        <w:t>urmată de Creșterea animalelor – Porcine (cod NFR 4.B.8)</w:t>
      </w:r>
      <w:r w:rsidR="000365B1" w:rsidRPr="00EA1BB2">
        <w:rPr>
          <w:rFonts w:ascii="Cambria" w:eastAsia="Times New Roman" w:hAnsi="Cambria" w:cs="Times New Roman"/>
          <w:sz w:val="24"/>
          <w:szCs w:val="24"/>
        </w:rPr>
        <w:t>.</w:t>
      </w:r>
    </w:p>
    <w:p w14:paraId="3CA6C3B3" w14:textId="3A512BC9" w:rsidR="00B14572" w:rsidRPr="00EA1BB2" w:rsidRDefault="00FD3D3C" w:rsidP="00B14572">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Amplasarea</w:t>
      </w:r>
      <w:r w:rsidR="00B14572" w:rsidRPr="00EA1BB2">
        <w:rPr>
          <w:rFonts w:ascii="Cambria" w:eastAsia="Times New Roman" w:hAnsi="Cambria" w:cs="Times New Roman"/>
          <w:sz w:val="24"/>
          <w:szCs w:val="24"/>
        </w:rPr>
        <w:t xml:space="preserve"> surselor de suprafață de emisie la nivelul zonei studiate  - Județul Brăila - surse de emisie raportate în cadrul Inventarului local de emisii 2013 sunt prezentate conform planșei de mai jos.</w:t>
      </w:r>
    </w:p>
    <w:p w14:paraId="64AE8EBB" w14:textId="77777777" w:rsidR="00B14572" w:rsidRPr="00EA1BB2" w:rsidRDefault="00B14572" w:rsidP="00B14572">
      <w:pPr>
        <w:ind w:firstLine="709"/>
        <w:jc w:val="both"/>
        <w:rPr>
          <w:rFonts w:ascii="Cambria" w:eastAsia="Times New Roman" w:hAnsi="Cambria" w:cs="Times New Roman"/>
          <w:sz w:val="24"/>
          <w:szCs w:val="24"/>
        </w:rPr>
      </w:pPr>
    </w:p>
    <w:p w14:paraId="17A67A92" w14:textId="175CA3CB" w:rsidR="00B14572" w:rsidRPr="00EA1BB2" w:rsidRDefault="00B14572" w:rsidP="00B14572">
      <w:pPr>
        <w:spacing w:line="360" w:lineRule="auto"/>
        <w:ind w:firstLine="708"/>
        <w:jc w:val="both"/>
        <w:rPr>
          <w:rFonts w:ascii="Cambria" w:hAnsi="Cambria"/>
          <w:b/>
          <w:iCs/>
          <w:sz w:val="24"/>
          <w:szCs w:val="18"/>
        </w:rPr>
      </w:pPr>
      <w:bookmarkStart w:id="197" w:name="_Toc524966224"/>
      <w:r w:rsidRPr="00EA1BB2">
        <w:rPr>
          <w:rFonts w:ascii="Cambria" w:hAnsi="Cambria"/>
          <w:b/>
        </w:rPr>
        <w:t xml:space="preserve">Figura nr. </w:t>
      </w:r>
      <w:r w:rsidR="00280BC9" w:rsidRPr="00EA1BB2">
        <w:rPr>
          <w:rFonts w:ascii="Cambria" w:hAnsi="Cambria"/>
          <w:b/>
        </w:rPr>
        <w:fldChar w:fldCharType="begin"/>
      </w:r>
      <w:r w:rsidR="00BA6FA3" w:rsidRPr="00EA1BB2">
        <w:rPr>
          <w:rFonts w:ascii="Cambria" w:hAnsi="Cambria"/>
          <w:b/>
        </w:rPr>
        <w:instrText xml:space="preserve"> STYLEREF 1 \s </w:instrText>
      </w:r>
      <w:r w:rsidR="00280BC9" w:rsidRPr="00EA1BB2">
        <w:rPr>
          <w:rFonts w:ascii="Cambria" w:hAnsi="Cambria"/>
          <w:b/>
        </w:rPr>
        <w:fldChar w:fldCharType="separate"/>
      </w:r>
      <w:r w:rsidR="00567555">
        <w:rPr>
          <w:rFonts w:ascii="Cambria" w:hAnsi="Cambria"/>
          <w:b/>
          <w:noProof/>
        </w:rPr>
        <w:t>3</w:t>
      </w:r>
      <w:r w:rsidR="00280BC9" w:rsidRPr="00EA1BB2">
        <w:rPr>
          <w:rFonts w:ascii="Cambria" w:hAnsi="Cambria"/>
          <w:b/>
        </w:rPr>
        <w:fldChar w:fldCharType="end"/>
      </w:r>
      <w:r w:rsidR="00BA6FA3" w:rsidRPr="00EA1BB2">
        <w:rPr>
          <w:rFonts w:ascii="Cambria" w:hAnsi="Cambria"/>
          <w:b/>
        </w:rPr>
        <w:noBreakHyphen/>
      </w:r>
      <w:r w:rsidR="00280BC9" w:rsidRPr="00EA1BB2">
        <w:rPr>
          <w:rFonts w:ascii="Cambria" w:hAnsi="Cambria"/>
          <w:b/>
        </w:rPr>
        <w:fldChar w:fldCharType="begin"/>
      </w:r>
      <w:r w:rsidR="00BA6FA3" w:rsidRPr="00EA1BB2">
        <w:rPr>
          <w:rFonts w:ascii="Cambria" w:hAnsi="Cambria"/>
          <w:b/>
        </w:rPr>
        <w:instrText xml:space="preserve"> SEQ Figura_nr. \* ARABIC \s 1 </w:instrText>
      </w:r>
      <w:r w:rsidR="00280BC9" w:rsidRPr="00EA1BB2">
        <w:rPr>
          <w:rFonts w:ascii="Cambria" w:hAnsi="Cambria"/>
          <w:b/>
        </w:rPr>
        <w:fldChar w:fldCharType="separate"/>
      </w:r>
      <w:r w:rsidR="00567555">
        <w:rPr>
          <w:rFonts w:ascii="Cambria" w:hAnsi="Cambria"/>
          <w:b/>
          <w:noProof/>
        </w:rPr>
        <w:t>13</w:t>
      </w:r>
      <w:r w:rsidR="00280BC9" w:rsidRPr="00EA1BB2">
        <w:rPr>
          <w:rFonts w:ascii="Cambria" w:hAnsi="Cambria"/>
          <w:b/>
        </w:rPr>
        <w:fldChar w:fldCharType="end"/>
      </w:r>
      <w:r w:rsidRPr="00EA1BB2">
        <w:rPr>
          <w:rFonts w:ascii="Cambria" w:hAnsi="Cambria"/>
          <w:b/>
        </w:rPr>
        <w:t xml:space="preserve"> - Surse </w:t>
      </w:r>
      <w:r w:rsidRPr="00EA1BB2">
        <w:rPr>
          <w:rFonts w:ascii="Cambria" w:hAnsi="Cambria"/>
          <w:b/>
          <w:iCs/>
          <w:sz w:val="24"/>
          <w:szCs w:val="18"/>
        </w:rPr>
        <w:t>emisii de suprafață (nedirijate) în județul Brăila</w:t>
      </w:r>
      <w:bookmarkEnd w:id="197"/>
    </w:p>
    <w:p w14:paraId="68B8F653" w14:textId="77777777" w:rsidR="00B14572" w:rsidRPr="00EA1BB2" w:rsidRDefault="00B14572" w:rsidP="00B14572">
      <w:pPr>
        <w:spacing w:line="276" w:lineRule="auto"/>
        <w:jc w:val="center"/>
        <w:rPr>
          <w:rFonts w:ascii="Cambria" w:hAnsi="Cambria"/>
        </w:rPr>
      </w:pPr>
      <w:r w:rsidRPr="00EA1BB2">
        <w:rPr>
          <w:rFonts w:ascii="Cambria" w:hAnsi="Cambria"/>
          <w:noProof/>
          <w:lang w:val="en-US"/>
        </w:rPr>
        <w:drawing>
          <wp:inline distT="0" distB="0" distL="0" distR="0" wp14:anchorId="1AEE1B03" wp14:editId="3B8F072D">
            <wp:extent cx="5760000" cy="4450907"/>
            <wp:effectExtent l="19050" t="19050" r="12700" b="2603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17.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760000" cy="4450907"/>
                    </a:xfrm>
                    <a:prstGeom prst="rect">
                      <a:avLst/>
                    </a:prstGeom>
                    <a:ln>
                      <a:solidFill>
                        <a:sysClr val="window" lastClr="FFFFFF">
                          <a:lumMod val="85000"/>
                        </a:sysClr>
                      </a:solidFill>
                    </a:ln>
                  </pic:spPr>
                </pic:pic>
              </a:graphicData>
            </a:graphic>
          </wp:inline>
        </w:drawing>
      </w:r>
    </w:p>
    <w:p w14:paraId="1ACEAC57" w14:textId="77777777" w:rsidR="00B14572" w:rsidRPr="00EA1BB2" w:rsidRDefault="00B14572" w:rsidP="00B14572">
      <w:pPr>
        <w:spacing w:line="360" w:lineRule="auto"/>
        <w:contextualSpacing/>
        <w:jc w:val="both"/>
        <w:rPr>
          <w:rFonts w:ascii="Cambria" w:eastAsia="Times New Roman" w:hAnsi="Cambria" w:cs="Times New Roman"/>
          <w:sz w:val="24"/>
          <w:szCs w:val="24"/>
        </w:rPr>
      </w:pPr>
    </w:p>
    <w:p w14:paraId="05B64573" w14:textId="77777777" w:rsidR="00B14572" w:rsidRPr="00EA1BB2" w:rsidRDefault="00B14572" w:rsidP="00343667">
      <w:pPr>
        <w:spacing w:line="360" w:lineRule="auto"/>
        <w:rPr>
          <w:rFonts w:ascii="Cambria" w:hAnsi="Cambria"/>
          <w:sz w:val="24"/>
        </w:rPr>
      </w:pPr>
    </w:p>
    <w:p w14:paraId="3C92F6F6" w14:textId="77777777" w:rsidR="00343667" w:rsidRPr="00EA1BB2" w:rsidRDefault="008D285E" w:rsidP="00E859EF">
      <w:pPr>
        <w:pStyle w:val="Heading2"/>
        <w:numPr>
          <w:ilvl w:val="1"/>
          <w:numId w:val="1"/>
        </w:numPr>
        <w:spacing w:before="0"/>
        <w:ind w:left="0" w:firstLine="709"/>
        <w:jc w:val="both"/>
        <w:rPr>
          <w:rFonts w:ascii="Cambria" w:eastAsia="Times New Roman" w:hAnsi="Cambria"/>
          <w:color w:val="0070C0"/>
          <w:szCs w:val="24"/>
        </w:rPr>
      </w:pPr>
      <w:bookmarkStart w:id="198" w:name="_Toc526889742"/>
      <w:r w:rsidRPr="00EA1BB2">
        <w:rPr>
          <w:rFonts w:ascii="Cambria" w:eastAsia="Times New Roman" w:hAnsi="Cambria"/>
          <w:color w:val="0070C0"/>
          <w:szCs w:val="24"/>
        </w:rPr>
        <w:lastRenderedPageBreak/>
        <w:t>I</w:t>
      </w:r>
      <w:r w:rsidR="00744560" w:rsidRPr="00EA1BB2">
        <w:rPr>
          <w:rFonts w:ascii="Cambria" w:eastAsia="Times New Roman" w:hAnsi="Cambria"/>
          <w:color w:val="0070C0"/>
          <w:szCs w:val="24"/>
        </w:rPr>
        <w:t>nforma</w:t>
      </w:r>
      <w:r w:rsidR="00054880" w:rsidRPr="00EA1BB2">
        <w:rPr>
          <w:rFonts w:ascii="Cambria" w:eastAsia="Times New Roman" w:hAnsi="Cambria"/>
          <w:color w:val="0070C0"/>
          <w:szCs w:val="24"/>
        </w:rPr>
        <w:t>ț</w:t>
      </w:r>
      <w:r w:rsidR="00744560" w:rsidRPr="00EA1BB2">
        <w:rPr>
          <w:rFonts w:ascii="Cambria" w:eastAsia="Times New Roman" w:hAnsi="Cambria"/>
          <w:color w:val="0070C0"/>
          <w:szCs w:val="24"/>
        </w:rPr>
        <w:t>ii privind contribu</w:t>
      </w:r>
      <w:r w:rsidR="00054880" w:rsidRPr="00EA1BB2">
        <w:rPr>
          <w:rFonts w:ascii="Cambria" w:eastAsia="Times New Roman" w:hAnsi="Cambria"/>
          <w:color w:val="0070C0"/>
          <w:szCs w:val="24"/>
        </w:rPr>
        <w:t>ț</w:t>
      </w:r>
      <w:r w:rsidR="00744560" w:rsidRPr="00EA1BB2">
        <w:rPr>
          <w:rFonts w:ascii="Cambria" w:eastAsia="Times New Roman" w:hAnsi="Cambria"/>
          <w:color w:val="0070C0"/>
          <w:szCs w:val="24"/>
        </w:rPr>
        <w:t xml:space="preserve">ia datorată transportului </w:t>
      </w:r>
      <w:r w:rsidR="00054880" w:rsidRPr="00EA1BB2">
        <w:rPr>
          <w:rFonts w:ascii="Cambria" w:eastAsia="Times New Roman" w:hAnsi="Cambria"/>
          <w:color w:val="0070C0"/>
          <w:szCs w:val="24"/>
        </w:rPr>
        <w:t>ș</w:t>
      </w:r>
      <w:r w:rsidR="00744560" w:rsidRPr="00EA1BB2">
        <w:rPr>
          <w:rFonts w:ascii="Cambria" w:eastAsia="Times New Roman" w:hAnsi="Cambria"/>
          <w:color w:val="0070C0"/>
          <w:szCs w:val="24"/>
        </w:rPr>
        <w:t>i dispersiei poluan</w:t>
      </w:r>
      <w:r w:rsidR="00054880" w:rsidRPr="00EA1BB2">
        <w:rPr>
          <w:rFonts w:ascii="Cambria" w:eastAsia="Times New Roman" w:hAnsi="Cambria"/>
          <w:color w:val="0070C0"/>
          <w:szCs w:val="24"/>
        </w:rPr>
        <w:t>ț</w:t>
      </w:r>
      <w:r w:rsidR="00744560" w:rsidRPr="00EA1BB2">
        <w:rPr>
          <w:rFonts w:ascii="Cambria" w:eastAsia="Times New Roman" w:hAnsi="Cambria"/>
          <w:color w:val="0070C0"/>
          <w:szCs w:val="24"/>
        </w:rPr>
        <w:t>ilor emi</w:t>
      </w:r>
      <w:r w:rsidR="00054880" w:rsidRPr="00EA1BB2">
        <w:rPr>
          <w:rFonts w:ascii="Cambria" w:eastAsia="Times New Roman" w:hAnsi="Cambria"/>
          <w:color w:val="0070C0"/>
          <w:szCs w:val="24"/>
        </w:rPr>
        <w:t>ș</w:t>
      </w:r>
      <w:r w:rsidR="00744560" w:rsidRPr="00EA1BB2">
        <w:rPr>
          <w:rFonts w:ascii="Cambria" w:eastAsia="Times New Roman" w:hAnsi="Cambria"/>
          <w:color w:val="0070C0"/>
          <w:szCs w:val="24"/>
        </w:rPr>
        <w:t xml:space="preserve">i în atmosferă ale căror surse se găsesc în alte zone </w:t>
      </w:r>
      <w:r w:rsidR="00054880" w:rsidRPr="00EA1BB2">
        <w:rPr>
          <w:rFonts w:ascii="Cambria" w:eastAsia="Times New Roman" w:hAnsi="Cambria"/>
          <w:color w:val="0070C0"/>
          <w:szCs w:val="24"/>
        </w:rPr>
        <w:t>ș</w:t>
      </w:r>
      <w:r w:rsidR="00744560" w:rsidRPr="00EA1BB2">
        <w:rPr>
          <w:rFonts w:ascii="Cambria" w:eastAsia="Times New Roman" w:hAnsi="Cambria"/>
          <w:color w:val="0070C0"/>
          <w:szCs w:val="24"/>
        </w:rPr>
        <w:t>i aglomerări sau, după caz, alte regiuni</w:t>
      </w:r>
      <w:bookmarkEnd w:id="198"/>
    </w:p>
    <w:p w14:paraId="6D191F52" w14:textId="77777777" w:rsidR="00343667" w:rsidRPr="00EA1BB2" w:rsidRDefault="00343667" w:rsidP="006A6144">
      <w:pPr>
        <w:spacing w:line="360" w:lineRule="auto"/>
        <w:ind w:firstLine="720"/>
        <w:jc w:val="both"/>
        <w:rPr>
          <w:rFonts w:ascii="Cambria" w:eastAsia="Times New Roman" w:hAnsi="Cambria" w:cs="Times New Roman"/>
          <w:color w:val="000000"/>
          <w:sz w:val="24"/>
          <w:szCs w:val="24"/>
        </w:rPr>
      </w:pPr>
      <w:r w:rsidRPr="00EA1BB2">
        <w:rPr>
          <w:rFonts w:ascii="Cambria" w:eastAsia="Times New Roman" w:hAnsi="Cambria" w:cs="Times New Roman"/>
          <w:color w:val="000000"/>
          <w:sz w:val="24"/>
          <w:szCs w:val="24"/>
        </w:rPr>
        <w:t>Pentru evaluarea poluării datorate transportului de poluan</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 xml:space="preserve">i au fost luate în calcul sursele fixe - sursele mari de ardere a operatorilor economici de pe platforma industrială ARCELOR MITTAL, </w:t>
      </w:r>
      <w:r w:rsidR="006A6144" w:rsidRPr="00EA1BB2">
        <w:rPr>
          <w:rFonts w:ascii="Cambria" w:eastAsia="Times New Roman" w:hAnsi="Cambria" w:cs="Times New Roman"/>
          <w:color w:val="000000"/>
          <w:sz w:val="24"/>
          <w:szCs w:val="24"/>
        </w:rPr>
        <w:t>inclusiv instalațiile de ardere aparținând ELECTROCENTRALE SA cu scopul de a identifica aspectul privind exportul de poluare pentru localitățile: Vădeni și Baldovinești, în apropierea județului Brăila neidentificându-se alte surse mari de poluare.</w:t>
      </w:r>
    </w:p>
    <w:p w14:paraId="77D37277" w14:textId="77777777" w:rsidR="00343667" w:rsidRPr="00EA1BB2" w:rsidRDefault="00343667" w:rsidP="00343667">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La rândul lor localită</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ile Vădeni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Baldovine</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ti sunt generatoare de emisii din surse de suprafa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ă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mobile reprezentate de încălzirea reziden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ială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transport.</w:t>
      </w:r>
    </w:p>
    <w:p w14:paraId="05DB2BCE" w14:textId="77777777" w:rsidR="00343667" w:rsidRPr="00EA1BB2" w:rsidRDefault="00343667" w:rsidP="00343667">
      <w:pPr>
        <w:spacing w:line="360" w:lineRule="auto"/>
        <w:ind w:firstLine="709"/>
        <w:jc w:val="both"/>
        <w:rPr>
          <w:rFonts w:ascii="Cambria" w:eastAsia="Times New Roman" w:hAnsi="Cambria" w:cs="Times New Roman"/>
          <w:b/>
          <w:sz w:val="24"/>
          <w:szCs w:val="24"/>
        </w:rPr>
      </w:pPr>
      <w:r w:rsidRPr="00EA1BB2">
        <w:rPr>
          <w:rFonts w:ascii="Cambria" w:eastAsia="Times New Roman" w:hAnsi="Cambria" w:cs="Times New Roman"/>
          <w:color w:val="000000"/>
          <w:sz w:val="24"/>
          <w:szCs w:val="24"/>
        </w:rPr>
        <w:t>Pentru aceste localită</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i ce se învecinează cu UAT – Gala</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i aspectele legate de transferul de poluan</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i se referă la transportul emisiilor de substan</w:t>
      </w:r>
      <w:r w:rsidR="00054880" w:rsidRPr="00EA1BB2">
        <w:rPr>
          <w:rFonts w:ascii="Cambria" w:eastAsia="Times New Roman" w:hAnsi="Cambria" w:cs="Times New Roman"/>
          <w:color w:val="000000"/>
          <w:sz w:val="24"/>
          <w:szCs w:val="24"/>
        </w:rPr>
        <w:t>ț</w:t>
      </w:r>
      <w:r w:rsidRPr="00EA1BB2">
        <w:rPr>
          <w:rFonts w:ascii="Cambria" w:eastAsia="Times New Roman" w:hAnsi="Cambria" w:cs="Times New Roman"/>
          <w:color w:val="000000"/>
          <w:sz w:val="24"/>
          <w:szCs w:val="24"/>
        </w:rPr>
        <w:t>e poluante generate de sursele fixe de pe platforma industrială a ARCELOR MITTAL SA.</w:t>
      </w:r>
    </w:p>
    <w:p w14:paraId="442C38F4" w14:textId="77777777" w:rsidR="00343667" w:rsidRPr="00EA1BB2" w:rsidRDefault="00343667" w:rsidP="00343667">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În ceea ce prive</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te influen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a surselor fixe din cadrul UAT – Gala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 asupra calită</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 aerului din localită</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ile învecinate, evaluarea concentra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iilor emisiilor generate s-a realizat prin studiul de dispersie a emisiilor din surse fixe cu cuantificarea valorii </w:t>
      </w:r>
      <w:r w:rsidR="00363AC0" w:rsidRPr="00EA1BB2">
        <w:rPr>
          <w:rFonts w:ascii="Cambria" w:eastAsia="Times New Roman" w:hAnsi="Cambria" w:cs="Times New Roman"/>
          <w:sz w:val="24"/>
          <w:szCs w:val="24"/>
        </w:rPr>
        <w:t xml:space="preserve">concentrației medii anuale și </w:t>
      </w:r>
      <w:r w:rsidRPr="00EA1BB2">
        <w:rPr>
          <w:rFonts w:ascii="Cambria" w:eastAsia="Times New Roman" w:hAnsi="Cambria" w:cs="Times New Roman"/>
          <w:sz w:val="24"/>
          <w:szCs w:val="24"/>
        </w:rPr>
        <w:t xml:space="preserve">maxime orare înregistrate </w:t>
      </w:r>
      <w:r w:rsidR="00363AC0" w:rsidRPr="00EA1BB2">
        <w:rPr>
          <w:rFonts w:ascii="Cambria" w:eastAsia="Times New Roman" w:hAnsi="Cambria" w:cs="Times New Roman"/>
          <w:sz w:val="24"/>
          <w:szCs w:val="24"/>
        </w:rPr>
        <w:t>pentru NO</w:t>
      </w:r>
      <w:r w:rsidR="00363AC0" w:rsidRPr="00512934">
        <w:rPr>
          <w:rFonts w:ascii="Cambria" w:eastAsia="Times New Roman" w:hAnsi="Cambria" w:cs="Times New Roman"/>
          <w:sz w:val="24"/>
          <w:szCs w:val="24"/>
          <w:vertAlign w:val="subscript"/>
        </w:rPr>
        <w:t>2</w:t>
      </w:r>
      <w:r w:rsidR="00363AC0" w:rsidRPr="00EA1BB2">
        <w:rPr>
          <w:rFonts w:ascii="Cambria" w:eastAsia="Times New Roman" w:hAnsi="Cambria" w:cs="Times New Roman"/>
          <w:sz w:val="24"/>
          <w:szCs w:val="24"/>
        </w:rPr>
        <w:t xml:space="preserve">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luând în calcul datele meteorologice anuale ale zonei (date meteo înregistrate la sta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iile de monitorizare a calită</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 aerului din municipiile Gala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Brăila).</w:t>
      </w:r>
    </w:p>
    <w:p w14:paraId="6F91CE8A" w14:textId="77777777" w:rsidR="00343667" w:rsidRPr="00EA1BB2" w:rsidRDefault="00343667" w:rsidP="00343667">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Rezultatele dispersiei emisiei poluan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ilor genera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 din sursele fixe (co</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uri de emisii) nu relevă contribu</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 ridicate în zonele sensibile (zone locuite) ca urmare a acestor emisii. Baza de date utilizată în modelarea matematică a emisiei a fost realizată pe baza informa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iilor din inventarele de emisie (anul de referin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ă 2013) precum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a valorilor limită de emisie stabilite pentru fiecare operator prin actele de reglementare.</w:t>
      </w:r>
    </w:p>
    <w:p w14:paraId="47AD8589" w14:textId="77777777" w:rsidR="008C6FE1" w:rsidRPr="00EA1BB2" w:rsidRDefault="008C6FE1" w:rsidP="008C6FE1">
      <w:pPr>
        <w:spacing w:line="360" w:lineRule="auto"/>
        <w:ind w:firstLine="720"/>
        <w:jc w:val="both"/>
        <w:rPr>
          <w:rFonts w:ascii="Cambria" w:eastAsia="Times New Roman" w:hAnsi="Cambria"/>
          <w:color w:val="000000"/>
          <w:sz w:val="24"/>
          <w:szCs w:val="24"/>
        </w:rPr>
      </w:pPr>
      <w:r w:rsidRPr="00EA1BB2">
        <w:rPr>
          <w:rFonts w:ascii="Cambria" w:eastAsia="Times New Roman" w:hAnsi="Cambria"/>
          <w:color w:val="000000"/>
          <w:sz w:val="24"/>
          <w:szCs w:val="24"/>
        </w:rPr>
        <w:t xml:space="preserve">Pentru evaluarea poluării datorate transportului de poluanți către județul Brăila au fost luate în calcul sursele fixe de emisie a operatorii economici cu instalații mari (IPPC) din Aglomerarea Galați </w:t>
      </w:r>
      <w:r w:rsidR="009919C8" w:rsidRPr="00EA1BB2">
        <w:rPr>
          <w:rFonts w:ascii="Cambria" w:eastAsia="Times New Roman" w:hAnsi="Cambria"/>
          <w:color w:val="000000"/>
          <w:sz w:val="24"/>
          <w:szCs w:val="24"/>
        </w:rPr>
        <w:t>(</w:t>
      </w:r>
      <w:r w:rsidR="006A6144" w:rsidRPr="00EA1BB2">
        <w:rPr>
          <w:rFonts w:ascii="Cambria" w:eastAsia="Times New Roman" w:hAnsi="Cambria"/>
          <w:color w:val="000000"/>
          <w:sz w:val="24"/>
          <w:szCs w:val="24"/>
        </w:rPr>
        <w:t>descrierea</w:t>
      </w:r>
      <w:r w:rsidR="009919C8" w:rsidRPr="00EA1BB2">
        <w:rPr>
          <w:rFonts w:ascii="Cambria" w:eastAsia="Times New Roman" w:hAnsi="Cambria"/>
          <w:color w:val="000000"/>
          <w:sz w:val="24"/>
          <w:szCs w:val="24"/>
        </w:rPr>
        <w:t xml:space="preserve"> acestora sunt prezentate în anexa nr. 2) </w:t>
      </w:r>
      <w:r w:rsidRPr="00EA1BB2">
        <w:rPr>
          <w:rFonts w:ascii="Cambria" w:eastAsia="Times New Roman" w:hAnsi="Cambria"/>
          <w:color w:val="000000"/>
          <w:sz w:val="24"/>
          <w:szCs w:val="24"/>
        </w:rPr>
        <w:t>cu scopul de a identifica aspectul privind exportul de poluare în special NOx/NO</w:t>
      </w:r>
      <w:r w:rsidRPr="00EA1BB2">
        <w:rPr>
          <w:rFonts w:ascii="Cambria" w:eastAsia="Times New Roman" w:hAnsi="Cambria"/>
          <w:color w:val="000000"/>
          <w:sz w:val="24"/>
          <w:szCs w:val="24"/>
          <w:vertAlign w:val="subscript"/>
        </w:rPr>
        <w:t>2</w:t>
      </w:r>
      <w:r w:rsidRPr="00EA1BB2">
        <w:rPr>
          <w:rFonts w:ascii="Cambria" w:eastAsia="Times New Roman" w:hAnsi="Cambria"/>
          <w:color w:val="000000"/>
          <w:sz w:val="24"/>
          <w:szCs w:val="24"/>
        </w:rPr>
        <w:t xml:space="preserve"> și efectele asupra calității aerului în județul Brăila.</w:t>
      </w:r>
    </w:p>
    <w:p w14:paraId="66E8A6EB" w14:textId="77777777" w:rsidR="008C6FE1" w:rsidRPr="00EA1BB2" w:rsidRDefault="008C6FE1" w:rsidP="008C6FE1">
      <w:pPr>
        <w:spacing w:line="360" w:lineRule="auto"/>
        <w:ind w:firstLine="720"/>
        <w:jc w:val="both"/>
        <w:rPr>
          <w:rFonts w:ascii="Cambria" w:eastAsia="Times New Roman" w:hAnsi="Cambria"/>
          <w:color w:val="000000"/>
          <w:sz w:val="24"/>
          <w:szCs w:val="24"/>
        </w:rPr>
      </w:pPr>
      <w:r w:rsidRPr="00EA1BB2">
        <w:rPr>
          <w:rFonts w:ascii="Cambria" w:eastAsia="Times New Roman" w:hAnsi="Cambria"/>
          <w:color w:val="000000"/>
          <w:sz w:val="24"/>
          <w:szCs w:val="24"/>
        </w:rPr>
        <w:t>Având în vedere vecinătatea Aglomerării Galați – Platforma industrială Arcelor Mittal,  aspectele legate de transferul de poluanți se referă la transportul emisiilor de NOx  generate de următoarele categorii de surse:</w:t>
      </w:r>
    </w:p>
    <w:p w14:paraId="06587086" w14:textId="77777777" w:rsidR="008C6FE1" w:rsidRPr="00EA1BB2" w:rsidRDefault="008C6FE1" w:rsidP="008C6FE1">
      <w:pPr>
        <w:numPr>
          <w:ilvl w:val="0"/>
          <w:numId w:val="5"/>
        </w:numPr>
        <w:spacing w:line="360" w:lineRule="auto"/>
        <w:ind w:hanging="11"/>
        <w:contextualSpacing/>
        <w:jc w:val="both"/>
        <w:rPr>
          <w:rFonts w:ascii="Cambria" w:eastAsia="Times New Roman" w:hAnsi="Cambria" w:cs="Times New Roman"/>
          <w:color w:val="000000"/>
          <w:sz w:val="24"/>
          <w:szCs w:val="24"/>
        </w:rPr>
      </w:pPr>
      <w:r w:rsidRPr="00EA1BB2">
        <w:rPr>
          <w:rFonts w:ascii="Cambria" w:eastAsia="Times New Roman" w:hAnsi="Cambria" w:cs="Times New Roman"/>
          <w:color w:val="000000"/>
          <w:sz w:val="24"/>
          <w:szCs w:val="24"/>
        </w:rPr>
        <w:t>Surse fixe – coșuri de emisie instalații aparținând Arcelor Mittal SA;</w:t>
      </w:r>
    </w:p>
    <w:p w14:paraId="09E16E6B" w14:textId="77777777" w:rsidR="008C6FE1" w:rsidRPr="00EA1BB2" w:rsidRDefault="008C6FE1" w:rsidP="008C6FE1">
      <w:pPr>
        <w:numPr>
          <w:ilvl w:val="0"/>
          <w:numId w:val="5"/>
        </w:numPr>
        <w:spacing w:line="360" w:lineRule="auto"/>
        <w:ind w:hanging="11"/>
        <w:contextualSpacing/>
        <w:jc w:val="both"/>
        <w:rPr>
          <w:rFonts w:ascii="Cambria" w:eastAsia="Times New Roman" w:hAnsi="Cambria" w:cs="Times New Roman"/>
          <w:color w:val="000000"/>
          <w:sz w:val="24"/>
          <w:szCs w:val="24"/>
        </w:rPr>
      </w:pPr>
      <w:r w:rsidRPr="00EA1BB2">
        <w:rPr>
          <w:rFonts w:ascii="Cambria" w:eastAsia="Times New Roman" w:hAnsi="Cambria" w:cs="Times New Roman"/>
          <w:color w:val="000000"/>
          <w:sz w:val="24"/>
          <w:szCs w:val="24"/>
        </w:rPr>
        <w:lastRenderedPageBreak/>
        <w:t>Surse fixe – coșuri de emisie IMA – Electrocentrale SA Galați.</w:t>
      </w:r>
    </w:p>
    <w:p w14:paraId="2855B904" w14:textId="207B0388" w:rsidR="00483744" w:rsidRPr="00EA1BB2" w:rsidRDefault="00483744" w:rsidP="00483744">
      <w:pPr>
        <w:spacing w:line="360" w:lineRule="auto"/>
        <w:ind w:firstLine="709"/>
        <w:jc w:val="both"/>
        <w:rPr>
          <w:rFonts w:ascii="Cambria" w:eastAsia="Times New Roman" w:hAnsi="Cambria"/>
          <w:sz w:val="24"/>
          <w:szCs w:val="24"/>
        </w:rPr>
      </w:pPr>
      <w:r w:rsidRPr="00EA1BB2">
        <w:rPr>
          <w:rFonts w:ascii="Cambria" w:eastAsia="Times New Roman" w:hAnsi="Cambria"/>
          <w:sz w:val="24"/>
          <w:szCs w:val="24"/>
        </w:rPr>
        <w:t xml:space="preserve">În ceea ce privește existența surselor fixe de emisie, evaluarea efectelor asupra calității aerului în județul Brăila prin transportul de poluanți s-a realizat printr-un studiu de dispersie cu cuantificarea valorii concentrației </w:t>
      </w:r>
      <w:r w:rsidR="00363AC0" w:rsidRPr="00EA1BB2">
        <w:rPr>
          <w:rFonts w:ascii="Cambria" w:eastAsia="Times New Roman" w:hAnsi="Cambria"/>
          <w:sz w:val="24"/>
          <w:szCs w:val="24"/>
        </w:rPr>
        <w:t xml:space="preserve">medii anuale și </w:t>
      </w:r>
      <w:r w:rsidRPr="00EA1BB2">
        <w:rPr>
          <w:rFonts w:ascii="Cambria" w:eastAsia="Times New Roman" w:hAnsi="Cambria"/>
          <w:sz w:val="24"/>
          <w:szCs w:val="24"/>
        </w:rPr>
        <w:t xml:space="preserve">maxime </w:t>
      </w:r>
      <w:r w:rsidR="00363AC0" w:rsidRPr="00EA1BB2">
        <w:rPr>
          <w:rFonts w:ascii="Cambria" w:eastAsia="Times New Roman" w:hAnsi="Cambria"/>
          <w:sz w:val="24"/>
          <w:szCs w:val="24"/>
        </w:rPr>
        <w:t xml:space="preserve">orare </w:t>
      </w:r>
      <w:r w:rsidRPr="00EA1BB2">
        <w:rPr>
          <w:rFonts w:ascii="Cambria" w:eastAsia="Times New Roman" w:hAnsi="Cambria"/>
          <w:sz w:val="24"/>
          <w:szCs w:val="24"/>
        </w:rPr>
        <w:t xml:space="preserve">înregistrate </w:t>
      </w:r>
      <w:r w:rsidR="00363AC0" w:rsidRPr="00EA1BB2">
        <w:rPr>
          <w:rFonts w:ascii="Cambria" w:eastAsia="Times New Roman" w:hAnsi="Cambria"/>
          <w:sz w:val="24"/>
          <w:szCs w:val="24"/>
        </w:rPr>
        <w:t>pentru NO</w:t>
      </w:r>
      <w:r w:rsidR="00363AC0" w:rsidRPr="00512934">
        <w:rPr>
          <w:rFonts w:ascii="Cambria" w:eastAsia="Times New Roman" w:hAnsi="Cambria"/>
          <w:sz w:val="24"/>
          <w:szCs w:val="24"/>
          <w:vertAlign w:val="subscript"/>
        </w:rPr>
        <w:t>2</w:t>
      </w:r>
      <w:r w:rsidR="00363AC0" w:rsidRPr="00EA1BB2">
        <w:rPr>
          <w:rFonts w:ascii="Cambria" w:eastAsia="Times New Roman" w:hAnsi="Cambria"/>
          <w:sz w:val="24"/>
          <w:szCs w:val="24"/>
        </w:rPr>
        <w:t xml:space="preserve"> </w:t>
      </w:r>
      <w:r w:rsidRPr="00EA1BB2">
        <w:rPr>
          <w:rFonts w:ascii="Cambria" w:eastAsia="Times New Roman" w:hAnsi="Cambria"/>
          <w:sz w:val="24"/>
          <w:szCs w:val="24"/>
        </w:rPr>
        <w:t>și luând în calcul datele meteorologice ale zonei.</w:t>
      </w:r>
    </w:p>
    <w:p w14:paraId="7BA7A67E" w14:textId="77777777" w:rsidR="00483744" w:rsidRPr="00EA1BB2" w:rsidRDefault="00483744" w:rsidP="00553937">
      <w:pPr>
        <w:ind w:firstLine="709"/>
        <w:jc w:val="both"/>
        <w:rPr>
          <w:rFonts w:ascii="Cambria" w:eastAsia="Times New Roman" w:hAnsi="Cambria" w:cs="Times New Roman"/>
          <w:sz w:val="24"/>
          <w:szCs w:val="24"/>
        </w:rPr>
      </w:pPr>
    </w:p>
    <w:p w14:paraId="69AB1A05" w14:textId="2533D80D" w:rsidR="008C6FE1" w:rsidRPr="00EA1BB2" w:rsidRDefault="008C6FE1" w:rsidP="008C6FE1">
      <w:pPr>
        <w:pStyle w:val="Caption"/>
        <w:keepNext/>
        <w:spacing w:after="0" w:line="360" w:lineRule="auto"/>
        <w:ind w:firstLine="708"/>
        <w:jc w:val="both"/>
        <w:rPr>
          <w:rFonts w:ascii="Cambria" w:hAnsi="Cambria"/>
        </w:rPr>
      </w:pPr>
      <w:bookmarkStart w:id="199" w:name="_Toc524966225"/>
      <w:r w:rsidRPr="00EA1BB2">
        <w:rPr>
          <w:rFonts w:ascii="Cambria" w:hAnsi="Cambria"/>
        </w:rPr>
        <w:t xml:space="preserve">Figura nr. </w:t>
      </w:r>
      <w:r w:rsidR="00280BC9" w:rsidRPr="00EA1BB2">
        <w:rPr>
          <w:rFonts w:ascii="Cambria" w:hAnsi="Cambria"/>
        </w:rPr>
        <w:fldChar w:fldCharType="begin"/>
      </w:r>
      <w:r w:rsidR="00BA6FA3" w:rsidRPr="00EA1BB2">
        <w:rPr>
          <w:rFonts w:ascii="Cambria" w:hAnsi="Cambria"/>
        </w:rPr>
        <w:instrText xml:space="preserve"> STYLEREF 1 \s </w:instrText>
      </w:r>
      <w:r w:rsidR="00280BC9" w:rsidRPr="00EA1BB2">
        <w:rPr>
          <w:rFonts w:ascii="Cambria" w:hAnsi="Cambria"/>
        </w:rPr>
        <w:fldChar w:fldCharType="separate"/>
      </w:r>
      <w:r w:rsidR="00567555">
        <w:rPr>
          <w:rFonts w:ascii="Cambria" w:hAnsi="Cambria"/>
          <w:noProof/>
        </w:rPr>
        <w:t>3</w:t>
      </w:r>
      <w:r w:rsidR="00280BC9" w:rsidRPr="00EA1BB2">
        <w:rPr>
          <w:rFonts w:ascii="Cambria" w:hAnsi="Cambria"/>
        </w:rPr>
        <w:fldChar w:fldCharType="end"/>
      </w:r>
      <w:r w:rsidR="00BA6FA3" w:rsidRPr="00EA1BB2">
        <w:rPr>
          <w:rFonts w:ascii="Cambria" w:hAnsi="Cambria"/>
        </w:rPr>
        <w:noBreakHyphen/>
      </w:r>
      <w:r w:rsidR="00280BC9" w:rsidRPr="00EA1BB2">
        <w:rPr>
          <w:rFonts w:ascii="Cambria" w:hAnsi="Cambria"/>
        </w:rPr>
        <w:fldChar w:fldCharType="begin"/>
      </w:r>
      <w:r w:rsidR="00BA6FA3" w:rsidRPr="00EA1BB2">
        <w:rPr>
          <w:rFonts w:ascii="Cambria" w:hAnsi="Cambria"/>
        </w:rPr>
        <w:instrText xml:space="preserve"> SEQ Figura_nr. \* ARABIC \s 1 </w:instrText>
      </w:r>
      <w:r w:rsidR="00280BC9" w:rsidRPr="00EA1BB2">
        <w:rPr>
          <w:rFonts w:ascii="Cambria" w:hAnsi="Cambria"/>
        </w:rPr>
        <w:fldChar w:fldCharType="separate"/>
      </w:r>
      <w:r w:rsidR="00567555">
        <w:rPr>
          <w:rFonts w:ascii="Cambria" w:hAnsi="Cambria"/>
          <w:noProof/>
        </w:rPr>
        <w:t>14</w:t>
      </w:r>
      <w:r w:rsidR="00280BC9" w:rsidRPr="00EA1BB2">
        <w:rPr>
          <w:rFonts w:ascii="Cambria" w:hAnsi="Cambria"/>
        </w:rPr>
        <w:fldChar w:fldCharType="end"/>
      </w:r>
      <w:r w:rsidRPr="00EA1BB2">
        <w:rPr>
          <w:rFonts w:ascii="Cambria" w:hAnsi="Cambria"/>
        </w:rPr>
        <w:t xml:space="preserve"> - Distribuția surselor de emisie ce contribuie la transportul de poluanți la nivelul județului Brăila</w:t>
      </w:r>
      <w:bookmarkEnd w:id="199"/>
    </w:p>
    <w:p w14:paraId="64122188" w14:textId="77777777" w:rsidR="00343667" w:rsidRPr="00EA1BB2" w:rsidRDefault="00343667" w:rsidP="00483744">
      <w:pPr>
        <w:spacing w:line="276" w:lineRule="auto"/>
        <w:jc w:val="center"/>
        <w:rPr>
          <w:rFonts w:ascii="Cambria" w:hAnsi="Cambria" w:cs="Times New Roman"/>
          <w:sz w:val="24"/>
          <w:szCs w:val="24"/>
        </w:rPr>
      </w:pPr>
      <w:r w:rsidRPr="00EA1BB2">
        <w:rPr>
          <w:rFonts w:ascii="Cambria" w:hAnsi="Cambria" w:cs="Times New Roman"/>
          <w:noProof/>
          <w:sz w:val="24"/>
          <w:szCs w:val="24"/>
          <w:lang w:val="en-US"/>
        </w:rPr>
        <w:drawing>
          <wp:inline distT="0" distB="0" distL="0" distR="0" wp14:anchorId="79130EF4" wp14:editId="6B319D06">
            <wp:extent cx="5730481" cy="4057015"/>
            <wp:effectExtent l="19050" t="19050" r="22860" b="1968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20.png"/>
                    <pic:cNvPicPr/>
                  </pic:nvPicPr>
                  <pic:blipFill>
                    <a:blip r:embed="rId117">
                      <a:extLst>
                        <a:ext uri="{28A0092B-C50C-407E-A947-70E740481C1C}">
                          <a14:useLocalDpi xmlns:a14="http://schemas.microsoft.com/office/drawing/2010/main" val="0"/>
                        </a:ext>
                      </a:extLst>
                    </a:blip>
                    <a:stretch>
                      <a:fillRect/>
                    </a:stretch>
                  </pic:blipFill>
                  <pic:spPr>
                    <a:xfrm>
                      <a:off x="0" y="0"/>
                      <a:ext cx="5730481" cy="4057015"/>
                    </a:xfrm>
                    <a:prstGeom prst="rect">
                      <a:avLst/>
                    </a:prstGeom>
                    <a:ln>
                      <a:solidFill>
                        <a:schemeClr val="bg1">
                          <a:lumMod val="85000"/>
                        </a:schemeClr>
                      </a:solidFill>
                    </a:ln>
                  </pic:spPr>
                </pic:pic>
              </a:graphicData>
            </a:graphic>
          </wp:inline>
        </w:drawing>
      </w:r>
    </w:p>
    <w:p w14:paraId="269D57F1" w14:textId="77777777" w:rsidR="004E770E" w:rsidRPr="00EA1BB2" w:rsidRDefault="004E770E" w:rsidP="004E770E">
      <w:pPr>
        <w:spacing w:line="360" w:lineRule="auto"/>
        <w:ind w:firstLine="720"/>
        <w:jc w:val="both"/>
        <w:rPr>
          <w:rFonts w:ascii="Cambria" w:eastAsia="Times New Roman" w:hAnsi="Cambria"/>
          <w:color w:val="000000"/>
          <w:sz w:val="24"/>
          <w:szCs w:val="24"/>
        </w:rPr>
      </w:pPr>
    </w:p>
    <w:p w14:paraId="7D4383DA" w14:textId="77777777" w:rsidR="00343667" w:rsidRPr="00EA1BB2" w:rsidRDefault="00343667" w:rsidP="00343667">
      <w:pPr>
        <w:spacing w:line="360" w:lineRule="auto"/>
        <w:ind w:firstLine="709"/>
        <w:jc w:val="both"/>
        <w:rPr>
          <w:rFonts w:ascii="Cambria" w:eastAsia="Times New Roman" w:hAnsi="Cambria"/>
          <w:sz w:val="24"/>
          <w:szCs w:val="24"/>
        </w:rPr>
      </w:pPr>
      <w:r w:rsidRPr="00EA1BB2">
        <w:rPr>
          <w:rFonts w:ascii="Cambria" w:eastAsia="Times New Roman" w:hAnsi="Cambria"/>
          <w:sz w:val="24"/>
          <w:szCs w:val="24"/>
        </w:rPr>
        <w:t>Baza de date utilizată în modelarea matematică a emisiilor din sursele ce contribuie la transportul de poluan</w:t>
      </w:r>
      <w:r w:rsidR="00054880" w:rsidRPr="00EA1BB2">
        <w:rPr>
          <w:rFonts w:ascii="Cambria" w:eastAsia="Times New Roman" w:hAnsi="Cambria"/>
          <w:sz w:val="24"/>
          <w:szCs w:val="24"/>
        </w:rPr>
        <w:t>ț</w:t>
      </w:r>
      <w:r w:rsidRPr="00EA1BB2">
        <w:rPr>
          <w:rFonts w:ascii="Cambria" w:eastAsia="Times New Roman" w:hAnsi="Cambria"/>
          <w:sz w:val="24"/>
          <w:szCs w:val="24"/>
        </w:rPr>
        <w:t>i a utilizat informa</w:t>
      </w:r>
      <w:r w:rsidR="00054880" w:rsidRPr="00EA1BB2">
        <w:rPr>
          <w:rFonts w:ascii="Cambria" w:eastAsia="Times New Roman" w:hAnsi="Cambria"/>
          <w:sz w:val="24"/>
          <w:szCs w:val="24"/>
        </w:rPr>
        <w:t>ț</w:t>
      </w:r>
      <w:r w:rsidRPr="00EA1BB2">
        <w:rPr>
          <w:rFonts w:ascii="Cambria" w:eastAsia="Times New Roman" w:hAnsi="Cambria"/>
          <w:sz w:val="24"/>
          <w:szCs w:val="24"/>
        </w:rPr>
        <w:t>iil</w:t>
      </w:r>
      <w:r w:rsidR="00BB354F" w:rsidRPr="00EA1BB2">
        <w:rPr>
          <w:rFonts w:ascii="Cambria" w:eastAsia="Times New Roman" w:hAnsi="Cambria"/>
          <w:sz w:val="24"/>
          <w:szCs w:val="24"/>
        </w:rPr>
        <w:t>e</w:t>
      </w:r>
      <w:r w:rsidRPr="00EA1BB2">
        <w:rPr>
          <w:rFonts w:ascii="Cambria" w:eastAsia="Times New Roman" w:hAnsi="Cambria"/>
          <w:sz w:val="24"/>
          <w:szCs w:val="24"/>
        </w:rPr>
        <w:t xml:space="preserve"> din inventarele locale de emisie (anul 2013), concentra</w:t>
      </w:r>
      <w:r w:rsidR="00054880" w:rsidRPr="00EA1BB2">
        <w:rPr>
          <w:rFonts w:ascii="Cambria" w:eastAsia="Times New Roman" w:hAnsi="Cambria"/>
          <w:sz w:val="24"/>
          <w:szCs w:val="24"/>
        </w:rPr>
        <w:t>ț</w:t>
      </w:r>
      <w:r w:rsidRPr="00EA1BB2">
        <w:rPr>
          <w:rFonts w:ascii="Cambria" w:eastAsia="Times New Roman" w:hAnsi="Cambria"/>
          <w:sz w:val="24"/>
          <w:szCs w:val="24"/>
        </w:rPr>
        <w:t>ia de fond pentru NOx</w:t>
      </w:r>
      <w:r w:rsidRPr="00EA1BB2">
        <w:rPr>
          <w:rFonts w:ascii="Cambria" w:hAnsi="Cambria"/>
          <w:sz w:val="24"/>
          <w:szCs w:val="24"/>
        </w:rPr>
        <w:t>,</w:t>
      </w:r>
      <w:r w:rsidRPr="00EA1BB2">
        <w:rPr>
          <w:rStyle w:val="FootnoteReference"/>
          <w:rFonts w:ascii="Cambria" w:hAnsi="Cambria"/>
          <w:sz w:val="24"/>
          <w:szCs w:val="24"/>
        </w:rPr>
        <w:footnoteReference w:id="24"/>
      </w:r>
      <w:r w:rsidRPr="00EA1BB2">
        <w:rPr>
          <w:rFonts w:ascii="Cambria" w:eastAsia="Times New Roman" w:hAnsi="Cambria"/>
          <w:sz w:val="24"/>
          <w:szCs w:val="24"/>
        </w:rPr>
        <w:t xml:space="preserve">precum </w:t>
      </w:r>
      <w:r w:rsidR="00054880" w:rsidRPr="00EA1BB2">
        <w:rPr>
          <w:rFonts w:ascii="Cambria" w:eastAsia="Times New Roman" w:hAnsi="Cambria"/>
          <w:sz w:val="24"/>
          <w:szCs w:val="24"/>
        </w:rPr>
        <w:t>ș</w:t>
      </w:r>
      <w:r w:rsidR="009B05C6" w:rsidRPr="00EA1BB2">
        <w:rPr>
          <w:rFonts w:ascii="Cambria" w:eastAsia="Times New Roman" w:hAnsi="Cambria"/>
          <w:sz w:val="24"/>
          <w:szCs w:val="24"/>
        </w:rPr>
        <w:t>i a valorile-</w:t>
      </w:r>
      <w:r w:rsidRPr="00EA1BB2">
        <w:rPr>
          <w:rFonts w:ascii="Cambria" w:eastAsia="Times New Roman" w:hAnsi="Cambria"/>
          <w:sz w:val="24"/>
          <w:szCs w:val="24"/>
        </w:rPr>
        <w:t>limită de emisie stabilite pentru fiecare operator prin actele de reglementare.</w:t>
      </w:r>
    </w:p>
    <w:p w14:paraId="22263117" w14:textId="038C522E" w:rsidR="008C6FE1" w:rsidRPr="00EA1BB2" w:rsidRDefault="008C6FE1" w:rsidP="008C6FE1">
      <w:pPr>
        <w:spacing w:line="360" w:lineRule="auto"/>
        <w:ind w:firstLine="709"/>
        <w:jc w:val="both"/>
        <w:rPr>
          <w:rFonts w:ascii="Cambria" w:eastAsia="Times New Roman" w:hAnsi="Cambria"/>
          <w:sz w:val="24"/>
          <w:szCs w:val="24"/>
        </w:rPr>
      </w:pPr>
      <w:r w:rsidRPr="00EA1BB2">
        <w:rPr>
          <w:rFonts w:ascii="Cambria" w:eastAsia="Times New Roman" w:hAnsi="Cambria"/>
          <w:sz w:val="24"/>
          <w:szCs w:val="24"/>
        </w:rPr>
        <w:t xml:space="preserve">Pentru analiza contribuției surselor fixe industriale asupra calității aerului în Județul Brăila s-au luat în calcul sursele fixe de pe platforma Arcelor Mittal SA, date </w:t>
      </w:r>
      <w:r w:rsidRPr="00EA1BB2">
        <w:rPr>
          <w:rFonts w:ascii="Cambria" w:eastAsia="Times New Roman" w:hAnsi="Cambria"/>
          <w:sz w:val="24"/>
          <w:szCs w:val="24"/>
        </w:rPr>
        <w:lastRenderedPageBreak/>
        <w:t>raportate în Inventarul local de emisii în anul de referință 2013. Au fost introduse în modelul matematic de dispersie a poluanților OML – Multi,  sursele de emisie conform tabelului de mai jos, inclusiv datele de fond regional.</w:t>
      </w:r>
    </w:p>
    <w:p w14:paraId="39396303" w14:textId="77777777" w:rsidR="009B697F" w:rsidRPr="00EA1BB2" w:rsidRDefault="009B697F" w:rsidP="008C6FE1">
      <w:pPr>
        <w:spacing w:line="360" w:lineRule="auto"/>
        <w:ind w:firstLine="709"/>
        <w:jc w:val="both"/>
        <w:rPr>
          <w:rFonts w:ascii="Cambria" w:eastAsia="Times New Roman" w:hAnsi="Cambria"/>
          <w:sz w:val="24"/>
          <w:szCs w:val="24"/>
        </w:rPr>
      </w:pPr>
    </w:p>
    <w:p w14:paraId="2E36129A" w14:textId="677DE66A" w:rsidR="008C6FE1" w:rsidRPr="00EA1BB2" w:rsidRDefault="008C6FE1" w:rsidP="008C6FE1">
      <w:pPr>
        <w:pStyle w:val="Caption"/>
        <w:keepNext/>
        <w:spacing w:after="0" w:line="360" w:lineRule="auto"/>
        <w:ind w:firstLine="708"/>
        <w:rPr>
          <w:rFonts w:ascii="Cambria" w:hAnsi="Cambria"/>
        </w:rPr>
      </w:pPr>
      <w:bookmarkStart w:id="200" w:name="_Toc526889812"/>
      <w:r w:rsidRPr="00EA1BB2">
        <w:rPr>
          <w:rFonts w:ascii="Cambria" w:hAnsi="Cambria"/>
        </w:rPr>
        <w:t xml:space="preserve">Tabelul nr. </w:t>
      </w:r>
      <w:r w:rsidR="000A2FE7" w:rsidRPr="00EA1BB2">
        <w:rPr>
          <w:rFonts w:ascii="Cambria" w:hAnsi="Cambria"/>
        </w:rPr>
        <w:fldChar w:fldCharType="begin"/>
      </w:r>
      <w:r w:rsidR="000A2FE7" w:rsidRPr="00EA1BB2">
        <w:rPr>
          <w:rFonts w:ascii="Cambria" w:hAnsi="Cambria"/>
        </w:rPr>
        <w:instrText xml:space="preserve"> STYLEREF 1 \s </w:instrText>
      </w:r>
      <w:r w:rsidR="000A2FE7" w:rsidRPr="00EA1BB2">
        <w:rPr>
          <w:rFonts w:ascii="Cambria" w:hAnsi="Cambria"/>
        </w:rPr>
        <w:fldChar w:fldCharType="separate"/>
      </w:r>
      <w:r w:rsidR="00567555">
        <w:rPr>
          <w:rFonts w:ascii="Cambria" w:hAnsi="Cambria"/>
          <w:noProof/>
        </w:rPr>
        <w:t>3</w:t>
      </w:r>
      <w:r w:rsidR="000A2FE7" w:rsidRPr="00EA1BB2">
        <w:rPr>
          <w:rFonts w:ascii="Cambria" w:hAnsi="Cambria"/>
        </w:rPr>
        <w:fldChar w:fldCharType="end"/>
      </w:r>
      <w:r w:rsidR="000A2FE7" w:rsidRPr="00EA1BB2">
        <w:rPr>
          <w:rFonts w:ascii="Cambria" w:hAnsi="Cambria"/>
        </w:rPr>
        <w:noBreakHyphen/>
      </w:r>
      <w:r w:rsidR="000A2FE7" w:rsidRPr="00EA1BB2">
        <w:rPr>
          <w:rFonts w:ascii="Cambria" w:hAnsi="Cambria"/>
        </w:rPr>
        <w:fldChar w:fldCharType="begin"/>
      </w:r>
      <w:r w:rsidR="000A2FE7" w:rsidRPr="00EA1BB2">
        <w:rPr>
          <w:rFonts w:ascii="Cambria" w:hAnsi="Cambria"/>
        </w:rPr>
        <w:instrText xml:space="preserve"> SEQ Tabelul_nr. \* ARABIC \s 1 </w:instrText>
      </w:r>
      <w:r w:rsidR="000A2FE7" w:rsidRPr="00EA1BB2">
        <w:rPr>
          <w:rFonts w:ascii="Cambria" w:hAnsi="Cambria"/>
        </w:rPr>
        <w:fldChar w:fldCharType="separate"/>
      </w:r>
      <w:r w:rsidR="00567555">
        <w:rPr>
          <w:rFonts w:ascii="Cambria" w:hAnsi="Cambria"/>
          <w:noProof/>
        </w:rPr>
        <w:t>43</w:t>
      </w:r>
      <w:r w:rsidR="000A2FE7" w:rsidRPr="00EA1BB2">
        <w:rPr>
          <w:rFonts w:ascii="Cambria" w:hAnsi="Cambria"/>
        </w:rPr>
        <w:fldChar w:fldCharType="end"/>
      </w:r>
      <w:r w:rsidRPr="00EA1BB2">
        <w:rPr>
          <w:rFonts w:ascii="Cambria" w:hAnsi="Cambria"/>
        </w:rPr>
        <w:t xml:space="preserve"> –  Surse fixe de emisie analizate</w:t>
      </w:r>
      <w:bookmarkEnd w:id="200"/>
    </w:p>
    <w:tbl>
      <w:tblPr>
        <w:tblW w:w="1037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993"/>
        <w:gridCol w:w="1842"/>
        <w:gridCol w:w="996"/>
        <w:gridCol w:w="1096"/>
        <w:gridCol w:w="794"/>
        <w:gridCol w:w="1179"/>
        <w:gridCol w:w="25"/>
        <w:gridCol w:w="1166"/>
        <w:gridCol w:w="19"/>
      </w:tblGrid>
      <w:tr w:rsidR="00343667" w:rsidRPr="00EA1BB2" w14:paraId="285788A1" w14:textId="77777777" w:rsidTr="00483744">
        <w:trPr>
          <w:trHeight w:val="411"/>
          <w:tblHeader/>
        </w:trPr>
        <w:tc>
          <w:tcPr>
            <w:tcW w:w="2268" w:type="dxa"/>
            <w:vMerge w:val="restart"/>
            <w:shd w:val="clear" w:color="auto" w:fill="BDD6EE" w:themeFill="accent1" w:themeFillTint="66"/>
            <w:vAlign w:val="center"/>
            <w:hideMark/>
          </w:tcPr>
          <w:p w14:paraId="6B747037" w14:textId="77777777" w:rsidR="00343667" w:rsidRPr="00EA1BB2" w:rsidRDefault="00343667" w:rsidP="004E770E">
            <w:pPr>
              <w:jc w:val="center"/>
              <w:rPr>
                <w:rFonts w:ascii="Cambria" w:eastAsia="Times New Roman" w:hAnsi="Cambria" w:cs="Arial"/>
                <w:b/>
                <w:bCs/>
                <w:sz w:val="20"/>
              </w:rPr>
            </w:pPr>
            <w:r w:rsidRPr="00EA1BB2">
              <w:rPr>
                <w:rFonts w:ascii="Cambria" w:eastAsia="Times New Roman" w:hAnsi="Cambria" w:cs="Arial"/>
                <w:b/>
                <w:bCs/>
                <w:sz w:val="20"/>
              </w:rPr>
              <w:t>Denumire</w:t>
            </w:r>
          </w:p>
          <w:p w14:paraId="6D01D8C0" w14:textId="77777777" w:rsidR="00343667" w:rsidRPr="00EA1BB2" w:rsidRDefault="00343667" w:rsidP="004E770E">
            <w:pPr>
              <w:jc w:val="center"/>
              <w:rPr>
                <w:rFonts w:ascii="Cambria" w:eastAsia="Times New Roman" w:hAnsi="Cambria" w:cs="Arial"/>
                <w:b/>
                <w:bCs/>
                <w:sz w:val="20"/>
              </w:rPr>
            </w:pPr>
            <w:r w:rsidRPr="00EA1BB2">
              <w:rPr>
                <w:rFonts w:ascii="Cambria" w:eastAsia="Times New Roman" w:hAnsi="Cambria" w:cs="Arial"/>
                <w:b/>
                <w:bCs/>
                <w:sz w:val="20"/>
              </w:rPr>
              <w:t>Operator/</w:t>
            </w:r>
          </w:p>
          <w:p w14:paraId="7AE537CE" w14:textId="77777777" w:rsidR="00343667" w:rsidRPr="00EA1BB2" w:rsidRDefault="00343667" w:rsidP="004E770E">
            <w:pPr>
              <w:jc w:val="center"/>
              <w:rPr>
                <w:rFonts w:ascii="Cambria" w:eastAsia="Times New Roman" w:hAnsi="Cambria" w:cs="Arial"/>
                <w:b/>
                <w:bCs/>
                <w:sz w:val="20"/>
              </w:rPr>
            </w:pPr>
            <w:r w:rsidRPr="00EA1BB2">
              <w:rPr>
                <w:rFonts w:ascii="Cambria" w:eastAsia="Times New Roman" w:hAnsi="Cambria" w:cs="Arial"/>
                <w:b/>
                <w:bCs/>
                <w:sz w:val="20"/>
              </w:rPr>
              <w:t>De</w:t>
            </w:r>
            <w:r w:rsidR="00054880" w:rsidRPr="00EA1BB2">
              <w:rPr>
                <w:rFonts w:ascii="Cambria" w:eastAsia="Times New Roman" w:hAnsi="Cambria" w:cs="Arial"/>
                <w:b/>
                <w:bCs/>
                <w:sz w:val="20"/>
              </w:rPr>
              <w:t>ț</w:t>
            </w:r>
            <w:r w:rsidRPr="00EA1BB2">
              <w:rPr>
                <w:rFonts w:ascii="Cambria" w:eastAsia="Times New Roman" w:hAnsi="Cambria" w:cs="Arial"/>
                <w:b/>
                <w:bCs/>
                <w:sz w:val="20"/>
              </w:rPr>
              <w:t>inător</w:t>
            </w:r>
          </w:p>
          <w:p w14:paraId="469AD5FE" w14:textId="77777777" w:rsidR="00343667" w:rsidRPr="00EA1BB2" w:rsidRDefault="00343667" w:rsidP="004E770E">
            <w:pPr>
              <w:jc w:val="center"/>
              <w:rPr>
                <w:rFonts w:ascii="Cambria" w:eastAsia="Times New Roman" w:hAnsi="Cambria" w:cs="Arial"/>
                <w:b/>
                <w:bCs/>
                <w:sz w:val="20"/>
              </w:rPr>
            </w:pPr>
            <w:r w:rsidRPr="00EA1BB2">
              <w:rPr>
                <w:rFonts w:ascii="Cambria" w:eastAsia="Times New Roman" w:hAnsi="Cambria" w:cs="Arial"/>
                <w:b/>
                <w:bCs/>
                <w:sz w:val="20"/>
              </w:rPr>
              <w:t>de date</w:t>
            </w:r>
          </w:p>
        </w:tc>
        <w:tc>
          <w:tcPr>
            <w:tcW w:w="993" w:type="dxa"/>
            <w:vMerge w:val="restart"/>
            <w:shd w:val="clear" w:color="auto" w:fill="BDD6EE" w:themeFill="accent1" w:themeFillTint="66"/>
            <w:vAlign w:val="center"/>
            <w:hideMark/>
          </w:tcPr>
          <w:p w14:paraId="3D104A5D" w14:textId="77777777" w:rsidR="00343667" w:rsidRPr="00EA1BB2" w:rsidRDefault="00343667" w:rsidP="009B05C6">
            <w:pPr>
              <w:jc w:val="center"/>
              <w:rPr>
                <w:rFonts w:ascii="Cambria" w:eastAsia="Times New Roman" w:hAnsi="Cambria" w:cs="Arial"/>
                <w:b/>
                <w:bCs/>
                <w:sz w:val="20"/>
              </w:rPr>
            </w:pPr>
            <w:r w:rsidRPr="00EA1BB2">
              <w:rPr>
                <w:rFonts w:ascii="Cambria" w:eastAsia="Times New Roman" w:hAnsi="Cambria" w:cs="Arial"/>
                <w:b/>
                <w:bCs/>
                <w:sz w:val="20"/>
              </w:rPr>
              <w:t>P</w:t>
            </w:r>
            <w:r w:rsidR="009B05C6" w:rsidRPr="00EA1BB2">
              <w:rPr>
                <w:rFonts w:ascii="Cambria" w:eastAsia="Times New Roman" w:hAnsi="Cambria" w:cs="Arial"/>
                <w:b/>
                <w:bCs/>
                <w:sz w:val="20"/>
              </w:rPr>
              <w:t>unct de lucru</w:t>
            </w:r>
          </w:p>
        </w:tc>
        <w:tc>
          <w:tcPr>
            <w:tcW w:w="1842" w:type="dxa"/>
            <w:vMerge w:val="restart"/>
            <w:shd w:val="clear" w:color="auto" w:fill="BDD6EE" w:themeFill="accent1" w:themeFillTint="66"/>
            <w:vAlign w:val="center"/>
            <w:hideMark/>
          </w:tcPr>
          <w:p w14:paraId="3501AA80" w14:textId="77777777" w:rsidR="00343667" w:rsidRPr="00EA1BB2" w:rsidRDefault="00343667" w:rsidP="004E770E">
            <w:pPr>
              <w:jc w:val="center"/>
              <w:rPr>
                <w:rFonts w:ascii="Cambria" w:eastAsia="Times New Roman" w:hAnsi="Cambria" w:cs="Arial"/>
                <w:b/>
                <w:bCs/>
                <w:sz w:val="20"/>
              </w:rPr>
            </w:pPr>
            <w:r w:rsidRPr="00EA1BB2">
              <w:rPr>
                <w:rFonts w:ascii="Cambria" w:eastAsia="Times New Roman" w:hAnsi="Cambria" w:cs="Arial"/>
                <w:b/>
                <w:bCs/>
                <w:sz w:val="20"/>
              </w:rPr>
              <w:t>Denumire sursa punctuala (Cos)</w:t>
            </w:r>
          </w:p>
        </w:tc>
        <w:tc>
          <w:tcPr>
            <w:tcW w:w="996" w:type="dxa"/>
            <w:vMerge w:val="restart"/>
            <w:shd w:val="clear" w:color="auto" w:fill="BDD6EE" w:themeFill="accent1" w:themeFillTint="66"/>
            <w:vAlign w:val="center"/>
            <w:hideMark/>
          </w:tcPr>
          <w:p w14:paraId="1BF6CCBD" w14:textId="77777777" w:rsidR="00343667" w:rsidRPr="00EA1BB2" w:rsidRDefault="00343667" w:rsidP="004E770E">
            <w:pPr>
              <w:jc w:val="center"/>
              <w:rPr>
                <w:rFonts w:ascii="Cambria" w:eastAsia="Times New Roman" w:hAnsi="Cambria" w:cs="Arial"/>
                <w:b/>
                <w:bCs/>
                <w:sz w:val="20"/>
              </w:rPr>
            </w:pPr>
            <w:r w:rsidRPr="00EA1BB2">
              <w:rPr>
                <w:rFonts w:ascii="Cambria" w:eastAsia="Times New Roman" w:hAnsi="Cambria" w:cs="Arial"/>
                <w:b/>
                <w:bCs/>
                <w:sz w:val="20"/>
              </w:rPr>
              <w:t>Înăl</w:t>
            </w:r>
            <w:r w:rsidR="00054880" w:rsidRPr="00EA1BB2">
              <w:rPr>
                <w:rFonts w:ascii="Cambria" w:eastAsia="Times New Roman" w:hAnsi="Cambria" w:cs="Arial"/>
                <w:b/>
                <w:bCs/>
                <w:sz w:val="20"/>
              </w:rPr>
              <w:t>ț</w:t>
            </w:r>
            <w:r w:rsidRPr="00EA1BB2">
              <w:rPr>
                <w:rFonts w:ascii="Cambria" w:eastAsia="Times New Roman" w:hAnsi="Cambria" w:cs="Arial"/>
                <w:b/>
                <w:bCs/>
                <w:sz w:val="20"/>
              </w:rPr>
              <w:t>ime Cos (m)</w:t>
            </w:r>
          </w:p>
        </w:tc>
        <w:tc>
          <w:tcPr>
            <w:tcW w:w="1096" w:type="dxa"/>
            <w:vMerge w:val="restart"/>
            <w:shd w:val="clear" w:color="auto" w:fill="BDD6EE" w:themeFill="accent1" w:themeFillTint="66"/>
            <w:vAlign w:val="center"/>
            <w:hideMark/>
          </w:tcPr>
          <w:p w14:paraId="66193923" w14:textId="77777777" w:rsidR="00343667" w:rsidRPr="00EA1BB2" w:rsidRDefault="00343667" w:rsidP="004E770E">
            <w:pPr>
              <w:jc w:val="center"/>
              <w:rPr>
                <w:rFonts w:ascii="Cambria" w:eastAsia="Times New Roman" w:hAnsi="Cambria" w:cs="Arial"/>
                <w:b/>
                <w:bCs/>
                <w:sz w:val="20"/>
              </w:rPr>
            </w:pPr>
            <w:r w:rsidRPr="00EA1BB2">
              <w:rPr>
                <w:rFonts w:ascii="Cambria" w:eastAsia="Times New Roman" w:hAnsi="Cambria" w:cs="Arial"/>
                <w:b/>
                <w:bCs/>
                <w:sz w:val="20"/>
              </w:rPr>
              <w:t>Diametru Cos (m)</w:t>
            </w:r>
          </w:p>
        </w:tc>
        <w:tc>
          <w:tcPr>
            <w:tcW w:w="794" w:type="dxa"/>
            <w:vMerge w:val="restart"/>
            <w:shd w:val="clear" w:color="auto" w:fill="BDD6EE" w:themeFill="accent1" w:themeFillTint="66"/>
            <w:vAlign w:val="center"/>
            <w:hideMark/>
          </w:tcPr>
          <w:p w14:paraId="70B1E2AE" w14:textId="77777777" w:rsidR="00343667" w:rsidRPr="00EA1BB2" w:rsidRDefault="00343667" w:rsidP="004E770E">
            <w:pPr>
              <w:jc w:val="center"/>
              <w:rPr>
                <w:rFonts w:ascii="Cambria" w:eastAsia="Times New Roman" w:hAnsi="Cambria" w:cs="Arial"/>
                <w:b/>
                <w:bCs/>
                <w:sz w:val="20"/>
              </w:rPr>
            </w:pPr>
            <w:r w:rsidRPr="00EA1BB2">
              <w:rPr>
                <w:rFonts w:ascii="Cambria" w:eastAsia="Times New Roman" w:hAnsi="Cambria" w:cs="Arial"/>
                <w:b/>
                <w:bCs/>
                <w:sz w:val="20"/>
              </w:rPr>
              <w:t>Temp. Gaze (</w:t>
            </w:r>
            <w:r w:rsidR="009B05C6" w:rsidRPr="00EA1BB2">
              <w:rPr>
                <w:rFonts w:ascii="Cambria" w:eastAsia="Times New Roman" w:hAnsi="Cambria" w:cs="Arial"/>
                <w:b/>
                <w:bCs/>
                <w:sz w:val="20"/>
              </w:rPr>
              <w:t>°</w:t>
            </w:r>
            <w:r w:rsidRPr="00EA1BB2">
              <w:rPr>
                <w:rFonts w:ascii="Cambria" w:eastAsia="Times New Roman" w:hAnsi="Cambria" w:cs="Arial"/>
                <w:b/>
                <w:bCs/>
                <w:sz w:val="20"/>
              </w:rPr>
              <w:t>C)</w:t>
            </w:r>
          </w:p>
        </w:tc>
        <w:tc>
          <w:tcPr>
            <w:tcW w:w="1204" w:type="dxa"/>
            <w:gridSpan w:val="2"/>
            <w:vMerge w:val="restart"/>
            <w:shd w:val="clear" w:color="auto" w:fill="BDD6EE" w:themeFill="accent1" w:themeFillTint="66"/>
            <w:vAlign w:val="center"/>
            <w:hideMark/>
          </w:tcPr>
          <w:p w14:paraId="73522DC9" w14:textId="77777777" w:rsidR="00343667" w:rsidRPr="00EA1BB2" w:rsidRDefault="00343667" w:rsidP="004E770E">
            <w:pPr>
              <w:jc w:val="center"/>
              <w:rPr>
                <w:rFonts w:ascii="Cambria" w:eastAsia="Times New Roman" w:hAnsi="Cambria" w:cs="Arial"/>
                <w:b/>
                <w:bCs/>
                <w:sz w:val="20"/>
              </w:rPr>
            </w:pPr>
            <w:r w:rsidRPr="00EA1BB2">
              <w:rPr>
                <w:rFonts w:ascii="Cambria" w:eastAsia="Times New Roman" w:hAnsi="Cambria" w:cs="Arial"/>
                <w:b/>
                <w:bCs/>
                <w:sz w:val="20"/>
              </w:rPr>
              <w:t>Viteza gaze evacuate (m/s)</w:t>
            </w:r>
          </w:p>
        </w:tc>
        <w:tc>
          <w:tcPr>
            <w:tcW w:w="1185" w:type="dxa"/>
            <w:gridSpan w:val="2"/>
            <w:vMerge w:val="restart"/>
            <w:shd w:val="clear" w:color="auto" w:fill="BDD6EE" w:themeFill="accent1" w:themeFillTint="66"/>
            <w:vAlign w:val="center"/>
            <w:hideMark/>
          </w:tcPr>
          <w:p w14:paraId="32B36C89" w14:textId="77777777" w:rsidR="00343667" w:rsidRPr="00EA1BB2" w:rsidRDefault="00343667" w:rsidP="004E770E">
            <w:pPr>
              <w:jc w:val="center"/>
              <w:rPr>
                <w:rFonts w:ascii="Cambria" w:eastAsia="Times New Roman" w:hAnsi="Cambria" w:cs="Arial"/>
                <w:b/>
                <w:bCs/>
                <w:sz w:val="20"/>
              </w:rPr>
            </w:pPr>
            <w:r w:rsidRPr="00EA1BB2">
              <w:rPr>
                <w:rFonts w:ascii="Cambria" w:eastAsia="Times New Roman" w:hAnsi="Cambria" w:cs="Arial"/>
                <w:b/>
                <w:bCs/>
                <w:sz w:val="20"/>
              </w:rPr>
              <w:t>Debit Gaze evacuate (m3/s)</w:t>
            </w:r>
          </w:p>
        </w:tc>
      </w:tr>
      <w:tr w:rsidR="00343667" w:rsidRPr="00EA1BB2" w14:paraId="64C744BB" w14:textId="77777777" w:rsidTr="00483744">
        <w:trPr>
          <w:trHeight w:val="414"/>
          <w:tblHeader/>
        </w:trPr>
        <w:tc>
          <w:tcPr>
            <w:tcW w:w="2268" w:type="dxa"/>
            <w:vMerge/>
            <w:shd w:val="clear" w:color="auto" w:fill="BDD6EE" w:themeFill="accent1" w:themeFillTint="66"/>
          </w:tcPr>
          <w:p w14:paraId="41215F8E" w14:textId="77777777" w:rsidR="00343667" w:rsidRPr="00EA1BB2" w:rsidRDefault="00343667" w:rsidP="00343667">
            <w:pPr>
              <w:rPr>
                <w:rFonts w:ascii="Cambria" w:eastAsia="Times New Roman" w:hAnsi="Cambria" w:cs="Arial"/>
                <w:b/>
                <w:bCs/>
                <w:sz w:val="20"/>
              </w:rPr>
            </w:pPr>
          </w:p>
        </w:tc>
        <w:tc>
          <w:tcPr>
            <w:tcW w:w="993" w:type="dxa"/>
            <w:vMerge/>
            <w:shd w:val="clear" w:color="auto" w:fill="BDD6EE" w:themeFill="accent1" w:themeFillTint="66"/>
          </w:tcPr>
          <w:p w14:paraId="385BA6F9" w14:textId="77777777" w:rsidR="00343667" w:rsidRPr="00EA1BB2" w:rsidRDefault="00343667" w:rsidP="00343667">
            <w:pPr>
              <w:rPr>
                <w:rFonts w:ascii="Cambria" w:eastAsia="Times New Roman" w:hAnsi="Cambria" w:cs="Arial"/>
                <w:b/>
                <w:bCs/>
                <w:sz w:val="20"/>
              </w:rPr>
            </w:pPr>
          </w:p>
        </w:tc>
        <w:tc>
          <w:tcPr>
            <w:tcW w:w="1842" w:type="dxa"/>
            <w:vMerge/>
            <w:shd w:val="clear" w:color="auto" w:fill="BDD6EE" w:themeFill="accent1" w:themeFillTint="66"/>
          </w:tcPr>
          <w:p w14:paraId="2F2176E0" w14:textId="77777777" w:rsidR="00343667" w:rsidRPr="00EA1BB2" w:rsidRDefault="00343667" w:rsidP="00343667">
            <w:pPr>
              <w:rPr>
                <w:rFonts w:ascii="Cambria" w:eastAsia="Times New Roman" w:hAnsi="Cambria" w:cs="Arial"/>
                <w:b/>
                <w:bCs/>
                <w:sz w:val="20"/>
              </w:rPr>
            </w:pPr>
          </w:p>
        </w:tc>
        <w:tc>
          <w:tcPr>
            <w:tcW w:w="996" w:type="dxa"/>
            <w:vMerge/>
            <w:shd w:val="clear" w:color="auto" w:fill="BDD6EE" w:themeFill="accent1" w:themeFillTint="66"/>
          </w:tcPr>
          <w:p w14:paraId="31DA2FBD" w14:textId="77777777" w:rsidR="00343667" w:rsidRPr="00EA1BB2" w:rsidRDefault="00343667" w:rsidP="00343667">
            <w:pPr>
              <w:rPr>
                <w:rFonts w:ascii="Cambria" w:eastAsia="Times New Roman" w:hAnsi="Cambria" w:cs="Arial"/>
                <w:b/>
                <w:bCs/>
                <w:sz w:val="20"/>
              </w:rPr>
            </w:pPr>
          </w:p>
        </w:tc>
        <w:tc>
          <w:tcPr>
            <w:tcW w:w="1096" w:type="dxa"/>
            <w:vMerge/>
            <w:shd w:val="clear" w:color="auto" w:fill="BDD6EE" w:themeFill="accent1" w:themeFillTint="66"/>
          </w:tcPr>
          <w:p w14:paraId="1A6640A0" w14:textId="77777777" w:rsidR="00343667" w:rsidRPr="00EA1BB2" w:rsidRDefault="00343667" w:rsidP="00343667">
            <w:pPr>
              <w:rPr>
                <w:rFonts w:ascii="Cambria" w:eastAsia="Times New Roman" w:hAnsi="Cambria" w:cs="Arial"/>
                <w:b/>
                <w:bCs/>
                <w:sz w:val="20"/>
              </w:rPr>
            </w:pPr>
          </w:p>
        </w:tc>
        <w:tc>
          <w:tcPr>
            <w:tcW w:w="794" w:type="dxa"/>
            <w:vMerge/>
            <w:shd w:val="clear" w:color="auto" w:fill="BDD6EE" w:themeFill="accent1" w:themeFillTint="66"/>
          </w:tcPr>
          <w:p w14:paraId="5FCA013B" w14:textId="77777777" w:rsidR="00343667" w:rsidRPr="00EA1BB2" w:rsidRDefault="00343667" w:rsidP="00343667">
            <w:pPr>
              <w:rPr>
                <w:rFonts w:ascii="Cambria" w:eastAsia="Times New Roman" w:hAnsi="Cambria" w:cs="Arial"/>
                <w:b/>
                <w:bCs/>
                <w:sz w:val="20"/>
              </w:rPr>
            </w:pPr>
          </w:p>
        </w:tc>
        <w:tc>
          <w:tcPr>
            <w:tcW w:w="1204" w:type="dxa"/>
            <w:gridSpan w:val="2"/>
            <w:vMerge/>
            <w:shd w:val="clear" w:color="auto" w:fill="BDD6EE" w:themeFill="accent1" w:themeFillTint="66"/>
          </w:tcPr>
          <w:p w14:paraId="639E1CBB" w14:textId="77777777" w:rsidR="00343667" w:rsidRPr="00EA1BB2" w:rsidRDefault="00343667" w:rsidP="00343667">
            <w:pPr>
              <w:rPr>
                <w:rFonts w:ascii="Cambria" w:eastAsia="Times New Roman" w:hAnsi="Cambria" w:cs="Arial"/>
                <w:b/>
                <w:bCs/>
                <w:sz w:val="20"/>
              </w:rPr>
            </w:pPr>
          </w:p>
        </w:tc>
        <w:tc>
          <w:tcPr>
            <w:tcW w:w="1185" w:type="dxa"/>
            <w:gridSpan w:val="2"/>
            <w:vMerge/>
            <w:shd w:val="clear" w:color="auto" w:fill="BDD6EE" w:themeFill="accent1" w:themeFillTint="66"/>
          </w:tcPr>
          <w:p w14:paraId="43C12C24" w14:textId="77777777" w:rsidR="00343667" w:rsidRPr="00EA1BB2" w:rsidRDefault="00343667" w:rsidP="00343667">
            <w:pPr>
              <w:rPr>
                <w:rFonts w:ascii="Cambria" w:eastAsia="Times New Roman" w:hAnsi="Cambria" w:cs="Arial"/>
                <w:b/>
                <w:bCs/>
                <w:sz w:val="20"/>
              </w:rPr>
            </w:pPr>
          </w:p>
        </w:tc>
      </w:tr>
      <w:tr w:rsidR="00343667" w:rsidRPr="00EA1BB2" w14:paraId="133443B4" w14:textId="77777777" w:rsidTr="00483744">
        <w:trPr>
          <w:gridAfter w:val="1"/>
          <w:wAfter w:w="19" w:type="dxa"/>
          <w:trHeight w:val="300"/>
        </w:trPr>
        <w:tc>
          <w:tcPr>
            <w:tcW w:w="2268" w:type="dxa"/>
            <w:shd w:val="clear" w:color="auto" w:fill="auto"/>
            <w:noWrap/>
            <w:vAlign w:val="center"/>
            <w:hideMark/>
          </w:tcPr>
          <w:p w14:paraId="4BA4AA1A"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SC ARCELORMITTAL SA GALATI</w:t>
            </w:r>
          </w:p>
        </w:tc>
        <w:tc>
          <w:tcPr>
            <w:tcW w:w="993" w:type="dxa"/>
            <w:shd w:val="clear" w:color="auto" w:fill="auto"/>
            <w:noWrap/>
            <w:vAlign w:val="center"/>
            <w:hideMark/>
          </w:tcPr>
          <w:p w14:paraId="071E7E11"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Gala</w:t>
            </w:r>
            <w:r w:rsidR="00054880" w:rsidRPr="00EA1BB2">
              <w:rPr>
                <w:rFonts w:ascii="Cambria" w:eastAsia="Times New Roman" w:hAnsi="Cambria" w:cs="Arial"/>
                <w:color w:val="333333"/>
                <w:sz w:val="20"/>
              </w:rPr>
              <w:t>ț</w:t>
            </w:r>
            <w:r w:rsidRPr="00EA1BB2">
              <w:rPr>
                <w:rFonts w:ascii="Cambria" w:eastAsia="Times New Roman" w:hAnsi="Cambria" w:cs="Arial"/>
                <w:color w:val="333333"/>
                <w:sz w:val="20"/>
              </w:rPr>
              <w:t>i</w:t>
            </w:r>
          </w:p>
        </w:tc>
        <w:tc>
          <w:tcPr>
            <w:tcW w:w="1842" w:type="dxa"/>
            <w:shd w:val="clear" w:color="auto" w:fill="auto"/>
            <w:noWrap/>
            <w:vAlign w:val="center"/>
            <w:hideMark/>
          </w:tcPr>
          <w:p w14:paraId="37D704C1"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cos evacuare- 19 buc</w:t>
            </w:r>
          </w:p>
        </w:tc>
        <w:tc>
          <w:tcPr>
            <w:tcW w:w="996" w:type="dxa"/>
            <w:shd w:val="clear" w:color="auto" w:fill="auto"/>
            <w:noWrap/>
            <w:vAlign w:val="center"/>
            <w:hideMark/>
          </w:tcPr>
          <w:p w14:paraId="4EDE2AE4"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30</w:t>
            </w:r>
          </w:p>
        </w:tc>
        <w:tc>
          <w:tcPr>
            <w:tcW w:w="1096" w:type="dxa"/>
            <w:shd w:val="clear" w:color="auto" w:fill="auto"/>
            <w:noWrap/>
            <w:vAlign w:val="center"/>
            <w:hideMark/>
          </w:tcPr>
          <w:p w14:paraId="3C20514F"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2.5</w:t>
            </w:r>
          </w:p>
        </w:tc>
        <w:tc>
          <w:tcPr>
            <w:tcW w:w="794" w:type="dxa"/>
            <w:shd w:val="clear" w:color="auto" w:fill="auto"/>
            <w:noWrap/>
            <w:vAlign w:val="center"/>
            <w:hideMark/>
          </w:tcPr>
          <w:p w14:paraId="3EDC0D6E"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180</w:t>
            </w:r>
          </w:p>
        </w:tc>
        <w:tc>
          <w:tcPr>
            <w:tcW w:w="1179" w:type="dxa"/>
            <w:shd w:val="clear" w:color="auto" w:fill="auto"/>
            <w:noWrap/>
            <w:vAlign w:val="center"/>
            <w:hideMark/>
          </w:tcPr>
          <w:p w14:paraId="1AFC049D"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28</w:t>
            </w:r>
          </w:p>
        </w:tc>
        <w:tc>
          <w:tcPr>
            <w:tcW w:w="1191" w:type="dxa"/>
            <w:gridSpan w:val="2"/>
            <w:shd w:val="clear" w:color="auto" w:fill="auto"/>
            <w:noWrap/>
            <w:vAlign w:val="center"/>
            <w:hideMark/>
          </w:tcPr>
          <w:p w14:paraId="5149B1BB"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297660</w:t>
            </w:r>
          </w:p>
        </w:tc>
      </w:tr>
      <w:tr w:rsidR="00343667" w:rsidRPr="00EA1BB2" w14:paraId="7CEA2AD4" w14:textId="77777777" w:rsidTr="00483744">
        <w:trPr>
          <w:gridAfter w:val="1"/>
          <w:wAfter w:w="19" w:type="dxa"/>
          <w:trHeight w:val="300"/>
        </w:trPr>
        <w:tc>
          <w:tcPr>
            <w:tcW w:w="2268" w:type="dxa"/>
            <w:shd w:val="clear" w:color="auto" w:fill="auto"/>
            <w:noWrap/>
            <w:vAlign w:val="center"/>
            <w:hideMark/>
          </w:tcPr>
          <w:p w14:paraId="57161207"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SC ELECTROCENTRALE GALATI SA</w:t>
            </w:r>
          </w:p>
        </w:tc>
        <w:tc>
          <w:tcPr>
            <w:tcW w:w="993" w:type="dxa"/>
            <w:shd w:val="clear" w:color="auto" w:fill="auto"/>
            <w:noWrap/>
            <w:vAlign w:val="center"/>
            <w:hideMark/>
          </w:tcPr>
          <w:p w14:paraId="04BE74E2"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Gala</w:t>
            </w:r>
            <w:r w:rsidR="00054880" w:rsidRPr="00EA1BB2">
              <w:rPr>
                <w:rFonts w:ascii="Cambria" w:eastAsia="Times New Roman" w:hAnsi="Cambria" w:cs="Arial"/>
                <w:color w:val="333333"/>
                <w:sz w:val="20"/>
              </w:rPr>
              <w:t>ț</w:t>
            </w:r>
            <w:r w:rsidRPr="00EA1BB2">
              <w:rPr>
                <w:rFonts w:ascii="Cambria" w:eastAsia="Times New Roman" w:hAnsi="Cambria" w:cs="Arial"/>
                <w:color w:val="333333"/>
                <w:sz w:val="20"/>
              </w:rPr>
              <w:t>i</w:t>
            </w:r>
          </w:p>
        </w:tc>
        <w:tc>
          <w:tcPr>
            <w:tcW w:w="1842" w:type="dxa"/>
            <w:shd w:val="clear" w:color="auto" w:fill="auto"/>
            <w:noWrap/>
            <w:vAlign w:val="center"/>
            <w:hideMark/>
          </w:tcPr>
          <w:p w14:paraId="1996A984"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IMA2</w:t>
            </w:r>
          </w:p>
        </w:tc>
        <w:tc>
          <w:tcPr>
            <w:tcW w:w="996" w:type="dxa"/>
            <w:shd w:val="clear" w:color="auto" w:fill="auto"/>
            <w:noWrap/>
            <w:vAlign w:val="center"/>
            <w:hideMark/>
          </w:tcPr>
          <w:p w14:paraId="43F1F542"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100</w:t>
            </w:r>
          </w:p>
        </w:tc>
        <w:tc>
          <w:tcPr>
            <w:tcW w:w="1096" w:type="dxa"/>
            <w:shd w:val="clear" w:color="auto" w:fill="auto"/>
            <w:noWrap/>
            <w:vAlign w:val="center"/>
            <w:hideMark/>
          </w:tcPr>
          <w:p w14:paraId="345AC9AE"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6</w:t>
            </w:r>
          </w:p>
        </w:tc>
        <w:tc>
          <w:tcPr>
            <w:tcW w:w="794" w:type="dxa"/>
            <w:shd w:val="clear" w:color="auto" w:fill="auto"/>
            <w:noWrap/>
            <w:vAlign w:val="center"/>
            <w:hideMark/>
          </w:tcPr>
          <w:p w14:paraId="19F7F6D9"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69.82</w:t>
            </w:r>
          </w:p>
        </w:tc>
        <w:tc>
          <w:tcPr>
            <w:tcW w:w="1179" w:type="dxa"/>
            <w:shd w:val="clear" w:color="auto" w:fill="auto"/>
            <w:noWrap/>
            <w:vAlign w:val="center"/>
            <w:hideMark/>
          </w:tcPr>
          <w:p w14:paraId="58C5A61E"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4.5</w:t>
            </w:r>
          </w:p>
        </w:tc>
        <w:tc>
          <w:tcPr>
            <w:tcW w:w="1191" w:type="dxa"/>
            <w:gridSpan w:val="2"/>
            <w:shd w:val="clear" w:color="auto" w:fill="auto"/>
            <w:noWrap/>
            <w:vAlign w:val="center"/>
            <w:hideMark/>
          </w:tcPr>
          <w:p w14:paraId="3182AB16"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328402</w:t>
            </w:r>
          </w:p>
        </w:tc>
      </w:tr>
      <w:tr w:rsidR="00343667" w:rsidRPr="00EA1BB2" w14:paraId="7768ECB5" w14:textId="77777777" w:rsidTr="00483744">
        <w:trPr>
          <w:gridAfter w:val="1"/>
          <w:wAfter w:w="19" w:type="dxa"/>
          <w:trHeight w:val="300"/>
        </w:trPr>
        <w:tc>
          <w:tcPr>
            <w:tcW w:w="2268" w:type="dxa"/>
            <w:shd w:val="clear" w:color="auto" w:fill="auto"/>
            <w:noWrap/>
            <w:vAlign w:val="center"/>
            <w:hideMark/>
          </w:tcPr>
          <w:p w14:paraId="3E79FDED"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SC ELECTROCENTRALE GALATI SA</w:t>
            </w:r>
          </w:p>
        </w:tc>
        <w:tc>
          <w:tcPr>
            <w:tcW w:w="993" w:type="dxa"/>
            <w:shd w:val="clear" w:color="auto" w:fill="auto"/>
            <w:noWrap/>
            <w:vAlign w:val="center"/>
            <w:hideMark/>
          </w:tcPr>
          <w:p w14:paraId="690F5120"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Gala</w:t>
            </w:r>
            <w:r w:rsidR="00054880" w:rsidRPr="00EA1BB2">
              <w:rPr>
                <w:rFonts w:ascii="Cambria" w:eastAsia="Times New Roman" w:hAnsi="Cambria" w:cs="Arial"/>
                <w:color w:val="333333"/>
                <w:sz w:val="20"/>
              </w:rPr>
              <w:t>ț</w:t>
            </w:r>
            <w:r w:rsidRPr="00EA1BB2">
              <w:rPr>
                <w:rFonts w:ascii="Cambria" w:eastAsia="Times New Roman" w:hAnsi="Cambria" w:cs="Arial"/>
                <w:color w:val="333333"/>
                <w:sz w:val="20"/>
              </w:rPr>
              <w:t>i</w:t>
            </w:r>
          </w:p>
        </w:tc>
        <w:tc>
          <w:tcPr>
            <w:tcW w:w="1842" w:type="dxa"/>
            <w:shd w:val="clear" w:color="auto" w:fill="auto"/>
            <w:noWrap/>
            <w:vAlign w:val="center"/>
            <w:hideMark/>
          </w:tcPr>
          <w:p w14:paraId="0BA82546"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IMA3</w:t>
            </w:r>
          </w:p>
        </w:tc>
        <w:tc>
          <w:tcPr>
            <w:tcW w:w="996" w:type="dxa"/>
            <w:shd w:val="clear" w:color="auto" w:fill="auto"/>
            <w:noWrap/>
            <w:vAlign w:val="center"/>
            <w:hideMark/>
          </w:tcPr>
          <w:p w14:paraId="4CAAB071"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100</w:t>
            </w:r>
          </w:p>
        </w:tc>
        <w:tc>
          <w:tcPr>
            <w:tcW w:w="1096" w:type="dxa"/>
            <w:shd w:val="clear" w:color="auto" w:fill="auto"/>
            <w:noWrap/>
            <w:vAlign w:val="center"/>
            <w:hideMark/>
          </w:tcPr>
          <w:p w14:paraId="4B3FB9DD"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6</w:t>
            </w:r>
          </w:p>
        </w:tc>
        <w:tc>
          <w:tcPr>
            <w:tcW w:w="794" w:type="dxa"/>
            <w:shd w:val="clear" w:color="auto" w:fill="auto"/>
            <w:noWrap/>
            <w:vAlign w:val="center"/>
            <w:hideMark/>
          </w:tcPr>
          <w:p w14:paraId="66CA32D1"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67.21</w:t>
            </w:r>
          </w:p>
        </w:tc>
        <w:tc>
          <w:tcPr>
            <w:tcW w:w="1179" w:type="dxa"/>
            <w:shd w:val="clear" w:color="auto" w:fill="auto"/>
            <w:noWrap/>
            <w:vAlign w:val="center"/>
            <w:hideMark/>
          </w:tcPr>
          <w:p w14:paraId="760C6C77"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5</w:t>
            </w:r>
          </w:p>
        </w:tc>
        <w:tc>
          <w:tcPr>
            <w:tcW w:w="1191" w:type="dxa"/>
            <w:gridSpan w:val="2"/>
            <w:shd w:val="clear" w:color="auto" w:fill="auto"/>
            <w:noWrap/>
            <w:vAlign w:val="center"/>
            <w:hideMark/>
          </w:tcPr>
          <w:p w14:paraId="55AA0AB0"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489541</w:t>
            </w:r>
          </w:p>
        </w:tc>
      </w:tr>
      <w:tr w:rsidR="00343667" w:rsidRPr="00EA1BB2" w14:paraId="034B079B" w14:textId="77777777" w:rsidTr="00483744">
        <w:trPr>
          <w:gridAfter w:val="1"/>
          <w:wAfter w:w="19" w:type="dxa"/>
          <w:trHeight w:val="300"/>
        </w:trPr>
        <w:tc>
          <w:tcPr>
            <w:tcW w:w="2268" w:type="dxa"/>
            <w:shd w:val="clear" w:color="auto" w:fill="auto"/>
            <w:noWrap/>
            <w:vAlign w:val="center"/>
            <w:hideMark/>
          </w:tcPr>
          <w:p w14:paraId="0F4DD5BE"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SC ARCELORMITTAL SA GALATI</w:t>
            </w:r>
          </w:p>
        </w:tc>
        <w:tc>
          <w:tcPr>
            <w:tcW w:w="993" w:type="dxa"/>
            <w:shd w:val="clear" w:color="auto" w:fill="auto"/>
            <w:noWrap/>
            <w:vAlign w:val="center"/>
            <w:hideMark/>
          </w:tcPr>
          <w:p w14:paraId="380D8269"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Gala</w:t>
            </w:r>
            <w:r w:rsidR="00054880" w:rsidRPr="00EA1BB2">
              <w:rPr>
                <w:rFonts w:ascii="Cambria" w:eastAsia="Times New Roman" w:hAnsi="Cambria" w:cs="Arial"/>
                <w:color w:val="333333"/>
                <w:sz w:val="20"/>
              </w:rPr>
              <w:t>ț</w:t>
            </w:r>
            <w:r w:rsidRPr="00EA1BB2">
              <w:rPr>
                <w:rFonts w:ascii="Cambria" w:eastAsia="Times New Roman" w:hAnsi="Cambria" w:cs="Arial"/>
                <w:color w:val="333333"/>
                <w:sz w:val="20"/>
              </w:rPr>
              <w:t>i</w:t>
            </w:r>
          </w:p>
        </w:tc>
        <w:tc>
          <w:tcPr>
            <w:tcW w:w="1842" w:type="dxa"/>
            <w:shd w:val="clear" w:color="auto" w:fill="auto"/>
            <w:noWrap/>
            <w:vAlign w:val="center"/>
            <w:hideMark/>
          </w:tcPr>
          <w:p w14:paraId="7950CC4F"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Cos de evacuare Ma</w:t>
            </w:r>
            <w:r w:rsidR="00054880" w:rsidRPr="00EA1BB2">
              <w:rPr>
                <w:rFonts w:ascii="Cambria" w:eastAsia="Times New Roman" w:hAnsi="Cambria" w:cs="Arial"/>
                <w:color w:val="333333"/>
                <w:sz w:val="20"/>
              </w:rPr>
              <w:t>ș</w:t>
            </w:r>
            <w:r w:rsidRPr="00EA1BB2">
              <w:rPr>
                <w:rFonts w:ascii="Cambria" w:eastAsia="Times New Roman" w:hAnsi="Cambria" w:cs="Arial"/>
                <w:color w:val="333333"/>
                <w:sz w:val="20"/>
              </w:rPr>
              <w:t>ini de aglomerare 5 si 6</w:t>
            </w:r>
          </w:p>
        </w:tc>
        <w:tc>
          <w:tcPr>
            <w:tcW w:w="996" w:type="dxa"/>
            <w:shd w:val="clear" w:color="auto" w:fill="auto"/>
            <w:noWrap/>
            <w:vAlign w:val="center"/>
            <w:hideMark/>
          </w:tcPr>
          <w:p w14:paraId="2BBAEE8F"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80</w:t>
            </w:r>
          </w:p>
        </w:tc>
        <w:tc>
          <w:tcPr>
            <w:tcW w:w="1096" w:type="dxa"/>
            <w:shd w:val="clear" w:color="auto" w:fill="auto"/>
            <w:noWrap/>
            <w:vAlign w:val="center"/>
            <w:hideMark/>
          </w:tcPr>
          <w:p w14:paraId="3D5EA12B"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4</w:t>
            </w:r>
          </w:p>
        </w:tc>
        <w:tc>
          <w:tcPr>
            <w:tcW w:w="794" w:type="dxa"/>
            <w:shd w:val="clear" w:color="auto" w:fill="auto"/>
            <w:noWrap/>
            <w:vAlign w:val="center"/>
            <w:hideMark/>
          </w:tcPr>
          <w:p w14:paraId="7259B174"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100</w:t>
            </w:r>
          </w:p>
        </w:tc>
        <w:tc>
          <w:tcPr>
            <w:tcW w:w="1179" w:type="dxa"/>
            <w:shd w:val="clear" w:color="auto" w:fill="auto"/>
            <w:noWrap/>
            <w:vAlign w:val="center"/>
            <w:hideMark/>
          </w:tcPr>
          <w:p w14:paraId="75F9B03D"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20</w:t>
            </w:r>
          </w:p>
        </w:tc>
        <w:tc>
          <w:tcPr>
            <w:tcW w:w="1191" w:type="dxa"/>
            <w:gridSpan w:val="2"/>
            <w:shd w:val="clear" w:color="auto" w:fill="auto"/>
            <w:noWrap/>
            <w:vAlign w:val="center"/>
            <w:hideMark/>
          </w:tcPr>
          <w:p w14:paraId="06EB132B"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656097</w:t>
            </w:r>
          </w:p>
        </w:tc>
      </w:tr>
      <w:tr w:rsidR="00343667" w:rsidRPr="00EA1BB2" w14:paraId="7C89DAAE" w14:textId="77777777" w:rsidTr="00483744">
        <w:trPr>
          <w:gridAfter w:val="1"/>
          <w:wAfter w:w="19" w:type="dxa"/>
          <w:trHeight w:val="300"/>
        </w:trPr>
        <w:tc>
          <w:tcPr>
            <w:tcW w:w="2268" w:type="dxa"/>
            <w:shd w:val="clear" w:color="auto" w:fill="auto"/>
            <w:noWrap/>
            <w:vAlign w:val="center"/>
            <w:hideMark/>
          </w:tcPr>
          <w:p w14:paraId="706F7483"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SC ARCELORMITTAL SA GALATI</w:t>
            </w:r>
          </w:p>
        </w:tc>
        <w:tc>
          <w:tcPr>
            <w:tcW w:w="993" w:type="dxa"/>
            <w:shd w:val="clear" w:color="auto" w:fill="auto"/>
            <w:noWrap/>
            <w:vAlign w:val="center"/>
            <w:hideMark/>
          </w:tcPr>
          <w:p w14:paraId="7ED5B010"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Gala</w:t>
            </w:r>
            <w:r w:rsidR="00054880" w:rsidRPr="00EA1BB2">
              <w:rPr>
                <w:rFonts w:ascii="Cambria" w:eastAsia="Times New Roman" w:hAnsi="Cambria" w:cs="Arial"/>
                <w:color w:val="333333"/>
                <w:sz w:val="20"/>
              </w:rPr>
              <w:t>ț</w:t>
            </w:r>
            <w:r w:rsidRPr="00EA1BB2">
              <w:rPr>
                <w:rFonts w:ascii="Cambria" w:eastAsia="Times New Roman" w:hAnsi="Cambria" w:cs="Arial"/>
                <w:color w:val="333333"/>
                <w:sz w:val="20"/>
              </w:rPr>
              <w:t>i</w:t>
            </w:r>
          </w:p>
        </w:tc>
        <w:tc>
          <w:tcPr>
            <w:tcW w:w="1842" w:type="dxa"/>
            <w:shd w:val="clear" w:color="auto" w:fill="auto"/>
            <w:noWrap/>
            <w:vAlign w:val="center"/>
            <w:hideMark/>
          </w:tcPr>
          <w:p w14:paraId="66D04AEC"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Cos de evacuare cuptor rotativ de var nr.1</w:t>
            </w:r>
          </w:p>
        </w:tc>
        <w:tc>
          <w:tcPr>
            <w:tcW w:w="996" w:type="dxa"/>
            <w:shd w:val="clear" w:color="auto" w:fill="auto"/>
            <w:noWrap/>
            <w:vAlign w:val="center"/>
            <w:hideMark/>
          </w:tcPr>
          <w:p w14:paraId="5FD73C57"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23</w:t>
            </w:r>
          </w:p>
        </w:tc>
        <w:tc>
          <w:tcPr>
            <w:tcW w:w="1096" w:type="dxa"/>
            <w:shd w:val="clear" w:color="auto" w:fill="auto"/>
            <w:noWrap/>
            <w:vAlign w:val="center"/>
            <w:hideMark/>
          </w:tcPr>
          <w:p w14:paraId="5F32B211"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2.7</w:t>
            </w:r>
          </w:p>
        </w:tc>
        <w:tc>
          <w:tcPr>
            <w:tcW w:w="794" w:type="dxa"/>
            <w:shd w:val="clear" w:color="auto" w:fill="auto"/>
            <w:noWrap/>
            <w:vAlign w:val="center"/>
            <w:hideMark/>
          </w:tcPr>
          <w:p w14:paraId="36E6158F"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288</w:t>
            </w:r>
          </w:p>
        </w:tc>
        <w:tc>
          <w:tcPr>
            <w:tcW w:w="1179" w:type="dxa"/>
            <w:shd w:val="clear" w:color="auto" w:fill="auto"/>
            <w:noWrap/>
            <w:vAlign w:val="center"/>
            <w:hideMark/>
          </w:tcPr>
          <w:p w14:paraId="33D5F18E"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15</w:t>
            </w:r>
          </w:p>
        </w:tc>
        <w:tc>
          <w:tcPr>
            <w:tcW w:w="1191" w:type="dxa"/>
            <w:gridSpan w:val="2"/>
            <w:shd w:val="clear" w:color="auto" w:fill="auto"/>
            <w:noWrap/>
            <w:vAlign w:val="center"/>
            <w:hideMark/>
          </w:tcPr>
          <w:p w14:paraId="31A0AFED"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155042</w:t>
            </w:r>
          </w:p>
        </w:tc>
      </w:tr>
      <w:tr w:rsidR="00343667" w:rsidRPr="00EA1BB2" w14:paraId="13E6ED98" w14:textId="77777777" w:rsidTr="00483744">
        <w:trPr>
          <w:gridAfter w:val="1"/>
          <w:wAfter w:w="19" w:type="dxa"/>
          <w:trHeight w:val="300"/>
        </w:trPr>
        <w:tc>
          <w:tcPr>
            <w:tcW w:w="2268" w:type="dxa"/>
            <w:shd w:val="clear" w:color="auto" w:fill="auto"/>
            <w:noWrap/>
            <w:vAlign w:val="center"/>
            <w:hideMark/>
          </w:tcPr>
          <w:p w14:paraId="4F973F45"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SC ARCELORMITTAL SA GALATI</w:t>
            </w:r>
          </w:p>
        </w:tc>
        <w:tc>
          <w:tcPr>
            <w:tcW w:w="993" w:type="dxa"/>
            <w:shd w:val="clear" w:color="auto" w:fill="auto"/>
            <w:noWrap/>
            <w:vAlign w:val="center"/>
            <w:hideMark/>
          </w:tcPr>
          <w:p w14:paraId="78630FDB"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Gala</w:t>
            </w:r>
            <w:r w:rsidR="00054880" w:rsidRPr="00EA1BB2">
              <w:rPr>
                <w:rFonts w:ascii="Cambria" w:eastAsia="Times New Roman" w:hAnsi="Cambria" w:cs="Arial"/>
                <w:color w:val="333333"/>
                <w:sz w:val="20"/>
              </w:rPr>
              <w:t>ț</w:t>
            </w:r>
            <w:r w:rsidRPr="00EA1BB2">
              <w:rPr>
                <w:rFonts w:ascii="Cambria" w:eastAsia="Times New Roman" w:hAnsi="Cambria" w:cs="Arial"/>
                <w:color w:val="333333"/>
                <w:sz w:val="20"/>
              </w:rPr>
              <w:t>i</w:t>
            </w:r>
          </w:p>
        </w:tc>
        <w:tc>
          <w:tcPr>
            <w:tcW w:w="1842" w:type="dxa"/>
            <w:shd w:val="clear" w:color="auto" w:fill="auto"/>
            <w:noWrap/>
            <w:vAlign w:val="center"/>
            <w:hideMark/>
          </w:tcPr>
          <w:p w14:paraId="0B6443F1"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Cos de evacuare cuptor rotativ de var nr. 2</w:t>
            </w:r>
          </w:p>
        </w:tc>
        <w:tc>
          <w:tcPr>
            <w:tcW w:w="996" w:type="dxa"/>
            <w:shd w:val="clear" w:color="auto" w:fill="auto"/>
            <w:noWrap/>
            <w:vAlign w:val="center"/>
            <w:hideMark/>
          </w:tcPr>
          <w:p w14:paraId="208F1FF0"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23</w:t>
            </w:r>
          </w:p>
        </w:tc>
        <w:tc>
          <w:tcPr>
            <w:tcW w:w="1096" w:type="dxa"/>
            <w:shd w:val="clear" w:color="auto" w:fill="auto"/>
            <w:noWrap/>
            <w:vAlign w:val="center"/>
            <w:hideMark/>
          </w:tcPr>
          <w:p w14:paraId="2DC8F42F"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2.7</w:t>
            </w:r>
          </w:p>
        </w:tc>
        <w:tc>
          <w:tcPr>
            <w:tcW w:w="794" w:type="dxa"/>
            <w:shd w:val="clear" w:color="auto" w:fill="auto"/>
            <w:noWrap/>
            <w:vAlign w:val="center"/>
            <w:hideMark/>
          </w:tcPr>
          <w:p w14:paraId="114C792E"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280</w:t>
            </w:r>
          </w:p>
        </w:tc>
        <w:tc>
          <w:tcPr>
            <w:tcW w:w="1179" w:type="dxa"/>
            <w:shd w:val="clear" w:color="auto" w:fill="auto"/>
            <w:noWrap/>
            <w:vAlign w:val="center"/>
            <w:hideMark/>
          </w:tcPr>
          <w:p w14:paraId="3DD1A5D7"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15</w:t>
            </w:r>
          </w:p>
        </w:tc>
        <w:tc>
          <w:tcPr>
            <w:tcW w:w="1191" w:type="dxa"/>
            <w:gridSpan w:val="2"/>
            <w:shd w:val="clear" w:color="auto" w:fill="auto"/>
            <w:noWrap/>
            <w:vAlign w:val="center"/>
            <w:hideMark/>
          </w:tcPr>
          <w:p w14:paraId="2ED3F190"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155042</w:t>
            </w:r>
          </w:p>
        </w:tc>
      </w:tr>
      <w:tr w:rsidR="00343667" w:rsidRPr="00EA1BB2" w14:paraId="078B8CAC" w14:textId="77777777" w:rsidTr="00483744">
        <w:trPr>
          <w:gridAfter w:val="1"/>
          <w:wAfter w:w="19" w:type="dxa"/>
          <w:trHeight w:val="300"/>
        </w:trPr>
        <w:tc>
          <w:tcPr>
            <w:tcW w:w="2268" w:type="dxa"/>
            <w:shd w:val="clear" w:color="auto" w:fill="auto"/>
            <w:noWrap/>
            <w:vAlign w:val="center"/>
            <w:hideMark/>
          </w:tcPr>
          <w:p w14:paraId="1D359040"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SC ARCELORMITTAL SA GALATI</w:t>
            </w:r>
          </w:p>
        </w:tc>
        <w:tc>
          <w:tcPr>
            <w:tcW w:w="993" w:type="dxa"/>
            <w:shd w:val="clear" w:color="auto" w:fill="auto"/>
            <w:noWrap/>
            <w:vAlign w:val="center"/>
            <w:hideMark/>
          </w:tcPr>
          <w:p w14:paraId="2AEBAB49"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Gala</w:t>
            </w:r>
            <w:r w:rsidR="00054880" w:rsidRPr="00EA1BB2">
              <w:rPr>
                <w:rFonts w:ascii="Cambria" w:eastAsia="Times New Roman" w:hAnsi="Cambria" w:cs="Arial"/>
                <w:color w:val="333333"/>
                <w:sz w:val="20"/>
              </w:rPr>
              <w:t>ț</w:t>
            </w:r>
            <w:r w:rsidRPr="00EA1BB2">
              <w:rPr>
                <w:rFonts w:ascii="Cambria" w:eastAsia="Times New Roman" w:hAnsi="Cambria" w:cs="Arial"/>
                <w:color w:val="333333"/>
                <w:sz w:val="20"/>
              </w:rPr>
              <w:t>i</w:t>
            </w:r>
          </w:p>
        </w:tc>
        <w:tc>
          <w:tcPr>
            <w:tcW w:w="1842" w:type="dxa"/>
            <w:shd w:val="clear" w:color="auto" w:fill="auto"/>
            <w:noWrap/>
            <w:vAlign w:val="center"/>
            <w:hideMark/>
          </w:tcPr>
          <w:p w14:paraId="2E16E6AA"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Cos de evacuare cuptor rotativ de var nr.3</w:t>
            </w:r>
          </w:p>
        </w:tc>
        <w:tc>
          <w:tcPr>
            <w:tcW w:w="996" w:type="dxa"/>
            <w:shd w:val="clear" w:color="auto" w:fill="auto"/>
            <w:noWrap/>
            <w:vAlign w:val="center"/>
            <w:hideMark/>
          </w:tcPr>
          <w:p w14:paraId="3F9BC4C0"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12</w:t>
            </w:r>
          </w:p>
        </w:tc>
        <w:tc>
          <w:tcPr>
            <w:tcW w:w="1096" w:type="dxa"/>
            <w:shd w:val="clear" w:color="auto" w:fill="auto"/>
            <w:noWrap/>
            <w:vAlign w:val="center"/>
            <w:hideMark/>
          </w:tcPr>
          <w:p w14:paraId="55D7CE0B"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2.7</w:t>
            </w:r>
          </w:p>
        </w:tc>
        <w:tc>
          <w:tcPr>
            <w:tcW w:w="794" w:type="dxa"/>
            <w:shd w:val="clear" w:color="auto" w:fill="auto"/>
            <w:noWrap/>
            <w:vAlign w:val="center"/>
            <w:hideMark/>
          </w:tcPr>
          <w:p w14:paraId="53086319"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284</w:t>
            </w:r>
          </w:p>
        </w:tc>
        <w:tc>
          <w:tcPr>
            <w:tcW w:w="1179" w:type="dxa"/>
            <w:shd w:val="clear" w:color="auto" w:fill="auto"/>
            <w:noWrap/>
            <w:vAlign w:val="center"/>
            <w:hideMark/>
          </w:tcPr>
          <w:p w14:paraId="03CE8D87"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15</w:t>
            </w:r>
          </w:p>
        </w:tc>
        <w:tc>
          <w:tcPr>
            <w:tcW w:w="1191" w:type="dxa"/>
            <w:gridSpan w:val="2"/>
            <w:shd w:val="clear" w:color="auto" w:fill="auto"/>
            <w:noWrap/>
            <w:vAlign w:val="center"/>
            <w:hideMark/>
          </w:tcPr>
          <w:p w14:paraId="2618268C"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155042</w:t>
            </w:r>
          </w:p>
        </w:tc>
      </w:tr>
      <w:tr w:rsidR="00343667" w:rsidRPr="00EA1BB2" w14:paraId="766B3A4E" w14:textId="77777777" w:rsidTr="00483744">
        <w:trPr>
          <w:gridAfter w:val="1"/>
          <w:wAfter w:w="19" w:type="dxa"/>
          <w:trHeight w:val="300"/>
        </w:trPr>
        <w:tc>
          <w:tcPr>
            <w:tcW w:w="2268" w:type="dxa"/>
            <w:shd w:val="clear" w:color="auto" w:fill="auto"/>
            <w:noWrap/>
            <w:vAlign w:val="center"/>
            <w:hideMark/>
          </w:tcPr>
          <w:p w14:paraId="0FA064B9"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SC ICMRS SA</w:t>
            </w:r>
          </w:p>
        </w:tc>
        <w:tc>
          <w:tcPr>
            <w:tcW w:w="993" w:type="dxa"/>
            <w:shd w:val="clear" w:color="auto" w:fill="auto"/>
            <w:noWrap/>
            <w:vAlign w:val="center"/>
            <w:hideMark/>
          </w:tcPr>
          <w:p w14:paraId="1744D691"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Gala</w:t>
            </w:r>
            <w:r w:rsidR="00054880" w:rsidRPr="00EA1BB2">
              <w:rPr>
                <w:rFonts w:ascii="Cambria" w:eastAsia="Times New Roman" w:hAnsi="Cambria" w:cs="Arial"/>
                <w:color w:val="333333"/>
                <w:sz w:val="20"/>
              </w:rPr>
              <w:t>ț</w:t>
            </w:r>
            <w:r w:rsidRPr="00EA1BB2">
              <w:rPr>
                <w:rFonts w:ascii="Cambria" w:eastAsia="Times New Roman" w:hAnsi="Cambria" w:cs="Arial"/>
                <w:color w:val="333333"/>
                <w:sz w:val="20"/>
              </w:rPr>
              <w:t>i</w:t>
            </w:r>
          </w:p>
        </w:tc>
        <w:tc>
          <w:tcPr>
            <w:tcW w:w="1842" w:type="dxa"/>
            <w:shd w:val="clear" w:color="auto" w:fill="auto"/>
            <w:noWrap/>
            <w:vAlign w:val="center"/>
            <w:hideMark/>
          </w:tcPr>
          <w:p w14:paraId="46E8257C"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Cos evacuare</w:t>
            </w:r>
          </w:p>
        </w:tc>
        <w:tc>
          <w:tcPr>
            <w:tcW w:w="996" w:type="dxa"/>
            <w:shd w:val="clear" w:color="auto" w:fill="auto"/>
            <w:noWrap/>
            <w:vAlign w:val="center"/>
            <w:hideMark/>
          </w:tcPr>
          <w:p w14:paraId="52F2D159"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8</w:t>
            </w:r>
          </w:p>
        </w:tc>
        <w:tc>
          <w:tcPr>
            <w:tcW w:w="1096" w:type="dxa"/>
            <w:shd w:val="clear" w:color="auto" w:fill="auto"/>
            <w:noWrap/>
            <w:vAlign w:val="center"/>
            <w:hideMark/>
          </w:tcPr>
          <w:p w14:paraId="4856323A"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0.55</w:t>
            </w:r>
          </w:p>
        </w:tc>
        <w:tc>
          <w:tcPr>
            <w:tcW w:w="794" w:type="dxa"/>
            <w:shd w:val="clear" w:color="auto" w:fill="auto"/>
            <w:noWrap/>
            <w:vAlign w:val="center"/>
            <w:hideMark/>
          </w:tcPr>
          <w:p w14:paraId="2DD1AE51"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75</w:t>
            </w:r>
          </w:p>
        </w:tc>
        <w:tc>
          <w:tcPr>
            <w:tcW w:w="1179" w:type="dxa"/>
            <w:shd w:val="clear" w:color="auto" w:fill="auto"/>
            <w:noWrap/>
            <w:vAlign w:val="center"/>
            <w:hideMark/>
          </w:tcPr>
          <w:p w14:paraId="60192BB2"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460</w:t>
            </w:r>
          </w:p>
        </w:tc>
        <w:tc>
          <w:tcPr>
            <w:tcW w:w="1191" w:type="dxa"/>
            <w:gridSpan w:val="2"/>
            <w:shd w:val="clear" w:color="auto" w:fill="auto"/>
            <w:noWrap/>
            <w:vAlign w:val="center"/>
            <w:hideMark/>
          </w:tcPr>
          <w:p w14:paraId="40AE3670" w14:textId="77777777" w:rsidR="00343667" w:rsidRPr="00EA1BB2" w:rsidRDefault="00343667" w:rsidP="00483744">
            <w:pPr>
              <w:jc w:val="center"/>
              <w:rPr>
                <w:rFonts w:ascii="Cambria" w:eastAsia="Times New Roman" w:hAnsi="Cambria" w:cs="Arial"/>
                <w:color w:val="333333"/>
                <w:sz w:val="20"/>
              </w:rPr>
            </w:pPr>
          </w:p>
        </w:tc>
      </w:tr>
      <w:tr w:rsidR="00343667" w:rsidRPr="00EA1BB2" w14:paraId="01ECCA1A" w14:textId="77777777" w:rsidTr="00483744">
        <w:trPr>
          <w:gridAfter w:val="1"/>
          <w:wAfter w:w="19" w:type="dxa"/>
          <w:trHeight w:val="300"/>
        </w:trPr>
        <w:tc>
          <w:tcPr>
            <w:tcW w:w="2268" w:type="dxa"/>
            <w:shd w:val="clear" w:color="auto" w:fill="auto"/>
            <w:noWrap/>
            <w:vAlign w:val="center"/>
            <w:hideMark/>
          </w:tcPr>
          <w:p w14:paraId="0AA8B774"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SC ARCELORMITTAL SA GALATI</w:t>
            </w:r>
          </w:p>
        </w:tc>
        <w:tc>
          <w:tcPr>
            <w:tcW w:w="993" w:type="dxa"/>
            <w:shd w:val="clear" w:color="auto" w:fill="auto"/>
            <w:noWrap/>
            <w:vAlign w:val="center"/>
            <w:hideMark/>
          </w:tcPr>
          <w:p w14:paraId="05928D06"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Gala</w:t>
            </w:r>
            <w:r w:rsidR="00054880" w:rsidRPr="00EA1BB2">
              <w:rPr>
                <w:rFonts w:ascii="Cambria" w:eastAsia="Times New Roman" w:hAnsi="Cambria" w:cs="Arial"/>
                <w:color w:val="333333"/>
                <w:sz w:val="20"/>
              </w:rPr>
              <w:t>ț</w:t>
            </w:r>
            <w:r w:rsidRPr="00EA1BB2">
              <w:rPr>
                <w:rFonts w:ascii="Cambria" w:eastAsia="Times New Roman" w:hAnsi="Cambria" w:cs="Arial"/>
                <w:color w:val="333333"/>
                <w:sz w:val="20"/>
              </w:rPr>
              <w:t>i</w:t>
            </w:r>
          </w:p>
        </w:tc>
        <w:tc>
          <w:tcPr>
            <w:tcW w:w="1842" w:type="dxa"/>
            <w:shd w:val="clear" w:color="auto" w:fill="auto"/>
            <w:noWrap/>
            <w:vAlign w:val="center"/>
            <w:hideMark/>
          </w:tcPr>
          <w:p w14:paraId="6238D547"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Cos de evacuare- Cuptoare cu propulsie (nr.1,2,3,4)</w:t>
            </w:r>
          </w:p>
        </w:tc>
        <w:tc>
          <w:tcPr>
            <w:tcW w:w="996" w:type="dxa"/>
            <w:shd w:val="clear" w:color="auto" w:fill="auto"/>
            <w:noWrap/>
            <w:vAlign w:val="center"/>
            <w:hideMark/>
          </w:tcPr>
          <w:p w14:paraId="395AE42D"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31.5</w:t>
            </w:r>
          </w:p>
        </w:tc>
        <w:tc>
          <w:tcPr>
            <w:tcW w:w="1096" w:type="dxa"/>
            <w:shd w:val="clear" w:color="auto" w:fill="auto"/>
            <w:noWrap/>
            <w:vAlign w:val="center"/>
            <w:hideMark/>
          </w:tcPr>
          <w:p w14:paraId="6EF074F3"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2.75</w:t>
            </w:r>
          </w:p>
        </w:tc>
        <w:tc>
          <w:tcPr>
            <w:tcW w:w="794" w:type="dxa"/>
            <w:shd w:val="clear" w:color="auto" w:fill="auto"/>
            <w:noWrap/>
            <w:vAlign w:val="center"/>
            <w:hideMark/>
          </w:tcPr>
          <w:p w14:paraId="19C38FFB"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300</w:t>
            </w:r>
          </w:p>
        </w:tc>
        <w:tc>
          <w:tcPr>
            <w:tcW w:w="1179" w:type="dxa"/>
            <w:shd w:val="clear" w:color="auto" w:fill="auto"/>
            <w:noWrap/>
            <w:vAlign w:val="center"/>
            <w:hideMark/>
          </w:tcPr>
          <w:p w14:paraId="7E7753D7"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10</w:t>
            </w:r>
          </w:p>
        </w:tc>
        <w:tc>
          <w:tcPr>
            <w:tcW w:w="1191" w:type="dxa"/>
            <w:gridSpan w:val="2"/>
            <w:shd w:val="clear" w:color="auto" w:fill="auto"/>
            <w:noWrap/>
            <w:vAlign w:val="center"/>
            <w:hideMark/>
          </w:tcPr>
          <w:p w14:paraId="42D86022"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139</w:t>
            </w:r>
          </w:p>
        </w:tc>
      </w:tr>
      <w:tr w:rsidR="00343667" w:rsidRPr="00EA1BB2" w14:paraId="12F77D96" w14:textId="77777777" w:rsidTr="00483744">
        <w:trPr>
          <w:gridAfter w:val="1"/>
          <w:wAfter w:w="19" w:type="dxa"/>
          <w:trHeight w:val="300"/>
        </w:trPr>
        <w:tc>
          <w:tcPr>
            <w:tcW w:w="2268" w:type="dxa"/>
            <w:shd w:val="clear" w:color="auto" w:fill="auto"/>
            <w:noWrap/>
            <w:vAlign w:val="center"/>
            <w:hideMark/>
          </w:tcPr>
          <w:p w14:paraId="74120170"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SC ARCELORMITTAL SA GALATI</w:t>
            </w:r>
          </w:p>
        </w:tc>
        <w:tc>
          <w:tcPr>
            <w:tcW w:w="993" w:type="dxa"/>
            <w:shd w:val="clear" w:color="auto" w:fill="auto"/>
            <w:noWrap/>
            <w:vAlign w:val="center"/>
            <w:hideMark/>
          </w:tcPr>
          <w:p w14:paraId="71CE1628"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Gala</w:t>
            </w:r>
            <w:r w:rsidR="00054880" w:rsidRPr="00EA1BB2">
              <w:rPr>
                <w:rFonts w:ascii="Cambria" w:eastAsia="Times New Roman" w:hAnsi="Cambria" w:cs="Arial"/>
                <w:color w:val="333333"/>
                <w:sz w:val="20"/>
              </w:rPr>
              <w:t>ț</w:t>
            </w:r>
            <w:r w:rsidRPr="00EA1BB2">
              <w:rPr>
                <w:rFonts w:ascii="Cambria" w:eastAsia="Times New Roman" w:hAnsi="Cambria" w:cs="Arial"/>
                <w:color w:val="333333"/>
                <w:sz w:val="20"/>
              </w:rPr>
              <w:t>i</w:t>
            </w:r>
          </w:p>
        </w:tc>
        <w:tc>
          <w:tcPr>
            <w:tcW w:w="1842" w:type="dxa"/>
            <w:shd w:val="clear" w:color="auto" w:fill="auto"/>
            <w:noWrap/>
            <w:vAlign w:val="center"/>
            <w:hideMark/>
          </w:tcPr>
          <w:p w14:paraId="0A34DFAA"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Cos evacuare cuptoare tratamente termice (8 co</w:t>
            </w:r>
            <w:r w:rsidR="00054880" w:rsidRPr="00EA1BB2">
              <w:rPr>
                <w:rFonts w:ascii="Cambria" w:eastAsia="Times New Roman" w:hAnsi="Cambria" w:cs="Arial"/>
                <w:color w:val="333333"/>
                <w:sz w:val="20"/>
              </w:rPr>
              <w:t>ș</w:t>
            </w:r>
            <w:r w:rsidRPr="00EA1BB2">
              <w:rPr>
                <w:rFonts w:ascii="Cambria" w:eastAsia="Times New Roman" w:hAnsi="Cambria" w:cs="Arial"/>
                <w:color w:val="333333"/>
                <w:sz w:val="20"/>
              </w:rPr>
              <w:t>uri)</w:t>
            </w:r>
          </w:p>
        </w:tc>
        <w:tc>
          <w:tcPr>
            <w:tcW w:w="996" w:type="dxa"/>
            <w:shd w:val="clear" w:color="auto" w:fill="auto"/>
            <w:noWrap/>
            <w:vAlign w:val="center"/>
            <w:hideMark/>
          </w:tcPr>
          <w:p w14:paraId="29753C39"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26.64</w:t>
            </w:r>
          </w:p>
        </w:tc>
        <w:tc>
          <w:tcPr>
            <w:tcW w:w="1096" w:type="dxa"/>
            <w:shd w:val="clear" w:color="auto" w:fill="auto"/>
            <w:noWrap/>
            <w:vAlign w:val="center"/>
            <w:hideMark/>
          </w:tcPr>
          <w:p w14:paraId="11942AC8"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0.32</w:t>
            </w:r>
          </w:p>
        </w:tc>
        <w:tc>
          <w:tcPr>
            <w:tcW w:w="794" w:type="dxa"/>
            <w:shd w:val="clear" w:color="auto" w:fill="auto"/>
            <w:noWrap/>
            <w:vAlign w:val="center"/>
            <w:hideMark/>
          </w:tcPr>
          <w:p w14:paraId="7C39E67C"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70</w:t>
            </w:r>
          </w:p>
        </w:tc>
        <w:tc>
          <w:tcPr>
            <w:tcW w:w="1179" w:type="dxa"/>
            <w:shd w:val="clear" w:color="auto" w:fill="auto"/>
            <w:noWrap/>
            <w:vAlign w:val="center"/>
            <w:hideMark/>
          </w:tcPr>
          <w:p w14:paraId="544C2D37"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20</w:t>
            </w:r>
          </w:p>
        </w:tc>
        <w:tc>
          <w:tcPr>
            <w:tcW w:w="1191" w:type="dxa"/>
            <w:gridSpan w:val="2"/>
            <w:shd w:val="clear" w:color="auto" w:fill="auto"/>
            <w:noWrap/>
            <w:vAlign w:val="center"/>
            <w:hideMark/>
          </w:tcPr>
          <w:p w14:paraId="096F6EBA"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4538</w:t>
            </w:r>
          </w:p>
        </w:tc>
      </w:tr>
      <w:tr w:rsidR="00343667" w:rsidRPr="00EA1BB2" w14:paraId="54822ACC" w14:textId="77777777" w:rsidTr="00483744">
        <w:trPr>
          <w:gridAfter w:val="1"/>
          <w:wAfter w:w="19" w:type="dxa"/>
          <w:trHeight w:val="300"/>
        </w:trPr>
        <w:tc>
          <w:tcPr>
            <w:tcW w:w="2268" w:type="dxa"/>
            <w:shd w:val="clear" w:color="auto" w:fill="auto"/>
            <w:noWrap/>
            <w:vAlign w:val="center"/>
            <w:hideMark/>
          </w:tcPr>
          <w:p w14:paraId="3B9996D2"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SC ARCELORMITTAL SA GALATI</w:t>
            </w:r>
          </w:p>
        </w:tc>
        <w:tc>
          <w:tcPr>
            <w:tcW w:w="993" w:type="dxa"/>
            <w:shd w:val="clear" w:color="auto" w:fill="auto"/>
            <w:noWrap/>
            <w:vAlign w:val="center"/>
            <w:hideMark/>
          </w:tcPr>
          <w:p w14:paraId="0E3BBA07"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Gala</w:t>
            </w:r>
            <w:r w:rsidR="00054880" w:rsidRPr="00EA1BB2">
              <w:rPr>
                <w:rFonts w:ascii="Cambria" w:eastAsia="Times New Roman" w:hAnsi="Cambria" w:cs="Arial"/>
                <w:color w:val="333333"/>
                <w:sz w:val="20"/>
              </w:rPr>
              <w:t>ț</w:t>
            </w:r>
            <w:r w:rsidRPr="00EA1BB2">
              <w:rPr>
                <w:rFonts w:ascii="Cambria" w:eastAsia="Times New Roman" w:hAnsi="Cambria" w:cs="Arial"/>
                <w:color w:val="333333"/>
                <w:sz w:val="20"/>
              </w:rPr>
              <w:t>i</w:t>
            </w:r>
          </w:p>
        </w:tc>
        <w:tc>
          <w:tcPr>
            <w:tcW w:w="1842" w:type="dxa"/>
            <w:shd w:val="clear" w:color="auto" w:fill="auto"/>
            <w:noWrap/>
            <w:vAlign w:val="center"/>
            <w:hideMark/>
          </w:tcPr>
          <w:p w14:paraId="245C59D0"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Cos evacuare cuptoare cu propulsie nr.1,2,3</w:t>
            </w:r>
          </w:p>
        </w:tc>
        <w:tc>
          <w:tcPr>
            <w:tcW w:w="996" w:type="dxa"/>
            <w:shd w:val="clear" w:color="auto" w:fill="auto"/>
            <w:noWrap/>
            <w:vAlign w:val="center"/>
            <w:hideMark/>
          </w:tcPr>
          <w:p w14:paraId="05EE4E0B"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40</w:t>
            </w:r>
          </w:p>
        </w:tc>
        <w:tc>
          <w:tcPr>
            <w:tcW w:w="1096" w:type="dxa"/>
            <w:shd w:val="clear" w:color="auto" w:fill="auto"/>
            <w:noWrap/>
            <w:vAlign w:val="center"/>
            <w:hideMark/>
          </w:tcPr>
          <w:p w14:paraId="2234A86E"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5.8</w:t>
            </w:r>
          </w:p>
        </w:tc>
        <w:tc>
          <w:tcPr>
            <w:tcW w:w="794" w:type="dxa"/>
            <w:shd w:val="clear" w:color="auto" w:fill="auto"/>
            <w:noWrap/>
            <w:vAlign w:val="center"/>
            <w:hideMark/>
          </w:tcPr>
          <w:p w14:paraId="592E52C9"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150</w:t>
            </w:r>
          </w:p>
        </w:tc>
        <w:tc>
          <w:tcPr>
            <w:tcW w:w="1179" w:type="dxa"/>
            <w:shd w:val="clear" w:color="auto" w:fill="auto"/>
            <w:noWrap/>
            <w:vAlign w:val="center"/>
            <w:hideMark/>
          </w:tcPr>
          <w:p w14:paraId="612AC627"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14</w:t>
            </w:r>
          </w:p>
        </w:tc>
        <w:tc>
          <w:tcPr>
            <w:tcW w:w="1191" w:type="dxa"/>
            <w:gridSpan w:val="2"/>
            <w:shd w:val="clear" w:color="auto" w:fill="auto"/>
            <w:noWrap/>
            <w:vAlign w:val="center"/>
            <w:hideMark/>
          </w:tcPr>
          <w:p w14:paraId="4100BDE7"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225052</w:t>
            </w:r>
          </w:p>
        </w:tc>
      </w:tr>
      <w:tr w:rsidR="00343667" w:rsidRPr="00EA1BB2" w14:paraId="2C9F627A" w14:textId="77777777" w:rsidTr="00483744">
        <w:trPr>
          <w:gridAfter w:val="1"/>
          <w:wAfter w:w="19" w:type="dxa"/>
          <w:trHeight w:val="300"/>
        </w:trPr>
        <w:tc>
          <w:tcPr>
            <w:tcW w:w="2268" w:type="dxa"/>
            <w:shd w:val="clear" w:color="auto" w:fill="auto"/>
            <w:noWrap/>
            <w:vAlign w:val="center"/>
            <w:hideMark/>
          </w:tcPr>
          <w:p w14:paraId="20B0B2D2"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SC LINDE GAZ ROMANIA SRL</w:t>
            </w:r>
          </w:p>
        </w:tc>
        <w:tc>
          <w:tcPr>
            <w:tcW w:w="993" w:type="dxa"/>
            <w:shd w:val="clear" w:color="auto" w:fill="auto"/>
            <w:noWrap/>
            <w:vAlign w:val="center"/>
            <w:hideMark/>
          </w:tcPr>
          <w:p w14:paraId="35C8EC8B"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Gala</w:t>
            </w:r>
            <w:r w:rsidR="00054880" w:rsidRPr="00EA1BB2">
              <w:rPr>
                <w:rFonts w:ascii="Cambria" w:eastAsia="Times New Roman" w:hAnsi="Cambria" w:cs="Arial"/>
                <w:color w:val="333333"/>
                <w:sz w:val="20"/>
              </w:rPr>
              <w:t>ț</w:t>
            </w:r>
            <w:r w:rsidRPr="00EA1BB2">
              <w:rPr>
                <w:rFonts w:ascii="Cambria" w:eastAsia="Times New Roman" w:hAnsi="Cambria" w:cs="Arial"/>
                <w:color w:val="333333"/>
                <w:sz w:val="20"/>
              </w:rPr>
              <w:t>i</w:t>
            </w:r>
          </w:p>
        </w:tc>
        <w:tc>
          <w:tcPr>
            <w:tcW w:w="1842" w:type="dxa"/>
            <w:shd w:val="clear" w:color="auto" w:fill="auto"/>
            <w:noWrap/>
            <w:vAlign w:val="center"/>
            <w:hideMark/>
          </w:tcPr>
          <w:p w14:paraId="78276A8F"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Cos cazan apa calda</w:t>
            </w:r>
          </w:p>
        </w:tc>
        <w:tc>
          <w:tcPr>
            <w:tcW w:w="996" w:type="dxa"/>
            <w:shd w:val="clear" w:color="auto" w:fill="auto"/>
            <w:noWrap/>
            <w:vAlign w:val="center"/>
            <w:hideMark/>
          </w:tcPr>
          <w:p w14:paraId="1B2FD687"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4.5</w:t>
            </w:r>
          </w:p>
        </w:tc>
        <w:tc>
          <w:tcPr>
            <w:tcW w:w="1096" w:type="dxa"/>
            <w:shd w:val="clear" w:color="auto" w:fill="auto"/>
            <w:noWrap/>
            <w:vAlign w:val="center"/>
            <w:hideMark/>
          </w:tcPr>
          <w:p w14:paraId="1545C626"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0.35</w:t>
            </w:r>
          </w:p>
        </w:tc>
        <w:tc>
          <w:tcPr>
            <w:tcW w:w="794" w:type="dxa"/>
            <w:shd w:val="clear" w:color="auto" w:fill="auto"/>
            <w:noWrap/>
            <w:vAlign w:val="center"/>
            <w:hideMark/>
          </w:tcPr>
          <w:p w14:paraId="30CF4FC3" w14:textId="77777777" w:rsidR="00343667" w:rsidRPr="00EA1BB2" w:rsidRDefault="00343667" w:rsidP="00483744">
            <w:pPr>
              <w:jc w:val="center"/>
              <w:rPr>
                <w:rFonts w:ascii="Cambria" w:eastAsia="Times New Roman" w:hAnsi="Cambria" w:cs="Arial"/>
                <w:color w:val="333333"/>
                <w:sz w:val="20"/>
              </w:rPr>
            </w:pPr>
            <w:r w:rsidRPr="00EA1BB2">
              <w:rPr>
                <w:rFonts w:ascii="Cambria" w:eastAsia="Times New Roman" w:hAnsi="Cambria" w:cs="Arial"/>
                <w:color w:val="333333"/>
                <w:sz w:val="20"/>
              </w:rPr>
              <w:t>130</w:t>
            </w:r>
          </w:p>
        </w:tc>
        <w:tc>
          <w:tcPr>
            <w:tcW w:w="1179" w:type="dxa"/>
            <w:shd w:val="clear" w:color="auto" w:fill="auto"/>
            <w:noWrap/>
            <w:vAlign w:val="center"/>
            <w:hideMark/>
          </w:tcPr>
          <w:p w14:paraId="1C33A8E9" w14:textId="77777777" w:rsidR="00343667" w:rsidRPr="00EA1BB2" w:rsidRDefault="00343667" w:rsidP="00483744">
            <w:pPr>
              <w:jc w:val="center"/>
              <w:rPr>
                <w:rFonts w:ascii="Cambria" w:eastAsia="Times New Roman" w:hAnsi="Cambria" w:cs="Arial"/>
                <w:color w:val="333333"/>
                <w:sz w:val="20"/>
              </w:rPr>
            </w:pPr>
          </w:p>
        </w:tc>
        <w:tc>
          <w:tcPr>
            <w:tcW w:w="1191" w:type="dxa"/>
            <w:gridSpan w:val="2"/>
            <w:shd w:val="clear" w:color="auto" w:fill="auto"/>
            <w:noWrap/>
            <w:vAlign w:val="center"/>
            <w:hideMark/>
          </w:tcPr>
          <w:p w14:paraId="04E3A78C" w14:textId="77777777" w:rsidR="00343667" w:rsidRPr="00EA1BB2" w:rsidRDefault="00343667" w:rsidP="00483744">
            <w:pPr>
              <w:jc w:val="center"/>
              <w:rPr>
                <w:rFonts w:ascii="Cambria" w:eastAsia="Times New Roman" w:hAnsi="Cambria" w:cs="Arial"/>
                <w:color w:val="333333"/>
                <w:sz w:val="20"/>
              </w:rPr>
            </w:pPr>
          </w:p>
        </w:tc>
      </w:tr>
    </w:tbl>
    <w:p w14:paraId="7991BA22" w14:textId="77777777" w:rsidR="00343667" w:rsidRPr="00EA1BB2" w:rsidRDefault="00343667" w:rsidP="00343667">
      <w:pPr>
        <w:spacing w:line="276" w:lineRule="auto"/>
        <w:rPr>
          <w:rFonts w:ascii="Cambria" w:hAnsi="Cambria" w:cs="Times New Roman"/>
          <w:szCs w:val="24"/>
        </w:rPr>
      </w:pPr>
      <w:r w:rsidRPr="00EA1BB2">
        <w:rPr>
          <w:rFonts w:ascii="Cambria" w:hAnsi="Cambria" w:cs="Times New Roman"/>
          <w:szCs w:val="24"/>
        </w:rPr>
        <w:t>Sursa</w:t>
      </w:r>
      <w:r w:rsidR="004E770E" w:rsidRPr="00EA1BB2">
        <w:rPr>
          <w:rFonts w:ascii="Cambria" w:hAnsi="Cambria" w:cs="Times New Roman"/>
          <w:szCs w:val="24"/>
        </w:rPr>
        <w:t xml:space="preserve"> date</w:t>
      </w:r>
      <w:r w:rsidRPr="00EA1BB2">
        <w:rPr>
          <w:rFonts w:ascii="Cambria" w:hAnsi="Cambria" w:cs="Times New Roman"/>
          <w:szCs w:val="24"/>
        </w:rPr>
        <w:t>: APM Gala</w:t>
      </w:r>
      <w:r w:rsidR="00054880" w:rsidRPr="00EA1BB2">
        <w:rPr>
          <w:rFonts w:ascii="Cambria" w:hAnsi="Cambria" w:cs="Times New Roman"/>
          <w:szCs w:val="24"/>
        </w:rPr>
        <w:t>ț</w:t>
      </w:r>
      <w:r w:rsidRPr="00EA1BB2">
        <w:rPr>
          <w:rFonts w:ascii="Cambria" w:hAnsi="Cambria" w:cs="Times New Roman"/>
          <w:szCs w:val="24"/>
        </w:rPr>
        <w:t>i - ILE 2013</w:t>
      </w:r>
    </w:p>
    <w:p w14:paraId="669EA60E" w14:textId="77777777" w:rsidR="00343667" w:rsidRPr="00EA1BB2" w:rsidRDefault="00343667" w:rsidP="008C6FE1">
      <w:pPr>
        <w:ind w:firstLine="567"/>
        <w:jc w:val="both"/>
        <w:rPr>
          <w:rFonts w:ascii="Cambria" w:eastAsia="Times New Roman" w:hAnsi="Cambria"/>
          <w:sz w:val="24"/>
          <w:szCs w:val="24"/>
        </w:rPr>
      </w:pPr>
    </w:p>
    <w:p w14:paraId="6F556317" w14:textId="77777777" w:rsidR="00343667" w:rsidRPr="00EA1BB2" w:rsidRDefault="00343667" w:rsidP="00343667">
      <w:pPr>
        <w:spacing w:line="360" w:lineRule="auto"/>
        <w:ind w:firstLine="709"/>
        <w:jc w:val="both"/>
        <w:rPr>
          <w:rFonts w:ascii="Cambria" w:eastAsia="Times New Roman" w:hAnsi="Cambria"/>
          <w:sz w:val="24"/>
          <w:szCs w:val="24"/>
        </w:rPr>
      </w:pPr>
      <w:r w:rsidRPr="00EA1BB2">
        <w:rPr>
          <w:rFonts w:ascii="Cambria" w:eastAsia="Times New Roman" w:hAnsi="Cambria"/>
          <w:sz w:val="24"/>
          <w:szCs w:val="24"/>
        </w:rPr>
        <w:t>Pentru a calcula influen</w:t>
      </w:r>
      <w:r w:rsidR="00054880" w:rsidRPr="00EA1BB2">
        <w:rPr>
          <w:rFonts w:ascii="Cambria" w:eastAsia="Times New Roman" w:hAnsi="Cambria"/>
          <w:sz w:val="24"/>
          <w:szCs w:val="24"/>
        </w:rPr>
        <w:t>ț</w:t>
      </w:r>
      <w:r w:rsidRPr="00EA1BB2">
        <w:rPr>
          <w:rFonts w:ascii="Cambria" w:eastAsia="Times New Roman" w:hAnsi="Cambria"/>
          <w:sz w:val="24"/>
          <w:szCs w:val="24"/>
        </w:rPr>
        <w:t>a semnificativă privind transferul de poluant (NOx) de la sursele de emisie către UAT-rile din Jude</w:t>
      </w:r>
      <w:r w:rsidR="00054880" w:rsidRPr="00EA1BB2">
        <w:rPr>
          <w:rFonts w:ascii="Cambria" w:eastAsia="Times New Roman" w:hAnsi="Cambria"/>
          <w:sz w:val="24"/>
          <w:szCs w:val="24"/>
        </w:rPr>
        <w:t>ț</w:t>
      </w:r>
      <w:r w:rsidRPr="00EA1BB2">
        <w:rPr>
          <w:rFonts w:ascii="Cambria" w:eastAsia="Times New Roman" w:hAnsi="Cambria"/>
          <w:sz w:val="24"/>
          <w:szCs w:val="24"/>
        </w:rPr>
        <w:t>ul Brăila s-a analizat cel mai rău scenariu (worst case scenario) utilizând parametrii maximali relevan</w:t>
      </w:r>
      <w:r w:rsidR="00054880" w:rsidRPr="00EA1BB2">
        <w:rPr>
          <w:rFonts w:ascii="Cambria" w:eastAsia="Times New Roman" w:hAnsi="Cambria"/>
          <w:sz w:val="24"/>
          <w:szCs w:val="24"/>
        </w:rPr>
        <w:t>ț</w:t>
      </w:r>
      <w:r w:rsidRPr="00EA1BB2">
        <w:rPr>
          <w:rFonts w:ascii="Cambria" w:eastAsia="Times New Roman" w:hAnsi="Cambria"/>
          <w:sz w:val="24"/>
          <w:szCs w:val="24"/>
        </w:rPr>
        <w:t>i ai surselor astfel:</w:t>
      </w:r>
    </w:p>
    <w:p w14:paraId="39C75ACC" w14:textId="77777777" w:rsidR="00343667" w:rsidRPr="00EA1BB2" w:rsidRDefault="00343667" w:rsidP="00483744">
      <w:pPr>
        <w:spacing w:line="360" w:lineRule="auto"/>
        <w:ind w:firstLine="567"/>
        <w:jc w:val="both"/>
        <w:rPr>
          <w:rFonts w:ascii="Cambria" w:eastAsia="Times New Roman" w:hAnsi="Cambria"/>
          <w:sz w:val="24"/>
          <w:szCs w:val="24"/>
        </w:rPr>
      </w:pPr>
      <w:r w:rsidRPr="00EA1BB2">
        <w:rPr>
          <w:rFonts w:ascii="Cambria" w:eastAsia="Times New Roman" w:hAnsi="Cambria"/>
          <w:sz w:val="24"/>
          <w:szCs w:val="24"/>
        </w:rPr>
        <w:t>- Valorile concentra</w:t>
      </w:r>
      <w:r w:rsidR="00054880" w:rsidRPr="00EA1BB2">
        <w:rPr>
          <w:rFonts w:ascii="Cambria" w:eastAsia="Times New Roman" w:hAnsi="Cambria"/>
          <w:sz w:val="24"/>
          <w:szCs w:val="24"/>
        </w:rPr>
        <w:t>ț</w:t>
      </w:r>
      <w:r w:rsidRPr="00EA1BB2">
        <w:rPr>
          <w:rFonts w:ascii="Cambria" w:eastAsia="Times New Roman" w:hAnsi="Cambria"/>
          <w:sz w:val="24"/>
          <w:szCs w:val="24"/>
        </w:rPr>
        <w:t>iilor emisiilor la surs</w:t>
      </w:r>
      <w:r w:rsidR="009B05C6" w:rsidRPr="00EA1BB2">
        <w:rPr>
          <w:rFonts w:ascii="Cambria" w:eastAsia="Times New Roman" w:hAnsi="Cambria"/>
          <w:sz w:val="24"/>
          <w:szCs w:val="24"/>
        </w:rPr>
        <w:t>ă</w:t>
      </w:r>
      <w:r w:rsidRPr="00EA1BB2">
        <w:rPr>
          <w:rFonts w:ascii="Cambria" w:eastAsia="Times New Roman" w:hAnsi="Cambria"/>
          <w:sz w:val="24"/>
          <w:szCs w:val="24"/>
        </w:rPr>
        <w:t xml:space="preserve"> sunt cele stabilite prin VLE (autoriza</w:t>
      </w:r>
      <w:r w:rsidR="00054880" w:rsidRPr="00EA1BB2">
        <w:rPr>
          <w:rFonts w:ascii="Cambria" w:eastAsia="Times New Roman" w:hAnsi="Cambria"/>
          <w:sz w:val="24"/>
          <w:szCs w:val="24"/>
        </w:rPr>
        <w:t>ț</w:t>
      </w:r>
      <w:r w:rsidRPr="00EA1BB2">
        <w:rPr>
          <w:rFonts w:ascii="Cambria" w:eastAsia="Times New Roman" w:hAnsi="Cambria"/>
          <w:sz w:val="24"/>
          <w:szCs w:val="24"/>
        </w:rPr>
        <w:t>ii de mediu);</w:t>
      </w:r>
    </w:p>
    <w:p w14:paraId="2FF31E40" w14:textId="77777777" w:rsidR="009919C8" w:rsidRPr="00EA1BB2" w:rsidRDefault="00343667" w:rsidP="00483744">
      <w:pPr>
        <w:numPr>
          <w:ilvl w:val="0"/>
          <w:numId w:val="5"/>
        </w:numPr>
        <w:spacing w:line="360" w:lineRule="auto"/>
        <w:ind w:left="0" w:firstLine="567"/>
        <w:contextualSpacing/>
        <w:jc w:val="both"/>
        <w:rPr>
          <w:rFonts w:ascii="Cambria" w:eastAsia="Times New Roman" w:hAnsi="Cambria"/>
          <w:sz w:val="24"/>
          <w:szCs w:val="24"/>
        </w:rPr>
      </w:pPr>
      <w:r w:rsidRPr="00EA1BB2">
        <w:rPr>
          <w:rFonts w:ascii="Cambria" w:eastAsia="Times New Roman" w:hAnsi="Cambria"/>
          <w:sz w:val="24"/>
          <w:szCs w:val="24"/>
        </w:rPr>
        <w:t>Sursele emit continuu (24/24);</w:t>
      </w:r>
    </w:p>
    <w:p w14:paraId="1CDC446F" w14:textId="77777777" w:rsidR="009919C8" w:rsidRPr="00EA1BB2" w:rsidRDefault="006A6144" w:rsidP="00483744">
      <w:pPr>
        <w:numPr>
          <w:ilvl w:val="0"/>
          <w:numId w:val="5"/>
        </w:numPr>
        <w:spacing w:line="360" w:lineRule="auto"/>
        <w:ind w:left="0" w:firstLine="567"/>
        <w:contextualSpacing/>
        <w:jc w:val="both"/>
        <w:rPr>
          <w:rFonts w:ascii="Cambria" w:eastAsia="Times New Roman" w:hAnsi="Cambria"/>
          <w:sz w:val="24"/>
          <w:szCs w:val="24"/>
        </w:rPr>
      </w:pPr>
      <w:r w:rsidRPr="00EA1BB2">
        <w:rPr>
          <w:rFonts w:ascii="Cambria" w:eastAsia="Times New Roman" w:hAnsi="Cambria"/>
          <w:sz w:val="24"/>
          <w:szCs w:val="24"/>
        </w:rPr>
        <w:t>C</w:t>
      </w:r>
      <w:r w:rsidR="009919C8" w:rsidRPr="00EA1BB2">
        <w:rPr>
          <w:rFonts w:ascii="Cambria" w:eastAsia="Times New Roman" w:hAnsi="Cambria"/>
          <w:sz w:val="24"/>
          <w:szCs w:val="24"/>
        </w:rPr>
        <w:t>oncentrația de fond regional total;</w:t>
      </w:r>
    </w:p>
    <w:p w14:paraId="493A1F3B" w14:textId="77777777" w:rsidR="00343667" w:rsidRPr="00EA1BB2" w:rsidRDefault="00343667" w:rsidP="00483744">
      <w:pPr>
        <w:numPr>
          <w:ilvl w:val="0"/>
          <w:numId w:val="5"/>
        </w:numPr>
        <w:spacing w:line="360" w:lineRule="auto"/>
        <w:ind w:left="0" w:firstLine="567"/>
        <w:contextualSpacing/>
        <w:jc w:val="both"/>
        <w:rPr>
          <w:rFonts w:ascii="Cambria" w:eastAsia="Times New Roman" w:hAnsi="Cambria"/>
          <w:sz w:val="24"/>
          <w:szCs w:val="24"/>
        </w:rPr>
      </w:pPr>
      <w:r w:rsidRPr="00EA1BB2">
        <w:rPr>
          <w:rFonts w:ascii="Cambria" w:eastAsia="Times New Roman" w:hAnsi="Cambria"/>
          <w:sz w:val="24"/>
          <w:szCs w:val="24"/>
        </w:rPr>
        <w:lastRenderedPageBreak/>
        <w:t xml:space="preserve">S-au utilizat datele meteorologice </w:t>
      </w:r>
      <w:r w:rsidR="0078622B" w:rsidRPr="00EA1BB2">
        <w:rPr>
          <w:rFonts w:ascii="Cambria" w:eastAsia="Times New Roman" w:hAnsi="Cambria"/>
          <w:sz w:val="24"/>
          <w:szCs w:val="24"/>
        </w:rPr>
        <w:t>aferente anului</w:t>
      </w:r>
      <w:r w:rsidRPr="00EA1BB2">
        <w:rPr>
          <w:rFonts w:ascii="Cambria" w:eastAsia="Times New Roman" w:hAnsi="Cambria"/>
          <w:sz w:val="24"/>
          <w:szCs w:val="24"/>
        </w:rPr>
        <w:t xml:space="preserve"> 2015 (viteză vânt, direc</w:t>
      </w:r>
      <w:r w:rsidR="00054880" w:rsidRPr="00EA1BB2">
        <w:rPr>
          <w:rFonts w:ascii="Cambria" w:eastAsia="Times New Roman" w:hAnsi="Cambria"/>
          <w:sz w:val="24"/>
          <w:szCs w:val="24"/>
        </w:rPr>
        <w:t>ț</w:t>
      </w:r>
      <w:r w:rsidRPr="00EA1BB2">
        <w:rPr>
          <w:rFonts w:ascii="Cambria" w:eastAsia="Times New Roman" w:hAnsi="Cambria"/>
          <w:sz w:val="24"/>
          <w:szCs w:val="24"/>
        </w:rPr>
        <w:t>ie predominantă).</w:t>
      </w:r>
    </w:p>
    <w:p w14:paraId="55CCEA28" w14:textId="77777777" w:rsidR="00343667" w:rsidRPr="00EA1BB2" w:rsidRDefault="00343667" w:rsidP="00343667">
      <w:pPr>
        <w:spacing w:line="360" w:lineRule="auto"/>
        <w:ind w:firstLine="709"/>
        <w:jc w:val="both"/>
        <w:rPr>
          <w:rFonts w:ascii="Cambria" w:eastAsia="Times New Roman" w:hAnsi="Cambria"/>
          <w:sz w:val="24"/>
          <w:szCs w:val="24"/>
        </w:rPr>
      </w:pPr>
      <w:r w:rsidRPr="00EA1BB2">
        <w:rPr>
          <w:rFonts w:ascii="Cambria" w:eastAsia="Times New Roman" w:hAnsi="Cambria"/>
          <w:sz w:val="24"/>
          <w:szCs w:val="24"/>
        </w:rPr>
        <w:t>Contribu</w:t>
      </w:r>
      <w:r w:rsidR="00054880" w:rsidRPr="00EA1BB2">
        <w:rPr>
          <w:rFonts w:ascii="Cambria" w:eastAsia="Times New Roman" w:hAnsi="Cambria"/>
          <w:sz w:val="24"/>
          <w:szCs w:val="24"/>
        </w:rPr>
        <w:t>ț</w:t>
      </w:r>
      <w:r w:rsidRPr="00EA1BB2">
        <w:rPr>
          <w:rFonts w:ascii="Cambria" w:eastAsia="Times New Roman" w:hAnsi="Cambria"/>
          <w:sz w:val="24"/>
          <w:szCs w:val="24"/>
        </w:rPr>
        <w:t xml:space="preserve">ia surselor de emisie de pe platforma ARCELOR MITTAL este nesemnificativă </w:t>
      </w:r>
      <w:r w:rsidR="00054880" w:rsidRPr="00EA1BB2">
        <w:rPr>
          <w:rFonts w:ascii="Cambria" w:eastAsia="Times New Roman" w:hAnsi="Cambria"/>
          <w:sz w:val="24"/>
          <w:szCs w:val="24"/>
        </w:rPr>
        <w:t>ș</w:t>
      </w:r>
      <w:r w:rsidRPr="00EA1BB2">
        <w:rPr>
          <w:rFonts w:ascii="Cambria" w:eastAsia="Times New Roman" w:hAnsi="Cambria"/>
          <w:sz w:val="24"/>
          <w:szCs w:val="24"/>
        </w:rPr>
        <w:t>i ca urmare a distan</w:t>
      </w:r>
      <w:r w:rsidR="00054880" w:rsidRPr="00EA1BB2">
        <w:rPr>
          <w:rFonts w:ascii="Cambria" w:eastAsia="Times New Roman" w:hAnsi="Cambria"/>
          <w:sz w:val="24"/>
          <w:szCs w:val="24"/>
        </w:rPr>
        <w:t>ț</w:t>
      </w:r>
      <w:r w:rsidRPr="00EA1BB2">
        <w:rPr>
          <w:rFonts w:ascii="Cambria" w:eastAsia="Times New Roman" w:hAnsi="Cambria"/>
          <w:sz w:val="24"/>
          <w:szCs w:val="24"/>
        </w:rPr>
        <w:t xml:space="preserve">ei relativ mari între platforma industrială </w:t>
      </w:r>
      <w:r w:rsidR="00054880" w:rsidRPr="00EA1BB2">
        <w:rPr>
          <w:rFonts w:ascii="Cambria" w:eastAsia="Times New Roman" w:hAnsi="Cambria"/>
          <w:sz w:val="24"/>
          <w:szCs w:val="24"/>
        </w:rPr>
        <w:t>ș</w:t>
      </w:r>
      <w:r w:rsidRPr="00EA1BB2">
        <w:rPr>
          <w:rFonts w:ascii="Cambria" w:eastAsia="Times New Roman" w:hAnsi="Cambria"/>
          <w:sz w:val="24"/>
          <w:szCs w:val="24"/>
        </w:rPr>
        <w:t>i cele mai apropiate zone locuite din jude</w:t>
      </w:r>
      <w:r w:rsidR="00054880" w:rsidRPr="00EA1BB2">
        <w:rPr>
          <w:rFonts w:ascii="Cambria" w:eastAsia="Times New Roman" w:hAnsi="Cambria"/>
          <w:sz w:val="24"/>
          <w:szCs w:val="24"/>
        </w:rPr>
        <w:t>ț</w:t>
      </w:r>
      <w:r w:rsidRPr="00EA1BB2">
        <w:rPr>
          <w:rFonts w:ascii="Cambria" w:eastAsia="Times New Roman" w:hAnsi="Cambria"/>
          <w:sz w:val="24"/>
          <w:szCs w:val="24"/>
        </w:rPr>
        <w:t>ul Brăila (comuna Vădeni) de aproximativ 5 km, distan</w:t>
      </w:r>
      <w:r w:rsidR="00054880" w:rsidRPr="00EA1BB2">
        <w:rPr>
          <w:rFonts w:ascii="Cambria" w:eastAsia="Times New Roman" w:hAnsi="Cambria"/>
          <w:sz w:val="24"/>
          <w:szCs w:val="24"/>
        </w:rPr>
        <w:t>ț</w:t>
      </w:r>
      <w:r w:rsidRPr="00EA1BB2">
        <w:rPr>
          <w:rFonts w:ascii="Cambria" w:eastAsia="Times New Roman" w:hAnsi="Cambria"/>
          <w:sz w:val="24"/>
          <w:szCs w:val="24"/>
        </w:rPr>
        <w:t xml:space="preserve">ă ce asigură dispersia suficientă a emisiilor de la surse </w:t>
      </w:r>
      <w:r w:rsidR="00054880" w:rsidRPr="00EA1BB2">
        <w:rPr>
          <w:rFonts w:ascii="Cambria" w:eastAsia="Times New Roman" w:hAnsi="Cambria"/>
          <w:sz w:val="24"/>
          <w:szCs w:val="24"/>
        </w:rPr>
        <w:t>ș</w:t>
      </w:r>
      <w:r w:rsidRPr="00EA1BB2">
        <w:rPr>
          <w:rFonts w:ascii="Cambria" w:eastAsia="Times New Roman" w:hAnsi="Cambria"/>
          <w:sz w:val="24"/>
          <w:szCs w:val="24"/>
        </w:rPr>
        <w:t>i diminuarea semnificativă a contribu</w:t>
      </w:r>
      <w:r w:rsidR="00054880" w:rsidRPr="00EA1BB2">
        <w:rPr>
          <w:rFonts w:ascii="Cambria" w:eastAsia="Times New Roman" w:hAnsi="Cambria"/>
          <w:sz w:val="24"/>
          <w:szCs w:val="24"/>
        </w:rPr>
        <w:t>ț</w:t>
      </w:r>
      <w:r w:rsidRPr="00EA1BB2">
        <w:rPr>
          <w:rFonts w:ascii="Cambria" w:eastAsia="Times New Roman" w:hAnsi="Cambria"/>
          <w:sz w:val="24"/>
          <w:szCs w:val="24"/>
        </w:rPr>
        <w:t>iei acestor surse la degradarea calită</w:t>
      </w:r>
      <w:r w:rsidR="00054880" w:rsidRPr="00EA1BB2">
        <w:rPr>
          <w:rFonts w:ascii="Cambria" w:eastAsia="Times New Roman" w:hAnsi="Cambria"/>
          <w:sz w:val="24"/>
          <w:szCs w:val="24"/>
        </w:rPr>
        <w:t>ț</w:t>
      </w:r>
      <w:r w:rsidRPr="00EA1BB2">
        <w:rPr>
          <w:rFonts w:ascii="Cambria" w:eastAsia="Times New Roman" w:hAnsi="Cambria"/>
          <w:sz w:val="24"/>
          <w:szCs w:val="24"/>
        </w:rPr>
        <w:t>ii aerului în jude</w:t>
      </w:r>
      <w:r w:rsidR="00054880" w:rsidRPr="00EA1BB2">
        <w:rPr>
          <w:rFonts w:ascii="Cambria" w:eastAsia="Times New Roman" w:hAnsi="Cambria"/>
          <w:sz w:val="24"/>
          <w:szCs w:val="24"/>
        </w:rPr>
        <w:t>ț</w:t>
      </w:r>
      <w:r w:rsidRPr="00EA1BB2">
        <w:rPr>
          <w:rFonts w:ascii="Cambria" w:eastAsia="Times New Roman" w:hAnsi="Cambria"/>
          <w:sz w:val="24"/>
          <w:szCs w:val="24"/>
        </w:rPr>
        <w:t>ul Brăila.</w:t>
      </w:r>
    </w:p>
    <w:p w14:paraId="313FE490" w14:textId="77777777" w:rsidR="00343667" w:rsidRPr="00EA1BB2" w:rsidRDefault="00343667" w:rsidP="00A77366">
      <w:pPr>
        <w:spacing w:line="360" w:lineRule="auto"/>
        <w:ind w:firstLine="709"/>
        <w:jc w:val="both"/>
        <w:rPr>
          <w:rFonts w:ascii="Cambria" w:eastAsia="Times New Roman" w:hAnsi="Cambria"/>
          <w:sz w:val="24"/>
          <w:szCs w:val="24"/>
        </w:rPr>
      </w:pPr>
      <w:r w:rsidRPr="00EA1BB2">
        <w:rPr>
          <w:rFonts w:ascii="Cambria" w:eastAsia="Times New Roman" w:hAnsi="Cambria"/>
          <w:sz w:val="24"/>
          <w:szCs w:val="24"/>
        </w:rPr>
        <w:t>Rezultatele contribu</w:t>
      </w:r>
      <w:r w:rsidR="00054880" w:rsidRPr="00EA1BB2">
        <w:rPr>
          <w:rFonts w:ascii="Cambria" w:eastAsia="Times New Roman" w:hAnsi="Cambria"/>
          <w:sz w:val="24"/>
          <w:szCs w:val="24"/>
        </w:rPr>
        <w:t>ț</w:t>
      </w:r>
      <w:r w:rsidRPr="00EA1BB2">
        <w:rPr>
          <w:rFonts w:ascii="Cambria" w:eastAsia="Times New Roman" w:hAnsi="Cambria"/>
          <w:sz w:val="24"/>
          <w:szCs w:val="24"/>
        </w:rPr>
        <w:t xml:space="preserve">iei surselor fixe </w:t>
      </w:r>
      <w:r w:rsidR="009153C0" w:rsidRPr="00EA1BB2">
        <w:rPr>
          <w:rFonts w:ascii="Cambria" w:eastAsia="Times New Roman" w:hAnsi="Cambria"/>
          <w:sz w:val="24"/>
          <w:szCs w:val="24"/>
        </w:rPr>
        <w:t>de emisie pentru NOx</w:t>
      </w:r>
      <w:r w:rsidRPr="00EA1BB2">
        <w:rPr>
          <w:rFonts w:ascii="Cambria" w:eastAsia="Times New Roman" w:hAnsi="Cambria"/>
          <w:sz w:val="24"/>
          <w:szCs w:val="24"/>
        </w:rPr>
        <w:t xml:space="preserve"> din Aglomerarea Gala</w:t>
      </w:r>
      <w:r w:rsidR="00054880" w:rsidRPr="00EA1BB2">
        <w:rPr>
          <w:rFonts w:ascii="Cambria" w:eastAsia="Times New Roman" w:hAnsi="Cambria"/>
          <w:sz w:val="24"/>
          <w:szCs w:val="24"/>
        </w:rPr>
        <w:t>ț</w:t>
      </w:r>
      <w:r w:rsidRPr="00EA1BB2">
        <w:rPr>
          <w:rFonts w:ascii="Cambria" w:eastAsia="Times New Roman" w:hAnsi="Cambria"/>
          <w:sz w:val="24"/>
          <w:szCs w:val="24"/>
        </w:rPr>
        <w:t>i</w:t>
      </w:r>
      <w:r w:rsidR="00483744" w:rsidRPr="00EA1BB2">
        <w:rPr>
          <w:rFonts w:ascii="Cambria" w:eastAsia="Times New Roman" w:hAnsi="Cambria"/>
          <w:sz w:val="24"/>
          <w:szCs w:val="24"/>
        </w:rPr>
        <w:t xml:space="preserve"> (platforma industrială Arcelor</w:t>
      </w:r>
      <w:r w:rsidRPr="00EA1BB2">
        <w:rPr>
          <w:rFonts w:ascii="Cambria" w:eastAsia="Times New Roman" w:hAnsi="Cambria"/>
          <w:sz w:val="24"/>
          <w:szCs w:val="24"/>
        </w:rPr>
        <w:t>Mittal) la calitatea aerului în jude</w:t>
      </w:r>
      <w:r w:rsidR="00054880" w:rsidRPr="00EA1BB2">
        <w:rPr>
          <w:rFonts w:ascii="Cambria" w:eastAsia="Times New Roman" w:hAnsi="Cambria"/>
          <w:sz w:val="24"/>
          <w:szCs w:val="24"/>
        </w:rPr>
        <w:t>ț</w:t>
      </w:r>
      <w:r w:rsidRPr="00EA1BB2">
        <w:rPr>
          <w:rFonts w:ascii="Cambria" w:eastAsia="Times New Roman" w:hAnsi="Cambria"/>
          <w:sz w:val="24"/>
          <w:szCs w:val="24"/>
        </w:rPr>
        <w:t>ul Brăila sunt prezentate în figura de mai jos.</w:t>
      </w:r>
    </w:p>
    <w:p w14:paraId="7B302E98" w14:textId="77777777" w:rsidR="004E770E" w:rsidRPr="00EA1BB2" w:rsidRDefault="004E770E" w:rsidP="00A77366">
      <w:pPr>
        <w:spacing w:line="360" w:lineRule="auto"/>
        <w:ind w:firstLine="709"/>
        <w:jc w:val="both"/>
        <w:rPr>
          <w:rFonts w:ascii="Cambria" w:eastAsia="Times New Roman" w:hAnsi="Cambria"/>
          <w:sz w:val="24"/>
          <w:szCs w:val="24"/>
        </w:rPr>
      </w:pPr>
    </w:p>
    <w:p w14:paraId="02786599" w14:textId="0FA8DF2E" w:rsidR="00343667" w:rsidRPr="00EA1BB2" w:rsidRDefault="00343667" w:rsidP="00343667">
      <w:pPr>
        <w:pStyle w:val="Caption"/>
        <w:keepNext/>
        <w:spacing w:after="0" w:line="360" w:lineRule="auto"/>
        <w:ind w:firstLine="708"/>
        <w:jc w:val="both"/>
        <w:rPr>
          <w:rFonts w:ascii="Cambria" w:hAnsi="Cambria"/>
        </w:rPr>
      </w:pPr>
      <w:bookmarkStart w:id="201" w:name="_Toc524966226"/>
      <w:r w:rsidRPr="00EA1BB2">
        <w:rPr>
          <w:rFonts w:ascii="Cambria" w:hAnsi="Cambria"/>
        </w:rPr>
        <w:t xml:space="preserve">Figura nr. </w:t>
      </w:r>
      <w:r w:rsidR="00280BC9" w:rsidRPr="00EA1BB2">
        <w:rPr>
          <w:rFonts w:ascii="Cambria" w:hAnsi="Cambria"/>
        </w:rPr>
        <w:fldChar w:fldCharType="begin"/>
      </w:r>
      <w:r w:rsidR="00BA6FA3" w:rsidRPr="00EA1BB2">
        <w:rPr>
          <w:rFonts w:ascii="Cambria" w:hAnsi="Cambria"/>
        </w:rPr>
        <w:instrText xml:space="preserve"> STYLEREF 1 \s </w:instrText>
      </w:r>
      <w:r w:rsidR="00280BC9" w:rsidRPr="00EA1BB2">
        <w:rPr>
          <w:rFonts w:ascii="Cambria" w:hAnsi="Cambria"/>
        </w:rPr>
        <w:fldChar w:fldCharType="separate"/>
      </w:r>
      <w:r w:rsidR="00567555">
        <w:rPr>
          <w:rFonts w:ascii="Cambria" w:hAnsi="Cambria"/>
          <w:noProof/>
        </w:rPr>
        <w:t>3</w:t>
      </w:r>
      <w:r w:rsidR="00280BC9" w:rsidRPr="00EA1BB2">
        <w:rPr>
          <w:rFonts w:ascii="Cambria" w:hAnsi="Cambria"/>
        </w:rPr>
        <w:fldChar w:fldCharType="end"/>
      </w:r>
      <w:r w:rsidR="00BA6FA3" w:rsidRPr="00EA1BB2">
        <w:rPr>
          <w:rFonts w:ascii="Cambria" w:hAnsi="Cambria"/>
        </w:rPr>
        <w:noBreakHyphen/>
      </w:r>
      <w:r w:rsidR="00280BC9" w:rsidRPr="00EA1BB2">
        <w:rPr>
          <w:rFonts w:ascii="Cambria" w:hAnsi="Cambria"/>
        </w:rPr>
        <w:fldChar w:fldCharType="begin"/>
      </w:r>
      <w:r w:rsidR="00BA6FA3" w:rsidRPr="00EA1BB2">
        <w:rPr>
          <w:rFonts w:ascii="Cambria" w:hAnsi="Cambria"/>
        </w:rPr>
        <w:instrText xml:space="preserve"> SEQ Figura_nr. \* ARABIC \s 1 </w:instrText>
      </w:r>
      <w:r w:rsidR="00280BC9" w:rsidRPr="00EA1BB2">
        <w:rPr>
          <w:rFonts w:ascii="Cambria" w:hAnsi="Cambria"/>
        </w:rPr>
        <w:fldChar w:fldCharType="separate"/>
      </w:r>
      <w:r w:rsidR="00567555">
        <w:rPr>
          <w:rFonts w:ascii="Cambria" w:hAnsi="Cambria"/>
          <w:noProof/>
        </w:rPr>
        <w:t>15</w:t>
      </w:r>
      <w:r w:rsidR="00280BC9" w:rsidRPr="00EA1BB2">
        <w:rPr>
          <w:rFonts w:ascii="Cambria" w:hAnsi="Cambria"/>
        </w:rPr>
        <w:fldChar w:fldCharType="end"/>
      </w:r>
      <w:r w:rsidRPr="00EA1BB2">
        <w:rPr>
          <w:rFonts w:ascii="Cambria" w:hAnsi="Cambria"/>
        </w:rPr>
        <w:t xml:space="preserve"> – Contribu</w:t>
      </w:r>
      <w:r w:rsidR="00054880" w:rsidRPr="00EA1BB2">
        <w:rPr>
          <w:rFonts w:ascii="Cambria" w:hAnsi="Cambria"/>
        </w:rPr>
        <w:t>ț</w:t>
      </w:r>
      <w:r w:rsidRPr="00EA1BB2">
        <w:rPr>
          <w:rFonts w:ascii="Cambria" w:hAnsi="Cambria"/>
        </w:rPr>
        <w:t>ia surselor de emisie industriale la transferul de poluan</w:t>
      </w:r>
      <w:r w:rsidR="00054880" w:rsidRPr="00EA1BB2">
        <w:rPr>
          <w:rFonts w:ascii="Cambria" w:hAnsi="Cambria"/>
        </w:rPr>
        <w:t>ț</w:t>
      </w:r>
      <w:r w:rsidRPr="00EA1BB2">
        <w:rPr>
          <w:rFonts w:ascii="Cambria" w:hAnsi="Cambria"/>
        </w:rPr>
        <w:t>i în jude</w:t>
      </w:r>
      <w:r w:rsidR="00054880" w:rsidRPr="00EA1BB2">
        <w:rPr>
          <w:rFonts w:ascii="Cambria" w:hAnsi="Cambria"/>
        </w:rPr>
        <w:t>ț</w:t>
      </w:r>
      <w:r w:rsidRPr="00EA1BB2">
        <w:rPr>
          <w:rFonts w:ascii="Cambria" w:hAnsi="Cambria"/>
        </w:rPr>
        <w:t>ul Brăila (ex. dispersie NO</w:t>
      </w:r>
      <w:r w:rsidRPr="00EA1BB2">
        <w:rPr>
          <w:rFonts w:ascii="Cambria" w:hAnsi="Cambria"/>
          <w:vertAlign w:val="subscript"/>
        </w:rPr>
        <w:t>2</w:t>
      </w:r>
      <w:r w:rsidRPr="00EA1BB2">
        <w:rPr>
          <w:rFonts w:ascii="Cambria" w:hAnsi="Cambria"/>
        </w:rPr>
        <w:t xml:space="preserve"> concentra</w:t>
      </w:r>
      <w:r w:rsidR="00054880" w:rsidRPr="00EA1BB2">
        <w:rPr>
          <w:rFonts w:ascii="Cambria" w:hAnsi="Cambria"/>
        </w:rPr>
        <w:t>ț</w:t>
      </w:r>
      <w:r w:rsidRPr="00EA1BB2">
        <w:rPr>
          <w:rFonts w:ascii="Cambria" w:hAnsi="Cambria"/>
        </w:rPr>
        <w:t>ii maxime orare)</w:t>
      </w:r>
      <w:bookmarkEnd w:id="201"/>
    </w:p>
    <w:p w14:paraId="5FDE531B" w14:textId="77777777" w:rsidR="00343667" w:rsidRPr="00EA1BB2" w:rsidRDefault="00343667" w:rsidP="00343667">
      <w:pPr>
        <w:spacing w:line="276" w:lineRule="auto"/>
        <w:rPr>
          <w:rFonts w:ascii="Cambria" w:hAnsi="Cambria" w:cs="Times New Roman"/>
          <w:sz w:val="24"/>
          <w:szCs w:val="24"/>
        </w:rPr>
      </w:pPr>
      <w:r w:rsidRPr="00EA1BB2">
        <w:rPr>
          <w:rFonts w:ascii="Cambria" w:hAnsi="Cambria" w:cs="Times New Roman"/>
          <w:noProof/>
          <w:sz w:val="24"/>
          <w:szCs w:val="24"/>
          <w:lang w:val="en-US"/>
        </w:rPr>
        <w:drawing>
          <wp:inline distT="0" distB="0" distL="0" distR="0" wp14:anchorId="6961EF15" wp14:editId="6D1DD4DD">
            <wp:extent cx="5641509" cy="3973615"/>
            <wp:effectExtent l="19050" t="19050" r="16510" b="2730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21.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641509" cy="3973615"/>
                    </a:xfrm>
                    <a:prstGeom prst="rect">
                      <a:avLst/>
                    </a:prstGeom>
                    <a:ln>
                      <a:solidFill>
                        <a:schemeClr val="bg1">
                          <a:lumMod val="85000"/>
                        </a:schemeClr>
                      </a:solidFill>
                    </a:ln>
                  </pic:spPr>
                </pic:pic>
              </a:graphicData>
            </a:graphic>
          </wp:inline>
        </w:drawing>
      </w:r>
    </w:p>
    <w:p w14:paraId="6F27194F" w14:textId="54FA5DF3" w:rsidR="00343667" w:rsidRPr="00EA1BB2" w:rsidRDefault="00343667" w:rsidP="00343667">
      <w:pPr>
        <w:spacing w:line="360" w:lineRule="auto"/>
        <w:ind w:firstLine="567"/>
        <w:rPr>
          <w:rFonts w:ascii="Cambria" w:hAnsi="Cambria"/>
          <w:b/>
          <w:iCs/>
          <w:sz w:val="24"/>
          <w:szCs w:val="18"/>
        </w:rPr>
      </w:pPr>
      <w:bookmarkStart w:id="202" w:name="_Toc466896083"/>
    </w:p>
    <w:p w14:paraId="23F30B8B" w14:textId="46B3B06E" w:rsidR="009B697F" w:rsidRPr="00EA1BB2" w:rsidRDefault="009B697F" w:rsidP="00343667">
      <w:pPr>
        <w:spacing w:line="360" w:lineRule="auto"/>
        <w:ind w:firstLine="567"/>
        <w:rPr>
          <w:rFonts w:ascii="Cambria" w:hAnsi="Cambria"/>
          <w:b/>
          <w:iCs/>
          <w:sz w:val="24"/>
          <w:szCs w:val="18"/>
        </w:rPr>
      </w:pPr>
    </w:p>
    <w:p w14:paraId="768456BB" w14:textId="05EC7897" w:rsidR="009B697F" w:rsidRPr="00EA1BB2" w:rsidRDefault="009B697F" w:rsidP="00343667">
      <w:pPr>
        <w:spacing w:line="360" w:lineRule="auto"/>
        <w:ind w:firstLine="567"/>
        <w:rPr>
          <w:rFonts w:ascii="Cambria" w:hAnsi="Cambria"/>
          <w:b/>
          <w:iCs/>
          <w:sz w:val="24"/>
          <w:szCs w:val="18"/>
        </w:rPr>
      </w:pPr>
    </w:p>
    <w:p w14:paraId="5BDADF24" w14:textId="46F9627F" w:rsidR="009B697F" w:rsidRPr="00EA1BB2" w:rsidRDefault="009B697F" w:rsidP="00343667">
      <w:pPr>
        <w:spacing w:line="360" w:lineRule="auto"/>
        <w:ind w:firstLine="567"/>
        <w:rPr>
          <w:rFonts w:ascii="Cambria" w:hAnsi="Cambria"/>
          <w:b/>
          <w:iCs/>
          <w:sz w:val="24"/>
          <w:szCs w:val="18"/>
        </w:rPr>
      </w:pPr>
    </w:p>
    <w:p w14:paraId="68447647" w14:textId="77777777" w:rsidR="009B697F" w:rsidRPr="00EA1BB2" w:rsidRDefault="009B697F" w:rsidP="00343667">
      <w:pPr>
        <w:spacing w:line="360" w:lineRule="auto"/>
        <w:ind w:firstLine="567"/>
        <w:rPr>
          <w:rFonts w:ascii="Cambria" w:hAnsi="Cambria"/>
          <w:b/>
          <w:iCs/>
          <w:sz w:val="24"/>
          <w:szCs w:val="18"/>
        </w:rPr>
      </w:pPr>
    </w:p>
    <w:p w14:paraId="4A02EF20" w14:textId="614D9645" w:rsidR="00343667" w:rsidRPr="00EA1BB2" w:rsidRDefault="00343667" w:rsidP="00343667">
      <w:pPr>
        <w:spacing w:line="360" w:lineRule="auto"/>
        <w:ind w:firstLine="709"/>
        <w:jc w:val="both"/>
        <w:rPr>
          <w:rFonts w:ascii="Cambria" w:eastAsia="Times New Roman" w:hAnsi="Cambria"/>
          <w:sz w:val="24"/>
          <w:szCs w:val="24"/>
        </w:rPr>
      </w:pPr>
      <w:r w:rsidRPr="00EA1BB2">
        <w:rPr>
          <w:rFonts w:ascii="Cambria" w:eastAsia="Times New Roman" w:hAnsi="Cambria"/>
          <w:sz w:val="24"/>
          <w:szCs w:val="24"/>
        </w:rPr>
        <w:lastRenderedPageBreak/>
        <w:t>Dispersia emisiilor de NO</w:t>
      </w:r>
      <w:r w:rsidR="00363AC0" w:rsidRPr="00EA1BB2">
        <w:rPr>
          <w:rFonts w:ascii="Cambria" w:eastAsia="Times New Roman" w:hAnsi="Cambria"/>
          <w:sz w:val="24"/>
          <w:szCs w:val="24"/>
        </w:rPr>
        <w:t>x</w:t>
      </w:r>
      <w:r w:rsidRPr="00EA1BB2">
        <w:rPr>
          <w:rFonts w:ascii="Cambria" w:eastAsia="Times New Roman" w:hAnsi="Cambria"/>
          <w:sz w:val="24"/>
          <w:szCs w:val="24"/>
        </w:rPr>
        <w:t xml:space="preserve"> ca urmare a transferului de poluant dinspre platforma industrială a Arcelor Mittal (surse fixe de emisie) s-a realizat pentru concentra</w:t>
      </w:r>
      <w:r w:rsidR="00054880" w:rsidRPr="00EA1BB2">
        <w:rPr>
          <w:rFonts w:ascii="Cambria" w:eastAsia="Times New Roman" w:hAnsi="Cambria"/>
          <w:sz w:val="24"/>
          <w:szCs w:val="24"/>
        </w:rPr>
        <w:t>ț</w:t>
      </w:r>
      <w:r w:rsidRPr="00EA1BB2">
        <w:rPr>
          <w:rFonts w:ascii="Cambria" w:eastAsia="Times New Roman" w:hAnsi="Cambria"/>
          <w:sz w:val="24"/>
          <w:szCs w:val="24"/>
        </w:rPr>
        <w:t xml:space="preserve">ii </w:t>
      </w:r>
      <w:r w:rsidR="00BD06C5" w:rsidRPr="00EA1BB2">
        <w:rPr>
          <w:rFonts w:ascii="Cambria" w:eastAsia="Times New Roman" w:hAnsi="Cambria"/>
          <w:sz w:val="24"/>
          <w:szCs w:val="24"/>
        </w:rPr>
        <w:t xml:space="preserve">maxime </w:t>
      </w:r>
      <w:r w:rsidRPr="00EA1BB2">
        <w:rPr>
          <w:rFonts w:ascii="Cambria" w:eastAsia="Times New Roman" w:hAnsi="Cambria"/>
          <w:sz w:val="24"/>
          <w:szCs w:val="24"/>
        </w:rPr>
        <w:t xml:space="preserve">orare </w:t>
      </w:r>
      <w:r w:rsidR="00054880" w:rsidRPr="00EA1BB2">
        <w:rPr>
          <w:rFonts w:ascii="Cambria" w:eastAsia="Times New Roman" w:hAnsi="Cambria"/>
          <w:sz w:val="24"/>
          <w:szCs w:val="24"/>
        </w:rPr>
        <w:t>ș</w:t>
      </w:r>
      <w:r w:rsidRPr="00EA1BB2">
        <w:rPr>
          <w:rFonts w:ascii="Cambria" w:eastAsia="Times New Roman" w:hAnsi="Cambria"/>
          <w:sz w:val="24"/>
          <w:szCs w:val="24"/>
        </w:rPr>
        <w:t>i concentra</w:t>
      </w:r>
      <w:r w:rsidR="00054880" w:rsidRPr="00EA1BB2">
        <w:rPr>
          <w:rFonts w:ascii="Cambria" w:eastAsia="Times New Roman" w:hAnsi="Cambria"/>
          <w:sz w:val="24"/>
          <w:szCs w:val="24"/>
        </w:rPr>
        <w:t>ț</w:t>
      </w:r>
      <w:r w:rsidRPr="00EA1BB2">
        <w:rPr>
          <w:rFonts w:ascii="Cambria" w:eastAsia="Times New Roman" w:hAnsi="Cambria"/>
          <w:sz w:val="24"/>
          <w:szCs w:val="24"/>
        </w:rPr>
        <w:t>ii medii anuale, modelarea matematică realizându-se pentru suprafe</w:t>
      </w:r>
      <w:r w:rsidR="00054880" w:rsidRPr="00EA1BB2">
        <w:rPr>
          <w:rFonts w:ascii="Cambria" w:eastAsia="Times New Roman" w:hAnsi="Cambria"/>
          <w:sz w:val="24"/>
          <w:szCs w:val="24"/>
        </w:rPr>
        <w:t>ț</w:t>
      </w:r>
      <w:r w:rsidRPr="00EA1BB2">
        <w:rPr>
          <w:rFonts w:ascii="Cambria" w:eastAsia="Times New Roman" w:hAnsi="Cambria"/>
          <w:sz w:val="24"/>
          <w:szCs w:val="24"/>
        </w:rPr>
        <w:t xml:space="preserve">e care să acopere </w:t>
      </w:r>
      <w:r w:rsidR="00054880" w:rsidRPr="00EA1BB2">
        <w:rPr>
          <w:rFonts w:ascii="Cambria" w:eastAsia="Times New Roman" w:hAnsi="Cambria"/>
          <w:sz w:val="24"/>
          <w:szCs w:val="24"/>
        </w:rPr>
        <w:t>ș</w:t>
      </w:r>
      <w:r w:rsidRPr="00EA1BB2">
        <w:rPr>
          <w:rFonts w:ascii="Cambria" w:eastAsia="Times New Roman" w:hAnsi="Cambria"/>
          <w:sz w:val="24"/>
          <w:szCs w:val="24"/>
        </w:rPr>
        <w:t>i cele mai apropiate UAT din jude</w:t>
      </w:r>
      <w:r w:rsidR="00054880" w:rsidRPr="00EA1BB2">
        <w:rPr>
          <w:rFonts w:ascii="Cambria" w:eastAsia="Times New Roman" w:hAnsi="Cambria"/>
          <w:sz w:val="24"/>
          <w:szCs w:val="24"/>
        </w:rPr>
        <w:t>ț</w:t>
      </w:r>
      <w:r w:rsidRPr="00EA1BB2">
        <w:rPr>
          <w:rFonts w:ascii="Cambria" w:eastAsia="Times New Roman" w:hAnsi="Cambria"/>
          <w:sz w:val="24"/>
          <w:szCs w:val="24"/>
        </w:rPr>
        <w:t>ul Brăila.</w:t>
      </w:r>
    </w:p>
    <w:p w14:paraId="6D9C692D" w14:textId="77777777" w:rsidR="00343667" w:rsidRPr="00EA1BB2" w:rsidRDefault="00343667" w:rsidP="00343667">
      <w:pPr>
        <w:spacing w:line="360" w:lineRule="auto"/>
        <w:ind w:firstLine="709"/>
        <w:jc w:val="both"/>
        <w:rPr>
          <w:rFonts w:ascii="Cambria" w:hAnsi="Cambria" w:cs="Times New Roman"/>
          <w:iCs/>
          <w:sz w:val="24"/>
          <w:szCs w:val="24"/>
        </w:rPr>
      </w:pPr>
      <w:r w:rsidRPr="00EA1BB2">
        <w:rPr>
          <w:rFonts w:ascii="Cambria" w:hAnsi="Cambria" w:cs="Times New Roman"/>
          <w:iCs/>
          <w:sz w:val="24"/>
          <w:szCs w:val="24"/>
        </w:rPr>
        <w:t>Conform modelărilor matematice aplicate pentru evaluarea contribu</w:t>
      </w:r>
      <w:r w:rsidR="00054880" w:rsidRPr="00EA1BB2">
        <w:rPr>
          <w:rFonts w:ascii="Cambria" w:hAnsi="Cambria" w:cs="Times New Roman"/>
          <w:iCs/>
          <w:sz w:val="24"/>
          <w:szCs w:val="24"/>
        </w:rPr>
        <w:t>ț</w:t>
      </w:r>
      <w:r w:rsidRPr="00EA1BB2">
        <w:rPr>
          <w:rFonts w:ascii="Cambria" w:hAnsi="Cambria" w:cs="Times New Roman"/>
          <w:iCs/>
          <w:sz w:val="24"/>
          <w:szCs w:val="24"/>
        </w:rPr>
        <w:t>iei surselor de emisie aflate în vecinătatea jude</w:t>
      </w:r>
      <w:r w:rsidR="00054880" w:rsidRPr="00EA1BB2">
        <w:rPr>
          <w:rFonts w:ascii="Cambria" w:hAnsi="Cambria" w:cs="Times New Roman"/>
          <w:iCs/>
          <w:sz w:val="24"/>
          <w:szCs w:val="24"/>
        </w:rPr>
        <w:t>ț</w:t>
      </w:r>
      <w:r w:rsidRPr="00EA1BB2">
        <w:rPr>
          <w:rFonts w:ascii="Cambria" w:hAnsi="Cambria" w:cs="Times New Roman"/>
          <w:iCs/>
          <w:sz w:val="24"/>
          <w:szCs w:val="24"/>
        </w:rPr>
        <w:t>ului Brăila (platforma industrială ARCELOR MITTAL) nu se identifică contribu</w:t>
      </w:r>
      <w:r w:rsidR="00054880" w:rsidRPr="00EA1BB2">
        <w:rPr>
          <w:rFonts w:ascii="Cambria" w:hAnsi="Cambria" w:cs="Times New Roman"/>
          <w:iCs/>
          <w:sz w:val="24"/>
          <w:szCs w:val="24"/>
        </w:rPr>
        <w:t>ț</w:t>
      </w:r>
      <w:r w:rsidRPr="00EA1BB2">
        <w:rPr>
          <w:rFonts w:ascii="Cambria" w:hAnsi="Cambria" w:cs="Times New Roman"/>
          <w:iCs/>
          <w:sz w:val="24"/>
          <w:szCs w:val="24"/>
        </w:rPr>
        <w:t xml:space="preserve">ii semnificative care să afecteze calitatea aerului. </w:t>
      </w:r>
    </w:p>
    <w:p w14:paraId="247BD949" w14:textId="77777777" w:rsidR="009919C8" w:rsidRPr="00EA1BB2" w:rsidRDefault="009919C8" w:rsidP="006A6144">
      <w:pPr>
        <w:spacing w:line="360" w:lineRule="auto"/>
        <w:ind w:firstLine="709"/>
        <w:jc w:val="both"/>
        <w:rPr>
          <w:rFonts w:ascii="Cambria" w:hAnsi="Cambria" w:cs="Times New Roman"/>
          <w:iCs/>
          <w:sz w:val="24"/>
          <w:szCs w:val="24"/>
        </w:rPr>
      </w:pPr>
      <w:r w:rsidRPr="00EA1BB2">
        <w:rPr>
          <w:rFonts w:ascii="Cambria" w:hAnsi="Cambria" w:cs="Times New Roman"/>
          <w:iCs/>
          <w:sz w:val="24"/>
          <w:szCs w:val="24"/>
        </w:rPr>
        <w:t xml:space="preserve">În cazul </w:t>
      </w:r>
      <w:r w:rsidR="006A6144" w:rsidRPr="00EA1BB2">
        <w:rPr>
          <w:rFonts w:ascii="Cambria" w:hAnsi="Cambria" w:cs="Times New Roman"/>
          <w:iCs/>
          <w:sz w:val="24"/>
          <w:szCs w:val="24"/>
        </w:rPr>
        <w:t>când emisiile de poluanți ating pragul valorii limită de emisie, situație ce nu reprezintă activitatea desfășurată de operatorii economici situați pe platforma industrială ARCELOR Mittal,</w:t>
      </w:r>
      <w:r w:rsidRPr="00EA1BB2">
        <w:rPr>
          <w:rFonts w:ascii="Cambria" w:hAnsi="Cambria" w:cs="Times New Roman"/>
          <w:iCs/>
          <w:sz w:val="24"/>
          <w:szCs w:val="24"/>
        </w:rPr>
        <w:t xml:space="preserve"> se poate observa că în zona comunei Vădeni se </w:t>
      </w:r>
      <w:r w:rsidR="006A6144" w:rsidRPr="00EA1BB2">
        <w:rPr>
          <w:rFonts w:ascii="Cambria" w:hAnsi="Cambria" w:cs="Times New Roman"/>
          <w:iCs/>
          <w:sz w:val="24"/>
          <w:szCs w:val="24"/>
        </w:rPr>
        <w:t>înregistrează</w:t>
      </w:r>
      <w:r w:rsidRPr="00EA1BB2">
        <w:rPr>
          <w:rFonts w:ascii="Cambria" w:hAnsi="Cambria" w:cs="Times New Roman"/>
          <w:iCs/>
          <w:sz w:val="24"/>
          <w:szCs w:val="24"/>
        </w:rPr>
        <w:t xml:space="preserve"> concentrații maxime orare de 60 µg/m</w:t>
      </w:r>
      <w:r w:rsidRPr="00EA1BB2">
        <w:rPr>
          <w:rFonts w:ascii="Cambria" w:hAnsi="Cambria" w:cs="Times New Roman"/>
          <w:iCs/>
          <w:sz w:val="24"/>
          <w:szCs w:val="24"/>
          <w:vertAlign w:val="superscript"/>
        </w:rPr>
        <w:t>3</w:t>
      </w:r>
      <w:r w:rsidRPr="00EA1BB2">
        <w:rPr>
          <w:rFonts w:ascii="Cambria" w:hAnsi="Cambria" w:cs="Times New Roman"/>
          <w:iCs/>
          <w:sz w:val="24"/>
          <w:szCs w:val="24"/>
        </w:rPr>
        <w:t>, ceea ce reprezintă cca. 60% din valoarea-limită orară (</w:t>
      </w:r>
      <w:r w:rsidR="006A6144" w:rsidRPr="00EA1BB2">
        <w:rPr>
          <w:rFonts w:ascii="Cambria" w:eastAsia="Times New Roman" w:hAnsi="Cambria" w:cs="Times New Roman"/>
          <w:sz w:val="24"/>
          <w:szCs w:val="24"/>
        </w:rPr>
        <w:t>200 µg/m</w:t>
      </w:r>
      <w:r w:rsidR="006A6144" w:rsidRPr="00EA1BB2">
        <w:rPr>
          <w:rFonts w:ascii="Cambria" w:eastAsia="Times New Roman" w:hAnsi="Cambria" w:cs="Times New Roman"/>
          <w:sz w:val="24"/>
          <w:szCs w:val="24"/>
          <w:vertAlign w:val="superscript"/>
        </w:rPr>
        <w:t>3</w:t>
      </w:r>
      <w:r w:rsidR="006A6144" w:rsidRPr="00EA1BB2">
        <w:rPr>
          <w:rFonts w:ascii="Cambria" w:eastAsia="Times New Roman" w:hAnsi="Cambria" w:cs="Times New Roman"/>
          <w:sz w:val="24"/>
          <w:szCs w:val="24"/>
        </w:rPr>
        <w:t xml:space="preserve"> – a nu se depăși de mai mult de 18 ori într-un an calendaristic).</w:t>
      </w:r>
    </w:p>
    <w:p w14:paraId="3E4B9BC3" w14:textId="77777777" w:rsidR="00343667" w:rsidRPr="00EA1BB2" w:rsidRDefault="00343667" w:rsidP="00343667">
      <w:pPr>
        <w:spacing w:line="360" w:lineRule="auto"/>
        <w:ind w:firstLine="567"/>
        <w:rPr>
          <w:rFonts w:ascii="Cambria" w:hAnsi="Cambria"/>
          <w:b/>
          <w:iCs/>
          <w:sz w:val="24"/>
          <w:szCs w:val="18"/>
        </w:rPr>
      </w:pPr>
    </w:p>
    <w:p w14:paraId="75A3644C" w14:textId="3665E584" w:rsidR="00343667" w:rsidRPr="00EA1BB2" w:rsidRDefault="00343667" w:rsidP="002D2D1B">
      <w:pPr>
        <w:pStyle w:val="Caption"/>
        <w:keepNext/>
        <w:spacing w:after="0" w:line="360" w:lineRule="auto"/>
        <w:ind w:firstLine="709"/>
        <w:jc w:val="both"/>
        <w:rPr>
          <w:rFonts w:ascii="Cambria" w:hAnsi="Cambria"/>
        </w:rPr>
      </w:pPr>
      <w:bookmarkStart w:id="203" w:name="_Toc524966227"/>
      <w:bookmarkEnd w:id="202"/>
      <w:r w:rsidRPr="00EA1BB2">
        <w:rPr>
          <w:rFonts w:ascii="Cambria" w:hAnsi="Cambria"/>
        </w:rPr>
        <w:t xml:space="preserve">Figura nr. </w:t>
      </w:r>
      <w:r w:rsidR="00280BC9" w:rsidRPr="00EA1BB2">
        <w:rPr>
          <w:rFonts w:ascii="Cambria" w:hAnsi="Cambria"/>
        </w:rPr>
        <w:fldChar w:fldCharType="begin"/>
      </w:r>
      <w:r w:rsidR="00BA6FA3" w:rsidRPr="00EA1BB2">
        <w:rPr>
          <w:rFonts w:ascii="Cambria" w:hAnsi="Cambria"/>
        </w:rPr>
        <w:instrText xml:space="preserve"> STYLEREF 1 \s </w:instrText>
      </w:r>
      <w:r w:rsidR="00280BC9" w:rsidRPr="00EA1BB2">
        <w:rPr>
          <w:rFonts w:ascii="Cambria" w:hAnsi="Cambria"/>
        </w:rPr>
        <w:fldChar w:fldCharType="separate"/>
      </w:r>
      <w:r w:rsidR="00567555">
        <w:rPr>
          <w:rFonts w:ascii="Cambria" w:hAnsi="Cambria"/>
          <w:noProof/>
        </w:rPr>
        <w:t>3</w:t>
      </w:r>
      <w:r w:rsidR="00280BC9" w:rsidRPr="00EA1BB2">
        <w:rPr>
          <w:rFonts w:ascii="Cambria" w:hAnsi="Cambria"/>
        </w:rPr>
        <w:fldChar w:fldCharType="end"/>
      </w:r>
      <w:r w:rsidR="00BA6FA3" w:rsidRPr="00EA1BB2">
        <w:rPr>
          <w:rFonts w:ascii="Cambria" w:hAnsi="Cambria"/>
        </w:rPr>
        <w:noBreakHyphen/>
      </w:r>
      <w:r w:rsidR="00280BC9" w:rsidRPr="00EA1BB2">
        <w:rPr>
          <w:rFonts w:ascii="Cambria" w:hAnsi="Cambria"/>
        </w:rPr>
        <w:fldChar w:fldCharType="begin"/>
      </w:r>
      <w:r w:rsidR="00BA6FA3" w:rsidRPr="00EA1BB2">
        <w:rPr>
          <w:rFonts w:ascii="Cambria" w:hAnsi="Cambria"/>
        </w:rPr>
        <w:instrText xml:space="preserve"> SEQ Figura_nr. \* ARABIC \s 1 </w:instrText>
      </w:r>
      <w:r w:rsidR="00280BC9" w:rsidRPr="00EA1BB2">
        <w:rPr>
          <w:rFonts w:ascii="Cambria" w:hAnsi="Cambria"/>
        </w:rPr>
        <w:fldChar w:fldCharType="separate"/>
      </w:r>
      <w:r w:rsidR="00567555">
        <w:rPr>
          <w:rFonts w:ascii="Cambria" w:hAnsi="Cambria"/>
          <w:noProof/>
        </w:rPr>
        <w:t>16</w:t>
      </w:r>
      <w:r w:rsidR="00280BC9" w:rsidRPr="00EA1BB2">
        <w:rPr>
          <w:rFonts w:ascii="Cambria" w:hAnsi="Cambria"/>
        </w:rPr>
        <w:fldChar w:fldCharType="end"/>
      </w:r>
      <w:r w:rsidRPr="00EA1BB2">
        <w:rPr>
          <w:rFonts w:ascii="Cambria" w:hAnsi="Cambria"/>
        </w:rPr>
        <w:t xml:space="preserve"> - Contribu</w:t>
      </w:r>
      <w:r w:rsidR="00054880" w:rsidRPr="00EA1BB2">
        <w:rPr>
          <w:rFonts w:ascii="Cambria" w:hAnsi="Cambria"/>
        </w:rPr>
        <w:t>ț</w:t>
      </w:r>
      <w:r w:rsidRPr="00EA1BB2">
        <w:rPr>
          <w:rFonts w:ascii="Cambria" w:hAnsi="Cambria"/>
        </w:rPr>
        <w:t>ia surselor de emisie industriale la transferul de poluan</w:t>
      </w:r>
      <w:r w:rsidR="00054880" w:rsidRPr="00EA1BB2">
        <w:rPr>
          <w:rFonts w:ascii="Cambria" w:hAnsi="Cambria"/>
        </w:rPr>
        <w:t>ț</w:t>
      </w:r>
      <w:r w:rsidRPr="00EA1BB2">
        <w:rPr>
          <w:rFonts w:ascii="Cambria" w:hAnsi="Cambria"/>
        </w:rPr>
        <w:t>i în jude</w:t>
      </w:r>
      <w:r w:rsidR="00054880" w:rsidRPr="00EA1BB2">
        <w:rPr>
          <w:rFonts w:ascii="Cambria" w:hAnsi="Cambria"/>
        </w:rPr>
        <w:t>ț</w:t>
      </w:r>
      <w:r w:rsidRPr="00EA1BB2">
        <w:rPr>
          <w:rFonts w:ascii="Cambria" w:hAnsi="Cambria"/>
        </w:rPr>
        <w:t>ul Brăila (ex. dispersie NO</w:t>
      </w:r>
      <w:r w:rsidRPr="00EA1BB2">
        <w:rPr>
          <w:rFonts w:ascii="Cambria" w:hAnsi="Cambria"/>
          <w:vertAlign w:val="subscript"/>
        </w:rPr>
        <w:t>2</w:t>
      </w:r>
      <w:r w:rsidRPr="00EA1BB2">
        <w:rPr>
          <w:rFonts w:ascii="Cambria" w:hAnsi="Cambria"/>
        </w:rPr>
        <w:t xml:space="preserve"> concentra</w:t>
      </w:r>
      <w:r w:rsidR="00054880" w:rsidRPr="00EA1BB2">
        <w:rPr>
          <w:rFonts w:ascii="Cambria" w:hAnsi="Cambria"/>
        </w:rPr>
        <w:t>ț</w:t>
      </w:r>
      <w:r w:rsidRPr="00EA1BB2">
        <w:rPr>
          <w:rFonts w:ascii="Cambria" w:hAnsi="Cambria"/>
        </w:rPr>
        <w:t>ii medii anuale)</w:t>
      </w:r>
      <w:bookmarkEnd w:id="203"/>
    </w:p>
    <w:p w14:paraId="184BBD5C" w14:textId="77777777" w:rsidR="00343667" w:rsidRPr="00EA1BB2" w:rsidRDefault="00343667" w:rsidP="00343667">
      <w:pPr>
        <w:spacing w:line="360" w:lineRule="auto"/>
        <w:rPr>
          <w:rFonts w:ascii="Cambria" w:hAnsi="Cambria" w:cs="Times New Roman"/>
          <w:b/>
          <w:iCs/>
          <w:sz w:val="24"/>
          <w:szCs w:val="24"/>
        </w:rPr>
      </w:pPr>
      <w:r w:rsidRPr="00EA1BB2">
        <w:rPr>
          <w:rFonts w:ascii="Cambria" w:hAnsi="Cambria" w:cs="Times New Roman"/>
          <w:b/>
          <w:iCs/>
          <w:noProof/>
          <w:sz w:val="24"/>
          <w:szCs w:val="24"/>
          <w:lang w:val="en-US"/>
        </w:rPr>
        <w:drawing>
          <wp:inline distT="0" distB="0" distL="0" distR="0" wp14:anchorId="2C7C1321" wp14:editId="2EF6A1BF">
            <wp:extent cx="5583007" cy="3932409"/>
            <wp:effectExtent l="19050" t="19050" r="17780" b="1143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22.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583007" cy="3932409"/>
                    </a:xfrm>
                    <a:prstGeom prst="rect">
                      <a:avLst/>
                    </a:prstGeom>
                    <a:ln>
                      <a:solidFill>
                        <a:schemeClr val="bg1">
                          <a:lumMod val="85000"/>
                        </a:schemeClr>
                      </a:solidFill>
                    </a:ln>
                  </pic:spPr>
                </pic:pic>
              </a:graphicData>
            </a:graphic>
          </wp:inline>
        </w:drawing>
      </w:r>
    </w:p>
    <w:p w14:paraId="2CAC2EBE" w14:textId="46B6D570" w:rsidR="00343667" w:rsidRPr="00EA1BB2" w:rsidRDefault="00343667" w:rsidP="00343667">
      <w:pPr>
        <w:spacing w:line="360" w:lineRule="auto"/>
        <w:ind w:firstLine="708"/>
        <w:jc w:val="both"/>
        <w:rPr>
          <w:rFonts w:ascii="Cambria" w:hAnsi="Cambria" w:cs="Times New Roman"/>
          <w:iCs/>
          <w:sz w:val="24"/>
          <w:szCs w:val="24"/>
        </w:rPr>
      </w:pPr>
    </w:p>
    <w:p w14:paraId="6F27021A" w14:textId="77777777" w:rsidR="009B697F" w:rsidRPr="00EA1BB2" w:rsidRDefault="009B697F" w:rsidP="00343667">
      <w:pPr>
        <w:spacing w:line="360" w:lineRule="auto"/>
        <w:ind w:firstLine="708"/>
        <w:jc w:val="both"/>
        <w:rPr>
          <w:rFonts w:ascii="Cambria" w:hAnsi="Cambria" w:cs="Times New Roman"/>
          <w:iCs/>
          <w:sz w:val="24"/>
          <w:szCs w:val="24"/>
        </w:rPr>
      </w:pPr>
    </w:p>
    <w:p w14:paraId="6489EAF7" w14:textId="77777777" w:rsidR="006A6144" w:rsidRPr="00EA1BB2" w:rsidRDefault="006A6144" w:rsidP="006A6144">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lastRenderedPageBreak/>
        <w:t xml:space="preserve">Contribuția surselor de emisie de pe platforma ArcelorMittal este nesemnificativă și ca urmare a distanței relativ mari între platforma industrială și </w:t>
      </w:r>
      <w:r w:rsidR="00AC1353" w:rsidRPr="00EA1BB2">
        <w:rPr>
          <w:rFonts w:ascii="Cambria" w:eastAsia="Times New Roman" w:hAnsi="Cambria" w:cs="Times New Roman"/>
          <w:sz w:val="24"/>
          <w:szCs w:val="24"/>
        </w:rPr>
        <w:t>județul</w:t>
      </w:r>
      <w:r w:rsidRPr="00EA1BB2">
        <w:rPr>
          <w:rFonts w:ascii="Cambria" w:eastAsia="Times New Roman" w:hAnsi="Cambria" w:cs="Times New Roman"/>
          <w:sz w:val="24"/>
          <w:szCs w:val="24"/>
        </w:rPr>
        <w:t xml:space="preserve"> Brăila de aproximativ </w:t>
      </w:r>
      <w:r w:rsidR="00AC1353" w:rsidRPr="00EA1BB2">
        <w:rPr>
          <w:rFonts w:ascii="Cambria" w:eastAsia="Times New Roman" w:hAnsi="Cambria" w:cs="Times New Roman"/>
          <w:sz w:val="24"/>
          <w:szCs w:val="24"/>
        </w:rPr>
        <w:t>5</w:t>
      </w:r>
      <w:r w:rsidRPr="00EA1BB2">
        <w:rPr>
          <w:rFonts w:ascii="Cambria" w:eastAsia="Times New Roman" w:hAnsi="Cambria" w:cs="Times New Roman"/>
          <w:sz w:val="24"/>
          <w:szCs w:val="24"/>
        </w:rPr>
        <w:t xml:space="preserve"> km, distanță ce asigură dispersia suficiență a emisiilor de </w:t>
      </w:r>
      <w:r w:rsidR="00AC1353" w:rsidRPr="00EA1BB2">
        <w:rPr>
          <w:rFonts w:ascii="Cambria" w:eastAsia="Times New Roman" w:hAnsi="Cambria" w:cs="Times New Roman"/>
          <w:sz w:val="24"/>
          <w:szCs w:val="24"/>
        </w:rPr>
        <w:t xml:space="preserve">poluanți </w:t>
      </w:r>
      <w:r w:rsidRPr="00EA1BB2">
        <w:rPr>
          <w:rFonts w:ascii="Cambria" w:eastAsia="Times New Roman" w:hAnsi="Cambria" w:cs="Times New Roman"/>
          <w:sz w:val="24"/>
          <w:szCs w:val="24"/>
        </w:rPr>
        <w:t xml:space="preserve">de la surse și diminuarea semnificativă a contribuției acestor surse la degradarea calității aerului în </w:t>
      </w:r>
      <w:r w:rsidR="00AC1353" w:rsidRPr="00EA1BB2">
        <w:rPr>
          <w:rFonts w:ascii="Cambria" w:eastAsia="Times New Roman" w:hAnsi="Cambria" w:cs="Times New Roman"/>
          <w:sz w:val="24"/>
          <w:szCs w:val="24"/>
        </w:rPr>
        <w:t>județul</w:t>
      </w:r>
      <w:r w:rsidRPr="00EA1BB2">
        <w:rPr>
          <w:rFonts w:ascii="Cambria" w:eastAsia="Times New Roman" w:hAnsi="Cambria" w:cs="Times New Roman"/>
          <w:sz w:val="24"/>
          <w:szCs w:val="24"/>
        </w:rPr>
        <w:t xml:space="preserve"> Brăila.</w:t>
      </w:r>
    </w:p>
    <w:p w14:paraId="1A07EB90" w14:textId="77777777" w:rsidR="00343667" w:rsidRPr="00EA1BB2" w:rsidRDefault="00343667" w:rsidP="00343667">
      <w:pPr>
        <w:spacing w:line="360" w:lineRule="auto"/>
        <w:ind w:firstLine="708"/>
        <w:jc w:val="both"/>
        <w:rPr>
          <w:rFonts w:ascii="Cambria" w:hAnsi="Cambria" w:cs="Times New Roman"/>
          <w:sz w:val="24"/>
          <w:szCs w:val="24"/>
        </w:rPr>
      </w:pPr>
      <w:r w:rsidRPr="00EA1BB2">
        <w:rPr>
          <w:rFonts w:ascii="Cambria" w:hAnsi="Cambria" w:cs="Times New Roman"/>
          <w:sz w:val="24"/>
          <w:szCs w:val="24"/>
        </w:rPr>
        <w:t>Având în vedere rezultatele mai sus men</w:t>
      </w:r>
      <w:r w:rsidR="00054880" w:rsidRPr="00EA1BB2">
        <w:rPr>
          <w:rFonts w:ascii="Cambria" w:hAnsi="Cambria" w:cs="Times New Roman"/>
          <w:sz w:val="24"/>
          <w:szCs w:val="24"/>
        </w:rPr>
        <w:t>ț</w:t>
      </w:r>
      <w:r w:rsidRPr="00EA1BB2">
        <w:rPr>
          <w:rFonts w:ascii="Cambria" w:hAnsi="Cambria" w:cs="Times New Roman"/>
          <w:sz w:val="24"/>
          <w:szCs w:val="24"/>
        </w:rPr>
        <w:t>ionate nu se impune aplicarea unor măsuri în ceea ce prive</w:t>
      </w:r>
      <w:r w:rsidR="00054880" w:rsidRPr="00EA1BB2">
        <w:rPr>
          <w:rFonts w:ascii="Cambria" w:hAnsi="Cambria" w:cs="Times New Roman"/>
          <w:sz w:val="24"/>
          <w:szCs w:val="24"/>
        </w:rPr>
        <w:t>ș</w:t>
      </w:r>
      <w:r w:rsidRPr="00EA1BB2">
        <w:rPr>
          <w:rFonts w:ascii="Cambria" w:hAnsi="Cambria" w:cs="Times New Roman"/>
          <w:sz w:val="24"/>
          <w:szCs w:val="24"/>
        </w:rPr>
        <w:t>te transferul de poluan</w:t>
      </w:r>
      <w:r w:rsidR="00054880" w:rsidRPr="00EA1BB2">
        <w:rPr>
          <w:rFonts w:ascii="Cambria" w:hAnsi="Cambria" w:cs="Times New Roman"/>
          <w:sz w:val="24"/>
          <w:szCs w:val="24"/>
        </w:rPr>
        <w:t>ț</w:t>
      </w:r>
      <w:r w:rsidRPr="00EA1BB2">
        <w:rPr>
          <w:rFonts w:ascii="Cambria" w:hAnsi="Cambria" w:cs="Times New Roman"/>
          <w:sz w:val="24"/>
          <w:szCs w:val="24"/>
        </w:rPr>
        <w:t>i de la sursele fixe de emisie învecinate jude</w:t>
      </w:r>
      <w:r w:rsidR="00054880" w:rsidRPr="00EA1BB2">
        <w:rPr>
          <w:rFonts w:ascii="Cambria" w:hAnsi="Cambria" w:cs="Times New Roman"/>
          <w:sz w:val="24"/>
          <w:szCs w:val="24"/>
        </w:rPr>
        <w:t>ț</w:t>
      </w:r>
      <w:r w:rsidRPr="00EA1BB2">
        <w:rPr>
          <w:rFonts w:ascii="Cambria" w:hAnsi="Cambria" w:cs="Times New Roman"/>
          <w:sz w:val="24"/>
          <w:szCs w:val="24"/>
        </w:rPr>
        <w:t>ului Brăila asociate platformei industriale Arcelor Mittal, aceste surse neinfluen</w:t>
      </w:r>
      <w:r w:rsidR="00054880" w:rsidRPr="00EA1BB2">
        <w:rPr>
          <w:rFonts w:ascii="Cambria" w:hAnsi="Cambria" w:cs="Times New Roman"/>
          <w:sz w:val="24"/>
          <w:szCs w:val="24"/>
        </w:rPr>
        <w:t>ț</w:t>
      </w:r>
      <w:r w:rsidRPr="00EA1BB2">
        <w:rPr>
          <w:rFonts w:ascii="Cambria" w:hAnsi="Cambria" w:cs="Times New Roman"/>
          <w:sz w:val="24"/>
          <w:szCs w:val="24"/>
        </w:rPr>
        <w:t>ând calitatea aerului în jude</w:t>
      </w:r>
      <w:r w:rsidR="00054880" w:rsidRPr="00EA1BB2">
        <w:rPr>
          <w:rFonts w:ascii="Cambria" w:hAnsi="Cambria" w:cs="Times New Roman"/>
          <w:sz w:val="24"/>
          <w:szCs w:val="24"/>
        </w:rPr>
        <w:t>ț</w:t>
      </w:r>
      <w:r w:rsidRPr="00EA1BB2">
        <w:rPr>
          <w:rFonts w:ascii="Cambria" w:hAnsi="Cambria" w:cs="Times New Roman"/>
          <w:sz w:val="24"/>
          <w:szCs w:val="24"/>
        </w:rPr>
        <w:t>ul Brăila.</w:t>
      </w:r>
    </w:p>
    <w:p w14:paraId="3CE4A105" w14:textId="77777777" w:rsidR="00744560" w:rsidRPr="00EA1BB2" w:rsidRDefault="00744560" w:rsidP="00343667">
      <w:pPr>
        <w:spacing w:line="360" w:lineRule="auto"/>
        <w:ind w:firstLine="708"/>
        <w:jc w:val="both"/>
        <w:rPr>
          <w:rFonts w:ascii="Cambria" w:hAnsi="Cambria" w:cs="Times New Roman"/>
          <w:sz w:val="24"/>
          <w:szCs w:val="24"/>
        </w:rPr>
      </w:pPr>
    </w:p>
    <w:p w14:paraId="2A020F04" w14:textId="77777777" w:rsidR="00744560" w:rsidRPr="00EA1BB2" w:rsidRDefault="00DA5260" w:rsidP="00E859EF">
      <w:pPr>
        <w:pStyle w:val="Heading2"/>
        <w:numPr>
          <w:ilvl w:val="1"/>
          <w:numId w:val="1"/>
        </w:numPr>
        <w:spacing w:before="0"/>
        <w:ind w:left="0" w:firstLine="709"/>
        <w:jc w:val="both"/>
        <w:rPr>
          <w:rFonts w:ascii="Cambria" w:eastAsia="Times New Roman" w:hAnsi="Cambria"/>
          <w:color w:val="0070C0"/>
          <w:szCs w:val="24"/>
        </w:rPr>
      </w:pPr>
      <w:bookmarkStart w:id="204" w:name="_Toc526889743"/>
      <w:r w:rsidRPr="00EA1BB2">
        <w:rPr>
          <w:rFonts w:ascii="Cambria" w:eastAsia="Times New Roman" w:hAnsi="Cambria"/>
          <w:color w:val="0070C0"/>
          <w:szCs w:val="24"/>
        </w:rPr>
        <w:t>A</w:t>
      </w:r>
      <w:r w:rsidR="00744560" w:rsidRPr="00EA1BB2">
        <w:rPr>
          <w:rFonts w:ascii="Cambria" w:eastAsia="Times New Roman" w:hAnsi="Cambria"/>
          <w:color w:val="0070C0"/>
          <w:szCs w:val="24"/>
        </w:rPr>
        <w:t xml:space="preserve">naliza datelor meteo privind viteza vântului, precum </w:t>
      </w:r>
      <w:r w:rsidR="00054880" w:rsidRPr="00EA1BB2">
        <w:rPr>
          <w:rFonts w:ascii="Cambria" w:eastAsia="Times New Roman" w:hAnsi="Cambria"/>
          <w:color w:val="0070C0"/>
          <w:szCs w:val="24"/>
        </w:rPr>
        <w:t>ș</w:t>
      </w:r>
      <w:r w:rsidR="00744560" w:rsidRPr="00EA1BB2">
        <w:rPr>
          <w:rFonts w:ascii="Cambria" w:eastAsia="Times New Roman" w:hAnsi="Cambria"/>
          <w:color w:val="0070C0"/>
          <w:szCs w:val="24"/>
        </w:rPr>
        <w:t xml:space="preserve">i cele referitoare la calmul atmosferic </w:t>
      </w:r>
      <w:r w:rsidR="00054880" w:rsidRPr="00EA1BB2">
        <w:rPr>
          <w:rFonts w:ascii="Cambria" w:eastAsia="Times New Roman" w:hAnsi="Cambria"/>
          <w:color w:val="0070C0"/>
          <w:szCs w:val="24"/>
        </w:rPr>
        <w:t>ș</w:t>
      </w:r>
      <w:r w:rsidR="00744560" w:rsidRPr="00EA1BB2">
        <w:rPr>
          <w:rFonts w:ascii="Cambria" w:eastAsia="Times New Roman" w:hAnsi="Cambria"/>
          <w:color w:val="0070C0"/>
          <w:szCs w:val="24"/>
        </w:rPr>
        <w:t>i condi</w:t>
      </w:r>
      <w:r w:rsidR="00054880" w:rsidRPr="00EA1BB2">
        <w:rPr>
          <w:rFonts w:ascii="Cambria" w:eastAsia="Times New Roman" w:hAnsi="Cambria"/>
          <w:color w:val="0070C0"/>
          <w:szCs w:val="24"/>
        </w:rPr>
        <w:t>ț</w:t>
      </w:r>
      <w:r w:rsidR="00744560" w:rsidRPr="00EA1BB2">
        <w:rPr>
          <w:rFonts w:ascii="Cambria" w:eastAsia="Times New Roman" w:hAnsi="Cambria"/>
          <w:color w:val="0070C0"/>
          <w:szCs w:val="24"/>
        </w:rPr>
        <w:t>iile de cea</w:t>
      </w:r>
      <w:r w:rsidR="00054880" w:rsidRPr="00EA1BB2">
        <w:rPr>
          <w:rFonts w:ascii="Cambria" w:eastAsia="Times New Roman" w:hAnsi="Cambria"/>
          <w:color w:val="0070C0"/>
          <w:szCs w:val="24"/>
        </w:rPr>
        <w:t>ț</w:t>
      </w:r>
      <w:r w:rsidR="00744560" w:rsidRPr="00EA1BB2">
        <w:rPr>
          <w:rFonts w:ascii="Cambria" w:eastAsia="Times New Roman" w:hAnsi="Cambria"/>
          <w:color w:val="0070C0"/>
          <w:szCs w:val="24"/>
        </w:rPr>
        <w:t>ă, pentru analiza transportului/importului de poluan</w:t>
      </w:r>
      <w:r w:rsidR="00054880" w:rsidRPr="00EA1BB2">
        <w:rPr>
          <w:rFonts w:ascii="Cambria" w:eastAsia="Times New Roman" w:hAnsi="Cambria"/>
          <w:color w:val="0070C0"/>
          <w:szCs w:val="24"/>
        </w:rPr>
        <w:t>ț</w:t>
      </w:r>
      <w:r w:rsidR="00744560" w:rsidRPr="00EA1BB2">
        <w:rPr>
          <w:rFonts w:ascii="Cambria" w:eastAsia="Times New Roman" w:hAnsi="Cambria"/>
          <w:color w:val="0070C0"/>
          <w:szCs w:val="24"/>
        </w:rPr>
        <w:t xml:space="preserve">i din zonele </w:t>
      </w:r>
      <w:r w:rsidR="00054880" w:rsidRPr="00EA1BB2">
        <w:rPr>
          <w:rFonts w:ascii="Cambria" w:eastAsia="Times New Roman" w:hAnsi="Cambria"/>
          <w:color w:val="0070C0"/>
          <w:szCs w:val="24"/>
        </w:rPr>
        <w:t>ș</w:t>
      </w:r>
      <w:r w:rsidR="00744560" w:rsidRPr="00EA1BB2">
        <w:rPr>
          <w:rFonts w:ascii="Cambria" w:eastAsia="Times New Roman" w:hAnsi="Cambria"/>
          <w:color w:val="0070C0"/>
          <w:szCs w:val="24"/>
        </w:rPr>
        <w:t>i aglomerările învecinate, respectiv pentru stabilirea favorizării acumulării noxelor poluan</w:t>
      </w:r>
      <w:r w:rsidR="00054880" w:rsidRPr="00EA1BB2">
        <w:rPr>
          <w:rFonts w:ascii="Cambria" w:eastAsia="Times New Roman" w:hAnsi="Cambria"/>
          <w:color w:val="0070C0"/>
          <w:szCs w:val="24"/>
        </w:rPr>
        <w:t>ț</w:t>
      </w:r>
      <w:r w:rsidR="00744560" w:rsidRPr="00EA1BB2">
        <w:rPr>
          <w:rFonts w:ascii="Cambria" w:eastAsia="Times New Roman" w:hAnsi="Cambria"/>
          <w:color w:val="0070C0"/>
          <w:szCs w:val="24"/>
        </w:rPr>
        <w:t>ilor la suprafa</w:t>
      </w:r>
      <w:r w:rsidR="00054880" w:rsidRPr="00EA1BB2">
        <w:rPr>
          <w:rFonts w:ascii="Cambria" w:eastAsia="Times New Roman" w:hAnsi="Cambria"/>
          <w:color w:val="0070C0"/>
          <w:szCs w:val="24"/>
        </w:rPr>
        <w:t>ț</w:t>
      </w:r>
      <w:r w:rsidR="00744560" w:rsidRPr="00EA1BB2">
        <w:rPr>
          <w:rFonts w:ascii="Cambria" w:eastAsia="Times New Roman" w:hAnsi="Cambria"/>
          <w:color w:val="0070C0"/>
          <w:szCs w:val="24"/>
        </w:rPr>
        <w:t>a solului, care ar putea conduce la concentra</w:t>
      </w:r>
      <w:r w:rsidR="00054880" w:rsidRPr="00EA1BB2">
        <w:rPr>
          <w:rFonts w:ascii="Cambria" w:eastAsia="Times New Roman" w:hAnsi="Cambria"/>
          <w:color w:val="0070C0"/>
          <w:szCs w:val="24"/>
        </w:rPr>
        <w:t>ț</w:t>
      </w:r>
      <w:r w:rsidR="00744560" w:rsidRPr="00EA1BB2">
        <w:rPr>
          <w:rFonts w:ascii="Cambria" w:eastAsia="Times New Roman" w:hAnsi="Cambria"/>
          <w:color w:val="0070C0"/>
          <w:szCs w:val="24"/>
        </w:rPr>
        <w:t>ii ridicate de poluan</w:t>
      </w:r>
      <w:r w:rsidR="00054880" w:rsidRPr="00EA1BB2">
        <w:rPr>
          <w:rFonts w:ascii="Cambria" w:eastAsia="Times New Roman" w:hAnsi="Cambria"/>
          <w:color w:val="0070C0"/>
          <w:szCs w:val="24"/>
        </w:rPr>
        <w:t>ț</w:t>
      </w:r>
      <w:r w:rsidR="00744560" w:rsidRPr="00EA1BB2">
        <w:rPr>
          <w:rFonts w:ascii="Cambria" w:eastAsia="Times New Roman" w:hAnsi="Cambria"/>
          <w:color w:val="0070C0"/>
          <w:szCs w:val="24"/>
        </w:rPr>
        <w:t>i ale acestora</w:t>
      </w:r>
      <w:bookmarkEnd w:id="204"/>
    </w:p>
    <w:p w14:paraId="2C06C9E5" w14:textId="77777777" w:rsidR="00DA5260" w:rsidRPr="00EA1BB2" w:rsidRDefault="00DA5260" w:rsidP="00DA5260">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Minimele temperaturii medii lunare, în perioada 2012-2016, s-au înregistrat în luna Ianuarie, luna cea mai rece din an (</w:t>
      </w:r>
      <w:r w:rsidRPr="00EA1BB2">
        <w:rPr>
          <w:rFonts w:ascii="Cambria" w:eastAsia="Calibri" w:hAnsi="Cambria" w:cs="Times New Roman"/>
          <w:sz w:val="24"/>
          <w:szCs w:val="24"/>
        </w:rPr>
        <w:t>-4,5</w:t>
      </w:r>
      <w:r w:rsidRPr="00EA1BB2">
        <w:rPr>
          <w:rFonts w:ascii="Cambria" w:eastAsia="Calibri" w:hAnsi="Cambria" w:cs="Times New Roman"/>
          <w:sz w:val="24"/>
          <w:szCs w:val="24"/>
          <w:vertAlign w:val="superscript"/>
        </w:rPr>
        <w:t>o</w:t>
      </w:r>
      <w:r w:rsidRPr="00EA1BB2">
        <w:rPr>
          <w:rFonts w:ascii="Cambria" w:eastAsia="Calibri" w:hAnsi="Cambria" w:cs="Times New Roman"/>
          <w:sz w:val="24"/>
          <w:szCs w:val="24"/>
        </w:rPr>
        <w:t>C)</w:t>
      </w:r>
      <w:r w:rsidRPr="00EA1BB2">
        <w:rPr>
          <w:rFonts w:ascii="Cambria" w:eastAsia="Times New Roman" w:hAnsi="Cambria" w:cs="Times New Roman"/>
          <w:sz w:val="24"/>
          <w:szCs w:val="24"/>
        </w:rPr>
        <w:t>, iar maximele temperaturii medii lunare s-au înregistrat în luna Iulie (</w:t>
      </w:r>
      <w:r w:rsidRPr="00EA1BB2">
        <w:rPr>
          <w:rFonts w:ascii="Cambria" w:eastAsia="Calibri" w:hAnsi="Cambria" w:cs="Times New Roman"/>
          <w:sz w:val="24"/>
          <w:szCs w:val="24"/>
        </w:rPr>
        <w:t>32,0</w:t>
      </w:r>
      <w:r w:rsidRPr="00EA1BB2">
        <w:rPr>
          <w:rFonts w:ascii="Cambria" w:eastAsia="Calibri" w:hAnsi="Cambria" w:cs="Times New Roman"/>
          <w:sz w:val="24"/>
          <w:szCs w:val="24"/>
          <w:vertAlign w:val="superscript"/>
        </w:rPr>
        <w:t>o</w:t>
      </w:r>
      <w:r w:rsidRPr="00EA1BB2">
        <w:rPr>
          <w:rFonts w:ascii="Cambria" w:eastAsia="Calibri" w:hAnsi="Cambria" w:cs="Times New Roman"/>
          <w:sz w:val="24"/>
          <w:szCs w:val="24"/>
        </w:rPr>
        <w:t>C)</w:t>
      </w:r>
      <w:r w:rsidRPr="00EA1BB2">
        <w:rPr>
          <w:rFonts w:ascii="Cambria" w:eastAsia="Times New Roman" w:hAnsi="Cambria" w:cs="Times New Roman"/>
          <w:sz w:val="24"/>
          <w:szCs w:val="24"/>
        </w:rPr>
        <w:t>.</w:t>
      </w:r>
    </w:p>
    <w:p w14:paraId="1B7C2DEF" w14:textId="77777777" w:rsidR="00DA5260" w:rsidRPr="00EA1BB2" w:rsidRDefault="00DA5260" w:rsidP="00343667">
      <w:pPr>
        <w:spacing w:line="360" w:lineRule="auto"/>
        <w:ind w:firstLine="708"/>
        <w:jc w:val="both"/>
        <w:rPr>
          <w:rFonts w:ascii="Cambria" w:hAnsi="Cambria" w:cs="Times New Roman"/>
          <w:sz w:val="28"/>
          <w:szCs w:val="24"/>
        </w:rPr>
      </w:pPr>
    </w:p>
    <w:p w14:paraId="05FAF834" w14:textId="6CD599D0" w:rsidR="00DA5260" w:rsidRPr="00EA1BB2" w:rsidRDefault="00DA5260" w:rsidP="00DA5260">
      <w:pPr>
        <w:keepNext/>
        <w:spacing w:line="360" w:lineRule="auto"/>
        <w:ind w:firstLine="708"/>
        <w:jc w:val="both"/>
        <w:rPr>
          <w:rFonts w:ascii="Cambria" w:eastAsia="Calibri" w:hAnsi="Cambria" w:cs="Times New Roman"/>
          <w:b/>
          <w:sz w:val="24"/>
          <w:szCs w:val="24"/>
        </w:rPr>
      </w:pPr>
      <w:bookmarkStart w:id="205" w:name="_Toc450759595"/>
      <w:bookmarkStart w:id="206" w:name="_Toc526889813"/>
      <w:r w:rsidRPr="00EA1BB2">
        <w:rPr>
          <w:rFonts w:ascii="Cambria" w:eastAsia="Calibri" w:hAnsi="Cambria" w:cs="Times New Roman"/>
          <w:b/>
          <w:iCs/>
          <w:sz w:val="24"/>
          <w:szCs w:val="24"/>
        </w:rPr>
        <w:t xml:space="preserve">Tabelul nr. </w:t>
      </w:r>
      <w:r w:rsidR="000A2FE7" w:rsidRPr="00EA1BB2">
        <w:rPr>
          <w:rFonts w:ascii="Cambria" w:eastAsia="Calibri" w:hAnsi="Cambria" w:cs="Times New Roman"/>
          <w:b/>
          <w:iCs/>
          <w:sz w:val="24"/>
          <w:szCs w:val="24"/>
        </w:rPr>
        <w:fldChar w:fldCharType="begin"/>
      </w:r>
      <w:r w:rsidR="000A2FE7" w:rsidRPr="00EA1BB2">
        <w:rPr>
          <w:rFonts w:ascii="Cambria" w:eastAsia="Calibri" w:hAnsi="Cambria" w:cs="Times New Roman"/>
          <w:b/>
          <w:iCs/>
          <w:sz w:val="24"/>
          <w:szCs w:val="24"/>
        </w:rPr>
        <w:instrText xml:space="preserve"> STYLEREF 1 \s </w:instrText>
      </w:r>
      <w:r w:rsidR="000A2FE7" w:rsidRPr="00EA1BB2">
        <w:rPr>
          <w:rFonts w:ascii="Cambria" w:eastAsia="Calibri" w:hAnsi="Cambria" w:cs="Times New Roman"/>
          <w:b/>
          <w:iCs/>
          <w:sz w:val="24"/>
          <w:szCs w:val="24"/>
        </w:rPr>
        <w:fldChar w:fldCharType="separate"/>
      </w:r>
      <w:r w:rsidR="00567555">
        <w:rPr>
          <w:rFonts w:ascii="Cambria" w:eastAsia="Calibri" w:hAnsi="Cambria" w:cs="Times New Roman"/>
          <w:b/>
          <w:iCs/>
          <w:noProof/>
          <w:sz w:val="24"/>
          <w:szCs w:val="24"/>
        </w:rPr>
        <w:t>3</w:t>
      </w:r>
      <w:r w:rsidR="000A2FE7" w:rsidRPr="00EA1BB2">
        <w:rPr>
          <w:rFonts w:ascii="Cambria" w:eastAsia="Calibri" w:hAnsi="Cambria" w:cs="Times New Roman"/>
          <w:b/>
          <w:iCs/>
          <w:sz w:val="24"/>
          <w:szCs w:val="24"/>
        </w:rPr>
        <w:fldChar w:fldCharType="end"/>
      </w:r>
      <w:r w:rsidR="000A2FE7" w:rsidRPr="00EA1BB2">
        <w:rPr>
          <w:rFonts w:ascii="Cambria" w:eastAsia="Calibri" w:hAnsi="Cambria" w:cs="Times New Roman"/>
          <w:b/>
          <w:iCs/>
          <w:sz w:val="24"/>
          <w:szCs w:val="24"/>
        </w:rPr>
        <w:noBreakHyphen/>
      </w:r>
      <w:r w:rsidR="000A2FE7" w:rsidRPr="00EA1BB2">
        <w:rPr>
          <w:rFonts w:ascii="Cambria" w:eastAsia="Calibri" w:hAnsi="Cambria" w:cs="Times New Roman"/>
          <w:b/>
          <w:iCs/>
          <w:sz w:val="24"/>
          <w:szCs w:val="24"/>
        </w:rPr>
        <w:fldChar w:fldCharType="begin"/>
      </w:r>
      <w:r w:rsidR="000A2FE7" w:rsidRPr="00EA1BB2">
        <w:rPr>
          <w:rFonts w:ascii="Cambria" w:eastAsia="Calibri" w:hAnsi="Cambria" w:cs="Times New Roman"/>
          <w:b/>
          <w:iCs/>
          <w:sz w:val="24"/>
          <w:szCs w:val="24"/>
        </w:rPr>
        <w:instrText xml:space="preserve"> SEQ Tabelul_nr. \* ARABIC \s 1 </w:instrText>
      </w:r>
      <w:r w:rsidR="000A2FE7" w:rsidRPr="00EA1BB2">
        <w:rPr>
          <w:rFonts w:ascii="Cambria" w:eastAsia="Calibri" w:hAnsi="Cambria" w:cs="Times New Roman"/>
          <w:b/>
          <w:iCs/>
          <w:sz w:val="24"/>
          <w:szCs w:val="24"/>
        </w:rPr>
        <w:fldChar w:fldCharType="separate"/>
      </w:r>
      <w:r w:rsidR="00567555">
        <w:rPr>
          <w:rFonts w:ascii="Cambria" w:eastAsia="Calibri" w:hAnsi="Cambria" w:cs="Times New Roman"/>
          <w:b/>
          <w:iCs/>
          <w:noProof/>
          <w:sz w:val="24"/>
          <w:szCs w:val="24"/>
        </w:rPr>
        <w:t>44</w:t>
      </w:r>
      <w:r w:rsidR="000A2FE7" w:rsidRPr="00EA1BB2">
        <w:rPr>
          <w:rFonts w:ascii="Cambria" w:eastAsia="Calibri" w:hAnsi="Cambria" w:cs="Times New Roman"/>
          <w:b/>
          <w:iCs/>
          <w:sz w:val="24"/>
          <w:szCs w:val="24"/>
        </w:rPr>
        <w:fldChar w:fldCharType="end"/>
      </w:r>
      <w:bookmarkEnd w:id="205"/>
      <w:r w:rsidRPr="00EA1BB2">
        <w:rPr>
          <w:rFonts w:ascii="Cambria" w:eastAsia="Calibri" w:hAnsi="Cambria" w:cs="Times New Roman"/>
          <w:b/>
          <w:iCs/>
          <w:sz w:val="24"/>
          <w:szCs w:val="24"/>
        </w:rPr>
        <w:t xml:space="preserve"> – </w:t>
      </w:r>
      <w:r w:rsidRPr="00EA1BB2">
        <w:rPr>
          <w:rFonts w:ascii="Cambria" w:eastAsia="Calibri" w:hAnsi="Cambria" w:cs="Times New Roman"/>
          <w:b/>
          <w:sz w:val="24"/>
          <w:szCs w:val="24"/>
        </w:rPr>
        <w:t xml:space="preserve">Temperaturi medii lunare maxime </w:t>
      </w:r>
      <w:r w:rsidR="00054880" w:rsidRPr="00EA1BB2">
        <w:rPr>
          <w:rFonts w:ascii="Cambria" w:eastAsia="Calibri" w:hAnsi="Cambria" w:cs="Times New Roman"/>
          <w:b/>
          <w:sz w:val="24"/>
          <w:szCs w:val="24"/>
        </w:rPr>
        <w:t>ș</w:t>
      </w:r>
      <w:r w:rsidRPr="00EA1BB2">
        <w:rPr>
          <w:rFonts w:ascii="Cambria" w:eastAsia="Calibri" w:hAnsi="Cambria" w:cs="Times New Roman"/>
          <w:b/>
          <w:sz w:val="24"/>
          <w:szCs w:val="24"/>
        </w:rPr>
        <w:t>i minime (⁰C), în perioada 2012-2016, la sta</w:t>
      </w:r>
      <w:r w:rsidR="00054880" w:rsidRPr="00EA1BB2">
        <w:rPr>
          <w:rFonts w:ascii="Cambria" w:eastAsia="Calibri" w:hAnsi="Cambria" w:cs="Times New Roman"/>
          <w:b/>
          <w:sz w:val="24"/>
          <w:szCs w:val="24"/>
        </w:rPr>
        <w:t>ț</w:t>
      </w:r>
      <w:r w:rsidRPr="00EA1BB2">
        <w:rPr>
          <w:rFonts w:ascii="Cambria" w:eastAsia="Calibri" w:hAnsi="Cambria" w:cs="Times New Roman"/>
          <w:b/>
          <w:sz w:val="24"/>
          <w:szCs w:val="24"/>
        </w:rPr>
        <w:t>ia meteorologică Brăila</w:t>
      </w:r>
      <w:bookmarkEnd w:id="206"/>
    </w:p>
    <w:tbl>
      <w:tblPr>
        <w:tblStyle w:val="TableGrid61"/>
        <w:tblW w:w="9640" w:type="dxa"/>
        <w:tblInd w:w="-431" w:type="dxa"/>
        <w:tblLayout w:type="fixed"/>
        <w:tblLook w:val="04A0" w:firstRow="1" w:lastRow="0" w:firstColumn="1" w:lastColumn="0" w:noHBand="0" w:noVBand="1"/>
      </w:tblPr>
      <w:tblGrid>
        <w:gridCol w:w="1560"/>
        <w:gridCol w:w="709"/>
        <w:gridCol w:w="657"/>
        <w:gridCol w:w="664"/>
        <w:gridCol w:w="664"/>
        <w:gridCol w:w="664"/>
        <w:gridCol w:w="664"/>
        <w:gridCol w:w="664"/>
        <w:gridCol w:w="677"/>
        <w:gridCol w:w="664"/>
        <w:gridCol w:w="664"/>
        <w:gridCol w:w="680"/>
        <w:gridCol w:w="709"/>
      </w:tblGrid>
      <w:tr w:rsidR="00DA5260" w:rsidRPr="00EA1BB2" w14:paraId="7C912D40" w14:textId="77777777" w:rsidTr="00A25848">
        <w:trPr>
          <w:tblHeader/>
        </w:trPr>
        <w:tc>
          <w:tcPr>
            <w:tcW w:w="1560" w:type="dxa"/>
            <w:shd w:val="clear" w:color="auto" w:fill="BDD6EE" w:themeFill="accent1" w:themeFillTint="66"/>
            <w:vAlign w:val="center"/>
          </w:tcPr>
          <w:p w14:paraId="08109638" w14:textId="77777777" w:rsidR="00DA5260" w:rsidRPr="00EA1BB2" w:rsidRDefault="00DA5260" w:rsidP="00A25848">
            <w:pPr>
              <w:spacing w:line="360" w:lineRule="auto"/>
              <w:jc w:val="center"/>
              <w:rPr>
                <w:rFonts w:ascii="Cambria" w:eastAsia="Calibri" w:hAnsi="Cambria"/>
                <w:b/>
                <w:sz w:val="24"/>
                <w:szCs w:val="24"/>
                <w:lang w:val="ro-RO"/>
              </w:rPr>
            </w:pPr>
            <w:r w:rsidRPr="00EA1BB2">
              <w:rPr>
                <w:rFonts w:ascii="Cambria" w:eastAsia="Calibri" w:hAnsi="Cambria"/>
                <w:b/>
                <w:sz w:val="24"/>
                <w:szCs w:val="24"/>
                <w:lang w:val="ro-RO"/>
              </w:rPr>
              <w:t>Luna</w:t>
            </w:r>
          </w:p>
        </w:tc>
        <w:tc>
          <w:tcPr>
            <w:tcW w:w="709" w:type="dxa"/>
            <w:shd w:val="clear" w:color="auto" w:fill="BDD6EE" w:themeFill="accent1" w:themeFillTint="66"/>
            <w:vAlign w:val="center"/>
          </w:tcPr>
          <w:p w14:paraId="7F5FA613" w14:textId="77777777" w:rsidR="00DA5260" w:rsidRPr="00EA1BB2" w:rsidRDefault="00DA5260" w:rsidP="00A25848">
            <w:pPr>
              <w:spacing w:line="360" w:lineRule="auto"/>
              <w:jc w:val="center"/>
              <w:rPr>
                <w:rFonts w:ascii="Cambria" w:eastAsia="Calibri" w:hAnsi="Cambria"/>
                <w:b/>
                <w:sz w:val="24"/>
                <w:szCs w:val="24"/>
                <w:lang w:val="ro-RO"/>
              </w:rPr>
            </w:pPr>
            <w:r w:rsidRPr="00EA1BB2">
              <w:rPr>
                <w:rFonts w:ascii="Cambria" w:hAnsi="Cambria"/>
                <w:b/>
                <w:sz w:val="24"/>
                <w:szCs w:val="24"/>
                <w:lang w:val="ro-RO"/>
              </w:rPr>
              <w:t>I</w:t>
            </w:r>
          </w:p>
        </w:tc>
        <w:tc>
          <w:tcPr>
            <w:tcW w:w="657" w:type="dxa"/>
            <w:shd w:val="clear" w:color="auto" w:fill="BDD6EE" w:themeFill="accent1" w:themeFillTint="66"/>
            <w:vAlign w:val="center"/>
          </w:tcPr>
          <w:p w14:paraId="13732EE6" w14:textId="77777777" w:rsidR="00DA5260" w:rsidRPr="00EA1BB2" w:rsidRDefault="00DA5260" w:rsidP="00A25848">
            <w:pPr>
              <w:spacing w:line="360" w:lineRule="auto"/>
              <w:jc w:val="center"/>
              <w:rPr>
                <w:rFonts w:ascii="Cambria" w:eastAsia="Calibri" w:hAnsi="Cambria"/>
                <w:sz w:val="24"/>
                <w:szCs w:val="24"/>
                <w:lang w:val="ro-RO"/>
              </w:rPr>
            </w:pPr>
            <w:r w:rsidRPr="00EA1BB2">
              <w:rPr>
                <w:rFonts w:ascii="Cambria" w:hAnsi="Cambria"/>
                <w:b/>
                <w:sz w:val="24"/>
                <w:szCs w:val="24"/>
                <w:lang w:val="ro-RO"/>
              </w:rPr>
              <w:t>II</w:t>
            </w:r>
          </w:p>
        </w:tc>
        <w:tc>
          <w:tcPr>
            <w:tcW w:w="664" w:type="dxa"/>
            <w:shd w:val="clear" w:color="auto" w:fill="BDD6EE" w:themeFill="accent1" w:themeFillTint="66"/>
            <w:vAlign w:val="center"/>
          </w:tcPr>
          <w:p w14:paraId="44DAFB1B" w14:textId="77777777" w:rsidR="00DA5260" w:rsidRPr="00EA1BB2" w:rsidRDefault="00DA5260" w:rsidP="00A25848">
            <w:pPr>
              <w:spacing w:line="360" w:lineRule="auto"/>
              <w:jc w:val="center"/>
              <w:rPr>
                <w:rFonts w:ascii="Cambria" w:eastAsia="Calibri" w:hAnsi="Cambria"/>
                <w:sz w:val="24"/>
                <w:szCs w:val="24"/>
                <w:lang w:val="ro-RO"/>
              </w:rPr>
            </w:pPr>
            <w:r w:rsidRPr="00EA1BB2">
              <w:rPr>
                <w:rFonts w:ascii="Cambria" w:hAnsi="Cambria"/>
                <w:b/>
                <w:sz w:val="24"/>
                <w:szCs w:val="24"/>
                <w:lang w:val="ro-RO"/>
              </w:rPr>
              <w:t>III</w:t>
            </w:r>
          </w:p>
        </w:tc>
        <w:tc>
          <w:tcPr>
            <w:tcW w:w="664" w:type="dxa"/>
            <w:shd w:val="clear" w:color="auto" w:fill="BDD6EE" w:themeFill="accent1" w:themeFillTint="66"/>
            <w:vAlign w:val="center"/>
          </w:tcPr>
          <w:p w14:paraId="1FE01493" w14:textId="77777777" w:rsidR="00DA5260" w:rsidRPr="00EA1BB2" w:rsidRDefault="00DA5260" w:rsidP="00A25848">
            <w:pPr>
              <w:spacing w:line="360" w:lineRule="auto"/>
              <w:jc w:val="center"/>
              <w:rPr>
                <w:rFonts w:ascii="Cambria" w:eastAsia="Calibri" w:hAnsi="Cambria"/>
                <w:sz w:val="24"/>
                <w:szCs w:val="24"/>
                <w:lang w:val="ro-RO"/>
              </w:rPr>
            </w:pPr>
            <w:r w:rsidRPr="00EA1BB2">
              <w:rPr>
                <w:rFonts w:ascii="Cambria" w:hAnsi="Cambria"/>
                <w:b/>
                <w:sz w:val="24"/>
                <w:szCs w:val="24"/>
                <w:lang w:val="ro-RO"/>
              </w:rPr>
              <w:t>IV</w:t>
            </w:r>
          </w:p>
        </w:tc>
        <w:tc>
          <w:tcPr>
            <w:tcW w:w="664" w:type="dxa"/>
            <w:shd w:val="clear" w:color="auto" w:fill="BDD6EE" w:themeFill="accent1" w:themeFillTint="66"/>
            <w:vAlign w:val="center"/>
          </w:tcPr>
          <w:p w14:paraId="7282161A" w14:textId="77777777" w:rsidR="00DA5260" w:rsidRPr="00EA1BB2" w:rsidRDefault="00DA5260" w:rsidP="00A25848">
            <w:pPr>
              <w:spacing w:line="360" w:lineRule="auto"/>
              <w:jc w:val="center"/>
              <w:rPr>
                <w:rFonts w:ascii="Cambria" w:eastAsia="Calibri" w:hAnsi="Cambria"/>
                <w:sz w:val="24"/>
                <w:szCs w:val="24"/>
                <w:lang w:val="ro-RO"/>
              </w:rPr>
            </w:pPr>
            <w:r w:rsidRPr="00EA1BB2">
              <w:rPr>
                <w:rFonts w:ascii="Cambria" w:hAnsi="Cambria"/>
                <w:b/>
                <w:sz w:val="24"/>
                <w:szCs w:val="24"/>
                <w:lang w:val="ro-RO"/>
              </w:rPr>
              <w:t>V</w:t>
            </w:r>
          </w:p>
        </w:tc>
        <w:tc>
          <w:tcPr>
            <w:tcW w:w="664" w:type="dxa"/>
            <w:shd w:val="clear" w:color="auto" w:fill="BDD6EE" w:themeFill="accent1" w:themeFillTint="66"/>
            <w:vAlign w:val="center"/>
          </w:tcPr>
          <w:p w14:paraId="0396E753" w14:textId="77777777" w:rsidR="00DA5260" w:rsidRPr="00EA1BB2" w:rsidRDefault="00DA5260" w:rsidP="00A25848">
            <w:pPr>
              <w:spacing w:line="360" w:lineRule="auto"/>
              <w:jc w:val="center"/>
              <w:rPr>
                <w:rFonts w:ascii="Cambria" w:eastAsia="Calibri" w:hAnsi="Cambria"/>
                <w:sz w:val="24"/>
                <w:szCs w:val="24"/>
                <w:lang w:val="ro-RO"/>
              </w:rPr>
            </w:pPr>
            <w:r w:rsidRPr="00EA1BB2">
              <w:rPr>
                <w:rFonts w:ascii="Cambria" w:hAnsi="Cambria"/>
                <w:b/>
                <w:sz w:val="24"/>
                <w:szCs w:val="24"/>
                <w:lang w:val="ro-RO"/>
              </w:rPr>
              <w:t>VI</w:t>
            </w:r>
          </w:p>
        </w:tc>
        <w:tc>
          <w:tcPr>
            <w:tcW w:w="664" w:type="dxa"/>
            <w:shd w:val="clear" w:color="auto" w:fill="BDD6EE" w:themeFill="accent1" w:themeFillTint="66"/>
            <w:vAlign w:val="center"/>
          </w:tcPr>
          <w:p w14:paraId="4F3502A4" w14:textId="77777777" w:rsidR="00DA5260" w:rsidRPr="00EA1BB2" w:rsidRDefault="00DA5260" w:rsidP="00A25848">
            <w:pPr>
              <w:spacing w:line="360" w:lineRule="auto"/>
              <w:jc w:val="center"/>
              <w:rPr>
                <w:rFonts w:ascii="Cambria" w:eastAsia="Calibri" w:hAnsi="Cambria"/>
                <w:sz w:val="24"/>
                <w:szCs w:val="24"/>
                <w:lang w:val="ro-RO"/>
              </w:rPr>
            </w:pPr>
            <w:r w:rsidRPr="00EA1BB2">
              <w:rPr>
                <w:rFonts w:ascii="Cambria" w:hAnsi="Cambria"/>
                <w:b/>
                <w:sz w:val="24"/>
                <w:szCs w:val="24"/>
                <w:lang w:val="ro-RO"/>
              </w:rPr>
              <w:t>VII</w:t>
            </w:r>
          </w:p>
        </w:tc>
        <w:tc>
          <w:tcPr>
            <w:tcW w:w="677" w:type="dxa"/>
            <w:shd w:val="clear" w:color="auto" w:fill="BDD6EE" w:themeFill="accent1" w:themeFillTint="66"/>
            <w:vAlign w:val="center"/>
          </w:tcPr>
          <w:p w14:paraId="3FB31CDA" w14:textId="77777777" w:rsidR="00DA5260" w:rsidRPr="00EA1BB2" w:rsidRDefault="00DA5260" w:rsidP="00A25848">
            <w:pPr>
              <w:spacing w:line="360" w:lineRule="auto"/>
              <w:jc w:val="center"/>
              <w:rPr>
                <w:rFonts w:ascii="Cambria" w:eastAsia="Calibri" w:hAnsi="Cambria"/>
                <w:sz w:val="24"/>
                <w:szCs w:val="24"/>
                <w:lang w:val="ro-RO"/>
              </w:rPr>
            </w:pPr>
            <w:r w:rsidRPr="00EA1BB2">
              <w:rPr>
                <w:rFonts w:ascii="Cambria" w:hAnsi="Cambria"/>
                <w:b/>
                <w:sz w:val="24"/>
                <w:szCs w:val="24"/>
                <w:lang w:val="ro-RO"/>
              </w:rPr>
              <w:t>VIII</w:t>
            </w:r>
          </w:p>
        </w:tc>
        <w:tc>
          <w:tcPr>
            <w:tcW w:w="664" w:type="dxa"/>
            <w:shd w:val="clear" w:color="auto" w:fill="BDD6EE" w:themeFill="accent1" w:themeFillTint="66"/>
            <w:vAlign w:val="center"/>
          </w:tcPr>
          <w:p w14:paraId="5566B7C7" w14:textId="77777777" w:rsidR="00DA5260" w:rsidRPr="00EA1BB2" w:rsidRDefault="00DA5260" w:rsidP="00A25848">
            <w:pPr>
              <w:spacing w:line="360" w:lineRule="auto"/>
              <w:jc w:val="center"/>
              <w:rPr>
                <w:rFonts w:ascii="Cambria" w:eastAsia="Calibri" w:hAnsi="Cambria"/>
                <w:sz w:val="24"/>
                <w:szCs w:val="24"/>
                <w:lang w:val="ro-RO"/>
              </w:rPr>
            </w:pPr>
            <w:r w:rsidRPr="00EA1BB2">
              <w:rPr>
                <w:rFonts w:ascii="Cambria" w:hAnsi="Cambria"/>
                <w:b/>
                <w:sz w:val="24"/>
                <w:szCs w:val="24"/>
                <w:lang w:val="ro-RO"/>
              </w:rPr>
              <w:t>IX</w:t>
            </w:r>
          </w:p>
        </w:tc>
        <w:tc>
          <w:tcPr>
            <w:tcW w:w="664" w:type="dxa"/>
            <w:shd w:val="clear" w:color="auto" w:fill="BDD6EE" w:themeFill="accent1" w:themeFillTint="66"/>
            <w:vAlign w:val="center"/>
          </w:tcPr>
          <w:p w14:paraId="60A52C4D" w14:textId="77777777" w:rsidR="00DA5260" w:rsidRPr="00EA1BB2" w:rsidRDefault="00DA5260" w:rsidP="00A25848">
            <w:pPr>
              <w:spacing w:line="360" w:lineRule="auto"/>
              <w:jc w:val="center"/>
              <w:rPr>
                <w:rFonts w:ascii="Cambria" w:eastAsia="Calibri" w:hAnsi="Cambria"/>
                <w:sz w:val="24"/>
                <w:szCs w:val="24"/>
                <w:lang w:val="ro-RO"/>
              </w:rPr>
            </w:pPr>
            <w:r w:rsidRPr="00EA1BB2">
              <w:rPr>
                <w:rFonts w:ascii="Cambria" w:hAnsi="Cambria"/>
                <w:b/>
                <w:sz w:val="24"/>
                <w:szCs w:val="24"/>
                <w:lang w:val="ro-RO"/>
              </w:rPr>
              <w:t>X</w:t>
            </w:r>
          </w:p>
        </w:tc>
        <w:tc>
          <w:tcPr>
            <w:tcW w:w="680" w:type="dxa"/>
            <w:shd w:val="clear" w:color="auto" w:fill="BDD6EE" w:themeFill="accent1" w:themeFillTint="66"/>
            <w:vAlign w:val="center"/>
          </w:tcPr>
          <w:p w14:paraId="3BA16C1A" w14:textId="77777777" w:rsidR="00DA5260" w:rsidRPr="00EA1BB2" w:rsidRDefault="00DA5260" w:rsidP="00A25848">
            <w:pPr>
              <w:spacing w:line="360" w:lineRule="auto"/>
              <w:jc w:val="center"/>
              <w:rPr>
                <w:rFonts w:ascii="Cambria" w:eastAsia="Calibri" w:hAnsi="Cambria"/>
                <w:sz w:val="24"/>
                <w:szCs w:val="24"/>
                <w:lang w:val="ro-RO"/>
              </w:rPr>
            </w:pPr>
            <w:r w:rsidRPr="00EA1BB2">
              <w:rPr>
                <w:rFonts w:ascii="Cambria" w:hAnsi="Cambria"/>
                <w:b/>
                <w:sz w:val="24"/>
                <w:szCs w:val="24"/>
                <w:lang w:val="ro-RO"/>
              </w:rPr>
              <w:t>XI</w:t>
            </w:r>
          </w:p>
        </w:tc>
        <w:tc>
          <w:tcPr>
            <w:tcW w:w="709" w:type="dxa"/>
            <w:shd w:val="clear" w:color="auto" w:fill="BDD6EE" w:themeFill="accent1" w:themeFillTint="66"/>
            <w:vAlign w:val="center"/>
          </w:tcPr>
          <w:p w14:paraId="3ABCEB07" w14:textId="77777777" w:rsidR="00DA5260" w:rsidRPr="00EA1BB2" w:rsidRDefault="00DA5260" w:rsidP="00A25848">
            <w:pPr>
              <w:spacing w:line="360" w:lineRule="auto"/>
              <w:jc w:val="center"/>
              <w:rPr>
                <w:rFonts w:ascii="Cambria" w:eastAsia="Calibri" w:hAnsi="Cambria"/>
                <w:sz w:val="24"/>
                <w:szCs w:val="24"/>
                <w:lang w:val="ro-RO"/>
              </w:rPr>
            </w:pPr>
            <w:r w:rsidRPr="00EA1BB2">
              <w:rPr>
                <w:rFonts w:ascii="Cambria" w:hAnsi="Cambria"/>
                <w:b/>
                <w:sz w:val="24"/>
                <w:szCs w:val="24"/>
                <w:lang w:val="ro-RO"/>
              </w:rPr>
              <w:t>XII</w:t>
            </w:r>
          </w:p>
        </w:tc>
      </w:tr>
      <w:tr w:rsidR="00DA5260" w:rsidRPr="00EA1BB2" w14:paraId="29ECC811" w14:textId="77777777" w:rsidTr="00A25848">
        <w:tc>
          <w:tcPr>
            <w:tcW w:w="1560" w:type="dxa"/>
            <w:vAlign w:val="center"/>
          </w:tcPr>
          <w:p w14:paraId="6881FBEA" w14:textId="77777777" w:rsidR="00DA5260" w:rsidRPr="00EA1BB2" w:rsidRDefault="00DA5260" w:rsidP="00A25848">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Temperaturi maxime</w:t>
            </w:r>
          </w:p>
        </w:tc>
        <w:tc>
          <w:tcPr>
            <w:tcW w:w="709" w:type="dxa"/>
            <w:vAlign w:val="center"/>
          </w:tcPr>
          <w:p w14:paraId="5DAA3006" w14:textId="77777777" w:rsidR="00DA5260" w:rsidRPr="00EA1BB2" w:rsidRDefault="00DA5260" w:rsidP="00A25848">
            <w:pPr>
              <w:spacing w:line="360" w:lineRule="auto"/>
              <w:jc w:val="center"/>
              <w:rPr>
                <w:rFonts w:ascii="Cambria" w:eastAsia="Calibri" w:hAnsi="Cambria"/>
                <w:sz w:val="24"/>
                <w:szCs w:val="24"/>
                <w:lang w:val="ro-RO"/>
              </w:rPr>
            </w:pPr>
            <w:r w:rsidRPr="00EA1BB2">
              <w:rPr>
                <w:rFonts w:ascii="Cambria" w:eastAsia="Calibri" w:hAnsi="Cambria"/>
                <w:sz w:val="24"/>
                <w:szCs w:val="24"/>
                <w:lang w:val="ro-RO"/>
              </w:rPr>
              <w:t>2,5</w:t>
            </w:r>
          </w:p>
        </w:tc>
        <w:tc>
          <w:tcPr>
            <w:tcW w:w="657" w:type="dxa"/>
            <w:vAlign w:val="center"/>
          </w:tcPr>
          <w:p w14:paraId="65014539" w14:textId="77777777" w:rsidR="00DA5260" w:rsidRPr="00EA1BB2" w:rsidRDefault="00DA5260" w:rsidP="00A25848">
            <w:pPr>
              <w:spacing w:line="360" w:lineRule="auto"/>
              <w:jc w:val="center"/>
              <w:rPr>
                <w:rFonts w:ascii="Cambria" w:eastAsia="Calibri" w:hAnsi="Cambria"/>
                <w:sz w:val="24"/>
                <w:szCs w:val="24"/>
                <w:lang w:val="ro-RO"/>
              </w:rPr>
            </w:pPr>
            <w:r w:rsidRPr="00EA1BB2">
              <w:rPr>
                <w:rFonts w:ascii="Cambria" w:eastAsia="Calibri" w:hAnsi="Cambria"/>
                <w:sz w:val="24"/>
                <w:szCs w:val="24"/>
                <w:lang w:val="ro-RO"/>
              </w:rPr>
              <w:t>5,0</w:t>
            </w:r>
          </w:p>
        </w:tc>
        <w:tc>
          <w:tcPr>
            <w:tcW w:w="664" w:type="dxa"/>
            <w:vAlign w:val="center"/>
          </w:tcPr>
          <w:p w14:paraId="7CC97CE3" w14:textId="77777777" w:rsidR="00DA5260" w:rsidRPr="00EA1BB2" w:rsidRDefault="00DA5260" w:rsidP="00A25848">
            <w:pPr>
              <w:spacing w:line="360" w:lineRule="auto"/>
              <w:jc w:val="center"/>
              <w:rPr>
                <w:rFonts w:ascii="Cambria" w:eastAsia="Calibri" w:hAnsi="Cambria"/>
                <w:sz w:val="24"/>
                <w:szCs w:val="24"/>
                <w:lang w:val="ro-RO"/>
              </w:rPr>
            </w:pPr>
            <w:r w:rsidRPr="00EA1BB2">
              <w:rPr>
                <w:rFonts w:ascii="Cambria" w:eastAsia="Calibri" w:hAnsi="Cambria"/>
                <w:sz w:val="24"/>
                <w:szCs w:val="24"/>
                <w:lang w:val="ro-RO"/>
              </w:rPr>
              <w:t>12,0</w:t>
            </w:r>
          </w:p>
        </w:tc>
        <w:tc>
          <w:tcPr>
            <w:tcW w:w="664" w:type="dxa"/>
            <w:vAlign w:val="center"/>
          </w:tcPr>
          <w:p w14:paraId="58C900DB" w14:textId="77777777" w:rsidR="00DA5260" w:rsidRPr="00EA1BB2" w:rsidRDefault="00DA5260" w:rsidP="00A25848">
            <w:pPr>
              <w:spacing w:line="360" w:lineRule="auto"/>
              <w:jc w:val="center"/>
              <w:rPr>
                <w:rFonts w:ascii="Cambria" w:eastAsia="Calibri" w:hAnsi="Cambria"/>
                <w:sz w:val="24"/>
                <w:szCs w:val="24"/>
                <w:lang w:val="ro-RO"/>
              </w:rPr>
            </w:pPr>
            <w:r w:rsidRPr="00EA1BB2">
              <w:rPr>
                <w:rFonts w:ascii="Cambria" w:eastAsia="Calibri" w:hAnsi="Cambria"/>
                <w:sz w:val="24"/>
                <w:szCs w:val="24"/>
                <w:lang w:val="ro-RO"/>
              </w:rPr>
              <w:t>19,8</w:t>
            </w:r>
          </w:p>
        </w:tc>
        <w:tc>
          <w:tcPr>
            <w:tcW w:w="664" w:type="dxa"/>
            <w:vAlign w:val="center"/>
          </w:tcPr>
          <w:p w14:paraId="3232BD15" w14:textId="77777777" w:rsidR="00DA5260" w:rsidRPr="00EA1BB2" w:rsidRDefault="00DA5260" w:rsidP="00A25848">
            <w:pPr>
              <w:spacing w:line="360" w:lineRule="auto"/>
              <w:jc w:val="center"/>
              <w:rPr>
                <w:rFonts w:ascii="Cambria" w:eastAsia="Calibri" w:hAnsi="Cambria"/>
                <w:sz w:val="24"/>
                <w:szCs w:val="24"/>
                <w:lang w:val="ro-RO"/>
              </w:rPr>
            </w:pPr>
            <w:r w:rsidRPr="00EA1BB2">
              <w:rPr>
                <w:rFonts w:ascii="Cambria" w:eastAsia="Calibri" w:hAnsi="Cambria"/>
                <w:sz w:val="24"/>
                <w:szCs w:val="24"/>
                <w:lang w:val="ro-RO"/>
              </w:rPr>
              <w:t>24,8</w:t>
            </w:r>
          </w:p>
        </w:tc>
        <w:tc>
          <w:tcPr>
            <w:tcW w:w="664" w:type="dxa"/>
            <w:vAlign w:val="center"/>
          </w:tcPr>
          <w:p w14:paraId="5F8C9B34" w14:textId="77777777" w:rsidR="00DA5260" w:rsidRPr="00EA1BB2" w:rsidRDefault="00DA5260" w:rsidP="00A25848">
            <w:pPr>
              <w:spacing w:line="360" w:lineRule="auto"/>
              <w:jc w:val="center"/>
              <w:rPr>
                <w:rFonts w:ascii="Cambria" w:eastAsia="Calibri" w:hAnsi="Cambria"/>
                <w:sz w:val="24"/>
                <w:szCs w:val="24"/>
                <w:lang w:val="ro-RO"/>
              </w:rPr>
            </w:pPr>
            <w:r w:rsidRPr="00EA1BB2">
              <w:rPr>
                <w:rFonts w:ascii="Cambria" w:eastAsia="Calibri" w:hAnsi="Cambria"/>
                <w:sz w:val="24"/>
                <w:szCs w:val="24"/>
                <w:lang w:val="ro-RO"/>
              </w:rPr>
              <w:t>28,8</w:t>
            </w:r>
          </w:p>
        </w:tc>
        <w:tc>
          <w:tcPr>
            <w:tcW w:w="664" w:type="dxa"/>
            <w:vAlign w:val="center"/>
          </w:tcPr>
          <w:p w14:paraId="302B0C28" w14:textId="77777777" w:rsidR="00DA5260" w:rsidRPr="00EA1BB2" w:rsidRDefault="00DA5260" w:rsidP="00A25848">
            <w:pPr>
              <w:spacing w:line="360" w:lineRule="auto"/>
              <w:jc w:val="center"/>
              <w:rPr>
                <w:rFonts w:ascii="Cambria" w:eastAsia="Calibri" w:hAnsi="Cambria"/>
                <w:sz w:val="24"/>
                <w:szCs w:val="24"/>
                <w:lang w:val="ro-RO"/>
              </w:rPr>
            </w:pPr>
            <w:r w:rsidRPr="00EA1BB2">
              <w:rPr>
                <w:rFonts w:ascii="Cambria" w:eastAsia="Calibri" w:hAnsi="Cambria"/>
                <w:sz w:val="24"/>
                <w:szCs w:val="24"/>
                <w:lang w:val="ro-RO"/>
              </w:rPr>
              <w:t>32,0</w:t>
            </w:r>
          </w:p>
        </w:tc>
        <w:tc>
          <w:tcPr>
            <w:tcW w:w="677" w:type="dxa"/>
            <w:vAlign w:val="center"/>
          </w:tcPr>
          <w:p w14:paraId="7E7E3471" w14:textId="77777777" w:rsidR="00DA5260" w:rsidRPr="00EA1BB2" w:rsidRDefault="00DA5260" w:rsidP="00A25848">
            <w:pPr>
              <w:spacing w:line="360" w:lineRule="auto"/>
              <w:jc w:val="center"/>
              <w:rPr>
                <w:rFonts w:ascii="Cambria" w:eastAsia="Calibri" w:hAnsi="Cambria"/>
                <w:sz w:val="24"/>
                <w:szCs w:val="24"/>
                <w:lang w:val="ro-RO"/>
              </w:rPr>
            </w:pPr>
            <w:r w:rsidRPr="00EA1BB2">
              <w:rPr>
                <w:rFonts w:ascii="Cambria" w:eastAsia="Calibri" w:hAnsi="Cambria"/>
                <w:sz w:val="24"/>
                <w:szCs w:val="24"/>
                <w:lang w:val="ro-RO"/>
              </w:rPr>
              <w:t>31,8</w:t>
            </w:r>
          </w:p>
        </w:tc>
        <w:tc>
          <w:tcPr>
            <w:tcW w:w="664" w:type="dxa"/>
            <w:vAlign w:val="center"/>
          </w:tcPr>
          <w:p w14:paraId="4AAED20E" w14:textId="77777777" w:rsidR="00DA5260" w:rsidRPr="00EA1BB2" w:rsidRDefault="00DA5260" w:rsidP="00A25848">
            <w:pPr>
              <w:spacing w:line="360" w:lineRule="auto"/>
              <w:jc w:val="center"/>
              <w:rPr>
                <w:rFonts w:ascii="Cambria" w:eastAsia="Calibri" w:hAnsi="Cambria"/>
                <w:sz w:val="24"/>
                <w:szCs w:val="24"/>
                <w:lang w:val="ro-RO"/>
              </w:rPr>
            </w:pPr>
            <w:r w:rsidRPr="00EA1BB2">
              <w:rPr>
                <w:rFonts w:ascii="Cambria" w:eastAsia="Calibri" w:hAnsi="Cambria"/>
                <w:sz w:val="24"/>
                <w:szCs w:val="24"/>
                <w:lang w:val="ro-RO"/>
              </w:rPr>
              <w:t>26,5</w:t>
            </w:r>
          </w:p>
        </w:tc>
        <w:tc>
          <w:tcPr>
            <w:tcW w:w="664" w:type="dxa"/>
            <w:vAlign w:val="center"/>
          </w:tcPr>
          <w:p w14:paraId="2FBD386E" w14:textId="77777777" w:rsidR="00DA5260" w:rsidRPr="00EA1BB2" w:rsidRDefault="00DA5260" w:rsidP="00A25848">
            <w:pPr>
              <w:spacing w:line="360" w:lineRule="auto"/>
              <w:jc w:val="center"/>
              <w:rPr>
                <w:rFonts w:ascii="Cambria" w:eastAsia="Calibri" w:hAnsi="Cambria"/>
                <w:sz w:val="24"/>
                <w:szCs w:val="24"/>
                <w:lang w:val="ro-RO"/>
              </w:rPr>
            </w:pPr>
            <w:r w:rsidRPr="00EA1BB2">
              <w:rPr>
                <w:rFonts w:ascii="Cambria" w:eastAsia="Calibri" w:hAnsi="Cambria"/>
                <w:sz w:val="24"/>
                <w:szCs w:val="24"/>
                <w:lang w:val="ro-RO"/>
              </w:rPr>
              <w:t>17,7</w:t>
            </w:r>
          </w:p>
        </w:tc>
        <w:tc>
          <w:tcPr>
            <w:tcW w:w="680" w:type="dxa"/>
            <w:vAlign w:val="center"/>
          </w:tcPr>
          <w:p w14:paraId="092AA988" w14:textId="77777777" w:rsidR="00DA5260" w:rsidRPr="00EA1BB2" w:rsidRDefault="00DA5260" w:rsidP="00A25848">
            <w:pPr>
              <w:spacing w:line="360" w:lineRule="auto"/>
              <w:jc w:val="center"/>
              <w:rPr>
                <w:rFonts w:ascii="Cambria" w:eastAsia="Calibri" w:hAnsi="Cambria"/>
                <w:sz w:val="24"/>
                <w:szCs w:val="24"/>
                <w:lang w:val="ro-RO"/>
              </w:rPr>
            </w:pPr>
            <w:r w:rsidRPr="00EA1BB2">
              <w:rPr>
                <w:rFonts w:ascii="Cambria" w:eastAsia="Calibri" w:hAnsi="Cambria"/>
                <w:sz w:val="24"/>
                <w:szCs w:val="24"/>
                <w:lang w:val="ro-RO"/>
              </w:rPr>
              <w:t>11,3</w:t>
            </w:r>
          </w:p>
        </w:tc>
        <w:tc>
          <w:tcPr>
            <w:tcW w:w="709" w:type="dxa"/>
            <w:vAlign w:val="center"/>
          </w:tcPr>
          <w:p w14:paraId="44B68A84" w14:textId="77777777" w:rsidR="00DA5260" w:rsidRPr="00EA1BB2" w:rsidRDefault="00DA5260" w:rsidP="00A25848">
            <w:pPr>
              <w:spacing w:line="360" w:lineRule="auto"/>
              <w:jc w:val="center"/>
              <w:rPr>
                <w:rFonts w:ascii="Cambria" w:eastAsia="Calibri" w:hAnsi="Cambria"/>
                <w:sz w:val="24"/>
                <w:szCs w:val="24"/>
                <w:lang w:val="ro-RO"/>
              </w:rPr>
            </w:pPr>
            <w:r w:rsidRPr="00EA1BB2">
              <w:rPr>
                <w:rFonts w:ascii="Cambria" w:eastAsia="Calibri" w:hAnsi="Cambria"/>
                <w:sz w:val="24"/>
                <w:szCs w:val="24"/>
                <w:lang w:val="ro-RO"/>
              </w:rPr>
              <w:t>4,2</w:t>
            </w:r>
          </w:p>
        </w:tc>
      </w:tr>
      <w:tr w:rsidR="00DA5260" w:rsidRPr="00EA1BB2" w14:paraId="5B085856" w14:textId="77777777" w:rsidTr="00A25848">
        <w:tc>
          <w:tcPr>
            <w:tcW w:w="1560" w:type="dxa"/>
            <w:vAlign w:val="center"/>
          </w:tcPr>
          <w:p w14:paraId="7BC3ED0B" w14:textId="77777777" w:rsidR="00DA5260" w:rsidRPr="00EA1BB2" w:rsidRDefault="00DA5260" w:rsidP="00A25848">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Temperaturi minime</w:t>
            </w:r>
          </w:p>
        </w:tc>
        <w:tc>
          <w:tcPr>
            <w:tcW w:w="709" w:type="dxa"/>
            <w:vAlign w:val="center"/>
          </w:tcPr>
          <w:p w14:paraId="2669BA08" w14:textId="77777777" w:rsidR="00DA5260" w:rsidRPr="00EA1BB2" w:rsidRDefault="00DA5260" w:rsidP="00A25848">
            <w:pPr>
              <w:spacing w:line="360" w:lineRule="auto"/>
              <w:jc w:val="center"/>
              <w:rPr>
                <w:rFonts w:ascii="Cambria" w:eastAsia="Calibri" w:hAnsi="Cambria"/>
                <w:sz w:val="24"/>
                <w:szCs w:val="24"/>
                <w:lang w:val="ro-RO"/>
              </w:rPr>
            </w:pPr>
            <w:r w:rsidRPr="00EA1BB2">
              <w:rPr>
                <w:rFonts w:ascii="Cambria" w:eastAsia="Calibri" w:hAnsi="Cambria"/>
                <w:sz w:val="24"/>
                <w:szCs w:val="24"/>
                <w:lang w:val="ro-RO"/>
              </w:rPr>
              <w:t>-4,5</w:t>
            </w:r>
          </w:p>
        </w:tc>
        <w:tc>
          <w:tcPr>
            <w:tcW w:w="657" w:type="dxa"/>
            <w:vAlign w:val="center"/>
          </w:tcPr>
          <w:p w14:paraId="41128246" w14:textId="77777777" w:rsidR="00DA5260" w:rsidRPr="00EA1BB2" w:rsidRDefault="00DA5260" w:rsidP="00A25848">
            <w:pPr>
              <w:spacing w:line="360" w:lineRule="auto"/>
              <w:jc w:val="center"/>
              <w:rPr>
                <w:rFonts w:ascii="Cambria" w:eastAsia="Calibri" w:hAnsi="Cambria"/>
                <w:sz w:val="24"/>
                <w:szCs w:val="24"/>
                <w:lang w:val="ro-RO"/>
              </w:rPr>
            </w:pPr>
            <w:r w:rsidRPr="00EA1BB2">
              <w:rPr>
                <w:rFonts w:ascii="Cambria" w:eastAsia="Calibri" w:hAnsi="Cambria"/>
                <w:sz w:val="24"/>
                <w:szCs w:val="24"/>
                <w:lang w:val="ro-RO"/>
              </w:rPr>
              <w:t>-2,5</w:t>
            </w:r>
          </w:p>
        </w:tc>
        <w:tc>
          <w:tcPr>
            <w:tcW w:w="664" w:type="dxa"/>
            <w:vAlign w:val="center"/>
          </w:tcPr>
          <w:p w14:paraId="7E1C8833" w14:textId="77777777" w:rsidR="00DA5260" w:rsidRPr="00EA1BB2" w:rsidRDefault="00DA5260" w:rsidP="00A25848">
            <w:pPr>
              <w:spacing w:line="360" w:lineRule="auto"/>
              <w:jc w:val="center"/>
              <w:rPr>
                <w:rFonts w:ascii="Cambria" w:eastAsia="Calibri" w:hAnsi="Cambria"/>
                <w:sz w:val="24"/>
                <w:szCs w:val="24"/>
                <w:lang w:val="ro-RO"/>
              </w:rPr>
            </w:pPr>
            <w:r w:rsidRPr="00EA1BB2">
              <w:rPr>
                <w:rFonts w:ascii="Cambria" w:eastAsia="Calibri" w:hAnsi="Cambria"/>
                <w:sz w:val="24"/>
                <w:szCs w:val="24"/>
                <w:lang w:val="ro-RO"/>
              </w:rPr>
              <w:t>1,8</w:t>
            </w:r>
          </w:p>
        </w:tc>
        <w:tc>
          <w:tcPr>
            <w:tcW w:w="664" w:type="dxa"/>
            <w:vAlign w:val="center"/>
          </w:tcPr>
          <w:p w14:paraId="27A20563" w14:textId="77777777" w:rsidR="00DA5260" w:rsidRPr="00EA1BB2" w:rsidRDefault="00DA5260" w:rsidP="00A25848">
            <w:pPr>
              <w:spacing w:line="360" w:lineRule="auto"/>
              <w:jc w:val="center"/>
              <w:rPr>
                <w:rFonts w:ascii="Cambria" w:eastAsia="Calibri" w:hAnsi="Cambria"/>
                <w:sz w:val="24"/>
                <w:szCs w:val="24"/>
                <w:lang w:val="ro-RO"/>
              </w:rPr>
            </w:pPr>
            <w:r w:rsidRPr="00EA1BB2">
              <w:rPr>
                <w:rFonts w:ascii="Cambria" w:eastAsia="Calibri" w:hAnsi="Cambria"/>
                <w:sz w:val="24"/>
                <w:szCs w:val="24"/>
                <w:lang w:val="ro-RO"/>
              </w:rPr>
              <w:t>6,7</w:t>
            </w:r>
          </w:p>
        </w:tc>
        <w:tc>
          <w:tcPr>
            <w:tcW w:w="664" w:type="dxa"/>
            <w:vAlign w:val="center"/>
          </w:tcPr>
          <w:p w14:paraId="0DB5805C" w14:textId="77777777" w:rsidR="00DA5260" w:rsidRPr="00EA1BB2" w:rsidRDefault="00DA5260" w:rsidP="00A25848">
            <w:pPr>
              <w:spacing w:line="360" w:lineRule="auto"/>
              <w:jc w:val="center"/>
              <w:rPr>
                <w:rFonts w:ascii="Cambria" w:eastAsia="Calibri" w:hAnsi="Cambria"/>
                <w:sz w:val="24"/>
                <w:szCs w:val="24"/>
                <w:lang w:val="ro-RO"/>
              </w:rPr>
            </w:pPr>
            <w:r w:rsidRPr="00EA1BB2">
              <w:rPr>
                <w:rFonts w:ascii="Cambria" w:eastAsia="Calibri" w:hAnsi="Cambria"/>
                <w:sz w:val="24"/>
                <w:szCs w:val="24"/>
                <w:lang w:val="ro-RO"/>
              </w:rPr>
              <w:t>11,5</w:t>
            </w:r>
          </w:p>
        </w:tc>
        <w:tc>
          <w:tcPr>
            <w:tcW w:w="664" w:type="dxa"/>
            <w:vAlign w:val="center"/>
          </w:tcPr>
          <w:p w14:paraId="0709F14A" w14:textId="77777777" w:rsidR="00DA5260" w:rsidRPr="00EA1BB2" w:rsidRDefault="00DA5260" w:rsidP="00A25848">
            <w:pPr>
              <w:spacing w:line="360" w:lineRule="auto"/>
              <w:jc w:val="center"/>
              <w:rPr>
                <w:rFonts w:ascii="Cambria" w:eastAsia="Calibri" w:hAnsi="Cambria"/>
                <w:sz w:val="24"/>
                <w:szCs w:val="24"/>
                <w:lang w:val="ro-RO"/>
              </w:rPr>
            </w:pPr>
            <w:r w:rsidRPr="00EA1BB2">
              <w:rPr>
                <w:rFonts w:ascii="Cambria" w:eastAsia="Calibri" w:hAnsi="Cambria"/>
                <w:sz w:val="24"/>
                <w:szCs w:val="24"/>
                <w:lang w:val="ro-RO"/>
              </w:rPr>
              <w:t>15,4</w:t>
            </w:r>
          </w:p>
        </w:tc>
        <w:tc>
          <w:tcPr>
            <w:tcW w:w="664" w:type="dxa"/>
            <w:vAlign w:val="center"/>
          </w:tcPr>
          <w:p w14:paraId="237A4946" w14:textId="77777777" w:rsidR="00DA5260" w:rsidRPr="00EA1BB2" w:rsidRDefault="00DA5260" w:rsidP="00A25848">
            <w:pPr>
              <w:spacing w:line="360" w:lineRule="auto"/>
              <w:jc w:val="center"/>
              <w:rPr>
                <w:rFonts w:ascii="Cambria" w:eastAsia="Calibri" w:hAnsi="Cambria"/>
                <w:sz w:val="24"/>
                <w:szCs w:val="24"/>
                <w:lang w:val="ro-RO"/>
              </w:rPr>
            </w:pPr>
            <w:r w:rsidRPr="00EA1BB2">
              <w:rPr>
                <w:rFonts w:ascii="Cambria" w:eastAsia="Calibri" w:hAnsi="Cambria"/>
                <w:sz w:val="24"/>
                <w:szCs w:val="24"/>
                <w:lang w:val="ro-RO"/>
              </w:rPr>
              <w:t>17,0</w:t>
            </w:r>
          </w:p>
        </w:tc>
        <w:tc>
          <w:tcPr>
            <w:tcW w:w="677" w:type="dxa"/>
            <w:vAlign w:val="center"/>
          </w:tcPr>
          <w:p w14:paraId="2559CE69" w14:textId="77777777" w:rsidR="00DA5260" w:rsidRPr="00EA1BB2" w:rsidRDefault="00DA5260" w:rsidP="00A25848">
            <w:pPr>
              <w:spacing w:line="360" w:lineRule="auto"/>
              <w:jc w:val="center"/>
              <w:rPr>
                <w:rFonts w:ascii="Cambria" w:eastAsia="Calibri" w:hAnsi="Cambria"/>
                <w:sz w:val="24"/>
                <w:szCs w:val="24"/>
                <w:lang w:val="ro-RO"/>
              </w:rPr>
            </w:pPr>
            <w:r w:rsidRPr="00EA1BB2">
              <w:rPr>
                <w:rFonts w:ascii="Cambria" w:eastAsia="Calibri" w:hAnsi="Cambria"/>
                <w:sz w:val="24"/>
                <w:szCs w:val="24"/>
                <w:lang w:val="ro-RO"/>
              </w:rPr>
              <w:t>16,5</w:t>
            </w:r>
          </w:p>
        </w:tc>
        <w:tc>
          <w:tcPr>
            <w:tcW w:w="664" w:type="dxa"/>
            <w:vAlign w:val="center"/>
          </w:tcPr>
          <w:p w14:paraId="01504CAB" w14:textId="77777777" w:rsidR="00DA5260" w:rsidRPr="00EA1BB2" w:rsidRDefault="00DA5260" w:rsidP="00A25848">
            <w:pPr>
              <w:spacing w:line="360" w:lineRule="auto"/>
              <w:jc w:val="center"/>
              <w:rPr>
                <w:rFonts w:ascii="Cambria" w:eastAsia="Calibri" w:hAnsi="Cambria"/>
                <w:sz w:val="24"/>
                <w:szCs w:val="24"/>
                <w:lang w:val="ro-RO"/>
              </w:rPr>
            </w:pPr>
            <w:r w:rsidRPr="00EA1BB2">
              <w:rPr>
                <w:rFonts w:ascii="Cambria" w:eastAsia="Calibri" w:hAnsi="Cambria"/>
                <w:sz w:val="24"/>
                <w:szCs w:val="24"/>
                <w:lang w:val="ro-RO"/>
              </w:rPr>
              <w:t>12,1</w:t>
            </w:r>
          </w:p>
        </w:tc>
        <w:tc>
          <w:tcPr>
            <w:tcW w:w="664" w:type="dxa"/>
            <w:vAlign w:val="center"/>
          </w:tcPr>
          <w:p w14:paraId="0099EA48" w14:textId="77777777" w:rsidR="00DA5260" w:rsidRPr="00EA1BB2" w:rsidRDefault="00DA5260" w:rsidP="00A25848">
            <w:pPr>
              <w:spacing w:line="360" w:lineRule="auto"/>
              <w:jc w:val="center"/>
              <w:rPr>
                <w:rFonts w:ascii="Cambria" w:eastAsia="Calibri" w:hAnsi="Cambria"/>
                <w:sz w:val="24"/>
                <w:szCs w:val="24"/>
                <w:lang w:val="ro-RO"/>
              </w:rPr>
            </w:pPr>
            <w:r w:rsidRPr="00EA1BB2">
              <w:rPr>
                <w:rFonts w:ascii="Cambria" w:eastAsia="Calibri" w:hAnsi="Cambria"/>
                <w:sz w:val="24"/>
                <w:szCs w:val="24"/>
                <w:lang w:val="ro-RO"/>
              </w:rPr>
              <w:t>6,9</w:t>
            </w:r>
          </w:p>
        </w:tc>
        <w:tc>
          <w:tcPr>
            <w:tcW w:w="680" w:type="dxa"/>
            <w:vAlign w:val="center"/>
          </w:tcPr>
          <w:p w14:paraId="2BBD7B70" w14:textId="77777777" w:rsidR="00DA5260" w:rsidRPr="00EA1BB2" w:rsidRDefault="00DA5260" w:rsidP="00A25848">
            <w:pPr>
              <w:spacing w:line="360" w:lineRule="auto"/>
              <w:jc w:val="center"/>
              <w:rPr>
                <w:rFonts w:ascii="Cambria" w:eastAsia="Calibri" w:hAnsi="Cambria"/>
                <w:sz w:val="24"/>
                <w:szCs w:val="24"/>
                <w:lang w:val="ro-RO"/>
              </w:rPr>
            </w:pPr>
            <w:r w:rsidRPr="00EA1BB2">
              <w:rPr>
                <w:rFonts w:ascii="Cambria" w:eastAsia="Calibri" w:hAnsi="Cambria"/>
                <w:sz w:val="24"/>
                <w:szCs w:val="24"/>
                <w:lang w:val="ro-RO"/>
              </w:rPr>
              <w:t>3,6</w:t>
            </w:r>
          </w:p>
        </w:tc>
        <w:tc>
          <w:tcPr>
            <w:tcW w:w="709" w:type="dxa"/>
            <w:vAlign w:val="center"/>
          </w:tcPr>
          <w:p w14:paraId="1F354E44" w14:textId="77777777" w:rsidR="00DA5260" w:rsidRPr="00EA1BB2" w:rsidRDefault="00DA5260" w:rsidP="00A25848">
            <w:pPr>
              <w:spacing w:line="360" w:lineRule="auto"/>
              <w:jc w:val="center"/>
              <w:rPr>
                <w:rFonts w:ascii="Cambria" w:eastAsia="Calibri" w:hAnsi="Cambria"/>
                <w:sz w:val="24"/>
                <w:szCs w:val="24"/>
                <w:lang w:val="ro-RO"/>
              </w:rPr>
            </w:pPr>
            <w:r w:rsidRPr="00EA1BB2">
              <w:rPr>
                <w:rFonts w:ascii="Cambria" w:eastAsia="Calibri" w:hAnsi="Cambria"/>
                <w:sz w:val="24"/>
                <w:szCs w:val="24"/>
                <w:lang w:val="ro-RO"/>
              </w:rPr>
              <w:t>-2,8</w:t>
            </w:r>
          </w:p>
        </w:tc>
      </w:tr>
    </w:tbl>
    <w:p w14:paraId="6A31C454" w14:textId="77777777" w:rsidR="00DA5260" w:rsidRPr="00EA1BB2" w:rsidRDefault="00DA5260" w:rsidP="00A77366">
      <w:pPr>
        <w:spacing w:line="276" w:lineRule="auto"/>
        <w:jc w:val="both"/>
        <w:rPr>
          <w:rFonts w:ascii="Cambria" w:eastAsia="Calibri" w:hAnsi="Cambria" w:cs="Times New Roman"/>
          <w:szCs w:val="24"/>
        </w:rPr>
      </w:pPr>
      <w:r w:rsidRPr="00EA1BB2">
        <w:rPr>
          <w:rFonts w:ascii="Cambria" w:eastAsia="Calibri" w:hAnsi="Cambria" w:cs="Times New Roman"/>
          <w:szCs w:val="24"/>
        </w:rPr>
        <w:t>Sursa date: ANM</w:t>
      </w:r>
    </w:p>
    <w:p w14:paraId="1245AE06" w14:textId="77777777" w:rsidR="00A77366" w:rsidRPr="00EA1BB2" w:rsidRDefault="00A77366" w:rsidP="00DA5260">
      <w:pPr>
        <w:spacing w:line="360" w:lineRule="auto"/>
        <w:ind w:firstLine="720"/>
        <w:jc w:val="both"/>
        <w:rPr>
          <w:rFonts w:ascii="Cambria" w:eastAsia="Times New Roman" w:hAnsi="Cambria" w:cs="Times New Roman"/>
          <w:sz w:val="24"/>
          <w:szCs w:val="24"/>
        </w:rPr>
      </w:pPr>
    </w:p>
    <w:p w14:paraId="1631D80D" w14:textId="57BF8100" w:rsidR="00DA5260" w:rsidRPr="00EA1BB2" w:rsidRDefault="00DA5260" w:rsidP="00DA5260">
      <w:pPr>
        <w:keepNext/>
        <w:spacing w:line="360" w:lineRule="auto"/>
        <w:ind w:firstLine="708"/>
        <w:jc w:val="both"/>
        <w:rPr>
          <w:rFonts w:ascii="Cambria" w:eastAsia="Calibri" w:hAnsi="Cambria" w:cs="Times New Roman"/>
          <w:b/>
          <w:iCs/>
          <w:sz w:val="24"/>
          <w:szCs w:val="24"/>
        </w:rPr>
      </w:pPr>
      <w:bookmarkStart w:id="207" w:name="_Toc450759415"/>
      <w:bookmarkStart w:id="208" w:name="_Toc524966228"/>
      <w:r w:rsidRPr="00EA1BB2">
        <w:rPr>
          <w:rFonts w:ascii="Cambria" w:eastAsia="Calibri" w:hAnsi="Cambria" w:cs="Times New Roman"/>
          <w:b/>
          <w:iCs/>
          <w:sz w:val="24"/>
          <w:szCs w:val="24"/>
        </w:rPr>
        <w:lastRenderedPageBreak/>
        <w:t xml:space="preserve">Figura nr. </w:t>
      </w:r>
      <w:r w:rsidR="00280BC9" w:rsidRPr="00EA1BB2">
        <w:rPr>
          <w:rFonts w:ascii="Cambria" w:eastAsia="Calibri" w:hAnsi="Cambria" w:cs="Times New Roman"/>
          <w:b/>
          <w:iCs/>
          <w:sz w:val="24"/>
          <w:szCs w:val="24"/>
        </w:rPr>
        <w:fldChar w:fldCharType="begin"/>
      </w:r>
      <w:r w:rsidR="00BA6FA3" w:rsidRPr="00EA1BB2">
        <w:rPr>
          <w:rFonts w:ascii="Cambria" w:eastAsia="Calibri" w:hAnsi="Cambria" w:cs="Times New Roman"/>
          <w:b/>
          <w:iCs/>
          <w:sz w:val="24"/>
          <w:szCs w:val="24"/>
        </w:rPr>
        <w:instrText xml:space="preserve"> STYLEREF 1 \s </w:instrText>
      </w:r>
      <w:r w:rsidR="00280BC9" w:rsidRPr="00EA1BB2">
        <w:rPr>
          <w:rFonts w:ascii="Cambria" w:eastAsia="Calibri" w:hAnsi="Cambria" w:cs="Times New Roman"/>
          <w:b/>
          <w:iCs/>
          <w:sz w:val="24"/>
          <w:szCs w:val="24"/>
        </w:rPr>
        <w:fldChar w:fldCharType="separate"/>
      </w:r>
      <w:r w:rsidR="00567555">
        <w:rPr>
          <w:rFonts w:ascii="Cambria" w:eastAsia="Calibri" w:hAnsi="Cambria" w:cs="Times New Roman"/>
          <w:b/>
          <w:iCs/>
          <w:noProof/>
          <w:sz w:val="24"/>
          <w:szCs w:val="24"/>
        </w:rPr>
        <w:t>3</w:t>
      </w:r>
      <w:r w:rsidR="00280BC9" w:rsidRPr="00EA1BB2">
        <w:rPr>
          <w:rFonts w:ascii="Cambria" w:eastAsia="Calibri" w:hAnsi="Cambria" w:cs="Times New Roman"/>
          <w:b/>
          <w:iCs/>
          <w:sz w:val="24"/>
          <w:szCs w:val="24"/>
        </w:rPr>
        <w:fldChar w:fldCharType="end"/>
      </w:r>
      <w:r w:rsidR="00BA6FA3" w:rsidRPr="00EA1BB2">
        <w:rPr>
          <w:rFonts w:ascii="Cambria" w:eastAsia="Calibri" w:hAnsi="Cambria" w:cs="Times New Roman"/>
          <w:b/>
          <w:iCs/>
          <w:sz w:val="24"/>
          <w:szCs w:val="24"/>
        </w:rPr>
        <w:noBreakHyphen/>
      </w:r>
      <w:r w:rsidR="00280BC9" w:rsidRPr="00EA1BB2">
        <w:rPr>
          <w:rFonts w:ascii="Cambria" w:eastAsia="Calibri" w:hAnsi="Cambria" w:cs="Times New Roman"/>
          <w:b/>
          <w:iCs/>
          <w:sz w:val="24"/>
          <w:szCs w:val="24"/>
        </w:rPr>
        <w:fldChar w:fldCharType="begin"/>
      </w:r>
      <w:r w:rsidR="00BA6FA3" w:rsidRPr="00EA1BB2">
        <w:rPr>
          <w:rFonts w:ascii="Cambria" w:eastAsia="Calibri" w:hAnsi="Cambria" w:cs="Times New Roman"/>
          <w:b/>
          <w:iCs/>
          <w:sz w:val="24"/>
          <w:szCs w:val="24"/>
        </w:rPr>
        <w:instrText xml:space="preserve"> SEQ Figura_nr. \* ARABIC \s 1 </w:instrText>
      </w:r>
      <w:r w:rsidR="00280BC9" w:rsidRPr="00EA1BB2">
        <w:rPr>
          <w:rFonts w:ascii="Cambria" w:eastAsia="Calibri" w:hAnsi="Cambria" w:cs="Times New Roman"/>
          <w:b/>
          <w:iCs/>
          <w:sz w:val="24"/>
          <w:szCs w:val="24"/>
        </w:rPr>
        <w:fldChar w:fldCharType="separate"/>
      </w:r>
      <w:r w:rsidR="00567555">
        <w:rPr>
          <w:rFonts w:ascii="Cambria" w:eastAsia="Calibri" w:hAnsi="Cambria" w:cs="Times New Roman"/>
          <w:b/>
          <w:iCs/>
          <w:noProof/>
          <w:sz w:val="24"/>
          <w:szCs w:val="24"/>
        </w:rPr>
        <w:t>17</w:t>
      </w:r>
      <w:r w:rsidR="00280BC9" w:rsidRPr="00EA1BB2">
        <w:rPr>
          <w:rFonts w:ascii="Cambria" w:eastAsia="Calibri" w:hAnsi="Cambria" w:cs="Times New Roman"/>
          <w:b/>
          <w:iCs/>
          <w:sz w:val="24"/>
          <w:szCs w:val="24"/>
        </w:rPr>
        <w:fldChar w:fldCharType="end"/>
      </w:r>
      <w:r w:rsidRPr="00EA1BB2">
        <w:rPr>
          <w:rFonts w:ascii="Cambria" w:eastAsia="Calibri" w:hAnsi="Cambria" w:cs="Times New Roman"/>
          <w:b/>
          <w:iCs/>
          <w:sz w:val="24"/>
          <w:szCs w:val="24"/>
        </w:rPr>
        <w:t xml:space="preserve"> - Temperaturi medii lunare maxime </w:t>
      </w:r>
      <w:r w:rsidR="00054880" w:rsidRPr="00EA1BB2">
        <w:rPr>
          <w:rFonts w:ascii="Cambria" w:eastAsia="Calibri" w:hAnsi="Cambria" w:cs="Times New Roman"/>
          <w:b/>
          <w:iCs/>
          <w:sz w:val="24"/>
          <w:szCs w:val="24"/>
        </w:rPr>
        <w:t>ș</w:t>
      </w:r>
      <w:r w:rsidRPr="00EA1BB2">
        <w:rPr>
          <w:rFonts w:ascii="Cambria" w:eastAsia="Calibri" w:hAnsi="Cambria" w:cs="Times New Roman"/>
          <w:b/>
          <w:iCs/>
          <w:sz w:val="24"/>
          <w:szCs w:val="24"/>
        </w:rPr>
        <w:t>i minime (⁰C), în perioada 2012-2016 comparativ cu perioada 1974-1990, la sta</w:t>
      </w:r>
      <w:r w:rsidR="00054880" w:rsidRPr="00EA1BB2">
        <w:rPr>
          <w:rFonts w:ascii="Cambria" w:eastAsia="Calibri" w:hAnsi="Cambria" w:cs="Times New Roman"/>
          <w:b/>
          <w:iCs/>
          <w:sz w:val="24"/>
          <w:szCs w:val="24"/>
        </w:rPr>
        <w:t>ț</w:t>
      </w:r>
      <w:r w:rsidRPr="00EA1BB2">
        <w:rPr>
          <w:rFonts w:ascii="Cambria" w:eastAsia="Calibri" w:hAnsi="Cambria" w:cs="Times New Roman"/>
          <w:b/>
          <w:iCs/>
          <w:sz w:val="24"/>
          <w:szCs w:val="24"/>
        </w:rPr>
        <w:t>ia meteorologică Brăila</w:t>
      </w:r>
      <w:bookmarkEnd w:id="207"/>
      <w:bookmarkEnd w:id="208"/>
    </w:p>
    <w:p w14:paraId="113A2339" w14:textId="77777777" w:rsidR="00DA5260" w:rsidRPr="00EA1BB2" w:rsidRDefault="00DA5260" w:rsidP="00DA5260">
      <w:pPr>
        <w:spacing w:line="276" w:lineRule="auto"/>
        <w:jc w:val="both"/>
        <w:rPr>
          <w:rFonts w:ascii="Cambria" w:eastAsia="SimSun" w:hAnsi="Cambria" w:cs="Times New Roman"/>
          <w:sz w:val="24"/>
          <w:szCs w:val="24"/>
        </w:rPr>
      </w:pPr>
      <w:r w:rsidRPr="00EA1BB2">
        <w:rPr>
          <w:rFonts w:ascii="Cambria" w:eastAsia="SimSun" w:hAnsi="Cambria" w:cs="Times New Roman"/>
          <w:noProof/>
          <w:sz w:val="24"/>
          <w:szCs w:val="24"/>
          <w:lang w:val="en-US"/>
        </w:rPr>
        <w:drawing>
          <wp:inline distT="0" distB="0" distL="0" distR="0" wp14:anchorId="46A7DE2C" wp14:editId="31032A42">
            <wp:extent cx="5705475" cy="2880000"/>
            <wp:effectExtent l="0" t="0" r="9525" b="15875"/>
            <wp:docPr id="229" name="Chart 2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7E65F388" w14:textId="77777777" w:rsidR="00DA5260" w:rsidRPr="00EA1BB2" w:rsidRDefault="00DA5260" w:rsidP="009B697F">
      <w:pPr>
        <w:spacing w:line="276" w:lineRule="auto"/>
        <w:jc w:val="both"/>
        <w:rPr>
          <w:rFonts w:ascii="Cambria" w:eastAsia="SimSun" w:hAnsi="Cambria" w:cs="Times New Roman"/>
          <w:szCs w:val="24"/>
        </w:rPr>
      </w:pPr>
      <w:r w:rsidRPr="00EA1BB2">
        <w:rPr>
          <w:rFonts w:ascii="Cambria" w:eastAsia="SimSun" w:hAnsi="Cambria" w:cs="Times New Roman"/>
          <w:szCs w:val="24"/>
        </w:rPr>
        <w:t>Sursa date: ANM</w:t>
      </w:r>
    </w:p>
    <w:p w14:paraId="00D1C408" w14:textId="77777777" w:rsidR="009B697F" w:rsidRPr="00EA1BB2" w:rsidRDefault="009B697F" w:rsidP="00A77366">
      <w:pPr>
        <w:spacing w:line="360" w:lineRule="auto"/>
        <w:ind w:firstLine="720"/>
        <w:jc w:val="both"/>
        <w:rPr>
          <w:rFonts w:ascii="Cambria" w:eastAsia="Times New Roman" w:hAnsi="Cambria" w:cs="Times New Roman"/>
          <w:sz w:val="24"/>
          <w:szCs w:val="24"/>
        </w:rPr>
      </w:pPr>
    </w:p>
    <w:p w14:paraId="283CA098" w14:textId="3F7EDC2F" w:rsidR="00A77366" w:rsidRPr="00EA1BB2" w:rsidRDefault="00A77366" w:rsidP="00A77366">
      <w:pPr>
        <w:spacing w:line="360" w:lineRule="auto"/>
        <w:ind w:firstLine="720"/>
        <w:jc w:val="both"/>
        <w:rPr>
          <w:rFonts w:ascii="Cambria" w:eastAsia="Times New Roman" w:hAnsi="Cambria" w:cs="Times New Roman"/>
          <w:sz w:val="24"/>
          <w:szCs w:val="24"/>
        </w:rPr>
      </w:pPr>
      <w:r w:rsidRPr="00EA1BB2">
        <w:rPr>
          <w:rFonts w:ascii="Cambria" w:eastAsia="Times New Roman" w:hAnsi="Cambria" w:cs="Times New Roman"/>
          <w:sz w:val="24"/>
          <w:szCs w:val="24"/>
        </w:rPr>
        <w:t>Deoarece temperatura scade odată cu altitudinea, atunci când un strat de aer rece se absoarbe sub un strat de aer cald, are loc o inversiune termică, poluan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 se acumulează la suprafa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a pământului fiind mult mai dăunători pentru sănătatea omului.</w:t>
      </w:r>
    </w:p>
    <w:p w14:paraId="38E9A82F" w14:textId="77777777" w:rsidR="00A77366" w:rsidRPr="00EA1BB2" w:rsidRDefault="00A77366" w:rsidP="00A77366">
      <w:pPr>
        <w:spacing w:line="360" w:lineRule="auto"/>
        <w:ind w:firstLine="720"/>
        <w:jc w:val="both"/>
        <w:rPr>
          <w:rFonts w:ascii="Cambria" w:eastAsia="Times New Roman" w:hAnsi="Cambria" w:cs="Times New Roman"/>
          <w:sz w:val="24"/>
          <w:szCs w:val="24"/>
        </w:rPr>
      </w:pPr>
      <w:r w:rsidRPr="00EA1BB2">
        <w:rPr>
          <w:rFonts w:ascii="Cambria" w:eastAsia="Times New Roman" w:hAnsi="Cambria" w:cs="Times New Roman"/>
          <w:sz w:val="24"/>
          <w:szCs w:val="24"/>
        </w:rPr>
        <w:t>Tot legat de inversiunea termică, important este că stratul de inversiune termică ac</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ionează ca un capac împiedicând dispersia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transportul poluan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ilor. Mai mult, aceste straturi sunt propice formării ce</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ii, ca urmare a condensării vaporilor de apă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a existen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ei poluării sub formă de pulberi, deci uneori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a smogului.</w:t>
      </w:r>
    </w:p>
    <w:p w14:paraId="76E5D90E" w14:textId="77777777" w:rsidR="00A77366" w:rsidRPr="00EA1BB2" w:rsidRDefault="00A77366" w:rsidP="00A77366">
      <w:pPr>
        <w:spacing w:line="360" w:lineRule="auto"/>
        <w:ind w:firstLine="720"/>
        <w:jc w:val="both"/>
        <w:rPr>
          <w:rFonts w:ascii="Cambria" w:eastAsia="Times New Roman" w:hAnsi="Cambria" w:cs="Times New Roman"/>
          <w:sz w:val="24"/>
          <w:szCs w:val="24"/>
        </w:rPr>
      </w:pPr>
    </w:p>
    <w:p w14:paraId="6AC4E0F3" w14:textId="633574CA" w:rsidR="00A77366" w:rsidRPr="00EA1BB2" w:rsidRDefault="00A77366" w:rsidP="00A77366">
      <w:pPr>
        <w:keepNext/>
        <w:spacing w:line="360" w:lineRule="auto"/>
        <w:ind w:firstLine="708"/>
        <w:jc w:val="both"/>
        <w:rPr>
          <w:rFonts w:ascii="Cambria" w:eastAsia="Calibri" w:hAnsi="Cambria" w:cs="Times New Roman"/>
          <w:b/>
          <w:sz w:val="24"/>
          <w:szCs w:val="24"/>
        </w:rPr>
      </w:pPr>
      <w:bookmarkStart w:id="209" w:name="_Toc450759599"/>
      <w:bookmarkStart w:id="210" w:name="_Toc526889814"/>
      <w:r w:rsidRPr="00EA1BB2">
        <w:rPr>
          <w:rFonts w:ascii="Cambria" w:eastAsia="Calibri" w:hAnsi="Cambria" w:cs="Times New Roman"/>
          <w:b/>
          <w:iCs/>
          <w:sz w:val="24"/>
          <w:szCs w:val="24"/>
        </w:rPr>
        <w:t xml:space="preserve">Tabelul nr. </w:t>
      </w:r>
      <w:r w:rsidR="000A2FE7" w:rsidRPr="00EA1BB2">
        <w:rPr>
          <w:rFonts w:ascii="Cambria" w:eastAsia="Calibri" w:hAnsi="Cambria" w:cs="Times New Roman"/>
          <w:b/>
          <w:iCs/>
          <w:sz w:val="24"/>
          <w:szCs w:val="24"/>
        </w:rPr>
        <w:fldChar w:fldCharType="begin"/>
      </w:r>
      <w:r w:rsidR="000A2FE7" w:rsidRPr="00EA1BB2">
        <w:rPr>
          <w:rFonts w:ascii="Cambria" w:eastAsia="Calibri" w:hAnsi="Cambria" w:cs="Times New Roman"/>
          <w:b/>
          <w:iCs/>
          <w:sz w:val="24"/>
          <w:szCs w:val="24"/>
        </w:rPr>
        <w:instrText xml:space="preserve"> STYLEREF 1 \s </w:instrText>
      </w:r>
      <w:r w:rsidR="000A2FE7" w:rsidRPr="00EA1BB2">
        <w:rPr>
          <w:rFonts w:ascii="Cambria" w:eastAsia="Calibri" w:hAnsi="Cambria" w:cs="Times New Roman"/>
          <w:b/>
          <w:iCs/>
          <w:sz w:val="24"/>
          <w:szCs w:val="24"/>
        </w:rPr>
        <w:fldChar w:fldCharType="separate"/>
      </w:r>
      <w:r w:rsidR="00567555">
        <w:rPr>
          <w:rFonts w:ascii="Cambria" w:eastAsia="Calibri" w:hAnsi="Cambria" w:cs="Times New Roman"/>
          <w:b/>
          <w:iCs/>
          <w:noProof/>
          <w:sz w:val="24"/>
          <w:szCs w:val="24"/>
        </w:rPr>
        <w:t>3</w:t>
      </w:r>
      <w:r w:rsidR="000A2FE7" w:rsidRPr="00EA1BB2">
        <w:rPr>
          <w:rFonts w:ascii="Cambria" w:eastAsia="Calibri" w:hAnsi="Cambria" w:cs="Times New Roman"/>
          <w:b/>
          <w:iCs/>
          <w:sz w:val="24"/>
          <w:szCs w:val="24"/>
        </w:rPr>
        <w:fldChar w:fldCharType="end"/>
      </w:r>
      <w:r w:rsidR="000A2FE7" w:rsidRPr="00EA1BB2">
        <w:rPr>
          <w:rFonts w:ascii="Cambria" w:eastAsia="Calibri" w:hAnsi="Cambria" w:cs="Times New Roman"/>
          <w:b/>
          <w:iCs/>
          <w:sz w:val="24"/>
          <w:szCs w:val="24"/>
        </w:rPr>
        <w:noBreakHyphen/>
      </w:r>
      <w:r w:rsidR="000A2FE7" w:rsidRPr="00EA1BB2">
        <w:rPr>
          <w:rFonts w:ascii="Cambria" w:eastAsia="Calibri" w:hAnsi="Cambria" w:cs="Times New Roman"/>
          <w:b/>
          <w:iCs/>
          <w:sz w:val="24"/>
          <w:szCs w:val="24"/>
        </w:rPr>
        <w:fldChar w:fldCharType="begin"/>
      </w:r>
      <w:r w:rsidR="000A2FE7" w:rsidRPr="00EA1BB2">
        <w:rPr>
          <w:rFonts w:ascii="Cambria" w:eastAsia="Calibri" w:hAnsi="Cambria" w:cs="Times New Roman"/>
          <w:b/>
          <w:iCs/>
          <w:sz w:val="24"/>
          <w:szCs w:val="24"/>
        </w:rPr>
        <w:instrText xml:space="preserve"> SEQ Tabelul_nr. \* ARABIC \s 1 </w:instrText>
      </w:r>
      <w:r w:rsidR="000A2FE7" w:rsidRPr="00EA1BB2">
        <w:rPr>
          <w:rFonts w:ascii="Cambria" w:eastAsia="Calibri" w:hAnsi="Cambria" w:cs="Times New Roman"/>
          <w:b/>
          <w:iCs/>
          <w:sz w:val="24"/>
          <w:szCs w:val="24"/>
        </w:rPr>
        <w:fldChar w:fldCharType="separate"/>
      </w:r>
      <w:r w:rsidR="00567555">
        <w:rPr>
          <w:rFonts w:ascii="Cambria" w:eastAsia="Calibri" w:hAnsi="Cambria" w:cs="Times New Roman"/>
          <w:b/>
          <w:iCs/>
          <w:noProof/>
          <w:sz w:val="24"/>
          <w:szCs w:val="24"/>
        </w:rPr>
        <w:t>45</w:t>
      </w:r>
      <w:r w:rsidR="000A2FE7" w:rsidRPr="00EA1BB2">
        <w:rPr>
          <w:rFonts w:ascii="Cambria" w:eastAsia="Calibri" w:hAnsi="Cambria" w:cs="Times New Roman"/>
          <w:b/>
          <w:iCs/>
          <w:sz w:val="24"/>
          <w:szCs w:val="24"/>
        </w:rPr>
        <w:fldChar w:fldCharType="end"/>
      </w:r>
      <w:bookmarkEnd w:id="209"/>
      <w:r w:rsidRPr="00EA1BB2">
        <w:rPr>
          <w:rFonts w:ascii="Cambria" w:eastAsia="Calibri" w:hAnsi="Cambria" w:cs="Times New Roman"/>
          <w:b/>
          <w:iCs/>
          <w:sz w:val="24"/>
          <w:szCs w:val="24"/>
        </w:rPr>
        <w:t xml:space="preserve"> - </w:t>
      </w:r>
      <w:r w:rsidRPr="00EA1BB2">
        <w:rPr>
          <w:rFonts w:ascii="Cambria" w:eastAsia="Calibri" w:hAnsi="Cambria" w:cs="Times New Roman"/>
          <w:b/>
          <w:sz w:val="24"/>
          <w:szCs w:val="24"/>
        </w:rPr>
        <w:t>Cantită</w:t>
      </w:r>
      <w:r w:rsidR="00054880" w:rsidRPr="00EA1BB2">
        <w:rPr>
          <w:rFonts w:ascii="Cambria" w:eastAsia="Calibri" w:hAnsi="Cambria" w:cs="Times New Roman"/>
          <w:b/>
          <w:sz w:val="24"/>
          <w:szCs w:val="24"/>
        </w:rPr>
        <w:t>ț</w:t>
      </w:r>
      <w:r w:rsidRPr="00EA1BB2">
        <w:rPr>
          <w:rFonts w:ascii="Cambria" w:eastAsia="Calibri" w:hAnsi="Cambria" w:cs="Times New Roman"/>
          <w:b/>
          <w:sz w:val="24"/>
          <w:szCs w:val="24"/>
        </w:rPr>
        <w:t>ile de precipita</w:t>
      </w:r>
      <w:r w:rsidR="00054880" w:rsidRPr="00EA1BB2">
        <w:rPr>
          <w:rFonts w:ascii="Cambria" w:eastAsia="Calibri" w:hAnsi="Cambria" w:cs="Times New Roman"/>
          <w:b/>
          <w:sz w:val="24"/>
          <w:szCs w:val="24"/>
        </w:rPr>
        <w:t>ț</w:t>
      </w:r>
      <w:r w:rsidRPr="00EA1BB2">
        <w:rPr>
          <w:rFonts w:ascii="Cambria" w:eastAsia="Calibri" w:hAnsi="Cambria" w:cs="Times New Roman"/>
          <w:b/>
          <w:sz w:val="24"/>
          <w:szCs w:val="24"/>
        </w:rPr>
        <w:t>ii medii lunare (mm) înregistrate, în perioada 1990-2016 comparativ cu perioada 1974 – 1990, la sta</w:t>
      </w:r>
      <w:r w:rsidR="00054880" w:rsidRPr="00EA1BB2">
        <w:rPr>
          <w:rFonts w:ascii="Cambria" w:eastAsia="Calibri" w:hAnsi="Cambria" w:cs="Times New Roman"/>
          <w:b/>
          <w:sz w:val="24"/>
          <w:szCs w:val="24"/>
        </w:rPr>
        <w:t>ț</w:t>
      </w:r>
      <w:r w:rsidRPr="00EA1BB2">
        <w:rPr>
          <w:rFonts w:ascii="Cambria" w:eastAsia="Calibri" w:hAnsi="Cambria" w:cs="Times New Roman"/>
          <w:b/>
          <w:sz w:val="24"/>
          <w:szCs w:val="24"/>
        </w:rPr>
        <w:t>ia meteorologică Brăila</w:t>
      </w:r>
      <w:bookmarkEnd w:id="210"/>
    </w:p>
    <w:tbl>
      <w:tblPr>
        <w:tblStyle w:val="TableGrid121"/>
        <w:tblW w:w="10065" w:type="dxa"/>
        <w:tblInd w:w="-289" w:type="dxa"/>
        <w:tblLayout w:type="fixed"/>
        <w:tblLook w:val="04A0" w:firstRow="1" w:lastRow="0" w:firstColumn="1" w:lastColumn="0" w:noHBand="0" w:noVBand="1"/>
      </w:tblPr>
      <w:tblGrid>
        <w:gridCol w:w="1560"/>
        <w:gridCol w:w="709"/>
        <w:gridCol w:w="709"/>
        <w:gridCol w:w="745"/>
        <w:gridCol w:w="672"/>
        <w:gridCol w:w="27"/>
        <w:gridCol w:w="682"/>
        <w:gridCol w:w="709"/>
        <w:gridCol w:w="708"/>
        <w:gridCol w:w="709"/>
        <w:gridCol w:w="709"/>
        <w:gridCol w:w="709"/>
        <w:gridCol w:w="708"/>
        <w:gridCol w:w="709"/>
      </w:tblGrid>
      <w:tr w:rsidR="00A77366" w:rsidRPr="00EA1BB2" w14:paraId="20017CE0" w14:textId="77777777" w:rsidTr="00A25848">
        <w:trPr>
          <w:trHeight w:val="79"/>
        </w:trPr>
        <w:tc>
          <w:tcPr>
            <w:tcW w:w="1560" w:type="dxa"/>
            <w:shd w:val="clear" w:color="auto" w:fill="BDD6EE" w:themeFill="accent1" w:themeFillTint="66"/>
          </w:tcPr>
          <w:p w14:paraId="1DF6B5A7" w14:textId="77777777" w:rsidR="00A77366" w:rsidRPr="00EA1BB2" w:rsidRDefault="00A77366" w:rsidP="00A25848">
            <w:pPr>
              <w:spacing w:line="360" w:lineRule="auto"/>
              <w:jc w:val="center"/>
              <w:rPr>
                <w:rFonts w:ascii="Cambria" w:eastAsia="SimSun" w:hAnsi="Cambria"/>
                <w:b/>
                <w:sz w:val="24"/>
                <w:szCs w:val="24"/>
              </w:rPr>
            </w:pPr>
            <w:r w:rsidRPr="00EA1BB2">
              <w:rPr>
                <w:rFonts w:ascii="Cambria" w:eastAsia="SimSun" w:hAnsi="Cambria"/>
                <w:b/>
                <w:sz w:val="24"/>
                <w:szCs w:val="24"/>
              </w:rPr>
              <w:t>Luna</w:t>
            </w:r>
          </w:p>
        </w:tc>
        <w:tc>
          <w:tcPr>
            <w:tcW w:w="709" w:type="dxa"/>
            <w:shd w:val="clear" w:color="auto" w:fill="BDD6EE" w:themeFill="accent1" w:themeFillTint="66"/>
            <w:vAlign w:val="center"/>
          </w:tcPr>
          <w:p w14:paraId="1CA38663" w14:textId="77777777" w:rsidR="00A77366" w:rsidRPr="00EA1BB2" w:rsidRDefault="00A77366" w:rsidP="00A25848">
            <w:pPr>
              <w:spacing w:line="360" w:lineRule="auto"/>
              <w:jc w:val="center"/>
              <w:rPr>
                <w:rFonts w:ascii="Cambria" w:eastAsia="SimSun" w:hAnsi="Cambria"/>
                <w:b/>
                <w:sz w:val="24"/>
                <w:szCs w:val="24"/>
              </w:rPr>
            </w:pPr>
            <w:r w:rsidRPr="00EA1BB2">
              <w:rPr>
                <w:rFonts w:ascii="Cambria" w:eastAsia="SimSun" w:hAnsi="Cambria"/>
                <w:b/>
                <w:sz w:val="24"/>
                <w:szCs w:val="24"/>
              </w:rPr>
              <w:t>I</w:t>
            </w:r>
          </w:p>
        </w:tc>
        <w:tc>
          <w:tcPr>
            <w:tcW w:w="709" w:type="dxa"/>
            <w:shd w:val="clear" w:color="auto" w:fill="BDD6EE" w:themeFill="accent1" w:themeFillTint="66"/>
            <w:vAlign w:val="center"/>
          </w:tcPr>
          <w:p w14:paraId="486738B7" w14:textId="77777777" w:rsidR="00A77366" w:rsidRPr="00EA1BB2" w:rsidRDefault="00A77366" w:rsidP="00A25848">
            <w:pPr>
              <w:spacing w:line="360" w:lineRule="auto"/>
              <w:jc w:val="center"/>
              <w:rPr>
                <w:rFonts w:ascii="Cambria" w:eastAsia="SimSun" w:hAnsi="Cambria"/>
                <w:b/>
                <w:sz w:val="24"/>
                <w:szCs w:val="24"/>
              </w:rPr>
            </w:pPr>
            <w:r w:rsidRPr="00EA1BB2">
              <w:rPr>
                <w:rFonts w:ascii="Cambria" w:eastAsia="SimSun" w:hAnsi="Cambria"/>
                <w:b/>
                <w:sz w:val="24"/>
                <w:szCs w:val="24"/>
              </w:rPr>
              <w:t>II</w:t>
            </w:r>
          </w:p>
        </w:tc>
        <w:tc>
          <w:tcPr>
            <w:tcW w:w="745" w:type="dxa"/>
            <w:shd w:val="clear" w:color="auto" w:fill="BDD6EE" w:themeFill="accent1" w:themeFillTint="66"/>
            <w:vAlign w:val="center"/>
          </w:tcPr>
          <w:p w14:paraId="3AF79986" w14:textId="77777777" w:rsidR="00A77366" w:rsidRPr="00EA1BB2" w:rsidRDefault="00A77366" w:rsidP="00A25848">
            <w:pPr>
              <w:spacing w:line="360" w:lineRule="auto"/>
              <w:jc w:val="center"/>
              <w:rPr>
                <w:rFonts w:ascii="Cambria" w:eastAsia="SimSun" w:hAnsi="Cambria"/>
                <w:b/>
                <w:sz w:val="24"/>
                <w:szCs w:val="24"/>
              </w:rPr>
            </w:pPr>
            <w:r w:rsidRPr="00EA1BB2">
              <w:rPr>
                <w:rFonts w:ascii="Cambria" w:eastAsia="SimSun" w:hAnsi="Cambria"/>
                <w:b/>
                <w:sz w:val="24"/>
                <w:szCs w:val="24"/>
              </w:rPr>
              <w:t>III</w:t>
            </w:r>
          </w:p>
        </w:tc>
        <w:tc>
          <w:tcPr>
            <w:tcW w:w="699" w:type="dxa"/>
            <w:gridSpan w:val="2"/>
            <w:shd w:val="clear" w:color="auto" w:fill="BDD6EE" w:themeFill="accent1" w:themeFillTint="66"/>
            <w:vAlign w:val="center"/>
          </w:tcPr>
          <w:p w14:paraId="47C989BD" w14:textId="77777777" w:rsidR="00A77366" w:rsidRPr="00EA1BB2" w:rsidRDefault="00A77366" w:rsidP="00A25848">
            <w:pPr>
              <w:spacing w:line="360" w:lineRule="auto"/>
              <w:jc w:val="center"/>
              <w:rPr>
                <w:rFonts w:ascii="Cambria" w:eastAsia="SimSun" w:hAnsi="Cambria"/>
                <w:b/>
                <w:sz w:val="24"/>
                <w:szCs w:val="24"/>
              </w:rPr>
            </w:pPr>
            <w:r w:rsidRPr="00EA1BB2">
              <w:rPr>
                <w:rFonts w:ascii="Cambria" w:eastAsia="SimSun" w:hAnsi="Cambria"/>
                <w:b/>
                <w:sz w:val="24"/>
                <w:szCs w:val="24"/>
              </w:rPr>
              <w:t>IV</w:t>
            </w:r>
          </w:p>
        </w:tc>
        <w:tc>
          <w:tcPr>
            <w:tcW w:w="682" w:type="dxa"/>
            <w:shd w:val="clear" w:color="auto" w:fill="BDD6EE" w:themeFill="accent1" w:themeFillTint="66"/>
            <w:vAlign w:val="center"/>
          </w:tcPr>
          <w:p w14:paraId="19B5EC42" w14:textId="77777777" w:rsidR="00A77366" w:rsidRPr="00EA1BB2" w:rsidRDefault="00A77366" w:rsidP="00A25848">
            <w:pPr>
              <w:spacing w:line="360" w:lineRule="auto"/>
              <w:jc w:val="center"/>
              <w:rPr>
                <w:rFonts w:ascii="Cambria" w:eastAsia="SimSun" w:hAnsi="Cambria"/>
                <w:b/>
                <w:sz w:val="24"/>
                <w:szCs w:val="24"/>
              </w:rPr>
            </w:pPr>
            <w:r w:rsidRPr="00EA1BB2">
              <w:rPr>
                <w:rFonts w:ascii="Cambria" w:eastAsia="SimSun" w:hAnsi="Cambria"/>
                <w:b/>
                <w:sz w:val="24"/>
                <w:szCs w:val="24"/>
              </w:rPr>
              <w:t>V</w:t>
            </w:r>
          </w:p>
        </w:tc>
        <w:tc>
          <w:tcPr>
            <w:tcW w:w="709" w:type="dxa"/>
            <w:shd w:val="clear" w:color="auto" w:fill="BDD6EE" w:themeFill="accent1" w:themeFillTint="66"/>
            <w:vAlign w:val="center"/>
          </w:tcPr>
          <w:p w14:paraId="73355639" w14:textId="77777777" w:rsidR="00A77366" w:rsidRPr="00EA1BB2" w:rsidRDefault="00A77366" w:rsidP="00A25848">
            <w:pPr>
              <w:spacing w:line="360" w:lineRule="auto"/>
              <w:jc w:val="center"/>
              <w:rPr>
                <w:rFonts w:ascii="Cambria" w:eastAsia="SimSun" w:hAnsi="Cambria"/>
                <w:b/>
                <w:sz w:val="24"/>
                <w:szCs w:val="24"/>
              </w:rPr>
            </w:pPr>
            <w:r w:rsidRPr="00EA1BB2">
              <w:rPr>
                <w:rFonts w:ascii="Cambria" w:eastAsia="SimSun" w:hAnsi="Cambria"/>
                <w:b/>
                <w:sz w:val="24"/>
                <w:szCs w:val="24"/>
              </w:rPr>
              <w:t>VI</w:t>
            </w:r>
          </w:p>
        </w:tc>
        <w:tc>
          <w:tcPr>
            <w:tcW w:w="708" w:type="dxa"/>
            <w:shd w:val="clear" w:color="auto" w:fill="BDD6EE" w:themeFill="accent1" w:themeFillTint="66"/>
            <w:vAlign w:val="center"/>
          </w:tcPr>
          <w:p w14:paraId="6039B607" w14:textId="77777777" w:rsidR="00A77366" w:rsidRPr="00EA1BB2" w:rsidRDefault="00A77366" w:rsidP="00A25848">
            <w:pPr>
              <w:spacing w:line="360" w:lineRule="auto"/>
              <w:jc w:val="center"/>
              <w:rPr>
                <w:rFonts w:ascii="Cambria" w:eastAsia="SimSun" w:hAnsi="Cambria"/>
                <w:b/>
                <w:sz w:val="24"/>
                <w:szCs w:val="24"/>
              </w:rPr>
            </w:pPr>
            <w:r w:rsidRPr="00EA1BB2">
              <w:rPr>
                <w:rFonts w:ascii="Cambria" w:eastAsia="SimSun" w:hAnsi="Cambria"/>
                <w:b/>
                <w:sz w:val="24"/>
                <w:szCs w:val="24"/>
              </w:rPr>
              <w:t>VII</w:t>
            </w:r>
          </w:p>
        </w:tc>
        <w:tc>
          <w:tcPr>
            <w:tcW w:w="709" w:type="dxa"/>
            <w:shd w:val="clear" w:color="auto" w:fill="BDD6EE" w:themeFill="accent1" w:themeFillTint="66"/>
            <w:vAlign w:val="center"/>
          </w:tcPr>
          <w:p w14:paraId="210904FC" w14:textId="77777777" w:rsidR="00A77366" w:rsidRPr="00EA1BB2" w:rsidRDefault="00A77366" w:rsidP="00A25848">
            <w:pPr>
              <w:spacing w:line="360" w:lineRule="auto"/>
              <w:jc w:val="center"/>
              <w:rPr>
                <w:rFonts w:ascii="Cambria" w:eastAsia="SimSun" w:hAnsi="Cambria"/>
                <w:b/>
                <w:sz w:val="24"/>
                <w:szCs w:val="24"/>
              </w:rPr>
            </w:pPr>
            <w:r w:rsidRPr="00EA1BB2">
              <w:rPr>
                <w:rFonts w:ascii="Cambria" w:eastAsia="SimSun" w:hAnsi="Cambria"/>
                <w:b/>
                <w:sz w:val="24"/>
                <w:szCs w:val="24"/>
              </w:rPr>
              <w:t>VIII</w:t>
            </w:r>
          </w:p>
        </w:tc>
        <w:tc>
          <w:tcPr>
            <w:tcW w:w="709" w:type="dxa"/>
            <w:shd w:val="clear" w:color="auto" w:fill="BDD6EE" w:themeFill="accent1" w:themeFillTint="66"/>
            <w:vAlign w:val="center"/>
          </w:tcPr>
          <w:p w14:paraId="7210F43C" w14:textId="77777777" w:rsidR="00A77366" w:rsidRPr="00EA1BB2" w:rsidRDefault="00A77366" w:rsidP="00A25848">
            <w:pPr>
              <w:spacing w:line="360" w:lineRule="auto"/>
              <w:jc w:val="center"/>
              <w:rPr>
                <w:rFonts w:ascii="Cambria" w:eastAsia="SimSun" w:hAnsi="Cambria"/>
                <w:b/>
                <w:sz w:val="24"/>
                <w:szCs w:val="24"/>
              </w:rPr>
            </w:pPr>
            <w:r w:rsidRPr="00EA1BB2">
              <w:rPr>
                <w:rFonts w:ascii="Cambria" w:eastAsia="SimSun" w:hAnsi="Cambria"/>
                <w:b/>
                <w:sz w:val="24"/>
                <w:szCs w:val="24"/>
              </w:rPr>
              <w:t>IX</w:t>
            </w:r>
          </w:p>
        </w:tc>
        <w:tc>
          <w:tcPr>
            <w:tcW w:w="709" w:type="dxa"/>
            <w:shd w:val="clear" w:color="auto" w:fill="BDD6EE" w:themeFill="accent1" w:themeFillTint="66"/>
            <w:vAlign w:val="center"/>
          </w:tcPr>
          <w:p w14:paraId="0F76A6F3" w14:textId="77777777" w:rsidR="00A77366" w:rsidRPr="00EA1BB2" w:rsidRDefault="00A77366" w:rsidP="00A25848">
            <w:pPr>
              <w:spacing w:line="360" w:lineRule="auto"/>
              <w:jc w:val="center"/>
              <w:rPr>
                <w:rFonts w:ascii="Cambria" w:eastAsia="SimSun" w:hAnsi="Cambria"/>
                <w:b/>
                <w:sz w:val="24"/>
                <w:szCs w:val="24"/>
              </w:rPr>
            </w:pPr>
            <w:r w:rsidRPr="00EA1BB2">
              <w:rPr>
                <w:rFonts w:ascii="Cambria" w:eastAsia="SimSun" w:hAnsi="Cambria"/>
                <w:b/>
                <w:sz w:val="24"/>
                <w:szCs w:val="24"/>
              </w:rPr>
              <w:t>X</w:t>
            </w:r>
          </w:p>
        </w:tc>
        <w:tc>
          <w:tcPr>
            <w:tcW w:w="708" w:type="dxa"/>
            <w:shd w:val="clear" w:color="auto" w:fill="BDD6EE" w:themeFill="accent1" w:themeFillTint="66"/>
            <w:vAlign w:val="center"/>
          </w:tcPr>
          <w:p w14:paraId="55EF6336" w14:textId="77777777" w:rsidR="00A77366" w:rsidRPr="00EA1BB2" w:rsidRDefault="00A77366" w:rsidP="00A25848">
            <w:pPr>
              <w:spacing w:line="360" w:lineRule="auto"/>
              <w:jc w:val="center"/>
              <w:rPr>
                <w:rFonts w:ascii="Cambria" w:eastAsia="SimSun" w:hAnsi="Cambria"/>
                <w:b/>
                <w:sz w:val="24"/>
                <w:szCs w:val="24"/>
              </w:rPr>
            </w:pPr>
            <w:r w:rsidRPr="00EA1BB2">
              <w:rPr>
                <w:rFonts w:ascii="Cambria" w:eastAsia="SimSun" w:hAnsi="Cambria"/>
                <w:b/>
                <w:sz w:val="24"/>
                <w:szCs w:val="24"/>
              </w:rPr>
              <w:t>XI</w:t>
            </w:r>
          </w:p>
        </w:tc>
        <w:tc>
          <w:tcPr>
            <w:tcW w:w="709" w:type="dxa"/>
            <w:shd w:val="clear" w:color="auto" w:fill="BDD6EE" w:themeFill="accent1" w:themeFillTint="66"/>
            <w:vAlign w:val="center"/>
          </w:tcPr>
          <w:p w14:paraId="5BBDEB87" w14:textId="77777777" w:rsidR="00A77366" w:rsidRPr="00EA1BB2" w:rsidRDefault="00A77366" w:rsidP="00A25848">
            <w:pPr>
              <w:spacing w:line="360" w:lineRule="auto"/>
              <w:jc w:val="center"/>
              <w:rPr>
                <w:rFonts w:ascii="Cambria" w:eastAsia="SimSun" w:hAnsi="Cambria"/>
                <w:b/>
                <w:sz w:val="24"/>
                <w:szCs w:val="24"/>
              </w:rPr>
            </w:pPr>
            <w:r w:rsidRPr="00EA1BB2">
              <w:rPr>
                <w:rFonts w:ascii="Cambria" w:eastAsia="SimSun" w:hAnsi="Cambria"/>
                <w:b/>
                <w:sz w:val="24"/>
                <w:szCs w:val="24"/>
              </w:rPr>
              <w:t>XII</w:t>
            </w:r>
          </w:p>
        </w:tc>
      </w:tr>
      <w:tr w:rsidR="00A77366" w:rsidRPr="00EA1BB2" w14:paraId="68D22026" w14:textId="77777777" w:rsidTr="00A25848">
        <w:tc>
          <w:tcPr>
            <w:tcW w:w="1560" w:type="dxa"/>
          </w:tcPr>
          <w:p w14:paraId="74206740" w14:textId="77777777" w:rsidR="00A77366" w:rsidRPr="00EA1BB2" w:rsidRDefault="00A77366" w:rsidP="00A25848">
            <w:pPr>
              <w:spacing w:line="360" w:lineRule="auto"/>
              <w:jc w:val="center"/>
              <w:rPr>
                <w:rFonts w:ascii="Cambria" w:eastAsia="SimSun" w:hAnsi="Cambria"/>
                <w:sz w:val="24"/>
                <w:szCs w:val="24"/>
              </w:rPr>
            </w:pPr>
            <w:r w:rsidRPr="00EA1BB2">
              <w:rPr>
                <w:rFonts w:ascii="Cambria" w:eastAsia="SimSun" w:hAnsi="Cambria"/>
                <w:sz w:val="24"/>
                <w:szCs w:val="24"/>
              </w:rPr>
              <w:t>1990-2016</w:t>
            </w:r>
          </w:p>
        </w:tc>
        <w:tc>
          <w:tcPr>
            <w:tcW w:w="709" w:type="dxa"/>
            <w:vAlign w:val="center"/>
          </w:tcPr>
          <w:p w14:paraId="1A260634" w14:textId="77777777" w:rsidR="00A77366" w:rsidRPr="00EA1BB2" w:rsidRDefault="00A77366" w:rsidP="00A25848">
            <w:pPr>
              <w:spacing w:line="360" w:lineRule="auto"/>
              <w:jc w:val="center"/>
              <w:rPr>
                <w:rFonts w:ascii="Cambria" w:eastAsia="SimSun" w:hAnsi="Cambria"/>
                <w:sz w:val="24"/>
                <w:szCs w:val="24"/>
              </w:rPr>
            </w:pPr>
            <w:r w:rsidRPr="00EA1BB2">
              <w:rPr>
                <w:rFonts w:ascii="Cambria" w:eastAsia="SimSun" w:hAnsi="Cambria"/>
                <w:sz w:val="24"/>
                <w:szCs w:val="24"/>
              </w:rPr>
              <w:t>30,2</w:t>
            </w:r>
          </w:p>
        </w:tc>
        <w:tc>
          <w:tcPr>
            <w:tcW w:w="709" w:type="dxa"/>
            <w:vAlign w:val="center"/>
          </w:tcPr>
          <w:p w14:paraId="3FC8A76C" w14:textId="77777777" w:rsidR="00A77366" w:rsidRPr="00EA1BB2" w:rsidRDefault="00A77366" w:rsidP="00A25848">
            <w:pPr>
              <w:spacing w:line="360" w:lineRule="auto"/>
              <w:jc w:val="center"/>
              <w:rPr>
                <w:rFonts w:ascii="Cambria" w:eastAsia="SimSun" w:hAnsi="Cambria"/>
                <w:sz w:val="24"/>
                <w:szCs w:val="24"/>
              </w:rPr>
            </w:pPr>
            <w:r w:rsidRPr="00EA1BB2">
              <w:rPr>
                <w:rFonts w:ascii="Cambria" w:eastAsia="SimSun" w:hAnsi="Cambria"/>
                <w:sz w:val="24"/>
                <w:szCs w:val="24"/>
              </w:rPr>
              <w:t>21,2</w:t>
            </w:r>
          </w:p>
        </w:tc>
        <w:tc>
          <w:tcPr>
            <w:tcW w:w="745" w:type="dxa"/>
            <w:vAlign w:val="center"/>
          </w:tcPr>
          <w:p w14:paraId="0FCBAC5C" w14:textId="77777777" w:rsidR="00A77366" w:rsidRPr="00EA1BB2" w:rsidRDefault="00A77366" w:rsidP="00A25848">
            <w:pPr>
              <w:spacing w:line="360" w:lineRule="auto"/>
              <w:jc w:val="center"/>
              <w:rPr>
                <w:rFonts w:ascii="Cambria" w:eastAsia="SimSun" w:hAnsi="Cambria"/>
                <w:sz w:val="24"/>
                <w:szCs w:val="24"/>
              </w:rPr>
            </w:pPr>
            <w:r w:rsidRPr="00EA1BB2">
              <w:rPr>
                <w:rFonts w:ascii="Cambria" w:eastAsia="SimSun" w:hAnsi="Cambria"/>
                <w:sz w:val="24"/>
                <w:szCs w:val="24"/>
              </w:rPr>
              <w:t>30,5</w:t>
            </w:r>
          </w:p>
        </w:tc>
        <w:tc>
          <w:tcPr>
            <w:tcW w:w="672" w:type="dxa"/>
            <w:vAlign w:val="center"/>
          </w:tcPr>
          <w:p w14:paraId="139FFBE6" w14:textId="77777777" w:rsidR="00A77366" w:rsidRPr="00EA1BB2" w:rsidRDefault="00A77366" w:rsidP="00A25848">
            <w:pPr>
              <w:spacing w:line="360" w:lineRule="auto"/>
              <w:jc w:val="center"/>
              <w:rPr>
                <w:rFonts w:ascii="Cambria" w:eastAsia="SimSun" w:hAnsi="Cambria"/>
                <w:sz w:val="24"/>
                <w:szCs w:val="24"/>
              </w:rPr>
            </w:pPr>
            <w:r w:rsidRPr="00EA1BB2">
              <w:rPr>
                <w:rFonts w:ascii="Cambria" w:eastAsia="SimSun" w:hAnsi="Cambria"/>
                <w:sz w:val="24"/>
                <w:szCs w:val="24"/>
              </w:rPr>
              <w:t>37,1</w:t>
            </w:r>
          </w:p>
        </w:tc>
        <w:tc>
          <w:tcPr>
            <w:tcW w:w="709" w:type="dxa"/>
            <w:gridSpan w:val="2"/>
            <w:vAlign w:val="center"/>
          </w:tcPr>
          <w:p w14:paraId="7B8F5C0D" w14:textId="77777777" w:rsidR="00A77366" w:rsidRPr="00EA1BB2" w:rsidRDefault="00A77366" w:rsidP="00A25848">
            <w:pPr>
              <w:spacing w:line="360" w:lineRule="auto"/>
              <w:jc w:val="center"/>
              <w:rPr>
                <w:rFonts w:ascii="Cambria" w:eastAsia="SimSun" w:hAnsi="Cambria"/>
                <w:sz w:val="24"/>
                <w:szCs w:val="24"/>
              </w:rPr>
            </w:pPr>
            <w:r w:rsidRPr="00EA1BB2">
              <w:rPr>
                <w:rFonts w:ascii="Cambria" w:eastAsia="SimSun" w:hAnsi="Cambria"/>
                <w:sz w:val="24"/>
                <w:szCs w:val="24"/>
              </w:rPr>
              <w:t>48,5</w:t>
            </w:r>
          </w:p>
        </w:tc>
        <w:tc>
          <w:tcPr>
            <w:tcW w:w="709" w:type="dxa"/>
            <w:vAlign w:val="center"/>
          </w:tcPr>
          <w:p w14:paraId="45CB5316" w14:textId="77777777" w:rsidR="00A77366" w:rsidRPr="00EA1BB2" w:rsidRDefault="00A77366" w:rsidP="00A25848">
            <w:pPr>
              <w:spacing w:line="360" w:lineRule="auto"/>
              <w:jc w:val="center"/>
              <w:rPr>
                <w:rFonts w:ascii="Cambria" w:eastAsia="SimSun" w:hAnsi="Cambria"/>
                <w:sz w:val="24"/>
                <w:szCs w:val="24"/>
              </w:rPr>
            </w:pPr>
            <w:r w:rsidRPr="00EA1BB2">
              <w:rPr>
                <w:rFonts w:ascii="Cambria" w:eastAsia="SimSun" w:hAnsi="Cambria"/>
                <w:sz w:val="24"/>
                <w:szCs w:val="24"/>
              </w:rPr>
              <w:t>56,9</w:t>
            </w:r>
          </w:p>
        </w:tc>
        <w:tc>
          <w:tcPr>
            <w:tcW w:w="708" w:type="dxa"/>
            <w:vAlign w:val="center"/>
          </w:tcPr>
          <w:p w14:paraId="243F5048" w14:textId="77777777" w:rsidR="00A77366" w:rsidRPr="00EA1BB2" w:rsidRDefault="00A77366" w:rsidP="00A25848">
            <w:pPr>
              <w:spacing w:line="360" w:lineRule="auto"/>
              <w:jc w:val="center"/>
              <w:rPr>
                <w:rFonts w:ascii="Cambria" w:eastAsia="SimSun" w:hAnsi="Cambria"/>
                <w:sz w:val="24"/>
                <w:szCs w:val="24"/>
              </w:rPr>
            </w:pPr>
            <w:r w:rsidRPr="00EA1BB2">
              <w:rPr>
                <w:rFonts w:ascii="Cambria" w:eastAsia="SimSun" w:hAnsi="Cambria"/>
                <w:sz w:val="24"/>
                <w:szCs w:val="24"/>
              </w:rPr>
              <w:t>46,0</w:t>
            </w:r>
          </w:p>
        </w:tc>
        <w:tc>
          <w:tcPr>
            <w:tcW w:w="709" w:type="dxa"/>
            <w:vAlign w:val="center"/>
          </w:tcPr>
          <w:p w14:paraId="2BF7931A" w14:textId="77777777" w:rsidR="00A77366" w:rsidRPr="00EA1BB2" w:rsidRDefault="00A77366" w:rsidP="00A25848">
            <w:pPr>
              <w:spacing w:line="360" w:lineRule="auto"/>
              <w:jc w:val="center"/>
              <w:rPr>
                <w:rFonts w:ascii="Cambria" w:eastAsia="SimSun" w:hAnsi="Cambria"/>
                <w:sz w:val="24"/>
                <w:szCs w:val="24"/>
              </w:rPr>
            </w:pPr>
            <w:r w:rsidRPr="00EA1BB2">
              <w:rPr>
                <w:rFonts w:ascii="Cambria" w:eastAsia="SimSun" w:hAnsi="Cambria"/>
                <w:sz w:val="24"/>
                <w:szCs w:val="24"/>
              </w:rPr>
              <w:t>38,6</w:t>
            </w:r>
          </w:p>
        </w:tc>
        <w:tc>
          <w:tcPr>
            <w:tcW w:w="709" w:type="dxa"/>
            <w:vAlign w:val="center"/>
          </w:tcPr>
          <w:p w14:paraId="53D32815" w14:textId="77777777" w:rsidR="00A77366" w:rsidRPr="00EA1BB2" w:rsidRDefault="00A77366" w:rsidP="00A25848">
            <w:pPr>
              <w:spacing w:line="360" w:lineRule="auto"/>
              <w:jc w:val="center"/>
              <w:rPr>
                <w:rFonts w:ascii="Cambria" w:eastAsia="SimSun" w:hAnsi="Cambria"/>
                <w:sz w:val="24"/>
                <w:szCs w:val="24"/>
              </w:rPr>
            </w:pPr>
            <w:r w:rsidRPr="00EA1BB2">
              <w:rPr>
                <w:rFonts w:ascii="Cambria" w:eastAsia="SimSun" w:hAnsi="Cambria"/>
                <w:sz w:val="24"/>
                <w:szCs w:val="24"/>
              </w:rPr>
              <w:t>42,2</w:t>
            </w:r>
          </w:p>
        </w:tc>
        <w:tc>
          <w:tcPr>
            <w:tcW w:w="709" w:type="dxa"/>
            <w:vAlign w:val="center"/>
          </w:tcPr>
          <w:p w14:paraId="66B58D16" w14:textId="77777777" w:rsidR="00A77366" w:rsidRPr="00EA1BB2" w:rsidRDefault="00A77366" w:rsidP="00A25848">
            <w:pPr>
              <w:spacing w:line="360" w:lineRule="auto"/>
              <w:jc w:val="center"/>
              <w:rPr>
                <w:rFonts w:ascii="Cambria" w:eastAsia="SimSun" w:hAnsi="Cambria"/>
                <w:sz w:val="24"/>
                <w:szCs w:val="24"/>
              </w:rPr>
            </w:pPr>
            <w:r w:rsidRPr="00EA1BB2">
              <w:rPr>
                <w:rFonts w:ascii="Cambria" w:eastAsia="SimSun" w:hAnsi="Cambria"/>
                <w:sz w:val="24"/>
                <w:szCs w:val="24"/>
              </w:rPr>
              <w:t>41,9</w:t>
            </w:r>
          </w:p>
        </w:tc>
        <w:tc>
          <w:tcPr>
            <w:tcW w:w="708" w:type="dxa"/>
            <w:vAlign w:val="center"/>
          </w:tcPr>
          <w:p w14:paraId="5DF26E91" w14:textId="77777777" w:rsidR="00A77366" w:rsidRPr="00EA1BB2" w:rsidRDefault="00A77366" w:rsidP="00A25848">
            <w:pPr>
              <w:spacing w:line="360" w:lineRule="auto"/>
              <w:jc w:val="center"/>
              <w:rPr>
                <w:rFonts w:ascii="Cambria" w:eastAsia="SimSun" w:hAnsi="Cambria"/>
                <w:sz w:val="24"/>
                <w:szCs w:val="24"/>
              </w:rPr>
            </w:pPr>
            <w:r w:rsidRPr="00EA1BB2">
              <w:rPr>
                <w:rFonts w:ascii="Cambria" w:eastAsia="SimSun" w:hAnsi="Cambria"/>
                <w:sz w:val="24"/>
                <w:szCs w:val="24"/>
              </w:rPr>
              <w:t>34,7</w:t>
            </w:r>
          </w:p>
        </w:tc>
        <w:tc>
          <w:tcPr>
            <w:tcW w:w="709" w:type="dxa"/>
            <w:vAlign w:val="center"/>
          </w:tcPr>
          <w:p w14:paraId="388887E5" w14:textId="77777777" w:rsidR="00A77366" w:rsidRPr="00EA1BB2" w:rsidRDefault="00A77366" w:rsidP="00A25848">
            <w:pPr>
              <w:spacing w:line="360" w:lineRule="auto"/>
              <w:jc w:val="center"/>
              <w:rPr>
                <w:rFonts w:ascii="Cambria" w:eastAsia="SimSun" w:hAnsi="Cambria"/>
                <w:sz w:val="24"/>
                <w:szCs w:val="24"/>
              </w:rPr>
            </w:pPr>
            <w:r w:rsidRPr="00EA1BB2">
              <w:rPr>
                <w:rFonts w:ascii="Cambria" w:eastAsia="SimSun" w:hAnsi="Cambria"/>
                <w:sz w:val="24"/>
                <w:szCs w:val="24"/>
              </w:rPr>
              <w:t>37,2</w:t>
            </w:r>
          </w:p>
        </w:tc>
      </w:tr>
      <w:tr w:rsidR="00A77366" w:rsidRPr="00EA1BB2" w14:paraId="48BB4F51" w14:textId="77777777" w:rsidTr="00A25848">
        <w:tc>
          <w:tcPr>
            <w:tcW w:w="1560" w:type="dxa"/>
          </w:tcPr>
          <w:p w14:paraId="60284857" w14:textId="77777777" w:rsidR="00A77366" w:rsidRPr="00EA1BB2" w:rsidRDefault="00A77366" w:rsidP="00A25848">
            <w:pPr>
              <w:spacing w:line="360" w:lineRule="auto"/>
              <w:jc w:val="center"/>
              <w:rPr>
                <w:rFonts w:ascii="Cambria" w:eastAsia="SimSun" w:hAnsi="Cambria"/>
                <w:sz w:val="24"/>
                <w:szCs w:val="24"/>
              </w:rPr>
            </w:pPr>
            <w:r w:rsidRPr="00EA1BB2">
              <w:rPr>
                <w:rFonts w:ascii="Cambria" w:eastAsia="SimSun" w:hAnsi="Cambria"/>
                <w:sz w:val="24"/>
                <w:szCs w:val="24"/>
              </w:rPr>
              <w:t>1974-1990</w:t>
            </w:r>
          </w:p>
        </w:tc>
        <w:tc>
          <w:tcPr>
            <w:tcW w:w="709" w:type="dxa"/>
            <w:vAlign w:val="center"/>
          </w:tcPr>
          <w:p w14:paraId="046C1916" w14:textId="77777777" w:rsidR="00A77366" w:rsidRPr="00EA1BB2" w:rsidRDefault="00A77366" w:rsidP="00A25848">
            <w:pPr>
              <w:spacing w:line="360" w:lineRule="auto"/>
              <w:jc w:val="center"/>
              <w:rPr>
                <w:rFonts w:ascii="Cambria" w:eastAsia="SimSun" w:hAnsi="Cambria"/>
                <w:sz w:val="24"/>
                <w:szCs w:val="24"/>
              </w:rPr>
            </w:pPr>
            <w:r w:rsidRPr="00EA1BB2">
              <w:rPr>
                <w:rFonts w:ascii="Cambria" w:eastAsia="SimSun" w:hAnsi="Cambria"/>
                <w:sz w:val="24"/>
                <w:szCs w:val="24"/>
              </w:rPr>
              <w:t>21,4</w:t>
            </w:r>
          </w:p>
        </w:tc>
        <w:tc>
          <w:tcPr>
            <w:tcW w:w="709" w:type="dxa"/>
            <w:vAlign w:val="center"/>
          </w:tcPr>
          <w:p w14:paraId="420B0E8C" w14:textId="77777777" w:rsidR="00A77366" w:rsidRPr="00EA1BB2" w:rsidRDefault="00A77366" w:rsidP="00A25848">
            <w:pPr>
              <w:spacing w:line="360" w:lineRule="auto"/>
              <w:jc w:val="center"/>
              <w:rPr>
                <w:rFonts w:ascii="Cambria" w:eastAsia="SimSun" w:hAnsi="Cambria"/>
                <w:sz w:val="24"/>
                <w:szCs w:val="24"/>
              </w:rPr>
            </w:pPr>
            <w:r w:rsidRPr="00EA1BB2">
              <w:rPr>
                <w:rFonts w:ascii="Cambria" w:eastAsia="SimSun" w:hAnsi="Cambria"/>
                <w:sz w:val="24"/>
                <w:szCs w:val="24"/>
              </w:rPr>
              <w:t>23,1</w:t>
            </w:r>
          </w:p>
        </w:tc>
        <w:tc>
          <w:tcPr>
            <w:tcW w:w="745" w:type="dxa"/>
            <w:vAlign w:val="center"/>
          </w:tcPr>
          <w:p w14:paraId="3D39FB7C" w14:textId="77777777" w:rsidR="00A77366" w:rsidRPr="00EA1BB2" w:rsidRDefault="00A77366" w:rsidP="00A25848">
            <w:pPr>
              <w:spacing w:line="360" w:lineRule="auto"/>
              <w:jc w:val="center"/>
              <w:rPr>
                <w:rFonts w:ascii="Cambria" w:eastAsia="SimSun" w:hAnsi="Cambria"/>
                <w:sz w:val="24"/>
                <w:szCs w:val="24"/>
              </w:rPr>
            </w:pPr>
            <w:r w:rsidRPr="00EA1BB2">
              <w:rPr>
                <w:rFonts w:ascii="Cambria" w:eastAsia="SimSun" w:hAnsi="Cambria"/>
                <w:sz w:val="24"/>
                <w:szCs w:val="24"/>
              </w:rPr>
              <w:t>24,7</w:t>
            </w:r>
          </w:p>
        </w:tc>
        <w:tc>
          <w:tcPr>
            <w:tcW w:w="672" w:type="dxa"/>
            <w:vAlign w:val="center"/>
          </w:tcPr>
          <w:p w14:paraId="747189BA" w14:textId="77777777" w:rsidR="00A77366" w:rsidRPr="00EA1BB2" w:rsidRDefault="00A77366" w:rsidP="00A25848">
            <w:pPr>
              <w:spacing w:line="360" w:lineRule="auto"/>
              <w:jc w:val="center"/>
              <w:rPr>
                <w:rFonts w:ascii="Cambria" w:eastAsia="SimSun" w:hAnsi="Cambria"/>
                <w:sz w:val="24"/>
                <w:szCs w:val="24"/>
              </w:rPr>
            </w:pPr>
            <w:r w:rsidRPr="00EA1BB2">
              <w:rPr>
                <w:rFonts w:ascii="Cambria" w:eastAsia="SimSun" w:hAnsi="Cambria"/>
                <w:sz w:val="24"/>
                <w:szCs w:val="24"/>
              </w:rPr>
              <w:t>35,2</w:t>
            </w:r>
          </w:p>
        </w:tc>
        <w:tc>
          <w:tcPr>
            <w:tcW w:w="709" w:type="dxa"/>
            <w:gridSpan w:val="2"/>
            <w:vAlign w:val="center"/>
          </w:tcPr>
          <w:p w14:paraId="42BDA1ED" w14:textId="77777777" w:rsidR="00A77366" w:rsidRPr="00EA1BB2" w:rsidRDefault="00A77366" w:rsidP="00A25848">
            <w:pPr>
              <w:spacing w:line="360" w:lineRule="auto"/>
              <w:jc w:val="center"/>
              <w:rPr>
                <w:rFonts w:ascii="Cambria" w:eastAsia="SimSun" w:hAnsi="Cambria"/>
                <w:sz w:val="24"/>
                <w:szCs w:val="24"/>
              </w:rPr>
            </w:pPr>
            <w:r w:rsidRPr="00EA1BB2">
              <w:rPr>
                <w:rFonts w:ascii="Cambria" w:eastAsia="SimSun" w:hAnsi="Cambria"/>
                <w:sz w:val="24"/>
                <w:szCs w:val="24"/>
              </w:rPr>
              <w:t>46,4</w:t>
            </w:r>
          </w:p>
        </w:tc>
        <w:tc>
          <w:tcPr>
            <w:tcW w:w="709" w:type="dxa"/>
            <w:vAlign w:val="center"/>
          </w:tcPr>
          <w:p w14:paraId="7FF9D696" w14:textId="77777777" w:rsidR="00A77366" w:rsidRPr="00EA1BB2" w:rsidRDefault="00A77366" w:rsidP="00A25848">
            <w:pPr>
              <w:spacing w:line="360" w:lineRule="auto"/>
              <w:jc w:val="center"/>
              <w:rPr>
                <w:rFonts w:ascii="Cambria" w:eastAsia="SimSun" w:hAnsi="Cambria"/>
                <w:sz w:val="24"/>
                <w:szCs w:val="24"/>
              </w:rPr>
            </w:pPr>
            <w:r w:rsidRPr="00EA1BB2">
              <w:rPr>
                <w:rFonts w:ascii="Cambria" w:eastAsia="SimSun" w:hAnsi="Cambria"/>
                <w:sz w:val="24"/>
                <w:szCs w:val="24"/>
              </w:rPr>
              <w:t>75,6</w:t>
            </w:r>
          </w:p>
        </w:tc>
        <w:tc>
          <w:tcPr>
            <w:tcW w:w="708" w:type="dxa"/>
            <w:vAlign w:val="center"/>
          </w:tcPr>
          <w:p w14:paraId="2EAA425D" w14:textId="77777777" w:rsidR="00A77366" w:rsidRPr="00EA1BB2" w:rsidRDefault="00A77366" w:rsidP="00A25848">
            <w:pPr>
              <w:spacing w:line="360" w:lineRule="auto"/>
              <w:jc w:val="center"/>
              <w:rPr>
                <w:rFonts w:ascii="Cambria" w:eastAsia="SimSun" w:hAnsi="Cambria"/>
                <w:sz w:val="24"/>
                <w:szCs w:val="24"/>
              </w:rPr>
            </w:pPr>
            <w:r w:rsidRPr="00EA1BB2">
              <w:rPr>
                <w:rFonts w:ascii="Cambria" w:eastAsia="SimSun" w:hAnsi="Cambria"/>
                <w:sz w:val="24"/>
                <w:szCs w:val="24"/>
              </w:rPr>
              <w:t>43,8</w:t>
            </w:r>
          </w:p>
        </w:tc>
        <w:tc>
          <w:tcPr>
            <w:tcW w:w="709" w:type="dxa"/>
            <w:vAlign w:val="center"/>
          </w:tcPr>
          <w:p w14:paraId="54C0A5A7" w14:textId="77777777" w:rsidR="00A77366" w:rsidRPr="00EA1BB2" w:rsidRDefault="00A77366" w:rsidP="00A25848">
            <w:pPr>
              <w:spacing w:line="360" w:lineRule="auto"/>
              <w:jc w:val="center"/>
              <w:rPr>
                <w:rFonts w:ascii="Cambria" w:eastAsia="SimSun" w:hAnsi="Cambria"/>
                <w:sz w:val="24"/>
                <w:szCs w:val="24"/>
              </w:rPr>
            </w:pPr>
            <w:r w:rsidRPr="00EA1BB2">
              <w:rPr>
                <w:rFonts w:ascii="Cambria" w:eastAsia="SimSun" w:hAnsi="Cambria"/>
                <w:sz w:val="24"/>
                <w:szCs w:val="24"/>
              </w:rPr>
              <w:t>35,8</w:t>
            </w:r>
          </w:p>
        </w:tc>
        <w:tc>
          <w:tcPr>
            <w:tcW w:w="709" w:type="dxa"/>
            <w:vAlign w:val="center"/>
          </w:tcPr>
          <w:p w14:paraId="7D9FD686" w14:textId="77777777" w:rsidR="00A77366" w:rsidRPr="00EA1BB2" w:rsidRDefault="00A77366" w:rsidP="00A25848">
            <w:pPr>
              <w:spacing w:line="360" w:lineRule="auto"/>
              <w:jc w:val="center"/>
              <w:rPr>
                <w:rFonts w:ascii="Cambria" w:eastAsia="SimSun" w:hAnsi="Cambria"/>
                <w:sz w:val="24"/>
                <w:szCs w:val="24"/>
              </w:rPr>
            </w:pPr>
            <w:r w:rsidRPr="00EA1BB2">
              <w:rPr>
                <w:rFonts w:ascii="Cambria" w:eastAsia="SimSun" w:hAnsi="Cambria"/>
                <w:sz w:val="24"/>
                <w:szCs w:val="24"/>
              </w:rPr>
              <w:t>31,9</w:t>
            </w:r>
          </w:p>
        </w:tc>
        <w:tc>
          <w:tcPr>
            <w:tcW w:w="709" w:type="dxa"/>
            <w:vAlign w:val="center"/>
          </w:tcPr>
          <w:p w14:paraId="77F5D13B" w14:textId="77777777" w:rsidR="00A77366" w:rsidRPr="00EA1BB2" w:rsidRDefault="00A77366" w:rsidP="00A25848">
            <w:pPr>
              <w:spacing w:line="360" w:lineRule="auto"/>
              <w:jc w:val="center"/>
              <w:rPr>
                <w:rFonts w:ascii="Cambria" w:eastAsia="SimSun" w:hAnsi="Cambria"/>
                <w:sz w:val="24"/>
                <w:szCs w:val="24"/>
              </w:rPr>
            </w:pPr>
            <w:r w:rsidRPr="00EA1BB2">
              <w:rPr>
                <w:rFonts w:ascii="Cambria" w:eastAsia="SimSun" w:hAnsi="Cambria"/>
                <w:sz w:val="24"/>
                <w:szCs w:val="24"/>
              </w:rPr>
              <w:t>28,2</w:t>
            </w:r>
          </w:p>
        </w:tc>
        <w:tc>
          <w:tcPr>
            <w:tcW w:w="708" w:type="dxa"/>
            <w:vAlign w:val="center"/>
          </w:tcPr>
          <w:p w14:paraId="2C68BCB2" w14:textId="77777777" w:rsidR="00A77366" w:rsidRPr="00EA1BB2" w:rsidRDefault="00A77366" w:rsidP="00A25848">
            <w:pPr>
              <w:spacing w:line="360" w:lineRule="auto"/>
              <w:jc w:val="center"/>
              <w:rPr>
                <w:rFonts w:ascii="Cambria" w:eastAsia="SimSun" w:hAnsi="Cambria"/>
                <w:sz w:val="24"/>
                <w:szCs w:val="24"/>
              </w:rPr>
            </w:pPr>
            <w:r w:rsidRPr="00EA1BB2">
              <w:rPr>
                <w:rFonts w:ascii="Cambria" w:eastAsia="SimSun" w:hAnsi="Cambria"/>
                <w:sz w:val="24"/>
                <w:szCs w:val="24"/>
              </w:rPr>
              <w:t>32,6</w:t>
            </w:r>
          </w:p>
        </w:tc>
        <w:tc>
          <w:tcPr>
            <w:tcW w:w="709" w:type="dxa"/>
            <w:vAlign w:val="center"/>
          </w:tcPr>
          <w:p w14:paraId="491BC0AC" w14:textId="77777777" w:rsidR="00A77366" w:rsidRPr="00EA1BB2" w:rsidRDefault="00A77366" w:rsidP="00A25848">
            <w:pPr>
              <w:spacing w:line="360" w:lineRule="auto"/>
              <w:jc w:val="center"/>
              <w:rPr>
                <w:rFonts w:ascii="Cambria" w:eastAsia="SimSun" w:hAnsi="Cambria"/>
                <w:sz w:val="24"/>
                <w:szCs w:val="24"/>
              </w:rPr>
            </w:pPr>
            <w:r w:rsidRPr="00EA1BB2">
              <w:rPr>
                <w:rFonts w:ascii="Cambria" w:eastAsia="SimSun" w:hAnsi="Cambria"/>
                <w:sz w:val="24"/>
                <w:szCs w:val="24"/>
              </w:rPr>
              <w:t>28,9</w:t>
            </w:r>
          </w:p>
        </w:tc>
      </w:tr>
    </w:tbl>
    <w:p w14:paraId="54DE9F2E" w14:textId="77777777" w:rsidR="00A77366" w:rsidRPr="00EA1BB2" w:rsidRDefault="00A77366" w:rsidP="00A77366">
      <w:pPr>
        <w:jc w:val="both"/>
        <w:rPr>
          <w:rFonts w:ascii="Cambria" w:eastAsia="Times New Roman" w:hAnsi="Cambria" w:cs="Times New Roman"/>
          <w:sz w:val="24"/>
          <w:szCs w:val="24"/>
        </w:rPr>
      </w:pPr>
      <w:r w:rsidRPr="00EA1BB2">
        <w:rPr>
          <w:rFonts w:ascii="Cambria" w:eastAsia="Times New Roman" w:hAnsi="Cambria" w:cs="Times New Roman"/>
          <w:sz w:val="24"/>
          <w:szCs w:val="24"/>
        </w:rPr>
        <w:t>Sursa: ANM</w:t>
      </w:r>
    </w:p>
    <w:p w14:paraId="7B8D8FDC" w14:textId="77777777" w:rsidR="00A77366" w:rsidRPr="00EA1BB2" w:rsidRDefault="00A77366" w:rsidP="00A77366">
      <w:pPr>
        <w:spacing w:line="360" w:lineRule="auto"/>
        <w:jc w:val="both"/>
        <w:rPr>
          <w:rFonts w:ascii="Cambria" w:eastAsia="Times New Roman" w:hAnsi="Cambria" w:cs="Times New Roman"/>
          <w:sz w:val="24"/>
          <w:szCs w:val="24"/>
        </w:rPr>
      </w:pPr>
    </w:p>
    <w:p w14:paraId="00D4D733" w14:textId="4F4C2954" w:rsidR="00A77366" w:rsidRPr="00EA1BB2" w:rsidRDefault="00A77366" w:rsidP="00A77366">
      <w:pPr>
        <w:keepNext/>
        <w:spacing w:line="360" w:lineRule="auto"/>
        <w:ind w:firstLine="708"/>
        <w:jc w:val="both"/>
        <w:rPr>
          <w:rFonts w:ascii="Cambria" w:eastAsia="Calibri" w:hAnsi="Cambria" w:cs="Times New Roman"/>
          <w:b/>
          <w:iCs/>
          <w:sz w:val="24"/>
          <w:szCs w:val="24"/>
        </w:rPr>
      </w:pPr>
      <w:bookmarkStart w:id="211" w:name="_Toc450759418"/>
      <w:bookmarkStart w:id="212" w:name="_Toc524966229"/>
      <w:r w:rsidRPr="00EA1BB2">
        <w:rPr>
          <w:rFonts w:ascii="Cambria" w:eastAsia="Calibri" w:hAnsi="Cambria" w:cs="Times New Roman"/>
          <w:b/>
          <w:iCs/>
          <w:sz w:val="24"/>
          <w:szCs w:val="24"/>
        </w:rPr>
        <w:lastRenderedPageBreak/>
        <w:t xml:space="preserve">Figura nr. </w:t>
      </w:r>
      <w:r w:rsidR="00280BC9" w:rsidRPr="00EA1BB2">
        <w:rPr>
          <w:rFonts w:ascii="Cambria" w:eastAsia="Calibri" w:hAnsi="Cambria" w:cs="Times New Roman"/>
          <w:b/>
          <w:iCs/>
          <w:sz w:val="24"/>
          <w:szCs w:val="24"/>
        </w:rPr>
        <w:fldChar w:fldCharType="begin"/>
      </w:r>
      <w:r w:rsidR="00BA6FA3" w:rsidRPr="00EA1BB2">
        <w:rPr>
          <w:rFonts w:ascii="Cambria" w:eastAsia="Calibri" w:hAnsi="Cambria" w:cs="Times New Roman"/>
          <w:b/>
          <w:iCs/>
          <w:sz w:val="24"/>
          <w:szCs w:val="24"/>
        </w:rPr>
        <w:instrText xml:space="preserve"> STYLEREF 1 \s </w:instrText>
      </w:r>
      <w:r w:rsidR="00280BC9" w:rsidRPr="00EA1BB2">
        <w:rPr>
          <w:rFonts w:ascii="Cambria" w:eastAsia="Calibri" w:hAnsi="Cambria" w:cs="Times New Roman"/>
          <w:b/>
          <w:iCs/>
          <w:sz w:val="24"/>
          <w:szCs w:val="24"/>
        </w:rPr>
        <w:fldChar w:fldCharType="separate"/>
      </w:r>
      <w:r w:rsidR="00567555">
        <w:rPr>
          <w:rFonts w:ascii="Cambria" w:eastAsia="Calibri" w:hAnsi="Cambria" w:cs="Times New Roman"/>
          <w:b/>
          <w:iCs/>
          <w:noProof/>
          <w:sz w:val="24"/>
          <w:szCs w:val="24"/>
        </w:rPr>
        <w:t>3</w:t>
      </w:r>
      <w:r w:rsidR="00280BC9" w:rsidRPr="00EA1BB2">
        <w:rPr>
          <w:rFonts w:ascii="Cambria" w:eastAsia="Calibri" w:hAnsi="Cambria" w:cs="Times New Roman"/>
          <w:b/>
          <w:iCs/>
          <w:sz w:val="24"/>
          <w:szCs w:val="24"/>
        </w:rPr>
        <w:fldChar w:fldCharType="end"/>
      </w:r>
      <w:r w:rsidR="00BA6FA3" w:rsidRPr="00EA1BB2">
        <w:rPr>
          <w:rFonts w:ascii="Cambria" w:eastAsia="Calibri" w:hAnsi="Cambria" w:cs="Times New Roman"/>
          <w:b/>
          <w:iCs/>
          <w:sz w:val="24"/>
          <w:szCs w:val="24"/>
        </w:rPr>
        <w:noBreakHyphen/>
      </w:r>
      <w:r w:rsidR="00280BC9" w:rsidRPr="00EA1BB2">
        <w:rPr>
          <w:rFonts w:ascii="Cambria" w:eastAsia="Calibri" w:hAnsi="Cambria" w:cs="Times New Roman"/>
          <w:b/>
          <w:iCs/>
          <w:sz w:val="24"/>
          <w:szCs w:val="24"/>
        </w:rPr>
        <w:fldChar w:fldCharType="begin"/>
      </w:r>
      <w:r w:rsidR="00BA6FA3" w:rsidRPr="00EA1BB2">
        <w:rPr>
          <w:rFonts w:ascii="Cambria" w:eastAsia="Calibri" w:hAnsi="Cambria" w:cs="Times New Roman"/>
          <w:b/>
          <w:iCs/>
          <w:sz w:val="24"/>
          <w:szCs w:val="24"/>
        </w:rPr>
        <w:instrText xml:space="preserve"> SEQ Figura_nr. \* ARABIC \s 1 </w:instrText>
      </w:r>
      <w:r w:rsidR="00280BC9" w:rsidRPr="00EA1BB2">
        <w:rPr>
          <w:rFonts w:ascii="Cambria" w:eastAsia="Calibri" w:hAnsi="Cambria" w:cs="Times New Roman"/>
          <w:b/>
          <w:iCs/>
          <w:sz w:val="24"/>
          <w:szCs w:val="24"/>
        </w:rPr>
        <w:fldChar w:fldCharType="separate"/>
      </w:r>
      <w:r w:rsidR="00567555">
        <w:rPr>
          <w:rFonts w:ascii="Cambria" w:eastAsia="Calibri" w:hAnsi="Cambria" w:cs="Times New Roman"/>
          <w:b/>
          <w:iCs/>
          <w:noProof/>
          <w:sz w:val="24"/>
          <w:szCs w:val="24"/>
        </w:rPr>
        <w:t>18</w:t>
      </w:r>
      <w:r w:rsidR="00280BC9" w:rsidRPr="00EA1BB2">
        <w:rPr>
          <w:rFonts w:ascii="Cambria" w:eastAsia="Calibri" w:hAnsi="Cambria" w:cs="Times New Roman"/>
          <w:b/>
          <w:iCs/>
          <w:sz w:val="24"/>
          <w:szCs w:val="24"/>
        </w:rPr>
        <w:fldChar w:fldCharType="end"/>
      </w:r>
      <w:r w:rsidRPr="00EA1BB2">
        <w:rPr>
          <w:rFonts w:ascii="Cambria" w:eastAsia="Calibri" w:hAnsi="Cambria" w:cs="Times New Roman"/>
          <w:b/>
          <w:iCs/>
          <w:sz w:val="24"/>
          <w:szCs w:val="24"/>
        </w:rPr>
        <w:t xml:space="preserve"> – </w:t>
      </w:r>
      <w:bookmarkEnd w:id="211"/>
      <w:r w:rsidRPr="00EA1BB2">
        <w:rPr>
          <w:rFonts w:ascii="Cambria" w:eastAsia="Calibri" w:hAnsi="Cambria" w:cs="Times New Roman"/>
          <w:b/>
          <w:iCs/>
          <w:sz w:val="24"/>
          <w:szCs w:val="24"/>
        </w:rPr>
        <w:t>Evolu</w:t>
      </w:r>
      <w:r w:rsidR="00054880" w:rsidRPr="00EA1BB2">
        <w:rPr>
          <w:rFonts w:ascii="Cambria" w:eastAsia="Calibri" w:hAnsi="Cambria" w:cs="Times New Roman"/>
          <w:b/>
          <w:iCs/>
          <w:sz w:val="24"/>
          <w:szCs w:val="24"/>
        </w:rPr>
        <w:t>ț</w:t>
      </w:r>
      <w:r w:rsidRPr="00EA1BB2">
        <w:rPr>
          <w:rFonts w:ascii="Cambria" w:eastAsia="Calibri" w:hAnsi="Cambria" w:cs="Times New Roman"/>
          <w:b/>
          <w:iCs/>
          <w:sz w:val="24"/>
          <w:szCs w:val="24"/>
        </w:rPr>
        <w:t>ia cantită</w:t>
      </w:r>
      <w:r w:rsidR="00054880" w:rsidRPr="00EA1BB2">
        <w:rPr>
          <w:rFonts w:ascii="Cambria" w:eastAsia="Calibri" w:hAnsi="Cambria" w:cs="Times New Roman"/>
          <w:b/>
          <w:iCs/>
          <w:sz w:val="24"/>
          <w:szCs w:val="24"/>
        </w:rPr>
        <w:t>ț</w:t>
      </w:r>
      <w:r w:rsidRPr="00EA1BB2">
        <w:rPr>
          <w:rFonts w:ascii="Cambria" w:eastAsia="Calibri" w:hAnsi="Cambria" w:cs="Times New Roman"/>
          <w:b/>
          <w:iCs/>
          <w:sz w:val="24"/>
          <w:szCs w:val="24"/>
        </w:rPr>
        <w:t>ii de precipita</w:t>
      </w:r>
      <w:r w:rsidR="00054880" w:rsidRPr="00EA1BB2">
        <w:rPr>
          <w:rFonts w:ascii="Cambria" w:eastAsia="Calibri" w:hAnsi="Cambria" w:cs="Times New Roman"/>
          <w:b/>
          <w:iCs/>
          <w:sz w:val="24"/>
          <w:szCs w:val="24"/>
        </w:rPr>
        <w:t>ț</w:t>
      </w:r>
      <w:r w:rsidRPr="00EA1BB2">
        <w:rPr>
          <w:rFonts w:ascii="Cambria" w:eastAsia="Calibri" w:hAnsi="Cambria" w:cs="Times New Roman"/>
          <w:b/>
          <w:iCs/>
          <w:sz w:val="24"/>
          <w:szCs w:val="24"/>
        </w:rPr>
        <w:t>ii medii lunare (mm) înregistrate, în perioada 1990-2016 comparativ cu perioada 1974 – 1990, la sta</w:t>
      </w:r>
      <w:r w:rsidR="00054880" w:rsidRPr="00EA1BB2">
        <w:rPr>
          <w:rFonts w:ascii="Cambria" w:eastAsia="Calibri" w:hAnsi="Cambria" w:cs="Times New Roman"/>
          <w:b/>
          <w:iCs/>
          <w:sz w:val="24"/>
          <w:szCs w:val="24"/>
        </w:rPr>
        <w:t>ț</w:t>
      </w:r>
      <w:r w:rsidRPr="00EA1BB2">
        <w:rPr>
          <w:rFonts w:ascii="Cambria" w:eastAsia="Calibri" w:hAnsi="Cambria" w:cs="Times New Roman"/>
          <w:b/>
          <w:iCs/>
          <w:sz w:val="24"/>
          <w:szCs w:val="24"/>
        </w:rPr>
        <w:t>ia meteorologică Brăila</w:t>
      </w:r>
      <w:bookmarkEnd w:id="212"/>
    </w:p>
    <w:p w14:paraId="00505EC7" w14:textId="77777777" w:rsidR="00A77366" w:rsidRPr="00EA1BB2" w:rsidRDefault="00A77366" w:rsidP="00A77366">
      <w:pPr>
        <w:spacing w:line="276" w:lineRule="auto"/>
        <w:jc w:val="both"/>
        <w:rPr>
          <w:rFonts w:ascii="Cambria" w:eastAsia="Times New Roman" w:hAnsi="Cambria" w:cs="Times New Roman"/>
          <w:sz w:val="24"/>
          <w:szCs w:val="24"/>
        </w:rPr>
      </w:pPr>
      <w:r w:rsidRPr="00EA1BB2">
        <w:rPr>
          <w:rFonts w:ascii="Cambria" w:eastAsia="Times New Roman" w:hAnsi="Cambria" w:cs="Times New Roman"/>
          <w:noProof/>
          <w:sz w:val="24"/>
          <w:szCs w:val="24"/>
          <w:lang w:val="en-US"/>
        </w:rPr>
        <w:drawing>
          <wp:inline distT="0" distB="0" distL="0" distR="0" wp14:anchorId="6178EB82" wp14:editId="76EFC9A4">
            <wp:extent cx="5652000" cy="2880000"/>
            <wp:effectExtent l="0" t="0" r="6350" b="15875"/>
            <wp:docPr id="230" name="Chart 2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2650A1F5" w14:textId="77777777" w:rsidR="00A77366" w:rsidRPr="00EA1BB2" w:rsidRDefault="00A77366" w:rsidP="00A77366">
      <w:pPr>
        <w:spacing w:line="276" w:lineRule="auto"/>
        <w:jc w:val="both"/>
        <w:rPr>
          <w:rFonts w:ascii="Cambria" w:eastAsia="Times New Roman" w:hAnsi="Cambria" w:cs="Times New Roman"/>
          <w:szCs w:val="24"/>
        </w:rPr>
      </w:pPr>
      <w:r w:rsidRPr="00EA1BB2">
        <w:rPr>
          <w:rFonts w:ascii="Cambria" w:eastAsia="Times New Roman" w:hAnsi="Cambria" w:cs="Times New Roman"/>
          <w:szCs w:val="24"/>
        </w:rPr>
        <w:t>Sursa: ANM</w:t>
      </w:r>
    </w:p>
    <w:p w14:paraId="0EA7D3E8" w14:textId="77777777" w:rsidR="00483744" w:rsidRPr="00EA1BB2" w:rsidRDefault="00483744" w:rsidP="00376DA9">
      <w:pPr>
        <w:spacing w:line="360" w:lineRule="auto"/>
        <w:ind w:firstLine="709"/>
        <w:jc w:val="both"/>
        <w:rPr>
          <w:rFonts w:ascii="Cambria" w:eastAsia="Calibri" w:hAnsi="Cambria" w:cs="Times New Roman"/>
          <w:sz w:val="24"/>
          <w:szCs w:val="24"/>
          <w:lang w:eastAsia="ro-RO"/>
        </w:rPr>
      </w:pPr>
    </w:p>
    <w:p w14:paraId="577924E6" w14:textId="77777777" w:rsidR="00A77366" w:rsidRPr="00EA1BB2" w:rsidRDefault="00A77366" w:rsidP="00A77366">
      <w:pPr>
        <w:spacing w:line="360" w:lineRule="auto"/>
        <w:ind w:firstLine="720"/>
        <w:jc w:val="both"/>
        <w:rPr>
          <w:rFonts w:ascii="Cambria" w:eastAsia="Times New Roman" w:hAnsi="Cambria" w:cs="Times New Roman"/>
          <w:sz w:val="24"/>
          <w:szCs w:val="24"/>
        </w:rPr>
      </w:pPr>
      <w:r w:rsidRPr="00EA1BB2">
        <w:rPr>
          <w:rFonts w:ascii="Cambria" w:eastAsia="Times New Roman" w:hAnsi="Cambria" w:cs="Times New Roman"/>
          <w:sz w:val="24"/>
          <w:szCs w:val="24"/>
        </w:rPr>
        <w:t>Din analiza datelor cu privire la media lunară a cantită</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 de precipita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 înregistrate la sta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ia meteorologică Brăila în perioada 1990 – 2016 se constată o tendin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ă de cre</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tere fa</w:t>
      </w:r>
      <w:r w:rsidR="00054880" w:rsidRPr="00EA1BB2">
        <w:rPr>
          <w:rFonts w:ascii="Cambria" w:eastAsia="Times New Roman" w:hAnsi="Cambria" w:cs="Times New Roman"/>
          <w:sz w:val="24"/>
          <w:szCs w:val="24"/>
        </w:rPr>
        <w:t>ț</w:t>
      </w:r>
      <w:r w:rsidR="008C63F2" w:rsidRPr="00EA1BB2">
        <w:rPr>
          <w:rFonts w:ascii="Cambria" w:eastAsia="Times New Roman" w:hAnsi="Cambria" w:cs="Times New Roman"/>
          <w:sz w:val="24"/>
          <w:szCs w:val="24"/>
        </w:rPr>
        <w:t>ă</w:t>
      </w:r>
      <w:r w:rsidRPr="00EA1BB2">
        <w:rPr>
          <w:rFonts w:ascii="Cambria" w:eastAsia="Times New Roman" w:hAnsi="Cambria" w:cs="Times New Roman"/>
          <w:sz w:val="24"/>
          <w:szCs w:val="24"/>
        </w:rPr>
        <w:t xml:space="preserve"> de perioada 1974-1990 cu excep</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ia lunilor februarie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iunie (figura nr. 3-</w:t>
      </w:r>
      <w:r w:rsidR="00483744" w:rsidRPr="00EA1BB2">
        <w:rPr>
          <w:rFonts w:ascii="Cambria" w:eastAsia="Times New Roman" w:hAnsi="Cambria" w:cs="Times New Roman"/>
          <w:sz w:val="24"/>
          <w:szCs w:val="24"/>
        </w:rPr>
        <w:t>1</w:t>
      </w:r>
      <w:r w:rsidR="00553937" w:rsidRPr="00EA1BB2">
        <w:rPr>
          <w:rFonts w:ascii="Cambria" w:eastAsia="Times New Roman" w:hAnsi="Cambria" w:cs="Times New Roman"/>
          <w:sz w:val="24"/>
          <w:szCs w:val="24"/>
        </w:rPr>
        <w:t>8</w:t>
      </w:r>
      <w:r w:rsidRPr="00EA1BB2">
        <w:rPr>
          <w:rFonts w:ascii="Cambria" w:eastAsia="Times New Roman" w:hAnsi="Cambria" w:cs="Times New Roman"/>
          <w:sz w:val="24"/>
          <w:szCs w:val="24"/>
        </w:rPr>
        <w:t>).</w:t>
      </w:r>
    </w:p>
    <w:p w14:paraId="5D897F8B" w14:textId="77777777" w:rsidR="00FB20CF" w:rsidRPr="00EA1BB2" w:rsidRDefault="00FB20CF" w:rsidP="00FB20CF">
      <w:pPr>
        <w:spacing w:line="360" w:lineRule="auto"/>
        <w:ind w:firstLine="709"/>
        <w:jc w:val="both"/>
        <w:rPr>
          <w:rFonts w:ascii="Cambria" w:eastAsia="Calibri" w:hAnsi="Cambria" w:cs="Times New Roman"/>
          <w:sz w:val="24"/>
          <w:szCs w:val="24"/>
          <w:lang w:eastAsia="ro-RO"/>
        </w:rPr>
      </w:pPr>
      <w:r w:rsidRPr="00EA1BB2">
        <w:rPr>
          <w:rFonts w:ascii="Cambria" w:eastAsia="Calibri" w:hAnsi="Cambria" w:cs="Times New Roman"/>
          <w:sz w:val="24"/>
          <w:szCs w:val="24"/>
          <w:lang w:eastAsia="ro-RO"/>
        </w:rPr>
        <w:t>Precipitațiile  în opoziție cu ceața, contribuie la dispersia și transportul poluanților la nivelul atmosferei, însă influențează negativ solul și apele, deoarece toți poluanții ajung la nivelul  acestor componenți, unde se infiltrează schimbând proprietățile lor, deci are loc un fenomen de poluare.</w:t>
      </w:r>
    </w:p>
    <w:p w14:paraId="7EEED83A" w14:textId="6E72E364" w:rsidR="00376DA9" w:rsidRPr="00EA1BB2" w:rsidRDefault="00376DA9" w:rsidP="00376DA9">
      <w:pPr>
        <w:spacing w:line="360" w:lineRule="auto"/>
        <w:ind w:firstLine="709"/>
        <w:jc w:val="both"/>
        <w:rPr>
          <w:rFonts w:ascii="Cambria" w:eastAsia="Calibri" w:hAnsi="Cambria" w:cs="Times New Roman"/>
          <w:sz w:val="24"/>
          <w:szCs w:val="24"/>
          <w:lang w:eastAsia="ro-RO"/>
        </w:rPr>
      </w:pPr>
      <w:r w:rsidRPr="00EA1BB2">
        <w:rPr>
          <w:rFonts w:ascii="Cambria" w:eastAsia="Calibri" w:hAnsi="Cambria" w:cs="Times New Roman"/>
          <w:sz w:val="24"/>
          <w:szCs w:val="24"/>
          <w:lang w:eastAsia="ro-RO"/>
        </w:rPr>
        <w:t>Cea</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 xml:space="preserve">a este un fenomen meteorologic care apare îndeosebi toamna </w:t>
      </w:r>
      <w:r w:rsidR="00054880" w:rsidRPr="00EA1BB2">
        <w:rPr>
          <w:rFonts w:ascii="Cambria" w:eastAsia="Calibri" w:hAnsi="Cambria" w:cs="Times New Roman"/>
          <w:sz w:val="24"/>
          <w:szCs w:val="24"/>
          <w:lang w:eastAsia="ro-RO"/>
        </w:rPr>
        <w:t>ș</w:t>
      </w:r>
      <w:r w:rsidRPr="00EA1BB2">
        <w:rPr>
          <w:rFonts w:ascii="Cambria" w:eastAsia="Calibri" w:hAnsi="Cambria" w:cs="Times New Roman"/>
          <w:sz w:val="24"/>
          <w:szCs w:val="24"/>
          <w:lang w:eastAsia="ro-RO"/>
        </w:rPr>
        <w:t>i primăvara. Prezen</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a ce</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ii are o importan</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ă deosebită în desfă</w:t>
      </w:r>
      <w:r w:rsidR="00054880" w:rsidRPr="00EA1BB2">
        <w:rPr>
          <w:rFonts w:ascii="Cambria" w:eastAsia="Calibri" w:hAnsi="Cambria" w:cs="Times New Roman"/>
          <w:sz w:val="24"/>
          <w:szCs w:val="24"/>
          <w:lang w:eastAsia="ro-RO"/>
        </w:rPr>
        <w:t>ș</w:t>
      </w:r>
      <w:r w:rsidRPr="00EA1BB2">
        <w:rPr>
          <w:rFonts w:ascii="Cambria" w:eastAsia="Calibri" w:hAnsi="Cambria" w:cs="Times New Roman"/>
          <w:sz w:val="24"/>
          <w:szCs w:val="24"/>
          <w:lang w:eastAsia="ro-RO"/>
        </w:rPr>
        <w:t xml:space="preserve">urarea traficului rutier </w:t>
      </w:r>
      <w:r w:rsidR="00054880" w:rsidRPr="00EA1BB2">
        <w:rPr>
          <w:rFonts w:ascii="Cambria" w:eastAsia="Calibri" w:hAnsi="Cambria" w:cs="Times New Roman"/>
          <w:sz w:val="24"/>
          <w:szCs w:val="24"/>
          <w:lang w:eastAsia="ro-RO"/>
        </w:rPr>
        <w:t>ș</w:t>
      </w:r>
      <w:r w:rsidRPr="00EA1BB2">
        <w:rPr>
          <w:rFonts w:ascii="Cambria" w:eastAsia="Calibri" w:hAnsi="Cambria" w:cs="Times New Roman"/>
          <w:sz w:val="24"/>
          <w:szCs w:val="24"/>
          <w:lang w:eastAsia="ro-RO"/>
        </w:rPr>
        <w:t>i maritim.</w:t>
      </w:r>
      <w:r w:rsidR="00BD06C5" w:rsidRPr="00EA1BB2">
        <w:rPr>
          <w:rFonts w:ascii="Cambria" w:eastAsia="Calibri" w:hAnsi="Cambria" w:cs="Times New Roman"/>
          <w:sz w:val="24"/>
          <w:szCs w:val="24"/>
          <w:lang w:eastAsia="ro-RO"/>
        </w:rPr>
        <w:t xml:space="preserve"> </w:t>
      </w:r>
      <w:r w:rsidRPr="00EA1BB2">
        <w:rPr>
          <w:rFonts w:ascii="Cambria" w:eastAsia="Calibri" w:hAnsi="Cambria" w:cs="Times New Roman"/>
          <w:sz w:val="24"/>
          <w:szCs w:val="24"/>
          <w:lang w:eastAsia="ro-RO"/>
        </w:rPr>
        <w:t>În mod normal, cea</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 xml:space="preserve">a </w:t>
      </w:r>
      <w:r w:rsidR="008C63F2" w:rsidRPr="00EA1BB2">
        <w:rPr>
          <w:rFonts w:ascii="Cambria" w:eastAsia="Calibri" w:hAnsi="Cambria" w:cs="Times New Roman"/>
          <w:sz w:val="24"/>
          <w:szCs w:val="24"/>
          <w:lang w:eastAsia="ro-RO"/>
        </w:rPr>
        <w:t xml:space="preserve">nu </w:t>
      </w:r>
      <w:r w:rsidRPr="00EA1BB2">
        <w:rPr>
          <w:rFonts w:ascii="Cambria" w:eastAsia="Calibri" w:hAnsi="Cambria" w:cs="Times New Roman"/>
          <w:sz w:val="24"/>
          <w:szCs w:val="24"/>
          <w:lang w:eastAsia="ro-RO"/>
        </w:rPr>
        <w:t>este nimic altceva decât o mare aglomerare de mici particule de apă aflate în suspensie în atmosferă, dar în imediata apropiere a solului. Conform standardelor meteorologice interna</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ionale, când într-o astfel de situa</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ie vizibilitatea orizontală scade sub valoarea de 1.000 de metri, se poate vorbi de instalarea ce</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ii.</w:t>
      </w:r>
    </w:p>
    <w:p w14:paraId="2BEA1605" w14:textId="77777777" w:rsidR="00376DA9" w:rsidRPr="00EA1BB2" w:rsidRDefault="00376DA9" w:rsidP="00376DA9">
      <w:pPr>
        <w:spacing w:line="360" w:lineRule="auto"/>
        <w:ind w:firstLine="709"/>
        <w:jc w:val="both"/>
        <w:rPr>
          <w:rFonts w:ascii="Cambria" w:eastAsia="Calibri" w:hAnsi="Cambria" w:cs="Times New Roman"/>
          <w:sz w:val="24"/>
          <w:szCs w:val="24"/>
          <w:lang w:eastAsia="ro-RO"/>
        </w:rPr>
      </w:pPr>
      <w:r w:rsidRPr="00EA1BB2">
        <w:rPr>
          <w:rFonts w:ascii="Cambria" w:eastAsia="Calibri" w:hAnsi="Cambria" w:cs="Times New Roman"/>
          <w:sz w:val="24"/>
          <w:szCs w:val="24"/>
          <w:lang w:eastAsia="ro-RO"/>
        </w:rPr>
        <w:t>Când în aer apare o anumită valoare a temperaturii, cantitatea de vapori din aer va cre</w:t>
      </w:r>
      <w:r w:rsidR="00054880" w:rsidRPr="00EA1BB2">
        <w:rPr>
          <w:rFonts w:ascii="Cambria" w:eastAsia="Calibri" w:hAnsi="Cambria" w:cs="Times New Roman"/>
          <w:sz w:val="24"/>
          <w:szCs w:val="24"/>
          <w:lang w:eastAsia="ro-RO"/>
        </w:rPr>
        <w:t>ș</w:t>
      </w:r>
      <w:r w:rsidRPr="00EA1BB2">
        <w:rPr>
          <w:rFonts w:ascii="Cambria" w:eastAsia="Calibri" w:hAnsi="Cambria" w:cs="Times New Roman"/>
          <w:sz w:val="24"/>
          <w:szCs w:val="24"/>
          <w:lang w:eastAsia="ro-RO"/>
        </w:rPr>
        <w:t xml:space="preserve">te, fenomene accelerate </w:t>
      </w:r>
      <w:r w:rsidR="00054880" w:rsidRPr="00EA1BB2">
        <w:rPr>
          <w:rFonts w:ascii="Cambria" w:eastAsia="Calibri" w:hAnsi="Cambria" w:cs="Times New Roman"/>
          <w:sz w:val="24"/>
          <w:szCs w:val="24"/>
          <w:lang w:eastAsia="ro-RO"/>
        </w:rPr>
        <w:t>ș</w:t>
      </w:r>
      <w:r w:rsidRPr="00EA1BB2">
        <w:rPr>
          <w:rFonts w:ascii="Cambria" w:eastAsia="Calibri" w:hAnsi="Cambria" w:cs="Times New Roman"/>
          <w:sz w:val="24"/>
          <w:szCs w:val="24"/>
          <w:lang w:eastAsia="ro-RO"/>
        </w:rPr>
        <w:t>i de evaporarea apei din sol, până când vaporii respectivi devin satura</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i. În această stare de suprasaturare, vaporii nu se mai află în stare gazoasă, ci încep să condenseze în mici picături de apă aflate în suspensie.</w:t>
      </w:r>
    </w:p>
    <w:p w14:paraId="4E5B757D" w14:textId="77777777" w:rsidR="00376DA9" w:rsidRPr="00EA1BB2" w:rsidRDefault="00376DA9" w:rsidP="00376DA9">
      <w:pPr>
        <w:spacing w:line="360" w:lineRule="auto"/>
        <w:ind w:firstLine="709"/>
        <w:jc w:val="both"/>
        <w:rPr>
          <w:rFonts w:ascii="Cambria" w:eastAsia="Calibri" w:hAnsi="Cambria" w:cs="Times New Roman"/>
          <w:sz w:val="24"/>
          <w:szCs w:val="24"/>
          <w:lang w:eastAsia="ro-RO"/>
        </w:rPr>
      </w:pPr>
      <w:r w:rsidRPr="00EA1BB2">
        <w:rPr>
          <w:rFonts w:ascii="Cambria" w:eastAsia="Calibri" w:hAnsi="Cambria" w:cs="Times New Roman"/>
          <w:sz w:val="24"/>
          <w:szCs w:val="24"/>
          <w:lang w:eastAsia="ro-RO"/>
        </w:rPr>
        <w:lastRenderedPageBreak/>
        <w:t>Originea ce</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 xml:space="preserve">ii mai poate avea </w:t>
      </w:r>
      <w:r w:rsidR="00054880" w:rsidRPr="00EA1BB2">
        <w:rPr>
          <w:rFonts w:ascii="Cambria" w:eastAsia="Calibri" w:hAnsi="Cambria" w:cs="Times New Roman"/>
          <w:sz w:val="24"/>
          <w:szCs w:val="24"/>
          <w:lang w:eastAsia="ro-RO"/>
        </w:rPr>
        <w:t>ș</w:t>
      </w:r>
      <w:r w:rsidRPr="00EA1BB2">
        <w:rPr>
          <w:rFonts w:ascii="Cambria" w:eastAsia="Calibri" w:hAnsi="Cambria" w:cs="Times New Roman"/>
          <w:sz w:val="24"/>
          <w:szCs w:val="24"/>
          <w:lang w:eastAsia="ro-RO"/>
        </w:rPr>
        <w:t>i o cauză dinamică, cu alte cuvinte, cea</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 xml:space="preserve">a mai apare </w:t>
      </w:r>
      <w:r w:rsidR="00054880" w:rsidRPr="00EA1BB2">
        <w:rPr>
          <w:rFonts w:ascii="Cambria" w:eastAsia="Calibri" w:hAnsi="Cambria" w:cs="Times New Roman"/>
          <w:sz w:val="24"/>
          <w:szCs w:val="24"/>
          <w:lang w:eastAsia="ro-RO"/>
        </w:rPr>
        <w:t>ș</w:t>
      </w:r>
      <w:r w:rsidRPr="00EA1BB2">
        <w:rPr>
          <w:rFonts w:ascii="Cambria" w:eastAsia="Calibri" w:hAnsi="Cambria" w:cs="Times New Roman"/>
          <w:sz w:val="24"/>
          <w:szCs w:val="24"/>
          <w:lang w:eastAsia="ro-RO"/>
        </w:rPr>
        <w:t>i când mase de aer mai calde sunt transportate de curen</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ii atmosferici peste mase de aer reci. În aceste condi</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ii apare iară</w:t>
      </w:r>
      <w:r w:rsidR="00054880" w:rsidRPr="00EA1BB2">
        <w:rPr>
          <w:rFonts w:ascii="Cambria" w:eastAsia="Calibri" w:hAnsi="Cambria" w:cs="Times New Roman"/>
          <w:sz w:val="24"/>
          <w:szCs w:val="24"/>
          <w:lang w:eastAsia="ro-RO"/>
        </w:rPr>
        <w:t>ș</w:t>
      </w:r>
      <w:r w:rsidRPr="00EA1BB2">
        <w:rPr>
          <w:rFonts w:ascii="Cambria" w:eastAsia="Calibri" w:hAnsi="Cambria" w:cs="Times New Roman"/>
          <w:sz w:val="24"/>
          <w:szCs w:val="24"/>
          <w:lang w:eastAsia="ro-RO"/>
        </w:rPr>
        <w:t>i fenomenul de evaporare condensată. Din aceste motive, cea</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 xml:space="preserve">a este mai frecventă toamna </w:t>
      </w:r>
      <w:r w:rsidR="00054880" w:rsidRPr="00EA1BB2">
        <w:rPr>
          <w:rFonts w:ascii="Cambria" w:eastAsia="Calibri" w:hAnsi="Cambria" w:cs="Times New Roman"/>
          <w:sz w:val="24"/>
          <w:szCs w:val="24"/>
          <w:lang w:eastAsia="ro-RO"/>
        </w:rPr>
        <w:t>ș</w:t>
      </w:r>
      <w:r w:rsidRPr="00EA1BB2">
        <w:rPr>
          <w:rFonts w:ascii="Cambria" w:eastAsia="Calibri" w:hAnsi="Cambria" w:cs="Times New Roman"/>
          <w:sz w:val="24"/>
          <w:szCs w:val="24"/>
          <w:lang w:eastAsia="ro-RO"/>
        </w:rPr>
        <w:t xml:space="preserve">i primăvara când temperaturile sunt mai scăzute </w:t>
      </w:r>
      <w:r w:rsidR="00054880" w:rsidRPr="00EA1BB2">
        <w:rPr>
          <w:rFonts w:ascii="Cambria" w:eastAsia="Calibri" w:hAnsi="Cambria" w:cs="Times New Roman"/>
          <w:sz w:val="24"/>
          <w:szCs w:val="24"/>
          <w:lang w:eastAsia="ro-RO"/>
        </w:rPr>
        <w:t>ș</w:t>
      </w:r>
      <w:r w:rsidRPr="00EA1BB2">
        <w:rPr>
          <w:rFonts w:ascii="Cambria" w:eastAsia="Calibri" w:hAnsi="Cambria" w:cs="Times New Roman"/>
          <w:sz w:val="24"/>
          <w:szCs w:val="24"/>
          <w:lang w:eastAsia="ro-RO"/>
        </w:rPr>
        <w:t xml:space="preserve">i vaporii se formează mai repede. </w:t>
      </w:r>
    </w:p>
    <w:p w14:paraId="25B714AD" w14:textId="77777777" w:rsidR="00A77366" w:rsidRPr="00EA1BB2" w:rsidRDefault="00A77366" w:rsidP="00A77366">
      <w:pPr>
        <w:spacing w:line="360" w:lineRule="auto"/>
        <w:ind w:firstLine="709"/>
        <w:jc w:val="both"/>
        <w:rPr>
          <w:rFonts w:ascii="Cambria" w:eastAsia="Calibri" w:hAnsi="Cambria" w:cs="Times New Roman"/>
          <w:sz w:val="24"/>
          <w:szCs w:val="24"/>
          <w:lang w:eastAsia="ro-RO"/>
        </w:rPr>
      </w:pPr>
      <w:r w:rsidRPr="00EA1BB2">
        <w:rPr>
          <w:rFonts w:ascii="Cambria" w:eastAsia="Calibri" w:hAnsi="Cambria" w:cs="Times New Roman"/>
          <w:sz w:val="24"/>
          <w:szCs w:val="24"/>
          <w:lang w:eastAsia="ro-RO"/>
        </w:rPr>
        <w:t>Cea</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 xml:space="preserve">a apare mai frecvent în văi, unde temperatura este mai scăzută </w:t>
      </w:r>
      <w:r w:rsidR="00054880" w:rsidRPr="00EA1BB2">
        <w:rPr>
          <w:rFonts w:ascii="Cambria" w:eastAsia="Calibri" w:hAnsi="Cambria" w:cs="Times New Roman"/>
          <w:sz w:val="24"/>
          <w:szCs w:val="24"/>
          <w:lang w:eastAsia="ro-RO"/>
        </w:rPr>
        <w:t>ș</w:t>
      </w:r>
      <w:r w:rsidRPr="00EA1BB2">
        <w:rPr>
          <w:rFonts w:ascii="Cambria" w:eastAsia="Calibri" w:hAnsi="Cambria" w:cs="Times New Roman"/>
          <w:sz w:val="24"/>
          <w:szCs w:val="24"/>
          <w:lang w:eastAsia="ro-RO"/>
        </w:rPr>
        <w:t>i umiditatea mai mare. De asemenea, cea</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a apare îndeosebi diminea</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 xml:space="preserve">a </w:t>
      </w:r>
      <w:r w:rsidR="00054880" w:rsidRPr="00EA1BB2">
        <w:rPr>
          <w:rFonts w:ascii="Cambria" w:eastAsia="Calibri" w:hAnsi="Cambria" w:cs="Times New Roman"/>
          <w:sz w:val="24"/>
          <w:szCs w:val="24"/>
          <w:lang w:eastAsia="ro-RO"/>
        </w:rPr>
        <w:t>ș</w:t>
      </w:r>
      <w:r w:rsidRPr="00EA1BB2">
        <w:rPr>
          <w:rFonts w:ascii="Cambria" w:eastAsia="Calibri" w:hAnsi="Cambria" w:cs="Times New Roman"/>
          <w:sz w:val="24"/>
          <w:szCs w:val="24"/>
          <w:lang w:eastAsia="ro-RO"/>
        </w:rPr>
        <w:t>i seara, când se observă inversiunile de masă termică. În mod obi</w:t>
      </w:r>
      <w:r w:rsidR="00054880" w:rsidRPr="00EA1BB2">
        <w:rPr>
          <w:rFonts w:ascii="Cambria" w:eastAsia="Calibri" w:hAnsi="Cambria" w:cs="Times New Roman"/>
          <w:sz w:val="24"/>
          <w:szCs w:val="24"/>
          <w:lang w:eastAsia="ro-RO"/>
        </w:rPr>
        <w:t>ș</w:t>
      </w:r>
      <w:r w:rsidRPr="00EA1BB2">
        <w:rPr>
          <w:rFonts w:ascii="Cambria" w:eastAsia="Calibri" w:hAnsi="Cambria" w:cs="Times New Roman"/>
          <w:sz w:val="24"/>
          <w:szCs w:val="24"/>
          <w:lang w:eastAsia="ro-RO"/>
        </w:rPr>
        <w:t>nuit, cea</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a este de fapt un nor aflat la altitudini atât de joase încât este în contact direct cu solul. Apari</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ia ce</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 xml:space="preserve">ii este, deci, favorizată de o anumită temperatură </w:t>
      </w:r>
      <w:r w:rsidR="00054880" w:rsidRPr="00EA1BB2">
        <w:rPr>
          <w:rFonts w:ascii="Cambria" w:eastAsia="Calibri" w:hAnsi="Cambria" w:cs="Times New Roman"/>
          <w:sz w:val="24"/>
          <w:szCs w:val="24"/>
          <w:lang w:eastAsia="ro-RO"/>
        </w:rPr>
        <w:t>ș</w:t>
      </w:r>
      <w:r w:rsidRPr="00EA1BB2">
        <w:rPr>
          <w:rFonts w:ascii="Cambria" w:eastAsia="Calibri" w:hAnsi="Cambria" w:cs="Times New Roman"/>
          <w:sz w:val="24"/>
          <w:szCs w:val="24"/>
          <w:lang w:eastAsia="ro-RO"/>
        </w:rPr>
        <w:t>i de absen</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a vântului.</w:t>
      </w:r>
    </w:p>
    <w:p w14:paraId="7BA109A2" w14:textId="77777777" w:rsidR="00376DA9" w:rsidRPr="00EA1BB2" w:rsidRDefault="00376DA9" w:rsidP="00376DA9">
      <w:pPr>
        <w:spacing w:line="360" w:lineRule="auto"/>
        <w:ind w:firstLine="709"/>
        <w:jc w:val="both"/>
        <w:rPr>
          <w:rFonts w:ascii="Cambria" w:eastAsia="Calibri" w:hAnsi="Cambria" w:cs="Times New Roman"/>
          <w:sz w:val="24"/>
          <w:szCs w:val="24"/>
          <w:lang w:eastAsia="ro-RO"/>
        </w:rPr>
      </w:pPr>
      <w:r w:rsidRPr="00EA1BB2">
        <w:rPr>
          <w:rFonts w:ascii="Cambria" w:eastAsia="Calibri" w:hAnsi="Cambria" w:cs="Times New Roman"/>
          <w:sz w:val="24"/>
          <w:szCs w:val="24"/>
          <w:lang w:eastAsia="ro-RO"/>
        </w:rPr>
        <w:t>Din analiza numărului lunar de zile cu fenomene de cea</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 xml:space="preserve">ă, în perioada 2012-2016, se poate observa ca lunile ianuarie </w:t>
      </w:r>
      <w:r w:rsidR="00054880" w:rsidRPr="00EA1BB2">
        <w:rPr>
          <w:rFonts w:ascii="Cambria" w:eastAsia="Calibri" w:hAnsi="Cambria" w:cs="Times New Roman"/>
          <w:sz w:val="24"/>
          <w:szCs w:val="24"/>
          <w:lang w:eastAsia="ro-RO"/>
        </w:rPr>
        <w:t>ș</w:t>
      </w:r>
      <w:r w:rsidRPr="00EA1BB2">
        <w:rPr>
          <w:rFonts w:ascii="Cambria" w:eastAsia="Calibri" w:hAnsi="Cambria" w:cs="Times New Roman"/>
          <w:sz w:val="24"/>
          <w:szCs w:val="24"/>
          <w:lang w:eastAsia="ro-RO"/>
        </w:rPr>
        <w:t>i decembrie sunt lunile cu cele mai multe zile cu cea</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ă.</w:t>
      </w:r>
    </w:p>
    <w:p w14:paraId="6BFB956B" w14:textId="77777777" w:rsidR="00376DA9" w:rsidRPr="00EA1BB2" w:rsidRDefault="00376DA9" w:rsidP="00376DA9">
      <w:pPr>
        <w:spacing w:line="360" w:lineRule="auto"/>
        <w:jc w:val="both"/>
        <w:rPr>
          <w:rFonts w:ascii="Cambria" w:eastAsia="Calibri" w:hAnsi="Cambria" w:cs="Times New Roman"/>
          <w:sz w:val="24"/>
          <w:szCs w:val="24"/>
          <w:lang w:eastAsia="ro-RO"/>
        </w:rPr>
      </w:pPr>
    </w:p>
    <w:p w14:paraId="2DA01698" w14:textId="49DB84B7" w:rsidR="00376DA9" w:rsidRPr="00EA1BB2" w:rsidRDefault="00376DA9" w:rsidP="00376DA9">
      <w:pPr>
        <w:pStyle w:val="Caption"/>
        <w:keepNext/>
        <w:spacing w:after="0" w:line="360" w:lineRule="auto"/>
        <w:ind w:firstLine="708"/>
        <w:jc w:val="both"/>
        <w:rPr>
          <w:rFonts w:ascii="Cambria" w:hAnsi="Cambria"/>
        </w:rPr>
      </w:pPr>
      <w:bookmarkStart w:id="213" w:name="_Toc524966230"/>
      <w:r w:rsidRPr="00EA1BB2">
        <w:rPr>
          <w:rFonts w:ascii="Cambria" w:hAnsi="Cambria"/>
        </w:rPr>
        <w:t xml:space="preserve">Figura nr. </w:t>
      </w:r>
      <w:r w:rsidR="00280BC9" w:rsidRPr="00EA1BB2">
        <w:rPr>
          <w:rFonts w:ascii="Cambria" w:hAnsi="Cambria"/>
        </w:rPr>
        <w:fldChar w:fldCharType="begin"/>
      </w:r>
      <w:r w:rsidR="00BA6FA3" w:rsidRPr="00EA1BB2">
        <w:rPr>
          <w:rFonts w:ascii="Cambria" w:hAnsi="Cambria"/>
        </w:rPr>
        <w:instrText xml:space="preserve"> STYLEREF 1 \s </w:instrText>
      </w:r>
      <w:r w:rsidR="00280BC9" w:rsidRPr="00EA1BB2">
        <w:rPr>
          <w:rFonts w:ascii="Cambria" w:hAnsi="Cambria"/>
        </w:rPr>
        <w:fldChar w:fldCharType="separate"/>
      </w:r>
      <w:r w:rsidR="00567555">
        <w:rPr>
          <w:rFonts w:ascii="Cambria" w:hAnsi="Cambria"/>
          <w:noProof/>
        </w:rPr>
        <w:t>3</w:t>
      </w:r>
      <w:r w:rsidR="00280BC9" w:rsidRPr="00EA1BB2">
        <w:rPr>
          <w:rFonts w:ascii="Cambria" w:hAnsi="Cambria"/>
        </w:rPr>
        <w:fldChar w:fldCharType="end"/>
      </w:r>
      <w:r w:rsidR="00BA6FA3" w:rsidRPr="00EA1BB2">
        <w:rPr>
          <w:rFonts w:ascii="Cambria" w:hAnsi="Cambria"/>
        </w:rPr>
        <w:noBreakHyphen/>
      </w:r>
      <w:r w:rsidR="00280BC9" w:rsidRPr="00EA1BB2">
        <w:rPr>
          <w:rFonts w:ascii="Cambria" w:hAnsi="Cambria"/>
        </w:rPr>
        <w:fldChar w:fldCharType="begin"/>
      </w:r>
      <w:r w:rsidR="00BA6FA3" w:rsidRPr="00EA1BB2">
        <w:rPr>
          <w:rFonts w:ascii="Cambria" w:hAnsi="Cambria"/>
        </w:rPr>
        <w:instrText xml:space="preserve"> SEQ Figura_nr. \* ARABIC \s 1 </w:instrText>
      </w:r>
      <w:r w:rsidR="00280BC9" w:rsidRPr="00EA1BB2">
        <w:rPr>
          <w:rFonts w:ascii="Cambria" w:hAnsi="Cambria"/>
        </w:rPr>
        <w:fldChar w:fldCharType="separate"/>
      </w:r>
      <w:r w:rsidR="00567555">
        <w:rPr>
          <w:rFonts w:ascii="Cambria" w:hAnsi="Cambria"/>
          <w:noProof/>
        </w:rPr>
        <w:t>19</w:t>
      </w:r>
      <w:r w:rsidR="00280BC9" w:rsidRPr="00EA1BB2">
        <w:rPr>
          <w:rFonts w:ascii="Cambria" w:hAnsi="Cambria"/>
        </w:rPr>
        <w:fldChar w:fldCharType="end"/>
      </w:r>
      <w:r w:rsidRPr="00EA1BB2">
        <w:rPr>
          <w:rFonts w:ascii="Cambria" w:hAnsi="Cambria"/>
        </w:rPr>
        <w:t xml:space="preserve"> – Numărul lunar de zile cu cea</w:t>
      </w:r>
      <w:r w:rsidR="00054880" w:rsidRPr="00EA1BB2">
        <w:rPr>
          <w:rFonts w:ascii="Cambria" w:hAnsi="Cambria"/>
        </w:rPr>
        <w:t>ț</w:t>
      </w:r>
      <w:r w:rsidRPr="00EA1BB2">
        <w:rPr>
          <w:rFonts w:ascii="Cambria" w:hAnsi="Cambria"/>
        </w:rPr>
        <w:t>ă din perioada 2012-2016 de la sta</w:t>
      </w:r>
      <w:r w:rsidR="00054880" w:rsidRPr="00EA1BB2">
        <w:rPr>
          <w:rFonts w:ascii="Cambria" w:hAnsi="Cambria"/>
        </w:rPr>
        <w:t>ț</w:t>
      </w:r>
      <w:r w:rsidRPr="00EA1BB2">
        <w:rPr>
          <w:rFonts w:ascii="Cambria" w:hAnsi="Cambria"/>
        </w:rPr>
        <w:t>ia meteorologică Brăila</w:t>
      </w:r>
      <w:bookmarkEnd w:id="213"/>
    </w:p>
    <w:p w14:paraId="718F8E45" w14:textId="77777777" w:rsidR="00376DA9" w:rsidRPr="00EA1BB2" w:rsidRDefault="00376DA9" w:rsidP="00376DA9">
      <w:pPr>
        <w:spacing w:line="276" w:lineRule="auto"/>
        <w:jc w:val="both"/>
        <w:rPr>
          <w:rFonts w:ascii="Cambria" w:eastAsia="Calibri" w:hAnsi="Cambria" w:cs="Times New Roman"/>
          <w:sz w:val="24"/>
          <w:szCs w:val="24"/>
          <w:lang w:eastAsia="ro-RO"/>
        </w:rPr>
      </w:pPr>
      <w:r w:rsidRPr="00EA1BB2">
        <w:rPr>
          <w:rFonts w:ascii="Cambria" w:eastAsia="Calibri" w:hAnsi="Cambria" w:cs="Times New Roman"/>
          <w:noProof/>
          <w:sz w:val="24"/>
          <w:szCs w:val="24"/>
          <w:lang w:val="en-US"/>
        </w:rPr>
        <w:drawing>
          <wp:inline distT="0" distB="0" distL="0" distR="0" wp14:anchorId="68179C9A" wp14:editId="6CDF9BE1">
            <wp:extent cx="5724000" cy="3200400"/>
            <wp:effectExtent l="0" t="0" r="10160" b="0"/>
            <wp:docPr id="245" name="Chart 2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2B51F117" w14:textId="77777777" w:rsidR="00376DA9" w:rsidRPr="00EA1BB2" w:rsidRDefault="00376DA9" w:rsidP="00376DA9">
      <w:pPr>
        <w:spacing w:line="276" w:lineRule="auto"/>
        <w:jc w:val="both"/>
        <w:rPr>
          <w:rFonts w:ascii="Cambria" w:eastAsia="Calibri" w:hAnsi="Cambria" w:cs="Times New Roman"/>
          <w:sz w:val="24"/>
          <w:szCs w:val="24"/>
          <w:lang w:eastAsia="ro-RO"/>
        </w:rPr>
      </w:pPr>
      <w:r w:rsidRPr="00EA1BB2">
        <w:rPr>
          <w:rFonts w:ascii="Cambria" w:eastAsia="Calibri" w:hAnsi="Cambria" w:cs="Times New Roman"/>
          <w:szCs w:val="24"/>
          <w:lang w:eastAsia="ro-RO"/>
        </w:rPr>
        <w:t>Sursa</w:t>
      </w:r>
      <w:r w:rsidR="00A77366" w:rsidRPr="00EA1BB2">
        <w:rPr>
          <w:rFonts w:ascii="Cambria" w:eastAsia="Calibri" w:hAnsi="Cambria" w:cs="Times New Roman"/>
          <w:szCs w:val="24"/>
          <w:lang w:eastAsia="ro-RO"/>
        </w:rPr>
        <w:t xml:space="preserve"> date</w:t>
      </w:r>
      <w:r w:rsidRPr="00EA1BB2">
        <w:rPr>
          <w:rFonts w:ascii="Cambria" w:eastAsia="Calibri" w:hAnsi="Cambria" w:cs="Times New Roman"/>
          <w:szCs w:val="24"/>
          <w:lang w:eastAsia="ro-RO"/>
        </w:rPr>
        <w:t>: ANM</w:t>
      </w:r>
    </w:p>
    <w:p w14:paraId="019ADB4C" w14:textId="77777777" w:rsidR="00376DA9" w:rsidRPr="00EA1BB2" w:rsidRDefault="00376DA9" w:rsidP="00376DA9">
      <w:pPr>
        <w:spacing w:line="360" w:lineRule="auto"/>
        <w:jc w:val="both"/>
        <w:rPr>
          <w:rFonts w:ascii="Cambria" w:eastAsia="Calibri" w:hAnsi="Cambria" w:cs="Times New Roman"/>
          <w:sz w:val="24"/>
          <w:szCs w:val="24"/>
          <w:lang w:eastAsia="ro-RO"/>
        </w:rPr>
      </w:pPr>
    </w:p>
    <w:p w14:paraId="2CDBA137" w14:textId="77777777" w:rsidR="00376DA9" w:rsidRPr="00EA1BB2" w:rsidRDefault="00376DA9" w:rsidP="00376DA9">
      <w:pPr>
        <w:spacing w:line="360" w:lineRule="auto"/>
        <w:ind w:firstLine="709"/>
        <w:jc w:val="both"/>
        <w:rPr>
          <w:rFonts w:ascii="Cambria" w:eastAsia="Calibri" w:hAnsi="Cambria" w:cs="Times New Roman"/>
          <w:sz w:val="24"/>
          <w:szCs w:val="24"/>
          <w:lang w:eastAsia="ro-RO"/>
        </w:rPr>
      </w:pPr>
      <w:r w:rsidRPr="00EA1BB2">
        <w:rPr>
          <w:rFonts w:ascii="Cambria" w:eastAsia="Calibri" w:hAnsi="Cambria" w:cs="Times New Roman"/>
          <w:sz w:val="24"/>
          <w:szCs w:val="24"/>
          <w:lang w:eastAsia="ro-RO"/>
        </w:rPr>
        <w:t>Vântul reprezintă deplasarea orizontală a maselor de aer atmosferic datorită, în principal, diferen</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elor de presiune dintre zonele de pe suprafa</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a solului, care se resimte până la aproximativ 1 km altitudine. Acesta se caracterizează prin direc</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 xml:space="preserve">ie </w:t>
      </w:r>
      <w:r w:rsidR="00054880" w:rsidRPr="00EA1BB2">
        <w:rPr>
          <w:rFonts w:ascii="Cambria" w:eastAsia="Calibri" w:hAnsi="Cambria" w:cs="Times New Roman"/>
          <w:sz w:val="24"/>
          <w:szCs w:val="24"/>
          <w:lang w:eastAsia="ro-RO"/>
        </w:rPr>
        <w:t>ș</w:t>
      </w:r>
      <w:r w:rsidRPr="00EA1BB2">
        <w:rPr>
          <w:rFonts w:ascii="Cambria" w:eastAsia="Calibri" w:hAnsi="Cambria" w:cs="Times New Roman"/>
          <w:sz w:val="24"/>
          <w:szCs w:val="24"/>
          <w:lang w:eastAsia="ro-RO"/>
        </w:rPr>
        <w:t>i viteză. Se consideră, conven</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ional, vânt dacă viteza curen</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 xml:space="preserve">ilor de aer este mai mare de 1,5 m/s. </w:t>
      </w:r>
      <w:r w:rsidRPr="00EA1BB2">
        <w:rPr>
          <w:rFonts w:ascii="Cambria" w:eastAsia="Calibri" w:hAnsi="Cambria" w:cs="Times New Roman"/>
          <w:sz w:val="24"/>
          <w:szCs w:val="24"/>
          <w:lang w:eastAsia="ro-RO"/>
        </w:rPr>
        <w:lastRenderedPageBreak/>
        <w:t>Pentru viteze mai mici se consideră calm atmosferic, perioadă în care vântul nu influen</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 xml:space="preserve">ează dispersia </w:t>
      </w:r>
      <w:r w:rsidR="00054880" w:rsidRPr="00EA1BB2">
        <w:rPr>
          <w:rFonts w:ascii="Cambria" w:eastAsia="Calibri" w:hAnsi="Cambria" w:cs="Times New Roman"/>
          <w:sz w:val="24"/>
          <w:szCs w:val="24"/>
          <w:lang w:eastAsia="ro-RO"/>
        </w:rPr>
        <w:t>ș</w:t>
      </w:r>
      <w:r w:rsidRPr="00EA1BB2">
        <w:rPr>
          <w:rFonts w:ascii="Cambria" w:eastAsia="Calibri" w:hAnsi="Cambria" w:cs="Times New Roman"/>
          <w:sz w:val="24"/>
          <w:szCs w:val="24"/>
          <w:lang w:eastAsia="ro-RO"/>
        </w:rPr>
        <w:t>i transportul poluan</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ilor. Direc</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ia vântului reprezintă direc</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ia de mi</w:t>
      </w:r>
      <w:r w:rsidR="00054880" w:rsidRPr="00EA1BB2">
        <w:rPr>
          <w:rFonts w:ascii="Cambria" w:eastAsia="Calibri" w:hAnsi="Cambria" w:cs="Times New Roman"/>
          <w:sz w:val="24"/>
          <w:szCs w:val="24"/>
          <w:lang w:eastAsia="ro-RO"/>
        </w:rPr>
        <w:t>ș</w:t>
      </w:r>
      <w:r w:rsidRPr="00EA1BB2">
        <w:rPr>
          <w:rFonts w:ascii="Cambria" w:eastAsia="Calibri" w:hAnsi="Cambria" w:cs="Times New Roman"/>
          <w:sz w:val="24"/>
          <w:szCs w:val="24"/>
          <w:lang w:eastAsia="ro-RO"/>
        </w:rPr>
        <w:t>care a poluan</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 xml:space="preserve">ilor, de aceea un vânt moderat va favoriza dispersia </w:t>
      </w:r>
      <w:r w:rsidR="00054880" w:rsidRPr="00EA1BB2">
        <w:rPr>
          <w:rFonts w:ascii="Cambria" w:eastAsia="Calibri" w:hAnsi="Cambria" w:cs="Times New Roman"/>
          <w:sz w:val="24"/>
          <w:szCs w:val="24"/>
          <w:lang w:eastAsia="ro-RO"/>
        </w:rPr>
        <w:t>ș</w:t>
      </w:r>
      <w:r w:rsidRPr="00EA1BB2">
        <w:rPr>
          <w:rFonts w:ascii="Cambria" w:eastAsia="Calibri" w:hAnsi="Cambria" w:cs="Times New Roman"/>
          <w:sz w:val="24"/>
          <w:szCs w:val="24"/>
          <w:lang w:eastAsia="ro-RO"/>
        </w:rPr>
        <w:t>i transportul poluan</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ilor mult mai bine decât unul cu viteză mare, care are tendin</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a de a re</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ine poluan</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ii la nivelul solului.</w:t>
      </w:r>
    </w:p>
    <w:p w14:paraId="00C49413" w14:textId="4B72E9BB" w:rsidR="00376DA9" w:rsidRPr="00EA1BB2" w:rsidRDefault="00376DA9" w:rsidP="00376DA9">
      <w:pPr>
        <w:spacing w:line="360" w:lineRule="auto"/>
        <w:ind w:firstLine="720"/>
        <w:jc w:val="both"/>
        <w:rPr>
          <w:rFonts w:ascii="Cambria" w:eastAsia="Times New Roman" w:hAnsi="Cambria" w:cs="Times New Roman"/>
          <w:sz w:val="24"/>
          <w:szCs w:val="24"/>
        </w:rPr>
      </w:pPr>
      <w:r w:rsidRPr="00EA1BB2">
        <w:rPr>
          <w:rFonts w:ascii="Cambria" w:eastAsia="Times New Roman" w:hAnsi="Cambria" w:cs="Times New Roman"/>
          <w:sz w:val="24"/>
          <w:szCs w:val="24"/>
        </w:rPr>
        <w:t>Vântul constituie un element climatic cu o mare influen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ă în condi</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iile morfografice ale Câmpiei Române orientale.</w:t>
      </w:r>
      <w:r w:rsidR="00BD06C5" w:rsidRPr="00EA1BB2">
        <w:rPr>
          <w:rFonts w:ascii="Cambria" w:eastAsia="Times New Roman" w:hAnsi="Cambria" w:cs="Times New Roman"/>
          <w:sz w:val="24"/>
          <w:szCs w:val="24"/>
        </w:rPr>
        <w:t xml:space="preserve"> </w:t>
      </w:r>
      <w:r w:rsidRPr="00EA1BB2">
        <w:rPr>
          <w:rFonts w:ascii="Cambria" w:eastAsia="Times New Roman" w:hAnsi="Cambria" w:cs="Times New Roman"/>
          <w:sz w:val="24"/>
          <w:szCs w:val="24"/>
        </w:rPr>
        <w:t xml:space="preserve">Vântul bate mai ales dinspre nord, având o viteză medie de 3,1 m/s. Lipsa obstacolelor orografice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forestiere face ca deplasarea maselor de aer să se facă cu u</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urin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ă, iar influen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ele asupra culturilor, căilor de comunica</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ie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localită</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ilor să fie mari.</w:t>
      </w:r>
    </w:p>
    <w:p w14:paraId="10715AC2" w14:textId="77777777" w:rsidR="00376DA9" w:rsidRPr="00EA1BB2" w:rsidRDefault="00376DA9" w:rsidP="00376DA9">
      <w:pPr>
        <w:spacing w:line="360" w:lineRule="auto"/>
        <w:ind w:firstLine="709"/>
        <w:jc w:val="both"/>
        <w:rPr>
          <w:rFonts w:ascii="Cambria" w:eastAsia="Calibri" w:hAnsi="Cambria" w:cs="Times New Roman"/>
          <w:sz w:val="24"/>
          <w:szCs w:val="24"/>
          <w:lang w:eastAsia="ro-RO"/>
        </w:rPr>
      </w:pPr>
      <w:r w:rsidRPr="00EA1BB2">
        <w:rPr>
          <w:rFonts w:ascii="Cambria" w:eastAsia="Calibri" w:hAnsi="Cambria" w:cs="Times New Roman"/>
          <w:sz w:val="24"/>
          <w:szCs w:val="24"/>
          <w:lang w:eastAsia="ro-RO"/>
        </w:rPr>
        <w:t>În perioada 2014-2016, vântul predominant a bătut din direc</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ia Nord cu o frecven</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 xml:space="preserve">ă cuprinsă între 25,5% </w:t>
      </w:r>
      <w:r w:rsidR="00054880" w:rsidRPr="00EA1BB2">
        <w:rPr>
          <w:rFonts w:ascii="Cambria" w:eastAsia="Calibri" w:hAnsi="Cambria" w:cs="Times New Roman"/>
          <w:sz w:val="24"/>
          <w:szCs w:val="24"/>
          <w:lang w:eastAsia="ro-RO"/>
        </w:rPr>
        <w:t>ș</w:t>
      </w:r>
      <w:r w:rsidRPr="00EA1BB2">
        <w:rPr>
          <w:rFonts w:ascii="Cambria" w:eastAsia="Calibri" w:hAnsi="Cambria" w:cs="Times New Roman"/>
          <w:sz w:val="24"/>
          <w:szCs w:val="24"/>
          <w:lang w:eastAsia="ro-RO"/>
        </w:rPr>
        <w:t>i 36,8%. Viteza medie anuală a vântului a fost cuprinsă între 2,3 – 2,6 m/s.</w:t>
      </w:r>
    </w:p>
    <w:p w14:paraId="67B388FF" w14:textId="77777777" w:rsidR="00376DA9" w:rsidRPr="00EA1BB2" w:rsidRDefault="00376DA9" w:rsidP="00376DA9">
      <w:pPr>
        <w:spacing w:line="360" w:lineRule="auto"/>
        <w:jc w:val="both"/>
        <w:rPr>
          <w:rFonts w:ascii="Cambria" w:eastAsia="Calibri" w:hAnsi="Cambria" w:cs="Times New Roman"/>
          <w:sz w:val="24"/>
          <w:szCs w:val="24"/>
          <w:lang w:eastAsia="ro-RO"/>
        </w:rPr>
      </w:pPr>
    </w:p>
    <w:p w14:paraId="6D9B9B64" w14:textId="604C3C24" w:rsidR="00376DA9" w:rsidRPr="00EA1BB2" w:rsidRDefault="00376DA9" w:rsidP="00376DA9">
      <w:pPr>
        <w:pStyle w:val="Caption"/>
        <w:keepNext/>
        <w:spacing w:after="0" w:line="360" w:lineRule="auto"/>
        <w:ind w:firstLine="708"/>
        <w:jc w:val="both"/>
        <w:rPr>
          <w:rFonts w:ascii="Cambria" w:hAnsi="Cambria"/>
        </w:rPr>
      </w:pPr>
      <w:bookmarkStart w:id="214" w:name="_Toc524966231"/>
      <w:r w:rsidRPr="00EA1BB2">
        <w:rPr>
          <w:rFonts w:ascii="Cambria" w:hAnsi="Cambria"/>
        </w:rPr>
        <w:t xml:space="preserve">Figura nr. </w:t>
      </w:r>
      <w:r w:rsidR="00280BC9" w:rsidRPr="00EA1BB2">
        <w:rPr>
          <w:rFonts w:ascii="Cambria" w:hAnsi="Cambria"/>
        </w:rPr>
        <w:fldChar w:fldCharType="begin"/>
      </w:r>
      <w:r w:rsidR="00BA6FA3" w:rsidRPr="00EA1BB2">
        <w:rPr>
          <w:rFonts w:ascii="Cambria" w:hAnsi="Cambria"/>
        </w:rPr>
        <w:instrText xml:space="preserve"> STYLEREF 1 \s </w:instrText>
      </w:r>
      <w:r w:rsidR="00280BC9" w:rsidRPr="00EA1BB2">
        <w:rPr>
          <w:rFonts w:ascii="Cambria" w:hAnsi="Cambria"/>
        </w:rPr>
        <w:fldChar w:fldCharType="separate"/>
      </w:r>
      <w:r w:rsidR="00567555">
        <w:rPr>
          <w:rFonts w:ascii="Cambria" w:hAnsi="Cambria"/>
          <w:noProof/>
        </w:rPr>
        <w:t>3</w:t>
      </w:r>
      <w:r w:rsidR="00280BC9" w:rsidRPr="00EA1BB2">
        <w:rPr>
          <w:rFonts w:ascii="Cambria" w:hAnsi="Cambria"/>
        </w:rPr>
        <w:fldChar w:fldCharType="end"/>
      </w:r>
      <w:r w:rsidR="00BA6FA3" w:rsidRPr="00EA1BB2">
        <w:rPr>
          <w:rFonts w:ascii="Cambria" w:hAnsi="Cambria"/>
        </w:rPr>
        <w:noBreakHyphen/>
      </w:r>
      <w:r w:rsidR="00280BC9" w:rsidRPr="00EA1BB2">
        <w:rPr>
          <w:rFonts w:ascii="Cambria" w:hAnsi="Cambria"/>
        </w:rPr>
        <w:fldChar w:fldCharType="begin"/>
      </w:r>
      <w:r w:rsidR="00BA6FA3" w:rsidRPr="00EA1BB2">
        <w:rPr>
          <w:rFonts w:ascii="Cambria" w:hAnsi="Cambria"/>
        </w:rPr>
        <w:instrText xml:space="preserve"> SEQ Figura_nr. \* ARABIC \s 1 </w:instrText>
      </w:r>
      <w:r w:rsidR="00280BC9" w:rsidRPr="00EA1BB2">
        <w:rPr>
          <w:rFonts w:ascii="Cambria" w:hAnsi="Cambria"/>
        </w:rPr>
        <w:fldChar w:fldCharType="separate"/>
      </w:r>
      <w:r w:rsidR="00567555">
        <w:rPr>
          <w:rFonts w:ascii="Cambria" w:hAnsi="Cambria"/>
          <w:noProof/>
        </w:rPr>
        <w:t>20</w:t>
      </w:r>
      <w:r w:rsidR="00280BC9" w:rsidRPr="00EA1BB2">
        <w:rPr>
          <w:rFonts w:ascii="Cambria" w:hAnsi="Cambria"/>
        </w:rPr>
        <w:fldChar w:fldCharType="end"/>
      </w:r>
      <w:r w:rsidRPr="00EA1BB2">
        <w:rPr>
          <w:rFonts w:ascii="Cambria" w:hAnsi="Cambria"/>
        </w:rPr>
        <w:t xml:space="preserve"> – </w:t>
      </w:r>
      <w:r w:rsidR="007E53C2" w:rsidRPr="00EA1BB2">
        <w:rPr>
          <w:rFonts w:ascii="Cambria" w:hAnsi="Cambria"/>
        </w:rPr>
        <w:t xml:space="preserve">Roza vântului pentru perioada 2014-2016 </w:t>
      </w:r>
      <w:r w:rsidRPr="00EA1BB2">
        <w:rPr>
          <w:rFonts w:ascii="Cambria" w:hAnsi="Cambria"/>
        </w:rPr>
        <w:t>la sta</w:t>
      </w:r>
      <w:r w:rsidR="00054880" w:rsidRPr="00EA1BB2">
        <w:rPr>
          <w:rFonts w:ascii="Cambria" w:hAnsi="Cambria"/>
        </w:rPr>
        <w:t>ț</w:t>
      </w:r>
      <w:r w:rsidRPr="00EA1BB2">
        <w:rPr>
          <w:rFonts w:ascii="Cambria" w:hAnsi="Cambria"/>
        </w:rPr>
        <w:t>ia meteorologică Brăila</w:t>
      </w:r>
      <w:bookmarkEnd w:id="214"/>
    </w:p>
    <w:p w14:paraId="05A535BB" w14:textId="77777777" w:rsidR="00376DA9" w:rsidRPr="00EA1BB2" w:rsidRDefault="00376DA9" w:rsidP="00376DA9">
      <w:pPr>
        <w:spacing w:line="276" w:lineRule="auto"/>
        <w:jc w:val="both"/>
        <w:rPr>
          <w:rFonts w:ascii="Cambria" w:eastAsia="Calibri" w:hAnsi="Cambria" w:cs="Times New Roman"/>
          <w:sz w:val="24"/>
          <w:szCs w:val="24"/>
          <w:lang w:eastAsia="ro-RO"/>
        </w:rPr>
      </w:pPr>
      <w:r w:rsidRPr="00EA1BB2">
        <w:rPr>
          <w:rFonts w:ascii="Cambria" w:eastAsia="Calibri" w:hAnsi="Cambria" w:cs="Times New Roman"/>
          <w:noProof/>
          <w:sz w:val="24"/>
          <w:szCs w:val="24"/>
          <w:lang w:val="en-US"/>
        </w:rPr>
        <w:drawing>
          <wp:inline distT="0" distB="0" distL="0" distR="0" wp14:anchorId="596C0212" wp14:editId="1F9845C8">
            <wp:extent cx="5715000" cy="3200400"/>
            <wp:effectExtent l="0" t="0" r="0" b="0"/>
            <wp:docPr id="246" name="Chart 2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2E0AF7B7" w14:textId="77777777" w:rsidR="00525DE6" w:rsidRPr="00EA1BB2" w:rsidRDefault="00525DE6" w:rsidP="00525DE6">
      <w:pPr>
        <w:jc w:val="both"/>
        <w:rPr>
          <w:rFonts w:ascii="Cambria" w:eastAsia="Times New Roman" w:hAnsi="Cambria" w:cs="Times New Roman"/>
          <w:szCs w:val="24"/>
        </w:rPr>
      </w:pPr>
      <w:r w:rsidRPr="00EA1BB2">
        <w:rPr>
          <w:rFonts w:ascii="Cambria" w:eastAsia="Times New Roman" w:hAnsi="Cambria" w:cs="Times New Roman"/>
          <w:szCs w:val="24"/>
        </w:rPr>
        <w:t xml:space="preserve">Notă: </w:t>
      </w:r>
      <w:r w:rsidR="00D45D75" w:rsidRPr="00EA1BB2">
        <w:rPr>
          <w:rFonts w:ascii="Cambria" w:eastAsia="Times New Roman" w:hAnsi="Cambria" w:cs="Times New Roman"/>
          <w:szCs w:val="24"/>
        </w:rPr>
        <w:t>pentru anul 2012 în lunile iulie și octombrie și anul 2013 în lunile iunie și iulie lipsesc înregistrări și nu se pot calcula mediile anuale.</w:t>
      </w:r>
    </w:p>
    <w:p w14:paraId="75CDE478" w14:textId="730877FF" w:rsidR="00376DA9" w:rsidRPr="00EA1BB2" w:rsidRDefault="00376DA9" w:rsidP="00FB20CF">
      <w:pPr>
        <w:spacing w:line="360" w:lineRule="auto"/>
        <w:jc w:val="both"/>
        <w:rPr>
          <w:rFonts w:ascii="Cambria" w:eastAsia="Calibri" w:hAnsi="Cambria" w:cs="Times New Roman"/>
          <w:szCs w:val="24"/>
          <w:lang w:eastAsia="ro-RO"/>
        </w:rPr>
      </w:pPr>
      <w:r w:rsidRPr="00EA1BB2">
        <w:rPr>
          <w:rFonts w:ascii="Cambria" w:eastAsia="Calibri" w:hAnsi="Cambria" w:cs="Times New Roman"/>
          <w:szCs w:val="24"/>
          <w:lang w:eastAsia="ro-RO"/>
        </w:rPr>
        <w:t>Sursa</w:t>
      </w:r>
      <w:r w:rsidR="00201364" w:rsidRPr="00EA1BB2">
        <w:rPr>
          <w:rFonts w:ascii="Cambria" w:eastAsia="Calibri" w:hAnsi="Cambria" w:cs="Times New Roman"/>
          <w:szCs w:val="24"/>
          <w:lang w:eastAsia="ro-RO"/>
        </w:rPr>
        <w:t xml:space="preserve"> date</w:t>
      </w:r>
      <w:r w:rsidRPr="00EA1BB2">
        <w:rPr>
          <w:rFonts w:ascii="Cambria" w:eastAsia="Calibri" w:hAnsi="Cambria" w:cs="Times New Roman"/>
          <w:szCs w:val="24"/>
          <w:lang w:eastAsia="ro-RO"/>
        </w:rPr>
        <w:t>: ANM</w:t>
      </w:r>
    </w:p>
    <w:p w14:paraId="26F06973" w14:textId="77777777" w:rsidR="00444EE2" w:rsidRPr="00EA1BB2" w:rsidRDefault="00444EE2" w:rsidP="00444EE2">
      <w:pPr>
        <w:jc w:val="both"/>
        <w:rPr>
          <w:rFonts w:ascii="Cambria" w:eastAsia="Calibri" w:hAnsi="Cambria" w:cs="Times New Roman"/>
          <w:szCs w:val="24"/>
          <w:lang w:eastAsia="ro-RO"/>
        </w:rPr>
      </w:pPr>
    </w:p>
    <w:p w14:paraId="0555F55D" w14:textId="0C6294E6" w:rsidR="00376DA9" w:rsidRPr="00EA1BB2" w:rsidRDefault="00376DA9" w:rsidP="00444EE2">
      <w:pPr>
        <w:spacing w:line="360" w:lineRule="auto"/>
        <w:ind w:firstLine="720"/>
        <w:jc w:val="both"/>
        <w:rPr>
          <w:rFonts w:ascii="Cambria" w:eastAsia="Calibri" w:hAnsi="Cambria" w:cs="Times New Roman"/>
          <w:sz w:val="24"/>
          <w:szCs w:val="24"/>
        </w:rPr>
      </w:pPr>
      <w:r w:rsidRPr="00EA1BB2">
        <w:rPr>
          <w:rFonts w:ascii="Cambria" w:eastAsia="Calibri" w:hAnsi="Cambria" w:cs="Times New Roman"/>
          <w:sz w:val="24"/>
          <w:szCs w:val="24"/>
        </w:rPr>
        <w:t>Din analiza rozei vântului lunare, în perioada 2012-2016, se observă tendin</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a generală predominantă a direc</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iei vântului din N cu excep</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ia lunilor de vară când apar varia</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 xml:space="preserve">ii dinspre NV </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i S.</w:t>
      </w:r>
    </w:p>
    <w:p w14:paraId="4DB2A22A" w14:textId="032E8D51" w:rsidR="00376DA9" w:rsidRPr="00EA1BB2" w:rsidRDefault="00376DA9" w:rsidP="007E53C2">
      <w:pPr>
        <w:pStyle w:val="Caption"/>
        <w:keepNext/>
        <w:spacing w:after="0" w:line="360" w:lineRule="auto"/>
        <w:ind w:firstLine="708"/>
        <w:jc w:val="both"/>
        <w:rPr>
          <w:rFonts w:ascii="Cambria" w:hAnsi="Cambria"/>
        </w:rPr>
      </w:pPr>
      <w:bookmarkStart w:id="215" w:name="_Toc524966232"/>
      <w:r w:rsidRPr="00EA1BB2">
        <w:rPr>
          <w:rFonts w:ascii="Cambria" w:hAnsi="Cambria"/>
        </w:rPr>
        <w:lastRenderedPageBreak/>
        <w:t xml:space="preserve">Figura nr. </w:t>
      </w:r>
      <w:r w:rsidR="00280BC9" w:rsidRPr="00EA1BB2">
        <w:rPr>
          <w:rFonts w:ascii="Cambria" w:hAnsi="Cambria"/>
        </w:rPr>
        <w:fldChar w:fldCharType="begin"/>
      </w:r>
      <w:r w:rsidR="00BA6FA3" w:rsidRPr="00EA1BB2">
        <w:rPr>
          <w:rFonts w:ascii="Cambria" w:hAnsi="Cambria"/>
        </w:rPr>
        <w:instrText xml:space="preserve"> STYLEREF 1 \s </w:instrText>
      </w:r>
      <w:r w:rsidR="00280BC9" w:rsidRPr="00EA1BB2">
        <w:rPr>
          <w:rFonts w:ascii="Cambria" w:hAnsi="Cambria"/>
        </w:rPr>
        <w:fldChar w:fldCharType="separate"/>
      </w:r>
      <w:r w:rsidR="00567555">
        <w:rPr>
          <w:rFonts w:ascii="Cambria" w:hAnsi="Cambria"/>
          <w:noProof/>
        </w:rPr>
        <w:t>3</w:t>
      </w:r>
      <w:r w:rsidR="00280BC9" w:rsidRPr="00EA1BB2">
        <w:rPr>
          <w:rFonts w:ascii="Cambria" w:hAnsi="Cambria"/>
        </w:rPr>
        <w:fldChar w:fldCharType="end"/>
      </w:r>
      <w:r w:rsidR="00BA6FA3" w:rsidRPr="00EA1BB2">
        <w:rPr>
          <w:rFonts w:ascii="Cambria" w:hAnsi="Cambria"/>
        </w:rPr>
        <w:noBreakHyphen/>
      </w:r>
      <w:r w:rsidR="00280BC9" w:rsidRPr="00EA1BB2">
        <w:rPr>
          <w:rFonts w:ascii="Cambria" w:hAnsi="Cambria"/>
        </w:rPr>
        <w:fldChar w:fldCharType="begin"/>
      </w:r>
      <w:r w:rsidR="00BA6FA3" w:rsidRPr="00EA1BB2">
        <w:rPr>
          <w:rFonts w:ascii="Cambria" w:hAnsi="Cambria"/>
        </w:rPr>
        <w:instrText xml:space="preserve"> SEQ Figura_nr. \* ARABIC \s 1 </w:instrText>
      </w:r>
      <w:r w:rsidR="00280BC9" w:rsidRPr="00EA1BB2">
        <w:rPr>
          <w:rFonts w:ascii="Cambria" w:hAnsi="Cambria"/>
        </w:rPr>
        <w:fldChar w:fldCharType="separate"/>
      </w:r>
      <w:r w:rsidR="00567555">
        <w:rPr>
          <w:rFonts w:ascii="Cambria" w:hAnsi="Cambria"/>
          <w:noProof/>
        </w:rPr>
        <w:t>21</w:t>
      </w:r>
      <w:r w:rsidR="00280BC9" w:rsidRPr="00EA1BB2">
        <w:rPr>
          <w:rFonts w:ascii="Cambria" w:hAnsi="Cambria"/>
        </w:rPr>
        <w:fldChar w:fldCharType="end"/>
      </w:r>
      <w:r w:rsidRPr="00EA1BB2">
        <w:rPr>
          <w:rFonts w:ascii="Cambria" w:hAnsi="Cambria"/>
        </w:rPr>
        <w:t xml:space="preserve">– </w:t>
      </w:r>
      <w:r w:rsidR="007E53C2" w:rsidRPr="00EA1BB2">
        <w:rPr>
          <w:rFonts w:ascii="Cambria" w:hAnsi="Cambria"/>
        </w:rPr>
        <w:t>Roza vântului pentru perioada 201</w:t>
      </w:r>
      <w:r w:rsidR="003F20FD" w:rsidRPr="00EA1BB2">
        <w:rPr>
          <w:rFonts w:ascii="Cambria" w:hAnsi="Cambria"/>
        </w:rPr>
        <w:t>2</w:t>
      </w:r>
      <w:r w:rsidR="007E53C2" w:rsidRPr="00EA1BB2">
        <w:rPr>
          <w:rFonts w:ascii="Cambria" w:hAnsi="Cambria"/>
        </w:rPr>
        <w:t xml:space="preserve">-2016 la </w:t>
      </w:r>
      <w:r w:rsidRPr="00EA1BB2">
        <w:rPr>
          <w:rFonts w:ascii="Cambria" w:hAnsi="Cambria"/>
        </w:rPr>
        <w:t>sta</w:t>
      </w:r>
      <w:r w:rsidR="00054880" w:rsidRPr="00EA1BB2">
        <w:rPr>
          <w:rFonts w:ascii="Cambria" w:hAnsi="Cambria"/>
        </w:rPr>
        <w:t>ț</w:t>
      </w:r>
      <w:r w:rsidRPr="00EA1BB2">
        <w:rPr>
          <w:rFonts w:ascii="Cambria" w:hAnsi="Cambria"/>
        </w:rPr>
        <w:t>ia meteorologică Brăila (ianuarie-iunie)</w:t>
      </w:r>
      <w:bookmarkEnd w:id="215"/>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4508"/>
        <w:gridCol w:w="4508"/>
      </w:tblGrid>
      <w:tr w:rsidR="00376DA9" w:rsidRPr="00EA1BB2" w14:paraId="15DF033C" w14:textId="77777777" w:rsidTr="00050BCA">
        <w:tc>
          <w:tcPr>
            <w:tcW w:w="4508" w:type="dxa"/>
            <w:vAlign w:val="center"/>
          </w:tcPr>
          <w:p w14:paraId="5903F3A2" w14:textId="77777777" w:rsidR="00376DA9" w:rsidRPr="00EA1BB2" w:rsidRDefault="00376DA9" w:rsidP="00050BCA">
            <w:pPr>
              <w:spacing w:line="276" w:lineRule="auto"/>
              <w:jc w:val="center"/>
              <w:rPr>
                <w:rFonts w:ascii="Cambria" w:eastAsia="Calibri" w:hAnsi="Cambria" w:cs="Times New Roman"/>
                <w:sz w:val="24"/>
                <w:szCs w:val="24"/>
                <w:lang w:val="ro-RO"/>
              </w:rPr>
            </w:pPr>
            <w:r w:rsidRPr="00EA1BB2">
              <w:rPr>
                <w:rFonts w:ascii="Cambria" w:eastAsia="Calibri" w:hAnsi="Cambria" w:cs="Times New Roman"/>
                <w:noProof/>
                <w:sz w:val="24"/>
                <w:szCs w:val="24"/>
              </w:rPr>
              <w:drawing>
                <wp:inline distT="0" distB="0" distL="0" distR="0" wp14:anchorId="2FB9C9F2" wp14:editId="05851CEA">
                  <wp:extent cx="2705100" cy="2520000"/>
                  <wp:effectExtent l="0" t="0" r="0" b="13970"/>
                  <wp:docPr id="253" name="Chart 2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tc>
        <w:tc>
          <w:tcPr>
            <w:tcW w:w="4508" w:type="dxa"/>
            <w:vAlign w:val="center"/>
          </w:tcPr>
          <w:p w14:paraId="07A6678B" w14:textId="77777777" w:rsidR="00376DA9" w:rsidRPr="00EA1BB2" w:rsidRDefault="00376DA9" w:rsidP="00050BCA">
            <w:pPr>
              <w:spacing w:line="276" w:lineRule="auto"/>
              <w:jc w:val="center"/>
              <w:rPr>
                <w:rFonts w:ascii="Cambria" w:eastAsia="Calibri" w:hAnsi="Cambria" w:cs="Times New Roman"/>
                <w:sz w:val="24"/>
                <w:szCs w:val="24"/>
                <w:lang w:val="ro-RO"/>
              </w:rPr>
            </w:pPr>
            <w:r w:rsidRPr="00EA1BB2">
              <w:rPr>
                <w:rFonts w:ascii="Cambria" w:eastAsia="Calibri" w:hAnsi="Cambria" w:cs="Times New Roman"/>
                <w:noProof/>
                <w:sz w:val="24"/>
                <w:szCs w:val="24"/>
              </w:rPr>
              <w:drawing>
                <wp:inline distT="0" distB="0" distL="0" distR="0" wp14:anchorId="5EB2E1DF" wp14:editId="0F900FF1">
                  <wp:extent cx="2705100" cy="2520000"/>
                  <wp:effectExtent l="0" t="0" r="0" b="13970"/>
                  <wp:docPr id="254" name="Chart 2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tc>
      </w:tr>
      <w:tr w:rsidR="00376DA9" w:rsidRPr="00EA1BB2" w14:paraId="2C457E77" w14:textId="77777777" w:rsidTr="00050BCA">
        <w:tc>
          <w:tcPr>
            <w:tcW w:w="4508" w:type="dxa"/>
            <w:vAlign w:val="center"/>
          </w:tcPr>
          <w:p w14:paraId="278BD011" w14:textId="77777777" w:rsidR="00376DA9" w:rsidRPr="00EA1BB2" w:rsidRDefault="00376DA9" w:rsidP="00050BCA">
            <w:pPr>
              <w:spacing w:line="276" w:lineRule="auto"/>
              <w:jc w:val="center"/>
              <w:rPr>
                <w:rFonts w:ascii="Cambria" w:eastAsia="Calibri" w:hAnsi="Cambria" w:cs="Times New Roman"/>
                <w:sz w:val="24"/>
                <w:szCs w:val="24"/>
                <w:lang w:val="ro-RO"/>
              </w:rPr>
            </w:pPr>
            <w:r w:rsidRPr="00EA1BB2">
              <w:rPr>
                <w:rFonts w:ascii="Cambria" w:eastAsia="Calibri" w:hAnsi="Cambria" w:cs="Times New Roman"/>
                <w:noProof/>
                <w:sz w:val="24"/>
                <w:szCs w:val="24"/>
              </w:rPr>
              <w:drawing>
                <wp:inline distT="0" distB="0" distL="0" distR="0" wp14:anchorId="24C0418E" wp14:editId="7E9FB67B">
                  <wp:extent cx="2705100" cy="2520000"/>
                  <wp:effectExtent l="0" t="0" r="0" b="13970"/>
                  <wp:docPr id="255" name="Chart 2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tc>
        <w:tc>
          <w:tcPr>
            <w:tcW w:w="4508" w:type="dxa"/>
            <w:vAlign w:val="center"/>
          </w:tcPr>
          <w:p w14:paraId="39B9E9A7" w14:textId="77777777" w:rsidR="00376DA9" w:rsidRPr="00EA1BB2" w:rsidRDefault="00376DA9" w:rsidP="00050BCA">
            <w:pPr>
              <w:spacing w:line="276" w:lineRule="auto"/>
              <w:jc w:val="center"/>
              <w:rPr>
                <w:rFonts w:ascii="Cambria" w:eastAsia="Calibri" w:hAnsi="Cambria" w:cs="Times New Roman"/>
                <w:sz w:val="24"/>
                <w:szCs w:val="24"/>
                <w:lang w:val="ro-RO"/>
              </w:rPr>
            </w:pPr>
            <w:r w:rsidRPr="00EA1BB2">
              <w:rPr>
                <w:rFonts w:ascii="Cambria" w:eastAsia="Calibri" w:hAnsi="Cambria" w:cs="Times New Roman"/>
                <w:noProof/>
                <w:sz w:val="24"/>
                <w:szCs w:val="24"/>
              </w:rPr>
              <w:drawing>
                <wp:inline distT="0" distB="0" distL="0" distR="0" wp14:anchorId="50287AFA" wp14:editId="3C02B10C">
                  <wp:extent cx="2705100" cy="2520000"/>
                  <wp:effectExtent l="0" t="0" r="0" b="13970"/>
                  <wp:docPr id="256" name="Chart 2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tc>
      </w:tr>
      <w:tr w:rsidR="00376DA9" w:rsidRPr="00EA1BB2" w14:paraId="6FF6F414" w14:textId="77777777" w:rsidTr="00050BCA">
        <w:tc>
          <w:tcPr>
            <w:tcW w:w="4508" w:type="dxa"/>
            <w:vAlign w:val="center"/>
          </w:tcPr>
          <w:p w14:paraId="01116A0F" w14:textId="77777777" w:rsidR="00376DA9" w:rsidRPr="00EA1BB2" w:rsidRDefault="00376DA9" w:rsidP="00050BCA">
            <w:pPr>
              <w:spacing w:line="276" w:lineRule="auto"/>
              <w:jc w:val="center"/>
              <w:rPr>
                <w:rFonts w:ascii="Cambria" w:eastAsia="Calibri" w:hAnsi="Cambria" w:cs="Times New Roman"/>
                <w:sz w:val="24"/>
                <w:szCs w:val="24"/>
                <w:lang w:val="ro-RO"/>
              </w:rPr>
            </w:pPr>
            <w:r w:rsidRPr="00EA1BB2">
              <w:rPr>
                <w:rFonts w:ascii="Cambria" w:eastAsia="Calibri" w:hAnsi="Cambria" w:cs="Times New Roman"/>
                <w:noProof/>
                <w:sz w:val="24"/>
                <w:szCs w:val="24"/>
              </w:rPr>
              <w:drawing>
                <wp:inline distT="0" distB="0" distL="0" distR="0" wp14:anchorId="4E4EE63C" wp14:editId="43E37393">
                  <wp:extent cx="2705100" cy="2520000"/>
                  <wp:effectExtent l="0" t="0" r="0" b="13970"/>
                  <wp:docPr id="257" name="Chart 2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tc>
        <w:tc>
          <w:tcPr>
            <w:tcW w:w="4508" w:type="dxa"/>
            <w:vAlign w:val="center"/>
          </w:tcPr>
          <w:p w14:paraId="141E783A" w14:textId="77777777" w:rsidR="00376DA9" w:rsidRPr="00EA1BB2" w:rsidRDefault="00376DA9" w:rsidP="00050BCA">
            <w:pPr>
              <w:spacing w:line="276" w:lineRule="auto"/>
              <w:jc w:val="center"/>
              <w:rPr>
                <w:rFonts w:ascii="Cambria" w:eastAsia="Calibri" w:hAnsi="Cambria" w:cs="Times New Roman"/>
                <w:sz w:val="24"/>
                <w:szCs w:val="24"/>
                <w:lang w:val="ro-RO"/>
              </w:rPr>
            </w:pPr>
            <w:r w:rsidRPr="00EA1BB2">
              <w:rPr>
                <w:rFonts w:ascii="Cambria" w:eastAsia="Calibri" w:hAnsi="Cambria" w:cs="Times New Roman"/>
                <w:noProof/>
                <w:sz w:val="24"/>
                <w:szCs w:val="24"/>
              </w:rPr>
              <w:drawing>
                <wp:inline distT="0" distB="0" distL="0" distR="0" wp14:anchorId="07D597D6" wp14:editId="282EA085">
                  <wp:extent cx="2705100" cy="2520000"/>
                  <wp:effectExtent l="0" t="0" r="0" b="13970"/>
                  <wp:docPr id="258" name="Chart 2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tc>
      </w:tr>
      <w:tr w:rsidR="00376DA9" w:rsidRPr="00EA1BB2" w14:paraId="144CB16A" w14:textId="77777777" w:rsidTr="00050BCA">
        <w:tc>
          <w:tcPr>
            <w:tcW w:w="9016" w:type="dxa"/>
            <w:gridSpan w:val="2"/>
            <w:vAlign w:val="center"/>
          </w:tcPr>
          <w:p w14:paraId="6FFE92A5" w14:textId="77777777" w:rsidR="00376DA9" w:rsidRPr="00EA1BB2" w:rsidRDefault="00376DA9" w:rsidP="00050BCA">
            <w:pPr>
              <w:jc w:val="center"/>
              <w:rPr>
                <w:rFonts w:ascii="Cambria" w:eastAsia="Calibri" w:hAnsi="Cambria" w:cs="Times New Roman"/>
                <w:sz w:val="24"/>
                <w:szCs w:val="24"/>
                <w:lang w:val="ro-RO"/>
              </w:rPr>
            </w:pPr>
            <w:r w:rsidRPr="00EA1BB2">
              <w:rPr>
                <w:rFonts w:ascii="Cambria" w:eastAsia="Calibri" w:hAnsi="Cambria" w:cs="Times New Roman"/>
                <w:noProof/>
                <w:sz w:val="24"/>
                <w:szCs w:val="24"/>
              </w:rPr>
              <w:drawing>
                <wp:inline distT="0" distB="0" distL="0" distR="0" wp14:anchorId="1FD0D580" wp14:editId="299B5868">
                  <wp:extent cx="4848902" cy="161948"/>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legend roza lunare.png"/>
                          <pic:cNvPicPr/>
                        </pic:nvPicPr>
                        <pic:blipFill>
                          <a:blip r:embed="rId130">
                            <a:extLst>
                              <a:ext uri="{28A0092B-C50C-407E-A947-70E740481C1C}">
                                <a14:useLocalDpi xmlns:a14="http://schemas.microsoft.com/office/drawing/2010/main" val="0"/>
                              </a:ext>
                            </a:extLst>
                          </a:blip>
                          <a:stretch>
                            <a:fillRect/>
                          </a:stretch>
                        </pic:blipFill>
                        <pic:spPr>
                          <a:xfrm>
                            <a:off x="0" y="0"/>
                            <a:ext cx="4848902" cy="161948"/>
                          </a:xfrm>
                          <a:prstGeom prst="rect">
                            <a:avLst/>
                          </a:prstGeom>
                        </pic:spPr>
                      </pic:pic>
                    </a:graphicData>
                  </a:graphic>
                </wp:inline>
              </w:drawing>
            </w:r>
          </w:p>
        </w:tc>
      </w:tr>
    </w:tbl>
    <w:p w14:paraId="5D3EF185" w14:textId="77777777" w:rsidR="00525DE6" w:rsidRPr="00EA1BB2" w:rsidRDefault="00D45D75" w:rsidP="00525DE6">
      <w:pPr>
        <w:jc w:val="both"/>
        <w:rPr>
          <w:rFonts w:ascii="Cambria" w:eastAsia="Times New Roman" w:hAnsi="Cambria" w:cs="Times New Roman"/>
          <w:szCs w:val="24"/>
        </w:rPr>
      </w:pPr>
      <w:r w:rsidRPr="00EA1BB2">
        <w:rPr>
          <w:rFonts w:ascii="Cambria" w:eastAsia="Times New Roman" w:hAnsi="Cambria" w:cs="Times New Roman"/>
          <w:szCs w:val="24"/>
        </w:rPr>
        <w:t>Notă: pentru anul 2012 în lunile iulie și octombrie și anul 2013 în lunile iunie și iulie lipsesc înregistrări și nu se pot calcula mediile lunare.</w:t>
      </w:r>
    </w:p>
    <w:p w14:paraId="52C45621" w14:textId="4676CC07" w:rsidR="00376DA9" w:rsidRPr="00EA1BB2" w:rsidRDefault="00376DA9" w:rsidP="007E53C2">
      <w:pPr>
        <w:pStyle w:val="Caption"/>
        <w:keepNext/>
        <w:spacing w:after="0" w:line="360" w:lineRule="auto"/>
        <w:ind w:firstLine="708"/>
        <w:jc w:val="both"/>
        <w:rPr>
          <w:rFonts w:ascii="Cambria" w:hAnsi="Cambria"/>
        </w:rPr>
      </w:pPr>
      <w:bookmarkStart w:id="216" w:name="_Toc524966233"/>
      <w:r w:rsidRPr="00EA1BB2">
        <w:rPr>
          <w:rFonts w:ascii="Cambria" w:hAnsi="Cambria"/>
        </w:rPr>
        <w:lastRenderedPageBreak/>
        <w:t xml:space="preserve">Figura nr. </w:t>
      </w:r>
      <w:r w:rsidR="00280BC9" w:rsidRPr="00EA1BB2">
        <w:rPr>
          <w:rFonts w:ascii="Cambria" w:hAnsi="Cambria"/>
        </w:rPr>
        <w:fldChar w:fldCharType="begin"/>
      </w:r>
      <w:r w:rsidR="00BA6FA3" w:rsidRPr="00EA1BB2">
        <w:rPr>
          <w:rFonts w:ascii="Cambria" w:hAnsi="Cambria"/>
        </w:rPr>
        <w:instrText xml:space="preserve"> STYLEREF 1 \s </w:instrText>
      </w:r>
      <w:r w:rsidR="00280BC9" w:rsidRPr="00EA1BB2">
        <w:rPr>
          <w:rFonts w:ascii="Cambria" w:hAnsi="Cambria"/>
        </w:rPr>
        <w:fldChar w:fldCharType="separate"/>
      </w:r>
      <w:r w:rsidR="00567555">
        <w:rPr>
          <w:rFonts w:ascii="Cambria" w:hAnsi="Cambria"/>
          <w:noProof/>
        </w:rPr>
        <w:t>3</w:t>
      </w:r>
      <w:r w:rsidR="00280BC9" w:rsidRPr="00EA1BB2">
        <w:rPr>
          <w:rFonts w:ascii="Cambria" w:hAnsi="Cambria"/>
        </w:rPr>
        <w:fldChar w:fldCharType="end"/>
      </w:r>
      <w:r w:rsidR="00BA6FA3" w:rsidRPr="00EA1BB2">
        <w:rPr>
          <w:rFonts w:ascii="Cambria" w:hAnsi="Cambria"/>
        </w:rPr>
        <w:noBreakHyphen/>
      </w:r>
      <w:r w:rsidR="00280BC9" w:rsidRPr="00EA1BB2">
        <w:rPr>
          <w:rFonts w:ascii="Cambria" w:hAnsi="Cambria"/>
        </w:rPr>
        <w:fldChar w:fldCharType="begin"/>
      </w:r>
      <w:r w:rsidR="00BA6FA3" w:rsidRPr="00EA1BB2">
        <w:rPr>
          <w:rFonts w:ascii="Cambria" w:hAnsi="Cambria"/>
        </w:rPr>
        <w:instrText xml:space="preserve"> SEQ Figura_nr. \* ARABIC \s 1 </w:instrText>
      </w:r>
      <w:r w:rsidR="00280BC9" w:rsidRPr="00EA1BB2">
        <w:rPr>
          <w:rFonts w:ascii="Cambria" w:hAnsi="Cambria"/>
        </w:rPr>
        <w:fldChar w:fldCharType="separate"/>
      </w:r>
      <w:r w:rsidR="00567555">
        <w:rPr>
          <w:rFonts w:ascii="Cambria" w:hAnsi="Cambria"/>
          <w:noProof/>
        </w:rPr>
        <w:t>22</w:t>
      </w:r>
      <w:r w:rsidR="00280BC9" w:rsidRPr="00EA1BB2">
        <w:rPr>
          <w:rFonts w:ascii="Cambria" w:hAnsi="Cambria"/>
        </w:rPr>
        <w:fldChar w:fldCharType="end"/>
      </w:r>
      <w:r w:rsidRPr="00EA1BB2">
        <w:rPr>
          <w:rFonts w:ascii="Cambria" w:hAnsi="Cambria"/>
        </w:rPr>
        <w:t xml:space="preserve">– </w:t>
      </w:r>
      <w:r w:rsidR="007E53C2" w:rsidRPr="00EA1BB2">
        <w:rPr>
          <w:rFonts w:ascii="Cambria" w:hAnsi="Cambria"/>
        </w:rPr>
        <w:t>Roza vântului pentru perioada 201</w:t>
      </w:r>
      <w:r w:rsidR="003F20FD" w:rsidRPr="00EA1BB2">
        <w:rPr>
          <w:rFonts w:ascii="Cambria" w:hAnsi="Cambria"/>
        </w:rPr>
        <w:t>2</w:t>
      </w:r>
      <w:r w:rsidR="007E53C2" w:rsidRPr="00EA1BB2">
        <w:rPr>
          <w:rFonts w:ascii="Cambria" w:hAnsi="Cambria"/>
        </w:rPr>
        <w:t xml:space="preserve">-2016 la </w:t>
      </w:r>
      <w:r w:rsidRPr="00EA1BB2">
        <w:rPr>
          <w:rFonts w:ascii="Cambria" w:hAnsi="Cambria"/>
        </w:rPr>
        <w:t>sta</w:t>
      </w:r>
      <w:r w:rsidR="00054880" w:rsidRPr="00EA1BB2">
        <w:rPr>
          <w:rFonts w:ascii="Cambria" w:hAnsi="Cambria"/>
        </w:rPr>
        <w:t>ț</w:t>
      </w:r>
      <w:r w:rsidRPr="00EA1BB2">
        <w:rPr>
          <w:rFonts w:ascii="Cambria" w:hAnsi="Cambria"/>
        </w:rPr>
        <w:t>ia meteorologică Brăila (iulie-decembrie)</w:t>
      </w:r>
      <w:bookmarkEnd w:id="216"/>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4508"/>
        <w:gridCol w:w="4508"/>
      </w:tblGrid>
      <w:tr w:rsidR="00376DA9" w:rsidRPr="00EA1BB2" w14:paraId="11623805" w14:textId="77777777" w:rsidTr="00050BCA">
        <w:tc>
          <w:tcPr>
            <w:tcW w:w="4508" w:type="dxa"/>
            <w:vAlign w:val="center"/>
          </w:tcPr>
          <w:p w14:paraId="51290F85" w14:textId="77777777" w:rsidR="00376DA9" w:rsidRPr="00EA1BB2" w:rsidRDefault="00376DA9" w:rsidP="00050BCA">
            <w:pPr>
              <w:spacing w:line="276" w:lineRule="auto"/>
              <w:jc w:val="center"/>
              <w:rPr>
                <w:rFonts w:ascii="Cambria" w:eastAsia="Calibri" w:hAnsi="Cambria" w:cs="Times New Roman"/>
                <w:sz w:val="24"/>
                <w:szCs w:val="24"/>
                <w:lang w:val="ro-RO"/>
              </w:rPr>
            </w:pPr>
            <w:r w:rsidRPr="00EA1BB2">
              <w:rPr>
                <w:rFonts w:ascii="Cambria" w:eastAsia="Calibri" w:hAnsi="Cambria" w:cs="Times New Roman"/>
                <w:noProof/>
                <w:sz w:val="24"/>
                <w:szCs w:val="24"/>
              </w:rPr>
              <w:drawing>
                <wp:inline distT="0" distB="0" distL="0" distR="0" wp14:anchorId="479B5D81" wp14:editId="2E5F01E5">
                  <wp:extent cx="2705100" cy="2520000"/>
                  <wp:effectExtent l="0" t="0" r="0" b="13970"/>
                  <wp:docPr id="260" name="Chart 2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tc>
        <w:tc>
          <w:tcPr>
            <w:tcW w:w="4508" w:type="dxa"/>
            <w:vAlign w:val="center"/>
          </w:tcPr>
          <w:p w14:paraId="2F4551DC" w14:textId="77777777" w:rsidR="00376DA9" w:rsidRPr="00EA1BB2" w:rsidRDefault="00376DA9" w:rsidP="00050BCA">
            <w:pPr>
              <w:spacing w:line="276" w:lineRule="auto"/>
              <w:jc w:val="center"/>
              <w:rPr>
                <w:rFonts w:ascii="Cambria" w:eastAsia="Calibri" w:hAnsi="Cambria" w:cs="Times New Roman"/>
                <w:sz w:val="24"/>
                <w:szCs w:val="24"/>
                <w:lang w:val="ro-RO"/>
              </w:rPr>
            </w:pPr>
            <w:r w:rsidRPr="00EA1BB2">
              <w:rPr>
                <w:rFonts w:ascii="Cambria" w:eastAsia="Calibri" w:hAnsi="Cambria" w:cs="Times New Roman"/>
                <w:noProof/>
                <w:sz w:val="24"/>
                <w:szCs w:val="24"/>
              </w:rPr>
              <w:drawing>
                <wp:inline distT="0" distB="0" distL="0" distR="0" wp14:anchorId="0DD8747A" wp14:editId="43F92E55">
                  <wp:extent cx="2705100" cy="2520000"/>
                  <wp:effectExtent l="0" t="0" r="0" b="13970"/>
                  <wp:docPr id="261" name="Chart 2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tc>
      </w:tr>
      <w:tr w:rsidR="00376DA9" w:rsidRPr="00EA1BB2" w14:paraId="24059B2A" w14:textId="77777777" w:rsidTr="00050BCA">
        <w:tc>
          <w:tcPr>
            <w:tcW w:w="4508" w:type="dxa"/>
            <w:vAlign w:val="center"/>
          </w:tcPr>
          <w:p w14:paraId="000BDC28" w14:textId="77777777" w:rsidR="00376DA9" w:rsidRPr="00EA1BB2" w:rsidRDefault="00376DA9" w:rsidP="00050BCA">
            <w:pPr>
              <w:spacing w:line="276" w:lineRule="auto"/>
              <w:jc w:val="center"/>
              <w:rPr>
                <w:rFonts w:ascii="Cambria" w:eastAsia="Calibri" w:hAnsi="Cambria" w:cs="Times New Roman"/>
                <w:sz w:val="24"/>
                <w:szCs w:val="24"/>
                <w:lang w:val="ro-RO"/>
              </w:rPr>
            </w:pPr>
            <w:r w:rsidRPr="00EA1BB2">
              <w:rPr>
                <w:rFonts w:ascii="Cambria" w:eastAsia="Calibri" w:hAnsi="Cambria" w:cs="Times New Roman"/>
                <w:noProof/>
                <w:sz w:val="24"/>
                <w:szCs w:val="24"/>
              </w:rPr>
              <w:drawing>
                <wp:inline distT="0" distB="0" distL="0" distR="0" wp14:anchorId="49734DB1" wp14:editId="67785ED5">
                  <wp:extent cx="2705100" cy="2520000"/>
                  <wp:effectExtent l="0" t="0" r="0" b="13970"/>
                  <wp:docPr id="262" name="Chart 2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tc>
        <w:tc>
          <w:tcPr>
            <w:tcW w:w="4508" w:type="dxa"/>
            <w:vAlign w:val="center"/>
          </w:tcPr>
          <w:p w14:paraId="620990D1" w14:textId="77777777" w:rsidR="00376DA9" w:rsidRPr="00EA1BB2" w:rsidRDefault="00376DA9" w:rsidP="00050BCA">
            <w:pPr>
              <w:spacing w:line="276" w:lineRule="auto"/>
              <w:jc w:val="center"/>
              <w:rPr>
                <w:rFonts w:ascii="Cambria" w:eastAsia="Calibri" w:hAnsi="Cambria" w:cs="Times New Roman"/>
                <w:sz w:val="24"/>
                <w:szCs w:val="24"/>
                <w:lang w:val="ro-RO"/>
              </w:rPr>
            </w:pPr>
            <w:r w:rsidRPr="00EA1BB2">
              <w:rPr>
                <w:rFonts w:ascii="Cambria" w:eastAsia="Calibri" w:hAnsi="Cambria" w:cs="Times New Roman"/>
                <w:noProof/>
                <w:sz w:val="24"/>
                <w:szCs w:val="24"/>
              </w:rPr>
              <w:drawing>
                <wp:inline distT="0" distB="0" distL="0" distR="0" wp14:anchorId="0FDB01ED" wp14:editId="5FE58DD4">
                  <wp:extent cx="2705100" cy="2520000"/>
                  <wp:effectExtent l="0" t="0" r="0" b="13970"/>
                  <wp:docPr id="263" name="Chart 2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tc>
      </w:tr>
      <w:tr w:rsidR="00376DA9" w:rsidRPr="00EA1BB2" w14:paraId="517C537D" w14:textId="77777777" w:rsidTr="00050BCA">
        <w:tc>
          <w:tcPr>
            <w:tcW w:w="4508" w:type="dxa"/>
            <w:vAlign w:val="center"/>
          </w:tcPr>
          <w:p w14:paraId="061E5754" w14:textId="77777777" w:rsidR="00376DA9" w:rsidRPr="00EA1BB2" w:rsidRDefault="00376DA9" w:rsidP="00050BCA">
            <w:pPr>
              <w:spacing w:line="276" w:lineRule="auto"/>
              <w:jc w:val="center"/>
              <w:rPr>
                <w:rFonts w:ascii="Cambria" w:eastAsia="Calibri" w:hAnsi="Cambria" w:cs="Times New Roman"/>
                <w:sz w:val="24"/>
                <w:szCs w:val="24"/>
                <w:lang w:val="ro-RO"/>
              </w:rPr>
            </w:pPr>
            <w:r w:rsidRPr="00EA1BB2">
              <w:rPr>
                <w:rFonts w:ascii="Cambria" w:eastAsia="Calibri" w:hAnsi="Cambria" w:cs="Times New Roman"/>
                <w:noProof/>
                <w:sz w:val="24"/>
                <w:szCs w:val="24"/>
              </w:rPr>
              <w:drawing>
                <wp:inline distT="0" distB="0" distL="0" distR="0" wp14:anchorId="047EE8B8" wp14:editId="13B28123">
                  <wp:extent cx="2705100" cy="2520000"/>
                  <wp:effectExtent l="0" t="0" r="0" b="13970"/>
                  <wp:docPr id="264" name="Chart 2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tc>
        <w:tc>
          <w:tcPr>
            <w:tcW w:w="4508" w:type="dxa"/>
            <w:vAlign w:val="center"/>
          </w:tcPr>
          <w:p w14:paraId="5508E66A" w14:textId="77777777" w:rsidR="00376DA9" w:rsidRPr="00EA1BB2" w:rsidRDefault="00376DA9" w:rsidP="00050BCA">
            <w:pPr>
              <w:spacing w:line="276" w:lineRule="auto"/>
              <w:jc w:val="center"/>
              <w:rPr>
                <w:rFonts w:ascii="Cambria" w:eastAsia="Calibri" w:hAnsi="Cambria" w:cs="Times New Roman"/>
                <w:sz w:val="24"/>
                <w:szCs w:val="24"/>
                <w:lang w:val="ro-RO"/>
              </w:rPr>
            </w:pPr>
            <w:r w:rsidRPr="00EA1BB2">
              <w:rPr>
                <w:rFonts w:ascii="Cambria" w:eastAsia="Calibri" w:hAnsi="Cambria" w:cs="Times New Roman"/>
                <w:noProof/>
                <w:sz w:val="24"/>
                <w:szCs w:val="24"/>
              </w:rPr>
              <w:drawing>
                <wp:inline distT="0" distB="0" distL="0" distR="0" wp14:anchorId="4210C839" wp14:editId="18DE0881">
                  <wp:extent cx="2705100" cy="2520000"/>
                  <wp:effectExtent l="0" t="0" r="0" b="13970"/>
                  <wp:docPr id="265" name="Chart 2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tc>
      </w:tr>
      <w:tr w:rsidR="00376DA9" w:rsidRPr="00EA1BB2" w14:paraId="5644186A" w14:textId="77777777" w:rsidTr="00050BCA">
        <w:tc>
          <w:tcPr>
            <w:tcW w:w="9016" w:type="dxa"/>
            <w:gridSpan w:val="2"/>
            <w:vAlign w:val="center"/>
          </w:tcPr>
          <w:p w14:paraId="299BBA3A" w14:textId="77777777" w:rsidR="00376DA9" w:rsidRPr="00EA1BB2" w:rsidRDefault="00376DA9" w:rsidP="00050BCA">
            <w:pPr>
              <w:jc w:val="center"/>
              <w:rPr>
                <w:rFonts w:ascii="Cambria" w:eastAsia="Calibri" w:hAnsi="Cambria" w:cs="Times New Roman"/>
                <w:sz w:val="24"/>
                <w:szCs w:val="24"/>
                <w:lang w:val="ro-RO"/>
              </w:rPr>
            </w:pPr>
            <w:r w:rsidRPr="00EA1BB2">
              <w:rPr>
                <w:rFonts w:ascii="Cambria" w:eastAsia="Calibri" w:hAnsi="Cambria" w:cs="Times New Roman"/>
                <w:noProof/>
                <w:sz w:val="24"/>
                <w:szCs w:val="24"/>
              </w:rPr>
              <w:drawing>
                <wp:inline distT="0" distB="0" distL="0" distR="0" wp14:anchorId="18F8EF84" wp14:editId="21096CB4">
                  <wp:extent cx="4848902" cy="161948"/>
                  <wp:effectExtent l="0" t="0" r="0" b="952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legend roza lunare.png"/>
                          <pic:cNvPicPr/>
                        </pic:nvPicPr>
                        <pic:blipFill>
                          <a:blip r:embed="rId130">
                            <a:extLst>
                              <a:ext uri="{28A0092B-C50C-407E-A947-70E740481C1C}">
                                <a14:useLocalDpi xmlns:a14="http://schemas.microsoft.com/office/drawing/2010/main" val="0"/>
                              </a:ext>
                            </a:extLst>
                          </a:blip>
                          <a:stretch>
                            <a:fillRect/>
                          </a:stretch>
                        </pic:blipFill>
                        <pic:spPr>
                          <a:xfrm>
                            <a:off x="0" y="0"/>
                            <a:ext cx="4848902" cy="161948"/>
                          </a:xfrm>
                          <a:prstGeom prst="rect">
                            <a:avLst/>
                          </a:prstGeom>
                        </pic:spPr>
                      </pic:pic>
                    </a:graphicData>
                  </a:graphic>
                </wp:inline>
              </w:drawing>
            </w:r>
          </w:p>
        </w:tc>
      </w:tr>
    </w:tbl>
    <w:p w14:paraId="0D697014" w14:textId="77777777" w:rsidR="00376DA9" w:rsidRPr="00EA1BB2" w:rsidRDefault="00525DE6" w:rsidP="00483744">
      <w:pPr>
        <w:jc w:val="both"/>
        <w:rPr>
          <w:rFonts w:ascii="Cambria" w:hAnsi="Cambria"/>
        </w:rPr>
      </w:pPr>
      <w:r w:rsidRPr="00EA1BB2">
        <w:rPr>
          <w:rFonts w:ascii="Cambria" w:eastAsia="Times New Roman" w:hAnsi="Cambria" w:cs="Times New Roman"/>
          <w:szCs w:val="24"/>
        </w:rPr>
        <w:t>Notă: pentru anul 20</w:t>
      </w:r>
      <w:r w:rsidR="00D45D75" w:rsidRPr="00EA1BB2">
        <w:rPr>
          <w:rFonts w:ascii="Cambria" w:eastAsia="Times New Roman" w:hAnsi="Cambria" w:cs="Times New Roman"/>
          <w:szCs w:val="24"/>
        </w:rPr>
        <w:t>12 în lunile iulie și octombrie și</w:t>
      </w:r>
      <w:r w:rsidRPr="00EA1BB2">
        <w:rPr>
          <w:rFonts w:ascii="Cambria" w:eastAsia="Times New Roman" w:hAnsi="Cambria" w:cs="Times New Roman"/>
          <w:szCs w:val="24"/>
        </w:rPr>
        <w:t xml:space="preserve"> anul 2013 în lunile iunie și iulie lipsesc înregistrări și nu se pot calcula mediile lunare.</w:t>
      </w:r>
    </w:p>
    <w:p w14:paraId="20FD7361" w14:textId="77777777" w:rsidR="00FB20CF" w:rsidRPr="00EA1BB2" w:rsidRDefault="00FB20CF" w:rsidP="00376DA9">
      <w:pPr>
        <w:spacing w:line="360" w:lineRule="auto"/>
        <w:ind w:firstLine="720"/>
        <w:jc w:val="both"/>
        <w:rPr>
          <w:rFonts w:ascii="Cambria" w:eastAsia="Calibri" w:hAnsi="Cambria" w:cs="Times New Roman"/>
          <w:sz w:val="24"/>
          <w:szCs w:val="24"/>
        </w:rPr>
      </w:pPr>
    </w:p>
    <w:p w14:paraId="364007FC" w14:textId="021245C5" w:rsidR="00376DA9" w:rsidRPr="00EA1BB2" w:rsidRDefault="00376DA9" w:rsidP="00376DA9">
      <w:pPr>
        <w:spacing w:line="360" w:lineRule="auto"/>
        <w:ind w:firstLine="720"/>
        <w:jc w:val="both"/>
        <w:rPr>
          <w:rFonts w:ascii="Cambria" w:eastAsia="Calibri" w:hAnsi="Cambria" w:cs="Times New Roman"/>
          <w:sz w:val="24"/>
          <w:szCs w:val="24"/>
        </w:rPr>
      </w:pPr>
      <w:r w:rsidRPr="00EA1BB2">
        <w:rPr>
          <w:rFonts w:ascii="Cambria" w:eastAsia="Calibri" w:hAnsi="Cambria" w:cs="Times New Roman"/>
          <w:sz w:val="24"/>
          <w:szCs w:val="24"/>
        </w:rPr>
        <w:lastRenderedPageBreak/>
        <w:t>Împră</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tierea poluan</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ilor dintr-o sursă fixă, în plan orizontal acoperă o arie eliptică, deoarece este influen</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 xml:space="preserve">ată de vânt </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i de mi</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carea de rota</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ie a Pământului. Împră</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tierea poluan</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ilor din surse mobile, în mi</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care urmează alte legi matematice.</w:t>
      </w:r>
      <w:r w:rsidR="00BD06C5" w:rsidRPr="00EA1BB2">
        <w:rPr>
          <w:rFonts w:ascii="Cambria" w:eastAsia="Calibri" w:hAnsi="Cambria" w:cs="Times New Roman"/>
          <w:sz w:val="24"/>
          <w:szCs w:val="24"/>
        </w:rPr>
        <w:t xml:space="preserve"> </w:t>
      </w:r>
      <w:r w:rsidRPr="00EA1BB2">
        <w:rPr>
          <w:rFonts w:ascii="Cambria" w:eastAsia="Calibri" w:hAnsi="Cambria" w:cs="Times New Roman"/>
          <w:sz w:val="24"/>
          <w:szCs w:val="24"/>
        </w:rPr>
        <w:t>Dacă sursele sunt în apropiere, între ele zona suferă impurificarea cu ambii poluan</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 Împră</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tierea poluan</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 xml:space="preserve">ilor depinde </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 xml:space="preserve">i de starea de agregare, iar la particulele solide </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 xml:space="preserve">i lichide </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 xml:space="preserve">i de mărimea particulelor. Astfel, particulele solide vor cădea mai repede, cu cât diametrul </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i densitatea lor sunt mai mari, cele lichide vor cădea la distan</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ă mai mare, diametrul mare favorizând căderea, iar gazele vor fi transportate la distan</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a cea mai mare, poluând o arie mult mai mare.</w:t>
      </w:r>
    </w:p>
    <w:p w14:paraId="517F2DC8" w14:textId="2090C37E" w:rsidR="00376DA9" w:rsidRPr="00EA1BB2" w:rsidRDefault="00376DA9" w:rsidP="00376DA9">
      <w:pPr>
        <w:spacing w:line="360" w:lineRule="auto"/>
        <w:ind w:firstLine="720"/>
        <w:jc w:val="both"/>
        <w:rPr>
          <w:rFonts w:ascii="Cambria" w:eastAsia="Calibri" w:hAnsi="Cambria" w:cs="Times New Roman"/>
          <w:sz w:val="24"/>
          <w:szCs w:val="24"/>
          <w:lang w:eastAsia="ro-RO"/>
        </w:rPr>
      </w:pPr>
      <w:r w:rsidRPr="00EA1BB2">
        <w:rPr>
          <w:rFonts w:ascii="Cambria" w:eastAsia="Calibri" w:hAnsi="Cambria" w:cs="Times New Roman"/>
          <w:sz w:val="24"/>
          <w:szCs w:val="24"/>
          <w:lang w:eastAsia="ro-RO"/>
        </w:rPr>
        <w:t>Unele fenomene atmosferice pot amplifica poluarea. Astfel lipsa curen</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ilor de aer (starea de calm</w:t>
      </w:r>
      <w:r w:rsidR="00871D4D" w:rsidRPr="00EA1BB2">
        <w:rPr>
          <w:rFonts w:ascii="Cambria" w:eastAsia="Calibri" w:hAnsi="Cambria" w:cs="Times New Roman"/>
          <w:sz w:val="24"/>
          <w:szCs w:val="24"/>
          <w:lang w:eastAsia="ro-RO"/>
        </w:rPr>
        <w:t xml:space="preserve"> atmosferic</w:t>
      </w:r>
      <w:r w:rsidRPr="00EA1BB2">
        <w:rPr>
          <w:rFonts w:ascii="Cambria" w:eastAsia="Calibri" w:hAnsi="Cambria" w:cs="Times New Roman"/>
          <w:sz w:val="24"/>
          <w:szCs w:val="24"/>
          <w:lang w:eastAsia="ro-RO"/>
        </w:rPr>
        <w:t xml:space="preserve">), datorită unei mase de aer cu densitate </w:t>
      </w:r>
      <w:r w:rsidR="00054880" w:rsidRPr="00EA1BB2">
        <w:rPr>
          <w:rFonts w:ascii="Cambria" w:eastAsia="Calibri" w:hAnsi="Cambria" w:cs="Times New Roman"/>
          <w:sz w:val="24"/>
          <w:szCs w:val="24"/>
          <w:lang w:eastAsia="ro-RO"/>
        </w:rPr>
        <w:t>ș</w:t>
      </w:r>
      <w:r w:rsidRPr="00EA1BB2">
        <w:rPr>
          <w:rFonts w:ascii="Cambria" w:eastAsia="Calibri" w:hAnsi="Cambria" w:cs="Times New Roman"/>
          <w:sz w:val="24"/>
          <w:szCs w:val="24"/>
          <w:lang w:eastAsia="ro-RO"/>
        </w:rPr>
        <w:t>i presiune mai mare decât în zonele învecinate. Starea poate dura ore, sau zile, timp în care poluan</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ii se acumulează, depă</w:t>
      </w:r>
      <w:r w:rsidR="00054880" w:rsidRPr="00EA1BB2">
        <w:rPr>
          <w:rFonts w:ascii="Cambria" w:eastAsia="Calibri" w:hAnsi="Cambria" w:cs="Times New Roman"/>
          <w:sz w:val="24"/>
          <w:szCs w:val="24"/>
          <w:lang w:eastAsia="ro-RO"/>
        </w:rPr>
        <w:t>ș</w:t>
      </w:r>
      <w:r w:rsidRPr="00EA1BB2">
        <w:rPr>
          <w:rFonts w:ascii="Cambria" w:eastAsia="Calibri" w:hAnsi="Cambria" w:cs="Times New Roman"/>
          <w:sz w:val="24"/>
          <w:szCs w:val="24"/>
          <w:lang w:eastAsia="ro-RO"/>
        </w:rPr>
        <w:t>ind concentra</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iile de prag admisibile; cea</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a, inversia termică, provocată de împiedicarea mi</w:t>
      </w:r>
      <w:r w:rsidR="00054880" w:rsidRPr="00EA1BB2">
        <w:rPr>
          <w:rFonts w:ascii="Cambria" w:eastAsia="Calibri" w:hAnsi="Cambria" w:cs="Times New Roman"/>
          <w:sz w:val="24"/>
          <w:szCs w:val="24"/>
          <w:lang w:eastAsia="ro-RO"/>
        </w:rPr>
        <w:t>ș</w:t>
      </w:r>
      <w:r w:rsidRPr="00EA1BB2">
        <w:rPr>
          <w:rFonts w:ascii="Cambria" w:eastAsia="Calibri" w:hAnsi="Cambria" w:cs="Times New Roman"/>
          <w:sz w:val="24"/>
          <w:szCs w:val="24"/>
          <w:lang w:eastAsia="ro-RO"/>
        </w:rPr>
        <w:t xml:space="preserve">cării verticale a maselor de aer rece </w:t>
      </w:r>
      <w:r w:rsidR="00054880" w:rsidRPr="00EA1BB2">
        <w:rPr>
          <w:rFonts w:ascii="Cambria" w:eastAsia="Calibri" w:hAnsi="Cambria" w:cs="Times New Roman"/>
          <w:sz w:val="24"/>
          <w:szCs w:val="24"/>
          <w:lang w:eastAsia="ro-RO"/>
        </w:rPr>
        <w:t>ș</w:t>
      </w:r>
      <w:r w:rsidRPr="00EA1BB2">
        <w:rPr>
          <w:rFonts w:ascii="Cambria" w:eastAsia="Calibri" w:hAnsi="Cambria" w:cs="Times New Roman"/>
          <w:sz w:val="24"/>
          <w:szCs w:val="24"/>
          <w:lang w:eastAsia="ro-RO"/>
        </w:rPr>
        <w:t>i cald. În mod obi</w:t>
      </w:r>
      <w:r w:rsidR="00054880" w:rsidRPr="00EA1BB2">
        <w:rPr>
          <w:rFonts w:ascii="Cambria" w:eastAsia="Calibri" w:hAnsi="Cambria" w:cs="Times New Roman"/>
          <w:sz w:val="24"/>
          <w:szCs w:val="24"/>
          <w:lang w:eastAsia="ro-RO"/>
        </w:rPr>
        <w:t>ș</w:t>
      </w:r>
      <w:r w:rsidRPr="00EA1BB2">
        <w:rPr>
          <w:rFonts w:ascii="Cambria" w:eastAsia="Calibri" w:hAnsi="Cambria" w:cs="Times New Roman"/>
          <w:sz w:val="24"/>
          <w:szCs w:val="24"/>
          <w:lang w:eastAsia="ro-RO"/>
        </w:rPr>
        <w:t xml:space="preserve">nuit, aerul rece pătrunde </w:t>
      </w:r>
      <w:r w:rsidR="00054880" w:rsidRPr="00EA1BB2">
        <w:rPr>
          <w:rFonts w:ascii="Cambria" w:eastAsia="Calibri" w:hAnsi="Cambria" w:cs="Times New Roman"/>
          <w:sz w:val="24"/>
          <w:szCs w:val="24"/>
          <w:lang w:eastAsia="ro-RO"/>
        </w:rPr>
        <w:t>ș</w:t>
      </w:r>
      <w:r w:rsidRPr="00EA1BB2">
        <w:rPr>
          <w:rFonts w:ascii="Cambria" w:eastAsia="Calibri" w:hAnsi="Cambria" w:cs="Times New Roman"/>
          <w:sz w:val="24"/>
          <w:szCs w:val="24"/>
          <w:lang w:eastAsia="ro-RO"/>
        </w:rPr>
        <w:t xml:space="preserve">i îndepărtează aerul cald, ce poate fi </w:t>
      </w:r>
      <w:r w:rsidR="00054880" w:rsidRPr="00EA1BB2">
        <w:rPr>
          <w:rFonts w:ascii="Cambria" w:eastAsia="Calibri" w:hAnsi="Cambria" w:cs="Times New Roman"/>
          <w:sz w:val="24"/>
          <w:szCs w:val="24"/>
          <w:lang w:eastAsia="ro-RO"/>
        </w:rPr>
        <w:t>ș</w:t>
      </w:r>
      <w:r w:rsidRPr="00EA1BB2">
        <w:rPr>
          <w:rFonts w:ascii="Cambria" w:eastAsia="Calibri" w:hAnsi="Cambria" w:cs="Times New Roman"/>
          <w:sz w:val="24"/>
          <w:szCs w:val="24"/>
          <w:lang w:eastAsia="ro-RO"/>
        </w:rPr>
        <w:t>i poluat.</w:t>
      </w:r>
      <w:r w:rsidR="00BD06C5" w:rsidRPr="00EA1BB2">
        <w:rPr>
          <w:rFonts w:ascii="Cambria" w:eastAsia="Calibri" w:hAnsi="Cambria" w:cs="Times New Roman"/>
          <w:sz w:val="24"/>
          <w:szCs w:val="24"/>
          <w:lang w:eastAsia="ro-RO"/>
        </w:rPr>
        <w:t xml:space="preserve"> </w:t>
      </w:r>
      <w:r w:rsidRPr="00EA1BB2">
        <w:rPr>
          <w:rFonts w:ascii="Cambria" w:eastAsia="Calibri" w:hAnsi="Cambria" w:cs="Times New Roman"/>
          <w:sz w:val="24"/>
          <w:szCs w:val="24"/>
          <w:lang w:eastAsia="ro-RO"/>
        </w:rPr>
        <w:t>Curen</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 xml:space="preserve">ii de aer </w:t>
      </w:r>
      <w:r w:rsidR="00054880" w:rsidRPr="00EA1BB2">
        <w:rPr>
          <w:rFonts w:ascii="Cambria" w:eastAsia="Calibri" w:hAnsi="Cambria" w:cs="Times New Roman"/>
          <w:sz w:val="24"/>
          <w:szCs w:val="24"/>
          <w:lang w:eastAsia="ro-RO"/>
        </w:rPr>
        <w:t>ș</w:t>
      </w:r>
      <w:r w:rsidRPr="00EA1BB2">
        <w:rPr>
          <w:rFonts w:ascii="Cambria" w:eastAsia="Calibri" w:hAnsi="Cambria" w:cs="Times New Roman"/>
          <w:sz w:val="24"/>
          <w:szCs w:val="24"/>
          <w:lang w:eastAsia="ro-RO"/>
        </w:rPr>
        <w:t>i precipita</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iile ajută la purificarea aerului, prin procese fizice de sedimentare, dizolvare în apă, procese chimice (reac</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 xml:space="preserve">ii cu apa) </w:t>
      </w:r>
      <w:r w:rsidR="00054880" w:rsidRPr="00EA1BB2">
        <w:rPr>
          <w:rFonts w:ascii="Cambria" w:eastAsia="Calibri" w:hAnsi="Cambria" w:cs="Times New Roman"/>
          <w:sz w:val="24"/>
          <w:szCs w:val="24"/>
          <w:lang w:eastAsia="ro-RO"/>
        </w:rPr>
        <w:t>ș</w:t>
      </w:r>
      <w:r w:rsidRPr="00EA1BB2">
        <w:rPr>
          <w:rFonts w:ascii="Cambria" w:eastAsia="Calibri" w:hAnsi="Cambria" w:cs="Times New Roman"/>
          <w:sz w:val="24"/>
          <w:szCs w:val="24"/>
          <w:lang w:eastAsia="ro-RO"/>
        </w:rPr>
        <w:t>i apoi depunere.</w:t>
      </w:r>
    </w:p>
    <w:p w14:paraId="170C2654" w14:textId="77777777" w:rsidR="00376DA9" w:rsidRPr="00EA1BB2" w:rsidRDefault="00376DA9" w:rsidP="00376DA9">
      <w:pPr>
        <w:spacing w:line="360" w:lineRule="auto"/>
        <w:ind w:firstLine="720"/>
        <w:jc w:val="both"/>
        <w:rPr>
          <w:rFonts w:ascii="Cambria" w:eastAsia="Calibri" w:hAnsi="Cambria" w:cs="Times New Roman"/>
          <w:sz w:val="24"/>
          <w:szCs w:val="24"/>
          <w:lang w:eastAsia="ro-RO"/>
        </w:rPr>
      </w:pPr>
      <w:r w:rsidRPr="00EA1BB2">
        <w:rPr>
          <w:rFonts w:ascii="Cambria" w:eastAsia="Calibri" w:hAnsi="Cambria" w:cs="Times New Roman"/>
          <w:sz w:val="24"/>
          <w:szCs w:val="24"/>
          <w:lang w:eastAsia="ro-RO"/>
        </w:rPr>
        <w:t>Procesele depind evident de natura poluan</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 xml:space="preserve">ilor, starea lor de agregare, solubilitatea în apă, reactivitatea cu apa, precum </w:t>
      </w:r>
      <w:r w:rsidR="00054880" w:rsidRPr="00EA1BB2">
        <w:rPr>
          <w:rFonts w:ascii="Cambria" w:eastAsia="Calibri" w:hAnsi="Cambria" w:cs="Times New Roman"/>
          <w:sz w:val="24"/>
          <w:szCs w:val="24"/>
          <w:lang w:eastAsia="ro-RO"/>
        </w:rPr>
        <w:t>ș</w:t>
      </w:r>
      <w:r w:rsidRPr="00EA1BB2">
        <w:rPr>
          <w:rFonts w:ascii="Cambria" w:eastAsia="Calibri" w:hAnsi="Cambria" w:cs="Times New Roman"/>
          <w:sz w:val="24"/>
          <w:szCs w:val="24"/>
          <w:lang w:eastAsia="ro-RO"/>
        </w:rPr>
        <w:t>i de interac</w:t>
      </w:r>
      <w:r w:rsidR="00054880" w:rsidRPr="00EA1BB2">
        <w:rPr>
          <w:rFonts w:ascii="Cambria" w:eastAsia="Calibri" w:hAnsi="Cambria" w:cs="Times New Roman"/>
          <w:sz w:val="24"/>
          <w:szCs w:val="24"/>
          <w:lang w:eastAsia="ro-RO"/>
        </w:rPr>
        <w:t>ț</w:t>
      </w:r>
      <w:r w:rsidRPr="00EA1BB2">
        <w:rPr>
          <w:rFonts w:ascii="Cambria" w:eastAsia="Calibri" w:hAnsi="Cambria" w:cs="Times New Roman"/>
          <w:sz w:val="24"/>
          <w:szCs w:val="24"/>
          <w:lang w:eastAsia="ro-RO"/>
        </w:rPr>
        <w:t>iunile dintre ei.</w:t>
      </w:r>
    </w:p>
    <w:p w14:paraId="482721BB" w14:textId="77777777" w:rsidR="00376DA9" w:rsidRPr="00EA1BB2" w:rsidRDefault="00376DA9" w:rsidP="00376DA9">
      <w:pPr>
        <w:spacing w:line="360" w:lineRule="auto"/>
        <w:ind w:firstLine="709"/>
        <w:jc w:val="both"/>
        <w:rPr>
          <w:rFonts w:ascii="Cambria" w:hAnsi="Cambria" w:cs="Times New Roman"/>
          <w:sz w:val="24"/>
          <w:szCs w:val="24"/>
        </w:rPr>
      </w:pPr>
      <w:r w:rsidRPr="00EA1BB2">
        <w:rPr>
          <w:rFonts w:ascii="Cambria" w:eastAsia="Times New Roman" w:hAnsi="Cambria" w:cs="Times New Roman"/>
          <w:sz w:val="24"/>
          <w:szCs w:val="24"/>
        </w:rPr>
        <w:t>Vitezele maxime se înregistrează în timpul iernii, când acestea pot depă</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100 km/oră. Vânturile cele mai cunoscute în Bărăganul de Nord sunt Crivă</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ul, un vânt rece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uscat, care bate în timpul iernii, determinat de anticiclonul siberian, cu o direc</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ie nord, nord-est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 xml:space="preserve">i Suhoveiul, vânt uscat </w:t>
      </w:r>
      <w:r w:rsidR="00054880" w:rsidRPr="00EA1BB2">
        <w:rPr>
          <w:rFonts w:ascii="Cambria" w:eastAsia="Times New Roman" w:hAnsi="Cambria" w:cs="Times New Roman"/>
          <w:sz w:val="24"/>
          <w:szCs w:val="24"/>
        </w:rPr>
        <w:t>ș</w:t>
      </w:r>
      <w:r w:rsidRPr="00EA1BB2">
        <w:rPr>
          <w:rFonts w:ascii="Cambria" w:eastAsia="Times New Roman" w:hAnsi="Cambria" w:cs="Times New Roman"/>
          <w:sz w:val="24"/>
          <w:szCs w:val="24"/>
        </w:rPr>
        <w:t>i cald, care bate vara din partea estică cu o frecven</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 xml:space="preserve">ă mai mică. </w:t>
      </w:r>
      <w:r w:rsidRPr="00EA1BB2">
        <w:rPr>
          <w:rFonts w:ascii="Cambria" w:hAnsi="Cambria" w:cs="Times New Roman"/>
          <w:sz w:val="24"/>
          <w:szCs w:val="24"/>
        </w:rPr>
        <w:t xml:space="preserve">Aici sunt prezente fenomene de aridizare (uscăciune </w:t>
      </w:r>
      <w:r w:rsidR="00054880" w:rsidRPr="00EA1BB2">
        <w:rPr>
          <w:rFonts w:ascii="Cambria" w:hAnsi="Cambria" w:cs="Times New Roman"/>
          <w:sz w:val="24"/>
          <w:szCs w:val="24"/>
        </w:rPr>
        <w:t>ș</w:t>
      </w:r>
      <w:r w:rsidRPr="00EA1BB2">
        <w:rPr>
          <w:rFonts w:ascii="Cambria" w:hAnsi="Cambria" w:cs="Times New Roman"/>
          <w:sz w:val="24"/>
          <w:szCs w:val="24"/>
        </w:rPr>
        <w:t xml:space="preserve">i secetă) </w:t>
      </w:r>
      <w:r w:rsidR="00054880" w:rsidRPr="00EA1BB2">
        <w:rPr>
          <w:rFonts w:ascii="Cambria" w:hAnsi="Cambria" w:cs="Times New Roman"/>
          <w:sz w:val="24"/>
          <w:szCs w:val="24"/>
        </w:rPr>
        <w:t>ș</w:t>
      </w:r>
      <w:r w:rsidRPr="00EA1BB2">
        <w:rPr>
          <w:rFonts w:ascii="Cambria" w:hAnsi="Cambria" w:cs="Times New Roman"/>
          <w:sz w:val="24"/>
          <w:szCs w:val="24"/>
        </w:rPr>
        <w:t>i fenomene extreme (viscol, secetă).</w:t>
      </w:r>
    </w:p>
    <w:p w14:paraId="2045EC23" w14:textId="77777777" w:rsidR="00343667" w:rsidRPr="00EA1BB2" w:rsidRDefault="00343667" w:rsidP="00343667">
      <w:pPr>
        <w:spacing w:line="360" w:lineRule="auto"/>
        <w:jc w:val="both"/>
        <w:rPr>
          <w:rFonts w:ascii="Cambria" w:hAnsi="Cambria" w:cs="Times New Roman"/>
          <w:sz w:val="24"/>
          <w:szCs w:val="24"/>
        </w:rPr>
      </w:pPr>
    </w:p>
    <w:p w14:paraId="3580AF17" w14:textId="45918816" w:rsidR="00744560" w:rsidRPr="00EA1BB2" w:rsidRDefault="0043787C" w:rsidP="00E859EF">
      <w:pPr>
        <w:pStyle w:val="Heading2"/>
        <w:numPr>
          <w:ilvl w:val="1"/>
          <w:numId w:val="1"/>
        </w:numPr>
        <w:spacing w:before="0"/>
        <w:ind w:left="0" w:firstLine="709"/>
        <w:jc w:val="both"/>
        <w:rPr>
          <w:rFonts w:ascii="Cambria" w:eastAsia="Times New Roman" w:hAnsi="Cambria"/>
          <w:color w:val="0070C0"/>
          <w:szCs w:val="24"/>
        </w:rPr>
      </w:pPr>
      <w:bookmarkStart w:id="217" w:name="_Toc526889744"/>
      <w:r w:rsidRPr="00EA1BB2">
        <w:rPr>
          <w:rFonts w:ascii="Cambria" w:eastAsia="Times New Roman" w:hAnsi="Cambria"/>
          <w:color w:val="0070C0"/>
          <w:szCs w:val="24"/>
        </w:rPr>
        <w:t>I</w:t>
      </w:r>
      <w:r w:rsidR="00744560" w:rsidRPr="00EA1BB2">
        <w:rPr>
          <w:rFonts w:ascii="Cambria" w:eastAsia="Times New Roman" w:hAnsi="Cambria"/>
          <w:color w:val="0070C0"/>
          <w:szCs w:val="24"/>
        </w:rPr>
        <w:t>nforma</w:t>
      </w:r>
      <w:r w:rsidR="00054880" w:rsidRPr="00EA1BB2">
        <w:rPr>
          <w:rFonts w:ascii="Cambria" w:eastAsia="Times New Roman" w:hAnsi="Cambria"/>
          <w:color w:val="0070C0"/>
          <w:szCs w:val="24"/>
        </w:rPr>
        <w:t>ț</w:t>
      </w:r>
      <w:r w:rsidRPr="00EA1BB2">
        <w:rPr>
          <w:rFonts w:ascii="Cambria" w:eastAsia="Times New Roman" w:hAnsi="Cambria"/>
          <w:color w:val="0070C0"/>
          <w:szCs w:val="24"/>
        </w:rPr>
        <w:t>ii</w:t>
      </w:r>
      <w:r w:rsidR="00744560" w:rsidRPr="00EA1BB2">
        <w:rPr>
          <w:rFonts w:ascii="Cambria" w:eastAsia="Times New Roman" w:hAnsi="Cambria"/>
          <w:color w:val="0070C0"/>
          <w:szCs w:val="24"/>
        </w:rPr>
        <w:t xml:space="preserve"> legate de sursele de emisie ale substan</w:t>
      </w:r>
      <w:r w:rsidR="00054880" w:rsidRPr="00EA1BB2">
        <w:rPr>
          <w:rFonts w:ascii="Cambria" w:eastAsia="Times New Roman" w:hAnsi="Cambria"/>
          <w:color w:val="0070C0"/>
          <w:szCs w:val="24"/>
        </w:rPr>
        <w:t>ț</w:t>
      </w:r>
      <w:r w:rsidR="00744560" w:rsidRPr="00EA1BB2">
        <w:rPr>
          <w:rFonts w:ascii="Cambria" w:eastAsia="Times New Roman" w:hAnsi="Cambria"/>
          <w:color w:val="0070C0"/>
          <w:szCs w:val="24"/>
        </w:rPr>
        <w:t xml:space="preserve">elor precursoare ale </w:t>
      </w:r>
      <w:r w:rsidRPr="00EA1BB2">
        <w:rPr>
          <w:rFonts w:ascii="Cambria" w:eastAsia="Times New Roman" w:hAnsi="Cambria"/>
          <w:color w:val="0070C0"/>
          <w:szCs w:val="24"/>
        </w:rPr>
        <w:t>ozonului</w:t>
      </w:r>
      <w:r w:rsidR="00444EE2" w:rsidRPr="00EA1BB2">
        <w:rPr>
          <w:rFonts w:ascii="Cambria" w:eastAsia="Times New Roman" w:hAnsi="Cambria"/>
          <w:color w:val="0070C0"/>
          <w:szCs w:val="24"/>
        </w:rPr>
        <w:t xml:space="preserve"> </w:t>
      </w:r>
      <w:r w:rsidR="00054880" w:rsidRPr="00EA1BB2">
        <w:rPr>
          <w:rFonts w:ascii="Cambria" w:eastAsia="Times New Roman" w:hAnsi="Cambria"/>
          <w:color w:val="0070C0"/>
          <w:szCs w:val="24"/>
        </w:rPr>
        <w:t>ș</w:t>
      </w:r>
      <w:r w:rsidR="00744560" w:rsidRPr="00EA1BB2">
        <w:rPr>
          <w:rFonts w:ascii="Cambria" w:eastAsia="Times New Roman" w:hAnsi="Cambria"/>
          <w:color w:val="0070C0"/>
          <w:szCs w:val="24"/>
        </w:rPr>
        <w:t>i condi</w:t>
      </w:r>
      <w:r w:rsidR="00054880" w:rsidRPr="00EA1BB2">
        <w:rPr>
          <w:rFonts w:ascii="Cambria" w:eastAsia="Times New Roman" w:hAnsi="Cambria"/>
          <w:color w:val="0070C0"/>
          <w:szCs w:val="24"/>
        </w:rPr>
        <w:t>ț</w:t>
      </w:r>
      <w:r w:rsidR="00744560" w:rsidRPr="00EA1BB2">
        <w:rPr>
          <w:rFonts w:ascii="Cambria" w:eastAsia="Times New Roman" w:hAnsi="Cambria"/>
          <w:color w:val="0070C0"/>
          <w:szCs w:val="24"/>
        </w:rPr>
        <w:t>iile meteorologice la macroscară.</w:t>
      </w:r>
      <w:bookmarkEnd w:id="217"/>
    </w:p>
    <w:p w14:paraId="24C9DDEC" w14:textId="77777777" w:rsidR="00744560" w:rsidRPr="00EA1BB2" w:rsidRDefault="00744560" w:rsidP="00744560">
      <w:pPr>
        <w:spacing w:line="360" w:lineRule="auto"/>
        <w:ind w:firstLine="708"/>
        <w:jc w:val="both"/>
        <w:rPr>
          <w:rFonts w:ascii="Cambria" w:hAnsi="Cambria" w:cs="Times New Roman"/>
          <w:sz w:val="24"/>
          <w:szCs w:val="24"/>
        </w:rPr>
      </w:pPr>
      <w:r w:rsidRPr="00EA1BB2">
        <w:rPr>
          <w:rFonts w:ascii="Cambria" w:hAnsi="Cambria" w:cs="Times New Roman"/>
          <w:sz w:val="24"/>
          <w:szCs w:val="24"/>
        </w:rPr>
        <w:t>Ozonul se găse</w:t>
      </w:r>
      <w:r w:rsidR="00054880" w:rsidRPr="00EA1BB2">
        <w:rPr>
          <w:rFonts w:ascii="Cambria" w:hAnsi="Cambria" w:cs="Times New Roman"/>
          <w:sz w:val="24"/>
          <w:szCs w:val="24"/>
        </w:rPr>
        <w:t>ș</w:t>
      </w:r>
      <w:r w:rsidRPr="00EA1BB2">
        <w:rPr>
          <w:rFonts w:ascii="Cambria" w:hAnsi="Cambria" w:cs="Times New Roman"/>
          <w:sz w:val="24"/>
          <w:szCs w:val="24"/>
        </w:rPr>
        <w:t>te în mod natural în concentra</w:t>
      </w:r>
      <w:r w:rsidR="00054880" w:rsidRPr="00EA1BB2">
        <w:rPr>
          <w:rFonts w:ascii="Cambria" w:hAnsi="Cambria" w:cs="Times New Roman"/>
          <w:sz w:val="24"/>
          <w:szCs w:val="24"/>
        </w:rPr>
        <w:t>ț</w:t>
      </w:r>
      <w:r w:rsidRPr="00EA1BB2">
        <w:rPr>
          <w:rFonts w:ascii="Cambria" w:hAnsi="Cambria" w:cs="Times New Roman"/>
          <w:sz w:val="24"/>
          <w:szCs w:val="24"/>
        </w:rPr>
        <w:t>ii foarte mici în troposferă (atmosfera joasă). Spre deosebire de ozonul stratosferic, care protejează formele de via</w:t>
      </w:r>
      <w:r w:rsidR="00054880" w:rsidRPr="00EA1BB2">
        <w:rPr>
          <w:rFonts w:ascii="Cambria" w:hAnsi="Cambria" w:cs="Times New Roman"/>
          <w:sz w:val="24"/>
          <w:szCs w:val="24"/>
        </w:rPr>
        <w:t>ț</w:t>
      </w:r>
      <w:r w:rsidRPr="00EA1BB2">
        <w:rPr>
          <w:rFonts w:ascii="Cambria" w:hAnsi="Cambria" w:cs="Times New Roman"/>
          <w:sz w:val="24"/>
          <w:szCs w:val="24"/>
        </w:rPr>
        <w:t>ă împotriva ac</w:t>
      </w:r>
      <w:r w:rsidR="00054880" w:rsidRPr="00EA1BB2">
        <w:rPr>
          <w:rFonts w:ascii="Cambria" w:hAnsi="Cambria" w:cs="Times New Roman"/>
          <w:sz w:val="24"/>
          <w:szCs w:val="24"/>
        </w:rPr>
        <w:t>ț</w:t>
      </w:r>
      <w:r w:rsidRPr="00EA1BB2">
        <w:rPr>
          <w:rFonts w:ascii="Cambria" w:hAnsi="Cambria" w:cs="Times New Roman"/>
          <w:sz w:val="24"/>
          <w:szCs w:val="24"/>
        </w:rPr>
        <w:t>iunii radia</w:t>
      </w:r>
      <w:r w:rsidR="00054880" w:rsidRPr="00EA1BB2">
        <w:rPr>
          <w:rFonts w:ascii="Cambria" w:hAnsi="Cambria" w:cs="Times New Roman"/>
          <w:sz w:val="24"/>
          <w:szCs w:val="24"/>
        </w:rPr>
        <w:t>ț</w:t>
      </w:r>
      <w:r w:rsidRPr="00EA1BB2">
        <w:rPr>
          <w:rFonts w:ascii="Cambria" w:hAnsi="Cambria" w:cs="Times New Roman"/>
          <w:sz w:val="24"/>
          <w:szCs w:val="24"/>
        </w:rPr>
        <w:t xml:space="preserve">iilor ultraviolete, ozonul troposferic (cuprins între sol </w:t>
      </w:r>
      <w:r w:rsidR="00054880" w:rsidRPr="00EA1BB2">
        <w:rPr>
          <w:rFonts w:ascii="Cambria" w:hAnsi="Cambria" w:cs="Times New Roman"/>
          <w:sz w:val="24"/>
          <w:szCs w:val="24"/>
        </w:rPr>
        <w:t>ș</w:t>
      </w:r>
      <w:r w:rsidRPr="00EA1BB2">
        <w:rPr>
          <w:rFonts w:ascii="Cambria" w:hAnsi="Cambria" w:cs="Times New Roman"/>
          <w:sz w:val="24"/>
          <w:szCs w:val="24"/>
        </w:rPr>
        <w:t>i 8-10 km înăl</w:t>
      </w:r>
      <w:r w:rsidR="00054880" w:rsidRPr="00EA1BB2">
        <w:rPr>
          <w:rFonts w:ascii="Cambria" w:hAnsi="Cambria" w:cs="Times New Roman"/>
          <w:sz w:val="24"/>
          <w:szCs w:val="24"/>
        </w:rPr>
        <w:t>ț</w:t>
      </w:r>
      <w:r w:rsidRPr="00EA1BB2">
        <w:rPr>
          <w:rFonts w:ascii="Cambria" w:hAnsi="Cambria" w:cs="Times New Roman"/>
          <w:sz w:val="24"/>
          <w:szCs w:val="24"/>
        </w:rPr>
        <w:t>ime) este deosebit de toxic, având o ac</w:t>
      </w:r>
      <w:r w:rsidR="00054880" w:rsidRPr="00EA1BB2">
        <w:rPr>
          <w:rFonts w:ascii="Cambria" w:hAnsi="Cambria" w:cs="Times New Roman"/>
          <w:sz w:val="24"/>
          <w:szCs w:val="24"/>
        </w:rPr>
        <w:t>ț</w:t>
      </w:r>
      <w:r w:rsidRPr="00EA1BB2">
        <w:rPr>
          <w:rFonts w:ascii="Cambria" w:hAnsi="Cambria" w:cs="Times New Roman"/>
          <w:sz w:val="24"/>
          <w:szCs w:val="24"/>
        </w:rPr>
        <w:t xml:space="preserve">iune puternic iritantă asupra căilor respiratorii, ochilor </w:t>
      </w:r>
      <w:r w:rsidR="00054880" w:rsidRPr="00EA1BB2">
        <w:rPr>
          <w:rFonts w:ascii="Cambria" w:hAnsi="Cambria" w:cs="Times New Roman"/>
          <w:sz w:val="24"/>
          <w:szCs w:val="24"/>
        </w:rPr>
        <w:t>ș</w:t>
      </w:r>
      <w:r w:rsidRPr="00EA1BB2">
        <w:rPr>
          <w:rFonts w:ascii="Cambria" w:hAnsi="Cambria" w:cs="Times New Roman"/>
          <w:sz w:val="24"/>
          <w:szCs w:val="24"/>
        </w:rPr>
        <w:t>i are poten</w:t>
      </w:r>
      <w:r w:rsidR="00054880" w:rsidRPr="00EA1BB2">
        <w:rPr>
          <w:rFonts w:ascii="Cambria" w:hAnsi="Cambria" w:cs="Times New Roman"/>
          <w:sz w:val="24"/>
          <w:szCs w:val="24"/>
        </w:rPr>
        <w:t>ț</w:t>
      </w:r>
      <w:r w:rsidRPr="00EA1BB2">
        <w:rPr>
          <w:rFonts w:ascii="Cambria" w:hAnsi="Cambria" w:cs="Times New Roman"/>
          <w:sz w:val="24"/>
          <w:szCs w:val="24"/>
        </w:rPr>
        <w:t xml:space="preserve">ial cancerigen. De asemenea, ozonul are efect toxic </w:t>
      </w:r>
      <w:r w:rsidR="00054880" w:rsidRPr="00EA1BB2">
        <w:rPr>
          <w:rFonts w:ascii="Cambria" w:hAnsi="Cambria" w:cs="Times New Roman"/>
          <w:sz w:val="24"/>
          <w:szCs w:val="24"/>
        </w:rPr>
        <w:t>ș</w:t>
      </w:r>
      <w:r w:rsidRPr="00EA1BB2">
        <w:rPr>
          <w:rFonts w:ascii="Cambria" w:hAnsi="Cambria" w:cs="Times New Roman"/>
          <w:sz w:val="24"/>
          <w:szCs w:val="24"/>
        </w:rPr>
        <w:t xml:space="preserve">i </w:t>
      </w:r>
      <w:r w:rsidRPr="00EA1BB2">
        <w:rPr>
          <w:rFonts w:ascii="Cambria" w:hAnsi="Cambria" w:cs="Times New Roman"/>
          <w:sz w:val="24"/>
          <w:szCs w:val="24"/>
        </w:rPr>
        <w:lastRenderedPageBreak/>
        <w:t>pentru vegeta</w:t>
      </w:r>
      <w:r w:rsidR="00054880" w:rsidRPr="00EA1BB2">
        <w:rPr>
          <w:rFonts w:ascii="Cambria" w:hAnsi="Cambria" w:cs="Times New Roman"/>
          <w:sz w:val="24"/>
          <w:szCs w:val="24"/>
        </w:rPr>
        <w:t>ț</w:t>
      </w:r>
      <w:r w:rsidRPr="00EA1BB2">
        <w:rPr>
          <w:rFonts w:ascii="Cambria" w:hAnsi="Cambria" w:cs="Times New Roman"/>
          <w:sz w:val="24"/>
          <w:szCs w:val="24"/>
        </w:rPr>
        <w:t xml:space="preserve">ie, determinând inhibarea fotosintezei </w:t>
      </w:r>
      <w:r w:rsidR="00054880" w:rsidRPr="00EA1BB2">
        <w:rPr>
          <w:rFonts w:ascii="Cambria" w:hAnsi="Cambria" w:cs="Times New Roman"/>
          <w:sz w:val="24"/>
          <w:szCs w:val="24"/>
        </w:rPr>
        <w:t>ș</w:t>
      </w:r>
      <w:r w:rsidRPr="00EA1BB2">
        <w:rPr>
          <w:rFonts w:ascii="Cambria" w:hAnsi="Cambria" w:cs="Times New Roman"/>
          <w:sz w:val="24"/>
          <w:szCs w:val="24"/>
        </w:rPr>
        <w:t>i producerea de leziuni foliate, necroze.</w:t>
      </w:r>
    </w:p>
    <w:p w14:paraId="6F537508" w14:textId="77777777" w:rsidR="00744560" w:rsidRPr="00EA1BB2" w:rsidRDefault="00744560" w:rsidP="00744560">
      <w:pPr>
        <w:spacing w:line="360" w:lineRule="auto"/>
        <w:ind w:firstLine="708"/>
        <w:jc w:val="both"/>
        <w:rPr>
          <w:rFonts w:ascii="Cambria" w:hAnsi="Cambria" w:cs="Times New Roman"/>
          <w:sz w:val="24"/>
          <w:szCs w:val="24"/>
        </w:rPr>
      </w:pPr>
      <w:r w:rsidRPr="00EA1BB2">
        <w:rPr>
          <w:rFonts w:ascii="Cambria" w:hAnsi="Cambria" w:cs="Times New Roman"/>
          <w:sz w:val="24"/>
          <w:szCs w:val="24"/>
        </w:rPr>
        <w:t>Ozonul este un poluant secundar deoarece, spre deosebire de al</w:t>
      </w:r>
      <w:r w:rsidR="00054880" w:rsidRPr="00EA1BB2">
        <w:rPr>
          <w:rFonts w:ascii="Cambria" w:hAnsi="Cambria" w:cs="Times New Roman"/>
          <w:sz w:val="24"/>
          <w:szCs w:val="24"/>
        </w:rPr>
        <w:t>ț</w:t>
      </w:r>
      <w:r w:rsidRPr="00EA1BB2">
        <w:rPr>
          <w:rFonts w:ascii="Cambria" w:hAnsi="Cambria" w:cs="Times New Roman"/>
          <w:sz w:val="24"/>
          <w:szCs w:val="24"/>
        </w:rPr>
        <w:t>i poluan</w:t>
      </w:r>
      <w:r w:rsidR="00054880" w:rsidRPr="00EA1BB2">
        <w:rPr>
          <w:rFonts w:ascii="Cambria" w:hAnsi="Cambria" w:cs="Times New Roman"/>
          <w:sz w:val="24"/>
          <w:szCs w:val="24"/>
        </w:rPr>
        <w:t>ț</w:t>
      </w:r>
      <w:r w:rsidRPr="00EA1BB2">
        <w:rPr>
          <w:rFonts w:ascii="Cambria" w:hAnsi="Cambria" w:cs="Times New Roman"/>
          <w:sz w:val="24"/>
          <w:szCs w:val="24"/>
        </w:rPr>
        <w:t>i, nu este emis direct de vreo sursă de emisie, ci se formează sub influen</w:t>
      </w:r>
      <w:r w:rsidR="00054880" w:rsidRPr="00EA1BB2">
        <w:rPr>
          <w:rFonts w:ascii="Cambria" w:hAnsi="Cambria" w:cs="Times New Roman"/>
          <w:sz w:val="24"/>
          <w:szCs w:val="24"/>
        </w:rPr>
        <w:t>ț</w:t>
      </w:r>
      <w:r w:rsidRPr="00EA1BB2">
        <w:rPr>
          <w:rFonts w:ascii="Cambria" w:hAnsi="Cambria" w:cs="Times New Roman"/>
          <w:sz w:val="24"/>
          <w:szCs w:val="24"/>
        </w:rPr>
        <w:t>a radia</w:t>
      </w:r>
      <w:r w:rsidR="00054880" w:rsidRPr="00EA1BB2">
        <w:rPr>
          <w:rFonts w:ascii="Cambria" w:hAnsi="Cambria" w:cs="Times New Roman"/>
          <w:sz w:val="24"/>
          <w:szCs w:val="24"/>
        </w:rPr>
        <w:t>ț</w:t>
      </w:r>
      <w:r w:rsidRPr="00EA1BB2">
        <w:rPr>
          <w:rFonts w:ascii="Cambria" w:hAnsi="Cambria" w:cs="Times New Roman"/>
          <w:sz w:val="24"/>
          <w:szCs w:val="24"/>
        </w:rPr>
        <w:t>iilor ultraviolete, prin reac</w:t>
      </w:r>
      <w:r w:rsidR="00054880" w:rsidRPr="00EA1BB2">
        <w:rPr>
          <w:rFonts w:ascii="Cambria" w:hAnsi="Cambria" w:cs="Times New Roman"/>
          <w:sz w:val="24"/>
          <w:szCs w:val="24"/>
        </w:rPr>
        <w:t>ț</w:t>
      </w:r>
      <w:r w:rsidRPr="00EA1BB2">
        <w:rPr>
          <w:rFonts w:ascii="Cambria" w:hAnsi="Cambria" w:cs="Times New Roman"/>
          <w:sz w:val="24"/>
          <w:szCs w:val="24"/>
        </w:rPr>
        <w:t>ii fotochimice în lan</w:t>
      </w:r>
      <w:r w:rsidR="00054880" w:rsidRPr="00EA1BB2">
        <w:rPr>
          <w:rFonts w:ascii="Cambria" w:hAnsi="Cambria" w:cs="Times New Roman"/>
          <w:sz w:val="24"/>
          <w:szCs w:val="24"/>
        </w:rPr>
        <w:t>ț</w:t>
      </w:r>
      <w:r w:rsidRPr="00EA1BB2">
        <w:rPr>
          <w:rFonts w:ascii="Cambria" w:hAnsi="Cambria" w:cs="Times New Roman"/>
          <w:sz w:val="24"/>
          <w:szCs w:val="24"/>
        </w:rPr>
        <w:t xml:space="preserve"> între o serie de poluan</w:t>
      </w:r>
      <w:r w:rsidR="00054880" w:rsidRPr="00EA1BB2">
        <w:rPr>
          <w:rFonts w:ascii="Cambria" w:hAnsi="Cambria" w:cs="Times New Roman"/>
          <w:sz w:val="24"/>
          <w:szCs w:val="24"/>
        </w:rPr>
        <w:t>ț</w:t>
      </w:r>
      <w:r w:rsidRPr="00EA1BB2">
        <w:rPr>
          <w:rFonts w:ascii="Cambria" w:hAnsi="Cambria" w:cs="Times New Roman"/>
          <w:sz w:val="24"/>
          <w:szCs w:val="24"/>
        </w:rPr>
        <w:t>i primari, precursori ai ozonului: oxizi de azot (NOx), compu</w:t>
      </w:r>
      <w:r w:rsidR="00054880" w:rsidRPr="00EA1BB2">
        <w:rPr>
          <w:rFonts w:ascii="Cambria" w:hAnsi="Cambria" w:cs="Times New Roman"/>
          <w:sz w:val="24"/>
          <w:szCs w:val="24"/>
        </w:rPr>
        <w:t>ș</w:t>
      </w:r>
      <w:r w:rsidRPr="00EA1BB2">
        <w:rPr>
          <w:rFonts w:ascii="Cambria" w:hAnsi="Cambria" w:cs="Times New Roman"/>
          <w:sz w:val="24"/>
          <w:szCs w:val="24"/>
        </w:rPr>
        <w:t>i organici volatili (COV), monoxidul de carbon (CO), etc.</w:t>
      </w:r>
    </w:p>
    <w:p w14:paraId="6FBDACFD" w14:textId="77777777" w:rsidR="00744560" w:rsidRPr="00EA1BB2" w:rsidRDefault="00744560" w:rsidP="00744560">
      <w:pPr>
        <w:spacing w:line="360" w:lineRule="auto"/>
        <w:ind w:firstLine="708"/>
        <w:jc w:val="both"/>
        <w:rPr>
          <w:rFonts w:ascii="Cambria" w:hAnsi="Cambria" w:cs="Times New Roman"/>
          <w:sz w:val="24"/>
          <w:szCs w:val="24"/>
        </w:rPr>
      </w:pPr>
      <w:r w:rsidRPr="00EA1BB2">
        <w:rPr>
          <w:rFonts w:ascii="Cambria" w:hAnsi="Cambria" w:cs="Times New Roman"/>
          <w:sz w:val="24"/>
          <w:szCs w:val="24"/>
        </w:rPr>
        <w:t>Precursorii ozonului provin atât din surse antropice (arderea combustibililor, traficul rutier, diferite activită</w:t>
      </w:r>
      <w:r w:rsidR="00054880" w:rsidRPr="00EA1BB2">
        <w:rPr>
          <w:rFonts w:ascii="Cambria" w:hAnsi="Cambria" w:cs="Times New Roman"/>
          <w:sz w:val="24"/>
          <w:szCs w:val="24"/>
        </w:rPr>
        <w:t>ț</w:t>
      </w:r>
      <w:r w:rsidRPr="00EA1BB2">
        <w:rPr>
          <w:rFonts w:ascii="Cambria" w:hAnsi="Cambria" w:cs="Times New Roman"/>
          <w:sz w:val="24"/>
          <w:szCs w:val="24"/>
        </w:rPr>
        <w:t xml:space="preserve">i industriale) cât </w:t>
      </w:r>
      <w:r w:rsidR="00054880" w:rsidRPr="00EA1BB2">
        <w:rPr>
          <w:rFonts w:ascii="Cambria" w:hAnsi="Cambria" w:cs="Times New Roman"/>
          <w:sz w:val="24"/>
          <w:szCs w:val="24"/>
        </w:rPr>
        <w:t>ș</w:t>
      </w:r>
      <w:r w:rsidRPr="00EA1BB2">
        <w:rPr>
          <w:rFonts w:ascii="Cambria" w:hAnsi="Cambria" w:cs="Times New Roman"/>
          <w:sz w:val="24"/>
          <w:szCs w:val="24"/>
        </w:rPr>
        <w:t>i din surse naturale (compu</w:t>
      </w:r>
      <w:r w:rsidR="00054880" w:rsidRPr="00EA1BB2">
        <w:rPr>
          <w:rFonts w:ascii="Cambria" w:hAnsi="Cambria" w:cs="Times New Roman"/>
          <w:sz w:val="24"/>
          <w:szCs w:val="24"/>
        </w:rPr>
        <w:t>ș</w:t>
      </w:r>
      <w:r w:rsidRPr="00EA1BB2">
        <w:rPr>
          <w:rFonts w:ascii="Cambria" w:hAnsi="Cambria" w:cs="Times New Roman"/>
          <w:sz w:val="24"/>
          <w:szCs w:val="24"/>
        </w:rPr>
        <w:t>i organici volatili biogeni emi</w:t>
      </w:r>
      <w:r w:rsidR="00054880" w:rsidRPr="00EA1BB2">
        <w:rPr>
          <w:rFonts w:ascii="Cambria" w:hAnsi="Cambria" w:cs="Times New Roman"/>
          <w:sz w:val="24"/>
          <w:szCs w:val="24"/>
        </w:rPr>
        <w:t>ș</w:t>
      </w:r>
      <w:r w:rsidRPr="00EA1BB2">
        <w:rPr>
          <w:rFonts w:ascii="Cambria" w:hAnsi="Cambria" w:cs="Times New Roman"/>
          <w:sz w:val="24"/>
          <w:szCs w:val="24"/>
        </w:rPr>
        <w:t xml:space="preserve">i de plante </w:t>
      </w:r>
      <w:r w:rsidR="00054880" w:rsidRPr="00EA1BB2">
        <w:rPr>
          <w:rFonts w:ascii="Cambria" w:hAnsi="Cambria" w:cs="Times New Roman"/>
          <w:sz w:val="24"/>
          <w:szCs w:val="24"/>
        </w:rPr>
        <w:t>ș</w:t>
      </w:r>
      <w:r w:rsidRPr="00EA1BB2">
        <w:rPr>
          <w:rFonts w:ascii="Cambria" w:hAnsi="Cambria" w:cs="Times New Roman"/>
          <w:sz w:val="24"/>
          <w:szCs w:val="24"/>
        </w:rPr>
        <w:t>i sol, în principal izoprenul emis de păduri; ace</w:t>
      </w:r>
      <w:r w:rsidR="00054880" w:rsidRPr="00EA1BB2">
        <w:rPr>
          <w:rFonts w:ascii="Cambria" w:hAnsi="Cambria" w:cs="Times New Roman"/>
          <w:sz w:val="24"/>
          <w:szCs w:val="24"/>
        </w:rPr>
        <w:t>ș</w:t>
      </w:r>
      <w:r w:rsidRPr="00EA1BB2">
        <w:rPr>
          <w:rFonts w:ascii="Cambria" w:hAnsi="Cambria" w:cs="Times New Roman"/>
          <w:sz w:val="24"/>
          <w:szCs w:val="24"/>
        </w:rPr>
        <w:t>ti compu</w:t>
      </w:r>
      <w:r w:rsidR="00054880" w:rsidRPr="00EA1BB2">
        <w:rPr>
          <w:rFonts w:ascii="Cambria" w:hAnsi="Cambria" w:cs="Times New Roman"/>
          <w:sz w:val="24"/>
          <w:szCs w:val="24"/>
        </w:rPr>
        <w:t>ș</w:t>
      </w:r>
      <w:r w:rsidRPr="00EA1BB2">
        <w:rPr>
          <w:rFonts w:ascii="Cambria" w:hAnsi="Cambria" w:cs="Times New Roman"/>
          <w:sz w:val="24"/>
          <w:szCs w:val="24"/>
        </w:rPr>
        <w:t>i biogeni, dificil de cuantificat, pot contribui substan</w:t>
      </w:r>
      <w:r w:rsidR="00054880" w:rsidRPr="00EA1BB2">
        <w:rPr>
          <w:rFonts w:ascii="Cambria" w:hAnsi="Cambria" w:cs="Times New Roman"/>
          <w:sz w:val="24"/>
          <w:szCs w:val="24"/>
        </w:rPr>
        <w:t>ț</w:t>
      </w:r>
      <w:r w:rsidRPr="00EA1BB2">
        <w:rPr>
          <w:rFonts w:ascii="Cambria" w:hAnsi="Cambria" w:cs="Times New Roman"/>
          <w:sz w:val="24"/>
          <w:szCs w:val="24"/>
        </w:rPr>
        <w:t>ial la formarea ozonului).</w:t>
      </w:r>
    </w:p>
    <w:p w14:paraId="5AA25421" w14:textId="77777777" w:rsidR="00744560" w:rsidRPr="00EA1BB2" w:rsidRDefault="00744560" w:rsidP="00744560">
      <w:pPr>
        <w:spacing w:line="360" w:lineRule="auto"/>
        <w:ind w:firstLine="708"/>
        <w:jc w:val="both"/>
        <w:rPr>
          <w:rFonts w:ascii="Cambria" w:hAnsi="Cambria" w:cs="Times New Roman"/>
          <w:sz w:val="24"/>
          <w:szCs w:val="24"/>
        </w:rPr>
      </w:pPr>
      <w:r w:rsidRPr="00EA1BB2">
        <w:rPr>
          <w:rFonts w:ascii="Cambria" w:hAnsi="Cambria" w:cs="Times New Roman"/>
          <w:sz w:val="24"/>
          <w:szCs w:val="24"/>
        </w:rPr>
        <w:t>O altă sursă naturală de ozon în atmosfera joasă este reprezentată de mici cantită</w:t>
      </w:r>
      <w:r w:rsidR="00054880" w:rsidRPr="00EA1BB2">
        <w:rPr>
          <w:rFonts w:ascii="Cambria" w:hAnsi="Cambria" w:cs="Times New Roman"/>
          <w:sz w:val="24"/>
          <w:szCs w:val="24"/>
        </w:rPr>
        <w:t>ț</w:t>
      </w:r>
      <w:r w:rsidRPr="00EA1BB2">
        <w:rPr>
          <w:rFonts w:ascii="Cambria" w:hAnsi="Cambria" w:cs="Times New Roman"/>
          <w:sz w:val="24"/>
          <w:szCs w:val="24"/>
        </w:rPr>
        <w:t>i de ozon din stratosferă, care în anumite condi</w:t>
      </w:r>
      <w:r w:rsidR="00054880" w:rsidRPr="00EA1BB2">
        <w:rPr>
          <w:rFonts w:ascii="Cambria" w:hAnsi="Cambria" w:cs="Times New Roman"/>
          <w:sz w:val="24"/>
          <w:szCs w:val="24"/>
        </w:rPr>
        <w:t>ț</w:t>
      </w:r>
      <w:r w:rsidRPr="00EA1BB2">
        <w:rPr>
          <w:rFonts w:ascii="Cambria" w:hAnsi="Cambria" w:cs="Times New Roman"/>
          <w:sz w:val="24"/>
          <w:szCs w:val="24"/>
        </w:rPr>
        <w:t>ii meteorologice migrează ocazional către suprafa</w:t>
      </w:r>
      <w:r w:rsidR="00054880" w:rsidRPr="00EA1BB2">
        <w:rPr>
          <w:rFonts w:ascii="Cambria" w:hAnsi="Cambria" w:cs="Times New Roman"/>
          <w:sz w:val="24"/>
          <w:szCs w:val="24"/>
        </w:rPr>
        <w:t>ț</w:t>
      </w:r>
      <w:r w:rsidRPr="00EA1BB2">
        <w:rPr>
          <w:rFonts w:ascii="Cambria" w:hAnsi="Cambria" w:cs="Times New Roman"/>
          <w:sz w:val="24"/>
          <w:szCs w:val="24"/>
        </w:rPr>
        <w:t>a pământului.</w:t>
      </w:r>
    </w:p>
    <w:p w14:paraId="20825753" w14:textId="77777777" w:rsidR="00744560" w:rsidRPr="00EA1BB2" w:rsidRDefault="00744560" w:rsidP="00744560">
      <w:pPr>
        <w:spacing w:line="360" w:lineRule="auto"/>
        <w:ind w:firstLine="708"/>
        <w:jc w:val="both"/>
        <w:rPr>
          <w:rFonts w:ascii="Cambria" w:hAnsi="Cambria" w:cs="Times New Roman"/>
          <w:sz w:val="24"/>
          <w:szCs w:val="24"/>
        </w:rPr>
      </w:pPr>
      <w:r w:rsidRPr="00EA1BB2">
        <w:rPr>
          <w:rFonts w:ascii="Cambria" w:hAnsi="Cambria" w:cs="Times New Roman"/>
          <w:sz w:val="24"/>
          <w:szCs w:val="24"/>
        </w:rPr>
        <w:t>Formarea fotochimică a O</w:t>
      </w:r>
      <w:r w:rsidRPr="00EA1BB2">
        <w:rPr>
          <w:rFonts w:ascii="Cambria" w:hAnsi="Cambria" w:cs="Times New Roman"/>
          <w:sz w:val="24"/>
          <w:szCs w:val="24"/>
          <w:vertAlign w:val="subscript"/>
        </w:rPr>
        <w:t>3</w:t>
      </w:r>
      <w:r w:rsidRPr="00EA1BB2">
        <w:rPr>
          <w:rFonts w:ascii="Cambria" w:hAnsi="Cambria" w:cs="Times New Roman"/>
          <w:sz w:val="24"/>
          <w:szCs w:val="24"/>
        </w:rPr>
        <w:t xml:space="preserve"> depinde în principal de factorii meteorologici </w:t>
      </w:r>
      <w:r w:rsidR="00054880" w:rsidRPr="00EA1BB2">
        <w:rPr>
          <w:rFonts w:ascii="Cambria" w:hAnsi="Cambria" w:cs="Times New Roman"/>
          <w:sz w:val="24"/>
          <w:szCs w:val="24"/>
        </w:rPr>
        <w:t>ș</w:t>
      </w:r>
      <w:r w:rsidRPr="00EA1BB2">
        <w:rPr>
          <w:rFonts w:ascii="Cambria" w:hAnsi="Cambria" w:cs="Times New Roman"/>
          <w:sz w:val="24"/>
          <w:szCs w:val="24"/>
        </w:rPr>
        <w:t>i de concentra</w:t>
      </w:r>
      <w:r w:rsidR="00054880" w:rsidRPr="00EA1BB2">
        <w:rPr>
          <w:rFonts w:ascii="Cambria" w:hAnsi="Cambria" w:cs="Times New Roman"/>
          <w:sz w:val="24"/>
          <w:szCs w:val="24"/>
        </w:rPr>
        <w:t>ț</w:t>
      </w:r>
      <w:r w:rsidRPr="00EA1BB2">
        <w:rPr>
          <w:rFonts w:ascii="Cambria" w:hAnsi="Cambria" w:cs="Times New Roman"/>
          <w:sz w:val="24"/>
          <w:szCs w:val="24"/>
        </w:rPr>
        <w:t>iile de precursori. În atmosferă au loc reac</w:t>
      </w:r>
      <w:r w:rsidR="00054880" w:rsidRPr="00EA1BB2">
        <w:rPr>
          <w:rFonts w:ascii="Cambria" w:hAnsi="Cambria" w:cs="Times New Roman"/>
          <w:sz w:val="24"/>
          <w:szCs w:val="24"/>
        </w:rPr>
        <w:t>ț</w:t>
      </w:r>
      <w:r w:rsidRPr="00EA1BB2">
        <w:rPr>
          <w:rFonts w:ascii="Cambria" w:hAnsi="Cambria" w:cs="Times New Roman"/>
          <w:sz w:val="24"/>
          <w:szCs w:val="24"/>
        </w:rPr>
        <w:t>ii în lan</w:t>
      </w:r>
      <w:r w:rsidR="00054880" w:rsidRPr="00EA1BB2">
        <w:rPr>
          <w:rFonts w:ascii="Cambria" w:hAnsi="Cambria" w:cs="Times New Roman"/>
          <w:sz w:val="24"/>
          <w:szCs w:val="24"/>
        </w:rPr>
        <w:t>ț</w:t>
      </w:r>
      <w:r w:rsidRPr="00EA1BB2">
        <w:rPr>
          <w:rFonts w:ascii="Cambria" w:hAnsi="Cambria" w:cs="Times New Roman"/>
          <w:sz w:val="24"/>
          <w:szCs w:val="24"/>
        </w:rPr>
        <w:t xml:space="preserve"> complexe, multe dintre acestea concurente, în care ozonul se formează </w:t>
      </w:r>
      <w:r w:rsidR="00054880" w:rsidRPr="00EA1BB2">
        <w:rPr>
          <w:rFonts w:ascii="Cambria" w:hAnsi="Cambria" w:cs="Times New Roman"/>
          <w:sz w:val="24"/>
          <w:szCs w:val="24"/>
        </w:rPr>
        <w:t>ș</w:t>
      </w:r>
      <w:r w:rsidRPr="00EA1BB2">
        <w:rPr>
          <w:rFonts w:ascii="Cambria" w:hAnsi="Cambria" w:cs="Times New Roman"/>
          <w:sz w:val="24"/>
          <w:szCs w:val="24"/>
        </w:rPr>
        <w:t>i se consumă, astfel încât concentra</w:t>
      </w:r>
      <w:r w:rsidR="00054880" w:rsidRPr="00EA1BB2">
        <w:rPr>
          <w:rFonts w:ascii="Cambria" w:hAnsi="Cambria" w:cs="Times New Roman"/>
          <w:sz w:val="24"/>
          <w:szCs w:val="24"/>
        </w:rPr>
        <w:t>ț</w:t>
      </w:r>
      <w:r w:rsidRPr="00EA1BB2">
        <w:rPr>
          <w:rFonts w:ascii="Cambria" w:hAnsi="Cambria" w:cs="Times New Roman"/>
          <w:sz w:val="24"/>
          <w:szCs w:val="24"/>
        </w:rPr>
        <w:t xml:space="preserve">ia sa la un moment dat depinde de o multitudine de factori, precum raportul dintre monoxidul de azot </w:t>
      </w:r>
      <w:r w:rsidR="00054880" w:rsidRPr="00EA1BB2">
        <w:rPr>
          <w:rFonts w:ascii="Cambria" w:hAnsi="Cambria" w:cs="Times New Roman"/>
          <w:sz w:val="24"/>
          <w:szCs w:val="24"/>
        </w:rPr>
        <w:t>ș</w:t>
      </w:r>
      <w:r w:rsidRPr="00EA1BB2">
        <w:rPr>
          <w:rFonts w:ascii="Cambria" w:hAnsi="Cambria" w:cs="Times New Roman"/>
          <w:sz w:val="24"/>
          <w:szCs w:val="24"/>
        </w:rPr>
        <w:t>i dioxidul de azot din atmosferă, prezen</w:t>
      </w:r>
      <w:r w:rsidR="00054880" w:rsidRPr="00EA1BB2">
        <w:rPr>
          <w:rFonts w:ascii="Cambria" w:hAnsi="Cambria" w:cs="Times New Roman"/>
          <w:sz w:val="24"/>
          <w:szCs w:val="24"/>
        </w:rPr>
        <w:t>ț</w:t>
      </w:r>
      <w:r w:rsidRPr="00EA1BB2">
        <w:rPr>
          <w:rFonts w:ascii="Cambria" w:hAnsi="Cambria" w:cs="Times New Roman"/>
          <w:sz w:val="24"/>
          <w:szCs w:val="24"/>
        </w:rPr>
        <w:t>a compu</w:t>
      </w:r>
      <w:r w:rsidR="00054880" w:rsidRPr="00EA1BB2">
        <w:rPr>
          <w:rFonts w:ascii="Cambria" w:hAnsi="Cambria" w:cs="Times New Roman"/>
          <w:sz w:val="24"/>
          <w:szCs w:val="24"/>
        </w:rPr>
        <w:t>ș</w:t>
      </w:r>
      <w:r w:rsidRPr="00EA1BB2">
        <w:rPr>
          <w:rFonts w:ascii="Cambria" w:hAnsi="Cambria" w:cs="Times New Roman"/>
          <w:sz w:val="24"/>
          <w:szCs w:val="24"/>
        </w:rPr>
        <w:t>ilor organici volatili necesari ini</w:t>
      </w:r>
      <w:r w:rsidR="00054880" w:rsidRPr="00EA1BB2">
        <w:rPr>
          <w:rFonts w:ascii="Cambria" w:hAnsi="Cambria" w:cs="Times New Roman"/>
          <w:sz w:val="24"/>
          <w:szCs w:val="24"/>
        </w:rPr>
        <w:t>ț</w:t>
      </w:r>
      <w:r w:rsidRPr="00EA1BB2">
        <w:rPr>
          <w:rFonts w:ascii="Cambria" w:hAnsi="Cambria" w:cs="Times New Roman"/>
          <w:sz w:val="24"/>
          <w:szCs w:val="24"/>
        </w:rPr>
        <w:t>ierii reac</w:t>
      </w:r>
      <w:r w:rsidR="00054880" w:rsidRPr="00EA1BB2">
        <w:rPr>
          <w:rFonts w:ascii="Cambria" w:hAnsi="Cambria" w:cs="Times New Roman"/>
          <w:sz w:val="24"/>
          <w:szCs w:val="24"/>
        </w:rPr>
        <w:t>ț</w:t>
      </w:r>
      <w:r w:rsidRPr="00EA1BB2">
        <w:rPr>
          <w:rFonts w:ascii="Cambria" w:hAnsi="Cambria" w:cs="Times New Roman"/>
          <w:sz w:val="24"/>
          <w:szCs w:val="24"/>
        </w:rPr>
        <w:t xml:space="preserve">iilor, dar </w:t>
      </w:r>
      <w:r w:rsidR="00054880" w:rsidRPr="00EA1BB2">
        <w:rPr>
          <w:rFonts w:ascii="Cambria" w:hAnsi="Cambria" w:cs="Times New Roman"/>
          <w:sz w:val="24"/>
          <w:szCs w:val="24"/>
        </w:rPr>
        <w:t>ș</w:t>
      </w:r>
      <w:r w:rsidRPr="00EA1BB2">
        <w:rPr>
          <w:rFonts w:ascii="Cambria" w:hAnsi="Cambria" w:cs="Times New Roman"/>
          <w:sz w:val="24"/>
          <w:szCs w:val="24"/>
        </w:rPr>
        <w:t xml:space="preserve">i de factori meteorologici: temperaturi ridicate </w:t>
      </w:r>
      <w:r w:rsidR="00054880" w:rsidRPr="00EA1BB2">
        <w:rPr>
          <w:rFonts w:ascii="Cambria" w:hAnsi="Cambria" w:cs="Times New Roman"/>
          <w:sz w:val="24"/>
          <w:szCs w:val="24"/>
        </w:rPr>
        <w:t>ș</w:t>
      </w:r>
      <w:r w:rsidRPr="00EA1BB2">
        <w:rPr>
          <w:rFonts w:ascii="Cambria" w:hAnsi="Cambria" w:cs="Times New Roman"/>
          <w:sz w:val="24"/>
          <w:szCs w:val="24"/>
        </w:rPr>
        <w:t>i intensitatea crescută a radia</w:t>
      </w:r>
      <w:r w:rsidR="00054880" w:rsidRPr="00EA1BB2">
        <w:rPr>
          <w:rFonts w:ascii="Cambria" w:hAnsi="Cambria" w:cs="Times New Roman"/>
          <w:sz w:val="24"/>
          <w:szCs w:val="24"/>
        </w:rPr>
        <w:t>ț</w:t>
      </w:r>
      <w:r w:rsidRPr="00EA1BB2">
        <w:rPr>
          <w:rFonts w:ascii="Cambria" w:hAnsi="Cambria" w:cs="Times New Roman"/>
          <w:sz w:val="24"/>
          <w:szCs w:val="24"/>
        </w:rPr>
        <w:t>iei solare (care favorizează reac</w:t>
      </w:r>
      <w:r w:rsidR="00054880" w:rsidRPr="00EA1BB2">
        <w:rPr>
          <w:rFonts w:ascii="Cambria" w:hAnsi="Cambria" w:cs="Times New Roman"/>
          <w:sz w:val="24"/>
          <w:szCs w:val="24"/>
        </w:rPr>
        <w:t>ț</w:t>
      </w:r>
      <w:r w:rsidRPr="00EA1BB2">
        <w:rPr>
          <w:rFonts w:ascii="Cambria" w:hAnsi="Cambria" w:cs="Times New Roman"/>
          <w:sz w:val="24"/>
          <w:szCs w:val="24"/>
        </w:rPr>
        <w:t>iile de formare a ozonului), precipita</w:t>
      </w:r>
      <w:r w:rsidR="00054880" w:rsidRPr="00EA1BB2">
        <w:rPr>
          <w:rFonts w:ascii="Cambria" w:hAnsi="Cambria" w:cs="Times New Roman"/>
          <w:sz w:val="24"/>
          <w:szCs w:val="24"/>
        </w:rPr>
        <w:t>ț</w:t>
      </w:r>
      <w:r w:rsidRPr="00EA1BB2">
        <w:rPr>
          <w:rFonts w:ascii="Cambria" w:hAnsi="Cambria" w:cs="Times New Roman"/>
          <w:sz w:val="24"/>
          <w:szCs w:val="24"/>
        </w:rPr>
        <w:t>ii (care contribuie la scăderea concentra</w:t>
      </w:r>
      <w:r w:rsidR="00054880" w:rsidRPr="00EA1BB2">
        <w:rPr>
          <w:rFonts w:ascii="Cambria" w:hAnsi="Cambria" w:cs="Times New Roman"/>
          <w:sz w:val="24"/>
          <w:szCs w:val="24"/>
        </w:rPr>
        <w:t>ț</w:t>
      </w:r>
      <w:r w:rsidRPr="00EA1BB2">
        <w:rPr>
          <w:rFonts w:ascii="Cambria" w:hAnsi="Cambria" w:cs="Times New Roman"/>
          <w:sz w:val="24"/>
          <w:szCs w:val="24"/>
        </w:rPr>
        <w:t>iilor de ozon din aer).</w:t>
      </w:r>
    </w:p>
    <w:p w14:paraId="435CBCC1" w14:textId="77777777" w:rsidR="00744560" w:rsidRPr="00EA1BB2" w:rsidRDefault="00744560" w:rsidP="00744560">
      <w:pPr>
        <w:spacing w:line="360" w:lineRule="auto"/>
        <w:ind w:firstLine="708"/>
        <w:jc w:val="both"/>
        <w:rPr>
          <w:rFonts w:ascii="Cambria" w:hAnsi="Cambria" w:cs="Times New Roman"/>
          <w:sz w:val="24"/>
          <w:szCs w:val="24"/>
        </w:rPr>
      </w:pPr>
      <w:r w:rsidRPr="00EA1BB2">
        <w:rPr>
          <w:rFonts w:ascii="Cambria" w:hAnsi="Cambria" w:cs="Times New Roman"/>
          <w:sz w:val="24"/>
          <w:szCs w:val="24"/>
        </w:rPr>
        <w:t>Ca urmare a complexită</w:t>
      </w:r>
      <w:r w:rsidR="00054880" w:rsidRPr="00EA1BB2">
        <w:rPr>
          <w:rFonts w:ascii="Cambria" w:hAnsi="Cambria" w:cs="Times New Roman"/>
          <w:sz w:val="24"/>
          <w:szCs w:val="24"/>
        </w:rPr>
        <w:t>ț</w:t>
      </w:r>
      <w:r w:rsidRPr="00EA1BB2">
        <w:rPr>
          <w:rFonts w:ascii="Cambria" w:hAnsi="Cambria" w:cs="Times New Roman"/>
          <w:sz w:val="24"/>
          <w:szCs w:val="24"/>
        </w:rPr>
        <w:t xml:space="preserve">ii proceselor fizico-chimice din atmosferă </w:t>
      </w:r>
      <w:r w:rsidR="00054880" w:rsidRPr="00EA1BB2">
        <w:rPr>
          <w:rFonts w:ascii="Cambria" w:hAnsi="Cambria" w:cs="Times New Roman"/>
          <w:sz w:val="24"/>
          <w:szCs w:val="24"/>
        </w:rPr>
        <w:t>ș</w:t>
      </w:r>
      <w:r w:rsidRPr="00EA1BB2">
        <w:rPr>
          <w:rFonts w:ascii="Cambria" w:hAnsi="Cambria" w:cs="Times New Roman"/>
          <w:sz w:val="24"/>
          <w:szCs w:val="24"/>
        </w:rPr>
        <w:t>i a strânsei lor dependen</w:t>
      </w:r>
      <w:r w:rsidR="00054880" w:rsidRPr="00EA1BB2">
        <w:rPr>
          <w:rFonts w:ascii="Cambria" w:hAnsi="Cambria" w:cs="Times New Roman"/>
          <w:sz w:val="24"/>
          <w:szCs w:val="24"/>
        </w:rPr>
        <w:t>ț</w:t>
      </w:r>
      <w:r w:rsidRPr="00EA1BB2">
        <w:rPr>
          <w:rFonts w:ascii="Cambria" w:hAnsi="Cambria" w:cs="Times New Roman"/>
          <w:sz w:val="24"/>
          <w:szCs w:val="24"/>
        </w:rPr>
        <w:t>e de condi</w:t>
      </w:r>
      <w:r w:rsidR="00054880" w:rsidRPr="00EA1BB2">
        <w:rPr>
          <w:rFonts w:ascii="Cambria" w:hAnsi="Cambria" w:cs="Times New Roman"/>
          <w:sz w:val="24"/>
          <w:szCs w:val="24"/>
        </w:rPr>
        <w:t>ț</w:t>
      </w:r>
      <w:r w:rsidRPr="00EA1BB2">
        <w:rPr>
          <w:rFonts w:ascii="Cambria" w:hAnsi="Cambria" w:cs="Times New Roman"/>
          <w:sz w:val="24"/>
          <w:szCs w:val="24"/>
        </w:rPr>
        <w:t>iile meteorologice, a variabilită</w:t>
      </w:r>
      <w:r w:rsidR="00054880" w:rsidRPr="00EA1BB2">
        <w:rPr>
          <w:rFonts w:ascii="Cambria" w:hAnsi="Cambria" w:cs="Times New Roman"/>
          <w:sz w:val="24"/>
          <w:szCs w:val="24"/>
        </w:rPr>
        <w:t>ț</w:t>
      </w:r>
      <w:r w:rsidRPr="00EA1BB2">
        <w:rPr>
          <w:rFonts w:ascii="Cambria" w:hAnsi="Cambria" w:cs="Times New Roman"/>
          <w:sz w:val="24"/>
          <w:szCs w:val="24"/>
        </w:rPr>
        <w:t>ii spa</w:t>
      </w:r>
      <w:r w:rsidR="00054880" w:rsidRPr="00EA1BB2">
        <w:rPr>
          <w:rFonts w:ascii="Cambria" w:hAnsi="Cambria" w:cs="Times New Roman"/>
          <w:sz w:val="24"/>
          <w:szCs w:val="24"/>
        </w:rPr>
        <w:t>ț</w:t>
      </w:r>
      <w:r w:rsidRPr="00EA1BB2">
        <w:rPr>
          <w:rFonts w:ascii="Cambria" w:hAnsi="Cambria" w:cs="Times New Roman"/>
          <w:sz w:val="24"/>
          <w:szCs w:val="24"/>
        </w:rPr>
        <w:t xml:space="preserve">iale </w:t>
      </w:r>
      <w:r w:rsidR="00054880" w:rsidRPr="00EA1BB2">
        <w:rPr>
          <w:rFonts w:ascii="Cambria" w:hAnsi="Cambria" w:cs="Times New Roman"/>
          <w:sz w:val="24"/>
          <w:szCs w:val="24"/>
        </w:rPr>
        <w:t>ș</w:t>
      </w:r>
      <w:r w:rsidRPr="00EA1BB2">
        <w:rPr>
          <w:rFonts w:ascii="Cambria" w:hAnsi="Cambria" w:cs="Times New Roman"/>
          <w:sz w:val="24"/>
          <w:szCs w:val="24"/>
        </w:rPr>
        <w:t>i temporale a emisiilor de precursori, a cre</w:t>
      </w:r>
      <w:r w:rsidR="00054880" w:rsidRPr="00EA1BB2">
        <w:rPr>
          <w:rFonts w:ascii="Cambria" w:hAnsi="Cambria" w:cs="Times New Roman"/>
          <w:sz w:val="24"/>
          <w:szCs w:val="24"/>
        </w:rPr>
        <w:t>ș</w:t>
      </w:r>
      <w:r w:rsidRPr="00EA1BB2">
        <w:rPr>
          <w:rFonts w:ascii="Cambria" w:hAnsi="Cambria" w:cs="Times New Roman"/>
          <w:sz w:val="24"/>
          <w:szCs w:val="24"/>
        </w:rPr>
        <w:t xml:space="preserve">terii transportului ozonului </w:t>
      </w:r>
      <w:r w:rsidR="00054880" w:rsidRPr="00EA1BB2">
        <w:rPr>
          <w:rFonts w:ascii="Cambria" w:hAnsi="Cambria" w:cs="Times New Roman"/>
          <w:sz w:val="24"/>
          <w:szCs w:val="24"/>
        </w:rPr>
        <w:t>ș</w:t>
      </w:r>
      <w:r w:rsidRPr="00EA1BB2">
        <w:rPr>
          <w:rFonts w:ascii="Cambria" w:hAnsi="Cambria" w:cs="Times New Roman"/>
          <w:sz w:val="24"/>
          <w:szCs w:val="24"/>
        </w:rPr>
        <w:t>i precursorilor săi la mare distan</w:t>
      </w:r>
      <w:r w:rsidR="00054880" w:rsidRPr="00EA1BB2">
        <w:rPr>
          <w:rFonts w:ascii="Cambria" w:hAnsi="Cambria" w:cs="Times New Roman"/>
          <w:sz w:val="24"/>
          <w:szCs w:val="24"/>
        </w:rPr>
        <w:t>ț</w:t>
      </w:r>
      <w:r w:rsidRPr="00EA1BB2">
        <w:rPr>
          <w:rFonts w:ascii="Cambria" w:hAnsi="Cambria" w:cs="Times New Roman"/>
          <w:sz w:val="24"/>
          <w:szCs w:val="24"/>
        </w:rPr>
        <w:t xml:space="preserve">ă, inclusiv la scară inter-continentală în emisfera nordică, precum </w:t>
      </w:r>
      <w:r w:rsidR="00054880" w:rsidRPr="00EA1BB2">
        <w:rPr>
          <w:rFonts w:ascii="Cambria" w:hAnsi="Cambria" w:cs="Times New Roman"/>
          <w:sz w:val="24"/>
          <w:szCs w:val="24"/>
        </w:rPr>
        <w:t>ș</w:t>
      </w:r>
      <w:r w:rsidRPr="00EA1BB2">
        <w:rPr>
          <w:rFonts w:ascii="Cambria" w:hAnsi="Cambria" w:cs="Times New Roman"/>
          <w:sz w:val="24"/>
          <w:szCs w:val="24"/>
        </w:rPr>
        <w:t>i a variabilită</w:t>
      </w:r>
      <w:r w:rsidR="00054880" w:rsidRPr="00EA1BB2">
        <w:rPr>
          <w:rFonts w:ascii="Cambria" w:hAnsi="Cambria" w:cs="Times New Roman"/>
          <w:sz w:val="24"/>
          <w:szCs w:val="24"/>
        </w:rPr>
        <w:t>ț</w:t>
      </w:r>
      <w:r w:rsidRPr="00EA1BB2">
        <w:rPr>
          <w:rFonts w:ascii="Cambria" w:hAnsi="Cambria" w:cs="Times New Roman"/>
          <w:sz w:val="24"/>
          <w:szCs w:val="24"/>
        </w:rPr>
        <w:t xml:space="preserve">ii schimburilor dintre stratosferă </w:t>
      </w:r>
      <w:r w:rsidR="00054880" w:rsidRPr="00EA1BB2">
        <w:rPr>
          <w:rFonts w:ascii="Cambria" w:hAnsi="Cambria" w:cs="Times New Roman"/>
          <w:sz w:val="24"/>
          <w:szCs w:val="24"/>
        </w:rPr>
        <w:t>ș</w:t>
      </w:r>
      <w:r w:rsidRPr="00EA1BB2">
        <w:rPr>
          <w:rFonts w:ascii="Cambria" w:hAnsi="Cambria" w:cs="Times New Roman"/>
          <w:sz w:val="24"/>
          <w:szCs w:val="24"/>
        </w:rPr>
        <w:t>i troposferă, concentra</w:t>
      </w:r>
      <w:r w:rsidR="00054880" w:rsidRPr="00EA1BB2">
        <w:rPr>
          <w:rFonts w:ascii="Cambria" w:hAnsi="Cambria" w:cs="Times New Roman"/>
          <w:sz w:val="24"/>
          <w:szCs w:val="24"/>
        </w:rPr>
        <w:t>ț</w:t>
      </w:r>
      <w:r w:rsidRPr="00EA1BB2">
        <w:rPr>
          <w:rFonts w:ascii="Cambria" w:hAnsi="Cambria" w:cs="Times New Roman"/>
          <w:sz w:val="24"/>
          <w:szCs w:val="24"/>
        </w:rPr>
        <w:t xml:space="preserve">iile de ozon în atmosfera joasă sunt foarte variabile în timp </w:t>
      </w:r>
      <w:r w:rsidR="00054880" w:rsidRPr="00EA1BB2">
        <w:rPr>
          <w:rFonts w:ascii="Cambria" w:hAnsi="Cambria" w:cs="Times New Roman"/>
          <w:sz w:val="24"/>
          <w:szCs w:val="24"/>
        </w:rPr>
        <w:t>ș</w:t>
      </w:r>
      <w:r w:rsidRPr="00EA1BB2">
        <w:rPr>
          <w:rFonts w:ascii="Cambria" w:hAnsi="Cambria" w:cs="Times New Roman"/>
          <w:sz w:val="24"/>
          <w:szCs w:val="24"/>
        </w:rPr>
        <w:t>i spa</w:t>
      </w:r>
      <w:r w:rsidR="00054880" w:rsidRPr="00EA1BB2">
        <w:rPr>
          <w:rFonts w:ascii="Cambria" w:hAnsi="Cambria" w:cs="Times New Roman"/>
          <w:sz w:val="24"/>
          <w:szCs w:val="24"/>
        </w:rPr>
        <w:t>ț</w:t>
      </w:r>
      <w:r w:rsidRPr="00EA1BB2">
        <w:rPr>
          <w:rFonts w:ascii="Cambria" w:hAnsi="Cambria" w:cs="Times New Roman"/>
          <w:sz w:val="24"/>
          <w:szCs w:val="24"/>
        </w:rPr>
        <w:t>iu, fiind totodată dificil de controlat.</w:t>
      </w:r>
    </w:p>
    <w:p w14:paraId="57C21B64" w14:textId="77777777" w:rsidR="008052B9" w:rsidRPr="00EA1BB2" w:rsidRDefault="008052B9" w:rsidP="008052B9">
      <w:pPr>
        <w:spacing w:line="360" w:lineRule="auto"/>
        <w:ind w:firstLine="708"/>
        <w:jc w:val="both"/>
        <w:rPr>
          <w:rFonts w:ascii="Cambria" w:eastAsia="Calibri" w:hAnsi="Cambria" w:cs="Times New Roman"/>
          <w:sz w:val="24"/>
          <w:szCs w:val="24"/>
        </w:rPr>
      </w:pPr>
      <w:bookmarkStart w:id="218" w:name="_Toc466896089"/>
      <w:r w:rsidRPr="00EA1BB2">
        <w:rPr>
          <w:rFonts w:ascii="Cambria" w:eastAsia="Calibri" w:hAnsi="Cambria" w:cs="Times New Roman"/>
          <w:sz w:val="24"/>
          <w:szCs w:val="24"/>
        </w:rPr>
        <w:t>Concentrațiile de ozon din aerul înconjurător se evaluează folosind pragul de alertă pentru perioada de mediere orară (240 µg/m</w:t>
      </w:r>
      <w:r w:rsidRPr="00EA1BB2">
        <w:rPr>
          <w:rFonts w:ascii="Cambria" w:eastAsia="Calibri" w:hAnsi="Cambria" w:cs="Times New Roman"/>
          <w:sz w:val="24"/>
          <w:szCs w:val="24"/>
          <w:vertAlign w:val="superscript"/>
        </w:rPr>
        <w:t>3</w:t>
      </w:r>
      <w:r w:rsidRPr="00EA1BB2">
        <w:rPr>
          <w:rFonts w:ascii="Cambria" w:eastAsia="Calibri" w:hAnsi="Cambria" w:cs="Times New Roman"/>
          <w:sz w:val="24"/>
          <w:szCs w:val="24"/>
        </w:rPr>
        <w:t xml:space="preserve"> măsurat timp de 3 ore consecutiv), pragul de informare pentru perioada de mediere orară (180 µg/m</w:t>
      </w:r>
      <w:r w:rsidRPr="00EA1BB2">
        <w:rPr>
          <w:rFonts w:ascii="Cambria" w:eastAsia="Calibri" w:hAnsi="Cambria" w:cs="Times New Roman"/>
          <w:sz w:val="24"/>
          <w:szCs w:val="24"/>
          <w:vertAlign w:val="superscript"/>
        </w:rPr>
        <w:t>3</w:t>
      </w:r>
      <w:r w:rsidRPr="00EA1BB2">
        <w:rPr>
          <w:rFonts w:ascii="Cambria" w:eastAsia="Calibri" w:hAnsi="Cambria" w:cs="Times New Roman"/>
          <w:sz w:val="24"/>
          <w:szCs w:val="24"/>
        </w:rPr>
        <w:t>) și valoarea țintă pentru protecția sănătății umane pentru valoarea maximă zilnică a mediilor pe 8 ore (medie mobilă) (120 µg/m</w:t>
      </w:r>
      <w:r w:rsidRPr="00EA1BB2">
        <w:rPr>
          <w:rFonts w:ascii="Cambria" w:eastAsia="Calibri" w:hAnsi="Cambria" w:cs="Times New Roman"/>
          <w:sz w:val="24"/>
          <w:szCs w:val="24"/>
          <w:vertAlign w:val="superscript"/>
        </w:rPr>
        <w:t>3</w:t>
      </w:r>
      <w:r w:rsidRPr="00EA1BB2">
        <w:rPr>
          <w:rFonts w:ascii="Cambria" w:eastAsia="Calibri" w:hAnsi="Cambria" w:cs="Times New Roman"/>
          <w:sz w:val="24"/>
          <w:szCs w:val="24"/>
        </w:rPr>
        <w:t>) care nu trebuie depășită mai mult de 25 ori/an.</w:t>
      </w:r>
    </w:p>
    <w:p w14:paraId="4CA1BF04" w14:textId="77777777" w:rsidR="008E3443" w:rsidRPr="00EA1BB2" w:rsidRDefault="008E3443" w:rsidP="00140EB9">
      <w:pPr>
        <w:spacing w:line="276" w:lineRule="auto"/>
        <w:ind w:right="-330"/>
        <w:jc w:val="both"/>
        <w:rPr>
          <w:rFonts w:ascii="Cambria" w:eastAsia="Times New Roman" w:hAnsi="Cambria" w:cs="Times New Roman"/>
          <w:szCs w:val="24"/>
        </w:rPr>
      </w:pPr>
    </w:p>
    <w:p w14:paraId="7429E7AC" w14:textId="4ED2DF0F" w:rsidR="008E3443" w:rsidRPr="00EA1BB2" w:rsidRDefault="008E3443" w:rsidP="008E3443">
      <w:pPr>
        <w:keepNext/>
        <w:spacing w:line="360" w:lineRule="auto"/>
        <w:ind w:firstLine="708"/>
        <w:jc w:val="both"/>
        <w:rPr>
          <w:rFonts w:ascii="Cambria" w:hAnsi="Cambria"/>
          <w:b/>
          <w:iCs/>
          <w:sz w:val="24"/>
          <w:szCs w:val="18"/>
        </w:rPr>
      </w:pPr>
      <w:bookmarkStart w:id="219" w:name="_Toc524966234"/>
      <w:r w:rsidRPr="00EA1BB2">
        <w:rPr>
          <w:rFonts w:ascii="Cambria" w:hAnsi="Cambria"/>
          <w:b/>
          <w:iCs/>
          <w:sz w:val="24"/>
          <w:szCs w:val="18"/>
        </w:rPr>
        <w:lastRenderedPageBreak/>
        <w:t xml:space="preserve">Figura nr. </w:t>
      </w:r>
      <w:r w:rsidR="00280BC9" w:rsidRPr="00EA1BB2">
        <w:rPr>
          <w:rFonts w:ascii="Cambria" w:hAnsi="Cambria"/>
          <w:b/>
          <w:iCs/>
          <w:sz w:val="24"/>
          <w:szCs w:val="18"/>
        </w:rPr>
        <w:fldChar w:fldCharType="begin"/>
      </w:r>
      <w:r w:rsidR="00BA6FA3" w:rsidRPr="00EA1BB2">
        <w:rPr>
          <w:rFonts w:ascii="Cambria" w:hAnsi="Cambria"/>
          <w:b/>
          <w:iCs/>
          <w:sz w:val="24"/>
          <w:szCs w:val="18"/>
        </w:rPr>
        <w:instrText xml:space="preserve"> STYLEREF 1 \s </w:instrText>
      </w:r>
      <w:r w:rsidR="00280BC9" w:rsidRPr="00EA1BB2">
        <w:rPr>
          <w:rFonts w:ascii="Cambria" w:hAnsi="Cambria"/>
          <w:b/>
          <w:iCs/>
          <w:sz w:val="24"/>
          <w:szCs w:val="18"/>
        </w:rPr>
        <w:fldChar w:fldCharType="separate"/>
      </w:r>
      <w:r w:rsidR="00567555">
        <w:rPr>
          <w:rFonts w:ascii="Cambria" w:hAnsi="Cambria"/>
          <w:b/>
          <w:iCs/>
          <w:noProof/>
          <w:sz w:val="24"/>
          <w:szCs w:val="18"/>
        </w:rPr>
        <w:t>3</w:t>
      </w:r>
      <w:r w:rsidR="00280BC9" w:rsidRPr="00EA1BB2">
        <w:rPr>
          <w:rFonts w:ascii="Cambria" w:hAnsi="Cambria"/>
          <w:b/>
          <w:iCs/>
          <w:sz w:val="24"/>
          <w:szCs w:val="18"/>
        </w:rPr>
        <w:fldChar w:fldCharType="end"/>
      </w:r>
      <w:r w:rsidR="00BA6FA3" w:rsidRPr="00EA1BB2">
        <w:rPr>
          <w:rFonts w:ascii="Cambria" w:hAnsi="Cambria"/>
          <w:b/>
          <w:iCs/>
          <w:sz w:val="24"/>
          <w:szCs w:val="18"/>
        </w:rPr>
        <w:noBreakHyphen/>
      </w:r>
      <w:r w:rsidR="00280BC9" w:rsidRPr="00EA1BB2">
        <w:rPr>
          <w:rFonts w:ascii="Cambria" w:hAnsi="Cambria"/>
          <w:b/>
          <w:iCs/>
          <w:sz w:val="24"/>
          <w:szCs w:val="18"/>
        </w:rPr>
        <w:fldChar w:fldCharType="begin"/>
      </w:r>
      <w:r w:rsidR="00BA6FA3" w:rsidRPr="00EA1BB2">
        <w:rPr>
          <w:rFonts w:ascii="Cambria" w:hAnsi="Cambria"/>
          <w:b/>
          <w:iCs/>
          <w:sz w:val="24"/>
          <w:szCs w:val="18"/>
        </w:rPr>
        <w:instrText xml:space="preserve"> SEQ Figura_nr. \* ARABIC \s 1 </w:instrText>
      </w:r>
      <w:r w:rsidR="00280BC9" w:rsidRPr="00EA1BB2">
        <w:rPr>
          <w:rFonts w:ascii="Cambria" w:hAnsi="Cambria"/>
          <w:b/>
          <w:iCs/>
          <w:sz w:val="24"/>
          <w:szCs w:val="18"/>
        </w:rPr>
        <w:fldChar w:fldCharType="separate"/>
      </w:r>
      <w:r w:rsidR="00567555">
        <w:rPr>
          <w:rFonts w:ascii="Cambria" w:hAnsi="Cambria"/>
          <w:b/>
          <w:iCs/>
          <w:noProof/>
          <w:sz w:val="24"/>
          <w:szCs w:val="18"/>
        </w:rPr>
        <w:t>23</w:t>
      </w:r>
      <w:r w:rsidR="00280BC9" w:rsidRPr="00EA1BB2">
        <w:rPr>
          <w:rFonts w:ascii="Cambria" w:hAnsi="Cambria"/>
          <w:b/>
          <w:iCs/>
          <w:sz w:val="24"/>
          <w:szCs w:val="18"/>
        </w:rPr>
        <w:fldChar w:fldCharType="end"/>
      </w:r>
      <w:r w:rsidRPr="00EA1BB2">
        <w:rPr>
          <w:rFonts w:ascii="Cambria" w:hAnsi="Cambria"/>
          <w:b/>
          <w:iCs/>
          <w:sz w:val="24"/>
          <w:szCs w:val="18"/>
        </w:rPr>
        <w:t xml:space="preserve"> – Evoluția concentrațiilor maxime zilnice a mediilor pe 8 ore (medie mobilă), pentru ozon (O</w:t>
      </w:r>
      <w:r w:rsidRPr="00EA1BB2">
        <w:rPr>
          <w:rFonts w:ascii="Cambria" w:hAnsi="Cambria"/>
          <w:b/>
          <w:iCs/>
          <w:sz w:val="24"/>
          <w:szCs w:val="18"/>
          <w:vertAlign w:val="subscript"/>
        </w:rPr>
        <w:t>3</w:t>
      </w:r>
      <w:r w:rsidRPr="00EA1BB2">
        <w:rPr>
          <w:rFonts w:ascii="Cambria" w:hAnsi="Cambria"/>
          <w:b/>
          <w:iCs/>
          <w:sz w:val="24"/>
          <w:szCs w:val="18"/>
        </w:rPr>
        <w:t>), înregistrate la stațiile de monitorizare din județul Brăila, în anul 2013</w:t>
      </w:r>
      <w:bookmarkEnd w:id="219"/>
    </w:p>
    <w:p w14:paraId="06A9AEEB" w14:textId="77777777" w:rsidR="008E3443" w:rsidRPr="00EA1BB2" w:rsidRDefault="008E3443" w:rsidP="008E3443">
      <w:pPr>
        <w:spacing w:line="276" w:lineRule="auto"/>
        <w:jc w:val="center"/>
        <w:rPr>
          <w:rFonts w:ascii="Cambria" w:eastAsia="Times New Roman" w:hAnsi="Cambria" w:cs="Times New Roman"/>
          <w:sz w:val="24"/>
          <w:szCs w:val="24"/>
        </w:rPr>
      </w:pPr>
      <w:r w:rsidRPr="00EA1BB2">
        <w:rPr>
          <w:rFonts w:ascii="Cambria" w:eastAsia="Times New Roman" w:hAnsi="Cambria" w:cs="Times New Roman"/>
          <w:noProof/>
          <w:sz w:val="24"/>
          <w:szCs w:val="24"/>
          <w:lang w:val="en-US"/>
        </w:rPr>
        <w:drawing>
          <wp:inline distT="0" distB="0" distL="0" distR="0" wp14:anchorId="019BEF64" wp14:editId="563B7311">
            <wp:extent cx="5760000" cy="2880000"/>
            <wp:effectExtent l="0" t="0" r="12700" b="15875"/>
            <wp:docPr id="69" name="Chart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36A8238C" w14:textId="77777777" w:rsidR="008E3443" w:rsidRPr="00EA1BB2" w:rsidRDefault="008E3443" w:rsidP="008E3443">
      <w:pPr>
        <w:spacing w:line="276" w:lineRule="auto"/>
        <w:ind w:right="-330"/>
        <w:jc w:val="both"/>
        <w:rPr>
          <w:rFonts w:ascii="Cambria" w:eastAsia="Times New Roman" w:hAnsi="Cambria" w:cs="Times New Roman"/>
          <w:szCs w:val="24"/>
        </w:rPr>
      </w:pPr>
      <w:r w:rsidRPr="00EA1BB2">
        <w:rPr>
          <w:rFonts w:ascii="Cambria" w:eastAsia="Times New Roman" w:hAnsi="Cambria" w:cs="Times New Roman"/>
          <w:szCs w:val="24"/>
        </w:rPr>
        <w:t>Sursa date: http://www.calitateaer.ro/public/monitoring-page/reports-reports-page/?__locale=ro</w:t>
      </w:r>
    </w:p>
    <w:p w14:paraId="6B6871D9" w14:textId="77777777" w:rsidR="00140EB9" w:rsidRPr="00EA1BB2" w:rsidRDefault="00140EB9" w:rsidP="00483744">
      <w:pPr>
        <w:keepNext/>
        <w:jc w:val="both"/>
        <w:rPr>
          <w:rFonts w:ascii="Cambria" w:eastAsia="Calibri" w:hAnsi="Cambria" w:cs="Times New Roman"/>
          <w:b/>
          <w:iCs/>
          <w:sz w:val="24"/>
          <w:szCs w:val="24"/>
        </w:rPr>
      </w:pPr>
    </w:p>
    <w:p w14:paraId="20E47052" w14:textId="64D4CC47" w:rsidR="000D4FAB" w:rsidRPr="00EA1BB2" w:rsidRDefault="000D4FAB" w:rsidP="000D4FAB">
      <w:pPr>
        <w:keepNext/>
        <w:spacing w:line="360" w:lineRule="auto"/>
        <w:ind w:firstLine="708"/>
        <w:jc w:val="both"/>
        <w:rPr>
          <w:rFonts w:ascii="Cambria" w:hAnsi="Cambria"/>
          <w:b/>
          <w:iCs/>
          <w:sz w:val="24"/>
          <w:szCs w:val="18"/>
        </w:rPr>
      </w:pPr>
      <w:bookmarkStart w:id="220" w:name="_Toc524966235"/>
      <w:r w:rsidRPr="00EA1BB2">
        <w:rPr>
          <w:rFonts w:ascii="Cambria" w:hAnsi="Cambria"/>
          <w:b/>
          <w:iCs/>
          <w:sz w:val="24"/>
          <w:szCs w:val="18"/>
        </w:rPr>
        <w:t xml:space="preserve">Figura nr. </w:t>
      </w:r>
      <w:r w:rsidR="00280BC9" w:rsidRPr="00EA1BB2">
        <w:rPr>
          <w:rFonts w:ascii="Cambria" w:hAnsi="Cambria"/>
          <w:b/>
          <w:iCs/>
          <w:sz w:val="24"/>
          <w:szCs w:val="18"/>
        </w:rPr>
        <w:fldChar w:fldCharType="begin"/>
      </w:r>
      <w:r w:rsidR="00BA6FA3" w:rsidRPr="00EA1BB2">
        <w:rPr>
          <w:rFonts w:ascii="Cambria" w:hAnsi="Cambria"/>
          <w:b/>
          <w:iCs/>
          <w:sz w:val="24"/>
          <w:szCs w:val="18"/>
        </w:rPr>
        <w:instrText xml:space="preserve"> STYLEREF 1 \s </w:instrText>
      </w:r>
      <w:r w:rsidR="00280BC9" w:rsidRPr="00EA1BB2">
        <w:rPr>
          <w:rFonts w:ascii="Cambria" w:hAnsi="Cambria"/>
          <w:b/>
          <w:iCs/>
          <w:sz w:val="24"/>
          <w:szCs w:val="18"/>
        </w:rPr>
        <w:fldChar w:fldCharType="separate"/>
      </w:r>
      <w:r w:rsidR="00567555">
        <w:rPr>
          <w:rFonts w:ascii="Cambria" w:hAnsi="Cambria"/>
          <w:b/>
          <w:iCs/>
          <w:noProof/>
          <w:sz w:val="24"/>
          <w:szCs w:val="18"/>
        </w:rPr>
        <w:t>3</w:t>
      </w:r>
      <w:r w:rsidR="00280BC9" w:rsidRPr="00EA1BB2">
        <w:rPr>
          <w:rFonts w:ascii="Cambria" w:hAnsi="Cambria"/>
          <w:b/>
          <w:iCs/>
          <w:sz w:val="24"/>
          <w:szCs w:val="18"/>
        </w:rPr>
        <w:fldChar w:fldCharType="end"/>
      </w:r>
      <w:r w:rsidR="00BA6FA3" w:rsidRPr="00EA1BB2">
        <w:rPr>
          <w:rFonts w:ascii="Cambria" w:hAnsi="Cambria"/>
          <w:b/>
          <w:iCs/>
          <w:sz w:val="24"/>
          <w:szCs w:val="18"/>
        </w:rPr>
        <w:noBreakHyphen/>
      </w:r>
      <w:r w:rsidR="00280BC9" w:rsidRPr="00EA1BB2">
        <w:rPr>
          <w:rFonts w:ascii="Cambria" w:hAnsi="Cambria"/>
          <w:b/>
          <w:iCs/>
          <w:sz w:val="24"/>
          <w:szCs w:val="18"/>
        </w:rPr>
        <w:fldChar w:fldCharType="begin"/>
      </w:r>
      <w:r w:rsidR="00BA6FA3" w:rsidRPr="00EA1BB2">
        <w:rPr>
          <w:rFonts w:ascii="Cambria" w:hAnsi="Cambria"/>
          <w:b/>
          <w:iCs/>
          <w:sz w:val="24"/>
          <w:szCs w:val="18"/>
        </w:rPr>
        <w:instrText xml:space="preserve"> SEQ Figura_nr. \* ARABIC \s 1 </w:instrText>
      </w:r>
      <w:r w:rsidR="00280BC9" w:rsidRPr="00EA1BB2">
        <w:rPr>
          <w:rFonts w:ascii="Cambria" w:hAnsi="Cambria"/>
          <w:b/>
          <w:iCs/>
          <w:sz w:val="24"/>
          <w:szCs w:val="18"/>
        </w:rPr>
        <w:fldChar w:fldCharType="separate"/>
      </w:r>
      <w:r w:rsidR="00567555">
        <w:rPr>
          <w:rFonts w:ascii="Cambria" w:hAnsi="Cambria"/>
          <w:b/>
          <w:iCs/>
          <w:noProof/>
          <w:sz w:val="24"/>
          <w:szCs w:val="18"/>
        </w:rPr>
        <w:t>24</w:t>
      </w:r>
      <w:r w:rsidR="00280BC9" w:rsidRPr="00EA1BB2">
        <w:rPr>
          <w:rFonts w:ascii="Cambria" w:hAnsi="Cambria"/>
          <w:b/>
          <w:iCs/>
          <w:sz w:val="24"/>
          <w:szCs w:val="18"/>
        </w:rPr>
        <w:fldChar w:fldCharType="end"/>
      </w:r>
      <w:r w:rsidRPr="00EA1BB2">
        <w:rPr>
          <w:rFonts w:ascii="Cambria" w:hAnsi="Cambria"/>
          <w:b/>
          <w:iCs/>
          <w:sz w:val="24"/>
          <w:szCs w:val="18"/>
        </w:rPr>
        <w:t xml:space="preserve"> – Evoluția concentrațiilor </w:t>
      </w:r>
      <w:r w:rsidR="0064593C" w:rsidRPr="00EA1BB2">
        <w:rPr>
          <w:rFonts w:ascii="Cambria" w:hAnsi="Cambria"/>
          <w:b/>
          <w:iCs/>
          <w:sz w:val="24"/>
          <w:szCs w:val="18"/>
        </w:rPr>
        <w:t>maxime zilnice a mediilor pe 8 ore (medie mobilă), pentru ozon</w:t>
      </w:r>
      <w:r w:rsidRPr="00EA1BB2">
        <w:rPr>
          <w:rFonts w:ascii="Cambria" w:hAnsi="Cambria"/>
          <w:b/>
          <w:iCs/>
          <w:sz w:val="24"/>
          <w:szCs w:val="18"/>
        </w:rPr>
        <w:t xml:space="preserve"> (O</w:t>
      </w:r>
      <w:r w:rsidRPr="00EA1BB2">
        <w:rPr>
          <w:rFonts w:ascii="Cambria" w:hAnsi="Cambria"/>
          <w:b/>
          <w:iCs/>
          <w:sz w:val="24"/>
          <w:szCs w:val="18"/>
          <w:vertAlign w:val="subscript"/>
        </w:rPr>
        <w:t>3</w:t>
      </w:r>
      <w:r w:rsidRPr="00EA1BB2">
        <w:rPr>
          <w:rFonts w:ascii="Cambria" w:hAnsi="Cambria"/>
          <w:b/>
          <w:iCs/>
          <w:sz w:val="24"/>
          <w:szCs w:val="18"/>
        </w:rPr>
        <w:t xml:space="preserve">), înregistrate la stațiile de monitorizare </w:t>
      </w:r>
      <w:r w:rsidR="0064593C" w:rsidRPr="00EA1BB2">
        <w:rPr>
          <w:rFonts w:ascii="Cambria" w:hAnsi="Cambria"/>
          <w:b/>
          <w:iCs/>
          <w:sz w:val="24"/>
          <w:szCs w:val="18"/>
        </w:rPr>
        <w:t>din județul Brăila, în anul 2017</w:t>
      </w:r>
      <w:bookmarkEnd w:id="220"/>
    </w:p>
    <w:p w14:paraId="76B5AF36" w14:textId="77777777" w:rsidR="000D4FAB" w:rsidRPr="00EA1BB2" w:rsidRDefault="000D4FAB" w:rsidP="000D4FAB">
      <w:pPr>
        <w:spacing w:line="276" w:lineRule="auto"/>
        <w:jc w:val="center"/>
        <w:rPr>
          <w:rFonts w:ascii="Cambria" w:eastAsia="Times New Roman" w:hAnsi="Cambria" w:cs="Times New Roman"/>
          <w:sz w:val="24"/>
          <w:szCs w:val="24"/>
        </w:rPr>
      </w:pPr>
      <w:r w:rsidRPr="00EA1BB2">
        <w:rPr>
          <w:rFonts w:ascii="Cambria" w:eastAsia="Times New Roman" w:hAnsi="Cambria" w:cs="Times New Roman"/>
          <w:noProof/>
          <w:sz w:val="24"/>
          <w:szCs w:val="24"/>
          <w:lang w:val="en-US"/>
        </w:rPr>
        <w:drawing>
          <wp:inline distT="0" distB="0" distL="0" distR="0" wp14:anchorId="41BA45AB" wp14:editId="220F850B">
            <wp:extent cx="5760000" cy="2880000"/>
            <wp:effectExtent l="0" t="0" r="12700" b="15875"/>
            <wp:docPr id="67" name="Chart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330F9803" w14:textId="77777777" w:rsidR="000D4FAB" w:rsidRPr="00EA1BB2" w:rsidRDefault="000D4FAB" w:rsidP="000D4FAB">
      <w:pPr>
        <w:spacing w:line="276" w:lineRule="auto"/>
        <w:ind w:right="-330"/>
        <w:jc w:val="both"/>
        <w:rPr>
          <w:rFonts w:ascii="Cambria" w:eastAsia="Times New Roman" w:hAnsi="Cambria" w:cs="Times New Roman"/>
          <w:szCs w:val="24"/>
        </w:rPr>
      </w:pPr>
      <w:r w:rsidRPr="00EA1BB2">
        <w:rPr>
          <w:rFonts w:ascii="Cambria" w:eastAsia="Times New Roman" w:hAnsi="Cambria" w:cs="Times New Roman"/>
          <w:szCs w:val="24"/>
        </w:rPr>
        <w:t>Sursa date: http://www.calitateaer.ro/public/monitoring-page/reports-reports-page/?__locale=ro</w:t>
      </w:r>
    </w:p>
    <w:bookmarkEnd w:id="218"/>
    <w:p w14:paraId="78478C6B" w14:textId="77777777" w:rsidR="00553937" w:rsidRPr="00EA1BB2" w:rsidRDefault="00553937" w:rsidP="00B54271">
      <w:pPr>
        <w:spacing w:line="360" w:lineRule="auto"/>
        <w:ind w:firstLine="708"/>
        <w:jc w:val="both"/>
        <w:rPr>
          <w:rFonts w:ascii="Cambria" w:eastAsia="SimSun" w:hAnsi="Cambria" w:cs="Arial"/>
          <w:b/>
          <w:sz w:val="24"/>
          <w:szCs w:val="24"/>
        </w:rPr>
      </w:pPr>
    </w:p>
    <w:p w14:paraId="6BE2E333" w14:textId="77777777" w:rsidR="00B54271" w:rsidRPr="00EA1BB2" w:rsidRDefault="00B54271" w:rsidP="00B54271">
      <w:pPr>
        <w:spacing w:line="360" w:lineRule="auto"/>
        <w:ind w:firstLine="708"/>
        <w:jc w:val="both"/>
        <w:rPr>
          <w:rFonts w:ascii="Cambria" w:eastAsia="SimSun" w:hAnsi="Cambria" w:cs="Arial"/>
          <w:b/>
          <w:sz w:val="24"/>
          <w:szCs w:val="24"/>
        </w:rPr>
      </w:pPr>
      <w:r w:rsidRPr="00EA1BB2">
        <w:rPr>
          <w:rFonts w:ascii="Cambria" w:eastAsia="SimSun" w:hAnsi="Cambria" w:cs="Arial"/>
          <w:b/>
          <w:sz w:val="24"/>
          <w:szCs w:val="24"/>
        </w:rPr>
        <w:t>Emisiile de precursori ai ozonului</w:t>
      </w:r>
    </w:p>
    <w:p w14:paraId="7A32FEF4" w14:textId="77777777" w:rsidR="00744560" w:rsidRPr="00EA1BB2" w:rsidRDefault="00744560" w:rsidP="00744560">
      <w:pPr>
        <w:autoSpaceDE w:val="0"/>
        <w:autoSpaceDN w:val="0"/>
        <w:adjustRightInd w:val="0"/>
        <w:spacing w:line="360" w:lineRule="auto"/>
        <w:ind w:firstLine="709"/>
        <w:jc w:val="both"/>
        <w:rPr>
          <w:rFonts w:ascii="Cambria" w:eastAsia="Times New Roman" w:hAnsi="Cambria" w:cs="Arial"/>
          <w:sz w:val="24"/>
          <w:szCs w:val="24"/>
        </w:rPr>
      </w:pPr>
      <w:r w:rsidRPr="00EA1BB2">
        <w:rPr>
          <w:rFonts w:ascii="Cambria" w:eastAsia="Calibri" w:hAnsi="Cambria" w:cs="Times New Roman"/>
          <w:sz w:val="24"/>
          <w:szCs w:val="24"/>
        </w:rPr>
        <w:t>Se urmăre</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te tendin</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ele emisiilor antropice de poluan</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 precursori ai ozonului: oxizi de azot</w:t>
      </w:r>
      <w:r w:rsidR="004E0F18" w:rsidRPr="00EA1BB2">
        <w:rPr>
          <w:rFonts w:ascii="Cambria" w:eastAsia="Calibri" w:hAnsi="Cambria" w:cs="Times New Roman"/>
          <w:sz w:val="24"/>
          <w:szCs w:val="24"/>
        </w:rPr>
        <w:t xml:space="preserve"> (NOx), monoxid de carbon (CO) </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i compu</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 xml:space="preserve">i organici volatili nemetanici </w:t>
      </w:r>
      <w:r w:rsidRPr="00EA1BB2">
        <w:rPr>
          <w:rFonts w:ascii="Cambria" w:eastAsia="Calibri" w:hAnsi="Cambria" w:cs="Times New Roman"/>
          <w:sz w:val="24"/>
          <w:szCs w:val="24"/>
        </w:rPr>
        <w:lastRenderedPageBreak/>
        <w:t>(COVNM) proveni</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i din: produc</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 xml:space="preserve">ia </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i distribu</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 xml:space="preserve">ia energiei, utilizarea energiei în industrie, procesele industriale, transportul rutier, nerutier, sectorul comercial, industrial. </w:t>
      </w:r>
      <w:r w:rsidRPr="00EA1BB2">
        <w:rPr>
          <w:rFonts w:ascii="Cambria" w:eastAsia="SimSun" w:hAnsi="Cambria" w:cs="Arial"/>
          <w:sz w:val="24"/>
          <w:szCs w:val="24"/>
        </w:rPr>
        <w:t xml:space="preserve">Emisiile de oxizi de azot provin în principal din traficul rutier, din industria energetică </w:t>
      </w:r>
      <w:r w:rsidR="00054880" w:rsidRPr="00EA1BB2">
        <w:rPr>
          <w:rFonts w:ascii="Cambria" w:eastAsia="SimSun" w:hAnsi="Cambria" w:cs="Arial"/>
          <w:sz w:val="24"/>
          <w:szCs w:val="24"/>
        </w:rPr>
        <w:t>ș</w:t>
      </w:r>
      <w:r w:rsidRPr="00EA1BB2">
        <w:rPr>
          <w:rFonts w:ascii="Cambria" w:eastAsia="SimSun" w:hAnsi="Cambria" w:cs="Arial"/>
          <w:sz w:val="24"/>
          <w:szCs w:val="24"/>
        </w:rPr>
        <w:t xml:space="preserve">i din industria de prelucrare. </w:t>
      </w:r>
      <w:r w:rsidRPr="00EA1BB2">
        <w:rPr>
          <w:rFonts w:ascii="Cambria" w:eastAsia="Times New Roman" w:hAnsi="Cambria" w:cs="Arial"/>
          <w:sz w:val="24"/>
          <w:szCs w:val="24"/>
        </w:rPr>
        <w:t>Compu</w:t>
      </w:r>
      <w:r w:rsidR="00054880" w:rsidRPr="00EA1BB2">
        <w:rPr>
          <w:rFonts w:ascii="Cambria" w:eastAsia="Times New Roman" w:hAnsi="Cambria" w:cs="Arial"/>
          <w:sz w:val="24"/>
          <w:szCs w:val="24"/>
        </w:rPr>
        <w:t>ș</w:t>
      </w:r>
      <w:r w:rsidRPr="00EA1BB2">
        <w:rPr>
          <w:rFonts w:ascii="Cambria" w:eastAsia="Times New Roman" w:hAnsi="Cambria" w:cs="Arial"/>
          <w:sz w:val="24"/>
          <w:szCs w:val="24"/>
        </w:rPr>
        <w:t>ii organici volatili (COV) sunt compu</w:t>
      </w:r>
      <w:r w:rsidR="00054880" w:rsidRPr="00EA1BB2">
        <w:rPr>
          <w:rFonts w:ascii="Cambria" w:eastAsia="Times New Roman" w:hAnsi="Cambria" w:cs="Arial"/>
          <w:sz w:val="24"/>
          <w:szCs w:val="24"/>
        </w:rPr>
        <w:t>ș</w:t>
      </w:r>
      <w:r w:rsidRPr="00EA1BB2">
        <w:rPr>
          <w:rFonts w:ascii="Cambria" w:eastAsia="Times New Roman" w:hAnsi="Cambria" w:cs="Arial"/>
          <w:sz w:val="24"/>
          <w:szCs w:val="24"/>
        </w:rPr>
        <w:t>i chimici care au o presiune a vaporilor crescută, de unde rezultă volatilitatea lor ridicată. Aceste emisii sunt generate preponderent din activită</w:t>
      </w:r>
      <w:r w:rsidR="00054880" w:rsidRPr="00EA1BB2">
        <w:rPr>
          <w:rFonts w:ascii="Cambria" w:eastAsia="Times New Roman" w:hAnsi="Cambria" w:cs="Arial"/>
          <w:sz w:val="24"/>
          <w:szCs w:val="24"/>
        </w:rPr>
        <w:t>ț</w:t>
      </w:r>
      <w:r w:rsidRPr="00EA1BB2">
        <w:rPr>
          <w:rFonts w:ascii="Cambria" w:eastAsia="Times New Roman" w:hAnsi="Cambria" w:cs="Arial"/>
          <w:sz w:val="24"/>
          <w:szCs w:val="24"/>
        </w:rPr>
        <w:t>ile de extrac</w:t>
      </w:r>
      <w:r w:rsidR="00054880" w:rsidRPr="00EA1BB2">
        <w:rPr>
          <w:rFonts w:ascii="Cambria" w:eastAsia="Times New Roman" w:hAnsi="Cambria" w:cs="Arial"/>
          <w:sz w:val="24"/>
          <w:szCs w:val="24"/>
        </w:rPr>
        <w:t>ț</w:t>
      </w:r>
      <w:r w:rsidRPr="00EA1BB2">
        <w:rPr>
          <w:rFonts w:ascii="Cambria" w:eastAsia="Times New Roman" w:hAnsi="Cambria" w:cs="Arial"/>
          <w:sz w:val="24"/>
          <w:szCs w:val="24"/>
        </w:rPr>
        <w:t xml:space="preserve">ie, de stocare </w:t>
      </w:r>
      <w:r w:rsidR="00054880" w:rsidRPr="00EA1BB2">
        <w:rPr>
          <w:rFonts w:ascii="Cambria" w:eastAsia="Times New Roman" w:hAnsi="Cambria" w:cs="Arial"/>
          <w:sz w:val="24"/>
          <w:szCs w:val="24"/>
        </w:rPr>
        <w:t>ș</w:t>
      </w:r>
      <w:r w:rsidRPr="00EA1BB2">
        <w:rPr>
          <w:rFonts w:ascii="Cambria" w:eastAsia="Times New Roman" w:hAnsi="Cambria" w:cs="Arial"/>
          <w:sz w:val="24"/>
          <w:szCs w:val="24"/>
        </w:rPr>
        <w:t>i distribu</w:t>
      </w:r>
      <w:r w:rsidR="00054880" w:rsidRPr="00EA1BB2">
        <w:rPr>
          <w:rFonts w:ascii="Cambria" w:eastAsia="Times New Roman" w:hAnsi="Cambria" w:cs="Arial"/>
          <w:sz w:val="24"/>
          <w:szCs w:val="24"/>
        </w:rPr>
        <w:t>ț</w:t>
      </w:r>
      <w:r w:rsidRPr="00EA1BB2">
        <w:rPr>
          <w:rFonts w:ascii="Cambria" w:eastAsia="Times New Roman" w:hAnsi="Cambria" w:cs="Arial"/>
          <w:sz w:val="24"/>
          <w:szCs w:val="24"/>
        </w:rPr>
        <w:t xml:space="preserve">ie a combustibililor fosili. </w:t>
      </w:r>
    </w:p>
    <w:p w14:paraId="116BD858" w14:textId="2C876122" w:rsidR="00744560" w:rsidRPr="00EA1BB2" w:rsidRDefault="00744560" w:rsidP="00744560">
      <w:pPr>
        <w:spacing w:line="360" w:lineRule="auto"/>
        <w:jc w:val="both"/>
        <w:rPr>
          <w:rFonts w:ascii="Cambria" w:eastAsia="SimSun" w:hAnsi="Cambria" w:cs="Arial"/>
          <w:sz w:val="24"/>
          <w:szCs w:val="24"/>
        </w:rPr>
      </w:pPr>
      <w:r w:rsidRPr="00EA1BB2">
        <w:rPr>
          <w:rFonts w:ascii="Cambria" w:eastAsia="SimSun" w:hAnsi="Cambria" w:cs="Arial"/>
          <w:b/>
          <w:sz w:val="24"/>
          <w:szCs w:val="24"/>
        </w:rPr>
        <w:tab/>
      </w:r>
      <w:r w:rsidRPr="00EA1BB2">
        <w:rPr>
          <w:rFonts w:ascii="Cambria" w:eastAsia="SimSun" w:hAnsi="Cambria" w:cs="Arial"/>
          <w:sz w:val="24"/>
          <w:szCs w:val="24"/>
        </w:rPr>
        <w:t>În cele ce urmează sunt prezentate tendin</w:t>
      </w:r>
      <w:r w:rsidR="00054880" w:rsidRPr="00EA1BB2">
        <w:rPr>
          <w:rFonts w:ascii="Cambria" w:eastAsia="SimSun" w:hAnsi="Cambria" w:cs="Arial"/>
          <w:sz w:val="24"/>
          <w:szCs w:val="24"/>
        </w:rPr>
        <w:t>ț</w:t>
      </w:r>
      <w:r w:rsidRPr="00EA1BB2">
        <w:rPr>
          <w:rFonts w:ascii="Cambria" w:eastAsia="SimSun" w:hAnsi="Cambria" w:cs="Arial"/>
          <w:sz w:val="24"/>
          <w:szCs w:val="24"/>
        </w:rPr>
        <w:t>a</w:t>
      </w:r>
      <w:r w:rsidR="00BD06C5" w:rsidRPr="00EA1BB2">
        <w:rPr>
          <w:rFonts w:ascii="Cambria" w:eastAsia="SimSun" w:hAnsi="Cambria" w:cs="Arial"/>
          <w:sz w:val="24"/>
          <w:szCs w:val="24"/>
        </w:rPr>
        <w:t xml:space="preserve"> </w:t>
      </w:r>
      <w:r w:rsidRPr="00EA1BB2">
        <w:rPr>
          <w:rFonts w:ascii="Cambria" w:eastAsia="SimSun" w:hAnsi="Cambria" w:cs="Arial"/>
          <w:sz w:val="24"/>
          <w:szCs w:val="24"/>
        </w:rPr>
        <w:t>emisiilor de poluan</w:t>
      </w:r>
      <w:r w:rsidR="00054880" w:rsidRPr="00EA1BB2">
        <w:rPr>
          <w:rFonts w:ascii="Cambria" w:eastAsia="SimSun" w:hAnsi="Cambria" w:cs="Arial"/>
          <w:sz w:val="24"/>
          <w:szCs w:val="24"/>
        </w:rPr>
        <w:t>ț</w:t>
      </w:r>
      <w:r w:rsidRPr="00EA1BB2">
        <w:rPr>
          <w:rFonts w:ascii="Cambria" w:eastAsia="SimSun" w:hAnsi="Cambria" w:cs="Arial"/>
          <w:sz w:val="24"/>
          <w:szCs w:val="24"/>
        </w:rPr>
        <w:t>i precursori ai ozonului, la nivelul jude</w:t>
      </w:r>
      <w:r w:rsidR="00054880" w:rsidRPr="00EA1BB2">
        <w:rPr>
          <w:rFonts w:ascii="Cambria" w:eastAsia="SimSun" w:hAnsi="Cambria" w:cs="Arial"/>
          <w:sz w:val="24"/>
          <w:szCs w:val="24"/>
        </w:rPr>
        <w:t>ț</w:t>
      </w:r>
      <w:r w:rsidRPr="00EA1BB2">
        <w:rPr>
          <w:rFonts w:ascii="Cambria" w:eastAsia="SimSun" w:hAnsi="Cambria" w:cs="Arial"/>
          <w:sz w:val="24"/>
          <w:szCs w:val="24"/>
        </w:rPr>
        <w:t xml:space="preserve">ului Brăila, în </w:t>
      </w:r>
      <w:r w:rsidR="00FB20CF" w:rsidRPr="00EA1BB2">
        <w:rPr>
          <w:rFonts w:ascii="Cambria" w:eastAsia="SimSun" w:hAnsi="Cambria" w:cs="Arial"/>
          <w:sz w:val="24"/>
          <w:szCs w:val="24"/>
        </w:rPr>
        <w:t>perioada 2010-</w:t>
      </w:r>
      <w:r w:rsidRPr="00EA1BB2">
        <w:rPr>
          <w:rFonts w:ascii="Cambria" w:eastAsia="SimSun" w:hAnsi="Cambria" w:cs="Arial"/>
          <w:sz w:val="24"/>
          <w:szCs w:val="24"/>
        </w:rPr>
        <w:t>201</w:t>
      </w:r>
      <w:r w:rsidR="004E0F18" w:rsidRPr="00EA1BB2">
        <w:rPr>
          <w:rFonts w:ascii="Cambria" w:eastAsia="SimSun" w:hAnsi="Cambria" w:cs="Arial"/>
          <w:sz w:val="24"/>
          <w:szCs w:val="24"/>
        </w:rPr>
        <w:t>6</w:t>
      </w:r>
      <w:r w:rsidRPr="00EA1BB2">
        <w:rPr>
          <w:rFonts w:ascii="Cambria" w:eastAsia="SimSun" w:hAnsi="Cambria" w:cs="Arial"/>
          <w:sz w:val="24"/>
          <w:szCs w:val="24"/>
        </w:rPr>
        <w:t>, date preluate din</w:t>
      </w:r>
      <w:r w:rsidR="00BD06C5" w:rsidRPr="00EA1BB2">
        <w:rPr>
          <w:rFonts w:ascii="Cambria" w:eastAsia="SimSun" w:hAnsi="Cambria" w:cs="Arial"/>
          <w:sz w:val="24"/>
          <w:szCs w:val="24"/>
        </w:rPr>
        <w:t xml:space="preserve"> </w:t>
      </w:r>
      <w:r w:rsidRPr="00EA1BB2">
        <w:rPr>
          <w:rFonts w:ascii="Cambria" w:eastAsia="SimSun" w:hAnsi="Cambria" w:cs="Arial"/>
          <w:sz w:val="24"/>
          <w:szCs w:val="24"/>
        </w:rPr>
        <w:t>Raportul anual privind starea mediului pentru jude</w:t>
      </w:r>
      <w:r w:rsidR="00054880" w:rsidRPr="00EA1BB2">
        <w:rPr>
          <w:rFonts w:ascii="Cambria" w:eastAsia="SimSun" w:hAnsi="Cambria" w:cs="Arial"/>
          <w:sz w:val="24"/>
          <w:szCs w:val="24"/>
        </w:rPr>
        <w:t>ț</w:t>
      </w:r>
      <w:r w:rsidRPr="00EA1BB2">
        <w:rPr>
          <w:rFonts w:ascii="Cambria" w:eastAsia="SimSun" w:hAnsi="Cambria" w:cs="Arial"/>
          <w:sz w:val="24"/>
          <w:szCs w:val="24"/>
        </w:rPr>
        <w:t>ul Brăila, anul 201</w:t>
      </w:r>
      <w:r w:rsidR="004E0F18" w:rsidRPr="00EA1BB2">
        <w:rPr>
          <w:rFonts w:ascii="Cambria" w:eastAsia="SimSun" w:hAnsi="Cambria" w:cs="Arial"/>
          <w:sz w:val="24"/>
          <w:szCs w:val="24"/>
        </w:rPr>
        <w:t>6</w:t>
      </w:r>
      <w:r w:rsidRPr="00EA1BB2">
        <w:rPr>
          <w:rFonts w:ascii="Cambria" w:eastAsia="SimSun" w:hAnsi="Cambria" w:cs="Arial"/>
          <w:sz w:val="24"/>
          <w:szCs w:val="24"/>
        </w:rPr>
        <w:t>, realizat de către Agen</w:t>
      </w:r>
      <w:r w:rsidR="00054880" w:rsidRPr="00EA1BB2">
        <w:rPr>
          <w:rFonts w:ascii="Cambria" w:eastAsia="SimSun" w:hAnsi="Cambria" w:cs="Arial"/>
          <w:sz w:val="24"/>
          <w:szCs w:val="24"/>
        </w:rPr>
        <w:t>ț</w:t>
      </w:r>
      <w:r w:rsidRPr="00EA1BB2">
        <w:rPr>
          <w:rFonts w:ascii="Cambria" w:eastAsia="SimSun" w:hAnsi="Cambria" w:cs="Arial"/>
          <w:sz w:val="24"/>
          <w:szCs w:val="24"/>
        </w:rPr>
        <w:t>ia pentru Protec</w:t>
      </w:r>
      <w:r w:rsidR="00054880" w:rsidRPr="00EA1BB2">
        <w:rPr>
          <w:rFonts w:ascii="Cambria" w:eastAsia="SimSun" w:hAnsi="Cambria" w:cs="Arial"/>
          <w:sz w:val="24"/>
          <w:szCs w:val="24"/>
        </w:rPr>
        <w:t>ț</w:t>
      </w:r>
      <w:r w:rsidRPr="00EA1BB2">
        <w:rPr>
          <w:rFonts w:ascii="Cambria" w:eastAsia="SimSun" w:hAnsi="Cambria" w:cs="Arial"/>
          <w:sz w:val="24"/>
          <w:szCs w:val="24"/>
        </w:rPr>
        <w:t>ia Mediului Brăila.</w:t>
      </w:r>
    </w:p>
    <w:p w14:paraId="71576BA0" w14:textId="77777777" w:rsidR="00744560" w:rsidRPr="00EA1BB2" w:rsidRDefault="00744560" w:rsidP="00744560">
      <w:pPr>
        <w:jc w:val="both"/>
        <w:rPr>
          <w:rFonts w:ascii="Cambria" w:eastAsia="SimSun" w:hAnsi="Cambria" w:cs="Arial"/>
          <w:sz w:val="24"/>
          <w:szCs w:val="24"/>
        </w:rPr>
      </w:pPr>
    </w:p>
    <w:p w14:paraId="41C8DA27" w14:textId="65C5AAB6" w:rsidR="00744560" w:rsidRPr="00EA1BB2" w:rsidRDefault="00744560" w:rsidP="00744560">
      <w:pPr>
        <w:keepNext/>
        <w:spacing w:line="360" w:lineRule="auto"/>
        <w:ind w:firstLine="708"/>
        <w:jc w:val="both"/>
        <w:rPr>
          <w:rFonts w:ascii="Cambria" w:eastAsia="Calibri" w:hAnsi="Cambria" w:cs="Times New Roman"/>
          <w:b/>
          <w:iCs/>
          <w:sz w:val="24"/>
          <w:szCs w:val="18"/>
        </w:rPr>
      </w:pPr>
      <w:bookmarkStart w:id="221" w:name="_Toc479208482"/>
      <w:bookmarkStart w:id="222" w:name="_Toc524966236"/>
      <w:r w:rsidRPr="00EA1BB2">
        <w:rPr>
          <w:rFonts w:ascii="Cambria" w:eastAsia="Calibri" w:hAnsi="Cambria" w:cs="Times New Roman"/>
          <w:b/>
          <w:iCs/>
          <w:sz w:val="24"/>
          <w:szCs w:val="18"/>
        </w:rPr>
        <w:t xml:space="preserve">Figura nr. </w:t>
      </w:r>
      <w:r w:rsidR="00280BC9" w:rsidRPr="00EA1BB2">
        <w:rPr>
          <w:rFonts w:ascii="Cambria" w:eastAsia="Calibri" w:hAnsi="Cambria" w:cs="Times New Roman"/>
          <w:b/>
          <w:iCs/>
          <w:sz w:val="24"/>
          <w:szCs w:val="18"/>
        </w:rPr>
        <w:fldChar w:fldCharType="begin"/>
      </w:r>
      <w:r w:rsidR="00BA6FA3" w:rsidRPr="00EA1BB2">
        <w:rPr>
          <w:rFonts w:ascii="Cambria" w:eastAsia="Calibri" w:hAnsi="Cambria" w:cs="Times New Roman"/>
          <w:b/>
          <w:iCs/>
          <w:sz w:val="24"/>
          <w:szCs w:val="18"/>
        </w:rPr>
        <w:instrText xml:space="preserve"> STYLEREF 1 \s </w:instrText>
      </w:r>
      <w:r w:rsidR="00280BC9" w:rsidRPr="00EA1BB2">
        <w:rPr>
          <w:rFonts w:ascii="Cambria" w:eastAsia="Calibri" w:hAnsi="Cambria" w:cs="Times New Roman"/>
          <w:b/>
          <w:iCs/>
          <w:sz w:val="24"/>
          <w:szCs w:val="18"/>
        </w:rPr>
        <w:fldChar w:fldCharType="separate"/>
      </w:r>
      <w:r w:rsidR="00567555">
        <w:rPr>
          <w:rFonts w:ascii="Cambria" w:eastAsia="Calibri" w:hAnsi="Cambria" w:cs="Times New Roman"/>
          <w:b/>
          <w:iCs/>
          <w:noProof/>
          <w:sz w:val="24"/>
          <w:szCs w:val="18"/>
        </w:rPr>
        <w:t>3</w:t>
      </w:r>
      <w:r w:rsidR="00280BC9" w:rsidRPr="00EA1BB2">
        <w:rPr>
          <w:rFonts w:ascii="Cambria" w:eastAsia="Calibri" w:hAnsi="Cambria" w:cs="Times New Roman"/>
          <w:b/>
          <w:iCs/>
          <w:sz w:val="24"/>
          <w:szCs w:val="18"/>
        </w:rPr>
        <w:fldChar w:fldCharType="end"/>
      </w:r>
      <w:r w:rsidR="00BA6FA3" w:rsidRPr="00EA1BB2">
        <w:rPr>
          <w:rFonts w:ascii="Cambria" w:eastAsia="Calibri" w:hAnsi="Cambria" w:cs="Times New Roman"/>
          <w:b/>
          <w:iCs/>
          <w:sz w:val="24"/>
          <w:szCs w:val="18"/>
        </w:rPr>
        <w:noBreakHyphen/>
      </w:r>
      <w:r w:rsidR="00280BC9" w:rsidRPr="00EA1BB2">
        <w:rPr>
          <w:rFonts w:ascii="Cambria" w:eastAsia="Calibri" w:hAnsi="Cambria" w:cs="Times New Roman"/>
          <w:b/>
          <w:iCs/>
          <w:sz w:val="24"/>
          <w:szCs w:val="18"/>
        </w:rPr>
        <w:fldChar w:fldCharType="begin"/>
      </w:r>
      <w:r w:rsidR="00BA6FA3" w:rsidRPr="00EA1BB2">
        <w:rPr>
          <w:rFonts w:ascii="Cambria" w:eastAsia="Calibri" w:hAnsi="Cambria" w:cs="Times New Roman"/>
          <w:b/>
          <w:iCs/>
          <w:sz w:val="24"/>
          <w:szCs w:val="18"/>
        </w:rPr>
        <w:instrText xml:space="preserve"> SEQ Figura_nr. \* ARABIC \s 1 </w:instrText>
      </w:r>
      <w:r w:rsidR="00280BC9" w:rsidRPr="00EA1BB2">
        <w:rPr>
          <w:rFonts w:ascii="Cambria" w:eastAsia="Calibri" w:hAnsi="Cambria" w:cs="Times New Roman"/>
          <w:b/>
          <w:iCs/>
          <w:sz w:val="24"/>
          <w:szCs w:val="18"/>
        </w:rPr>
        <w:fldChar w:fldCharType="separate"/>
      </w:r>
      <w:r w:rsidR="00567555">
        <w:rPr>
          <w:rFonts w:ascii="Cambria" w:eastAsia="Calibri" w:hAnsi="Cambria" w:cs="Times New Roman"/>
          <w:b/>
          <w:iCs/>
          <w:noProof/>
          <w:sz w:val="24"/>
          <w:szCs w:val="18"/>
        </w:rPr>
        <w:t>25</w:t>
      </w:r>
      <w:r w:rsidR="00280BC9" w:rsidRPr="00EA1BB2">
        <w:rPr>
          <w:rFonts w:ascii="Cambria" w:eastAsia="Calibri" w:hAnsi="Cambria" w:cs="Times New Roman"/>
          <w:b/>
          <w:iCs/>
          <w:sz w:val="24"/>
          <w:szCs w:val="18"/>
        </w:rPr>
        <w:fldChar w:fldCharType="end"/>
      </w:r>
      <w:r w:rsidRPr="00EA1BB2">
        <w:rPr>
          <w:rFonts w:ascii="Cambria" w:eastAsia="Calibri" w:hAnsi="Cambria" w:cs="Times New Roman"/>
          <w:b/>
          <w:iCs/>
          <w:sz w:val="24"/>
          <w:szCs w:val="18"/>
        </w:rPr>
        <w:t xml:space="preserve"> – Tendin</w:t>
      </w:r>
      <w:r w:rsidR="00054880" w:rsidRPr="00EA1BB2">
        <w:rPr>
          <w:rFonts w:ascii="Cambria" w:eastAsia="Calibri" w:hAnsi="Cambria" w:cs="Times New Roman"/>
          <w:b/>
          <w:iCs/>
          <w:sz w:val="24"/>
          <w:szCs w:val="18"/>
        </w:rPr>
        <w:t>ț</w:t>
      </w:r>
      <w:r w:rsidRPr="00EA1BB2">
        <w:rPr>
          <w:rFonts w:ascii="Cambria" w:eastAsia="Calibri" w:hAnsi="Cambria" w:cs="Times New Roman"/>
          <w:b/>
          <w:iCs/>
          <w:sz w:val="24"/>
          <w:szCs w:val="18"/>
        </w:rPr>
        <w:t>a emisiilor de poluan</w:t>
      </w:r>
      <w:r w:rsidR="00054880" w:rsidRPr="00EA1BB2">
        <w:rPr>
          <w:rFonts w:ascii="Cambria" w:eastAsia="Calibri" w:hAnsi="Cambria" w:cs="Times New Roman"/>
          <w:b/>
          <w:iCs/>
          <w:sz w:val="24"/>
          <w:szCs w:val="18"/>
        </w:rPr>
        <w:t>ț</w:t>
      </w:r>
      <w:r w:rsidRPr="00EA1BB2">
        <w:rPr>
          <w:rFonts w:ascii="Cambria" w:eastAsia="Calibri" w:hAnsi="Cambria" w:cs="Times New Roman"/>
          <w:b/>
          <w:iCs/>
          <w:sz w:val="24"/>
          <w:szCs w:val="18"/>
        </w:rPr>
        <w:t>i precursori ai ozonului, la nivelul jude</w:t>
      </w:r>
      <w:r w:rsidR="00054880" w:rsidRPr="00EA1BB2">
        <w:rPr>
          <w:rFonts w:ascii="Cambria" w:eastAsia="Calibri" w:hAnsi="Cambria" w:cs="Times New Roman"/>
          <w:b/>
          <w:iCs/>
          <w:sz w:val="24"/>
          <w:szCs w:val="18"/>
        </w:rPr>
        <w:t>ț</w:t>
      </w:r>
      <w:r w:rsidRPr="00EA1BB2">
        <w:rPr>
          <w:rFonts w:ascii="Cambria" w:eastAsia="Calibri" w:hAnsi="Cambria" w:cs="Times New Roman"/>
          <w:b/>
          <w:iCs/>
          <w:sz w:val="24"/>
          <w:szCs w:val="18"/>
        </w:rPr>
        <w:t xml:space="preserve">ului Brăila, în </w:t>
      </w:r>
      <w:r w:rsidR="00FB20CF" w:rsidRPr="00EA1BB2">
        <w:rPr>
          <w:rFonts w:ascii="Cambria" w:eastAsia="Calibri" w:hAnsi="Cambria" w:cs="Times New Roman"/>
          <w:b/>
          <w:iCs/>
          <w:sz w:val="24"/>
          <w:szCs w:val="18"/>
        </w:rPr>
        <w:t>perioada 2010-</w:t>
      </w:r>
      <w:r w:rsidRPr="00EA1BB2">
        <w:rPr>
          <w:rFonts w:ascii="Cambria" w:eastAsia="Calibri" w:hAnsi="Cambria" w:cs="Times New Roman"/>
          <w:b/>
          <w:iCs/>
          <w:sz w:val="24"/>
          <w:szCs w:val="18"/>
        </w:rPr>
        <w:t>201</w:t>
      </w:r>
      <w:bookmarkEnd w:id="221"/>
      <w:r w:rsidR="004E0F18" w:rsidRPr="00EA1BB2">
        <w:rPr>
          <w:rFonts w:ascii="Cambria" w:eastAsia="Calibri" w:hAnsi="Cambria" w:cs="Times New Roman"/>
          <w:b/>
          <w:iCs/>
          <w:sz w:val="24"/>
          <w:szCs w:val="18"/>
        </w:rPr>
        <w:t>6</w:t>
      </w:r>
      <w:bookmarkEnd w:id="222"/>
    </w:p>
    <w:p w14:paraId="5165DBEA" w14:textId="77777777" w:rsidR="00744560" w:rsidRPr="00EA1BB2" w:rsidRDefault="00744560" w:rsidP="00744560">
      <w:pPr>
        <w:spacing w:line="276" w:lineRule="auto"/>
        <w:jc w:val="center"/>
        <w:rPr>
          <w:rFonts w:ascii="Cambria" w:eastAsia="SimSun" w:hAnsi="Cambria" w:cs="Arial"/>
          <w:sz w:val="24"/>
          <w:szCs w:val="24"/>
        </w:rPr>
      </w:pPr>
      <w:r w:rsidRPr="00EA1BB2">
        <w:rPr>
          <w:rFonts w:ascii="Cambria" w:eastAsia="SimSun" w:hAnsi="Cambria" w:cs="Arial"/>
          <w:noProof/>
          <w:sz w:val="24"/>
          <w:szCs w:val="24"/>
          <w:lang w:val="en-US"/>
        </w:rPr>
        <w:drawing>
          <wp:inline distT="0" distB="0" distL="0" distR="0" wp14:anchorId="486FBB41" wp14:editId="016F98AA">
            <wp:extent cx="5724000" cy="2520000"/>
            <wp:effectExtent l="0" t="0" r="10160" b="13970"/>
            <wp:docPr id="3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4BB2805D" w14:textId="77777777" w:rsidR="00744560" w:rsidRPr="00EA1BB2" w:rsidRDefault="00744560" w:rsidP="00FB20CF">
      <w:pPr>
        <w:spacing w:line="276" w:lineRule="auto"/>
        <w:jc w:val="both"/>
        <w:rPr>
          <w:rFonts w:ascii="Cambria" w:eastAsia="SimSun" w:hAnsi="Cambria" w:cs="Arial"/>
          <w:szCs w:val="24"/>
        </w:rPr>
      </w:pPr>
      <w:r w:rsidRPr="00EA1BB2">
        <w:rPr>
          <w:rFonts w:ascii="Cambria" w:eastAsia="SimSun" w:hAnsi="Cambria" w:cs="Arial"/>
          <w:szCs w:val="24"/>
        </w:rPr>
        <w:t>Sursa</w:t>
      </w:r>
      <w:r w:rsidR="00FB20CF" w:rsidRPr="00EA1BB2">
        <w:rPr>
          <w:rFonts w:ascii="Cambria" w:eastAsia="SimSun" w:hAnsi="Cambria" w:cs="Arial"/>
          <w:szCs w:val="24"/>
        </w:rPr>
        <w:t xml:space="preserve"> date</w:t>
      </w:r>
      <w:r w:rsidRPr="00EA1BB2">
        <w:rPr>
          <w:rFonts w:ascii="Cambria" w:eastAsia="SimSun" w:hAnsi="Cambria" w:cs="Arial"/>
          <w:szCs w:val="24"/>
        </w:rPr>
        <w:t>: APM Brăila - Raportul anual privind starea mediului pentru jude</w:t>
      </w:r>
      <w:r w:rsidR="00054880" w:rsidRPr="00EA1BB2">
        <w:rPr>
          <w:rFonts w:ascii="Cambria" w:eastAsia="SimSun" w:hAnsi="Cambria" w:cs="Arial"/>
          <w:szCs w:val="24"/>
        </w:rPr>
        <w:t>ț</w:t>
      </w:r>
      <w:r w:rsidRPr="00EA1BB2">
        <w:rPr>
          <w:rFonts w:ascii="Cambria" w:eastAsia="SimSun" w:hAnsi="Cambria" w:cs="Arial"/>
          <w:szCs w:val="24"/>
        </w:rPr>
        <w:t>ul Brăila, anul 201</w:t>
      </w:r>
      <w:r w:rsidR="004E0F18" w:rsidRPr="00EA1BB2">
        <w:rPr>
          <w:rFonts w:ascii="Cambria" w:eastAsia="SimSun" w:hAnsi="Cambria" w:cs="Arial"/>
          <w:szCs w:val="24"/>
        </w:rPr>
        <w:t>6</w:t>
      </w:r>
    </w:p>
    <w:p w14:paraId="19F36041" w14:textId="77777777" w:rsidR="00744560" w:rsidRPr="00EA1BB2" w:rsidRDefault="00744560" w:rsidP="00744560">
      <w:pPr>
        <w:autoSpaceDE w:val="0"/>
        <w:autoSpaceDN w:val="0"/>
        <w:adjustRightInd w:val="0"/>
        <w:spacing w:line="360" w:lineRule="auto"/>
        <w:jc w:val="both"/>
        <w:rPr>
          <w:rFonts w:ascii="Cambria" w:eastAsia="Calibri" w:hAnsi="Cambria" w:cs="Times New Roman"/>
          <w:sz w:val="24"/>
          <w:szCs w:val="24"/>
        </w:rPr>
      </w:pPr>
    </w:p>
    <w:p w14:paraId="28C069BE" w14:textId="77777777" w:rsidR="00084A79" w:rsidRPr="00EA1BB2" w:rsidRDefault="00084A79">
      <w:pPr>
        <w:rPr>
          <w:rFonts w:ascii="Cambria" w:eastAsia="Calibri" w:hAnsi="Cambria" w:cs="Times New Roman"/>
          <w:sz w:val="24"/>
          <w:szCs w:val="24"/>
        </w:rPr>
      </w:pPr>
      <w:r w:rsidRPr="00EA1BB2">
        <w:rPr>
          <w:rFonts w:ascii="Cambria" w:eastAsia="Calibri" w:hAnsi="Cambria" w:cs="Times New Roman"/>
          <w:sz w:val="24"/>
          <w:szCs w:val="24"/>
        </w:rPr>
        <w:br w:type="page"/>
      </w:r>
    </w:p>
    <w:p w14:paraId="78A5667A" w14:textId="77777777" w:rsidR="00084A79" w:rsidRPr="00EA1BB2" w:rsidRDefault="00084A79" w:rsidP="00E859EF">
      <w:pPr>
        <w:pStyle w:val="Heading1"/>
        <w:numPr>
          <w:ilvl w:val="0"/>
          <w:numId w:val="1"/>
        </w:numPr>
        <w:ind w:left="0" w:firstLine="709"/>
        <w:rPr>
          <w:rFonts w:ascii="Cambria" w:hAnsi="Cambria" w:cs="Times New Roman"/>
          <w:color w:val="0070C0"/>
          <w:sz w:val="28"/>
          <w:szCs w:val="24"/>
        </w:rPr>
      </w:pPr>
      <w:bookmarkStart w:id="223" w:name="_Toc512346977"/>
      <w:bookmarkStart w:id="224" w:name="_Toc526889745"/>
      <w:bookmarkEnd w:id="144"/>
      <w:r w:rsidRPr="00EA1BB2">
        <w:rPr>
          <w:rFonts w:ascii="Cambria" w:hAnsi="Cambria" w:cs="Times New Roman"/>
          <w:color w:val="0070C0"/>
          <w:sz w:val="28"/>
          <w:szCs w:val="24"/>
        </w:rPr>
        <w:lastRenderedPageBreak/>
        <w:t>DETALII PRIVIND MĂSURI SAU PROIECTE DE ÎMBUNĂTĂȚIRE CARE EXISTAU ÎNAINTE DE 11 IUNIE 2008: MĂSURI LOCALE, REGIONALE, NAȚIONALE ȘI INTERNAȚIONALE EFECTELE OBSERVATE ALE ACESTOR MASURI</w:t>
      </w:r>
      <w:bookmarkEnd w:id="223"/>
      <w:bookmarkEnd w:id="224"/>
    </w:p>
    <w:p w14:paraId="7C5948F5" w14:textId="77777777" w:rsidR="00084A79" w:rsidRPr="00EA1BB2" w:rsidRDefault="00084A79" w:rsidP="00E859EF">
      <w:pPr>
        <w:pStyle w:val="Heading2"/>
        <w:numPr>
          <w:ilvl w:val="1"/>
          <w:numId w:val="1"/>
        </w:numPr>
        <w:spacing w:before="0"/>
        <w:ind w:left="0" w:firstLine="709"/>
        <w:jc w:val="both"/>
        <w:rPr>
          <w:rFonts w:ascii="Cambria" w:hAnsi="Cambria" w:cs="Times New Roman"/>
          <w:color w:val="0070C0"/>
          <w:szCs w:val="24"/>
        </w:rPr>
      </w:pPr>
      <w:bookmarkStart w:id="225" w:name="_Toc482547731"/>
      <w:bookmarkStart w:id="226" w:name="_Toc490394815"/>
      <w:bookmarkStart w:id="227" w:name="_Toc512346978"/>
      <w:bookmarkStart w:id="228" w:name="_Toc526889746"/>
      <w:r w:rsidRPr="00EA1BB2">
        <w:rPr>
          <w:rFonts w:ascii="Cambria" w:hAnsi="Cambria" w:cs="Times New Roman"/>
          <w:color w:val="0070C0"/>
          <w:szCs w:val="24"/>
        </w:rPr>
        <w:t>Măsuri locale, regionale, naționale, internaționale</w:t>
      </w:r>
      <w:bookmarkEnd w:id="225"/>
      <w:bookmarkEnd w:id="226"/>
      <w:bookmarkEnd w:id="227"/>
      <w:bookmarkEnd w:id="228"/>
    </w:p>
    <w:p w14:paraId="0850DBEA" w14:textId="77777777" w:rsidR="00B84975" w:rsidRPr="00EA1BB2" w:rsidRDefault="00B84975" w:rsidP="00B84975">
      <w:pPr>
        <w:spacing w:line="360" w:lineRule="auto"/>
        <w:ind w:firstLine="708"/>
        <w:jc w:val="both"/>
        <w:rPr>
          <w:rFonts w:ascii="Cambria" w:eastAsia="Calibri" w:hAnsi="Cambria" w:cs="Times New Roman"/>
          <w:sz w:val="24"/>
          <w:szCs w:val="24"/>
        </w:rPr>
      </w:pPr>
      <w:r w:rsidRPr="00EA1BB2">
        <w:rPr>
          <w:rFonts w:ascii="Cambria" w:eastAsia="Calibri" w:hAnsi="Cambria" w:cs="Times New Roman"/>
          <w:b/>
          <w:sz w:val="24"/>
          <w:szCs w:val="24"/>
        </w:rPr>
        <w:t>Planurile Locale de Acțiune pentru Mediu</w:t>
      </w:r>
      <w:r w:rsidRPr="00EA1BB2">
        <w:rPr>
          <w:rFonts w:ascii="Cambria" w:eastAsia="Calibri" w:hAnsi="Cambria" w:cs="Times New Roman"/>
          <w:sz w:val="24"/>
          <w:szCs w:val="24"/>
        </w:rPr>
        <w:t xml:space="preserve"> (PLAM) stabilesc scopuri, obiective și ținte clare pentru soluționarea fiecărei probleme individuale de mediu și prezintă seturi corespunzătoare de acțiuni convergente pentru atingerea acestora. </w:t>
      </w:r>
    </w:p>
    <w:p w14:paraId="21114BB1" w14:textId="77777777" w:rsidR="00B84975" w:rsidRPr="00EA1BB2" w:rsidRDefault="00B84975" w:rsidP="00B84975">
      <w:pPr>
        <w:spacing w:line="360" w:lineRule="auto"/>
        <w:ind w:firstLine="708"/>
        <w:jc w:val="both"/>
        <w:rPr>
          <w:rFonts w:ascii="Cambria" w:eastAsia="Calibri" w:hAnsi="Cambria" w:cs="Times New Roman"/>
          <w:sz w:val="24"/>
          <w:szCs w:val="24"/>
        </w:rPr>
      </w:pPr>
      <w:r w:rsidRPr="00EA1BB2">
        <w:rPr>
          <w:rFonts w:ascii="Cambria" w:eastAsia="Calibri" w:hAnsi="Cambria" w:cs="Times New Roman"/>
          <w:sz w:val="24"/>
          <w:szCs w:val="24"/>
        </w:rPr>
        <w:t xml:space="preserve">În cadrul procesului de elaborare al PLAM pentru județul Brăila s-au luat în considerare pe de o parte standardele și reglementările de mediu, precum și legislația în vigoare, iar pe de altă parte viitoarele modificări în legislația națională de mediu, pentru atingerea standardelor Uniunii Europene. PLAM este unic datorită circumstanțelor particulare date de condițiile de mediu ale fiecărui județ. </w:t>
      </w:r>
    </w:p>
    <w:p w14:paraId="2F919B2C" w14:textId="77777777" w:rsidR="00B84975" w:rsidRPr="00EA1BB2" w:rsidRDefault="00B84975" w:rsidP="00B84975">
      <w:pPr>
        <w:spacing w:line="360" w:lineRule="auto"/>
        <w:ind w:firstLine="708"/>
        <w:jc w:val="both"/>
        <w:rPr>
          <w:rFonts w:ascii="Cambria" w:eastAsia="Calibri" w:hAnsi="Cambria" w:cs="Times New Roman"/>
          <w:sz w:val="24"/>
          <w:szCs w:val="24"/>
        </w:rPr>
      </w:pPr>
      <w:r w:rsidRPr="00EA1BB2">
        <w:rPr>
          <w:rFonts w:ascii="Cambria" w:eastAsia="Calibri" w:hAnsi="Cambria" w:cs="Times New Roman"/>
          <w:sz w:val="24"/>
          <w:szCs w:val="24"/>
        </w:rPr>
        <w:t>În județul Brăila, inițierea procesului PLAM, implementarea și revizuirea acestuia a fost inițiată de către autoritatea județeană pentru protecția mediului, Agenția pentru Protecția Mediului Brăila. În conformitate cu responsabilitățile actuale ale autorității locale pentru protecția mediului, conducătorului acesteia i-a revenit funcția de coordonator al PLAM.</w:t>
      </w:r>
    </w:p>
    <w:p w14:paraId="7FFAA09A" w14:textId="77777777" w:rsidR="00B84975" w:rsidRPr="00EA1BB2" w:rsidRDefault="00B84975" w:rsidP="00B84975">
      <w:pPr>
        <w:spacing w:line="360" w:lineRule="auto"/>
        <w:ind w:firstLine="708"/>
        <w:jc w:val="both"/>
        <w:rPr>
          <w:rFonts w:ascii="Cambria" w:eastAsia="Calibri" w:hAnsi="Cambria" w:cs="Times New Roman"/>
          <w:sz w:val="24"/>
          <w:szCs w:val="24"/>
        </w:rPr>
      </w:pPr>
      <w:r w:rsidRPr="00EA1BB2">
        <w:rPr>
          <w:rFonts w:ascii="Cambria" w:eastAsia="Calibri" w:hAnsi="Cambria" w:cs="Times New Roman"/>
          <w:sz w:val="24"/>
          <w:szCs w:val="24"/>
        </w:rPr>
        <w:t xml:space="preserve">Planul Local de Acțiune pentru Mediu (PLAM) pentru județul Brăila reprezintă strategia pe termen scurt, mediu și lung pentru soluționarea problemelor de mediu din județ prin abordarea principiilor dezvoltării durabile în concordanță cu Planul Național de Acțiune pentru Mediu și cu Programele de Dezvoltare Locale, Județene și Regionale. </w:t>
      </w:r>
    </w:p>
    <w:p w14:paraId="4CF027EF" w14:textId="77777777" w:rsidR="00B84975" w:rsidRPr="00EA1BB2" w:rsidRDefault="00B84975" w:rsidP="00B84975">
      <w:pPr>
        <w:spacing w:line="360" w:lineRule="auto"/>
        <w:ind w:firstLine="708"/>
        <w:jc w:val="both"/>
        <w:rPr>
          <w:rFonts w:ascii="Cambria" w:eastAsia="Calibri" w:hAnsi="Cambria" w:cs="Times New Roman"/>
          <w:sz w:val="24"/>
          <w:szCs w:val="24"/>
        </w:rPr>
      </w:pPr>
      <w:r w:rsidRPr="00EA1BB2">
        <w:rPr>
          <w:rFonts w:ascii="Cambria" w:eastAsia="Calibri" w:hAnsi="Cambria" w:cs="Times New Roman"/>
          <w:sz w:val="24"/>
          <w:szCs w:val="24"/>
        </w:rPr>
        <w:t xml:space="preserve"> Scopul PLAM: </w:t>
      </w:r>
    </w:p>
    <w:p w14:paraId="3438DC8F" w14:textId="77777777" w:rsidR="00B84975" w:rsidRPr="00EA1BB2" w:rsidRDefault="00B84975" w:rsidP="00B84975">
      <w:pPr>
        <w:spacing w:line="360" w:lineRule="auto"/>
        <w:ind w:firstLine="708"/>
        <w:jc w:val="both"/>
        <w:rPr>
          <w:rFonts w:ascii="Cambria" w:eastAsia="Calibri" w:hAnsi="Cambria" w:cs="Times New Roman"/>
          <w:sz w:val="24"/>
          <w:szCs w:val="24"/>
        </w:rPr>
      </w:pPr>
      <w:r w:rsidRPr="00EA1BB2">
        <w:rPr>
          <w:rFonts w:ascii="Cambria" w:eastAsia="Calibri" w:hAnsi="Cambria" w:cs="Times New Roman"/>
          <w:sz w:val="24"/>
          <w:szCs w:val="24"/>
        </w:rPr>
        <w:t xml:space="preserve">• evaluarea clară a problemelor de mediu, </w:t>
      </w:r>
    </w:p>
    <w:p w14:paraId="04722089" w14:textId="77777777" w:rsidR="00B84975" w:rsidRPr="00EA1BB2" w:rsidRDefault="00B84975" w:rsidP="00B84975">
      <w:pPr>
        <w:spacing w:line="360" w:lineRule="auto"/>
        <w:ind w:firstLine="708"/>
        <w:jc w:val="both"/>
        <w:rPr>
          <w:rFonts w:ascii="Cambria" w:eastAsia="Calibri" w:hAnsi="Cambria" w:cs="Times New Roman"/>
          <w:sz w:val="24"/>
          <w:szCs w:val="24"/>
        </w:rPr>
      </w:pPr>
      <w:r w:rsidRPr="00EA1BB2">
        <w:rPr>
          <w:rFonts w:ascii="Cambria" w:eastAsia="Calibri" w:hAnsi="Cambria" w:cs="Times New Roman"/>
          <w:sz w:val="24"/>
          <w:szCs w:val="24"/>
        </w:rPr>
        <w:t xml:space="preserve">• stabilirea priorităților de acțiune pe termen scurt, mediu și lung, </w:t>
      </w:r>
    </w:p>
    <w:p w14:paraId="2956DF4B" w14:textId="77777777" w:rsidR="00B84975" w:rsidRPr="00EA1BB2" w:rsidRDefault="00B84975" w:rsidP="00B84975">
      <w:pPr>
        <w:spacing w:line="360" w:lineRule="auto"/>
        <w:ind w:firstLine="708"/>
        <w:jc w:val="both"/>
        <w:rPr>
          <w:rFonts w:ascii="Cambria" w:eastAsia="Calibri" w:hAnsi="Cambria" w:cs="Times New Roman"/>
          <w:sz w:val="24"/>
          <w:szCs w:val="24"/>
        </w:rPr>
      </w:pPr>
      <w:r w:rsidRPr="00EA1BB2">
        <w:rPr>
          <w:rFonts w:ascii="Cambria" w:eastAsia="Calibri" w:hAnsi="Cambria" w:cs="Times New Roman"/>
          <w:sz w:val="24"/>
          <w:szCs w:val="24"/>
        </w:rPr>
        <w:t xml:space="preserve">• corelarea dezvoltării economice cu aspectele de protecția mediului, deci corelarea cu planurile județene și regionale. </w:t>
      </w:r>
    </w:p>
    <w:p w14:paraId="04C10A94" w14:textId="77777777" w:rsidR="00B84975" w:rsidRPr="00EA1BB2" w:rsidRDefault="00B84975" w:rsidP="00B84975">
      <w:pPr>
        <w:spacing w:line="360" w:lineRule="auto"/>
        <w:ind w:firstLine="708"/>
        <w:jc w:val="both"/>
        <w:rPr>
          <w:rFonts w:ascii="Cambria" w:eastAsia="Calibri" w:hAnsi="Cambria" w:cs="Times New Roman"/>
          <w:sz w:val="24"/>
          <w:szCs w:val="24"/>
        </w:rPr>
      </w:pPr>
      <w:r w:rsidRPr="00EA1BB2">
        <w:rPr>
          <w:rFonts w:ascii="Cambria" w:eastAsia="Calibri" w:hAnsi="Cambria" w:cs="Times New Roman"/>
          <w:sz w:val="24"/>
          <w:szCs w:val="24"/>
        </w:rPr>
        <w:t xml:space="preserve">Obiective PLAM: </w:t>
      </w:r>
    </w:p>
    <w:p w14:paraId="7CBF8A6E" w14:textId="77777777" w:rsidR="00B84975" w:rsidRPr="00EA1BB2" w:rsidRDefault="00B84975" w:rsidP="00B84975">
      <w:pPr>
        <w:spacing w:line="360" w:lineRule="auto"/>
        <w:ind w:firstLine="708"/>
        <w:jc w:val="both"/>
        <w:rPr>
          <w:rFonts w:ascii="Cambria" w:eastAsia="Calibri" w:hAnsi="Cambria" w:cs="Times New Roman"/>
          <w:sz w:val="24"/>
          <w:szCs w:val="24"/>
        </w:rPr>
      </w:pPr>
      <w:r w:rsidRPr="00EA1BB2">
        <w:rPr>
          <w:rFonts w:ascii="Cambria" w:eastAsia="Calibri" w:hAnsi="Cambria" w:cs="Times New Roman"/>
          <w:sz w:val="24"/>
          <w:szCs w:val="24"/>
        </w:rPr>
        <w:t xml:space="preserve">• identificarea, evaluarea și ierarhizarea problemelor de mediu, </w:t>
      </w:r>
    </w:p>
    <w:p w14:paraId="5B2EA6C7" w14:textId="77777777" w:rsidR="00B84975" w:rsidRPr="00EA1BB2" w:rsidRDefault="00B84975" w:rsidP="00B84975">
      <w:pPr>
        <w:spacing w:line="360" w:lineRule="auto"/>
        <w:ind w:firstLine="708"/>
        <w:jc w:val="both"/>
        <w:rPr>
          <w:rFonts w:ascii="Cambria" w:eastAsia="Calibri" w:hAnsi="Cambria" w:cs="Times New Roman"/>
          <w:sz w:val="24"/>
          <w:szCs w:val="24"/>
        </w:rPr>
      </w:pPr>
      <w:r w:rsidRPr="00EA1BB2">
        <w:rPr>
          <w:rFonts w:ascii="Cambria" w:eastAsia="Calibri" w:hAnsi="Cambria" w:cs="Times New Roman"/>
          <w:sz w:val="24"/>
          <w:szCs w:val="24"/>
        </w:rPr>
        <w:t xml:space="preserve">• îmbunătățirea condițiilor locale de mediu, </w:t>
      </w:r>
    </w:p>
    <w:p w14:paraId="27C11435" w14:textId="77777777" w:rsidR="00B84975" w:rsidRPr="00EA1BB2" w:rsidRDefault="00B84975" w:rsidP="00B84975">
      <w:pPr>
        <w:spacing w:line="360" w:lineRule="auto"/>
        <w:ind w:firstLine="708"/>
        <w:jc w:val="both"/>
        <w:rPr>
          <w:rFonts w:ascii="Cambria" w:eastAsia="Calibri" w:hAnsi="Cambria" w:cs="Times New Roman"/>
          <w:sz w:val="24"/>
          <w:szCs w:val="24"/>
        </w:rPr>
      </w:pPr>
      <w:r w:rsidRPr="00EA1BB2">
        <w:rPr>
          <w:rFonts w:ascii="Cambria" w:eastAsia="Calibri" w:hAnsi="Cambria" w:cs="Times New Roman"/>
          <w:sz w:val="24"/>
          <w:szCs w:val="24"/>
        </w:rPr>
        <w:t xml:space="preserve">• promovarea conștientizării publicului și implicarea acestuia în elaborarea și implementarea programului, </w:t>
      </w:r>
    </w:p>
    <w:p w14:paraId="35310F05" w14:textId="77777777" w:rsidR="00B84975" w:rsidRPr="00EA1BB2" w:rsidRDefault="00B84975" w:rsidP="00B84975">
      <w:pPr>
        <w:spacing w:line="360" w:lineRule="auto"/>
        <w:ind w:firstLine="708"/>
        <w:jc w:val="both"/>
        <w:rPr>
          <w:rFonts w:ascii="Cambria" w:eastAsia="Calibri" w:hAnsi="Cambria" w:cs="Times New Roman"/>
          <w:sz w:val="24"/>
          <w:szCs w:val="24"/>
        </w:rPr>
      </w:pPr>
      <w:r w:rsidRPr="00EA1BB2">
        <w:rPr>
          <w:rFonts w:ascii="Cambria" w:eastAsia="Calibri" w:hAnsi="Cambria" w:cs="Times New Roman"/>
          <w:sz w:val="24"/>
          <w:szCs w:val="24"/>
        </w:rPr>
        <w:lastRenderedPageBreak/>
        <w:t xml:space="preserve">• promovarea parteneriatului între autoritățile locale și alte sectoare ale comunității, </w:t>
      </w:r>
    </w:p>
    <w:p w14:paraId="3619FD85" w14:textId="77777777" w:rsidR="00B84975" w:rsidRPr="00EA1BB2" w:rsidRDefault="00B84975" w:rsidP="00B84975">
      <w:pPr>
        <w:spacing w:line="360" w:lineRule="auto"/>
        <w:ind w:firstLine="708"/>
        <w:jc w:val="both"/>
        <w:rPr>
          <w:rFonts w:ascii="Cambria" w:eastAsia="Calibri" w:hAnsi="Cambria" w:cs="Times New Roman"/>
          <w:sz w:val="24"/>
          <w:szCs w:val="24"/>
        </w:rPr>
      </w:pPr>
      <w:r w:rsidRPr="00EA1BB2">
        <w:rPr>
          <w:rFonts w:ascii="Cambria" w:eastAsia="Calibri" w:hAnsi="Cambria" w:cs="Times New Roman"/>
          <w:sz w:val="24"/>
          <w:szCs w:val="24"/>
        </w:rPr>
        <w:t xml:space="preserve">• întărirea capacității instituțiilor locale în administrarea și implementarea programelor pentru protecția mediului, </w:t>
      </w:r>
    </w:p>
    <w:p w14:paraId="1E1FB4D4" w14:textId="77777777" w:rsidR="00B84975" w:rsidRPr="00EA1BB2" w:rsidRDefault="00B84975" w:rsidP="00B84975">
      <w:pPr>
        <w:spacing w:line="360" w:lineRule="auto"/>
        <w:ind w:firstLine="708"/>
        <w:jc w:val="both"/>
        <w:rPr>
          <w:rFonts w:ascii="Cambria" w:eastAsia="Calibri" w:hAnsi="Cambria" w:cs="Times New Roman"/>
          <w:sz w:val="24"/>
          <w:szCs w:val="24"/>
        </w:rPr>
      </w:pPr>
      <w:r w:rsidRPr="00EA1BB2">
        <w:rPr>
          <w:rFonts w:ascii="Cambria" w:eastAsia="Calibri" w:hAnsi="Cambria" w:cs="Times New Roman"/>
          <w:sz w:val="24"/>
          <w:szCs w:val="24"/>
        </w:rPr>
        <w:t xml:space="preserve">• implementarea mai eficientă a legislației. </w:t>
      </w:r>
    </w:p>
    <w:p w14:paraId="4168F6DE" w14:textId="77777777" w:rsidR="00B84975" w:rsidRPr="00EA1BB2" w:rsidRDefault="00B84975" w:rsidP="00B84975">
      <w:pPr>
        <w:spacing w:line="360" w:lineRule="auto"/>
        <w:ind w:firstLine="708"/>
        <w:jc w:val="both"/>
        <w:rPr>
          <w:rFonts w:ascii="Cambria" w:eastAsia="Calibri" w:hAnsi="Cambria" w:cs="Times New Roman"/>
          <w:sz w:val="24"/>
          <w:szCs w:val="24"/>
        </w:rPr>
      </w:pPr>
      <w:r w:rsidRPr="00EA1BB2">
        <w:rPr>
          <w:rFonts w:ascii="Cambria" w:eastAsia="Calibri" w:hAnsi="Cambria" w:cs="Times New Roman"/>
          <w:sz w:val="24"/>
          <w:szCs w:val="24"/>
        </w:rPr>
        <w:t xml:space="preserve">Beneficii PLAM: </w:t>
      </w:r>
    </w:p>
    <w:p w14:paraId="72D371EB" w14:textId="77777777" w:rsidR="00B84975" w:rsidRPr="00EA1BB2" w:rsidRDefault="00B84975" w:rsidP="00B84975">
      <w:pPr>
        <w:spacing w:line="360" w:lineRule="auto"/>
        <w:ind w:firstLine="708"/>
        <w:jc w:val="both"/>
        <w:rPr>
          <w:rFonts w:ascii="Cambria" w:eastAsia="Calibri" w:hAnsi="Cambria" w:cs="Times New Roman"/>
          <w:sz w:val="24"/>
          <w:szCs w:val="24"/>
        </w:rPr>
      </w:pPr>
      <w:r w:rsidRPr="00EA1BB2">
        <w:rPr>
          <w:rFonts w:ascii="Cambria" w:eastAsia="Calibri" w:hAnsi="Cambria" w:cs="Times New Roman"/>
          <w:sz w:val="24"/>
          <w:szCs w:val="24"/>
        </w:rPr>
        <w:t xml:space="preserve">• utilizarea eficientă a resurselor financiare și umane, </w:t>
      </w:r>
    </w:p>
    <w:p w14:paraId="34C64B51" w14:textId="77777777" w:rsidR="00B84975" w:rsidRPr="00EA1BB2" w:rsidRDefault="00B84975" w:rsidP="00B84975">
      <w:pPr>
        <w:spacing w:line="360" w:lineRule="auto"/>
        <w:ind w:firstLine="708"/>
        <w:jc w:val="both"/>
        <w:rPr>
          <w:rFonts w:ascii="Cambria" w:eastAsia="Calibri" w:hAnsi="Cambria" w:cs="Times New Roman"/>
          <w:sz w:val="24"/>
          <w:szCs w:val="24"/>
        </w:rPr>
      </w:pPr>
      <w:r w:rsidRPr="00EA1BB2">
        <w:rPr>
          <w:rFonts w:ascii="Cambria" w:eastAsia="Calibri" w:hAnsi="Cambria" w:cs="Times New Roman"/>
          <w:sz w:val="24"/>
          <w:szCs w:val="24"/>
        </w:rPr>
        <w:t xml:space="preserve">• îmbunătățirea reală, vizibilă și durabilă a mediului în județ, </w:t>
      </w:r>
    </w:p>
    <w:p w14:paraId="36444183" w14:textId="77777777" w:rsidR="00B84975" w:rsidRPr="00EA1BB2" w:rsidRDefault="00B84975" w:rsidP="00B84975">
      <w:pPr>
        <w:spacing w:line="360" w:lineRule="auto"/>
        <w:ind w:firstLine="708"/>
        <w:jc w:val="both"/>
        <w:rPr>
          <w:rFonts w:ascii="Cambria" w:eastAsia="Calibri" w:hAnsi="Cambria" w:cs="Times New Roman"/>
          <w:sz w:val="24"/>
          <w:szCs w:val="24"/>
        </w:rPr>
      </w:pPr>
      <w:r w:rsidRPr="00EA1BB2">
        <w:rPr>
          <w:rFonts w:ascii="Cambria" w:eastAsia="Calibri" w:hAnsi="Cambria" w:cs="Times New Roman"/>
          <w:sz w:val="24"/>
          <w:szCs w:val="24"/>
        </w:rPr>
        <w:t xml:space="preserve">• soluționarea celor mai urgente probleme de mediu, </w:t>
      </w:r>
    </w:p>
    <w:p w14:paraId="73920552" w14:textId="77777777" w:rsidR="00B84975" w:rsidRPr="00EA1BB2" w:rsidRDefault="00B84975" w:rsidP="00B84975">
      <w:pPr>
        <w:spacing w:line="360" w:lineRule="auto"/>
        <w:ind w:firstLine="708"/>
        <w:jc w:val="both"/>
        <w:rPr>
          <w:rFonts w:ascii="Cambria" w:eastAsia="Calibri" w:hAnsi="Cambria" w:cs="Times New Roman"/>
          <w:sz w:val="24"/>
          <w:szCs w:val="24"/>
        </w:rPr>
      </w:pPr>
      <w:r w:rsidRPr="00EA1BB2">
        <w:rPr>
          <w:rFonts w:ascii="Cambria" w:eastAsia="Calibri" w:hAnsi="Cambria" w:cs="Times New Roman"/>
          <w:sz w:val="24"/>
          <w:szCs w:val="24"/>
        </w:rPr>
        <w:t xml:space="preserve">• implementarea viitoarelor investiții în domeniul protecției mediului, </w:t>
      </w:r>
    </w:p>
    <w:p w14:paraId="43E3069C" w14:textId="77777777" w:rsidR="00B84975" w:rsidRPr="00EA1BB2" w:rsidRDefault="00B84975" w:rsidP="00B84975">
      <w:pPr>
        <w:spacing w:line="360" w:lineRule="auto"/>
        <w:ind w:firstLine="708"/>
        <w:jc w:val="both"/>
        <w:rPr>
          <w:rFonts w:ascii="Cambria" w:eastAsia="Calibri" w:hAnsi="Cambria" w:cs="Times New Roman"/>
          <w:sz w:val="24"/>
          <w:szCs w:val="24"/>
        </w:rPr>
      </w:pPr>
      <w:r w:rsidRPr="00EA1BB2">
        <w:rPr>
          <w:rFonts w:ascii="Cambria" w:eastAsia="Calibri" w:hAnsi="Cambria" w:cs="Times New Roman"/>
          <w:sz w:val="24"/>
          <w:szCs w:val="24"/>
        </w:rPr>
        <w:t>• conformarea cu cerințele de mediu ale Uniunii Europene.</w:t>
      </w:r>
    </w:p>
    <w:p w14:paraId="77817732" w14:textId="77777777" w:rsidR="00B84975" w:rsidRPr="00EA1BB2" w:rsidRDefault="00B84975" w:rsidP="00B84975">
      <w:pPr>
        <w:spacing w:line="360" w:lineRule="auto"/>
        <w:ind w:firstLine="708"/>
        <w:jc w:val="both"/>
        <w:rPr>
          <w:rFonts w:ascii="Cambria" w:eastAsia="Calibri" w:hAnsi="Cambria" w:cs="Times New Roman"/>
          <w:sz w:val="24"/>
          <w:szCs w:val="24"/>
        </w:rPr>
      </w:pPr>
    </w:p>
    <w:p w14:paraId="3CC6A1EA" w14:textId="77777777" w:rsidR="00B84975" w:rsidRPr="00EA1BB2" w:rsidRDefault="00B84975" w:rsidP="00B84975">
      <w:pPr>
        <w:spacing w:line="360" w:lineRule="auto"/>
        <w:ind w:firstLine="708"/>
        <w:jc w:val="both"/>
        <w:rPr>
          <w:rFonts w:ascii="Cambria" w:eastAsia="Calibri" w:hAnsi="Cambria" w:cs="Times New Roman"/>
          <w:sz w:val="24"/>
          <w:szCs w:val="24"/>
        </w:rPr>
      </w:pPr>
      <w:r w:rsidRPr="00EA1BB2">
        <w:rPr>
          <w:rFonts w:ascii="Cambria" w:eastAsia="Calibri" w:hAnsi="Cambria" w:cs="Times New Roman"/>
          <w:sz w:val="24"/>
          <w:szCs w:val="24"/>
        </w:rPr>
        <w:t>Planurile Locale de Acțiune pentru Mediu vizează în general diminuarea poluării, utilizarea eficientă a resurselor naturale regenerabile și neregenerabile, dezvoltarea educației ecologice și promovarea activităților social-economice cu impact minim asupra mediului natural cât și conformarea cu Directivele Uniunii Europene. PLAM-urile accentuează de asemenea importanța respectării cerințelor economice prezente, ținând cont de necesitatea respectării principiilor de coabitare cu mediul natural.</w:t>
      </w:r>
    </w:p>
    <w:p w14:paraId="2B3E6573" w14:textId="77777777" w:rsidR="00B84975" w:rsidRPr="00EA1BB2" w:rsidRDefault="00B84975" w:rsidP="00B84975">
      <w:pPr>
        <w:spacing w:line="360" w:lineRule="auto"/>
        <w:ind w:firstLine="708"/>
        <w:jc w:val="both"/>
        <w:rPr>
          <w:rFonts w:ascii="Cambria" w:eastAsia="Calibri" w:hAnsi="Cambria" w:cs="Times New Roman"/>
          <w:sz w:val="24"/>
          <w:szCs w:val="24"/>
        </w:rPr>
      </w:pPr>
    </w:p>
    <w:p w14:paraId="13C6C5A5" w14:textId="77777777" w:rsidR="00B84975" w:rsidRPr="00EA1BB2" w:rsidRDefault="00B84975" w:rsidP="00B84975">
      <w:pPr>
        <w:spacing w:line="360" w:lineRule="auto"/>
        <w:ind w:firstLine="708"/>
        <w:jc w:val="both"/>
        <w:rPr>
          <w:rFonts w:ascii="Cambria" w:eastAsia="Calibri" w:hAnsi="Cambria" w:cs="Times New Roman"/>
          <w:sz w:val="24"/>
          <w:szCs w:val="24"/>
        </w:rPr>
      </w:pPr>
      <w:r w:rsidRPr="00EA1BB2">
        <w:rPr>
          <w:rFonts w:ascii="Cambria" w:eastAsia="Calibri" w:hAnsi="Cambria" w:cs="Times New Roman"/>
          <w:sz w:val="24"/>
          <w:szCs w:val="24"/>
        </w:rPr>
        <w:t>Lista problemelor/aspectelor de mediu din județul Brăila din categoria 04. Poluarea atmosferei identificat în PLAM 2004:</w:t>
      </w:r>
    </w:p>
    <w:p w14:paraId="4B990EC0" w14:textId="77777777" w:rsidR="00B84975" w:rsidRPr="00EA1BB2" w:rsidRDefault="00B84975" w:rsidP="00B84975">
      <w:pPr>
        <w:spacing w:line="360" w:lineRule="auto"/>
        <w:ind w:firstLine="708"/>
        <w:jc w:val="both"/>
        <w:rPr>
          <w:rFonts w:ascii="Cambria" w:eastAsia="Calibri" w:hAnsi="Cambria" w:cs="Times New Roman"/>
          <w:sz w:val="24"/>
          <w:szCs w:val="24"/>
        </w:rPr>
      </w:pPr>
      <w:r w:rsidRPr="00EA1BB2">
        <w:rPr>
          <w:rFonts w:ascii="Cambria" w:eastAsia="Calibri" w:hAnsi="Cambria" w:cs="Times New Roman"/>
          <w:sz w:val="24"/>
          <w:szCs w:val="24"/>
        </w:rPr>
        <w:t>4.1. Poluarea atmosferei datorată industriei energetice</w:t>
      </w:r>
    </w:p>
    <w:p w14:paraId="49D7C45A" w14:textId="77777777" w:rsidR="00B84975" w:rsidRPr="00EA1BB2" w:rsidRDefault="00B84975" w:rsidP="00B84975">
      <w:pPr>
        <w:spacing w:line="360" w:lineRule="auto"/>
        <w:ind w:firstLine="708"/>
        <w:jc w:val="both"/>
        <w:rPr>
          <w:rFonts w:ascii="Cambria" w:eastAsia="Calibri" w:hAnsi="Cambria" w:cs="Times New Roman"/>
          <w:sz w:val="24"/>
          <w:szCs w:val="24"/>
        </w:rPr>
      </w:pPr>
      <w:r w:rsidRPr="00EA1BB2">
        <w:rPr>
          <w:rFonts w:ascii="Cambria" w:eastAsia="Calibri" w:hAnsi="Cambria" w:cs="Times New Roman"/>
          <w:sz w:val="24"/>
          <w:szCs w:val="24"/>
        </w:rPr>
        <w:t>4.2. Poluarea provenit</w:t>
      </w:r>
      <w:r w:rsidR="00871D4D" w:rsidRPr="00EA1BB2">
        <w:rPr>
          <w:rFonts w:ascii="Cambria" w:eastAsia="Calibri" w:hAnsi="Cambria" w:cs="Times New Roman"/>
          <w:sz w:val="24"/>
          <w:szCs w:val="24"/>
        </w:rPr>
        <w:t>ă</w:t>
      </w:r>
      <w:r w:rsidRPr="00EA1BB2">
        <w:rPr>
          <w:rFonts w:ascii="Cambria" w:eastAsia="Calibri" w:hAnsi="Cambria" w:cs="Times New Roman"/>
          <w:sz w:val="24"/>
          <w:szCs w:val="24"/>
        </w:rPr>
        <w:t xml:space="preserve"> de la unitățile industriale</w:t>
      </w:r>
    </w:p>
    <w:p w14:paraId="75947A0C" w14:textId="77777777" w:rsidR="00B84975" w:rsidRPr="00EA1BB2" w:rsidRDefault="00B84975" w:rsidP="00B84975">
      <w:pPr>
        <w:spacing w:line="360" w:lineRule="auto"/>
        <w:ind w:firstLine="708"/>
        <w:jc w:val="both"/>
        <w:rPr>
          <w:rFonts w:ascii="Cambria" w:eastAsia="Calibri" w:hAnsi="Cambria" w:cs="Times New Roman"/>
          <w:sz w:val="24"/>
          <w:szCs w:val="24"/>
        </w:rPr>
      </w:pPr>
      <w:r w:rsidRPr="00EA1BB2">
        <w:rPr>
          <w:rFonts w:ascii="Cambria" w:eastAsia="Calibri" w:hAnsi="Cambria" w:cs="Times New Roman"/>
          <w:sz w:val="24"/>
          <w:szCs w:val="24"/>
        </w:rPr>
        <w:t>4.3. Poluarea atmosferei datorit</w:t>
      </w:r>
      <w:r w:rsidR="00871D4D" w:rsidRPr="00EA1BB2">
        <w:rPr>
          <w:rFonts w:ascii="Cambria" w:eastAsia="Calibri" w:hAnsi="Cambria" w:cs="Times New Roman"/>
          <w:sz w:val="24"/>
          <w:szCs w:val="24"/>
        </w:rPr>
        <w:t>ă</w:t>
      </w:r>
      <w:r w:rsidRPr="00EA1BB2">
        <w:rPr>
          <w:rFonts w:ascii="Cambria" w:eastAsia="Calibri" w:hAnsi="Cambria" w:cs="Times New Roman"/>
          <w:sz w:val="24"/>
          <w:szCs w:val="24"/>
        </w:rPr>
        <w:t xml:space="preserve"> emisiilor de compuși organici volatili (COV) rezultați din instalațiile și activitățile care utilizează solvenți organici volatili si stații de distribuție a carburanților</w:t>
      </w:r>
    </w:p>
    <w:p w14:paraId="5C1B17E4" w14:textId="77777777" w:rsidR="00B84975" w:rsidRPr="00EA1BB2" w:rsidRDefault="00B84975" w:rsidP="00B84975">
      <w:pPr>
        <w:spacing w:line="360" w:lineRule="auto"/>
        <w:ind w:firstLine="708"/>
        <w:jc w:val="both"/>
        <w:rPr>
          <w:rFonts w:ascii="Cambria" w:eastAsia="Calibri" w:hAnsi="Cambria" w:cs="Times New Roman"/>
          <w:sz w:val="24"/>
          <w:szCs w:val="24"/>
        </w:rPr>
      </w:pPr>
      <w:r w:rsidRPr="00EA1BB2">
        <w:rPr>
          <w:rFonts w:ascii="Cambria" w:eastAsia="Calibri" w:hAnsi="Cambria" w:cs="Times New Roman"/>
          <w:sz w:val="24"/>
          <w:szCs w:val="24"/>
        </w:rPr>
        <w:t xml:space="preserve">4.4.  Poluarea aerului cu emisii de noxe provenite din trafic </w:t>
      </w:r>
    </w:p>
    <w:p w14:paraId="167077A6" w14:textId="77777777" w:rsidR="00B84975" w:rsidRPr="00EA1BB2" w:rsidRDefault="00B84975" w:rsidP="00B84975">
      <w:pPr>
        <w:spacing w:line="360" w:lineRule="auto"/>
        <w:ind w:firstLine="708"/>
        <w:jc w:val="both"/>
        <w:rPr>
          <w:rFonts w:ascii="Cambria" w:eastAsia="Calibri" w:hAnsi="Cambria" w:cs="Times New Roman"/>
          <w:sz w:val="24"/>
          <w:szCs w:val="24"/>
        </w:rPr>
      </w:pPr>
      <w:r w:rsidRPr="00EA1BB2">
        <w:rPr>
          <w:rFonts w:ascii="Cambria" w:eastAsia="Calibri" w:hAnsi="Cambria" w:cs="Times New Roman"/>
          <w:sz w:val="24"/>
          <w:szCs w:val="24"/>
        </w:rPr>
        <w:t>4.5. Afectarea globală a mediului datorată emisiilor de gaze cu efect de seră.</w:t>
      </w:r>
    </w:p>
    <w:p w14:paraId="73AACB68" w14:textId="77777777" w:rsidR="00B84975" w:rsidRPr="00EA1BB2" w:rsidRDefault="00B84975" w:rsidP="00B84975">
      <w:pPr>
        <w:spacing w:line="360" w:lineRule="auto"/>
        <w:ind w:firstLine="708"/>
        <w:jc w:val="both"/>
        <w:rPr>
          <w:rFonts w:ascii="Cambria" w:eastAsia="Calibri" w:hAnsi="Cambria" w:cs="Times New Roman"/>
          <w:sz w:val="24"/>
          <w:szCs w:val="24"/>
        </w:rPr>
      </w:pPr>
      <w:r w:rsidRPr="00EA1BB2">
        <w:rPr>
          <w:rFonts w:ascii="Cambria" w:eastAsia="Calibri" w:hAnsi="Cambria" w:cs="Times New Roman"/>
          <w:sz w:val="24"/>
          <w:szCs w:val="24"/>
        </w:rPr>
        <w:t>În continuare este prezentată matricea-plan de implementare a acțiunilor pentru problema PM04 POLUAREA ATMOSFEREI din Planul Local de Acțiune pentru Mediu din județul Brăila.</w:t>
      </w:r>
    </w:p>
    <w:p w14:paraId="7A4A4625" w14:textId="77777777" w:rsidR="00B84975" w:rsidRPr="00EA1BB2" w:rsidRDefault="00B84975" w:rsidP="00B84975">
      <w:pPr>
        <w:spacing w:line="360" w:lineRule="auto"/>
        <w:ind w:firstLine="708"/>
        <w:jc w:val="both"/>
        <w:rPr>
          <w:rFonts w:ascii="Cambria" w:eastAsia="Calibri" w:hAnsi="Cambria" w:cs="Times New Roman"/>
          <w:sz w:val="24"/>
          <w:szCs w:val="24"/>
        </w:rPr>
      </w:pPr>
    </w:p>
    <w:p w14:paraId="0E71F2E7" w14:textId="77777777" w:rsidR="00B84975" w:rsidRPr="00EA1BB2" w:rsidRDefault="00B84975" w:rsidP="00B84975">
      <w:pPr>
        <w:spacing w:line="360" w:lineRule="auto"/>
        <w:ind w:firstLine="708"/>
        <w:jc w:val="both"/>
        <w:rPr>
          <w:rFonts w:ascii="Cambria" w:eastAsia="Calibri" w:hAnsi="Cambria" w:cs="Times New Roman"/>
          <w:sz w:val="24"/>
          <w:szCs w:val="24"/>
        </w:rPr>
      </w:pPr>
    </w:p>
    <w:p w14:paraId="44804C54" w14:textId="77777777" w:rsidR="00B84975" w:rsidRPr="00EA1BB2" w:rsidRDefault="00B84975" w:rsidP="00B84975">
      <w:pPr>
        <w:spacing w:line="360" w:lineRule="auto"/>
        <w:ind w:firstLine="708"/>
        <w:jc w:val="both"/>
        <w:rPr>
          <w:rFonts w:ascii="Cambria" w:eastAsia="Calibri" w:hAnsi="Cambria" w:cs="Times New Roman"/>
          <w:sz w:val="24"/>
          <w:szCs w:val="24"/>
        </w:rPr>
        <w:sectPr w:rsidR="00B84975" w:rsidRPr="00EA1BB2" w:rsidSect="00C33981">
          <w:headerReference w:type="default" r:id="rId140"/>
          <w:footerReference w:type="default" r:id="rId141"/>
          <w:pgSz w:w="11906" w:h="16838" w:code="9"/>
          <w:pgMar w:top="1134" w:right="1440" w:bottom="1134" w:left="1440" w:header="283" w:footer="283" w:gutter="0"/>
          <w:cols w:space="708"/>
          <w:docGrid w:linePitch="360"/>
        </w:sectPr>
      </w:pPr>
    </w:p>
    <w:p w14:paraId="08FD0624" w14:textId="2CC5D5D1" w:rsidR="00B84975" w:rsidRPr="00EA1BB2" w:rsidRDefault="00B84975" w:rsidP="00B84975">
      <w:pPr>
        <w:pStyle w:val="Caption"/>
        <w:keepNext/>
        <w:ind w:firstLine="708"/>
        <w:rPr>
          <w:rFonts w:ascii="Cambria" w:hAnsi="Cambria"/>
        </w:rPr>
      </w:pPr>
      <w:bookmarkStart w:id="229" w:name="_Toc490395158"/>
      <w:bookmarkStart w:id="230" w:name="_Toc526889815"/>
      <w:r w:rsidRPr="00EA1BB2">
        <w:rPr>
          <w:rFonts w:ascii="Cambria" w:hAnsi="Cambria"/>
        </w:rPr>
        <w:lastRenderedPageBreak/>
        <w:t xml:space="preserve">Tabelul nr. </w:t>
      </w:r>
      <w:r w:rsidR="000A2FE7" w:rsidRPr="00EA1BB2">
        <w:rPr>
          <w:rFonts w:ascii="Cambria" w:hAnsi="Cambria"/>
        </w:rPr>
        <w:fldChar w:fldCharType="begin"/>
      </w:r>
      <w:r w:rsidR="000A2FE7" w:rsidRPr="00EA1BB2">
        <w:rPr>
          <w:rFonts w:ascii="Cambria" w:hAnsi="Cambria"/>
        </w:rPr>
        <w:instrText xml:space="preserve"> STYLEREF 1 \s </w:instrText>
      </w:r>
      <w:r w:rsidR="000A2FE7" w:rsidRPr="00EA1BB2">
        <w:rPr>
          <w:rFonts w:ascii="Cambria" w:hAnsi="Cambria"/>
        </w:rPr>
        <w:fldChar w:fldCharType="separate"/>
      </w:r>
      <w:r w:rsidR="00567555">
        <w:rPr>
          <w:rFonts w:ascii="Cambria" w:hAnsi="Cambria"/>
          <w:noProof/>
        </w:rPr>
        <w:t>4</w:t>
      </w:r>
      <w:r w:rsidR="000A2FE7" w:rsidRPr="00EA1BB2">
        <w:rPr>
          <w:rFonts w:ascii="Cambria" w:hAnsi="Cambria"/>
        </w:rPr>
        <w:fldChar w:fldCharType="end"/>
      </w:r>
      <w:r w:rsidR="000A2FE7" w:rsidRPr="00EA1BB2">
        <w:rPr>
          <w:rFonts w:ascii="Cambria" w:hAnsi="Cambria"/>
        </w:rPr>
        <w:noBreakHyphen/>
      </w:r>
      <w:r w:rsidR="000A2FE7" w:rsidRPr="00EA1BB2">
        <w:rPr>
          <w:rFonts w:ascii="Cambria" w:hAnsi="Cambria"/>
        </w:rPr>
        <w:fldChar w:fldCharType="begin"/>
      </w:r>
      <w:r w:rsidR="000A2FE7" w:rsidRPr="00EA1BB2">
        <w:rPr>
          <w:rFonts w:ascii="Cambria" w:hAnsi="Cambria"/>
        </w:rPr>
        <w:instrText xml:space="preserve"> SEQ Tabelul_nr. \* ARABIC \s 1 </w:instrText>
      </w:r>
      <w:r w:rsidR="000A2FE7" w:rsidRPr="00EA1BB2">
        <w:rPr>
          <w:rFonts w:ascii="Cambria" w:hAnsi="Cambria"/>
        </w:rPr>
        <w:fldChar w:fldCharType="separate"/>
      </w:r>
      <w:r w:rsidR="00567555">
        <w:rPr>
          <w:rFonts w:ascii="Cambria" w:hAnsi="Cambria"/>
          <w:noProof/>
        </w:rPr>
        <w:t>1</w:t>
      </w:r>
      <w:r w:rsidR="000A2FE7" w:rsidRPr="00EA1BB2">
        <w:rPr>
          <w:rFonts w:ascii="Cambria" w:hAnsi="Cambria"/>
        </w:rPr>
        <w:fldChar w:fldCharType="end"/>
      </w:r>
      <w:r w:rsidRPr="00EA1BB2">
        <w:rPr>
          <w:rFonts w:ascii="Cambria" w:hAnsi="Cambria"/>
        </w:rPr>
        <w:t xml:space="preserve"> - Matricea-plan de implementare a acțiunilor pentru problema PM04 POLUAREA ATMOSFEREI – PLAM Brăila</w:t>
      </w:r>
      <w:bookmarkEnd w:id="229"/>
      <w:bookmarkEnd w:id="230"/>
    </w:p>
    <w:tbl>
      <w:tblPr>
        <w:tblStyle w:val="TableGrid203"/>
        <w:tblW w:w="15168" w:type="dxa"/>
        <w:jc w:val="center"/>
        <w:tblLook w:val="0000" w:firstRow="0" w:lastRow="0" w:firstColumn="0" w:lastColumn="0" w:noHBand="0" w:noVBand="0"/>
      </w:tblPr>
      <w:tblGrid>
        <w:gridCol w:w="3067"/>
        <w:gridCol w:w="4447"/>
        <w:gridCol w:w="2977"/>
        <w:gridCol w:w="2976"/>
        <w:gridCol w:w="1701"/>
      </w:tblGrid>
      <w:tr w:rsidR="00B84975" w:rsidRPr="00EA1BB2" w14:paraId="22FEEA9C" w14:textId="77777777" w:rsidTr="00B84975">
        <w:trPr>
          <w:trHeight w:val="141"/>
          <w:tblHeader/>
          <w:jc w:val="center"/>
        </w:trPr>
        <w:tc>
          <w:tcPr>
            <w:tcW w:w="3067" w:type="dxa"/>
            <w:shd w:val="clear" w:color="auto" w:fill="BDD6EE" w:themeFill="accent1" w:themeFillTint="66"/>
            <w:vAlign w:val="center"/>
          </w:tcPr>
          <w:p w14:paraId="6DE13B76" w14:textId="77777777" w:rsidR="00B84975" w:rsidRPr="00EA1BB2" w:rsidRDefault="00B84975" w:rsidP="00B84975">
            <w:pPr>
              <w:spacing w:line="276" w:lineRule="auto"/>
              <w:jc w:val="center"/>
              <w:rPr>
                <w:rFonts w:ascii="Cambria" w:eastAsia="Times New Roman" w:hAnsi="Cambria"/>
                <w:color w:val="000000"/>
                <w:sz w:val="24"/>
                <w:szCs w:val="24"/>
                <w:lang w:val="ro-RO"/>
              </w:rPr>
            </w:pPr>
            <w:r w:rsidRPr="00EA1BB2">
              <w:rPr>
                <w:rFonts w:ascii="Cambria" w:eastAsia="Times New Roman" w:hAnsi="Cambria"/>
                <w:b/>
                <w:bCs/>
                <w:color w:val="000000"/>
                <w:sz w:val="24"/>
                <w:szCs w:val="24"/>
                <w:lang w:val="ro-RO"/>
              </w:rPr>
              <w:t>Obiectiv specific</w:t>
            </w:r>
          </w:p>
        </w:tc>
        <w:tc>
          <w:tcPr>
            <w:tcW w:w="4447" w:type="dxa"/>
            <w:shd w:val="clear" w:color="auto" w:fill="BDD6EE" w:themeFill="accent1" w:themeFillTint="66"/>
            <w:vAlign w:val="center"/>
          </w:tcPr>
          <w:p w14:paraId="74B31A65" w14:textId="77777777" w:rsidR="00B84975" w:rsidRPr="00EA1BB2" w:rsidRDefault="00B84975" w:rsidP="00B84975">
            <w:pPr>
              <w:spacing w:line="276" w:lineRule="auto"/>
              <w:jc w:val="center"/>
              <w:rPr>
                <w:rFonts w:ascii="Cambria" w:eastAsia="Times New Roman" w:hAnsi="Cambria"/>
                <w:color w:val="000000"/>
                <w:sz w:val="24"/>
                <w:szCs w:val="24"/>
                <w:lang w:val="ro-RO"/>
              </w:rPr>
            </w:pPr>
            <w:r w:rsidRPr="00EA1BB2">
              <w:rPr>
                <w:rFonts w:ascii="Cambria" w:eastAsia="Times New Roman" w:hAnsi="Cambria"/>
                <w:b/>
                <w:bCs/>
                <w:color w:val="000000"/>
                <w:sz w:val="24"/>
                <w:szCs w:val="24"/>
                <w:lang w:val="ro-RO"/>
              </w:rPr>
              <w:t>Acțiune</w:t>
            </w:r>
          </w:p>
        </w:tc>
        <w:tc>
          <w:tcPr>
            <w:tcW w:w="2977" w:type="dxa"/>
            <w:shd w:val="clear" w:color="auto" w:fill="BDD6EE" w:themeFill="accent1" w:themeFillTint="66"/>
            <w:vAlign w:val="center"/>
          </w:tcPr>
          <w:p w14:paraId="160890B3" w14:textId="77777777" w:rsidR="00B84975" w:rsidRPr="00EA1BB2" w:rsidRDefault="00B84975" w:rsidP="00B84975">
            <w:pPr>
              <w:spacing w:line="276" w:lineRule="auto"/>
              <w:jc w:val="center"/>
              <w:rPr>
                <w:rFonts w:ascii="Cambria" w:eastAsia="Times New Roman" w:hAnsi="Cambria"/>
                <w:color w:val="000000"/>
                <w:sz w:val="24"/>
                <w:szCs w:val="24"/>
                <w:lang w:val="ro-RO"/>
              </w:rPr>
            </w:pPr>
            <w:r w:rsidRPr="00EA1BB2">
              <w:rPr>
                <w:rFonts w:ascii="Cambria" w:eastAsia="Times New Roman" w:hAnsi="Cambria"/>
                <w:b/>
                <w:bCs/>
                <w:color w:val="000000"/>
                <w:sz w:val="24"/>
                <w:szCs w:val="24"/>
                <w:lang w:val="ro-RO"/>
              </w:rPr>
              <w:t>Responsabili</w:t>
            </w:r>
          </w:p>
        </w:tc>
        <w:tc>
          <w:tcPr>
            <w:tcW w:w="2976" w:type="dxa"/>
            <w:shd w:val="clear" w:color="auto" w:fill="BDD6EE" w:themeFill="accent1" w:themeFillTint="66"/>
            <w:vAlign w:val="center"/>
          </w:tcPr>
          <w:p w14:paraId="61A3EE2E" w14:textId="77777777" w:rsidR="00B84975" w:rsidRPr="00EA1BB2" w:rsidRDefault="00B84975" w:rsidP="00B84975">
            <w:pPr>
              <w:spacing w:line="276" w:lineRule="auto"/>
              <w:jc w:val="center"/>
              <w:rPr>
                <w:rFonts w:ascii="Cambria" w:eastAsia="Times New Roman" w:hAnsi="Cambria"/>
                <w:color w:val="000000"/>
                <w:sz w:val="24"/>
                <w:szCs w:val="24"/>
                <w:lang w:val="ro-RO"/>
              </w:rPr>
            </w:pPr>
            <w:r w:rsidRPr="00EA1BB2">
              <w:rPr>
                <w:rFonts w:ascii="Cambria" w:eastAsia="Times New Roman" w:hAnsi="Cambria"/>
                <w:b/>
                <w:bCs/>
                <w:color w:val="000000"/>
                <w:sz w:val="24"/>
                <w:szCs w:val="24"/>
                <w:lang w:val="ro-RO"/>
              </w:rPr>
              <w:t>Supraveghere cooperare</w:t>
            </w:r>
          </w:p>
        </w:tc>
        <w:tc>
          <w:tcPr>
            <w:tcW w:w="1701" w:type="dxa"/>
            <w:shd w:val="clear" w:color="auto" w:fill="BDD6EE" w:themeFill="accent1" w:themeFillTint="66"/>
            <w:vAlign w:val="center"/>
          </w:tcPr>
          <w:p w14:paraId="68F53BAA" w14:textId="77777777" w:rsidR="00B84975" w:rsidRPr="00EA1BB2" w:rsidRDefault="00B84975" w:rsidP="00B84975">
            <w:pPr>
              <w:spacing w:line="276" w:lineRule="auto"/>
              <w:jc w:val="center"/>
              <w:rPr>
                <w:rFonts w:ascii="Cambria" w:eastAsia="Times New Roman" w:hAnsi="Cambria"/>
                <w:b/>
                <w:bCs/>
                <w:color w:val="000000"/>
                <w:sz w:val="24"/>
                <w:szCs w:val="24"/>
                <w:lang w:val="ro-RO"/>
              </w:rPr>
            </w:pPr>
            <w:r w:rsidRPr="00EA1BB2">
              <w:rPr>
                <w:rFonts w:ascii="Cambria" w:eastAsia="Times New Roman" w:hAnsi="Cambria"/>
                <w:b/>
                <w:bCs/>
                <w:color w:val="000000"/>
                <w:sz w:val="24"/>
                <w:szCs w:val="24"/>
                <w:lang w:val="ro-RO"/>
              </w:rPr>
              <w:t>Surse de finanțare</w:t>
            </w:r>
          </w:p>
        </w:tc>
      </w:tr>
      <w:tr w:rsidR="00B84975" w:rsidRPr="00EA1BB2" w14:paraId="4F3FB851" w14:textId="77777777" w:rsidTr="00B84975">
        <w:trPr>
          <w:trHeight w:val="155"/>
          <w:jc w:val="center"/>
        </w:trPr>
        <w:tc>
          <w:tcPr>
            <w:tcW w:w="3067" w:type="dxa"/>
            <w:vMerge w:val="restart"/>
          </w:tcPr>
          <w:p w14:paraId="287B3432" w14:textId="77777777" w:rsidR="00B84975" w:rsidRPr="00EA1BB2" w:rsidRDefault="00B84975" w:rsidP="00B84975">
            <w:pPr>
              <w:spacing w:line="276" w:lineRule="auto"/>
              <w:jc w:val="center"/>
              <w:rPr>
                <w:rFonts w:ascii="Cambria" w:eastAsia="Times New Roman" w:hAnsi="Cambria"/>
                <w:sz w:val="24"/>
                <w:szCs w:val="24"/>
                <w:lang w:val="ro-RO"/>
              </w:rPr>
            </w:pPr>
            <w:r w:rsidRPr="00EA1BB2">
              <w:rPr>
                <w:rFonts w:ascii="Cambria" w:eastAsia="Times New Roman" w:hAnsi="Cambria"/>
                <w:sz w:val="24"/>
                <w:szCs w:val="24"/>
                <w:lang w:val="ro-RO"/>
              </w:rPr>
              <w:t>4.1.1.1. Reducerea emisiilor rezultate prin arderea combustibililor</w:t>
            </w:r>
          </w:p>
          <w:p w14:paraId="198E2D9F" w14:textId="77777777" w:rsidR="00B84975" w:rsidRPr="00EA1BB2" w:rsidRDefault="00B84975" w:rsidP="00B84975">
            <w:pPr>
              <w:spacing w:line="276" w:lineRule="auto"/>
              <w:jc w:val="center"/>
              <w:rPr>
                <w:rFonts w:ascii="Cambria" w:eastAsia="Times New Roman" w:hAnsi="Cambria"/>
                <w:sz w:val="24"/>
                <w:szCs w:val="24"/>
                <w:lang w:val="ro-RO"/>
              </w:rPr>
            </w:pPr>
            <w:r w:rsidRPr="00EA1BB2">
              <w:rPr>
                <w:rFonts w:ascii="Cambria" w:eastAsia="Times New Roman" w:hAnsi="Cambria"/>
                <w:sz w:val="24"/>
                <w:szCs w:val="24"/>
                <w:lang w:val="ro-RO"/>
              </w:rPr>
              <w:t>fosili din instalațiile mari de ardere</w:t>
            </w:r>
          </w:p>
        </w:tc>
        <w:tc>
          <w:tcPr>
            <w:tcW w:w="4447" w:type="dxa"/>
          </w:tcPr>
          <w:p w14:paraId="7E78DCDD" w14:textId="77777777" w:rsidR="00B84975" w:rsidRPr="00EA1BB2" w:rsidRDefault="00B84975" w:rsidP="00B84975">
            <w:pPr>
              <w:spacing w:line="276" w:lineRule="auto"/>
              <w:jc w:val="center"/>
              <w:rPr>
                <w:rFonts w:ascii="Cambria" w:eastAsia="Times New Roman" w:hAnsi="Cambria"/>
                <w:sz w:val="24"/>
                <w:szCs w:val="24"/>
                <w:lang w:val="ro-RO"/>
              </w:rPr>
            </w:pPr>
            <w:r w:rsidRPr="00EA1BB2">
              <w:rPr>
                <w:rFonts w:ascii="Cambria" w:eastAsia="Times New Roman" w:hAnsi="Cambria"/>
                <w:sz w:val="24"/>
                <w:szCs w:val="24"/>
                <w:lang w:val="ro-RO"/>
              </w:rPr>
              <w:t>1. Retehnologizarea instalațiilor (conform prevederilor din Planurile de acțiune, anexă la autorizația integrată de mediu)</w:t>
            </w:r>
          </w:p>
        </w:tc>
        <w:tc>
          <w:tcPr>
            <w:tcW w:w="2977" w:type="dxa"/>
            <w:vMerge w:val="restart"/>
          </w:tcPr>
          <w:p w14:paraId="7DBDFBA6" w14:textId="77777777" w:rsidR="00B84975" w:rsidRPr="00EA1BB2" w:rsidRDefault="00B84975" w:rsidP="00B84975">
            <w:pPr>
              <w:spacing w:line="276" w:lineRule="auto"/>
              <w:jc w:val="center"/>
              <w:rPr>
                <w:rFonts w:ascii="Cambria" w:eastAsia="Times New Roman" w:hAnsi="Cambria"/>
                <w:sz w:val="24"/>
                <w:szCs w:val="24"/>
                <w:lang w:val="ro-RO"/>
              </w:rPr>
            </w:pPr>
            <w:r w:rsidRPr="00EA1BB2">
              <w:rPr>
                <w:rFonts w:ascii="Cambria" w:eastAsia="Times New Roman" w:hAnsi="Cambria"/>
                <w:sz w:val="24"/>
                <w:szCs w:val="24"/>
                <w:lang w:val="ro-RO"/>
              </w:rPr>
              <w:t>SC CET SA BRĂILA</w:t>
            </w:r>
          </w:p>
          <w:p w14:paraId="7C6C08C3" w14:textId="77777777" w:rsidR="00B84975" w:rsidRPr="00EA1BB2" w:rsidRDefault="00B84975" w:rsidP="00B84975">
            <w:pPr>
              <w:spacing w:line="276" w:lineRule="auto"/>
              <w:jc w:val="center"/>
              <w:rPr>
                <w:rFonts w:ascii="Cambria" w:eastAsia="Times New Roman" w:hAnsi="Cambria"/>
                <w:sz w:val="24"/>
                <w:szCs w:val="24"/>
                <w:lang w:val="ro-RO"/>
              </w:rPr>
            </w:pPr>
            <w:r w:rsidRPr="00EA1BB2">
              <w:rPr>
                <w:rFonts w:ascii="Cambria" w:eastAsia="Times New Roman" w:hAnsi="Cambria"/>
                <w:sz w:val="24"/>
                <w:szCs w:val="24"/>
                <w:lang w:val="ro-RO"/>
              </w:rPr>
              <w:t>SC TERMOELECTRICA SA</w:t>
            </w:r>
          </w:p>
          <w:p w14:paraId="57990B9D" w14:textId="77777777" w:rsidR="00B84975" w:rsidRPr="00EA1BB2" w:rsidRDefault="00B84975" w:rsidP="00B84975">
            <w:pPr>
              <w:spacing w:line="276" w:lineRule="auto"/>
              <w:jc w:val="center"/>
              <w:rPr>
                <w:rFonts w:ascii="Cambria" w:eastAsia="Times New Roman" w:hAnsi="Cambria"/>
                <w:sz w:val="24"/>
                <w:szCs w:val="24"/>
                <w:lang w:val="ro-RO"/>
              </w:rPr>
            </w:pPr>
          </w:p>
        </w:tc>
        <w:tc>
          <w:tcPr>
            <w:tcW w:w="2976" w:type="dxa"/>
            <w:vMerge w:val="restart"/>
          </w:tcPr>
          <w:p w14:paraId="255F59BB" w14:textId="77777777" w:rsidR="00B84975" w:rsidRPr="00EA1BB2" w:rsidRDefault="00B84975" w:rsidP="00B84975">
            <w:pPr>
              <w:spacing w:line="276" w:lineRule="auto"/>
              <w:jc w:val="center"/>
              <w:rPr>
                <w:rFonts w:ascii="Cambria" w:eastAsia="Times New Roman" w:hAnsi="Cambria"/>
                <w:bCs/>
                <w:sz w:val="24"/>
                <w:szCs w:val="24"/>
                <w:lang w:val="ro-RO" w:eastAsia="ro-RO"/>
              </w:rPr>
            </w:pPr>
            <w:r w:rsidRPr="00EA1BB2">
              <w:rPr>
                <w:rFonts w:ascii="Cambria" w:eastAsia="Times New Roman" w:hAnsi="Cambria"/>
                <w:bCs/>
                <w:sz w:val="24"/>
                <w:szCs w:val="24"/>
                <w:lang w:val="ro-RO" w:eastAsia="ro-RO"/>
              </w:rPr>
              <w:t>Agenția pentru  Protecția Mediului Brăila</w:t>
            </w:r>
          </w:p>
          <w:p w14:paraId="560230A7" w14:textId="77777777" w:rsidR="00B84975" w:rsidRPr="00EA1BB2" w:rsidRDefault="00B84975" w:rsidP="00B84975">
            <w:pPr>
              <w:spacing w:line="276" w:lineRule="auto"/>
              <w:jc w:val="center"/>
              <w:rPr>
                <w:rFonts w:ascii="Cambria" w:eastAsia="Times New Roman" w:hAnsi="Cambria"/>
                <w:bCs/>
                <w:color w:val="993366"/>
                <w:sz w:val="24"/>
                <w:szCs w:val="24"/>
                <w:lang w:val="ro-RO" w:eastAsia="ro-RO"/>
              </w:rPr>
            </w:pPr>
            <w:r w:rsidRPr="00EA1BB2">
              <w:rPr>
                <w:rFonts w:ascii="Cambria" w:eastAsia="Times New Roman" w:hAnsi="Cambria"/>
                <w:bCs/>
                <w:sz w:val="24"/>
                <w:szCs w:val="24"/>
                <w:lang w:val="ro-RO" w:eastAsia="ro-RO"/>
              </w:rPr>
              <w:t>Garda Națională de Mediu Comisariatul Județean Brăila</w:t>
            </w:r>
          </w:p>
        </w:tc>
        <w:tc>
          <w:tcPr>
            <w:tcW w:w="1701" w:type="dxa"/>
            <w:vMerge w:val="restart"/>
          </w:tcPr>
          <w:p w14:paraId="2D1148B7" w14:textId="77777777" w:rsidR="00B84975" w:rsidRPr="00EA1BB2" w:rsidRDefault="00B84975" w:rsidP="00B84975">
            <w:pPr>
              <w:autoSpaceDE w:val="0"/>
              <w:autoSpaceDN w:val="0"/>
              <w:adjustRightInd w:val="0"/>
              <w:spacing w:line="276" w:lineRule="auto"/>
              <w:jc w:val="center"/>
              <w:rPr>
                <w:rFonts w:ascii="Cambria" w:eastAsia="Times New Roman" w:hAnsi="Cambria"/>
                <w:sz w:val="24"/>
                <w:szCs w:val="24"/>
                <w:lang w:val="ro-RO"/>
              </w:rPr>
            </w:pPr>
            <w:r w:rsidRPr="00EA1BB2">
              <w:rPr>
                <w:rFonts w:ascii="Cambria" w:eastAsia="Times New Roman" w:hAnsi="Cambria"/>
                <w:sz w:val="24"/>
                <w:szCs w:val="24"/>
                <w:lang w:val="ro-RO"/>
              </w:rPr>
              <w:t>Surse externe</w:t>
            </w:r>
          </w:p>
          <w:p w14:paraId="0B1F6A5A" w14:textId="77777777" w:rsidR="00B84975" w:rsidRPr="00EA1BB2" w:rsidRDefault="00B84975" w:rsidP="00B84975">
            <w:pPr>
              <w:autoSpaceDE w:val="0"/>
              <w:autoSpaceDN w:val="0"/>
              <w:adjustRightInd w:val="0"/>
              <w:spacing w:line="276" w:lineRule="auto"/>
              <w:jc w:val="center"/>
              <w:rPr>
                <w:rFonts w:ascii="Cambria" w:eastAsia="Times New Roman" w:hAnsi="Cambria"/>
                <w:sz w:val="24"/>
                <w:szCs w:val="24"/>
                <w:lang w:val="ro-RO"/>
              </w:rPr>
            </w:pPr>
            <w:r w:rsidRPr="00EA1BB2">
              <w:rPr>
                <w:rFonts w:ascii="Cambria" w:eastAsia="Times New Roman" w:hAnsi="Cambria"/>
                <w:sz w:val="24"/>
                <w:szCs w:val="24"/>
                <w:lang w:val="ro-RO"/>
              </w:rPr>
              <w:t>Surse proprii</w:t>
            </w:r>
          </w:p>
        </w:tc>
      </w:tr>
      <w:tr w:rsidR="00B84975" w:rsidRPr="00EA1BB2" w14:paraId="3750BB35" w14:textId="77777777" w:rsidTr="00B84975">
        <w:trPr>
          <w:trHeight w:val="153"/>
          <w:jc w:val="center"/>
        </w:trPr>
        <w:tc>
          <w:tcPr>
            <w:tcW w:w="3067" w:type="dxa"/>
            <w:vMerge/>
          </w:tcPr>
          <w:p w14:paraId="5A8EC90D" w14:textId="77777777" w:rsidR="00B84975" w:rsidRPr="00EA1BB2" w:rsidRDefault="00B84975" w:rsidP="00B84975">
            <w:pPr>
              <w:spacing w:line="276" w:lineRule="auto"/>
              <w:jc w:val="center"/>
              <w:rPr>
                <w:rFonts w:ascii="Cambria" w:eastAsia="Times New Roman" w:hAnsi="Cambria"/>
                <w:sz w:val="24"/>
                <w:szCs w:val="24"/>
                <w:lang w:val="ro-RO"/>
              </w:rPr>
            </w:pPr>
          </w:p>
        </w:tc>
        <w:tc>
          <w:tcPr>
            <w:tcW w:w="4447" w:type="dxa"/>
          </w:tcPr>
          <w:p w14:paraId="32C3D875" w14:textId="77777777" w:rsidR="00B84975" w:rsidRPr="00EA1BB2" w:rsidRDefault="00B84975" w:rsidP="00B84975">
            <w:pPr>
              <w:spacing w:line="276" w:lineRule="auto"/>
              <w:jc w:val="center"/>
              <w:rPr>
                <w:rFonts w:ascii="Cambria" w:eastAsia="Times New Roman" w:hAnsi="Cambria"/>
                <w:sz w:val="24"/>
                <w:szCs w:val="24"/>
                <w:lang w:val="ro-RO"/>
              </w:rPr>
            </w:pPr>
            <w:r w:rsidRPr="00EA1BB2">
              <w:rPr>
                <w:rFonts w:ascii="Cambria" w:eastAsia="Times New Roman" w:hAnsi="Cambria"/>
                <w:sz w:val="24"/>
                <w:szCs w:val="24"/>
                <w:lang w:val="ro-RO"/>
              </w:rPr>
              <w:t>2. Respectarea planului de reducere progresivă a emisiilor de SO</w:t>
            </w:r>
            <w:r w:rsidRPr="00EA1BB2">
              <w:rPr>
                <w:rFonts w:ascii="Cambria" w:eastAsia="Times New Roman" w:hAnsi="Cambria"/>
                <w:sz w:val="24"/>
                <w:szCs w:val="24"/>
                <w:vertAlign w:val="subscript"/>
                <w:lang w:val="ro-RO"/>
              </w:rPr>
              <w:t>2</w:t>
            </w:r>
            <w:r w:rsidRPr="00EA1BB2">
              <w:rPr>
                <w:rFonts w:ascii="Cambria" w:eastAsia="Times New Roman" w:hAnsi="Cambria"/>
                <w:sz w:val="24"/>
                <w:szCs w:val="24"/>
                <w:lang w:val="ro-RO"/>
              </w:rPr>
              <w:t>, NOx și pulberi provenite din instalațiile mari de arderi (IMA)</w:t>
            </w:r>
          </w:p>
        </w:tc>
        <w:tc>
          <w:tcPr>
            <w:tcW w:w="2977" w:type="dxa"/>
            <w:vMerge/>
          </w:tcPr>
          <w:p w14:paraId="1E53C717" w14:textId="77777777" w:rsidR="00B84975" w:rsidRPr="00EA1BB2" w:rsidRDefault="00B84975" w:rsidP="00B84975">
            <w:pPr>
              <w:spacing w:line="276" w:lineRule="auto"/>
              <w:jc w:val="center"/>
              <w:rPr>
                <w:rFonts w:ascii="Cambria" w:eastAsia="Times New Roman" w:hAnsi="Cambria"/>
                <w:sz w:val="24"/>
                <w:szCs w:val="24"/>
                <w:lang w:val="ro-RO"/>
              </w:rPr>
            </w:pPr>
          </w:p>
        </w:tc>
        <w:tc>
          <w:tcPr>
            <w:tcW w:w="2976" w:type="dxa"/>
            <w:vMerge/>
          </w:tcPr>
          <w:p w14:paraId="0F0974E1" w14:textId="77777777" w:rsidR="00B84975" w:rsidRPr="00EA1BB2" w:rsidRDefault="00B84975" w:rsidP="00B84975">
            <w:pPr>
              <w:spacing w:line="276" w:lineRule="auto"/>
              <w:jc w:val="center"/>
              <w:rPr>
                <w:rFonts w:ascii="Cambria" w:eastAsia="Times New Roman" w:hAnsi="Cambria"/>
                <w:bCs/>
                <w:color w:val="993366"/>
                <w:sz w:val="24"/>
                <w:szCs w:val="24"/>
                <w:lang w:val="ro-RO" w:eastAsia="ro-RO"/>
              </w:rPr>
            </w:pPr>
          </w:p>
        </w:tc>
        <w:tc>
          <w:tcPr>
            <w:tcW w:w="1701" w:type="dxa"/>
            <w:vMerge/>
          </w:tcPr>
          <w:p w14:paraId="78D5A610" w14:textId="77777777" w:rsidR="00B84975" w:rsidRPr="00EA1BB2" w:rsidRDefault="00B84975" w:rsidP="00B84975">
            <w:pPr>
              <w:autoSpaceDE w:val="0"/>
              <w:autoSpaceDN w:val="0"/>
              <w:adjustRightInd w:val="0"/>
              <w:spacing w:line="276" w:lineRule="auto"/>
              <w:jc w:val="center"/>
              <w:rPr>
                <w:rFonts w:ascii="Cambria" w:eastAsia="Times New Roman" w:hAnsi="Cambria"/>
                <w:sz w:val="24"/>
                <w:szCs w:val="24"/>
                <w:lang w:val="ro-RO"/>
              </w:rPr>
            </w:pPr>
          </w:p>
        </w:tc>
      </w:tr>
      <w:tr w:rsidR="00B84975" w:rsidRPr="00EA1BB2" w14:paraId="4B3A2E5F" w14:textId="77777777" w:rsidTr="00B84975">
        <w:trPr>
          <w:trHeight w:val="153"/>
          <w:jc w:val="center"/>
        </w:trPr>
        <w:tc>
          <w:tcPr>
            <w:tcW w:w="3067" w:type="dxa"/>
            <w:vMerge/>
          </w:tcPr>
          <w:p w14:paraId="2F2AC2C9" w14:textId="77777777" w:rsidR="00B84975" w:rsidRPr="00EA1BB2" w:rsidRDefault="00B84975" w:rsidP="00B84975">
            <w:pPr>
              <w:spacing w:line="276" w:lineRule="auto"/>
              <w:jc w:val="center"/>
              <w:rPr>
                <w:rFonts w:ascii="Cambria" w:eastAsia="Times New Roman" w:hAnsi="Cambria"/>
                <w:sz w:val="24"/>
                <w:szCs w:val="24"/>
                <w:lang w:val="ro-RO"/>
              </w:rPr>
            </w:pPr>
          </w:p>
        </w:tc>
        <w:tc>
          <w:tcPr>
            <w:tcW w:w="4447" w:type="dxa"/>
          </w:tcPr>
          <w:p w14:paraId="167F6D64" w14:textId="77777777" w:rsidR="00B84975" w:rsidRPr="00EA1BB2" w:rsidRDefault="00B84975" w:rsidP="00B84975">
            <w:pPr>
              <w:spacing w:line="276" w:lineRule="auto"/>
              <w:jc w:val="center"/>
              <w:rPr>
                <w:rFonts w:ascii="Cambria" w:eastAsia="Times New Roman" w:hAnsi="Cambria"/>
                <w:sz w:val="24"/>
                <w:szCs w:val="24"/>
                <w:lang w:val="ro-RO"/>
              </w:rPr>
            </w:pPr>
            <w:r w:rsidRPr="00EA1BB2">
              <w:rPr>
                <w:rFonts w:ascii="Cambria" w:eastAsia="Times New Roman" w:hAnsi="Cambria"/>
                <w:sz w:val="24"/>
                <w:szCs w:val="24"/>
                <w:lang w:val="ro-RO"/>
              </w:rPr>
              <w:t>3.Monitorizarea emisiilor de poluanți</w:t>
            </w:r>
          </w:p>
        </w:tc>
        <w:tc>
          <w:tcPr>
            <w:tcW w:w="2977" w:type="dxa"/>
            <w:vMerge/>
          </w:tcPr>
          <w:p w14:paraId="31945D09" w14:textId="77777777" w:rsidR="00B84975" w:rsidRPr="00EA1BB2" w:rsidRDefault="00B84975" w:rsidP="00B84975">
            <w:pPr>
              <w:spacing w:line="276" w:lineRule="auto"/>
              <w:jc w:val="center"/>
              <w:rPr>
                <w:rFonts w:ascii="Cambria" w:eastAsia="Times New Roman" w:hAnsi="Cambria"/>
                <w:sz w:val="24"/>
                <w:szCs w:val="24"/>
                <w:lang w:val="ro-RO"/>
              </w:rPr>
            </w:pPr>
          </w:p>
        </w:tc>
        <w:tc>
          <w:tcPr>
            <w:tcW w:w="2976" w:type="dxa"/>
            <w:vMerge/>
          </w:tcPr>
          <w:p w14:paraId="23C1F598" w14:textId="77777777" w:rsidR="00B84975" w:rsidRPr="00EA1BB2" w:rsidRDefault="00B84975" w:rsidP="00B84975">
            <w:pPr>
              <w:spacing w:line="276" w:lineRule="auto"/>
              <w:jc w:val="center"/>
              <w:rPr>
                <w:rFonts w:ascii="Cambria" w:eastAsia="Times New Roman" w:hAnsi="Cambria"/>
                <w:bCs/>
                <w:color w:val="993366"/>
                <w:sz w:val="24"/>
                <w:szCs w:val="24"/>
                <w:lang w:val="ro-RO" w:eastAsia="ro-RO"/>
              </w:rPr>
            </w:pPr>
          </w:p>
        </w:tc>
        <w:tc>
          <w:tcPr>
            <w:tcW w:w="1701" w:type="dxa"/>
            <w:vMerge/>
          </w:tcPr>
          <w:p w14:paraId="62F77B18" w14:textId="77777777" w:rsidR="00B84975" w:rsidRPr="00EA1BB2" w:rsidRDefault="00B84975" w:rsidP="00B84975">
            <w:pPr>
              <w:autoSpaceDE w:val="0"/>
              <w:autoSpaceDN w:val="0"/>
              <w:adjustRightInd w:val="0"/>
              <w:spacing w:line="276" w:lineRule="auto"/>
              <w:jc w:val="center"/>
              <w:rPr>
                <w:rFonts w:ascii="Cambria" w:eastAsia="Times New Roman" w:hAnsi="Cambria"/>
                <w:sz w:val="24"/>
                <w:szCs w:val="24"/>
                <w:lang w:val="ro-RO"/>
              </w:rPr>
            </w:pPr>
          </w:p>
        </w:tc>
      </w:tr>
      <w:tr w:rsidR="00B84975" w:rsidRPr="00EA1BB2" w14:paraId="59EBD99F" w14:textId="77777777" w:rsidTr="00B84975">
        <w:trPr>
          <w:trHeight w:val="454"/>
          <w:jc w:val="center"/>
        </w:trPr>
        <w:tc>
          <w:tcPr>
            <w:tcW w:w="3067" w:type="dxa"/>
            <w:vMerge/>
          </w:tcPr>
          <w:p w14:paraId="1211C682" w14:textId="77777777" w:rsidR="00B84975" w:rsidRPr="00EA1BB2" w:rsidRDefault="00B84975" w:rsidP="00B84975">
            <w:pPr>
              <w:spacing w:line="276" w:lineRule="auto"/>
              <w:jc w:val="center"/>
              <w:rPr>
                <w:rFonts w:ascii="Cambria" w:eastAsia="Times New Roman" w:hAnsi="Cambria"/>
                <w:sz w:val="24"/>
                <w:szCs w:val="24"/>
                <w:lang w:val="ro-RO"/>
              </w:rPr>
            </w:pPr>
          </w:p>
        </w:tc>
        <w:tc>
          <w:tcPr>
            <w:tcW w:w="4447" w:type="dxa"/>
          </w:tcPr>
          <w:p w14:paraId="4EF93474" w14:textId="77777777" w:rsidR="00B84975" w:rsidRPr="00EA1BB2" w:rsidRDefault="00B84975" w:rsidP="00B84975">
            <w:pPr>
              <w:spacing w:line="276" w:lineRule="auto"/>
              <w:jc w:val="center"/>
              <w:rPr>
                <w:rFonts w:ascii="Cambria" w:eastAsia="Times New Roman" w:hAnsi="Cambria"/>
                <w:sz w:val="24"/>
                <w:szCs w:val="24"/>
                <w:lang w:val="ro-RO"/>
              </w:rPr>
            </w:pPr>
            <w:r w:rsidRPr="00EA1BB2">
              <w:rPr>
                <w:rFonts w:ascii="Cambria" w:eastAsia="Times New Roman" w:hAnsi="Cambria"/>
                <w:sz w:val="24"/>
                <w:szCs w:val="24"/>
                <w:lang w:val="ro-RO"/>
              </w:rPr>
              <w:t>4. Dezafectarea instalațiilor închise  IMA 3,5,6</w:t>
            </w:r>
          </w:p>
        </w:tc>
        <w:tc>
          <w:tcPr>
            <w:tcW w:w="2977" w:type="dxa"/>
          </w:tcPr>
          <w:p w14:paraId="495E2E11" w14:textId="77777777" w:rsidR="00B84975" w:rsidRPr="00EA1BB2" w:rsidRDefault="00B84975" w:rsidP="00B84975">
            <w:pPr>
              <w:spacing w:line="276" w:lineRule="auto"/>
              <w:jc w:val="center"/>
              <w:rPr>
                <w:rFonts w:ascii="Cambria" w:eastAsia="Times New Roman" w:hAnsi="Cambria"/>
                <w:sz w:val="24"/>
                <w:szCs w:val="24"/>
                <w:lang w:val="ro-RO"/>
              </w:rPr>
            </w:pPr>
            <w:r w:rsidRPr="00EA1BB2">
              <w:rPr>
                <w:rFonts w:ascii="Cambria" w:eastAsia="Times New Roman" w:hAnsi="Cambria"/>
                <w:sz w:val="24"/>
                <w:szCs w:val="24"/>
                <w:lang w:val="ro-RO"/>
              </w:rPr>
              <w:t>SC CET SA</w:t>
            </w:r>
          </w:p>
        </w:tc>
        <w:tc>
          <w:tcPr>
            <w:tcW w:w="2976" w:type="dxa"/>
            <w:vMerge/>
          </w:tcPr>
          <w:p w14:paraId="3D1A198B" w14:textId="77777777" w:rsidR="00B84975" w:rsidRPr="00EA1BB2" w:rsidRDefault="00B84975" w:rsidP="00B84975">
            <w:pPr>
              <w:spacing w:line="276" w:lineRule="auto"/>
              <w:jc w:val="center"/>
              <w:rPr>
                <w:rFonts w:ascii="Cambria" w:eastAsia="Times New Roman" w:hAnsi="Cambria"/>
                <w:bCs/>
                <w:sz w:val="24"/>
                <w:szCs w:val="24"/>
                <w:lang w:val="ro-RO" w:eastAsia="ro-RO"/>
              </w:rPr>
            </w:pPr>
          </w:p>
        </w:tc>
        <w:tc>
          <w:tcPr>
            <w:tcW w:w="1701" w:type="dxa"/>
            <w:vMerge/>
          </w:tcPr>
          <w:p w14:paraId="2D52BB65" w14:textId="77777777" w:rsidR="00B84975" w:rsidRPr="00EA1BB2" w:rsidRDefault="00B84975" w:rsidP="00B84975">
            <w:pPr>
              <w:autoSpaceDE w:val="0"/>
              <w:autoSpaceDN w:val="0"/>
              <w:adjustRightInd w:val="0"/>
              <w:spacing w:line="276" w:lineRule="auto"/>
              <w:jc w:val="center"/>
              <w:rPr>
                <w:rFonts w:ascii="Cambria" w:eastAsia="Times New Roman" w:hAnsi="Cambria"/>
                <w:sz w:val="24"/>
                <w:szCs w:val="24"/>
                <w:lang w:val="ro-RO"/>
              </w:rPr>
            </w:pPr>
          </w:p>
        </w:tc>
      </w:tr>
      <w:tr w:rsidR="00B84975" w:rsidRPr="00EA1BB2" w14:paraId="150F5D6E" w14:textId="77777777" w:rsidTr="00B84975">
        <w:trPr>
          <w:trHeight w:val="230"/>
          <w:jc w:val="center"/>
        </w:trPr>
        <w:tc>
          <w:tcPr>
            <w:tcW w:w="3067" w:type="dxa"/>
            <w:vMerge w:val="restart"/>
          </w:tcPr>
          <w:p w14:paraId="480890FD" w14:textId="77777777" w:rsidR="00B84975" w:rsidRPr="00EA1BB2" w:rsidRDefault="00B84975" w:rsidP="00B84975">
            <w:pPr>
              <w:spacing w:line="276" w:lineRule="auto"/>
              <w:jc w:val="center"/>
              <w:rPr>
                <w:rFonts w:ascii="Cambria" w:eastAsia="Times New Roman" w:hAnsi="Cambria"/>
                <w:sz w:val="24"/>
                <w:szCs w:val="24"/>
                <w:lang w:val="ro-RO"/>
              </w:rPr>
            </w:pPr>
            <w:r w:rsidRPr="00EA1BB2">
              <w:rPr>
                <w:rFonts w:ascii="Cambria" w:eastAsia="Times New Roman" w:hAnsi="Cambria"/>
                <w:sz w:val="24"/>
                <w:szCs w:val="24"/>
                <w:lang w:val="ro-RO"/>
              </w:rPr>
              <w:t>4.1.1.2. Reducerea emisiilor de poluanți prin eficientizarea  sistemelor de distribuție și transport energie termică</w:t>
            </w:r>
          </w:p>
        </w:tc>
        <w:tc>
          <w:tcPr>
            <w:tcW w:w="4447" w:type="dxa"/>
          </w:tcPr>
          <w:p w14:paraId="0BAF06CA" w14:textId="77777777" w:rsidR="00B84975" w:rsidRPr="00EA1BB2" w:rsidRDefault="00B84975" w:rsidP="00B84975">
            <w:pPr>
              <w:spacing w:line="276" w:lineRule="auto"/>
              <w:jc w:val="center"/>
              <w:rPr>
                <w:rFonts w:ascii="Cambria" w:eastAsia="Times New Roman" w:hAnsi="Cambria"/>
                <w:sz w:val="24"/>
                <w:szCs w:val="24"/>
                <w:lang w:val="ro-RO"/>
              </w:rPr>
            </w:pPr>
            <w:r w:rsidRPr="00EA1BB2">
              <w:rPr>
                <w:rFonts w:ascii="Cambria" w:eastAsia="Times New Roman" w:hAnsi="Cambria"/>
                <w:sz w:val="24"/>
                <w:szCs w:val="24"/>
                <w:lang w:val="ro-RO"/>
              </w:rPr>
              <w:t>1. Reabilitarea termica a locuințelor</w:t>
            </w:r>
          </w:p>
          <w:p w14:paraId="54A434CB" w14:textId="77777777" w:rsidR="00B84975" w:rsidRPr="00EA1BB2" w:rsidRDefault="00B84975" w:rsidP="00B84975">
            <w:pPr>
              <w:spacing w:line="276" w:lineRule="auto"/>
              <w:jc w:val="center"/>
              <w:rPr>
                <w:rFonts w:ascii="Cambria" w:eastAsia="Times New Roman" w:hAnsi="Cambria"/>
                <w:sz w:val="24"/>
                <w:szCs w:val="24"/>
                <w:lang w:val="ro-RO"/>
              </w:rPr>
            </w:pPr>
          </w:p>
        </w:tc>
        <w:tc>
          <w:tcPr>
            <w:tcW w:w="2977" w:type="dxa"/>
          </w:tcPr>
          <w:p w14:paraId="3A8A3F8A" w14:textId="77777777" w:rsidR="00B84975" w:rsidRPr="00EA1BB2" w:rsidRDefault="00B84975" w:rsidP="00B84975">
            <w:pPr>
              <w:spacing w:line="276" w:lineRule="auto"/>
              <w:jc w:val="center"/>
              <w:rPr>
                <w:rFonts w:ascii="Cambria" w:eastAsia="Times New Roman" w:hAnsi="Cambria"/>
                <w:sz w:val="24"/>
                <w:szCs w:val="24"/>
                <w:lang w:val="ro-RO"/>
              </w:rPr>
            </w:pPr>
            <w:r w:rsidRPr="00EA1BB2">
              <w:rPr>
                <w:rFonts w:ascii="Cambria" w:eastAsia="Times New Roman" w:hAnsi="Cambria"/>
                <w:sz w:val="24"/>
                <w:szCs w:val="24"/>
                <w:lang w:val="ro-RO"/>
              </w:rPr>
              <w:t>Autoritățile administrației publice</w:t>
            </w:r>
          </w:p>
          <w:p w14:paraId="64B46B45" w14:textId="77777777" w:rsidR="00B84975" w:rsidRPr="00EA1BB2" w:rsidRDefault="00B84975" w:rsidP="00B84975">
            <w:pPr>
              <w:spacing w:line="276" w:lineRule="auto"/>
              <w:jc w:val="center"/>
              <w:rPr>
                <w:rFonts w:ascii="Cambria" w:eastAsia="Times New Roman" w:hAnsi="Cambria"/>
                <w:sz w:val="24"/>
                <w:szCs w:val="24"/>
                <w:lang w:val="ro-RO"/>
              </w:rPr>
            </w:pPr>
            <w:r w:rsidRPr="00EA1BB2">
              <w:rPr>
                <w:rFonts w:ascii="Cambria" w:eastAsia="Times New Roman" w:hAnsi="Cambria"/>
                <w:sz w:val="24"/>
                <w:szCs w:val="24"/>
                <w:lang w:val="ro-RO"/>
              </w:rPr>
              <w:t>Asociațiile de proprietari</w:t>
            </w:r>
          </w:p>
        </w:tc>
        <w:tc>
          <w:tcPr>
            <w:tcW w:w="2976" w:type="dxa"/>
            <w:vMerge w:val="restart"/>
          </w:tcPr>
          <w:p w14:paraId="7884239C" w14:textId="77777777" w:rsidR="00B84975" w:rsidRPr="00EA1BB2" w:rsidRDefault="00B84975" w:rsidP="00B84975">
            <w:pPr>
              <w:spacing w:line="276" w:lineRule="auto"/>
              <w:jc w:val="center"/>
              <w:rPr>
                <w:rFonts w:ascii="Cambria" w:eastAsia="Times New Roman" w:hAnsi="Cambria"/>
                <w:bCs/>
                <w:sz w:val="24"/>
                <w:szCs w:val="24"/>
                <w:lang w:val="ro-RO" w:eastAsia="ro-RO"/>
              </w:rPr>
            </w:pPr>
            <w:r w:rsidRPr="00EA1BB2">
              <w:rPr>
                <w:rFonts w:ascii="Cambria" w:eastAsia="Times New Roman" w:hAnsi="Cambria"/>
                <w:bCs/>
                <w:sz w:val="24"/>
                <w:szCs w:val="24"/>
                <w:lang w:val="ro-RO" w:eastAsia="ro-RO"/>
              </w:rPr>
              <w:t>Agenția pentru  Protecția Mediului Brăila</w:t>
            </w:r>
          </w:p>
          <w:p w14:paraId="005706F2" w14:textId="77777777" w:rsidR="00B84975" w:rsidRPr="00EA1BB2" w:rsidRDefault="00B84975" w:rsidP="00B84975">
            <w:pPr>
              <w:spacing w:line="276" w:lineRule="auto"/>
              <w:jc w:val="center"/>
              <w:rPr>
                <w:rFonts w:ascii="Cambria" w:eastAsia="Times New Roman" w:hAnsi="Cambria"/>
                <w:bCs/>
                <w:color w:val="993366"/>
                <w:sz w:val="24"/>
                <w:szCs w:val="24"/>
                <w:lang w:val="ro-RO" w:eastAsia="ro-RO"/>
              </w:rPr>
            </w:pPr>
            <w:r w:rsidRPr="00EA1BB2">
              <w:rPr>
                <w:rFonts w:ascii="Cambria" w:eastAsia="Times New Roman" w:hAnsi="Cambria"/>
                <w:bCs/>
                <w:sz w:val="24"/>
                <w:szCs w:val="24"/>
                <w:lang w:val="ro-RO" w:eastAsia="ro-RO"/>
              </w:rPr>
              <w:t>Garda Națională de Mediu Comisariatul Județean Brăila</w:t>
            </w:r>
          </w:p>
        </w:tc>
        <w:tc>
          <w:tcPr>
            <w:tcW w:w="1701" w:type="dxa"/>
            <w:vMerge w:val="restart"/>
          </w:tcPr>
          <w:p w14:paraId="25B21B5A" w14:textId="77777777" w:rsidR="00B84975" w:rsidRPr="00EA1BB2" w:rsidRDefault="00B84975" w:rsidP="00B84975">
            <w:pPr>
              <w:autoSpaceDE w:val="0"/>
              <w:autoSpaceDN w:val="0"/>
              <w:adjustRightInd w:val="0"/>
              <w:spacing w:line="276" w:lineRule="auto"/>
              <w:jc w:val="center"/>
              <w:rPr>
                <w:rFonts w:ascii="Cambria" w:eastAsia="Times New Roman" w:hAnsi="Cambria"/>
                <w:sz w:val="24"/>
                <w:szCs w:val="24"/>
                <w:lang w:val="ro-RO"/>
              </w:rPr>
            </w:pPr>
            <w:r w:rsidRPr="00EA1BB2">
              <w:rPr>
                <w:rFonts w:ascii="Cambria" w:eastAsia="Times New Roman" w:hAnsi="Cambria"/>
                <w:sz w:val="24"/>
                <w:szCs w:val="24"/>
                <w:lang w:val="ro-RO"/>
              </w:rPr>
              <w:t>Surse proprii</w:t>
            </w:r>
          </w:p>
          <w:p w14:paraId="3CD01055" w14:textId="77777777" w:rsidR="00B84975" w:rsidRPr="00EA1BB2" w:rsidRDefault="00B84975" w:rsidP="00B84975">
            <w:pPr>
              <w:autoSpaceDE w:val="0"/>
              <w:autoSpaceDN w:val="0"/>
              <w:adjustRightInd w:val="0"/>
              <w:spacing w:line="276" w:lineRule="auto"/>
              <w:jc w:val="center"/>
              <w:rPr>
                <w:rFonts w:ascii="Cambria" w:eastAsia="Times New Roman" w:hAnsi="Cambria"/>
                <w:sz w:val="24"/>
                <w:szCs w:val="24"/>
                <w:lang w:val="ro-RO"/>
              </w:rPr>
            </w:pPr>
            <w:r w:rsidRPr="00EA1BB2">
              <w:rPr>
                <w:rFonts w:ascii="Cambria" w:eastAsia="Times New Roman" w:hAnsi="Cambria"/>
                <w:sz w:val="24"/>
                <w:szCs w:val="24"/>
                <w:lang w:val="ro-RO"/>
              </w:rPr>
              <w:t>Buget de stat</w:t>
            </w:r>
          </w:p>
        </w:tc>
      </w:tr>
      <w:tr w:rsidR="00B84975" w:rsidRPr="00EA1BB2" w14:paraId="5FAA9F6A" w14:textId="77777777" w:rsidTr="00B84975">
        <w:trPr>
          <w:trHeight w:val="1034"/>
          <w:jc w:val="center"/>
        </w:trPr>
        <w:tc>
          <w:tcPr>
            <w:tcW w:w="3067" w:type="dxa"/>
            <w:vMerge/>
          </w:tcPr>
          <w:p w14:paraId="0980028E" w14:textId="77777777" w:rsidR="00B84975" w:rsidRPr="00EA1BB2" w:rsidRDefault="00B84975" w:rsidP="00B84975">
            <w:pPr>
              <w:spacing w:line="276" w:lineRule="auto"/>
              <w:jc w:val="center"/>
              <w:rPr>
                <w:rFonts w:ascii="Cambria" w:eastAsia="Times New Roman" w:hAnsi="Cambria"/>
                <w:sz w:val="24"/>
                <w:szCs w:val="24"/>
                <w:lang w:val="ro-RO"/>
              </w:rPr>
            </w:pPr>
          </w:p>
        </w:tc>
        <w:tc>
          <w:tcPr>
            <w:tcW w:w="4447" w:type="dxa"/>
          </w:tcPr>
          <w:p w14:paraId="0EEEC0E7" w14:textId="77777777" w:rsidR="00B84975" w:rsidRPr="00EA1BB2" w:rsidRDefault="00B84975" w:rsidP="00B84975">
            <w:pPr>
              <w:spacing w:line="276" w:lineRule="auto"/>
              <w:jc w:val="center"/>
              <w:rPr>
                <w:rFonts w:ascii="Cambria" w:eastAsia="Times New Roman" w:hAnsi="Cambria"/>
                <w:sz w:val="24"/>
                <w:szCs w:val="24"/>
                <w:lang w:val="ro-RO"/>
              </w:rPr>
            </w:pPr>
            <w:r w:rsidRPr="00EA1BB2">
              <w:rPr>
                <w:rFonts w:ascii="Cambria" w:eastAsia="Times New Roman" w:hAnsi="Cambria"/>
                <w:sz w:val="24"/>
                <w:szCs w:val="24"/>
                <w:lang w:val="ro-RO"/>
              </w:rPr>
              <w:t>2. Reabilitarea sistemelor de distribuție și transport energie termică</w:t>
            </w:r>
          </w:p>
        </w:tc>
        <w:tc>
          <w:tcPr>
            <w:tcW w:w="2977" w:type="dxa"/>
          </w:tcPr>
          <w:p w14:paraId="786B240C" w14:textId="77777777" w:rsidR="00B84975" w:rsidRPr="00EA1BB2" w:rsidRDefault="00B84975" w:rsidP="00B84975">
            <w:pPr>
              <w:spacing w:line="276" w:lineRule="auto"/>
              <w:jc w:val="center"/>
              <w:rPr>
                <w:rFonts w:ascii="Cambria" w:eastAsia="Times New Roman" w:hAnsi="Cambria"/>
                <w:sz w:val="24"/>
                <w:szCs w:val="24"/>
                <w:lang w:val="ro-RO"/>
              </w:rPr>
            </w:pPr>
            <w:r w:rsidRPr="00EA1BB2">
              <w:rPr>
                <w:rFonts w:ascii="Cambria" w:eastAsia="Times New Roman" w:hAnsi="Cambria"/>
                <w:sz w:val="24"/>
                <w:szCs w:val="24"/>
                <w:lang w:val="ro-RO"/>
              </w:rPr>
              <w:t>Autoritățile administrației publice</w:t>
            </w:r>
          </w:p>
          <w:p w14:paraId="4152E129" w14:textId="77777777" w:rsidR="00B84975" w:rsidRPr="00EA1BB2" w:rsidRDefault="00B84975" w:rsidP="00B84975">
            <w:pPr>
              <w:spacing w:line="276" w:lineRule="auto"/>
              <w:jc w:val="center"/>
              <w:rPr>
                <w:rFonts w:ascii="Cambria" w:eastAsia="Times New Roman" w:hAnsi="Cambria"/>
                <w:sz w:val="24"/>
                <w:szCs w:val="24"/>
                <w:lang w:val="ro-RO"/>
              </w:rPr>
            </w:pPr>
            <w:r w:rsidRPr="00EA1BB2">
              <w:rPr>
                <w:rFonts w:ascii="Cambria" w:eastAsia="Times New Roman" w:hAnsi="Cambria"/>
                <w:sz w:val="24"/>
                <w:szCs w:val="24"/>
                <w:lang w:val="ro-RO"/>
              </w:rPr>
              <w:t>SC Termoelectrica SA</w:t>
            </w:r>
          </w:p>
          <w:p w14:paraId="2394C507" w14:textId="77777777" w:rsidR="00B84975" w:rsidRPr="00EA1BB2" w:rsidRDefault="00B84975" w:rsidP="00B84975">
            <w:pPr>
              <w:spacing w:line="276" w:lineRule="auto"/>
              <w:jc w:val="center"/>
              <w:rPr>
                <w:rFonts w:ascii="Cambria" w:eastAsia="Times New Roman" w:hAnsi="Cambria"/>
                <w:sz w:val="24"/>
                <w:szCs w:val="24"/>
                <w:lang w:val="ro-RO"/>
              </w:rPr>
            </w:pPr>
            <w:r w:rsidRPr="00EA1BB2">
              <w:rPr>
                <w:rFonts w:ascii="Cambria" w:eastAsia="Times New Roman" w:hAnsi="Cambria"/>
                <w:sz w:val="24"/>
                <w:szCs w:val="24"/>
                <w:lang w:val="ro-RO"/>
              </w:rPr>
              <w:t>SC CET SA</w:t>
            </w:r>
          </w:p>
        </w:tc>
        <w:tc>
          <w:tcPr>
            <w:tcW w:w="2976" w:type="dxa"/>
            <w:vMerge/>
          </w:tcPr>
          <w:p w14:paraId="1D575CEF" w14:textId="77777777" w:rsidR="00B84975" w:rsidRPr="00EA1BB2" w:rsidRDefault="00B84975" w:rsidP="00B84975">
            <w:pPr>
              <w:spacing w:line="276" w:lineRule="auto"/>
              <w:jc w:val="center"/>
              <w:rPr>
                <w:rFonts w:ascii="Cambria" w:eastAsia="Times New Roman" w:hAnsi="Cambria"/>
                <w:bCs/>
                <w:sz w:val="24"/>
                <w:szCs w:val="24"/>
                <w:lang w:val="ro-RO" w:eastAsia="ro-RO"/>
              </w:rPr>
            </w:pPr>
          </w:p>
        </w:tc>
        <w:tc>
          <w:tcPr>
            <w:tcW w:w="1701" w:type="dxa"/>
            <w:vMerge/>
          </w:tcPr>
          <w:p w14:paraId="3B9509ED" w14:textId="77777777" w:rsidR="00B84975" w:rsidRPr="00EA1BB2" w:rsidRDefault="00B84975" w:rsidP="00B84975">
            <w:pPr>
              <w:autoSpaceDE w:val="0"/>
              <w:autoSpaceDN w:val="0"/>
              <w:adjustRightInd w:val="0"/>
              <w:spacing w:line="276" w:lineRule="auto"/>
              <w:jc w:val="center"/>
              <w:rPr>
                <w:rFonts w:ascii="Cambria" w:eastAsia="Times New Roman" w:hAnsi="Cambria"/>
                <w:sz w:val="24"/>
                <w:szCs w:val="24"/>
                <w:lang w:val="ro-RO"/>
              </w:rPr>
            </w:pPr>
          </w:p>
        </w:tc>
      </w:tr>
      <w:tr w:rsidR="00B84975" w:rsidRPr="00EA1BB2" w14:paraId="6CE9A14D" w14:textId="77777777" w:rsidTr="00B84975">
        <w:trPr>
          <w:trHeight w:val="460"/>
          <w:jc w:val="center"/>
        </w:trPr>
        <w:tc>
          <w:tcPr>
            <w:tcW w:w="3067" w:type="dxa"/>
          </w:tcPr>
          <w:p w14:paraId="2FB288F0" w14:textId="77777777" w:rsidR="00B84975" w:rsidRPr="00EA1BB2" w:rsidRDefault="00B84975" w:rsidP="00B84975">
            <w:pPr>
              <w:spacing w:line="276" w:lineRule="auto"/>
              <w:jc w:val="center"/>
              <w:rPr>
                <w:rFonts w:ascii="Cambria" w:eastAsia="Times New Roman" w:hAnsi="Cambria"/>
                <w:sz w:val="24"/>
                <w:szCs w:val="24"/>
                <w:lang w:val="ro-RO"/>
              </w:rPr>
            </w:pPr>
            <w:r w:rsidRPr="00EA1BB2">
              <w:rPr>
                <w:rFonts w:ascii="Cambria" w:eastAsia="Times New Roman" w:hAnsi="Cambria"/>
                <w:sz w:val="24"/>
                <w:szCs w:val="24"/>
                <w:lang w:val="ro-RO"/>
              </w:rPr>
              <w:t>4.2.1.1.Reducerea emisiilor de poluanți provenite de la unitățile industriale</w:t>
            </w:r>
          </w:p>
        </w:tc>
        <w:tc>
          <w:tcPr>
            <w:tcW w:w="4447" w:type="dxa"/>
          </w:tcPr>
          <w:p w14:paraId="6F3C3A73" w14:textId="77777777" w:rsidR="00B84975" w:rsidRPr="00EA1BB2" w:rsidRDefault="00B84975" w:rsidP="00B84975">
            <w:pPr>
              <w:spacing w:line="276" w:lineRule="auto"/>
              <w:jc w:val="center"/>
              <w:rPr>
                <w:rFonts w:ascii="Cambria" w:eastAsia="Times New Roman" w:hAnsi="Cambria"/>
                <w:sz w:val="24"/>
                <w:szCs w:val="24"/>
                <w:lang w:val="ro-RO"/>
              </w:rPr>
            </w:pPr>
            <w:r w:rsidRPr="00EA1BB2">
              <w:rPr>
                <w:rFonts w:ascii="Cambria" w:eastAsia="Times New Roman" w:hAnsi="Cambria"/>
                <w:sz w:val="24"/>
                <w:szCs w:val="24"/>
                <w:lang w:val="ro-RO"/>
              </w:rPr>
              <w:t>1. Reabilitarea, modernizarea și optimizarea instalațiilor și monitorizarea emisiilor</w:t>
            </w:r>
          </w:p>
        </w:tc>
        <w:tc>
          <w:tcPr>
            <w:tcW w:w="2977" w:type="dxa"/>
          </w:tcPr>
          <w:p w14:paraId="749B30C1" w14:textId="77777777" w:rsidR="00B84975" w:rsidRPr="00EA1BB2" w:rsidRDefault="00B84975" w:rsidP="00B84975">
            <w:pPr>
              <w:spacing w:line="276" w:lineRule="auto"/>
              <w:jc w:val="center"/>
              <w:rPr>
                <w:rFonts w:ascii="Cambria" w:eastAsia="Times New Roman" w:hAnsi="Cambria"/>
                <w:sz w:val="24"/>
                <w:szCs w:val="24"/>
                <w:lang w:val="ro-RO"/>
              </w:rPr>
            </w:pPr>
            <w:r w:rsidRPr="00EA1BB2">
              <w:rPr>
                <w:rFonts w:ascii="Cambria" w:eastAsia="Times New Roman" w:hAnsi="Cambria"/>
                <w:sz w:val="24"/>
                <w:szCs w:val="24"/>
                <w:lang w:val="ro-RO"/>
              </w:rPr>
              <w:t>Operatori economici de profil</w:t>
            </w:r>
          </w:p>
        </w:tc>
        <w:tc>
          <w:tcPr>
            <w:tcW w:w="2976" w:type="dxa"/>
          </w:tcPr>
          <w:p w14:paraId="00AA5A5F" w14:textId="77777777" w:rsidR="00B84975" w:rsidRPr="00EA1BB2" w:rsidRDefault="00B84975" w:rsidP="00B84975">
            <w:pPr>
              <w:spacing w:line="276" w:lineRule="auto"/>
              <w:jc w:val="center"/>
              <w:rPr>
                <w:rFonts w:ascii="Cambria" w:eastAsia="Times New Roman" w:hAnsi="Cambria"/>
                <w:bCs/>
                <w:sz w:val="24"/>
                <w:szCs w:val="24"/>
                <w:lang w:val="ro-RO" w:eastAsia="ro-RO"/>
              </w:rPr>
            </w:pPr>
            <w:r w:rsidRPr="00EA1BB2">
              <w:rPr>
                <w:rFonts w:ascii="Cambria" w:eastAsia="Times New Roman" w:hAnsi="Cambria"/>
                <w:bCs/>
                <w:sz w:val="24"/>
                <w:szCs w:val="24"/>
                <w:lang w:val="ro-RO" w:eastAsia="ro-RO"/>
              </w:rPr>
              <w:t>Agenția pentru  Protecția Mediului Brăila</w:t>
            </w:r>
          </w:p>
          <w:p w14:paraId="2259A48A" w14:textId="77777777" w:rsidR="00B84975" w:rsidRPr="00EA1BB2" w:rsidRDefault="00B84975" w:rsidP="00B84975">
            <w:pPr>
              <w:spacing w:line="276" w:lineRule="auto"/>
              <w:jc w:val="center"/>
              <w:rPr>
                <w:rFonts w:ascii="Cambria" w:eastAsia="Times New Roman" w:hAnsi="Cambria"/>
                <w:bCs/>
                <w:color w:val="993366"/>
                <w:sz w:val="24"/>
                <w:szCs w:val="24"/>
                <w:lang w:val="ro-RO" w:eastAsia="ro-RO"/>
              </w:rPr>
            </w:pPr>
            <w:r w:rsidRPr="00EA1BB2">
              <w:rPr>
                <w:rFonts w:ascii="Cambria" w:eastAsia="Times New Roman" w:hAnsi="Cambria"/>
                <w:bCs/>
                <w:sz w:val="24"/>
                <w:szCs w:val="24"/>
                <w:lang w:val="ro-RO" w:eastAsia="ro-RO"/>
              </w:rPr>
              <w:t>Garda Națională de Mediu Comisariatul Județean Brăila</w:t>
            </w:r>
          </w:p>
        </w:tc>
        <w:tc>
          <w:tcPr>
            <w:tcW w:w="1701" w:type="dxa"/>
          </w:tcPr>
          <w:p w14:paraId="6409F42F" w14:textId="77777777" w:rsidR="00B84975" w:rsidRPr="00EA1BB2" w:rsidRDefault="00B84975" w:rsidP="00B84975">
            <w:pPr>
              <w:autoSpaceDE w:val="0"/>
              <w:autoSpaceDN w:val="0"/>
              <w:adjustRightInd w:val="0"/>
              <w:spacing w:line="276" w:lineRule="auto"/>
              <w:jc w:val="center"/>
              <w:rPr>
                <w:rFonts w:ascii="Cambria" w:eastAsia="Times New Roman" w:hAnsi="Cambria"/>
                <w:sz w:val="24"/>
                <w:szCs w:val="24"/>
                <w:lang w:val="ro-RO"/>
              </w:rPr>
            </w:pPr>
            <w:r w:rsidRPr="00EA1BB2">
              <w:rPr>
                <w:rFonts w:ascii="Cambria" w:eastAsia="Times New Roman" w:hAnsi="Cambria"/>
                <w:sz w:val="24"/>
                <w:szCs w:val="24"/>
                <w:lang w:val="ro-RO"/>
              </w:rPr>
              <w:t>Surse proprii</w:t>
            </w:r>
          </w:p>
        </w:tc>
      </w:tr>
      <w:tr w:rsidR="00B84975" w:rsidRPr="00EA1BB2" w14:paraId="20C3EE26" w14:textId="77777777" w:rsidTr="00B84975">
        <w:trPr>
          <w:trHeight w:val="570"/>
          <w:jc w:val="center"/>
        </w:trPr>
        <w:tc>
          <w:tcPr>
            <w:tcW w:w="3067" w:type="dxa"/>
            <w:vMerge w:val="restart"/>
          </w:tcPr>
          <w:p w14:paraId="59DDF09F" w14:textId="77777777" w:rsidR="00B84975" w:rsidRPr="00EA1BB2" w:rsidRDefault="00B84975" w:rsidP="00B84975">
            <w:pPr>
              <w:spacing w:line="276" w:lineRule="auto"/>
              <w:jc w:val="center"/>
              <w:rPr>
                <w:rFonts w:ascii="Cambria" w:eastAsia="Times New Roman" w:hAnsi="Cambria"/>
                <w:sz w:val="24"/>
                <w:szCs w:val="24"/>
                <w:lang w:val="ro-RO"/>
              </w:rPr>
            </w:pPr>
            <w:r w:rsidRPr="00EA1BB2">
              <w:rPr>
                <w:rFonts w:ascii="Cambria" w:eastAsia="Times New Roman" w:hAnsi="Cambria"/>
                <w:sz w:val="24"/>
                <w:szCs w:val="24"/>
                <w:lang w:val="ro-RO"/>
              </w:rPr>
              <w:lastRenderedPageBreak/>
              <w:t>4.3.1.1. Reducerea emisiilor de compuși organici volatili (COV) din activități care utilizează substanțe cu conținut de COV</w:t>
            </w:r>
          </w:p>
        </w:tc>
        <w:tc>
          <w:tcPr>
            <w:tcW w:w="4447" w:type="dxa"/>
          </w:tcPr>
          <w:p w14:paraId="3264E219" w14:textId="77777777" w:rsidR="00B84975" w:rsidRPr="00EA1BB2" w:rsidRDefault="00B84975" w:rsidP="00B84975">
            <w:pPr>
              <w:spacing w:line="276" w:lineRule="auto"/>
              <w:jc w:val="center"/>
              <w:rPr>
                <w:rFonts w:ascii="Cambria" w:eastAsia="Times New Roman" w:hAnsi="Cambria"/>
                <w:sz w:val="24"/>
                <w:szCs w:val="24"/>
                <w:lang w:val="ro-RO"/>
              </w:rPr>
            </w:pPr>
            <w:r w:rsidRPr="00EA1BB2">
              <w:rPr>
                <w:rFonts w:ascii="Cambria" w:eastAsia="Times New Roman" w:hAnsi="Cambria"/>
                <w:sz w:val="24"/>
                <w:szCs w:val="24"/>
                <w:lang w:val="ro-RO"/>
              </w:rPr>
              <w:t>1. Retehnologizarea instalațiilor în vederea reducerii emisiilor COV</w:t>
            </w:r>
          </w:p>
        </w:tc>
        <w:tc>
          <w:tcPr>
            <w:tcW w:w="2977" w:type="dxa"/>
          </w:tcPr>
          <w:p w14:paraId="6342A6DB" w14:textId="77777777" w:rsidR="00B84975" w:rsidRPr="00EA1BB2" w:rsidRDefault="00B84975" w:rsidP="00B84975">
            <w:pPr>
              <w:spacing w:line="276" w:lineRule="auto"/>
              <w:jc w:val="center"/>
              <w:rPr>
                <w:rFonts w:ascii="Cambria" w:eastAsia="Times New Roman" w:hAnsi="Cambria"/>
                <w:bCs/>
                <w:sz w:val="24"/>
                <w:szCs w:val="24"/>
                <w:lang w:val="ro-RO"/>
              </w:rPr>
            </w:pPr>
            <w:r w:rsidRPr="00EA1BB2">
              <w:rPr>
                <w:rFonts w:ascii="Cambria" w:eastAsia="Times New Roman" w:hAnsi="Cambria"/>
                <w:bCs/>
                <w:sz w:val="24"/>
                <w:szCs w:val="24"/>
                <w:lang w:val="ro-RO"/>
              </w:rPr>
              <w:t>Operatori economici</w:t>
            </w:r>
          </w:p>
          <w:p w14:paraId="0F080E3B" w14:textId="77777777" w:rsidR="00B84975" w:rsidRPr="00EA1BB2" w:rsidRDefault="00B84975" w:rsidP="00B84975">
            <w:pPr>
              <w:spacing w:line="276" w:lineRule="auto"/>
              <w:jc w:val="center"/>
              <w:rPr>
                <w:rFonts w:ascii="Cambria" w:eastAsia="Times New Roman" w:hAnsi="Cambria"/>
                <w:bCs/>
                <w:sz w:val="24"/>
                <w:szCs w:val="24"/>
                <w:lang w:val="ro-RO"/>
              </w:rPr>
            </w:pPr>
          </w:p>
        </w:tc>
        <w:tc>
          <w:tcPr>
            <w:tcW w:w="2976" w:type="dxa"/>
            <w:vMerge w:val="restart"/>
          </w:tcPr>
          <w:p w14:paraId="4316ABC6" w14:textId="77777777" w:rsidR="00B84975" w:rsidRPr="00EA1BB2" w:rsidRDefault="00B84975" w:rsidP="00B84975">
            <w:pPr>
              <w:spacing w:line="276" w:lineRule="auto"/>
              <w:jc w:val="center"/>
              <w:rPr>
                <w:rFonts w:ascii="Cambria" w:eastAsia="Times New Roman" w:hAnsi="Cambria"/>
                <w:bCs/>
                <w:sz w:val="24"/>
                <w:szCs w:val="24"/>
                <w:lang w:val="ro-RO" w:eastAsia="ro-RO"/>
              </w:rPr>
            </w:pPr>
            <w:r w:rsidRPr="00EA1BB2">
              <w:rPr>
                <w:rFonts w:ascii="Cambria" w:eastAsia="Times New Roman" w:hAnsi="Cambria"/>
                <w:bCs/>
                <w:sz w:val="24"/>
                <w:szCs w:val="24"/>
                <w:lang w:val="ro-RO" w:eastAsia="ro-RO"/>
              </w:rPr>
              <w:t>Agenția pentru  Protecția Mediului Brăila</w:t>
            </w:r>
          </w:p>
          <w:p w14:paraId="57C8A990" w14:textId="77777777" w:rsidR="00B84975" w:rsidRPr="00EA1BB2" w:rsidRDefault="00B84975" w:rsidP="00B84975">
            <w:pPr>
              <w:spacing w:line="276" w:lineRule="auto"/>
              <w:jc w:val="center"/>
              <w:rPr>
                <w:rFonts w:ascii="Cambria" w:eastAsia="Times New Roman" w:hAnsi="Cambria"/>
                <w:bCs/>
                <w:color w:val="993366"/>
                <w:sz w:val="24"/>
                <w:szCs w:val="24"/>
                <w:lang w:val="ro-RO" w:eastAsia="ro-RO"/>
              </w:rPr>
            </w:pPr>
            <w:r w:rsidRPr="00EA1BB2">
              <w:rPr>
                <w:rFonts w:ascii="Cambria" w:eastAsia="Times New Roman" w:hAnsi="Cambria"/>
                <w:bCs/>
                <w:sz w:val="24"/>
                <w:szCs w:val="24"/>
                <w:lang w:val="ro-RO" w:eastAsia="ro-RO"/>
              </w:rPr>
              <w:t>Garda Națională de Mediu Comisariatul Județean Brăila</w:t>
            </w:r>
          </w:p>
          <w:p w14:paraId="481DE2F6" w14:textId="77777777" w:rsidR="00B84975" w:rsidRPr="00EA1BB2" w:rsidRDefault="00B84975" w:rsidP="00B84975">
            <w:pPr>
              <w:spacing w:line="276" w:lineRule="auto"/>
              <w:jc w:val="center"/>
              <w:rPr>
                <w:rFonts w:ascii="Cambria" w:eastAsia="Times New Roman" w:hAnsi="Cambria"/>
                <w:bCs/>
                <w:color w:val="993366"/>
                <w:sz w:val="24"/>
                <w:szCs w:val="24"/>
                <w:lang w:val="ro-RO" w:eastAsia="ro-RO"/>
              </w:rPr>
            </w:pPr>
          </w:p>
        </w:tc>
        <w:tc>
          <w:tcPr>
            <w:tcW w:w="1701" w:type="dxa"/>
            <w:vMerge w:val="restart"/>
          </w:tcPr>
          <w:p w14:paraId="3D98D58D" w14:textId="77777777" w:rsidR="00B84975" w:rsidRPr="00EA1BB2" w:rsidRDefault="00B84975" w:rsidP="00B84975">
            <w:pPr>
              <w:autoSpaceDE w:val="0"/>
              <w:autoSpaceDN w:val="0"/>
              <w:adjustRightInd w:val="0"/>
              <w:spacing w:line="276" w:lineRule="auto"/>
              <w:jc w:val="center"/>
              <w:rPr>
                <w:rFonts w:ascii="Cambria" w:eastAsia="Times New Roman" w:hAnsi="Cambria"/>
                <w:sz w:val="24"/>
                <w:szCs w:val="24"/>
                <w:lang w:val="ro-RO"/>
              </w:rPr>
            </w:pPr>
            <w:r w:rsidRPr="00EA1BB2">
              <w:rPr>
                <w:rFonts w:ascii="Cambria" w:eastAsia="Times New Roman" w:hAnsi="Cambria"/>
                <w:sz w:val="24"/>
                <w:szCs w:val="24"/>
                <w:lang w:val="ro-RO"/>
              </w:rPr>
              <w:t>Surse proprii</w:t>
            </w:r>
          </w:p>
          <w:p w14:paraId="2B45686D" w14:textId="77777777" w:rsidR="00B84975" w:rsidRPr="00EA1BB2" w:rsidRDefault="00B84975" w:rsidP="00B84975">
            <w:pPr>
              <w:autoSpaceDE w:val="0"/>
              <w:autoSpaceDN w:val="0"/>
              <w:adjustRightInd w:val="0"/>
              <w:spacing w:line="276" w:lineRule="auto"/>
              <w:jc w:val="center"/>
              <w:rPr>
                <w:rFonts w:ascii="Cambria" w:eastAsia="Times New Roman" w:hAnsi="Cambria"/>
                <w:sz w:val="24"/>
                <w:szCs w:val="24"/>
                <w:lang w:val="ro-RO"/>
              </w:rPr>
            </w:pPr>
          </w:p>
        </w:tc>
      </w:tr>
      <w:tr w:rsidR="00B84975" w:rsidRPr="00EA1BB2" w14:paraId="47241F08" w14:textId="77777777" w:rsidTr="00B84975">
        <w:trPr>
          <w:trHeight w:val="458"/>
          <w:jc w:val="center"/>
        </w:trPr>
        <w:tc>
          <w:tcPr>
            <w:tcW w:w="3067" w:type="dxa"/>
            <w:vMerge/>
          </w:tcPr>
          <w:p w14:paraId="1793E566" w14:textId="77777777" w:rsidR="00B84975" w:rsidRPr="00EA1BB2" w:rsidRDefault="00B84975" w:rsidP="00B84975">
            <w:pPr>
              <w:spacing w:line="276" w:lineRule="auto"/>
              <w:jc w:val="center"/>
              <w:rPr>
                <w:rFonts w:ascii="Cambria" w:eastAsia="Times New Roman" w:hAnsi="Cambria"/>
                <w:sz w:val="24"/>
                <w:szCs w:val="24"/>
                <w:lang w:val="ro-RO"/>
              </w:rPr>
            </w:pPr>
          </w:p>
        </w:tc>
        <w:tc>
          <w:tcPr>
            <w:tcW w:w="4447" w:type="dxa"/>
          </w:tcPr>
          <w:p w14:paraId="1FD4395F" w14:textId="77777777" w:rsidR="00B84975" w:rsidRPr="00EA1BB2" w:rsidRDefault="00B84975" w:rsidP="00B84975">
            <w:pPr>
              <w:spacing w:line="276" w:lineRule="auto"/>
              <w:jc w:val="center"/>
              <w:rPr>
                <w:rFonts w:ascii="Cambria" w:eastAsia="Times New Roman" w:hAnsi="Cambria"/>
                <w:b/>
                <w:color w:val="FF0000"/>
                <w:sz w:val="24"/>
                <w:szCs w:val="24"/>
                <w:lang w:val="ro-RO"/>
              </w:rPr>
            </w:pPr>
            <w:r w:rsidRPr="00EA1BB2">
              <w:rPr>
                <w:rFonts w:ascii="Cambria" w:eastAsia="Times New Roman" w:hAnsi="Cambria"/>
                <w:sz w:val="24"/>
                <w:szCs w:val="24"/>
                <w:lang w:val="ro-RO"/>
              </w:rPr>
              <w:t xml:space="preserve">2. Înlocuirea </w:t>
            </w:r>
            <w:r w:rsidRPr="00EA1BB2">
              <w:rPr>
                <w:rFonts w:ascii="Cambria" w:eastAsia="Times New Roman" w:hAnsi="Cambria"/>
                <w:bCs/>
                <w:sz w:val="24"/>
                <w:szCs w:val="24"/>
                <w:lang w:val="ro-RO"/>
              </w:rPr>
              <w:t xml:space="preserve"> solvenților organici care prin utilizare produc emisii COV cu solvenți pe bază de apă sau solvenți ecologici</w:t>
            </w:r>
          </w:p>
        </w:tc>
        <w:tc>
          <w:tcPr>
            <w:tcW w:w="2977" w:type="dxa"/>
          </w:tcPr>
          <w:p w14:paraId="2BA9B7A5" w14:textId="77777777" w:rsidR="00B84975" w:rsidRPr="00EA1BB2" w:rsidRDefault="00B84975" w:rsidP="00B84975">
            <w:pPr>
              <w:spacing w:line="276" w:lineRule="auto"/>
              <w:jc w:val="center"/>
              <w:rPr>
                <w:rFonts w:ascii="Cambria" w:eastAsia="Times New Roman" w:hAnsi="Cambria"/>
                <w:bCs/>
                <w:sz w:val="24"/>
                <w:szCs w:val="24"/>
                <w:lang w:val="ro-RO"/>
              </w:rPr>
            </w:pPr>
            <w:r w:rsidRPr="00EA1BB2">
              <w:rPr>
                <w:rFonts w:ascii="Cambria" w:eastAsia="Times New Roman" w:hAnsi="Cambria"/>
                <w:bCs/>
                <w:sz w:val="24"/>
                <w:szCs w:val="24"/>
                <w:lang w:val="ro-RO"/>
              </w:rPr>
              <w:t>Operatori economici</w:t>
            </w:r>
          </w:p>
        </w:tc>
        <w:tc>
          <w:tcPr>
            <w:tcW w:w="2976" w:type="dxa"/>
            <w:vMerge/>
          </w:tcPr>
          <w:p w14:paraId="28F70F62" w14:textId="77777777" w:rsidR="00B84975" w:rsidRPr="00EA1BB2" w:rsidRDefault="00B84975" w:rsidP="00B84975">
            <w:pPr>
              <w:spacing w:line="276" w:lineRule="auto"/>
              <w:jc w:val="center"/>
              <w:rPr>
                <w:rFonts w:ascii="Cambria" w:eastAsia="Times New Roman" w:hAnsi="Cambria"/>
                <w:bCs/>
                <w:color w:val="993366"/>
                <w:sz w:val="24"/>
                <w:szCs w:val="24"/>
                <w:lang w:val="ro-RO" w:eastAsia="ro-RO"/>
              </w:rPr>
            </w:pPr>
          </w:p>
        </w:tc>
        <w:tc>
          <w:tcPr>
            <w:tcW w:w="1701" w:type="dxa"/>
            <w:vMerge/>
          </w:tcPr>
          <w:p w14:paraId="2915DF4C" w14:textId="77777777" w:rsidR="00B84975" w:rsidRPr="00EA1BB2" w:rsidRDefault="00B84975" w:rsidP="00B84975">
            <w:pPr>
              <w:autoSpaceDE w:val="0"/>
              <w:autoSpaceDN w:val="0"/>
              <w:adjustRightInd w:val="0"/>
              <w:spacing w:line="276" w:lineRule="auto"/>
              <w:jc w:val="center"/>
              <w:rPr>
                <w:rFonts w:ascii="Cambria" w:eastAsia="Times New Roman" w:hAnsi="Cambria"/>
                <w:sz w:val="24"/>
                <w:szCs w:val="24"/>
                <w:lang w:val="ro-RO"/>
              </w:rPr>
            </w:pPr>
          </w:p>
        </w:tc>
      </w:tr>
      <w:tr w:rsidR="00B84975" w:rsidRPr="00EA1BB2" w14:paraId="4452FE97" w14:textId="77777777" w:rsidTr="00B84975">
        <w:trPr>
          <w:trHeight w:val="638"/>
          <w:jc w:val="center"/>
        </w:trPr>
        <w:tc>
          <w:tcPr>
            <w:tcW w:w="3067" w:type="dxa"/>
            <w:vMerge/>
          </w:tcPr>
          <w:p w14:paraId="4FC74721" w14:textId="77777777" w:rsidR="00B84975" w:rsidRPr="00EA1BB2" w:rsidRDefault="00B84975" w:rsidP="00B84975">
            <w:pPr>
              <w:spacing w:line="276" w:lineRule="auto"/>
              <w:jc w:val="center"/>
              <w:rPr>
                <w:rFonts w:ascii="Cambria" w:eastAsia="Times New Roman" w:hAnsi="Cambria"/>
                <w:sz w:val="24"/>
                <w:szCs w:val="24"/>
                <w:lang w:val="ro-RO"/>
              </w:rPr>
            </w:pPr>
          </w:p>
        </w:tc>
        <w:tc>
          <w:tcPr>
            <w:tcW w:w="4447" w:type="dxa"/>
          </w:tcPr>
          <w:p w14:paraId="2B0092EF" w14:textId="77777777" w:rsidR="00B84975" w:rsidRPr="00EA1BB2" w:rsidRDefault="00B84975" w:rsidP="00B84975">
            <w:pPr>
              <w:spacing w:line="276" w:lineRule="auto"/>
              <w:jc w:val="center"/>
              <w:rPr>
                <w:rFonts w:ascii="Cambria" w:eastAsia="Times New Roman" w:hAnsi="Cambria"/>
                <w:sz w:val="24"/>
                <w:szCs w:val="24"/>
                <w:lang w:val="ro-RO"/>
              </w:rPr>
            </w:pPr>
            <w:r w:rsidRPr="00EA1BB2">
              <w:rPr>
                <w:rFonts w:ascii="Cambria" w:eastAsia="Times New Roman" w:hAnsi="Cambria"/>
                <w:sz w:val="24"/>
                <w:szCs w:val="24"/>
                <w:lang w:val="ro-RO"/>
              </w:rPr>
              <w:t>3. Dotarea rezervoarelor de la  stațiile de distribuție a benzinei cu recuperatoare</w:t>
            </w:r>
          </w:p>
        </w:tc>
        <w:tc>
          <w:tcPr>
            <w:tcW w:w="2977" w:type="dxa"/>
            <w:vMerge w:val="restart"/>
          </w:tcPr>
          <w:p w14:paraId="50119B69" w14:textId="77777777" w:rsidR="00B84975" w:rsidRPr="00EA1BB2" w:rsidRDefault="00B84975" w:rsidP="00B84975">
            <w:pPr>
              <w:spacing w:line="276" w:lineRule="auto"/>
              <w:jc w:val="center"/>
              <w:rPr>
                <w:rFonts w:ascii="Cambria" w:eastAsia="Times New Roman" w:hAnsi="Cambria"/>
                <w:bCs/>
                <w:sz w:val="24"/>
                <w:szCs w:val="24"/>
                <w:lang w:val="ro-RO"/>
              </w:rPr>
            </w:pPr>
            <w:r w:rsidRPr="00EA1BB2">
              <w:rPr>
                <w:rFonts w:ascii="Cambria" w:eastAsia="Times New Roman" w:hAnsi="Cambria"/>
                <w:bCs/>
                <w:sz w:val="24"/>
                <w:szCs w:val="24"/>
                <w:lang w:val="ro-RO"/>
              </w:rPr>
              <w:t>Societăți care dețin stații de distribuție benzină</w:t>
            </w:r>
          </w:p>
        </w:tc>
        <w:tc>
          <w:tcPr>
            <w:tcW w:w="2976" w:type="dxa"/>
            <w:vMerge/>
          </w:tcPr>
          <w:p w14:paraId="4E83FB03" w14:textId="77777777" w:rsidR="00B84975" w:rsidRPr="00EA1BB2" w:rsidRDefault="00B84975" w:rsidP="00B84975">
            <w:pPr>
              <w:spacing w:line="276" w:lineRule="auto"/>
              <w:jc w:val="center"/>
              <w:rPr>
                <w:rFonts w:ascii="Cambria" w:eastAsia="Times New Roman" w:hAnsi="Cambria"/>
                <w:bCs/>
                <w:color w:val="993366"/>
                <w:sz w:val="24"/>
                <w:szCs w:val="24"/>
                <w:lang w:val="ro-RO" w:eastAsia="ro-RO"/>
              </w:rPr>
            </w:pPr>
          </w:p>
        </w:tc>
        <w:tc>
          <w:tcPr>
            <w:tcW w:w="1701" w:type="dxa"/>
            <w:vMerge/>
          </w:tcPr>
          <w:p w14:paraId="38418333" w14:textId="77777777" w:rsidR="00B84975" w:rsidRPr="00EA1BB2" w:rsidRDefault="00B84975" w:rsidP="00B84975">
            <w:pPr>
              <w:autoSpaceDE w:val="0"/>
              <w:autoSpaceDN w:val="0"/>
              <w:adjustRightInd w:val="0"/>
              <w:spacing w:line="276" w:lineRule="auto"/>
              <w:jc w:val="center"/>
              <w:rPr>
                <w:rFonts w:ascii="Cambria" w:eastAsia="Times New Roman" w:hAnsi="Cambria"/>
                <w:sz w:val="24"/>
                <w:szCs w:val="24"/>
                <w:lang w:val="ro-RO"/>
              </w:rPr>
            </w:pPr>
          </w:p>
        </w:tc>
      </w:tr>
      <w:tr w:rsidR="00B84975" w:rsidRPr="00EA1BB2" w14:paraId="327E4F79" w14:textId="77777777" w:rsidTr="00B84975">
        <w:trPr>
          <w:trHeight w:val="516"/>
          <w:jc w:val="center"/>
        </w:trPr>
        <w:tc>
          <w:tcPr>
            <w:tcW w:w="3067" w:type="dxa"/>
            <w:vMerge/>
          </w:tcPr>
          <w:p w14:paraId="3EFDB023" w14:textId="77777777" w:rsidR="00B84975" w:rsidRPr="00EA1BB2" w:rsidRDefault="00B84975" w:rsidP="00B84975">
            <w:pPr>
              <w:spacing w:line="276" w:lineRule="auto"/>
              <w:jc w:val="center"/>
              <w:rPr>
                <w:rFonts w:ascii="Cambria" w:eastAsia="Times New Roman" w:hAnsi="Cambria"/>
                <w:sz w:val="24"/>
                <w:szCs w:val="24"/>
                <w:lang w:val="ro-RO"/>
              </w:rPr>
            </w:pPr>
          </w:p>
        </w:tc>
        <w:tc>
          <w:tcPr>
            <w:tcW w:w="4447" w:type="dxa"/>
          </w:tcPr>
          <w:p w14:paraId="255AFAEB" w14:textId="77777777" w:rsidR="00B84975" w:rsidRPr="00EA1BB2" w:rsidRDefault="00B84975" w:rsidP="00B84975">
            <w:pPr>
              <w:spacing w:line="276" w:lineRule="auto"/>
              <w:jc w:val="center"/>
              <w:rPr>
                <w:rFonts w:ascii="Cambria" w:eastAsia="Times New Roman" w:hAnsi="Cambria"/>
                <w:sz w:val="24"/>
                <w:szCs w:val="24"/>
                <w:lang w:val="ro-RO"/>
              </w:rPr>
            </w:pPr>
            <w:r w:rsidRPr="00EA1BB2">
              <w:rPr>
                <w:rFonts w:ascii="Cambria" w:eastAsia="Times New Roman" w:hAnsi="Cambria"/>
                <w:bCs/>
                <w:sz w:val="24"/>
                <w:szCs w:val="24"/>
                <w:lang w:val="ro-RO"/>
              </w:rPr>
              <w:t>4. Respectarea termenelor și măsurilor prevăzute în certificatele COV</w:t>
            </w:r>
          </w:p>
        </w:tc>
        <w:tc>
          <w:tcPr>
            <w:tcW w:w="2977" w:type="dxa"/>
            <w:vMerge/>
          </w:tcPr>
          <w:p w14:paraId="2E58D8CC" w14:textId="77777777" w:rsidR="00B84975" w:rsidRPr="00EA1BB2" w:rsidRDefault="00B84975" w:rsidP="00B84975">
            <w:pPr>
              <w:spacing w:line="276" w:lineRule="auto"/>
              <w:jc w:val="center"/>
              <w:rPr>
                <w:rFonts w:ascii="Cambria" w:eastAsia="Times New Roman" w:hAnsi="Cambria"/>
                <w:bCs/>
                <w:sz w:val="24"/>
                <w:szCs w:val="24"/>
                <w:lang w:val="ro-RO"/>
              </w:rPr>
            </w:pPr>
          </w:p>
        </w:tc>
        <w:tc>
          <w:tcPr>
            <w:tcW w:w="2976" w:type="dxa"/>
            <w:vMerge/>
          </w:tcPr>
          <w:p w14:paraId="2181D244" w14:textId="77777777" w:rsidR="00B84975" w:rsidRPr="00EA1BB2" w:rsidRDefault="00B84975" w:rsidP="00B84975">
            <w:pPr>
              <w:spacing w:line="276" w:lineRule="auto"/>
              <w:jc w:val="center"/>
              <w:rPr>
                <w:rFonts w:ascii="Cambria" w:eastAsia="Times New Roman" w:hAnsi="Cambria"/>
                <w:bCs/>
                <w:color w:val="993366"/>
                <w:sz w:val="24"/>
                <w:szCs w:val="24"/>
                <w:lang w:val="ro-RO" w:eastAsia="ro-RO"/>
              </w:rPr>
            </w:pPr>
          </w:p>
        </w:tc>
        <w:tc>
          <w:tcPr>
            <w:tcW w:w="1701" w:type="dxa"/>
            <w:vMerge/>
          </w:tcPr>
          <w:p w14:paraId="0C6C5179" w14:textId="77777777" w:rsidR="00B84975" w:rsidRPr="00EA1BB2" w:rsidRDefault="00B84975" w:rsidP="00B84975">
            <w:pPr>
              <w:autoSpaceDE w:val="0"/>
              <w:autoSpaceDN w:val="0"/>
              <w:adjustRightInd w:val="0"/>
              <w:spacing w:line="276" w:lineRule="auto"/>
              <w:jc w:val="center"/>
              <w:rPr>
                <w:rFonts w:ascii="Cambria" w:eastAsia="Times New Roman" w:hAnsi="Cambria"/>
                <w:sz w:val="24"/>
                <w:szCs w:val="24"/>
                <w:lang w:val="ro-RO"/>
              </w:rPr>
            </w:pPr>
          </w:p>
        </w:tc>
      </w:tr>
      <w:tr w:rsidR="00B84975" w:rsidRPr="00EA1BB2" w14:paraId="5B4D464D" w14:textId="77777777" w:rsidTr="00B84975">
        <w:trPr>
          <w:trHeight w:val="324"/>
          <w:jc w:val="center"/>
        </w:trPr>
        <w:tc>
          <w:tcPr>
            <w:tcW w:w="3067" w:type="dxa"/>
            <w:vMerge w:val="restart"/>
          </w:tcPr>
          <w:p w14:paraId="32BB977F" w14:textId="77777777" w:rsidR="00B84975" w:rsidRPr="00EA1BB2" w:rsidRDefault="00B84975" w:rsidP="00B84975">
            <w:pPr>
              <w:spacing w:line="276" w:lineRule="auto"/>
              <w:jc w:val="center"/>
              <w:rPr>
                <w:rFonts w:ascii="Cambria" w:eastAsia="Times New Roman" w:hAnsi="Cambria"/>
                <w:sz w:val="24"/>
                <w:szCs w:val="24"/>
                <w:lang w:val="ro-RO"/>
              </w:rPr>
            </w:pPr>
            <w:r w:rsidRPr="00EA1BB2">
              <w:rPr>
                <w:rFonts w:ascii="Cambria" w:eastAsia="Times New Roman" w:hAnsi="Cambria"/>
                <w:sz w:val="24"/>
                <w:szCs w:val="24"/>
                <w:lang w:val="ro-RO"/>
              </w:rPr>
              <w:t>4.4.1.1. Reducerea poluării datorate surselor mobile (traficului rutier)</w:t>
            </w:r>
          </w:p>
        </w:tc>
        <w:tc>
          <w:tcPr>
            <w:tcW w:w="4447" w:type="dxa"/>
            <w:vMerge w:val="restart"/>
          </w:tcPr>
          <w:p w14:paraId="61AFA200" w14:textId="77777777" w:rsidR="00B84975" w:rsidRPr="00EA1BB2" w:rsidRDefault="00B84975" w:rsidP="00B84975">
            <w:pPr>
              <w:spacing w:line="276" w:lineRule="auto"/>
              <w:jc w:val="center"/>
              <w:rPr>
                <w:rFonts w:ascii="Cambria" w:eastAsia="Times New Roman" w:hAnsi="Cambria"/>
                <w:bCs/>
                <w:color w:val="FF0000"/>
                <w:sz w:val="24"/>
                <w:szCs w:val="24"/>
                <w:lang w:val="ro-RO"/>
              </w:rPr>
            </w:pPr>
            <w:r w:rsidRPr="00EA1BB2">
              <w:rPr>
                <w:rFonts w:ascii="Cambria" w:eastAsia="Times New Roman" w:hAnsi="Cambria"/>
                <w:bCs/>
                <w:sz w:val="24"/>
                <w:szCs w:val="24"/>
                <w:lang w:val="ro-RO"/>
              </w:rPr>
              <w:t>1. Reabilitarea infrastructurii rutiere</w:t>
            </w:r>
          </w:p>
        </w:tc>
        <w:tc>
          <w:tcPr>
            <w:tcW w:w="2977" w:type="dxa"/>
            <w:vMerge w:val="restart"/>
          </w:tcPr>
          <w:p w14:paraId="29E6C30D" w14:textId="77777777" w:rsidR="00B84975" w:rsidRPr="00EA1BB2" w:rsidRDefault="00B84975" w:rsidP="00B84975">
            <w:pPr>
              <w:spacing w:line="276" w:lineRule="auto"/>
              <w:jc w:val="center"/>
              <w:rPr>
                <w:rFonts w:ascii="Cambria" w:eastAsia="Times New Roman" w:hAnsi="Cambria"/>
                <w:bCs/>
                <w:sz w:val="24"/>
                <w:szCs w:val="24"/>
                <w:lang w:val="ro-RO"/>
              </w:rPr>
            </w:pPr>
            <w:r w:rsidRPr="00EA1BB2">
              <w:rPr>
                <w:rFonts w:ascii="Cambria" w:eastAsia="Times New Roman" w:hAnsi="Cambria"/>
                <w:bCs/>
                <w:sz w:val="24"/>
                <w:szCs w:val="24"/>
                <w:lang w:val="ro-RO"/>
              </w:rPr>
              <w:t>Consiliul Județean</w:t>
            </w:r>
          </w:p>
          <w:p w14:paraId="14D59687" w14:textId="77777777" w:rsidR="00B84975" w:rsidRPr="00EA1BB2" w:rsidRDefault="00B84975" w:rsidP="00B84975">
            <w:pPr>
              <w:spacing w:line="276" w:lineRule="auto"/>
              <w:jc w:val="center"/>
              <w:rPr>
                <w:rFonts w:ascii="Cambria" w:eastAsia="Times New Roman" w:hAnsi="Cambria"/>
                <w:bCs/>
                <w:sz w:val="24"/>
                <w:szCs w:val="24"/>
                <w:lang w:val="ro-RO"/>
              </w:rPr>
            </w:pPr>
            <w:r w:rsidRPr="00EA1BB2">
              <w:rPr>
                <w:rFonts w:ascii="Cambria" w:eastAsia="Times New Roman" w:hAnsi="Cambria"/>
                <w:bCs/>
                <w:sz w:val="24"/>
                <w:szCs w:val="24"/>
                <w:lang w:val="ro-RO"/>
              </w:rPr>
              <w:t>Primării</w:t>
            </w:r>
          </w:p>
          <w:p w14:paraId="60FC737C" w14:textId="77777777" w:rsidR="00B84975" w:rsidRPr="00EA1BB2" w:rsidRDefault="00B84975" w:rsidP="00B84975">
            <w:pPr>
              <w:spacing w:line="276" w:lineRule="auto"/>
              <w:jc w:val="center"/>
              <w:rPr>
                <w:rFonts w:ascii="Cambria" w:eastAsia="Times New Roman" w:hAnsi="Cambria"/>
                <w:bCs/>
                <w:sz w:val="24"/>
                <w:szCs w:val="24"/>
                <w:lang w:val="ro-RO"/>
              </w:rPr>
            </w:pPr>
            <w:r w:rsidRPr="00EA1BB2">
              <w:rPr>
                <w:rFonts w:ascii="Cambria" w:eastAsia="Times New Roman" w:hAnsi="Cambria"/>
                <w:bCs/>
                <w:sz w:val="24"/>
                <w:szCs w:val="24"/>
                <w:lang w:val="ro-RO"/>
              </w:rPr>
              <w:t>Administrația naționala a drumurilor</w:t>
            </w:r>
          </w:p>
        </w:tc>
        <w:tc>
          <w:tcPr>
            <w:tcW w:w="2976" w:type="dxa"/>
            <w:vMerge w:val="restart"/>
          </w:tcPr>
          <w:p w14:paraId="4FE74FF6" w14:textId="77777777" w:rsidR="00B84975" w:rsidRPr="00EA1BB2" w:rsidRDefault="00B84975" w:rsidP="00B84975">
            <w:pPr>
              <w:spacing w:line="276" w:lineRule="auto"/>
              <w:jc w:val="center"/>
              <w:rPr>
                <w:rFonts w:ascii="Cambria" w:eastAsia="Times New Roman" w:hAnsi="Cambria"/>
                <w:bCs/>
                <w:sz w:val="24"/>
                <w:szCs w:val="24"/>
                <w:lang w:val="ro-RO" w:eastAsia="ro-RO"/>
              </w:rPr>
            </w:pPr>
            <w:r w:rsidRPr="00EA1BB2">
              <w:rPr>
                <w:rFonts w:ascii="Cambria" w:eastAsia="Times New Roman" w:hAnsi="Cambria"/>
                <w:bCs/>
                <w:sz w:val="24"/>
                <w:szCs w:val="24"/>
                <w:lang w:val="ro-RO" w:eastAsia="ro-RO"/>
              </w:rPr>
              <w:t>Agenția pentru  Protecția Mediului Brăila</w:t>
            </w:r>
          </w:p>
          <w:p w14:paraId="77F36A21" w14:textId="77777777" w:rsidR="00B84975" w:rsidRPr="00EA1BB2" w:rsidRDefault="00B84975" w:rsidP="00B84975">
            <w:pPr>
              <w:spacing w:line="276" w:lineRule="auto"/>
              <w:jc w:val="center"/>
              <w:rPr>
                <w:rFonts w:ascii="Cambria" w:eastAsia="Times New Roman" w:hAnsi="Cambria"/>
                <w:bCs/>
                <w:color w:val="993366"/>
                <w:sz w:val="24"/>
                <w:szCs w:val="24"/>
                <w:lang w:val="ro-RO" w:eastAsia="ro-RO"/>
              </w:rPr>
            </w:pPr>
            <w:r w:rsidRPr="00EA1BB2">
              <w:rPr>
                <w:rFonts w:ascii="Cambria" w:eastAsia="Times New Roman" w:hAnsi="Cambria"/>
                <w:bCs/>
                <w:sz w:val="24"/>
                <w:szCs w:val="24"/>
                <w:lang w:val="ro-RO" w:eastAsia="ro-RO"/>
              </w:rPr>
              <w:t>Garda Națională de Mediu Comisariatul Județean Brăila</w:t>
            </w:r>
          </w:p>
        </w:tc>
        <w:tc>
          <w:tcPr>
            <w:tcW w:w="1701" w:type="dxa"/>
            <w:vMerge w:val="restart"/>
          </w:tcPr>
          <w:p w14:paraId="503B650E" w14:textId="77777777" w:rsidR="00B84975" w:rsidRPr="00EA1BB2" w:rsidRDefault="00B84975" w:rsidP="00B84975">
            <w:pPr>
              <w:autoSpaceDE w:val="0"/>
              <w:autoSpaceDN w:val="0"/>
              <w:adjustRightInd w:val="0"/>
              <w:spacing w:line="276" w:lineRule="auto"/>
              <w:jc w:val="center"/>
              <w:rPr>
                <w:rFonts w:ascii="Cambria" w:eastAsia="Times New Roman" w:hAnsi="Cambria"/>
                <w:sz w:val="24"/>
                <w:szCs w:val="24"/>
                <w:lang w:val="ro-RO"/>
              </w:rPr>
            </w:pPr>
            <w:r w:rsidRPr="00EA1BB2">
              <w:rPr>
                <w:rFonts w:ascii="Cambria" w:eastAsia="Times New Roman" w:hAnsi="Cambria"/>
                <w:sz w:val="24"/>
                <w:szCs w:val="24"/>
                <w:lang w:val="ro-RO"/>
              </w:rPr>
              <w:t>Surse proprii</w:t>
            </w:r>
          </w:p>
          <w:p w14:paraId="11A0A7AD" w14:textId="77777777" w:rsidR="00B84975" w:rsidRPr="00EA1BB2" w:rsidRDefault="00B84975" w:rsidP="00B84975">
            <w:pPr>
              <w:autoSpaceDE w:val="0"/>
              <w:autoSpaceDN w:val="0"/>
              <w:adjustRightInd w:val="0"/>
              <w:spacing w:line="276" w:lineRule="auto"/>
              <w:jc w:val="center"/>
              <w:rPr>
                <w:rFonts w:ascii="Cambria" w:eastAsia="Times New Roman" w:hAnsi="Cambria"/>
                <w:sz w:val="24"/>
                <w:szCs w:val="24"/>
                <w:lang w:val="ro-RO"/>
              </w:rPr>
            </w:pPr>
            <w:r w:rsidRPr="00EA1BB2">
              <w:rPr>
                <w:rFonts w:ascii="Cambria" w:eastAsia="Times New Roman" w:hAnsi="Cambria"/>
                <w:sz w:val="24"/>
                <w:szCs w:val="24"/>
                <w:lang w:val="ro-RO"/>
              </w:rPr>
              <w:t>Buget de stat</w:t>
            </w:r>
          </w:p>
        </w:tc>
      </w:tr>
      <w:tr w:rsidR="00B84975" w:rsidRPr="00EA1BB2" w14:paraId="73438900" w14:textId="77777777" w:rsidTr="00B84975">
        <w:trPr>
          <w:trHeight w:val="324"/>
          <w:jc w:val="center"/>
        </w:trPr>
        <w:tc>
          <w:tcPr>
            <w:tcW w:w="3067" w:type="dxa"/>
            <w:vMerge/>
          </w:tcPr>
          <w:p w14:paraId="3E8EE97D" w14:textId="77777777" w:rsidR="00B84975" w:rsidRPr="00EA1BB2" w:rsidRDefault="00B84975" w:rsidP="00B84975">
            <w:pPr>
              <w:spacing w:line="276" w:lineRule="auto"/>
              <w:jc w:val="center"/>
              <w:rPr>
                <w:rFonts w:ascii="Cambria" w:eastAsia="Times New Roman" w:hAnsi="Cambria"/>
                <w:sz w:val="24"/>
                <w:szCs w:val="24"/>
                <w:lang w:val="ro-RO"/>
              </w:rPr>
            </w:pPr>
          </w:p>
        </w:tc>
        <w:tc>
          <w:tcPr>
            <w:tcW w:w="4447" w:type="dxa"/>
            <w:vMerge/>
          </w:tcPr>
          <w:p w14:paraId="0BA0415F" w14:textId="77777777" w:rsidR="00B84975" w:rsidRPr="00EA1BB2" w:rsidRDefault="00B84975" w:rsidP="00B84975">
            <w:pPr>
              <w:spacing w:line="276" w:lineRule="auto"/>
              <w:jc w:val="center"/>
              <w:rPr>
                <w:rFonts w:ascii="Cambria" w:eastAsia="Times New Roman" w:hAnsi="Cambria"/>
                <w:bCs/>
                <w:sz w:val="24"/>
                <w:szCs w:val="24"/>
                <w:lang w:val="ro-RO"/>
              </w:rPr>
            </w:pPr>
          </w:p>
        </w:tc>
        <w:tc>
          <w:tcPr>
            <w:tcW w:w="2977" w:type="dxa"/>
            <w:vMerge/>
          </w:tcPr>
          <w:p w14:paraId="1DF88EA3" w14:textId="77777777" w:rsidR="00B84975" w:rsidRPr="00EA1BB2" w:rsidRDefault="00B84975" w:rsidP="00B84975">
            <w:pPr>
              <w:spacing w:line="276" w:lineRule="auto"/>
              <w:jc w:val="center"/>
              <w:rPr>
                <w:rFonts w:ascii="Cambria" w:eastAsia="Times New Roman" w:hAnsi="Cambria"/>
                <w:bCs/>
                <w:sz w:val="24"/>
                <w:szCs w:val="24"/>
                <w:lang w:val="ro-RO"/>
              </w:rPr>
            </w:pPr>
          </w:p>
        </w:tc>
        <w:tc>
          <w:tcPr>
            <w:tcW w:w="2976" w:type="dxa"/>
            <w:vMerge/>
          </w:tcPr>
          <w:p w14:paraId="6384D4BC" w14:textId="77777777" w:rsidR="00B84975" w:rsidRPr="00EA1BB2" w:rsidRDefault="00B84975" w:rsidP="00B84975">
            <w:pPr>
              <w:spacing w:line="276" w:lineRule="auto"/>
              <w:jc w:val="center"/>
              <w:rPr>
                <w:rFonts w:ascii="Cambria" w:eastAsia="Times New Roman" w:hAnsi="Cambria"/>
                <w:bCs/>
                <w:color w:val="993366"/>
                <w:sz w:val="24"/>
                <w:szCs w:val="24"/>
                <w:lang w:val="ro-RO" w:eastAsia="ro-RO"/>
              </w:rPr>
            </w:pPr>
          </w:p>
        </w:tc>
        <w:tc>
          <w:tcPr>
            <w:tcW w:w="1701" w:type="dxa"/>
            <w:vMerge/>
          </w:tcPr>
          <w:p w14:paraId="79E2221C" w14:textId="77777777" w:rsidR="00B84975" w:rsidRPr="00EA1BB2" w:rsidRDefault="00B84975" w:rsidP="00B84975">
            <w:pPr>
              <w:autoSpaceDE w:val="0"/>
              <w:autoSpaceDN w:val="0"/>
              <w:adjustRightInd w:val="0"/>
              <w:spacing w:line="276" w:lineRule="auto"/>
              <w:jc w:val="center"/>
              <w:rPr>
                <w:rFonts w:ascii="Cambria" w:eastAsia="Times New Roman" w:hAnsi="Cambria"/>
                <w:sz w:val="24"/>
                <w:szCs w:val="24"/>
                <w:lang w:val="ro-RO"/>
              </w:rPr>
            </w:pPr>
          </w:p>
        </w:tc>
      </w:tr>
      <w:tr w:rsidR="00B84975" w:rsidRPr="00EA1BB2" w14:paraId="79852480" w14:textId="77777777" w:rsidTr="00B84975">
        <w:trPr>
          <w:trHeight w:val="305"/>
          <w:jc w:val="center"/>
        </w:trPr>
        <w:tc>
          <w:tcPr>
            <w:tcW w:w="3067" w:type="dxa"/>
            <w:vMerge/>
          </w:tcPr>
          <w:p w14:paraId="00EBB685" w14:textId="77777777" w:rsidR="00B84975" w:rsidRPr="00EA1BB2" w:rsidRDefault="00B84975" w:rsidP="00B84975">
            <w:pPr>
              <w:spacing w:line="276" w:lineRule="auto"/>
              <w:jc w:val="center"/>
              <w:rPr>
                <w:rFonts w:ascii="Cambria" w:eastAsia="Times New Roman" w:hAnsi="Cambria"/>
                <w:sz w:val="24"/>
                <w:szCs w:val="24"/>
                <w:lang w:val="ro-RO"/>
              </w:rPr>
            </w:pPr>
          </w:p>
        </w:tc>
        <w:tc>
          <w:tcPr>
            <w:tcW w:w="4447" w:type="dxa"/>
          </w:tcPr>
          <w:p w14:paraId="6DC5C6FC" w14:textId="77777777" w:rsidR="00B84975" w:rsidRPr="00EA1BB2" w:rsidRDefault="00B84975" w:rsidP="00B84975">
            <w:pPr>
              <w:spacing w:line="276" w:lineRule="auto"/>
              <w:jc w:val="center"/>
              <w:rPr>
                <w:rFonts w:ascii="Cambria" w:eastAsia="Times New Roman" w:hAnsi="Cambria"/>
                <w:bCs/>
                <w:sz w:val="24"/>
                <w:szCs w:val="24"/>
                <w:lang w:val="ro-RO"/>
              </w:rPr>
            </w:pPr>
            <w:r w:rsidRPr="00EA1BB2">
              <w:rPr>
                <w:rFonts w:ascii="Cambria" w:eastAsia="Times New Roman" w:hAnsi="Cambria"/>
                <w:bCs/>
                <w:sz w:val="24"/>
                <w:szCs w:val="24"/>
                <w:lang w:val="ro-RO"/>
              </w:rPr>
              <w:t>2. Asigurarea de perdele forestiere de protecție a căilor de comunicație și transport</w:t>
            </w:r>
          </w:p>
        </w:tc>
        <w:tc>
          <w:tcPr>
            <w:tcW w:w="2977" w:type="dxa"/>
          </w:tcPr>
          <w:p w14:paraId="576F9401" w14:textId="77777777" w:rsidR="00B84975" w:rsidRPr="00EA1BB2" w:rsidRDefault="00B84975" w:rsidP="00B84975">
            <w:pPr>
              <w:spacing w:line="276" w:lineRule="auto"/>
              <w:jc w:val="center"/>
              <w:rPr>
                <w:rFonts w:ascii="Cambria" w:eastAsia="Times New Roman" w:hAnsi="Cambria"/>
                <w:bCs/>
                <w:sz w:val="24"/>
                <w:szCs w:val="24"/>
                <w:lang w:val="ro-RO"/>
              </w:rPr>
            </w:pPr>
            <w:r w:rsidRPr="00EA1BB2">
              <w:rPr>
                <w:rFonts w:ascii="Cambria" w:eastAsia="Times New Roman" w:hAnsi="Cambria"/>
                <w:bCs/>
                <w:sz w:val="24"/>
                <w:szCs w:val="24"/>
                <w:lang w:val="ro-RO"/>
              </w:rPr>
              <w:t>Consiliul Județean</w:t>
            </w:r>
          </w:p>
          <w:p w14:paraId="6E8DC34D" w14:textId="77777777" w:rsidR="00B84975" w:rsidRPr="00EA1BB2" w:rsidRDefault="00B84975" w:rsidP="00B84975">
            <w:pPr>
              <w:spacing w:line="276" w:lineRule="auto"/>
              <w:jc w:val="center"/>
              <w:rPr>
                <w:rFonts w:ascii="Cambria" w:eastAsia="Times New Roman" w:hAnsi="Cambria"/>
                <w:bCs/>
                <w:sz w:val="24"/>
                <w:szCs w:val="24"/>
                <w:lang w:val="ro-RO"/>
              </w:rPr>
            </w:pPr>
            <w:r w:rsidRPr="00EA1BB2">
              <w:rPr>
                <w:rFonts w:ascii="Cambria" w:eastAsia="Times New Roman" w:hAnsi="Cambria"/>
                <w:bCs/>
                <w:sz w:val="24"/>
                <w:szCs w:val="24"/>
                <w:lang w:val="ro-RO"/>
              </w:rPr>
              <w:t>Primării</w:t>
            </w:r>
          </w:p>
          <w:p w14:paraId="4F8A521D" w14:textId="77777777" w:rsidR="00B84975" w:rsidRPr="00EA1BB2" w:rsidRDefault="00B84975" w:rsidP="00B84975">
            <w:pPr>
              <w:spacing w:line="276" w:lineRule="auto"/>
              <w:jc w:val="center"/>
              <w:rPr>
                <w:rFonts w:ascii="Cambria" w:eastAsia="Times New Roman" w:hAnsi="Cambria"/>
                <w:sz w:val="24"/>
                <w:szCs w:val="24"/>
                <w:lang w:val="ro-RO"/>
              </w:rPr>
            </w:pPr>
            <w:r w:rsidRPr="00EA1BB2">
              <w:rPr>
                <w:rFonts w:ascii="Cambria" w:eastAsia="Times New Roman" w:hAnsi="Cambria"/>
                <w:bCs/>
                <w:sz w:val="24"/>
                <w:szCs w:val="24"/>
                <w:lang w:val="ro-RO"/>
              </w:rPr>
              <w:t>Administrația națională a drumurilor</w:t>
            </w:r>
          </w:p>
        </w:tc>
        <w:tc>
          <w:tcPr>
            <w:tcW w:w="2976" w:type="dxa"/>
            <w:vMerge/>
          </w:tcPr>
          <w:p w14:paraId="087D072B" w14:textId="77777777" w:rsidR="00B84975" w:rsidRPr="00EA1BB2" w:rsidRDefault="00B84975" w:rsidP="00B84975">
            <w:pPr>
              <w:spacing w:line="276" w:lineRule="auto"/>
              <w:jc w:val="center"/>
              <w:rPr>
                <w:rFonts w:ascii="Cambria" w:eastAsia="Times New Roman" w:hAnsi="Cambria"/>
                <w:bCs/>
                <w:color w:val="993366"/>
                <w:sz w:val="24"/>
                <w:szCs w:val="24"/>
                <w:lang w:val="ro-RO" w:eastAsia="ro-RO"/>
              </w:rPr>
            </w:pPr>
          </w:p>
        </w:tc>
        <w:tc>
          <w:tcPr>
            <w:tcW w:w="1701" w:type="dxa"/>
            <w:vMerge/>
          </w:tcPr>
          <w:p w14:paraId="3F88ADED" w14:textId="77777777" w:rsidR="00B84975" w:rsidRPr="00EA1BB2" w:rsidRDefault="00B84975" w:rsidP="00B84975">
            <w:pPr>
              <w:autoSpaceDE w:val="0"/>
              <w:autoSpaceDN w:val="0"/>
              <w:adjustRightInd w:val="0"/>
              <w:spacing w:line="276" w:lineRule="auto"/>
              <w:jc w:val="center"/>
              <w:rPr>
                <w:rFonts w:ascii="Cambria" w:eastAsia="Times New Roman" w:hAnsi="Cambria"/>
                <w:sz w:val="24"/>
                <w:szCs w:val="24"/>
                <w:lang w:val="ro-RO"/>
              </w:rPr>
            </w:pPr>
          </w:p>
        </w:tc>
      </w:tr>
      <w:tr w:rsidR="00B84975" w:rsidRPr="00EA1BB2" w14:paraId="0157FF1A" w14:textId="77777777" w:rsidTr="00B84975">
        <w:trPr>
          <w:trHeight w:val="305"/>
          <w:jc w:val="center"/>
        </w:trPr>
        <w:tc>
          <w:tcPr>
            <w:tcW w:w="3067" w:type="dxa"/>
            <w:vMerge/>
          </w:tcPr>
          <w:p w14:paraId="03D646AD" w14:textId="77777777" w:rsidR="00B84975" w:rsidRPr="00EA1BB2" w:rsidRDefault="00B84975" w:rsidP="00B84975">
            <w:pPr>
              <w:spacing w:line="276" w:lineRule="auto"/>
              <w:jc w:val="center"/>
              <w:rPr>
                <w:rFonts w:ascii="Cambria" w:eastAsia="Times New Roman" w:hAnsi="Cambria"/>
                <w:sz w:val="24"/>
                <w:szCs w:val="24"/>
                <w:lang w:val="ro-RO"/>
              </w:rPr>
            </w:pPr>
          </w:p>
        </w:tc>
        <w:tc>
          <w:tcPr>
            <w:tcW w:w="4447" w:type="dxa"/>
          </w:tcPr>
          <w:p w14:paraId="4E621E35" w14:textId="77777777" w:rsidR="00B84975" w:rsidRPr="00EA1BB2" w:rsidRDefault="00B84975" w:rsidP="00B84975">
            <w:pPr>
              <w:spacing w:line="276" w:lineRule="auto"/>
              <w:jc w:val="center"/>
              <w:rPr>
                <w:rFonts w:ascii="Cambria" w:eastAsia="Times New Roman" w:hAnsi="Cambria"/>
                <w:bCs/>
                <w:sz w:val="24"/>
                <w:szCs w:val="24"/>
                <w:lang w:val="ro-RO"/>
              </w:rPr>
            </w:pPr>
            <w:r w:rsidRPr="00EA1BB2">
              <w:rPr>
                <w:rFonts w:ascii="Cambria" w:eastAsia="Times New Roman" w:hAnsi="Cambria"/>
                <w:bCs/>
                <w:sz w:val="24"/>
                <w:szCs w:val="24"/>
                <w:lang w:val="ro-RO"/>
              </w:rPr>
              <w:t>3. Reabilitarea parcului auto destinat transportului public</w:t>
            </w:r>
          </w:p>
        </w:tc>
        <w:tc>
          <w:tcPr>
            <w:tcW w:w="2977" w:type="dxa"/>
          </w:tcPr>
          <w:p w14:paraId="252DBC69" w14:textId="77777777" w:rsidR="00B84975" w:rsidRPr="00EA1BB2" w:rsidRDefault="00B84975" w:rsidP="00B84975">
            <w:pPr>
              <w:spacing w:line="276" w:lineRule="auto"/>
              <w:jc w:val="center"/>
              <w:rPr>
                <w:rFonts w:ascii="Cambria" w:eastAsia="Times New Roman" w:hAnsi="Cambria"/>
                <w:bCs/>
                <w:sz w:val="24"/>
                <w:szCs w:val="24"/>
                <w:lang w:val="ro-RO"/>
              </w:rPr>
            </w:pPr>
            <w:r w:rsidRPr="00EA1BB2">
              <w:rPr>
                <w:rFonts w:ascii="Cambria" w:eastAsia="Times New Roman" w:hAnsi="Cambria"/>
                <w:bCs/>
                <w:sz w:val="24"/>
                <w:szCs w:val="24"/>
                <w:lang w:val="ro-RO"/>
              </w:rPr>
              <w:t>Consiliul local Brăila</w:t>
            </w:r>
          </w:p>
          <w:p w14:paraId="66A1C3DC" w14:textId="77777777" w:rsidR="00B84975" w:rsidRPr="00EA1BB2" w:rsidRDefault="00B84975" w:rsidP="00B84975">
            <w:pPr>
              <w:spacing w:line="276" w:lineRule="auto"/>
              <w:jc w:val="center"/>
              <w:rPr>
                <w:rFonts w:ascii="Cambria" w:eastAsia="Times New Roman" w:hAnsi="Cambria"/>
                <w:bCs/>
                <w:sz w:val="24"/>
                <w:szCs w:val="24"/>
                <w:lang w:val="ro-RO"/>
              </w:rPr>
            </w:pPr>
            <w:r w:rsidRPr="00EA1BB2">
              <w:rPr>
                <w:rFonts w:ascii="Cambria" w:eastAsia="Times New Roman" w:hAnsi="Cambria"/>
                <w:bCs/>
                <w:sz w:val="24"/>
                <w:szCs w:val="24"/>
                <w:lang w:val="ro-RO"/>
              </w:rPr>
              <w:t>Operatori economici de profil</w:t>
            </w:r>
          </w:p>
          <w:p w14:paraId="66E3C635" w14:textId="77777777" w:rsidR="00B84975" w:rsidRPr="00EA1BB2" w:rsidRDefault="00B84975" w:rsidP="00B84975">
            <w:pPr>
              <w:spacing w:line="276" w:lineRule="auto"/>
              <w:jc w:val="center"/>
              <w:rPr>
                <w:rFonts w:ascii="Cambria" w:eastAsia="Times New Roman" w:hAnsi="Cambria"/>
                <w:bCs/>
                <w:sz w:val="24"/>
                <w:szCs w:val="24"/>
                <w:lang w:val="ro-RO"/>
              </w:rPr>
            </w:pPr>
            <w:r w:rsidRPr="00EA1BB2">
              <w:rPr>
                <w:rFonts w:ascii="Cambria" w:eastAsia="Times New Roman" w:hAnsi="Cambria"/>
                <w:bCs/>
                <w:sz w:val="24"/>
                <w:szCs w:val="24"/>
                <w:lang w:val="ro-RO"/>
              </w:rPr>
              <w:t>RAR</w:t>
            </w:r>
          </w:p>
        </w:tc>
        <w:tc>
          <w:tcPr>
            <w:tcW w:w="2976" w:type="dxa"/>
            <w:vMerge/>
          </w:tcPr>
          <w:p w14:paraId="4B37BFB0" w14:textId="77777777" w:rsidR="00B84975" w:rsidRPr="00EA1BB2" w:rsidRDefault="00B84975" w:rsidP="00B84975">
            <w:pPr>
              <w:spacing w:line="276" w:lineRule="auto"/>
              <w:jc w:val="center"/>
              <w:rPr>
                <w:rFonts w:ascii="Cambria" w:eastAsia="Times New Roman" w:hAnsi="Cambria"/>
                <w:bCs/>
                <w:color w:val="993366"/>
                <w:sz w:val="24"/>
                <w:szCs w:val="24"/>
                <w:lang w:val="ro-RO" w:eastAsia="ro-RO"/>
              </w:rPr>
            </w:pPr>
          </w:p>
        </w:tc>
        <w:tc>
          <w:tcPr>
            <w:tcW w:w="1701" w:type="dxa"/>
            <w:vMerge/>
          </w:tcPr>
          <w:p w14:paraId="34C19403" w14:textId="77777777" w:rsidR="00B84975" w:rsidRPr="00EA1BB2" w:rsidRDefault="00B84975" w:rsidP="00B84975">
            <w:pPr>
              <w:autoSpaceDE w:val="0"/>
              <w:autoSpaceDN w:val="0"/>
              <w:adjustRightInd w:val="0"/>
              <w:spacing w:line="276" w:lineRule="auto"/>
              <w:jc w:val="center"/>
              <w:rPr>
                <w:rFonts w:ascii="Cambria" w:eastAsia="Times New Roman" w:hAnsi="Cambria"/>
                <w:sz w:val="24"/>
                <w:szCs w:val="24"/>
                <w:lang w:val="ro-RO"/>
              </w:rPr>
            </w:pPr>
          </w:p>
        </w:tc>
      </w:tr>
      <w:tr w:rsidR="00B84975" w:rsidRPr="00EA1BB2" w14:paraId="55447F6A" w14:textId="77777777" w:rsidTr="00B84975">
        <w:trPr>
          <w:trHeight w:val="1090"/>
          <w:jc w:val="center"/>
        </w:trPr>
        <w:tc>
          <w:tcPr>
            <w:tcW w:w="3067" w:type="dxa"/>
          </w:tcPr>
          <w:p w14:paraId="27E22AEA" w14:textId="77777777" w:rsidR="00B84975" w:rsidRPr="00EA1BB2" w:rsidRDefault="00B84975" w:rsidP="00B84975">
            <w:pPr>
              <w:spacing w:line="276" w:lineRule="auto"/>
              <w:jc w:val="center"/>
              <w:rPr>
                <w:rFonts w:ascii="Cambria" w:eastAsia="Times New Roman" w:hAnsi="Cambria"/>
                <w:sz w:val="24"/>
                <w:szCs w:val="24"/>
                <w:lang w:val="ro-RO"/>
              </w:rPr>
            </w:pPr>
            <w:r w:rsidRPr="00EA1BB2">
              <w:rPr>
                <w:rFonts w:ascii="Cambria" w:eastAsia="Times New Roman" w:hAnsi="Cambria"/>
                <w:sz w:val="24"/>
                <w:szCs w:val="24"/>
                <w:lang w:val="ro-RO"/>
              </w:rPr>
              <w:t>4.5.1.1. Reducerea poluării cu gaze cu efect de seră</w:t>
            </w:r>
          </w:p>
          <w:p w14:paraId="2A951BC4" w14:textId="77777777" w:rsidR="00B84975" w:rsidRPr="00EA1BB2" w:rsidRDefault="00B84975" w:rsidP="00B84975">
            <w:pPr>
              <w:spacing w:line="276" w:lineRule="auto"/>
              <w:jc w:val="center"/>
              <w:rPr>
                <w:rFonts w:ascii="Cambria" w:eastAsia="Times New Roman" w:hAnsi="Cambria"/>
                <w:sz w:val="24"/>
                <w:szCs w:val="24"/>
                <w:lang w:val="ro-RO"/>
              </w:rPr>
            </w:pPr>
          </w:p>
        </w:tc>
        <w:tc>
          <w:tcPr>
            <w:tcW w:w="4447" w:type="dxa"/>
          </w:tcPr>
          <w:p w14:paraId="3556FB7E" w14:textId="77777777" w:rsidR="00B84975" w:rsidRPr="00EA1BB2" w:rsidRDefault="00B84975" w:rsidP="00B84975">
            <w:pPr>
              <w:spacing w:line="276" w:lineRule="auto"/>
              <w:jc w:val="center"/>
              <w:rPr>
                <w:rFonts w:ascii="Cambria" w:eastAsia="Times New Roman" w:hAnsi="Cambria"/>
                <w:sz w:val="24"/>
                <w:szCs w:val="24"/>
                <w:lang w:val="ro-RO"/>
              </w:rPr>
            </w:pPr>
            <w:r w:rsidRPr="00EA1BB2">
              <w:rPr>
                <w:rFonts w:ascii="Cambria" w:eastAsia="Times New Roman" w:hAnsi="Cambria"/>
                <w:sz w:val="24"/>
                <w:szCs w:val="24"/>
                <w:lang w:val="ro-RO"/>
              </w:rPr>
              <w:t>1. Realizarea de plantații forestiere pentru sechestrarea carbonului</w:t>
            </w:r>
          </w:p>
        </w:tc>
        <w:tc>
          <w:tcPr>
            <w:tcW w:w="2977" w:type="dxa"/>
          </w:tcPr>
          <w:p w14:paraId="64FAE554" w14:textId="77777777" w:rsidR="00B84975" w:rsidRPr="00EA1BB2" w:rsidRDefault="00B84975" w:rsidP="00B84975">
            <w:pPr>
              <w:spacing w:line="276" w:lineRule="auto"/>
              <w:jc w:val="center"/>
              <w:rPr>
                <w:rFonts w:ascii="Cambria" w:eastAsia="Times New Roman" w:hAnsi="Cambria"/>
                <w:sz w:val="24"/>
                <w:szCs w:val="24"/>
                <w:lang w:val="ro-RO"/>
              </w:rPr>
            </w:pPr>
            <w:r w:rsidRPr="00EA1BB2">
              <w:rPr>
                <w:rFonts w:ascii="Cambria" w:eastAsia="Times New Roman" w:hAnsi="Cambria"/>
                <w:sz w:val="24"/>
                <w:szCs w:val="24"/>
                <w:lang w:val="ro-RO"/>
              </w:rPr>
              <w:t>Direcția Silvică Brăila</w:t>
            </w:r>
          </w:p>
        </w:tc>
        <w:tc>
          <w:tcPr>
            <w:tcW w:w="2976" w:type="dxa"/>
          </w:tcPr>
          <w:p w14:paraId="083CB3D4" w14:textId="77777777" w:rsidR="00B84975" w:rsidRPr="00EA1BB2" w:rsidRDefault="00B84975" w:rsidP="00B84975">
            <w:pPr>
              <w:spacing w:line="276" w:lineRule="auto"/>
              <w:jc w:val="center"/>
              <w:rPr>
                <w:rFonts w:ascii="Cambria" w:eastAsia="Times New Roman" w:hAnsi="Cambria"/>
                <w:bCs/>
                <w:sz w:val="24"/>
                <w:szCs w:val="24"/>
                <w:lang w:val="ro-RO" w:eastAsia="ro-RO"/>
              </w:rPr>
            </w:pPr>
            <w:r w:rsidRPr="00EA1BB2">
              <w:rPr>
                <w:rFonts w:ascii="Cambria" w:eastAsia="Times New Roman" w:hAnsi="Cambria"/>
                <w:bCs/>
                <w:sz w:val="24"/>
                <w:szCs w:val="24"/>
                <w:lang w:val="ro-RO" w:eastAsia="ro-RO"/>
              </w:rPr>
              <w:t>Agenția pentru  Protecția Mediului Brăila</w:t>
            </w:r>
          </w:p>
          <w:p w14:paraId="1BCB81D1" w14:textId="77777777" w:rsidR="00B84975" w:rsidRPr="00EA1BB2" w:rsidRDefault="00B84975" w:rsidP="00B84975">
            <w:pPr>
              <w:spacing w:line="276" w:lineRule="auto"/>
              <w:jc w:val="center"/>
              <w:rPr>
                <w:rFonts w:ascii="Cambria" w:eastAsia="Times New Roman" w:hAnsi="Cambria"/>
                <w:bCs/>
                <w:color w:val="993366"/>
                <w:sz w:val="24"/>
                <w:szCs w:val="24"/>
                <w:lang w:val="ro-RO" w:eastAsia="ro-RO"/>
              </w:rPr>
            </w:pPr>
            <w:r w:rsidRPr="00EA1BB2">
              <w:rPr>
                <w:rFonts w:ascii="Cambria" w:eastAsia="Times New Roman" w:hAnsi="Cambria"/>
                <w:bCs/>
                <w:sz w:val="24"/>
                <w:szCs w:val="24"/>
                <w:lang w:val="ro-RO" w:eastAsia="ro-RO"/>
              </w:rPr>
              <w:t xml:space="preserve">Garda Națională de Mediu </w:t>
            </w:r>
            <w:r w:rsidRPr="00EA1BB2">
              <w:rPr>
                <w:rFonts w:ascii="Cambria" w:eastAsia="Times New Roman" w:hAnsi="Cambria"/>
                <w:bCs/>
                <w:sz w:val="24"/>
                <w:szCs w:val="24"/>
                <w:lang w:val="ro-RO" w:eastAsia="ro-RO"/>
              </w:rPr>
              <w:lastRenderedPageBreak/>
              <w:t>Comisariatul Județean Brăila</w:t>
            </w:r>
          </w:p>
        </w:tc>
        <w:tc>
          <w:tcPr>
            <w:tcW w:w="1701" w:type="dxa"/>
          </w:tcPr>
          <w:p w14:paraId="693FF26F" w14:textId="77777777" w:rsidR="00B84975" w:rsidRPr="00EA1BB2" w:rsidRDefault="00B84975" w:rsidP="00B84975">
            <w:pPr>
              <w:autoSpaceDE w:val="0"/>
              <w:autoSpaceDN w:val="0"/>
              <w:adjustRightInd w:val="0"/>
              <w:spacing w:line="276" w:lineRule="auto"/>
              <w:jc w:val="center"/>
              <w:rPr>
                <w:rFonts w:ascii="Cambria" w:eastAsia="Times New Roman" w:hAnsi="Cambria"/>
                <w:sz w:val="24"/>
                <w:szCs w:val="24"/>
                <w:lang w:val="ro-RO"/>
              </w:rPr>
            </w:pPr>
            <w:r w:rsidRPr="00EA1BB2">
              <w:rPr>
                <w:rFonts w:ascii="Cambria" w:eastAsia="Times New Roman" w:hAnsi="Cambria"/>
                <w:sz w:val="24"/>
                <w:szCs w:val="24"/>
                <w:lang w:val="ro-RO"/>
              </w:rPr>
              <w:lastRenderedPageBreak/>
              <w:t>Buget de stat</w:t>
            </w:r>
          </w:p>
        </w:tc>
      </w:tr>
      <w:tr w:rsidR="00B84975" w:rsidRPr="00EA1BB2" w14:paraId="4FAE3E45" w14:textId="77777777" w:rsidTr="00B84975">
        <w:trPr>
          <w:trHeight w:val="828"/>
          <w:jc w:val="center"/>
        </w:trPr>
        <w:tc>
          <w:tcPr>
            <w:tcW w:w="3067" w:type="dxa"/>
            <w:vMerge w:val="restart"/>
          </w:tcPr>
          <w:p w14:paraId="3FD8DF59" w14:textId="77777777" w:rsidR="00B84975" w:rsidRPr="00EA1BB2" w:rsidRDefault="00B84975" w:rsidP="00B84975">
            <w:pPr>
              <w:spacing w:line="276" w:lineRule="auto"/>
              <w:jc w:val="center"/>
              <w:rPr>
                <w:rFonts w:ascii="Cambria" w:eastAsia="Times New Roman" w:hAnsi="Cambria"/>
                <w:color w:val="000000"/>
                <w:sz w:val="24"/>
                <w:szCs w:val="24"/>
                <w:lang w:val="ro-RO"/>
              </w:rPr>
            </w:pPr>
            <w:r w:rsidRPr="00EA1BB2">
              <w:rPr>
                <w:rFonts w:ascii="Cambria" w:eastAsia="Times New Roman" w:hAnsi="Cambria"/>
                <w:color w:val="000000"/>
                <w:sz w:val="24"/>
                <w:szCs w:val="24"/>
                <w:lang w:val="ro-RO"/>
              </w:rPr>
              <w:t>4.5.1.2. Promovarea utilizării</w:t>
            </w:r>
          </w:p>
          <w:p w14:paraId="7DFD2B00" w14:textId="77777777" w:rsidR="00B84975" w:rsidRPr="00EA1BB2" w:rsidRDefault="00B84975" w:rsidP="00B84975">
            <w:pPr>
              <w:spacing w:line="276" w:lineRule="auto"/>
              <w:jc w:val="center"/>
              <w:rPr>
                <w:rFonts w:ascii="Cambria" w:eastAsia="Times New Roman" w:hAnsi="Cambria"/>
                <w:color w:val="000000"/>
                <w:sz w:val="24"/>
                <w:szCs w:val="24"/>
                <w:lang w:val="ro-RO"/>
              </w:rPr>
            </w:pPr>
            <w:r w:rsidRPr="00EA1BB2">
              <w:rPr>
                <w:rFonts w:ascii="Cambria" w:eastAsia="Times New Roman" w:hAnsi="Cambria"/>
                <w:color w:val="000000"/>
                <w:sz w:val="24"/>
                <w:szCs w:val="24"/>
                <w:lang w:val="ro-RO"/>
              </w:rPr>
              <w:t>energiei</w:t>
            </w:r>
          </w:p>
          <w:p w14:paraId="74679EC0" w14:textId="77777777" w:rsidR="00B84975" w:rsidRPr="00EA1BB2" w:rsidRDefault="00B84975" w:rsidP="00B84975">
            <w:pPr>
              <w:spacing w:line="276" w:lineRule="auto"/>
              <w:jc w:val="center"/>
              <w:rPr>
                <w:rFonts w:ascii="Cambria" w:eastAsia="Times New Roman" w:hAnsi="Cambria"/>
                <w:color w:val="000000"/>
                <w:sz w:val="24"/>
                <w:szCs w:val="24"/>
                <w:lang w:val="ro-RO"/>
              </w:rPr>
            </w:pPr>
            <w:r w:rsidRPr="00EA1BB2">
              <w:rPr>
                <w:rFonts w:ascii="Cambria" w:eastAsia="Times New Roman" w:hAnsi="Cambria"/>
                <w:color w:val="000000"/>
                <w:sz w:val="24"/>
                <w:szCs w:val="24"/>
                <w:lang w:val="ro-RO"/>
              </w:rPr>
              <w:t>neconvenționale</w:t>
            </w:r>
          </w:p>
          <w:p w14:paraId="4642206A" w14:textId="77777777" w:rsidR="00B84975" w:rsidRPr="00EA1BB2" w:rsidRDefault="00B84975" w:rsidP="00B84975">
            <w:pPr>
              <w:spacing w:line="276" w:lineRule="auto"/>
              <w:jc w:val="center"/>
              <w:rPr>
                <w:rFonts w:ascii="Cambria" w:eastAsia="Times New Roman" w:hAnsi="Cambria"/>
                <w:color w:val="000000"/>
                <w:sz w:val="24"/>
                <w:szCs w:val="24"/>
                <w:lang w:val="ro-RO"/>
              </w:rPr>
            </w:pPr>
          </w:p>
        </w:tc>
        <w:tc>
          <w:tcPr>
            <w:tcW w:w="4447" w:type="dxa"/>
          </w:tcPr>
          <w:p w14:paraId="71E2554D" w14:textId="77777777" w:rsidR="00B84975" w:rsidRPr="00EA1BB2" w:rsidRDefault="00B84975" w:rsidP="00B84975">
            <w:pPr>
              <w:spacing w:line="276" w:lineRule="auto"/>
              <w:jc w:val="center"/>
              <w:rPr>
                <w:rFonts w:ascii="Cambria" w:eastAsia="Times New Roman" w:hAnsi="Cambria"/>
                <w:color w:val="000000"/>
                <w:sz w:val="24"/>
                <w:szCs w:val="24"/>
                <w:lang w:val="ro-RO"/>
              </w:rPr>
            </w:pPr>
            <w:r w:rsidRPr="00EA1BB2">
              <w:rPr>
                <w:rFonts w:ascii="Cambria" w:eastAsia="Times New Roman" w:hAnsi="Cambria"/>
                <w:color w:val="000000"/>
                <w:sz w:val="24"/>
                <w:szCs w:val="24"/>
                <w:lang w:val="ro-RO"/>
              </w:rPr>
              <w:t>1. Elaborarea și implementarea de proiecte pentru producerea de biocarburanți</w:t>
            </w:r>
          </w:p>
        </w:tc>
        <w:tc>
          <w:tcPr>
            <w:tcW w:w="2977" w:type="dxa"/>
            <w:vMerge w:val="restart"/>
          </w:tcPr>
          <w:p w14:paraId="12EF602A" w14:textId="77777777" w:rsidR="00B84975" w:rsidRPr="00EA1BB2" w:rsidRDefault="00B84975" w:rsidP="00B84975">
            <w:pPr>
              <w:tabs>
                <w:tab w:val="left" w:pos="0"/>
              </w:tabs>
              <w:suppressAutoHyphens/>
              <w:spacing w:line="276" w:lineRule="auto"/>
              <w:ind w:left="-106" w:firstLine="120"/>
              <w:jc w:val="center"/>
              <w:rPr>
                <w:rFonts w:ascii="Cambria" w:eastAsia="Times New Roman" w:hAnsi="Cambria"/>
                <w:bCs/>
                <w:sz w:val="24"/>
                <w:szCs w:val="24"/>
                <w:lang w:val="ro-RO"/>
              </w:rPr>
            </w:pPr>
            <w:r w:rsidRPr="00EA1BB2">
              <w:rPr>
                <w:rFonts w:ascii="Cambria" w:eastAsia="Times New Roman" w:hAnsi="Cambria"/>
                <w:bCs/>
                <w:sz w:val="24"/>
                <w:szCs w:val="24"/>
                <w:lang w:val="ro-RO"/>
              </w:rPr>
              <w:t>Operatori economici</w:t>
            </w:r>
          </w:p>
        </w:tc>
        <w:tc>
          <w:tcPr>
            <w:tcW w:w="2976" w:type="dxa"/>
            <w:vMerge w:val="restart"/>
          </w:tcPr>
          <w:p w14:paraId="0448E209" w14:textId="77777777" w:rsidR="00B84975" w:rsidRPr="00EA1BB2" w:rsidRDefault="00B84975" w:rsidP="00B84975">
            <w:pPr>
              <w:spacing w:line="276" w:lineRule="auto"/>
              <w:jc w:val="center"/>
              <w:rPr>
                <w:rFonts w:ascii="Cambria" w:eastAsia="Times New Roman" w:hAnsi="Cambria"/>
                <w:bCs/>
                <w:sz w:val="24"/>
                <w:szCs w:val="24"/>
                <w:lang w:val="ro-RO" w:eastAsia="ro-RO"/>
              </w:rPr>
            </w:pPr>
            <w:r w:rsidRPr="00EA1BB2">
              <w:rPr>
                <w:rFonts w:ascii="Cambria" w:eastAsia="Times New Roman" w:hAnsi="Cambria"/>
                <w:bCs/>
                <w:sz w:val="24"/>
                <w:szCs w:val="24"/>
                <w:lang w:val="ro-RO" w:eastAsia="ro-RO"/>
              </w:rPr>
              <w:t>Agenția pentru  Protecția Mediului Brăila</w:t>
            </w:r>
          </w:p>
          <w:p w14:paraId="7B141E46" w14:textId="77777777" w:rsidR="00B84975" w:rsidRPr="00EA1BB2" w:rsidRDefault="00B84975" w:rsidP="00B84975">
            <w:pPr>
              <w:spacing w:line="276" w:lineRule="auto"/>
              <w:jc w:val="center"/>
              <w:rPr>
                <w:rFonts w:ascii="Cambria" w:eastAsia="Times New Roman" w:hAnsi="Cambria"/>
                <w:bCs/>
                <w:color w:val="993366"/>
                <w:sz w:val="24"/>
                <w:szCs w:val="24"/>
                <w:lang w:val="ro-RO" w:eastAsia="ro-RO"/>
              </w:rPr>
            </w:pPr>
            <w:r w:rsidRPr="00EA1BB2">
              <w:rPr>
                <w:rFonts w:ascii="Cambria" w:eastAsia="Times New Roman" w:hAnsi="Cambria"/>
                <w:bCs/>
                <w:sz w:val="24"/>
                <w:szCs w:val="24"/>
                <w:lang w:val="ro-RO" w:eastAsia="ro-RO"/>
              </w:rPr>
              <w:t>Garda Națională de Mediu Comisariatul Județean Brăila</w:t>
            </w:r>
          </w:p>
        </w:tc>
        <w:tc>
          <w:tcPr>
            <w:tcW w:w="1701" w:type="dxa"/>
            <w:vMerge w:val="restart"/>
          </w:tcPr>
          <w:p w14:paraId="4DDA6DAC" w14:textId="77777777" w:rsidR="00B84975" w:rsidRPr="00EA1BB2" w:rsidRDefault="00B84975" w:rsidP="00B84975">
            <w:pPr>
              <w:autoSpaceDE w:val="0"/>
              <w:autoSpaceDN w:val="0"/>
              <w:adjustRightInd w:val="0"/>
              <w:spacing w:line="276" w:lineRule="auto"/>
              <w:jc w:val="center"/>
              <w:rPr>
                <w:rFonts w:ascii="Cambria" w:eastAsia="Times New Roman" w:hAnsi="Cambria"/>
                <w:sz w:val="24"/>
                <w:szCs w:val="24"/>
                <w:lang w:val="ro-RO"/>
              </w:rPr>
            </w:pPr>
            <w:r w:rsidRPr="00EA1BB2">
              <w:rPr>
                <w:rFonts w:ascii="Cambria" w:eastAsia="Times New Roman" w:hAnsi="Cambria"/>
                <w:sz w:val="24"/>
                <w:szCs w:val="24"/>
                <w:lang w:val="ro-RO"/>
              </w:rPr>
              <w:t>Surse proprii</w:t>
            </w:r>
          </w:p>
        </w:tc>
      </w:tr>
      <w:tr w:rsidR="00B84975" w:rsidRPr="00EA1BB2" w14:paraId="29E57B6B" w14:textId="77777777" w:rsidTr="00B84975">
        <w:trPr>
          <w:trHeight w:val="313"/>
          <w:jc w:val="center"/>
        </w:trPr>
        <w:tc>
          <w:tcPr>
            <w:tcW w:w="3067" w:type="dxa"/>
            <w:vMerge/>
          </w:tcPr>
          <w:p w14:paraId="6A97AE49" w14:textId="77777777" w:rsidR="00B84975" w:rsidRPr="00EA1BB2" w:rsidRDefault="00B84975" w:rsidP="00B84975">
            <w:pPr>
              <w:spacing w:line="276" w:lineRule="auto"/>
              <w:jc w:val="center"/>
              <w:rPr>
                <w:rFonts w:ascii="Cambria" w:eastAsia="Times New Roman" w:hAnsi="Cambria"/>
                <w:color w:val="000000"/>
                <w:sz w:val="24"/>
                <w:szCs w:val="24"/>
                <w:lang w:val="ro-RO"/>
              </w:rPr>
            </w:pPr>
          </w:p>
        </w:tc>
        <w:tc>
          <w:tcPr>
            <w:tcW w:w="4447" w:type="dxa"/>
          </w:tcPr>
          <w:p w14:paraId="580622D3" w14:textId="77777777" w:rsidR="00B84975" w:rsidRPr="00EA1BB2" w:rsidRDefault="00B84975" w:rsidP="00B84975">
            <w:pPr>
              <w:spacing w:line="276" w:lineRule="auto"/>
              <w:jc w:val="center"/>
              <w:rPr>
                <w:rFonts w:ascii="Cambria" w:eastAsia="Times New Roman" w:hAnsi="Cambria"/>
                <w:color w:val="000000"/>
                <w:sz w:val="24"/>
                <w:szCs w:val="24"/>
                <w:lang w:val="ro-RO"/>
              </w:rPr>
            </w:pPr>
            <w:r w:rsidRPr="00EA1BB2">
              <w:rPr>
                <w:rFonts w:ascii="Cambria" w:eastAsia="Times New Roman" w:hAnsi="Cambria"/>
                <w:color w:val="000000"/>
                <w:sz w:val="24"/>
                <w:szCs w:val="24"/>
                <w:lang w:val="ro-RO"/>
              </w:rPr>
              <w:t>2. Elaborarea și implementarea de proiecte pentru producerea de energie din surse regenerabile</w:t>
            </w:r>
          </w:p>
        </w:tc>
        <w:tc>
          <w:tcPr>
            <w:tcW w:w="2977" w:type="dxa"/>
            <w:vMerge/>
          </w:tcPr>
          <w:p w14:paraId="7E72DF9A" w14:textId="77777777" w:rsidR="00B84975" w:rsidRPr="00EA1BB2" w:rsidRDefault="00B84975" w:rsidP="00B84975">
            <w:pPr>
              <w:tabs>
                <w:tab w:val="left" w:pos="0"/>
              </w:tabs>
              <w:suppressAutoHyphens/>
              <w:spacing w:line="276" w:lineRule="auto"/>
              <w:ind w:left="-1327" w:firstLine="120"/>
              <w:jc w:val="center"/>
              <w:rPr>
                <w:rFonts w:ascii="Cambria" w:eastAsia="Times New Roman" w:hAnsi="Cambria"/>
                <w:bCs/>
                <w:sz w:val="24"/>
                <w:szCs w:val="24"/>
                <w:lang w:val="ro-RO"/>
              </w:rPr>
            </w:pPr>
          </w:p>
        </w:tc>
        <w:tc>
          <w:tcPr>
            <w:tcW w:w="2976" w:type="dxa"/>
            <w:vMerge/>
          </w:tcPr>
          <w:p w14:paraId="17F906D1" w14:textId="77777777" w:rsidR="00B84975" w:rsidRPr="00EA1BB2" w:rsidRDefault="00B84975" w:rsidP="00B84975">
            <w:pPr>
              <w:spacing w:line="276" w:lineRule="auto"/>
              <w:jc w:val="center"/>
              <w:rPr>
                <w:rFonts w:ascii="Cambria" w:eastAsia="Times New Roman" w:hAnsi="Cambria"/>
                <w:bCs/>
                <w:sz w:val="24"/>
                <w:szCs w:val="24"/>
                <w:lang w:val="ro-RO" w:eastAsia="ro-RO"/>
              </w:rPr>
            </w:pPr>
          </w:p>
        </w:tc>
        <w:tc>
          <w:tcPr>
            <w:tcW w:w="1701" w:type="dxa"/>
            <w:vMerge/>
          </w:tcPr>
          <w:p w14:paraId="47873ABF" w14:textId="77777777" w:rsidR="00B84975" w:rsidRPr="00EA1BB2" w:rsidRDefault="00B84975" w:rsidP="00B84975">
            <w:pPr>
              <w:autoSpaceDE w:val="0"/>
              <w:autoSpaceDN w:val="0"/>
              <w:adjustRightInd w:val="0"/>
              <w:spacing w:line="276" w:lineRule="auto"/>
              <w:jc w:val="center"/>
              <w:rPr>
                <w:rFonts w:ascii="Cambria" w:eastAsia="Times New Roman" w:hAnsi="Cambria"/>
                <w:sz w:val="24"/>
                <w:szCs w:val="24"/>
                <w:lang w:val="ro-RO"/>
              </w:rPr>
            </w:pPr>
          </w:p>
        </w:tc>
      </w:tr>
    </w:tbl>
    <w:p w14:paraId="63BC7D07" w14:textId="77777777" w:rsidR="00B84975" w:rsidRPr="00EA1BB2" w:rsidRDefault="00B84975" w:rsidP="00B84975">
      <w:pPr>
        <w:spacing w:line="360" w:lineRule="auto"/>
        <w:jc w:val="both"/>
        <w:rPr>
          <w:rFonts w:ascii="Cambria" w:eastAsia="Calibri" w:hAnsi="Cambria" w:cs="Times New Roman"/>
          <w:szCs w:val="24"/>
        </w:rPr>
      </w:pPr>
      <w:r w:rsidRPr="00EA1BB2">
        <w:rPr>
          <w:rFonts w:ascii="Cambria" w:eastAsia="Calibri" w:hAnsi="Cambria" w:cs="Times New Roman"/>
          <w:szCs w:val="24"/>
        </w:rPr>
        <w:t>Sursa: PLAM Brăila - 2004</w:t>
      </w:r>
    </w:p>
    <w:p w14:paraId="5115687B" w14:textId="77777777" w:rsidR="00B84975" w:rsidRPr="00EA1BB2" w:rsidRDefault="00B84975" w:rsidP="00B84975">
      <w:pPr>
        <w:spacing w:line="360" w:lineRule="auto"/>
        <w:jc w:val="both"/>
        <w:rPr>
          <w:rFonts w:ascii="Cambria" w:eastAsia="Calibri" w:hAnsi="Cambria" w:cs="Times New Roman"/>
          <w:sz w:val="24"/>
          <w:szCs w:val="24"/>
        </w:rPr>
      </w:pPr>
    </w:p>
    <w:p w14:paraId="3D5628F3" w14:textId="77777777" w:rsidR="00B84975" w:rsidRPr="00EA1BB2" w:rsidRDefault="00B84975" w:rsidP="00B84975">
      <w:pPr>
        <w:spacing w:line="360" w:lineRule="auto"/>
        <w:jc w:val="both"/>
        <w:rPr>
          <w:rFonts w:ascii="Cambria" w:eastAsia="Calibri" w:hAnsi="Cambria" w:cs="Times New Roman"/>
          <w:sz w:val="24"/>
          <w:szCs w:val="24"/>
        </w:rPr>
      </w:pPr>
    </w:p>
    <w:p w14:paraId="2D6DCC31" w14:textId="77777777" w:rsidR="00B84975" w:rsidRPr="00EA1BB2" w:rsidRDefault="00B84975" w:rsidP="00B84975">
      <w:pPr>
        <w:spacing w:line="360" w:lineRule="auto"/>
        <w:jc w:val="both"/>
        <w:rPr>
          <w:rFonts w:ascii="Cambria" w:eastAsia="Calibri" w:hAnsi="Cambria" w:cs="Times New Roman"/>
          <w:sz w:val="24"/>
          <w:szCs w:val="24"/>
        </w:rPr>
        <w:sectPr w:rsidR="00B84975" w:rsidRPr="00EA1BB2" w:rsidSect="00C33981">
          <w:pgSz w:w="16838" w:h="11906" w:orient="landscape" w:code="9"/>
          <w:pgMar w:top="1440" w:right="1134" w:bottom="1440" w:left="1134" w:header="283" w:footer="283" w:gutter="0"/>
          <w:cols w:space="708"/>
          <w:docGrid w:linePitch="360"/>
        </w:sectPr>
      </w:pPr>
    </w:p>
    <w:p w14:paraId="683F4C70" w14:textId="77777777" w:rsidR="00B84975" w:rsidRPr="00EA1BB2" w:rsidRDefault="00B84975" w:rsidP="00B84975">
      <w:pPr>
        <w:spacing w:line="360" w:lineRule="auto"/>
        <w:ind w:firstLine="708"/>
        <w:jc w:val="both"/>
        <w:rPr>
          <w:rFonts w:ascii="Cambria" w:eastAsia="Calibri" w:hAnsi="Cambria" w:cs="Times New Roman"/>
          <w:b/>
          <w:sz w:val="24"/>
          <w:szCs w:val="24"/>
        </w:rPr>
      </w:pPr>
      <w:r w:rsidRPr="00EA1BB2">
        <w:rPr>
          <w:rFonts w:ascii="Cambria" w:eastAsia="Calibri" w:hAnsi="Cambria" w:cs="Times New Roman"/>
          <w:b/>
          <w:sz w:val="24"/>
          <w:szCs w:val="24"/>
        </w:rPr>
        <w:lastRenderedPageBreak/>
        <w:t>Legislație în domeniul îmbunătățirii calității aerului</w:t>
      </w:r>
    </w:p>
    <w:p w14:paraId="5F646051" w14:textId="77777777" w:rsidR="00B84975" w:rsidRPr="00EA1BB2" w:rsidRDefault="00B84975" w:rsidP="00B84975">
      <w:pPr>
        <w:spacing w:line="360" w:lineRule="auto"/>
        <w:ind w:firstLine="720"/>
        <w:jc w:val="both"/>
        <w:rPr>
          <w:rFonts w:ascii="Cambria" w:eastAsia="Calibri" w:hAnsi="Cambria" w:cs="Times New Roman"/>
          <w:sz w:val="24"/>
          <w:szCs w:val="24"/>
        </w:rPr>
      </w:pPr>
      <w:r w:rsidRPr="00EA1BB2">
        <w:rPr>
          <w:rFonts w:ascii="Cambria" w:eastAsia="Calibri" w:hAnsi="Cambria" w:cs="Times New Roman"/>
          <w:sz w:val="24"/>
          <w:szCs w:val="24"/>
        </w:rPr>
        <w:t>La nivel național au fost adoptate o serie de documente legislative care transpun directivele europene:</w:t>
      </w:r>
    </w:p>
    <w:p w14:paraId="4D78DC8F" w14:textId="77777777" w:rsidR="00B84975" w:rsidRPr="00EA1BB2" w:rsidRDefault="00B84975" w:rsidP="00B84975">
      <w:pPr>
        <w:spacing w:line="360" w:lineRule="auto"/>
        <w:ind w:firstLine="720"/>
        <w:jc w:val="both"/>
        <w:rPr>
          <w:rFonts w:ascii="Cambria" w:eastAsia="Calibri" w:hAnsi="Cambria" w:cs="Times New Roman"/>
          <w:i/>
          <w:sz w:val="24"/>
          <w:szCs w:val="24"/>
          <w:u w:val="single"/>
        </w:rPr>
      </w:pPr>
      <w:r w:rsidRPr="00EA1BB2">
        <w:rPr>
          <w:rFonts w:ascii="Cambria" w:eastAsia="Calibri" w:hAnsi="Cambria" w:cs="Times New Roman"/>
          <w:i/>
          <w:sz w:val="24"/>
          <w:szCs w:val="24"/>
          <w:u w:val="single"/>
        </w:rPr>
        <w:t>Calitatea aerului</w:t>
      </w:r>
    </w:p>
    <w:p w14:paraId="30B237B0" w14:textId="22220B45" w:rsidR="00B84975" w:rsidRPr="00EA1BB2" w:rsidRDefault="00B84975" w:rsidP="00E93869">
      <w:pPr>
        <w:numPr>
          <w:ilvl w:val="0"/>
          <w:numId w:val="53"/>
        </w:numPr>
        <w:spacing w:line="360" w:lineRule="auto"/>
        <w:contextualSpacing/>
        <w:jc w:val="both"/>
        <w:rPr>
          <w:rFonts w:ascii="Cambria" w:eastAsia="Calibri" w:hAnsi="Cambria" w:cs="Times New Roman"/>
          <w:sz w:val="24"/>
          <w:szCs w:val="24"/>
        </w:rPr>
      </w:pPr>
      <w:r w:rsidRPr="00EA1BB2">
        <w:rPr>
          <w:rFonts w:ascii="Cambria" w:eastAsia="Calibri" w:hAnsi="Cambria" w:cs="Times New Roman"/>
          <w:sz w:val="24"/>
          <w:szCs w:val="24"/>
        </w:rPr>
        <w:t>Ordonanța de urgență a Guvernului nr. 243/2000 privind protecția atmosferei, publicată în Monitorul Oficial al României, Partea I, nr. 633 din 6 decembrie 2000, aprobată cu modificări și completări prin Legea nr. 655/2001, cu modificările și completările ulterioare (abrogat prin</w:t>
      </w:r>
      <w:r w:rsidR="00BD06C5" w:rsidRPr="00EA1BB2">
        <w:rPr>
          <w:rFonts w:ascii="Cambria" w:eastAsia="Calibri" w:hAnsi="Cambria" w:cs="Times New Roman"/>
          <w:sz w:val="24"/>
          <w:szCs w:val="24"/>
        </w:rPr>
        <w:t xml:space="preserve"> </w:t>
      </w:r>
      <w:r w:rsidRPr="00EA1BB2">
        <w:rPr>
          <w:rFonts w:ascii="Cambria" w:eastAsia="Calibri" w:hAnsi="Cambria" w:cs="Times New Roman"/>
          <w:sz w:val="24"/>
          <w:szCs w:val="24"/>
        </w:rPr>
        <w:t>Legea Nr. 104/2011 din 15 iunie 2011privind calitatea aerului înconjurător);</w:t>
      </w:r>
    </w:p>
    <w:p w14:paraId="400F1754" w14:textId="2C42A79E" w:rsidR="00B84975" w:rsidRPr="00EA1BB2" w:rsidRDefault="00B84975" w:rsidP="00E93869">
      <w:pPr>
        <w:numPr>
          <w:ilvl w:val="0"/>
          <w:numId w:val="53"/>
        </w:numPr>
        <w:spacing w:line="360" w:lineRule="auto"/>
        <w:contextualSpacing/>
        <w:jc w:val="both"/>
        <w:rPr>
          <w:rFonts w:ascii="Cambria" w:eastAsia="Calibri" w:hAnsi="Cambria" w:cs="Times New Roman"/>
          <w:sz w:val="24"/>
          <w:szCs w:val="24"/>
        </w:rPr>
      </w:pPr>
      <w:r w:rsidRPr="00EA1BB2">
        <w:rPr>
          <w:rFonts w:ascii="Cambria" w:eastAsia="Calibri" w:hAnsi="Cambria" w:cs="Times New Roman"/>
          <w:sz w:val="24"/>
          <w:szCs w:val="24"/>
        </w:rPr>
        <w:t>Ordinul ministrului apelor și protecției mediului nr. 592/2002 pentru aprobarea Normativului privind stabilirea valorilor-limită, a valorilor de prag și a criteriilor și metodelor de evaluare a dioxidului de sulf, dioxidului de azot și oxizilor de azot, pulberilor în suspensie (PM</w:t>
      </w:r>
      <w:r w:rsidRPr="00EA1BB2">
        <w:rPr>
          <w:rFonts w:ascii="Cambria" w:eastAsia="Calibri" w:hAnsi="Cambria" w:cs="Times New Roman"/>
          <w:sz w:val="24"/>
          <w:szCs w:val="24"/>
          <w:vertAlign w:val="subscript"/>
        </w:rPr>
        <w:t>10</w:t>
      </w:r>
      <w:r w:rsidRPr="00EA1BB2">
        <w:rPr>
          <w:rFonts w:ascii="Cambria" w:eastAsia="Calibri" w:hAnsi="Cambria" w:cs="Times New Roman"/>
          <w:sz w:val="24"/>
          <w:szCs w:val="24"/>
        </w:rPr>
        <w:t xml:space="preserve"> și PM</w:t>
      </w:r>
      <w:r w:rsidRPr="00EA1BB2">
        <w:rPr>
          <w:rFonts w:ascii="Cambria" w:eastAsia="Calibri" w:hAnsi="Cambria" w:cs="Times New Roman"/>
          <w:sz w:val="24"/>
          <w:szCs w:val="24"/>
          <w:vertAlign w:val="subscript"/>
        </w:rPr>
        <w:t>2,5</w:t>
      </w:r>
      <w:r w:rsidRPr="00EA1BB2">
        <w:rPr>
          <w:rFonts w:ascii="Cambria" w:eastAsia="Calibri" w:hAnsi="Cambria" w:cs="Times New Roman"/>
          <w:sz w:val="24"/>
          <w:szCs w:val="24"/>
        </w:rPr>
        <w:t>), plumbului, benzenului, monoxidului de carbon și ozonului în aerul înconjurător, publicat în Monitorul Oficial al României, Partea I, nr. 765 din 21 octombrie 2002, cu completările ulterioare (abrogat prin</w:t>
      </w:r>
      <w:r w:rsidR="00BD06C5" w:rsidRPr="00EA1BB2">
        <w:rPr>
          <w:rFonts w:ascii="Cambria" w:eastAsia="Calibri" w:hAnsi="Cambria" w:cs="Times New Roman"/>
          <w:sz w:val="24"/>
          <w:szCs w:val="24"/>
        </w:rPr>
        <w:t xml:space="preserve"> </w:t>
      </w:r>
      <w:r w:rsidRPr="00EA1BB2">
        <w:rPr>
          <w:rFonts w:ascii="Cambria" w:eastAsia="Calibri" w:hAnsi="Cambria" w:cs="Times New Roman"/>
          <w:sz w:val="24"/>
          <w:szCs w:val="24"/>
        </w:rPr>
        <w:t>Legea Nr. 104/2011 din 15 iunie 2011privind calitatea aerului înconjurător);</w:t>
      </w:r>
    </w:p>
    <w:p w14:paraId="1DFEDACB" w14:textId="1F3A8A0B" w:rsidR="00B84975" w:rsidRPr="00EA1BB2" w:rsidRDefault="00B84975" w:rsidP="00E93869">
      <w:pPr>
        <w:numPr>
          <w:ilvl w:val="0"/>
          <w:numId w:val="53"/>
        </w:numPr>
        <w:spacing w:line="360" w:lineRule="auto"/>
        <w:contextualSpacing/>
        <w:jc w:val="both"/>
        <w:rPr>
          <w:rFonts w:ascii="Cambria" w:eastAsia="Calibri" w:hAnsi="Cambria" w:cs="Times New Roman"/>
          <w:sz w:val="24"/>
          <w:szCs w:val="24"/>
        </w:rPr>
      </w:pPr>
      <w:r w:rsidRPr="00EA1BB2">
        <w:rPr>
          <w:rFonts w:ascii="Cambria" w:eastAsia="Calibri" w:hAnsi="Cambria" w:cs="Times New Roman"/>
          <w:sz w:val="24"/>
          <w:szCs w:val="24"/>
        </w:rPr>
        <w:t>Hotărârea Guvernului nr. 543/2004 privind elaborarea și punerea în aplicare a planurilor și programelor de gestionare a calității aerului, publicată în Monitorul Oficial al României, Partea I, nr. 393 din 4 mai 2004, cu completările ulterioare (abrogat prin</w:t>
      </w:r>
      <w:r w:rsidR="00BD06C5" w:rsidRPr="00EA1BB2">
        <w:rPr>
          <w:rFonts w:ascii="Cambria" w:eastAsia="Calibri" w:hAnsi="Cambria" w:cs="Times New Roman"/>
          <w:sz w:val="24"/>
          <w:szCs w:val="24"/>
        </w:rPr>
        <w:t xml:space="preserve"> </w:t>
      </w:r>
      <w:r w:rsidRPr="00EA1BB2">
        <w:rPr>
          <w:rFonts w:ascii="Cambria" w:eastAsia="Calibri" w:hAnsi="Cambria" w:cs="Times New Roman"/>
          <w:sz w:val="24"/>
          <w:szCs w:val="24"/>
        </w:rPr>
        <w:t>Legea Nr. 104/2011 din 15 iunie 2011privind calitatea aerului înconjurător);</w:t>
      </w:r>
    </w:p>
    <w:p w14:paraId="551C5917" w14:textId="6C5D7F80" w:rsidR="00B84975" w:rsidRPr="00EA1BB2" w:rsidRDefault="00B84975" w:rsidP="00E93869">
      <w:pPr>
        <w:numPr>
          <w:ilvl w:val="0"/>
          <w:numId w:val="53"/>
        </w:numPr>
        <w:spacing w:line="360" w:lineRule="auto"/>
        <w:contextualSpacing/>
        <w:jc w:val="both"/>
        <w:rPr>
          <w:rFonts w:ascii="Cambria" w:eastAsia="Calibri" w:hAnsi="Cambria" w:cs="Times New Roman"/>
          <w:sz w:val="24"/>
          <w:szCs w:val="24"/>
        </w:rPr>
      </w:pPr>
      <w:r w:rsidRPr="00EA1BB2">
        <w:rPr>
          <w:rFonts w:ascii="Cambria" w:eastAsia="Calibri" w:hAnsi="Cambria" w:cs="Times New Roman"/>
          <w:sz w:val="24"/>
          <w:szCs w:val="24"/>
        </w:rPr>
        <w:t>Hotărârea Guvernului nr. 586/2004 privind înființarea și organizarea Sistemului național de evaluare și gestionare integrată a calității aerului, publicată în Monitorul Oficial al României, Partea I, nr. 389 din 3 mai 2004 (abrogat prin</w:t>
      </w:r>
      <w:r w:rsidR="00BD06C5" w:rsidRPr="00EA1BB2">
        <w:rPr>
          <w:rFonts w:ascii="Cambria" w:eastAsia="Calibri" w:hAnsi="Cambria" w:cs="Times New Roman"/>
          <w:sz w:val="24"/>
          <w:szCs w:val="24"/>
        </w:rPr>
        <w:t xml:space="preserve"> </w:t>
      </w:r>
      <w:r w:rsidRPr="00EA1BB2">
        <w:rPr>
          <w:rFonts w:ascii="Cambria" w:eastAsia="Calibri" w:hAnsi="Cambria" w:cs="Times New Roman"/>
          <w:sz w:val="24"/>
          <w:szCs w:val="24"/>
        </w:rPr>
        <w:t>Legea Nr. 104/2011 din 15 iunie 2011privind calitatea aerului înconjurător);</w:t>
      </w:r>
    </w:p>
    <w:p w14:paraId="3B929BCD" w14:textId="1FC05038" w:rsidR="00B84975" w:rsidRPr="00EA1BB2" w:rsidRDefault="00B84975" w:rsidP="00E93869">
      <w:pPr>
        <w:numPr>
          <w:ilvl w:val="0"/>
          <w:numId w:val="53"/>
        </w:numPr>
        <w:spacing w:line="360" w:lineRule="auto"/>
        <w:contextualSpacing/>
        <w:jc w:val="both"/>
        <w:rPr>
          <w:rFonts w:ascii="Cambria" w:eastAsia="Calibri" w:hAnsi="Cambria" w:cs="Times New Roman"/>
          <w:sz w:val="24"/>
          <w:szCs w:val="24"/>
        </w:rPr>
      </w:pPr>
      <w:r w:rsidRPr="00EA1BB2">
        <w:rPr>
          <w:rFonts w:ascii="Cambria" w:eastAsia="Calibri" w:hAnsi="Cambria" w:cs="Times New Roman"/>
          <w:sz w:val="24"/>
          <w:szCs w:val="24"/>
        </w:rPr>
        <w:t>Hotărârea Guvernului nr. 731/2004 pentru aprobarea Strategiei naționale privind protecția atmosferei, publicată în Monitorul Oficial al României, Partea I, nr. 496 din 2 iunie 2004 (abrogat prin</w:t>
      </w:r>
      <w:r w:rsidR="00BD06C5" w:rsidRPr="00EA1BB2">
        <w:rPr>
          <w:rFonts w:ascii="Cambria" w:eastAsia="Calibri" w:hAnsi="Cambria" w:cs="Times New Roman"/>
          <w:sz w:val="24"/>
          <w:szCs w:val="24"/>
        </w:rPr>
        <w:t xml:space="preserve"> </w:t>
      </w:r>
      <w:r w:rsidRPr="00EA1BB2">
        <w:rPr>
          <w:rFonts w:ascii="Cambria" w:eastAsia="Calibri" w:hAnsi="Cambria" w:cs="Times New Roman"/>
          <w:sz w:val="24"/>
          <w:szCs w:val="24"/>
        </w:rPr>
        <w:t>Legea Nr. 104/2011 din 15 iunie 2011privind calitatea aerului înconjurător);</w:t>
      </w:r>
    </w:p>
    <w:p w14:paraId="026FD627" w14:textId="32D01E62" w:rsidR="00B84975" w:rsidRPr="00EA1BB2" w:rsidRDefault="00B84975" w:rsidP="00E93869">
      <w:pPr>
        <w:numPr>
          <w:ilvl w:val="0"/>
          <w:numId w:val="53"/>
        </w:numPr>
        <w:spacing w:line="360" w:lineRule="auto"/>
        <w:contextualSpacing/>
        <w:jc w:val="both"/>
        <w:rPr>
          <w:rFonts w:ascii="Cambria" w:eastAsia="Calibri" w:hAnsi="Cambria" w:cs="Times New Roman"/>
          <w:sz w:val="24"/>
          <w:szCs w:val="24"/>
        </w:rPr>
      </w:pPr>
      <w:r w:rsidRPr="00EA1BB2">
        <w:rPr>
          <w:rFonts w:ascii="Cambria" w:eastAsia="Calibri" w:hAnsi="Cambria" w:cs="Times New Roman"/>
          <w:sz w:val="24"/>
          <w:szCs w:val="24"/>
        </w:rPr>
        <w:t>Hotărârea Guvernului nr. 738/2004 pentru aprobarea Planului național de acțiune în domeniul protecției atmosferei, publicată în Monitorul Oficial al României, Partea I, nr. 476 din 27 mai 2004 (abrogat prin</w:t>
      </w:r>
      <w:r w:rsidR="00BD06C5" w:rsidRPr="00EA1BB2">
        <w:rPr>
          <w:rFonts w:ascii="Cambria" w:eastAsia="Calibri" w:hAnsi="Cambria" w:cs="Times New Roman"/>
          <w:sz w:val="24"/>
          <w:szCs w:val="24"/>
        </w:rPr>
        <w:t xml:space="preserve"> </w:t>
      </w:r>
      <w:r w:rsidRPr="00EA1BB2">
        <w:rPr>
          <w:rFonts w:ascii="Cambria" w:eastAsia="Calibri" w:hAnsi="Cambria" w:cs="Times New Roman"/>
          <w:sz w:val="24"/>
          <w:szCs w:val="24"/>
        </w:rPr>
        <w:t>Legea Nr. 104/2011 din 15 iunie 2011privind calitatea aerului înconjurător);</w:t>
      </w:r>
    </w:p>
    <w:p w14:paraId="17773F02" w14:textId="77777777" w:rsidR="00B84975" w:rsidRPr="00EA1BB2" w:rsidRDefault="00B84975" w:rsidP="00E93869">
      <w:pPr>
        <w:numPr>
          <w:ilvl w:val="0"/>
          <w:numId w:val="51"/>
        </w:numPr>
        <w:spacing w:line="360" w:lineRule="auto"/>
        <w:contextualSpacing/>
        <w:jc w:val="both"/>
        <w:rPr>
          <w:rFonts w:ascii="Cambria" w:eastAsia="Calibri" w:hAnsi="Cambria" w:cs="Times New Roman"/>
          <w:sz w:val="24"/>
          <w:szCs w:val="24"/>
        </w:rPr>
      </w:pPr>
      <w:r w:rsidRPr="00EA1BB2">
        <w:rPr>
          <w:rFonts w:ascii="Cambria" w:eastAsia="Calibri" w:hAnsi="Cambria" w:cs="Times New Roman"/>
          <w:sz w:val="24"/>
          <w:szCs w:val="24"/>
        </w:rPr>
        <w:lastRenderedPageBreak/>
        <w:t>Ordinul MMDD nr. 1095/02.07.2007 pentru aprobarea Normativului privind stabilirea indicilor de calitate a aerului în vederea facilitării informării publicului (publicat în Monitorul Oficial nr. 513/31.07.2007)</w:t>
      </w:r>
    </w:p>
    <w:p w14:paraId="54B8E2FB" w14:textId="77777777" w:rsidR="00B84975" w:rsidRPr="00EA1BB2" w:rsidRDefault="00B84975" w:rsidP="00E93869">
      <w:pPr>
        <w:numPr>
          <w:ilvl w:val="0"/>
          <w:numId w:val="51"/>
        </w:numPr>
        <w:spacing w:line="360" w:lineRule="auto"/>
        <w:contextualSpacing/>
        <w:jc w:val="both"/>
        <w:rPr>
          <w:rFonts w:ascii="Cambria" w:eastAsia="Calibri" w:hAnsi="Cambria" w:cs="Times New Roman"/>
          <w:sz w:val="24"/>
          <w:szCs w:val="24"/>
        </w:rPr>
      </w:pPr>
      <w:r w:rsidRPr="00EA1BB2">
        <w:rPr>
          <w:rFonts w:ascii="Cambria" w:eastAsia="Calibri" w:hAnsi="Cambria" w:cs="Times New Roman"/>
          <w:sz w:val="24"/>
          <w:szCs w:val="24"/>
        </w:rPr>
        <w:t>Ordinul MMGA nr. 35/11.01.2007 privind aprobarea Metodologiei de elaborare și punere în aplicare a planurilor și programelor de gestionare a calității aerului (publicat în Monitorul Oficial nr. 56/24.01.2007)</w:t>
      </w:r>
    </w:p>
    <w:p w14:paraId="53E88AF4" w14:textId="77777777" w:rsidR="00B84975" w:rsidRPr="00EA1BB2" w:rsidRDefault="00B84975" w:rsidP="00B84975">
      <w:pPr>
        <w:spacing w:line="360" w:lineRule="auto"/>
        <w:jc w:val="both"/>
        <w:rPr>
          <w:rFonts w:ascii="Cambria" w:eastAsia="Calibri" w:hAnsi="Cambria" w:cs="Times New Roman"/>
          <w:sz w:val="24"/>
          <w:szCs w:val="24"/>
        </w:rPr>
      </w:pPr>
    </w:p>
    <w:p w14:paraId="1B278F54" w14:textId="77777777" w:rsidR="00B84975" w:rsidRPr="00EA1BB2" w:rsidRDefault="00B84975" w:rsidP="00B84975">
      <w:pPr>
        <w:spacing w:line="360" w:lineRule="auto"/>
        <w:ind w:firstLine="720"/>
        <w:jc w:val="both"/>
        <w:rPr>
          <w:rFonts w:ascii="Cambria" w:eastAsia="Calibri" w:hAnsi="Cambria" w:cs="Times New Roman"/>
          <w:i/>
          <w:sz w:val="24"/>
          <w:szCs w:val="24"/>
          <w:u w:val="single"/>
        </w:rPr>
      </w:pPr>
      <w:r w:rsidRPr="00EA1BB2">
        <w:rPr>
          <w:rFonts w:ascii="Cambria" w:eastAsia="Calibri" w:hAnsi="Cambria" w:cs="Times New Roman"/>
          <w:i/>
          <w:sz w:val="24"/>
          <w:szCs w:val="24"/>
          <w:u w:val="single"/>
        </w:rPr>
        <w:t>CLRTAP</w:t>
      </w:r>
    </w:p>
    <w:p w14:paraId="57B25771" w14:textId="77777777" w:rsidR="00B84975" w:rsidRPr="00EA1BB2" w:rsidRDefault="00B84975" w:rsidP="00993575">
      <w:pPr>
        <w:numPr>
          <w:ilvl w:val="0"/>
          <w:numId w:val="50"/>
        </w:numPr>
        <w:spacing w:after="160" w:line="360" w:lineRule="auto"/>
        <w:contextualSpacing/>
        <w:jc w:val="both"/>
        <w:rPr>
          <w:rFonts w:ascii="Cambria" w:eastAsia="Calibri" w:hAnsi="Cambria" w:cs="Times New Roman"/>
          <w:sz w:val="24"/>
          <w:szCs w:val="24"/>
        </w:rPr>
      </w:pPr>
      <w:r w:rsidRPr="00EA1BB2">
        <w:rPr>
          <w:rFonts w:ascii="Cambria" w:eastAsia="Calibri" w:hAnsi="Cambria" w:cs="Times New Roman"/>
          <w:sz w:val="24"/>
          <w:szCs w:val="24"/>
        </w:rPr>
        <w:t>Legea nr. 271/23.06.2003 pentru ratificarea protocoalelor Convenției asupra poluării atmosferice transfrontiere pe distanțe lungi, încheiată la Geneva la 13 noiembrie 1979, adoptate la Aarhus la 24 iunie 1998 și la Gothenburg la 1 decembrie 1999 (publicată în Monitorul Oficial nr. 470/01.07.2003)</w:t>
      </w:r>
    </w:p>
    <w:p w14:paraId="6FD1604A" w14:textId="77777777" w:rsidR="00B84975" w:rsidRPr="00EA1BB2" w:rsidRDefault="00B84975" w:rsidP="00993575">
      <w:pPr>
        <w:numPr>
          <w:ilvl w:val="0"/>
          <w:numId w:val="50"/>
        </w:numPr>
        <w:spacing w:after="160" w:line="360" w:lineRule="auto"/>
        <w:contextualSpacing/>
        <w:jc w:val="both"/>
        <w:rPr>
          <w:rFonts w:ascii="Cambria" w:eastAsia="Calibri" w:hAnsi="Cambria" w:cs="Times New Roman"/>
          <w:sz w:val="24"/>
          <w:szCs w:val="24"/>
        </w:rPr>
      </w:pPr>
      <w:r w:rsidRPr="00EA1BB2">
        <w:rPr>
          <w:rFonts w:ascii="Cambria" w:eastAsia="Calibri" w:hAnsi="Cambria" w:cs="Times New Roman"/>
          <w:sz w:val="24"/>
          <w:szCs w:val="24"/>
        </w:rPr>
        <w:t>Legea nr. 652/07.12.2002 pentru aderarea României la Protocolul Convenției din 1979 asupra poluării atmosferice transfrontiere pe distanțe lungi cu privire la finanțarea pe termen lung a Programului de cooperare pentru supravegherea și evaluarea transportului pe distanțe lungi al poluanților atmosferici în Europa (EMEP), adoptat la Geneva la 28 septembrie 1984 (publicată în Monitorul Oficial nr. 911/14.12.2002)</w:t>
      </w:r>
    </w:p>
    <w:p w14:paraId="4E67F9B5" w14:textId="77777777" w:rsidR="00B84975" w:rsidRPr="00EA1BB2" w:rsidRDefault="00B84975" w:rsidP="00993575">
      <w:pPr>
        <w:numPr>
          <w:ilvl w:val="0"/>
          <w:numId w:val="50"/>
        </w:numPr>
        <w:spacing w:after="160" w:line="360" w:lineRule="auto"/>
        <w:contextualSpacing/>
        <w:jc w:val="both"/>
        <w:rPr>
          <w:rFonts w:ascii="Cambria" w:eastAsia="Calibri" w:hAnsi="Cambria" w:cs="Times New Roman"/>
          <w:sz w:val="24"/>
          <w:szCs w:val="24"/>
        </w:rPr>
      </w:pPr>
      <w:r w:rsidRPr="00EA1BB2">
        <w:rPr>
          <w:rFonts w:ascii="Cambria" w:eastAsia="Calibri" w:hAnsi="Cambria" w:cs="Times New Roman"/>
          <w:sz w:val="24"/>
          <w:szCs w:val="24"/>
        </w:rPr>
        <w:t>Legea nr. 8/25.01.1991 pentru ratificarea Convenției asupra poluării atmosferice transfrontiere pe distanțe lungi, încheiată la Geneva la 13 noiembrie 1979 (publicată în Monitorul Oficial nr. 18/26.01.1991)</w:t>
      </w:r>
    </w:p>
    <w:p w14:paraId="05E3744B" w14:textId="77777777" w:rsidR="00B84975" w:rsidRPr="00EA1BB2" w:rsidRDefault="00B84975" w:rsidP="00B84975">
      <w:pPr>
        <w:spacing w:line="360" w:lineRule="auto"/>
        <w:jc w:val="both"/>
        <w:rPr>
          <w:rFonts w:ascii="Cambria" w:eastAsia="Calibri" w:hAnsi="Cambria" w:cs="Times New Roman"/>
          <w:sz w:val="24"/>
          <w:szCs w:val="24"/>
        </w:rPr>
      </w:pPr>
    </w:p>
    <w:p w14:paraId="01F10511" w14:textId="77777777" w:rsidR="00B84975" w:rsidRPr="00EA1BB2" w:rsidRDefault="00B84975" w:rsidP="00B84975">
      <w:pPr>
        <w:spacing w:line="360" w:lineRule="auto"/>
        <w:ind w:firstLine="720"/>
        <w:jc w:val="both"/>
        <w:rPr>
          <w:rFonts w:ascii="Cambria" w:eastAsia="Calibri" w:hAnsi="Cambria" w:cs="Times New Roman"/>
          <w:i/>
          <w:sz w:val="24"/>
          <w:szCs w:val="24"/>
          <w:u w:val="single"/>
        </w:rPr>
      </w:pPr>
      <w:r w:rsidRPr="00EA1BB2">
        <w:rPr>
          <w:rFonts w:ascii="Cambria" w:eastAsia="Calibri" w:hAnsi="Cambria" w:cs="Times New Roman"/>
          <w:i/>
          <w:sz w:val="24"/>
          <w:szCs w:val="24"/>
          <w:u w:val="single"/>
        </w:rPr>
        <w:t>Plafoane naționale de emisii</w:t>
      </w:r>
    </w:p>
    <w:p w14:paraId="165C09E9" w14:textId="77777777" w:rsidR="00B84975" w:rsidRPr="00EA1BB2" w:rsidRDefault="00B84975" w:rsidP="00993575">
      <w:pPr>
        <w:numPr>
          <w:ilvl w:val="0"/>
          <w:numId w:val="49"/>
        </w:numPr>
        <w:spacing w:after="160" w:line="360" w:lineRule="auto"/>
        <w:contextualSpacing/>
        <w:jc w:val="both"/>
        <w:rPr>
          <w:rFonts w:ascii="Cambria" w:eastAsia="Calibri" w:hAnsi="Cambria" w:cs="Times New Roman"/>
          <w:sz w:val="24"/>
          <w:szCs w:val="24"/>
        </w:rPr>
      </w:pPr>
      <w:r w:rsidRPr="00EA1BB2">
        <w:rPr>
          <w:rFonts w:ascii="Cambria" w:eastAsia="Calibri" w:hAnsi="Cambria" w:cs="Times New Roman"/>
          <w:sz w:val="24"/>
          <w:szCs w:val="24"/>
        </w:rPr>
        <w:t>Hotărârea Guvernului nr. 1879/21.12.2006 pentru aprobarea Programului național de reducere progresivă a emisiilor de dioxid de sulf, oxizi de azot, compuși organici volatili și amoniac (publicată în Monitorul Oficial nr. 27/16.01.2007).</w:t>
      </w:r>
    </w:p>
    <w:p w14:paraId="63F4F3FB" w14:textId="77777777" w:rsidR="00B84975" w:rsidRPr="00EA1BB2" w:rsidRDefault="00B84975" w:rsidP="00993575">
      <w:pPr>
        <w:numPr>
          <w:ilvl w:val="0"/>
          <w:numId w:val="49"/>
        </w:numPr>
        <w:spacing w:after="160" w:line="360" w:lineRule="auto"/>
        <w:contextualSpacing/>
        <w:jc w:val="both"/>
        <w:rPr>
          <w:rFonts w:ascii="Cambria" w:eastAsia="Calibri" w:hAnsi="Cambria" w:cs="Times New Roman"/>
          <w:sz w:val="24"/>
          <w:szCs w:val="24"/>
        </w:rPr>
      </w:pPr>
      <w:r w:rsidRPr="00EA1BB2">
        <w:rPr>
          <w:rFonts w:ascii="Cambria" w:eastAsia="Calibri" w:hAnsi="Cambria" w:cs="Times New Roman"/>
          <w:sz w:val="24"/>
          <w:szCs w:val="24"/>
        </w:rPr>
        <w:t>Hotărârea Guvernului nr. 1856/22.12.2005 privind plafoanele naționale pentru anumiți poluanți atmosferici (publicată în Monitorul Oficial nr. 23/11.01.2006).</w:t>
      </w:r>
    </w:p>
    <w:p w14:paraId="4740C7D7" w14:textId="77777777" w:rsidR="00B84975" w:rsidRPr="00EA1BB2" w:rsidRDefault="00B84975" w:rsidP="00B84975">
      <w:pPr>
        <w:spacing w:line="360" w:lineRule="auto"/>
        <w:jc w:val="both"/>
        <w:rPr>
          <w:rFonts w:ascii="Cambria" w:eastAsia="Calibri" w:hAnsi="Cambria" w:cs="Times New Roman"/>
          <w:sz w:val="24"/>
          <w:szCs w:val="24"/>
        </w:rPr>
      </w:pPr>
    </w:p>
    <w:p w14:paraId="1B3F4CEA" w14:textId="77777777" w:rsidR="00B84975" w:rsidRPr="00EA1BB2" w:rsidRDefault="00B84975" w:rsidP="00B84975">
      <w:pPr>
        <w:spacing w:line="360" w:lineRule="auto"/>
        <w:ind w:firstLine="720"/>
        <w:jc w:val="both"/>
        <w:rPr>
          <w:rFonts w:ascii="Cambria" w:eastAsia="Calibri" w:hAnsi="Cambria" w:cs="Times New Roman"/>
          <w:i/>
          <w:sz w:val="24"/>
          <w:szCs w:val="24"/>
          <w:u w:val="single"/>
        </w:rPr>
      </w:pPr>
      <w:r w:rsidRPr="00EA1BB2">
        <w:rPr>
          <w:rFonts w:ascii="Cambria" w:eastAsia="Calibri" w:hAnsi="Cambria" w:cs="Times New Roman"/>
          <w:i/>
          <w:sz w:val="24"/>
          <w:szCs w:val="24"/>
          <w:u w:val="single"/>
        </w:rPr>
        <w:t>Instalații mari de ardere – IMA</w:t>
      </w:r>
    </w:p>
    <w:p w14:paraId="66765D42" w14:textId="77777777" w:rsidR="00B84975" w:rsidRPr="00EA1BB2" w:rsidRDefault="00B84975" w:rsidP="00993575">
      <w:pPr>
        <w:numPr>
          <w:ilvl w:val="0"/>
          <w:numId w:val="48"/>
        </w:numPr>
        <w:spacing w:after="160" w:line="360" w:lineRule="auto"/>
        <w:contextualSpacing/>
        <w:jc w:val="both"/>
        <w:rPr>
          <w:rFonts w:ascii="Cambria" w:eastAsia="Calibri" w:hAnsi="Cambria" w:cs="Times New Roman"/>
          <w:sz w:val="24"/>
          <w:szCs w:val="24"/>
        </w:rPr>
      </w:pPr>
      <w:r w:rsidRPr="00EA1BB2">
        <w:rPr>
          <w:rFonts w:ascii="Cambria" w:eastAsia="Calibri" w:hAnsi="Cambria" w:cs="Times New Roman"/>
          <w:sz w:val="24"/>
          <w:szCs w:val="24"/>
        </w:rPr>
        <w:t xml:space="preserve">Ordinul MMGA, al MEC și al MAI nr. 833/ 545/ 859/2005 pentru aprobarea Programului național de reducere a emisiilor de dioxid de sulf, oxizi de azot și </w:t>
      </w:r>
      <w:r w:rsidRPr="00EA1BB2">
        <w:rPr>
          <w:rFonts w:ascii="Cambria" w:eastAsia="Calibri" w:hAnsi="Cambria" w:cs="Times New Roman"/>
          <w:sz w:val="24"/>
          <w:szCs w:val="24"/>
        </w:rPr>
        <w:lastRenderedPageBreak/>
        <w:t>pulberi provenite din instalații mari de ardere (publicat în Monitorul Oficial al României, Partea I, nr. 888 din 4 octombrie 2005)</w:t>
      </w:r>
    </w:p>
    <w:p w14:paraId="65E4AC47" w14:textId="77777777" w:rsidR="00B84975" w:rsidRPr="00EA1BB2" w:rsidRDefault="00B84975" w:rsidP="00993575">
      <w:pPr>
        <w:numPr>
          <w:ilvl w:val="0"/>
          <w:numId w:val="48"/>
        </w:numPr>
        <w:spacing w:after="160" w:line="360" w:lineRule="auto"/>
        <w:contextualSpacing/>
        <w:jc w:val="both"/>
        <w:rPr>
          <w:rFonts w:ascii="Cambria" w:eastAsia="Calibri" w:hAnsi="Cambria" w:cs="Times New Roman"/>
          <w:sz w:val="24"/>
          <w:szCs w:val="24"/>
        </w:rPr>
      </w:pPr>
      <w:r w:rsidRPr="00EA1BB2">
        <w:rPr>
          <w:rFonts w:ascii="Cambria" w:eastAsia="Calibri" w:hAnsi="Cambria" w:cs="Times New Roman"/>
          <w:sz w:val="24"/>
          <w:szCs w:val="24"/>
        </w:rPr>
        <w:t>Anexe la Ordinul 833/2005 pentru aprobarea Programului național de reducere a emisiilor</w:t>
      </w:r>
    </w:p>
    <w:p w14:paraId="10B210F0" w14:textId="77777777" w:rsidR="00B84975" w:rsidRPr="00EA1BB2" w:rsidRDefault="00B84975" w:rsidP="00993575">
      <w:pPr>
        <w:numPr>
          <w:ilvl w:val="0"/>
          <w:numId w:val="48"/>
        </w:numPr>
        <w:spacing w:after="160" w:line="360" w:lineRule="auto"/>
        <w:contextualSpacing/>
        <w:jc w:val="both"/>
        <w:rPr>
          <w:rFonts w:ascii="Cambria" w:eastAsia="Calibri" w:hAnsi="Cambria" w:cs="Times New Roman"/>
          <w:sz w:val="24"/>
          <w:szCs w:val="24"/>
        </w:rPr>
      </w:pPr>
      <w:r w:rsidRPr="00EA1BB2">
        <w:rPr>
          <w:rFonts w:ascii="Cambria" w:eastAsia="Calibri" w:hAnsi="Cambria" w:cs="Times New Roman"/>
          <w:sz w:val="24"/>
          <w:szCs w:val="24"/>
        </w:rPr>
        <w:t>Ordinul MAPAM, al MEC și al MAI nr. 712/ 199/2003/ 126/2004 pentru aprobarea Ghidului privind elaborarea propunerilor de programe de reducere progresivă a emisiilor anuale de dioxid de sulf, oxizi de azot și pulberi provenite din instalații mari de ardere (publicat în Monitorul Oficial al României, Partea I, nr. 145 din 18 februarie 2004)</w:t>
      </w:r>
    </w:p>
    <w:p w14:paraId="1A40854E" w14:textId="77777777" w:rsidR="00B84975" w:rsidRPr="00EA1BB2" w:rsidRDefault="00B84975" w:rsidP="00993575">
      <w:pPr>
        <w:numPr>
          <w:ilvl w:val="0"/>
          <w:numId w:val="48"/>
        </w:numPr>
        <w:spacing w:after="160" w:line="360" w:lineRule="auto"/>
        <w:contextualSpacing/>
        <w:jc w:val="both"/>
        <w:rPr>
          <w:rFonts w:ascii="Cambria" w:eastAsia="Calibri" w:hAnsi="Cambria" w:cs="Times New Roman"/>
          <w:sz w:val="24"/>
          <w:szCs w:val="24"/>
        </w:rPr>
      </w:pPr>
      <w:r w:rsidRPr="00EA1BB2">
        <w:rPr>
          <w:rFonts w:ascii="Cambria" w:eastAsia="Calibri" w:hAnsi="Cambria" w:cs="Times New Roman"/>
          <w:sz w:val="24"/>
          <w:szCs w:val="24"/>
        </w:rPr>
        <w:t>Ordinul MAPAM nr. 1052/2003 privind organizarea și funcționarea Secretariatului tehnic pentru controlul activităților instalațiilor mari de ardere (publicat în Monitorul Oficial al României, Partea I, nr. 32 din 15 ianuarie 2004)</w:t>
      </w:r>
    </w:p>
    <w:p w14:paraId="3846CB11" w14:textId="77777777" w:rsidR="00B84975" w:rsidRPr="00EA1BB2" w:rsidRDefault="00B84975" w:rsidP="00993575">
      <w:pPr>
        <w:numPr>
          <w:ilvl w:val="0"/>
          <w:numId w:val="48"/>
        </w:numPr>
        <w:spacing w:after="160" w:line="360" w:lineRule="auto"/>
        <w:contextualSpacing/>
        <w:jc w:val="both"/>
        <w:rPr>
          <w:rFonts w:ascii="Cambria" w:eastAsia="Calibri" w:hAnsi="Cambria" w:cs="Times New Roman"/>
          <w:sz w:val="24"/>
          <w:szCs w:val="24"/>
        </w:rPr>
      </w:pPr>
      <w:r w:rsidRPr="00EA1BB2">
        <w:rPr>
          <w:rFonts w:ascii="Cambria" w:eastAsia="Calibri" w:hAnsi="Cambria" w:cs="Times New Roman"/>
          <w:sz w:val="24"/>
          <w:szCs w:val="24"/>
        </w:rPr>
        <w:t>Ghidul pentru monitorizarea și automonitorizarea emisiilor de dioxid de sulf, oxizi de azot și pulberi, provenite de la instalațiile mari de ardere</w:t>
      </w:r>
    </w:p>
    <w:p w14:paraId="0EE91AD4" w14:textId="77777777" w:rsidR="00B84975" w:rsidRPr="00EA1BB2" w:rsidRDefault="00B84975" w:rsidP="00B84975">
      <w:pPr>
        <w:spacing w:line="360" w:lineRule="auto"/>
        <w:jc w:val="both"/>
        <w:rPr>
          <w:rFonts w:ascii="Cambria" w:eastAsia="Calibri" w:hAnsi="Cambria" w:cs="Times New Roman"/>
          <w:sz w:val="24"/>
          <w:szCs w:val="24"/>
        </w:rPr>
      </w:pPr>
    </w:p>
    <w:p w14:paraId="1FB6EDB7" w14:textId="77777777" w:rsidR="00B84975" w:rsidRPr="00EA1BB2" w:rsidRDefault="00B84975" w:rsidP="00B84975">
      <w:pPr>
        <w:spacing w:line="360" w:lineRule="auto"/>
        <w:ind w:firstLine="720"/>
        <w:jc w:val="both"/>
        <w:rPr>
          <w:rFonts w:ascii="Cambria" w:eastAsia="Calibri" w:hAnsi="Cambria" w:cs="Times New Roman"/>
          <w:i/>
          <w:sz w:val="24"/>
          <w:szCs w:val="24"/>
          <w:u w:val="single"/>
        </w:rPr>
      </w:pPr>
      <w:r w:rsidRPr="00EA1BB2">
        <w:rPr>
          <w:rFonts w:ascii="Cambria" w:eastAsia="Calibri" w:hAnsi="Cambria" w:cs="Times New Roman"/>
          <w:i/>
          <w:sz w:val="24"/>
          <w:szCs w:val="24"/>
          <w:u w:val="single"/>
        </w:rPr>
        <w:t>E-PRTR</w:t>
      </w:r>
    </w:p>
    <w:p w14:paraId="47CA4FE2" w14:textId="77777777" w:rsidR="00B84975" w:rsidRPr="00EA1BB2" w:rsidRDefault="00B84975" w:rsidP="00993575">
      <w:pPr>
        <w:numPr>
          <w:ilvl w:val="0"/>
          <w:numId w:val="52"/>
        </w:numPr>
        <w:spacing w:after="160" w:line="360" w:lineRule="auto"/>
        <w:contextualSpacing/>
        <w:jc w:val="both"/>
        <w:rPr>
          <w:rFonts w:ascii="Cambria" w:eastAsia="Calibri" w:hAnsi="Cambria" w:cs="Times New Roman"/>
          <w:sz w:val="24"/>
          <w:szCs w:val="24"/>
        </w:rPr>
      </w:pPr>
      <w:r w:rsidRPr="00EA1BB2">
        <w:rPr>
          <w:rFonts w:ascii="Cambria" w:eastAsia="Calibri" w:hAnsi="Cambria" w:cs="Times New Roman"/>
          <w:sz w:val="24"/>
          <w:szCs w:val="24"/>
        </w:rPr>
        <w:t>Hotărârea Guvernului nr. 140/2008 privind stabilirea unor măsuri pentru aplicarea prevederilor Regulamentului (CE) al Parlamentului European și al Consiliului nr. 166/2006 privind înființarea Registrului European al Poluanților Emiși și Transferați și modificarea directivelor Consiliului 91/689/CEE și 96/61/CE</w:t>
      </w:r>
    </w:p>
    <w:p w14:paraId="3767791A" w14:textId="77777777" w:rsidR="00B84975" w:rsidRPr="00EA1BB2" w:rsidRDefault="00B84975" w:rsidP="00B84975">
      <w:pPr>
        <w:spacing w:line="360" w:lineRule="auto"/>
        <w:jc w:val="both"/>
        <w:rPr>
          <w:rFonts w:ascii="Cambria" w:eastAsia="Calibri" w:hAnsi="Cambria" w:cs="Times New Roman"/>
          <w:b/>
          <w:sz w:val="24"/>
          <w:szCs w:val="24"/>
        </w:rPr>
      </w:pPr>
    </w:p>
    <w:p w14:paraId="179DB8C8" w14:textId="77777777" w:rsidR="00B84975" w:rsidRPr="00EA1BB2" w:rsidRDefault="00B84975" w:rsidP="00B84975">
      <w:pPr>
        <w:spacing w:line="360" w:lineRule="auto"/>
        <w:ind w:firstLine="709"/>
        <w:jc w:val="both"/>
        <w:rPr>
          <w:rFonts w:ascii="Cambria" w:eastAsia="Calibri" w:hAnsi="Cambria" w:cs="Times New Roman"/>
          <w:b/>
          <w:sz w:val="24"/>
          <w:szCs w:val="24"/>
        </w:rPr>
      </w:pPr>
      <w:r w:rsidRPr="00EA1BB2">
        <w:rPr>
          <w:rFonts w:ascii="Cambria" w:eastAsia="Calibri" w:hAnsi="Cambria" w:cs="Times New Roman"/>
          <w:b/>
          <w:sz w:val="24"/>
          <w:szCs w:val="24"/>
        </w:rPr>
        <w:t>Planuri și programe la nivel național</w:t>
      </w:r>
    </w:p>
    <w:p w14:paraId="18C69E6F" w14:textId="77777777" w:rsidR="00B84975" w:rsidRPr="00EA1BB2" w:rsidRDefault="00B84975" w:rsidP="00B84975">
      <w:pPr>
        <w:spacing w:line="360" w:lineRule="auto"/>
        <w:ind w:firstLine="709"/>
        <w:jc w:val="both"/>
        <w:rPr>
          <w:rFonts w:ascii="Cambria" w:eastAsia="Calibri" w:hAnsi="Cambria" w:cs="Times New Roman"/>
          <w:sz w:val="24"/>
          <w:szCs w:val="24"/>
        </w:rPr>
      </w:pPr>
      <w:r w:rsidRPr="00EA1BB2">
        <w:rPr>
          <w:rFonts w:ascii="Cambria" w:eastAsia="Calibri" w:hAnsi="Cambria" w:cs="Times New Roman"/>
          <w:sz w:val="24"/>
          <w:szCs w:val="24"/>
        </w:rPr>
        <w:t>Planificarea strategică de mediu este un proces permanent care stabilește direcția și obiectivele necesare corelării dezvoltării economice cu aspectele de protecție a mediului. Etapele elaborării și realizării unui plan strategic formează un ciclu continuu, prin intermediul sistemului de monitorizare, evaluare și actualizare pe baza mecanismului parteneriatului strategic. La baza acestuia se află colaborarea între instituții, agenți economici, organizații neguvernamentale, comunitate locală, toate având un interes comun în ceea ce privește rezolvarea problemelor de mediu.</w:t>
      </w:r>
    </w:p>
    <w:p w14:paraId="6EF0576F" w14:textId="72B268C2" w:rsidR="008C6FE1" w:rsidRPr="00EA1BB2" w:rsidRDefault="00B84975" w:rsidP="00E93869">
      <w:pPr>
        <w:spacing w:line="360" w:lineRule="auto"/>
        <w:ind w:firstLine="709"/>
        <w:jc w:val="both"/>
        <w:rPr>
          <w:rFonts w:ascii="Cambria" w:eastAsia="Calibri" w:hAnsi="Cambria" w:cs="Times New Roman"/>
          <w:b/>
          <w:sz w:val="24"/>
          <w:szCs w:val="24"/>
        </w:rPr>
      </w:pPr>
      <w:r w:rsidRPr="00EA1BB2">
        <w:rPr>
          <w:rFonts w:ascii="Cambria" w:eastAsia="Calibri" w:hAnsi="Cambria" w:cs="Times New Roman"/>
          <w:sz w:val="24"/>
          <w:szCs w:val="24"/>
        </w:rPr>
        <w:t>Strategiile naționale, planurile naționale, regionale și locale de acțiune în domeniul protecției mediului au fost elaborate și sunt actualizate pentru a asigura o viziune coerentă asupra politicii de mediu din România și asupra modului în care aceasta poate fi reflectată în practică.</w:t>
      </w:r>
    </w:p>
    <w:p w14:paraId="155726FA" w14:textId="77777777" w:rsidR="00B84975" w:rsidRPr="00EA1BB2" w:rsidRDefault="00B84975" w:rsidP="00B84975">
      <w:pPr>
        <w:spacing w:line="360" w:lineRule="auto"/>
        <w:ind w:firstLine="709"/>
        <w:jc w:val="both"/>
        <w:rPr>
          <w:rFonts w:ascii="Cambria" w:eastAsia="Calibri" w:hAnsi="Cambria" w:cs="Times New Roman"/>
          <w:i/>
          <w:sz w:val="24"/>
          <w:szCs w:val="24"/>
          <w:u w:val="single"/>
        </w:rPr>
      </w:pPr>
      <w:r w:rsidRPr="00EA1BB2">
        <w:rPr>
          <w:rFonts w:ascii="Cambria" w:eastAsia="Calibri" w:hAnsi="Cambria" w:cs="Times New Roman"/>
          <w:i/>
          <w:sz w:val="24"/>
          <w:szCs w:val="24"/>
          <w:u w:val="single"/>
        </w:rPr>
        <w:lastRenderedPageBreak/>
        <w:t>Planul Național de Acțiune pentru Protecția Mediului (PNAPM)</w:t>
      </w:r>
    </w:p>
    <w:p w14:paraId="4B7EFCCB" w14:textId="77777777" w:rsidR="00B84975" w:rsidRPr="00EA1BB2" w:rsidRDefault="00B84975" w:rsidP="00B84975">
      <w:pPr>
        <w:spacing w:line="360" w:lineRule="auto"/>
        <w:ind w:firstLine="709"/>
        <w:jc w:val="both"/>
        <w:rPr>
          <w:rFonts w:ascii="Cambria" w:eastAsia="Calibri" w:hAnsi="Cambria" w:cs="Times New Roman"/>
          <w:sz w:val="24"/>
          <w:szCs w:val="24"/>
        </w:rPr>
      </w:pPr>
      <w:r w:rsidRPr="00EA1BB2">
        <w:rPr>
          <w:rFonts w:ascii="Cambria" w:eastAsia="Calibri" w:hAnsi="Cambria" w:cs="Times New Roman"/>
          <w:sz w:val="24"/>
          <w:szCs w:val="24"/>
        </w:rPr>
        <w:t xml:space="preserve">Planul Național de Acțiune pentru Protecția Mediului reprezintă un instrument de implementare a politicilor din domeniul mediului, prin care se promovează susținerea și urmărirea realizării celor mai importante proiecte cu impact semnificativ asupra mediului în vederea aplicării și respectării legislației în vigoare. </w:t>
      </w:r>
    </w:p>
    <w:p w14:paraId="61B4C585" w14:textId="77777777" w:rsidR="00B84975" w:rsidRPr="00EA1BB2" w:rsidRDefault="00B84975" w:rsidP="00B84975">
      <w:pPr>
        <w:spacing w:line="360" w:lineRule="auto"/>
        <w:ind w:firstLine="709"/>
        <w:jc w:val="both"/>
        <w:rPr>
          <w:rFonts w:ascii="Cambria" w:eastAsia="Calibri" w:hAnsi="Cambria" w:cs="Times New Roman"/>
          <w:sz w:val="24"/>
          <w:szCs w:val="24"/>
        </w:rPr>
      </w:pPr>
      <w:r w:rsidRPr="00EA1BB2">
        <w:rPr>
          <w:rFonts w:ascii="Cambria" w:eastAsia="Calibri" w:hAnsi="Cambria" w:cs="Times New Roman"/>
          <w:sz w:val="24"/>
          <w:szCs w:val="24"/>
        </w:rPr>
        <w:t xml:space="preserve">Conferința Ministerială de la Lucerna, Elveția, din aprilie 1993, a avut un rol hotărâtor pentru implementarea conceptului de dezvoltare durabilă și luarea noilor decizii în politica de protecție a mediului. </w:t>
      </w:r>
    </w:p>
    <w:p w14:paraId="6F0A6DFC" w14:textId="77777777" w:rsidR="00B84975" w:rsidRPr="00EA1BB2" w:rsidRDefault="00B84975" w:rsidP="00B84975">
      <w:pPr>
        <w:spacing w:line="360" w:lineRule="auto"/>
        <w:ind w:firstLine="709"/>
        <w:jc w:val="both"/>
        <w:rPr>
          <w:rFonts w:ascii="Cambria" w:eastAsia="Calibri" w:hAnsi="Cambria" w:cs="Times New Roman"/>
          <w:sz w:val="24"/>
          <w:szCs w:val="24"/>
        </w:rPr>
      </w:pPr>
      <w:r w:rsidRPr="00EA1BB2">
        <w:rPr>
          <w:rFonts w:ascii="Cambria" w:eastAsia="Calibri" w:hAnsi="Cambria" w:cs="Times New Roman"/>
          <w:sz w:val="24"/>
          <w:szCs w:val="24"/>
        </w:rPr>
        <w:t>Pentru România, transpunerea obiectivelor dezvoltării durabile a implicat un proces complex de evaluare prealabilă a legislației adoptate până în prezent și de stabilire a unui calendar legislativ, luând în considerare atât obligativitatea adoptării acquis-ului comunitar, respectarea convențiilor și acordurilor privind protecția mediului, posibilitățile financiare ale României, cât și necesitatea restabilirii unor coordonate între perspectivele creșterii economice și calitatea vieții.</w:t>
      </w:r>
    </w:p>
    <w:p w14:paraId="7E2A413F" w14:textId="77777777" w:rsidR="00B84975" w:rsidRPr="00EA1BB2" w:rsidRDefault="00B84975" w:rsidP="00B84975">
      <w:pPr>
        <w:spacing w:line="360" w:lineRule="auto"/>
        <w:ind w:firstLine="709"/>
        <w:jc w:val="both"/>
        <w:rPr>
          <w:rFonts w:ascii="Cambria" w:eastAsia="Calibri" w:hAnsi="Cambria" w:cs="Times New Roman"/>
          <w:sz w:val="24"/>
          <w:szCs w:val="24"/>
        </w:rPr>
      </w:pPr>
      <w:r w:rsidRPr="00EA1BB2">
        <w:rPr>
          <w:rFonts w:ascii="Cambria" w:eastAsia="Calibri" w:hAnsi="Cambria" w:cs="Times New Roman"/>
          <w:sz w:val="24"/>
          <w:szCs w:val="24"/>
        </w:rPr>
        <w:t>Există, de asemenea, o corelare pe plan vertical între planificarea regională, pe de o parte și cea națională și locală, pe de altă parte. Prioritățile și obiectivele unui PRAM trebuie să fie armonizate cu prioritățile și obiectivele naționale.</w:t>
      </w:r>
    </w:p>
    <w:p w14:paraId="361612E3" w14:textId="77777777" w:rsidR="00B84975" w:rsidRPr="00EA1BB2" w:rsidRDefault="00B84975" w:rsidP="00B84975">
      <w:pPr>
        <w:spacing w:line="360" w:lineRule="auto"/>
        <w:ind w:firstLine="709"/>
        <w:jc w:val="both"/>
        <w:rPr>
          <w:rFonts w:ascii="Cambria" w:eastAsia="Calibri" w:hAnsi="Cambria" w:cs="Times New Roman"/>
          <w:sz w:val="24"/>
          <w:szCs w:val="24"/>
        </w:rPr>
      </w:pPr>
      <w:r w:rsidRPr="00EA1BB2">
        <w:rPr>
          <w:rFonts w:ascii="Cambria" w:eastAsia="Calibri" w:hAnsi="Cambria" w:cs="Times New Roman"/>
          <w:sz w:val="24"/>
          <w:szCs w:val="24"/>
        </w:rPr>
        <w:t>Planul Regional de Acțiune pentru Mediu reprezintă un instrument sectorial care trebuie să creeze suportul dezvoltării durabile unei regiuni, fiind parte integrantă a unui proces larg de stabilire a unui consens privind abordarea problemelor de mediu și a modului de soluționare a acestora.</w:t>
      </w:r>
    </w:p>
    <w:p w14:paraId="07DF51D4" w14:textId="77777777" w:rsidR="00B84975" w:rsidRPr="00EA1BB2" w:rsidRDefault="00B84975" w:rsidP="00B84975">
      <w:pPr>
        <w:spacing w:line="360" w:lineRule="auto"/>
        <w:ind w:firstLine="709"/>
        <w:jc w:val="both"/>
        <w:rPr>
          <w:rFonts w:ascii="Cambria" w:eastAsia="Calibri" w:hAnsi="Cambria" w:cs="Times New Roman"/>
          <w:sz w:val="24"/>
          <w:szCs w:val="24"/>
        </w:rPr>
      </w:pPr>
      <w:r w:rsidRPr="00EA1BB2">
        <w:rPr>
          <w:rFonts w:ascii="Cambria" w:eastAsia="Calibri" w:hAnsi="Cambria" w:cs="Times New Roman"/>
          <w:sz w:val="24"/>
          <w:szCs w:val="24"/>
        </w:rPr>
        <w:t>Planul Local de Acțiune pentru Protecția Mediului reprezintă strategia pe termen scurt, mediu și lung pentru soluționarea problemelor de mediu în cadrul unui județ prin abordarea principiilor dezvoltării durabile și în deplină concordanță cu planurile, strategiile și alte documente legislative specifice, existente la nivel local, regional și național.</w:t>
      </w:r>
    </w:p>
    <w:p w14:paraId="1D52F0CF" w14:textId="77777777" w:rsidR="00B84975" w:rsidRPr="00EA1BB2" w:rsidRDefault="00B84975" w:rsidP="00B84975">
      <w:pPr>
        <w:spacing w:line="360" w:lineRule="auto"/>
        <w:ind w:firstLine="709"/>
        <w:jc w:val="both"/>
        <w:rPr>
          <w:rFonts w:ascii="Cambria" w:eastAsia="Calibri" w:hAnsi="Cambria" w:cs="Times New Roman"/>
          <w:sz w:val="24"/>
          <w:szCs w:val="24"/>
        </w:rPr>
      </w:pPr>
      <w:r w:rsidRPr="00EA1BB2">
        <w:rPr>
          <w:rFonts w:ascii="Cambria" w:eastAsia="Calibri" w:hAnsi="Cambria" w:cs="Times New Roman"/>
          <w:sz w:val="24"/>
          <w:szCs w:val="24"/>
        </w:rPr>
        <w:t>Planurile de acțiune pentru mediu la nivel local și regional (PRAM/PLAM) au fost elaborate în România începând cu anul 1998. Situația lor a evoluat în timp, în contextul conformării României exigențelor europene și gestionării fondurilor structurale și de coeziune alocate pentru domeniul protecției mediului.</w:t>
      </w:r>
    </w:p>
    <w:p w14:paraId="11ECF0EC" w14:textId="77777777" w:rsidR="00B84975" w:rsidRPr="00EA1BB2" w:rsidRDefault="00B84975" w:rsidP="00B84975">
      <w:pPr>
        <w:spacing w:line="360" w:lineRule="auto"/>
        <w:ind w:firstLine="709"/>
        <w:jc w:val="both"/>
        <w:rPr>
          <w:rFonts w:ascii="Cambria" w:eastAsia="Calibri" w:hAnsi="Cambria" w:cs="Times New Roman"/>
          <w:sz w:val="24"/>
          <w:szCs w:val="24"/>
        </w:rPr>
      </w:pPr>
      <w:r w:rsidRPr="00EA1BB2">
        <w:rPr>
          <w:rFonts w:ascii="Cambria" w:eastAsia="Calibri" w:hAnsi="Cambria" w:cs="Times New Roman"/>
          <w:sz w:val="24"/>
          <w:szCs w:val="24"/>
        </w:rPr>
        <w:t>Până în prezent au fost elaborate și actualizate planurile de acțiune pentru mediu în toate cele 8 Regiuni de Dezvoltare ale României la nivel județean și regional de către toate agențiile pentru protecția mediului.</w:t>
      </w:r>
    </w:p>
    <w:p w14:paraId="49E3384B" w14:textId="77777777" w:rsidR="00B84975" w:rsidRPr="00EA1BB2" w:rsidRDefault="00B84975" w:rsidP="00B84975">
      <w:pPr>
        <w:spacing w:line="360" w:lineRule="auto"/>
        <w:ind w:firstLine="720"/>
        <w:jc w:val="both"/>
        <w:rPr>
          <w:rFonts w:ascii="Cambria" w:eastAsia="Calibri" w:hAnsi="Cambria" w:cs="Times New Roman"/>
          <w:sz w:val="24"/>
          <w:szCs w:val="24"/>
        </w:rPr>
      </w:pPr>
      <w:r w:rsidRPr="00EA1BB2">
        <w:rPr>
          <w:rFonts w:ascii="Cambria" w:eastAsia="Calibri" w:hAnsi="Cambria" w:cs="Times New Roman"/>
          <w:sz w:val="24"/>
          <w:szCs w:val="24"/>
        </w:rPr>
        <w:lastRenderedPageBreak/>
        <w:t>La nivelul întregii țări, situația în anul 2008 a monitorizării acțiunilor pentru îndeplinirea obiectivelor propuse în planurile de acțiune pentru mediu pentru cele 8 Regiuni de Dezvoltare se prezintă astfel</w:t>
      </w:r>
      <w:r w:rsidRPr="00EA1BB2">
        <w:rPr>
          <w:rFonts w:ascii="Cambria" w:eastAsia="Calibri" w:hAnsi="Cambria" w:cs="Times New Roman"/>
          <w:sz w:val="24"/>
          <w:szCs w:val="24"/>
          <w:vertAlign w:val="superscript"/>
        </w:rPr>
        <w:footnoteReference w:id="25"/>
      </w:r>
      <w:r w:rsidRPr="00EA1BB2">
        <w:rPr>
          <w:rFonts w:ascii="Cambria" w:eastAsia="Calibri" w:hAnsi="Cambria" w:cs="Times New Roman"/>
          <w:sz w:val="24"/>
          <w:szCs w:val="24"/>
        </w:rPr>
        <w:t>: dintr-un total de 13.240 acțiuni de mediu: realizate – 4.417 (33,4%); realizate în avans – 265 (2,0%); în curs de realizare – 4.088 (30,9%); nerealizate – 3.996 (30,1%); amânate – 248 (1,9%); anulate – 226 (1,7%).</w:t>
      </w:r>
    </w:p>
    <w:p w14:paraId="2CF375AE" w14:textId="77777777" w:rsidR="00B84975" w:rsidRPr="00EA1BB2" w:rsidRDefault="00B84975" w:rsidP="00B84975">
      <w:pPr>
        <w:keepNext/>
        <w:spacing w:line="360" w:lineRule="auto"/>
        <w:ind w:firstLine="720"/>
        <w:jc w:val="both"/>
        <w:rPr>
          <w:rFonts w:ascii="Cambria" w:eastAsia="Calibri" w:hAnsi="Cambria" w:cs="Times New Roman"/>
          <w:b/>
          <w:iCs/>
          <w:sz w:val="24"/>
          <w:szCs w:val="18"/>
        </w:rPr>
      </w:pPr>
      <w:bookmarkStart w:id="231" w:name="_Toc490395159"/>
    </w:p>
    <w:p w14:paraId="12F66549" w14:textId="03F66046" w:rsidR="00B84975" w:rsidRPr="00EA1BB2" w:rsidRDefault="00B84975" w:rsidP="00B84975">
      <w:pPr>
        <w:keepNext/>
        <w:spacing w:line="360" w:lineRule="auto"/>
        <w:ind w:firstLine="720"/>
        <w:jc w:val="both"/>
        <w:rPr>
          <w:rFonts w:ascii="Cambria" w:eastAsia="Calibri" w:hAnsi="Cambria" w:cs="Times New Roman"/>
          <w:b/>
          <w:iCs/>
          <w:sz w:val="24"/>
          <w:szCs w:val="18"/>
        </w:rPr>
      </w:pPr>
      <w:bookmarkStart w:id="232" w:name="_Toc526889816"/>
      <w:r w:rsidRPr="00EA1BB2">
        <w:rPr>
          <w:rFonts w:ascii="Cambria" w:eastAsia="Calibri" w:hAnsi="Cambria" w:cs="Times New Roman"/>
          <w:b/>
          <w:iCs/>
          <w:sz w:val="24"/>
          <w:szCs w:val="18"/>
        </w:rPr>
        <w:t xml:space="preserve">Tabelul nr. </w:t>
      </w:r>
      <w:r w:rsidR="000A2FE7" w:rsidRPr="00EA1BB2">
        <w:rPr>
          <w:rFonts w:ascii="Cambria" w:eastAsia="Calibri" w:hAnsi="Cambria" w:cs="Times New Roman"/>
          <w:b/>
          <w:iCs/>
          <w:sz w:val="24"/>
          <w:szCs w:val="18"/>
        </w:rPr>
        <w:fldChar w:fldCharType="begin"/>
      </w:r>
      <w:r w:rsidR="000A2FE7" w:rsidRPr="00EA1BB2">
        <w:rPr>
          <w:rFonts w:ascii="Cambria" w:eastAsia="Calibri" w:hAnsi="Cambria" w:cs="Times New Roman"/>
          <w:b/>
          <w:iCs/>
          <w:sz w:val="24"/>
          <w:szCs w:val="18"/>
        </w:rPr>
        <w:instrText xml:space="preserve"> STYLEREF 1 \s </w:instrText>
      </w:r>
      <w:r w:rsidR="000A2FE7" w:rsidRPr="00EA1BB2">
        <w:rPr>
          <w:rFonts w:ascii="Cambria" w:eastAsia="Calibri" w:hAnsi="Cambria" w:cs="Times New Roman"/>
          <w:b/>
          <w:iCs/>
          <w:sz w:val="24"/>
          <w:szCs w:val="18"/>
        </w:rPr>
        <w:fldChar w:fldCharType="separate"/>
      </w:r>
      <w:r w:rsidR="00567555">
        <w:rPr>
          <w:rFonts w:ascii="Cambria" w:eastAsia="Calibri" w:hAnsi="Cambria" w:cs="Times New Roman"/>
          <w:b/>
          <w:iCs/>
          <w:noProof/>
          <w:sz w:val="24"/>
          <w:szCs w:val="18"/>
        </w:rPr>
        <w:t>4</w:t>
      </w:r>
      <w:r w:rsidR="000A2FE7" w:rsidRPr="00EA1BB2">
        <w:rPr>
          <w:rFonts w:ascii="Cambria" w:eastAsia="Calibri" w:hAnsi="Cambria" w:cs="Times New Roman"/>
          <w:b/>
          <w:iCs/>
          <w:sz w:val="24"/>
          <w:szCs w:val="18"/>
        </w:rPr>
        <w:fldChar w:fldCharType="end"/>
      </w:r>
      <w:r w:rsidR="000A2FE7" w:rsidRPr="00EA1BB2">
        <w:rPr>
          <w:rFonts w:ascii="Cambria" w:eastAsia="Calibri" w:hAnsi="Cambria" w:cs="Times New Roman"/>
          <w:b/>
          <w:iCs/>
          <w:sz w:val="24"/>
          <w:szCs w:val="18"/>
        </w:rPr>
        <w:noBreakHyphen/>
      </w:r>
      <w:r w:rsidR="000A2FE7" w:rsidRPr="00EA1BB2">
        <w:rPr>
          <w:rFonts w:ascii="Cambria" w:eastAsia="Calibri" w:hAnsi="Cambria" w:cs="Times New Roman"/>
          <w:b/>
          <w:iCs/>
          <w:sz w:val="24"/>
          <w:szCs w:val="18"/>
        </w:rPr>
        <w:fldChar w:fldCharType="begin"/>
      </w:r>
      <w:r w:rsidR="000A2FE7" w:rsidRPr="00EA1BB2">
        <w:rPr>
          <w:rFonts w:ascii="Cambria" w:eastAsia="Calibri" w:hAnsi="Cambria" w:cs="Times New Roman"/>
          <w:b/>
          <w:iCs/>
          <w:sz w:val="24"/>
          <w:szCs w:val="18"/>
        </w:rPr>
        <w:instrText xml:space="preserve"> SEQ Tabelul_nr. \* ARABIC \s 1 </w:instrText>
      </w:r>
      <w:r w:rsidR="000A2FE7" w:rsidRPr="00EA1BB2">
        <w:rPr>
          <w:rFonts w:ascii="Cambria" w:eastAsia="Calibri" w:hAnsi="Cambria" w:cs="Times New Roman"/>
          <w:b/>
          <w:iCs/>
          <w:sz w:val="24"/>
          <w:szCs w:val="18"/>
        </w:rPr>
        <w:fldChar w:fldCharType="separate"/>
      </w:r>
      <w:r w:rsidR="00567555">
        <w:rPr>
          <w:rFonts w:ascii="Cambria" w:eastAsia="Calibri" w:hAnsi="Cambria" w:cs="Times New Roman"/>
          <w:b/>
          <w:iCs/>
          <w:noProof/>
          <w:sz w:val="24"/>
          <w:szCs w:val="18"/>
        </w:rPr>
        <w:t>2</w:t>
      </w:r>
      <w:r w:rsidR="000A2FE7" w:rsidRPr="00EA1BB2">
        <w:rPr>
          <w:rFonts w:ascii="Cambria" w:eastAsia="Calibri" w:hAnsi="Cambria" w:cs="Times New Roman"/>
          <w:b/>
          <w:iCs/>
          <w:sz w:val="24"/>
          <w:szCs w:val="18"/>
        </w:rPr>
        <w:fldChar w:fldCharType="end"/>
      </w:r>
      <w:r w:rsidRPr="00EA1BB2">
        <w:rPr>
          <w:rFonts w:ascii="Cambria" w:eastAsia="Calibri" w:hAnsi="Cambria" w:cs="Times New Roman"/>
          <w:b/>
          <w:iCs/>
          <w:sz w:val="24"/>
          <w:szCs w:val="18"/>
        </w:rPr>
        <w:t xml:space="preserve"> Situația monitorizării acțiunilor pentru îndeplinirea obiectivelor propuse în planurile de acțiune pentru mediu – anul 2008</w:t>
      </w:r>
      <w:bookmarkEnd w:id="231"/>
      <w:bookmarkEnd w:id="232"/>
    </w:p>
    <w:tbl>
      <w:tblPr>
        <w:tblW w:w="9807"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000" w:firstRow="0" w:lastRow="0" w:firstColumn="0" w:lastColumn="0" w:noHBand="0" w:noVBand="0"/>
      </w:tblPr>
      <w:tblGrid>
        <w:gridCol w:w="1373"/>
        <w:gridCol w:w="1239"/>
        <w:gridCol w:w="1239"/>
        <w:gridCol w:w="1214"/>
        <w:gridCol w:w="1481"/>
        <w:gridCol w:w="1203"/>
        <w:gridCol w:w="1079"/>
        <w:gridCol w:w="979"/>
      </w:tblGrid>
      <w:tr w:rsidR="00B84975" w:rsidRPr="00EA1BB2" w14:paraId="07A45567" w14:textId="77777777" w:rsidTr="00B84975">
        <w:trPr>
          <w:trHeight w:val="500"/>
          <w:tblHeader/>
          <w:jc w:val="center"/>
        </w:trPr>
        <w:tc>
          <w:tcPr>
            <w:tcW w:w="0" w:type="auto"/>
            <w:tcBorders>
              <w:top w:val="single" w:sz="6" w:space="0" w:color="000000"/>
              <w:left w:val="single" w:sz="6" w:space="0" w:color="000000"/>
              <w:bottom w:val="single" w:sz="6" w:space="0" w:color="000000"/>
            </w:tcBorders>
            <w:shd w:val="clear" w:color="auto" w:fill="BDD6EE" w:themeFill="accent1" w:themeFillTint="66"/>
            <w:vAlign w:val="center"/>
          </w:tcPr>
          <w:p w14:paraId="11986987" w14:textId="77777777" w:rsidR="00B84975" w:rsidRPr="00EA1BB2" w:rsidRDefault="00B84975" w:rsidP="00B84975">
            <w:pPr>
              <w:spacing w:before="20" w:after="20"/>
              <w:jc w:val="center"/>
              <w:rPr>
                <w:rFonts w:ascii="Cambria" w:eastAsia="Times New Roman" w:hAnsi="Cambria" w:cs="Arial"/>
                <w:b/>
                <w:sz w:val="24"/>
                <w:szCs w:val="24"/>
                <w:lang w:eastAsia="ro-RO"/>
              </w:rPr>
            </w:pPr>
            <w:r w:rsidRPr="00EA1BB2">
              <w:rPr>
                <w:rFonts w:ascii="Cambria" w:eastAsia="Times New Roman" w:hAnsi="Cambria" w:cs="Arial"/>
                <w:b/>
                <w:sz w:val="24"/>
                <w:szCs w:val="24"/>
                <w:lang w:eastAsia="ro-RO"/>
              </w:rPr>
              <w:t>REGIUNEA</w:t>
            </w:r>
          </w:p>
        </w:tc>
        <w:tc>
          <w:tcPr>
            <w:tcW w:w="0" w:type="auto"/>
            <w:tcBorders>
              <w:top w:val="single" w:sz="6" w:space="0" w:color="000000"/>
              <w:bottom w:val="single" w:sz="6" w:space="0" w:color="000000"/>
            </w:tcBorders>
            <w:shd w:val="clear" w:color="auto" w:fill="BDD6EE" w:themeFill="accent1" w:themeFillTint="66"/>
            <w:vAlign w:val="center"/>
          </w:tcPr>
          <w:p w14:paraId="1F1528E0" w14:textId="77777777" w:rsidR="00B84975" w:rsidRPr="00EA1BB2" w:rsidRDefault="00B84975" w:rsidP="00B84975">
            <w:pPr>
              <w:spacing w:before="20" w:after="20"/>
              <w:jc w:val="center"/>
              <w:rPr>
                <w:rFonts w:ascii="Cambria" w:eastAsia="Times New Roman" w:hAnsi="Cambria" w:cs="Arial"/>
                <w:b/>
                <w:sz w:val="24"/>
                <w:szCs w:val="24"/>
                <w:lang w:eastAsia="ro-RO"/>
              </w:rPr>
            </w:pPr>
            <w:r w:rsidRPr="00EA1BB2">
              <w:rPr>
                <w:rFonts w:ascii="Cambria" w:eastAsia="Times New Roman" w:hAnsi="Cambria" w:cs="Arial"/>
                <w:b/>
                <w:sz w:val="24"/>
                <w:szCs w:val="24"/>
                <w:lang w:eastAsia="ro-RO"/>
              </w:rPr>
              <w:t>Realizate</w:t>
            </w:r>
          </w:p>
        </w:tc>
        <w:tc>
          <w:tcPr>
            <w:tcW w:w="0" w:type="auto"/>
            <w:tcBorders>
              <w:top w:val="single" w:sz="6" w:space="0" w:color="000000"/>
              <w:bottom w:val="single" w:sz="6" w:space="0" w:color="000000"/>
            </w:tcBorders>
            <w:shd w:val="clear" w:color="auto" w:fill="BDD6EE" w:themeFill="accent1" w:themeFillTint="66"/>
            <w:vAlign w:val="center"/>
          </w:tcPr>
          <w:p w14:paraId="09CDE222" w14:textId="77777777" w:rsidR="00B84975" w:rsidRPr="00EA1BB2" w:rsidRDefault="00B84975" w:rsidP="00B84975">
            <w:pPr>
              <w:spacing w:before="20" w:after="20"/>
              <w:jc w:val="center"/>
              <w:rPr>
                <w:rFonts w:ascii="Cambria" w:eastAsia="Times New Roman" w:hAnsi="Cambria" w:cs="Arial"/>
                <w:b/>
                <w:sz w:val="24"/>
                <w:szCs w:val="24"/>
                <w:lang w:eastAsia="ro-RO"/>
              </w:rPr>
            </w:pPr>
            <w:r w:rsidRPr="00EA1BB2">
              <w:rPr>
                <w:rFonts w:ascii="Cambria" w:eastAsia="Times New Roman" w:hAnsi="Cambria" w:cs="Arial"/>
                <w:b/>
                <w:sz w:val="24"/>
                <w:szCs w:val="24"/>
                <w:lang w:eastAsia="ro-RO"/>
              </w:rPr>
              <w:t>Realizate în avans</w:t>
            </w:r>
          </w:p>
        </w:tc>
        <w:tc>
          <w:tcPr>
            <w:tcW w:w="0" w:type="auto"/>
            <w:tcBorders>
              <w:top w:val="single" w:sz="6" w:space="0" w:color="000000"/>
              <w:bottom w:val="single" w:sz="6" w:space="0" w:color="000000"/>
            </w:tcBorders>
            <w:shd w:val="clear" w:color="auto" w:fill="BDD6EE" w:themeFill="accent1" w:themeFillTint="66"/>
            <w:vAlign w:val="center"/>
          </w:tcPr>
          <w:p w14:paraId="3A68F424" w14:textId="77777777" w:rsidR="00B84975" w:rsidRPr="00EA1BB2" w:rsidRDefault="00B84975" w:rsidP="00B84975">
            <w:pPr>
              <w:spacing w:before="20" w:after="20"/>
              <w:jc w:val="center"/>
              <w:rPr>
                <w:rFonts w:ascii="Cambria" w:eastAsia="Times New Roman" w:hAnsi="Cambria" w:cs="Arial"/>
                <w:b/>
                <w:sz w:val="24"/>
                <w:szCs w:val="24"/>
                <w:lang w:eastAsia="ro-RO"/>
              </w:rPr>
            </w:pPr>
            <w:r w:rsidRPr="00EA1BB2">
              <w:rPr>
                <w:rFonts w:ascii="Cambria" w:eastAsia="Times New Roman" w:hAnsi="Cambria" w:cs="Arial"/>
                <w:b/>
                <w:sz w:val="24"/>
                <w:szCs w:val="24"/>
                <w:lang w:eastAsia="ro-RO"/>
              </w:rPr>
              <w:t>În curs de realizare</w:t>
            </w:r>
          </w:p>
        </w:tc>
        <w:tc>
          <w:tcPr>
            <w:tcW w:w="0" w:type="auto"/>
            <w:tcBorders>
              <w:top w:val="single" w:sz="6" w:space="0" w:color="000000"/>
              <w:bottom w:val="single" w:sz="6" w:space="0" w:color="000000"/>
            </w:tcBorders>
            <w:shd w:val="clear" w:color="auto" w:fill="BDD6EE" w:themeFill="accent1" w:themeFillTint="66"/>
            <w:vAlign w:val="center"/>
          </w:tcPr>
          <w:p w14:paraId="676ACEFC" w14:textId="77777777" w:rsidR="00B84975" w:rsidRPr="00EA1BB2" w:rsidRDefault="00B84975" w:rsidP="00B84975">
            <w:pPr>
              <w:spacing w:before="20" w:after="20"/>
              <w:jc w:val="center"/>
              <w:rPr>
                <w:rFonts w:ascii="Cambria" w:eastAsia="Times New Roman" w:hAnsi="Cambria" w:cs="Arial"/>
                <w:b/>
                <w:sz w:val="24"/>
                <w:szCs w:val="24"/>
                <w:lang w:eastAsia="ro-RO"/>
              </w:rPr>
            </w:pPr>
            <w:r w:rsidRPr="00EA1BB2">
              <w:rPr>
                <w:rFonts w:ascii="Cambria" w:eastAsia="Times New Roman" w:hAnsi="Cambria" w:cs="Arial"/>
                <w:b/>
                <w:sz w:val="24"/>
                <w:szCs w:val="24"/>
                <w:lang w:eastAsia="ro-RO"/>
              </w:rPr>
              <w:t>Nerealizate</w:t>
            </w:r>
          </w:p>
        </w:tc>
        <w:tc>
          <w:tcPr>
            <w:tcW w:w="0" w:type="auto"/>
            <w:tcBorders>
              <w:top w:val="single" w:sz="6" w:space="0" w:color="000000"/>
              <w:bottom w:val="single" w:sz="6" w:space="0" w:color="000000"/>
            </w:tcBorders>
            <w:shd w:val="clear" w:color="auto" w:fill="BDD6EE" w:themeFill="accent1" w:themeFillTint="66"/>
            <w:vAlign w:val="center"/>
          </w:tcPr>
          <w:p w14:paraId="07938573" w14:textId="77777777" w:rsidR="00B84975" w:rsidRPr="00EA1BB2" w:rsidRDefault="00B84975" w:rsidP="00B84975">
            <w:pPr>
              <w:spacing w:before="20" w:after="20"/>
              <w:jc w:val="center"/>
              <w:rPr>
                <w:rFonts w:ascii="Cambria" w:eastAsia="Times New Roman" w:hAnsi="Cambria" w:cs="Arial"/>
                <w:b/>
                <w:sz w:val="24"/>
                <w:szCs w:val="24"/>
                <w:lang w:eastAsia="ro-RO"/>
              </w:rPr>
            </w:pPr>
            <w:r w:rsidRPr="00EA1BB2">
              <w:rPr>
                <w:rFonts w:ascii="Cambria" w:eastAsia="Times New Roman" w:hAnsi="Cambria" w:cs="Arial"/>
                <w:b/>
                <w:sz w:val="24"/>
                <w:szCs w:val="24"/>
                <w:lang w:eastAsia="ro-RO"/>
              </w:rPr>
              <w:t>Amânate</w:t>
            </w:r>
          </w:p>
        </w:tc>
        <w:tc>
          <w:tcPr>
            <w:tcW w:w="0" w:type="auto"/>
            <w:tcBorders>
              <w:top w:val="single" w:sz="6" w:space="0" w:color="000000"/>
              <w:bottom w:val="single" w:sz="6" w:space="0" w:color="000000"/>
            </w:tcBorders>
            <w:shd w:val="clear" w:color="auto" w:fill="BDD6EE" w:themeFill="accent1" w:themeFillTint="66"/>
            <w:vAlign w:val="center"/>
          </w:tcPr>
          <w:p w14:paraId="41732F78" w14:textId="77777777" w:rsidR="00B84975" w:rsidRPr="00EA1BB2" w:rsidRDefault="00B84975" w:rsidP="00B84975">
            <w:pPr>
              <w:spacing w:before="20" w:after="20"/>
              <w:jc w:val="center"/>
              <w:rPr>
                <w:rFonts w:ascii="Cambria" w:eastAsia="Times New Roman" w:hAnsi="Cambria" w:cs="Arial"/>
                <w:b/>
                <w:sz w:val="24"/>
                <w:szCs w:val="24"/>
                <w:lang w:eastAsia="ro-RO"/>
              </w:rPr>
            </w:pPr>
            <w:r w:rsidRPr="00EA1BB2">
              <w:rPr>
                <w:rFonts w:ascii="Cambria" w:eastAsia="Times New Roman" w:hAnsi="Cambria" w:cs="Arial"/>
                <w:b/>
                <w:sz w:val="24"/>
                <w:szCs w:val="24"/>
                <w:lang w:eastAsia="ro-RO"/>
              </w:rPr>
              <w:t>Anulate</w:t>
            </w:r>
          </w:p>
        </w:tc>
        <w:tc>
          <w:tcPr>
            <w:tcW w:w="979" w:type="dxa"/>
            <w:tcBorders>
              <w:top w:val="single" w:sz="6" w:space="0" w:color="000000"/>
              <w:bottom w:val="single" w:sz="6" w:space="0" w:color="000000"/>
              <w:right w:val="single" w:sz="6" w:space="0" w:color="000000"/>
            </w:tcBorders>
            <w:shd w:val="clear" w:color="auto" w:fill="BDD6EE" w:themeFill="accent1" w:themeFillTint="66"/>
            <w:vAlign w:val="center"/>
          </w:tcPr>
          <w:p w14:paraId="7AF0EC40" w14:textId="77777777" w:rsidR="00B84975" w:rsidRPr="00EA1BB2" w:rsidRDefault="00B84975" w:rsidP="00B84975">
            <w:pPr>
              <w:spacing w:before="20" w:after="20"/>
              <w:jc w:val="center"/>
              <w:rPr>
                <w:rFonts w:ascii="Cambria" w:eastAsia="Times New Roman" w:hAnsi="Cambria" w:cs="Arial"/>
                <w:b/>
                <w:sz w:val="24"/>
                <w:szCs w:val="24"/>
                <w:lang w:eastAsia="ro-RO"/>
              </w:rPr>
            </w:pPr>
            <w:r w:rsidRPr="00EA1BB2">
              <w:rPr>
                <w:rFonts w:ascii="Cambria" w:eastAsia="Times New Roman" w:hAnsi="Cambria" w:cs="Arial"/>
                <w:b/>
                <w:sz w:val="24"/>
                <w:szCs w:val="24"/>
                <w:lang w:eastAsia="ro-RO"/>
              </w:rPr>
              <w:t>TOTAL</w:t>
            </w:r>
          </w:p>
        </w:tc>
      </w:tr>
      <w:tr w:rsidR="00B84975" w:rsidRPr="00EA1BB2" w14:paraId="3893B57B" w14:textId="77777777" w:rsidTr="00B84975">
        <w:trPr>
          <w:trHeight w:val="680"/>
          <w:jc w:val="center"/>
        </w:trPr>
        <w:tc>
          <w:tcPr>
            <w:tcW w:w="0" w:type="auto"/>
            <w:tcBorders>
              <w:top w:val="single" w:sz="6" w:space="0" w:color="000000"/>
              <w:left w:val="single" w:sz="6" w:space="0" w:color="000000"/>
              <w:bottom w:val="single" w:sz="6" w:space="0" w:color="000000"/>
            </w:tcBorders>
            <w:shd w:val="clear" w:color="auto" w:fill="auto"/>
            <w:vAlign w:val="center"/>
          </w:tcPr>
          <w:p w14:paraId="466D1786"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Regiunea 1 Nord-Est</w:t>
            </w:r>
          </w:p>
        </w:tc>
        <w:tc>
          <w:tcPr>
            <w:tcW w:w="0" w:type="auto"/>
            <w:tcBorders>
              <w:top w:val="single" w:sz="6" w:space="0" w:color="000000"/>
              <w:bottom w:val="single" w:sz="6" w:space="0" w:color="000000"/>
            </w:tcBorders>
            <w:shd w:val="clear" w:color="auto" w:fill="auto"/>
            <w:vAlign w:val="center"/>
          </w:tcPr>
          <w:p w14:paraId="622C57FA"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605</w:t>
            </w:r>
          </w:p>
        </w:tc>
        <w:tc>
          <w:tcPr>
            <w:tcW w:w="0" w:type="auto"/>
            <w:tcBorders>
              <w:top w:val="single" w:sz="6" w:space="0" w:color="000000"/>
              <w:bottom w:val="single" w:sz="6" w:space="0" w:color="000000"/>
            </w:tcBorders>
            <w:shd w:val="clear" w:color="auto" w:fill="auto"/>
            <w:vAlign w:val="center"/>
          </w:tcPr>
          <w:p w14:paraId="5A380C07"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56</w:t>
            </w:r>
          </w:p>
        </w:tc>
        <w:tc>
          <w:tcPr>
            <w:tcW w:w="0" w:type="auto"/>
            <w:tcBorders>
              <w:top w:val="single" w:sz="6" w:space="0" w:color="000000"/>
              <w:bottom w:val="single" w:sz="6" w:space="0" w:color="000000"/>
            </w:tcBorders>
            <w:shd w:val="clear" w:color="auto" w:fill="auto"/>
            <w:vAlign w:val="center"/>
          </w:tcPr>
          <w:p w14:paraId="33324C33"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632</w:t>
            </w:r>
          </w:p>
        </w:tc>
        <w:tc>
          <w:tcPr>
            <w:tcW w:w="0" w:type="auto"/>
            <w:tcBorders>
              <w:top w:val="single" w:sz="6" w:space="0" w:color="000000"/>
              <w:bottom w:val="single" w:sz="6" w:space="0" w:color="000000"/>
            </w:tcBorders>
            <w:shd w:val="clear" w:color="auto" w:fill="auto"/>
            <w:vAlign w:val="center"/>
          </w:tcPr>
          <w:p w14:paraId="2BA20A55"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785</w:t>
            </w:r>
          </w:p>
        </w:tc>
        <w:tc>
          <w:tcPr>
            <w:tcW w:w="0" w:type="auto"/>
            <w:tcBorders>
              <w:top w:val="single" w:sz="6" w:space="0" w:color="000000"/>
              <w:bottom w:val="single" w:sz="6" w:space="0" w:color="000000"/>
            </w:tcBorders>
            <w:shd w:val="clear" w:color="auto" w:fill="auto"/>
            <w:vAlign w:val="center"/>
          </w:tcPr>
          <w:p w14:paraId="02733580"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113</w:t>
            </w:r>
          </w:p>
        </w:tc>
        <w:tc>
          <w:tcPr>
            <w:tcW w:w="0" w:type="auto"/>
            <w:tcBorders>
              <w:top w:val="single" w:sz="6" w:space="0" w:color="000000"/>
              <w:bottom w:val="single" w:sz="6" w:space="0" w:color="000000"/>
            </w:tcBorders>
            <w:shd w:val="clear" w:color="auto" w:fill="auto"/>
            <w:vAlign w:val="center"/>
          </w:tcPr>
          <w:p w14:paraId="18D82214"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56</w:t>
            </w:r>
          </w:p>
        </w:tc>
        <w:tc>
          <w:tcPr>
            <w:tcW w:w="979" w:type="dxa"/>
            <w:tcBorders>
              <w:top w:val="single" w:sz="6" w:space="0" w:color="000000"/>
              <w:bottom w:val="single" w:sz="6" w:space="0" w:color="000000"/>
              <w:right w:val="single" w:sz="6" w:space="0" w:color="000000"/>
            </w:tcBorders>
            <w:shd w:val="clear" w:color="auto" w:fill="auto"/>
            <w:vAlign w:val="center"/>
          </w:tcPr>
          <w:p w14:paraId="36A0240C" w14:textId="77777777" w:rsidR="00B84975" w:rsidRPr="00EA1BB2" w:rsidRDefault="00B84975" w:rsidP="00B84975">
            <w:pPr>
              <w:spacing w:line="276" w:lineRule="auto"/>
              <w:jc w:val="center"/>
              <w:rPr>
                <w:rFonts w:ascii="Cambria" w:eastAsia="Times New Roman" w:hAnsi="Cambria" w:cs="Arial"/>
                <w:b/>
                <w:sz w:val="24"/>
                <w:szCs w:val="24"/>
                <w:lang w:eastAsia="ro-RO"/>
              </w:rPr>
            </w:pPr>
            <w:r w:rsidRPr="00EA1BB2">
              <w:rPr>
                <w:rFonts w:ascii="Cambria" w:eastAsia="Times New Roman" w:hAnsi="Cambria" w:cs="Arial"/>
                <w:b/>
                <w:sz w:val="24"/>
                <w:szCs w:val="24"/>
                <w:lang w:eastAsia="ro-RO"/>
              </w:rPr>
              <w:t>2247</w:t>
            </w:r>
          </w:p>
        </w:tc>
      </w:tr>
      <w:tr w:rsidR="00B84975" w:rsidRPr="00EA1BB2" w14:paraId="0FB50969" w14:textId="77777777" w:rsidTr="00B84975">
        <w:trPr>
          <w:trHeight w:val="680"/>
          <w:jc w:val="center"/>
        </w:trPr>
        <w:tc>
          <w:tcPr>
            <w:tcW w:w="0" w:type="auto"/>
            <w:tcBorders>
              <w:top w:val="single" w:sz="6" w:space="0" w:color="000000"/>
              <w:left w:val="single" w:sz="6" w:space="0" w:color="000000"/>
              <w:bottom w:val="single" w:sz="6" w:space="0" w:color="000000"/>
            </w:tcBorders>
            <w:shd w:val="clear" w:color="auto" w:fill="auto"/>
            <w:vAlign w:val="center"/>
          </w:tcPr>
          <w:p w14:paraId="15A5F05A"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Regiunea 2 Sud-Est</w:t>
            </w:r>
          </w:p>
        </w:tc>
        <w:tc>
          <w:tcPr>
            <w:tcW w:w="0" w:type="auto"/>
            <w:tcBorders>
              <w:top w:val="single" w:sz="6" w:space="0" w:color="000000"/>
              <w:bottom w:val="single" w:sz="6" w:space="0" w:color="000000"/>
            </w:tcBorders>
            <w:shd w:val="clear" w:color="auto" w:fill="auto"/>
            <w:vAlign w:val="center"/>
          </w:tcPr>
          <w:p w14:paraId="1A0256CF"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698</w:t>
            </w:r>
          </w:p>
        </w:tc>
        <w:tc>
          <w:tcPr>
            <w:tcW w:w="0" w:type="auto"/>
            <w:tcBorders>
              <w:top w:val="single" w:sz="6" w:space="0" w:color="000000"/>
              <w:bottom w:val="single" w:sz="6" w:space="0" w:color="000000"/>
            </w:tcBorders>
            <w:shd w:val="clear" w:color="auto" w:fill="auto"/>
            <w:vAlign w:val="center"/>
          </w:tcPr>
          <w:p w14:paraId="66C8F9D2"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14</w:t>
            </w:r>
          </w:p>
        </w:tc>
        <w:tc>
          <w:tcPr>
            <w:tcW w:w="0" w:type="auto"/>
            <w:tcBorders>
              <w:top w:val="single" w:sz="6" w:space="0" w:color="000000"/>
              <w:bottom w:val="single" w:sz="6" w:space="0" w:color="000000"/>
            </w:tcBorders>
            <w:shd w:val="clear" w:color="auto" w:fill="auto"/>
            <w:vAlign w:val="center"/>
          </w:tcPr>
          <w:p w14:paraId="4724D716"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588</w:t>
            </w:r>
          </w:p>
        </w:tc>
        <w:tc>
          <w:tcPr>
            <w:tcW w:w="0" w:type="auto"/>
            <w:tcBorders>
              <w:top w:val="single" w:sz="6" w:space="0" w:color="000000"/>
              <w:bottom w:val="single" w:sz="6" w:space="0" w:color="000000"/>
            </w:tcBorders>
            <w:shd w:val="clear" w:color="auto" w:fill="auto"/>
            <w:vAlign w:val="center"/>
          </w:tcPr>
          <w:p w14:paraId="6B5C531D"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73</w:t>
            </w:r>
          </w:p>
        </w:tc>
        <w:tc>
          <w:tcPr>
            <w:tcW w:w="0" w:type="auto"/>
            <w:tcBorders>
              <w:top w:val="single" w:sz="6" w:space="0" w:color="000000"/>
              <w:bottom w:val="single" w:sz="6" w:space="0" w:color="000000"/>
            </w:tcBorders>
            <w:shd w:val="clear" w:color="auto" w:fill="auto"/>
            <w:vAlign w:val="center"/>
          </w:tcPr>
          <w:p w14:paraId="4FED5D7F"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34</w:t>
            </w:r>
          </w:p>
        </w:tc>
        <w:tc>
          <w:tcPr>
            <w:tcW w:w="0" w:type="auto"/>
            <w:tcBorders>
              <w:top w:val="single" w:sz="6" w:space="0" w:color="000000"/>
              <w:bottom w:val="single" w:sz="6" w:space="0" w:color="000000"/>
            </w:tcBorders>
            <w:shd w:val="clear" w:color="auto" w:fill="auto"/>
            <w:vAlign w:val="center"/>
          </w:tcPr>
          <w:p w14:paraId="6028A295"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5</w:t>
            </w:r>
          </w:p>
        </w:tc>
        <w:tc>
          <w:tcPr>
            <w:tcW w:w="979" w:type="dxa"/>
            <w:tcBorders>
              <w:top w:val="single" w:sz="6" w:space="0" w:color="000000"/>
              <w:bottom w:val="single" w:sz="6" w:space="0" w:color="000000"/>
              <w:right w:val="single" w:sz="6" w:space="0" w:color="000000"/>
            </w:tcBorders>
            <w:shd w:val="clear" w:color="auto" w:fill="auto"/>
            <w:vAlign w:val="center"/>
          </w:tcPr>
          <w:p w14:paraId="11F218FB" w14:textId="77777777" w:rsidR="00B84975" w:rsidRPr="00EA1BB2" w:rsidRDefault="00B84975" w:rsidP="00B84975">
            <w:pPr>
              <w:spacing w:line="276" w:lineRule="auto"/>
              <w:jc w:val="center"/>
              <w:rPr>
                <w:rFonts w:ascii="Cambria" w:eastAsia="Times New Roman" w:hAnsi="Cambria" w:cs="Arial"/>
                <w:b/>
                <w:sz w:val="24"/>
                <w:szCs w:val="24"/>
                <w:lang w:eastAsia="ro-RO"/>
              </w:rPr>
            </w:pPr>
            <w:r w:rsidRPr="00EA1BB2">
              <w:rPr>
                <w:rFonts w:ascii="Cambria" w:eastAsia="Times New Roman" w:hAnsi="Cambria" w:cs="Arial"/>
                <w:b/>
                <w:sz w:val="24"/>
                <w:szCs w:val="24"/>
                <w:lang w:eastAsia="ro-RO"/>
              </w:rPr>
              <w:t>1412</w:t>
            </w:r>
          </w:p>
        </w:tc>
      </w:tr>
      <w:tr w:rsidR="00B84975" w:rsidRPr="00EA1BB2" w14:paraId="2A874DD7" w14:textId="77777777" w:rsidTr="00B84975">
        <w:trPr>
          <w:trHeight w:val="680"/>
          <w:jc w:val="center"/>
        </w:trPr>
        <w:tc>
          <w:tcPr>
            <w:tcW w:w="0" w:type="auto"/>
            <w:tcBorders>
              <w:top w:val="single" w:sz="6" w:space="0" w:color="000000"/>
              <w:left w:val="single" w:sz="6" w:space="0" w:color="000000"/>
              <w:bottom w:val="single" w:sz="6" w:space="0" w:color="000000"/>
            </w:tcBorders>
            <w:shd w:val="clear" w:color="auto" w:fill="auto"/>
            <w:vAlign w:val="center"/>
          </w:tcPr>
          <w:p w14:paraId="2F36CBC6"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Regiunea 3 Sud Muntenia</w:t>
            </w:r>
          </w:p>
        </w:tc>
        <w:tc>
          <w:tcPr>
            <w:tcW w:w="0" w:type="auto"/>
            <w:tcBorders>
              <w:top w:val="single" w:sz="6" w:space="0" w:color="000000"/>
              <w:bottom w:val="single" w:sz="6" w:space="0" w:color="000000"/>
            </w:tcBorders>
            <w:shd w:val="clear" w:color="auto" w:fill="auto"/>
            <w:vAlign w:val="center"/>
          </w:tcPr>
          <w:p w14:paraId="64344178"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1156</w:t>
            </w:r>
          </w:p>
        </w:tc>
        <w:tc>
          <w:tcPr>
            <w:tcW w:w="0" w:type="auto"/>
            <w:tcBorders>
              <w:top w:val="single" w:sz="6" w:space="0" w:color="000000"/>
              <w:bottom w:val="single" w:sz="6" w:space="0" w:color="000000"/>
            </w:tcBorders>
            <w:shd w:val="clear" w:color="auto" w:fill="auto"/>
            <w:vAlign w:val="center"/>
          </w:tcPr>
          <w:p w14:paraId="43C090EE"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57</w:t>
            </w:r>
          </w:p>
        </w:tc>
        <w:tc>
          <w:tcPr>
            <w:tcW w:w="0" w:type="auto"/>
            <w:tcBorders>
              <w:top w:val="single" w:sz="6" w:space="0" w:color="000000"/>
              <w:bottom w:val="single" w:sz="6" w:space="0" w:color="000000"/>
            </w:tcBorders>
            <w:shd w:val="clear" w:color="auto" w:fill="auto"/>
            <w:vAlign w:val="center"/>
          </w:tcPr>
          <w:p w14:paraId="4D84C95C"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919</w:t>
            </w:r>
          </w:p>
        </w:tc>
        <w:tc>
          <w:tcPr>
            <w:tcW w:w="0" w:type="auto"/>
            <w:tcBorders>
              <w:top w:val="single" w:sz="6" w:space="0" w:color="000000"/>
              <w:bottom w:val="single" w:sz="6" w:space="0" w:color="000000"/>
            </w:tcBorders>
            <w:shd w:val="clear" w:color="auto" w:fill="auto"/>
            <w:vAlign w:val="center"/>
          </w:tcPr>
          <w:p w14:paraId="7A2DB286"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2041</w:t>
            </w:r>
          </w:p>
        </w:tc>
        <w:tc>
          <w:tcPr>
            <w:tcW w:w="0" w:type="auto"/>
            <w:tcBorders>
              <w:top w:val="single" w:sz="6" w:space="0" w:color="000000"/>
              <w:bottom w:val="single" w:sz="6" w:space="0" w:color="000000"/>
            </w:tcBorders>
            <w:shd w:val="clear" w:color="auto" w:fill="auto"/>
            <w:vAlign w:val="center"/>
          </w:tcPr>
          <w:p w14:paraId="4626B24B"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10</w:t>
            </w:r>
          </w:p>
        </w:tc>
        <w:tc>
          <w:tcPr>
            <w:tcW w:w="0" w:type="auto"/>
            <w:tcBorders>
              <w:top w:val="single" w:sz="6" w:space="0" w:color="000000"/>
              <w:bottom w:val="single" w:sz="6" w:space="0" w:color="000000"/>
            </w:tcBorders>
            <w:shd w:val="clear" w:color="auto" w:fill="auto"/>
            <w:vAlign w:val="center"/>
          </w:tcPr>
          <w:p w14:paraId="5592CB93"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33</w:t>
            </w:r>
          </w:p>
        </w:tc>
        <w:tc>
          <w:tcPr>
            <w:tcW w:w="979" w:type="dxa"/>
            <w:tcBorders>
              <w:top w:val="single" w:sz="6" w:space="0" w:color="000000"/>
              <w:bottom w:val="single" w:sz="6" w:space="0" w:color="000000"/>
              <w:right w:val="single" w:sz="6" w:space="0" w:color="000000"/>
            </w:tcBorders>
            <w:shd w:val="clear" w:color="auto" w:fill="auto"/>
            <w:vAlign w:val="center"/>
          </w:tcPr>
          <w:p w14:paraId="7B98A88E" w14:textId="77777777" w:rsidR="00B84975" w:rsidRPr="00EA1BB2" w:rsidRDefault="00B84975" w:rsidP="00B84975">
            <w:pPr>
              <w:spacing w:line="276" w:lineRule="auto"/>
              <w:jc w:val="center"/>
              <w:rPr>
                <w:rFonts w:ascii="Cambria" w:eastAsia="Times New Roman" w:hAnsi="Cambria" w:cs="Arial"/>
                <w:b/>
                <w:sz w:val="24"/>
                <w:szCs w:val="24"/>
                <w:lang w:eastAsia="ro-RO"/>
              </w:rPr>
            </w:pPr>
            <w:r w:rsidRPr="00EA1BB2">
              <w:rPr>
                <w:rFonts w:ascii="Cambria" w:eastAsia="Times New Roman" w:hAnsi="Cambria" w:cs="Arial"/>
                <w:b/>
                <w:sz w:val="24"/>
                <w:szCs w:val="24"/>
                <w:lang w:eastAsia="ro-RO"/>
              </w:rPr>
              <w:t>4216</w:t>
            </w:r>
          </w:p>
        </w:tc>
      </w:tr>
      <w:tr w:rsidR="00B84975" w:rsidRPr="00EA1BB2" w14:paraId="0014ABF4" w14:textId="77777777" w:rsidTr="00B84975">
        <w:trPr>
          <w:trHeight w:val="680"/>
          <w:jc w:val="center"/>
        </w:trPr>
        <w:tc>
          <w:tcPr>
            <w:tcW w:w="0" w:type="auto"/>
            <w:tcBorders>
              <w:top w:val="single" w:sz="6" w:space="0" w:color="000000"/>
              <w:left w:val="single" w:sz="6" w:space="0" w:color="000000"/>
              <w:bottom w:val="single" w:sz="6" w:space="0" w:color="000000"/>
            </w:tcBorders>
            <w:shd w:val="clear" w:color="auto" w:fill="auto"/>
            <w:vAlign w:val="center"/>
          </w:tcPr>
          <w:p w14:paraId="23C20D7E"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Regiunea 4 Sud-Vest</w:t>
            </w:r>
          </w:p>
        </w:tc>
        <w:tc>
          <w:tcPr>
            <w:tcW w:w="0" w:type="auto"/>
            <w:tcBorders>
              <w:top w:val="single" w:sz="6" w:space="0" w:color="000000"/>
              <w:bottom w:val="single" w:sz="6" w:space="0" w:color="000000"/>
            </w:tcBorders>
            <w:shd w:val="clear" w:color="auto" w:fill="auto"/>
            <w:vAlign w:val="center"/>
          </w:tcPr>
          <w:p w14:paraId="668C7330"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315</w:t>
            </w:r>
          </w:p>
        </w:tc>
        <w:tc>
          <w:tcPr>
            <w:tcW w:w="0" w:type="auto"/>
            <w:tcBorders>
              <w:top w:val="single" w:sz="6" w:space="0" w:color="000000"/>
              <w:bottom w:val="single" w:sz="6" w:space="0" w:color="000000"/>
            </w:tcBorders>
            <w:shd w:val="clear" w:color="auto" w:fill="auto"/>
            <w:vAlign w:val="center"/>
          </w:tcPr>
          <w:p w14:paraId="352BDF2A"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3</w:t>
            </w:r>
          </w:p>
        </w:tc>
        <w:tc>
          <w:tcPr>
            <w:tcW w:w="0" w:type="auto"/>
            <w:tcBorders>
              <w:top w:val="single" w:sz="6" w:space="0" w:color="000000"/>
              <w:bottom w:val="single" w:sz="6" w:space="0" w:color="000000"/>
            </w:tcBorders>
            <w:shd w:val="clear" w:color="auto" w:fill="auto"/>
            <w:vAlign w:val="center"/>
          </w:tcPr>
          <w:p w14:paraId="6F1D2938"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202</w:t>
            </w:r>
          </w:p>
        </w:tc>
        <w:tc>
          <w:tcPr>
            <w:tcW w:w="0" w:type="auto"/>
            <w:tcBorders>
              <w:top w:val="single" w:sz="6" w:space="0" w:color="000000"/>
              <w:bottom w:val="single" w:sz="6" w:space="0" w:color="000000"/>
            </w:tcBorders>
            <w:shd w:val="clear" w:color="auto" w:fill="auto"/>
            <w:vAlign w:val="center"/>
          </w:tcPr>
          <w:p w14:paraId="4CC336D0"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107</w:t>
            </w:r>
          </w:p>
        </w:tc>
        <w:tc>
          <w:tcPr>
            <w:tcW w:w="0" w:type="auto"/>
            <w:tcBorders>
              <w:top w:val="single" w:sz="6" w:space="0" w:color="000000"/>
              <w:bottom w:val="single" w:sz="6" w:space="0" w:color="000000"/>
            </w:tcBorders>
            <w:shd w:val="clear" w:color="auto" w:fill="auto"/>
            <w:vAlign w:val="center"/>
          </w:tcPr>
          <w:p w14:paraId="781AB1EF"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10</w:t>
            </w:r>
          </w:p>
        </w:tc>
        <w:tc>
          <w:tcPr>
            <w:tcW w:w="0" w:type="auto"/>
            <w:tcBorders>
              <w:top w:val="single" w:sz="6" w:space="0" w:color="000000"/>
              <w:bottom w:val="single" w:sz="6" w:space="0" w:color="000000"/>
            </w:tcBorders>
            <w:shd w:val="clear" w:color="auto" w:fill="auto"/>
            <w:vAlign w:val="center"/>
          </w:tcPr>
          <w:p w14:paraId="33291F00"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28</w:t>
            </w:r>
          </w:p>
        </w:tc>
        <w:tc>
          <w:tcPr>
            <w:tcW w:w="979" w:type="dxa"/>
            <w:tcBorders>
              <w:top w:val="single" w:sz="6" w:space="0" w:color="000000"/>
              <w:bottom w:val="single" w:sz="6" w:space="0" w:color="000000"/>
              <w:right w:val="single" w:sz="6" w:space="0" w:color="000000"/>
            </w:tcBorders>
            <w:shd w:val="clear" w:color="auto" w:fill="auto"/>
            <w:vAlign w:val="center"/>
          </w:tcPr>
          <w:p w14:paraId="4B972288" w14:textId="77777777" w:rsidR="00B84975" w:rsidRPr="00EA1BB2" w:rsidRDefault="00B84975" w:rsidP="00B84975">
            <w:pPr>
              <w:spacing w:line="276" w:lineRule="auto"/>
              <w:jc w:val="center"/>
              <w:rPr>
                <w:rFonts w:ascii="Cambria" w:eastAsia="Times New Roman" w:hAnsi="Cambria" w:cs="Arial"/>
                <w:b/>
                <w:sz w:val="24"/>
                <w:szCs w:val="24"/>
                <w:lang w:eastAsia="ro-RO"/>
              </w:rPr>
            </w:pPr>
            <w:r w:rsidRPr="00EA1BB2">
              <w:rPr>
                <w:rFonts w:ascii="Cambria" w:eastAsia="Times New Roman" w:hAnsi="Cambria" w:cs="Arial"/>
                <w:b/>
                <w:sz w:val="24"/>
                <w:szCs w:val="24"/>
                <w:lang w:eastAsia="ro-RO"/>
              </w:rPr>
              <w:t>665</w:t>
            </w:r>
          </w:p>
        </w:tc>
      </w:tr>
      <w:tr w:rsidR="00B84975" w:rsidRPr="00EA1BB2" w14:paraId="0116391C" w14:textId="77777777" w:rsidTr="00B84975">
        <w:trPr>
          <w:trHeight w:val="680"/>
          <w:jc w:val="center"/>
        </w:trPr>
        <w:tc>
          <w:tcPr>
            <w:tcW w:w="0" w:type="auto"/>
            <w:tcBorders>
              <w:top w:val="single" w:sz="6" w:space="0" w:color="000000"/>
              <w:left w:val="single" w:sz="6" w:space="0" w:color="000000"/>
              <w:bottom w:val="single" w:sz="6" w:space="0" w:color="000000"/>
            </w:tcBorders>
            <w:shd w:val="clear" w:color="auto" w:fill="auto"/>
            <w:vAlign w:val="center"/>
          </w:tcPr>
          <w:p w14:paraId="34155C60"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Regiunea 5 Vest</w:t>
            </w:r>
          </w:p>
        </w:tc>
        <w:tc>
          <w:tcPr>
            <w:tcW w:w="0" w:type="auto"/>
            <w:tcBorders>
              <w:top w:val="single" w:sz="6" w:space="0" w:color="000000"/>
              <w:bottom w:val="single" w:sz="6" w:space="0" w:color="000000"/>
            </w:tcBorders>
            <w:shd w:val="clear" w:color="auto" w:fill="auto"/>
            <w:vAlign w:val="center"/>
          </w:tcPr>
          <w:p w14:paraId="32859336"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419</w:t>
            </w:r>
          </w:p>
        </w:tc>
        <w:tc>
          <w:tcPr>
            <w:tcW w:w="0" w:type="auto"/>
            <w:tcBorders>
              <w:top w:val="single" w:sz="6" w:space="0" w:color="000000"/>
              <w:bottom w:val="single" w:sz="6" w:space="0" w:color="000000"/>
            </w:tcBorders>
            <w:shd w:val="clear" w:color="auto" w:fill="auto"/>
            <w:vAlign w:val="center"/>
          </w:tcPr>
          <w:p w14:paraId="496D58E8"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25</w:t>
            </w:r>
          </w:p>
        </w:tc>
        <w:tc>
          <w:tcPr>
            <w:tcW w:w="0" w:type="auto"/>
            <w:tcBorders>
              <w:top w:val="single" w:sz="6" w:space="0" w:color="000000"/>
              <w:bottom w:val="single" w:sz="6" w:space="0" w:color="000000"/>
            </w:tcBorders>
            <w:shd w:val="clear" w:color="auto" w:fill="auto"/>
            <w:vAlign w:val="center"/>
          </w:tcPr>
          <w:p w14:paraId="02F89167"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420</w:t>
            </w:r>
          </w:p>
        </w:tc>
        <w:tc>
          <w:tcPr>
            <w:tcW w:w="0" w:type="auto"/>
            <w:tcBorders>
              <w:top w:val="single" w:sz="6" w:space="0" w:color="000000"/>
              <w:bottom w:val="single" w:sz="6" w:space="0" w:color="000000"/>
            </w:tcBorders>
            <w:shd w:val="clear" w:color="auto" w:fill="auto"/>
            <w:vAlign w:val="center"/>
          </w:tcPr>
          <w:p w14:paraId="14EEDD16"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106</w:t>
            </w:r>
          </w:p>
        </w:tc>
        <w:tc>
          <w:tcPr>
            <w:tcW w:w="0" w:type="auto"/>
            <w:tcBorders>
              <w:top w:val="single" w:sz="6" w:space="0" w:color="000000"/>
              <w:bottom w:val="single" w:sz="6" w:space="0" w:color="000000"/>
            </w:tcBorders>
            <w:shd w:val="clear" w:color="auto" w:fill="auto"/>
            <w:vAlign w:val="center"/>
          </w:tcPr>
          <w:p w14:paraId="2AA43F1B"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12</w:t>
            </w:r>
          </w:p>
        </w:tc>
        <w:tc>
          <w:tcPr>
            <w:tcW w:w="0" w:type="auto"/>
            <w:tcBorders>
              <w:top w:val="single" w:sz="6" w:space="0" w:color="000000"/>
              <w:bottom w:val="single" w:sz="6" w:space="0" w:color="000000"/>
            </w:tcBorders>
            <w:shd w:val="clear" w:color="auto" w:fill="auto"/>
            <w:vAlign w:val="center"/>
          </w:tcPr>
          <w:p w14:paraId="7A15BC6E"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5</w:t>
            </w:r>
          </w:p>
        </w:tc>
        <w:tc>
          <w:tcPr>
            <w:tcW w:w="979" w:type="dxa"/>
            <w:tcBorders>
              <w:top w:val="single" w:sz="6" w:space="0" w:color="000000"/>
              <w:bottom w:val="single" w:sz="6" w:space="0" w:color="000000"/>
              <w:right w:val="single" w:sz="6" w:space="0" w:color="000000"/>
            </w:tcBorders>
            <w:shd w:val="clear" w:color="auto" w:fill="auto"/>
            <w:vAlign w:val="center"/>
          </w:tcPr>
          <w:p w14:paraId="2EEACF0F" w14:textId="77777777" w:rsidR="00B84975" w:rsidRPr="00EA1BB2" w:rsidRDefault="00B84975" w:rsidP="00B84975">
            <w:pPr>
              <w:spacing w:line="276" w:lineRule="auto"/>
              <w:jc w:val="center"/>
              <w:rPr>
                <w:rFonts w:ascii="Cambria" w:eastAsia="Times New Roman" w:hAnsi="Cambria" w:cs="Arial"/>
                <w:b/>
                <w:sz w:val="24"/>
                <w:szCs w:val="24"/>
                <w:lang w:eastAsia="ro-RO"/>
              </w:rPr>
            </w:pPr>
            <w:r w:rsidRPr="00EA1BB2">
              <w:rPr>
                <w:rFonts w:ascii="Cambria" w:eastAsia="Times New Roman" w:hAnsi="Cambria" w:cs="Arial"/>
                <w:b/>
                <w:sz w:val="24"/>
                <w:szCs w:val="24"/>
                <w:lang w:eastAsia="ro-RO"/>
              </w:rPr>
              <w:t>987</w:t>
            </w:r>
          </w:p>
        </w:tc>
      </w:tr>
      <w:tr w:rsidR="00B84975" w:rsidRPr="00EA1BB2" w14:paraId="22E232F1" w14:textId="77777777" w:rsidTr="00B84975">
        <w:trPr>
          <w:trHeight w:val="680"/>
          <w:jc w:val="center"/>
        </w:trPr>
        <w:tc>
          <w:tcPr>
            <w:tcW w:w="0" w:type="auto"/>
            <w:tcBorders>
              <w:top w:val="single" w:sz="6" w:space="0" w:color="000000"/>
              <w:left w:val="single" w:sz="6" w:space="0" w:color="000000"/>
              <w:bottom w:val="single" w:sz="6" w:space="0" w:color="000000"/>
            </w:tcBorders>
            <w:shd w:val="clear" w:color="auto" w:fill="auto"/>
            <w:vAlign w:val="center"/>
          </w:tcPr>
          <w:p w14:paraId="4C99A5A9" w14:textId="77777777" w:rsidR="00B84975" w:rsidRPr="00EA1BB2" w:rsidRDefault="00B84975" w:rsidP="00B84975">
            <w:pPr>
              <w:spacing w:line="276" w:lineRule="auto"/>
              <w:jc w:val="center"/>
              <w:rPr>
                <w:rFonts w:ascii="Cambria" w:eastAsia="Times New Roman" w:hAnsi="Cambria" w:cs="Arial"/>
                <w:spacing w:val="-4"/>
                <w:sz w:val="24"/>
                <w:szCs w:val="24"/>
                <w:lang w:eastAsia="ro-RO"/>
              </w:rPr>
            </w:pPr>
            <w:r w:rsidRPr="00EA1BB2">
              <w:rPr>
                <w:rFonts w:ascii="Cambria" w:eastAsia="Times New Roman" w:hAnsi="Cambria" w:cs="Arial"/>
                <w:spacing w:val="-4"/>
                <w:sz w:val="24"/>
                <w:szCs w:val="24"/>
                <w:lang w:eastAsia="ro-RO"/>
              </w:rPr>
              <w:t>Regiunea 6 Nord-Vest</w:t>
            </w:r>
          </w:p>
        </w:tc>
        <w:tc>
          <w:tcPr>
            <w:tcW w:w="0" w:type="auto"/>
            <w:tcBorders>
              <w:top w:val="single" w:sz="6" w:space="0" w:color="000000"/>
              <w:bottom w:val="single" w:sz="6" w:space="0" w:color="000000"/>
            </w:tcBorders>
            <w:shd w:val="clear" w:color="auto" w:fill="auto"/>
            <w:vAlign w:val="center"/>
          </w:tcPr>
          <w:p w14:paraId="3D7530F8"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504</w:t>
            </w:r>
          </w:p>
        </w:tc>
        <w:tc>
          <w:tcPr>
            <w:tcW w:w="0" w:type="auto"/>
            <w:tcBorders>
              <w:top w:val="single" w:sz="6" w:space="0" w:color="000000"/>
              <w:bottom w:val="single" w:sz="6" w:space="0" w:color="000000"/>
            </w:tcBorders>
            <w:shd w:val="clear" w:color="auto" w:fill="auto"/>
            <w:vAlign w:val="center"/>
          </w:tcPr>
          <w:p w14:paraId="53E4609A"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65</w:t>
            </w:r>
          </w:p>
        </w:tc>
        <w:tc>
          <w:tcPr>
            <w:tcW w:w="0" w:type="auto"/>
            <w:tcBorders>
              <w:top w:val="single" w:sz="6" w:space="0" w:color="000000"/>
              <w:bottom w:val="single" w:sz="6" w:space="0" w:color="000000"/>
            </w:tcBorders>
            <w:shd w:val="clear" w:color="auto" w:fill="auto"/>
            <w:vAlign w:val="center"/>
          </w:tcPr>
          <w:p w14:paraId="7B5ACADC"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754</w:t>
            </w:r>
          </w:p>
        </w:tc>
        <w:tc>
          <w:tcPr>
            <w:tcW w:w="0" w:type="auto"/>
            <w:tcBorders>
              <w:top w:val="single" w:sz="6" w:space="0" w:color="000000"/>
              <w:bottom w:val="single" w:sz="6" w:space="0" w:color="000000"/>
            </w:tcBorders>
            <w:shd w:val="clear" w:color="auto" w:fill="auto"/>
            <w:vAlign w:val="center"/>
          </w:tcPr>
          <w:p w14:paraId="65254EBC"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527</w:t>
            </w:r>
          </w:p>
        </w:tc>
        <w:tc>
          <w:tcPr>
            <w:tcW w:w="0" w:type="auto"/>
            <w:tcBorders>
              <w:top w:val="single" w:sz="6" w:space="0" w:color="000000"/>
              <w:bottom w:val="single" w:sz="6" w:space="0" w:color="000000"/>
            </w:tcBorders>
            <w:shd w:val="clear" w:color="auto" w:fill="auto"/>
            <w:vAlign w:val="center"/>
          </w:tcPr>
          <w:p w14:paraId="634A6307"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2</w:t>
            </w:r>
          </w:p>
        </w:tc>
        <w:tc>
          <w:tcPr>
            <w:tcW w:w="0" w:type="auto"/>
            <w:tcBorders>
              <w:top w:val="single" w:sz="6" w:space="0" w:color="000000"/>
              <w:bottom w:val="single" w:sz="6" w:space="0" w:color="000000"/>
            </w:tcBorders>
            <w:shd w:val="clear" w:color="auto" w:fill="auto"/>
            <w:vAlign w:val="center"/>
          </w:tcPr>
          <w:p w14:paraId="37C5F07D"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58</w:t>
            </w:r>
          </w:p>
        </w:tc>
        <w:tc>
          <w:tcPr>
            <w:tcW w:w="979" w:type="dxa"/>
            <w:tcBorders>
              <w:top w:val="single" w:sz="6" w:space="0" w:color="000000"/>
              <w:bottom w:val="single" w:sz="6" w:space="0" w:color="000000"/>
              <w:right w:val="single" w:sz="6" w:space="0" w:color="000000"/>
            </w:tcBorders>
            <w:shd w:val="clear" w:color="auto" w:fill="auto"/>
            <w:vAlign w:val="center"/>
          </w:tcPr>
          <w:p w14:paraId="3FA7C94C" w14:textId="77777777" w:rsidR="00B84975" w:rsidRPr="00EA1BB2" w:rsidRDefault="00B84975" w:rsidP="00B84975">
            <w:pPr>
              <w:spacing w:line="276" w:lineRule="auto"/>
              <w:jc w:val="center"/>
              <w:rPr>
                <w:rFonts w:ascii="Cambria" w:eastAsia="Times New Roman" w:hAnsi="Cambria" w:cs="Arial"/>
                <w:b/>
                <w:sz w:val="24"/>
                <w:szCs w:val="24"/>
                <w:lang w:eastAsia="ro-RO"/>
              </w:rPr>
            </w:pPr>
            <w:r w:rsidRPr="00EA1BB2">
              <w:rPr>
                <w:rFonts w:ascii="Cambria" w:eastAsia="Times New Roman" w:hAnsi="Cambria" w:cs="Arial"/>
                <w:b/>
                <w:sz w:val="24"/>
                <w:szCs w:val="24"/>
                <w:lang w:eastAsia="ro-RO"/>
              </w:rPr>
              <w:t>1910</w:t>
            </w:r>
          </w:p>
        </w:tc>
      </w:tr>
      <w:tr w:rsidR="00B84975" w:rsidRPr="00EA1BB2" w14:paraId="23EFBB25" w14:textId="77777777" w:rsidTr="00B84975">
        <w:trPr>
          <w:trHeight w:val="680"/>
          <w:jc w:val="center"/>
        </w:trPr>
        <w:tc>
          <w:tcPr>
            <w:tcW w:w="0" w:type="auto"/>
            <w:tcBorders>
              <w:top w:val="single" w:sz="6" w:space="0" w:color="000000"/>
              <w:left w:val="single" w:sz="6" w:space="0" w:color="000000"/>
              <w:bottom w:val="single" w:sz="6" w:space="0" w:color="000000"/>
            </w:tcBorders>
            <w:shd w:val="clear" w:color="auto" w:fill="auto"/>
            <w:vAlign w:val="center"/>
          </w:tcPr>
          <w:p w14:paraId="5AC90238" w14:textId="77777777" w:rsidR="00B84975" w:rsidRPr="00EA1BB2" w:rsidRDefault="00B84975" w:rsidP="00B84975">
            <w:pPr>
              <w:spacing w:line="276" w:lineRule="auto"/>
              <w:jc w:val="center"/>
              <w:rPr>
                <w:rFonts w:ascii="Cambria" w:eastAsia="Times New Roman" w:hAnsi="Cambria" w:cs="Arial"/>
                <w:spacing w:val="-4"/>
                <w:sz w:val="24"/>
                <w:szCs w:val="24"/>
                <w:lang w:eastAsia="ro-RO"/>
              </w:rPr>
            </w:pPr>
            <w:r w:rsidRPr="00EA1BB2">
              <w:rPr>
                <w:rFonts w:ascii="Cambria" w:eastAsia="Times New Roman" w:hAnsi="Cambria" w:cs="Arial"/>
                <w:spacing w:val="-4"/>
                <w:sz w:val="24"/>
                <w:szCs w:val="24"/>
                <w:lang w:eastAsia="ro-RO"/>
              </w:rPr>
              <w:t>Regiunea 7 Centru</w:t>
            </w:r>
          </w:p>
        </w:tc>
        <w:tc>
          <w:tcPr>
            <w:tcW w:w="0" w:type="auto"/>
            <w:tcBorders>
              <w:top w:val="single" w:sz="6" w:space="0" w:color="000000"/>
              <w:bottom w:val="single" w:sz="6" w:space="0" w:color="000000"/>
            </w:tcBorders>
            <w:shd w:val="clear" w:color="auto" w:fill="auto"/>
            <w:vAlign w:val="center"/>
          </w:tcPr>
          <w:p w14:paraId="6C6700CC"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407</w:t>
            </w:r>
          </w:p>
        </w:tc>
        <w:tc>
          <w:tcPr>
            <w:tcW w:w="0" w:type="auto"/>
            <w:tcBorders>
              <w:top w:val="single" w:sz="6" w:space="0" w:color="000000"/>
              <w:bottom w:val="single" w:sz="6" w:space="0" w:color="000000"/>
            </w:tcBorders>
            <w:shd w:val="clear" w:color="auto" w:fill="auto"/>
            <w:vAlign w:val="center"/>
          </w:tcPr>
          <w:p w14:paraId="469685E0"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18</w:t>
            </w:r>
          </w:p>
        </w:tc>
        <w:tc>
          <w:tcPr>
            <w:tcW w:w="0" w:type="auto"/>
            <w:tcBorders>
              <w:top w:val="single" w:sz="6" w:space="0" w:color="000000"/>
              <w:bottom w:val="single" w:sz="6" w:space="0" w:color="000000"/>
            </w:tcBorders>
            <w:shd w:val="clear" w:color="auto" w:fill="auto"/>
            <w:vAlign w:val="center"/>
          </w:tcPr>
          <w:p w14:paraId="179AAE48"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517</w:t>
            </w:r>
          </w:p>
        </w:tc>
        <w:tc>
          <w:tcPr>
            <w:tcW w:w="0" w:type="auto"/>
            <w:tcBorders>
              <w:top w:val="single" w:sz="6" w:space="0" w:color="000000"/>
              <w:bottom w:val="single" w:sz="6" w:space="0" w:color="000000"/>
            </w:tcBorders>
            <w:shd w:val="clear" w:color="auto" w:fill="auto"/>
            <w:vAlign w:val="center"/>
          </w:tcPr>
          <w:p w14:paraId="241CB3B5"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169</w:t>
            </w:r>
          </w:p>
        </w:tc>
        <w:tc>
          <w:tcPr>
            <w:tcW w:w="0" w:type="auto"/>
            <w:tcBorders>
              <w:top w:val="single" w:sz="6" w:space="0" w:color="000000"/>
              <w:bottom w:val="single" w:sz="6" w:space="0" w:color="000000"/>
            </w:tcBorders>
            <w:shd w:val="clear" w:color="auto" w:fill="auto"/>
            <w:vAlign w:val="center"/>
          </w:tcPr>
          <w:p w14:paraId="7C26FF64"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31</w:t>
            </w:r>
          </w:p>
        </w:tc>
        <w:tc>
          <w:tcPr>
            <w:tcW w:w="0" w:type="auto"/>
            <w:tcBorders>
              <w:top w:val="single" w:sz="6" w:space="0" w:color="000000"/>
              <w:bottom w:val="single" w:sz="6" w:space="0" w:color="000000"/>
            </w:tcBorders>
            <w:shd w:val="clear" w:color="auto" w:fill="auto"/>
            <w:vAlign w:val="center"/>
          </w:tcPr>
          <w:p w14:paraId="7F209AF5"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16</w:t>
            </w:r>
          </w:p>
        </w:tc>
        <w:tc>
          <w:tcPr>
            <w:tcW w:w="979" w:type="dxa"/>
            <w:tcBorders>
              <w:top w:val="single" w:sz="6" w:space="0" w:color="000000"/>
              <w:bottom w:val="single" w:sz="6" w:space="0" w:color="000000"/>
              <w:right w:val="single" w:sz="6" w:space="0" w:color="000000"/>
            </w:tcBorders>
            <w:shd w:val="clear" w:color="auto" w:fill="auto"/>
            <w:vAlign w:val="center"/>
          </w:tcPr>
          <w:p w14:paraId="20E59E1E" w14:textId="77777777" w:rsidR="00B84975" w:rsidRPr="00EA1BB2" w:rsidRDefault="00B84975" w:rsidP="00B84975">
            <w:pPr>
              <w:spacing w:line="276" w:lineRule="auto"/>
              <w:jc w:val="center"/>
              <w:rPr>
                <w:rFonts w:ascii="Cambria" w:eastAsia="Times New Roman" w:hAnsi="Cambria" w:cs="Arial"/>
                <w:b/>
                <w:sz w:val="24"/>
                <w:szCs w:val="24"/>
                <w:lang w:eastAsia="ro-RO"/>
              </w:rPr>
            </w:pPr>
            <w:r w:rsidRPr="00EA1BB2">
              <w:rPr>
                <w:rFonts w:ascii="Cambria" w:eastAsia="Times New Roman" w:hAnsi="Cambria" w:cs="Arial"/>
                <w:b/>
                <w:sz w:val="24"/>
                <w:szCs w:val="24"/>
                <w:lang w:eastAsia="ro-RO"/>
              </w:rPr>
              <w:t>1158</w:t>
            </w:r>
          </w:p>
        </w:tc>
      </w:tr>
      <w:tr w:rsidR="00B84975" w:rsidRPr="00EA1BB2" w14:paraId="2F175825" w14:textId="77777777" w:rsidTr="00B84975">
        <w:trPr>
          <w:trHeight w:val="680"/>
          <w:jc w:val="center"/>
        </w:trPr>
        <w:tc>
          <w:tcPr>
            <w:tcW w:w="0" w:type="auto"/>
            <w:tcBorders>
              <w:top w:val="single" w:sz="6" w:space="0" w:color="000000"/>
              <w:left w:val="single" w:sz="6" w:space="0" w:color="000000"/>
              <w:bottom w:val="single" w:sz="6" w:space="0" w:color="000000"/>
            </w:tcBorders>
            <w:shd w:val="clear" w:color="auto" w:fill="auto"/>
            <w:vAlign w:val="center"/>
          </w:tcPr>
          <w:p w14:paraId="3EEB308A" w14:textId="77777777" w:rsidR="00B84975" w:rsidRPr="00EA1BB2" w:rsidRDefault="00B84975" w:rsidP="00B84975">
            <w:pPr>
              <w:spacing w:line="276" w:lineRule="auto"/>
              <w:jc w:val="center"/>
              <w:rPr>
                <w:rFonts w:ascii="Cambria" w:eastAsia="Times New Roman" w:hAnsi="Cambria" w:cs="Arial"/>
                <w:spacing w:val="-4"/>
                <w:sz w:val="24"/>
                <w:szCs w:val="24"/>
                <w:lang w:eastAsia="ro-RO"/>
              </w:rPr>
            </w:pPr>
            <w:r w:rsidRPr="00EA1BB2">
              <w:rPr>
                <w:rFonts w:ascii="Cambria" w:eastAsia="Times New Roman" w:hAnsi="Cambria" w:cs="Arial"/>
                <w:spacing w:val="-4"/>
                <w:sz w:val="24"/>
                <w:szCs w:val="24"/>
                <w:lang w:eastAsia="ro-RO"/>
              </w:rPr>
              <w:t>Regiunea 8 București-Ilfov</w:t>
            </w:r>
          </w:p>
        </w:tc>
        <w:tc>
          <w:tcPr>
            <w:tcW w:w="0" w:type="auto"/>
            <w:tcBorders>
              <w:top w:val="single" w:sz="6" w:space="0" w:color="000000"/>
              <w:bottom w:val="single" w:sz="6" w:space="0" w:color="000000"/>
            </w:tcBorders>
            <w:shd w:val="clear" w:color="auto" w:fill="auto"/>
            <w:vAlign w:val="center"/>
          </w:tcPr>
          <w:p w14:paraId="5FB1FD84"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313</w:t>
            </w:r>
          </w:p>
        </w:tc>
        <w:tc>
          <w:tcPr>
            <w:tcW w:w="0" w:type="auto"/>
            <w:tcBorders>
              <w:top w:val="single" w:sz="6" w:space="0" w:color="000000"/>
              <w:bottom w:val="single" w:sz="6" w:space="0" w:color="000000"/>
            </w:tcBorders>
            <w:shd w:val="clear" w:color="auto" w:fill="auto"/>
            <w:vAlign w:val="center"/>
          </w:tcPr>
          <w:p w14:paraId="4A57938F"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27</w:t>
            </w:r>
          </w:p>
        </w:tc>
        <w:tc>
          <w:tcPr>
            <w:tcW w:w="0" w:type="auto"/>
            <w:tcBorders>
              <w:top w:val="single" w:sz="6" w:space="0" w:color="000000"/>
              <w:bottom w:val="single" w:sz="6" w:space="0" w:color="000000"/>
            </w:tcBorders>
            <w:shd w:val="clear" w:color="auto" w:fill="auto"/>
            <w:vAlign w:val="center"/>
          </w:tcPr>
          <w:p w14:paraId="1CC4B04A"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56</w:t>
            </w:r>
          </w:p>
        </w:tc>
        <w:tc>
          <w:tcPr>
            <w:tcW w:w="0" w:type="auto"/>
            <w:tcBorders>
              <w:top w:val="single" w:sz="6" w:space="0" w:color="000000"/>
              <w:bottom w:val="single" w:sz="6" w:space="0" w:color="000000"/>
            </w:tcBorders>
            <w:shd w:val="clear" w:color="auto" w:fill="auto"/>
            <w:vAlign w:val="center"/>
          </w:tcPr>
          <w:p w14:paraId="40ABCA78"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188</w:t>
            </w:r>
          </w:p>
        </w:tc>
        <w:tc>
          <w:tcPr>
            <w:tcW w:w="0" w:type="auto"/>
            <w:tcBorders>
              <w:top w:val="single" w:sz="6" w:space="0" w:color="000000"/>
              <w:bottom w:val="single" w:sz="6" w:space="0" w:color="000000"/>
            </w:tcBorders>
            <w:shd w:val="clear" w:color="auto" w:fill="auto"/>
            <w:vAlign w:val="center"/>
          </w:tcPr>
          <w:p w14:paraId="1983314B"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36</w:t>
            </w:r>
          </w:p>
        </w:tc>
        <w:tc>
          <w:tcPr>
            <w:tcW w:w="0" w:type="auto"/>
            <w:tcBorders>
              <w:top w:val="single" w:sz="6" w:space="0" w:color="000000"/>
              <w:bottom w:val="single" w:sz="6" w:space="0" w:color="000000"/>
            </w:tcBorders>
            <w:shd w:val="clear" w:color="auto" w:fill="auto"/>
            <w:vAlign w:val="center"/>
          </w:tcPr>
          <w:p w14:paraId="5906B999" w14:textId="77777777" w:rsidR="00B84975" w:rsidRPr="00EA1BB2" w:rsidRDefault="00B84975" w:rsidP="00B84975">
            <w:pPr>
              <w:spacing w:line="276" w:lineRule="auto"/>
              <w:jc w:val="center"/>
              <w:rPr>
                <w:rFonts w:ascii="Cambria" w:eastAsia="Times New Roman" w:hAnsi="Cambria" w:cs="Arial"/>
                <w:sz w:val="24"/>
                <w:szCs w:val="24"/>
                <w:lang w:eastAsia="ro-RO"/>
              </w:rPr>
            </w:pPr>
            <w:r w:rsidRPr="00EA1BB2">
              <w:rPr>
                <w:rFonts w:ascii="Cambria" w:eastAsia="Times New Roman" w:hAnsi="Cambria" w:cs="Arial"/>
                <w:sz w:val="24"/>
                <w:szCs w:val="24"/>
                <w:lang w:eastAsia="ro-RO"/>
              </w:rPr>
              <w:t>25</w:t>
            </w:r>
          </w:p>
        </w:tc>
        <w:tc>
          <w:tcPr>
            <w:tcW w:w="979" w:type="dxa"/>
            <w:tcBorders>
              <w:top w:val="single" w:sz="6" w:space="0" w:color="000000"/>
              <w:bottom w:val="single" w:sz="6" w:space="0" w:color="000000"/>
              <w:right w:val="single" w:sz="6" w:space="0" w:color="000000"/>
            </w:tcBorders>
            <w:shd w:val="clear" w:color="auto" w:fill="auto"/>
            <w:vAlign w:val="center"/>
          </w:tcPr>
          <w:p w14:paraId="720B1AFD" w14:textId="77777777" w:rsidR="00B84975" w:rsidRPr="00EA1BB2" w:rsidRDefault="00B84975" w:rsidP="00B84975">
            <w:pPr>
              <w:spacing w:line="276" w:lineRule="auto"/>
              <w:jc w:val="center"/>
              <w:rPr>
                <w:rFonts w:ascii="Cambria" w:eastAsia="Times New Roman" w:hAnsi="Cambria" w:cs="Arial"/>
                <w:b/>
                <w:sz w:val="24"/>
                <w:szCs w:val="24"/>
                <w:lang w:eastAsia="ro-RO"/>
              </w:rPr>
            </w:pPr>
            <w:r w:rsidRPr="00EA1BB2">
              <w:rPr>
                <w:rFonts w:ascii="Cambria" w:eastAsia="Times New Roman" w:hAnsi="Cambria" w:cs="Arial"/>
                <w:b/>
                <w:sz w:val="24"/>
                <w:szCs w:val="24"/>
                <w:lang w:eastAsia="ro-RO"/>
              </w:rPr>
              <w:t>645</w:t>
            </w:r>
          </w:p>
        </w:tc>
      </w:tr>
    </w:tbl>
    <w:p w14:paraId="2D9D3D36" w14:textId="77777777" w:rsidR="00B84975" w:rsidRPr="00EA1BB2" w:rsidRDefault="00B84975" w:rsidP="00B84975">
      <w:pPr>
        <w:spacing w:line="360" w:lineRule="auto"/>
        <w:jc w:val="both"/>
        <w:rPr>
          <w:rFonts w:ascii="Cambria" w:eastAsia="Calibri" w:hAnsi="Cambria" w:cs="Times New Roman"/>
          <w:sz w:val="24"/>
          <w:szCs w:val="24"/>
        </w:rPr>
      </w:pPr>
      <w:r w:rsidRPr="00EA1BB2">
        <w:rPr>
          <w:rFonts w:ascii="Cambria" w:eastAsia="Calibri" w:hAnsi="Cambria" w:cs="Times New Roman"/>
        </w:rPr>
        <w:t>Sursa: ANPM - Raport anul privind Starea Mediului în România pe anul 2008</w:t>
      </w:r>
    </w:p>
    <w:p w14:paraId="04421C2F" w14:textId="77777777" w:rsidR="00B84975" w:rsidRPr="00EA1BB2" w:rsidRDefault="00B84975" w:rsidP="00B84975">
      <w:pPr>
        <w:spacing w:line="360" w:lineRule="auto"/>
        <w:jc w:val="both"/>
        <w:rPr>
          <w:rFonts w:ascii="Cambria" w:eastAsia="Calibri" w:hAnsi="Cambria" w:cs="Times New Roman"/>
          <w:sz w:val="24"/>
          <w:szCs w:val="24"/>
        </w:rPr>
      </w:pPr>
    </w:p>
    <w:p w14:paraId="773FE933" w14:textId="7281885B" w:rsidR="00B84975" w:rsidRPr="00EA1BB2" w:rsidRDefault="00B84975" w:rsidP="00B84975">
      <w:pPr>
        <w:keepNext/>
        <w:spacing w:line="360" w:lineRule="auto"/>
        <w:ind w:firstLine="720"/>
        <w:jc w:val="both"/>
        <w:rPr>
          <w:rFonts w:ascii="Cambria" w:eastAsia="Calibri" w:hAnsi="Cambria" w:cs="Times New Roman"/>
          <w:b/>
          <w:iCs/>
          <w:sz w:val="24"/>
          <w:szCs w:val="18"/>
        </w:rPr>
      </w:pPr>
      <w:bookmarkStart w:id="233" w:name="_Toc490395262"/>
      <w:bookmarkStart w:id="234" w:name="_Toc524966237"/>
      <w:r w:rsidRPr="00EA1BB2">
        <w:rPr>
          <w:rFonts w:ascii="Cambria" w:eastAsia="Calibri" w:hAnsi="Cambria" w:cs="Times New Roman"/>
          <w:b/>
          <w:iCs/>
          <w:sz w:val="24"/>
          <w:szCs w:val="18"/>
        </w:rPr>
        <w:lastRenderedPageBreak/>
        <w:t xml:space="preserve">Figura nr. </w:t>
      </w:r>
      <w:r w:rsidR="00280BC9" w:rsidRPr="00EA1BB2">
        <w:rPr>
          <w:rFonts w:ascii="Cambria" w:eastAsia="Calibri" w:hAnsi="Cambria" w:cs="Times New Roman"/>
          <w:b/>
          <w:iCs/>
          <w:sz w:val="24"/>
          <w:szCs w:val="18"/>
        </w:rPr>
        <w:fldChar w:fldCharType="begin"/>
      </w:r>
      <w:r w:rsidR="00BA6FA3" w:rsidRPr="00EA1BB2">
        <w:rPr>
          <w:rFonts w:ascii="Cambria" w:eastAsia="Calibri" w:hAnsi="Cambria" w:cs="Times New Roman"/>
          <w:b/>
          <w:iCs/>
          <w:sz w:val="24"/>
          <w:szCs w:val="18"/>
        </w:rPr>
        <w:instrText xml:space="preserve"> STYLEREF 1 \s </w:instrText>
      </w:r>
      <w:r w:rsidR="00280BC9" w:rsidRPr="00EA1BB2">
        <w:rPr>
          <w:rFonts w:ascii="Cambria" w:eastAsia="Calibri" w:hAnsi="Cambria" w:cs="Times New Roman"/>
          <w:b/>
          <w:iCs/>
          <w:sz w:val="24"/>
          <w:szCs w:val="18"/>
        </w:rPr>
        <w:fldChar w:fldCharType="separate"/>
      </w:r>
      <w:r w:rsidR="00567555">
        <w:rPr>
          <w:rFonts w:ascii="Cambria" w:eastAsia="Calibri" w:hAnsi="Cambria" w:cs="Times New Roman"/>
          <w:b/>
          <w:iCs/>
          <w:noProof/>
          <w:sz w:val="24"/>
          <w:szCs w:val="18"/>
        </w:rPr>
        <w:t>4</w:t>
      </w:r>
      <w:r w:rsidR="00280BC9" w:rsidRPr="00EA1BB2">
        <w:rPr>
          <w:rFonts w:ascii="Cambria" w:eastAsia="Calibri" w:hAnsi="Cambria" w:cs="Times New Roman"/>
          <w:b/>
          <w:iCs/>
          <w:sz w:val="24"/>
          <w:szCs w:val="18"/>
        </w:rPr>
        <w:fldChar w:fldCharType="end"/>
      </w:r>
      <w:r w:rsidR="00BA6FA3" w:rsidRPr="00EA1BB2">
        <w:rPr>
          <w:rFonts w:ascii="Cambria" w:eastAsia="Calibri" w:hAnsi="Cambria" w:cs="Times New Roman"/>
          <w:b/>
          <w:iCs/>
          <w:sz w:val="24"/>
          <w:szCs w:val="18"/>
        </w:rPr>
        <w:noBreakHyphen/>
      </w:r>
      <w:r w:rsidR="00280BC9" w:rsidRPr="00EA1BB2">
        <w:rPr>
          <w:rFonts w:ascii="Cambria" w:eastAsia="Calibri" w:hAnsi="Cambria" w:cs="Times New Roman"/>
          <w:b/>
          <w:iCs/>
          <w:sz w:val="24"/>
          <w:szCs w:val="18"/>
        </w:rPr>
        <w:fldChar w:fldCharType="begin"/>
      </w:r>
      <w:r w:rsidR="00BA6FA3" w:rsidRPr="00EA1BB2">
        <w:rPr>
          <w:rFonts w:ascii="Cambria" w:eastAsia="Calibri" w:hAnsi="Cambria" w:cs="Times New Roman"/>
          <w:b/>
          <w:iCs/>
          <w:sz w:val="24"/>
          <w:szCs w:val="18"/>
        </w:rPr>
        <w:instrText xml:space="preserve"> SEQ Figura_nr. \* ARABIC \s 1 </w:instrText>
      </w:r>
      <w:r w:rsidR="00280BC9" w:rsidRPr="00EA1BB2">
        <w:rPr>
          <w:rFonts w:ascii="Cambria" w:eastAsia="Calibri" w:hAnsi="Cambria" w:cs="Times New Roman"/>
          <w:b/>
          <w:iCs/>
          <w:sz w:val="24"/>
          <w:szCs w:val="18"/>
        </w:rPr>
        <w:fldChar w:fldCharType="separate"/>
      </w:r>
      <w:r w:rsidR="00567555">
        <w:rPr>
          <w:rFonts w:ascii="Cambria" w:eastAsia="Calibri" w:hAnsi="Cambria" w:cs="Times New Roman"/>
          <w:b/>
          <w:iCs/>
          <w:noProof/>
          <w:sz w:val="24"/>
          <w:szCs w:val="18"/>
        </w:rPr>
        <w:t>1</w:t>
      </w:r>
      <w:r w:rsidR="00280BC9" w:rsidRPr="00EA1BB2">
        <w:rPr>
          <w:rFonts w:ascii="Cambria" w:eastAsia="Calibri" w:hAnsi="Cambria" w:cs="Times New Roman"/>
          <w:b/>
          <w:iCs/>
          <w:sz w:val="24"/>
          <w:szCs w:val="18"/>
        </w:rPr>
        <w:fldChar w:fldCharType="end"/>
      </w:r>
      <w:r w:rsidRPr="00EA1BB2">
        <w:rPr>
          <w:rFonts w:ascii="Cambria" w:eastAsia="Calibri" w:hAnsi="Cambria" w:cs="Times New Roman"/>
          <w:b/>
          <w:iCs/>
          <w:sz w:val="24"/>
          <w:szCs w:val="18"/>
        </w:rPr>
        <w:t xml:space="preserve"> - Stadiul de realizare al acțiunilor de mediu la nivel național – anul 2008</w:t>
      </w:r>
      <w:bookmarkEnd w:id="233"/>
      <w:bookmarkEnd w:id="234"/>
    </w:p>
    <w:p w14:paraId="69E23738" w14:textId="77777777" w:rsidR="00B84975" w:rsidRPr="00EA1BB2" w:rsidRDefault="00B84975" w:rsidP="00B84975">
      <w:pPr>
        <w:spacing w:line="276" w:lineRule="auto"/>
        <w:jc w:val="center"/>
        <w:rPr>
          <w:rFonts w:ascii="Cambria" w:eastAsia="Calibri" w:hAnsi="Cambria" w:cs="Times New Roman"/>
          <w:sz w:val="24"/>
          <w:szCs w:val="24"/>
        </w:rPr>
      </w:pPr>
      <w:r w:rsidRPr="00EA1BB2">
        <w:rPr>
          <w:rFonts w:ascii="Cambria" w:eastAsia="Calibri" w:hAnsi="Cambria" w:cs="Times New Roman"/>
          <w:noProof/>
          <w:sz w:val="24"/>
          <w:szCs w:val="24"/>
          <w:lang w:val="en-US"/>
        </w:rPr>
        <w:drawing>
          <wp:inline distT="0" distB="0" distL="0" distR="0" wp14:anchorId="31406263" wp14:editId="0E0B4563">
            <wp:extent cx="5760000" cy="3200400"/>
            <wp:effectExtent l="0" t="0" r="1270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266D5C8D" w14:textId="77777777" w:rsidR="00B84975" w:rsidRPr="00EA1BB2" w:rsidRDefault="00B84975" w:rsidP="00B84975">
      <w:pPr>
        <w:spacing w:line="360" w:lineRule="auto"/>
        <w:jc w:val="both"/>
        <w:rPr>
          <w:rFonts w:ascii="Cambria" w:eastAsia="Calibri" w:hAnsi="Cambria" w:cs="Times New Roman"/>
          <w:sz w:val="24"/>
          <w:szCs w:val="24"/>
        </w:rPr>
      </w:pPr>
      <w:r w:rsidRPr="00EA1BB2">
        <w:rPr>
          <w:rFonts w:ascii="Cambria" w:eastAsia="Calibri" w:hAnsi="Cambria" w:cs="Times New Roman"/>
        </w:rPr>
        <w:t>ANPM - Raport anul privind Starea Mediului în România pe anul 2008</w:t>
      </w:r>
    </w:p>
    <w:p w14:paraId="4C8454B4" w14:textId="77777777" w:rsidR="00B84975" w:rsidRPr="00EA1BB2" w:rsidRDefault="00B84975" w:rsidP="00B84975">
      <w:pPr>
        <w:spacing w:line="360" w:lineRule="auto"/>
        <w:jc w:val="both"/>
        <w:rPr>
          <w:rFonts w:ascii="Cambria" w:eastAsia="Calibri" w:hAnsi="Cambria" w:cs="Times New Roman"/>
          <w:sz w:val="24"/>
          <w:szCs w:val="24"/>
        </w:rPr>
      </w:pPr>
    </w:p>
    <w:p w14:paraId="0BB2622C" w14:textId="77777777" w:rsidR="00B84975" w:rsidRPr="00EA1BB2" w:rsidRDefault="00B84975" w:rsidP="00B84975">
      <w:pPr>
        <w:spacing w:line="360" w:lineRule="auto"/>
        <w:ind w:firstLine="709"/>
        <w:jc w:val="both"/>
        <w:rPr>
          <w:rFonts w:ascii="Cambria" w:eastAsia="Calibri" w:hAnsi="Cambria" w:cs="Times New Roman"/>
          <w:sz w:val="24"/>
          <w:szCs w:val="24"/>
        </w:rPr>
      </w:pPr>
      <w:r w:rsidRPr="00EA1BB2">
        <w:rPr>
          <w:rFonts w:ascii="Cambria" w:eastAsia="Calibri" w:hAnsi="Cambria" w:cs="Times New Roman"/>
          <w:sz w:val="24"/>
          <w:szCs w:val="24"/>
        </w:rPr>
        <w:t>Planurile de acțiune pentru mediu sunt strâns legate de alte activități, cum ar fi: programele de dezvoltare durabilă, Agenda Locală 21, sistemele de management al mediului, strategiile și planurile de implementare ale acquis-ului comunitar etc. Multe dintre aceste programe utilizează metodologii similare, prin abordarea planificării strategice bazată pe o largă implicare a părților interesate în proces.</w:t>
      </w:r>
    </w:p>
    <w:p w14:paraId="556CF139" w14:textId="77777777" w:rsidR="00B84975" w:rsidRPr="00EA1BB2" w:rsidRDefault="00B84975" w:rsidP="00B84975">
      <w:pPr>
        <w:spacing w:line="360" w:lineRule="auto"/>
        <w:ind w:firstLine="709"/>
        <w:jc w:val="both"/>
        <w:rPr>
          <w:rFonts w:ascii="Cambria" w:eastAsia="Calibri" w:hAnsi="Cambria" w:cs="Times New Roman"/>
          <w:b/>
          <w:sz w:val="24"/>
          <w:szCs w:val="24"/>
        </w:rPr>
      </w:pPr>
    </w:p>
    <w:p w14:paraId="4F6EFD3C" w14:textId="77777777" w:rsidR="00B84975" w:rsidRPr="00EA1BB2" w:rsidRDefault="00B84975" w:rsidP="00B84975">
      <w:pPr>
        <w:spacing w:line="360" w:lineRule="auto"/>
        <w:ind w:firstLine="709"/>
        <w:jc w:val="both"/>
        <w:rPr>
          <w:rFonts w:ascii="Cambria" w:eastAsia="Calibri" w:hAnsi="Cambria" w:cs="Times New Roman"/>
          <w:sz w:val="24"/>
          <w:szCs w:val="24"/>
        </w:rPr>
      </w:pPr>
      <w:r w:rsidRPr="00EA1BB2">
        <w:rPr>
          <w:rFonts w:ascii="Cambria" w:eastAsia="Calibri" w:hAnsi="Cambria" w:cs="Times New Roman"/>
          <w:i/>
          <w:sz w:val="24"/>
          <w:szCs w:val="24"/>
          <w:u w:val="single"/>
        </w:rPr>
        <w:t>Fondul pentru Mediu (FM)</w:t>
      </w:r>
      <w:r w:rsidRPr="00EA1BB2">
        <w:rPr>
          <w:rFonts w:ascii="Cambria" w:eastAsia="Calibri" w:hAnsi="Cambria" w:cs="Times New Roman"/>
          <w:sz w:val="24"/>
          <w:szCs w:val="24"/>
        </w:rPr>
        <w:t xml:space="preserve"> este constituit conform principiilor europene „Poluatorul plătește” și “Responsabilitatea producătorului”, în vederea implementării legislației privind protecția mediului înconjurător, armonizată cu prevederile acquis-ului comunitar. Acest Fond este gestionat de către Administrația Fondului pentru Mediu (A.F.M.), instituție publică, aflată în coordonarea Ministerului Mediului.</w:t>
      </w:r>
    </w:p>
    <w:p w14:paraId="6FF5C55B" w14:textId="77777777" w:rsidR="00B84975" w:rsidRPr="00EA1BB2" w:rsidRDefault="00B84975" w:rsidP="00B84975">
      <w:pPr>
        <w:spacing w:line="360" w:lineRule="auto"/>
        <w:ind w:firstLine="709"/>
        <w:jc w:val="both"/>
        <w:rPr>
          <w:rFonts w:ascii="Cambria" w:eastAsia="Calibri" w:hAnsi="Cambria" w:cs="Times New Roman"/>
          <w:sz w:val="24"/>
          <w:szCs w:val="24"/>
        </w:rPr>
      </w:pPr>
      <w:r w:rsidRPr="00EA1BB2">
        <w:rPr>
          <w:rFonts w:ascii="Cambria" w:eastAsia="Calibri" w:hAnsi="Cambria" w:cs="Times New Roman"/>
          <w:sz w:val="24"/>
          <w:szCs w:val="24"/>
        </w:rPr>
        <w:t>Administrația Fondului pentru Mediu acordă sprijin financiar pentru realizarea proiectelor prioritare de protecția mediului, ajutând pe de o parte autoritățile publice locale să implementeze prioritățile Planului Național de Dezvoltare și Directivele Uniunii Europene, pentru sporirea potențialului de investiții, reabilitarea mediului și creșterea calității vieții în cadrul comunităților, precum și protejarea sănătății populației, și pe de altă parte, ca operatorii economici să-și îndeplinească obligațiile cuprinse în programele de conformare.</w:t>
      </w:r>
    </w:p>
    <w:p w14:paraId="42A116BD" w14:textId="77777777" w:rsidR="00B84975" w:rsidRPr="00EA1BB2" w:rsidRDefault="00B84975" w:rsidP="00B84975">
      <w:pPr>
        <w:spacing w:line="360" w:lineRule="auto"/>
        <w:ind w:firstLine="709"/>
        <w:jc w:val="both"/>
        <w:rPr>
          <w:rFonts w:ascii="Cambria" w:eastAsia="Calibri" w:hAnsi="Cambria" w:cs="Times New Roman"/>
          <w:sz w:val="24"/>
          <w:szCs w:val="24"/>
        </w:rPr>
      </w:pPr>
      <w:r w:rsidRPr="00EA1BB2">
        <w:rPr>
          <w:rFonts w:ascii="Cambria" w:eastAsia="Calibri" w:hAnsi="Cambria" w:cs="Times New Roman"/>
          <w:sz w:val="24"/>
          <w:szCs w:val="24"/>
        </w:rPr>
        <w:lastRenderedPageBreak/>
        <w:t>Conform O.U.G. nr. 50/2008</w:t>
      </w:r>
      <w:r w:rsidR="000655C5" w:rsidRPr="00EA1BB2">
        <w:rPr>
          <w:rFonts w:ascii="Cambria" w:eastAsia="Calibri" w:hAnsi="Cambria" w:cs="Times New Roman"/>
          <w:sz w:val="24"/>
          <w:szCs w:val="24"/>
        </w:rPr>
        <w:t xml:space="preserve"> pentru instituirea taxei de poluare pentru autovehicule</w:t>
      </w:r>
      <w:r w:rsidRPr="00EA1BB2">
        <w:rPr>
          <w:rFonts w:ascii="Cambria" w:eastAsia="Calibri" w:hAnsi="Cambria" w:cs="Times New Roman"/>
          <w:sz w:val="24"/>
          <w:szCs w:val="24"/>
        </w:rPr>
        <w:t>, din sumele provenite din taxa pe poluare pentru autovehicule se finanțează programe și proiecte pentru protecția mediului, și anume:</w:t>
      </w:r>
    </w:p>
    <w:p w14:paraId="38F2330B" w14:textId="77777777" w:rsidR="00B84975" w:rsidRPr="00EA1BB2" w:rsidRDefault="00B84975" w:rsidP="00993575">
      <w:pPr>
        <w:numPr>
          <w:ilvl w:val="0"/>
          <w:numId w:val="54"/>
        </w:numPr>
        <w:spacing w:after="160" w:line="360" w:lineRule="auto"/>
        <w:ind w:left="851"/>
        <w:contextualSpacing/>
        <w:jc w:val="both"/>
        <w:rPr>
          <w:rFonts w:ascii="Cambria" w:eastAsia="Calibri" w:hAnsi="Cambria" w:cs="Times New Roman"/>
          <w:sz w:val="24"/>
          <w:szCs w:val="24"/>
        </w:rPr>
      </w:pPr>
      <w:r w:rsidRPr="00EA1BB2">
        <w:rPr>
          <w:rFonts w:ascii="Cambria" w:eastAsia="Calibri" w:hAnsi="Cambria" w:cs="Times New Roman"/>
          <w:sz w:val="24"/>
          <w:szCs w:val="24"/>
        </w:rPr>
        <w:t>programul de stimulare a înnoirii parcului auto național;</w:t>
      </w:r>
    </w:p>
    <w:p w14:paraId="3E9CF36E" w14:textId="77777777" w:rsidR="00B84975" w:rsidRPr="00EA1BB2" w:rsidRDefault="00B84975" w:rsidP="00993575">
      <w:pPr>
        <w:numPr>
          <w:ilvl w:val="0"/>
          <w:numId w:val="54"/>
        </w:numPr>
        <w:spacing w:after="160" w:line="360" w:lineRule="auto"/>
        <w:ind w:left="851"/>
        <w:contextualSpacing/>
        <w:jc w:val="both"/>
        <w:rPr>
          <w:rFonts w:ascii="Cambria" w:eastAsia="Calibri" w:hAnsi="Cambria" w:cs="Times New Roman"/>
          <w:sz w:val="24"/>
          <w:szCs w:val="24"/>
        </w:rPr>
      </w:pPr>
      <w:r w:rsidRPr="00EA1BB2">
        <w:rPr>
          <w:rFonts w:ascii="Cambria" w:eastAsia="Calibri" w:hAnsi="Cambria" w:cs="Times New Roman"/>
          <w:sz w:val="24"/>
          <w:szCs w:val="24"/>
        </w:rPr>
        <w:t>programul național de îmbunătățire a calității mediului prin realizarea de spații verzi în localități;</w:t>
      </w:r>
    </w:p>
    <w:p w14:paraId="263392E9" w14:textId="77777777" w:rsidR="00B84975" w:rsidRPr="00EA1BB2" w:rsidRDefault="00B84975" w:rsidP="00993575">
      <w:pPr>
        <w:numPr>
          <w:ilvl w:val="0"/>
          <w:numId w:val="54"/>
        </w:numPr>
        <w:spacing w:after="160" w:line="360" w:lineRule="auto"/>
        <w:ind w:left="851"/>
        <w:contextualSpacing/>
        <w:jc w:val="both"/>
        <w:rPr>
          <w:rFonts w:ascii="Cambria" w:eastAsia="Calibri" w:hAnsi="Cambria" w:cs="Times New Roman"/>
          <w:sz w:val="24"/>
          <w:szCs w:val="24"/>
        </w:rPr>
      </w:pPr>
      <w:r w:rsidRPr="00EA1BB2">
        <w:rPr>
          <w:rFonts w:ascii="Cambria" w:eastAsia="Calibri" w:hAnsi="Cambria" w:cs="Times New Roman"/>
          <w:sz w:val="24"/>
          <w:szCs w:val="24"/>
        </w:rPr>
        <w:t>proiecte de înlocuire sau completare a sistemelor clasice de încălzire cu sisteme care utilizează energie solară, energie geotermală și energie eoliană sau alte sisteme care conduc la îmbunătățirea calității aerului, apei și solului;</w:t>
      </w:r>
    </w:p>
    <w:p w14:paraId="2397C738" w14:textId="77777777" w:rsidR="00B84975" w:rsidRPr="00EA1BB2" w:rsidRDefault="00B84975" w:rsidP="00993575">
      <w:pPr>
        <w:numPr>
          <w:ilvl w:val="0"/>
          <w:numId w:val="54"/>
        </w:numPr>
        <w:spacing w:after="160" w:line="360" w:lineRule="auto"/>
        <w:ind w:left="851"/>
        <w:contextualSpacing/>
        <w:jc w:val="both"/>
        <w:rPr>
          <w:rFonts w:ascii="Cambria" w:eastAsia="Calibri" w:hAnsi="Cambria" w:cs="Times New Roman"/>
          <w:sz w:val="24"/>
          <w:szCs w:val="24"/>
        </w:rPr>
      </w:pPr>
      <w:r w:rsidRPr="00EA1BB2">
        <w:rPr>
          <w:rFonts w:ascii="Cambria" w:eastAsia="Calibri" w:hAnsi="Cambria" w:cs="Times New Roman"/>
          <w:sz w:val="24"/>
          <w:szCs w:val="24"/>
        </w:rPr>
        <w:t>proiecte privind producerea energiei din surse regenerabile: eoliană, geotermală, solară, biomasă, microhidrocentrale;</w:t>
      </w:r>
    </w:p>
    <w:p w14:paraId="10C26944" w14:textId="77777777" w:rsidR="00B84975" w:rsidRPr="00EA1BB2" w:rsidRDefault="00B84975" w:rsidP="00993575">
      <w:pPr>
        <w:numPr>
          <w:ilvl w:val="0"/>
          <w:numId w:val="54"/>
        </w:numPr>
        <w:spacing w:after="160" w:line="360" w:lineRule="auto"/>
        <w:ind w:left="851"/>
        <w:contextualSpacing/>
        <w:jc w:val="both"/>
        <w:rPr>
          <w:rFonts w:ascii="Cambria" w:eastAsia="Calibri" w:hAnsi="Cambria" w:cs="Times New Roman"/>
          <w:sz w:val="24"/>
          <w:szCs w:val="24"/>
        </w:rPr>
      </w:pPr>
      <w:r w:rsidRPr="00EA1BB2">
        <w:rPr>
          <w:rFonts w:ascii="Cambria" w:eastAsia="Calibri" w:hAnsi="Cambria" w:cs="Times New Roman"/>
          <w:sz w:val="24"/>
          <w:szCs w:val="24"/>
        </w:rPr>
        <w:t>proiecte privind împădurirea terenurilor agricole degradate, a terenurilor din fondul forestier național afectat de calamități naturale și a terenurilor defrișate;</w:t>
      </w:r>
    </w:p>
    <w:p w14:paraId="0D4D18D8" w14:textId="77777777" w:rsidR="00B84975" w:rsidRPr="00EA1BB2" w:rsidRDefault="00B84975" w:rsidP="00993575">
      <w:pPr>
        <w:numPr>
          <w:ilvl w:val="0"/>
          <w:numId w:val="54"/>
        </w:numPr>
        <w:spacing w:after="160" w:line="360" w:lineRule="auto"/>
        <w:ind w:left="851"/>
        <w:contextualSpacing/>
        <w:jc w:val="both"/>
        <w:rPr>
          <w:rFonts w:ascii="Cambria" w:eastAsia="Calibri" w:hAnsi="Cambria" w:cs="Times New Roman"/>
          <w:sz w:val="24"/>
          <w:szCs w:val="24"/>
        </w:rPr>
      </w:pPr>
      <w:r w:rsidRPr="00EA1BB2">
        <w:rPr>
          <w:rFonts w:ascii="Cambria" w:eastAsia="Calibri" w:hAnsi="Cambria" w:cs="Times New Roman"/>
          <w:sz w:val="24"/>
          <w:szCs w:val="24"/>
        </w:rPr>
        <w:t>proiecte de renaturare a terenurilor scoase din patrimoniul natural;</w:t>
      </w:r>
    </w:p>
    <w:p w14:paraId="61BEC05A" w14:textId="77777777" w:rsidR="00B84975" w:rsidRPr="00EA1BB2" w:rsidRDefault="00B84975" w:rsidP="00993575">
      <w:pPr>
        <w:numPr>
          <w:ilvl w:val="0"/>
          <w:numId w:val="54"/>
        </w:numPr>
        <w:spacing w:after="160" w:line="360" w:lineRule="auto"/>
        <w:ind w:left="851"/>
        <w:contextualSpacing/>
        <w:jc w:val="both"/>
        <w:rPr>
          <w:rFonts w:ascii="Cambria" w:eastAsia="Calibri" w:hAnsi="Cambria" w:cs="Times New Roman"/>
          <w:sz w:val="24"/>
          <w:szCs w:val="24"/>
        </w:rPr>
      </w:pPr>
      <w:r w:rsidRPr="00EA1BB2">
        <w:rPr>
          <w:rFonts w:ascii="Cambria" w:eastAsia="Calibri" w:hAnsi="Cambria" w:cs="Times New Roman"/>
          <w:sz w:val="24"/>
          <w:szCs w:val="24"/>
        </w:rPr>
        <w:t>proiecte de realizare a pistelor pentru bicicliști.</w:t>
      </w:r>
    </w:p>
    <w:p w14:paraId="6DE62B23" w14:textId="77777777" w:rsidR="00B84975" w:rsidRPr="00EA1BB2" w:rsidRDefault="00B84975" w:rsidP="00B84975">
      <w:pPr>
        <w:spacing w:line="360" w:lineRule="auto"/>
        <w:ind w:firstLine="709"/>
        <w:jc w:val="both"/>
        <w:rPr>
          <w:rFonts w:ascii="Cambria" w:eastAsia="Calibri" w:hAnsi="Cambria" w:cs="Times New Roman"/>
          <w:sz w:val="24"/>
          <w:szCs w:val="24"/>
        </w:rPr>
      </w:pPr>
      <w:r w:rsidRPr="00EA1BB2">
        <w:rPr>
          <w:rFonts w:ascii="Cambria" w:eastAsia="Calibri" w:hAnsi="Cambria" w:cs="Times New Roman"/>
          <w:sz w:val="24"/>
          <w:szCs w:val="24"/>
        </w:rPr>
        <w:t>Sprijinul financiar din Fondul pentru Mediu se acordă în scopul stimulării investițiilor de mediu necesare modernizării, retehnologizării și achiziționării instalațiilor pentru producerea energiei din surse regenerabile, realizării de instalații care folosesc tehnologii curate în toate sectoarele industriale, care permit reducerea consumurilor de materii prime și energie, reducerea cantităților de deșeuri depozitate și introducerea acestora în circuitul economic, creșterea gradului de recuperare, reciclare și valorificare a deșeurilor de ambalaje, utilizarea substanțelor cel mai puțin periculoase, reducerea emisiilor poluante, creșterea suprafețelor împădurite, prevenirea eroziunii solului, reducerea riscului de inundații.</w:t>
      </w:r>
    </w:p>
    <w:p w14:paraId="3211D3E1" w14:textId="77777777" w:rsidR="00B84975" w:rsidRPr="00EA1BB2" w:rsidRDefault="00B84975" w:rsidP="00B84975">
      <w:pPr>
        <w:spacing w:line="360" w:lineRule="auto"/>
        <w:ind w:firstLine="709"/>
        <w:jc w:val="both"/>
        <w:rPr>
          <w:rFonts w:ascii="Cambria" w:eastAsia="Calibri" w:hAnsi="Cambria" w:cs="Times New Roman"/>
          <w:i/>
          <w:sz w:val="24"/>
          <w:szCs w:val="24"/>
          <w:u w:val="single"/>
        </w:rPr>
      </w:pPr>
      <w:r w:rsidRPr="00EA1BB2">
        <w:rPr>
          <w:rFonts w:ascii="Cambria" w:eastAsia="Calibri" w:hAnsi="Cambria" w:cs="Times New Roman"/>
          <w:i/>
          <w:sz w:val="24"/>
          <w:szCs w:val="24"/>
          <w:u w:val="single"/>
        </w:rPr>
        <w:t>Programul PHARE în România</w:t>
      </w:r>
    </w:p>
    <w:p w14:paraId="70FA2372" w14:textId="77777777" w:rsidR="00B84975" w:rsidRPr="00EA1BB2" w:rsidRDefault="00B84975" w:rsidP="00B84975">
      <w:pPr>
        <w:spacing w:line="360" w:lineRule="auto"/>
        <w:ind w:firstLine="709"/>
        <w:jc w:val="both"/>
        <w:rPr>
          <w:rFonts w:ascii="Cambria" w:eastAsia="Calibri" w:hAnsi="Cambria" w:cs="Times New Roman"/>
          <w:sz w:val="24"/>
          <w:szCs w:val="24"/>
        </w:rPr>
      </w:pPr>
      <w:r w:rsidRPr="00EA1BB2">
        <w:rPr>
          <w:rFonts w:ascii="Cambria" w:eastAsia="Calibri" w:hAnsi="Cambria" w:cs="Times New Roman"/>
          <w:sz w:val="24"/>
          <w:szCs w:val="24"/>
        </w:rPr>
        <w:t>Programul PHARE este unul dintre cele trei instrumente de pre-aderare finanțate de Uniunea Europeană în procesul de asistență acordată țărilor din Centrul și Estul Europei, candidate la aderarea la Uniunea Europeană.</w:t>
      </w:r>
    </w:p>
    <w:p w14:paraId="472EBBE8" w14:textId="77777777" w:rsidR="00B84975" w:rsidRPr="00EA1BB2" w:rsidRDefault="00B84975" w:rsidP="00B84975">
      <w:pPr>
        <w:spacing w:line="360" w:lineRule="auto"/>
        <w:ind w:firstLine="709"/>
        <w:jc w:val="both"/>
        <w:rPr>
          <w:rFonts w:ascii="Cambria" w:eastAsia="Calibri" w:hAnsi="Cambria" w:cs="Times New Roman"/>
          <w:sz w:val="24"/>
          <w:szCs w:val="24"/>
        </w:rPr>
      </w:pPr>
      <w:r w:rsidRPr="00EA1BB2">
        <w:rPr>
          <w:rFonts w:ascii="Cambria" w:eastAsia="Calibri" w:hAnsi="Cambria" w:cs="Times New Roman"/>
          <w:sz w:val="24"/>
          <w:szCs w:val="24"/>
        </w:rPr>
        <w:t>Obiectivele PHARE sunt:</w:t>
      </w:r>
    </w:p>
    <w:p w14:paraId="66EB97E8" w14:textId="77777777" w:rsidR="00B84975" w:rsidRPr="00EA1BB2" w:rsidRDefault="00B84975" w:rsidP="00993575">
      <w:pPr>
        <w:numPr>
          <w:ilvl w:val="0"/>
          <w:numId w:val="55"/>
        </w:numPr>
        <w:spacing w:after="160" w:line="360" w:lineRule="auto"/>
        <w:contextualSpacing/>
        <w:jc w:val="both"/>
        <w:rPr>
          <w:rFonts w:ascii="Cambria" w:eastAsia="Calibri" w:hAnsi="Cambria" w:cs="Times New Roman"/>
          <w:sz w:val="24"/>
          <w:szCs w:val="24"/>
        </w:rPr>
      </w:pPr>
      <w:r w:rsidRPr="00EA1BB2">
        <w:rPr>
          <w:rFonts w:ascii="Cambria" w:eastAsia="Calibri" w:hAnsi="Cambria" w:cs="Times New Roman"/>
          <w:sz w:val="24"/>
          <w:szCs w:val="24"/>
        </w:rPr>
        <w:t>întărirea administrațiilor și instituțiilor publice pentru a funcționa eficient în interiorul Uniunii Europene;</w:t>
      </w:r>
    </w:p>
    <w:p w14:paraId="772F9D4F" w14:textId="77777777" w:rsidR="00B84975" w:rsidRPr="00EA1BB2" w:rsidRDefault="00B84975" w:rsidP="00993575">
      <w:pPr>
        <w:numPr>
          <w:ilvl w:val="0"/>
          <w:numId w:val="55"/>
        </w:numPr>
        <w:spacing w:after="160" w:line="360" w:lineRule="auto"/>
        <w:contextualSpacing/>
        <w:jc w:val="both"/>
        <w:rPr>
          <w:rFonts w:ascii="Cambria" w:eastAsia="Calibri" w:hAnsi="Cambria" w:cs="Times New Roman"/>
          <w:sz w:val="24"/>
          <w:szCs w:val="24"/>
        </w:rPr>
      </w:pPr>
      <w:r w:rsidRPr="00EA1BB2">
        <w:rPr>
          <w:rFonts w:ascii="Cambria" w:eastAsia="Calibri" w:hAnsi="Cambria" w:cs="Times New Roman"/>
          <w:sz w:val="24"/>
          <w:szCs w:val="24"/>
        </w:rPr>
        <w:t>apropierea de acquis-ul comunitar (legislația extinsă a Uniunii Europene) și reducerea necesitații perioadelor de tranziție ;</w:t>
      </w:r>
    </w:p>
    <w:p w14:paraId="78B2CD77" w14:textId="77777777" w:rsidR="00B84975" w:rsidRPr="00EA1BB2" w:rsidRDefault="00B84975" w:rsidP="00993575">
      <w:pPr>
        <w:numPr>
          <w:ilvl w:val="0"/>
          <w:numId w:val="55"/>
        </w:numPr>
        <w:spacing w:after="160" w:line="360" w:lineRule="auto"/>
        <w:contextualSpacing/>
        <w:jc w:val="both"/>
        <w:rPr>
          <w:rFonts w:ascii="Cambria" w:eastAsia="Calibri" w:hAnsi="Cambria" w:cs="Times New Roman"/>
          <w:sz w:val="24"/>
          <w:szCs w:val="24"/>
        </w:rPr>
      </w:pPr>
      <w:r w:rsidRPr="00EA1BB2">
        <w:rPr>
          <w:rFonts w:ascii="Cambria" w:eastAsia="Calibri" w:hAnsi="Cambria" w:cs="Times New Roman"/>
          <w:sz w:val="24"/>
          <w:szCs w:val="24"/>
        </w:rPr>
        <w:lastRenderedPageBreak/>
        <w:t>promovarea coeziunii economice și sociale.</w:t>
      </w:r>
    </w:p>
    <w:p w14:paraId="7E81527A" w14:textId="77777777" w:rsidR="00B84975" w:rsidRPr="00EA1BB2" w:rsidRDefault="00B84975" w:rsidP="00B84975">
      <w:pPr>
        <w:spacing w:line="360" w:lineRule="auto"/>
        <w:ind w:firstLine="709"/>
        <w:jc w:val="both"/>
        <w:rPr>
          <w:rFonts w:ascii="Cambria" w:eastAsia="Calibri" w:hAnsi="Cambria" w:cs="Times New Roman"/>
          <w:i/>
          <w:sz w:val="24"/>
          <w:szCs w:val="24"/>
          <w:u w:val="single"/>
        </w:rPr>
      </w:pPr>
      <w:r w:rsidRPr="00EA1BB2">
        <w:rPr>
          <w:rFonts w:ascii="Cambria" w:eastAsia="Calibri" w:hAnsi="Cambria" w:cs="Times New Roman"/>
          <w:i/>
          <w:sz w:val="24"/>
          <w:szCs w:val="24"/>
          <w:u w:val="single"/>
        </w:rPr>
        <w:t>Programul ISPA</w:t>
      </w:r>
    </w:p>
    <w:p w14:paraId="42460316" w14:textId="77777777" w:rsidR="00B84975" w:rsidRPr="00EA1BB2" w:rsidRDefault="00B84975" w:rsidP="00B84975">
      <w:pPr>
        <w:spacing w:line="360" w:lineRule="auto"/>
        <w:ind w:firstLine="709"/>
        <w:jc w:val="both"/>
        <w:rPr>
          <w:rFonts w:ascii="Cambria" w:eastAsia="Calibri" w:hAnsi="Cambria" w:cs="Times New Roman"/>
          <w:sz w:val="24"/>
          <w:szCs w:val="24"/>
        </w:rPr>
      </w:pPr>
      <w:r w:rsidRPr="00EA1BB2">
        <w:rPr>
          <w:rFonts w:ascii="Cambria" w:eastAsia="Calibri" w:hAnsi="Cambria" w:cs="Times New Roman"/>
          <w:sz w:val="24"/>
          <w:szCs w:val="24"/>
        </w:rPr>
        <w:t>Programul ISPA (Instrument pentru Politici Structurale de Pre-Aderare) a fost stabilit prin Regulamentul Consiliului Uniunii Europene nr.1267/1999, în vederea acordării asistenței pentru pregătirea aderării la Uniunea Europeană a țărilor din Europa Centrală și de Est, pentru realizarea coeziunii economice și sociale între state, în domeniul politicilor privind infrastructura de transport și de mediu.</w:t>
      </w:r>
    </w:p>
    <w:p w14:paraId="12F14B12" w14:textId="77777777" w:rsidR="00B84975" w:rsidRPr="00EA1BB2" w:rsidRDefault="00B84975" w:rsidP="00B84975">
      <w:pPr>
        <w:spacing w:line="360" w:lineRule="auto"/>
        <w:ind w:firstLine="709"/>
        <w:jc w:val="both"/>
        <w:rPr>
          <w:rFonts w:ascii="Cambria" w:eastAsia="Calibri" w:hAnsi="Cambria" w:cs="Times New Roman"/>
          <w:sz w:val="24"/>
          <w:szCs w:val="24"/>
        </w:rPr>
      </w:pPr>
      <w:r w:rsidRPr="00EA1BB2">
        <w:rPr>
          <w:rFonts w:ascii="Cambria" w:eastAsia="Calibri" w:hAnsi="Cambria" w:cs="Times New Roman"/>
          <w:sz w:val="24"/>
          <w:szCs w:val="24"/>
        </w:rPr>
        <w:t>În sectorul de mediu din România, programul se derulează în perioada 2000 – 2010 și se concentrează pe investiții legate de directivele de mediu a căror implementare solicită costuri importante și pentru finanțarea de studii pregătitoare de asistență tehnică.</w:t>
      </w:r>
    </w:p>
    <w:p w14:paraId="4DD9B07A" w14:textId="77777777" w:rsidR="00B84975" w:rsidRPr="00EA1BB2" w:rsidRDefault="00B84975" w:rsidP="00B84975">
      <w:pPr>
        <w:spacing w:line="360" w:lineRule="auto"/>
        <w:ind w:firstLine="720"/>
        <w:jc w:val="both"/>
        <w:rPr>
          <w:rFonts w:ascii="Cambria" w:eastAsia="Calibri" w:hAnsi="Cambria" w:cs="Times New Roman"/>
          <w:sz w:val="24"/>
          <w:szCs w:val="24"/>
        </w:rPr>
      </w:pPr>
      <w:r w:rsidRPr="00EA1BB2">
        <w:rPr>
          <w:rFonts w:ascii="Cambria" w:eastAsia="Calibri" w:hAnsi="Cambria" w:cs="Times New Roman"/>
          <w:sz w:val="24"/>
          <w:szCs w:val="24"/>
        </w:rPr>
        <w:t>Domeniile eligibile de finanțare prin ISPA - Mediu în România sunt calitatea apei, și Managementul integrat al deșeurilor. Beneficiarii programului ISPA au fost autoritățile locale și regiile autonome, capabile să dezvolte proiecte de infrastructură de amploare.</w:t>
      </w:r>
    </w:p>
    <w:p w14:paraId="33542857" w14:textId="77777777" w:rsidR="00B84975" w:rsidRPr="00EA1BB2" w:rsidRDefault="00B84975" w:rsidP="00B84975">
      <w:pPr>
        <w:spacing w:line="360" w:lineRule="auto"/>
        <w:ind w:firstLine="720"/>
        <w:jc w:val="both"/>
        <w:rPr>
          <w:rFonts w:ascii="Cambria" w:eastAsia="Calibri" w:hAnsi="Cambria" w:cs="Times New Roman"/>
          <w:sz w:val="24"/>
          <w:szCs w:val="24"/>
        </w:rPr>
      </w:pPr>
      <w:r w:rsidRPr="00EA1BB2">
        <w:rPr>
          <w:rFonts w:ascii="Cambria" w:eastAsia="Calibri" w:hAnsi="Cambria" w:cs="Times New Roman"/>
          <w:sz w:val="24"/>
          <w:szCs w:val="24"/>
        </w:rPr>
        <w:t>Programul ISPA s-a derulat conform sistemului de implementare descentralizată, care implică transferul responsabilității administrării programului (licitații, contractări și plăți) autorităților românești, sub supravegherea și controlul Comisiei Europene.</w:t>
      </w:r>
    </w:p>
    <w:p w14:paraId="3E9C5A49" w14:textId="77777777" w:rsidR="00B84975" w:rsidRPr="00EA1BB2" w:rsidRDefault="00B84975" w:rsidP="00B84975">
      <w:pPr>
        <w:spacing w:line="360" w:lineRule="auto"/>
        <w:ind w:firstLine="720"/>
        <w:jc w:val="both"/>
        <w:rPr>
          <w:rFonts w:ascii="Cambria" w:eastAsia="Calibri" w:hAnsi="Cambria" w:cs="Times New Roman"/>
          <w:sz w:val="24"/>
          <w:szCs w:val="24"/>
        </w:rPr>
      </w:pPr>
      <w:r w:rsidRPr="00EA1BB2">
        <w:rPr>
          <w:rFonts w:ascii="Cambria" w:eastAsia="Calibri" w:hAnsi="Cambria" w:cs="Times New Roman"/>
          <w:sz w:val="24"/>
          <w:szCs w:val="24"/>
        </w:rPr>
        <w:t>În perioada 2000 - 2007 au fost aprobate 42 de proiecte pentru finanțare ISPA, din care 29 proiecte în domeniul apă/apă uzată, 7 proiecte în domeniul managementului integrat al deșeurilor și 6 contracte de asistență tehnică pentru consolidarea capacității instituționale și pregătirea proiectelor în sectorul de mediu.</w:t>
      </w:r>
      <w:r w:rsidRPr="00EA1BB2">
        <w:rPr>
          <w:rFonts w:ascii="Cambria" w:eastAsia="Calibri" w:hAnsi="Cambria" w:cs="Times New Roman"/>
          <w:sz w:val="24"/>
          <w:szCs w:val="24"/>
          <w:vertAlign w:val="superscript"/>
        </w:rPr>
        <w:footnoteReference w:id="26"/>
      </w:r>
    </w:p>
    <w:p w14:paraId="0F4083B4" w14:textId="77777777" w:rsidR="00B84975" w:rsidRPr="00EA1BB2" w:rsidRDefault="00B84975" w:rsidP="00B84975">
      <w:pPr>
        <w:spacing w:line="360" w:lineRule="auto"/>
        <w:ind w:firstLine="720"/>
        <w:jc w:val="both"/>
        <w:rPr>
          <w:rFonts w:ascii="Cambria" w:eastAsia="Calibri" w:hAnsi="Cambria" w:cs="Times New Roman"/>
          <w:sz w:val="24"/>
          <w:szCs w:val="24"/>
        </w:rPr>
      </w:pPr>
    </w:p>
    <w:p w14:paraId="39095A6C" w14:textId="77777777" w:rsidR="00B84975" w:rsidRPr="00EA1BB2" w:rsidRDefault="00B84975" w:rsidP="00B84975">
      <w:pPr>
        <w:spacing w:line="360" w:lineRule="auto"/>
        <w:ind w:firstLine="709"/>
        <w:jc w:val="both"/>
        <w:rPr>
          <w:rFonts w:ascii="Cambria" w:eastAsia="Calibri" w:hAnsi="Cambria" w:cs="Times New Roman"/>
          <w:i/>
          <w:sz w:val="24"/>
          <w:szCs w:val="24"/>
          <w:u w:val="single"/>
        </w:rPr>
      </w:pPr>
      <w:r w:rsidRPr="00EA1BB2">
        <w:rPr>
          <w:rFonts w:ascii="Cambria" w:eastAsia="Calibri" w:hAnsi="Cambria" w:cs="Times New Roman"/>
          <w:i/>
          <w:sz w:val="24"/>
          <w:szCs w:val="24"/>
          <w:u w:val="single"/>
        </w:rPr>
        <w:t>Programul Operațional Sectorial (POS) Mediu</w:t>
      </w:r>
    </w:p>
    <w:p w14:paraId="36DEA665" w14:textId="77777777" w:rsidR="00B84975" w:rsidRPr="00EA1BB2" w:rsidRDefault="00B84975" w:rsidP="00B84975">
      <w:pPr>
        <w:spacing w:line="360" w:lineRule="auto"/>
        <w:ind w:firstLine="709"/>
        <w:jc w:val="both"/>
        <w:rPr>
          <w:rFonts w:ascii="Cambria" w:eastAsia="Calibri" w:hAnsi="Cambria" w:cs="Times New Roman"/>
          <w:sz w:val="24"/>
          <w:szCs w:val="24"/>
        </w:rPr>
      </w:pPr>
      <w:r w:rsidRPr="00EA1BB2">
        <w:rPr>
          <w:rFonts w:ascii="Cambria" w:eastAsia="Calibri" w:hAnsi="Cambria" w:cs="Times New Roman"/>
          <w:sz w:val="24"/>
          <w:szCs w:val="24"/>
        </w:rPr>
        <w:t>Programul Operațional Sectorial (POS) Mediu a reprezentat documentul de programare a Fondurilor Structurale și de Coeziune care stabilește strategia de alocare a fondurilor europene în vederea dezvoltării sectorului de mediu în România, în perioada 2007 - 2013.</w:t>
      </w:r>
    </w:p>
    <w:p w14:paraId="16A23D45" w14:textId="77777777" w:rsidR="00B84975" w:rsidRPr="00EA1BB2" w:rsidRDefault="00B84975" w:rsidP="00B84975">
      <w:pPr>
        <w:spacing w:line="360" w:lineRule="auto"/>
        <w:ind w:firstLine="709"/>
        <w:jc w:val="both"/>
        <w:rPr>
          <w:rFonts w:ascii="Cambria" w:eastAsia="Calibri" w:hAnsi="Cambria" w:cs="Times New Roman"/>
          <w:sz w:val="24"/>
          <w:szCs w:val="24"/>
        </w:rPr>
      </w:pPr>
      <w:r w:rsidRPr="00EA1BB2">
        <w:rPr>
          <w:rFonts w:ascii="Cambria" w:eastAsia="Calibri" w:hAnsi="Cambria" w:cs="Times New Roman"/>
          <w:sz w:val="24"/>
          <w:szCs w:val="24"/>
        </w:rPr>
        <w:t>Comisia Europeană a aprobat acest program în data de 11 iulie 2007. Urmare a acestei decizii, România a beneficiat, în perioada 2007 - 2013, de un important sprijin financiar pentru implementarea unor proiecte care vor contribui la protecția și îmbunătățirea calității mediului și a standardelor de viață din țara noastră.</w:t>
      </w:r>
    </w:p>
    <w:p w14:paraId="69154BF7" w14:textId="6BDA3923" w:rsidR="00084A79" w:rsidRPr="00EA1BB2" w:rsidRDefault="00B84975" w:rsidP="00686CD7">
      <w:pPr>
        <w:spacing w:line="360" w:lineRule="auto"/>
        <w:ind w:firstLine="720"/>
        <w:jc w:val="both"/>
        <w:rPr>
          <w:rFonts w:ascii="Cambria" w:eastAsia="Calibri" w:hAnsi="Cambria" w:cs="Times New Roman"/>
          <w:sz w:val="24"/>
          <w:szCs w:val="24"/>
        </w:rPr>
      </w:pPr>
      <w:r w:rsidRPr="00EA1BB2">
        <w:rPr>
          <w:rFonts w:ascii="Cambria" w:eastAsia="Calibri" w:hAnsi="Cambria" w:cs="Times New Roman"/>
          <w:sz w:val="24"/>
          <w:szCs w:val="24"/>
        </w:rPr>
        <w:lastRenderedPageBreak/>
        <w:t xml:space="preserve">POS Mediu a fost unul dintre cele mai importante programe operaționale din punct de vedere al alocării financiare și reprezintă cea mai importantă sursă de finanțare pentru sectorul de mediu. </w:t>
      </w:r>
    </w:p>
    <w:p w14:paraId="2DCED31A" w14:textId="77777777" w:rsidR="00A940F1" w:rsidRPr="00EA1BB2" w:rsidRDefault="00A940F1" w:rsidP="00686CD7">
      <w:pPr>
        <w:spacing w:line="360" w:lineRule="auto"/>
        <w:ind w:firstLine="720"/>
        <w:jc w:val="both"/>
        <w:rPr>
          <w:rFonts w:ascii="Cambria" w:hAnsi="Cambria" w:cs="Times New Roman"/>
          <w:sz w:val="24"/>
          <w:szCs w:val="24"/>
        </w:rPr>
      </w:pPr>
    </w:p>
    <w:p w14:paraId="71104301" w14:textId="77777777" w:rsidR="00B84975" w:rsidRPr="00EA1BB2" w:rsidRDefault="00B84975" w:rsidP="00E859EF">
      <w:pPr>
        <w:pStyle w:val="Heading2"/>
        <w:numPr>
          <w:ilvl w:val="1"/>
          <w:numId w:val="1"/>
        </w:numPr>
        <w:spacing w:before="0"/>
        <w:ind w:left="0" w:firstLine="709"/>
        <w:jc w:val="both"/>
        <w:rPr>
          <w:rFonts w:ascii="Cambria" w:eastAsia="Times New Roman" w:hAnsi="Cambria"/>
          <w:color w:val="0070C0"/>
          <w:szCs w:val="24"/>
        </w:rPr>
      </w:pPr>
      <w:bookmarkStart w:id="235" w:name="_Toc479265327"/>
      <w:bookmarkStart w:id="236" w:name="_Toc489611752"/>
      <w:bookmarkStart w:id="237" w:name="_Toc526889747"/>
      <w:r w:rsidRPr="00EA1BB2">
        <w:rPr>
          <w:rFonts w:ascii="Cambria" w:eastAsia="Times New Roman" w:hAnsi="Cambria"/>
          <w:color w:val="0070C0"/>
          <w:szCs w:val="24"/>
        </w:rPr>
        <w:t>Efectele observate ale acestor măsuri</w:t>
      </w:r>
      <w:bookmarkEnd w:id="235"/>
      <w:bookmarkEnd w:id="236"/>
      <w:bookmarkEnd w:id="237"/>
    </w:p>
    <w:p w14:paraId="17E77C5F" w14:textId="70E124B1" w:rsidR="00620700" w:rsidRPr="00EA1BB2" w:rsidRDefault="00620700" w:rsidP="00354107">
      <w:pPr>
        <w:spacing w:line="360" w:lineRule="auto"/>
        <w:ind w:firstLine="708"/>
        <w:jc w:val="both"/>
        <w:rPr>
          <w:rFonts w:ascii="Cambria" w:eastAsia="Calibri" w:hAnsi="Cambria" w:cs="Times New Roman"/>
          <w:sz w:val="24"/>
        </w:rPr>
      </w:pPr>
      <w:r w:rsidRPr="00EA1BB2">
        <w:rPr>
          <w:rFonts w:ascii="Cambria" w:eastAsia="Calibri" w:hAnsi="Cambria" w:cs="Times New Roman"/>
          <w:sz w:val="24"/>
        </w:rPr>
        <w:t xml:space="preserve">În vederea evaluării </w:t>
      </w:r>
      <w:r w:rsidR="004F2D72" w:rsidRPr="00EA1BB2">
        <w:rPr>
          <w:rFonts w:ascii="Cambria" w:eastAsia="Calibri" w:hAnsi="Cambria" w:cs="Times New Roman"/>
          <w:sz w:val="24"/>
        </w:rPr>
        <w:t>calității</w:t>
      </w:r>
      <w:r w:rsidRPr="00EA1BB2">
        <w:rPr>
          <w:rFonts w:ascii="Cambria" w:eastAsia="Calibri" w:hAnsi="Cambria" w:cs="Times New Roman"/>
          <w:sz w:val="24"/>
        </w:rPr>
        <w:t xml:space="preserve"> aerului înconjurător pentru dioxid de sulf, dioxid de azot, oxizi de azot, particule în suspensie </w:t>
      </w:r>
      <w:r w:rsidR="004F2D72" w:rsidRPr="00EA1BB2">
        <w:rPr>
          <w:rFonts w:ascii="Cambria" w:eastAsia="Calibri" w:hAnsi="Cambria" w:cs="Times New Roman"/>
          <w:sz w:val="24"/>
        </w:rPr>
        <w:t>(</w:t>
      </w:r>
      <w:r w:rsidRPr="00EA1BB2">
        <w:rPr>
          <w:rFonts w:ascii="Cambria" w:eastAsia="Calibri" w:hAnsi="Cambria" w:cs="Times New Roman"/>
          <w:sz w:val="24"/>
        </w:rPr>
        <w:t>PM</w:t>
      </w:r>
      <w:r w:rsidRPr="00EA1BB2">
        <w:rPr>
          <w:rFonts w:ascii="Cambria" w:eastAsia="Calibri" w:hAnsi="Cambria" w:cs="Times New Roman"/>
          <w:sz w:val="24"/>
          <w:vertAlign w:val="subscript"/>
        </w:rPr>
        <w:t>10</w:t>
      </w:r>
      <w:r w:rsidRPr="00EA1BB2">
        <w:rPr>
          <w:rFonts w:ascii="Cambria" w:eastAsia="Calibri" w:hAnsi="Cambria" w:cs="Times New Roman"/>
          <w:sz w:val="24"/>
        </w:rPr>
        <w:t xml:space="preserve"> </w:t>
      </w:r>
      <w:r w:rsidR="00BD06C5" w:rsidRPr="00EA1BB2">
        <w:rPr>
          <w:rFonts w:ascii="Cambria" w:eastAsia="Calibri" w:hAnsi="Cambria" w:cs="Times New Roman"/>
          <w:sz w:val="24"/>
        </w:rPr>
        <w:t>ș</w:t>
      </w:r>
      <w:r w:rsidRPr="00EA1BB2">
        <w:rPr>
          <w:rFonts w:ascii="Cambria" w:eastAsia="Calibri" w:hAnsi="Cambria" w:cs="Times New Roman"/>
          <w:sz w:val="24"/>
        </w:rPr>
        <w:t>i PM</w:t>
      </w:r>
      <w:r w:rsidRPr="00EA1BB2">
        <w:rPr>
          <w:rFonts w:ascii="Cambria" w:eastAsia="Calibri" w:hAnsi="Cambria" w:cs="Times New Roman"/>
          <w:sz w:val="24"/>
          <w:vertAlign w:val="subscript"/>
        </w:rPr>
        <w:t>2,5</w:t>
      </w:r>
      <w:r w:rsidRPr="00EA1BB2">
        <w:rPr>
          <w:rFonts w:ascii="Cambria" w:eastAsia="Calibri" w:hAnsi="Cambria" w:cs="Times New Roman"/>
          <w:sz w:val="24"/>
        </w:rPr>
        <w:t>), plumb, benzen, monoxid de</w:t>
      </w:r>
      <w:r w:rsidR="00354107" w:rsidRPr="00EA1BB2">
        <w:rPr>
          <w:rFonts w:ascii="Cambria" w:eastAsia="Calibri" w:hAnsi="Cambria" w:cs="Times New Roman"/>
          <w:sz w:val="24"/>
        </w:rPr>
        <w:t xml:space="preserve"> carbon, arsen, cadmiu, nichel </w:t>
      </w:r>
      <w:r w:rsidRPr="00EA1BB2">
        <w:rPr>
          <w:rFonts w:ascii="Cambria" w:eastAsia="Calibri" w:hAnsi="Cambria" w:cs="Times New Roman"/>
          <w:sz w:val="24"/>
        </w:rPr>
        <w:t>în fiecare zonă sau aglomerare s</w:t>
      </w:r>
      <w:r w:rsidR="00354107" w:rsidRPr="00EA1BB2">
        <w:rPr>
          <w:rFonts w:ascii="Cambria" w:eastAsia="Calibri" w:hAnsi="Cambria" w:cs="Times New Roman"/>
          <w:sz w:val="24"/>
        </w:rPr>
        <w:t>-au</w:t>
      </w:r>
      <w:r w:rsidRPr="00EA1BB2">
        <w:rPr>
          <w:rFonts w:ascii="Cambria" w:eastAsia="Calibri" w:hAnsi="Cambria" w:cs="Times New Roman"/>
          <w:sz w:val="24"/>
        </w:rPr>
        <w:t xml:space="preserve"> delimit</w:t>
      </w:r>
      <w:r w:rsidR="00354107" w:rsidRPr="00EA1BB2">
        <w:rPr>
          <w:rFonts w:ascii="Cambria" w:eastAsia="Calibri" w:hAnsi="Cambria" w:cs="Times New Roman"/>
          <w:sz w:val="24"/>
        </w:rPr>
        <w:t>at</w:t>
      </w:r>
      <w:r w:rsidRPr="00EA1BB2">
        <w:rPr>
          <w:rFonts w:ascii="Cambria" w:eastAsia="Calibri" w:hAnsi="Cambria" w:cs="Times New Roman"/>
          <w:sz w:val="24"/>
        </w:rPr>
        <w:t xml:space="preserve"> arii care se clasifică în regimuri de evaluare în </w:t>
      </w:r>
      <w:r w:rsidR="004F2D72" w:rsidRPr="00EA1BB2">
        <w:rPr>
          <w:rFonts w:ascii="Cambria" w:eastAsia="Calibri" w:hAnsi="Cambria" w:cs="Times New Roman"/>
          <w:sz w:val="24"/>
        </w:rPr>
        <w:t>funcție</w:t>
      </w:r>
      <w:r w:rsidRPr="00EA1BB2">
        <w:rPr>
          <w:rFonts w:ascii="Cambria" w:eastAsia="Calibri" w:hAnsi="Cambria" w:cs="Times New Roman"/>
          <w:sz w:val="24"/>
        </w:rPr>
        <w:t xml:space="preserve"> de pragurile superior </w:t>
      </w:r>
      <w:r w:rsidR="004F2D72" w:rsidRPr="00EA1BB2">
        <w:rPr>
          <w:rFonts w:ascii="Cambria" w:eastAsia="Calibri" w:hAnsi="Cambria" w:cs="Times New Roman"/>
          <w:sz w:val="24"/>
        </w:rPr>
        <w:t>și</w:t>
      </w:r>
      <w:r w:rsidRPr="00EA1BB2">
        <w:rPr>
          <w:rFonts w:ascii="Cambria" w:eastAsia="Calibri" w:hAnsi="Cambria" w:cs="Times New Roman"/>
          <w:sz w:val="24"/>
        </w:rPr>
        <w:t xml:space="preserve"> inferior de evaluare, prevăzute la </w:t>
      </w:r>
      <w:r w:rsidR="004F2D72" w:rsidRPr="00EA1BB2">
        <w:rPr>
          <w:rFonts w:ascii="Cambria" w:eastAsia="Calibri" w:hAnsi="Cambria" w:cs="Times New Roman"/>
          <w:sz w:val="24"/>
        </w:rPr>
        <w:t>poziția</w:t>
      </w:r>
      <w:r w:rsidRPr="00EA1BB2">
        <w:rPr>
          <w:rFonts w:ascii="Cambria" w:eastAsia="Calibri" w:hAnsi="Cambria" w:cs="Times New Roman"/>
          <w:sz w:val="24"/>
        </w:rPr>
        <w:t xml:space="preserve"> A.1 din anexa nr. 3</w:t>
      </w:r>
      <w:r w:rsidR="007B19C6" w:rsidRPr="00EA1BB2">
        <w:rPr>
          <w:rFonts w:ascii="Cambria" w:eastAsia="Calibri" w:hAnsi="Cambria" w:cs="Times New Roman"/>
          <w:sz w:val="24"/>
        </w:rPr>
        <w:t xml:space="preserve"> a Legii nr. 104/2011</w:t>
      </w:r>
      <w:r w:rsidRPr="00EA1BB2">
        <w:rPr>
          <w:rFonts w:ascii="Cambria" w:eastAsia="Calibri" w:hAnsi="Cambria" w:cs="Times New Roman"/>
          <w:sz w:val="24"/>
        </w:rPr>
        <w:t>, după cum urmează:</w:t>
      </w:r>
    </w:p>
    <w:p w14:paraId="269AF77E" w14:textId="77777777" w:rsidR="00620700" w:rsidRPr="00EA1BB2" w:rsidRDefault="00620700" w:rsidP="00354107">
      <w:pPr>
        <w:spacing w:line="360" w:lineRule="auto"/>
        <w:jc w:val="both"/>
        <w:rPr>
          <w:rFonts w:ascii="Cambria" w:eastAsia="Calibri" w:hAnsi="Cambria" w:cs="Times New Roman"/>
          <w:sz w:val="24"/>
        </w:rPr>
      </w:pPr>
      <w:r w:rsidRPr="00EA1BB2">
        <w:rPr>
          <w:rFonts w:ascii="Cambria" w:eastAsia="Calibri" w:hAnsi="Cambria" w:cs="Times New Roman"/>
          <w:sz w:val="24"/>
        </w:rPr>
        <w:t>a) regim de evaluare A, în care nivelul este mai mare decât pragul superior de evaluare;</w:t>
      </w:r>
    </w:p>
    <w:p w14:paraId="22157258" w14:textId="77777777" w:rsidR="00620700" w:rsidRPr="00EA1BB2" w:rsidRDefault="00620700" w:rsidP="00354107">
      <w:pPr>
        <w:spacing w:line="360" w:lineRule="auto"/>
        <w:jc w:val="both"/>
        <w:rPr>
          <w:rFonts w:ascii="Cambria" w:eastAsia="Calibri" w:hAnsi="Cambria" w:cs="Times New Roman"/>
          <w:sz w:val="24"/>
        </w:rPr>
      </w:pPr>
      <w:r w:rsidRPr="00EA1BB2">
        <w:rPr>
          <w:rFonts w:ascii="Cambria" w:eastAsia="Calibri" w:hAnsi="Cambria" w:cs="Times New Roman"/>
          <w:sz w:val="24"/>
        </w:rPr>
        <w:t>b) regim de evaluare B, în care nivelul este mai mic decât pragul superior de evaluare, dar mai mare decât pragul inferior de evaluare;</w:t>
      </w:r>
    </w:p>
    <w:p w14:paraId="2BD05E15" w14:textId="77777777" w:rsidR="00EE273C" w:rsidRPr="00EA1BB2" w:rsidRDefault="00620700" w:rsidP="00354107">
      <w:pPr>
        <w:spacing w:line="360" w:lineRule="auto"/>
        <w:jc w:val="both"/>
        <w:rPr>
          <w:rFonts w:ascii="Cambria" w:eastAsia="Calibri" w:hAnsi="Cambria" w:cs="Times New Roman"/>
          <w:sz w:val="24"/>
        </w:rPr>
      </w:pPr>
      <w:r w:rsidRPr="00EA1BB2">
        <w:rPr>
          <w:rFonts w:ascii="Cambria" w:eastAsia="Calibri" w:hAnsi="Cambria" w:cs="Times New Roman"/>
          <w:sz w:val="24"/>
        </w:rPr>
        <w:t>c) regim de evaluare C, în care nivelul este mai mic decât pragul inferior de evaluare.</w:t>
      </w:r>
    </w:p>
    <w:p w14:paraId="73B6035F" w14:textId="77777777" w:rsidR="00EE273C" w:rsidRPr="00EA1BB2" w:rsidRDefault="00EE273C" w:rsidP="00354107">
      <w:pPr>
        <w:spacing w:line="360" w:lineRule="auto"/>
        <w:jc w:val="both"/>
        <w:rPr>
          <w:rFonts w:ascii="Cambria" w:eastAsia="Calibri" w:hAnsi="Cambria" w:cs="Times New Roman"/>
          <w:sz w:val="24"/>
        </w:rPr>
      </w:pPr>
    </w:p>
    <w:p w14:paraId="28AC591C" w14:textId="6F4DA4D0" w:rsidR="00354107" w:rsidRPr="00EA1BB2" w:rsidRDefault="00354107" w:rsidP="004F2D72">
      <w:pPr>
        <w:keepNext/>
        <w:spacing w:line="360" w:lineRule="auto"/>
        <w:ind w:firstLine="720"/>
        <w:jc w:val="both"/>
        <w:rPr>
          <w:rFonts w:ascii="Cambria" w:eastAsia="Calibri" w:hAnsi="Cambria" w:cs="Times New Roman"/>
          <w:b/>
          <w:iCs/>
          <w:sz w:val="24"/>
          <w:szCs w:val="18"/>
        </w:rPr>
      </w:pPr>
      <w:bookmarkStart w:id="238" w:name="_Toc526889817"/>
      <w:r w:rsidRPr="00EA1BB2">
        <w:rPr>
          <w:rFonts w:ascii="Cambria" w:eastAsia="Calibri" w:hAnsi="Cambria" w:cs="Times New Roman"/>
          <w:b/>
          <w:iCs/>
          <w:sz w:val="24"/>
          <w:szCs w:val="18"/>
        </w:rPr>
        <w:t xml:space="preserve">Tabelul nr. </w:t>
      </w:r>
      <w:r w:rsidR="000A2FE7" w:rsidRPr="00EA1BB2">
        <w:rPr>
          <w:rFonts w:ascii="Cambria" w:eastAsia="Calibri" w:hAnsi="Cambria" w:cs="Times New Roman"/>
          <w:b/>
          <w:iCs/>
          <w:sz w:val="24"/>
          <w:szCs w:val="18"/>
        </w:rPr>
        <w:fldChar w:fldCharType="begin"/>
      </w:r>
      <w:r w:rsidR="000A2FE7" w:rsidRPr="00EA1BB2">
        <w:rPr>
          <w:rFonts w:ascii="Cambria" w:eastAsia="Calibri" w:hAnsi="Cambria" w:cs="Times New Roman"/>
          <w:b/>
          <w:iCs/>
          <w:sz w:val="24"/>
          <w:szCs w:val="18"/>
        </w:rPr>
        <w:instrText xml:space="preserve"> STYLEREF 1 \s </w:instrText>
      </w:r>
      <w:r w:rsidR="000A2FE7" w:rsidRPr="00EA1BB2">
        <w:rPr>
          <w:rFonts w:ascii="Cambria" w:eastAsia="Calibri" w:hAnsi="Cambria" w:cs="Times New Roman"/>
          <w:b/>
          <w:iCs/>
          <w:sz w:val="24"/>
          <w:szCs w:val="18"/>
        </w:rPr>
        <w:fldChar w:fldCharType="separate"/>
      </w:r>
      <w:r w:rsidR="00567555">
        <w:rPr>
          <w:rFonts w:ascii="Cambria" w:eastAsia="Calibri" w:hAnsi="Cambria" w:cs="Times New Roman"/>
          <w:b/>
          <w:iCs/>
          <w:noProof/>
          <w:sz w:val="24"/>
          <w:szCs w:val="18"/>
        </w:rPr>
        <w:t>4</w:t>
      </w:r>
      <w:r w:rsidR="000A2FE7" w:rsidRPr="00EA1BB2">
        <w:rPr>
          <w:rFonts w:ascii="Cambria" w:eastAsia="Calibri" w:hAnsi="Cambria" w:cs="Times New Roman"/>
          <w:b/>
          <w:iCs/>
          <w:sz w:val="24"/>
          <w:szCs w:val="18"/>
        </w:rPr>
        <w:fldChar w:fldCharType="end"/>
      </w:r>
      <w:r w:rsidR="000A2FE7" w:rsidRPr="00EA1BB2">
        <w:rPr>
          <w:rFonts w:ascii="Cambria" w:eastAsia="Calibri" w:hAnsi="Cambria" w:cs="Times New Roman"/>
          <w:b/>
          <w:iCs/>
          <w:sz w:val="24"/>
          <w:szCs w:val="18"/>
        </w:rPr>
        <w:noBreakHyphen/>
      </w:r>
      <w:r w:rsidR="000A2FE7" w:rsidRPr="00EA1BB2">
        <w:rPr>
          <w:rFonts w:ascii="Cambria" w:eastAsia="Calibri" w:hAnsi="Cambria" w:cs="Times New Roman"/>
          <w:b/>
          <w:iCs/>
          <w:sz w:val="24"/>
          <w:szCs w:val="18"/>
        </w:rPr>
        <w:fldChar w:fldCharType="begin"/>
      </w:r>
      <w:r w:rsidR="000A2FE7" w:rsidRPr="00EA1BB2">
        <w:rPr>
          <w:rFonts w:ascii="Cambria" w:eastAsia="Calibri" w:hAnsi="Cambria" w:cs="Times New Roman"/>
          <w:b/>
          <w:iCs/>
          <w:sz w:val="24"/>
          <w:szCs w:val="18"/>
        </w:rPr>
        <w:instrText xml:space="preserve"> SEQ Tabelul_nr. \* ARABIC \s 1 </w:instrText>
      </w:r>
      <w:r w:rsidR="000A2FE7" w:rsidRPr="00EA1BB2">
        <w:rPr>
          <w:rFonts w:ascii="Cambria" w:eastAsia="Calibri" w:hAnsi="Cambria" w:cs="Times New Roman"/>
          <w:b/>
          <w:iCs/>
          <w:sz w:val="24"/>
          <w:szCs w:val="18"/>
        </w:rPr>
        <w:fldChar w:fldCharType="separate"/>
      </w:r>
      <w:r w:rsidR="00567555">
        <w:rPr>
          <w:rFonts w:ascii="Cambria" w:eastAsia="Calibri" w:hAnsi="Cambria" w:cs="Times New Roman"/>
          <w:b/>
          <w:iCs/>
          <w:noProof/>
          <w:sz w:val="24"/>
          <w:szCs w:val="18"/>
        </w:rPr>
        <w:t>3</w:t>
      </w:r>
      <w:r w:rsidR="000A2FE7" w:rsidRPr="00EA1BB2">
        <w:rPr>
          <w:rFonts w:ascii="Cambria" w:eastAsia="Calibri" w:hAnsi="Cambria" w:cs="Times New Roman"/>
          <w:b/>
          <w:iCs/>
          <w:sz w:val="24"/>
          <w:szCs w:val="18"/>
        </w:rPr>
        <w:fldChar w:fldCharType="end"/>
      </w:r>
      <w:r w:rsidRPr="00EA1BB2">
        <w:rPr>
          <w:rFonts w:ascii="Cambria" w:eastAsia="Calibri" w:hAnsi="Cambria" w:cs="Times New Roman"/>
          <w:b/>
          <w:iCs/>
          <w:sz w:val="24"/>
          <w:szCs w:val="18"/>
        </w:rPr>
        <w:t xml:space="preserve"> - Încadrarea în regimu</w:t>
      </w:r>
      <w:r w:rsidR="004F2D72" w:rsidRPr="00EA1BB2">
        <w:rPr>
          <w:rFonts w:ascii="Cambria" w:eastAsia="Calibri" w:hAnsi="Cambria" w:cs="Times New Roman"/>
          <w:b/>
          <w:iCs/>
          <w:sz w:val="24"/>
          <w:szCs w:val="18"/>
        </w:rPr>
        <w:t>ri</w:t>
      </w:r>
      <w:r w:rsidRPr="00EA1BB2">
        <w:rPr>
          <w:rFonts w:ascii="Cambria" w:eastAsia="Calibri" w:hAnsi="Cambria" w:cs="Times New Roman"/>
          <w:b/>
          <w:iCs/>
          <w:sz w:val="24"/>
          <w:szCs w:val="18"/>
        </w:rPr>
        <w:t xml:space="preserve"> de </w:t>
      </w:r>
      <w:r w:rsidR="004F2D72" w:rsidRPr="00EA1BB2">
        <w:rPr>
          <w:rFonts w:ascii="Cambria" w:eastAsia="Calibri" w:hAnsi="Cambria" w:cs="Times New Roman"/>
          <w:b/>
          <w:iCs/>
          <w:sz w:val="24"/>
          <w:szCs w:val="18"/>
        </w:rPr>
        <w:t>evaluare</w:t>
      </w:r>
      <w:bookmarkEnd w:id="238"/>
    </w:p>
    <w:tbl>
      <w:tblPr>
        <w:tblStyle w:val="TableGrid17"/>
        <w:tblW w:w="9987" w:type="dxa"/>
        <w:jc w:val="center"/>
        <w:tblLook w:val="04A0" w:firstRow="1" w:lastRow="0" w:firstColumn="1" w:lastColumn="0" w:noHBand="0" w:noVBand="1"/>
      </w:tblPr>
      <w:tblGrid>
        <w:gridCol w:w="1529"/>
        <w:gridCol w:w="1302"/>
        <w:gridCol w:w="1127"/>
        <w:gridCol w:w="896"/>
        <w:gridCol w:w="796"/>
        <w:gridCol w:w="822"/>
        <w:gridCol w:w="1022"/>
        <w:gridCol w:w="817"/>
        <w:gridCol w:w="758"/>
        <w:gridCol w:w="918"/>
      </w:tblGrid>
      <w:tr w:rsidR="00354107" w:rsidRPr="00EA1BB2" w14:paraId="3283CED1" w14:textId="77777777" w:rsidTr="00641FA3">
        <w:trPr>
          <w:jc w:val="center"/>
        </w:trPr>
        <w:tc>
          <w:tcPr>
            <w:tcW w:w="1529" w:type="dxa"/>
            <w:vMerge w:val="restart"/>
            <w:shd w:val="clear" w:color="auto" w:fill="BDD6EE" w:themeFill="accent1" w:themeFillTint="66"/>
            <w:vAlign w:val="center"/>
          </w:tcPr>
          <w:p w14:paraId="76E35BEA" w14:textId="77777777" w:rsidR="00354107" w:rsidRPr="00EA1BB2" w:rsidRDefault="00354107" w:rsidP="00354107">
            <w:pPr>
              <w:spacing w:line="360" w:lineRule="auto"/>
              <w:rPr>
                <w:rFonts w:ascii="Cambria" w:hAnsi="Cambria"/>
                <w:b/>
                <w:sz w:val="20"/>
                <w:szCs w:val="24"/>
                <w:lang w:val="ro-RO"/>
              </w:rPr>
            </w:pPr>
          </w:p>
        </w:tc>
        <w:tc>
          <w:tcPr>
            <w:tcW w:w="8458" w:type="dxa"/>
            <w:gridSpan w:val="9"/>
            <w:shd w:val="clear" w:color="auto" w:fill="BDD6EE" w:themeFill="accent1" w:themeFillTint="66"/>
            <w:vAlign w:val="center"/>
          </w:tcPr>
          <w:p w14:paraId="0B4A0A8F" w14:textId="77777777" w:rsidR="00354107" w:rsidRPr="00EA1BB2" w:rsidRDefault="00354107" w:rsidP="00641FA3">
            <w:pPr>
              <w:spacing w:line="360" w:lineRule="auto"/>
              <w:jc w:val="center"/>
              <w:rPr>
                <w:rFonts w:ascii="Cambria" w:hAnsi="Cambria"/>
                <w:b/>
                <w:sz w:val="20"/>
                <w:szCs w:val="24"/>
                <w:lang w:val="ro-RO"/>
              </w:rPr>
            </w:pPr>
            <w:r w:rsidRPr="00EA1BB2">
              <w:rPr>
                <w:rFonts w:ascii="Cambria" w:hAnsi="Cambria"/>
                <w:b/>
                <w:szCs w:val="24"/>
                <w:lang w:val="ro-RO"/>
              </w:rPr>
              <w:t>Poluanți</w:t>
            </w:r>
          </w:p>
        </w:tc>
      </w:tr>
      <w:tr w:rsidR="00354107" w:rsidRPr="00EA1BB2" w14:paraId="1DE90B10" w14:textId="77777777" w:rsidTr="00641FA3">
        <w:trPr>
          <w:jc w:val="center"/>
        </w:trPr>
        <w:tc>
          <w:tcPr>
            <w:tcW w:w="1529" w:type="dxa"/>
            <w:vMerge/>
            <w:shd w:val="clear" w:color="auto" w:fill="BDD6EE" w:themeFill="accent1" w:themeFillTint="66"/>
            <w:vAlign w:val="center"/>
          </w:tcPr>
          <w:p w14:paraId="05A1EA9E" w14:textId="77777777" w:rsidR="00354107" w:rsidRPr="00EA1BB2" w:rsidRDefault="00354107" w:rsidP="00641FA3">
            <w:pPr>
              <w:spacing w:line="360" w:lineRule="auto"/>
              <w:jc w:val="center"/>
              <w:rPr>
                <w:rFonts w:ascii="Cambria" w:hAnsi="Cambria"/>
                <w:b/>
                <w:sz w:val="20"/>
                <w:szCs w:val="24"/>
                <w:lang w:val="ro-RO"/>
              </w:rPr>
            </w:pPr>
          </w:p>
        </w:tc>
        <w:tc>
          <w:tcPr>
            <w:tcW w:w="1302" w:type="dxa"/>
            <w:shd w:val="clear" w:color="auto" w:fill="BDD6EE" w:themeFill="accent1" w:themeFillTint="66"/>
            <w:vAlign w:val="center"/>
          </w:tcPr>
          <w:p w14:paraId="2FB255D7" w14:textId="77777777" w:rsidR="00354107" w:rsidRPr="00EA1BB2" w:rsidRDefault="00354107" w:rsidP="00641FA3">
            <w:pPr>
              <w:jc w:val="center"/>
              <w:rPr>
                <w:rFonts w:ascii="Cambria" w:hAnsi="Cambria"/>
                <w:b/>
                <w:sz w:val="20"/>
                <w:szCs w:val="24"/>
                <w:lang w:val="ro-RO"/>
              </w:rPr>
            </w:pPr>
            <w:r w:rsidRPr="00EA1BB2">
              <w:rPr>
                <w:rFonts w:ascii="Cambria" w:hAnsi="Cambria"/>
                <w:b/>
                <w:sz w:val="20"/>
                <w:szCs w:val="24"/>
                <w:lang w:val="ro-RO"/>
              </w:rPr>
              <w:t>Dioxid de azot și oxizi de azot (NO</w:t>
            </w:r>
            <w:r w:rsidRPr="00EA1BB2">
              <w:rPr>
                <w:rFonts w:ascii="Cambria" w:hAnsi="Cambria"/>
                <w:b/>
                <w:sz w:val="20"/>
                <w:szCs w:val="24"/>
                <w:vertAlign w:val="subscript"/>
                <w:lang w:val="ro-RO"/>
              </w:rPr>
              <w:t>2</w:t>
            </w:r>
            <w:r w:rsidRPr="00EA1BB2">
              <w:rPr>
                <w:rFonts w:ascii="Cambria" w:hAnsi="Cambria"/>
                <w:b/>
                <w:sz w:val="20"/>
                <w:szCs w:val="24"/>
                <w:lang w:val="ro-RO"/>
              </w:rPr>
              <w:t>/NO</w:t>
            </w:r>
            <w:r w:rsidRPr="00EA1BB2">
              <w:rPr>
                <w:rFonts w:ascii="Cambria" w:hAnsi="Cambria"/>
                <w:b/>
                <w:sz w:val="20"/>
                <w:szCs w:val="24"/>
                <w:vertAlign w:val="subscript"/>
                <w:lang w:val="ro-RO"/>
              </w:rPr>
              <w:t>x</w:t>
            </w:r>
            <w:r w:rsidRPr="00EA1BB2">
              <w:rPr>
                <w:rFonts w:ascii="Cambria" w:hAnsi="Cambria"/>
                <w:b/>
                <w:sz w:val="20"/>
                <w:szCs w:val="24"/>
                <w:lang w:val="ro-RO"/>
              </w:rPr>
              <w:t>)</w:t>
            </w:r>
          </w:p>
        </w:tc>
        <w:tc>
          <w:tcPr>
            <w:tcW w:w="1127" w:type="dxa"/>
            <w:shd w:val="clear" w:color="auto" w:fill="BDD6EE" w:themeFill="accent1" w:themeFillTint="66"/>
            <w:vAlign w:val="center"/>
          </w:tcPr>
          <w:p w14:paraId="6793D38C" w14:textId="77777777" w:rsidR="00354107" w:rsidRPr="00EA1BB2" w:rsidRDefault="00354107" w:rsidP="00641FA3">
            <w:pPr>
              <w:jc w:val="center"/>
              <w:rPr>
                <w:rFonts w:ascii="Cambria" w:hAnsi="Cambria"/>
                <w:b/>
                <w:sz w:val="20"/>
                <w:szCs w:val="24"/>
                <w:lang w:val="ro-RO"/>
              </w:rPr>
            </w:pPr>
            <w:r w:rsidRPr="00EA1BB2">
              <w:rPr>
                <w:rFonts w:ascii="Cambria" w:hAnsi="Cambria"/>
                <w:b/>
                <w:sz w:val="20"/>
                <w:szCs w:val="24"/>
                <w:lang w:val="ro-RO"/>
              </w:rPr>
              <w:t>Pulberi în suspensie</w:t>
            </w:r>
          </w:p>
          <w:p w14:paraId="2D2795C6" w14:textId="77777777" w:rsidR="00354107" w:rsidRPr="00EA1BB2" w:rsidRDefault="00354107" w:rsidP="00641FA3">
            <w:pPr>
              <w:jc w:val="center"/>
              <w:rPr>
                <w:rFonts w:ascii="Cambria" w:hAnsi="Cambria"/>
                <w:b/>
                <w:sz w:val="20"/>
                <w:szCs w:val="24"/>
                <w:lang w:val="ro-RO"/>
              </w:rPr>
            </w:pPr>
            <w:r w:rsidRPr="00EA1BB2">
              <w:rPr>
                <w:rFonts w:ascii="Cambria" w:hAnsi="Cambria"/>
                <w:b/>
                <w:sz w:val="20"/>
                <w:szCs w:val="24"/>
                <w:lang w:val="ro-RO"/>
              </w:rPr>
              <w:t>(PM</w:t>
            </w:r>
            <w:r w:rsidRPr="00EA1BB2">
              <w:rPr>
                <w:rFonts w:ascii="Cambria" w:hAnsi="Cambria"/>
                <w:b/>
                <w:sz w:val="20"/>
                <w:szCs w:val="24"/>
                <w:vertAlign w:val="subscript"/>
                <w:lang w:val="ro-RO"/>
              </w:rPr>
              <w:t>10</w:t>
            </w:r>
            <w:r w:rsidRPr="00EA1BB2">
              <w:rPr>
                <w:rFonts w:ascii="Cambria" w:hAnsi="Cambria"/>
                <w:b/>
                <w:sz w:val="20"/>
                <w:szCs w:val="24"/>
                <w:lang w:val="ro-RO"/>
              </w:rPr>
              <w:t>; PM</w:t>
            </w:r>
            <w:r w:rsidRPr="00EA1BB2">
              <w:rPr>
                <w:rFonts w:ascii="Cambria" w:hAnsi="Cambria"/>
                <w:b/>
                <w:sz w:val="20"/>
                <w:szCs w:val="24"/>
                <w:vertAlign w:val="subscript"/>
                <w:lang w:val="ro-RO"/>
              </w:rPr>
              <w:t>2,5</w:t>
            </w:r>
            <w:r w:rsidRPr="00EA1BB2">
              <w:rPr>
                <w:rFonts w:ascii="Cambria" w:hAnsi="Cambria"/>
                <w:b/>
                <w:sz w:val="20"/>
                <w:szCs w:val="24"/>
                <w:lang w:val="ro-RO"/>
              </w:rPr>
              <w:t>)</w:t>
            </w:r>
          </w:p>
        </w:tc>
        <w:tc>
          <w:tcPr>
            <w:tcW w:w="896" w:type="dxa"/>
            <w:shd w:val="clear" w:color="auto" w:fill="BDD6EE" w:themeFill="accent1" w:themeFillTint="66"/>
            <w:vAlign w:val="center"/>
          </w:tcPr>
          <w:p w14:paraId="62A9A6B1" w14:textId="77777777" w:rsidR="00354107" w:rsidRPr="00EA1BB2" w:rsidRDefault="00354107" w:rsidP="00641FA3">
            <w:pPr>
              <w:jc w:val="center"/>
              <w:rPr>
                <w:rFonts w:ascii="Cambria" w:hAnsi="Cambria"/>
                <w:b/>
                <w:sz w:val="20"/>
                <w:szCs w:val="24"/>
                <w:lang w:val="ro-RO"/>
              </w:rPr>
            </w:pPr>
            <w:r w:rsidRPr="00EA1BB2">
              <w:rPr>
                <w:rFonts w:ascii="Cambria" w:hAnsi="Cambria"/>
                <w:b/>
                <w:sz w:val="20"/>
                <w:szCs w:val="24"/>
                <w:lang w:val="ro-RO"/>
              </w:rPr>
              <w:t>Benzen (C</w:t>
            </w:r>
            <w:r w:rsidRPr="00EA1BB2">
              <w:rPr>
                <w:rFonts w:ascii="Cambria" w:hAnsi="Cambria"/>
                <w:b/>
                <w:sz w:val="20"/>
                <w:szCs w:val="24"/>
                <w:vertAlign w:val="subscript"/>
                <w:lang w:val="ro-RO"/>
              </w:rPr>
              <w:t>6</w:t>
            </w:r>
            <w:r w:rsidRPr="00EA1BB2">
              <w:rPr>
                <w:rFonts w:ascii="Cambria" w:hAnsi="Cambria"/>
                <w:b/>
                <w:sz w:val="20"/>
                <w:szCs w:val="24"/>
                <w:lang w:val="ro-RO"/>
              </w:rPr>
              <w:t>H</w:t>
            </w:r>
            <w:r w:rsidRPr="00EA1BB2">
              <w:rPr>
                <w:rFonts w:ascii="Cambria" w:hAnsi="Cambria"/>
                <w:b/>
                <w:sz w:val="20"/>
                <w:szCs w:val="24"/>
                <w:vertAlign w:val="subscript"/>
                <w:lang w:val="ro-RO"/>
              </w:rPr>
              <w:t>6</w:t>
            </w:r>
            <w:r w:rsidRPr="00EA1BB2">
              <w:rPr>
                <w:rFonts w:ascii="Cambria" w:hAnsi="Cambria"/>
                <w:b/>
                <w:sz w:val="20"/>
                <w:szCs w:val="24"/>
                <w:lang w:val="ro-RO"/>
              </w:rPr>
              <w:t>)</w:t>
            </w:r>
          </w:p>
        </w:tc>
        <w:tc>
          <w:tcPr>
            <w:tcW w:w="796" w:type="dxa"/>
            <w:shd w:val="clear" w:color="auto" w:fill="BDD6EE" w:themeFill="accent1" w:themeFillTint="66"/>
            <w:vAlign w:val="center"/>
          </w:tcPr>
          <w:p w14:paraId="216CC55F" w14:textId="77777777" w:rsidR="00354107" w:rsidRPr="00EA1BB2" w:rsidRDefault="00354107" w:rsidP="00641FA3">
            <w:pPr>
              <w:jc w:val="center"/>
              <w:rPr>
                <w:rFonts w:ascii="Cambria" w:hAnsi="Cambria"/>
                <w:b/>
                <w:sz w:val="20"/>
                <w:szCs w:val="24"/>
                <w:lang w:val="ro-RO"/>
              </w:rPr>
            </w:pPr>
            <w:r w:rsidRPr="00EA1BB2">
              <w:rPr>
                <w:rFonts w:ascii="Cambria" w:hAnsi="Cambria"/>
                <w:b/>
                <w:sz w:val="20"/>
                <w:szCs w:val="24"/>
                <w:lang w:val="ro-RO"/>
              </w:rPr>
              <w:t>Nichel</w:t>
            </w:r>
          </w:p>
          <w:p w14:paraId="64DC84A8" w14:textId="77777777" w:rsidR="00354107" w:rsidRPr="00EA1BB2" w:rsidRDefault="00354107" w:rsidP="00641FA3">
            <w:pPr>
              <w:jc w:val="center"/>
              <w:rPr>
                <w:rFonts w:ascii="Cambria" w:hAnsi="Cambria"/>
                <w:b/>
                <w:sz w:val="20"/>
                <w:szCs w:val="24"/>
                <w:lang w:val="ro-RO"/>
              </w:rPr>
            </w:pPr>
            <w:r w:rsidRPr="00EA1BB2">
              <w:rPr>
                <w:rFonts w:ascii="Cambria" w:hAnsi="Cambria"/>
                <w:b/>
                <w:sz w:val="20"/>
                <w:szCs w:val="24"/>
                <w:lang w:val="ro-RO"/>
              </w:rPr>
              <w:t>(Ni)</w:t>
            </w:r>
          </w:p>
        </w:tc>
        <w:tc>
          <w:tcPr>
            <w:tcW w:w="822" w:type="dxa"/>
            <w:shd w:val="clear" w:color="auto" w:fill="BDD6EE" w:themeFill="accent1" w:themeFillTint="66"/>
            <w:vAlign w:val="center"/>
          </w:tcPr>
          <w:p w14:paraId="7ADA153E" w14:textId="77777777" w:rsidR="00354107" w:rsidRPr="00EA1BB2" w:rsidRDefault="00354107" w:rsidP="00641FA3">
            <w:pPr>
              <w:jc w:val="center"/>
              <w:rPr>
                <w:rFonts w:ascii="Cambria" w:hAnsi="Cambria"/>
                <w:b/>
                <w:sz w:val="20"/>
                <w:szCs w:val="24"/>
                <w:lang w:val="ro-RO"/>
              </w:rPr>
            </w:pPr>
            <w:r w:rsidRPr="00EA1BB2">
              <w:rPr>
                <w:rFonts w:ascii="Cambria" w:hAnsi="Cambria"/>
                <w:b/>
                <w:sz w:val="20"/>
                <w:szCs w:val="24"/>
                <w:lang w:val="ro-RO"/>
              </w:rPr>
              <w:t>Dioxid de sulf</w:t>
            </w:r>
          </w:p>
          <w:p w14:paraId="1B6DE12A" w14:textId="77777777" w:rsidR="00354107" w:rsidRPr="00EA1BB2" w:rsidRDefault="00354107" w:rsidP="00641FA3">
            <w:pPr>
              <w:jc w:val="center"/>
              <w:rPr>
                <w:rFonts w:ascii="Cambria" w:hAnsi="Cambria"/>
                <w:b/>
                <w:sz w:val="20"/>
                <w:szCs w:val="24"/>
                <w:lang w:val="ro-RO"/>
              </w:rPr>
            </w:pPr>
            <w:r w:rsidRPr="00EA1BB2">
              <w:rPr>
                <w:rFonts w:ascii="Cambria" w:hAnsi="Cambria"/>
                <w:b/>
                <w:sz w:val="20"/>
                <w:szCs w:val="24"/>
                <w:lang w:val="ro-RO"/>
              </w:rPr>
              <w:t>(SO</w:t>
            </w:r>
            <w:r w:rsidRPr="00EA1BB2">
              <w:rPr>
                <w:rFonts w:ascii="Cambria" w:hAnsi="Cambria"/>
                <w:b/>
                <w:sz w:val="20"/>
                <w:szCs w:val="24"/>
                <w:vertAlign w:val="subscript"/>
                <w:lang w:val="ro-RO"/>
              </w:rPr>
              <w:t>2</w:t>
            </w:r>
            <w:r w:rsidRPr="00EA1BB2">
              <w:rPr>
                <w:rFonts w:ascii="Cambria" w:hAnsi="Cambria"/>
                <w:b/>
                <w:sz w:val="20"/>
                <w:szCs w:val="24"/>
                <w:lang w:val="ro-RO"/>
              </w:rPr>
              <w:t>)</w:t>
            </w:r>
          </w:p>
        </w:tc>
        <w:tc>
          <w:tcPr>
            <w:tcW w:w="1022" w:type="dxa"/>
            <w:shd w:val="clear" w:color="auto" w:fill="BDD6EE" w:themeFill="accent1" w:themeFillTint="66"/>
            <w:vAlign w:val="center"/>
          </w:tcPr>
          <w:p w14:paraId="6163C2A0" w14:textId="77777777" w:rsidR="00354107" w:rsidRPr="00EA1BB2" w:rsidRDefault="00354107" w:rsidP="00641FA3">
            <w:pPr>
              <w:jc w:val="center"/>
              <w:rPr>
                <w:rFonts w:ascii="Cambria" w:hAnsi="Cambria"/>
                <w:b/>
                <w:sz w:val="20"/>
                <w:szCs w:val="24"/>
                <w:lang w:val="ro-RO"/>
              </w:rPr>
            </w:pPr>
            <w:r w:rsidRPr="00EA1BB2">
              <w:rPr>
                <w:rFonts w:ascii="Cambria" w:hAnsi="Cambria"/>
                <w:b/>
                <w:sz w:val="20"/>
                <w:szCs w:val="24"/>
                <w:lang w:val="ro-RO"/>
              </w:rPr>
              <w:t>Monoxid de carbon</w:t>
            </w:r>
          </w:p>
          <w:p w14:paraId="4B2E6112" w14:textId="77777777" w:rsidR="00354107" w:rsidRPr="00EA1BB2" w:rsidRDefault="00354107" w:rsidP="00641FA3">
            <w:pPr>
              <w:jc w:val="center"/>
              <w:rPr>
                <w:rFonts w:ascii="Cambria" w:hAnsi="Cambria"/>
                <w:b/>
                <w:sz w:val="20"/>
                <w:szCs w:val="24"/>
                <w:lang w:val="ro-RO"/>
              </w:rPr>
            </w:pPr>
            <w:r w:rsidRPr="00EA1BB2">
              <w:rPr>
                <w:rFonts w:ascii="Cambria" w:hAnsi="Cambria"/>
                <w:b/>
                <w:sz w:val="20"/>
                <w:szCs w:val="24"/>
                <w:lang w:val="ro-RO"/>
              </w:rPr>
              <w:t>(CO)</w:t>
            </w:r>
          </w:p>
        </w:tc>
        <w:tc>
          <w:tcPr>
            <w:tcW w:w="817" w:type="dxa"/>
            <w:shd w:val="clear" w:color="auto" w:fill="BDD6EE" w:themeFill="accent1" w:themeFillTint="66"/>
            <w:vAlign w:val="center"/>
          </w:tcPr>
          <w:p w14:paraId="4D4ECD6C" w14:textId="77777777" w:rsidR="00354107" w:rsidRPr="00EA1BB2" w:rsidRDefault="00354107" w:rsidP="00641FA3">
            <w:pPr>
              <w:jc w:val="center"/>
              <w:rPr>
                <w:rFonts w:ascii="Cambria" w:hAnsi="Cambria"/>
                <w:b/>
                <w:sz w:val="20"/>
                <w:szCs w:val="24"/>
                <w:lang w:val="ro-RO"/>
              </w:rPr>
            </w:pPr>
            <w:r w:rsidRPr="00EA1BB2">
              <w:rPr>
                <w:rFonts w:ascii="Cambria" w:hAnsi="Cambria"/>
                <w:b/>
                <w:sz w:val="20"/>
                <w:szCs w:val="24"/>
                <w:lang w:val="ro-RO"/>
              </w:rPr>
              <w:t>Plumb</w:t>
            </w:r>
          </w:p>
          <w:p w14:paraId="632B98ED" w14:textId="77777777" w:rsidR="00354107" w:rsidRPr="00EA1BB2" w:rsidRDefault="00354107" w:rsidP="00641FA3">
            <w:pPr>
              <w:jc w:val="center"/>
              <w:rPr>
                <w:rFonts w:ascii="Cambria" w:hAnsi="Cambria"/>
                <w:b/>
                <w:sz w:val="20"/>
                <w:szCs w:val="24"/>
                <w:lang w:val="ro-RO"/>
              </w:rPr>
            </w:pPr>
            <w:r w:rsidRPr="00EA1BB2">
              <w:rPr>
                <w:rFonts w:ascii="Cambria" w:hAnsi="Cambria"/>
                <w:b/>
                <w:sz w:val="20"/>
                <w:szCs w:val="24"/>
                <w:lang w:val="ro-RO"/>
              </w:rPr>
              <w:t>(Pb)</w:t>
            </w:r>
          </w:p>
        </w:tc>
        <w:tc>
          <w:tcPr>
            <w:tcW w:w="758" w:type="dxa"/>
            <w:shd w:val="clear" w:color="auto" w:fill="BDD6EE" w:themeFill="accent1" w:themeFillTint="66"/>
            <w:vAlign w:val="center"/>
          </w:tcPr>
          <w:p w14:paraId="1A969D22" w14:textId="77777777" w:rsidR="00354107" w:rsidRPr="00EA1BB2" w:rsidRDefault="00354107" w:rsidP="00641FA3">
            <w:pPr>
              <w:jc w:val="center"/>
              <w:rPr>
                <w:rFonts w:ascii="Cambria" w:hAnsi="Cambria"/>
                <w:b/>
                <w:sz w:val="20"/>
                <w:szCs w:val="24"/>
                <w:lang w:val="ro-RO"/>
              </w:rPr>
            </w:pPr>
            <w:r w:rsidRPr="00EA1BB2">
              <w:rPr>
                <w:rFonts w:ascii="Cambria" w:hAnsi="Cambria"/>
                <w:b/>
                <w:sz w:val="20"/>
                <w:szCs w:val="24"/>
                <w:lang w:val="ro-RO"/>
              </w:rPr>
              <w:t>Arsen</w:t>
            </w:r>
          </w:p>
          <w:p w14:paraId="1F16DD72" w14:textId="77777777" w:rsidR="00354107" w:rsidRPr="00EA1BB2" w:rsidRDefault="00354107" w:rsidP="00641FA3">
            <w:pPr>
              <w:jc w:val="center"/>
              <w:rPr>
                <w:rFonts w:ascii="Cambria" w:hAnsi="Cambria"/>
                <w:b/>
                <w:sz w:val="20"/>
                <w:szCs w:val="24"/>
                <w:lang w:val="ro-RO"/>
              </w:rPr>
            </w:pPr>
            <w:r w:rsidRPr="00EA1BB2">
              <w:rPr>
                <w:rFonts w:ascii="Cambria" w:hAnsi="Cambria"/>
                <w:b/>
                <w:sz w:val="20"/>
                <w:szCs w:val="24"/>
                <w:lang w:val="ro-RO"/>
              </w:rPr>
              <w:t>(As)</w:t>
            </w:r>
          </w:p>
        </w:tc>
        <w:tc>
          <w:tcPr>
            <w:tcW w:w="918" w:type="dxa"/>
            <w:shd w:val="clear" w:color="auto" w:fill="BDD6EE" w:themeFill="accent1" w:themeFillTint="66"/>
            <w:vAlign w:val="center"/>
          </w:tcPr>
          <w:p w14:paraId="4B3A2BD1" w14:textId="77777777" w:rsidR="00354107" w:rsidRPr="00EA1BB2" w:rsidRDefault="00354107" w:rsidP="00641FA3">
            <w:pPr>
              <w:jc w:val="center"/>
              <w:rPr>
                <w:rFonts w:ascii="Cambria" w:hAnsi="Cambria"/>
                <w:b/>
                <w:sz w:val="20"/>
                <w:szCs w:val="24"/>
                <w:lang w:val="ro-RO"/>
              </w:rPr>
            </w:pPr>
            <w:r w:rsidRPr="00EA1BB2">
              <w:rPr>
                <w:rFonts w:ascii="Cambria" w:hAnsi="Cambria"/>
                <w:b/>
                <w:sz w:val="20"/>
                <w:szCs w:val="24"/>
                <w:lang w:val="ro-RO"/>
              </w:rPr>
              <w:t>Cadmiu</w:t>
            </w:r>
          </w:p>
          <w:p w14:paraId="11AFBCC2" w14:textId="77777777" w:rsidR="00354107" w:rsidRPr="00EA1BB2" w:rsidRDefault="00354107" w:rsidP="00641FA3">
            <w:pPr>
              <w:jc w:val="center"/>
              <w:rPr>
                <w:rFonts w:ascii="Cambria" w:hAnsi="Cambria"/>
                <w:b/>
                <w:sz w:val="20"/>
                <w:szCs w:val="24"/>
                <w:lang w:val="ro-RO"/>
              </w:rPr>
            </w:pPr>
            <w:r w:rsidRPr="00EA1BB2">
              <w:rPr>
                <w:rFonts w:ascii="Cambria" w:hAnsi="Cambria"/>
                <w:b/>
                <w:sz w:val="20"/>
                <w:szCs w:val="24"/>
                <w:lang w:val="ro-RO"/>
              </w:rPr>
              <w:t>(Cd)</w:t>
            </w:r>
          </w:p>
        </w:tc>
      </w:tr>
      <w:tr w:rsidR="00BA20EE" w:rsidRPr="00EA1BB2" w14:paraId="4C8B2B33" w14:textId="77777777" w:rsidTr="004F2D72">
        <w:trPr>
          <w:jc w:val="center"/>
        </w:trPr>
        <w:tc>
          <w:tcPr>
            <w:tcW w:w="1529" w:type="dxa"/>
            <w:vAlign w:val="center"/>
          </w:tcPr>
          <w:p w14:paraId="105A1B37" w14:textId="77777777" w:rsidR="00BA20EE" w:rsidRPr="00EA1BB2" w:rsidRDefault="00BA20EE" w:rsidP="00BA20EE">
            <w:pPr>
              <w:spacing w:line="276" w:lineRule="auto"/>
              <w:jc w:val="center"/>
              <w:rPr>
                <w:rFonts w:ascii="Cambria" w:hAnsi="Cambria"/>
                <w:sz w:val="20"/>
                <w:szCs w:val="24"/>
                <w:lang w:val="ro-RO"/>
              </w:rPr>
            </w:pPr>
            <w:r w:rsidRPr="00EA1BB2">
              <w:rPr>
                <w:rFonts w:ascii="Cambria" w:hAnsi="Cambria"/>
                <w:sz w:val="20"/>
                <w:szCs w:val="24"/>
                <w:lang w:val="ro-RO"/>
              </w:rPr>
              <w:t>Aglomerarea</w:t>
            </w:r>
          </w:p>
          <w:p w14:paraId="6BD2BB82" w14:textId="77777777" w:rsidR="00BA20EE" w:rsidRPr="00EA1BB2" w:rsidRDefault="00BA20EE" w:rsidP="00BA20EE">
            <w:pPr>
              <w:spacing w:line="276" w:lineRule="auto"/>
              <w:jc w:val="center"/>
              <w:rPr>
                <w:rFonts w:ascii="Cambria" w:hAnsi="Cambria"/>
                <w:sz w:val="20"/>
                <w:szCs w:val="24"/>
                <w:lang w:val="ro-RO"/>
              </w:rPr>
            </w:pPr>
            <w:r w:rsidRPr="00EA1BB2">
              <w:rPr>
                <w:rFonts w:ascii="Cambria" w:hAnsi="Cambria"/>
                <w:sz w:val="20"/>
                <w:szCs w:val="24"/>
                <w:lang w:val="ro-RO"/>
              </w:rPr>
              <w:t>Brăila</w:t>
            </w:r>
          </w:p>
        </w:tc>
        <w:tc>
          <w:tcPr>
            <w:tcW w:w="1302" w:type="dxa"/>
            <w:shd w:val="clear" w:color="auto" w:fill="auto"/>
            <w:vAlign w:val="center"/>
          </w:tcPr>
          <w:p w14:paraId="0E7062B7" w14:textId="77777777" w:rsidR="00BA20EE" w:rsidRPr="00EA1BB2" w:rsidRDefault="00BA20EE" w:rsidP="004F2D72">
            <w:pPr>
              <w:spacing w:line="360" w:lineRule="auto"/>
              <w:jc w:val="center"/>
              <w:rPr>
                <w:rFonts w:ascii="Cambria" w:hAnsi="Cambria"/>
                <w:sz w:val="20"/>
                <w:szCs w:val="24"/>
                <w:lang w:val="ro-RO"/>
              </w:rPr>
            </w:pPr>
            <w:r w:rsidRPr="00EA1BB2">
              <w:rPr>
                <w:rFonts w:ascii="Cambria" w:hAnsi="Cambria"/>
                <w:sz w:val="20"/>
                <w:szCs w:val="24"/>
                <w:lang w:val="ro-RO"/>
              </w:rPr>
              <w:t>A</w:t>
            </w:r>
          </w:p>
        </w:tc>
        <w:tc>
          <w:tcPr>
            <w:tcW w:w="1127" w:type="dxa"/>
            <w:vAlign w:val="center"/>
          </w:tcPr>
          <w:p w14:paraId="0887BCF5" w14:textId="77777777" w:rsidR="00BA20EE" w:rsidRPr="00EA1BB2" w:rsidRDefault="00BA20EE" w:rsidP="004F2D72">
            <w:pPr>
              <w:spacing w:line="360" w:lineRule="auto"/>
              <w:jc w:val="center"/>
              <w:rPr>
                <w:rFonts w:ascii="Cambria" w:hAnsi="Cambria"/>
                <w:sz w:val="20"/>
                <w:szCs w:val="24"/>
                <w:lang w:val="ro-RO"/>
              </w:rPr>
            </w:pPr>
            <w:r w:rsidRPr="00EA1BB2">
              <w:rPr>
                <w:rFonts w:ascii="Cambria" w:hAnsi="Cambria"/>
                <w:sz w:val="20"/>
                <w:szCs w:val="24"/>
                <w:lang w:val="ro-RO"/>
              </w:rPr>
              <w:t>A</w:t>
            </w:r>
          </w:p>
        </w:tc>
        <w:tc>
          <w:tcPr>
            <w:tcW w:w="896" w:type="dxa"/>
            <w:vAlign w:val="center"/>
          </w:tcPr>
          <w:p w14:paraId="5A68B880" w14:textId="77777777" w:rsidR="00BA20EE" w:rsidRPr="00EA1BB2" w:rsidRDefault="00BA20EE" w:rsidP="004F2D72">
            <w:pPr>
              <w:spacing w:line="360" w:lineRule="auto"/>
              <w:jc w:val="center"/>
              <w:rPr>
                <w:rFonts w:ascii="Cambria" w:hAnsi="Cambria"/>
                <w:sz w:val="20"/>
                <w:szCs w:val="24"/>
                <w:lang w:val="ro-RO"/>
              </w:rPr>
            </w:pPr>
            <w:r w:rsidRPr="00EA1BB2">
              <w:rPr>
                <w:rFonts w:ascii="Cambria" w:hAnsi="Cambria"/>
                <w:sz w:val="20"/>
                <w:szCs w:val="24"/>
                <w:lang w:val="ro-RO"/>
              </w:rPr>
              <w:t>A</w:t>
            </w:r>
          </w:p>
        </w:tc>
        <w:tc>
          <w:tcPr>
            <w:tcW w:w="796" w:type="dxa"/>
            <w:vAlign w:val="center"/>
          </w:tcPr>
          <w:p w14:paraId="7E7AFADC" w14:textId="77777777" w:rsidR="00BA20EE" w:rsidRPr="00EA1BB2" w:rsidRDefault="00BA20EE" w:rsidP="004F2D72">
            <w:pPr>
              <w:spacing w:line="360" w:lineRule="auto"/>
              <w:jc w:val="center"/>
              <w:rPr>
                <w:rFonts w:ascii="Cambria" w:hAnsi="Cambria"/>
                <w:sz w:val="20"/>
                <w:szCs w:val="24"/>
                <w:lang w:val="ro-RO"/>
              </w:rPr>
            </w:pPr>
            <w:r w:rsidRPr="00EA1BB2">
              <w:rPr>
                <w:rFonts w:ascii="Cambria" w:hAnsi="Cambria"/>
                <w:sz w:val="20"/>
                <w:szCs w:val="24"/>
                <w:lang w:val="ro-RO"/>
              </w:rPr>
              <w:t>C</w:t>
            </w:r>
          </w:p>
        </w:tc>
        <w:tc>
          <w:tcPr>
            <w:tcW w:w="822" w:type="dxa"/>
            <w:vAlign w:val="center"/>
          </w:tcPr>
          <w:p w14:paraId="4EF6CD7F" w14:textId="77777777" w:rsidR="00BA20EE" w:rsidRPr="00EA1BB2" w:rsidRDefault="00BA20EE" w:rsidP="004F2D72">
            <w:pPr>
              <w:spacing w:line="360" w:lineRule="auto"/>
              <w:jc w:val="center"/>
              <w:rPr>
                <w:rFonts w:ascii="Cambria" w:hAnsi="Cambria"/>
                <w:sz w:val="20"/>
                <w:szCs w:val="24"/>
                <w:lang w:val="ro-RO"/>
              </w:rPr>
            </w:pPr>
            <w:r w:rsidRPr="00EA1BB2">
              <w:rPr>
                <w:rFonts w:ascii="Cambria" w:hAnsi="Cambria"/>
                <w:sz w:val="20"/>
                <w:szCs w:val="24"/>
                <w:lang w:val="ro-RO"/>
              </w:rPr>
              <w:t>C</w:t>
            </w:r>
          </w:p>
        </w:tc>
        <w:tc>
          <w:tcPr>
            <w:tcW w:w="1022" w:type="dxa"/>
            <w:vAlign w:val="center"/>
          </w:tcPr>
          <w:p w14:paraId="6D36597A" w14:textId="77777777" w:rsidR="00BA20EE" w:rsidRPr="00EA1BB2" w:rsidRDefault="00BA20EE" w:rsidP="004F2D72">
            <w:pPr>
              <w:spacing w:line="360" w:lineRule="auto"/>
              <w:jc w:val="center"/>
              <w:rPr>
                <w:rFonts w:ascii="Cambria" w:hAnsi="Cambria"/>
                <w:sz w:val="20"/>
                <w:szCs w:val="24"/>
                <w:lang w:val="ro-RO"/>
              </w:rPr>
            </w:pPr>
            <w:r w:rsidRPr="00EA1BB2">
              <w:rPr>
                <w:rFonts w:ascii="Cambria" w:hAnsi="Cambria"/>
                <w:sz w:val="20"/>
                <w:szCs w:val="24"/>
                <w:lang w:val="ro-RO"/>
              </w:rPr>
              <w:t>C</w:t>
            </w:r>
          </w:p>
        </w:tc>
        <w:tc>
          <w:tcPr>
            <w:tcW w:w="817" w:type="dxa"/>
            <w:vAlign w:val="center"/>
          </w:tcPr>
          <w:p w14:paraId="59137D14" w14:textId="77777777" w:rsidR="00BA20EE" w:rsidRPr="00EA1BB2" w:rsidRDefault="00BA20EE" w:rsidP="004F2D72">
            <w:pPr>
              <w:spacing w:line="360" w:lineRule="auto"/>
              <w:jc w:val="center"/>
              <w:rPr>
                <w:rFonts w:ascii="Cambria" w:hAnsi="Cambria"/>
                <w:sz w:val="20"/>
                <w:szCs w:val="24"/>
                <w:lang w:val="ro-RO"/>
              </w:rPr>
            </w:pPr>
            <w:r w:rsidRPr="00EA1BB2">
              <w:rPr>
                <w:rFonts w:ascii="Cambria" w:hAnsi="Cambria"/>
                <w:sz w:val="20"/>
                <w:szCs w:val="24"/>
                <w:lang w:val="ro-RO"/>
              </w:rPr>
              <w:t>C</w:t>
            </w:r>
          </w:p>
        </w:tc>
        <w:tc>
          <w:tcPr>
            <w:tcW w:w="758" w:type="dxa"/>
            <w:vAlign w:val="center"/>
          </w:tcPr>
          <w:p w14:paraId="5BB24780" w14:textId="77777777" w:rsidR="00BA20EE" w:rsidRPr="00EA1BB2" w:rsidRDefault="00BA20EE" w:rsidP="004F2D72">
            <w:pPr>
              <w:spacing w:line="360" w:lineRule="auto"/>
              <w:jc w:val="center"/>
              <w:rPr>
                <w:rFonts w:ascii="Cambria" w:hAnsi="Cambria"/>
                <w:sz w:val="20"/>
                <w:szCs w:val="24"/>
                <w:lang w:val="ro-RO"/>
              </w:rPr>
            </w:pPr>
            <w:r w:rsidRPr="00EA1BB2">
              <w:rPr>
                <w:rFonts w:ascii="Cambria" w:hAnsi="Cambria"/>
                <w:sz w:val="20"/>
                <w:szCs w:val="24"/>
                <w:lang w:val="ro-RO"/>
              </w:rPr>
              <w:t>C</w:t>
            </w:r>
          </w:p>
        </w:tc>
        <w:tc>
          <w:tcPr>
            <w:tcW w:w="918" w:type="dxa"/>
            <w:vAlign w:val="center"/>
          </w:tcPr>
          <w:p w14:paraId="616DCE2B" w14:textId="77777777" w:rsidR="00BA20EE" w:rsidRPr="00EA1BB2" w:rsidRDefault="00BA20EE" w:rsidP="004F2D72">
            <w:pPr>
              <w:spacing w:line="360" w:lineRule="auto"/>
              <w:jc w:val="center"/>
              <w:rPr>
                <w:rFonts w:ascii="Cambria" w:hAnsi="Cambria"/>
                <w:sz w:val="20"/>
                <w:szCs w:val="24"/>
                <w:lang w:val="ro-RO"/>
              </w:rPr>
            </w:pPr>
            <w:r w:rsidRPr="00EA1BB2">
              <w:rPr>
                <w:rFonts w:ascii="Cambria" w:hAnsi="Cambria"/>
                <w:sz w:val="20"/>
                <w:szCs w:val="24"/>
                <w:lang w:val="ro-RO"/>
              </w:rPr>
              <w:t>C</w:t>
            </w:r>
          </w:p>
        </w:tc>
      </w:tr>
      <w:tr w:rsidR="00BA20EE" w:rsidRPr="00EA1BB2" w14:paraId="4F0F56B7" w14:textId="77777777" w:rsidTr="004F2D72">
        <w:trPr>
          <w:jc w:val="center"/>
        </w:trPr>
        <w:tc>
          <w:tcPr>
            <w:tcW w:w="1529" w:type="dxa"/>
            <w:vAlign w:val="center"/>
          </w:tcPr>
          <w:p w14:paraId="12052CBB" w14:textId="77777777" w:rsidR="00BA20EE" w:rsidRPr="00EA1BB2" w:rsidRDefault="00BA20EE" w:rsidP="00BA20EE">
            <w:pPr>
              <w:spacing w:line="276" w:lineRule="auto"/>
              <w:jc w:val="center"/>
              <w:rPr>
                <w:rFonts w:ascii="Cambria" w:hAnsi="Cambria"/>
                <w:sz w:val="20"/>
                <w:szCs w:val="24"/>
                <w:lang w:val="ro-RO"/>
              </w:rPr>
            </w:pPr>
            <w:r w:rsidRPr="00EA1BB2">
              <w:rPr>
                <w:rFonts w:ascii="Cambria" w:hAnsi="Cambria"/>
                <w:sz w:val="20"/>
                <w:szCs w:val="24"/>
                <w:lang w:val="ro-RO"/>
              </w:rPr>
              <w:t>Zona Brăila</w:t>
            </w:r>
          </w:p>
        </w:tc>
        <w:tc>
          <w:tcPr>
            <w:tcW w:w="1302" w:type="dxa"/>
            <w:shd w:val="clear" w:color="auto" w:fill="auto"/>
            <w:vAlign w:val="center"/>
          </w:tcPr>
          <w:p w14:paraId="6B91B64E" w14:textId="77777777" w:rsidR="00BA20EE" w:rsidRPr="00EA1BB2" w:rsidRDefault="00BA20EE" w:rsidP="004F2D72">
            <w:pPr>
              <w:spacing w:line="360" w:lineRule="auto"/>
              <w:jc w:val="center"/>
              <w:rPr>
                <w:rFonts w:ascii="Cambria" w:hAnsi="Cambria"/>
                <w:sz w:val="20"/>
                <w:szCs w:val="24"/>
                <w:lang w:val="ro-RO"/>
              </w:rPr>
            </w:pPr>
            <w:r w:rsidRPr="00EA1BB2">
              <w:rPr>
                <w:rFonts w:ascii="Cambria" w:hAnsi="Cambria"/>
                <w:sz w:val="20"/>
                <w:szCs w:val="24"/>
                <w:lang w:val="ro-RO"/>
              </w:rPr>
              <w:t>B</w:t>
            </w:r>
          </w:p>
        </w:tc>
        <w:tc>
          <w:tcPr>
            <w:tcW w:w="1127" w:type="dxa"/>
            <w:vAlign w:val="center"/>
          </w:tcPr>
          <w:p w14:paraId="500BCD44" w14:textId="77777777" w:rsidR="00BA20EE" w:rsidRPr="00EA1BB2" w:rsidRDefault="00BA20EE" w:rsidP="004F2D72">
            <w:pPr>
              <w:spacing w:line="360" w:lineRule="auto"/>
              <w:jc w:val="center"/>
              <w:rPr>
                <w:rFonts w:ascii="Cambria" w:hAnsi="Cambria"/>
                <w:sz w:val="20"/>
                <w:szCs w:val="24"/>
                <w:lang w:val="ro-RO"/>
              </w:rPr>
            </w:pPr>
            <w:r w:rsidRPr="00EA1BB2">
              <w:rPr>
                <w:rFonts w:ascii="Cambria" w:hAnsi="Cambria"/>
                <w:sz w:val="20"/>
                <w:szCs w:val="24"/>
                <w:lang w:val="ro-RO"/>
              </w:rPr>
              <w:t>A</w:t>
            </w:r>
          </w:p>
        </w:tc>
        <w:tc>
          <w:tcPr>
            <w:tcW w:w="896" w:type="dxa"/>
            <w:vAlign w:val="center"/>
          </w:tcPr>
          <w:p w14:paraId="6FCE7827" w14:textId="77777777" w:rsidR="00BA20EE" w:rsidRPr="00EA1BB2" w:rsidRDefault="00BA20EE" w:rsidP="004F2D72">
            <w:pPr>
              <w:spacing w:line="360" w:lineRule="auto"/>
              <w:jc w:val="center"/>
              <w:rPr>
                <w:rFonts w:ascii="Cambria" w:hAnsi="Cambria"/>
                <w:sz w:val="20"/>
                <w:szCs w:val="24"/>
                <w:lang w:val="ro-RO"/>
              </w:rPr>
            </w:pPr>
            <w:r w:rsidRPr="00EA1BB2">
              <w:rPr>
                <w:rFonts w:ascii="Cambria" w:hAnsi="Cambria"/>
                <w:sz w:val="20"/>
                <w:szCs w:val="24"/>
                <w:lang w:val="ro-RO"/>
              </w:rPr>
              <w:t>B</w:t>
            </w:r>
          </w:p>
        </w:tc>
        <w:tc>
          <w:tcPr>
            <w:tcW w:w="796" w:type="dxa"/>
            <w:vAlign w:val="center"/>
          </w:tcPr>
          <w:p w14:paraId="5EE450D3" w14:textId="77777777" w:rsidR="00BA20EE" w:rsidRPr="00EA1BB2" w:rsidRDefault="00BA20EE" w:rsidP="004F2D72">
            <w:pPr>
              <w:spacing w:line="360" w:lineRule="auto"/>
              <w:jc w:val="center"/>
              <w:rPr>
                <w:rFonts w:ascii="Cambria" w:hAnsi="Cambria"/>
                <w:sz w:val="20"/>
                <w:szCs w:val="24"/>
                <w:lang w:val="ro-RO"/>
              </w:rPr>
            </w:pPr>
            <w:r w:rsidRPr="00EA1BB2">
              <w:rPr>
                <w:rFonts w:ascii="Cambria" w:hAnsi="Cambria"/>
                <w:sz w:val="20"/>
                <w:szCs w:val="24"/>
                <w:lang w:val="ro-RO"/>
              </w:rPr>
              <w:t>C</w:t>
            </w:r>
          </w:p>
        </w:tc>
        <w:tc>
          <w:tcPr>
            <w:tcW w:w="822" w:type="dxa"/>
            <w:vAlign w:val="center"/>
          </w:tcPr>
          <w:p w14:paraId="77FD94C7" w14:textId="77777777" w:rsidR="00BA20EE" w:rsidRPr="00EA1BB2" w:rsidRDefault="00BA20EE" w:rsidP="004F2D72">
            <w:pPr>
              <w:spacing w:line="360" w:lineRule="auto"/>
              <w:jc w:val="center"/>
              <w:rPr>
                <w:rFonts w:ascii="Cambria" w:hAnsi="Cambria"/>
                <w:sz w:val="20"/>
                <w:szCs w:val="24"/>
                <w:lang w:val="ro-RO"/>
              </w:rPr>
            </w:pPr>
            <w:r w:rsidRPr="00EA1BB2">
              <w:rPr>
                <w:rFonts w:ascii="Cambria" w:hAnsi="Cambria"/>
                <w:sz w:val="20"/>
                <w:szCs w:val="24"/>
                <w:lang w:val="ro-RO"/>
              </w:rPr>
              <w:t>C</w:t>
            </w:r>
          </w:p>
        </w:tc>
        <w:tc>
          <w:tcPr>
            <w:tcW w:w="1022" w:type="dxa"/>
            <w:vAlign w:val="center"/>
          </w:tcPr>
          <w:p w14:paraId="5641863C" w14:textId="77777777" w:rsidR="00BA20EE" w:rsidRPr="00EA1BB2" w:rsidRDefault="00BA20EE" w:rsidP="004F2D72">
            <w:pPr>
              <w:spacing w:line="360" w:lineRule="auto"/>
              <w:jc w:val="center"/>
              <w:rPr>
                <w:rFonts w:ascii="Cambria" w:hAnsi="Cambria"/>
                <w:sz w:val="20"/>
                <w:szCs w:val="24"/>
                <w:lang w:val="ro-RO"/>
              </w:rPr>
            </w:pPr>
            <w:r w:rsidRPr="00EA1BB2">
              <w:rPr>
                <w:rFonts w:ascii="Cambria" w:hAnsi="Cambria"/>
                <w:sz w:val="20"/>
                <w:szCs w:val="24"/>
                <w:lang w:val="ro-RO"/>
              </w:rPr>
              <w:t>C</w:t>
            </w:r>
          </w:p>
        </w:tc>
        <w:tc>
          <w:tcPr>
            <w:tcW w:w="817" w:type="dxa"/>
            <w:vAlign w:val="center"/>
          </w:tcPr>
          <w:p w14:paraId="2AC79406" w14:textId="77777777" w:rsidR="00BA20EE" w:rsidRPr="00EA1BB2" w:rsidRDefault="00BA20EE" w:rsidP="004F2D72">
            <w:pPr>
              <w:spacing w:line="360" w:lineRule="auto"/>
              <w:jc w:val="center"/>
              <w:rPr>
                <w:rFonts w:ascii="Cambria" w:hAnsi="Cambria"/>
                <w:sz w:val="20"/>
                <w:szCs w:val="24"/>
                <w:lang w:val="ro-RO"/>
              </w:rPr>
            </w:pPr>
            <w:r w:rsidRPr="00EA1BB2">
              <w:rPr>
                <w:rFonts w:ascii="Cambria" w:hAnsi="Cambria"/>
                <w:sz w:val="20"/>
                <w:szCs w:val="24"/>
                <w:lang w:val="ro-RO"/>
              </w:rPr>
              <w:t>C</w:t>
            </w:r>
          </w:p>
        </w:tc>
        <w:tc>
          <w:tcPr>
            <w:tcW w:w="758" w:type="dxa"/>
            <w:vAlign w:val="center"/>
          </w:tcPr>
          <w:p w14:paraId="4586770E" w14:textId="77777777" w:rsidR="00BA20EE" w:rsidRPr="00EA1BB2" w:rsidRDefault="00BA20EE" w:rsidP="004F2D72">
            <w:pPr>
              <w:spacing w:line="360" w:lineRule="auto"/>
              <w:jc w:val="center"/>
              <w:rPr>
                <w:rFonts w:ascii="Cambria" w:hAnsi="Cambria"/>
                <w:sz w:val="20"/>
                <w:szCs w:val="24"/>
                <w:lang w:val="ro-RO"/>
              </w:rPr>
            </w:pPr>
            <w:r w:rsidRPr="00EA1BB2">
              <w:rPr>
                <w:rFonts w:ascii="Cambria" w:hAnsi="Cambria"/>
                <w:sz w:val="20"/>
                <w:szCs w:val="24"/>
                <w:lang w:val="ro-RO"/>
              </w:rPr>
              <w:t>C</w:t>
            </w:r>
          </w:p>
        </w:tc>
        <w:tc>
          <w:tcPr>
            <w:tcW w:w="918" w:type="dxa"/>
            <w:vAlign w:val="center"/>
          </w:tcPr>
          <w:p w14:paraId="52923BDC" w14:textId="77777777" w:rsidR="00BA20EE" w:rsidRPr="00EA1BB2" w:rsidRDefault="00BA20EE" w:rsidP="004F2D72">
            <w:pPr>
              <w:spacing w:line="360" w:lineRule="auto"/>
              <w:jc w:val="center"/>
              <w:rPr>
                <w:rFonts w:ascii="Cambria" w:hAnsi="Cambria"/>
                <w:sz w:val="20"/>
                <w:szCs w:val="24"/>
                <w:lang w:val="ro-RO"/>
              </w:rPr>
            </w:pPr>
            <w:r w:rsidRPr="00EA1BB2">
              <w:rPr>
                <w:rFonts w:ascii="Cambria" w:hAnsi="Cambria"/>
                <w:sz w:val="20"/>
                <w:szCs w:val="24"/>
                <w:lang w:val="ro-RO"/>
              </w:rPr>
              <w:t>C</w:t>
            </w:r>
          </w:p>
        </w:tc>
      </w:tr>
    </w:tbl>
    <w:p w14:paraId="1A7E849F" w14:textId="77777777" w:rsidR="00354107" w:rsidRPr="00EA1BB2" w:rsidRDefault="00354107" w:rsidP="00354107">
      <w:pPr>
        <w:spacing w:line="276" w:lineRule="auto"/>
        <w:jc w:val="both"/>
        <w:rPr>
          <w:rFonts w:ascii="Cambria" w:eastAsia="Times New Roman" w:hAnsi="Cambria" w:cs="Times New Roman"/>
          <w:szCs w:val="24"/>
        </w:rPr>
      </w:pPr>
      <w:r w:rsidRPr="00EA1BB2">
        <w:rPr>
          <w:rFonts w:ascii="Cambria" w:eastAsia="Times New Roman" w:hAnsi="Cambria" w:cs="Times New Roman"/>
          <w:szCs w:val="24"/>
        </w:rPr>
        <w:t>Sursa date: Ordinul MMAP nr. 36/2016 pentru aprobarea listelor cu unitățile administrativ-teritoriale întocmite în urma încadrării în regimurile de evaluare a ariilor din zonele și aglomerările prevăzute în anexa nr. 2 la Legea nr. 104/2011 privind calitatea aerului înconjurător</w:t>
      </w:r>
    </w:p>
    <w:p w14:paraId="02B28EF3" w14:textId="77777777" w:rsidR="00EE273C" w:rsidRPr="00EA1BB2" w:rsidRDefault="00EE273C" w:rsidP="00354107">
      <w:pPr>
        <w:spacing w:line="360" w:lineRule="auto"/>
        <w:jc w:val="both"/>
        <w:rPr>
          <w:rFonts w:ascii="Cambria" w:eastAsia="Calibri" w:hAnsi="Cambria" w:cs="Times New Roman"/>
          <w:sz w:val="24"/>
        </w:rPr>
      </w:pPr>
    </w:p>
    <w:p w14:paraId="1722A2D2" w14:textId="7E9661A0" w:rsidR="00354107" w:rsidRPr="00EA1BB2" w:rsidRDefault="004F2D72" w:rsidP="00AC1B06">
      <w:pPr>
        <w:spacing w:line="360" w:lineRule="auto"/>
        <w:ind w:firstLine="708"/>
        <w:jc w:val="both"/>
        <w:rPr>
          <w:rFonts w:ascii="Cambria" w:eastAsia="Calibri" w:hAnsi="Cambria" w:cs="Times New Roman"/>
          <w:sz w:val="28"/>
        </w:rPr>
      </w:pPr>
      <w:r w:rsidRPr="00EA1BB2">
        <w:rPr>
          <w:rFonts w:ascii="Cambria" w:eastAsia="Calibri" w:hAnsi="Cambria" w:cs="Times New Roman"/>
          <w:sz w:val="24"/>
        </w:rPr>
        <w:t>Astfel, aglomerarea Brăila a fost</w:t>
      </w:r>
      <w:r w:rsidR="00AC1B06" w:rsidRPr="00EA1BB2">
        <w:rPr>
          <w:rFonts w:ascii="Cambria" w:eastAsia="Calibri" w:hAnsi="Cambria" w:cs="Times New Roman"/>
          <w:sz w:val="24"/>
        </w:rPr>
        <w:t xml:space="preserve"> încadrată în regimul de evaluare A pentru poluanții</w:t>
      </w:r>
      <w:r w:rsidR="00BD06C5" w:rsidRPr="00EA1BB2">
        <w:rPr>
          <w:rFonts w:ascii="Cambria" w:eastAsia="Calibri" w:hAnsi="Cambria" w:cs="Times New Roman"/>
          <w:sz w:val="24"/>
        </w:rPr>
        <w:t xml:space="preserve"> </w:t>
      </w:r>
      <w:r w:rsidR="00AC1B06" w:rsidRPr="00EA1BB2">
        <w:rPr>
          <w:rFonts w:ascii="Cambria" w:eastAsia="Calibri" w:hAnsi="Cambria" w:cs="Times New Roman"/>
          <w:sz w:val="24"/>
        </w:rPr>
        <w:t>dioxid de azot, oxizi de azot, particule în suspensie (PM</w:t>
      </w:r>
      <w:r w:rsidR="00AC1B06" w:rsidRPr="00EA1BB2">
        <w:rPr>
          <w:rFonts w:ascii="Cambria" w:eastAsia="Calibri" w:hAnsi="Cambria" w:cs="Times New Roman"/>
          <w:sz w:val="24"/>
          <w:vertAlign w:val="subscript"/>
        </w:rPr>
        <w:t>10</w:t>
      </w:r>
      <w:r w:rsidR="00AC1B06" w:rsidRPr="00EA1BB2">
        <w:rPr>
          <w:rFonts w:ascii="Cambria" w:eastAsia="Calibri" w:hAnsi="Cambria" w:cs="Times New Roman"/>
          <w:sz w:val="24"/>
        </w:rPr>
        <w:t xml:space="preserve"> și PM</w:t>
      </w:r>
      <w:r w:rsidR="00AC1B06" w:rsidRPr="00EA1BB2">
        <w:rPr>
          <w:rFonts w:ascii="Cambria" w:eastAsia="Calibri" w:hAnsi="Cambria" w:cs="Times New Roman"/>
          <w:sz w:val="24"/>
          <w:vertAlign w:val="subscript"/>
        </w:rPr>
        <w:t>2,5</w:t>
      </w:r>
      <w:r w:rsidR="00AC1B06" w:rsidRPr="00EA1BB2">
        <w:rPr>
          <w:rFonts w:ascii="Cambria" w:eastAsia="Calibri" w:hAnsi="Cambria" w:cs="Times New Roman"/>
          <w:sz w:val="24"/>
        </w:rPr>
        <w:t>) și benzen iar zona Brăila pentru particule în suspensie (PM</w:t>
      </w:r>
      <w:r w:rsidR="00AC1B06" w:rsidRPr="00EA1BB2">
        <w:rPr>
          <w:rFonts w:ascii="Cambria" w:eastAsia="Calibri" w:hAnsi="Cambria" w:cs="Times New Roman"/>
          <w:sz w:val="24"/>
          <w:vertAlign w:val="subscript"/>
        </w:rPr>
        <w:t>10</w:t>
      </w:r>
      <w:r w:rsidR="00AC1B06" w:rsidRPr="00EA1BB2">
        <w:rPr>
          <w:rFonts w:ascii="Cambria" w:eastAsia="Calibri" w:hAnsi="Cambria" w:cs="Times New Roman"/>
          <w:sz w:val="24"/>
        </w:rPr>
        <w:t xml:space="preserve"> și PM</w:t>
      </w:r>
      <w:r w:rsidR="00AC1B06" w:rsidRPr="00EA1BB2">
        <w:rPr>
          <w:rFonts w:ascii="Cambria" w:eastAsia="Calibri" w:hAnsi="Cambria" w:cs="Times New Roman"/>
          <w:sz w:val="24"/>
          <w:vertAlign w:val="subscript"/>
        </w:rPr>
        <w:t>2,5</w:t>
      </w:r>
      <w:r w:rsidR="00AC1B06" w:rsidRPr="00EA1BB2">
        <w:rPr>
          <w:rFonts w:ascii="Cambria" w:eastAsia="Calibri" w:hAnsi="Cambria" w:cs="Times New Roman"/>
          <w:sz w:val="24"/>
        </w:rPr>
        <w:t>).</w:t>
      </w:r>
    </w:p>
    <w:p w14:paraId="269EC820" w14:textId="1822056A" w:rsidR="00B84975" w:rsidRPr="00EA1BB2" w:rsidRDefault="004F2D72" w:rsidP="00A940F1">
      <w:pPr>
        <w:spacing w:line="360" w:lineRule="auto"/>
        <w:ind w:firstLine="708"/>
        <w:jc w:val="both"/>
        <w:rPr>
          <w:rFonts w:ascii="Cambria" w:hAnsi="Cambria" w:cs="Times New Roman"/>
          <w:sz w:val="24"/>
          <w:szCs w:val="24"/>
        </w:rPr>
      </w:pPr>
      <w:r w:rsidRPr="00EA1BB2">
        <w:rPr>
          <w:rFonts w:ascii="Cambria" w:eastAsia="Times New Roman" w:hAnsi="Cambria" w:cs="Times New Roman"/>
          <w:sz w:val="24"/>
          <w:szCs w:val="24"/>
        </w:rPr>
        <w:t>Măsurile efectuate înainte de 11 iunie 2008 nu au condus la o reducere semnificativă a concentrațiilor poluanților în atmosferă, nivelul acestora situându-se totuși sub valoarea-limită, însă aceste măsuri constituie primii pași importanți efectuați pentru îmbunătățirea calității aerului</w:t>
      </w:r>
      <w:r w:rsidR="00AC1B06" w:rsidRPr="00EA1BB2">
        <w:rPr>
          <w:rFonts w:ascii="Cambria" w:eastAsia="Times New Roman" w:hAnsi="Cambria" w:cs="Times New Roman"/>
          <w:sz w:val="24"/>
          <w:szCs w:val="24"/>
        </w:rPr>
        <w:t>.</w:t>
      </w:r>
    </w:p>
    <w:p w14:paraId="347030D8" w14:textId="77777777" w:rsidR="00951C2B" w:rsidRPr="00EA1BB2" w:rsidRDefault="00951C2B" w:rsidP="00354107">
      <w:pPr>
        <w:spacing w:line="360" w:lineRule="auto"/>
        <w:ind w:firstLine="708"/>
        <w:jc w:val="both"/>
        <w:rPr>
          <w:rFonts w:ascii="Cambria" w:hAnsi="Cambria" w:cs="Times New Roman"/>
          <w:sz w:val="24"/>
          <w:szCs w:val="24"/>
        </w:rPr>
      </w:pPr>
      <w:r w:rsidRPr="00EA1BB2">
        <w:rPr>
          <w:rFonts w:ascii="Cambria" w:hAnsi="Cambria" w:cs="Times New Roman"/>
          <w:sz w:val="24"/>
          <w:szCs w:val="24"/>
        </w:rPr>
        <w:br w:type="page"/>
      </w:r>
    </w:p>
    <w:p w14:paraId="4F0E914E" w14:textId="77777777" w:rsidR="009104DD" w:rsidRPr="00EA1BB2" w:rsidRDefault="009104DD" w:rsidP="00E859EF">
      <w:pPr>
        <w:pStyle w:val="Heading1"/>
        <w:numPr>
          <w:ilvl w:val="0"/>
          <w:numId w:val="1"/>
        </w:numPr>
        <w:ind w:left="0" w:firstLine="709"/>
        <w:rPr>
          <w:rFonts w:ascii="Cambria" w:hAnsi="Cambria" w:cs="Times New Roman"/>
          <w:color w:val="0070C0"/>
          <w:sz w:val="28"/>
          <w:szCs w:val="24"/>
        </w:rPr>
      </w:pPr>
      <w:bookmarkStart w:id="239" w:name="_Toc465648607"/>
      <w:bookmarkStart w:id="240" w:name="_Toc526889748"/>
      <w:r w:rsidRPr="00EA1BB2">
        <w:rPr>
          <w:rFonts w:ascii="Cambria" w:hAnsi="Cambria" w:cs="Times New Roman"/>
          <w:color w:val="0070C0"/>
          <w:sz w:val="28"/>
          <w:szCs w:val="24"/>
        </w:rPr>
        <w:lastRenderedPageBreak/>
        <w:t>SCENARII DE MEN</w:t>
      </w:r>
      <w:r w:rsidR="00054880" w:rsidRPr="00EA1BB2">
        <w:rPr>
          <w:rFonts w:ascii="Cambria" w:hAnsi="Cambria" w:cs="Times New Roman"/>
          <w:color w:val="0070C0"/>
          <w:sz w:val="28"/>
          <w:szCs w:val="24"/>
        </w:rPr>
        <w:t>Ț</w:t>
      </w:r>
      <w:r w:rsidRPr="00EA1BB2">
        <w:rPr>
          <w:rFonts w:ascii="Cambria" w:hAnsi="Cambria" w:cs="Times New Roman"/>
          <w:color w:val="0070C0"/>
          <w:sz w:val="28"/>
          <w:szCs w:val="24"/>
        </w:rPr>
        <w:t>INERE A CALITĂTII AERULUI ÎN JUDE</w:t>
      </w:r>
      <w:r w:rsidR="00054880" w:rsidRPr="00EA1BB2">
        <w:rPr>
          <w:rFonts w:ascii="Cambria" w:hAnsi="Cambria" w:cs="Times New Roman"/>
          <w:color w:val="0070C0"/>
          <w:sz w:val="28"/>
          <w:szCs w:val="24"/>
        </w:rPr>
        <w:t>Ț</w:t>
      </w:r>
      <w:r w:rsidRPr="00EA1BB2">
        <w:rPr>
          <w:rFonts w:ascii="Cambria" w:hAnsi="Cambria" w:cs="Times New Roman"/>
          <w:color w:val="0070C0"/>
          <w:sz w:val="28"/>
          <w:szCs w:val="24"/>
        </w:rPr>
        <w:t>UL BRĂILA</w:t>
      </w:r>
      <w:bookmarkEnd w:id="239"/>
      <w:bookmarkEnd w:id="240"/>
    </w:p>
    <w:p w14:paraId="7CE93812" w14:textId="77777777" w:rsidR="0030027B" w:rsidRPr="00EA1BB2" w:rsidRDefault="0030027B" w:rsidP="00E859EF">
      <w:pPr>
        <w:pStyle w:val="Heading2"/>
        <w:numPr>
          <w:ilvl w:val="1"/>
          <w:numId w:val="1"/>
        </w:numPr>
        <w:spacing w:before="0"/>
        <w:ind w:left="0" w:firstLine="709"/>
        <w:jc w:val="both"/>
        <w:rPr>
          <w:rFonts w:ascii="Cambria" w:eastAsia="Times New Roman" w:hAnsi="Cambria"/>
          <w:color w:val="0070C0"/>
          <w:szCs w:val="24"/>
        </w:rPr>
      </w:pPr>
      <w:bookmarkStart w:id="241" w:name="_Toc450760729"/>
      <w:bookmarkStart w:id="242" w:name="_Toc526889749"/>
      <w:r w:rsidRPr="00EA1BB2">
        <w:rPr>
          <w:rFonts w:ascii="Cambria" w:eastAsia="Times New Roman" w:hAnsi="Cambria"/>
          <w:color w:val="0070C0"/>
          <w:szCs w:val="24"/>
        </w:rPr>
        <w:t>Modelul matematic utilizat pentru a analiza dispersia</w:t>
      </w:r>
      <w:bookmarkEnd w:id="241"/>
      <w:r w:rsidRPr="00EA1BB2">
        <w:rPr>
          <w:rFonts w:ascii="Cambria" w:eastAsia="Times New Roman" w:hAnsi="Cambria"/>
          <w:color w:val="0070C0"/>
          <w:szCs w:val="24"/>
        </w:rPr>
        <w:t xml:space="preserve"> poluanților în atmosferă</w:t>
      </w:r>
      <w:bookmarkEnd w:id="242"/>
    </w:p>
    <w:p w14:paraId="1A190978" w14:textId="77777777" w:rsidR="0030027B" w:rsidRPr="00EA1BB2" w:rsidRDefault="0030027B" w:rsidP="0030027B">
      <w:pPr>
        <w:spacing w:line="360" w:lineRule="auto"/>
        <w:ind w:firstLine="709"/>
        <w:jc w:val="both"/>
        <w:rPr>
          <w:rFonts w:ascii="Cambria" w:eastAsia="Calibri" w:hAnsi="Cambria" w:cs="Times New Roman"/>
          <w:sz w:val="24"/>
          <w:szCs w:val="24"/>
        </w:rPr>
      </w:pPr>
      <w:r w:rsidRPr="00EA1BB2">
        <w:rPr>
          <w:rFonts w:ascii="Cambria" w:eastAsia="Calibri" w:hAnsi="Cambria" w:cs="Times New Roman"/>
          <w:sz w:val="24"/>
          <w:szCs w:val="24"/>
        </w:rPr>
        <w:t xml:space="preserve">Principalele surse de poluare la nivelul județului Brăila sunt reprezentate de surse specifice industriale, traficul rutier și sistemele individuale de încălzire a locuințelor (surse de suprafață). </w:t>
      </w:r>
    </w:p>
    <w:p w14:paraId="4D8D0F0B" w14:textId="77777777" w:rsidR="0030027B" w:rsidRPr="00EA1BB2" w:rsidRDefault="0030027B" w:rsidP="0030027B">
      <w:pPr>
        <w:spacing w:line="360" w:lineRule="auto"/>
        <w:ind w:firstLine="709"/>
        <w:jc w:val="both"/>
        <w:rPr>
          <w:rFonts w:ascii="Cambria" w:eastAsia="Calibri" w:hAnsi="Cambria" w:cs="Times New Roman"/>
          <w:sz w:val="24"/>
          <w:szCs w:val="24"/>
        </w:rPr>
      </w:pPr>
      <w:r w:rsidRPr="00EA1BB2">
        <w:rPr>
          <w:rFonts w:ascii="Cambria" w:eastAsia="Calibri" w:hAnsi="Cambria" w:cs="Times New Roman"/>
          <w:sz w:val="24"/>
          <w:szCs w:val="24"/>
        </w:rPr>
        <w:t xml:space="preserve">Aceste surse trebuie monitorizate continuu pentru a se găsi cele mai bune tehnici posibile pentru minimizarea și reducerea cantității de substanțe poluante eliberate în atmosferă. </w:t>
      </w:r>
    </w:p>
    <w:p w14:paraId="3786F9A8" w14:textId="77777777" w:rsidR="0030027B" w:rsidRPr="00EA1BB2" w:rsidRDefault="0030027B" w:rsidP="0030027B">
      <w:pPr>
        <w:spacing w:line="360" w:lineRule="auto"/>
        <w:ind w:firstLine="709"/>
        <w:jc w:val="both"/>
        <w:rPr>
          <w:rFonts w:ascii="Cambria" w:eastAsia="Calibri" w:hAnsi="Cambria" w:cs="Times New Roman"/>
          <w:sz w:val="24"/>
          <w:szCs w:val="24"/>
        </w:rPr>
      </w:pPr>
      <w:r w:rsidRPr="00EA1BB2">
        <w:rPr>
          <w:rFonts w:ascii="Cambria" w:eastAsia="Calibri" w:hAnsi="Cambria" w:cs="Times New Roman"/>
          <w:sz w:val="24"/>
          <w:szCs w:val="24"/>
        </w:rPr>
        <w:t xml:space="preserve">Ca urmare a amplasării surselor de emisie la nivelul județului Brăila, evaluarea calității aerului s-a realizat prin stațiile de monitorizare dar și prin utilizarea unui model matematic de dispersie pornind de la valorile măsurate ale poluanților la surse, a factorilor de emisie specifici, a distribuției geografice a surselor și a condițiilor meteorologice de propagare a emisiilor. </w:t>
      </w:r>
    </w:p>
    <w:p w14:paraId="502461A5" w14:textId="77777777" w:rsidR="0030027B" w:rsidRPr="00EA1BB2" w:rsidRDefault="0030027B" w:rsidP="0030027B">
      <w:pPr>
        <w:spacing w:line="360" w:lineRule="auto"/>
        <w:ind w:firstLine="709"/>
        <w:jc w:val="both"/>
        <w:rPr>
          <w:rFonts w:ascii="Cambria" w:eastAsia="Times New Roman" w:hAnsi="Cambria" w:cs="Times New Roman"/>
          <w:sz w:val="24"/>
          <w:szCs w:val="24"/>
        </w:rPr>
      </w:pPr>
      <w:r w:rsidRPr="00EA1BB2">
        <w:rPr>
          <w:rFonts w:ascii="Cambria" w:eastAsia="Calibri" w:hAnsi="Cambria" w:cs="Times New Roman"/>
          <w:sz w:val="24"/>
          <w:szCs w:val="24"/>
        </w:rPr>
        <w:t xml:space="preserve">Modelul matematic de dispersie este necesar pentru a stabili la o scară mai mare – județul Brăila - nivelul expunerii, acest lucru nefiind obținut exclusiv din măsurători. </w:t>
      </w:r>
    </w:p>
    <w:p w14:paraId="1EC2D8F3" w14:textId="77777777" w:rsidR="0030027B" w:rsidRPr="00EA1BB2" w:rsidRDefault="0030027B" w:rsidP="0030027B">
      <w:pPr>
        <w:spacing w:line="360" w:lineRule="auto"/>
        <w:ind w:firstLine="709"/>
        <w:jc w:val="both"/>
        <w:rPr>
          <w:rFonts w:ascii="Cambria" w:eastAsia="Calibri" w:hAnsi="Cambria" w:cs="Times New Roman"/>
          <w:sz w:val="24"/>
          <w:szCs w:val="24"/>
        </w:rPr>
      </w:pPr>
      <w:r w:rsidRPr="00EA1BB2">
        <w:rPr>
          <w:rFonts w:ascii="Cambria" w:eastAsia="Calibri" w:hAnsi="Cambria" w:cs="Times New Roman"/>
          <w:sz w:val="24"/>
          <w:szCs w:val="24"/>
        </w:rPr>
        <w:t xml:space="preserve">Dispersia atmosferică caracterizează evoluția, în timp și spațiu, a unui ansamblu de poluanți (aerosoli, gaze, particule) emiși în atmosferă. Fenomenul de dispersie atmosferică este influențat de condițiile meteorologice, parametrii solului și valorile emisiilor. </w:t>
      </w:r>
    </w:p>
    <w:p w14:paraId="3409AC3C" w14:textId="77777777" w:rsidR="0030027B" w:rsidRPr="00EA1BB2" w:rsidRDefault="0030027B" w:rsidP="0030027B">
      <w:pPr>
        <w:spacing w:line="360" w:lineRule="auto"/>
        <w:ind w:firstLine="709"/>
        <w:jc w:val="both"/>
        <w:rPr>
          <w:rFonts w:ascii="Cambria" w:eastAsia="Times New Roman" w:hAnsi="Cambria" w:cs="Times New Roman"/>
          <w:sz w:val="24"/>
          <w:szCs w:val="24"/>
        </w:rPr>
      </w:pPr>
      <w:r w:rsidRPr="00EA1BB2">
        <w:rPr>
          <w:rFonts w:ascii="Cambria" w:eastAsia="Calibri" w:hAnsi="Cambria" w:cs="Times New Roman"/>
          <w:sz w:val="24"/>
          <w:szCs w:val="24"/>
        </w:rPr>
        <w:t>Modelul de dispersie atmosferică (MDA) reprezintă simularea matematică a modului de împrăștiere a poluanților în atmosferă și reprezintă o prognoză a concentrației poluanților atmosferici la receptori funcție de locația surselor de emisie, tipul și cantitățile de poluanți emiși, condițiile topografice, meteorologice etc.</w:t>
      </w:r>
      <w:r w:rsidRPr="00EA1BB2">
        <w:rPr>
          <w:rFonts w:ascii="Cambria" w:eastAsia="Calibri" w:hAnsi="Cambria" w:cs="Times New Roman"/>
          <w:sz w:val="24"/>
          <w:szCs w:val="24"/>
          <w:vertAlign w:val="superscript"/>
        </w:rPr>
        <w:footnoteReference w:id="27"/>
      </w:r>
    </w:p>
    <w:p w14:paraId="722137FC" w14:textId="77777777" w:rsidR="0030027B" w:rsidRPr="00EA1BB2" w:rsidRDefault="0030027B" w:rsidP="0030027B">
      <w:pPr>
        <w:spacing w:line="360" w:lineRule="auto"/>
        <w:ind w:firstLine="709"/>
        <w:jc w:val="both"/>
        <w:rPr>
          <w:rFonts w:ascii="Cambria" w:eastAsia="Calibri" w:hAnsi="Cambria" w:cs="Arial"/>
          <w:sz w:val="24"/>
          <w:szCs w:val="24"/>
        </w:rPr>
      </w:pPr>
      <w:r w:rsidRPr="00EA1BB2">
        <w:rPr>
          <w:rFonts w:ascii="Cambria" w:eastAsia="Calibri" w:hAnsi="Cambria" w:cs="Arial"/>
          <w:sz w:val="24"/>
          <w:szCs w:val="24"/>
        </w:rPr>
        <w:t xml:space="preserve">Stabilirea </w:t>
      </w:r>
      <w:r w:rsidRPr="00EA1BB2">
        <w:rPr>
          <w:rFonts w:ascii="Cambria" w:eastAsia="Calibri" w:hAnsi="Cambria" w:cs="Arial"/>
          <w:color w:val="000000"/>
          <w:sz w:val="24"/>
          <w:szCs w:val="24"/>
        </w:rPr>
        <w:t xml:space="preserve">măsurilor de reducere a emisiilor de </w:t>
      </w:r>
      <w:r w:rsidRPr="00EA1BB2">
        <w:rPr>
          <w:rFonts w:ascii="Cambria" w:eastAsia="Times New Roman" w:hAnsi="Cambria" w:cs="Times New Roman"/>
          <w:color w:val="000000"/>
          <w:sz w:val="24"/>
          <w:szCs w:val="24"/>
        </w:rPr>
        <w:t xml:space="preserve">poluanți în atmosferă </w:t>
      </w:r>
      <w:r w:rsidRPr="00EA1BB2">
        <w:rPr>
          <w:rFonts w:ascii="Cambria" w:eastAsia="Calibri" w:hAnsi="Cambria" w:cs="Arial"/>
          <w:color w:val="000000"/>
          <w:sz w:val="24"/>
          <w:szCs w:val="24"/>
        </w:rPr>
        <w:t>din județul Brăila s-a realizat utilizând modele</w:t>
      </w:r>
      <w:r w:rsidRPr="00EA1BB2">
        <w:rPr>
          <w:rFonts w:ascii="Cambria" w:eastAsia="Calibri" w:hAnsi="Cambria" w:cs="Arial"/>
          <w:sz w:val="24"/>
          <w:szCs w:val="24"/>
        </w:rPr>
        <w:t xml:space="preserve"> matematice de cuantificare și prognozare a dispersiei poluanților în atmosferă emiși din surse fixe, mobile și de suprafață.</w:t>
      </w:r>
    </w:p>
    <w:p w14:paraId="7F6DB59B" w14:textId="77777777" w:rsidR="00DA011F" w:rsidRPr="00EA1BB2" w:rsidRDefault="00DA011F" w:rsidP="00DA011F">
      <w:pPr>
        <w:spacing w:line="360" w:lineRule="auto"/>
        <w:ind w:firstLine="709"/>
        <w:jc w:val="both"/>
        <w:rPr>
          <w:rFonts w:ascii="Cambria" w:eastAsia="Calibri" w:hAnsi="Cambria" w:cs="Arial"/>
          <w:sz w:val="24"/>
          <w:szCs w:val="24"/>
        </w:rPr>
      </w:pPr>
      <w:r w:rsidRPr="00EA1BB2">
        <w:rPr>
          <w:rFonts w:ascii="Cambria" w:eastAsia="Calibri" w:hAnsi="Cambria" w:cs="Arial"/>
          <w:sz w:val="24"/>
          <w:szCs w:val="24"/>
        </w:rPr>
        <w:t>Datele de intrare pentru modelele de dispersie atmosferică trebuie să respecte cât mai exact condițiile meteorologice, locația geografică și parametrii emisiilor la sursa de poluare.</w:t>
      </w:r>
    </w:p>
    <w:p w14:paraId="2EDCED47" w14:textId="77777777" w:rsidR="00221660" w:rsidRPr="00EA1BB2" w:rsidRDefault="00221660" w:rsidP="00221660">
      <w:pPr>
        <w:spacing w:line="360" w:lineRule="auto"/>
        <w:ind w:firstLine="709"/>
        <w:jc w:val="both"/>
        <w:rPr>
          <w:rFonts w:ascii="Cambria" w:eastAsia="Calibri" w:hAnsi="Cambria" w:cs="Arial"/>
          <w:sz w:val="24"/>
          <w:szCs w:val="24"/>
        </w:rPr>
      </w:pPr>
      <w:r w:rsidRPr="00EA1BB2">
        <w:rPr>
          <w:rFonts w:ascii="Cambria" w:eastAsia="Calibri" w:hAnsi="Cambria" w:cs="Arial"/>
          <w:sz w:val="24"/>
          <w:szCs w:val="24"/>
        </w:rPr>
        <w:lastRenderedPageBreak/>
        <w:t>În urma necesarului de monitorizare a dispersiei poluanților au fost propuse, conform Agenției Europene de Protecția Mediului, un set de modele de dispersie acceptate la nivelul Uniunii Europene, toate având un țel comun: de a reduce poluarea la nivel global.</w:t>
      </w:r>
      <w:r w:rsidRPr="00EA1BB2">
        <w:rPr>
          <w:rFonts w:ascii="Cambria" w:eastAsia="Calibri" w:hAnsi="Cambria" w:cs="Arial"/>
          <w:sz w:val="24"/>
          <w:szCs w:val="24"/>
          <w:vertAlign w:val="superscript"/>
        </w:rPr>
        <w:footnoteReference w:id="28"/>
      </w:r>
    </w:p>
    <w:p w14:paraId="6C877AE8" w14:textId="77777777" w:rsidR="0030027B" w:rsidRPr="00EA1BB2" w:rsidRDefault="0030027B" w:rsidP="0030027B">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Modelul de dispersie atmosferică reprezintă simularea matematică a modului de împrăștiere a poluanților în atmosferă. Acesta este folosit pentru estimarea concentrației poluanților atmosferici emiși în urma activității industriale sau a traficului auto în direcția vântului.</w:t>
      </w:r>
      <w:r w:rsidRPr="00EA1BB2">
        <w:rPr>
          <w:rFonts w:ascii="Cambria" w:eastAsia="Times New Roman" w:hAnsi="Cambria" w:cs="Times New Roman"/>
          <w:sz w:val="24"/>
          <w:szCs w:val="24"/>
          <w:vertAlign w:val="superscript"/>
        </w:rPr>
        <w:footnoteReference w:id="29"/>
      </w:r>
    </w:p>
    <w:p w14:paraId="24830660" w14:textId="77777777" w:rsidR="0030027B" w:rsidRPr="00EA1BB2" w:rsidRDefault="0030027B" w:rsidP="0030027B">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Modelul de simulare matematic folosit pentru evaluarea dispersiei emisiilor de poluanți în atmosferă reprezintă instrumentul absolut necesar atât pentru managementul calității aerului, cât și pentru evaluarea impactului pe care anumite activități importante îl au asupra mediului, prin estimarea nivelului de poluare a aerului înconjurător și identificarea zonelor cu concentrații ridicate de poluanți, în strânsă corelație cu diferitele condiții meteorologice ce se pot manifesta într-un anumit areal, cât și cu topografia regiunii și natura poluanților.</w:t>
      </w:r>
    </w:p>
    <w:p w14:paraId="51986086" w14:textId="77777777" w:rsidR="0030027B" w:rsidRPr="00EA1BB2" w:rsidRDefault="0030027B" w:rsidP="0030027B">
      <w:pPr>
        <w:spacing w:line="360" w:lineRule="auto"/>
        <w:ind w:firstLine="709"/>
        <w:jc w:val="both"/>
        <w:rPr>
          <w:rFonts w:ascii="Cambria" w:eastAsia="Calibri" w:hAnsi="Cambria" w:cs="Times New Roman"/>
          <w:sz w:val="24"/>
          <w:szCs w:val="24"/>
        </w:rPr>
      </w:pPr>
      <w:r w:rsidRPr="00EA1BB2">
        <w:rPr>
          <w:rFonts w:ascii="Cambria" w:eastAsia="Calibri" w:hAnsi="Cambria" w:cs="Times New Roman"/>
          <w:sz w:val="24"/>
          <w:szCs w:val="24"/>
        </w:rPr>
        <w:t xml:space="preserve">Ca urmare a distribuției aleatorii a surselor de emisie, tipului și fluxului de emisie al acestora s-a ajuns la concluzia că este imposibilă o monitorizare continuă pe suprafețe întinse cu ajutorul analizoarelor, propunându-se utilizarea unui model matematic pornind de la valorile măsurate ale poluanților, a factorilor de emisie specifici și a distribuției geografice a surselor. </w:t>
      </w:r>
    </w:p>
    <w:p w14:paraId="5DBBD1BD" w14:textId="77777777" w:rsidR="0030027B" w:rsidRPr="00EA1BB2" w:rsidRDefault="0030027B" w:rsidP="0030027B">
      <w:pPr>
        <w:spacing w:line="360" w:lineRule="auto"/>
        <w:ind w:firstLine="709"/>
        <w:jc w:val="both"/>
        <w:rPr>
          <w:rFonts w:ascii="Cambria" w:eastAsia="Calibri" w:hAnsi="Cambria" w:cs="Arial"/>
          <w:sz w:val="24"/>
          <w:szCs w:val="24"/>
        </w:rPr>
      </w:pPr>
      <w:r w:rsidRPr="00EA1BB2">
        <w:rPr>
          <w:rFonts w:ascii="Cambria" w:eastAsia="Calibri" w:hAnsi="Cambria" w:cs="Arial"/>
          <w:sz w:val="24"/>
          <w:szCs w:val="24"/>
        </w:rPr>
        <w:t xml:space="preserve">Modelul utilizat pentru dispersia poluanților în atmosferă la nivelul județului Brăila a fost </w:t>
      </w:r>
      <w:r w:rsidRPr="00EA1BB2">
        <w:rPr>
          <w:rFonts w:ascii="Cambria" w:eastAsia="Calibri" w:hAnsi="Cambria" w:cs="Arial"/>
          <w:b/>
          <w:sz w:val="24"/>
          <w:szCs w:val="24"/>
        </w:rPr>
        <w:t>OML-Multi</w:t>
      </w:r>
      <w:r w:rsidRPr="00EA1BB2">
        <w:rPr>
          <w:rFonts w:ascii="Cambria" w:eastAsia="Calibri" w:hAnsi="Cambria" w:cs="Arial"/>
          <w:sz w:val="24"/>
          <w:szCs w:val="24"/>
        </w:rPr>
        <w:t>, care este un model de dispersie de tip Gaussian dezvoltat de Institutul National de Cercetare a Mediului - NERI (Danemarca).Programul este capabil să ia în calcul mai multe surse de poluare individuale (surse punctuale și de suprafață), realizând estimări simultane pentru fiecare poluant în parte. De asemenea, modelul ia în considerare evoluția concentrațiilor substanțelor poluante în pană de fum și a modificării direcției acesteia datorate factorilor meteorologici.</w:t>
      </w:r>
    </w:p>
    <w:p w14:paraId="096A306E" w14:textId="77777777" w:rsidR="0030027B" w:rsidRPr="00EA1BB2" w:rsidRDefault="0030027B" w:rsidP="0030027B">
      <w:pPr>
        <w:spacing w:line="360" w:lineRule="auto"/>
        <w:ind w:firstLine="567"/>
        <w:jc w:val="both"/>
        <w:rPr>
          <w:rFonts w:ascii="Cambria" w:eastAsia="Calibri" w:hAnsi="Cambria" w:cs="Arial"/>
          <w:sz w:val="24"/>
          <w:szCs w:val="24"/>
        </w:rPr>
      </w:pPr>
      <w:r w:rsidRPr="00EA1BB2">
        <w:rPr>
          <w:rFonts w:ascii="Cambria" w:eastAsia="Calibri" w:hAnsi="Cambria" w:cs="Arial"/>
          <w:sz w:val="24"/>
          <w:szCs w:val="24"/>
        </w:rPr>
        <w:t xml:space="preserve">Modelele avansate de dispersie necesită seturi extinse de date meteorologice și a emisiilor, și includ mai multe </w:t>
      </w:r>
      <w:r w:rsidR="00C94E4F" w:rsidRPr="00EA1BB2">
        <w:rPr>
          <w:rFonts w:ascii="Cambria" w:eastAsia="Calibri" w:hAnsi="Cambria" w:cs="Arial"/>
          <w:sz w:val="24"/>
          <w:szCs w:val="24"/>
        </w:rPr>
        <w:t xml:space="preserve">categorii </w:t>
      </w:r>
      <w:r w:rsidRPr="00EA1BB2">
        <w:rPr>
          <w:rFonts w:ascii="Cambria" w:eastAsia="Calibri" w:hAnsi="Cambria" w:cs="Arial"/>
          <w:sz w:val="24"/>
          <w:szCs w:val="24"/>
        </w:rPr>
        <w:t>de surse: punct, suprafață, volum.</w:t>
      </w:r>
    </w:p>
    <w:p w14:paraId="49D0AD99" w14:textId="77777777" w:rsidR="0030027B" w:rsidRPr="00EA1BB2" w:rsidRDefault="0030027B" w:rsidP="0030027B">
      <w:pPr>
        <w:spacing w:line="360" w:lineRule="auto"/>
        <w:ind w:firstLine="567"/>
        <w:jc w:val="both"/>
        <w:rPr>
          <w:rFonts w:ascii="Cambria" w:eastAsia="Calibri" w:hAnsi="Cambria" w:cs="Arial"/>
          <w:sz w:val="24"/>
          <w:szCs w:val="24"/>
        </w:rPr>
      </w:pPr>
      <w:r w:rsidRPr="00EA1BB2">
        <w:rPr>
          <w:rFonts w:ascii="Cambria" w:eastAsia="Calibri" w:hAnsi="Cambria" w:cs="Arial"/>
          <w:sz w:val="24"/>
          <w:szCs w:val="24"/>
        </w:rPr>
        <w:lastRenderedPageBreak/>
        <w:t xml:space="preserve">De asemenea, modelele de dispersie complexe includ caracteristici suplimentare cum ar fi topografia, modele de curgere în jurul clădirilor și a structurii atmosferice stratificate. </w:t>
      </w:r>
    </w:p>
    <w:p w14:paraId="65A0A4EA" w14:textId="77777777" w:rsidR="0030027B" w:rsidRPr="00EA1BB2" w:rsidRDefault="0030027B" w:rsidP="0030027B">
      <w:pPr>
        <w:spacing w:line="360" w:lineRule="auto"/>
        <w:ind w:firstLine="567"/>
        <w:jc w:val="both"/>
        <w:rPr>
          <w:rFonts w:ascii="Cambria" w:eastAsia="Calibri" w:hAnsi="Cambria" w:cs="Arial"/>
          <w:sz w:val="24"/>
          <w:szCs w:val="24"/>
        </w:rPr>
      </w:pPr>
      <w:r w:rsidRPr="00EA1BB2">
        <w:rPr>
          <w:rFonts w:ascii="Cambria" w:eastAsia="Calibri" w:hAnsi="Cambria" w:cs="Arial"/>
          <w:sz w:val="24"/>
          <w:szCs w:val="24"/>
        </w:rPr>
        <w:t>Câteva exemple de modele avansate sunt: EPA ISC3, AERMOD și CALPUFF, British model ADMS  și modelul danez OML (Berkowicz și colab., 1987)</w:t>
      </w:r>
      <w:r w:rsidRPr="00EA1BB2">
        <w:rPr>
          <w:rFonts w:ascii="Cambria" w:eastAsia="Calibri" w:hAnsi="Cambria" w:cs="Arial"/>
          <w:sz w:val="24"/>
          <w:szCs w:val="24"/>
          <w:vertAlign w:val="superscript"/>
        </w:rPr>
        <w:footnoteReference w:id="30"/>
      </w:r>
    </w:p>
    <w:p w14:paraId="5EE39925" w14:textId="77777777" w:rsidR="0030027B" w:rsidRPr="00EA1BB2" w:rsidRDefault="0030027B" w:rsidP="0030027B">
      <w:pPr>
        <w:spacing w:line="360" w:lineRule="auto"/>
        <w:ind w:firstLine="567"/>
        <w:jc w:val="both"/>
        <w:rPr>
          <w:rFonts w:ascii="Cambria" w:eastAsia="Calibri" w:hAnsi="Cambria" w:cs="Arial"/>
          <w:sz w:val="24"/>
          <w:szCs w:val="24"/>
        </w:rPr>
      </w:pPr>
      <w:r w:rsidRPr="00EA1BB2">
        <w:rPr>
          <w:rFonts w:ascii="Cambria" w:eastAsia="Calibri" w:hAnsi="Cambria" w:cs="Arial"/>
          <w:sz w:val="24"/>
          <w:szCs w:val="24"/>
        </w:rPr>
        <w:t xml:space="preserve">Modelul de dispersie </w:t>
      </w:r>
      <w:r w:rsidRPr="00EA1BB2">
        <w:rPr>
          <w:rFonts w:ascii="Cambria" w:eastAsia="Calibri" w:hAnsi="Cambria" w:cs="Arial"/>
          <w:b/>
          <w:sz w:val="24"/>
          <w:szCs w:val="24"/>
        </w:rPr>
        <w:t>OML Multi</w:t>
      </w:r>
      <w:r w:rsidRPr="00EA1BB2">
        <w:rPr>
          <w:rFonts w:ascii="Cambria" w:eastAsia="Calibri" w:hAnsi="Cambria" w:cs="Arial"/>
          <w:sz w:val="24"/>
          <w:szCs w:val="24"/>
        </w:rPr>
        <w:t xml:space="preserve"> a fost ales datorită următoarelor caracteristici:</w:t>
      </w:r>
    </w:p>
    <w:p w14:paraId="5C770F1C" w14:textId="77777777" w:rsidR="0030027B" w:rsidRPr="00EA1BB2" w:rsidRDefault="0030027B" w:rsidP="00993575">
      <w:pPr>
        <w:numPr>
          <w:ilvl w:val="0"/>
          <w:numId w:val="58"/>
        </w:numPr>
        <w:tabs>
          <w:tab w:val="left" w:pos="851"/>
        </w:tabs>
        <w:spacing w:after="160" w:line="360" w:lineRule="auto"/>
        <w:ind w:left="0" w:firstLine="567"/>
        <w:contextualSpacing/>
        <w:jc w:val="both"/>
        <w:rPr>
          <w:rFonts w:ascii="Cambria" w:eastAsia="Calibri" w:hAnsi="Cambria" w:cs="Arial"/>
          <w:sz w:val="24"/>
          <w:szCs w:val="24"/>
        </w:rPr>
      </w:pPr>
      <w:r w:rsidRPr="00EA1BB2">
        <w:rPr>
          <w:rFonts w:ascii="Cambria" w:eastAsia="Calibri" w:hAnsi="Cambria" w:cs="Arial"/>
          <w:sz w:val="24"/>
          <w:szCs w:val="24"/>
        </w:rPr>
        <w:t xml:space="preserve">Importarea facilă a datelor meteorologice și topografice; </w:t>
      </w:r>
    </w:p>
    <w:p w14:paraId="5E8B89E0" w14:textId="77777777" w:rsidR="0030027B" w:rsidRPr="00EA1BB2" w:rsidRDefault="0030027B" w:rsidP="00993575">
      <w:pPr>
        <w:numPr>
          <w:ilvl w:val="0"/>
          <w:numId w:val="58"/>
        </w:numPr>
        <w:tabs>
          <w:tab w:val="left" w:pos="851"/>
        </w:tabs>
        <w:spacing w:after="160" w:line="360" w:lineRule="auto"/>
        <w:ind w:left="0" w:firstLine="567"/>
        <w:contextualSpacing/>
        <w:jc w:val="both"/>
        <w:rPr>
          <w:rFonts w:ascii="Cambria" w:eastAsia="Calibri" w:hAnsi="Cambria" w:cs="Arial"/>
          <w:sz w:val="24"/>
          <w:szCs w:val="24"/>
        </w:rPr>
      </w:pPr>
      <w:r w:rsidRPr="00EA1BB2">
        <w:rPr>
          <w:rFonts w:ascii="Cambria" w:eastAsia="Calibri" w:hAnsi="Cambria" w:cs="Arial"/>
          <w:sz w:val="24"/>
          <w:szCs w:val="24"/>
        </w:rPr>
        <w:t>Număr nelimitat de puncte, zone de emisie;</w:t>
      </w:r>
    </w:p>
    <w:p w14:paraId="2A353503" w14:textId="77777777" w:rsidR="0030027B" w:rsidRPr="00EA1BB2" w:rsidRDefault="0030027B" w:rsidP="00993575">
      <w:pPr>
        <w:numPr>
          <w:ilvl w:val="0"/>
          <w:numId w:val="58"/>
        </w:numPr>
        <w:tabs>
          <w:tab w:val="left" w:pos="851"/>
        </w:tabs>
        <w:spacing w:after="160" w:line="360" w:lineRule="auto"/>
        <w:ind w:left="0" w:firstLine="567"/>
        <w:contextualSpacing/>
        <w:jc w:val="both"/>
        <w:rPr>
          <w:rFonts w:ascii="Cambria" w:eastAsia="Calibri" w:hAnsi="Cambria" w:cs="Arial"/>
          <w:sz w:val="24"/>
          <w:szCs w:val="24"/>
        </w:rPr>
      </w:pPr>
      <w:r w:rsidRPr="00EA1BB2">
        <w:rPr>
          <w:rFonts w:ascii="Cambria" w:eastAsia="Calibri" w:hAnsi="Cambria" w:cs="Arial"/>
          <w:sz w:val="24"/>
          <w:szCs w:val="24"/>
        </w:rPr>
        <w:t>Modul special pentru operarea unor aspecte particulare;</w:t>
      </w:r>
    </w:p>
    <w:p w14:paraId="563F7760" w14:textId="77777777" w:rsidR="0030027B" w:rsidRPr="00EA1BB2" w:rsidRDefault="0030027B" w:rsidP="00993575">
      <w:pPr>
        <w:numPr>
          <w:ilvl w:val="0"/>
          <w:numId w:val="58"/>
        </w:numPr>
        <w:tabs>
          <w:tab w:val="left" w:pos="851"/>
        </w:tabs>
        <w:spacing w:after="160" w:line="360" w:lineRule="auto"/>
        <w:ind w:left="0" w:firstLine="567"/>
        <w:contextualSpacing/>
        <w:jc w:val="both"/>
        <w:rPr>
          <w:rFonts w:ascii="Cambria" w:eastAsia="Calibri" w:hAnsi="Cambria" w:cs="Arial"/>
          <w:sz w:val="24"/>
          <w:szCs w:val="24"/>
        </w:rPr>
      </w:pPr>
      <w:r w:rsidRPr="00EA1BB2">
        <w:rPr>
          <w:rFonts w:ascii="Cambria" w:eastAsia="Calibri" w:hAnsi="Cambria" w:cs="Arial"/>
          <w:sz w:val="24"/>
          <w:szCs w:val="24"/>
        </w:rPr>
        <w:t>Prelucrarea simultană a diferitelor substanțe de emisie;</w:t>
      </w:r>
    </w:p>
    <w:p w14:paraId="5BD37C0F" w14:textId="77777777" w:rsidR="0030027B" w:rsidRPr="00EA1BB2" w:rsidRDefault="0030027B" w:rsidP="00993575">
      <w:pPr>
        <w:numPr>
          <w:ilvl w:val="0"/>
          <w:numId w:val="58"/>
        </w:numPr>
        <w:tabs>
          <w:tab w:val="left" w:pos="851"/>
        </w:tabs>
        <w:spacing w:after="160" w:line="360" w:lineRule="auto"/>
        <w:ind w:left="0" w:firstLine="567"/>
        <w:contextualSpacing/>
        <w:jc w:val="both"/>
        <w:rPr>
          <w:rFonts w:ascii="Cambria" w:eastAsia="Calibri" w:hAnsi="Cambria" w:cs="Arial"/>
          <w:sz w:val="24"/>
          <w:szCs w:val="24"/>
        </w:rPr>
      </w:pPr>
      <w:r w:rsidRPr="00EA1BB2">
        <w:rPr>
          <w:rFonts w:ascii="Cambria" w:eastAsia="Calibri" w:hAnsi="Cambria" w:cs="Arial"/>
          <w:sz w:val="24"/>
          <w:szCs w:val="24"/>
        </w:rPr>
        <w:t xml:space="preserve">Gamă largă de instrumente pentru întocmirea rapoartelor și prezentării datelor; </w:t>
      </w:r>
    </w:p>
    <w:p w14:paraId="5B4B31A6" w14:textId="77777777" w:rsidR="0030027B" w:rsidRPr="00EA1BB2" w:rsidRDefault="0030027B" w:rsidP="00993575">
      <w:pPr>
        <w:numPr>
          <w:ilvl w:val="0"/>
          <w:numId w:val="58"/>
        </w:numPr>
        <w:tabs>
          <w:tab w:val="left" w:pos="851"/>
        </w:tabs>
        <w:spacing w:after="160" w:line="360" w:lineRule="auto"/>
        <w:ind w:left="0" w:firstLine="567"/>
        <w:contextualSpacing/>
        <w:jc w:val="both"/>
        <w:rPr>
          <w:rFonts w:ascii="Cambria" w:eastAsia="Calibri" w:hAnsi="Cambria" w:cs="Arial"/>
          <w:sz w:val="24"/>
          <w:szCs w:val="24"/>
        </w:rPr>
      </w:pPr>
      <w:r w:rsidRPr="00EA1BB2">
        <w:rPr>
          <w:rFonts w:ascii="Cambria" w:eastAsia="Calibri" w:hAnsi="Cambria" w:cs="Arial"/>
          <w:sz w:val="24"/>
          <w:szCs w:val="24"/>
        </w:rPr>
        <w:t>Alternative variate pentru vizualizarea zonei de distribuție a emisiilor și a stabilității atmosferice;</w:t>
      </w:r>
    </w:p>
    <w:p w14:paraId="6EBCA437" w14:textId="77777777" w:rsidR="0030027B" w:rsidRPr="00EA1BB2" w:rsidRDefault="0030027B" w:rsidP="00993575">
      <w:pPr>
        <w:numPr>
          <w:ilvl w:val="0"/>
          <w:numId w:val="58"/>
        </w:numPr>
        <w:tabs>
          <w:tab w:val="left" w:pos="851"/>
        </w:tabs>
        <w:spacing w:after="160" w:line="360" w:lineRule="auto"/>
        <w:ind w:left="0" w:firstLine="567"/>
        <w:contextualSpacing/>
        <w:jc w:val="both"/>
        <w:rPr>
          <w:rFonts w:ascii="Cambria" w:eastAsia="Calibri" w:hAnsi="Cambria" w:cs="Arial"/>
          <w:sz w:val="24"/>
          <w:szCs w:val="24"/>
        </w:rPr>
      </w:pPr>
      <w:r w:rsidRPr="00EA1BB2">
        <w:rPr>
          <w:rFonts w:ascii="Cambria" w:eastAsia="Calibri" w:hAnsi="Cambria" w:cs="Arial"/>
          <w:sz w:val="24"/>
          <w:szCs w:val="24"/>
        </w:rPr>
        <w:t>Calculul concentrațiilor prognozate în funcție de perioada de mediere (medie anuală, maximă zilnică, orară etc.).</w:t>
      </w:r>
    </w:p>
    <w:p w14:paraId="55F4B5EF" w14:textId="77777777" w:rsidR="0030027B" w:rsidRPr="00EA1BB2" w:rsidRDefault="0030027B" w:rsidP="0030027B">
      <w:pPr>
        <w:spacing w:line="360" w:lineRule="auto"/>
        <w:ind w:firstLine="708"/>
        <w:jc w:val="both"/>
        <w:rPr>
          <w:rFonts w:ascii="Cambria" w:eastAsia="Calibri" w:hAnsi="Cambria" w:cs="Arial"/>
          <w:sz w:val="24"/>
          <w:szCs w:val="24"/>
        </w:rPr>
      </w:pPr>
    </w:p>
    <w:p w14:paraId="27F477A7" w14:textId="77777777" w:rsidR="0030027B" w:rsidRPr="00EA1BB2" w:rsidRDefault="0030027B" w:rsidP="0030027B">
      <w:pPr>
        <w:spacing w:line="360" w:lineRule="auto"/>
        <w:ind w:firstLine="567"/>
        <w:jc w:val="both"/>
        <w:rPr>
          <w:rFonts w:ascii="Cambria" w:eastAsia="Times New Roman" w:hAnsi="Cambria" w:cs="Times New Roman"/>
          <w:sz w:val="24"/>
          <w:szCs w:val="24"/>
        </w:rPr>
      </w:pPr>
      <w:r w:rsidRPr="00EA1BB2">
        <w:rPr>
          <w:rFonts w:ascii="Cambria" w:eastAsia="Times New Roman" w:hAnsi="Cambria" w:cs="Times New Roman"/>
          <w:b/>
          <w:sz w:val="24"/>
          <w:szCs w:val="24"/>
        </w:rPr>
        <w:t>COPERT Street Level</w:t>
      </w:r>
      <w:r w:rsidRPr="00EA1BB2">
        <w:rPr>
          <w:rFonts w:ascii="Cambria" w:eastAsia="Times New Roman" w:hAnsi="Cambria" w:cs="Times New Roman"/>
          <w:b/>
          <w:sz w:val="24"/>
          <w:szCs w:val="24"/>
          <w:vertAlign w:val="superscript"/>
        </w:rPr>
        <w:footnoteReference w:id="31"/>
      </w:r>
      <w:r w:rsidRPr="00EA1BB2">
        <w:rPr>
          <w:rFonts w:ascii="Cambria" w:eastAsia="Times New Roman" w:hAnsi="Cambria" w:cs="Times New Roman"/>
          <w:sz w:val="24"/>
          <w:szCs w:val="24"/>
        </w:rPr>
        <w:t xml:space="preserve"> este un software conceput pentru utilizatorii care doresc să calculeze emisiile din traficul rutier. Este structurat astfel încât să funcționeze alături de instrumentele de analiză a traficului.</w:t>
      </w:r>
    </w:p>
    <w:p w14:paraId="689F15BC" w14:textId="77777777" w:rsidR="0030027B" w:rsidRPr="00EA1BB2" w:rsidRDefault="0030027B" w:rsidP="0030027B">
      <w:pPr>
        <w:spacing w:line="360" w:lineRule="auto"/>
        <w:ind w:firstLine="567"/>
        <w:jc w:val="both"/>
        <w:rPr>
          <w:rFonts w:ascii="Cambria" w:eastAsia="Times New Roman" w:hAnsi="Cambria" w:cs="Times New Roman"/>
          <w:sz w:val="24"/>
          <w:szCs w:val="24"/>
        </w:rPr>
      </w:pPr>
      <w:r w:rsidRPr="00EA1BB2">
        <w:rPr>
          <w:rFonts w:ascii="Cambria" w:eastAsia="Times New Roman" w:hAnsi="Cambria" w:cs="Times New Roman"/>
          <w:sz w:val="24"/>
          <w:szCs w:val="24"/>
        </w:rPr>
        <w:t>Metodologia se bazează pe bine-cunoscutul software COPERT, dar aduce o abordare cu totul nouă la nivelul calculelor. Software-ul poate calcula emisiile pe o singură stradă sau pe o rețea de străzi. Acesta necesită setul minim de date de intrare pentru a produce rezultate și este optimizat pentru perioade de execuție rapide. Emisiile pot fi de asemenea afișate pe o hartă GIS pentru a îmbunătăți vizualizarea.</w:t>
      </w:r>
    </w:p>
    <w:p w14:paraId="3A11C5DB" w14:textId="77777777" w:rsidR="0030027B" w:rsidRPr="00EA1BB2" w:rsidRDefault="0030027B" w:rsidP="0030027B">
      <w:pPr>
        <w:spacing w:line="360" w:lineRule="auto"/>
        <w:ind w:firstLine="567"/>
        <w:jc w:val="both"/>
        <w:rPr>
          <w:rFonts w:ascii="Cambria" w:eastAsia="Calibri" w:hAnsi="Cambria" w:cs="Arial"/>
          <w:sz w:val="24"/>
          <w:szCs w:val="24"/>
        </w:rPr>
      </w:pPr>
      <w:r w:rsidRPr="00EA1BB2">
        <w:rPr>
          <w:rFonts w:ascii="Cambria" w:eastAsia="Calibri" w:hAnsi="Cambria" w:cs="Arial"/>
          <w:sz w:val="24"/>
          <w:szCs w:val="24"/>
        </w:rPr>
        <w:t xml:space="preserve">Modelarea matematică a dispersiei poluanților în atmosferă s-a realizat la nivelul județului Brăila prin estimarea concentrațiilor de poluanți în funcție de caracteristicile surselor de poluare, de condițiile meteorologice si orografice, de procesele de transformare fizică și chimică pe care le pot suferi poluanții în atmosferă și de interacțiunea acestora cu suprafața solului. </w:t>
      </w:r>
    </w:p>
    <w:p w14:paraId="56E0465D" w14:textId="77777777" w:rsidR="0030027B" w:rsidRPr="00EA1BB2" w:rsidRDefault="0030027B" w:rsidP="0030027B">
      <w:pPr>
        <w:spacing w:line="360" w:lineRule="auto"/>
        <w:ind w:firstLine="567"/>
        <w:jc w:val="both"/>
        <w:rPr>
          <w:rFonts w:ascii="Cambria" w:eastAsia="Times New Roman" w:hAnsi="Cambria" w:cs="Times New Roman"/>
          <w:b/>
          <w:sz w:val="24"/>
          <w:szCs w:val="24"/>
        </w:rPr>
      </w:pPr>
      <w:r w:rsidRPr="00EA1BB2">
        <w:rPr>
          <w:rFonts w:ascii="Cambria" w:eastAsia="Calibri" w:hAnsi="Cambria" w:cs="Arial"/>
          <w:sz w:val="24"/>
          <w:szCs w:val="24"/>
        </w:rPr>
        <w:lastRenderedPageBreak/>
        <w:t>Modelarea dispersiei poluanților în atmosferă s-a realizat cu programul OML-Multi în scopul evaluării impactului surselor de emisie asupra mediului înconjurător și calității aerului.</w:t>
      </w:r>
    </w:p>
    <w:p w14:paraId="74F83586" w14:textId="77777777" w:rsidR="0030027B" w:rsidRPr="00EA1BB2" w:rsidRDefault="0030027B" w:rsidP="0030027B">
      <w:pPr>
        <w:spacing w:line="360" w:lineRule="auto"/>
        <w:ind w:firstLine="567"/>
        <w:jc w:val="both"/>
        <w:rPr>
          <w:rFonts w:ascii="Cambria" w:eastAsia="Times New Roman" w:hAnsi="Cambria" w:cs="Times New Roman"/>
          <w:sz w:val="24"/>
          <w:szCs w:val="24"/>
        </w:rPr>
      </w:pPr>
      <w:r w:rsidRPr="00EA1BB2">
        <w:rPr>
          <w:rFonts w:ascii="Cambria" w:eastAsia="Times New Roman" w:hAnsi="Cambria" w:cs="Times New Roman"/>
          <w:b/>
          <w:sz w:val="24"/>
          <w:szCs w:val="24"/>
        </w:rPr>
        <w:t>Modelul OML-Multi</w:t>
      </w:r>
      <w:r w:rsidRPr="00EA1BB2">
        <w:rPr>
          <w:rFonts w:ascii="Cambria" w:eastAsia="Times New Roman" w:hAnsi="Cambria" w:cs="Times New Roman"/>
          <w:sz w:val="24"/>
          <w:szCs w:val="24"/>
        </w:rPr>
        <w:t xml:space="preserve"> este un model de tip gaussian de dispersie atmosferică, utilizat pentru a evalua poluarea aerului din surse punctiforme și de suprafață. Acesta poate fi utilizat pentru distanțe de până la aproximativ 20 km de surse. OML-Multi este un model Gauss tip pană, modern, bazat pe scalarea stratului limită în loc de clasificarea stabilității Pasquill așa cum fac modelele mai vechi. Modelul OLM-Multi este dezvoltat de către Universitatea Aarhus din Danemarca. Modelul a fost conceput inițial de către Institutul Național de Cercetare a Mediului din Danemarca, care în 2007 a devenit parte a Universității Aarhus.</w:t>
      </w:r>
    </w:p>
    <w:p w14:paraId="712A4A6A" w14:textId="77777777" w:rsidR="0030027B" w:rsidRPr="00EA1BB2" w:rsidRDefault="0030027B" w:rsidP="0030027B">
      <w:pPr>
        <w:spacing w:line="360" w:lineRule="auto"/>
        <w:ind w:firstLine="567"/>
        <w:jc w:val="both"/>
        <w:rPr>
          <w:rFonts w:ascii="Cambria" w:eastAsia="Times New Roman" w:hAnsi="Cambria" w:cs="Times New Roman"/>
          <w:sz w:val="24"/>
          <w:szCs w:val="24"/>
        </w:rPr>
      </w:pPr>
      <w:r w:rsidRPr="00EA1BB2">
        <w:rPr>
          <w:rFonts w:ascii="Cambria" w:eastAsia="Times New Roman" w:hAnsi="Cambria" w:cs="Times New Roman"/>
          <w:sz w:val="24"/>
          <w:szCs w:val="24"/>
        </w:rPr>
        <w:t xml:space="preserve">Modelul OML-Multi necesită informații privind emisia poluanților generați de până la 3000 de surse simultan utilizând datele topografice și meteorologice ale zonei de analiză în prognoza dispersiilor. Modelul calculează o serie de concentrații la punctele de receptor specificate de utilizator, pe care utilizatorul le poate prelua în generarea hărților de prognoză a concentrațiilor (izolinii). </w:t>
      </w:r>
    </w:p>
    <w:p w14:paraId="7E75C4B5" w14:textId="77777777" w:rsidR="0030027B" w:rsidRPr="00EA1BB2" w:rsidRDefault="0030027B" w:rsidP="0030027B">
      <w:pPr>
        <w:spacing w:line="360" w:lineRule="auto"/>
        <w:ind w:firstLine="567"/>
        <w:jc w:val="both"/>
        <w:rPr>
          <w:rFonts w:ascii="Cambria" w:eastAsia="Times New Roman" w:hAnsi="Cambria" w:cs="Times New Roman"/>
          <w:sz w:val="24"/>
          <w:szCs w:val="24"/>
        </w:rPr>
      </w:pPr>
      <w:r w:rsidRPr="00EA1BB2">
        <w:rPr>
          <w:rFonts w:ascii="Cambria" w:eastAsia="Times New Roman" w:hAnsi="Cambria" w:cs="Times New Roman"/>
          <w:sz w:val="24"/>
          <w:szCs w:val="24"/>
        </w:rPr>
        <w:t>OML-Multi execută calcule pentru surse și receptori plasați în mod arbitrar sau cunoscut. Cel mai adesea receptorii sunt plasați într-un set de inele concentrice sau într-o grilă dreptunghiulară. O rețea concentrică de receptori poate avea până la 15 inele (540 receptori). O grilă dreptunghiulară are un maxim de 1681 (41 x 41) receptori, acest lucru fiind adecvat pentru o prezentare grafică ulterioară. Este de asemenea posibil să se utilizeze rețelele de receptori special construite pentru un anumit tip de raportare.</w:t>
      </w:r>
    </w:p>
    <w:p w14:paraId="07084BDE" w14:textId="77777777" w:rsidR="0030027B" w:rsidRPr="00EA1BB2" w:rsidRDefault="0030027B" w:rsidP="0030027B">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 xml:space="preserve">Pentru a folosi acest model de dispersie în atmosferă, este necesară cunoașterea următoarelor </w:t>
      </w:r>
      <w:r w:rsidRPr="00EA1BB2">
        <w:rPr>
          <w:rFonts w:ascii="Cambria" w:eastAsia="Times New Roman" w:hAnsi="Cambria" w:cs="Times New Roman"/>
          <w:b/>
          <w:sz w:val="24"/>
          <w:szCs w:val="24"/>
        </w:rPr>
        <w:t>date de intrare</w:t>
      </w:r>
      <w:r w:rsidRPr="00EA1BB2">
        <w:rPr>
          <w:rFonts w:ascii="Cambria" w:eastAsia="Times New Roman" w:hAnsi="Cambria" w:cs="Times New Roman"/>
          <w:sz w:val="24"/>
          <w:szCs w:val="24"/>
        </w:rPr>
        <w:t xml:space="preserve"> esențiale:</w:t>
      </w:r>
    </w:p>
    <w:p w14:paraId="64533DB7" w14:textId="77777777" w:rsidR="0030027B" w:rsidRPr="00EA1BB2" w:rsidRDefault="0030027B" w:rsidP="00993575">
      <w:pPr>
        <w:numPr>
          <w:ilvl w:val="0"/>
          <w:numId w:val="60"/>
        </w:numPr>
        <w:spacing w:after="200" w:line="360" w:lineRule="auto"/>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caracteristicile sursei de emisie:</w:t>
      </w:r>
    </w:p>
    <w:p w14:paraId="68738CEA" w14:textId="77777777" w:rsidR="0030027B" w:rsidRPr="00EA1BB2" w:rsidRDefault="0030027B" w:rsidP="00993575">
      <w:pPr>
        <w:numPr>
          <w:ilvl w:val="1"/>
          <w:numId w:val="60"/>
        </w:numPr>
        <w:spacing w:after="200" w:line="360" w:lineRule="auto"/>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cantitatea de emisie evacuată (g/s, t/an, etc.);</w:t>
      </w:r>
    </w:p>
    <w:p w14:paraId="33F1DB61" w14:textId="77777777" w:rsidR="0030027B" w:rsidRPr="00EA1BB2" w:rsidRDefault="0030027B" w:rsidP="00993575">
      <w:pPr>
        <w:numPr>
          <w:ilvl w:val="1"/>
          <w:numId w:val="60"/>
        </w:numPr>
        <w:spacing w:after="200" w:line="360" w:lineRule="auto"/>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dimensiunile sursei: înălțime și diametru (m);</w:t>
      </w:r>
    </w:p>
    <w:p w14:paraId="6079E111" w14:textId="77777777" w:rsidR="0030027B" w:rsidRPr="00EA1BB2" w:rsidRDefault="0030027B" w:rsidP="00993575">
      <w:pPr>
        <w:numPr>
          <w:ilvl w:val="1"/>
          <w:numId w:val="60"/>
        </w:numPr>
        <w:spacing w:after="200" w:line="360" w:lineRule="auto"/>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viteza de evacuare a gazelor în atmosferă (m/s);</w:t>
      </w:r>
    </w:p>
    <w:p w14:paraId="3EBC384B" w14:textId="77777777" w:rsidR="0030027B" w:rsidRPr="00EA1BB2" w:rsidRDefault="0030027B" w:rsidP="00993575">
      <w:pPr>
        <w:numPr>
          <w:ilvl w:val="1"/>
          <w:numId w:val="60"/>
        </w:numPr>
        <w:spacing w:after="200" w:line="360" w:lineRule="auto"/>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temperatura de evacuare a gazelor în atmosferă (</w:t>
      </w:r>
      <w:r w:rsidRPr="00EA1BB2">
        <w:rPr>
          <w:rFonts w:ascii="Cambria" w:eastAsia="Times New Roman" w:hAnsi="Cambria" w:cs="Times New Roman"/>
          <w:sz w:val="24"/>
          <w:szCs w:val="24"/>
          <w:vertAlign w:val="superscript"/>
        </w:rPr>
        <w:t>0</w:t>
      </w:r>
      <w:r w:rsidRPr="00EA1BB2">
        <w:rPr>
          <w:rFonts w:ascii="Cambria" w:eastAsia="Times New Roman" w:hAnsi="Cambria" w:cs="Times New Roman"/>
          <w:sz w:val="24"/>
          <w:szCs w:val="24"/>
        </w:rPr>
        <w:t>C).</w:t>
      </w:r>
    </w:p>
    <w:p w14:paraId="55C87D65" w14:textId="77777777" w:rsidR="0030027B" w:rsidRPr="00EA1BB2" w:rsidRDefault="0030027B" w:rsidP="00993575">
      <w:pPr>
        <w:numPr>
          <w:ilvl w:val="0"/>
          <w:numId w:val="60"/>
        </w:numPr>
        <w:spacing w:after="200" w:line="360" w:lineRule="auto"/>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caracteristicile locului de amplasare a sursei, și anume harta topografică a zonei analizate;</w:t>
      </w:r>
    </w:p>
    <w:p w14:paraId="077F77F7" w14:textId="77777777" w:rsidR="0030027B" w:rsidRPr="00EA1BB2" w:rsidRDefault="0030027B" w:rsidP="00993575">
      <w:pPr>
        <w:numPr>
          <w:ilvl w:val="0"/>
          <w:numId w:val="60"/>
        </w:numPr>
        <w:spacing w:after="200" w:line="360" w:lineRule="auto"/>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datele meteorologice specifice zonei analizate și care constau în:</w:t>
      </w:r>
    </w:p>
    <w:p w14:paraId="402A0444" w14:textId="77777777" w:rsidR="0030027B" w:rsidRPr="00EA1BB2" w:rsidRDefault="0030027B" w:rsidP="00993575">
      <w:pPr>
        <w:numPr>
          <w:ilvl w:val="1"/>
          <w:numId w:val="60"/>
        </w:numPr>
        <w:spacing w:after="200" w:line="360" w:lineRule="auto"/>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viteza vântului (m/s);</w:t>
      </w:r>
    </w:p>
    <w:p w14:paraId="26F26DC3" w14:textId="77777777" w:rsidR="0030027B" w:rsidRPr="00EA1BB2" w:rsidRDefault="0030027B" w:rsidP="00993575">
      <w:pPr>
        <w:numPr>
          <w:ilvl w:val="1"/>
          <w:numId w:val="60"/>
        </w:numPr>
        <w:spacing w:after="200" w:line="360" w:lineRule="auto"/>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direcția vântului, în grade față de direcția nord;</w:t>
      </w:r>
    </w:p>
    <w:p w14:paraId="3D698923" w14:textId="77777777" w:rsidR="0030027B" w:rsidRPr="00EA1BB2" w:rsidRDefault="0030027B" w:rsidP="00993575">
      <w:pPr>
        <w:numPr>
          <w:ilvl w:val="1"/>
          <w:numId w:val="60"/>
        </w:numPr>
        <w:spacing w:after="200" w:line="360" w:lineRule="auto"/>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lastRenderedPageBreak/>
        <w:t>temperatura aerului (</w:t>
      </w:r>
      <w:r w:rsidRPr="00EA1BB2">
        <w:rPr>
          <w:rFonts w:ascii="Cambria" w:eastAsia="Times New Roman" w:hAnsi="Cambria" w:cs="Times New Roman"/>
          <w:sz w:val="24"/>
          <w:szCs w:val="24"/>
          <w:vertAlign w:val="superscript"/>
        </w:rPr>
        <w:t>0</w:t>
      </w:r>
      <w:r w:rsidRPr="00EA1BB2">
        <w:rPr>
          <w:rFonts w:ascii="Cambria" w:eastAsia="Times New Roman" w:hAnsi="Cambria" w:cs="Times New Roman"/>
          <w:sz w:val="24"/>
          <w:szCs w:val="24"/>
        </w:rPr>
        <w:t>C);</w:t>
      </w:r>
    </w:p>
    <w:p w14:paraId="14BEDF81" w14:textId="77777777" w:rsidR="0030027B" w:rsidRPr="00EA1BB2" w:rsidRDefault="0030027B" w:rsidP="00993575">
      <w:pPr>
        <w:numPr>
          <w:ilvl w:val="0"/>
          <w:numId w:val="60"/>
        </w:numPr>
        <w:spacing w:after="200" w:line="360" w:lineRule="auto"/>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concentrațiile de fond regional pentru arealul respectiv.</w:t>
      </w:r>
    </w:p>
    <w:p w14:paraId="79911EE4" w14:textId="77777777" w:rsidR="0030027B" w:rsidRPr="00EA1BB2" w:rsidRDefault="0030027B" w:rsidP="0030027B">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OML-multi furnizează (</w:t>
      </w:r>
      <w:r w:rsidRPr="00EA1BB2">
        <w:rPr>
          <w:rFonts w:ascii="Cambria" w:eastAsia="Times New Roman" w:hAnsi="Cambria" w:cs="Times New Roman"/>
          <w:b/>
          <w:sz w:val="24"/>
          <w:szCs w:val="24"/>
        </w:rPr>
        <w:t>date de ieșire</w:t>
      </w:r>
      <w:r w:rsidRPr="00EA1BB2">
        <w:rPr>
          <w:rFonts w:ascii="Cambria" w:eastAsia="Times New Roman" w:hAnsi="Cambria" w:cs="Times New Roman"/>
          <w:sz w:val="24"/>
          <w:szCs w:val="24"/>
        </w:rPr>
        <w:t>) concentrații ale poluanților la nivelul solului sub forma curbelor de izoconcentrații. Rezultatele obținute pot fi:</w:t>
      </w:r>
    </w:p>
    <w:p w14:paraId="4F5B1886" w14:textId="77777777" w:rsidR="0030027B" w:rsidRPr="00EA1BB2" w:rsidRDefault="0030027B" w:rsidP="00993575">
      <w:pPr>
        <w:numPr>
          <w:ilvl w:val="0"/>
          <w:numId w:val="61"/>
        </w:numPr>
        <w:spacing w:after="200" w:line="360" w:lineRule="auto"/>
        <w:ind w:left="1134"/>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Roza vântului și serii de timpi ale datelor meteorologice;</w:t>
      </w:r>
    </w:p>
    <w:p w14:paraId="74C8A4B8" w14:textId="77777777" w:rsidR="0030027B" w:rsidRPr="00EA1BB2" w:rsidRDefault="0030027B" w:rsidP="00993575">
      <w:pPr>
        <w:numPr>
          <w:ilvl w:val="0"/>
          <w:numId w:val="61"/>
        </w:numPr>
        <w:spacing w:after="200" w:line="360" w:lineRule="auto"/>
        <w:ind w:left="1134"/>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Hărți de dispersie ale poluantului cu indicarea concentrațiilor medii orare, lunare sau anuale;</w:t>
      </w:r>
    </w:p>
    <w:p w14:paraId="50641117" w14:textId="77777777" w:rsidR="0030027B" w:rsidRPr="00EA1BB2" w:rsidRDefault="0030027B" w:rsidP="00993575">
      <w:pPr>
        <w:numPr>
          <w:ilvl w:val="0"/>
          <w:numId w:val="61"/>
        </w:numPr>
        <w:spacing w:after="200" w:line="360" w:lineRule="auto"/>
        <w:ind w:left="1134"/>
        <w:contextualSpacing/>
        <w:jc w:val="both"/>
        <w:rPr>
          <w:rFonts w:ascii="Cambria" w:eastAsia="Times New Roman" w:hAnsi="Cambria" w:cs="Times New Roman"/>
          <w:sz w:val="24"/>
          <w:szCs w:val="24"/>
        </w:rPr>
      </w:pPr>
      <w:r w:rsidRPr="00EA1BB2">
        <w:rPr>
          <w:rFonts w:ascii="Cambria" w:eastAsia="Times New Roman" w:hAnsi="Cambria" w:cs="Times New Roman"/>
          <w:sz w:val="24"/>
          <w:szCs w:val="24"/>
        </w:rPr>
        <w:t>Tabele cu date corespunzătoare concentrațiilor la punctele receptoare.</w:t>
      </w:r>
    </w:p>
    <w:p w14:paraId="29F08F13" w14:textId="77777777" w:rsidR="0030027B" w:rsidRPr="00EA1BB2" w:rsidRDefault="0030027B" w:rsidP="0030027B">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Utilizatorul poate alege între o gamă largă de parametri statistici în generarea rezultatelor obținute prin modelare. Datele de ieșire cuprind valori ale concentrațiilor la receptorii utilizați în prognoză funcție de necesitățile operatorului: valori maxime orare, maxime zilnice, medii anuale, etc., precum și distribuția lor spațială în zona analizată.</w:t>
      </w:r>
    </w:p>
    <w:p w14:paraId="0CAD9F14" w14:textId="77777777" w:rsidR="0030027B" w:rsidRPr="00EA1BB2" w:rsidRDefault="0030027B" w:rsidP="0030027B">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Această flexibilitate a modelului OML-Multi a fost foarte utilă în alegerea și utilizarea acestuia pentru evaluarea surselor de emisie din cadrul județului Brăila în scopul generării  dispersiilor de poluanți atât în scenariul de bază cât și în proiecția anului 2022, rezultatele dispersiei putând fi comparate cu valorile-limită a poluanților stabilite prin Legea 104/2011.</w:t>
      </w:r>
    </w:p>
    <w:p w14:paraId="7BBC6734" w14:textId="77777777" w:rsidR="0030027B" w:rsidRPr="00EA1BB2" w:rsidRDefault="0030027B" w:rsidP="0030027B">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 xml:space="preserve"> Ecuația de dispersie conform modelului Gaussian ce stă la baza modelului OLM  este conform formulei de mai jos: </w:t>
      </w:r>
    </w:p>
    <w:p w14:paraId="05D024CA" w14:textId="77777777" w:rsidR="0030027B" w:rsidRPr="00EA1BB2" w:rsidRDefault="009A1372" w:rsidP="0030027B">
      <w:pPr>
        <w:spacing w:line="360" w:lineRule="auto"/>
        <w:ind w:firstLine="567"/>
        <w:jc w:val="both"/>
        <w:rPr>
          <w:rFonts w:ascii="Cambria" w:eastAsia="Times New Roman" w:hAnsi="Cambria" w:cs="Times New Roman"/>
          <w:sz w:val="24"/>
          <w:szCs w:val="24"/>
        </w:rPr>
      </w:pPr>
      <m:oMathPara>
        <m:oMathParaPr>
          <m:jc m:val="center"/>
        </m:oMathPara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C</m:t>
              </m:r>
            </m:e>
            <m:sub>
              <m:r>
                <w:rPr>
                  <w:rFonts w:ascii="Cambria Math" w:eastAsia="Times New Roman" w:hAnsi="Cambria Math" w:cs="Times New Roman"/>
                  <w:sz w:val="24"/>
                  <w:szCs w:val="24"/>
                </w:rPr>
                <m:t>(x,y,z)</m:t>
              </m:r>
            </m:sub>
          </m:sSub>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QV</m:t>
              </m:r>
            </m:num>
            <m:den>
              <m:r>
                <w:rPr>
                  <w:rFonts w:ascii="Cambria Math" w:eastAsia="Times New Roman" w:hAnsi="Cambria Math" w:cs="Times New Roman"/>
                  <w:sz w:val="24"/>
                  <w:szCs w:val="24"/>
                </w:rPr>
                <m:t>2π</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u</m:t>
                  </m:r>
                </m:e>
                <m:sub>
                  <m:r>
                    <w:rPr>
                      <w:rFonts w:ascii="Cambria Math" w:eastAsia="Times New Roman" w:hAnsi="Cambria Math" w:cs="Times New Roman"/>
                      <w:sz w:val="24"/>
                      <w:szCs w:val="24"/>
                    </w:rPr>
                    <m:t>s</m:t>
                  </m:r>
                </m:sub>
              </m:sSub>
              <w:bookmarkStart w:id="243" w:name="OLE_LINK13"/>
              <w:bookmarkStart w:id="244" w:name="OLE_LINK14"/>
              <w:bookmarkStart w:id="245" w:name="OLE_LINK15"/>
              <w:bookmarkStart w:id="246" w:name="OLE_LINK22"/>
              <w:bookmarkStart w:id="247" w:name="OLE_LINK23"/>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σ</m:t>
                  </m:r>
                </m:e>
                <m:sub>
                  <m:r>
                    <w:rPr>
                      <w:rFonts w:ascii="Cambria Math" w:eastAsia="Times New Roman" w:hAnsi="Cambria Math" w:cs="Times New Roman"/>
                      <w:sz w:val="24"/>
                      <w:szCs w:val="24"/>
                    </w:rPr>
                    <m:t>y</m:t>
                  </m:r>
                </m:sub>
              </m:sSub>
              <w:bookmarkEnd w:id="243"/>
              <w:bookmarkEnd w:id="244"/>
              <w:bookmarkEnd w:id="245"/>
              <w:bookmarkEnd w:id="246"/>
              <w:bookmarkEnd w:id="247"/>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σ</m:t>
                  </m:r>
                </m:e>
                <m:sub>
                  <m:r>
                    <w:rPr>
                      <w:rFonts w:ascii="Cambria Math" w:eastAsia="Times New Roman" w:hAnsi="Cambria Math" w:cs="Times New Roman"/>
                      <w:sz w:val="24"/>
                      <w:szCs w:val="24"/>
                    </w:rPr>
                    <m:t>z</m:t>
                  </m:r>
                </m:sub>
              </m:sSub>
            </m:den>
          </m:f>
          <m:sSup>
            <m:sSupPr>
              <m:ctrlPr>
                <w:rPr>
                  <w:rFonts w:ascii="Cambria Math" w:eastAsia="Times New Roman" w:hAnsi="Cambria Math" w:cs="Times New Roman"/>
                  <w:i/>
                  <w:sz w:val="24"/>
                  <w:szCs w:val="24"/>
                </w:rPr>
              </m:ctrlPr>
            </m:sSupPr>
            <m:e>
              <m:r>
                <m:rPr>
                  <m:sty m:val="p"/>
                </m:rPr>
                <w:rPr>
                  <w:rFonts w:ascii="Cambria Math" w:eastAsia="Times New Roman" w:hAnsi="Cambria Math" w:cs="Times New Roman"/>
                  <w:sz w:val="24"/>
                  <w:szCs w:val="24"/>
                </w:rPr>
                <m:t>exp⁡</m:t>
              </m:r>
              <m:r>
                <w:rPr>
                  <w:rFonts w:ascii="Cambria Math" w:eastAsia="Times New Roman" w:hAnsi="Cambria Math" w:cs="Times New Roman"/>
                  <w:sz w:val="24"/>
                  <w:szCs w:val="24"/>
                </w:rPr>
                <m:t>[-0,5 (</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y</m:t>
                  </m:r>
                </m:num>
                <m:den>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σ</m:t>
                      </m:r>
                    </m:e>
                    <m:sub>
                      <m:r>
                        <w:rPr>
                          <w:rFonts w:ascii="Cambria Math" w:eastAsia="Times New Roman" w:hAnsi="Cambria Math" w:cs="Times New Roman"/>
                          <w:sz w:val="24"/>
                          <w:szCs w:val="24"/>
                        </w:rPr>
                        <m:t>y</m:t>
                      </m:r>
                    </m:sub>
                  </m:sSub>
                </m:den>
              </m:f>
              <m:r>
                <w:rPr>
                  <w:rFonts w:ascii="Cambria Math" w:eastAsia="Times New Roman" w:hAnsi="Cambria Math" w:cs="Times New Roman"/>
                  <w:sz w:val="24"/>
                  <w:szCs w:val="24"/>
                </w:rPr>
                <m:t>)</m:t>
              </m:r>
            </m:e>
            <m:sup>
              <m:r>
                <w:rPr>
                  <w:rFonts w:ascii="Cambria Math" w:eastAsia="Times New Roman" w:hAnsi="Cambria Math" w:cs="Times New Roman"/>
                  <w:sz w:val="24"/>
                  <w:szCs w:val="24"/>
                </w:rPr>
                <m:t>2</m:t>
              </m:r>
            </m:sup>
          </m:sSup>
          <m:r>
            <w:rPr>
              <w:rFonts w:ascii="Cambria Math" w:eastAsia="Times New Roman" w:hAnsi="Cambria Math" w:cs="Times New Roman"/>
              <w:sz w:val="24"/>
              <w:szCs w:val="24"/>
            </w:rPr>
            <m:t xml:space="preserve">]  </m:t>
          </m:r>
          <w:bookmarkStart w:id="248" w:name="OLE_LINK31"/>
          <w:bookmarkStart w:id="249" w:name="OLE_LINK32"/>
          <m:r>
            <m:rPr>
              <m:sty m:val="b"/>
            </m:rPr>
            <w:rPr>
              <w:rFonts w:ascii="Cambria Math" w:eastAsia="Times New Roman" w:hAnsi="Cambria Math" w:cs="Times New Roman"/>
              <w:sz w:val="24"/>
              <w:szCs w:val="24"/>
            </w:rPr>
            <m:t>[1]</m:t>
          </m:r>
        </m:oMath>
      </m:oMathPara>
      <w:bookmarkEnd w:id="248"/>
      <w:bookmarkEnd w:id="249"/>
    </w:p>
    <w:p w14:paraId="1D200644" w14:textId="77777777" w:rsidR="0030027B" w:rsidRPr="00EA1BB2" w:rsidRDefault="0030027B" w:rsidP="0030027B">
      <w:pPr>
        <w:spacing w:line="360" w:lineRule="auto"/>
        <w:ind w:firstLine="567"/>
        <w:jc w:val="both"/>
        <w:rPr>
          <w:rFonts w:ascii="Cambria" w:eastAsia="Calibri" w:hAnsi="Cambria" w:cs="Times New Roman"/>
          <w:sz w:val="24"/>
          <w:szCs w:val="24"/>
        </w:rPr>
      </w:pPr>
      <w:r w:rsidRPr="00EA1BB2">
        <w:rPr>
          <w:rFonts w:ascii="Cambria" w:eastAsia="Calibri" w:hAnsi="Cambria" w:cs="Times New Roman"/>
          <w:sz w:val="24"/>
          <w:szCs w:val="24"/>
        </w:rPr>
        <w:t>unde:</w:t>
      </w:r>
    </w:p>
    <w:p w14:paraId="709D30F9" w14:textId="77777777" w:rsidR="0030027B" w:rsidRPr="00EA1BB2" w:rsidRDefault="0030027B" w:rsidP="0030027B">
      <w:pPr>
        <w:spacing w:line="360" w:lineRule="auto"/>
        <w:ind w:firstLine="567"/>
        <w:jc w:val="both"/>
        <w:rPr>
          <w:rFonts w:ascii="Cambria" w:eastAsia="Calibri" w:hAnsi="Cambria" w:cs="Times New Roman"/>
          <w:sz w:val="24"/>
          <w:szCs w:val="24"/>
        </w:rPr>
      </w:pPr>
      <w:r w:rsidRPr="00EA1BB2">
        <w:rPr>
          <w:rFonts w:ascii="Cambria" w:eastAsia="Calibri" w:hAnsi="Cambria" w:cs="Times New Roman"/>
          <w:sz w:val="24"/>
          <w:szCs w:val="24"/>
        </w:rPr>
        <w:t xml:space="preserve">C: concentrațiile poluantului în cele 3 direcții de propagare x, y, z (ppb, ppm, sau alte unități); </w:t>
      </w:r>
    </w:p>
    <w:p w14:paraId="596CAB3B" w14:textId="77777777" w:rsidR="0030027B" w:rsidRPr="00EA1BB2" w:rsidRDefault="0030027B" w:rsidP="0030027B">
      <w:pPr>
        <w:spacing w:line="360" w:lineRule="auto"/>
        <w:ind w:firstLine="567"/>
        <w:jc w:val="both"/>
        <w:rPr>
          <w:rFonts w:ascii="Cambria" w:eastAsia="Calibri" w:hAnsi="Cambria" w:cs="Times New Roman"/>
          <w:sz w:val="24"/>
          <w:szCs w:val="24"/>
        </w:rPr>
      </w:pPr>
      <w:r w:rsidRPr="00EA1BB2">
        <w:rPr>
          <w:rFonts w:ascii="Cambria" w:eastAsia="Calibri" w:hAnsi="Cambria" w:cs="Times New Roman"/>
          <w:sz w:val="24"/>
          <w:szCs w:val="24"/>
        </w:rPr>
        <w:t>Q: rata de emisie a poluantului (m</w:t>
      </w:r>
      <w:r w:rsidRPr="00EA1BB2">
        <w:rPr>
          <w:rFonts w:ascii="Cambria" w:eastAsia="Calibri" w:hAnsi="Cambria" w:cs="Times New Roman"/>
          <w:sz w:val="24"/>
          <w:szCs w:val="24"/>
          <w:vertAlign w:val="superscript"/>
        </w:rPr>
        <w:t>3</w:t>
      </w:r>
      <w:r w:rsidRPr="00EA1BB2">
        <w:rPr>
          <w:rFonts w:ascii="Cambria" w:eastAsia="Calibri" w:hAnsi="Cambria" w:cs="Times New Roman"/>
          <w:sz w:val="24"/>
          <w:szCs w:val="24"/>
        </w:rPr>
        <w:t>N/s)</w:t>
      </w:r>
      <w:r w:rsidRPr="00EA1BB2">
        <w:rPr>
          <w:rFonts w:ascii="Cambria" w:eastAsia="Calibri" w:hAnsi="Cambria" w:cs="Times New Roman"/>
          <w:sz w:val="24"/>
          <w:szCs w:val="24"/>
          <w:vertAlign w:val="superscript"/>
        </w:rPr>
        <w:t>2</w:t>
      </w:r>
      <w:r w:rsidRPr="00EA1BB2">
        <w:rPr>
          <w:rFonts w:ascii="Cambria" w:eastAsia="Calibri" w:hAnsi="Cambria" w:cs="Times New Roman"/>
          <w:sz w:val="24"/>
          <w:szCs w:val="24"/>
        </w:rPr>
        <w:t>;</w:t>
      </w:r>
    </w:p>
    <w:p w14:paraId="38F1CA21" w14:textId="77777777" w:rsidR="0030027B" w:rsidRPr="00EA1BB2" w:rsidRDefault="0030027B" w:rsidP="0030027B">
      <w:pPr>
        <w:spacing w:line="360" w:lineRule="auto"/>
        <w:ind w:firstLine="567"/>
        <w:jc w:val="both"/>
        <w:rPr>
          <w:rFonts w:ascii="Cambria" w:eastAsia="Calibri" w:hAnsi="Cambria" w:cs="Times New Roman"/>
          <w:sz w:val="24"/>
          <w:szCs w:val="24"/>
        </w:rPr>
      </w:pPr>
      <w:r w:rsidRPr="00EA1BB2">
        <w:rPr>
          <w:rFonts w:ascii="Cambria" w:eastAsia="Calibri" w:hAnsi="Cambria" w:cs="Times New Roman"/>
          <w:sz w:val="24"/>
          <w:szCs w:val="24"/>
        </w:rPr>
        <w:t>V: factor de condiții verticale (conform ecuației 2);</w:t>
      </w:r>
    </w:p>
    <w:p w14:paraId="2EE429B5" w14:textId="77777777" w:rsidR="0030027B" w:rsidRPr="00EA1BB2" w:rsidRDefault="0030027B" w:rsidP="0030027B">
      <w:pPr>
        <w:spacing w:line="360" w:lineRule="auto"/>
        <w:ind w:firstLine="567"/>
        <w:jc w:val="both"/>
        <w:rPr>
          <w:rFonts w:ascii="Cambria" w:eastAsia="Calibri" w:hAnsi="Cambria" w:cs="Times New Roman"/>
          <w:sz w:val="24"/>
          <w:szCs w:val="24"/>
        </w:rPr>
      </w:pPr>
      <w:r w:rsidRPr="00EA1BB2">
        <w:rPr>
          <w:rFonts w:ascii="Cambria" w:eastAsia="Calibri" w:hAnsi="Cambria" w:cs="Times New Roman"/>
          <w:sz w:val="24"/>
          <w:szCs w:val="24"/>
        </w:rPr>
        <w:t xml:space="preserve"> u</w:t>
      </w:r>
      <w:r w:rsidRPr="00EA1BB2">
        <w:rPr>
          <w:rFonts w:ascii="Cambria" w:eastAsia="Calibri" w:hAnsi="Cambria" w:cs="Times New Roman"/>
          <w:sz w:val="24"/>
          <w:szCs w:val="24"/>
          <w:vertAlign w:val="subscript"/>
        </w:rPr>
        <w:t>s</w:t>
      </w:r>
      <w:r w:rsidRPr="00EA1BB2">
        <w:rPr>
          <w:rFonts w:ascii="Cambria" w:eastAsia="Calibri" w:hAnsi="Cambria" w:cs="Times New Roman"/>
          <w:sz w:val="24"/>
          <w:szCs w:val="24"/>
        </w:rPr>
        <w:t xml:space="preserve">: viteza vântului la punctul de emisie (m/s) </w:t>
      </w:r>
    </w:p>
    <w:p w14:paraId="0220D6CE" w14:textId="77777777" w:rsidR="0030027B" w:rsidRPr="00EA1BB2" w:rsidRDefault="0030027B" w:rsidP="0030027B">
      <w:pPr>
        <w:spacing w:line="360" w:lineRule="auto"/>
        <w:ind w:firstLine="567"/>
        <w:jc w:val="both"/>
        <w:rPr>
          <w:rFonts w:ascii="Cambria" w:eastAsia="Calibri" w:hAnsi="Cambria" w:cs="Times New Roman"/>
          <w:sz w:val="24"/>
          <w:szCs w:val="24"/>
        </w:rPr>
      </w:pPr>
      <w:r w:rsidRPr="00EA1BB2">
        <w:rPr>
          <w:rFonts w:ascii="Cambria" w:eastAsia="Calibri" w:hAnsi="Cambria" w:cs="Times New Roman"/>
          <w:sz w:val="24"/>
          <w:szCs w:val="24"/>
        </w:rPr>
        <w:t>σy, σz: parametri de dispersie pe direcții laterale și verticale.</w:t>
      </w:r>
    </w:p>
    <w:p w14:paraId="40DD4C57" w14:textId="77777777" w:rsidR="0030027B" w:rsidRPr="00EA1BB2" w:rsidRDefault="0030027B" w:rsidP="0030027B">
      <w:pPr>
        <w:spacing w:line="360" w:lineRule="auto"/>
        <w:ind w:firstLine="709"/>
        <w:jc w:val="both"/>
        <w:rPr>
          <w:rFonts w:ascii="Cambria" w:eastAsia="Calibri" w:hAnsi="Cambria" w:cs="Times New Roman"/>
          <w:sz w:val="24"/>
          <w:szCs w:val="24"/>
        </w:rPr>
      </w:pPr>
      <w:r w:rsidRPr="00EA1BB2">
        <w:rPr>
          <w:rFonts w:ascii="Cambria" w:eastAsia="Calibri" w:hAnsi="Cambria" w:cs="Times New Roman"/>
          <w:sz w:val="24"/>
          <w:szCs w:val="24"/>
        </w:rPr>
        <w:t xml:space="preserve">Factorul de condiții verticale V reprezintă distribuția penei gaussiane pe verticală. Acest termen include cota punctului de calcul și efectele înălțimii cauzate de propagarea penei de poluant pe verticală (înălțimea efectivă a penei). </w:t>
      </w:r>
    </w:p>
    <w:p w14:paraId="04C68598" w14:textId="77777777" w:rsidR="0030027B" w:rsidRPr="00EA1BB2" w:rsidRDefault="0030027B" w:rsidP="0030027B">
      <w:pPr>
        <w:spacing w:line="360" w:lineRule="auto"/>
        <w:ind w:firstLine="567"/>
        <w:jc w:val="both"/>
        <w:rPr>
          <w:rFonts w:ascii="Cambria" w:eastAsia="Calibri" w:hAnsi="Cambria" w:cs="Times New Roman"/>
          <w:sz w:val="24"/>
          <w:szCs w:val="24"/>
        </w:rPr>
      </w:pPr>
      <m:oMathPara>
        <m:oMath>
          <m:r>
            <w:rPr>
              <w:rFonts w:ascii="Cambria Math" w:eastAsia="Calibri" w:hAnsi="Cambria Math" w:cs="Times New Roman"/>
              <w:sz w:val="24"/>
              <w:szCs w:val="24"/>
            </w:rPr>
            <m:t>V=</m:t>
          </m:r>
          <m:func>
            <m:funcPr>
              <m:ctrlPr>
                <w:rPr>
                  <w:rFonts w:ascii="Cambria Math" w:eastAsia="Calibri" w:hAnsi="Cambria Math" w:cs="Times New Roman"/>
                  <w:i/>
                  <w:sz w:val="24"/>
                  <w:szCs w:val="24"/>
                </w:rPr>
              </m:ctrlPr>
            </m:funcPr>
            <m:fName>
              <m:r>
                <m:rPr>
                  <m:sty m:val="p"/>
                </m:rPr>
                <w:rPr>
                  <w:rFonts w:ascii="Cambria Math" w:eastAsia="Calibri" w:hAnsi="Cambria Math" w:cs="Times New Roman"/>
                  <w:sz w:val="24"/>
                  <w:szCs w:val="24"/>
                </w:rPr>
                <m:t>exp</m:t>
              </m:r>
            </m:fName>
            <m:e>
              <m:d>
                <m:dPr>
                  <m:begChr m:val="["/>
                  <m:endChr m:val="]"/>
                  <m:ctrlPr>
                    <w:rPr>
                      <w:rFonts w:ascii="Cambria Math" w:eastAsia="Calibri" w:hAnsi="Cambria Math" w:cs="Times New Roman"/>
                      <w:i/>
                      <w:sz w:val="24"/>
                      <w:szCs w:val="24"/>
                    </w:rPr>
                  </m:ctrlPr>
                </m:dPr>
                <m:e>
                  <m:r>
                    <w:rPr>
                      <w:rFonts w:ascii="Cambria Math" w:eastAsia="Calibri" w:hAnsi="Cambria Math" w:cs="Times New Roman"/>
                      <w:sz w:val="24"/>
                      <w:szCs w:val="24"/>
                    </w:rPr>
                    <m:t>-0,5</m:t>
                  </m:r>
                  <m:sSup>
                    <m:sSupPr>
                      <m:ctrlPr>
                        <w:rPr>
                          <w:rFonts w:ascii="Cambria Math" w:eastAsia="Calibri" w:hAnsi="Cambria Math" w:cs="Times New Roman"/>
                          <w:i/>
                          <w:sz w:val="24"/>
                          <w:szCs w:val="24"/>
                        </w:rPr>
                      </m:ctrlPr>
                    </m:sSupPr>
                    <m:e>
                      <m:d>
                        <m:dPr>
                          <m:ctrlPr>
                            <w:rPr>
                              <w:rFonts w:ascii="Cambria Math" w:eastAsia="Calibri" w:hAnsi="Cambria Math" w:cs="Times New Roman"/>
                              <w:i/>
                              <w:sz w:val="24"/>
                              <w:szCs w:val="24"/>
                            </w:rPr>
                          </m:ctrlPr>
                        </m:dPr>
                        <m:e>
                          <w:bookmarkStart w:id="250" w:name="OLE_LINK24"/>
                          <w:bookmarkStart w:id="251" w:name="OLE_LINK25"/>
                          <w:bookmarkStart w:id="252" w:name="OLE_LINK26"/>
                          <m:f>
                            <m:fPr>
                              <m:ctrlPr>
                                <w:rPr>
                                  <w:rFonts w:ascii="Cambria Math" w:eastAsia="Calibri" w:hAnsi="Cambria Math" w:cs="Times New Roman"/>
                                  <w:i/>
                                  <w:sz w:val="24"/>
                                  <w:szCs w:val="24"/>
                                </w:rPr>
                              </m:ctrlPr>
                            </m:fPr>
                            <m:num>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z</m:t>
                                  </m:r>
                                </m:e>
                                <m:sub>
                                  <m:r>
                                    <w:rPr>
                                      <w:rFonts w:ascii="Cambria Math" w:eastAsia="Calibri" w:hAnsi="Cambria Math" w:cs="Times New Roman"/>
                                      <w:sz w:val="24"/>
                                      <w:szCs w:val="24"/>
                                    </w:rPr>
                                    <m:t>r</m:t>
                                  </m:r>
                                </m:sub>
                              </m:sSub>
                              <m:r>
                                <w:rPr>
                                  <w:rFonts w:ascii="Cambria Math" w:eastAsia="Calibri" w:hAnsi="Cambria Math" w:cs="Times New Roman"/>
                                  <w:sz w:val="24"/>
                                  <w:szCs w:val="24"/>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h</m:t>
                                  </m:r>
                                </m:e>
                                <m:sub>
                                  <m:r>
                                    <w:rPr>
                                      <w:rFonts w:ascii="Cambria Math" w:eastAsia="Calibri" w:hAnsi="Cambria Math" w:cs="Times New Roman"/>
                                      <w:sz w:val="24"/>
                                      <w:szCs w:val="24"/>
                                    </w:rPr>
                                    <m:t>e</m:t>
                                  </m:r>
                                </m:sub>
                              </m:sSub>
                            </m:num>
                            <m:den>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σ</m:t>
                                  </m:r>
                                </m:e>
                                <m:sub>
                                  <m:r>
                                    <w:rPr>
                                      <w:rFonts w:ascii="Cambria Math" w:eastAsia="Times New Roman" w:hAnsi="Cambria Math" w:cs="Times New Roman"/>
                                      <w:sz w:val="24"/>
                                      <w:szCs w:val="24"/>
                                    </w:rPr>
                                    <m:t>z</m:t>
                                  </m:r>
                                </m:sub>
                              </m:sSub>
                            </m:den>
                          </m:f>
                          <w:bookmarkEnd w:id="250"/>
                          <w:bookmarkEnd w:id="251"/>
                          <w:bookmarkEnd w:id="252"/>
                        </m:e>
                      </m:d>
                    </m:e>
                    <m:sup>
                      <m:r>
                        <w:rPr>
                          <w:rFonts w:ascii="Cambria Math" w:eastAsia="Calibri" w:hAnsi="Cambria Math" w:cs="Times New Roman"/>
                          <w:sz w:val="24"/>
                          <w:szCs w:val="24"/>
                        </w:rPr>
                        <m:t>2</m:t>
                      </m:r>
                    </m:sup>
                  </m:sSup>
                </m:e>
              </m:d>
            </m:e>
          </m:func>
          <m:r>
            <w:rPr>
              <w:rFonts w:ascii="Cambria Math" w:eastAsia="Calibri" w:hAnsi="Cambria Math" w:cs="Times New Roman"/>
              <w:sz w:val="24"/>
              <w:szCs w:val="24"/>
            </w:rPr>
            <m:t>+</m:t>
          </m:r>
          <m:func>
            <m:funcPr>
              <m:ctrlPr>
                <w:rPr>
                  <w:rFonts w:ascii="Cambria Math" w:eastAsia="Calibri" w:hAnsi="Cambria Math" w:cs="Times New Roman"/>
                  <w:i/>
                  <w:sz w:val="24"/>
                  <w:szCs w:val="24"/>
                </w:rPr>
              </m:ctrlPr>
            </m:funcPr>
            <m:fName>
              <m:r>
                <m:rPr>
                  <m:sty m:val="p"/>
                </m:rPr>
                <w:rPr>
                  <w:rFonts w:ascii="Cambria Math" w:eastAsia="Calibri" w:hAnsi="Cambria Math" w:cs="Times New Roman"/>
                  <w:sz w:val="24"/>
                  <w:szCs w:val="24"/>
                </w:rPr>
                <m:t>exp</m:t>
              </m:r>
              <m:d>
                <m:dPr>
                  <m:begChr m:val="["/>
                  <m:endChr m:val="]"/>
                  <m:ctrlPr>
                    <w:rPr>
                      <w:rFonts w:ascii="Cambria Math" w:eastAsia="Calibri" w:hAnsi="Cambria Math" w:cs="Times New Roman"/>
                      <w:sz w:val="24"/>
                      <w:szCs w:val="24"/>
                    </w:rPr>
                  </m:ctrlPr>
                </m:dPr>
                <m:e>
                  <m:r>
                    <w:rPr>
                      <w:rFonts w:ascii="Cambria Math" w:eastAsia="Calibri" w:hAnsi="Cambria Math" w:cs="Times New Roman"/>
                      <w:sz w:val="24"/>
                      <w:szCs w:val="24"/>
                    </w:rPr>
                    <m:t>-0,5</m:t>
                  </m:r>
                  <m:sSup>
                    <m:sSupPr>
                      <m:ctrlPr>
                        <w:rPr>
                          <w:rFonts w:ascii="Cambria Math" w:eastAsia="Calibri" w:hAnsi="Cambria Math" w:cs="Times New Roman"/>
                          <w:i/>
                          <w:sz w:val="24"/>
                          <w:szCs w:val="24"/>
                        </w:rPr>
                      </m:ctrlPr>
                    </m:sSupPr>
                    <m:e>
                      <m:d>
                        <m:dPr>
                          <m:ctrlPr>
                            <w:rPr>
                              <w:rFonts w:ascii="Cambria Math" w:eastAsia="Calibri" w:hAnsi="Cambria Math" w:cs="Times New Roman"/>
                              <w:i/>
                              <w:sz w:val="24"/>
                              <w:szCs w:val="24"/>
                            </w:rPr>
                          </m:ctrlPr>
                        </m:dPr>
                        <m:e>
                          <m:f>
                            <m:fPr>
                              <m:ctrlPr>
                                <w:rPr>
                                  <w:rFonts w:ascii="Cambria Math" w:eastAsia="Calibri" w:hAnsi="Cambria Math" w:cs="Times New Roman"/>
                                  <w:i/>
                                  <w:sz w:val="24"/>
                                  <w:szCs w:val="24"/>
                                </w:rPr>
                              </m:ctrlPr>
                            </m:fPr>
                            <m:num>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z</m:t>
                                  </m:r>
                                </m:e>
                                <m:sub>
                                  <m:r>
                                    <w:rPr>
                                      <w:rFonts w:ascii="Cambria Math" w:eastAsia="Calibri" w:hAnsi="Cambria Math" w:cs="Times New Roman"/>
                                      <w:sz w:val="24"/>
                                      <w:szCs w:val="24"/>
                                    </w:rPr>
                                    <m:t>r</m:t>
                                  </m:r>
                                </m:sub>
                              </m:sSub>
                              <m:r>
                                <w:rPr>
                                  <w:rFonts w:ascii="Cambria Math" w:eastAsia="Calibri" w:hAnsi="Cambria Math" w:cs="Times New Roman"/>
                                  <w:sz w:val="24"/>
                                  <w:szCs w:val="24"/>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h</m:t>
                                  </m:r>
                                </m:e>
                                <m:sub>
                                  <m:r>
                                    <w:rPr>
                                      <w:rFonts w:ascii="Cambria Math" w:eastAsia="Calibri" w:hAnsi="Cambria Math" w:cs="Times New Roman"/>
                                      <w:sz w:val="24"/>
                                      <w:szCs w:val="24"/>
                                    </w:rPr>
                                    <m:t>e</m:t>
                                  </m:r>
                                </m:sub>
                              </m:sSub>
                            </m:num>
                            <m:den>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σ</m:t>
                                  </m:r>
                                </m:e>
                                <m:sub>
                                  <m:r>
                                    <w:rPr>
                                      <w:rFonts w:ascii="Cambria Math" w:eastAsia="Times New Roman" w:hAnsi="Cambria Math" w:cs="Times New Roman"/>
                                      <w:sz w:val="24"/>
                                      <w:szCs w:val="24"/>
                                    </w:rPr>
                                    <m:t>z</m:t>
                                  </m:r>
                                </m:sub>
                              </m:sSub>
                            </m:den>
                          </m:f>
                        </m:e>
                      </m:d>
                    </m:e>
                    <m:sup>
                      <m:r>
                        <w:rPr>
                          <w:rFonts w:ascii="Cambria Math" w:eastAsia="Calibri" w:hAnsi="Cambria Math" w:cs="Times New Roman"/>
                          <w:sz w:val="24"/>
                          <w:szCs w:val="24"/>
                        </w:rPr>
                        <m:t>2</m:t>
                      </m:r>
                    </m:sup>
                  </m:sSup>
                </m:e>
              </m:d>
            </m:fName>
            <m:e>
              <m:r>
                <m:rPr>
                  <m:sty m:val="b"/>
                </m:rPr>
                <w:rPr>
                  <w:rFonts w:ascii="Cambria Math" w:eastAsia="Times New Roman" w:hAnsi="Cambria Math" w:cs="Times New Roman"/>
                  <w:sz w:val="24"/>
                  <w:szCs w:val="24"/>
                </w:rPr>
                <m:t xml:space="preserve">     [2]</m:t>
              </m:r>
            </m:e>
          </m:func>
        </m:oMath>
      </m:oMathPara>
    </w:p>
    <w:p w14:paraId="4EFFD67C" w14:textId="77777777" w:rsidR="0030027B" w:rsidRPr="00EA1BB2" w:rsidRDefault="0030027B" w:rsidP="0030027B">
      <w:pPr>
        <w:spacing w:line="360" w:lineRule="auto"/>
        <w:ind w:firstLine="567"/>
        <w:jc w:val="both"/>
        <w:rPr>
          <w:rFonts w:ascii="Cambria" w:eastAsia="Calibri" w:hAnsi="Cambria" w:cs="Times New Roman"/>
          <w:sz w:val="24"/>
          <w:szCs w:val="24"/>
        </w:rPr>
      </w:pPr>
      <w:r w:rsidRPr="00EA1BB2">
        <w:rPr>
          <w:rFonts w:ascii="Cambria" w:eastAsia="Calibri" w:hAnsi="Cambria" w:cs="Times New Roman"/>
          <w:sz w:val="24"/>
          <w:szCs w:val="24"/>
        </w:rPr>
        <w:t>unde:</w:t>
      </w:r>
    </w:p>
    <w:p w14:paraId="47D42AB6" w14:textId="77777777" w:rsidR="0030027B" w:rsidRPr="00EA1BB2" w:rsidRDefault="0030027B" w:rsidP="0030027B">
      <w:pPr>
        <w:spacing w:line="360" w:lineRule="auto"/>
        <w:ind w:firstLine="567"/>
        <w:jc w:val="both"/>
        <w:rPr>
          <w:rFonts w:ascii="Cambria" w:eastAsia="Calibri" w:hAnsi="Cambria" w:cs="Times New Roman"/>
          <w:sz w:val="24"/>
          <w:szCs w:val="24"/>
        </w:rPr>
      </w:pPr>
      <w:r w:rsidRPr="00EA1BB2">
        <w:rPr>
          <w:rFonts w:ascii="Cambria" w:eastAsia="Calibri" w:hAnsi="Cambria" w:cs="Times New Roman"/>
          <w:sz w:val="24"/>
          <w:szCs w:val="24"/>
        </w:rPr>
        <w:lastRenderedPageBreak/>
        <w:t>z</w:t>
      </w:r>
      <w:r w:rsidRPr="00EA1BB2">
        <w:rPr>
          <w:rFonts w:ascii="Cambria" w:eastAsia="Calibri" w:hAnsi="Cambria" w:cs="Times New Roman"/>
          <w:sz w:val="24"/>
          <w:szCs w:val="24"/>
          <w:vertAlign w:val="subscript"/>
        </w:rPr>
        <w:t>r</w:t>
      </w:r>
      <w:r w:rsidRPr="00EA1BB2">
        <w:rPr>
          <w:rFonts w:ascii="Cambria" w:eastAsia="Calibri" w:hAnsi="Cambria" w:cs="Times New Roman"/>
          <w:sz w:val="24"/>
          <w:szCs w:val="24"/>
        </w:rPr>
        <w:t>: elevația punctului de măsurare (m);</w:t>
      </w:r>
    </w:p>
    <w:p w14:paraId="317775E3" w14:textId="77777777" w:rsidR="0030027B" w:rsidRPr="00EA1BB2" w:rsidRDefault="0030027B" w:rsidP="0030027B">
      <w:pPr>
        <w:spacing w:line="360" w:lineRule="auto"/>
        <w:ind w:firstLine="567"/>
        <w:jc w:val="both"/>
        <w:rPr>
          <w:rFonts w:ascii="Cambria" w:eastAsia="Calibri" w:hAnsi="Cambria" w:cs="Times New Roman"/>
          <w:sz w:val="24"/>
          <w:szCs w:val="24"/>
        </w:rPr>
      </w:pPr>
      <w:r w:rsidRPr="00EA1BB2">
        <w:rPr>
          <w:rFonts w:ascii="Cambria" w:eastAsia="Calibri" w:hAnsi="Cambria" w:cs="Times New Roman"/>
          <w:sz w:val="24"/>
          <w:szCs w:val="24"/>
        </w:rPr>
        <w:t>h</w:t>
      </w:r>
      <w:r w:rsidRPr="00EA1BB2">
        <w:rPr>
          <w:rFonts w:ascii="Cambria" w:eastAsia="Calibri" w:hAnsi="Cambria" w:cs="Times New Roman"/>
          <w:sz w:val="24"/>
          <w:szCs w:val="24"/>
          <w:vertAlign w:val="subscript"/>
        </w:rPr>
        <w:t>e</w:t>
      </w:r>
      <w:r w:rsidRPr="00EA1BB2">
        <w:rPr>
          <w:rFonts w:ascii="Cambria" w:eastAsia="Calibri" w:hAnsi="Cambria" w:cs="Times New Roman"/>
          <w:sz w:val="24"/>
          <w:szCs w:val="24"/>
        </w:rPr>
        <w:t>: înălțimea penei de poluant (m).</w:t>
      </w:r>
    </w:p>
    <w:p w14:paraId="4EF26346" w14:textId="77777777" w:rsidR="0030027B" w:rsidRPr="00EA1BB2" w:rsidRDefault="0030027B" w:rsidP="0030027B">
      <w:pPr>
        <w:spacing w:line="360" w:lineRule="auto"/>
        <w:ind w:firstLine="567"/>
        <w:jc w:val="both"/>
        <w:rPr>
          <w:rFonts w:ascii="Cambria" w:eastAsia="Times New Roman" w:hAnsi="Cambria" w:cs="Times New Roman"/>
          <w:sz w:val="24"/>
          <w:szCs w:val="24"/>
        </w:rPr>
      </w:pPr>
    </w:p>
    <w:p w14:paraId="43D75E27" w14:textId="77777777" w:rsidR="0030027B" w:rsidRPr="00EA1BB2" w:rsidRDefault="0030027B" w:rsidP="0030027B">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b/>
          <w:sz w:val="24"/>
          <w:szCs w:val="24"/>
        </w:rPr>
        <w:t>COPERT Street Level</w:t>
      </w:r>
      <w:r w:rsidRPr="00EA1BB2">
        <w:rPr>
          <w:rFonts w:ascii="Cambria" w:eastAsia="Times New Roman" w:hAnsi="Cambria" w:cs="Times New Roman"/>
          <w:sz w:val="24"/>
          <w:szCs w:val="24"/>
        </w:rPr>
        <w:t xml:space="preserve"> prezintă o nouă metodă de calculare a emisiilor generate de transportul rutier.</w:t>
      </w:r>
    </w:p>
    <w:p w14:paraId="3843E352" w14:textId="77777777" w:rsidR="0030027B" w:rsidRPr="00EA1BB2" w:rsidRDefault="0030027B" w:rsidP="0030027B">
      <w:pPr>
        <w:autoSpaceDE w:val="0"/>
        <w:autoSpaceDN w:val="0"/>
        <w:adjustRightInd w:val="0"/>
        <w:spacing w:line="360" w:lineRule="auto"/>
        <w:ind w:firstLine="709"/>
        <w:jc w:val="both"/>
        <w:rPr>
          <w:rFonts w:ascii="Cambria" w:eastAsia="Calibri" w:hAnsi="Cambria" w:cs="Times New Roman"/>
          <w:sz w:val="24"/>
          <w:szCs w:val="24"/>
        </w:rPr>
      </w:pPr>
      <w:r w:rsidRPr="00EA1BB2">
        <w:rPr>
          <w:rFonts w:ascii="Cambria" w:eastAsia="Calibri" w:hAnsi="Cambria" w:cs="Times New Roman"/>
          <w:sz w:val="24"/>
          <w:szCs w:val="24"/>
        </w:rPr>
        <w:t>Astfel, în cazul proiectului propus, evaluarea emisiilor generate s-a realizat aplicând metodele de estimare a emisiilor pentru următoarele activități:</w:t>
      </w:r>
    </w:p>
    <w:p w14:paraId="1F74A2DF" w14:textId="77777777" w:rsidR="0030027B" w:rsidRPr="00EA1BB2" w:rsidRDefault="0030027B" w:rsidP="00993575">
      <w:pPr>
        <w:numPr>
          <w:ilvl w:val="0"/>
          <w:numId w:val="57"/>
        </w:numPr>
        <w:spacing w:after="160" w:line="360" w:lineRule="auto"/>
        <w:ind w:left="714" w:hanging="357"/>
        <w:contextualSpacing/>
        <w:rPr>
          <w:rFonts w:ascii="Cambria" w:eastAsia="Calibri" w:hAnsi="Cambria" w:cs="Times New Roman"/>
          <w:b/>
          <w:sz w:val="24"/>
          <w:szCs w:val="24"/>
        </w:rPr>
      </w:pPr>
      <w:r w:rsidRPr="00EA1BB2">
        <w:rPr>
          <w:rFonts w:ascii="Cambria" w:eastAsia="Calibri" w:hAnsi="Cambria" w:cs="Times New Roman"/>
          <w:b/>
          <w:sz w:val="24"/>
          <w:szCs w:val="24"/>
        </w:rPr>
        <w:t>1.A.3 – Transport;</w:t>
      </w:r>
    </w:p>
    <w:p w14:paraId="589915EF" w14:textId="77777777" w:rsidR="0030027B" w:rsidRPr="00EA1BB2" w:rsidRDefault="0030027B" w:rsidP="00993575">
      <w:pPr>
        <w:numPr>
          <w:ilvl w:val="0"/>
          <w:numId w:val="57"/>
        </w:numPr>
        <w:spacing w:after="160" w:line="360" w:lineRule="auto"/>
        <w:ind w:left="714" w:hanging="357"/>
        <w:contextualSpacing/>
        <w:rPr>
          <w:rFonts w:ascii="Cambria" w:eastAsia="Calibri" w:hAnsi="Cambria" w:cs="Times New Roman"/>
          <w:sz w:val="24"/>
          <w:szCs w:val="24"/>
        </w:rPr>
      </w:pPr>
      <w:r w:rsidRPr="00EA1BB2">
        <w:rPr>
          <w:rFonts w:ascii="Cambria" w:eastAsia="Calibri" w:hAnsi="Cambria" w:cs="Times New Roman"/>
          <w:sz w:val="24"/>
          <w:szCs w:val="24"/>
        </w:rPr>
        <w:t>1.A.3.b -Transport rutier;</w:t>
      </w:r>
    </w:p>
    <w:p w14:paraId="03EB5243" w14:textId="77777777" w:rsidR="0030027B" w:rsidRPr="00EA1BB2" w:rsidRDefault="0030027B" w:rsidP="00993575">
      <w:pPr>
        <w:numPr>
          <w:ilvl w:val="0"/>
          <w:numId w:val="57"/>
        </w:numPr>
        <w:spacing w:after="160" w:line="360" w:lineRule="auto"/>
        <w:ind w:left="714" w:hanging="357"/>
        <w:contextualSpacing/>
        <w:rPr>
          <w:rFonts w:ascii="Cambria" w:eastAsia="Calibri" w:hAnsi="Cambria" w:cs="Times New Roman"/>
          <w:sz w:val="24"/>
          <w:szCs w:val="24"/>
        </w:rPr>
      </w:pPr>
      <w:r w:rsidRPr="00EA1BB2">
        <w:rPr>
          <w:rFonts w:ascii="Cambria" w:eastAsia="Calibri" w:hAnsi="Cambria" w:cs="Times New Roman"/>
          <w:sz w:val="24"/>
          <w:szCs w:val="24"/>
        </w:rPr>
        <w:t>1.A.3.b.i - Transport rutier - Autoturisme;</w:t>
      </w:r>
    </w:p>
    <w:p w14:paraId="75BF7F0C" w14:textId="77777777" w:rsidR="0030027B" w:rsidRPr="00EA1BB2" w:rsidRDefault="0030027B" w:rsidP="00993575">
      <w:pPr>
        <w:numPr>
          <w:ilvl w:val="0"/>
          <w:numId w:val="57"/>
        </w:numPr>
        <w:autoSpaceDE w:val="0"/>
        <w:autoSpaceDN w:val="0"/>
        <w:adjustRightInd w:val="0"/>
        <w:spacing w:after="160" w:line="360" w:lineRule="auto"/>
        <w:ind w:left="714" w:hanging="357"/>
        <w:contextualSpacing/>
        <w:jc w:val="both"/>
        <w:rPr>
          <w:rFonts w:ascii="Cambria" w:eastAsia="Calibri" w:hAnsi="Cambria" w:cs="Times New Roman"/>
          <w:sz w:val="24"/>
          <w:szCs w:val="24"/>
        </w:rPr>
      </w:pPr>
      <w:r w:rsidRPr="00EA1BB2">
        <w:rPr>
          <w:rFonts w:ascii="Cambria" w:eastAsia="Calibri" w:hAnsi="Cambria" w:cs="Times New Roman"/>
          <w:sz w:val="24"/>
          <w:szCs w:val="24"/>
        </w:rPr>
        <w:t>1.A.3.b.ii - Transport rutier - Autoutilitare;</w:t>
      </w:r>
    </w:p>
    <w:p w14:paraId="4E79DDBA" w14:textId="77777777" w:rsidR="0030027B" w:rsidRPr="00EA1BB2" w:rsidRDefault="0030027B" w:rsidP="00993575">
      <w:pPr>
        <w:numPr>
          <w:ilvl w:val="0"/>
          <w:numId w:val="57"/>
        </w:numPr>
        <w:spacing w:after="160" w:line="360" w:lineRule="auto"/>
        <w:ind w:left="714" w:hanging="357"/>
        <w:contextualSpacing/>
        <w:rPr>
          <w:rFonts w:ascii="Cambria" w:eastAsia="Calibri" w:hAnsi="Cambria" w:cs="Times New Roman"/>
          <w:sz w:val="24"/>
          <w:szCs w:val="24"/>
        </w:rPr>
      </w:pPr>
      <w:r w:rsidRPr="00EA1BB2">
        <w:rPr>
          <w:rFonts w:ascii="Cambria" w:eastAsia="Calibri" w:hAnsi="Cambria" w:cs="Times New Roman"/>
          <w:sz w:val="24"/>
          <w:szCs w:val="24"/>
        </w:rPr>
        <w:t>1.A.3.b.iii- Transport rutier - Autovehicule grele incluzând și autobuze.</w:t>
      </w:r>
    </w:p>
    <w:p w14:paraId="343C17D7" w14:textId="77777777" w:rsidR="0030027B" w:rsidRPr="00EA1BB2" w:rsidRDefault="0030027B" w:rsidP="0030027B">
      <w:pPr>
        <w:tabs>
          <w:tab w:val="left" w:pos="567"/>
        </w:tabs>
        <w:spacing w:line="360" w:lineRule="auto"/>
        <w:ind w:firstLine="709"/>
        <w:jc w:val="both"/>
        <w:rPr>
          <w:rFonts w:ascii="Cambria" w:eastAsia="Calibri" w:hAnsi="Cambria" w:cs="Times New Roman"/>
          <w:sz w:val="24"/>
          <w:szCs w:val="24"/>
        </w:rPr>
      </w:pPr>
      <w:r w:rsidRPr="00EA1BB2">
        <w:rPr>
          <w:rFonts w:ascii="Cambria" w:eastAsia="Calibri" w:hAnsi="Cambria" w:cs="Times New Roman"/>
          <w:sz w:val="24"/>
          <w:szCs w:val="24"/>
        </w:rPr>
        <w:t>Metodele aplică relații liniare simple între datele de activitate și factorii de emisie. Datele de activitate sunt derivate din informațiile statistice disponibile (statisticile în domeniul consumului de energie, date ale flotelor, date cu privire la controlul traficului etc.).</w:t>
      </w:r>
    </w:p>
    <w:p w14:paraId="006B62D5" w14:textId="77777777" w:rsidR="0030027B" w:rsidRPr="00EA1BB2" w:rsidRDefault="0030027B" w:rsidP="0030027B">
      <w:pPr>
        <w:tabs>
          <w:tab w:val="left" w:pos="540"/>
        </w:tabs>
        <w:spacing w:line="360" w:lineRule="auto"/>
        <w:ind w:firstLine="634"/>
        <w:jc w:val="both"/>
        <w:rPr>
          <w:rFonts w:ascii="Cambria" w:eastAsia="Calibri" w:hAnsi="Cambria" w:cs="Times New Roman"/>
          <w:b/>
          <w:sz w:val="24"/>
          <w:szCs w:val="24"/>
        </w:rPr>
      </w:pPr>
    </w:p>
    <w:p w14:paraId="32BB430C" w14:textId="77777777" w:rsidR="0030027B" w:rsidRPr="00EA1BB2" w:rsidRDefault="0030027B" w:rsidP="00993575">
      <w:pPr>
        <w:numPr>
          <w:ilvl w:val="0"/>
          <w:numId w:val="56"/>
        </w:numPr>
        <w:spacing w:after="160" w:line="360" w:lineRule="auto"/>
        <w:ind w:hanging="513"/>
        <w:contextualSpacing/>
        <w:jc w:val="both"/>
        <w:rPr>
          <w:rFonts w:ascii="Cambria" w:eastAsia="Calibri" w:hAnsi="Cambria" w:cs="Times New Roman"/>
          <w:sz w:val="24"/>
          <w:szCs w:val="24"/>
        </w:rPr>
      </w:pPr>
      <w:r w:rsidRPr="00EA1BB2">
        <w:rPr>
          <w:rFonts w:ascii="Cambria" w:eastAsia="Calibri" w:hAnsi="Cambria" w:cs="Times New Roman"/>
          <w:b/>
          <w:sz w:val="24"/>
          <w:szCs w:val="24"/>
        </w:rPr>
        <w:t>Algoritmul de calcul al emisiilor de gaze provenite din transporturile rutiere pe baza consumului specific</w:t>
      </w:r>
    </w:p>
    <w:p w14:paraId="5507E9A4" w14:textId="77777777" w:rsidR="0030027B" w:rsidRPr="00EA1BB2" w:rsidRDefault="0030027B" w:rsidP="0030027B">
      <w:pPr>
        <w:tabs>
          <w:tab w:val="left" w:pos="567"/>
        </w:tabs>
        <w:spacing w:line="360" w:lineRule="auto"/>
        <w:rPr>
          <w:rFonts w:ascii="Cambria" w:eastAsia="Calibri" w:hAnsi="Cambria" w:cs="Times New Roman"/>
          <w:color w:val="000000"/>
          <w:sz w:val="24"/>
          <w:szCs w:val="24"/>
        </w:rPr>
      </w:pPr>
      <w:r w:rsidRPr="00EA1BB2">
        <w:rPr>
          <w:rFonts w:ascii="Cambria" w:eastAsia="Calibri" w:hAnsi="Cambria" w:cs="Times New Roman"/>
          <w:color w:val="000000"/>
          <w:sz w:val="24"/>
          <w:szCs w:val="24"/>
        </w:rPr>
        <w:tab/>
        <w:t>Calculul emisiilor de gaze din transporturi se face cu ajutorul următoarei formule generale:</w:t>
      </w:r>
    </w:p>
    <w:p w14:paraId="2B9B2C75" w14:textId="77777777" w:rsidR="0030027B" w:rsidRPr="00EA1BB2" w:rsidRDefault="009A1372" w:rsidP="0030027B">
      <w:pPr>
        <w:tabs>
          <w:tab w:val="left" w:pos="900"/>
        </w:tabs>
        <w:spacing w:line="360" w:lineRule="auto"/>
        <w:ind w:left="360"/>
        <w:jc w:val="center"/>
        <w:rPr>
          <w:rFonts w:ascii="Cambria" w:eastAsia="Calibri" w:hAnsi="Cambria" w:cs="Times New Roman"/>
          <w:color w:val="000000"/>
          <w:sz w:val="24"/>
          <w:szCs w:val="24"/>
        </w:rPr>
      </w:pPr>
      <m:oMath>
        <m:sSub>
          <m:sSubPr>
            <m:ctrlPr>
              <w:rPr>
                <w:rFonts w:ascii="Cambria Math" w:eastAsia="Calibri" w:hAnsi="Cambria Math" w:cs="Times New Roman"/>
                <w:b/>
                <w:color w:val="000000"/>
                <w:sz w:val="24"/>
                <w:szCs w:val="24"/>
              </w:rPr>
            </m:ctrlPr>
          </m:sSubPr>
          <m:e>
            <m:r>
              <m:rPr>
                <m:sty m:val="b"/>
              </m:rPr>
              <w:rPr>
                <w:rFonts w:ascii="Cambria Math" w:eastAsia="Calibri" w:hAnsi="Cambria Math" w:cs="Times New Roman"/>
                <w:color w:val="000000"/>
                <w:sz w:val="24"/>
                <w:szCs w:val="24"/>
              </w:rPr>
              <m:t>E</m:t>
            </m:r>
          </m:e>
          <m:sub>
            <m:r>
              <m:rPr>
                <m:sty m:val="b"/>
              </m:rPr>
              <w:rPr>
                <w:rFonts w:ascii="Cambria Math" w:eastAsia="Calibri" w:hAnsi="Cambria Math" w:cs="Times New Roman"/>
                <w:color w:val="000000"/>
                <w:sz w:val="24"/>
                <w:szCs w:val="24"/>
              </w:rPr>
              <m:t>i</m:t>
            </m:r>
          </m:sub>
        </m:sSub>
        <m:r>
          <m:rPr>
            <m:sty m:val="b"/>
          </m:rPr>
          <w:rPr>
            <w:rFonts w:ascii="Cambria Math" w:eastAsia="Calibri" w:hAnsi="Cambria Math" w:cs="Times New Roman"/>
            <w:color w:val="000000"/>
            <w:sz w:val="24"/>
            <w:szCs w:val="24"/>
          </w:rPr>
          <m:t>=</m:t>
        </m:r>
        <m:nary>
          <m:naryPr>
            <m:chr m:val="∑"/>
            <m:limLoc m:val="subSup"/>
            <m:supHide m:val="1"/>
            <m:ctrlPr>
              <w:rPr>
                <w:rFonts w:ascii="Cambria Math" w:eastAsia="Calibri" w:hAnsi="Cambria Math" w:cs="Times New Roman"/>
                <w:b/>
                <w:color w:val="000000"/>
                <w:sz w:val="24"/>
                <w:szCs w:val="24"/>
              </w:rPr>
            </m:ctrlPr>
          </m:naryPr>
          <m:sub>
            <m:r>
              <m:rPr>
                <m:sty m:val="b"/>
              </m:rPr>
              <w:rPr>
                <w:rFonts w:ascii="Cambria Math" w:eastAsia="Calibri" w:hAnsi="Cambria Math" w:cs="Times New Roman"/>
                <w:color w:val="000000"/>
                <w:sz w:val="24"/>
                <w:szCs w:val="24"/>
              </w:rPr>
              <m:t>j</m:t>
            </m:r>
          </m:sub>
          <m:sup/>
          <m:e>
            <m:d>
              <m:dPr>
                <m:ctrlPr>
                  <w:rPr>
                    <w:rFonts w:ascii="Cambria Math" w:eastAsia="Calibri" w:hAnsi="Cambria Math" w:cs="Times New Roman"/>
                    <w:b/>
                    <w:color w:val="000000"/>
                    <w:sz w:val="24"/>
                    <w:szCs w:val="24"/>
                  </w:rPr>
                </m:ctrlPr>
              </m:dPr>
              <m:e>
                <m:nary>
                  <m:naryPr>
                    <m:chr m:val="∑"/>
                    <m:limLoc m:val="subSup"/>
                    <m:supHide m:val="1"/>
                    <m:ctrlPr>
                      <w:rPr>
                        <w:rFonts w:ascii="Cambria Math" w:eastAsia="Calibri" w:hAnsi="Cambria Math" w:cs="Times New Roman"/>
                        <w:b/>
                        <w:color w:val="000000"/>
                        <w:sz w:val="24"/>
                        <w:szCs w:val="24"/>
                      </w:rPr>
                    </m:ctrlPr>
                  </m:naryPr>
                  <m:sub>
                    <m:r>
                      <m:rPr>
                        <m:sty m:val="b"/>
                      </m:rPr>
                      <w:rPr>
                        <w:rFonts w:ascii="Cambria Math" w:eastAsia="Calibri" w:hAnsi="Cambria Math" w:cs="Times New Roman"/>
                        <w:color w:val="000000"/>
                        <w:sz w:val="24"/>
                        <w:szCs w:val="24"/>
                      </w:rPr>
                      <m:t>m</m:t>
                    </m:r>
                  </m:sub>
                  <m:sup/>
                  <m:e>
                    <m:d>
                      <m:dPr>
                        <m:ctrlPr>
                          <w:rPr>
                            <w:rFonts w:ascii="Cambria Math" w:eastAsia="Calibri" w:hAnsi="Cambria Math" w:cs="Times New Roman"/>
                            <w:b/>
                            <w:color w:val="000000"/>
                            <w:sz w:val="24"/>
                            <w:szCs w:val="24"/>
                          </w:rPr>
                        </m:ctrlPr>
                      </m:dPr>
                      <m:e>
                        <m:sSub>
                          <m:sSubPr>
                            <m:ctrlPr>
                              <w:rPr>
                                <w:rFonts w:ascii="Cambria Math" w:eastAsia="Calibri" w:hAnsi="Cambria Math" w:cs="Times New Roman"/>
                                <w:b/>
                                <w:color w:val="000000"/>
                                <w:sz w:val="24"/>
                                <w:szCs w:val="24"/>
                              </w:rPr>
                            </m:ctrlPr>
                          </m:sSubPr>
                          <m:e>
                            <m:r>
                              <m:rPr>
                                <m:sty m:val="b"/>
                              </m:rPr>
                              <w:rPr>
                                <w:rFonts w:ascii="Cambria Math" w:eastAsia="Calibri" w:hAnsi="Cambria Math" w:cs="Times New Roman"/>
                                <w:color w:val="000000"/>
                                <w:sz w:val="24"/>
                                <w:szCs w:val="24"/>
                              </w:rPr>
                              <m:t>FC</m:t>
                            </m:r>
                          </m:e>
                          <m:sub>
                            <m:r>
                              <m:rPr>
                                <m:sty m:val="b"/>
                              </m:rPr>
                              <w:rPr>
                                <w:rFonts w:ascii="Cambria Math" w:eastAsia="Calibri" w:hAnsi="Cambria Math" w:cs="Times New Roman"/>
                                <w:color w:val="000000"/>
                                <w:sz w:val="24"/>
                                <w:szCs w:val="24"/>
                              </w:rPr>
                              <m:t>j,m</m:t>
                            </m:r>
                          </m:sub>
                        </m:sSub>
                        <m:r>
                          <m:rPr>
                            <m:sty m:val="b"/>
                          </m:rPr>
                          <w:rPr>
                            <w:rFonts w:ascii="Cambria Math" w:eastAsia="Calibri" w:hAnsi="Cambria Math" w:cs="Times New Roman"/>
                            <w:color w:val="000000"/>
                            <w:sz w:val="24"/>
                            <w:szCs w:val="24"/>
                          </w:rPr>
                          <m:t>×</m:t>
                        </m:r>
                        <m:sSub>
                          <m:sSubPr>
                            <m:ctrlPr>
                              <w:rPr>
                                <w:rFonts w:ascii="Cambria Math" w:eastAsia="Calibri" w:hAnsi="Cambria Math" w:cs="Times New Roman"/>
                                <w:b/>
                                <w:color w:val="000000"/>
                                <w:sz w:val="24"/>
                                <w:szCs w:val="24"/>
                              </w:rPr>
                            </m:ctrlPr>
                          </m:sSubPr>
                          <m:e>
                            <m:r>
                              <m:rPr>
                                <m:sty m:val="b"/>
                              </m:rPr>
                              <w:rPr>
                                <w:rFonts w:ascii="Cambria Math" w:eastAsia="Calibri" w:hAnsi="Cambria Math" w:cs="Times New Roman"/>
                                <w:color w:val="000000"/>
                                <w:sz w:val="24"/>
                                <w:szCs w:val="24"/>
                              </w:rPr>
                              <m:t>EF</m:t>
                            </m:r>
                          </m:e>
                          <m:sub>
                            <m:r>
                              <m:rPr>
                                <m:sty m:val="b"/>
                              </m:rPr>
                              <w:rPr>
                                <w:rFonts w:ascii="Cambria Math" w:eastAsia="Calibri" w:hAnsi="Cambria Math" w:cs="Times New Roman"/>
                                <w:color w:val="000000"/>
                                <w:sz w:val="24"/>
                                <w:szCs w:val="24"/>
                              </w:rPr>
                              <m:t>i,j,m</m:t>
                            </m:r>
                          </m:sub>
                        </m:sSub>
                      </m:e>
                    </m:d>
                  </m:e>
                </m:nary>
              </m:e>
            </m:d>
          </m:e>
        </m:nary>
      </m:oMath>
      <w:r w:rsidR="0030027B" w:rsidRPr="00EA1BB2">
        <w:rPr>
          <w:rFonts w:ascii="Cambria" w:eastAsia="Calibri" w:hAnsi="Cambria" w:cs="Times New Roman"/>
          <w:b/>
          <w:color w:val="000000"/>
          <w:sz w:val="24"/>
          <w:szCs w:val="24"/>
        </w:rPr>
        <w:t>[3]</w:t>
      </w:r>
    </w:p>
    <w:p w14:paraId="7B0547A3" w14:textId="77777777" w:rsidR="0030027B" w:rsidRPr="00EA1BB2" w:rsidRDefault="0030027B" w:rsidP="0030027B">
      <w:pPr>
        <w:tabs>
          <w:tab w:val="left" w:pos="900"/>
        </w:tabs>
        <w:spacing w:line="360" w:lineRule="auto"/>
        <w:ind w:left="360"/>
        <w:rPr>
          <w:rFonts w:ascii="Cambria" w:eastAsia="Calibri" w:hAnsi="Cambria" w:cs="Times New Roman"/>
          <w:color w:val="000000"/>
          <w:sz w:val="24"/>
          <w:szCs w:val="24"/>
        </w:rPr>
      </w:pPr>
      <w:r w:rsidRPr="00EA1BB2">
        <w:rPr>
          <w:rFonts w:ascii="Cambria" w:eastAsia="Calibri" w:hAnsi="Cambria" w:cs="Times New Roman"/>
          <w:color w:val="000000"/>
          <w:sz w:val="24"/>
          <w:szCs w:val="24"/>
        </w:rPr>
        <w:t>unde:</w:t>
      </w:r>
    </w:p>
    <w:p w14:paraId="149A2ED4" w14:textId="77777777" w:rsidR="0030027B" w:rsidRPr="00EA1BB2" w:rsidRDefault="0030027B" w:rsidP="0030027B">
      <w:pPr>
        <w:tabs>
          <w:tab w:val="left" w:pos="900"/>
        </w:tabs>
        <w:spacing w:line="360" w:lineRule="auto"/>
        <w:ind w:left="360"/>
        <w:rPr>
          <w:rFonts w:ascii="Cambria" w:eastAsia="Calibri" w:hAnsi="Cambria" w:cs="Times New Roman"/>
          <w:color w:val="000000"/>
          <w:sz w:val="24"/>
          <w:szCs w:val="24"/>
        </w:rPr>
      </w:pPr>
      <w:r w:rsidRPr="00EA1BB2">
        <w:rPr>
          <w:rFonts w:ascii="Cambria" w:eastAsia="Calibri" w:hAnsi="Cambria" w:cs="Times New Roman"/>
          <w:color w:val="000000"/>
          <w:sz w:val="24"/>
          <w:szCs w:val="24"/>
        </w:rPr>
        <w:t>E</w:t>
      </w:r>
      <w:r w:rsidRPr="00EA1BB2">
        <w:rPr>
          <w:rFonts w:ascii="Cambria" w:eastAsia="Calibri" w:hAnsi="Cambria" w:cs="Times New Roman"/>
          <w:color w:val="000000"/>
          <w:sz w:val="24"/>
          <w:szCs w:val="24"/>
          <w:vertAlign w:val="subscript"/>
        </w:rPr>
        <w:t>i</w:t>
      </w:r>
      <w:r w:rsidRPr="00EA1BB2">
        <w:rPr>
          <w:rFonts w:ascii="Cambria" w:eastAsia="Calibri" w:hAnsi="Cambria" w:cs="Times New Roman"/>
          <w:color w:val="000000"/>
          <w:sz w:val="24"/>
          <w:szCs w:val="24"/>
        </w:rPr>
        <w:t xml:space="preserve"> – emisia poluantului </w:t>
      </w:r>
      <w:r w:rsidRPr="00EA1BB2">
        <w:rPr>
          <w:rFonts w:ascii="Cambria" w:eastAsia="Calibri" w:hAnsi="Cambria" w:cs="Times New Roman"/>
          <w:i/>
          <w:color w:val="000000"/>
          <w:sz w:val="24"/>
          <w:szCs w:val="24"/>
        </w:rPr>
        <w:t xml:space="preserve">i </w:t>
      </w:r>
      <w:r w:rsidRPr="00EA1BB2">
        <w:rPr>
          <w:rFonts w:ascii="Cambria" w:eastAsia="Calibri" w:hAnsi="Cambria" w:cs="Times New Roman"/>
          <w:color w:val="000000"/>
          <w:sz w:val="24"/>
          <w:szCs w:val="24"/>
        </w:rPr>
        <w:t>[g],</w:t>
      </w:r>
    </w:p>
    <w:p w14:paraId="7A03432B" w14:textId="77777777" w:rsidR="0030027B" w:rsidRPr="00EA1BB2" w:rsidRDefault="0030027B" w:rsidP="00FA25D2">
      <w:pPr>
        <w:tabs>
          <w:tab w:val="left" w:pos="900"/>
        </w:tabs>
        <w:spacing w:line="360" w:lineRule="auto"/>
        <w:ind w:left="360"/>
        <w:jc w:val="both"/>
        <w:rPr>
          <w:rFonts w:ascii="Cambria" w:eastAsia="Calibri" w:hAnsi="Cambria" w:cs="Times New Roman"/>
          <w:color w:val="000000"/>
          <w:sz w:val="24"/>
          <w:szCs w:val="24"/>
        </w:rPr>
      </w:pPr>
      <w:r w:rsidRPr="00EA1BB2">
        <w:rPr>
          <w:rFonts w:ascii="Cambria" w:eastAsia="Calibri" w:hAnsi="Cambria" w:cs="Times New Roman"/>
          <w:color w:val="000000"/>
          <w:sz w:val="24"/>
          <w:szCs w:val="24"/>
        </w:rPr>
        <w:t>FC</w:t>
      </w:r>
      <w:r w:rsidR="006E0070" w:rsidRPr="00EA1BB2">
        <w:rPr>
          <w:rFonts w:ascii="Cambria" w:eastAsia="Calibri" w:hAnsi="Cambria" w:cs="Times New Roman"/>
          <w:color w:val="000000"/>
          <w:sz w:val="24"/>
          <w:szCs w:val="24"/>
          <w:vertAlign w:val="subscript"/>
        </w:rPr>
        <w:t>j</w:t>
      </w:r>
      <w:r w:rsidR="00FA25D2" w:rsidRPr="00EA1BB2">
        <w:rPr>
          <w:rFonts w:ascii="Cambria" w:eastAsia="Calibri" w:hAnsi="Cambria" w:cs="Times New Roman"/>
          <w:color w:val="000000"/>
          <w:sz w:val="24"/>
          <w:szCs w:val="24"/>
          <w:vertAlign w:val="subscript"/>
        </w:rPr>
        <w:t>,m</w:t>
      </w:r>
      <w:r w:rsidRPr="00EA1BB2">
        <w:rPr>
          <w:rFonts w:ascii="Cambria" w:eastAsia="Calibri" w:hAnsi="Cambria" w:cs="Times New Roman"/>
          <w:color w:val="000000"/>
          <w:sz w:val="24"/>
          <w:szCs w:val="24"/>
        </w:rPr>
        <w:t xml:space="preserve"> – consumul de carburant al categoriei de vehicul </w:t>
      </w:r>
      <w:r w:rsidRPr="00EA1BB2">
        <w:rPr>
          <w:rFonts w:ascii="Cambria" w:eastAsia="Calibri" w:hAnsi="Cambria" w:cs="Times New Roman"/>
          <w:i/>
          <w:color w:val="000000"/>
          <w:sz w:val="24"/>
          <w:szCs w:val="24"/>
        </w:rPr>
        <w:t>j</w:t>
      </w:r>
      <w:r w:rsidRPr="00EA1BB2">
        <w:rPr>
          <w:rFonts w:ascii="Cambria" w:eastAsia="Calibri" w:hAnsi="Cambria" w:cs="Times New Roman"/>
          <w:color w:val="000000"/>
          <w:sz w:val="24"/>
          <w:szCs w:val="24"/>
        </w:rPr>
        <w:t xml:space="preserve"> utilizând combustibilul </w:t>
      </w:r>
      <w:r w:rsidRPr="00EA1BB2">
        <w:rPr>
          <w:rFonts w:ascii="Cambria" w:eastAsia="Calibri" w:hAnsi="Cambria" w:cs="Times New Roman"/>
          <w:i/>
          <w:color w:val="000000"/>
          <w:sz w:val="24"/>
          <w:szCs w:val="24"/>
        </w:rPr>
        <w:t>m</w:t>
      </w:r>
      <w:r w:rsidRPr="00EA1BB2">
        <w:rPr>
          <w:rFonts w:ascii="Cambria" w:eastAsia="Calibri" w:hAnsi="Cambria" w:cs="Times New Roman"/>
          <w:color w:val="000000"/>
          <w:sz w:val="24"/>
          <w:szCs w:val="24"/>
        </w:rPr>
        <w:t xml:space="preserve"> [kg],</w:t>
      </w:r>
    </w:p>
    <w:p w14:paraId="6A34C5C0" w14:textId="77777777" w:rsidR="0030027B" w:rsidRPr="00EA1BB2" w:rsidRDefault="0030027B" w:rsidP="00FA25D2">
      <w:pPr>
        <w:tabs>
          <w:tab w:val="left" w:pos="900"/>
        </w:tabs>
        <w:spacing w:line="360" w:lineRule="auto"/>
        <w:ind w:left="360"/>
        <w:jc w:val="both"/>
        <w:rPr>
          <w:rFonts w:ascii="Cambria" w:eastAsia="Calibri" w:hAnsi="Cambria" w:cs="Times New Roman"/>
          <w:color w:val="000000"/>
          <w:sz w:val="24"/>
          <w:szCs w:val="24"/>
        </w:rPr>
      </w:pPr>
      <w:r w:rsidRPr="00EA1BB2">
        <w:rPr>
          <w:rFonts w:ascii="Cambria" w:eastAsia="Calibri" w:hAnsi="Cambria" w:cs="Times New Roman"/>
          <w:color w:val="000000"/>
          <w:sz w:val="24"/>
          <w:szCs w:val="24"/>
        </w:rPr>
        <w:t>EF</w:t>
      </w:r>
      <w:r w:rsidR="006E0070" w:rsidRPr="00EA1BB2">
        <w:rPr>
          <w:rFonts w:ascii="Cambria" w:eastAsia="Calibri" w:hAnsi="Cambria" w:cs="Times New Roman"/>
          <w:color w:val="000000"/>
          <w:sz w:val="24"/>
          <w:szCs w:val="24"/>
          <w:vertAlign w:val="subscript"/>
        </w:rPr>
        <w:t>i,</w:t>
      </w:r>
      <w:r w:rsidRPr="00EA1BB2">
        <w:rPr>
          <w:rFonts w:ascii="Cambria" w:eastAsia="Calibri" w:hAnsi="Cambria" w:cs="Times New Roman"/>
          <w:color w:val="000000"/>
          <w:sz w:val="24"/>
          <w:szCs w:val="24"/>
          <w:vertAlign w:val="subscript"/>
        </w:rPr>
        <w:t xml:space="preserve">j,m </w:t>
      </w:r>
      <w:r w:rsidRPr="00EA1BB2">
        <w:rPr>
          <w:rFonts w:ascii="Cambria" w:eastAsia="Calibri" w:hAnsi="Cambria" w:cs="Times New Roman"/>
          <w:color w:val="000000"/>
          <w:sz w:val="24"/>
          <w:szCs w:val="24"/>
        </w:rPr>
        <w:t xml:space="preserve">- consumul de carburant specific factorului de emisie i pentru categoria de vehicul </w:t>
      </w:r>
      <w:r w:rsidRPr="00EA1BB2">
        <w:rPr>
          <w:rFonts w:ascii="Cambria" w:eastAsia="Calibri" w:hAnsi="Cambria" w:cs="Times New Roman"/>
          <w:i/>
          <w:color w:val="000000"/>
          <w:sz w:val="24"/>
          <w:szCs w:val="24"/>
        </w:rPr>
        <w:t>j</w:t>
      </w:r>
      <w:r w:rsidRPr="00EA1BB2">
        <w:rPr>
          <w:rFonts w:ascii="Cambria" w:eastAsia="Calibri" w:hAnsi="Cambria" w:cs="Times New Roman"/>
          <w:color w:val="000000"/>
          <w:sz w:val="24"/>
          <w:szCs w:val="24"/>
        </w:rPr>
        <w:t xml:space="preserve"> și combustibilul </w:t>
      </w:r>
      <w:r w:rsidRPr="00EA1BB2">
        <w:rPr>
          <w:rFonts w:ascii="Cambria" w:eastAsia="Calibri" w:hAnsi="Cambria" w:cs="Times New Roman"/>
          <w:i/>
          <w:color w:val="000000"/>
          <w:sz w:val="24"/>
          <w:szCs w:val="24"/>
        </w:rPr>
        <w:t>m</w:t>
      </w:r>
      <w:r w:rsidRPr="00EA1BB2">
        <w:rPr>
          <w:rFonts w:ascii="Cambria" w:eastAsia="Calibri" w:hAnsi="Cambria" w:cs="Times New Roman"/>
          <w:color w:val="000000"/>
          <w:sz w:val="24"/>
          <w:szCs w:val="24"/>
        </w:rPr>
        <w:t xml:space="preserve"> [g/kg],</w:t>
      </w:r>
    </w:p>
    <w:p w14:paraId="05933DC8" w14:textId="77777777" w:rsidR="0030027B" w:rsidRPr="00EA1BB2" w:rsidRDefault="0030027B" w:rsidP="0030027B">
      <w:pPr>
        <w:tabs>
          <w:tab w:val="left" w:pos="567"/>
        </w:tabs>
        <w:spacing w:line="360" w:lineRule="auto"/>
        <w:ind w:firstLine="709"/>
        <w:jc w:val="both"/>
        <w:rPr>
          <w:rFonts w:ascii="Cambria" w:eastAsia="Calibri" w:hAnsi="Cambria" w:cs="Times New Roman"/>
          <w:color w:val="000000"/>
          <w:sz w:val="24"/>
          <w:szCs w:val="24"/>
        </w:rPr>
      </w:pPr>
      <w:r w:rsidRPr="00EA1BB2">
        <w:rPr>
          <w:rFonts w:ascii="Cambria" w:eastAsia="Calibri" w:hAnsi="Cambria" w:cs="Times New Roman"/>
          <w:color w:val="000000"/>
          <w:sz w:val="24"/>
          <w:szCs w:val="24"/>
        </w:rPr>
        <w:t>Categoriile de vehicule care se iau în considerare sunt autobuze și microbuze ce utilizează motorina drept combustibil. Ecuația necesită ca statisticile privind consumul/vânzarea de combustibil să fie defalcate pe categorii de vehicule, dar statisticile naționale nu furnizează aceste detalii.</w:t>
      </w:r>
    </w:p>
    <w:p w14:paraId="7CB5CBC3" w14:textId="77777777" w:rsidR="0030027B" w:rsidRPr="00EA1BB2" w:rsidRDefault="0030027B" w:rsidP="0030027B">
      <w:pPr>
        <w:tabs>
          <w:tab w:val="left" w:pos="720"/>
        </w:tabs>
        <w:spacing w:line="360" w:lineRule="auto"/>
        <w:rPr>
          <w:rFonts w:ascii="Cambria" w:eastAsia="Calibri" w:hAnsi="Cambria" w:cs="Times New Roman"/>
          <w:b/>
          <w:sz w:val="24"/>
          <w:szCs w:val="24"/>
        </w:rPr>
      </w:pPr>
      <w:r w:rsidRPr="00EA1BB2">
        <w:rPr>
          <w:rFonts w:ascii="Cambria" w:eastAsia="Calibri" w:hAnsi="Cambria" w:cs="Times New Roman"/>
          <w:color w:val="000000"/>
          <w:sz w:val="24"/>
          <w:szCs w:val="24"/>
        </w:rPr>
        <w:tab/>
      </w:r>
    </w:p>
    <w:p w14:paraId="6556FB30" w14:textId="77777777" w:rsidR="0030027B" w:rsidRPr="00EA1BB2" w:rsidRDefault="0030027B" w:rsidP="00993575">
      <w:pPr>
        <w:numPr>
          <w:ilvl w:val="0"/>
          <w:numId w:val="56"/>
        </w:numPr>
        <w:spacing w:after="160" w:line="360" w:lineRule="auto"/>
        <w:ind w:hanging="513"/>
        <w:contextualSpacing/>
        <w:jc w:val="both"/>
        <w:rPr>
          <w:rFonts w:ascii="Cambria" w:eastAsia="Calibri" w:hAnsi="Cambria" w:cs="Times New Roman"/>
          <w:sz w:val="24"/>
          <w:szCs w:val="24"/>
        </w:rPr>
      </w:pPr>
      <w:r w:rsidRPr="00EA1BB2">
        <w:rPr>
          <w:rFonts w:ascii="Cambria" w:eastAsia="Calibri" w:hAnsi="Cambria" w:cs="Times New Roman"/>
          <w:b/>
          <w:sz w:val="24"/>
          <w:szCs w:val="24"/>
        </w:rPr>
        <w:lastRenderedPageBreak/>
        <w:t>Algoritmul de calcul al emisiilor de gaze provenite din transporturile rutiere pe baza distantei parcurse</w:t>
      </w:r>
    </w:p>
    <w:p w14:paraId="54EF4A4F" w14:textId="77777777" w:rsidR="0030027B" w:rsidRPr="00EA1BB2" w:rsidRDefault="0030027B" w:rsidP="0030027B">
      <w:pPr>
        <w:autoSpaceDE w:val="0"/>
        <w:autoSpaceDN w:val="0"/>
        <w:adjustRightInd w:val="0"/>
        <w:spacing w:line="360" w:lineRule="auto"/>
        <w:ind w:firstLine="709"/>
        <w:jc w:val="both"/>
        <w:rPr>
          <w:rFonts w:ascii="Cambria" w:eastAsia="Calibri" w:hAnsi="Cambria" w:cs="Times New Roman"/>
          <w:color w:val="000000"/>
          <w:sz w:val="24"/>
          <w:szCs w:val="24"/>
        </w:rPr>
      </w:pPr>
      <w:r w:rsidRPr="00EA1BB2">
        <w:rPr>
          <w:rFonts w:ascii="Cambria" w:eastAsia="Calibri" w:hAnsi="Cambria" w:cs="Times New Roman"/>
          <w:color w:val="000000"/>
          <w:sz w:val="24"/>
          <w:szCs w:val="24"/>
        </w:rPr>
        <w:t>Această metodă ia în calcul consumul de combustibilul pentru diferite categorii de vehicule precum și standardele lor de emisie. Prin urmare, cele două categorii de vehicule utilizate descrise în codul NFR</w:t>
      </w:r>
      <w:r w:rsidRPr="00EA1BB2">
        <w:rPr>
          <w:rFonts w:ascii="Cambria" w:eastAsia="Calibri" w:hAnsi="Cambria" w:cs="Times New Roman"/>
          <w:color w:val="000000"/>
          <w:sz w:val="24"/>
          <w:szCs w:val="24"/>
          <w:vertAlign w:val="superscript"/>
        </w:rPr>
        <w:footnoteReference w:id="32"/>
      </w:r>
      <w:r w:rsidRPr="00EA1BB2">
        <w:rPr>
          <w:rFonts w:ascii="Cambria" w:eastAsia="Calibri" w:hAnsi="Cambria" w:cs="Times New Roman"/>
          <w:color w:val="000000"/>
          <w:sz w:val="24"/>
          <w:szCs w:val="24"/>
        </w:rPr>
        <w:t xml:space="preserve"> 1.A.3.b.iii sunt împărțite în diferite clase de poluare, conform legislației privind controlul emisiilor de gaze.</w:t>
      </w:r>
    </w:p>
    <w:p w14:paraId="7B02ABC9" w14:textId="77777777" w:rsidR="0030027B" w:rsidRPr="00EA1BB2" w:rsidRDefault="0030027B" w:rsidP="0030027B">
      <w:pPr>
        <w:autoSpaceDE w:val="0"/>
        <w:autoSpaceDN w:val="0"/>
        <w:adjustRightInd w:val="0"/>
        <w:spacing w:line="360" w:lineRule="auto"/>
        <w:ind w:firstLine="709"/>
        <w:jc w:val="both"/>
        <w:rPr>
          <w:rFonts w:ascii="Cambria" w:eastAsia="Calibri" w:hAnsi="Cambria" w:cs="Times New Roman"/>
          <w:color w:val="000000"/>
          <w:sz w:val="24"/>
          <w:szCs w:val="24"/>
          <w:highlight w:val="yellow"/>
        </w:rPr>
      </w:pPr>
      <w:r w:rsidRPr="00EA1BB2">
        <w:rPr>
          <w:rFonts w:ascii="Cambria" w:eastAsia="Calibri" w:hAnsi="Cambria" w:cs="Times New Roman"/>
          <w:color w:val="000000"/>
          <w:sz w:val="24"/>
          <w:szCs w:val="24"/>
        </w:rPr>
        <w:t>Prin urmare, utilizatorul trebuie să ofere numărul de vehicule și kilometrajul anual pe clasă de poluare (sau numărul de vehicul-km pe clasă de poluare). Aceste date sunt multiplicate prin metoda factorilor de emisie.</w:t>
      </w:r>
    </w:p>
    <w:p w14:paraId="30853E39" w14:textId="77777777" w:rsidR="0030027B" w:rsidRPr="00EA1BB2" w:rsidRDefault="0030027B" w:rsidP="0030027B">
      <w:pPr>
        <w:tabs>
          <w:tab w:val="left" w:pos="567"/>
        </w:tabs>
        <w:autoSpaceDE w:val="0"/>
        <w:autoSpaceDN w:val="0"/>
        <w:adjustRightInd w:val="0"/>
        <w:spacing w:after="160" w:line="360" w:lineRule="auto"/>
        <w:ind w:firstLine="709"/>
        <w:rPr>
          <w:rFonts w:ascii="Cambria" w:eastAsia="Calibri" w:hAnsi="Cambria" w:cs="Times New Roman"/>
          <w:color w:val="000000"/>
          <w:sz w:val="24"/>
          <w:szCs w:val="24"/>
        </w:rPr>
      </w:pPr>
      <w:r w:rsidRPr="00EA1BB2">
        <w:rPr>
          <w:rFonts w:ascii="Cambria" w:eastAsia="Calibri" w:hAnsi="Cambria" w:cs="Times New Roman"/>
          <w:color w:val="000000"/>
          <w:sz w:val="24"/>
          <w:szCs w:val="24"/>
        </w:rPr>
        <w:t>Prin urmare formula folosită este:</w:t>
      </w:r>
    </w:p>
    <w:p w14:paraId="02B0E275" w14:textId="77777777" w:rsidR="0030027B" w:rsidRPr="00EA1BB2" w:rsidRDefault="009A1372" w:rsidP="0030027B">
      <w:pPr>
        <w:autoSpaceDE w:val="0"/>
        <w:autoSpaceDN w:val="0"/>
        <w:adjustRightInd w:val="0"/>
        <w:spacing w:line="360" w:lineRule="auto"/>
        <w:jc w:val="center"/>
        <w:rPr>
          <w:rFonts w:ascii="Cambria" w:eastAsia="Calibri" w:hAnsi="Cambria" w:cs="Times New Roman"/>
          <w:b/>
          <w:color w:val="000000"/>
          <w:sz w:val="24"/>
          <w:szCs w:val="24"/>
        </w:rPr>
      </w:pPr>
      <m:oMath>
        <m:sSub>
          <m:sSubPr>
            <m:ctrlPr>
              <w:rPr>
                <w:rFonts w:ascii="Cambria Math" w:eastAsia="Calibri" w:hAnsi="Cambria Math" w:cs="Times New Roman"/>
                <w:b/>
                <w:color w:val="000000"/>
                <w:sz w:val="24"/>
                <w:szCs w:val="24"/>
              </w:rPr>
            </m:ctrlPr>
          </m:sSubPr>
          <m:e>
            <m:r>
              <m:rPr>
                <m:sty m:val="b"/>
              </m:rPr>
              <w:rPr>
                <w:rFonts w:ascii="Cambria Math" w:eastAsia="Calibri" w:hAnsi="Cambria Math" w:cs="Times New Roman"/>
                <w:color w:val="000000"/>
                <w:sz w:val="24"/>
                <w:szCs w:val="24"/>
              </w:rPr>
              <m:t>E</m:t>
            </m:r>
          </m:e>
          <m:sub>
            <m:r>
              <m:rPr>
                <m:sty m:val="b"/>
              </m:rPr>
              <w:rPr>
                <w:rFonts w:ascii="Cambria Math" w:eastAsia="Calibri" w:hAnsi="Cambria Math" w:cs="Times New Roman"/>
                <w:color w:val="000000"/>
                <w:sz w:val="24"/>
                <w:szCs w:val="24"/>
              </w:rPr>
              <m:t>i,j</m:t>
            </m:r>
          </m:sub>
        </m:sSub>
        <m:r>
          <m:rPr>
            <m:sty m:val="b"/>
          </m:rPr>
          <w:rPr>
            <w:rFonts w:ascii="Cambria Math" w:eastAsia="Calibri" w:hAnsi="Cambria Math" w:cs="Times New Roman"/>
            <w:color w:val="000000"/>
            <w:sz w:val="24"/>
            <w:szCs w:val="24"/>
          </w:rPr>
          <m:t>=</m:t>
        </m:r>
        <m:nary>
          <m:naryPr>
            <m:chr m:val="∑"/>
            <m:limLoc m:val="subSup"/>
            <m:supHide m:val="1"/>
            <m:ctrlPr>
              <w:rPr>
                <w:rFonts w:ascii="Cambria Math" w:eastAsia="Calibri" w:hAnsi="Cambria Math" w:cs="Times New Roman"/>
                <w:b/>
                <w:color w:val="000000"/>
                <w:sz w:val="24"/>
                <w:szCs w:val="24"/>
              </w:rPr>
            </m:ctrlPr>
          </m:naryPr>
          <m:sub>
            <m:r>
              <m:rPr>
                <m:sty m:val="b"/>
              </m:rPr>
              <w:rPr>
                <w:rFonts w:ascii="Cambria Math" w:eastAsia="Calibri" w:hAnsi="Cambria Math" w:cs="Times New Roman"/>
                <w:color w:val="000000"/>
                <w:sz w:val="24"/>
                <w:szCs w:val="24"/>
              </w:rPr>
              <m:t>k</m:t>
            </m:r>
          </m:sub>
          <m:sup/>
          <m:e>
            <m:d>
              <m:dPr>
                <m:ctrlPr>
                  <w:rPr>
                    <w:rFonts w:ascii="Cambria Math" w:eastAsia="Calibri" w:hAnsi="Cambria Math" w:cs="Times New Roman"/>
                    <w:b/>
                    <w:color w:val="000000"/>
                    <w:sz w:val="24"/>
                    <w:szCs w:val="24"/>
                  </w:rPr>
                </m:ctrlPr>
              </m:dPr>
              <m:e>
                <m:sSub>
                  <m:sSubPr>
                    <m:ctrlPr>
                      <w:rPr>
                        <w:rFonts w:ascii="Cambria Math" w:eastAsia="Calibri" w:hAnsi="Cambria Math" w:cs="Times New Roman"/>
                        <w:b/>
                        <w:color w:val="000000"/>
                        <w:sz w:val="24"/>
                        <w:szCs w:val="24"/>
                      </w:rPr>
                    </m:ctrlPr>
                  </m:sSubPr>
                  <m:e>
                    <m:sSub>
                      <m:sSubPr>
                        <m:ctrlPr>
                          <w:rPr>
                            <w:rFonts w:ascii="Cambria Math" w:eastAsia="Calibri" w:hAnsi="Cambria Math" w:cs="Times New Roman"/>
                            <w:b/>
                            <w:color w:val="000000"/>
                            <w:sz w:val="24"/>
                            <w:szCs w:val="24"/>
                          </w:rPr>
                        </m:ctrlPr>
                      </m:sSubPr>
                      <m:e>
                        <m:r>
                          <m:rPr>
                            <m:sty m:val="b"/>
                          </m:rPr>
                          <w:rPr>
                            <w:rFonts w:ascii="Cambria Math" w:eastAsia="Calibri" w:hAnsi="Cambria Math" w:cs="Times New Roman"/>
                            <w:color w:val="000000"/>
                            <w:sz w:val="24"/>
                            <w:szCs w:val="24"/>
                          </w:rPr>
                          <m:t>&lt;</m:t>
                        </m:r>
                        <m:r>
                          <w:rPr>
                            <w:rFonts w:ascii="Cambria Math" w:eastAsia="Calibri" w:hAnsi="Cambria Math" w:cs="Times New Roman"/>
                            <w:color w:val="000000"/>
                            <w:sz w:val="24"/>
                            <w:szCs w:val="24"/>
                          </w:rPr>
                          <m:t>M</m:t>
                        </m:r>
                      </m:e>
                      <m:sub>
                        <m:r>
                          <m:rPr>
                            <m:sty m:val="b"/>
                          </m:rPr>
                          <w:rPr>
                            <w:rFonts w:ascii="Cambria Math" w:eastAsia="Calibri" w:hAnsi="Cambria Math" w:cs="Times New Roman"/>
                            <w:color w:val="000000"/>
                            <w:sz w:val="24"/>
                            <w:szCs w:val="24"/>
                          </w:rPr>
                          <m:t>j,k</m:t>
                        </m:r>
                      </m:sub>
                    </m:sSub>
                    <m:r>
                      <m:rPr>
                        <m:sty m:val="b"/>
                      </m:rPr>
                      <w:rPr>
                        <w:rFonts w:ascii="Cambria Math" w:eastAsia="Calibri" w:hAnsi="Cambria Math" w:cs="Times New Roman"/>
                        <w:color w:val="000000"/>
                        <w:sz w:val="24"/>
                        <w:szCs w:val="24"/>
                      </w:rPr>
                      <m:t>&gt;</m:t>
                    </m:r>
                    <m:r>
                      <w:rPr>
                        <w:rFonts w:ascii="Cambria Math" w:eastAsia="Calibri" w:hAnsi="Cambria Math" w:cs="Times New Roman"/>
                        <w:color w:val="000000"/>
                        <w:sz w:val="24"/>
                        <w:szCs w:val="24"/>
                      </w:rPr>
                      <m:t>×EF</m:t>
                    </m:r>
                  </m:e>
                  <m:sub>
                    <m:r>
                      <m:rPr>
                        <m:sty m:val="b"/>
                      </m:rPr>
                      <w:rPr>
                        <w:rFonts w:ascii="Cambria Math" w:eastAsia="Calibri" w:hAnsi="Cambria Math" w:cs="Times New Roman"/>
                        <w:color w:val="000000"/>
                        <w:sz w:val="24"/>
                        <w:szCs w:val="24"/>
                      </w:rPr>
                      <m:t>i,j,k</m:t>
                    </m:r>
                  </m:sub>
                </m:sSub>
              </m:e>
            </m:d>
          </m:e>
        </m:nary>
      </m:oMath>
      <w:r w:rsidR="0030027B" w:rsidRPr="00EA1BB2">
        <w:rPr>
          <w:rFonts w:ascii="Cambria" w:eastAsia="Calibri" w:hAnsi="Cambria" w:cs="Times New Roman"/>
          <w:b/>
          <w:color w:val="000000"/>
          <w:sz w:val="24"/>
          <w:szCs w:val="24"/>
        </w:rPr>
        <w:t xml:space="preserve">  [4]</w:t>
      </w:r>
    </w:p>
    <w:p w14:paraId="56EC5C7F" w14:textId="77777777" w:rsidR="0030027B" w:rsidRPr="00EA1BB2" w:rsidRDefault="0030027B" w:rsidP="0030027B">
      <w:pPr>
        <w:autoSpaceDE w:val="0"/>
        <w:autoSpaceDN w:val="0"/>
        <w:adjustRightInd w:val="0"/>
        <w:spacing w:line="360" w:lineRule="auto"/>
        <w:ind w:firstLine="567"/>
        <w:rPr>
          <w:rFonts w:ascii="Cambria" w:eastAsia="Calibri" w:hAnsi="Cambria" w:cs="Times New Roman"/>
          <w:color w:val="000000"/>
          <w:sz w:val="24"/>
          <w:szCs w:val="24"/>
        </w:rPr>
      </w:pPr>
      <w:r w:rsidRPr="00EA1BB2">
        <w:rPr>
          <w:rFonts w:ascii="Cambria" w:eastAsia="Calibri" w:hAnsi="Cambria" w:cs="Times New Roman"/>
          <w:color w:val="000000"/>
          <w:sz w:val="24"/>
          <w:szCs w:val="24"/>
        </w:rPr>
        <w:t>sau</w:t>
      </w:r>
    </w:p>
    <w:p w14:paraId="44A5649B" w14:textId="77777777" w:rsidR="0030027B" w:rsidRPr="00EA1BB2" w:rsidRDefault="009A1372" w:rsidP="0030027B">
      <w:pPr>
        <w:autoSpaceDE w:val="0"/>
        <w:autoSpaceDN w:val="0"/>
        <w:adjustRightInd w:val="0"/>
        <w:spacing w:line="360" w:lineRule="auto"/>
        <w:ind w:firstLine="720"/>
        <w:jc w:val="center"/>
        <w:rPr>
          <w:rFonts w:ascii="Cambria" w:eastAsia="Calibri" w:hAnsi="Cambria" w:cs="Times New Roman"/>
          <w:b/>
          <w:color w:val="000000"/>
          <w:sz w:val="24"/>
          <w:szCs w:val="24"/>
        </w:rPr>
      </w:pPr>
      <m:oMath>
        <m:sSub>
          <m:sSubPr>
            <m:ctrlPr>
              <w:rPr>
                <w:rFonts w:ascii="Cambria Math" w:eastAsia="Calibri" w:hAnsi="Cambria Math" w:cs="Times New Roman"/>
                <w:b/>
                <w:color w:val="000000"/>
                <w:sz w:val="24"/>
                <w:szCs w:val="24"/>
              </w:rPr>
            </m:ctrlPr>
          </m:sSubPr>
          <m:e>
            <m:r>
              <m:rPr>
                <m:sty m:val="b"/>
              </m:rPr>
              <w:rPr>
                <w:rFonts w:ascii="Cambria Math" w:eastAsia="Calibri" w:hAnsi="Cambria Math" w:cs="Times New Roman"/>
                <w:color w:val="000000"/>
                <w:sz w:val="24"/>
                <w:szCs w:val="24"/>
              </w:rPr>
              <m:t>E</m:t>
            </m:r>
          </m:e>
          <m:sub>
            <m:r>
              <m:rPr>
                <m:sty m:val="b"/>
              </m:rPr>
              <w:rPr>
                <w:rFonts w:ascii="Cambria Math" w:eastAsia="Calibri" w:hAnsi="Cambria Math" w:cs="Times New Roman"/>
                <w:color w:val="000000"/>
                <w:sz w:val="24"/>
                <w:szCs w:val="24"/>
              </w:rPr>
              <m:t>i,j</m:t>
            </m:r>
          </m:sub>
        </m:sSub>
        <m:r>
          <m:rPr>
            <m:sty m:val="b"/>
          </m:rPr>
          <w:rPr>
            <w:rFonts w:ascii="Cambria Math" w:eastAsia="Calibri" w:hAnsi="Cambria Math" w:cs="Times New Roman"/>
            <w:color w:val="000000"/>
            <w:sz w:val="24"/>
            <w:szCs w:val="24"/>
          </w:rPr>
          <m:t>=</m:t>
        </m:r>
        <m:nary>
          <m:naryPr>
            <m:chr m:val="∑"/>
            <m:limLoc m:val="subSup"/>
            <m:supHide m:val="1"/>
            <m:ctrlPr>
              <w:rPr>
                <w:rFonts w:ascii="Cambria Math" w:eastAsia="Calibri" w:hAnsi="Cambria Math" w:cs="Times New Roman"/>
                <w:b/>
                <w:color w:val="000000"/>
                <w:sz w:val="24"/>
                <w:szCs w:val="24"/>
              </w:rPr>
            </m:ctrlPr>
          </m:naryPr>
          <m:sub>
            <m:r>
              <m:rPr>
                <m:sty m:val="b"/>
              </m:rPr>
              <w:rPr>
                <w:rFonts w:ascii="Cambria Math" w:eastAsia="Calibri" w:hAnsi="Cambria Math" w:cs="Times New Roman"/>
                <w:color w:val="000000"/>
                <w:sz w:val="24"/>
                <w:szCs w:val="24"/>
              </w:rPr>
              <m:t>k</m:t>
            </m:r>
          </m:sub>
          <m:sup/>
          <m:e>
            <m:d>
              <m:dPr>
                <m:ctrlPr>
                  <w:rPr>
                    <w:rFonts w:ascii="Cambria Math" w:eastAsia="Calibri" w:hAnsi="Cambria Math" w:cs="Times New Roman"/>
                    <w:b/>
                    <w:color w:val="000000"/>
                    <w:sz w:val="24"/>
                    <w:szCs w:val="24"/>
                  </w:rPr>
                </m:ctrlPr>
              </m:dPr>
              <m:e>
                <m:sSub>
                  <m:sSubPr>
                    <m:ctrlPr>
                      <w:rPr>
                        <w:rFonts w:ascii="Cambria Math" w:eastAsia="Calibri" w:hAnsi="Cambria Math" w:cs="Times New Roman"/>
                        <w:b/>
                        <w:color w:val="000000"/>
                        <w:sz w:val="24"/>
                        <w:szCs w:val="24"/>
                      </w:rPr>
                    </m:ctrlPr>
                  </m:sSubPr>
                  <m:e>
                    <m:r>
                      <m:rPr>
                        <m:sty m:val="b"/>
                      </m:rPr>
                      <w:rPr>
                        <w:rFonts w:ascii="Cambria Math" w:eastAsia="Calibri" w:hAnsi="Cambria Math" w:cs="Times New Roman"/>
                        <w:color w:val="000000"/>
                        <w:sz w:val="24"/>
                        <w:szCs w:val="24"/>
                      </w:rPr>
                      <m:t>N</m:t>
                    </m:r>
                  </m:e>
                  <m:sub>
                    <m:r>
                      <m:rPr>
                        <m:sty m:val="b"/>
                      </m:rPr>
                      <w:rPr>
                        <w:rFonts w:ascii="Cambria Math" w:eastAsia="Calibri" w:hAnsi="Cambria Math" w:cs="Times New Roman"/>
                        <w:color w:val="000000"/>
                        <w:sz w:val="24"/>
                        <w:szCs w:val="24"/>
                      </w:rPr>
                      <m:t>j,k</m:t>
                    </m:r>
                  </m:sub>
                </m:sSub>
                <m:r>
                  <m:rPr>
                    <m:sty m:val="b"/>
                  </m:rPr>
                  <w:rPr>
                    <w:rFonts w:ascii="Cambria Math" w:eastAsia="Calibri" w:hAnsi="Cambria Math" w:cs="Times New Roman"/>
                    <w:color w:val="000000"/>
                    <w:sz w:val="24"/>
                    <w:szCs w:val="24"/>
                  </w:rPr>
                  <m:t>×</m:t>
                </m:r>
                <m:sSub>
                  <m:sSubPr>
                    <m:ctrlPr>
                      <w:rPr>
                        <w:rFonts w:ascii="Cambria Math" w:eastAsia="Calibri" w:hAnsi="Cambria Math" w:cs="Times New Roman"/>
                        <w:b/>
                        <w:color w:val="000000"/>
                        <w:sz w:val="24"/>
                        <w:szCs w:val="24"/>
                      </w:rPr>
                    </m:ctrlPr>
                  </m:sSubPr>
                  <m:e>
                    <m:sSub>
                      <m:sSubPr>
                        <m:ctrlPr>
                          <w:rPr>
                            <w:rFonts w:ascii="Cambria Math" w:eastAsia="Calibri" w:hAnsi="Cambria Math" w:cs="Times New Roman"/>
                            <w:b/>
                            <w:color w:val="000000"/>
                            <w:sz w:val="24"/>
                            <w:szCs w:val="24"/>
                          </w:rPr>
                        </m:ctrlPr>
                      </m:sSubPr>
                      <m:e>
                        <m:r>
                          <m:rPr>
                            <m:sty m:val="b"/>
                          </m:rPr>
                          <w:rPr>
                            <w:rFonts w:ascii="Cambria Math" w:eastAsia="Calibri" w:hAnsi="Cambria Math" w:cs="Times New Roman"/>
                            <w:color w:val="000000"/>
                            <w:sz w:val="24"/>
                            <w:szCs w:val="24"/>
                          </w:rPr>
                          <m:t>M</m:t>
                        </m:r>
                      </m:e>
                      <m:sub>
                        <m:r>
                          <m:rPr>
                            <m:sty m:val="b"/>
                          </m:rPr>
                          <w:rPr>
                            <w:rFonts w:ascii="Cambria Math" w:eastAsia="Calibri" w:hAnsi="Cambria Math" w:cs="Times New Roman"/>
                            <w:color w:val="000000"/>
                            <w:sz w:val="24"/>
                            <w:szCs w:val="24"/>
                          </w:rPr>
                          <m:t>j,k</m:t>
                        </m:r>
                      </m:sub>
                    </m:sSub>
                    <m:r>
                      <m:rPr>
                        <m:sty m:val="b"/>
                      </m:rPr>
                      <w:rPr>
                        <w:rFonts w:ascii="Cambria Math" w:eastAsia="Calibri" w:hAnsi="Cambria Math" w:cs="Times New Roman"/>
                        <w:color w:val="000000"/>
                        <w:sz w:val="24"/>
                        <w:szCs w:val="24"/>
                      </w:rPr>
                      <m:t>×EF</m:t>
                    </m:r>
                  </m:e>
                  <m:sub>
                    <m:r>
                      <m:rPr>
                        <m:sty m:val="b"/>
                      </m:rPr>
                      <w:rPr>
                        <w:rFonts w:ascii="Cambria Math" w:eastAsia="Calibri" w:hAnsi="Cambria Math" w:cs="Times New Roman"/>
                        <w:color w:val="000000"/>
                        <w:sz w:val="24"/>
                        <w:szCs w:val="24"/>
                      </w:rPr>
                      <m:t>i,j,k</m:t>
                    </m:r>
                  </m:sub>
                </m:sSub>
              </m:e>
            </m:d>
          </m:e>
        </m:nary>
      </m:oMath>
      <w:r w:rsidR="0030027B" w:rsidRPr="00EA1BB2">
        <w:rPr>
          <w:rFonts w:ascii="Cambria" w:eastAsia="Calibri" w:hAnsi="Cambria" w:cs="Times New Roman"/>
          <w:b/>
          <w:color w:val="000000"/>
          <w:sz w:val="24"/>
          <w:szCs w:val="24"/>
        </w:rPr>
        <w:t xml:space="preserve">   [5]</w:t>
      </w:r>
    </w:p>
    <w:p w14:paraId="18117171" w14:textId="77777777" w:rsidR="0030027B" w:rsidRPr="00EA1BB2" w:rsidRDefault="0030027B" w:rsidP="0030027B">
      <w:pPr>
        <w:autoSpaceDE w:val="0"/>
        <w:autoSpaceDN w:val="0"/>
        <w:adjustRightInd w:val="0"/>
        <w:spacing w:line="360" w:lineRule="auto"/>
        <w:ind w:firstLine="720"/>
        <w:rPr>
          <w:rFonts w:ascii="Cambria" w:eastAsia="Calibri" w:hAnsi="Cambria" w:cs="Times New Roman"/>
          <w:color w:val="000000"/>
          <w:sz w:val="24"/>
          <w:szCs w:val="24"/>
        </w:rPr>
      </w:pPr>
    </w:p>
    <w:p w14:paraId="7039BB70" w14:textId="77777777" w:rsidR="0030027B" w:rsidRPr="00EA1BB2" w:rsidRDefault="0030027B" w:rsidP="0030027B">
      <w:pPr>
        <w:autoSpaceDE w:val="0"/>
        <w:autoSpaceDN w:val="0"/>
        <w:adjustRightInd w:val="0"/>
        <w:spacing w:line="360" w:lineRule="auto"/>
        <w:ind w:firstLine="567"/>
        <w:rPr>
          <w:rFonts w:ascii="Cambria" w:eastAsia="Calibri" w:hAnsi="Cambria" w:cs="Times New Roman"/>
          <w:color w:val="000000"/>
          <w:sz w:val="24"/>
          <w:szCs w:val="24"/>
        </w:rPr>
      </w:pPr>
      <w:r w:rsidRPr="00EA1BB2">
        <w:rPr>
          <w:rFonts w:ascii="Cambria" w:eastAsia="Calibri" w:hAnsi="Cambria" w:cs="Times New Roman"/>
          <w:color w:val="000000"/>
          <w:sz w:val="24"/>
          <w:szCs w:val="24"/>
        </w:rPr>
        <w:t>unde:</w:t>
      </w:r>
    </w:p>
    <w:p w14:paraId="71D8AB26" w14:textId="77777777" w:rsidR="0030027B" w:rsidRPr="00EA1BB2" w:rsidRDefault="0030027B" w:rsidP="0030027B">
      <w:pPr>
        <w:autoSpaceDE w:val="0"/>
        <w:autoSpaceDN w:val="0"/>
        <w:adjustRightInd w:val="0"/>
        <w:spacing w:line="360" w:lineRule="auto"/>
        <w:ind w:firstLine="567"/>
        <w:jc w:val="both"/>
        <w:rPr>
          <w:rFonts w:ascii="Cambria" w:eastAsia="Calibri" w:hAnsi="Cambria" w:cs="Times New Roman"/>
          <w:color w:val="000000"/>
          <w:sz w:val="24"/>
          <w:szCs w:val="24"/>
        </w:rPr>
      </w:pPr>
      <w:r w:rsidRPr="00EA1BB2">
        <w:rPr>
          <w:rFonts w:ascii="Cambria" w:eastAsia="Calibri" w:hAnsi="Cambria" w:cs="Times New Roman"/>
          <w:color w:val="000000"/>
          <w:sz w:val="24"/>
          <w:szCs w:val="24"/>
        </w:rPr>
        <w:t>&lt;M</w:t>
      </w:r>
      <w:r w:rsidRPr="00EA1BB2">
        <w:rPr>
          <w:rFonts w:ascii="Cambria" w:eastAsia="Calibri" w:hAnsi="Cambria" w:cs="Times New Roman"/>
          <w:color w:val="000000"/>
          <w:sz w:val="24"/>
          <w:szCs w:val="24"/>
          <w:vertAlign w:val="subscript"/>
        </w:rPr>
        <w:t xml:space="preserve"> j,k </w:t>
      </w:r>
      <w:r w:rsidRPr="00EA1BB2">
        <w:rPr>
          <w:rFonts w:ascii="Cambria" w:eastAsia="Calibri" w:hAnsi="Cambria" w:cs="Times New Roman"/>
          <w:color w:val="000000"/>
          <w:sz w:val="24"/>
          <w:szCs w:val="24"/>
        </w:rPr>
        <w:t xml:space="preserve">&gt; – distanța totală anuală parcursă de toate vehiculele pe categorii </w:t>
      </w:r>
      <w:r w:rsidR="006E0070" w:rsidRPr="00EA1BB2">
        <w:rPr>
          <w:rFonts w:ascii="Cambria" w:eastAsia="Calibri" w:hAnsi="Cambria" w:cs="Times New Roman"/>
          <w:color w:val="000000"/>
          <w:sz w:val="24"/>
          <w:szCs w:val="24"/>
        </w:rPr>
        <w:t>j</w:t>
      </w:r>
      <w:r w:rsidRPr="00EA1BB2">
        <w:rPr>
          <w:rFonts w:ascii="Cambria" w:eastAsia="Calibri" w:hAnsi="Cambria" w:cs="Times New Roman"/>
          <w:color w:val="000000"/>
          <w:sz w:val="24"/>
          <w:szCs w:val="24"/>
        </w:rPr>
        <w:t xml:space="preserve"> și clasă de poluare k [vehicul-km]</w:t>
      </w:r>
    </w:p>
    <w:p w14:paraId="202ACD90" w14:textId="77777777" w:rsidR="0030027B" w:rsidRPr="00EA1BB2" w:rsidRDefault="0030027B" w:rsidP="0030027B">
      <w:pPr>
        <w:autoSpaceDE w:val="0"/>
        <w:autoSpaceDN w:val="0"/>
        <w:adjustRightInd w:val="0"/>
        <w:spacing w:line="360" w:lineRule="auto"/>
        <w:ind w:firstLine="567"/>
        <w:jc w:val="both"/>
        <w:rPr>
          <w:rFonts w:ascii="Cambria" w:eastAsia="Calibri" w:hAnsi="Cambria" w:cs="Times New Roman"/>
          <w:color w:val="000000"/>
          <w:sz w:val="24"/>
          <w:szCs w:val="24"/>
        </w:rPr>
      </w:pPr>
      <w:r w:rsidRPr="00EA1BB2">
        <w:rPr>
          <w:rFonts w:ascii="Cambria" w:eastAsia="Calibri" w:hAnsi="Cambria" w:cs="Times New Roman"/>
          <w:color w:val="000000"/>
          <w:sz w:val="24"/>
          <w:szCs w:val="24"/>
        </w:rPr>
        <w:t>EF</w:t>
      </w:r>
      <w:r w:rsidRPr="00EA1BB2">
        <w:rPr>
          <w:rFonts w:ascii="Cambria" w:eastAsia="Calibri" w:hAnsi="Cambria" w:cs="Times New Roman"/>
          <w:color w:val="000000"/>
          <w:sz w:val="24"/>
          <w:szCs w:val="24"/>
          <w:vertAlign w:val="subscript"/>
        </w:rPr>
        <w:t xml:space="preserve"> i,j,k</w:t>
      </w:r>
      <w:r w:rsidRPr="00EA1BB2">
        <w:rPr>
          <w:rFonts w:ascii="Cambria" w:eastAsia="Calibri" w:hAnsi="Cambria" w:cs="Times New Roman"/>
          <w:color w:val="000000"/>
          <w:sz w:val="24"/>
          <w:szCs w:val="24"/>
        </w:rPr>
        <w:t xml:space="preserve"> – factorul de emisie specific clasei de poluare pentru poluantul i pentru categoria de vehicul j și clasă de poluare k [g/vehicul-km]</w:t>
      </w:r>
    </w:p>
    <w:p w14:paraId="251CD16D" w14:textId="77777777" w:rsidR="0030027B" w:rsidRPr="00EA1BB2" w:rsidRDefault="0030027B" w:rsidP="0030027B">
      <w:pPr>
        <w:autoSpaceDE w:val="0"/>
        <w:autoSpaceDN w:val="0"/>
        <w:adjustRightInd w:val="0"/>
        <w:spacing w:line="360" w:lineRule="auto"/>
        <w:ind w:firstLine="567"/>
        <w:jc w:val="both"/>
        <w:rPr>
          <w:rFonts w:ascii="Cambria" w:eastAsia="Calibri" w:hAnsi="Cambria" w:cs="Times New Roman"/>
          <w:color w:val="000000"/>
          <w:sz w:val="24"/>
          <w:szCs w:val="24"/>
        </w:rPr>
      </w:pPr>
      <w:r w:rsidRPr="00EA1BB2">
        <w:rPr>
          <w:rFonts w:ascii="Cambria" w:eastAsia="Calibri" w:hAnsi="Cambria" w:cs="Times New Roman"/>
          <w:color w:val="000000"/>
          <w:sz w:val="24"/>
          <w:szCs w:val="24"/>
        </w:rPr>
        <w:t>M</w:t>
      </w:r>
      <w:r w:rsidRPr="00EA1BB2">
        <w:rPr>
          <w:rFonts w:ascii="Cambria" w:eastAsia="Calibri" w:hAnsi="Cambria" w:cs="Times New Roman"/>
          <w:color w:val="000000"/>
          <w:sz w:val="24"/>
          <w:szCs w:val="24"/>
          <w:vertAlign w:val="subscript"/>
        </w:rPr>
        <w:t xml:space="preserve">j,k </w:t>
      </w:r>
      <w:r w:rsidRPr="00EA1BB2">
        <w:rPr>
          <w:rFonts w:ascii="Cambria" w:eastAsia="Calibri" w:hAnsi="Cambria" w:cs="Times New Roman"/>
          <w:color w:val="000000"/>
          <w:sz w:val="24"/>
          <w:szCs w:val="24"/>
        </w:rPr>
        <w:t>– distanța anuală parcursă per categoria de vehicul j și clasă de poluare k [km/vehicul]</w:t>
      </w:r>
    </w:p>
    <w:p w14:paraId="5D9AFA58" w14:textId="77777777" w:rsidR="0030027B" w:rsidRPr="00EA1BB2" w:rsidRDefault="0030027B" w:rsidP="0030027B">
      <w:pPr>
        <w:autoSpaceDE w:val="0"/>
        <w:autoSpaceDN w:val="0"/>
        <w:adjustRightInd w:val="0"/>
        <w:spacing w:line="360" w:lineRule="auto"/>
        <w:ind w:firstLine="567"/>
        <w:jc w:val="both"/>
        <w:rPr>
          <w:rFonts w:ascii="Cambria" w:eastAsia="Calibri" w:hAnsi="Cambria" w:cs="Times New Roman"/>
          <w:color w:val="000000"/>
          <w:sz w:val="24"/>
          <w:szCs w:val="24"/>
        </w:rPr>
      </w:pPr>
      <w:r w:rsidRPr="00EA1BB2">
        <w:rPr>
          <w:rFonts w:ascii="Cambria" w:eastAsia="Calibri" w:hAnsi="Cambria" w:cs="Times New Roman"/>
          <w:color w:val="000000"/>
          <w:sz w:val="24"/>
          <w:szCs w:val="24"/>
        </w:rPr>
        <w:t>N</w:t>
      </w:r>
      <w:r w:rsidRPr="00EA1BB2">
        <w:rPr>
          <w:rFonts w:ascii="Cambria" w:eastAsia="Calibri" w:hAnsi="Cambria" w:cs="Times New Roman"/>
          <w:color w:val="000000"/>
          <w:sz w:val="24"/>
          <w:szCs w:val="24"/>
          <w:vertAlign w:val="subscript"/>
        </w:rPr>
        <w:t xml:space="preserve"> j,k</w:t>
      </w:r>
      <w:r w:rsidRPr="00EA1BB2">
        <w:rPr>
          <w:rFonts w:ascii="Cambria" w:eastAsia="Calibri" w:hAnsi="Cambria" w:cs="Times New Roman"/>
          <w:color w:val="000000"/>
          <w:sz w:val="24"/>
          <w:szCs w:val="24"/>
        </w:rPr>
        <w:t xml:space="preserve"> – numărul de vehicule per categorie din flota națională j și clasă de poluare k.</w:t>
      </w:r>
    </w:p>
    <w:p w14:paraId="1D82E134" w14:textId="77777777" w:rsidR="0030027B" w:rsidRPr="00EA1BB2" w:rsidRDefault="0030027B" w:rsidP="006D3009">
      <w:pPr>
        <w:spacing w:line="360" w:lineRule="auto"/>
        <w:rPr>
          <w:rFonts w:ascii="Cambria" w:hAnsi="Cambria"/>
          <w:sz w:val="24"/>
        </w:rPr>
      </w:pPr>
    </w:p>
    <w:p w14:paraId="41065C8F" w14:textId="77777777" w:rsidR="00A6777A" w:rsidRPr="00EA1BB2" w:rsidRDefault="009104DD" w:rsidP="00E859EF">
      <w:pPr>
        <w:pStyle w:val="Heading2"/>
        <w:numPr>
          <w:ilvl w:val="1"/>
          <w:numId w:val="1"/>
        </w:numPr>
        <w:spacing w:before="0"/>
        <w:ind w:left="0" w:firstLine="709"/>
        <w:jc w:val="both"/>
        <w:rPr>
          <w:rFonts w:ascii="Cambria" w:eastAsia="Times New Roman" w:hAnsi="Cambria"/>
          <w:color w:val="0070C0"/>
          <w:szCs w:val="24"/>
        </w:rPr>
      </w:pPr>
      <w:bookmarkStart w:id="253" w:name="_Toc526889750"/>
      <w:r w:rsidRPr="00EA1BB2">
        <w:rPr>
          <w:rFonts w:ascii="Cambria" w:eastAsia="Times New Roman" w:hAnsi="Cambria"/>
          <w:color w:val="0070C0"/>
          <w:szCs w:val="24"/>
        </w:rPr>
        <w:t xml:space="preserve">Scenariul A </w:t>
      </w:r>
      <w:r w:rsidR="00A46F9E" w:rsidRPr="00EA1BB2">
        <w:rPr>
          <w:rFonts w:ascii="Cambria" w:eastAsia="Times New Roman" w:hAnsi="Cambria"/>
          <w:color w:val="0070C0"/>
          <w:szCs w:val="24"/>
        </w:rPr>
        <w:t xml:space="preserve">- SCENARIUL DE </w:t>
      </w:r>
      <w:r w:rsidR="00800E51" w:rsidRPr="00EA1BB2">
        <w:rPr>
          <w:rFonts w:ascii="Cambria" w:eastAsia="Times New Roman" w:hAnsi="Cambria"/>
          <w:color w:val="0070C0"/>
          <w:szCs w:val="24"/>
        </w:rPr>
        <w:t>REFERINȚĂ</w:t>
      </w:r>
      <w:bookmarkEnd w:id="253"/>
    </w:p>
    <w:p w14:paraId="2C19BD88" w14:textId="77777777" w:rsidR="0082414A" w:rsidRPr="00EA1BB2" w:rsidRDefault="00AF77F7" w:rsidP="00AF77F7">
      <w:pPr>
        <w:autoSpaceDE w:val="0"/>
        <w:autoSpaceDN w:val="0"/>
        <w:adjustRightInd w:val="0"/>
        <w:spacing w:line="360" w:lineRule="auto"/>
        <w:ind w:firstLine="720"/>
        <w:jc w:val="both"/>
        <w:rPr>
          <w:rFonts w:ascii="Cambria" w:hAnsi="Cambria"/>
          <w:b/>
          <w:sz w:val="24"/>
          <w:szCs w:val="24"/>
        </w:rPr>
      </w:pPr>
      <w:r w:rsidRPr="00EA1BB2">
        <w:rPr>
          <w:rFonts w:ascii="Cambria" w:hAnsi="Cambria"/>
          <w:b/>
          <w:sz w:val="24"/>
          <w:szCs w:val="24"/>
        </w:rPr>
        <w:t xml:space="preserve">a) anul </w:t>
      </w:r>
      <w:r w:rsidR="00420D6B" w:rsidRPr="00EA1BB2">
        <w:rPr>
          <w:rFonts w:ascii="Cambria" w:hAnsi="Cambria"/>
          <w:b/>
          <w:sz w:val="24"/>
          <w:szCs w:val="24"/>
        </w:rPr>
        <w:t>de referin</w:t>
      </w:r>
      <w:r w:rsidR="00054880" w:rsidRPr="00EA1BB2">
        <w:rPr>
          <w:rFonts w:ascii="Cambria" w:hAnsi="Cambria"/>
          <w:b/>
          <w:sz w:val="24"/>
          <w:szCs w:val="24"/>
        </w:rPr>
        <w:t>ț</w:t>
      </w:r>
      <w:r w:rsidR="00420D6B" w:rsidRPr="00EA1BB2">
        <w:rPr>
          <w:rFonts w:ascii="Cambria" w:hAnsi="Cambria"/>
          <w:b/>
          <w:sz w:val="24"/>
          <w:szCs w:val="24"/>
        </w:rPr>
        <w:t xml:space="preserve">ă pentru care este elaborată previziunea </w:t>
      </w:r>
      <w:r w:rsidR="00054880" w:rsidRPr="00EA1BB2">
        <w:rPr>
          <w:rFonts w:ascii="Cambria" w:hAnsi="Cambria"/>
          <w:b/>
          <w:sz w:val="24"/>
          <w:szCs w:val="24"/>
        </w:rPr>
        <w:t>ș</w:t>
      </w:r>
      <w:r w:rsidR="00420D6B" w:rsidRPr="00EA1BB2">
        <w:rPr>
          <w:rFonts w:ascii="Cambria" w:hAnsi="Cambria"/>
          <w:b/>
          <w:sz w:val="24"/>
          <w:szCs w:val="24"/>
        </w:rPr>
        <w:t>i cu care începe aceasta</w:t>
      </w:r>
    </w:p>
    <w:p w14:paraId="7288CD3D" w14:textId="77777777" w:rsidR="0082414A" w:rsidRPr="00EA1BB2" w:rsidRDefault="00253B8A" w:rsidP="00253B8A">
      <w:pPr>
        <w:autoSpaceDE w:val="0"/>
        <w:autoSpaceDN w:val="0"/>
        <w:adjustRightInd w:val="0"/>
        <w:spacing w:line="360" w:lineRule="auto"/>
        <w:ind w:firstLine="720"/>
        <w:jc w:val="both"/>
        <w:rPr>
          <w:rFonts w:ascii="Cambria" w:eastAsia="Calibri" w:hAnsi="Cambria" w:cs="Times New Roman"/>
          <w:sz w:val="24"/>
          <w:szCs w:val="24"/>
        </w:rPr>
      </w:pPr>
      <w:r w:rsidRPr="00EA1BB2">
        <w:rPr>
          <w:rFonts w:ascii="Cambria" w:hAnsi="Cambria"/>
          <w:sz w:val="24"/>
          <w:szCs w:val="24"/>
        </w:rPr>
        <w:t>Anul de referin</w:t>
      </w:r>
      <w:r w:rsidR="00054880" w:rsidRPr="00EA1BB2">
        <w:rPr>
          <w:rFonts w:ascii="Cambria" w:hAnsi="Cambria"/>
          <w:sz w:val="24"/>
          <w:szCs w:val="24"/>
        </w:rPr>
        <w:t>ț</w:t>
      </w:r>
      <w:r w:rsidRPr="00EA1BB2">
        <w:rPr>
          <w:rFonts w:ascii="Cambria" w:hAnsi="Cambria"/>
          <w:sz w:val="24"/>
          <w:szCs w:val="24"/>
        </w:rPr>
        <w:t>ă pentru modelarea emisiilor de substan</w:t>
      </w:r>
      <w:r w:rsidR="00054880" w:rsidRPr="00EA1BB2">
        <w:rPr>
          <w:rFonts w:ascii="Cambria" w:hAnsi="Cambria"/>
          <w:sz w:val="24"/>
          <w:szCs w:val="24"/>
        </w:rPr>
        <w:t>ț</w:t>
      </w:r>
      <w:r w:rsidRPr="00EA1BB2">
        <w:rPr>
          <w:rFonts w:ascii="Cambria" w:hAnsi="Cambria"/>
          <w:sz w:val="24"/>
          <w:szCs w:val="24"/>
        </w:rPr>
        <w:t>e poluante este anul 2013, pentru care au fost disponibile datele exportate din Sistemul Informatic Integrat de Mediu, aferente surselor de emisii prezentate în capitolele precedente</w:t>
      </w:r>
      <w:r w:rsidR="00515A80" w:rsidRPr="00EA1BB2">
        <w:rPr>
          <w:rFonts w:ascii="Cambria" w:eastAsia="Calibri" w:hAnsi="Cambria" w:cs="Times New Roman"/>
          <w:sz w:val="24"/>
          <w:szCs w:val="24"/>
        </w:rPr>
        <w:t>, iar anul de referin</w:t>
      </w:r>
      <w:r w:rsidR="00054880" w:rsidRPr="00EA1BB2">
        <w:rPr>
          <w:rFonts w:ascii="Cambria" w:eastAsia="Calibri" w:hAnsi="Cambria" w:cs="Times New Roman"/>
          <w:sz w:val="24"/>
          <w:szCs w:val="24"/>
        </w:rPr>
        <w:t>ț</w:t>
      </w:r>
      <w:r w:rsidR="00515A80" w:rsidRPr="00EA1BB2">
        <w:rPr>
          <w:rFonts w:ascii="Cambria" w:eastAsia="Calibri" w:hAnsi="Cambria" w:cs="Times New Roman"/>
          <w:sz w:val="24"/>
          <w:szCs w:val="24"/>
        </w:rPr>
        <w:t>ă pentru care este elaborată previziunea este anul 202</w:t>
      </w:r>
      <w:r w:rsidR="00B73A99" w:rsidRPr="00EA1BB2">
        <w:rPr>
          <w:rFonts w:ascii="Cambria" w:eastAsia="Calibri" w:hAnsi="Cambria" w:cs="Times New Roman"/>
          <w:sz w:val="24"/>
          <w:szCs w:val="24"/>
        </w:rPr>
        <w:t>2</w:t>
      </w:r>
      <w:r w:rsidR="00515A80" w:rsidRPr="00EA1BB2">
        <w:rPr>
          <w:rFonts w:ascii="Cambria" w:eastAsia="Calibri" w:hAnsi="Cambria" w:cs="Times New Roman"/>
          <w:sz w:val="24"/>
          <w:szCs w:val="24"/>
        </w:rPr>
        <w:t>.</w:t>
      </w:r>
    </w:p>
    <w:p w14:paraId="1B6248FC" w14:textId="6DB1519A" w:rsidR="008A0A36" w:rsidRPr="00EA1BB2" w:rsidRDefault="008A0A36" w:rsidP="00A940F1">
      <w:pPr>
        <w:autoSpaceDE w:val="0"/>
        <w:autoSpaceDN w:val="0"/>
        <w:adjustRightInd w:val="0"/>
        <w:spacing w:line="360" w:lineRule="auto"/>
        <w:ind w:firstLine="720"/>
        <w:jc w:val="both"/>
        <w:rPr>
          <w:rFonts w:ascii="Cambria" w:hAnsi="Cambria"/>
          <w:sz w:val="24"/>
          <w:szCs w:val="24"/>
          <w:highlight w:val="yellow"/>
        </w:rPr>
      </w:pPr>
    </w:p>
    <w:p w14:paraId="46948352" w14:textId="77777777" w:rsidR="00A940F1" w:rsidRPr="00EA1BB2" w:rsidRDefault="00A940F1" w:rsidP="00A940F1">
      <w:pPr>
        <w:autoSpaceDE w:val="0"/>
        <w:autoSpaceDN w:val="0"/>
        <w:adjustRightInd w:val="0"/>
        <w:spacing w:line="360" w:lineRule="auto"/>
        <w:ind w:firstLine="720"/>
        <w:jc w:val="both"/>
        <w:rPr>
          <w:rFonts w:ascii="Cambria" w:hAnsi="Cambria"/>
          <w:sz w:val="24"/>
          <w:szCs w:val="24"/>
          <w:highlight w:val="yellow"/>
        </w:rPr>
      </w:pPr>
    </w:p>
    <w:p w14:paraId="24969A74" w14:textId="77777777" w:rsidR="005636A5" w:rsidRPr="00EA1BB2" w:rsidRDefault="00AF77F7" w:rsidP="0082414A">
      <w:pPr>
        <w:autoSpaceDE w:val="0"/>
        <w:autoSpaceDN w:val="0"/>
        <w:adjustRightInd w:val="0"/>
        <w:spacing w:line="360" w:lineRule="auto"/>
        <w:ind w:firstLine="720"/>
        <w:jc w:val="both"/>
        <w:rPr>
          <w:rFonts w:ascii="Cambria" w:hAnsi="Cambria"/>
          <w:b/>
          <w:sz w:val="24"/>
          <w:szCs w:val="24"/>
        </w:rPr>
      </w:pPr>
      <w:r w:rsidRPr="00EA1BB2">
        <w:rPr>
          <w:rFonts w:ascii="Cambria" w:hAnsi="Cambria"/>
          <w:b/>
          <w:sz w:val="24"/>
          <w:szCs w:val="24"/>
        </w:rPr>
        <w:lastRenderedPageBreak/>
        <w:t xml:space="preserve">b) </w:t>
      </w:r>
      <w:r w:rsidR="0082414A" w:rsidRPr="00EA1BB2">
        <w:rPr>
          <w:rFonts w:ascii="Cambria" w:hAnsi="Cambria"/>
          <w:b/>
          <w:sz w:val="24"/>
          <w:szCs w:val="24"/>
        </w:rPr>
        <w:t xml:space="preserve">repartizarea surselor de emisie </w:t>
      </w:r>
    </w:p>
    <w:p w14:paraId="40B022BE" w14:textId="3E58B076" w:rsidR="005636A5" w:rsidRPr="00EA1BB2" w:rsidRDefault="00A0166A" w:rsidP="004E4B07">
      <w:pPr>
        <w:autoSpaceDE w:val="0"/>
        <w:autoSpaceDN w:val="0"/>
        <w:adjustRightInd w:val="0"/>
        <w:spacing w:line="360" w:lineRule="auto"/>
        <w:ind w:firstLine="720"/>
        <w:jc w:val="both"/>
        <w:rPr>
          <w:rFonts w:ascii="Cambria" w:hAnsi="Cambria"/>
          <w:sz w:val="24"/>
          <w:szCs w:val="24"/>
        </w:rPr>
      </w:pPr>
      <w:r w:rsidRPr="00EA1BB2">
        <w:rPr>
          <w:rFonts w:ascii="Cambria" w:hAnsi="Cambria"/>
          <w:sz w:val="24"/>
          <w:szCs w:val="24"/>
        </w:rPr>
        <w:t xml:space="preserve">Datele exportate, grupate pe sursele de emisii definite de Sistemul Informatic Integrat de </w:t>
      </w:r>
      <w:r w:rsidR="005636A5" w:rsidRPr="00EA1BB2">
        <w:rPr>
          <w:rFonts w:ascii="Cambria" w:hAnsi="Cambria"/>
          <w:sz w:val="24"/>
          <w:szCs w:val="24"/>
        </w:rPr>
        <w:t>Mediu, respectiv</w:t>
      </w:r>
      <w:r w:rsidR="00BD06C5" w:rsidRPr="00EA1BB2">
        <w:rPr>
          <w:rFonts w:ascii="Cambria" w:hAnsi="Cambria"/>
          <w:sz w:val="24"/>
          <w:szCs w:val="24"/>
        </w:rPr>
        <w:t xml:space="preserve"> </w:t>
      </w:r>
      <w:r w:rsidR="005636A5" w:rsidRPr="00EA1BB2">
        <w:rPr>
          <w:rFonts w:ascii="Cambria" w:hAnsi="Cambria"/>
          <w:sz w:val="24"/>
          <w:szCs w:val="24"/>
        </w:rPr>
        <w:t xml:space="preserve">surse </w:t>
      </w:r>
      <w:r w:rsidR="004E4B07" w:rsidRPr="00EA1BB2">
        <w:rPr>
          <w:rFonts w:ascii="Cambria" w:hAnsi="Cambria"/>
          <w:sz w:val="24"/>
          <w:szCs w:val="24"/>
        </w:rPr>
        <w:t>staționare</w:t>
      </w:r>
      <w:r w:rsidR="005636A5" w:rsidRPr="00EA1BB2">
        <w:rPr>
          <w:rFonts w:ascii="Cambria" w:hAnsi="Cambria"/>
          <w:sz w:val="24"/>
          <w:szCs w:val="24"/>
        </w:rPr>
        <w:t>,</w:t>
      </w:r>
      <w:r w:rsidR="00BD06C5" w:rsidRPr="00EA1BB2">
        <w:rPr>
          <w:rFonts w:ascii="Cambria" w:hAnsi="Cambria"/>
          <w:sz w:val="24"/>
          <w:szCs w:val="24"/>
        </w:rPr>
        <w:t xml:space="preserve"> </w:t>
      </w:r>
      <w:r w:rsidR="005636A5" w:rsidRPr="00EA1BB2">
        <w:rPr>
          <w:rFonts w:ascii="Cambria" w:hAnsi="Cambria"/>
          <w:sz w:val="24"/>
          <w:szCs w:val="24"/>
        </w:rPr>
        <w:t>surse de suprafa</w:t>
      </w:r>
      <w:r w:rsidR="00054880" w:rsidRPr="00EA1BB2">
        <w:rPr>
          <w:rFonts w:ascii="Cambria" w:hAnsi="Cambria"/>
          <w:sz w:val="24"/>
          <w:szCs w:val="24"/>
        </w:rPr>
        <w:t>ț</w:t>
      </w:r>
      <w:r w:rsidR="005636A5" w:rsidRPr="00EA1BB2">
        <w:rPr>
          <w:rFonts w:ascii="Cambria" w:hAnsi="Cambria"/>
          <w:sz w:val="24"/>
          <w:szCs w:val="24"/>
        </w:rPr>
        <w:t>ă</w:t>
      </w:r>
      <w:r w:rsidR="00A133F1" w:rsidRPr="00EA1BB2">
        <w:rPr>
          <w:rFonts w:ascii="Cambria" w:hAnsi="Cambria"/>
          <w:sz w:val="24"/>
          <w:szCs w:val="24"/>
        </w:rPr>
        <w:t xml:space="preserve">, </w:t>
      </w:r>
      <w:r w:rsidR="005636A5" w:rsidRPr="00EA1BB2">
        <w:rPr>
          <w:rFonts w:ascii="Cambria" w:hAnsi="Cambria"/>
          <w:sz w:val="24"/>
          <w:szCs w:val="24"/>
        </w:rPr>
        <w:t xml:space="preserve">surse </w:t>
      </w:r>
      <w:r w:rsidR="004E4B07" w:rsidRPr="00EA1BB2">
        <w:rPr>
          <w:rFonts w:ascii="Cambria" w:hAnsi="Cambria"/>
          <w:sz w:val="24"/>
          <w:szCs w:val="24"/>
        </w:rPr>
        <w:t xml:space="preserve">mobile sunt </w:t>
      </w:r>
      <w:r w:rsidR="005636A5" w:rsidRPr="00EA1BB2">
        <w:rPr>
          <w:rFonts w:ascii="Cambria" w:hAnsi="Cambria"/>
          <w:sz w:val="24"/>
          <w:szCs w:val="24"/>
        </w:rPr>
        <w:t>utilizate ca date de intrare pentru modelarea emisiilor de substan</w:t>
      </w:r>
      <w:r w:rsidR="00054880" w:rsidRPr="00EA1BB2">
        <w:rPr>
          <w:rFonts w:ascii="Cambria" w:hAnsi="Cambria"/>
          <w:sz w:val="24"/>
          <w:szCs w:val="24"/>
        </w:rPr>
        <w:t>ț</w:t>
      </w:r>
      <w:r w:rsidR="005636A5" w:rsidRPr="00EA1BB2">
        <w:rPr>
          <w:rFonts w:ascii="Cambria" w:hAnsi="Cambria"/>
          <w:sz w:val="24"/>
          <w:szCs w:val="24"/>
        </w:rPr>
        <w:t>e poluante în acest</w:t>
      </w:r>
      <w:r w:rsidR="00BD06C5" w:rsidRPr="00EA1BB2">
        <w:rPr>
          <w:rFonts w:ascii="Cambria" w:hAnsi="Cambria"/>
          <w:sz w:val="24"/>
          <w:szCs w:val="24"/>
        </w:rPr>
        <w:t xml:space="preserve"> </w:t>
      </w:r>
      <w:r w:rsidR="00FD0106" w:rsidRPr="00EA1BB2">
        <w:rPr>
          <w:rFonts w:ascii="Cambria" w:hAnsi="Cambria"/>
          <w:sz w:val="24"/>
          <w:szCs w:val="24"/>
        </w:rPr>
        <w:t>scenariu.</w:t>
      </w:r>
      <w:r w:rsidR="00554A48" w:rsidRPr="00EA1BB2">
        <w:rPr>
          <w:rFonts w:ascii="Cambria" w:hAnsi="Cambria"/>
          <w:sz w:val="24"/>
          <w:szCs w:val="24"/>
        </w:rPr>
        <w:t xml:space="preserve"> Repartizarea surselor a fost prezentată în subcapitolele 3.5 și 3.6 al prezentului plan.</w:t>
      </w:r>
    </w:p>
    <w:p w14:paraId="40319B41" w14:textId="77777777" w:rsidR="006D3009" w:rsidRPr="00EA1BB2" w:rsidRDefault="006D3009" w:rsidP="006D3009">
      <w:pPr>
        <w:autoSpaceDE w:val="0"/>
        <w:autoSpaceDN w:val="0"/>
        <w:adjustRightInd w:val="0"/>
        <w:spacing w:line="360" w:lineRule="auto"/>
        <w:ind w:firstLine="709"/>
        <w:jc w:val="both"/>
        <w:rPr>
          <w:rFonts w:ascii="Cambria" w:eastAsia="Times New Roman" w:hAnsi="Cambria" w:cs="Times New Roman"/>
          <w:bCs/>
          <w:sz w:val="24"/>
          <w:szCs w:val="26"/>
        </w:rPr>
      </w:pPr>
      <w:r w:rsidRPr="00EA1BB2">
        <w:rPr>
          <w:rFonts w:ascii="Cambria" w:eastAsia="Times New Roman" w:hAnsi="Cambria" w:cs="Times New Roman"/>
          <w:bCs/>
          <w:sz w:val="24"/>
          <w:szCs w:val="26"/>
        </w:rPr>
        <w:t xml:space="preserve">Concentrațiile de fond regional total </w:t>
      </w:r>
      <w:r w:rsidR="00882FD3" w:rsidRPr="00EA1BB2">
        <w:rPr>
          <w:rFonts w:ascii="Cambria" w:eastAsia="Times New Roman" w:hAnsi="Cambria" w:cs="Times New Roman"/>
          <w:sz w:val="24"/>
          <w:szCs w:val="24"/>
        </w:rPr>
        <w:t xml:space="preserve">(pentru zona Brăila și aglomerarea Brăila) </w:t>
      </w:r>
      <w:r w:rsidRPr="00EA1BB2">
        <w:rPr>
          <w:rFonts w:ascii="Cambria" w:eastAsia="Times New Roman" w:hAnsi="Cambria" w:cs="Times New Roman"/>
          <w:bCs/>
          <w:sz w:val="24"/>
          <w:szCs w:val="26"/>
        </w:rPr>
        <w:t>au fost utilizate pentru modelarea emisiilor de poluanți în atmosferă în cadrul acestui scenariu.</w:t>
      </w:r>
    </w:p>
    <w:p w14:paraId="4A1DEA59" w14:textId="77777777" w:rsidR="006D3009" w:rsidRPr="00EA1BB2" w:rsidRDefault="006D3009" w:rsidP="004E4B07">
      <w:pPr>
        <w:autoSpaceDE w:val="0"/>
        <w:autoSpaceDN w:val="0"/>
        <w:adjustRightInd w:val="0"/>
        <w:spacing w:line="360" w:lineRule="auto"/>
        <w:ind w:firstLine="720"/>
        <w:jc w:val="both"/>
        <w:rPr>
          <w:rFonts w:ascii="Cambria" w:hAnsi="Cambria"/>
          <w:sz w:val="24"/>
          <w:szCs w:val="24"/>
        </w:rPr>
      </w:pPr>
    </w:p>
    <w:p w14:paraId="78B43B16" w14:textId="5F776997" w:rsidR="008165D9" w:rsidRPr="00EA1BB2" w:rsidRDefault="008165D9" w:rsidP="001D53C6">
      <w:pPr>
        <w:pStyle w:val="Caption"/>
        <w:keepNext/>
        <w:spacing w:after="0" w:line="360" w:lineRule="auto"/>
        <w:ind w:firstLine="708"/>
        <w:jc w:val="both"/>
        <w:rPr>
          <w:rFonts w:ascii="Cambria" w:hAnsi="Cambria"/>
        </w:rPr>
      </w:pPr>
      <w:bookmarkStart w:id="254" w:name="_Toc524966238"/>
      <w:r w:rsidRPr="00EA1BB2">
        <w:rPr>
          <w:rFonts w:ascii="Cambria" w:hAnsi="Cambria"/>
        </w:rPr>
        <w:t xml:space="preserve">Figura nr. </w:t>
      </w:r>
      <w:r w:rsidR="00280BC9" w:rsidRPr="00EA1BB2">
        <w:rPr>
          <w:rFonts w:ascii="Cambria" w:hAnsi="Cambria"/>
        </w:rPr>
        <w:fldChar w:fldCharType="begin"/>
      </w:r>
      <w:r w:rsidR="00BA6FA3" w:rsidRPr="00EA1BB2">
        <w:rPr>
          <w:rFonts w:ascii="Cambria" w:hAnsi="Cambria"/>
        </w:rPr>
        <w:instrText xml:space="preserve"> STYLEREF 1 \s </w:instrText>
      </w:r>
      <w:r w:rsidR="00280BC9" w:rsidRPr="00EA1BB2">
        <w:rPr>
          <w:rFonts w:ascii="Cambria" w:hAnsi="Cambria"/>
        </w:rPr>
        <w:fldChar w:fldCharType="separate"/>
      </w:r>
      <w:r w:rsidR="00567555">
        <w:rPr>
          <w:rFonts w:ascii="Cambria" w:hAnsi="Cambria"/>
          <w:noProof/>
        </w:rPr>
        <w:t>5</w:t>
      </w:r>
      <w:r w:rsidR="00280BC9" w:rsidRPr="00EA1BB2">
        <w:rPr>
          <w:rFonts w:ascii="Cambria" w:hAnsi="Cambria"/>
        </w:rPr>
        <w:fldChar w:fldCharType="end"/>
      </w:r>
      <w:r w:rsidR="00BA6FA3" w:rsidRPr="00EA1BB2">
        <w:rPr>
          <w:rFonts w:ascii="Cambria" w:hAnsi="Cambria"/>
        </w:rPr>
        <w:noBreakHyphen/>
      </w:r>
      <w:r w:rsidR="00280BC9" w:rsidRPr="00EA1BB2">
        <w:rPr>
          <w:rFonts w:ascii="Cambria" w:hAnsi="Cambria"/>
        </w:rPr>
        <w:fldChar w:fldCharType="begin"/>
      </w:r>
      <w:r w:rsidR="00BA6FA3" w:rsidRPr="00EA1BB2">
        <w:rPr>
          <w:rFonts w:ascii="Cambria" w:hAnsi="Cambria"/>
        </w:rPr>
        <w:instrText xml:space="preserve"> SEQ Figura_nr. \* ARABIC \s 1 </w:instrText>
      </w:r>
      <w:r w:rsidR="00280BC9" w:rsidRPr="00EA1BB2">
        <w:rPr>
          <w:rFonts w:ascii="Cambria" w:hAnsi="Cambria"/>
        </w:rPr>
        <w:fldChar w:fldCharType="separate"/>
      </w:r>
      <w:r w:rsidR="00567555">
        <w:rPr>
          <w:rFonts w:ascii="Cambria" w:hAnsi="Cambria"/>
          <w:noProof/>
        </w:rPr>
        <w:t>1</w:t>
      </w:r>
      <w:r w:rsidR="00280BC9" w:rsidRPr="00EA1BB2">
        <w:rPr>
          <w:rFonts w:ascii="Cambria" w:hAnsi="Cambria"/>
        </w:rPr>
        <w:fldChar w:fldCharType="end"/>
      </w:r>
      <w:r w:rsidRPr="00EA1BB2">
        <w:rPr>
          <w:rFonts w:ascii="Cambria" w:hAnsi="Cambria"/>
        </w:rPr>
        <w:t xml:space="preserve"> – Distribuția surselor de emisie în județul Brăila</w:t>
      </w:r>
      <w:bookmarkEnd w:id="254"/>
    </w:p>
    <w:p w14:paraId="354BA444" w14:textId="77777777" w:rsidR="004E4B07" w:rsidRPr="00EA1BB2" w:rsidRDefault="008165D9" w:rsidP="001D53C6">
      <w:pPr>
        <w:autoSpaceDE w:val="0"/>
        <w:autoSpaceDN w:val="0"/>
        <w:adjustRightInd w:val="0"/>
        <w:spacing w:line="360" w:lineRule="auto"/>
        <w:jc w:val="center"/>
        <w:rPr>
          <w:rFonts w:ascii="Cambria" w:hAnsi="Cambria"/>
          <w:sz w:val="24"/>
          <w:szCs w:val="24"/>
        </w:rPr>
      </w:pPr>
      <w:r w:rsidRPr="00EA1BB2">
        <w:rPr>
          <w:rFonts w:ascii="Cambria" w:hAnsi="Cambria"/>
          <w:noProof/>
          <w:sz w:val="24"/>
          <w:szCs w:val="24"/>
          <w:lang w:val="en-US"/>
        </w:rPr>
        <w:drawing>
          <wp:inline distT="0" distB="0" distL="0" distR="0" wp14:anchorId="6171A8A3" wp14:editId="605F6A37">
            <wp:extent cx="5759998" cy="4450908"/>
            <wp:effectExtent l="19050" t="19050" r="12700" b="260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MCA BR trei surse 2013.pn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759998" cy="4450908"/>
                    </a:xfrm>
                    <a:prstGeom prst="rect">
                      <a:avLst/>
                    </a:prstGeom>
                    <a:ln>
                      <a:solidFill>
                        <a:schemeClr val="bg1">
                          <a:lumMod val="85000"/>
                        </a:schemeClr>
                      </a:solidFill>
                    </a:ln>
                  </pic:spPr>
                </pic:pic>
              </a:graphicData>
            </a:graphic>
          </wp:inline>
        </w:drawing>
      </w:r>
    </w:p>
    <w:p w14:paraId="31E9A67C" w14:textId="77777777" w:rsidR="00D466DC" w:rsidRPr="00EA1BB2" w:rsidRDefault="00D466DC" w:rsidP="001D53C6">
      <w:pPr>
        <w:autoSpaceDE w:val="0"/>
        <w:autoSpaceDN w:val="0"/>
        <w:adjustRightInd w:val="0"/>
        <w:spacing w:line="360" w:lineRule="auto"/>
        <w:jc w:val="center"/>
        <w:rPr>
          <w:rFonts w:ascii="Cambria" w:hAnsi="Cambria"/>
          <w:sz w:val="24"/>
          <w:szCs w:val="24"/>
        </w:rPr>
      </w:pPr>
    </w:p>
    <w:p w14:paraId="6BA4BE75" w14:textId="77777777" w:rsidR="00AF77F7" w:rsidRPr="00EA1BB2" w:rsidRDefault="005636A5" w:rsidP="0082414A">
      <w:pPr>
        <w:autoSpaceDE w:val="0"/>
        <w:autoSpaceDN w:val="0"/>
        <w:adjustRightInd w:val="0"/>
        <w:spacing w:line="360" w:lineRule="auto"/>
        <w:ind w:firstLine="720"/>
        <w:jc w:val="both"/>
        <w:rPr>
          <w:rFonts w:ascii="Cambria" w:hAnsi="Cambria"/>
          <w:b/>
          <w:sz w:val="24"/>
          <w:szCs w:val="24"/>
        </w:rPr>
      </w:pPr>
      <w:r w:rsidRPr="00EA1BB2">
        <w:rPr>
          <w:rFonts w:ascii="Cambria" w:hAnsi="Cambria"/>
          <w:b/>
          <w:sz w:val="24"/>
          <w:szCs w:val="24"/>
        </w:rPr>
        <w:t xml:space="preserve">c) </w:t>
      </w:r>
      <w:r w:rsidR="00AF77F7" w:rsidRPr="00EA1BB2">
        <w:rPr>
          <w:rFonts w:ascii="Cambria" w:hAnsi="Cambria"/>
          <w:b/>
          <w:sz w:val="24"/>
          <w:szCs w:val="24"/>
        </w:rPr>
        <w:t xml:space="preserve">descrierea privind emisiile </w:t>
      </w:r>
      <w:r w:rsidR="00054880" w:rsidRPr="00EA1BB2">
        <w:rPr>
          <w:rFonts w:ascii="Cambria" w:hAnsi="Cambria"/>
          <w:b/>
          <w:sz w:val="24"/>
          <w:szCs w:val="24"/>
        </w:rPr>
        <w:t>ș</w:t>
      </w:r>
      <w:r w:rsidR="00AF77F7" w:rsidRPr="00EA1BB2">
        <w:rPr>
          <w:rFonts w:ascii="Cambria" w:hAnsi="Cambria"/>
          <w:b/>
          <w:sz w:val="24"/>
          <w:szCs w:val="24"/>
        </w:rPr>
        <w:t>i emisiile totale în unitatea spa</w:t>
      </w:r>
      <w:r w:rsidR="00054880" w:rsidRPr="00EA1BB2">
        <w:rPr>
          <w:rFonts w:ascii="Cambria" w:hAnsi="Cambria"/>
          <w:b/>
          <w:sz w:val="24"/>
          <w:szCs w:val="24"/>
        </w:rPr>
        <w:t>ț</w:t>
      </w:r>
      <w:r w:rsidR="00AF77F7" w:rsidRPr="00EA1BB2">
        <w:rPr>
          <w:rFonts w:ascii="Cambria" w:hAnsi="Cambria"/>
          <w:b/>
          <w:sz w:val="24"/>
          <w:szCs w:val="24"/>
        </w:rPr>
        <w:t>ială relevantă în anul de referin</w:t>
      </w:r>
      <w:r w:rsidR="00054880" w:rsidRPr="00EA1BB2">
        <w:rPr>
          <w:rFonts w:ascii="Cambria" w:hAnsi="Cambria"/>
          <w:b/>
          <w:sz w:val="24"/>
          <w:szCs w:val="24"/>
        </w:rPr>
        <w:t>ț</w:t>
      </w:r>
      <w:r w:rsidR="0082414A" w:rsidRPr="00EA1BB2">
        <w:rPr>
          <w:rFonts w:ascii="Cambria" w:hAnsi="Cambria"/>
          <w:b/>
          <w:sz w:val="24"/>
          <w:szCs w:val="24"/>
        </w:rPr>
        <w:t>ă</w:t>
      </w:r>
    </w:p>
    <w:p w14:paraId="61C421E2" w14:textId="5C455281" w:rsidR="007D21F2" w:rsidRPr="00EA1BB2" w:rsidRDefault="006D3009" w:rsidP="006D3009">
      <w:pPr>
        <w:autoSpaceDE w:val="0"/>
        <w:autoSpaceDN w:val="0"/>
        <w:adjustRightInd w:val="0"/>
        <w:spacing w:line="360" w:lineRule="auto"/>
        <w:ind w:firstLine="709"/>
        <w:jc w:val="both"/>
        <w:rPr>
          <w:rFonts w:ascii="Cambria" w:hAnsi="Cambria"/>
          <w:sz w:val="24"/>
          <w:szCs w:val="24"/>
        </w:rPr>
      </w:pPr>
      <w:r w:rsidRPr="00EA1BB2">
        <w:rPr>
          <w:rFonts w:ascii="Cambria" w:eastAsia="Calibri" w:hAnsi="Cambria" w:cs="Times New Roman"/>
          <w:sz w:val="24"/>
          <w:szCs w:val="24"/>
        </w:rPr>
        <w:t>Emisiile depoluanți în atmosferă în anul de referință 2013, grupate pe categorii de surse, sunt prezentate în tabelul de mai jos.</w:t>
      </w:r>
      <w:r w:rsidR="00CD2A36" w:rsidRPr="00EA1BB2">
        <w:t xml:space="preserve"> </w:t>
      </w:r>
      <w:r w:rsidR="00CD2A36" w:rsidRPr="00EA1BB2">
        <w:rPr>
          <w:rFonts w:ascii="Cambria" w:eastAsia="Calibri" w:hAnsi="Cambria" w:cs="Times New Roman"/>
          <w:sz w:val="24"/>
          <w:szCs w:val="24"/>
        </w:rPr>
        <w:t>Descrierea privind emisiile este prezentată pe larg în cadrul capitolului 3.8.</w:t>
      </w:r>
    </w:p>
    <w:p w14:paraId="3C54B82A" w14:textId="25CBA2CB" w:rsidR="006D3009" w:rsidRPr="00EA1BB2" w:rsidRDefault="006D3009" w:rsidP="006D3009">
      <w:pPr>
        <w:pStyle w:val="Caption"/>
        <w:keepNext/>
        <w:spacing w:after="0" w:line="276" w:lineRule="auto"/>
        <w:ind w:firstLine="708"/>
        <w:jc w:val="both"/>
        <w:rPr>
          <w:rFonts w:ascii="Cambria" w:hAnsi="Cambria"/>
        </w:rPr>
      </w:pPr>
      <w:bookmarkStart w:id="255" w:name="_Toc526889818"/>
      <w:r w:rsidRPr="00EA1BB2">
        <w:rPr>
          <w:rFonts w:ascii="Cambria" w:hAnsi="Cambria"/>
        </w:rPr>
        <w:lastRenderedPageBreak/>
        <w:t xml:space="preserve">Tabelul nr. </w:t>
      </w:r>
      <w:r w:rsidR="000A2FE7" w:rsidRPr="00EA1BB2">
        <w:rPr>
          <w:rFonts w:ascii="Cambria" w:hAnsi="Cambria"/>
        </w:rPr>
        <w:fldChar w:fldCharType="begin"/>
      </w:r>
      <w:r w:rsidR="000A2FE7" w:rsidRPr="00EA1BB2">
        <w:rPr>
          <w:rFonts w:ascii="Cambria" w:hAnsi="Cambria"/>
        </w:rPr>
        <w:instrText xml:space="preserve"> STYLEREF 1 \s </w:instrText>
      </w:r>
      <w:r w:rsidR="000A2FE7" w:rsidRPr="00EA1BB2">
        <w:rPr>
          <w:rFonts w:ascii="Cambria" w:hAnsi="Cambria"/>
        </w:rPr>
        <w:fldChar w:fldCharType="separate"/>
      </w:r>
      <w:r w:rsidR="00567555">
        <w:rPr>
          <w:rFonts w:ascii="Cambria" w:hAnsi="Cambria"/>
          <w:noProof/>
        </w:rPr>
        <w:t>5</w:t>
      </w:r>
      <w:r w:rsidR="000A2FE7" w:rsidRPr="00EA1BB2">
        <w:rPr>
          <w:rFonts w:ascii="Cambria" w:hAnsi="Cambria"/>
        </w:rPr>
        <w:fldChar w:fldCharType="end"/>
      </w:r>
      <w:r w:rsidR="000A2FE7" w:rsidRPr="00EA1BB2">
        <w:rPr>
          <w:rFonts w:ascii="Cambria" w:hAnsi="Cambria"/>
        </w:rPr>
        <w:noBreakHyphen/>
      </w:r>
      <w:r w:rsidR="000A2FE7" w:rsidRPr="00EA1BB2">
        <w:rPr>
          <w:rFonts w:ascii="Cambria" w:hAnsi="Cambria"/>
        </w:rPr>
        <w:fldChar w:fldCharType="begin"/>
      </w:r>
      <w:r w:rsidR="000A2FE7" w:rsidRPr="00EA1BB2">
        <w:rPr>
          <w:rFonts w:ascii="Cambria" w:hAnsi="Cambria"/>
        </w:rPr>
        <w:instrText xml:space="preserve"> SEQ Tabelul_nr. \* ARABIC \s 1 </w:instrText>
      </w:r>
      <w:r w:rsidR="000A2FE7" w:rsidRPr="00EA1BB2">
        <w:rPr>
          <w:rFonts w:ascii="Cambria" w:hAnsi="Cambria"/>
        </w:rPr>
        <w:fldChar w:fldCharType="separate"/>
      </w:r>
      <w:r w:rsidR="00567555">
        <w:rPr>
          <w:rFonts w:ascii="Cambria" w:hAnsi="Cambria"/>
          <w:noProof/>
        </w:rPr>
        <w:t>1</w:t>
      </w:r>
      <w:r w:rsidR="000A2FE7" w:rsidRPr="00EA1BB2">
        <w:rPr>
          <w:rFonts w:ascii="Cambria" w:hAnsi="Cambria"/>
        </w:rPr>
        <w:fldChar w:fldCharType="end"/>
      </w:r>
      <w:r w:rsidRPr="00EA1BB2">
        <w:rPr>
          <w:rFonts w:ascii="Cambria" w:hAnsi="Cambria"/>
        </w:rPr>
        <w:t xml:space="preserve"> – Emisii de poluanți, pe </w:t>
      </w:r>
      <w:r w:rsidR="00C94E4F" w:rsidRPr="00EA1BB2">
        <w:rPr>
          <w:rFonts w:ascii="Cambria" w:hAnsi="Cambria"/>
        </w:rPr>
        <w:t>categori</w:t>
      </w:r>
      <w:r w:rsidRPr="00EA1BB2">
        <w:rPr>
          <w:rFonts w:ascii="Cambria" w:hAnsi="Cambria"/>
        </w:rPr>
        <w:t>i de surse, în anul 2013</w:t>
      </w:r>
      <w:bookmarkEnd w:id="255"/>
    </w:p>
    <w:tbl>
      <w:tblPr>
        <w:tblStyle w:val="TableGrid58"/>
        <w:tblW w:w="5005" w:type="pct"/>
        <w:jc w:val="center"/>
        <w:tblLook w:val="04A0" w:firstRow="1" w:lastRow="0" w:firstColumn="1" w:lastColumn="0" w:noHBand="0" w:noVBand="1"/>
      </w:tblPr>
      <w:tblGrid>
        <w:gridCol w:w="2699"/>
        <w:gridCol w:w="2891"/>
        <w:gridCol w:w="2073"/>
        <w:gridCol w:w="1632"/>
      </w:tblGrid>
      <w:tr w:rsidR="007D21F2" w:rsidRPr="00EA1BB2" w14:paraId="41ED2B65" w14:textId="77777777" w:rsidTr="00FC5B00">
        <w:trPr>
          <w:trHeight w:val="280"/>
          <w:tblHeader/>
          <w:jc w:val="center"/>
        </w:trPr>
        <w:tc>
          <w:tcPr>
            <w:tcW w:w="1452" w:type="pct"/>
            <w:vMerge w:val="restart"/>
            <w:shd w:val="clear" w:color="auto" w:fill="BDD6EE" w:themeFill="accent1" w:themeFillTint="66"/>
            <w:vAlign w:val="center"/>
          </w:tcPr>
          <w:p w14:paraId="1929EDAA" w14:textId="77777777" w:rsidR="007D21F2" w:rsidRPr="00EA1BB2" w:rsidRDefault="007D21F2" w:rsidP="00072BE4">
            <w:pPr>
              <w:jc w:val="center"/>
              <w:rPr>
                <w:rFonts w:ascii="Cambria" w:hAnsi="Cambria"/>
                <w:b/>
                <w:sz w:val="24"/>
                <w:szCs w:val="24"/>
              </w:rPr>
            </w:pPr>
            <w:r w:rsidRPr="00EA1BB2">
              <w:rPr>
                <w:rFonts w:ascii="Cambria" w:hAnsi="Cambria"/>
                <w:b/>
                <w:sz w:val="24"/>
                <w:szCs w:val="24"/>
              </w:rPr>
              <w:t>Indicator</w:t>
            </w:r>
          </w:p>
        </w:tc>
        <w:tc>
          <w:tcPr>
            <w:tcW w:w="1555" w:type="pct"/>
            <w:vMerge w:val="restart"/>
            <w:shd w:val="clear" w:color="auto" w:fill="BDD6EE" w:themeFill="accent1" w:themeFillTint="66"/>
            <w:vAlign w:val="center"/>
          </w:tcPr>
          <w:p w14:paraId="788F5464" w14:textId="77777777" w:rsidR="007D21F2" w:rsidRPr="00EA1BB2" w:rsidRDefault="007D21F2" w:rsidP="00072BE4">
            <w:pPr>
              <w:jc w:val="center"/>
              <w:rPr>
                <w:rFonts w:ascii="Cambria" w:hAnsi="Cambria"/>
                <w:b/>
                <w:sz w:val="24"/>
                <w:szCs w:val="24"/>
              </w:rPr>
            </w:pPr>
            <w:r w:rsidRPr="00EA1BB2">
              <w:rPr>
                <w:rFonts w:ascii="Cambria" w:hAnsi="Cambria"/>
                <w:b/>
                <w:sz w:val="24"/>
                <w:szCs w:val="24"/>
              </w:rPr>
              <w:t>Categorie surse de emisie</w:t>
            </w:r>
          </w:p>
        </w:tc>
        <w:tc>
          <w:tcPr>
            <w:tcW w:w="1993" w:type="pct"/>
            <w:gridSpan w:val="2"/>
            <w:shd w:val="clear" w:color="auto" w:fill="BDD6EE" w:themeFill="accent1" w:themeFillTint="66"/>
            <w:vAlign w:val="center"/>
          </w:tcPr>
          <w:p w14:paraId="2DA58507" w14:textId="77777777" w:rsidR="007D21F2" w:rsidRPr="00EA1BB2" w:rsidRDefault="007D21F2" w:rsidP="007D21F2">
            <w:pPr>
              <w:jc w:val="center"/>
              <w:rPr>
                <w:rFonts w:ascii="Cambria" w:hAnsi="Cambria"/>
                <w:b/>
                <w:sz w:val="24"/>
                <w:szCs w:val="24"/>
              </w:rPr>
            </w:pPr>
            <w:r w:rsidRPr="00EA1BB2">
              <w:rPr>
                <w:rFonts w:ascii="Cambria" w:hAnsi="Cambria"/>
                <w:b/>
                <w:sz w:val="24"/>
                <w:szCs w:val="24"/>
              </w:rPr>
              <w:t>Cantitatea totală de emisii 2013</w:t>
            </w:r>
          </w:p>
        </w:tc>
      </w:tr>
      <w:tr w:rsidR="007D21F2" w:rsidRPr="00EA1BB2" w14:paraId="615661B3" w14:textId="77777777" w:rsidTr="00FC5B00">
        <w:trPr>
          <w:trHeight w:val="280"/>
          <w:tblHeader/>
          <w:jc w:val="center"/>
        </w:trPr>
        <w:tc>
          <w:tcPr>
            <w:tcW w:w="1452" w:type="pct"/>
            <w:vMerge/>
            <w:shd w:val="clear" w:color="auto" w:fill="BDD6EE" w:themeFill="accent1" w:themeFillTint="66"/>
            <w:vAlign w:val="center"/>
          </w:tcPr>
          <w:p w14:paraId="42A690F7" w14:textId="77777777" w:rsidR="007D21F2" w:rsidRPr="00EA1BB2" w:rsidRDefault="007D21F2" w:rsidP="00072BE4">
            <w:pPr>
              <w:jc w:val="center"/>
              <w:rPr>
                <w:rFonts w:ascii="Cambria" w:hAnsi="Cambria"/>
                <w:b/>
                <w:sz w:val="24"/>
                <w:szCs w:val="24"/>
              </w:rPr>
            </w:pPr>
          </w:p>
        </w:tc>
        <w:tc>
          <w:tcPr>
            <w:tcW w:w="1555" w:type="pct"/>
            <w:vMerge/>
            <w:shd w:val="clear" w:color="auto" w:fill="BDD6EE" w:themeFill="accent1" w:themeFillTint="66"/>
            <w:vAlign w:val="center"/>
          </w:tcPr>
          <w:p w14:paraId="0B143451" w14:textId="77777777" w:rsidR="007D21F2" w:rsidRPr="00EA1BB2" w:rsidRDefault="007D21F2" w:rsidP="00072BE4">
            <w:pPr>
              <w:jc w:val="center"/>
              <w:rPr>
                <w:rFonts w:ascii="Cambria" w:hAnsi="Cambria"/>
                <w:b/>
                <w:sz w:val="24"/>
                <w:szCs w:val="24"/>
              </w:rPr>
            </w:pPr>
          </w:p>
        </w:tc>
        <w:tc>
          <w:tcPr>
            <w:tcW w:w="1115" w:type="pct"/>
            <w:shd w:val="clear" w:color="auto" w:fill="BDD6EE" w:themeFill="accent1" w:themeFillTint="66"/>
            <w:vAlign w:val="center"/>
          </w:tcPr>
          <w:p w14:paraId="2127C013" w14:textId="77777777" w:rsidR="007D21F2" w:rsidRPr="00EA1BB2" w:rsidRDefault="007D21F2" w:rsidP="00072BE4">
            <w:pPr>
              <w:jc w:val="center"/>
              <w:rPr>
                <w:rFonts w:ascii="Cambria" w:hAnsi="Cambria"/>
                <w:b/>
                <w:sz w:val="24"/>
                <w:szCs w:val="24"/>
              </w:rPr>
            </w:pPr>
            <w:r w:rsidRPr="00EA1BB2">
              <w:rPr>
                <w:rFonts w:ascii="Cambria" w:hAnsi="Cambria"/>
                <w:b/>
                <w:sz w:val="24"/>
                <w:szCs w:val="24"/>
              </w:rPr>
              <w:t>(t/an)</w:t>
            </w:r>
          </w:p>
        </w:tc>
        <w:tc>
          <w:tcPr>
            <w:tcW w:w="878" w:type="pct"/>
            <w:shd w:val="clear" w:color="auto" w:fill="BDD6EE" w:themeFill="accent1" w:themeFillTint="66"/>
          </w:tcPr>
          <w:p w14:paraId="0D0058AB" w14:textId="77777777" w:rsidR="007D21F2" w:rsidRPr="00EA1BB2" w:rsidRDefault="007D21F2" w:rsidP="00072BE4">
            <w:pPr>
              <w:jc w:val="center"/>
              <w:rPr>
                <w:rFonts w:ascii="Cambria" w:hAnsi="Cambria"/>
                <w:b/>
                <w:sz w:val="24"/>
                <w:szCs w:val="24"/>
              </w:rPr>
            </w:pPr>
            <w:r w:rsidRPr="00EA1BB2">
              <w:rPr>
                <w:rFonts w:ascii="Cambria" w:hAnsi="Cambria"/>
                <w:b/>
                <w:sz w:val="24"/>
                <w:szCs w:val="24"/>
              </w:rPr>
              <w:t>%</w:t>
            </w:r>
          </w:p>
        </w:tc>
      </w:tr>
      <w:tr w:rsidR="00FC5B00" w:rsidRPr="00EA1BB2" w14:paraId="405C7183" w14:textId="77777777" w:rsidTr="00FC5B00">
        <w:trPr>
          <w:jc w:val="center"/>
        </w:trPr>
        <w:tc>
          <w:tcPr>
            <w:tcW w:w="1452" w:type="pct"/>
            <w:vMerge w:val="restart"/>
            <w:vAlign w:val="center"/>
          </w:tcPr>
          <w:p w14:paraId="49EEF81A" w14:textId="77777777" w:rsidR="00FC5B00" w:rsidRPr="00EA1BB2" w:rsidRDefault="00FC5B00" w:rsidP="00FC5B00">
            <w:pPr>
              <w:jc w:val="center"/>
              <w:rPr>
                <w:rFonts w:ascii="Cambria" w:hAnsi="Cambria"/>
                <w:sz w:val="24"/>
                <w:szCs w:val="24"/>
              </w:rPr>
            </w:pPr>
            <w:r w:rsidRPr="00EA1BB2">
              <w:rPr>
                <w:rFonts w:ascii="Cambria" w:hAnsi="Cambria"/>
                <w:sz w:val="24"/>
                <w:szCs w:val="24"/>
              </w:rPr>
              <w:t>Oxizi de azot*</w:t>
            </w:r>
          </w:p>
          <w:p w14:paraId="6FB0E2BF" w14:textId="77777777" w:rsidR="00FC5B00" w:rsidRPr="00EA1BB2" w:rsidRDefault="00FC5B00" w:rsidP="00FC5B00">
            <w:pPr>
              <w:jc w:val="center"/>
              <w:rPr>
                <w:rFonts w:ascii="Cambria" w:hAnsi="Cambria"/>
                <w:sz w:val="24"/>
                <w:szCs w:val="24"/>
              </w:rPr>
            </w:pPr>
            <w:r w:rsidRPr="00EA1BB2">
              <w:rPr>
                <w:rFonts w:ascii="Cambria" w:hAnsi="Cambria"/>
                <w:sz w:val="24"/>
                <w:szCs w:val="24"/>
              </w:rPr>
              <w:t>(NO</w:t>
            </w:r>
            <w:r w:rsidRPr="00EA1BB2">
              <w:rPr>
                <w:rFonts w:ascii="Cambria" w:hAnsi="Cambria"/>
                <w:sz w:val="24"/>
                <w:szCs w:val="24"/>
                <w:vertAlign w:val="subscript"/>
              </w:rPr>
              <w:t>X</w:t>
            </w:r>
            <w:r w:rsidRPr="00EA1BB2">
              <w:rPr>
                <w:rFonts w:ascii="Cambria" w:hAnsi="Cambria"/>
                <w:sz w:val="24"/>
                <w:szCs w:val="24"/>
              </w:rPr>
              <w:t xml:space="preserve">) </w:t>
            </w:r>
          </w:p>
        </w:tc>
        <w:tc>
          <w:tcPr>
            <w:tcW w:w="1555" w:type="pct"/>
            <w:vAlign w:val="center"/>
          </w:tcPr>
          <w:p w14:paraId="6FF7A967" w14:textId="77777777" w:rsidR="00FC5B00" w:rsidRPr="00EA1BB2" w:rsidRDefault="00FC5B00" w:rsidP="00FC5B00">
            <w:pPr>
              <w:jc w:val="center"/>
              <w:rPr>
                <w:rFonts w:ascii="Cambria" w:hAnsi="Cambria"/>
                <w:sz w:val="24"/>
                <w:szCs w:val="24"/>
              </w:rPr>
            </w:pPr>
            <w:r w:rsidRPr="00EA1BB2">
              <w:rPr>
                <w:rFonts w:ascii="Cambria" w:hAnsi="Cambria"/>
                <w:sz w:val="24"/>
                <w:szCs w:val="24"/>
              </w:rPr>
              <w:t>Surse staționare</w:t>
            </w:r>
          </w:p>
        </w:tc>
        <w:tc>
          <w:tcPr>
            <w:tcW w:w="1115" w:type="pct"/>
            <w:tcBorders>
              <w:top w:val="single" w:sz="4" w:space="0" w:color="auto"/>
              <w:left w:val="nil"/>
              <w:bottom w:val="single" w:sz="4" w:space="0" w:color="auto"/>
              <w:right w:val="single" w:sz="4" w:space="0" w:color="auto"/>
            </w:tcBorders>
            <w:shd w:val="clear" w:color="auto" w:fill="auto"/>
          </w:tcPr>
          <w:p w14:paraId="0B2AC38A" w14:textId="77777777" w:rsidR="00FC5B00" w:rsidRPr="00EA1BB2" w:rsidRDefault="00FC5B00" w:rsidP="00FC5B00">
            <w:pPr>
              <w:jc w:val="center"/>
              <w:rPr>
                <w:rFonts w:ascii="Cambria" w:hAnsi="Cambria"/>
                <w:color w:val="000000"/>
                <w:sz w:val="24"/>
                <w:szCs w:val="24"/>
              </w:rPr>
            </w:pPr>
            <w:r w:rsidRPr="00EA1BB2">
              <w:rPr>
                <w:rFonts w:ascii="Cambria" w:hAnsi="Cambria"/>
                <w:sz w:val="24"/>
                <w:szCs w:val="24"/>
              </w:rPr>
              <w:t>16,904</w:t>
            </w:r>
          </w:p>
        </w:tc>
        <w:tc>
          <w:tcPr>
            <w:tcW w:w="878" w:type="pct"/>
            <w:tcBorders>
              <w:top w:val="single" w:sz="4" w:space="0" w:color="auto"/>
              <w:left w:val="nil"/>
              <w:bottom w:val="single" w:sz="4" w:space="0" w:color="auto"/>
              <w:right w:val="single" w:sz="4" w:space="0" w:color="auto"/>
            </w:tcBorders>
          </w:tcPr>
          <w:p w14:paraId="029C4700" w14:textId="77777777" w:rsidR="00FC5B00" w:rsidRPr="00EA1BB2" w:rsidRDefault="00E01F00" w:rsidP="00FC5B00">
            <w:pPr>
              <w:jc w:val="center"/>
              <w:rPr>
                <w:rFonts w:ascii="Cambria" w:hAnsi="Cambria"/>
                <w:sz w:val="24"/>
                <w:szCs w:val="24"/>
              </w:rPr>
            </w:pPr>
            <w:r w:rsidRPr="00EA1BB2">
              <w:rPr>
                <w:rFonts w:ascii="Cambria" w:hAnsi="Cambria"/>
                <w:sz w:val="24"/>
                <w:szCs w:val="24"/>
              </w:rPr>
              <w:t>3,67</w:t>
            </w:r>
          </w:p>
        </w:tc>
      </w:tr>
      <w:tr w:rsidR="00FC5B00" w:rsidRPr="00EA1BB2" w14:paraId="58339B62" w14:textId="77777777" w:rsidTr="00FC5B00">
        <w:trPr>
          <w:jc w:val="center"/>
        </w:trPr>
        <w:tc>
          <w:tcPr>
            <w:tcW w:w="1452" w:type="pct"/>
            <w:vMerge/>
            <w:vAlign w:val="center"/>
          </w:tcPr>
          <w:p w14:paraId="357B965E" w14:textId="77777777" w:rsidR="00FC5B00" w:rsidRPr="00EA1BB2" w:rsidRDefault="00FC5B00" w:rsidP="00FC5B00">
            <w:pPr>
              <w:jc w:val="center"/>
              <w:rPr>
                <w:rFonts w:ascii="Cambria" w:hAnsi="Cambria"/>
                <w:sz w:val="24"/>
                <w:szCs w:val="24"/>
              </w:rPr>
            </w:pPr>
          </w:p>
        </w:tc>
        <w:tc>
          <w:tcPr>
            <w:tcW w:w="1555" w:type="pct"/>
            <w:vAlign w:val="center"/>
          </w:tcPr>
          <w:p w14:paraId="61447494" w14:textId="77777777" w:rsidR="00FC5B00" w:rsidRPr="00EA1BB2" w:rsidRDefault="00FC5B00" w:rsidP="00FC5B00">
            <w:pPr>
              <w:jc w:val="center"/>
              <w:rPr>
                <w:rFonts w:ascii="Cambria" w:hAnsi="Cambria"/>
                <w:sz w:val="24"/>
                <w:szCs w:val="24"/>
              </w:rPr>
            </w:pPr>
            <w:r w:rsidRPr="00EA1BB2">
              <w:rPr>
                <w:rFonts w:ascii="Cambria" w:hAnsi="Cambria"/>
                <w:sz w:val="24"/>
                <w:szCs w:val="24"/>
              </w:rPr>
              <w:t>Surse mobile</w:t>
            </w:r>
          </w:p>
        </w:tc>
        <w:tc>
          <w:tcPr>
            <w:tcW w:w="1115" w:type="pct"/>
            <w:tcBorders>
              <w:top w:val="single" w:sz="4" w:space="0" w:color="auto"/>
              <w:left w:val="nil"/>
              <w:bottom w:val="single" w:sz="4" w:space="0" w:color="auto"/>
              <w:right w:val="single" w:sz="4" w:space="0" w:color="auto"/>
            </w:tcBorders>
            <w:shd w:val="clear" w:color="auto" w:fill="auto"/>
          </w:tcPr>
          <w:p w14:paraId="1A394934" w14:textId="77777777" w:rsidR="00FC5B00" w:rsidRPr="00EA1BB2" w:rsidRDefault="00FC5B00" w:rsidP="00FC5B00">
            <w:pPr>
              <w:jc w:val="center"/>
              <w:rPr>
                <w:rFonts w:ascii="Cambria" w:hAnsi="Cambria"/>
                <w:color w:val="000000"/>
                <w:sz w:val="24"/>
                <w:szCs w:val="24"/>
              </w:rPr>
            </w:pPr>
            <w:r w:rsidRPr="00EA1BB2">
              <w:rPr>
                <w:rFonts w:ascii="Cambria" w:hAnsi="Cambria"/>
                <w:sz w:val="24"/>
                <w:szCs w:val="24"/>
              </w:rPr>
              <w:t>408,437</w:t>
            </w:r>
          </w:p>
        </w:tc>
        <w:tc>
          <w:tcPr>
            <w:tcW w:w="878" w:type="pct"/>
            <w:tcBorders>
              <w:top w:val="single" w:sz="4" w:space="0" w:color="auto"/>
              <w:left w:val="nil"/>
              <w:bottom w:val="single" w:sz="4" w:space="0" w:color="auto"/>
              <w:right w:val="single" w:sz="4" w:space="0" w:color="auto"/>
            </w:tcBorders>
          </w:tcPr>
          <w:p w14:paraId="22BA17E6" w14:textId="77777777" w:rsidR="00FC5B00" w:rsidRPr="00EA1BB2" w:rsidRDefault="00E01F00" w:rsidP="00FC5B00">
            <w:pPr>
              <w:jc w:val="center"/>
              <w:rPr>
                <w:rFonts w:ascii="Cambria" w:hAnsi="Cambria"/>
                <w:sz w:val="24"/>
                <w:szCs w:val="24"/>
              </w:rPr>
            </w:pPr>
            <w:r w:rsidRPr="00EA1BB2">
              <w:rPr>
                <w:rFonts w:ascii="Cambria" w:hAnsi="Cambria"/>
                <w:sz w:val="24"/>
                <w:szCs w:val="24"/>
              </w:rPr>
              <w:t>88,71</w:t>
            </w:r>
          </w:p>
        </w:tc>
      </w:tr>
      <w:tr w:rsidR="00FC5B00" w:rsidRPr="00EA1BB2" w14:paraId="16C566C0" w14:textId="77777777" w:rsidTr="00FC5B00">
        <w:trPr>
          <w:trHeight w:val="182"/>
          <w:jc w:val="center"/>
        </w:trPr>
        <w:tc>
          <w:tcPr>
            <w:tcW w:w="1452" w:type="pct"/>
            <w:vMerge/>
            <w:vAlign w:val="center"/>
          </w:tcPr>
          <w:p w14:paraId="4EDCEDB8" w14:textId="77777777" w:rsidR="00FC5B00" w:rsidRPr="00EA1BB2" w:rsidRDefault="00FC5B00" w:rsidP="00FC5B00">
            <w:pPr>
              <w:jc w:val="center"/>
              <w:rPr>
                <w:rFonts w:ascii="Cambria" w:hAnsi="Cambria"/>
                <w:sz w:val="24"/>
                <w:szCs w:val="24"/>
              </w:rPr>
            </w:pPr>
          </w:p>
        </w:tc>
        <w:tc>
          <w:tcPr>
            <w:tcW w:w="1555" w:type="pct"/>
            <w:vAlign w:val="center"/>
          </w:tcPr>
          <w:p w14:paraId="0C9893FF" w14:textId="77777777" w:rsidR="00FC5B00" w:rsidRPr="00EA1BB2" w:rsidRDefault="00FC5B00" w:rsidP="00FC5B00">
            <w:pPr>
              <w:jc w:val="center"/>
              <w:rPr>
                <w:rFonts w:ascii="Cambria" w:hAnsi="Cambria"/>
                <w:sz w:val="24"/>
                <w:szCs w:val="24"/>
              </w:rPr>
            </w:pPr>
            <w:r w:rsidRPr="00EA1BB2">
              <w:rPr>
                <w:rFonts w:ascii="Cambria" w:hAnsi="Cambria"/>
                <w:sz w:val="24"/>
                <w:szCs w:val="24"/>
              </w:rPr>
              <w:t>Surse de suprafață</w:t>
            </w:r>
          </w:p>
        </w:tc>
        <w:tc>
          <w:tcPr>
            <w:tcW w:w="1115" w:type="pct"/>
            <w:tcBorders>
              <w:top w:val="single" w:sz="4" w:space="0" w:color="auto"/>
              <w:left w:val="nil"/>
              <w:bottom w:val="single" w:sz="4" w:space="0" w:color="auto"/>
              <w:right w:val="single" w:sz="4" w:space="0" w:color="auto"/>
            </w:tcBorders>
            <w:shd w:val="clear" w:color="auto" w:fill="auto"/>
          </w:tcPr>
          <w:p w14:paraId="5472638B" w14:textId="77777777" w:rsidR="00FC5B00" w:rsidRPr="00EA1BB2" w:rsidRDefault="00FC5B00" w:rsidP="00FC5B00">
            <w:pPr>
              <w:jc w:val="center"/>
              <w:rPr>
                <w:rFonts w:ascii="Cambria" w:hAnsi="Cambria"/>
                <w:color w:val="000000"/>
                <w:sz w:val="24"/>
                <w:szCs w:val="24"/>
              </w:rPr>
            </w:pPr>
            <w:r w:rsidRPr="00EA1BB2">
              <w:rPr>
                <w:rFonts w:ascii="Cambria" w:hAnsi="Cambria"/>
                <w:sz w:val="24"/>
                <w:szCs w:val="24"/>
              </w:rPr>
              <w:t>35,065</w:t>
            </w:r>
          </w:p>
        </w:tc>
        <w:tc>
          <w:tcPr>
            <w:tcW w:w="878" w:type="pct"/>
            <w:tcBorders>
              <w:top w:val="single" w:sz="4" w:space="0" w:color="auto"/>
              <w:left w:val="nil"/>
              <w:bottom w:val="single" w:sz="4" w:space="0" w:color="auto"/>
              <w:right w:val="single" w:sz="4" w:space="0" w:color="auto"/>
            </w:tcBorders>
          </w:tcPr>
          <w:p w14:paraId="4361B765" w14:textId="77777777" w:rsidR="00FC5B00" w:rsidRPr="00EA1BB2" w:rsidRDefault="00E01F00" w:rsidP="00FC5B00">
            <w:pPr>
              <w:jc w:val="center"/>
              <w:rPr>
                <w:rFonts w:ascii="Cambria" w:hAnsi="Cambria"/>
                <w:sz w:val="24"/>
                <w:szCs w:val="24"/>
              </w:rPr>
            </w:pPr>
            <w:r w:rsidRPr="00EA1BB2">
              <w:rPr>
                <w:rFonts w:ascii="Cambria" w:hAnsi="Cambria"/>
                <w:sz w:val="24"/>
                <w:szCs w:val="24"/>
              </w:rPr>
              <w:t>7,62</w:t>
            </w:r>
          </w:p>
        </w:tc>
      </w:tr>
      <w:tr w:rsidR="00FC5B00" w:rsidRPr="00EA1BB2" w14:paraId="62E8F2DE" w14:textId="77777777" w:rsidTr="00FC5B00">
        <w:trPr>
          <w:jc w:val="center"/>
        </w:trPr>
        <w:tc>
          <w:tcPr>
            <w:tcW w:w="1452" w:type="pct"/>
            <w:vMerge/>
            <w:vAlign w:val="center"/>
          </w:tcPr>
          <w:p w14:paraId="2E038B0C" w14:textId="77777777" w:rsidR="00FC5B00" w:rsidRPr="00EA1BB2" w:rsidRDefault="00FC5B00" w:rsidP="00FC5B00">
            <w:pPr>
              <w:jc w:val="center"/>
              <w:rPr>
                <w:rFonts w:ascii="Cambria" w:hAnsi="Cambria"/>
                <w:sz w:val="24"/>
                <w:szCs w:val="24"/>
              </w:rPr>
            </w:pPr>
          </w:p>
        </w:tc>
        <w:tc>
          <w:tcPr>
            <w:tcW w:w="1555" w:type="pct"/>
            <w:vAlign w:val="center"/>
          </w:tcPr>
          <w:p w14:paraId="58FA2725" w14:textId="77777777" w:rsidR="00FC5B00" w:rsidRPr="00EA1BB2" w:rsidRDefault="00FC5B00" w:rsidP="00FC5B00">
            <w:pPr>
              <w:jc w:val="center"/>
              <w:rPr>
                <w:rFonts w:ascii="Cambria" w:hAnsi="Cambria"/>
                <w:sz w:val="24"/>
                <w:szCs w:val="24"/>
              </w:rPr>
            </w:pPr>
            <w:r w:rsidRPr="00EA1BB2">
              <w:rPr>
                <w:rFonts w:ascii="Cambria" w:hAnsi="Cambria"/>
                <w:sz w:val="24"/>
                <w:szCs w:val="24"/>
              </w:rPr>
              <w:t>TOTAL</w:t>
            </w:r>
          </w:p>
        </w:tc>
        <w:tc>
          <w:tcPr>
            <w:tcW w:w="1115" w:type="pct"/>
            <w:tcBorders>
              <w:top w:val="single" w:sz="4" w:space="0" w:color="auto"/>
              <w:left w:val="nil"/>
              <w:bottom w:val="single" w:sz="4" w:space="0" w:color="auto"/>
              <w:right w:val="single" w:sz="4" w:space="0" w:color="auto"/>
            </w:tcBorders>
            <w:shd w:val="clear" w:color="auto" w:fill="auto"/>
          </w:tcPr>
          <w:p w14:paraId="0FBCA3D7" w14:textId="77777777" w:rsidR="00FC5B00" w:rsidRPr="00EA1BB2" w:rsidRDefault="00FC5B00" w:rsidP="00FC5B00">
            <w:pPr>
              <w:jc w:val="center"/>
              <w:rPr>
                <w:rFonts w:ascii="Cambria" w:hAnsi="Cambria"/>
                <w:color w:val="000000"/>
                <w:sz w:val="24"/>
                <w:szCs w:val="24"/>
              </w:rPr>
            </w:pPr>
            <w:r w:rsidRPr="00EA1BB2">
              <w:rPr>
                <w:rFonts w:ascii="Cambria" w:hAnsi="Cambria"/>
                <w:sz w:val="24"/>
                <w:szCs w:val="24"/>
              </w:rPr>
              <w:t>460,407</w:t>
            </w:r>
          </w:p>
        </w:tc>
        <w:tc>
          <w:tcPr>
            <w:tcW w:w="878" w:type="pct"/>
            <w:tcBorders>
              <w:top w:val="single" w:sz="4" w:space="0" w:color="auto"/>
              <w:left w:val="nil"/>
              <w:bottom w:val="single" w:sz="4" w:space="0" w:color="auto"/>
              <w:right w:val="single" w:sz="4" w:space="0" w:color="auto"/>
            </w:tcBorders>
          </w:tcPr>
          <w:p w14:paraId="52E62A13" w14:textId="77777777" w:rsidR="00FC5B00" w:rsidRPr="00EA1BB2" w:rsidRDefault="00E01F00" w:rsidP="00FC5B00">
            <w:pPr>
              <w:jc w:val="center"/>
              <w:rPr>
                <w:rFonts w:ascii="Cambria" w:hAnsi="Cambria"/>
                <w:sz w:val="24"/>
                <w:szCs w:val="24"/>
              </w:rPr>
            </w:pPr>
            <w:r w:rsidRPr="00EA1BB2">
              <w:rPr>
                <w:rFonts w:ascii="Cambria" w:hAnsi="Cambria"/>
                <w:sz w:val="24"/>
                <w:szCs w:val="24"/>
              </w:rPr>
              <w:t>100</w:t>
            </w:r>
          </w:p>
        </w:tc>
      </w:tr>
      <w:tr w:rsidR="00FC5B00" w:rsidRPr="00EA1BB2" w14:paraId="07E9883F" w14:textId="77777777" w:rsidTr="00FC5B00">
        <w:trPr>
          <w:jc w:val="center"/>
        </w:trPr>
        <w:tc>
          <w:tcPr>
            <w:tcW w:w="1452" w:type="pct"/>
            <w:vMerge w:val="restart"/>
            <w:vAlign w:val="center"/>
          </w:tcPr>
          <w:p w14:paraId="1DBA11EE" w14:textId="77777777" w:rsidR="00FC5B00" w:rsidRPr="00EA1BB2" w:rsidRDefault="00FC5B00" w:rsidP="00FC5B00">
            <w:pPr>
              <w:jc w:val="center"/>
              <w:rPr>
                <w:rFonts w:ascii="Cambria" w:hAnsi="Cambria"/>
                <w:sz w:val="24"/>
                <w:szCs w:val="24"/>
              </w:rPr>
            </w:pPr>
            <w:r w:rsidRPr="00EA1BB2">
              <w:rPr>
                <w:rFonts w:ascii="Cambria" w:hAnsi="Cambria"/>
                <w:sz w:val="24"/>
                <w:szCs w:val="24"/>
              </w:rPr>
              <w:t>Pulberi în suspensie (PM</w:t>
            </w:r>
            <w:r w:rsidRPr="00EA1BB2">
              <w:rPr>
                <w:rFonts w:ascii="Cambria" w:hAnsi="Cambria"/>
                <w:sz w:val="24"/>
                <w:szCs w:val="24"/>
                <w:vertAlign w:val="subscript"/>
              </w:rPr>
              <w:t>10</w:t>
            </w:r>
            <w:r w:rsidRPr="00EA1BB2">
              <w:rPr>
                <w:rFonts w:ascii="Cambria" w:hAnsi="Cambria"/>
                <w:sz w:val="24"/>
                <w:szCs w:val="24"/>
              </w:rPr>
              <w:t>)</w:t>
            </w:r>
          </w:p>
        </w:tc>
        <w:tc>
          <w:tcPr>
            <w:tcW w:w="1555" w:type="pct"/>
            <w:vAlign w:val="center"/>
          </w:tcPr>
          <w:p w14:paraId="064EA4CA" w14:textId="77777777" w:rsidR="00FC5B00" w:rsidRPr="00EA1BB2" w:rsidRDefault="00FC5B00" w:rsidP="00FC5B00">
            <w:pPr>
              <w:jc w:val="center"/>
              <w:rPr>
                <w:rFonts w:ascii="Cambria" w:hAnsi="Cambria"/>
                <w:sz w:val="24"/>
                <w:szCs w:val="24"/>
              </w:rPr>
            </w:pPr>
            <w:r w:rsidRPr="00EA1BB2">
              <w:rPr>
                <w:rFonts w:ascii="Cambria" w:hAnsi="Cambria"/>
                <w:sz w:val="24"/>
                <w:szCs w:val="24"/>
              </w:rPr>
              <w:t>Surse staționare</w:t>
            </w:r>
          </w:p>
        </w:tc>
        <w:tc>
          <w:tcPr>
            <w:tcW w:w="1115" w:type="pct"/>
            <w:tcBorders>
              <w:top w:val="single" w:sz="4" w:space="0" w:color="auto"/>
              <w:left w:val="nil"/>
              <w:bottom w:val="single" w:sz="4" w:space="0" w:color="auto"/>
              <w:right w:val="single" w:sz="4" w:space="0" w:color="auto"/>
            </w:tcBorders>
            <w:shd w:val="clear" w:color="auto" w:fill="auto"/>
          </w:tcPr>
          <w:p w14:paraId="12149E3F" w14:textId="77777777" w:rsidR="00FC5B00" w:rsidRPr="00EA1BB2" w:rsidRDefault="00FC5B00" w:rsidP="00FC5B00">
            <w:pPr>
              <w:jc w:val="center"/>
              <w:rPr>
                <w:rFonts w:ascii="Cambria" w:hAnsi="Cambria"/>
                <w:color w:val="000000"/>
                <w:sz w:val="24"/>
                <w:szCs w:val="24"/>
              </w:rPr>
            </w:pPr>
            <w:r w:rsidRPr="00EA1BB2">
              <w:rPr>
                <w:rFonts w:ascii="Cambria" w:hAnsi="Cambria"/>
                <w:sz w:val="24"/>
                <w:szCs w:val="24"/>
              </w:rPr>
              <w:t>504,249</w:t>
            </w:r>
          </w:p>
        </w:tc>
        <w:tc>
          <w:tcPr>
            <w:tcW w:w="878" w:type="pct"/>
            <w:tcBorders>
              <w:top w:val="single" w:sz="4" w:space="0" w:color="auto"/>
              <w:left w:val="nil"/>
              <w:bottom w:val="single" w:sz="4" w:space="0" w:color="auto"/>
              <w:right w:val="single" w:sz="4" w:space="0" w:color="auto"/>
            </w:tcBorders>
          </w:tcPr>
          <w:p w14:paraId="3C078797" w14:textId="77777777" w:rsidR="00FC5B00" w:rsidRPr="00EA1BB2" w:rsidRDefault="00E01F00" w:rsidP="00FC5B00">
            <w:pPr>
              <w:jc w:val="center"/>
              <w:rPr>
                <w:rFonts w:ascii="Cambria" w:hAnsi="Cambria"/>
                <w:sz w:val="24"/>
                <w:szCs w:val="24"/>
              </w:rPr>
            </w:pPr>
            <w:r w:rsidRPr="00EA1BB2">
              <w:rPr>
                <w:rFonts w:ascii="Cambria" w:hAnsi="Cambria"/>
                <w:sz w:val="24"/>
                <w:szCs w:val="24"/>
              </w:rPr>
              <w:t>62,00</w:t>
            </w:r>
          </w:p>
        </w:tc>
      </w:tr>
      <w:tr w:rsidR="00FC5B00" w:rsidRPr="00EA1BB2" w14:paraId="5D4C559C" w14:textId="77777777" w:rsidTr="00FC5B00">
        <w:trPr>
          <w:jc w:val="center"/>
        </w:trPr>
        <w:tc>
          <w:tcPr>
            <w:tcW w:w="1452" w:type="pct"/>
            <w:vMerge/>
            <w:vAlign w:val="center"/>
          </w:tcPr>
          <w:p w14:paraId="251C8AF1" w14:textId="77777777" w:rsidR="00FC5B00" w:rsidRPr="00EA1BB2" w:rsidRDefault="00FC5B00" w:rsidP="00FC5B00">
            <w:pPr>
              <w:jc w:val="center"/>
              <w:rPr>
                <w:rFonts w:ascii="Cambria" w:hAnsi="Cambria"/>
                <w:sz w:val="24"/>
                <w:szCs w:val="24"/>
              </w:rPr>
            </w:pPr>
          </w:p>
        </w:tc>
        <w:tc>
          <w:tcPr>
            <w:tcW w:w="1555" w:type="pct"/>
            <w:vAlign w:val="center"/>
          </w:tcPr>
          <w:p w14:paraId="530AFFEA" w14:textId="77777777" w:rsidR="00FC5B00" w:rsidRPr="00EA1BB2" w:rsidRDefault="00FC5B00" w:rsidP="00FC5B00">
            <w:pPr>
              <w:jc w:val="center"/>
              <w:rPr>
                <w:rFonts w:ascii="Cambria" w:hAnsi="Cambria"/>
                <w:sz w:val="24"/>
                <w:szCs w:val="24"/>
              </w:rPr>
            </w:pPr>
            <w:r w:rsidRPr="00EA1BB2">
              <w:rPr>
                <w:rFonts w:ascii="Cambria" w:hAnsi="Cambria"/>
                <w:sz w:val="24"/>
                <w:szCs w:val="24"/>
              </w:rPr>
              <w:t>Surse mobile</w:t>
            </w:r>
          </w:p>
        </w:tc>
        <w:tc>
          <w:tcPr>
            <w:tcW w:w="1115" w:type="pct"/>
            <w:tcBorders>
              <w:top w:val="single" w:sz="4" w:space="0" w:color="auto"/>
              <w:left w:val="nil"/>
              <w:bottom w:val="single" w:sz="4" w:space="0" w:color="auto"/>
              <w:right w:val="single" w:sz="4" w:space="0" w:color="auto"/>
            </w:tcBorders>
            <w:shd w:val="clear" w:color="auto" w:fill="auto"/>
          </w:tcPr>
          <w:p w14:paraId="68088EF8" w14:textId="77777777" w:rsidR="00FC5B00" w:rsidRPr="00EA1BB2" w:rsidRDefault="00FC5B00" w:rsidP="00FC5B00">
            <w:pPr>
              <w:jc w:val="center"/>
              <w:rPr>
                <w:rFonts w:ascii="Cambria" w:hAnsi="Cambria"/>
                <w:color w:val="000000"/>
                <w:sz w:val="24"/>
                <w:szCs w:val="24"/>
              </w:rPr>
            </w:pPr>
            <w:r w:rsidRPr="00EA1BB2">
              <w:rPr>
                <w:rFonts w:ascii="Cambria" w:hAnsi="Cambria"/>
                <w:sz w:val="24"/>
                <w:szCs w:val="24"/>
              </w:rPr>
              <w:t>42,500</w:t>
            </w:r>
          </w:p>
        </w:tc>
        <w:tc>
          <w:tcPr>
            <w:tcW w:w="878" w:type="pct"/>
            <w:tcBorders>
              <w:top w:val="single" w:sz="4" w:space="0" w:color="auto"/>
              <w:left w:val="nil"/>
              <w:bottom w:val="single" w:sz="4" w:space="0" w:color="auto"/>
              <w:right w:val="single" w:sz="4" w:space="0" w:color="auto"/>
            </w:tcBorders>
          </w:tcPr>
          <w:p w14:paraId="2B61AD91" w14:textId="77777777" w:rsidR="00FC5B00" w:rsidRPr="00EA1BB2" w:rsidRDefault="00E01F00" w:rsidP="00FC5B00">
            <w:pPr>
              <w:jc w:val="center"/>
              <w:rPr>
                <w:rFonts w:ascii="Cambria" w:hAnsi="Cambria"/>
                <w:sz w:val="24"/>
                <w:szCs w:val="24"/>
              </w:rPr>
            </w:pPr>
            <w:r w:rsidRPr="00EA1BB2">
              <w:rPr>
                <w:rFonts w:ascii="Cambria" w:hAnsi="Cambria"/>
                <w:sz w:val="24"/>
                <w:szCs w:val="24"/>
              </w:rPr>
              <w:t>5,23</w:t>
            </w:r>
          </w:p>
        </w:tc>
      </w:tr>
      <w:tr w:rsidR="00FC5B00" w:rsidRPr="00EA1BB2" w14:paraId="19D4E90E" w14:textId="77777777" w:rsidTr="00FC5B00">
        <w:trPr>
          <w:jc w:val="center"/>
        </w:trPr>
        <w:tc>
          <w:tcPr>
            <w:tcW w:w="1452" w:type="pct"/>
            <w:vMerge/>
            <w:vAlign w:val="center"/>
          </w:tcPr>
          <w:p w14:paraId="547D3BE1" w14:textId="77777777" w:rsidR="00FC5B00" w:rsidRPr="00EA1BB2" w:rsidRDefault="00FC5B00" w:rsidP="00FC5B00">
            <w:pPr>
              <w:jc w:val="center"/>
              <w:rPr>
                <w:rFonts w:ascii="Cambria" w:hAnsi="Cambria"/>
                <w:sz w:val="24"/>
                <w:szCs w:val="24"/>
              </w:rPr>
            </w:pPr>
          </w:p>
        </w:tc>
        <w:tc>
          <w:tcPr>
            <w:tcW w:w="1555" w:type="pct"/>
            <w:vAlign w:val="center"/>
          </w:tcPr>
          <w:p w14:paraId="636F0A64" w14:textId="77777777" w:rsidR="00FC5B00" w:rsidRPr="00EA1BB2" w:rsidRDefault="00FC5B00" w:rsidP="00FC5B00">
            <w:pPr>
              <w:jc w:val="center"/>
              <w:rPr>
                <w:rFonts w:ascii="Cambria" w:hAnsi="Cambria"/>
                <w:sz w:val="24"/>
                <w:szCs w:val="24"/>
              </w:rPr>
            </w:pPr>
            <w:r w:rsidRPr="00EA1BB2">
              <w:rPr>
                <w:rFonts w:ascii="Cambria" w:hAnsi="Cambria"/>
                <w:sz w:val="24"/>
                <w:szCs w:val="24"/>
              </w:rPr>
              <w:t>Surse de suprafață</w:t>
            </w:r>
          </w:p>
        </w:tc>
        <w:tc>
          <w:tcPr>
            <w:tcW w:w="1115" w:type="pct"/>
            <w:tcBorders>
              <w:top w:val="single" w:sz="4" w:space="0" w:color="auto"/>
              <w:left w:val="nil"/>
              <w:bottom w:val="single" w:sz="4" w:space="0" w:color="auto"/>
              <w:right w:val="single" w:sz="4" w:space="0" w:color="auto"/>
            </w:tcBorders>
            <w:shd w:val="clear" w:color="auto" w:fill="auto"/>
          </w:tcPr>
          <w:p w14:paraId="35EE8E7F" w14:textId="77777777" w:rsidR="00FC5B00" w:rsidRPr="00EA1BB2" w:rsidRDefault="00FC5B00" w:rsidP="00FC5B00">
            <w:pPr>
              <w:jc w:val="center"/>
              <w:rPr>
                <w:rFonts w:ascii="Cambria" w:hAnsi="Cambria"/>
                <w:color w:val="000000"/>
                <w:sz w:val="24"/>
                <w:szCs w:val="24"/>
              </w:rPr>
            </w:pPr>
            <w:r w:rsidRPr="00EA1BB2">
              <w:rPr>
                <w:rFonts w:ascii="Cambria" w:hAnsi="Cambria"/>
                <w:sz w:val="24"/>
                <w:szCs w:val="24"/>
              </w:rPr>
              <w:t>266,687</w:t>
            </w:r>
          </w:p>
        </w:tc>
        <w:tc>
          <w:tcPr>
            <w:tcW w:w="878" w:type="pct"/>
            <w:tcBorders>
              <w:top w:val="single" w:sz="4" w:space="0" w:color="auto"/>
              <w:left w:val="nil"/>
              <w:bottom w:val="single" w:sz="4" w:space="0" w:color="auto"/>
              <w:right w:val="single" w:sz="4" w:space="0" w:color="auto"/>
            </w:tcBorders>
          </w:tcPr>
          <w:p w14:paraId="1BDD74C2" w14:textId="77777777" w:rsidR="00FC5B00" w:rsidRPr="00EA1BB2" w:rsidRDefault="00E01F00" w:rsidP="00FC5B00">
            <w:pPr>
              <w:jc w:val="center"/>
              <w:rPr>
                <w:rFonts w:ascii="Cambria" w:hAnsi="Cambria"/>
                <w:sz w:val="24"/>
                <w:szCs w:val="24"/>
              </w:rPr>
            </w:pPr>
            <w:r w:rsidRPr="00EA1BB2">
              <w:rPr>
                <w:rFonts w:ascii="Cambria" w:hAnsi="Cambria"/>
                <w:sz w:val="24"/>
                <w:szCs w:val="24"/>
              </w:rPr>
              <w:t>32,79</w:t>
            </w:r>
          </w:p>
        </w:tc>
      </w:tr>
      <w:tr w:rsidR="00FC5B00" w:rsidRPr="00EA1BB2" w14:paraId="36549905" w14:textId="77777777" w:rsidTr="00FC5B00">
        <w:trPr>
          <w:jc w:val="center"/>
        </w:trPr>
        <w:tc>
          <w:tcPr>
            <w:tcW w:w="1452" w:type="pct"/>
            <w:vMerge/>
            <w:vAlign w:val="center"/>
          </w:tcPr>
          <w:p w14:paraId="17FD88DE" w14:textId="77777777" w:rsidR="00FC5B00" w:rsidRPr="00EA1BB2" w:rsidRDefault="00FC5B00" w:rsidP="00FC5B00">
            <w:pPr>
              <w:jc w:val="center"/>
              <w:rPr>
                <w:rFonts w:ascii="Cambria" w:hAnsi="Cambria"/>
                <w:sz w:val="24"/>
                <w:szCs w:val="24"/>
              </w:rPr>
            </w:pPr>
          </w:p>
        </w:tc>
        <w:tc>
          <w:tcPr>
            <w:tcW w:w="1555" w:type="pct"/>
            <w:vAlign w:val="center"/>
          </w:tcPr>
          <w:p w14:paraId="74786AC3" w14:textId="77777777" w:rsidR="00FC5B00" w:rsidRPr="00EA1BB2" w:rsidRDefault="00FC5B00" w:rsidP="00FC5B00">
            <w:pPr>
              <w:jc w:val="center"/>
              <w:rPr>
                <w:rFonts w:ascii="Cambria" w:hAnsi="Cambria"/>
                <w:sz w:val="24"/>
                <w:szCs w:val="24"/>
              </w:rPr>
            </w:pPr>
            <w:r w:rsidRPr="00EA1BB2">
              <w:rPr>
                <w:rFonts w:ascii="Cambria" w:hAnsi="Cambria"/>
                <w:sz w:val="24"/>
                <w:szCs w:val="24"/>
              </w:rPr>
              <w:t>TOTAL</w:t>
            </w:r>
          </w:p>
        </w:tc>
        <w:tc>
          <w:tcPr>
            <w:tcW w:w="1115" w:type="pct"/>
            <w:tcBorders>
              <w:top w:val="single" w:sz="4" w:space="0" w:color="auto"/>
              <w:left w:val="nil"/>
              <w:bottom w:val="single" w:sz="4" w:space="0" w:color="auto"/>
              <w:right w:val="single" w:sz="4" w:space="0" w:color="auto"/>
            </w:tcBorders>
            <w:shd w:val="clear" w:color="auto" w:fill="auto"/>
          </w:tcPr>
          <w:p w14:paraId="4AA4AAEF" w14:textId="77777777" w:rsidR="00FC5B00" w:rsidRPr="00EA1BB2" w:rsidRDefault="00FC5B00" w:rsidP="00FC5B00">
            <w:pPr>
              <w:jc w:val="center"/>
              <w:rPr>
                <w:rFonts w:ascii="Cambria" w:hAnsi="Cambria"/>
                <w:color w:val="000000"/>
                <w:sz w:val="24"/>
                <w:szCs w:val="24"/>
              </w:rPr>
            </w:pPr>
            <w:r w:rsidRPr="00EA1BB2">
              <w:rPr>
                <w:rFonts w:ascii="Cambria" w:hAnsi="Cambria"/>
                <w:sz w:val="24"/>
                <w:szCs w:val="24"/>
              </w:rPr>
              <w:t>813,330</w:t>
            </w:r>
          </w:p>
        </w:tc>
        <w:tc>
          <w:tcPr>
            <w:tcW w:w="878" w:type="pct"/>
            <w:tcBorders>
              <w:top w:val="single" w:sz="4" w:space="0" w:color="auto"/>
              <w:left w:val="nil"/>
              <w:bottom w:val="single" w:sz="4" w:space="0" w:color="auto"/>
              <w:right w:val="single" w:sz="4" w:space="0" w:color="auto"/>
            </w:tcBorders>
          </w:tcPr>
          <w:p w14:paraId="2A3E627A" w14:textId="77777777" w:rsidR="00FC5B00" w:rsidRPr="00EA1BB2" w:rsidRDefault="00E01F00" w:rsidP="00FC5B00">
            <w:pPr>
              <w:jc w:val="center"/>
              <w:rPr>
                <w:rFonts w:ascii="Cambria" w:hAnsi="Cambria"/>
                <w:sz w:val="24"/>
                <w:szCs w:val="24"/>
              </w:rPr>
            </w:pPr>
            <w:r w:rsidRPr="00EA1BB2">
              <w:rPr>
                <w:rFonts w:ascii="Cambria" w:hAnsi="Cambria"/>
                <w:sz w:val="24"/>
                <w:szCs w:val="24"/>
              </w:rPr>
              <w:t>100</w:t>
            </w:r>
          </w:p>
        </w:tc>
      </w:tr>
      <w:tr w:rsidR="00FC5B00" w:rsidRPr="00EA1BB2" w14:paraId="0D81AFD8" w14:textId="77777777" w:rsidTr="00FC5B00">
        <w:trPr>
          <w:jc w:val="center"/>
        </w:trPr>
        <w:tc>
          <w:tcPr>
            <w:tcW w:w="1452" w:type="pct"/>
            <w:vMerge w:val="restart"/>
            <w:vAlign w:val="center"/>
          </w:tcPr>
          <w:p w14:paraId="667F1F38" w14:textId="77777777" w:rsidR="00FC5B00" w:rsidRPr="00EA1BB2" w:rsidRDefault="00FC5B00" w:rsidP="00FC5B00">
            <w:pPr>
              <w:jc w:val="center"/>
              <w:rPr>
                <w:rFonts w:ascii="Cambria" w:hAnsi="Cambria"/>
                <w:sz w:val="24"/>
                <w:szCs w:val="24"/>
                <w:highlight w:val="yellow"/>
              </w:rPr>
            </w:pPr>
            <w:r w:rsidRPr="00EA1BB2">
              <w:rPr>
                <w:rFonts w:ascii="Cambria" w:hAnsi="Cambria"/>
                <w:sz w:val="24"/>
                <w:szCs w:val="24"/>
              </w:rPr>
              <w:t>Pulberi în suspensie (PM</w:t>
            </w:r>
            <w:r w:rsidRPr="00EA1BB2">
              <w:rPr>
                <w:rFonts w:ascii="Cambria" w:hAnsi="Cambria"/>
                <w:sz w:val="24"/>
                <w:szCs w:val="24"/>
                <w:vertAlign w:val="subscript"/>
              </w:rPr>
              <w:t>2,5</w:t>
            </w:r>
            <w:r w:rsidRPr="00EA1BB2">
              <w:rPr>
                <w:rFonts w:ascii="Cambria" w:hAnsi="Cambria"/>
                <w:sz w:val="24"/>
                <w:szCs w:val="24"/>
              </w:rPr>
              <w:t>)</w:t>
            </w:r>
          </w:p>
        </w:tc>
        <w:tc>
          <w:tcPr>
            <w:tcW w:w="1555" w:type="pct"/>
            <w:vAlign w:val="center"/>
          </w:tcPr>
          <w:p w14:paraId="35DD8F58" w14:textId="77777777" w:rsidR="00FC5B00" w:rsidRPr="00EA1BB2" w:rsidRDefault="00FC5B00" w:rsidP="00FC5B00">
            <w:pPr>
              <w:jc w:val="center"/>
              <w:rPr>
                <w:rFonts w:ascii="Cambria" w:hAnsi="Cambria"/>
                <w:sz w:val="24"/>
                <w:szCs w:val="24"/>
              </w:rPr>
            </w:pPr>
            <w:r w:rsidRPr="00EA1BB2">
              <w:rPr>
                <w:rFonts w:ascii="Cambria" w:hAnsi="Cambria"/>
                <w:sz w:val="24"/>
                <w:szCs w:val="24"/>
              </w:rPr>
              <w:t>Surse staționare</w:t>
            </w:r>
          </w:p>
        </w:tc>
        <w:tc>
          <w:tcPr>
            <w:tcW w:w="1115" w:type="pct"/>
            <w:tcBorders>
              <w:top w:val="single" w:sz="4" w:space="0" w:color="auto"/>
              <w:left w:val="nil"/>
              <w:bottom w:val="single" w:sz="4" w:space="0" w:color="auto"/>
              <w:right w:val="single" w:sz="4" w:space="0" w:color="auto"/>
            </w:tcBorders>
            <w:shd w:val="clear" w:color="auto" w:fill="auto"/>
          </w:tcPr>
          <w:p w14:paraId="0FD1014F" w14:textId="77777777" w:rsidR="00FC5B00" w:rsidRPr="00EA1BB2" w:rsidRDefault="00FC5B00" w:rsidP="00FC5B00">
            <w:pPr>
              <w:jc w:val="center"/>
              <w:rPr>
                <w:rFonts w:ascii="Cambria" w:hAnsi="Cambria"/>
                <w:color w:val="000000"/>
                <w:sz w:val="24"/>
                <w:szCs w:val="24"/>
              </w:rPr>
            </w:pPr>
            <w:r w:rsidRPr="00EA1BB2">
              <w:rPr>
                <w:rFonts w:ascii="Cambria" w:hAnsi="Cambria"/>
                <w:sz w:val="24"/>
                <w:szCs w:val="24"/>
              </w:rPr>
              <w:t>126,375</w:t>
            </w:r>
          </w:p>
        </w:tc>
        <w:tc>
          <w:tcPr>
            <w:tcW w:w="878" w:type="pct"/>
            <w:tcBorders>
              <w:top w:val="single" w:sz="4" w:space="0" w:color="auto"/>
              <w:left w:val="nil"/>
              <w:bottom w:val="single" w:sz="4" w:space="0" w:color="auto"/>
              <w:right w:val="single" w:sz="4" w:space="0" w:color="auto"/>
            </w:tcBorders>
          </w:tcPr>
          <w:p w14:paraId="602BDB1C" w14:textId="77777777" w:rsidR="00FC5B00" w:rsidRPr="00EA1BB2" w:rsidRDefault="00E01F00" w:rsidP="00FC5B00">
            <w:pPr>
              <w:jc w:val="center"/>
              <w:rPr>
                <w:rFonts w:ascii="Cambria" w:hAnsi="Cambria"/>
                <w:sz w:val="24"/>
                <w:szCs w:val="24"/>
              </w:rPr>
            </w:pPr>
            <w:r w:rsidRPr="00EA1BB2">
              <w:rPr>
                <w:rFonts w:ascii="Cambria" w:hAnsi="Cambria"/>
                <w:sz w:val="24"/>
                <w:szCs w:val="24"/>
              </w:rPr>
              <w:t>34,45</w:t>
            </w:r>
          </w:p>
        </w:tc>
      </w:tr>
      <w:tr w:rsidR="00FC5B00" w:rsidRPr="00EA1BB2" w14:paraId="4A4552C6" w14:textId="77777777" w:rsidTr="00FC5B00">
        <w:trPr>
          <w:jc w:val="center"/>
        </w:trPr>
        <w:tc>
          <w:tcPr>
            <w:tcW w:w="1452" w:type="pct"/>
            <w:vMerge/>
            <w:vAlign w:val="center"/>
          </w:tcPr>
          <w:p w14:paraId="4343AFCF" w14:textId="77777777" w:rsidR="00FC5B00" w:rsidRPr="00EA1BB2" w:rsidRDefault="00FC5B00" w:rsidP="00FC5B00">
            <w:pPr>
              <w:jc w:val="center"/>
              <w:rPr>
                <w:rFonts w:ascii="Cambria" w:hAnsi="Cambria"/>
                <w:sz w:val="24"/>
                <w:szCs w:val="24"/>
              </w:rPr>
            </w:pPr>
          </w:p>
        </w:tc>
        <w:tc>
          <w:tcPr>
            <w:tcW w:w="1555" w:type="pct"/>
            <w:vAlign w:val="center"/>
          </w:tcPr>
          <w:p w14:paraId="16BC76D6" w14:textId="77777777" w:rsidR="00FC5B00" w:rsidRPr="00EA1BB2" w:rsidRDefault="00FC5B00" w:rsidP="00FC5B00">
            <w:pPr>
              <w:jc w:val="center"/>
              <w:rPr>
                <w:rFonts w:ascii="Cambria" w:hAnsi="Cambria"/>
                <w:sz w:val="24"/>
                <w:szCs w:val="24"/>
              </w:rPr>
            </w:pPr>
            <w:r w:rsidRPr="00EA1BB2">
              <w:rPr>
                <w:rFonts w:ascii="Cambria" w:hAnsi="Cambria"/>
                <w:sz w:val="24"/>
                <w:szCs w:val="24"/>
              </w:rPr>
              <w:t>Surse mobile</w:t>
            </w:r>
          </w:p>
        </w:tc>
        <w:tc>
          <w:tcPr>
            <w:tcW w:w="1115" w:type="pct"/>
            <w:tcBorders>
              <w:top w:val="single" w:sz="4" w:space="0" w:color="auto"/>
              <w:left w:val="nil"/>
              <w:bottom w:val="single" w:sz="4" w:space="0" w:color="auto"/>
              <w:right w:val="single" w:sz="4" w:space="0" w:color="auto"/>
            </w:tcBorders>
            <w:shd w:val="clear" w:color="auto" w:fill="auto"/>
          </w:tcPr>
          <w:p w14:paraId="5727B307" w14:textId="77777777" w:rsidR="00FC5B00" w:rsidRPr="00EA1BB2" w:rsidRDefault="00FC5B00" w:rsidP="00FC5B00">
            <w:pPr>
              <w:jc w:val="center"/>
              <w:rPr>
                <w:rFonts w:ascii="Cambria" w:hAnsi="Cambria"/>
                <w:color w:val="000000"/>
                <w:sz w:val="24"/>
                <w:szCs w:val="24"/>
              </w:rPr>
            </w:pPr>
            <w:r w:rsidRPr="00EA1BB2">
              <w:rPr>
                <w:rFonts w:ascii="Cambria" w:hAnsi="Cambria"/>
                <w:sz w:val="24"/>
                <w:szCs w:val="24"/>
              </w:rPr>
              <w:t>35,817</w:t>
            </w:r>
          </w:p>
        </w:tc>
        <w:tc>
          <w:tcPr>
            <w:tcW w:w="878" w:type="pct"/>
            <w:tcBorders>
              <w:top w:val="single" w:sz="4" w:space="0" w:color="auto"/>
              <w:left w:val="nil"/>
              <w:bottom w:val="single" w:sz="4" w:space="0" w:color="auto"/>
              <w:right w:val="single" w:sz="4" w:space="0" w:color="auto"/>
            </w:tcBorders>
          </w:tcPr>
          <w:p w14:paraId="290BF1BB" w14:textId="77777777" w:rsidR="00FC5B00" w:rsidRPr="00EA1BB2" w:rsidRDefault="00E01F00" w:rsidP="00FC5B00">
            <w:pPr>
              <w:jc w:val="center"/>
              <w:rPr>
                <w:rFonts w:ascii="Cambria" w:hAnsi="Cambria"/>
                <w:sz w:val="24"/>
                <w:szCs w:val="24"/>
              </w:rPr>
            </w:pPr>
            <w:r w:rsidRPr="00EA1BB2">
              <w:rPr>
                <w:rFonts w:ascii="Cambria" w:hAnsi="Cambria"/>
                <w:sz w:val="24"/>
                <w:szCs w:val="24"/>
              </w:rPr>
              <w:t>9,76</w:t>
            </w:r>
          </w:p>
        </w:tc>
      </w:tr>
      <w:tr w:rsidR="00FC5B00" w:rsidRPr="00EA1BB2" w14:paraId="2D7D3FB9" w14:textId="77777777" w:rsidTr="00FC5B00">
        <w:trPr>
          <w:jc w:val="center"/>
        </w:trPr>
        <w:tc>
          <w:tcPr>
            <w:tcW w:w="1452" w:type="pct"/>
            <w:vMerge/>
            <w:vAlign w:val="center"/>
          </w:tcPr>
          <w:p w14:paraId="6085467A" w14:textId="77777777" w:rsidR="00FC5B00" w:rsidRPr="00EA1BB2" w:rsidRDefault="00FC5B00" w:rsidP="00FC5B00">
            <w:pPr>
              <w:jc w:val="center"/>
              <w:rPr>
                <w:rFonts w:ascii="Cambria" w:hAnsi="Cambria"/>
                <w:sz w:val="24"/>
                <w:szCs w:val="24"/>
              </w:rPr>
            </w:pPr>
          </w:p>
        </w:tc>
        <w:tc>
          <w:tcPr>
            <w:tcW w:w="1555" w:type="pct"/>
            <w:vAlign w:val="center"/>
          </w:tcPr>
          <w:p w14:paraId="73ED9A46" w14:textId="77777777" w:rsidR="00FC5B00" w:rsidRPr="00EA1BB2" w:rsidRDefault="00FC5B00" w:rsidP="00FC5B00">
            <w:pPr>
              <w:jc w:val="center"/>
              <w:rPr>
                <w:rFonts w:ascii="Cambria" w:hAnsi="Cambria"/>
                <w:sz w:val="24"/>
                <w:szCs w:val="24"/>
              </w:rPr>
            </w:pPr>
            <w:r w:rsidRPr="00EA1BB2">
              <w:rPr>
                <w:rFonts w:ascii="Cambria" w:hAnsi="Cambria"/>
                <w:sz w:val="24"/>
                <w:szCs w:val="24"/>
              </w:rPr>
              <w:t>Surse de suprafață</w:t>
            </w:r>
          </w:p>
        </w:tc>
        <w:tc>
          <w:tcPr>
            <w:tcW w:w="1115" w:type="pct"/>
            <w:tcBorders>
              <w:top w:val="single" w:sz="4" w:space="0" w:color="auto"/>
              <w:left w:val="nil"/>
              <w:bottom w:val="single" w:sz="4" w:space="0" w:color="auto"/>
              <w:right w:val="single" w:sz="4" w:space="0" w:color="auto"/>
            </w:tcBorders>
            <w:shd w:val="clear" w:color="auto" w:fill="auto"/>
          </w:tcPr>
          <w:p w14:paraId="7D44551B" w14:textId="77777777" w:rsidR="00FC5B00" w:rsidRPr="00EA1BB2" w:rsidRDefault="00FC5B00" w:rsidP="00FC5B00">
            <w:pPr>
              <w:jc w:val="center"/>
              <w:rPr>
                <w:rFonts w:ascii="Cambria" w:hAnsi="Cambria"/>
                <w:color w:val="000000"/>
                <w:sz w:val="24"/>
                <w:szCs w:val="24"/>
              </w:rPr>
            </w:pPr>
            <w:r w:rsidRPr="00EA1BB2">
              <w:rPr>
                <w:rFonts w:ascii="Cambria" w:hAnsi="Cambria"/>
                <w:sz w:val="24"/>
                <w:szCs w:val="24"/>
              </w:rPr>
              <w:t>204,699</w:t>
            </w:r>
          </w:p>
        </w:tc>
        <w:tc>
          <w:tcPr>
            <w:tcW w:w="878" w:type="pct"/>
            <w:tcBorders>
              <w:top w:val="single" w:sz="4" w:space="0" w:color="auto"/>
              <w:left w:val="nil"/>
              <w:bottom w:val="single" w:sz="4" w:space="0" w:color="auto"/>
              <w:right w:val="single" w:sz="4" w:space="0" w:color="auto"/>
            </w:tcBorders>
          </w:tcPr>
          <w:p w14:paraId="4181D961" w14:textId="77777777" w:rsidR="00FC5B00" w:rsidRPr="00EA1BB2" w:rsidRDefault="00E01F00" w:rsidP="00FC5B00">
            <w:pPr>
              <w:jc w:val="center"/>
              <w:rPr>
                <w:rFonts w:ascii="Cambria" w:hAnsi="Cambria"/>
                <w:sz w:val="24"/>
                <w:szCs w:val="24"/>
              </w:rPr>
            </w:pPr>
            <w:r w:rsidRPr="00EA1BB2">
              <w:rPr>
                <w:rFonts w:ascii="Cambria" w:hAnsi="Cambria"/>
                <w:sz w:val="24"/>
                <w:szCs w:val="24"/>
              </w:rPr>
              <w:t>55,81</w:t>
            </w:r>
          </w:p>
        </w:tc>
      </w:tr>
      <w:tr w:rsidR="00FC5B00" w:rsidRPr="00EA1BB2" w14:paraId="79CE37F9" w14:textId="77777777" w:rsidTr="00FC5B00">
        <w:trPr>
          <w:jc w:val="center"/>
        </w:trPr>
        <w:tc>
          <w:tcPr>
            <w:tcW w:w="1452" w:type="pct"/>
            <w:vMerge/>
            <w:vAlign w:val="center"/>
          </w:tcPr>
          <w:p w14:paraId="39025BBF" w14:textId="77777777" w:rsidR="00FC5B00" w:rsidRPr="00EA1BB2" w:rsidRDefault="00FC5B00" w:rsidP="00FC5B00">
            <w:pPr>
              <w:jc w:val="center"/>
              <w:rPr>
                <w:rFonts w:ascii="Cambria" w:hAnsi="Cambria"/>
                <w:sz w:val="24"/>
                <w:szCs w:val="24"/>
              </w:rPr>
            </w:pPr>
          </w:p>
        </w:tc>
        <w:tc>
          <w:tcPr>
            <w:tcW w:w="1555" w:type="pct"/>
            <w:vAlign w:val="center"/>
          </w:tcPr>
          <w:p w14:paraId="2A86896D" w14:textId="77777777" w:rsidR="00FC5B00" w:rsidRPr="00EA1BB2" w:rsidRDefault="00FC5B00" w:rsidP="00FC5B00">
            <w:pPr>
              <w:jc w:val="center"/>
              <w:rPr>
                <w:rFonts w:ascii="Cambria" w:hAnsi="Cambria"/>
                <w:sz w:val="24"/>
                <w:szCs w:val="24"/>
              </w:rPr>
            </w:pPr>
            <w:r w:rsidRPr="00EA1BB2">
              <w:rPr>
                <w:rFonts w:ascii="Cambria" w:hAnsi="Cambria"/>
                <w:sz w:val="24"/>
                <w:szCs w:val="24"/>
              </w:rPr>
              <w:t>TOTAL</w:t>
            </w:r>
          </w:p>
        </w:tc>
        <w:tc>
          <w:tcPr>
            <w:tcW w:w="1115" w:type="pct"/>
            <w:tcBorders>
              <w:top w:val="single" w:sz="4" w:space="0" w:color="auto"/>
              <w:left w:val="nil"/>
              <w:bottom w:val="single" w:sz="4" w:space="0" w:color="auto"/>
              <w:right w:val="single" w:sz="4" w:space="0" w:color="auto"/>
            </w:tcBorders>
            <w:shd w:val="clear" w:color="auto" w:fill="auto"/>
          </w:tcPr>
          <w:p w14:paraId="0652E8AD" w14:textId="77777777" w:rsidR="00FC5B00" w:rsidRPr="00EA1BB2" w:rsidRDefault="00FC5B00" w:rsidP="00FC5B00">
            <w:pPr>
              <w:jc w:val="center"/>
              <w:rPr>
                <w:rFonts w:ascii="Cambria" w:hAnsi="Cambria"/>
                <w:color w:val="000000"/>
                <w:sz w:val="24"/>
                <w:szCs w:val="24"/>
              </w:rPr>
            </w:pPr>
            <w:r w:rsidRPr="00EA1BB2">
              <w:rPr>
                <w:rFonts w:ascii="Cambria" w:hAnsi="Cambria"/>
                <w:sz w:val="24"/>
                <w:szCs w:val="24"/>
              </w:rPr>
              <w:t>366,799</w:t>
            </w:r>
          </w:p>
        </w:tc>
        <w:tc>
          <w:tcPr>
            <w:tcW w:w="878" w:type="pct"/>
            <w:tcBorders>
              <w:top w:val="single" w:sz="4" w:space="0" w:color="auto"/>
              <w:left w:val="nil"/>
              <w:bottom w:val="single" w:sz="4" w:space="0" w:color="auto"/>
              <w:right w:val="single" w:sz="4" w:space="0" w:color="auto"/>
            </w:tcBorders>
          </w:tcPr>
          <w:p w14:paraId="35B4F2AA" w14:textId="77777777" w:rsidR="00FC5B00" w:rsidRPr="00EA1BB2" w:rsidRDefault="00E01F00" w:rsidP="00FC5B00">
            <w:pPr>
              <w:jc w:val="center"/>
              <w:rPr>
                <w:rFonts w:ascii="Cambria" w:hAnsi="Cambria"/>
                <w:sz w:val="24"/>
                <w:szCs w:val="24"/>
              </w:rPr>
            </w:pPr>
            <w:r w:rsidRPr="00EA1BB2">
              <w:rPr>
                <w:rFonts w:ascii="Cambria" w:hAnsi="Cambria"/>
                <w:sz w:val="24"/>
                <w:szCs w:val="24"/>
              </w:rPr>
              <w:t>100</w:t>
            </w:r>
          </w:p>
        </w:tc>
      </w:tr>
      <w:tr w:rsidR="0079766C" w:rsidRPr="00EA1BB2" w14:paraId="0A59382E" w14:textId="77777777" w:rsidTr="00FC5B00">
        <w:trPr>
          <w:jc w:val="center"/>
        </w:trPr>
        <w:tc>
          <w:tcPr>
            <w:tcW w:w="1452" w:type="pct"/>
            <w:vMerge w:val="restart"/>
            <w:vAlign w:val="center"/>
          </w:tcPr>
          <w:p w14:paraId="774651F3" w14:textId="77777777" w:rsidR="0079766C" w:rsidRPr="00EA1BB2" w:rsidRDefault="00E01F00" w:rsidP="0079766C">
            <w:pPr>
              <w:jc w:val="center"/>
              <w:rPr>
                <w:rFonts w:ascii="Cambria" w:hAnsi="Cambria"/>
                <w:sz w:val="24"/>
                <w:szCs w:val="24"/>
              </w:rPr>
            </w:pPr>
            <w:r w:rsidRPr="00EA1BB2">
              <w:rPr>
                <w:rFonts w:ascii="Cambria" w:hAnsi="Cambria"/>
                <w:sz w:val="24"/>
                <w:szCs w:val="24"/>
              </w:rPr>
              <w:t>Benzen**</w:t>
            </w:r>
          </w:p>
          <w:p w14:paraId="5FC2D947" w14:textId="77777777" w:rsidR="0079766C" w:rsidRPr="00EA1BB2" w:rsidRDefault="0079766C" w:rsidP="0079766C">
            <w:pPr>
              <w:jc w:val="center"/>
              <w:rPr>
                <w:rFonts w:ascii="Cambria" w:hAnsi="Cambria"/>
                <w:sz w:val="24"/>
                <w:szCs w:val="24"/>
              </w:rPr>
            </w:pPr>
            <w:r w:rsidRPr="00EA1BB2">
              <w:rPr>
                <w:rFonts w:ascii="Cambria" w:hAnsi="Cambria"/>
                <w:sz w:val="24"/>
                <w:szCs w:val="24"/>
              </w:rPr>
              <w:t>(C</w:t>
            </w:r>
            <w:r w:rsidRPr="00EA1BB2">
              <w:rPr>
                <w:rFonts w:ascii="Cambria" w:hAnsi="Cambria"/>
                <w:sz w:val="24"/>
                <w:szCs w:val="24"/>
                <w:vertAlign w:val="subscript"/>
              </w:rPr>
              <w:t>6</w:t>
            </w:r>
            <w:r w:rsidRPr="00EA1BB2">
              <w:rPr>
                <w:rFonts w:ascii="Cambria" w:hAnsi="Cambria"/>
                <w:sz w:val="24"/>
                <w:szCs w:val="24"/>
              </w:rPr>
              <w:t>H</w:t>
            </w:r>
            <w:r w:rsidRPr="00EA1BB2">
              <w:rPr>
                <w:rFonts w:ascii="Cambria" w:hAnsi="Cambria"/>
                <w:sz w:val="24"/>
                <w:szCs w:val="24"/>
                <w:vertAlign w:val="subscript"/>
              </w:rPr>
              <w:t>6</w:t>
            </w:r>
            <w:r w:rsidRPr="00EA1BB2">
              <w:rPr>
                <w:rFonts w:ascii="Cambria" w:hAnsi="Cambria"/>
                <w:sz w:val="24"/>
                <w:szCs w:val="24"/>
              </w:rPr>
              <w:t>)</w:t>
            </w:r>
          </w:p>
        </w:tc>
        <w:tc>
          <w:tcPr>
            <w:tcW w:w="1555" w:type="pct"/>
            <w:vAlign w:val="center"/>
          </w:tcPr>
          <w:p w14:paraId="51165853" w14:textId="77777777" w:rsidR="0079766C" w:rsidRPr="00EA1BB2" w:rsidRDefault="0079766C" w:rsidP="0079766C">
            <w:pPr>
              <w:jc w:val="center"/>
              <w:rPr>
                <w:rFonts w:ascii="Cambria" w:hAnsi="Cambria"/>
                <w:sz w:val="24"/>
                <w:szCs w:val="24"/>
              </w:rPr>
            </w:pPr>
            <w:r w:rsidRPr="00EA1BB2">
              <w:rPr>
                <w:rFonts w:ascii="Cambria" w:hAnsi="Cambria"/>
                <w:sz w:val="24"/>
                <w:szCs w:val="24"/>
              </w:rPr>
              <w:t>Surse staționare</w:t>
            </w:r>
          </w:p>
        </w:tc>
        <w:tc>
          <w:tcPr>
            <w:tcW w:w="1115" w:type="pct"/>
            <w:tcBorders>
              <w:top w:val="single" w:sz="4" w:space="0" w:color="auto"/>
              <w:left w:val="nil"/>
              <w:bottom w:val="single" w:sz="4" w:space="0" w:color="auto"/>
              <w:right w:val="single" w:sz="4" w:space="0" w:color="auto"/>
            </w:tcBorders>
            <w:shd w:val="clear" w:color="auto" w:fill="auto"/>
          </w:tcPr>
          <w:p w14:paraId="614758B1" w14:textId="77777777" w:rsidR="0079766C" w:rsidRPr="00EA1BB2" w:rsidRDefault="0079766C" w:rsidP="0079766C">
            <w:pPr>
              <w:jc w:val="center"/>
              <w:rPr>
                <w:rFonts w:ascii="Cambria" w:hAnsi="Cambria"/>
                <w:color w:val="000000"/>
                <w:sz w:val="24"/>
                <w:szCs w:val="24"/>
              </w:rPr>
            </w:pPr>
          </w:p>
        </w:tc>
        <w:tc>
          <w:tcPr>
            <w:tcW w:w="878" w:type="pct"/>
            <w:tcBorders>
              <w:top w:val="single" w:sz="4" w:space="0" w:color="auto"/>
              <w:left w:val="nil"/>
              <w:bottom w:val="single" w:sz="4" w:space="0" w:color="auto"/>
              <w:right w:val="single" w:sz="4" w:space="0" w:color="auto"/>
            </w:tcBorders>
          </w:tcPr>
          <w:p w14:paraId="092277C3" w14:textId="77777777" w:rsidR="0079766C" w:rsidRPr="00EA1BB2" w:rsidRDefault="0079766C" w:rsidP="0079766C">
            <w:pPr>
              <w:jc w:val="center"/>
              <w:rPr>
                <w:rFonts w:ascii="Cambria" w:hAnsi="Cambria"/>
                <w:sz w:val="24"/>
                <w:szCs w:val="24"/>
              </w:rPr>
            </w:pPr>
          </w:p>
        </w:tc>
      </w:tr>
      <w:tr w:rsidR="0079766C" w:rsidRPr="00EA1BB2" w14:paraId="56B3A4F1" w14:textId="77777777" w:rsidTr="00FC5B00">
        <w:trPr>
          <w:jc w:val="center"/>
        </w:trPr>
        <w:tc>
          <w:tcPr>
            <w:tcW w:w="1452" w:type="pct"/>
            <w:vMerge/>
            <w:vAlign w:val="center"/>
          </w:tcPr>
          <w:p w14:paraId="1BCCE300" w14:textId="77777777" w:rsidR="0079766C" w:rsidRPr="00EA1BB2" w:rsidRDefault="0079766C" w:rsidP="0079766C">
            <w:pPr>
              <w:jc w:val="center"/>
              <w:rPr>
                <w:rFonts w:ascii="Cambria" w:hAnsi="Cambria"/>
                <w:sz w:val="24"/>
                <w:szCs w:val="24"/>
              </w:rPr>
            </w:pPr>
          </w:p>
        </w:tc>
        <w:tc>
          <w:tcPr>
            <w:tcW w:w="1555" w:type="pct"/>
            <w:vAlign w:val="center"/>
          </w:tcPr>
          <w:p w14:paraId="1E2D49E0" w14:textId="77777777" w:rsidR="0079766C" w:rsidRPr="00EA1BB2" w:rsidRDefault="0079766C" w:rsidP="0079766C">
            <w:pPr>
              <w:jc w:val="center"/>
              <w:rPr>
                <w:rFonts w:ascii="Cambria" w:hAnsi="Cambria"/>
                <w:sz w:val="24"/>
                <w:szCs w:val="24"/>
              </w:rPr>
            </w:pPr>
            <w:r w:rsidRPr="00EA1BB2">
              <w:rPr>
                <w:rFonts w:ascii="Cambria" w:hAnsi="Cambria"/>
                <w:sz w:val="24"/>
                <w:szCs w:val="24"/>
              </w:rPr>
              <w:t>Surse mobile</w:t>
            </w:r>
          </w:p>
        </w:tc>
        <w:tc>
          <w:tcPr>
            <w:tcW w:w="1115" w:type="pct"/>
            <w:tcBorders>
              <w:top w:val="single" w:sz="4" w:space="0" w:color="auto"/>
              <w:left w:val="nil"/>
              <w:bottom w:val="single" w:sz="4" w:space="0" w:color="auto"/>
              <w:right w:val="single" w:sz="4" w:space="0" w:color="auto"/>
            </w:tcBorders>
            <w:shd w:val="clear" w:color="auto" w:fill="auto"/>
          </w:tcPr>
          <w:p w14:paraId="4A77C5CE" w14:textId="77777777" w:rsidR="0079766C" w:rsidRPr="00EA1BB2" w:rsidRDefault="001F2D02" w:rsidP="0079766C">
            <w:pPr>
              <w:jc w:val="center"/>
              <w:rPr>
                <w:rFonts w:ascii="Cambria" w:hAnsi="Cambria"/>
                <w:color w:val="000000"/>
                <w:sz w:val="24"/>
                <w:szCs w:val="24"/>
              </w:rPr>
            </w:pPr>
            <w:r w:rsidRPr="00EA1BB2">
              <w:rPr>
                <w:rFonts w:ascii="Cambria" w:hAnsi="Cambria"/>
                <w:color w:val="000000"/>
                <w:sz w:val="24"/>
                <w:szCs w:val="24"/>
              </w:rPr>
              <w:t>15,951</w:t>
            </w:r>
          </w:p>
        </w:tc>
        <w:tc>
          <w:tcPr>
            <w:tcW w:w="878" w:type="pct"/>
            <w:tcBorders>
              <w:top w:val="single" w:sz="4" w:space="0" w:color="auto"/>
              <w:left w:val="nil"/>
              <w:bottom w:val="single" w:sz="4" w:space="0" w:color="auto"/>
              <w:right w:val="single" w:sz="4" w:space="0" w:color="auto"/>
            </w:tcBorders>
          </w:tcPr>
          <w:p w14:paraId="6FEC48D9" w14:textId="77777777" w:rsidR="0079766C" w:rsidRPr="00EA1BB2" w:rsidRDefault="0079766C" w:rsidP="0079766C">
            <w:pPr>
              <w:jc w:val="center"/>
              <w:rPr>
                <w:rFonts w:ascii="Cambria" w:hAnsi="Cambria"/>
                <w:color w:val="000000"/>
                <w:sz w:val="24"/>
                <w:szCs w:val="24"/>
              </w:rPr>
            </w:pPr>
            <w:r w:rsidRPr="00EA1BB2">
              <w:rPr>
                <w:rFonts w:ascii="Cambria" w:hAnsi="Cambria"/>
                <w:sz w:val="24"/>
                <w:szCs w:val="24"/>
              </w:rPr>
              <w:t>100</w:t>
            </w:r>
          </w:p>
        </w:tc>
      </w:tr>
      <w:tr w:rsidR="0079766C" w:rsidRPr="00EA1BB2" w14:paraId="75605FCF" w14:textId="77777777" w:rsidTr="00FC5B00">
        <w:trPr>
          <w:jc w:val="center"/>
        </w:trPr>
        <w:tc>
          <w:tcPr>
            <w:tcW w:w="1452" w:type="pct"/>
            <w:vMerge/>
            <w:vAlign w:val="center"/>
          </w:tcPr>
          <w:p w14:paraId="44CB91FC" w14:textId="77777777" w:rsidR="0079766C" w:rsidRPr="00EA1BB2" w:rsidRDefault="0079766C" w:rsidP="0079766C">
            <w:pPr>
              <w:jc w:val="center"/>
              <w:rPr>
                <w:rFonts w:ascii="Cambria" w:hAnsi="Cambria"/>
                <w:sz w:val="24"/>
                <w:szCs w:val="24"/>
              </w:rPr>
            </w:pPr>
          </w:p>
        </w:tc>
        <w:tc>
          <w:tcPr>
            <w:tcW w:w="1555" w:type="pct"/>
            <w:vAlign w:val="center"/>
          </w:tcPr>
          <w:p w14:paraId="50AC419E" w14:textId="77777777" w:rsidR="0079766C" w:rsidRPr="00EA1BB2" w:rsidRDefault="0079766C" w:rsidP="0079766C">
            <w:pPr>
              <w:jc w:val="center"/>
              <w:rPr>
                <w:rFonts w:ascii="Cambria" w:hAnsi="Cambria"/>
                <w:sz w:val="24"/>
                <w:szCs w:val="24"/>
              </w:rPr>
            </w:pPr>
            <w:r w:rsidRPr="00EA1BB2">
              <w:rPr>
                <w:rFonts w:ascii="Cambria" w:hAnsi="Cambria"/>
                <w:sz w:val="24"/>
                <w:szCs w:val="24"/>
              </w:rPr>
              <w:t>Surse de suprafață</w:t>
            </w:r>
          </w:p>
        </w:tc>
        <w:tc>
          <w:tcPr>
            <w:tcW w:w="1115" w:type="pct"/>
            <w:tcBorders>
              <w:top w:val="single" w:sz="4" w:space="0" w:color="auto"/>
              <w:left w:val="nil"/>
              <w:bottom w:val="single" w:sz="4" w:space="0" w:color="auto"/>
              <w:right w:val="single" w:sz="4" w:space="0" w:color="auto"/>
            </w:tcBorders>
            <w:shd w:val="clear" w:color="auto" w:fill="auto"/>
          </w:tcPr>
          <w:p w14:paraId="7B5E38C4" w14:textId="77777777" w:rsidR="0079766C" w:rsidRPr="00EA1BB2" w:rsidRDefault="0079766C" w:rsidP="0079766C">
            <w:pPr>
              <w:jc w:val="center"/>
              <w:rPr>
                <w:rFonts w:ascii="Cambria" w:hAnsi="Cambria"/>
                <w:color w:val="000000"/>
                <w:sz w:val="24"/>
                <w:szCs w:val="24"/>
              </w:rPr>
            </w:pPr>
          </w:p>
        </w:tc>
        <w:tc>
          <w:tcPr>
            <w:tcW w:w="878" w:type="pct"/>
            <w:tcBorders>
              <w:top w:val="single" w:sz="4" w:space="0" w:color="auto"/>
              <w:left w:val="nil"/>
              <w:bottom w:val="single" w:sz="4" w:space="0" w:color="auto"/>
              <w:right w:val="single" w:sz="4" w:space="0" w:color="auto"/>
            </w:tcBorders>
          </w:tcPr>
          <w:p w14:paraId="68B4A665" w14:textId="77777777" w:rsidR="0079766C" w:rsidRPr="00EA1BB2" w:rsidRDefault="0079766C" w:rsidP="0079766C">
            <w:pPr>
              <w:jc w:val="center"/>
              <w:rPr>
                <w:rFonts w:ascii="Cambria" w:hAnsi="Cambria"/>
                <w:sz w:val="24"/>
                <w:szCs w:val="24"/>
              </w:rPr>
            </w:pPr>
          </w:p>
        </w:tc>
      </w:tr>
      <w:tr w:rsidR="0079766C" w:rsidRPr="00EA1BB2" w14:paraId="46B7AEBF" w14:textId="77777777" w:rsidTr="00FC5B00">
        <w:trPr>
          <w:jc w:val="center"/>
        </w:trPr>
        <w:tc>
          <w:tcPr>
            <w:tcW w:w="1452" w:type="pct"/>
            <w:vMerge/>
            <w:vAlign w:val="center"/>
          </w:tcPr>
          <w:p w14:paraId="0D48705A" w14:textId="77777777" w:rsidR="0079766C" w:rsidRPr="00EA1BB2" w:rsidRDefault="0079766C" w:rsidP="0079766C">
            <w:pPr>
              <w:jc w:val="center"/>
              <w:rPr>
                <w:rFonts w:ascii="Cambria" w:hAnsi="Cambria"/>
                <w:sz w:val="24"/>
                <w:szCs w:val="24"/>
              </w:rPr>
            </w:pPr>
          </w:p>
        </w:tc>
        <w:tc>
          <w:tcPr>
            <w:tcW w:w="1555" w:type="pct"/>
            <w:vAlign w:val="center"/>
          </w:tcPr>
          <w:p w14:paraId="2F0AF2C1" w14:textId="77777777" w:rsidR="0079766C" w:rsidRPr="00EA1BB2" w:rsidRDefault="0079766C" w:rsidP="0079766C">
            <w:pPr>
              <w:jc w:val="center"/>
              <w:rPr>
                <w:rFonts w:ascii="Cambria" w:hAnsi="Cambria"/>
                <w:sz w:val="24"/>
                <w:szCs w:val="24"/>
              </w:rPr>
            </w:pPr>
            <w:r w:rsidRPr="00EA1BB2">
              <w:rPr>
                <w:rFonts w:ascii="Cambria" w:hAnsi="Cambria"/>
                <w:sz w:val="24"/>
                <w:szCs w:val="24"/>
              </w:rPr>
              <w:t>TOTAL</w:t>
            </w:r>
          </w:p>
        </w:tc>
        <w:tc>
          <w:tcPr>
            <w:tcW w:w="1115" w:type="pct"/>
            <w:tcBorders>
              <w:top w:val="single" w:sz="4" w:space="0" w:color="auto"/>
              <w:left w:val="nil"/>
              <w:bottom w:val="single" w:sz="4" w:space="0" w:color="auto"/>
              <w:right w:val="single" w:sz="4" w:space="0" w:color="auto"/>
            </w:tcBorders>
            <w:shd w:val="clear" w:color="auto" w:fill="auto"/>
          </w:tcPr>
          <w:p w14:paraId="520FA995" w14:textId="77777777" w:rsidR="0079766C" w:rsidRPr="00EA1BB2" w:rsidRDefault="0079766C" w:rsidP="0079766C">
            <w:pPr>
              <w:jc w:val="center"/>
              <w:rPr>
                <w:rFonts w:ascii="Cambria" w:hAnsi="Cambria"/>
                <w:color w:val="000000"/>
                <w:sz w:val="24"/>
                <w:szCs w:val="24"/>
              </w:rPr>
            </w:pPr>
            <w:r w:rsidRPr="00EA1BB2">
              <w:rPr>
                <w:rFonts w:ascii="Cambria" w:hAnsi="Cambria"/>
                <w:sz w:val="24"/>
                <w:szCs w:val="24"/>
              </w:rPr>
              <w:t>15,951</w:t>
            </w:r>
          </w:p>
        </w:tc>
        <w:tc>
          <w:tcPr>
            <w:tcW w:w="878" w:type="pct"/>
            <w:tcBorders>
              <w:top w:val="single" w:sz="4" w:space="0" w:color="auto"/>
              <w:left w:val="nil"/>
              <w:bottom w:val="single" w:sz="4" w:space="0" w:color="auto"/>
              <w:right w:val="single" w:sz="4" w:space="0" w:color="auto"/>
            </w:tcBorders>
          </w:tcPr>
          <w:p w14:paraId="3DE9A04E" w14:textId="77777777" w:rsidR="0079766C" w:rsidRPr="00EA1BB2" w:rsidRDefault="001F2D02" w:rsidP="0079766C">
            <w:pPr>
              <w:jc w:val="center"/>
              <w:rPr>
                <w:rFonts w:ascii="Cambria" w:hAnsi="Cambria"/>
                <w:sz w:val="24"/>
                <w:szCs w:val="24"/>
              </w:rPr>
            </w:pPr>
            <w:r w:rsidRPr="00EA1BB2">
              <w:rPr>
                <w:rFonts w:ascii="Cambria" w:hAnsi="Cambria"/>
                <w:sz w:val="24"/>
                <w:szCs w:val="24"/>
              </w:rPr>
              <w:t>100</w:t>
            </w:r>
          </w:p>
        </w:tc>
      </w:tr>
      <w:tr w:rsidR="00FC5B00" w:rsidRPr="00EA1BB2" w14:paraId="02C13A69" w14:textId="77777777" w:rsidTr="00FC5B00">
        <w:trPr>
          <w:jc w:val="center"/>
        </w:trPr>
        <w:tc>
          <w:tcPr>
            <w:tcW w:w="1452" w:type="pct"/>
            <w:vMerge w:val="restart"/>
            <w:vAlign w:val="center"/>
          </w:tcPr>
          <w:p w14:paraId="0FB7AA22" w14:textId="77777777" w:rsidR="00FC5B00" w:rsidRPr="00EA1BB2" w:rsidRDefault="00FC5B00" w:rsidP="00FC5B00">
            <w:pPr>
              <w:jc w:val="center"/>
              <w:rPr>
                <w:rFonts w:ascii="Cambria" w:hAnsi="Cambria"/>
                <w:sz w:val="24"/>
                <w:szCs w:val="24"/>
              </w:rPr>
            </w:pPr>
            <w:r w:rsidRPr="00EA1BB2">
              <w:rPr>
                <w:rFonts w:ascii="Cambria" w:hAnsi="Cambria"/>
                <w:sz w:val="24"/>
                <w:szCs w:val="24"/>
              </w:rPr>
              <w:t xml:space="preserve">Nichel </w:t>
            </w:r>
          </w:p>
          <w:p w14:paraId="14069E8A" w14:textId="77777777" w:rsidR="00FC5B00" w:rsidRPr="00EA1BB2" w:rsidRDefault="00FC5B00" w:rsidP="00FC5B00">
            <w:pPr>
              <w:jc w:val="center"/>
              <w:rPr>
                <w:rFonts w:ascii="Cambria" w:hAnsi="Cambria"/>
                <w:sz w:val="24"/>
                <w:szCs w:val="24"/>
              </w:rPr>
            </w:pPr>
            <w:r w:rsidRPr="00EA1BB2">
              <w:rPr>
                <w:rFonts w:ascii="Cambria" w:hAnsi="Cambria"/>
                <w:sz w:val="24"/>
                <w:szCs w:val="24"/>
              </w:rPr>
              <w:t>(Ni)</w:t>
            </w:r>
          </w:p>
          <w:p w14:paraId="5CFCD2D9" w14:textId="77777777" w:rsidR="00FC5B00" w:rsidRPr="00EA1BB2" w:rsidRDefault="00FC5B00" w:rsidP="00FC5B00">
            <w:pPr>
              <w:jc w:val="center"/>
              <w:rPr>
                <w:rFonts w:ascii="Cambria" w:hAnsi="Cambria"/>
                <w:sz w:val="24"/>
                <w:szCs w:val="24"/>
              </w:rPr>
            </w:pPr>
          </w:p>
        </w:tc>
        <w:tc>
          <w:tcPr>
            <w:tcW w:w="1555" w:type="pct"/>
            <w:vAlign w:val="center"/>
          </w:tcPr>
          <w:p w14:paraId="6A31A9F1" w14:textId="77777777" w:rsidR="00FC5B00" w:rsidRPr="00EA1BB2" w:rsidRDefault="00FC5B00" w:rsidP="00FC5B00">
            <w:pPr>
              <w:jc w:val="center"/>
              <w:rPr>
                <w:rFonts w:ascii="Cambria" w:hAnsi="Cambria"/>
                <w:sz w:val="24"/>
                <w:szCs w:val="24"/>
              </w:rPr>
            </w:pPr>
            <w:r w:rsidRPr="00EA1BB2">
              <w:rPr>
                <w:rFonts w:ascii="Cambria" w:hAnsi="Cambria"/>
                <w:sz w:val="24"/>
                <w:szCs w:val="24"/>
              </w:rPr>
              <w:t>Surse staționare</w:t>
            </w:r>
          </w:p>
        </w:tc>
        <w:tc>
          <w:tcPr>
            <w:tcW w:w="1115" w:type="pct"/>
            <w:tcBorders>
              <w:top w:val="single" w:sz="4" w:space="0" w:color="auto"/>
              <w:left w:val="nil"/>
              <w:bottom w:val="single" w:sz="4" w:space="0" w:color="auto"/>
              <w:right w:val="single" w:sz="4" w:space="0" w:color="auto"/>
            </w:tcBorders>
            <w:shd w:val="clear" w:color="auto" w:fill="auto"/>
          </w:tcPr>
          <w:p w14:paraId="0E517DF6" w14:textId="77777777" w:rsidR="00FC5B00" w:rsidRPr="00EA1BB2" w:rsidRDefault="00FC5B00" w:rsidP="00FC5B00">
            <w:pPr>
              <w:jc w:val="center"/>
              <w:rPr>
                <w:rFonts w:ascii="Cambria" w:hAnsi="Cambria"/>
                <w:color w:val="000000"/>
                <w:sz w:val="24"/>
                <w:szCs w:val="24"/>
              </w:rPr>
            </w:pPr>
            <w:r w:rsidRPr="00EA1BB2">
              <w:rPr>
                <w:rFonts w:ascii="Cambria" w:hAnsi="Cambria"/>
                <w:sz w:val="24"/>
                <w:szCs w:val="24"/>
              </w:rPr>
              <w:t>0,014959</w:t>
            </w:r>
          </w:p>
        </w:tc>
        <w:tc>
          <w:tcPr>
            <w:tcW w:w="878" w:type="pct"/>
            <w:tcBorders>
              <w:top w:val="single" w:sz="4" w:space="0" w:color="auto"/>
              <w:left w:val="nil"/>
              <w:bottom w:val="single" w:sz="4" w:space="0" w:color="auto"/>
              <w:right w:val="single" w:sz="4" w:space="0" w:color="auto"/>
            </w:tcBorders>
          </w:tcPr>
          <w:p w14:paraId="675A000F" w14:textId="77777777" w:rsidR="00FC5B00" w:rsidRPr="00EA1BB2" w:rsidRDefault="00E01F00" w:rsidP="00FC5B00">
            <w:pPr>
              <w:jc w:val="center"/>
              <w:rPr>
                <w:rFonts w:ascii="Cambria" w:hAnsi="Cambria"/>
                <w:sz w:val="24"/>
                <w:szCs w:val="24"/>
              </w:rPr>
            </w:pPr>
            <w:r w:rsidRPr="00EA1BB2">
              <w:rPr>
                <w:rFonts w:ascii="Cambria" w:hAnsi="Cambria"/>
                <w:sz w:val="24"/>
                <w:szCs w:val="24"/>
              </w:rPr>
              <w:t>41,69</w:t>
            </w:r>
          </w:p>
        </w:tc>
      </w:tr>
      <w:tr w:rsidR="00FC5B00" w:rsidRPr="00EA1BB2" w14:paraId="71FF3797" w14:textId="77777777" w:rsidTr="00FC5B00">
        <w:trPr>
          <w:jc w:val="center"/>
        </w:trPr>
        <w:tc>
          <w:tcPr>
            <w:tcW w:w="1452" w:type="pct"/>
            <w:vMerge/>
            <w:vAlign w:val="center"/>
          </w:tcPr>
          <w:p w14:paraId="49EA8464" w14:textId="77777777" w:rsidR="00FC5B00" w:rsidRPr="00EA1BB2" w:rsidRDefault="00FC5B00" w:rsidP="00FC5B00">
            <w:pPr>
              <w:jc w:val="center"/>
              <w:rPr>
                <w:rFonts w:ascii="Cambria" w:hAnsi="Cambria"/>
                <w:sz w:val="24"/>
                <w:szCs w:val="24"/>
              </w:rPr>
            </w:pPr>
          </w:p>
        </w:tc>
        <w:tc>
          <w:tcPr>
            <w:tcW w:w="1555" w:type="pct"/>
            <w:vAlign w:val="center"/>
          </w:tcPr>
          <w:p w14:paraId="44E5DDA7" w14:textId="77777777" w:rsidR="00FC5B00" w:rsidRPr="00EA1BB2" w:rsidRDefault="00FC5B00" w:rsidP="00FC5B00">
            <w:pPr>
              <w:jc w:val="center"/>
              <w:rPr>
                <w:rFonts w:ascii="Cambria" w:hAnsi="Cambria"/>
                <w:sz w:val="24"/>
                <w:szCs w:val="24"/>
              </w:rPr>
            </w:pPr>
            <w:r w:rsidRPr="00EA1BB2">
              <w:rPr>
                <w:rFonts w:ascii="Cambria" w:hAnsi="Cambria"/>
                <w:sz w:val="24"/>
                <w:szCs w:val="24"/>
              </w:rPr>
              <w:t>Surse mobile</w:t>
            </w:r>
          </w:p>
        </w:tc>
        <w:tc>
          <w:tcPr>
            <w:tcW w:w="1115" w:type="pct"/>
            <w:tcBorders>
              <w:top w:val="single" w:sz="4" w:space="0" w:color="auto"/>
              <w:left w:val="nil"/>
              <w:bottom w:val="single" w:sz="4" w:space="0" w:color="auto"/>
              <w:right w:val="single" w:sz="4" w:space="0" w:color="auto"/>
            </w:tcBorders>
            <w:shd w:val="clear" w:color="auto" w:fill="auto"/>
          </w:tcPr>
          <w:p w14:paraId="41751AAC" w14:textId="77777777" w:rsidR="00FC5B00" w:rsidRPr="00EA1BB2" w:rsidRDefault="00FC5B00" w:rsidP="00FC5B00">
            <w:pPr>
              <w:jc w:val="center"/>
              <w:rPr>
                <w:rFonts w:ascii="Cambria" w:hAnsi="Cambria"/>
                <w:color w:val="000000"/>
                <w:sz w:val="24"/>
                <w:szCs w:val="24"/>
              </w:rPr>
            </w:pPr>
            <w:r w:rsidRPr="00EA1BB2">
              <w:rPr>
                <w:rFonts w:ascii="Cambria" w:hAnsi="Cambria"/>
                <w:sz w:val="24"/>
                <w:szCs w:val="24"/>
              </w:rPr>
              <w:t>0,001689</w:t>
            </w:r>
          </w:p>
        </w:tc>
        <w:tc>
          <w:tcPr>
            <w:tcW w:w="878" w:type="pct"/>
            <w:tcBorders>
              <w:top w:val="single" w:sz="4" w:space="0" w:color="auto"/>
              <w:left w:val="nil"/>
              <w:bottom w:val="single" w:sz="4" w:space="0" w:color="auto"/>
              <w:right w:val="single" w:sz="4" w:space="0" w:color="auto"/>
            </w:tcBorders>
          </w:tcPr>
          <w:p w14:paraId="448D0B81" w14:textId="77777777" w:rsidR="00FC5B00" w:rsidRPr="00EA1BB2" w:rsidRDefault="00E01F00" w:rsidP="00FC5B00">
            <w:pPr>
              <w:jc w:val="center"/>
              <w:rPr>
                <w:rFonts w:ascii="Cambria" w:hAnsi="Cambria"/>
                <w:sz w:val="24"/>
                <w:szCs w:val="24"/>
              </w:rPr>
            </w:pPr>
            <w:r w:rsidRPr="00EA1BB2">
              <w:rPr>
                <w:rFonts w:ascii="Cambria" w:hAnsi="Cambria"/>
                <w:sz w:val="24"/>
                <w:szCs w:val="24"/>
              </w:rPr>
              <w:t>4,71</w:t>
            </w:r>
          </w:p>
        </w:tc>
      </w:tr>
      <w:tr w:rsidR="00FC5B00" w:rsidRPr="00EA1BB2" w14:paraId="6BD494B3" w14:textId="77777777" w:rsidTr="00FC5B00">
        <w:trPr>
          <w:jc w:val="center"/>
        </w:trPr>
        <w:tc>
          <w:tcPr>
            <w:tcW w:w="1452" w:type="pct"/>
            <w:vMerge/>
            <w:vAlign w:val="center"/>
          </w:tcPr>
          <w:p w14:paraId="670492FD" w14:textId="77777777" w:rsidR="00FC5B00" w:rsidRPr="00EA1BB2" w:rsidRDefault="00FC5B00" w:rsidP="00FC5B00">
            <w:pPr>
              <w:jc w:val="center"/>
              <w:rPr>
                <w:rFonts w:ascii="Cambria" w:hAnsi="Cambria"/>
                <w:sz w:val="24"/>
                <w:szCs w:val="24"/>
              </w:rPr>
            </w:pPr>
          </w:p>
        </w:tc>
        <w:tc>
          <w:tcPr>
            <w:tcW w:w="1555" w:type="pct"/>
            <w:vAlign w:val="center"/>
          </w:tcPr>
          <w:p w14:paraId="3587ECEC" w14:textId="77777777" w:rsidR="00FC5B00" w:rsidRPr="00EA1BB2" w:rsidRDefault="00FC5B00" w:rsidP="00FC5B00">
            <w:pPr>
              <w:jc w:val="center"/>
              <w:rPr>
                <w:rFonts w:ascii="Cambria" w:hAnsi="Cambria"/>
                <w:sz w:val="24"/>
                <w:szCs w:val="24"/>
              </w:rPr>
            </w:pPr>
            <w:r w:rsidRPr="00EA1BB2">
              <w:rPr>
                <w:rFonts w:ascii="Cambria" w:hAnsi="Cambria"/>
                <w:sz w:val="24"/>
                <w:szCs w:val="24"/>
              </w:rPr>
              <w:t>Surse de suprafață</w:t>
            </w:r>
          </w:p>
        </w:tc>
        <w:tc>
          <w:tcPr>
            <w:tcW w:w="1115" w:type="pct"/>
            <w:tcBorders>
              <w:top w:val="single" w:sz="4" w:space="0" w:color="auto"/>
              <w:left w:val="nil"/>
              <w:bottom w:val="single" w:sz="4" w:space="0" w:color="auto"/>
              <w:right w:val="single" w:sz="4" w:space="0" w:color="auto"/>
            </w:tcBorders>
            <w:shd w:val="clear" w:color="auto" w:fill="auto"/>
          </w:tcPr>
          <w:p w14:paraId="3A98DA9F" w14:textId="77777777" w:rsidR="00FC5B00" w:rsidRPr="00EA1BB2" w:rsidRDefault="00FC5B00" w:rsidP="00FC5B00">
            <w:pPr>
              <w:jc w:val="center"/>
              <w:rPr>
                <w:rFonts w:ascii="Cambria" w:hAnsi="Cambria"/>
                <w:color w:val="000000"/>
                <w:sz w:val="24"/>
                <w:szCs w:val="24"/>
              </w:rPr>
            </w:pPr>
            <w:r w:rsidRPr="00EA1BB2">
              <w:rPr>
                <w:rFonts w:ascii="Cambria" w:hAnsi="Cambria"/>
                <w:sz w:val="24"/>
                <w:szCs w:val="24"/>
              </w:rPr>
              <w:t>0,019230</w:t>
            </w:r>
          </w:p>
        </w:tc>
        <w:tc>
          <w:tcPr>
            <w:tcW w:w="878" w:type="pct"/>
            <w:tcBorders>
              <w:top w:val="single" w:sz="4" w:space="0" w:color="auto"/>
              <w:left w:val="nil"/>
              <w:bottom w:val="single" w:sz="4" w:space="0" w:color="auto"/>
              <w:right w:val="single" w:sz="4" w:space="0" w:color="auto"/>
            </w:tcBorders>
          </w:tcPr>
          <w:p w14:paraId="1507EB25" w14:textId="77777777" w:rsidR="00FC5B00" w:rsidRPr="00EA1BB2" w:rsidRDefault="00E01F00" w:rsidP="00FC5B00">
            <w:pPr>
              <w:jc w:val="center"/>
              <w:rPr>
                <w:rFonts w:ascii="Cambria" w:hAnsi="Cambria"/>
                <w:sz w:val="24"/>
                <w:szCs w:val="24"/>
              </w:rPr>
            </w:pPr>
            <w:r w:rsidRPr="00EA1BB2">
              <w:rPr>
                <w:rFonts w:ascii="Cambria" w:hAnsi="Cambria"/>
                <w:sz w:val="24"/>
                <w:szCs w:val="24"/>
              </w:rPr>
              <w:t>53,60</w:t>
            </w:r>
          </w:p>
        </w:tc>
      </w:tr>
      <w:tr w:rsidR="00FC5B00" w:rsidRPr="00EA1BB2" w14:paraId="100EE647" w14:textId="77777777" w:rsidTr="00FC5B00">
        <w:trPr>
          <w:jc w:val="center"/>
        </w:trPr>
        <w:tc>
          <w:tcPr>
            <w:tcW w:w="1452" w:type="pct"/>
            <w:vMerge/>
            <w:vAlign w:val="center"/>
          </w:tcPr>
          <w:p w14:paraId="555981F3" w14:textId="77777777" w:rsidR="00FC5B00" w:rsidRPr="00EA1BB2" w:rsidRDefault="00FC5B00" w:rsidP="00FC5B00">
            <w:pPr>
              <w:jc w:val="center"/>
              <w:rPr>
                <w:rFonts w:ascii="Cambria" w:hAnsi="Cambria"/>
                <w:sz w:val="24"/>
                <w:szCs w:val="24"/>
              </w:rPr>
            </w:pPr>
          </w:p>
        </w:tc>
        <w:tc>
          <w:tcPr>
            <w:tcW w:w="1555" w:type="pct"/>
            <w:vAlign w:val="center"/>
          </w:tcPr>
          <w:p w14:paraId="65DB28E8" w14:textId="77777777" w:rsidR="00FC5B00" w:rsidRPr="00EA1BB2" w:rsidRDefault="00FC5B00" w:rsidP="00FC5B00">
            <w:pPr>
              <w:jc w:val="center"/>
              <w:rPr>
                <w:rFonts w:ascii="Cambria" w:hAnsi="Cambria"/>
                <w:sz w:val="24"/>
                <w:szCs w:val="24"/>
              </w:rPr>
            </w:pPr>
            <w:r w:rsidRPr="00EA1BB2">
              <w:rPr>
                <w:rFonts w:ascii="Cambria" w:hAnsi="Cambria"/>
                <w:sz w:val="24"/>
                <w:szCs w:val="24"/>
              </w:rPr>
              <w:t>TOTAL</w:t>
            </w:r>
          </w:p>
        </w:tc>
        <w:tc>
          <w:tcPr>
            <w:tcW w:w="1115" w:type="pct"/>
            <w:tcBorders>
              <w:top w:val="single" w:sz="4" w:space="0" w:color="auto"/>
              <w:left w:val="nil"/>
              <w:bottom w:val="single" w:sz="4" w:space="0" w:color="auto"/>
              <w:right w:val="single" w:sz="4" w:space="0" w:color="auto"/>
            </w:tcBorders>
            <w:shd w:val="clear" w:color="auto" w:fill="auto"/>
          </w:tcPr>
          <w:p w14:paraId="23BD401F" w14:textId="77777777" w:rsidR="00FC5B00" w:rsidRPr="00EA1BB2" w:rsidRDefault="00FC5B00" w:rsidP="00FC5B00">
            <w:pPr>
              <w:jc w:val="center"/>
              <w:rPr>
                <w:rFonts w:ascii="Cambria" w:hAnsi="Cambria"/>
                <w:color w:val="000000"/>
                <w:sz w:val="24"/>
                <w:szCs w:val="24"/>
              </w:rPr>
            </w:pPr>
            <w:r w:rsidRPr="00EA1BB2">
              <w:rPr>
                <w:rFonts w:ascii="Cambria" w:hAnsi="Cambria"/>
                <w:sz w:val="24"/>
                <w:szCs w:val="24"/>
              </w:rPr>
              <w:t>0,035877</w:t>
            </w:r>
          </w:p>
        </w:tc>
        <w:tc>
          <w:tcPr>
            <w:tcW w:w="878" w:type="pct"/>
            <w:tcBorders>
              <w:top w:val="single" w:sz="4" w:space="0" w:color="auto"/>
              <w:left w:val="nil"/>
              <w:bottom w:val="single" w:sz="4" w:space="0" w:color="auto"/>
              <w:right w:val="single" w:sz="4" w:space="0" w:color="auto"/>
            </w:tcBorders>
          </w:tcPr>
          <w:p w14:paraId="2E51B80F" w14:textId="77777777" w:rsidR="00FC5B00" w:rsidRPr="00EA1BB2" w:rsidRDefault="00E01F00" w:rsidP="00FC5B00">
            <w:pPr>
              <w:jc w:val="center"/>
              <w:rPr>
                <w:rFonts w:ascii="Cambria" w:hAnsi="Cambria"/>
                <w:sz w:val="24"/>
                <w:szCs w:val="24"/>
              </w:rPr>
            </w:pPr>
            <w:r w:rsidRPr="00EA1BB2">
              <w:rPr>
                <w:rFonts w:ascii="Cambria" w:hAnsi="Cambria"/>
                <w:sz w:val="24"/>
                <w:szCs w:val="24"/>
              </w:rPr>
              <w:t>100</w:t>
            </w:r>
          </w:p>
        </w:tc>
      </w:tr>
      <w:tr w:rsidR="00E01F00" w:rsidRPr="00EA1BB2" w14:paraId="07DC61C5" w14:textId="77777777" w:rsidTr="00FC5B00">
        <w:trPr>
          <w:jc w:val="center"/>
        </w:trPr>
        <w:tc>
          <w:tcPr>
            <w:tcW w:w="1452" w:type="pct"/>
            <w:vMerge w:val="restart"/>
            <w:vAlign w:val="center"/>
          </w:tcPr>
          <w:p w14:paraId="26A4E891" w14:textId="77777777" w:rsidR="00E01F00" w:rsidRPr="00EA1BB2" w:rsidRDefault="00E01F00" w:rsidP="00E01F00">
            <w:pPr>
              <w:jc w:val="center"/>
              <w:rPr>
                <w:rFonts w:ascii="Cambria" w:hAnsi="Cambria"/>
                <w:sz w:val="24"/>
                <w:szCs w:val="24"/>
              </w:rPr>
            </w:pPr>
            <w:r w:rsidRPr="00EA1BB2">
              <w:rPr>
                <w:rFonts w:ascii="Cambria" w:hAnsi="Cambria"/>
                <w:sz w:val="24"/>
                <w:szCs w:val="24"/>
              </w:rPr>
              <w:t xml:space="preserve">Oxid de sulf </w:t>
            </w:r>
          </w:p>
          <w:p w14:paraId="1F7AD40D" w14:textId="77777777" w:rsidR="00E01F00" w:rsidRPr="00EA1BB2" w:rsidRDefault="00E01F00" w:rsidP="00E01F00">
            <w:pPr>
              <w:jc w:val="center"/>
              <w:rPr>
                <w:rFonts w:ascii="Cambria" w:hAnsi="Cambria"/>
                <w:sz w:val="24"/>
                <w:szCs w:val="24"/>
              </w:rPr>
            </w:pPr>
            <w:r w:rsidRPr="00EA1BB2">
              <w:rPr>
                <w:rFonts w:ascii="Cambria" w:hAnsi="Cambria"/>
                <w:sz w:val="24"/>
                <w:szCs w:val="24"/>
              </w:rPr>
              <w:t xml:space="preserve">(SOx) </w:t>
            </w:r>
          </w:p>
        </w:tc>
        <w:tc>
          <w:tcPr>
            <w:tcW w:w="1555" w:type="pct"/>
            <w:vAlign w:val="center"/>
          </w:tcPr>
          <w:p w14:paraId="4625B43D" w14:textId="77777777" w:rsidR="00E01F00" w:rsidRPr="00EA1BB2" w:rsidRDefault="00E01F00" w:rsidP="00E01F00">
            <w:pPr>
              <w:jc w:val="center"/>
              <w:rPr>
                <w:rFonts w:ascii="Cambria" w:hAnsi="Cambria"/>
                <w:sz w:val="24"/>
                <w:szCs w:val="24"/>
              </w:rPr>
            </w:pPr>
            <w:r w:rsidRPr="00EA1BB2">
              <w:rPr>
                <w:rFonts w:ascii="Cambria" w:hAnsi="Cambria"/>
                <w:sz w:val="24"/>
                <w:szCs w:val="24"/>
              </w:rPr>
              <w:t>Surse staționare</w:t>
            </w:r>
          </w:p>
        </w:tc>
        <w:tc>
          <w:tcPr>
            <w:tcW w:w="1115" w:type="pct"/>
            <w:tcBorders>
              <w:top w:val="single" w:sz="4" w:space="0" w:color="auto"/>
              <w:left w:val="nil"/>
              <w:bottom w:val="single" w:sz="4" w:space="0" w:color="auto"/>
              <w:right w:val="single" w:sz="4" w:space="0" w:color="auto"/>
            </w:tcBorders>
            <w:shd w:val="clear" w:color="auto" w:fill="auto"/>
          </w:tcPr>
          <w:p w14:paraId="2F8066DF" w14:textId="77777777" w:rsidR="00E01F00" w:rsidRPr="00EA1BB2" w:rsidRDefault="00E01F00" w:rsidP="00E01F00">
            <w:pPr>
              <w:jc w:val="center"/>
              <w:rPr>
                <w:rFonts w:ascii="Cambria" w:hAnsi="Cambria"/>
                <w:color w:val="000000"/>
                <w:sz w:val="24"/>
                <w:szCs w:val="24"/>
              </w:rPr>
            </w:pPr>
            <w:r w:rsidRPr="00EA1BB2">
              <w:rPr>
                <w:rFonts w:ascii="Cambria" w:hAnsi="Cambria"/>
                <w:sz w:val="24"/>
                <w:szCs w:val="24"/>
              </w:rPr>
              <w:t>5,979358</w:t>
            </w:r>
          </w:p>
        </w:tc>
        <w:tc>
          <w:tcPr>
            <w:tcW w:w="878" w:type="pct"/>
            <w:tcBorders>
              <w:top w:val="single" w:sz="4" w:space="0" w:color="auto"/>
              <w:left w:val="nil"/>
              <w:bottom w:val="single" w:sz="4" w:space="0" w:color="auto"/>
              <w:right w:val="single" w:sz="4" w:space="0" w:color="auto"/>
            </w:tcBorders>
          </w:tcPr>
          <w:p w14:paraId="6BF74343" w14:textId="77777777" w:rsidR="00E01F00" w:rsidRPr="00EA1BB2" w:rsidRDefault="00E01F00" w:rsidP="00E01F00">
            <w:pPr>
              <w:jc w:val="center"/>
              <w:rPr>
                <w:rFonts w:ascii="Cambria" w:hAnsi="Cambria"/>
                <w:sz w:val="24"/>
                <w:szCs w:val="24"/>
              </w:rPr>
            </w:pPr>
            <w:r w:rsidRPr="00EA1BB2">
              <w:rPr>
                <w:rFonts w:ascii="Cambria" w:hAnsi="Cambria"/>
                <w:sz w:val="24"/>
              </w:rPr>
              <w:t>31,64</w:t>
            </w:r>
          </w:p>
        </w:tc>
      </w:tr>
      <w:tr w:rsidR="00E01F00" w:rsidRPr="00EA1BB2" w14:paraId="79F5AE17" w14:textId="77777777" w:rsidTr="00FC5B00">
        <w:trPr>
          <w:jc w:val="center"/>
        </w:trPr>
        <w:tc>
          <w:tcPr>
            <w:tcW w:w="1452" w:type="pct"/>
            <w:vMerge/>
            <w:vAlign w:val="center"/>
          </w:tcPr>
          <w:p w14:paraId="2C9F82EE" w14:textId="77777777" w:rsidR="00E01F00" w:rsidRPr="00EA1BB2" w:rsidRDefault="00E01F00" w:rsidP="00E01F00">
            <w:pPr>
              <w:jc w:val="center"/>
              <w:rPr>
                <w:rFonts w:ascii="Cambria" w:hAnsi="Cambria"/>
                <w:sz w:val="24"/>
                <w:szCs w:val="24"/>
              </w:rPr>
            </w:pPr>
          </w:p>
        </w:tc>
        <w:tc>
          <w:tcPr>
            <w:tcW w:w="1555" w:type="pct"/>
            <w:vAlign w:val="center"/>
          </w:tcPr>
          <w:p w14:paraId="7E6EBF6C" w14:textId="77777777" w:rsidR="00E01F00" w:rsidRPr="00EA1BB2" w:rsidRDefault="00E01F00" w:rsidP="00E01F00">
            <w:pPr>
              <w:jc w:val="center"/>
              <w:rPr>
                <w:rFonts w:ascii="Cambria" w:hAnsi="Cambria"/>
                <w:sz w:val="24"/>
                <w:szCs w:val="24"/>
              </w:rPr>
            </w:pPr>
            <w:r w:rsidRPr="00EA1BB2">
              <w:rPr>
                <w:rFonts w:ascii="Cambria" w:hAnsi="Cambria"/>
                <w:sz w:val="24"/>
                <w:szCs w:val="24"/>
              </w:rPr>
              <w:t>Surse mobile</w:t>
            </w:r>
          </w:p>
        </w:tc>
        <w:tc>
          <w:tcPr>
            <w:tcW w:w="1115" w:type="pct"/>
            <w:tcBorders>
              <w:top w:val="single" w:sz="4" w:space="0" w:color="auto"/>
              <w:left w:val="nil"/>
              <w:bottom w:val="single" w:sz="4" w:space="0" w:color="auto"/>
              <w:right w:val="single" w:sz="4" w:space="0" w:color="auto"/>
            </w:tcBorders>
            <w:shd w:val="clear" w:color="auto" w:fill="auto"/>
          </w:tcPr>
          <w:p w14:paraId="79B27FB4" w14:textId="77777777" w:rsidR="00E01F00" w:rsidRPr="00EA1BB2" w:rsidRDefault="00E01F00" w:rsidP="00E01F00">
            <w:pPr>
              <w:jc w:val="center"/>
              <w:rPr>
                <w:rFonts w:ascii="Cambria" w:hAnsi="Cambria"/>
                <w:color w:val="000000"/>
                <w:sz w:val="24"/>
                <w:szCs w:val="24"/>
              </w:rPr>
            </w:pPr>
          </w:p>
        </w:tc>
        <w:tc>
          <w:tcPr>
            <w:tcW w:w="878" w:type="pct"/>
            <w:tcBorders>
              <w:top w:val="single" w:sz="4" w:space="0" w:color="auto"/>
              <w:left w:val="nil"/>
              <w:bottom w:val="single" w:sz="4" w:space="0" w:color="auto"/>
              <w:right w:val="single" w:sz="4" w:space="0" w:color="auto"/>
            </w:tcBorders>
          </w:tcPr>
          <w:p w14:paraId="4FDA04C4" w14:textId="77777777" w:rsidR="00E01F00" w:rsidRPr="00EA1BB2" w:rsidRDefault="00E01F00" w:rsidP="00E01F00">
            <w:pPr>
              <w:jc w:val="center"/>
              <w:rPr>
                <w:rFonts w:ascii="Cambria" w:hAnsi="Cambria"/>
                <w:color w:val="000000"/>
                <w:sz w:val="24"/>
                <w:szCs w:val="24"/>
              </w:rPr>
            </w:pPr>
          </w:p>
        </w:tc>
      </w:tr>
      <w:tr w:rsidR="00E01F00" w:rsidRPr="00EA1BB2" w14:paraId="0EF2E4F5" w14:textId="77777777" w:rsidTr="00FC5B00">
        <w:trPr>
          <w:jc w:val="center"/>
        </w:trPr>
        <w:tc>
          <w:tcPr>
            <w:tcW w:w="1452" w:type="pct"/>
            <w:vMerge/>
            <w:vAlign w:val="center"/>
          </w:tcPr>
          <w:p w14:paraId="61248EDB" w14:textId="77777777" w:rsidR="00E01F00" w:rsidRPr="00EA1BB2" w:rsidRDefault="00E01F00" w:rsidP="00E01F00">
            <w:pPr>
              <w:jc w:val="center"/>
              <w:rPr>
                <w:rFonts w:ascii="Cambria" w:hAnsi="Cambria"/>
                <w:sz w:val="24"/>
                <w:szCs w:val="24"/>
              </w:rPr>
            </w:pPr>
          </w:p>
        </w:tc>
        <w:tc>
          <w:tcPr>
            <w:tcW w:w="1555" w:type="pct"/>
            <w:vAlign w:val="center"/>
          </w:tcPr>
          <w:p w14:paraId="528953FB" w14:textId="77777777" w:rsidR="00E01F00" w:rsidRPr="00EA1BB2" w:rsidRDefault="00E01F00" w:rsidP="00E01F00">
            <w:pPr>
              <w:jc w:val="center"/>
              <w:rPr>
                <w:rFonts w:ascii="Cambria" w:hAnsi="Cambria"/>
                <w:sz w:val="24"/>
                <w:szCs w:val="24"/>
              </w:rPr>
            </w:pPr>
            <w:r w:rsidRPr="00EA1BB2">
              <w:rPr>
                <w:rFonts w:ascii="Cambria" w:hAnsi="Cambria"/>
                <w:sz w:val="24"/>
                <w:szCs w:val="24"/>
              </w:rPr>
              <w:t>Surse de suprafață</w:t>
            </w:r>
          </w:p>
        </w:tc>
        <w:tc>
          <w:tcPr>
            <w:tcW w:w="1115" w:type="pct"/>
            <w:tcBorders>
              <w:top w:val="single" w:sz="4" w:space="0" w:color="auto"/>
              <w:left w:val="nil"/>
              <w:bottom w:val="single" w:sz="4" w:space="0" w:color="auto"/>
              <w:right w:val="single" w:sz="4" w:space="0" w:color="auto"/>
            </w:tcBorders>
            <w:shd w:val="clear" w:color="auto" w:fill="auto"/>
          </w:tcPr>
          <w:p w14:paraId="796797A7" w14:textId="77777777" w:rsidR="00E01F00" w:rsidRPr="00EA1BB2" w:rsidRDefault="00E01F00" w:rsidP="00E01F00">
            <w:pPr>
              <w:jc w:val="center"/>
              <w:rPr>
                <w:rFonts w:ascii="Cambria" w:hAnsi="Cambria"/>
                <w:color w:val="000000"/>
                <w:sz w:val="24"/>
                <w:szCs w:val="24"/>
              </w:rPr>
            </w:pPr>
            <w:r w:rsidRPr="00EA1BB2">
              <w:rPr>
                <w:rFonts w:ascii="Cambria" w:hAnsi="Cambria"/>
                <w:sz w:val="24"/>
                <w:szCs w:val="24"/>
              </w:rPr>
              <w:t>12,917930</w:t>
            </w:r>
          </w:p>
        </w:tc>
        <w:tc>
          <w:tcPr>
            <w:tcW w:w="878" w:type="pct"/>
            <w:tcBorders>
              <w:top w:val="single" w:sz="4" w:space="0" w:color="auto"/>
              <w:left w:val="nil"/>
              <w:bottom w:val="single" w:sz="4" w:space="0" w:color="auto"/>
              <w:right w:val="single" w:sz="4" w:space="0" w:color="auto"/>
            </w:tcBorders>
          </w:tcPr>
          <w:p w14:paraId="1631C8D9" w14:textId="77777777" w:rsidR="00E01F00" w:rsidRPr="00EA1BB2" w:rsidRDefault="00E01F00" w:rsidP="00E01F00">
            <w:pPr>
              <w:jc w:val="center"/>
              <w:rPr>
                <w:rFonts w:ascii="Cambria" w:hAnsi="Cambria"/>
                <w:sz w:val="24"/>
                <w:szCs w:val="24"/>
              </w:rPr>
            </w:pPr>
            <w:r w:rsidRPr="00EA1BB2">
              <w:rPr>
                <w:rFonts w:ascii="Cambria" w:hAnsi="Cambria"/>
                <w:sz w:val="24"/>
              </w:rPr>
              <w:t>68,36</w:t>
            </w:r>
          </w:p>
        </w:tc>
      </w:tr>
      <w:tr w:rsidR="004E55BA" w:rsidRPr="00EA1BB2" w14:paraId="1E6B9616" w14:textId="77777777" w:rsidTr="00FC5B00">
        <w:trPr>
          <w:jc w:val="center"/>
        </w:trPr>
        <w:tc>
          <w:tcPr>
            <w:tcW w:w="1452" w:type="pct"/>
            <w:vMerge/>
            <w:vAlign w:val="center"/>
          </w:tcPr>
          <w:p w14:paraId="1746405B" w14:textId="77777777" w:rsidR="004E55BA" w:rsidRPr="00EA1BB2" w:rsidRDefault="004E55BA" w:rsidP="004E55BA">
            <w:pPr>
              <w:jc w:val="center"/>
              <w:rPr>
                <w:rFonts w:ascii="Cambria" w:hAnsi="Cambria"/>
                <w:sz w:val="24"/>
                <w:szCs w:val="24"/>
              </w:rPr>
            </w:pPr>
          </w:p>
        </w:tc>
        <w:tc>
          <w:tcPr>
            <w:tcW w:w="1555" w:type="pct"/>
            <w:vAlign w:val="center"/>
          </w:tcPr>
          <w:p w14:paraId="7D1FA31E" w14:textId="77777777" w:rsidR="004E55BA" w:rsidRPr="00EA1BB2" w:rsidRDefault="004E55BA" w:rsidP="004E55BA">
            <w:pPr>
              <w:jc w:val="center"/>
              <w:rPr>
                <w:rFonts w:ascii="Cambria" w:hAnsi="Cambria"/>
                <w:sz w:val="24"/>
                <w:szCs w:val="24"/>
              </w:rPr>
            </w:pPr>
            <w:r w:rsidRPr="00EA1BB2">
              <w:rPr>
                <w:rFonts w:ascii="Cambria" w:hAnsi="Cambria"/>
                <w:sz w:val="24"/>
                <w:szCs w:val="24"/>
              </w:rPr>
              <w:t>TOTAL</w:t>
            </w:r>
          </w:p>
        </w:tc>
        <w:tc>
          <w:tcPr>
            <w:tcW w:w="1115" w:type="pct"/>
            <w:tcBorders>
              <w:top w:val="single" w:sz="4" w:space="0" w:color="auto"/>
              <w:left w:val="nil"/>
              <w:bottom w:val="single" w:sz="4" w:space="0" w:color="auto"/>
              <w:right w:val="single" w:sz="4" w:space="0" w:color="auto"/>
            </w:tcBorders>
            <w:shd w:val="clear" w:color="auto" w:fill="auto"/>
          </w:tcPr>
          <w:p w14:paraId="41C1C1B7" w14:textId="77777777" w:rsidR="004E55BA" w:rsidRPr="00EA1BB2" w:rsidRDefault="004E55BA" w:rsidP="004E55BA">
            <w:pPr>
              <w:jc w:val="center"/>
              <w:rPr>
                <w:rFonts w:ascii="Cambria" w:hAnsi="Cambria"/>
                <w:color w:val="000000"/>
                <w:sz w:val="24"/>
                <w:szCs w:val="24"/>
              </w:rPr>
            </w:pPr>
            <w:r w:rsidRPr="00EA1BB2">
              <w:rPr>
                <w:rFonts w:ascii="Cambria" w:hAnsi="Cambria"/>
                <w:sz w:val="24"/>
                <w:szCs w:val="24"/>
              </w:rPr>
              <w:t>18,897287</w:t>
            </w:r>
          </w:p>
        </w:tc>
        <w:tc>
          <w:tcPr>
            <w:tcW w:w="878" w:type="pct"/>
            <w:tcBorders>
              <w:top w:val="single" w:sz="4" w:space="0" w:color="auto"/>
              <w:left w:val="nil"/>
              <w:bottom w:val="single" w:sz="4" w:space="0" w:color="auto"/>
              <w:right w:val="single" w:sz="4" w:space="0" w:color="auto"/>
            </w:tcBorders>
          </w:tcPr>
          <w:p w14:paraId="41316139" w14:textId="77777777" w:rsidR="004E55BA" w:rsidRPr="00EA1BB2" w:rsidRDefault="00E01F00" w:rsidP="004E55BA">
            <w:pPr>
              <w:jc w:val="center"/>
              <w:rPr>
                <w:rFonts w:ascii="Cambria" w:hAnsi="Cambria"/>
                <w:sz w:val="24"/>
                <w:szCs w:val="24"/>
              </w:rPr>
            </w:pPr>
            <w:r w:rsidRPr="00EA1BB2">
              <w:rPr>
                <w:rFonts w:ascii="Cambria" w:hAnsi="Cambria"/>
                <w:sz w:val="24"/>
                <w:szCs w:val="24"/>
              </w:rPr>
              <w:t>100</w:t>
            </w:r>
          </w:p>
        </w:tc>
      </w:tr>
      <w:tr w:rsidR="00FC5B00" w:rsidRPr="00EA1BB2" w14:paraId="05ECB74A" w14:textId="77777777" w:rsidTr="00FC5B00">
        <w:trPr>
          <w:jc w:val="center"/>
        </w:trPr>
        <w:tc>
          <w:tcPr>
            <w:tcW w:w="1452" w:type="pct"/>
            <w:vMerge w:val="restart"/>
            <w:vAlign w:val="center"/>
          </w:tcPr>
          <w:p w14:paraId="20697D52" w14:textId="77777777" w:rsidR="00FC5B00" w:rsidRPr="00EA1BB2" w:rsidRDefault="00FC5B00" w:rsidP="00FC5B00">
            <w:pPr>
              <w:jc w:val="center"/>
              <w:rPr>
                <w:rFonts w:ascii="Cambria" w:hAnsi="Cambria"/>
                <w:sz w:val="24"/>
                <w:szCs w:val="24"/>
              </w:rPr>
            </w:pPr>
            <w:r w:rsidRPr="00EA1BB2">
              <w:rPr>
                <w:rFonts w:ascii="Cambria" w:hAnsi="Cambria"/>
                <w:sz w:val="24"/>
                <w:szCs w:val="24"/>
              </w:rPr>
              <w:t>Monoxid de carbon</w:t>
            </w:r>
          </w:p>
          <w:p w14:paraId="09F97687" w14:textId="77777777" w:rsidR="00FC5B00" w:rsidRPr="00EA1BB2" w:rsidRDefault="00FC5B00" w:rsidP="00FC5B00">
            <w:pPr>
              <w:jc w:val="center"/>
              <w:rPr>
                <w:rFonts w:ascii="Cambria" w:hAnsi="Cambria"/>
                <w:sz w:val="24"/>
                <w:szCs w:val="24"/>
              </w:rPr>
            </w:pPr>
            <w:r w:rsidRPr="00EA1BB2">
              <w:rPr>
                <w:rFonts w:ascii="Cambria" w:hAnsi="Cambria"/>
                <w:sz w:val="24"/>
                <w:szCs w:val="24"/>
              </w:rPr>
              <w:t>(CO)</w:t>
            </w:r>
          </w:p>
        </w:tc>
        <w:tc>
          <w:tcPr>
            <w:tcW w:w="1555" w:type="pct"/>
            <w:vAlign w:val="center"/>
          </w:tcPr>
          <w:p w14:paraId="4244D450" w14:textId="77777777" w:rsidR="00FC5B00" w:rsidRPr="00EA1BB2" w:rsidRDefault="00FC5B00" w:rsidP="00FC5B00">
            <w:pPr>
              <w:jc w:val="center"/>
              <w:rPr>
                <w:rFonts w:ascii="Cambria" w:hAnsi="Cambria"/>
                <w:sz w:val="24"/>
                <w:szCs w:val="24"/>
              </w:rPr>
            </w:pPr>
            <w:r w:rsidRPr="00EA1BB2">
              <w:rPr>
                <w:rFonts w:ascii="Cambria" w:hAnsi="Cambria"/>
                <w:sz w:val="24"/>
                <w:szCs w:val="24"/>
              </w:rPr>
              <w:t>Surse staționare</w:t>
            </w:r>
          </w:p>
        </w:tc>
        <w:tc>
          <w:tcPr>
            <w:tcW w:w="1115" w:type="pct"/>
            <w:tcBorders>
              <w:top w:val="single" w:sz="4" w:space="0" w:color="auto"/>
              <w:left w:val="nil"/>
              <w:bottom w:val="single" w:sz="4" w:space="0" w:color="auto"/>
              <w:right w:val="single" w:sz="4" w:space="0" w:color="auto"/>
            </w:tcBorders>
            <w:shd w:val="clear" w:color="auto" w:fill="auto"/>
          </w:tcPr>
          <w:p w14:paraId="6591CE89" w14:textId="77777777" w:rsidR="00FC5B00" w:rsidRPr="00EA1BB2" w:rsidRDefault="00FC5B00" w:rsidP="00FC5B00">
            <w:pPr>
              <w:jc w:val="center"/>
              <w:rPr>
                <w:rFonts w:ascii="Cambria" w:hAnsi="Cambria"/>
                <w:color w:val="000000"/>
                <w:sz w:val="24"/>
                <w:szCs w:val="24"/>
              </w:rPr>
            </w:pPr>
            <w:r w:rsidRPr="00EA1BB2">
              <w:rPr>
                <w:rFonts w:ascii="Cambria" w:hAnsi="Cambria"/>
                <w:sz w:val="24"/>
                <w:szCs w:val="24"/>
              </w:rPr>
              <w:t>248,786</w:t>
            </w:r>
          </w:p>
        </w:tc>
        <w:tc>
          <w:tcPr>
            <w:tcW w:w="878" w:type="pct"/>
            <w:tcBorders>
              <w:top w:val="single" w:sz="4" w:space="0" w:color="auto"/>
              <w:left w:val="nil"/>
              <w:bottom w:val="single" w:sz="4" w:space="0" w:color="auto"/>
              <w:right w:val="single" w:sz="4" w:space="0" w:color="auto"/>
            </w:tcBorders>
          </w:tcPr>
          <w:p w14:paraId="25AD56EE" w14:textId="77777777" w:rsidR="00FC5B00" w:rsidRPr="00EA1BB2" w:rsidRDefault="00E01F00" w:rsidP="00FC5B00">
            <w:pPr>
              <w:jc w:val="center"/>
              <w:rPr>
                <w:rFonts w:ascii="Cambria" w:hAnsi="Cambria"/>
                <w:sz w:val="24"/>
                <w:szCs w:val="24"/>
              </w:rPr>
            </w:pPr>
            <w:r w:rsidRPr="00EA1BB2">
              <w:rPr>
                <w:rFonts w:ascii="Cambria" w:hAnsi="Cambria"/>
                <w:sz w:val="24"/>
                <w:szCs w:val="24"/>
              </w:rPr>
              <w:t>5,95</w:t>
            </w:r>
          </w:p>
        </w:tc>
      </w:tr>
      <w:tr w:rsidR="00FC5B00" w:rsidRPr="00EA1BB2" w14:paraId="42DCD6EA" w14:textId="77777777" w:rsidTr="00FC5B00">
        <w:trPr>
          <w:jc w:val="center"/>
        </w:trPr>
        <w:tc>
          <w:tcPr>
            <w:tcW w:w="1452" w:type="pct"/>
            <w:vMerge/>
            <w:vAlign w:val="center"/>
          </w:tcPr>
          <w:p w14:paraId="654048A7" w14:textId="77777777" w:rsidR="00FC5B00" w:rsidRPr="00EA1BB2" w:rsidRDefault="00FC5B00" w:rsidP="00FC5B00">
            <w:pPr>
              <w:jc w:val="center"/>
              <w:rPr>
                <w:rFonts w:ascii="Cambria" w:hAnsi="Cambria"/>
                <w:sz w:val="24"/>
                <w:szCs w:val="24"/>
              </w:rPr>
            </w:pPr>
          </w:p>
        </w:tc>
        <w:tc>
          <w:tcPr>
            <w:tcW w:w="1555" w:type="pct"/>
            <w:vAlign w:val="center"/>
          </w:tcPr>
          <w:p w14:paraId="6E302667" w14:textId="77777777" w:rsidR="00FC5B00" w:rsidRPr="00EA1BB2" w:rsidRDefault="00FC5B00" w:rsidP="00FC5B00">
            <w:pPr>
              <w:jc w:val="center"/>
              <w:rPr>
                <w:rFonts w:ascii="Cambria" w:hAnsi="Cambria"/>
                <w:sz w:val="24"/>
                <w:szCs w:val="24"/>
              </w:rPr>
            </w:pPr>
            <w:r w:rsidRPr="00EA1BB2">
              <w:rPr>
                <w:rFonts w:ascii="Cambria" w:hAnsi="Cambria"/>
                <w:sz w:val="24"/>
                <w:szCs w:val="24"/>
              </w:rPr>
              <w:t>Surse mobile</w:t>
            </w:r>
          </w:p>
        </w:tc>
        <w:tc>
          <w:tcPr>
            <w:tcW w:w="1115" w:type="pct"/>
            <w:tcBorders>
              <w:top w:val="single" w:sz="4" w:space="0" w:color="auto"/>
              <w:left w:val="nil"/>
              <w:bottom w:val="single" w:sz="4" w:space="0" w:color="auto"/>
              <w:right w:val="single" w:sz="4" w:space="0" w:color="auto"/>
            </w:tcBorders>
            <w:shd w:val="clear" w:color="auto" w:fill="auto"/>
          </w:tcPr>
          <w:p w14:paraId="483E214C" w14:textId="77777777" w:rsidR="00FC5B00" w:rsidRPr="00EA1BB2" w:rsidRDefault="00FC5B00" w:rsidP="00FC5B00">
            <w:pPr>
              <w:jc w:val="center"/>
              <w:rPr>
                <w:rFonts w:ascii="Cambria" w:hAnsi="Cambria"/>
                <w:color w:val="000000"/>
                <w:sz w:val="24"/>
                <w:szCs w:val="24"/>
              </w:rPr>
            </w:pPr>
            <w:r w:rsidRPr="00EA1BB2">
              <w:rPr>
                <w:rFonts w:ascii="Cambria" w:hAnsi="Cambria"/>
                <w:sz w:val="24"/>
                <w:szCs w:val="24"/>
              </w:rPr>
              <w:t>2507,095</w:t>
            </w:r>
          </w:p>
        </w:tc>
        <w:tc>
          <w:tcPr>
            <w:tcW w:w="878" w:type="pct"/>
            <w:tcBorders>
              <w:top w:val="single" w:sz="4" w:space="0" w:color="auto"/>
              <w:left w:val="nil"/>
              <w:bottom w:val="single" w:sz="4" w:space="0" w:color="auto"/>
              <w:right w:val="single" w:sz="4" w:space="0" w:color="auto"/>
            </w:tcBorders>
          </w:tcPr>
          <w:p w14:paraId="12903F66" w14:textId="77777777" w:rsidR="00FC5B00" w:rsidRPr="00EA1BB2" w:rsidRDefault="00E01F00" w:rsidP="00FC5B00">
            <w:pPr>
              <w:jc w:val="center"/>
              <w:rPr>
                <w:rFonts w:ascii="Cambria" w:hAnsi="Cambria"/>
                <w:sz w:val="24"/>
                <w:szCs w:val="24"/>
              </w:rPr>
            </w:pPr>
            <w:r w:rsidRPr="00EA1BB2">
              <w:rPr>
                <w:rFonts w:ascii="Cambria" w:hAnsi="Cambria"/>
                <w:sz w:val="24"/>
                <w:szCs w:val="24"/>
              </w:rPr>
              <w:t>59,97</w:t>
            </w:r>
          </w:p>
        </w:tc>
      </w:tr>
      <w:tr w:rsidR="00FC5B00" w:rsidRPr="00EA1BB2" w14:paraId="687EB7AB" w14:textId="77777777" w:rsidTr="00FC5B00">
        <w:trPr>
          <w:jc w:val="center"/>
        </w:trPr>
        <w:tc>
          <w:tcPr>
            <w:tcW w:w="1452" w:type="pct"/>
            <w:vMerge/>
            <w:vAlign w:val="center"/>
          </w:tcPr>
          <w:p w14:paraId="2D2DA4F4" w14:textId="77777777" w:rsidR="00FC5B00" w:rsidRPr="00EA1BB2" w:rsidRDefault="00FC5B00" w:rsidP="00FC5B00">
            <w:pPr>
              <w:jc w:val="center"/>
              <w:rPr>
                <w:rFonts w:ascii="Cambria" w:hAnsi="Cambria"/>
                <w:sz w:val="24"/>
                <w:szCs w:val="24"/>
              </w:rPr>
            </w:pPr>
          </w:p>
        </w:tc>
        <w:tc>
          <w:tcPr>
            <w:tcW w:w="1555" w:type="pct"/>
            <w:vAlign w:val="center"/>
          </w:tcPr>
          <w:p w14:paraId="4B1DE53A" w14:textId="77777777" w:rsidR="00FC5B00" w:rsidRPr="00EA1BB2" w:rsidRDefault="00FC5B00" w:rsidP="00FC5B00">
            <w:pPr>
              <w:jc w:val="center"/>
              <w:rPr>
                <w:rFonts w:ascii="Cambria" w:hAnsi="Cambria"/>
                <w:sz w:val="24"/>
                <w:szCs w:val="24"/>
              </w:rPr>
            </w:pPr>
            <w:r w:rsidRPr="00EA1BB2">
              <w:rPr>
                <w:rFonts w:ascii="Cambria" w:hAnsi="Cambria"/>
                <w:sz w:val="24"/>
                <w:szCs w:val="24"/>
              </w:rPr>
              <w:t>Surse de suprafață</w:t>
            </w:r>
          </w:p>
        </w:tc>
        <w:tc>
          <w:tcPr>
            <w:tcW w:w="1115" w:type="pct"/>
            <w:tcBorders>
              <w:top w:val="single" w:sz="4" w:space="0" w:color="auto"/>
              <w:left w:val="nil"/>
              <w:bottom w:val="single" w:sz="4" w:space="0" w:color="auto"/>
              <w:right w:val="single" w:sz="4" w:space="0" w:color="auto"/>
            </w:tcBorders>
            <w:shd w:val="clear" w:color="auto" w:fill="auto"/>
          </w:tcPr>
          <w:p w14:paraId="54EFD1F0" w14:textId="77777777" w:rsidR="00FC5B00" w:rsidRPr="00EA1BB2" w:rsidRDefault="00FC5B00" w:rsidP="00FC5B00">
            <w:pPr>
              <w:jc w:val="center"/>
              <w:rPr>
                <w:rFonts w:ascii="Cambria" w:hAnsi="Cambria"/>
                <w:color w:val="000000"/>
                <w:sz w:val="24"/>
                <w:szCs w:val="24"/>
              </w:rPr>
            </w:pPr>
            <w:r w:rsidRPr="00EA1BB2">
              <w:rPr>
                <w:rFonts w:ascii="Cambria" w:hAnsi="Cambria"/>
                <w:sz w:val="24"/>
                <w:szCs w:val="24"/>
              </w:rPr>
              <w:t>1424,723</w:t>
            </w:r>
          </w:p>
        </w:tc>
        <w:tc>
          <w:tcPr>
            <w:tcW w:w="878" w:type="pct"/>
            <w:tcBorders>
              <w:top w:val="single" w:sz="4" w:space="0" w:color="auto"/>
              <w:left w:val="nil"/>
              <w:bottom w:val="single" w:sz="4" w:space="0" w:color="auto"/>
              <w:right w:val="single" w:sz="4" w:space="0" w:color="auto"/>
            </w:tcBorders>
          </w:tcPr>
          <w:p w14:paraId="0F55C54C" w14:textId="77777777" w:rsidR="00FC5B00" w:rsidRPr="00EA1BB2" w:rsidRDefault="00E01F00" w:rsidP="00FC5B00">
            <w:pPr>
              <w:jc w:val="center"/>
              <w:rPr>
                <w:rFonts w:ascii="Cambria" w:hAnsi="Cambria"/>
                <w:sz w:val="24"/>
                <w:szCs w:val="24"/>
              </w:rPr>
            </w:pPr>
            <w:r w:rsidRPr="00EA1BB2">
              <w:rPr>
                <w:rFonts w:ascii="Cambria" w:hAnsi="Cambria"/>
                <w:sz w:val="24"/>
                <w:szCs w:val="24"/>
              </w:rPr>
              <w:t>34,08</w:t>
            </w:r>
          </w:p>
        </w:tc>
      </w:tr>
      <w:tr w:rsidR="00FC5B00" w:rsidRPr="00EA1BB2" w14:paraId="461815E9" w14:textId="77777777" w:rsidTr="00FC5B00">
        <w:trPr>
          <w:jc w:val="center"/>
        </w:trPr>
        <w:tc>
          <w:tcPr>
            <w:tcW w:w="1452" w:type="pct"/>
            <w:vMerge/>
            <w:vAlign w:val="center"/>
          </w:tcPr>
          <w:p w14:paraId="60590AC3" w14:textId="77777777" w:rsidR="00FC5B00" w:rsidRPr="00EA1BB2" w:rsidRDefault="00FC5B00" w:rsidP="00FC5B00">
            <w:pPr>
              <w:jc w:val="center"/>
              <w:rPr>
                <w:rFonts w:ascii="Cambria" w:hAnsi="Cambria"/>
                <w:sz w:val="24"/>
                <w:szCs w:val="24"/>
              </w:rPr>
            </w:pPr>
          </w:p>
        </w:tc>
        <w:tc>
          <w:tcPr>
            <w:tcW w:w="1555" w:type="pct"/>
            <w:vAlign w:val="center"/>
          </w:tcPr>
          <w:p w14:paraId="52FECD68" w14:textId="77777777" w:rsidR="00FC5B00" w:rsidRPr="00EA1BB2" w:rsidRDefault="00FC5B00" w:rsidP="00FC5B00">
            <w:pPr>
              <w:jc w:val="center"/>
              <w:rPr>
                <w:rFonts w:ascii="Cambria" w:hAnsi="Cambria"/>
                <w:sz w:val="24"/>
                <w:szCs w:val="24"/>
              </w:rPr>
            </w:pPr>
            <w:r w:rsidRPr="00EA1BB2">
              <w:rPr>
                <w:rFonts w:ascii="Cambria" w:hAnsi="Cambria"/>
                <w:sz w:val="24"/>
                <w:szCs w:val="24"/>
              </w:rPr>
              <w:t>TOTAL</w:t>
            </w:r>
          </w:p>
        </w:tc>
        <w:tc>
          <w:tcPr>
            <w:tcW w:w="1115" w:type="pct"/>
            <w:tcBorders>
              <w:top w:val="single" w:sz="4" w:space="0" w:color="auto"/>
              <w:left w:val="nil"/>
              <w:bottom w:val="single" w:sz="4" w:space="0" w:color="auto"/>
              <w:right w:val="single" w:sz="4" w:space="0" w:color="auto"/>
            </w:tcBorders>
            <w:shd w:val="clear" w:color="auto" w:fill="auto"/>
          </w:tcPr>
          <w:p w14:paraId="141ADE35" w14:textId="77777777" w:rsidR="00FC5B00" w:rsidRPr="00EA1BB2" w:rsidRDefault="00FC5B00" w:rsidP="00FC5B00">
            <w:pPr>
              <w:jc w:val="center"/>
              <w:rPr>
                <w:rFonts w:ascii="Cambria" w:hAnsi="Cambria"/>
                <w:color w:val="000000"/>
                <w:sz w:val="24"/>
                <w:szCs w:val="24"/>
              </w:rPr>
            </w:pPr>
            <w:r w:rsidRPr="00EA1BB2">
              <w:rPr>
                <w:rFonts w:ascii="Cambria" w:hAnsi="Cambria"/>
                <w:sz w:val="24"/>
                <w:szCs w:val="24"/>
              </w:rPr>
              <w:t>4180,604</w:t>
            </w:r>
          </w:p>
        </w:tc>
        <w:tc>
          <w:tcPr>
            <w:tcW w:w="878" w:type="pct"/>
            <w:tcBorders>
              <w:top w:val="single" w:sz="4" w:space="0" w:color="auto"/>
              <w:left w:val="nil"/>
              <w:bottom w:val="single" w:sz="4" w:space="0" w:color="auto"/>
              <w:right w:val="single" w:sz="4" w:space="0" w:color="auto"/>
            </w:tcBorders>
          </w:tcPr>
          <w:p w14:paraId="65CB5F68" w14:textId="77777777" w:rsidR="00FC5B00" w:rsidRPr="00EA1BB2" w:rsidRDefault="00E01F00" w:rsidP="00FC5B00">
            <w:pPr>
              <w:jc w:val="center"/>
              <w:rPr>
                <w:rFonts w:ascii="Cambria" w:hAnsi="Cambria"/>
                <w:sz w:val="24"/>
                <w:szCs w:val="24"/>
              </w:rPr>
            </w:pPr>
            <w:r w:rsidRPr="00EA1BB2">
              <w:rPr>
                <w:rFonts w:ascii="Cambria" w:hAnsi="Cambria"/>
                <w:sz w:val="24"/>
                <w:szCs w:val="24"/>
              </w:rPr>
              <w:t>100</w:t>
            </w:r>
          </w:p>
        </w:tc>
      </w:tr>
      <w:tr w:rsidR="00FC5B00" w:rsidRPr="00EA1BB2" w14:paraId="2D137286" w14:textId="77777777" w:rsidTr="00FC5B00">
        <w:trPr>
          <w:jc w:val="center"/>
        </w:trPr>
        <w:tc>
          <w:tcPr>
            <w:tcW w:w="1452" w:type="pct"/>
            <w:vMerge w:val="restart"/>
            <w:vAlign w:val="center"/>
          </w:tcPr>
          <w:p w14:paraId="250D7286" w14:textId="77777777" w:rsidR="00FC5B00" w:rsidRPr="00EA1BB2" w:rsidRDefault="00FC5B00" w:rsidP="00FC5B00">
            <w:pPr>
              <w:jc w:val="center"/>
              <w:rPr>
                <w:rFonts w:ascii="Cambria" w:hAnsi="Cambria"/>
                <w:sz w:val="24"/>
                <w:szCs w:val="24"/>
              </w:rPr>
            </w:pPr>
            <w:r w:rsidRPr="00EA1BB2">
              <w:rPr>
                <w:rFonts w:ascii="Cambria" w:hAnsi="Cambria"/>
                <w:sz w:val="24"/>
                <w:szCs w:val="24"/>
              </w:rPr>
              <w:t xml:space="preserve">Plumb </w:t>
            </w:r>
          </w:p>
          <w:p w14:paraId="0FEF4138" w14:textId="77777777" w:rsidR="00FC5B00" w:rsidRPr="00EA1BB2" w:rsidRDefault="00FC5B00" w:rsidP="00FC5B00">
            <w:pPr>
              <w:jc w:val="center"/>
              <w:rPr>
                <w:rFonts w:ascii="Cambria" w:hAnsi="Cambria"/>
                <w:sz w:val="24"/>
                <w:szCs w:val="24"/>
              </w:rPr>
            </w:pPr>
            <w:r w:rsidRPr="00EA1BB2">
              <w:rPr>
                <w:rFonts w:ascii="Cambria" w:hAnsi="Cambria"/>
                <w:sz w:val="24"/>
                <w:szCs w:val="24"/>
              </w:rPr>
              <w:t>(Pb)</w:t>
            </w:r>
          </w:p>
        </w:tc>
        <w:tc>
          <w:tcPr>
            <w:tcW w:w="1555" w:type="pct"/>
            <w:vAlign w:val="center"/>
          </w:tcPr>
          <w:p w14:paraId="68A5C035" w14:textId="77777777" w:rsidR="00FC5B00" w:rsidRPr="00EA1BB2" w:rsidRDefault="00FC5B00" w:rsidP="00FC5B00">
            <w:pPr>
              <w:jc w:val="center"/>
              <w:rPr>
                <w:rFonts w:ascii="Cambria" w:hAnsi="Cambria"/>
                <w:sz w:val="24"/>
                <w:szCs w:val="24"/>
              </w:rPr>
            </w:pPr>
            <w:r w:rsidRPr="00EA1BB2">
              <w:rPr>
                <w:rFonts w:ascii="Cambria" w:hAnsi="Cambria"/>
                <w:sz w:val="24"/>
                <w:szCs w:val="24"/>
              </w:rPr>
              <w:t>Surse staționare</w:t>
            </w:r>
          </w:p>
        </w:tc>
        <w:tc>
          <w:tcPr>
            <w:tcW w:w="1115" w:type="pct"/>
            <w:tcBorders>
              <w:top w:val="single" w:sz="4" w:space="0" w:color="auto"/>
              <w:left w:val="nil"/>
              <w:bottom w:val="single" w:sz="4" w:space="0" w:color="auto"/>
              <w:right w:val="single" w:sz="4" w:space="0" w:color="auto"/>
            </w:tcBorders>
            <w:shd w:val="clear" w:color="auto" w:fill="auto"/>
          </w:tcPr>
          <w:p w14:paraId="39CB9A4E" w14:textId="77777777" w:rsidR="00FC5B00" w:rsidRPr="00EA1BB2" w:rsidRDefault="00FC5B00" w:rsidP="00FC5B00">
            <w:pPr>
              <w:jc w:val="center"/>
              <w:rPr>
                <w:rFonts w:ascii="Cambria" w:hAnsi="Cambria"/>
                <w:color w:val="000000"/>
                <w:sz w:val="24"/>
                <w:szCs w:val="24"/>
              </w:rPr>
            </w:pPr>
            <w:r w:rsidRPr="00EA1BB2">
              <w:rPr>
                <w:rFonts w:ascii="Cambria" w:hAnsi="Cambria"/>
                <w:sz w:val="24"/>
                <w:szCs w:val="24"/>
              </w:rPr>
              <w:t>0,034613</w:t>
            </w:r>
          </w:p>
        </w:tc>
        <w:tc>
          <w:tcPr>
            <w:tcW w:w="878" w:type="pct"/>
            <w:tcBorders>
              <w:top w:val="single" w:sz="4" w:space="0" w:color="auto"/>
              <w:left w:val="nil"/>
              <w:bottom w:val="single" w:sz="4" w:space="0" w:color="auto"/>
              <w:right w:val="single" w:sz="4" w:space="0" w:color="auto"/>
            </w:tcBorders>
          </w:tcPr>
          <w:p w14:paraId="52EB6F23" w14:textId="77777777" w:rsidR="00FC5B00" w:rsidRPr="00EA1BB2" w:rsidRDefault="00E01F00" w:rsidP="00FC5B00">
            <w:pPr>
              <w:jc w:val="center"/>
              <w:rPr>
                <w:rFonts w:ascii="Cambria" w:hAnsi="Cambria"/>
                <w:sz w:val="24"/>
                <w:szCs w:val="24"/>
              </w:rPr>
            </w:pPr>
            <w:r w:rsidRPr="00EA1BB2">
              <w:rPr>
                <w:rFonts w:ascii="Cambria" w:hAnsi="Cambria"/>
                <w:sz w:val="24"/>
                <w:szCs w:val="24"/>
              </w:rPr>
              <w:t>50,69</w:t>
            </w:r>
          </w:p>
        </w:tc>
      </w:tr>
      <w:tr w:rsidR="00FC5B00" w:rsidRPr="00EA1BB2" w14:paraId="50FD1DC4" w14:textId="77777777" w:rsidTr="00FC5B00">
        <w:trPr>
          <w:jc w:val="center"/>
        </w:trPr>
        <w:tc>
          <w:tcPr>
            <w:tcW w:w="1452" w:type="pct"/>
            <w:vMerge/>
            <w:vAlign w:val="center"/>
          </w:tcPr>
          <w:p w14:paraId="5E1D4C3B" w14:textId="77777777" w:rsidR="00FC5B00" w:rsidRPr="00EA1BB2" w:rsidRDefault="00FC5B00" w:rsidP="00FC5B00">
            <w:pPr>
              <w:jc w:val="center"/>
              <w:rPr>
                <w:rFonts w:ascii="Cambria" w:hAnsi="Cambria"/>
                <w:sz w:val="24"/>
                <w:szCs w:val="24"/>
              </w:rPr>
            </w:pPr>
          </w:p>
        </w:tc>
        <w:tc>
          <w:tcPr>
            <w:tcW w:w="1555" w:type="pct"/>
            <w:vAlign w:val="center"/>
          </w:tcPr>
          <w:p w14:paraId="25024D33" w14:textId="77777777" w:rsidR="00FC5B00" w:rsidRPr="00EA1BB2" w:rsidRDefault="00FC5B00" w:rsidP="00FC5B00">
            <w:pPr>
              <w:jc w:val="center"/>
              <w:rPr>
                <w:rFonts w:ascii="Cambria" w:hAnsi="Cambria"/>
                <w:sz w:val="24"/>
                <w:szCs w:val="24"/>
              </w:rPr>
            </w:pPr>
            <w:r w:rsidRPr="00EA1BB2">
              <w:rPr>
                <w:rFonts w:ascii="Cambria" w:hAnsi="Cambria"/>
                <w:sz w:val="24"/>
                <w:szCs w:val="24"/>
              </w:rPr>
              <w:t>Surse mobile</w:t>
            </w:r>
          </w:p>
        </w:tc>
        <w:tc>
          <w:tcPr>
            <w:tcW w:w="1115" w:type="pct"/>
            <w:tcBorders>
              <w:top w:val="single" w:sz="4" w:space="0" w:color="auto"/>
              <w:left w:val="nil"/>
              <w:bottom w:val="single" w:sz="4" w:space="0" w:color="auto"/>
              <w:right w:val="single" w:sz="4" w:space="0" w:color="auto"/>
            </w:tcBorders>
            <w:shd w:val="clear" w:color="auto" w:fill="auto"/>
          </w:tcPr>
          <w:p w14:paraId="6458683B" w14:textId="77777777" w:rsidR="00FC5B00" w:rsidRPr="00EA1BB2" w:rsidRDefault="00FC5B00" w:rsidP="00FC5B00">
            <w:pPr>
              <w:jc w:val="center"/>
              <w:rPr>
                <w:rFonts w:ascii="Cambria" w:hAnsi="Cambria"/>
                <w:color w:val="000000"/>
                <w:sz w:val="24"/>
                <w:szCs w:val="24"/>
              </w:rPr>
            </w:pPr>
            <w:r w:rsidRPr="00EA1BB2">
              <w:rPr>
                <w:rFonts w:ascii="Cambria" w:hAnsi="Cambria"/>
                <w:sz w:val="24"/>
                <w:szCs w:val="24"/>
              </w:rPr>
              <w:t>0,022815</w:t>
            </w:r>
          </w:p>
        </w:tc>
        <w:tc>
          <w:tcPr>
            <w:tcW w:w="878" w:type="pct"/>
            <w:tcBorders>
              <w:top w:val="single" w:sz="4" w:space="0" w:color="auto"/>
              <w:left w:val="nil"/>
              <w:bottom w:val="single" w:sz="4" w:space="0" w:color="auto"/>
              <w:right w:val="single" w:sz="4" w:space="0" w:color="auto"/>
            </w:tcBorders>
          </w:tcPr>
          <w:p w14:paraId="2EA37CF2" w14:textId="77777777" w:rsidR="00FC5B00" w:rsidRPr="00EA1BB2" w:rsidRDefault="00E01F00" w:rsidP="00FC5B00">
            <w:pPr>
              <w:jc w:val="center"/>
              <w:rPr>
                <w:rFonts w:ascii="Cambria" w:hAnsi="Cambria"/>
                <w:sz w:val="24"/>
                <w:szCs w:val="24"/>
              </w:rPr>
            </w:pPr>
            <w:r w:rsidRPr="00EA1BB2">
              <w:rPr>
                <w:rFonts w:ascii="Cambria" w:hAnsi="Cambria"/>
                <w:sz w:val="24"/>
                <w:szCs w:val="24"/>
              </w:rPr>
              <w:t>33,41</w:t>
            </w:r>
          </w:p>
        </w:tc>
      </w:tr>
      <w:tr w:rsidR="00FC5B00" w:rsidRPr="00EA1BB2" w14:paraId="64A987A6" w14:textId="77777777" w:rsidTr="00FC5B00">
        <w:trPr>
          <w:jc w:val="center"/>
        </w:trPr>
        <w:tc>
          <w:tcPr>
            <w:tcW w:w="1452" w:type="pct"/>
            <w:vMerge/>
            <w:vAlign w:val="center"/>
          </w:tcPr>
          <w:p w14:paraId="196BB77B" w14:textId="77777777" w:rsidR="00FC5B00" w:rsidRPr="00EA1BB2" w:rsidRDefault="00FC5B00" w:rsidP="00FC5B00">
            <w:pPr>
              <w:jc w:val="center"/>
              <w:rPr>
                <w:rFonts w:ascii="Cambria" w:hAnsi="Cambria"/>
                <w:sz w:val="24"/>
                <w:szCs w:val="24"/>
              </w:rPr>
            </w:pPr>
          </w:p>
        </w:tc>
        <w:tc>
          <w:tcPr>
            <w:tcW w:w="1555" w:type="pct"/>
            <w:vAlign w:val="center"/>
          </w:tcPr>
          <w:p w14:paraId="546AA3E7" w14:textId="77777777" w:rsidR="00FC5B00" w:rsidRPr="00EA1BB2" w:rsidRDefault="00FC5B00" w:rsidP="00FC5B00">
            <w:pPr>
              <w:jc w:val="center"/>
              <w:rPr>
                <w:rFonts w:ascii="Cambria" w:hAnsi="Cambria"/>
                <w:sz w:val="24"/>
                <w:szCs w:val="24"/>
              </w:rPr>
            </w:pPr>
            <w:r w:rsidRPr="00EA1BB2">
              <w:rPr>
                <w:rFonts w:ascii="Cambria" w:hAnsi="Cambria"/>
                <w:sz w:val="24"/>
                <w:szCs w:val="24"/>
              </w:rPr>
              <w:t>Surse de suprafață</w:t>
            </w:r>
          </w:p>
        </w:tc>
        <w:tc>
          <w:tcPr>
            <w:tcW w:w="1115" w:type="pct"/>
            <w:tcBorders>
              <w:top w:val="single" w:sz="4" w:space="0" w:color="auto"/>
              <w:left w:val="nil"/>
              <w:bottom w:val="single" w:sz="4" w:space="0" w:color="auto"/>
              <w:right w:val="single" w:sz="4" w:space="0" w:color="auto"/>
            </w:tcBorders>
            <w:shd w:val="clear" w:color="auto" w:fill="auto"/>
          </w:tcPr>
          <w:p w14:paraId="1A1EB3EE" w14:textId="77777777" w:rsidR="00FC5B00" w:rsidRPr="00EA1BB2" w:rsidRDefault="00FC5B00" w:rsidP="00FC5B00">
            <w:pPr>
              <w:jc w:val="center"/>
              <w:rPr>
                <w:rFonts w:ascii="Cambria" w:hAnsi="Cambria"/>
                <w:color w:val="000000"/>
                <w:sz w:val="24"/>
                <w:szCs w:val="24"/>
              </w:rPr>
            </w:pPr>
            <w:r w:rsidRPr="00EA1BB2">
              <w:rPr>
                <w:rFonts w:ascii="Cambria" w:hAnsi="Cambria"/>
                <w:sz w:val="24"/>
                <w:szCs w:val="24"/>
              </w:rPr>
              <w:t>0,010859</w:t>
            </w:r>
          </w:p>
        </w:tc>
        <w:tc>
          <w:tcPr>
            <w:tcW w:w="878" w:type="pct"/>
            <w:tcBorders>
              <w:top w:val="single" w:sz="4" w:space="0" w:color="auto"/>
              <w:left w:val="nil"/>
              <w:bottom w:val="single" w:sz="4" w:space="0" w:color="auto"/>
              <w:right w:val="single" w:sz="4" w:space="0" w:color="auto"/>
            </w:tcBorders>
          </w:tcPr>
          <w:p w14:paraId="26E9713A" w14:textId="77777777" w:rsidR="00FC5B00" w:rsidRPr="00EA1BB2" w:rsidRDefault="00E01F00" w:rsidP="00FC5B00">
            <w:pPr>
              <w:jc w:val="center"/>
              <w:rPr>
                <w:rFonts w:ascii="Cambria" w:hAnsi="Cambria"/>
                <w:sz w:val="24"/>
                <w:szCs w:val="24"/>
              </w:rPr>
            </w:pPr>
            <w:r w:rsidRPr="00EA1BB2">
              <w:rPr>
                <w:rFonts w:ascii="Cambria" w:hAnsi="Cambria"/>
                <w:sz w:val="24"/>
                <w:szCs w:val="24"/>
              </w:rPr>
              <w:t>15,90</w:t>
            </w:r>
          </w:p>
        </w:tc>
      </w:tr>
      <w:tr w:rsidR="00FC5B00" w:rsidRPr="00EA1BB2" w14:paraId="249EDCE3" w14:textId="77777777" w:rsidTr="00FC5B00">
        <w:trPr>
          <w:jc w:val="center"/>
        </w:trPr>
        <w:tc>
          <w:tcPr>
            <w:tcW w:w="1452" w:type="pct"/>
            <w:vMerge/>
            <w:vAlign w:val="center"/>
          </w:tcPr>
          <w:p w14:paraId="56C5D361" w14:textId="77777777" w:rsidR="00FC5B00" w:rsidRPr="00EA1BB2" w:rsidRDefault="00FC5B00" w:rsidP="00FC5B00">
            <w:pPr>
              <w:jc w:val="center"/>
              <w:rPr>
                <w:rFonts w:ascii="Cambria" w:hAnsi="Cambria"/>
                <w:sz w:val="24"/>
                <w:szCs w:val="24"/>
              </w:rPr>
            </w:pPr>
          </w:p>
        </w:tc>
        <w:tc>
          <w:tcPr>
            <w:tcW w:w="1555" w:type="pct"/>
            <w:vAlign w:val="center"/>
          </w:tcPr>
          <w:p w14:paraId="7E4B158A" w14:textId="77777777" w:rsidR="00FC5B00" w:rsidRPr="00EA1BB2" w:rsidRDefault="00FC5B00" w:rsidP="00FC5B00">
            <w:pPr>
              <w:jc w:val="center"/>
              <w:rPr>
                <w:rFonts w:ascii="Cambria" w:hAnsi="Cambria"/>
                <w:sz w:val="24"/>
                <w:szCs w:val="24"/>
              </w:rPr>
            </w:pPr>
            <w:r w:rsidRPr="00EA1BB2">
              <w:rPr>
                <w:rFonts w:ascii="Cambria" w:hAnsi="Cambria"/>
                <w:sz w:val="24"/>
                <w:szCs w:val="24"/>
              </w:rPr>
              <w:t>TOTAL</w:t>
            </w:r>
          </w:p>
        </w:tc>
        <w:tc>
          <w:tcPr>
            <w:tcW w:w="1115" w:type="pct"/>
            <w:tcBorders>
              <w:top w:val="single" w:sz="4" w:space="0" w:color="auto"/>
              <w:left w:val="nil"/>
              <w:bottom w:val="single" w:sz="4" w:space="0" w:color="auto"/>
              <w:right w:val="single" w:sz="4" w:space="0" w:color="auto"/>
            </w:tcBorders>
            <w:shd w:val="clear" w:color="auto" w:fill="auto"/>
          </w:tcPr>
          <w:p w14:paraId="21863F27" w14:textId="77777777" w:rsidR="00FC5B00" w:rsidRPr="00EA1BB2" w:rsidRDefault="00FC5B00" w:rsidP="00FC5B00">
            <w:pPr>
              <w:jc w:val="center"/>
              <w:rPr>
                <w:rFonts w:ascii="Cambria" w:hAnsi="Cambria"/>
                <w:color w:val="000000"/>
                <w:sz w:val="24"/>
                <w:szCs w:val="24"/>
              </w:rPr>
            </w:pPr>
            <w:r w:rsidRPr="00EA1BB2">
              <w:rPr>
                <w:rFonts w:ascii="Cambria" w:hAnsi="Cambria"/>
                <w:sz w:val="24"/>
                <w:szCs w:val="24"/>
              </w:rPr>
              <w:t>0,068287</w:t>
            </w:r>
          </w:p>
        </w:tc>
        <w:tc>
          <w:tcPr>
            <w:tcW w:w="878" w:type="pct"/>
            <w:tcBorders>
              <w:top w:val="single" w:sz="4" w:space="0" w:color="auto"/>
              <w:left w:val="nil"/>
              <w:bottom w:val="single" w:sz="4" w:space="0" w:color="auto"/>
              <w:right w:val="single" w:sz="4" w:space="0" w:color="auto"/>
            </w:tcBorders>
          </w:tcPr>
          <w:p w14:paraId="363183ED" w14:textId="77777777" w:rsidR="00FC5B00" w:rsidRPr="00EA1BB2" w:rsidRDefault="00E01F00" w:rsidP="00FC5B00">
            <w:pPr>
              <w:jc w:val="center"/>
              <w:rPr>
                <w:rFonts w:ascii="Cambria" w:hAnsi="Cambria"/>
                <w:sz w:val="24"/>
                <w:szCs w:val="24"/>
              </w:rPr>
            </w:pPr>
            <w:r w:rsidRPr="00EA1BB2">
              <w:rPr>
                <w:rFonts w:ascii="Cambria" w:hAnsi="Cambria"/>
                <w:sz w:val="24"/>
                <w:szCs w:val="24"/>
              </w:rPr>
              <w:t>100</w:t>
            </w:r>
          </w:p>
        </w:tc>
      </w:tr>
      <w:tr w:rsidR="00FC5B00" w:rsidRPr="00EA1BB2" w14:paraId="1207021B" w14:textId="77777777" w:rsidTr="00FC5B00">
        <w:trPr>
          <w:jc w:val="center"/>
        </w:trPr>
        <w:tc>
          <w:tcPr>
            <w:tcW w:w="1452" w:type="pct"/>
            <w:vMerge w:val="restart"/>
            <w:vAlign w:val="center"/>
          </w:tcPr>
          <w:p w14:paraId="7D8CB65F" w14:textId="77777777" w:rsidR="00FC5B00" w:rsidRPr="00EA1BB2" w:rsidRDefault="00FC5B00" w:rsidP="00FC5B00">
            <w:pPr>
              <w:jc w:val="center"/>
              <w:rPr>
                <w:rFonts w:ascii="Cambria" w:hAnsi="Cambria"/>
                <w:sz w:val="24"/>
                <w:szCs w:val="24"/>
              </w:rPr>
            </w:pPr>
            <w:r w:rsidRPr="00EA1BB2">
              <w:rPr>
                <w:rFonts w:ascii="Cambria" w:hAnsi="Cambria"/>
                <w:sz w:val="24"/>
                <w:szCs w:val="24"/>
              </w:rPr>
              <w:t xml:space="preserve">Arsen </w:t>
            </w:r>
          </w:p>
          <w:p w14:paraId="1A3D4669" w14:textId="77777777" w:rsidR="00FC5B00" w:rsidRPr="00EA1BB2" w:rsidRDefault="00FC5B00" w:rsidP="00FC5B00">
            <w:pPr>
              <w:jc w:val="center"/>
              <w:rPr>
                <w:rFonts w:ascii="Cambria" w:hAnsi="Cambria"/>
                <w:sz w:val="24"/>
                <w:szCs w:val="24"/>
              </w:rPr>
            </w:pPr>
            <w:r w:rsidRPr="00EA1BB2">
              <w:rPr>
                <w:rFonts w:ascii="Cambria" w:hAnsi="Cambria"/>
                <w:sz w:val="24"/>
                <w:szCs w:val="24"/>
              </w:rPr>
              <w:t>(As)</w:t>
            </w:r>
          </w:p>
        </w:tc>
        <w:tc>
          <w:tcPr>
            <w:tcW w:w="1555" w:type="pct"/>
            <w:vAlign w:val="center"/>
          </w:tcPr>
          <w:p w14:paraId="3BC2F333" w14:textId="77777777" w:rsidR="00FC5B00" w:rsidRPr="00EA1BB2" w:rsidRDefault="00FC5B00" w:rsidP="00FC5B00">
            <w:pPr>
              <w:jc w:val="center"/>
              <w:rPr>
                <w:rFonts w:ascii="Cambria" w:hAnsi="Cambria"/>
                <w:sz w:val="24"/>
                <w:szCs w:val="24"/>
              </w:rPr>
            </w:pPr>
            <w:r w:rsidRPr="00EA1BB2">
              <w:rPr>
                <w:rFonts w:ascii="Cambria" w:hAnsi="Cambria"/>
                <w:sz w:val="24"/>
                <w:szCs w:val="24"/>
              </w:rPr>
              <w:t>Surse staționare</w:t>
            </w:r>
          </w:p>
        </w:tc>
        <w:tc>
          <w:tcPr>
            <w:tcW w:w="1115" w:type="pct"/>
            <w:tcBorders>
              <w:top w:val="single" w:sz="4" w:space="0" w:color="auto"/>
              <w:left w:val="nil"/>
              <w:bottom w:val="single" w:sz="4" w:space="0" w:color="auto"/>
              <w:right w:val="single" w:sz="4" w:space="0" w:color="auto"/>
            </w:tcBorders>
            <w:shd w:val="clear" w:color="auto" w:fill="auto"/>
          </w:tcPr>
          <w:p w14:paraId="40F8C930" w14:textId="77777777" w:rsidR="00FC5B00" w:rsidRPr="00EA1BB2" w:rsidRDefault="00FC5B00" w:rsidP="00FC5B00">
            <w:pPr>
              <w:jc w:val="center"/>
              <w:rPr>
                <w:rFonts w:ascii="Cambria" w:hAnsi="Cambria"/>
                <w:color w:val="000000"/>
                <w:sz w:val="24"/>
                <w:szCs w:val="24"/>
              </w:rPr>
            </w:pPr>
            <w:r w:rsidRPr="00EA1BB2">
              <w:rPr>
                <w:rFonts w:ascii="Cambria" w:hAnsi="Cambria"/>
                <w:sz w:val="24"/>
                <w:szCs w:val="24"/>
              </w:rPr>
              <w:t>0,000279</w:t>
            </w:r>
          </w:p>
        </w:tc>
        <w:tc>
          <w:tcPr>
            <w:tcW w:w="878" w:type="pct"/>
            <w:tcBorders>
              <w:top w:val="single" w:sz="4" w:space="0" w:color="auto"/>
              <w:left w:val="nil"/>
              <w:bottom w:val="single" w:sz="4" w:space="0" w:color="auto"/>
              <w:right w:val="single" w:sz="4" w:space="0" w:color="auto"/>
            </w:tcBorders>
          </w:tcPr>
          <w:p w14:paraId="234B123A" w14:textId="77777777" w:rsidR="00FC5B00" w:rsidRPr="00EA1BB2" w:rsidRDefault="00E01F00" w:rsidP="00FC5B00">
            <w:pPr>
              <w:jc w:val="center"/>
              <w:rPr>
                <w:rFonts w:ascii="Cambria" w:hAnsi="Cambria"/>
                <w:sz w:val="24"/>
                <w:szCs w:val="24"/>
              </w:rPr>
            </w:pPr>
            <w:r w:rsidRPr="00EA1BB2">
              <w:rPr>
                <w:rFonts w:ascii="Cambria" w:hAnsi="Cambria"/>
                <w:sz w:val="24"/>
                <w:szCs w:val="24"/>
              </w:rPr>
              <w:t>50,63</w:t>
            </w:r>
          </w:p>
        </w:tc>
      </w:tr>
      <w:tr w:rsidR="00FC5B00" w:rsidRPr="00EA1BB2" w14:paraId="245FD332" w14:textId="77777777" w:rsidTr="00FC5B00">
        <w:trPr>
          <w:jc w:val="center"/>
        </w:trPr>
        <w:tc>
          <w:tcPr>
            <w:tcW w:w="1452" w:type="pct"/>
            <w:vMerge/>
            <w:vAlign w:val="center"/>
          </w:tcPr>
          <w:p w14:paraId="31E880C7" w14:textId="77777777" w:rsidR="00FC5B00" w:rsidRPr="00EA1BB2" w:rsidRDefault="00FC5B00" w:rsidP="00FC5B00">
            <w:pPr>
              <w:jc w:val="center"/>
              <w:rPr>
                <w:rFonts w:ascii="Cambria" w:hAnsi="Cambria"/>
                <w:sz w:val="24"/>
                <w:szCs w:val="24"/>
              </w:rPr>
            </w:pPr>
          </w:p>
        </w:tc>
        <w:tc>
          <w:tcPr>
            <w:tcW w:w="1555" w:type="pct"/>
            <w:vAlign w:val="center"/>
          </w:tcPr>
          <w:p w14:paraId="3FA12A42" w14:textId="77777777" w:rsidR="00FC5B00" w:rsidRPr="00EA1BB2" w:rsidRDefault="00FC5B00" w:rsidP="00FC5B00">
            <w:pPr>
              <w:jc w:val="center"/>
              <w:rPr>
                <w:rFonts w:ascii="Cambria" w:hAnsi="Cambria"/>
                <w:sz w:val="24"/>
                <w:szCs w:val="24"/>
              </w:rPr>
            </w:pPr>
            <w:r w:rsidRPr="00EA1BB2">
              <w:rPr>
                <w:rFonts w:ascii="Cambria" w:hAnsi="Cambria"/>
                <w:sz w:val="24"/>
                <w:szCs w:val="24"/>
              </w:rPr>
              <w:t>Surse mobile</w:t>
            </w:r>
          </w:p>
        </w:tc>
        <w:tc>
          <w:tcPr>
            <w:tcW w:w="1115" w:type="pct"/>
            <w:tcBorders>
              <w:top w:val="single" w:sz="4" w:space="0" w:color="auto"/>
              <w:left w:val="nil"/>
              <w:bottom w:val="single" w:sz="4" w:space="0" w:color="auto"/>
              <w:right w:val="single" w:sz="4" w:space="0" w:color="auto"/>
            </w:tcBorders>
            <w:shd w:val="clear" w:color="auto" w:fill="auto"/>
          </w:tcPr>
          <w:p w14:paraId="24DF0942" w14:textId="77777777" w:rsidR="00FC5B00" w:rsidRPr="00EA1BB2" w:rsidRDefault="00FC5B00" w:rsidP="00FC5B00">
            <w:pPr>
              <w:jc w:val="center"/>
              <w:rPr>
                <w:rFonts w:ascii="Cambria" w:hAnsi="Cambria"/>
                <w:color w:val="000000"/>
                <w:sz w:val="24"/>
                <w:szCs w:val="24"/>
              </w:rPr>
            </w:pPr>
          </w:p>
        </w:tc>
        <w:tc>
          <w:tcPr>
            <w:tcW w:w="878" w:type="pct"/>
            <w:tcBorders>
              <w:top w:val="single" w:sz="4" w:space="0" w:color="auto"/>
              <w:left w:val="nil"/>
              <w:bottom w:val="single" w:sz="4" w:space="0" w:color="auto"/>
              <w:right w:val="single" w:sz="4" w:space="0" w:color="auto"/>
            </w:tcBorders>
          </w:tcPr>
          <w:p w14:paraId="1B72F64E" w14:textId="77777777" w:rsidR="00FC5B00" w:rsidRPr="00EA1BB2" w:rsidRDefault="00FC5B00" w:rsidP="00FC5B00">
            <w:pPr>
              <w:jc w:val="center"/>
              <w:rPr>
                <w:rFonts w:ascii="Cambria" w:hAnsi="Cambria"/>
                <w:color w:val="000000"/>
                <w:sz w:val="24"/>
                <w:szCs w:val="24"/>
              </w:rPr>
            </w:pPr>
          </w:p>
        </w:tc>
      </w:tr>
      <w:tr w:rsidR="00FC5B00" w:rsidRPr="00EA1BB2" w14:paraId="0463C4DE" w14:textId="77777777" w:rsidTr="00FC5B00">
        <w:trPr>
          <w:jc w:val="center"/>
        </w:trPr>
        <w:tc>
          <w:tcPr>
            <w:tcW w:w="1452" w:type="pct"/>
            <w:vMerge/>
            <w:vAlign w:val="center"/>
          </w:tcPr>
          <w:p w14:paraId="0B35FC3C" w14:textId="77777777" w:rsidR="00FC5B00" w:rsidRPr="00EA1BB2" w:rsidRDefault="00FC5B00" w:rsidP="00FC5B00">
            <w:pPr>
              <w:jc w:val="center"/>
              <w:rPr>
                <w:rFonts w:ascii="Cambria" w:hAnsi="Cambria"/>
                <w:sz w:val="24"/>
                <w:szCs w:val="24"/>
              </w:rPr>
            </w:pPr>
          </w:p>
        </w:tc>
        <w:tc>
          <w:tcPr>
            <w:tcW w:w="1555" w:type="pct"/>
            <w:vAlign w:val="center"/>
          </w:tcPr>
          <w:p w14:paraId="311A3FD2" w14:textId="77777777" w:rsidR="00FC5B00" w:rsidRPr="00EA1BB2" w:rsidRDefault="00FC5B00" w:rsidP="00FC5B00">
            <w:pPr>
              <w:jc w:val="center"/>
              <w:rPr>
                <w:rFonts w:ascii="Cambria" w:hAnsi="Cambria"/>
                <w:sz w:val="24"/>
                <w:szCs w:val="24"/>
              </w:rPr>
            </w:pPr>
            <w:r w:rsidRPr="00EA1BB2">
              <w:rPr>
                <w:rFonts w:ascii="Cambria" w:hAnsi="Cambria"/>
                <w:sz w:val="24"/>
                <w:szCs w:val="24"/>
              </w:rPr>
              <w:t>Surse de suprafață</w:t>
            </w:r>
          </w:p>
        </w:tc>
        <w:tc>
          <w:tcPr>
            <w:tcW w:w="1115" w:type="pct"/>
            <w:tcBorders>
              <w:top w:val="single" w:sz="4" w:space="0" w:color="auto"/>
              <w:left w:val="nil"/>
              <w:bottom w:val="single" w:sz="4" w:space="0" w:color="auto"/>
              <w:right w:val="single" w:sz="4" w:space="0" w:color="auto"/>
            </w:tcBorders>
            <w:shd w:val="clear" w:color="auto" w:fill="auto"/>
          </w:tcPr>
          <w:p w14:paraId="570F33B4" w14:textId="77777777" w:rsidR="00FC5B00" w:rsidRPr="00EA1BB2" w:rsidRDefault="00FC5B00" w:rsidP="00FC5B00">
            <w:pPr>
              <w:jc w:val="center"/>
              <w:rPr>
                <w:rFonts w:ascii="Cambria" w:hAnsi="Cambria"/>
                <w:color w:val="000000"/>
                <w:sz w:val="24"/>
                <w:szCs w:val="24"/>
              </w:rPr>
            </w:pPr>
            <w:r w:rsidRPr="00EA1BB2">
              <w:rPr>
                <w:rFonts w:ascii="Cambria" w:hAnsi="Cambria"/>
                <w:sz w:val="24"/>
                <w:szCs w:val="24"/>
              </w:rPr>
              <w:t>0,000272</w:t>
            </w:r>
          </w:p>
        </w:tc>
        <w:tc>
          <w:tcPr>
            <w:tcW w:w="878" w:type="pct"/>
            <w:tcBorders>
              <w:top w:val="single" w:sz="4" w:space="0" w:color="auto"/>
              <w:left w:val="nil"/>
              <w:bottom w:val="single" w:sz="4" w:space="0" w:color="auto"/>
              <w:right w:val="single" w:sz="4" w:space="0" w:color="auto"/>
            </w:tcBorders>
          </w:tcPr>
          <w:p w14:paraId="7D3F671D" w14:textId="77777777" w:rsidR="00FC5B00" w:rsidRPr="00EA1BB2" w:rsidRDefault="00E01F00" w:rsidP="00FC5B00">
            <w:pPr>
              <w:jc w:val="center"/>
              <w:rPr>
                <w:rFonts w:ascii="Cambria" w:hAnsi="Cambria"/>
                <w:sz w:val="24"/>
                <w:szCs w:val="24"/>
              </w:rPr>
            </w:pPr>
            <w:r w:rsidRPr="00EA1BB2">
              <w:rPr>
                <w:rFonts w:ascii="Cambria" w:hAnsi="Cambria"/>
                <w:sz w:val="24"/>
                <w:szCs w:val="24"/>
              </w:rPr>
              <w:t>49,37</w:t>
            </w:r>
          </w:p>
        </w:tc>
      </w:tr>
      <w:tr w:rsidR="00FC5B00" w:rsidRPr="00EA1BB2" w14:paraId="079F099D" w14:textId="77777777" w:rsidTr="00FC5B00">
        <w:trPr>
          <w:jc w:val="center"/>
        </w:trPr>
        <w:tc>
          <w:tcPr>
            <w:tcW w:w="1452" w:type="pct"/>
            <w:vMerge/>
            <w:vAlign w:val="center"/>
          </w:tcPr>
          <w:p w14:paraId="0284198C" w14:textId="77777777" w:rsidR="00FC5B00" w:rsidRPr="00EA1BB2" w:rsidRDefault="00FC5B00" w:rsidP="00FC5B00">
            <w:pPr>
              <w:jc w:val="center"/>
              <w:rPr>
                <w:rFonts w:ascii="Cambria" w:hAnsi="Cambria"/>
                <w:sz w:val="24"/>
                <w:szCs w:val="24"/>
              </w:rPr>
            </w:pPr>
          </w:p>
        </w:tc>
        <w:tc>
          <w:tcPr>
            <w:tcW w:w="1555" w:type="pct"/>
            <w:vAlign w:val="center"/>
          </w:tcPr>
          <w:p w14:paraId="20D4B95F" w14:textId="77777777" w:rsidR="00FC5B00" w:rsidRPr="00EA1BB2" w:rsidRDefault="00FC5B00" w:rsidP="00FC5B00">
            <w:pPr>
              <w:jc w:val="center"/>
              <w:rPr>
                <w:rFonts w:ascii="Cambria" w:hAnsi="Cambria"/>
                <w:sz w:val="24"/>
                <w:szCs w:val="24"/>
              </w:rPr>
            </w:pPr>
            <w:r w:rsidRPr="00EA1BB2">
              <w:rPr>
                <w:rFonts w:ascii="Cambria" w:hAnsi="Cambria"/>
                <w:sz w:val="24"/>
                <w:szCs w:val="24"/>
              </w:rPr>
              <w:t>TOTAL</w:t>
            </w:r>
          </w:p>
        </w:tc>
        <w:tc>
          <w:tcPr>
            <w:tcW w:w="1115" w:type="pct"/>
            <w:tcBorders>
              <w:top w:val="single" w:sz="4" w:space="0" w:color="auto"/>
              <w:left w:val="nil"/>
              <w:bottom w:val="single" w:sz="4" w:space="0" w:color="auto"/>
              <w:right w:val="single" w:sz="4" w:space="0" w:color="auto"/>
            </w:tcBorders>
            <w:shd w:val="clear" w:color="auto" w:fill="auto"/>
          </w:tcPr>
          <w:p w14:paraId="1BD83D1F" w14:textId="77777777" w:rsidR="00FC5B00" w:rsidRPr="00EA1BB2" w:rsidRDefault="00FC5B00" w:rsidP="00FC5B00">
            <w:pPr>
              <w:jc w:val="center"/>
              <w:rPr>
                <w:rFonts w:ascii="Cambria" w:hAnsi="Cambria"/>
                <w:color w:val="000000"/>
                <w:sz w:val="24"/>
                <w:szCs w:val="24"/>
              </w:rPr>
            </w:pPr>
            <w:r w:rsidRPr="00EA1BB2">
              <w:rPr>
                <w:rFonts w:ascii="Cambria" w:hAnsi="Cambria"/>
                <w:sz w:val="24"/>
                <w:szCs w:val="24"/>
              </w:rPr>
              <w:t>0,000551</w:t>
            </w:r>
          </w:p>
        </w:tc>
        <w:tc>
          <w:tcPr>
            <w:tcW w:w="878" w:type="pct"/>
            <w:tcBorders>
              <w:top w:val="single" w:sz="4" w:space="0" w:color="auto"/>
              <w:left w:val="nil"/>
              <w:bottom w:val="single" w:sz="4" w:space="0" w:color="auto"/>
              <w:right w:val="single" w:sz="4" w:space="0" w:color="auto"/>
            </w:tcBorders>
          </w:tcPr>
          <w:p w14:paraId="51AD7CF1" w14:textId="77777777" w:rsidR="00FC5B00" w:rsidRPr="00EA1BB2" w:rsidRDefault="00E01F00" w:rsidP="00FC5B00">
            <w:pPr>
              <w:jc w:val="center"/>
              <w:rPr>
                <w:rFonts w:ascii="Cambria" w:hAnsi="Cambria"/>
                <w:sz w:val="24"/>
                <w:szCs w:val="24"/>
              </w:rPr>
            </w:pPr>
            <w:r w:rsidRPr="00EA1BB2">
              <w:rPr>
                <w:rFonts w:ascii="Cambria" w:hAnsi="Cambria"/>
                <w:sz w:val="24"/>
                <w:szCs w:val="24"/>
              </w:rPr>
              <w:t>100</w:t>
            </w:r>
          </w:p>
        </w:tc>
      </w:tr>
      <w:tr w:rsidR="00FC5B00" w:rsidRPr="00EA1BB2" w14:paraId="661053DF" w14:textId="77777777" w:rsidTr="00FC5B00">
        <w:trPr>
          <w:jc w:val="center"/>
        </w:trPr>
        <w:tc>
          <w:tcPr>
            <w:tcW w:w="1452" w:type="pct"/>
            <w:vMerge w:val="restart"/>
            <w:vAlign w:val="center"/>
          </w:tcPr>
          <w:p w14:paraId="7B407A43" w14:textId="77777777" w:rsidR="00FC5B00" w:rsidRPr="00EA1BB2" w:rsidRDefault="00FC5B00" w:rsidP="00FC5B00">
            <w:pPr>
              <w:jc w:val="center"/>
              <w:rPr>
                <w:rFonts w:ascii="Cambria" w:hAnsi="Cambria"/>
                <w:sz w:val="24"/>
                <w:szCs w:val="24"/>
              </w:rPr>
            </w:pPr>
            <w:r w:rsidRPr="00EA1BB2">
              <w:rPr>
                <w:rFonts w:ascii="Cambria" w:hAnsi="Cambria"/>
                <w:sz w:val="24"/>
                <w:szCs w:val="24"/>
              </w:rPr>
              <w:t xml:space="preserve">Cadmiu </w:t>
            </w:r>
          </w:p>
          <w:p w14:paraId="739F5F50" w14:textId="77777777" w:rsidR="00FC5B00" w:rsidRPr="00EA1BB2" w:rsidRDefault="00FC5B00" w:rsidP="00FC5B00">
            <w:pPr>
              <w:jc w:val="center"/>
              <w:rPr>
                <w:rFonts w:ascii="Cambria" w:hAnsi="Cambria"/>
                <w:sz w:val="24"/>
                <w:szCs w:val="24"/>
              </w:rPr>
            </w:pPr>
            <w:r w:rsidRPr="00EA1BB2">
              <w:rPr>
                <w:rFonts w:ascii="Cambria" w:hAnsi="Cambria"/>
                <w:sz w:val="24"/>
                <w:szCs w:val="24"/>
              </w:rPr>
              <w:t>(Cd)</w:t>
            </w:r>
          </w:p>
        </w:tc>
        <w:tc>
          <w:tcPr>
            <w:tcW w:w="1555" w:type="pct"/>
            <w:vAlign w:val="center"/>
          </w:tcPr>
          <w:p w14:paraId="44186D62" w14:textId="77777777" w:rsidR="00FC5B00" w:rsidRPr="00EA1BB2" w:rsidRDefault="00FC5B00" w:rsidP="00FC5B00">
            <w:pPr>
              <w:jc w:val="center"/>
              <w:rPr>
                <w:rFonts w:ascii="Cambria" w:hAnsi="Cambria"/>
                <w:sz w:val="24"/>
                <w:szCs w:val="24"/>
              </w:rPr>
            </w:pPr>
            <w:r w:rsidRPr="00EA1BB2">
              <w:rPr>
                <w:rFonts w:ascii="Cambria" w:hAnsi="Cambria"/>
                <w:sz w:val="24"/>
                <w:szCs w:val="24"/>
              </w:rPr>
              <w:t>Surse staționare</w:t>
            </w:r>
          </w:p>
        </w:tc>
        <w:tc>
          <w:tcPr>
            <w:tcW w:w="1115" w:type="pct"/>
            <w:tcBorders>
              <w:top w:val="single" w:sz="4" w:space="0" w:color="auto"/>
              <w:left w:val="nil"/>
              <w:bottom w:val="single" w:sz="4" w:space="0" w:color="auto"/>
              <w:right w:val="single" w:sz="4" w:space="0" w:color="auto"/>
            </w:tcBorders>
            <w:shd w:val="clear" w:color="auto" w:fill="auto"/>
          </w:tcPr>
          <w:p w14:paraId="78292309" w14:textId="77777777" w:rsidR="00FC5B00" w:rsidRPr="00EA1BB2" w:rsidRDefault="00FC5B00" w:rsidP="00FC5B00">
            <w:pPr>
              <w:jc w:val="center"/>
              <w:rPr>
                <w:rFonts w:ascii="Cambria" w:hAnsi="Cambria"/>
                <w:color w:val="000000"/>
                <w:sz w:val="24"/>
                <w:szCs w:val="24"/>
              </w:rPr>
            </w:pPr>
            <w:r w:rsidRPr="00EA1BB2">
              <w:rPr>
                <w:rFonts w:ascii="Cambria" w:hAnsi="Cambria"/>
                <w:sz w:val="24"/>
                <w:szCs w:val="24"/>
              </w:rPr>
              <w:t>0,000502</w:t>
            </w:r>
          </w:p>
        </w:tc>
        <w:tc>
          <w:tcPr>
            <w:tcW w:w="878" w:type="pct"/>
            <w:tcBorders>
              <w:top w:val="single" w:sz="4" w:space="0" w:color="auto"/>
              <w:left w:val="nil"/>
              <w:bottom w:val="single" w:sz="4" w:space="0" w:color="auto"/>
              <w:right w:val="single" w:sz="4" w:space="0" w:color="auto"/>
            </w:tcBorders>
          </w:tcPr>
          <w:p w14:paraId="5D3219B0" w14:textId="77777777" w:rsidR="00FC5B00" w:rsidRPr="00EA1BB2" w:rsidRDefault="00E01F00" w:rsidP="00FC5B00">
            <w:pPr>
              <w:jc w:val="center"/>
              <w:rPr>
                <w:rFonts w:ascii="Cambria" w:hAnsi="Cambria"/>
                <w:sz w:val="24"/>
                <w:szCs w:val="24"/>
              </w:rPr>
            </w:pPr>
            <w:r w:rsidRPr="00EA1BB2">
              <w:rPr>
                <w:rFonts w:ascii="Cambria" w:hAnsi="Cambria"/>
                <w:sz w:val="24"/>
                <w:szCs w:val="24"/>
              </w:rPr>
              <w:t>33,29</w:t>
            </w:r>
          </w:p>
        </w:tc>
      </w:tr>
      <w:tr w:rsidR="00FC5B00" w:rsidRPr="00EA1BB2" w14:paraId="21BACCE0" w14:textId="77777777" w:rsidTr="00FC5B00">
        <w:trPr>
          <w:jc w:val="center"/>
        </w:trPr>
        <w:tc>
          <w:tcPr>
            <w:tcW w:w="1452" w:type="pct"/>
            <w:vMerge/>
            <w:vAlign w:val="center"/>
          </w:tcPr>
          <w:p w14:paraId="1B6E712C" w14:textId="77777777" w:rsidR="00FC5B00" w:rsidRPr="00EA1BB2" w:rsidRDefault="00FC5B00" w:rsidP="00FC5B00">
            <w:pPr>
              <w:jc w:val="center"/>
              <w:rPr>
                <w:rFonts w:ascii="Cambria" w:hAnsi="Cambria"/>
                <w:sz w:val="24"/>
                <w:szCs w:val="24"/>
              </w:rPr>
            </w:pPr>
          </w:p>
        </w:tc>
        <w:tc>
          <w:tcPr>
            <w:tcW w:w="1555" w:type="pct"/>
            <w:vAlign w:val="center"/>
          </w:tcPr>
          <w:p w14:paraId="76F872AF" w14:textId="77777777" w:rsidR="00FC5B00" w:rsidRPr="00EA1BB2" w:rsidRDefault="00FC5B00" w:rsidP="00FC5B00">
            <w:pPr>
              <w:jc w:val="center"/>
              <w:rPr>
                <w:rFonts w:ascii="Cambria" w:hAnsi="Cambria"/>
                <w:sz w:val="24"/>
                <w:szCs w:val="24"/>
              </w:rPr>
            </w:pPr>
            <w:r w:rsidRPr="00EA1BB2">
              <w:rPr>
                <w:rFonts w:ascii="Cambria" w:hAnsi="Cambria"/>
                <w:sz w:val="24"/>
                <w:szCs w:val="24"/>
              </w:rPr>
              <w:t>Surse mobile</w:t>
            </w:r>
          </w:p>
        </w:tc>
        <w:tc>
          <w:tcPr>
            <w:tcW w:w="1115" w:type="pct"/>
            <w:tcBorders>
              <w:top w:val="single" w:sz="4" w:space="0" w:color="auto"/>
              <w:left w:val="nil"/>
              <w:bottom w:val="single" w:sz="4" w:space="0" w:color="auto"/>
              <w:right w:val="single" w:sz="4" w:space="0" w:color="auto"/>
            </w:tcBorders>
            <w:shd w:val="clear" w:color="auto" w:fill="auto"/>
          </w:tcPr>
          <w:p w14:paraId="34548B47" w14:textId="77777777" w:rsidR="00FC5B00" w:rsidRPr="00EA1BB2" w:rsidRDefault="00FC5B00" w:rsidP="00FC5B00">
            <w:pPr>
              <w:jc w:val="center"/>
              <w:rPr>
                <w:rFonts w:ascii="Cambria" w:hAnsi="Cambria"/>
                <w:color w:val="000000"/>
                <w:sz w:val="24"/>
                <w:szCs w:val="24"/>
              </w:rPr>
            </w:pPr>
            <w:r w:rsidRPr="00EA1BB2">
              <w:rPr>
                <w:rFonts w:ascii="Cambria" w:hAnsi="Cambria"/>
                <w:sz w:val="24"/>
                <w:szCs w:val="24"/>
              </w:rPr>
              <w:t>0,000546</w:t>
            </w:r>
          </w:p>
        </w:tc>
        <w:tc>
          <w:tcPr>
            <w:tcW w:w="878" w:type="pct"/>
            <w:tcBorders>
              <w:top w:val="single" w:sz="4" w:space="0" w:color="auto"/>
              <w:left w:val="nil"/>
              <w:bottom w:val="single" w:sz="4" w:space="0" w:color="auto"/>
              <w:right w:val="single" w:sz="4" w:space="0" w:color="auto"/>
            </w:tcBorders>
          </w:tcPr>
          <w:p w14:paraId="2A6FE542" w14:textId="77777777" w:rsidR="00FC5B00" w:rsidRPr="00EA1BB2" w:rsidRDefault="00E01F00" w:rsidP="00FC5B00">
            <w:pPr>
              <w:jc w:val="center"/>
              <w:rPr>
                <w:rFonts w:ascii="Cambria" w:hAnsi="Cambria"/>
                <w:sz w:val="24"/>
                <w:szCs w:val="24"/>
              </w:rPr>
            </w:pPr>
            <w:r w:rsidRPr="00EA1BB2">
              <w:rPr>
                <w:rFonts w:ascii="Cambria" w:hAnsi="Cambria"/>
                <w:sz w:val="24"/>
                <w:szCs w:val="24"/>
              </w:rPr>
              <w:t>36,14</w:t>
            </w:r>
          </w:p>
        </w:tc>
      </w:tr>
      <w:tr w:rsidR="00FC5B00" w:rsidRPr="00EA1BB2" w14:paraId="24E903BF" w14:textId="77777777" w:rsidTr="00FC5B00">
        <w:trPr>
          <w:jc w:val="center"/>
        </w:trPr>
        <w:tc>
          <w:tcPr>
            <w:tcW w:w="1452" w:type="pct"/>
            <w:vMerge/>
            <w:vAlign w:val="center"/>
          </w:tcPr>
          <w:p w14:paraId="1652742F" w14:textId="77777777" w:rsidR="00FC5B00" w:rsidRPr="00EA1BB2" w:rsidRDefault="00FC5B00" w:rsidP="00FC5B00">
            <w:pPr>
              <w:jc w:val="center"/>
              <w:rPr>
                <w:rFonts w:ascii="Cambria" w:hAnsi="Cambria"/>
                <w:sz w:val="24"/>
                <w:szCs w:val="24"/>
              </w:rPr>
            </w:pPr>
          </w:p>
        </w:tc>
        <w:tc>
          <w:tcPr>
            <w:tcW w:w="1555" w:type="pct"/>
            <w:vAlign w:val="center"/>
          </w:tcPr>
          <w:p w14:paraId="743FFB80" w14:textId="77777777" w:rsidR="00FC5B00" w:rsidRPr="00EA1BB2" w:rsidRDefault="00FC5B00" w:rsidP="00FC5B00">
            <w:pPr>
              <w:jc w:val="center"/>
              <w:rPr>
                <w:rFonts w:ascii="Cambria" w:hAnsi="Cambria"/>
                <w:sz w:val="24"/>
                <w:szCs w:val="24"/>
              </w:rPr>
            </w:pPr>
            <w:r w:rsidRPr="00EA1BB2">
              <w:rPr>
                <w:rFonts w:ascii="Cambria" w:hAnsi="Cambria"/>
                <w:sz w:val="24"/>
                <w:szCs w:val="24"/>
              </w:rPr>
              <w:t>Surse de suprafață</w:t>
            </w:r>
          </w:p>
        </w:tc>
        <w:tc>
          <w:tcPr>
            <w:tcW w:w="1115" w:type="pct"/>
            <w:tcBorders>
              <w:top w:val="single" w:sz="4" w:space="0" w:color="auto"/>
              <w:left w:val="nil"/>
              <w:bottom w:val="single" w:sz="4" w:space="0" w:color="auto"/>
              <w:right w:val="single" w:sz="4" w:space="0" w:color="auto"/>
            </w:tcBorders>
            <w:shd w:val="clear" w:color="auto" w:fill="auto"/>
          </w:tcPr>
          <w:p w14:paraId="55A041D4" w14:textId="77777777" w:rsidR="00FC5B00" w:rsidRPr="00EA1BB2" w:rsidRDefault="00FC5B00" w:rsidP="00FC5B00">
            <w:pPr>
              <w:jc w:val="center"/>
              <w:rPr>
                <w:rFonts w:ascii="Cambria" w:hAnsi="Cambria"/>
                <w:color w:val="000000"/>
                <w:sz w:val="24"/>
                <w:szCs w:val="24"/>
              </w:rPr>
            </w:pPr>
            <w:r w:rsidRPr="00EA1BB2">
              <w:rPr>
                <w:rFonts w:ascii="Cambria" w:hAnsi="Cambria"/>
                <w:sz w:val="24"/>
                <w:szCs w:val="24"/>
              </w:rPr>
              <w:t>0,000461</w:t>
            </w:r>
          </w:p>
        </w:tc>
        <w:tc>
          <w:tcPr>
            <w:tcW w:w="878" w:type="pct"/>
            <w:tcBorders>
              <w:top w:val="single" w:sz="4" w:space="0" w:color="auto"/>
              <w:left w:val="nil"/>
              <w:bottom w:val="single" w:sz="4" w:space="0" w:color="auto"/>
              <w:right w:val="single" w:sz="4" w:space="0" w:color="auto"/>
            </w:tcBorders>
          </w:tcPr>
          <w:p w14:paraId="000A4440" w14:textId="77777777" w:rsidR="00FC5B00" w:rsidRPr="00EA1BB2" w:rsidRDefault="00E01F00" w:rsidP="00FC5B00">
            <w:pPr>
              <w:jc w:val="center"/>
              <w:rPr>
                <w:rFonts w:ascii="Cambria" w:hAnsi="Cambria"/>
                <w:sz w:val="24"/>
                <w:szCs w:val="24"/>
              </w:rPr>
            </w:pPr>
            <w:r w:rsidRPr="00EA1BB2">
              <w:rPr>
                <w:rFonts w:ascii="Cambria" w:hAnsi="Cambria"/>
                <w:sz w:val="24"/>
                <w:szCs w:val="24"/>
              </w:rPr>
              <w:t>30,57</w:t>
            </w:r>
          </w:p>
        </w:tc>
      </w:tr>
      <w:tr w:rsidR="00FC5B00" w:rsidRPr="00EA1BB2" w14:paraId="4B90E6D6" w14:textId="77777777" w:rsidTr="00FC5B00">
        <w:trPr>
          <w:jc w:val="center"/>
        </w:trPr>
        <w:tc>
          <w:tcPr>
            <w:tcW w:w="1452" w:type="pct"/>
            <w:vMerge/>
            <w:vAlign w:val="center"/>
          </w:tcPr>
          <w:p w14:paraId="1A418E95" w14:textId="77777777" w:rsidR="00FC5B00" w:rsidRPr="00EA1BB2" w:rsidRDefault="00FC5B00" w:rsidP="00FC5B00">
            <w:pPr>
              <w:jc w:val="center"/>
              <w:rPr>
                <w:rFonts w:ascii="Cambria" w:hAnsi="Cambria"/>
                <w:sz w:val="24"/>
                <w:szCs w:val="24"/>
              </w:rPr>
            </w:pPr>
          </w:p>
        </w:tc>
        <w:tc>
          <w:tcPr>
            <w:tcW w:w="1555" w:type="pct"/>
            <w:vAlign w:val="center"/>
          </w:tcPr>
          <w:p w14:paraId="6007A339" w14:textId="77777777" w:rsidR="00FC5B00" w:rsidRPr="00EA1BB2" w:rsidRDefault="00FC5B00" w:rsidP="00FC5B00">
            <w:pPr>
              <w:jc w:val="center"/>
              <w:rPr>
                <w:rFonts w:ascii="Cambria" w:hAnsi="Cambria"/>
                <w:sz w:val="24"/>
                <w:szCs w:val="24"/>
              </w:rPr>
            </w:pPr>
            <w:r w:rsidRPr="00EA1BB2">
              <w:rPr>
                <w:rFonts w:ascii="Cambria" w:hAnsi="Cambria"/>
                <w:sz w:val="24"/>
                <w:szCs w:val="24"/>
              </w:rPr>
              <w:t>TOTAL</w:t>
            </w:r>
          </w:p>
        </w:tc>
        <w:tc>
          <w:tcPr>
            <w:tcW w:w="1115" w:type="pct"/>
            <w:tcBorders>
              <w:top w:val="single" w:sz="4" w:space="0" w:color="auto"/>
              <w:left w:val="nil"/>
              <w:bottom w:val="single" w:sz="4" w:space="0" w:color="auto"/>
              <w:right w:val="single" w:sz="4" w:space="0" w:color="auto"/>
            </w:tcBorders>
            <w:shd w:val="clear" w:color="auto" w:fill="auto"/>
          </w:tcPr>
          <w:p w14:paraId="200DAB49" w14:textId="77777777" w:rsidR="00FC5B00" w:rsidRPr="00EA1BB2" w:rsidRDefault="00FC5B00" w:rsidP="00FC5B00">
            <w:pPr>
              <w:jc w:val="center"/>
              <w:rPr>
                <w:rFonts w:ascii="Cambria" w:hAnsi="Cambria"/>
                <w:color w:val="000000"/>
                <w:sz w:val="24"/>
                <w:szCs w:val="24"/>
              </w:rPr>
            </w:pPr>
            <w:r w:rsidRPr="00EA1BB2">
              <w:rPr>
                <w:rFonts w:ascii="Cambria" w:hAnsi="Cambria"/>
                <w:sz w:val="24"/>
                <w:szCs w:val="24"/>
              </w:rPr>
              <w:t>0,001509</w:t>
            </w:r>
          </w:p>
        </w:tc>
        <w:tc>
          <w:tcPr>
            <w:tcW w:w="878" w:type="pct"/>
            <w:tcBorders>
              <w:top w:val="single" w:sz="4" w:space="0" w:color="auto"/>
              <w:left w:val="nil"/>
              <w:bottom w:val="single" w:sz="4" w:space="0" w:color="auto"/>
              <w:right w:val="single" w:sz="4" w:space="0" w:color="auto"/>
            </w:tcBorders>
          </w:tcPr>
          <w:p w14:paraId="4770C05F" w14:textId="77777777" w:rsidR="00FC5B00" w:rsidRPr="00EA1BB2" w:rsidRDefault="00E01F00" w:rsidP="00FC5B00">
            <w:pPr>
              <w:jc w:val="center"/>
              <w:rPr>
                <w:rFonts w:ascii="Cambria" w:hAnsi="Cambria"/>
                <w:sz w:val="24"/>
                <w:szCs w:val="24"/>
              </w:rPr>
            </w:pPr>
            <w:r w:rsidRPr="00EA1BB2">
              <w:rPr>
                <w:rFonts w:ascii="Cambria" w:hAnsi="Cambria"/>
                <w:sz w:val="24"/>
                <w:szCs w:val="24"/>
              </w:rPr>
              <w:t>100</w:t>
            </w:r>
          </w:p>
        </w:tc>
      </w:tr>
    </w:tbl>
    <w:p w14:paraId="10F46FEB" w14:textId="77777777" w:rsidR="006D3009" w:rsidRPr="00EA1BB2" w:rsidRDefault="006D3009" w:rsidP="006D3009">
      <w:pPr>
        <w:autoSpaceDE w:val="0"/>
        <w:autoSpaceDN w:val="0"/>
        <w:adjustRightInd w:val="0"/>
        <w:jc w:val="both"/>
        <w:rPr>
          <w:rFonts w:ascii="Cambria" w:hAnsi="Cambria"/>
          <w:szCs w:val="24"/>
        </w:rPr>
      </w:pPr>
      <w:r w:rsidRPr="00EA1BB2">
        <w:rPr>
          <w:rFonts w:ascii="Cambria" w:hAnsi="Cambria"/>
          <w:szCs w:val="24"/>
        </w:rPr>
        <w:t>*cu excepția municipiului Brăila</w:t>
      </w:r>
    </w:p>
    <w:p w14:paraId="0C764B7D" w14:textId="77777777" w:rsidR="00E01F00" w:rsidRPr="00EA1BB2" w:rsidRDefault="00E01F00" w:rsidP="00E01F00">
      <w:pPr>
        <w:spacing w:line="276" w:lineRule="auto"/>
        <w:jc w:val="both"/>
        <w:rPr>
          <w:rFonts w:ascii="Cambria" w:eastAsia="Times New Roman" w:hAnsi="Cambria" w:cs="Times New Roman"/>
          <w:szCs w:val="24"/>
        </w:rPr>
      </w:pPr>
      <w:r w:rsidRPr="00EA1BB2">
        <w:rPr>
          <w:rFonts w:ascii="Cambria" w:eastAsia="Times New Roman" w:hAnsi="Cambria" w:cs="Times New Roman"/>
          <w:szCs w:val="24"/>
        </w:rPr>
        <w:t>**C</w:t>
      </w:r>
      <w:r w:rsidRPr="00EA1BB2">
        <w:rPr>
          <w:rFonts w:ascii="Cambria" w:eastAsia="Times New Roman" w:hAnsi="Cambria" w:cs="Times New Roman"/>
          <w:szCs w:val="24"/>
          <w:vertAlign w:val="subscript"/>
        </w:rPr>
        <w:t>6</w:t>
      </w:r>
      <w:r w:rsidRPr="00EA1BB2">
        <w:rPr>
          <w:rFonts w:ascii="Cambria" w:eastAsia="Times New Roman" w:hAnsi="Cambria" w:cs="Times New Roman"/>
          <w:szCs w:val="24"/>
        </w:rPr>
        <w:t>H</w:t>
      </w:r>
      <w:r w:rsidRPr="00EA1BB2">
        <w:rPr>
          <w:rFonts w:ascii="Cambria" w:eastAsia="Times New Roman" w:hAnsi="Cambria" w:cs="Times New Roman"/>
          <w:szCs w:val="24"/>
          <w:vertAlign w:val="subscript"/>
        </w:rPr>
        <w:t>6</w:t>
      </w:r>
      <w:r w:rsidRPr="00EA1BB2">
        <w:rPr>
          <w:rFonts w:ascii="Cambria" w:eastAsia="Times New Roman" w:hAnsi="Cambria" w:cs="Times New Roman"/>
          <w:szCs w:val="24"/>
        </w:rPr>
        <w:t xml:space="preserve"> a fost calculat ca provenind din emisiile de NMVOC conform EMEP/EEA Emission Inventory Guidebook 2009</w:t>
      </w:r>
    </w:p>
    <w:p w14:paraId="313AA7F8" w14:textId="77777777" w:rsidR="00D82B75" w:rsidRPr="00EA1BB2" w:rsidRDefault="006D3009" w:rsidP="00D82B75">
      <w:pPr>
        <w:autoSpaceDE w:val="0"/>
        <w:autoSpaceDN w:val="0"/>
        <w:adjustRightInd w:val="0"/>
        <w:jc w:val="both"/>
        <w:rPr>
          <w:rFonts w:ascii="Cambria" w:hAnsi="Cambria"/>
          <w:szCs w:val="24"/>
        </w:rPr>
      </w:pPr>
      <w:r w:rsidRPr="00EA1BB2">
        <w:rPr>
          <w:rFonts w:ascii="Cambria" w:hAnsi="Cambria"/>
          <w:szCs w:val="24"/>
        </w:rPr>
        <w:t xml:space="preserve">Sursa date: </w:t>
      </w:r>
      <w:r w:rsidR="00D82B75" w:rsidRPr="00EA1BB2">
        <w:rPr>
          <w:rFonts w:ascii="Cambria" w:hAnsi="Cambria"/>
          <w:szCs w:val="24"/>
        </w:rPr>
        <w:t>Inventar local de emisii și Inventar emisii trafic (Copert) 2013</w:t>
      </w:r>
    </w:p>
    <w:p w14:paraId="324A995B" w14:textId="77777777" w:rsidR="001A4D6C" w:rsidRPr="00EA1BB2" w:rsidRDefault="001A4D6C" w:rsidP="0092796F">
      <w:pPr>
        <w:autoSpaceDE w:val="0"/>
        <w:autoSpaceDN w:val="0"/>
        <w:adjustRightInd w:val="0"/>
        <w:spacing w:line="360" w:lineRule="auto"/>
        <w:ind w:firstLine="720"/>
        <w:jc w:val="both"/>
        <w:rPr>
          <w:rFonts w:ascii="Cambria" w:hAnsi="Cambria"/>
          <w:sz w:val="24"/>
          <w:szCs w:val="24"/>
        </w:rPr>
      </w:pPr>
    </w:p>
    <w:p w14:paraId="72E9FDBD" w14:textId="77777777" w:rsidR="005636A5" w:rsidRPr="00EA1BB2" w:rsidRDefault="005636A5" w:rsidP="005636A5">
      <w:pPr>
        <w:autoSpaceDE w:val="0"/>
        <w:autoSpaceDN w:val="0"/>
        <w:adjustRightInd w:val="0"/>
        <w:spacing w:line="360" w:lineRule="auto"/>
        <w:ind w:firstLine="720"/>
        <w:jc w:val="both"/>
        <w:rPr>
          <w:rFonts w:ascii="Cambria" w:hAnsi="Cambria"/>
          <w:b/>
          <w:sz w:val="24"/>
          <w:szCs w:val="24"/>
        </w:rPr>
      </w:pPr>
      <w:r w:rsidRPr="00EA1BB2">
        <w:rPr>
          <w:rFonts w:ascii="Cambria" w:hAnsi="Cambria"/>
          <w:b/>
          <w:sz w:val="24"/>
          <w:szCs w:val="24"/>
        </w:rPr>
        <w:lastRenderedPageBreak/>
        <w:t>d) niveluri ale concentra</w:t>
      </w:r>
      <w:r w:rsidR="00054880" w:rsidRPr="00EA1BB2">
        <w:rPr>
          <w:rFonts w:ascii="Cambria" w:hAnsi="Cambria"/>
          <w:b/>
          <w:sz w:val="24"/>
          <w:szCs w:val="24"/>
        </w:rPr>
        <w:t>ț</w:t>
      </w:r>
      <w:r w:rsidRPr="00EA1BB2">
        <w:rPr>
          <w:rFonts w:ascii="Cambria" w:hAnsi="Cambria"/>
          <w:b/>
          <w:sz w:val="24"/>
          <w:szCs w:val="24"/>
        </w:rPr>
        <w:t>iei/concentra</w:t>
      </w:r>
      <w:r w:rsidR="00054880" w:rsidRPr="00EA1BB2">
        <w:rPr>
          <w:rFonts w:ascii="Cambria" w:hAnsi="Cambria"/>
          <w:b/>
          <w:sz w:val="24"/>
          <w:szCs w:val="24"/>
        </w:rPr>
        <w:t>ț</w:t>
      </w:r>
      <w:r w:rsidRPr="00EA1BB2">
        <w:rPr>
          <w:rFonts w:ascii="Cambria" w:hAnsi="Cambria"/>
          <w:b/>
          <w:sz w:val="24"/>
          <w:szCs w:val="24"/>
        </w:rPr>
        <w:t xml:space="preserve">iilor raportate la valorile-limită </w:t>
      </w:r>
      <w:r w:rsidR="00054880" w:rsidRPr="00EA1BB2">
        <w:rPr>
          <w:rFonts w:ascii="Cambria" w:hAnsi="Cambria"/>
          <w:b/>
          <w:sz w:val="24"/>
          <w:szCs w:val="24"/>
        </w:rPr>
        <w:t>ș</w:t>
      </w:r>
      <w:r w:rsidRPr="00EA1BB2">
        <w:rPr>
          <w:rFonts w:ascii="Cambria" w:hAnsi="Cambria"/>
          <w:b/>
          <w:sz w:val="24"/>
          <w:szCs w:val="24"/>
        </w:rPr>
        <w:t>i/sau la valorile-</w:t>
      </w:r>
      <w:r w:rsidR="00054880" w:rsidRPr="00EA1BB2">
        <w:rPr>
          <w:rFonts w:ascii="Cambria" w:hAnsi="Cambria"/>
          <w:b/>
          <w:sz w:val="24"/>
          <w:szCs w:val="24"/>
        </w:rPr>
        <w:t>ț</w:t>
      </w:r>
      <w:r w:rsidRPr="00EA1BB2">
        <w:rPr>
          <w:rFonts w:ascii="Cambria" w:hAnsi="Cambria"/>
          <w:b/>
          <w:sz w:val="24"/>
          <w:szCs w:val="24"/>
        </w:rPr>
        <w:t>intă în anul de referin</w:t>
      </w:r>
      <w:r w:rsidR="00054880" w:rsidRPr="00EA1BB2">
        <w:rPr>
          <w:rFonts w:ascii="Cambria" w:hAnsi="Cambria"/>
          <w:b/>
          <w:sz w:val="24"/>
          <w:szCs w:val="24"/>
        </w:rPr>
        <w:t>ț</w:t>
      </w:r>
      <w:r w:rsidR="00E24DBD" w:rsidRPr="00EA1BB2">
        <w:rPr>
          <w:rFonts w:ascii="Cambria" w:hAnsi="Cambria"/>
          <w:b/>
          <w:sz w:val="24"/>
          <w:szCs w:val="24"/>
        </w:rPr>
        <w:t>ă</w:t>
      </w:r>
    </w:p>
    <w:p w14:paraId="15B83905" w14:textId="76473AB1" w:rsidR="0079766C" w:rsidRPr="00EA1BB2" w:rsidRDefault="0079766C" w:rsidP="00A940F1">
      <w:pPr>
        <w:autoSpaceDE w:val="0"/>
        <w:autoSpaceDN w:val="0"/>
        <w:adjustRightInd w:val="0"/>
        <w:spacing w:line="360" w:lineRule="auto"/>
        <w:ind w:right="-144" w:firstLine="709"/>
        <w:jc w:val="both"/>
        <w:rPr>
          <w:rFonts w:ascii="Cambria" w:hAnsi="Cambria"/>
          <w:sz w:val="24"/>
          <w:szCs w:val="24"/>
        </w:rPr>
      </w:pPr>
      <w:r w:rsidRPr="00EA1BB2">
        <w:rPr>
          <w:rFonts w:ascii="Cambria" w:hAnsi="Cambria"/>
          <w:sz w:val="24"/>
          <w:szCs w:val="24"/>
        </w:rPr>
        <w:t xml:space="preserve">Deoarece captura de date în anul 2013 a fost insuficientă pentru evaluarea calității aerului în conformitate cu criteriul privind obiectivele de calitate și criteriile pentru calculul parametrilor statici prevăzute în Legea 104/2011 cu modificările ulterioare, estimarea concentrațiilor în anul de referință </w:t>
      </w:r>
      <w:r w:rsidR="00906DA2" w:rsidRPr="00EA1BB2">
        <w:rPr>
          <w:rFonts w:ascii="Cambria" w:hAnsi="Cambria"/>
          <w:sz w:val="24"/>
          <w:szCs w:val="24"/>
        </w:rPr>
        <w:t xml:space="preserve">au fost determinate prin modelarea matematică a dispersiei poluanților în atmosferă </w:t>
      </w:r>
      <w:r w:rsidRPr="00EA1BB2">
        <w:rPr>
          <w:rFonts w:ascii="Cambria" w:hAnsi="Cambria"/>
          <w:sz w:val="24"/>
          <w:szCs w:val="24"/>
        </w:rPr>
        <w:t>pentru cinci puncte care coincid cu amplasamentul stațiilor din cadrul RNMCA aflate pe teritoriul județului Brăila.</w:t>
      </w:r>
    </w:p>
    <w:p w14:paraId="577023F2" w14:textId="311E0281" w:rsidR="0093575E" w:rsidRPr="00EA1BB2" w:rsidRDefault="0093575E" w:rsidP="00363AC0">
      <w:pPr>
        <w:pStyle w:val="Caption"/>
        <w:keepNext/>
        <w:spacing w:after="0" w:line="360" w:lineRule="auto"/>
        <w:ind w:firstLine="709"/>
        <w:jc w:val="both"/>
        <w:rPr>
          <w:rFonts w:ascii="Cambria" w:hAnsi="Cambria"/>
        </w:rPr>
      </w:pPr>
      <w:bookmarkStart w:id="256" w:name="_Toc526889819"/>
      <w:r w:rsidRPr="00EA1BB2">
        <w:rPr>
          <w:rFonts w:ascii="Cambria" w:hAnsi="Cambria"/>
        </w:rPr>
        <w:t xml:space="preserve">Tabelul nr. </w:t>
      </w:r>
      <w:r w:rsidR="000A2FE7" w:rsidRPr="00EA1BB2">
        <w:rPr>
          <w:rFonts w:ascii="Cambria" w:hAnsi="Cambria"/>
        </w:rPr>
        <w:fldChar w:fldCharType="begin"/>
      </w:r>
      <w:r w:rsidR="000A2FE7" w:rsidRPr="00EA1BB2">
        <w:rPr>
          <w:rFonts w:ascii="Cambria" w:hAnsi="Cambria"/>
        </w:rPr>
        <w:instrText xml:space="preserve"> STYLEREF 1 \s </w:instrText>
      </w:r>
      <w:r w:rsidR="000A2FE7" w:rsidRPr="00EA1BB2">
        <w:rPr>
          <w:rFonts w:ascii="Cambria" w:hAnsi="Cambria"/>
        </w:rPr>
        <w:fldChar w:fldCharType="separate"/>
      </w:r>
      <w:r w:rsidR="00567555">
        <w:rPr>
          <w:rFonts w:ascii="Cambria" w:hAnsi="Cambria"/>
          <w:noProof/>
        </w:rPr>
        <w:t>5</w:t>
      </w:r>
      <w:r w:rsidR="000A2FE7" w:rsidRPr="00EA1BB2">
        <w:rPr>
          <w:rFonts w:ascii="Cambria" w:hAnsi="Cambria"/>
        </w:rPr>
        <w:fldChar w:fldCharType="end"/>
      </w:r>
      <w:r w:rsidR="000A2FE7" w:rsidRPr="00EA1BB2">
        <w:rPr>
          <w:rFonts w:ascii="Cambria" w:hAnsi="Cambria"/>
        </w:rPr>
        <w:noBreakHyphen/>
      </w:r>
      <w:r w:rsidR="000A2FE7" w:rsidRPr="00EA1BB2">
        <w:rPr>
          <w:rFonts w:ascii="Cambria" w:hAnsi="Cambria"/>
        </w:rPr>
        <w:fldChar w:fldCharType="begin"/>
      </w:r>
      <w:r w:rsidR="000A2FE7" w:rsidRPr="00EA1BB2">
        <w:rPr>
          <w:rFonts w:ascii="Cambria" w:hAnsi="Cambria"/>
        </w:rPr>
        <w:instrText xml:space="preserve"> SEQ Tabelul_nr. \* ARABIC \s 1 </w:instrText>
      </w:r>
      <w:r w:rsidR="000A2FE7" w:rsidRPr="00EA1BB2">
        <w:rPr>
          <w:rFonts w:ascii="Cambria" w:hAnsi="Cambria"/>
        </w:rPr>
        <w:fldChar w:fldCharType="separate"/>
      </w:r>
      <w:r w:rsidR="00567555">
        <w:rPr>
          <w:rFonts w:ascii="Cambria" w:hAnsi="Cambria"/>
          <w:noProof/>
        </w:rPr>
        <w:t>2</w:t>
      </w:r>
      <w:r w:rsidR="000A2FE7" w:rsidRPr="00EA1BB2">
        <w:rPr>
          <w:rFonts w:ascii="Cambria" w:hAnsi="Cambria"/>
        </w:rPr>
        <w:fldChar w:fldCharType="end"/>
      </w:r>
      <w:r w:rsidRPr="00EA1BB2">
        <w:rPr>
          <w:rFonts w:ascii="Cambria" w:hAnsi="Cambria"/>
        </w:rPr>
        <w:t xml:space="preserve">– </w:t>
      </w:r>
      <w:r w:rsidR="0079766C" w:rsidRPr="00EA1BB2">
        <w:rPr>
          <w:rFonts w:ascii="Cambria" w:hAnsi="Cambria"/>
        </w:rPr>
        <w:t>Valori estimate prin modelare pentru concentrațiile</w:t>
      </w:r>
      <w:r w:rsidRPr="00EA1BB2">
        <w:rPr>
          <w:rFonts w:ascii="Cambria" w:hAnsi="Cambria"/>
        </w:rPr>
        <w:t xml:space="preserve"> poluan</w:t>
      </w:r>
      <w:r w:rsidR="00054880" w:rsidRPr="00EA1BB2">
        <w:rPr>
          <w:rFonts w:ascii="Cambria" w:hAnsi="Cambria"/>
        </w:rPr>
        <w:t>ț</w:t>
      </w:r>
      <w:r w:rsidRPr="00EA1BB2">
        <w:rPr>
          <w:rFonts w:ascii="Cambria" w:hAnsi="Cambria"/>
        </w:rPr>
        <w:t>i</w:t>
      </w:r>
      <w:r w:rsidR="00F40C77" w:rsidRPr="00EA1BB2">
        <w:rPr>
          <w:rFonts w:ascii="Cambria" w:hAnsi="Cambria"/>
        </w:rPr>
        <w:t>l</w:t>
      </w:r>
      <w:r w:rsidR="00C44E01" w:rsidRPr="00EA1BB2">
        <w:rPr>
          <w:rFonts w:ascii="Cambria" w:hAnsi="Cambria"/>
        </w:rPr>
        <w:t>o</w:t>
      </w:r>
      <w:r w:rsidRPr="00EA1BB2">
        <w:rPr>
          <w:rFonts w:ascii="Cambria" w:hAnsi="Cambria"/>
        </w:rPr>
        <w:t>r atmosferici în anul de referin</w:t>
      </w:r>
      <w:r w:rsidR="00054880" w:rsidRPr="00EA1BB2">
        <w:rPr>
          <w:rFonts w:ascii="Cambria" w:hAnsi="Cambria"/>
        </w:rPr>
        <w:t>ț</w:t>
      </w:r>
      <w:r w:rsidRPr="00EA1BB2">
        <w:rPr>
          <w:rFonts w:ascii="Cambria" w:hAnsi="Cambria"/>
        </w:rPr>
        <w:t>ă 2013</w:t>
      </w:r>
      <w:bookmarkEnd w:id="256"/>
    </w:p>
    <w:tbl>
      <w:tblPr>
        <w:tblStyle w:val="TableGrid"/>
        <w:tblW w:w="0" w:type="auto"/>
        <w:jc w:val="center"/>
        <w:tblLook w:val="04A0" w:firstRow="1" w:lastRow="0" w:firstColumn="1" w:lastColumn="0" w:noHBand="0" w:noVBand="1"/>
      </w:tblPr>
      <w:tblGrid>
        <w:gridCol w:w="1927"/>
        <w:gridCol w:w="1159"/>
        <w:gridCol w:w="1061"/>
        <w:gridCol w:w="784"/>
        <w:gridCol w:w="871"/>
        <w:gridCol w:w="871"/>
        <w:gridCol w:w="871"/>
        <w:gridCol w:w="871"/>
        <w:gridCol w:w="871"/>
      </w:tblGrid>
      <w:tr w:rsidR="00EE10C6" w:rsidRPr="00EA1BB2" w14:paraId="49857305" w14:textId="77777777" w:rsidTr="00EE10C6">
        <w:trPr>
          <w:trHeight w:val="57"/>
          <w:tblHeader/>
          <w:jc w:val="center"/>
        </w:trPr>
        <w:tc>
          <w:tcPr>
            <w:tcW w:w="1951" w:type="dxa"/>
            <w:vMerge w:val="restart"/>
            <w:shd w:val="clear" w:color="auto" w:fill="BDD6EE" w:themeFill="accent1" w:themeFillTint="66"/>
            <w:vAlign w:val="center"/>
          </w:tcPr>
          <w:p w14:paraId="041FDE6C" w14:textId="77777777" w:rsidR="00EE10C6" w:rsidRPr="00EA1BB2" w:rsidRDefault="00EE10C6" w:rsidP="00561B9C">
            <w:pPr>
              <w:jc w:val="center"/>
              <w:rPr>
                <w:rFonts w:ascii="Cambria" w:hAnsi="Cambria"/>
                <w:b/>
                <w:sz w:val="24"/>
                <w:szCs w:val="24"/>
                <w:lang w:val="ro-RO"/>
              </w:rPr>
            </w:pPr>
            <w:r w:rsidRPr="00EA1BB2">
              <w:rPr>
                <w:rFonts w:ascii="Cambria" w:hAnsi="Cambria"/>
                <w:b/>
                <w:sz w:val="24"/>
                <w:szCs w:val="24"/>
                <w:lang w:val="ro-RO"/>
              </w:rPr>
              <w:t>Poluant</w:t>
            </w:r>
          </w:p>
        </w:tc>
        <w:tc>
          <w:tcPr>
            <w:tcW w:w="1134" w:type="dxa"/>
            <w:vMerge w:val="restart"/>
            <w:shd w:val="clear" w:color="auto" w:fill="BDD6EE" w:themeFill="accent1" w:themeFillTint="66"/>
            <w:vAlign w:val="center"/>
          </w:tcPr>
          <w:p w14:paraId="55A4911A" w14:textId="77777777" w:rsidR="00EE10C6" w:rsidRPr="00EA1BB2" w:rsidRDefault="00EE10C6" w:rsidP="00561B9C">
            <w:pPr>
              <w:jc w:val="center"/>
              <w:rPr>
                <w:rFonts w:ascii="Cambria" w:hAnsi="Cambria"/>
                <w:b/>
                <w:sz w:val="24"/>
                <w:szCs w:val="24"/>
                <w:lang w:val="ro-RO"/>
              </w:rPr>
            </w:pPr>
            <w:r w:rsidRPr="00EA1BB2">
              <w:rPr>
                <w:rFonts w:ascii="Cambria" w:hAnsi="Cambria"/>
                <w:b/>
                <w:sz w:val="24"/>
                <w:szCs w:val="24"/>
                <w:lang w:val="ro-RO"/>
              </w:rPr>
              <w:t>Unitatea de măsură</w:t>
            </w:r>
          </w:p>
        </w:tc>
        <w:tc>
          <w:tcPr>
            <w:tcW w:w="1062" w:type="dxa"/>
            <w:vMerge w:val="restart"/>
            <w:shd w:val="clear" w:color="auto" w:fill="BDD6EE" w:themeFill="accent1" w:themeFillTint="66"/>
            <w:vAlign w:val="center"/>
          </w:tcPr>
          <w:p w14:paraId="183282D9" w14:textId="77777777" w:rsidR="00EE10C6" w:rsidRDefault="00EE10C6" w:rsidP="00561B9C">
            <w:pPr>
              <w:jc w:val="center"/>
              <w:rPr>
                <w:rFonts w:ascii="Cambria" w:hAnsi="Cambria"/>
                <w:b/>
                <w:sz w:val="24"/>
                <w:szCs w:val="24"/>
                <w:lang w:val="ro-RO"/>
              </w:rPr>
            </w:pPr>
            <w:r w:rsidRPr="00EA1BB2">
              <w:rPr>
                <w:rFonts w:ascii="Cambria" w:hAnsi="Cambria"/>
                <w:b/>
                <w:sz w:val="24"/>
                <w:szCs w:val="24"/>
                <w:lang w:val="ro-RO"/>
              </w:rPr>
              <w:t>VL/VT*</w:t>
            </w:r>
          </w:p>
          <w:p w14:paraId="255F714E" w14:textId="3AF65BF4" w:rsidR="00EE10C6" w:rsidRPr="00EA1BB2" w:rsidRDefault="00EE10C6" w:rsidP="00EE10C6">
            <w:pPr>
              <w:jc w:val="center"/>
              <w:rPr>
                <w:rFonts w:ascii="Cambria" w:eastAsia="Times New Roman" w:hAnsi="Cambria" w:cs="Times New Roman"/>
                <w:b/>
                <w:sz w:val="24"/>
                <w:szCs w:val="24"/>
                <w:lang w:val="ro-RO"/>
              </w:rPr>
            </w:pPr>
            <w:r w:rsidRPr="00EA1BB2">
              <w:rPr>
                <w:rFonts w:ascii="Cambria" w:hAnsi="Cambria"/>
                <w:b/>
                <w:szCs w:val="24"/>
                <w:lang w:val="ro-RO"/>
              </w:rPr>
              <w:t>anuală</w:t>
            </w:r>
          </w:p>
        </w:tc>
        <w:tc>
          <w:tcPr>
            <w:tcW w:w="784" w:type="dxa"/>
            <w:vMerge w:val="restart"/>
            <w:shd w:val="clear" w:color="auto" w:fill="BDD6EE" w:themeFill="accent1" w:themeFillTint="66"/>
            <w:vAlign w:val="center"/>
          </w:tcPr>
          <w:p w14:paraId="58123606" w14:textId="77777777" w:rsidR="00EE10C6" w:rsidRPr="00EA1BB2" w:rsidRDefault="00EE10C6" w:rsidP="00EE10C6">
            <w:pPr>
              <w:ind w:right="-160"/>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NC*</w:t>
            </w:r>
          </w:p>
          <w:p w14:paraId="598A9586" w14:textId="4DAF67C2" w:rsidR="00EE10C6" w:rsidRPr="00EA1BB2" w:rsidRDefault="00EE10C6" w:rsidP="00561B9C">
            <w:pPr>
              <w:jc w:val="center"/>
              <w:rPr>
                <w:rFonts w:ascii="Cambria" w:eastAsia="Times New Roman" w:hAnsi="Cambria" w:cs="Times New Roman"/>
                <w:b/>
                <w:sz w:val="24"/>
                <w:szCs w:val="24"/>
                <w:lang w:val="ro-RO"/>
              </w:rPr>
            </w:pPr>
            <w:r w:rsidRPr="00EA1BB2">
              <w:rPr>
                <w:rFonts w:ascii="Cambria" w:hAnsi="Cambria"/>
                <w:b/>
                <w:szCs w:val="24"/>
                <w:lang w:val="ro-RO"/>
              </w:rPr>
              <w:t>anual</w:t>
            </w:r>
          </w:p>
        </w:tc>
        <w:tc>
          <w:tcPr>
            <w:tcW w:w="0" w:type="auto"/>
            <w:gridSpan w:val="5"/>
            <w:shd w:val="clear" w:color="auto" w:fill="BDD6EE" w:themeFill="accent1" w:themeFillTint="66"/>
            <w:vAlign w:val="center"/>
          </w:tcPr>
          <w:p w14:paraId="34972DDE" w14:textId="77777777" w:rsidR="00EE10C6" w:rsidRPr="00EA1BB2" w:rsidRDefault="00EE10C6" w:rsidP="00561B9C">
            <w:pPr>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 xml:space="preserve">Concentrația medie anuală </w:t>
            </w:r>
          </w:p>
          <w:p w14:paraId="26C75E9D" w14:textId="77777777" w:rsidR="00EE10C6" w:rsidRPr="00EA1BB2" w:rsidRDefault="00EE10C6" w:rsidP="00561B9C">
            <w:pPr>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2013</w:t>
            </w:r>
          </w:p>
        </w:tc>
      </w:tr>
      <w:tr w:rsidR="00EE10C6" w:rsidRPr="00EA1BB2" w14:paraId="0B0A9EF6" w14:textId="77777777" w:rsidTr="00EE10C6">
        <w:trPr>
          <w:cantSplit/>
          <w:trHeight w:val="726"/>
          <w:tblHeader/>
          <w:jc w:val="center"/>
        </w:trPr>
        <w:tc>
          <w:tcPr>
            <w:tcW w:w="1951" w:type="dxa"/>
            <w:vMerge/>
            <w:shd w:val="clear" w:color="auto" w:fill="BDD6EE" w:themeFill="accent1" w:themeFillTint="66"/>
            <w:textDirection w:val="btLr"/>
          </w:tcPr>
          <w:p w14:paraId="1F9A5352" w14:textId="77777777" w:rsidR="00EE10C6" w:rsidRPr="00EA1BB2" w:rsidRDefault="00EE10C6" w:rsidP="00561B9C">
            <w:pPr>
              <w:jc w:val="center"/>
              <w:rPr>
                <w:rFonts w:ascii="Cambria" w:hAnsi="Cambria"/>
                <w:b/>
                <w:szCs w:val="24"/>
                <w:lang w:val="ro-RO"/>
              </w:rPr>
            </w:pPr>
          </w:p>
        </w:tc>
        <w:tc>
          <w:tcPr>
            <w:tcW w:w="1134" w:type="dxa"/>
            <w:vMerge/>
            <w:shd w:val="clear" w:color="auto" w:fill="BDD6EE" w:themeFill="accent1" w:themeFillTint="66"/>
            <w:textDirection w:val="btLr"/>
          </w:tcPr>
          <w:p w14:paraId="7E7B35B8" w14:textId="77777777" w:rsidR="00EE10C6" w:rsidRPr="00EA1BB2" w:rsidRDefault="00EE10C6" w:rsidP="00561B9C">
            <w:pPr>
              <w:jc w:val="center"/>
              <w:rPr>
                <w:rFonts w:ascii="Cambria" w:hAnsi="Cambria"/>
                <w:b/>
                <w:szCs w:val="24"/>
                <w:lang w:val="ro-RO"/>
              </w:rPr>
            </w:pPr>
          </w:p>
        </w:tc>
        <w:tc>
          <w:tcPr>
            <w:tcW w:w="1062" w:type="dxa"/>
            <w:vMerge/>
            <w:shd w:val="clear" w:color="auto" w:fill="BDD6EE" w:themeFill="accent1" w:themeFillTint="66"/>
            <w:textDirection w:val="btLr"/>
            <w:vAlign w:val="center"/>
          </w:tcPr>
          <w:p w14:paraId="176DF00C" w14:textId="67DCF062" w:rsidR="00EE10C6" w:rsidRPr="00EA1BB2" w:rsidRDefault="00EE10C6" w:rsidP="00561B9C">
            <w:pPr>
              <w:jc w:val="center"/>
              <w:rPr>
                <w:rFonts w:ascii="Cambria" w:hAnsi="Cambria"/>
                <w:b/>
                <w:szCs w:val="24"/>
                <w:lang w:val="ro-RO"/>
              </w:rPr>
            </w:pPr>
          </w:p>
        </w:tc>
        <w:tc>
          <w:tcPr>
            <w:tcW w:w="784" w:type="dxa"/>
            <w:vMerge/>
            <w:shd w:val="clear" w:color="auto" w:fill="BDD6EE" w:themeFill="accent1" w:themeFillTint="66"/>
            <w:textDirection w:val="btLr"/>
            <w:vAlign w:val="center"/>
          </w:tcPr>
          <w:p w14:paraId="6F9EB514" w14:textId="7A02CA27" w:rsidR="00EE10C6" w:rsidRPr="00EA1BB2" w:rsidRDefault="00EE10C6" w:rsidP="00561B9C">
            <w:pPr>
              <w:jc w:val="center"/>
              <w:rPr>
                <w:rFonts w:ascii="Cambria" w:eastAsia="Times New Roman" w:hAnsi="Cambria" w:cs="Times New Roman"/>
                <w:b/>
                <w:sz w:val="24"/>
                <w:szCs w:val="24"/>
                <w:lang w:val="ro-RO"/>
              </w:rPr>
            </w:pPr>
          </w:p>
        </w:tc>
        <w:tc>
          <w:tcPr>
            <w:tcW w:w="0" w:type="auto"/>
            <w:shd w:val="clear" w:color="auto" w:fill="BDD6EE" w:themeFill="accent1" w:themeFillTint="66"/>
            <w:noWrap/>
            <w:vAlign w:val="center"/>
            <w:hideMark/>
          </w:tcPr>
          <w:p w14:paraId="3695AD5D" w14:textId="77777777" w:rsidR="00EE10C6" w:rsidRPr="00EA1BB2" w:rsidRDefault="00EE10C6" w:rsidP="00561B9C">
            <w:pPr>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BR1</w:t>
            </w:r>
          </w:p>
        </w:tc>
        <w:tc>
          <w:tcPr>
            <w:tcW w:w="0" w:type="auto"/>
            <w:shd w:val="clear" w:color="auto" w:fill="BDD6EE" w:themeFill="accent1" w:themeFillTint="66"/>
            <w:vAlign w:val="center"/>
          </w:tcPr>
          <w:p w14:paraId="27288E3F" w14:textId="77777777" w:rsidR="00EE10C6" w:rsidRPr="00EA1BB2" w:rsidRDefault="00EE10C6" w:rsidP="00561B9C">
            <w:pPr>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BR2</w:t>
            </w:r>
          </w:p>
        </w:tc>
        <w:tc>
          <w:tcPr>
            <w:tcW w:w="0" w:type="auto"/>
            <w:shd w:val="clear" w:color="auto" w:fill="BDD6EE" w:themeFill="accent1" w:themeFillTint="66"/>
            <w:vAlign w:val="center"/>
          </w:tcPr>
          <w:p w14:paraId="59E5C8F9" w14:textId="77777777" w:rsidR="00EE10C6" w:rsidRPr="00EA1BB2" w:rsidRDefault="00EE10C6" w:rsidP="00561B9C">
            <w:pPr>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BR3</w:t>
            </w:r>
          </w:p>
        </w:tc>
        <w:tc>
          <w:tcPr>
            <w:tcW w:w="0" w:type="auto"/>
            <w:shd w:val="clear" w:color="auto" w:fill="BDD6EE" w:themeFill="accent1" w:themeFillTint="66"/>
            <w:vAlign w:val="center"/>
          </w:tcPr>
          <w:p w14:paraId="5F5BDA3D" w14:textId="77777777" w:rsidR="00EE10C6" w:rsidRPr="00EA1BB2" w:rsidRDefault="00EE10C6" w:rsidP="00561B9C">
            <w:pPr>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BR4</w:t>
            </w:r>
          </w:p>
        </w:tc>
        <w:tc>
          <w:tcPr>
            <w:tcW w:w="0" w:type="auto"/>
            <w:shd w:val="clear" w:color="auto" w:fill="BDD6EE" w:themeFill="accent1" w:themeFillTint="66"/>
            <w:vAlign w:val="center"/>
          </w:tcPr>
          <w:p w14:paraId="61D03192" w14:textId="77777777" w:rsidR="00EE10C6" w:rsidRPr="00EA1BB2" w:rsidRDefault="00EE10C6" w:rsidP="00561B9C">
            <w:pPr>
              <w:jc w:val="center"/>
              <w:rPr>
                <w:rFonts w:ascii="Cambria" w:eastAsia="Times New Roman" w:hAnsi="Cambria" w:cs="Times New Roman"/>
                <w:b/>
                <w:sz w:val="24"/>
                <w:szCs w:val="24"/>
                <w:lang w:val="ro-RO"/>
              </w:rPr>
            </w:pPr>
            <w:r w:rsidRPr="00EA1BB2">
              <w:rPr>
                <w:rFonts w:ascii="Cambria" w:eastAsia="Times New Roman" w:hAnsi="Cambria" w:cs="Times New Roman"/>
                <w:b/>
                <w:sz w:val="24"/>
                <w:szCs w:val="24"/>
                <w:lang w:val="ro-RO"/>
              </w:rPr>
              <w:t>BR5</w:t>
            </w:r>
          </w:p>
        </w:tc>
      </w:tr>
      <w:tr w:rsidR="00EE10C6" w:rsidRPr="00EA1BB2" w14:paraId="29A0441B" w14:textId="77777777" w:rsidTr="00EE10C6">
        <w:trPr>
          <w:trHeight w:val="57"/>
          <w:jc w:val="center"/>
        </w:trPr>
        <w:tc>
          <w:tcPr>
            <w:tcW w:w="1951" w:type="dxa"/>
            <w:vAlign w:val="center"/>
          </w:tcPr>
          <w:p w14:paraId="3180EC94" w14:textId="77777777" w:rsidR="00EE10C6" w:rsidRPr="00EA1BB2" w:rsidRDefault="00EE10C6" w:rsidP="00561B9C">
            <w:pPr>
              <w:jc w:val="center"/>
              <w:rPr>
                <w:rFonts w:ascii="Cambria" w:eastAsia="Times New Roman" w:hAnsi="Cambria" w:cs="Times New Roman"/>
                <w:sz w:val="24"/>
                <w:szCs w:val="24"/>
                <w:lang w:val="ro-RO"/>
              </w:rPr>
            </w:pPr>
            <w:r w:rsidRPr="00EA1BB2">
              <w:rPr>
                <w:rFonts w:ascii="Cambria" w:hAnsi="Cambria"/>
                <w:sz w:val="24"/>
                <w:szCs w:val="24"/>
                <w:lang w:val="ro-RO"/>
              </w:rPr>
              <w:t>Dioxid de azot (NO</w:t>
            </w:r>
            <w:r w:rsidRPr="00EA1BB2">
              <w:rPr>
                <w:rFonts w:ascii="Cambria" w:hAnsi="Cambria"/>
                <w:sz w:val="24"/>
                <w:szCs w:val="24"/>
                <w:vertAlign w:val="subscript"/>
                <w:lang w:val="ro-RO"/>
              </w:rPr>
              <w:t>2</w:t>
            </w:r>
            <w:r w:rsidRPr="00EA1BB2">
              <w:rPr>
                <w:rFonts w:ascii="Cambria" w:hAnsi="Cambria"/>
                <w:sz w:val="24"/>
                <w:szCs w:val="24"/>
                <w:lang w:val="ro-RO"/>
              </w:rPr>
              <w:t>)</w:t>
            </w:r>
          </w:p>
        </w:tc>
        <w:tc>
          <w:tcPr>
            <w:tcW w:w="1134" w:type="dxa"/>
            <w:vAlign w:val="center"/>
          </w:tcPr>
          <w:p w14:paraId="3A00BFDC" w14:textId="77777777" w:rsidR="00EE10C6" w:rsidRPr="00EA1BB2" w:rsidRDefault="00EE10C6" w:rsidP="00561B9C">
            <w:pPr>
              <w:jc w:val="center"/>
              <w:rPr>
                <w:rFonts w:ascii="Cambria" w:eastAsia="Times New Roman" w:hAnsi="Cambria" w:cs="Times New Roman"/>
                <w:sz w:val="24"/>
                <w:szCs w:val="24"/>
                <w:lang w:val="ro-RO"/>
              </w:rPr>
            </w:pPr>
            <w:r w:rsidRPr="00EA1BB2">
              <w:rPr>
                <w:rFonts w:ascii="Cambria" w:hAnsi="Cambria"/>
                <w:sz w:val="24"/>
                <w:szCs w:val="24"/>
                <w:lang w:val="ro-RO"/>
              </w:rPr>
              <w:t>(µg/m</w:t>
            </w:r>
            <w:r w:rsidRPr="00EA1BB2">
              <w:rPr>
                <w:rFonts w:ascii="Cambria" w:hAnsi="Cambria"/>
                <w:bCs/>
                <w:sz w:val="24"/>
                <w:szCs w:val="24"/>
                <w:vertAlign w:val="superscript"/>
                <w:lang w:val="ro-RO"/>
              </w:rPr>
              <w:t>3</w:t>
            </w:r>
            <w:r w:rsidRPr="00EA1BB2">
              <w:rPr>
                <w:rFonts w:ascii="Cambria" w:hAnsi="Cambria"/>
                <w:sz w:val="24"/>
                <w:szCs w:val="24"/>
                <w:lang w:val="ro-RO"/>
              </w:rPr>
              <w:t>)</w:t>
            </w:r>
          </w:p>
        </w:tc>
        <w:tc>
          <w:tcPr>
            <w:tcW w:w="1062" w:type="dxa"/>
            <w:vAlign w:val="center"/>
          </w:tcPr>
          <w:p w14:paraId="68DB7B7D" w14:textId="77777777" w:rsidR="00EE10C6" w:rsidRPr="00EA1BB2" w:rsidRDefault="00EE10C6" w:rsidP="00561B9C">
            <w:pPr>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40</w:t>
            </w:r>
          </w:p>
        </w:tc>
        <w:tc>
          <w:tcPr>
            <w:tcW w:w="784" w:type="dxa"/>
            <w:vAlign w:val="center"/>
          </w:tcPr>
          <w:p w14:paraId="471D4CCA" w14:textId="77777777" w:rsidR="00EE10C6" w:rsidRPr="00EA1BB2" w:rsidRDefault="00EE10C6" w:rsidP="00561B9C">
            <w:pPr>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noWrap/>
            <w:vAlign w:val="center"/>
          </w:tcPr>
          <w:p w14:paraId="4A17CE2E" w14:textId="77777777" w:rsidR="00EE10C6" w:rsidRPr="00EA1BB2" w:rsidRDefault="00EE10C6" w:rsidP="00561B9C">
            <w:pPr>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vAlign w:val="center"/>
          </w:tcPr>
          <w:p w14:paraId="0E4D8AAA" w14:textId="77777777" w:rsidR="00EE10C6" w:rsidRPr="00EA1BB2" w:rsidRDefault="00EE10C6" w:rsidP="00561B9C">
            <w:pPr>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vAlign w:val="center"/>
          </w:tcPr>
          <w:p w14:paraId="4FCD47F7" w14:textId="77777777" w:rsidR="00EE10C6" w:rsidRPr="00EA1BB2" w:rsidRDefault="00EE10C6" w:rsidP="00561B9C">
            <w:pPr>
              <w:jc w:val="center"/>
              <w:rPr>
                <w:rFonts w:ascii="Cambria" w:eastAsia="Times New Roman" w:hAnsi="Cambria" w:cs="Times New Roman"/>
                <w:sz w:val="24"/>
                <w:szCs w:val="24"/>
                <w:lang w:val="ro-RO"/>
              </w:rPr>
            </w:pPr>
            <w:r w:rsidRPr="00EA1BB2">
              <w:rPr>
                <w:rFonts w:ascii="Cambria" w:hAnsi="Cambria"/>
                <w:lang w:val="ro-RO"/>
              </w:rPr>
              <w:t>11,721</w:t>
            </w:r>
          </w:p>
        </w:tc>
        <w:tc>
          <w:tcPr>
            <w:tcW w:w="0" w:type="auto"/>
            <w:vAlign w:val="center"/>
          </w:tcPr>
          <w:p w14:paraId="114EAF04" w14:textId="77777777" w:rsidR="00EE10C6" w:rsidRPr="00EA1BB2" w:rsidRDefault="00EE10C6" w:rsidP="00561B9C">
            <w:pPr>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vAlign w:val="center"/>
          </w:tcPr>
          <w:p w14:paraId="129CEF98" w14:textId="77777777" w:rsidR="00EE10C6" w:rsidRPr="00EA1BB2" w:rsidRDefault="00EE10C6" w:rsidP="00561B9C">
            <w:pPr>
              <w:jc w:val="center"/>
              <w:rPr>
                <w:rFonts w:ascii="Cambria" w:eastAsia="Times New Roman" w:hAnsi="Cambria" w:cs="Times New Roman"/>
                <w:sz w:val="24"/>
                <w:szCs w:val="24"/>
                <w:lang w:val="ro-RO"/>
              </w:rPr>
            </w:pPr>
            <w:r w:rsidRPr="00EA1BB2">
              <w:rPr>
                <w:rFonts w:ascii="Cambria" w:hAnsi="Cambria"/>
                <w:lang w:val="ro-RO"/>
              </w:rPr>
              <w:t>11,686</w:t>
            </w:r>
          </w:p>
        </w:tc>
      </w:tr>
      <w:tr w:rsidR="00EE10C6" w:rsidRPr="00EA1BB2" w14:paraId="0F1B74CD" w14:textId="77777777" w:rsidTr="00EE10C6">
        <w:trPr>
          <w:trHeight w:val="57"/>
          <w:jc w:val="center"/>
        </w:trPr>
        <w:tc>
          <w:tcPr>
            <w:tcW w:w="1951" w:type="dxa"/>
            <w:vAlign w:val="center"/>
          </w:tcPr>
          <w:p w14:paraId="046187E5" w14:textId="77777777" w:rsidR="00EE10C6" w:rsidRPr="00EA1BB2" w:rsidRDefault="00EE10C6" w:rsidP="00561B9C">
            <w:pPr>
              <w:jc w:val="center"/>
              <w:rPr>
                <w:rFonts w:ascii="Cambria" w:eastAsia="Times New Roman" w:hAnsi="Cambria" w:cs="Times New Roman"/>
                <w:sz w:val="24"/>
                <w:szCs w:val="24"/>
                <w:lang w:val="ro-RO"/>
              </w:rPr>
            </w:pPr>
            <w:r w:rsidRPr="00EA1BB2">
              <w:rPr>
                <w:rFonts w:ascii="Cambria" w:hAnsi="Cambria"/>
                <w:sz w:val="24"/>
                <w:szCs w:val="24"/>
                <w:lang w:val="ro-RO"/>
              </w:rPr>
              <w:t>Oxizi de azot (NOx)</w:t>
            </w:r>
          </w:p>
        </w:tc>
        <w:tc>
          <w:tcPr>
            <w:tcW w:w="1134" w:type="dxa"/>
            <w:vAlign w:val="center"/>
          </w:tcPr>
          <w:p w14:paraId="2CA705A1" w14:textId="77777777" w:rsidR="00EE10C6" w:rsidRPr="00EA1BB2" w:rsidRDefault="00EE10C6" w:rsidP="00561B9C">
            <w:pPr>
              <w:jc w:val="center"/>
              <w:rPr>
                <w:rFonts w:ascii="Cambria" w:eastAsia="Times New Roman" w:hAnsi="Cambria" w:cs="Times New Roman"/>
                <w:sz w:val="24"/>
                <w:szCs w:val="24"/>
                <w:lang w:val="ro-RO"/>
              </w:rPr>
            </w:pPr>
            <w:r w:rsidRPr="00EA1BB2">
              <w:rPr>
                <w:rFonts w:ascii="Cambria" w:hAnsi="Cambria"/>
                <w:sz w:val="24"/>
                <w:szCs w:val="24"/>
                <w:lang w:val="ro-RO"/>
              </w:rPr>
              <w:t>(µg/m</w:t>
            </w:r>
            <w:r w:rsidRPr="00EA1BB2">
              <w:rPr>
                <w:rFonts w:ascii="Cambria" w:hAnsi="Cambria"/>
                <w:bCs/>
                <w:sz w:val="24"/>
                <w:szCs w:val="24"/>
                <w:vertAlign w:val="superscript"/>
                <w:lang w:val="ro-RO"/>
              </w:rPr>
              <w:t>3</w:t>
            </w:r>
            <w:r w:rsidRPr="00EA1BB2">
              <w:rPr>
                <w:rFonts w:ascii="Cambria" w:hAnsi="Cambria"/>
                <w:sz w:val="24"/>
                <w:szCs w:val="24"/>
                <w:lang w:val="ro-RO"/>
              </w:rPr>
              <w:t>)</w:t>
            </w:r>
          </w:p>
        </w:tc>
        <w:tc>
          <w:tcPr>
            <w:tcW w:w="1062" w:type="dxa"/>
            <w:vAlign w:val="center"/>
          </w:tcPr>
          <w:p w14:paraId="6DAD26C4" w14:textId="77777777" w:rsidR="00EE10C6" w:rsidRPr="00EA1BB2" w:rsidRDefault="00EE10C6" w:rsidP="00561B9C">
            <w:pPr>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784" w:type="dxa"/>
            <w:vAlign w:val="center"/>
          </w:tcPr>
          <w:p w14:paraId="26B52ADC" w14:textId="77777777" w:rsidR="00EE10C6" w:rsidRPr="00EA1BB2" w:rsidRDefault="00EE10C6" w:rsidP="00561B9C">
            <w:pPr>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30</w:t>
            </w:r>
          </w:p>
        </w:tc>
        <w:tc>
          <w:tcPr>
            <w:tcW w:w="0" w:type="auto"/>
            <w:noWrap/>
            <w:vAlign w:val="center"/>
          </w:tcPr>
          <w:p w14:paraId="0F3A04EE" w14:textId="77777777" w:rsidR="00EE10C6" w:rsidRPr="00EA1BB2" w:rsidRDefault="00EE10C6" w:rsidP="00561B9C">
            <w:pPr>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vAlign w:val="center"/>
          </w:tcPr>
          <w:p w14:paraId="3FDBCB1E" w14:textId="77777777" w:rsidR="00EE10C6" w:rsidRPr="00EA1BB2" w:rsidRDefault="00EE10C6" w:rsidP="00561B9C">
            <w:pPr>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vAlign w:val="center"/>
          </w:tcPr>
          <w:p w14:paraId="6E0C21A0" w14:textId="77777777" w:rsidR="00EE10C6" w:rsidRPr="00EA1BB2" w:rsidRDefault="00EE10C6" w:rsidP="00561B9C">
            <w:pPr>
              <w:jc w:val="center"/>
              <w:rPr>
                <w:rFonts w:ascii="Cambria" w:eastAsia="Times New Roman" w:hAnsi="Cambria" w:cs="Times New Roman"/>
                <w:sz w:val="24"/>
                <w:szCs w:val="24"/>
                <w:lang w:val="ro-RO"/>
              </w:rPr>
            </w:pPr>
            <w:r w:rsidRPr="00EA1BB2">
              <w:rPr>
                <w:rFonts w:ascii="Cambria" w:hAnsi="Cambria"/>
                <w:lang w:val="ro-RO"/>
              </w:rPr>
              <w:t>12,249</w:t>
            </w:r>
          </w:p>
        </w:tc>
        <w:tc>
          <w:tcPr>
            <w:tcW w:w="0" w:type="auto"/>
            <w:vAlign w:val="center"/>
          </w:tcPr>
          <w:p w14:paraId="6272EE42" w14:textId="77777777" w:rsidR="00EE10C6" w:rsidRPr="00EA1BB2" w:rsidRDefault="00EE10C6" w:rsidP="00561B9C">
            <w:pPr>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0" w:type="auto"/>
            <w:vAlign w:val="center"/>
          </w:tcPr>
          <w:p w14:paraId="6E2B52FC" w14:textId="77777777" w:rsidR="00EE10C6" w:rsidRPr="00EA1BB2" w:rsidRDefault="00EE10C6" w:rsidP="00561B9C">
            <w:pPr>
              <w:jc w:val="center"/>
              <w:rPr>
                <w:rFonts w:ascii="Cambria" w:eastAsia="Times New Roman" w:hAnsi="Cambria" w:cs="Times New Roman"/>
                <w:sz w:val="24"/>
                <w:szCs w:val="24"/>
                <w:lang w:val="ro-RO"/>
              </w:rPr>
            </w:pPr>
            <w:r w:rsidRPr="00EA1BB2">
              <w:rPr>
                <w:rFonts w:ascii="Cambria" w:hAnsi="Cambria"/>
                <w:lang w:val="ro-RO"/>
              </w:rPr>
              <w:t>12,214</w:t>
            </w:r>
          </w:p>
        </w:tc>
      </w:tr>
      <w:tr w:rsidR="00EE10C6" w:rsidRPr="00EA1BB2" w14:paraId="39FF22E5" w14:textId="77777777" w:rsidTr="00EE10C6">
        <w:trPr>
          <w:trHeight w:val="57"/>
          <w:jc w:val="center"/>
        </w:trPr>
        <w:tc>
          <w:tcPr>
            <w:tcW w:w="1951" w:type="dxa"/>
            <w:vAlign w:val="center"/>
          </w:tcPr>
          <w:p w14:paraId="783E4FE0" w14:textId="77777777" w:rsidR="00EE10C6" w:rsidRPr="00EA1BB2" w:rsidRDefault="00EE10C6" w:rsidP="00561B9C">
            <w:pPr>
              <w:jc w:val="center"/>
              <w:rPr>
                <w:rFonts w:ascii="Cambria" w:hAnsi="Cambria"/>
                <w:sz w:val="24"/>
                <w:szCs w:val="24"/>
                <w:lang w:val="ro-RO"/>
              </w:rPr>
            </w:pPr>
            <w:r w:rsidRPr="00EA1BB2">
              <w:rPr>
                <w:rFonts w:ascii="Cambria" w:hAnsi="Cambria"/>
                <w:sz w:val="24"/>
                <w:szCs w:val="24"/>
                <w:lang w:val="ro-RO"/>
              </w:rPr>
              <w:t>Particule în suspensie</w:t>
            </w:r>
          </w:p>
          <w:p w14:paraId="110C09E4" w14:textId="098B29D5" w:rsidR="00EE10C6" w:rsidRPr="00EA1BB2" w:rsidRDefault="00EE10C6" w:rsidP="00561B9C">
            <w:pPr>
              <w:jc w:val="center"/>
              <w:rPr>
                <w:rFonts w:ascii="Cambria" w:hAnsi="Cambria"/>
                <w:sz w:val="24"/>
                <w:szCs w:val="24"/>
                <w:lang w:val="ro-RO"/>
              </w:rPr>
            </w:pPr>
            <w:r w:rsidRPr="00EA1BB2">
              <w:rPr>
                <w:rFonts w:ascii="Cambria" w:hAnsi="Cambria"/>
                <w:sz w:val="24"/>
                <w:szCs w:val="24"/>
                <w:lang w:val="ro-RO"/>
              </w:rPr>
              <w:t>(PM</w:t>
            </w:r>
            <w:r w:rsidRPr="00EA1BB2">
              <w:rPr>
                <w:rFonts w:ascii="Cambria" w:hAnsi="Cambria"/>
                <w:sz w:val="24"/>
                <w:szCs w:val="24"/>
                <w:vertAlign w:val="subscript"/>
                <w:lang w:val="ro-RO"/>
              </w:rPr>
              <w:t>10</w:t>
            </w:r>
            <w:r w:rsidRPr="00EA1BB2">
              <w:rPr>
                <w:rFonts w:ascii="Cambria" w:hAnsi="Cambria"/>
                <w:sz w:val="24"/>
                <w:szCs w:val="24"/>
                <w:lang w:val="ro-RO"/>
              </w:rPr>
              <w:t>)</w:t>
            </w:r>
          </w:p>
        </w:tc>
        <w:tc>
          <w:tcPr>
            <w:tcW w:w="1134" w:type="dxa"/>
            <w:vAlign w:val="center"/>
          </w:tcPr>
          <w:p w14:paraId="15E42CBF" w14:textId="3AD081C2" w:rsidR="00EE10C6" w:rsidRPr="00EA1BB2" w:rsidRDefault="00EE10C6" w:rsidP="00561B9C">
            <w:pPr>
              <w:jc w:val="center"/>
              <w:rPr>
                <w:rFonts w:ascii="Cambria" w:hAnsi="Cambria"/>
                <w:sz w:val="24"/>
                <w:szCs w:val="24"/>
                <w:lang w:val="ro-RO"/>
              </w:rPr>
            </w:pPr>
            <w:r w:rsidRPr="00EA1BB2">
              <w:rPr>
                <w:rFonts w:ascii="Cambria" w:hAnsi="Cambria"/>
                <w:sz w:val="24"/>
                <w:szCs w:val="24"/>
                <w:lang w:val="ro-RO"/>
              </w:rPr>
              <w:t>(µg/m</w:t>
            </w:r>
            <w:r w:rsidRPr="00EA1BB2">
              <w:rPr>
                <w:rFonts w:ascii="Cambria" w:hAnsi="Cambria"/>
                <w:bCs/>
                <w:sz w:val="24"/>
                <w:szCs w:val="24"/>
                <w:vertAlign w:val="superscript"/>
                <w:lang w:val="ro-RO"/>
              </w:rPr>
              <w:t>3</w:t>
            </w:r>
            <w:r w:rsidRPr="00EA1BB2">
              <w:rPr>
                <w:rFonts w:ascii="Cambria" w:hAnsi="Cambria"/>
                <w:sz w:val="24"/>
                <w:szCs w:val="24"/>
                <w:lang w:val="ro-RO"/>
              </w:rPr>
              <w:t>)</w:t>
            </w:r>
          </w:p>
        </w:tc>
        <w:tc>
          <w:tcPr>
            <w:tcW w:w="1062" w:type="dxa"/>
            <w:vAlign w:val="center"/>
          </w:tcPr>
          <w:p w14:paraId="601055BF" w14:textId="786B2146" w:rsidR="00EE10C6" w:rsidRPr="00EA1BB2" w:rsidRDefault="00EE10C6" w:rsidP="00561B9C">
            <w:pPr>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40</w:t>
            </w:r>
          </w:p>
        </w:tc>
        <w:tc>
          <w:tcPr>
            <w:tcW w:w="784" w:type="dxa"/>
            <w:vAlign w:val="center"/>
          </w:tcPr>
          <w:p w14:paraId="6DB663BD" w14:textId="40E86308" w:rsidR="00EE10C6" w:rsidRPr="00EA1BB2" w:rsidRDefault="00EE10C6" w:rsidP="00561B9C">
            <w:pPr>
              <w:jc w:val="center"/>
              <w:rPr>
                <w:rFonts w:ascii="Cambria" w:eastAsia="Times New Roman" w:hAnsi="Cambria" w:cs="Times New Roman"/>
                <w:sz w:val="24"/>
                <w:szCs w:val="24"/>
                <w:lang w:val="ro-RO"/>
              </w:rPr>
            </w:pPr>
            <w:r w:rsidRPr="00EA1BB2">
              <w:rPr>
                <w:rFonts w:ascii="Cambria" w:hAnsi="Cambria"/>
                <w:lang w:val="ro-RO"/>
              </w:rPr>
              <w:t>-</w:t>
            </w:r>
          </w:p>
        </w:tc>
        <w:tc>
          <w:tcPr>
            <w:tcW w:w="0" w:type="auto"/>
            <w:noWrap/>
            <w:vAlign w:val="center"/>
          </w:tcPr>
          <w:p w14:paraId="091D4452" w14:textId="2E2BF343" w:rsidR="00EE10C6" w:rsidRPr="00EA1BB2" w:rsidRDefault="00EE10C6" w:rsidP="00561B9C">
            <w:pPr>
              <w:jc w:val="center"/>
              <w:rPr>
                <w:rFonts w:ascii="Cambria" w:eastAsia="Times New Roman" w:hAnsi="Cambria" w:cs="Times New Roman"/>
                <w:sz w:val="24"/>
                <w:szCs w:val="24"/>
                <w:lang w:val="ro-RO"/>
              </w:rPr>
            </w:pPr>
            <w:r w:rsidRPr="00EA1BB2">
              <w:rPr>
                <w:rFonts w:ascii="Cambria" w:hAnsi="Cambria"/>
                <w:lang w:val="ro-RO"/>
              </w:rPr>
              <w:t>21,387</w:t>
            </w:r>
          </w:p>
        </w:tc>
        <w:tc>
          <w:tcPr>
            <w:tcW w:w="0" w:type="auto"/>
            <w:vAlign w:val="center"/>
          </w:tcPr>
          <w:p w14:paraId="42D2BE9A" w14:textId="67202482" w:rsidR="00EE10C6" w:rsidRPr="00EA1BB2" w:rsidRDefault="00EE10C6" w:rsidP="00561B9C">
            <w:pPr>
              <w:jc w:val="center"/>
              <w:rPr>
                <w:rFonts w:ascii="Cambria" w:eastAsia="Times New Roman" w:hAnsi="Cambria" w:cs="Times New Roman"/>
                <w:sz w:val="24"/>
                <w:szCs w:val="24"/>
                <w:lang w:val="ro-RO"/>
              </w:rPr>
            </w:pPr>
            <w:r w:rsidRPr="00EA1BB2">
              <w:rPr>
                <w:rFonts w:ascii="Cambria" w:hAnsi="Cambria"/>
                <w:lang w:val="ro-RO"/>
              </w:rPr>
              <w:t>20,685</w:t>
            </w:r>
          </w:p>
        </w:tc>
        <w:tc>
          <w:tcPr>
            <w:tcW w:w="0" w:type="auto"/>
            <w:vAlign w:val="center"/>
          </w:tcPr>
          <w:p w14:paraId="29E6F85B" w14:textId="572580E4" w:rsidR="00EE10C6" w:rsidRPr="00EA1BB2" w:rsidRDefault="00EE10C6" w:rsidP="00561B9C">
            <w:pPr>
              <w:jc w:val="center"/>
              <w:rPr>
                <w:rFonts w:ascii="Cambria" w:hAnsi="Cambria"/>
                <w:lang w:val="ro-RO"/>
              </w:rPr>
            </w:pPr>
            <w:r w:rsidRPr="00EA1BB2">
              <w:rPr>
                <w:rFonts w:ascii="Cambria" w:hAnsi="Cambria"/>
                <w:lang w:val="ro-RO"/>
              </w:rPr>
              <w:t>22,163</w:t>
            </w:r>
          </w:p>
        </w:tc>
        <w:tc>
          <w:tcPr>
            <w:tcW w:w="0" w:type="auto"/>
            <w:vAlign w:val="center"/>
          </w:tcPr>
          <w:p w14:paraId="1CD28FCE" w14:textId="54CE99B9" w:rsidR="00EE10C6" w:rsidRPr="00EA1BB2" w:rsidRDefault="00EE10C6" w:rsidP="00561B9C">
            <w:pPr>
              <w:jc w:val="center"/>
              <w:rPr>
                <w:rFonts w:ascii="Cambria" w:eastAsia="Times New Roman" w:hAnsi="Cambria" w:cs="Times New Roman"/>
                <w:sz w:val="24"/>
                <w:szCs w:val="24"/>
                <w:lang w:val="ro-RO"/>
              </w:rPr>
            </w:pPr>
            <w:r w:rsidRPr="00EA1BB2">
              <w:rPr>
                <w:rFonts w:ascii="Cambria" w:hAnsi="Cambria"/>
                <w:lang w:val="ro-RO"/>
              </w:rPr>
              <w:t>21,171</w:t>
            </w:r>
          </w:p>
        </w:tc>
        <w:tc>
          <w:tcPr>
            <w:tcW w:w="0" w:type="auto"/>
            <w:vAlign w:val="center"/>
          </w:tcPr>
          <w:p w14:paraId="54E39605" w14:textId="14EC2175" w:rsidR="00EE10C6" w:rsidRPr="00EA1BB2" w:rsidRDefault="00EE10C6" w:rsidP="00561B9C">
            <w:pPr>
              <w:jc w:val="center"/>
              <w:rPr>
                <w:rFonts w:ascii="Cambria" w:hAnsi="Cambria"/>
                <w:lang w:val="ro-RO"/>
              </w:rPr>
            </w:pPr>
            <w:r w:rsidRPr="00EA1BB2">
              <w:rPr>
                <w:rFonts w:ascii="Cambria" w:hAnsi="Cambria"/>
                <w:lang w:val="ro-RO"/>
              </w:rPr>
              <w:t>21,741</w:t>
            </w:r>
          </w:p>
        </w:tc>
      </w:tr>
      <w:tr w:rsidR="00EE10C6" w:rsidRPr="00EA1BB2" w14:paraId="31E8C93D" w14:textId="77777777" w:rsidTr="00EE10C6">
        <w:trPr>
          <w:trHeight w:val="57"/>
          <w:jc w:val="center"/>
        </w:trPr>
        <w:tc>
          <w:tcPr>
            <w:tcW w:w="1951" w:type="dxa"/>
            <w:vAlign w:val="center"/>
          </w:tcPr>
          <w:p w14:paraId="0FB9503A" w14:textId="77777777" w:rsidR="00EE10C6" w:rsidRPr="00EA1BB2" w:rsidRDefault="00EE10C6" w:rsidP="00561B9C">
            <w:pPr>
              <w:jc w:val="center"/>
              <w:rPr>
                <w:rFonts w:ascii="Cambria" w:hAnsi="Cambria"/>
                <w:sz w:val="24"/>
                <w:szCs w:val="24"/>
                <w:lang w:val="ro-RO"/>
              </w:rPr>
            </w:pPr>
            <w:r w:rsidRPr="00EA1BB2">
              <w:rPr>
                <w:rFonts w:ascii="Cambria" w:hAnsi="Cambria"/>
                <w:sz w:val="24"/>
                <w:szCs w:val="24"/>
                <w:lang w:val="ro-RO"/>
              </w:rPr>
              <w:t>Particule în suspensie</w:t>
            </w:r>
          </w:p>
          <w:p w14:paraId="1A795B6A" w14:textId="53478734" w:rsidR="00EE10C6" w:rsidRPr="00EA1BB2" w:rsidRDefault="00EE10C6" w:rsidP="00561B9C">
            <w:pPr>
              <w:jc w:val="center"/>
              <w:rPr>
                <w:rFonts w:ascii="Cambria" w:hAnsi="Cambria"/>
                <w:sz w:val="24"/>
                <w:szCs w:val="24"/>
                <w:lang w:val="ro-RO"/>
              </w:rPr>
            </w:pPr>
            <w:r w:rsidRPr="00EA1BB2">
              <w:rPr>
                <w:rFonts w:ascii="Cambria" w:hAnsi="Cambria"/>
                <w:sz w:val="24"/>
                <w:szCs w:val="24"/>
                <w:lang w:val="ro-RO"/>
              </w:rPr>
              <w:t>(PM</w:t>
            </w:r>
            <w:r w:rsidRPr="00EA1BB2">
              <w:rPr>
                <w:rFonts w:ascii="Cambria" w:hAnsi="Cambria"/>
                <w:sz w:val="24"/>
                <w:szCs w:val="24"/>
                <w:vertAlign w:val="subscript"/>
                <w:lang w:val="ro-RO"/>
              </w:rPr>
              <w:t>2,5</w:t>
            </w:r>
            <w:r w:rsidRPr="00EA1BB2">
              <w:rPr>
                <w:rFonts w:ascii="Cambria" w:hAnsi="Cambria"/>
                <w:sz w:val="24"/>
                <w:szCs w:val="24"/>
                <w:lang w:val="ro-RO"/>
              </w:rPr>
              <w:t>)</w:t>
            </w:r>
          </w:p>
        </w:tc>
        <w:tc>
          <w:tcPr>
            <w:tcW w:w="1134" w:type="dxa"/>
            <w:vAlign w:val="center"/>
          </w:tcPr>
          <w:p w14:paraId="3CB4AE93" w14:textId="7A1AB053" w:rsidR="00EE10C6" w:rsidRPr="00EA1BB2" w:rsidRDefault="00EE10C6" w:rsidP="00561B9C">
            <w:pPr>
              <w:jc w:val="center"/>
              <w:rPr>
                <w:rFonts w:ascii="Cambria" w:hAnsi="Cambria"/>
                <w:sz w:val="24"/>
                <w:szCs w:val="24"/>
                <w:lang w:val="ro-RO"/>
              </w:rPr>
            </w:pPr>
            <w:r w:rsidRPr="00EA1BB2">
              <w:rPr>
                <w:rFonts w:ascii="Cambria" w:hAnsi="Cambria"/>
                <w:sz w:val="24"/>
                <w:szCs w:val="24"/>
                <w:lang w:val="ro-RO"/>
              </w:rPr>
              <w:t>(µg/m</w:t>
            </w:r>
            <w:r w:rsidRPr="00EA1BB2">
              <w:rPr>
                <w:rFonts w:ascii="Cambria" w:hAnsi="Cambria"/>
                <w:bCs/>
                <w:sz w:val="24"/>
                <w:szCs w:val="24"/>
                <w:vertAlign w:val="superscript"/>
                <w:lang w:val="ro-RO"/>
              </w:rPr>
              <w:t>3</w:t>
            </w:r>
            <w:r w:rsidRPr="00EA1BB2">
              <w:rPr>
                <w:rFonts w:ascii="Cambria" w:hAnsi="Cambria"/>
                <w:sz w:val="24"/>
                <w:szCs w:val="24"/>
                <w:lang w:val="ro-RO"/>
              </w:rPr>
              <w:t>)</w:t>
            </w:r>
          </w:p>
        </w:tc>
        <w:tc>
          <w:tcPr>
            <w:tcW w:w="1062" w:type="dxa"/>
            <w:vAlign w:val="center"/>
          </w:tcPr>
          <w:p w14:paraId="18756E8E" w14:textId="478603B1" w:rsidR="00EE10C6" w:rsidRPr="00EA1BB2" w:rsidRDefault="00EE10C6" w:rsidP="00561B9C">
            <w:pPr>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25</w:t>
            </w:r>
          </w:p>
        </w:tc>
        <w:tc>
          <w:tcPr>
            <w:tcW w:w="784" w:type="dxa"/>
            <w:vAlign w:val="center"/>
          </w:tcPr>
          <w:p w14:paraId="6C1EF388" w14:textId="7B4871F7" w:rsidR="00EE10C6" w:rsidRPr="00EA1BB2" w:rsidRDefault="00EE10C6" w:rsidP="00561B9C">
            <w:pPr>
              <w:jc w:val="center"/>
              <w:rPr>
                <w:rFonts w:ascii="Cambria" w:hAnsi="Cambria"/>
                <w:lang w:val="ro-RO"/>
              </w:rPr>
            </w:pPr>
            <w:r w:rsidRPr="00EA1BB2">
              <w:rPr>
                <w:rFonts w:ascii="Cambria" w:hAnsi="Cambria"/>
                <w:lang w:val="ro-RO"/>
              </w:rPr>
              <w:t>-</w:t>
            </w:r>
          </w:p>
        </w:tc>
        <w:tc>
          <w:tcPr>
            <w:tcW w:w="0" w:type="auto"/>
            <w:noWrap/>
            <w:vAlign w:val="center"/>
          </w:tcPr>
          <w:p w14:paraId="7A71A037" w14:textId="25491AAD" w:rsidR="00EE10C6" w:rsidRPr="00EA1BB2" w:rsidRDefault="00EE10C6" w:rsidP="00561B9C">
            <w:pPr>
              <w:jc w:val="center"/>
              <w:rPr>
                <w:rFonts w:ascii="Cambria" w:hAnsi="Cambria"/>
                <w:lang w:val="ro-RO"/>
              </w:rPr>
            </w:pPr>
            <w:r w:rsidRPr="00EA1BB2">
              <w:rPr>
                <w:rFonts w:ascii="Cambria" w:hAnsi="Cambria"/>
                <w:lang w:val="ro-RO"/>
              </w:rPr>
              <w:t>16,522</w:t>
            </w:r>
          </w:p>
        </w:tc>
        <w:tc>
          <w:tcPr>
            <w:tcW w:w="0" w:type="auto"/>
            <w:vAlign w:val="center"/>
          </w:tcPr>
          <w:p w14:paraId="741C48E6" w14:textId="009121C3" w:rsidR="00EE10C6" w:rsidRPr="00EA1BB2" w:rsidRDefault="00EE10C6" w:rsidP="00561B9C">
            <w:pPr>
              <w:jc w:val="center"/>
              <w:rPr>
                <w:rFonts w:ascii="Cambria" w:hAnsi="Cambria"/>
                <w:lang w:val="ro-RO"/>
              </w:rPr>
            </w:pPr>
            <w:r w:rsidRPr="00EA1BB2">
              <w:rPr>
                <w:rFonts w:ascii="Cambria" w:hAnsi="Cambria"/>
                <w:lang w:val="ro-RO"/>
              </w:rPr>
              <w:t>16,531</w:t>
            </w:r>
          </w:p>
        </w:tc>
        <w:tc>
          <w:tcPr>
            <w:tcW w:w="0" w:type="auto"/>
            <w:vAlign w:val="center"/>
          </w:tcPr>
          <w:p w14:paraId="7C25A78C" w14:textId="5AC8F12F" w:rsidR="00EE10C6" w:rsidRPr="00EA1BB2" w:rsidRDefault="00EE10C6" w:rsidP="00561B9C">
            <w:pPr>
              <w:jc w:val="center"/>
              <w:rPr>
                <w:rFonts w:ascii="Cambria" w:hAnsi="Cambria"/>
                <w:lang w:val="ro-RO"/>
              </w:rPr>
            </w:pPr>
            <w:r w:rsidRPr="00EA1BB2">
              <w:rPr>
                <w:rFonts w:ascii="Cambria" w:hAnsi="Cambria"/>
                <w:lang w:val="ro-RO"/>
              </w:rPr>
              <w:t>17,542</w:t>
            </w:r>
          </w:p>
        </w:tc>
        <w:tc>
          <w:tcPr>
            <w:tcW w:w="0" w:type="auto"/>
            <w:vAlign w:val="center"/>
          </w:tcPr>
          <w:p w14:paraId="4B9999C6" w14:textId="69D96C84" w:rsidR="00EE10C6" w:rsidRPr="00EA1BB2" w:rsidRDefault="00EE10C6" w:rsidP="00561B9C">
            <w:pPr>
              <w:jc w:val="center"/>
              <w:rPr>
                <w:rFonts w:ascii="Cambria" w:hAnsi="Cambria"/>
                <w:lang w:val="ro-RO"/>
              </w:rPr>
            </w:pPr>
            <w:r w:rsidRPr="00EA1BB2">
              <w:rPr>
                <w:rFonts w:ascii="Cambria" w:hAnsi="Cambria"/>
                <w:lang w:val="ro-RO"/>
              </w:rPr>
              <w:t>16,744</w:t>
            </w:r>
          </w:p>
        </w:tc>
        <w:tc>
          <w:tcPr>
            <w:tcW w:w="0" w:type="auto"/>
            <w:vAlign w:val="center"/>
          </w:tcPr>
          <w:p w14:paraId="5EAD1AC4" w14:textId="55250474" w:rsidR="00EE10C6" w:rsidRPr="00EA1BB2" w:rsidRDefault="00EE10C6" w:rsidP="00561B9C">
            <w:pPr>
              <w:jc w:val="center"/>
              <w:rPr>
                <w:rFonts w:ascii="Cambria" w:hAnsi="Cambria"/>
                <w:lang w:val="ro-RO"/>
              </w:rPr>
            </w:pPr>
            <w:r w:rsidRPr="00EA1BB2">
              <w:rPr>
                <w:rFonts w:ascii="Cambria" w:hAnsi="Cambria"/>
                <w:lang w:val="ro-RO"/>
              </w:rPr>
              <w:t>17,499</w:t>
            </w:r>
          </w:p>
        </w:tc>
      </w:tr>
      <w:tr w:rsidR="00EE10C6" w:rsidRPr="00EA1BB2" w14:paraId="6C4FF85D" w14:textId="77777777" w:rsidTr="00EE10C6">
        <w:trPr>
          <w:trHeight w:val="57"/>
          <w:jc w:val="center"/>
        </w:trPr>
        <w:tc>
          <w:tcPr>
            <w:tcW w:w="1951" w:type="dxa"/>
            <w:vAlign w:val="center"/>
          </w:tcPr>
          <w:p w14:paraId="7FFF939C" w14:textId="77777777" w:rsidR="00EE10C6" w:rsidRPr="00EA1BB2" w:rsidRDefault="00EE10C6" w:rsidP="00561B9C">
            <w:pPr>
              <w:autoSpaceDE w:val="0"/>
              <w:autoSpaceDN w:val="0"/>
              <w:adjustRightInd w:val="0"/>
              <w:jc w:val="center"/>
              <w:rPr>
                <w:rFonts w:ascii="Cambria" w:hAnsi="Cambria"/>
                <w:sz w:val="24"/>
                <w:szCs w:val="24"/>
                <w:lang w:val="ro-RO"/>
              </w:rPr>
            </w:pPr>
            <w:r w:rsidRPr="00EA1BB2">
              <w:rPr>
                <w:rFonts w:ascii="Cambria" w:hAnsi="Cambria"/>
                <w:sz w:val="24"/>
                <w:szCs w:val="24"/>
                <w:lang w:val="ro-RO"/>
              </w:rPr>
              <w:t xml:space="preserve">Benzen </w:t>
            </w:r>
          </w:p>
          <w:p w14:paraId="5A053968" w14:textId="0ACEB5BF" w:rsidR="00EE10C6" w:rsidRPr="00EA1BB2" w:rsidRDefault="00EE10C6" w:rsidP="00561B9C">
            <w:pPr>
              <w:jc w:val="center"/>
              <w:rPr>
                <w:rFonts w:ascii="Cambria" w:hAnsi="Cambria"/>
                <w:sz w:val="24"/>
                <w:szCs w:val="24"/>
                <w:lang w:val="ro-RO"/>
              </w:rPr>
            </w:pPr>
            <w:r w:rsidRPr="00EA1BB2">
              <w:rPr>
                <w:rFonts w:ascii="Cambria" w:hAnsi="Cambria"/>
                <w:sz w:val="24"/>
                <w:szCs w:val="24"/>
                <w:lang w:val="ro-RO"/>
              </w:rPr>
              <w:t>(C</w:t>
            </w:r>
            <w:r w:rsidRPr="00EA1BB2">
              <w:rPr>
                <w:rFonts w:ascii="Cambria" w:hAnsi="Cambria"/>
                <w:sz w:val="24"/>
                <w:szCs w:val="24"/>
                <w:vertAlign w:val="subscript"/>
                <w:lang w:val="ro-RO"/>
              </w:rPr>
              <w:t>6</w:t>
            </w:r>
            <w:r w:rsidRPr="00EA1BB2">
              <w:rPr>
                <w:rFonts w:ascii="Cambria" w:hAnsi="Cambria"/>
                <w:sz w:val="24"/>
                <w:szCs w:val="24"/>
                <w:lang w:val="ro-RO"/>
              </w:rPr>
              <w:t>H</w:t>
            </w:r>
            <w:r w:rsidRPr="00EA1BB2">
              <w:rPr>
                <w:rFonts w:ascii="Cambria" w:hAnsi="Cambria"/>
                <w:sz w:val="24"/>
                <w:szCs w:val="24"/>
                <w:vertAlign w:val="subscript"/>
                <w:lang w:val="ro-RO"/>
              </w:rPr>
              <w:t>6</w:t>
            </w:r>
            <w:r w:rsidRPr="00EA1BB2">
              <w:rPr>
                <w:rFonts w:ascii="Cambria" w:hAnsi="Cambria"/>
                <w:sz w:val="24"/>
                <w:szCs w:val="24"/>
                <w:lang w:val="ro-RO"/>
              </w:rPr>
              <w:t>)</w:t>
            </w:r>
          </w:p>
        </w:tc>
        <w:tc>
          <w:tcPr>
            <w:tcW w:w="1134" w:type="dxa"/>
            <w:vAlign w:val="center"/>
          </w:tcPr>
          <w:p w14:paraId="15782872" w14:textId="371F0D6B" w:rsidR="00EE10C6" w:rsidRPr="00EA1BB2" w:rsidRDefault="00EE10C6" w:rsidP="00561B9C">
            <w:pPr>
              <w:jc w:val="center"/>
              <w:rPr>
                <w:rFonts w:ascii="Cambria" w:hAnsi="Cambria"/>
                <w:sz w:val="24"/>
                <w:szCs w:val="24"/>
                <w:lang w:val="ro-RO"/>
              </w:rPr>
            </w:pPr>
            <w:r w:rsidRPr="00EA1BB2">
              <w:rPr>
                <w:rFonts w:ascii="Cambria" w:hAnsi="Cambria"/>
                <w:sz w:val="24"/>
                <w:szCs w:val="24"/>
                <w:lang w:val="ro-RO"/>
              </w:rPr>
              <w:t>(µg/m</w:t>
            </w:r>
            <w:r w:rsidRPr="00EA1BB2">
              <w:rPr>
                <w:rFonts w:ascii="Cambria" w:hAnsi="Cambria"/>
                <w:bCs/>
                <w:sz w:val="24"/>
                <w:szCs w:val="24"/>
                <w:vertAlign w:val="superscript"/>
                <w:lang w:val="ro-RO"/>
              </w:rPr>
              <w:t>3</w:t>
            </w:r>
            <w:r w:rsidRPr="00EA1BB2">
              <w:rPr>
                <w:rFonts w:ascii="Cambria" w:hAnsi="Cambria"/>
                <w:sz w:val="24"/>
                <w:szCs w:val="24"/>
                <w:lang w:val="ro-RO"/>
              </w:rPr>
              <w:t>)</w:t>
            </w:r>
          </w:p>
        </w:tc>
        <w:tc>
          <w:tcPr>
            <w:tcW w:w="1062" w:type="dxa"/>
            <w:vAlign w:val="center"/>
          </w:tcPr>
          <w:p w14:paraId="6963250B" w14:textId="50D1557A" w:rsidR="00EE10C6" w:rsidRPr="00EA1BB2" w:rsidRDefault="00EE10C6" w:rsidP="00561B9C">
            <w:pPr>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5</w:t>
            </w:r>
          </w:p>
        </w:tc>
        <w:tc>
          <w:tcPr>
            <w:tcW w:w="784" w:type="dxa"/>
            <w:vAlign w:val="center"/>
          </w:tcPr>
          <w:p w14:paraId="1B911554" w14:textId="09C91765" w:rsidR="00EE10C6" w:rsidRPr="00EA1BB2" w:rsidRDefault="00EE10C6" w:rsidP="00561B9C">
            <w:pPr>
              <w:jc w:val="center"/>
              <w:rPr>
                <w:rFonts w:ascii="Cambria" w:hAnsi="Cambria"/>
                <w:lang w:val="ro-RO"/>
              </w:rPr>
            </w:pPr>
            <w:r w:rsidRPr="00EA1BB2">
              <w:rPr>
                <w:rFonts w:ascii="Cambria" w:hAnsi="Cambria"/>
                <w:lang w:val="ro-RO"/>
              </w:rPr>
              <w:t>-</w:t>
            </w:r>
          </w:p>
        </w:tc>
        <w:tc>
          <w:tcPr>
            <w:tcW w:w="0" w:type="auto"/>
            <w:noWrap/>
            <w:vAlign w:val="center"/>
          </w:tcPr>
          <w:p w14:paraId="27EBF46F" w14:textId="02932AA7" w:rsidR="00EE10C6" w:rsidRPr="00EA1BB2" w:rsidRDefault="00EE10C6" w:rsidP="00561B9C">
            <w:pPr>
              <w:jc w:val="center"/>
              <w:rPr>
                <w:rFonts w:ascii="Cambria" w:hAnsi="Cambria"/>
                <w:lang w:val="ro-RO"/>
              </w:rPr>
            </w:pPr>
            <w:r w:rsidRPr="00EA1BB2">
              <w:rPr>
                <w:rFonts w:ascii="Cambria" w:hAnsi="Cambria"/>
                <w:lang w:val="ro-RO"/>
              </w:rPr>
              <w:t>1,284</w:t>
            </w:r>
          </w:p>
        </w:tc>
        <w:tc>
          <w:tcPr>
            <w:tcW w:w="0" w:type="auto"/>
            <w:vAlign w:val="center"/>
          </w:tcPr>
          <w:p w14:paraId="220D13A7" w14:textId="62D7FB8B" w:rsidR="00EE10C6" w:rsidRPr="00EA1BB2" w:rsidRDefault="00EE10C6" w:rsidP="00561B9C">
            <w:pPr>
              <w:jc w:val="center"/>
              <w:rPr>
                <w:rFonts w:ascii="Cambria" w:hAnsi="Cambria"/>
                <w:lang w:val="ro-RO"/>
              </w:rPr>
            </w:pPr>
            <w:r w:rsidRPr="00EA1BB2">
              <w:rPr>
                <w:rFonts w:ascii="Cambria" w:hAnsi="Cambria"/>
                <w:lang w:val="ro-RO"/>
              </w:rPr>
              <w:t>1,284</w:t>
            </w:r>
          </w:p>
        </w:tc>
        <w:tc>
          <w:tcPr>
            <w:tcW w:w="0" w:type="auto"/>
            <w:vAlign w:val="center"/>
          </w:tcPr>
          <w:p w14:paraId="6AB7B286" w14:textId="12D9EA27" w:rsidR="00EE10C6" w:rsidRPr="00EA1BB2" w:rsidRDefault="00EE10C6" w:rsidP="00561B9C">
            <w:pPr>
              <w:jc w:val="center"/>
              <w:rPr>
                <w:rFonts w:ascii="Cambria" w:hAnsi="Cambria"/>
                <w:lang w:val="ro-RO"/>
              </w:rPr>
            </w:pPr>
            <w:r w:rsidRPr="00EA1BB2">
              <w:rPr>
                <w:rFonts w:ascii="Cambria" w:hAnsi="Cambria"/>
                <w:lang w:val="ro-RO"/>
              </w:rPr>
              <w:t>1,177</w:t>
            </w:r>
          </w:p>
        </w:tc>
        <w:tc>
          <w:tcPr>
            <w:tcW w:w="0" w:type="auto"/>
            <w:vAlign w:val="center"/>
          </w:tcPr>
          <w:p w14:paraId="2448BC1D" w14:textId="4CF89ECD" w:rsidR="00EE10C6" w:rsidRPr="00EA1BB2" w:rsidRDefault="00EE10C6" w:rsidP="00561B9C">
            <w:pPr>
              <w:jc w:val="center"/>
              <w:rPr>
                <w:rFonts w:ascii="Cambria" w:hAnsi="Cambria"/>
                <w:lang w:val="ro-RO"/>
              </w:rPr>
            </w:pPr>
            <w:r w:rsidRPr="00EA1BB2">
              <w:rPr>
                <w:rFonts w:ascii="Cambria" w:hAnsi="Cambria"/>
                <w:lang w:val="ro-RO"/>
              </w:rPr>
              <w:t>1,227</w:t>
            </w:r>
          </w:p>
        </w:tc>
        <w:tc>
          <w:tcPr>
            <w:tcW w:w="0" w:type="auto"/>
            <w:vAlign w:val="center"/>
          </w:tcPr>
          <w:p w14:paraId="15655A90" w14:textId="78F106FF" w:rsidR="00EE10C6" w:rsidRPr="00EA1BB2" w:rsidRDefault="00EE10C6" w:rsidP="00561B9C">
            <w:pPr>
              <w:jc w:val="center"/>
              <w:rPr>
                <w:rFonts w:ascii="Cambria" w:hAnsi="Cambria"/>
                <w:lang w:val="ro-RO"/>
              </w:rPr>
            </w:pPr>
            <w:r w:rsidRPr="00EA1BB2">
              <w:rPr>
                <w:rFonts w:ascii="Cambria" w:hAnsi="Cambria"/>
                <w:lang w:val="ro-RO"/>
              </w:rPr>
              <w:t>1,173</w:t>
            </w:r>
          </w:p>
        </w:tc>
      </w:tr>
      <w:tr w:rsidR="00EE10C6" w:rsidRPr="00EA1BB2" w14:paraId="65BEA5B9" w14:textId="77777777" w:rsidTr="00EE10C6">
        <w:trPr>
          <w:trHeight w:val="57"/>
          <w:jc w:val="center"/>
        </w:trPr>
        <w:tc>
          <w:tcPr>
            <w:tcW w:w="1951" w:type="dxa"/>
            <w:vAlign w:val="center"/>
          </w:tcPr>
          <w:p w14:paraId="51A64D63" w14:textId="77777777" w:rsidR="00EE10C6" w:rsidRPr="00EA1BB2" w:rsidRDefault="00EE10C6" w:rsidP="00561B9C">
            <w:pPr>
              <w:jc w:val="center"/>
              <w:rPr>
                <w:rFonts w:ascii="Cambria" w:hAnsi="Cambria"/>
                <w:sz w:val="24"/>
                <w:szCs w:val="24"/>
                <w:lang w:val="ro-RO"/>
              </w:rPr>
            </w:pPr>
            <w:r w:rsidRPr="00EA1BB2">
              <w:rPr>
                <w:rFonts w:ascii="Cambria" w:hAnsi="Cambria"/>
                <w:sz w:val="24"/>
                <w:szCs w:val="24"/>
                <w:lang w:val="ro-RO"/>
              </w:rPr>
              <w:t>Nichel</w:t>
            </w:r>
          </w:p>
          <w:p w14:paraId="0EC5A952" w14:textId="73F3A667" w:rsidR="00EE10C6" w:rsidRPr="00EA1BB2" w:rsidRDefault="00EE10C6" w:rsidP="00561B9C">
            <w:pPr>
              <w:jc w:val="center"/>
              <w:rPr>
                <w:rFonts w:ascii="Cambria" w:hAnsi="Cambria"/>
                <w:sz w:val="24"/>
                <w:szCs w:val="24"/>
                <w:lang w:val="ro-RO"/>
              </w:rPr>
            </w:pPr>
            <w:r w:rsidRPr="00EA1BB2">
              <w:rPr>
                <w:rFonts w:ascii="Cambria" w:hAnsi="Cambria"/>
                <w:sz w:val="24"/>
                <w:szCs w:val="24"/>
                <w:lang w:val="ro-RO"/>
              </w:rPr>
              <w:t>(Ni)</w:t>
            </w:r>
          </w:p>
        </w:tc>
        <w:tc>
          <w:tcPr>
            <w:tcW w:w="1134" w:type="dxa"/>
            <w:vAlign w:val="center"/>
          </w:tcPr>
          <w:p w14:paraId="4FFD57A0" w14:textId="6543BCA5" w:rsidR="00EE10C6" w:rsidRPr="00EA1BB2" w:rsidRDefault="00EE10C6" w:rsidP="00561B9C">
            <w:pPr>
              <w:jc w:val="center"/>
              <w:rPr>
                <w:rFonts w:ascii="Cambria" w:hAnsi="Cambria"/>
                <w:sz w:val="24"/>
                <w:szCs w:val="24"/>
                <w:lang w:val="ro-RO"/>
              </w:rPr>
            </w:pPr>
            <w:r w:rsidRPr="00EA1BB2">
              <w:rPr>
                <w:rFonts w:ascii="Cambria" w:hAnsi="Cambria"/>
                <w:sz w:val="24"/>
                <w:szCs w:val="24"/>
                <w:lang w:val="ro-RO"/>
              </w:rPr>
              <w:t>(ng/m</w:t>
            </w:r>
            <w:r w:rsidRPr="00EA1BB2">
              <w:rPr>
                <w:rFonts w:ascii="Cambria" w:hAnsi="Cambria"/>
                <w:bCs/>
                <w:sz w:val="24"/>
                <w:szCs w:val="24"/>
                <w:vertAlign w:val="superscript"/>
                <w:lang w:val="ro-RO"/>
              </w:rPr>
              <w:t>3</w:t>
            </w:r>
            <w:r w:rsidRPr="00EA1BB2">
              <w:rPr>
                <w:rFonts w:ascii="Cambria" w:hAnsi="Cambria"/>
                <w:sz w:val="24"/>
                <w:szCs w:val="24"/>
                <w:lang w:val="ro-RO"/>
              </w:rPr>
              <w:t>)</w:t>
            </w:r>
          </w:p>
        </w:tc>
        <w:tc>
          <w:tcPr>
            <w:tcW w:w="1062" w:type="dxa"/>
            <w:vAlign w:val="center"/>
          </w:tcPr>
          <w:p w14:paraId="349CCA23" w14:textId="2C5DE901" w:rsidR="00EE10C6" w:rsidRPr="00EA1BB2" w:rsidRDefault="00EE10C6" w:rsidP="00561B9C">
            <w:pPr>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20</w:t>
            </w:r>
          </w:p>
        </w:tc>
        <w:tc>
          <w:tcPr>
            <w:tcW w:w="784" w:type="dxa"/>
            <w:vAlign w:val="center"/>
          </w:tcPr>
          <w:p w14:paraId="7E036DD0" w14:textId="29C086DC" w:rsidR="00EE10C6" w:rsidRPr="00EA1BB2" w:rsidRDefault="00EE10C6" w:rsidP="00561B9C">
            <w:pPr>
              <w:jc w:val="center"/>
              <w:rPr>
                <w:rFonts w:ascii="Cambria" w:hAnsi="Cambria"/>
                <w:lang w:val="ro-RO"/>
              </w:rPr>
            </w:pPr>
            <w:r w:rsidRPr="00EA1BB2">
              <w:rPr>
                <w:rFonts w:ascii="Cambria" w:hAnsi="Cambria"/>
                <w:lang w:val="ro-RO"/>
              </w:rPr>
              <w:t>-</w:t>
            </w:r>
          </w:p>
        </w:tc>
        <w:tc>
          <w:tcPr>
            <w:tcW w:w="0" w:type="auto"/>
            <w:noWrap/>
            <w:vAlign w:val="center"/>
          </w:tcPr>
          <w:p w14:paraId="6498C13E" w14:textId="5A0261F0" w:rsidR="00EE10C6" w:rsidRPr="00EA1BB2" w:rsidRDefault="00EE10C6" w:rsidP="00561B9C">
            <w:pPr>
              <w:jc w:val="center"/>
              <w:rPr>
                <w:rFonts w:ascii="Cambria" w:hAnsi="Cambria"/>
                <w:lang w:val="ro-RO"/>
              </w:rPr>
            </w:pPr>
            <w:r w:rsidRPr="00EA1BB2">
              <w:rPr>
                <w:rFonts w:ascii="Cambria" w:hAnsi="Cambria"/>
                <w:lang w:val="ro-RO"/>
              </w:rPr>
              <w:t>0,620</w:t>
            </w:r>
          </w:p>
        </w:tc>
        <w:tc>
          <w:tcPr>
            <w:tcW w:w="0" w:type="auto"/>
            <w:vAlign w:val="center"/>
          </w:tcPr>
          <w:p w14:paraId="533A4AF4" w14:textId="287420FC" w:rsidR="00EE10C6" w:rsidRPr="00EA1BB2" w:rsidRDefault="00EE10C6" w:rsidP="00561B9C">
            <w:pPr>
              <w:jc w:val="center"/>
              <w:rPr>
                <w:rFonts w:ascii="Cambria" w:hAnsi="Cambria"/>
                <w:lang w:val="ro-RO"/>
              </w:rPr>
            </w:pPr>
            <w:r w:rsidRPr="00EA1BB2">
              <w:rPr>
                <w:rFonts w:ascii="Cambria" w:hAnsi="Cambria"/>
                <w:lang w:val="ro-RO"/>
              </w:rPr>
              <w:t>0,584</w:t>
            </w:r>
          </w:p>
        </w:tc>
        <w:tc>
          <w:tcPr>
            <w:tcW w:w="0" w:type="auto"/>
            <w:vAlign w:val="center"/>
          </w:tcPr>
          <w:p w14:paraId="7E5A4DE6" w14:textId="0A223380" w:rsidR="00EE10C6" w:rsidRPr="00EA1BB2" w:rsidRDefault="00EE10C6" w:rsidP="00561B9C">
            <w:pPr>
              <w:jc w:val="center"/>
              <w:rPr>
                <w:rFonts w:ascii="Cambria" w:hAnsi="Cambria"/>
                <w:lang w:val="ro-RO"/>
              </w:rPr>
            </w:pPr>
            <w:r w:rsidRPr="00EA1BB2">
              <w:rPr>
                <w:rFonts w:ascii="Cambria" w:hAnsi="Cambria"/>
                <w:lang w:val="ro-RO"/>
              </w:rPr>
              <w:t>0,768</w:t>
            </w:r>
          </w:p>
        </w:tc>
        <w:tc>
          <w:tcPr>
            <w:tcW w:w="0" w:type="auto"/>
            <w:vAlign w:val="center"/>
          </w:tcPr>
          <w:p w14:paraId="696B79E5" w14:textId="5D1E61B5" w:rsidR="00EE10C6" w:rsidRPr="00EA1BB2" w:rsidRDefault="00EE10C6" w:rsidP="00561B9C">
            <w:pPr>
              <w:jc w:val="center"/>
              <w:rPr>
                <w:rFonts w:ascii="Cambria" w:hAnsi="Cambria"/>
                <w:lang w:val="ro-RO"/>
              </w:rPr>
            </w:pPr>
            <w:r w:rsidRPr="00EA1BB2">
              <w:rPr>
                <w:rFonts w:ascii="Cambria" w:hAnsi="Cambria"/>
                <w:lang w:val="ro-RO"/>
              </w:rPr>
              <w:t>0,672</w:t>
            </w:r>
          </w:p>
        </w:tc>
        <w:tc>
          <w:tcPr>
            <w:tcW w:w="0" w:type="auto"/>
            <w:vAlign w:val="center"/>
          </w:tcPr>
          <w:p w14:paraId="5B304472" w14:textId="71973D09" w:rsidR="00EE10C6" w:rsidRPr="00EA1BB2" w:rsidRDefault="00EE10C6" w:rsidP="00561B9C">
            <w:pPr>
              <w:jc w:val="center"/>
              <w:rPr>
                <w:rFonts w:ascii="Cambria" w:hAnsi="Cambria"/>
                <w:lang w:val="ro-RO"/>
              </w:rPr>
            </w:pPr>
            <w:r w:rsidRPr="00EA1BB2">
              <w:rPr>
                <w:rFonts w:ascii="Cambria" w:hAnsi="Cambria"/>
                <w:lang w:val="ro-RO"/>
              </w:rPr>
              <w:t>0,771</w:t>
            </w:r>
          </w:p>
        </w:tc>
      </w:tr>
      <w:tr w:rsidR="00EE10C6" w:rsidRPr="00EA1BB2" w14:paraId="193C2E8C" w14:textId="77777777" w:rsidTr="00EE10C6">
        <w:trPr>
          <w:trHeight w:val="57"/>
          <w:jc w:val="center"/>
        </w:trPr>
        <w:tc>
          <w:tcPr>
            <w:tcW w:w="1951" w:type="dxa"/>
            <w:vAlign w:val="center"/>
          </w:tcPr>
          <w:p w14:paraId="51271826" w14:textId="77777777" w:rsidR="00EE10C6" w:rsidRPr="00EA1BB2" w:rsidRDefault="00EE10C6" w:rsidP="00561B9C">
            <w:pPr>
              <w:jc w:val="center"/>
              <w:rPr>
                <w:rFonts w:ascii="Cambria" w:hAnsi="Cambria"/>
                <w:sz w:val="24"/>
                <w:szCs w:val="24"/>
                <w:lang w:val="ro-RO"/>
              </w:rPr>
            </w:pPr>
            <w:r w:rsidRPr="00EA1BB2">
              <w:rPr>
                <w:rFonts w:ascii="Cambria" w:hAnsi="Cambria"/>
                <w:sz w:val="24"/>
                <w:szCs w:val="24"/>
                <w:lang w:val="ro-RO"/>
              </w:rPr>
              <w:t>Dioxid de sulf</w:t>
            </w:r>
          </w:p>
          <w:p w14:paraId="27C03457" w14:textId="63D638ED" w:rsidR="00EE10C6" w:rsidRPr="00EA1BB2" w:rsidRDefault="00EE10C6" w:rsidP="00561B9C">
            <w:pPr>
              <w:jc w:val="center"/>
              <w:rPr>
                <w:rFonts w:ascii="Cambria" w:hAnsi="Cambria"/>
                <w:sz w:val="24"/>
                <w:szCs w:val="24"/>
                <w:lang w:val="ro-RO"/>
              </w:rPr>
            </w:pPr>
            <w:r w:rsidRPr="00EA1BB2">
              <w:rPr>
                <w:rFonts w:ascii="Cambria" w:hAnsi="Cambria"/>
                <w:sz w:val="24"/>
                <w:szCs w:val="24"/>
                <w:lang w:val="ro-RO"/>
              </w:rPr>
              <w:t>(SO</w:t>
            </w:r>
            <w:r w:rsidRPr="00EA1BB2">
              <w:rPr>
                <w:rFonts w:ascii="Cambria" w:hAnsi="Cambria"/>
                <w:sz w:val="24"/>
                <w:szCs w:val="24"/>
                <w:vertAlign w:val="subscript"/>
                <w:lang w:val="ro-RO"/>
              </w:rPr>
              <w:t>2</w:t>
            </w:r>
            <w:r w:rsidRPr="00EA1BB2">
              <w:rPr>
                <w:rFonts w:ascii="Cambria" w:hAnsi="Cambria"/>
                <w:sz w:val="24"/>
                <w:szCs w:val="24"/>
                <w:lang w:val="ro-RO"/>
              </w:rPr>
              <w:t>)</w:t>
            </w:r>
          </w:p>
        </w:tc>
        <w:tc>
          <w:tcPr>
            <w:tcW w:w="1134" w:type="dxa"/>
            <w:vAlign w:val="center"/>
          </w:tcPr>
          <w:p w14:paraId="13A4AE6C" w14:textId="2C52D51C" w:rsidR="00EE10C6" w:rsidRPr="00EA1BB2" w:rsidRDefault="00EE10C6" w:rsidP="00561B9C">
            <w:pPr>
              <w:jc w:val="center"/>
              <w:rPr>
                <w:rFonts w:ascii="Cambria" w:hAnsi="Cambria"/>
                <w:sz w:val="24"/>
                <w:szCs w:val="24"/>
                <w:lang w:val="ro-RO"/>
              </w:rPr>
            </w:pPr>
            <w:r w:rsidRPr="00EA1BB2">
              <w:rPr>
                <w:rFonts w:ascii="Cambria" w:hAnsi="Cambria"/>
                <w:sz w:val="24"/>
                <w:szCs w:val="24"/>
                <w:lang w:val="ro-RO"/>
              </w:rPr>
              <w:t>(µg/m</w:t>
            </w:r>
            <w:r w:rsidRPr="00EA1BB2">
              <w:rPr>
                <w:rFonts w:ascii="Cambria" w:hAnsi="Cambria"/>
                <w:bCs/>
                <w:sz w:val="24"/>
                <w:szCs w:val="24"/>
                <w:vertAlign w:val="superscript"/>
                <w:lang w:val="ro-RO"/>
              </w:rPr>
              <w:t>3</w:t>
            </w:r>
            <w:r w:rsidRPr="00EA1BB2">
              <w:rPr>
                <w:rFonts w:ascii="Cambria" w:hAnsi="Cambria"/>
                <w:sz w:val="24"/>
                <w:szCs w:val="24"/>
                <w:lang w:val="ro-RO"/>
              </w:rPr>
              <w:t>)</w:t>
            </w:r>
          </w:p>
        </w:tc>
        <w:tc>
          <w:tcPr>
            <w:tcW w:w="1062" w:type="dxa"/>
            <w:vAlign w:val="center"/>
          </w:tcPr>
          <w:p w14:paraId="619B8D1A" w14:textId="62C09DA3" w:rsidR="00EE10C6" w:rsidRPr="00EA1BB2" w:rsidRDefault="00EE10C6" w:rsidP="00561B9C">
            <w:pPr>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784" w:type="dxa"/>
            <w:vAlign w:val="center"/>
          </w:tcPr>
          <w:p w14:paraId="27810387" w14:textId="126C6C9B" w:rsidR="00EE10C6" w:rsidRPr="00EA1BB2" w:rsidRDefault="00EE10C6" w:rsidP="00561B9C">
            <w:pPr>
              <w:jc w:val="center"/>
              <w:rPr>
                <w:rFonts w:ascii="Cambria" w:hAnsi="Cambria"/>
                <w:lang w:val="ro-RO"/>
              </w:rPr>
            </w:pPr>
            <w:r w:rsidRPr="00EA1BB2">
              <w:rPr>
                <w:rFonts w:ascii="Cambria" w:hAnsi="Cambria"/>
                <w:lang w:val="ro-RO"/>
              </w:rPr>
              <w:t>20</w:t>
            </w:r>
          </w:p>
        </w:tc>
        <w:tc>
          <w:tcPr>
            <w:tcW w:w="0" w:type="auto"/>
            <w:noWrap/>
            <w:vAlign w:val="center"/>
          </w:tcPr>
          <w:p w14:paraId="1B7106CC" w14:textId="648F297C" w:rsidR="00EE10C6" w:rsidRPr="00EA1BB2" w:rsidRDefault="00EE10C6" w:rsidP="00561B9C">
            <w:pPr>
              <w:jc w:val="center"/>
              <w:rPr>
                <w:rFonts w:ascii="Cambria" w:hAnsi="Cambria"/>
                <w:lang w:val="ro-RO"/>
              </w:rPr>
            </w:pPr>
            <w:r w:rsidRPr="00EA1BB2">
              <w:rPr>
                <w:rFonts w:ascii="Cambria" w:hAnsi="Cambria"/>
                <w:lang w:val="ro-RO"/>
              </w:rPr>
              <w:t>3,111</w:t>
            </w:r>
          </w:p>
        </w:tc>
        <w:tc>
          <w:tcPr>
            <w:tcW w:w="0" w:type="auto"/>
            <w:vAlign w:val="center"/>
          </w:tcPr>
          <w:p w14:paraId="5A1E6ECA" w14:textId="63375635" w:rsidR="00EE10C6" w:rsidRPr="00EA1BB2" w:rsidRDefault="00EE10C6" w:rsidP="00561B9C">
            <w:pPr>
              <w:jc w:val="center"/>
              <w:rPr>
                <w:rFonts w:ascii="Cambria" w:hAnsi="Cambria"/>
                <w:lang w:val="ro-RO"/>
              </w:rPr>
            </w:pPr>
            <w:r w:rsidRPr="00EA1BB2">
              <w:rPr>
                <w:rFonts w:ascii="Cambria" w:hAnsi="Cambria"/>
                <w:lang w:val="ro-RO"/>
              </w:rPr>
              <w:t>3,089</w:t>
            </w:r>
          </w:p>
        </w:tc>
        <w:tc>
          <w:tcPr>
            <w:tcW w:w="0" w:type="auto"/>
            <w:vAlign w:val="center"/>
          </w:tcPr>
          <w:p w14:paraId="5C8D1B71" w14:textId="5CF31920" w:rsidR="00EE10C6" w:rsidRPr="00EA1BB2" w:rsidRDefault="00EE10C6" w:rsidP="00561B9C">
            <w:pPr>
              <w:jc w:val="center"/>
              <w:rPr>
                <w:rFonts w:ascii="Cambria" w:hAnsi="Cambria"/>
                <w:lang w:val="ro-RO"/>
              </w:rPr>
            </w:pPr>
            <w:r w:rsidRPr="00EA1BB2">
              <w:rPr>
                <w:rFonts w:ascii="Cambria" w:hAnsi="Cambria"/>
                <w:lang w:val="ro-RO"/>
              </w:rPr>
              <w:t>3,680</w:t>
            </w:r>
          </w:p>
        </w:tc>
        <w:tc>
          <w:tcPr>
            <w:tcW w:w="0" w:type="auto"/>
            <w:vAlign w:val="center"/>
          </w:tcPr>
          <w:p w14:paraId="2C6292A5" w14:textId="7517D3B6" w:rsidR="00EE10C6" w:rsidRPr="00EA1BB2" w:rsidRDefault="00EE10C6" w:rsidP="00561B9C">
            <w:pPr>
              <w:jc w:val="center"/>
              <w:rPr>
                <w:rFonts w:ascii="Cambria" w:hAnsi="Cambria"/>
                <w:lang w:val="ro-RO"/>
              </w:rPr>
            </w:pPr>
            <w:r w:rsidRPr="00EA1BB2">
              <w:rPr>
                <w:rFonts w:ascii="Cambria" w:hAnsi="Cambria"/>
                <w:lang w:val="ro-RO"/>
              </w:rPr>
              <w:t>3,109</w:t>
            </w:r>
          </w:p>
        </w:tc>
        <w:tc>
          <w:tcPr>
            <w:tcW w:w="0" w:type="auto"/>
            <w:vAlign w:val="center"/>
          </w:tcPr>
          <w:p w14:paraId="5CA0A08D" w14:textId="2E21ED52" w:rsidR="00EE10C6" w:rsidRPr="00EA1BB2" w:rsidRDefault="00EE10C6" w:rsidP="00561B9C">
            <w:pPr>
              <w:jc w:val="center"/>
              <w:rPr>
                <w:rFonts w:ascii="Cambria" w:hAnsi="Cambria"/>
                <w:lang w:val="ro-RO"/>
              </w:rPr>
            </w:pPr>
            <w:r w:rsidRPr="00EA1BB2">
              <w:rPr>
                <w:rFonts w:ascii="Cambria" w:hAnsi="Cambria"/>
                <w:lang w:val="ro-RO"/>
              </w:rPr>
              <w:t>3,681</w:t>
            </w:r>
          </w:p>
        </w:tc>
      </w:tr>
      <w:tr w:rsidR="00EE10C6" w:rsidRPr="00EA1BB2" w14:paraId="760B4749" w14:textId="77777777" w:rsidTr="00EE10C6">
        <w:trPr>
          <w:trHeight w:val="57"/>
          <w:jc w:val="center"/>
        </w:trPr>
        <w:tc>
          <w:tcPr>
            <w:tcW w:w="1951" w:type="dxa"/>
            <w:vAlign w:val="center"/>
          </w:tcPr>
          <w:p w14:paraId="157A4C43" w14:textId="0072162C" w:rsidR="00EE10C6" w:rsidRPr="00EA1BB2" w:rsidRDefault="00EE10C6" w:rsidP="00561B9C">
            <w:pPr>
              <w:jc w:val="center"/>
              <w:rPr>
                <w:rFonts w:ascii="Cambria" w:hAnsi="Cambria"/>
                <w:sz w:val="24"/>
                <w:szCs w:val="24"/>
                <w:lang w:val="ro-RO"/>
              </w:rPr>
            </w:pPr>
            <w:r w:rsidRPr="00EA1BB2">
              <w:rPr>
                <w:rFonts w:ascii="Cambria" w:hAnsi="Cambria"/>
                <w:sz w:val="24"/>
                <w:szCs w:val="24"/>
                <w:lang w:val="ro-RO"/>
              </w:rPr>
              <w:t>Monoxid de carbon (CO)**</w:t>
            </w:r>
          </w:p>
        </w:tc>
        <w:tc>
          <w:tcPr>
            <w:tcW w:w="1134" w:type="dxa"/>
            <w:vAlign w:val="center"/>
          </w:tcPr>
          <w:p w14:paraId="0FCC54A6" w14:textId="33C945DD" w:rsidR="00EE10C6" w:rsidRPr="00EA1BB2" w:rsidRDefault="00EE10C6" w:rsidP="00561B9C">
            <w:pPr>
              <w:jc w:val="center"/>
              <w:rPr>
                <w:rFonts w:ascii="Cambria" w:hAnsi="Cambria"/>
                <w:sz w:val="24"/>
                <w:szCs w:val="24"/>
                <w:lang w:val="ro-RO"/>
              </w:rPr>
            </w:pPr>
            <w:r w:rsidRPr="00EA1BB2">
              <w:rPr>
                <w:rFonts w:ascii="Cambria" w:hAnsi="Cambria"/>
                <w:sz w:val="24"/>
                <w:szCs w:val="24"/>
                <w:lang w:val="ro-RO"/>
              </w:rPr>
              <w:t>(mg/m</w:t>
            </w:r>
            <w:r w:rsidRPr="00EA1BB2">
              <w:rPr>
                <w:rFonts w:ascii="Cambria" w:hAnsi="Cambria"/>
                <w:bCs/>
                <w:sz w:val="24"/>
                <w:szCs w:val="24"/>
                <w:vertAlign w:val="superscript"/>
                <w:lang w:val="ro-RO"/>
              </w:rPr>
              <w:t>3</w:t>
            </w:r>
            <w:r w:rsidRPr="00EA1BB2">
              <w:rPr>
                <w:rFonts w:ascii="Cambria" w:hAnsi="Cambria"/>
                <w:sz w:val="24"/>
                <w:szCs w:val="24"/>
                <w:lang w:val="ro-RO"/>
              </w:rPr>
              <w:t>)</w:t>
            </w:r>
          </w:p>
        </w:tc>
        <w:tc>
          <w:tcPr>
            <w:tcW w:w="1062" w:type="dxa"/>
            <w:vAlign w:val="center"/>
          </w:tcPr>
          <w:p w14:paraId="3B07A6B1" w14:textId="122C0D5C" w:rsidR="00EE10C6" w:rsidRPr="00EA1BB2" w:rsidRDefault="00EE10C6" w:rsidP="00561B9C">
            <w:pPr>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w:t>
            </w:r>
          </w:p>
        </w:tc>
        <w:tc>
          <w:tcPr>
            <w:tcW w:w="784" w:type="dxa"/>
            <w:vAlign w:val="center"/>
          </w:tcPr>
          <w:p w14:paraId="2F92ACF1" w14:textId="3F094E79" w:rsidR="00EE10C6" w:rsidRPr="00EA1BB2" w:rsidRDefault="00EE10C6" w:rsidP="00561B9C">
            <w:pPr>
              <w:jc w:val="center"/>
              <w:rPr>
                <w:rFonts w:ascii="Cambria" w:hAnsi="Cambria"/>
                <w:lang w:val="ro-RO"/>
              </w:rPr>
            </w:pPr>
            <w:r w:rsidRPr="00EA1BB2">
              <w:rPr>
                <w:rFonts w:ascii="Cambria" w:hAnsi="Cambria"/>
                <w:lang w:val="ro-RO"/>
              </w:rPr>
              <w:t>-</w:t>
            </w:r>
          </w:p>
        </w:tc>
        <w:tc>
          <w:tcPr>
            <w:tcW w:w="0" w:type="auto"/>
            <w:noWrap/>
            <w:vAlign w:val="center"/>
          </w:tcPr>
          <w:p w14:paraId="29016ED2" w14:textId="63145FCE" w:rsidR="00EE10C6" w:rsidRPr="00EA1BB2" w:rsidRDefault="00EE10C6" w:rsidP="00561B9C">
            <w:pPr>
              <w:jc w:val="center"/>
              <w:rPr>
                <w:rFonts w:ascii="Cambria" w:hAnsi="Cambria"/>
                <w:lang w:val="ro-RO"/>
              </w:rPr>
            </w:pPr>
            <w:r w:rsidRPr="00EA1BB2">
              <w:rPr>
                <w:rFonts w:ascii="Cambria" w:hAnsi="Cambria"/>
                <w:lang w:val="ro-RO"/>
              </w:rPr>
              <w:t>0,339</w:t>
            </w:r>
          </w:p>
        </w:tc>
        <w:tc>
          <w:tcPr>
            <w:tcW w:w="0" w:type="auto"/>
            <w:vAlign w:val="center"/>
          </w:tcPr>
          <w:p w14:paraId="37053CE4" w14:textId="1FAC5899" w:rsidR="00EE10C6" w:rsidRPr="00EA1BB2" w:rsidRDefault="00EE10C6" w:rsidP="00561B9C">
            <w:pPr>
              <w:jc w:val="center"/>
              <w:rPr>
                <w:rFonts w:ascii="Cambria" w:hAnsi="Cambria"/>
                <w:lang w:val="ro-RO"/>
              </w:rPr>
            </w:pPr>
            <w:r w:rsidRPr="00EA1BB2">
              <w:rPr>
                <w:rFonts w:ascii="Cambria" w:hAnsi="Cambria"/>
                <w:lang w:val="ro-RO"/>
              </w:rPr>
              <w:t>0,338</w:t>
            </w:r>
          </w:p>
        </w:tc>
        <w:tc>
          <w:tcPr>
            <w:tcW w:w="0" w:type="auto"/>
            <w:vAlign w:val="center"/>
          </w:tcPr>
          <w:p w14:paraId="5EFDBF0F" w14:textId="31CFBB9A" w:rsidR="00EE10C6" w:rsidRPr="00EA1BB2" w:rsidRDefault="00EE10C6" w:rsidP="00561B9C">
            <w:pPr>
              <w:jc w:val="center"/>
              <w:rPr>
                <w:rFonts w:ascii="Cambria" w:hAnsi="Cambria"/>
                <w:lang w:val="ro-RO"/>
              </w:rPr>
            </w:pPr>
            <w:r w:rsidRPr="00EA1BB2">
              <w:rPr>
                <w:rFonts w:ascii="Cambria" w:hAnsi="Cambria"/>
                <w:lang w:val="ro-RO"/>
              </w:rPr>
              <w:t>0,653</w:t>
            </w:r>
          </w:p>
        </w:tc>
        <w:tc>
          <w:tcPr>
            <w:tcW w:w="0" w:type="auto"/>
            <w:vAlign w:val="center"/>
          </w:tcPr>
          <w:p w14:paraId="4797802F" w14:textId="095CCA81" w:rsidR="00EE10C6" w:rsidRPr="00EA1BB2" w:rsidRDefault="00EE10C6" w:rsidP="00561B9C">
            <w:pPr>
              <w:jc w:val="center"/>
              <w:rPr>
                <w:rFonts w:ascii="Cambria" w:hAnsi="Cambria"/>
                <w:lang w:val="ro-RO"/>
              </w:rPr>
            </w:pPr>
            <w:r w:rsidRPr="00EA1BB2">
              <w:rPr>
                <w:rFonts w:ascii="Cambria" w:hAnsi="Cambria"/>
                <w:lang w:val="ro-RO"/>
              </w:rPr>
              <w:t>0,428</w:t>
            </w:r>
          </w:p>
        </w:tc>
        <w:tc>
          <w:tcPr>
            <w:tcW w:w="0" w:type="auto"/>
            <w:vAlign w:val="center"/>
          </w:tcPr>
          <w:p w14:paraId="1A1D6DD5" w14:textId="47D17C3F" w:rsidR="00EE10C6" w:rsidRPr="00EA1BB2" w:rsidRDefault="00EE10C6" w:rsidP="00561B9C">
            <w:pPr>
              <w:jc w:val="center"/>
              <w:rPr>
                <w:rFonts w:ascii="Cambria" w:hAnsi="Cambria"/>
                <w:lang w:val="ro-RO"/>
              </w:rPr>
            </w:pPr>
            <w:r w:rsidRPr="00EA1BB2">
              <w:rPr>
                <w:rFonts w:ascii="Cambria" w:hAnsi="Cambria"/>
                <w:lang w:val="ro-RO"/>
              </w:rPr>
              <w:t>0,655</w:t>
            </w:r>
          </w:p>
        </w:tc>
      </w:tr>
      <w:tr w:rsidR="00EE10C6" w:rsidRPr="00EA1BB2" w14:paraId="634243B8" w14:textId="77777777" w:rsidTr="00EE10C6">
        <w:trPr>
          <w:trHeight w:val="57"/>
          <w:jc w:val="center"/>
        </w:trPr>
        <w:tc>
          <w:tcPr>
            <w:tcW w:w="1951" w:type="dxa"/>
            <w:vAlign w:val="center"/>
          </w:tcPr>
          <w:p w14:paraId="0EC9ED6D" w14:textId="77777777" w:rsidR="00EE10C6" w:rsidRPr="00EA1BB2" w:rsidRDefault="00EE10C6" w:rsidP="00561B9C">
            <w:pPr>
              <w:jc w:val="center"/>
              <w:rPr>
                <w:rFonts w:ascii="Cambria" w:hAnsi="Cambria"/>
                <w:sz w:val="24"/>
                <w:szCs w:val="24"/>
                <w:lang w:val="ro-RO"/>
              </w:rPr>
            </w:pPr>
            <w:r w:rsidRPr="00EA1BB2">
              <w:rPr>
                <w:rFonts w:ascii="Cambria" w:hAnsi="Cambria"/>
                <w:sz w:val="24"/>
                <w:szCs w:val="24"/>
                <w:lang w:val="ro-RO"/>
              </w:rPr>
              <w:t>Plumb</w:t>
            </w:r>
          </w:p>
          <w:p w14:paraId="73A617BB" w14:textId="77777777" w:rsidR="00EE10C6" w:rsidRPr="00EA1BB2" w:rsidRDefault="00EE10C6" w:rsidP="00561B9C">
            <w:pPr>
              <w:jc w:val="center"/>
              <w:rPr>
                <w:rFonts w:ascii="Cambria" w:eastAsia="Times New Roman" w:hAnsi="Cambria" w:cs="Times New Roman"/>
                <w:sz w:val="24"/>
                <w:szCs w:val="24"/>
                <w:lang w:val="ro-RO"/>
              </w:rPr>
            </w:pPr>
            <w:r w:rsidRPr="00EA1BB2">
              <w:rPr>
                <w:rFonts w:ascii="Cambria" w:hAnsi="Cambria"/>
                <w:sz w:val="24"/>
                <w:szCs w:val="24"/>
                <w:lang w:val="ro-RO"/>
              </w:rPr>
              <w:t>(Pb)</w:t>
            </w:r>
          </w:p>
        </w:tc>
        <w:tc>
          <w:tcPr>
            <w:tcW w:w="1134" w:type="dxa"/>
            <w:vAlign w:val="center"/>
          </w:tcPr>
          <w:p w14:paraId="45E9566C" w14:textId="77777777" w:rsidR="00EE10C6" w:rsidRPr="00EA1BB2" w:rsidRDefault="00EE10C6" w:rsidP="00561B9C">
            <w:pPr>
              <w:jc w:val="center"/>
              <w:rPr>
                <w:rFonts w:ascii="Cambria" w:eastAsia="Times New Roman" w:hAnsi="Cambria" w:cs="Times New Roman"/>
                <w:sz w:val="24"/>
                <w:szCs w:val="24"/>
                <w:lang w:val="ro-RO"/>
              </w:rPr>
            </w:pPr>
            <w:r w:rsidRPr="00EA1BB2">
              <w:rPr>
                <w:rFonts w:ascii="Cambria" w:hAnsi="Cambria"/>
                <w:sz w:val="24"/>
                <w:szCs w:val="24"/>
                <w:lang w:val="ro-RO"/>
              </w:rPr>
              <w:t>(µg/m</w:t>
            </w:r>
            <w:r w:rsidRPr="00EA1BB2">
              <w:rPr>
                <w:rFonts w:ascii="Cambria" w:hAnsi="Cambria"/>
                <w:bCs/>
                <w:sz w:val="24"/>
                <w:szCs w:val="24"/>
                <w:vertAlign w:val="superscript"/>
                <w:lang w:val="ro-RO"/>
              </w:rPr>
              <w:t>3</w:t>
            </w:r>
            <w:r w:rsidRPr="00EA1BB2">
              <w:rPr>
                <w:rFonts w:ascii="Cambria" w:hAnsi="Cambria"/>
                <w:sz w:val="24"/>
                <w:szCs w:val="24"/>
                <w:lang w:val="ro-RO"/>
              </w:rPr>
              <w:t>)</w:t>
            </w:r>
          </w:p>
        </w:tc>
        <w:tc>
          <w:tcPr>
            <w:tcW w:w="1062" w:type="dxa"/>
            <w:shd w:val="clear" w:color="auto" w:fill="auto"/>
            <w:vAlign w:val="center"/>
          </w:tcPr>
          <w:p w14:paraId="63D7AC49" w14:textId="77777777" w:rsidR="00EE10C6" w:rsidRPr="00EA1BB2" w:rsidRDefault="00EE10C6" w:rsidP="00561B9C">
            <w:pPr>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0,5</w:t>
            </w:r>
          </w:p>
        </w:tc>
        <w:tc>
          <w:tcPr>
            <w:tcW w:w="784" w:type="dxa"/>
            <w:vAlign w:val="center"/>
          </w:tcPr>
          <w:p w14:paraId="63F96381" w14:textId="77777777" w:rsidR="00EE10C6" w:rsidRPr="00EA1BB2" w:rsidRDefault="00EE10C6" w:rsidP="00561B9C">
            <w:pPr>
              <w:jc w:val="center"/>
              <w:rPr>
                <w:rFonts w:ascii="Cambria" w:hAnsi="Cambria"/>
                <w:lang w:val="ro-RO"/>
              </w:rPr>
            </w:pPr>
            <w:r w:rsidRPr="00EA1BB2">
              <w:rPr>
                <w:rFonts w:ascii="Cambria" w:hAnsi="Cambria"/>
                <w:lang w:val="ro-RO"/>
              </w:rPr>
              <w:t>-</w:t>
            </w:r>
          </w:p>
        </w:tc>
        <w:tc>
          <w:tcPr>
            <w:tcW w:w="0" w:type="auto"/>
            <w:shd w:val="clear" w:color="auto" w:fill="auto"/>
            <w:noWrap/>
            <w:vAlign w:val="center"/>
          </w:tcPr>
          <w:p w14:paraId="716B36C9" w14:textId="77777777" w:rsidR="00EE10C6" w:rsidRPr="00EA1BB2" w:rsidRDefault="00EE10C6" w:rsidP="00561B9C">
            <w:pPr>
              <w:jc w:val="center"/>
              <w:rPr>
                <w:rFonts w:ascii="Cambria" w:eastAsia="Times New Roman" w:hAnsi="Cambria" w:cs="Times New Roman"/>
                <w:sz w:val="24"/>
                <w:szCs w:val="24"/>
                <w:lang w:val="ro-RO"/>
              </w:rPr>
            </w:pPr>
            <w:r w:rsidRPr="00EA1BB2">
              <w:rPr>
                <w:rFonts w:ascii="Cambria" w:hAnsi="Cambria"/>
                <w:lang w:val="ro-RO"/>
              </w:rPr>
              <w:t>5,887</w:t>
            </w:r>
          </w:p>
        </w:tc>
        <w:tc>
          <w:tcPr>
            <w:tcW w:w="0" w:type="auto"/>
            <w:shd w:val="clear" w:color="auto" w:fill="auto"/>
            <w:vAlign w:val="center"/>
          </w:tcPr>
          <w:p w14:paraId="39219E94" w14:textId="77777777" w:rsidR="00EE10C6" w:rsidRPr="00EA1BB2" w:rsidRDefault="00EE10C6" w:rsidP="00561B9C">
            <w:pPr>
              <w:jc w:val="center"/>
              <w:rPr>
                <w:rFonts w:ascii="Cambria" w:eastAsia="Times New Roman" w:hAnsi="Cambria" w:cs="Times New Roman"/>
                <w:sz w:val="24"/>
                <w:szCs w:val="24"/>
                <w:lang w:val="ro-RO"/>
              </w:rPr>
            </w:pPr>
            <w:r w:rsidRPr="00EA1BB2">
              <w:rPr>
                <w:rFonts w:ascii="Cambria" w:hAnsi="Cambria"/>
                <w:lang w:val="ro-RO"/>
              </w:rPr>
              <w:t>5,403</w:t>
            </w:r>
          </w:p>
        </w:tc>
        <w:tc>
          <w:tcPr>
            <w:tcW w:w="0" w:type="auto"/>
            <w:shd w:val="clear" w:color="auto" w:fill="auto"/>
            <w:vAlign w:val="center"/>
          </w:tcPr>
          <w:p w14:paraId="59CD5A6C" w14:textId="77777777" w:rsidR="00EE10C6" w:rsidRPr="00EA1BB2" w:rsidRDefault="00EE10C6" w:rsidP="00561B9C">
            <w:pPr>
              <w:jc w:val="center"/>
              <w:rPr>
                <w:rFonts w:ascii="Cambria" w:eastAsia="Times New Roman" w:hAnsi="Cambria" w:cs="Times New Roman"/>
                <w:sz w:val="24"/>
                <w:szCs w:val="24"/>
                <w:lang w:val="ro-RO"/>
              </w:rPr>
            </w:pPr>
            <w:r w:rsidRPr="00EA1BB2">
              <w:rPr>
                <w:rFonts w:ascii="Cambria" w:hAnsi="Cambria"/>
                <w:lang w:val="ro-RO"/>
              </w:rPr>
              <w:t>8,971</w:t>
            </w:r>
          </w:p>
        </w:tc>
        <w:tc>
          <w:tcPr>
            <w:tcW w:w="0" w:type="auto"/>
            <w:shd w:val="clear" w:color="auto" w:fill="auto"/>
            <w:vAlign w:val="center"/>
          </w:tcPr>
          <w:p w14:paraId="3612C617" w14:textId="77777777" w:rsidR="00EE10C6" w:rsidRPr="00EA1BB2" w:rsidRDefault="00EE10C6" w:rsidP="00561B9C">
            <w:pPr>
              <w:jc w:val="center"/>
              <w:rPr>
                <w:rFonts w:ascii="Cambria" w:eastAsia="Times New Roman" w:hAnsi="Cambria" w:cs="Times New Roman"/>
                <w:sz w:val="24"/>
                <w:szCs w:val="24"/>
                <w:lang w:val="ro-RO"/>
              </w:rPr>
            </w:pPr>
            <w:r w:rsidRPr="00EA1BB2">
              <w:rPr>
                <w:rFonts w:ascii="Cambria" w:hAnsi="Cambria"/>
                <w:lang w:val="ro-RO"/>
              </w:rPr>
              <w:t>6,605</w:t>
            </w:r>
          </w:p>
        </w:tc>
        <w:tc>
          <w:tcPr>
            <w:tcW w:w="0" w:type="auto"/>
            <w:shd w:val="clear" w:color="auto" w:fill="auto"/>
            <w:vAlign w:val="center"/>
          </w:tcPr>
          <w:p w14:paraId="09462691" w14:textId="77777777" w:rsidR="00EE10C6" w:rsidRPr="00EA1BB2" w:rsidRDefault="00EE10C6" w:rsidP="00561B9C">
            <w:pPr>
              <w:jc w:val="center"/>
              <w:rPr>
                <w:rFonts w:ascii="Cambria" w:eastAsia="Times New Roman" w:hAnsi="Cambria" w:cs="Times New Roman"/>
                <w:sz w:val="24"/>
                <w:szCs w:val="24"/>
                <w:lang w:val="ro-RO"/>
              </w:rPr>
            </w:pPr>
            <w:r w:rsidRPr="00EA1BB2">
              <w:rPr>
                <w:rFonts w:ascii="Cambria" w:hAnsi="Cambria"/>
                <w:lang w:val="ro-RO"/>
              </w:rPr>
              <w:t>8,969</w:t>
            </w:r>
          </w:p>
        </w:tc>
      </w:tr>
      <w:tr w:rsidR="00EE10C6" w:rsidRPr="00EA1BB2" w14:paraId="4C3B5B59" w14:textId="77777777" w:rsidTr="00EE10C6">
        <w:trPr>
          <w:trHeight w:val="57"/>
          <w:jc w:val="center"/>
        </w:trPr>
        <w:tc>
          <w:tcPr>
            <w:tcW w:w="1951" w:type="dxa"/>
            <w:vAlign w:val="center"/>
          </w:tcPr>
          <w:p w14:paraId="002CC8C8" w14:textId="77777777" w:rsidR="00EE10C6" w:rsidRPr="00EA1BB2" w:rsidRDefault="00EE10C6" w:rsidP="00561B9C">
            <w:pPr>
              <w:jc w:val="center"/>
              <w:rPr>
                <w:rFonts w:ascii="Cambria" w:hAnsi="Cambria"/>
                <w:sz w:val="24"/>
                <w:szCs w:val="24"/>
                <w:lang w:val="ro-RO"/>
              </w:rPr>
            </w:pPr>
            <w:r w:rsidRPr="00EA1BB2">
              <w:rPr>
                <w:rFonts w:ascii="Cambria" w:hAnsi="Cambria"/>
                <w:sz w:val="24"/>
                <w:szCs w:val="24"/>
                <w:lang w:val="ro-RO"/>
              </w:rPr>
              <w:t>Arsen</w:t>
            </w:r>
          </w:p>
          <w:p w14:paraId="511F5974" w14:textId="77777777" w:rsidR="00EE10C6" w:rsidRPr="00EA1BB2" w:rsidRDefault="00EE10C6" w:rsidP="00561B9C">
            <w:pPr>
              <w:jc w:val="center"/>
              <w:rPr>
                <w:rFonts w:ascii="Cambria" w:eastAsia="Times New Roman" w:hAnsi="Cambria" w:cs="Times New Roman"/>
                <w:sz w:val="24"/>
                <w:szCs w:val="24"/>
                <w:lang w:val="ro-RO"/>
              </w:rPr>
            </w:pPr>
            <w:r w:rsidRPr="00EA1BB2">
              <w:rPr>
                <w:rFonts w:ascii="Cambria" w:hAnsi="Cambria"/>
                <w:sz w:val="24"/>
                <w:szCs w:val="24"/>
                <w:lang w:val="ro-RO"/>
              </w:rPr>
              <w:t>(As)</w:t>
            </w:r>
          </w:p>
        </w:tc>
        <w:tc>
          <w:tcPr>
            <w:tcW w:w="1134" w:type="dxa"/>
            <w:vAlign w:val="center"/>
          </w:tcPr>
          <w:p w14:paraId="3AB784D8" w14:textId="77777777" w:rsidR="00EE10C6" w:rsidRPr="00EA1BB2" w:rsidRDefault="00EE10C6" w:rsidP="00561B9C">
            <w:pPr>
              <w:jc w:val="center"/>
              <w:rPr>
                <w:rFonts w:ascii="Cambria" w:eastAsia="Times New Roman" w:hAnsi="Cambria" w:cs="Times New Roman"/>
                <w:sz w:val="24"/>
                <w:szCs w:val="24"/>
                <w:lang w:val="ro-RO"/>
              </w:rPr>
            </w:pPr>
            <w:r w:rsidRPr="00EA1BB2">
              <w:rPr>
                <w:rFonts w:ascii="Cambria" w:hAnsi="Cambria"/>
                <w:sz w:val="24"/>
                <w:szCs w:val="24"/>
                <w:lang w:val="ro-RO"/>
              </w:rPr>
              <w:t>(ng/m</w:t>
            </w:r>
            <w:r w:rsidRPr="00EA1BB2">
              <w:rPr>
                <w:rFonts w:ascii="Cambria" w:hAnsi="Cambria"/>
                <w:bCs/>
                <w:sz w:val="24"/>
                <w:szCs w:val="24"/>
                <w:vertAlign w:val="superscript"/>
                <w:lang w:val="ro-RO"/>
              </w:rPr>
              <w:t>3</w:t>
            </w:r>
            <w:r w:rsidRPr="00EA1BB2">
              <w:rPr>
                <w:rFonts w:ascii="Cambria" w:hAnsi="Cambria"/>
                <w:sz w:val="24"/>
                <w:szCs w:val="24"/>
                <w:lang w:val="ro-RO"/>
              </w:rPr>
              <w:t>)</w:t>
            </w:r>
          </w:p>
        </w:tc>
        <w:tc>
          <w:tcPr>
            <w:tcW w:w="1062" w:type="dxa"/>
            <w:vAlign w:val="center"/>
          </w:tcPr>
          <w:p w14:paraId="466CD2A9" w14:textId="77777777" w:rsidR="00EE10C6" w:rsidRPr="00EA1BB2" w:rsidRDefault="00EE10C6" w:rsidP="00561B9C">
            <w:pPr>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6</w:t>
            </w:r>
          </w:p>
        </w:tc>
        <w:tc>
          <w:tcPr>
            <w:tcW w:w="784" w:type="dxa"/>
            <w:vAlign w:val="center"/>
          </w:tcPr>
          <w:p w14:paraId="57DA85C5" w14:textId="77777777" w:rsidR="00EE10C6" w:rsidRPr="00EA1BB2" w:rsidRDefault="00EE10C6" w:rsidP="00561B9C">
            <w:pPr>
              <w:jc w:val="center"/>
              <w:rPr>
                <w:rFonts w:ascii="Cambria" w:hAnsi="Cambria"/>
                <w:lang w:val="ro-RO"/>
              </w:rPr>
            </w:pPr>
            <w:r w:rsidRPr="00EA1BB2">
              <w:rPr>
                <w:rFonts w:ascii="Cambria" w:hAnsi="Cambria"/>
                <w:lang w:val="ro-RO"/>
              </w:rPr>
              <w:t>-</w:t>
            </w:r>
          </w:p>
        </w:tc>
        <w:tc>
          <w:tcPr>
            <w:tcW w:w="0" w:type="auto"/>
            <w:noWrap/>
            <w:vAlign w:val="center"/>
          </w:tcPr>
          <w:p w14:paraId="754AB160" w14:textId="77777777" w:rsidR="00EE10C6" w:rsidRPr="00EA1BB2" w:rsidRDefault="00EE10C6" w:rsidP="00561B9C">
            <w:pPr>
              <w:jc w:val="center"/>
              <w:rPr>
                <w:rFonts w:ascii="Cambria" w:eastAsia="Times New Roman" w:hAnsi="Cambria" w:cs="Times New Roman"/>
                <w:sz w:val="24"/>
                <w:szCs w:val="24"/>
                <w:lang w:val="ro-RO"/>
              </w:rPr>
            </w:pPr>
            <w:r w:rsidRPr="00EA1BB2">
              <w:rPr>
                <w:rFonts w:ascii="Cambria" w:hAnsi="Cambria"/>
                <w:lang w:val="ro-RO"/>
              </w:rPr>
              <w:t>0,703</w:t>
            </w:r>
          </w:p>
        </w:tc>
        <w:tc>
          <w:tcPr>
            <w:tcW w:w="0" w:type="auto"/>
            <w:vAlign w:val="center"/>
          </w:tcPr>
          <w:p w14:paraId="4D83B5C5" w14:textId="77777777" w:rsidR="00EE10C6" w:rsidRPr="00EA1BB2" w:rsidRDefault="00EE10C6" w:rsidP="00561B9C">
            <w:pPr>
              <w:jc w:val="center"/>
              <w:rPr>
                <w:rFonts w:ascii="Cambria" w:eastAsia="Times New Roman" w:hAnsi="Cambria" w:cs="Times New Roman"/>
                <w:sz w:val="24"/>
                <w:szCs w:val="24"/>
                <w:lang w:val="ro-RO"/>
              </w:rPr>
            </w:pPr>
            <w:r w:rsidRPr="00EA1BB2">
              <w:rPr>
                <w:rFonts w:ascii="Cambria" w:hAnsi="Cambria"/>
                <w:lang w:val="ro-RO"/>
              </w:rPr>
              <w:t>0,693</w:t>
            </w:r>
          </w:p>
        </w:tc>
        <w:tc>
          <w:tcPr>
            <w:tcW w:w="0" w:type="auto"/>
            <w:vAlign w:val="center"/>
          </w:tcPr>
          <w:p w14:paraId="50E1372F" w14:textId="77777777" w:rsidR="00EE10C6" w:rsidRPr="00EA1BB2" w:rsidRDefault="00EE10C6" w:rsidP="00561B9C">
            <w:pPr>
              <w:jc w:val="center"/>
              <w:rPr>
                <w:rFonts w:ascii="Cambria" w:eastAsia="Times New Roman" w:hAnsi="Cambria" w:cs="Times New Roman"/>
                <w:sz w:val="24"/>
                <w:szCs w:val="24"/>
                <w:lang w:val="ro-RO"/>
              </w:rPr>
            </w:pPr>
            <w:r w:rsidRPr="00EA1BB2">
              <w:rPr>
                <w:rFonts w:ascii="Cambria" w:hAnsi="Cambria"/>
                <w:lang w:val="ro-RO"/>
              </w:rPr>
              <w:t>0,814</w:t>
            </w:r>
          </w:p>
        </w:tc>
        <w:tc>
          <w:tcPr>
            <w:tcW w:w="0" w:type="auto"/>
            <w:vAlign w:val="center"/>
          </w:tcPr>
          <w:p w14:paraId="6B0EE023" w14:textId="77777777" w:rsidR="00EE10C6" w:rsidRPr="00EA1BB2" w:rsidRDefault="00EE10C6" w:rsidP="00561B9C">
            <w:pPr>
              <w:jc w:val="center"/>
              <w:rPr>
                <w:rFonts w:ascii="Cambria" w:eastAsia="Times New Roman" w:hAnsi="Cambria" w:cs="Times New Roman"/>
                <w:sz w:val="24"/>
                <w:szCs w:val="24"/>
                <w:lang w:val="ro-RO"/>
              </w:rPr>
            </w:pPr>
            <w:r w:rsidRPr="00EA1BB2">
              <w:rPr>
                <w:rFonts w:ascii="Cambria" w:hAnsi="Cambria"/>
                <w:lang w:val="ro-RO"/>
              </w:rPr>
              <w:t>0,706</w:t>
            </w:r>
          </w:p>
        </w:tc>
        <w:tc>
          <w:tcPr>
            <w:tcW w:w="0" w:type="auto"/>
            <w:vAlign w:val="center"/>
          </w:tcPr>
          <w:p w14:paraId="34B9854B" w14:textId="77777777" w:rsidR="00EE10C6" w:rsidRPr="00EA1BB2" w:rsidRDefault="00EE10C6" w:rsidP="00561B9C">
            <w:pPr>
              <w:jc w:val="center"/>
              <w:rPr>
                <w:rFonts w:ascii="Cambria" w:eastAsia="Times New Roman" w:hAnsi="Cambria" w:cs="Times New Roman"/>
                <w:sz w:val="24"/>
                <w:szCs w:val="24"/>
                <w:lang w:val="ro-RO"/>
              </w:rPr>
            </w:pPr>
            <w:r w:rsidRPr="00EA1BB2">
              <w:rPr>
                <w:rFonts w:ascii="Cambria" w:hAnsi="Cambria"/>
                <w:lang w:val="ro-RO"/>
              </w:rPr>
              <w:t>0,814</w:t>
            </w:r>
          </w:p>
        </w:tc>
      </w:tr>
      <w:tr w:rsidR="00EE10C6" w:rsidRPr="00EA1BB2" w14:paraId="3A7BDD4F" w14:textId="77777777" w:rsidTr="00EE10C6">
        <w:trPr>
          <w:trHeight w:val="57"/>
          <w:jc w:val="center"/>
        </w:trPr>
        <w:tc>
          <w:tcPr>
            <w:tcW w:w="1951" w:type="dxa"/>
            <w:vAlign w:val="center"/>
          </w:tcPr>
          <w:p w14:paraId="1C2C3BA7" w14:textId="77777777" w:rsidR="00EE10C6" w:rsidRPr="00EA1BB2" w:rsidRDefault="00EE10C6" w:rsidP="00561B9C">
            <w:pPr>
              <w:jc w:val="center"/>
              <w:rPr>
                <w:rFonts w:ascii="Cambria" w:hAnsi="Cambria"/>
                <w:sz w:val="24"/>
                <w:szCs w:val="24"/>
                <w:lang w:val="ro-RO"/>
              </w:rPr>
            </w:pPr>
            <w:r w:rsidRPr="00EA1BB2">
              <w:rPr>
                <w:rFonts w:ascii="Cambria" w:hAnsi="Cambria"/>
                <w:sz w:val="24"/>
                <w:szCs w:val="24"/>
                <w:lang w:val="ro-RO"/>
              </w:rPr>
              <w:t>Cadmiu</w:t>
            </w:r>
          </w:p>
          <w:p w14:paraId="67F932BB" w14:textId="77777777" w:rsidR="00EE10C6" w:rsidRPr="00EA1BB2" w:rsidRDefault="00EE10C6" w:rsidP="00561B9C">
            <w:pPr>
              <w:jc w:val="center"/>
              <w:rPr>
                <w:rFonts w:ascii="Cambria" w:eastAsia="Times New Roman" w:hAnsi="Cambria" w:cs="Times New Roman"/>
                <w:sz w:val="24"/>
                <w:szCs w:val="24"/>
                <w:lang w:val="ro-RO"/>
              </w:rPr>
            </w:pPr>
            <w:r w:rsidRPr="00EA1BB2">
              <w:rPr>
                <w:rFonts w:ascii="Cambria" w:hAnsi="Cambria"/>
                <w:sz w:val="24"/>
                <w:szCs w:val="24"/>
                <w:lang w:val="ro-RO"/>
              </w:rPr>
              <w:t>(Cd)</w:t>
            </w:r>
          </w:p>
        </w:tc>
        <w:tc>
          <w:tcPr>
            <w:tcW w:w="1134" w:type="dxa"/>
            <w:vAlign w:val="center"/>
          </w:tcPr>
          <w:p w14:paraId="5E1C318F" w14:textId="77777777" w:rsidR="00EE10C6" w:rsidRPr="00EA1BB2" w:rsidRDefault="00EE10C6" w:rsidP="00561B9C">
            <w:pPr>
              <w:jc w:val="center"/>
              <w:rPr>
                <w:rFonts w:ascii="Cambria" w:eastAsia="Times New Roman" w:hAnsi="Cambria" w:cs="Times New Roman"/>
                <w:sz w:val="24"/>
                <w:szCs w:val="24"/>
                <w:lang w:val="ro-RO"/>
              </w:rPr>
            </w:pPr>
            <w:r w:rsidRPr="00EA1BB2">
              <w:rPr>
                <w:rFonts w:ascii="Cambria" w:hAnsi="Cambria"/>
                <w:sz w:val="24"/>
                <w:szCs w:val="24"/>
                <w:lang w:val="ro-RO"/>
              </w:rPr>
              <w:t>(ng/m</w:t>
            </w:r>
            <w:r w:rsidRPr="00EA1BB2">
              <w:rPr>
                <w:rFonts w:ascii="Cambria" w:hAnsi="Cambria"/>
                <w:bCs/>
                <w:sz w:val="24"/>
                <w:szCs w:val="24"/>
                <w:vertAlign w:val="superscript"/>
                <w:lang w:val="ro-RO"/>
              </w:rPr>
              <w:t>3</w:t>
            </w:r>
            <w:r w:rsidRPr="00EA1BB2">
              <w:rPr>
                <w:rFonts w:ascii="Cambria" w:hAnsi="Cambria"/>
                <w:sz w:val="24"/>
                <w:szCs w:val="24"/>
                <w:lang w:val="ro-RO"/>
              </w:rPr>
              <w:t>)</w:t>
            </w:r>
          </w:p>
        </w:tc>
        <w:tc>
          <w:tcPr>
            <w:tcW w:w="1062" w:type="dxa"/>
            <w:vAlign w:val="center"/>
          </w:tcPr>
          <w:p w14:paraId="41D87823" w14:textId="77777777" w:rsidR="00EE10C6" w:rsidRPr="00EA1BB2" w:rsidRDefault="00EE10C6" w:rsidP="00561B9C">
            <w:pPr>
              <w:jc w:val="center"/>
              <w:rPr>
                <w:rFonts w:ascii="Cambria" w:eastAsia="Times New Roman" w:hAnsi="Cambria" w:cs="Times New Roman"/>
                <w:sz w:val="24"/>
                <w:szCs w:val="24"/>
                <w:lang w:val="ro-RO"/>
              </w:rPr>
            </w:pPr>
            <w:r w:rsidRPr="00EA1BB2">
              <w:rPr>
                <w:rFonts w:ascii="Cambria" w:eastAsia="Times New Roman" w:hAnsi="Cambria" w:cs="Times New Roman"/>
                <w:sz w:val="24"/>
                <w:szCs w:val="24"/>
                <w:lang w:val="ro-RO"/>
              </w:rPr>
              <w:t>5</w:t>
            </w:r>
          </w:p>
        </w:tc>
        <w:tc>
          <w:tcPr>
            <w:tcW w:w="784" w:type="dxa"/>
            <w:vAlign w:val="center"/>
          </w:tcPr>
          <w:p w14:paraId="2885AC49" w14:textId="77777777" w:rsidR="00EE10C6" w:rsidRPr="00EA1BB2" w:rsidRDefault="00EE10C6" w:rsidP="00561B9C">
            <w:pPr>
              <w:jc w:val="center"/>
              <w:rPr>
                <w:rFonts w:ascii="Cambria" w:hAnsi="Cambria"/>
                <w:lang w:val="ro-RO"/>
              </w:rPr>
            </w:pPr>
            <w:r w:rsidRPr="00EA1BB2">
              <w:rPr>
                <w:rFonts w:ascii="Cambria" w:hAnsi="Cambria"/>
                <w:lang w:val="ro-RO"/>
              </w:rPr>
              <w:t>-</w:t>
            </w:r>
          </w:p>
        </w:tc>
        <w:tc>
          <w:tcPr>
            <w:tcW w:w="0" w:type="auto"/>
            <w:noWrap/>
            <w:vAlign w:val="center"/>
          </w:tcPr>
          <w:p w14:paraId="2B2F30A2" w14:textId="77777777" w:rsidR="00EE10C6" w:rsidRPr="00EA1BB2" w:rsidRDefault="00EE10C6" w:rsidP="00561B9C">
            <w:pPr>
              <w:jc w:val="center"/>
              <w:rPr>
                <w:rFonts w:ascii="Cambria" w:eastAsia="Times New Roman" w:hAnsi="Cambria" w:cs="Times New Roman"/>
                <w:sz w:val="24"/>
                <w:szCs w:val="24"/>
                <w:lang w:val="ro-RO"/>
              </w:rPr>
            </w:pPr>
            <w:r w:rsidRPr="00EA1BB2">
              <w:rPr>
                <w:rFonts w:ascii="Cambria" w:hAnsi="Cambria"/>
                <w:lang w:val="ro-RO"/>
              </w:rPr>
              <w:t>0,250</w:t>
            </w:r>
          </w:p>
        </w:tc>
        <w:tc>
          <w:tcPr>
            <w:tcW w:w="0" w:type="auto"/>
            <w:vAlign w:val="center"/>
          </w:tcPr>
          <w:p w14:paraId="4C696E99" w14:textId="77777777" w:rsidR="00EE10C6" w:rsidRPr="00EA1BB2" w:rsidRDefault="00EE10C6" w:rsidP="00561B9C">
            <w:pPr>
              <w:jc w:val="center"/>
              <w:rPr>
                <w:rFonts w:ascii="Cambria" w:eastAsia="Times New Roman" w:hAnsi="Cambria" w:cs="Times New Roman"/>
                <w:sz w:val="24"/>
                <w:szCs w:val="24"/>
                <w:lang w:val="ro-RO"/>
              </w:rPr>
            </w:pPr>
            <w:r w:rsidRPr="00EA1BB2">
              <w:rPr>
                <w:rFonts w:ascii="Cambria" w:hAnsi="Cambria"/>
                <w:lang w:val="ro-RO"/>
              </w:rPr>
              <w:t>0,238</w:t>
            </w:r>
          </w:p>
        </w:tc>
        <w:tc>
          <w:tcPr>
            <w:tcW w:w="0" w:type="auto"/>
            <w:vAlign w:val="center"/>
          </w:tcPr>
          <w:p w14:paraId="03C4C2D2" w14:textId="77777777" w:rsidR="00EE10C6" w:rsidRPr="00EA1BB2" w:rsidRDefault="00EE10C6" w:rsidP="00561B9C">
            <w:pPr>
              <w:jc w:val="center"/>
              <w:rPr>
                <w:rFonts w:ascii="Cambria" w:eastAsia="Times New Roman" w:hAnsi="Cambria" w:cs="Times New Roman"/>
                <w:sz w:val="24"/>
                <w:szCs w:val="24"/>
                <w:lang w:val="ro-RO"/>
              </w:rPr>
            </w:pPr>
            <w:r w:rsidRPr="00EA1BB2">
              <w:rPr>
                <w:rFonts w:ascii="Cambria" w:hAnsi="Cambria"/>
                <w:lang w:val="ro-RO"/>
              </w:rPr>
              <w:t>0,200</w:t>
            </w:r>
          </w:p>
        </w:tc>
        <w:tc>
          <w:tcPr>
            <w:tcW w:w="0" w:type="auto"/>
            <w:vAlign w:val="center"/>
          </w:tcPr>
          <w:p w14:paraId="2E72A099" w14:textId="77777777" w:rsidR="00EE10C6" w:rsidRPr="00EA1BB2" w:rsidRDefault="00EE10C6" w:rsidP="00561B9C">
            <w:pPr>
              <w:jc w:val="center"/>
              <w:rPr>
                <w:rFonts w:ascii="Cambria" w:eastAsia="Times New Roman" w:hAnsi="Cambria" w:cs="Times New Roman"/>
                <w:sz w:val="24"/>
                <w:szCs w:val="24"/>
                <w:lang w:val="ro-RO"/>
              </w:rPr>
            </w:pPr>
            <w:r w:rsidRPr="00EA1BB2">
              <w:rPr>
                <w:rFonts w:ascii="Cambria" w:hAnsi="Cambria"/>
                <w:lang w:val="ro-RO"/>
              </w:rPr>
              <w:t>0,254</w:t>
            </w:r>
          </w:p>
        </w:tc>
        <w:tc>
          <w:tcPr>
            <w:tcW w:w="0" w:type="auto"/>
            <w:vAlign w:val="center"/>
          </w:tcPr>
          <w:p w14:paraId="7E87CACC" w14:textId="77777777" w:rsidR="00EE10C6" w:rsidRPr="00EA1BB2" w:rsidRDefault="00EE10C6" w:rsidP="00561B9C">
            <w:pPr>
              <w:jc w:val="center"/>
              <w:rPr>
                <w:rFonts w:ascii="Cambria" w:eastAsia="Times New Roman" w:hAnsi="Cambria" w:cs="Times New Roman"/>
                <w:sz w:val="24"/>
                <w:szCs w:val="24"/>
                <w:lang w:val="ro-RO"/>
              </w:rPr>
            </w:pPr>
            <w:r w:rsidRPr="00EA1BB2">
              <w:rPr>
                <w:rFonts w:ascii="Cambria" w:hAnsi="Cambria"/>
                <w:lang w:val="ro-RO"/>
              </w:rPr>
              <w:t>0,199</w:t>
            </w:r>
          </w:p>
        </w:tc>
      </w:tr>
    </w:tbl>
    <w:p w14:paraId="3CE5FA70" w14:textId="77777777" w:rsidR="0095565D" w:rsidRPr="00EA1BB2" w:rsidRDefault="00221660" w:rsidP="00A133F1">
      <w:pPr>
        <w:autoSpaceDE w:val="0"/>
        <w:autoSpaceDN w:val="0"/>
        <w:adjustRightInd w:val="0"/>
        <w:jc w:val="both"/>
        <w:rPr>
          <w:rFonts w:ascii="Cambria" w:hAnsi="Cambria"/>
          <w:szCs w:val="24"/>
        </w:rPr>
      </w:pPr>
      <w:r w:rsidRPr="00EA1BB2">
        <w:rPr>
          <w:rFonts w:ascii="Cambria" w:hAnsi="Cambria"/>
          <w:szCs w:val="24"/>
        </w:rPr>
        <w:t xml:space="preserve">*conform Legii 104/2011 </w:t>
      </w:r>
      <w:r w:rsidR="007C0CC5" w:rsidRPr="00EA1BB2">
        <w:rPr>
          <w:rFonts w:ascii="Cambria" w:hAnsi="Cambria"/>
          <w:szCs w:val="24"/>
        </w:rPr>
        <w:t>privind calitatea aerului înconjurător cu modificările ulterioare</w:t>
      </w:r>
    </w:p>
    <w:p w14:paraId="5DC57340" w14:textId="0FADD12B" w:rsidR="00410965" w:rsidRDefault="00410965" w:rsidP="00A133F1">
      <w:pPr>
        <w:autoSpaceDE w:val="0"/>
        <w:autoSpaceDN w:val="0"/>
        <w:adjustRightInd w:val="0"/>
        <w:jc w:val="both"/>
        <w:rPr>
          <w:rFonts w:ascii="Cambria" w:hAnsi="Cambria"/>
          <w:bCs/>
          <w:sz w:val="24"/>
          <w:szCs w:val="24"/>
          <w:vertAlign w:val="superscript"/>
        </w:rPr>
      </w:pPr>
      <w:r w:rsidRPr="00EA1BB2">
        <w:rPr>
          <w:rFonts w:ascii="Cambria" w:hAnsi="Cambria"/>
          <w:szCs w:val="24"/>
        </w:rPr>
        <w:t>**valorile prezenta</w:t>
      </w:r>
      <w:r w:rsidR="002D2575" w:rsidRPr="00EA1BB2">
        <w:rPr>
          <w:rFonts w:ascii="Cambria" w:hAnsi="Cambria"/>
          <w:szCs w:val="24"/>
        </w:rPr>
        <w:t>t</w:t>
      </w:r>
      <w:r w:rsidRPr="00EA1BB2">
        <w:rPr>
          <w:rFonts w:ascii="Cambria" w:hAnsi="Cambria"/>
          <w:szCs w:val="24"/>
        </w:rPr>
        <w:t>e reprezintă</w:t>
      </w:r>
      <w:r w:rsidR="00B40405" w:rsidRPr="00EA1BB2">
        <w:rPr>
          <w:rFonts w:ascii="Cambria" w:hAnsi="Cambria"/>
          <w:szCs w:val="24"/>
        </w:rPr>
        <w:t xml:space="preserve"> </w:t>
      </w:r>
      <w:r w:rsidRPr="00EA1BB2">
        <w:rPr>
          <w:rFonts w:ascii="Cambria" w:hAnsi="Cambria"/>
          <w:szCs w:val="24"/>
        </w:rPr>
        <w:t>valoarea maximă zilnică a mediilor pe 8 ore</w:t>
      </w:r>
      <w:r w:rsidR="002D2575" w:rsidRPr="00EA1BB2">
        <w:rPr>
          <w:rFonts w:ascii="Cambria" w:hAnsi="Cambria"/>
          <w:szCs w:val="24"/>
        </w:rPr>
        <w:t xml:space="preserve">, pentru care valoarea-limită este 10 </w:t>
      </w:r>
      <w:r w:rsidR="002D2575" w:rsidRPr="00EA1BB2">
        <w:rPr>
          <w:rFonts w:ascii="Cambria" w:hAnsi="Cambria"/>
          <w:sz w:val="24"/>
          <w:szCs w:val="24"/>
        </w:rPr>
        <w:t>mg/m</w:t>
      </w:r>
      <w:r w:rsidR="002D2575" w:rsidRPr="00EA1BB2">
        <w:rPr>
          <w:rFonts w:ascii="Cambria" w:hAnsi="Cambria"/>
          <w:bCs/>
          <w:sz w:val="24"/>
          <w:szCs w:val="24"/>
          <w:vertAlign w:val="superscript"/>
        </w:rPr>
        <w:t>3</w:t>
      </w:r>
    </w:p>
    <w:p w14:paraId="1A3E23C8" w14:textId="01DD6BC5" w:rsidR="00EE10C6" w:rsidRDefault="00EE10C6" w:rsidP="00A133F1">
      <w:pPr>
        <w:autoSpaceDE w:val="0"/>
        <w:autoSpaceDN w:val="0"/>
        <w:adjustRightInd w:val="0"/>
        <w:jc w:val="both"/>
        <w:rPr>
          <w:rFonts w:ascii="Cambria" w:hAnsi="Cambria"/>
          <w:bCs/>
          <w:sz w:val="24"/>
          <w:szCs w:val="24"/>
          <w:vertAlign w:val="superscript"/>
        </w:rPr>
      </w:pPr>
    </w:p>
    <w:p w14:paraId="267C22D5" w14:textId="77777777" w:rsidR="00EE10C6" w:rsidRPr="00EA1BB2" w:rsidRDefault="00EE10C6" w:rsidP="00A133F1">
      <w:pPr>
        <w:autoSpaceDE w:val="0"/>
        <w:autoSpaceDN w:val="0"/>
        <w:adjustRightInd w:val="0"/>
        <w:jc w:val="both"/>
        <w:rPr>
          <w:rFonts w:ascii="Cambria" w:hAnsi="Cambria"/>
          <w:sz w:val="24"/>
          <w:szCs w:val="24"/>
          <w:highlight w:val="yellow"/>
        </w:rPr>
      </w:pPr>
    </w:p>
    <w:p w14:paraId="7AE352E9" w14:textId="77777777" w:rsidR="00AF77F7" w:rsidRPr="00EA1BB2" w:rsidRDefault="00AF77F7" w:rsidP="00AF77F7">
      <w:pPr>
        <w:autoSpaceDE w:val="0"/>
        <w:autoSpaceDN w:val="0"/>
        <w:adjustRightInd w:val="0"/>
        <w:spacing w:line="360" w:lineRule="auto"/>
        <w:ind w:firstLine="720"/>
        <w:jc w:val="both"/>
        <w:rPr>
          <w:rFonts w:ascii="Cambria" w:hAnsi="Cambria"/>
          <w:b/>
          <w:sz w:val="24"/>
          <w:szCs w:val="24"/>
        </w:rPr>
      </w:pPr>
      <w:r w:rsidRPr="00EA1BB2">
        <w:rPr>
          <w:rFonts w:ascii="Cambria" w:hAnsi="Cambria"/>
          <w:b/>
          <w:sz w:val="24"/>
          <w:szCs w:val="24"/>
        </w:rPr>
        <w:lastRenderedPageBreak/>
        <w:t xml:space="preserve">e) descrierea scenariului privind emisiile </w:t>
      </w:r>
      <w:r w:rsidR="00054880" w:rsidRPr="00EA1BB2">
        <w:rPr>
          <w:rFonts w:ascii="Cambria" w:hAnsi="Cambria"/>
          <w:b/>
          <w:sz w:val="24"/>
          <w:szCs w:val="24"/>
        </w:rPr>
        <w:t>ș</w:t>
      </w:r>
      <w:r w:rsidRPr="00EA1BB2">
        <w:rPr>
          <w:rFonts w:ascii="Cambria" w:hAnsi="Cambria"/>
          <w:b/>
          <w:sz w:val="24"/>
          <w:szCs w:val="24"/>
        </w:rPr>
        <w:t>i emisiile totale în unitatea spa</w:t>
      </w:r>
      <w:r w:rsidR="00054880" w:rsidRPr="00EA1BB2">
        <w:rPr>
          <w:rFonts w:ascii="Cambria" w:hAnsi="Cambria"/>
          <w:b/>
          <w:sz w:val="24"/>
          <w:szCs w:val="24"/>
        </w:rPr>
        <w:t>ț</w:t>
      </w:r>
      <w:r w:rsidRPr="00EA1BB2">
        <w:rPr>
          <w:rFonts w:ascii="Cambria" w:hAnsi="Cambria"/>
          <w:b/>
          <w:sz w:val="24"/>
          <w:szCs w:val="24"/>
        </w:rPr>
        <w:t>ială relevantă în anul de proiec</w:t>
      </w:r>
      <w:r w:rsidR="00054880" w:rsidRPr="00EA1BB2">
        <w:rPr>
          <w:rFonts w:ascii="Cambria" w:hAnsi="Cambria"/>
          <w:b/>
          <w:sz w:val="24"/>
          <w:szCs w:val="24"/>
        </w:rPr>
        <w:t>ț</w:t>
      </w:r>
      <w:r w:rsidR="003D217E" w:rsidRPr="00EA1BB2">
        <w:rPr>
          <w:rFonts w:ascii="Cambria" w:hAnsi="Cambria"/>
          <w:b/>
          <w:sz w:val="24"/>
          <w:szCs w:val="24"/>
        </w:rPr>
        <w:t>ie</w:t>
      </w:r>
    </w:p>
    <w:p w14:paraId="7DF0ADBA" w14:textId="639ACF3E" w:rsidR="00C039ED" w:rsidRPr="00EA1BB2" w:rsidRDefault="00C039ED" w:rsidP="00C039ED">
      <w:pPr>
        <w:spacing w:line="360" w:lineRule="auto"/>
        <w:ind w:firstLine="709"/>
        <w:jc w:val="both"/>
        <w:rPr>
          <w:rFonts w:ascii="Cambria" w:eastAsia="Calibri" w:hAnsi="Cambria" w:cs="Times New Roman"/>
          <w:sz w:val="24"/>
          <w:szCs w:val="24"/>
        </w:rPr>
      </w:pPr>
      <w:r w:rsidRPr="00EA1BB2">
        <w:rPr>
          <w:rFonts w:ascii="Cambria" w:eastAsia="Calibri" w:hAnsi="Cambria" w:cs="Times New Roman"/>
          <w:sz w:val="24"/>
          <w:szCs w:val="24"/>
        </w:rPr>
        <w:t>La estimarea emisiilor pentru anul de proiecție,</w:t>
      </w:r>
      <w:r w:rsidR="00BD06C5" w:rsidRPr="00EA1BB2">
        <w:rPr>
          <w:rFonts w:ascii="Cambria" w:eastAsia="Calibri" w:hAnsi="Cambria" w:cs="Times New Roman"/>
          <w:sz w:val="24"/>
          <w:szCs w:val="24"/>
        </w:rPr>
        <w:t xml:space="preserve"> </w:t>
      </w:r>
      <w:r w:rsidRPr="00EA1BB2">
        <w:rPr>
          <w:rFonts w:ascii="Cambria" w:eastAsia="Calibri" w:hAnsi="Cambria" w:cs="Times New Roman"/>
          <w:sz w:val="24"/>
          <w:szCs w:val="24"/>
        </w:rPr>
        <w:t>s-a luat în considerare efectul măsurilor implementate și în curs de implementare identificate, efectul măsurilor care vor fi implementate ca urmare a aplicării legislației existente, în perioada previzionată, dezvoltarea principalelor domenii de activitate importante pentru emisiile de poluanți.</w:t>
      </w:r>
    </w:p>
    <w:p w14:paraId="1545A6CB" w14:textId="77777777" w:rsidR="00C039ED" w:rsidRPr="00EA1BB2" w:rsidRDefault="00C039ED" w:rsidP="00C54A1C">
      <w:pPr>
        <w:spacing w:line="360" w:lineRule="auto"/>
        <w:ind w:firstLine="709"/>
        <w:jc w:val="both"/>
        <w:rPr>
          <w:rFonts w:ascii="Cambria" w:eastAsia="Calibri" w:hAnsi="Cambria" w:cs="Times New Roman"/>
          <w:sz w:val="24"/>
          <w:szCs w:val="24"/>
        </w:rPr>
      </w:pPr>
    </w:p>
    <w:p w14:paraId="2C1C74B7" w14:textId="33098112" w:rsidR="00C039ED" w:rsidRPr="00EA1BB2" w:rsidRDefault="00C039ED" w:rsidP="00C039ED">
      <w:pPr>
        <w:pStyle w:val="Caption"/>
        <w:keepNext/>
        <w:spacing w:after="0" w:line="360" w:lineRule="auto"/>
        <w:ind w:firstLine="708"/>
        <w:jc w:val="both"/>
        <w:rPr>
          <w:rFonts w:ascii="Cambria" w:hAnsi="Cambria"/>
        </w:rPr>
      </w:pPr>
      <w:bookmarkStart w:id="257" w:name="_Toc512346911"/>
      <w:bookmarkStart w:id="258" w:name="_Toc526889820"/>
      <w:r w:rsidRPr="00EA1BB2">
        <w:rPr>
          <w:rFonts w:ascii="Cambria" w:hAnsi="Cambria"/>
        </w:rPr>
        <w:t xml:space="preserve">Tabelul nr. </w:t>
      </w:r>
      <w:r w:rsidR="000A2FE7" w:rsidRPr="00EA1BB2">
        <w:rPr>
          <w:rFonts w:ascii="Cambria" w:hAnsi="Cambria"/>
        </w:rPr>
        <w:fldChar w:fldCharType="begin"/>
      </w:r>
      <w:r w:rsidR="000A2FE7" w:rsidRPr="00EA1BB2">
        <w:rPr>
          <w:rFonts w:ascii="Cambria" w:hAnsi="Cambria"/>
        </w:rPr>
        <w:instrText xml:space="preserve"> STYLEREF 1 \s </w:instrText>
      </w:r>
      <w:r w:rsidR="000A2FE7" w:rsidRPr="00EA1BB2">
        <w:rPr>
          <w:rFonts w:ascii="Cambria" w:hAnsi="Cambria"/>
        </w:rPr>
        <w:fldChar w:fldCharType="separate"/>
      </w:r>
      <w:r w:rsidR="00567555">
        <w:rPr>
          <w:rFonts w:ascii="Cambria" w:hAnsi="Cambria"/>
          <w:noProof/>
        </w:rPr>
        <w:t>5</w:t>
      </w:r>
      <w:r w:rsidR="000A2FE7" w:rsidRPr="00EA1BB2">
        <w:rPr>
          <w:rFonts w:ascii="Cambria" w:hAnsi="Cambria"/>
        </w:rPr>
        <w:fldChar w:fldCharType="end"/>
      </w:r>
      <w:r w:rsidR="000A2FE7" w:rsidRPr="00EA1BB2">
        <w:rPr>
          <w:rFonts w:ascii="Cambria" w:hAnsi="Cambria"/>
        </w:rPr>
        <w:noBreakHyphen/>
      </w:r>
      <w:r w:rsidR="000A2FE7" w:rsidRPr="00EA1BB2">
        <w:rPr>
          <w:rFonts w:ascii="Cambria" w:hAnsi="Cambria"/>
        </w:rPr>
        <w:fldChar w:fldCharType="begin"/>
      </w:r>
      <w:r w:rsidR="000A2FE7" w:rsidRPr="00EA1BB2">
        <w:rPr>
          <w:rFonts w:ascii="Cambria" w:hAnsi="Cambria"/>
        </w:rPr>
        <w:instrText xml:space="preserve"> SEQ Tabelul_nr. \* ARABIC \s 1 </w:instrText>
      </w:r>
      <w:r w:rsidR="000A2FE7" w:rsidRPr="00EA1BB2">
        <w:rPr>
          <w:rFonts w:ascii="Cambria" w:hAnsi="Cambria"/>
        </w:rPr>
        <w:fldChar w:fldCharType="separate"/>
      </w:r>
      <w:r w:rsidR="00567555">
        <w:rPr>
          <w:rFonts w:ascii="Cambria" w:hAnsi="Cambria"/>
          <w:noProof/>
        </w:rPr>
        <w:t>3</w:t>
      </w:r>
      <w:r w:rsidR="000A2FE7" w:rsidRPr="00EA1BB2">
        <w:rPr>
          <w:rFonts w:ascii="Cambria" w:hAnsi="Cambria"/>
        </w:rPr>
        <w:fldChar w:fldCharType="end"/>
      </w:r>
      <w:r w:rsidRPr="00EA1BB2">
        <w:rPr>
          <w:rFonts w:ascii="Cambria" w:hAnsi="Cambria"/>
        </w:rPr>
        <w:t xml:space="preserve"> – Emisiile de poluanți în atmosferă în anul de proiecție</w:t>
      </w:r>
      <w:bookmarkEnd w:id="257"/>
      <w:bookmarkEnd w:id="258"/>
    </w:p>
    <w:tbl>
      <w:tblPr>
        <w:tblStyle w:val="TableGrid58"/>
        <w:tblW w:w="5005" w:type="pct"/>
        <w:jc w:val="center"/>
        <w:tblLook w:val="04A0" w:firstRow="1" w:lastRow="0" w:firstColumn="1" w:lastColumn="0" w:noHBand="0" w:noVBand="1"/>
      </w:tblPr>
      <w:tblGrid>
        <w:gridCol w:w="2813"/>
        <w:gridCol w:w="3004"/>
        <w:gridCol w:w="1734"/>
        <w:gridCol w:w="1744"/>
      </w:tblGrid>
      <w:tr w:rsidR="00C039ED" w:rsidRPr="00EA1BB2" w14:paraId="45EF8A22" w14:textId="77777777" w:rsidTr="00F27A9D">
        <w:trPr>
          <w:trHeight w:val="280"/>
          <w:tblHeader/>
          <w:jc w:val="center"/>
        </w:trPr>
        <w:tc>
          <w:tcPr>
            <w:tcW w:w="1513" w:type="pct"/>
            <w:vMerge w:val="restart"/>
            <w:shd w:val="clear" w:color="auto" w:fill="BDD6EE" w:themeFill="accent1" w:themeFillTint="66"/>
            <w:vAlign w:val="center"/>
          </w:tcPr>
          <w:p w14:paraId="5AB66872" w14:textId="77777777" w:rsidR="00C039ED" w:rsidRPr="00EA1BB2" w:rsidRDefault="00C039ED" w:rsidP="00F27A9D">
            <w:pPr>
              <w:jc w:val="center"/>
              <w:rPr>
                <w:rFonts w:ascii="Cambria" w:hAnsi="Cambria"/>
                <w:b/>
                <w:sz w:val="24"/>
                <w:szCs w:val="24"/>
              </w:rPr>
            </w:pPr>
            <w:r w:rsidRPr="00EA1BB2">
              <w:rPr>
                <w:rFonts w:ascii="Cambria" w:hAnsi="Cambria"/>
                <w:b/>
                <w:sz w:val="24"/>
                <w:szCs w:val="24"/>
              </w:rPr>
              <w:t>Indicator</w:t>
            </w:r>
          </w:p>
        </w:tc>
        <w:tc>
          <w:tcPr>
            <w:tcW w:w="1616" w:type="pct"/>
            <w:vMerge w:val="restart"/>
            <w:shd w:val="clear" w:color="auto" w:fill="BDD6EE" w:themeFill="accent1" w:themeFillTint="66"/>
            <w:vAlign w:val="center"/>
          </w:tcPr>
          <w:p w14:paraId="22D1C0B2" w14:textId="77777777" w:rsidR="00C039ED" w:rsidRPr="00EA1BB2" w:rsidRDefault="00C039ED" w:rsidP="00F27A9D">
            <w:pPr>
              <w:jc w:val="center"/>
              <w:rPr>
                <w:rFonts w:ascii="Cambria" w:hAnsi="Cambria"/>
                <w:b/>
                <w:sz w:val="24"/>
                <w:szCs w:val="24"/>
              </w:rPr>
            </w:pPr>
            <w:r w:rsidRPr="00EA1BB2">
              <w:rPr>
                <w:rFonts w:ascii="Cambria" w:hAnsi="Cambria"/>
                <w:b/>
                <w:sz w:val="24"/>
                <w:szCs w:val="24"/>
              </w:rPr>
              <w:t>Categorie surse de emisie</w:t>
            </w:r>
          </w:p>
        </w:tc>
        <w:tc>
          <w:tcPr>
            <w:tcW w:w="1871" w:type="pct"/>
            <w:gridSpan w:val="2"/>
            <w:shd w:val="clear" w:color="auto" w:fill="BDD6EE" w:themeFill="accent1" w:themeFillTint="66"/>
            <w:vAlign w:val="center"/>
          </w:tcPr>
          <w:p w14:paraId="63DA39FD" w14:textId="77777777" w:rsidR="00C039ED" w:rsidRPr="00EA1BB2" w:rsidRDefault="00C039ED" w:rsidP="00F27A9D">
            <w:pPr>
              <w:jc w:val="center"/>
              <w:rPr>
                <w:rFonts w:ascii="Cambria" w:hAnsi="Cambria"/>
                <w:b/>
                <w:sz w:val="24"/>
                <w:szCs w:val="24"/>
              </w:rPr>
            </w:pPr>
            <w:r w:rsidRPr="00EA1BB2">
              <w:rPr>
                <w:rFonts w:ascii="Cambria" w:hAnsi="Cambria"/>
                <w:b/>
                <w:sz w:val="24"/>
                <w:szCs w:val="24"/>
              </w:rPr>
              <w:t>Cantitatea totală de emisii 2022</w:t>
            </w:r>
          </w:p>
        </w:tc>
      </w:tr>
      <w:tr w:rsidR="00C039ED" w:rsidRPr="00EA1BB2" w14:paraId="67E8610C" w14:textId="77777777" w:rsidTr="00F27A9D">
        <w:trPr>
          <w:trHeight w:val="280"/>
          <w:tblHeader/>
          <w:jc w:val="center"/>
        </w:trPr>
        <w:tc>
          <w:tcPr>
            <w:tcW w:w="1513" w:type="pct"/>
            <w:vMerge/>
            <w:shd w:val="clear" w:color="auto" w:fill="BDD6EE" w:themeFill="accent1" w:themeFillTint="66"/>
            <w:vAlign w:val="center"/>
          </w:tcPr>
          <w:p w14:paraId="1193116C" w14:textId="77777777" w:rsidR="00C039ED" w:rsidRPr="00EA1BB2" w:rsidRDefault="00C039ED" w:rsidP="00F27A9D">
            <w:pPr>
              <w:jc w:val="center"/>
              <w:rPr>
                <w:rFonts w:ascii="Cambria" w:hAnsi="Cambria"/>
                <w:b/>
                <w:sz w:val="24"/>
                <w:szCs w:val="24"/>
              </w:rPr>
            </w:pPr>
          </w:p>
        </w:tc>
        <w:tc>
          <w:tcPr>
            <w:tcW w:w="1616" w:type="pct"/>
            <w:vMerge/>
            <w:shd w:val="clear" w:color="auto" w:fill="BDD6EE" w:themeFill="accent1" w:themeFillTint="66"/>
            <w:vAlign w:val="center"/>
          </w:tcPr>
          <w:p w14:paraId="52101242" w14:textId="77777777" w:rsidR="00C039ED" w:rsidRPr="00EA1BB2" w:rsidRDefault="00C039ED" w:rsidP="00F27A9D">
            <w:pPr>
              <w:jc w:val="center"/>
              <w:rPr>
                <w:rFonts w:ascii="Cambria" w:hAnsi="Cambria"/>
                <w:b/>
                <w:sz w:val="24"/>
                <w:szCs w:val="24"/>
              </w:rPr>
            </w:pPr>
          </w:p>
        </w:tc>
        <w:tc>
          <w:tcPr>
            <w:tcW w:w="933" w:type="pct"/>
            <w:shd w:val="clear" w:color="auto" w:fill="BDD6EE" w:themeFill="accent1" w:themeFillTint="66"/>
            <w:vAlign w:val="center"/>
          </w:tcPr>
          <w:p w14:paraId="4D994664" w14:textId="77777777" w:rsidR="00C039ED" w:rsidRPr="00EA1BB2" w:rsidRDefault="00C039ED" w:rsidP="00F27A9D">
            <w:pPr>
              <w:jc w:val="center"/>
              <w:rPr>
                <w:rFonts w:ascii="Cambria" w:hAnsi="Cambria"/>
                <w:b/>
                <w:sz w:val="24"/>
                <w:szCs w:val="24"/>
              </w:rPr>
            </w:pPr>
            <w:r w:rsidRPr="00EA1BB2">
              <w:rPr>
                <w:rFonts w:ascii="Cambria" w:hAnsi="Cambria"/>
                <w:b/>
                <w:sz w:val="24"/>
                <w:szCs w:val="24"/>
              </w:rPr>
              <w:t>(t/an)</w:t>
            </w:r>
          </w:p>
        </w:tc>
        <w:tc>
          <w:tcPr>
            <w:tcW w:w="938" w:type="pct"/>
            <w:shd w:val="clear" w:color="auto" w:fill="BDD6EE" w:themeFill="accent1" w:themeFillTint="66"/>
          </w:tcPr>
          <w:p w14:paraId="0C2E510F" w14:textId="77777777" w:rsidR="00C039ED" w:rsidRPr="00EA1BB2" w:rsidRDefault="00C039ED" w:rsidP="00F27A9D">
            <w:pPr>
              <w:jc w:val="center"/>
              <w:rPr>
                <w:rFonts w:ascii="Cambria" w:hAnsi="Cambria"/>
                <w:b/>
                <w:sz w:val="24"/>
                <w:szCs w:val="24"/>
              </w:rPr>
            </w:pPr>
            <w:r w:rsidRPr="00EA1BB2">
              <w:rPr>
                <w:rFonts w:ascii="Cambria" w:hAnsi="Cambria"/>
                <w:b/>
                <w:sz w:val="24"/>
                <w:szCs w:val="24"/>
              </w:rPr>
              <w:t>%</w:t>
            </w:r>
          </w:p>
        </w:tc>
      </w:tr>
      <w:tr w:rsidR="000F7F91" w:rsidRPr="00EA1BB2" w14:paraId="07CD38B7" w14:textId="77777777" w:rsidTr="00F27A9D">
        <w:trPr>
          <w:jc w:val="center"/>
        </w:trPr>
        <w:tc>
          <w:tcPr>
            <w:tcW w:w="1513" w:type="pct"/>
            <w:vMerge w:val="restart"/>
            <w:vAlign w:val="center"/>
          </w:tcPr>
          <w:p w14:paraId="58DFF6D4" w14:textId="77777777" w:rsidR="000F7F91" w:rsidRPr="00EA1BB2" w:rsidRDefault="000F7F91" w:rsidP="000F7F91">
            <w:pPr>
              <w:jc w:val="center"/>
              <w:rPr>
                <w:rFonts w:ascii="Cambria" w:hAnsi="Cambria"/>
                <w:sz w:val="24"/>
                <w:szCs w:val="24"/>
              </w:rPr>
            </w:pPr>
            <w:r w:rsidRPr="00EA1BB2">
              <w:rPr>
                <w:rFonts w:ascii="Cambria" w:hAnsi="Cambria"/>
                <w:sz w:val="24"/>
                <w:szCs w:val="24"/>
              </w:rPr>
              <w:t xml:space="preserve">Oxizi de azot </w:t>
            </w:r>
          </w:p>
          <w:p w14:paraId="230D0B51" w14:textId="77777777" w:rsidR="000F7F91" w:rsidRPr="00EA1BB2" w:rsidRDefault="000F7F91" w:rsidP="000F7F91">
            <w:pPr>
              <w:jc w:val="center"/>
              <w:rPr>
                <w:rFonts w:ascii="Cambria" w:hAnsi="Cambria"/>
                <w:sz w:val="24"/>
                <w:szCs w:val="24"/>
              </w:rPr>
            </w:pPr>
            <w:r w:rsidRPr="00EA1BB2">
              <w:rPr>
                <w:rFonts w:ascii="Cambria" w:hAnsi="Cambria"/>
                <w:sz w:val="24"/>
                <w:szCs w:val="24"/>
              </w:rPr>
              <w:t>(NO</w:t>
            </w:r>
            <w:r w:rsidRPr="00EA1BB2">
              <w:rPr>
                <w:rFonts w:ascii="Cambria" w:hAnsi="Cambria"/>
                <w:sz w:val="24"/>
                <w:szCs w:val="24"/>
                <w:vertAlign w:val="subscript"/>
              </w:rPr>
              <w:t>X</w:t>
            </w:r>
            <w:r w:rsidRPr="00EA1BB2">
              <w:rPr>
                <w:rFonts w:ascii="Cambria" w:hAnsi="Cambria"/>
                <w:sz w:val="24"/>
                <w:szCs w:val="24"/>
              </w:rPr>
              <w:t xml:space="preserve">) </w:t>
            </w:r>
          </w:p>
        </w:tc>
        <w:tc>
          <w:tcPr>
            <w:tcW w:w="1616" w:type="pct"/>
            <w:vAlign w:val="center"/>
          </w:tcPr>
          <w:p w14:paraId="4677F645"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staționare</w:t>
            </w:r>
          </w:p>
        </w:tc>
        <w:tc>
          <w:tcPr>
            <w:tcW w:w="933" w:type="pct"/>
            <w:tcBorders>
              <w:top w:val="single" w:sz="4" w:space="0" w:color="auto"/>
              <w:left w:val="nil"/>
              <w:bottom w:val="single" w:sz="4" w:space="0" w:color="auto"/>
              <w:right w:val="single" w:sz="4" w:space="0" w:color="auto"/>
            </w:tcBorders>
            <w:shd w:val="clear" w:color="auto" w:fill="auto"/>
          </w:tcPr>
          <w:p w14:paraId="032F98BA"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16,904</w:t>
            </w:r>
          </w:p>
        </w:tc>
        <w:tc>
          <w:tcPr>
            <w:tcW w:w="938" w:type="pct"/>
            <w:tcBorders>
              <w:top w:val="single" w:sz="4" w:space="0" w:color="auto"/>
              <w:left w:val="nil"/>
              <w:bottom w:val="single" w:sz="4" w:space="0" w:color="auto"/>
              <w:right w:val="single" w:sz="4" w:space="0" w:color="auto"/>
            </w:tcBorders>
          </w:tcPr>
          <w:p w14:paraId="5402BB03" w14:textId="77777777" w:rsidR="000F7F91" w:rsidRPr="00EA1BB2" w:rsidRDefault="00E01F00" w:rsidP="000F7F91">
            <w:pPr>
              <w:jc w:val="center"/>
              <w:rPr>
                <w:rFonts w:ascii="Cambria" w:hAnsi="Cambria"/>
                <w:sz w:val="24"/>
                <w:szCs w:val="24"/>
              </w:rPr>
            </w:pPr>
            <w:r w:rsidRPr="00EA1BB2">
              <w:rPr>
                <w:rFonts w:ascii="Cambria" w:hAnsi="Cambria"/>
                <w:sz w:val="24"/>
                <w:szCs w:val="24"/>
              </w:rPr>
              <w:t>3,68</w:t>
            </w:r>
          </w:p>
        </w:tc>
      </w:tr>
      <w:tr w:rsidR="000F7F91" w:rsidRPr="00EA1BB2" w14:paraId="41D841A5" w14:textId="77777777" w:rsidTr="00F27A9D">
        <w:trPr>
          <w:jc w:val="center"/>
        </w:trPr>
        <w:tc>
          <w:tcPr>
            <w:tcW w:w="1513" w:type="pct"/>
            <w:vMerge/>
            <w:vAlign w:val="center"/>
          </w:tcPr>
          <w:p w14:paraId="670567B2" w14:textId="77777777" w:rsidR="000F7F91" w:rsidRPr="00EA1BB2" w:rsidRDefault="000F7F91" w:rsidP="000F7F91">
            <w:pPr>
              <w:jc w:val="center"/>
              <w:rPr>
                <w:rFonts w:ascii="Cambria" w:hAnsi="Cambria"/>
                <w:sz w:val="24"/>
                <w:szCs w:val="24"/>
              </w:rPr>
            </w:pPr>
          </w:p>
        </w:tc>
        <w:tc>
          <w:tcPr>
            <w:tcW w:w="1616" w:type="pct"/>
            <w:vAlign w:val="center"/>
          </w:tcPr>
          <w:p w14:paraId="5567FFBD"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mobile</w:t>
            </w:r>
          </w:p>
        </w:tc>
        <w:tc>
          <w:tcPr>
            <w:tcW w:w="933" w:type="pct"/>
            <w:tcBorders>
              <w:top w:val="single" w:sz="4" w:space="0" w:color="auto"/>
              <w:left w:val="nil"/>
              <w:bottom w:val="single" w:sz="4" w:space="0" w:color="auto"/>
              <w:right w:val="single" w:sz="4" w:space="0" w:color="auto"/>
            </w:tcBorders>
            <w:shd w:val="clear" w:color="auto" w:fill="auto"/>
          </w:tcPr>
          <w:p w14:paraId="11CADAF7"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408,437</w:t>
            </w:r>
          </w:p>
        </w:tc>
        <w:tc>
          <w:tcPr>
            <w:tcW w:w="938" w:type="pct"/>
            <w:tcBorders>
              <w:top w:val="single" w:sz="4" w:space="0" w:color="auto"/>
              <w:left w:val="nil"/>
              <w:bottom w:val="single" w:sz="4" w:space="0" w:color="auto"/>
              <w:right w:val="single" w:sz="4" w:space="0" w:color="auto"/>
            </w:tcBorders>
          </w:tcPr>
          <w:p w14:paraId="2E3EFF63" w14:textId="77777777" w:rsidR="000F7F91" w:rsidRPr="00EA1BB2" w:rsidRDefault="00E01F00" w:rsidP="000F7F91">
            <w:pPr>
              <w:jc w:val="center"/>
              <w:rPr>
                <w:rFonts w:ascii="Cambria" w:hAnsi="Cambria"/>
                <w:sz w:val="24"/>
                <w:szCs w:val="24"/>
              </w:rPr>
            </w:pPr>
            <w:r w:rsidRPr="00EA1BB2">
              <w:rPr>
                <w:rFonts w:ascii="Cambria" w:hAnsi="Cambria"/>
                <w:sz w:val="24"/>
                <w:szCs w:val="24"/>
              </w:rPr>
              <w:t>88,83</w:t>
            </w:r>
          </w:p>
        </w:tc>
      </w:tr>
      <w:tr w:rsidR="000F7F91" w:rsidRPr="00EA1BB2" w14:paraId="01FA0C25" w14:textId="77777777" w:rsidTr="00F27A9D">
        <w:trPr>
          <w:trHeight w:val="182"/>
          <w:jc w:val="center"/>
        </w:trPr>
        <w:tc>
          <w:tcPr>
            <w:tcW w:w="1513" w:type="pct"/>
            <w:vMerge/>
            <w:vAlign w:val="center"/>
          </w:tcPr>
          <w:p w14:paraId="205B3820" w14:textId="77777777" w:rsidR="000F7F91" w:rsidRPr="00EA1BB2" w:rsidRDefault="000F7F91" w:rsidP="000F7F91">
            <w:pPr>
              <w:jc w:val="center"/>
              <w:rPr>
                <w:rFonts w:ascii="Cambria" w:hAnsi="Cambria"/>
                <w:sz w:val="24"/>
                <w:szCs w:val="24"/>
              </w:rPr>
            </w:pPr>
          </w:p>
        </w:tc>
        <w:tc>
          <w:tcPr>
            <w:tcW w:w="1616" w:type="pct"/>
            <w:vAlign w:val="center"/>
          </w:tcPr>
          <w:p w14:paraId="6684EDA7"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de suprafață</w:t>
            </w:r>
          </w:p>
        </w:tc>
        <w:tc>
          <w:tcPr>
            <w:tcW w:w="933" w:type="pct"/>
            <w:tcBorders>
              <w:top w:val="single" w:sz="4" w:space="0" w:color="auto"/>
              <w:left w:val="nil"/>
              <w:bottom w:val="single" w:sz="4" w:space="0" w:color="auto"/>
              <w:right w:val="single" w:sz="4" w:space="0" w:color="auto"/>
            </w:tcBorders>
            <w:shd w:val="clear" w:color="auto" w:fill="auto"/>
          </w:tcPr>
          <w:p w14:paraId="149E0B31"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34,431</w:t>
            </w:r>
          </w:p>
        </w:tc>
        <w:tc>
          <w:tcPr>
            <w:tcW w:w="938" w:type="pct"/>
            <w:tcBorders>
              <w:top w:val="single" w:sz="4" w:space="0" w:color="auto"/>
              <w:left w:val="nil"/>
              <w:bottom w:val="single" w:sz="4" w:space="0" w:color="auto"/>
              <w:right w:val="single" w:sz="4" w:space="0" w:color="auto"/>
            </w:tcBorders>
          </w:tcPr>
          <w:p w14:paraId="0E202362" w14:textId="77777777" w:rsidR="000F7F91" w:rsidRPr="00EA1BB2" w:rsidRDefault="00E01F00" w:rsidP="000F7F91">
            <w:pPr>
              <w:jc w:val="center"/>
              <w:rPr>
                <w:rFonts w:ascii="Cambria" w:hAnsi="Cambria"/>
                <w:sz w:val="24"/>
                <w:szCs w:val="24"/>
              </w:rPr>
            </w:pPr>
            <w:r w:rsidRPr="00EA1BB2">
              <w:rPr>
                <w:rFonts w:ascii="Cambria" w:hAnsi="Cambria"/>
                <w:sz w:val="24"/>
                <w:szCs w:val="24"/>
              </w:rPr>
              <w:t>7,49</w:t>
            </w:r>
          </w:p>
        </w:tc>
      </w:tr>
      <w:tr w:rsidR="000F7F91" w:rsidRPr="00EA1BB2" w14:paraId="4EC9295B" w14:textId="77777777" w:rsidTr="00F27A9D">
        <w:trPr>
          <w:jc w:val="center"/>
        </w:trPr>
        <w:tc>
          <w:tcPr>
            <w:tcW w:w="1513" w:type="pct"/>
            <w:vMerge/>
            <w:vAlign w:val="center"/>
          </w:tcPr>
          <w:p w14:paraId="70B09AFD" w14:textId="77777777" w:rsidR="000F7F91" w:rsidRPr="00EA1BB2" w:rsidRDefault="000F7F91" w:rsidP="000F7F91">
            <w:pPr>
              <w:jc w:val="center"/>
              <w:rPr>
                <w:rFonts w:ascii="Cambria" w:hAnsi="Cambria"/>
                <w:sz w:val="24"/>
                <w:szCs w:val="24"/>
              </w:rPr>
            </w:pPr>
          </w:p>
        </w:tc>
        <w:tc>
          <w:tcPr>
            <w:tcW w:w="1616" w:type="pct"/>
            <w:vAlign w:val="center"/>
          </w:tcPr>
          <w:p w14:paraId="4236DAEB" w14:textId="77777777" w:rsidR="000F7F91" w:rsidRPr="00EA1BB2" w:rsidRDefault="000F7F91" w:rsidP="000F7F91">
            <w:pPr>
              <w:jc w:val="center"/>
              <w:rPr>
                <w:rFonts w:ascii="Cambria" w:hAnsi="Cambria"/>
                <w:sz w:val="24"/>
                <w:szCs w:val="24"/>
              </w:rPr>
            </w:pPr>
            <w:r w:rsidRPr="00EA1BB2">
              <w:rPr>
                <w:rFonts w:ascii="Cambria" w:hAnsi="Cambria"/>
                <w:sz w:val="24"/>
                <w:szCs w:val="24"/>
              </w:rPr>
              <w:t>TOTAL</w:t>
            </w:r>
          </w:p>
        </w:tc>
        <w:tc>
          <w:tcPr>
            <w:tcW w:w="933" w:type="pct"/>
            <w:tcBorders>
              <w:top w:val="single" w:sz="4" w:space="0" w:color="auto"/>
              <w:left w:val="nil"/>
              <w:bottom w:val="single" w:sz="4" w:space="0" w:color="auto"/>
              <w:right w:val="single" w:sz="4" w:space="0" w:color="auto"/>
            </w:tcBorders>
            <w:shd w:val="clear" w:color="auto" w:fill="auto"/>
          </w:tcPr>
          <w:p w14:paraId="4D792F47"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459,772</w:t>
            </w:r>
          </w:p>
        </w:tc>
        <w:tc>
          <w:tcPr>
            <w:tcW w:w="938" w:type="pct"/>
            <w:tcBorders>
              <w:top w:val="single" w:sz="4" w:space="0" w:color="auto"/>
              <w:left w:val="nil"/>
              <w:bottom w:val="single" w:sz="4" w:space="0" w:color="auto"/>
              <w:right w:val="single" w:sz="4" w:space="0" w:color="auto"/>
            </w:tcBorders>
          </w:tcPr>
          <w:p w14:paraId="3D17A2B1" w14:textId="77777777" w:rsidR="000F7F91" w:rsidRPr="00EA1BB2" w:rsidRDefault="00E01F00" w:rsidP="000F7F91">
            <w:pPr>
              <w:jc w:val="center"/>
              <w:rPr>
                <w:rFonts w:ascii="Cambria" w:hAnsi="Cambria"/>
                <w:sz w:val="24"/>
                <w:szCs w:val="24"/>
              </w:rPr>
            </w:pPr>
            <w:r w:rsidRPr="00EA1BB2">
              <w:rPr>
                <w:rFonts w:ascii="Cambria" w:hAnsi="Cambria"/>
                <w:sz w:val="24"/>
                <w:szCs w:val="24"/>
              </w:rPr>
              <w:t>100</w:t>
            </w:r>
          </w:p>
        </w:tc>
      </w:tr>
      <w:tr w:rsidR="000F7F91" w:rsidRPr="00EA1BB2" w14:paraId="6356AD4A" w14:textId="77777777" w:rsidTr="00F27A9D">
        <w:trPr>
          <w:jc w:val="center"/>
        </w:trPr>
        <w:tc>
          <w:tcPr>
            <w:tcW w:w="1513" w:type="pct"/>
            <w:vMerge w:val="restart"/>
            <w:vAlign w:val="center"/>
          </w:tcPr>
          <w:p w14:paraId="164465B9" w14:textId="77777777" w:rsidR="000F7F91" w:rsidRPr="00EA1BB2" w:rsidRDefault="000F7F91" w:rsidP="000F7F91">
            <w:pPr>
              <w:jc w:val="center"/>
              <w:rPr>
                <w:rFonts w:ascii="Cambria" w:hAnsi="Cambria"/>
                <w:sz w:val="24"/>
                <w:szCs w:val="24"/>
              </w:rPr>
            </w:pPr>
            <w:r w:rsidRPr="00EA1BB2">
              <w:rPr>
                <w:rFonts w:ascii="Cambria" w:hAnsi="Cambria"/>
                <w:sz w:val="24"/>
                <w:szCs w:val="24"/>
              </w:rPr>
              <w:t>Pulberi în suspensie (PM</w:t>
            </w:r>
            <w:r w:rsidRPr="00EA1BB2">
              <w:rPr>
                <w:rFonts w:ascii="Cambria" w:hAnsi="Cambria"/>
                <w:sz w:val="24"/>
                <w:szCs w:val="24"/>
                <w:vertAlign w:val="subscript"/>
              </w:rPr>
              <w:t>10</w:t>
            </w:r>
            <w:r w:rsidRPr="00EA1BB2">
              <w:rPr>
                <w:rFonts w:ascii="Cambria" w:hAnsi="Cambria"/>
                <w:sz w:val="24"/>
                <w:szCs w:val="24"/>
              </w:rPr>
              <w:t>)</w:t>
            </w:r>
          </w:p>
        </w:tc>
        <w:tc>
          <w:tcPr>
            <w:tcW w:w="1616" w:type="pct"/>
            <w:vAlign w:val="center"/>
          </w:tcPr>
          <w:p w14:paraId="58FF1FA1"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staționare</w:t>
            </w:r>
          </w:p>
        </w:tc>
        <w:tc>
          <w:tcPr>
            <w:tcW w:w="933" w:type="pct"/>
            <w:tcBorders>
              <w:top w:val="single" w:sz="4" w:space="0" w:color="auto"/>
              <w:left w:val="nil"/>
              <w:bottom w:val="single" w:sz="4" w:space="0" w:color="auto"/>
              <w:right w:val="single" w:sz="4" w:space="0" w:color="auto"/>
            </w:tcBorders>
            <w:shd w:val="clear" w:color="auto" w:fill="auto"/>
          </w:tcPr>
          <w:p w14:paraId="4E6D50E2"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504,249</w:t>
            </w:r>
          </w:p>
        </w:tc>
        <w:tc>
          <w:tcPr>
            <w:tcW w:w="938" w:type="pct"/>
            <w:tcBorders>
              <w:top w:val="single" w:sz="4" w:space="0" w:color="auto"/>
              <w:left w:val="nil"/>
              <w:bottom w:val="single" w:sz="4" w:space="0" w:color="auto"/>
              <w:right w:val="single" w:sz="4" w:space="0" w:color="auto"/>
            </w:tcBorders>
          </w:tcPr>
          <w:p w14:paraId="52C4CF6F" w14:textId="77777777" w:rsidR="000F7F91" w:rsidRPr="00EA1BB2" w:rsidRDefault="00E01F00" w:rsidP="000F7F91">
            <w:pPr>
              <w:jc w:val="center"/>
              <w:rPr>
                <w:rFonts w:ascii="Cambria" w:hAnsi="Cambria"/>
                <w:sz w:val="24"/>
                <w:szCs w:val="24"/>
              </w:rPr>
            </w:pPr>
            <w:r w:rsidRPr="00EA1BB2">
              <w:rPr>
                <w:rFonts w:ascii="Cambria" w:hAnsi="Cambria"/>
                <w:sz w:val="24"/>
                <w:szCs w:val="24"/>
              </w:rPr>
              <w:t>62,95</w:t>
            </w:r>
          </w:p>
        </w:tc>
      </w:tr>
      <w:tr w:rsidR="000F7F91" w:rsidRPr="00EA1BB2" w14:paraId="23CE6E3A" w14:textId="77777777" w:rsidTr="00F27A9D">
        <w:trPr>
          <w:jc w:val="center"/>
        </w:trPr>
        <w:tc>
          <w:tcPr>
            <w:tcW w:w="1513" w:type="pct"/>
            <w:vMerge/>
            <w:vAlign w:val="center"/>
          </w:tcPr>
          <w:p w14:paraId="0F42D32B" w14:textId="77777777" w:rsidR="000F7F91" w:rsidRPr="00EA1BB2" w:rsidRDefault="000F7F91" w:rsidP="000F7F91">
            <w:pPr>
              <w:jc w:val="center"/>
              <w:rPr>
                <w:rFonts w:ascii="Cambria" w:hAnsi="Cambria"/>
                <w:sz w:val="24"/>
                <w:szCs w:val="24"/>
              </w:rPr>
            </w:pPr>
          </w:p>
        </w:tc>
        <w:tc>
          <w:tcPr>
            <w:tcW w:w="1616" w:type="pct"/>
            <w:vAlign w:val="center"/>
          </w:tcPr>
          <w:p w14:paraId="11ABBF96"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mobile</w:t>
            </w:r>
          </w:p>
        </w:tc>
        <w:tc>
          <w:tcPr>
            <w:tcW w:w="933" w:type="pct"/>
            <w:tcBorders>
              <w:top w:val="single" w:sz="4" w:space="0" w:color="auto"/>
              <w:left w:val="nil"/>
              <w:bottom w:val="single" w:sz="4" w:space="0" w:color="auto"/>
              <w:right w:val="single" w:sz="4" w:space="0" w:color="auto"/>
            </w:tcBorders>
            <w:shd w:val="clear" w:color="auto" w:fill="auto"/>
          </w:tcPr>
          <w:p w14:paraId="04E1A25B"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42,500</w:t>
            </w:r>
          </w:p>
        </w:tc>
        <w:tc>
          <w:tcPr>
            <w:tcW w:w="938" w:type="pct"/>
            <w:tcBorders>
              <w:top w:val="single" w:sz="4" w:space="0" w:color="auto"/>
              <w:left w:val="nil"/>
              <w:bottom w:val="single" w:sz="4" w:space="0" w:color="auto"/>
              <w:right w:val="single" w:sz="4" w:space="0" w:color="auto"/>
            </w:tcBorders>
          </w:tcPr>
          <w:p w14:paraId="5F1E2DC3" w14:textId="77777777" w:rsidR="000F7F91" w:rsidRPr="00EA1BB2" w:rsidRDefault="00E01F00" w:rsidP="000F7F91">
            <w:pPr>
              <w:jc w:val="center"/>
              <w:rPr>
                <w:rFonts w:ascii="Cambria" w:hAnsi="Cambria"/>
                <w:sz w:val="24"/>
                <w:szCs w:val="24"/>
              </w:rPr>
            </w:pPr>
            <w:r w:rsidRPr="00EA1BB2">
              <w:rPr>
                <w:rFonts w:ascii="Cambria" w:hAnsi="Cambria"/>
                <w:sz w:val="24"/>
                <w:szCs w:val="24"/>
              </w:rPr>
              <w:t>5,31</w:t>
            </w:r>
          </w:p>
        </w:tc>
      </w:tr>
      <w:tr w:rsidR="000F7F91" w:rsidRPr="00EA1BB2" w14:paraId="16624FEA" w14:textId="77777777" w:rsidTr="00F27A9D">
        <w:trPr>
          <w:jc w:val="center"/>
        </w:trPr>
        <w:tc>
          <w:tcPr>
            <w:tcW w:w="1513" w:type="pct"/>
            <w:vMerge/>
            <w:vAlign w:val="center"/>
          </w:tcPr>
          <w:p w14:paraId="41677F7C" w14:textId="77777777" w:rsidR="000F7F91" w:rsidRPr="00EA1BB2" w:rsidRDefault="000F7F91" w:rsidP="000F7F91">
            <w:pPr>
              <w:jc w:val="center"/>
              <w:rPr>
                <w:rFonts w:ascii="Cambria" w:hAnsi="Cambria"/>
                <w:sz w:val="24"/>
                <w:szCs w:val="24"/>
              </w:rPr>
            </w:pPr>
          </w:p>
        </w:tc>
        <w:tc>
          <w:tcPr>
            <w:tcW w:w="1616" w:type="pct"/>
            <w:vAlign w:val="center"/>
          </w:tcPr>
          <w:p w14:paraId="3A929EC6"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de suprafață</w:t>
            </w:r>
          </w:p>
        </w:tc>
        <w:tc>
          <w:tcPr>
            <w:tcW w:w="933" w:type="pct"/>
            <w:tcBorders>
              <w:top w:val="single" w:sz="4" w:space="0" w:color="auto"/>
              <w:left w:val="nil"/>
              <w:bottom w:val="single" w:sz="4" w:space="0" w:color="auto"/>
              <w:right w:val="single" w:sz="4" w:space="0" w:color="auto"/>
            </w:tcBorders>
            <w:shd w:val="clear" w:color="auto" w:fill="auto"/>
          </w:tcPr>
          <w:p w14:paraId="25E1ECE5"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254,342</w:t>
            </w:r>
          </w:p>
        </w:tc>
        <w:tc>
          <w:tcPr>
            <w:tcW w:w="938" w:type="pct"/>
            <w:tcBorders>
              <w:top w:val="single" w:sz="4" w:space="0" w:color="auto"/>
              <w:left w:val="nil"/>
              <w:bottom w:val="single" w:sz="4" w:space="0" w:color="auto"/>
              <w:right w:val="single" w:sz="4" w:space="0" w:color="auto"/>
            </w:tcBorders>
          </w:tcPr>
          <w:p w14:paraId="6749D44C" w14:textId="77777777" w:rsidR="000F7F91" w:rsidRPr="00EA1BB2" w:rsidRDefault="00E01F00" w:rsidP="000F7F91">
            <w:pPr>
              <w:jc w:val="center"/>
              <w:rPr>
                <w:rFonts w:ascii="Cambria" w:hAnsi="Cambria"/>
                <w:sz w:val="24"/>
                <w:szCs w:val="24"/>
              </w:rPr>
            </w:pPr>
            <w:r w:rsidRPr="00EA1BB2">
              <w:rPr>
                <w:rFonts w:ascii="Cambria" w:hAnsi="Cambria"/>
                <w:sz w:val="24"/>
                <w:szCs w:val="24"/>
              </w:rPr>
              <w:t>31,75</w:t>
            </w:r>
          </w:p>
        </w:tc>
      </w:tr>
      <w:tr w:rsidR="000F7F91" w:rsidRPr="00EA1BB2" w14:paraId="02A5716B" w14:textId="77777777" w:rsidTr="00F27A9D">
        <w:trPr>
          <w:jc w:val="center"/>
        </w:trPr>
        <w:tc>
          <w:tcPr>
            <w:tcW w:w="1513" w:type="pct"/>
            <w:vMerge/>
            <w:vAlign w:val="center"/>
          </w:tcPr>
          <w:p w14:paraId="54A0717D" w14:textId="77777777" w:rsidR="000F7F91" w:rsidRPr="00EA1BB2" w:rsidRDefault="000F7F91" w:rsidP="000F7F91">
            <w:pPr>
              <w:jc w:val="center"/>
              <w:rPr>
                <w:rFonts w:ascii="Cambria" w:hAnsi="Cambria"/>
                <w:sz w:val="24"/>
                <w:szCs w:val="24"/>
              </w:rPr>
            </w:pPr>
          </w:p>
        </w:tc>
        <w:tc>
          <w:tcPr>
            <w:tcW w:w="1616" w:type="pct"/>
            <w:vAlign w:val="center"/>
          </w:tcPr>
          <w:p w14:paraId="2A2EAC11" w14:textId="77777777" w:rsidR="000F7F91" w:rsidRPr="00EA1BB2" w:rsidRDefault="000F7F91" w:rsidP="000F7F91">
            <w:pPr>
              <w:jc w:val="center"/>
              <w:rPr>
                <w:rFonts w:ascii="Cambria" w:hAnsi="Cambria"/>
                <w:sz w:val="24"/>
                <w:szCs w:val="24"/>
              </w:rPr>
            </w:pPr>
            <w:r w:rsidRPr="00EA1BB2">
              <w:rPr>
                <w:rFonts w:ascii="Cambria" w:hAnsi="Cambria"/>
                <w:sz w:val="24"/>
                <w:szCs w:val="24"/>
              </w:rPr>
              <w:t>TOTAL</w:t>
            </w:r>
          </w:p>
        </w:tc>
        <w:tc>
          <w:tcPr>
            <w:tcW w:w="933" w:type="pct"/>
            <w:tcBorders>
              <w:top w:val="single" w:sz="4" w:space="0" w:color="auto"/>
              <w:left w:val="nil"/>
              <w:bottom w:val="single" w:sz="4" w:space="0" w:color="auto"/>
              <w:right w:val="single" w:sz="4" w:space="0" w:color="auto"/>
            </w:tcBorders>
            <w:shd w:val="clear" w:color="auto" w:fill="auto"/>
          </w:tcPr>
          <w:p w14:paraId="5B8BD1FB"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801,091</w:t>
            </w:r>
          </w:p>
        </w:tc>
        <w:tc>
          <w:tcPr>
            <w:tcW w:w="938" w:type="pct"/>
            <w:tcBorders>
              <w:top w:val="single" w:sz="4" w:space="0" w:color="auto"/>
              <w:left w:val="nil"/>
              <w:bottom w:val="single" w:sz="4" w:space="0" w:color="auto"/>
              <w:right w:val="single" w:sz="4" w:space="0" w:color="auto"/>
            </w:tcBorders>
          </w:tcPr>
          <w:p w14:paraId="1E0360CE" w14:textId="77777777" w:rsidR="000F7F91" w:rsidRPr="00EA1BB2" w:rsidRDefault="002C115C" w:rsidP="000F7F91">
            <w:pPr>
              <w:jc w:val="center"/>
              <w:rPr>
                <w:rFonts w:ascii="Cambria" w:hAnsi="Cambria"/>
                <w:sz w:val="24"/>
                <w:szCs w:val="24"/>
              </w:rPr>
            </w:pPr>
            <w:r w:rsidRPr="00EA1BB2">
              <w:rPr>
                <w:rFonts w:ascii="Cambria" w:hAnsi="Cambria"/>
                <w:sz w:val="24"/>
                <w:szCs w:val="24"/>
              </w:rPr>
              <w:t>100</w:t>
            </w:r>
          </w:p>
        </w:tc>
      </w:tr>
      <w:tr w:rsidR="000F7F91" w:rsidRPr="00EA1BB2" w14:paraId="2C7F62C6" w14:textId="77777777" w:rsidTr="00F27A9D">
        <w:trPr>
          <w:jc w:val="center"/>
        </w:trPr>
        <w:tc>
          <w:tcPr>
            <w:tcW w:w="1513" w:type="pct"/>
            <w:vMerge w:val="restart"/>
            <w:vAlign w:val="center"/>
          </w:tcPr>
          <w:p w14:paraId="1FFCBA4A" w14:textId="77777777" w:rsidR="000F7F91" w:rsidRPr="00EA1BB2" w:rsidRDefault="000F7F91" w:rsidP="000F7F91">
            <w:pPr>
              <w:jc w:val="center"/>
              <w:rPr>
                <w:rFonts w:ascii="Cambria" w:hAnsi="Cambria"/>
                <w:sz w:val="24"/>
                <w:szCs w:val="24"/>
                <w:highlight w:val="yellow"/>
              </w:rPr>
            </w:pPr>
            <w:r w:rsidRPr="00EA1BB2">
              <w:rPr>
                <w:rFonts w:ascii="Cambria" w:hAnsi="Cambria"/>
                <w:sz w:val="24"/>
                <w:szCs w:val="24"/>
              </w:rPr>
              <w:t>Pulberi în suspensie (PM</w:t>
            </w:r>
            <w:r w:rsidRPr="00EA1BB2">
              <w:rPr>
                <w:rFonts w:ascii="Cambria" w:hAnsi="Cambria"/>
                <w:sz w:val="24"/>
                <w:szCs w:val="24"/>
                <w:vertAlign w:val="subscript"/>
              </w:rPr>
              <w:t>2,5</w:t>
            </w:r>
            <w:r w:rsidRPr="00EA1BB2">
              <w:rPr>
                <w:rFonts w:ascii="Cambria" w:hAnsi="Cambria"/>
                <w:sz w:val="24"/>
                <w:szCs w:val="24"/>
              </w:rPr>
              <w:t>)</w:t>
            </w:r>
          </w:p>
        </w:tc>
        <w:tc>
          <w:tcPr>
            <w:tcW w:w="1616" w:type="pct"/>
            <w:vAlign w:val="center"/>
          </w:tcPr>
          <w:p w14:paraId="3D836700"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staționare</w:t>
            </w:r>
          </w:p>
        </w:tc>
        <w:tc>
          <w:tcPr>
            <w:tcW w:w="933" w:type="pct"/>
            <w:tcBorders>
              <w:top w:val="single" w:sz="4" w:space="0" w:color="auto"/>
              <w:left w:val="nil"/>
              <w:bottom w:val="single" w:sz="4" w:space="0" w:color="auto"/>
              <w:right w:val="single" w:sz="4" w:space="0" w:color="auto"/>
            </w:tcBorders>
            <w:shd w:val="clear" w:color="auto" w:fill="auto"/>
          </w:tcPr>
          <w:p w14:paraId="75134BBB"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126,375</w:t>
            </w:r>
          </w:p>
        </w:tc>
        <w:tc>
          <w:tcPr>
            <w:tcW w:w="938" w:type="pct"/>
            <w:tcBorders>
              <w:top w:val="single" w:sz="4" w:space="0" w:color="auto"/>
              <w:left w:val="nil"/>
              <w:bottom w:val="single" w:sz="4" w:space="0" w:color="auto"/>
              <w:right w:val="single" w:sz="4" w:space="0" w:color="auto"/>
            </w:tcBorders>
          </w:tcPr>
          <w:p w14:paraId="004D31E2" w14:textId="77777777" w:rsidR="000F7F91" w:rsidRPr="00EA1BB2" w:rsidRDefault="00E01F00" w:rsidP="000F7F91">
            <w:pPr>
              <w:jc w:val="center"/>
              <w:rPr>
                <w:rFonts w:ascii="Cambria" w:hAnsi="Cambria"/>
                <w:sz w:val="24"/>
                <w:szCs w:val="24"/>
              </w:rPr>
            </w:pPr>
            <w:r w:rsidRPr="00EA1BB2">
              <w:rPr>
                <w:rFonts w:ascii="Cambria" w:hAnsi="Cambria"/>
                <w:sz w:val="24"/>
                <w:szCs w:val="24"/>
              </w:rPr>
              <w:t>35,51</w:t>
            </w:r>
          </w:p>
        </w:tc>
      </w:tr>
      <w:tr w:rsidR="000F7F91" w:rsidRPr="00EA1BB2" w14:paraId="44EDFDB6" w14:textId="77777777" w:rsidTr="00F27A9D">
        <w:trPr>
          <w:jc w:val="center"/>
        </w:trPr>
        <w:tc>
          <w:tcPr>
            <w:tcW w:w="1513" w:type="pct"/>
            <w:vMerge/>
            <w:vAlign w:val="center"/>
          </w:tcPr>
          <w:p w14:paraId="2DFD1E33" w14:textId="77777777" w:rsidR="000F7F91" w:rsidRPr="00EA1BB2" w:rsidRDefault="000F7F91" w:rsidP="000F7F91">
            <w:pPr>
              <w:jc w:val="center"/>
              <w:rPr>
                <w:rFonts w:ascii="Cambria" w:hAnsi="Cambria"/>
                <w:sz w:val="24"/>
                <w:szCs w:val="24"/>
              </w:rPr>
            </w:pPr>
          </w:p>
        </w:tc>
        <w:tc>
          <w:tcPr>
            <w:tcW w:w="1616" w:type="pct"/>
            <w:vAlign w:val="center"/>
          </w:tcPr>
          <w:p w14:paraId="627C4B57"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mobile</w:t>
            </w:r>
          </w:p>
        </w:tc>
        <w:tc>
          <w:tcPr>
            <w:tcW w:w="933" w:type="pct"/>
            <w:tcBorders>
              <w:top w:val="single" w:sz="4" w:space="0" w:color="auto"/>
              <w:left w:val="nil"/>
              <w:bottom w:val="single" w:sz="4" w:space="0" w:color="auto"/>
              <w:right w:val="single" w:sz="4" w:space="0" w:color="auto"/>
            </w:tcBorders>
            <w:shd w:val="clear" w:color="auto" w:fill="auto"/>
          </w:tcPr>
          <w:p w14:paraId="55632704"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35,817</w:t>
            </w:r>
          </w:p>
        </w:tc>
        <w:tc>
          <w:tcPr>
            <w:tcW w:w="938" w:type="pct"/>
            <w:tcBorders>
              <w:top w:val="single" w:sz="4" w:space="0" w:color="auto"/>
              <w:left w:val="nil"/>
              <w:bottom w:val="single" w:sz="4" w:space="0" w:color="auto"/>
              <w:right w:val="single" w:sz="4" w:space="0" w:color="auto"/>
            </w:tcBorders>
          </w:tcPr>
          <w:p w14:paraId="57DC9932" w14:textId="77777777" w:rsidR="000F7F91" w:rsidRPr="00EA1BB2" w:rsidRDefault="00E01F00" w:rsidP="000F7F91">
            <w:pPr>
              <w:jc w:val="center"/>
              <w:rPr>
                <w:rFonts w:ascii="Cambria" w:hAnsi="Cambria"/>
                <w:sz w:val="24"/>
                <w:szCs w:val="24"/>
              </w:rPr>
            </w:pPr>
            <w:r w:rsidRPr="00EA1BB2">
              <w:rPr>
                <w:rFonts w:ascii="Cambria" w:hAnsi="Cambria"/>
                <w:sz w:val="24"/>
                <w:szCs w:val="24"/>
              </w:rPr>
              <w:t>10,07</w:t>
            </w:r>
          </w:p>
        </w:tc>
      </w:tr>
      <w:tr w:rsidR="000F7F91" w:rsidRPr="00EA1BB2" w14:paraId="506F6311" w14:textId="77777777" w:rsidTr="00F27A9D">
        <w:trPr>
          <w:jc w:val="center"/>
        </w:trPr>
        <w:tc>
          <w:tcPr>
            <w:tcW w:w="1513" w:type="pct"/>
            <w:vMerge/>
            <w:vAlign w:val="center"/>
          </w:tcPr>
          <w:p w14:paraId="792B1431" w14:textId="77777777" w:rsidR="000F7F91" w:rsidRPr="00EA1BB2" w:rsidRDefault="000F7F91" w:rsidP="000F7F91">
            <w:pPr>
              <w:jc w:val="center"/>
              <w:rPr>
                <w:rFonts w:ascii="Cambria" w:hAnsi="Cambria"/>
                <w:sz w:val="24"/>
                <w:szCs w:val="24"/>
              </w:rPr>
            </w:pPr>
          </w:p>
        </w:tc>
        <w:tc>
          <w:tcPr>
            <w:tcW w:w="1616" w:type="pct"/>
            <w:vAlign w:val="center"/>
          </w:tcPr>
          <w:p w14:paraId="04B29D48"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de suprafață</w:t>
            </w:r>
          </w:p>
        </w:tc>
        <w:tc>
          <w:tcPr>
            <w:tcW w:w="933" w:type="pct"/>
            <w:tcBorders>
              <w:top w:val="single" w:sz="4" w:space="0" w:color="auto"/>
              <w:left w:val="nil"/>
              <w:bottom w:val="single" w:sz="4" w:space="0" w:color="auto"/>
              <w:right w:val="single" w:sz="4" w:space="0" w:color="auto"/>
            </w:tcBorders>
            <w:shd w:val="clear" w:color="auto" w:fill="auto"/>
          </w:tcPr>
          <w:p w14:paraId="534881D6"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193,663</w:t>
            </w:r>
          </w:p>
        </w:tc>
        <w:tc>
          <w:tcPr>
            <w:tcW w:w="938" w:type="pct"/>
            <w:tcBorders>
              <w:top w:val="single" w:sz="4" w:space="0" w:color="auto"/>
              <w:left w:val="nil"/>
              <w:bottom w:val="single" w:sz="4" w:space="0" w:color="auto"/>
              <w:right w:val="single" w:sz="4" w:space="0" w:color="auto"/>
            </w:tcBorders>
          </w:tcPr>
          <w:p w14:paraId="1FA9CECD" w14:textId="77777777" w:rsidR="000F7F91" w:rsidRPr="00EA1BB2" w:rsidRDefault="00E01F00" w:rsidP="000F7F91">
            <w:pPr>
              <w:jc w:val="center"/>
              <w:rPr>
                <w:rFonts w:ascii="Cambria" w:hAnsi="Cambria"/>
                <w:sz w:val="24"/>
                <w:szCs w:val="24"/>
              </w:rPr>
            </w:pPr>
            <w:r w:rsidRPr="00EA1BB2">
              <w:rPr>
                <w:rFonts w:ascii="Cambria" w:hAnsi="Cambria"/>
                <w:sz w:val="24"/>
                <w:szCs w:val="24"/>
              </w:rPr>
              <w:t>54,42</w:t>
            </w:r>
          </w:p>
        </w:tc>
      </w:tr>
      <w:tr w:rsidR="000F7F91" w:rsidRPr="00EA1BB2" w14:paraId="0F89BB5C" w14:textId="77777777" w:rsidTr="00F27A9D">
        <w:trPr>
          <w:jc w:val="center"/>
        </w:trPr>
        <w:tc>
          <w:tcPr>
            <w:tcW w:w="1513" w:type="pct"/>
            <w:vMerge/>
            <w:vAlign w:val="center"/>
          </w:tcPr>
          <w:p w14:paraId="5C385FC9" w14:textId="77777777" w:rsidR="000F7F91" w:rsidRPr="00EA1BB2" w:rsidRDefault="000F7F91" w:rsidP="000F7F91">
            <w:pPr>
              <w:jc w:val="center"/>
              <w:rPr>
                <w:rFonts w:ascii="Cambria" w:hAnsi="Cambria"/>
                <w:sz w:val="24"/>
                <w:szCs w:val="24"/>
              </w:rPr>
            </w:pPr>
          </w:p>
        </w:tc>
        <w:tc>
          <w:tcPr>
            <w:tcW w:w="1616" w:type="pct"/>
            <w:vAlign w:val="center"/>
          </w:tcPr>
          <w:p w14:paraId="79BF8F56" w14:textId="77777777" w:rsidR="000F7F91" w:rsidRPr="00EA1BB2" w:rsidRDefault="000F7F91" w:rsidP="000F7F91">
            <w:pPr>
              <w:jc w:val="center"/>
              <w:rPr>
                <w:rFonts w:ascii="Cambria" w:hAnsi="Cambria"/>
                <w:sz w:val="24"/>
                <w:szCs w:val="24"/>
              </w:rPr>
            </w:pPr>
            <w:r w:rsidRPr="00EA1BB2">
              <w:rPr>
                <w:rFonts w:ascii="Cambria" w:hAnsi="Cambria"/>
                <w:sz w:val="24"/>
                <w:szCs w:val="24"/>
              </w:rPr>
              <w:t>TOTAL</w:t>
            </w:r>
          </w:p>
        </w:tc>
        <w:tc>
          <w:tcPr>
            <w:tcW w:w="933" w:type="pct"/>
            <w:tcBorders>
              <w:top w:val="single" w:sz="4" w:space="0" w:color="auto"/>
              <w:left w:val="nil"/>
              <w:bottom w:val="single" w:sz="4" w:space="0" w:color="auto"/>
              <w:right w:val="single" w:sz="4" w:space="0" w:color="auto"/>
            </w:tcBorders>
            <w:shd w:val="clear" w:color="auto" w:fill="auto"/>
          </w:tcPr>
          <w:p w14:paraId="44EAD6F8"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355,855</w:t>
            </w:r>
          </w:p>
        </w:tc>
        <w:tc>
          <w:tcPr>
            <w:tcW w:w="938" w:type="pct"/>
            <w:tcBorders>
              <w:top w:val="single" w:sz="4" w:space="0" w:color="auto"/>
              <w:left w:val="nil"/>
              <w:bottom w:val="single" w:sz="4" w:space="0" w:color="auto"/>
              <w:right w:val="single" w:sz="4" w:space="0" w:color="auto"/>
            </w:tcBorders>
          </w:tcPr>
          <w:p w14:paraId="0045C456" w14:textId="77777777" w:rsidR="000F7F91" w:rsidRPr="00EA1BB2" w:rsidRDefault="00E01F00" w:rsidP="000F7F91">
            <w:pPr>
              <w:jc w:val="center"/>
              <w:rPr>
                <w:rFonts w:ascii="Cambria" w:hAnsi="Cambria"/>
                <w:sz w:val="24"/>
                <w:szCs w:val="24"/>
              </w:rPr>
            </w:pPr>
            <w:r w:rsidRPr="00EA1BB2">
              <w:rPr>
                <w:rFonts w:ascii="Cambria" w:hAnsi="Cambria"/>
                <w:sz w:val="24"/>
                <w:szCs w:val="24"/>
              </w:rPr>
              <w:t>100</w:t>
            </w:r>
          </w:p>
        </w:tc>
      </w:tr>
      <w:tr w:rsidR="000F7F91" w:rsidRPr="00EA1BB2" w14:paraId="5EC3D9C1" w14:textId="77777777" w:rsidTr="00F27A9D">
        <w:trPr>
          <w:jc w:val="center"/>
        </w:trPr>
        <w:tc>
          <w:tcPr>
            <w:tcW w:w="1513" w:type="pct"/>
            <w:vMerge w:val="restart"/>
            <w:vAlign w:val="center"/>
          </w:tcPr>
          <w:p w14:paraId="31E58108" w14:textId="77777777" w:rsidR="000F7F91" w:rsidRPr="00EA1BB2" w:rsidRDefault="000F7F91" w:rsidP="000F7F91">
            <w:pPr>
              <w:jc w:val="center"/>
              <w:rPr>
                <w:rFonts w:ascii="Cambria" w:hAnsi="Cambria"/>
                <w:sz w:val="24"/>
                <w:szCs w:val="24"/>
              </w:rPr>
            </w:pPr>
            <w:r w:rsidRPr="00EA1BB2">
              <w:rPr>
                <w:rFonts w:ascii="Cambria" w:hAnsi="Cambria"/>
                <w:sz w:val="24"/>
                <w:szCs w:val="24"/>
              </w:rPr>
              <w:t xml:space="preserve">Benzen </w:t>
            </w:r>
          </w:p>
          <w:p w14:paraId="4C93D220" w14:textId="77777777" w:rsidR="000F7F91" w:rsidRPr="00EA1BB2" w:rsidRDefault="000F7F91" w:rsidP="000F7F91">
            <w:pPr>
              <w:jc w:val="center"/>
              <w:rPr>
                <w:rFonts w:ascii="Cambria" w:hAnsi="Cambria"/>
                <w:sz w:val="24"/>
                <w:szCs w:val="24"/>
              </w:rPr>
            </w:pPr>
            <w:r w:rsidRPr="00EA1BB2">
              <w:rPr>
                <w:rFonts w:ascii="Cambria" w:hAnsi="Cambria"/>
                <w:sz w:val="24"/>
                <w:szCs w:val="24"/>
              </w:rPr>
              <w:t>(C</w:t>
            </w:r>
            <w:r w:rsidRPr="00EA1BB2">
              <w:rPr>
                <w:rFonts w:ascii="Cambria" w:hAnsi="Cambria"/>
                <w:sz w:val="24"/>
                <w:szCs w:val="24"/>
                <w:vertAlign w:val="subscript"/>
              </w:rPr>
              <w:t>6</w:t>
            </w:r>
            <w:r w:rsidRPr="00EA1BB2">
              <w:rPr>
                <w:rFonts w:ascii="Cambria" w:hAnsi="Cambria"/>
                <w:sz w:val="24"/>
                <w:szCs w:val="24"/>
              </w:rPr>
              <w:t>H</w:t>
            </w:r>
            <w:r w:rsidRPr="00EA1BB2">
              <w:rPr>
                <w:rFonts w:ascii="Cambria" w:hAnsi="Cambria"/>
                <w:sz w:val="24"/>
                <w:szCs w:val="24"/>
                <w:vertAlign w:val="subscript"/>
              </w:rPr>
              <w:t>6</w:t>
            </w:r>
            <w:r w:rsidRPr="00EA1BB2">
              <w:rPr>
                <w:rFonts w:ascii="Cambria" w:hAnsi="Cambria"/>
                <w:sz w:val="24"/>
                <w:szCs w:val="24"/>
              </w:rPr>
              <w:t>)</w:t>
            </w:r>
          </w:p>
        </w:tc>
        <w:tc>
          <w:tcPr>
            <w:tcW w:w="1616" w:type="pct"/>
            <w:vAlign w:val="center"/>
          </w:tcPr>
          <w:p w14:paraId="5DF0E6D9"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staționare</w:t>
            </w:r>
          </w:p>
        </w:tc>
        <w:tc>
          <w:tcPr>
            <w:tcW w:w="933" w:type="pct"/>
            <w:tcBorders>
              <w:top w:val="single" w:sz="4" w:space="0" w:color="auto"/>
              <w:left w:val="nil"/>
              <w:bottom w:val="single" w:sz="4" w:space="0" w:color="auto"/>
              <w:right w:val="single" w:sz="4" w:space="0" w:color="auto"/>
            </w:tcBorders>
            <w:shd w:val="clear" w:color="auto" w:fill="auto"/>
          </w:tcPr>
          <w:p w14:paraId="7DD4E8C5" w14:textId="77777777" w:rsidR="000F7F91" w:rsidRPr="00EA1BB2" w:rsidRDefault="000F7F91" w:rsidP="000F7F91">
            <w:pPr>
              <w:jc w:val="center"/>
              <w:rPr>
                <w:rFonts w:ascii="Cambria" w:hAnsi="Cambria"/>
                <w:color w:val="000000"/>
                <w:sz w:val="24"/>
                <w:szCs w:val="24"/>
              </w:rPr>
            </w:pPr>
          </w:p>
        </w:tc>
        <w:tc>
          <w:tcPr>
            <w:tcW w:w="938" w:type="pct"/>
            <w:tcBorders>
              <w:top w:val="single" w:sz="4" w:space="0" w:color="auto"/>
              <w:left w:val="nil"/>
              <w:bottom w:val="single" w:sz="4" w:space="0" w:color="auto"/>
              <w:right w:val="single" w:sz="4" w:space="0" w:color="auto"/>
            </w:tcBorders>
          </w:tcPr>
          <w:p w14:paraId="6BF2DAE1" w14:textId="77777777" w:rsidR="000F7F91" w:rsidRPr="00EA1BB2" w:rsidRDefault="00E01F00" w:rsidP="000F7F91">
            <w:pPr>
              <w:jc w:val="center"/>
              <w:rPr>
                <w:rFonts w:ascii="Cambria" w:hAnsi="Cambria"/>
                <w:sz w:val="24"/>
                <w:szCs w:val="24"/>
              </w:rPr>
            </w:pPr>
            <w:r w:rsidRPr="00EA1BB2">
              <w:rPr>
                <w:rFonts w:ascii="Cambria" w:hAnsi="Cambria"/>
                <w:sz w:val="24"/>
                <w:szCs w:val="24"/>
              </w:rPr>
              <w:t>0,00</w:t>
            </w:r>
          </w:p>
        </w:tc>
      </w:tr>
      <w:tr w:rsidR="000F7F91" w:rsidRPr="00EA1BB2" w14:paraId="1BAEE8B3" w14:textId="77777777" w:rsidTr="00F27A9D">
        <w:trPr>
          <w:jc w:val="center"/>
        </w:trPr>
        <w:tc>
          <w:tcPr>
            <w:tcW w:w="1513" w:type="pct"/>
            <w:vMerge/>
            <w:vAlign w:val="center"/>
          </w:tcPr>
          <w:p w14:paraId="1A85B03C" w14:textId="77777777" w:rsidR="000F7F91" w:rsidRPr="00EA1BB2" w:rsidRDefault="000F7F91" w:rsidP="000F7F91">
            <w:pPr>
              <w:jc w:val="center"/>
              <w:rPr>
                <w:rFonts w:ascii="Cambria" w:hAnsi="Cambria"/>
                <w:sz w:val="24"/>
                <w:szCs w:val="24"/>
              </w:rPr>
            </w:pPr>
          </w:p>
        </w:tc>
        <w:tc>
          <w:tcPr>
            <w:tcW w:w="1616" w:type="pct"/>
            <w:vAlign w:val="center"/>
          </w:tcPr>
          <w:p w14:paraId="15C6AF96"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mobile</w:t>
            </w:r>
          </w:p>
        </w:tc>
        <w:tc>
          <w:tcPr>
            <w:tcW w:w="933" w:type="pct"/>
            <w:tcBorders>
              <w:top w:val="single" w:sz="4" w:space="0" w:color="auto"/>
              <w:left w:val="nil"/>
              <w:bottom w:val="single" w:sz="4" w:space="0" w:color="auto"/>
              <w:right w:val="single" w:sz="4" w:space="0" w:color="auto"/>
            </w:tcBorders>
            <w:shd w:val="clear" w:color="auto" w:fill="auto"/>
          </w:tcPr>
          <w:p w14:paraId="024AD368" w14:textId="77777777" w:rsidR="000F7F91" w:rsidRPr="00EA1BB2" w:rsidRDefault="001F2D02" w:rsidP="000F7F91">
            <w:pPr>
              <w:jc w:val="center"/>
              <w:rPr>
                <w:rFonts w:ascii="Cambria" w:hAnsi="Cambria"/>
                <w:color w:val="000000"/>
                <w:sz w:val="24"/>
                <w:szCs w:val="24"/>
              </w:rPr>
            </w:pPr>
            <w:r w:rsidRPr="00EA1BB2">
              <w:rPr>
                <w:rFonts w:ascii="Cambria" w:hAnsi="Cambria"/>
                <w:color w:val="000000"/>
                <w:sz w:val="24"/>
                <w:szCs w:val="24"/>
              </w:rPr>
              <w:t>15,951</w:t>
            </w:r>
          </w:p>
        </w:tc>
        <w:tc>
          <w:tcPr>
            <w:tcW w:w="938" w:type="pct"/>
            <w:tcBorders>
              <w:top w:val="single" w:sz="4" w:space="0" w:color="auto"/>
              <w:left w:val="nil"/>
              <w:bottom w:val="single" w:sz="4" w:space="0" w:color="auto"/>
              <w:right w:val="single" w:sz="4" w:space="0" w:color="auto"/>
            </w:tcBorders>
          </w:tcPr>
          <w:p w14:paraId="0B9CDBF4" w14:textId="77777777" w:rsidR="000F7F91" w:rsidRPr="00EA1BB2" w:rsidRDefault="00E01F00" w:rsidP="000F7F91">
            <w:pPr>
              <w:jc w:val="center"/>
              <w:rPr>
                <w:rFonts w:ascii="Cambria" w:hAnsi="Cambria"/>
                <w:color w:val="000000"/>
                <w:sz w:val="24"/>
                <w:szCs w:val="24"/>
              </w:rPr>
            </w:pPr>
            <w:r w:rsidRPr="00EA1BB2">
              <w:rPr>
                <w:rFonts w:ascii="Cambria" w:hAnsi="Cambria"/>
                <w:sz w:val="24"/>
                <w:szCs w:val="24"/>
              </w:rPr>
              <w:t>100</w:t>
            </w:r>
          </w:p>
        </w:tc>
      </w:tr>
      <w:tr w:rsidR="000F7F91" w:rsidRPr="00EA1BB2" w14:paraId="5324FA48" w14:textId="77777777" w:rsidTr="00F27A9D">
        <w:trPr>
          <w:jc w:val="center"/>
        </w:trPr>
        <w:tc>
          <w:tcPr>
            <w:tcW w:w="1513" w:type="pct"/>
            <w:vMerge/>
            <w:vAlign w:val="center"/>
          </w:tcPr>
          <w:p w14:paraId="2021E952" w14:textId="77777777" w:rsidR="000F7F91" w:rsidRPr="00EA1BB2" w:rsidRDefault="000F7F91" w:rsidP="000F7F91">
            <w:pPr>
              <w:jc w:val="center"/>
              <w:rPr>
                <w:rFonts w:ascii="Cambria" w:hAnsi="Cambria"/>
                <w:sz w:val="24"/>
                <w:szCs w:val="24"/>
              </w:rPr>
            </w:pPr>
          </w:p>
        </w:tc>
        <w:tc>
          <w:tcPr>
            <w:tcW w:w="1616" w:type="pct"/>
            <w:vAlign w:val="center"/>
          </w:tcPr>
          <w:p w14:paraId="5000B243"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de suprafață</w:t>
            </w:r>
          </w:p>
        </w:tc>
        <w:tc>
          <w:tcPr>
            <w:tcW w:w="933" w:type="pct"/>
            <w:tcBorders>
              <w:top w:val="single" w:sz="4" w:space="0" w:color="auto"/>
              <w:left w:val="nil"/>
              <w:bottom w:val="single" w:sz="4" w:space="0" w:color="auto"/>
              <w:right w:val="single" w:sz="4" w:space="0" w:color="auto"/>
            </w:tcBorders>
            <w:shd w:val="clear" w:color="auto" w:fill="auto"/>
          </w:tcPr>
          <w:p w14:paraId="45C390C4" w14:textId="77777777" w:rsidR="000F7F91" w:rsidRPr="00EA1BB2" w:rsidRDefault="000F7F91" w:rsidP="000F7F91">
            <w:pPr>
              <w:jc w:val="center"/>
              <w:rPr>
                <w:rFonts w:ascii="Cambria" w:hAnsi="Cambria"/>
                <w:color w:val="000000"/>
                <w:sz w:val="24"/>
                <w:szCs w:val="24"/>
              </w:rPr>
            </w:pPr>
          </w:p>
        </w:tc>
        <w:tc>
          <w:tcPr>
            <w:tcW w:w="938" w:type="pct"/>
            <w:tcBorders>
              <w:top w:val="single" w:sz="4" w:space="0" w:color="auto"/>
              <w:left w:val="nil"/>
              <w:bottom w:val="single" w:sz="4" w:space="0" w:color="auto"/>
              <w:right w:val="single" w:sz="4" w:space="0" w:color="auto"/>
            </w:tcBorders>
          </w:tcPr>
          <w:p w14:paraId="7A9577E1" w14:textId="77777777" w:rsidR="000F7F91" w:rsidRPr="00EA1BB2" w:rsidRDefault="00E01F00" w:rsidP="000F7F91">
            <w:pPr>
              <w:jc w:val="center"/>
              <w:rPr>
                <w:rFonts w:ascii="Cambria" w:hAnsi="Cambria"/>
                <w:sz w:val="24"/>
                <w:szCs w:val="24"/>
              </w:rPr>
            </w:pPr>
            <w:r w:rsidRPr="00EA1BB2">
              <w:rPr>
                <w:rFonts w:ascii="Cambria" w:hAnsi="Cambria"/>
                <w:sz w:val="24"/>
                <w:szCs w:val="24"/>
              </w:rPr>
              <w:t>0,00</w:t>
            </w:r>
          </w:p>
        </w:tc>
      </w:tr>
      <w:tr w:rsidR="000F7F91" w:rsidRPr="00EA1BB2" w14:paraId="078E4E52" w14:textId="77777777" w:rsidTr="00F27A9D">
        <w:trPr>
          <w:jc w:val="center"/>
        </w:trPr>
        <w:tc>
          <w:tcPr>
            <w:tcW w:w="1513" w:type="pct"/>
            <w:vMerge/>
            <w:vAlign w:val="center"/>
          </w:tcPr>
          <w:p w14:paraId="4CA28CA0" w14:textId="77777777" w:rsidR="000F7F91" w:rsidRPr="00EA1BB2" w:rsidRDefault="000F7F91" w:rsidP="000F7F91">
            <w:pPr>
              <w:jc w:val="center"/>
              <w:rPr>
                <w:rFonts w:ascii="Cambria" w:hAnsi="Cambria"/>
                <w:sz w:val="24"/>
                <w:szCs w:val="24"/>
              </w:rPr>
            </w:pPr>
          </w:p>
        </w:tc>
        <w:tc>
          <w:tcPr>
            <w:tcW w:w="1616" w:type="pct"/>
            <w:vAlign w:val="center"/>
          </w:tcPr>
          <w:p w14:paraId="12F9A241" w14:textId="77777777" w:rsidR="000F7F91" w:rsidRPr="00EA1BB2" w:rsidRDefault="000F7F91" w:rsidP="000F7F91">
            <w:pPr>
              <w:jc w:val="center"/>
              <w:rPr>
                <w:rFonts w:ascii="Cambria" w:hAnsi="Cambria"/>
                <w:sz w:val="24"/>
                <w:szCs w:val="24"/>
              </w:rPr>
            </w:pPr>
            <w:r w:rsidRPr="00EA1BB2">
              <w:rPr>
                <w:rFonts w:ascii="Cambria" w:hAnsi="Cambria"/>
                <w:sz w:val="24"/>
                <w:szCs w:val="24"/>
              </w:rPr>
              <w:t>TOTAL</w:t>
            </w:r>
          </w:p>
        </w:tc>
        <w:tc>
          <w:tcPr>
            <w:tcW w:w="933" w:type="pct"/>
            <w:tcBorders>
              <w:top w:val="single" w:sz="4" w:space="0" w:color="auto"/>
              <w:left w:val="nil"/>
              <w:bottom w:val="single" w:sz="4" w:space="0" w:color="auto"/>
              <w:right w:val="single" w:sz="4" w:space="0" w:color="auto"/>
            </w:tcBorders>
            <w:shd w:val="clear" w:color="auto" w:fill="auto"/>
          </w:tcPr>
          <w:p w14:paraId="0DD26013" w14:textId="77777777" w:rsidR="000F7F91" w:rsidRPr="00EA1BB2" w:rsidRDefault="001F2D02" w:rsidP="000F7F91">
            <w:pPr>
              <w:jc w:val="center"/>
              <w:rPr>
                <w:rFonts w:ascii="Cambria" w:hAnsi="Cambria"/>
                <w:color w:val="000000"/>
                <w:sz w:val="24"/>
                <w:szCs w:val="24"/>
              </w:rPr>
            </w:pPr>
            <w:r w:rsidRPr="00EA1BB2">
              <w:rPr>
                <w:rFonts w:ascii="Cambria" w:hAnsi="Cambria"/>
                <w:sz w:val="24"/>
                <w:szCs w:val="24"/>
              </w:rPr>
              <w:t>15,951</w:t>
            </w:r>
          </w:p>
        </w:tc>
        <w:tc>
          <w:tcPr>
            <w:tcW w:w="938" w:type="pct"/>
            <w:tcBorders>
              <w:top w:val="single" w:sz="4" w:space="0" w:color="auto"/>
              <w:left w:val="nil"/>
              <w:bottom w:val="single" w:sz="4" w:space="0" w:color="auto"/>
              <w:right w:val="single" w:sz="4" w:space="0" w:color="auto"/>
            </w:tcBorders>
          </w:tcPr>
          <w:p w14:paraId="5ABC5ED1" w14:textId="77777777" w:rsidR="000F7F91" w:rsidRPr="00EA1BB2" w:rsidRDefault="00E01F00" w:rsidP="000F7F91">
            <w:pPr>
              <w:jc w:val="center"/>
              <w:rPr>
                <w:rFonts w:ascii="Cambria" w:hAnsi="Cambria"/>
                <w:sz w:val="24"/>
                <w:szCs w:val="24"/>
              </w:rPr>
            </w:pPr>
            <w:r w:rsidRPr="00EA1BB2">
              <w:rPr>
                <w:rFonts w:ascii="Cambria" w:hAnsi="Cambria"/>
                <w:sz w:val="24"/>
                <w:szCs w:val="24"/>
              </w:rPr>
              <w:t>100</w:t>
            </w:r>
          </w:p>
        </w:tc>
      </w:tr>
      <w:tr w:rsidR="000F7F91" w:rsidRPr="00EA1BB2" w14:paraId="33A82364" w14:textId="77777777" w:rsidTr="00F27A9D">
        <w:trPr>
          <w:jc w:val="center"/>
        </w:trPr>
        <w:tc>
          <w:tcPr>
            <w:tcW w:w="1513" w:type="pct"/>
            <w:vMerge w:val="restart"/>
            <w:vAlign w:val="center"/>
          </w:tcPr>
          <w:p w14:paraId="795F63D2" w14:textId="77777777" w:rsidR="000F7F91" w:rsidRPr="00EA1BB2" w:rsidRDefault="000F7F91" w:rsidP="000F7F91">
            <w:pPr>
              <w:jc w:val="center"/>
              <w:rPr>
                <w:rFonts w:ascii="Cambria" w:hAnsi="Cambria"/>
                <w:sz w:val="24"/>
                <w:szCs w:val="24"/>
              </w:rPr>
            </w:pPr>
            <w:r w:rsidRPr="00EA1BB2">
              <w:rPr>
                <w:rFonts w:ascii="Cambria" w:hAnsi="Cambria"/>
                <w:sz w:val="24"/>
                <w:szCs w:val="24"/>
              </w:rPr>
              <w:t xml:space="preserve">Nichel </w:t>
            </w:r>
          </w:p>
          <w:p w14:paraId="5B856CCB" w14:textId="77777777" w:rsidR="000F7F91" w:rsidRPr="00EA1BB2" w:rsidRDefault="000F7F91" w:rsidP="000F7F91">
            <w:pPr>
              <w:jc w:val="center"/>
              <w:rPr>
                <w:rFonts w:ascii="Cambria" w:hAnsi="Cambria"/>
                <w:sz w:val="24"/>
                <w:szCs w:val="24"/>
              </w:rPr>
            </w:pPr>
            <w:r w:rsidRPr="00EA1BB2">
              <w:rPr>
                <w:rFonts w:ascii="Cambria" w:hAnsi="Cambria"/>
                <w:sz w:val="24"/>
                <w:szCs w:val="24"/>
              </w:rPr>
              <w:t>(Ni)</w:t>
            </w:r>
          </w:p>
          <w:p w14:paraId="28AB8B2D" w14:textId="77777777" w:rsidR="000F7F91" w:rsidRPr="00EA1BB2" w:rsidRDefault="000F7F91" w:rsidP="000F7F91">
            <w:pPr>
              <w:jc w:val="center"/>
              <w:rPr>
                <w:rFonts w:ascii="Cambria" w:hAnsi="Cambria"/>
                <w:sz w:val="24"/>
                <w:szCs w:val="24"/>
              </w:rPr>
            </w:pPr>
          </w:p>
        </w:tc>
        <w:tc>
          <w:tcPr>
            <w:tcW w:w="1616" w:type="pct"/>
            <w:vAlign w:val="center"/>
          </w:tcPr>
          <w:p w14:paraId="5807189C"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staționare</w:t>
            </w:r>
          </w:p>
        </w:tc>
        <w:tc>
          <w:tcPr>
            <w:tcW w:w="933" w:type="pct"/>
            <w:tcBorders>
              <w:top w:val="single" w:sz="4" w:space="0" w:color="auto"/>
              <w:left w:val="nil"/>
              <w:bottom w:val="single" w:sz="4" w:space="0" w:color="auto"/>
              <w:right w:val="single" w:sz="4" w:space="0" w:color="auto"/>
            </w:tcBorders>
            <w:shd w:val="clear" w:color="auto" w:fill="auto"/>
          </w:tcPr>
          <w:p w14:paraId="2347FBA7"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0,014959</w:t>
            </w:r>
          </w:p>
        </w:tc>
        <w:tc>
          <w:tcPr>
            <w:tcW w:w="938" w:type="pct"/>
            <w:tcBorders>
              <w:top w:val="single" w:sz="4" w:space="0" w:color="auto"/>
              <w:left w:val="nil"/>
              <w:bottom w:val="single" w:sz="4" w:space="0" w:color="auto"/>
              <w:right w:val="single" w:sz="4" w:space="0" w:color="auto"/>
            </w:tcBorders>
          </w:tcPr>
          <w:p w14:paraId="1B8E0D7D" w14:textId="77777777" w:rsidR="000F7F91" w:rsidRPr="00EA1BB2" w:rsidRDefault="00E01F00" w:rsidP="000F7F91">
            <w:pPr>
              <w:jc w:val="center"/>
              <w:rPr>
                <w:rFonts w:ascii="Cambria" w:hAnsi="Cambria"/>
                <w:sz w:val="24"/>
                <w:szCs w:val="24"/>
              </w:rPr>
            </w:pPr>
            <w:r w:rsidRPr="00EA1BB2">
              <w:rPr>
                <w:rFonts w:ascii="Cambria" w:hAnsi="Cambria"/>
                <w:sz w:val="24"/>
                <w:szCs w:val="24"/>
              </w:rPr>
              <w:t>41,99</w:t>
            </w:r>
          </w:p>
        </w:tc>
      </w:tr>
      <w:tr w:rsidR="000F7F91" w:rsidRPr="00EA1BB2" w14:paraId="74A5E7D8" w14:textId="77777777" w:rsidTr="00F27A9D">
        <w:trPr>
          <w:jc w:val="center"/>
        </w:trPr>
        <w:tc>
          <w:tcPr>
            <w:tcW w:w="1513" w:type="pct"/>
            <w:vMerge/>
            <w:vAlign w:val="center"/>
          </w:tcPr>
          <w:p w14:paraId="546288E5" w14:textId="77777777" w:rsidR="000F7F91" w:rsidRPr="00EA1BB2" w:rsidRDefault="000F7F91" w:rsidP="000F7F91">
            <w:pPr>
              <w:jc w:val="center"/>
              <w:rPr>
                <w:rFonts w:ascii="Cambria" w:hAnsi="Cambria"/>
                <w:sz w:val="24"/>
                <w:szCs w:val="24"/>
              </w:rPr>
            </w:pPr>
          </w:p>
        </w:tc>
        <w:tc>
          <w:tcPr>
            <w:tcW w:w="1616" w:type="pct"/>
            <w:vAlign w:val="center"/>
          </w:tcPr>
          <w:p w14:paraId="632AA3AA"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mobile</w:t>
            </w:r>
          </w:p>
        </w:tc>
        <w:tc>
          <w:tcPr>
            <w:tcW w:w="933" w:type="pct"/>
            <w:tcBorders>
              <w:top w:val="single" w:sz="4" w:space="0" w:color="auto"/>
              <w:left w:val="nil"/>
              <w:bottom w:val="single" w:sz="4" w:space="0" w:color="auto"/>
              <w:right w:val="single" w:sz="4" w:space="0" w:color="auto"/>
            </w:tcBorders>
            <w:shd w:val="clear" w:color="auto" w:fill="auto"/>
          </w:tcPr>
          <w:p w14:paraId="75D58EDD"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0,001689</w:t>
            </w:r>
          </w:p>
        </w:tc>
        <w:tc>
          <w:tcPr>
            <w:tcW w:w="938" w:type="pct"/>
            <w:tcBorders>
              <w:top w:val="single" w:sz="4" w:space="0" w:color="auto"/>
              <w:left w:val="nil"/>
              <w:bottom w:val="single" w:sz="4" w:space="0" w:color="auto"/>
              <w:right w:val="single" w:sz="4" w:space="0" w:color="auto"/>
            </w:tcBorders>
          </w:tcPr>
          <w:p w14:paraId="1CD6B9E3" w14:textId="77777777" w:rsidR="000F7F91" w:rsidRPr="00EA1BB2" w:rsidRDefault="00E01F00" w:rsidP="000F7F91">
            <w:pPr>
              <w:jc w:val="center"/>
              <w:rPr>
                <w:rFonts w:ascii="Cambria" w:hAnsi="Cambria"/>
                <w:sz w:val="24"/>
                <w:szCs w:val="24"/>
              </w:rPr>
            </w:pPr>
            <w:r w:rsidRPr="00EA1BB2">
              <w:rPr>
                <w:rFonts w:ascii="Cambria" w:hAnsi="Cambria"/>
                <w:sz w:val="24"/>
                <w:szCs w:val="24"/>
              </w:rPr>
              <w:t>4,74</w:t>
            </w:r>
          </w:p>
        </w:tc>
      </w:tr>
      <w:tr w:rsidR="000F7F91" w:rsidRPr="00EA1BB2" w14:paraId="3D3626F6" w14:textId="77777777" w:rsidTr="00F27A9D">
        <w:trPr>
          <w:jc w:val="center"/>
        </w:trPr>
        <w:tc>
          <w:tcPr>
            <w:tcW w:w="1513" w:type="pct"/>
            <w:vMerge/>
            <w:vAlign w:val="center"/>
          </w:tcPr>
          <w:p w14:paraId="1BBC3405" w14:textId="77777777" w:rsidR="000F7F91" w:rsidRPr="00EA1BB2" w:rsidRDefault="000F7F91" w:rsidP="000F7F91">
            <w:pPr>
              <w:jc w:val="center"/>
              <w:rPr>
                <w:rFonts w:ascii="Cambria" w:hAnsi="Cambria"/>
                <w:sz w:val="24"/>
                <w:szCs w:val="24"/>
              </w:rPr>
            </w:pPr>
          </w:p>
        </w:tc>
        <w:tc>
          <w:tcPr>
            <w:tcW w:w="1616" w:type="pct"/>
            <w:vAlign w:val="center"/>
          </w:tcPr>
          <w:p w14:paraId="1E2462AF"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de suprafață</w:t>
            </w:r>
          </w:p>
        </w:tc>
        <w:tc>
          <w:tcPr>
            <w:tcW w:w="933" w:type="pct"/>
            <w:tcBorders>
              <w:top w:val="single" w:sz="4" w:space="0" w:color="auto"/>
              <w:left w:val="nil"/>
              <w:bottom w:val="single" w:sz="4" w:space="0" w:color="auto"/>
              <w:right w:val="single" w:sz="4" w:space="0" w:color="auto"/>
            </w:tcBorders>
            <w:shd w:val="clear" w:color="auto" w:fill="auto"/>
          </w:tcPr>
          <w:p w14:paraId="74EA9642"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0,018980</w:t>
            </w:r>
          </w:p>
        </w:tc>
        <w:tc>
          <w:tcPr>
            <w:tcW w:w="938" w:type="pct"/>
            <w:tcBorders>
              <w:top w:val="single" w:sz="4" w:space="0" w:color="auto"/>
              <w:left w:val="nil"/>
              <w:bottom w:val="single" w:sz="4" w:space="0" w:color="auto"/>
              <w:right w:val="single" w:sz="4" w:space="0" w:color="auto"/>
            </w:tcBorders>
          </w:tcPr>
          <w:p w14:paraId="66935524" w14:textId="77777777" w:rsidR="000F7F91" w:rsidRPr="00EA1BB2" w:rsidRDefault="00E01F00" w:rsidP="000F7F91">
            <w:pPr>
              <w:jc w:val="center"/>
              <w:rPr>
                <w:rFonts w:ascii="Cambria" w:hAnsi="Cambria"/>
                <w:sz w:val="24"/>
                <w:szCs w:val="24"/>
              </w:rPr>
            </w:pPr>
            <w:r w:rsidRPr="00EA1BB2">
              <w:rPr>
                <w:rFonts w:ascii="Cambria" w:hAnsi="Cambria"/>
                <w:sz w:val="24"/>
                <w:szCs w:val="24"/>
              </w:rPr>
              <w:t>53,27</w:t>
            </w:r>
          </w:p>
        </w:tc>
      </w:tr>
      <w:tr w:rsidR="000F7F91" w:rsidRPr="00EA1BB2" w14:paraId="3A2EA6C5" w14:textId="77777777" w:rsidTr="00F27A9D">
        <w:trPr>
          <w:jc w:val="center"/>
        </w:trPr>
        <w:tc>
          <w:tcPr>
            <w:tcW w:w="1513" w:type="pct"/>
            <w:vMerge/>
            <w:vAlign w:val="center"/>
          </w:tcPr>
          <w:p w14:paraId="61817FE2" w14:textId="77777777" w:rsidR="000F7F91" w:rsidRPr="00EA1BB2" w:rsidRDefault="000F7F91" w:rsidP="000F7F91">
            <w:pPr>
              <w:jc w:val="center"/>
              <w:rPr>
                <w:rFonts w:ascii="Cambria" w:hAnsi="Cambria"/>
                <w:sz w:val="24"/>
                <w:szCs w:val="24"/>
              </w:rPr>
            </w:pPr>
          </w:p>
        </w:tc>
        <w:tc>
          <w:tcPr>
            <w:tcW w:w="1616" w:type="pct"/>
            <w:vAlign w:val="center"/>
          </w:tcPr>
          <w:p w14:paraId="4013FD1C" w14:textId="77777777" w:rsidR="000F7F91" w:rsidRPr="00EA1BB2" w:rsidRDefault="000F7F91" w:rsidP="000F7F91">
            <w:pPr>
              <w:jc w:val="center"/>
              <w:rPr>
                <w:rFonts w:ascii="Cambria" w:hAnsi="Cambria"/>
                <w:sz w:val="24"/>
                <w:szCs w:val="24"/>
              </w:rPr>
            </w:pPr>
            <w:r w:rsidRPr="00EA1BB2">
              <w:rPr>
                <w:rFonts w:ascii="Cambria" w:hAnsi="Cambria"/>
                <w:sz w:val="24"/>
                <w:szCs w:val="24"/>
              </w:rPr>
              <w:t>TOTAL</w:t>
            </w:r>
          </w:p>
        </w:tc>
        <w:tc>
          <w:tcPr>
            <w:tcW w:w="933" w:type="pct"/>
            <w:tcBorders>
              <w:top w:val="single" w:sz="4" w:space="0" w:color="auto"/>
              <w:left w:val="nil"/>
              <w:bottom w:val="single" w:sz="4" w:space="0" w:color="auto"/>
              <w:right w:val="single" w:sz="4" w:space="0" w:color="auto"/>
            </w:tcBorders>
            <w:shd w:val="clear" w:color="auto" w:fill="auto"/>
          </w:tcPr>
          <w:p w14:paraId="59E1E640"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0,035627</w:t>
            </w:r>
          </w:p>
        </w:tc>
        <w:tc>
          <w:tcPr>
            <w:tcW w:w="938" w:type="pct"/>
            <w:tcBorders>
              <w:top w:val="single" w:sz="4" w:space="0" w:color="auto"/>
              <w:left w:val="nil"/>
              <w:bottom w:val="single" w:sz="4" w:space="0" w:color="auto"/>
              <w:right w:val="single" w:sz="4" w:space="0" w:color="auto"/>
            </w:tcBorders>
          </w:tcPr>
          <w:p w14:paraId="4A4AFF3D" w14:textId="77777777" w:rsidR="000F7F91" w:rsidRPr="00EA1BB2" w:rsidRDefault="00E01F00" w:rsidP="000F7F91">
            <w:pPr>
              <w:jc w:val="center"/>
              <w:rPr>
                <w:rFonts w:ascii="Cambria" w:hAnsi="Cambria"/>
                <w:sz w:val="24"/>
                <w:szCs w:val="24"/>
              </w:rPr>
            </w:pPr>
            <w:r w:rsidRPr="00EA1BB2">
              <w:rPr>
                <w:rFonts w:ascii="Cambria" w:hAnsi="Cambria"/>
                <w:sz w:val="24"/>
                <w:szCs w:val="24"/>
              </w:rPr>
              <w:t>100</w:t>
            </w:r>
          </w:p>
        </w:tc>
      </w:tr>
      <w:tr w:rsidR="000F7F91" w:rsidRPr="00EA1BB2" w14:paraId="676E8D23" w14:textId="77777777" w:rsidTr="00F27A9D">
        <w:trPr>
          <w:jc w:val="center"/>
        </w:trPr>
        <w:tc>
          <w:tcPr>
            <w:tcW w:w="1513" w:type="pct"/>
            <w:vMerge w:val="restart"/>
            <w:vAlign w:val="center"/>
          </w:tcPr>
          <w:p w14:paraId="2AC0A4B7" w14:textId="77777777" w:rsidR="000F7F91" w:rsidRPr="00EA1BB2" w:rsidRDefault="000F7F91" w:rsidP="000F7F91">
            <w:pPr>
              <w:jc w:val="center"/>
              <w:rPr>
                <w:rFonts w:ascii="Cambria" w:hAnsi="Cambria"/>
                <w:sz w:val="24"/>
                <w:szCs w:val="24"/>
              </w:rPr>
            </w:pPr>
            <w:r w:rsidRPr="00EA1BB2">
              <w:rPr>
                <w:rFonts w:ascii="Cambria" w:hAnsi="Cambria"/>
                <w:sz w:val="24"/>
                <w:szCs w:val="24"/>
              </w:rPr>
              <w:t xml:space="preserve">Oxid de sulf </w:t>
            </w:r>
          </w:p>
          <w:p w14:paraId="3B7BCF75" w14:textId="77777777" w:rsidR="000F7F91" w:rsidRPr="00EA1BB2" w:rsidRDefault="000F7F91" w:rsidP="000F7F91">
            <w:pPr>
              <w:jc w:val="center"/>
              <w:rPr>
                <w:rFonts w:ascii="Cambria" w:hAnsi="Cambria"/>
                <w:sz w:val="24"/>
                <w:szCs w:val="24"/>
              </w:rPr>
            </w:pPr>
            <w:r w:rsidRPr="00EA1BB2">
              <w:rPr>
                <w:rFonts w:ascii="Cambria" w:hAnsi="Cambria"/>
                <w:sz w:val="24"/>
                <w:szCs w:val="24"/>
              </w:rPr>
              <w:t xml:space="preserve">(SOx) </w:t>
            </w:r>
          </w:p>
        </w:tc>
        <w:tc>
          <w:tcPr>
            <w:tcW w:w="1616" w:type="pct"/>
            <w:vAlign w:val="center"/>
          </w:tcPr>
          <w:p w14:paraId="17D28037"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staționare</w:t>
            </w:r>
          </w:p>
        </w:tc>
        <w:tc>
          <w:tcPr>
            <w:tcW w:w="933" w:type="pct"/>
            <w:tcBorders>
              <w:top w:val="single" w:sz="4" w:space="0" w:color="auto"/>
              <w:left w:val="nil"/>
              <w:bottom w:val="single" w:sz="4" w:space="0" w:color="auto"/>
              <w:right w:val="single" w:sz="4" w:space="0" w:color="auto"/>
            </w:tcBorders>
            <w:shd w:val="clear" w:color="auto" w:fill="auto"/>
          </w:tcPr>
          <w:p w14:paraId="018D871D"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5,979358</w:t>
            </w:r>
          </w:p>
        </w:tc>
        <w:tc>
          <w:tcPr>
            <w:tcW w:w="938" w:type="pct"/>
            <w:tcBorders>
              <w:top w:val="single" w:sz="4" w:space="0" w:color="auto"/>
              <w:left w:val="nil"/>
              <w:bottom w:val="single" w:sz="4" w:space="0" w:color="auto"/>
              <w:right w:val="single" w:sz="4" w:space="0" w:color="auto"/>
            </w:tcBorders>
          </w:tcPr>
          <w:p w14:paraId="2D8521CD" w14:textId="77777777" w:rsidR="000F7F91" w:rsidRPr="00EA1BB2" w:rsidRDefault="00E01F00" w:rsidP="000F7F91">
            <w:pPr>
              <w:jc w:val="center"/>
              <w:rPr>
                <w:rFonts w:ascii="Cambria" w:hAnsi="Cambria"/>
                <w:sz w:val="24"/>
                <w:szCs w:val="24"/>
              </w:rPr>
            </w:pPr>
            <w:r w:rsidRPr="00EA1BB2">
              <w:rPr>
                <w:rFonts w:ascii="Cambria" w:hAnsi="Cambria"/>
                <w:sz w:val="24"/>
                <w:szCs w:val="24"/>
              </w:rPr>
              <w:t>31,85</w:t>
            </w:r>
          </w:p>
        </w:tc>
      </w:tr>
      <w:tr w:rsidR="000F7F91" w:rsidRPr="00EA1BB2" w14:paraId="0FD71907" w14:textId="77777777" w:rsidTr="00F27A9D">
        <w:trPr>
          <w:jc w:val="center"/>
        </w:trPr>
        <w:tc>
          <w:tcPr>
            <w:tcW w:w="1513" w:type="pct"/>
            <w:vMerge/>
            <w:vAlign w:val="center"/>
          </w:tcPr>
          <w:p w14:paraId="172970FD" w14:textId="77777777" w:rsidR="000F7F91" w:rsidRPr="00EA1BB2" w:rsidRDefault="000F7F91" w:rsidP="000F7F91">
            <w:pPr>
              <w:jc w:val="center"/>
              <w:rPr>
                <w:rFonts w:ascii="Cambria" w:hAnsi="Cambria"/>
                <w:sz w:val="24"/>
                <w:szCs w:val="24"/>
              </w:rPr>
            </w:pPr>
          </w:p>
        </w:tc>
        <w:tc>
          <w:tcPr>
            <w:tcW w:w="1616" w:type="pct"/>
            <w:vAlign w:val="center"/>
          </w:tcPr>
          <w:p w14:paraId="2BE0600B"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mobile</w:t>
            </w:r>
          </w:p>
        </w:tc>
        <w:tc>
          <w:tcPr>
            <w:tcW w:w="933" w:type="pct"/>
            <w:tcBorders>
              <w:top w:val="single" w:sz="4" w:space="0" w:color="auto"/>
              <w:left w:val="nil"/>
              <w:bottom w:val="single" w:sz="4" w:space="0" w:color="auto"/>
              <w:right w:val="single" w:sz="4" w:space="0" w:color="auto"/>
            </w:tcBorders>
            <w:shd w:val="clear" w:color="auto" w:fill="auto"/>
          </w:tcPr>
          <w:p w14:paraId="59D1606F" w14:textId="77777777" w:rsidR="000F7F91" w:rsidRPr="00EA1BB2" w:rsidRDefault="000F7F91" w:rsidP="000F7F91">
            <w:pPr>
              <w:jc w:val="center"/>
              <w:rPr>
                <w:rFonts w:ascii="Cambria" w:hAnsi="Cambria"/>
                <w:color w:val="000000"/>
                <w:sz w:val="24"/>
                <w:szCs w:val="24"/>
              </w:rPr>
            </w:pPr>
          </w:p>
        </w:tc>
        <w:tc>
          <w:tcPr>
            <w:tcW w:w="938" w:type="pct"/>
            <w:tcBorders>
              <w:top w:val="single" w:sz="4" w:space="0" w:color="auto"/>
              <w:left w:val="nil"/>
              <w:bottom w:val="single" w:sz="4" w:space="0" w:color="auto"/>
              <w:right w:val="single" w:sz="4" w:space="0" w:color="auto"/>
            </w:tcBorders>
          </w:tcPr>
          <w:p w14:paraId="506D6561" w14:textId="77777777" w:rsidR="000F7F91" w:rsidRPr="00EA1BB2" w:rsidRDefault="00E01F00" w:rsidP="000F7F91">
            <w:pPr>
              <w:jc w:val="center"/>
              <w:rPr>
                <w:rFonts w:ascii="Cambria" w:hAnsi="Cambria"/>
                <w:color w:val="000000"/>
                <w:sz w:val="24"/>
                <w:szCs w:val="24"/>
              </w:rPr>
            </w:pPr>
            <w:r w:rsidRPr="00EA1BB2">
              <w:rPr>
                <w:rFonts w:ascii="Cambria" w:hAnsi="Cambria"/>
                <w:sz w:val="24"/>
                <w:szCs w:val="24"/>
              </w:rPr>
              <w:t>0,00</w:t>
            </w:r>
          </w:p>
        </w:tc>
      </w:tr>
      <w:tr w:rsidR="000F7F91" w:rsidRPr="00EA1BB2" w14:paraId="5E2D7B59" w14:textId="77777777" w:rsidTr="00F27A9D">
        <w:trPr>
          <w:jc w:val="center"/>
        </w:trPr>
        <w:tc>
          <w:tcPr>
            <w:tcW w:w="1513" w:type="pct"/>
            <w:vMerge/>
            <w:vAlign w:val="center"/>
          </w:tcPr>
          <w:p w14:paraId="49E7CC67" w14:textId="77777777" w:rsidR="000F7F91" w:rsidRPr="00EA1BB2" w:rsidRDefault="000F7F91" w:rsidP="000F7F91">
            <w:pPr>
              <w:jc w:val="center"/>
              <w:rPr>
                <w:rFonts w:ascii="Cambria" w:hAnsi="Cambria"/>
                <w:sz w:val="24"/>
                <w:szCs w:val="24"/>
              </w:rPr>
            </w:pPr>
          </w:p>
        </w:tc>
        <w:tc>
          <w:tcPr>
            <w:tcW w:w="1616" w:type="pct"/>
            <w:vAlign w:val="center"/>
          </w:tcPr>
          <w:p w14:paraId="5C99615C"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de suprafață</w:t>
            </w:r>
          </w:p>
        </w:tc>
        <w:tc>
          <w:tcPr>
            <w:tcW w:w="933" w:type="pct"/>
            <w:tcBorders>
              <w:top w:val="single" w:sz="4" w:space="0" w:color="auto"/>
              <w:left w:val="nil"/>
              <w:bottom w:val="single" w:sz="4" w:space="0" w:color="auto"/>
              <w:right w:val="single" w:sz="4" w:space="0" w:color="auto"/>
            </w:tcBorders>
            <w:shd w:val="clear" w:color="auto" w:fill="auto"/>
          </w:tcPr>
          <w:p w14:paraId="0338ED61"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12,793221</w:t>
            </w:r>
          </w:p>
        </w:tc>
        <w:tc>
          <w:tcPr>
            <w:tcW w:w="938" w:type="pct"/>
            <w:tcBorders>
              <w:top w:val="single" w:sz="4" w:space="0" w:color="auto"/>
              <w:left w:val="nil"/>
              <w:bottom w:val="single" w:sz="4" w:space="0" w:color="auto"/>
              <w:right w:val="single" w:sz="4" w:space="0" w:color="auto"/>
            </w:tcBorders>
          </w:tcPr>
          <w:p w14:paraId="39F74561" w14:textId="77777777" w:rsidR="000F7F91" w:rsidRPr="00EA1BB2" w:rsidRDefault="00E01F00" w:rsidP="000F7F91">
            <w:pPr>
              <w:jc w:val="center"/>
              <w:rPr>
                <w:rFonts w:ascii="Cambria" w:hAnsi="Cambria"/>
                <w:sz w:val="24"/>
                <w:szCs w:val="24"/>
              </w:rPr>
            </w:pPr>
            <w:r w:rsidRPr="00EA1BB2">
              <w:rPr>
                <w:rFonts w:ascii="Cambria" w:hAnsi="Cambria"/>
                <w:sz w:val="24"/>
                <w:szCs w:val="24"/>
              </w:rPr>
              <w:t>68,15</w:t>
            </w:r>
          </w:p>
        </w:tc>
      </w:tr>
      <w:tr w:rsidR="000F7F91" w:rsidRPr="00EA1BB2" w14:paraId="49E8BBBA" w14:textId="77777777" w:rsidTr="00F27A9D">
        <w:trPr>
          <w:jc w:val="center"/>
        </w:trPr>
        <w:tc>
          <w:tcPr>
            <w:tcW w:w="1513" w:type="pct"/>
            <w:vMerge/>
            <w:vAlign w:val="center"/>
          </w:tcPr>
          <w:p w14:paraId="11E1DF66" w14:textId="77777777" w:rsidR="000F7F91" w:rsidRPr="00EA1BB2" w:rsidRDefault="000F7F91" w:rsidP="000F7F91">
            <w:pPr>
              <w:jc w:val="center"/>
              <w:rPr>
                <w:rFonts w:ascii="Cambria" w:hAnsi="Cambria"/>
                <w:sz w:val="24"/>
                <w:szCs w:val="24"/>
              </w:rPr>
            </w:pPr>
          </w:p>
        </w:tc>
        <w:tc>
          <w:tcPr>
            <w:tcW w:w="1616" w:type="pct"/>
            <w:vAlign w:val="center"/>
          </w:tcPr>
          <w:p w14:paraId="21440C45" w14:textId="77777777" w:rsidR="000F7F91" w:rsidRPr="00EA1BB2" w:rsidRDefault="000F7F91" w:rsidP="000F7F91">
            <w:pPr>
              <w:jc w:val="center"/>
              <w:rPr>
                <w:rFonts w:ascii="Cambria" w:hAnsi="Cambria"/>
                <w:sz w:val="24"/>
                <w:szCs w:val="24"/>
              </w:rPr>
            </w:pPr>
            <w:r w:rsidRPr="00EA1BB2">
              <w:rPr>
                <w:rFonts w:ascii="Cambria" w:hAnsi="Cambria"/>
                <w:sz w:val="24"/>
                <w:szCs w:val="24"/>
              </w:rPr>
              <w:t>TOTAL</w:t>
            </w:r>
          </w:p>
        </w:tc>
        <w:tc>
          <w:tcPr>
            <w:tcW w:w="933" w:type="pct"/>
            <w:tcBorders>
              <w:top w:val="single" w:sz="4" w:space="0" w:color="auto"/>
              <w:left w:val="nil"/>
              <w:bottom w:val="single" w:sz="4" w:space="0" w:color="auto"/>
              <w:right w:val="single" w:sz="4" w:space="0" w:color="auto"/>
            </w:tcBorders>
            <w:shd w:val="clear" w:color="auto" w:fill="auto"/>
          </w:tcPr>
          <w:p w14:paraId="4A978018"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18,772579</w:t>
            </w:r>
          </w:p>
        </w:tc>
        <w:tc>
          <w:tcPr>
            <w:tcW w:w="938" w:type="pct"/>
            <w:tcBorders>
              <w:top w:val="single" w:sz="4" w:space="0" w:color="auto"/>
              <w:left w:val="nil"/>
              <w:bottom w:val="single" w:sz="4" w:space="0" w:color="auto"/>
              <w:right w:val="single" w:sz="4" w:space="0" w:color="auto"/>
            </w:tcBorders>
          </w:tcPr>
          <w:p w14:paraId="3119E812" w14:textId="77777777" w:rsidR="000F7F91" w:rsidRPr="00EA1BB2" w:rsidRDefault="00E01F00" w:rsidP="000F7F91">
            <w:pPr>
              <w:jc w:val="center"/>
              <w:rPr>
                <w:rFonts w:ascii="Cambria" w:hAnsi="Cambria"/>
                <w:sz w:val="24"/>
                <w:szCs w:val="24"/>
              </w:rPr>
            </w:pPr>
            <w:r w:rsidRPr="00EA1BB2">
              <w:rPr>
                <w:rFonts w:ascii="Cambria" w:hAnsi="Cambria"/>
                <w:sz w:val="24"/>
                <w:szCs w:val="24"/>
              </w:rPr>
              <w:t>100</w:t>
            </w:r>
          </w:p>
        </w:tc>
      </w:tr>
      <w:tr w:rsidR="000F7F91" w:rsidRPr="00EA1BB2" w14:paraId="6CEDEC52" w14:textId="77777777" w:rsidTr="00F27A9D">
        <w:trPr>
          <w:jc w:val="center"/>
        </w:trPr>
        <w:tc>
          <w:tcPr>
            <w:tcW w:w="1513" w:type="pct"/>
            <w:vMerge w:val="restart"/>
            <w:vAlign w:val="center"/>
          </w:tcPr>
          <w:p w14:paraId="0076A976" w14:textId="77777777" w:rsidR="000F7F91" w:rsidRPr="00EA1BB2" w:rsidRDefault="000F7F91" w:rsidP="000F7F91">
            <w:pPr>
              <w:jc w:val="center"/>
              <w:rPr>
                <w:rFonts w:ascii="Cambria" w:hAnsi="Cambria"/>
                <w:sz w:val="24"/>
                <w:szCs w:val="24"/>
              </w:rPr>
            </w:pPr>
            <w:r w:rsidRPr="00EA1BB2">
              <w:rPr>
                <w:rFonts w:ascii="Cambria" w:hAnsi="Cambria"/>
                <w:sz w:val="24"/>
                <w:szCs w:val="24"/>
              </w:rPr>
              <w:t>Monoxid de carbon</w:t>
            </w:r>
          </w:p>
          <w:p w14:paraId="634FD401" w14:textId="77777777" w:rsidR="000F7F91" w:rsidRPr="00EA1BB2" w:rsidRDefault="000F7F91" w:rsidP="000F7F91">
            <w:pPr>
              <w:jc w:val="center"/>
              <w:rPr>
                <w:rFonts w:ascii="Cambria" w:hAnsi="Cambria"/>
                <w:sz w:val="24"/>
                <w:szCs w:val="24"/>
              </w:rPr>
            </w:pPr>
            <w:r w:rsidRPr="00EA1BB2">
              <w:rPr>
                <w:rFonts w:ascii="Cambria" w:hAnsi="Cambria"/>
                <w:sz w:val="24"/>
                <w:szCs w:val="24"/>
              </w:rPr>
              <w:t>(CO)</w:t>
            </w:r>
          </w:p>
        </w:tc>
        <w:tc>
          <w:tcPr>
            <w:tcW w:w="1616" w:type="pct"/>
            <w:vAlign w:val="center"/>
          </w:tcPr>
          <w:p w14:paraId="088516CA"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staționare</w:t>
            </w:r>
          </w:p>
        </w:tc>
        <w:tc>
          <w:tcPr>
            <w:tcW w:w="933" w:type="pct"/>
            <w:tcBorders>
              <w:top w:val="single" w:sz="4" w:space="0" w:color="auto"/>
              <w:left w:val="nil"/>
              <w:bottom w:val="single" w:sz="4" w:space="0" w:color="auto"/>
              <w:right w:val="single" w:sz="4" w:space="0" w:color="auto"/>
            </w:tcBorders>
            <w:shd w:val="clear" w:color="auto" w:fill="auto"/>
          </w:tcPr>
          <w:p w14:paraId="74C7FBF3"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248,786</w:t>
            </w:r>
          </w:p>
        </w:tc>
        <w:tc>
          <w:tcPr>
            <w:tcW w:w="938" w:type="pct"/>
            <w:tcBorders>
              <w:top w:val="single" w:sz="4" w:space="0" w:color="auto"/>
              <w:left w:val="nil"/>
              <w:bottom w:val="single" w:sz="4" w:space="0" w:color="auto"/>
              <w:right w:val="single" w:sz="4" w:space="0" w:color="auto"/>
            </w:tcBorders>
          </w:tcPr>
          <w:p w14:paraId="37199ECD" w14:textId="77777777" w:rsidR="000F7F91" w:rsidRPr="00EA1BB2" w:rsidRDefault="00E01F00" w:rsidP="000F7F91">
            <w:pPr>
              <w:jc w:val="center"/>
              <w:rPr>
                <w:rFonts w:ascii="Cambria" w:hAnsi="Cambria"/>
                <w:sz w:val="24"/>
                <w:szCs w:val="24"/>
              </w:rPr>
            </w:pPr>
            <w:r w:rsidRPr="00EA1BB2">
              <w:rPr>
                <w:rFonts w:ascii="Cambria" w:hAnsi="Cambria"/>
                <w:sz w:val="24"/>
                <w:szCs w:val="24"/>
              </w:rPr>
              <w:t>6,06</w:t>
            </w:r>
          </w:p>
        </w:tc>
      </w:tr>
      <w:tr w:rsidR="000F7F91" w:rsidRPr="00EA1BB2" w14:paraId="435DB034" w14:textId="77777777" w:rsidTr="00F27A9D">
        <w:trPr>
          <w:jc w:val="center"/>
        </w:trPr>
        <w:tc>
          <w:tcPr>
            <w:tcW w:w="1513" w:type="pct"/>
            <w:vMerge/>
            <w:vAlign w:val="center"/>
          </w:tcPr>
          <w:p w14:paraId="7E8FFB6C" w14:textId="77777777" w:rsidR="000F7F91" w:rsidRPr="00EA1BB2" w:rsidRDefault="000F7F91" w:rsidP="000F7F91">
            <w:pPr>
              <w:jc w:val="center"/>
              <w:rPr>
                <w:rFonts w:ascii="Cambria" w:hAnsi="Cambria"/>
                <w:sz w:val="24"/>
                <w:szCs w:val="24"/>
              </w:rPr>
            </w:pPr>
          </w:p>
        </w:tc>
        <w:tc>
          <w:tcPr>
            <w:tcW w:w="1616" w:type="pct"/>
            <w:vAlign w:val="center"/>
          </w:tcPr>
          <w:p w14:paraId="74AD6554"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mobile</w:t>
            </w:r>
          </w:p>
        </w:tc>
        <w:tc>
          <w:tcPr>
            <w:tcW w:w="933" w:type="pct"/>
            <w:tcBorders>
              <w:top w:val="single" w:sz="4" w:space="0" w:color="auto"/>
              <w:left w:val="nil"/>
              <w:bottom w:val="single" w:sz="4" w:space="0" w:color="auto"/>
              <w:right w:val="single" w:sz="4" w:space="0" w:color="auto"/>
            </w:tcBorders>
            <w:shd w:val="clear" w:color="auto" w:fill="auto"/>
          </w:tcPr>
          <w:p w14:paraId="3B153489"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2507,095</w:t>
            </w:r>
          </w:p>
        </w:tc>
        <w:tc>
          <w:tcPr>
            <w:tcW w:w="938" w:type="pct"/>
            <w:tcBorders>
              <w:top w:val="single" w:sz="4" w:space="0" w:color="auto"/>
              <w:left w:val="nil"/>
              <w:bottom w:val="single" w:sz="4" w:space="0" w:color="auto"/>
              <w:right w:val="single" w:sz="4" w:space="0" w:color="auto"/>
            </w:tcBorders>
          </w:tcPr>
          <w:p w14:paraId="378D50B3" w14:textId="77777777" w:rsidR="000F7F91" w:rsidRPr="00EA1BB2" w:rsidRDefault="00E01F00" w:rsidP="000F7F91">
            <w:pPr>
              <w:jc w:val="center"/>
              <w:rPr>
                <w:rFonts w:ascii="Cambria" w:hAnsi="Cambria"/>
                <w:sz w:val="24"/>
                <w:szCs w:val="24"/>
              </w:rPr>
            </w:pPr>
            <w:r w:rsidRPr="00EA1BB2">
              <w:rPr>
                <w:rFonts w:ascii="Cambria" w:hAnsi="Cambria"/>
                <w:sz w:val="24"/>
                <w:szCs w:val="24"/>
              </w:rPr>
              <w:t>61,06</w:t>
            </w:r>
          </w:p>
        </w:tc>
      </w:tr>
      <w:tr w:rsidR="000F7F91" w:rsidRPr="00EA1BB2" w14:paraId="0338AB58" w14:textId="77777777" w:rsidTr="00F27A9D">
        <w:trPr>
          <w:jc w:val="center"/>
        </w:trPr>
        <w:tc>
          <w:tcPr>
            <w:tcW w:w="1513" w:type="pct"/>
            <w:vMerge/>
            <w:vAlign w:val="center"/>
          </w:tcPr>
          <w:p w14:paraId="7C3D982C" w14:textId="77777777" w:rsidR="000F7F91" w:rsidRPr="00EA1BB2" w:rsidRDefault="000F7F91" w:rsidP="000F7F91">
            <w:pPr>
              <w:jc w:val="center"/>
              <w:rPr>
                <w:rFonts w:ascii="Cambria" w:hAnsi="Cambria"/>
                <w:sz w:val="24"/>
                <w:szCs w:val="24"/>
              </w:rPr>
            </w:pPr>
          </w:p>
        </w:tc>
        <w:tc>
          <w:tcPr>
            <w:tcW w:w="1616" w:type="pct"/>
            <w:vAlign w:val="center"/>
          </w:tcPr>
          <w:p w14:paraId="6203D5A8"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de suprafață</w:t>
            </w:r>
          </w:p>
        </w:tc>
        <w:tc>
          <w:tcPr>
            <w:tcW w:w="933" w:type="pct"/>
            <w:tcBorders>
              <w:top w:val="single" w:sz="4" w:space="0" w:color="auto"/>
              <w:left w:val="nil"/>
              <w:bottom w:val="single" w:sz="4" w:space="0" w:color="auto"/>
              <w:right w:val="single" w:sz="4" w:space="0" w:color="auto"/>
            </w:tcBorders>
            <w:shd w:val="clear" w:color="auto" w:fill="auto"/>
          </w:tcPr>
          <w:p w14:paraId="482869AB"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1349,898</w:t>
            </w:r>
          </w:p>
        </w:tc>
        <w:tc>
          <w:tcPr>
            <w:tcW w:w="938" w:type="pct"/>
            <w:tcBorders>
              <w:top w:val="single" w:sz="4" w:space="0" w:color="auto"/>
              <w:left w:val="nil"/>
              <w:bottom w:val="single" w:sz="4" w:space="0" w:color="auto"/>
              <w:right w:val="single" w:sz="4" w:space="0" w:color="auto"/>
            </w:tcBorders>
          </w:tcPr>
          <w:p w14:paraId="516AA494" w14:textId="77777777" w:rsidR="000F7F91" w:rsidRPr="00EA1BB2" w:rsidRDefault="00E01F00" w:rsidP="000F7F91">
            <w:pPr>
              <w:jc w:val="center"/>
              <w:rPr>
                <w:rFonts w:ascii="Cambria" w:hAnsi="Cambria"/>
                <w:sz w:val="24"/>
                <w:szCs w:val="24"/>
              </w:rPr>
            </w:pPr>
            <w:r w:rsidRPr="00EA1BB2">
              <w:rPr>
                <w:rFonts w:ascii="Cambria" w:hAnsi="Cambria"/>
                <w:sz w:val="24"/>
                <w:szCs w:val="24"/>
              </w:rPr>
              <w:t>32,88</w:t>
            </w:r>
          </w:p>
        </w:tc>
      </w:tr>
      <w:tr w:rsidR="000F7F91" w:rsidRPr="00EA1BB2" w14:paraId="2BB7B64A" w14:textId="77777777" w:rsidTr="00F27A9D">
        <w:trPr>
          <w:jc w:val="center"/>
        </w:trPr>
        <w:tc>
          <w:tcPr>
            <w:tcW w:w="1513" w:type="pct"/>
            <w:vMerge/>
            <w:vAlign w:val="center"/>
          </w:tcPr>
          <w:p w14:paraId="3011FFD3" w14:textId="77777777" w:rsidR="000F7F91" w:rsidRPr="00EA1BB2" w:rsidRDefault="000F7F91" w:rsidP="000F7F91">
            <w:pPr>
              <w:jc w:val="center"/>
              <w:rPr>
                <w:rFonts w:ascii="Cambria" w:hAnsi="Cambria"/>
                <w:sz w:val="24"/>
                <w:szCs w:val="24"/>
              </w:rPr>
            </w:pPr>
          </w:p>
        </w:tc>
        <w:tc>
          <w:tcPr>
            <w:tcW w:w="1616" w:type="pct"/>
            <w:vAlign w:val="center"/>
          </w:tcPr>
          <w:p w14:paraId="3D90059D" w14:textId="77777777" w:rsidR="000F7F91" w:rsidRPr="00EA1BB2" w:rsidRDefault="000F7F91" w:rsidP="000F7F91">
            <w:pPr>
              <w:jc w:val="center"/>
              <w:rPr>
                <w:rFonts w:ascii="Cambria" w:hAnsi="Cambria"/>
                <w:sz w:val="24"/>
                <w:szCs w:val="24"/>
              </w:rPr>
            </w:pPr>
            <w:r w:rsidRPr="00EA1BB2">
              <w:rPr>
                <w:rFonts w:ascii="Cambria" w:hAnsi="Cambria"/>
                <w:sz w:val="24"/>
                <w:szCs w:val="24"/>
              </w:rPr>
              <w:t>TOTAL</w:t>
            </w:r>
          </w:p>
        </w:tc>
        <w:tc>
          <w:tcPr>
            <w:tcW w:w="933" w:type="pct"/>
            <w:tcBorders>
              <w:top w:val="single" w:sz="4" w:space="0" w:color="auto"/>
              <w:left w:val="nil"/>
              <w:bottom w:val="single" w:sz="4" w:space="0" w:color="auto"/>
              <w:right w:val="single" w:sz="4" w:space="0" w:color="auto"/>
            </w:tcBorders>
            <w:shd w:val="clear" w:color="auto" w:fill="auto"/>
          </w:tcPr>
          <w:p w14:paraId="59343F36"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4105,779</w:t>
            </w:r>
          </w:p>
        </w:tc>
        <w:tc>
          <w:tcPr>
            <w:tcW w:w="938" w:type="pct"/>
            <w:tcBorders>
              <w:top w:val="single" w:sz="4" w:space="0" w:color="auto"/>
              <w:left w:val="nil"/>
              <w:bottom w:val="single" w:sz="4" w:space="0" w:color="auto"/>
              <w:right w:val="single" w:sz="4" w:space="0" w:color="auto"/>
            </w:tcBorders>
          </w:tcPr>
          <w:p w14:paraId="4469D907" w14:textId="77777777" w:rsidR="000F7F91" w:rsidRPr="00EA1BB2" w:rsidRDefault="00E01F00" w:rsidP="000F7F91">
            <w:pPr>
              <w:jc w:val="center"/>
              <w:rPr>
                <w:rFonts w:ascii="Cambria" w:hAnsi="Cambria"/>
                <w:sz w:val="24"/>
                <w:szCs w:val="24"/>
              </w:rPr>
            </w:pPr>
            <w:r w:rsidRPr="00EA1BB2">
              <w:rPr>
                <w:rFonts w:ascii="Cambria" w:hAnsi="Cambria"/>
                <w:sz w:val="24"/>
                <w:szCs w:val="24"/>
              </w:rPr>
              <w:t>100</w:t>
            </w:r>
          </w:p>
        </w:tc>
      </w:tr>
      <w:tr w:rsidR="000F7F91" w:rsidRPr="00EA1BB2" w14:paraId="796AEA4F" w14:textId="77777777" w:rsidTr="00F27A9D">
        <w:trPr>
          <w:jc w:val="center"/>
        </w:trPr>
        <w:tc>
          <w:tcPr>
            <w:tcW w:w="1513" w:type="pct"/>
            <w:vMerge w:val="restart"/>
            <w:vAlign w:val="center"/>
          </w:tcPr>
          <w:p w14:paraId="41D8F911" w14:textId="77777777" w:rsidR="000F7F91" w:rsidRPr="00EA1BB2" w:rsidRDefault="000F7F91" w:rsidP="000F7F91">
            <w:pPr>
              <w:jc w:val="center"/>
              <w:rPr>
                <w:rFonts w:ascii="Cambria" w:hAnsi="Cambria"/>
                <w:sz w:val="24"/>
                <w:szCs w:val="24"/>
              </w:rPr>
            </w:pPr>
            <w:r w:rsidRPr="00EA1BB2">
              <w:rPr>
                <w:rFonts w:ascii="Cambria" w:hAnsi="Cambria"/>
                <w:sz w:val="24"/>
                <w:szCs w:val="24"/>
              </w:rPr>
              <w:t xml:space="preserve">Plumb </w:t>
            </w:r>
          </w:p>
          <w:p w14:paraId="3BD7E641" w14:textId="77777777" w:rsidR="000F7F91" w:rsidRPr="00EA1BB2" w:rsidRDefault="000F7F91" w:rsidP="000F7F91">
            <w:pPr>
              <w:jc w:val="center"/>
              <w:rPr>
                <w:rFonts w:ascii="Cambria" w:hAnsi="Cambria"/>
                <w:sz w:val="24"/>
                <w:szCs w:val="24"/>
              </w:rPr>
            </w:pPr>
            <w:r w:rsidRPr="00EA1BB2">
              <w:rPr>
                <w:rFonts w:ascii="Cambria" w:hAnsi="Cambria"/>
                <w:sz w:val="24"/>
                <w:szCs w:val="24"/>
              </w:rPr>
              <w:t>(Pb)</w:t>
            </w:r>
          </w:p>
        </w:tc>
        <w:tc>
          <w:tcPr>
            <w:tcW w:w="1616" w:type="pct"/>
            <w:vAlign w:val="center"/>
          </w:tcPr>
          <w:p w14:paraId="64A926B9"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staționare</w:t>
            </w:r>
          </w:p>
        </w:tc>
        <w:tc>
          <w:tcPr>
            <w:tcW w:w="933" w:type="pct"/>
            <w:tcBorders>
              <w:top w:val="single" w:sz="4" w:space="0" w:color="auto"/>
              <w:left w:val="nil"/>
              <w:bottom w:val="single" w:sz="4" w:space="0" w:color="auto"/>
              <w:right w:val="single" w:sz="4" w:space="0" w:color="auto"/>
            </w:tcBorders>
            <w:shd w:val="clear" w:color="auto" w:fill="auto"/>
          </w:tcPr>
          <w:p w14:paraId="483F829D"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0,034613</w:t>
            </w:r>
          </w:p>
        </w:tc>
        <w:tc>
          <w:tcPr>
            <w:tcW w:w="938" w:type="pct"/>
            <w:tcBorders>
              <w:top w:val="single" w:sz="4" w:space="0" w:color="auto"/>
              <w:left w:val="nil"/>
              <w:bottom w:val="single" w:sz="4" w:space="0" w:color="auto"/>
              <w:right w:val="single" w:sz="4" w:space="0" w:color="auto"/>
            </w:tcBorders>
          </w:tcPr>
          <w:p w14:paraId="4782A118" w14:textId="77777777" w:rsidR="000F7F91" w:rsidRPr="00EA1BB2" w:rsidRDefault="00E01F00" w:rsidP="000F7F91">
            <w:pPr>
              <w:jc w:val="center"/>
              <w:rPr>
                <w:rFonts w:ascii="Cambria" w:hAnsi="Cambria"/>
                <w:sz w:val="24"/>
                <w:szCs w:val="24"/>
              </w:rPr>
            </w:pPr>
            <w:r w:rsidRPr="00EA1BB2">
              <w:rPr>
                <w:rFonts w:ascii="Cambria" w:hAnsi="Cambria"/>
                <w:sz w:val="24"/>
                <w:szCs w:val="24"/>
              </w:rPr>
              <w:t>51,06</w:t>
            </w:r>
          </w:p>
        </w:tc>
      </w:tr>
      <w:tr w:rsidR="000F7F91" w:rsidRPr="00EA1BB2" w14:paraId="238A34AF" w14:textId="77777777" w:rsidTr="00F27A9D">
        <w:trPr>
          <w:jc w:val="center"/>
        </w:trPr>
        <w:tc>
          <w:tcPr>
            <w:tcW w:w="1513" w:type="pct"/>
            <w:vMerge/>
            <w:vAlign w:val="center"/>
          </w:tcPr>
          <w:p w14:paraId="15ABDBAD" w14:textId="77777777" w:rsidR="000F7F91" w:rsidRPr="00EA1BB2" w:rsidRDefault="000F7F91" w:rsidP="000F7F91">
            <w:pPr>
              <w:jc w:val="center"/>
              <w:rPr>
                <w:rFonts w:ascii="Cambria" w:hAnsi="Cambria"/>
                <w:sz w:val="24"/>
                <w:szCs w:val="24"/>
              </w:rPr>
            </w:pPr>
          </w:p>
        </w:tc>
        <w:tc>
          <w:tcPr>
            <w:tcW w:w="1616" w:type="pct"/>
            <w:vAlign w:val="center"/>
          </w:tcPr>
          <w:p w14:paraId="7D1742CD"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mobile</w:t>
            </w:r>
          </w:p>
        </w:tc>
        <w:tc>
          <w:tcPr>
            <w:tcW w:w="933" w:type="pct"/>
            <w:tcBorders>
              <w:top w:val="single" w:sz="4" w:space="0" w:color="auto"/>
              <w:left w:val="nil"/>
              <w:bottom w:val="single" w:sz="4" w:space="0" w:color="auto"/>
              <w:right w:val="single" w:sz="4" w:space="0" w:color="auto"/>
            </w:tcBorders>
            <w:shd w:val="clear" w:color="auto" w:fill="auto"/>
          </w:tcPr>
          <w:p w14:paraId="006AB334"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0,022815</w:t>
            </w:r>
          </w:p>
        </w:tc>
        <w:tc>
          <w:tcPr>
            <w:tcW w:w="938" w:type="pct"/>
            <w:tcBorders>
              <w:top w:val="single" w:sz="4" w:space="0" w:color="auto"/>
              <w:left w:val="nil"/>
              <w:bottom w:val="single" w:sz="4" w:space="0" w:color="auto"/>
              <w:right w:val="single" w:sz="4" w:space="0" w:color="auto"/>
            </w:tcBorders>
          </w:tcPr>
          <w:p w14:paraId="186987C4" w14:textId="77777777" w:rsidR="000F7F91" w:rsidRPr="00EA1BB2" w:rsidRDefault="00E01F00" w:rsidP="000F7F91">
            <w:pPr>
              <w:jc w:val="center"/>
              <w:rPr>
                <w:rFonts w:ascii="Cambria" w:hAnsi="Cambria"/>
                <w:sz w:val="24"/>
                <w:szCs w:val="24"/>
              </w:rPr>
            </w:pPr>
            <w:r w:rsidRPr="00EA1BB2">
              <w:rPr>
                <w:rFonts w:ascii="Cambria" w:hAnsi="Cambria"/>
                <w:sz w:val="24"/>
                <w:szCs w:val="24"/>
              </w:rPr>
              <w:t>33,66</w:t>
            </w:r>
          </w:p>
        </w:tc>
      </w:tr>
      <w:tr w:rsidR="000F7F91" w:rsidRPr="00EA1BB2" w14:paraId="585CA4E5" w14:textId="77777777" w:rsidTr="00F27A9D">
        <w:trPr>
          <w:jc w:val="center"/>
        </w:trPr>
        <w:tc>
          <w:tcPr>
            <w:tcW w:w="1513" w:type="pct"/>
            <w:vMerge/>
            <w:vAlign w:val="center"/>
          </w:tcPr>
          <w:p w14:paraId="0813F1AF" w14:textId="77777777" w:rsidR="000F7F91" w:rsidRPr="00EA1BB2" w:rsidRDefault="000F7F91" w:rsidP="000F7F91">
            <w:pPr>
              <w:jc w:val="center"/>
              <w:rPr>
                <w:rFonts w:ascii="Cambria" w:hAnsi="Cambria"/>
                <w:sz w:val="24"/>
                <w:szCs w:val="24"/>
              </w:rPr>
            </w:pPr>
          </w:p>
        </w:tc>
        <w:tc>
          <w:tcPr>
            <w:tcW w:w="1616" w:type="pct"/>
            <w:vAlign w:val="center"/>
          </w:tcPr>
          <w:p w14:paraId="002B8914"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de suprafață</w:t>
            </w:r>
          </w:p>
        </w:tc>
        <w:tc>
          <w:tcPr>
            <w:tcW w:w="933" w:type="pct"/>
            <w:tcBorders>
              <w:top w:val="single" w:sz="4" w:space="0" w:color="auto"/>
              <w:left w:val="nil"/>
              <w:bottom w:val="single" w:sz="4" w:space="0" w:color="auto"/>
              <w:right w:val="single" w:sz="4" w:space="0" w:color="auto"/>
            </w:tcBorders>
            <w:shd w:val="clear" w:color="auto" w:fill="auto"/>
          </w:tcPr>
          <w:p w14:paraId="21366C78"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0,010360</w:t>
            </w:r>
          </w:p>
        </w:tc>
        <w:tc>
          <w:tcPr>
            <w:tcW w:w="938" w:type="pct"/>
            <w:tcBorders>
              <w:top w:val="single" w:sz="4" w:space="0" w:color="auto"/>
              <w:left w:val="nil"/>
              <w:bottom w:val="single" w:sz="4" w:space="0" w:color="auto"/>
              <w:right w:val="single" w:sz="4" w:space="0" w:color="auto"/>
            </w:tcBorders>
          </w:tcPr>
          <w:p w14:paraId="3FEBE929" w14:textId="77777777" w:rsidR="000F7F91" w:rsidRPr="00EA1BB2" w:rsidRDefault="00E01F00" w:rsidP="000F7F91">
            <w:pPr>
              <w:jc w:val="center"/>
              <w:rPr>
                <w:rFonts w:ascii="Cambria" w:hAnsi="Cambria"/>
                <w:sz w:val="24"/>
                <w:szCs w:val="24"/>
              </w:rPr>
            </w:pPr>
            <w:r w:rsidRPr="00EA1BB2">
              <w:rPr>
                <w:rFonts w:ascii="Cambria" w:hAnsi="Cambria"/>
                <w:sz w:val="24"/>
                <w:szCs w:val="24"/>
              </w:rPr>
              <w:t>15,28</w:t>
            </w:r>
          </w:p>
        </w:tc>
      </w:tr>
      <w:tr w:rsidR="000F7F91" w:rsidRPr="00EA1BB2" w14:paraId="0CED7CAE" w14:textId="77777777" w:rsidTr="00F27A9D">
        <w:trPr>
          <w:jc w:val="center"/>
        </w:trPr>
        <w:tc>
          <w:tcPr>
            <w:tcW w:w="1513" w:type="pct"/>
            <w:vMerge/>
            <w:vAlign w:val="center"/>
          </w:tcPr>
          <w:p w14:paraId="752EC300" w14:textId="77777777" w:rsidR="000F7F91" w:rsidRPr="00EA1BB2" w:rsidRDefault="000F7F91" w:rsidP="000F7F91">
            <w:pPr>
              <w:jc w:val="center"/>
              <w:rPr>
                <w:rFonts w:ascii="Cambria" w:hAnsi="Cambria"/>
                <w:sz w:val="24"/>
                <w:szCs w:val="24"/>
              </w:rPr>
            </w:pPr>
          </w:p>
        </w:tc>
        <w:tc>
          <w:tcPr>
            <w:tcW w:w="1616" w:type="pct"/>
            <w:vAlign w:val="center"/>
          </w:tcPr>
          <w:p w14:paraId="1DFBC0BA" w14:textId="77777777" w:rsidR="000F7F91" w:rsidRPr="00EA1BB2" w:rsidRDefault="000F7F91" w:rsidP="000F7F91">
            <w:pPr>
              <w:jc w:val="center"/>
              <w:rPr>
                <w:rFonts w:ascii="Cambria" w:hAnsi="Cambria"/>
                <w:sz w:val="24"/>
                <w:szCs w:val="24"/>
              </w:rPr>
            </w:pPr>
            <w:r w:rsidRPr="00EA1BB2">
              <w:rPr>
                <w:rFonts w:ascii="Cambria" w:hAnsi="Cambria"/>
                <w:sz w:val="24"/>
                <w:szCs w:val="24"/>
              </w:rPr>
              <w:t>TOTAL</w:t>
            </w:r>
          </w:p>
        </w:tc>
        <w:tc>
          <w:tcPr>
            <w:tcW w:w="933" w:type="pct"/>
            <w:tcBorders>
              <w:top w:val="single" w:sz="4" w:space="0" w:color="auto"/>
              <w:left w:val="nil"/>
              <w:bottom w:val="single" w:sz="4" w:space="0" w:color="auto"/>
              <w:right w:val="single" w:sz="4" w:space="0" w:color="auto"/>
            </w:tcBorders>
            <w:shd w:val="clear" w:color="auto" w:fill="auto"/>
          </w:tcPr>
          <w:p w14:paraId="5E1D5E6F"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0,067788</w:t>
            </w:r>
          </w:p>
        </w:tc>
        <w:tc>
          <w:tcPr>
            <w:tcW w:w="938" w:type="pct"/>
            <w:tcBorders>
              <w:top w:val="single" w:sz="4" w:space="0" w:color="auto"/>
              <w:left w:val="nil"/>
              <w:bottom w:val="single" w:sz="4" w:space="0" w:color="auto"/>
              <w:right w:val="single" w:sz="4" w:space="0" w:color="auto"/>
            </w:tcBorders>
          </w:tcPr>
          <w:p w14:paraId="27BCB160" w14:textId="77777777" w:rsidR="000F7F91" w:rsidRPr="00EA1BB2" w:rsidRDefault="00E01F00" w:rsidP="000F7F91">
            <w:pPr>
              <w:jc w:val="center"/>
              <w:rPr>
                <w:rFonts w:ascii="Cambria" w:hAnsi="Cambria"/>
                <w:sz w:val="24"/>
                <w:szCs w:val="24"/>
              </w:rPr>
            </w:pPr>
            <w:r w:rsidRPr="00EA1BB2">
              <w:rPr>
                <w:rFonts w:ascii="Cambria" w:hAnsi="Cambria"/>
                <w:sz w:val="24"/>
                <w:szCs w:val="24"/>
              </w:rPr>
              <w:t>100</w:t>
            </w:r>
          </w:p>
        </w:tc>
      </w:tr>
      <w:tr w:rsidR="000F7F91" w:rsidRPr="00EA1BB2" w14:paraId="26E2A752" w14:textId="77777777" w:rsidTr="00F27A9D">
        <w:trPr>
          <w:jc w:val="center"/>
        </w:trPr>
        <w:tc>
          <w:tcPr>
            <w:tcW w:w="1513" w:type="pct"/>
            <w:vMerge w:val="restart"/>
            <w:vAlign w:val="center"/>
          </w:tcPr>
          <w:p w14:paraId="0DD4D9A9" w14:textId="77777777" w:rsidR="000F7F91" w:rsidRPr="00EA1BB2" w:rsidRDefault="000F7F91" w:rsidP="000F7F91">
            <w:pPr>
              <w:jc w:val="center"/>
              <w:rPr>
                <w:rFonts w:ascii="Cambria" w:hAnsi="Cambria"/>
                <w:sz w:val="24"/>
                <w:szCs w:val="24"/>
              </w:rPr>
            </w:pPr>
            <w:r w:rsidRPr="00EA1BB2">
              <w:rPr>
                <w:rFonts w:ascii="Cambria" w:hAnsi="Cambria"/>
                <w:sz w:val="24"/>
                <w:szCs w:val="24"/>
              </w:rPr>
              <w:t xml:space="preserve">Arsen </w:t>
            </w:r>
          </w:p>
          <w:p w14:paraId="39AECF95" w14:textId="77777777" w:rsidR="000F7F91" w:rsidRPr="00EA1BB2" w:rsidRDefault="000F7F91" w:rsidP="000F7F91">
            <w:pPr>
              <w:jc w:val="center"/>
              <w:rPr>
                <w:rFonts w:ascii="Cambria" w:hAnsi="Cambria"/>
                <w:sz w:val="24"/>
                <w:szCs w:val="24"/>
              </w:rPr>
            </w:pPr>
            <w:r w:rsidRPr="00EA1BB2">
              <w:rPr>
                <w:rFonts w:ascii="Cambria" w:hAnsi="Cambria"/>
                <w:sz w:val="24"/>
                <w:szCs w:val="24"/>
              </w:rPr>
              <w:t>(As)</w:t>
            </w:r>
          </w:p>
        </w:tc>
        <w:tc>
          <w:tcPr>
            <w:tcW w:w="1616" w:type="pct"/>
            <w:vAlign w:val="center"/>
          </w:tcPr>
          <w:p w14:paraId="025E60E6"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staționare</w:t>
            </w:r>
          </w:p>
        </w:tc>
        <w:tc>
          <w:tcPr>
            <w:tcW w:w="933" w:type="pct"/>
            <w:tcBorders>
              <w:top w:val="single" w:sz="4" w:space="0" w:color="auto"/>
              <w:left w:val="nil"/>
              <w:bottom w:val="single" w:sz="4" w:space="0" w:color="auto"/>
              <w:right w:val="single" w:sz="4" w:space="0" w:color="auto"/>
            </w:tcBorders>
            <w:shd w:val="clear" w:color="auto" w:fill="auto"/>
          </w:tcPr>
          <w:p w14:paraId="79B7FBE4"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0,000279</w:t>
            </w:r>
          </w:p>
        </w:tc>
        <w:tc>
          <w:tcPr>
            <w:tcW w:w="938" w:type="pct"/>
            <w:tcBorders>
              <w:top w:val="single" w:sz="4" w:space="0" w:color="auto"/>
              <w:left w:val="nil"/>
              <w:bottom w:val="single" w:sz="4" w:space="0" w:color="auto"/>
              <w:right w:val="single" w:sz="4" w:space="0" w:color="auto"/>
            </w:tcBorders>
          </w:tcPr>
          <w:p w14:paraId="22475DB5" w14:textId="77777777" w:rsidR="000F7F91" w:rsidRPr="00EA1BB2" w:rsidRDefault="00E01F00" w:rsidP="000F7F91">
            <w:pPr>
              <w:jc w:val="center"/>
              <w:rPr>
                <w:rFonts w:ascii="Cambria" w:hAnsi="Cambria"/>
                <w:sz w:val="24"/>
                <w:szCs w:val="24"/>
              </w:rPr>
            </w:pPr>
            <w:r w:rsidRPr="00EA1BB2">
              <w:rPr>
                <w:rFonts w:ascii="Cambria" w:hAnsi="Cambria"/>
                <w:sz w:val="24"/>
                <w:szCs w:val="24"/>
              </w:rPr>
              <w:t>51,81</w:t>
            </w:r>
          </w:p>
        </w:tc>
      </w:tr>
      <w:tr w:rsidR="000F7F91" w:rsidRPr="00EA1BB2" w14:paraId="4E1A99C7" w14:textId="77777777" w:rsidTr="00F27A9D">
        <w:trPr>
          <w:jc w:val="center"/>
        </w:trPr>
        <w:tc>
          <w:tcPr>
            <w:tcW w:w="1513" w:type="pct"/>
            <w:vMerge/>
            <w:vAlign w:val="center"/>
          </w:tcPr>
          <w:p w14:paraId="6039C1F7" w14:textId="77777777" w:rsidR="000F7F91" w:rsidRPr="00EA1BB2" w:rsidRDefault="000F7F91" w:rsidP="000F7F91">
            <w:pPr>
              <w:jc w:val="center"/>
              <w:rPr>
                <w:rFonts w:ascii="Cambria" w:hAnsi="Cambria"/>
                <w:sz w:val="24"/>
                <w:szCs w:val="24"/>
              </w:rPr>
            </w:pPr>
          </w:p>
        </w:tc>
        <w:tc>
          <w:tcPr>
            <w:tcW w:w="1616" w:type="pct"/>
            <w:vAlign w:val="center"/>
          </w:tcPr>
          <w:p w14:paraId="22D2FE05"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mobile</w:t>
            </w:r>
          </w:p>
        </w:tc>
        <w:tc>
          <w:tcPr>
            <w:tcW w:w="933" w:type="pct"/>
            <w:tcBorders>
              <w:top w:val="single" w:sz="4" w:space="0" w:color="auto"/>
              <w:left w:val="nil"/>
              <w:bottom w:val="single" w:sz="4" w:space="0" w:color="auto"/>
              <w:right w:val="single" w:sz="4" w:space="0" w:color="auto"/>
            </w:tcBorders>
            <w:shd w:val="clear" w:color="auto" w:fill="auto"/>
          </w:tcPr>
          <w:p w14:paraId="1367BEC4" w14:textId="77777777" w:rsidR="000F7F91" w:rsidRPr="00EA1BB2" w:rsidRDefault="000F7F91" w:rsidP="000F7F91">
            <w:pPr>
              <w:jc w:val="center"/>
              <w:rPr>
                <w:rFonts w:ascii="Cambria" w:hAnsi="Cambria"/>
                <w:color w:val="000000"/>
                <w:sz w:val="24"/>
                <w:szCs w:val="24"/>
              </w:rPr>
            </w:pPr>
          </w:p>
        </w:tc>
        <w:tc>
          <w:tcPr>
            <w:tcW w:w="938" w:type="pct"/>
            <w:tcBorders>
              <w:top w:val="single" w:sz="4" w:space="0" w:color="auto"/>
              <w:left w:val="nil"/>
              <w:bottom w:val="single" w:sz="4" w:space="0" w:color="auto"/>
              <w:right w:val="single" w:sz="4" w:space="0" w:color="auto"/>
            </w:tcBorders>
          </w:tcPr>
          <w:p w14:paraId="0E0E1A7B" w14:textId="77777777" w:rsidR="000F7F91" w:rsidRPr="00EA1BB2" w:rsidRDefault="00E01F00" w:rsidP="000F7F91">
            <w:pPr>
              <w:jc w:val="center"/>
              <w:rPr>
                <w:rFonts w:ascii="Cambria" w:hAnsi="Cambria"/>
                <w:color w:val="000000"/>
                <w:sz w:val="24"/>
                <w:szCs w:val="24"/>
              </w:rPr>
            </w:pPr>
            <w:r w:rsidRPr="00EA1BB2">
              <w:rPr>
                <w:rFonts w:ascii="Cambria" w:hAnsi="Cambria"/>
                <w:sz w:val="24"/>
                <w:szCs w:val="24"/>
              </w:rPr>
              <w:t>0,00</w:t>
            </w:r>
          </w:p>
        </w:tc>
      </w:tr>
      <w:tr w:rsidR="000F7F91" w:rsidRPr="00EA1BB2" w14:paraId="039BB4D2" w14:textId="77777777" w:rsidTr="00F27A9D">
        <w:trPr>
          <w:jc w:val="center"/>
        </w:trPr>
        <w:tc>
          <w:tcPr>
            <w:tcW w:w="1513" w:type="pct"/>
            <w:vMerge/>
            <w:vAlign w:val="center"/>
          </w:tcPr>
          <w:p w14:paraId="6D8A50DD" w14:textId="77777777" w:rsidR="000F7F91" w:rsidRPr="00EA1BB2" w:rsidRDefault="000F7F91" w:rsidP="000F7F91">
            <w:pPr>
              <w:jc w:val="center"/>
              <w:rPr>
                <w:rFonts w:ascii="Cambria" w:hAnsi="Cambria"/>
                <w:sz w:val="24"/>
                <w:szCs w:val="24"/>
              </w:rPr>
            </w:pPr>
          </w:p>
        </w:tc>
        <w:tc>
          <w:tcPr>
            <w:tcW w:w="1616" w:type="pct"/>
            <w:vAlign w:val="center"/>
          </w:tcPr>
          <w:p w14:paraId="6E4D2BDD"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de suprafață</w:t>
            </w:r>
          </w:p>
        </w:tc>
        <w:tc>
          <w:tcPr>
            <w:tcW w:w="933" w:type="pct"/>
            <w:tcBorders>
              <w:top w:val="single" w:sz="4" w:space="0" w:color="auto"/>
              <w:left w:val="nil"/>
              <w:bottom w:val="single" w:sz="4" w:space="0" w:color="auto"/>
              <w:right w:val="single" w:sz="4" w:space="0" w:color="auto"/>
            </w:tcBorders>
            <w:shd w:val="clear" w:color="auto" w:fill="auto"/>
          </w:tcPr>
          <w:p w14:paraId="2198A79C"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0,000259</w:t>
            </w:r>
          </w:p>
        </w:tc>
        <w:tc>
          <w:tcPr>
            <w:tcW w:w="938" w:type="pct"/>
            <w:tcBorders>
              <w:top w:val="single" w:sz="4" w:space="0" w:color="auto"/>
              <w:left w:val="nil"/>
              <w:bottom w:val="single" w:sz="4" w:space="0" w:color="auto"/>
              <w:right w:val="single" w:sz="4" w:space="0" w:color="auto"/>
            </w:tcBorders>
          </w:tcPr>
          <w:p w14:paraId="7862DBEB" w14:textId="77777777" w:rsidR="000F7F91" w:rsidRPr="00EA1BB2" w:rsidRDefault="00E01F00" w:rsidP="000F7F91">
            <w:pPr>
              <w:jc w:val="center"/>
              <w:rPr>
                <w:rFonts w:ascii="Cambria" w:hAnsi="Cambria"/>
                <w:sz w:val="24"/>
                <w:szCs w:val="24"/>
              </w:rPr>
            </w:pPr>
            <w:r w:rsidRPr="00EA1BB2">
              <w:rPr>
                <w:rFonts w:ascii="Cambria" w:hAnsi="Cambria"/>
                <w:sz w:val="24"/>
                <w:szCs w:val="24"/>
              </w:rPr>
              <w:t>48,19</w:t>
            </w:r>
          </w:p>
        </w:tc>
      </w:tr>
      <w:tr w:rsidR="000F7F91" w:rsidRPr="00EA1BB2" w14:paraId="6BE67D01" w14:textId="77777777" w:rsidTr="00F27A9D">
        <w:trPr>
          <w:jc w:val="center"/>
        </w:trPr>
        <w:tc>
          <w:tcPr>
            <w:tcW w:w="1513" w:type="pct"/>
            <w:vMerge/>
            <w:vAlign w:val="center"/>
          </w:tcPr>
          <w:p w14:paraId="077485E1" w14:textId="77777777" w:rsidR="000F7F91" w:rsidRPr="00EA1BB2" w:rsidRDefault="000F7F91" w:rsidP="000F7F91">
            <w:pPr>
              <w:jc w:val="center"/>
              <w:rPr>
                <w:rFonts w:ascii="Cambria" w:hAnsi="Cambria"/>
                <w:sz w:val="24"/>
                <w:szCs w:val="24"/>
              </w:rPr>
            </w:pPr>
          </w:p>
        </w:tc>
        <w:tc>
          <w:tcPr>
            <w:tcW w:w="1616" w:type="pct"/>
            <w:vAlign w:val="center"/>
          </w:tcPr>
          <w:p w14:paraId="1C40B4F3" w14:textId="77777777" w:rsidR="000F7F91" w:rsidRPr="00EA1BB2" w:rsidRDefault="000F7F91" w:rsidP="000F7F91">
            <w:pPr>
              <w:jc w:val="center"/>
              <w:rPr>
                <w:rFonts w:ascii="Cambria" w:hAnsi="Cambria"/>
                <w:sz w:val="24"/>
                <w:szCs w:val="24"/>
              </w:rPr>
            </w:pPr>
            <w:r w:rsidRPr="00EA1BB2">
              <w:rPr>
                <w:rFonts w:ascii="Cambria" w:hAnsi="Cambria"/>
                <w:sz w:val="24"/>
                <w:szCs w:val="24"/>
              </w:rPr>
              <w:t>TOTAL</w:t>
            </w:r>
          </w:p>
        </w:tc>
        <w:tc>
          <w:tcPr>
            <w:tcW w:w="933" w:type="pct"/>
            <w:tcBorders>
              <w:top w:val="single" w:sz="4" w:space="0" w:color="auto"/>
              <w:left w:val="nil"/>
              <w:bottom w:val="single" w:sz="4" w:space="0" w:color="auto"/>
              <w:right w:val="single" w:sz="4" w:space="0" w:color="auto"/>
            </w:tcBorders>
            <w:shd w:val="clear" w:color="auto" w:fill="auto"/>
          </w:tcPr>
          <w:p w14:paraId="796A8832"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0,000538</w:t>
            </w:r>
          </w:p>
        </w:tc>
        <w:tc>
          <w:tcPr>
            <w:tcW w:w="938" w:type="pct"/>
            <w:tcBorders>
              <w:top w:val="single" w:sz="4" w:space="0" w:color="auto"/>
              <w:left w:val="nil"/>
              <w:bottom w:val="single" w:sz="4" w:space="0" w:color="auto"/>
              <w:right w:val="single" w:sz="4" w:space="0" w:color="auto"/>
            </w:tcBorders>
          </w:tcPr>
          <w:p w14:paraId="06F7CFAB" w14:textId="77777777" w:rsidR="000F7F91" w:rsidRPr="00EA1BB2" w:rsidRDefault="002C115C" w:rsidP="000F7F91">
            <w:pPr>
              <w:jc w:val="center"/>
              <w:rPr>
                <w:rFonts w:ascii="Cambria" w:hAnsi="Cambria"/>
                <w:sz w:val="24"/>
                <w:szCs w:val="24"/>
              </w:rPr>
            </w:pPr>
            <w:r w:rsidRPr="00EA1BB2">
              <w:rPr>
                <w:rFonts w:ascii="Cambria" w:hAnsi="Cambria"/>
                <w:sz w:val="24"/>
                <w:szCs w:val="24"/>
              </w:rPr>
              <w:t>100</w:t>
            </w:r>
          </w:p>
        </w:tc>
      </w:tr>
      <w:tr w:rsidR="000F7F91" w:rsidRPr="00EA1BB2" w14:paraId="5F1123B1" w14:textId="77777777" w:rsidTr="00F27A9D">
        <w:trPr>
          <w:jc w:val="center"/>
        </w:trPr>
        <w:tc>
          <w:tcPr>
            <w:tcW w:w="1513" w:type="pct"/>
            <w:vMerge w:val="restart"/>
            <w:vAlign w:val="center"/>
          </w:tcPr>
          <w:p w14:paraId="04567DD0" w14:textId="77777777" w:rsidR="000F7F91" w:rsidRPr="00EA1BB2" w:rsidRDefault="000F7F91" w:rsidP="000F7F91">
            <w:pPr>
              <w:jc w:val="center"/>
              <w:rPr>
                <w:rFonts w:ascii="Cambria" w:hAnsi="Cambria"/>
                <w:sz w:val="24"/>
                <w:szCs w:val="24"/>
              </w:rPr>
            </w:pPr>
            <w:r w:rsidRPr="00EA1BB2">
              <w:rPr>
                <w:rFonts w:ascii="Cambria" w:hAnsi="Cambria"/>
                <w:sz w:val="24"/>
                <w:szCs w:val="24"/>
              </w:rPr>
              <w:t xml:space="preserve">Cadmiu </w:t>
            </w:r>
          </w:p>
          <w:p w14:paraId="05253E27" w14:textId="77777777" w:rsidR="000F7F91" w:rsidRPr="00EA1BB2" w:rsidRDefault="000F7F91" w:rsidP="000F7F91">
            <w:pPr>
              <w:jc w:val="center"/>
              <w:rPr>
                <w:rFonts w:ascii="Cambria" w:hAnsi="Cambria"/>
                <w:sz w:val="24"/>
                <w:szCs w:val="24"/>
              </w:rPr>
            </w:pPr>
            <w:r w:rsidRPr="00EA1BB2">
              <w:rPr>
                <w:rFonts w:ascii="Cambria" w:hAnsi="Cambria"/>
                <w:sz w:val="24"/>
                <w:szCs w:val="24"/>
              </w:rPr>
              <w:t>(Cd)</w:t>
            </w:r>
          </w:p>
        </w:tc>
        <w:tc>
          <w:tcPr>
            <w:tcW w:w="1616" w:type="pct"/>
            <w:vAlign w:val="center"/>
          </w:tcPr>
          <w:p w14:paraId="00CE0A61"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staționare</w:t>
            </w:r>
          </w:p>
        </w:tc>
        <w:tc>
          <w:tcPr>
            <w:tcW w:w="933" w:type="pct"/>
            <w:tcBorders>
              <w:top w:val="single" w:sz="4" w:space="0" w:color="auto"/>
              <w:left w:val="nil"/>
              <w:bottom w:val="single" w:sz="4" w:space="0" w:color="auto"/>
              <w:right w:val="single" w:sz="4" w:space="0" w:color="auto"/>
            </w:tcBorders>
            <w:shd w:val="clear" w:color="auto" w:fill="auto"/>
          </w:tcPr>
          <w:p w14:paraId="7B70E528"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0,000502</w:t>
            </w:r>
          </w:p>
        </w:tc>
        <w:tc>
          <w:tcPr>
            <w:tcW w:w="938" w:type="pct"/>
            <w:tcBorders>
              <w:top w:val="single" w:sz="4" w:space="0" w:color="auto"/>
              <w:left w:val="nil"/>
              <w:bottom w:val="single" w:sz="4" w:space="0" w:color="auto"/>
              <w:right w:val="single" w:sz="4" w:space="0" w:color="auto"/>
            </w:tcBorders>
          </w:tcPr>
          <w:p w14:paraId="35141908" w14:textId="77777777" w:rsidR="000F7F91" w:rsidRPr="00EA1BB2" w:rsidRDefault="00E01F00" w:rsidP="000F7F91">
            <w:pPr>
              <w:jc w:val="center"/>
              <w:rPr>
                <w:rFonts w:ascii="Cambria" w:hAnsi="Cambria"/>
                <w:sz w:val="24"/>
                <w:szCs w:val="24"/>
              </w:rPr>
            </w:pPr>
            <w:r w:rsidRPr="00EA1BB2">
              <w:rPr>
                <w:rFonts w:ascii="Cambria" w:hAnsi="Cambria"/>
                <w:sz w:val="24"/>
                <w:szCs w:val="24"/>
              </w:rPr>
              <w:t>33,57</w:t>
            </w:r>
          </w:p>
        </w:tc>
      </w:tr>
      <w:tr w:rsidR="000F7F91" w:rsidRPr="00EA1BB2" w14:paraId="3E354266" w14:textId="77777777" w:rsidTr="00F27A9D">
        <w:trPr>
          <w:jc w:val="center"/>
        </w:trPr>
        <w:tc>
          <w:tcPr>
            <w:tcW w:w="1513" w:type="pct"/>
            <w:vMerge/>
            <w:vAlign w:val="center"/>
          </w:tcPr>
          <w:p w14:paraId="2F932AB3" w14:textId="77777777" w:rsidR="000F7F91" w:rsidRPr="00EA1BB2" w:rsidRDefault="000F7F91" w:rsidP="000F7F91">
            <w:pPr>
              <w:jc w:val="center"/>
              <w:rPr>
                <w:rFonts w:ascii="Cambria" w:hAnsi="Cambria"/>
                <w:sz w:val="24"/>
                <w:szCs w:val="24"/>
              </w:rPr>
            </w:pPr>
          </w:p>
        </w:tc>
        <w:tc>
          <w:tcPr>
            <w:tcW w:w="1616" w:type="pct"/>
            <w:vAlign w:val="center"/>
          </w:tcPr>
          <w:p w14:paraId="3BD9CFFF"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mobile</w:t>
            </w:r>
          </w:p>
        </w:tc>
        <w:tc>
          <w:tcPr>
            <w:tcW w:w="933" w:type="pct"/>
            <w:tcBorders>
              <w:top w:val="single" w:sz="4" w:space="0" w:color="auto"/>
              <w:left w:val="nil"/>
              <w:bottom w:val="single" w:sz="4" w:space="0" w:color="auto"/>
              <w:right w:val="single" w:sz="4" w:space="0" w:color="auto"/>
            </w:tcBorders>
            <w:shd w:val="clear" w:color="auto" w:fill="auto"/>
          </w:tcPr>
          <w:p w14:paraId="2E0D419B"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0,000546</w:t>
            </w:r>
          </w:p>
        </w:tc>
        <w:tc>
          <w:tcPr>
            <w:tcW w:w="938" w:type="pct"/>
            <w:tcBorders>
              <w:top w:val="single" w:sz="4" w:space="0" w:color="auto"/>
              <w:left w:val="nil"/>
              <w:bottom w:val="single" w:sz="4" w:space="0" w:color="auto"/>
              <w:right w:val="single" w:sz="4" w:space="0" w:color="auto"/>
            </w:tcBorders>
          </w:tcPr>
          <w:p w14:paraId="4D9A943A" w14:textId="77777777" w:rsidR="000F7F91" w:rsidRPr="00EA1BB2" w:rsidRDefault="00E01F00" w:rsidP="000F7F91">
            <w:pPr>
              <w:jc w:val="center"/>
              <w:rPr>
                <w:rFonts w:ascii="Cambria" w:hAnsi="Cambria"/>
                <w:sz w:val="24"/>
                <w:szCs w:val="24"/>
              </w:rPr>
            </w:pPr>
            <w:r w:rsidRPr="00EA1BB2">
              <w:rPr>
                <w:rFonts w:ascii="Cambria" w:hAnsi="Cambria"/>
                <w:sz w:val="24"/>
                <w:szCs w:val="24"/>
              </w:rPr>
              <w:t>36,44</w:t>
            </w:r>
          </w:p>
        </w:tc>
      </w:tr>
      <w:tr w:rsidR="000F7F91" w:rsidRPr="00EA1BB2" w14:paraId="2B517957" w14:textId="77777777" w:rsidTr="00F27A9D">
        <w:trPr>
          <w:jc w:val="center"/>
        </w:trPr>
        <w:tc>
          <w:tcPr>
            <w:tcW w:w="1513" w:type="pct"/>
            <w:vMerge/>
            <w:vAlign w:val="center"/>
          </w:tcPr>
          <w:p w14:paraId="1C4107EB" w14:textId="77777777" w:rsidR="000F7F91" w:rsidRPr="00EA1BB2" w:rsidRDefault="000F7F91" w:rsidP="000F7F91">
            <w:pPr>
              <w:jc w:val="center"/>
              <w:rPr>
                <w:rFonts w:ascii="Cambria" w:hAnsi="Cambria"/>
                <w:sz w:val="24"/>
                <w:szCs w:val="24"/>
              </w:rPr>
            </w:pPr>
          </w:p>
        </w:tc>
        <w:tc>
          <w:tcPr>
            <w:tcW w:w="1616" w:type="pct"/>
            <w:vAlign w:val="center"/>
          </w:tcPr>
          <w:p w14:paraId="05D97314"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de suprafață</w:t>
            </w:r>
          </w:p>
        </w:tc>
        <w:tc>
          <w:tcPr>
            <w:tcW w:w="933" w:type="pct"/>
            <w:tcBorders>
              <w:top w:val="single" w:sz="4" w:space="0" w:color="auto"/>
              <w:left w:val="nil"/>
              <w:bottom w:val="single" w:sz="4" w:space="0" w:color="auto"/>
              <w:right w:val="single" w:sz="4" w:space="0" w:color="auto"/>
            </w:tcBorders>
            <w:shd w:val="clear" w:color="auto" w:fill="auto"/>
          </w:tcPr>
          <w:p w14:paraId="02207C4B"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0,000449</w:t>
            </w:r>
          </w:p>
        </w:tc>
        <w:tc>
          <w:tcPr>
            <w:tcW w:w="938" w:type="pct"/>
            <w:tcBorders>
              <w:top w:val="single" w:sz="4" w:space="0" w:color="auto"/>
              <w:left w:val="nil"/>
              <w:bottom w:val="single" w:sz="4" w:space="0" w:color="auto"/>
              <w:right w:val="single" w:sz="4" w:space="0" w:color="auto"/>
            </w:tcBorders>
          </w:tcPr>
          <w:p w14:paraId="334CFB4D" w14:textId="77777777" w:rsidR="000F7F91" w:rsidRPr="00EA1BB2" w:rsidRDefault="00E01F00" w:rsidP="000F7F91">
            <w:pPr>
              <w:jc w:val="center"/>
              <w:rPr>
                <w:rFonts w:ascii="Cambria" w:hAnsi="Cambria"/>
                <w:sz w:val="24"/>
                <w:szCs w:val="24"/>
              </w:rPr>
            </w:pPr>
            <w:r w:rsidRPr="00EA1BB2">
              <w:rPr>
                <w:rFonts w:ascii="Cambria" w:hAnsi="Cambria"/>
                <w:sz w:val="24"/>
                <w:szCs w:val="24"/>
              </w:rPr>
              <w:t>29,99</w:t>
            </w:r>
          </w:p>
        </w:tc>
      </w:tr>
      <w:tr w:rsidR="000F7F91" w:rsidRPr="00EA1BB2" w14:paraId="442309A9" w14:textId="77777777" w:rsidTr="00F27A9D">
        <w:trPr>
          <w:jc w:val="center"/>
        </w:trPr>
        <w:tc>
          <w:tcPr>
            <w:tcW w:w="1513" w:type="pct"/>
            <w:vMerge/>
            <w:vAlign w:val="center"/>
          </w:tcPr>
          <w:p w14:paraId="6FA8CA35" w14:textId="77777777" w:rsidR="000F7F91" w:rsidRPr="00EA1BB2" w:rsidRDefault="000F7F91" w:rsidP="000F7F91">
            <w:pPr>
              <w:jc w:val="center"/>
              <w:rPr>
                <w:rFonts w:ascii="Cambria" w:hAnsi="Cambria"/>
                <w:sz w:val="24"/>
                <w:szCs w:val="24"/>
              </w:rPr>
            </w:pPr>
          </w:p>
        </w:tc>
        <w:tc>
          <w:tcPr>
            <w:tcW w:w="1616" w:type="pct"/>
            <w:vAlign w:val="center"/>
          </w:tcPr>
          <w:p w14:paraId="396237A9" w14:textId="77777777" w:rsidR="000F7F91" w:rsidRPr="00EA1BB2" w:rsidRDefault="000F7F91" w:rsidP="000F7F91">
            <w:pPr>
              <w:jc w:val="center"/>
              <w:rPr>
                <w:rFonts w:ascii="Cambria" w:hAnsi="Cambria"/>
                <w:sz w:val="24"/>
                <w:szCs w:val="24"/>
              </w:rPr>
            </w:pPr>
            <w:r w:rsidRPr="00EA1BB2">
              <w:rPr>
                <w:rFonts w:ascii="Cambria" w:hAnsi="Cambria"/>
                <w:sz w:val="24"/>
                <w:szCs w:val="24"/>
              </w:rPr>
              <w:t>TOTAL</w:t>
            </w:r>
          </w:p>
        </w:tc>
        <w:tc>
          <w:tcPr>
            <w:tcW w:w="933" w:type="pct"/>
            <w:tcBorders>
              <w:top w:val="single" w:sz="4" w:space="0" w:color="auto"/>
              <w:left w:val="nil"/>
              <w:bottom w:val="single" w:sz="4" w:space="0" w:color="auto"/>
              <w:right w:val="single" w:sz="4" w:space="0" w:color="auto"/>
            </w:tcBorders>
            <w:shd w:val="clear" w:color="auto" w:fill="auto"/>
          </w:tcPr>
          <w:p w14:paraId="07FE1129"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0,001497</w:t>
            </w:r>
          </w:p>
        </w:tc>
        <w:tc>
          <w:tcPr>
            <w:tcW w:w="938" w:type="pct"/>
            <w:tcBorders>
              <w:top w:val="single" w:sz="4" w:space="0" w:color="auto"/>
              <w:left w:val="nil"/>
              <w:bottom w:val="single" w:sz="4" w:space="0" w:color="auto"/>
              <w:right w:val="single" w:sz="4" w:space="0" w:color="auto"/>
            </w:tcBorders>
          </w:tcPr>
          <w:p w14:paraId="38E4FF4D" w14:textId="77777777" w:rsidR="000F7F91" w:rsidRPr="00EA1BB2" w:rsidRDefault="00E01F00" w:rsidP="000F7F91">
            <w:pPr>
              <w:jc w:val="center"/>
              <w:rPr>
                <w:rFonts w:ascii="Cambria" w:hAnsi="Cambria"/>
                <w:sz w:val="24"/>
                <w:szCs w:val="24"/>
              </w:rPr>
            </w:pPr>
            <w:r w:rsidRPr="00EA1BB2">
              <w:rPr>
                <w:rFonts w:ascii="Cambria" w:hAnsi="Cambria"/>
                <w:sz w:val="24"/>
                <w:szCs w:val="24"/>
              </w:rPr>
              <w:t>100</w:t>
            </w:r>
          </w:p>
        </w:tc>
      </w:tr>
    </w:tbl>
    <w:p w14:paraId="0F366653" w14:textId="77777777" w:rsidR="001D53C6" w:rsidRPr="00EA1BB2" w:rsidRDefault="001D53C6" w:rsidP="001D53C6">
      <w:pPr>
        <w:autoSpaceDE w:val="0"/>
        <w:autoSpaceDN w:val="0"/>
        <w:adjustRightInd w:val="0"/>
        <w:spacing w:after="200" w:line="360" w:lineRule="auto"/>
        <w:ind w:left="720"/>
        <w:contextualSpacing/>
        <w:jc w:val="both"/>
        <w:rPr>
          <w:rFonts w:ascii="Cambria" w:eastAsia="Calibri" w:hAnsi="Cambria" w:cs="Times New Roman"/>
          <w:sz w:val="24"/>
          <w:szCs w:val="24"/>
          <w:highlight w:val="cyan"/>
        </w:rPr>
      </w:pPr>
    </w:p>
    <w:p w14:paraId="35002E08" w14:textId="77777777" w:rsidR="005636A5" w:rsidRPr="00EA1BB2" w:rsidRDefault="005636A5" w:rsidP="005636A5">
      <w:pPr>
        <w:autoSpaceDE w:val="0"/>
        <w:autoSpaceDN w:val="0"/>
        <w:adjustRightInd w:val="0"/>
        <w:spacing w:line="360" w:lineRule="auto"/>
        <w:ind w:firstLine="720"/>
        <w:jc w:val="both"/>
        <w:rPr>
          <w:rFonts w:ascii="Cambria" w:hAnsi="Cambria"/>
          <w:b/>
          <w:sz w:val="24"/>
          <w:szCs w:val="24"/>
        </w:rPr>
      </w:pPr>
      <w:r w:rsidRPr="00EA1BB2">
        <w:rPr>
          <w:rFonts w:ascii="Cambria" w:hAnsi="Cambria"/>
          <w:b/>
          <w:sz w:val="24"/>
          <w:szCs w:val="24"/>
        </w:rPr>
        <w:t>f) niveluri ale concentra</w:t>
      </w:r>
      <w:r w:rsidR="00054880" w:rsidRPr="00EA1BB2">
        <w:rPr>
          <w:rFonts w:ascii="Cambria" w:hAnsi="Cambria"/>
          <w:b/>
          <w:sz w:val="24"/>
          <w:szCs w:val="24"/>
        </w:rPr>
        <w:t>ț</w:t>
      </w:r>
      <w:r w:rsidRPr="00EA1BB2">
        <w:rPr>
          <w:rFonts w:ascii="Cambria" w:hAnsi="Cambria"/>
          <w:b/>
          <w:sz w:val="24"/>
          <w:szCs w:val="24"/>
        </w:rPr>
        <w:t>iei/concentra</w:t>
      </w:r>
      <w:r w:rsidR="00054880" w:rsidRPr="00EA1BB2">
        <w:rPr>
          <w:rFonts w:ascii="Cambria" w:hAnsi="Cambria"/>
          <w:b/>
          <w:sz w:val="24"/>
          <w:szCs w:val="24"/>
        </w:rPr>
        <w:t>ț</w:t>
      </w:r>
      <w:r w:rsidRPr="00EA1BB2">
        <w:rPr>
          <w:rFonts w:ascii="Cambria" w:hAnsi="Cambria"/>
          <w:b/>
          <w:sz w:val="24"/>
          <w:szCs w:val="24"/>
        </w:rPr>
        <w:t>iilor</w:t>
      </w:r>
      <w:r w:rsidR="00E77C56" w:rsidRPr="00EA1BB2">
        <w:rPr>
          <w:rFonts w:ascii="Cambria" w:hAnsi="Cambria"/>
          <w:b/>
          <w:sz w:val="24"/>
          <w:szCs w:val="24"/>
        </w:rPr>
        <w:t xml:space="preserve"> a</w:t>
      </w:r>
      <w:r w:rsidR="00054880" w:rsidRPr="00EA1BB2">
        <w:rPr>
          <w:rFonts w:ascii="Cambria" w:hAnsi="Cambria"/>
          <w:b/>
          <w:sz w:val="24"/>
          <w:szCs w:val="24"/>
        </w:rPr>
        <w:t>ș</w:t>
      </w:r>
      <w:r w:rsidR="00E77C56" w:rsidRPr="00EA1BB2">
        <w:rPr>
          <w:rFonts w:ascii="Cambria" w:hAnsi="Cambria"/>
          <w:b/>
          <w:sz w:val="24"/>
          <w:szCs w:val="24"/>
        </w:rPr>
        <w:t>teptate în anul de proiec</w:t>
      </w:r>
      <w:r w:rsidR="00054880" w:rsidRPr="00EA1BB2">
        <w:rPr>
          <w:rFonts w:ascii="Cambria" w:hAnsi="Cambria"/>
          <w:b/>
          <w:sz w:val="24"/>
          <w:szCs w:val="24"/>
        </w:rPr>
        <w:t>ț</w:t>
      </w:r>
      <w:r w:rsidR="00E77C56" w:rsidRPr="00EA1BB2">
        <w:rPr>
          <w:rFonts w:ascii="Cambria" w:hAnsi="Cambria"/>
          <w:b/>
          <w:sz w:val="24"/>
          <w:szCs w:val="24"/>
        </w:rPr>
        <w:t>ie</w:t>
      </w:r>
    </w:p>
    <w:p w14:paraId="62F2C55E" w14:textId="77777777" w:rsidR="00C039ED" w:rsidRPr="00EA1BB2" w:rsidRDefault="00C039ED" w:rsidP="00C039ED">
      <w:pPr>
        <w:spacing w:line="360" w:lineRule="auto"/>
        <w:ind w:firstLine="709"/>
        <w:jc w:val="both"/>
        <w:rPr>
          <w:rFonts w:ascii="Cambria" w:eastAsia="Calibri" w:hAnsi="Cambria" w:cs="Times New Roman"/>
          <w:sz w:val="24"/>
          <w:szCs w:val="24"/>
        </w:rPr>
      </w:pPr>
      <w:r w:rsidRPr="00EA1BB2">
        <w:rPr>
          <w:rFonts w:ascii="Cambria" w:eastAsia="Calibri" w:hAnsi="Cambria" w:cs="Times New Roman"/>
          <w:sz w:val="24"/>
          <w:szCs w:val="24"/>
        </w:rPr>
        <w:t xml:space="preserve">Estimarea concentrațiilor în anul de proiecție </w:t>
      </w:r>
      <w:r w:rsidR="003B749A" w:rsidRPr="00EA1BB2">
        <w:rPr>
          <w:rFonts w:ascii="Cambria" w:eastAsia="Calibri" w:hAnsi="Cambria" w:cs="Times New Roman"/>
          <w:sz w:val="24"/>
          <w:szCs w:val="24"/>
        </w:rPr>
        <w:t xml:space="preserve">s-a făcut pentru cinci puncte care coincid cu amplasamentul stațiilor </w:t>
      </w:r>
      <w:r w:rsidRPr="00EA1BB2">
        <w:rPr>
          <w:rFonts w:ascii="Cambria" w:eastAsia="Calibri" w:hAnsi="Cambria" w:cs="Times New Roman"/>
          <w:sz w:val="24"/>
          <w:szCs w:val="24"/>
        </w:rPr>
        <w:t xml:space="preserve">din cadrul RNMCA </w:t>
      </w:r>
      <w:r w:rsidR="003B749A" w:rsidRPr="00EA1BB2">
        <w:rPr>
          <w:rFonts w:ascii="Cambria" w:eastAsia="Calibri" w:hAnsi="Cambria" w:cs="Times New Roman"/>
          <w:sz w:val="24"/>
          <w:szCs w:val="24"/>
        </w:rPr>
        <w:t>aflate</w:t>
      </w:r>
      <w:r w:rsidRPr="00EA1BB2">
        <w:rPr>
          <w:rFonts w:ascii="Cambria" w:eastAsia="Calibri" w:hAnsi="Cambria" w:cs="Times New Roman"/>
          <w:sz w:val="24"/>
          <w:szCs w:val="24"/>
        </w:rPr>
        <w:t xml:space="preserve"> pe teritoriul județului Brăila, deoarece acestea reprezintă puncte în care se poate monitoriza evoluția, în timp, a efectului aplicării măsurilor din cadrul Planului de menținere a calității aerului, prin urmărirea evoluției în timp a valorilor concentrațiilor măsurate.</w:t>
      </w:r>
    </w:p>
    <w:p w14:paraId="168A8689" w14:textId="5E5E4AF4" w:rsidR="00C039ED" w:rsidRPr="00EA1BB2" w:rsidRDefault="00C039ED" w:rsidP="00C039ED">
      <w:pPr>
        <w:autoSpaceDE w:val="0"/>
        <w:autoSpaceDN w:val="0"/>
        <w:adjustRightInd w:val="0"/>
        <w:spacing w:line="360" w:lineRule="auto"/>
        <w:ind w:firstLine="708"/>
        <w:jc w:val="both"/>
        <w:rPr>
          <w:rFonts w:ascii="Cambria" w:hAnsi="Cambria"/>
          <w:sz w:val="24"/>
          <w:szCs w:val="24"/>
        </w:rPr>
      </w:pPr>
      <w:r w:rsidRPr="00EA1BB2">
        <w:rPr>
          <w:rFonts w:ascii="Cambria" w:hAnsi="Cambria"/>
          <w:sz w:val="24"/>
          <w:szCs w:val="24"/>
        </w:rPr>
        <w:t>Conform rezultatelor obținute în urma calculelor realizate pentru determinarea concentrațiilor medii anuale de poluanți în atmosferă, nu se înregistrează nicio depășire a valori</w:t>
      </w:r>
      <w:r w:rsidR="00F322ED" w:rsidRPr="00EA1BB2">
        <w:rPr>
          <w:rFonts w:ascii="Cambria" w:hAnsi="Cambria"/>
          <w:sz w:val="24"/>
          <w:szCs w:val="24"/>
        </w:rPr>
        <w:t>lor</w:t>
      </w:r>
      <w:r w:rsidR="00831372" w:rsidRPr="00EA1BB2">
        <w:rPr>
          <w:rFonts w:ascii="Cambria" w:hAnsi="Cambria"/>
          <w:sz w:val="24"/>
          <w:szCs w:val="24"/>
        </w:rPr>
        <w:t>-</w:t>
      </w:r>
      <w:r w:rsidR="003B495A" w:rsidRPr="00EA1BB2">
        <w:rPr>
          <w:rFonts w:ascii="Cambria" w:hAnsi="Cambria"/>
          <w:sz w:val="24"/>
          <w:szCs w:val="24"/>
        </w:rPr>
        <w:t>limită și a valori</w:t>
      </w:r>
      <w:r w:rsidR="00F322ED" w:rsidRPr="00EA1BB2">
        <w:rPr>
          <w:rFonts w:ascii="Cambria" w:hAnsi="Cambria"/>
          <w:sz w:val="24"/>
          <w:szCs w:val="24"/>
        </w:rPr>
        <w:t>lor</w:t>
      </w:r>
      <w:r w:rsidR="003B495A" w:rsidRPr="00EA1BB2">
        <w:rPr>
          <w:rFonts w:ascii="Cambria" w:hAnsi="Cambria"/>
          <w:sz w:val="24"/>
          <w:szCs w:val="24"/>
        </w:rPr>
        <w:t>-</w:t>
      </w:r>
      <w:r w:rsidRPr="00EA1BB2">
        <w:rPr>
          <w:rFonts w:ascii="Cambria" w:hAnsi="Cambria"/>
          <w:sz w:val="24"/>
          <w:szCs w:val="24"/>
        </w:rPr>
        <w:t>țintă.</w:t>
      </w:r>
    </w:p>
    <w:p w14:paraId="5B57F203" w14:textId="77777777" w:rsidR="00C039ED" w:rsidRPr="00EA1BB2" w:rsidRDefault="00C039ED" w:rsidP="0095565D">
      <w:pPr>
        <w:autoSpaceDE w:val="0"/>
        <w:autoSpaceDN w:val="0"/>
        <w:adjustRightInd w:val="0"/>
        <w:ind w:firstLine="708"/>
        <w:jc w:val="both"/>
        <w:rPr>
          <w:rFonts w:ascii="Cambria" w:hAnsi="Cambria"/>
          <w:sz w:val="24"/>
          <w:szCs w:val="24"/>
        </w:rPr>
      </w:pPr>
    </w:p>
    <w:p w14:paraId="57EC386D" w14:textId="61159576" w:rsidR="00C039ED" w:rsidRPr="00EA1BB2" w:rsidRDefault="00C039ED" w:rsidP="00C039ED">
      <w:pPr>
        <w:keepNext/>
        <w:spacing w:line="360" w:lineRule="auto"/>
        <w:ind w:firstLine="708"/>
        <w:jc w:val="both"/>
        <w:rPr>
          <w:rFonts w:ascii="Cambria" w:hAnsi="Cambria"/>
          <w:b/>
          <w:iCs/>
          <w:sz w:val="24"/>
          <w:szCs w:val="18"/>
        </w:rPr>
      </w:pPr>
      <w:bookmarkStart w:id="259" w:name="_Toc512346912"/>
      <w:bookmarkStart w:id="260" w:name="_Toc526889821"/>
      <w:r w:rsidRPr="00EA1BB2">
        <w:rPr>
          <w:rFonts w:ascii="Cambria" w:hAnsi="Cambria"/>
          <w:b/>
          <w:iCs/>
          <w:sz w:val="24"/>
          <w:szCs w:val="18"/>
        </w:rPr>
        <w:t xml:space="preserve">Tabelul nr. </w:t>
      </w:r>
      <w:r w:rsidR="000A2FE7" w:rsidRPr="00EA1BB2">
        <w:rPr>
          <w:rFonts w:ascii="Cambria" w:hAnsi="Cambria"/>
          <w:b/>
          <w:iCs/>
          <w:sz w:val="24"/>
          <w:szCs w:val="18"/>
        </w:rPr>
        <w:fldChar w:fldCharType="begin"/>
      </w:r>
      <w:r w:rsidR="000A2FE7" w:rsidRPr="00EA1BB2">
        <w:rPr>
          <w:rFonts w:ascii="Cambria" w:hAnsi="Cambria"/>
          <w:b/>
          <w:iCs/>
          <w:sz w:val="24"/>
          <w:szCs w:val="18"/>
        </w:rPr>
        <w:instrText xml:space="preserve"> STYLEREF 1 \s </w:instrText>
      </w:r>
      <w:r w:rsidR="000A2FE7" w:rsidRPr="00EA1BB2">
        <w:rPr>
          <w:rFonts w:ascii="Cambria" w:hAnsi="Cambria"/>
          <w:b/>
          <w:iCs/>
          <w:sz w:val="24"/>
          <w:szCs w:val="18"/>
        </w:rPr>
        <w:fldChar w:fldCharType="separate"/>
      </w:r>
      <w:r w:rsidR="00567555">
        <w:rPr>
          <w:rFonts w:ascii="Cambria" w:hAnsi="Cambria"/>
          <w:b/>
          <w:iCs/>
          <w:noProof/>
          <w:sz w:val="24"/>
          <w:szCs w:val="18"/>
        </w:rPr>
        <w:t>5</w:t>
      </w:r>
      <w:r w:rsidR="000A2FE7" w:rsidRPr="00EA1BB2">
        <w:rPr>
          <w:rFonts w:ascii="Cambria" w:hAnsi="Cambria"/>
          <w:b/>
          <w:iCs/>
          <w:sz w:val="24"/>
          <w:szCs w:val="18"/>
        </w:rPr>
        <w:fldChar w:fldCharType="end"/>
      </w:r>
      <w:r w:rsidR="000A2FE7" w:rsidRPr="00EA1BB2">
        <w:rPr>
          <w:rFonts w:ascii="Cambria" w:hAnsi="Cambria"/>
          <w:b/>
          <w:iCs/>
          <w:sz w:val="24"/>
          <w:szCs w:val="18"/>
        </w:rPr>
        <w:noBreakHyphen/>
      </w:r>
      <w:r w:rsidR="000A2FE7" w:rsidRPr="00EA1BB2">
        <w:rPr>
          <w:rFonts w:ascii="Cambria" w:hAnsi="Cambria"/>
          <w:b/>
          <w:iCs/>
          <w:sz w:val="24"/>
          <w:szCs w:val="18"/>
        </w:rPr>
        <w:fldChar w:fldCharType="begin"/>
      </w:r>
      <w:r w:rsidR="000A2FE7" w:rsidRPr="00EA1BB2">
        <w:rPr>
          <w:rFonts w:ascii="Cambria" w:hAnsi="Cambria"/>
          <w:b/>
          <w:iCs/>
          <w:sz w:val="24"/>
          <w:szCs w:val="18"/>
        </w:rPr>
        <w:instrText xml:space="preserve"> SEQ Tabelul_nr. \* ARABIC \s 1 </w:instrText>
      </w:r>
      <w:r w:rsidR="000A2FE7" w:rsidRPr="00EA1BB2">
        <w:rPr>
          <w:rFonts w:ascii="Cambria" w:hAnsi="Cambria"/>
          <w:b/>
          <w:iCs/>
          <w:sz w:val="24"/>
          <w:szCs w:val="18"/>
        </w:rPr>
        <w:fldChar w:fldCharType="separate"/>
      </w:r>
      <w:r w:rsidR="00567555">
        <w:rPr>
          <w:rFonts w:ascii="Cambria" w:hAnsi="Cambria"/>
          <w:b/>
          <w:iCs/>
          <w:noProof/>
          <w:sz w:val="24"/>
          <w:szCs w:val="18"/>
        </w:rPr>
        <w:t>4</w:t>
      </w:r>
      <w:r w:rsidR="000A2FE7" w:rsidRPr="00EA1BB2">
        <w:rPr>
          <w:rFonts w:ascii="Cambria" w:hAnsi="Cambria"/>
          <w:b/>
          <w:iCs/>
          <w:sz w:val="24"/>
          <w:szCs w:val="18"/>
        </w:rPr>
        <w:fldChar w:fldCharType="end"/>
      </w:r>
      <w:r w:rsidRPr="00EA1BB2">
        <w:rPr>
          <w:rFonts w:ascii="Cambria" w:hAnsi="Cambria"/>
          <w:b/>
          <w:iCs/>
          <w:sz w:val="24"/>
          <w:szCs w:val="18"/>
        </w:rPr>
        <w:t xml:space="preserve"> – Niveluri ale concentrației în anul de proiecție – scenariul A</w:t>
      </w:r>
      <w:bookmarkEnd w:id="259"/>
      <w:bookmarkEnd w:id="260"/>
    </w:p>
    <w:tbl>
      <w:tblPr>
        <w:tblStyle w:val="TableGrid"/>
        <w:tblW w:w="10778" w:type="dxa"/>
        <w:jc w:val="center"/>
        <w:tblLayout w:type="fixed"/>
        <w:tblLook w:val="04A0" w:firstRow="1" w:lastRow="0" w:firstColumn="1" w:lastColumn="0" w:noHBand="0" w:noVBand="1"/>
      </w:tblPr>
      <w:tblGrid>
        <w:gridCol w:w="855"/>
        <w:gridCol w:w="1093"/>
        <w:gridCol w:w="918"/>
        <w:gridCol w:w="1114"/>
        <w:gridCol w:w="1114"/>
        <w:gridCol w:w="1114"/>
        <w:gridCol w:w="1114"/>
        <w:gridCol w:w="1114"/>
        <w:gridCol w:w="641"/>
        <w:gridCol w:w="850"/>
        <w:gridCol w:w="851"/>
      </w:tblGrid>
      <w:tr w:rsidR="00163930" w:rsidRPr="00EA1BB2" w14:paraId="4E76424F" w14:textId="77777777" w:rsidTr="008567FE">
        <w:trPr>
          <w:trHeight w:val="420"/>
          <w:tblHeader/>
          <w:jc w:val="center"/>
        </w:trPr>
        <w:tc>
          <w:tcPr>
            <w:tcW w:w="855" w:type="dxa"/>
            <w:vMerge w:val="restart"/>
            <w:shd w:val="clear" w:color="auto" w:fill="BDD6EE" w:themeFill="accent1" w:themeFillTint="66"/>
            <w:vAlign w:val="center"/>
          </w:tcPr>
          <w:p w14:paraId="1C3D978C" w14:textId="77777777" w:rsidR="00163930" w:rsidRPr="00EA1BB2" w:rsidRDefault="00163930" w:rsidP="008567FE">
            <w:pPr>
              <w:autoSpaceDE w:val="0"/>
              <w:autoSpaceDN w:val="0"/>
              <w:adjustRightInd w:val="0"/>
              <w:spacing w:line="360" w:lineRule="auto"/>
              <w:ind w:left="-252" w:right="-244"/>
              <w:jc w:val="center"/>
              <w:rPr>
                <w:rFonts w:ascii="Cambria" w:hAnsi="Cambria"/>
                <w:b/>
                <w:lang w:val="ro-RO"/>
              </w:rPr>
            </w:pPr>
            <w:r w:rsidRPr="00EA1BB2">
              <w:rPr>
                <w:rFonts w:ascii="Cambria" w:hAnsi="Cambria"/>
                <w:b/>
                <w:lang w:val="ro-RO"/>
              </w:rPr>
              <w:t>Poluant</w:t>
            </w:r>
          </w:p>
        </w:tc>
        <w:tc>
          <w:tcPr>
            <w:tcW w:w="1093" w:type="dxa"/>
            <w:vMerge w:val="restart"/>
            <w:shd w:val="clear" w:color="auto" w:fill="BDD6EE" w:themeFill="accent1" w:themeFillTint="66"/>
            <w:vAlign w:val="center"/>
          </w:tcPr>
          <w:p w14:paraId="01EBA98F" w14:textId="77777777" w:rsidR="00163930" w:rsidRPr="00EA1BB2" w:rsidRDefault="00163930" w:rsidP="008567FE">
            <w:pPr>
              <w:autoSpaceDE w:val="0"/>
              <w:autoSpaceDN w:val="0"/>
              <w:adjustRightInd w:val="0"/>
              <w:spacing w:line="360" w:lineRule="auto"/>
              <w:ind w:left="-126" w:right="-148" w:firstLine="9"/>
              <w:jc w:val="center"/>
              <w:rPr>
                <w:rFonts w:ascii="Cambria" w:hAnsi="Cambria"/>
                <w:b/>
                <w:lang w:val="ro-RO"/>
              </w:rPr>
            </w:pPr>
            <w:r w:rsidRPr="00EA1BB2">
              <w:rPr>
                <w:rFonts w:ascii="Cambria" w:hAnsi="Cambria"/>
                <w:b/>
                <w:lang w:val="ro-RO"/>
              </w:rPr>
              <w:t>Unitatea de măsură</w:t>
            </w:r>
          </w:p>
        </w:tc>
        <w:tc>
          <w:tcPr>
            <w:tcW w:w="918" w:type="dxa"/>
            <w:vMerge w:val="restart"/>
            <w:shd w:val="clear" w:color="auto" w:fill="BDD6EE" w:themeFill="accent1" w:themeFillTint="66"/>
            <w:vAlign w:val="center"/>
          </w:tcPr>
          <w:p w14:paraId="48D4824E" w14:textId="77777777" w:rsidR="00163930" w:rsidRPr="00EA1BB2" w:rsidRDefault="00163930" w:rsidP="00031EFD">
            <w:pPr>
              <w:autoSpaceDE w:val="0"/>
              <w:autoSpaceDN w:val="0"/>
              <w:adjustRightInd w:val="0"/>
              <w:spacing w:line="360" w:lineRule="auto"/>
              <w:ind w:left="-213" w:right="-152"/>
              <w:jc w:val="center"/>
              <w:rPr>
                <w:rFonts w:ascii="Cambria" w:hAnsi="Cambria"/>
                <w:b/>
                <w:lang w:val="ro-RO"/>
              </w:rPr>
            </w:pPr>
            <w:r w:rsidRPr="00EA1BB2">
              <w:rPr>
                <w:rFonts w:ascii="Cambria" w:hAnsi="Cambria"/>
                <w:b/>
                <w:lang w:val="ro-RO"/>
              </w:rPr>
              <w:t>Perioada de mediere</w:t>
            </w:r>
          </w:p>
        </w:tc>
        <w:tc>
          <w:tcPr>
            <w:tcW w:w="5570" w:type="dxa"/>
            <w:gridSpan w:val="5"/>
            <w:shd w:val="clear" w:color="auto" w:fill="BDD6EE" w:themeFill="accent1" w:themeFillTint="66"/>
            <w:vAlign w:val="center"/>
          </w:tcPr>
          <w:p w14:paraId="1B97BC63" w14:textId="77777777" w:rsidR="00163930" w:rsidRPr="00EA1BB2" w:rsidRDefault="00163930" w:rsidP="00031EFD">
            <w:pPr>
              <w:autoSpaceDE w:val="0"/>
              <w:autoSpaceDN w:val="0"/>
              <w:adjustRightInd w:val="0"/>
              <w:spacing w:line="360" w:lineRule="auto"/>
              <w:jc w:val="center"/>
              <w:rPr>
                <w:rFonts w:ascii="Cambria" w:hAnsi="Cambria"/>
                <w:b/>
                <w:lang w:val="ro-RO"/>
              </w:rPr>
            </w:pPr>
            <w:r w:rsidRPr="00EA1BB2">
              <w:rPr>
                <w:rFonts w:ascii="Cambria" w:hAnsi="Cambria"/>
                <w:b/>
                <w:lang w:val="ro-RO"/>
              </w:rPr>
              <w:t>Valoare estimată</w:t>
            </w:r>
          </w:p>
        </w:tc>
        <w:tc>
          <w:tcPr>
            <w:tcW w:w="641" w:type="dxa"/>
            <w:vMerge w:val="restart"/>
            <w:shd w:val="clear" w:color="auto" w:fill="BDD6EE" w:themeFill="accent1" w:themeFillTint="66"/>
            <w:vAlign w:val="center"/>
          </w:tcPr>
          <w:p w14:paraId="2722E879" w14:textId="77777777" w:rsidR="00163930" w:rsidRPr="00EA1BB2" w:rsidRDefault="00163930" w:rsidP="00031EFD">
            <w:pPr>
              <w:autoSpaceDE w:val="0"/>
              <w:autoSpaceDN w:val="0"/>
              <w:adjustRightInd w:val="0"/>
              <w:spacing w:line="360" w:lineRule="auto"/>
              <w:ind w:left="-173" w:right="-159"/>
              <w:jc w:val="center"/>
              <w:rPr>
                <w:rFonts w:ascii="Cambria" w:hAnsi="Cambria"/>
                <w:b/>
                <w:lang w:val="ro-RO"/>
              </w:rPr>
            </w:pPr>
            <w:r w:rsidRPr="00EA1BB2">
              <w:rPr>
                <w:rFonts w:ascii="Cambria" w:hAnsi="Cambria"/>
                <w:b/>
                <w:lang w:val="ro-RO"/>
              </w:rPr>
              <w:t>VL/VȚ</w:t>
            </w:r>
          </w:p>
        </w:tc>
        <w:tc>
          <w:tcPr>
            <w:tcW w:w="850" w:type="dxa"/>
            <w:vMerge w:val="restart"/>
            <w:shd w:val="clear" w:color="auto" w:fill="BDD6EE" w:themeFill="accent1" w:themeFillTint="66"/>
            <w:vAlign w:val="center"/>
          </w:tcPr>
          <w:p w14:paraId="013D40E1" w14:textId="77777777" w:rsidR="00163930" w:rsidRPr="00EA1BB2" w:rsidRDefault="00163930" w:rsidP="00031EFD">
            <w:pPr>
              <w:autoSpaceDE w:val="0"/>
              <w:autoSpaceDN w:val="0"/>
              <w:adjustRightInd w:val="0"/>
              <w:spacing w:line="360" w:lineRule="auto"/>
              <w:ind w:left="-51" w:right="-152"/>
              <w:jc w:val="center"/>
              <w:rPr>
                <w:rFonts w:ascii="Cambria" w:hAnsi="Cambria"/>
                <w:b/>
                <w:lang w:val="ro-RO"/>
              </w:rPr>
            </w:pPr>
            <w:r w:rsidRPr="00EA1BB2">
              <w:rPr>
                <w:rFonts w:ascii="Cambria" w:hAnsi="Cambria"/>
                <w:b/>
                <w:lang w:val="ro-RO"/>
              </w:rPr>
              <w:t>Valoare PSE</w:t>
            </w:r>
          </w:p>
        </w:tc>
        <w:tc>
          <w:tcPr>
            <w:tcW w:w="851" w:type="dxa"/>
            <w:vMerge w:val="restart"/>
            <w:shd w:val="clear" w:color="auto" w:fill="BDD6EE" w:themeFill="accent1" w:themeFillTint="66"/>
            <w:vAlign w:val="center"/>
          </w:tcPr>
          <w:p w14:paraId="25EE9FD4" w14:textId="77777777" w:rsidR="00163930" w:rsidRPr="00EA1BB2" w:rsidRDefault="00163930" w:rsidP="00031EFD">
            <w:pPr>
              <w:autoSpaceDE w:val="0"/>
              <w:autoSpaceDN w:val="0"/>
              <w:adjustRightInd w:val="0"/>
              <w:spacing w:line="360" w:lineRule="auto"/>
              <w:ind w:left="-68" w:right="-144"/>
              <w:jc w:val="center"/>
              <w:rPr>
                <w:rFonts w:ascii="Cambria" w:hAnsi="Cambria"/>
                <w:b/>
                <w:lang w:val="ro-RO"/>
              </w:rPr>
            </w:pPr>
            <w:r w:rsidRPr="00EA1BB2">
              <w:rPr>
                <w:rFonts w:ascii="Cambria" w:hAnsi="Cambria"/>
                <w:b/>
                <w:lang w:val="ro-RO"/>
              </w:rPr>
              <w:t>Valoare PIE</w:t>
            </w:r>
          </w:p>
        </w:tc>
      </w:tr>
      <w:tr w:rsidR="00163930" w:rsidRPr="00EA1BB2" w14:paraId="08D2B552" w14:textId="77777777" w:rsidTr="008567FE">
        <w:trPr>
          <w:trHeight w:val="420"/>
          <w:tblHeader/>
          <w:jc w:val="center"/>
        </w:trPr>
        <w:tc>
          <w:tcPr>
            <w:tcW w:w="855" w:type="dxa"/>
            <w:vMerge/>
            <w:shd w:val="clear" w:color="auto" w:fill="BDD6EE" w:themeFill="accent1" w:themeFillTint="66"/>
            <w:vAlign w:val="center"/>
          </w:tcPr>
          <w:p w14:paraId="29DAC22E" w14:textId="77777777" w:rsidR="00163930" w:rsidRPr="00EA1BB2" w:rsidRDefault="00163930" w:rsidP="00031EFD">
            <w:pPr>
              <w:autoSpaceDE w:val="0"/>
              <w:autoSpaceDN w:val="0"/>
              <w:adjustRightInd w:val="0"/>
              <w:spacing w:line="360" w:lineRule="auto"/>
              <w:jc w:val="center"/>
              <w:rPr>
                <w:rFonts w:ascii="Cambria" w:hAnsi="Cambria"/>
                <w:b/>
                <w:lang w:val="ro-RO"/>
              </w:rPr>
            </w:pPr>
          </w:p>
        </w:tc>
        <w:tc>
          <w:tcPr>
            <w:tcW w:w="1093" w:type="dxa"/>
            <w:vMerge/>
            <w:shd w:val="clear" w:color="auto" w:fill="BDD6EE" w:themeFill="accent1" w:themeFillTint="66"/>
            <w:vAlign w:val="center"/>
          </w:tcPr>
          <w:p w14:paraId="4858290A" w14:textId="77777777" w:rsidR="00163930" w:rsidRPr="00EA1BB2" w:rsidRDefault="00163930" w:rsidP="00031EFD">
            <w:pPr>
              <w:autoSpaceDE w:val="0"/>
              <w:autoSpaceDN w:val="0"/>
              <w:adjustRightInd w:val="0"/>
              <w:spacing w:line="360" w:lineRule="auto"/>
              <w:jc w:val="center"/>
              <w:rPr>
                <w:rFonts w:ascii="Cambria" w:hAnsi="Cambria"/>
                <w:b/>
                <w:lang w:val="ro-RO"/>
              </w:rPr>
            </w:pPr>
          </w:p>
        </w:tc>
        <w:tc>
          <w:tcPr>
            <w:tcW w:w="918" w:type="dxa"/>
            <w:vMerge/>
            <w:shd w:val="clear" w:color="auto" w:fill="BDD6EE" w:themeFill="accent1" w:themeFillTint="66"/>
            <w:vAlign w:val="center"/>
          </w:tcPr>
          <w:p w14:paraId="792B45A9" w14:textId="77777777" w:rsidR="00163930" w:rsidRPr="00EA1BB2" w:rsidRDefault="00163930" w:rsidP="00031EFD">
            <w:pPr>
              <w:autoSpaceDE w:val="0"/>
              <w:autoSpaceDN w:val="0"/>
              <w:adjustRightInd w:val="0"/>
              <w:spacing w:line="360" w:lineRule="auto"/>
              <w:jc w:val="center"/>
              <w:rPr>
                <w:rFonts w:ascii="Cambria" w:hAnsi="Cambria"/>
                <w:b/>
                <w:lang w:val="ro-RO"/>
              </w:rPr>
            </w:pPr>
          </w:p>
        </w:tc>
        <w:tc>
          <w:tcPr>
            <w:tcW w:w="1114" w:type="dxa"/>
            <w:shd w:val="clear" w:color="auto" w:fill="BDD6EE" w:themeFill="accent1" w:themeFillTint="66"/>
            <w:vAlign w:val="center"/>
          </w:tcPr>
          <w:p w14:paraId="0C1C6D38" w14:textId="77777777" w:rsidR="00163930" w:rsidRPr="00EA1BB2" w:rsidRDefault="00163930" w:rsidP="00031EFD">
            <w:pPr>
              <w:autoSpaceDE w:val="0"/>
              <w:autoSpaceDN w:val="0"/>
              <w:adjustRightInd w:val="0"/>
              <w:spacing w:line="360" w:lineRule="auto"/>
              <w:jc w:val="center"/>
              <w:rPr>
                <w:rFonts w:ascii="Cambria" w:hAnsi="Cambria"/>
                <w:b/>
                <w:lang w:val="ro-RO"/>
              </w:rPr>
            </w:pPr>
            <w:r w:rsidRPr="00EA1BB2">
              <w:rPr>
                <w:rFonts w:ascii="Cambria" w:eastAsia="Times New Roman" w:hAnsi="Cambria" w:cs="Times New Roman"/>
                <w:b/>
                <w:lang w:val="ro-RO"/>
              </w:rPr>
              <w:t>BR1</w:t>
            </w:r>
          </w:p>
        </w:tc>
        <w:tc>
          <w:tcPr>
            <w:tcW w:w="1114" w:type="dxa"/>
            <w:shd w:val="clear" w:color="auto" w:fill="BDD6EE" w:themeFill="accent1" w:themeFillTint="66"/>
            <w:vAlign w:val="center"/>
          </w:tcPr>
          <w:p w14:paraId="3996A488" w14:textId="77777777" w:rsidR="00163930" w:rsidRPr="00EA1BB2" w:rsidRDefault="00163930" w:rsidP="00031EFD">
            <w:pPr>
              <w:autoSpaceDE w:val="0"/>
              <w:autoSpaceDN w:val="0"/>
              <w:adjustRightInd w:val="0"/>
              <w:spacing w:line="360" w:lineRule="auto"/>
              <w:jc w:val="center"/>
              <w:rPr>
                <w:rFonts w:ascii="Cambria" w:hAnsi="Cambria"/>
                <w:b/>
                <w:lang w:val="ro-RO"/>
              </w:rPr>
            </w:pPr>
            <w:r w:rsidRPr="00EA1BB2">
              <w:rPr>
                <w:rFonts w:ascii="Cambria" w:eastAsia="Times New Roman" w:hAnsi="Cambria" w:cs="Times New Roman"/>
                <w:b/>
                <w:lang w:val="ro-RO"/>
              </w:rPr>
              <w:t>BR2</w:t>
            </w:r>
          </w:p>
        </w:tc>
        <w:tc>
          <w:tcPr>
            <w:tcW w:w="1114" w:type="dxa"/>
            <w:shd w:val="clear" w:color="auto" w:fill="BDD6EE" w:themeFill="accent1" w:themeFillTint="66"/>
            <w:vAlign w:val="center"/>
          </w:tcPr>
          <w:p w14:paraId="6332CF2B" w14:textId="77777777" w:rsidR="00163930" w:rsidRPr="00EA1BB2" w:rsidRDefault="00163930" w:rsidP="00031EFD">
            <w:pPr>
              <w:autoSpaceDE w:val="0"/>
              <w:autoSpaceDN w:val="0"/>
              <w:adjustRightInd w:val="0"/>
              <w:spacing w:line="360" w:lineRule="auto"/>
              <w:jc w:val="center"/>
              <w:rPr>
                <w:rFonts w:ascii="Cambria" w:hAnsi="Cambria"/>
                <w:b/>
                <w:lang w:val="ro-RO"/>
              </w:rPr>
            </w:pPr>
            <w:r w:rsidRPr="00EA1BB2">
              <w:rPr>
                <w:rFonts w:ascii="Cambria" w:eastAsia="Times New Roman" w:hAnsi="Cambria" w:cs="Times New Roman"/>
                <w:b/>
                <w:lang w:val="ro-RO"/>
              </w:rPr>
              <w:t>BR3</w:t>
            </w:r>
          </w:p>
        </w:tc>
        <w:tc>
          <w:tcPr>
            <w:tcW w:w="1114" w:type="dxa"/>
            <w:shd w:val="clear" w:color="auto" w:fill="BDD6EE" w:themeFill="accent1" w:themeFillTint="66"/>
            <w:vAlign w:val="center"/>
          </w:tcPr>
          <w:p w14:paraId="2F4295B0" w14:textId="77777777" w:rsidR="00163930" w:rsidRPr="00EA1BB2" w:rsidRDefault="00163930" w:rsidP="00031EFD">
            <w:pPr>
              <w:autoSpaceDE w:val="0"/>
              <w:autoSpaceDN w:val="0"/>
              <w:adjustRightInd w:val="0"/>
              <w:spacing w:line="360" w:lineRule="auto"/>
              <w:jc w:val="center"/>
              <w:rPr>
                <w:rFonts w:ascii="Cambria" w:hAnsi="Cambria"/>
                <w:b/>
                <w:lang w:val="ro-RO"/>
              </w:rPr>
            </w:pPr>
            <w:r w:rsidRPr="00EA1BB2">
              <w:rPr>
                <w:rFonts w:ascii="Cambria" w:eastAsia="Times New Roman" w:hAnsi="Cambria" w:cs="Times New Roman"/>
                <w:b/>
                <w:lang w:val="ro-RO"/>
              </w:rPr>
              <w:t>BR4</w:t>
            </w:r>
          </w:p>
        </w:tc>
        <w:tc>
          <w:tcPr>
            <w:tcW w:w="1114" w:type="dxa"/>
            <w:shd w:val="clear" w:color="auto" w:fill="BDD6EE" w:themeFill="accent1" w:themeFillTint="66"/>
            <w:vAlign w:val="center"/>
          </w:tcPr>
          <w:p w14:paraId="28755E73" w14:textId="77777777" w:rsidR="00163930" w:rsidRPr="00EA1BB2" w:rsidRDefault="00163930" w:rsidP="00031EFD">
            <w:pPr>
              <w:autoSpaceDE w:val="0"/>
              <w:autoSpaceDN w:val="0"/>
              <w:adjustRightInd w:val="0"/>
              <w:spacing w:line="360" w:lineRule="auto"/>
              <w:jc w:val="center"/>
              <w:rPr>
                <w:rFonts w:ascii="Cambria" w:hAnsi="Cambria"/>
                <w:b/>
                <w:lang w:val="ro-RO"/>
              </w:rPr>
            </w:pPr>
            <w:r w:rsidRPr="00EA1BB2">
              <w:rPr>
                <w:rFonts w:ascii="Cambria" w:eastAsia="Times New Roman" w:hAnsi="Cambria" w:cs="Times New Roman"/>
                <w:b/>
                <w:lang w:val="ro-RO"/>
              </w:rPr>
              <w:t>BR5</w:t>
            </w:r>
          </w:p>
        </w:tc>
        <w:tc>
          <w:tcPr>
            <w:tcW w:w="641" w:type="dxa"/>
            <w:vMerge/>
            <w:shd w:val="clear" w:color="auto" w:fill="BDD6EE" w:themeFill="accent1" w:themeFillTint="66"/>
            <w:vAlign w:val="center"/>
          </w:tcPr>
          <w:p w14:paraId="39B52FA1" w14:textId="77777777" w:rsidR="00163930" w:rsidRPr="00EA1BB2" w:rsidRDefault="00163930" w:rsidP="00031EFD">
            <w:pPr>
              <w:autoSpaceDE w:val="0"/>
              <w:autoSpaceDN w:val="0"/>
              <w:adjustRightInd w:val="0"/>
              <w:spacing w:line="360" w:lineRule="auto"/>
              <w:jc w:val="center"/>
              <w:rPr>
                <w:rFonts w:ascii="Cambria" w:hAnsi="Cambria"/>
                <w:b/>
                <w:lang w:val="ro-RO"/>
              </w:rPr>
            </w:pPr>
          </w:p>
        </w:tc>
        <w:tc>
          <w:tcPr>
            <w:tcW w:w="850" w:type="dxa"/>
            <w:vMerge/>
            <w:shd w:val="clear" w:color="auto" w:fill="BDD6EE" w:themeFill="accent1" w:themeFillTint="66"/>
            <w:vAlign w:val="center"/>
          </w:tcPr>
          <w:p w14:paraId="76F102C2" w14:textId="77777777" w:rsidR="00163930" w:rsidRPr="00EA1BB2" w:rsidRDefault="00163930" w:rsidP="00031EFD">
            <w:pPr>
              <w:autoSpaceDE w:val="0"/>
              <w:autoSpaceDN w:val="0"/>
              <w:adjustRightInd w:val="0"/>
              <w:spacing w:line="360" w:lineRule="auto"/>
              <w:jc w:val="center"/>
              <w:rPr>
                <w:rFonts w:ascii="Cambria" w:hAnsi="Cambria"/>
                <w:b/>
                <w:lang w:val="ro-RO"/>
              </w:rPr>
            </w:pPr>
          </w:p>
        </w:tc>
        <w:tc>
          <w:tcPr>
            <w:tcW w:w="851" w:type="dxa"/>
            <w:vMerge/>
            <w:shd w:val="clear" w:color="auto" w:fill="BDD6EE" w:themeFill="accent1" w:themeFillTint="66"/>
            <w:vAlign w:val="center"/>
          </w:tcPr>
          <w:p w14:paraId="1703D36D" w14:textId="77777777" w:rsidR="00163930" w:rsidRPr="00EA1BB2" w:rsidRDefault="00163930" w:rsidP="00031EFD">
            <w:pPr>
              <w:autoSpaceDE w:val="0"/>
              <w:autoSpaceDN w:val="0"/>
              <w:adjustRightInd w:val="0"/>
              <w:spacing w:line="360" w:lineRule="auto"/>
              <w:jc w:val="center"/>
              <w:rPr>
                <w:rFonts w:ascii="Cambria" w:hAnsi="Cambria"/>
                <w:b/>
                <w:lang w:val="ro-RO"/>
              </w:rPr>
            </w:pPr>
          </w:p>
        </w:tc>
      </w:tr>
      <w:tr w:rsidR="00886B3D" w:rsidRPr="00EA1BB2" w14:paraId="5020843C" w14:textId="77777777" w:rsidTr="008567FE">
        <w:trPr>
          <w:jc w:val="center"/>
        </w:trPr>
        <w:tc>
          <w:tcPr>
            <w:tcW w:w="855" w:type="dxa"/>
            <w:vAlign w:val="center"/>
          </w:tcPr>
          <w:p w14:paraId="1682D186"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NO</w:t>
            </w:r>
            <w:r w:rsidRPr="00EA1BB2">
              <w:rPr>
                <w:rFonts w:ascii="Cambria" w:hAnsi="Cambria"/>
                <w:vertAlign w:val="subscript"/>
                <w:lang w:val="ro-RO"/>
              </w:rPr>
              <w:t>2</w:t>
            </w:r>
          </w:p>
        </w:tc>
        <w:tc>
          <w:tcPr>
            <w:tcW w:w="1093" w:type="dxa"/>
            <w:vAlign w:val="center"/>
          </w:tcPr>
          <w:p w14:paraId="33ACC724"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(µg/m</w:t>
            </w:r>
            <w:r w:rsidRPr="00EA1BB2">
              <w:rPr>
                <w:rFonts w:ascii="Cambria" w:hAnsi="Cambria"/>
                <w:bCs/>
                <w:vertAlign w:val="superscript"/>
                <w:lang w:val="ro-RO"/>
              </w:rPr>
              <w:t>3</w:t>
            </w:r>
            <w:r w:rsidRPr="00EA1BB2">
              <w:rPr>
                <w:rFonts w:ascii="Cambria" w:hAnsi="Cambria"/>
                <w:lang w:val="ro-RO"/>
              </w:rPr>
              <w:t>)</w:t>
            </w:r>
          </w:p>
        </w:tc>
        <w:tc>
          <w:tcPr>
            <w:tcW w:w="918" w:type="dxa"/>
            <w:vAlign w:val="center"/>
          </w:tcPr>
          <w:p w14:paraId="0660722B"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anuală</w:t>
            </w:r>
          </w:p>
        </w:tc>
        <w:tc>
          <w:tcPr>
            <w:tcW w:w="1114" w:type="dxa"/>
          </w:tcPr>
          <w:p w14:paraId="3D08970A"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w:t>
            </w:r>
          </w:p>
        </w:tc>
        <w:tc>
          <w:tcPr>
            <w:tcW w:w="1114" w:type="dxa"/>
          </w:tcPr>
          <w:p w14:paraId="0D97360C"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w:t>
            </w:r>
          </w:p>
        </w:tc>
        <w:tc>
          <w:tcPr>
            <w:tcW w:w="1114" w:type="dxa"/>
          </w:tcPr>
          <w:p w14:paraId="7D0134E9"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11,705</w:t>
            </w:r>
          </w:p>
        </w:tc>
        <w:tc>
          <w:tcPr>
            <w:tcW w:w="1114" w:type="dxa"/>
          </w:tcPr>
          <w:p w14:paraId="3257C495"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w:t>
            </w:r>
          </w:p>
        </w:tc>
        <w:tc>
          <w:tcPr>
            <w:tcW w:w="1114" w:type="dxa"/>
          </w:tcPr>
          <w:p w14:paraId="6C1D5E5E"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11,670</w:t>
            </w:r>
          </w:p>
        </w:tc>
        <w:tc>
          <w:tcPr>
            <w:tcW w:w="641" w:type="dxa"/>
            <w:vAlign w:val="center"/>
          </w:tcPr>
          <w:p w14:paraId="3DBA3EF9"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40</w:t>
            </w:r>
          </w:p>
        </w:tc>
        <w:tc>
          <w:tcPr>
            <w:tcW w:w="850" w:type="dxa"/>
            <w:vAlign w:val="center"/>
          </w:tcPr>
          <w:p w14:paraId="2D0EB5FE"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32</w:t>
            </w:r>
          </w:p>
        </w:tc>
        <w:tc>
          <w:tcPr>
            <w:tcW w:w="851" w:type="dxa"/>
            <w:vAlign w:val="center"/>
          </w:tcPr>
          <w:p w14:paraId="28689B74"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26</w:t>
            </w:r>
          </w:p>
        </w:tc>
      </w:tr>
      <w:tr w:rsidR="00886B3D" w:rsidRPr="00EA1BB2" w14:paraId="5E74FA1B" w14:textId="77777777" w:rsidTr="008567FE">
        <w:trPr>
          <w:jc w:val="center"/>
        </w:trPr>
        <w:tc>
          <w:tcPr>
            <w:tcW w:w="855" w:type="dxa"/>
            <w:vAlign w:val="center"/>
          </w:tcPr>
          <w:p w14:paraId="0A7DDC80"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NOx</w:t>
            </w:r>
          </w:p>
        </w:tc>
        <w:tc>
          <w:tcPr>
            <w:tcW w:w="1093" w:type="dxa"/>
            <w:vAlign w:val="center"/>
          </w:tcPr>
          <w:p w14:paraId="1980C0CB"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(µg/m</w:t>
            </w:r>
            <w:r w:rsidRPr="00EA1BB2">
              <w:rPr>
                <w:rFonts w:ascii="Cambria" w:hAnsi="Cambria"/>
                <w:bCs/>
                <w:vertAlign w:val="superscript"/>
                <w:lang w:val="ro-RO"/>
              </w:rPr>
              <w:t>3</w:t>
            </w:r>
            <w:r w:rsidRPr="00EA1BB2">
              <w:rPr>
                <w:rFonts w:ascii="Cambria" w:hAnsi="Cambria"/>
                <w:lang w:val="ro-RO"/>
              </w:rPr>
              <w:t>)</w:t>
            </w:r>
          </w:p>
        </w:tc>
        <w:tc>
          <w:tcPr>
            <w:tcW w:w="918" w:type="dxa"/>
            <w:vAlign w:val="center"/>
          </w:tcPr>
          <w:p w14:paraId="7B70D840"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anuală</w:t>
            </w:r>
          </w:p>
        </w:tc>
        <w:tc>
          <w:tcPr>
            <w:tcW w:w="1114" w:type="dxa"/>
          </w:tcPr>
          <w:p w14:paraId="33250B68"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w:t>
            </w:r>
          </w:p>
        </w:tc>
        <w:tc>
          <w:tcPr>
            <w:tcW w:w="1114" w:type="dxa"/>
          </w:tcPr>
          <w:p w14:paraId="2F336DDF"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w:t>
            </w:r>
          </w:p>
        </w:tc>
        <w:tc>
          <w:tcPr>
            <w:tcW w:w="1114" w:type="dxa"/>
          </w:tcPr>
          <w:p w14:paraId="630ADCBA"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12,232</w:t>
            </w:r>
          </w:p>
        </w:tc>
        <w:tc>
          <w:tcPr>
            <w:tcW w:w="1114" w:type="dxa"/>
          </w:tcPr>
          <w:p w14:paraId="32C2A7CF"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w:t>
            </w:r>
          </w:p>
        </w:tc>
        <w:tc>
          <w:tcPr>
            <w:tcW w:w="1114" w:type="dxa"/>
          </w:tcPr>
          <w:p w14:paraId="70AC7AAD"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12,197</w:t>
            </w:r>
          </w:p>
        </w:tc>
        <w:tc>
          <w:tcPr>
            <w:tcW w:w="641" w:type="dxa"/>
            <w:vAlign w:val="center"/>
          </w:tcPr>
          <w:p w14:paraId="23EB2DD2"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30*</w:t>
            </w:r>
          </w:p>
        </w:tc>
        <w:tc>
          <w:tcPr>
            <w:tcW w:w="850" w:type="dxa"/>
            <w:vAlign w:val="center"/>
          </w:tcPr>
          <w:p w14:paraId="10498538" w14:textId="77777777" w:rsidR="00886B3D" w:rsidRPr="00EA1BB2" w:rsidRDefault="00886B3D" w:rsidP="00886B3D">
            <w:pPr>
              <w:autoSpaceDE w:val="0"/>
              <w:autoSpaceDN w:val="0"/>
              <w:adjustRightInd w:val="0"/>
              <w:spacing w:line="360" w:lineRule="auto"/>
              <w:jc w:val="center"/>
              <w:rPr>
                <w:rFonts w:ascii="Cambria" w:hAnsi="Cambria"/>
                <w:lang w:val="ro-RO"/>
              </w:rPr>
            </w:pPr>
          </w:p>
        </w:tc>
        <w:tc>
          <w:tcPr>
            <w:tcW w:w="851" w:type="dxa"/>
            <w:vAlign w:val="center"/>
          </w:tcPr>
          <w:p w14:paraId="6F886419" w14:textId="77777777" w:rsidR="00886B3D" w:rsidRPr="00EA1BB2" w:rsidRDefault="00886B3D" w:rsidP="00886B3D">
            <w:pPr>
              <w:autoSpaceDE w:val="0"/>
              <w:autoSpaceDN w:val="0"/>
              <w:adjustRightInd w:val="0"/>
              <w:spacing w:line="360" w:lineRule="auto"/>
              <w:jc w:val="center"/>
              <w:rPr>
                <w:rFonts w:ascii="Cambria" w:hAnsi="Cambria"/>
                <w:lang w:val="ro-RO"/>
              </w:rPr>
            </w:pPr>
          </w:p>
        </w:tc>
      </w:tr>
      <w:tr w:rsidR="00886B3D" w:rsidRPr="00EA1BB2" w14:paraId="6B83091C" w14:textId="77777777" w:rsidTr="008567FE">
        <w:trPr>
          <w:trHeight w:val="409"/>
          <w:jc w:val="center"/>
        </w:trPr>
        <w:tc>
          <w:tcPr>
            <w:tcW w:w="855" w:type="dxa"/>
            <w:vAlign w:val="center"/>
          </w:tcPr>
          <w:p w14:paraId="48ABD4B8"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PM</w:t>
            </w:r>
            <w:r w:rsidRPr="00EA1BB2">
              <w:rPr>
                <w:rFonts w:ascii="Cambria" w:hAnsi="Cambria"/>
                <w:vertAlign w:val="subscript"/>
                <w:lang w:val="ro-RO"/>
              </w:rPr>
              <w:t>10</w:t>
            </w:r>
          </w:p>
        </w:tc>
        <w:tc>
          <w:tcPr>
            <w:tcW w:w="1093" w:type="dxa"/>
            <w:vAlign w:val="center"/>
          </w:tcPr>
          <w:p w14:paraId="030C7ACD"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(µg/m</w:t>
            </w:r>
            <w:r w:rsidRPr="00EA1BB2">
              <w:rPr>
                <w:rFonts w:ascii="Cambria" w:hAnsi="Cambria"/>
                <w:bCs/>
                <w:vertAlign w:val="superscript"/>
                <w:lang w:val="ro-RO"/>
              </w:rPr>
              <w:t>3</w:t>
            </w:r>
            <w:r w:rsidRPr="00EA1BB2">
              <w:rPr>
                <w:rFonts w:ascii="Cambria" w:hAnsi="Cambria"/>
                <w:lang w:val="ro-RO"/>
              </w:rPr>
              <w:t>)</w:t>
            </w:r>
          </w:p>
        </w:tc>
        <w:tc>
          <w:tcPr>
            <w:tcW w:w="918" w:type="dxa"/>
            <w:vAlign w:val="center"/>
          </w:tcPr>
          <w:p w14:paraId="10CFC9CA"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anuală</w:t>
            </w:r>
          </w:p>
        </w:tc>
        <w:tc>
          <w:tcPr>
            <w:tcW w:w="1114" w:type="dxa"/>
          </w:tcPr>
          <w:p w14:paraId="0E7D1085"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21,065</w:t>
            </w:r>
          </w:p>
        </w:tc>
        <w:tc>
          <w:tcPr>
            <w:tcW w:w="1114" w:type="dxa"/>
          </w:tcPr>
          <w:p w14:paraId="6EEF8964"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20,374</w:t>
            </w:r>
          </w:p>
        </w:tc>
        <w:tc>
          <w:tcPr>
            <w:tcW w:w="1114" w:type="dxa"/>
          </w:tcPr>
          <w:p w14:paraId="7676C1AD"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21,830</w:t>
            </w:r>
          </w:p>
        </w:tc>
        <w:tc>
          <w:tcPr>
            <w:tcW w:w="1114" w:type="dxa"/>
          </w:tcPr>
          <w:p w14:paraId="44F10FE5"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20,852</w:t>
            </w:r>
          </w:p>
        </w:tc>
        <w:tc>
          <w:tcPr>
            <w:tcW w:w="1114" w:type="dxa"/>
          </w:tcPr>
          <w:p w14:paraId="6EFB9C61" w14:textId="77777777" w:rsidR="00886B3D" w:rsidRPr="00EA1BB2" w:rsidRDefault="00465A49" w:rsidP="00886B3D">
            <w:pPr>
              <w:autoSpaceDE w:val="0"/>
              <w:autoSpaceDN w:val="0"/>
              <w:adjustRightInd w:val="0"/>
              <w:spacing w:line="360" w:lineRule="auto"/>
              <w:jc w:val="center"/>
              <w:rPr>
                <w:rFonts w:ascii="Cambria" w:hAnsi="Cambria"/>
                <w:lang w:val="ro-RO"/>
              </w:rPr>
            </w:pPr>
            <w:r w:rsidRPr="00EA1BB2">
              <w:rPr>
                <w:rFonts w:ascii="Cambria" w:hAnsi="Cambria"/>
                <w:lang w:val="ro-RO"/>
              </w:rPr>
              <w:t>21,414</w:t>
            </w:r>
          </w:p>
        </w:tc>
        <w:tc>
          <w:tcPr>
            <w:tcW w:w="641" w:type="dxa"/>
            <w:vAlign w:val="center"/>
          </w:tcPr>
          <w:p w14:paraId="45AB2D6C"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40</w:t>
            </w:r>
          </w:p>
        </w:tc>
        <w:tc>
          <w:tcPr>
            <w:tcW w:w="850" w:type="dxa"/>
            <w:vAlign w:val="center"/>
          </w:tcPr>
          <w:p w14:paraId="52FA6F8F"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28</w:t>
            </w:r>
          </w:p>
        </w:tc>
        <w:tc>
          <w:tcPr>
            <w:tcW w:w="851" w:type="dxa"/>
            <w:vAlign w:val="center"/>
          </w:tcPr>
          <w:p w14:paraId="6C96AD4B"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20</w:t>
            </w:r>
          </w:p>
        </w:tc>
      </w:tr>
      <w:tr w:rsidR="00886B3D" w:rsidRPr="00EA1BB2" w14:paraId="446EBF08" w14:textId="77777777" w:rsidTr="008567FE">
        <w:trPr>
          <w:jc w:val="center"/>
        </w:trPr>
        <w:tc>
          <w:tcPr>
            <w:tcW w:w="855" w:type="dxa"/>
            <w:vAlign w:val="center"/>
          </w:tcPr>
          <w:p w14:paraId="1D01628C"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PM</w:t>
            </w:r>
            <w:r w:rsidRPr="00EA1BB2">
              <w:rPr>
                <w:rFonts w:ascii="Cambria" w:hAnsi="Cambria"/>
                <w:vertAlign w:val="subscript"/>
                <w:lang w:val="ro-RO"/>
              </w:rPr>
              <w:t>2,5</w:t>
            </w:r>
          </w:p>
        </w:tc>
        <w:tc>
          <w:tcPr>
            <w:tcW w:w="1093" w:type="dxa"/>
            <w:vAlign w:val="center"/>
          </w:tcPr>
          <w:p w14:paraId="592E5393"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(µg/m</w:t>
            </w:r>
            <w:r w:rsidRPr="00EA1BB2">
              <w:rPr>
                <w:rFonts w:ascii="Cambria" w:hAnsi="Cambria"/>
                <w:bCs/>
                <w:vertAlign w:val="superscript"/>
                <w:lang w:val="ro-RO"/>
              </w:rPr>
              <w:t>3</w:t>
            </w:r>
            <w:r w:rsidRPr="00EA1BB2">
              <w:rPr>
                <w:rFonts w:ascii="Cambria" w:hAnsi="Cambria"/>
                <w:lang w:val="ro-RO"/>
              </w:rPr>
              <w:t>)</w:t>
            </w:r>
          </w:p>
        </w:tc>
        <w:tc>
          <w:tcPr>
            <w:tcW w:w="918" w:type="dxa"/>
            <w:vAlign w:val="center"/>
          </w:tcPr>
          <w:p w14:paraId="61490983"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anuală</w:t>
            </w:r>
          </w:p>
        </w:tc>
        <w:tc>
          <w:tcPr>
            <w:tcW w:w="1114" w:type="dxa"/>
          </w:tcPr>
          <w:p w14:paraId="49FEE1FF"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16,029</w:t>
            </w:r>
          </w:p>
        </w:tc>
        <w:tc>
          <w:tcPr>
            <w:tcW w:w="1114" w:type="dxa"/>
          </w:tcPr>
          <w:p w14:paraId="5230D3B2"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16,038</w:t>
            </w:r>
          </w:p>
        </w:tc>
        <w:tc>
          <w:tcPr>
            <w:tcW w:w="1114" w:type="dxa"/>
          </w:tcPr>
          <w:p w14:paraId="36362842"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17,019</w:t>
            </w:r>
          </w:p>
        </w:tc>
        <w:tc>
          <w:tcPr>
            <w:tcW w:w="1114" w:type="dxa"/>
          </w:tcPr>
          <w:p w14:paraId="56B34896"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16,244</w:t>
            </w:r>
          </w:p>
        </w:tc>
        <w:tc>
          <w:tcPr>
            <w:tcW w:w="1114" w:type="dxa"/>
          </w:tcPr>
          <w:p w14:paraId="36F48FD0"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16,977</w:t>
            </w:r>
          </w:p>
        </w:tc>
        <w:tc>
          <w:tcPr>
            <w:tcW w:w="641" w:type="dxa"/>
            <w:vAlign w:val="center"/>
          </w:tcPr>
          <w:p w14:paraId="5F3DF8ED"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20</w:t>
            </w:r>
          </w:p>
        </w:tc>
        <w:tc>
          <w:tcPr>
            <w:tcW w:w="850" w:type="dxa"/>
            <w:vAlign w:val="center"/>
          </w:tcPr>
          <w:p w14:paraId="6783782F"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17</w:t>
            </w:r>
          </w:p>
        </w:tc>
        <w:tc>
          <w:tcPr>
            <w:tcW w:w="851" w:type="dxa"/>
            <w:vAlign w:val="center"/>
          </w:tcPr>
          <w:p w14:paraId="39A685FB"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12</w:t>
            </w:r>
          </w:p>
        </w:tc>
      </w:tr>
      <w:tr w:rsidR="001F2D02" w:rsidRPr="00EA1BB2" w14:paraId="642FC793" w14:textId="77777777" w:rsidTr="001F2D02">
        <w:trPr>
          <w:jc w:val="center"/>
        </w:trPr>
        <w:tc>
          <w:tcPr>
            <w:tcW w:w="855" w:type="dxa"/>
            <w:vAlign w:val="center"/>
          </w:tcPr>
          <w:p w14:paraId="67A36F5E" w14:textId="77777777" w:rsidR="001F2D02" w:rsidRPr="00EA1BB2" w:rsidRDefault="001F2D02" w:rsidP="001F2D02">
            <w:pPr>
              <w:autoSpaceDE w:val="0"/>
              <w:autoSpaceDN w:val="0"/>
              <w:adjustRightInd w:val="0"/>
              <w:spacing w:line="360" w:lineRule="auto"/>
              <w:jc w:val="center"/>
              <w:rPr>
                <w:rFonts w:ascii="Cambria" w:hAnsi="Cambria"/>
                <w:lang w:val="ro-RO"/>
              </w:rPr>
            </w:pPr>
            <w:r w:rsidRPr="00EA1BB2">
              <w:rPr>
                <w:rFonts w:ascii="Cambria" w:hAnsi="Cambria"/>
                <w:lang w:val="ro-RO"/>
              </w:rPr>
              <w:t>C</w:t>
            </w:r>
            <w:r w:rsidRPr="00EA1BB2">
              <w:rPr>
                <w:rFonts w:ascii="Cambria" w:hAnsi="Cambria"/>
                <w:vertAlign w:val="subscript"/>
                <w:lang w:val="ro-RO"/>
              </w:rPr>
              <w:t>6</w:t>
            </w:r>
            <w:r w:rsidRPr="00EA1BB2">
              <w:rPr>
                <w:rFonts w:ascii="Cambria" w:hAnsi="Cambria"/>
                <w:lang w:val="ro-RO"/>
              </w:rPr>
              <w:t>H</w:t>
            </w:r>
            <w:r w:rsidRPr="00EA1BB2">
              <w:rPr>
                <w:rFonts w:ascii="Cambria" w:hAnsi="Cambria"/>
                <w:vertAlign w:val="subscript"/>
                <w:lang w:val="ro-RO"/>
              </w:rPr>
              <w:t>6</w:t>
            </w:r>
          </w:p>
        </w:tc>
        <w:tc>
          <w:tcPr>
            <w:tcW w:w="1093" w:type="dxa"/>
            <w:vAlign w:val="center"/>
          </w:tcPr>
          <w:p w14:paraId="03F464B6" w14:textId="77777777" w:rsidR="001F2D02" w:rsidRPr="00EA1BB2" w:rsidRDefault="001F2D02" w:rsidP="001F2D02">
            <w:pPr>
              <w:autoSpaceDE w:val="0"/>
              <w:autoSpaceDN w:val="0"/>
              <w:adjustRightInd w:val="0"/>
              <w:spacing w:line="360" w:lineRule="auto"/>
              <w:jc w:val="center"/>
              <w:rPr>
                <w:rFonts w:ascii="Cambria" w:hAnsi="Cambria"/>
                <w:lang w:val="ro-RO"/>
              </w:rPr>
            </w:pPr>
            <w:r w:rsidRPr="00EA1BB2">
              <w:rPr>
                <w:rFonts w:ascii="Cambria" w:hAnsi="Cambria"/>
                <w:lang w:val="ro-RO"/>
              </w:rPr>
              <w:t>(µg/m</w:t>
            </w:r>
            <w:r w:rsidRPr="00EA1BB2">
              <w:rPr>
                <w:rFonts w:ascii="Cambria" w:hAnsi="Cambria"/>
                <w:bCs/>
                <w:vertAlign w:val="superscript"/>
                <w:lang w:val="ro-RO"/>
              </w:rPr>
              <w:t>3</w:t>
            </w:r>
            <w:r w:rsidRPr="00EA1BB2">
              <w:rPr>
                <w:rFonts w:ascii="Cambria" w:hAnsi="Cambria"/>
                <w:lang w:val="ro-RO"/>
              </w:rPr>
              <w:t>)</w:t>
            </w:r>
          </w:p>
        </w:tc>
        <w:tc>
          <w:tcPr>
            <w:tcW w:w="918" w:type="dxa"/>
            <w:vAlign w:val="center"/>
          </w:tcPr>
          <w:p w14:paraId="51C83B62" w14:textId="77777777" w:rsidR="001F2D02" w:rsidRPr="00EA1BB2" w:rsidRDefault="001F2D02" w:rsidP="001F2D02">
            <w:pPr>
              <w:autoSpaceDE w:val="0"/>
              <w:autoSpaceDN w:val="0"/>
              <w:adjustRightInd w:val="0"/>
              <w:spacing w:line="360" w:lineRule="auto"/>
              <w:jc w:val="center"/>
              <w:rPr>
                <w:rFonts w:ascii="Cambria" w:hAnsi="Cambria"/>
                <w:lang w:val="ro-RO"/>
              </w:rPr>
            </w:pPr>
            <w:r w:rsidRPr="00EA1BB2">
              <w:rPr>
                <w:rFonts w:ascii="Cambria" w:hAnsi="Cambria"/>
                <w:lang w:val="ro-RO"/>
              </w:rPr>
              <w:t>anuală</w:t>
            </w:r>
          </w:p>
        </w:tc>
        <w:tc>
          <w:tcPr>
            <w:tcW w:w="1114" w:type="dxa"/>
            <w:vAlign w:val="center"/>
          </w:tcPr>
          <w:p w14:paraId="099B1152" w14:textId="77777777" w:rsidR="001F2D02" w:rsidRPr="00EA1BB2" w:rsidRDefault="001F2D02" w:rsidP="001F2D02">
            <w:pPr>
              <w:autoSpaceDE w:val="0"/>
              <w:autoSpaceDN w:val="0"/>
              <w:adjustRightInd w:val="0"/>
              <w:spacing w:line="360" w:lineRule="auto"/>
              <w:jc w:val="center"/>
              <w:rPr>
                <w:rFonts w:ascii="Cambria" w:hAnsi="Cambria"/>
                <w:lang w:val="ro-RO"/>
              </w:rPr>
            </w:pPr>
            <w:r w:rsidRPr="00EA1BB2">
              <w:rPr>
                <w:rFonts w:ascii="Cambria" w:hAnsi="Cambria"/>
                <w:lang w:val="ro-RO"/>
              </w:rPr>
              <w:t>1,284</w:t>
            </w:r>
          </w:p>
        </w:tc>
        <w:tc>
          <w:tcPr>
            <w:tcW w:w="1114" w:type="dxa"/>
            <w:vAlign w:val="center"/>
          </w:tcPr>
          <w:p w14:paraId="1CF42DCA" w14:textId="77777777" w:rsidR="001F2D02" w:rsidRPr="00EA1BB2" w:rsidRDefault="001F2D02" w:rsidP="001F2D02">
            <w:pPr>
              <w:autoSpaceDE w:val="0"/>
              <w:autoSpaceDN w:val="0"/>
              <w:adjustRightInd w:val="0"/>
              <w:spacing w:line="360" w:lineRule="auto"/>
              <w:jc w:val="center"/>
              <w:rPr>
                <w:rFonts w:ascii="Cambria" w:hAnsi="Cambria"/>
                <w:lang w:val="ro-RO"/>
              </w:rPr>
            </w:pPr>
            <w:r w:rsidRPr="00EA1BB2">
              <w:rPr>
                <w:rFonts w:ascii="Cambria" w:hAnsi="Cambria"/>
                <w:lang w:val="ro-RO"/>
              </w:rPr>
              <w:t>1,284</w:t>
            </w:r>
          </w:p>
        </w:tc>
        <w:tc>
          <w:tcPr>
            <w:tcW w:w="1114" w:type="dxa"/>
            <w:vAlign w:val="center"/>
          </w:tcPr>
          <w:p w14:paraId="5E8D5E4C" w14:textId="77777777" w:rsidR="001F2D02" w:rsidRPr="00EA1BB2" w:rsidRDefault="001F2D02" w:rsidP="001F2D02">
            <w:pPr>
              <w:autoSpaceDE w:val="0"/>
              <w:autoSpaceDN w:val="0"/>
              <w:adjustRightInd w:val="0"/>
              <w:spacing w:line="360" w:lineRule="auto"/>
              <w:jc w:val="center"/>
              <w:rPr>
                <w:rFonts w:ascii="Cambria" w:hAnsi="Cambria"/>
                <w:lang w:val="ro-RO"/>
              </w:rPr>
            </w:pPr>
            <w:r w:rsidRPr="00EA1BB2">
              <w:rPr>
                <w:rFonts w:ascii="Cambria" w:hAnsi="Cambria"/>
                <w:lang w:val="ro-RO"/>
              </w:rPr>
              <w:t>1,177</w:t>
            </w:r>
          </w:p>
        </w:tc>
        <w:tc>
          <w:tcPr>
            <w:tcW w:w="1114" w:type="dxa"/>
            <w:vAlign w:val="center"/>
          </w:tcPr>
          <w:p w14:paraId="7067611F" w14:textId="77777777" w:rsidR="001F2D02" w:rsidRPr="00EA1BB2" w:rsidRDefault="001F2D02" w:rsidP="001F2D02">
            <w:pPr>
              <w:autoSpaceDE w:val="0"/>
              <w:autoSpaceDN w:val="0"/>
              <w:adjustRightInd w:val="0"/>
              <w:spacing w:line="360" w:lineRule="auto"/>
              <w:jc w:val="center"/>
              <w:rPr>
                <w:rFonts w:ascii="Cambria" w:hAnsi="Cambria"/>
                <w:lang w:val="ro-RO"/>
              </w:rPr>
            </w:pPr>
            <w:r w:rsidRPr="00EA1BB2">
              <w:rPr>
                <w:rFonts w:ascii="Cambria" w:hAnsi="Cambria"/>
                <w:lang w:val="ro-RO"/>
              </w:rPr>
              <w:t>1,227</w:t>
            </w:r>
          </w:p>
        </w:tc>
        <w:tc>
          <w:tcPr>
            <w:tcW w:w="1114" w:type="dxa"/>
            <w:vAlign w:val="center"/>
          </w:tcPr>
          <w:p w14:paraId="4905E875" w14:textId="77777777" w:rsidR="001F2D02" w:rsidRPr="00EA1BB2" w:rsidRDefault="001F2D02" w:rsidP="001F2D02">
            <w:pPr>
              <w:autoSpaceDE w:val="0"/>
              <w:autoSpaceDN w:val="0"/>
              <w:adjustRightInd w:val="0"/>
              <w:spacing w:line="360" w:lineRule="auto"/>
              <w:jc w:val="center"/>
              <w:rPr>
                <w:rFonts w:ascii="Cambria" w:hAnsi="Cambria"/>
                <w:lang w:val="ro-RO"/>
              </w:rPr>
            </w:pPr>
            <w:r w:rsidRPr="00EA1BB2">
              <w:rPr>
                <w:rFonts w:ascii="Cambria" w:hAnsi="Cambria"/>
                <w:lang w:val="ro-RO"/>
              </w:rPr>
              <w:t>1,173</w:t>
            </w:r>
          </w:p>
        </w:tc>
        <w:tc>
          <w:tcPr>
            <w:tcW w:w="641" w:type="dxa"/>
            <w:vAlign w:val="center"/>
          </w:tcPr>
          <w:p w14:paraId="02B3B6A3" w14:textId="77777777" w:rsidR="001F2D02" w:rsidRPr="00EA1BB2" w:rsidRDefault="001F2D02" w:rsidP="001F2D02">
            <w:pPr>
              <w:autoSpaceDE w:val="0"/>
              <w:autoSpaceDN w:val="0"/>
              <w:adjustRightInd w:val="0"/>
              <w:spacing w:line="360" w:lineRule="auto"/>
              <w:jc w:val="center"/>
              <w:rPr>
                <w:rFonts w:ascii="Cambria" w:hAnsi="Cambria"/>
                <w:lang w:val="ro-RO"/>
              </w:rPr>
            </w:pPr>
            <w:r w:rsidRPr="00EA1BB2">
              <w:rPr>
                <w:rFonts w:ascii="Cambria" w:hAnsi="Cambria"/>
                <w:lang w:val="ro-RO"/>
              </w:rPr>
              <w:t>5</w:t>
            </w:r>
          </w:p>
        </w:tc>
        <w:tc>
          <w:tcPr>
            <w:tcW w:w="850" w:type="dxa"/>
            <w:vAlign w:val="center"/>
          </w:tcPr>
          <w:p w14:paraId="43722E6E" w14:textId="77777777" w:rsidR="001F2D02" w:rsidRPr="00EA1BB2" w:rsidRDefault="001F2D02" w:rsidP="001F2D02">
            <w:pPr>
              <w:autoSpaceDE w:val="0"/>
              <w:autoSpaceDN w:val="0"/>
              <w:adjustRightInd w:val="0"/>
              <w:spacing w:line="360" w:lineRule="auto"/>
              <w:jc w:val="center"/>
              <w:rPr>
                <w:rFonts w:ascii="Cambria" w:hAnsi="Cambria"/>
                <w:lang w:val="ro-RO"/>
              </w:rPr>
            </w:pPr>
            <w:r w:rsidRPr="00EA1BB2">
              <w:rPr>
                <w:rFonts w:ascii="Cambria" w:hAnsi="Cambria"/>
                <w:lang w:val="ro-RO"/>
              </w:rPr>
              <w:t>3,5</w:t>
            </w:r>
          </w:p>
        </w:tc>
        <w:tc>
          <w:tcPr>
            <w:tcW w:w="851" w:type="dxa"/>
            <w:vAlign w:val="center"/>
          </w:tcPr>
          <w:p w14:paraId="0E6C1A0B" w14:textId="77777777" w:rsidR="001F2D02" w:rsidRPr="00EA1BB2" w:rsidRDefault="001F2D02" w:rsidP="001F2D02">
            <w:pPr>
              <w:autoSpaceDE w:val="0"/>
              <w:autoSpaceDN w:val="0"/>
              <w:adjustRightInd w:val="0"/>
              <w:spacing w:line="360" w:lineRule="auto"/>
              <w:jc w:val="center"/>
              <w:rPr>
                <w:rFonts w:ascii="Cambria" w:hAnsi="Cambria"/>
                <w:lang w:val="ro-RO"/>
              </w:rPr>
            </w:pPr>
            <w:r w:rsidRPr="00EA1BB2">
              <w:rPr>
                <w:rFonts w:ascii="Cambria" w:hAnsi="Cambria"/>
                <w:lang w:val="ro-RO"/>
              </w:rPr>
              <w:t>2</w:t>
            </w:r>
          </w:p>
        </w:tc>
      </w:tr>
      <w:tr w:rsidR="00886B3D" w:rsidRPr="00EA1BB2" w14:paraId="03C328B5" w14:textId="77777777" w:rsidTr="008567FE">
        <w:trPr>
          <w:jc w:val="center"/>
        </w:trPr>
        <w:tc>
          <w:tcPr>
            <w:tcW w:w="855" w:type="dxa"/>
            <w:vAlign w:val="center"/>
          </w:tcPr>
          <w:p w14:paraId="1808395B"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Ni</w:t>
            </w:r>
          </w:p>
        </w:tc>
        <w:tc>
          <w:tcPr>
            <w:tcW w:w="1093" w:type="dxa"/>
            <w:vAlign w:val="center"/>
          </w:tcPr>
          <w:p w14:paraId="0E8D2191"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(ng/m</w:t>
            </w:r>
            <w:r w:rsidRPr="00EA1BB2">
              <w:rPr>
                <w:rFonts w:ascii="Cambria" w:hAnsi="Cambria"/>
                <w:bCs/>
                <w:vertAlign w:val="superscript"/>
                <w:lang w:val="ro-RO"/>
              </w:rPr>
              <w:t>3</w:t>
            </w:r>
            <w:r w:rsidRPr="00EA1BB2">
              <w:rPr>
                <w:rFonts w:ascii="Cambria" w:hAnsi="Cambria"/>
                <w:lang w:val="ro-RO"/>
              </w:rPr>
              <w:t>)</w:t>
            </w:r>
          </w:p>
        </w:tc>
        <w:tc>
          <w:tcPr>
            <w:tcW w:w="918" w:type="dxa"/>
            <w:vAlign w:val="center"/>
          </w:tcPr>
          <w:p w14:paraId="574D726B"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anuală</w:t>
            </w:r>
          </w:p>
        </w:tc>
        <w:tc>
          <w:tcPr>
            <w:tcW w:w="1114" w:type="dxa"/>
          </w:tcPr>
          <w:p w14:paraId="512B5C4B"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0,616</w:t>
            </w:r>
          </w:p>
        </w:tc>
        <w:tc>
          <w:tcPr>
            <w:tcW w:w="1114" w:type="dxa"/>
          </w:tcPr>
          <w:p w14:paraId="078098E5"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0,580</w:t>
            </w:r>
          </w:p>
        </w:tc>
        <w:tc>
          <w:tcPr>
            <w:tcW w:w="1114" w:type="dxa"/>
          </w:tcPr>
          <w:p w14:paraId="6B762F07"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0,763</w:t>
            </w:r>
          </w:p>
        </w:tc>
        <w:tc>
          <w:tcPr>
            <w:tcW w:w="1114" w:type="dxa"/>
          </w:tcPr>
          <w:p w14:paraId="2FF71555"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0,667</w:t>
            </w:r>
          </w:p>
        </w:tc>
        <w:tc>
          <w:tcPr>
            <w:tcW w:w="1114" w:type="dxa"/>
          </w:tcPr>
          <w:p w14:paraId="34FA2609"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0,766</w:t>
            </w:r>
          </w:p>
        </w:tc>
        <w:tc>
          <w:tcPr>
            <w:tcW w:w="641" w:type="dxa"/>
            <w:vAlign w:val="center"/>
          </w:tcPr>
          <w:p w14:paraId="7B91FE08"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20</w:t>
            </w:r>
          </w:p>
        </w:tc>
        <w:tc>
          <w:tcPr>
            <w:tcW w:w="850" w:type="dxa"/>
            <w:vAlign w:val="center"/>
          </w:tcPr>
          <w:p w14:paraId="2ACB8626"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14</w:t>
            </w:r>
          </w:p>
        </w:tc>
        <w:tc>
          <w:tcPr>
            <w:tcW w:w="851" w:type="dxa"/>
            <w:vAlign w:val="center"/>
          </w:tcPr>
          <w:p w14:paraId="5CE6226A"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10</w:t>
            </w:r>
          </w:p>
        </w:tc>
      </w:tr>
      <w:tr w:rsidR="00886B3D" w:rsidRPr="00EA1BB2" w14:paraId="35004FC9" w14:textId="77777777" w:rsidTr="008567FE">
        <w:trPr>
          <w:jc w:val="center"/>
        </w:trPr>
        <w:tc>
          <w:tcPr>
            <w:tcW w:w="855" w:type="dxa"/>
            <w:vAlign w:val="center"/>
          </w:tcPr>
          <w:p w14:paraId="70FD6651"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Pb</w:t>
            </w:r>
          </w:p>
        </w:tc>
        <w:tc>
          <w:tcPr>
            <w:tcW w:w="1093" w:type="dxa"/>
            <w:vAlign w:val="center"/>
          </w:tcPr>
          <w:p w14:paraId="444B24F7"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(µg/m</w:t>
            </w:r>
            <w:r w:rsidRPr="00EA1BB2">
              <w:rPr>
                <w:rFonts w:ascii="Cambria" w:hAnsi="Cambria"/>
                <w:bCs/>
                <w:vertAlign w:val="superscript"/>
                <w:lang w:val="ro-RO"/>
              </w:rPr>
              <w:t>3</w:t>
            </w:r>
            <w:r w:rsidRPr="00EA1BB2">
              <w:rPr>
                <w:rFonts w:ascii="Cambria" w:hAnsi="Cambria"/>
                <w:lang w:val="ro-RO"/>
              </w:rPr>
              <w:t>)</w:t>
            </w:r>
          </w:p>
        </w:tc>
        <w:tc>
          <w:tcPr>
            <w:tcW w:w="918" w:type="dxa"/>
            <w:vAlign w:val="center"/>
          </w:tcPr>
          <w:p w14:paraId="11D5F52B"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anuală</w:t>
            </w:r>
          </w:p>
        </w:tc>
        <w:tc>
          <w:tcPr>
            <w:tcW w:w="1114" w:type="dxa"/>
          </w:tcPr>
          <w:p w14:paraId="582B3981" w14:textId="77777777" w:rsidR="00886B3D" w:rsidRPr="00EA1BB2" w:rsidRDefault="0088250D" w:rsidP="0088250D">
            <w:pPr>
              <w:autoSpaceDE w:val="0"/>
              <w:autoSpaceDN w:val="0"/>
              <w:adjustRightInd w:val="0"/>
              <w:spacing w:line="360" w:lineRule="auto"/>
              <w:jc w:val="center"/>
              <w:rPr>
                <w:rFonts w:ascii="Cambria" w:hAnsi="Cambria"/>
                <w:lang w:val="ro-RO"/>
              </w:rPr>
            </w:pPr>
            <w:r w:rsidRPr="00EA1BB2">
              <w:rPr>
                <w:rFonts w:ascii="Cambria" w:hAnsi="Cambria"/>
                <w:lang w:val="ro-RO"/>
              </w:rPr>
              <w:t>0,00</w:t>
            </w:r>
            <w:r w:rsidR="00886B3D" w:rsidRPr="00EA1BB2">
              <w:rPr>
                <w:rFonts w:ascii="Cambria" w:hAnsi="Cambria"/>
                <w:lang w:val="ro-RO"/>
              </w:rPr>
              <w:t>5844</w:t>
            </w:r>
          </w:p>
        </w:tc>
        <w:tc>
          <w:tcPr>
            <w:tcW w:w="1114" w:type="dxa"/>
          </w:tcPr>
          <w:p w14:paraId="0D49DD43" w14:textId="77777777" w:rsidR="00886B3D" w:rsidRPr="00EA1BB2" w:rsidRDefault="0088250D" w:rsidP="00886B3D">
            <w:pPr>
              <w:autoSpaceDE w:val="0"/>
              <w:autoSpaceDN w:val="0"/>
              <w:adjustRightInd w:val="0"/>
              <w:spacing w:line="360" w:lineRule="auto"/>
              <w:jc w:val="center"/>
              <w:rPr>
                <w:rFonts w:ascii="Cambria" w:hAnsi="Cambria"/>
                <w:lang w:val="ro-RO"/>
              </w:rPr>
            </w:pPr>
            <w:r w:rsidRPr="00EA1BB2">
              <w:rPr>
                <w:rFonts w:ascii="Cambria" w:hAnsi="Cambria"/>
                <w:lang w:val="ro-RO"/>
              </w:rPr>
              <w:t>0,00</w:t>
            </w:r>
            <w:r w:rsidR="00886B3D" w:rsidRPr="00EA1BB2">
              <w:rPr>
                <w:rFonts w:ascii="Cambria" w:hAnsi="Cambria"/>
                <w:lang w:val="ro-RO"/>
              </w:rPr>
              <w:t>5364</w:t>
            </w:r>
          </w:p>
        </w:tc>
        <w:tc>
          <w:tcPr>
            <w:tcW w:w="1114" w:type="dxa"/>
          </w:tcPr>
          <w:p w14:paraId="65BA0D2F" w14:textId="77777777" w:rsidR="00886B3D" w:rsidRPr="00EA1BB2" w:rsidRDefault="0088250D" w:rsidP="00886B3D">
            <w:pPr>
              <w:autoSpaceDE w:val="0"/>
              <w:autoSpaceDN w:val="0"/>
              <w:adjustRightInd w:val="0"/>
              <w:spacing w:line="360" w:lineRule="auto"/>
              <w:jc w:val="center"/>
              <w:rPr>
                <w:rFonts w:ascii="Cambria" w:hAnsi="Cambria"/>
                <w:lang w:val="ro-RO"/>
              </w:rPr>
            </w:pPr>
            <w:r w:rsidRPr="00EA1BB2">
              <w:rPr>
                <w:rFonts w:ascii="Cambria" w:hAnsi="Cambria"/>
                <w:lang w:val="ro-RO"/>
              </w:rPr>
              <w:t>0,008</w:t>
            </w:r>
            <w:r w:rsidR="00886B3D" w:rsidRPr="00EA1BB2">
              <w:rPr>
                <w:rFonts w:ascii="Cambria" w:hAnsi="Cambria"/>
                <w:lang w:val="ro-RO"/>
              </w:rPr>
              <w:t>905</w:t>
            </w:r>
          </w:p>
        </w:tc>
        <w:tc>
          <w:tcPr>
            <w:tcW w:w="1114" w:type="dxa"/>
          </w:tcPr>
          <w:p w14:paraId="2D98A69B" w14:textId="77777777" w:rsidR="00886B3D" w:rsidRPr="00EA1BB2" w:rsidRDefault="0088250D" w:rsidP="00886B3D">
            <w:pPr>
              <w:autoSpaceDE w:val="0"/>
              <w:autoSpaceDN w:val="0"/>
              <w:adjustRightInd w:val="0"/>
              <w:spacing w:line="360" w:lineRule="auto"/>
              <w:jc w:val="center"/>
              <w:rPr>
                <w:rFonts w:ascii="Cambria" w:hAnsi="Cambria"/>
                <w:lang w:val="ro-RO"/>
              </w:rPr>
            </w:pPr>
            <w:r w:rsidRPr="00EA1BB2">
              <w:rPr>
                <w:rFonts w:ascii="Cambria" w:hAnsi="Cambria"/>
                <w:lang w:val="ro-RO"/>
              </w:rPr>
              <w:t>0,006</w:t>
            </w:r>
            <w:r w:rsidR="00886B3D" w:rsidRPr="00EA1BB2">
              <w:rPr>
                <w:rFonts w:ascii="Cambria" w:hAnsi="Cambria"/>
                <w:lang w:val="ro-RO"/>
              </w:rPr>
              <w:t>557</w:t>
            </w:r>
          </w:p>
        </w:tc>
        <w:tc>
          <w:tcPr>
            <w:tcW w:w="1114" w:type="dxa"/>
          </w:tcPr>
          <w:p w14:paraId="543C5CAD" w14:textId="77777777" w:rsidR="00886B3D" w:rsidRPr="00EA1BB2" w:rsidRDefault="0088250D" w:rsidP="00886B3D">
            <w:pPr>
              <w:autoSpaceDE w:val="0"/>
              <w:autoSpaceDN w:val="0"/>
              <w:adjustRightInd w:val="0"/>
              <w:spacing w:line="360" w:lineRule="auto"/>
              <w:jc w:val="center"/>
              <w:rPr>
                <w:rFonts w:ascii="Cambria" w:hAnsi="Cambria"/>
                <w:lang w:val="ro-RO"/>
              </w:rPr>
            </w:pPr>
            <w:r w:rsidRPr="00EA1BB2">
              <w:rPr>
                <w:rFonts w:ascii="Cambria" w:hAnsi="Cambria"/>
                <w:lang w:val="ro-RO"/>
              </w:rPr>
              <w:t>0,008</w:t>
            </w:r>
            <w:r w:rsidR="00886B3D" w:rsidRPr="00EA1BB2">
              <w:rPr>
                <w:rFonts w:ascii="Cambria" w:hAnsi="Cambria"/>
                <w:lang w:val="ro-RO"/>
              </w:rPr>
              <w:t>903</w:t>
            </w:r>
          </w:p>
        </w:tc>
        <w:tc>
          <w:tcPr>
            <w:tcW w:w="641" w:type="dxa"/>
            <w:vAlign w:val="center"/>
          </w:tcPr>
          <w:p w14:paraId="2ABC46EB"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0,5</w:t>
            </w:r>
          </w:p>
        </w:tc>
        <w:tc>
          <w:tcPr>
            <w:tcW w:w="850" w:type="dxa"/>
            <w:vAlign w:val="center"/>
          </w:tcPr>
          <w:p w14:paraId="13F978B2"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0,35</w:t>
            </w:r>
          </w:p>
        </w:tc>
        <w:tc>
          <w:tcPr>
            <w:tcW w:w="851" w:type="dxa"/>
            <w:vAlign w:val="center"/>
          </w:tcPr>
          <w:p w14:paraId="6497F78A"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0,25</w:t>
            </w:r>
          </w:p>
        </w:tc>
      </w:tr>
      <w:tr w:rsidR="006A1999" w:rsidRPr="00EA1BB2" w14:paraId="6ED2CEC4" w14:textId="77777777" w:rsidTr="008567FE">
        <w:trPr>
          <w:jc w:val="center"/>
        </w:trPr>
        <w:tc>
          <w:tcPr>
            <w:tcW w:w="855" w:type="dxa"/>
            <w:vAlign w:val="center"/>
          </w:tcPr>
          <w:p w14:paraId="6801A603" w14:textId="77777777" w:rsidR="006A1999" w:rsidRPr="00EA1BB2" w:rsidRDefault="006A1999" w:rsidP="006A1999">
            <w:pPr>
              <w:autoSpaceDE w:val="0"/>
              <w:autoSpaceDN w:val="0"/>
              <w:adjustRightInd w:val="0"/>
              <w:spacing w:line="360" w:lineRule="auto"/>
              <w:jc w:val="center"/>
              <w:rPr>
                <w:rFonts w:ascii="Cambria" w:hAnsi="Cambria"/>
                <w:lang w:val="ro-RO"/>
              </w:rPr>
            </w:pPr>
            <w:r w:rsidRPr="00EA1BB2">
              <w:rPr>
                <w:rFonts w:ascii="Cambria" w:hAnsi="Cambria"/>
                <w:lang w:val="ro-RO"/>
              </w:rPr>
              <w:t>As</w:t>
            </w:r>
          </w:p>
        </w:tc>
        <w:tc>
          <w:tcPr>
            <w:tcW w:w="1093" w:type="dxa"/>
            <w:vAlign w:val="center"/>
          </w:tcPr>
          <w:p w14:paraId="224AB2AF" w14:textId="77777777" w:rsidR="006A1999" w:rsidRPr="00EA1BB2" w:rsidRDefault="006A1999" w:rsidP="006A1999">
            <w:pPr>
              <w:autoSpaceDE w:val="0"/>
              <w:autoSpaceDN w:val="0"/>
              <w:adjustRightInd w:val="0"/>
              <w:spacing w:line="360" w:lineRule="auto"/>
              <w:jc w:val="center"/>
              <w:rPr>
                <w:rFonts w:ascii="Cambria" w:hAnsi="Cambria"/>
                <w:lang w:val="ro-RO"/>
              </w:rPr>
            </w:pPr>
            <w:r w:rsidRPr="00EA1BB2">
              <w:rPr>
                <w:rFonts w:ascii="Cambria" w:hAnsi="Cambria"/>
                <w:lang w:val="ro-RO"/>
              </w:rPr>
              <w:t>(ng/m</w:t>
            </w:r>
            <w:r w:rsidRPr="00EA1BB2">
              <w:rPr>
                <w:rFonts w:ascii="Cambria" w:hAnsi="Cambria"/>
                <w:bCs/>
                <w:vertAlign w:val="superscript"/>
                <w:lang w:val="ro-RO"/>
              </w:rPr>
              <w:t>3</w:t>
            </w:r>
            <w:r w:rsidRPr="00EA1BB2">
              <w:rPr>
                <w:rFonts w:ascii="Cambria" w:hAnsi="Cambria"/>
                <w:lang w:val="ro-RO"/>
              </w:rPr>
              <w:t>)</w:t>
            </w:r>
          </w:p>
        </w:tc>
        <w:tc>
          <w:tcPr>
            <w:tcW w:w="918" w:type="dxa"/>
            <w:vAlign w:val="center"/>
          </w:tcPr>
          <w:p w14:paraId="26B5A523" w14:textId="77777777" w:rsidR="006A1999" w:rsidRPr="00EA1BB2" w:rsidRDefault="006A1999" w:rsidP="006A1999">
            <w:pPr>
              <w:autoSpaceDE w:val="0"/>
              <w:autoSpaceDN w:val="0"/>
              <w:adjustRightInd w:val="0"/>
              <w:spacing w:line="360" w:lineRule="auto"/>
              <w:jc w:val="center"/>
              <w:rPr>
                <w:rFonts w:ascii="Cambria" w:hAnsi="Cambria"/>
                <w:lang w:val="ro-RO"/>
              </w:rPr>
            </w:pPr>
            <w:r w:rsidRPr="00EA1BB2">
              <w:rPr>
                <w:rFonts w:ascii="Cambria" w:hAnsi="Cambria"/>
                <w:lang w:val="ro-RO"/>
              </w:rPr>
              <w:t>anuală</w:t>
            </w:r>
          </w:p>
        </w:tc>
        <w:tc>
          <w:tcPr>
            <w:tcW w:w="1114" w:type="dxa"/>
          </w:tcPr>
          <w:p w14:paraId="218D0715" w14:textId="77777777" w:rsidR="006A1999" w:rsidRPr="00EA1BB2" w:rsidRDefault="006A1999" w:rsidP="006A1999">
            <w:pPr>
              <w:autoSpaceDE w:val="0"/>
              <w:autoSpaceDN w:val="0"/>
              <w:adjustRightInd w:val="0"/>
              <w:spacing w:line="360" w:lineRule="auto"/>
              <w:jc w:val="center"/>
              <w:rPr>
                <w:rFonts w:ascii="Cambria" w:hAnsi="Cambria"/>
                <w:lang w:val="ro-RO"/>
              </w:rPr>
            </w:pPr>
            <w:r w:rsidRPr="00EA1BB2">
              <w:rPr>
                <w:rFonts w:ascii="Cambria" w:hAnsi="Cambria"/>
                <w:lang w:val="ro-RO"/>
              </w:rPr>
              <w:t>0,687</w:t>
            </w:r>
          </w:p>
        </w:tc>
        <w:tc>
          <w:tcPr>
            <w:tcW w:w="1114" w:type="dxa"/>
          </w:tcPr>
          <w:p w14:paraId="3A558287" w14:textId="77777777" w:rsidR="006A1999" w:rsidRPr="00EA1BB2" w:rsidRDefault="006A1999" w:rsidP="006A1999">
            <w:pPr>
              <w:autoSpaceDE w:val="0"/>
              <w:autoSpaceDN w:val="0"/>
              <w:adjustRightInd w:val="0"/>
              <w:spacing w:line="360" w:lineRule="auto"/>
              <w:jc w:val="center"/>
              <w:rPr>
                <w:rFonts w:ascii="Cambria" w:hAnsi="Cambria"/>
                <w:lang w:val="ro-RO"/>
              </w:rPr>
            </w:pPr>
            <w:r w:rsidRPr="00EA1BB2">
              <w:rPr>
                <w:rFonts w:ascii="Cambria" w:hAnsi="Cambria"/>
                <w:lang w:val="ro-RO"/>
              </w:rPr>
              <w:t>0,677</w:t>
            </w:r>
          </w:p>
        </w:tc>
        <w:tc>
          <w:tcPr>
            <w:tcW w:w="1114" w:type="dxa"/>
          </w:tcPr>
          <w:p w14:paraId="7D7D3CF9" w14:textId="77777777" w:rsidR="006A1999" w:rsidRPr="00EA1BB2" w:rsidRDefault="006A1999" w:rsidP="006A1999">
            <w:pPr>
              <w:autoSpaceDE w:val="0"/>
              <w:autoSpaceDN w:val="0"/>
              <w:adjustRightInd w:val="0"/>
              <w:spacing w:line="360" w:lineRule="auto"/>
              <w:jc w:val="center"/>
              <w:rPr>
                <w:rFonts w:ascii="Cambria" w:hAnsi="Cambria"/>
                <w:lang w:val="ro-RO"/>
              </w:rPr>
            </w:pPr>
            <w:r w:rsidRPr="00EA1BB2">
              <w:rPr>
                <w:rFonts w:ascii="Cambria" w:hAnsi="Cambria"/>
                <w:lang w:val="ro-RO"/>
              </w:rPr>
              <w:t>0,796</w:t>
            </w:r>
          </w:p>
        </w:tc>
        <w:tc>
          <w:tcPr>
            <w:tcW w:w="1114" w:type="dxa"/>
          </w:tcPr>
          <w:p w14:paraId="489904AF" w14:textId="77777777" w:rsidR="006A1999" w:rsidRPr="00EA1BB2" w:rsidRDefault="006A1999" w:rsidP="006A1999">
            <w:pPr>
              <w:autoSpaceDE w:val="0"/>
              <w:autoSpaceDN w:val="0"/>
              <w:adjustRightInd w:val="0"/>
              <w:spacing w:line="360" w:lineRule="auto"/>
              <w:jc w:val="center"/>
              <w:rPr>
                <w:rFonts w:ascii="Cambria" w:hAnsi="Cambria"/>
                <w:lang w:val="ro-RO"/>
              </w:rPr>
            </w:pPr>
            <w:r w:rsidRPr="00EA1BB2">
              <w:rPr>
                <w:rFonts w:ascii="Cambria" w:hAnsi="Cambria"/>
                <w:lang w:val="ro-RO"/>
              </w:rPr>
              <w:t>0,690</w:t>
            </w:r>
          </w:p>
        </w:tc>
        <w:tc>
          <w:tcPr>
            <w:tcW w:w="1114" w:type="dxa"/>
          </w:tcPr>
          <w:p w14:paraId="31557A87" w14:textId="77777777" w:rsidR="006A1999" w:rsidRPr="00EA1BB2" w:rsidRDefault="006A1999" w:rsidP="006A1999">
            <w:pPr>
              <w:autoSpaceDE w:val="0"/>
              <w:autoSpaceDN w:val="0"/>
              <w:adjustRightInd w:val="0"/>
              <w:spacing w:line="360" w:lineRule="auto"/>
              <w:jc w:val="center"/>
              <w:rPr>
                <w:rFonts w:ascii="Cambria" w:hAnsi="Cambria"/>
                <w:lang w:val="ro-RO"/>
              </w:rPr>
            </w:pPr>
            <w:r w:rsidRPr="00EA1BB2">
              <w:rPr>
                <w:rFonts w:ascii="Cambria" w:hAnsi="Cambria"/>
                <w:lang w:val="ro-RO"/>
              </w:rPr>
              <w:t>0,796</w:t>
            </w:r>
          </w:p>
        </w:tc>
        <w:tc>
          <w:tcPr>
            <w:tcW w:w="641" w:type="dxa"/>
            <w:vAlign w:val="center"/>
          </w:tcPr>
          <w:p w14:paraId="374A556D" w14:textId="77777777" w:rsidR="006A1999" w:rsidRPr="00EA1BB2" w:rsidRDefault="006A1999" w:rsidP="006A1999">
            <w:pPr>
              <w:autoSpaceDE w:val="0"/>
              <w:autoSpaceDN w:val="0"/>
              <w:adjustRightInd w:val="0"/>
              <w:spacing w:line="360" w:lineRule="auto"/>
              <w:jc w:val="center"/>
              <w:rPr>
                <w:rFonts w:ascii="Cambria" w:hAnsi="Cambria"/>
                <w:lang w:val="ro-RO"/>
              </w:rPr>
            </w:pPr>
            <w:r w:rsidRPr="00EA1BB2">
              <w:rPr>
                <w:rFonts w:ascii="Cambria" w:hAnsi="Cambria"/>
                <w:lang w:val="ro-RO"/>
              </w:rPr>
              <w:t>6</w:t>
            </w:r>
          </w:p>
        </w:tc>
        <w:tc>
          <w:tcPr>
            <w:tcW w:w="850" w:type="dxa"/>
            <w:vAlign w:val="center"/>
          </w:tcPr>
          <w:p w14:paraId="39BBFBE8" w14:textId="77777777" w:rsidR="006A1999" w:rsidRPr="00EA1BB2" w:rsidRDefault="006A1999" w:rsidP="006A1999">
            <w:pPr>
              <w:autoSpaceDE w:val="0"/>
              <w:autoSpaceDN w:val="0"/>
              <w:adjustRightInd w:val="0"/>
              <w:spacing w:line="360" w:lineRule="auto"/>
              <w:jc w:val="center"/>
              <w:rPr>
                <w:rFonts w:ascii="Cambria" w:hAnsi="Cambria"/>
                <w:lang w:val="ro-RO"/>
              </w:rPr>
            </w:pPr>
            <w:r w:rsidRPr="00EA1BB2">
              <w:rPr>
                <w:rFonts w:ascii="Cambria" w:hAnsi="Cambria"/>
                <w:lang w:val="ro-RO"/>
              </w:rPr>
              <w:t>3,6</w:t>
            </w:r>
          </w:p>
        </w:tc>
        <w:tc>
          <w:tcPr>
            <w:tcW w:w="851" w:type="dxa"/>
            <w:vAlign w:val="center"/>
          </w:tcPr>
          <w:p w14:paraId="7BBBCDCB" w14:textId="77777777" w:rsidR="006A1999" w:rsidRPr="00EA1BB2" w:rsidRDefault="006A1999" w:rsidP="006A1999">
            <w:pPr>
              <w:autoSpaceDE w:val="0"/>
              <w:autoSpaceDN w:val="0"/>
              <w:adjustRightInd w:val="0"/>
              <w:spacing w:line="360" w:lineRule="auto"/>
              <w:jc w:val="center"/>
              <w:rPr>
                <w:rFonts w:ascii="Cambria" w:hAnsi="Cambria"/>
                <w:lang w:val="ro-RO"/>
              </w:rPr>
            </w:pPr>
            <w:r w:rsidRPr="00EA1BB2">
              <w:rPr>
                <w:rFonts w:ascii="Cambria" w:hAnsi="Cambria"/>
                <w:lang w:val="ro-RO"/>
              </w:rPr>
              <w:t>2,4</w:t>
            </w:r>
          </w:p>
        </w:tc>
      </w:tr>
      <w:tr w:rsidR="006A1999" w:rsidRPr="00EA1BB2" w14:paraId="32B8707D" w14:textId="77777777" w:rsidTr="008567FE">
        <w:trPr>
          <w:jc w:val="center"/>
        </w:trPr>
        <w:tc>
          <w:tcPr>
            <w:tcW w:w="855" w:type="dxa"/>
            <w:vAlign w:val="center"/>
          </w:tcPr>
          <w:p w14:paraId="2853364E" w14:textId="77777777" w:rsidR="006A1999" w:rsidRPr="00EA1BB2" w:rsidRDefault="006A1999" w:rsidP="006A1999">
            <w:pPr>
              <w:autoSpaceDE w:val="0"/>
              <w:autoSpaceDN w:val="0"/>
              <w:adjustRightInd w:val="0"/>
              <w:spacing w:line="360" w:lineRule="auto"/>
              <w:jc w:val="center"/>
              <w:rPr>
                <w:rFonts w:ascii="Cambria" w:hAnsi="Cambria"/>
                <w:lang w:val="ro-RO"/>
              </w:rPr>
            </w:pPr>
            <w:r w:rsidRPr="00EA1BB2">
              <w:rPr>
                <w:rFonts w:ascii="Cambria" w:hAnsi="Cambria"/>
                <w:lang w:val="ro-RO"/>
              </w:rPr>
              <w:t>Cd</w:t>
            </w:r>
          </w:p>
        </w:tc>
        <w:tc>
          <w:tcPr>
            <w:tcW w:w="1093" w:type="dxa"/>
            <w:vAlign w:val="center"/>
          </w:tcPr>
          <w:p w14:paraId="1B5726FB" w14:textId="77777777" w:rsidR="006A1999" w:rsidRPr="00EA1BB2" w:rsidRDefault="006A1999" w:rsidP="006A1999">
            <w:pPr>
              <w:autoSpaceDE w:val="0"/>
              <w:autoSpaceDN w:val="0"/>
              <w:adjustRightInd w:val="0"/>
              <w:spacing w:line="360" w:lineRule="auto"/>
              <w:jc w:val="center"/>
              <w:rPr>
                <w:rFonts w:ascii="Cambria" w:hAnsi="Cambria"/>
                <w:lang w:val="ro-RO"/>
              </w:rPr>
            </w:pPr>
            <w:r w:rsidRPr="00EA1BB2">
              <w:rPr>
                <w:rFonts w:ascii="Cambria" w:hAnsi="Cambria"/>
                <w:lang w:val="ro-RO"/>
              </w:rPr>
              <w:t>(ng/m</w:t>
            </w:r>
            <w:r w:rsidRPr="00EA1BB2">
              <w:rPr>
                <w:rFonts w:ascii="Cambria" w:hAnsi="Cambria"/>
                <w:bCs/>
                <w:vertAlign w:val="superscript"/>
                <w:lang w:val="ro-RO"/>
              </w:rPr>
              <w:t>3</w:t>
            </w:r>
            <w:r w:rsidRPr="00EA1BB2">
              <w:rPr>
                <w:rFonts w:ascii="Cambria" w:hAnsi="Cambria"/>
                <w:lang w:val="ro-RO"/>
              </w:rPr>
              <w:t>)</w:t>
            </w:r>
          </w:p>
        </w:tc>
        <w:tc>
          <w:tcPr>
            <w:tcW w:w="918" w:type="dxa"/>
            <w:vAlign w:val="center"/>
          </w:tcPr>
          <w:p w14:paraId="797F1A16" w14:textId="77777777" w:rsidR="006A1999" w:rsidRPr="00EA1BB2" w:rsidRDefault="006A1999" w:rsidP="006A1999">
            <w:pPr>
              <w:autoSpaceDE w:val="0"/>
              <w:autoSpaceDN w:val="0"/>
              <w:adjustRightInd w:val="0"/>
              <w:spacing w:line="360" w:lineRule="auto"/>
              <w:jc w:val="center"/>
              <w:rPr>
                <w:rFonts w:ascii="Cambria" w:hAnsi="Cambria"/>
                <w:lang w:val="ro-RO"/>
              </w:rPr>
            </w:pPr>
            <w:r w:rsidRPr="00EA1BB2">
              <w:rPr>
                <w:rFonts w:ascii="Cambria" w:hAnsi="Cambria"/>
                <w:lang w:val="ro-RO"/>
              </w:rPr>
              <w:t>anuală</w:t>
            </w:r>
          </w:p>
        </w:tc>
        <w:tc>
          <w:tcPr>
            <w:tcW w:w="1114" w:type="dxa"/>
          </w:tcPr>
          <w:p w14:paraId="1C18B2F5" w14:textId="77777777" w:rsidR="006A1999" w:rsidRPr="00EA1BB2" w:rsidRDefault="006A1999" w:rsidP="006A1999">
            <w:pPr>
              <w:autoSpaceDE w:val="0"/>
              <w:autoSpaceDN w:val="0"/>
              <w:adjustRightInd w:val="0"/>
              <w:spacing w:line="360" w:lineRule="auto"/>
              <w:jc w:val="center"/>
              <w:rPr>
                <w:rFonts w:ascii="Cambria" w:hAnsi="Cambria"/>
                <w:lang w:val="ro-RO"/>
              </w:rPr>
            </w:pPr>
            <w:r w:rsidRPr="00EA1BB2">
              <w:rPr>
                <w:rFonts w:ascii="Cambria" w:hAnsi="Cambria"/>
                <w:lang w:val="ro-RO"/>
              </w:rPr>
              <w:t>0,248</w:t>
            </w:r>
          </w:p>
        </w:tc>
        <w:tc>
          <w:tcPr>
            <w:tcW w:w="1114" w:type="dxa"/>
          </w:tcPr>
          <w:p w14:paraId="7A96294E" w14:textId="77777777" w:rsidR="006A1999" w:rsidRPr="00EA1BB2" w:rsidRDefault="006A1999" w:rsidP="006A1999">
            <w:pPr>
              <w:autoSpaceDE w:val="0"/>
              <w:autoSpaceDN w:val="0"/>
              <w:adjustRightInd w:val="0"/>
              <w:spacing w:line="360" w:lineRule="auto"/>
              <w:jc w:val="center"/>
              <w:rPr>
                <w:rFonts w:ascii="Cambria" w:hAnsi="Cambria"/>
                <w:lang w:val="ro-RO"/>
              </w:rPr>
            </w:pPr>
            <w:r w:rsidRPr="00EA1BB2">
              <w:rPr>
                <w:rFonts w:ascii="Cambria" w:hAnsi="Cambria"/>
                <w:lang w:val="ro-RO"/>
              </w:rPr>
              <w:t>0,236</w:t>
            </w:r>
          </w:p>
        </w:tc>
        <w:tc>
          <w:tcPr>
            <w:tcW w:w="1114" w:type="dxa"/>
          </w:tcPr>
          <w:p w14:paraId="6DBBA066" w14:textId="77777777" w:rsidR="006A1999" w:rsidRPr="00EA1BB2" w:rsidRDefault="006A1999" w:rsidP="006A1999">
            <w:pPr>
              <w:autoSpaceDE w:val="0"/>
              <w:autoSpaceDN w:val="0"/>
              <w:adjustRightInd w:val="0"/>
              <w:spacing w:line="360" w:lineRule="auto"/>
              <w:jc w:val="center"/>
              <w:rPr>
                <w:rFonts w:ascii="Cambria" w:hAnsi="Cambria"/>
                <w:lang w:val="ro-RO"/>
              </w:rPr>
            </w:pPr>
            <w:r w:rsidRPr="00EA1BB2">
              <w:rPr>
                <w:rFonts w:ascii="Cambria" w:hAnsi="Cambria"/>
                <w:lang w:val="ro-RO"/>
              </w:rPr>
              <w:t>0,198</w:t>
            </w:r>
          </w:p>
        </w:tc>
        <w:tc>
          <w:tcPr>
            <w:tcW w:w="1114" w:type="dxa"/>
          </w:tcPr>
          <w:p w14:paraId="52056E0D" w14:textId="77777777" w:rsidR="006A1999" w:rsidRPr="00EA1BB2" w:rsidRDefault="006A1999" w:rsidP="006A1999">
            <w:pPr>
              <w:autoSpaceDE w:val="0"/>
              <w:autoSpaceDN w:val="0"/>
              <w:adjustRightInd w:val="0"/>
              <w:spacing w:line="360" w:lineRule="auto"/>
              <w:jc w:val="center"/>
              <w:rPr>
                <w:rFonts w:ascii="Cambria" w:hAnsi="Cambria"/>
                <w:lang w:val="ro-RO"/>
              </w:rPr>
            </w:pPr>
            <w:r w:rsidRPr="00EA1BB2">
              <w:rPr>
                <w:rFonts w:ascii="Cambria" w:hAnsi="Cambria"/>
                <w:lang w:val="ro-RO"/>
              </w:rPr>
              <w:t>0,252</w:t>
            </w:r>
          </w:p>
        </w:tc>
        <w:tc>
          <w:tcPr>
            <w:tcW w:w="1114" w:type="dxa"/>
          </w:tcPr>
          <w:p w14:paraId="355BD273" w14:textId="77777777" w:rsidR="006A1999" w:rsidRPr="00EA1BB2" w:rsidRDefault="006A1999" w:rsidP="00402D45">
            <w:pPr>
              <w:autoSpaceDE w:val="0"/>
              <w:autoSpaceDN w:val="0"/>
              <w:adjustRightInd w:val="0"/>
              <w:spacing w:line="360" w:lineRule="auto"/>
              <w:jc w:val="center"/>
              <w:rPr>
                <w:rFonts w:ascii="Cambria" w:hAnsi="Cambria"/>
                <w:lang w:val="ro-RO"/>
              </w:rPr>
            </w:pPr>
            <w:r w:rsidRPr="00EA1BB2">
              <w:rPr>
                <w:rFonts w:ascii="Cambria" w:hAnsi="Cambria"/>
                <w:lang w:val="ro-RO"/>
              </w:rPr>
              <w:t>0,19</w:t>
            </w:r>
            <w:r w:rsidR="00402D45" w:rsidRPr="00EA1BB2">
              <w:rPr>
                <w:rFonts w:ascii="Cambria" w:hAnsi="Cambria"/>
                <w:lang w:val="ro-RO"/>
              </w:rPr>
              <w:t>7</w:t>
            </w:r>
          </w:p>
        </w:tc>
        <w:tc>
          <w:tcPr>
            <w:tcW w:w="641" w:type="dxa"/>
            <w:vAlign w:val="center"/>
          </w:tcPr>
          <w:p w14:paraId="1EA54492" w14:textId="77777777" w:rsidR="006A1999" w:rsidRPr="00EA1BB2" w:rsidRDefault="006A1999" w:rsidP="006A1999">
            <w:pPr>
              <w:autoSpaceDE w:val="0"/>
              <w:autoSpaceDN w:val="0"/>
              <w:adjustRightInd w:val="0"/>
              <w:spacing w:line="360" w:lineRule="auto"/>
              <w:jc w:val="center"/>
              <w:rPr>
                <w:rFonts w:ascii="Cambria" w:hAnsi="Cambria"/>
                <w:lang w:val="ro-RO"/>
              </w:rPr>
            </w:pPr>
            <w:r w:rsidRPr="00EA1BB2">
              <w:rPr>
                <w:rFonts w:ascii="Cambria" w:hAnsi="Cambria"/>
                <w:lang w:val="ro-RO"/>
              </w:rPr>
              <w:t>5</w:t>
            </w:r>
          </w:p>
        </w:tc>
        <w:tc>
          <w:tcPr>
            <w:tcW w:w="850" w:type="dxa"/>
            <w:vAlign w:val="center"/>
          </w:tcPr>
          <w:p w14:paraId="454450C2" w14:textId="77777777" w:rsidR="006A1999" w:rsidRPr="00EA1BB2" w:rsidRDefault="006A1999" w:rsidP="006A1999">
            <w:pPr>
              <w:autoSpaceDE w:val="0"/>
              <w:autoSpaceDN w:val="0"/>
              <w:adjustRightInd w:val="0"/>
              <w:spacing w:line="360" w:lineRule="auto"/>
              <w:jc w:val="center"/>
              <w:rPr>
                <w:rFonts w:ascii="Cambria" w:hAnsi="Cambria"/>
                <w:lang w:val="ro-RO"/>
              </w:rPr>
            </w:pPr>
            <w:r w:rsidRPr="00EA1BB2">
              <w:rPr>
                <w:rFonts w:ascii="Cambria" w:hAnsi="Cambria"/>
                <w:lang w:val="ro-RO"/>
              </w:rPr>
              <w:t>3</w:t>
            </w:r>
          </w:p>
        </w:tc>
        <w:tc>
          <w:tcPr>
            <w:tcW w:w="851" w:type="dxa"/>
            <w:vAlign w:val="center"/>
          </w:tcPr>
          <w:p w14:paraId="68DAF366" w14:textId="77777777" w:rsidR="006A1999" w:rsidRPr="00EA1BB2" w:rsidRDefault="006A1999" w:rsidP="006A1999">
            <w:pPr>
              <w:autoSpaceDE w:val="0"/>
              <w:autoSpaceDN w:val="0"/>
              <w:adjustRightInd w:val="0"/>
              <w:spacing w:line="360" w:lineRule="auto"/>
              <w:jc w:val="center"/>
              <w:rPr>
                <w:rFonts w:ascii="Cambria" w:hAnsi="Cambria"/>
                <w:lang w:val="ro-RO"/>
              </w:rPr>
            </w:pPr>
            <w:r w:rsidRPr="00EA1BB2">
              <w:rPr>
                <w:rFonts w:ascii="Cambria" w:hAnsi="Cambria"/>
                <w:lang w:val="ro-RO"/>
              </w:rPr>
              <w:t>2</w:t>
            </w:r>
          </w:p>
        </w:tc>
      </w:tr>
      <w:tr w:rsidR="00965E81" w:rsidRPr="00EA1BB2" w14:paraId="19512B7C" w14:textId="77777777" w:rsidTr="008567FE">
        <w:trPr>
          <w:jc w:val="center"/>
        </w:trPr>
        <w:tc>
          <w:tcPr>
            <w:tcW w:w="855" w:type="dxa"/>
            <w:vAlign w:val="center"/>
          </w:tcPr>
          <w:p w14:paraId="68C03C7B" w14:textId="77777777" w:rsidR="00965E81" w:rsidRPr="00EA1BB2" w:rsidRDefault="00965E81" w:rsidP="00965E81">
            <w:pPr>
              <w:autoSpaceDE w:val="0"/>
              <w:autoSpaceDN w:val="0"/>
              <w:adjustRightInd w:val="0"/>
              <w:spacing w:line="360" w:lineRule="auto"/>
              <w:jc w:val="center"/>
              <w:rPr>
                <w:rFonts w:ascii="Cambria" w:hAnsi="Cambria"/>
                <w:lang w:val="ro-RO"/>
              </w:rPr>
            </w:pPr>
            <w:r w:rsidRPr="00EA1BB2">
              <w:rPr>
                <w:rFonts w:ascii="Cambria" w:hAnsi="Cambria"/>
                <w:lang w:val="ro-RO"/>
              </w:rPr>
              <w:t>SO</w:t>
            </w:r>
            <w:r w:rsidRPr="00EA1BB2">
              <w:rPr>
                <w:rFonts w:ascii="Cambria" w:hAnsi="Cambria"/>
                <w:vertAlign w:val="subscript"/>
                <w:lang w:val="ro-RO"/>
              </w:rPr>
              <w:t>2</w:t>
            </w:r>
          </w:p>
        </w:tc>
        <w:tc>
          <w:tcPr>
            <w:tcW w:w="1093" w:type="dxa"/>
            <w:vAlign w:val="center"/>
          </w:tcPr>
          <w:p w14:paraId="31DD290E" w14:textId="77777777" w:rsidR="00965E81" w:rsidRPr="00EA1BB2" w:rsidRDefault="00965E81" w:rsidP="00965E81">
            <w:pPr>
              <w:autoSpaceDE w:val="0"/>
              <w:autoSpaceDN w:val="0"/>
              <w:adjustRightInd w:val="0"/>
              <w:spacing w:line="360" w:lineRule="auto"/>
              <w:jc w:val="center"/>
              <w:rPr>
                <w:rFonts w:ascii="Cambria" w:hAnsi="Cambria"/>
                <w:lang w:val="ro-RO"/>
              </w:rPr>
            </w:pPr>
            <w:r w:rsidRPr="00EA1BB2">
              <w:rPr>
                <w:rFonts w:ascii="Cambria" w:hAnsi="Cambria"/>
                <w:lang w:val="ro-RO"/>
              </w:rPr>
              <w:t>(µg/m</w:t>
            </w:r>
            <w:r w:rsidRPr="00EA1BB2">
              <w:rPr>
                <w:rFonts w:ascii="Cambria" w:hAnsi="Cambria"/>
                <w:bCs/>
                <w:vertAlign w:val="superscript"/>
                <w:lang w:val="ro-RO"/>
              </w:rPr>
              <w:t>3</w:t>
            </w:r>
            <w:r w:rsidRPr="00EA1BB2">
              <w:rPr>
                <w:rFonts w:ascii="Cambria" w:hAnsi="Cambria"/>
                <w:lang w:val="ro-RO"/>
              </w:rPr>
              <w:t>)</w:t>
            </w:r>
          </w:p>
        </w:tc>
        <w:tc>
          <w:tcPr>
            <w:tcW w:w="918" w:type="dxa"/>
            <w:vAlign w:val="center"/>
          </w:tcPr>
          <w:p w14:paraId="0C7CC6EB" w14:textId="77777777" w:rsidR="00965E81" w:rsidRPr="00EA1BB2" w:rsidRDefault="00965E81" w:rsidP="00965E81">
            <w:pPr>
              <w:autoSpaceDE w:val="0"/>
              <w:autoSpaceDN w:val="0"/>
              <w:adjustRightInd w:val="0"/>
              <w:spacing w:line="360" w:lineRule="auto"/>
              <w:jc w:val="center"/>
              <w:rPr>
                <w:rFonts w:ascii="Cambria" w:hAnsi="Cambria"/>
                <w:lang w:val="ro-RO"/>
              </w:rPr>
            </w:pPr>
            <w:r w:rsidRPr="00EA1BB2">
              <w:rPr>
                <w:rFonts w:ascii="Cambria" w:hAnsi="Cambria"/>
                <w:lang w:val="ro-RO"/>
              </w:rPr>
              <w:t>anuală</w:t>
            </w:r>
          </w:p>
        </w:tc>
        <w:tc>
          <w:tcPr>
            <w:tcW w:w="1114" w:type="dxa"/>
          </w:tcPr>
          <w:p w14:paraId="29E7EE21" w14:textId="77777777" w:rsidR="00965E81" w:rsidRPr="00EA1BB2" w:rsidRDefault="00965E81" w:rsidP="00965E81">
            <w:pPr>
              <w:autoSpaceDE w:val="0"/>
              <w:autoSpaceDN w:val="0"/>
              <w:adjustRightInd w:val="0"/>
              <w:spacing w:line="360" w:lineRule="auto"/>
              <w:jc w:val="center"/>
              <w:rPr>
                <w:rFonts w:ascii="Cambria" w:hAnsi="Cambria"/>
                <w:lang w:val="ro-RO"/>
              </w:rPr>
            </w:pPr>
            <w:r w:rsidRPr="00EA1BB2">
              <w:rPr>
                <w:rFonts w:ascii="Cambria" w:hAnsi="Cambria"/>
                <w:lang w:val="ro-RO"/>
              </w:rPr>
              <w:t>3,090</w:t>
            </w:r>
          </w:p>
        </w:tc>
        <w:tc>
          <w:tcPr>
            <w:tcW w:w="1114" w:type="dxa"/>
          </w:tcPr>
          <w:p w14:paraId="41A729C7" w14:textId="77777777" w:rsidR="00965E81" w:rsidRPr="00EA1BB2" w:rsidRDefault="00965E81" w:rsidP="00965E81">
            <w:pPr>
              <w:autoSpaceDE w:val="0"/>
              <w:autoSpaceDN w:val="0"/>
              <w:adjustRightInd w:val="0"/>
              <w:spacing w:line="360" w:lineRule="auto"/>
              <w:jc w:val="center"/>
              <w:rPr>
                <w:rFonts w:ascii="Cambria" w:hAnsi="Cambria"/>
                <w:lang w:val="ro-RO"/>
              </w:rPr>
            </w:pPr>
            <w:r w:rsidRPr="00EA1BB2">
              <w:rPr>
                <w:rFonts w:ascii="Cambria" w:hAnsi="Cambria"/>
                <w:lang w:val="ro-RO"/>
              </w:rPr>
              <w:t>3,069</w:t>
            </w:r>
          </w:p>
        </w:tc>
        <w:tc>
          <w:tcPr>
            <w:tcW w:w="1114" w:type="dxa"/>
          </w:tcPr>
          <w:p w14:paraId="44FA7D33" w14:textId="77777777" w:rsidR="00965E81" w:rsidRPr="00EA1BB2" w:rsidRDefault="00965E81" w:rsidP="006B3A27">
            <w:pPr>
              <w:autoSpaceDE w:val="0"/>
              <w:autoSpaceDN w:val="0"/>
              <w:adjustRightInd w:val="0"/>
              <w:spacing w:line="360" w:lineRule="auto"/>
              <w:jc w:val="center"/>
              <w:rPr>
                <w:rFonts w:ascii="Cambria" w:hAnsi="Cambria"/>
                <w:lang w:val="ro-RO"/>
              </w:rPr>
            </w:pPr>
            <w:r w:rsidRPr="00EA1BB2">
              <w:rPr>
                <w:rFonts w:ascii="Cambria" w:hAnsi="Cambria"/>
                <w:lang w:val="ro-RO"/>
              </w:rPr>
              <w:t>3,6</w:t>
            </w:r>
            <w:r w:rsidR="006B3A27" w:rsidRPr="00EA1BB2">
              <w:rPr>
                <w:rFonts w:ascii="Cambria" w:hAnsi="Cambria"/>
                <w:lang w:val="ro-RO"/>
              </w:rPr>
              <w:t>56</w:t>
            </w:r>
          </w:p>
        </w:tc>
        <w:tc>
          <w:tcPr>
            <w:tcW w:w="1114" w:type="dxa"/>
          </w:tcPr>
          <w:p w14:paraId="58A1F96C" w14:textId="77777777" w:rsidR="00965E81" w:rsidRPr="00EA1BB2" w:rsidRDefault="00965E81" w:rsidP="00965E81">
            <w:pPr>
              <w:autoSpaceDE w:val="0"/>
              <w:autoSpaceDN w:val="0"/>
              <w:adjustRightInd w:val="0"/>
              <w:spacing w:line="360" w:lineRule="auto"/>
              <w:jc w:val="center"/>
              <w:rPr>
                <w:rFonts w:ascii="Cambria" w:hAnsi="Cambria"/>
                <w:lang w:val="ro-RO"/>
              </w:rPr>
            </w:pPr>
            <w:r w:rsidRPr="00EA1BB2">
              <w:rPr>
                <w:rFonts w:ascii="Cambria" w:hAnsi="Cambria"/>
                <w:lang w:val="ro-RO"/>
              </w:rPr>
              <w:t>3,088</w:t>
            </w:r>
          </w:p>
        </w:tc>
        <w:tc>
          <w:tcPr>
            <w:tcW w:w="1114" w:type="dxa"/>
          </w:tcPr>
          <w:p w14:paraId="58EA93A7" w14:textId="77777777" w:rsidR="00965E81" w:rsidRPr="00EA1BB2" w:rsidRDefault="00965E81" w:rsidP="00965E81">
            <w:pPr>
              <w:autoSpaceDE w:val="0"/>
              <w:autoSpaceDN w:val="0"/>
              <w:adjustRightInd w:val="0"/>
              <w:spacing w:line="360" w:lineRule="auto"/>
              <w:jc w:val="center"/>
              <w:rPr>
                <w:rFonts w:ascii="Cambria" w:hAnsi="Cambria"/>
                <w:lang w:val="ro-RO"/>
              </w:rPr>
            </w:pPr>
            <w:r w:rsidRPr="00EA1BB2">
              <w:rPr>
                <w:rFonts w:ascii="Cambria" w:hAnsi="Cambria"/>
                <w:lang w:val="ro-RO"/>
              </w:rPr>
              <w:t>3,657</w:t>
            </w:r>
          </w:p>
        </w:tc>
        <w:tc>
          <w:tcPr>
            <w:tcW w:w="641" w:type="dxa"/>
            <w:vAlign w:val="center"/>
          </w:tcPr>
          <w:p w14:paraId="3A2F4B54" w14:textId="77777777" w:rsidR="00965E81" w:rsidRPr="00EA1BB2" w:rsidRDefault="00965E81" w:rsidP="00965E81">
            <w:pPr>
              <w:autoSpaceDE w:val="0"/>
              <w:autoSpaceDN w:val="0"/>
              <w:adjustRightInd w:val="0"/>
              <w:spacing w:line="360" w:lineRule="auto"/>
              <w:jc w:val="center"/>
              <w:rPr>
                <w:rFonts w:ascii="Cambria" w:hAnsi="Cambria"/>
                <w:lang w:val="ro-RO"/>
              </w:rPr>
            </w:pPr>
            <w:r w:rsidRPr="00EA1BB2">
              <w:rPr>
                <w:rFonts w:ascii="Cambria" w:hAnsi="Cambria"/>
                <w:lang w:val="ro-RO"/>
              </w:rPr>
              <w:t>20*</w:t>
            </w:r>
          </w:p>
        </w:tc>
        <w:tc>
          <w:tcPr>
            <w:tcW w:w="850" w:type="dxa"/>
            <w:vAlign w:val="center"/>
          </w:tcPr>
          <w:p w14:paraId="4369B14E" w14:textId="77777777" w:rsidR="00965E81" w:rsidRPr="00EA1BB2" w:rsidRDefault="00965E81" w:rsidP="00965E81">
            <w:pPr>
              <w:autoSpaceDE w:val="0"/>
              <w:autoSpaceDN w:val="0"/>
              <w:adjustRightInd w:val="0"/>
              <w:spacing w:line="360" w:lineRule="auto"/>
              <w:jc w:val="center"/>
              <w:rPr>
                <w:rFonts w:ascii="Cambria" w:hAnsi="Cambria"/>
                <w:lang w:val="ro-RO"/>
              </w:rPr>
            </w:pPr>
            <w:r w:rsidRPr="00EA1BB2">
              <w:rPr>
                <w:rFonts w:ascii="Cambria" w:hAnsi="Cambria"/>
                <w:lang w:val="ro-RO"/>
              </w:rPr>
              <w:t>-</w:t>
            </w:r>
          </w:p>
        </w:tc>
        <w:tc>
          <w:tcPr>
            <w:tcW w:w="851" w:type="dxa"/>
            <w:vAlign w:val="center"/>
          </w:tcPr>
          <w:p w14:paraId="48C3C45E" w14:textId="77777777" w:rsidR="00965E81" w:rsidRPr="00EA1BB2" w:rsidRDefault="00965E81" w:rsidP="00965E81">
            <w:pPr>
              <w:autoSpaceDE w:val="0"/>
              <w:autoSpaceDN w:val="0"/>
              <w:adjustRightInd w:val="0"/>
              <w:spacing w:line="360" w:lineRule="auto"/>
              <w:jc w:val="center"/>
              <w:rPr>
                <w:rFonts w:ascii="Cambria" w:hAnsi="Cambria"/>
                <w:lang w:val="ro-RO"/>
              </w:rPr>
            </w:pPr>
            <w:r w:rsidRPr="00EA1BB2">
              <w:rPr>
                <w:rFonts w:ascii="Cambria" w:hAnsi="Cambria"/>
                <w:lang w:val="ro-RO"/>
              </w:rPr>
              <w:t>-</w:t>
            </w:r>
          </w:p>
        </w:tc>
      </w:tr>
    </w:tbl>
    <w:p w14:paraId="59FDE5A6" w14:textId="77777777" w:rsidR="00031EFD" w:rsidRPr="00EA1BB2" w:rsidRDefault="00965E81" w:rsidP="00CC62FC">
      <w:pPr>
        <w:autoSpaceDE w:val="0"/>
        <w:autoSpaceDN w:val="0"/>
        <w:adjustRightInd w:val="0"/>
        <w:spacing w:line="276" w:lineRule="auto"/>
        <w:jc w:val="both"/>
        <w:rPr>
          <w:rFonts w:ascii="Cambria" w:hAnsi="Cambria"/>
          <w:szCs w:val="24"/>
        </w:rPr>
      </w:pPr>
      <w:r w:rsidRPr="00EA1BB2">
        <w:rPr>
          <w:rFonts w:ascii="Cambria" w:hAnsi="Cambria"/>
          <w:szCs w:val="24"/>
        </w:rPr>
        <w:t>*nivel critic pentru protecția vegetației</w:t>
      </w:r>
    </w:p>
    <w:p w14:paraId="7C5FF495" w14:textId="77777777" w:rsidR="00CC62FC" w:rsidRPr="00EA1BB2" w:rsidRDefault="00CC62FC" w:rsidP="00965E81">
      <w:pPr>
        <w:autoSpaceDE w:val="0"/>
        <w:autoSpaceDN w:val="0"/>
        <w:adjustRightInd w:val="0"/>
        <w:spacing w:line="360" w:lineRule="auto"/>
        <w:jc w:val="both"/>
        <w:rPr>
          <w:rFonts w:ascii="Cambria" w:hAnsi="Cambria"/>
          <w:sz w:val="24"/>
          <w:szCs w:val="24"/>
        </w:rPr>
      </w:pPr>
    </w:p>
    <w:p w14:paraId="0836EBD2" w14:textId="77777777" w:rsidR="00A133F1" w:rsidRPr="00EA1BB2" w:rsidRDefault="00A133F1" w:rsidP="00965E81">
      <w:pPr>
        <w:autoSpaceDE w:val="0"/>
        <w:autoSpaceDN w:val="0"/>
        <w:adjustRightInd w:val="0"/>
        <w:spacing w:line="360" w:lineRule="auto"/>
        <w:jc w:val="both"/>
        <w:rPr>
          <w:rFonts w:ascii="Cambria" w:hAnsi="Cambria"/>
          <w:sz w:val="24"/>
          <w:szCs w:val="24"/>
        </w:rPr>
      </w:pPr>
    </w:p>
    <w:p w14:paraId="3E019C26" w14:textId="77777777" w:rsidR="005636A5" w:rsidRPr="00EA1BB2" w:rsidRDefault="005636A5" w:rsidP="005636A5">
      <w:pPr>
        <w:autoSpaceDE w:val="0"/>
        <w:autoSpaceDN w:val="0"/>
        <w:adjustRightInd w:val="0"/>
        <w:spacing w:line="360" w:lineRule="auto"/>
        <w:ind w:firstLine="720"/>
        <w:jc w:val="both"/>
        <w:rPr>
          <w:rFonts w:ascii="Cambria" w:hAnsi="Cambria"/>
          <w:b/>
          <w:sz w:val="24"/>
          <w:szCs w:val="24"/>
        </w:rPr>
      </w:pPr>
      <w:r w:rsidRPr="00EA1BB2">
        <w:rPr>
          <w:rFonts w:ascii="Cambria" w:hAnsi="Cambria"/>
          <w:b/>
          <w:sz w:val="24"/>
          <w:szCs w:val="24"/>
        </w:rPr>
        <w:lastRenderedPageBreak/>
        <w:t>g) niveluri ale concentra</w:t>
      </w:r>
      <w:r w:rsidR="00054880" w:rsidRPr="00EA1BB2">
        <w:rPr>
          <w:rFonts w:ascii="Cambria" w:hAnsi="Cambria"/>
          <w:b/>
          <w:sz w:val="24"/>
          <w:szCs w:val="24"/>
        </w:rPr>
        <w:t>ț</w:t>
      </w:r>
      <w:r w:rsidRPr="00EA1BB2">
        <w:rPr>
          <w:rFonts w:ascii="Cambria" w:hAnsi="Cambria"/>
          <w:b/>
          <w:sz w:val="24"/>
          <w:szCs w:val="24"/>
        </w:rPr>
        <w:t>iei/concentra</w:t>
      </w:r>
      <w:r w:rsidR="00054880" w:rsidRPr="00EA1BB2">
        <w:rPr>
          <w:rFonts w:ascii="Cambria" w:hAnsi="Cambria"/>
          <w:b/>
          <w:sz w:val="24"/>
          <w:szCs w:val="24"/>
        </w:rPr>
        <w:t>ț</w:t>
      </w:r>
      <w:r w:rsidRPr="00EA1BB2">
        <w:rPr>
          <w:rFonts w:ascii="Cambria" w:hAnsi="Cambria"/>
          <w:b/>
          <w:sz w:val="24"/>
          <w:szCs w:val="24"/>
        </w:rPr>
        <w:t xml:space="preserve">iilor </w:t>
      </w:r>
      <w:r w:rsidR="00054880" w:rsidRPr="00EA1BB2">
        <w:rPr>
          <w:rFonts w:ascii="Cambria" w:hAnsi="Cambria"/>
          <w:b/>
          <w:sz w:val="24"/>
          <w:szCs w:val="24"/>
        </w:rPr>
        <w:t>ș</w:t>
      </w:r>
      <w:r w:rsidRPr="00EA1BB2">
        <w:rPr>
          <w:rFonts w:ascii="Cambria" w:hAnsi="Cambria"/>
          <w:b/>
          <w:sz w:val="24"/>
          <w:szCs w:val="24"/>
        </w:rPr>
        <w:t>i a numărului de depă</w:t>
      </w:r>
      <w:r w:rsidR="00054880" w:rsidRPr="00EA1BB2">
        <w:rPr>
          <w:rFonts w:ascii="Cambria" w:hAnsi="Cambria"/>
          <w:b/>
          <w:sz w:val="24"/>
          <w:szCs w:val="24"/>
        </w:rPr>
        <w:t>ș</w:t>
      </w:r>
      <w:r w:rsidRPr="00EA1BB2">
        <w:rPr>
          <w:rFonts w:ascii="Cambria" w:hAnsi="Cambria"/>
          <w:b/>
          <w:sz w:val="24"/>
          <w:szCs w:val="24"/>
        </w:rPr>
        <w:t xml:space="preserve">iri ale valorii-limită </w:t>
      </w:r>
      <w:r w:rsidR="00054880" w:rsidRPr="00EA1BB2">
        <w:rPr>
          <w:rFonts w:ascii="Cambria" w:hAnsi="Cambria"/>
          <w:b/>
          <w:sz w:val="24"/>
          <w:szCs w:val="24"/>
        </w:rPr>
        <w:t>ș</w:t>
      </w:r>
      <w:r w:rsidRPr="00EA1BB2">
        <w:rPr>
          <w:rFonts w:ascii="Cambria" w:hAnsi="Cambria"/>
          <w:b/>
          <w:sz w:val="24"/>
          <w:szCs w:val="24"/>
        </w:rPr>
        <w:t>i/sau valorii-</w:t>
      </w:r>
      <w:r w:rsidR="00054880" w:rsidRPr="00EA1BB2">
        <w:rPr>
          <w:rFonts w:ascii="Cambria" w:hAnsi="Cambria"/>
          <w:b/>
          <w:sz w:val="24"/>
          <w:szCs w:val="24"/>
        </w:rPr>
        <w:t>ț</w:t>
      </w:r>
      <w:r w:rsidRPr="00EA1BB2">
        <w:rPr>
          <w:rFonts w:ascii="Cambria" w:hAnsi="Cambria"/>
          <w:b/>
          <w:sz w:val="24"/>
          <w:szCs w:val="24"/>
        </w:rPr>
        <w:t>intă în anul de proiec</w:t>
      </w:r>
      <w:r w:rsidR="00054880" w:rsidRPr="00EA1BB2">
        <w:rPr>
          <w:rFonts w:ascii="Cambria" w:hAnsi="Cambria"/>
          <w:b/>
          <w:sz w:val="24"/>
          <w:szCs w:val="24"/>
        </w:rPr>
        <w:t>ț</w:t>
      </w:r>
      <w:r w:rsidR="00573FEE" w:rsidRPr="00EA1BB2">
        <w:rPr>
          <w:rFonts w:ascii="Cambria" w:hAnsi="Cambria"/>
          <w:b/>
          <w:sz w:val="24"/>
          <w:szCs w:val="24"/>
        </w:rPr>
        <w:t>ie, acolo unde este posibil</w:t>
      </w:r>
    </w:p>
    <w:p w14:paraId="5ED034DF" w14:textId="77777777" w:rsidR="00C039ED" w:rsidRPr="00EA1BB2" w:rsidRDefault="00C039ED" w:rsidP="00031EFD">
      <w:pPr>
        <w:autoSpaceDE w:val="0"/>
        <w:autoSpaceDN w:val="0"/>
        <w:adjustRightInd w:val="0"/>
        <w:spacing w:line="360" w:lineRule="auto"/>
        <w:ind w:firstLine="708"/>
        <w:jc w:val="both"/>
        <w:rPr>
          <w:rFonts w:ascii="Cambria" w:hAnsi="Cambria"/>
          <w:sz w:val="24"/>
          <w:szCs w:val="24"/>
        </w:rPr>
      </w:pPr>
      <w:r w:rsidRPr="00EA1BB2">
        <w:rPr>
          <w:rFonts w:ascii="Cambria" w:hAnsi="Cambria"/>
          <w:sz w:val="24"/>
          <w:szCs w:val="24"/>
        </w:rPr>
        <w:t>Conform rezultatelor obținute în urma calculelor realizate pentru determinarea concentrațiilor maxime orare/zilnice de poluanți în atmosferă, nu se înregistrează nicio depășire a valori</w:t>
      </w:r>
      <w:r w:rsidR="00031EFD" w:rsidRPr="00EA1BB2">
        <w:rPr>
          <w:rFonts w:ascii="Cambria" w:hAnsi="Cambria"/>
          <w:sz w:val="24"/>
          <w:szCs w:val="24"/>
        </w:rPr>
        <w:t>i</w:t>
      </w:r>
      <w:r w:rsidR="00831372" w:rsidRPr="00EA1BB2">
        <w:rPr>
          <w:rFonts w:ascii="Cambria" w:hAnsi="Cambria"/>
          <w:sz w:val="24"/>
          <w:szCs w:val="24"/>
        </w:rPr>
        <w:t>-</w:t>
      </w:r>
      <w:r w:rsidRPr="00EA1BB2">
        <w:rPr>
          <w:rFonts w:ascii="Cambria" w:hAnsi="Cambria"/>
          <w:sz w:val="24"/>
          <w:szCs w:val="24"/>
        </w:rPr>
        <w:t>limită.</w:t>
      </w:r>
    </w:p>
    <w:p w14:paraId="74892B65" w14:textId="77777777" w:rsidR="00A133F1" w:rsidRPr="00EA1BB2" w:rsidRDefault="00A133F1" w:rsidP="00031EFD">
      <w:pPr>
        <w:autoSpaceDE w:val="0"/>
        <w:autoSpaceDN w:val="0"/>
        <w:adjustRightInd w:val="0"/>
        <w:spacing w:line="360" w:lineRule="auto"/>
        <w:ind w:firstLine="708"/>
        <w:jc w:val="both"/>
        <w:rPr>
          <w:rFonts w:ascii="Cambria" w:hAnsi="Cambria"/>
          <w:sz w:val="24"/>
          <w:szCs w:val="24"/>
        </w:rPr>
      </w:pPr>
    </w:p>
    <w:p w14:paraId="4D52C078" w14:textId="337A64D7" w:rsidR="00C039ED" w:rsidRPr="00EA1BB2" w:rsidRDefault="00C039ED" w:rsidP="00C039ED">
      <w:pPr>
        <w:keepNext/>
        <w:spacing w:line="360" w:lineRule="auto"/>
        <w:ind w:firstLine="708"/>
        <w:jc w:val="both"/>
        <w:rPr>
          <w:rFonts w:ascii="Cambria" w:hAnsi="Cambria"/>
          <w:b/>
          <w:iCs/>
          <w:sz w:val="24"/>
          <w:szCs w:val="18"/>
        </w:rPr>
      </w:pPr>
      <w:bookmarkStart w:id="261" w:name="_Toc526889822"/>
      <w:r w:rsidRPr="00EA1BB2">
        <w:rPr>
          <w:rFonts w:ascii="Cambria" w:hAnsi="Cambria"/>
          <w:b/>
          <w:iCs/>
          <w:sz w:val="24"/>
          <w:szCs w:val="18"/>
        </w:rPr>
        <w:t xml:space="preserve">Tabelul nr. </w:t>
      </w:r>
      <w:r w:rsidR="000A2FE7" w:rsidRPr="00EA1BB2">
        <w:rPr>
          <w:rFonts w:ascii="Cambria" w:hAnsi="Cambria"/>
          <w:b/>
          <w:iCs/>
          <w:sz w:val="24"/>
          <w:szCs w:val="18"/>
        </w:rPr>
        <w:fldChar w:fldCharType="begin"/>
      </w:r>
      <w:r w:rsidR="000A2FE7" w:rsidRPr="00EA1BB2">
        <w:rPr>
          <w:rFonts w:ascii="Cambria" w:hAnsi="Cambria"/>
          <w:b/>
          <w:iCs/>
          <w:sz w:val="24"/>
          <w:szCs w:val="18"/>
        </w:rPr>
        <w:instrText xml:space="preserve"> STYLEREF 1 \s </w:instrText>
      </w:r>
      <w:r w:rsidR="000A2FE7" w:rsidRPr="00EA1BB2">
        <w:rPr>
          <w:rFonts w:ascii="Cambria" w:hAnsi="Cambria"/>
          <w:b/>
          <w:iCs/>
          <w:sz w:val="24"/>
          <w:szCs w:val="18"/>
        </w:rPr>
        <w:fldChar w:fldCharType="separate"/>
      </w:r>
      <w:r w:rsidR="00567555">
        <w:rPr>
          <w:rFonts w:ascii="Cambria" w:hAnsi="Cambria"/>
          <w:b/>
          <w:iCs/>
          <w:noProof/>
          <w:sz w:val="24"/>
          <w:szCs w:val="18"/>
        </w:rPr>
        <w:t>5</w:t>
      </w:r>
      <w:r w:rsidR="000A2FE7" w:rsidRPr="00EA1BB2">
        <w:rPr>
          <w:rFonts w:ascii="Cambria" w:hAnsi="Cambria"/>
          <w:b/>
          <w:iCs/>
          <w:sz w:val="24"/>
          <w:szCs w:val="18"/>
        </w:rPr>
        <w:fldChar w:fldCharType="end"/>
      </w:r>
      <w:r w:rsidR="000A2FE7" w:rsidRPr="00EA1BB2">
        <w:rPr>
          <w:rFonts w:ascii="Cambria" w:hAnsi="Cambria"/>
          <w:b/>
          <w:iCs/>
          <w:sz w:val="24"/>
          <w:szCs w:val="18"/>
        </w:rPr>
        <w:noBreakHyphen/>
      </w:r>
      <w:r w:rsidR="000A2FE7" w:rsidRPr="00EA1BB2">
        <w:rPr>
          <w:rFonts w:ascii="Cambria" w:hAnsi="Cambria"/>
          <w:b/>
          <w:iCs/>
          <w:sz w:val="24"/>
          <w:szCs w:val="18"/>
        </w:rPr>
        <w:fldChar w:fldCharType="begin"/>
      </w:r>
      <w:r w:rsidR="000A2FE7" w:rsidRPr="00EA1BB2">
        <w:rPr>
          <w:rFonts w:ascii="Cambria" w:hAnsi="Cambria"/>
          <w:b/>
          <w:iCs/>
          <w:sz w:val="24"/>
          <w:szCs w:val="18"/>
        </w:rPr>
        <w:instrText xml:space="preserve"> SEQ Tabelul_nr. \* ARABIC \s 1 </w:instrText>
      </w:r>
      <w:r w:rsidR="000A2FE7" w:rsidRPr="00EA1BB2">
        <w:rPr>
          <w:rFonts w:ascii="Cambria" w:hAnsi="Cambria"/>
          <w:b/>
          <w:iCs/>
          <w:sz w:val="24"/>
          <w:szCs w:val="18"/>
        </w:rPr>
        <w:fldChar w:fldCharType="separate"/>
      </w:r>
      <w:r w:rsidR="00567555">
        <w:rPr>
          <w:rFonts w:ascii="Cambria" w:hAnsi="Cambria"/>
          <w:b/>
          <w:iCs/>
          <w:noProof/>
          <w:sz w:val="24"/>
          <w:szCs w:val="18"/>
        </w:rPr>
        <w:t>5</w:t>
      </w:r>
      <w:r w:rsidR="000A2FE7" w:rsidRPr="00EA1BB2">
        <w:rPr>
          <w:rFonts w:ascii="Cambria" w:hAnsi="Cambria"/>
          <w:b/>
          <w:iCs/>
          <w:sz w:val="24"/>
          <w:szCs w:val="18"/>
        </w:rPr>
        <w:fldChar w:fldCharType="end"/>
      </w:r>
      <w:r w:rsidRPr="00EA1BB2">
        <w:rPr>
          <w:rFonts w:ascii="Cambria" w:hAnsi="Cambria"/>
          <w:b/>
          <w:iCs/>
          <w:sz w:val="24"/>
          <w:szCs w:val="18"/>
        </w:rPr>
        <w:t xml:space="preserve"> – Niveluri ale concentrației</w:t>
      </w:r>
      <w:r w:rsidR="00BD06C5" w:rsidRPr="00EA1BB2">
        <w:rPr>
          <w:rFonts w:ascii="Cambria" w:hAnsi="Cambria"/>
          <w:b/>
          <w:iCs/>
          <w:sz w:val="24"/>
          <w:szCs w:val="18"/>
        </w:rPr>
        <w:t xml:space="preserve"> </w:t>
      </w:r>
      <w:r w:rsidR="00BD6076" w:rsidRPr="00EA1BB2">
        <w:rPr>
          <w:rFonts w:ascii="Cambria" w:hAnsi="Cambria"/>
          <w:b/>
          <w:iCs/>
          <w:sz w:val="24"/>
          <w:szCs w:val="18"/>
        </w:rPr>
        <w:t>maxime</w:t>
      </w:r>
      <w:r w:rsidR="007A1D23" w:rsidRPr="00EA1BB2">
        <w:rPr>
          <w:rFonts w:ascii="Cambria" w:hAnsi="Cambria"/>
          <w:b/>
          <w:iCs/>
          <w:sz w:val="24"/>
          <w:szCs w:val="18"/>
        </w:rPr>
        <w:t xml:space="preserve"> zilnice/orare</w:t>
      </w:r>
      <w:r w:rsidR="00BD6076" w:rsidRPr="00EA1BB2">
        <w:rPr>
          <w:rFonts w:ascii="Cambria" w:hAnsi="Cambria"/>
          <w:b/>
          <w:iCs/>
          <w:sz w:val="24"/>
          <w:szCs w:val="18"/>
        </w:rPr>
        <w:t xml:space="preserve"> estimate</w:t>
      </w:r>
      <w:r w:rsidRPr="00EA1BB2">
        <w:rPr>
          <w:rFonts w:ascii="Cambria" w:hAnsi="Cambria"/>
          <w:b/>
          <w:iCs/>
          <w:sz w:val="24"/>
          <w:szCs w:val="18"/>
        </w:rPr>
        <w:t xml:space="preserve"> în anul de proiecție – scenariul A</w:t>
      </w:r>
      <w:bookmarkEnd w:id="261"/>
    </w:p>
    <w:tbl>
      <w:tblPr>
        <w:tblStyle w:val="TableGrid"/>
        <w:tblW w:w="10201" w:type="dxa"/>
        <w:jc w:val="center"/>
        <w:tblLook w:val="04A0" w:firstRow="1" w:lastRow="0" w:firstColumn="1" w:lastColumn="0" w:noHBand="0" w:noVBand="1"/>
      </w:tblPr>
      <w:tblGrid>
        <w:gridCol w:w="803"/>
        <w:gridCol w:w="1079"/>
        <w:gridCol w:w="891"/>
        <w:gridCol w:w="1039"/>
        <w:gridCol w:w="1039"/>
        <w:gridCol w:w="1039"/>
        <w:gridCol w:w="1039"/>
        <w:gridCol w:w="1039"/>
        <w:gridCol w:w="661"/>
        <w:gridCol w:w="781"/>
        <w:gridCol w:w="791"/>
      </w:tblGrid>
      <w:tr w:rsidR="00C54A1C" w:rsidRPr="00EA1BB2" w14:paraId="48346519" w14:textId="77777777" w:rsidTr="007A1D23">
        <w:trPr>
          <w:trHeight w:val="420"/>
          <w:tblHeader/>
          <w:jc w:val="center"/>
        </w:trPr>
        <w:tc>
          <w:tcPr>
            <w:tcW w:w="853" w:type="dxa"/>
            <w:vMerge w:val="restart"/>
            <w:shd w:val="clear" w:color="auto" w:fill="BDD6EE" w:themeFill="accent1" w:themeFillTint="66"/>
            <w:vAlign w:val="center"/>
          </w:tcPr>
          <w:p w14:paraId="7AAEA251" w14:textId="77777777" w:rsidR="00C54A1C" w:rsidRPr="00EA1BB2" w:rsidRDefault="00C54A1C" w:rsidP="008567FE">
            <w:pPr>
              <w:autoSpaceDE w:val="0"/>
              <w:autoSpaceDN w:val="0"/>
              <w:adjustRightInd w:val="0"/>
              <w:spacing w:line="360" w:lineRule="auto"/>
              <w:ind w:left="-252" w:right="-244"/>
              <w:jc w:val="center"/>
              <w:rPr>
                <w:rFonts w:ascii="Cambria" w:hAnsi="Cambria"/>
                <w:b/>
                <w:lang w:val="ro-RO"/>
              </w:rPr>
            </w:pPr>
            <w:r w:rsidRPr="00EA1BB2">
              <w:rPr>
                <w:rFonts w:ascii="Cambria" w:hAnsi="Cambria"/>
                <w:b/>
                <w:lang w:val="ro-RO"/>
              </w:rPr>
              <w:t>Poluant</w:t>
            </w:r>
          </w:p>
        </w:tc>
        <w:tc>
          <w:tcPr>
            <w:tcW w:w="1093" w:type="dxa"/>
            <w:vMerge w:val="restart"/>
            <w:shd w:val="clear" w:color="auto" w:fill="BDD6EE" w:themeFill="accent1" w:themeFillTint="66"/>
            <w:vAlign w:val="center"/>
          </w:tcPr>
          <w:p w14:paraId="1895FEC1" w14:textId="77777777" w:rsidR="00C54A1C" w:rsidRPr="00EA1BB2" w:rsidRDefault="00C54A1C" w:rsidP="00DF5A5F">
            <w:pPr>
              <w:autoSpaceDE w:val="0"/>
              <w:autoSpaceDN w:val="0"/>
              <w:adjustRightInd w:val="0"/>
              <w:spacing w:line="360" w:lineRule="auto"/>
              <w:ind w:left="-126" w:right="-148" w:firstLine="126"/>
              <w:jc w:val="center"/>
              <w:rPr>
                <w:rFonts w:ascii="Cambria" w:hAnsi="Cambria"/>
                <w:b/>
                <w:lang w:val="ro-RO"/>
              </w:rPr>
            </w:pPr>
            <w:r w:rsidRPr="00EA1BB2">
              <w:rPr>
                <w:rFonts w:ascii="Cambria" w:hAnsi="Cambria"/>
                <w:b/>
                <w:lang w:val="ro-RO"/>
              </w:rPr>
              <w:t>Unitatea de măsură</w:t>
            </w:r>
          </w:p>
        </w:tc>
        <w:tc>
          <w:tcPr>
            <w:tcW w:w="918" w:type="dxa"/>
            <w:vMerge w:val="restart"/>
            <w:shd w:val="clear" w:color="auto" w:fill="BDD6EE" w:themeFill="accent1" w:themeFillTint="66"/>
            <w:vAlign w:val="center"/>
          </w:tcPr>
          <w:p w14:paraId="4D5AF95F" w14:textId="77777777" w:rsidR="00C54A1C" w:rsidRPr="00EA1BB2" w:rsidRDefault="00C54A1C" w:rsidP="00DF5A5F">
            <w:pPr>
              <w:autoSpaceDE w:val="0"/>
              <w:autoSpaceDN w:val="0"/>
              <w:adjustRightInd w:val="0"/>
              <w:spacing w:line="360" w:lineRule="auto"/>
              <w:ind w:left="-213" w:right="-152"/>
              <w:jc w:val="center"/>
              <w:rPr>
                <w:rFonts w:ascii="Cambria" w:hAnsi="Cambria"/>
                <w:b/>
                <w:lang w:val="ro-RO"/>
              </w:rPr>
            </w:pPr>
            <w:r w:rsidRPr="00EA1BB2">
              <w:rPr>
                <w:rFonts w:ascii="Cambria" w:hAnsi="Cambria"/>
                <w:b/>
                <w:lang w:val="ro-RO"/>
              </w:rPr>
              <w:t>Perioada de mediere</w:t>
            </w:r>
          </w:p>
        </w:tc>
        <w:tc>
          <w:tcPr>
            <w:tcW w:w="5540" w:type="dxa"/>
            <w:gridSpan w:val="5"/>
            <w:shd w:val="clear" w:color="auto" w:fill="BDD6EE" w:themeFill="accent1" w:themeFillTint="66"/>
            <w:vAlign w:val="center"/>
          </w:tcPr>
          <w:p w14:paraId="361D8163" w14:textId="77777777" w:rsidR="00C54A1C" w:rsidRPr="00EA1BB2" w:rsidRDefault="00C54A1C" w:rsidP="00DF5A5F">
            <w:pPr>
              <w:autoSpaceDE w:val="0"/>
              <w:autoSpaceDN w:val="0"/>
              <w:adjustRightInd w:val="0"/>
              <w:spacing w:line="360" w:lineRule="auto"/>
              <w:jc w:val="center"/>
              <w:rPr>
                <w:rFonts w:ascii="Cambria" w:hAnsi="Cambria"/>
                <w:b/>
                <w:lang w:val="ro-RO"/>
              </w:rPr>
            </w:pPr>
            <w:r w:rsidRPr="00EA1BB2">
              <w:rPr>
                <w:rFonts w:ascii="Cambria" w:hAnsi="Cambria"/>
                <w:b/>
                <w:lang w:val="ro-RO"/>
              </w:rPr>
              <w:t>Valoare estimată</w:t>
            </w:r>
          </w:p>
        </w:tc>
        <w:tc>
          <w:tcPr>
            <w:tcW w:w="693" w:type="dxa"/>
            <w:vMerge w:val="restart"/>
            <w:shd w:val="clear" w:color="auto" w:fill="BDD6EE" w:themeFill="accent1" w:themeFillTint="66"/>
            <w:vAlign w:val="center"/>
          </w:tcPr>
          <w:p w14:paraId="24F97E92" w14:textId="77777777" w:rsidR="00C54A1C" w:rsidRPr="00EA1BB2" w:rsidRDefault="00C54A1C" w:rsidP="00DF5A5F">
            <w:pPr>
              <w:autoSpaceDE w:val="0"/>
              <w:autoSpaceDN w:val="0"/>
              <w:adjustRightInd w:val="0"/>
              <w:spacing w:line="360" w:lineRule="auto"/>
              <w:ind w:left="-173" w:right="-159"/>
              <w:jc w:val="center"/>
              <w:rPr>
                <w:rFonts w:ascii="Cambria" w:hAnsi="Cambria"/>
                <w:b/>
                <w:lang w:val="ro-RO"/>
              </w:rPr>
            </w:pPr>
            <w:r w:rsidRPr="00EA1BB2">
              <w:rPr>
                <w:rFonts w:ascii="Cambria" w:hAnsi="Cambria"/>
                <w:b/>
                <w:lang w:val="ro-RO"/>
              </w:rPr>
              <w:t>VL</w:t>
            </w:r>
          </w:p>
        </w:tc>
        <w:tc>
          <w:tcPr>
            <w:tcW w:w="825" w:type="dxa"/>
            <w:vMerge w:val="restart"/>
            <w:shd w:val="clear" w:color="auto" w:fill="BDD6EE" w:themeFill="accent1" w:themeFillTint="66"/>
            <w:vAlign w:val="center"/>
          </w:tcPr>
          <w:p w14:paraId="12796515" w14:textId="77777777" w:rsidR="00C54A1C" w:rsidRPr="00EA1BB2" w:rsidRDefault="00C54A1C" w:rsidP="007A1D23">
            <w:pPr>
              <w:autoSpaceDE w:val="0"/>
              <w:autoSpaceDN w:val="0"/>
              <w:adjustRightInd w:val="0"/>
              <w:spacing w:line="360" w:lineRule="auto"/>
              <w:ind w:left="-178" w:right="-152"/>
              <w:jc w:val="center"/>
              <w:rPr>
                <w:rFonts w:ascii="Cambria" w:hAnsi="Cambria"/>
                <w:b/>
                <w:lang w:val="ro-RO"/>
              </w:rPr>
            </w:pPr>
            <w:r w:rsidRPr="00EA1BB2">
              <w:rPr>
                <w:rFonts w:ascii="Cambria" w:hAnsi="Cambria"/>
                <w:b/>
                <w:lang w:val="ro-RO"/>
              </w:rPr>
              <w:t>Valoare PSE</w:t>
            </w:r>
          </w:p>
        </w:tc>
        <w:tc>
          <w:tcPr>
            <w:tcW w:w="279" w:type="dxa"/>
            <w:vMerge w:val="restart"/>
            <w:shd w:val="clear" w:color="auto" w:fill="BDD6EE" w:themeFill="accent1" w:themeFillTint="66"/>
            <w:vAlign w:val="center"/>
          </w:tcPr>
          <w:p w14:paraId="56279964" w14:textId="77777777" w:rsidR="00C54A1C" w:rsidRPr="00EA1BB2" w:rsidRDefault="00C54A1C" w:rsidP="00DF5A5F">
            <w:pPr>
              <w:autoSpaceDE w:val="0"/>
              <w:autoSpaceDN w:val="0"/>
              <w:adjustRightInd w:val="0"/>
              <w:spacing w:line="360" w:lineRule="auto"/>
              <w:ind w:left="-68" w:right="-144"/>
              <w:jc w:val="center"/>
              <w:rPr>
                <w:rFonts w:ascii="Cambria" w:hAnsi="Cambria"/>
                <w:b/>
                <w:lang w:val="ro-RO"/>
              </w:rPr>
            </w:pPr>
            <w:r w:rsidRPr="00EA1BB2">
              <w:rPr>
                <w:rFonts w:ascii="Cambria" w:hAnsi="Cambria"/>
                <w:b/>
                <w:lang w:val="ro-RO"/>
              </w:rPr>
              <w:t>Valoare PIE</w:t>
            </w:r>
          </w:p>
        </w:tc>
      </w:tr>
      <w:tr w:rsidR="00C54A1C" w:rsidRPr="00EA1BB2" w14:paraId="116B65DF" w14:textId="77777777" w:rsidTr="007A1D23">
        <w:trPr>
          <w:trHeight w:val="420"/>
          <w:tblHeader/>
          <w:jc w:val="center"/>
        </w:trPr>
        <w:tc>
          <w:tcPr>
            <w:tcW w:w="853" w:type="dxa"/>
            <w:vMerge/>
            <w:shd w:val="clear" w:color="auto" w:fill="BDD6EE" w:themeFill="accent1" w:themeFillTint="66"/>
            <w:vAlign w:val="center"/>
          </w:tcPr>
          <w:p w14:paraId="1D174CC5" w14:textId="77777777" w:rsidR="00C54A1C" w:rsidRPr="00EA1BB2" w:rsidRDefault="00C54A1C" w:rsidP="00DF5A5F">
            <w:pPr>
              <w:autoSpaceDE w:val="0"/>
              <w:autoSpaceDN w:val="0"/>
              <w:adjustRightInd w:val="0"/>
              <w:spacing w:line="360" w:lineRule="auto"/>
              <w:jc w:val="center"/>
              <w:rPr>
                <w:rFonts w:ascii="Cambria" w:hAnsi="Cambria"/>
                <w:b/>
                <w:lang w:val="ro-RO"/>
              </w:rPr>
            </w:pPr>
          </w:p>
        </w:tc>
        <w:tc>
          <w:tcPr>
            <w:tcW w:w="1093" w:type="dxa"/>
            <w:vMerge/>
            <w:shd w:val="clear" w:color="auto" w:fill="BDD6EE" w:themeFill="accent1" w:themeFillTint="66"/>
            <w:vAlign w:val="center"/>
          </w:tcPr>
          <w:p w14:paraId="21E8EF7E" w14:textId="77777777" w:rsidR="00C54A1C" w:rsidRPr="00EA1BB2" w:rsidRDefault="00C54A1C" w:rsidP="00DF5A5F">
            <w:pPr>
              <w:autoSpaceDE w:val="0"/>
              <w:autoSpaceDN w:val="0"/>
              <w:adjustRightInd w:val="0"/>
              <w:spacing w:line="360" w:lineRule="auto"/>
              <w:jc w:val="center"/>
              <w:rPr>
                <w:rFonts w:ascii="Cambria" w:hAnsi="Cambria"/>
                <w:b/>
                <w:lang w:val="ro-RO"/>
              </w:rPr>
            </w:pPr>
          </w:p>
        </w:tc>
        <w:tc>
          <w:tcPr>
            <w:tcW w:w="918" w:type="dxa"/>
            <w:vMerge/>
            <w:shd w:val="clear" w:color="auto" w:fill="BDD6EE" w:themeFill="accent1" w:themeFillTint="66"/>
            <w:vAlign w:val="center"/>
          </w:tcPr>
          <w:p w14:paraId="00388B05" w14:textId="77777777" w:rsidR="00C54A1C" w:rsidRPr="00EA1BB2" w:rsidRDefault="00C54A1C" w:rsidP="00DF5A5F">
            <w:pPr>
              <w:autoSpaceDE w:val="0"/>
              <w:autoSpaceDN w:val="0"/>
              <w:adjustRightInd w:val="0"/>
              <w:spacing w:line="360" w:lineRule="auto"/>
              <w:jc w:val="center"/>
              <w:rPr>
                <w:rFonts w:ascii="Cambria" w:hAnsi="Cambria"/>
                <w:b/>
                <w:lang w:val="ro-RO"/>
              </w:rPr>
            </w:pPr>
          </w:p>
        </w:tc>
        <w:tc>
          <w:tcPr>
            <w:tcW w:w="1108" w:type="dxa"/>
            <w:shd w:val="clear" w:color="auto" w:fill="BDD6EE" w:themeFill="accent1" w:themeFillTint="66"/>
            <w:vAlign w:val="center"/>
          </w:tcPr>
          <w:p w14:paraId="1439F4EB" w14:textId="77777777" w:rsidR="00C54A1C" w:rsidRPr="00EA1BB2" w:rsidRDefault="00C54A1C" w:rsidP="00DF5A5F">
            <w:pPr>
              <w:autoSpaceDE w:val="0"/>
              <w:autoSpaceDN w:val="0"/>
              <w:adjustRightInd w:val="0"/>
              <w:spacing w:line="360" w:lineRule="auto"/>
              <w:jc w:val="center"/>
              <w:rPr>
                <w:rFonts w:ascii="Cambria" w:hAnsi="Cambria"/>
                <w:b/>
                <w:lang w:val="ro-RO"/>
              </w:rPr>
            </w:pPr>
            <w:r w:rsidRPr="00EA1BB2">
              <w:rPr>
                <w:rFonts w:ascii="Cambria" w:eastAsia="Times New Roman" w:hAnsi="Cambria" w:cs="Times New Roman"/>
                <w:b/>
                <w:lang w:val="ro-RO"/>
              </w:rPr>
              <w:t>BR1</w:t>
            </w:r>
          </w:p>
        </w:tc>
        <w:tc>
          <w:tcPr>
            <w:tcW w:w="1108" w:type="dxa"/>
            <w:shd w:val="clear" w:color="auto" w:fill="BDD6EE" w:themeFill="accent1" w:themeFillTint="66"/>
            <w:vAlign w:val="center"/>
          </w:tcPr>
          <w:p w14:paraId="0E759465" w14:textId="77777777" w:rsidR="00C54A1C" w:rsidRPr="00EA1BB2" w:rsidRDefault="00C54A1C" w:rsidP="00DF5A5F">
            <w:pPr>
              <w:autoSpaceDE w:val="0"/>
              <w:autoSpaceDN w:val="0"/>
              <w:adjustRightInd w:val="0"/>
              <w:spacing w:line="360" w:lineRule="auto"/>
              <w:jc w:val="center"/>
              <w:rPr>
                <w:rFonts w:ascii="Cambria" w:hAnsi="Cambria"/>
                <w:b/>
                <w:lang w:val="ro-RO"/>
              </w:rPr>
            </w:pPr>
            <w:r w:rsidRPr="00EA1BB2">
              <w:rPr>
                <w:rFonts w:ascii="Cambria" w:eastAsia="Times New Roman" w:hAnsi="Cambria" w:cs="Times New Roman"/>
                <w:b/>
                <w:lang w:val="ro-RO"/>
              </w:rPr>
              <w:t>BR2</w:t>
            </w:r>
          </w:p>
        </w:tc>
        <w:tc>
          <w:tcPr>
            <w:tcW w:w="1108" w:type="dxa"/>
            <w:shd w:val="clear" w:color="auto" w:fill="BDD6EE" w:themeFill="accent1" w:themeFillTint="66"/>
            <w:vAlign w:val="center"/>
          </w:tcPr>
          <w:p w14:paraId="4FCAB14D" w14:textId="77777777" w:rsidR="00C54A1C" w:rsidRPr="00EA1BB2" w:rsidRDefault="00C54A1C" w:rsidP="00DF5A5F">
            <w:pPr>
              <w:autoSpaceDE w:val="0"/>
              <w:autoSpaceDN w:val="0"/>
              <w:adjustRightInd w:val="0"/>
              <w:spacing w:line="360" w:lineRule="auto"/>
              <w:jc w:val="center"/>
              <w:rPr>
                <w:rFonts w:ascii="Cambria" w:hAnsi="Cambria"/>
                <w:b/>
                <w:lang w:val="ro-RO"/>
              </w:rPr>
            </w:pPr>
            <w:r w:rsidRPr="00EA1BB2">
              <w:rPr>
                <w:rFonts w:ascii="Cambria" w:eastAsia="Times New Roman" w:hAnsi="Cambria" w:cs="Times New Roman"/>
                <w:b/>
                <w:lang w:val="ro-RO"/>
              </w:rPr>
              <w:t>BR3</w:t>
            </w:r>
          </w:p>
        </w:tc>
        <w:tc>
          <w:tcPr>
            <w:tcW w:w="1108" w:type="dxa"/>
            <w:shd w:val="clear" w:color="auto" w:fill="BDD6EE" w:themeFill="accent1" w:themeFillTint="66"/>
            <w:vAlign w:val="center"/>
          </w:tcPr>
          <w:p w14:paraId="2E00B55D" w14:textId="77777777" w:rsidR="00C54A1C" w:rsidRPr="00EA1BB2" w:rsidRDefault="00C54A1C" w:rsidP="00DF5A5F">
            <w:pPr>
              <w:autoSpaceDE w:val="0"/>
              <w:autoSpaceDN w:val="0"/>
              <w:adjustRightInd w:val="0"/>
              <w:spacing w:line="360" w:lineRule="auto"/>
              <w:jc w:val="center"/>
              <w:rPr>
                <w:rFonts w:ascii="Cambria" w:hAnsi="Cambria"/>
                <w:b/>
                <w:lang w:val="ro-RO"/>
              </w:rPr>
            </w:pPr>
            <w:r w:rsidRPr="00EA1BB2">
              <w:rPr>
                <w:rFonts w:ascii="Cambria" w:eastAsia="Times New Roman" w:hAnsi="Cambria" w:cs="Times New Roman"/>
                <w:b/>
                <w:lang w:val="ro-RO"/>
              </w:rPr>
              <w:t>BR4</w:t>
            </w:r>
          </w:p>
        </w:tc>
        <w:tc>
          <w:tcPr>
            <w:tcW w:w="1108" w:type="dxa"/>
            <w:shd w:val="clear" w:color="auto" w:fill="BDD6EE" w:themeFill="accent1" w:themeFillTint="66"/>
            <w:vAlign w:val="center"/>
          </w:tcPr>
          <w:p w14:paraId="6C3A8D65" w14:textId="77777777" w:rsidR="00C54A1C" w:rsidRPr="00EA1BB2" w:rsidRDefault="00C54A1C" w:rsidP="00DF5A5F">
            <w:pPr>
              <w:autoSpaceDE w:val="0"/>
              <w:autoSpaceDN w:val="0"/>
              <w:adjustRightInd w:val="0"/>
              <w:spacing w:line="360" w:lineRule="auto"/>
              <w:jc w:val="center"/>
              <w:rPr>
                <w:rFonts w:ascii="Cambria" w:hAnsi="Cambria"/>
                <w:b/>
                <w:lang w:val="ro-RO"/>
              </w:rPr>
            </w:pPr>
            <w:r w:rsidRPr="00EA1BB2">
              <w:rPr>
                <w:rFonts w:ascii="Cambria" w:eastAsia="Times New Roman" w:hAnsi="Cambria" w:cs="Times New Roman"/>
                <w:b/>
                <w:lang w:val="ro-RO"/>
              </w:rPr>
              <w:t>BR5</w:t>
            </w:r>
          </w:p>
        </w:tc>
        <w:tc>
          <w:tcPr>
            <w:tcW w:w="693" w:type="dxa"/>
            <w:vMerge/>
            <w:shd w:val="clear" w:color="auto" w:fill="BDD6EE" w:themeFill="accent1" w:themeFillTint="66"/>
            <w:vAlign w:val="center"/>
          </w:tcPr>
          <w:p w14:paraId="1D4F4904" w14:textId="77777777" w:rsidR="00C54A1C" w:rsidRPr="00EA1BB2" w:rsidRDefault="00C54A1C" w:rsidP="00DF5A5F">
            <w:pPr>
              <w:autoSpaceDE w:val="0"/>
              <w:autoSpaceDN w:val="0"/>
              <w:adjustRightInd w:val="0"/>
              <w:spacing w:line="360" w:lineRule="auto"/>
              <w:jc w:val="center"/>
              <w:rPr>
                <w:rFonts w:ascii="Cambria" w:hAnsi="Cambria"/>
                <w:b/>
                <w:lang w:val="ro-RO"/>
              </w:rPr>
            </w:pPr>
          </w:p>
        </w:tc>
        <w:tc>
          <w:tcPr>
            <w:tcW w:w="825" w:type="dxa"/>
            <w:vMerge/>
            <w:shd w:val="clear" w:color="auto" w:fill="BDD6EE" w:themeFill="accent1" w:themeFillTint="66"/>
            <w:vAlign w:val="center"/>
          </w:tcPr>
          <w:p w14:paraId="05B0D288" w14:textId="77777777" w:rsidR="00C54A1C" w:rsidRPr="00EA1BB2" w:rsidRDefault="00C54A1C" w:rsidP="00DF5A5F">
            <w:pPr>
              <w:autoSpaceDE w:val="0"/>
              <w:autoSpaceDN w:val="0"/>
              <w:adjustRightInd w:val="0"/>
              <w:spacing w:line="360" w:lineRule="auto"/>
              <w:jc w:val="center"/>
              <w:rPr>
                <w:rFonts w:ascii="Cambria" w:hAnsi="Cambria"/>
                <w:b/>
                <w:lang w:val="ro-RO"/>
              </w:rPr>
            </w:pPr>
          </w:p>
        </w:tc>
        <w:tc>
          <w:tcPr>
            <w:tcW w:w="279" w:type="dxa"/>
            <w:vMerge/>
            <w:shd w:val="clear" w:color="auto" w:fill="BDD6EE" w:themeFill="accent1" w:themeFillTint="66"/>
            <w:vAlign w:val="center"/>
          </w:tcPr>
          <w:p w14:paraId="6B896819" w14:textId="77777777" w:rsidR="00C54A1C" w:rsidRPr="00EA1BB2" w:rsidRDefault="00C54A1C" w:rsidP="00DF5A5F">
            <w:pPr>
              <w:autoSpaceDE w:val="0"/>
              <w:autoSpaceDN w:val="0"/>
              <w:adjustRightInd w:val="0"/>
              <w:spacing w:line="360" w:lineRule="auto"/>
              <w:jc w:val="center"/>
              <w:rPr>
                <w:rFonts w:ascii="Cambria" w:hAnsi="Cambria"/>
                <w:b/>
                <w:lang w:val="ro-RO"/>
              </w:rPr>
            </w:pPr>
          </w:p>
        </w:tc>
      </w:tr>
      <w:tr w:rsidR="003828B1" w:rsidRPr="00EA1BB2" w14:paraId="67974DE9" w14:textId="77777777" w:rsidTr="007A1D23">
        <w:trPr>
          <w:jc w:val="center"/>
        </w:trPr>
        <w:tc>
          <w:tcPr>
            <w:tcW w:w="853" w:type="dxa"/>
            <w:vAlign w:val="center"/>
          </w:tcPr>
          <w:p w14:paraId="602FC6F2" w14:textId="77777777" w:rsidR="003828B1" w:rsidRPr="00EA1BB2" w:rsidRDefault="003828B1" w:rsidP="003828B1">
            <w:pPr>
              <w:autoSpaceDE w:val="0"/>
              <w:autoSpaceDN w:val="0"/>
              <w:adjustRightInd w:val="0"/>
              <w:spacing w:line="360" w:lineRule="auto"/>
              <w:jc w:val="center"/>
              <w:rPr>
                <w:rFonts w:ascii="Cambria" w:hAnsi="Cambria"/>
                <w:lang w:val="ro-RO"/>
              </w:rPr>
            </w:pPr>
            <w:r w:rsidRPr="00EA1BB2">
              <w:rPr>
                <w:rFonts w:ascii="Cambria" w:hAnsi="Cambria"/>
                <w:lang w:val="ro-RO"/>
              </w:rPr>
              <w:t>NO</w:t>
            </w:r>
            <w:r w:rsidRPr="00EA1BB2">
              <w:rPr>
                <w:rFonts w:ascii="Cambria" w:hAnsi="Cambria"/>
                <w:vertAlign w:val="subscript"/>
                <w:lang w:val="ro-RO"/>
              </w:rPr>
              <w:t>2</w:t>
            </w:r>
          </w:p>
        </w:tc>
        <w:tc>
          <w:tcPr>
            <w:tcW w:w="1093" w:type="dxa"/>
            <w:vAlign w:val="center"/>
          </w:tcPr>
          <w:p w14:paraId="23F00ED4" w14:textId="77777777" w:rsidR="003828B1" w:rsidRPr="00EA1BB2" w:rsidRDefault="003828B1" w:rsidP="003828B1">
            <w:pPr>
              <w:autoSpaceDE w:val="0"/>
              <w:autoSpaceDN w:val="0"/>
              <w:adjustRightInd w:val="0"/>
              <w:spacing w:line="360" w:lineRule="auto"/>
              <w:jc w:val="center"/>
              <w:rPr>
                <w:rFonts w:ascii="Cambria" w:hAnsi="Cambria"/>
                <w:lang w:val="ro-RO"/>
              </w:rPr>
            </w:pPr>
            <w:r w:rsidRPr="00EA1BB2">
              <w:rPr>
                <w:rFonts w:ascii="Cambria" w:hAnsi="Cambria"/>
                <w:lang w:val="ro-RO"/>
              </w:rPr>
              <w:t>(µg/m</w:t>
            </w:r>
            <w:r w:rsidRPr="00EA1BB2">
              <w:rPr>
                <w:rFonts w:ascii="Cambria" w:hAnsi="Cambria"/>
                <w:bCs/>
                <w:vertAlign w:val="superscript"/>
                <w:lang w:val="ro-RO"/>
              </w:rPr>
              <w:t>3</w:t>
            </w:r>
            <w:r w:rsidRPr="00EA1BB2">
              <w:rPr>
                <w:rFonts w:ascii="Cambria" w:hAnsi="Cambria"/>
                <w:lang w:val="ro-RO"/>
              </w:rPr>
              <w:t>)</w:t>
            </w:r>
          </w:p>
        </w:tc>
        <w:tc>
          <w:tcPr>
            <w:tcW w:w="918" w:type="dxa"/>
            <w:vAlign w:val="center"/>
          </w:tcPr>
          <w:p w14:paraId="4B75977B" w14:textId="77777777" w:rsidR="003828B1" w:rsidRPr="00EA1BB2" w:rsidRDefault="003828B1" w:rsidP="003828B1">
            <w:pPr>
              <w:autoSpaceDE w:val="0"/>
              <w:autoSpaceDN w:val="0"/>
              <w:adjustRightInd w:val="0"/>
              <w:spacing w:line="360" w:lineRule="auto"/>
              <w:jc w:val="center"/>
              <w:rPr>
                <w:rFonts w:ascii="Cambria" w:hAnsi="Cambria"/>
                <w:lang w:val="ro-RO"/>
              </w:rPr>
            </w:pPr>
            <w:r w:rsidRPr="00EA1BB2">
              <w:rPr>
                <w:rFonts w:ascii="Cambria" w:hAnsi="Cambria"/>
                <w:lang w:val="ro-RO"/>
              </w:rPr>
              <w:t>orară</w:t>
            </w:r>
          </w:p>
        </w:tc>
        <w:tc>
          <w:tcPr>
            <w:tcW w:w="1108" w:type="dxa"/>
          </w:tcPr>
          <w:p w14:paraId="794139EC" w14:textId="77777777" w:rsidR="003828B1" w:rsidRPr="00EA1BB2" w:rsidRDefault="003828B1" w:rsidP="003828B1">
            <w:pPr>
              <w:autoSpaceDE w:val="0"/>
              <w:autoSpaceDN w:val="0"/>
              <w:adjustRightInd w:val="0"/>
              <w:spacing w:line="360" w:lineRule="auto"/>
              <w:jc w:val="center"/>
              <w:rPr>
                <w:rFonts w:ascii="Cambria" w:hAnsi="Cambria"/>
                <w:lang w:val="ro-RO"/>
              </w:rPr>
            </w:pPr>
            <w:r w:rsidRPr="00EA1BB2">
              <w:rPr>
                <w:rFonts w:ascii="Cambria" w:hAnsi="Cambria"/>
                <w:lang w:val="ro-RO"/>
              </w:rPr>
              <w:t>-</w:t>
            </w:r>
          </w:p>
        </w:tc>
        <w:tc>
          <w:tcPr>
            <w:tcW w:w="1108" w:type="dxa"/>
          </w:tcPr>
          <w:p w14:paraId="565816AF" w14:textId="77777777" w:rsidR="003828B1" w:rsidRPr="00EA1BB2" w:rsidRDefault="008567FE" w:rsidP="003828B1">
            <w:pPr>
              <w:autoSpaceDE w:val="0"/>
              <w:autoSpaceDN w:val="0"/>
              <w:adjustRightInd w:val="0"/>
              <w:spacing w:line="360" w:lineRule="auto"/>
              <w:jc w:val="center"/>
              <w:rPr>
                <w:rFonts w:ascii="Cambria" w:hAnsi="Cambria"/>
                <w:lang w:val="ro-RO"/>
              </w:rPr>
            </w:pPr>
            <w:r w:rsidRPr="00EA1BB2">
              <w:rPr>
                <w:rFonts w:ascii="Cambria" w:hAnsi="Cambria"/>
                <w:lang w:val="ro-RO"/>
              </w:rPr>
              <w:t>-</w:t>
            </w:r>
          </w:p>
        </w:tc>
        <w:tc>
          <w:tcPr>
            <w:tcW w:w="1108" w:type="dxa"/>
          </w:tcPr>
          <w:p w14:paraId="0C6B0C79" w14:textId="77777777" w:rsidR="003828B1" w:rsidRPr="00EA1BB2" w:rsidRDefault="00886B3D" w:rsidP="003828B1">
            <w:pPr>
              <w:autoSpaceDE w:val="0"/>
              <w:autoSpaceDN w:val="0"/>
              <w:adjustRightInd w:val="0"/>
              <w:spacing w:line="360" w:lineRule="auto"/>
              <w:jc w:val="center"/>
              <w:rPr>
                <w:rFonts w:ascii="Cambria" w:hAnsi="Cambria"/>
                <w:lang w:val="ro-RO"/>
              </w:rPr>
            </w:pPr>
            <w:r w:rsidRPr="00EA1BB2">
              <w:rPr>
                <w:rFonts w:ascii="Cambria" w:hAnsi="Cambria"/>
                <w:lang w:val="ro-RO"/>
              </w:rPr>
              <w:t>17,414</w:t>
            </w:r>
          </w:p>
        </w:tc>
        <w:tc>
          <w:tcPr>
            <w:tcW w:w="1108" w:type="dxa"/>
          </w:tcPr>
          <w:p w14:paraId="01CA29B8" w14:textId="77777777" w:rsidR="003828B1" w:rsidRPr="00EA1BB2" w:rsidRDefault="003828B1" w:rsidP="003828B1">
            <w:pPr>
              <w:autoSpaceDE w:val="0"/>
              <w:autoSpaceDN w:val="0"/>
              <w:adjustRightInd w:val="0"/>
              <w:spacing w:line="360" w:lineRule="auto"/>
              <w:jc w:val="center"/>
              <w:rPr>
                <w:rFonts w:ascii="Cambria" w:hAnsi="Cambria"/>
                <w:lang w:val="ro-RO"/>
              </w:rPr>
            </w:pPr>
            <w:r w:rsidRPr="00EA1BB2">
              <w:rPr>
                <w:rFonts w:ascii="Cambria" w:hAnsi="Cambria"/>
                <w:lang w:val="ro-RO"/>
              </w:rPr>
              <w:t>-</w:t>
            </w:r>
          </w:p>
        </w:tc>
        <w:tc>
          <w:tcPr>
            <w:tcW w:w="1108" w:type="dxa"/>
          </w:tcPr>
          <w:p w14:paraId="43AF2E51" w14:textId="77777777" w:rsidR="003828B1" w:rsidRPr="00EA1BB2" w:rsidRDefault="00886B3D" w:rsidP="003828B1">
            <w:pPr>
              <w:autoSpaceDE w:val="0"/>
              <w:autoSpaceDN w:val="0"/>
              <w:adjustRightInd w:val="0"/>
              <w:spacing w:line="360" w:lineRule="auto"/>
              <w:jc w:val="center"/>
              <w:rPr>
                <w:rFonts w:ascii="Cambria" w:hAnsi="Cambria"/>
                <w:lang w:val="ro-RO"/>
              </w:rPr>
            </w:pPr>
            <w:r w:rsidRPr="00EA1BB2">
              <w:rPr>
                <w:rFonts w:ascii="Cambria" w:hAnsi="Cambria"/>
                <w:lang w:val="ro-RO"/>
              </w:rPr>
              <w:t>14,288</w:t>
            </w:r>
          </w:p>
        </w:tc>
        <w:tc>
          <w:tcPr>
            <w:tcW w:w="693" w:type="dxa"/>
            <w:vAlign w:val="center"/>
          </w:tcPr>
          <w:p w14:paraId="3290B54B" w14:textId="77777777" w:rsidR="003828B1" w:rsidRPr="00EA1BB2" w:rsidRDefault="003828B1" w:rsidP="003828B1">
            <w:pPr>
              <w:autoSpaceDE w:val="0"/>
              <w:autoSpaceDN w:val="0"/>
              <w:adjustRightInd w:val="0"/>
              <w:spacing w:line="360" w:lineRule="auto"/>
              <w:jc w:val="center"/>
              <w:rPr>
                <w:rFonts w:ascii="Cambria" w:hAnsi="Cambria"/>
                <w:lang w:val="ro-RO"/>
              </w:rPr>
            </w:pPr>
            <w:r w:rsidRPr="00EA1BB2">
              <w:rPr>
                <w:rFonts w:ascii="Cambria" w:hAnsi="Cambria"/>
                <w:lang w:val="ro-RO"/>
              </w:rPr>
              <w:t>200</w:t>
            </w:r>
          </w:p>
        </w:tc>
        <w:tc>
          <w:tcPr>
            <w:tcW w:w="825" w:type="dxa"/>
            <w:vAlign w:val="center"/>
          </w:tcPr>
          <w:p w14:paraId="7487BCE2" w14:textId="77777777" w:rsidR="003828B1" w:rsidRPr="00EA1BB2" w:rsidRDefault="003828B1" w:rsidP="003828B1">
            <w:pPr>
              <w:autoSpaceDE w:val="0"/>
              <w:autoSpaceDN w:val="0"/>
              <w:adjustRightInd w:val="0"/>
              <w:spacing w:line="360" w:lineRule="auto"/>
              <w:jc w:val="center"/>
              <w:rPr>
                <w:rFonts w:ascii="Cambria" w:hAnsi="Cambria"/>
                <w:lang w:val="ro-RO"/>
              </w:rPr>
            </w:pPr>
            <w:r w:rsidRPr="00EA1BB2">
              <w:rPr>
                <w:rFonts w:ascii="Cambria" w:hAnsi="Cambria"/>
                <w:lang w:val="ro-RO"/>
              </w:rPr>
              <w:t>140</w:t>
            </w:r>
          </w:p>
        </w:tc>
        <w:tc>
          <w:tcPr>
            <w:tcW w:w="279" w:type="dxa"/>
            <w:vAlign w:val="center"/>
          </w:tcPr>
          <w:p w14:paraId="1666249D" w14:textId="77777777" w:rsidR="003828B1" w:rsidRPr="00EA1BB2" w:rsidRDefault="003828B1" w:rsidP="003828B1">
            <w:pPr>
              <w:autoSpaceDE w:val="0"/>
              <w:autoSpaceDN w:val="0"/>
              <w:adjustRightInd w:val="0"/>
              <w:spacing w:line="360" w:lineRule="auto"/>
              <w:jc w:val="center"/>
              <w:rPr>
                <w:rFonts w:ascii="Cambria" w:hAnsi="Cambria"/>
                <w:lang w:val="ro-RO"/>
              </w:rPr>
            </w:pPr>
            <w:r w:rsidRPr="00EA1BB2">
              <w:rPr>
                <w:rFonts w:ascii="Cambria" w:hAnsi="Cambria"/>
                <w:lang w:val="ro-RO"/>
              </w:rPr>
              <w:t>100</w:t>
            </w:r>
          </w:p>
        </w:tc>
      </w:tr>
      <w:tr w:rsidR="003828B1" w:rsidRPr="00EA1BB2" w14:paraId="40B70BBB" w14:textId="77777777" w:rsidTr="007A1D23">
        <w:trPr>
          <w:trHeight w:val="409"/>
          <w:jc w:val="center"/>
        </w:trPr>
        <w:tc>
          <w:tcPr>
            <w:tcW w:w="853" w:type="dxa"/>
            <w:vAlign w:val="center"/>
          </w:tcPr>
          <w:p w14:paraId="3294CA4C" w14:textId="77777777" w:rsidR="003828B1" w:rsidRPr="00EA1BB2" w:rsidRDefault="003828B1" w:rsidP="003828B1">
            <w:pPr>
              <w:autoSpaceDE w:val="0"/>
              <w:autoSpaceDN w:val="0"/>
              <w:adjustRightInd w:val="0"/>
              <w:spacing w:line="360" w:lineRule="auto"/>
              <w:jc w:val="center"/>
              <w:rPr>
                <w:rFonts w:ascii="Cambria" w:hAnsi="Cambria"/>
                <w:lang w:val="ro-RO"/>
              </w:rPr>
            </w:pPr>
            <w:r w:rsidRPr="00EA1BB2">
              <w:rPr>
                <w:rFonts w:ascii="Cambria" w:hAnsi="Cambria"/>
                <w:lang w:val="ro-RO"/>
              </w:rPr>
              <w:t>PM</w:t>
            </w:r>
            <w:r w:rsidRPr="00EA1BB2">
              <w:rPr>
                <w:rFonts w:ascii="Cambria" w:hAnsi="Cambria"/>
                <w:vertAlign w:val="subscript"/>
                <w:lang w:val="ro-RO"/>
              </w:rPr>
              <w:t>10</w:t>
            </w:r>
          </w:p>
        </w:tc>
        <w:tc>
          <w:tcPr>
            <w:tcW w:w="1093" w:type="dxa"/>
            <w:vAlign w:val="center"/>
          </w:tcPr>
          <w:p w14:paraId="1121999B" w14:textId="77777777" w:rsidR="003828B1" w:rsidRPr="00EA1BB2" w:rsidRDefault="003828B1" w:rsidP="003828B1">
            <w:pPr>
              <w:autoSpaceDE w:val="0"/>
              <w:autoSpaceDN w:val="0"/>
              <w:adjustRightInd w:val="0"/>
              <w:spacing w:line="360" w:lineRule="auto"/>
              <w:jc w:val="center"/>
              <w:rPr>
                <w:rFonts w:ascii="Cambria" w:hAnsi="Cambria"/>
                <w:lang w:val="ro-RO"/>
              </w:rPr>
            </w:pPr>
            <w:r w:rsidRPr="00EA1BB2">
              <w:rPr>
                <w:rFonts w:ascii="Cambria" w:hAnsi="Cambria"/>
                <w:lang w:val="ro-RO"/>
              </w:rPr>
              <w:t>(µg/m</w:t>
            </w:r>
            <w:r w:rsidRPr="00EA1BB2">
              <w:rPr>
                <w:rFonts w:ascii="Cambria" w:hAnsi="Cambria"/>
                <w:bCs/>
                <w:vertAlign w:val="superscript"/>
                <w:lang w:val="ro-RO"/>
              </w:rPr>
              <w:t>3</w:t>
            </w:r>
            <w:r w:rsidRPr="00EA1BB2">
              <w:rPr>
                <w:rFonts w:ascii="Cambria" w:hAnsi="Cambria"/>
                <w:lang w:val="ro-RO"/>
              </w:rPr>
              <w:t>)</w:t>
            </w:r>
          </w:p>
        </w:tc>
        <w:tc>
          <w:tcPr>
            <w:tcW w:w="918" w:type="dxa"/>
            <w:vAlign w:val="center"/>
          </w:tcPr>
          <w:p w14:paraId="510E9A89" w14:textId="77777777" w:rsidR="003828B1" w:rsidRPr="00EA1BB2" w:rsidRDefault="003828B1" w:rsidP="003828B1">
            <w:pPr>
              <w:autoSpaceDE w:val="0"/>
              <w:autoSpaceDN w:val="0"/>
              <w:adjustRightInd w:val="0"/>
              <w:spacing w:line="360" w:lineRule="auto"/>
              <w:jc w:val="center"/>
              <w:rPr>
                <w:rFonts w:ascii="Cambria" w:hAnsi="Cambria"/>
                <w:lang w:val="ro-RO"/>
              </w:rPr>
            </w:pPr>
            <w:r w:rsidRPr="00EA1BB2">
              <w:rPr>
                <w:rFonts w:ascii="Cambria" w:hAnsi="Cambria"/>
                <w:lang w:val="ro-RO"/>
              </w:rPr>
              <w:t>zilnică</w:t>
            </w:r>
          </w:p>
        </w:tc>
        <w:tc>
          <w:tcPr>
            <w:tcW w:w="1108" w:type="dxa"/>
          </w:tcPr>
          <w:p w14:paraId="384B61B2" w14:textId="77777777" w:rsidR="003828B1" w:rsidRPr="00EA1BB2" w:rsidRDefault="003828B1" w:rsidP="003828B1">
            <w:pPr>
              <w:autoSpaceDE w:val="0"/>
              <w:autoSpaceDN w:val="0"/>
              <w:adjustRightInd w:val="0"/>
              <w:spacing w:line="360" w:lineRule="auto"/>
              <w:jc w:val="center"/>
              <w:rPr>
                <w:rFonts w:ascii="Cambria" w:hAnsi="Cambria"/>
                <w:lang w:val="ro-RO"/>
              </w:rPr>
            </w:pPr>
            <w:r w:rsidRPr="00EA1BB2">
              <w:rPr>
                <w:rFonts w:ascii="Cambria" w:hAnsi="Cambria"/>
                <w:lang w:val="ro-RO"/>
              </w:rPr>
              <w:t>22,412</w:t>
            </w:r>
          </w:p>
        </w:tc>
        <w:tc>
          <w:tcPr>
            <w:tcW w:w="1108" w:type="dxa"/>
          </w:tcPr>
          <w:p w14:paraId="3EEFC108" w14:textId="77777777" w:rsidR="003828B1" w:rsidRPr="00EA1BB2" w:rsidRDefault="003828B1" w:rsidP="003828B1">
            <w:pPr>
              <w:autoSpaceDE w:val="0"/>
              <w:autoSpaceDN w:val="0"/>
              <w:adjustRightInd w:val="0"/>
              <w:spacing w:line="360" w:lineRule="auto"/>
              <w:jc w:val="center"/>
              <w:rPr>
                <w:rFonts w:ascii="Cambria" w:hAnsi="Cambria"/>
                <w:lang w:val="ro-RO"/>
              </w:rPr>
            </w:pPr>
            <w:r w:rsidRPr="00EA1BB2">
              <w:rPr>
                <w:rFonts w:ascii="Cambria" w:hAnsi="Cambria"/>
                <w:lang w:val="ro-RO"/>
              </w:rPr>
              <w:t>22,320</w:t>
            </w:r>
          </w:p>
        </w:tc>
        <w:tc>
          <w:tcPr>
            <w:tcW w:w="1108" w:type="dxa"/>
          </w:tcPr>
          <w:p w14:paraId="0ECD21CE" w14:textId="77777777" w:rsidR="003828B1" w:rsidRPr="00EA1BB2" w:rsidRDefault="003828B1" w:rsidP="003828B1">
            <w:pPr>
              <w:autoSpaceDE w:val="0"/>
              <w:autoSpaceDN w:val="0"/>
              <w:adjustRightInd w:val="0"/>
              <w:spacing w:line="360" w:lineRule="auto"/>
              <w:jc w:val="center"/>
              <w:rPr>
                <w:rFonts w:ascii="Cambria" w:hAnsi="Cambria"/>
                <w:lang w:val="ro-RO"/>
              </w:rPr>
            </w:pPr>
            <w:r w:rsidRPr="00EA1BB2">
              <w:rPr>
                <w:rFonts w:ascii="Cambria" w:hAnsi="Cambria"/>
                <w:lang w:val="ro-RO"/>
              </w:rPr>
              <w:t>22,554</w:t>
            </w:r>
          </w:p>
        </w:tc>
        <w:tc>
          <w:tcPr>
            <w:tcW w:w="1108" w:type="dxa"/>
          </w:tcPr>
          <w:p w14:paraId="6E96A3C4" w14:textId="77777777" w:rsidR="003828B1" w:rsidRPr="00EA1BB2" w:rsidRDefault="003828B1" w:rsidP="003828B1">
            <w:pPr>
              <w:autoSpaceDE w:val="0"/>
              <w:autoSpaceDN w:val="0"/>
              <w:adjustRightInd w:val="0"/>
              <w:spacing w:line="360" w:lineRule="auto"/>
              <w:jc w:val="center"/>
              <w:rPr>
                <w:rFonts w:ascii="Cambria" w:hAnsi="Cambria"/>
                <w:lang w:val="ro-RO"/>
              </w:rPr>
            </w:pPr>
            <w:r w:rsidRPr="00EA1BB2">
              <w:rPr>
                <w:rFonts w:ascii="Cambria" w:hAnsi="Cambria"/>
                <w:lang w:val="ro-RO"/>
              </w:rPr>
              <w:t>22,413</w:t>
            </w:r>
          </w:p>
        </w:tc>
        <w:tc>
          <w:tcPr>
            <w:tcW w:w="1108" w:type="dxa"/>
          </w:tcPr>
          <w:p w14:paraId="24157E6E" w14:textId="77777777" w:rsidR="003828B1" w:rsidRPr="00EA1BB2" w:rsidRDefault="003828B1" w:rsidP="003828B1">
            <w:pPr>
              <w:autoSpaceDE w:val="0"/>
              <w:autoSpaceDN w:val="0"/>
              <w:adjustRightInd w:val="0"/>
              <w:spacing w:line="360" w:lineRule="auto"/>
              <w:jc w:val="center"/>
              <w:rPr>
                <w:rFonts w:ascii="Cambria" w:hAnsi="Cambria"/>
                <w:lang w:val="ro-RO"/>
              </w:rPr>
            </w:pPr>
            <w:r w:rsidRPr="00EA1BB2">
              <w:rPr>
                <w:rFonts w:ascii="Cambria" w:hAnsi="Cambria"/>
                <w:lang w:val="ro-RO"/>
              </w:rPr>
              <w:t>22,180</w:t>
            </w:r>
          </w:p>
        </w:tc>
        <w:tc>
          <w:tcPr>
            <w:tcW w:w="693" w:type="dxa"/>
            <w:vAlign w:val="center"/>
          </w:tcPr>
          <w:p w14:paraId="67A00EE9" w14:textId="77777777" w:rsidR="003828B1" w:rsidRPr="00EA1BB2" w:rsidRDefault="003828B1" w:rsidP="003828B1">
            <w:pPr>
              <w:autoSpaceDE w:val="0"/>
              <w:autoSpaceDN w:val="0"/>
              <w:adjustRightInd w:val="0"/>
              <w:spacing w:line="360" w:lineRule="auto"/>
              <w:jc w:val="center"/>
              <w:rPr>
                <w:rFonts w:ascii="Cambria" w:hAnsi="Cambria"/>
                <w:lang w:val="ro-RO"/>
              </w:rPr>
            </w:pPr>
            <w:r w:rsidRPr="00EA1BB2">
              <w:rPr>
                <w:rFonts w:ascii="Cambria" w:hAnsi="Cambria"/>
                <w:lang w:val="ro-RO"/>
              </w:rPr>
              <w:t>50</w:t>
            </w:r>
          </w:p>
        </w:tc>
        <w:tc>
          <w:tcPr>
            <w:tcW w:w="825" w:type="dxa"/>
            <w:vAlign w:val="center"/>
          </w:tcPr>
          <w:p w14:paraId="0268EF65" w14:textId="77777777" w:rsidR="003828B1" w:rsidRPr="00EA1BB2" w:rsidRDefault="003828B1" w:rsidP="003828B1">
            <w:pPr>
              <w:autoSpaceDE w:val="0"/>
              <w:autoSpaceDN w:val="0"/>
              <w:adjustRightInd w:val="0"/>
              <w:spacing w:line="360" w:lineRule="auto"/>
              <w:jc w:val="center"/>
              <w:rPr>
                <w:rFonts w:ascii="Cambria" w:hAnsi="Cambria"/>
                <w:lang w:val="ro-RO"/>
              </w:rPr>
            </w:pPr>
            <w:r w:rsidRPr="00EA1BB2">
              <w:rPr>
                <w:rFonts w:ascii="Cambria" w:hAnsi="Cambria"/>
                <w:lang w:val="ro-RO"/>
              </w:rPr>
              <w:t>35</w:t>
            </w:r>
          </w:p>
        </w:tc>
        <w:tc>
          <w:tcPr>
            <w:tcW w:w="279" w:type="dxa"/>
            <w:vAlign w:val="center"/>
          </w:tcPr>
          <w:p w14:paraId="0EB494A4" w14:textId="77777777" w:rsidR="003828B1" w:rsidRPr="00EA1BB2" w:rsidRDefault="003828B1" w:rsidP="003828B1">
            <w:pPr>
              <w:autoSpaceDE w:val="0"/>
              <w:autoSpaceDN w:val="0"/>
              <w:adjustRightInd w:val="0"/>
              <w:spacing w:line="360" w:lineRule="auto"/>
              <w:jc w:val="center"/>
              <w:rPr>
                <w:rFonts w:ascii="Cambria" w:hAnsi="Cambria"/>
                <w:lang w:val="ro-RO"/>
              </w:rPr>
            </w:pPr>
            <w:r w:rsidRPr="00EA1BB2">
              <w:rPr>
                <w:rFonts w:ascii="Cambria" w:hAnsi="Cambria"/>
                <w:lang w:val="ro-RO"/>
              </w:rPr>
              <w:t>28</w:t>
            </w:r>
          </w:p>
        </w:tc>
      </w:tr>
      <w:tr w:rsidR="00886B3D" w:rsidRPr="00EA1BB2" w14:paraId="18826A3E" w14:textId="77777777" w:rsidTr="007A1D23">
        <w:trPr>
          <w:jc w:val="center"/>
        </w:trPr>
        <w:tc>
          <w:tcPr>
            <w:tcW w:w="853" w:type="dxa"/>
            <w:vMerge w:val="restart"/>
            <w:vAlign w:val="center"/>
          </w:tcPr>
          <w:p w14:paraId="4949DF99"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SO</w:t>
            </w:r>
            <w:r w:rsidRPr="00EA1BB2">
              <w:rPr>
                <w:rFonts w:ascii="Cambria" w:hAnsi="Cambria"/>
                <w:vertAlign w:val="subscript"/>
                <w:lang w:val="ro-RO"/>
              </w:rPr>
              <w:t>2</w:t>
            </w:r>
          </w:p>
        </w:tc>
        <w:tc>
          <w:tcPr>
            <w:tcW w:w="1093" w:type="dxa"/>
            <w:vMerge w:val="restart"/>
            <w:vAlign w:val="center"/>
          </w:tcPr>
          <w:p w14:paraId="3213C22E"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(µg/m</w:t>
            </w:r>
            <w:r w:rsidRPr="00EA1BB2">
              <w:rPr>
                <w:rFonts w:ascii="Cambria" w:hAnsi="Cambria"/>
                <w:bCs/>
                <w:vertAlign w:val="superscript"/>
                <w:lang w:val="ro-RO"/>
              </w:rPr>
              <w:t>3</w:t>
            </w:r>
            <w:r w:rsidRPr="00EA1BB2">
              <w:rPr>
                <w:rFonts w:ascii="Cambria" w:hAnsi="Cambria"/>
                <w:lang w:val="ro-RO"/>
              </w:rPr>
              <w:t>)</w:t>
            </w:r>
          </w:p>
        </w:tc>
        <w:tc>
          <w:tcPr>
            <w:tcW w:w="918" w:type="dxa"/>
            <w:vAlign w:val="center"/>
          </w:tcPr>
          <w:p w14:paraId="3B0D3122"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orară</w:t>
            </w:r>
          </w:p>
        </w:tc>
        <w:tc>
          <w:tcPr>
            <w:tcW w:w="1108" w:type="dxa"/>
          </w:tcPr>
          <w:p w14:paraId="0422B7B4"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3,198</w:t>
            </w:r>
          </w:p>
        </w:tc>
        <w:tc>
          <w:tcPr>
            <w:tcW w:w="1108" w:type="dxa"/>
          </w:tcPr>
          <w:p w14:paraId="42EE1968"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3,136</w:t>
            </w:r>
          </w:p>
        </w:tc>
        <w:tc>
          <w:tcPr>
            <w:tcW w:w="1108" w:type="dxa"/>
          </w:tcPr>
          <w:p w14:paraId="43517A48"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3,664</w:t>
            </w:r>
          </w:p>
        </w:tc>
        <w:tc>
          <w:tcPr>
            <w:tcW w:w="1108" w:type="dxa"/>
          </w:tcPr>
          <w:p w14:paraId="27CCEB48"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3,321</w:t>
            </w:r>
          </w:p>
        </w:tc>
        <w:tc>
          <w:tcPr>
            <w:tcW w:w="1108" w:type="dxa"/>
          </w:tcPr>
          <w:p w14:paraId="7B6AFBCD"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3,678</w:t>
            </w:r>
          </w:p>
        </w:tc>
        <w:tc>
          <w:tcPr>
            <w:tcW w:w="693" w:type="dxa"/>
            <w:vAlign w:val="center"/>
          </w:tcPr>
          <w:p w14:paraId="524ACEB9"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350</w:t>
            </w:r>
          </w:p>
        </w:tc>
        <w:tc>
          <w:tcPr>
            <w:tcW w:w="825" w:type="dxa"/>
            <w:vAlign w:val="center"/>
          </w:tcPr>
          <w:p w14:paraId="1AE974BD" w14:textId="77777777" w:rsidR="00886B3D" w:rsidRPr="00EA1BB2" w:rsidRDefault="00886B3D" w:rsidP="00886B3D">
            <w:pPr>
              <w:autoSpaceDE w:val="0"/>
              <w:autoSpaceDN w:val="0"/>
              <w:adjustRightInd w:val="0"/>
              <w:spacing w:line="360" w:lineRule="auto"/>
              <w:jc w:val="center"/>
              <w:rPr>
                <w:rFonts w:ascii="Cambria" w:hAnsi="Cambria"/>
                <w:lang w:val="ro-RO"/>
              </w:rPr>
            </w:pPr>
          </w:p>
        </w:tc>
        <w:tc>
          <w:tcPr>
            <w:tcW w:w="279" w:type="dxa"/>
            <w:vAlign w:val="center"/>
          </w:tcPr>
          <w:p w14:paraId="09302EDC" w14:textId="77777777" w:rsidR="00886B3D" w:rsidRPr="00EA1BB2" w:rsidRDefault="00886B3D" w:rsidP="00886B3D">
            <w:pPr>
              <w:autoSpaceDE w:val="0"/>
              <w:autoSpaceDN w:val="0"/>
              <w:adjustRightInd w:val="0"/>
              <w:spacing w:line="360" w:lineRule="auto"/>
              <w:jc w:val="center"/>
              <w:rPr>
                <w:rFonts w:ascii="Cambria" w:hAnsi="Cambria"/>
                <w:lang w:val="ro-RO"/>
              </w:rPr>
            </w:pPr>
          </w:p>
        </w:tc>
      </w:tr>
      <w:tr w:rsidR="00886B3D" w:rsidRPr="00EA1BB2" w14:paraId="3214785A" w14:textId="77777777" w:rsidTr="007A1D23">
        <w:trPr>
          <w:jc w:val="center"/>
        </w:trPr>
        <w:tc>
          <w:tcPr>
            <w:tcW w:w="853" w:type="dxa"/>
            <w:vMerge/>
            <w:vAlign w:val="center"/>
          </w:tcPr>
          <w:p w14:paraId="5E328877" w14:textId="77777777" w:rsidR="00886B3D" w:rsidRPr="00EA1BB2" w:rsidRDefault="00886B3D" w:rsidP="00886B3D">
            <w:pPr>
              <w:autoSpaceDE w:val="0"/>
              <w:autoSpaceDN w:val="0"/>
              <w:adjustRightInd w:val="0"/>
              <w:spacing w:line="360" w:lineRule="auto"/>
              <w:jc w:val="center"/>
              <w:rPr>
                <w:rFonts w:ascii="Cambria" w:hAnsi="Cambria"/>
                <w:lang w:val="ro-RO"/>
              </w:rPr>
            </w:pPr>
          </w:p>
        </w:tc>
        <w:tc>
          <w:tcPr>
            <w:tcW w:w="1093" w:type="dxa"/>
            <w:vMerge/>
            <w:vAlign w:val="center"/>
          </w:tcPr>
          <w:p w14:paraId="53AA230F" w14:textId="77777777" w:rsidR="00886B3D" w:rsidRPr="00EA1BB2" w:rsidRDefault="00886B3D" w:rsidP="00886B3D">
            <w:pPr>
              <w:autoSpaceDE w:val="0"/>
              <w:autoSpaceDN w:val="0"/>
              <w:adjustRightInd w:val="0"/>
              <w:spacing w:line="360" w:lineRule="auto"/>
              <w:jc w:val="center"/>
              <w:rPr>
                <w:rFonts w:ascii="Cambria" w:hAnsi="Cambria"/>
                <w:lang w:val="ro-RO"/>
              </w:rPr>
            </w:pPr>
          </w:p>
        </w:tc>
        <w:tc>
          <w:tcPr>
            <w:tcW w:w="918" w:type="dxa"/>
            <w:vAlign w:val="center"/>
          </w:tcPr>
          <w:p w14:paraId="410FCA85"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zilnică</w:t>
            </w:r>
          </w:p>
        </w:tc>
        <w:tc>
          <w:tcPr>
            <w:tcW w:w="1108" w:type="dxa"/>
          </w:tcPr>
          <w:p w14:paraId="15D92284"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3,113</w:t>
            </w:r>
          </w:p>
        </w:tc>
        <w:tc>
          <w:tcPr>
            <w:tcW w:w="1108" w:type="dxa"/>
          </w:tcPr>
          <w:p w14:paraId="460DDF65"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3,082</w:t>
            </w:r>
          </w:p>
        </w:tc>
        <w:tc>
          <w:tcPr>
            <w:tcW w:w="1108" w:type="dxa"/>
          </w:tcPr>
          <w:p w14:paraId="1D3FFD6F"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3,655</w:t>
            </w:r>
          </w:p>
        </w:tc>
        <w:tc>
          <w:tcPr>
            <w:tcW w:w="1108" w:type="dxa"/>
          </w:tcPr>
          <w:p w14:paraId="3AEA59B3"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3,220</w:t>
            </w:r>
          </w:p>
        </w:tc>
        <w:tc>
          <w:tcPr>
            <w:tcW w:w="1108" w:type="dxa"/>
          </w:tcPr>
          <w:p w14:paraId="4B8001B7"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3,663</w:t>
            </w:r>
          </w:p>
        </w:tc>
        <w:tc>
          <w:tcPr>
            <w:tcW w:w="693" w:type="dxa"/>
            <w:vAlign w:val="center"/>
          </w:tcPr>
          <w:p w14:paraId="08CEB395"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125</w:t>
            </w:r>
          </w:p>
        </w:tc>
        <w:tc>
          <w:tcPr>
            <w:tcW w:w="825" w:type="dxa"/>
            <w:vAlign w:val="center"/>
          </w:tcPr>
          <w:p w14:paraId="7CCC1665"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75</w:t>
            </w:r>
          </w:p>
        </w:tc>
        <w:tc>
          <w:tcPr>
            <w:tcW w:w="279" w:type="dxa"/>
            <w:vAlign w:val="center"/>
          </w:tcPr>
          <w:p w14:paraId="3C841488"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50</w:t>
            </w:r>
          </w:p>
        </w:tc>
      </w:tr>
      <w:tr w:rsidR="00886B3D" w:rsidRPr="00EA1BB2" w14:paraId="6A58B872" w14:textId="77777777" w:rsidTr="007A1D23">
        <w:trPr>
          <w:jc w:val="center"/>
        </w:trPr>
        <w:tc>
          <w:tcPr>
            <w:tcW w:w="853" w:type="dxa"/>
            <w:vAlign w:val="center"/>
          </w:tcPr>
          <w:p w14:paraId="5659F175"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CO</w:t>
            </w:r>
          </w:p>
        </w:tc>
        <w:tc>
          <w:tcPr>
            <w:tcW w:w="1093" w:type="dxa"/>
            <w:vAlign w:val="center"/>
          </w:tcPr>
          <w:p w14:paraId="5390EA66"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(mg/m</w:t>
            </w:r>
            <w:r w:rsidRPr="00EA1BB2">
              <w:rPr>
                <w:rFonts w:ascii="Cambria" w:hAnsi="Cambria"/>
                <w:bCs/>
                <w:vertAlign w:val="superscript"/>
                <w:lang w:val="ro-RO"/>
              </w:rPr>
              <w:t>3</w:t>
            </w:r>
            <w:r w:rsidRPr="00EA1BB2">
              <w:rPr>
                <w:rFonts w:ascii="Cambria" w:hAnsi="Cambria"/>
                <w:lang w:val="ro-RO"/>
              </w:rPr>
              <w:t>)</w:t>
            </w:r>
          </w:p>
        </w:tc>
        <w:tc>
          <w:tcPr>
            <w:tcW w:w="918" w:type="dxa"/>
            <w:vAlign w:val="center"/>
          </w:tcPr>
          <w:p w14:paraId="797D1D2C"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8 ore</w:t>
            </w:r>
          </w:p>
        </w:tc>
        <w:tc>
          <w:tcPr>
            <w:tcW w:w="1108" w:type="dxa"/>
          </w:tcPr>
          <w:p w14:paraId="4FD5242F"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0,333</w:t>
            </w:r>
          </w:p>
        </w:tc>
        <w:tc>
          <w:tcPr>
            <w:tcW w:w="1108" w:type="dxa"/>
          </w:tcPr>
          <w:p w14:paraId="3ED9FB03"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0,332</w:t>
            </w:r>
          </w:p>
        </w:tc>
        <w:tc>
          <w:tcPr>
            <w:tcW w:w="1108" w:type="dxa"/>
          </w:tcPr>
          <w:p w14:paraId="4B7F770F"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0,641</w:t>
            </w:r>
          </w:p>
        </w:tc>
        <w:tc>
          <w:tcPr>
            <w:tcW w:w="1108" w:type="dxa"/>
          </w:tcPr>
          <w:p w14:paraId="74075389"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0,420</w:t>
            </w:r>
          </w:p>
        </w:tc>
        <w:tc>
          <w:tcPr>
            <w:tcW w:w="1108" w:type="dxa"/>
          </w:tcPr>
          <w:p w14:paraId="581CADD9"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0,643</w:t>
            </w:r>
          </w:p>
        </w:tc>
        <w:tc>
          <w:tcPr>
            <w:tcW w:w="693" w:type="dxa"/>
            <w:vAlign w:val="center"/>
          </w:tcPr>
          <w:p w14:paraId="5F463A11"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10</w:t>
            </w:r>
          </w:p>
        </w:tc>
        <w:tc>
          <w:tcPr>
            <w:tcW w:w="825" w:type="dxa"/>
            <w:vAlign w:val="center"/>
          </w:tcPr>
          <w:p w14:paraId="242E8F05"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7</w:t>
            </w:r>
          </w:p>
        </w:tc>
        <w:tc>
          <w:tcPr>
            <w:tcW w:w="279" w:type="dxa"/>
            <w:vAlign w:val="center"/>
          </w:tcPr>
          <w:p w14:paraId="29317B6C" w14:textId="77777777" w:rsidR="00886B3D" w:rsidRPr="00EA1BB2" w:rsidRDefault="00886B3D" w:rsidP="00886B3D">
            <w:pPr>
              <w:autoSpaceDE w:val="0"/>
              <w:autoSpaceDN w:val="0"/>
              <w:adjustRightInd w:val="0"/>
              <w:spacing w:line="360" w:lineRule="auto"/>
              <w:jc w:val="center"/>
              <w:rPr>
                <w:rFonts w:ascii="Cambria" w:hAnsi="Cambria"/>
                <w:lang w:val="ro-RO"/>
              </w:rPr>
            </w:pPr>
            <w:r w:rsidRPr="00EA1BB2">
              <w:rPr>
                <w:rFonts w:ascii="Cambria" w:hAnsi="Cambria"/>
                <w:lang w:val="ro-RO"/>
              </w:rPr>
              <w:t>5</w:t>
            </w:r>
          </w:p>
        </w:tc>
      </w:tr>
    </w:tbl>
    <w:p w14:paraId="68A8E1ED" w14:textId="77777777" w:rsidR="0086645C" w:rsidRPr="00EA1BB2" w:rsidRDefault="0086645C" w:rsidP="00C039ED">
      <w:pPr>
        <w:autoSpaceDE w:val="0"/>
        <w:autoSpaceDN w:val="0"/>
        <w:adjustRightInd w:val="0"/>
        <w:spacing w:line="360" w:lineRule="auto"/>
        <w:ind w:firstLine="708"/>
        <w:jc w:val="both"/>
        <w:rPr>
          <w:rFonts w:ascii="Cambria" w:hAnsi="Cambria"/>
          <w:sz w:val="24"/>
          <w:szCs w:val="24"/>
        </w:rPr>
      </w:pPr>
    </w:p>
    <w:p w14:paraId="31F02C3F" w14:textId="77777777" w:rsidR="00AF77F7" w:rsidRPr="00EA1BB2" w:rsidRDefault="00AF77F7" w:rsidP="00AF77F7">
      <w:pPr>
        <w:autoSpaceDE w:val="0"/>
        <w:autoSpaceDN w:val="0"/>
        <w:adjustRightInd w:val="0"/>
        <w:spacing w:line="360" w:lineRule="auto"/>
        <w:ind w:firstLine="720"/>
        <w:jc w:val="both"/>
        <w:rPr>
          <w:rFonts w:ascii="Cambria" w:hAnsi="Cambria"/>
          <w:b/>
          <w:sz w:val="24"/>
          <w:szCs w:val="24"/>
        </w:rPr>
      </w:pPr>
      <w:r w:rsidRPr="00EA1BB2">
        <w:rPr>
          <w:rFonts w:ascii="Cambria" w:hAnsi="Cambria"/>
          <w:b/>
          <w:sz w:val="24"/>
          <w:szCs w:val="24"/>
        </w:rPr>
        <w:t>h) măsurile identificate, cu precizarea pentru fiecare dintre acestea a denumirii, descrierii, calendarului de implementare, a scării spa</w:t>
      </w:r>
      <w:r w:rsidR="00054880" w:rsidRPr="00EA1BB2">
        <w:rPr>
          <w:rFonts w:ascii="Cambria" w:hAnsi="Cambria"/>
          <w:b/>
          <w:sz w:val="24"/>
          <w:szCs w:val="24"/>
        </w:rPr>
        <w:t>ț</w:t>
      </w:r>
      <w:r w:rsidRPr="00EA1BB2">
        <w:rPr>
          <w:rFonts w:ascii="Cambria" w:hAnsi="Cambria"/>
          <w:b/>
          <w:sz w:val="24"/>
          <w:szCs w:val="24"/>
        </w:rPr>
        <w:t xml:space="preserve">iale, a costurilor estimate pentru punerea în aplicare </w:t>
      </w:r>
      <w:r w:rsidR="00054880" w:rsidRPr="00EA1BB2">
        <w:rPr>
          <w:rFonts w:ascii="Cambria" w:hAnsi="Cambria"/>
          <w:b/>
          <w:sz w:val="24"/>
          <w:szCs w:val="24"/>
        </w:rPr>
        <w:t>ș</w:t>
      </w:r>
      <w:r w:rsidRPr="00EA1BB2">
        <w:rPr>
          <w:rFonts w:ascii="Cambria" w:hAnsi="Cambria"/>
          <w:b/>
          <w:sz w:val="24"/>
          <w:szCs w:val="24"/>
        </w:rPr>
        <w:t>i a surselor poten</w:t>
      </w:r>
      <w:r w:rsidR="00054880" w:rsidRPr="00EA1BB2">
        <w:rPr>
          <w:rFonts w:ascii="Cambria" w:hAnsi="Cambria"/>
          <w:b/>
          <w:sz w:val="24"/>
          <w:szCs w:val="24"/>
        </w:rPr>
        <w:t>ț</w:t>
      </w:r>
      <w:r w:rsidRPr="00EA1BB2">
        <w:rPr>
          <w:rFonts w:ascii="Cambria" w:hAnsi="Cambria"/>
          <w:b/>
          <w:sz w:val="24"/>
          <w:szCs w:val="24"/>
        </w:rPr>
        <w:t>iale de finan</w:t>
      </w:r>
      <w:r w:rsidR="00054880" w:rsidRPr="00EA1BB2">
        <w:rPr>
          <w:rFonts w:ascii="Cambria" w:hAnsi="Cambria"/>
          <w:b/>
          <w:sz w:val="24"/>
          <w:szCs w:val="24"/>
        </w:rPr>
        <w:t>ț</w:t>
      </w:r>
      <w:r w:rsidRPr="00EA1BB2">
        <w:rPr>
          <w:rFonts w:ascii="Cambria" w:hAnsi="Cambria"/>
          <w:b/>
          <w:sz w:val="24"/>
          <w:szCs w:val="24"/>
        </w:rPr>
        <w:t>are, a indicatorului/indicatorilor pentru monitorizarea progreselor.</w:t>
      </w:r>
    </w:p>
    <w:p w14:paraId="65DE3CFC" w14:textId="7C30142E" w:rsidR="00C039ED" w:rsidRPr="00EA1BB2" w:rsidRDefault="00C039ED" w:rsidP="00C039ED">
      <w:pPr>
        <w:spacing w:line="360" w:lineRule="auto"/>
        <w:ind w:firstLine="709"/>
        <w:jc w:val="both"/>
        <w:rPr>
          <w:rFonts w:ascii="Cambria" w:eastAsia="Calibri" w:hAnsi="Cambria" w:cs="Times New Roman"/>
          <w:sz w:val="24"/>
          <w:szCs w:val="24"/>
        </w:rPr>
      </w:pPr>
      <w:r w:rsidRPr="00EA1BB2">
        <w:rPr>
          <w:rFonts w:ascii="Cambria" w:eastAsia="Calibri" w:hAnsi="Cambria" w:cs="Times New Roman"/>
          <w:sz w:val="24"/>
          <w:szCs w:val="24"/>
        </w:rPr>
        <w:t xml:space="preserve">În cadrul scenariului A pentru menținerea calității aerului în județul Brăila sunt </w:t>
      </w:r>
      <w:r w:rsidR="00CD2A36" w:rsidRPr="00EA1BB2">
        <w:rPr>
          <w:rFonts w:ascii="Cambria" w:eastAsia="Calibri" w:hAnsi="Cambria" w:cs="Times New Roman"/>
          <w:sz w:val="24"/>
          <w:szCs w:val="24"/>
        </w:rPr>
        <w:t xml:space="preserve">luate în considerare </w:t>
      </w:r>
      <w:r w:rsidRPr="00EA1BB2">
        <w:rPr>
          <w:rFonts w:ascii="Cambria" w:eastAsia="Calibri" w:hAnsi="Cambria" w:cs="Times New Roman"/>
          <w:sz w:val="24"/>
          <w:szCs w:val="24"/>
        </w:rPr>
        <w:t>următoarele măsuri. Detaliile acestor măsuri sunt prezentate în capitolul 6.</w:t>
      </w:r>
    </w:p>
    <w:p w14:paraId="19D6700F" w14:textId="77777777" w:rsidR="00A133F1" w:rsidRPr="00EA1BB2" w:rsidRDefault="00A133F1" w:rsidP="00C039ED">
      <w:pPr>
        <w:spacing w:line="360" w:lineRule="auto"/>
        <w:ind w:firstLine="709"/>
        <w:jc w:val="both"/>
        <w:rPr>
          <w:rFonts w:ascii="Cambria" w:eastAsia="Calibri" w:hAnsi="Cambria" w:cs="Times New Roman"/>
          <w:sz w:val="24"/>
          <w:szCs w:val="24"/>
        </w:rPr>
      </w:pPr>
    </w:p>
    <w:p w14:paraId="5295A120" w14:textId="6048471D" w:rsidR="008567FE" w:rsidRPr="00EA1BB2" w:rsidRDefault="008567FE" w:rsidP="008567FE">
      <w:pPr>
        <w:pStyle w:val="Caption"/>
        <w:keepNext/>
        <w:spacing w:after="0" w:line="360" w:lineRule="auto"/>
        <w:ind w:firstLine="708"/>
        <w:rPr>
          <w:rFonts w:ascii="Cambria" w:hAnsi="Cambria"/>
        </w:rPr>
      </w:pPr>
      <w:bookmarkStart w:id="262" w:name="_Toc520368222"/>
      <w:bookmarkStart w:id="263" w:name="_Toc526889823"/>
      <w:r w:rsidRPr="00EA1BB2">
        <w:rPr>
          <w:rFonts w:ascii="Cambria" w:hAnsi="Cambria"/>
        </w:rPr>
        <w:t xml:space="preserve">Tabelul nr. </w:t>
      </w:r>
      <w:r w:rsidR="000A2FE7" w:rsidRPr="00EA1BB2">
        <w:rPr>
          <w:rFonts w:ascii="Cambria" w:hAnsi="Cambria"/>
        </w:rPr>
        <w:fldChar w:fldCharType="begin"/>
      </w:r>
      <w:r w:rsidR="000A2FE7" w:rsidRPr="00EA1BB2">
        <w:rPr>
          <w:rFonts w:ascii="Cambria" w:hAnsi="Cambria"/>
        </w:rPr>
        <w:instrText xml:space="preserve"> STYLEREF 1 \s </w:instrText>
      </w:r>
      <w:r w:rsidR="000A2FE7" w:rsidRPr="00EA1BB2">
        <w:rPr>
          <w:rFonts w:ascii="Cambria" w:hAnsi="Cambria"/>
        </w:rPr>
        <w:fldChar w:fldCharType="separate"/>
      </w:r>
      <w:r w:rsidR="00567555">
        <w:rPr>
          <w:rFonts w:ascii="Cambria" w:hAnsi="Cambria"/>
          <w:noProof/>
        </w:rPr>
        <w:t>5</w:t>
      </w:r>
      <w:r w:rsidR="000A2FE7" w:rsidRPr="00EA1BB2">
        <w:rPr>
          <w:rFonts w:ascii="Cambria" w:hAnsi="Cambria"/>
        </w:rPr>
        <w:fldChar w:fldCharType="end"/>
      </w:r>
      <w:r w:rsidR="000A2FE7" w:rsidRPr="00EA1BB2">
        <w:rPr>
          <w:rFonts w:ascii="Cambria" w:hAnsi="Cambria"/>
        </w:rPr>
        <w:noBreakHyphen/>
      </w:r>
      <w:r w:rsidR="000A2FE7" w:rsidRPr="00EA1BB2">
        <w:rPr>
          <w:rFonts w:ascii="Cambria" w:hAnsi="Cambria"/>
        </w:rPr>
        <w:fldChar w:fldCharType="begin"/>
      </w:r>
      <w:r w:rsidR="000A2FE7" w:rsidRPr="00EA1BB2">
        <w:rPr>
          <w:rFonts w:ascii="Cambria" w:hAnsi="Cambria"/>
        </w:rPr>
        <w:instrText xml:space="preserve"> SEQ Tabelul_nr. \* ARABIC \s 1 </w:instrText>
      </w:r>
      <w:r w:rsidR="000A2FE7" w:rsidRPr="00EA1BB2">
        <w:rPr>
          <w:rFonts w:ascii="Cambria" w:hAnsi="Cambria"/>
        </w:rPr>
        <w:fldChar w:fldCharType="separate"/>
      </w:r>
      <w:r w:rsidR="00567555">
        <w:rPr>
          <w:rFonts w:ascii="Cambria" w:hAnsi="Cambria"/>
          <w:noProof/>
        </w:rPr>
        <w:t>6</w:t>
      </w:r>
      <w:r w:rsidR="000A2FE7" w:rsidRPr="00EA1BB2">
        <w:rPr>
          <w:rFonts w:ascii="Cambria" w:hAnsi="Cambria"/>
        </w:rPr>
        <w:fldChar w:fldCharType="end"/>
      </w:r>
      <w:r w:rsidRPr="00EA1BB2">
        <w:rPr>
          <w:rFonts w:ascii="Cambria" w:hAnsi="Cambria"/>
        </w:rPr>
        <w:t xml:space="preserve"> - Lista măsurilor din cadrul scenariului </w:t>
      </w:r>
      <w:bookmarkEnd w:id="262"/>
      <w:r w:rsidR="00472EB8" w:rsidRPr="00EA1BB2">
        <w:rPr>
          <w:rFonts w:ascii="Cambria" w:hAnsi="Cambria"/>
        </w:rPr>
        <w:t>A</w:t>
      </w:r>
      <w:bookmarkEnd w:id="263"/>
    </w:p>
    <w:tbl>
      <w:tblPr>
        <w:tblW w:w="89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7980"/>
      </w:tblGrid>
      <w:tr w:rsidR="008567FE" w:rsidRPr="00EA1BB2" w14:paraId="70920D5C" w14:textId="77777777" w:rsidTr="008567FE">
        <w:trPr>
          <w:trHeight w:val="290"/>
        </w:trPr>
        <w:tc>
          <w:tcPr>
            <w:tcW w:w="960" w:type="dxa"/>
            <w:shd w:val="clear" w:color="auto" w:fill="BDD6EE" w:themeFill="accent1" w:themeFillTint="66"/>
            <w:noWrap/>
            <w:hideMark/>
          </w:tcPr>
          <w:p w14:paraId="515332DF" w14:textId="77777777" w:rsidR="008567FE" w:rsidRPr="00EA1BB2" w:rsidRDefault="008567FE" w:rsidP="00EC4138">
            <w:pPr>
              <w:spacing w:line="360" w:lineRule="auto"/>
              <w:jc w:val="center"/>
              <w:rPr>
                <w:rFonts w:ascii="Cambria" w:eastAsia="Times New Roman" w:hAnsi="Cambria" w:cs="Calibri"/>
                <w:b/>
                <w:color w:val="000000"/>
                <w:sz w:val="24"/>
              </w:rPr>
            </w:pPr>
            <w:r w:rsidRPr="00EA1BB2">
              <w:rPr>
                <w:rFonts w:ascii="Cambria" w:eastAsia="Times New Roman" w:hAnsi="Cambria" w:cs="Calibri"/>
                <w:b/>
                <w:color w:val="000000"/>
                <w:sz w:val="24"/>
              </w:rPr>
              <w:t>Cod</w:t>
            </w:r>
          </w:p>
        </w:tc>
        <w:tc>
          <w:tcPr>
            <w:tcW w:w="7980" w:type="dxa"/>
            <w:shd w:val="clear" w:color="auto" w:fill="BDD6EE" w:themeFill="accent1" w:themeFillTint="66"/>
            <w:noWrap/>
            <w:hideMark/>
          </w:tcPr>
          <w:p w14:paraId="7FD38494" w14:textId="77777777" w:rsidR="008567FE" w:rsidRPr="00EA1BB2" w:rsidRDefault="008567FE" w:rsidP="00EC4138">
            <w:pPr>
              <w:spacing w:line="360" w:lineRule="auto"/>
              <w:jc w:val="center"/>
              <w:rPr>
                <w:rFonts w:ascii="Cambria" w:eastAsia="Times New Roman" w:hAnsi="Cambria" w:cs="Calibri"/>
                <w:b/>
                <w:color w:val="000000"/>
                <w:sz w:val="24"/>
              </w:rPr>
            </w:pPr>
            <w:r w:rsidRPr="00EA1BB2">
              <w:rPr>
                <w:rFonts w:ascii="Cambria" w:eastAsia="Times New Roman" w:hAnsi="Cambria" w:cs="Calibri"/>
                <w:b/>
                <w:color w:val="000000"/>
                <w:sz w:val="24"/>
              </w:rPr>
              <w:t>Măsuri</w:t>
            </w:r>
          </w:p>
        </w:tc>
      </w:tr>
      <w:tr w:rsidR="008567FE" w:rsidRPr="00EA1BB2" w14:paraId="48025D8E" w14:textId="77777777" w:rsidTr="00EC4138">
        <w:trPr>
          <w:trHeight w:val="290"/>
        </w:trPr>
        <w:tc>
          <w:tcPr>
            <w:tcW w:w="960" w:type="dxa"/>
            <w:shd w:val="clear" w:color="auto" w:fill="auto"/>
            <w:noWrap/>
          </w:tcPr>
          <w:p w14:paraId="2E177C55" w14:textId="77777777" w:rsidR="008567FE" w:rsidRPr="00EA1BB2" w:rsidRDefault="008567FE" w:rsidP="008567FE">
            <w:pPr>
              <w:spacing w:line="360" w:lineRule="auto"/>
              <w:rPr>
                <w:rFonts w:ascii="Cambria" w:eastAsia="Times New Roman" w:hAnsi="Cambria" w:cs="Calibri"/>
                <w:color w:val="000000"/>
                <w:sz w:val="24"/>
              </w:rPr>
            </w:pPr>
            <w:r w:rsidRPr="00EA1BB2">
              <w:rPr>
                <w:rFonts w:ascii="Cambria" w:hAnsi="Cambria"/>
                <w:sz w:val="24"/>
                <w:szCs w:val="20"/>
              </w:rPr>
              <w:t>M.2.2.</w:t>
            </w:r>
          </w:p>
        </w:tc>
        <w:tc>
          <w:tcPr>
            <w:tcW w:w="7980" w:type="dxa"/>
            <w:shd w:val="clear" w:color="auto" w:fill="auto"/>
            <w:noWrap/>
          </w:tcPr>
          <w:p w14:paraId="560990BC" w14:textId="77777777" w:rsidR="008567FE" w:rsidRPr="00EA1BB2" w:rsidRDefault="008567FE" w:rsidP="008567FE">
            <w:pPr>
              <w:spacing w:line="360" w:lineRule="auto"/>
              <w:rPr>
                <w:rFonts w:ascii="Cambria" w:eastAsia="Times New Roman" w:hAnsi="Cambria" w:cs="Calibri"/>
                <w:color w:val="000000"/>
                <w:sz w:val="24"/>
              </w:rPr>
            </w:pPr>
            <w:r w:rsidRPr="00EA1BB2">
              <w:rPr>
                <w:rFonts w:ascii="Cambria" w:eastAsia="Times New Roman" w:hAnsi="Cambria" w:cs="Calibri"/>
                <w:color w:val="000000"/>
                <w:sz w:val="24"/>
                <w:szCs w:val="20"/>
              </w:rPr>
              <w:t>Crearea de perdele forestiere care să minimizeze impactul negativ al transportului, cf. programului național de înființare perdele forestiere</w:t>
            </w:r>
          </w:p>
        </w:tc>
      </w:tr>
      <w:tr w:rsidR="008567FE" w:rsidRPr="00EA1BB2" w14:paraId="7AE0465B" w14:textId="77777777" w:rsidTr="00EC4138">
        <w:trPr>
          <w:trHeight w:val="290"/>
        </w:trPr>
        <w:tc>
          <w:tcPr>
            <w:tcW w:w="960" w:type="dxa"/>
            <w:shd w:val="clear" w:color="auto" w:fill="auto"/>
            <w:noWrap/>
          </w:tcPr>
          <w:p w14:paraId="1DCBE196" w14:textId="77777777" w:rsidR="008567FE" w:rsidRPr="00EA1BB2" w:rsidRDefault="008567FE" w:rsidP="008567FE">
            <w:pPr>
              <w:spacing w:line="360" w:lineRule="auto"/>
              <w:rPr>
                <w:rFonts w:ascii="Cambria" w:eastAsia="Times New Roman" w:hAnsi="Cambria" w:cs="Calibri"/>
                <w:color w:val="000000"/>
                <w:sz w:val="24"/>
              </w:rPr>
            </w:pPr>
            <w:r w:rsidRPr="00EA1BB2">
              <w:rPr>
                <w:rFonts w:ascii="Cambria" w:hAnsi="Cambria"/>
                <w:sz w:val="24"/>
                <w:szCs w:val="20"/>
              </w:rPr>
              <w:t xml:space="preserve">M.2.3. </w:t>
            </w:r>
          </w:p>
        </w:tc>
        <w:tc>
          <w:tcPr>
            <w:tcW w:w="7980" w:type="dxa"/>
            <w:shd w:val="clear" w:color="auto" w:fill="auto"/>
            <w:noWrap/>
          </w:tcPr>
          <w:p w14:paraId="3199F888" w14:textId="77777777" w:rsidR="008567FE" w:rsidRPr="00EA1BB2" w:rsidRDefault="008567FE" w:rsidP="008567FE">
            <w:pPr>
              <w:spacing w:line="360" w:lineRule="auto"/>
              <w:rPr>
                <w:rFonts w:ascii="Cambria" w:eastAsia="Times New Roman" w:hAnsi="Cambria" w:cs="Calibri"/>
                <w:color w:val="000000"/>
                <w:sz w:val="24"/>
              </w:rPr>
            </w:pPr>
            <w:r w:rsidRPr="00EA1BB2">
              <w:rPr>
                <w:rFonts w:ascii="Cambria" w:hAnsi="Cambria"/>
                <w:sz w:val="24"/>
                <w:szCs w:val="20"/>
              </w:rPr>
              <w:t>Reducerea consumului de combustibili solizi și lichizi</w:t>
            </w:r>
          </w:p>
        </w:tc>
      </w:tr>
    </w:tbl>
    <w:p w14:paraId="08F7FFCE" w14:textId="77777777" w:rsidR="00C039ED" w:rsidRPr="00EA1BB2" w:rsidRDefault="00C039ED" w:rsidP="00C039ED">
      <w:pPr>
        <w:autoSpaceDE w:val="0"/>
        <w:autoSpaceDN w:val="0"/>
        <w:adjustRightInd w:val="0"/>
        <w:spacing w:line="360" w:lineRule="auto"/>
        <w:ind w:firstLine="708"/>
        <w:jc w:val="both"/>
        <w:rPr>
          <w:rFonts w:ascii="Cambria" w:hAnsi="Cambria"/>
          <w:sz w:val="24"/>
          <w:szCs w:val="24"/>
        </w:rPr>
      </w:pPr>
    </w:p>
    <w:p w14:paraId="2D1D474C" w14:textId="77777777" w:rsidR="00A133F1" w:rsidRPr="00EA1BB2" w:rsidRDefault="00A133F1" w:rsidP="00C039ED">
      <w:pPr>
        <w:autoSpaceDE w:val="0"/>
        <w:autoSpaceDN w:val="0"/>
        <w:adjustRightInd w:val="0"/>
        <w:spacing w:line="360" w:lineRule="auto"/>
        <w:ind w:firstLine="708"/>
        <w:jc w:val="both"/>
        <w:rPr>
          <w:rFonts w:ascii="Cambria" w:hAnsi="Cambria"/>
          <w:sz w:val="24"/>
          <w:szCs w:val="24"/>
        </w:rPr>
      </w:pPr>
    </w:p>
    <w:p w14:paraId="5744F0B2" w14:textId="77777777" w:rsidR="00A133F1" w:rsidRPr="00EA1BB2" w:rsidRDefault="00A133F1" w:rsidP="00C039ED">
      <w:pPr>
        <w:autoSpaceDE w:val="0"/>
        <w:autoSpaceDN w:val="0"/>
        <w:adjustRightInd w:val="0"/>
        <w:spacing w:line="360" w:lineRule="auto"/>
        <w:ind w:firstLine="708"/>
        <w:jc w:val="both"/>
        <w:rPr>
          <w:rFonts w:ascii="Cambria" w:hAnsi="Cambria"/>
          <w:sz w:val="24"/>
          <w:szCs w:val="24"/>
        </w:rPr>
      </w:pPr>
    </w:p>
    <w:p w14:paraId="0AD2BE73" w14:textId="77777777" w:rsidR="00A6777A" w:rsidRPr="00EA1BB2" w:rsidRDefault="009104DD" w:rsidP="00E859EF">
      <w:pPr>
        <w:pStyle w:val="Heading2"/>
        <w:numPr>
          <w:ilvl w:val="1"/>
          <w:numId w:val="1"/>
        </w:numPr>
        <w:spacing w:before="0"/>
        <w:ind w:left="0" w:firstLine="709"/>
        <w:jc w:val="both"/>
        <w:rPr>
          <w:rFonts w:ascii="Cambria" w:eastAsia="Times New Roman" w:hAnsi="Cambria"/>
          <w:color w:val="0070C0"/>
          <w:szCs w:val="24"/>
        </w:rPr>
      </w:pPr>
      <w:bookmarkStart w:id="264" w:name="_Toc526889751"/>
      <w:r w:rsidRPr="00EA1BB2">
        <w:rPr>
          <w:rFonts w:ascii="Cambria" w:eastAsia="Times New Roman" w:hAnsi="Cambria"/>
          <w:color w:val="0070C0"/>
          <w:szCs w:val="24"/>
        </w:rPr>
        <w:lastRenderedPageBreak/>
        <w:t xml:space="preserve">Scenariul B </w:t>
      </w:r>
      <w:r w:rsidR="00A6777A" w:rsidRPr="00EA1BB2">
        <w:rPr>
          <w:rFonts w:ascii="Cambria" w:eastAsia="Times New Roman" w:hAnsi="Cambria"/>
          <w:color w:val="0070C0"/>
          <w:szCs w:val="24"/>
        </w:rPr>
        <w:t>- SCENARIUL DE PROIEC</w:t>
      </w:r>
      <w:r w:rsidR="00054880" w:rsidRPr="00EA1BB2">
        <w:rPr>
          <w:rFonts w:ascii="Cambria" w:eastAsia="Times New Roman" w:hAnsi="Cambria"/>
          <w:color w:val="0070C0"/>
          <w:szCs w:val="24"/>
        </w:rPr>
        <w:t>Ț</w:t>
      </w:r>
      <w:r w:rsidR="00A6777A" w:rsidRPr="00EA1BB2">
        <w:rPr>
          <w:rFonts w:ascii="Cambria" w:eastAsia="Times New Roman" w:hAnsi="Cambria"/>
          <w:color w:val="0070C0"/>
          <w:szCs w:val="24"/>
        </w:rPr>
        <w:t>IE</w:t>
      </w:r>
      <w:bookmarkEnd w:id="264"/>
    </w:p>
    <w:p w14:paraId="51E0F6D3" w14:textId="77777777" w:rsidR="00A6777A" w:rsidRPr="00EA1BB2" w:rsidRDefault="00A6777A" w:rsidP="00A6777A">
      <w:pPr>
        <w:autoSpaceDE w:val="0"/>
        <w:autoSpaceDN w:val="0"/>
        <w:adjustRightInd w:val="0"/>
        <w:spacing w:line="360" w:lineRule="auto"/>
        <w:ind w:firstLine="720"/>
        <w:jc w:val="both"/>
        <w:rPr>
          <w:rFonts w:ascii="Cambria" w:hAnsi="Cambria"/>
          <w:b/>
          <w:sz w:val="24"/>
          <w:szCs w:val="24"/>
        </w:rPr>
      </w:pPr>
      <w:r w:rsidRPr="00EA1BB2">
        <w:rPr>
          <w:rFonts w:ascii="Cambria" w:hAnsi="Cambria"/>
          <w:b/>
          <w:sz w:val="24"/>
          <w:szCs w:val="24"/>
        </w:rPr>
        <w:t>a) anul de referin</w:t>
      </w:r>
      <w:r w:rsidR="00054880" w:rsidRPr="00EA1BB2">
        <w:rPr>
          <w:rFonts w:ascii="Cambria" w:hAnsi="Cambria"/>
          <w:b/>
          <w:sz w:val="24"/>
          <w:szCs w:val="24"/>
        </w:rPr>
        <w:t>ț</w:t>
      </w:r>
      <w:r w:rsidRPr="00EA1BB2">
        <w:rPr>
          <w:rFonts w:ascii="Cambria" w:hAnsi="Cambria"/>
          <w:b/>
          <w:sz w:val="24"/>
          <w:szCs w:val="24"/>
        </w:rPr>
        <w:t xml:space="preserve">ă pentru care este elaborată previziunea </w:t>
      </w:r>
      <w:r w:rsidR="00054880" w:rsidRPr="00EA1BB2">
        <w:rPr>
          <w:rFonts w:ascii="Cambria" w:hAnsi="Cambria"/>
          <w:b/>
          <w:sz w:val="24"/>
          <w:szCs w:val="24"/>
        </w:rPr>
        <w:t>ș</w:t>
      </w:r>
      <w:r w:rsidR="00F7366C" w:rsidRPr="00EA1BB2">
        <w:rPr>
          <w:rFonts w:ascii="Cambria" w:hAnsi="Cambria"/>
          <w:b/>
          <w:sz w:val="24"/>
          <w:szCs w:val="24"/>
        </w:rPr>
        <w:t>i cu care începe aceasta</w:t>
      </w:r>
    </w:p>
    <w:p w14:paraId="3E69ED92" w14:textId="77777777" w:rsidR="00A6777A" w:rsidRPr="00EA1BB2" w:rsidRDefault="00A6777A" w:rsidP="00A6777A">
      <w:pPr>
        <w:autoSpaceDE w:val="0"/>
        <w:autoSpaceDN w:val="0"/>
        <w:adjustRightInd w:val="0"/>
        <w:spacing w:line="360" w:lineRule="auto"/>
        <w:ind w:firstLine="720"/>
        <w:jc w:val="both"/>
        <w:rPr>
          <w:rFonts w:ascii="Cambria" w:hAnsi="Cambria"/>
          <w:sz w:val="24"/>
          <w:szCs w:val="24"/>
        </w:rPr>
      </w:pPr>
      <w:r w:rsidRPr="00EA1BB2">
        <w:rPr>
          <w:rFonts w:ascii="Cambria" w:hAnsi="Cambria"/>
          <w:sz w:val="24"/>
          <w:szCs w:val="24"/>
        </w:rPr>
        <w:t>Anul de referin</w:t>
      </w:r>
      <w:r w:rsidR="00054880" w:rsidRPr="00EA1BB2">
        <w:rPr>
          <w:rFonts w:ascii="Cambria" w:hAnsi="Cambria"/>
          <w:sz w:val="24"/>
          <w:szCs w:val="24"/>
        </w:rPr>
        <w:t>ț</w:t>
      </w:r>
      <w:r w:rsidRPr="00EA1BB2">
        <w:rPr>
          <w:rFonts w:ascii="Cambria" w:hAnsi="Cambria"/>
          <w:sz w:val="24"/>
          <w:szCs w:val="24"/>
        </w:rPr>
        <w:t>ă pentru modelarea emisiilor de substan</w:t>
      </w:r>
      <w:r w:rsidR="00054880" w:rsidRPr="00EA1BB2">
        <w:rPr>
          <w:rFonts w:ascii="Cambria" w:hAnsi="Cambria"/>
          <w:sz w:val="24"/>
          <w:szCs w:val="24"/>
        </w:rPr>
        <w:t>ț</w:t>
      </w:r>
      <w:r w:rsidRPr="00EA1BB2">
        <w:rPr>
          <w:rFonts w:ascii="Cambria" w:hAnsi="Cambria"/>
          <w:sz w:val="24"/>
          <w:szCs w:val="24"/>
        </w:rPr>
        <w:t>e poluante este anul 2013, pentru care au fost disponibile datele exportate din Sistemul Informatic Integrat de Mediu, aferente surselor de emisii prezentate în capitolele precedente</w:t>
      </w:r>
      <w:r w:rsidR="00515A80" w:rsidRPr="00EA1BB2">
        <w:rPr>
          <w:rFonts w:ascii="Cambria" w:hAnsi="Cambria"/>
          <w:sz w:val="24"/>
          <w:szCs w:val="24"/>
        </w:rPr>
        <w:t>, iar anul de referin</w:t>
      </w:r>
      <w:r w:rsidR="00054880" w:rsidRPr="00EA1BB2">
        <w:rPr>
          <w:rFonts w:ascii="Cambria" w:hAnsi="Cambria"/>
          <w:sz w:val="24"/>
          <w:szCs w:val="24"/>
        </w:rPr>
        <w:t>ț</w:t>
      </w:r>
      <w:r w:rsidR="00515A80" w:rsidRPr="00EA1BB2">
        <w:rPr>
          <w:rFonts w:ascii="Cambria" w:hAnsi="Cambria"/>
          <w:sz w:val="24"/>
          <w:szCs w:val="24"/>
        </w:rPr>
        <w:t>ă pentru care este elaborată previziunea este anul 202</w:t>
      </w:r>
      <w:r w:rsidR="00B73A99" w:rsidRPr="00EA1BB2">
        <w:rPr>
          <w:rFonts w:ascii="Cambria" w:hAnsi="Cambria"/>
          <w:sz w:val="24"/>
          <w:szCs w:val="24"/>
        </w:rPr>
        <w:t>2</w:t>
      </w:r>
      <w:r w:rsidR="00515A80" w:rsidRPr="00EA1BB2">
        <w:rPr>
          <w:rFonts w:ascii="Cambria" w:hAnsi="Cambria"/>
          <w:sz w:val="24"/>
          <w:szCs w:val="24"/>
        </w:rPr>
        <w:t>.</w:t>
      </w:r>
    </w:p>
    <w:p w14:paraId="00CBC99E" w14:textId="77777777" w:rsidR="00E24DBD" w:rsidRPr="00EA1BB2" w:rsidRDefault="00E24DBD" w:rsidP="00A6777A">
      <w:pPr>
        <w:autoSpaceDE w:val="0"/>
        <w:autoSpaceDN w:val="0"/>
        <w:adjustRightInd w:val="0"/>
        <w:spacing w:line="360" w:lineRule="auto"/>
        <w:ind w:firstLine="720"/>
        <w:jc w:val="both"/>
        <w:rPr>
          <w:rFonts w:ascii="Cambria" w:hAnsi="Cambria"/>
          <w:sz w:val="24"/>
          <w:szCs w:val="24"/>
        </w:rPr>
      </w:pPr>
    </w:p>
    <w:p w14:paraId="25026221" w14:textId="77777777" w:rsidR="00A6777A" w:rsidRPr="00EA1BB2" w:rsidRDefault="00A6777A" w:rsidP="00A6777A">
      <w:pPr>
        <w:autoSpaceDE w:val="0"/>
        <w:autoSpaceDN w:val="0"/>
        <w:adjustRightInd w:val="0"/>
        <w:spacing w:line="360" w:lineRule="auto"/>
        <w:ind w:firstLine="720"/>
        <w:jc w:val="both"/>
        <w:rPr>
          <w:rFonts w:ascii="Cambria" w:hAnsi="Cambria"/>
          <w:b/>
          <w:sz w:val="24"/>
          <w:szCs w:val="24"/>
        </w:rPr>
      </w:pPr>
      <w:r w:rsidRPr="00EA1BB2">
        <w:rPr>
          <w:rFonts w:ascii="Cambria" w:hAnsi="Cambria"/>
          <w:b/>
          <w:sz w:val="24"/>
          <w:szCs w:val="24"/>
        </w:rPr>
        <w:t xml:space="preserve">b) repartizarea surselor de emisie </w:t>
      </w:r>
    </w:p>
    <w:p w14:paraId="677B5A83" w14:textId="0DE1E275" w:rsidR="006A006E" w:rsidRPr="00EA1BB2" w:rsidRDefault="006A006E" w:rsidP="006A006E">
      <w:pPr>
        <w:autoSpaceDE w:val="0"/>
        <w:autoSpaceDN w:val="0"/>
        <w:adjustRightInd w:val="0"/>
        <w:spacing w:line="360" w:lineRule="auto"/>
        <w:ind w:firstLine="709"/>
        <w:jc w:val="both"/>
        <w:rPr>
          <w:rFonts w:ascii="Cambria" w:hAnsi="Cambria"/>
          <w:sz w:val="24"/>
          <w:szCs w:val="24"/>
        </w:rPr>
      </w:pPr>
      <w:r w:rsidRPr="00EA1BB2">
        <w:rPr>
          <w:rFonts w:ascii="Cambria" w:hAnsi="Cambria"/>
          <w:sz w:val="24"/>
          <w:szCs w:val="24"/>
        </w:rPr>
        <w:t>Sursele de emisii de substan</w:t>
      </w:r>
      <w:r w:rsidR="00054880" w:rsidRPr="00EA1BB2">
        <w:rPr>
          <w:rFonts w:ascii="Cambria" w:hAnsi="Cambria"/>
          <w:sz w:val="24"/>
          <w:szCs w:val="24"/>
        </w:rPr>
        <w:t>ț</w:t>
      </w:r>
      <w:r w:rsidRPr="00EA1BB2">
        <w:rPr>
          <w:rFonts w:ascii="Cambria" w:hAnsi="Cambria"/>
          <w:sz w:val="24"/>
          <w:szCs w:val="24"/>
        </w:rPr>
        <w:t xml:space="preserve">e poluante </w:t>
      </w:r>
      <w:r w:rsidR="00054880" w:rsidRPr="00EA1BB2">
        <w:rPr>
          <w:rFonts w:ascii="Cambria" w:hAnsi="Cambria"/>
          <w:sz w:val="24"/>
          <w:szCs w:val="24"/>
        </w:rPr>
        <w:t>ș</w:t>
      </w:r>
      <w:r w:rsidRPr="00EA1BB2">
        <w:rPr>
          <w:rFonts w:ascii="Cambria" w:hAnsi="Cambria"/>
          <w:sz w:val="24"/>
          <w:szCs w:val="24"/>
        </w:rPr>
        <w:t>i caracteristicile acestora (dimensiuni constructive co</w:t>
      </w:r>
      <w:r w:rsidR="00054880" w:rsidRPr="00EA1BB2">
        <w:rPr>
          <w:rFonts w:ascii="Cambria" w:hAnsi="Cambria"/>
          <w:sz w:val="24"/>
          <w:szCs w:val="24"/>
        </w:rPr>
        <w:t>ș</w:t>
      </w:r>
      <w:r w:rsidRPr="00EA1BB2">
        <w:rPr>
          <w:rFonts w:ascii="Cambria" w:hAnsi="Cambria"/>
          <w:sz w:val="24"/>
          <w:szCs w:val="24"/>
        </w:rPr>
        <w:t xml:space="preserve">uri de fum, viteza </w:t>
      </w:r>
      <w:r w:rsidR="00054880" w:rsidRPr="00EA1BB2">
        <w:rPr>
          <w:rFonts w:ascii="Cambria" w:hAnsi="Cambria"/>
          <w:sz w:val="24"/>
          <w:szCs w:val="24"/>
        </w:rPr>
        <w:t>ș</w:t>
      </w:r>
      <w:r w:rsidRPr="00EA1BB2">
        <w:rPr>
          <w:rFonts w:ascii="Cambria" w:hAnsi="Cambria"/>
          <w:sz w:val="24"/>
          <w:szCs w:val="24"/>
        </w:rPr>
        <w:t>i temperatura gazelor de ardere, coordonate geografice surse punctuale, surse de suprafa</w:t>
      </w:r>
      <w:r w:rsidR="00054880" w:rsidRPr="00EA1BB2">
        <w:rPr>
          <w:rFonts w:ascii="Cambria" w:hAnsi="Cambria"/>
          <w:sz w:val="24"/>
          <w:szCs w:val="24"/>
        </w:rPr>
        <w:t>ț</w:t>
      </w:r>
      <w:r w:rsidRPr="00EA1BB2">
        <w:rPr>
          <w:rFonts w:ascii="Cambria" w:hAnsi="Cambria"/>
          <w:sz w:val="24"/>
          <w:szCs w:val="24"/>
        </w:rPr>
        <w:t xml:space="preserve">ă </w:t>
      </w:r>
      <w:r w:rsidR="00054880" w:rsidRPr="00EA1BB2">
        <w:rPr>
          <w:rFonts w:ascii="Cambria" w:hAnsi="Cambria"/>
          <w:sz w:val="24"/>
          <w:szCs w:val="24"/>
        </w:rPr>
        <w:t>ș</w:t>
      </w:r>
      <w:r w:rsidRPr="00EA1BB2">
        <w:rPr>
          <w:rFonts w:ascii="Cambria" w:hAnsi="Cambria"/>
          <w:sz w:val="24"/>
          <w:szCs w:val="24"/>
        </w:rPr>
        <w:t xml:space="preserve">i liniare) </w:t>
      </w:r>
      <w:r w:rsidR="00054880" w:rsidRPr="00EA1BB2">
        <w:rPr>
          <w:rFonts w:ascii="Cambria" w:hAnsi="Cambria"/>
          <w:sz w:val="24"/>
          <w:szCs w:val="24"/>
        </w:rPr>
        <w:t>ș</w:t>
      </w:r>
      <w:r w:rsidRPr="00EA1BB2">
        <w:rPr>
          <w:rFonts w:ascii="Cambria" w:hAnsi="Cambria"/>
          <w:sz w:val="24"/>
          <w:szCs w:val="24"/>
        </w:rPr>
        <w:t>i emisiile de substan</w:t>
      </w:r>
      <w:r w:rsidR="00054880" w:rsidRPr="00EA1BB2">
        <w:rPr>
          <w:rFonts w:ascii="Cambria" w:hAnsi="Cambria"/>
          <w:sz w:val="24"/>
          <w:szCs w:val="24"/>
        </w:rPr>
        <w:t>ț</w:t>
      </w:r>
      <w:r w:rsidRPr="00EA1BB2">
        <w:rPr>
          <w:rFonts w:ascii="Cambria" w:hAnsi="Cambria"/>
          <w:sz w:val="24"/>
          <w:szCs w:val="24"/>
        </w:rPr>
        <w:t>e poluante aferente au fost introduse în modelul matematic utilizat pentru dispersia substan</w:t>
      </w:r>
      <w:r w:rsidR="00054880" w:rsidRPr="00EA1BB2">
        <w:rPr>
          <w:rFonts w:ascii="Cambria" w:hAnsi="Cambria"/>
          <w:sz w:val="24"/>
          <w:szCs w:val="24"/>
        </w:rPr>
        <w:t>ț</w:t>
      </w:r>
      <w:r w:rsidRPr="00EA1BB2">
        <w:rPr>
          <w:rFonts w:ascii="Cambria" w:hAnsi="Cambria"/>
          <w:sz w:val="24"/>
          <w:szCs w:val="24"/>
        </w:rPr>
        <w:t>elor poluante în atmosferă.</w:t>
      </w:r>
      <w:r w:rsidR="00BD06C5" w:rsidRPr="00EA1BB2">
        <w:rPr>
          <w:rFonts w:ascii="Cambria" w:hAnsi="Cambria"/>
          <w:sz w:val="24"/>
          <w:szCs w:val="24"/>
        </w:rPr>
        <w:t xml:space="preserve"> </w:t>
      </w:r>
      <w:r w:rsidR="00554A48" w:rsidRPr="00EA1BB2">
        <w:rPr>
          <w:rFonts w:ascii="Cambria" w:hAnsi="Cambria"/>
          <w:sz w:val="24"/>
          <w:szCs w:val="24"/>
        </w:rPr>
        <w:t>Repartizarea surselor a fost prezentată în subcapitolele 3.5 și 3.6 al prezentului plan.</w:t>
      </w:r>
    </w:p>
    <w:p w14:paraId="024C46B9" w14:textId="77777777" w:rsidR="007B2C1A" w:rsidRPr="00EA1BB2" w:rsidRDefault="007B2C1A" w:rsidP="007B2C1A">
      <w:pPr>
        <w:autoSpaceDE w:val="0"/>
        <w:autoSpaceDN w:val="0"/>
        <w:adjustRightInd w:val="0"/>
        <w:spacing w:line="360" w:lineRule="auto"/>
        <w:ind w:firstLine="709"/>
        <w:jc w:val="both"/>
        <w:rPr>
          <w:rFonts w:ascii="Cambria" w:eastAsia="Times New Roman" w:hAnsi="Cambria" w:cs="Times New Roman"/>
          <w:bCs/>
          <w:sz w:val="24"/>
          <w:szCs w:val="26"/>
        </w:rPr>
      </w:pPr>
      <w:r w:rsidRPr="00EA1BB2">
        <w:rPr>
          <w:rFonts w:ascii="Cambria" w:eastAsia="Times New Roman" w:hAnsi="Cambria" w:cs="Times New Roman"/>
          <w:bCs/>
          <w:sz w:val="24"/>
          <w:szCs w:val="26"/>
        </w:rPr>
        <w:t xml:space="preserve">Concentrațiile de fond regional total </w:t>
      </w:r>
      <w:r w:rsidRPr="00EA1BB2">
        <w:rPr>
          <w:rFonts w:ascii="Cambria" w:eastAsia="Times New Roman" w:hAnsi="Cambria" w:cs="Times New Roman"/>
          <w:sz w:val="24"/>
          <w:szCs w:val="24"/>
        </w:rPr>
        <w:t xml:space="preserve">(pentru zona Brăila și aglomerarea Brăila) </w:t>
      </w:r>
      <w:r w:rsidRPr="00EA1BB2">
        <w:rPr>
          <w:rFonts w:ascii="Cambria" w:eastAsia="Times New Roman" w:hAnsi="Cambria" w:cs="Times New Roman"/>
          <w:bCs/>
          <w:sz w:val="24"/>
          <w:szCs w:val="26"/>
        </w:rPr>
        <w:t>au fost utilizate pentru modelarea emisiilor de poluanți în atmosferă în cadrul acestui scenariu.</w:t>
      </w:r>
    </w:p>
    <w:p w14:paraId="4341CB06" w14:textId="77777777" w:rsidR="001D53C6" w:rsidRPr="00EA1BB2" w:rsidRDefault="001D53C6" w:rsidP="001D53C6">
      <w:pPr>
        <w:autoSpaceDE w:val="0"/>
        <w:autoSpaceDN w:val="0"/>
        <w:adjustRightInd w:val="0"/>
        <w:spacing w:line="360" w:lineRule="auto"/>
        <w:jc w:val="both"/>
        <w:rPr>
          <w:rFonts w:ascii="Cambria" w:hAnsi="Cambria"/>
          <w:sz w:val="24"/>
          <w:szCs w:val="24"/>
        </w:rPr>
      </w:pPr>
    </w:p>
    <w:p w14:paraId="4E167847" w14:textId="77777777" w:rsidR="00A6777A" w:rsidRPr="00EA1BB2" w:rsidRDefault="00A6777A" w:rsidP="00A6777A">
      <w:pPr>
        <w:autoSpaceDE w:val="0"/>
        <w:autoSpaceDN w:val="0"/>
        <w:adjustRightInd w:val="0"/>
        <w:spacing w:line="360" w:lineRule="auto"/>
        <w:ind w:firstLine="720"/>
        <w:jc w:val="both"/>
        <w:rPr>
          <w:rFonts w:ascii="Cambria" w:hAnsi="Cambria"/>
          <w:b/>
          <w:sz w:val="24"/>
          <w:szCs w:val="24"/>
        </w:rPr>
      </w:pPr>
      <w:r w:rsidRPr="00EA1BB2">
        <w:rPr>
          <w:rFonts w:ascii="Cambria" w:hAnsi="Cambria"/>
          <w:b/>
          <w:sz w:val="24"/>
          <w:szCs w:val="24"/>
        </w:rPr>
        <w:t xml:space="preserve">c) descrierea privind emisiile </w:t>
      </w:r>
      <w:r w:rsidR="00054880" w:rsidRPr="00EA1BB2">
        <w:rPr>
          <w:rFonts w:ascii="Cambria" w:hAnsi="Cambria"/>
          <w:b/>
          <w:sz w:val="24"/>
          <w:szCs w:val="24"/>
        </w:rPr>
        <w:t>ș</w:t>
      </w:r>
      <w:r w:rsidRPr="00EA1BB2">
        <w:rPr>
          <w:rFonts w:ascii="Cambria" w:hAnsi="Cambria"/>
          <w:b/>
          <w:sz w:val="24"/>
          <w:szCs w:val="24"/>
        </w:rPr>
        <w:t>i emisiile totale în unitatea spa</w:t>
      </w:r>
      <w:r w:rsidR="00054880" w:rsidRPr="00EA1BB2">
        <w:rPr>
          <w:rFonts w:ascii="Cambria" w:hAnsi="Cambria"/>
          <w:b/>
          <w:sz w:val="24"/>
          <w:szCs w:val="24"/>
        </w:rPr>
        <w:t>ț</w:t>
      </w:r>
      <w:r w:rsidRPr="00EA1BB2">
        <w:rPr>
          <w:rFonts w:ascii="Cambria" w:hAnsi="Cambria"/>
          <w:b/>
          <w:sz w:val="24"/>
          <w:szCs w:val="24"/>
        </w:rPr>
        <w:t>ială relevantă în anul de referin</w:t>
      </w:r>
      <w:r w:rsidR="00054880" w:rsidRPr="00EA1BB2">
        <w:rPr>
          <w:rFonts w:ascii="Cambria" w:hAnsi="Cambria"/>
          <w:b/>
          <w:sz w:val="24"/>
          <w:szCs w:val="24"/>
        </w:rPr>
        <w:t>ț</w:t>
      </w:r>
      <w:r w:rsidRPr="00EA1BB2">
        <w:rPr>
          <w:rFonts w:ascii="Cambria" w:hAnsi="Cambria"/>
          <w:b/>
          <w:sz w:val="24"/>
          <w:szCs w:val="24"/>
        </w:rPr>
        <w:t>ă</w:t>
      </w:r>
    </w:p>
    <w:p w14:paraId="5DB136EF" w14:textId="517B36F9" w:rsidR="0088467B" w:rsidRPr="00EA1BB2" w:rsidRDefault="0088467B" w:rsidP="00CD2A36">
      <w:pPr>
        <w:autoSpaceDE w:val="0"/>
        <w:autoSpaceDN w:val="0"/>
        <w:adjustRightInd w:val="0"/>
        <w:spacing w:line="360" w:lineRule="auto"/>
        <w:ind w:firstLine="708"/>
        <w:jc w:val="both"/>
        <w:rPr>
          <w:rFonts w:ascii="Cambria" w:hAnsi="Cambria"/>
          <w:sz w:val="24"/>
          <w:szCs w:val="24"/>
        </w:rPr>
      </w:pPr>
      <w:r w:rsidRPr="00EA1BB2">
        <w:rPr>
          <w:rFonts w:ascii="Cambria" w:hAnsi="Cambria"/>
          <w:sz w:val="24"/>
          <w:szCs w:val="24"/>
        </w:rPr>
        <w:t>Emisiile și emisiile totale în unitatea spațială relevantă în anul de referință sunt prezentate în tabelul nr. 5-1.</w:t>
      </w:r>
      <w:r w:rsidR="00CD2A36" w:rsidRPr="00EA1BB2">
        <w:t xml:space="preserve"> </w:t>
      </w:r>
      <w:r w:rsidR="00CD2A36" w:rsidRPr="00EA1BB2">
        <w:rPr>
          <w:rFonts w:ascii="Cambria" w:hAnsi="Cambria"/>
          <w:sz w:val="24"/>
          <w:szCs w:val="24"/>
        </w:rPr>
        <w:t>Descrierea privind emisiile este prezentată pe larg în cadrul capitolului 3.8.</w:t>
      </w:r>
    </w:p>
    <w:p w14:paraId="729568E1" w14:textId="77777777" w:rsidR="0088467B" w:rsidRPr="00EA1BB2" w:rsidRDefault="0088467B" w:rsidP="00072BE4">
      <w:pPr>
        <w:autoSpaceDE w:val="0"/>
        <w:autoSpaceDN w:val="0"/>
        <w:adjustRightInd w:val="0"/>
        <w:jc w:val="both"/>
        <w:rPr>
          <w:rFonts w:ascii="Cambria" w:hAnsi="Cambria"/>
          <w:sz w:val="24"/>
          <w:szCs w:val="24"/>
        </w:rPr>
      </w:pPr>
    </w:p>
    <w:p w14:paraId="68E57BD1" w14:textId="77777777" w:rsidR="00E24DBD" w:rsidRPr="00EA1BB2" w:rsidRDefault="00E24DBD" w:rsidP="00E24DBD">
      <w:pPr>
        <w:autoSpaceDE w:val="0"/>
        <w:autoSpaceDN w:val="0"/>
        <w:adjustRightInd w:val="0"/>
        <w:spacing w:line="360" w:lineRule="auto"/>
        <w:ind w:firstLine="720"/>
        <w:jc w:val="both"/>
        <w:rPr>
          <w:rFonts w:ascii="Cambria" w:hAnsi="Cambria"/>
          <w:b/>
          <w:sz w:val="24"/>
          <w:szCs w:val="24"/>
        </w:rPr>
      </w:pPr>
      <w:r w:rsidRPr="00EA1BB2">
        <w:rPr>
          <w:rFonts w:ascii="Cambria" w:hAnsi="Cambria"/>
          <w:b/>
          <w:sz w:val="24"/>
          <w:szCs w:val="24"/>
        </w:rPr>
        <w:t>d) niveluri ale concentrației/concentrațiilor raportate la valorile-limită și/sau la valorile-țintă în anul de referință</w:t>
      </w:r>
    </w:p>
    <w:p w14:paraId="46CBF956" w14:textId="77777777" w:rsidR="0088467B" w:rsidRPr="00EA1BB2" w:rsidRDefault="0088467B" w:rsidP="008567FE">
      <w:pPr>
        <w:autoSpaceDE w:val="0"/>
        <w:autoSpaceDN w:val="0"/>
        <w:adjustRightInd w:val="0"/>
        <w:spacing w:line="360" w:lineRule="auto"/>
        <w:jc w:val="both"/>
        <w:rPr>
          <w:rFonts w:ascii="Cambria" w:hAnsi="Cambria"/>
          <w:sz w:val="24"/>
          <w:szCs w:val="24"/>
        </w:rPr>
      </w:pPr>
      <w:r w:rsidRPr="00EA1BB2">
        <w:rPr>
          <w:rFonts w:ascii="Cambria" w:hAnsi="Cambria"/>
          <w:sz w:val="24"/>
          <w:szCs w:val="24"/>
        </w:rPr>
        <w:tab/>
        <w:t>Niveluri ale concentrației/concentrațiilor raportate la valorile-limită și/sau la valorile-țintă în anul de referință sunt prezentate în tabelul nr. 5-</w:t>
      </w:r>
      <w:r w:rsidR="007F58D0" w:rsidRPr="00EA1BB2">
        <w:rPr>
          <w:rFonts w:ascii="Cambria" w:hAnsi="Cambria"/>
          <w:sz w:val="24"/>
          <w:szCs w:val="24"/>
        </w:rPr>
        <w:t>2.</w:t>
      </w:r>
    </w:p>
    <w:p w14:paraId="1A292E1D" w14:textId="77777777" w:rsidR="00A133F1" w:rsidRPr="00EA1BB2" w:rsidRDefault="00A133F1" w:rsidP="008567FE">
      <w:pPr>
        <w:autoSpaceDE w:val="0"/>
        <w:autoSpaceDN w:val="0"/>
        <w:adjustRightInd w:val="0"/>
        <w:spacing w:line="360" w:lineRule="auto"/>
        <w:jc w:val="both"/>
        <w:rPr>
          <w:rFonts w:ascii="Cambria" w:hAnsi="Cambria"/>
          <w:b/>
          <w:sz w:val="24"/>
          <w:szCs w:val="24"/>
        </w:rPr>
      </w:pPr>
    </w:p>
    <w:p w14:paraId="38DAC828" w14:textId="77777777" w:rsidR="00AF77F7" w:rsidRPr="00EA1BB2" w:rsidRDefault="00AF77F7" w:rsidP="00AF77F7">
      <w:pPr>
        <w:autoSpaceDE w:val="0"/>
        <w:autoSpaceDN w:val="0"/>
        <w:adjustRightInd w:val="0"/>
        <w:spacing w:line="360" w:lineRule="auto"/>
        <w:ind w:firstLine="720"/>
        <w:jc w:val="both"/>
        <w:rPr>
          <w:rFonts w:ascii="Cambria" w:hAnsi="Cambria"/>
          <w:b/>
          <w:sz w:val="24"/>
          <w:szCs w:val="24"/>
        </w:rPr>
      </w:pPr>
      <w:r w:rsidRPr="00EA1BB2">
        <w:rPr>
          <w:rFonts w:ascii="Cambria" w:hAnsi="Cambria"/>
          <w:b/>
          <w:sz w:val="24"/>
          <w:szCs w:val="24"/>
        </w:rPr>
        <w:t xml:space="preserve">e) descrierea scenariului privind emisiile </w:t>
      </w:r>
      <w:r w:rsidR="00054880" w:rsidRPr="00EA1BB2">
        <w:rPr>
          <w:rFonts w:ascii="Cambria" w:hAnsi="Cambria"/>
          <w:b/>
          <w:sz w:val="24"/>
          <w:szCs w:val="24"/>
        </w:rPr>
        <w:t>ș</w:t>
      </w:r>
      <w:r w:rsidRPr="00EA1BB2">
        <w:rPr>
          <w:rFonts w:ascii="Cambria" w:hAnsi="Cambria"/>
          <w:b/>
          <w:sz w:val="24"/>
          <w:szCs w:val="24"/>
        </w:rPr>
        <w:t>i emisiile totale în unitatea spa</w:t>
      </w:r>
      <w:r w:rsidR="00054880" w:rsidRPr="00EA1BB2">
        <w:rPr>
          <w:rFonts w:ascii="Cambria" w:hAnsi="Cambria"/>
          <w:b/>
          <w:sz w:val="24"/>
          <w:szCs w:val="24"/>
        </w:rPr>
        <w:t>ț</w:t>
      </w:r>
      <w:r w:rsidRPr="00EA1BB2">
        <w:rPr>
          <w:rFonts w:ascii="Cambria" w:hAnsi="Cambria"/>
          <w:b/>
          <w:sz w:val="24"/>
          <w:szCs w:val="24"/>
        </w:rPr>
        <w:t>ială relevantă în anul de proiec</w:t>
      </w:r>
      <w:r w:rsidR="00054880" w:rsidRPr="00EA1BB2">
        <w:rPr>
          <w:rFonts w:ascii="Cambria" w:hAnsi="Cambria"/>
          <w:b/>
          <w:sz w:val="24"/>
          <w:szCs w:val="24"/>
        </w:rPr>
        <w:t>ț</w:t>
      </w:r>
      <w:r w:rsidR="001155A2" w:rsidRPr="00EA1BB2">
        <w:rPr>
          <w:rFonts w:ascii="Cambria" w:hAnsi="Cambria"/>
          <w:b/>
          <w:sz w:val="24"/>
          <w:szCs w:val="24"/>
        </w:rPr>
        <w:t>ie</w:t>
      </w:r>
    </w:p>
    <w:p w14:paraId="3C3D7428" w14:textId="77777777" w:rsidR="0095565D" w:rsidRPr="00EA1BB2" w:rsidRDefault="00031EFD" w:rsidP="0095565D">
      <w:pPr>
        <w:spacing w:line="360" w:lineRule="auto"/>
        <w:ind w:firstLine="709"/>
        <w:jc w:val="both"/>
        <w:rPr>
          <w:rFonts w:ascii="Cambria" w:eastAsia="Calibri" w:hAnsi="Cambria" w:cs="Times New Roman"/>
          <w:sz w:val="24"/>
          <w:szCs w:val="24"/>
        </w:rPr>
      </w:pPr>
      <w:r w:rsidRPr="00EA1BB2">
        <w:rPr>
          <w:rFonts w:ascii="Cambria" w:eastAsia="Calibri" w:hAnsi="Cambria" w:cs="Times New Roman"/>
          <w:sz w:val="24"/>
          <w:szCs w:val="24"/>
        </w:rPr>
        <w:t xml:space="preserve">Acest scenariu ia în considerare, la estimarea emisiilor pentru anul de proiecție, atât efectul măsurilor considerate în scenariul de referință, cât și măsurile suplimentare </w:t>
      </w:r>
      <w:r w:rsidRPr="00EA1BB2">
        <w:rPr>
          <w:rFonts w:ascii="Cambria" w:eastAsia="Calibri" w:hAnsi="Cambria" w:cs="Times New Roman"/>
          <w:sz w:val="24"/>
          <w:szCs w:val="24"/>
        </w:rPr>
        <w:lastRenderedPageBreak/>
        <w:t xml:space="preserve">propuse în vederea menținerii nivelurilor concentrațiilor în valorile-limită prevăzute de Legea nr. 104/2011. </w:t>
      </w:r>
    </w:p>
    <w:p w14:paraId="1C9E0344" w14:textId="77777777" w:rsidR="00A133F1" w:rsidRPr="00EA1BB2" w:rsidRDefault="00A133F1" w:rsidP="0095565D">
      <w:pPr>
        <w:spacing w:line="360" w:lineRule="auto"/>
        <w:ind w:firstLine="709"/>
        <w:jc w:val="both"/>
        <w:rPr>
          <w:rFonts w:ascii="Cambria" w:eastAsia="Calibri" w:hAnsi="Cambria" w:cs="Times New Roman"/>
          <w:sz w:val="24"/>
          <w:szCs w:val="24"/>
        </w:rPr>
      </w:pPr>
    </w:p>
    <w:p w14:paraId="74F00E48" w14:textId="2C5CE507" w:rsidR="0095565D" w:rsidRPr="00EA1BB2" w:rsidRDefault="0095565D" w:rsidP="0095565D">
      <w:pPr>
        <w:pStyle w:val="Caption"/>
        <w:keepNext/>
        <w:spacing w:after="0" w:line="360" w:lineRule="auto"/>
        <w:ind w:firstLine="708"/>
        <w:jc w:val="both"/>
        <w:rPr>
          <w:rFonts w:ascii="Cambria" w:hAnsi="Cambria"/>
        </w:rPr>
      </w:pPr>
      <w:bookmarkStart w:id="265" w:name="_Toc526889824"/>
      <w:r w:rsidRPr="00EA1BB2">
        <w:rPr>
          <w:rFonts w:ascii="Cambria" w:hAnsi="Cambria"/>
        </w:rPr>
        <w:t xml:space="preserve">Tabelul nr. </w:t>
      </w:r>
      <w:r w:rsidR="000A2FE7" w:rsidRPr="00EA1BB2">
        <w:rPr>
          <w:rFonts w:ascii="Cambria" w:hAnsi="Cambria"/>
        </w:rPr>
        <w:fldChar w:fldCharType="begin"/>
      </w:r>
      <w:r w:rsidR="000A2FE7" w:rsidRPr="00EA1BB2">
        <w:rPr>
          <w:rFonts w:ascii="Cambria" w:hAnsi="Cambria"/>
        </w:rPr>
        <w:instrText xml:space="preserve"> STYLEREF 1 \s </w:instrText>
      </w:r>
      <w:r w:rsidR="000A2FE7" w:rsidRPr="00EA1BB2">
        <w:rPr>
          <w:rFonts w:ascii="Cambria" w:hAnsi="Cambria"/>
        </w:rPr>
        <w:fldChar w:fldCharType="separate"/>
      </w:r>
      <w:r w:rsidR="00567555">
        <w:rPr>
          <w:rFonts w:ascii="Cambria" w:hAnsi="Cambria"/>
          <w:noProof/>
        </w:rPr>
        <w:t>5</w:t>
      </w:r>
      <w:r w:rsidR="000A2FE7" w:rsidRPr="00EA1BB2">
        <w:rPr>
          <w:rFonts w:ascii="Cambria" w:hAnsi="Cambria"/>
        </w:rPr>
        <w:fldChar w:fldCharType="end"/>
      </w:r>
      <w:r w:rsidR="000A2FE7" w:rsidRPr="00EA1BB2">
        <w:rPr>
          <w:rFonts w:ascii="Cambria" w:hAnsi="Cambria"/>
        </w:rPr>
        <w:noBreakHyphen/>
      </w:r>
      <w:r w:rsidR="000A2FE7" w:rsidRPr="00EA1BB2">
        <w:rPr>
          <w:rFonts w:ascii="Cambria" w:hAnsi="Cambria"/>
        </w:rPr>
        <w:fldChar w:fldCharType="begin"/>
      </w:r>
      <w:r w:rsidR="000A2FE7" w:rsidRPr="00EA1BB2">
        <w:rPr>
          <w:rFonts w:ascii="Cambria" w:hAnsi="Cambria"/>
        </w:rPr>
        <w:instrText xml:space="preserve"> SEQ Tabelul_nr. \* ARABIC \s 1 </w:instrText>
      </w:r>
      <w:r w:rsidR="000A2FE7" w:rsidRPr="00EA1BB2">
        <w:rPr>
          <w:rFonts w:ascii="Cambria" w:hAnsi="Cambria"/>
        </w:rPr>
        <w:fldChar w:fldCharType="separate"/>
      </w:r>
      <w:r w:rsidR="00567555">
        <w:rPr>
          <w:rFonts w:ascii="Cambria" w:hAnsi="Cambria"/>
          <w:noProof/>
        </w:rPr>
        <w:t>7</w:t>
      </w:r>
      <w:r w:rsidR="000A2FE7" w:rsidRPr="00EA1BB2">
        <w:rPr>
          <w:rFonts w:ascii="Cambria" w:hAnsi="Cambria"/>
        </w:rPr>
        <w:fldChar w:fldCharType="end"/>
      </w:r>
      <w:r w:rsidRPr="00EA1BB2">
        <w:rPr>
          <w:rFonts w:ascii="Cambria" w:hAnsi="Cambria"/>
        </w:rPr>
        <w:t xml:space="preserve"> – Emisiile de poluanți în atmosferă în anul de proiecție</w:t>
      </w:r>
      <w:bookmarkEnd w:id="265"/>
    </w:p>
    <w:tbl>
      <w:tblPr>
        <w:tblStyle w:val="TableGrid58"/>
        <w:tblW w:w="5005" w:type="pct"/>
        <w:jc w:val="center"/>
        <w:tblLook w:val="04A0" w:firstRow="1" w:lastRow="0" w:firstColumn="1" w:lastColumn="0" w:noHBand="0" w:noVBand="1"/>
      </w:tblPr>
      <w:tblGrid>
        <w:gridCol w:w="2813"/>
        <w:gridCol w:w="3004"/>
        <w:gridCol w:w="1734"/>
        <w:gridCol w:w="1744"/>
      </w:tblGrid>
      <w:tr w:rsidR="0095565D" w:rsidRPr="00EA1BB2" w14:paraId="7B8CD23C" w14:textId="77777777" w:rsidTr="00B84975">
        <w:trPr>
          <w:trHeight w:val="280"/>
          <w:tblHeader/>
          <w:jc w:val="center"/>
        </w:trPr>
        <w:tc>
          <w:tcPr>
            <w:tcW w:w="1513" w:type="pct"/>
            <w:vMerge w:val="restart"/>
            <w:shd w:val="clear" w:color="auto" w:fill="BDD6EE" w:themeFill="accent1" w:themeFillTint="66"/>
            <w:vAlign w:val="center"/>
          </w:tcPr>
          <w:p w14:paraId="3860E468" w14:textId="77777777" w:rsidR="0095565D" w:rsidRPr="00EA1BB2" w:rsidRDefault="0095565D" w:rsidP="00B84975">
            <w:pPr>
              <w:jc w:val="center"/>
              <w:rPr>
                <w:rFonts w:ascii="Cambria" w:hAnsi="Cambria"/>
                <w:b/>
                <w:sz w:val="24"/>
                <w:szCs w:val="24"/>
              </w:rPr>
            </w:pPr>
            <w:r w:rsidRPr="00EA1BB2">
              <w:rPr>
                <w:rFonts w:ascii="Cambria" w:hAnsi="Cambria"/>
                <w:b/>
                <w:sz w:val="24"/>
                <w:szCs w:val="24"/>
              </w:rPr>
              <w:t>Indicator</w:t>
            </w:r>
          </w:p>
        </w:tc>
        <w:tc>
          <w:tcPr>
            <w:tcW w:w="1616" w:type="pct"/>
            <w:vMerge w:val="restart"/>
            <w:shd w:val="clear" w:color="auto" w:fill="BDD6EE" w:themeFill="accent1" w:themeFillTint="66"/>
            <w:vAlign w:val="center"/>
          </w:tcPr>
          <w:p w14:paraId="7827342F" w14:textId="77777777" w:rsidR="0095565D" w:rsidRPr="00EA1BB2" w:rsidRDefault="0095565D" w:rsidP="00B84975">
            <w:pPr>
              <w:jc w:val="center"/>
              <w:rPr>
                <w:rFonts w:ascii="Cambria" w:hAnsi="Cambria"/>
                <w:b/>
                <w:sz w:val="24"/>
                <w:szCs w:val="24"/>
              </w:rPr>
            </w:pPr>
            <w:r w:rsidRPr="00EA1BB2">
              <w:rPr>
                <w:rFonts w:ascii="Cambria" w:hAnsi="Cambria"/>
                <w:b/>
                <w:sz w:val="24"/>
                <w:szCs w:val="24"/>
              </w:rPr>
              <w:t>Categorie surse de emisie</w:t>
            </w:r>
          </w:p>
        </w:tc>
        <w:tc>
          <w:tcPr>
            <w:tcW w:w="1871" w:type="pct"/>
            <w:gridSpan w:val="2"/>
            <w:shd w:val="clear" w:color="auto" w:fill="BDD6EE" w:themeFill="accent1" w:themeFillTint="66"/>
            <w:vAlign w:val="center"/>
          </w:tcPr>
          <w:p w14:paraId="1309D714" w14:textId="77777777" w:rsidR="0095565D" w:rsidRPr="00EA1BB2" w:rsidRDefault="0095565D" w:rsidP="00B84975">
            <w:pPr>
              <w:jc w:val="center"/>
              <w:rPr>
                <w:rFonts w:ascii="Cambria" w:hAnsi="Cambria"/>
                <w:b/>
                <w:sz w:val="24"/>
                <w:szCs w:val="24"/>
              </w:rPr>
            </w:pPr>
            <w:r w:rsidRPr="00EA1BB2">
              <w:rPr>
                <w:rFonts w:ascii="Cambria" w:hAnsi="Cambria"/>
                <w:b/>
                <w:sz w:val="24"/>
                <w:szCs w:val="24"/>
              </w:rPr>
              <w:t>Cantitatea totală de emisii 2022</w:t>
            </w:r>
          </w:p>
        </w:tc>
      </w:tr>
      <w:tr w:rsidR="0095565D" w:rsidRPr="00EA1BB2" w14:paraId="398244B3" w14:textId="77777777" w:rsidTr="00B84975">
        <w:trPr>
          <w:trHeight w:val="280"/>
          <w:tblHeader/>
          <w:jc w:val="center"/>
        </w:trPr>
        <w:tc>
          <w:tcPr>
            <w:tcW w:w="1513" w:type="pct"/>
            <w:vMerge/>
            <w:shd w:val="clear" w:color="auto" w:fill="BDD6EE" w:themeFill="accent1" w:themeFillTint="66"/>
            <w:vAlign w:val="center"/>
          </w:tcPr>
          <w:p w14:paraId="646A3BEF" w14:textId="77777777" w:rsidR="0095565D" w:rsidRPr="00EA1BB2" w:rsidRDefault="0095565D" w:rsidP="00B84975">
            <w:pPr>
              <w:jc w:val="center"/>
              <w:rPr>
                <w:rFonts w:ascii="Cambria" w:hAnsi="Cambria"/>
                <w:b/>
                <w:sz w:val="24"/>
                <w:szCs w:val="24"/>
              </w:rPr>
            </w:pPr>
          </w:p>
        </w:tc>
        <w:tc>
          <w:tcPr>
            <w:tcW w:w="1616" w:type="pct"/>
            <w:vMerge/>
            <w:shd w:val="clear" w:color="auto" w:fill="BDD6EE" w:themeFill="accent1" w:themeFillTint="66"/>
            <w:vAlign w:val="center"/>
          </w:tcPr>
          <w:p w14:paraId="5A8A2EA4" w14:textId="77777777" w:rsidR="0095565D" w:rsidRPr="00EA1BB2" w:rsidRDefault="0095565D" w:rsidP="00B84975">
            <w:pPr>
              <w:jc w:val="center"/>
              <w:rPr>
                <w:rFonts w:ascii="Cambria" w:hAnsi="Cambria"/>
                <w:b/>
                <w:sz w:val="24"/>
                <w:szCs w:val="24"/>
              </w:rPr>
            </w:pPr>
          </w:p>
        </w:tc>
        <w:tc>
          <w:tcPr>
            <w:tcW w:w="933" w:type="pct"/>
            <w:shd w:val="clear" w:color="auto" w:fill="BDD6EE" w:themeFill="accent1" w:themeFillTint="66"/>
            <w:vAlign w:val="center"/>
          </w:tcPr>
          <w:p w14:paraId="022C3C39" w14:textId="77777777" w:rsidR="0095565D" w:rsidRPr="00EA1BB2" w:rsidRDefault="0095565D" w:rsidP="00B84975">
            <w:pPr>
              <w:jc w:val="center"/>
              <w:rPr>
                <w:rFonts w:ascii="Cambria" w:hAnsi="Cambria"/>
                <w:b/>
                <w:sz w:val="24"/>
                <w:szCs w:val="24"/>
              </w:rPr>
            </w:pPr>
            <w:r w:rsidRPr="00EA1BB2">
              <w:rPr>
                <w:rFonts w:ascii="Cambria" w:hAnsi="Cambria"/>
                <w:b/>
                <w:sz w:val="24"/>
                <w:szCs w:val="24"/>
              </w:rPr>
              <w:t>(t/an)</w:t>
            </w:r>
          </w:p>
        </w:tc>
        <w:tc>
          <w:tcPr>
            <w:tcW w:w="938" w:type="pct"/>
            <w:shd w:val="clear" w:color="auto" w:fill="BDD6EE" w:themeFill="accent1" w:themeFillTint="66"/>
          </w:tcPr>
          <w:p w14:paraId="760F06BC" w14:textId="77777777" w:rsidR="0095565D" w:rsidRPr="00EA1BB2" w:rsidRDefault="0095565D" w:rsidP="00B84975">
            <w:pPr>
              <w:jc w:val="center"/>
              <w:rPr>
                <w:rFonts w:ascii="Cambria" w:hAnsi="Cambria"/>
                <w:b/>
                <w:sz w:val="24"/>
                <w:szCs w:val="24"/>
              </w:rPr>
            </w:pPr>
            <w:r w:rsidRPr="00EA1BB2">
              <w:rPr>
                <w:rFonts w:ascii="Cambria" w:hAnsi="Cambria"/>
                <w:b/>
                <w:sz w:val="24"/>
                <w:szCs w:val="24"/>
              </w:rPr>
              <w:t>%</w:t>
            </w:r>
          </w:p>
        </w:tc>
      </w:tr>
      <w:tr w:rsidR="000F7F91" w:rsidRPr="00EA1BB2" w14:paraId="6A07F0FB" w14:textId="77777777" w:rsidTr="00B84975">
        <w:trPr>
          <w:jc w:val="center"/>
        </w:trPr>
        <w:tc>
          <w:tcPr>
            <w:tcW w:w="1513" w:type="pct"/>
            <w:vMerge w:val="restart"/>
            <w:vAlign w:val="center"/>
          </w:tcPr>
          <w:p w14:paraId="55924EE2" w14:textId="77777777" w:rsidR="000F7F91" w:rsidRPr="00EA1BB2" w:rsidRDefault="000F7F91" w:rsidP="000F7F91">
            <w:pPr>
              <w:jc w:val="center"/>
              <w:rPr>
                <w:rFonts w:ascii="Cambria" w:hAnsi="Cambria"/>
                <w:sz w:val="24"/>
                <w:szCs w:val="24"/>
              </w:rPr>
            </w:pPr>
            <w:r w:rsidRPr="00EA1BB2">
              <w:rPr>
                <w:rFonts w:ascii="Cambria" w:hAnsi="Cambria"/>
                <w:sz w:val="24"/>
                <w:szCs w:val="24"/>
              </w:rPr>
              <w:t xml:space="preserve">Oxizi de azot </w:t>
            </w:r>
          </w:p>
          <w:p w14:paraId="68E9155B" w14:textId="77777777" w:rsidR="000F7F91" w:rsidRPr="00EA1BB2" w:rsidRDefault="000F7F91" w:rsidP="000F7F91">
            <w:pPr>
              <w:jc w:val="center"/>
              <w:rPr>
                <w:rFonts w:ascii="Cambria" w:hAnsi="Cambria"/>
                <w:sz w:val="24"/>
                <w:szCs w:val="24"/>
              </w:rPr>
            </w:pPr>
            <w:r w:rsidRPr="00EA1BB2">
              <w:rPr>
                <w:rFonts w:ascii="Cambria" w:hAnsi="Cambria"/>
                <w:sz w:val="24"/>
                <w:szCs w:val="24"/>
              </w:rPr>
              <w:t>(NO</w:t>
            </w:r>
            <w:r w:rsidRPr="00EA1BB2">
              <w:rPr>
                <w:rFonts w:ascii="Cambria" w:hAnsi="Cambria"/>
                <w:sz w:val="24"/>
                <w:szCs w:val="24"/>
                <w:vertAlign w:val="subscript"/>
              </w:rPr>
              <w:t>X</w:t>
            </w:r>
            <w:r w:rsidRPr="00EA1BB2">
              <w:rPr>
                <w:rFonts w:ascii="Cambria" w:hAnsi="Cambria"/>
                <w:sz w:val="24"/>
                <w:szCs w:val="24"/>
              </w:rPr>
              <w:t xml:space="preserve">) </w:t>
            </w:r>
          </w:p>
        </w:tc>
        <w:tc>
          <w:tcPr>
            <w:tcW w:w="1616" w:type="pct"/>
            <w:vAlign w:val="center"/>
          </w:tcPr>
          <w:p w14:paraId="50E53B6B"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staționare</w:t>
            </w:r>
          </w:p>
        </w:tc>
        <w:tc>
          <w:tcPr>
            <w:tcW w:w="933" w:type="pct"/>
            <w:tcBorders>
              <w:top w:val="single" w:sz="4" w:space="0" w:color="auto"/>
              <w:left w:val="nil"/>
              <w:bottom w:val="single" w:sz="4" w:space="0" w:color="auto"/>
              <w:right w:val="single" w:sz="4" w:space="0" w:color="auto"/>
            </w:tcBorders>
            <w:shd w:val="clear" w:color="auto" w:fill="auto"/>
          </w:tcPr>
          <w:p w14:paraId="05255F47"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16,712</w:t>
            </w:r>
          </w:p>
        </w:tc>
        <w:tc>
          <w:tcPr>
            <w:tcW w:w="938" w:type="pct"/>
            <w:tcBorders>
              <w:top w:val="single" w:sz="4" w:space="0" w:color="auto"/>
              <w:left w:val="nil"/>
              <w:bottom w:val="single" w:sz="4" w:space="0" w:color="auto"/>
              <w:right w:val="single" w:sz="4" w:space="0" w:color="auto"/>
            </w:tcBorders>
          </w:tcPr>
          <w:p w14:paraId="05C4CD63" w14:textId="77777777" w:rsidR="000F7F91" w:rsidRPr="00EA1BB2" w:rsidRDefault="00F82F4D" w:rsidP="000F7F91">
            <w:pPr>
              <w:jc w:val="center"/>
              <w:rPr>
                <w:rFonts w:ascii="Cambria" w:hAnsi="Cambria"/>
                <w:sz w:val="24"/>
                <w:szCs w:val="24"/>
              </w:rPr>
            </w:pPr>
            <w:r w:rsidRPr="00EA1BB2">
              <w:rPr>
                <w:rFonts w:ascii="Cambria" w:hAnsi="Cambria"/>
                <w:sz w:val="24"/>
                <w:szCs w:val="24"/>
              </w:rPr>
              <w:t>3,69</w:t>
            </w:r>
          </w:p>
        </w:tc>
      </w:tr>
      <w:tr w:rsidR="000F7F91" w:rsidRPr="00EA1BB2" w14:paraId="5D4C4E91" w14:textId="77777777" w:rsidTr="00B84975">
        <w:trPr>
          <w:jc w:val="center"/>
        </w:trPr>
        <w:tc>
          <w:tcPr>
            <w:tcW w:w="1513" w:type="pct"/>
            <w:vMerge/>
            <w:vAlign w:val="center"/>
          </w:tcPr>
          <w:p w14:paraId="4DB4B8DB" w14:textId="77777777" w:rsidR="000F7F91" w:rsidRPr="00EA1BB2" w:rsidRDefault="000F7F91" w:rsidP="000F7F91">
            <w:pPr>
              <w:jc w:val="center"/>
              <w:rPr>
                <w:rFonts w:ascii="Cambria" w:hAnsi="Cambria"/>
                <w:sz w:val="24"/>
                <w:szCs w:val="24"/>
              </w:rPr>
            </w:pPr>
          </w:p>
        </w:tc>
        <w:tc>
          <w:tcPr>
            <w:tcW w:w="1616" w:type="pct"/>
            <w:vAlign w:val="center"/>
          </w:tcPr>
          <w:p w14:paraId="29248413"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mobile</w:t>
            </w:r>
          </w:p>
        </w:tc>
        <w:tc>
          <w:tcPr>
            <w:tcW w:w="933" w:type="pct"/>
            <w:tcBorders>
              <w:top w:val="single" w:sz="4" w:space="0" w:color="auto"/>
              <w:left w:val="nil"/>
              <w:bottom w:val="single" w:sz="4" w:space="0" w:color="auto"/>
              <w:right w:val="single" w:sz="4" w:space="0" w:color="auto"/>
            </w:tcBorders>
            <w:shd w:val="clear" w:color="auto" w:fill="auto"/>
          </w:tcPr>
          <w:p w14:paraId="78EB908F"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401,585</w:t>
            </w:r>
          </w:p>
        </w:tc>
        <w:tc>
          <w:tcPr>
            <w:tcW w:w="938" w:type="pct"/>
            <w:tcBorders>
              <w:top w:val="single" w:sz="4" w:space="0" w:color="auto"/>
              <w:left w:val="nil"/>
              <w:bottom w:val="single" w:sz="4" w:space="0" w:color="auto"/>
              <w:right w:val="single" w:sz="4" w:space="0" w:color="auto"/>
            </w:tcBorders>
          </w:tcPr>
          <w:p w14:paraId="0015BEFB" w14:textId="77777777" w:rsidR="000F7F91" w:rsidRPr="00EA1BB2" w:rsidRDefault="00F82F4D" w:rsidP="000F7F91">
            <w:pPr>
              <w:jc w:val="center"/>
              <w:rPr>
                <w:rFonts w:ascii="Cambria" w:hAnsi="Cambria"/>
                <w:sz w:val="24"/>
                <w:szCs w:val="24"/>
              </w:rPr>
            </w:pPr>
            <w:r w:rsidRPr="00EA1BB2">
              <w:rPr>
                <w:rFonts w:ascii="Cambria" w:hAnsi="Cambria"/>
                <w:sz w:val="24"/>
                <w:szCs w:val="24"/>
              </w:rPr>
              <w:t>88,70</w:t>
            </w:r>
          </w:p>
        </w:tc>
      </w:tr>
      <w:tr w:rsidR="000F7F91" w:rsidRPr="00EA1BB2" w14:paraId="69A71678" w14:textId="77777777" w:rsidTr="00B84975">
        <w:trPr>
          <w:trHeight w:val="182"/>
          <w:jc w:val="center"/>
        </w:trPr>
        <w:tc>
          <w:tcPr>
            <w:tcW w:w="1513" w:type="pct"/>
            <w:vMerge/>
            <w:vAlign w:val="center"/>
          </w:tcPr>
          <w:p w14:paraId="536EF109" w14:textId="77777777" w:rsidR="000F7F91" w:rsidRPr="00EA1BB2" w:rsidRDefault="000F7F91" w:rsidP="000F7F91">
            <w:pPr>
              <w:jc w:val="center"/>
              <w:rPr>
                <w:rFonts w:ascii="Cambria" w:hAnsi="Cambria"/>
                <w:sz w:val="24"/>
                <w:szCs w:val="24"/>
              </w:rPr>
            </w:pPr>
          </w:p>
        </w:tc>
        <w:tc>
          <w:tcPr>
            <w:tcW w:w="1616" w:type="pct"/>
            <w:vAlign w:val="center"/>
          </w:tcPr>
          <w:p w14:paraId="6221BE02"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de suprafață</w:t>
            </w:r>
          </w:p>
        </w:tc>
        <w:tc>
          <w:tcPr>
            <w:tcW w:w="933" w:type="pct"/>
            <w:tcBorders>
              <w:top w:val="single" w:sz="4" w:space="0" w:color="auto"/>
              <w:left w:val="nil"/>
              <w:bottom w:val="single" w:sz="4" w:space="0" w:color="auto"/>
              <w:right w:val="single" w:sz="4" w:space="0" w:color="auto"/>
            </w:tcBorders>
            <w:shd w:val="clear" w:color="auto" w:fill="auto"/>
          </w:tcPr>
          <w:p w14:paraId="43834777"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34,428</w:t>
            </w:r>
          </w:p>
        </w:tc>
        <w:tc>
          <w:tcPr>
            <w:tcW w:w="938" w:type="pct"/>
            <w:tcBorders>
              <w:top w:val="single" w:sz="4" w:space="0" w:color="auto"/>
              <w:left w:val="nil"/>
              <w:bottom w:val="single" w:sz="4" w:space="0" w:color="auto"/>
              <w:right w:val="single" w:sz="4" w:space="0" w:color="auto"/>
            </w:tcBorders>
          </w:tcPr>
          <w:p w14:paraId="1E5979EC" w14:textId="77777777" w:rsidR="000F7F91" w:rsidRPr="00EA1BB2" w:rsidRDefault="00F82F4D" w:rsidP="000F7F91">
            <w:pPr>
              <w:jc w:val="center"/>
              <w:rPr>
                <w:rFonts w:ascii="Cambria" w:hAnsi="Cambria"/>
                <w:sz w:val="24"/>
                <w:szCs w:val="24"/>
              </w:rPr>
            </w:pPr>
            <w:r w:rsidRPr="00EA1BB2">
              <w:rPr>
                <w:rFonts w:ascii="Cambria" w:hAnsi="Cambria"/>
                <w:sz w:val="24"/>
                <w:szCs w:val="24"/>
              </w:rPr>
              <w:t>7,60</w:t>
            </w:r>
          </w:p>
        </w:tc>
      </w:tr>
      <w:tr w:rsidR="000F7F91" w:rsidRPr="00EA1BB2" w14:paraId="22EF13B2" w14:textId="77777777" w:rsidTr="00B84975">
        <w:trPr>
          <w:jc w:val="center"/>
        </w:trPr>
        <w:tc>
          <w:tcPr>
            <w:tcW w:w="1513" w:type="pct"/>
            <w:vMerge/>
            <w:vAlign w:val="center"/>
          </w:tcPr>
          <w:p w14:paraId="4A15DB3A" w14:textId="77777777" w:rsidR="000F7F91" w:rsidRPr="00EA1BB2" w:rsidRDefault="000F7F91" w:rsidP="000F7F91">
            <w:pPr>
              <w:jc w:val="center"/>
              <w:rPr>
                <w:rFonts w:ascii="Cambria" w:hAnsi="Cambria"/>
                <w:sz w:val="24"/>
                <w:szCs w:val="24"/>
              </w:rPr>
            </w:pPr>
          </w:p>
        </w:tc>
        <w:tc>
          <w:tcPr>
            <w:tcW w:w="1616" w:type="pct"/>
            <w:vAlign w:val="center"/>
          </w:tcPr>
          <w:p w14:paraId="43880D8C" w14:textId="77777777" w:rsidR="000F7F91" w:rsidRPr="00EA1BB2" w:rsidRDefault="000F7F91" w:rsidP="000F7F91">
            <w:pPr>
              <w:jc w:val="center"/>
              <w:rPr>
                <w:rFonts w:ascii="Cambria" w:hAnsi="Cambria"/>
                <w:sz w:val="24"/>
                <w:szCs w:val="24"/>
              </w:rPr>
            </w:pPr>
            <w:r w:rsidRPr="00EA1BB2">
              <w:rPr>
                <w:rFonts w:ascii="Cambria" w:hAnsi="Cambria"/>
                <w:sz w:val="24"/>
                <w:szCs w:val="24"/>
              </w:rPr>
              <w:t>TOTAL</w:t>
            </w:r>
          </w:p>
        </w:tc>
        <w:tc>
          <w:tcPr>
            <w:tcW w:w="933" w:type="pct"/>
            <w:tcBorders>
              <w:top w:val="single" w:sz="4" w:space="0" w:color="auto"/>
              <w:left w:val="nil"/>
              <w:bottom w:val="single" w:sz="4" w:space="0" w:color="auto"/>
              <w:right w:val="single" w:sz="4" w:space="0" w:color="auto"/>
            </w:tcBorders>
            <w:shd w:val="clear" w:color="auto" w:fill="auto"/>
          </w:tcPr>
          <w:p w14:paraId="557C86A7"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452,725</w:t>
            </w:r>
          </w:p>
        </w:tc>
        <w:tc>
          <w:tcPr>
            <w:tcW w:w="938" w:type="pct"/>
            <w:tcBorders>
              <w:top w:val="single" w:sz="4" w:space="0" w:color="auto"/>
              <w:left w:val="nil"/>
              <w:bottom w:val="single" w:sz="4" w:space="0" w:color="auto"/>
              <w:right w:val="single" w:sz="4" w:space="0" w:color="auto"/>
            </w:tcBorders>
          </w:tcPr>
          <w:p w14:paraId="2546A9DC" w14:textId="77777777" w:rsidR="000F7F91" w:rsidRPr="00EA1BB2" w:rsidRDefault="00F82F4D" w:rsidP="000F7F91">
            <w:pPr>
              <w:jc w:val="center"/>
              <w:rPr>
                <w:rFonts w:ascii="Cambria" w:hAnsi="Cambria"/>
                <w:sz w:val="24"/>
                <w:szCs w:val="24"/>
              </w:rPr>
            </w:pPr>
            <w:r w:rsidRPr="00EA1BB2">
              <w:rPr>
                <w:rFonts w:ascii="Cambria" w:hAnsi="Cambria"/>
                <w:sz w:val="24"/>
                <w:szCs w:val="24"/>
              </w:rPr>
              <w:t>100</w:t>
            </w:r>
          </w:p>
        </w:tc>
      </w:tr>
      <w:tr w:rsidR="000F7F91" w:rsidRPr="00EA1BB2" w14:paraId="41A08B51" w14:textId="77777777" w:rsidTr="00B84975">
        <w:trPr>
          <w:jc w:val="center"/>
        </w:trPr>
        <w:tc>
          <w:tcPr>
            <w:tcW w:w="1513" w:type="pct"/>
            <w:vMerge w:val="restart"/>
            <w:vAlign w:val="center"/>
          </w:tcPr>
          <w:p w14:paraId="48D36509" w14:textId="77777777" w:rsidR="000F7F91" w:rsidRPr="00EA1BB2" w:rsidRDefault="000F7F91" w:rsidP="000F7F91">
            <w:pPr>
              <w:jc w:val="center"/>
              <w:rPr>
                <w:rFonts w:ascii="Cambria" w:hAnsi="Cambria"/>
                <w:sz w:val="24"/>
                <w:szCs w:val="24"/>
              </w:rPr>
            </w:pPr>
            <w:r w:rsidRPr="00EA1BB2">
              <w:rPr>
                <w:rFonts w:ascii="Cambria" w:hAnsi="Cambria"/>
                <w:sz w:val="24"/>
                <w:szCs w:val="24"/>
              </w:rPr>
              <w:t>Pulberi în suspensie (PM</w:t>
            </w:r>
            <w:r w:rsidRPr="00EA1BB2">
              <w:rPr>
                <w:rFonts w:ascii="Cambria" w:hAnsi="Cambria"/>
                <w:sz w:val="24"/>
                <w:szCs w:val="24"/>
                <w:vertAlign w:val="subscript"/>
              </w:rPr>
              <w:t>10</w:t>
            </w:r>
            <w:r w:rsidRPr="00EA1BB2">
              <w:rPr>
                <w:rFonts w:ascii="Cambria" w:hAnsi="Cambria"/>
                <w:sz w:val="24"/>
                <w:szCs w:val="24"/>
              </w:rPr>
              <w:t>)</w:t>
            </w:r>
          </w:p>
        </w:tc>
        <w:tc>
          <w:tcPr>
            <w:tcW w:w="1616" w:type="pct"/>
            <w:vAlign w:val="center"/>
          </w:tcPr>
          <w:p w14:paraId="70D7EE25"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staționare</w:t>
            </w:r>
          </w:p>
        </w:tc>
        <w:tc>
          <w:tcPr>
            <w:tcW w:w="933" w:type="pct"/>
            <w:tcBorders>
              <w:top w:val="single" w:sz="4" w:space="0" w:color="auto"/>
              <w:left w:val="nil"/>
              <w:bottom w:val="single" w:sz="4" w:space="0" w:color="auto"/>
              <w:right w:val="single" w:sz="4" w:space="0" w:color="auto"/>
            </w:tcBorders>
            <w:shd w:val="clear" w:color="auto" w:fill="auto"/>
          </w:tcPr>
          <w:p w14:paraId="26D80684"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504,123</w:t>
            </w:r>
          </w:p>
        </w:tc>
        <w:tc>
          <w:tcPr>
            <w:tcW w:w="938" w:type="pct"/>
            <w:tcBorders>
              <w:top w:val="single" w:sz="4" w:space="0" w:color="auto"/>
              <w:left w:val="nil"/>
              <w:bottom w:val="single" w:sz="4" w:space="0" w:color="auto"/>
              <w:right w:val="single" w:sz="4" w:space="0" w:color="auto"/>
            </w:tcBorders>
          </w:tcPr>
          <w:p w14:paraId="487EC035" w14:textId="77777777" w:rsidR="000F7F91" w:rsidRPr="00EA1BB2" w:rsidRDefault="00F82F4D" w:rsidP="000F7F91">
            <w:pPr>
              <w:jc w:val="center"/>
              <w:rPr>
                <w:rFonts w:ascii="Cambria" w:hAnsi="Cambria"/>
                <w:sz w:val="24"/>
                <w:szCs w:val="24"/>
              </w:rPr>
            </w:pPr>
            <w:r w:rsidRPr="00EA1BB2">
              <w:rPr>
                <w:rFonts w:ascii="Cambria" w:hAnsi="Cambria"/>
                <w:sz w:val="24"/>
                <w:szCs w:val="24"/>
              </w:rPr>
              <w:t>63,00</w:t>
            </w:r>
          </w:p>
        </w:tc>
      </w:tr>
      <w:tr w:rsidR="000F7F91" w:rsidRPr="00EA1BB2" w14:paraId="00A802D1" w14:textId="77777777" w:rsidTr="00B84975">
        <w:trPr>
          <w:jc w:val="center"/>
        </w:trPr>
        <w:tc>
          <w:tcPr>
            <w:tcW w:w="1513" w:type="pct"/>
            <w:vMerge/>
            <w:vAlign w:val="center"/>
          </w:tcPr>
          <w:p w14:paraId="470D8901" w14:textId="77777777" w:rsidR="000F7F91" w:rsidRPr="00EA1BB2" w:rsidRDefault="000F7F91" w:rsidP="000F7F91">
            <w:pPr>
              <w:jc w:val="center"/>
              <w:rPr>
                <w:rFonts w:ascii="Cambria" w:hAnsi="Cambria"/>
                <w:sz w:val="24"/>
                <w:szCs w:val="24"/>
              </w:rPr>
            </w:pPr>
          </w:p>
        </w:tc>
        <w:tc>
          <w:tcPr>
            <w:tcW w:w="1616" w:type="pct"/>
            <w:vAlign w:val="center"/>
          </w:tcPr>
          <w:p w14:paraId="6D4DB863"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mobile</w:t>
            </w:r>
          </w:p>
        </w:tc>
        <w:tc>
          <w:tcPr>
            <w:tcW w:w="933" w:type="pct"/>
            <w:tcBorders>
              <w:top w:val="single" w:sz="4" w:space="0" w:color="auto"/>
              <w:left w:val="nil"/>
              <w:bottom w:val="single" w:sz="4" w:space="0" w:color="auto"/>
              <w:right w:val="single" w:sz="4" w:space="0" w:color="auto"/>
            </w:tcBorders>
            <w:shd w:val="clear" w:color="auto" w:fill="auto"/>
          </w:tcPr>
          <w:p w14:paraId="59A7A3AD"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41,789</w:t>
            </w:r>
          </w:p>
        </w:tc>
        <w:tc>
          <w:tcPr>
            <w:tcW w:w="938" w:type="pct"/>
            <w:tcBorders>
              <w:top w:val="single" w:sz="4" w:space="0" w:color="auto"/>
              <w:left w:val="nil"/>
              <w:bottom w:val="single" w:sz="4" w:space="0" w:color="auto"/>
              <w:right w:val="single" w:sz="4" w:space="0" w:color="auto"/>
            </w:tcBorders>
          </w:tcPr>
          <w:p w14:paraId="0F3F0B7A" w14:textId="77777777" w:rsidR="000F7F91" w:rsidRPr="00EA1BB2" w:rsidRDefault="00F82F4D" w:rsidP="000F7F91">
            <w:pPr>
              <w:jc w:val="center"/>
              <w:rPr>
                <w:rFonts w:ascii="Cambria" w:hAnsi="Cambria"/>
                <w:sz w:val="24"/>
                <w:szCs w:val="24"/>
              </w:rPr>
            </w:pPr>
            <w:r w:rsidRPr="00EA1BB2">
              <w:rPr>
                <w:rFonts w:ascii="Cambria" w:hAnsi="Cambria"/>
                <w:sz w:val="24"/>
                <w:szCs w:val="24"/>
              </w:rPr>
              <w:t>5,22</w:t>
            </w:r>
          </w:p>
        </w:tc>
      </w:tr>
      <w:tr w:rsidR="000F7F91" w:rsidRPr="00EA1BB2" w14:paraId="42883420" w14:textId="77777777" w:rsidTr="00B84975">
        <w:trPr>
          <w:jc w:val="center"/>
        </w:trPr>
        <w:tc>
          <w:tcPr>
            <w:tcW w:w="1513" w:type="pct"/>
            <w:vMerge/>
            <w:vAlign w:val="center"/>
          </w:tcPr>
          <w:p w14:paraId="4880C7F1" w14:textId="77777777" w:rsidR="000F7F91" w:rsidRPr="00EA1BB2" w:rsidRDefault="000F7F91" w:rsidP="000F7F91">
            <w:pPr>
              <w:jc w:val="center"/>
              <w:rPr>
                <w:rFonts w:ascii="Cambria" w:hAnsi="Cambria"/>
                <w:sz w:val="24"/>
                <w:szCs w:val="24"/>
              </w:rPr>
            </w:pPr>
          </w:p>
        </w:tc>
        <w:tc>
          <w:tcPr>
            <w:tcW w:w="1616" w:type="pct"/>
            <w:vAlign w:val="center"/>
          </w:tcPr>
          <w:p w14:paraId="0F83555A"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de suprafață</w:t>
            </w:r>
          </w:p>
        </w:tc>
        <w:tc>
          <w:tcPr>
            <w:tcW w:w="933" w:type="pct"/>
            <w:tcBorders>
              <w:top w:val="single" w:sz="4" w:space="0" w:color="auto"/>
              <w:left w:val="nil"/>
              <w:bottom w:val="single" w:sz="4" w:space="0" w:color="auto"/>
              <w:right w:val="single" w:sz="4" w:space="0" w:color="auto"/>
            </w:tcBorders>
            <w:shd w:val="clear" w:color="auto" w:fill="auto"/>
          </w:tcPr>
          <w:p w14:paraId="3C6E12BF"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254,327</w:t>
            </w:r>
          </w:p>
        </w:tc>
        <w:tc>
          <w:tcPr>
            <w:tcW w:w="938" w:type="pct"/>
            <w:tcBorders>
              <w:top w:val="single" w:sz="4" w:space="0" w:color="auto"/>
              <w:left w:val="nil"/>
              <w:bottom w:val="single" w:sz="4" w:space="0" w:color="auto"/>
              <w:right w:val="single" w:sz="4" w:space="0" w:color="auto"/>
            </w:tcBorders>
          </w:tcPr>
          <w:p w14:paraId="65D1F3F0" w14:textId="77777777" w:rsidR="000F7F91" w:rsidRPr="00EA1BB2" w:rsidRDefault="00F82F4D" w:rsidP="000F7F91">
            <w:pPr>
              <w:jc w:val="center"/>
              <w:rPr>
                <w:rFonts w:ascii="Cambria" w:hAnsi="Cambria"/>
                <w:sz w:val="24"/>
                <w:szCs w:val="24"/>
              </w:rPr>
            </w:pPr>
            <w:r w:rsidRPr="00EA1BB2">
              <w:rPr>
                <w:rFonts w:ascii="Cambria" w:hAnsi="Cambria"/>
                <w:sz w:val="24"/>
                <w:szCs w:val="24"/>
              </w:rPr>
              <w:t>31,78</w:t>
            </w:r>
          </w:p>
        </w:tc>
      </w:tr>
      <w:tr w:rsidR="000F7F91" w:rsidRPr="00EA1BB2" w14:paraId="108D598E" w14:textId="77777777" w:rsidTr="00B84975">
        <w:trPr>
          <w:jc w:val="center"/>
        </w:trPr>
        <w:tc>
          <w:tcPr>
            <w:tcW w:w="1513" w:type="pct"/>
            <w:vMerge/>
            <w:vAlign w:val="center"/>
          </w:tcPr>
          <w:p w14:paraId="7E4485B7" w14:textId="77777777" w:rsidR="000F7F91" w:rsidRPr="00EA1BB2" w:rsidRDefault="000F7F91" w:rsidP="000F7F91">
            <w:pPr>
              <w:jc w:val="center"/>
              <w:rPr>
                <w:rFonts w:ascii="Cambria" w:hAnsi="Cambria"/>
                <w:sz w:val="24"/>
                <w:szCs w:val="24"/>
              </w:rPr>
            </w:pPr>
          </w:p>
        </w:tc>
        <w:tc>
          <w:tcPr>
            <w:tcW w:w="1616" w:type="pct"/>
            <w:vAlign w:val="center"/>
          </w:tcPr>
          <w:p w14:paraId="25CAB25F" w14:textId="77777777" w:rsidR="000F7F91" w:rsidRPr="00EA1BB2" w:rsidRDefault="000F7F91" w:rsidP="000F7F91">
            <w:pPr>
              <w:jc w:val="center"/>
              <w:rPr>
                <w:rFonts w:ascii="Cambria" w:hAnsi="Cambria"/>
                <w:sz w:val="24"/>
                <w:szCs w:val="24"/>
              </w:rPr>
            </w:pPr>
            <w:r w:rsidRPr="00EA1BB2">
              <w:rPr>
                <w:rFonts w:ascii="Cambria" w:hAnsi="Cambria"/>
                <w:sz w:val="24"/>
                <w:szCs w:val="24"/>
              </w:rPr>
              <w:t>TOTAL</w:t>
            </w:r>
          </w:p>
        </w:tc>
        <w:tc>
          <w:tcPr>
            <w:tcW w:w="933" w:type="pct"/>
            <w:tcBorders>
              <w:top w:val="single" w:sz="4" w:space="0" w:color="auto"/>
              <w:left w:val="nil"/>
              <w:bottom w:val="single" w:sz="4" w:space="0" w:color="auto"/>
              <w:right w:val="single" w:sz="4" w:space="0" w:color="auto"/>
            </w:tcBorders>
            <w:shd w:val="clear" w:color="auto" w:fill="auto"/>
          </w:tcPr>
          <w:p w14:paraId="6C29A7C6"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800,239</w:t>
            </w:r>
          </w:p>
        </w:tc>
        <w:tc>
          <w:tcPr>
            <w:tcW w:w="938" w:type="pct"/>
            <w:tcBorders>
              <w:top w:val="single" w:sz="4" w:space="0" w:color="auto"/>
              <w:left w:val="nil"/>
              <w:bottom w:val="single" w:sz="4" w:space="0" w:color="auto"/>
              <w:right w:val="single" w:sz="4" w:space="0" w:color="auto"/>
            </w:tcBorders>
          </w:tcPr>
          <w:p w14:paraId="151638CA" w14:textId="77777777" w:rsidR="000F7F91" w:rsidRPr="00EA1BB2" w:rsidRDefault="00F82F4D" w:rsidP="000F7F91">
            <w:pPr>
              <w:jc w:val="center"/>
              <w:rPr>
                <w:rFonts w:ascii="Cambria" w:hAnsi="Cambria"/>
                <w:sz w:val="24"/>
                <w:szCs w:val="24"/>
              </w:rPr>
            </w:pPr>
            <w:r w:rsidRPr="00EA1BB2">
              <w:rPr>
                <w:rFonts w:ascii="Cambria" w:hAnsi="Cambria"/>
                <w:sz w:val="24"/>
                <w:szCs w:val="24"/>
              </w:rPr>
              <w:t>100</w:t>
            </w:r>
          </w:p>
        </w:tc>
      </w:tr>
      <w:tr w:rsidR="000F7F91" w:rsidRPr="00EA1BB2" w14:paraId="176FB1D4" w14:textId="77777777" w:rsidTr="00B84975">
        <w:trPr>
          <w:jc w:val="center"/>
        </w:trPr>
        <w:tc>
          <w:tcPr>
            <w:tcW w:w="1513" w:type="pct"/>
            <w:vMerge w:val="restart"/>
            <w:vAlign w:val="center"/>
          </w:tcPr>
          <w:p w14:paraId="19B14A98" w14:textId="77777777" w:rsidR="000F7F91" w:rsidRPr="00EA1BB2" w:rsidRDefault="000F7F91" w:rsidP="000F7F91">
            <w:pPr>
              <w:jc w:val="center"/>
              <w:rPr>
                <w:rFonts w:ascii="Cambria" w:hAnsi="Cambria"/>
                <w:sz w:val="24"/>
                <w:szCs w:val="24"/>
                <w:highlight w:val="yellow"/>
              </w:rPr>
            </w:pPr>
            <w:r w:rsidRPr="00EA1BB2">
              <w:rPr>
                <w:rFonts w:ascii="Cambria" w:hAnsi="Cambria"/>
                <w:sz w:val="24"/>
                <w:szCs w:val="24"/>
              </w:rPr>
              <w:t>Pulberi în suspensie (PM</w:t>
            </w:r>
            <w:r w:rsidRPr="00EA1BB2">
              <w:rPr>
                <w:rFonts w:ascii="Cambria" w:hAnsi="Cambria"/>
                <w:sz w:val="24"/>
                <w:szCs w:val="24"/>
                <w:vertAlign w:val="subscript"/>
              </w:rPr>
              <w:t>2,5</w:t>
            </w:r>
            <w:r w:rsidRPr="00EA1BB2">
              <w:rPr>
                <w:rFonts w:ascii="Cambria" w:hAnsi="Cambria"/>
                <w:sz w:val="24"/>
                <w:szCs w:val="24"/>
              </w:rPr>
              <w:t>)</w:t>
            </w:r>
          </w:p>
        </w:tc>
        <w:tc>
          <w:tcPr>
            <w:tcW w:w="1616" w:type="pct"/>
            <w:vAlign w:val="center"/>
          </w:tcPr>
          <w:p w14:paraId="418770ED"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staționare</w:t>
            </w:r>
          </w:p>
        </w:tc>
        <w:tc>
          <w:tcPr>
            <w:tcW w:w="933" w:type="pct"/>
            <w:tcBorders>
              <w:top w:val="single" w:sz="4" w:space="0" w:color="auto"/>
              <w:left w:val="nil"/>
              <w:bottom w:val="single" w:sz="4" w:space="0" w:color="auto"/>
              <w:right w:val="single" w:sz="4" w:space="0" w:color="auto"/>
            </w:tcBorders>
            <w:shd w:val="clear" w:color="auto" w:fill="auto"/>
          </w:tcPr>
          <w:p w14:paraId="0404076C"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126,248</w:t>
            </w:r>
          </w:p>
        </w:tc>
        <w:tc>
          <w:tcPr>
            <w:tcW w:w="938" w:type="pct"/>
            <w:tcBorders>
              <w:top w:val="single" w:sz="4" w:space="0" w:color="auto"/>
              <w:left w:val="nil"/>
              <w:bottom w:val="single" w:sz="4" w:space="0" w:color="auto"/>
              <w:right w:val="single" w:sz="4" w:space="0" w:color="auto"/>
            </w:tcBorders>
          </w:tcPr>
          <w:p w14:paraId="299D6D1D" w14:textId="77777777" w:rsidR="000F7F91" w:rsidRPr="00EA1BB2" w:rsidRDefault="00F82F4D" w:rsidP="000F7F91">
            <w:pPr>
              <w:jc w:val="center"/>
              <w:rPr>
                <w:rFonts w:ascii="Cambria" w:hAnsi="Cambria"/>
                <w:sz w:val="24"/>
                <w:szCs w:val="24"/>
              </w:rPr>
            </w:pPr>
            <w:r w:rsidRPr="00EA1BB2">
              <w:rPr>
                <w:rFonts w:ascii="Cambria" w:hAnsi="Cambria"/>
                <w:sz w:val="24"/>
                <w:szCs w:val="24"/>
              </w:rPr>
              <w:t>35,55</w:t>
            </w:r>
          </w:p>
        </w:tc>
      </w:tr>
      <w:tr w:rsidR="000F7F91" w:rsidRPr="00EA1BB2" w14:paraId="54417DA7" w14:textId="77777777" w:rsidTr="00B84975">
        <w:trPr>
          <w:jc w:val="center"/>
        </w:trPr>
        <w:tc>
          <w:tcPr>
            <w:tcW w:w="1513" w:type="pct"/>
            <w:vMerge/>
            <w:vAlign w:val="center"/>
          </w:tcPr>
          <w:p w14:paraId="3305BFA6" w14:textId="77777777" w:rsidR="000F7F91" w:rsidRPr="00EA1BB2" w:rsidRDefault="000F7F91" w:rsidP="000F7F91">
            <w:pPr>
              <w:jc w:val="center"/>
              <w:rPr>
                <w:rFonts w:ascii="Cambria" w:hAnsi="Cambria"/>
                <w:sz w:val="24"/>
                <w:szCs w:val="24"/>
              </w:rPr>
            </w:pPr>
          </w:p>
        </w:tc>
        <w:tc>
          <w:tcPr>
            <w:tcW w:w="1616" w:type="pct"/>
            <w:vAlign w:val="center"/>
          </w:tcPr>
          <w:p w14:paraId="7E960E87"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mobile</w:t>
            </w:r>
          </w:p>
        </w:tc>
        <w:tc>
          <w:tcPr>
            <w:tcW w:w="933" w:type="pct"/>
            <w:tcBorders>
              <w:top w:val="single" w:sz="4" w:space="0" w:color="auto"/>
              <w:left w:val="nil"/>
              <w:bottom w:val="single" w:sz="4" w:space="0" w:color="auto"/>
              <w:right w:val="single" w:sz="4" w:space="0" w:color="auto"/>
            </w:tcBorders>
            <w:shd w:val="clear" w:color="auto" w:fill="auto"/>
          </w:tcPr>
          <w:p w14:paraId="5DB85F55"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35,218</w:t>
            </w:r>
          </w:p>
        </w:tc>
        <w:tc>
          <w:tcPr>
            <w:tcW w:w="938" w:type="pct"/>
            <w:tcBorders>
              <w:top w:val="single" w:sz="4" w:space="0" w:color="auto"/>
              <w:left w:val="nil"/>
              <w:bottom w:val="single" w:sz="4" w:space="0" w:color="auto"/>
              <w:right w:val="single" w:sz="4" w:space="0" w:color="auto"/>
            </w:tcBorders>
          </w:tcPr>
          <w:p w14:paraId="052E1753" w14:textId="77777777" w:rsidR="000F7F91" w:rsidRPr="00EA1BB2" w:rsidRDefault="00F82F4D" w:rsidP="000F7F91">
            <w:pPr>
              <w:jc w:val="center"/>
              <w:rPr>
                <w:rFonts w:ascii="Cambria" w:hAnsi="Cambria"/>
                <w:sz w:val="24"/>
                <w:szCs w:val="24"/>
              </w:rPr>
            </w:pPr>
            <w:r w:rsidRPr="00EA1BB2">
              <w:rPr>
                <w:rFonts w:ascii="Cambria" w:hAnsi="Cambria"/>
                <w:sz w:val="24"/>
                <w:szCs w:val="24"/>
              </w:rPr>
              <w:t>9,92</w:t>
            </w:r>
          </w:p>
        </w:tc>
      </w:tr>
      <w:tr w:rsidR="000F7F91" w:rsidRPr="00EA1BB2" w14:paraId="3C390646" w14:textId="77777777" w:rsidTr="00B84975">
        <w:trPr>
          <w:jc w:val="center"/>
        </w:trPr>
        <w:tc>
          <w:tcPr>
            <w:tcW w:w="1513" w:type="pct"/>
            <w:vMerge/>
            <w:vAlign w:val="center"/>
          </w:tcPr>
          <w:p w14:paraId="6F7E59D7" w14:textId="77777777" w:rsidR="000F7F91" w:rsidRPr="00EA1BB2" w:rsidRDefault="000F7F91" w:rsidP="000F7F91">
            <w:pPr>
              <w:jc w:val="center"/>
              <w:rPr>
                <w:rFonts w:ascii="Cambria" w:hAnsi="Cambria"/>
                <w:sz w:val="24"/>
                <w:szCs w:val="24"/>
              </w:rPr>
            </w:pPr>
          </w:p>
        </w:tc>
        <w:tc>
          <w:tcPr>
            <w:tcW w:w="1616" w:type="pct"/>
            <w:vAlign w:val="center"/>
          </w:tcPr>
          <w:p w14:paraId="5D4975B4"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de suprafață</w:t>
            </w:r>
          </w:p>
        </w:tc>
        <w:tc>
          <w:tcPr>
            <w:tcW w:w="933" w:type="pct"/>
            <w:tcBorders>
              <w:top w:val="single" w:sz="4" w:space="0" w:color="auto"/>
              <w:left w:val="nil"/>
              <w:bottom w:val="single" w:sz="4" w:space="0" w:color="auto"/>
              <w:right w:val="single" w:sz="4" w:space="0" w:color="auto"/>
            </w:tcBorders>
            <w:shd w:val="clear" w:color="auto" w:fill="auto"/>
          </w:tcPr>
          <w:p w14:paraId="66356A1B"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193,657</w:t>
            </w:r>
          </w:p>
        </w:tc>
        <w:tc>
          <w:tcPr>
            <w:tcW w:w="938" w:type="pct"/>
            <w:tcBorders>
              <w:top w:val="single" w:sz="4" w:space="0" w:color="auto"/>
              <w:left w:val="nil"/>
              <w:bottom w:val="single" w:sz="4" w:space="0" w:color="auto"/>
              <w:right w:val="single" w:sz="4" w:space="0" w:color="auto"/>
            </w:tcBorders>
          </w:tcPr>
          <w:p w14:paraId="2A348758" w14:textId="77777777" w:rsidR="000F7F91" w:rsidRPr="00EA1BB2" w:rsidRDefault="00F82F4D" w:rsidP="000F7F91">
            <w:pPr>
              <w:jc w:val="center"/>
              <w:rPr>
                <w:rFonts w:ascii="Cambria" w:hAnsi="Cambria"/>
                <w:sz w:val="24"/>
                <w:szCs w:val="24"/>
              </w:rPr>
            </w:pPr>
            <w:r w:rsidRPr="00EA1BB2">
              <w:rPr>
                <w:rFonts w:ascii="Cambria" w:hAnsi="Cambria"/>
                <w:sz w:val="24"/>
                <w:szCs w:val="24"/>
              </w:rPr>
              <w:t>54,53</w:t>
            </w:r>
          </w:p>
        </w:tc>
      </w:tr>
      <w:tr w:rsidR="000F7F91" w:rsidRPr="00EA1BB2" w14:paraId="4DF5F2D5" w14:textId="77777777" w:rsidTr="00B84975">
        <w:trPr>
          <w:jc w:val="center"/>
        </w:trPr>
        <w:tc>
          <w:tcPr>
            <w:tcW w:w="1513" w:type="pct"/>
            <w:vMerge/>
            <w:vAlign w:val="center"/>
          </w:tcPr>
          <w:p w14:paraId="72B273F5" w14:textId="77777777" w:rsidR="000F7F91" w:rsidRPr="00EA1BB2" w:rsidRDefault="000F7F91" w:rsidP="000F7F91">
            <w:pPr>
              <w:jc w:val="center"/>
              <w:rPr>
                <w:rFonts w:ascii="Cambria" w:hAnsi="Cambria"/>
                <w:sz w:val="24"/>
                <w:szCs w:val="24"/>
              </w:rPr>
            </w:pPr>
          </w:p>
        </w:tc>
        <w:tc>
          <w:tcPr>
            <w:tcW w:w="1616" w:type="pct"/>
            <w:vAlign w:val="center"/>
          </w:tcPr>
          <w:p w14:paraId="4317779D" w14:textId="77777777" w:rsidR="000F7F91" w:rsidRPr="00EA1BB2" w:rsidRDefault="000F7F91" w:rsidP="000F7F91">
            <w:pPr>
              <w:jc w:val="center"/>
              <w:rPr>
                <w:rFonts w:ascii="Cambria" w:hAnsi="Cambria"/>
                <w:sz w:val="24"/>
                <w:szCs w:val="24"/>
              </w:rPr>
            </w:pPr>
            <w:r w:rsidRPr="00EA1BB2">
              <w:rPr>
                <w:rFonts w:ascii="Cambria" w:hAnsi="Cambria"/>
                <w:sz w:val="24"/>
                <w:szCs w:val="24"/>
              </w:rPr>
              <w:t>TOTAL</w:t>
            </w:r>
          </w:p>
        </w:tc>
        <w:tc>
          <w:tcPr>
            <w:tcW w:w="933" w:type="pct"/>
            <w:tcBorders>
              <w:top w:val="single" w:sz="4" w:space="0" w:color="auto"/>
              <w:left w:val="nil"/>
              <w:bottom w:val="single" w:sz="4" w:space="0" w:color="auto"/>
              <w:right w:val="single" w:sz="4" w:space="0" w:color="auto"/>
            </w:tcBorders>
            <w:shd w:val="clear" w:color="auto" w:fill="auto"/>
          </w:tcPr>
          <w:p w14:paraId="76549461"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355,123</w:t>
            </w:r>
          </w:p>
        </w:tc>
        <w:tc>
          <w:tcPr>
            <w:tcW w:w="938" w:type="pct"/>
            <w:tcBorders>
              <w:top w:val="single" w:sz="4" w:space="0" w:color="auto"/>
              <w:left w:val="nil"/>
              <w:bottom w:val="single" w:sz="4" w:space="0" w:color="auto"/>
              <w:right w:val="single" w:sz="4" w:space="0" w:color="auto"/>
            </w:tcBorders>
          </w:tcPr>
          <w:p w14:paraId="25CD3EFB" w14:textId="77777777" w:rsidR="000F7F91" w:rsidRPr="00EA1BB2" w:rsidRDefault="00F82F4D" w:rsidP="000F7F91">
            <w:pPr>
              <w:jc w:val="center"/>
              <w:rPr>
                <w:rFonts w:ascii="Cambria" w:hAnsi="Cambria"/>
                <w:sz w:val="24"/>
                <w:szCs w:val="24"/>
              </w:rPr>
            </w:pPr>
            <w:r w:rsidRPr="00EA1BB2">
              <w:rPr>
                <w:rFonts w:ascii="Cambria" w:hAnsi="Cambria"/>
                <w:sz w:val="24"/>
                <w:szCs w:val="24"/>
              </w:rPr>
              <w:t>100</w:t>
            </w:r>
          </w:p>
        </w:tc>
      </w:tr>
      <w:tr w:rsidR="000F7F91" w:rsidRPr="00EA1BB2" w14:paraId="711842EB" w14:textId="77777777" w:rsidTr="00B84975">
        <w:trPr>
          <w:jc w:val="center"/>
        </w:trPr>
        <w:tc>
          <w:tcPr>
            <w:tcW w:w="1513" w:type="pct"/>
            <w:vMerge w:val="restart"/>
            <w:vAlign w:val="center"/>
          </w:tcPr>
          <w:p w14:paraId="6F71B270" w14:textId="77777777" w:rsidR="000F7F91" w:rsidRPr="00EA1BB2" w:rsidRDefault="000F7F91" w:rsidP="000F7F91">
            <w:pPr>
              <w:jc w:val="center"/>
              <w:rPr>
                <w:rFonts w:ascii="Cambria" w:hAnsi="Cambria"/>
                <w:sz w:val="24"/>
                <w:szCs w:val="24"/>
              </w:rPr>
            </w:pPr>
            <w:r w:rsidRPr="00EA1BB2">
              <w:rPr>
                <w:rFonts w:ascii="Cambria" w:hAnsi="Cambria"/>
                <w:sz w:val="24"/>
                <w:szCs w:val="24"/>
              </w:rPr>
              <w:t xml:space="preserve">Benzen </w:t>
            </w:r>
          </w:p>
          <w:p w14:paraId="77D76374" w14:textId="77777777" w:rsidR="000F7F91" w:rsidRPr="00EA1BB2" w:rsidRDefault="000F7F91" w:rsidP="000F7F91">
            <w:pPr>
              <w:jc w:val="center"/>
              <w:rPr>
                <w:rFonts w:ascii="Cambria" w:hAnsi="Cambria"/>
                <w:sz w:val="24"/>
                <w:szCs w:val="24"/>
              </w:rPr>
            </w:pPr>
            <w:r w:rsidRPr="00EA1BB2">
              <w:rPr>
                <w:rFonts w:ascii="Cambria" w:hAnsi="Cambria"/>
                <w:sz w:val="24"/>
                <w:szCs w:val="24"/>
              </w:rPr>
              <w:t>(C</w:t>
            </w:r>
            <w:r w:rsidRPr="00EA1BB2">
              <w:rPr>
                <w:rFonts w:ascii="Cambria" w:hAnsi="Cambria"/>
                <w:sz w:val="24"/>
                <w:szCs w:val="24"/>
                <w:vertAlign w:val="subscript"/>
              </w:rPr>
              <w:t>6</w:t>
            </w:r>
            <w:r w:rsidRPr="00EA1BB2">
              <w:rPr>
                <w:rFonts w:ascii="Cambria" w:hAnsi="Cambria"/>
                <w:sz w:val="24"/>
                <w:szCs w:val="24"/>
              </w:rPr>
              <w:t>H</w:t>
            </w:r>
            <w:r w:rsidRPr="00EA1BB2">
              <w:rPr>
                <w:rFonts w:ascii="Cambria" w:hAnsi="Cambria"/>
                <w:sz w:val="24"/>
                <w:szCs w:val="24"/>
                <w:vertAlign w:val="subscript"/>
              </w:rPr>
              <w:t>6</w:t>
            </w:r>
            <w:r w:rsidRPr="00EA1BB2">
              <w:rPr>
                <w:rFonts w:ascii="Cambria" w:hAnsi="Cambria"/>
                <w:sz w:val="24"/>
                <w:szCs w:val="24"/>
              </w:rPr>
              <w:t>)</w:t>
            </w:r>
          </w:p>
        </w:tc>
        <w:tc>
          <w:tcPr>
            <w:tcW w:w="1616" w:type="pct"/>
            <w:vAlign w:val="center"/>
          </w:tcPr>
          <w:p w14:paraId="1D0F4138"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staționare</w:t>
            </w:r>
          </w:p>
        </w:tc>
        <w:tc>
          <w:tcPr>
            <w:tcW w:w="933" w:type="pct"/>
            <w:tcBorders>
              <w:top w:val="single" w:sz="4" w:space="0" w:color="auto"/>
              <w:left w:val="nil"/>
              <w:bottom w:val="single" w:sz="4" w:space="0" w:color="auto"/>
              <w:right w:val="single" w:sz="4" w:space="0" w:color="auto"/>
            </w:tcBorders>
            <w:shd w:val="clear" w:color="auto" w:fill="auto"/>
          </w:tcPr>
          <w:p w14:paraId="6D45C05B" w14:textId="77777777" w:rsidR="000F7F91" w:rsidRPr="00EA1BB2" w:rsidRDefault="000F7F91" w:rsidP="000F7F91">
            <w:pPr>
              <w:jc w:val="center"/>
              <w:rPr>
                <w:rFonts w:ascii="Cambria" w:hAnsi="Cambria"/>
                <w:color w:val="000000"/>
                <w:sz w:val="24"/>
                <w:szCs w:val="24"/>
                <w:highlight w:val="cyan"/>
              </w:rPr>
            </w:pPr>
          </w:p>
        </w:tc>
        <w:tc>
          <w:tcPr>
            <w:tcW w:w="938" w:type="pct"/>
            <w:tcBorders>
              <w:top w:val="single" w:sz="4" w:space="0" w:color="auto"/>
              <w:left w:val="nil"/>
              <w:bottom w:val="single" w:sz="4" w:space="0" w:color="auto"/>
              <w:right w:val="single" w:sz="4" w:space="0" w:color="auto"/>
            </w:tcBorders>
          </w:tcPr>
          <w:p w14:paraId="27F15A0C" w14:textId="77777777" w:rsidR="000F7F91" w:rsidRPr="00EA1BB2" w:rsidRDefault="00F82F4D" w:rsidP="000F7F91">
            <w:pPr>
              <w:jc w:val="center"/>
              <w:rPr>
                <w:rFonts w:ascii="Cambria" w:hAnsi="Cambria"/>
                <w:sz w:val="24"/>
                <w:szCs w:val="24"/>
              </w:rPr>
            </w:pPr>
            <w:r w:rsidRPr="00EA1BB2">
              <w:rPr>
                <w:rFonts w:ascii="Cambria" w:hAnsi="Cambria"/>
                <w:sz w:val="24"/>
                <w:szCs w:val="24"/>
              </w:rPr>
              <w:t>0,00</w:t>
            </w:r>
          </w:p>
        </w:tc>
      </w:tr>
      <w:tr w:rsidR="000F7F91" w:rsidRPr="00EA1BB2" w14:paraId="0C7B7746" w14:textId="77777777" w:rsidTr="00B84975">
        <w:trPr>
          <w:jc w:val="center"/>
        </w:trPr>
        <w:tc>
          <w:tcPr>
            <w:tcW w:w="1513" w:type="pct"/>
            <w:vMerge/>
            <w:vAlign w:val="center"/>
          </w:tcPr>
          <w:p w14:paraId="4ACC12ED" w14:textId="77777777" w:rsidR="000F7F91" w:rsidRPr="00EA1BB2" w:rsidRDefault="000F7F91" w:rsidP="000F7F91">
            <w:pPr>
              <w:jc w:val="center"/>
              <w:rPr>
                <w:rFonts w:ascii="Cambria" w:hAnsi="Cambria"/>
                <w:sz w:val="24"/>
                <w:szCs w:val="24"/>
              </w:rPr>
            </w:pPr>
          </w:p>
        </w:tc>
        <w:tc>
          <w:tcPr>
            <w:tcW w:w="1616" w:type="pct"/>
            <w:vAlign w:val="center"/>
          </w:tcPr>
          <w:p w14:paraId="11FEFB1F"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mobile</w:t>
            </w:r>
          </w:p>
        </w:tc>
        <w:tc>
          <w:tcPr>
            <w:tcW w:w="933" w:type="pct"/>
            <w:tcBorders>
              <w:top w:val="single" w:sz="4" w:space="0" w:color="auto"/>
              <w:left w:val="nil"/>
              <w:bottom w:val="single" w:sz="4" w:space="0" w:color="auto"/>
              <w:right w:val="single" w:sz="4" w:space="0" w:color="auto"/>
            </w:tcBorders>
            <w:shd w:val="clear" w:color="auto" w:fill="auto"/>
          </w:tcPr>
          <w:p w14:paraId="7DF492C0" w14:textId="77777777" w:rsidR="000F7F91" w:rsidRPr="00EA1BB2" w:rsidRDefault="001F2D02" w:rsidP="000F7F91">
            <w:pPr>
              <w:jc w:val="center"/>
              <w:rPr>
                <w:rFonts w:ascii="Cambria" w:hAnsi="Cambria"/>
                <w:color w:val="000000"/>
                <w:sz w:val="24"/>
                <w:szCs w:val="24"/>
                <w:highlight w:val="cyan"/>
              </w:rPr>
            </w:pPr>
            <w:r w:rsidRPr="00EA1BB2">
              <w:rPr>
                <w:rFonts w:ascii="Cambria" w:hAnsi="Cambria"/>
                <w:color w:val="000000"/>
                <w:sz w:val="24"/>
                <w:szCs w:val="24"/>
              </w:rPr>
              <w:t>15,683</w:t>
            </w:r>
          </w:p>
        </w:tc>
        <w:tc>
          <w:tcPr>
            <w:tcW w:w="938" w:type="pct"/>
            <w:tcBorders>
              <w:top w:val="single" w:sz="4" w:space="0" w:color="auto"/>
              <w:left w:val="nil"/>
              <w:bottom w:val="single" w:sz="4" w:space="0" w:color="auto"/>
              <w:right w:val="single" w:sz="4" w:space="0" w:color="auto"/>
            </w:tcBorders>
          </w:tcPr>
          <w:p w14:paraId="2AAEBC53" w14:textId="77777777" w:rsidR="000F7F91" w:rsidRPr="00EA1BB2" w:rsidRDefault="00F82F4D" w:rsidP="000F7F91">
            <w:pPr>
              <w:jc w:val="center"/>
              <w:rPr>
                <w:rFonts w:ascii="Cambria" w:hAnsi="Cambria"/>
                <w:color w:val="000000"/>
                <w:sz w:val="24"/>
                <w:szCs w:val="24"/>
              </w:rPr>
            </w:pPr>
            <w:r w:rsidRPr="00EA1BB2">
              <w:rPr>
                <w:rFonts w:ascii="Cambria" w:hAnsi="Cambria"/>
                <w:sz w:val="24"/>
                <w:szCs w:val="24"/>
              </w:rPr>
              <w:t>100</w:t>
            </w:r>
          </w:p>
        </w:tc>
      </w:tr>
      <w:tr w:rsidR="000F7F91" w:rsidRPr="00EA1BB2" w14:paraId="190F9B68" w14:textId="77777777" w:rsidTr="00B84975">
        <w:trPr>
          <w:jc w:val="center"/>
        </w:trPr>
        <w:tc>
          <w:tcPr>
            <w:tcW w:w="1513" w:type="pct"/>
            <w:vMerge/>
            <w:vAlign w:val="center"/>
          </w:tcPr>
          <w:p w14:paraId="779B77F7" w14:textId="77777777" w:rsidR="000F7F91" w:rsidRPr="00EA1BB2" w:rsidRDefault="000F7F91" w:rsidP="000F7F91">
            <w:pPr>
              <w:jc w:val="center"/>
              <w:rPr>
                <w:rFonts w:ascii="Cambria" w:hAnsi="Cambria"/>
                <w:sz w:val="24"/>
                <w:szCs w:val="24"/>
              </w:rPr>
            </w:pPr>
          </w:p>
        </w:tc>
        <w:tc>
          <w:tcPr>
            <w:tcW w:w="1616" w:type="pct"/>
            <w:vAlign w:val="center"/>
          </w:tcPr>
          <w:p w14:paraId="22564022"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de suprafață</w:t>
            </w:r>
          </w:p>
        </w:tc>
        <w:tc>
          <w:tcPr>
            <w:tcW w:w="933" w:type="pct"/>
            <w:tcBorders>
              <w:top w:val="single" w:sz="4" w:space="0" w:color="auto"/>
              <w:left w:val="nil"/>
              <w:bottom w:val="single" w:sz="4" w:space="0" w:color="auto"/>
              <w:right w:val="single" w:sz="4" w:space="0" w:color="auto"/>
            </w:tcBorders>
            <w:shd w:val="clear" w:color="auto" w:fill="auto"/>
          </w:tcPr>
          <w:p w14:paraId="61E72680" w14:textId="77777777" w:rsidR="000F7F91" w:rsidRPr="00EA1BB2" w:rsidRDefault="000F7F91" w:rsidP="000F7F91">
            <w:pPr>
              <w:jc w:val="center"/>
              <w:rPr>
                <w:rFonts w:ascii="Cambria" w:hAnsi="Cambria"/>
                <w:color w:val="000000"/>
                <w:sz w:val="24"/>
                <w:szCs w:val="24"/>
                <w:highlight w:val="cyan"/>
              </w:rPr>
            </w:pPr>
          </w:p>
        </w:tc>
        <w:tc>
          <w:tcPr>
            <w:tcW w:w="938" w:type="pct"/>
            <w:tcBorders>
              <w:top w:val="single" w:sz="4" w:space="0" w:color="auto"/>
              <w:left w:val="nil"/>
              <w:bottom w:val="single" w:sz="4" w:space="0" w:color="auto"/>
              <w:right w:val="single" w:sz="4" w:space="0" w:color="auto"/>
            </w:tcBorders>
          </w:tcPr>
          <w:p w14:paraId="7BBCE7A5" w14:textId="77777777" w:rsidR="000F7F91" w:rsidRPr="00EA1BB2" w:rsidRDefault="00F82F4D" w:rsidP="000F7F91">
            <w:pPr>
              <w:jc w:val="center"/>
              <w:rPr>
                <w:rFonts w:ascii="Cambria" w:hAnsi="Cambria"/>
                <w:sz w:val="24"/>
                <w:szCs w:val="24"/>
              </w:rPr>
            </w:pPr>
            <w:r w:rsidRPr="00EA1BB2">
              <w:rPr>
                <w:rFonts w:ascii="Cambria" w:hAnsi="Cambria"/>
                <w:sz w:val="24"/>
                <w:szCs w:val="24"/>
              </w:rPr>
              <w:t>0,00</w:t>
            </w:r>
          </w:p>
        </w:tc>
      </w:tr>
      <w:tr w:rsidR="000F7F91" w:rsidRPr="00EA1BB2" w14:paraId="74FAC1A8" w14:textId="77777777" w:rsidTr="00B84975">
        <w:trPr>
          <w:jc w:val="center"/>
        </w:trPr>
        <w:tc>
          <w:tcPr>
            <w:tcW w:w="1513" w:type="pct"/>
            <w:vMerge/>
            <w:vAlign w:val="center"/>
          </w:tcPr>
          <w:p w14:paraId="06C99F01" w14:textId="77777777" w:rsidR="000F7F91" w:rsidRPr="00EA1BB2" w:rsidRDefault="000F7F91" w:rsidP="000F7F91">
            <w:pPr>
              <w:jc w:val="center"/>
              <w:rPr>
                <w:rFonts w:ascii="Cambria" w:hAnsi="Cambria"/>
                <w:sz w:val="24"/>
                <w:szCs w:val="24"/>
              </w:rPr>
            </w:pPr>
          </w:p>
        </w:tc>
        <w:tc>
          <w:tcPr>
            <w:tcW w:w="1616" w:type="pct"/>
            <w:vAlign w:val="center"/>
          </w:tcPr>
          <w:p w14:paraId="7FE5A201" w14:textId="77777777" w:rsidR="000F7F91" w:rsidRPr="00EA1BB2" w:rsidRDefault="000F7F91" w:rsidP="000F7F91">
            <w:pPr>
              <w:jc w:val="center"/>
              <w:rPr>
                <w:rFonts w:ascii="Cambria" w:hAnsi="Cambria"/>
                <w:sz w:val="24"/>
                <w:szCs w:val="24"/>
              </w:rPr>
            </w:pPr>
            <w:r w:rsidRPr="00EA1BB2">
              <w:rPr>
                <w:rFonts w:ascii="Cambria" w:hAnsi="Cambria"/>
                <w:sz w:val="24"/>
                <w:szCs w:val="24"/>
              </w:rPr>
              <w:t>TOTAL</w:t>
            </w:r>
          </w:p>
        </w:tc>
        <w:tc>
          <w:tcPr>
            <w:tcW w:w="933" w:type="pct"/>
            <w:tcBorders>
              <w:top w:val="single" w:sz="4" w:space="0" w:color="auto"/>
              <w:left w:val="nil"/>
              <w:bottom w:val="single" w:sz="4" w:space="0" w:color="auto"/>
              <w:right w:val="single" w:sz="4" w:space="0" w:color="auto"/>
            </w:tcBorders>
            <w:shd w:val="clear" w:color="auto" w:fill="auto"/>
          </w:tcPr>
          <w:p w14:paraId="27850CDB" w14:textId="77777777" w:rsidR="000F7F91" w:rsidRPr="00EA1BB2" w:rsidRDefault="001F2D02" w:rsidP="000F7F91">
            <w:pPr>
              <w:jc w:val="center"/>
              <w:rPr>
                <w:rFonts w:ascii="Cambria" w:hAnsi="Cambria"/>
                <w:color w:val="000000"/>
                <w:sz w:val="24"/>
                <w:szCs w:val="24"/>
                <w:highlight w:val="cyan"/>
              </w:rPr>
            </w:pPr>
            <w:r w:rsidRPr="00EA1BB2">
              <w:rPr>
                <w:rFonts w:ascii="Cambria" w:hAnsi="Cambria"/>
                <w:sz w:val="24"/>
                <w:szCs w:val="24"/>
              </w:rPr>
              <w:t>15,683</w:t>
            </w:r>
          </w:p>
        </w:tc>
        <w:tc>
          <w:tcPr>
            <w:tcW w:w="938" w:type="pct"/>
            <w:tcBorders>
              <w:top w:val="single" w:sz="4" w:space="0" w:color="auto"/>
              <w:left w:val="nil"/>
              <w:bottom w:val="single" w:sz="4" w:space="0" w:color="auto"/>
              <w:right w:val="single" w:sz="4" w:space="0" w:color="auto"/>
            </w:tcBorders>
          </w:tcPr>
          <w:p w14:paraId="364AF737" w14:textId="77777777" w:rsidR="000F7F91" w:rsidRPr="00EA1BB2" w:rsidRDefault="00F82F4D" w:rsidP="000F7F91">
            <w:pPr>
              <w:jc w:val="center"/>
              <w:rPr>
                <w:rFonts w:ascii="Cambria" w:hAnsi="Cambria"/>
                <w:sz w:val="24"/>
                <w:szCs w:val="24"/>
              </w:rPr>
            </w:pPr>
            <w:r w:rsidRPr="00EA1BB2">
              <w:rPr>
                <w:rFonts w:ascii="Cambria" w:hAnsi="Cambria"/>
                <w:sz w:val="24"/>
                <w:szCs w:val="24"/>
              </w:rPr>
              <w:t>100</w:t>
            </w:r>
          </w:p>
        </w:tc>
      </w:tr>
      <w:tr w:rsidR="000F7F91" w:rsidRPr="00EA1BB2" w14:paraId="07F899E5" w14:textId="77777777" w:rsidTr="00B84975">
        <w:trPr>
          <w:jc w:val="center"/>
        </w:trPr>
        <w:tc>
          <w:tcPr>
            <w:tcW w:w="1513" w:type="pct"/>
            <w:vMerge w:val="restart"/>
            <w:vAlign w:val="center"/>
          </w:tcPr>
          <w:p w14:paraId="52E45193" w14:textId="77777777" w:rsidR="000F7F91" w:rsidRPr="00EA1BB2" w:rsidRDefault="000F7F91" w:rsidP="000F7F91">
            <w:pPr>
              <w:jc w:val="center"/>
              <w:rPr>
                <w:rFonts w:ascii="Cambria" w:hAnsi="Cambria"/>
                <w:sz w:val="24"/>
                <w:szCs w:val="24"/>
              </w:rPr>
            </w:pPr>
            <w:r w:rsidRPr="00EA1BB2">
              <w:rPr>
                <w:rFonts w:ascii="Cambria" w:hAnsi="Cambria"/>
                <w:sz w:val="24"/>
                <w:szCs w:val="24"/>
              </w:rPr>
              <w:t xml:space="preserve">Nichel </w:t>
            </w:r>
          </w:p>
          <w:p w14:paraId="1C1A64DF" w14:textId="77777777" w:rsidR="000F7F91" w:rsidRPr="00EA1BB2" w:rsidRDefault="000F7F91" w:rsidP="000F7F91">
            <w:pPr>
              <w:jc w:val="center"/>
              <w:rPr>
                <w:rFonts w:ascii="Cambria" w:hAnsi="Cambria"/>
                <w:sz w:val="24"/>
                <w:szCs w:val="24"/>
              </w:rPr>
            </w:pPr>
            <w:r w:rsidRPr="00EA1BB2">
              <w:rPr>
                <w:rFonts w:ascii="Cambria" w:hAnsi="Cambria"/>
                <w:sz w:val="24"/>
                <w:szCs w:val="24"/>
              </w:rPr>
              <w:t>(Ni)</w:t>
            </w:r>
          </w:p>
          <w:p w14:paraId="3B9C8B24" w14:textId="77777777" w:rsidR="000F7F91" w:rsidRPr="00EA1BB2" w:rsidRDefault="000F7F91" w:rsidP="000F7F91">
            <w:pPr>
              <w:jc w:val="center"/>
              <w:rPr>
                <w:rFonts w:ascii="Cambria" w:hAnsi="Cambria"/>
                <w:sz w:val="24"/>
                <w:szCs w:val="24"/>
              </w:rPr>
            </w:pPr>
          </w:p>
        </w:tc>
        <w:tc>
          <w:tcPr>
            <w:tcW w:w="1616" w:type="pct"/>
            <w:vAlign w:val="center"/>
          </w:tcPr>
          <w:p w14:paraId="7F92AC88"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staționare</w:t>
            </w:r>
          </w:p>
        </w:tc>
        <w:tc>
          <w:tcPr>
            <w:tcW w:w="933" w:type="pct"/>
            <w:tcBorders>
              <w:top w:val="single" w:sz="4" w:space="0" w:color="auto"/>
              <w:left w:val="nil"/>
              <w:bottom w:val="single" w:sz="4" w:space="0" w:color="auto"/>
              <w:right w:val="single" w:sz="4" w:space="0" w:color="auto"/>
            </w:tcBorders>
            <w:shd w:val="clear" w:color="auto" w:fill="auto"/>
          </w:tcPr>
          <w:p w14:paraId="38F1D00C"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0,014626</w:t>
            </w:r>
          </w:p>
        </w:tc>
        <w:tc>
          <w:tcPr>
            <w:tcW w:w="938" w:type="pct"/>
            <w:tcBorders>
              <w:top w:val="single" w:sz="4" w:space="0" w:color="auto"/>
              <w:left w:val="nil"/>
              <w:bottom w:val="single" w:sz="4" w:space="0" w:color="auto"/>
              <w:right w:val="single" w:sz="4" w:space="0" w:color="auto"/>
            </w:tcBorders>
          </w:tcPr>
          <w:p w14:paraId="2FC732E7" w14:textId="77777777" w:rsidR="000F7F91" w:rsidRPr="00EA1BB2" w:rsidRDefault="00F82F4D" w:rsidP="000F7F91">
            <w:pPr>
              <w:jc w:val="center"/>
              <w:rPr>
                <w:rFonts w:ascii="Cambria" w:hAnsi="Cambria"/>
                <w:sz w:val="24"/>
                <w:szCs w:val="24"/>
              </w:rPr>
            </w:pPr>
            <w:r w:rsidRPr="00EA1BB2">
              <w:rPr>
                <w:rFonts w:ascii="Cambria" w:hAnsi="Cambria"/>
                <w:sz w:val="24"/>
                <w:szCs w:val="24"/>
              </w:rPr>
              <w:t>41,47</w:t>
            </w:r>
          </w:p>
        </w:tc>
      </w:tr>
      <w:tr w:rsidR="000F7F91" w:rsidRPr="00EA1BB2" w14:paraId="573EBC6E" w14:textId="77777777" w:rsidTr="00B84975">
        <w:trPr>
          <w:jc w:val="center"/>
        </w:trPr>
        <w:tc>
          <w:tcPr>
            <w:tcW w:w="1513" w:type="pct"/>
            <w:vMerge/>
            <w:vAlign w:val="center"/>
          </w:tcPr>
          <w:p w14:paraId="67348EBA" w14:textId="77777777" w:rsidR="000F7F91" w:rsidRPr="00EA1BB2" w:rsidRDefault="000F7F91" w:rsidP="000F7F91">
            <w:pPr>
              <w:jc w:val="center"/>
              <w:rPr>
                <w:rFonts w:ascii="Cambria" w:hAnsi="Cambria"/>
                <w:sz w:val="24"/>
                <w:szCs w:val="24"/>
              </w:rPr>
            </w:pPr>
          </w:p>
        </w:tc>
        <w:tc>
          <w:tcPr>
            <w:tcW w:w="1616" w:type="pct"/>
            <w:vAlign w:val="center"/>
          </w:tcPr>
          <w:p w14:paraId="665459AC"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mobile</w:t>
            </w:r>
          </w:p>
        </w:tc>
        <w:tc>
          <w:tcPr>
            <w:tcW w:w="933" w:type="pct"/>
            <w:tcBorders>
              <w:top w:val="single" w:sz="4" w:space="0" w:color="auto"/>
              <w:left w:val="nil"/>
              <w:bottom w:val="single" w:sz="4" w:space="0" w:color="auto"/>
              <w:right w:val="single" w:sz="4" w:space="0" w:color="auto"/>
            </w:tcBorders>
            <w:shd w:val="clear" w:color="auto" w:fill="auto"/>
          </w:tcPr>
          <w:p w14:paraId="4D010F19"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0,001660</w:t>
            </w:r>
          </w:p>
        </w:tc>
        <w:tc>
          <w:tcPr>
            <w:tcW w:w="938" w:type="pct"/>
            <w:tcBorders>
              <w:top w:val="single" w:sz="4" w:space="0" w:color="auto"/>
              <w:left w:val="nil"/>
              <w:bottom w:val="single" w:sz="4" w:space="0" w:color="auto"/>
              <w:right w:val="single" w:sz="4" w:space="0" w:color="auto"/>
            </w:tcBorders>
          </w:tcPr>
          <w:p w14:paraId="3CAD1656" w14:textId="77777777" w:rsidR="000F7F91" w:rsidRPr="00EA1BB2" w:rsidRDefault="00F82F4D" w:rsidP="000F7F91">
            <w:pPr>
              <w:jc w:val="center"/>
              <w:rPr>
                <w:rFonts w:ascii="Cambria" w:hAnsi="Cambria"/>
                <w:sz w:val="24"/>
                <w:szCs w:val="24"/>
              </w:rPr>
            </w:pPr>
            <w:r w:rsidRPr="00EA1BB2">
              <w:rPr>
                <w:rFonts w:ascii="Cambria" w:hAnsi="Cambria"/>
                <w:sz w:val="24"/>
                <w:szCs w:val="24"/>
              </w:rPr>
              <w:t>4,71</w:t>
            </w:r>
          </w:p>
        </w:tc>
      </w:tr>
      <w:tr w:rsidR="000F7F91" w:rsidRPr="00EA1BB2" w14:paraId="484947D6" w14:textId="77777777" w:rsidTr="00B84975">
        <w:trPr>
          <w:jc w:val="center"/>
        </w:trPr>
        <w:tc>
          <w:tcPr>
            <w:tcW w:w="1513" w:type="pct"/>
            <w:vMerge/>
            <w:vAlign w:val="center"/>
          </w:tcPr>
          <w:p w14:paraId="1CCFA3FA" w14:textId="77777777" w:rsidR="000F7F91" w:rsidRPr="00EA1BB2" w:rsidRDefault="000F7F91" w:rsidP="000F7F91">
            <w:pPr>
              <w:jc w:val="center"/>
              <w:rPr>
                <w:rFonts w:ascii="Cambria" w:hAnsi="Cambria"/>
                <w:sz w:val="24"/>
                <w:szCs w:val="24"/>
              </w:rPr>
            </w:pPr>
          </w:p>
        </w:tc>
        <w:tc>
          <w:tcPr>
            <w:tcW w:w="1616" w:type="pct"/>
            <w:vAlign w:val="center"/>
          </w:tcPr>
          <w:p w14:paraId="64D26364"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de suprafață</w:t>
            </w:r>
          </w:p>
        </w:tc>
        <w:tc>
          <w:tcPr>
            <w:tcW w:w="933" w:type="pct"/>
            <w:tcBorders>
              <w:top w:val="single" w:sz="4" w:space="0" w:color="auto"/>
              <w:left w:val="nil"/>
              <w:bottom w:val="single" w:sz="4" w:space="0" w:color="auto"/>
              <w:right w:val="single" w:sz="4" w:space="0" w:color="auto"/>
            </w:tcBorders>
            <w:shd w:val="clear" w:color="auto" w:fill="auto"/>
          </w:tcPr>
          <w:p w14:paraId="763BEEA8"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0,018980</w:t>
            </w:r>
          </w:p>
        </w:tc>
        <w:tc>
          <w:tcPr>
            <w:tcW w:w="938" w:type="pct"/>
            <w:tcBorders>
              <w:top w:val="single" w:sz="4" w:space="0" w:color="auto"/>
              <w:left w:val="nil"/>
              <w:bottom w:val="single" w:sz="4" w:space="0" w:color="auto"/>
              <w:right w:val="single" w:sz="4" w:space="0" w:color="auto"/>
            </w:tcBorders>
          </w:tcPr>
          <w:p w14:paraId="743FA27B" w14:textId="77777777" w:rsidR="000F7F91" w:rsidRPr="00EA1BB2" w:rsidRDefault="00F82F4D" w:rsidP="000F7F91">
            <w:pPr>
              <w:jc w:val="center"/>
              <w:rPr>
                <w:rFonts w:ascii="Cambria" w:hAnsi="Cambria"/>
                <w:sz w:val="24"/>
                <w:szCs w:val="24"/>
              </w:rPr>
            </w:pPr>
            <w:r w:rsidRPr="00EA1BB2">
              <w:rPr>
                <w:rFonts w:ascii="Cambria" w:hAnsi="Cambria"/>
                <w:sz w:val="24"/>
                <w:szCs w:val="24"/>
              </w:rPr>
              <w:t>53,82</w:t>
            </w:r>
          </w:p>
        </w:tc>
      </w:tr>
      <w:tr w:rsidR="000F7F91" w:rsidRPr="00EA1BB2" w14:paraId="591131C8" w14:textId="77777777" w:rsidTr="00B84975">
        <w:trPr>
          <w:jc w:val="center"/>
        </w:trPr>
        <w:tc>
          <w:tcPr>
            <w:tcW w:w="1513" w:type="pct"/>
            <w:vMerge/>
            <w:vAlign w:val="center"/>
          </w:tcPr>
          <w:p w14:paraId="3E55C006" w14:textId="77777777" w:rsidR="000F7F91" w:rsidRPr="00EA1BB2" w:rsidRDefault="000F7F91" w:rsidP="000F7F91">
            <w:pPr>
              <w:jc w:val="center"/>
              <w:rPr>
                <w:rFonts w:ascii="Cambria" w:hAnsi="Cambria"/>
                <w:sz w:val="24"/>
                <w:szCs w:val="24"/>
              </w:rPr>
            </w:pPr>
          </w:p>
        </w:tc>
        <w:tc>
          <w:tcPr>
            <w:tcW w:w="1616" w:type="pct"/>
            <w:vAlign w:val="center"/>
          </w:tcPr>
          <w:p w14:paraId="7AB47381" w14:textId="77777777" w:rsidR="000F7F91" w:rsidRPr="00EA1BB2" w:rsidRDefault="000F7F91" w:rsidP="000F7F91">
            <w:pPr>
              <w:jc w:val="center"/>
              <w:rPr>
                <w:rFonts w:ascii="Cambria" w:hAnsi="Cambria"/>
                <w:sz w:val="24"/>
                <w:szCs w:val="24"/>
              </w:rPr>
            </w:pPr>
            <w:r w:rsidRPr="00EA1BB2">
              <w:rPr>
                <w:rFonts w:ascii="Cambria" w:hAnsi="Cambria"/>
                <w:sz w:val="24"/>
                <w:szCs w:val="24"/>
              </w:rPr>
              <w:t>TOTAL</w:t>
            </w:r>
          </w:p>
        </w:tc>
        <w:tc>
          <w:tcPr>
            <w:tcW w:w="933" w:type="pct"/>
            <w:tcBorders>
              <w:top w:val="single" w:sz="4" w:space="0" w:color="auto"/>
              <w:left w:val="nil"/>
              <w:bottom w:val="single" w:sz="4" w:space="0" w:color="auto"/>
              <w:right w:val="single" w:sz="4" w:space="0" w:color="auto"/>
            </w:tcBorders>
            <w:shd w:val="clear" w:color="auto" w:fill="auto"/>
          </w:tcPr>
          <w:p w14:paraId="77C00715"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0,035267</w:t>
            </w:r>
          </w:p>
        </w:tc>
        <w:tc>
          <w:tcPr>
            <w:tcW w:w="938" w:type="pct"/>
            <w:tcBorders>
              <w:top w:val="single" w:sz="4" w:space="0" w:color="auto"/>
              <w:left w:val="nil"/>
              <w:bottom w:val="single" w:sz="4" w:space="0" w:color="auto"/>
              <w:right w:val="single" w:sz="4" w:space="0" w:color="auto"/>
            </w:tcBorders>
          </w:tcPr>
          <w:p w14:paraId="1CDCAE23" w14:textId="77777777" w:rsidR="000F7F91" w:rsidRPr="00EA1BB2" w:rsidRDefault="00F82F4D" w:rsidP="000F7F91">
            <w:pPr>
              <w:jc w:val="center"/>
              <w:rPr>
                <w:rFonts w:ascii="Cambria" w:hAnsi="Cambria"/>
                <w:sz w:val="24"/>
                <w:szCs w:val="24"/>
              </w:rPr>
            </w:pPr>
            <w:r w:rsidRPr="00EA1BB2">
              <w:rPr>
                <w:rFonts w:ascii="Cambria" w:hAnsi="Cambria"/>
                <w:sz w:val="24"/>
                <w:szCs w:val="24"/>
              </w:rPr>
              <w:t>100</w:t>
            </w:r>
          </w:p>
        </w:tc>
      </w:tr>
      <w:tr w:rsidR="000F7F91" w:rsidRPr="00EA1BB2" w14:paraId="46FCD8CD" w14:textId="77777777" w:rsidTr="00B84975">
        <w:trPr>
          <w:jc w:val="center"/>
        </w:trPr>
        <w:tc>
          <w:tcPr>
            <w:tcW w:w="1513" w:type="pct"/>
            <w:vMerge w:val="restart"/>
            <w:vAlign w:val="center"/>
          </w:tcPr>
          <w:p w14:paraId="03AFA0EC" w14:textId="77777777" w:rsidR="000F7F91" w:rsidRPr="00EA1BB2" w:rsidRDefault="000F7F91" w:rsidP="000F7F91">
            <w:pPr>
              <w:jc w:val="center"/>
              <w:rPr>
                <w:rFonts w:ascii="Cambria" w:hAnsi="Cambria"/>
                <w:sz w:val="24"/>
                <w:szCs w:val="24"/>
              </w:rPr>
            </w:pPr>
            <w:r w:rsidRPr="00EA1BB2">
              <w:rPr>
                <w:rFonts w:ascii="Cambria" w:hAnsi="Cambria"/>
                <w:sz w:val="24"/>
                <w:szCs w:val="24"/>
              </w:rPr>
              <w:t xml:space="preserve">Oxid de sulf </w:t>
            </w:r>
          </w:p>
          <w:p w14:paraId="03BD3A5B" w14:textId="77777777" w:rsidR="000F7F91" w:rsidRPr="00EA1BB2" w:rsidRDefault="000F7F91" w:rsidP="000F7F91">
            <w:pPr>
              <w:jc w:val="center"/>
              <w:rPr>
                <w:rFonts w:ascii="Cambria" w:hAnsi="Cambria"/>
                <w:sz w:val="24"/>
                <w:szCs w:val="24"/>
              </w:rPr>
            </w:pPr>
            <w:r w:rsidRPr="00EA1BB2">
              <w:rPr>
                <w:rFonts w:ascii="Cambria" w:hAnsi="Cambria"/>
                <w:sz w:val="24"/>
                <w:szCs w:val="24"/>
              </w:rPr>
              <w:t xml:space="preserve">(SOx) </w:t>
            </w:r>
          </w:p>
        </w:tc>
        <w:tc>
          <w:tcPr>
            <w:tcW w:w="1616" w:type="pct"/>
            <w:vAlign w:val="center"/>
          </w:tcPr>
          <w:p w14:paraId="0D746684"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staționare</w:t>
            </w:r>
          </w:p>
        </w:tc>
        <w:tc>
          <w:tcPr>
            <w:tcW w:w="933" w:type="pct"/>
            <w:tcBorders>
              <w:top w:val="single" w:sz="4" w:space="0" w:color="auto"/>
              <w:left w:val="nil"/>
              <w:bottom w:val="single" w:sz="4" w:space="0" w:color="auto"/>
              <w:right w:val="single" w:sz="4" w:space="0" w:color="auto"/>
            </w:tcBorders>
            <w:shd w:val="clear" w:color="auto" w:fill="auto"/>
          </w:tcPr>
          <w:p w14:paraId="458D84EF"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5,945920</w:t>
            </w:r>
          </w:p>
        </w:tc>
        <w:tc>
          <w:tcPr>
            <w:tcW w:w="938" w:type="pct"/>
            <w:tcBorders>
              <w:top w:val="single" w:sz="4" w:space="0" w:color="auto"/>
              <w:left w:val="nil"/>
              <w:bottom w:val="single" w:sz="4" w:space="0" w:color="auto"/>
              <w:right w:val="single" w:sz="4" w:space="0" w:color="auto"/>
            </w:tcBorders>
          </w:tcPr>
          <w:p w14:paraId="61319A64" w14:textId="77777777" w:rsidR="000F7F91" w:rsidRPr="00EA1BB2" w:rsidRDefault="00F82F4D" w:rsidP="000F7F91">
            <w:pPr>
              <w:jc w:val="center"/>
              <w:rPr>
                <w:rFonts w:ascii="Cambria" w:hAnsi="Cambria"/>
                <w:sz w:val="24"/>
                <w:szCs w:val="24"/>
              </w:rPr>
            </w:pPr>
            <w:r w:rsidRPr="00EA1BB2">
              <w:rPr>
                <w:rFonts w:ascii="Cambria" w:hAnsi="Cambria"/>
                <w:sz w:val="24"/>
                <w:szCs w:val="24"/>
              </w:rPr>
              <w:t>31,73</w:t>
            </w:r>
          </w:p>
        </w:tc>
      </w:tr>
      <w:tr w:rsidR="000F7F91" w:rsidRPr="00EA1BB2" w14:paraId="678F5EEF" w14:textId="77777777" w:rsidTr="00B84975">
        <w:trPr>
          <w:jc w:val="center"/>
        </w:trPr>
        <w:tc>
          <w:tcPr>
            <w:tcW w:w="1513" w:type="pct"/>
            <w:vMerge/>
            <w:vAlign w:val="center"/>
          </w:tcPr>
          <w:p w14:paraId="6D160E95" w14:textId="77777777" w:rsidR="000F7F91" w:rsidRPr="00EA1BB2" w:rsidRDefault="000F7F91" w:rsidP="000F7F91">
            <w:pPr>
              <w:jc w:val="center"/>
              <w:rPr>
                <w:rFonts w:ascii="Cambria" w:hAnsi="Cambria"/>
                <w:sz w:val="24"/>
                <w:szCs w:val="24"/>
              </w:rPr>
            </w:pPr>
          </w:p>
        </w:tc>
        <w:tc>
          <w:tcPr>
            <w:tcW w:w="1616" w:type="pct"/>
            <w:vAlign w:val="center"/>
          </w:tcPr>
          <w:p w14:paraId="023A495E"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mobile</w:t>
            </w:r>
          </w:p>
        </w:tc>
        <w:tc>
          <w:tcPr>
            <w:tcW w:w="933" w:type="pct"/>
            <w:tcBorders>
              <w:top w:val="single" w:sz="4" w:space="0" w:color="auto"/>
              <w:left w:val="nil"/>
              <w:bottom w:val="single" w:sz="4" w:space="0" w:color="auto"/>
              <w:right w:val="single" w:sz="4" w:space="0" w:color="auto"/>
            </w:tcBorders>
            <w:shd w:val="clear" w:color="auto" w:fill="auto"/>
          </w:tcPr>
          <w:p w14:paraId="111D4988" w14:textId="77777777" w:rsidR="000F7F91" w:rsidRPr="00EA1BB2" w:rsidRDefault="000F7F91" w:rsidP="000F7F91">
            <w:pPr>
              <w:jc w:val="center"/>
              <w:rPr>
                <w:rFonts w:ascii="Cambria" w:hAnsi="Cambria"/>
                <w:color w:val="000000"/>
                <w:sz w:val="24"/>
                <w:szCs w:val="24"/>
              </w:rPr>
            </w:pPr>
          </w:p>
        </w:tc>
        <w:tc>
          <w:tcPr>
            <w:tcW w:w="938" w:type="pct"/>
            <w:tcBorders>
              <w:top w:val="single" w:sz="4" w:space="0" w:color="auto"/>
              <w:left w:val="nil"/>
              <w:bottom w:val="single" w:sz="4" w:space="0" w:color="auto"/>
              <w:right w:val="single" w:sz="4" w:space="0" w:color="auto"/>
            </w:tcBorders>
          </w:tcPr>
          <w:p w14:paraId="2B9AAA98" w14:textId="77777777" w:rsidR="000F7F91" w:rsidRPr="00EA1BB2" w:rsidRDefault="00F82F4D" w:rsidP="000F7F91">
            <w:pPr>
              <w:jc w:val="center"/>
              <w:rPr>
                <w:rFonts w:ascii="Cambria" w:hAnsi="Cambria"/>
                <w:color w:val="000000"/>
                <w:sz w:val="24"/>
                <w:szCs w:val="24"/>
              </w:rPr>
            </w:pPr>
            <w:r w:rsidRPr="00EA1BB2">
              <w:rPr>
                <w:rFonts w:ascii="Cambria" w:hAnsi="Cambria"/>
                <w:sz w:val="24"/>
                <w:szCs w:val="24"/>
              </w:rPr>
              <w:t>0,00</w:t>
            </w:r>
          </w:p>
        </w:tc>
      </w:tr>
      <w:tr w:rsidR="000F7F91" w:rsidRPr="00EA1BB2" w14:paraId="22856A5A" w14:textId="77777777" w:rsidTr="00B84975">
        <w:trPr>
          <w:jc w:val="center"/>
        </w:trPr>
        <w:tc>
          <w:tcPr>
            <w:tcW w:w="1513" w:type="pct"/>
            <w:vMerge/>
            <w:vAlign w:val="center"/>
          </w:tcPr>
          <w:p w14:paraId="0239EF3D" w14:textId="77777777" w:rsidR="000F7F91" w:rsidRPr="00EA1BB2" w:rsidRDefault="000F7F91" w:rsidP="000F7F91">
            <w:pPr>
              <w:jc w:val="center"/>
              <w:rPr>
                <w:rFonts w:ascii="Cambria" w:hAnsi="Cambria"/>
                <w:sz w:val="24"/>
                <w:szCs w:val="24"/>
              </w:rPr>
            </w:pPr>
          </w:p>
        </w:tc>
        <w:tc>
          <w:tcPr>
            <w:tcW w:w="1616" w:type="pct"/>
            <w:vAlign w:val="center"/>
          </w:tcPr>
          <w:p w14:paraId="039BA6AB"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de suprafață</w:t>
            </w:r>
          </w:p>
        </w:tc>
        <w:tc>
          <w:tcPr>
            <w:tcW w:w="933" w:type="pct"/>
            <w:tcBorders>
              <w:top w:val="single" w:sz="4" w:space="0" w:color="auto"/>
              <w:left w:val="nil"/>
              <w:bottom w:val="single" w:sz="4" w:space="0" w:color="auto"/>
              <w:right w:val="single" w:sz="4" w:space="0" w:color="auto"/>
            </w:tcBorders>
            <w:shd w:val="clear" w:color="auto" w:fill="auto"/>
          </w:tcPr>
          <w:p w14:paraId="0555A7BF"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12,793221</w:t>
            </w:r>
          </w:p>
        </w:tc>
        <w:tc>
          <w:tcPr>
            <w:tcW w:w="938" w:type="pct"/>
            <w:tcBorders>
              <w:top w:val="single" w:sz="4" w:space="0" w:color="auto"/>
              <w:left w:val="nil"/>
              <w:bottom w:val="single" w:sz="4" w:space="0" w:color="auto"/>
              <w:right w:val="single" w:sz="4" w:space="0" w:color="auto"/>
            </w:tcBorders>
          </w:tcPr>
          <w:p w14:paraId="421108A5" w14:textId="77777777" w:rsidR="000F7F91" w:rsidRPr="00EA1BB2" w:rsidRDefault="00F82F4D" w:rsidP="000F7F91">
            <w:pPr>
              <w:jc w:val="center"/>
              <w:rPr>
                <w:rFonts w:ascii="Cambria" w:hAnsi="Cambria"/>
                <w:sz w:val="24"/>
                <w:szCs w:val="24"/>
              </w:rPr>
            </w:pPr>
            <w:r w:rsidRPr="00EA1BB2">
              <w:rPr>
                <w:rFonts w:ascii="Cambria" w:hAnsi="Cambria"/>
                <w:sz w:val="24"/>
                <w:szCs w:val="24"/>
              </w:rPr>
              <w:t>68,27</w:t>
            </w:r>
          </w:p>
        </w:tc>
      </w:tr>
      <w:tr w:rsidR="000F7F91" w:rsidRPr="00EA1BB2" w14:paraId="28F465DD" w14:textId="77777777" w:rsidTr="00B84975">
        <w:trPr>
          <w:jc w:val="center"/>
        </w:trPr>
        <w:tc>
          <w:tcPr>
            <w:tcW w:w="1513" w:type="pct"/>
            <w:vMerge/>
            <w:vAlign w:val="center"/>
          </w:tcPr>
          <w:p w14:paraId="734DCB6B" w14:textId="77777777" w:rsidR="000F7F91" w:rsidRPr="00EA1BB2" w:rsidRDefault="000F7F91" w:rsidP="000F7F91">
            <w:pPr>
              <w:jc w:val="center"/>
              <w:rPr>
                <w:rFonts w:ascii="Cambria" w:hAnsi="Cambria"/>
                <w:sz w:val="24"/>
                <w:szCs w:val="24"/>
              </w:rPr>
            </w:pPr>
          </w:p>
        </w:tc>
        <w:tc>
          <w:tcPr>
            <w:tcW w:w="1616" w:type="pct"/>
            <w:vAlign w:val="center"/>
          </w:tcPr>
          <w:p w14:paraId="0A81C814" w14:textId="77777777" w:rsidR="000F7F91" w:rsidRPr="00EA1BB2" w:rsidRDefault="000F7F91" w:rsidP="000F7F91">
            <w:pPr>
              <w:jc w:val="center"/>
              <w:rPr>
                <w:rFonts w:ascii="Cambria" w:hAnsi="Cambria"/>
                <w:sz w:val="24"/>
                <w:szCs w:val="24"/>
              </w:rPr>
            </w:pPr>
            <w:r w:rsidRPr="00EA1BB2">
              <w:rPr>
                <w:rFonts w:ascii="Cambria" w:hAnsi="Cambria"/>
                <w:sz w:val="24"/>
                <w:szCs w:val="24"/>
              </w:rPr>
              <w:t>TOTAL</w:t>
            </w:r>
          </w:p>
        </w:tc>
        <w:tc>
          <w:tcPr>
            <w:tcW w:w="933" w:type="pct"/>
            <w:tcBorders>
              <w:top w:val="single" w:sz="4" w:space="0" w:color="auto"/>
              <w:left w:val="nil"/>
              <w:bottom w:val="single" w:sz="4" w:space="0" w:color="auto"/>
              <w:right w:val="single" w:sz="4" w:space="0" w:color="auto"/>
            </w:tcBorders>
            <w:shd w:val="clear" w:color="auto" w:fill="auto"/>
          </w:tcPr>
          <w:p w14:paraId="2FE552A7"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18,739141</w:t>
            </w:r>
          </w:p>
        </w:tc>
        <w:tc>
          <w:tcPr>
            <w:tcW w:w="938" w:type="pct"/>
            <w:tcBorders>
              <w:top w:val="single" w:sz="4" w:space="0" w:color="auto"/>
              <w:left w:val="nil"/>
              <w:bottom w:val="single" w:sz="4" w:space="0" w:color="auto"/>
              <w:right w:val="single" w:sz="4" w:space="0" w:color="auto"/>
            </w:tcBorders>
          </w:tcPr>
          <w:p w14:paraId="0BA08AAA" w14:textId="77777777" w:rsidR="000F7F91" w:rsidRPr="00EA1BB2" w:rsidRDefault="00F82F4D" w:rsidP="000F7F91">
            <w:pPr>
              <w:jc w:val="center"/>
              <w:rPr>
                <w:rFonts w:ascii="Cambria" w:hAnsi="Cambria"/>
                <w:sz w:val="24"/>
                <w:szCs w:val="24"/>
              </w:rPr>
            </w:pPr>
            <w:r w:rsidRPr="00EA1BB2">
              <w:rPr>
                <w:rFonts w:ascii="Cambria" w:hAnsi="Cambria"/>
                <w:sz w:val="24"/>
                <w:szCs w:val="24"/>
              </w:rPr>
              <w:t>100</w:t>
            </w:r>
          </w:p>
        </w:tc>
      </w:tr>
      <w:tr w:rsidR="000F7F91" w:rsidRPr="00EA1BB2" w14:paraId="58B64AC1" w14:textId="77777777" w:rsidTr="00B84975">
        <w:trPr>
          <w:jc w:val="center"/>
        </w:trPr>
        <w:tc>
          <w:tcPr>
            <w:tcW w:w="1513" w:type="pct"/>
            <w:vMerge w:val="restart"/>
            <w:vAlign w:val="center"/>
          </w:tcPr>
          <w:p w14:paraId="42F49B6A" w14:textId="77777777" w:rsidR="000F7F91" w:rsidRPr="00EA1BB2" w:rsidRDefault="000F7F91" w:rsidP="000F7F91">
            <w:pPr>
              <w:jc w:val="center"/>
              <w:rPr>
                <w:rFonts w:ascii="Cambria" w:hAnsi="Cambria"/>
                <w:sz w:val="24"/>
                <w:szCs w:val="24"/>
              </w:rPr>
            </w:pPr>
            <w:r w:rsidRPr="00EA1BB2">
              <w:rPr>
                <w:rFonts w:ascii="Cambria" w:hAnsi="Cambria"/>
                <w:sz w:val="24"/>
                <w:szCs w:val="24"/>
              </w:rPr>
              <w:t>Monoxid de carbon</w:t>
            </w:r>
          </w:p>
          <w:p w14:paraId="3CFAF9F7" w14:textId="77777777" w:rsidR="000F7F91" w:rsidRPr="00EA1BB2" w:rsidRDefault="000F7F91" w:rsidP="000F7F91">
            <w:pPr>
              <w:jc w:val="center"/>
              <w:rPr>
                <w:rFonts w:ascii="Cambria" w:hAnsi="Cambria"/>
                <w:sz w:val="24"/>
                <w:szCs w:val="24"/>
              </w:rPr>
            </w:pPr>
            <w:r w:rsidRPr="00EA1BB2">
              <w:rPr>
                <w:rFonts w:ascii="Cambria" w:hAnsi="Cambria"/>
                <w:sz w:val="24"/>
                <w:szCs w:val="24"/>
              </w:rPr>
              <w:t>(CO)</w:t>
            </w:r>
          </w:p>
        </w:tc>
        <w:tc>
          <w:tcPr>
            <w:tcW w:w="1616" w:type="pct"/>
            <w:vAlign w:val="center"/>
          </w:tcPr>
          <w:p w14:paraId="03544503"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staționare</w:t>
            </w:r>
          </w:p>
        </w:tc>
        <w:tc>
          <w:tcPr>
            <w:tcW w:w="933" w:type="pct"/>
            <w:tcBorders>
              <w:top w:val="single" w:sz="4" w:space="0" w:color="auto"/>
              <w:left w:val="nil"/>
              <w:bottom w:val="single" w:sz="4" w:space="0" w:color="auto"/>
              <w:right w:val="single" w:sz="4" w:space="0" w:color="auto"/>
            </w:tcBorders>
            <w:shd w:val="clear" w:color="auto" w:fill="auto"/>
          </w:tcPr>
          <w:p w14:paraId="52E8341E"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243,801</w:t>
            </w:r>
          </w:p>
        </w:tc>
        <w:tc>
          <w:tcPr>
            <w:tcW w:w="938" w:type="pct"/>
            <w:tcBorders>
              <w:top w:val="single" w:sz="4" w:space="0" w:color="auto"/>
              <w:left w:val="nil"/>
              <w:bottom w:val="single" w:sz="4" w:space="0" w:color="auto"/>
              <w:right w:val="single" w:sz="4" w:space="0" w:color="auto"/>
            </w:tcBorders>
          </w:tcPr>
          <w:p w14:paraId="31244D4D" w14:textId="77777777" w:rsidR="000F7F91" w:rsidRPr="00EA1BB2" w:rsidRDefault="00F82F4D" w:rsidP="000F7F91">
            <w:pPr>
              <w:jc w:val="center"/>
              <w:rPr>
                <w:rFonts w:ascii="Cambria" w:hAnsi="Cambria"/>
                <w:sz w:val="24"/>
                <w:szCs w:val="24"/>
              </w:rPr>
            </w:pPr>
            <w:r w:rsidRPr="00EA1BB2">
              <w:rPr>
                <w:rFonts w:ascii="Cambria" w:hAnsi="Cambria"/>
                <w:sz w:val="24"/>
                <w:szCs w:val="24"/>
              </w:rPr>
              <w:t>6,01</w:t>
            </w:r>
          </w:p>
        </w:tc>
      </w:tr>
      <w:tr w:rsidR="000F7F91" w:rsidRPr="00EA1BB2" w14:paraId="2773A51E" w14:textId="77777777" w:rsidTr="00B84975">
        <w:trPr>
          <w:jc w:val="center"/>
        </w:trPr>
        <w:tc>
          <w:tcPr>
            <w:tcW w:w="1513" w:type="pct"/>
            <w:vMerge/>
            <w:vAlign w:val="center"/>
          </w:tcPr>
          <w:p w14:paraId="645EA866" w14:textId="77777777" w:rsidR="000F7F91" w:rsidRPr="00EA1BB2" w:rsidRDefault="000F7F91" w:rsidP="000F7F91">
            <w:pPr>
              <w:jc w:val="center"/>
              <w:rPr>
                <w:rFonts w:ascii="Cambria" w:hAnsi="Cambria"/>
                <w:sz w:val="24"/>
                <w:szCs w:val="24"/>
              </w:rPr>
            </w:pPr>
          </w:p>
        </w:tc>
        <w:tc>
          <w:tcPr>
            <w:tcW w:w="1616" w:type="pct"/>
            <w:vAlign w:val="center"/>
          </w:tcPr>
          <w:p w14:paraId="1E6F4C8A"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mobile</w:t>
            </w:r>
          </w:p>
        </w:tc>
        <w:tc>
          <w:tcPr>
            <w:tcW w:w="933" w:type="pct"/>
            <w:tcBorders>
              <w:top w:val="single" w:sz="4" w:space="0" w:color="auto"/>
              <w:left w:val="nil"/>
              <w:bottom w:val="single" w:sz="4" w:space="0" w:color="auto"/>
              <w:right w:val="single" w:sz="4" w:space="0" w:color="auto"/>
            </w:tcBorders>
            <w:shd w:val="clear" w:color="auto" w:fill="auto"/>
          </w:tcPr>
          <w:p w14:paraId="2ED80ACC"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2465,030</w:t>
            </w:r>
          </w:p>
        </w:tc>
        <w:tc>
          <w:tcPr>
            <w:tcW w:w="938" w:type="pct"/>
            <w:tcBorders>
              <w:top w:val="single" w:sz="4" w:space="0" w:color="auto"/>
              <w:left w:val="nil"/>
              <w:bottom w:val="single" w:sz="4" w:space="0" w:color="auto"/>
              <w:right w:val="single" w:sz="4" w:space="0" w:color="auto"/>
            </w:tcBorders>
          </w:tcPr>
          <w:p w14:paraId="31230495" w14:textId="77777777" w:rsidR="000F7F91" w:rsidRPr="00EA1BB2" w:rsidRDefault="00F82F4D" w:rsidP="000F7F91">
            <w:pPr>
              <w:jc w:val="center"/>
              <w:rPr>
                <w:rFonts w:ascii="Cambria" w:hAnsi="Cambria"/>
                <w:sz w:val="24"/>
                <w:szCs w:val="24"/>
              </w:rPr>
            </w:pPr>
            <w:r w:rsidRPr="00EA1BB2">
              <w:rPr>
                <w:rFonts w:ascii="Cambria" w:hAnsi="Cambria"/>
                <w:sz w:val="24"/>
                <w:szCs w:val="24"/>
              </w:rPr>
              <w:t>60,73</w:t>
            </w:r>
          </w:p>
        </w:tc>
      </w:tr>
      <w:tr w:rsidR="000F7F91" w:rsidRPr="00EA1BB2" w14:paraId="3DB7C169" w14:textId="77777777" w:rsidTr="00B84975">
        <w:trPr>
          <w:jc w:val="center"/>
        </w:trPr>
        <w:tc>
          <w:tcPr>
            <w:tcW w:w="1513" w:type="pct"/>
            <w:vMerge/>
            <w:vAlign w:val="center"/>
          </w:tcPr>
          <w:p w14:paraId="1A923356" w14:textId="77777777" w:rsidR="000F7F91" w:rsidRPr="00EA1BB2" w:rsidRDefault="000F7F91" w:rsidP="000F7F91">
            <w:pPr>
              <w:jc w:val="center"/>
              <w:rPr>
                <w:rFonts w:ascii="Cambria" w:hAnsi="Cambria"/>
                <w:sz w:val="24"/>
                <w:szCs w:val="24"/>
              </w:rPr>
            </w:pPr>
          </w:p>
        </w:tc>
        <w:tc>
          <w:tcPr>
            <w:tcW w:w="1616" w:type="pct"/>
            <w:vAlign w:val="center"/>
          </w:tcPr>
          <w:p w14:paraId="75C82FFF"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de suprafață</w:t>
            </w:r>
          </w:p>
        </w:tc>
        <w:tc>
          <w:tcPr>
            <w:tcW w:w="933" w:type="pct"/>
            <w:tcBorders>
              <w:top w:val="single" w:sz="4" w:space="0" w:color="auto"/>
              <w:left w:val="nil"/>
              <w:bottom w:val="single" w:sz="4" w:space="0" w:color="auto"/>
              <w:right w:val="single" w:sz="4" w:space="0" w:color="auto"/>
            </w:tcBorders>
            <w:shd w:val="clear" w:color="auto" w:fill="auto"/>
          </w:tcPr>
          <w:p w14:paraId="1BE64DF6"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1349,898</w:t>
            </w:r>
          </w:p>
        </w:tc>
        <w:tc>
          <w:tcPr>
            <w:tcW w:w="938" w:type="pct"/>
            <w:tcBorders>
              <w:top w:val="single" w:sz="4" w:space="0" w:color="auto"/>
              <w:left w:val="nil"/>
              <w:bottom w:val="single" w:sz="4" w:space="0" w:color="auto"/>
              <w:right w:val="single" w:sz="4" w:space="0" w:color="auto"/>
            </w:tcBorders>
          </w:tcPr>
          <w:p w14:paraId="6D49A7D0" w14:textId="77777777" w:rsidR="000F7F91" w:rsidRPr="00EA1BB2" w:rsidRDefault="00F82F4D" w:rsidP="000F7F91">
            <w:pPr>
              <w:jc w:val="center"/>
              <w:rPr>
                <w:rFonts w:ascii="Cambria" w:hAnsi="Cambria"/>
                <w:sz w:val="24"/>
                <w:szCs w:val="24"/>
              </w:rPr>
            </w:pPr>
            <w:r w:rsidRPr="00EA1BB2">
              <w:rPr>
                <w:rFonts w:ascii="Cambria" w:hAnsi="Cambria"/>
                <w:sz w:val="24"/>
                <w:szCs w:val="24"/>
              </w:rPr>
              <w:t>33,26</w:t>
            </w:r>
          </w:p>
        </w:tc>
      </w:tr>
      <w:tr w:rsidR="000F7F91" w:rsidRPr="00EA1BB2" w14:paraId="32E6EADC" w14:textId="77777777" w:rsidTr="00B84975">
        <w:trPr>
          <w:jc w:val="center"/>
        </w:trPr>
        <w:tc>
          <w:tcPr>
            <w:tcW w:w="1513" w:type="pct"/>
            <w:vMerge/>
            <w:vAlign w:val="center"/>
          </w:tcPr>
          <w:p w14:paraId="4D83B3E2" w14:textId="77777777" w:rsidR="000F7F91" w:rsidRPr="00EA1BB2" w:rsidRDefault="000F7F91" w:rsidP="000F7F91">
            <w:pPr>
              <w:jc w:val="center"/>
              <w:rPr>
                <w:rFonts w:ascii="Cambria" w:hAnsi="Cambria"/>
                <w:sz w:val="24"/>
                <w:szCs w:val="24"/>
              </w:rPr>
            </w:pPr>
          </w:p>
        </w:tc>
        <w:tc>
          <w:tcPr>
            <w:tcW w:w="1616" w:type="pct"/>
            <w:vAlign w:val="center"/>
          </w:tcPr>
          <w:p w14:paraId="5098BDAB" w14:textId="77777777" w:rsidR="000F7F91" w:rsidRPr="00EA1BB2" w:rsidRDefault="000F7F91" w:rsidP="000F7F91">
            <w:pPr>
              <w:jc w:val="center"/>
              <w:rPr>
                <w:rFonts w:ascii="Cambria" w:hAnsi="Cambria"/>
                <w:sz w:val="24"/>
                <w:szCs w:val="24"/>
              </w:rPr>
            </w:pPr>
            <w:r w:rsidRPr="00EA1BB2">
              <w:rPr>
                <w:rFonts w:ascii="Cambria" w:hAnsi="Cambria"/>
                <w:sz w:val="24"/>
                <w:szCs w:val="24"/>
              </w:rPr>
              <w:t>TOTAL</w:t>
            </w:r>
          </w:p>
        </w:tc>
        <w:tc>
          <w:tcPr>
            <w:tcW w:w="933" w:type="pct"/>
            <w:tcBorders>
              <w:top w:val="single" w:sz="4" w:space="0" w:color="auto"/>
              <w:left w:val="nil"/>
              <w:bottom w:val="single" w:sz="4" w:space="0" w:color="auto"/>
              <w:right w:val="single" w:sz="4" w:space="0" w:color="auto"/>
            </w:tcBorders>
            <w:shd w:val="clear" w:color="auto" w:fill="auto"/>
          </w:tcPr>
          <w:p w14:paraId="0EB1176D"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4058,729</w:t>
            </w:r>
          </w:p>
        </w:tc>
        <w:tc>
          <w:tcPr>
            <w:tcW w:w="938" w:type="pct"/>
            <w:tcBorders>
              <w:top w:val="single" w:sz="4" w:space="0" w:color="auto"/>
              <w:left w:val="nil"/>
              <w:bottom w:val="single" w:sz="4" w:space="0" w:color="auto"/>
              <w:right w:val="single" w:sz="4" w:space="0" w:color="auto"/>
            </w:tcBorders>
          </w:tcPr>
          <w:p w14:paraId="3ADC5CF5" w14:textId="77777777" w:rsidR="000F7F91" w:rsidRPr="00EA1BB2" w:rsidRDefault="00F82F4D" w:rsidP="000F7F91">
            <w:pPr>
              <w:jc w:val="center"/>
              <w:rPr>
                <w:rFonts w:ascii="Cambria" w:hAnsi="Cambria"/>
                <w:sz w:val="24"/>
                <w:szCs w:val="24"/>
              </w:rPr>
            </w:pPr>
            <w:r w:rsidRPr="00EA1BB2">
              <w:rPr>
                <w:rFonts w:ascii="Cambria" w:hAnsi="Cambria"/>
                <w:sz w:val="24"/>
                <w:szCs w:val="24"/>
              </w:rPr>
              <w:t>100</w:t>
            </w:r>
          </w:p>
        </w:tc>
      </w:tr>
      <w:tr w:rsidR="000F7F91" w:rsidRPr="00EA1BB2" w14:paraId="6A951444" w14:textId="77777777" w:rsidTr="00B84975">
        <w:trPr>
          <w:jc w:val="center"/>
        </w:trPr>
        <w:tc>
          <w:tcPr>
            <w:tcW w:w="1513" w:type="pct"/>
            <w:vMerge w:val="restart"/>
            <w:vAlign w:val="center"/>
          </w:tcPr>
          <w:p w14:paraId="5FCCDB2D" w14:textId="77777777" w:rsidR="000F7F91" w:rsidRPr="00EA1BB2" w:rsidRDefault="000F7F91" w:rsidP="000F7F91">
            <w:pPr>
              <w:jc w:val="center"/>
              <w:rPr>
                <w:rFonts w:ascii="Cambria" w:hAnsi="Cambria"/>
                <w:sz w:val="24"/>
                <w:szCs w:val="24"/>
              </w:rPr>
            </w:pPr>
            <w:r w:rsidRPr="00EA1BB2">
              <w:rPr>
                <w:rFonts w:ascii="Cambria" w:hAnsi="Cambria"/>
                <w:sz w:val="24"/>
                <w:szCs w:val="24"/>
              </w:rPr>
              <w:t xml:space="preserve">Plumb </w:t>
            </w:r>
          </w:p>
          <w:p w14:paraId="510144B5" w14:textId="77777777" w:rsidR="000F7F91" w:rsidRPr="00EA1BB2" w:rsidRDefault="000F7F91" w:rsidP="000F7F91">
            <w:pPr>
              <w:jc w:val="center"/>
              <w:rPr>
                <w:rFonts w:ascii="Cambria" w:hAnsi="Cambria"/>
                <w:sz w:val="24"/>
                <w:szCs w:val="24"/>
              </w:rPr>
            </w:pPr>
            <w:r w:rsidRPr="00EA1BB2">
              <w:rPr>
                <w:rFonts w:ascii="Cambria" w:hAnsi="Cambria"/>
                <w:sz w:val="24"/>
                <w:szCs w:val="24"/>
              </w:rPr>
              <w:t>(Pb)</w:t>
            </w:r>
          </w:p>
        </w:tc>
        <w:tc>
          <w:tcPr>
            <w:tcW w:w="1616" w:type="pct"/>
            <w:vAlign w:val="center"/>
          </w:tcPr>
          <w:p w14:paraId="38B5BB28"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staționare</w:t>
            </w:r>
          </w:p>
        </w:tc>
        <w:tc>
          <w:tcPr>
            <w:tcW w:w="933" w:type="pct"/>
            <w:tcBorders>
              <w:top w:val="single" w:sz="4" w:space="0" w:color="auto"/>
              <w:left w:val="nil"/>
              <w:bottom w:val="single" w:sz="4" w:space="0" w:color="auto"/>
              <w:right w:val="single" w:sz="4" w:space="0" w:color="auto"/>
            </w:tcBorders>
            <w:shd w:val="clear" w:color="auto" w:fill="auto"/>
          </w:tcPr>
          <w:p w14:paraId="2ED9BA7C"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0,034596</w:t>
            </w:r>
          </w:p>
        </w:tc>
        <w:tc>
          <w:tcPr>
            <w:tcW w:w="938" w:type="pct"/>
            <w:tcBorders>
              <w:top w:val="single" w:sz="4" w:space="0" w:color="auto"/>
              <w:left w:val="nil"/>
              <w:bottom w:val="single" w:sz="4" w:space="0" w:color="auto"/>
              <w:right w:val="single" w:sz="4" w:space="0" w:color="auto"/>
            </w:tcBorders>
          </w:tcPr>
          <w:p w14:paraId="71D3EF6D" w14:textId="77777777" w:rsidR="000F7F91" w:rsidRPr="00EA1BB2" w:rsidRDefault="00F82F4D" w:rsidP="000F7F91">
            <w:pPr>
              <w:jc w:val="center"/>
              <w:rPr>
                <w:rFonts w:ascii="Cambria" w:hAnsi="Cambria"/>
                <w:sz w:val="24"/>
                <w:szCs w:val="24"/>
              </w:rPr>
            </w:pPr>
            <w:r w:rsidRPr="00EA1BB2">
              <w:rPr>
                <w:rFonts w:ascii="Cambria" w:hAnsi="Cambria"/>
                <w:sz w:val="24"/>
                <w:szCs w:val="24"/>
              </w:rPr>
              <w:t>51,34</w:t>
            </w:r>
          </w:p>
        </w:tc>
      </w:tr>
      <w:tr w:rsidR="000F7F91" w:rsidRPr="00EA1BB2" w14:paraId="64EC81CB" w14:textId="77777777" w:rsidTr="00B84975">
        <w:trPr>
          <w:jc w:val="center"/>
        </w:trPr>
        <w:tc>
          <w:tcPr>
            <w:tcW w:w="1513" w:type="pct"/>
            <w:vMerge/>
            <w:vAlign w:val="center"/>
          </w:tcPr>
          <w:p w14:paraId="743775A7" w14:textId="77777777" w:rsidR="000F7F91" w:rsidRPr="00EA1BB2" w:rsidRDefault="000F7F91" w:rsidP="000F7F91">
            <w:pPr>
              <w:jc w:val="center"/>
              <w:rPr>
                <w:rFonts w:ascii="Cambria" w:hAnsi="Cambria"/>
                <w:sz w:val="24"/>
                <w:szCs w:val="24"/>
              </w:rPr>
            </w:pPr>
          </w:p>
        </w:tc>
        <w:tc>
          <w:tcPr>
            <w:tcW w:w="1616" w:type="pct"/>
            <w:vAlign w:val="center"/>
          </w:tcPr>
          <w:p w14:paraId="0EA978AA"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mobile</w:t>
            </w:r>
          </w:p>
        </w:tc>
        <w:tc>
          <w:tcPr>
            <w:tcW w:w="933" w:type="pct"/>
            <w:tcBorders>
              <w:top w:val="single" w:sz="4" w:space="0" w:color="auto"/>
              <w:left w:val="nil"/>
              <w:bottom w:val="single" w:sz="4" w:space="0" w:color="auto"/>
              <w:right w:val="single" w:sz="4" w:space="0" w:color="auto"/>
            </w:tcBorders>
            <w:shd w:val="clear" w:color="auto" w:fill="auto"/>
          </w:tcPr>
          <w:p w14:paraId="1686C1F1"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0,022432</w:t>
            </w:r>
          </w:p>
        </w:tc>
        <w:tc>
          <w:tcPr>
            <w:tcW w:w="938" w:type="pct"/>
            <w:tcBorders>
              <w:top w:val="single" w:sz="4" w:space="0" w:color="auto"/>
              <w:left w:val="nil"/>
              <w:bottom w:val="single" w:sz="4" w:space="0" w:color="auto"/>
              <w:right w:val="single" w:sz="4" w:space="0" w:color="auto"/>
            </w:tcBorders>
          </w:tcPr>
          <w:p w14:paraId="4ACAE629" w14:textId="77777777" w:rsidR="000F7F91" w:rsidRPr="00EA1BB2" w:rsidRDefault="00F82F4D" w:rsidP="000F7F91">
            <w:pPr>
              <w:jc w:val="center"/>
              <w:rPr>
                <w:rFonts w:ascii="Cambria" w:hAnsi="Cambria"/>
                <w:sz w:val="24"/>
                <w:szCs w:val="24"/>
              </w:rPr>
            </w:pPr>
            <w:r w:rsidRPr="00EA1BB2">
              <w:rPr>
                <w:rFonts w:ascii="Cambria" w:hAnsi="Cambria"/>
                <w:sz w:val="24"/>
                <w:szCs w:val="24"/>
              </w:rPr>
              <w:t>33,29</w:t>
            </w:r>
          </w:p>
        </w:tc>
      </w:tr>
      <w:tr w:rsidR="000F7F91" w:rsidRPr="00EA1BB2" w14:paraId="1D2FE674" w14:textId="77777777" w:rsidTr="00B84975">
        <w:trPr>
          <w:jc w:val="center"/>
        </w:trPr>
        <w:tc>
          <w:tcPr>
            <w:tcW w:w="1513" w:type="pct"/>
            <w:vMerge/>
            <w:vAlign w:val="center"/>
          </w:tcPr>
          <w:p w14:paraId="603C2CD9" w14:textId="77777777" w:rsidR="000F7F91" w:rsidRPr="00EA1BB2" w:rsidRDefault="000F7F91" w:rsidP="000F7F91">
            <w:pPr>
              <w:jc w:val="center"/>
              <w:rPr>
                <w:rFonts w:ascii="Cambria" w:hAnsi="Cambria"/>
                <w:sz w:val="24"/>
                <w:szCs w:val="24"/>
              </w:rPr>
            </w:pPr>
          </w:p>
        </w:tc>
        <w:tc>
          <w:tcPr>
            <w:tcW w:w="1616" w:type="pct"/>
            <w:vAlign w:val="center"/>
          </w:tcPr>
          <w:p w14:paraId="7F917471"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de suprafață</w:t>
            </w:r>
          </w:p>
        </w:tc>
        <w:tc>
          <w:tcPr>
            <w:tcW w:w="933" w:type="pct"/>
            <w:tcBorders>
              <w:top w:val="single" w:sz="4" w:space="0" w:color="auto"/>
              <w:left w:val="nil"/>
              <w:bottom w:val="single" w:sz="4" w:space="0" w:color="auto"/>
              <w:right w:val="single" w:sz="4" w:space="0" w:color="auto"/>
            </w:tcBorders>
            <w:shd w:val="clear" w:color="auto" w:fill="auto"/>
          </w:tcPr>
          <w:p w14:paraId="0A2D1DAC"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0,010360</w:t>
            </w:r>
          </w:p>
        </w:tc>
        <w:tc>
          <w:tcPr>
            <w:tcW w:w="938" w:type="pct"/>
            <w:tcBorders>
              <w:top w:val="single" w:sz="4" w:space="0" w:color="auto"/>
              <w:left w:val="nil"/>
              <w:bottom w:val="single" w:sz="4" w:space="0" w:color="auto"/>
              <w:right w:val="single" w:sz="4" w:space="0" w:color="auto"/>
            </w:tcBorders>
          </w:tcPr>
          <w:p w14:paraId="7FD80475" w14:textId="77777777" w:rsidR="000F7F91" w:rsidRPr="00EA1BB2" w:rsidRDefault="00F82F4D" w:rsidP="000F7F91">
            <w:pPr>
              <w:jc w:val="center"/>
              <w:rPr>
                <w:rFonts w:ascii="Cambria" w:hAnsi="Cambria"/>
                <w:sz w:val="24"/>
                <w:szCs w:val="24"/>
              </w:rPr>
            </w:pPr>
            <w:r w:rsidRPr="00EA1BB2">
              <w:rPr>
                <w:rFonts w:ascii="Cambria" w:hAnsi="Cambria"/>
                <w:sz w:val="24"/>
                <w:szCs w:val="24"/>
              </w:rPr>
              <w:t>15,37</w:t>
            </w:r>
          </w:p>
        </w:tc>
      </w:tr>
      <w:tr w:rsidR="000F7F91" w:rsidRPr="00EA1BB2" w14:paraId="6701E418" w14:textId="77777777" w:rsidTr="00B84975">
        <w:trPr>
          <w:jc w:val="center"/>
        </w:trPr>
        <w:tc>
          <w:tcPr>
            <w:tcW w:w="1513" w:type="pct"/>
            <w:vMerge/>
            <w:vAlign w:val="center"/>
          </w:tcPr>
          <w:p w14:paraId="51A8C3FC" w14:textId="77777777" w:rsidR="000F7F91" w:rsidRPr="00EA1BB2" w:rsidRDefault="000F7F91" w:rsidP="000F7F91">
            <w:pPr>
              <w:jc w:val="center"/>
              <w:rPr>
                <w:rFonts w:ascii="Cambria" w:hAnsi="Cambria"/>
                <w:sz w:val="24"/>
                <w:szCs w:val="24"/>
              </w:rPr>
            </w:pPr>
          </w:p>
        </w:tc>
        <w:tc>
          <w:tcPr>
            <w:tcW w:w="1616" w:type="pct"/>
            <w:vAlign w:val="center"/>
          </w:tcPr>
          <w:p w14:paraId="52737E33" w14:textId="77777777" w:rsidR="000F7F91" w:rsidRPr="00EA1BB2" w:rsidRDefault="000F7F91" w:rsidP="000F7F91">
            <w:pPr>
              <w:jc w:val="center"/>
              <w:rPr>
                <w:rFonts w:ascii="Cambria" w:hAnsi="Cambria"/>
                <w:sz w:val="24"/>
                <w:szCs w:val="24"/>
              </w:rPr>
            </w:pPr>
            <w:r w:rsidRPr="00EA1BB2">
              <w:rPr>
                <w:rFonts w:ascii="Cambria" w:hAnsi="Cambria"/>
                <w:sz w:val="24"/>
                <w:szCs w:val="24"/>
              </w:rPr>
              <w:t>TOTAL</w:t>
            </w:r>
          </w:p>
        </w:tc>
        <w:tc>
          <w:tcPr>
            <w:tcW w:w="933" w:type="pct"/>
            <w:tcBorders>
              <w:top w:val="single" w:sz="4" w:space="0" w:color="auto"/>
              <w:left w:val="nil"/>
              <w:bottom w:val="single" w:sz="4" w:space="0" w:color="auto"/>
              <w:right w:val="single" w:sz="4" w:space="0" w:color="auto"/>
            </w:tcBorders>
            <w:shd w:val="clear" w:color="auto" w:fill="auto"/>
          </w:tcPr>
          <w:p w14:paraId="33BD5AB2"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0,067388</w:t>
            </w:r>
          </w:p>
        </w:tc>
        <w:tc>
          <w:tcPr>
            <w:tcW w:w="938" w:type="pct"/>
            <w:tcBorders>
              <w:top w:val="single" w:sz="4" w:space="0" w:color="auto"/>
              <w:left w:val="nil"/>
              <w:bottom w:val="single" w:sz="4" w:space="0" w:color="auto"/>
              <w:right w:val="single" w:sz="4" w:space="0" w:color="auto"/>
            </w:tcBorders>
          </w:tcPr>
          <w:p w14:paraId="024D3549" w14:textId="77777777" w:rsidR="000F7F91" w:rsidRPr="00EA1BB2" w:rsidRDefault="00F82F4D" w:rsidP="000F7F91">
            <w:pPr>
              <w:jc w:val="center"/>
              <w:rPr>
                <w:rFonts w:ascii="Cambria" w:hAnsi="Cambria"/>
                <w:sz w:val="24"/>
                <w:szCs w:val="24"/>
              </w:rPr>
            </w:pPr>
            <w:r w:rsidRPr="00EA1BB2">
              <w:rPr>
                <w:rFonts w:ascii="Cambria" w:hAnsi="Cambria"/>
                <w:sz w:val="24"/>
                <w:szCs w:val="24"/>
              </w:rPr>
              <w:t>100</w:t>
            </w:r>
          </w:p>
        </w:tc>
      </w:tr>
      <w:tr w:rsidR="000F7F91" w:rsidRPr="00EA1BB2" w14:paraId="1F75D9A7" w14:textId="77777777" w:rsidTr="00B84975">
        <w:trPr>
          <w:jc w:val="center"/>
        </w:trPr>
        <w:tc>
          <w:tcPr>
            <w:tcW w:w="1513" w:type="pct"/>
            <w:vMerge w:val="restart"/>
            <w:vAlign w:val="center"/>
          </w:tcPr>
          <w:p w14:paraId="4E985DDD" w14:textId="77777777" w:rsidR="000F7F91" w:rsidRPr="00EA1BB2" w:rsidRDefault="000F7F91" w:rsidP="000F7F91">
            <w:pPr>
              <w:jc w:val="center"/>
              <w:rPr>
                <w:rFonts w:ascii="Cambria" w:hAnsi="Cambria"/>
                <w:sz w:val="24"/>
                <w:szCs w:val="24"/>
              </w:rPr>
            </w:pPr>
            <w:r w:rsidRPr="00EA1BB2">
              <w:rPr>
                <w:rFonts w:ascii="Cambria" w:hAnsi="Cambria"/>
                <w:sz w:val="24"/>
                <w:szCs w:val="24"/>
              </w:rPr>
              <w:t xml:space="preserve">Arsen </w:t>
            </w:r>
          </w:p>
          <w:p w14:paraId="4655BC67" w14:textId="77777777" w:rsidR="000F7F91" w:rsidRPr="00EA1BB2" w:rsidRDefault="000F7F91" w:rsidP="000F7F91">
            <w:pPr>
              <w:jc w:val="center"/>
              <w:rPr>
                <w:rFonts w:ascii="Cambria" w:hAnsi="Cambria"/>
                <w:sz w:val="24"/>
                <w:szCs w:val="24"/>
              </w:rPr>
            </w:pPr>
            <w:r w:rsidRPr="00EA1BB2">
              <w:rPr>
                <w:rFonts w:ascii="Cambria" w:hAnsi="Cambria"/>
                <w:sz w:val="24"/>
                <w:szCs w:val="24"/>
              </w:rPr>
              <w:t>(As)</w:t>
            </w:r>
          </w:p>
        </w:tc>
        <w:tc>
          <w:tcPr>
            <w:tcW w:w="1616" w:type="pct"/>
            <w:vAlign w:val="center"/>
          </w:tcPr>
          <w:p w14:paraId="6229A271"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staționare</w:t>
            </w:r>
          </w:p>
        </w:tc>
        <w:tc>
          <w:tcPr>
            <w:tcW w:w="933" w:type="pct"/>
            <w:tcBorders>
              <w:top w:val="single" w:sz="4" w:space="0" w:color="auto"/>
              <w:left w:val="nil"/>
              <w:bottom w:val="single" w:sz="4" w:space="0" w:color="auto"/>
              <w:right w:val="single" w:sz="4" w:space="0" w:color="auto"/>
            </w:tcBorders>
            <w:shd w:val="clear" w:color="auto" w:fill="auto"/>
          </w:tcPr>
          <w:p w14:paraId="7249BFE2"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0,000277</w:t>
            </w:r>
          </w:p>
        </w:tc>
        <w:tc>
          <w:tcPr>
            <w:tcW w:w="938" w:type="pct"/>
            <w:tcBorders>
              <w:top w:val="single" w:sz="4" w:space="0" w:color="auto"/>
              <w:left w:val="nil"/>
              <w:bottom w:val="single" w:sz="4" w:space="0" w:color="auto"/>
              <w:right w:val="single" w:sz="4" w:space="0" w:color="auto"/>
            </w:tcBorders>
          </w:tcPr>
          <w:p w14:paraId="12534474" w14:textId="77777777" w:rsidR="000F7F91" w:rsidRPr="00EA1BB2" w:rsidRDefault="00F82F4D" w:rsidP="000F7F91">
            <w:pPr>
              <w:jc w:val="center"/>
              <w:rPr>
                <w:rFonts w:ascii="Cambria" w:hAnsi="Cambria"/>
                <w:sz w:val="24"/>
                <w:szCs w:val="24"/>
              </w:rPr>
            </w:pPr>
            <w:r w:rsidRPr="00EA1BB2">
              <w:rPr>
                <w:rFonts w:ascii="Cambria" w:hAnsi="Cambria"/>
                <w:sz w:val="24"/>
                <w:szCs w:val="24"/>
              </w:rPr>
              <w:t>51,65</w:t>
            </w:r>
          </w:p>
        </w:tc>
      </w:tr>
      <w:tr w:rsidR="000F7F91" w:rsidRPr="00EA1BB2" w14:paraId="2A579242" w14:textId="77777777" w:rsidTr="00B84975">
        <w:trPr>
          <w:jc w:val="center"/>
        </w:trPr>
        <w:tc>
          <w:tcPr>
            <w:tcW w:w="1513" w:type="pct"/>
            <w:vMerge/>
            <w:vAlign w:val="center"/>
          </w:tcPr>
          <w:p w14:paraId="072BA866" w14:textId="77777777" w:rsidR="000F7F91" w:rsidRPr="00EA1BB2" w:rsidRDefault="000F7F91" w:rsidP="000F7F91">
            <w:pPr>
              <w:jc w:val="center"/>
              <w:rPr>
                <w:rFonts w:ascii="Cambria" w:hAnsi="Cambria"/>
                <w:sz w:val="24"/>
                <w:szCs w:val="24"/>
              </w:rPr>
            </w:pPr>
          </w:p>
        </w:tc>
        <w:tc>
          <w:tcPr>
            <w:tcW w:w="1616" w:type="pct"/>
            <w:vAlign w:val="center"/>
          </w:tcPr>
          <w:p w14:paraId="30E80488"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mobile</w:t>
            </w:r>
          </w:p>
        </w:tc>
        <w:tc>
          <w:tcPr>
            <w:tcW w:w="933" w:type="pct"/>
            <w:tcBorders>
              <w:top w:val="single" w:sz="4" w:space="0" w:color="auto"/>
              <w:left w:val="nil"/>
              <w:bottom w:val="single" w:sz="4" w:space="0" w:color="auto"/>
              <w:right w:val="single" w:sz="4" w:space="0" w:color="auto"/>
            </w:tcBorders>
            <w:shd w:val="clear" w:color="auto" w:fill="auto"/>
          </w:tcPr>
          <w:p w14:paraId="5002A714" w14:textId="77777777" w:rsidR="000F7F91" w:rsidRPr="00EA1BB2" w:rsidRDefault="000F7F91" w:rsidP="000F7F91">
            <w:pPr>
              <w:jc w:val="center"/>
              <w:rPr>
                <w:rFonts w:ascii="Cambria" w:hAnsi="Cambria"/>
                <w:color w:val="000000"/>
                <w:sz w:val="24"/>
                <w:szCs w:val="24"/>
              </w:rPr>
            </w:pPr>
          </w:p>
        </w:tc>
        <w:tc>
          <w:tcPr>
            <w:tcW w:w="938" w:type="pct"/>
            <w:tcBorders>
              <w:top w:val="single" w:sz="4" w:space="0" w:color="auto"/>
              <w:left w:val="nil"/>
              <w:bottom w:val="single" w:sz="4" w:space="0" w:color="auto"/>
              <w:right w:val="single" w:sz="4" w:space="0" w:color="auto"/>
            </w:tcBorders>
          </w:tcPr>
          <w:p w14:paraId="10D083A9" w14:textId="77777777" w:rsidR="000F7F91" w:rsidRPr="00EA1BB2" w:rsidRDefault="00F82F4D" w:rsidP="000F7F91">
            <w:pPr>
              <w:jc w:val="center"/>
              <w:rPr>
                <w:rFonts w:ascii="Cambria" w:hAnsi="Cambria"/>
                <w:color w:val="000000"/>
                <w:sz w:val="24"/>
                <w:szCs w:val="24"/>
              </w:rPr>
            </w:pPr>
            <w:r w:rsidRPr="00EA1BB2">
              <w:rPr>
                <w:rFonts w:ascii="Cambria" w:hAnsi="Cambria"/>
                <w:sz w:val="24"/>
                <w:szCs w:val="24"/>
              </w:rPr>
              <w:t>0,00</w:t>
            </w:r>
          </w:p>
        </w:tc>
      </w:tr>
      <w:tr w:rsidR="000F7F91" w:rsidRPr="00EA1BB2" w14:paraId="5B9D31BC" w14:textId="77777777" w:rsidTr="00B84975">
        <w:trPr>
          <w:jc w:val="center"/>
        </w:trPr>
        <w:tc>
          <w:tcPr>
            <w:tcW w:w="1513" w:type="pct"/>
            <w:vMerge/>
            <w:vAlign w:val="center"/>
          </w:tcPr>
          <w:p w14:paraId="7C92B9BA" w14:textId="77777777" w:rsidR="000F7F91" w:rsidRPr="00EA1BB2" w:rsidRDefault="000F7F91" w:rsidP="000F7F91">
            <w:pPr>
              <w:jc w:val="center"/>
              <w:rPr>
                <w:rFonts w:ascii="Cambria" w:hAnsi="Cambria"/>
                <w:sz w:val="24"/>
                <w:szCs w:val="24"/>
              </w:rPr>
            </w:pPr>
          </w:p>
        </w:tc>
        <w:tc>
          <w:tcPr>
            <w:tcW w:w="1616" w:type="pct"/>
            <w:vAlign w:val="center"/>
          </w:tcPr>
          <w:p w14:paraId="23EC06EA"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de suprafață</w:t>
            </w:r>
          </w:p>
        </w:tc>
        <w:tc>
          <w:tcPr>
            <w:tcW w:w="933" w:type="pct"/>
            <w:tcBorders>
              <w:top w:val="single" w:sz="4" w:space="0" w:color="auto"/>
              <w:left w:val="nil"/>
              <w:bottom w:val="single" w:sz="4" w:space="0" w:color="auto"/>
              <w:right w:val="single" w:sz="4" w:space="0" w:color="auto"/>
            </w:tcBorders>
            <w:shd w:val="clear" w:color="auto" w:fill="auto"/>
          </w:tcPr>
          <w:p w14:paraId="30D1F9AE"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0,000259</w:t>
            </w:r>
          </w:p>
        </w:tc>
        <w:tc>
          <w:tcPr>
            <w:tcW w:w="938" w:type="pct"/>
            <w:tcBorders>
              <w:top w:val="single" w:sz="4" w:space="0" w:color="auto"/>
              <w:left w:val="nil"/>
              <w:bottom w:val="single" w:sz="4" w:space="0" w:color="auto"/>
              <w:right w:val="single" w:sz="4" w:space="0" w:color="auto"/>
            </w:tcBorders>
          </w:tcPr>
          <w:p w14:paraId="0264444F" w14:textId="77777777" w:rsidR="000F7F91" w:rsidRPr="00EA1BB2" w:rsidRDefault="00F82F4D" w:rsidP="000F7F91">
            <w:pPr>
              <w:jc w:val="center"/>
              <w:rPr>
                <w:rFonts w:ascii="Cambria" w:hAnsi="Cambria"/>
                <w:sz w:val="24"/>
                <w:szCs w:val="24"/>
              </w:rPr>
            </w:pPr>
            <w:r w:rsidRPr="00EA1BB2">
              <w:rPr>
                <w:rFonts w:ascii="Cambria" w:hAnsi="Cambria"/>
                <w:sz w:val="24"/>
                <w:szCs w:val="24"/>
              </w:rPr>
              <w:t>48,35</w:t>
            </w:r>
          </w:p>
        </w:tc>
      </w:tr>
      <w:tr w:rsidR="000F7F91" w:rsidRPr="00EA1BB2" w14:paraId="59625C72" w14:textId="77777777" w:rsidTr="00B84975">
        <w:trPr>
          <w:jc w:val="center"/>
        </w:trPr>
        <w:tc>
          <w:tcPr>
            <w:tcW w:w="1513" w:type="pct"/>
            <w:vMerge/>
            <w:vAlign w:val="center"/>
          </w:tcPr>
          <w:p w14:paraId="3889EB7E" w14:textId="77777777" w:rsidR="000F7F91" w:rsidRPr="00EA1BB2" w:rsidRDefault="000F7F91" w:rsidP="000F7F91">
            <w:pPr>
              <w:jc w:val="center"/>
              <w:rPr>
                <w:rFonts w:ascii="Cambria" w:hAnsi="Cambria"/>
                <w:sz w:val="24"/>
                <w:szCs w:val="24"/>
              </w:rPr>
            </w:pPr>
          </w:p>
        </w:tc>
        <w:tc>
          <w:tcPr>
            <w:tcW w:w="1616" w:type="pct"/>
            <w:vAlign w:val="center"/>
          </w:tcPr>
          <w:p w14:paraId="1E1C045C" w14:textId="77777777" w:rsidR="000F7F91" w:rsidRPr="00EA1BB2" w:rsidRDefault="000F7F91" w:rsidP="000F7F91">
            <w:pPr>
              <w:jc w:val="center"/>
              <w:rPr>
                <w:rFonts w:ascii="Cambria" w:hAnsi="Cambria"/>
                <w:sz w:val="24"/>
                <w:szCs w:val="24"/>
              </w:rPr>
            </w:pPr>
            <w:r w:rsidRPr="00EA1BB2">
              <w:rPr>
                <w:rFonts w:ascii="Cambria" w:hAnsi="Cambria"/>
                <w:sz w:val="24"/>
                <w:szCs w:val="24"/>
              </w:rPr>
              <w:t>TOTAL</w:t>
            </w:r>
          </w:p>
        </w:tc>
        <w:tc>
          <w:tcPr>
            <w:tcW w:w="933" w:type="pct"/>
            <w:tcBorders>
              <w:top w:val="single" w:sz="4" w:space="0" w:color="auto"/>
              <w:left w:val="nil"/>
              <w:bottom w:val="single" w:sz="4" w:space="0" w:color="auto"/>
              <w:right w:val="single" w:sz="4" w:space="0" w:color="auto"/>
            </w:tcBorders>
            <w:shd w:val="clear" w:color="auto" w:fill="auto"/>
          </w:tcPr>
          <w:p w14:paraId="33E0111E"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0,000537</w:t>
            </w:r>
          </w:p>
        </w:tc>
        <w:tc>
          <w:tcPr>
            <w:tcW w:w="938" w:type="pct"/>
            <w:tcBorders>
              <w:top w:val="single" w:sz="4" w:space="0" w:color="auto"/>
              <w:left w:val="nil"/>
              <w:bottom w:val="single" w:sz="4" w:space="0" w:color="auto"/>
              <w:right w:val="single" w:sz="4" w:space="0" w:color="auto"/>
            </w:tcBorders>
          </w:tcPr>
          <w:p w14:paraId="35FD819E" w14:textId="77777777" w:rsidR="000F7F91" w:rsidRPr="00EA1BB2" w:rsidRDefault="00F82F4D" w:rsidP="000F7F91">
            <w:pPr>
              <w:jc w:val="center"/>
              <w:rPr>
                <w:rFonts w:ascii="Cambria" w:hAnsi="Cambria"/>
                <w:sz w:val="24"/>
                <w:szCs w:val="24"/>
              </w:rPr>
            </w:pPr>
            <w:r w:rsidRPr="00EA1BB2">
              <w:rPr>
                <w:rFonts w:ascii="Cambria" w:hAnsi="Cambria"/>
                <w:sz w:val="24"/>
                <w:szCs w:val="24"/>
              </w:rPr>
              <w:t>100</w:t>
            </w:r>
          </w:p>
        </w:tc>
      </w:tr>
      <w:tr w:rsidR="000F7F91" w:rsidRPr="00EA1BB2" w14:paraId="07235225" w14:textId="77777777" w:rsidTr="00B84975">
        <w:trPr>
          <w:jc w:val="center"/>
        </w:trPr>
        <w:tc>
          <w:tcPr>
            <w:tcW w:w="1513" w:type="pct"/>
            <w:vMerge w:val="restart"/>
            <w:vAlign w:val="center"/>
          </w:tcPr>
          <w:p w14:paraId="2D815749" w14:textId="77777777" w:rsidR="000F7F91" w:rsidRPr="00EA1BB2" w:rsidRDefault="000F7F91" w:rsidP="000F7F91">
            <w:pPr>
              <w:jc w:val="center"/>
              <w:rPr>
                <w:rFonts w:ascii="Cambria" w:hAnsi="Cambria"/>
                <w:sz w:val="24"/>
                <w:szCs w:val="24"/>
              </w:rPr>
            </w:pPr>
            <w:r w:rsidRPr="00EA1BB2">
              <w:rPr>
                <w:rFonts w:ascii="Cambria" w:hAnsi="Cambria"/>
                <w:sz w:val="24"/>
                <w:szCs w:val="24"/>
              </w:rPr>
              <w:t xml:space="preserve">Cadmiu </w:t>
            </w:r>
          </w:p>
          <w:p w14:paraId="55FE4523" w14:textId="77777777" w:rsidR="000F7F91" w:rsidRPr="00EA1BB2" w:rsidRDefault="000F7F91" w:rsidP="000F7F91">
            <w:pPr>
              <w:jc w:val="center"/>
              <w:rPr>
                <w:rFonts w:ascii="Cambria" w:hAnsi="Cambria"/>
                <w:sz w:val="24"/>
                <w:szCs w:val="24"/>
              </w:rPr>
            </w:pPr>
            <w:r w:rsidRPr="00EA1BB2">
              <w:rPr>
                <w:rFonts w:ascii="Cambria" w:hAnsi="Cambria"/>
                <w:sz w:val="24"/>
                <w:szCs w:val="24"/>
              </w:rPr>
              <w:t>(Cd)</w:t>
            </w:r>
          </w:p>
        </w:tc>
        <w:tc>
          <w:tcPr>
            <w:tcW w:w="1616" w:type="pct"/>
            <w:vAlign w:val="center"/>
          </w:tcPr>
          <w:p w14:paraId="16AF43B5"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staționare</w:t>
            </w:r>
          </w:p>
        </w:tc>
        <w:tc>
          <w:tcPr>
            <w:tcW w:w="933" w:type="pct"/>
            <w:tcBorders>
              <w:top w:val="single" w:sz="4" w:space="0" w:color="auto"/>
              <w:left w:val="nil"/>
              <w:bottom w:val="single" w:sz="4" w:space="0" w:color="auto"/>
              <w:right w:val="single" w:sz="4" w:space="0" w:color="auto"/>
            </w:tcBorders>
            <w:shd w:val="clear" w:color="auto" w:fill="auto"/>
          </w:tcPr>
          <w:p w14:paraId="5CC5311F"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0,000501</w:t>
            </w:r>
          </w:p>
        </w:tc>
        <w:tc>
          <w:tcPr>
            <w:tcW w:w="938" w:type="pct"/>
            <w:tcBorders>
              <w:top w:val="single" w:sz="4" w:space="0" w:color="auto"/>
              <w:left w:val="nil"/>
              <w:bottom w:val="single" w:sz="4" w:space="0" w:color="auto"/>
              <w:right w:val="single" w:sz="4" w:space="0" w:color="auto"/>
            </w:tcBorders>
          </w:tcPr>
          <w:p w14:paraId="13FA5F36" w14:textId="77777777" w:rsidR="000F7F91" w:rsidRPr="00EA1BB2" w:rsidRDefault="00F82F4D" w:rsidP="000F7F91">
            <w:pPr>
              <w:jc w:val="center"/>
              <w:rPr>
                <w:rFonts w:ascii="Cambria" w:hAnsi="Cambria"/>
                <w:sz w:val="24"/>
                <w:szCs w:val="24"/>
              </w:rPr>
            </w:pPr>
            <w:r w:rsidRPr="00EA1BB2">
              <w:rPr>
                <w:rFonts w:ascii="Cambria" w:hAnsi="Cambria"/>
                <w:sz w:val="24"/>
                <w:szCs w:val="24"/>
              </w:rPr>
              <w:t>33,72</w:t>
            </w:r>
          </w:p>
        </w:tc>
      </w:tr>
      <w:tr w:rsidR="000F7F91" w:rsidRPr="00EA1BB2" w14:paraId="469047EF" w14:textId="77777777" w:rsidTr="00B84975">
        <w:trPr>
          <w:jc w:val="center"/>
        </w:trPr>
        <w:tc>
          <w:tcPr>
            <w:tcW w:w="1513" w:type="pct"/>
            <w:vMerge/>
            <w:vAlign w:val="center"/>
          </w:tcPr>
          <w:p w14:paraId="7112F968" w14:textId="77777777" w:rsidR="000F7F91" w:rsidRPr="00EA1BB2" w:rsidRDefault="000F7F91" w:rsidP="000F7F91">
            <w:pPr>
              <w:jc w:val="center"/>
              <w:rPr>
                <w:rFonts w:ascii="Cambria" w:hAnsi="Cambria"/>
                <w:sz w:val="24"/>
                <w:szCs w:val="24"/>
              </w:rPr>
            </w:pPr>
          </w:p>
        </w:tc>
        <w:tc>
          <w:tcPr>
            <w:tcW w:w="1616" w:type="pct"/>
            <w:vAlign w:val="center"/>
          </w:tcPr>
          <w:p w14:paraId="7FF6EBCF"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mobile</w:t>
            </w:r>
          </w:p>
        </w:tc>
        <w:tc>
          <w:tcPr>
            <w:tcW w:w="933" w:type="pct"/>
            <w:tcBorders>
              <w:top w:val="single" w:sz="4" w:space="0" w:color="auto"/>
              <w:left w:val="nil"/>
              <w:bottom w:val="single" w:sz="4" w:space="0" w:color="auto"/>
              <w:right w:val="single" w:sz="4" w:space="0" w:color="auto"/>
            </w:tcBorders>
            <w:shd w:val="clear" w:color="auto" w:fill="auto"/>
          </w:tcPr>
          <w:p w14:paraId="3EC16D18"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0,000536</w:t>
            </w:r>
          </w:p>
        </w:tc>
        <w:tc>
          <w:tcPr>
            <w:tcW w:w="938" w:type="pct"/>
            <w:tcBorders>
              <w:top w:val="single" w:sz="4" w:space="0" w:color="auto"/>
              <w:left w:val="nil"/>
              <w:bottom w:val="single" w:sz="4" w:space="0" w:color="auto"/>
              <w:right w:val="single" w:sz="4" w:space="0" w:color="auto"/>
            </w:tcBorders>
          </w:tcPr>
          <w:p w14:paraId="1D83062A" w14:textId="77777777" w:rsidR="000F7F91" w:rsidRPr="00EA1BB2" w:rsidRDefault="00F82F4D" w:rsidP="000F7F91">
            <w:pPr>
              <w:jc w:val="center"/>
              <w:rPr>
                <w:rFonts w:ascii="Cambria" w:hAnsi="Cambria"/>
                <w:sz w:val="24"/>
                <w:szCs w:val="24"/>
              </w:rPr>
            </w:pPr>
            <w:r w:rsidRPr="00EA1BB2">
              <w:rPr>
                <w:rFonts w:ascii="Cambria" w:hAnsi="Cambria"/>
                <w:sz w:val="24"/>
                <w:szCs w:val="24"/>
              </w:rPr>
              <w:t>36,08</w:t>
            </w:r>
          </w:p>
        </w:tc>
      </w:tr>
      <w:tr w:rsidR="000F7F91" w:rsidRPr="00EA1BB2" w14:paraId="5E784E17" w14:textId="77777777" w:rsidTr="00B84975">
        <w:trPr>
          <w:jc w:val="center"/>
        </w:trPr>
        <w:tc>
          <w:tcPr>
            <w:tcW w:w="1513" w:type="pct"/>
            <w:vMerge/>
            <w:vAlign w:val="center"/>
          </w:tcPr>
          <w:p w14:paraId="28246B06" w14:textId="77777777" w:rsidR="000F7F91" w:rsidRPr="00EA1BB2" w:rsidRDefault="000F7F91" w:rsidP="000F7F91">
            <w:pPr>
              <w:jc w:val="center"/>
              <w:rPr>
                <w:rFonts w:ascii="Cambria" w:hAnsi="Cambria"/>
                <w:sz w:val="24"/>
                <w:szCs w:val="24"/>
              </w:rPr>
            </w:pPr>
          </w:p>
        </w:tc>
        <w:tc>
          <w:tcPr>
            <w:tcW w:w="1616" w:type="pct"/>
            <w:vAlign w:val="center"/>
          </w:tcPr>
          <w:p w14:paraId="182A9ECC" w14:textId="77777777" w:rsidR="000F7F91" w:rsidRPr="00EA1BB2" w:rsidRDefault="000F7F91" w:rsidP="000F7F91">
            <w:pPr>
              <w:jc w:val="center"/>
              <w:rPr>
                <w:rFonts w:ascii="Cambria" w:hAnsi="Cambria"/>
                <w:sz w:val="24"/>
                <w:szCs w:val="24"/>
              </w:rPr>
            </w:pPr>
            <w:r w:rsidRPr="00EA1BB2">
              <w:rPr>
                <w:rFonts w:ascii="Cambria" w:hAnsi="Cambria"/>
                <w:sz w:val="24"/>
                <w:szCs w:val="24"/>
              </w:rPr>
              <w:t>Surse de suprafață</w:t>
            </w:r>
          </w:p>
        </w:tc>
        <w:tc>
          <w:tcPr>
            <w:tcW w:w="933" w:type="pct"/>
            <w:tcBorders>
              <w:top w:val="single" w:sz="4" w:space="0" w:color="auto"/>
              <w:left w:val="nil"/>
              <w:bottom w:val="single" w:sz="4" w:space="0" w:color="auto"/>
              <w:right w:val="single" w:sz="4" w:space="0" w:color="auto"/>
            </w:tcBorders>
            <w:shd w:val="clear" w:color="auto" w:fill="auto"/>
          </w:tcPr>
          <w:p w14:paraId="361AB4E1"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0,000449</w:t>
            </w:r>
          </w:p>
        </w:tc>
        <w:tc>
          <w:tcPr>
            <w:tcW w:w="938" w:type="pct"/>
            <w:tcBorders>
              <w:top w:val="single" w:sz="4" w:space="0" w:color="auto"/>
              <w:left w:val="nil"/>
              <w:bottom w:val="single" w:sz="4" w:space="0" w:color="auto"/>
              <w:right w:val="single" w:sz="4" w:space="0" w:color="auto"/>
            </w:tcBorders>
          </w:tcPr>
          <w:p w14:paraId="3999DB21" w14:textId="77777777" w:rsidR="000F7F91" w:rsidRPr="00EA1BB2" w:rsidRDefault="00F82F4D" w:rsidP="000F7F91">
            <w:pPr>
              <w:jc w:val="center"/>
              <w:rPr>
                <w:rFonts w:ascii="Cambria" w:hAnsi="Cambria"/>
                <w:sz w:val="24"/>
                <w:szCs w:val="24"/>
              </w:rPr>
            </w:pPr>
            <w:r w:rsidRPr="00EA1BB2">
              <w:rPr>
                <w:rFonts w:ascii="Cambria" w:hAnsi="Cambria"/>
                <w:sz w:val="24"/>
                <w:szCs w:val="24"/>
              </w:rPr>
              <w:t>30,20</w:t>
            </w:r>
          </w:p>
        </w:tc>
      </w:tr>
      <w:tr w:rsidR="000F7F91" w:rsidRPr="00EA1BB2" w14:paraId="31AB4D2D" w14:textId="77777777" w:rsidTr="00B84975">
        <w:trPr>
          <w:jc w:val="center"/>
        </w:trPr>
        <w:tc>
          <w:tcPr>
            <w:tcW w:w="1513" w:type="pct"/>
            <w:vMerge/>
            <w:vAlign w:val="center"/>
          </w:tcPr>
          <w:p w14:paraId="48589EAC" w14:textId="77777777" w:rsidR="000F7F91" w:rsidRPr="00EA1BB2" w:rsidRDefault="000F7F91" w:rsidP="000F7F91">
            <w:pPr>
              <w:jc w:val="center"/>
              <w:rPr>
                <w:rFonts w:ascii="Cambria" w:hAnsi="Cambria"/>
                <w:sz w:val="24"/>
                <w:szCs w:val="24"/>
              </w:rPr>
            </w:pPr>
          </w:p>
        </w:tc>
        <w:tc>
          <w:tcPr>
            <w:tcW w:w="1616" w:type="pct"/>
            <w:vAlign w:val="center"/>
          </w:tcPr>
          <w:p w14:paraId="0ACC0FEB" w14:textId="77777777" w:rsidR="000F7F91" w:rsidRPr="00EA1BB2" w:rsidRDefault="000F7F91" w:rsidP="000F7F91">
            <w:pPr>
              <w:jc w:val="center"/>
              <w:rPr>
                <w:rFonts w:ascii="Cambria" w:hAnsi="Cambria"/>
                <w:sz w:val="24"/>
                <w:szCs w:val="24"/>
              </w:rPr>
            </w:pPr>
            <w:r w:rsidRPr="00EA1BB2">
              <w:rPr>
                <w:rFonts w:ascii="Cambria" w:hAnsi="Cambria"/>
                <w:sz w:val="24"/>
                <w:szCs w:val="24"/>
              </w:rPr>
              <w:t>TOTAL</w:t>
            </w:r>
          </w:p>
        </w:tc>
        <w:tc>
          <w:tcPr>
            <w:tcW w:w="933" w:type="pct"/>
            <w:tcBorders>
              <w:top w:val="single" w:sz="4" w:space="0" w:color="auto"/>
              <w:left w:val="nil"/>
              <w:bottom w:val="single" w:sz="4" w:space="0" w:color="auto"/>
              <w:right w:val="single" w:sz="4" w:space="0" w:color="auto"/>
            </w:tcBorders>
            <w:shd w:val="clear" w:color="auto" w:fill="auto"/>
          </w:tcPr>
          <w:p w14:paraId="518B5F45" w14:textId="77777777" w:rsidR="000F7F91" w:rsidRPr="00EA1BB2" w:rsidRDefault="000F7F91" w:rsidP="000F7F91">
            <w:pPr>
              <w:jc w:val="center"/>
              <w:rPr>
                <w:rFonts w:ascii="Cambria" w:hAnsi="Cambria"/>
                <w:color w:val="000000"/>
                <w:sz w:val="24"/>
                <w:szCs w:val="24"/>
              </w:rPr>
            </w:pPr>
            <w:r w:rsidRPr="00EA1BB2">
              <w:rPr>
                <w:rFonts w:ascii="Cambria" w:hAnsi="Cambria"/>
                <w:sz w:val="24"/>
                <w:szCs w:val="24"/>
              </w:rPr>
              <w:t>0,001487</w:t>
            </w:r>
          </w:p>
        </w:tc>
        <w:tc>
          <w:tcPr>
            <w:tcW w:w="938" w:type="pct"/>
            <w:tcBorders>
              <w:top w:val="single" w:sz="4" w:space="0" w:color="auto"/>
              <w:left w:val="nil"/>
              <w:bottom w:val="single" w:sz="4" w:space="0" w:color="auto"/>
              <w:right w:val="single" w:sz="4" w:space="0" w:color="auto"/>
            </w:tcBorders>
          </w:tcPr>
          <w:p w14:paraId="6AD2BD0B" w14:textId="77777777" w:rsidR="000F7F91" w:rsidRPr="00EA1BB2" w:rsidRDefault="00F82F4D" w:rsidP="000F7F91">
            <w:pPr>
              <w:jc w:val="center"/>
              <w:rPr>
                <w:rFonts w:ascii="Cambria" w:hAnsi="Cambria"/>
                <w:sz w:val="24"/>
                <w:szCs w:val="24"/>
              </w:rPr>
            </w:pPr>
            <w:r w:rsidRPr="00EA1BB2">
              <w:rPr>
                <w:rFonts w:ascii="Cambria" w:hAnsi="Cambria"/>
                <w:sz w:val="24"/>
                <w:szCs w:val="24"/>
              </w:rPr>
              <w:t>100</w:t>
            </w:r>
          </w:p>
        </w:tc>
      </w:tr>
    </w:tbl>
    <w:p w14:paraId="13BC8CB2" w14:textId="77777777" w:rsidR="00AF77F7" w:rsidRPr="00EA1BB2" w:rsidRDefault="00AF77F7" w:rsidP="00AF77F7">
      <w:pPr>
        <w:autoSpaceDE w:val="0"/>
        <w:autoSpaceDN w:val="0"/>
        <w:adjustRightInd w:val="0"/>
        <w:spacing w:line="360" w:lineRule="auto"/>
        <w:ind w:firstLine="720"/>
        <w:jc w:val="both"/>
        <w:rPr>
          <w:rFonts w:ascii="Cambria" w:hAnsi="Cambria"/>
          <w:b/>
          <w:sz w:val="24"/>
          <w:szCs w:val="24"/>
        </w:rPr>
      </w:pPr>
      <w:r w:rsidRPr="00EA1BB2">
        <w:rPr>
          <w:rFonts w:ascii="Cambria" w:hAnsi="Cambria"/>
          <w:b/>
          <w:sz w:val="24"/>
          <w:szCs w:val="24"/>
        </w:rPr>
        <w:lastRenderedPageBreak/>
        <w:t>f) niveluri ale concentra</w:t>
      </w:r>
      <w:r w:rsidR="00054880" w:rsidRPr="00EA1BB2">
        <w:rPr>
          <w:rFonts w:ascii="Cambria" w:hAnsi="Cambria"/>
          <w:b/>
          <w:sz w:val="24"/>
          <w:szCs w:val="24"/>
        </w:rPr>
        <w:t>ț</w:t>
      </w:r>
      <w:r w:rsidRPr="00EA1BB2">
        <w:rPr>
          <w:rFonts w:ascii="Cambria" w:hAnsi="Cambria"/>
          <w:b/>
          <w:sz w:val="24"/>
          <w:szCs w:val="24"/>
        </w:rPr>
        <w:t>iilor a</w:t>
      </w:r>
      <w:r w:rsidR="00054880" w:rsidRPr="00EA1BB2">
        <w:rPr>
          <w:rFonts w:ascii="Cambria" w:hAnsi="Cambria"/>
          <w:b/>
          <w:sz w:val="24"/>
          <w:szCs w:val="24"/>
        </w:rPr>
        <w:t>ș</w:t>
      </w:r>
      <w:r w:rsidRPr="00EA1BB2">
        <w:rPr>
          <w:rFonts w:ascii="Cambria" w:hAnsi="Cambria"/>
          <w:b/>
          <w:sz w:val="24"/>
          <w:szCs w:val="24"/>
        </w:rPr>
        <w:t>teptate în anul de proiec</w:t>
      </w:r>
      <w:r w:rsidR="00054880" w:rsidRPr="00EA1BB2">
        <w:rPr>
          <w:rFonts w:ascii="Cambria" w:hAnsi="Cambria"/>
          <w:b/>
          <w:sz w:val="24"/>
          <w:szCs w:val="24"/>
        </w:rPr>
        <w:t>ț</w:t>
      </w:r>
      <w:r w:rsidRPr="00EA1BB2">
        <w:rPr>
          <w:rFonts w:ascii="Cambria" w:hAnsi="Cambria"/>
          <w:b/>
          <w:sz w:val="24"/>
          <w:szCs w:val="24"/>
        </w:rPr>
        <w:t>ie</w:t>
      </w:r>
    </w:p>
    <w:p w14:paraId="436E37DE" w14:textId="77777777" w:rsidR="00C039ED" w:rsidRPr="00EA1BB2" w:rsidRDefault="00C039ED" w:rsidP="00C039ED">
      <w:pPr>
        <w:spacing w:line="360" w:lineRule="auto"/>
        <w:ind w:firstLine="709"/>
        <w:jc w:val="both"/>
        <w:rPr>
          <w:rFonts w:ascii="Cambria" w:eastAsia="Calibri" w:hAnsi="Cambria" w:cs="Times New Roman"/>
          <w:sz w:val="24"/>
          <w:szCs w:val="24"/>
        </w:rPr>
      </w:pPr>
      <w:r w:rsidRPr="00EA1BB2">
        <w:rPr>
          <w:rFonts w:ascii="Cambria" w:eastAsia="Calibri" w:hAnsi="Cambria" w:cs="Times New Roman"/>
          <w:sz w:val="24"/>
          <w:szCs w:val="24"/>
        </w:rPr>
        <w:t xml:space="preserve">Estimarea </w:t>
      </w:r>
      <w:r w:rsidR="003B749A" w:rsidRPr="00EA1BB2">
        <w:rPr>
          <w:rFonts w:ascii="Cambria" w:eastAsia="Calibri" w:hAnsi="Cambria" w:cs="Times New Roman"/>
          <w:sz w:val="24"/>
          <w:szCs w:val="24"/>
        </w:rPr>
        <w:t xml:space="preserve">concentrațiilor în anul de proiecție s-a făcut pentru cinci puncte care coincid cu amplasamentul stațiilor din cadrul RNMCA aflate pe teritoriul județului Brăila, </w:t>
      </w:r>
      <w:r w:rsidRPr="00EA1BB2">
        <w:rPr>
          <w:rFonts w:ascii="Cambria" w:eastAsia="Calibri" w:hAnsi="Cambria" w:cs="Times New Roman"/>
          <w:sz w:val="24"/>
          <w:szCs w:val="24"/>
        </w:rPr>
        <w:t>deoarece acestea reprezintă puncte în care se poate monitoriza evoluția, în timp, a efectului aplicării măsurilor din cadrul Planului de menținere a calității aerului, prin urmărirea evoluției în timp a valorilor concentrațiilor măsurate.</w:t>
      </w:r>
    </w:p>
    <w:p w14:paraId="76622A1E" w14:textId="77777777" w:rsidR="00C039ED" w:rsidRPr="00EA1BB2" w:rsidRDefault="00C039ED" w:rsidP="00C039ED">
      <w:pPr>
        <w:autoSpaceDE w:val="0"/>
        <w:autoSpaceDN w:val="0"/>
        <w:adjustRightInd w:val="0"/>
        <w:spacing w:line="360" w:lineRule="auto"/>
        <w:ind w:firstLine="708"/>
        <w:jc w:val="both"/>
        <w:rPr>
          <w:rFonts w:ascii="Cambria" w:hAnsi="Cambria"/>
          <w:sz w:val="24"/>
          <w:szCs w:val="24"/>
        </w:rPr>
      </w:pPr>
      <w:r w:rsidRPr="00EA1BB2">
        <w:rPr>
          <w:rFonts w:ascii="Cambria" w:hAnsi="Cambria"/>
          <w:sz w:val="24"/>
          <w:szCs w:val="24"/>
        </w:rPr>
        <w:t>Conform rezultatelor obținute în urma calculelor realizate pentru determinarea concentrațiilor medii anuale de poluanți în atmosferă, nu se înregistr</w:t>
      </w:r>
      <w:r w:rsidR="00C54A1C" w:rsidRPr="00EA1BB2">
        <w:rPr>
          <w:rFonts w:ascii="Cambria" w:hAnsi="Cambria"/>
          <w:sz w:val="24"/>
          <w:szCs w:val="24"/>
        </w:rPr>
        <w:t xml:space="preserve">ează nicio depășire a </w:t>
      </w:r>
      <w:r w:rsidR="003B495A" w:rsidRPr="00EA1BB2">
        <w:rPr>
          <w:rFonts w:ascii="Cambria" w:hAnsi="Cambria"/>
          <w:sz w:val="24"/>
          <w:szCs w:val="24"/>
        </w:rPr>
        <w:t>valorii-limită și a valorii-țintă.</w:t>
      </w:r>
    </w:p>
    <w:p w14:paraId="2EF6C55F" w14:textId="77777777" w:rsidR="00C039ED" w:rsidRPr="00EA1BB2" w:rsidRDefault="00C039ED" w:rsidP="00C039ED">
      <w:pPr>
        <w:autoSpaceDE w:val="0"/>
        <w:autoSpaceDN w:val="0"/>
        <w:adjustRightInd w:val="0"/>
        <w:spacing w:line="360" w:lineRule="auto"/>
        <w:ind w:firstLine="708"/>
        <w:jc w:val="both"/>
        <w:rPr>
          <w:rFonts w:ascii="Cambria" w:hAnsi="Cambria"/>
          <w:sz w:val="24"/>
          <w:szCs w:val="24"/>
        </w:rPr>
      </w:pPr>
    </w:p>
    <w:p w14:paraId="4BFEACBF" w14:textId="08558AB1" w:rsidR="0095565D" w:rsidRPr="00EA1BB2" w:rsidRDefault="0095565D" w:rsidP="00C54A1C">
      <w:pPr>
        <w:keepNext/>
        <w:spacing w:line="360" w:lineRule="auto"/>
        <w:ind w:right="-144" w:firstLine="708"/>
        <w:jc w:val="both"/>
        <w:rPr>
          <w:rFonts w:ascii="Cambria" w:hAnsi="Cambria"/>
          <w:b/>
          <w:iCs/>
          <w:sz w:val="24"/>
          <w:szCs w:val="18"/>
        </w:rPr>
      </w:pPr>
      <w:bookmarkStart w:id="266" w:name="_Toc526889825"/>
      <w:r w:rsidRPr="00EA1BB2">
        <w:rPr>
          <w:rFonts w:ascii="Cambria" w:hAnsi="Cambria"/>
          <w:b/>
          <w:iCs/>
          <w:sz w:val="24"/>
          <w:szCs w:val="18"/>
        </w:rPr>
        <w:t xml:space="preserve">Tabelul nr. </w:t>
      </w:r>
      <w:r w:rsidR="000A2FE7" w:rsidRPr="00EA1BB2">
        <w:rPr>
          <w:rFonts w:ascii="Cambria" w:hAnsi="Cambria"/>
          <w:b/>
          <w:iCs/>
          <w:sz w:val="24"/>
          <w:szCs w:val="18"/>
        </w:rPr>
        <w:fldChar w:fldCharType="begin"/>
      </w:r>
      <w:r w:rsidR="000A2FE7" w:rsidRPr="00EA1BB2">
        <w:rPr>
          <w:rFonts w:ascii="Cambria" w:hAnsi="Cambria"/>
          <w:b/>
          <w:iCs/>
          <w:sz w:val="24"/>
          <w:szCs w:val="18"/>
        </w:rPr>
        <w:instrText xml:space="preserve"> STYLEREF 1 \s </w:instrText>
      </w:r>
      <w:r w:rsidR="000A2FE7" w:rsidRPr="00EA1BB2">
        <w:rPr>
          <w:rFonts w:ascii="Cambria" w:hAnsi="Cambria"/>
          <w:b/>
          <w:iCs/>
          <w:sz w:val="24"/>
          <w:szCs w:val="18"/>
        </w:rPr>
        <w:fldChar w:fldCharType="separate"/>
      </w:r>
      <w:r w:rsidR="00567555">
        <w:rPr>
          <w:rFonts w:ascii="Cambria" w:hAnsi="Cambria"/>
          <w:b/>
          <w:iCs/>
          <w:noProof/>
          <w:sz w:val="24"/>
          <w:szCs w:val="18"/>
        </w:rPr>
        <w:t>5</w:t>
      </w:r>
      <w:r w:rsidR="000A2FE7" w:rsidRPr="00EA1BB2">
        <w:rPr>
          <w:rFonts w:ascii="Cambria" w:hAnsi="Cambria"/>
          <w:b/>
          <w:iCs/>
          <w:sz w:val="24"/>
          <w:szCs w:val="18"/>
        </w:rPr>
        <w:fldChar w:fldCharType="end"/>
      </w:r>
      <w:r w:rsidR="000A2FE7" w:rsidRPr="00EA1BB2">
        <w:rPr>
          <w:rFonts w:ascii="Cambria" w:hAnsi="Cambria"/>
          <w:b/>
          <w:iCs/>
          <w:sz w:val="24"/>
          <w:szCs w:val="18"/>
        </w:rPr>
        <w:noBreakHyphen/>
      </w:r>
      <w:r w:rsidR="000A2FE7" w:rsidRPr="00EA1BB2">
        <w:rPr>
          <w:rFonts w:ascii="Cambria" w:hAnsi="Cambria"/>
          <w:b/>
          <w:iCs/>
          <w:sz w:val="24"/>
          <w:szCs w:val="18"/>
        </w:rPr>
        <w:fldChar w:fldCharType="begin"/>
      </w:r>
      <w:r w:rsidR="000A2FE7" w:rsidRPr="00EA1BB2">
        <w:rPr>
          <w:rFonts w:ascii="Cambria" w:hAnsi="Cambria"/>
          <w:b/>
          <w:iCs/>
          <w:sz w:val="24"/>
          <w:szCs w:val="18"/>
        </w:rPr>
        <w:instrText xml:space="preserve"> SEQ Tabelul_nr. \* ARABIC \s 1 </w:instrText>
      </w:r>
      <w:r w:rsidR="000A2FE7" w:rsidRPr="00EA1BB2">
        <w:rPr>
          <w:rFonts w:ascii="Cambria" w:hAnsi="Cambria"/>
          <w:b/>
          <w:iCs/>
          <w:sz w:val="24"/>
          <w:szCs w:val="18"/>
        </w:rPr>
        <w:fldChar w:fldCharType="separate"/>
      </w:r>
      <w:r w:rsidR="00567555">
        <w:rPr>
          <w:rFonts w:ascii="Cambria" w:hAnsi="Cambria"/>
          <w:b/>
          <w:iCs/>
          <w:noProof/>
          <w:sz w:val="24"/>
          <w:szCs w:val="18"/>
        </w:rPr>
        <w:t>8</w:t>
      </w:r>
      <w:r w:rsidR="000A2FE7" w:rsidRPr="00EA1BB2">
        <w:rPr>
          <w:rFonts w:ascii="Cambria" w:hAnsi="Cambria"/>
          <w:b/>
          <w:iCs/>
          <w:sz w:val="24"/>
          <w:szCs w:val="18"/>
        </w:rPr>
        <w:fldChar w:fldCharType="end"/>
      </w:r>
      <w:r w:rsidRPr="00EA1BB2">
        <w:rPr>
          <w:rFonts w:ascii="Cambria" w:hAnsi="Cambria"/>
          <w:b/>
          <w:iCs/>
          <w:sz w:val="24"/>
          <w:szCs w:val="18"/>
        </w:rPr>
        <w:t xml:space="preserve"> – Niveluri ale concentrației în anul de proiecție – scenariul B</w:t>
      </w:r>
      <w:bookmarkEnd w:id="266"/>
    </w:p>
    <w:tbl>
      <w:tblPr>
        <w:tblStyle w:val="TableGrid"/>
        <w:tblW w:w="11192" w:type="dxa"/>
        <w:jc w:val="center"/>
        <w:tblLook w:val="04A0" w:firstRow="1" w:lastRow="0" w:firstColumn="1" w:lastColumn="0" w:noHBand="0" w:noVBand="1"/>
      </w:tblPr>
      <w:tblGrid>
        <w:gridCol w:w="897"/>
        <w:gridCol w:w="1080"/>
        <w:gridCol w:w="918"/>
        <w:gridCol w:w="1114"/>
        <w:gridCol w:w="1114"/>
        <w:gridCol w:w="1114"/>
        <w:gridCol w:w="1114"/>
        <w:gridCol w:w="1258"/>
        <w:gridCol w:w="696"/>
        <w:gridCol w:w="952"/>
        <w:gridCol w:w="935"/>
      </w:tblGrid>
      <w:tr w:rsidR="00031EFD" w:rsidRPr="00EA1BB2" w14:paraId="04D09579" w14:textId="77777777" w:rsidTr="001F2D02">
        <w:trPr>
          <w:trHeight w:val="420"/>
          <w:tblHeader/>
          <w:jc w:val="center"/>
        </w:trPr>
        <w:tc>
          <w:tcPr>
            <w:tcW w:w="897" w:type="dxa"/>
            <w:vMerge w:val="restart"/>
            <w:shd w:val="clear" w:color="auto" w:fill="BDD6EE" w:themeFill="accent1" w:themeFillTint="66"/>
            <w:vAlign w:val="center"/>
          </w:tcPr>
          <w:p w14:paraId="0435F00F" w14:textId="77777777" w:rsidR="00031EFD" w:rsidRPr="00EA1BB2" w:rsidRDefault="00031EFD" w:rsidP="00C54A1C">
            <w:pPr>
              <w:autoSpaceDE w:val="0"/>
              <w:autoSpaceDN w:val="0"/>
              <w:adjustRightInd w:val="0"/>
              <w:spacing w:line="360" w:lineRule="auto"/>
              <w:ind w:left="-110" w:right="-104"/>
              <w:jc w:val="center"/>
              <w:rPr>
                <w:rFonts w:ascii="Cambria" w:hAnsi="Cambria"/>
                <w:b/>
                <w:lang w:val="ro-RO"/>
              </w:rPr>
            </w:pPr>
            <w:r w:rsidRPr="00EA1BB2">
              <w:rPr>
                <w:rFonts w:ascii="Cambria" w:hAnsi="Cambria"/>
                <w:b/>
                <w:lang w:val="ro-RO"/>
              </w:rPr>
              <w:t>Poluant</w:t>
            </w:r>
          </w:p>
        </w:tc>
        <w:tc>
          <w:tcPr>
            <w:tcW w:w="1080" w:type="dxa"/>
            <w:vMerge w:val="restart"/>
            <w:shd w:val="clear" w:color="auto" w:fill="BDD6EE" w:themeFill="accent1" w:themeFillTint="66"/>
            <w:vAlign w:val="center"/>
          </w:tcPr>
          <w:p w14:paraId="24472CAB" w14:textId="77777777" w:rsidR="00031EFD" w:rsidRPr="00EA1BB2" w:rsidRDefault="00031EFD" w:rsidP="00DF5A5F">
            <w:pPr>
              <w:autoSpaceDE w:val="0"/>
              <w:autoSpaceDN w:val="0"/>
              <w:adjustRightInd w:val="0"/>
              <w:spacing w:line="360" w:lineRule="auto"/>
              <w:ind w:left="-126" w:right="-148" w:firstLine="126"/>
              <w:jc w:val="center"/>
              <w:rPr>
                <w:rFonts w:ascii="Cambria" w:hAnsi="Cambria"/>
                <w:b/>
                <w:lang w:val="ro-RO"/>
              </w:rPr>
            </w:pPr>
            <w:r w:rsidRPr="00EA1BB2">
              <w:rPr>
                <w:rFonts w:ascii="Cambria" w:hAnsi="Cambria"/>
                <w:b/>
                <w:lang w:val="ro-RO"/>
              </w:rPr>
              <w:t>Unitatea de măsură</w:t>
            </w:r>
          </w:p>
        </w:tc>
        <w:tc>
          <w:tcPr>
            <w:tcW w:w="918" w:type="dxa"/>
            <w:vMerge w:val="restart"/>
            <w:shd w:val="clear" w:color="auto" w:fill="BDD6EE" w:themeFill="accent1" w:themeFillTint="66"/>
            <w:vAlign w:val="center"/>
          </w:tcPr>
          <w:p w14:paraId="59895EF5" w14:textId="77777777" w:rsidR="00031EFD" w:rsidRPr="00EA1BB2" w:rsidRDefault="00031EFD" w:rsidP="00DF5A5F">
            <w:pPr>
              <w:autoSpaceDE w:val="0"/>
              <w:autoSpaceDN w:val="0"/>
              <w:adjustRightInd w:val="0"/>
              <w:spacing w:line="360" w:lineRule="auto"/>
              <w:ind w:left="-213" w:right="-152"/>
              <w:jc w:val="center"/>
              <w:rPr>
                <w:rFonts w:ascii="Cambria" w:hAnsi="Cambria"/>
                <w:b/>
                <w:lang w:val="ro-RO"/>
              </w:rPr>
            </w:pPr>
            <w:r w:rsidRPr="00EA1BB2">
              <w:rPr>
                <w:rFonts w:ascii="Cambria" w:hAnsi="Cambria"/>
                <w:b/>
                <w:lang w:val="ro-RO"/>
              </w:rPr>
              <w:t>Perioada de mediere</w:t>
            </w:r>
          </w:p>
        </w:tc>
        <w:tc>
          <w:tcPr>
            <w:tcW w:w="5714" w:type="dxa"/>
            <w:gridSpan w:val="5"/>
            <w:shd w:val="clear" w:color="auto" w:fill="BDD6EE" w:themeFill="accent1" w:themeFillTint="66"/>
            <w:vAlign w:val="center"/>
          </w:tcPr>
          <w:p w14:paraId="060CB7BF" w14:textId="77777777" w:rsidR="00031EFD" w:rsidRPr="00EA1BB2" w:rsidRDefault="00031EFD" w:rsidP="00DF5A5F">
            <w:pPr>
              <w:autoSpaceDE w:val="0"/>
              <w:autoSpaceDN w:val="0"/>
              <w:adjustRightInd w:val="0"/>
              <w:spacing w:line="360" w:lineRule="auto"/>
              <w:jc w:val="center"/>
              <w:rPr>
                <w:rFonts w:ascii="Cambria" w:hAnsi="Cambria"/>
                <w:b/>
                <w:lang w:val="ro-RO"/>
              </w:rPr>
            </w:pPr>
            <w:r w:rsidRPr="00EA1BB2">
              <w:rPr>
                <w:rFonts w:ascii="Cambria" w:hAnsi="Cambria"/>
                <w:b/>
                <w:lang w:val="ro-RO"/>
              </w:rPr>
              <w:t>Valoare estimată</w:t>
            </w:r>
          </w:p>
        </w:tc>
        <w:tc>
          <w:tcPr>
            <w:tcW w:w="696" w:type="dxa"/>
            <w:vMerge w:val="restart"/>
            <w:shd w:val="clear" w:color="auto" w:fill="BDD6EE" w:themeFill="accent1" w:themeFillTint="66"/>
            <w:vAlign w:val="center"/>
          </w:tcPr>
          <w:p w14:paraId="30F1CC97" w14:textId="77777777" w:rsidR="00031EFD" w:rsidRPr="00EA1BB2" w:rsidRDefault="00031EFD" w:rsidP="00DF5A5F">
            <w:pPr>
              <w:autoSpaceDE w:val="0"/>
              <w:autoSpaceDN w:val="0"/>
              <w:adjustRightInd w:val="0"/>
              <w:spacing w:line="360" w:lineRule="auto"/>
              <w:ind w:left="-173" w:right="-159"/>
              <w:jc w:val="center"/>
              <w:rPr>
                <w:rFonts w:ascii="Cambria" w:hAnsi="Cambria"/>
                <w:b/>
                <w:lang w:val="ro-RO"/>
              </w:rPr>
            </w:pPr>
            <w:r w:rsidRPr="00EA1BB2">
              <w:rPr>
                <w:rFonts w:ascii="Cambria" w:hAnsi="Cambria"/>
                <w:b/>
                <w:lang w:val="ro-RO"/>
              </w:rPr>
              <w:t>VL/VȚ</w:t>
            </w:r>
          </w:p>
        </w:tc>
        <w:tc>
          <w:tcPr>
            <w:tcW w:w="952" w:type="dxa"/>
            <w:vMerge w:val="restart"/>
            <w:shd w:val="clear" w:color="auto" w:fill="BDD6EE" w:themeFill="accent1" w:themeFillTint="66"/>
            <w:vAlign w:val="center"/>
          </w:tcPr>
          <w:p w14:paraId="47428B28" w14:textId="77777777" w:rsidR="00031EFD" w:rsidRPr="00EA1BB2" w:rsidRDefault="00031EFD" w:rsidP="00DF5A5F">
            <w:pPr>
              <w:autoSpaceDE w:val="0"/>
              <w:autoSpaceDN w:val="0"/>
              <w:adjustRightInd w:val="0"/>
              <w:spacing w:line="360" w:lineRule="auto"/>
              <w:ind w:left="-51" w:right="-152"/>
              <w:jc w:val="center"/>
              <w:rPr>
                <w:rFonts w:ascii="Cambria" w:hAnsi="Cambria"/>
                <w:b/>
                <w:lang w:val="ro-RO"/>
              </w:rPr>
            </w:pPr>
            <w:r w:rsidRPr="00EA1BB2">
              <w:rPr>
                <w:rFonts w:ascii="Cambria" w:hAnsi="Cambria"/>
                <w:b/>
                <w:lang w:val="ro-RO"/>
              </w:rPr>
              <w:t>Valoare PSE</w:t>
            </w:r>
          </w:p>
        </w:tc>
        <w:tc>
          <w:tcPr>
            <w:tcW w:w="935" w:type="dxa"/>
            <w:vMerge w:val="restart"/>
            <w:shd w:val="clear" w:color="auto" w:fill="BDD6EE" w:themeFill="accent1" w:themeFillTint="66"/>
            <w:vAlign w:val="center"/>
          </w:tcPr>
          <w:p w14:paraId="5EE15040" w14:textId="77777777" w:rsidR="00031EFD" w:rsidRPr="00EA1BB2" w:rsidRDefault="00031EFD" w:rsidP="00DF5A5F">
            <w:pPr>
              <w:autoSpaceDE w:val="0"/>
              <w:autoSpaceDN w:val="0"/>
              <w:adjustRightInd w:val="0"/>
              <w:spacing w:line="360" w:lineRule="auto"/>
              <w:ind w:left="-68" w:right="-144"/>
              <w:jc w:val="center"/>
              <w:rPr>
                <w:rFonts w:ascii="Cambria" w:hAnsi="Cambria"/>
                <w:b/>
                <w:lang w:val="ro-RO"/>
              </w:rPr>
            </w:pPr>
            <w:r w:rsidRPr="00EA1BB2">
              <w:rPr>
                <w:rFonts w:ascii="Cambria" w:hAnsi="Cambria"/>
                <w:b/>
                <w:lang w:val="ro-RO"/>
              </w:rPr>
              <w:t>Valoare PIE</w:t>
            </w:r>
          </w:p>
        </w:tc>
      </w:tr>
      <w:tr w:rsidR="00031EFD" w:rsidRPr="00EA1BB2" w14:paraId="71559D99" w14:textId="77777777" w:rsidTr="001F2D02">
        <w:trPr>
          <w:trHeight w:val="420"/>
          <w:tblHeader/>
          <w:jc w:val="center"/>
        </w:trPr>
        <w:tc>
          <w:tcPr>
            <w:tcW w:w="897" w:type="dxa"/>
            <w:vMerge/>
            <w:shd w:val="clear" w:color="auto" w:fill="BDD6EE" w:themeFill="accent1" w:themeFillTint="66"/>
            <w:vAlign w:val="center"/>
          </w:tcPr>
          <w:p w14:paraId="5102FDDA" w14:textId="77777777" w:rsidR="00031EFD" w:rsidRPr="00EA1BB2" w:rsidRDefault="00031EFD" w:rsidP="00DF5A5F">
            <w:pPr>
              <w:autoSpaceDE w:val="0"/>
              <w:autoSpaceDN w:val="0"/>
              <w:adjustRightInd w:val="0"/>
              <w:spacing w:line="360" w:lineRule="auto"/>
              <w:jc w:val="center"/>
              <w:rPr>
                <w:rFonts w:ascii="Cambria" w:hAnsi="Cambria"/>
                <w:b/>
                <w:lang w:val="ro-RO"/>
              </w:rPr>
            </w:pPr>
          </w:p>
        </w:tc>
        <w:tc>
          <w:tcPr>
            <w:tcW w:w="1080" w:type="dxa"/>
            <w:vMerge/>
            <w:shd w:val="clear" w:color="auto" w:fill="BDD6EE" w:themeFill="accent1" w:themeFillTint="66"/>
            <w:vAlign w:val="center"/>
          </w:tcPr>
          <w:p w14:paraId="7AD16531" w14:textId="77777777" w:rsidR="00031EFD" w:rsidRPr="00EA1BB2" w:rsidRDefault="00031EFD" w:rsidP="00DF5A5F">
            <w:pPr>
              <w:autoSpaceDE w:val="0"/>
              <w:autoSpaceDN w:val="0"/>
              <w:adjustRightInd w:val="0"/>
              <w:spacing w:line="360" w:lineRule="auto"/>
              <w:jc w:val="center"/>
              <w:rPr>
                <w:rFonts w:ascii="Cambria" w:hAnsi="Cambria"/>
                <w:b/>
                <w:lang w:val="ro-RO"/>
              </w:rPr>
            </w:pPr>
          </w:p>
        </w:tc>
        <w:tc>
          <w:tcPr>
            <w:tcW w:w="918" w:type="dxa"/>
            <w:vMerge/>
            <w:shd w:val="clear" w:color="auto" w:fill="BDD6EE" w:themeFill="accent1" w:themeFillTint="66"/>
            <w:vAlign w:val="center"/>
          </w:tcPr>
          <w:p w14:paraId="4E23F034" w14:textId="77777777" w:rsidR="00031EFD" w:rsidRPr="00EA1BB2" w:rsidRDefault="00031EFD" w:rsidP="00DF5A5F">
            <w:pPr>
              <w:autoSpaceDE w:val="0"/>
              <w:autoSpaceDN w:val="0"/>
              <w:adjustRightInd w:val="0"/>
              <w:spacing w:line="360" w:lineRule="auto"/>
              <w:jc w:val="center"/>
              <w:rPr>
                <w:rFonts w:ascii="Cambria" w:hAnsi="Cambria"/>
                <w:b/>
                <w:lang w:val="ro-RO"/>
              </w:rPr>
            </w:pPr>
          </w:p>
        </w:tc>
        <w:tc>
          <w:tcPr>
            <w:tcW w:w="1114" w:type="dxa"/>
            <w:shd w:val="clear" w:color="auto" w:fill="BDD6EE" w:themeFill="accent1" w:themeFillTint="66"/>
            <w:vAlign w:val="center"/>
          </w:tcPr>
          <w:p w14:paraId="53C2C7D7" w14:textId="77777777" w:rsidR="00031EFD" w:rsidRPr="00EA1BB2" w:rsidRDefault="00031EFD" w:rsidP="00DF5A5F">
            <w:pPr>
              <w:autoSpaceDE w:val="0"/>
              <w:autoSpaceDN w:val="0"/>
              <w:adjustRightInd w:val="0"/>
              <w:spacing w:line="360" w:lineRule="auto"/>
              <w:jc w:val="center"/>
              <w:rPr>
                <w:rFonts w:ascii="Cambria" w:hAnsi="Cambria"/>
                <w:b/>
                <w:lang w:val="ro-RO"/>
              </w:rPr>
            </w:pPr>
            <w:r w:rsidRPr="00EA1BB2">
              <w:rPr>
                <w:rFonts w:ascii="Cambria" w:eastAsia="Times New Roman" w:hAnsi="Cambria" w:cs="Times New Roman"/>
                <w:b/>
                <w:lang w:val="ro-RO"/>
              </w:rPr>
              <w:t>BR1</w:t>
            </w:r>
          </w:p>
        </w:tc>
        <w:tc>
          <w:tcPr>
            <w:tcW w:w="1114" w:type="dxa"/>
            <w:shd w:val="clear" w:color="auto" w:fill="BDD6EE" w:themeFill="accent1" w:themeFillTint="66"/>
            <w:vAlign w:val="center"/>
          </w:tcPr>
          <w:p w14:paraId="727971D9" w14:textId="77777777" w:rsidR="00031EFD" w:rsidRPr="00EA1BB2" w:rsidRDefault="00031EFD" w:rsidP="00DF5A5F">
            <w:pPr>
              <w:autoSpaceDE w:val="0"/>
              <w:autoSpaceDN w:val="0"/>
              <w:adjustRightInd w:val="0"/>
              <w:spacing w:line="360" w:lineRule="auto"/>
              <w:jc w:val="center"/>
              <w:rPr>
                <w:rFonts w:ascii="Cambria" w:hAnsi="Cambria"/>
                <w:b/>
                <w:lang w:val="ro-RO"/>
              </w:rPr>
            </w:pPr>
            <w:r w:rsidRPr="00EA1BB2">
              <w:rPr>
                <w:rFonts w:ascii="Cambria" w:eastAsia="Times New Roman" w:hAnsi="Cambria" w:cs="Times New Roman"/>
                <w:b/>
                <w:lang w:val="ro-RO"/>
              </w:rPr>
              <w:t>BR2</w:t>
            </w:r>
          </w:p>
        </w:tc>
        <w:tc>
          <w:tcPr>
            <w:tcW w:w="1114" w:type="dxa"/>
            <w:shd w:val="clear" w:color="auto" w:fill="BDD6EE" w:themeFill="accent1" w:themeFillTint="66"/>
            <w:vAlign w:val="center"/>
          </w:tcPr>
          <w:p w14:paraId="38117D81" w14:textId="77777777" w:rsidR="00031EFD" w:rsidRPr="00EA1BB2" w:rsidRDefault="00031EFD" w:rsidP="00DF5A5F">
            <w:pPr>
              <w:autoSpaceDE w:val="0"/>
              <w:autoSpaceDN w:val="0"/>
              <w:adjustRightInd w:val="0"/>
              <w:spacing w:line="360" w:lineRule="auto"/>
              <w:jc w:val="center"/>
              <w:rPr>
                <w:rFonts w:ascii="Cambria" w:hAnsi="Cambria"/>
                <w:b/>
                <w:lang w:val="ro-RO"/>
              </w:rPr>
            </w:pPr>
            <w:r w:rsidRPr="00EA1BB2">
              <w:rPr>
                <w:rFonts w:ascii="Cambria" w:eastAsia="Times New Roman" w:hAnsi="Cambria" w:cs="Times New Roman"/>
                <w:b/>
                <w:lang w:val="ro-RO"/>
              </w:rPr>
              <w:t>BR3</w:t>
            </w:r>
          </w:p>
        </w:tc>
        <w:tc>
          <w:tcPr>
            <w:tcW w:w="1114" w:type="dxa"/>
            <w:shd w:val="clear" w:color="auto" w:fill="BDD6EE" w:themeFill="accent1" w:themeFillTint="66"/>
            <w:vAlign w:val="center"/>
          </w:tcPr>
          <w:p w14:paraId="12089874" w14:textId="77777777" w:rsidR="00031EFD" w:rsidRPr="00EA1BB2" w:rsidRDefault="00031EFD" w:rsidP="00DF5A5F">
            <w:pPr>
              <w:autoSpaceDE w:val="0"/>
              <w:autoSpaceDN w:val="0"/>
              <w:adjustRightInd w:val="0"/>
              <w:spacing w:line="360" w:lineRule="auto"/>
              <w:jc w:val="center"/>
              <w:rPr>
                <w:rFonts w:ascii="Cambria" w:hAnsi="Cambria"/>
                <w:b/>
                <w:lang w:val="ro-RO"/>
              </w:rPr>
            </w:pPr>
            <w:r w:rsidRPr="00EA1BB2">
              <w:rPr>
                <w:rFonts w:ascii="Cambria" w:eastAsia="Times New Roman" w:hAnsi="Cambria" w:cs="Times New Roman"/>
                <w:b/>
                <w:lang w:val="ro-RO"/>
              </w:rPr>
              <w:t>BR4</w:t>
            </w:r>
          </w:p>
        </w:tc>
        <w:tc>
          <w:tcPr>
            <w:tcW w:w="1258" w:type="dxa"/>
            <w:shd w:val="clear" w:color="auto" w:fill="BDD6EE" w:themeFill="accent1" w:themeFillTint="66"/>
            <w:vAlign w:val="center"/>
          </w:tcPr>
          <w:p w14:paraId="6ECD64C4" w14:textId="77777777" w:rsidR="00031EFD" w:rsidRPr="00EA1BB2" w:rsidRDefault="00031EFD" w:rsidP="00DF5A5F">
            <w:pPr>
              <w:autoSpaceDE w:val="0"/>
              <w:autoSpaceDN w:val="0"/>
              <w:adjustRightInd w:val="0"/>
              <w:spacing w:line="360" w:lineRule="auto"/>
              <w:jc w:val="center"/>
              <w:rPr>
                <w:rFonts w:ascii="Cambria" w:hAnsi="Cambria"/>
                <w:b/>
                <w:lang w:val="ro-RO"/>
              </w:rPr>
            </w:pPr>
            <w:r w:rsidRPr="00EA1BB2">
              <w:rPr>
                <w:rFonts w:ascii="Cambria" w:eastAsia="Times New Roman" w:hAnsi="Cambria" w:cs="Times New Roman"/>
                <w:b/>
                <w:lang w:val="ro-RO"/>
              </w:rPr>
              <w:t>BR5</w:t>
            </w:r>
          </w:p>
        </w:tc>
        <w:tc>
          <w:tcPr>
            <w:tcW w:w="696" w:type="dxa"/>
            <w:vMerge/>
            <w:shd w:val="clear" w:color="auto" w:fill="BDD6EE" w:themeFill="accent1" w:themeFillTint="66"/>
            <w:vAlign w:val="center"/>
          </w:tcPr>
          <w:p w14:paraId="589FB01B" w14:textId="77777777" w:rsidR="00031EFD" w:rsidRPr="00EA1BB2" w:rsidRDefault="00031EFD" w:rsidP="00DF5A5F">
            <w:pPr>
              <w:autoSpaceDE w:val="0"/>
              <w:autoSpaceDN w:val="0"/>
              <w:adjustRightInd w:val="0"/>
              <w:spacing w:line="360" w:lineRule="auto"/>
              <w:jc w:val="center"/>
              <w:rPr>
                <w:rFonts w:ascii="Cambria" w:hAnsi="Cambria"/>
                <w:b/>
                <w:lang w:val="ro-RO"/>
              </w:rPr>
            </w:pPr>
          </w:p>
        </w:tc>
        <w:tc>
          <w:tcPr>
            <w:tcW w:w="952" w:type="dxa"/>
            <w:vMerge/>
            <w:shd w:val="clear" w:color="auto" w:fill="BDD6EE" w:themeFill="accent1" w:themeFillTint="66"/>
            <w:vAlign w:val="center"/>
          </w:tcPr>
          <w:p w14:paraId="0133F439" w14:textId="77777777" w:rsidR="00031EFD" w:rsidRPr="00EA1BB2" w:rsidRDefault="00031EFD" w:rsidP="00DF5A5F">
            <w:pPr>
              <w:autoSpaceDE w:val="0"/>
              <w:autoSpaceDN w:val="0"/>
              <w:adjustRightInd w:val="0"/>
              <w:spacing w:line="360" w:lineRule="auto"/>
              <w:jc w:val="center"/>
              <w:rPr>
                <w:rFonts w:ascii="Cambria" w:hAnsi="Cambria"/>
                <w:b/>
                <w:lang w:val="ro-RO"/>
              </w:rPr>
            </w:pPr>
          </w:p>
        </w:tc>
        <w:tc>
          <w:tcPr>
            <w:tcW w:w="935" w:type="dxa"/>
            <w:vMerge/>
            <w:shd w:val="clear" w:color="auto" w:fill="BDD6EE" w:themeFill="accent1" w:themeFillTint="66"/>
            <w:vAlign w:val="center"/>
          </w:tcPr>
          <w:p w14:paraId="412CDE36" w14:textId="77777777" w:rsidR="00031EFD" w:rsidRPr="00EA1BB2" w:rsidRDefault="00031EFD" w:rsidP="00DF5A5F">
            <w:pPr>
              <w:autoSpaceDE w:val="0"/>
              <w:autoSpaceDN w:val="0"/>
              <w:adjustRightInd w:val="0"/>
              <w:spacing w:line="360" w:lineRule="auto"/>
              <w:jc w:val="center"/>
              <w:rPr>
                <w:rFonts w:ascii="Cambria" w:hAnsi="Cambria"/>
                <w:b/>
                <w:lang w:val="ro-RO"/>
              </w:rPr>
            </w:pPr>
          </w:p>
        </w:tc>
      </w:tr>
      <w:tr w:rsidR="00145BC7" w:rsidRPr="00EA1BB2" w14:paraId="05B0795C" w14:textId="77777777" w:rsidTr="001F2D02">
        <w:trPr>
          <w:jc w:val="center"/>
        </w:trPr>
        <w:tc>
          <w:tcPr>
            <w:tcW w:w="897" w:type="dxa"/>
            <w:vAlign w:val="center"/>
          </w:tcPr>
          <w:p w14:paraId="7C8BF608"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NO</w:t>
            </w:r>
            <w:r w:rsidRPr="00EA1BB2">
              <w:rPr>
                <w:rFonts w:ascii="Cambria" w:hAnsi="Cambria"/>
                <w:vertAlign w:val="subscript"/>
                <w:lang w:val="ro-RO"/>
              </w:rPr>
              <w:t>2</w:t>
            </w:r>
          </w:p>
        </w:tc>
        <w:tc>
          <w:tcPr>
            <w:tcW w:w="1080" w:type="dxa"/>
            <w:vAlign w:val="center"/>
          </w:tcPr>
          <w:p w14:paraId="206A9010"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(µg/m</w:t>
            </w:r>
            <w:r w:rsidRPr="00EA1BB2">
              <w:rPr>
                <w:rFonts w:ascii="Cambria" w:hAnsi="Cambria"/>
                <w:bCs/>
                <w:vertAlign w:val="superscript"/>
                <w:lang w:val="ro-RO"/>
              </w:rPr>
              <w:t>3</w:t>
            </w:r>
            <w:r w:rsidRPr="00EA1BB2">
              <w:rPr>
                <w:rFonts w:ascii="Cambria" w:hAnsi="Cambria"/>
                <w:lang w:val="ro-RO"/>
              </w:rPr>
              <w:t>)</w:t>
            </w:r>
          </w:p>
        </w:tc>
        <w:tc>
          <w:tcPr>
            <w:tcW w:w="918" w:type="dxa"/>
            <w:vAlign w:val="center"/>
          </w:tcPr>
          <w:p w14:paraId="332572BB"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anuală</w:t>
            </w:r>
          </w:p>
        </w:tc>
        <w:tc>
          <w:tcPr>
            <w:tcW w:w="1114" w:type="dxa"/>
          </w:tcPr>
          <w:p w14:paraId="3EAF3D43"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w:t>
            </w:r>
          </w:p>
        </w:tc>
        <w:tc>
          <w:tcPr>
            <w:tcW w:w="1114" w:type="dxa"/>
          </w:tcPr>
          <w:p w14:paraId="63CDF832"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w:t>
            </w:r>
          </w:p>
        </w:tc>
        <w:tc>
          <w:tcPr>
            <w:tcW w:w="1114" w:type="dxa"/>
          </w:tcPr>
          <w:p w14:paraId="6FB79397"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11,525</w:t>
            </w:r>
          </w:p>
        </w:tc>
        <w:tc>
          <w:tcPr>
            <w:tcW w:w="1114" w:type="dxa"/>
          </w:tcPr>
          <w:p w14:paraId="70A60A9A"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w:t>
            </w:r>
          </w:p>
        </w:tc>
        <w:tc>
          <w:tcPr>
            <w:tcW w:w="1258" w:type="dxa"/>
          </w:tcPr>
          <w:p w14:paraId="2CF1B4CD"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11,491</w:t>
            </w:r>
          </w:p>
        </w:tc>
        <w:tc>
          <w:tcPr>
            <w:tcW w:w="696" w:type="dxa"/>
            <w:vAlign w:val="center"/>
          </w:tcPr>
          <w:p w14:paraId="4FB1E3E1"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40</w:t>
            </w:r>
          </w:p>
        </w:tc>
        <w:tc>
          <w:tcPr>
            <w:tcW w:w="952" w:type="dxa"/>
            <w:vAlign w:val="center"/>
          </w:tcPr>
          <w:p w14:paraId="76800C8C"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32</w:t>
            </w:r>
          </w:p>
        </w:tc>
        <w:tc>
          <w:tcPr>
            <w:tcW w:w="935" w:type="dxa"/>
            <w:vAlign w:val="center"/>
          </w:tcPr>
          <w:p w14:paraId="296E4096"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26</w:t>
            </w:r>
          </w:p>
        </w:tc>
      </w:tr>
      <w:tr w:rsidR="00145BC7" w:rsidRPr="00EA1BB2" w14:paraId="0BFF902A" w14:textId="77777777" w:rsidTr="001F2D02">
        <w:trPr>
          <w:jc w:val="center"/>
        </w:trPr>
        <w:tc>
          <w:tcPr>
            <w:tcW w:w="897" w:type="dxa"/>
            <w:vAlign w:val="center"/>
          </w:tcPr>
          <w:p w14:paraId="5E2C811B"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NOx</w:t>
            </w:r>
          </w:p>
        </w:tc>
        <w:tc>
          <w:tcPr>
            <w:tcW w:w="1080" w:type="dxa"/>
            <w:vAlign w:val="center"/>
          </w:tcPr>
          <w:p w14:paraId="6C61DBF9"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(µg/m</w:t>
            </w:r>
            <w:r w:rsidRPr="00EA1BB2">
              <w:rPr>
                <w:rFonts w:ascii="Cambria" w:hAnsi="Cambria"/>
                <w:bCs/>
                <w:vertAlign w:val="superscript"/>
                <w:lang w:val="ro-RO"/>
              </w:rPr>
              <w:t>3</w:t>
            </w:r>
            <w:r w:rsidRPr="00EA1BB2">
              <w:rPr>
                <w:rFonts w:ascii="Cambria" w:hAnsi="Cambria"/>
                <w:lang w:val="ro-RO"/>
              </w:rPr>
              <w:t>)</w:t>
            </w:r>
          </w:p>
        </w:tc>
        <w:tc>
          <w:tcPr>
            <w:tcW w:w="918" w:type="dxa"/>
            <w:vAlign w:val="center"/>
          </w:tcPr>
          <w:p w14:paraId="0140C045"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anuală</w:t>
            </w:r>
          </w:p>
        </w:tc>
        <w:tc>
          <w:tcPr>
            <w:tcW w:w="1114" w:type="dxa"/>
          </w:tcPr>
          <w:p w14:paraId="2C1CBE41"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w:t>
            </w:r>
          </w:p>
        </w:tc>
        <w:tc>
          <w:tcPr>
            <w:tcW w:w="1114" w:type="dxa"/>
          </w:tcPr>
          <w:p w14:paraId="65BB9D60"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w:t>
            </w:r>
          </w:p>
        </w:tc>
        <w:tc>
          <w:tcPr>
            <w:tcW w:w="1114" w:type="dxa"/>
          </w:tcPr>
          <w:p w14:paraId="69916871"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12,045</w:t>
            </w:r>
          </w:p>
        </w:tc>
        <w:tc>
          <w:tcPr>
            <w:tcW w:w="1114" w:type="dxa"/>
          </w:tcPr>
          <w:p w14:paraId="0A60A340"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w:t>
            </w:r>
          </w:p>
        </w:tc>
        <w:tc>
          <w:tcPr>
            <w:tcW w:w="1258" w:type="dxa"/>
          </w:tcPr>
          <w:p w14:paraId="38638CD1"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12,010</w:t>
            </w:r>
          </w:p>
        </w:tc>
        <w:tc>
          <w:tcPr>
            <w:tcW w:w="696" w:type="dxa"/>
            <w:vAlign w:val="center"/>
          </w:tcPr>
          <w:p w14:paraId="5E1DFB1A"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30*</w:t>
            </w:r>
          </w:p>
        </w:tc>
        <w:tc>
          <w:tcPr>
            <w:tcW w:w="952" w:type="dxa"/>
            <w:vAlign w:val="center"/>
          </w:tcPr>
          <w:p w14:paraId="3F36F1BB"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w:t>
            </w:r>
          </w:p>
        </w:tc>
        <w:tc>
          <w:tcPr>
            <w:tcW w:w="935" w:type="dxa"/>
            <w:vAlign w:val="center"/>
          </w:tcPr>
          <w:p w14:paraId="39E4723E"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w:t>
            </w:r>
          </w:p>
        </w:tc>
      </w:tr>
      <w:tr w:rsidR="00145BC7" w:rsidRPr="00EA1BB2" w14:paraId="02C5FB52" w14:textId="77777777" w:rsidTr="001F2D02">
        <w:trPr>
          <w:trHeight w:val="409"/>
          <w:jc w:val="center"/>
        </w:trPr>
        <w:tc>
          <w:tcPr>
            <w:tcW w:w="897" w:type="dxa"/>
            <w:vAlign w:val="center"/>
          </w:tcPr>
          <w:p w14:paraId="664A545A"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PM</w:t>
            </w:r>
            <w:r w:rsidRPr="00EA1BB2">
              <w:rPr>
                <w:rFonts w:ascii="Cambria" w:hAnsi="Cambria"/>
                <w:vertAlign w:val="subscript"/>
                <w:lang w:val="ro-RO"/>
              </w:rPr>
              <w:t>10</w:t>
            </w:r>
          </w:p>
        </w:tc>
        <w:tc>
          <w:tcPr>
            <w:tcW w:w="1080" w:type="dxa"/>
            <w:vAlign w:val="center"/>
          </w:tcPr>
          <w:p w14:paraId="4C92EA45"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(µg/m</w:t>
            </w:r>
            <w:r w:rsidRPr="00EA1BB2">
              <w:rPr>
                <w:rFonts w:ascii="Cambria" w:hAnsi="Cambria"/>
                <w:bCs/>
                <w:vertAlign w:val="superscript"/>
                <w:lang w:val="ro-RO"/>
              </w:rPr>
              <w:t>3</w:t>
            </w:r>
            <w:r w:rsidRPr="00EA1BB2">
              <w:rPr>
                <w:rFonts w:ascii="Cambria" w:hAnsi="Cambria"/>
                <w:lang w:val="ro-RO"/>
              </w:rPr>
              <w:t>)</w:t>
            </w:r>
          </w:p>
        </w:tc>
        <w:tc>
          <w:tcPr>
            <w:tcW w:w="918" w:type="dxa"/>
            <w:vAlign w:val="center"/>
          </w:tcPr>
          <w:p w14:paraId="3B323049"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anuală</w:t>
            </w:r>
          </w:p>
        </w:tc>
        <w:tc>
          <w:tcPr>
            <w:tcW w:w="1114" w:type="dxa"/>
          </w:tcPr>
          <w:p w14:paraId="0F73247C"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21,043</w:t>
            </w:r>
          </w:p>
        </w:tc>
        <w:tc>
          <w:tcPr>
            <w:tcW w:w="1114" w:type="dxa"/>
          </w:tcPr>
          <w:p w14:paraId="4F4B52DB"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20,352</w:t>
            </w:r>
          </w:p>
        </w:tc>
        <w:tc>
          <w:tcPr>
            <w:tcW w:w="1114" w:type="dxa"/>
          </w:tcPr>
          <w:p w14:paraId="17B6830A"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21,806</w:t>
            </w:r>
          </w:p>
        </w:tc>
        <w:tc>
          <w:tcPr>
            <w:tcW w:w="1114" w:type="dxa"/>
          </w:tcPr>
          <w:p w14:paraId="4FCDC430"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20,830</w:t>
            </w:r>
          </w:p>
        </w:tc>
        <w:tc>
          <w:tcPr>
            <w:tcW w:w="1258" w:type="dxa"/>
          </w:tcPr>
          <w:p w14:paraId="23EC5010" w14:textId="77777777" w:rsidR="00145BC7" w:rsidRPr="00EA1BB2" w:rsidRDefault="00465A49" w:rsidP="00145BC7">
            <w:pPr>
              <w:autoSpaceDE w:val="0"/>
              <w:autoSpaceDN w:val="0"/>
              <w:adjustRightInd w:val="0"/>
              <w:spacing w:line="360" w:lineRule="auto"/>
              <w:jc w:val="center"/>
              <w:rPr>
                <w:rFonts w:ascii="Cambria" w:hAnsi="Cambria"/>
                <w:lang w:val="ro-RO"/>
              </w:rPr>
            </w:pPr>
            <w:r w:rsidRPr="00EA1BB2">
              <w:rPr>
                <w:rFonts w:ascii="Cambria" w:hAnsi="Cambria"/>
                <w:lang w:val="ro-RO"/>
              </w:rPr>
              <w:t>21,391</w:t>
            </w:r>
          </w:p>
        </w:tc>
        <w:tc>
          <w:tcPr>
            <w:tcW w:w="696" w:type="dxa"/>
            <w:vAlign w:val="center"/>
          </w:tcPr>
          <w:p w14:paraId="3BC83B7F"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40</w:t>
            </w:r>
          </w:p>
        </w:tc>
        <w:tc>
          <w:tcPr>
            <w:tcW w:w="952" w:type="dxa"/>
            <w:vAlign w:val="center"/>
          </w:tcPr>
          <w:p w14:paraId="0B9F4E22"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28</w:t>
            </w:r>
          </w:p>
        </w:tc>
        <w:tc>
          <w:tcPr>
            <w:tcW w:w="935" w:type="dxa"/>
            <w:vAlign w:val="center"/>
          </w:tcPr>
          <w:p w14:paraId="79851D67"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20</w:t>
            </w:r>
          </w:p>
        </w:tc>
      </w:tr>
      <w:tr w:rsidR="00145BC7" w:rsidRPr="00EA1BB2" w14:paraId="500435D0" w14:textId="77777777" w:rsidTr="001F2D02">
        <w:trPr>
          <w:jc w:val="center"/>
        </w:trPr>
        <w:tc>
          <w:tcPr>
            <w:tcW w:w="897" w:type="dxa"/>
            <w:vAlign w:val="center"/>
          </w:tcPr>
          <w:p w14:paraId="004738DB"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PM</w:t>
            </w:r>
            <w:r w:rsidRPr="00EA1BB2">
              <w:rPr>
                <w:rFonts w:ascii="Cambria" w:hAnsi="Cambria"/>
                <w:vertAlign w:val="subscript"/>
                <w:lang w:val="ro-RO"/>
              </w:rPr>
              <w:t>2,5</w:t>
            </w:r>
          </w:p>
        </w:tc>
        <w:tc>
          <w:tcPr>
            <w:tcW w:w="1080" w:type="dxa"/>
            <w:vAlign w:val="center"/>
          </w:tcPr>
          <w:p w14:paraId="475CE8A7"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(µg/m</w:t>
            </w:r>
            <w:r w:rsidRPr="00EA1BB2">
              <w:rPr>
                <w:rFonts w:ascii="Cambria" w:hAnsi="Cambria"/>
                <w:bCs/>
                <w:vertAlign w:val="superscript"/>
                <w:lang w:val="ro-RO"/>
              </w:rPr>
              <w:t>3</w:t>
            </w:r>
            <w:r w:rsidRPr="00EA1BB2">
              <w:rPr>
                <w:rFonts w:ascii="Cambria" w:hAnsi="Cambria"/>
                <w:lang w:val="ro-RO"/>
              </w:rPr>
              <w:t>)</w:t>
            </w:r>
          </w:p>
        </w:tc>
        <w:tc>
          <w:tcPr>
            <w:tcW w:w="918" w:type="dxa"/>
            <w:vAlign w:val="center"/>
          </w:tcPr>
          <w:p w14:paraId="525616E4"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anuală</w:t>
            </w:r>
          </w:p>
        </w:tc>
        <w:tc>
          <w:tcPr>
            <w:tcW w:w="1114" w:type="dxa"/>
          </w:tcPr>
          <w:p w14:paraId="4BB91CAB"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15,996</w:t>
            </w:r>
          </w:p>
        </w:tc>
        <w:tc>
          <w:tcPr>
            <w:tcW w:w="1114" w:type="dxa"/>
          </w:tcPr>
          <w:p w14:paraId="178D9EEB"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16,005</w:t>
            </w:r>
          </w:p>
        </w:tc>
        <w:tc>
          <w:tcPr>
            <w:tcW w:w="1114" w:type="dxa"/>
          </w:tcPr>
          <w:p w14:paraId="2F166C32"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16,984</w:t>
            </w:r>
          </w:p>
        </w:tc>
        <w:tc>
          <w:tcPr>
            <w:tcW w:w="1114" w:type="dxa"/>
          </w:tcPr>
          <w:p w14:paraId="0A41974E"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16,211</w:t>
            </w:r>
          </w:p>
        </w:tc>
        <w:tc>
          <w:tcPr>
            <w:tcW w:w="1258" w:type="dxa"/>
          </w:tcPr>
          <w:p w14:paraId="11563659"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16,942</w:t>
            </w:r>
          </w:p>
        </w:tc>
        <w:tc>
          <w:tcPr>
            <w:tcW w:w="696" w:type="dxa"/>
            <w:vAlign w:val="center"/>
          </w:tcPr>
          <w:p w14:paraId="336FB1D9"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20</w:t>
            </w:r>
          </w:p>
        </w:tc>
        <w:tc>
          <w:tcPr>
            <w:tcW w:w="952" w:type="dxa"/>
            <w:vAlign w:val="center"/>
          </w:tcPr>
          <w:p w14:paraId="5F06B08A"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17</w:t>
            </w:r>
          </w:p>
        </w:tc>
        <w:tc>
          <w:tcPr>
            <w:tcW w:w="935" w:type="dxa"/>
            <w:vAlign w:val="center"/>
          </w:tcPr>
          <w:p w14:paraId="1EAF8EC1"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12</w:t>
            </w:r>
          </w:p>
        </w:tc>
      </w:tr>
      <w:tr w:rsidR="001F2D02" w:rsidRPr="00EA1BB2" w14:paraId="571B1F43" w14:textId="77777777" w:rsidTr="001F2D02">
        <w:trPr>
          <w:jc w:val="center"/>
        </w:trPr>
        <w:tc>
          <w:tcPr>
            <w:tcW w:w="897" w:type="dxa"/>
            <w:vAlign w:val="center"/>
          </w:tcPr>
          <w:p w14:paraId="4C915324" w14:textId="77777777" w:rsidR="001F2D02" w:rsidRPr="00EA1BB2" w:rsidRDefault="001F2D02" w:rsidP="001F2D02">
            <w:pPr>
              <w:autoSpaceDE w:val="0"/>
              <w:autoSpaceDN w:val="0"/>
              <w:adjustRightInd w:val="0"/>
              <w:spacing w:line="360" w:lineRule="auto"/>
              <w:jc w:val="center"/>
              <w:rPr>
                <w:rFonts w:ascii="Cambria" w:hAnsi="Cambria"/>
                <w:lang w:val="ro-RO"/>
              </w:rPr>
            </w:pPr>
            <w:r w:rsidRPr="00EA1BB2">
              <w:rPr>
                <w:rFonts w:ascii="Cambria" w:hAnsi="Cambria"/>
                <w:lang w:val="ro-RO"/>
              </w:rPr>
              <w:t>C</w:t>
            </w:r>
            <w:r w:rsidRPr="00EA1BB2">
              <w:rPr>
                <w:rFonts w:ascii="Cambria" w:hAnsi="Cambria"/>
                <w:vertAlign w:val="subscript"/>
                <w:lang w:val="ro-RO"/>
              </w:rPr>
              <w:t>6</w:t>
            </w:r>
            <w:r w:rsidRPr="00EA1BB2">
              <w:rPr>
                <w:rFonts w:ascii="Cambria" w:hAnsi="Cambria"/>
                <w:lang w:val="ro-RO"/>
              </w:rPr>
              <w:t>H</w:t>
            </w:r>
            <w:r w:rsidRPr="00EA1BB2">
              <w:rPr>
                <w:rFonts w:ascii="Cambria" w:hAnsi="Cambria"/>
                <w:vertAlign w:val="subscript"/>
                <w:lang w:val="ro-RO"/>
              </w:rPr>
              <w:t>6</w:t>
            </w:r>
          </w:p>
        </w:tc>
        <w:tc>
          <w:tcPr>
            <w:tcW w:w="1080" w:type="dxa"/>
            <w:vAlign w:val="center"/>
          </w:tcPr>
          <w:p w14:paraId="7E2F591A" w14:textId="77777777" w:rsidR="001F2D02" w:rsidRPr="00EA1BB2" w:rsidRDefault="001F2D02" w:rsidP="001F2D02">
            <w:pPr>
              <w:autoSpaceDE w:val="0"/>
              <w:autoSpaceDN w:val="0"/>
              <w:adjustRightInd w:val="0"/>
              <w:spacing w:line="360" w:lineRule="auto"/>
              <w:jc w:val="center"/>
              <w:rPr>
                <w:rFonts w:ascii="Cambria" w:hAnsi="Cambria"/>
                <w:lang w:val="ro-RO"/>
              </w:rPr>
            </w:pPr>
            <w:r w:rsidRPr="00EA1BB2">
              <w:rPr>
                <w:rFonts w:ascii="Cambria" w:hAnsi="Cambria"/>
                <w:lang w:val="ro-RO"/>
              </w:rPr>
              <w:t>(µg/m</w:t>
            </w:r>
            <w:r w:rsidRPr="00EA1BB2">
              <w:rPr>
                <w:rFonts w:ascii="Cambria" w:hAnsi="Cambria"/>
                <w:bCs/>
                <w:vertAlign w:val="superscript"/>
                <w:lang w:val="ro-RO"/>
              </w:rPr>
              <w:t>3</w:t>
            </w:r>
            <w:r w:rsidRPr="00EA1BB2">
              <w:rPr>
                <w:rFonts w:ascii="Cambria" w:hAnsi="Cambria"/>
                <w:lang w:val="ro-RO"/>
              </w:rPr>
              <w:t>)</w:t>
            </w:r>
          </w:p>
        </w:tc>
        <w:tc>
          <w:tcPr>
            <w:tcW w:w="918" w:type="dxa"/>
            <w:vAlign w:val="center"/>
          </w:tcPr>
          <w:p w14:paraId="797A3028" w14:textId="77777777" w:rsidR="001F2D02" w:rsidRPr="00EA1BB2" w:rsidRDefault="001F2D02" w:rsidP="001F2D02">
            <w:pPr>
              <w:autoSpaceDE w:val="0"/>
              <w:autoSpaceDN w:val="0"/>
              <w:adjustRightInd w:val="0"/>
              <w:spacing w:line="360" w:lineRule="auto"/>
              <w:jc w:val="center"/>
              <w:rPr>
                <w:rFonts w:ascii="Cambria" w:hAnsi="Cambria"/>
                <w:lang w:val="ro-RO"/>
              </w:rPr>
            </w:pPr>
            <w:r w:rsidRPr="00EA1BB2">
              <w:rPr>
                <w:rFonts w:ascii="Cambria" w:hAnsi="Cambria"/>
                <w:lang w:val="ro-RO"/>
              </w:rPr>
              <w:t>anuală</w:t>
            </w:r>
          </w:p>
        </w:tc>
        <w:tc>
          <w:tcPr>
            <w:tcW w:w="1114" w:type="dxa"/>
          </w:tcPr>
          <w:p w14:paraId="5F965628" w14:textId="77777777" w:rsidR="001F2D02" w:rsidRPr="00EA1BB2" w:rsidRDefault="001F2D02" w:rsidP="001F2D02">
            <w:pPr>
              <w:autoSpaceDE w:val="0"/>
              <w:autoSpaceDN w:val="0"/>
              <w:adjustRightInd w:val="0"/>
              <w:spacing w:line="360" w:lineRule="auto"/>
              <w:jc w:val="center"/>
              <w:rPr>
                <w:rFonts w:ascii="Cambria" w:hAnsi="Cambria"/>
                <w:lang w:val="ro-RO"/>
              </w:rPr>
            </w:pPr>
            <w:r w:rsidRPr="00EA1BB2">
              <w:rPr>
                <w:rFonts w:ascii="Cambria" w:hAnsi="Cambria"/>
                <w:lang w:val="ro-RO"/>
              </w:rPr>
              <w:t>1,262</w:t>
            </w:r>
          </w:p>
        </w:tc>
        <w:tc>
          <w:tcPr>
            <w:tcW w:w="1114" w:type="dxa"/>
          </w:tcPr>
          <w:p w14:paraId="25741E77" w14:textId="77777777" w:rsidR="001F2D02" w:rsidRPr="00EA1BB2" w:rsidRDefault="001F2D02" w:rsidP="001F2D02">
            <w:pPr>
              <w:autoSpaceDE w:val="0"/>
              <w:autoSpaceDN w:val="0"/>
              <w:adjustRightInd w:val="0"/>
              <w:spacing w:line="360" w:lineRule="auto"/>
              <w:jc w:val="center"/>
              <w:rPr>
                <w:rFonts w:ascii="Cambria" w:hAnsi="Cambria"/>
                <w:lang w:val="ro-RO"/>
              </w:rPr>
            </w:pPr>
            <w:r w:rsidRPr="00EA1BB2">
              <w:rPr>
                <w:rFonts w:ascii="Cambria" w:hAnsi="Cambria"/>
                <w:lang w:val="ro-RO"/>
              </w:rPr>
              <w:t>1,262</w:t>
            </w:r>
          </w:p>
        </w:tc>
        <w:tc>
          <w:tcPr>
            <w:tcW w:w="1114" w:type="dxa"/>
          </w:tcPr>
          <w:p w14:paraId="72C17E37" w14:textId="77777777" w:rsidR="001F2D02" w:rsidRPr="00EA1BB2" w:rsidRDefault="001F2D02" w:rsidP="001F2D02">
            <w:pPr>
              <w:autoSpaceDE w:val="0"/>
              <w:autoSpaceDN w:val="0"/>
              <w:adjustRightInd w:val="0"/>
              <w:spacing w:line="360" w:lineRule="auto"/>
              <w:jc w:val="center"/>
              <w:rPr>
                <w:rFonts w:ascii="Cambria" w:hAnsi="Cambria"/>
                <w:lang w:val="ro-RO"/>
              </w:rPr>
            </w:pPr>
            <w:r w:rsidRPr="00EA1BB2">
              <w:rPr>
                <w:rFonts w:ascii="Cambria" w:hAnsi="Cambria"/>
                <w:lang w:val="ro-RO"/>
              </w:rPr>
              <w:t>1,157</w:t>
            </w:r>
          </w:p>
        </w:tc>
        <w:tc>
          <w:tcPr>
            <w:tcW w:w="1114" w:type="dxa"/>
          </w:tcPr>
          <w:p w14:paraId="0413ECA9" w14:textId="77777777" w:rsidR="001F2D02" w:rsidRPr="00EA1BB2" w:rsidRDefault="001F2D02" w:rsidP="001F2D02">
            <w:pPr>
              <w:autoSpaceDE w:val="0"/>
              <w:autoSpaceDN w:val="0"/>
              <w:adjustRightInd w:val="0"/>
              <w:spacing w:line="360" w:lineRule="auto"/>
              <w:jc w:val="center"/>
              <w:rPr>
                <w:rFonts w:ascii="Cambria" w:hAnsi="Cambria"/>
                <w:lang w:val="ro-RO"/>
              </w:rPr>
            </w:pPr>
            <w:r w:rsidRPr="00EA1BB2">
              <w:rPr>
                <w:rFonts w:ascii="Cambria" w:hAnsi="Cambria"/>
                <w:lang w:val="ro-RO"/>
              </w:rPr>
              <w:t>1,206</w:t>
            </w:r>
          </w:p>
        </w:tc>
        <w:tc>
          <w:tcPr>
            <w:tcW w:w="1258" w:type="dxa"/>
          </w:tcPr>
          <w:p w14:paraId="0B6AB96F" w14:textId="77777777" w:rsidR="001F2D02" w:rsidRPr="00EA1BB2" w:rsidRDefault="001F2D02" w:rsidP="001F2D02">
            <w:pPr>
              <w:autoSpaceDE w:val="0"/>
              <w:autoSpaceDN w:val="0"/>
              <w:adjustRightInd w:val="0"/>
              <w:spacing w:line="360" w:lineRule="auto"/>
              <w:jc w:val="center"/>
              <w:rPr>
                <w:rFonts w:ascii="Cambria" w:hAnsi="Cambria"/>
                <w:lang w:val="ro-RO"/>
              </w:rPr>
            </w:pPr>
            <w:r w:rsidRPr="00EA1BB2">
              <w:rPr>
                <w:rFonts w:ascii="Cambria" w:hAnsi="Cambria"/>
                <w:lang w:val="ro-RO"/>
              </w:rPr>
              <w:t>1,153</w:t>
            </w:r>
          </w:p>
        </w:tc>
        <w:tc>
          <w:tcPr>
            <w:tcW w:w="696" w:type="dxa"/>
            <w:vAlign w:val="center"/>
          </w:tcPr>
          <w:p w14:paraId="185886FB" w14:textId="77777777" w:rsidR="001F2D02" w:rsidRPr="00EA1BB2" w:rsidRDefault="001F2D02" w:rsidP="001F2D02">
            <w:pPr>
              <w:autoSpaceDE w:val="0"/>
              <w:autoSpaceDN w:val="0"/>
              <w:adjustRightInd w:val="0"/>
              <w:spacing w:line="360" w:lineRule="auto"/>
              <w:jc w:val="center"/>
              <w:rPr>
                <w:rFonts w:ascii="Cambria" w:hAnsi="Cambria"/>
                <w:lang w:val="ro-RO"/>
              </w:rPr>
            </w:pPr>
            <w:r w:rsidRPr="00EA1BB2">
              <w:rPr>
                <w:rFonts w:ascii="Cambria" w:hAnsi="Cambria"/>
                <w:lang w:val="ro-RO"/>
              </w:rPr>
              <w:t>5</w:t>
            </w:r>
          </w:p>
        </w:tc>
        <w:tc>
          <w:tcPr>
            <w:tcW w:w="952" w:type="dxa"/>
            <w:vAlign w:val="center"/>
          </w:tcPr>
          <w:p w14:paraId="173F12BE" w14:textId="77777777" w:rsidR="001F2D02" w:rsidRPr="00EA1BB2" w:rsidRDefault="001F2D02" w:rsidP="001F2D02">
            <w:pPr>
              <w:autoSpaceDE w:val="0"/>
              <w:autoSpaceDN w:val="0"/>
              <w:adjustRightInd w:val="0"/>
              <w:spacing w:line="360" w:lineRule="auto"/>
              <w:jc w:val="center"/>
              <w:rPr>
                <w:rFonts w:ascii="Cambria" w:hAnsi="Cambria"/>
                <w:lang w:val="ro-RO"/>
              </w:rPr>
            </w:pPr>
            <w:r w:rsidRPr="00EA1BB2">
              <w:rPr>
                <w:rFonts w:ascii="Cambria" w:hAnsi="Cambria"/>
                <w:lang w:val="ro-RO"/>
              </w:rPr>
              <w:t>3,5</w:t>
            </w:r>
          </w:p>
        </w:tc>
        <w:tc>
          <w:tcPr>
            <w:tcW w:w="935" w:type="dxa"/>
            <w:vAlign w:val="center"/>
          </w:tcPr>
          <w:p w14:paraId="69BEC868" w14:textId="77777777" w:rsidR="001F2D02" w:rsidRPr="00EA1BB2" w:rsidRDefault="001F2D02" w:rsidP="001F2D02">
            <w:pPr>
              <w:autoSpaceDE w:val="0"/>
              <w:autoSpaceDN w:val="0"/>
              <w:adjustRightInd w:val="0"/>
              <w:spacing w:line="360" w:lineRule="auto"/>
              <w:jc w:val="center"/>
              <w:rPr>
                <w:rFonts w:ascii="Cambria" w:hAnsi="Cambria"/>
                <w:lang w:val="ro-RO"/>
              </w:rPr>
            </w:pPr>
            <w:r w:rsidRPr="00EA1BB2">
              <w:rPr>
                <w:rFonts w:ascii="Cambria" w:hAnsi="Cambria"/>
                <w:lang w:val="ro-RO"/>
              </w:rPr>
              <w:t>2</w:t>
            </w:r>
          </w:p>
        </w:tc>
      </w:tr>
      <w:tr w:rsidR="00145BC7" w:rsidRPr="00EA1BB2" w14:paraId="15D22870" w14:textId="77777777" w:rsidTr="001F2D02">
        <w:trPr>
          <w:jc w:val="center"/>
        </w:trPr>
        <w:tc>
          <w:tcPr>
            <w:tcW w:w="897" w:type="dxa"/>
            <w:vAlign w:val="center"/>
          </w:tcPr>
          <w:p w14:paraId="468B333E"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Ni</w:t>
            </w:r>
          </w:p>
        </w:tc>
        <w:tc>
          <w:tcPr>
            <w:tcW w:w="1080" w:type="dxa"/>
            <w:vAlign w:val="center"/>
          </w:tcPr>
          <w:p w14:paraId="6539AC8F"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(ng/m</w:t>
            </w:r>
            <w:r w:rsidRPr="00EA1BB2">
              <w:rPr>
                <w:rFonts w:ascii="Cambria" w:hAnsi="Cambria"/>
                <w:bCs/>
                <w:vertAlign w:val="superscript"/>
                <w:lang w:val="ro-RO"/>
              </w:rPr>
              <w:t>3</w:t>
            </w:r>
            <w:r w:rsidRPr="00EA1BB2">
              <w:rPr>
                <w:rFonts w:ascii="Cambria" w:hAnsi="Cambria"/>
                <w:lang w:val="ro-RO"/>
              </w:rPr>
              <w:t>)</w:t>
            </w:r>
          </w:p>
        </w:tc>
        <w:tc>
          <w:tcPr>
            <w:tcW w:w="918" w:type="dxa"/>
            <w:vAlign w:val="center"/>
          </w:tcPr>
          <w:p w14:paraId="709DDE63"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anuală</w:t>
            </w:r>
          </w:p>
        </w:tc>
        <w:tc>
          <w:tcPr>
            <w:tcW w:w="1114" w:type="dxa"/>
          </w:tcPr>
          <w:p w14:paraId="73696024"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0,609</w:t>
            </w:r>
          </w:p>
        </w:tc>
        <w:tc>
          <w:tcPr>
            <w:tcW w:w="1114" w:type="dxa"/>
          </w:tcPr>
          <w:p w14:paraId="2C9A3FBD"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0,574</w:t>
            </w:r>
          </w:p>
        </w:tc>
        <w:tc>
          <w:tcPr>
            <w:tcW w:w="1114" w:type="dxa"/>
          </w:tcPr>
          <w:p w14:paraId="348BF679"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0,755</w:t>
            </w:r>
          </w:p>
        </w:tc>
        <w:tc>
          <w:tcPr>
            <w:tcW w:w="1114" w:type="dxa"/>
          </w:tcPr>
          <w:p w14:paraId="787B5E5D"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0,661</w:t>
            </w:r>
          </w:p>
        </w:tc>
        <w:tc>
          <w:tcPr>
            <w:tcW w:w="1258" w:type="dxa"/>
          </w:tcPr>
          <w:p w14:paraId="2FE010E5"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0,758</w:t>
            </w:r>
          </w:p>
        </w:tc>
        <w:tc>
          <w:tcPr>
            <w:tcW w:w="696" w:type="dxa"/>
            <w:vAlign w:val="center"/>
          </w:tcPr>
          <w:p w14:paraId="41F4E574"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20</w:t>
            </w:r>
          </w:p>
        </w:tc>
        <w:tc>
          <w:tcPr>
            <w:tcW w:w="952" w:type="dxa"/>
            <w:vAlign w:val="center"/>
          </w:tcPr>
          <w:p w14:paraId="6B1358D2"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14</w:t>
            </w:r>
          </w:p>
        </w:tc>
        <w:tc>
          <w:tcPr>
            <w:tcW w:w="935" w:type="dxa"/>
            <w:vAlign w:val="center"/>
          </w:tcPr>
          <w:p w14:paraId="60436DA4"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10</w:t>
            </w:r>
          </w:p>
        </w:tc>
      </w:tr>
      <w:tr w:rsidR="00145BC7" w:rsidRPr="00EA1BB2" w14:paraId="0AE99DDF" w14:textId="77777777" w:rsidTr="001F2D02">
        <w:trPr>
          <w:jc w:val="center"/>
        </w:trPr>
        <w:tc>
          <w:tcPr>
            <w:tcW w:w="897" w:type="dxa"/>
            <w:vAlign w:val="center"/>
          </w:tcPr>
          <w:p w14:paraId="3A660DD4"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Pb</w:t>
            </w:r>
          </w:p>
        </w:tc>
        <w:tc>
          <w:tcPr>
            <w:tcW w:w="1080" w:type="dxa"/>
            <w:vAlign w:val="center"/>
          </w:tcPr>
          <w:p w14:paraId="782D603E"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(µg/m</w:t>
            </w:r>
            <w:r w:rsidRPr="00EA1BB2">
              <w:rPr>
                <w:rFonts w:ascii="Cambria" w:hAnsi="Cambria"/>
                <w:bCs/>
                <w:vertAlign w:val="superscript"/>
                <w:lang w:val="ro-RO"/>
              </w:rPr>
              <w:t>3</w:t>
            </w:r>
            <w:r w:rsidRPr="00EA1BB2">
              <w:rPr>
                <w:rFonts w:ascii="Cambria" w:hAnsi="Cambria"/>
                <w:lang w:val="ro-RO"/>
              </w:rPr>
              <w:t>)</w:t>
            </w:r>
          </w:p>
        </w:tc>
        <w:tc>
          <w:tcPr>
            <w:tcW w:w="918" w:type="dxa"/>
            <w:vAlign w:val="center"/>
          </w:tcPr>
          <w:p w14:paraId="7FD22FBE"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anuală</w:t>
            </w:r>
          </w:p>
        </w:tc>
        <w:tc>
          <w:tcPr>
            <w:tcW w:w="1114" w:type="dxa"/>
          </w:tcPr>
          <w:p w14:paraId="3D7E8ABA"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0,005810</w:t>
            </w:r>
          </w:p>
        </w:tc>
        <w:tc>
          <w:tcPr>
            <w:tcW w:w="1114" w:type="dxa"/>
          </w:tcPr>
          <w:p w14:paraId="3A9CE167"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0,005332</w:t>
            </w:r>
          </w:p>
        </w:tc>
        <w:tc>
          <w:tcPr>
            <w:tcW w:w="1114" w:type="dxa"/>
          </w:tcPr>
          <w:p w14:paraId="2F801279"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0,008853</w:t>
            </w:r>
          </w:p>
        </w:tc>
        <w:tc>
          <w:tcPr>
            <w:tcW w:w="1114" w:type="dxa"/>
          </w:tcPr>
          <w:p w14:paraId="5F516E91"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0,006518</w:t>
            </w:r>
          </w:p>
        </w:tc>
        <w:tc>
          <w:tcPr>
            <w:tcW w:w="1258" w:type="dxa"/>
          </w:tcPr>
          <w:p w14:paraId="520B9CDF"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0,008851</w:t>
            </w:r>
          </w:p>
        </w:tc>
        <w:tc>
          <w:tcPr>
            <w:tcW w:w="696" w:type="dxa"/>
            <w:vAlign w:val="center"/>
          </w:tcPr>
          <w:p w14:paraId="228DFBF1"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0,5</w:t>
            </w:r>
          </w:p>
        </w:tc>
        <w:tc>
          <w:tcPr>
            <w:tcW w:w="952" w:type="dxa"/>
            <w:vAlign w:val="center"/>
          </w:tcPr>
          <w:p w14:paraId="3C0719BA"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0,35</w:t>
            </w:r>
          </w:p>
        </w:tc>
        <w:tc>
          <w:tcPr>
            <w:tcW w:w="935" w:type="dxa"/>
            <w:vAlign w:val="center"/>
          </w:tcPr>
          <w:p w14:paraId="7772D1DA"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0,25</w:t>
            </w:r>
          </w:p>
        </w:tc>
      </w:tr>
      <w:tr w:rsidR="00145BC7" w:rsidRPr="00EA1BB2" w14:paraId="0A09D837" w14:textId="77777777" w:rsidTr="001F2D02">
        <w:trPr>
          <w:jc w:val="center"/>
        </w:trPr>
        <w:tc>
          <w:tcPr>
            <w:tcW w:w="897" w:type="dxa"/>
            <w:vAlign w:val="center"/>
          </w:tcPr>
          <w:p w14:paraId="3F5A2949"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As</w:t>
            </w:r>
          </w:p>
        </w:tc>
        <w:tc>
          <w:tcPr>
            <w:tcW w:w="1080" w:type="dxa"/>
            <w:vAlign w:val="center"/>
          </w:tcPr>
          <w:p w14:paraId="00EEB4FB"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(ng/m</w:t>
            </w:r>
            <w:r w:rsidRPr="00EA1BB2">
              <w:rPr>
                <w:rFonts w:ascii="Cambria" w:hAnsi="Cambria"/>
                <w:bCs/>
                <w:vertAlign w:val="superscript"/>
                <w:lang w:val="ro-RO"/>
              </w:rPr>
              <w:t>3</w:t>
            </w:r>
            <w:r w:rsidRPr="00EA1BB2">
              <w:rPr>
                <w:rFonts w:ascii="Cambria" w:hAnsi="Cambria"/>
                <w:lang w:val="ro-RO"/>
              </w:rPr>
              <w:t>)</w:t>
            </w:r>
          </w:p>
        </w:tc>
        <w:tc>
          <w:tcPr>
            <w:tcW w:w="918" w:type="dxa"/>
            <w:vAlign w:val="center"/>
          </w:tcPr>
          <w:p w14:paraId="60A1C465"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anuală</w:t>
            </w:r>
          </w:p>
        </w:tc>
        <w:tc>
          <w:tcPr>
            <w:tcW w:w="1114" w:type="dxa"/>
          </w:tcPr>
          <w:p w14:paraId="38F82DE9"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0,685</w:t>
            </w:r>
          </w:p>
        </w:tc>
        <w:tc>
          <w:tcPr>
            <w:tcW w:w="1114" w:type="dxa"/>
          </w:tcPr>
          <w:p w14:paraId="24061312"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0,675</w:t>
            </w:r>
          </w:p>
        </w:tc>
        <w:tc>
          <w:tcPr>
            <w:tcW w:w="1114" w:type="dxa"/>
          </w:tcPr>
          <w:p w14:paraId="181661B3"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0,793</w:t>
            </w:r>
          </w:p>
        </w:tc>
        <w:tc>
          <w:tcPr>
            <w:tcW w:w="1114" w:type="dxa"/>
          </w:tcPr>
          <w:p w14:paraId="2DAEC06F"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0,688</w:t>
            </w:r>
          </w:p>
        </w:tc>
        <w:tc>
          <w:tcPr>
            <w:tcW w:w="1258" w:type="dxa"/>
          </w:tcPr>
          <w:p w14:paraId="241922D7"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0,793</w:t>
            </w:r>
          </w:p>
        </w:tc>
        <w:tc>
          <w:tcPr>
            <w:tcW w:w="696" w:type="dxa"/>
            <w:vAlign w:val="center"/>
          </w:tcPr>
          <w:p w14:paraId="735A54A4"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6</w:t>
            </w:r>
          </w:p>
        </w:tc>
        <w:tc>
          <w:tcPr>
            <w:tcW w:w="952" w:type="dxa"/>
            <w:vAlign w:val="center"/>
          </w:tcPr>
          <w:p w14:paraId="6B6DFCCE"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3,6</w:t>
            </w:r>
          </w:p>
        </w:tc>
        <w:tc>
          <w:tcPr>
            <w:tcW w:w="935" w:type="dxa"/>
            <w:vAlign w:val="center"/>
          </w:tcPr>
          <w:p w14:paraId="758853F5"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2,4</w:t>
            </w:r>
          </w:p>
        </w:tc>
      </w:tr>
      <w:tr w:rsidR="00145BC7" w:rsidRPr="00EA1BB2" w14:paraId="533DC808" w14:textId="77777777" w:rsidTr="001F2D02">
        <w:trPr>
          <w:jc w:val="center"/>
        </w:trPr>
        <w:tc>
          <w:tcPr>
            <w:tcW w:w="897" w:type="dxa"/>
            <w:vAlign w:val="center"/>
          </w:tcPr>
          <w:p w14:paraId="36B87359"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Cd</w:t>
            </w:r>
          </w:p>
        </w:tc>
        <w:tc>
          <w:tcPr>
            <w:tcW w:w="1080" w:type="dxa"/>
            <w:vAlign w:val="center"/>
          </w:tcPr>
          <w:p w14:paraId="5D2DEE1A"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(ng/m</w:t>
            </w:r>
            <w:r w:rsidRPr="00EA1BB2">
              <w:rPr>
                <w:rFonts w:ascii="Cambria" w:hAnsi="Cambria"/>
                <w:bCs/>
                <w:vertAlign w:val="superscript"/>
                <w:lang w:val="ro-RO"/>
              </w:rPr>
              <w:t>3</w:t>
            </w:r>
            <w:r w:rsidRPr="00EA1BB2">
              <w:rPr>
                <w:rFonts w:ascii="Cambria" w:hAnsi="Cambria"/>
                <w:lang w:val="ro-RO"/>
              </w:rPr>
              <w:t>)</w:t>
            </w:r>
          </w:p>
        </w:tc>
        <w:tc>
          <w:tcPr>
            <w:tcW w:w="918" w:type="dxa"/>
            <w:vAlign w:val="center"/>
          </w:tcPr>
          <w:p w14:paraId="4614544E"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anuală</w:t>
            </w:r>
          </w:p>
        </w:tc>
        <w:tc>
          <w:tcPr>
            <w:tcW w:w="1114" w:type="dxa"/>
          </w:tcPr>
          <w:p w14:paraId="14F30DA7"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0,246</w:t>
            </w:r>
          </w:p>
        </w:tc>
        <w:tc>
          <w:tcPr>
            <w:tcW w:w="1114" w:type="dxa"/>
          </w:tcPr>
          <w:p w14:paraId="4B5F86ED"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0,234</w:t>
            </w:r>
          </w:p>
        </w:tc>
        <w:tc>
          <w:tcPr>
            <w:tcW w:w="1114" w:type="dxa"/>
          </w:tcPr>
          <w:p w14:paraId="2AC801F9"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0,197</w:t>
            </w:r>
          </w:p>
        </w:tc>
        <w:tc>
          <w:tcPr>
            <w:tcW w:w="1114" w:type="dxa"/>
          </w:tcPr>
          <w:p w14:paraId="5600790F"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0,250</w:t>
            </w:r>
          </w:p>
        </w:tc>
        <w:tc>
          <w:tcPr>
            <w:tcW w:w="1258" w:type="dxa"/>
          </w:tcPr>
          <w:p w14:paraId="6B3118DA"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0,196</w:t>
            </w:r>
          </w:p>
        </w:tc>
        <w:tc>
          <w:tcPr>
            <w:tcW w:w="696" w:type="dxa"/>
            <w:vAlign w:val="center"/>
          </w:tcPr>
          <w:p w14:paraId="55934C52"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5</w:t>
            </w:r>
          </w:p>
        </w:tc>
        <w:tc>
          <w:tcPr>
            <w:tcW w:w="952" w:type="dxa"/>
            <w:vAlign w:val="center"/>
          </w:tcPr>
          <w:p w14:paraId="0EE3B9A3"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3</w:t>
            </w:r>
          </w:p>
        </w:tc>
        <w:tc>
          <w:tcPr>
            <w:tcW w:w="935" w:type="dxa"/>
            <w:vAlign w:val="center"/>
          </w:tcPr>
          <w:p w14:paraId="51555F81"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2</w:t>
            </w:r>
          </w:p>
        </w:tc>
      </w:tr>
      <w:tr w:rsidR="00CC62FC" w:rsidRPr="00EA1BB2" w14:paraId="261BE197" w14:textId="77777777" w:rsidTr="001F2D02">
        <w:trPr>
          <w:jc w:val="center"/>
        </w:trPr>
        <w:tc>
          <w:tcPr>
            <w:tcW w:w="897" w:type="dxa"/>
            <w:vAlign w:val="center"/>
          </w:tcPr>
          <w:p w14:paraId="042FB187" w14:textId="77777777" w:rsidR="00CC62FC" w:rsidRPr="00EA1BB2" w:rsidRDefault="00CC62FC" w:rsidP="00CC62FC">
            <w:pPr>
              <w:autoSpaceDE w:val="0"/>
              <w:autoSpaceDN w:val="0"/>
              <w:adjustRightInd w:val="0"/>
              <w:spacing w:line="360" w:lineRule="auto"/>
              <w:jc w:val="center"/>
              <w:rPr>
                <w:rFonts w:ascii="Cambria" w:hAnsi="Cambria"/>
                <w:lang w:val="ro-RO"/>
              </w:rPr>
            </w:pPr>
            <w:r w:rsidRPr="00EA1BB2">
              <w:rPr>
                <w:rFonts w:ascii="Cambria" w:hAnsi="Cambria"/>
                <w:lang w:val="ro-RO"/>
              </w:rPr>
              <w:t>SO</w:t>
            </w:r>
            <w:r w:rsidRPr="00EA1BB2">
              <w:rPr>
                <w:rFonts w:ascii="Cambria" w:hAnsi="Cambria"/>
                <w:vertAlign w:val="subscript"/>
                <w:lang w:val="ro-RO"/>
              </w:rPr>
              <w:t>2</w:t>
            </w:r>
          </w:p>
        </w:tc>
        <w:tc>
          <w:tcPr>
            <w:tcW w:w="1080" w:type="dxa"/>
            <w:vAlign w:val="center"/>
          </w:tcPr>
          <w:p w14:paraId="34BA3A9F" w14:textId="77777777" w:rsidR="00CC62FC" w:rsidRPr="00EA1BB2" w:rsidRDefault="00CC62FC" w:rsidP="00CC62FC">
            <w:pPr>
              <w:autoSpaceDE w:val="0"/>
              <w:autoSpaceDN w:val="0"/>
              <w:adjustRightInd w:val="0"/>
              <w:spacing w:line="360" w:lineRule="auto"/>
              <w:jc w:val="center"/>
              <w:rPr>
                <w:rFonts w:ascii="Cambria" w:hAnsi="Cambria"/>
                <w:lang w:val="ro-RO"/>
              </w:rPr>
            </w:pPr>
            <w:r w:rsidRPr="00EA1BB2">
              <w:rPr>
                <w:rFonts w:ascii="Cambria" w:hAnsi="Cambria"/>
                <w:lang w:val="ro-RO"/>
              </w:rPr>
              <w:t>(µg/m</w:t>
            </w:r>
            <w:r w:rsidRPr="00EA1BB2">
              <w:rPr>
                <w:rFonts w:ascii="Cambria" w:hAnsi="Cambria"/>
                <w:bCs/>
                <w:vertAlign w:val="superscript"/>
                <w:lang w:val="ro-RO"/>
              </w:rPr>
              <w:t>3</w:t>
            </w:r>
            <w:r w:rsidRPr="00EA1BB2">
              <w:rPr>
                <w:rFonts w:ascii="Cambria" w:hAnsi="Cambria"/>
                <w:lang w:val="ro-RO"/>
              </w:rPr>
              <w:t>)</w:t>
            </w:r>
          </w:p>
        </w:tc>
        <w:tc>
          <w:tcPr>
            <w:tcW w:w="918" w:type="dxa"/>
            <w:vAlign w:val="center"/>
          </w:tcPr>
          <w:p w14:paraId="6767B08A" w14:textId="77777777" w:rsidR="00CC62FC" w:rsidRPr="00EA1BB2" w:rsidRDefault="00CC62FC" w:rsidP="00CC62FC">
            <w:pPr>
              <w:autoSpaceDE w:val="0"/>
              <w:autoSpaceDN w:val="0"/>
              <w:adjustRightInd w:val="0"/>
              <w:spacing w:line="360" w:lineRule="auto"/>
              <w:jc w:val="center"/>
              <w:rPr>
                <w:rFonts w:ascii="Cambria" w:hAnsi="Cambria"/>
                <w:lang w:val="ro-RO"/>
              </w:rPr>
            </w:pPr>
            <w:r w:rsidRPr="00EA1BB2">
              <w:rPr>
                <w:rFonts w:ascii="Cambria" w:hAnsi="Cambria"/>
                <w:lang w:val="ro-RO"/>
              </w:rPr>
              <w:t>anuală</w:t>
            </w:r>
          </w:p>
        </w:tc>
        <w:tc>
          <w:tcPr>
            <w:tcW w:w="1114" w:type="dxa"/>
          </w:tcPr>
          <w:p w14:paraId="0FEC829D" w14:textId="77777777" w:rsidR="00CC62FC" w:rsidRPr="00EA1BB2" w:rsidRDefault="00CC62FC" w:rsidP="00CC62FC">
            <w:pPr>
              <w:autoSpaceDE w:val="0"/>
              <w:autoSpaceDN w:val="0"/>
              <w:adjustRightInd w:val="0"/>
              <w:spacing w:line="360" w:lineRule="auto"/>
              <w:jc w:val="center"/>
              <w:rPr>
                <w:rFonts w:ascii="Cambria" w:hAnsi="Cambria"/>
                <w:lang w:val="ro-RO"/>
              </w:rPr>
            </w:pPr>
            <w:r w:rsidRPr="00EA1BB2">
              <w:rPr>
                <w:rFonts w:ascii="Cambria" w:hAnsi="Cambria"/>
                <w:lang w:val="ro-RO"/>
              </w:rPr>
              <w:t>3,085</w:t>
            </w:r>
          </w:p>
        </w:tc>
        <w:tc>
          <w:tcPr>
            <w:tcW w:w="1114" w:type="dxa"/>
          </w:tcPr>
          <w:p w14:paraId="7F5B8AC3" w14:textId="77777777" w:rsidR="00CC62FC" w:rsidRPr="00EA1BB2" w:rsidRDefault="00CC62FC" w:rsidP="00CC62FC">
            <w:pPr>
              <w:autoSpaceDE w:val="0"/>
              <w:autoSpaceDN w:val="0"/>
              <w:adjustRightInd w:val="0"/>
              <w:spacing w:line="360" w:lineRule="auto"/>
              <w:jc w:val="center"/>
              <w:rPr>
                <w:rFonts w:ascii="Cambria" w:hAnsi="Cambria"/>
                <w:lang w:val="ro-RO"/>
              </w:rPr>
            </w:pPr>
            <w:r w:rsidRPr="00EA1BB2">
              <w:rPr>
                <w:rFonts w:ascii="Cambria" w:hAnsi="Cambria"/>
                <w:lang w:val="ro-RO"/>
              </w:rPr>
              <w:t>3,063</w:t>
            </w:r>
          </w:p>
        </w:tc>
        <w:tc>
          <w:tcPr>
            <w:tcW w:w="1114" w:type="dxa"/>
          </w:tcPr>
          <w:p w14:paraId="75E750D9" w14:textId="77777777" w:rsidR="00CC62FC" w:rsidRPr="00EA1BB2" w:rsidRDefault="00CC62FC" w:rsidP="006B3A27">
            <w:pPr>
              <w:autoSpaceDE w:val="0"/>
              <w:autoSpaceDN w:val="0"/>
              <w:adjustRightInd w:val="0"/>
              <w:spacing w:line="360" w:lineRule="auto"/>
              <w:jc w:val="center"/>
              <w:rPr>
                <w:rFonts w:ascii="Cambria" w:hAnsi="Cambria"/>
                <w:lang w:val="ro-RO"/>
              </w:rPr>
            </w:pPr>
            <w:r w:rsidRPr="00EA1BB2">
              <w:rPr>
                <w:rFonts w:ascii="Cambria" w:hAnsi="Cambria"/>
                <w:lang w:val="ro-RO"/>
              </w:rPr>
              <w:t>3,6</w:t>
            </w:r>
            <w:r w:rsidR="006B3A27" w:rsidRPr="00EA1BB2">
              <w:rPr>
                <w:rFonts w:ascii="Cambria" w:hAnsi="Cambria"/>
                <w:lang w:val="ro-RO"/>
              </w:rPr>
              <w:t>49</w:t>
            </w:r>
          </w:p>
        </w:tc>
        <w:tc>
          <w:tcPr>
            <w:tcW w:w="1114" w:type="dxa"/>
          </w:tcPr>
          <w:p w14:paraId="46159855" w14:textId="77777777" w:rsidR="00CC62FC" w:rsidRPr="00EA1BB2" w:rsidRDefault="00CC62FC" w:rsidP="00CC62FC">
            <w:pPr>
              <w:autoSpaceDE w:val="0"/>
              <w:autoSpaceDN w:val="0"/>
              <w:adjustRightInd w:val="0"/>
              <w:spacing w:line="360" w:lineRule="auto"/>
              <w:jc w:val="center"/>
              <w:rPr>
                <w:rFonts w:ascii="Cambria" w:hAnsi="Cambria"/>
                <w:lang w:val="ro-RO"/>
              </w:rPr>
            </w:pPr>
            <w:r w:rsidRPr="00EA1BB2">
              <w:rPr>
                <w:rFonts w:ascii="Cambria" w:hAnsi="Cambria"/>
                <w:lang w:val="ro-RO"/>
              </w:rPr>
              <w:t>3,083</w:t>
            </w:r>
          </w:p>
        </w:tc>
        <w:tc>
          <w:tcPr>
            <w:tcW w:w="1258" w:type="dxa"/>
          </w:tcPr>
          <w:p w14:paraId="4581C653" w14:textId="77777777" w:rsidR="00CC62FC" w:rsidRPr="00EA1BB2" w:rsidRDefault="00CC62FC" w:rsidP="00CC62FC">
            <w:pPr>
              <w:autoSpaceDE w:val="0"/>
              <w:autoSpaceDN w:val="0"/>
              <w:adjustRightInd w:val="0"/>
              <w:spacing w:line="360" w:lineRule="auto"/>
              <w:jc w:val="center"/>
              <w:rPr>
                <w:rFonts w:ascii="Cambria" w:hAnsi="Cambria"/>
                <w:lang w:val="ro-RO"/>
              </w:rPr>
            </w:pPr>
            <w:r w:rsidRPr="00EA1BB2">
              <w:rPr>
                <w:rFonts w:ascii="Cambria" w:hAnsi="Cambria"/>
                <w:lang w:val="ro-RO"/>
              </w:rPr>
              <w:t>3,650</w:t>
            </w:r>
          </w:p>
        </w:tc>
        <w:tc>
          <w:tcPr>
            <w:tcW w:w="696" w:type="dxa"/>
            <w:vAlign w:val="center"/>
          </w:tcPr>
          <w:p w14:paraId="1EA24901" w14:textId="77777777" w:rsidR="00CC62FC" w:rsidRPr="00EA1BB2" w:rsidRDefault="00CC62FC" w:rsidP="00CC62FC">
            <w:pPr>
              <w:autoSpaceDE w:val="0"/>
              <w:autoSpaceDN w:val="0"/>
              <w:adjustRightInd w:val="0"/>
              <w:spacing w:line="360" w:lineRule="auto"/>
              <w:jc w:val="center"/>
              <w:rPr>
                <w:rFonts w:ascii="Cambria" w:hAnsi="Cambria"/>
                <w:lang w:val="ro-RO"/>
              </w:rPr>
            </w:pPr>
            <w:r w:rsidRPr="00EA1BB2">
              <w:rPr>
                <w:rFonts w:ascii="Cambria" w:hAnsi="Cambria"/>
                <w:lang w:val="ro-RO"/>
              </w:rPr>
              <w:t>20*</w:t>
            </w:r>
          </w:p>
        </w:tc>
        <w:tc>
          <w:tcPr>
            <w:tcW w:w="952" w:type="dxa"/>
            <w:vAlign w:val="center"/>
          </w:tcPr>
          <w:p w14:paraId="52D75F96" w14:textId="77777777" w:rsidR="00CC62FC" w:rsidRPr="00EA1BB2" w:rsidRDefault="00CC62FC" w:rsidP="00CC62FC">
            <w:pPr>
              <w:autoSpaceDE w:val="0"/>
              <w:autoSpaceDN w:val="0"/>
              <w:adjustRightInd w:val="0"/>
              <w:spacing w:line="360" w:lineRule="auto"/>
              <w:jc w:val="center"/>
              <w:rPr>
                <w:rFonts w:ascii="Cambria" w:hAnsi="Cambria"/>
                <w:lang w:val="ro-RO"/>
              </w:rPr>
            </w:pPr>
            <w:r w:rsidRPr="00EA1BB2">
              <w:rPr>
                <w:rFonts w:ascii="Cambria" w:hAnsi="Cambria"/>
                <w:lang w:val="ro-RO"/>
              </w:rPr>
              <w:t>-</w:t>
            </w:r>
          </w:p>
        </w:tc>
        <w:tc>
          <w:tcPr>
            <w:tcW w:w="935" w:type="dxa"/>
            <w:vAlign w:val="center"/>
          </w:tcPr>
          <w:p w14:paraId="2B7AEE7C" w14:textId="77777777" w:rsidR="00CC62FC" w:rsidRPr="00EA1BB2" w:rsidRDefault="00CC62FC" w:rsidP="00CC62FC">
            <w:pPr>
              <w:autoSpaceDE w:val="0"/>
              <w:autoSpaceDN w:val="0"/>
              <w:adjustRightInd w:val="0"/>
              <w:spacing w:line="360" w:lineRule="auto"/>
              <w:jc w:val="center"/>
              <w:rPr>
                <w:rFonts w:ascii="Cambria" w:hAnsi="Cambria"/>
                <w:lang w:val="ro-RO"/>
              </w:rPr>
            </w:pPr>
            <w:r w:rsidRPr="00EA1BB2">
              <w:rPr>
                <w:rFonts w:ascii="Cambria" w:hAnsi="Cambria"/>
                <w:lang w:val="ro-RO"/>
              </w:rPr>
              <w:t>-</w:t>
            </w:r>
          </w:p>
        </w:tc>
      </w:tr>
    </w:tbl>
    <w:p w14:paraId="16AA2FD4" w14:textId="77777777" w:rsidR="00CC62FC" w:rsidRPr="00EA1BB2" w:rsidRDefault="00CC62FC" w:rsidP="00CC62FC">
      <w:pPr>
        <w:autoSpaceDE w:val="0"/>
        <w:autoSpaceDN w:val="0"/>
        <w:adjustRightInd w:val="0"/>
        <w:spacing w:line="276" w:lineRule="auto"/>
        <w:jc w:val="both"/>
        <w:rPr>
          <w:rFonts w:ascii="Cambria" w:hAnsi="Cambria"/>
          <w:szCs w:val="24"/>
        </w:rPr>
      </w:pPr>
      <w:r w:rsidRPr="00EA1BB2">
        <w:rPr>
          <w:rFonts w:ascii="Cambria" w:hAnsi="Cambria"/>
          <w:szCs w:val="24"/>
        </w:rPr>
        <w:t>*nivel critic pentru protecția vegetației</w:t>
      </w:r>
    </w:p>
    <w:p w14:paraId="19F9A6EB" w14:textId="77777777" w:rsidR="00C54A1C" w:rsidRPr="00EA1BB2" w:rsidRDefault="00C54A1C" w:rsidP="00F7366C">
      <w:pPr>
        <w:autoSpaceDE w:val="0"/>
        <w:autoSpaceDN w:val="0"/>
        <w:adjustRightInd w:val="0"/>
        <w:spacing w:line="360" w:lineRule="auto"/>
        <w:ind w:firstLine="708"/>
        <w:jc w:val="both"/>
        <w:rPr>
          <w:rFonts w:ascii="Cambria" w:hAnsi="Cambria"/>
          <w:sz w:val="24"/>
          <w:szCs w:val="24"/>
          <w:highlight w:val="yellow"/>
        </w:rPr>
      </w:pPr>
    </w:p>
    <w:p w14:paraId="1985431D" w14:textId="77777777" w:rsidR="00BA024F" w:rsidRPr="00EA1BB2" w:rsidRDefault="00BA024F" w:rsidP="00BA024F">
      <w:pPr>
        <w:autoSpaceDE w:val="0"/>
        <w:autoSpaceDN w:val="0"/>
        <w:adjustRightInd w:val="0"/>
        <w:spacing w:line="360" w:lineRule="auto"/>
        <w:ind w:firstLine="720"/>
        <w:jc w:val="both"/>
        <w:rPr>
          <w:rFonts w:ascii="Cambria" w:hAnsi="Cambria"/>
          <w:b/>
          <w:sz w:val="24"/>
          <w:szCs w:val="24"/>
        </w:rPr>
      </w:pPr>
      <w:r w:rsidRPr="00EA1BB2">
        <w:rPr>
          <w:rFonts w:ascii="Cambria" w:hAnsi="Cambria"/>
          <w:b/>
          <w:sz w:val="24"/>
          <w:szCs w:val="24"/>
        </w:rPr>
        <w:t>g) niveluri ale concentra</w:t>
      </w:r>
      <w:r w:rsidR="00054880" w:rsidRPr="00EA1BB2">
        <w:rPr>
          <w:rFonts w:ascii="Cambria" w:hAnsi="Cambria"/>
          <w:b/>
          <w:sz w:val="24"/>
          <w:szCs w:val="24"/>
        </w:rPr>
        <w:t>ț</w:t>
      </w:r>
      <w:r w:rsidRPr="00EA1BB2">
        <w:rPr>
          <w:rFonts w:ascii="Cambria" w:hAnsi="Cambria"/>
          <w:b/>
          <w:sz w:val="24"/>
          <w:szCs w:val="24"/>
        </w:rPr>
        <w:t>iei/concentra</w:t>
      </w:r>
      <w:r w:rsidR="00054880" w:rsidRPr="00EA1BB2">
        <w:rPr>
          <w:rFonts w:ascii="Cambria" w:hAnsi="Cambria"/>
          <w:b/>
          <w:sz w:val="24"/>
          <w:szCs w:val="24"/>
        </w:rPr>
        <w:t>ț</w:t>
      </w:r>
      <w:r w:rsidRPr="00EA1BB2">
        <w:rPr>
          <w:rFonts w:ascii="Cambria" w:hAnsi="Cambria"/>
          <w:b/>
          <w:sz w:val="24"/>
          <w:szCs w:val="24"/>
        </w:rPr>
        <w:t xml:space="preserve">iilor </w:t>
      </w:r>
      <w:r w:rsidR="00054880" w:rsidRPr="00EA1BB2">
        <w:rPr>
          <w:rFonts w:ascii="Cambria" w:hAnsi="Cambria"/>
          <w:b/>
          <w:sz w:val="24"/>
          <w:szCs w:val="24"/>
        </w:rPr>
        <w:t>ș</w:t>
      </w:r>
      <w:r w:rsidRPr="00EA1BB2">
        <w:rPr>
          <w:rFonts w:ascii="Cambria" w:hAnsi="Cambria"/>
          <w:b/>
          <w:sz w:val="24"/>
          <w:szCs w:val="24"/>
        </w:rPr>
        <w:t>i a numărului de depă</w:t>
      </w:r>
      <w:r w:rsidR="00054880" w:rsidRPr="00EA1BB2">
        <w:rPr>
          <w:rFonts w:ascii="Cambria" w:hAnsi="Cambria"/>
          <w:b/>
          <w:sz w:val="24"/>
          <w:szCs w:val="24"/>
        </w:rPr>
        <w:t>ș</w:t>
      </w:r>
      <w:r w:rsidRPr="00EA1BB2">
        <w:rPr>
          <w:rFonts w:ascii="Cambria" w:hAnsi="Cambria"/>
          <w:b/>
          <w:sz w:val="24"/>
          <w:szCs w:val="24"/>
        </w:rPr>
        <w:t xml:space="preserve">iri ale valorii-limită </w:t>
      </w:r>
      <w:r w:rsidR="00054880" w:rsidRPr="00EA1BB2">
        <w:rPr>
          <w:rFonts w:ascii="Cambria" w:hAnsi="Cambria"/>
          <w:b/>
          <w:sz w:val="24"/>
          <w:szCs w:val="24"/>
        </w:rPr>
        <w:t>ș</w:t>
      </w:r>
      <w:r w:rsidRPr="00EA1BB2">
        <w:rPr>
          <w:rFonts w:ascii="Cambria" w:hAnsi="Cambria"/>
          <w:b/>
          <w:sz w:val="24"/>
          <w:szCs w:val="24"/>
        </w:rPr>
        <w:t>i/sau valorii-</w:t>
      </w:r>
      <w:r w:rsidR="00054880" w:rsidRPr="00EA1BB2">
        <w:rPr>
          <w:rFonts w:ascii="Cambria" w:hAnsi="Cambria"/>
          <w:b/>
          <w:sz w:val="24"/>
          <w:szCs w:val="24"/>
        </w:rPr>
        <w:t>ț</w:t>
      </w:r>
      <w:r w:rsidRPr="00EA1BB2">
        <w:rPr>
          <w:rFonts w:ascii="Cambria" w:hAnsi="Cambria"/>
          <w:b/>
          <w:sz w:val="24"/>
          <w:szCs w:val="24"/>
        </w:rPr>
        <w:t>intă în anul de proiec</w:t>
      </w:r>
      <w:r w:rsidR="00054880" w:rsidRPr="00EA1BB2">
        <w:rPr>
          <w:rFonts w:ascii="Cambria" w:hAnsi="Cambria"/>
          <w:b/>
          <w:sz w:val="24"/>
          <w:szCs w:val="24"/>
        </w:rPr>
        <w:t>ț</w:t>
      </w:r>
      <w:r w:rsidRPr="00EA1BB2">
        <w:rPr>
          <w:rFonts w:ascii="Cambria" w:hAnsi="Cambria"/>
          <w:b/>
          <w:sz w:val="24"/>
          <w:szCs w:val="24"/>
        </w:rPr>
        <w:t>ie, acolo unde este posibil</w:t>
      </w:r>
    </w:p>
    <w:p w14:paraId="286C7CCA" w14:textId="77777777" w:rsidR="00C039ED" w:rsidRPr="00EA1BB2" w:rsidRDefault="00C039ED" w:rsidP="00C039ED">
      <w:pPr>
        <w:autoSpaceDE w:val="0"/>
        <w:autoSpaceDN w:val="0"/>
        <w:adjustRightInd w:val="0"/>
        <w:spacing w:line="360" w:lineRule="auto"/>
        <w:ind w:firstLine="708"/>
        <w:jc w:val="both"/>
        <w:rPr>
          <w:rFonts w:ascii="Cambria" w:hAnsi="Cambria"/>
          <w:sz w:val="24"/>
          <w:szCs w:val="24"/>
        </w:rPr>
      </w:pPr>
      <w:r w:rsidRPr="00EA1BB2">
        <w:rPr>
          <w:rFonts w:ascii="Cambria" w:hAnsi="Cambria"/>
          <w:sz w:val="24"/>
          <w:szCs w:val="24"/>
        </w:rPr>
        <w:t xml:space="preserve"> Conform rezultatelor obținute în urma calculelor realizate pentru determinarea concentrațiilor maxime orare/zilnice de poluanți în atmosferă, nu se înregistrează nicio depășire a valori</w:t>
      </w:r>
      <w:r w:rsidR="00C54A1C" w:rsidRPr="00EA1BB2">
        <w:rPr>
          <w:rFonts w:ascii="Cambria" w:hAnsi="Cambria"/>
          <w:sz w:val="24"/>
          <w:szCs w:val="24"/>
        </w:rPr>
        <w:t>i</w:t>
      </w:r>
      <w:r w:rsidR="00831372" w:rsidRPr="00EA1BB2">
        <w:rPr>
          <w:rFonts w:ascii="Cambria" w:hAnsi="Cambria"/>
          <w:sz w:val="24"/>
          <w:szCs w:val="24"/>
        </w:rPr>
        <w:t>-</w:t>
      </w:r>
      <w:r w:rsidRPr="00EA1BB2">
        <w:rPr>
          <w:rFonts w:ascii="Cambria" w:hAnsi="Cambria"/>
          <w:sz w:val="24"/>
          <w:szCs w:val="24"/>
        </w:rPr>
        <w:t>limită.</w:t>
      </w:r>
    </w:p>
    <w:p w14:paraId="64FC0F46" w14:textId="77777777" w:rsidR="00C039ED" w:rsidRPr="00EA1BB2" w:rsidRDefault="00C039ED" w:rsidP="00C039ED">
      <w:pPr>
        <w:autoSpaceDE w:val="0"/>
        <w:autoSpaceDN w:val="0"/>
        <w:adjustRightInd w:val="0"/>
        <w:spacing w:line="360" w:lineRule="auto"/>
        <w:jc w:val="both"/>
        <w:rPr>
          <w:rFonts w:ascii="Cambria" w:hAnsi="Cambria"/>
          <w:sz w:val="24"/>
          <w:szCs w:val="24"/>
        </w:rPr>
      </w:pPr>
    </w:p>
    <w:p w14:paraId="34E2CB9E" w14:textId="113712A8" w:rsidR="0095565D" w:rsidRPr="00EA1BB2" w:rsidRDefault="0095565D" w:rsidP="00C54A1C">
      <w:pPr>
        <w:keepNext/>
        <w:spacing w:line="360" w:lineRule="auto"/>
        <w:ind w:right="-144" w:firstLine="708"/>
        <w:jc w:val="both"/>
        <w:rPr>
          <w:rFonts w:ascii="Cambria" w:hAnsi="Cambria"/>
          <w:b/>
          <w:iCs/>
          <w:sz w:val="24"/>
          <w:szCs w:val="18"/>
        </w:rPr>
      </w:pPr>
      <w:bookmarkStart w:id="267" w:name="_Toc526889826"/>
      <w:r w:rsidRPr="00EA1BB2">
        <w:rPr>
          <w:rFonts w:ascii="Cambria" w:hAnsi="Cambria"/>
          <w:b/>
          <w:iCs/>
          <w:sz w:val="24"/>
          <w:szCs w:val="18"/>
        </w:rPr>
        <w:lastRenderedPageBreak/>
        <w:t xml:space="preserve">Tabelul nr. </w:t>
      </w:r>
      <w:r w:rsidR="000A2FE7" w:rsidRPr="00EA1BB2">
        <w:rPr>
          <w:rFonts w:ascii="Cambria" w:hAnsi="Cambria"/>
          <w:b/>
          <w:iCs/>
          <w:sz w:val="24"/>
          <w:szCs w:val="18"/>
        </w:rPr>
        <w:fldChar w:fldCharType="begin"/>
      </w:r>
      <w:r w:rsidR="000A2FE7" w:rsidRPr="00EA1BB2">
        <w:rPr>
          <w:rFonts w:ascii="Cambria" w:hAnsi="Cambria"/>
          <w:b/>
          <w:iCs/>
          <w:sz w:val="24"/>
          <w:szCs w:val="18"/>
        </w:rPr>
        <w:instrText xml:space="preserve"> STYLEREF 1 \s </w:instrText>
      </w:r>
      <w:r w:rsidR="000A2FE7" w:rsidRPr="00EA1BB2">
        <w:rPr>
          <w:rFonts w:ascii="Cambria" w:hAnsi="Cambria"/>
          <w:b/>
          <w:iCs/>
          <w:sz w:val="24"/>
          <w:szCs w:val="18"/>
        </w:rPr>
        <w:fldChar w:fldCharType="separate"/>
      </w:r>
      <w:r w:rsidR="00567555">
        <w:rPr>
          <w:rFonts w:ascii="Cambria" w:hAnsi="Cambria"/>
          <w:b/>
          <w:iCs/>
          <w:noProof/>
          <w:sz w:val="24"/>
          <w:szCs w:val="18"/>
        </w:rPr>
        <w:t>5</w:t>
      </w:r>
      <w:r w:rsidR="000A2FE7" w:rsidRPr="00EA1BB2">
        <w:rPr>
          <w:rFonts w:ascii="Cambria" w:hAnsi="Cambria"/>
          <w:b/>
          <w:iCs/>
          <w:sz w:val="24"/>
          <w:szCs w:val="18"/>
        </w:rPr>
        <w:fldChar w:fldCharType="end"/>
      </w:r>
      <w:r w:rsidR="000A2FE7" w:rsidRPr="00EA1BB2">
        <w:rPr>
          <w:rFonts w:ascii="Cambria" w:hAnsi="Cambria"/>
          <w:b/>
          <w:iCs/>
          <w:sz w:val="24"/>
          <w:szCs w:val="18"/>
        </w:rPr>
        <w:noBreakHyphen/>
      </w:r>
      <w:r w:rsidR="000A2FE7" w:rsidRPr="00EA1BB2">
        <w:rPr>
          <w:rFonts w:ascii="Cambria" w:hAnsi="Cambria"/>
          <w:b/>
          <w:iCs/>
          <w:sz w:val="24"/>
          <w:szCs w:val="18"/>
        </w:rPr>
        <w:fldChar w:fldCharType="begin"/>
      </w:r>
      <w:r w:rsidR="000A2FE7" w:rsidRPr="00EA1BB2">
        <w:rPr>
          <w:rFonts w:ascii="Cambria" w:hAnsi="Cambria"/>
          <w:b/>
          <w:iCs/>
          <w:sz w:val="24"/>
          <w:szCs w:val="18"/>
        </w:rPr>
        <w:instrText xml:space="preserve"> SEQ Tabelul_nr. \* ARABIC \s 1 </w:instrText>
      </w:r>
      <w:r w:rsidR="000A2FE7" w:rsidRPr="00EA1BB2">
        <w:rPr>
          <w:rFonts w:ascii="Cambria" w:hAnsi="Cambria"/>
          <w:b/>
          <w:iCs/>
          <w:sz w:val="24"/>
          <w:szCs w:val="18"/>
        </w:rPr>
        <w:fldChar w:fldCharType="separate"/>
      </w:r>
      <w:r w:rsidR="00567555">
        <w:rPr>
          <w:rFonts w:ascii="Cambria" w:hAnsi="Cambria"/>
          <w:b/>
          <w:iCs/>
          <w:noProof/>
          <w:sz w:val="24"/>
          <w:szCs w:val="18"/>
        </w:rPr>
        <w:t>9</w:t>
      </w:r>
      <w:r w:rsidR="000A2FE7" w:rsidRPr="00EA1BB2">
        <w:rPr>
          <w:rFonts w:ascii="Cambria" w:hAnsi="Cambria"/>
          <w:b/>
          <w:iCs/>
          <w:sz w:val="24"/>
          <w:szCs w:val="18"/>
        </w:rPr>
        <w:fldChar w:fldCharType="end"/>
      </w:r>
      <w:r w:rsidRPr="00EA1BB2">
        <w:rPr>
          <w:rFonts w:ascii="Cambria" w:hAnsi="Cambria"/>
          <w:b/>
          <w:iCs/>
          <w:sz w:val="24"/>
          <w:szCs w:val="18"/>
        </w:rPr>
        <w:t xml:space="preserve"> – Niveluri ale concentrației</w:t>
      </w:r>
      <w:r w:rsidR="00BD6076" w:rsidRPr="00EA1BB2">
        <w:rPr>
          <w:rFonts w:ascii="Cambria" w:hAnsi="Cambria"/>
          <w:b/>
          <w:iCs/>
          <w:sz w:val="24"/>
          <w:szCs w:val="18"/>
        </w:rPr>
        <w:t xml:space="preserve"> maxime </w:t>
      </w:r>
      <w:r w:rsidR="007A1D23" w:rsidRPr="00EA1BB2">
        <w:rPr>
          <w:rFonts w:ascii="Cambria" w:hAnsi="Cambria"/>
          <w:b/>
          <w:iCs/>
          <w:sz w:val="24"/>
          <w:szCs w:val="18"/>
        </w:rPr>
        <w:t xml:space="preserve">zilnice/orare </w:t>
      </w:r>
      <w:r w:rsidR="00BD6076" w:rsidRPr="00EA1BB2">
        <w:rPr>
          <w:rFonts w:ascii="Cambria" w:hAnsi="Cambria"/>
          <w:b/>
          <w:iCs/>
          <w:sz w:val="24"/>
          <w:szCs w:val="18"/>
        </w:rPr>
        <w:t>estimate</w:t>
      </w:r>
      <w:r w:rsidRPr="00EA1BB2">
        <w:rPr>
          <w:rFonts w:ascii="Cambria" w:hAnsi="Cambria"/>
          <w:b/>
          <w:iCs/>
          <w:sz w:val="24"/>
          <w:szCs w:val="18"/>
        </w:rPr>
        <w:t xml:space="preserve"> în anul de proiecție – scenariul B</w:t>
      </w:r>
      <w:bookmarkEnd w:id="267"/>
    </w:p>
    <w:tbl>
      <w:tblPr>
        <w:tblStyle w:val="TableGrid"/>
        <w:tblW w:w="10343" w:type="dxa"/>
        <w:jc w:val="center"/>
        <w:tblLook w:val="04A0" w:firstRow="1" w:lastRow="0" w:firstColumn="1" w:lastColumn="0" w:noHBand="0" w:noVBand="1"/>
      </w:tblPr>
      <w:tblGrid>
        <w:gridCol w:w="934"/>
        <w:gridCol w:w="1062"/>
        <w:gridCol w:w="891"/>
        <w:gridCol w:w="1042"/>
        <w:gridCol w:w="1042"/>
        <w:gridCol w:w="1042"/>
        <w:gridCol w:w="1042"/>
        <w:gridCol w:w="1042"/>
        <w:gridCol w:w="662"/>
        <w:gridCol w:w="793"/>
        <w:gridCol w:w="791"/>
      </w:tblGrid>
      <w:tr w:rsidR="00C54A1C" w:rsidRPr="00EA1BB2" w14:paraId="37419D16" w14:textId="77777777" w:rsidTr="007A1D23">
        <w:trPr>
          <w:trHeight w:val="420"/>
          <w:tblHeader/>
          <w:jc w:val="center"/>
        </w:trPr>
        <w:tc>
          <w:tcPr>
            <w:tcW w:w="991" w:type="dxa"/>
            <w:vMerge w:val="restart"/>
            <w:shd w:val="clear" w:color="auto" w:fill="BDD6EE" w:themeFill="accent1" w:themeFillTint="66"/>
            <w:vAlign w:val="center"/>
          </w:tcPr>
          <w:p w14:paraId="7BAA4868" w14:textId="77777777" w:rsidR="00C54A1C" w:rsidRPr="00EA1BB2" w:rsidRDefault="00C54A1C" w:rsidP="00DF5A5F">
            <w:pPr>
              <w:autoSpaceDE w:val="0"/>
              <w:autoSpaceDN w:val="0"/>
              <w:adjustRightInd w:val="0"/>
              <w:spacing w:line="360" w:lineRule="auto"/>
              <w:ind w:left="-110" w:right="-104"/>
              <w:jc w:val="center"/>
              <w:rPr>
                <w:rFonts w:ascii="Cambria" w:hAnsi="Cambria"/>
                <w:b/>
                <w:lang w:val="ro-RO"/>
              </w:rPr>
            </w:pPr>
            <w:r w:rsidRPr="00EA1BB2">
              <w:rPr>
                <w:rFonts w:ascii="Cambria" w:hAnsi="Cambria"/>
                <w:b/>
                <w:lang w:val="ro-RO"/>
              </w:rPr>
              <w:t>Poluant</w:t>
            </w:r>
          </w:p>
        </w:tc>
        <w:tc>
          <w:tcPr>
            <w:tcW w:w="1092" w:type="dxa"/>
            <w:vMerge w:val="restart"/>
            <w:shd w:val="clear" w:color="auto" w:fill="BDD6EE" w:themeFill="accent1" w:themeFillTint="66"/>
            <w:vAlign w:val="center"/>
          </w:tcPr>
          <w:p w14:paraId="4EA8C015" w14:textId="77777777" w:rsidR="00C54A1C" w:rsidRPr="00EA1BB2" w:rsidRDefault="00C54A1C" w:rsidP="002D7843">
            <w:pPr>
              <w:autoSpaceDE w:val="0"/>
              <w:autoSpaceDN w:val="0"/>
              <w:adjustRightInd w:val="0"/>
              <w:spacing w:line="360" w:lineRule="auto"/>
              <w:ind w:left="-126" w:right="-148" w:firstLine="9"/>
              <w:jc w:val="center"/>
              <w:rPr>
                <w:rFonts w:ascii="Cambria" w:hAnsi="Cambria"/>
                <w:b/>
                <w:lang w:val="ro-RO"/>
              </w:rPr>
            </w:pPr>
            <w:r w:rsidRPr="00EA1BB2">
              <w:rPr>
                <w:rFonts w:ascii="Cambria" w:hAnsi="Cambria"/>
                <w:b/>
                <w:lang w:val="ro-RO"/>
              </w:rPr>
              <w:t>Unitatea de măsură</w:t>
            </w:r>
          </w:p>
        </w:tc>
        <w:tc>
          <w:tcPr>
            <w:tcW w:w="918" w:type="dxa"/>
            <w:vMerge w:val="restart"/>
            <w:shd w:val="clear" w:color="auto" w:fill="BDD6EE" w:themeFill="accent1" w:themeFillTint="66"/>
            <w:vAlign w:val="center"/>
          </w:tcPr>
          <w:p w14:paraId="3ADDBAAC" w14:textId="77777777" w:rsidR="00C54A1C" w:rsidRPr="00EA1BB2" w:rsidRDefault="00C54A1C" w:rsidP="00DF5A5F">
            <w:pPr>
              <w:autoSpaceDE w:val="0"/>
              <w:autoSpaceDN w:val="0"/>
              <w:adjustRightInd w:val="0"/>
              <w:spacing w:line="360" w:lineRule="auto"/>
              <w:ind w:left="-213" w:right="-152"/>
              <w:jc w:val="center"/>
              <w:rPr>
                <w:rFonts w:ascii="Cambria" w:hAnsi="Cambria"/>
                <w:b/>
                <w:lang w:val="ro-RO"/>
              </w:rPr>
            </w:pPr>
            <w:r w:rsidRPr="00EA1BB2">
              <w:rPr>
                <w:rFonts w:ascii="Cambria" w:hAnsi="Cambria"/>
                <w:b/>
                <w:lang w:val="ro-RO"/>
              </w:rPr>
              <w:t>Perioada de mediere</w:t>
            </w:r>
          </w:p>
        </w:tc>
        <w:tc>
          <w:tcPr>
            <w:tcW w:w="5565" w:type="dxa"/>
            <w:gridSpan w:val="5"/>
            <w:shd w:val="clear" w:color="auto" w:fill="BDD6EE" w:themeFill="accent1" w:themeFillTint="66"/>
            <w:vAlign w:val="center"/>
          </w:tcPr>
          <w:p w14:paraId="674F388A" w14:textId="77777777" w:rsidR="00C54A1C" w:rsidRPr="00EA1BB2" w:rsidRDefault="00C54A1C" w:rsidP="00BD6076">
            <w:pPr>
              <w:autoSpaceDE w:val="0"/>
              <w:autoSpaceDN w:val="0"/>
              <w:adjustRightInd w:val="0"/>
              <w:spacing w:line="360" w:lineRule="auto"/>
              <w:jc w:val="center"/>
              <w:rPr>
                <w:rFonts w:ascii="Cambria" w:hAnsi="Cambria"/>
                <w:b/>
                <w:lang w:val="ro-RO"/>
              </w:rPr>
            </w:pPr>
            <w:r w:rsidRPr="00EA1BB2">
              <w:rPr>
                <w:rFonts w:ascii="Cambria" w:hAnsi="Cambria"/>
                <w:b/>
                <w:lang w:val="ro-RO"/>
              </w:rPr>
              <w:t xml:space="preserve">Valoare </w:t>
            </w:r>
            <w:r w:rsidR="00BD6076" w:rsidRPr="00EA1BB2">
              <w:rPr>
                <w:rFonts w:ascii="Cambria" w:hAnsi="Cambria"/>
                <w:b/>
                <w:lang w:val="ro-RO"/>
              </w:rPr>
              <w:t>estimată</w:t>
            </w:r>
          </w:p>
        </w:tc>
        <w:tc>
          <w:tcPr>
            <w:tcW w:w="695" w:type="dxa"/>
            <w:vMerge w:val="restart"/>
            <w:shd w:val="clear" w:color="auto" w:fill="BDD6EE" w:themeFill="accent1" w:themeFillTint="66"/>
            <w:vAlign w:val="center"/>
          </w:tcPr>
          <w:p w14:paraId="65390117" w14:textId="77777777" w:rsidR="00C54A1C" w:rsidRPr="00EA1BB2" w:rsidRDefault="00C54A1C" w:rsidP="00C54A1C">
            <w:pPr>
              <w:autoSpaceDE w:val="0"/>
              <w:autoSpaceDN w:val="0"/>
              <w:adjustRightInd w:val="0"/>
              <w:spacing w:line="360" w:lineRule="auto"/>
              <w:ind w:left="-173" w:right="-159"/>
              <w:jc w:val="center"/>
              <w:rPr>
                <w:rFonts w:ascii="Cambria" w:hAnsi="Cambria"/>
                <w:b/>
                <w:lang w:val="ro-RO"/>
              </w:rPr>
            </w:pPr>
            <w:r w:rsidRPr="00EA1BB2">
              <w:rPr>
                <w:rFonts w:ascii="Cambria" w:hAnsi="Cambria"/>
                <w:b/>
                <w:lang w:val="ro-RO"/>
              </w:rPr>
              <w:t>VL</w:t>
            </w:r>
          </w:p>
        </w:tc>
        <w:tc>
          <w:tcPr>
            <w:tcW w:w="837" w:type="dxa"/>
            <w:vMerge w:val="restart"/>
            <w:shd w:val="clear" w:color="auto" w:fill="BDD6EE" w:themeFill="accent1" w:themeFillTint="66"/>
            <w:vAlign w:val="center"/>
          </w:tcPr>
          <w:p w14:paraId="56EBABF7" w14:textId="77777777" w:rsidR="00C54A1C" w:rsidRPr="00EA1BB2" w:rsidRDefault="00C54A1C" w:rsidP="007A1D23">
            <w:pPr>
              <w:autoSpaceDE w:val="0"/>
              <w:autoSpaceDN w:val="0"/>
              <w:adjustRightInd w:val="0"/>
              <w:spacing w:line="360" w:lineRule="auto"/>
              <w:ind w:left="-166" w:right="-152"/>
              <w:jc w:val="center"/>
              <w:rPr>
                <w:rFonts w:ascii="Cambria" w:hAnsi="Cambria"/>
                <w:b/>
                <w:lang w:val="ro-RO"/>
              </w:rPr>
            </w:pPr>
            <w:r w:rsidRPr="00EA1BB2">
              <w:rPr>
                <w:rFonts w:ascii="Cambria" w:hAnsi="Cambria"/>
                <w:b/>
                <w:lang w:val="ro-RO"/>
              </w:rPr>
              <w:t>Valoare PSE</w:t>
            </w:r>
          </w:p>
        </w:tc>
        <w:tc>
          <w:tcPr>
            <w:tcW w:w="245" w:type="dxa"/>
            <w:vMerge w:val="restart"/>
            <w:shd w:val="clear" w:color="auto" w:fill="BDD6EE" w:themeFill="accent1" w:themeFillTint="66"/>
            <w:vAlign w:val="center"/>
          </w:tcPr>
          <w:p w14:paraId="2A31100D" w14:textId="77777777" w:rsidR="00C54A1C" w:rsidRPr="00EA1BB2" w:rsidRDefault="00C54A1C" w:rsidP="00DF5A5F">
            <w:pPr>
              <w:autoSpaceDE w:val="0"/>
              <w:autoSpaceDN w:val="0"/>
              <w:adjustRightInd w:val="0"/>
              <w:spacing w:line="360" w:lineRule="auto"/>
              <w:ind w:left="-68" w:right="-144"/>
              <w:jc w:val="center"/>
              <w:rPr>
                <w:rFonts w:ascii="Cambria" w:hAnsi="Cambria"/>
                <w:b/>
                <w:lang w:val="ro-RO"/>
              </w:rPr>
            </w:pPr>
            <w:r w:rsidRPr="00EA1BB2">
              <w:rPr>
                <w:rFonts w:ascii="Cambria" w:hAnsi="Cambria"/>
                <w:b/>
                <w:lang w:val="ro-RO"/>
              </w:rPr>
              <w:t>Valoare PIE</w:t>
            </w:r>
          </w:p>
        </w:tc>
      </w:tr>
      <w:tr w:rsidR="00C54A1C" w:rsidRPr="00EA1BB2" w14:paraId="6AA31EA7" w14:textId="77777777" w:rsidTr="007A1D23">
        <w:trPr>
          <w:trHeight w:val="420"/>
          <w:tblHeader/>
          <w:jc w:val="center"/>
        </w:trPr>
        <w:tc>
          <w:tcPr>
            <w:tcW w:w="991" w:type="dxa"/>
            <w:vMerge/>
            <w:shd w:val="clear" w:color="auto" w:fill="BDD6EE" w:themeFill="accent1" w:themeFillTint="66"/>
            <w:vAlign w:val="center"/>
          </w:tcPr>
          <w:p w14:paraId="6B343114" w14:textId="77777777" w:rsidR="00C54A1C" w:rsidRPr="00EA1BB2" w:rsidRDefault="00C54A1C" w:rsidP="00DF5A5F">
            <w:pPr>
              <w:autoSpaceDE w:val="0"/>
              <w:autoSpaceDN w:val="0"/>
              <w:adjustRightInd w:val="0"/>
              <w:spacing w:line="360" w:lineRule="auto"/>
              <w:jc w:val="center"/>
              <w:rPr>
                <w:rFonts w:ascii="Cambria" w:hAnsi="Cambria"/>
                <w:b/>
                <w:lang w:val="ro-RO"/>
              </w:rPr>
            </w:pPr>
          </w:p>
        </w:tc>
        <w:tc>
          <w:tcPr>
            <w:tcW w:w="1092" w:type="dxa"/>
            <w:vMerge/>
            <w:shd w:val="clear" w:color="auto" w:fill="BDD6EE" w:themeFill="accent1" w:themeFillTint="66"/>
            <w:vAlign w:val="center"/>
          </w:tcPr>
          <w:p w14:paraId="4C4BAF2C" w14:textId="77777777" w:rsidR="00C54A1C" w:rsidRPr="00EA1BB2" w:rsidRDefault="00C54A1C" w:rsidP="00DF5A5F">
            <w:pPr>
              <w:autoSpaceDE w:val="0"/>
              <w:autoSpaceDN w:val="0"/>
              <w:adjustRightInd w:val="0"/>
              <w:spacing w:line="360" w:lineRule="auto"/>
              <w:jc w:val="center"/>
              <w:rPr>
                <w:rFonts w:ascii="Cambria" w:hAnsi="Cambria"/>
                <w:b/>
                <w:lang w:val="ro-RO"/>
              </w:rPr>
            </w:pPr>
          </w:p>
        </w:tc>
        <w:tc>
          <w:tcPr>
            <w:tcW w:w="918" w:type="dxa"/>
            <w:vMerge/>
            <w:shd w:val="clear" w:color="auto" w:fill="BDD6EE" w:themeFill="accent1" w:themeFillTint="66"/>
            <w:vAlign w:val="center"/>
          </w:tcPr>
          <w:p w14:paraId="0E8BFBD6" w14:textId="77777777" w:rsidR="00C54A1C" w:rsidRPr="00EA1BB2" w:rsidRDefault="00C54A1C" w:rsidP="00DF5A5F">
            <w:pPr>
              <w:autoSpaceDE w:val="0"/>
              <w:autoSpaceDN w:val="0"/>
              <w:adjustRightInd w:val="0"/>
              <w:spacing w:line="360" w:lineRule="auto"/>
              <w:jc w:val="center"/>
              <w:rPr>
                <w:rFonts w:ascii="Cambria" w:hAnsi="Cambria"/>
                <w:b/>
                <w:lang w:val="ro-RO"/>
              </w:rPr>
            </w:pPr>
          </w:p>
        </w:tc>
        <w:tc>
          <w:tcPr>
            <w:tcW w:w="1113" w:type="dxa"/>
            <w:shd w:val="clear" w:color="auto" w:fill="BDD6EE" w:themeFill="accent1" w:themeFillTint="66"/>
            <w:vAlign w:val="center"/>
          </w:tcPr>
          <w:p w14:paraId="2B48F3D8" w14:textId="77777777" w:rsidR="00C54A1C" w:rsidRPr="00EA1BB2" w:rsidRDefault="00C54A1C" w:rsidP="00DF5A5F">
            <w:pPr>
              <w:autoSpaceDE w:val="0"/>
              <w:autoSpaceDN w:val="0"/>
              <w:adjustRightInd w:val="0"/>
              <w:spacing w:line="360" w:lineRule="auto"/>
              <w:jc w:val="center"/>
              <w:rPr>
                <w:rFonts w:ascii="Cambria" w:hAnsi="Cambria"/>
                <w:b/>
                <w:lang w:val="ro-RO"/>
              </w:rPr>
            </w:pPr>
            <w:r w:rsidRPr="00EA1BB2">
              <w:rPr>
                <w:rFonts w:ascii="Cambria" w:eastAsia="Times New Roman" w:hAnsi="Cambria" w:cs="Times New Roman"/>
                <w:b/>
                <w:lang w:val="ro-RO"/>
              </w:rPr>
              <w:t>BR1</w:t>
            </w:r>
          </w:p>
        </w:tc>
        <w:tc>
          <w:tcPr>
            <w:tcW w:w="1113" w:type="dxa"/>
            <w:shd w:val="clear" w:color="auto" w:fill="BDD6EE" w:themeFill="accent1" w:themeFillTint="66"/>
            <w:vAlign w:val="center"/>
          </w:tcPr>
          <w:p w14:paraId="28BF7AAA" w14:textId="77777777" w:rsidR="00C54A1C" w:rsidRPr="00EA1BB2" w:rsidRDefault="00C54A1C" w:rsidP="00DF5A5F">
            <w:pPr>
              <w:autoSpaceDE w:val="0"/>
              <w:autoSpaceDN w:val="0"/>
              <w:adjustRightInd w:val="0"/>
              <w:spacing w:line="360" w:lineRule="auto"/>
              <w:jc w:val="center"/>
              <w:rPr>
                <w:rFonts w:ascii="Cambria" w:hAnsi="Cambria"/>
                <w:b/>
                <w:lang w:val="ro-RO"/>
              </w:rPr>
            </w:pPr>
            <w:r w:rsidRPr="00EA1BB2">
              <w:rPr>
                <w:rFonts w:ascii="Cambria" w:eastAsia="Times New Roman" w:hAnsi="Cambria" w:cs="Times New Roman"/>
                <w:b/>
                <w:lang w:val="ro-RO"/>
              </w:rPr>
              <w:t>BR2</w:t>
            </w:r>
          </w:p>
        </w:tc>
        <w:tc>
          <w:tcPr>
            <w:tcW w:w="1113" w:type="dxa"/>
            <w:shd w:val="clear" w:color="auto" w:fill="BDD6EE" w:themeFill="accent1" w:themeFillTint="66"/>
            <w:vAlign w:val="center"/>
          </w:tcPr>
          <w:p w14:paraId="54D19363" w14:textId="77777777" w:rsidR="00C54A1C" w:rsidRPr="00EA1BB2" w:rsidRDefault="00C54A1C" w:rsidP="00DF5A5F">
            <w:pPr>
              <w:autoSpaceDE w:val="0"/>
              <w:autoSpaceDN w:val="0"/>
              <w:adjustRightInd w:val="0"/>
              <w:spacing w:line="360" w:lineRule="auto"/>
              <w:jc w:val="center"/>
              <w:rPr>
                <w:rFonts w:ascii="Cambria" w:hAnsi="Cambria"/>
                <w:b/>
                <w:lang w:val="ro-RO"/>
              </w:rPr>
            </w:pPr>
            <w:r w:rsidRPr="00EA1BB2">
              <w:rPr>
                <w:rFonts w:ascii="Cambria" w:eastAsia="Times New Roman" w:hAnsi="Cambria" w:cs="Times New Roman"/>
                <w:b/>
                <w:lang w:val="ro-RO"/>
              </w:rPr>
              <w:t>BR3</w:t>
            </w:r>
          </w:p>
        </w:tc>
        <w:tc>
          <w:tcPr>
            <w:tcW w:w="1113" w:type="dxa"/>
            <w:shd w:val="clear" w:color="auto" w:fill="BDD6EE" w:themeFill="accent1" w:themeFillTint="66"/>
            <w:vAlign w:val="center"/>
          </w:tcPr>
          <w:p w14:paraId="07102FAF" w14:textId="77777777" w:rsidR="00C54A1C" w:rsidRPr="00EA1BB2" w:rsidRDefault="00C54A1C" w:rsidP="00DF5A5F">
            <w:pPr>
              <w:autoSpaceDE w:val="0"/>
              <w:autoSpaceDN w:val="0"/>
              <w:adjustRightInd w:val="0"/>
              <w:spacing w:line="360" w:lineRule="auto"/>
              <w:jc w:val="center"/>
              <w:rPr>
                <w:rFonts w:ascii="Cambria" w:hAnsi="Cambria"/>
                <w:b/>
                <w:lang w:val="ro-RO"/>
              </w:rPr>
            </w:pPr>
            <w:r w:rsidRPr="00EA1BB2">
              <w:rPr>
                <w:rFonts w:ascii="Cambria" w:eastAsia="Times New Roman" w:hAnsi="Cambria" w:cs="Times New Roman"/>
                <w:b/>
                <w:lang w:val="ro-RO"/>
              </w:rPr>
              <w:t>BR4</w:t>
            </w:r>
          </w:p>
        </w:tc>
        <w:tc>
          <w:tcPr>
            <w:tcW w:w="1113" w:type="dxa"/>
            <w:shd w:val="clear" w:color="auto" w:fill="BDD6EE" w:themeFill="accent1" w:themeFillTint="66"/>
            <w:vAlign w:val="center"/>
          </w:tcPr>
          <w:p w14:paraId="13020393" w14:textId="77777777" w:rsidR="00C54A1C" w:rsidRPr="00EA1BB2" w:rsidRDefault="00C54A1C" w:rsidP="00DF5A5F">
            <w:pPr>
              <w:autoSpaceDE w:val="0"/>
              <w:autoSpaceDN w:val="0"/>
              <w:adjustRightInd w:val="0"/>
              <w:spacing w:line="360" w:lineRule="auto"/>
              <w:jc w:val="center"/>
              <w:rPr>
                <w:rFonts w:ascii="Cambria" w:hAnsi="Cambria"/>
                <w:b/>
                <w:lang w:val="ro-RO"/>
              </w:rPr>
            </w:pPr>
            <w:r w:rsidRPr="00EA1BB2">
              <w:rPr>
                <w:rFonts w:ascii="Cambria" w:eastAsia="Times New Roman" w:hAnsi="Cambria" w:cs="Times New Roman"/>
                <w:b/>
                <w:lang w:val="ro-RO"/>
              </w:rPr>
              <w:t>BR5</w:t>
            </w:r>
          </w:p>
        </w:tc>
        <w:tc>
          <w:tcPr>
            <w:tcW w:w="695" w:type="dxa"/>
            <w:vMerge/>
            <w:shd w:val="clear" w:color="auto" w:fill="BDD6EE" w:themeFill="accent1" w:themeFillTint="66"/>
            <w:vAlign w:val="center"/>
          </w:tcPr>
          <w:p w14:paraId="4F4FDE51" w14:textId="77777777" w:rsidR="00C54A1C" w:rsidRPr="00EA1BB2" w:rsidRDefault="00C54A1C" w:rsidP="00DF5A5F">
            <w:pPr>
              <w:autoSpaceDE w:val="0"/>
              <w:autoSpaceDN w:val="0"/>
              <w:adjustRightInd w:val="0"/>
              <w:spacing w:line="360" w:lineRule="auto"/>
              <w:jc w:val="center"/>
              <w:rPr>
                <w:rFonts w:ascii="Cambria" w:hAnsi="Cambria"/>
                <w:b/>
                <w:lang w:val="ro-RO"/>
              </w:rPr>
            </w:pPr>
          </w:p>
        </w:tc>
        <w:tc>
          <w:tcPr>
            <w:tcW w:w="837" w:type="dxa"/>
            <w:vMerge/>
            <w:shd w:val="clear" w:color="auto" w:fill="BDD6EE" w:themeFill="accent1" w:themeFillTint="66"/>
            <w:vAlign w:val="center"/>
          </w:tcPr>
          <w:p w14:paraId="4610A0F1" w14:textId="77777777" w:rsidR="00C54A1C" w:rsidRPr="00EA1BB2" w:rsidRDefault="00C54A1C" w:rsidP="00DF5A5F">
            <w:pPr>
              <w:autoSpaceDE w:val="0"/>
              <w:autoSpaceDN w:val="0"/>
              <w:adjustRightInd w:val="0"/>
              <w:spacing w:line="360" w:lineRule="auto"/>
              <w:jc w:val="center"/>
              <w:rPr>
                <w:rFonts w:ascii="Cambria" w:hAnsi="Cambria"/>
                <w:b/>
                <w:lang w:val="ro-RO"/>
              </w:rPr>
            </w:pPr>
          </w:p>
        </w:tc>
        <w:tc>
          <w:tcPr>
            <w:tcW w:w="245" w:type="dxa"/>
            <w:vMerge/>
            <w:shd w:val="clear" w:color="auto" w:fill="BDD6EE" w:themeFill="accent1" w:themeFillTint="66"/>
            <w:vAlign w:val="center"/>
          </w:tcPr>
          <w:p w14:paraId="06FB1D63" w14:textId="77777777" w:rsidR="00C54A1C" w:rsidRPr="00EA1BB2" w:rsidRDefault="00C54A1C" w:rsidP="00DF5A5F">
            <w:pPr>
              <w:autoSpaceDE w:val="0"/>
              <w:autoSpaceDN w:val="0"/>
              <w:adjustRightInd w:val="0"/>
              <w:spacing w:line="360" w:lineRule="auto"/>
              <w:jc w:val="center"/>
              <w:rPr>
                <w:rFonts w:ascii="Cambria" w:hAnsi="Cambria"/>
                <w:b/>
                <w:lang w:val="ro-RO"/>
              </w:rPr>
            </w:pPr>
          </w:p>
        </w:tc>
      </w:tr>
      <w:tr w:rsidR="00145BC7" w:rsidRPr="00EA1BB2" w14:paraId="51CAB43A" w14:textId="77777777" w:rsidTr="007A1D23">
        <w:trPr>
          <w:jc w:val="center"/>
        </w:trPr>
        <w:tc>
          <w:tcPr>
            <w:tcW w:w="991" w:type="dxa"/>
            <w:vAlign w:val="center"/>
          </w:tcPr>
          <w:p w14:paraId="0EDBD5A5"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NO</w:t>
            </w:r>
            <w:r w:rsidRPr="00EA1BB2">
              <w:rPr>
                <w:rFonts w:ascii="Cambria" w:hAnsi="Cambria"/>
                <w:vertAlign w:val="subscript"/>
                <w:lang w:val="ro-RO"/>
              </w:rPr>
              <w:t>2</w:t>
            </w:r>
          </w:p>
        </w:tc>
        <w:tc>
          <w:tcPr>
            <w:tcW w:w="1092" w:type="dxa"/>
            <w:vAlign w:val="center"/>
          </w:tcPr>
          <w:p w14:paraId="229FE0C7"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(µg/m</w:t>
            </w:r>
            <w:r w:rsidRPr="00EA1BB2">
              <w:rPr>
                <w:rFonts w:ascii="Cambria" w:hAnsi="Cambria"/>
                <w:bCs/>
                <w:vertAlign w:val="superscript"/>
                <w:lang w:val="ro-RO"/>
              </w:rPr>
              <w:t>3</w:t>
            </w:r>
            <w:r w:rsidRPr="00EA1BB2">
              <w:rPr>
                <w:rFonts w:ascii="Cambria" w:hAnsi="Cambria"/>
                <w:lang w:val="ro-RO"/>
              </w:rPr>
              <w:t>)</w:t>
            </w:r>
          </w:p>
        </w:tc>
        <w:tc>
          <w:tcPr>
            <w:tcW w:w="918" w:type="dxa"/>
            <w:vAlign w:val="center"/>
          </w:tcPr>
          <w:p w14:paraId="6A7EF0DB"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orară</w:t>
            </w:r>
          </w:p>
        </w:tc>
        <w:tc>
          <w:tcPr>
            <w:tcW w:w="1113" w:type="dxa"/>
          </w:tcPr>
          <w:p w14:paraId="22EAF51A"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w:t>
            </w:r>
          </w:p>
        </w:tc>
        <w:tc>
          <w:tcPr>
            <w:tcW w:w="1113" w:type="dxa"/>
          </w:tcPr>
          <w:p w14:paraId="2AC99D5F"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w:t>
            </w:r>
          </w:p>
        </w:tc>
        <w:tc>
          <w:tcPr>
            <w:tcW w:w="1113" w:type="dxa"/>
          </w:tcPr>
          <w:p w14:paraId="13A6FE76"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0,634</w:t>
            </w:r>
          </w:p>
        </w:tc>
        <w:tc>
          <w:tcPr>
            <w:tcW w:w="1113" w:type="dxa"/>
          </w:tcPr>
          <w:p w14:paraId="087CAA25"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w:t>
            </w:r>
          </w:p>
        </w:tc>
        <w:tc>
          <w:tcPr>
            <w:tcW w:w="1113" w:type="dxa"/>
          </w:tcPr>
          <w:p w14:paraId="3198068A"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14,069</w:t>
            </w:r>
          </w:p>
        </w:tc>
        <w:tc>
          <w:tcPr>
            <w:tcW w:w="695" w:type="dxa"/>
            <w:vAlign w:val="center"/>
          </w:tcPr>
          <w:p w14:paraId="303F9F58"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200</w:t>
            </w:r>
          </w:p>
        </w:tc>
        <w:tc>
          <w:tcPr>
            <w:tcW w:w="837" w:type="dxa"/>
            <w:vAlign w:val="center"/>
          </w:tcPr>
          <w:p w14:paraId="13D0CA30"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140</w:t>
            </w:r>
          </w:p>
        </w:tc>
        <w:tc>
          <w:tcPr>
            <w:tcW w:w="245" w:type="dxa"/>
            <w:vAlign w:val="center"/>
          </w:tcPr>
          <w:p w14:paraId="4BE95766"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100</w:t>
            </w:r>
          </w:p>
        </w:tc>
      </w:tr>
      <w:tr w:rsidR="00145BC7" w:rsidRPr="00EA1BB2" w14:paraId="600F64BC" w14:textId="77777777" w:rsidTr="007A1D23">
        <w:trPr>
          <w:trHeight w:val="409"/>
          <w:jc w:val="center"/>
        </w:trPr>
        <w:tc>
          <w:tcPr>
            <w:tcW w:w="991" w:type="dxa"/>
            <w:vAlign w:val="center"/>
          </w:tcPr>
          <w:p w14:paraId="6870FC8B"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PM</w:t>
            </w:r>
            <w:r w:rsidRPr="00EA1BB2">
              <w:rPr>
                <w:rFonts w:ascii="Cambria" w:hAnsi="Cambria"/>
                <w:vertAlign w:val="subscript"/>
                <w:lang w:val="ro-RO"/>
              </w:rPr>
              <w:t>10</w:t>
            </w:r>
          </w:p>
        </w:tc>
        <w:tc>
          <w:tcPr>
            <w:tcW w:w="1092" w:type="dxa"/>
            <w:vAlign w:val="center"/>
          </w:tcPr>
          <w:p w14:paraId="51955AC7"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(µg/m</w:t>
            </w:r>
            <w:r w:rsidRPr="00EA1BB2">
              <w:rPr>
                <w:rFonts w:ascii="Cambria" w:hAnsi="Cambria"/>
                <w:bCs/>
                <w:vertAlign w:val="superscript"/>
                <w:lang w:val="ro-RO"/>
              </w:rPr>
              <w:t>3</w:t>
            </w:r>
            <w:r w:rsidRPr="00EA1BB2">
              <w:rPr>
                <w:rFonts w:ascii="Cambria" w:hAnsi="Cambria"/>
                <w:lang w:val="ro-RO"/>
              </w:rPr>
              <w:t>)</w:t>
            </w:r>
          </w:p>
        </w:tc>
        <w:tc>
          <w:tcPr>
            <w:tcW w:w="918" w:type="dxa"/>
            <w:vAlign w:val="center"/>
          </w:tcPr>
          <w:p w14:paraId="69C86EEA"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zilnică</w:t>
            </w:r>
          </w:p>
        </w:tc>
        <w:tc>
          <w:tcPr>
            <w:tcW w:w="1113" w:type="dxa"/>
          </w:tcPr>
          <w:p w14:paraId="4953F30E"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22,109</w:t>
            </w:r>
          </w:p>
        </w:tc>
        <w:tc>
          <w:tcPr>
            <w:tcW w:w="1113" w:type="dxa"/>
          </w:tcPr>
          <w:p w14:paraId="34A03714"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22,019</w:t>
            </w:r>
          </w:p>
        </w:tc>
        <w:tc>
          <w:tcPr>
            <w:tcW w:w="1113" w:type="dxa"/>
          </w:tcPr>
          <w:p w14:paraId="016DCFB0"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22,249</w:t>
            </w:r>
          </w:p>
        </w:tc>
        <w:tc>
          <w:tcPr>
            <w:tcW w:w="1113" w:type="dxa"/>
          </w:tcPr>
          <w:p w14:paraId="6CC5491C"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22,110</w:t>
            </w:r>
          </w:p>
        </w:tc>
        <w:tc>
          <w:tcPr>
            <w:tcW w:w="1113" w:type="dxa"/>
          </w:tcPr>
          <w:p w14:paraId="67929D86"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21,880</w:t>
            </w:r>
          </w:p>
        </w:tc>
        <w:tc>
          <w:tcPr>
            <w:tcW w:w="695" w:type="dxa"/>
            <w:vAlign w:val="center"/>
          </w:tcPr>
          <w:p w14:paraId="7EB207B3"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50</w:t>
            </w:r>
          </w:p>
        </w:tc>
        <w:tc>
          <w:tcPr>
            <w:tcW w:w="837" w:type="dxa"/>
            <w:vAlign w:val="center"/>
          </w:tcPr>
          <w:p w14:paraId="0EDE5F0F"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35</w:t>
            </w:r>
          </w:p>
        </w:tc>
        <w:tc>
          <w:tcPr>
            <w:tcW w:w="245" w:type="dxa"/>
            <w:vAlign w:val="center"/>
          </w:tcPr>
          <w:p w14:paraId="03F16DD6"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28</w:t>
            </w:r>
          </w:p>
        </w:tc>
      </w:tr>
      <w:tr w:rsidR="00145BC7" w:rsidRPr="00EA1BB2" w14:paraId="7808D9ED" w14:textId="77777777" w:rsidTr="007A1D23">
        <w:trPr>
          <w:jc w:val="center"/>
        </w:trPr>
        <w:tc>
          <w:tcPr>
            <w:tcW w:w="991" w:type="dxa"/>
            <w:vMerge w:val="restart"/>
            <w:vAlign w:val="center"/>
          </w:tcPr>
          <w:p w14:paraId="499870C4"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SO</w:t>
            </w:r>
            <w:r w:rsidRPr="00EA1BB2">
              <w:rPr>
                <w:rFonts w:ascii="Cambria" w:hAnsi="Cambria"/>
                <w:vertAlign w:val="subscript"/>
                <w:lang w:val="ro-RO"/>
              </w:rPr>
              <w:t>2</w:t>
            </w:r>
          </w:p>
        </w:tc>
        <w:tc>
          <w:tcPr>
            <w:tcW w:w="1092" w:type="dxa"/>
            <w:vMerge w:val="restart"/>
            <w:vAlign w:val="center"/>
          </w:tcPr>
          <w:p w14:paraId="782ADB54"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(µg/m</w:t>
            </w:r>
            <w:r w:rsidRPr="00EA1BB2">
              <w:rPr>
                <w:rFonts w:ascii="Cambria" w:hAnsi="Cambria"/>
                <w:bCs/>
                <w:vertAlign w:val="superscript"/>
                <w:lang w:val="ro-RO"/>
              </w:rPr>
              <w:t>3</w:t>
            </w:r>
            <w:r w:rsidRPr="00EA1BB2">
              <w:rPr>
                <w:rFonts w:ascii="Cambria" w:hAnsi="Cambria"/>
                <w:lang w:val="ro-RO"/>
              </w:rPr>
              <w:t>)</w:t>
            </w:r>
          </w:p>
        </w:tc>
        <w:tc>
          <w:tcPr>
            <w:tcW w:w="918" w:type="dxa"/>
            <w:vAlign w:val="center"/>
          </w:tcPr>
          <w:p w14:paraId="1F2D1456"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orară</w:t>
            </w:r>
          </w:p>
        </w:tc>
        <w:tc>
          <w:tcPr>
            <w:tcW w:w="1113" w:type="dxa"/>
          </w:tcPr>
          <w:p w14:paraId="1F71F399"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3,192</w:t>
            </w:r>
          </w:p>
        </w:tc>
        <w:tc>
          <w:tcPr>
            <w:tcW w:w="1113" w:type="dxa"/>
          </w:tcPr>
          <w:p w14:paraId="719AEB94"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3,131</w:t>
            </w:r>
          </w:p>
        </w:tc>
        <w:tc>
          <w:tcPr>
            <w:tcW w:w="1113" w:type="dxa"/>
          </w:tcPr>
          <w:p w14:paraId="5F4C730B"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3,657</w:t>
            </w:r>
          </w:p>
        </w:tc>
        <w:tc>
          <w:tcPr>
            <w:tcW w:w="1113" w:type="dxa"/>
          </w:tcPr>
          <w:p w14:paraId="12E64497"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3,315</w:t>
            </w:r>
          </w:p>
        </w:tc>
        <w:tc>
          <w:tcPr>
            <w:tcW w:w="1113" w:type="dxa"/>
          </w:tcPr>
          <w:p w14:paraId="26E2154C"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3,671</w:t>
            </w:r>
          </w:p>
        </w:tc>
        <w:tc>
          <w:tcPr>
            <w:tcW w:w="695" w:type="dxa"/>
            <w:vAlign w:val="center"/>
          </w:tcPr>
          <w:p w14:paraId="4A57C02D"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350</w:t>
            </w:r>
          </w:p>
        </w:tc>
        <w:tc>
          <w:tcPr>
            <w:tcW w:w="837" w:type="dxa"/>
            <w:vAlign w:val="center"/>
          </w:tcPr>
          <w:p w14:paraId="237467B3" w14:textId="77777777" w:rsidR="00145BC7" w:rsidRPr="00EA1BB2" w:rsidRDefault="00145BC7" w:rsidP="00145BC7">
            <w:pPr>
              <w:autoSpaceDE w:val="0"/>
              <w:autoSpaceDN w:val="0"/>
              <w:adjustRightInd w:val="0"/>
              <w:spacing w:line="360" w:lineRule="auto"/>
              <w:jc w:val="center"/>
              <w:rPr>
                <w:rFonts w:ascii="Cambria" w:hAnsi="Cambria"/>
                <w:lang w:val="ro-RO"/>
              </w:rPr>
            </w:pPr>
          </w:p>
        </w:tc>
        <w:tc>
          <w:tcPr>
            <w:tcW w:w="245" w:type="dxa"/>
            <w:vAlign w:val="center"/>
          </w:tcPr>
          <w:p w14:paraId="43BB0057" w14:textId="77777777" w:rsidR="00145BC7" w:rsidRPr="00EA1BB2" w:rsidRDefault="00145BC7" w:rsidP="00145BC7">
            <w:pPr>
              <w:autoSpaceDE w:val="0"/>
              <w:autoSpaceDN w:val="0"/>
              <w:adjustRightInd w:val="0"/>
              <w:spacing w:line="360" w:lineRule="auto"/>
              <w:jc w:val="center"/>
              <w:rPr>
                <w:rFonts w:ascii="Cambria" w:hAnsi="Cambria"/>
                <w:lang w:val="ro-RO"/>
              </w:rPr>
            </w:pPr>
          </w:p>
        </w:tc>
      </w:tr>
      <w:tr w:rsidR="00145BC7" w:rsidRPr="00EA1BB2" w14:paraId="7FAC8E00" w14:textId="77777777" w:rsidTr="007A1D23">
        <w:trPr>
          <w:jc w:val="center"/>
        </w:trPr>
        <w:tc>
          <w:tcPr>
            <w:tcW w:w="991" w:type="dxa"/>
            <w:vMerge/>
            <w:vAlign w:val="center"/>
          </w:tcPr>
          <w:p w14:paraId="069D4E84" w14:textId="77777777" w:rsidR="00145BC7" w:rsidRPr="00EA1BB2" w:rsidRDefault="00145BC7" w:rsidP="00145BC7">
            <w:pPr>
              <w:autoSpaceDE w:val="0"/>
              <w:autoSpaceDN w:val="0"/>
              <w:adjustRightInd w:val="0"/>
              <w:spacing w:line="360" w:lineRule="auto"/>
              <w:jc w:val="center"/>
              <w:rPr>
                <w:rFonts w:ascii="Cambria" w:hAnsi="Cambria"/>
                <w:lang w:val="ro-RO"/>
              </w:rPr>
            </w:pPr>
          </w:p>
        </w:tc>
        <w:tc>
          <w:tcPr>
            <w:tcW w:w="1092" w:type="dxa"/>
            <w:vMerge/>
            <w:vAlign w:val="center"/>
          </w:tcPr>
          <w:p w14:paraId="5BD9C357" w14:textId="77777777" w:rsidR="00145BC7" w:rsidRPr="00EA1BB2" w:rsidRDefault="00145BC7" w:rsidP="00145BC7">
            <w:pPr>
              <w:autoSpaceDE w:val="0"/>
              <w:autoSpaceDN w:val="0"/>
              <w:adjustRightInd w:val="0"/>
              <w:spacing w:line="360" w:lineRule="auto"/>
              <w:jc w:val="center"/>
              <w:rPr>
                <w:rFonts w:ascii="Cambria" w:hAnsi="Cambria"/>
                <w:lang w:val="ro-RO"/>
              </w:rPr>
            </w:pPr>
          </w:p>
        </w:tc>
        <w:tc>
          <w:tcPr>
            <w:tcW w:w="918" w:type="dxa"/>
            <w:vAlign w:val="center"/>
          </w:tcPr>
          <w:p w14:paraId="4C27D2F2"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zilnică</w:t>
            </w:r>
          </w:p>
        </w:tc>
        <w:tc>
          <w:tcPr>
            <w:tcW w:w="1113" w:type="dxa"/>
          </w:tcPr>
          <w:p w14:paraId="2ED46ECC"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3,108</w:t>
            </w:r>
          </w:p>
        </w:tc>
        <w:tc>
          <w:tcPr>
            <w:tcW w:w="1113" w:type="dxa"/>
          </w:tcPr>
          <w:p w14:paraId="26AB5CA1"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3,076</w:t>
            </w:r>
          </w:p>
        </w:tc>
        <w:tc>
          <w:tcPr>
            <w:tcW w:w="1113" w:type="dxa"/>
          </w:tcPr>
          <w:p w14:paraId="170D6222"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3,648</w:t>
            </w:r>
          </w:p>
        </w:tc>
        <w:tc>
          <w:tcPr>
            <w:tcW w:w="1113" w:type="dxa"/>
          </w:tcPr>
          <w:p w14:paraId="777A7D6D"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3,214</w:t>
            </w:r>
          </w:p>
        </w:tc>
        <w:tc>
          <w:tcPr>
            <w:tcW w:w="1113" w:type="dxa"/>
          </w:tcPr>
          <w:p w14:paraId="312ABEF3"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3,656</w:t>
            </w:r>
          </w:p>
        </w:tc>
        <w:tc>
          <w:tcPr>
            <w:tcW w:w="695" w:type="dxa"/>
            <w:vAlign w:val="center"/>
          </w:tcPr>
          <w:p w14:paraId="4FEC4FF6"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125</w:t>
            </w:r>
          </w:p>
        </w:tc>
        <w:tc>
          <w:tcPr>
            <w:tcW w:w="837" w:type="dxa"/>
            <w:vAlign w:val="center"/>
          </w:tcPr>
          <w:p w14:paraId="37C4687C"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75</w:t>
            </w:r>
          </w:p>
        </w:tc>
        <w:tc>
          <w:tcPr>
            <w:tcW w:w="245" w:type="dxa"/>
            <w:vAlign w:val="center"/>
          </w:tcPr>
          <w:p w14:paraId="04E927E7"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50</w:t>
            </w:r>
          </w:p>
        </w:tc>
      </w:tr>
      <w:tr w:rsidR="00145BC7" w:rsidRPr="00EA1BB2" w14:paraId="0038BA86" w14:textId="77777777" w:rsidTr="007A1D23">
        <w:trPr>
          <w:jc w:val="center"/>
        </w:trPr>
        <w:tc>
          <w:tcPr>
            <w:tcW w:w="991" w:type="dxa"/>
            <w:vAlign w:val="center"/>
          </w:tcPr>
          <w:p w14:paraId="19D081F9"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CO</w:t>
            </w:r>
          </w:p>
        </w:tc>
        <w:tc>
          <w:tcPr>
            <w:tcW w:w="1092" w:type="dxa"/>
            <w:vAlign w:val="center"/>
          </w:tcPr>
          <w:p w14:paraId="6F16FD8E"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(ng/m</w:t>
            </w:r>
            <w:r w:rsidRPr="00EA1BB2">
              <w:rPr>
                <w:rFonts w:ascii="Cambria" w:hAnsi="Cambria"/>
                <w:bCs/>
                <w:vertAlign w:val="superscript"/>
                <w:lang w:val="ro-RO"/>
              </w:rPr>
              <w:t>3</w:t>
            </w:r>
            <w:r w:rsidRPr="00EA1BB2">
              <w:rPr>
                <w:rFonts w:ascii="Cambria" w:hAnsi="Cambria"/>
                <w:lang w:val="ro-RO"/>
              </w:rPr>
              <w:t>)</w:t>
            </w:r>
          </w:p>
        </w:tc>
        <w:tc>
          <w:tcPr>
            <w:tcW w:w="918" w:type="dxa"/>
            <w:vAlign w:val="center"/>
          </w:tcPr>
          <w:p w14:paraId="600A1118"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8 ore</w:t>
            </w:r>
          </w:p>
        </w:tc>
        <w:tc>
          <w:tcPr>
            <w:tcW w:w="1113" w:type="dxa"/>
          </w:tcPr>
          <w:p w14:paraId="7D3E9DC2"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0,329</w:t>
            </w:r>
          </w:p>
        </w:tc>
        <w:tc>
          <w:tcPr>
            <w:tcW w:w="1113" w:type="dxa"/>
          </w:tcPr>
          <w:p w14:paraId="663705B9"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0,328</w:t>
            </w:r>
          </w:p>
        </w:tc>
        <w:tc>
          <w:tcPr>
            <w:tcW w:w="1113" w:type="dxa"/>
          </w:tcPr>
          <w:p w14:paraId="67E379EC"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0,634</w:t>
            </w:r>
          </w:p>
        </w:tc>
        <w:tc>
          <w:tcPr>
            <w:tcW w:w="1113" w:type="dxa"/>
          </w:tcPr>
          <w:p w14:paraId="1CC94C45"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0,415</w:t>
            </w:r>
          </w:p>
        </w:tc>
        <w:tc>
          <w:tcPr>
            <w:tcW w:w="1113" w:type="dxa"/>
          </w:tcPr>
          <w:p w14:paraId="717FBE5E"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0,636</w:t>
            </w:r>
          </w:p>
        </w:tc>
        <w:tc>
          <w:tcPr>
            <w:tcW w:w="695" w:type="dxa"/>
            <w:vAlign w:val="center"/>
          </w:tcPr>
          <w:p w14:paraId="4CB70B0B"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10</w:t>
            </w:r>
          </w:p>
        </w:tc>
        <w:tc>
          <w:tcPr>
            <w:tcW w:w="837" w:type="dxa"/>
            <w:vAlign w:val="center"/>
          </w:tcPr>
          <w:p w14:paraId="252F783E"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7</w:t>
            </w:r>
          </w:p>
        </w:tc>
        <w:tc>
          <w:tcPr>
            <w:tcW w:w="245" w:type="dxa"/>
            <w:vAlign w:val="center"/>
          </w:tcPr>
          <w:p w14:paraId="2924B4CC" w14:textId="77777777" w:rsidR="00145BC7" w:rsidRPr="00EA1BB2" w:rsidRDefault="00145BC7" w:rsidP="00145BC7">
            <w:pPr>
              <w:autoSpaceDE w:val="0"/>
              <w:autoSpaceDN w:val="0"/>
              <w:adjustRightInd w:val="0"/>
              <w:spacing w:line="360" w:lineRule="auto"/>
              <w:jc w:val="center"/>
              <w:rPr>
                <w:rFonts w:ascii="Cambria" w:hAnsi="Cambria"/>
                <w:lang w:val="ro-RO"/>
              </w:rPr>
            </w:pPr>
            <w:r w:rsidRPr="00EA1BB2">
              <w:rPr>
                <w:rFonts w:ascii="Cambria" w:hAnsi="Cambria"/>
                <w:lang w:val="ro-RO"/>
              </w:rPr>
              <w:t>5</w:t>
            </w:r>
          </w:p>
        </w:tc>
      </w:tr>
    </w:tbl>
    <w:p w14:paraId="1B5853F0" w14:textId="77777777" w:rsidR="007755BD" w:rsidRPr="00EA1BB2" w:rsidRDefault="007755BD" w:rsidP="00BA024F">
      <w:pPr>
        <w:autoSpaceDE w:val="0"/>
        <w:autoSpaceDN w:val="0"/>
        <w:adjustRightInd w:val="0"/>
        <w:spacing w:line="360" w:lineRule="auto"/>
        <w:ind w:firstLine="708"/>
        <w:jc w:val="both"/>
        <w:rPr>
          <w:rFonts w:ascii="Cambria" w:hAnsi="Cambria"/>
          <w:sz w:val="24"/>
          <w:szCs w:val="24"/>
        </w:rPr>
      </w:pPr>
    </w:p>
    <w:p w14:paraId="2698ECF1" w14:textId="77777777" w:rsidR="00BA024F" w:rsidRPr="00EA1BB2" w:rsidRDefault="00BA024F" w:rsidP="00BA024F">
      <w:pPr>
        <w:autoSpaceDE w:val="0"/>
        <w:autoSpaceDN w:val="0"/>
        <w:adjustRightInd w:val="0"/>
        <w:spacing w:line="360" w:lineRule="auto"/>
        <w:ind w:firstLine="720"/>
        <w:jc w:val="both"/>
        <w:rPr>
          <w:rFonts w:ascii="Cambria" w:hAnsi="Cambria"/>
          <w:b/>
          <w:sz w:val="24"/>
          <w:szCs w:val="24"/>
        </w:rPr>
      </w:pPr>
      <w:r w:rsidRPr="00EA1BB2">
        <w:rPr>
          <w:rFonts w:ascii="Cambria" w:hAnsi="Cambria"/>
          <w:b/>
          <w:sz w:val="24"/>
          <w:szCs w:val="24"/>
        </w:rPr>
        <w:t>h) măsurile identificate, cu precizarea pentru fiecare dintre acestea a denumirii, descrierii, calendarului de implementare, a scării spa</w:t>
      </w:r>
      <w:r w:rsidR="00054880" w:rsidRPr="00EA1BB2">
        <w:rPr>
          <w:rFonts w:ascii="Cambria" w:hAnsi="Cambria"/>
          <w:b/>
          <w:sz w:val="24"/>
          <w:szCs w:val="24"/>
        </w:rPr>
        <w:t>ț</w:t>
      </w:r>
      <w:r w:rsidRPr="00EA1BB2">
        <w:rPr>
          <w:rFonts w:ascii="Cambria" w:hAnsi="Cambria"/>
          <w:b/>
          <w:sz w:val="24"/>
          <w:szCs w:val="24"/>
        </w:rPr>
        <w:t xml:space="preserve">iale, a costurilor estimate pentru punerea în aplicare </w:t>
      </w:r>
      <w:r w:rsidR="00054880" w:rsidRPr="00EA1BB2">
        <w:rPr>
          <w:rFonts w:ascii="Cambria" w:hAnsi="Cambria"/>
          <w:b/>
          <w:sz w:val="24"/>
          <w:szCs w:val="24"/>
        </w:rPr>
        <w:t>ș</w:t>
      </w:r>
      <w:r w:rsidRPr="00EA1BB2">
        <w:rPr>
          <w:rFonts w:ascii="Cambria" w:hAnsi="Cambria"/>
          <w:b/>
          <w:sz w:val="24"/>
          <w:szCs w:val="24"/>
        </w:rPr>
        <w:t>i a surselor poten</w:t>
      </w:r>
      <w:r w:rsidR="00054880" w:rsidRPr="00EA1BB2">
        <w:rPr>
          <w:rFonts w:ascii="Cambria" w:hAnsi="Cambria"/>
          <w:b/>
          <w:sz w:val="24"/>
          <w:szCs w:val="24"/>
        </w:rPr>
        <w:t>ț</w:t>
      </w:r>
      <w:r w:rsidRPr="00EA1BB2">
        <w:rPr>
          <w:rFonts w:ascii="Cambria" w:hAnsi="Cambria"/>
          <w:b/>
          <w:sz w:val="24"/>
          <w:szCs w:val="24"/>
        </w:rPr>
        <w:t>iale de finan</w:t>
      </w:r>
      <w:r w:rsidR="00054880" w:rsidRPr="00EA1BB2">
        <w:rPr>
          <w:rFonts w:ascii="Cambria" w:hAnsi="Cambria"/>
          <w:b/>
          <w:sz w:val="24"/>
          <w:szCs w:val="24"/>
        </w:rPr>
        <w:t>ț</w:t>
      </w:r>
      <w:r w:rsidRPr="00EA1BB2">
        <w:rPr>
          <w:rFonts w:ascii="Cambria" w:hAnsi="Cambria"/>
          <w:b/>
          <w:sz w:val="24"/>
          <w:szCs w:val="24"/>
        </w:rPr>
        <w:t>are, a indicatorului/indicatorilor pentru monitorizarea progreselor.</w:t>
      </w:r>
    </w:p>
    <w:p w14:paraId="53C697BE" w14:textId="77777777" w:rsidR="00C039ED" w:rsidRPr="00EA1BB2" w:rsidRDefault="00C039ED" w:rsidP="00C039ED">
      <w:pPr>
        <w:spacing w:line="360" w:lineRule="auto"/>
        <w:ind w:firstLine="709"/>
        <w:jc w:val="both"/>
        <w:rPr>
          <w:rFonts w:ascii="Cambria" w:eastAsia="Calibri" w:hAnsi="Cambria" w:cs="Times New Roman"/>
          <w:sz w:val="24"/>
          <w:szCs w:val="24"/>
        </w:rPr>
      </w:pPr>
      <w:r w:rsidRPr="00EA1BB2">
        <w:rPr>
          <w:rFonts w:ascii="Cambria" w:eastAsia="Calibri" w:hAnsi="Cambria" w:cs="Times New Roman"/>
          <w:sz w:val="24"/>
          <w:szCs w:val="24"/>
        </w:rPr>
        <w:t>În cadrul scenariului B pentru menținerea calității aerului în județul Brăila sunt propuse următoarele măsuri. Detaliile acestor măsuri sunt prezentate în capitolul 6.</w:t>
      </w:r>
    </w:p>
    <w:p w14:paraId="04B824BA" w14:textId="77777777" w:rsidR="008A0A36" w:rsidRPr="00EA1BB2" w:rsidRDefault="008A0A36" w:rsidP="00C039ED">
      <w:pPr>
        <w:spacing w:line="360" w:lineRule="auto"/>
        <w:ind w:firstLine="709"/>
        <w:jc w:val="both"/>
        <w:rPr>
          <w:rFonts w:ascii="Cambria" w:eastAsia="Calibri" w:hAnsi="Cambria" w:cs="Times New Roman"/>
          <w:sz w:val="24"/>
          <w:szCs w:val="24"/>
        </w:rPr>
      </w:pPr>
    </w:p>
    <w:p w14:paraId="276598BD" w14:textId="28A8EFA4" w:rsidR="008567FE" w:rsidRPr="00EA1BB2" w:rsidRDefault="008567FE" w:rsidP="008567FE">
      <w:pPr>
        <w:pStyle w:val="Caption"/>
        <w:keepNext/>
        <w:spacing w:after="0" w:line="360" w:lineRule="auto"/>
        <w:ind w:firstLine="708"/>
        <w:jc w:val="both"/>
        <w:rPr>
          <w:rFonts w:ascii="Cambria" w:hAnsi="Cambria"/>
        </w:rPr>
      </w:pPr>
      <w:bookmarkStart w:id="268" w:name="_Toc526889827"/>
      <w:r w:rsidRPr="00EA1BB2">
        <w:rPr>
          <w:rFonts w:ascii="Cambria" w:hAnsi="Cambria"/>
        </w:rPr>
        <w:t xml:space="preserve">Tabelul nr. </w:t>
      </w:r>
      <w:r w:rsidR="000A2FE7" w:rsidRPr="00EA1BB2">
        <w:rPr>
          <w:rFonts w:ascii="Cambria" w:hAnsi="Cambria"/>
        </w:rPr>
        <w:fldChar w:fldCharType="begin"/>
      </w:r>
      <w:r w:rsidR="000A2FE7" w:rsidRPr="00EA1BB2">
        <w:rPr>
          <w:rFonts w:ascii="Cambria" w:hAnsi="Cambria"/>
        </w:rPr>
        <w:instrText xml:space="preserve"> STYLEREF 1 \s </w:instrText>
      </w:r>
      <w:r w:rsidR="000A2FE7" w:rsidRPr="00EA1BB2">
        <w:rPr>
          <w:rFonts w:ascii="Cambria" w:hAnsi="Cambria"/>
        </w:rPr>
        <w:fldChar w:fldCharType="separate"/>
      </w:r>
      <w:r w:rsidR="00567555">
        <w:rPr>
          <w:rFonts w:ascii="Cambria" w:hAnsi="Cambria"/>
          <w:noProof/>
        </w:rPr>
        <w:t>5</w:t>
      </w:r>
      <w:r w:rsidR="000A2FE7" w:rsidRPr="00EA1BB2">
        <w:rPr>
          <w:rFonts w:ascii="Cambria" w:hAnsi="Cambria"/>
        </w:rPr>
        <w:fldChar w:fldCharType="end"/>
      </w:r>
      <w:r w:rsidR="000A2FE7" w:rsidRPr="00EA1BB2">
        <w:rPr>
          <w:rFonts w:ascii="Cambria" w:hAnsi="Cambria"/>
        </w:rPr>
        <w:noBreakHyphen/>
      </w:r>
      <w:r w:rsidR="000A2FE7" w:rsidRPr="00EA1BB2">
        <w:rPr>
          <w:rFonts w:ascii="Cambria" w:hAnsi="Cambria"/>
        </w:rPr>
        <w:fldChar w:fldCharType="begin"/>
      </w:r>
      <w:r w:rsidR="000A2FE7" w:rsidRPr="00EA1BB2">
        <w:rPr>
          <w:rFonts w:ascii="Cambria" w:hAnsi="Cambria"/>
        </w:rPr>
        <w:instrText xml:space="preserve"> SEQ Tabelul_nr. \* ARABIC \s 1 </w:instrText>
      </w:r>
      <w:r w:rsidR="000A2FE7" w:rsidRPr="00EA1BB2">
        <w:rPr>
          <w:rFonts w:ascii="Cambria" w:hAnsi="Cambria"/>
        </w:rPr>
        <w:fldChar w:fldCharType="separate"/>
      </w:r>
      <w:r w:rsidR="00567555">
        <w:rPr>
          <w:rFonts w:ascii="Cambria" w:hAnsi="Cambria"/>
          <w:noProof/>
        </w:rPr>
        <w:t>10</w:t>
      </w:r>
      <w:r w:rsidR="000A2FE7" w:rsidRPr="00EA1BB2">
        <w:rPr>
          <w:rFonts w:ascii="Cambria" w:hAnsi="Cambria"/>
        </w:rPr>
        <w:fldChar w:fldCharType="end"/>
      </w:r>
      <w:r w:rsidRPr="00EA1BB2">
        <w:rPr>
          <w:rFonts w:ascii="Cambria" w:hAnsi="Cambria"/>
        </w:rPr>
        <w:t xml:space="preserve"> - Lista măsurilor și reducerea emisiilor de poluanți în scenariului B</w:t>
      </w:r>
      <w:bookmarkEnd w:id="26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7"/>
        <w:gridCol w:w="8419"/>
      </w:tblGrid>
      <w:tr w:rsidR="008567FE" w:rsidRPr="00EA1BB2" w14:paraId="4E9F0841" w14:textId="77777777" w:rsidTr="008567FE">
        <w:trPr>
          <w:trHeight w:val="290"/>
          <w:jc w:val="center"/>
        </w:trPr>
        <w:tc>
          <w:tcPr>
            <w:tcW w:w="467" w:type="pct"/>
            <w:shd w:val="clear" w:color="auto" w:fill="BDD6EE" w:themeFill="accent1" w:themeFillTint="66"/>
            <w:noWrap/>
            <w:vAlign w:val="center"/>
            <w:hideMark/>
          </w:tcPr>
          <w:p w14:paraId="7FA141BB" w14:textId="77777777" w:rsidR="008567FE" w:rsidRPr="00EA1BB2" w:rsidRDefault="008567FE" w:rsidP="00EC4138">
            <w:pPr>
              <w:spacing w:line="360" w:lineRule="auto"/>
              <w:ind w:right="-104"/>
              <w:jc w:val="center"/>
              <w:rPr>
                <w:rFonts w:ascii="Cambria" w:eastAsia="Times New Roman" w:hAnsi="Cambria" w:cs="Calibri"/>
                <w:b/>
                <w:color w:val="000000"/>
                <w:sz w:val="24"/>
                <w:szCs w:val="24"/>
              </w:rPr>
            </w:pPr>
            <w:r w:rsidRPr="00EA1BB2">
              <w:rPr>
                <w:rFonts w:ascii="Cambria" w:eastAsia="Times New Roman" w:hAnsi="Cambria" w:cs="Calibri"/>
                <w:b/>
                <w:color w:val="000000"/>
                <w:sz w:val="24"/>
                <w:szCs w:val="24"/>
              </w:rPr>
              <w:t>Cod</w:t>
            </w:r>
          </w:p>
        </w:tc>
        <w:tc>
          <w:tcPr>
            <w:tcW w:w="4533" w:type="pct"/>
            <w:shd w:val="clear" w:color="auto" w:fill="BDD6EE" w:themeFill="accent1" w:themeFillTint="66"/>
            <w:noWrap/>
            <w:vAlign w:val="center"/>
            <w:hideMark/>
          </w:tcPr>
          <w:p w14:paraId="6863902D" w14:textId="77777777" w:rsidR="008567FE" w:rsidRPr="00EA1BB2" w:rsidRDefault="008567FE" w:rsidP="00EC4138">
            <w:pPr>
              <w:spacing w:line="360" w:lineRule="auto"/>
              <w:jc w:val="center"/>
              <w:rPr>
                <w:rFonts w:ascii="Cambria" w:eastAsia="Times New Roman" w:hAnsi="Cambria" w:cs="Calibri"/>
                <w:b/>
                <w:color w:val="000000"/>
                <w:sz w:val="24"/>
                <w:szCs w:val="24"/>
              </w:rPr>
            </w:pPr>
            <w:r w:rsidRPr="00EA1BB2">
              <w:rPr>
                <w:rFonts w:ascii="Cambria" w:eastAsia="Times New Roman" w:hAnsi="Cambria" w:cs="Calibri"/>
                <w:b/>
                <w:color w:val="000000"/>
                <w:sz w:val="24"/>
                <w:szCs w:val="24"/>
              </w:rPr>
              <w:t>Măsuri</w:t>
            </w:r>
          </w:p>
        </w:tc>
      </w:tr>
      <w:tr w:rsidR="008567FE" w:rsidRPr="00EA1BB2" w14:paraId="27D35B53" w14:textId="77777777" w:rsidTr="008567FE">
        <w:trPr>
          <w:trHeight w:val="290"/>
          <w:jc w:val="center"/>
        </w:trPr>
        <w:tc>
          <w:tcPr>
            <w:tcW w:w="467" w:type="pct"/>
            <w:shd w:val="clear" w:color="auto" w:fill="auto"/>
            <w:noWrap/>
          </w:tcPr>
          <w:p w14:paraId="460C93C2" w14:textId="77777777" w:rsidR="008567FE" w:rsidRPr="00EA1BB2" w:rsidRDefault="008567FE" w:rsidP="00EC4138">
            <w:pPr>
              <w:spacing w:line="360" w:lineRule="auto"/>
              <w:ind w:right="-104"/>
              <w:rPr>
                <w:rFonts w:ascii="Cambria" w:eastAsia="Times New Roman" w:hAnsi="Cambria" w:cs="Calibri"/>
                <w:color w:val="000000"/>
                <w:sz w:val="24"/>
                <w:szCs w:val="24"/>
              </w:rPr>
            </w:pPr>
            <w:r w:rsidRPr="00EA1BB2">
              <w:rPr>
                <w:rFonts w:ascii="Cambria" w:hAnsi="Cambria"/>
                <w:sz w:val="24"/>
                <w:szCs w:val="24"/>
              </w:rPr>
              <w:t xml:space="preserve">M.1.1. </w:t>
            </w:r>
          </w:p>
        </w:tc>
        <w:tc>
          <w:tcPr>
            <w:tcW w:w="4533" w:type="pct"/>
            <w:shd w:val="clear" w:color="auto" w:fill="auto"/>
            <w:noWrap/>
          </w:tcPr>
          <w:p w14:paraId="6B8D53C3" w14:textId="77777777" w:rsidR="008567FE" w:rsidRPr="00EA1BB2" w:rsidRDefault="008567FE" w:rsidP="00EC4138">
            <w:pPr>
              <w:spacing w:line="360" w:lineRule="auto"/>
              <w:rPr>
                <w:rFonts w:ascii="Cambria" w:eastAsia="Times New Roman" w:hAnsi="Cambria" w:cs="Calibri"/>
                <w:color w:val="000000"/>
                <w:sz w:val="24"/>
                <w:szCs w:val="24"/>
              </w:rPr>
            </w:pPr>
            <w:r w:rsidRPr="00EA1BB2">
              <w:rPr>
                <w:rFonts w:ascii="Cambria" w:eastAsia="Times New Roman" w:hAnsi="Cambria" w:cs="Calibri"/>
                <w:color w:val="000000"/>
                <w:sz w:val="24"/>
                <w:szCs w:val="24"/>
              </w:rPr>
              <w:t>Extinderea/modernizarea arterelor județene de circulație</w:t>
            </w:r>
          </w:p>
        </w:tc>
      </w:tr>
      <w:tr w:rsidR="008567FE" w:rsidRPr="00EA1BB2" w14:paraId="1D9FF731" w14:textId="77777777" w:rsidTr="008567FE">
        <w:trPr>
          <w:trHeight w:val="290"/>
          <w:jc w:val="center"/>
        </w:trPr>
        <w:tc>
          <w:tcPr>
            <w:tcW w:w="467" w:type="pct"/>
            <w:shd w:val="clear" w:color="auto" w:fill="auto"/>
            <w:noWrap/>
          </w:tcPr>
          <w:p w14:paraId="72633FD0" w14:textId="77777777" w:rsidR="008567FE" w:rsidRPr="00EA1BB2" w:rsidRDefault="008567FE" w:rsidP="00EC4138">
            <w:pPr>
              <w:spacing w:line="360" w:lineRule="auto"/>
              <w:ind w:right="-104"/>
              <w:rPr>
                <w:rFonts w:ascii="Cambria" w:eastAsia="Times New Roman" w:hAnsi="Cambria" w:cs="Calibri"/>
                <w:color w:val="000000"/>
                <w:sz w:val="24"/>
                <w:szCs w:val="24"/>
              </w:rPr>
            </w:pPr>
            <w:r w:rsidRPr="00EA1BB2">
              <w:rPr>
                <w:rFonts w:ascii="Cambria" w:hAnsi="Cambria"/>
                <w:sz w:val="24"/>
                <w:szCs w:val="24"/>
              </w:rPr>
              <w:t>M.1.2.</w:t>
            </w:r>
          </w:p>
        </w:tc>
        <w:tc>
          <w:tcPr>
            <w:tcW w:w="4533" w:type="pct"/>
            <w:shd w:val="clear" w:color="auto" w:fill="auto"/>
            <w:noWrap/>
          </w:tcPr>
          <w:p w14:paraId="64940566" w14:textId="77777777" w:rsidR="008567FE" w:rsidRPr="00EA1BB2" w:rsidRDefault="008567FE" w:rsidP="00EC4138">
            <w:pPr>
              <w:spacing w:line="360" w:lineRule="auto"/>
              <w:rPr>
                <w:rFonts w:ascii="Cambria" w:eastAsia="Times New Roman" w:hAnsi="Cambria" w:cs="Calibri"/>
                <w:color w:val="000000"/>
                <w:sz w:val="24"/>
                <w:szCs w:val="24"/>
              </w:rPr>
            </w:pPr>
            <w:r w:rsidRPr="00EA1BB2">
              <w:rPr>
                <w:rFonts w:ascii="Cambria" w:eastAsia="Times New Roman" w:hAnsi="Cambria" w:cs="Calibri"/>
                <w:color w:val="000000"/>
                <w:sz w:val="24"/>
                <w:szCs w:val="24"/>
              </w:rPr>
              <w:t>Modernizarea drumurilor comunale și a străzilor din satele componente UAT-lor</w:t>
            </w:r>
          </w:p>
        </w:tc>
      </w:tr>
      <w:tr w:rsidR="008567FE" w:rsidRPr="00EA1BB2" w14:paraId="33B4AFFF" w14:textId="77777777" w:rsidTr="008567FE">
        <w:trPr>
          <w:trHeight w:val="290"/>
          <w:jc w:val="center"/>
        </w:trPr>
        <w:tc>
          <w:tcPr>
            <w:tcW w:w="467" w:type="pct"/>
            <w:shd w:val="clear" w:color="auto" w:fill="auto"/>
            <w:noWrap/>
          </w:tcPr>
          <w:p w14:paraId="1CDAE42D" w14:textId="77777777" w:rsidR="008567FE" w:rsidRPr="00EA1BB2" w:rsidRDefault="008567FE" w:rsidP="00EC4138">
            <w:pPr>
              <w:spacing w:line="360" w:lineRule="auto"/>
              <w:ind w:right="-104"/>
              <w:rPr>
                <w:rFonts w:ascii="Cambria" w:eastAsia="Times New Roman" w:hAnsi="Cambria" w:cs="Calibri"/>
                <w:color w:val="000000"/>
                <w:sz w:val="24"/>
                <w:szCs w:val="24"/>
              </w:rPr>
            </w:pPr>
            <w:r w:rsidRPr="00EA1BB2">
              <w:rPr>
                <w:rFonts w:ascii="Cambria" w:hAnsi="Cambria"/>
                <w:sz w:val="24"/>
                <w:szCs w:val="24"/>
              </w:rPr>
              <w:t>M.2.1.</w:t>
            </w:r>
          </w:p>
        </w:tc>
        <w:tc>
          <w:tcPr>
            <w:tcW w:w="4533" w:type="pct"/>
            <w:shd w:val="clear" w:color="auto" w:fill="auto"/>
            <w:noWrap/>
          </w:tcPr>
          <w:p w14:paraId="14704FDE" w14:textId="77777777" w:rsidR="008567FE" w:rsidRPr="00EA1BB2" w:rsidRDefault="008567FE" w:rsidP="00EC4138">
            <w:pPr>
              <w:spacing w:line="360" w:lineRule="auto"/>
              <w:rPr>
                <w:rFonts w:ascii="Cambria" w:eastAsia="Times New Roman" w:hAnsi="Cambria" w:cs="Calibri"/>
                <w:color w:val="000000"/>
                <w:sz w:val="24"/>
                <w:szCs w:val="24"/>
              </w:rPr>
            </w:pPr>
            <w:r w:rsidRPr="00EA1BB2">
              <w:rPr>
                <w:rFonts w:ascii="Cambria" w:eastAsia="Times New Roman" w:hAnsi="Cambria" w:cs="Calibri"/>
                <w:color w:val="000000"/>
                <w:sz w:val="24"/>
                <w:szCs w:val="24"/>
              </w:rPr>
              <w:t>Amenajarea spațiilor verzi în intravilanul localităților din județul Brăila</w:t>
            </w:r>
          </w:p>
        </w:tc>
      </w:tr>
      <w:tr w:rsidR="008567FE" w:rsidRPr="00EA1BB2" w14:paraId="6025F067" w14:textId="77777777" w:rsidTr="008567FE">
        <w:trPr>
          <w:trHeight w:val="290"/>
          <w:jc w:val="center"/>
        </w:trPr>
        <w:tc>
          <w:tcPr>
            <w:tcW w:w="467" w:type="pct"/>
            <w:shd w:val="clear" w:color="auto" w:fill="auto"/>
            <w:noWrap/>
          </w:tcPr>
          <w:p w14:paraId="35D093E4" w14:textId="77777777" w:rsidR="008567FE" w:rsidRPr="00EA1BB2" w:rsidRDefault="008567FE" w:rsidP="00EC4138">
            <w:pPr>
              <w:spacing w:line="360" w:lineRule="auto"/>
              <w:ind w:right="-104"/>
              <w:rPr>
                <w:rFonts w:ascii="Cambria" w:eastAsia="Times New Roman" w:hAnsi="Cambria" w:cs="Calibri"/>
                <w:color w:val="000000"/>
                <w:sz w:val="24"/>
                <w:szCs w:val="24"/>
              </w:rPr>
            </w:pPr>
            <w:r w:rsidRPr="00EA1BB2">
              <w:rPr>
                <w:rFonts w:ascii="Cambria" w:hAnsi="Cambria"/>
                <w:sz w:val="24"/>
                <w:szCs w:val="24"/>
              </w:rPr>
              <w:t>M.2.2.</w:t>
            </w:r>
          </w:p>
        </w:tc>
        <w:tc>
          <w:tcPr>
            <w:tcW w:w="4533" w:type="pct"/>
            <w:shd w:val="clear" w:color="auto" w:fill="auto"/>
            <w:noWrap/>
          </w:tcPr>
          <w:p w14:paraId="1DC66BE5" w14:textId="77777777" w:rsidR="008567FE" w:rsidRPr="00EA1BB2" w:rsidRDefault="008567FE" w:rsidP="00EC4138">
            <w:pPr>
              <w:spacing w:line="360" w:lineRule="auto"/>
              <w:rPr>
                <w:rFonts w:ascii="Cambria" w:eastAsia="Times New Roman" w:hAnsi="Cambria" w:cs="Calibri"/>
                <w:color w:val="000000"/>
                <w:sz w:val="24"/>
                <w:szCs w:val="24"/>
              </w:rPr>
            </w:pPr>
            <w:r w:rsidRPr="00EA1BB2">
              <w:rPr>
                <w:rFonts w:ascii="Cambria" w:eastAsia="Times New Roman" w:hAnsi="Cambria" w:cs="Calibri"/>
                <w:color w:val="000000"/>
                <w:sz w:val="24"/>
                <w:szCs w:val="24"/>
              </w:rPr>
              <w:t>Crearea de perdele forestiere care să minimizeze impactul negativ al transportului, cf. programului național de înființare perdele forestiere</w:t>
            </w:r>
          </w:p>
        </w:tc>
      </w:tr>
      <w:tr w:rsidR="008567FE" w:rsidRPr="00EA1BB2" w14:paraId="2B668869" w14:textId="77777777" w:rsidTr="008567FE">
        <w:trPr>
          <w:trHeight w:val="290"/>
          <w:jc w:val="center"/>
        </w:trPr>
        <w:tc>
          <w:tcPr>
            <w:tcW w:w="467" w:type="pct"/>
            <w:shd w:val="clear" w:color="auto" w:fill="auto"/>
            <w:noWrap/>
          </w:tcPr>
          <w:p w14:paraId="2A8492CF" w14:textId="77777777" w:rsidR="008567FE" w:rsidRPr="00EA1BB2" w:rsidRDefault="008567FE" w:rsidP="00EC4138">
            <w:pPr>
              <w:spacing w:line="360" w:lineRule="auto"/>
              <w:ind w:right="-104"/>
              <w:rPr>
                <w:rFonts w:ascii="Cambria" w:hAnsi="Cambria"/>
                <w:sz w:val="24"/>
                <w:szCs w:val="24"/>
              </w:rPr>
            </w:pPr>
            <w:r w:rsidRPr="00EA1BB2">
              <w:rPr>
                <w:rFonts w:ascii="Cambria" w:hAnsi="Cambria"/>
                <w:sz w:val="24"/>
                <w:szCs w:val="24"/>
              </w:rPr>
              <w:t xml:space="preserve">M.2.3. </w:t>
            </w:r>
          </w:p>
        </w:tc>
        <w:tc>
          <w:tcPr>
            <w:tcW w:w="4533" w:type="pct"/>
            <w:shd w:val="clear" w:color="auto" w:fill="auto"/>
            <w:noWrap/>
          </w:tcPr>
          <w:p w14:paraId="3B00DE8D" w14:textId="77777777" w:rsidR="008567FE" w:rsidRPr="00EA1BB2" w:rsidRDefault="008567FE" w:rsidP="00EC4138">
            <w:pPr>
              <w:spacing w:line="360" w:lineRule="auto"/>
              <w:rPr>
                <w:rFonts w:ascii="Cambria" w:hAnsi="Cambria"/>
                <w:sz w:val="24"/>
                <w:szCs w:val="24"/>
              </w:rPr>
            </w:pPr>
            <w:r w:rsidRPr="00EA1BB2">
              <w:rPr>
                <w:rFonts w:ascii="Cambria" w:hAnsi="Cambria"/>
                <w:sz w:val="24"/>
                <w:szCs w:val="24"/>
              </w:rPr>
              <w:t>Reducerea consumului de combustibili solizi și lichizi</w:t>
            </w:r>
          </w:p>
        </w:tc>
      </w:tr>
      <w:tr w:rsidR="008567FE" w:rsidRPr="00EA1BB2" w14:paraId="201FCE34" w14:textId="77777777" w:rsidTr="008567FE">
        <w:trPr>
          <w:trHeight w:val="290"/>
          <w:jc w:val="center"/>
        </w:trPr>
        <w:tc>
          <w:tcPr>
            <w:tcW w:w="467" w:type="pct"/>
            <w:shd w:val="clear" w:color="auto" w:fill="auto"/>
            <w:noWrap/>
          </w:tcPr>
          <w:p w14:paraId="178BFF09" w14:textId="77777777" w:rsidR="008567FE" w:rsidRPr="00EA1BB2" w:rsidRDefault="008567FE" w:rsidP="00EC4138">
            <w:pPr>
              <w:spacing w:line="360" w:lineRule="auto"/>
              <w:ind w:right="-104"/>
              <w:rPr>
                <w:rFonts w:ascii="Cambria" w:hAnsi="Cambria"/>
                <w:sz w:val="24"/>
                <w:szCs w:val="24"/>
              </w:rPr>
            </w:pPr>
            <w:r w:rsidRPr="00EA1BB2">
              <w:rPr>
                <w:rFonts w:ascii="Cambria" w:hAnsi="Cambria"/>
                <w:sz w:val="24"/>
                <w:szCs w:val="24"/>
              </w:rPr>
              <w:t>M.3.1.</w:t>
            </w:r>
          </w:p>
        </w:tc>
        <w:tc>
          <w:tcPr>
            <w:tcW w:w="4533" w:type="pct"/>
            <w:shd w:val="clear" w:color="auto" w:fill="auto"/>
            <w:noWrap/>
          </w:tcPr>
          <w:p w14:paraId="70C3BC68" w14:textId="77777777" w:rsidR="008567FE" w:rsidRPr="00EA1BB2" w:rsidRDefault="008567FE" w:rsidP="00EC4138">
            <w:pPr>
              <w:spacing w:line="360" w:lineRule="auto"/>
              <w:rPr>
                <w:rFonts w:ascii="Cambria" w:hAnsi="Cambria"/>
                <w:sz w:val="24"/>
                <w:szCs w:val="24"/>
              </w:rPr>
            </w:pPr>
            <w:r w:rsidRPr="00EA1BB2">
              <w:rPr>
                <w:rFonts w:ascii="Cambria" w:hAnsi="Cambria"/>
                <w:sz w:val="24"/>
                <w:szCs w:val="24"/>
              </w:rPr>
              <w:t>Reabilitare termică a clădirilor instituționale</w:t>
            </w:r>
          </w:p>
        </w:tc>
      </w:tr>
      <w:tr w:rsidR="008567FE" w:rsidRPr="00EA1BB2" w14:paraId="79A13A07" w14:textId="77777777" w:rsidTr="008567FE">
        <w:trPr>
          <w:trHeight w:val="290"/>
          <w:jc w:val="center"/>
        </w:trPr>
        <w:tc>
          <w:tcPr>
            <w:tcW w:w="467" w:type="pct"/>
            <w:shd w:val="clear" w:color="auto" w:fill="auto"/>
            <w:noWrap/>
          </w:tcPr>
          <w:p w14:paraId="7F36746F" w14:textId="77777777" w:rsidR="008567FE" w:rsidRPr="00EA1BB2" w:rsidRDefault="008567FE" w:rsidP="00EC4138">
            <w:pPr>
              <w:spacing w:line="360" w:lineRule="auto"/>
              <w:ind w:right="-104"/>
              <w:rPr>
                <w:rFonts w:ascii="Cambria" w:hAnsi="Cambria"/>
                <w:sz w:val="24"/>
                <w:szCs w:val="24"/>
              </w:rPr>
            </w:pPr>
            <w:r w:rsidRPr="00EA1BB2">
              <w:rPr>
                <w:rFonts w:ascii="Cambria" w:hAnsi="Cambria"/>
                <w:sz w:val="24"/>
                <w:szCs w:val="24"/>
              </w:rPr>
              <w:t>M.4.1</w:t>
            </w:r>
          </w:p>
        </w:tc>
        <w:tc>
          <w:tcPr>
            <w:tcW w:w="4533" w:type="pct"/>
            <w:shd w:val="clear" w:color="auto" w:fill="auto"/>
            <w:noWrap/>
          </w:tcPr>
          <w:p w14:paraId="671DB477" w14:textId="77777777" w:rsidR="008567FE" w:rsidRPr="00EA1BB2" w:rsidRDefault="008567FE" w:rsidP="00EC4138">
            <w:pPr>
              <w:spacing w:line="360" w:lineRule="auto"/>
              <w:rPr>
                <w:rFonts w:ascii="Cambria" w:hAnsi="Cambria"/>
                <w:sz w:val="24"/>
                <w:szCs w:val="24"/>
              </w:rPr>
            </w:pPr>
            <w:r w:rsidRPr="00EA1BB2">
              <w:rPr>
                <w:rFonts w:ascii="Cambria" w:hAnsi="Cambria"/>
                <w:sz w:val="24"/>
                <w:szCs w:val="24"/>
              </w:rPr>
              <w:t>Conștientizarea populației cu privire la nivelul real al calității aerului, la implicațiile asupra sănătății umane</w:t>
            </w:r>
          </w:p>
        </w:tc>
      </w:tr>
    </w:tbl>
    <w:p w14:paraId="393C27F6" w14:textId="77777777" w:rsidR="00C039ED" w:rsidRPr="00EA1BB2" w:rsidRDefault="00C039ED" w:rsidP="00C039ED">
      <w:pPr>
        <w:autoSpaceDE w:val="0"/>
        <w:autoSpaceDN w:val="0"/>
        <w:adjustRightInd w:val="0"/>
        <w:spacing w:line="360" w:lineRule="auto"/>
        <w:ind w:firstLine="708"/>
        <w:jc w:val="both"/>
        <w:rPr>
          <w:rFonts w:ascii="Cambria" w:hAnsi="Cambria"/>
          <w:sz w:val="24"/>
          <w:szCs w:val="24"/>
        </w:rPr>
      </w:pPr>
    </w:p>
    <w:p w14:paraId="53D5E74D" w14:textId="77777777" w:rsidR="008567FE" w:rsidRPr="00EA1BB2" w:rsidRDefault="008567FE">
      <w:pPr>
        <w:rPr>
          <w:rFonts w:ascii="Cambria" w:hAnsi="Cambria"/>
          <w:sz w:val="24"/>
          <w:szCs w:val="24"/>
        </w:rPr>
      </w:pPr>
      <w:r w:rsidRPr="00EA1BB2">
        <w:rPr>
          <w:rFonts w:ascii="Cambria" w:hAnsi="Cambria"/>
          <w:sz w:val="24"/>
          <w:szCs w:val="24"/>
        </w:rPr>
        <w:br w:type="page"/>
      </w:r>
    </w:p>
    <w:p w14:paraId="50175422" w14:textId="77777777" w:rsidR="00EE3655" w:rsidRPr="00EA1BB2" w:rsidRDefault="00073CA6" w:rsidP="00E859EF">
      <w:pPr>
        <w:pStyle w:val="Heading1"/>
        <w:numPr>
          <w:ilvl w:val="0"/>
          <w:numId w:val="1"/>
        </w:numPr>
        <w:spacing w:before="0"/>
        <w:ind w:left="0" w:firstLine="709"/>
        <w:rPr>
          <w:rFonts w:ascii="Cambria" w:hAnsi="Cambria" w:cs="Times New Roman"/>
          <w:color w:val="0070C0"/>
          <w:sz w:val="28"/>
          <w:szCs w:val="24"/>
        </w:rPr>
      </w:pPr>
      <w:bookmarkStart w:id="269" w:name="_Toc526889752"/>
      <w:r w:rsidRPr="00EA1BB2">
        <w:rPr>
          <w:rFonts w:ascii="Cambria" w:hAnsi="Cambria" w:cs="Times New Roman"/>
          <w:color w:val="0070C0"/>
          <w:sz w:val="28"/>
          <w:szCs w:val="24"/>
        </w:rPr>
        <w:lastRenderedPageBreak/>
        <w:t>MĂSURILE SAU PROIECTELE ADOPTATE ÎN VEDEREA MEN</w:t>
      </w:r>
      <w:r w:rsidR="00054880" w:rsidRPr="00EA1BB2">
        <w:rPr>
          <w:rFonts w:ascii="Cambria" w:hAnsi="Cambria" w:cs="Times New Roman"/>
          <w:color w:val="0070C0"/>
          <w:sz w:val="28"/>
          <w:szCs w:val="24"/>
        </w:rPr>
        <w:t>Ț</w:t>
      </w:r>
      <w:r w:rsidRPr="00EA1BB2">
        <w:rPr>
          <w:rFonts w:ascii="Cambria" w:hAnsi="Cambria" w:cs="Times New Roman"/>
          <w:color w:val="0070C0"/>
          <w:sz w:val="28"/>
          <w:szCs w:val="24"/>
        </w:rPr>
        <w:t>INERII CALITĂ</w:t>
      </w:r>
      <w:r w:rsidR="00054880" w:rsidRPr="00EA1BB2">
        <w:rPr>
          <w:rFonts w:ascii="Cambria" w:hAnsi="Cambria" w:cs="Times New Roman"/>
          <w:color w:val="0070C0"/>
          <w:sz w:val="28"/>
          <w:szCs w:val="24"/>
        </w:rPr>
        <w:t>Ț</w:t>
      </w:r>
      <w:r w:rsidRPr="00EA1BB2">
        <w:rPr>
          <w:rFonts w:ascii="Cambria" w:hAnsi="Cambria" w:cs="Times New Roman"/>
          <w:color w:val="0070C0"/>
          <w:sz w:val="28"/>
          <w:szCs w:val="24"/>
        </w:rPr>
        <w:t>II AERULUI</w:t>
      </w:r>
      <w:bookmarkEnd w:id="269"/>
    </w:p>
    <w:p w14:paraId="2A036A0E" w14:textId="06102E36" w:rsidR="00EE3655" w:rsidRPr="00EA1BB2" w:rsidRDefault="009E7C7D" w:rsidP="00E859EF">
      <w:pPr>
        <w:pStyle w:val="Heading2"/>
        <w:numPr>
          <w:ilvl w:val="1"/>
          <w:numId w:val="1"/>
        </w:numPr>
        <w:spacing w:before="0"/>
        <w:ind w:left="0" w:firstLine="709"/>
        <w:jc w:val="both"/>
        <w:rPr>
          <w:rFonts w:ascii="Cambria" w:eastAsia="Times New Roman" w:hAnsi="Cambria"/>
          <w:color w:val="0070C0"/>
          <w:szCs w:val="24"/>
        </w:rPr>
      </w:pPr>
      <w:bookmarkStart w:id="270" w:name="_Toc526889753"/>
      <w:r w:rsidRPr="00EA1BB2">
        <w:rPr>
          <w:rFonts w:ascii="Cambria" w:eastAsia="Times New Roman" w:hAnsi="Cambria"/>
          <w:color w:val="0070C0"/>
          <w:szCs w:val="24"/>
        </w:rPr>
        <w:t>P</w:t>
      </w:r>
      <w:r w:rsidR="00073CA6" w:rsidRPr="00EA1BB2">
        <w:rPr>
          <w:rFonts w:ascii="Cambria" w:eastAsia="Times New Roman" w:hAnsi="Cambria"/>
          <w:color w:val="0070C0"/>
          <w:szCs w:val="24"/>
        </w:rPr>
        <w:t xml:space="preserve">osibile măsuri pentru păstrarea nivelului </w:t>
      </w:r>
      <w:r w:rsidRPr="00EA1BB2">
        <w:rPr>
          <w:rFonts w:ascii="Cambria" w:eastAsia="Times New Roman" w:hAnsi="Cambria"/>
          <w:color w:val="0070C0"/>
          <w:szCs w:val="24"/>
        </w:rPr>
        <w:t>poluan</w:t>
      </w:r>
      <w:r w:rsidR="00054880" w:rsidRPr="00EA1BB2">
        <w:rPr>
          <w:rFonts w:ascii="Cambria" w:eastAsia="Times New Roman" w:hAnsi="Cambria"/>
          <w:color w:val="0070C0"/>
          <w:szCs w:val="24"/>
        </w:rPr>
        <w:t>ț</w:t>
      </w:r>
      <w:r w:rsidRPr="00EA1BB2">
        <w:rPr>
          <w:rFonts w:ascii="Cambria" w:eastAsia="Times New Roman" w:hAnsi="Cambria"/>
          <w:color w:val="0070C0"/>
          <w:szCs w:val="24"/>
        </w:rPr>
        <w:t>ilor</w:t>
      </w:r>
      <w:r w:rsidR="00073CA6" w:rsidRPr="00EA1BB2">
        <w:rPr>
          <w:rFonts w:ascii="Cambria" w:eastAsia="Times New Roman" w:hAnsi="Cambria"/>
          <w:color w:val="0070C0"/>
          <w:szCs w:val="24"/>
        </w:rPr>
        <w:t xml:space="preserve"> sub valorile-limită, respectiv sub valorile-</w:t>
      </w:r>
      <w:r w:rsidR="00054880" w:rsidRPr="00EA1BB2">
        <w:rPr>
          <w:rFonts w:ascii="Cambria" w:eastAsia="Times New Roman" w:hAnsi="Cambria"/>
          <w:color w:val="0070C0"/>
          <w:szCs w:val="24"/>
        </w:rPr>
        <w:t>ț</w:t>
      </w:r>
      <w:r w:rsidRPr="00EA1BB2">
        <w:rPr>
          <w:rFonts w:ascii="Cambria" w:eastAsia="Times New Roman" w:hAnsi="Cambria"/>
          <w:color w:val="0070C0"/>
          <w:szCs w:val="24"/>
        </w:rPr>
        <w:t>intă</w:t>
      </w:r>
      <w:r w:rsidR="00BD06C5" w:rsidRPr="00EA1BB2">
        <w:rPr>
          <w:rFonts w:ascii="Cambria" w:eastAsia="Times New Roman" w:hAnsi="Cambria"/>
          <w:color w:val="0070C0"/>
          <w:szCs w:val="24"/>
        </w:rPr>
        <w:t xml:space="preserve"> </w:t>
      </w:r>
      <w:r w:rsidR="00054880" w:rsidRPr="00EA1BB2">
        <w:rPr>
          <w:rFonts w:ascii="Cambria" w:eastAsia="Times New Roman" w:hAnsi="Cambria"/>
          <w:color w:val="0070C0"/>
          <w:szCs w:val="24"/>
        </w:rPr>
        <w:t>ș</w:t>
      </w:r>
      <w:r w:rsidRPr="00EA1BB2">
        <w:rPr>
          <w:rFonts w:ascii="Cambria" w:eastAsia="Times New Roman" w:hAnsi="Cambria"/>
          <w:color w:val="0070C0"/>
          <w:szCs w:val="24"/>
        </w:rPr>
        <w:t>i</w:t>
      </w:r>
      <w:r w:rsidR="00073CA6" w:rsidRPr="00EA1BB2">
        <w:rPr>
          <w:rFonts w:ascii="Cambria" w:eastAsia="Times New Roman" w:hAnsi="Cambria"/>
          <w:color w:val="0070C0"/>
          <w:szCs w:val="24"/>
        </w:rPr>
        <w:t xml:space="preserve"> pentru asigurarea celei mai bune </w:t>
      </w:r>
      <w:r w:rsidRPr="00EA1BB2">
        <w:rPr>
          <w:rFonts w:ascii="Cambria" w:eastAsia="Times New Roman" w:hAnsi="Cambria"/>
          <w:color w:val="0070C0"/>
          <w:szCs w:val="24"/>
        </w:rPr>
        <w:t>calită</w:t>
      </w:r>
      <w:r w:rsidR="00054880" w:rsidRPr="00EA1BB2">
        <w:rPr>
          <w:rFonts w:ascii="Cambria" w:eastAsia="Times New Roman" w:hAnsi="Cambria"/>
          <w:color w:val="0070C0"/>
          <w:szCs w:val="24"/>
        </w:rPr>
        <w:t>ț</w:t>
      </w:r>
      <w:r w:rsidRPr="00EA1BB2">
        <w:rPr>
          <w:rFonts w:ascii="Cambria" w:eastAsia="Times New Roman" w:hAnsi="Cambria"/>
          <w:color w:val="0070C0"/>
          <w:szCs w:val="24"/>
        </w:rPr>
        <w:t>i</w:t>
      </w:r>
      <w:r w:rsidR="00073CA6" w:rsidRPr="00EA1BB2">
        <w:rPr>
          <w:rFonts w:ascii="Cambria" w:eastAsia="Times New Roman" w:hAnsi="Cambria"/>
          <w:color w:val="0070C0"/>
          <w:szCs w:val="24"/>
        </w:rPr>
        <w:t xml:space="preserve"> a aerului înconjurător în </w:t>
      </w:r>
      <w:r w:rsidRPr="00EA1BB2">
        <w:rPr>
          <w:rFonts w:ascii="Cambria" w:eastAsia="Times New Roman" w:hAnsi="Cambria"/>
          <w:color w:val="0070C0"/>
          <w:szCs w:val="24"/>
        </w:rPr>
        <w:t>condi</w:t>
      </w:r>
      <w:r w:rsidR="00054880" w:rsidRPr="00EA1BB2">
        <w:rPr>
          <w:rFonts w:ascii="Cambria" w:eastAsia="Times New Roman" w:hAnsi="Cambria"/>
          <w:color w:val="0070C0"/>
          <w:szCs w:val="24"/>
        </w:rPr>
        <w:t>ț</w:t>
      </w:r>
      <w:r w:rsidRPr="00EA1BB2">
        <w:rPr>
          <w:rFonts w:ascii="Cambria" w:eastAsia="Times New Roman" w:hAnsi="Cambria"/>
          <w:color w:val="0070C0"/>
          <w:szCs w:val="24"/>
        </w:rPr>
        <w:t>iile</w:t>
      </w:r>
      <w:r w:rsidR="00073CA6" w:rsidRPr="00EA1BB2">
        <w:rPr>
          <w:rFonts w:ascii="Cambria" w:eastAsia="Times New Roman" w:hAnsi="Cambria"/>
          <w:color w:val="0070C0"/>
          <w:szCs w:val="24"/>
        </w:rPr>
        <w:t xml:space="preserve"> unei dezvoltări durabile.</w:t>
      </w:r>
      <w:bookmarkEnd w:id="270"/>
    </w:p>
    <w:p w14:paraId="60085C6C" w14:textId="77777777" w:rsidR="00012B91" w:rsidRPr="00EA1BB2" w:rsidRDefault="00A2542E" w:rsidP="00012B91">
      <w:pPr>
        <w:spacing w:line="360" w:lineRule="auto"/>
        <w:ind w:firstLine="567"/>
        <w:jc w:val="both"/>
        <w:rPr>
          <w:rFonts w:ascii="Cambria" w:eastAsia="Calibri" w:hAnsi="Cambria" w:cs="Times New Roman"/>
          <w:sz w:val="24"/>
          <w:szCs w:val="24"/>
        </w:rPr>
      </w:pPr>
      <w:r w:rsidRPr="00EA1BB2">
        <w:rPr>
          <w:rFonts w:ascii="Cambria" w:eastAsia="Calibri" w:hAnsi="Cambria" w:cs="Times New Roman"/>
          <w:b/>
          <w:bCs/>
          <w:sz w:val="24"/>
          <w:szCs w:val="24"/>
        </w:rPr>
        <w:tab/>
      </w:r>
      <w:r w:rsidR="00012B91" w:rsidRPr="00EA1BB2">
        <w:rPr>
          <w:rFonts w:ascii="Cambria" w:eastAsia="Calibri" w:hAnsi="Cambria" w:cs="Times New Roman"/>
          <w:sz w:val="24"/>
          <w:szCs w:val="24"/>
        </w:rPr>
        <w:t>Pentru identificare propunerilor de măsuri pentru menținerea calității aerului au fost analizate documentele strategice relevante la nivel național, regional și județean care pot influența dezvoltarea sectoarelor economice din județul Brăila până în anul 2022.</w:t>
      </w:r>
    </w:p>
    <w:p w14:paraId="3BCE840F" w14:textId="77777777" w:rsidR="00012B91" w:rsidRPr="00EA1BB2" w:rsidRDefault="00012B91" w:rsidP="00012B91">
      <w:pPr>
        <w:spacing w:line="360" w:lineRule="auto"/>
        <w:ind w:firstLine="709"/>
        <w:jc w:val="both"/>
        <w:rPr>
          <w:rFonts w:ascii="Cambria" w:eastAsia="Calibri" w:hAnsi="Cambria" w:cs="Times New Roman"/>
          <w:sz w:val="24"/>
          <w:szCs w:val="24"/>
        </w:rPr>
      </w:pPr>
      <w:r w:rsidRPr="00EA1BB2">
        <w:rPr>
          <w:rFonts w:ascii="Cambria" w:eastAsia="Calibri" w:hAnsi="Cambria" w:cs="Times New Roman"/>
          <w:sz w:val="24"/>
          <w:szCs w:val="24"/>
        </w:rPr>
        <w:t>La baza elaborării planului s-au avut în vedere concordanța cu următoarele documente strategice relevante la nivel național, regional și județean și legislația națională aplicabilă:</w:t>
      </w:r>
    </w:p>
    <w:p w14:paraId="7CAD11B5" w14:textId="77777777" w:rsidR="00012B91" w:rsidRPr="00EA1BB2" w:rsidRDefault="00012B91" w:rsidP="00993575">
      <w:pPr>
        <w:numPr>
          <w:ilvl w:val="0"/>
          <w:numId w:val="63"/>
        </w:numPr>
        <w:spacing w:after="160" w:line="360" w:lineRule="auto"/>
        <w:ind w:left="851" w:hanging="283"/>
        <w:contextualSpacing/>
        <w:jc w:val="both"/>
        <w:rPr>
          <w:rFonts w:ascii="Cambria" w:eastAsia="Calibri" w:hAnsi="Cambria" w:cs="Times New Roman"/>
          <w:sz w:val="24"/>
          <w:szCs w:val="24"/>
        </w:rPr>
      </w:pPr>
      <w:r w:rsidRPr="00EA1BB2">
        <w:rPr>
          <w:rFonts w:ascii="Cambria" w:eastAsia="Calibri" w:hAnsi="Cambria" w:cs="Times New Roman"/>
          <w:sz w:val="24"/>
          <w:szCs w:val="24"/>
        </w:rPr>
        <w:t>Master Plan General de Transport al României, varianta finală iulie 2015;</w:t>
      </w:r>
    </w:p>
    <w:p w14:paraId="168D39ED" w14:textId="77777777" w:rsidR="00012B91" w:rsidRPr="00EA1BB2" w:rsidRDefault="00012B91" w:rsidP="00993575">
      <w:pPr>
        <w:numPr>
          <w:ilvl w:val="0"/>
          <w:numId w:val="63"/>
        </w:numPr>
        <w:spacing w:after="160" w:line="360" w:lineRule="auto"/>
        <w:ind w:left="851" w:hanging="283"/>
        <w:contextualSpacing/>
        <w:jc w:val="both"/>
        <w:rPr>
          <w:rFonts w:ascii="Cambria" w:eastAsia="Calibri" w:hAnsi="Cambria" w:cs="Times New Roman"/>
          <w:sz w:val="24"/>
          <w:szCs w:val="24"/>
        </w:rPr>
      </w:pPr>
      <w:r w:rsidRPr="00EA1BB2">
        <w:rPr>
          <w:rFonts w:ascii="Cambria" w:eastAsia="Calibri" w:hAnsi="Cambria" w:cs="Times New Roman"/>
          <w:sz w:val="24"/>
          <w:szCs w:val="24"/>
        </w:rPr>
        <w:t>Programul Operațional Regional (POR) pentru perioada 2014-2020;</w:t>
      </w:r>
    </w:p>
    <w:p w14:paraId="42F40599" w14:textId="77777777" w:rsidR="00012B91" w:rsidRPr="00EA1BB2" w:rsidRDefault="00012B91" w:rsidP="00993575">
      <w:pPr>
        <w:numPr>
          <w:ilvl w:val="0"/>
          <w:numId w:val="63"/>
        </w:numPr>
        <w:spacing w:after="160" w:line="360" w:lineRule="auto"/>
        <w:ind w:left="851" w:hanging="283"/>
        <w:contextualSpacing/>
        <w:jc w:val="both"/>
        <w:rPr>
          <w:rFonts w:ascii="Cambria" w:eastAsia="Calibri" w:hAnsi="Cambria" w:cs="Times New Roman"/>
          <w:sz w:val="24"/>
          <w:szCs w:val="24"/>
        </w:rPr>
      </w:pPr>
      <w:r w:rsidRPr="00EA1BB2">
        <w:rPr>
          <w:rFonts w:ascii="Cambria" w:eastAsia="Calibri" w:hAnsi="Cambria" w:cs="Times New Roman"/>
          <w:sz w:val="24"/>
          <w:szCs w:val="24"/>
        </w:rPr>
        <w:t>Programul Operațional Infrastructura Mare (POIM) 2014-2020;</w:t>
      </w:r>
    </w:p>
    <w:p w14:paraId="2687A9E2" w14:textId="77777777" w:rsidR="00012B91" w:rsidRPr="00EA1BB2" w:rsidRDefault="00012B91" w:rsidP="00993575">
      <w:pPr>
        <w:numPr>
          <w:ilvl w:val="0"/>
          <w:numId w:val="63"/>
        </w:numPr>
        <w:spacing w:after="160" w:line="360" w:lineRule="auto"/>
        <w:ind w:left="851" w:hanging="283"/>
        <w:contextualSpacing/>
        <w:jc w:val="both"/>
        <w:rPr>
          <w:rFonts w:ascii="Cambria" w:eastAsia="Calibri" w:hAnsi="Cambria" w:cs="Times New Roman"/>
          <w:sz w:val="24"/>
          <w:szCs w:val="24"/>
        </w:rPr>
      </w:pPr>
      <w:r w:rsidRPr="00EA1BB2">
        <w:rPr>
          <w:rFonts w:ascii="Cambria" w:eastAsia="Calibri" w:hAnsi="Cambria" w:cs="Times New Roman"/>
          <w:sz w:val="24"/>
          <w:szCs w:val="24"/>
        </w:rPr>
        <w:t>Strategia de Dezvoltare Regională Sud-Est 2014-2020;</w:t>
      </w:r>
    </w:p>
    <w:p w14:paraId="3D8CFAC6" w14:textId="77777777" w:rsidR="00012B91" w:rsidRPr="00EA1BB2" w:rsidRDefault="00012B91" w:rsidP="00993575">
      <w:pPr>
        <w:numPr>
          <w:ilvl w:val="0"/>
          <w:numId w:val="63"/>
        </w:numPr>
        <w:spacing w:after="160" w:line="360" w:lineRule="auto"/>
        <w:ind w:left="851" w:hanging="283"/>
        <w:contextualSpacing/>
        <w:jc w:val="both"/>
        <w:rPr>
          <w:rFonts w:ascii="Cambria" w:eastAsia="Calibri" w:hAnsi="Cambria" w:cs="Times New Roman"/>
          <w:sz w:val="24"/>
          <w:szCs w:val="24"/>
        </w:rPr>
      </w:pPr>
      <w:r w:rsidRPr="00EA1BB2">
        <w:rPr>
          <w:rFonts w:ascii="Cambria" w:eastAsia="Calibri" w:hAnsi="Cambria" w:cs="Times New Roman"/>
          <w:sz w:val="24"/>
          <w:szCs w:val="24"/>
        </w:rPr>
        <w:t xml:space="preserve">Strategia de Dezvoltare a </w:t>
      </w:r>
      <w:r w:rsidR="0086645C" w:rsidRPr="00EA1BB2">
        <w:rPr>
          <w:rFonts w:ascii="Cambria" w:eastAsia="Calibri" w:hAnsi="Cambria" w:cs="Times New Roman"/>
          <w:sz w:val="24"/>
          <w:szCs w:val="24"/>
        </w:rPr>
        <w:t>J</w:t>
      </w:r>
      <w:r w:rsidRPr="00EA1BB2">
        <w:rPr>
          <w:rFonts w:ascii="Cambria" w:eastAsia="Calibri" w:hAnsi="Cambria" w:cs="Times New Roman"/>
          <w:sz w:val="24"/>
          <w:szCs w:val="24"/>
        </w:rPr>
        <w:t>udețului Brăila 2014 – 2020;</w:t>
      </w:r>
    </w:p>
    <w:p w14:paraId="647D5631" w14:textId="77777777" w:rsidR="00012B91" w:rsidRPr="00EA1BB2" w:rsidRDefault="00012B91" w:rsidP="00993575">
      <w:pPr>
        <w:numPr>
          <w:ilvl w:val="0"/>
          <w:numId w:val="63"/>
        </w:numPr>
        <w:spacing w:after="160" w:line="360" w:lineRule="auto"/>
        <w:ind w:left="851" w:hanging="283"/>
        <w:contextualSpacing/>
        <w:jc w:val="both"/>
        <w:rPr>
          <w:rFonts w:ascii="Cambria" w:eastAsia="Calibri" w:hAnsi="Cambria" w:cs="Times New Roman"/>
          <w:sz w:val="24"/>
          <w:szCs w:val="24"/>
        </w:rPr>
      </w:pPr>
      <w:r w:rsidRPr="00EA1BB2">
        <w:rPr>
          <w:rFonts w:ascii="Cambria" w:eastAsia="Calibri" w:hAnsi="Cambria" w:cs="Times New Roman"/>
          <w:sz w:val="24"/>
          <w:szCs w:val="24"/>
        </w:rPr>
        <w:t>Sistem de management integrat al deșeurilor în județul Brăila;</w:t>
      </w:r>
    </w:p>
    <w:p w14:paraId="376094F4" w14:textId="77777777" w:rsidR="00012B91" w:rsidRPr="00EA1BB2" w:rsidRDefault="00012B91" w:rsidP="00993575">
      <w:pPr>
        <w:numPr>
          <w:ilvl w:val="0"/>
          <w:numId w:val="63"/>
        </w:numPr>
        <w:spacing w:after="160" w:line="360" w:lineRule="auto"/>
        <w:ind w:left="851" w:hanging="283"/>
        <w:contextualSpacing/>
        <w:jc w:val="both"/>
        <w:rPr>
          <w:rFonts w:ascii="Cambria" w:eastAsia="Calibri" w:hAnsi="Cambria" w:cs="Times New Roman"/>
          <w:sz w:val="24"/>
          <w:szCs w:val="24"/>
        </w:rPr>
      </w:pPr>
      <w:r w:rsidRPr="00EA1BB2">
        <w:rPr>
          <w:rFonts w:ascii="Cambria" w:eastAsia="Calibri" w:hAnsi="Cambria" w:cs="Times New Roman"/>
          <w:sz w:val="24"/>
          <w:szCs w:val="24"/>
        </w:rPr>
        <w:t>Legea nr. 104/15.06.2011 privind calitatea aerului înconjurător cu</w:t>
      </w:r>
      <w:r w:rsidR="0086645C" w:rsidRPr="00EA1BB2">
        <w:rPr>
          <w:rFonts w:ascii="Cambria" w:eastAsia="Calibri" w:hAnsi="Cambria" w:cs="Times New Roman"/>
          <w:sz w:val="24"/>
          <w:szCs w:val="24"/>
        </w:rPr>
        <w:t xml:space="preserve"> modificările </w:t>
      </w:r>
      <w:r w:rsidRPr="00EA1BB2">
        <w:rPr>
          <w:rFonts w:ascii="Cambria" w:eastAsia="Calibri" w:hAnsi="Cambria" w:cs="Times New Roman"/>
          <w:sz w:val="24"/>
          <w:szCs w:val="24"/>
        </w:rPr>
        <w:t>ulterioare;</w:t>
      </w:r>
    </w:p>
    <w:p w14:paraId="0F3F37D9" w14:textId="77777777" w:rsidR="00012B91" w:rsidRPr="00EA1BB2" w:rsidRDefault="00012B91" w:rsidP="00993575">
      <w:pPr>
        <w:numPr>
          <w:ilvl w:val="0"/>
          <w:numId w:val="63"/>
        </w:numPr>
        <w:spacing w:after="160" w:line="360" w:lineRule="auto"/>
        <w:ind w:left="851" w:hanging="283"/>
        <w:contextualSpacing/>
        <w:jc w:val="both"/>
        <w:rPr>
          <w:rFonts w:ascii="Cambria" w:eastAsia="Calibri" w:hAnsi="Cambria" w:cs="Times New Roman"/>
          <w:sz w:val="24"/>
          <w:szCs w:val="24"/>
        </w:rPr>
      </w:pPr>
      <w:r w:rsidRPr="00EA1BB2">
        <w:rPr>
          <w:rFonts w:ascii="Cambria" w:eastAsia="Calibri" w:hAnsi="Cambria" w:cs="Times New Roman"/>
          <w:sz w:val="24"/>
          <w:szCs w:val="24"/>
        </w:rPr>
        <w:t>H.G. 257/2015 privind aprobarea Metodologiei de elaborare a planurilor de calitate a aerului, a planurilor de acțiune pe termen scurt și a planurilor de menținere a calității aerului;</w:t>
      </w:r>
    </w:p>
    <w:p w14:paraId="074E4632" w14:textId="77777777" w:rsidR="00012B91" w:rsidRPr="00EA1BB2" w:rsidRDefault="00012B91" w:rsidP="00993575">
      <w:pPr>
        <w:numPr>
          <w:ilvl w:val="0"/>
          <w:numId w:val="63"/>
        </w:numPr>
        <w:spacing w:after="160" w:line="360" w:lineRule="auto"/>
        <w:ind w:left="851" w:hanging="283"/>
        <w:contextualSpacing/>
        <w:jc w:val="both"/>
        <w:rPr>
          <w:rFonts w:ascii="Cambria" w:eastAsia="Calibri" w:hAnsi="Cambria" w:cs="Times New Roman"/>
          <w:sz w:val="24"/>
          <w:szCs w:val="24"/>
        </w:rPr>
      </w:pPr>
      <w:r w:rsidRPr="00EA1BB2">
        <w:rPr>
          <w:rFonts w:ascii="Cambria" w:eastAsia="Calibri" w:hAnsi="Cambria" w:cs="Times New Roman"/>
          <w:sz w:val="24"/>
          <w:szCs w:val="24"/>
        </w:rPr>
        <w:t>Legea nr. 278/2013 privind emisiile industriale.</w:t>
      </w:r>
    </w:p>
    <w:p w14:paraId="60E78EC7" w14:textId="77777777" w:rsidR="005B2AFB" w:rsidRPr="00EA1BB2" w:rsidRDefault="005B2AFB" w:rsidP="00012B91">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 xml:space="preserve">Măsurile de </w:t>
      </w:r>
      <w:r w:rsidR="00471336" w:rsidRPr="00EA1BB2">
        <w:rPr>
          <w:rFonts w:ascii="Cambria" w:eastAsia="Times New Roman" w:hAnsi="Cambria" w:cs="Times New Roman"/>
          <w:sz w:val="24"/>
          <w:szCs w:val="24"/>
        </w:rPr>
        <w:t>men</w:t>
      </w:r>
      <w:r w:rsidR="00054880" w:rsidRPr="00EA1BB2">
        <w:rPr>
          <w:rFonts w:ascii="Cambria" w:eastAsia="Times New Roman" w:hAnsi="Cambria" w:cs="Times New Roman"/>
          <w:sz w:val="24"/>
          <w:szCs w:val="24"/>
        </w:rPr>
        <w:t>ț</w:t>
      </w:r>
      <w:r w:rsidR="00471336" w:rsidRPr="00EA1BB2">
        <w:rPr>
          <w:rFonts w:ascii="Cambria" w:eastAsia="Times New Roman" w:hAnsi="Cambria" w:cs="Times New Roman"/>
          <w:sz w:val="24"/>
          <w:szCs w:val="24"/>
        </w:rPr>
        <w:t>inere</w:t>
      </w:r>
      <w:r w:rsidRPr="00EA1BB2">
        <w:rPr>
          <w:rFonts w:ascii="Cambria" w:eastAsia="Times New Roman" w:hAnsi="Cambria" w:cs="Times New Roman"/>
          <w:sz w:val="24"/>
          <w:szCs w:val="24"/>
        </w:rPr>
        <w:t xml:space="preserve"> a </w:t>
      </w:r>
      <w:r w:rsidR="00471336" w:rsidRPr="00EA1BB2">
        <w:rPr>
          <w:rFonts w:ascii="Cambria" w:eastAsia="Times New Roman" w:hAnsi="Cambria" w:cs="Times New Roman"/>
          <w:sz w:val="24"/>
          <w:szCs w:val="24"/>
        </w:rPr>
        <w:t>calită</w:t>
      </w:r>
      <w:r w:rsidR="00054880" w:rsidRPr="00EA1BB2">
        <w:rPr>
          <w:rFonts w:ascii="Cambria" w:eastAsia="Times New Roman" w:hAnsi="Cambria" w:cs="Times New Roman"/>
          <w:sz w:val="24"/>
          <w:szCs w:val="24"/>
        </w:rPr>
        <w:t>ț</w:t>
      </w:r>
      <w:r w:rsidR="00471336" w:rsidRPr="00EA1BB2">
        <w:rPr>
          <w:rFonts w:ascii="Cambria" w:eastAsia="Times New Roman" w:hAnsi="Cambria" w:cs="Times New Roman"/>
          <w:sz w:val="24"/>
          <w:szCs w:val="24"/>
        </w:rPr>
        <w:t>ii</w:t>
      </w:r>
      <w:r w:rsidRPr="00EA1BB2">
        <w:rPr>
          <w:rFonts w:ascii="Cambria" w:eastAsia="Times New Roman" w:hAnsi="Cambria" w:cs="Times New Roman"/>
          <w:sz w:val="24"/>
          <w:szCs w:val="24"/>
        </w:rPr>
        <w:t xml:space="preserve"> aerului în jude</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ul Brăila vizează următoarele domenii: infrastructura de transport, re</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eaua de distribu</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ie a gazelor naturale, suprafe</w:t>
      </w:r>
      <w:r w:rsidR="00054880" w:rsidRPr="00EA1BB2">
        <w:rPr>
          <w:rFonts w:ascii="Cambria" w:eastAsia="Times New Roman" w:hAnsi="Cambria" w:cs="Times New Roman"/>
          <w:sz w:val="24"/>
          <w:szCs w:val="24"/>
        </w:rPr>
        <w:t>ț</w:t>
      </w:r>
      <w:r w:rsidRPr="00EA1BB2">
        <w:rPr>
          <w:rFonts w:ascii="Cambria" w:eastAsia="Times New Roman" w:hAnsi="Cambria" w:cs="Times New Roman"/>
          <w:sz w:val="24"/>
          <w:szCs w:val="24"/>
        </w:rPr>
        <w:t>e verzi (inclusiv perdele forestiere)</w:t>
      </w:r>
      <w:r w:rsidR="0086645C" w:rsidRPr="00EA1BB2">
        <w:rPr>
          <w:rFonts w:ascii="Cambria" w:eastAsia="Times New Roman" w:hAnsi="Cambria" w:cs="Times New Roman"/>
          <w:sz w:val="24"/>
          <w:szCs w:val="24"/>
        </w:rPr>
        <w:t xml:space="preserve">, </w:t>
      </w:r>
      <w:r w:rsidRPr="00EA1BB2">
        <w:rPr>
          <w:rFonts w:ascii="Cambria" w:eastAsia="Times New Roman" w:hAnsi="Cambria" w:cs="Times New Roman"/>
          <w:sz w:val="24"/>
          <w:szCs w:val="24"/>
        </w:rPr>
        <w:t xml:space="preserve">emisii generate de sursele de ardere în special încălzirea </w:t>
      </w:r>
      <w:r w:rsidR="007B6EE7" w:rsidRPr="00EA1BB2">
        <w:rPr>
          <w:rFonts w:ascii="Cambria" w:eastAsia="Times New Roman" w:hAnsi="Cambria" w:cs="Times New Roman"/>
          <w:sz w:val="24"/>
          <w:szCs w:val="24"/>
        </w:rPr>
        <w:t>instituțion</w:t>
      </w:r>
      <w:r w:rsidR="0086645C" w:rsidRPr="00EA1BB2">
        <w:rPr>
          <w:rFonts w:ascii="Cambria" w:eastAsia="Times New Roman" w:hAnsi="Cambria" w:cs="Times New Roman"/>
          <w:sz w:val="24"/>
          <w:szCs w:val="24"/>
        </w:rPr>
        <w:t>ală.</w:t>
      </w:r>
    </w:p>
    <w:p w14:paraId="2E5D655A" w14:textId="77777777" w:rsidR="006A2254" w:rsidRPr="00EA1BB2" w:rsidRDefault="006A2254" w:rsidP="006A2254">
      <w:pPr>
        <w:autoSpaceDE w:val="0"/>
        <w:autoSpaceDN w:val="0"/>
        <w:adjustRightInd w:val="0"/>
        <w:spacing w:line="360" w:lineRule="auto"/>
        <w:ind w:firstLine="708"/>
        <w:jc w:val="both"/>
        <w:rPr>
          <w:rFonts w:ascii="Cambria" w:hAnsi="Cambria"/>
          <w:sz w:val="24"/>
          <w:szCs w:val="24"/>
        </w:rPr>
      </w:pPr>
    </w:p>
    <w:p w14:paraId="5005E73D" w14:textId="77777777" w:rsidR="006A2254" w:rsidRPr="00EA1BB2" w:rsidRDefault="006A2254" w:rsidP="006A2254">
      <w:pPr>
        <w:autoSpaceDE w:val="0"/>
        <w:autoSpaceDN w:val="0"/>
        <w:adjustRightInd w:val="0"/>
        <w:spacing w:line="360" w:lineRule="auto"/>
        <w:ind w:firstLine="708"/>
        <w:jc w:val="both"/>
        <w:rPr>
          <w:rFonts w:ascii="Cambria" w:hAnsi="Cambria"/>
          <w:sz w:val="24"/>
          <w:szCs w:val="24"/>
        </w:rPr>
      </w:pPr>
    </w:p>
    <w:p w14:paraId="0D84FC2F" w14:textId="77777777" w:rsidR="006A2254" w:rsidRPr="00EA1BB2" w:rsidRDefault="006A2254" w:rsidP="006A2254">
      <w:pPr>
        <w:autoSpaceDE w:val="0"/>
        <w:autoSpaceDN w:val="0"/>
        <w:adjustRightInd w:val="0"/>
        <w:spacing w:line="360" w:lineRule="auto"/>
        <w:ind w:firstLine="708"/>
        <w:jc w:val="both"/>
        <w:rPr>
          <w:rFonts w:ascii="Cambria" w:hAnsi="Cambria"/>
          <w:sz w:val="24"/>
          <w:szCs w:val="24"/>
        </w:rPr>
        <w:sectPr w:rsidR="006A2254" w:rsidRPr="00EA1BB2" w:rsidSect="00E93869">
          <w:headerReference w:type="default" r:id="rId144"/>
          <w:footerReference w:type="default" r:id="rId145"/>
          <w:pgSz w:w="11906" w:h="16838" w:code="9"/>
          <w:pgMar w:top="1134" w:right="1418" w:bottom="1134" w:left="1418" w:header="284" w:footer="284" w:gutter="0"/>
          <w:cols w:space="708"/>
          <w:docGrid w:linePitch="360"/>
        </w:sectPr>
      </w:pPr>
    </w:p>
    <w:p w14:paraId="41CB5591" w14:textId="4968345B" w:rsidR="006A2254" w:rsidRPr="00EA1BB2" w:rsidRDefault="006A2254" w:rsidP="006A2254">
      <w:pPr>
        <w:pStyle w:val="Caption"/>
        <w:keepNext/>
        <w:spacing w:after="0" w:line="360" w:lineRule="auto"/>
        <w:ind w:firstLine="708"/>
        <w:jc w:val="both"/>
        <w:rPr>
          <w:rFonts w:ascii="Cambria" w:hAnsi="Cambria"/>
        </w:rPr>
      </w:pPr>
      <w:bookmarkStart w:id="271" w:name="_Toc520368227"/>
      <w:bookmarkStart w:id="272" w:name="_Toc526889828"/>
      <w:r w:rsidRPr="00EA1BB2">
        <w:rPr>
          <w:rFonts w:ascii="Cambria" w:hAnsi="Cambria"/>
        </w:rPr>
        <w:lastRenderedPageBreak/>
        <w:t xml:space="preserve">Tabelul nr. </w:t>
      </w:r>
      <w:r w:rsidR="000A2FE7" w:rsidRPr="00EA1BB2">
        <w:rPr>
          <w:rFonts w:ascii="Cambria" w:hAnsi="Cambria"/>
        </w:rPr>
        <w:fldChar w:fldCharType="begin"/>
      </w:r>
      <w:r w:rsidR="000A2FE7" w:rsidRPr="00EA1BB2">
        <w:rPr>
          <w:rFonts w:ascii="Cambria" w:hAnsi="Cambria"/>
        </w:rPr>
        <w:instrText xml:space="preserve"> STYLEREF 1 \s </w:instrText>
      </w:r>
      <w:r w:rsidR="000A2FE7" w:rsidRPr="00EA1BB2">
        <w:rPr>
          <w:rFonts w:ascii="Cambria" w:hAnsi="Cambria"/>
        </w:rPr>
        <w:fldChar w:fldCharType="separate"/>
      </w:r>
      <w:r w:rsidR="00567555">
        <w:rPr>
          <w:rFonts w:ascii="Cambria" w:hAnsi="Cambria"/>
          <w:noProof/>
        </w:rPr>
        <w:t>6</w:t>
      </w:r>
      <w:r w:rsidR="000A2FE7" w:rsidRPr="00EA1BB2">
        <w:rPr>
          <w:rFonts w:ascii="Cambria" w:hAnsi="Cambria"/>
        </w:rPr>
        <w:fldChar w:fldCharType="end"/>
      </w:r>
      <w:r w:rsidR="000A2FE7" w:rsidRPr="00EA1BB2">
        <w:rPr>
          <w:rFonts w:ascii="Cambria" w:hAnsi="Cambria"/>
        </w:rPr>
        <w:noBreakHyphen/>
      </w:r>
      <w:r w:rsidR="000A2FE7" w:rsidRPr="00EA1BB2">
        <w:rPr>
          <w:rFonts w:ascii="Cambria" w:hAnsi="Cambria"/>
        </w:rPr>
        <w:fldChar w:fldCharType="begin"/>
      </w:r>
      <w:r w:rsidR="000A2FE7" w:rsidRPr="00EA1BB2">
        <w:rPr>
          <w:rFonts w:ascii="Cambria" w:hAnsi="Cambria"/>
        </w:rPr>
        <w:instrText xml:space="preserve"> SEQ Tabelul_nr. \* ARABIC \s 1 </w:instrText>
      </w:r>
      <w:r w:rsidR="000A2FE7" w:rsidRPr="00EA1BB2">
        <w:rPr>
          <w:rFonts w:ascii="Cambria" w:hAnsi="Cambria"/>
        </w:rPr>
        <w:fldChar w:fldCharType="separate"/>
      </w:r>
      <w:r w:rsidR="00567555">
        <w:rPr>
          <w:rFonts w:ascii="Cambria" w:hAnsi="Cambria"/>
          <w:noProof/>
        </w:rPr>
        <w:t>1</w:t>
      </w:r>
      <w:r w:rsidR="000A2FE7" w:rsidRPr="00EA1BB2">
        <w:rPr>
          <w:rFonts w:ascii="Cambria" w:hAnsi="Cambria"/>
        </w:rPr>
        <w:fldChar w:fldCharType="end"/>
      </w:r>
      <w:r w:rsidRPr="00EA1BB2">
        <w:rPr>
          <w:rFonts w:ascii="Cambria" w:hAnsi="Cambria"/>
        </w:rPr>
        <w:t xml:space="preserve"> – Estimarea reducerilor emisiilor de poluanți în urma implementării măsurilor</w:t>
      </w:r>
      <w:bookmarkEnd w:id="271"/>
      <w:bookmarkEnd w:id="272"/>
    </w:p>
    <w:tbl>
      <w:tblPr>
        <w:tblW w:w="553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7"/>
        <w:gridCol w:w="719"/>
        <w:gridCol w:w="719"/>
        <w:gridCol w:w="3361"/>
        <w:gridCol w:w="1074"/>
        <w:gridCol w:w="1071"/>
        <w:gridCol w:w="1071"/>
        <w:gridCol w:w="1071"/>
        <w:gridCol w:w="1071"/>
        <w:gridCol w:w="1071"/>
        <w:gridCol w:w="1071"/>
        <w:gridCol w:w="1071"/>
        <w:gridCol w:w="1184"/>
        <w:gridCol w:w="1139"/>
      </w:tblGrid>
      <w:tr w:rsidR="009D2E69" w:rsidRPr="00EA1BB2" w14:paraId="05794465" w14:textId="77777777" w:rsidTr="00EC4138">
        <w:trPr>
          <w:trHeight w:val="290"/>
          <w:jc w:val="center"/>
        </w:trPr>
        <w:tc>
          <w:tcPr>
            <w:tcW w:w="135" w:type="pct"/>
            <w:vMerge w:val="restart"/>
            <w:shd w:val="clear" w:color="auto" w:fill="DEEAF6" w:themeFill="accent1" w:themeFillTint="33"/>
          </w:tcPr>
          <w:p w14:paraId="309E61E3" w14:textId="77777777" w:rsidR="009D2E69" w:rsidRPr="00EA1BB2" w:rsidRDefault="009D2E69" w:rsidP="00EC4138">
            <w:pPr>
              <w:spacing w:line="276" w:lineRule="auto"/>
              <w:ind w:right="-104"/>
              <w:jc w:val="center"/>
              <w:rPr>
                <w:rFonts w:ascii="Cambria" w:eastAsia="Times New Roman" w:hAnsi="Cambria" w:cs="Calibri"/>
                <w:b/>
                <w:color w:val="000000"/>
                <w:sz w:val="20"/>
                <w:szCs w:val="20"/>
              </w:rPr>
            </w:pPr>
          </w:p>
        </w:tc>
        <w:tc>
          <w:tcPr>
            <w:tcW w:w="223" w:type="pct"/>
            <w:vMerge w:val="restart"/>
            <w:shd w:val="clear" w:color="auto" w:fill="DEEAF6" w:themeFill="accent1" w:themeFillTint="33"/>
            <w:noWrap/>
            <w:vAlign w:val="center"/>
          </w:tcPr>
          <w:p w14:paraId="471DFC82" w14:textId="77777777" w:rsidR="009D2E69" w:rsidRPr="00EA1BB2" w:rsidRDefault="009D2E69" w:rsidP="00EC4138">
            <w:pPr>
              <w:spacing w:line="276" w:lineRule="auto"/>
              <w:ind w:right="-104"/>
              <w:jc w:val="center"/>
              <w:rPr>
                <w:rFonts w:ascii="Cambria" w:eastAsia="Times New Roman" w:hAnsi="Cambria" w:cs="Calibri"/>
                <w:b/>
                <w:color w:val="000000"/>
                <w:sz w:val="20"/>
                <w:szCs w:val="20"/>
              </w:rPr>
            </w:pPr>
            <w:r w:rsidRPr="00EA1BB2">
              <w:rPr>
                <w:rFonts w:ascii="Cambria" w:eastAsia="Times New Roman" w:hAnsi="Cambria" w:cs="Calibri"/>
                <w:b/>
                <w:color w:val="000000"/>
                <w:sz w:val="20"/>
                <w:szCs w:val="20"/>
              </w:rPr>
              <w:t>Cod</w:t>
            </w:r>
          </w:p>
        </w:tc>
        <w:tc>
          <w:tcPr>
            <w:tcW w:w="1265" w:type="pct"/>
            <w:gridSpan w:val="2"/>
            <w:shd w:val="clear" w:color="auto" w:fill="DEEAF6" w:themeFill="accent1" w:themeFillTint="33"/>
          </w:tcPr>
          <w:p w14:paraId="646CE629" w14:textId="77777777" w:rsidR="009D2E69" w:rsidRPr="00EA1BB2" w:rsidRDefault="009D2E69" w:rsidP="00EC4138">
            <w:pPr>
              <w:spacing w:line="276" w:lineRule="auto"/>
              <w:jc w:val="center"/>
              <w:rPr>
                <w:rFonts w:ascii="Cambria" w:eastAsia="Times New Roman" w:hAnsi="Cambria" w:cs="Calibri"/>
                <w:b/>
                <w:color w:val="000000"/>
                <w:sz w:val="20"/>
                <w:szCs w:val="20"/>
              </w:rPr>
            </w:pPr>
            <w:r w:rsidRPr="00EA1BB2">
              <w:rPr>
                <w:rFonts w:ascii="Cambria" w:eastAsia="Times New Roman" w:hAnsi="Cambria" w:cs="Calibri"/>
                <w:b/>
                <w:color w:val="000000"/>
                <w:sz w:val="20"/>
                <w:szCs w:val="20"/>
              </w:rPr>
              <w:t>Măsuri</w:t>
            </w:r>
          </w:p>
        </w:tc>
        <w:tc>
          <w:tcPr>
            <w:tcW w:w="333" w:type="pct"/>
            <w:vMerge w:val="restart"/>
            <w:shd w:val="clear" w:color="auto" w:fill="DEEAF6" w:themeFill="accent1" w:themeFillTint="33"/>
          </w:tcPr>
          <w:p w14:paraId="40C6920E" w14:textId="77777777" w:rsidR="009D2E69" w:rsidRPr="00EA1BB2" w:rsidRDefault="009D2E69" w:rsidP="00EC4138">
            <w:pPr>
              <w:spacing w:line="276" w:lineRule="auto"/>
              <w:ind w:right="-102"/>
              <w:jc w:val="center"/>
              <w:rPr>
                <w:rFonts w:ascii="Cambria" w:hAnsi="Cambria"/>
                <w:b/>
                <w:sz w:val="20"/>
                <w:szCs w:val="20"/>
              </w:rPr>
            </w:pPr>
            <w:r w:rsidRPr="00EA1BB2">
              <w:rPr>
                <w:rFonts w:ascii="Cambria" w:hAnsi="Cambria"/>
                <w:b/>
                <w:sz w:val="20"/>
                <w:szCs w:val="20"/>
              </w:rPr>
              <w:t>As</w:t>
            </w:r>
          </w:p>
          <w:p w14:paraId="1CDDF0CA" w14:textId="77777777" w:rsidR="009D2E69" w:rsidRPr="00EA1BB2" w:rsidRDefault="009D2E69" w:rsidP="00EC4138">
            <w:pPr>
              <w:spacing w:line="276" w:lineRule="auto"/>
              <w:ind w:right="-102"/>
              <w:jc w:val="center"/>
              <w:rPr>
                <w:rFonts w:ascii="Cambria" w:hAnsi="Cambria"/>
                <w:b/>
                <w:sz w:val="20"/>
                <w:szCs w:val="20"/>
              </w:rPr>
            </w:pPr>
            <w:r w:rsidRPr="00EA1BB2">
              <w:rPr>
                <w:rFonts w:ascii="Cambria" w:eastAsia="Times New Roman" w:hAnsi="Cambria" w:cs="Calibri"/>
                <w:b/>
                <w:color w:val="000000"/>
                <w:sz w:val="20"/>
                <w:szCs w:val="20"/>
              </w:rPr>
              <w:t>(t/an)</w:t>
            </w:r>
          </w:p>
        </w:tc>
        <w:tc>
          <w:tcPr>
            <w:tcW w:w="332" w:type="pct"/>
            <w:vMerge w:val="restart"/>
            <w:shd w:val="clear" w:color="auto" w:fill="DEEAF6" w:themeFill="accent1" w:themeFillTint="33"/>
          </w:tcPr>
          <w:p w14:paraId="096B36B9" w14:textId="77777777" w:rsidR="009D2E69" w:rsidRPr="00EA1BB2" w:rsidRDefault="009D2E69" w:rsidP="00EC4138">
            <w:pPr>
              <w:spacing w:line="276" w:lineRule="auto"/>
              <w:ind w:right="-111"/>
              <w:jc w:val="center"/>
              <w:rPr>
                <w:rFonts w:ascii="Cambria" w:hAnsi="Cambria"/>
                <w:b/>
                <w:sz w:val="20"/>
                <w:szCs w:val="20"/>
              </w:rPr>
            </w:pPr>
            <w:r w:rsidRPr="00EA1BB2">
              <w:rPr>
                <w:rFonts w:ascii="Cambria" w:hAnsi="Cambria"/>
                <w:b/>
                <w:sz w:val="20"/>
                <w:szCs w:val="20"/>
              </w:rPr>
              <w:t>Cd</w:t>
            </w:r>
          </w:p>
          <w:p w14:paraId="711F19AA" w14:textId="77777777" w:rsidR="009D2E69" w:rsidRPr="00EA1BB2" w:rsidRDefault="009D2E69" w:rsidP="00EC4138">
            <w:pPr>
              <w:spacing w:line="276" w:lineRule="auto"/>
              <w:ind w:right="-111"/>
              <w:jc w:val="center"/>
              <w:rPr>
                <w:rFonts w:ascii="Cambria" w:hAnsi="Cambria"/>
                <w:b/>
                <w:sz w:val="20"/>
                <w:szCs w:val="20"/>
              </w:rPr>
            </w:pPr>
            <w:r w:rsidRPr="00EA1BB2">
              <w:rPr>
                <w:rFonts w:ascii="Cambria" w:eastAsia="Times New Roman" w:hAnsi="Cambria" w:cs="Calibri"/>
                <w:b/>
                <w:color w:val="000000"/>
                <w:sz w:val="20"/>
                <w:szCs w:val="20"/>
              </w:rPr>
              <w:t>(t/an)</w:t>
            </w:r>
          </w:p>
        </w:tc>
        <w:tc>
          <w:tcPr>
            <w:tcW w:w="332" w:type="pct"/>
            <w:vMerge w:val="restart"/>
            <w:shd w:val="clear" w:color="auto" w:fill="DEEAF6" w:themeFill="accent1" w:themeFillTint="33"/>
          </w:tcPr>
          <w:p w14:paraId="51289361" w14:textId="77777777" w:rsidR="009D2E69" w:rsidRPr="00EA1BB2" w:rsidRDefault="009D2E69" w:rsidP="00EC4138">
            <w:pPr>
              <w:spacing w:line="276" w:lineRule="auto"/>
              <w:jc w:val="center"/>
              <w:rPr>
                <w:rFonts w:ascii="Cambria" w:hAnsi="Cambria"/>
                <w:b/>
                <w:sz w:val="20"/>
                <w:szCs w:val="20"/>
              </w:rPr>
            </w:pPr>
            <w:r w:rsidRPr="00EA1BB2">
              <w:rPr>
                <w:rFonts w:ascii="Cambria" w:hAnsi="Cambria"/>
                <w:b/>
                <w:sz w:val="20"/>
                <w:szCs w:val="20"/>
              </w:rPr>
              <w:t>C</w:t>
            </w:r>
            <w:r w:rsidRPr="00EA1BB2">
              <w:rPr>
                <w:rFonts w:ascii="Cambria" w:hAnsi="Cambria"/>
                <w:b/>
                <w:sz w:val="20"/>
                <w:szCs w:val="20"/>
                <w:vertAlign w:val="subscript"/>
              </w:rPr>
              <w:t>6</w:t>
            </w:r>
            <w:r w:rsidRPr="00EA1BB2">
              <w:rPr>
                <w:rFonts w:ascii="Cambria" w:hAnsi="Cambria"/>
                <w:b/>
                <w:sz w:val="20"/>
                <w:szCs w:val="20"/>
              </w:rPr>
              <w:t>H</w:t>
            </w:r>
            <w:r w:rsidRPr="00EA1BB2">
              <w:rPr>
                <w:rFonts w:ascii="Cambria" w:hAnsi="Cambria"/>
                <w:b/>
                <w:sz w:val="20"/>
                <w:szCs w:val="20"/>
                <w:vertAlign w:val="subscript"/>
              </w:rPr>
              <w:t>6</w:t>
            </w:r>
          </w:p>
          <w:p w14:paraId="1CAADD90" w14:textId="77777777" w:rsidR="009D2E69" w:rsidRPr="00EA1BB2" w:rsidRDefault="009D2E69" w:rsidP="00EC4138">
            <w:pPr>
              <w:spacing w:line="276" w:lineRule="auto"/>
              <w:jc w:val="center"/>
              <w:rPr>
                <w:rFonts w:ascii="Cambria" w:hAnsi="Cambria"/>
                <w:b/>
                <w:sz w:val="20"/>
                <w:szCs w:val="20"/>
              </w:rPr>
            </w:pPr>
            <w:r w:rsidRPr="00EA1BB2">
              <w:rPr>
                <w:rFonts w:ascii="Cambria" w:eastAsia="Times New Roman" w:hAnsi="Cambria" w:cs="Calibri"/>
                <w:b/>
                <w:color w:val="000000"/>
                <w:sz w:val="20"/>
                <w:szCs w:val="20"/>
              </w:rPr>
              <w:t>(t/an)</w:t>
            </w:r>
          </w:p>
        </w:tc>
        <w:tc>
          <w:tcPr>
            <w:tcW w:w="332" w:type="pct"/>
            <w:vMerge w:val="restart"/>
            <w:shd w:val="clear" w:color="auto" w:fill="DEEAF6" w:themeFill="accent1" w:themeFillTint="33"/>
          </w:tcPr>
          <w:p w14:paraId="62029150" w14:textId="77777777" w:rsidR="009D2E69" w:rsidRPr="00EA1BB2" w:rsidRDefault="009D2E69" w:rsidP="00EC4138">
            <w:pPr>
              <w:spacing w:line="276" w:lineRule="auto"/>
              <w:jc w:val="center"/>
              <w:rPr>
                <w:rFonts w:ascii="Cambria" w:hAnsi="Cambria"/>
                <w:b/>
                <w:sz w:val="20"/>
                <w:szCs w:val="20"/>
              </w:rPr>
            </w:pPr>
            <w:r w:rsidRPr="00EA1BB2">
              <w:rPr>
                <w:rFonts w:ascii="Cambria" w:hAnsi="Cambria"/>
                <w:b/>
                <w:sz w:val="20"/>
                <w:szCs w:val="20"/>
              </w:rPr>
              <w:t>CO</w:t>
            </w:r>
          </w:p>
          <w:p w14:paraId="178D8627" w14:textId="77777777" w:rsidR="009D2E69" w:rsidRPr="00EA1BB2" w:rsidRDefault="009D2E69" w:rsidP="00EC4138">
            <w:pPr>
              <w:spacing w:line="276" w:lineRule="auto"/>
              <w:jc w:val="center"/>
              <w:rPr>
                <w:rFonts w:ascii="Cambria" w:hAnsi="Cambria"/>
                <w:b/>
                <w:sz w:val="20"/>
                <w:szCs w:val="20"/>
              </w:rPr>
            </w:pPr>
            <w:r w:rsidRPr="00EA1BB2">
              <w:rPr>
                <w:rFonts w:ascii="Cambria" w:eastAsia="Times New Roman" w:hAnsi="Cambria" w:cs="Calibri"/>
                <w:b/>
                <w:color w:val="000000"/>
                <w:sz w:val="20"/>
                <w:szCs w:val="20"/>
              </w:rPr>
              <w:t>(t/an)</w:t>
            </w:r>
          </w:p>
        </w:tc>
        <w:tc>
          <w:tcPr>
            <w:tcW w:w="332" w:type="pct"/>
            <w:vMerge w:val="restart"/>
            <w:shd w:val="clear" w:color="auto" w:fill="DEEAF6" w:themeFill="accent1" w:themeFillTint="33"/>
          </w:tcPr>
          <w:p w14:paraId="2B6042B6" w14:textId="77777777" w:rsidR="009D2E69" w:rsidRPr="00EA1BB2" w:rsidRDefault="009D2E69" w:rsidP="00EC4138">
            <w:pPr>
              <w:spacing w:line="276" w:lineRule="auto"/>
              <w:jc w:val="center"/>
              <w:rPr>
                <w:rFonts w:ascii="Cambria" w:hAnsi="Cambria"/>
                <w:b/>
                <w:sz w:val="20"/>
                <w:szCs w:val="20"/>
              </w:rPr>
            </w:pPr>
            <w:r w:rsidRPr="00EA1BB2">
              <w:rPr>
                <w:rFonts w:ascii="Cambria" w:hAnsi="Cambria"/>
                <w:b/>
                <w:sz w:val="20"/>
                <w:szCs w:val="20"/>
              </w:rPr>
              <w:t xml:space="preserve">Ni </w:t>
            </w:r>
          </w:p>
          <w:p w14:paraId="26EC10F7" w14:textId="77777777" w:rsidR="009D2E69" w:rsidRPr="00EA1BB2" w:rsidRDefault="009D2E69" w:rsidP="00EC4138">
            <w:pPr>
              <w:spacing w:line="276" w:lineRule="auto"/>
              <w:jc w:val="center"/>
              <w:rPr>
                <w:rFonts w:ascii="Cambria" w:hAnsi="Cambria"/>
                <w:b/>
                <w:sz w:val="20"/>
                <w:szCs w:val="20"/>
              </w:rPr>
            </w:pPr>
            <w:r w:rsidRPr="00EA1BB2">
              <w:rPr>
                <w:rFonts w:ascii="Cambria" w:eastAsia="Times New Roman" w:hAnsi="Cambria" w:cs="Calibri"/>
                <w:b/>
                <w:color w:val="000000"/>
                <w:sz w:val="20"/>
                <w:szCs w:val="20"/>
              </w:rPr>
              <w:t>(t/an)</w:t>
            </w:r>
          </w:p>
        </w:tc>
        <w:tc>
          <w:tcPr>
            <w:tcW w:w="332" w:type="pct"/>
            <w:vMerge w:val="restart"/>
            <w:shd w:val="clear" w:color="auto" w:fill="DEEAF6" w:themeFill="accent1" w:themeFillTint="33"/>
          </w:tcPr>
          <w:p w14:paraId="4953AD32" w14:textId="77777777" w:rsidR="009D2E69" w:rsidRPr="00EA1BB2" w:rsidRDefault="009D2E69" w:rsidP="00EC4138">
            <w:pPr>
              <w:spacing w:line="276" w:lineRule="auto"/>
              <w:jc w:val="center"/>
              <w:rPr>
                <w:rFonts w:ascii="Cambria" w:hAnsi="Cambria"/>
                <w:b/>
                <w:sz w:val="20"/>
                <w:szCs w:val="20"/>
              </w:rPr>
            </w:pPr>
            <w:r w:rsidRPr="00EA1BB2">
              <w:rPr>
                <w:rFonts w:ascii="Cambria" w:hAnsi="Cambria"/>
                <w:b/>
                <w:sz w:val="20"/>
                <w:szCs w:val="20"/>
              </w:rPr>
              <w:t>NOx</w:t>
            </w:r>
          </w:p>
          <w:p w14:paraId="2A282C5C" w14:textId="77777777" w:rsidR="009D2E69" w:rsidRPr="00EA1BB2" w:rsidRDefault="009D2E69" w:rsidP="00EC4138">
            <w:pPr>
              <w:spacing w:line="276" w:lineRule="auto"/>
              <w:jc w:val="center"/>
              <w:rPr>
                <w:rFonts w:ascii="Cambria" w:hAnsi="Cambria"/>
                <w:b/>
                <w:sz w:val="20"/>
                <w:szCs w:val="20"/>
              </w:rPr>
            </w:pPr>
            <w:r w:rsidRPr="00EA1BB2">
              <w:rPr>
                <w:rFonts w:ascii="Cambria" w:eastAsia="Times New Roman" w:hAnsi="Cambria" w:cs="Calibri"/>
                <w:b/>
                <w:color w:val="000000"/>
                <w:sz w:val="20"/>
                <w:szCs w:val="20"/>
              </w:rPr>
              <w:t>(t/an)</w:t>
            </w:r>
          </w:p>
        </w:tc>
        <w:tc>
          <w:tcPr>
            <w:tcW w:w="332" w:type="pct"/>
            <w:vMerge w:val="restart"/>
            <w:shd w:val="clear" w:color="auto" w:fill="DEEAF6" w:themeFill="accent1" w:themeFillTint="33"/>
          </w:tcPr>
          <w:p w14:paraId="623A8D0D" w14:textId="77777777" w:rsidR="009D2E69" w:rsidRPr="00EA1BB2" w:rsidRDefault="009D2E69" w:rsidP="00EC4138">
            <w:pPr>
              <w:spacing w:line="276" w:lineRule="auto"/>
              <w:jc w:val="center"/>
              <w:rPr>
                <w:rFonts w:ascii="Cambria" w:hAnsi="Cambria"/>
                <w:b/>
                <w:sz w:val="20"/>
                <w:szCs w:val="20"/>
              </w:rPr>
            </w:pPr>
            <w:r w:rsidRPr="00EA1BB2">
              <w:rPr>
                <w:rFonts w:ascii="Cambria" w:hAnsi="Cambria"/>
                <w:b/>
                <w:sz w:val="20"/>
                <w:szCs w:val="20"/>
              </w:rPr>
              <w:t>Pb</w:t>
            </w:r>
          </w:p>
          <w:p w14:paraId="7B421E6F" w14:textId="77777777" w:rsidR="009D2E69" w:rsidRPr="00EA1BB2" w:rsidRDefault="009D2E69" w:rsidP="00EC4138">
            <w:pPr>
              <w:spacing w:line="276" w:lineRule="auto"/>
              <w:jc w:val="center"/>
              <w:rPr>
                <w:rFonts w:ascii="Cambria" w:hAnsi="Cambria"/>
                <w:b/>
                <w:sz w:val="20"/>
                <w:szCs w:val="20"/>
              </w:rPr>
            </w:pPr>
            <w:r w:rsidRPr="00EA1BB2">
              <w:rPr>
                <w:rFonts w:ascii="Cambria" w:eastAsia="Times New Roman" w:hAnsi="Cambria" w:cs="Calibri"/>
                <w:b/>
                <w:color w:val="000000"/>
                <w:sz w:val="20"/>
                <w:szCs w:val="20"/>
              </w:rPr>
              <w:t>(t/an)</w:t>
            </w:r>
          </w:p>
        </w:tc>
        <w:tc>
          <w:tcPr>
            <w:tcW w:w="332" w:type="pct"/>
            <w:vMerge w:val="restart"/>
            <w:shd w:val="clear" w:color="auto" w:fill="DEEAF6" w:themeFill="accent1" w:themeFillTint="33"/>
          </w:tcPr>
          <w:p w14:paraId="32968C0D" w14:textId="77777777" w:rsidR="009D2E69" w:rsidRPr="00EA1BB2" w:rsidRDefault="009D2E69" w:rsidP="00EC4138">
            <w:pPr>
              <w:spacing w:line="276" w:lineRule="auto"/>
              <w:jc w:val="center"/>
              <w:rPr>
                <w:rFonts w:ascii="Cambria" w:hAnsi="Cambria"/>
                <w:b/>
                <w:sz w:val="20"/>
                <w:szCs w:val="20"/>
                <w:vertAlign w:val="subscript"/>
              </w:rPr>
            </w:pPr>
            <w:r w:rsidRPr="00EA1BB2">
              <w:rPr>
                <w:rFonts w:ascii="Cambria" w:hAnsi="Cambria"/>
                <w:b/>
                <w:sz w:val="20"/>
                <w:szCs w:val="20"/>
              </w:rPr>
              <w:t>PM</w:t>
            </w:r>
            <w:r w:rsidRPr="00EA1BB2">
              <w:rPr>
                <w:rFonts w:ascii="Cambria" w:hAnsi="Cambria"/>
                <w:b/>
                <w:sz w:val="20"/>
                <w:szCs w:val="20"/>
                <w:vertAlign w:val="subscript"/>
              </w:rPr>
              <w:t>10</w:t>
            </w:r>
          </w:p>
          <w:p w14:paraId="54878EC9" w14:textId="77777777" w:rsidR="009D2E69" w:rsidRPr="00EA1BB2" w:rsidRDefault="009D2E69" w:rsidP="00EC4138">
            <w:pPr>
              <w:spacing w:line="276" w:lineRule="auto"/>
              <w:jc w:val="center"/>
              <w:rPr>
                <w:rFonts w:ascii="Cambria" w:hAnsi="Cambria"/>
                <w:b/>
                <w:sz w:val="20"/>
                <w:szCs w:val="20"/>
              </w:rPr>
            </w:pPr>
            <w:r w:rsidRPr="00EA1BB2">
              <w:rPr>
                <w:rFonts w:ascii="Cambria" w:eastAsia="Times New Roman" w:hAnsi="Cambria" w:cs="Calibri"/>
                <w:b/>
                <w:color w:val="000000"/>
                <w:sz w:val="20"/>
                <w:szCs w:val="20"/>
              </w:rPr>
              <w:t>(t/an)</w:t>
            </w:r>
          </w:p>
        </w:tc>
        <w:tc>
          <w:tcPr>
            <w:tcW w:w="367" w:type="pct"/>
            <w:vMerge w:val="restart"/>
            <w:shd w:val="clear" w:color="auto" w:fill="DEEAF6" w:themeFill="accent1" w:themeFillTint="33"/>
          </w:tcPr>
          <w:p w14:paraId="6F7D9A78" w14:textId="77777777" w:rsidR="009D2E69" w:rsidRPr="00EA1BB2" w:rsidRDefault="009D2E69" w:rsidP="00EC4138">
            <w:pPr>
              <w:spacing w:line="276" w:lineRule="auto"/>
              <w:jc w:val="center"/>
              <w:rPr>
                <w:rFonts w:ascii="Cambria" w:hAnsi="Cambria"/>
                <w:b/>
                <w:sz w:val="20"/>
                <w:szCs w:val="20"/>
                <w:vertAlign w:val="subscript"/>
              </w:rPr>
            </w:pPr>
            <w:r w:rsidRPr="00EA1BB2">
              <w:rPr>
                <w:rFonts w:ascii="Cambria" w:hAnsi="Cambria"/>
                <w:b/>
                <w:sz w:val="20"/>
                <w:szCs w:val="20"/>
              </w:rPr>
              <w:t>PM</w:t>
            </w:r>
            <w:r w:rsidRPr="00EA1BB2">
              <w:rPr>
                <w:rFonts w:ascii="Cambria" w:hAnsi="Cambria"/>
                <w:b/>
                <w:sz w:val="20"/>
                <w:szCs w:val="20"/>
                <w:vertAlign w:val="subscript"/>
              </w:rPr>
              <w:t>2,5</w:t>
            </w:r>
          </w:p>
          <w:p w14:paraId="409BEB8C" w14:textId="77777777" w:rsidR="009D2E69" w:rsidRPr="00EA1BB2" w:rsidRDefault="009D2E69" w:rsidP="00EC4138">
            <w:pPr>
              <w:spacing w:line="276" w:lineRule="auto"/>
              <w:jc w:val="center"/>
              <w:rPr>
                <w:rFonts w:ascii="Cambria" w:hAnsi="Cambria"/>
                <w:b/>
                <w:sz w:val="20"/>
                <w:szCs w:val="20"/>
              </w:rPr>
            </w:pPr>
            <w:r w:rsidRPr="00EA1BB2">
              <w:rPr>
                <w:rFonts w:ascii="Cambria" w:eastAsia="Times New Roman" w:hAnsi="Cambria" w:cs="Calibri"/>
                <w:b/>
                <w:color w:val="000000"/>
                <w:sz w:val="20"/>
                <w:szCs w:val="20"/>
              </w:rPr>
              <w:t>(t/an)</w:t>
            </w:r>
          </w:p>
        </w:tc>
        <w:tc>
          <w:tcPr>
            <w:tcW w:w="353" w:type="pct"/>
            <w:vMerge w:val="restart"/>
            <w:shd w:val="clear" w:color="auto" w:fill="DEEAF6" w:themeFill="accent1" w:themeFillTint="33"/>
          </w:tcPr>
          <w:p w14:paraId="38A840BD" w14:textId="77777777" w:rsidR="009D2E69" w:rsidRPr="00EA1BB2" w:rsidRDefault="009D2E69" w:rsidP="00EC4138">
            <w:pPr>
              <w:spacing w:line="276" w:lineRule="auto"/>
              <w:jc w:val="center"/>
              <w:rPr>
                <w:rFonts w:ascii="Cambria" w:hAnsi="Cambria"/>
                <w:b/>
                <w:sz w:val="20"/>
                <w:szCs w:val="20"/>
              </w:rPr>
            </w:pPr>
            <w:r w:rsidRPr="00EA1BB2">
              <w:rPr>
                <w:rFonts w:ascii="Cambria" w:hAnsi="Cambria"/>
                <w:b/>
                <w:sz w:val="20"/>
                <w:szCs w:val="20"/>
              </w:rPr>
              <w:t>SOx</w:t>
            </w:r>
          </w:p>
          <w:p w14:paraId="29C85533" w14:textId="77777777" w:rsidR="009D2E69" w:rsidRPr="00EA1BB2" w:rsidRDefault="009D2E69" w:rsidP="00EC4138">
            <w:pPr>
              <w:spacing w:line="276" w:lineRule="auto"/>
              <w:jc w:val="center"/>
              <w:rPr>
                <w:rFonts w:ascii="Cambria" w:hAnsi="Cambria"/>
                <w:b/>
                <w:sz w:val="20"/>
                <w:szCs w:val="20"/>
              </w:rPr>
            </w:pPr>
            <w:r w:rsidRPr="00EA1BB2">
              <w:rPr>
                <w:rFonts w:ascii="Cambria" w:eastAsia="Times New Roman" w:hAnsi="Cambria" w:cs="Calibri"/>
                <w:b/>
                <w:color w:val="000000"/>
                <w:sz w:val="20"/>
                <w:szCs w:val="20"/>
              </w:rPr>
              <w:t>(t/an)</w:t>
            </w:r>
          </w:p>
        </w:tc>
      </w:tr>
      <w:tr w:rsidR="009D2E69" w:rsidRPr="00EA1BB2" w14:paraId="006153D0" w14:textId="77777777" w:rsidTr="00EC4138">
        <w:trPr>
          <w:trHeight w:val="290"/>
          <w:jc w:val="center"/>
        </w:trPr>
        <w:tc>
          <w:tcPr>
            <w:tcW w:w="135" w:type="pct"/>
            <w:vMerge/>
            <w:shd w:val="clear" w:color="auto" w:fill="DEEAF6" w:themeFill="accent1" w:themeFillTint="33"/>
          </w:tcPr>
          <w:p w14:paraId="18419961" w14:textId="77777777" w:rsidR="009D2E69" w:rsidRPr="00EA1BB2" w:rsidRDefault="009D2E69" w:rsidP="00EC4138">
            <w:pPr>
              <w:spacing w:line="276" w:lineRule="auto"/>
              <w:ind w:right="-104"/>
              <w:jc w:val="center"/>
              <w:rPr>
                <w:rFonts w:ascii="Cambria" w:eastAsia="Times New Roman" w:hAnsi="Cambria" w:cs="Calibri"/>
                <w:b/>
                <w:color w:val="000000"/>
                <w:sz w:val="20"/>
                <w:szCs w:val="20"/>
              </w:rPr>
            </w:pPr>
          </w:p>
        </w:tc>
        <w:tc>
          <w:tcPr>
            <w:tcW w:w="223" w:type="pct"/>
            <w:vMerge/>
            <w:shd w:val="clear" w:color="auto" w:fill="DEEAF6" w:themeFill="accent1" w:themeFillTint="33"/>
            <w:noWrap/>
            <w:vAlign w:val="center"/>
            <w:hideMark/>
          </w:tcPr>
          <w:p w14:paraId="27A5EB0B" w14:textId="77777777" w:rsidR="009D2E69" w:rsidRPr="00EA1BB2" w:rsidRDefault="009D2E69" w:rsidP="00EC4138">
            <w:pPr>
              <w:spacing w:line="276" w:lineRule="auto"/>
              <w:ind w:right="-104"/>
              <w:jc w:val="center"/>
              <w:rPr>
                <w:rFonts w:ascii="Cambria" w:eastAsia="Times New Roman" w:hAnsi="Cambria" w:cs="Calibri"/>
                <w:b/>
                <w:color w:val="000000"/>
                <w:sz w:val="20"/>
                <w:szCs w:val="20"/>
              </w:rPr>
            </w:pPr>
          </w:p>
        </w:tc>
        <w:tc>
          <w:tcPr>
            <w:tcW w:w="223" w:type="pct"/>
            <w:shd w:val="clear" w:color="auto" w:fill="FFFF00"/>
            <w:vAlign w:val="center"/>
          </w:tcPr>
          <w:p w14:paraId="2336BF71" w14:textId="77777777" w:rsidR="009D2E69" w:rsidRPr="00EA1BB2" w:rsidRDefault="009D2E69" w:rsidP="00EC4138">
            <w:pPr>
              <w:spacing w:line="276" w:lineRule="auto"/>
              <w:ind w:left="-110" w:right="-100"/>
              <w:jc w:val="center"/>
              <w:rPr>
                <w:rFonts w:ascii="Cambria" w:eastAsia="Times New Roman" w:hAnsi="Cambria" w:cs="Calibri"/>
                <w:b/>
                <w:color w:val="000000"/>
                <w:sz w:val="20"/>
                <w:szCs w:val="20"/>
              </w:rPr>
            </w:pPr>
            <w:r w:rsidRPr="00EA1BB2">
              <w:rPr>
                <w:rFonts w:ascii="Cambria" w:eastAsia="Times New Roman" w:hAnsi="Cambria" w:cs="Calibri"/>
                <w:b/>
                <w:color w:val="000000"/>
                <w:sz w:val="20"/>
                <w:szCs w:val="20"/>
              </w:rPr>
              <w:t>Scen.A</w:t>
            </w:r>
          </w:p>
        </w:tc>
        <w:tc>
          <w:tcPr>
            <w:tcW w:w="1042" w:type="pct"/>
            <w:shd w:val="clear" w:color="auto" w:fill="BDD6EE" w:themeFill="accent1" w:themeFillTint="66"/>
            <w:noWrap/>
            <w:vAlign w:val="center"/>
            <w:hideMark/>
          </w:tcPr>
          <w:p w14:paraId="065B1F9B" w14:textId="77777777" w:rsidR="009D2E69" w:rsidRPr="00EA1BB2" w:rsidRDefault="009D2E69" w:rsidP="00EC4138">
            <w:pPr>
              <w:spacing w:line="276" w:lineRule="auto"/>
              <w:jc w:val="center"/>
              <w:rPr>
                <w:rFonts w:ascii="Cambria" w:eastAsia="Times New Roman" w:hAnsi="Cambria" w:cs="Calibri"/>
                <w:b/>
                <w:color w:val="000000"/>
                <w:sz w:val="20"/>
                <w:szCs w:val="20"/>
              </w:rPr>
            </w:pPr>
            <w:r w:rsidRPr="00EA1BB2">
              <w:rPr>
                <w:rFonts w:ascii="Cambria" w:eastAsia="Times New Roman" w:hAnsi="Cambria" w:cs="Calibri"/>
                <w:b/>
                <w:color w:val="000000"/>
                <w:sz w:val="20"/>
                <w:szCs w:val="20"/>
              </w:rPr>
              <w:t>Scenariul B</w:t>
            </w:r>
          </w:p>
        </w:tc>
        <w:tc>
          <w:tcPr>
            <w:tcW w:w="333" w:type="pct"/>
            <w:vMerge/>
            <w:shd w:val="clear" w:color="auto" w:fill="DEEAF6" w:themeFill="accent1" w:themeFillTint="33"/>
          </w:tcPr>
          <w:p w14:paraId="70D830B5" w14:textId="77777777" w:rsidR="009D2E69" w:rsidRPr="00EA1BB2" w:rsidRDefault="009D2E69" w:rsidP="00EC4138">
            <w:pPr>
              <w:spacing w:line="276" w:lineRule="auto"/>
              <w:ind w:right="-102"/>
              <w:jc w:val="center"/>
              <w:rPr>
                <w:rFonts w:ascii="Cambria" w:eastAsia="Times New Roman" w:hAnsi="Cambria" w:cs="Calibri"/>
                <w:b/>
                <w:color w:val="000000"/>
                <w:sz w:val="20"/>
                <w:szCs w:val="20"/>
              </w:rPr>
            </w:pPr>
          </w:p>
        </w:tc>
        <w:tc>
          <w:tcPr>
            <w:tcW w:w="332" w:type="pct"/>
            <w:vMerge/>
            <w:shd w:val="clear" w:color="auto" w:fill="DEEAF6" w:themeFill="accent1" w:themeFillTint="33"/>
          </w:tcPr>
          <w:p w14:paraId="30D180D2" w14:textId="77777777" w:rsidR="009D2E69" w:rsidRPr="00EA1BB2" w:rsidRDefault="009D2E69" w:rsidP="00EC4138">
            <w:pPr>
              <w:spacing w:line="276" w:lineRule="auto"/>
              <w:ind w:right="-111"/>
              <w:jc w:val="center"/>
              <w:rPr>
                <w:rFonts w:ascii="Cambria" w:eastAsia="Times New Roman" w:hAnsi="Cambria" w:cs="Calibri"/>
                <w:b/>
                <w:color w:val="000000"/>
                <w:sz w:val="20"/>
                <w:szCs w:val="20"/>
              </w:rPr>
            </w:pPr>
          </w:p>
        </w:tc>
        <w:tc>
          <w:tcPr>
            <w:tcW w:w="332" w:type="pct"/>
            <w:vMerge/>
            <w:shd w:val="clear" w:color="auto" w:fill="DEEAF6" w:themeFill="accent1" w:themeFillTint="33"/>
          </w:tcPr>
          <w:p w14:paraId="7047D5DF" w14:textId="77777777" w:rsidR="009D2E69" w:rsidRPr="00EA1BB2" w:rsidRDefault="009D2E69" w:rsidP="00EC4138">
            <w:pPr>
              <w:spacing w:line="276" w:lineRule="auto"/>
              <w:jc w:val="center"/>
              <w:rPr>
                <w:rFonts w:ascii="Cambria" w:hAnsi="Cambria"/>
                <w:b/>
                <w:sz w:val="20"/>
                <w:szCs w:val="20"/>
              </w:rPr>
            </w:pPr>
          </w:p>
        </w:tc>
        <w:tc>
          <w:tcPr>
            <w:tcW w:w="332" w:type="pct"/>
            <w:vMerge/>
            <w:shd w:val="clear" w:color="auto" w:fill="DEEAF6" w:themeFill="accent1" w:themeFillTint="33"/>
          </w:tcPr>
          <w:p w14:paraId="0EE4C732" w14:textId="77777777" w:rsidR="009D2E69" w:rsidRPr="00EA1BB2" w:rsidRDefault="009D2E69" w:rsidP="00EC4138">
            <w:pPr>
              <w:spacing w:line="276" w:lineRule="auto"/>
              <w:jc w:val="center"/>
              <w:rPr>
                <w:rFonts w:ascii="Cambria" w:eastAsia="Times New Roman" w:hAnsi="Cambria" w:cs="Calibri"/>
                <w:b/>
                <w:color w:val="000000"/>
                <w:sz w:val="20"/>
                <w:szCs w:val="20"/>
              </w:rPr>
            </w:pPr>
          </w:p>
        </w:tc>
        <w:tc>
          <w:tcPr>
            <w:tcW w:w="332" w:type="pct"/>
            <w:vMerge/>
            <w:shd w:val="clear" w:color="auto" w:fill="DEEAF6" w:themeFill="accent1" w:themeFillTint="33"/>
          </w:tcPr>
          <w:p w14:paraId="79BA9450" w14:textId="77777777" w:rsidR="009D2E69" w:rsidRPr="00EA1BB2" w:rsidRDefault="009D2E69" w:rsidP="00EC4138">
            <w:pPr>
              <w:spacing w:line="276" w:lineRule="auto"/>
              <w:jc w:val="center"/>
              <w:rPr>
                <w:rFonts w:ascii="Cambria" w:eastAsia="Times New Roman" w:hAnsi="Cambria" w:cs="Calibri"/>
                <w:b/>
                <w:color w:val="000000"/>
                <w:sz w:val="20"/>
                <w:szCs w:val="20"/>
              </w:rPr>
            </w:pPr>
          </w:p>
        </w:tc>
        <w:tc>
          <w:tcPr>
            <w:tcW w:w="332" w:type="pct"/>
            <w:vMerge/>
            <w:shd w:val="clear" w:color="auto" w:fill="DEEAF6" w:themeFill="accent1" w:themeFillTint="33"/>
          </w:tcPr>
          <w:p w14:paraId="05D8C863" w14:textId="77777777" w:rsidR="009D2E69" w:rsidRPr="00EA1BB2" w:rsidRDefault="009D2E69" w:rsidP="00EC4138">
            <w:pPr>
              <w:spacing w:line="276" w:lineRule="auto"/>
              <w:jc w:val="center"/>
              <w:rPr>
                <w:rFonts w:ascii="Cambria" w:eastAsia="Times New Roman" w:hAnsi="Cambria" w:cs="Calibri"/>
                <w:b/>
                <w:color w:val="000000"/>
                <w:sz w:val="20"/>
                <w:szCs w:val="20"/>
              </w:rPr>
            </w:pPr>
          </w:p>
        </w:tc>
        <w:tc>
          <w:tcPr>
            <w:tcW w:w="332" w:type="pct"/>
            <w:vMerge/>
            <w:shd w:val="clear" w:color="auto" w:fill="DEEAF6" w:themeFill="accent1" w:themeFillTint="33"/>
          </w:tcPr>
          <w:p w14:paraId="688C333D" w14:textId="77777777" w:rsidR="009D2E69" w:rsidRPr="00EA1BB2" w:rsidRDefault="009D2E69" w:rsidP="00EC4138">
            <w:pPr>
              <w:spacing w:line="276" w:lineRule="auto"/>
              <w:jc w:val="center"/>
              <w:rPr>
                <w:rFonts w:ascii="Cambria" w:eastAsia="Times New Roman" w:hAnsi="Cambria" w:cs="Calibri"/>
                <w:b/>
                <w:color w:val="000000"/>
                <w:sz w:val="20"/>
                <w:szCs w:val="20"/>
              </w:rPr>
            </w:pPr>
          </w:p>
        </w:tc>
        <w:tc>
          <w:tcPr>
            <w:tcW w:w="332" w:type="pct"/>
            <w:vMerge/>
            <w:shd w:val="clear" w:color="auto" w:fill="DEEAF6" w:themeFill="accent1" w:themeFillTint="33"/>
          </w:tcPr>
          <w:p w14:paraId="65968A9E" w14:textId="77777777" w:rsidR="009D2E69" w:rsidRPr="00EA1BB2" w:rsidRDefault="009D2E69" w:rsidP="00EC4138">
            <w:pPr>
              <w:spacing w:line="276" w:lineRule="auto"/>
              <w:jc w:val="center"/>
              <w:rPr>
                <w:rFonts w:ascii="Cambria" w:eastAsia="Times New Roman" w:hAnsi="Cambria" w:cs="Calibri"/>
                <w:b/>
                <w:color w:val="000000"/>
                <w:sz w:val="20"/>
                <w:szCs w:val="20"/>
              </w:rPr>
            </w:pPr>
          </w:p>
        </w:tc>
        <w:tc>
          <w:tcPr>
            <w:tcW w:w="367" w:type="pct"/>
            <w:vMerge/>
            <w:shd w:val="clear" w:color="auto" w:fill="DEEAF6" w:themeFill="accent1" w:themeFillTint="33"/>
          </w:tcPr>
          <w:p w14:paraId="5B50B8F9" w14:textId="77777777" w:rsidR="009D2E69" w:rsidRPr="00EA1BB2" w:rsidRDefault="009D2E69" w:rsidP="00EC4138">
            <w:pPr>
              <w:spacing w:line="276" w:lineRule="auto"/>
              <w:jc w:val="center"/>
              <w:rPr>
                <w:rFonts w:ascii="Cambria" w:eastAsia="Times New Roman" w:hAnsi="Cambria" w:cs="Calibri"/>
                <w:b/>
                <w:color w:val="000000"/>
                <w:sz w:val="20"/>
                <w:szCs w:val="20"/>
              </w:rPr>
            </w:pPr>
          </w:p>
        </w:tc>
        <w:tc>
          <w:tcPr>
            <w:tcW w:w="353" w:type="pct"/>
            <w:vMerge/>
            <w:shd w:val="clear" w:color="auto" w:fill="DEEAF6" w:themeFill="accent1" w:themeFillTint="33"/>
          </w:tcPr>
          <w:p w14:paraId="42D4FFAC" w14:textId="77777777" w:rsidR="009D2E69" w:rsidRPr="00EA1BB2" w:rsidRDefault="009D2E69" w:rsidP="00EC4138">
            <w:pPr>
              <w:spacing w:line="276" w:lineRule="auto"/>
              <w:jc w:val="center"/>
              <w:rPr>
                <w:rFonts w:ascii="Cambria" w:eastAsia="Times New Roman" w:hAnsi="Cambria" w:cs="Calibri"/>
                <w:b/>
                <w:color w:val="000000"/>
                <w:sz w:val="20"/>
                <w:szCs w:val="20"/>
              </w:rPr>
            </w:pPr>
          </w:p>
        </w:tc>
      </w:tr>
      <w:tr w:rsidR="009D2E69" w:rsidRPr="00EA1BB2" w14:paraId="146C025B" w14:textId="77777777" w:rsidTr="00C00FAB">
        <w:trPr>
          <w:trHeight w:val="290"/>
          <w:jc w:val="center"/>
        </w:trPr>
        <w:tc>
          <w:tcPr>
            <w:tcW w:w="135" w:type="pct"/>
            <w:vMerge w:val="restart"/>
            <w:textDirection w:val="btLr"/>
            <w:vAlign w:val="center"/>
          </w:tcPr>
          <w:p w14:paraId="30D8FC60" w14:textId="77777777" w:rsidR="009D2E69" w:rsidRPr="00EA1BB2" w:rsidRDefault="00C00FAB" w:rsidP="00050A57">
            <w:pPr>
              <w:spacing w:line="276" w:lineRule="auto"/>
              <w:ind w:left="113" w:right="-104"/>
              <w:rPr>
                <w:rFonts w:ascii="Cambria" w:hAnsi="Cambria"/>
                <w:b/>
                <w:sz w:val="20"/>
                <w:szCs w:val="20"/>
              </w:rPr>
            </w:pPr>
            <w:r w:rsidRPr="00EA1BB2">
              <w:rPr>
                <w:rFonts w:ascii="Cambria" w:hAnsi="Cambria"/>
                <w:b/>
                <w:sz w:val="20"/>
                <w:szCs w:val="20"/>
              </w:rPr>
              <w:t>Surse m</w:t>
            </w:r>
            <w:r w:rsidR="00EC4138" w:rsidRPr="00EA1BB2">
              <w:rPr>
                <w:rFonts w:ascii="Cambria" w:hAnsi="Cambria"/>
                <w:b/>
                <w:sz w:val="20"/>
                <w:szCs w:val="20"/>
              </w:rPr>
              <w:t>obile</w:t>
            </w:r>
          </w:p>
        </w:tc>
        <w:tc>
          <w:tcPr>
            <w:tcW w:w="223" w:type="pct"/>
            <w:shd w:val="clear" w:color="auto" w:fill="auto"/>
            <w:noWrap/>
          </w:tcPr>
          <w:p w14:paraId="0F56AFFE" w14:textId="77777777" w:rsidR="009D2E69" w:rsidRPr="00EA1BB2" w:rsidRDefault="009D2E69" w:rsidP="007F59DB">
            <w:pPr>
              <w:spacing w:line="276" w:lineRule="auto"/>
              <w:ind w:right="-104"/>
              <w:rPr>
                <w:rFonts w:ascii="Cambria" w:hAnsi="Cambria"/>
                <w:sz w:val="20"/>
                <w:szCs w:val="20"/>
              </w:rPr>
            </w:pPr>
            <w:r w:rsidRPr="00EA1BB2">
              <w:rPr>
                <w:rFonts w:ascii="Cambria" w:hAnsi="Cambria"/>
                <w:sz w:val="20"/>
                <w:szCs w:val="20"/>
              </w:rPr>
              <w:t xml:space="preserve">M.1.1. </w:t>
            </w:r>
          </w:p>
        </w:tc>
        <w:tc>
          <w:tcPr>
            <w:tcW w:w="223" w:type="pct"/>
          </w:tcPr>
          <w:p w14:paraId="0BAA5F38" w14:textId="77777777" w:rsidR="009D2E69" w:rsidRPr="00EA1BB2" w:rsidRDefault="009D2E69" w:rsidP="007F59DB">
            <w:pPr>
              <w:spacing w:line="276" w:lineRule="auto"/>
              <w:rPr>
                <w:rFonts w:ascii="Cambria" w:hAnsi="Cambria"/>
                <w:sz w:val="20"/>
                <w:szCs w:val="20"/>
              </w:rPr>
            </w:pPr>
          </w:p>
        </w:tc>
        <w:tc>
          <w:tcPr>
            <w:tcW w:w="1042" w:type="pct"/>
            <w:shd w:val="clear" w:color="auto" w:fill="BDD6EE" w:themeFill="accent1" w:themeFillTint="66"/>
            <w:noWrap/>
          </w:tcPr>
          <w:p w14:paraId="2213A6CF" w14:textId="77777777" w:rsidR="009D2E69" w:rsidRPr="00EA1BB2" w:rsidRDefault="009D2E69" w:rsidP="007F59DB">
            <w:pPr>
              <w:spacing w:line="276" w:lineRule="auto"/>
              <w:rPr>
                <w:rFonts w:ascii="Cambria" w:hAnsi="Cambria"/>
                <w:sz w:val="20"/>
                <w:szCs w:val="20"/>
              </w:rPr>
            </w:pPr>
            <w:r w:rsidRPr="00EA1BB2">
              <w:rPr>
                <w:rFonts w:ascii="Cambria" w:hAnsi="Cambria"/>
                <w:sz w:val="20"/>
                <w:szCs w:val="20"/>
              </w:rPr>
              <w:t xml:space="preserve">Extinderea/modernizarea arterelor județene de circulație </w:t>
            </w:r>
          </w:p>
        </w:tc>
        <w:tc>
          <w:tcPr>
            <w:tcW w:w="333" w:type="pct"/>
            <w:vAlign w:val="center"/>
          </w:tcPr>
          <w:p w14:paraId="66F32744" w14:textId="77777777" w:rsidR="009D2E69" w:rsidRPr="00EA1BB2" w:rsidRDefault="00A133F1" w:rsidP="00EC4138">
            <w:pPr>
              <w:spacing w:line="276" w:lineRule="auto"/>
              <w:jc w:val="center"/>
              <w:rPr>
                <w:rFonts w:ascii="Cambria" w:hAnsi="Cambria"/>
                <w:sz w:val="20"/>
                <w:szCs w:val="20"/>
              </w:rPr>
            </w:pPr>
            <w:r w:rsidRPr="00EA1BB2">
              <w:rPr>
                <w:rFonts w:ascii="Cambria" w:hAnsi="Cambria"/>
                <w:sz w:val="20"/>
                <w:szCs w:val="20"/>
              </w:rPr>
              <w:t>-</w:t>
            </w:r>
          </w:p>
        </w:tc>
        <w:tc>
          <w:tcPr>
            <w:tcW w:w="332" w:type="pct"/>
            <w:vAlign w:val="center"/>
          </w:tcPr>
          <w:p w14:paraId="19365444" w14:textId="77777777" w:rsidR="009D2E69" w:rsidRPr="00EA1BB2" w:rsidRDefault="009D2E69" w:rsidP="00EC4138">
            <w:pPr>
              <w:spacing w:line="276" w:lineRule="auto"/>
              <w:jc w:val="center"/>
              <w:rPr>
                <w:rFonts w:ascii="Cambria" w:hAnsi="Cambria"/>
                <w:sz w:val="20"/>
                <w:szCs w:val="20"/>
              </w:rPr>
            </w:pPr>
            <w:r w:rsidRPr="00EA1BB2">
              <w:rPr>
                <w:rFonts w:ascii="Cambria" w:hAnsi="Cambria"/>
                <w:sz w:val="20"/>
                <w:szCs w:val="20"/>
              </w:rPr>
              <w:t>0,000003</w:t>
            </w:r>
          </w:p>
        </w:tc>
        <w:tc>
          <w:tcPr>
            <w:tcW w:w="332" w:type="pct"/>
            <w:vAlign w:val="center"/>
          </w:tcPr>
          <w:p w14:paraId="544B7225" w14:textId="77777777" w:rsidR="009D2E69" w:rsidRPr="00EA1BB2" w:rsidRDefault="009D2E69" w:rsidP="00EC4138">
            <w:pPr>
              <w:spacing w:line="276" w:lineRule="auto"/>
              <w:jc w:val="center"/>
              <w:rPr>
                <w:rFonts w:ascii="Cambria" w:hAnsi="Cambria"/>
                <w:sz w:val="20"/>
                <w:szCs w:val="20"/>
              </w:rPr>
            </w:pPr>
            <w:r w:rsidRPr="00EA1BB2">
              <w:rPr>
                <w:rFonts w:ascii="Cambria" w:hAnsi="Cambria"/>
                <w:sz w:val="20"/>
                <w:szCs w:val="20"/>
              </w:rPr>
              <w:t>0,088660</w:t>
            </w:r>
          </w:p>
        </w:tc>
        <w:tc>
          <w:tcPr>
            <w:tcW w:w="332" w:type="pct"/>
            <w:vAlign w:val="center"/>
          </w:tcPr>
          <w:p w14:paraId="6D66CD2E" w14:textId="77777777" w:rsidR="009D2E69" w:rsidRPr="00EA1BB2" w:rsidRDefault="009D2E69" w:rsidP="00EC4138">
            <w:pPr>
              <w:spacing w:line="276" w:lineRule="auto"/>
              <w:ind w:left="-75" w:right="-78"/>
              <w:jc w:val="center"/>
              <w:rPr>
                <w:rFonts w:ascii="Cambria" w:hAnsi="Cambria"/>
                <w:sz w:val="20"/>
                <w:szCs w:val="20"/>
              </w:rPr>
            </w:pPr>
            <w:r w:rsidRPr="00EA1BB2">
              <w:rPr>
                <w:rFonts w:ascii="Cambria" w:hAnsi="Cambria"/>
                <w:sz w:val="20"/>
                <w:szCs w:val="20"/>
              </w:rPr>
              <w:t>13,935539</w:t>
            </w:r>
          </w:p>
        </w:tc>
        <w:tc>
          <w:tcPr>
            <w:tcW w:w="332" w:type="pct"/>
            <w:vAlign w:val="center"/>
          </w:tcPr>
          <w:p w14:paraId="1BDA5274" w14:textId="77777777" w:rsidR="009D2E69" w:rsidRPr="00EA1BB2" w:rsidRDefault="009D2E69" w:rsidP="00EC4138">
            <w:pPr>
              <w:spacing w:line="276" w:lineRule="auto"/>
              <w:jc w:val="center"/>
              <w:rPr>
                <w:rFonts w:ascii="Cambria" w:hAnsi="Cambria"/>
                <w:sz w:val="20"/>
                <w:szCs w:val="20"/>
              </w:rPr>
            </w:pPr>
            <w:r w:rsidRPr="00EA1BB2">
              <w:rPr>
                <w:rFonts w:ascii="Cambria" w:hAnsi="Cambria"/>
                <w:sz w:val="20"/>
                <w:szCs w:val="20"/>
              </w:rPr>
              <w:t>0,000009</w:t>
            </w:r>
          </w:p>
        </w:tc>
        <w:tc>
          <w:tcPr>
            <w:tcW w:w="332" w:type="pct"/>
            <w:vAlign w:val="center"/>
          </w:tcPr>
          <w:p w14:paraId="2199DF9E" w14:textId="77777777" w:rsidR="009D2E69" w:rsidRPr="00EA1BB2" w:rsidRDefault="009D2E69" w:rsidP="00EC4138">
            <w:pPr>
              <w:spacing w:line="276" w:lineRule="auto"/>
              <w:jc w:val="center"/>
              <w:rPr>
                <w:rFonts w:ascii="Cambria" w:hAnsi="Cambria"/>
                <w:sz w:val="20"/>
                <w:szCs w:val="20"/>
              </w:rPr>
            </w:pPr>
            <w:r w:rsidRPr="00EA1BB2">
              <w:rPr>
                <w:rFonts w:ascii="Cambria" w:hAnsi="Cambria"/>
                <w:sz w:val="20"/>
                <w:szCs w:val="20"/>
              </w:rPr>
              <w:t>2,270272</w:t>
            </w:r>
          </w:p>
        </w:tc>
        <w:tc>
          <w:tcPr>
            <w:tcW w:w="332" w:type="pct"/>
            <w:vAlign w:val="center"/>
          </w:tcPr>
          <w:p w14:paraId="27248212" w14:textId="77777777" w:rsidR="009D2E69" w:rsidRPr="00EA1BB2" w:rsidRDefault="009D2E69" w:rsidP="00EC4138">
            <w:pPr>
              <w:spacing w:line="276" w:lineRule="auto"/>
              <w:jc w:val="center"/>
              <w:rPr>
                <w:rFonts w:ascii="Cambria" w:hAnsi="Cambria"/>
                <w:sz w:val="20"/>
                <w:szCs w:val="20"/>
              </w:rPr>
            </w:pPr>
            <w:r w:rsidRPr="00EA1BB2">
              <w:rPr>
                <w:rFonts w:ascii="Cambria" w:hAnsi="Cambria"/>
                <w:sz w:val="20"/>
                <w:szCs w:val="20"/>
              </w:rPr>
              <w:t>0,000127</w:t>
            </w:r>
          </w:p>
        </w:tc>
        <w:tc>
          <w:tcPr>
            <w:tcW w:w="332" w:type="pct"/>
            <w:vAlign w:val="center"/>
          </w:tcPr>
          <w:p w14:paraId="3E9EC5EE" w14:textId="77777777" w:rsidR="009D2E69" w:rsidRPr="00EA1BB2" w:rsidRDefault="009D2E69" w:rsidP="00EC4138">
            <w:pPr>
              <w:spacing w:line="276" w:lineRule="auto"/>
              <w:jc w:val="center"/>
              <w:rPr>
                <w:rFonts w:ascii="Cambria" w:hAnsi="Cambria"/>
                <w:sz w:val="20"/>
                <w:szCs w:val="20"/>
              </w:rPr>
            </w:pPr>
            <w:r w:rsidRPr="00EA1BB2">
              <w:rPr>
                <w:rFonts w:ascii="Cambria" w:hAnsi="Cambria"/>
                <w:sz w:val="20"/>
                <w:szCs w:val="20"/>
              </w:rPr>
              <w:t>0,235645</w:t>
            </w:r>
          </w:p>
        </w:tc>
        <w:tc>
          <w:tcPr>
            <w:tcW w:w="367" w:type="pct"/>
            <w:vAlign w:val="center"/>
          </w:tcPr>
          <w:p w14:paraId="6C1C09AF" w14:textId="77777777" w:rsidR="009D2E69" w:rsidRPr="00EA1BB2" w:rsidRDefault="009D2E69" w:rsidP="00EC4138">
            <w:pPr>
              <w:spacing w:line="276" w:lineRule="auto"/>
              <w:jc w:val="center"/>
              <w:rPr>
                <w:rFonts w:ascii="Cambria" w:hAnsi="Cambria"/>
                <w:sz w:val="20"/>
                <w:szCs w:val="20"/>
              </w:rPr>
            </w:pPr>
            <w:r w:rsidRPr="00EA1BB2">
              <w:rPr>
                <w:rFonts w:ascii="Cambria" w:hAnsi="Cambria"/>
                <w:sz w:val="20"/>
                <w:szCs w:val="20"/>
              </w:rPr>
              <w:t>0,198574</w:t>
            </w:r>
          </w:p>
        </w:tc>
        <w:tc>
          <w:tcPr>
            <w:tcW w:w="353" w:type="pct"/>
            <w:vAlign w:val="center"/>
          </w:tcPr>
          <w:p w14:paraId="0AAC70B2" w14:textId="77777777" w:rsidR="009D2E69" w:rsidRPr="00EA1BB2" w:rsidRDefault="00A133F1" w:rsidP="00EC4138">
            <w:pPr>
              <w:spacing w:line="276" w:lineRule="auto"/>
              <w:jc w:val="center"/>
              <w:rPr>
                <w:rFonts w:ascii="Cambria" w:hAnsi="Cambria"/>
                <w:sz w:val="20"/>
                <w:szCs w:val="20"/>
              </w:rPr>
            </w:pPr>
            <w:r w:rsidRPr="00EA1BB2">
              <w:rPr>
                <w:rFonts w:ascii="Cambria" w:hAnsi="Cambria"/>
                <w:sz w:val="20"/>
                <w:szCs w:val="20"/>
              </w:rPr>
              <w:t>-</w:t>
            </w:r>
          </w:p>
        </w:tc>
      </w:tr>
      <w:tr w:rsidR="009D2E69" w:rsidRPr="00EA1BB2" w14:paraId="02E25CF5" w14:textId="77777777" w:rsidTr="008A0A36">
        <w:trPr>
          <w:trHeight w:val="290"/>
          <w:jc w:val="center"/>
        </w:trPr>
        <w:tc>
          <w:tcPr>
            <w:tcW w:w="135" w:type="pct"/>
            <w:vMerge/>
            <w:tcBorders>
              <w:bottom w:val="double" w:sz="4" w:space="0" w:color="auto"/>
            </w:tcBorders>
            <w:vAlign w:val="center"/>
          </w:tcPr>
          <w:p w14:paraId="0EA31E8D" w14:textId="77777777" w:rsidR="009D2E69" w:rsidRPr="00EA1BB2" w:rsidRDefault="009D2E69" w:rsidP="00C00FAB">
            <w:pPr>
              <w:spacing w:line="276" w:lineRule="auto"/>
              <w:ind w:right="-104"/>
              <w:jc w:val="center"/>
              <w:rPr>
                <w:rFonts w:ascii="Cambria" w:hAnsi="Cambria"/>
                <w:b/>
                <w:sz w:val="20"/>
                <w:szCs w:val="20"/>
              </w:rPr>
            </w:pPr>
          </w:p>
        </w:tc>
        <w:tc>
          <w:tcPr>
            <w:tcW w:w="223" w:type="pct"/>
            <w:tcBorders>
              <w:bottom w:val="double" w:sz="4" w:space="0" w:color="auto"/>
            </w:tcBorders>
            <w:shd w:val="clear" w:color="auto" w:fill="auto"/>
            <w:noWrap/>
          </w:tcPr>
          <w:p w14:paraId="22D7B142" w14:textId="77777777" w:rsidR="009D2E69" w:rsidRPr="00EA1BB2" w:rsidRDefault="009D2E69" w:rsidP="007F59DB">
            <w:pPr>
              <w:spacing w:line="276" w:lineRule="auto"/>
              <w:ind w:right="-104"/>
              <w:rPr>
                <w:rFonts w:ascii="Cambria" w:hAnsi="Cambria"/>
                <w:sz w:val="20"/>
                <w:szCs w:val="20"/>
              </w:rPr>
            </w:pPr>
            <w:r w:rsidRPr="00EA1BB2">
              <w:rPr>
                <w:rFonts w:ascii="Cambria" w:hAnsi="Cambria"/>
                <w:sz w:val="20"/>
                <w:szCs w:val="20"/>
              </w:rPr>
              <w:t>M.1.2.</w:t>
            </w:r>
          </w:p>
        </w:tc>
        <w:tc>
          <w:tcPr>
            <w:tcW w:w="223" w:type="pct"/>
            <w:tcBorders>
              <w:bottom w:val="double" w:sz="4" w:space="0" w:color="auto"/>
            </w:tcBorders>
          </w:tcPr>
          <w:p w14:paraId="47B806FE" w14:textId="77777777" w:rsidR="009D2E69" w:rsidRPr="00EA1BB2" w:rsidRDefault="009D2E69" w:rsidP="007F59DB">
            <w:pPr>
              <w:spacing w:line="276" w:lineRule="auto"/>
              <w:ind w:right="-229"/>
              <w:rPr>
                <w:rFonts w:ascii="Cambria" w:hAnsi="Cambria"/>
                <w:sz w:val="20"/>
                <w:szCs w:val="20"/>
              </w:rPr>
            </w:pPr>
          </w:p>
        </w:tc>
        <w:tc>
          <w:tcPr>
            <w:tcW w:w="1042" w:type="pct"/>
            <w:tcBorders>
              <w:bottom w:val="double" w:sz="4" w:space="0" w:color="auto"/>
            </w:tcBorders>
            <w:shd w:val="clear" w:color="auto" w:fill="BDD6EE" w:themeFill="accent1" w:themeFillTint="66"/>
            <w:noWrap/>
          </w:tcPr>
          <w:p w14:paraId="79F12C31" w14:textId="77777777" w:rsidR="009D2E69" w:rsidRPr="00EA1BB2" w:rsidRDefault="009D2E69" w:rsidP="007F59DB">
            <w:pPr>
              <w:spacing w:line="276" w:lineRule="auto"/>
              <w:ind w:right="-229"/>
              <w:rPr>
                <w:rFonts w:ascii="Cambria" w:hAnsi="Cambria"/>
                <w:sz w:val="20"/>
                <w:szCs w:val="20"/>
              </w:rPr>
            </w:pPr>
            <w:r w:rsidRPr="00EA1BB2">
              <w:rPr>
                <w:rFonts w:ascii="Cambria" w:hAnsi="Cambria"/>
                <w:sz w:val="20"/>
                <w:szCs w:val="20"/>
              </w:rPr>
              <w:t xml:space="preserve">Modernizarea drumurilor comunale și a străzilor din satele componente UAT-lor </w:t>
            </w:r>
          </w:p>
        </w:tc>
        <w:tc>
          <w:tcPr>
            <w:tcW w:w="333" w:type="pct"/>
            <w:tcBorders>
              <w:bottom w:val="double" w:sz="4" w:space="0" w:color="auto"/>
            </w:tcBorders>
            <w:vAlign w:val="center"/>
          </w:tcPr>
          <w:p w14:paraId="34393F8C" w14:textId="77777777" w:rsidR="009D2E69" w:rsidRPr="00EA1BB2" w:rsidRDefault="00A133F1" w:rsidP="00EC4138">
            <w:pPr>
              <w:spacing w:line="276" w:lineRule="auto"/>
              <w:jc w:val="center"/>
              <w:rPr>
                <w:rFonts w:ascii="Cambria" w:hAnsi="Cambria"/>
                <w:sz w:val="20"/>
                <w:szCs w:val="20"/>
              </w:rPr>
            </w:pPr>
            <w:r w:rsidRPr="00EA1BB2">
              <w:rPr>
                <w:rFonts w:ascii="Cambria" w:hAnsi="Cambria"/>
                <w:sz w:val="20"/>
                <w:szCs w:val="20"/>
              </w:rPr>
              <w:t>-</w:t>
            </w:r>
          </w:p>
        </w:tc>
        <w:tc>
          <w:tcPr>
            <w:tcW w:w="332" w:type="pct"/>
            <w:tcBorders>
              <w:bottom w:val="double" w:sz="4" w:space="0" w:color="auto"/>
            </w:tcBorders>
            <w:vAlign w:val="center"/>
          </w:tcPr>
          <w:p w14:paraId="1347BF7E" w14:textId="77777777" w:rsidR="009D2E69" w:rsidRPr="00EA1BB2" w:rsidRDefault="009D2E69" w:rsidP="00EC4138">
            <w:pPr>
              <w:spacing w:line="276" w:lineRule="auto"/>
              <w:jc w:val="center"/>
              <w:rPr>
                <w:rFonts w:ascii="Cambria" w:hAnsi="Cambria"/>
                <w:sz w:val="20"/>
                <w:szCs w:val="20"/>
              </w:rPr>
            </w:pPr>
            <w:r w:rsidRPr="00EA1BB2">
              <w:rPr>
                <w:rFonts w:ascii="Cambria" w:hAnsi="Cambria"/>
                <w:sz w:val="20"/>
                <w:szCs w:val="20"/>
              </w:rPr>
              <w:t>0,000006</w:t>
            </w:r>
          </w:p>
        </w:tc>
        <w:tc>
          <w:tcPr>
            <w:tcW w:w="332" w:type="pct"/>
            <w:tcBorders>
              <w:bottom w:val="double" w:sz="4" w:space="0" w:color="auto"/>
            </w:tcBorders>
            <w:vAlign w:val="center"/>
          </w:tcPr>
          <w:p w14:paraId="428A1240" w14:textId="77777777" w:rsidR="009D2E69" w:rsidRPr="00EA1BB2" w:rsidRDefault="009D2E69" w:rsidP="00EC4138">
            <w:pPr>
              <w:spacing w:line="276" w:lineRule="auto"/>
              <w:jc w:val="center"/>
              <w:rPr>
                <w:rFonts w:ascii="Cambria" w:hAnsi="Cambria"/>
                <w:sz w:val="20"/>
                <w:szCs w:val="20"/>
              </w:rPr>
            </w:pPr>
            <w:r w:rsidRPr="00EA1BB2">
              <w:rPr>
                <w:rFonts w:ascii="Cambria" w:hAnsi="Cambria"/>
                <w:sz w:val="20"/>
                <w:szCs w:val="20"/>
              </w:rPr>
              <w:t>0,178959</w:t>
            </w:r>
          </w:p>
        </w:tc>
        <w:tc>
          <w:tcPr>
            <w:tcW w:w="332" w:type="pct"/>
            <w:tcBorders>
              <w:bottom w:val="double" w:sz="4" w:space="0" w:color="auto"/>
            </w:tcBorders>
            <w:vAlign w:val="center"/>
          </w:tcPr>
          <w:p w14:paraId="45EAF40C" w14:textId="77777777" w:rsidR="009D2E69" w:rsidRPr="00EA1BB2" w:rsidRDefault="009D2E69" w:rsidP="00EC4138">
            <w:pPr>
              <w:spacing w:line="276" w:lineRule="auto"/>
              <w:jc w:val="center"/>
              <w:rPr>
                <w:rFonts w:ascii="Cambria" w:hAnsi="Cambria"/>
                <w:sz w:val="20"/>
                <w:szCs w:val="20"/>
              </w:rPr>
            </w:pPr>
            <w:r w:rsidRPr="00EA1BB2">
              <w:rPr>
                <w:rFonts w:ascii="Cambria" w:hAnsi="Cambria"/>
                <w:sz w:val="20"/>
                <w:szCs w:val="20"/>
              </w:rPr>
              <w:t>28,12891</w:t>
            </w:r>
          </w:p>
        </w:tc>
        <w:tc>
          <w:tcPr>
            <w:tcW w:w="332" w:type="pct"/>
            <w:tcBorders>
              <w:bottom w:val="double" w:sz="4" w:space="0" w:color="auto"/>
            </w:tcBorders>
            <w:vAlign w:val="center"/>
          </w:tcPr>
          <w:p w14:paraId="61A13F2F" w14:textId="77777777" w:rsidR="009D2E69" w:rsidRPr="00EA1BB2" w:rsidRDefault="009D2E69" w:rsidP="00EC4138">
            <w:pPr>
              <w:spacing w:line="276" w:lineRule="auto"/>
              <w:jc w:val="center"/>
              <w:rPr>
                <w:rFonts w:ascii="Cambria" w:hAnsi="Cambria"/>
                <w:sz w:val="20"/>
                <w:szCs w:val="20"/>
              </w:rPr>
            </w:pPr>
            <w:r w:rsidRPr="00EA1BB2">
              <w:rPr>
                <w:rFonts w:ascii="Cambria" w:hAnsi="Cambria"/>
                <w:sz w:val="20"/>
                <w:szCs w:val="20"/>
              </w:rPr>
              <w:t>0,000019</w:t>
            </w:r>
          </w:p>
        </w:tc>
        <w:tc>
          <w:tcPr>
            <w:tcW w:w="332" w:type="pct"/>
            <w:tcBorders>
              <w:bottom w:val="double" w:sz="4" w:space="0" w:color="auto"/>
            </w:tcBorders>
            <w:vAlign w:val="center"/>
          </w:tcPr>
          <w:p w14:paraId="0201CB37" w14:textId="77777777" w:rsidR="009D2E69" w:rsidRPr="00EA1BB2" w:rsidRDefault="009D2E69" w:rsidP="00EC4138">
            <w:pPr>
              <w:spacing w:line="276" w:lineRule="auto"/>
              <w:jc w:val="center"/>
              <w:rPr>
                <w:rFonts w:ascii="Cambria" w:hAnsi="Cambria"/>
                <w:sz w:val="20"/>
                <w:szCs w:val="20"/>
              </w:rPr>
            </w:pPr>
            <w:r w:rsidRPr="00EA1BB2">
              <w:rPr>
                <w:rFonts w:ascii="Cambria" w:hAnsi="Cambria"/>
                <w:sz w:val="20"/>
                <w:szCs w:val="20"/>
              </w:rPr>
              <w:t>4,582549</w:t>
            </w:r>
          </w:p>
        </w:tc>
        <w:tc>
          <w:tcPr>
            <w:tcW w:w="332" w:type="pct"/>
            <w:tcBorders>
              <w:bottom w:val="double" w:sz="4" w:space="0" w:color="auto"/>
            </w:tcBorders>
            <w:vAlign w:val="center"/>
          </w:tcPr>
          <w:p w14:paraId="19DDA7FE" w14:textId="77777777" w:rsidR="009D2E69" w:rsidRPr="00EA1BB2" w:rsidRDefault="009D2E69" w:rsidP="00EC4138">
            <w:pPr>
              <w:spacing w:line="276" w:lineRule="auto"/>
              <w:jc w:val="center"/>
              <w:rPr>
                <w:rFonts w:ascii="Cambria" w:hAnsi="Cambria"/>
                <w:sz w:val="20"/>
                <w:szCs w:val="20"/>
              </w:rPr>
            </w:pPr>
            <w:r w:rsidRPr="00EA1BB2">
              <w:rPr>
                <w:rFonts w:ascii="Cambria" w:hAnsi="Cambria"/>
                <w:sz w:val="20"/>
                <w:szCs w:val="20"/>
              </w:rPr>
              <w:t>0,000256</w:t>
            </w:r>
          </w:p>
        </w:tc>
        <w:tc>
          <w:tcPr>
            <w:tcW w:w="332" w:type="pct"/>
            <w:tcBorders>
              <w:bottom w:val="double" w:sz="4" w:space="0" w:color="auto"/>
            </w:tcBorders>
            <w:vAlign w:val="center"/>
          </w:tcPr>
          <w:p w14:paraId="678278CA" w14:textId="77777777" w:rsidR="009D2E69" w:rsidRPr="00EA1BB2" w:rsidRDefault="009D2E69" w:rsidP="00EC4138">
            <w:pPr>
              <w:spacing w:line="276" w:lineRule="auto"/>
              <w:jc w:val="center"/>
              <w:rPr>
                <w:rFonts w:ascii="Cambria" w:hAnsi="Cambria"/>
                <w:sz w:val="20"/>
                <w:szCs w:val="20"/>
              </w:rPr>
            </w:pPr>
            <w:r w:rsidRPr="00EA1BB2">
              <w:rPr>
                <w:rFonts w:ascii="Cambria" w:hAnsi="Cambria"/>
                <w:sz w:val="20"/>
                <w:szCs w:val="20"/>
              </w:rPr>
              <w:t>0,475649</w:t>
            </w:r>
          </w:p>
        </w:tc>
        <w:tc>
          <w:tcPr>
            <w:tcW w:w="367" w:type="pct"/>
            <w:tcBorders>
              <w:bottom w:val="double" w:sz="4" w:space="0" w:color="auto"/>
            </w:tcBorders>
            <w:vAlign w:val="center"/>
          </w:tcPr>
          <w:p w14:paraId="1360D319" w14:textId="77777777" w:rsidR="009D2E69" w:rsidRPr="00EA1BB2" w:rsidRDefault="009D2E69" w:rsidP="00EC4138">
            <w:pPr>
              <w:spacing w:line="276" w:lineRule="auto"/>
              <w:jc w:val="center"/>
              <w:rPr>
                <w:rFonts w:ascii="Cambria" w:hAnsi="Cambria"/>
                <w:sz w:val="20"/>
                <w:szCs w:val="20"/>
              </w:rPr>
            </w:pPr>
            <w:r w:rsidRPr="00EA1BB2">
              <w:rPr>
                <w:rFonts w:ascii="Cambria" w:hAnsi="Cambria"/>
                <w:sz w:val="20"/>
                <w:szCs w:val="20"/>
              </w:rPr>
              <w:t>0,400823</w:t>
            </w:r>
          </w:p>
        </w:tc>
        <w:tc>
          <w:tcPr>
            <w:tcW w:w="353" w:type="pct"/>
            <w:tcBorders>
              <w:bottom w:val="double" w:sz="4" w:space="0" w:color="auto"/>
            </w:tcBorders>
            <w:vAlign w:val="center"/>
          </w:tcPr>
          <w:p w14:paraId="048F2746" w14:textId="77777777" w:rsidR="009D2E69" w:rsidRPr="00EA1BB2" w:rsidRDefault="00A133F1" w:rsidP="00EC4138">
            <w:pPr>
              <w:spacing w:line="276" w:lineRule="auto"/>
              <w:jc w:val="center"/>
              <w:rPr>
                <w:rFonts w:ascii="Cambria" w:hAnsi="Cambria"/>
                <w:sz w:val="20"/>
                <w:szCs w:val="20"/>
              </w:rPr>
            </w:pPr>
            <w:r w:rsidRPr="00EA1BB2">
              <w:rPr>
                <w:rFonts w:ascii="Cambria" w:hAnsi="Cambria"/>
                <w:sz w:val="20"/>
                <w:szCs w:val="20"/>
              </w:rPr>
              <w:t>-</w:t>
            </w:r>
          </w:p>
        </w:tc>
      </w:tr>
      <w:tr w:rsidR="009D2E69" w:rsidRPr="00EA1BB2" w14:paraId="4264D2BB" w14:textId="77777777" w:rsidTr="008A0A36">
        <w:trPr>
          <w:trHeight w:val="290"/>
          <w:jc w:val="center"/>
        </w:trPr>
        <w:tc>
          <w:tcPr>
            <w:tcW w:w="135" w:type="pct"/>
            <w:vMerge w:val="restart"/>
            <w:tcBorders>
              <w:top w:val="double" w:sz="4" w:space="0" w:color="auto"/>
            </w:tcBorders>
            <w:textDirection w:val="btLr"/>
            <w:vAlign w:val="center"/>
          </w:tcPr>
          <w:p w14:paraId="4114E325" w14:textId="77777777" w:rsidR="009D2E69" w:rsidRPr="00EA1BB2" w:rsidRDefault="00C00FAB" w:rsidP="00050A57">
            <w:pPr>
              <w:spacing w:line="276" w:lineRule="auto"/>
              <w:ind w:left="113" w:right="-104"/>
              <w:rPr>
                <w:rFonts w:ascii="Cambria" w:hAnsi="Cambria"/>
                <w:b/>
                <w:sz w:val="20"/>
                <w:szCs w:val="20"/>
              </w:rPr>
            </w:pPr>
            <w:r w:rsidRPr="00EA1BB2">
              <w:rPr>
                <w:rFonts w:ascii="Cambria" w:hAnsi="Cambria"/>
                <w:b/>
                <w:sz w:val="20"/>
                <w:szCs w:val="20"/>
              </w:rPr>
              <w:t>Surse de s</w:t>
            </w:r>
            <w:r w:rsidR="00EC4138" w:rsidRPr="00EA1BB2">
              <w:rPr>
                <w:rFonts w:ascii="Cambria" w:hAnsi="Cambria"/>
                <w:b/>
                <w:sz w:val="20"/>
                <w:szCs w:val="20"/>
              </w:rPr>
              <w:t>uprafață</w:t>
            </w:r>
          </w:p>
        </w:tc>
        <w:tc>
          <w:tcPr>
            <w:tcW w:w="223" w:type="pct"/>
            <w:tcBorders>
              <w:top w:val="double" w:sz="4" w:space="0" w:color="auto"/>
            </w:tcBorders>
            <w:shd w:val="clear" w:color="auto" w:fill="auto"/>
            <w:noWrap/>
          </w:tcPr>
          <w:p w14:paraId="595AC880" w14:textId="77777777" w:rsidR="009D2E69" w:rsidRPr="00EA1BB2" w:rsidRDefault="009D2E69" w:rsidP="007F59DB">
            <w:pPr>
              <w:spacing w:line="276" w:lineRule="auto"/>
              <w:ind w:right="-104"/>
              <w:rPr>
                <w:rFonts w:ascii="Cambria" w:hAnsi="Cambria"/>
                <w:sz w:val="20"/>
                <w:szCs w:val="20"/>
              </w:rPr>
            </w:pPr>
            <w:r w:rsidRPr="00EA1BB2">
              <w:rPr>
                <w:rFonts w:ascii="Cambria" w:hAnsi="Cambria"/>
                <w:sz w:val="20"/>
                <w:szCs w:val="20"/>
              </w:rPr>
              <w:t xml:space="preserve">M.2.1. </w:t>
            </w:r>
          </w:p>
        </w:tc>
        <w:tc>
          <w:tcPr>
            <w:tcW w:w="223" w:type="pct"/>
            <w:tcBorders>
              <w:top w:val="double" w:sz="4" w:space="0" w:color="auto"/>
            </w:tcBorders>
          </w:tcPr>
          <w:p w14:paraId="0ACAC0FA" w14:textId="77777777" w:rsidR="009D2E69" w:rsidRPr="00EA1BB2" w:rsidRDefault="009D2E69" w:rsidP="007F59DB">
            <w:pPr>
              <w:spacing w:line="276" w:lineRule="auto"/>
              <w:ind w:right="-229"/>
              <w:rPr>
                <w:rFonts w:ascii="Cambria" w:hAnsi="Cambria"/>
                <w:sz w:val="20"/>
                <w:szCs w:val="20"/>
              </w:rPr>
            </w:pPr>
          </w:p>
        </w:tc>
        <w:tc>
          <w:tcPr>
            <w:tcW w:w="1042" w:type="pct"/>
            <w:tcBorders>
              <w:top w:val="double" w:sz="4" w:space="0" w:color="auto"/>
            </w:tcBorders>
            <w:shd w:val="clear" w:color="auto" w:fill="BDD6EE" w:themeFill="accent1" w:themeFillTint="66"/>
            <w:noWrap/>
          </w:tcPr>
          <w:p w14:paraId="1F59EE92" w14:textId="77777777" w:rsidR="009D2E69" w:rsidRPr="00EA1BB2" w:rsidRDefault="009D2E69" w:rsidP="007F59DB">
            <w:pPr>
              <w:spacing w:line="276" w:lineRule="auto"/>
              <w:ind w:right="-229"/>
              <w:rPr>
                <w:rFonts w:ascii="Cambria" w:hAnsi="Cambria"/>
                <w:sz w:val="20"/>
                <w:szCs w:val="20"/>
              </w:rPr>
            </w:pPr>
            <w:r w:rsidRPr="00EA1BB2">
              <w:rPr>
                <w:rFonts w:ascii="Cambria" w:hAnsi="Cambria"/>
                <w:sz w:val="20"/>
                <w:szCs w:val="20"/>
              </w:rPr>
              <w:t>Amenajarea spațiilor verzi în intravilanul localităților din județul Brăila</w:t>
            </w:r>
          </w:p>
        </w:tc>
        <w:tc>
          <w:tcPr>
            <w:tcW w:w="333" w:type="pct"/>
            <w:tcBorders>
              <w:top w:val="double" w:sz="4" w:space="0" w:color="auto"/>
            </w:tcBorders>
            <w:vAlign w:val="center"/>
          </w:tcPr>
          <w:p w14:paraId="58220FE9" w14:textId="77777777" w:rsidR="009D2E69" w:rsidRPr="00EA1BB2" w:rsidRDefault="00A133F1" w:rsidP="00EC4138">
            <w:pPr>
              <w:spacing w:line="276" w:lineRule="auto"/>
              <w:jc w:val="center"/>
              <w:rPr>
                <w:rFonts w:ascii="Cambria" w:hAnsi="Cambria"/>
                <w:sz w:val="20"/>
                <w:szCs w:val="20"/>
              </w:rPr>
            </w:pPr>
            <w:r w:rsidRPr="00EA1BB2">
              <w:rPr>
                <w:rFonts w:ascii="Cambria" w:hAnsi="Cambria"/>
                <w:sz w:val="20"/>
                <w:szCs w:val="20"/>
              </w:rPr>
              <w:t>-</w:t>
            </w:r>
          </w:p>
        </w:tc>
        <w:tc>
          <w:tcPr>
            <w:tcW w:w="332" w:type="pct"/>
            <w:tcBorders>
              <w:top w:val="double" w:sz="4" w:space="0" w:color="auto"/>
            </w:tcBorders>
            <w:vAlign w:val="center"/>
          </w:tcPr>
          <w:p w14:paraId="2DC93251" w14:textId="77777777" w:rsidR="009D2E69" w:rsidRPr="00EA1BB2" w:rsidRDefault="00A133F1" w:rsidP="00EC4138">
            <w:pPr>
              <w:spacing w:line="276" w:lineRule="auto"/>
              <w:jc w:val="center"/>
              <w:rPr>
                <w:rFonts w:ascii="Cambria" w:hAnsi="Cambria"/>
                <w:sz w:val="20"/>
                <w:szCs w:val="20"/>
              </w:rPr>
            </w:pPr>
            <w:r w:rsidRPr="00EA1BB2">
              <w:rPr>
                <w:rFonts w:ascii="Cambria" w:hAnsi="Cambria"/>
                <w:sz w:val="20"/>
                <w:szCs w:val="20"/>
              </w:rPr>
              <w:t>-</w:t>
            </w:r>
          </w:p>
        </w:tc>
        <w:tc>
          <w:tcPr>
            <w:tcW w:w="332" w:type="pct"/>
            <w:tcBorders>
              <w:top w:val="double" w:sz="4" w:space="0" w:color="auto"/>
            </w:tcBorders>
            <w:vAlign w:val="center"/>
          </w:tcPr>
          <w:p w14:paraId="1A9C0AA5" w14:textId="77777777" w:rsidR="009D2E69" w:rsidRPr="00EA1BB2" w:rsidRDefault="00A133F1" w:rsidP="00EC4138">
            <w:pPr>
              <w:spacing w:line="276" w:lineRule="auto"/>
              <w:jc w:val="center"/>
              <w:rPr>
                <w:rFonts w:ascii="Cambria" w:hAnsi="Cambria"/>
                <w:sz w:val="20"/>
                <w:szCs w:val="20"/>
              </w:rPr>
            </w:pPr>
            <w:r w:rsidRPr="00EA1BB2">
              <w:rPr>
                <w:rFonts w:ascii="Cambria" w:hAnsi="Cambria"/>
                <w:sz w:val="20"/>
                <w:szCs w:val="20"/>
              </w:rPr>
              <w:t>-</w:t>
            </w:r>
          </w:p>
        </w:tc>
        <w:tc>
          <w:tcPr>
            <w:tcW w:w="332" w:type="pct"/>
            <w:tcBorders>
              <w:top w:val="double" w:sz="4" w:space="0" w:color="auto"/>
            </w:tcBorders>
            <w:vAlign w:val="center"/>
          </w:tcPr>
          <w:p w14:paraId="6F511EC6" w14:textId="77777777" w:rsidR="009D2E69" w:rsidRPr="00EA1BB2" w:rsidRDefault="00A133F1" w:rsidP="00EC4138">
            <w:pPr>
              <w:spacing w:line="276" w:lineRule="auto"/>
              <w:jc w:val="center"/>
              <w:rPr>
                <w:rFonts w:ascii="Cambria" w:hAnsi="Cambria"/>
                <w:sz w:val="20"/>
                <w:szCs w:val="20"/>
              </w:rPr>
            </w:pPr>
            <w:r w:rsidRPr="00EA1BB2">
              <w:rPr>
                <w:rFonts w:ascii="Cambria" w:hAnsi="Cambria"/>
                <w:sz w:val="20"/>
                <w:szCs w:val="20"/>
              </w:rPr>
              <w:t>-</w:t>
            </w:r>
          </w:p>
        </w:tc>
        <w:tc>
          <w:tcPr>
            <w:tcW w:w="332" w:type="pct"/>
            <w:tcBorders>
              <w:top w:val="double" w:sz="4" w:space="0" w:color="auto"/>
            </w:tcBorders>
            <w:vAlign w:val="center"/>
          </w:tcPr>
          <w:p w14:paraId="16169309" w14:textId="77777777" w:rsidR="009D2E69" w:rsidRPr="00EA1BB2" w:rsidRDefault="00A133F1" w:rsidP="00EC4138">
            <w:pPr>
              <w:spacing w:line="276" w:lineRule="auto"/>
              <w:jc w:val="center"/>
              <w:rPr>
                <w:rFonts w:ascii="Cambria" w:hAnsi="Cambria"/>
                <w:sz w:val="20"/>
                <w:szCs w:val="20"/>
              </w:rPr>
            </w:pPr>
            <w:r w:rsidRPr="00EA1BB2">
              <w:rPr>
                <w:rFonts w:ascii="Cambria" w:hAnsi="Cambria"/>
                <w:sz w:val="20"/>
                <w:szCs w:val="20"/>
              </w:rPr>
              <w:t>-</w:t>
            </w:r>
          </w:p>
        </w:tc>
        <w:tc>
          <w:tcPr>
            <w:tcW w:w="332" w:type="pct"/>
            <w:tcBorders>
              <w:top w:val="double" w:sz="4" w:space="0" w:color="auto"/>
            </w:tcBorders>
            <w:vAlign w:val="center"/>
          </w:tcPr>
          <w:p w14:paraId="7B13728B" w14:textId="77777777" w:rsidR="009D2E69" w:rsidRPr="00EA1BB2" w:rsidRDefault="009D2E69" w:rsidP="00EC4138">
            <w:pPr>
              <w:spacing w:line="276" w:lineRule="auto"/>
              <w:jc w:val="center"/>
              <w:rPr>
                <w:rFonts w:ascii="Cambria" w:hAnsi="Cambria"/>
                <w:sz w:val="20"/>
                <w:szCs w:val="20"/>
              </w:rPr>
            </w:pPr>
            <w:r w:rsidRPr="00EA1BB2">
              <w:rPr>
                <w:rFonts w:ascii="Cambria" w:hAnsi="Cambria"/>
                <w:sz w:val="20"/>
                <w:szCs w:val="20"/>
              </w:rPr>
              <w:t>0,002210</w:t>
            </w:r>
          </w:p>
        </w:tc>
        <w:tc>
          <w:tcPr>
            <w:tcW w:w="332" w:type="pct"/>
            <w:tcBorders>
              <w:top w:val="double" w:sz="4" w:space="0" w:color="auto"/>
            </w:tcBorders>
            <w:vAlign w:val="center"/>
          </w:tcPr>
          <w:p w14:paraId="341E3A21" w14:textId="77777777" w:rsidR="009D2E69" w:rsidRPr="00EA1BB2" w:rsidRDefault="00A133F1" w:rsidP="00EC4138">
            <w:pPr>
              <w:spacing w:line="276" w:lineRule="auto"/>
              <w:jc w:val="center"/>
              <w:rPr>
                <w:rFonts w:ascii="Cambria" w:hAnsi="Cambria"/>
                <w:sz w:val="20"/>
                <w:szCs w:val="20"/>
              </w:rPr>
            </w:pPr>
            <w:r w:rsidRPr="00EA1BB2">
              <w:rPr>
                <w:rFonts w:ascii="Cambria" w:hAnsi="Cambria"/>
                <w:sz w:val="20"/>
                <w:szCs w:val="20"/>
              </w:rPr>
              <w:t>-</w:t>
            </w:r>
          </w:p>
        </w:tc>
        <w:tc>
          <w:tcPr>
            <w:tcW w:w="332" w:type="pct"/>
            <w:tcBorders>
              <w:top w:val="double" w:sz="4" w:space="0" w:color="auto"/>
            </w:tcBorders>
            <w:vAlign w:val="center"/>
          </w:tcPr>
          <w:p w14:paraId="06A8D2BE" w14:textId="77777777" w:rsidR="009D2E69" w:rsidRPr="00EA1BB2" w:rsidRDefault="009D2E69" w:rsidP="00EC4138">
            <w:pPr>
              <w:spacing w:line="276" w:lineRule="auto"/>
              <w:jc w:val="center"/>
              <w:rPr>
                <w:rFonts w:ascii="Cambria" w:hAnsi="Cambria"/>
                <w:sz w:val="20"/>
                <w:szCs w:val="20"/>
              </w:rPr>
            </w:pPr>
            <w:r w:rsidRPr="00EA1BB2">
              <w:rPr>
                <w:rFonts w:ascii="Cambria" w:hAnsi="Cambria"/>
                <w:sz w:val="20"/>
                <w:szCs w:val="20"/>
              </w:rPr>
              <w:t>0,015054</w:t>
            </w:r>
          </w:p>
        </w:tc>
        <w:tc>
          <w:tcPr>
            <w:tcW w:w="367" w:type="pct"/>
            <w:tcBorders>
              <w:top w:val="double" w:sz="4" w:space="0" w:color="auto"/>
            </w:tcBorders>
            <w:vAlign w:val="center"/>
          </w:tcPr>
          <w:p w14:paraId="15A972D5" w14:textId="77777777" w:rsidR="009D2E69" w:rsidRPr="00EA1BB2" w:rsidRDefault="009D2E69" w:rsidP="00EC4138">
            <w:pPr>
              <w:spacing w:line="276" w:lineRule="auto"/>
              <w:jc w:val="center"/>
              <w:rPr>
                <w:rFonts w:ascii="Cambria" w:hAnsi="Cambria"/>
                <w:sz w:val="20"/>
                <w:szCs w:val="20"/>
              </w:rPr>
            </w:pPr>
            <w:r w:rsidRPr="00EA1BB2">
              <w:rPr>
                <w:rFonts w:ascii="Cambria" w:hAnsi="Cambria"/>
                <w:sz w:val="20"/>
                <w:szCs w:val="20"/>
              </w:rPr>
              <w:t>0,006658</w:t>
            </w:r>
          </w:p>
        </w:tc>
        <w:tc>
          <w:tcPr>
            <w:tcW w:w="353" w:type="pct"/>
            <w:tcBorders>
              <w:top w:val="double" w:sz="4" w:space="0" w:color="auto"/>
            </w:tcBorders>
            <w:vAlign w:val="center"/>
          </w:tcPr>
          <w:p w14:paraId="20A70483" w14:textId="77777777" w:rsidR="009D2E69" w:rsidRPr="00EA1BB2" w:rsidRDefault="00A133F1" w:rsidP="00EC4138">
            <w:pPr>
              <w:spacing w:line="276" w:lineRule="auto"/>
              <w:jc w:val="center"/>
              <w:rPr>
                <w:rFonts w:ascii="Cambria" w:hAnsi="Cambria"/>
                <w:sz w:val="20"/>
                <w:szCs w:val="20"/>
              </w:rPr>
            </w:pPr>
            <w:r w:rsidRPr="00EA1BB2">
              <w:rPr>
                <w:rFonts w:ascii="Cambria" w:hAnsi="Cambria"/>
                <w:sz w:val="20"/>
                <w:szCs w:val="20"/>
              </w:rPr>
              <w:t>-</w:t>
            </w:r>
          </w:p>
        </w:tc>
      </w:tr>
      <w:tr w:rsidR="00660A34" w:rsidRPr="00EA1BB2" w14:paraId="3EE89D65" w14:textId="77777777" w:rsidTr="00A133F1">
        <w:trPr>
          <w:trHeight w:val="290"/>
          <w:jc w:val="center"/>
        </w:trPr>
        <w:tc>
          <w:tcPr>
            <w:tcW w:w="135" w:type="pct"/>
            <w:vMerge/>
            <w:tcBorders>
              <w:bottom w:val="double" w:sz="4" w:space="0" w:color="auto"/>
            </w:tcBorders>
            <w:vAlign w:val="center"/>
          </w:tcPr>
          <w:p w14:paraId="30F5322A" w14:textId="77777777" w:rsidR="00660A34" w:rsidRPr="00EA1BB2" w:rsidRDefault="00660A34" w:rsidP="00660A34">
            <w:pPr>
              <w:spacing w:line="276" w:lineRule="auto"/>
              <w:ind w:right="-104"/>
              <w:jc w:val="center"/>
              <w:rPr>
                <w:rFonts w:ascii="Cambria" w:hAnsi="Cambria"/>
                <w:b/>
                <w:sz w:val="20"/>
                <w:szCs w:val="20"/>
              </w:rPr>
            </w:pPr>
          </w:p>
        </w:tc>
        <w:tc>
          <w:tcPr>
            <w:tcW w:w="223" w:type="pct"/>
            <w:tcBorders>
              <w:bottom w:val="double" w:sz="4" w:space="0" w:color="auto"/>
            </w:tcBorders>
            <w:shd w:val="clear" w:color="auto" w:fill="auto"/>
            <w:noWrap/>
          </w:tcPr>
          <w:p w14:paraId="4992541E" w14:textId="77777777" w:rsidR="00660A34" w:rsidRPr="00EA1BB2" w:rsidRDefault="00660A34" w:rsidP="00660A34">
            <w:pPr>
              <w:spacing w:line="276" w:lineRule="auto"/>
              <w:ind w:right="-104"/>
              <w:rPr>
                <w:rFonts w:ascii="Cambria" w:hAnsi="Cambria"/>
                <w:sz w:val="20"/>
                <w:szCs w:val="20"/>
              </w:rPr>
            </w:pPr>
            <w:r w:rsidRPr="00EA1BB2">
              <w:rPr>
                <w:rFonts w:ascii="Cambria" w:hAnsi="Cambria"/>
                <w:sz w:val="20"/>
                <w:szCs w:val="20"/>
              </w:rPr>
              <w:t>M.2.2.</w:t>
            </w:r>
          </w:p>
        </w:tc>
        <w:tc>
          <w:tcPr>
            <w:tcW w:w="1265" w:type="pct"/>
            <w:gridSpan w:val="2"/>
            <w:tcBorders>
              <w:bottom w:val="double" w:sz="4" w:space="0" w:color="auto"/>
            </w:tcBorders>
            <w:shd w:val="clear" w:color="auto" w:fill="FFFF00"/>
          </w:tcPr>
          <w:p w14:paraId="0DB1DB18" w14:textId="77777777" w:rsidR="00660A34" w:rsidRPr="00EA1BB2" w:rsidRDefault="00660A34" w:rsidP="00660A34">
            <w:pPr>
              <w:spacing w:line="276" w:lineRule="auto"/>
              <w:ind w:right="-229"/>
              <w:rPr>
                <w:rFonts w:ascii="Cambria" w:hAnsi="Cambria"/>
                <w:sz w:val="20"/>
                <w:szCs w:val="20"/>
              </w:rPr>
            </w:pPr>
            <w:r w:rsidRPr="00EA1BB2">
              <w:rPr>
                <w:rFonts w:ascii="Cambria" w:hAnsi="Cambria"/>
                <w:sz w:val="20"/>
                <w:szCs w:val="20"/>
              </w:rPr>
              <w:t>Crearea de perdele forestiere care să minimizeze impactul negativ al transportului, cf. programului național de înființare perdele forestiere</w:t>
            </w:r>
          </w:p>
        </w:tc>
        <w:tc>
          <w:tcPr>
            <w:tcW w:w="333" w:type="pct"/>
            <w:tcBorders>
              <w:bottom w:val="double" w:sz="4" w:space="0" w:color="auto"/>
            </w:tcBorders>
            <w:vAlign w:val="center"/>
          </w:tcPr>
          <w:p w14:paraId="7B2ED32D" w14:textId="77777777" w:rsidR="00660A34" w:rsidRPr="00EA1BB2" w:rsidRDefault="00A133F1" w:rsidP="00660A34">
            <w:pPr>
              <w:spacing w:line="276" w:lineRule="auto"/>
              <w:jc w:val="center"/>
              <w:rPr>
                <w:rFonts w:ascii="Cambria" w:hAnsi="Cambria"/>
                <w:sz w:val="20"/>
                <w:szCs w:val="20"/>
              </w:rPr>
            </w:pPr>
            <w:r w:rsidRPr="00EA1BB2">
              <w:rPr>
                <w:rFonts w:ascii="Cambria" w:hAnsi="Cambria"/>
                <w:sz w:val="20"/>
                <w:szCs w:val="20"/>
              </w:rPr>
              <w:t>-</w:t>
            </w:r>
          </w:p>
        </w:tc>
        <w:tc>
          <w:tcPr>
            <w:tcW w:w="332" w:type="pct"/>
            <w:tcBorders>
              <w:bottom w:val="double" w:sz="4" w:space="0" w:color="auto"/>
            </w:tcBorders>
            <w:vAlign w:val="center"/>
          </w:tcPr>
          <w:p w14:paraId="4E684CAC" w14:textId="77777777" w:rsidR="00660A34" w:rsidRPr="00EA1BB2" w:rsidRDefault="00A133F1" w:rsidP="00660A34">
            <w:pPr>
              <w:spacing w:line="276" w:lineRule="auto"/>
              <w:jc w:val="center"/>
              <w:rPr>
                <w:rFonts w:ascii="Cambria" w:hAnsi="Cambria"/>
                <w:sz w:val="20"/>
                <w:szCs w:val="20"/>
              </w:rPr>
            </w:pPr>
            <w:r w:rsidRPr="00EA1BB2">
              <w:rPr>
                <w:rFonts w:ascii="Cambria" w:hAnsi="Cambria"/>
                <w:sz w:val="20"/>
                <w:szCs w:val="20"/>
              </w:rPr>
              <w:t>-</w:t>
            </w:r>
          </w:p>
        </w:tc>
        <w:tc>
          <w:tcPr>
            <w:tcW w:w="332" w:type="pct"/>
            <w:tcBorders>
              <w:bottom w:val="double" w:sz="4" w:space="0" w:color="auto"/>
            </w:tcBorders>
            <w:vAlign w:val="center"/>
          </w:tcPr>
          <w:p w14:paraId="12524EE9" w14:textId="77777777" w:rsidR="00660A34" w:rsidRPr="00EA1BB2" w:rsidRDefault="00A133F1" w:rsidP="00660A34">
            <w:pPr>
              <w:spacing w:line="276" w:lineRule="auto"/>
              <w:jc w:val="center"/>
              <w:rPr>
                <w:rFonts w:ascii="Cambria" w:hAnsi="Cambria"/>
                <w:sz w:val="20"/>
                <w:szCs w:val="20"/>
              </w:rPr>
            </w:pPr>
            <w:r w:rsidRPr="00EA1BB2">
              <w:rPr>
                <w:rFonts w:ascii="Cambria" w:hAnsi="Cambria"/>
                <w:sz w:val="20"/>
                <w:szCs w:val="20"/>
              </w:rPr>
              <w:t>-</w:t>
            </w:r>
          </w:p>
        </w:tc>
        <w:tc>
          <w:tcPr>
            <w:tcW w:w="332" w:type="pct"/>
            <w:tcBorders>
              <w:bottom w:val="double" w:sz="4" w:space="0" w:color="auto"/>
            </w:tcBorders>
            <w:vAlign w:val="center"/>
          </w:tcPr>
          <w:p w14:paraId="7AA9EDC0" w14:textId="77777777" w:rsidR="00660A34" w:rsidRPr="00EA1BB2" w:rsidRDefault="00A133F1" w:rsidP="00660A34">
            <w:pPr>
              <w:spacing w:line="276" w:lineRule="auto"/>
              <w:jc w:val="center"/>
              <w:rPr>
                <w:rFonts w:ascii="Cambria" w:hAnsi="Cambria"/>
                <w:sz w:val="20"/>
                <w:szCs w:val="20"/>
              </w:rPr>
            </w:pPr>
            <w:r w:rsidRPr="00EA1BB2">
              <w:rPr>
                <w:rFonts w:ascii="Cambria" w:hAnsi="Cambria"/>
                <w:sz w:val="20"/>
                <w:szCs w:val="20"/>
              </w:rPr>
              <w:t>-</w:t>
            </w:r>
          </w:p>
        </w:tc>
        <w:tc>
          <w:tcPr>
            <w:tcW w:w="332" w:type="pct"/>
            <w:tcBorders>
              <w:bottom w:val="double" w:sz="4" w:space="0" w:color="auto"/>
            </w:tcBorders>
            <w:vAlign w:val="center"/>
          </w:tcPr>
          <w:p w14:paraId="6412C5ED" w14:textId="77777777" w:rsidR="00660A34" w:rsidRPr="00EA1BB2" w:rsidRDefault="00A133F1" w:rsidP="00660A34">
            <w:pPr>
              <w:spacing w:line="276" w:lineRule="auto"/>
              <w:jc w:val="center"/>
              <w:rPr>
                <w:rFonts w:ascii="Cambria" w:hAnsi="Cambria"/>
                <w:sz w:val="20"/>
                <w:szCs w:val="20"/>
              </w:rPr>
            </w:pPr>
            <w:r w:rsidRPr="00EA1BB2">
              <w:rPr>
                <w:rFonts w:ascii="Cambria" w:hAnsi="Cambria"/>
                <w:sz w:val="20"/>
                <w:szCs w:val="20"/>
              </w:rPr>
              <w:t>-</w:t>
            </w:r>
          </w:p>
        </w:tc>
        <w:tc>
          <w:tcPr>
            <w:tcW w:w="332" w:type="pct"/>
            <w:tcBorders>
              <w:bottom w:val="double" w:sz="4" w:space="0" w:color="auto"/>
            </w:tcBorders>
            <w:vAlign w:val="center"/>
          </w:tcPr>
          <w:p w14:paraId="3F3FF395" w14:textId="77777777" w:rsidR="00660A34" w:rsidRPr="00EA1BB2" w:rsidRDefault="00660A34" w:rsidP="00660A34">
            <w:pPr>
              <w:spacing w:line="276" w:lineRule="auto"/>
              <w:jc w:val="center"/>
              <w:rPr>
                <w:rFonts w:ascii="Cambria" w:hAnsi="Cambria"/>
                <w:sz w:val="20"/>
                <w:szCs w:val="20"/>
              </w:rPr>
            </w:pPr>
            <w:r w:rsidRPr="00EA1BB2">
              <w:rPr>
                <w:rFonts w:ascii="Cambria" w:hAnsi="Cambria"/>
                <w:sz w:val="20"/>
                <w:szCs w:val="20"/>
              </w:rPr>
              <w:t>0,010758</w:t>
            </w:r>
          </w:p>
        </w:tc>
        <w:tc>
          <w:tcPr>
            <w:tcW w:w="332" w:type="pct"/>
            <w:tcBorders>
              <w:bottom w:val="double" w:sz="4" w:space="0" w:color="auto"/>
            </w:tcBorders>
            <w:vAlign w:val="center"/>
          </w:tcPr>
          <w:p w14:paraId="137076D8" w14:textId="77777777" w:rsidR="00660A34" w:rsidRPr="00EA1BB2" w:rsidRDefault="00A133F1" w:rsidP="00660A34">
            <w:pPr>
              <w:spacing w:line="276" w:lineRule="auto"/>
              <w:jc w:val="center"/>
              <w:rPr>
                <w:rFonts w:ascii="Cambria" w:hAnsi="Cambria"/>
                <w:sz w:val="20"/>
                <w:szCs w:val="20"/>
              </w:rPr>
            </w:pPr>
            <w:r w:rsidRPr="00EA1BB2">
              <w:rPr>
                <w:rFonts w:ascii="Cambria" w:hAnsi="Cambria"/>
                <w:sz w:val="20"/>
                <w:szCs w:val="20"/>
              </w:rPr>
              <w:t>-</w:t>
            </w:r>
          </w:p>
        </w:tc>
        <w:tc>
          <w:tcPr>
            <w:tcW w:w="332" w:type="pct"/>
            <w:tcBorders>
              <w:bottom w:val="double" w:sz="4" w:space="0" w:color="auto"/>
            </w:tcBorders>
            <w:vAlign w:val="center"/>
          </w:tcPr>
          <w:p w14:paraId="5C8BFC88" w14:textId="77777777" w:rsidR="00660A34" w:rsidRPr="00EA1BB2" w:rsidRDefault="00660A34" w:rsidP="00660A34">
            <w:pPr>
              <w:spacing w:line="276" w:lineRule="auto"/>
              <w:jc w:val="center"/>
              <w:rPr>
                <w:rFonts w:ascii="Cambria" w:hAnsi="Cambria"/>
                <w:sz w:val="20"/>
                <w:szCs w:val="20"/>
              </w:rPr>
            </w:pPr>
            <w:r w:rsidRPr="00EA1BB2">
              <w:rPr>
                <w:rFonts w:ascii="Cambria" w:hAnsi="Cambria"/>
                <w:sz w:val="20"/>
                <w:szCs w:val="20"/>
              </w:rPr>
              <w:t>2,243291</w:t>
            </w:r>
          </w:p>
        </w:tc>
        <w:tc>
          <w:tcPr>
            <w:tcW w:w="367" w:type="pct"/>
            <w:tcBorders>
              <w:bottom w:val="double" w:sz="4" w:space="0" w:color="auto"/>
            </w:tcBorders>
            <w:vAlign w:val="center"/>
          </w:tcPr>
          <w:p w14:paraId="0163D2DD" w14:textId="77777777" w:rsidR="00660A34" w:rsidRPr="00EA1BB2" w:rsidRDefault="00660A34" w:rsidP="00660A34">
            <w:pPr>
              <w:spacing w:line="276" w:lineRule="auto"/>
              <w:jc w:val="center"/>
              <w:rPr>
                <w:rFonts w:ascii="Cambria" w:hAnsi="Cambria"/>
                <w:sz w:val="20"/>
                <w:szCs w:val="20"/>
              </w:rPr>
            </w:pPr>
            <w:r w:rsidRPr="00EA1BB2">
              <w:rPr>
                <w:rFonts w:ascii="Cambria" w:hAnsi="Cambria"/>
                <w:sz w:val="20"/>
                <w:szCs w:val="20"/>
              </w:rPr>
              <w:t>0,934705</w:t>
            </w:r>
          </w:p>
        </w:tc>
        <w:tc>
          <w:tcPr>
            <w:tcW w:w="353" w:type="pct"/>
            <w:tcBorders>
              <w:bottom w:val="double" w:sz="4" w:space="0" w:color="auto"/>
            </w:tcBorders>
            <w:vAlign w:val="center"/>
          </w:tcPr>
          <w:p w14:paraId="6D9D1983" w14:textId="77777777" w:rsidR="00660A34" w:rsidRPr="00EA1BB2" w:rsidRDefault="00A133F1" w:rsidP="00A133F1">
            <w:pPr>
              <w:spacing w:line="276" w:lineRule="auto"/>
              <w:jc w:val="center"/>
              <w:rPr>
                <w:rFonts w:ascii="Cambria" w:hAnsi="Cambria"/>
                <w:sz w:val="20"/>
                <w:szCs w:val="20"/>
              </w:rPr>
            </w:pPr>
            <w:r w:rsidRPr="00EA1BB2">
              <w:rPr>
                <w:rFonts w:ascii="Cambria" w:hAnsi="Cambria"/>
                <w:sz w:val="20"/>
                <w:szCs w:val="20"/>
              </w:rPr>
              <w:t>-</w:t>
            </w:r>
          </w:p>
        </w:tc>
      </w:tr>
      <w:tr w:rsidR="009D2E69" w:rsidRPr="00EA1BB2" w14:paraId="43AE2F64" w14:textId="77777777" w:rsidTr="008A0A36">
        <w:trPr>
          <w:trHeight w:val="290"/>
          <w:jc w:val="center"/>
        </w:trPr>
        <w:tc>
          <w:tcPr>
            <w:tcW w:w="135" w:type="pct"/>
            <w:vMerge w:val="restart"/>
            <w:tcBorders>
              <w:top w:val="double" w:sz="4" w:space="0" w:color="auto"/>
            </w:tcBorders>
            <w:textDirection w:val="btLr"/>
            <w:vAlign w:val="center"/>
          </w:tcPr>
          <w:p w14:paraId="7CEAF2CC" w14:textId="77777777" w:rsidR="009D2E69" w:rsidRPr="00EA1BB2" w:rsidRDefault="00EC4138" w:rsidP="00050A57">
            <w:pPr>
              <w:spacing w:line="276" w:lineRule="auto"/>
              <w:ind w:left="113" w:right="-104"/>
              <w:rPr>
                <w:rFonts w:ascii="Cambria" w:hAnsi="Cambria"/>
                <w:b/>
                <w:sz w:val="20"/>
                <w:szCs w:val="20"/>
              </w:rPr>
            </w:pPr>
            <w:r w:rsidRPr="00EA1BB2">
              <w:rPr>
                <w:rFonts w:ascii="Cambria" w:hAnsi="Cambria"/>
                <w:b/>
                <w:sz w:val="20"/>
                <w:szCs w:val="20"/>
              </w:rPr>
              <w:t>S</w:t>
            </w:r>
            <w:r w:rsidR="00C00FAB" w:rsidRPr="00EA1BB2">
              <w:rPr>
                <w:rFonts w:ascii="Cambria" w:hAnsi="Cambria"/>
                <w:b/>
                <w:sz w:val="20"/>
                <w:szCs w:val="20"/>
              </w:rPr>
              <w:t>urse s</w:t>
            </w:r>
            <w:r w:rsidRPr="00EA1BB2">
              <w:rPr>
                <w:rFonts w:ascii="Cambria" w:hAnsi="Cambria"/>
                <w:b/>
                <w:sz w:val="20"/>
                <w:szCs w:val="20"/>
              </w:rPr>
              <w:t>taționare</w:t>
            </w:r>
          </w:p>
        </w:tc>
        <w:tc>
          <w:tcPr>
            <w:tcW w:w="223" w:type="pct"/>
            <w:tcBorders>
              <w:top w:val="double" w:sz="4" w:space="0" w:color="auto"/>
            </w:tcBorders>
            <w:shd w:val="clear" w:color="auto" w:fill="auto"/>
            <w:noWrap/>
          </w:tcPr>
          <w:p w14:paraId="5C716468" w14:textId="77777777" w:rsidR="009D2E69" w:rsidRPr="00EA1BB2" w:rsidRDefault="009D2E69" w:rsidP="007F59DB">
            <w:pPr>
              <w:spacing w:line="276" w:lineRule="auto"/>
              <w:ind w:right="-104"/>
              <w:rPr>
                <w:rFonts w:ascii="Cambria" w:hAnsi="Cambria"/>
                <w:sz w:val="20"/>
                <w:szCs w:val="20"/>
              </w:rPr>
            </w:pPr>
            <w:r w:rsidRPr="00EA1BB2">
              <w:rPr>
                <w:rFonts w:ascii="Cambria" w:hAnsi="Cambria"/>
                <w:sz w:val="20"/>
                <w:szCs w:val="20"/>
              </w:rPr>
              <w:t>M.2.3.</w:t>
            </w:r>
          </w:p>
        </w:tc>
        <w:tc>
          <w:tcPr>
            <w:tcW w:w="1265" w:type="pct"/>
            <w:gridSpan w:val="2"/>
            <w:tcBorders>
              <w:top w:val="double" w:sz="4" w:space="0" w:color="auto"/>
            </w:tcBorders>
            <w:shd w:val="clear" w:color="auto" w:fill="FFFF00"/>
          </w:tcPr>
          <w:p w14:paraId="0525E3FE" w14:textId="77777777" w:rsidR="009D2E69" w:rsidRPr="00EA1BB2" w:rsidRDefault="009D2E69" w:rsidP="007F59DB">
            <w:pPr>
              <w:spacing w:line="276" w:lineRule="auto"/>
              <w:ind w:right="-229"/>
              <w:rPr>
                <w:rFonts w:ascii="Cambria" w:hAnsi="Cambria"/>
                <w:sz w:val="20"/>
                <w:szCs w:val="20"/>
              </w:rPr>
            </w:pPr>
            <w:r w:rsidRPr="00EA1BB2">
              <w:rPr>
                <w:rFonts w:ascii="Cambria" w:hAnsi="Cambria"/>
                <w:sz w:val="20"/>
                <w:szCs w:val="20"/>
              </w:rPr>
              <w:t>Reducerea consumului de combustibili solizi și lichizi</w:t>
            </w:r>
          </w:p>
        </w:tc>
        <w:tc>
          <w:tcPr>
            <w:tcW w:w="333" w:type="pct"/>
            <w:tcBorders>
              <w:top w:val="double" w:sz="4" w:space="0" w:color="auto"/>
            </w:tcBorders>
            <w:vAlign w:val="center"/>
          </w:tcPr>
          <w:p w14:paraId="19A84491" w14:textId="77777777" w:rsidR="009D2E69" w:rsidRPr="00EA1BB2" w:rsidRDefault="009D2E69" w:rsidP="00EC4138">
            <w:pPr>
              <w:spacing w:line="276" w:lineRule="auto"/>
              <w:jc w:val="center"/>
              <w:rPr>
                <w:rFonts w:ascii="Cambria" w:hAnsi="Cambria"/>
                <w:sz w:val="20"/>
                <w:szCs w:val="20"/>
              </w:rPr>
            </w:pPr>
            <w:r w:rsidRPr="00EA1BB2">
              <w:rPr>
                <w:rFonts w:ascii="Cambria" w:hAnsi="Cambria"/>
                <w:sz w:val="20"/>
                <w:szCs w:val="20"/>
              </w:rPr>
              <w:t>0,000012</w:t>
            </w:r>
          </w:p>
        </w:tc>
        <w:tc>
          <w:tcPr>
            <w:tcW w:w="332" w:type="pct"/>
            <w:tcBorders>
              <w:top w:val="double" w:sz="4" w:space="0" w:color="auto"/>
            </w:tcBorders>
            <w:vAlign w:val="center"/>
          </w:tcPr>
          <w:p w14:paraId="675B387A" w14:textId="77777777" w:rsidR="009D2E69" w:rsidRPr="00EA1BB2" w:rsidRDefault="009D2E69" w:rsidP="00EC4138">
            <w:pPr>
              <w:spacing w:line="276" w:lineRule="auto"/>
              <w:jc w:val="center"/>
              <w:rPr>
                <w:rFonts w:ascii="Cambria" w:hAnsi="Cambria"/>
                <w:sz w:val="20"/>
                <w:szCs w:val="20"/>
              </w:rPr>
            </w:pPr>
            <w:r w:rsidRPr="00EA1BB2">
              <w:rPr>
                <w:rFonts w:ascii="Cambria" w:hAnsi="Cambria"/>
                <w:sz w:val="20"/>
                <w:szCs w:val="20"/>
              </w:rPr>
              <w:t>0,000012</w:t>
            </w:r>
          </w:p>
        </w:tc>
        <w:tc>
          <w:tcPr>
            <w:tcW w:w="332" w:type="pct"/>
            <w:tcBorders>
              <w:top w:val="double" w:sz="4" w:space="0" w:color="auto"/>
            </w:tcBorders>
            <w:vAlign w:val="center"/>
          </w:tcPr>
          <w:p w14:paraId="31929D4D" w14:textId="77777777" w:rsidR="009D2E69" w:rsidRPr="00EA1BB2" w:rsidRDefault="00A133F1" w:rsidP="00EC4138">
            <w:pPr>
              <w:spacing w:line="276" w:lineRule="auto"/>
              <w:jc w:val="center"/>
              <w:rPr>
                <w:rFonts w:ascii="Cambria" w:hAnsi="Cambria"/>
                <w:sz w:val="20"/>
                <w:szCs w:val="20"/>
              </w:rPr>
            </w:pPr>
            <w:r w:rsidRPr="00EA1BB2">
              <w:rPr>
                <w:rFonts w:ascii="Cambria" w:hAnsi="Cambria"/>
                <w:sz w:val="20"/>
                <w:szCs w:val="20"/>
              </w:rPr>
              <w:t>-</w:t>
            </w:r>
          </w:p>
        </w:tc>
        <w:tc>
          <w:tcPr>
            <w:tcW w:w="332" w:type="pct"/>
            <w:tcBorders>
              <w:top w:val="double" w:sz="4" w:space="0" w:color="auto"/>
            </w:tcBorders>
            <w:vAlign w:val="center"/>
          </w:tcPr>
          <w:p w14:paraId="60A96BE9" w14:textId="77777777" w:rsidR="009D2E69" w:rsidRPr="00EA1BB2" w:rsidRDefault="009D2E69" w:rsidP="00EC4138">
            <w:pPr>
              <w:spacing w:line="276" w:lineRule="auto"/>
              <w:jc w:val="center"/>
              <w:rPr>
                <w:rFonts w:ascii="Cambria" w:hAnsi="Cambria"/>
                <w:sz w:val="20"/>
                <w:szCs w:val="20"/>
              </w:rPr>
            </w:pPr>
            <w:r w:rsidRPr="00EA1BB2">
              <w:rPr>
                <w:rFonts w:ascii="Cambria" w:hAnsi="Cambria"/>
                <w:sz w:val="20"/>
                <w:szCs w:val="20"/>
              </w:rPr>
              <w:t>74,82510</w:t>
            </w:r>
          </w:p>
        </w:tc>
        <w:tc>
          <w:tcPr>
            <w:tcW w:w="332" w:type="pct"/>
            <w:tcBorders>
              <w:top w:val="double" w:sz="4" w:space="0" w:color="auto"/>
            </w:tcBorders>
            <w:vAlign w:val="center"/>
          </w:tcPr>
          <w:p w14:paraId="5E9DBAC9" w14:textId="77777777" w:rsidR="009D2E69" w:rsidRPr="00EA1BB2" w:rsidRDefault="009D2E69" w:rsidP="00EC4138">
            <w:pPr>
              <w:spacing w:line="276" w:lineRule="auto"/>
              <w:jc w:val="center"/>
              <w:rPr>
                <w:rFonts w:ascii="Cambria" w:hAnsi="Cambria"/>
                <w:sz w:val="20"/>
                <w:szCs w:val="20"/>
              </w:rPr>
            </w:pPr>
            <w:r w:rsidRPr="00EA1BB2">
              <w:rPr>
                <w:rFonts w:ascii="Cambria" w:hAnsi="Cambria"/>
                <w:sz w:val="20"/>
                <w:szCs w:val="20"/>
              </w:rPr>
              <w:t>0,000249</w:t>
            </w:r>
          </w:p>
        </w:tc>
        <w:tc>
          <w:tcPr>
            <w:tcW w:w="332" w:type="pct"/>
            <w:tcBorders>
              <w:top w:val="double" w:sz="4" w:space="0" w:color="auto"/>
            </w:tcBorders>
            <w:vAlign w:val="center"/>
          </w:tcPr>
          <w:p w14:paraId="6413957F" w14:textId="77777777" w:rsidR="009D2E69" w:rsidRPr="00EA1BB2" w:rsidRDefault="009D2E69" w:rsidP="00EC4138">
            <w:pPr>
              <w:spacing w:line="276" w:lineRule="auto"/>
              <w:jc w:val="center"/>
              <w:rPr>
                <w:rFonts w:ascii="Cambria" w:hAnsi="Cambria"/>
                <w:sz w:val="20"/>
                <w:szCs w:val="20"/>
              </w:rPr>
            </w:pPr>
            <w:r w:rsidRPr="00EA1BB2">
              <w:rPr>
                <w:rFonts w:ascii="Cambria" w:hAnsi="Cambria"/>
                <w:sz w:val="20"/>
                <w:szCs w:val="20"/>
              </w:rPr>
              <w:t>0,623543</w:t>
            </w:r>
          </w:p>
        </w:tc>
        <w:tc>
          <w:tcPr>
            <w:tcW w:w="332" w:type="pct"/>
            <w:tcBorders>
              <w:top w:val="double" w:sz="4" w:space="0" w:color="auto"/>
            </w:tcBorders>
            <w:vAlign w:val="center"/>
          </w:tcPr>
          <w:p w14:paraId="5E5B193A" w14:textId="77777777" w:rsidR="009D2E69" w:rsidRPr="00EA1BB2" w:rsidRDefault="009D2E69" w:rsidP="00EC4138">
            <w:pPr>
              <w:spacing w:line="276" w:lineRule="auto"/>
              <w:jc w:val="center"/>
              <w:rPr>
                <w:rFonts w:ascii="Cambria" w:hAnsi="Cambria"/>
                <w:sz w:val="20"/>
                <w:szCs w:val="20"/>
              </w:rPr>
            </w:pPr>
            <w:r w:rsidRPr="00EA1BB2">
              <w:rPr>
                <w:rFonts w:ascii="Cambria" w:hAnsi="Cambria"/>
                <w:sz w:val="20"/>
                <w:szCs w:val="20"/>
              </w:rPr>
              <w:t>0,000499</w:t>
            </w:r>
          </w:p>
        </w:tc>
        <w:tc>
          <w:tcPr>
            <w:tcW w:w="332" w:type="pct"/>
            <w:tcBorders>
              <w:top w:val="double" w:sz="4" w:space="0" w:color="auto"/>
            </w:tcBorders>
            <w:vAlign w:val="center"/>
          </w:tcPr>
          <w:p w14:paraId="67E3BC15" w14:textId="77777777" w:rsidR="009D2E69" w:rsidRPr="00EA1BB2" w:rsidRDefault="009D2E69" w:rsidP="00EC4138">
            <w:pPr>
              <w:spacing w:line="276" w:lineRule="auto"/>
              <w:ind w:left="-172" w:right="-135"/>
              <w:jc w:val="center"/>
              <w:rPr>
                <w:rFonts w:ascii="Cambria" w:hAnsi="Cambria"/>
                <w:sz w:val="20"/>
                <w:szCs w:val="20"/>
              </w:rPr>
            </w:pPr>
            <w:r w:rsidRPr="00EA1BB2">
              <w:rPr>
                <w:rFonts w:ascii="Cambria" w:hAnsi="Cambria"/>
                <w:sz w:val="20"/>
                <w:szCs w:val="20"/>
              </w:rPr>
              <w:t>10,101389</w:t>
            </w:r>
          </w:p>
        </w:tc>
        <w:tc>
          <w:tcPr>
            <w:tcW w:w="367" w:type="pct"/>
            <w:tcBorders>
              <w:top w:val="double" w:sz="4" w:space="0" w:color="auto"/>
            </w:tcBorders>
            <w:vAlign w:val="center"/>
          </w:tcPr>
          <w:p w14:paraId="26B34EB1" w14:textId="77777777" w:rsidR="009D2E69" w:rsidRPr="00EA1BB2" w:rsidRDefault="009D2E69" w:rsidP="00EC4138">
            <w:pPr>
              <w:spacing w:line="276" w:lineRule="auto"/>
              <w:jc w:val="center"/>
              <w:rPr>
                <w:rFonts w:ascii="Cambria" w:hAnsi="Cambria"/>
                <w:sz w:val="20"/>
                <w:szCs w:val="20"/>
              </w:rPr>
            </w:pPr>
            <w:r w:rsidRPr="00EA1BB2">
              <w:rPr>
                <w:rFonts w:ascii="Cambria" w:hAnsi="Cambria"/>
                <w:sz w:val="20"/>
                <w:szCs w:val="20"/>
              </w:rPr>
              <w:t>10,101389</w:t>
            </w:r>
          </w:p>
        </w:tc>
        <w:tc>
          <w:tcPr>
            <w:tcW w:w="353" w:type="pct"/>
            <w:tcBorders>
              <w:top w:val="double" w:sz="4" w:space="0" w:color="auto"/>
            </w:tcBorders>
            <w:vAlign w:val="center"/>
          </w:tcPr>
          <w:p w14:paraId="47DEA6B4" w14:textId="77777777" w:rsidR="009D2E69" w:rsidRPr="00EA1BB2" w:rsidRDefault="009D2E69" w:rsidP="00EC4138">
            <w:pPr>
              <w:spacing w:line="276" w:lineRule="auto"/>
              <w:ind w:left="-120" w:right="-103"/>
              <w:jc w:val="center"/>
              <w:rPr>
                <w:rFonts w:ascii="Cambria" w:hAnsi="Cambria"/>
                <w:sz w:val="20"/>
                <w:szCs w:val="20"/>
              </w:rPr>
            </w:pPr>
            <w:r w:rsidRPr="00EA1BB2">
              <w:rPr>
                <w:rFonts w:ascii="Cambria" w:hAnsi="Cambria"/>
                <w:sz w:val="20"/>
                <w:szCs w:val="20"/>
              </w:rPr>
              <w:t>0,124709</w:t>
            </w:r>
          </w:p>
        </w:tc>
      </w:tr>
      <w:tr w:rsidR="009D2E69" w:rsidRPr="00EA1BB2" w14:paraId="624A61D0" w14:textId="77777777" w:rsidTr="00C00FAB">
        <w:trPr>
          <w:trHeight w:val="290"/>
          <w:jc w:val="center"/>
        </w:trPr>
        <w:tc>
          <w:tcPr>
            <w:tcW w:w="135" w:type="pct"/>
            <w:vMerge/>
            <w:vAlign w:val="center"/>
          </w:tcPr>
          <w:p w14:paraId="0C5CEDAB" w14:textId="77777777" w:rsidR="009D2E69" w:rsidRPr="00EA1BB2" w:rsidRDefault="009D2E69" w:rsidP="00C00FAB">
            <w:pPr>
              <w:spacing w:line="276" w:lineRule="auto"/>
              <w:ind w:right="-104"/>
              <w:jc w:val="center"/>
              <w:rPr>
                <w:rFonts w:ascii="Cambria" w:hAnsi="Cambria"/>
                <w:b/>
                <w:sz w:val="20"/>
                <w:szCs w:val="20"/>
              </w:rPr>
            </w:pPr>
          </w:p>
        </w:tc>
        <w:tc>
          <w:tcPr>
            <w:tcW w:w="223" w:type="pct"/>
            <w:vMerge w:val="restart"/>
            <w:shd w:val="clear" w:color="auto" w:fill="auto"/>
            <w:noWrap/>
          </w:tcPr>
          <w:p w14:paraId="64166088" w14:textId="77777777" w:rsidR="009D2E69" w:rsidRPr="00EA1BB2" w:rsidRDefault="009D2E69" w:rsidP="007F59DB">
            <w:pPr>
              <w:spacing w:line="276" w:lineRule="auto"/>
              <w:ind w:right="-104"/>
              <w:rPr>
                <w:rFonts w:ascii="Cambria" w:hAnsi="Cambria"/>
                <w:sz w:val="20"/>
                <w:szCs w:val="20"/>
              </w:rPr>
            </w:pPr>
            <w:r w:rsidRPr="00EA1BB2">
              <w:rPr>
                <w:rFonts w:ascii="Cambria" w:hAnsi="Cambria"/>
                <w:sz w:val="20"/>
                <w:szCs w:val="20"/>
              </w:rPr>
              <w:t xml:space="preserve">M.3.1. </w:t>
            </w:r>
          </w:p>
        </w:tc>
        <w:tc>
          <w:tcPr>
            <w:tcW w:w="223" w:type="pct"/>
            <w:vMerge w:val="restart"/>
          </w:tcPr>
          <w:p w14:paraId="49823013" w14:textId="77777777" w:rsidR="009D2E69" w:rsidRPr="00EA1BB2" w:rsidRDefault="009D2E69" w:rsidP="007F59DB">
            <w:pPr>
              <w:spacing w:line="276" w:lineRule="auto"/>
              <w:ind w:right="-229"/>
              <w:rPr>
                <w:rFonts w:ascii="Cambria" w:hAnsi="Cambria"/>
                <w:sz w:val="20"/>
                <w:szCs w:val="20"/>
              </w:rPr>
            </w:pPr>
          </w:p>
        </w:tc>
        <w:tc>
          <w:tcPr>
            <w:tcW w:w="1042" w:type="pct"/>
            <w:shd w:val="clear" w:color="auto" w:fill="BDD6EE" w:themeFill="accent1" w:themeFillTint="66"/>
            <w:noWrap/>
          </w:tcPr>
          <w:p w14:paraId="227B2D9C" w14:textId="77777777" w:rsidR="009D2E69" w:rsidRPr="00EA1BB2" w:rsidRDefault="009D2E69" w:rsidP="007F59DB">
            <w:pPr>
              <w:spacing w:line="276" w:lineRule="auto"/>
              <w:ind w:right="-229"/>
              <w:rPr>
                <w:rFonts w:ascii="Cambria" w:hAnsi="Cambria"/>
                <w:sz w:val="20"/>
                <w:szCs w:val="20"/>
              </w:rPr>
            </w:pPr>
            <w:r w:rsidRPr="00EA1BB2">
              <w:rPr>
                <w:rFonts w:ascii="Cambria" w:hAnsi="Cambria"/>
                <w:sz w:val="20"/>
                <w:szCs w:val="20"/>
              </w:rPr>
              <w:t>Reabilitare termică a clădirilor instituționale</w:t>
            </w:r>
          </w:p>
        </w:tc>
        <w:tc>
          <w:tcPr>
            <w:tcW w:w="333" w:type="pct"/>
            <w:vAlign w:val="center"/>
          </w:tcPr>
          <w:p w14:paraId="6A9171F1" w14:textId="77777777" w:rsidR="009D2E69" w:rsidRPr="00EA1BB2" w:rsidRDefault="009D2E69" w:rsidP="00EC4138">
            <w:pPr>
              <w:spacing w:line="276" w:lineRule="auto"/>
              <w:jc w:val="center"/>
              <w:rPr>
                <w:rFonts w:ascii="Cambria" w:hAnsi="Cambria"/>
                <w:sz w:val="20"/>
                <w:szCs w:val="20"/>
              </w:rPr>
            </w:pPr>
            <w:r w:rsidRPr="00EA1BB2">
              <w:rPr>
                <w:rFonts w:ascii="Cambria" w:hAnsi="Cambria"/>
                <w:sz w:val="20"/>
                <w:szCs w:val="20"/>
              </w:rPr>
              <w:t>0,000002</w:t>
            </w:r>
          </w:p>
        </w:tc>
        <w:tc>
          <w:tcPr>
            <w:tcW w:w="332" w:type="pct"/>
            <w:vAlign w:val="center"/>
          </w:tcPr>
          <w:p w14:paraId="68CD1433" w14:textId="77777777" w:rsidR="009D2E69" w:rsidRPr="00EA1BB2" w:rsidRDefault="009D2E69" w:rsidP="00EC4138">
            <w:pPr>
              <w:spacing w:line="276" w:lineRule="auto"/>
              <w:jc w:val="center"/>
              <w:rPr>
                <w:rFonts w:ascii="Cambria" w:hAnsi="Cambria"/>
                <w:sz w:val="20"/>
                <w:szCs w:val="20"/>
              </w:rPr>
            </w:pPr>
            <w:r w:rsidRPr="00EA1BB2">
              <w:rPr>
                <w:rFonts w:ascii="Cambria" w:hAnsi="Cambria"/>
                <w:sz w:val="20"/>
                <w:szCs w:val="20"/>
              </w:rPr>
              <w:t>0,000001</w:t>
            </w:r>
          </w:p>
        </w:tc>
        <w:tc>
          <w:tcPr>
            <w:tcW w:w="332" w:type="pct"/>
            <w:vAlign w:val="center"/>
          </w:tcPr>
          <w:p w14:paraId="1E8CC6B7" w14:textId="77777777" w:rsidR="009D2E69" w:rsidRPr="00EA1BB2" w:rsidRDefault="00A133F1" w:rsidP="00EC4138">
            <w:pPr>
              <w:spacing w:line="276" w:lineRule="auto"/>
              <w:jc w:val="center"/>
              <w:rPr>
                <w:rFonts w:ascii="Cambria" w:hAnsi="Cambria"/>
                <w:sz w:val="20"/>
                <w:szCs w:val="20"/>
              </w:rPr>
            </w:pPr>
            <w:r w:rsidRPr="00EA1BB2">
              <w:rPr>
                <w:rFonts w:ascii="Cambria" w:hAnsi="Cambria"/>
                <w:sz w:val="20"/>
                <w:szCs w:val="20"/>
              </w:rPr>
              <w:t>-</w:t>
            </w:r>
          </w:p>
        </w:tc>
        <w:tc>
          <w:tcPr>
            <w:tcW w:w="332" w:type="pct"/>
            <w:vAlign w:val="center"/>
          </w:tcPr>
          <w:p w14:paraId="19B01A52" w14:textId="77777777" w:rsidR="009D2E69" w:rsidRPr="00EA1BB2" w:rsidRDefault="009D2E69" w:rsidP="00EC4138">
            <w:pPr>
              <w:spacing w:line="276" w:lineRule="auto"/>
              <w:jc w:val="center"/>
              <w:rPr>
                <w:rFonts w:ascii="Cambria" w:hAnsi="Cambria"/>
                <w:sz w:val="20"/>
                <w:szCs w:val="20"/>
              </w:rPr>
            </w:pPr>
            <w:r w:rsidRPr="00EA1BB2">
              <w:rPr>
                <w:rFonts w:ascii="Cambria" w:hAnsi="Cambria"/>
                <w:sz w:val="20"/>
                <w:szCs w:val="20"/>
              </w:rPr>
              <w:t>4,985038</w:t>
            </w:r>
          </w:p>
        </w:tc>
        <w:tc>
          <w:tcPr>
            <w:tcW w:w="332" w:type="pct"/>
            <w:vAlign w:val="center"/>
          </w:tcPr>
          <w:p w14:paraId="13EE8C57" w14:textId="77777777" w:rsidR="009D2E69" w:rsidRPr="00EA1BB2" w:rsidRDefault="009D2E69" w:rsidP="00EC4138">
            <w:pPr>
              <w:spacing w:line="276" w:lineRule="auto"/>
              <w:jc w:val="center"/>
              <w:rPr>
                <w:rFonts w:ascii="Cambria" w:hAnsi="Cambria"/>
                <w:sz w:val="20"/>
                <w:szCs w:val="20"/>
              </w:rPr>
            </w:pPr>
            <w:r w:rsidRPr="00EA1BB2">
              <w:rPr>
                <w:rFonts w:ascii="Cambria" w:hAnsi="Cambria"/>
                <w:sz w:val="20"/>
                <w:szCs w:val="20"/>
              </w:rPr>
              <w:t>0,000332</w:t>
            </w:r>
          </w:p>
        </w:tc>
        <w:tc>
          <w:tcPr>
            <w:tcW w:w="332" w:type="pct"/>
            <w:vAlign w:val="center"/>
          </w:tcPr>
          <w:p w14:paraId="418AA332" w14:textId="77777777" w:rsidR="009D2E69" w:rsidRPr="00EA1BB2" w:rsidRDefault="009D2E69" w:rsidP="00EC4138">
            <w:pPr>
              <w:spacing w:line="276" w:lineRule="auto"/>
              <w:jc w:val="center"/>
              <w:rPr>
                <w:rFonts w:ascii="Cambria" w:hAnsi="Cambria"/>
                <w:sz w:val="20"/>
                <w:szCs w:val="20"/>
              </w:rPr>
            </w:pPr>
            <w:r w:rsidRPr="00EA1BB2">
              <w:rPr>
                <w:rFonts w:ascii="Cambria" w:hAnsi="Cambria"/>
                <w:sz w:val="20"/>
                <w:szCs w:val="20"/>
              </w:rPr>
              <w:t>0,192097</w:t>
            </w:r>
          </w:p>
        </w:tc>
        <w:tc>
          <w:tcPr>
            <w:tcW w:w="332" w:type="pct"/>
            <w:vAlign w:val="center"/>
          </w:tcPr>
          <w:p w14:paraId="7EA39AD7" w14:textId="77777777" w:rsidR="009D2E69" w:rsidRPr="00EA1BB2" w:rsidRDefault="009D2E69" w:rsidP="00EC4138">
            <w:pPr>
              <w:spacing w:line="276" w:lineRule="auto"/>
              <w:jc w:val="center"/>
              <w:rPr>
                <w:rFonts w:ascii="Cambria" w:hAnsi="Cambria"/>
                <w:sz w:val="20"/>
                <w:szCs w:val="20"/>
              </w:rPr>
            </w:pPr>
            <w:r w:rsidRPr="00EA1BB2">
              <w:rPr>
                <w:rFonts w:ascii="Cambria" w:hAnsi="Cambria"/>
                <w:sz w:val="20"/>
                <w:szCs w:val="20"/>
              </w:rPr>
              <w:t>0,000017</w:t>
            </w:r>
          </w:p>
        </w:tc>
        <w:tc>
          <w:tcPr>
            <w:tcW w:w="332" w:type="pct"/>
            <w:vAlign w:val="center"/>
          </w:tcPr>
          <w:p w14:paraId="6578169A" w14:textId="77777777" w:rsidR="009D2E69" w:rsidRPr="00EA1BB2" w:rsidRDefault="009D2E69" w:rsidP="00EC4138">
            <w:pPr>
              <w:spacing w:line="276" w:lineRule="auto"/>
              <w:jc w:val="center"/>
              <w:rPr>
                <w:rFonts w:ascii="Cambria" w:hAnsi="Cambria"/>
                <w:sz w:val="20"/>
                <w:szCs w:val="20"/>
              </w:rPr>
            </w:pPr>
            <w:r w:rsidRPr="00EA1BB2">
              <w:rPr>
                <w:rFonts w:ascii="Cambria" w:hAnsi="Cambria"/>
                <w:sz w:val="20"/>
                <w:szCs w:val="20"/>
              </w:rPr>
              <w:t>0,126284</w:t>
            </w:r>
          </w:p>
        </w:tc>
        <w:tc>
          <w:tcPr>
            <w:tcW w:w="367" w:type="pct"/>
            <w:vAlign w:val="center"/>
          </w:tcPr>
          <w:p w14:paraId="4B07EC62" w14:textId="77777777" w:rsidR="009D2E69" w:rsidRPr="00EA1BB2" w:rsidRDefault="009D2E69" w:rsidP="00EC4138">
            <w:pPr>
              <w:spacing w:line="276" w:lineRule="auto"/>
              <w:jc w:val="center"/>
              <w:rPr>
                <w:rFonts w:ascii="Cambria" w:hAnsi="Cambria"/>
                <w:sz w:val="20"/>
                <w:szCs w:val="20"/>
              </w:rPr>
            </w:pPr>
            <w:r w:rsidRPr="00EA1BB2">
              <w:rPr>
                <w:rFonts w:ascii="Cambria" w:hAnsi="Cambria"/>
                <w:sz w:val="20"/>
                <w:szCs w:val="20"/>
              </w:rPr>
              <w:t>0,126284</w:t>
            </w:r>
          </w:p>
        </w:tc>
        <w:tc>
          <w:tcPr>
            <w:tcW w:w="353" w:type="pct"/>
            <w:vAlign w:val="center"/>
          </w:tcPr>
          <w:p w14:paraId="0A044EA9" w14:textId="77777777" w:rsidR="009D2E69" w:rsidRPr="00EA1BB2" w:rsidRDefault="009D2E69" w:rsidP="00EC4138">
            <w:pPr>
              <w:spacing w:line="276" w:lineRule="auto"/>
              <w:jc w:val="center"/>
              <w:rPr>
                <w:rFonts w:ascii="Cambria" w:hAnsi="Cambria"/>
                <w:sz w:val="20"/>
                <w:szCs w:val="20"/>
              </w:rPr>
            </w:pPr>
            <w:r w:rsidRPr="00EA1BB2">
              <w:rPr>
                <w:rFonts w:ascii="Cambria" w:hAnsi="Cambria"/>
                <w:sz w:val="20"/>
                <w:szCs w:val="20"/>
              </w:rPr>
              <w:t>0,033437</w:t>
            </w:r>
          </w:p>
        </w:tc>
      </w:tr>
      <w:tr w:rsidR="00EC4138" w:rsidRPr="00EA1BB2" w14:paraId="77ED8DE4" w14:textId="77777777" w:rsidTr="00C00FAB">
        <w:trPr>
          <w:trHeight w:val="290"/>
          <w:jc w:val="center"/>
        </w:trPr>
        <w:tc>
          <w:tcPr>
            <w:tcW w:w="135" w:type="pct"/>
            <w:vMerge/>
            <w:vAlign w:val="center"/>
          </w:tcPr>
          <w:p w14:paraId="5A976026" w14:textId="77777777" w:rsidR="00EC4138" w:rsidRPr="00EA1BB2" w:rsidRDefault="00EC4138" w:rsidP="00C00FAB">
            <w:pPr>
              <w:spacing w:line="276" w:lineRule="auto"/>
              <w:ind w:right="-104"/>
              <w:jc w:val="center"/>
              <w:rPr>
                <w:rFonts w:ascii="Cambria" w:hAnsi="Cambria"/>
                <w:b/>
                <w:sz w:val="20"/>
                <w:szCs w:val="20"/>
              </w:rPr>
            </w:pPr>
          </w:p>
        </w:tc>
        <w:tc>
          <w:tcPr>
            <w:tcW w:w="223" w:type="pct"/>
            <w:vMerge/>
            <w:shd w:val="clear" w:color="auto" w:fill="auto"/>
            <w:noWrap/>
          </w:tcPr>
          <w:p w14:paraId="7C5067BE" w14:textId="77777777" w:rsidR="00EC4138" w:rsidRPr="00EA1BB2" w:rsidRDefault="00EC4138" w:rsidP="00EC4138">
            <w:pPr>
              <w:spacing w:line="276" w:lineRule="auto"/>
              <w:ind w:right="-104"/>
              <w:rPr>
                <w:rFonts w:ascii="Cambria" w:hAnsi="Cambria"/>
                <w:sz w:val="20"/>
                <w:szCs w:val="20"/>
              </w:rPr>
            </w:pPr>
          </w:p>
        </w:tc>
        <w:tc>
          <w:tcPr>
            <w:tcW w:w="223" w:type="pct"/>
            <w:vMerge/>
          </w:tcPr>
          <w:p w14:paraId="33A8F157" w14:textId="77777777" w:rsidR="00EC4138" w:rsidRPr="00EA1BB2" w:rsidRDefault="00EC4138" w:rsidP="00EC4138">
            <w:pPr>
              <w:spacing w:line="276" w:lineRule="auto"/>
              <w:ind w:right="-229"/>
              <w:rPr>
                <w:rFonts w:ascii="Cambria" w:hAnsi="Cambria"/>
                <w:sz w:val="20"/>
                <w:szCs w:val="20"/>
              </w:rPr>
            </w:pPr>
          </w:p>
        </w:tc>
        <w:tc>
          <w:tcPr>
            <w:tcW w:w="1042" w:type="pct"/>
            <w:shd w:val="clear" w:color="auto" w:fill="BDD6EE" w:themeFill="accent1" w:themeFillTint="66"/>
            <w:noWrap/>
          </w:tcPr>
          <w:p w14:paraId="733F6042" w14:textId="77777777" w:rsidR="00EC4138" w:rsidRPr="00EA1BB2" w:rsidRDefault="00EC4138" w:rsidP="00EC4138">
            <w:pPr>
              <w:spacing w:line="276" w:lineRule="auto"/>
              <w:ind w:right="-229"/>
              <w:rPr>
                <w:rFonts w:ascii="Cambria" w:hAnsi="Cambria"/>
                <w:sz w:val="20"/>
                <w:szCs w:val="20"/>
              </w:rPr>
            </w:pPr>
            <w:r w:rsidRPr="00EA1BB2">
              <w:rPr>
                <w:rFonts w:ascii="Cambria" w:hAnsi="Cambria"/>
                <w:sz w:val="20"/>
                <w:szCs w:val="20"/>
              </w:rPr>
              <w:t xml:space="preserve">   Reducere emisii aglomerare Brăila</w:t>
            </w:r>
          </w:p>
        </w:tc>
        <w:tc>
          <w:tcPr>
            <w:tcW w:w="333" w:type="pct"/>
            <w:vAlign w:val="center"/>
          </w:tcPr>
          <w:p w14:paraId="615CB305" w14:textId="77777777" w:rsidR="00EC4138" w:rsidRPr="00EA1BB2" w:rsidRDefault="00EC4138" w:rsidP="00EC4138">
            <w:pPr>
              <w:spacing w:line="276" w:lineRule="auto"/>
              <w:jc w:val="center"/>
              <w:rPr>
                <w:rFonts w:ascii="Cambria" w:hAnsi="Cambria"/>
                <w:sz w:val="20"/>
                <w:szCs w:val="20"/>
              </w:rPr>
            </w:pPr>
            <w:r w:rsidRPr="00EA1BB2">
              <w:rPr>
                <w:rFonts w:ascii="Cambria" w:hAnsi="Cambria"/>
                <w:sz w:val="20"/>
                <w:szCs w:val="20"/>
              </w:rPr>
              <w:t>0.000000</w:t>
            </w:r>
          </w:p>
        </w:tc>
        <w:tc>
          <w:tcPr>
            <w:tcW w:w="332" w:type="pct"/>
            <w:vAlign w:val="center"/>
          </w:tcPr>
          <w:p w14:paraId="3C4CA826" w14:textId="77777777" w:rsidR="00EC4138" w:rsidRPr="00EA1BB2" w:rsidRDefault="00EC4138" w:rsidP="00EC4138">
            <w:pPr>
              <w:spacing w:line="276" w:lineRule="auto"/>
              <w:jc w:val="center"/>
              <w:rPr>
                <w:rFonts w:ascii="Cambria" w:hAnsi="Cambria"/>
                <w:sz w:val="20"/>
                <w:szCs w:val="20"/>
              </w:rPr>
            </w:pPr>
            <w:r w:rsidRPr="00EA1BB2">
              <w:rPr>
                <w:rFonts w:ascii="Cambria" w:hAnsi="Cambria"/>
                <w:sz w:val="20"/>
                <w:szCs w:val="20"/>
              </w:rPr>
              <w:t>0,000001</w:t>
            </w:r>
          </w:p>
        </w:tc>
        <w:tc>
          <w:tcPr>
            <w:tcW w:w="332" w:type="pct"/>
            <w:vAlign w:val="center"/>
          </w:tcPr>
          <w:p w14:paraId="63DB91C5" w14:textId="77777777" w:rsidR="00EC4138" w:rsidRPr="00EA1BB2" w:rsidRDefault="00A133F1" w:rsidP="00EC4138">
            <w:pPr>
              <w:spacing w:line="276" w:lineRule="auto"/>
              <w:jc w:val="center"/>
              <w:rPr>
                <w:rFonts w:ascii="Cambria" w:hAnsi="Cambria"/>
                <w:sz w:val="20"/>
                <w:szCs w:val="20"/>
              </w:rPr>
            </w:pPr>
            <w:r w:rsidRPr="00EA1BB2">
              <w:rPr>
                <w:rFonts w:ascii="Cambria" w:hAnsi="Cambria"/>
                <w:sz w:val="20"/>
                <w:szCs w:val="20"/>
              </w:rPr>
              <w:t>-</w:t>
            </w:r>
          </w:p>
        </w:tc>
        <w:tc>
          <w:tcPr>
            <w:tcW w:w="332" w:type="pct"/>
            <w:vAlign w:val="center"/>
          </w:tcPr>
          <w:p w14:paraId="797415D8" w14:textId="77777777" w:rsidR="00EC4138" w:rsidRPr="00EA1BB2" w:rsidRDefault="00EC4138" w:rsidP="00EC4138">
            <w:pPr>
              <w:spacing w:line="276" w:lineRule="auto"/>
              <w:jc w:val="center"/>
              <w:rPr>
                <w:rFonts w:ascii="Cambria" w:hAnsi="Cambria"/>
                <w:sz w:val="20"/>
                <w:szCs w:val="20"/>
              </w:rPr>
            </w:pPr>
            <w:r w:rsidRPr="00EA1BB2">
              <w:rPr>
                <w:rFonts w:ascii="Cambria" w:hAnsi="Cambria"/>
                <w:sz w:val="20"/>
                <w:szCs w:val="20"/>
              </w:rPr>
              <w:t>0,027291</w:t>
            </w:r>
          </w:p>
        </w:tc>
        <w:tc>
          <w:tcPr>
            <w:tcW w:w="332" w:type="pct"/>
            <w:vAlign w:val="center"/>
          </w:tcPr>
          <w:p w14:paraId="7576F328" w14:textId="77777777" w:rsidR="00EC4138" w:rsidRPr="00EA1BB2" w:rsidRDefault="00EC4138" w:rsidP="00EC4138">
            <w:pPr>
              <w:spacing w:line="276" w:lineRule="auto"/>
              <w:jc w:val="center"/>
              <w:rPr>
                <w:rFonts w:ascii="Cambria" w:hAnsi="Cambria"/>
                <w:sz w:val="20"/>
                <w:szCs w:val="20"/>
              </w:rPr>
            </w:pPr>
            <w:r w:rsidRPr="00EA1BB2">
              <w:rPr>
                <w:rFonts w:ascii="Cambria" w:hAnsi="Cambria"/>
                <w:sz w:val="20"/>
                <w:szCs w:val="20"/>
              </w:rPr>
              <w:t>0,000001</w:t>
            </w:r>
          </w:p>
        </w:tc>
        <w:tc>
          <w:tcPr>
            <w:tcW w:w="332" w:type="pct"/>
            <w:vAlign w:val="center"/>
          </w:tcPr>
          <w:p w14:paraId="6F5B30C0" w14:textId="77777777" w:rsidR="00EC4138" w:rsidRPr="00EA1BB2" w:rsidRDefault="00EC4138" w:rsidP="00EC4138">
            <w:pPr>
              <w:spacing w:line="276" w:lineRule="auto"/>
              <w:jc w:val="center"/>
              <w:rPr>
                <w:rFonts w:ascii="Cambria" w:hAnsi="Cambria"/>
                <w:sz w:val="20"/>
                <w:szCs w:val="20"/>
              </w:rPr>
            </w:pPr>
            <w:r w:rsidRPr="00EA1BB2">
              <w:rPr>
                <w:rFonts w:ascii="Cambria" w:hAnsi="Cambria"/>
                <w:sz w:val="20"/>
                <w:szCs w:val="20"/>
              </w:rPr>
              <w:t>-</w:t>
            </w:r>
          </w:p>
        </w:tc>
        <w:tc>
          <w:tcPr>
            <w:tcW w:w="332" w:type="pct"/>
            <w:vAlign w:val="center"/>
          </w:tcPr>
          <w:p w14:paraId="186A3342" w14:textId="77777777" w:rsidR="00EC4138" w:rsidRPr="00EA1BB2" w:rsidRDefault="00EC4138" w:rsidP="00EC4138">
            <w:pPr>
              <w:spacing w:line="276" w:lineRule="auto"/>
              <w:jc w:val="center"/>
              <w:rPr>
                <w:rFonts w:ascii="Cambria" w:hAnsi="Cambria"/>
                <w:sz w:val="20"/>
                <w:szCs w:val="20"/>
              </w:rPr>
            </w:pPr>
            <w:r w:rsidRPr="00EA1BB2">
              <w:rPr>
                <w:rFonts w:ascii="Cambria" w:hAnsi="Cambria"/>
                <w:sz w:val="20"/>
                <w:szCs w:val="20"/>
              </w:rPr>
              <w:t>0,000001</w:t>
            </w:r>
          </w:p>
        </w:tc>
        <w:tc>
          <w:tcPr>
            <w:tcW w:w="332" w:type="pct"/>
            <w:vAlign w:val="center"/>
          </w:tcPr>
          <w:p w14:paraId="3D3D280B" w14:textId="77777777" w:rsidR="00EC4138" w:rsidRPr="00EA1BB2" w:rsidRDefault="00EC4138" w:rsidP="00EC4138">
            <w:pPr>
              <w:spacing w:line="276" w:lineRule="auto"/>
              <w:jc w:val="center"/>
              <w:rPr>
                <w:rFonts w:ascii="Cambria" w:hAnsi="Cambria"/>
                <w:sz w:val="20"/>
                <w:szCs w:val="20"/>
              </w:rPr>
            </w:pPr>
            <w:r w:rsidRPr="00EA1BB2">
              <w:rPr>
                <w:rFonts w:ascii="Cambria" w:hAnsi="Cambria"/>
                <w:sz w:val="20"/>
                <w:szCs w:val="20"/>
              </w:rPr>
              <w:t>0,000682</w:t>
            </w:r>
          </w:p>
        </w:tc>
        <w:tc>
          <w:tcPr>
            <w:tcW w:w="367" w:type="pct"/>
            <w:vAlign w:val="center"/>
          </w:tcPr>
          <w:p w14:paraId="6E360942" w14:textId="77777777" w:rsidR="00EC4138" w:rsidRPr="00EA1BB2" w:rsidRDefault="00EC4138" w:rsidP="00EC4138">
            <w:pPr>
              <w:spacing w:line="276" w:lineRule="auto"/>
              <w:jc w:val="center"/>
              <w:rPr>
                <w:rFonts w:ascii="Cambria" w:hAnsi="Cambria"/>
                <w:sz w:val="20"/>
                <w:szCs w:val="20"/>
              </w:rPr>
            </w:pPr>
            <w:r w:rsidRPr="00EA1BB2">
              <w:rPr>
                <w:rFonts w:ascii="Cambria" w:hAnsi="Cambria"/>
                <w:sz w:val="20"/>
                <w:szCs w:val="20"/>
              </w:rPr>
              <w:t>0,000682</w:t>
            </w:r>
          </w:p>
        </w:tc>
        <w:tc>
          <w:tcPr>
            <w:tcW w:w="353" w:type="pct"/>
            <w:vAlign w:val="center"/>
          </w:tcPr>
          <w:p w14:paraId="2A0E0BF5" w14:textId="77777777" w:rsidR="00EC4138" w:rsidRPr="00EA1BB2" w:rsidRDefault="00EC4138" w:rsidP="00EC4138">
            <w:pPr>
              <w:spacing w:line="276" w:lineRule="auto"/>
              <w:jc w:val="center"/>
              <w:rPr>
                <w:rFonts w:ascii="Cambria" w:hAnsi="Cambria"/>
                <w:sz w:val="20"/>
                <w:szCs w:val="20"/>
              </w:rPr>
            </w:pPr>
            <w:r w:rsidRPr="00EA1BB2">
              <w:rPr>
                <w:rFonts w:ascii="Cambria" w:hAnsi="Cambria"/>
                <w:sz w:val="20"/>
                <w:szCs w:val="20"/>
              </w:rPr>
              <w:t>0,000682</w:t>
            </w:r>
          </w:p>
        </w:tc>
      </w:tr>
      <w:tr w:rsidR="00EC4138" w:rsidRPr="00EA1BB2" w14:paraId="074F85C0" w14:textId="77777777" w:rsidTr="008A0A36">
        <w:trPr>
          <w:trHeight w:val="290"/>
          <w:jc w:val="center"/>
        </w:trPr>
        <w:tc>
          <w:tcPr>
            <w:tcW w:w="135" w:type="pct"/>
            <w:vMerge/>
            <w:tcBorders>
              <w:bottom w:val="double" w:sz="4" w:space="0" w:color="auto"/>
            </w:tcBorders>
            <w:vAlign w:val="center"/>
          </w:tcPr>
          <w:p w14:paraId="6F696680" w14:textId="77777777" w:rsidR="00EC4138" w:rsidRPr="00EA1BB2" w:rsidRDefault="00EC4138" w:rsidP="00C00FAB">
            <w:pPr>
              <w:spacing w:line="276" w:lineRule="auto"/>
              <w:ind w:right="-104"/>
              <w:jc w:val="center"/>
              <w:rPr>
                <w:rFonts w:ascii="Cambria" w:hAnsi="Cambria"/>
                <w:b/>
                <w:sz w:val="20"/>
                <w:szCs w:val="20"/>
              </w:rPr>
            </w:pPr>
          </w:p>
        </w:tc>
        <w:tc>
          <w:tcPr>
            <w:tcW w:w="223" w:type="pct"/>
            <w:vMerge/>
            <w:tcBorders>
              <w:bottom w:val="double" w:sz="4" w:space="0" w:color="auto"/>
            </w:tcBorders>
            <w:shd w:val="clear" w:color="auto" w:fill="auto"/>
            <w:noWrap/>
          </w:tcPr>
          <w:p w14:paraId="398E3450" w14:textId="77777777" w:rsidR="00EC4138" w:rsidRPr="00EA1BB2" w:rsidRDefault="00EC4138" w:rsidP="00EC4138">
            <w:pPr>
              <w:spacing w:line="276" w:lineRule="auto"/>
              <w:ind w:right="-104"/>
              <w:rPr>
                <w:rFonts w:ascii="Cambria" w:hAnsi="Cambria"/>
                <w:sz w:val="20"/>
                <w:szCs w:val="20"/>
              </w:rPr>
            </w:pPr>
          </w:p>
        </w:tc>
        <w:tc>
          <w:tcPr>
            <w:tcW w:w="223" w:type="pct"/>
            <w:vMerge/>
            <w:tcBorders>
              <w:bottom w:val="double" w:sz="4" w:space="0" w:color="auto"/>
            </w:tcBorders>
          </w:tcPr>
          <w:p w14:paraId="1F79A5A0" w14:textId="77777777" w:rsidR="00EC4138" w:rsidRPr="00EA1BB2" w:rsidRDefault="00EC4138" w:rsidP="00EC4138">
            <w:pPr>
              <w:spacing w:line="276" w:lineRule="auto"/>
              <w:ind w:right="-229"/>
              <w:rPr>
                <w:rFonts w:ascii="Cambria" w:hAnsi="Cambria"/>
                <w:sz w:val="20"/>
                <w:szCs w:val="20"/>
              </w:rPr>
            </w:pPr>
          </w:p>
        </w:tc>
        <w:tc>
          <w:tcPr>
            <w:tcW w:w="1042" w:type="pct"/>
            <w:tcBorders>
              <w:bottom w:val="double" w:sz="4" w:space="0" w:color="auto"/>
            </w:tcBorders>
            <w:shd w:val="clear" w:color="auto" w:fill="BDD6EE" w:themeFill="accent1" w:themeFillTint="66"/>
            <w:noWrap/>
          </w:tcPr>
          <w:p w14:paraId="18D3A652" w14:textId="77777777" w:rsidR="00EC4138" w:rsidRPr="00EA1BB2" w:rsidRDefault="00EC4138" w:rsidP="00EC4138">
            <w:pPr>
              <w:spacing w:line="276" w:lineRule="auto"/>
              <w:ind w:right="-229"/>
              <w:rPr>
                <w:rFonts w:ascii="Cambria" w:hAnsi="Cambria"/>
                <w:sz w:val="20"/>
                <w:szCs w:val="20"/>
              </w:rPr>
            </w:pPr>
            <w:r w:rsidRPr="00EA1BB2">
              <w:rPr>
                <w:rFonts w:ascii="Cambria" w:hAnsi="Cambria"/>
                <w:sz w:val="20"/>
                <w:szCs w:val="20"/>
              </w:rPr>
              <w:t xml:space="preserve">   Reducere emisii zona Brăila</w:t>
            </w:r>
          </w:p>
        </w:tc>
        <w:tc>
          <w:tcPr>
            <w:tcW w:w="333" w:type="pct"/>
            <w:tcBorders>
              <w:bottom w:val="double" w:sz="4" w:space="0" w:color="auto"/>
            </w:tcBorders>
            <w:vAlign w:val="center"/>
          </w:tcPr>
          <w:p w14:paraId="0AA05E4D" w14:textId="77777777" w:rsidR="00EC4138" w:rsidRPr="00EA1BB2" w:rsidRDefault="00EC4138" w:rsidP="00EC4138">
            <w:pPr>
              <w:spacing w:line="276" w:lineRule="auto"/>
              <w:jc w:val="center"/>
              <w:rPr>
                <w:rFonts w:ascii="Cambria" w:hAnsi="Cambria"/>
                <w:sz w:val="20"/>
                <w:szCs w:val="20"/>
              </w:rPr>
            </w:pPr>
            <w:r w:rsidRPr="00EA1BB2">
              <w:rPr>
                <w:rFonts w:ascii="Cambria" w:hAnsi="Cambria"/>
                <w:sz w:val="20"/>
                <w:szCs w:val="20"/>
              </w:rPr>
              <w:t>0,000002</w:t>
            </w:r>
          </w:p>
        </w:tc>
        <w:tc>
          <w:tcPr>
            <w:tcW w:w="332" w:type="pct"/>
            <w:tcBorders>
              <w:bottom w:val="double" w:sz="4" w:space="0" w:color="auto"/>
            </w:tcBorders>
            <w:vAlign w:val="center"/>
          </w:tcPr>
          <w:p w14:paraId="454E6087" w14:textId="77777777" w:rsidR="00EC4138" w:rsidRPr="00EA1BB2" w:rsidRDefault="00EC4138" w:rsidP="00EC4138">
            <w:pPr>
              <w:spacing w:line="276" w:lineRule="auto"/>
              <w:jc w:val="center"/>
              <w:rPr>
                <w:rFonts w:ascii="Cambria" w:hAnsi="Cambria"/>
                <w:sz w:val="20"/>
                <w:szCs w:val="20"/>
              </w:rPr>
            </w:pPr>
            <w:r w:rsidRPr="00EA1BB2">
              <w:rPr>
                <w:rFonts w:ascii="Cambria" w:hAnsi="Cambria"/>
                <w:sz w:val="20"/>
                <w:szCs w:val="20"/>
              </w:rPr>
              <w:t>0.000000</w:t>
            </w:r>
          </w:p>
        </w:tc>
        <w:tc>
          <w:tcPr>
            <w:tcW w:w="332" w:type="pct"/>
            <w:tcBorders>
              <w:bottom w:val="double" w:sz="4" w:space="0" w:color="auto"/>
            </w:tcBorders>
            <w:vAlign w:val="center"/>
          </w:tcPr>
          <w:p w14:paraId="6AD9E97E" w14:textId="77777777" w:rsidR="00EC4138" w:rsidRPr="00EA1BB2" w:rsidRDefault="00A133F1" w:rsidP="00EC4138">
            <w:pPr>
              <w:spacing w:line="276" w:lineRule="auto"/>
              <w:jc w:val="center"/>
              <w:rPr>
                <w:rFonts w:ascii="Cambria" w:hAnsi="Cambria"/>
                <w:sz w:val="20"/>
                <w:szCs w:val="20"/>
              </w:rPr>
            </w:pPr>
            <w:r w:rsidRPr="00EA1BB2">
              <w:rPr>
                <w:rFonts w:ascii="Cambria" w:hAnsi="Cambria"/>
                <w:sz w:val="20"/>
                <w:szCs w:val="20"/>
              </w:rPr>
              <w:t>-</w:t>
            </w:r>
          </w:p>
        </w:tc>
        <w:tc>
          <w:tcPr>
            <w:tcW w:w="332" w:type="pct"/>
            <w:tcBorders>
              <w:bottom w:val="double" w:sz="4" w:space="0" w:color="auto"/>
            </w:tcBorders>
            <w:vAlign w:val="center"/>
          </w:tcPr>
          <w:p w14:paraId="44DF676E" w14:textId="77777777" w:rsidR="00EC4138" w:rsidRPr="00EA1BB2" w:rsidRDefault="00EC4138" w:rsidP="00EC4138">
            <w:pPr>
              <w:spacing w:line="276" w:lineRule="auto"/>
              <w:jc w:val="center"/>
              <w:rPr>
                <w:rFonts w:ascii="Cambria" w:hAnsi="Cambria"/>
                <w:sz w:val="20"/>
                <w:szCs w:val="20"/>
              </w:rPr>
            </w:pPr>
            <w:r w:rsidRPr="00EA1BB2">
              <w:rPr>
                <w:rFonts w:ascii="Cambria" w:hAnsi="Cambria"/>
                <w:sz w:val="20"/>
                <w:szCs w:val="20"/>
              </w:rPr>
              <w:t>4,957747</w:t>
            </w:r>
          </w:p>
        </w:tc>
        <w:tc>
          <w:tcPr>
            <w:tcW w:w="332" w:type="pct"/>
            <w:tcBorders>
              <w:bottom w:val="double" w:sz="4" w:space="0" w:color="auto"/>
            </w:tcBorders>
            <w:vAlign w:val="center"/>
          </w:tcPr>
          <w:p w14:paraId="498FCD17" w14:textId="77777777" w:rsidR="00EC4138" w:rsidRPr="00EA1BB2" w:rsidRDefault="00EC4138" w:rsidP="00EC4138">
            <w:pPr>
              <w:spacing w:line="276" w:lineRule="auto"/>
              <w:jc w:val="center"/>
              <w:rPr>
                <w:rFonts w:ascii="Cambria" w:hAnsi="Cambria"/>
                <w:sz w:val="20"/>
                <w:szCs w:val="20"/>
              </w:rPr>
            </w:pPr>
            <w:r w:rsidRPr="00EA1BB2">
              <w:rPr>
                <w:rFonts w:ascii="Cambria" w:hAnsi="Cambria"/>
                <w:sz w:val="20"/>
                <w:szCs w:val="20"/>
              </w:rPr>
              <w:t>0,000331</w:t>
            </w:r>
          </w:p>
        </w:tc>
        <w:tc>
          <w:tcPr>
            <w:tcW w:w="332" w:type="pct"/>
            <w:tcBorders>
              <w:bottom w:val="double" w:sz="4" w:space="0" w:color="auto"/>
            </w:tcBorders>
            <w:vAlign w:val="center"/>
          </w:tcPr>
          <w:p w14:paraId="2CBBB4F0" w14:textId="77777777" w:rsidR="00EC4138" w:rsidRPr="00EA1BB2" w:rsidRDefault="00EC4138" w:rsidP="00EC4138">
            <w:pPr>
              <w:spacing w:line="276" w:lineRule="auto"/>
              <w:jc w:val="center"/>
              <w:rPr>
                <w:rFonts w:ascii="Cambria" w:hAnsi="Cambria"/>
                <w:sz w:val="20"/>
                <w:szCs w:val="20"/>
              </w:rPr>
            </w:pPr>
            <w:r w:rsidRPr="00EA1BB2">
              <w:rPr>
                <w:rFonts w:ascii="Cambria" w:hAnsi="Cambria"/>
                <w:sz w:val="20"/>
                <w:szCs w:val="20"/>
              </w:rPr>
              <w:t>0,192097</w:t>
            </w:r>
          </w:p>
        </w:tc>
        <w:tc>
          <w:tcPr>
            <w:tcW w:w="332" w:type="pct"/>
            <w:tcBorders>
              <w:bottom w:val="double" w:sz="4" w:space="0" w:color="auto"/>
            </w:tcBorders>
            <w:vAlign w:val="center"/>
          </w:tcPr>
          <w:p w14:paraId="38191CE7" w14:textId="77777777" w:rsidR="00EC4138" w:rsidRPr="00EA1BB2" w:rsidRDefault="00EC4138" w:rsidP="00EC4138">
            <w:pPr>
              <w:spacing w:line="276" w:lineRule="auto"/>
              <w:jc w:val="center"/>
              <w:rPr>
                <w:rFonts w:ascii="Cambria" w:hAnsi="Cambria"/>
                <w:sz w:val="20"/>
                <w:szCs w:val="20"/>
              </w:rPr>
            </w:pPr>
            <w:r w:rsidRPr="00EA1BB2">
              <w:rPr>
                <w:rFonts w:ascii="Cambria" w:hAnsi="Cambria"/>
                <w:sz w:val="20"/>
                <w:szCs w:val="20"/>
              </w:rPr>
              <w:t>0,000016</w:t>
            </w:r>
          </w:p>
        </w:tc>
        <w:tc>
          <w:tcPr>
            <w:tcW w:w="332" w:type="pct"/>
            <w:tcBorders>
              <w:bottom w:val="double" w:sz="4" w:space="0" w:color="auto"/>
            </w:tcBorders>
            <w:vAlign w:val="center"/>
          </w:tcPr>
          <w:p w14:paraId="367688DC" w14:textId="77777777" w:rsidR="00EC4138" w:rsidRPr="00EA1BB2" w:rsidRDefault="00EC4138" w:rsidP="00EC4138">
            <w:pPr>
              <w:spacing w:line="276" w:lineRule="auto"/>
              <w:jc w:val="center"/>
              <w:rPr>
                <w:rFonts w:ascii="Cambria" w:hAnsi="Cambria"/>
                <w:sz w:val="20"/>
                <w:szCs w:val="20"/>
              </w:rPr>
            </w:pPr>
            <w:r w:rsidRPr="00EA1BB2">
              <w:rPr>
                <w:rFonts w:ascii="Cambria" w:hAnsi="Cambria"/>
                <w:sz w:val="20"/>
                <w:szCs w:val="20"/>
              </w:rPr>
              <w:t>0,125602</w:t>
            </w:r>
          </w:p>
        </w:tc>
        <w:tc>
          <w:tcPr>
            <w:tcW w:w="367" w:type="pct"/>
            <w:tcBorders>
              <w:bottom w:val="double" w:sz="4" w:space="0" w:color="auto"/>
            </w:tcBorders>
            <w:vAlign w:val="center"/>
          </w:tcPr>
          <w:p w14:paraId="7C6D2993" w14:textId="77777777" w:rsidR="00EC4138" w:rsidRPr="00EA1BB2" w:rsidRDefault="00EC4138" w:rsidP="00EC4138">
            <w:pPr>
              <w:spacing w:line="276" w:lineRule="auto"/>
              <w:jc w:val="center"/>
              <w:rPr>
                <w:rFonts w:ascii="Cambria" w:hAnsi="Cambria"/>
                <w:sz w:val="20"/>
                <w:szCs w:val="20"/>
              </w:rPr>
            </w:pPr>
            <w:r w:rsidRPr="00EA1BB2">
              <w:rPr>
                <w:rFonts w:ascii="Cambria" w:hAnsi="Cambria"/>
                <w:sz w:val="20"/>
                <w:szCs w:val="20"/>
              </w:rPr>
              <w:t>0,125602</w:t>
            </w:r>
          </w:p>
        </w:tc>
        <w:tc>
          <w:tcPr>
            <w:tcW w:w="353" w:type="pct"/>
            <w:tcBorders>
              <w:bottom w:val="double" w:sz="4" w:space="0" w:color="auto"/>
            </w:tcBorders>
            <w:vAlign w:val="center"/>
          </w:tcPr>
          <w:p w14:paraId="02E0DB73" w14:textId="77777777" w:rsidR="00EC4138" w:rsidRPr="00EA1BB2" w:rsidRDefault="00EC4138" w:rsidP="00EC4138">
            <w:pPr>
              <w:spacing w:line="276" w:lineRule="auto"/>
              <w:jc w:val="center"/>
              <w:rPr>
                <w:rFonts w:ascii="Cambria" w:hAnsi="Cambria"/>
                <w:sz w:val="20"/>
                <w:szCs w:val="20"/>
              </w:rPr>
            </w:pPr>
            <w:r w:rsidRPr="00EA1BB2">
              <w:rPr>
                <w:rFonts w:ascii="Cambria" w:hAnsi="Cambria"/>
                <w:sz w:val="20"/>
                <w:szCs w:val="20"/>
              </w:rPr>
              <w:t>0,032755</w:t>
            </w:r>
          </w:p>
        </w:tc>
      </w:tr>
      <w:tr w:rsidR="00EC4138" w:rsidRPr="00EA1BB2" w14:paraId="39B08AFB" w14:textId="77777777" w:rsidTr="008A0A36">
        <w:trPr>
          <w:cantSplit/>
          <w:trHeight w:val="1170"/>
          <w:jc w:val="center"/>
        </w:trPr>
        <w:tc>
          <w:tcPr>
            <w:tcW w:w="135" w:type="pct"/>
            <w:tcBorders>
              <w:top w:val="double" w:sz="4" w:space="0" w:color="auto"/>
            </w:tcBorders>
            <w:textDirection w:val="btLr"/>
            <w:vAlign w:val="center"/>
          </w:tcPr>
          <w:p w14:paraId="10CAC85C" w14:textId="77777777" w:rsidR="00EC4138" w:rsidRPr="00EA1BB2" w:rsidRDefault="00C00FAB" w:rsidP="008A0A36">
            <w:pPr>
              <w:ind w:left="113" w:right="-104"/>
              <w:rPr>
                <w:rFonts w:ascii="Cambria" w:hAnsi="Cambria"/>
                <w:b/>
                <w:sz w:val="20"/>
                <w:szCs w:val="20"/>
              </w:rPr>
            </w:pPr>
            <w:r w:rsidRPr="00EA1BB2">
              <w:rPr>
                <w:rFonts w:ascii="Cambria" w:hAnsi="Cambria"/>
                <w:b/>
                <w:sz w:val="18"/>
                <w:szCs w:val="20"/>
              </w:rPr>
              <w:t>Alte măsuri</w:t>
            </w:r>
          </w:p>
        </w:tc>
        <w:tc>
          <w:tcPr>
            <w:tcW w:w="223" w:type="pct"/>
            <w:tcBorders>
              <w:top w:val="double" w:sz="4" w:space="0" w:color="auto"/>
            </w:tcBorders>
            <w:shd w:val="clear" w:color="auto" w:fill="auto"/>
            <w:noWrap/>
          </w:tcPr>
          <w:p w14:paraId="4E751EF8" w14:textId="77777777" w:rsidR="00EC4138" w:rsidRPr="00EA1BB2" w:rsidRDefault="00EC4138" w:rsidP="00EC4138">
            <w:pPr>
              <w:spacing w:line="276" w:lineRule="auto"/>
              <w:ind w:right="-104"/>
              <w:rPr>
                <w:rFonts w:ascii="Cambria" w:hAnsi="Cambria"/>
                <w:sz w:val="20"/>
                <w:szCs w:val="20"/>
              </w:rPr>
            </w:pPr>
            <w:r w:rsidRPr="00EA1BB2">
              <w:rPr>
                <w:rFonts w:ascii="Cambria" w:hAnsi="Cambria"/>
                <w:sz w:val="20"/>
                <w:szCs w:val="20"/>
              </w:rPr>
              <w:t>M.4.1.</w:t>
            </w:r>
          </w:p>
        </w:tc>
        <w:tc>
          <w:tcPr>
            <w:tcW w:w="223" w:type="pct"/>
            <w:tcBorders>
              <w:top w:val="double" w:sz="4" w:space="0" w:color="auto"/>
            </w:tcBorders>
          </w:tcPr>
          <w:p w14:paraId="7E31EB77" w14:textId="77777777" w:rsidR="00EC4138" w:rsidRPr="00EA1BB2" w:rsidRDefault="00EC4138" w:rsidP="00EC4138">
            <w:pPr>
              <w:spacing w:line="276" w:lineRule="auto"/>
              <w:ind w:right="-229"/>
              <w:rPr>
                <w:rFonts w:ascii="Cambria" w:hAnsi="Cambria"/>
                <w:sz w:val="20"/>
                <w:szCs w:val="20"/>
              </w:rPr>
            </w:pPr>
          </w:p>
        </w:tc>
        <w:tc>
          <w:tcPr>
            <w:tcW w:w="1042" w:type="pct"/>
            <w:tcBorders>
              <w:top w:val="double" w:sz="4" w:space="0" w:color="auto"/>
            </w:tcBorders>
            <w:shd w:val="clear" w:color="auto" w:fill="BDD6EE" w:themeFill="accent1" w:themeFillTint="66"/>
            <w:noWrap/>
          </w:tcPr>
          <w:p w14:paraId="5C2334CE" w14:textId="77777777" w:rsidR="00EC4138" w:rsidRPr="00EA1BB2" w:rsidRDefault="00EC4138" w:rsidP="00EC4138">
            <w:pPr>
              <w:spacing w:line="276" w:lineRule="auto"/>
              <w:ind w:right="-229"/>
              <w:rPr>
                <w:rFonts w:ascii="Cambria" w:hAnsi="Cambria"/>
                <w:sz w:val="20"/>
                <w:szCs w:val="20"/>
              </w:rPr>
            </w:pPr>
            <w:r w:rsidRPr="00EA1BB2">
              <w:rPr>
                <w:rFonts w:ascii="Cambria" w:hAnsi="Cambria"/>
                <w:sz w:val="20"/>
                <w:szCs w:val="20"/>
              </w:rPr>
              <w:t>Conștientizarea populației cu privire la nivelul real al calității aerului, la implicațiile asupra sănătății umane</w:t>
            </w:r>
          </w:p>
        </w:tc>
        <w:tc>
          <w:tcPr>
            <w:tcW w:w="333" w:type="pct"/>
            <w:tcBorders>
              <w:top w:val="double" w:sz="4" w:space="0" w:color="auto"/>
            </w:tcBorders>
            <w:vAlign w:val="center"/>
          </w:tcPr>
          <w:p w14:paraId="4DADB759" w14:textId="77777777" w:rsidR="00EC4138" w:rsidRPr="00EA1BB2" w:rsidRDefault="00EC4138" w:rsidP="00EC4138">
            <w:pPr>
              <w:spacing w:line="276" w:lineRule="auto"/>
              <w:jc w:val="center"/>
              <w:rPr>
                <w:rFonts w:ascii="Cambria" w:hAnsi="Cambria"/>
                <w:sz w:val="20"/>
                <w:szCs w:val="20"/>
              </w:rPr>
            </w:pPr>
            <w:r w:rsidRPr="00EA1BB2">
              <w:rPr>
                <w:rFonts w:ascii="Cambria" w:hAnsi="Cambria"/>
                <w:sz w:val="20"/>
                <w:szCs w:val="20"/>
              </w:rPr>
              <w:t>-</w:t>
            </w:r>
          </w:p>
        </w:tc>
        <w:tc>
          <w:tcPr>
            <w:tcW w:w="332" w:type="pct"/>
            <w:tcBorders>
              <w:top w:val="double" w:sz="4" w:space="0" w:color="auto"/>
            </w:tcBorders>
            <w:vAlign w:val="center"/>
          </w:tcPr>
          <w:p w14:paraId="1C5FBC7B" w14:textId="77777777" w:rsidR="00EC4138" w:rsidRPr="00EA1BB2" w:rsidRDefault="00EC4138" w:rsidP="00EC4138">
            <w:pPr>
              <w:spacing w:line="276" w:lineRule="auto"/>
              <w:jc w:val="center"/>
              <w:rPr>
                <w:rFonts w:ascii="Cambria" w:hAnsi="Cambria"/>
                <w:sz w:val="20"/>
                <w:szCs w:val="20"/>
              </w:rPr>
            </w:pPr>
            <w:r w:rsidRPr="00EA1BB2">
              <w:rPr>
                <w:rFonts w:ascii="Cambria" w:hAnsi="Cambria"/>
                <w:sz w:val="20"/>
                <w:szCs w:val="20"/>
              </w:rPr>
              <w:t>-</w:t>
            </w:r>
          </w:p>
        </w:tc>
        <w:tc>
          <w:tcPr>
            <w:tcW w:w="332" w:type="pct"/>
            <w:tcBorders>
              <w:top w:val="double" w:sz="4" w:space="0" w:color="auto"/>
            </w:tcBorders>
            <w:vAlign w:val="center"/>
          </w:tcPr>
          <w:p w14:paraId="1FCE8AC9" w14:textId="77777777" w:rsidR="00EC4138" w:rsidRPr="00EA1BB2" w:rsidRDefault="00EC4138" w:rsidP="00EC4138">
            <w:pPr>
              <w:spacing w:line="276" w:lineRule="auto"/>
              <w:jc w:val="center"/>
              <w:rPr>
                <w:rFonts w:ascii="Cambria" w:hAnsi="Cambria"/>
                <w:sz w:val="20"/>
                <w:szCs w:val="20"/>
              </w:rPr>
            </w:pPr>
            <w:r w:rsidRPr="00EA1BB2">
              <w:rPr>
                <w:rFonts w:ascii="Cambria" w:hAnsi="Cambria"/>
                <w:sz w:val="20"/>
                <w:szCs w:val="20"/>
              </w:rPr>
              <w:t>-</w:t>
            </w:r>
          </w:p>
        </w:tc>
        <w:tc>
          <w:tcPr>
            <w:tcW w:w="332" w:type="pct"/>
            <w:tcBorders>
              <w:top w:val="double" w:sz="4" w:space="0" w:color="auto"/>
            </w:tcBorders>
            <w:vAlign w:val="center"/>
          </w:tcPr>
          <w:p w14:paraId="51AEFB2A" w14:textId="77777777" w:rsidR="00EC4138" w:rsidRPr="00EA1BB2" w:rsidRDefault="00EC4138" w:rsidP="00EC4138">
            <w:pPr>
              <w:spacing w:line="276" w:lineRule="auto"/>
              <w:jc w:val="center"/>
              <w:rPr>
                <w:rFonts w:ascii="Cambria" w:hAnsi="Cambria"/>
                <w:sz w:val="20"/>
                <w:szCs w:val="20"/>
              </w:rPr>
            </w:pPr>
            <w:r w:rsidRPr="00EA1BB2">
              <w:rPr>
                <w:rFonts w:ascii="Cambria" w:hAnsi="Cambria"/>
                <w:sz w:val="20"/>
                <w:szCs w:val="20"/>
              </w:rPr>
              <w:t>-</w:t>
            </w:r>
          </w:p>
        </w:tc>
        <w:tc>
          <w:tcPr>
            <w:tcW w:w="332" w:type="pct"/>
            <w:tcBorders>
              <w:top w:val="double" w:sz="4" w:space="0" w:color="auto"/>
            </w:tcBorders>
            <w:vAlign w:val="center"/>
          </w:tcPr>
          <w:p w14:paraId="40E6524C" w14:textId="77777777" w:rsidR="00EC4138" w:rsidRPr="00EA1BB2" w:rsidRDefault="00EC4138" w:rsidP="00EC4138">
            <w:pPr>
              <w:spacing w:line="276" w:lineRule="auto"/>
              <w:jc w:val="center"/>
              <w:rPr>
                <w:rFonts w:ascii="Cambria" w:hAnsi="Cambria"/>
                <w:sz w:val="20"/>
                <w:szCs w:val="20"/>
              </w:rPr>
            </w:pPr>
            <w:r w:rsidRPr="00EA1BB2">
              <w:rPr>
                <w:rFonts w:ascii="Cambria" w:hAnsi="Cambria"/>
                <w:sz w:val="20"/>
                <w:szCs w:val="20"/>
              </w:rPr>
              <w:t>-</w:t>
            </w:r>
          </w:p>
        </w:tc>
        <w:tc>
          <w:tcPr>
            <w:tcW w:w="332" w:type="pct"/>
            <w:tcBorders>
              <w:top w:val="double" w:sz="4" w:space="0" w:color="auto"/>
            </w:tcBorders>
            <w:vAlign w:val="center"/>
          </w:tcPr>
          <w:p w14:paraId="5EF017DB" w14:textId="77777777" w:rsidR="00EC4138" w:rsidRPr="00EA1BB2" w:rsidRDefault="00EC4138" w:rsidP="00EC4138">
            <w:pPr>
              <w:spacing w:line="276" w:lineRule="auto"/>
              <w:jc w:val="center"/>
              <w:rPr>
                <w:rFonts w:ascii="Cambria" w:hAnsi="Cambria"/>
                <w:sz w:val="20"/>
                <w:szCs w:val="20"/>
              </w:rPr>
            </w:pPr>
            <w:r w:rsidRPr="00EA1BB2">
              <w:rPr>
                <w:rFonts w:ascii="Cambria" w:hAnsi="Cambria"/>
                <w:sz w:val="20"/>
                <w:szCs w:val="20"/>
              </w:rPr>
              <w:t>-</w:t>
            </w:r>
          </w:p>
        </w:tc>
        <w:tc>
          <w:tcPr>
            <w:tcW w:w="332" w:type="pct"/>
            <w:tcBorders>
              <w:top w:val="double" w:sz="4" w:space="0" w:color="auto"/>
            </w:tcBorders>
            <w:vAlign w:val="center"/>
          </w:tcPr>
          <w:p w14:paraId="3BD01C21" w14:textId="77777777" w:rsidR="00EC4138" w:rsidRPr="00EA1BB2" w:rsidRDefault="00EC4138" w:rsidP="00EC4138">
            <w:pPr>
              <w:spacing w:line="276" w:lineRule="auto"/>
              <w:jc w:val="center"/>
              <w:rPr>
                <w:rFonts w:ascii="Cambria" w:hAnsi="Cambria"/>
                <w:sz w:val="20"/>
                <w:szCs w:val="20"/>
              </w:rPr>
            </w:pPr>
            <w:r w:rsidRPr="00EA1BB2">
              <w:rPr>
                <w:rFonts w:ascii="Cambria" w:hAnsi="Cambria"/>
                <w:sz w:val="20"/>
                <w:szCs w:val="20"/>
              </w:rPr>
              <w:t>-</w:t>
            </w:r>
          </w:p>
        </w:tc>
        <w:tc>
          <w:tcPr>
            <w:tcW w:w="332" w:type="pct"/>
            <w:tcBorders>
              <w:top w:val="double" w:sz="4" w:space="0" w:color="auto"/>
            </w:tcBorders>
            <w:vAlign w:val="center"/>
          </w:tcPr>
          <w:p w14:paraId="39D3E339" w14:textId="77777777" w:rsidR="00EC4138" w:rsidRPr="00EA1BB2" w:rsidRDefault="00EC4138" w:rsidP="00EC4138">
            <w:pPr>
              <w:spacing w:line="276" w:lineRule="auto"/>
              <w:jc w:val="center"/>
              <w:rPr>
                <w:rFonts w:ascii="Cambria" w:hAnsi="Cambria"/>
                <w:sz w:val="20"/>
                <w:szCs w:val="20"/>
              </w:rPr>
            </w:pPr>
            <w:r w:rsidRPr="00EA1BB2">
              <w:rPr>
                <w:rFonts w:ascii="Cambria" w:hAnsi="Cambria"/>
                <w:sz w:val="20"/>
                <w:szCs w:val="20"/>
              </w:rPr>
              <w:t>-</w:t>
            </w:r>
          </w:p>
        </w:tc>
        <w:tc>
          <w:tcPr>
            <w:tcW w:w="367" w:type="pct"/>
            <w:tcBorders>
              <w:top w:val="double" w:sz="4" w:space="0" w:color="auto"/>
            </w:tcBorders>
            <w:vAlign w:val="center"/>
          </w:tcPr>
          <w:p w14:paraId="10C0D541" w14:textId="77777777" w:rsidR="00EC4138" w:rsidRPr="00EA1BB2" w:rsidRDefault="00EC4138" w:rsidP="00EC4138">
            <w:pPr>
              <w:spacing w:line="276" w:lineRule="auto"/>
              <w:jc w:val="center"/>
              <w:rPr>
                <w:rFonts w:ascii="Cambria" w:hAnsi="Cambria"/>
                <w:sz w:val="20"/>
                <w:szCs w:val="20"/>
              </w:rPr>
            </w:pPr>
            <w:r w:rsidRPr="00EA1BB2">
              <w:rPr>
                <w:rFonts w:ascii="Cambria" w:hAnsi="Cambria"/>
                <w:sz w:val="20"/>
                <w:szCs w:val="20"/>
              </w:rPr>
              <w:t>-</w:t>
            </w:r>
          </w:p>
        </w:tc>
        <w:tc>
          <w:tcPr>
            <w:tcW w:w="353" w:type="pct"/>
            <w:tcBorders>
              <w:top w:val="double" w:sz="4" w:space="0" w:color="auto"/>
            </w:tcBorders>
            <w:vAlign w:val="center"/>
          </w:tcPr>
          <w:p w14:paraId="50C1E665" w14:textId="77777777" w:rsidR="00EC4138" w:rsidRPr="00EA1BB2" w:rsidRDefault="00EC4138" w:rsidP="00EC4138">
            <w:pPr>
              <w:spacing w:line="276" w:lineRule="auto"/>
              <w:jc w:val="center"/>
              <w:rPr>
                <w:rFonts w:ascii="Cambria" w:hAnsi="Cambria"/>
                <w:sz w:val="20"/>
                <w:szCs w:val="20"/>
              </w:rPr>
            </w:pPr>
            <w:r w:rsidRPr="00EA1BB2">
              <w:rPr>
                <w:rFonts w:ascii="Cambria" w:hAnsi="Cambria"/>
                <w:sz w:val="20"/>
                <w:szCs w:val="20"/>
              </w:rPr>
              <w:t>-</w:t>
            </w:r>
          </w:p>
        </w:tc>
      </w:tr>
    </w:tbl>
    <w:p w14:paraId="44D0944D" w14:textId="77777777" w:rsidR="006A2254" w:rsidRPr="00EA1BB2" w:rsidRDefault="006A2254" w:rsidP="006A2254">
      <w:pPr>
        <w:spacing w:line="360" w:lineRule="auto"/>
        <w:rPr>
          <w:rFonts w:ascii="Cambria" w:hAnsi="Cambria"/>
          <w:sz w:val="24"/>
          <w:szCs w:val="24"/>
        </w:rPr>
      </w:pPr>
    </w:p>
    <w:p w14:paraId="10D63501" w14:textId="77777777" w:rsidR="006A2254" w:rsidRPr="00EA1BB2" w:rsidRDefault="006A2254" w:rsidP="006A2254">
      <w:pPr>
        <w:spacing w:line="360" w:lineRule="auto"/>
        <w:rPr>
          <w:rFonts w:ascii="Cambria" w:hAnsi="Cambria"/>
          <w:sz w:val="24"/>
          <w:szCs w:val="24"/>
        </w:rPr>
        <w:sectPr w:rsidR="006A2254" w:rsidRPr="00EA1BB2" w:rsidSect="00835836">
          <w:pgSz w:w="16838" w:h="11906" w:orient="landscape" w:code="9"/>
          <w:pgMar w:top="1418" w:right="1247" w:bottom="1418" w:left="1247" w:header="283" w:footer="283" w:gutter="0"/>
          <w:cols w:space="708"/>
          <w:docGrid w:linePitch="360"/>
        </w:sectPr>
      </w:pPr>
    </w:p>
    <w:p w14:paraId="04BC117A" w14:textId="77BAAC59" w:rsidR="006A2254" w:rsidRPr="00EA1BB2" w:rsidRDefault="006A2254" w:rsidP="006A2254">
      <w:pPr>
        <w:keepNext/>
        <w:spacing w:line="360" w:lineRule="auto"/>
        <w:ind w:firstLine="709"/>
        <w:jc w:val="both"/>
        <w:rPr>
          <w:rFonts w:ascii="Cambria" w:eastAsia="Calibri" w:hAnsi="Cambria" w:cs="Times New Roman"/>
          <w:b/>
          <w:iCs/>
          <w:sz w:val="24"/>
          <w:szCs w:val="18"/>
        </w:rPr>
      </w:pPr>
      <w:bookmarkStart w:id="273" w:name="_Toc516229366"/>
      <w:bookmarkStart w:id="274" w:name="_Toc517080986"/>
      <w:bookmarkStart w:id="275" w:name="_Toc520368171"/>
      <w:bookmarkStart w:id="276" w:name="_Toc524966239"/>
      <w:r w:rsidRPr="00EA1BB2">
        <w:rPr>
          <w:rFonts w:ascii="Cambria" w:eastAsia="Calibri" w:hAnsi="Cambria" w:cs="Times New Roman"/>
          <w:b/>
          <w:iCs/>
          <w:sz w:val="24"/>
          <w:szCs w:val="18"/>
        </w:rPr>
        <w:lastRenderedPageBreak/>
        <w:t xml:space="preserve">Figura nr. </w:t>
      </w:r>
      <w:r w:rsidR="00280BC9" w:rsidRPr="00EA1BB2">
        <w:rPr>
          <w:rFonts w:ascii="Cambria" w:eastAsia="Calibri" w:hAnsi="Cambria" w:cs="Times New Roman"/>
          <w:b/>
          <w:iCs/>
          <w:sz w:val="24"/>
          <w:szCs w:val="18"/>
        </w:rPr>
        <w:fldChar w:fldCharType="begin"/>
      </w:r>
      <w:r w:rsidR="00BA6FA3" w:rsidRPr="00EA1BB2">
        <w:rPr>
          <w:rFonts w:ascii="Cambria" w:eastAsia="Calibri" w:hAnsi="Cambria" w:cs="Times New Roman"/>
          <w:b/>
          <w:iCs/>
          <w:sz w:val="24"/>
          <w:szCs w:val="18"/>
        </w:rPr>
        <w:instrText xml:space="preserve"> STYLEREF 1 \s </w:instrText>
      </w:r>
      <w:r w:rsidR="00280BC9" w:rsidRPr="00EA1BB2">
        <w:rPr>
          <w:rFonts w:ascii="Cambria" w:eastAsia="Calibri" w:hAnsi="Cambria" w:cs="Times New Roman"/>
          <w:b/>
          <w:iCs/>
          <w:sz w:val="24"/>
          <w:szCs w:val="18"/>
        </w:rPr>
        <w:fldChar w:fldCharType="separate"/>
      </w:r>
      <w:r w:rsidR="00567555">
        <w:rPr>
          <w:rFonts w:ascii="Cambria" w:eastAsia="Calibri" w:hAnsi="Cambria" w:cs="Times New Roman"/>
          <w:b/>
          <w:iCs/>
          <w:noProof/>
          <w:sz w:val="24"/>
          <w:szCs w:val="18"/>
        </w:rPr>
        <w:t>6</w:t>
      </w:r>
      <w:r w:rsidR="00280BC9" w:rsidRPr="00EA1BB2">
        <w:rPr>
          <w:rFonts w:ascii="Cambria" w:eastAsia="Calibri" w:hAnsi="Cambria" w:cs="Times New Roman"/>
          <w:b/>
          <w:iCs/>
          <w:sz w:val="24"/>
          <w:szCs w:val="18"/>
        </w:rPr>
        <w:fldChar w:fldCharType="end"/>
      </w:r>
      <w:r w:rsidR="00BA6FA3" w:rsidRPr="00EA1BB2">
        <w:rPr>
          <w:rFonts w:ascii="Cambria" w:eastAsia="Calibri" w:hAnsi="Cambria" w:cs="Times New Roman"/>
          <w:b/>
          <w:iCs/>
          <w:sz w:val="24"/>
          <w:szCs w:val="18"/>
        </w:rPr>
        <w:noBreakHyphen/>
      </w:r>
      <w:r w:rsidR="00280BC9" w:rsidRPr="00EA1BB2">
        <w:rPr>
          <w:rFonts w:ascii="Cambria" w:eastAsia="Calibri" w:hAnsi="Cambria" w:cs="Times New Roman"/>
          <w:b/>
          <w:iCs/>
          <w:sz w:val="24"/>
          <w:szCs w:val="18"/>
        </w:rPr>
        <w:fldChar w:fldCharType="begin"/>
      </w:r>
      <w:r w:rsidR="00BA6FA3" w:rsidRPr="00EA1BB2">
        <w:rPr>
          <w:rFonts w:ascii="Cambria" w:eastAsia="Calibri" w:hAnsi="Cambria" w:cs="Times New Roman"/>
          <w:b/>
          <w:iCs/>
          <w:sz w:val="24"/>
          <w:szCs w:val="18"/>
        </w:rPr>
        <w:instrText xml:space="preserve"> SEQ Figura_nr. \* ARABIC \s 1 </w:instrText>
      </w:r>
      <w:r w:rsidR="00280BC9" w:rsidRPr="00EA1BB2">
        <w:rPr>
          <w:rFonts w:ascii="Cambria" w:eastAsia="Calibri" w:hAnsi="Cambria" w:cs="Times New Roman"/>
          <w:b/>
          <w:iCs/>
          <w:sz w:val="24"/>
          <w:szCs w:val="18"/>
        </w:rPr>
        <w:fldChar w:fldCharType="separate"/>
      </w:r>
      <w:r w:rsidR="00567555">
        <w:rPr>
          <w:rFonts w:ascii="Cambria" w:eastAsia="Calibri" w:hAnsi="Cambria" w:cs="Times New Roman"/>
          <w:b/>
          <w:iCs/>
          <w:noProof/>
          <w:sz w:val="24"/>
          <w:szCs w:val="18"/>
        </w:rPr>
        <w:t>1</w:t>
      </w:r>
      <w:r w:rsidR="00280BC9" w:rsidRPr="00EA1BB2">
        <w:rPr>
          <w:rFonts w:ascii="Cambria" w:eastAsia="Calibri" w:hAnsi="Cambria" w:cs="Times New Roman"/>
          <w:b/>
          <w:iCs/>
          <w:sz w:val="24"/>
          <w:szCs w:val="18"/>
        </w:rPr>
        <w:fldChar w:fldCharType="end"/>
      </w:r>
      <w:r w:rsidRPr="00EA1BB2">
        <w:rPr>
          <w:rFonts w:ascii="Cambria" w:eastAsia="Calibri" w:hAnsi="Cambria" w:cs="Times New Roman"/>
          <w:b/>
          <w:iCs/>
          <w:sz w:val="24"/>
          <w:szCs w:val="18"/>
        </w:rPr>
        <w:t xml:space="preserve"> - Reducerea emisiilor de poluanți pe categorii de surse în urma aplicării scenariilor studiate în vederea menținerii sub valoarea</w:t>
      </w:r>
      <w:r w:rsidR="00831372" w:rsidRPr="00EA1BB2">
        <w:rPr>
          <w:rFonts w:ascii="Cambria" w:eastAsia="Calibri" w:hAnsi="Cambria" w:cs="Times New Roman"/>
          <w:b/>
          <w:iCs/>
          <w:sz w:val="24"/>
          <w:szCs w:val="18"/>
        </w:rPr>
        <w:t>-</w:t>
      </w:r>
      <w:r w:rsidRPr="00EA1BB2">
        <w:rPr>
          <w:rFonts w:ascii="Cambria" w:eastAsia="Calibri" w:hAnsi="Cambria" w:cs="Times New Roman"/>
          <w:b/>
          <w:iCs/>
          <w:sz w:val="24"/>
          <w:szCs w:val="18"/>
        </w:rPr>
        <w:t>limită</w:t>
      </w:r>
      <w:bookmarkEnd w:id="273"/>
      <w:bookmarkEnd w:id="274"/>
      <w:bookmarkEnd w:id="275"/>
      <w:bookmarkEnd w:id="27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6"/>
        <w:gridCol w:w="4566"/>
      </w:tblGrid>
      <w:tr w:rsidR="006A2254" w:rsidRPr="00EA1BB2" w14:paraId="79C39073" w14:textId="77777777" w:rsidTr="00EC4138">
        <w:tc>
          <w:tcPr>
            <w:tcW w:w="4530" w:type="dxa"/>
          </w:tcPr>
          <w:p w14:paraId="3DF72BF2" w14:textId="77777777" w:rsidR="006A2254" w:rsidRPr="00EA1BB2" w:rsidRDefault="006A2254" w:rsidP="00EC4138">
            <w:r w:rsidRPr="00EA1BB2">
              <w:rPr>
                <w:rFonts w:ascii="Cambria" w:eastAsia="Calibri" w:hAnsi="Cambria" w:cs="Times New Roman"/>
                <w:noProof/>
                <w:sz w:val="24"/>
                <w:szCs w:val="24"/>
                <w:lang w:val="en-US"/>
              </w:rPr>
              <w:drawing>
                <wp:inline distT="0" distB="0" distL="0" distR="0" wp14:anchorId="477A9ED7" wp14:editId="462C764C">
                  <wp:extent cx="2762250" cy="1670050"/>
                  <wp:effectExtent l="0" t="0" r="0" b="6350"/>
                  <wp:docPr id="46" name="Chart 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tc>
        <w:tc>
          <w:tcPr>
            <w:tcW w:w="4530" w:type="dxa"/>
          </w:tcPr>
          <w:p w14:paraId="4E5DA659" w14:textId="77777777" w:rsidR="006A2254" w:rsidRPr="00EA1BB2" w:rsidRDefault="006A2254" w:rsidP="00EC4138">
            <w:r w:rsidRPr="00EA1BB2">
              <w:rPr>
                <w:rFonts w:ascii="Cambria" w:eastAsia="Calibri" w:hAnsi="Cambria" w:cs="Times New Roman"/>
                <w:noProof/>
                <w:sz w:val="24"/>
                <w:szCs w:val="24"/>
                <w:lang w:val="en-US"/>
              </w:rPr>
              <w:drawing>
                <wp:inline distT="0" distB="0" distL="0" distR="0" wp14:anchorId="32C3136F" wp14:editId="00CD4A4B">
                  <wp:extent cx="2762250" cy="1670050"/>
                  <wp:effectExtent l="0" t="0" r="0" b="6350"/>
                  <wp:docPr id="47" name="Chart 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tc>
      </w:tr>
      <w:tr w:rsidR="006A2254" w:rsidRPr="00EA1BB2" w14:paraId="249743AE" w14:textId="77777777" w:rsidTr="00EC4138">
        <w:tc>
          <w:tcPr>
            <w:tcW w:w="4530" w:type="dxa"/>
          </w:tcPr>
          <w:p w14:paraId="5E899019" w14:textId="77777777" w:rsidR="006A2254" w:rsidRPr="00EA1BB2" w:rsidRDefault="006A2254" w:rsidP="00EC4138">
            <w:r w:rsidRPr="00EA1BB2">
              <w:rPr>
                <w:rFonts w:ascii="Cambria" w:eastAsia="Calibri" w:hAnsi="Cambria" w:cs="Times New Roman"/>
                <w:noProof/>
                <w:sz w:val="24"/>
                <w:szCs w:val="24"/>
                <w:lang w:val="en-US"/>
              </w:rPr>
              <w:drawing>
                <wp:inline distT="0" distB="0" distL="0" distR="0" wp14:anchorId="5EA7BEDD" wp14:editId="64521726">
                  <wp:extent cx="2762250" cy="1670050"/>
                  <wp:effectExtent l="0" t="0" r="0" b="6350"/>
                  <wp:docPr id="55" name="Chart 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tc>
        <w:tc>
          <w:tcPr>
            <w:tcW w:w="4530" w:type="dxa"/>
          </w:tcPr>
          <w:p w14:paraId="5E6A06E4" w14:textId="77777777" w:rsidR="006A2254" w:rsidRPr="00EA1BB2" w:rsidRDefault="006A2254" w:rsidP="00EC4138">
            <w:r w:rsidRPr="00EA1BB2">
              <w:rPr>
                <w:rFonts w:ascii="Cambria" w:eastAsia="Calibri" w:hAnsi="Cambria" w:cs="Times New Roman"/>
                <w:noProof/>
                <w:sz w:val="24"/>
                <w:szCs w:val="24"/>
                <w:lang w:val="en-US"/>
              </w:rPr>
              <w:drawing>
                <wp:inline distT="0" distB="0" distL="0" distR="0" wp14:anchorId="3C4F0391" wp14:editId="3E48A7B2">
                  <wp:extent cx="2762250" cy="1670050"/>
                  <wp:effectExtent l="0" t="0" r="0" b="6350"/>
                  <wp:docPr id="73" name="Chart 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tc>
      </w:tr>
      <w:tr w:rsidR="006A2254" w:rsidRPr="00EA1BB2" w14:paraId="6052EEF7" w14:textId="77777777" w:rsidTr="00EC4138">
        <w:tc>
          <w:tcPr>
            <w:tcW w:w="4530" w:type="dxa"/>
          </w:tcPr>
          <w:p w14:paraId="5A0C1E6F" w14:textId="77777777" w:rsidR="006A2254" w:rsidRPr="00EA1BB2" w:rsidRDefault="006A2254" w:rsidP="00EC4138">
            <w:r w:rsidRPr="00EA1BB2">
              <w:rPr>
                <w:rFonts w:ascii="Cambria" w:eastAsia="Calibri" w:hAnsi="Cambria" w:cs="Times New Roman"/>
                <w:noProof/>
                <w:sz w:val="24"/>
                <w:szCs w:val="24"/>
                <w:lang w:val="en-US"/>
              </w:rPr>
              <w:drawing>
                <wp:inline distT="0" distB="0" distL="0" distR="0" wp14:anchorId="04561F39" wp14:editId="76F89316">
                  <wp:extent cx="2762250" cy="1670050"/>
                  <wp:effectExtent l="0" t="0" r="0" b="6350"/>
                  <wp:docPr id="90" name="Chart 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tc>
        <w:tc>
          <w:tcPr>
            <w:tcW w:w="4530" w:type="dxa"/>
          </w:tcPr>
          <w:p w14:paraId="1DF87952" w14:textId="77777777" w:rsidR="006A2254" w:rsidRPr="00EA1BB2" w:rsidRDefault="006A2254" w:rsidP="00EC4138">
            <w:r w:rsidRPr="00EA1BB2">
              <w:rPr>
                <w:rFonts w:ascii="Cambria" w:eastAsia="Calibri" w:hAnsi="Cambria" w:cs="Times New Roman"/>
                <w:noProof/>
                <w:sz w:val="24"/>
                <w:szCs w:val="24"/>
                <w:lang w:val="en-US"/>
              </w:rPr>
              <w:drawing>
                <wp:inline distT="0" distB="0" distL="0" distR="0" wp14:anchorId="392FBAD7" wp14:editId="771F89B7">
                  <wp:extent cx="2762250" cy="1670050"/>
                  <wp:effectExtent l="0" t="0" r="0" b="6350"/>
                  <wp:docPr id="94" name="Chart 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tc>
      </w:tr>
      <w:tr w:rsidR="006A2254" w:rsidRPr="00EA1BB2" w14:paraId="51FF4E01" w14:textId="77777777" w:rsidTr="00EC4138">
        <w:tc>
          <w:tcPr>
            <w:tcW w:w="4530" w:type="dxa"/>
          </w:tcPr>
          <w:p w14:paraId="68A67210" w14:textId="77777777" w:rsidR="006A2254" w:rsidRPr="00EA1BB2" w:rsidRDefault="006A2254" w:rsidP="00EC4138">
            <w:r w:rsidRPr="00EA1BB2">
              <w:rPr>
                <w:rFonts w:ascii="Cambria" w:eastAsia="Calibri" w:hAnsi="Cambria" w:cs="Times New Roman"/>
                <w:noProof/>
                <w:sz w:val="24"/>
                <w:szCs w:val="24"/>
                <w:lang w:val="en-US"/>
              </w:rPr>
              <w:drawing>
                <wp:inline distT="0" distB="0" distL="0" distR="0" wp14:anchorId="0FF339DA" wp14:editId="00FF2A27">
                  <wp:extent cx="2762250" cy="1670050"/>
                  <wp:effectExtent l="0" t="0" r="0" b="6350"/>
                  <wp:docPr id="96" name="Chart 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tc>
        <w:tc>
          <w:tcPr>
            <w:tcW w:w="4530" w:type="dxa"/>
          </w:tcPr>
          <w:p w14:paraId="5472C513" w14:textId="77777777" w:rsidR="006A2254" w:rsidRPr="00EA1BB2" w:rsidRDefault="006A2254" w:rsidP="00EC4138">
            <w:r w:rsidRPr="00EA1BB2">
              <w:rPr>
                <w:rFonts w:ascii="Cambria" w:eastAsia="Calibri" w:hAnsi="Cambria" w:cs="Times New Roman"/>
                <w:noProof/>
                <w:sz w:val="24"/>
                <w:szCs w:val="24"/>
                <w:lang w:val="en-US"/>
              </w:rPr>
              <w:drawing>
                <wp:inline distT="0" distB="0" distL="0" distR="0" wp14:anchorId="5800D85B" wp14:editId="3379121F">
                  <wp:extent cx="2762250" cy="1670050"/>
                  <wp:effectExtent l="0" t="0" r="0" b="6350"/>
                  <wp:docPr id="97" name="Chart 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tc>
      </w:tr>
      <w:tr w:rsidR="006A2254" w:rsidRPr="00EA1BB2" w14:paraId="5E86EA17" w14:textId="77777777" w:rsidTr="00EC4138">
        <w:tc>
          <w:tcPr>
            <w:tcW w:w="4530" w:type="dxa"/>
          </w:tcPr>
          <w:p w14:paraId="4A606FFA" w14:textId="77777777" w:rsidR="006A2254" w:rsidRPr="00EA1BB2" w:rsidRDefault="006A2254" w:rsidP="00EC4138">
            <w:r w:rsidRPr="00EA1BB2">
              <w:rPr>
                <w:rFonts w:ascii="Cambria" w:eastAsia="Calibri" w:hAnsi="Cambria" w:cs="Times New Roman"/>
                <w:noProof/>
                <w:sz w:val="24"/>
                <w:szCs w:val="24"/>
                <w:lang w:val="en-US"/>
              </w:rPr>
              <w:drawing>
                <wp:inline distT="0" distB="0" distL="0" distR="0" wp14:anchorId="46B90641" wp14:editId="4331C108">
                  <wp:extent cx="2762250" cy="1670050"/>
                  <wp:effectExtent l="0" t="0" r="0" b="6350"/>
                  <wp:docPr id="98" name="Chart 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tc>
        <w:tc>
          <w:tcPr>
            <w:tcW w:w="4530" w:type="dxa"/>
          </w:tcPr>
          <w:p w14:paraId="70B4AE12" w14:textId="77777777" w:rsidR="006A2254" w:rsidRPr="00EA1BB2" w:rsidRDefault="006A2254" w:rsidP="00EC4138">
            <w:r w:rsidRPr="00EA1BB2">
              <w:rPr>
                <w:rFonts w:ascii="Cambria" w:eastAsia="Calibri" w:hAnsi="Cambria" w:cs="Times New Roman"/>
                <w:noProof/>
                <w:sz w:val="24"/>
                <w:szCs w:val="24"/>
                <w:lang w:val="en-US"/>
              </w:rPr>
              <w:drawing>
                <wp:inline distT="0" distB="0" distL="0" distR="0" wp14:anchorId="66C72C71" wp14:editId="0200D168">
                  <wp:extent cx="2762250" cy="1670050"/>
                  <wp:effectExtent l="0" t="0" r="0" b="6350"/>
                  <wp:docPr id="99" name="Chart 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tc>
      </w:tr>
    </w:tbl>
    <w:p w14:paraId="78CF5070" w14:textId="199F2794" w:rsidR="006A2254" w:rsidRPr="00EA1BB2" w:rsidRDefault="006A2254" w:rsidP="006A2254">
      <w:pPr>
        <w:spacing w:line="360" w:lineRule="auto"/>
        <w:ind w:firstLine="709"/>
        <w:jc w:val="both"/>
        <w:rPr>
          <w:rFonts w:ascii="Cambria" w:eastAsia="Calibri" w:hAnsi="Cambria" w:cs="Times New Roman"/>
          <w:sz w:val="24"/>
          <w:szCs w:val="24"/>
        </w:rPr>
      </w:pPr>
      <w:r w:rsidRPr="00EA1BB2">
        <w:rPr>
          <w:rFonts w:ascii="Cambria" w:eastAsia="Calibri" w:hAnsi="Cambria" w:cs="Times New Roman"/>
          <w:sz w:val="24"/>
          <w:szCs w:val="24"/>
        </w:rPr>
        <w:lastRenderedPageBreak/>
        <w:t>Din analiza efectelor generate de implementarea măsurilor se poate observa că cele mai importante reduceri ale emisiilor anuale aferente surselor mobile sunt datorate lucrărilor de reabilitare și modernizare a arterelor</w:t>
      </w:r>
      <w:r w:rsidR="009D2E69" w:rsidRPr="00EA1BB2">
        <w:rPr>
          <w:rFonts w:ascii="Cambria" w:eastAsia="Calibri" w:hAnsi="Cambria" w:cs="Times New Roman"/>
          <w:sz w:val="24"/>
          <w:szCs w:val="24"/>
        </w:rPr>
        <w:t xml:space="preserve"> comunale</w:t>
      </w:r>
      <w:r w:rsidRPr="00EA1BB2">
        <w:rPr>
          <w:rFonts w:ascii="Cambria" w:eastAsia="Calibri" w:hAnsi="Cambria" w:cs="Times New Roman"/>
          <w:sz w:val="24"/>
          <w:szCs w:val="24"/>
        </w:rPr>
        <w:t xml:space="preserve"> de circulație.</w:t>
      </w:r>
    </w:p>
    <w:p w14:paraId="444DE1F5" w14:textId="77777777" w:rsidR="006A2254" w:rsidRPr="00EA1BB2" w:rsidRDefault="006A2254" w:rsidP="006A2254">
      <w:pPr>
        <w:spacing w:line="360" w:lineRule="auto"/>
        <w:ind w:firstLine="709"/>
        <w:jc w:val="both"/>
        <w:rPr>
          <w:rFonts w:ascii="Cambria" w:eastAsia="Calibri" w:hAnsi="Cambria" w:cs="Times New Roman"/>
          <w:sz w:val="24"/>
          <w:szCs w:val="24"/>
        </w:rPr>
      </w:pPr>
      <w:r w:rsidRPr="00EA1BB2">
        <w:rPr>
          <w:rFonts w:ascii="Cambria" w:eastAsia="Calibri" w:hAnsi="Cambria" w:cs="Times New Roman"/>
          <w:sz w:val="24"/>
          <w:szCs w:val="24"/>
        </w:rPr>
        <w:t>Reducerea consumului de combustibili solizi și lichizi prin extinderea rețelei de alimentare cu gaze naturale reprezintă măsura principală pentru reducerea emisiilor datorate încălzirii instituționale și rezidențiale.</w:t>
      </w:r>
    </w:p>
    <w:p w14:paraId="7AE244D9" w14:textId="77777777" w:rsidR="006A2254" w:rsidRPr="00EA1BB2" w:rsidRDefault="006A2254" w:rsidP="006A2254">
      <w:pPr>
        <w:autoSpaceDE w:val="0"/>
        <w:autoSpaceDN w:val="0"/>
        <w:adjustRightInd w:val="0"/>
        <w:spacing w:line="360" w:lineRule="auto"/>
        <w:ind w:firstLine="709"/>
        <w:jc w:val="both"/>
        <w:rPr>
          <w:rFonts w:ascii="Cambria" w:eastAsia="Calibri" w:hAnsi="Cambria" w:cs="Calibri"/>
          <w:color w:val="000000"/>
          <w:sz w:val="24"/>
          <w:szCs w:val="24"/>
        </w:rPr>
      </w:pPr>
      <w:r w:rsidRPr="00EA1BB2">
        <w:rPr>
          <w:rFonts w:ascii="Cambria" w:eastAsia="Calibri" w:hAnsi="Cambria" w:cs="Calibri"/>
          <w:color w:val="000000"/>
          <w:sz w:val="24"/>
          <w:szCs w:val="24"/>
        </w:rPr>
        <w:t>În figura de mai jos sunt prezentate grafic, estimarea concentrațiilor medii anuale pentru poluanții de interes în urma aplicării scenariilor compa</w:t>
      </w:r>
      <w:r w:rsidR="00420C56" w:rsidRPr="00EA1BB2">
        <w:rPr>
          <w:rFonts w:ascii="Cambria" w:eastAsia="Calibri" w:hAnsi="Cambria" w:cs="Calibri"/>
          <w:color w:val="000000"/>
          <w:sz w:val="24"/>
          <w:szCs w:val="24"/>
        </w:rPr>
        <w:t>rativ cu anul de referință 201</w:t>
      </w:r>
      <w:r w:rsidR="000D71D5" w:rsidRPr="00EA1BB2">
        <w:rPr>
          <w:rFonts w:ascii="Cambria" w:eastAsia="Calibri" w:hAnsi="Cambria" w:cs="Calibri"/>
          <w:color w:val="000000"/>
          <w:sz w:val="24"/>
          <w:szCs w:val="24"/>
        </w:rPr>
        <w:t>3</w:t>
      </w:r>
      <w:r w:rsidR="00420C56" w:rsidRPr="00EA1BB2">
        <w:rPr>
          <w:rFonts w:ascii="Cambria" w:eastAsia="Calibri" w:hAnsi="Cambria" w:cs="Calibri"/>
          <w:color w:val="000000"/>
          <w:sz w:val="24"/>
          <w:szCs w:val="24"/>
        </w:rPr>
        <w:t xml:space="preserve"> (date obținute prin modelare) și anul pentru care au fost disponibile cele mai recente date (RNMCA anul 2017).  </w:t>
      </w:r>
    </w:p>
    <w:p w14:paraId="557838A9" w14:textId="77777777" w:rsidR="006A2254" w:rsidRPr="00EA1BB2" w:rsidRDefault="006A2254" w:rsidP="006A2254">
      <w:pPr>
        <w:autoSpaceDE w:val="0"/>
        <w:autoSpaceDN w:val="0"/>
        <w:adjustRightInd w:val="0"/>
        <w:spacing w:line="360" w:lineRule="auto"/>
        <w:ind w:firstLine="567"/>
        <w:jc w:val="both"/>
        <w:rPr>
          <w:rFonts w:ascii="Cambria" w:eastAsia="Calibri" w:hAnsi="Cambria" w:cs="Calibri"/>
          <w:color w:val="000000"/>
          <w:sz w:val="24"/>
          <w:szCs w:val="24"/>
          <w:highlight w:val="cyan"/>
        </w:rPr>
      </w:pPr>
    </w:p>
    <w:p w14:paraId="002280BE" w14:textId="1E09E5F2" w:rsidR="006A2254" w:rsidRPr="00EA1BB2" w:rsidRDefault="006A2254" w:rsidP="006A2254">
      <w:pPr>
        <w:keepNext/>
        <w:spacing w:line="360" w:lineRule="auto"/>
        <w:ind w:firstLine="720"/>
        <w:jc w:val="both"/>
        <w:rPr>
          <w:rFonts w:ascii="Cambria" w:eastAsia="Calibri" w:hAnsi="Cambria" w:cs="Times New Roman"/>
          <w:b/>
          <w:iCs/>
          <w:sz w:val="24"/>
          <w:szCs w:val="18"/>
        </w:rPr>
      </w:pPr>
      <w:bookmarkStart w:id="277" w:name="_Toc511317443"/>
      <w:bookmarkStart w:id="278" w:name="_Toc517080987"/>
      <w:bookmarkStart w:id="279" w:name="_Toc520368172"/>
      <w:bookmarkStart w:id="280" w:name="_Toc524966240"/>
      <w:r w:rsidRPr="00EA1BB2">
        <w:rPr>
          <w:rFonts w:ascii="Cambria" w:eastAsia="Calibri" w:hAnsi="Cambria" w:cs="Times New Roman"/>
          <w:b/>
          <w:iCs/>
          <w:sz w:val="24"/>
          <w:szCs w:val="18"/>
        </w:rPr>
        <w:t xml:space="preserve">Figura nr. </w:t>
      </w:r>
      <w:r w:rsidR="00280BC9" w:rsidRPr="00EA1BB2">
        <w:rPr>
          <w:rFonts w:ascii="Cambria" w:eastAsia="Calibri" w:hAnsi="Cambria" w:cs="Times New Roman"/>
          <w:b/>
          <w:iCs/>
          <w:sz w:val="24"/>
          <w:szCs w:val="18"/>
        </w:rPr>
        <w:fldChar w:fldCharType="begin"/>
      </w:r>
      <w:r w:rsidR="00BA6FA3" w:rsidRPr="00EA1BB2">
        <w:rPr>
          <w:rFonts w:ascii="Cambria" w:eastAsia="Calibri" w:hAnsi="Cambria" w:cs="Times New Roman"/>
          <w:b/>
          <w:iCs/>
          <w:sz w:val="24"/>
          <w:szCs w:val="18"/>
        </w:rPr>
        <w:instrText xml:space="preserve"> STYLEREF 1 \s </w:instrText>
      </w:r>
      <w:r w:rsidR="00280BC9" w:rsidRPr="00EA1BB2">
        <w:rPr>
          <w:rFonts w:ascii="Cambria" w:eastAsia="Calibri" w:hAnsi="Cambria" w:cs="Times New Roman"/>
          <w:b/>
          <w:iCs/>
          <w:sz w:val="24"/>
          <w:szCs w:val="18"/>
        </w:rPr>
        <w:fldChar w:fldCharType="separate"/>
      </w:r>
      <w:r w:rsidR="00567555">
        <w:rPr>
          <w:rFonts w:ascii="Cambria" w:eastAsia="Calibri" w:hAnsi="Cambria" w:cs="Times New Roman"/>
          <w:b/>
          <w:iCs/>
          <w:noProof/>
          <w:sz w:val="24"/>
          <w:szCs w:val="18"/>
        </w:rPr>
        <w:t>6</w:t>
      </w:r>
      <w:r w:rsidR="00280BC9" w:rsidRPr="00EA1BB2">
        <w:rPr>
          <w:rFonts w:ascii="Cambria" w:eastAsia="Calibri" w:hAnsi="Cambria" w:cs="Times New Roman"/>
          <w:b/>
          <w:iCs/>
          <w:sz w:val="24"/>
          <w:szCs w:val="18"/>
        </w:rPr>
        <w:fldChar w:fldCharType="end"/>
      </w:r>
      <w:r w:rsidR="00BA6FA3" w:rsidRPr="00EA1BB2">
        <w:rPr>
          <w:rFonts w:ascii="Cambria" w:eastAsia="Calibri" w:hAnsi="Cambria" w:cs="Times New Roman"/>
          <w:b/>
          <w:iCs/>
          <w:sz w:val="24"/>
          <w:szCs w:val="18"/>
        </w:rPr>
        <w:noBreakHyphen/>
      </w:r>
      <w:r w:rsidR="00280BC9" w:rsidRPr="00EA1BB2">
        <w:rPr>
          <w:rFonts w:ascii="Cambria" w:eastAsia="Calibri" w:hAnsi="Cambria" w:cs="Times New Roman"/>
          <w:b/>
          <w:iCs/>
          <w:sz w:val="24"/>
          <w:szCs w:val="18"/>
        </w:rPr>
        <w:fldChar w:fldCharType="begin"/>
      </w:r>
      <w:r w:rsidR="00BA6FA3" w:rsidRPr="00EA1BB2">
        <w:rPr>
          <w:rFonts w:ascii="Cambria" w:eastAsia="Calibri" w:hAnsi="Cambria" w:cs="Times New Roman"/>
          <w:b/>
          <w:iCs/>
          <w:sz w:val="24"/>
          <w:szCs w:val="18"/>
        </w:rPr>
        <w:instrText xml:space="preserve"> SEQ Figura_nr. \* ARABIC \s 1 </w:instrText>
      </w:r>
      <w:r w:rsidR="00280BC9" w:rsidRPr="00EA1BB2">
        <w:rPr>
          <w:rFonts w:ascii="Cambria" w:eastAsia="Calibri" w:hAnsi="Cambria" w:cs="Times New Roman"/>
          <w:b/>
          <w:iCs/>
          <w:sz w:val="24"/>
          <w:szCs w:val="18"/>
        </w:rPr>
        <w:fldChar w:fldCharType="separate"/>
      </w:r>
      <w:r w:rsidR="00567555">
        <w:rPr>
          <w:rFonts w:ascii="Cambria" w:eastAsia="Calibri" w:hAnsi="Cambria" w:cs="Times New Roman"/>
          <w:b/>
          <w:iCs/>
          <w:noProof/>
          <w:sz w:val="24"/>
          <w:szCs w:val="18"/>
        </w:rPr>
        <w:t>2</w:t>
      </w:r>
      <w:r w:rsidR="00280BC9" w:rsidRPr="00EA1BB2">
        <w:rPr>
          <w:rFonts w:ascii="Cambria" w:eastAsia="Calibri" w:hAnsi="Cambria" w:cs="Times New Roman"/>
          <w:b/>
          <w:iCs/>
          <w:sz w:val="24"/>
          <w:szCs w:val="18"/>
        </w:rPr>
        <w:fldChar w:fldCharType="end"/>
      </w:r>
      <w:r w:rsidRPr="00EA1BB2">
        <w:rPr>
          <w:rFonts w:ascii="Cambria" w:eastAsia="Calibri" w:hAnsi="Cambria" w:cs="Times New Roman"/>
          <w:b/>
          <w:iCs/>
          <w:sz w:val="24"/>
          <w:szCs w:val="18"/>
        </w:rPr>
        <w:t xml:space="preserve"> – Concentrații medii anuale estimate pentru anul de proiecție în urma aplicării scenariilor</w:t>
      </w:r>
      <w:bookmarkEnd w:id="277"/>
      <w:bookmarkEnd w:id="278"/>
      <w:bookmarkEnd w:id="279"/>
      <w:bookmarkEnd w:id="28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6"/>
        <w:gridCol w:w="4566"/>
      </w:tblGrid>
      <w:tr w:rsidR="006A2254" w:rsidRPr="00EA1BB2" w14:paraId="2981F7FE" w14:textId="77777777" w:rsidTr="00EC4138">
        <w:tc>
          <w:tcPr>
            <w:tcW w:w="4530" w:type="dxa"/>
          </w:tcPr>
          <w:p w14:paraId="46B1A83A" w14:textId="77777777" w:rsidR="006A2254" w:rsidRPr="00EA1BB2" w:rsidRDefault="006A2254" w:rsidP="00420C56">
            <w:pPr>
              <w:spacing w:line="276" w:lineRule="auto"/>
            </w:pPr>
            <w:r w:rsidRPr="00EA1BB2">
              <w:rPr>
                <w:rFonts w:ascii="Cambria" w:eastAsia="Calibri" w:hAnsi="Cambria" w:cs="Times New Roman"/>
                <w:noProof/>
                <w:sz w:val="24"/>
                <w:szCs w:val="24"/>
                <w:lang w:val="en-US"/>
              </w:rPr>
              <w:drawing>
                <wp:inline distT="0" distB="0" distL="0" distR="0" wp14:anchorId="746E3AE6" wp14:editId="3158834A">
                  <wp:extent cx="2762250" cy="1670050"/>
                  <wp:effectExtent l="0" t="0" r="0" b="6350"/>
                  <wp:docPr id="100" name="Chart 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tc>
        <w:tc>
          <w:tcPr>
            <w:tcW w:w="4530" w:type="dxa"/>
          </w:tcPr>
          <w:p w14:paraId="288FA38C" w14:textId="77777777" w:rsidR="006A2254" w:rsidRPr="00EA1BB2" w:rsidRDefault="006A2254" w:rsidP="00420C56">
            <w:pPr>
              <w:spacing w:line="276" w:lineRule="auto"/>
            </w:pPr>
            <w:r w:rsidRPr="00EA1BB2">
              <w:rPr>
                <w:rFonts w:ascii="Cambria" w:eastAsia="Calibri" w:hAnsi="Cambria" w:cs="Times New Roman"/>
                <w:noProof/>
                <w:sz w:val="24"/>
                <w:szCs w:val="24"/>
                <w:lang w:val="en-US"/>
              </w:rPr>
              <w:drawing>
                <wp:inline distT="0" distB="0" distL="0" distR="0" wp14:anchorId="18B79CFF" wp14:editId="2D5676C6">
                  <wp:extent cx="2762250" cy="1670050"/>
                  <wp:effectExtent l="0" t="0" r="0" b="6350"/>
                  <wp:docPr id="101" name="Chart 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tc>
      </w:tr>
      <w:tr w:rsidR="006A2254" w:rsidRPr="00EA1BB2" w14:paraId="63FDE8EB" w14:textId="77777777" w:rsidTr="00EC4138">
        <w:tc>
          <w:tcPr>
            <w:tcW w:w="4530" w:type="dxa"/>
          </w:tcPr>
          <w:p w14:paraId="7A13A5B5" w14:textId="77777777" w:rsidR="006A2254" w:rsidRPr="00EA1BB2" w:rsidRDefault="006A2254" w:rsidP="00420C56">
            <w:pPr>
              <w:spacing w:line="276" w:lineRule="auto"/>
            </w:pPr>
            <w:r w:rsidRPr="00EA1BB2">
              <w:rPr>
                <w:rFonts w:ascii="Cambria" w:eastAsia="Calibri" w:hAnsi="Cambria" w:cs="Times New Roman"/>
                <w:noProof/>
                <w:sz w:val="24"/>
                <w:szCs w:val="24"/>
                <w:lang w:val="en-US"/>
              </w:rPr>
              <w:drawing>
                <wp:inline distT="0" distB="0" distL="0" distR="0" wp14:anchorId="670EB7C8" wp14:editId="71091C08">
                  <wp:extent cx="2762250" cy="1670050"/>
                  <wp:effectExtent l="0" t="0" r="0" b="6350"/>
                  <wp:docPr id="102" name="Chart 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tc>
        <w:tc>
          <w:tcPr>
            <w:tcW w:w="4530" w:type="dxa"/>
          </w:tcPr>
          <w:p w14:paraId="5EC91A2C" w14:textId="77777777" w:rsidR="006A2254" w:rsidRPr="00EA1BB2" w:rsidRDefault="006A2254" w:rsidP="00420C56">
            <w:pPr>
              <w:spacing w:line="276" w:lineRule="auto"/>
            </w:pPr>
            <w:r w:rsidRPr="00EA1BB2">
              <w:rPr>
                <w:rFonts w:ascii="Cambria" w:eastAsia="Calibri" w:hAnsi="Cambria" w:cs="Times New Roman"/>
                <w:noProof/>
                <w:sz w:val="24"/>
                <w:szCs w:val="24"/>
                <w:lang w:val="en-US"/>
              </w:rPr>
              <w:drawing>
                <wp:inline distT="0" distB="0" distL="0" distR="0" wp14:anchorId="277F9BEB" wp14:editId="38080BDB">
                  <wp:extent cx="2762250" cy="1670050"/>
                  <wp:effectExtent l="0" t="0" r="0" b="6350"/>
                  <wp:docPr id="103" name="Chart 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tc>
      </w:tr>
      <w:tr w:rsidR="006A2254" w:rsidRPr="00EA1BB2" w14:paraId="2F4DD483" w14:textId="77777777" w:rsidTr="00EC4138">
        <w:tc>
          <w:tcPr>
            <w:tcW w:w="4530" w:type="dxa"/>
          </w:tcPr>
          <w:p w14:paraId="1EDD5E88" w14:textId="77777777" w:rsidR="006A2254" w:rsidRPr="00EA1BB2" w:rsidRDefault="006A2254" w:rsidP="00807DBB">
            <w:pPr>
              <w:spacing w:line="276" w:lineRule="auto"/>
            </w:pPr>
            <w:r w:rsidRPr="00EA1BB2">
              <w:rPr>
                <w:rFonts w:ascii="Cambria" w:eastAsia="Calibri" w:hAnsi="Cambria" w:cs="Times New Roman"/>
                <w:noProof/>
                <w:sz w:val="24"/>
                <w:szCs w:val="24"/>
                <w:lang w:val="en-US"/>
              </w:rPr>
              <w:drawing>
                <wp:inline distT="0" distB="0" distL="0" distR="0" wp14:anchorId="7B8B6AF8" wp14:editId="1FAE95D4">
                  <wp:extent cx="2762250" cy="1670050"/>
                  <wp:effectExtent l="0" t="0" r="0" b="6350"/>
                  <wp:docPr id="104" name="Chart 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tc>
        <w:tc>
          <w:tcPr>
            <w:tcW w:w="4530" w:type="dxa"/>
          </w:tcPr>
          <w:p w14:paraId="2D80551C" w14:textId="77777777" w:rsidR="006A2254" w:rsidRPr="00EA1BB2" w:rsidRDefault="006A2254" w:rsidP="00807DBB">
            <w:pPr>
              <w:spacing w:line="276" w:lineRule="auto"/>
            </w:pPr>
            <w:r w:rsidRPr="00EA1BB2">
              <w:rPr>
                <w:rFonts w:ascii="Cambria" w:eastAsia="Calibri" w:hAnsi="Cambria" w:cs="Times New Roman"/>
                <w:noProof/>
                <w:sz w:val="24"/>
                <w:szCs w:val="24"/>
                <w:lang w:val="en-US"/>
              </w:rPr>
              <w:drawing>
                <wp:inline distT="0" distB="0" distL="0" distR="0" wp14:anchorId="6EBC3A04" wp14:editId="516B587A">
                  <wp:extent cx="2762250" cy="1670050"/>
                  <wp:effectExtent l="0" t="0" r="0" b="6350"/>
                  <wp:docPr id="105" name="Chart 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tc>
      </w:tr>
      <w:tr w:rsidR="006A2254" w:rsidRPr="00EA1BB2" w14:paraId="6ADBC25A" w14:textId="77777777" w:rsidTr="00EC4138">
        <w:tc>
          <w:tcPr>
            <w:tcW w:w="4530" w:type="dxa"/>
          </w:tcPr>
          <w:p w14:paraId="57DE680D" w14:textId="77777777" w:rsidR="006A2254" w:rsidRPr="00EA1BB2" w:rsidRDefault="006A2254" w:rsidP="00420C56">
            <w:pPr>
              <w:spacing w:line="276" w:lineRule="auto"/>
            </w:pPr>
            <w:r w:rsidRPr="00EA1BB2">
              <w:rPr>
                <w:rFonts w:ascii="Cambria" w:eastAsia="Calibri" w:hAnsi="Cambria" w:cs="Times New Roman"/>
                <w:noProof/>
                <w:sz w:val="24"/>
                <w:szCs w:val="24"/>
                <w:lang w:val="en-US"/>
              </w:rPr>
              <w:lastRenderedPageBreak/>
              <w:drawing>
                <wp:inline distT="0" distB="0" distL="0" distR="0" wp14:anchorId="2168495D" wp14:editId="1EFB3FA4">
                  <wp:extent cx="2762250" cy="1670050"/>
                  <wp:effectExtent l="0" t="0" r="0" b="6350"/>
                  <wp:docPr id="107" name="Chart 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tc>
        <w:tc>
          <w:tcPr>
            <w:tcW w:w="4530" w:type="dxa"/>
          </w:tcPr>
          <w:p w14:paraId="0A4A98FC" w14:textId="77777777" w:rsidR="006A2254" w:rsidRPr="00EA1BB2" w:rsidRDefault="006A2254" w:rsidP="00420C56">
            <w:pPr>
              <w:spacing w:line="276" w:lineRule="auto"/>
            </w:pPr>
            <w:r w:rsidRPr="00EA1BB2">
              <w:rPr>
                <w:rFonts w:ascii="Cambria" w:eastAsia="Calibri" w:hAnsi="Cambria" w:cs="Times New Roman"/>
                <w:noProof/>
                <w:sz w:val="24"/>
                <w:szCs w:val="24"/>
                <w:lang w:val="en-US"/>
              </w:rPr>
              <w:drawing>
                <wp:inline distT="0" distB="0" distL="0" distR="0" wp14:anchorId="1CFAC79E" wp14:editId="778B021F">
                  <wp:extent cx="2762250" cy="1670050"/>
                  <wp:effectExtent l="0" t="0" r="0" b="6350"/>
                  <wp:docPr id="108" name="Chart 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tc>
      </w:tr>
      <w:tr w:rsidR="006A2254" w:rsidRPr="00EA1BB2" w14:paraId="6A0F2B07" w14:textId="77777777" w:rsidTr="00EC4138">
        <w:tc>
          <w:tcPr>
            <w:tcW w:w="4530" w:type="dxa"/>
          </w:tcPr>
          <w:p w14:paraId="0BBBE97D" w14:textId="77777777" w:rsidR="006A2254" w:rsidRPr="00EA1BB2" w:rsidRDefault="006A2254" w:rsidP="00807DBB">
            <w:pPr>
              <w:spacing w:line="276" w:lineRule="auto"/>
            </w:pPr>
            <w:r w:rsidRPr="00EA1BB2">
              <w:rPr>
                <w:rFonts w:ascii="Cambria" w:eastAsia="Calibri" w:hAnsi="Cambria" w:cs="Times New Roman"/>
                <w:noProof/>
                <w:sz w:val="24"/>
                <w:szCs w:val="24"/>
                <w:lang w:val="en-US"/>
              </w:rPr>
              <w:drawing>
                <wp:inline distT="0" distB="0" distL="0" distR="0" wp14:anchorId="4130AB9A" wp14:editId="7127D312">
                  <wp:extent cx="2762250" cy="1670050"/>
                  <wp:effectExtent l="0" t="0" r="0" b="6350"/>
                  <wp:docPr id="109" name="Chart 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tc>
        <w:tc>
          <w:tcPr>
            <w:tcW w:w="4530" w:type="dxa"/>
          </w:tcPr>
          <w:p w14:paraId="42F91E60" w14:textId="77777777" w:rsidR="006A2254" w:rsidRPr="00EA1BB2" w:rsidRDefault="006A2254" w:rsidP="00807DBB">
            <w:pPr>
              <w:spacing w:line="276" w:lineRule="auto"/>
            </w:pPr>
            <w:r w:rsidRPr="00EA1BB2">
              <w:rPr>
                <w:rFonts w:ascii="Cambria" w:eastAsia="Calibri" w:hAnsi="Cambria" w:cs="Times New Roman"/>
                <w:noProof/>
                <w:sz w:val="24"/>
                <w:szCs w:val="24"/>
                <w:lang w:val="en-US"/>
              </w:rPr>
              <w:drawing>
                <wp:inline distT="0" distB="0" distL="0" distR="0" wp14:anchorId="7D7F7C56" wp14:editId="760B39D5">
                  <wp:extent cx="2762250" cy="1670050"/>
                  <wp:effectExtent l="0" t="0" r="0" b="6350"/>
                  <wp:docPr id="110" name="Chart 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tc>
      </w:tr>
      <w:tr w:rsidR="007E510C" w:rsidRPr="00EA1BB2" w14:paraId="5A83A7AE" w14:textId="77777777" w:rsidTr="00EC4138">
        <w:tc>
          <w:tcPr>
            <w:tcW w:w="4530" w:type="dxa"/>
          </w:tcPr>
          <w:p w14:paraId="62F2A9CC" w14:textId="77777777" w:rsidR="007E510C" w:rsidRPr="00EA1BB2" w:rsidRDefault="007E510C" w:rsidP="00807DBB">
            <w:pPr>
              <w:spacing w:line="276" w:lineRule="auto"/>
              <w:rPr>
                <w:rFonts w:ascii="Cambria" w:eastAsia="Calibri" w:hAnsi="Cambria" w:cs="Times New Roman"/>
                <w:noProof/>
                <w:sz w:val="24"/>
                <w:szCs w:val="24"/>
              </w:rPr>
            </w:pPr>
            <w:r w:rsidRPr="00EA1BB2">
              <w:rPr>
                <w:rFonts w:ascii="Cambria" w:eastAsia="Calibri" w:hAnsi="Cambria" w:cs="Times New Roman"/>
                <w:noProof/>
                <w:sz w:val="24"/>
                <w:szCs w:val="24"/>
                <w:lang w:val="en-US"/>
              </w:rPr>
              <w:drawing>
                <wp:inline distT="0" distB="0" distL="0" distR="0" wp14:anchorId="76C7B211" wp14:editId="12989F42">
                  <wp:extent cx="2762250" cy="1670050"/>
                  <wp:effectExtent l="0" t="0" r="0" b="6350"/>
                  <wp:docPr id="17" name="Chart 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tc>
        <w:tc>
          <w:tcPr>
            <w:tcW w:w="4530" w:type="dxa"/>
          </w:tcPr>
          <w:p w14:paraId="1268D36D" w14:textId="77777777" w:rsidR="007E510C" w:rsidRPr="00EA1BB2" w:rsidRDefault="007E510C" w:rsidP="00807DBB">
            <w:pPr>
              <w:spacing w:line="276" w:lineRule="auto"/>
              <w:rPr>
                <w:rFonts w:ascii="Cambria" w:eastAsia="Calibri" w:hAnsi="Cambria" w:cs="Times New Roman"/>
                <w:noProof/>
                <w:sz w:val="24"/>
                <w:szCs w:val="24"/>
              </w:rPr>
            </w:pPr>
          </w:p>
        </w:tc>
      </w:tr>
    </w:tbl>
    <w:p w14:paraId="07C4A910" w14:textId="77777777" w:rsidR="00F07B00" w:rsidRPr="00EA1BB2" w:rsidRDefault="00F07B00" w:rsidP="00F07B00">
      <w:pPr>
        <w:spacing w:line="276" w:lineRule="auto"/>
        <w:jc w:val="both"/>
        <w:rPr>
          <w:rFonts w:ascii="Cambria" w:eastAsia="Calibri" w:hAnsi="Cambria" w:cs="Times New Roman"/>
          <w:szCs w:val="24"/>
        </w:rPr>
      </w:pPr>
      <w:r w:rsidRPr="00EA1BB2">
        <w:rPr>
          <w:rFonts w:ascii="Cambria" w:eastAsia="Calibri" w:hAnsi="Cambria" w:cs="Times New Roman"/>
          <w:szCs w:val="24"/>
        </w:rPr>
        <w:t>Notă: *în anul 201</w:t>
      </w:r>
      <w:r w:rsidR="006F64DC" w:rsidRPr="00EA1BB2">
        <w:rPr>
          <w:rFonts w:ascii="Cambria" w:eastAsia="Calibri" w:hAnsi="Cambria" w:cs="Times New Roman"/>
          <w:szCs w:val="24"/>
        </w:rPr>
        <w:t>3</w:t>
      </w:r>
      <w:r w:rsidRPr="00EA1BB2">
        <w:rPr>
          <w:rFonts w:ascii="Cambria" w:eastAsia="Calibri" w:hAnsi="Cambria" w:cs="Times New Roman"/>
          <w:szCs w:val="24"/>
        </w:rPr>
        <w:t xml:space="preserve"> captura de date a fost insuficientă pentru evaluarea calității aerului în conformitate cu criteriul privind obiectivele de calitate și criteriile pentru calculul parametrilor statici prevăzute în Legea 104/</w:t>
      </w:r>
      <w:r w:rsidR="00C45D78" w:rsidRPr="00EA1BB2">
        <w:rPr>
          <w:rFonts w:ascii="Cambria" w:eastAsia="Calibri" w:hAnsi="Cambria" w:cs="Times New Roman"/>
          <w:szCs w:val="24"/>
        </w:rPr>
        <w:t>2011 cu modificările ulterioare, datele prezentate fiind obținute prin modelare</w:t>
      </w:r>
    </w:p>
    <w:p w14:paraId="1E967F0A" w14:textId="10DD7ADF" w:rsidR="00F07B00" w:rsidRPr="00EA1BB2" w:rsidRDefault="00F07B00" w:rsidP="00F07B00">
      <w:pPr>
        <w:spacing w:line="276" w:lineRule="auto"/>
        <w:jc w:val="both"/>
        <w:rPr>
          <w:rFonts w:ascii="Cambria" w:eastAsia="Times New Roman" w:hAnsi="Cambria" w:cs="Times New Roman"/>
          <w:szCs w:val="24"/>
        </w:rPr>
      </w:pPr>
      <w:r w:rsidRPr="00EA1BB2">
        <w:rPr>
          <w:rFonts w:ascii="Cambria" w:eastAsia="Times New Roman" w:hAnsi="Cambria" w:cs="Times New Roman"/>
          <w:szCs w:val="24"/>
        </w:rPr>
        <w:t xml:space="preserve">sursa date: </w:t>
      </w:r>
      <w:hyperlink r:id="rId167" w:history="1">
        <w:r w:rsidRPr="00EA1BB2">
          <w:rPr>
            <w:rStyle w:val="Hyperlink"/>
            <w:rFonts w:ascii="Cambria" w:eastAsia="Times New Roman" w:hAnsi="Cambria" w:cs="Times New Roman"/>
            <w:szCs w:val="24"/>
          </w:rPr>
          <w:t>www.calitateaer.ro</w:t>
        </w:r>
      </w:hyperlink>
      <w:r w:rsidRPr="00EA1BB2">
        <w:rPr>
          <w:rFonts w:ascii="Cambria" w:eastAsia="Times New Roman" w:hAnsi="Cambria" w:cs="Times New Roman"/>
          <w:szCs w:val="24"/>
        </w:rPr>
        <w:t xml:space="preserve"> accesat la data de 11.07.2018</w:t>
      </w:r>
    </w:p>
    <w:p w14:paraId="0E946D44" w14:textId="77777777" w:rsidR="006A2254" w:rsidRPr="00EA1BB2" w:rsidRDefault="006A2254" w:rsidP="006A2254">
      <w:pPr>
        <w:autoSpaceDE w:val="0"/>
        <w:autoSpaceDN w:val="0"/>
        <w:adjustRightInd w:val="0"/>
        <w:spacing w:line="360" w:lineRule="auto"/>
        <w:jc w:val="both"/>
        <w:rPr>
          <w:rFonts w:ascii="Cambria" w:eastAsia="Calibri" w:hAnsi="Cambria" w:cs="Calibri"/>
          <w:color w:val="000000"/>
          <w:sz w:val="24"/>
          <w:szCs w:val="24"/>
        </w:rPr>
      </w:pPr>
    </w:p>
    <w:p w14:paraId="6F3079E1" w14:textId="77777777" w:rsidR="006A2254" w:rsidRPr="00EA1BB2" w:rsidRDefault="006A2254" w:rsidP="006A2254">
      <w:pPr>
        <w:autoSpaceDE w:val="0"/>
        <w:autoSpaceDN w:val="0"/>
        <w:adjustRightInd w:val="0"/>
        <w:spacing w:line="360" w:lineRule="auto"/>
        <w:ind w:firstLine="709"/>
        <w:jc w:val="both"/>
        <w:rPr>
          <w:rFonts w:ascii="Cambria" w:eastAsia="Calibri" w:hAnsi="Cambria" w:cs="Calibri"/>
          <w:color w:val="000000"/>
          <w:sz w:val="24"/>
          <w:szCs w:val="24"/>
        </w:rPr>
      </w:pPr>
      <w:r w:rsidRPr="00EA1BB2">
        <w:rPr>
          <w:rFonts w:ascii="Cambria" w:eastAsia="Calibri" w:hAnsi="Cambria" w:cs="Calibri"/>
          <w:color w:val="000000"/>
          <w:sz w:val="24"/>
          <w:szCs w:val="24"/>
        </w:rPr>
        <w:t>Menținerea calității aerului, ca urmare a aplicării măsurilor din cele două scenarii conduce la menținerea nivelului poluanților sub valorile-limită sau valorile-țintă.</w:t>
      </w:r>
    </w:p>
    <w:p w14:paraId="31C0A513" w14:textId="77777777" w:rsidR="006A2254" w:rsidRPr="00EA1BB2" w:rsidRDefault="006A2254" w:rsidP="006A2254">
      <w:pPr>
        <w:spacing w:line="360" w:lineRule="auto"/>
        <w:ind w:firstLine="709"/>
        <w:jc w:val="both"/>
        <w:rPr>
          <w:rFonts w:ascii="Cambria" w:eastAsia="Times New Roman" w:hAnsi="Cambria" w:cs="Times New Roman"/>
          <w:sz w:val="24"/>
          <w:szCs w:val="24"/>
        </w:rPr>
      </w:pPr>
      <w:r w:rsidRPr="00EA1BB2">
        <w:rPr>
          <w:rFonts w:ascii="Cambria" w:eastAsia="Times New Roman" w:hAnsi="Cambria" w:cs="Times New Roman"/>
          <w:sz w:val="24"/>
          <w:szCs w:val="24"/>
        </w:rPr>
        <w:t xml:space="preserve">Măsurile în vederea menținerii calității aerului din prezentul Plan au fost stabilite astfel încât prin aplicarea acestora, nivelul concentrației poluanților să fie sub valorile-limită </w:t>
      </w:r>
      <w:r w:rsidRPr="00EA1BB2">
        <w:rPr>
          <w:rFonts w:ascii="Cambria" w:eastAsia="Calibri" w:hAnsi="Cambria" w:cs="Calibri"/>
          <w:color w:val="000000"/>
          <w:sz w:val="24"/>
          <w:szCs w:val="24"/>
        </w:rPr>
        <w:t>sau valorile-țintă.</w:t>
      </w:r>
    </w:p>
    <w:p w14:paraId="28E0F297" w14:textId="795F920E" w:rsidR="00B875AD" w:rsidRPr="00EA1BB2" w:rsidRDefault="00B875AD" w:rsidP="00A237A4">
      <w:pPr>
        <w:spacing w:line="360" w:lineRule="auto"/>
        <w:ind w:firstLine="708"/>
        <w:jc w:val="both"/>
        <w:rPr>
          <w:rFonts w:ascii="Cambria" w:eastAsia="Calibri" w:hAnsi="Cambria" w:cs="Times New Roman"/>
          <w:sz w:val="24"/>
          <w:szCs w:val="24"/>
        </w:rPr>
      </w:pPr>
      <w:r w:rsidRPr="00EA1BB2">
        <w:rPr>
          <w:rFonts w:ascii="Cambria" w:eastAsia="Calibri" w:hAnsi="Cambria" w:cs="Times New Roman"/>
          <w:sz w:val="24"/>
          <w:szCs w:val="24"/>
        </w:rPr>
        <w:t>Facem precizarea că suplimentar față de măsurile cuantificate în prezentul plan</w:t>
      </w:r>
      <w:r w:rsidR="001B103E" w:rsidRPr="00EA1BB2">
        <w:rPr>
          <w:rFonts w:ascii="Cambria" w:eastAsia="Calibri" w:hAnsi="Cambria" w:cs="Times New Roman"/>
          <w:sz w:val="24"/>
          <w:szCs w:val="24"/>
        </w:rPr>
        <w:t xml:space="preserve"> de menținere</w:t>
      </w:r>
      <w:r w:rsidRPr="00EA1BB2">
        <w:rPr>
          <w:rFonts w:ascii="Cambria" w:eastAsia="Calibri" w:hAnsi="Cambria" w:cs="Times New Roman"/>
          <w:sz w:val="24"/>
          <w:szCs w:val="24"/>
        </w:rPr>
        <w:t xml:space="preserve">, </w:t>
      </w:r>
      <w:r w:rsidR="001B103E" w:rsidRPr="00EA1BB2">
        <w:rPr>
          <w:rFonts w:ascii="Cambria" w:eastAsia="Calibri" w:hAnsi="Cambria" w:cs="Times New Roman"/>
          <w:sz w:val="24"/>
          <w:szCs w:val="24"/>
        </w:rPr>
        <w:t xml:space="preserve">în Planul de calitate a aerului </w:t>
      </w:r>
      <w:r w:rsidRPr="00EA1BB2">
        <w:rPr>
          <w:rFonts w:ascii="Cambria" w:eastAsia="Calibri" w:hAnsi="Cambria" w:cs="Times New Roman"/>
          <w:sz w:val="24"/>
          <w:szCs w:val="24"/>
        </w:rPr>
        <w:t>pentru aglomerarea Brăila</w:t>
      </w:r>
      <w:r w:rsidR="001B103E" w:rsidRPr="00EA1BB2">
        <w:rPr>
          <w:rFonts w:ascii="Cambria" w:eastAsia="Calibri" w:hAnsi="Cambria" w:cs="Times New Roman"/>
          <w:sz w:val="24"/>
          <w:szCs w:val="24"/>
        </w:rPr>
        <w:t xml:space="preserve"> </w:t>
      </w:r>
      <w:r w:rsidRPr="00EA1BB2">
        <w:rPr>
          <w:rFonts w:ascii="Cambria" w:eastAsia="Calibri" w:hAnsi="Cambria" w:cs="Times New Roman"/>
          <w:sz w:val="24"/>
          <w:szCs w:val="24"/>
        </w:rPr>
        <w:t xml:space="preserve">sunt </w:t>
      </w:r>
      <w:r w:rsidR="001B103E" w:rsidRPr="00EA1BB2">
        <w:rPr>
          <w:rFonts w:ascii="Cambria" w:eastAsia="Calibri" w:hAnsi="Cambria" w:cs="Times New Roman"/>
          <w:sz w:val="24"/>
          <w:szCs w:val="24"/>
        </w:rPr>
        <w:t>prevăzute</w:t>
      </w:r>
      <w:r w:rsidRPr="00EA1BB2">
        <w:rPr>
          <w:rFonts w:ascii="Cambria" w:eastAsia="Calibri" w:hAnsi="Cambria" w:cs="Times New Roman"/>
          <w:sz w:val="24"/>
          <w:szCs w:val="24"/>
        </w:rPr>
        <w:t xml:space="preserve"> m</w:t>
      </w:r>
      <w:r w:rsidR="001B103E" w:rsidRPr="00EA1BB2">
        <w:rPr>
          <w:rFonts w:ascii="Cambria" w:eastAsia="Calibri" w:hAnsi="Cambria" w:cs="Times New Roman"/>
          <w:sz w:val="24"/>
          <w:szCs w:val="24"/>
        </w:rPr>
        <w:t>ă</w:t>
      </w:r>
      <w:r w:rsidRPr="00EA1BB2">
        <w:rPr>
          <w:rFonts w:ascii="Cambria" w:eastAsia="Calibri" w:hAnsi="Cambria" w:cs="Times New Roman"/>
          <w:sz w:val="24"/>
          <w:szCs w:val="24"/>
        </w:rPr>
        <w:t xml:space="preserve">suri de reducere </w:t>
      </w:r>
      <w:r w:rsidR="001B103E" w:rsidRPr="00EA1BB2">
        <w:rPr>
          <w:rFonts w:ascii="Cambria" w:eastAsia="Calibri" w:hAnsi="Cambria" w:cs="Times New Roman"/>
          <w:sz w:val="24"/>
          <w:szCs w:val="24"/>
        </w:rPr>
        <w:t>pentru</w:t>
      </w:r>
      <w:r w:rsidRPr="00EA1BB2">
        <w:rPr>
          <w:rFonts w:ascii="Cambria" w:eastAsia="Calibri" w:hAnsi="Cambria" w:cs="Times New Roman"/>
          <w:sz w:val="24"/>
          <w:szCs w:val="24"/>
        </w:rPr>
        <w:t xml:space="preserve"> </w:t>
      </w:r>
      <w:r w:rsidR="001B103E" w:rsidRPr="00EA1BB2">
        <w:rPr>
          <w:rFonts w:ascii="Cambria" w:eastAsia="Calibri" w:hAnsi="Cambria" w:cs="Times New Roman"/>
          <w:sz w:val="24"/>
          <w:szCs w:val="24"/>
        </w:rPr>
        <w:t>NO</w:t>
      </w:r>
      <w:r w:rsidR="001B103E" w:rsidRPr="00EA1BB2">
        <w:rPr>
          <w:rFonts w:ascii="Cambria" w:eastAsia="Calibri" w:hAnsi="Cambria" w:cs="Times New Roman"/>
          <w:sz w:val="24"/>
          <w:szCs w:val="24"/>
          <w:vertAlign w:val="subscript"/>
        </w:rPr>
        <w:t>2</w:t>
      </w:r>
      <w:r w:rsidR="001B103E" w:rsidRPr="00EA1BB2">
        <w:rPr>
          <w:rFonts w:ascii="Cambria" w:eastAsia="Calibri" w:hAnsi="Cambria" w:cs="Times New Roman"/>
          <w:sz w:val="24"/>
          <w:szCs w:val="24"/>
        </w:rPr>
        <w:t>/</w:t>
      </w:r>
      <w:r w:rsidRPr="00EA1BB2">
        <w:rPr>
          <w:rFonts w:ascii="Cambria" w:eastAsia="Calibri" w:hAnsi="Cambria" w:cs="Times New Roman"/>
          <w:sz w:val="24"/>
          <w:szCs w:val="24"/>
        </w:rPr>
        <w:t>NOx</w:t>
      </w:r>
      <w:r w:rsidR="001B103E" w:rsidRPr="00EA1BB2">
        <w:rPr>
          <w:rFonts w:ascii="Cambria" w:eastAsia="Calibri" w:hAnsi="Cambria" w:cs="Times New Roman"/>
          <w:sz w:val="24"/>
          <w:szCs w:val="24"/>
        </w:rPr>
        <w:t xml:space="preserve"> care au eficiență de reducere și </w:t>
      </w:r>
      <w:r w:rsidRPr="00EA1BB2">
        <w:rPr>
          <w:rFonts w:ascii="Cambria" w:eastAsia="Calibri" w:hAnsi="Cambria" w:cs="Times New Roman"/>
          <w:sz w:val="24"/>
          <w:szCs w:val="24"/>
        </w:rPr>
        <w:t xml:space="preserve">pentru </w:t>
      </w:r>
      <w:r w:rsidR="001B103E" w:rsidRPr="00EA1BB2">
        <w:rPr>
          <w:rFonts w:ascii="Cambria" w:eastAsia="Calibri" w:hAnsi="Cambria" w:cs="Times New Roman"/>
          <w:sz w:val="24"/>
          <w:szCs w:val="24"/>
        </w:rPr>
        <w:t>ceilalți poluanți pentru care se realizează planul de menținere</w:t>
      </w:r>
      <w:r w:rsidRPr="00EA1BB2">
        <w:rPr>
          <w:rFonts w:ascii="Cambria" w:eastAsia="Calibri" w:hAnsi="Cambria" w:cs="Times New Roman"/>
          <w:sz w:val="24"/>
          <w:szCs w:val="24"/>
        </w:rPr>
        <w:t xml:space="preserve"> </w:t>
      </w:r>
      <w:r w:rsidR="001B103E" w:rsidRPr="00EA1BB2">
        <w:rPr>
          <w:rFonts w:ascii="Cambria" w:eastAsia="Calibri" w:hAnsi="Cambria" w:cs="Times New Roman"/>
          <w:sz w:val="24"/>
          <w:szCs w:val="24"/>
        </w:rPr>
        <w:t>(dioxid de sulf, pulberi în suspensie, benzen, monoxid de carbon,</w:t>
      </w:r>
      <w:r w:rsidR="0094085B" w:rsidRPr="00EA1BB2">
        <w:rPr>
          <w:rFonts w:ascii="Cambria" w:eastAsia="Calibri" w:hAnsi="Cambria" w:cs="Times New Roman"/>
          <w:sz w:val="24"/>
          <w:szCs w:val="24"/>
        </w:rPr>
        <w:t xml:space="preserve"> plumb, nichel, arsen și cadmiu).</w:t>
      </w:r>
    </w:p>
    <w:p w14:paraId="649E5420" w14:textId="4C03DB2A" w:rsidR="00A237A4" w:rsidRPr="00EA1BB2" w:rsidRDefault="00A237A4" w:rsidP="00A237A4">
      <w:pPr>
        <w:keepNext/>
        <w:spacing w:line="360" w:lineRule="auto"/>
        <w:ind w:firstLine="567"/>
        <w:jc w:val="both"/>
        <w:rPr>
          <w:rFonts w:ascii="Cambria" w:eastAsia="Calibri" w:hAnsi="Cambria" w:cs="Times New Roman"/>
          <w:b/>
          <w:iCs/>
          <w:sz w:val="24"/>
          <w:szCs w:val="18"/>
        </w:rPr>
      </w:pPr>
      <w:bookmarkStart w:id="281" w:name="_Toc523945760"/>
      <w:bookmarkStart w:id="282" w:name="_Toc526700947"/>
      <w:bookmarkStart w:id="283" w:name="_Toc526889829"/>
      <w:r w:rsidRPr="00EA1BB2">
        <w:rPr>
          <w:rFonts w:ascii="Cambria" w:eastAsia="Calibri" w:hAnsi="Cambria" w:cs="Times New Roman"/>
          <w:b/>
          <w:iCs/>
          <w:sz w:val="24"/>
          <w:szCs w:val="18"/>
        </w:rPr>
        <w:lastRenderedPageBreak/>
        <w:t xml:space="preserve">Tabelul nr. </w:t>
      </w:r>
      <w:r w:rsidR="000A2FE7" w:rsidRPr="00EA1BB2">
        <w:rPr>
          <w:rFonts w:ascii="Cambria" w:eastAsia="Calibri" w:hAnsi="Cambria" w:cs="Times New Roman"/>
          <w:b/>
          <w:iCs/>
          <w:sz w:val="24"/>
          <w:szCs w:val="18"/>
        </w:rPr>
        <w:fldChar w:fldCharType="begin"/>
      </w:r>
      <w:r w:rsidR="000A2FE7" w:rsidRPr="00EA1BB2">
        <w:rPr>
          <w:rFonts w:ascii="Cambria" w:eastAsia="Calibri" w:hAnsi="Cambria" w:cs="Times New Roman"/>
          <w:b/>
          <w:iCs/>
          <w:sz w:val="24"/>
          <w:szCs w:val="18"/>
        </w:rPr>
        <w:instrText xml:space="preserve"> STYLEREF 1 \s </w:instrText>
      </w:r>
      <w:r w:rsidR="000A2FE7" w:rsidRPr="00EA1BB2">
        <w:rPr>
          <w:rFonts w:ascii="Cambria" w:eastAsia="Calibri" w:hAnsi="Cambria" w:cs="Times New Roman"/>
          <w:b/>
          <w:iCs/>
          <w:sz w:val="24"/>
          <w:szCs w:val="18"/>
        </w:rPr>
        <w:fldChar w:fldCharType="separate"/>
      </w:r>
      <w:r w:rsidR="00567555">
        <w:rPr>
          <w:rFonts w:ascii="Cambria" w:eastAsia="Calibri" w:hAnsi="Cambria" w:cs="Times New Roman"/>
          <w:b/>
          <w:iCs/>
          <w:noProof/>
          <w:sz w:val="24"/>
          <w:szCs w:val="18"/>
        </w:rPr>
        <w:t>6</w:t>
      </w:r>
      <w:r w:rsidR="000A2FE7" w:rsidRPr="00EA1BB2">
        <w:rPr>
          <w:rFonts w:ascii="Cambria" w:eastAsia="Calibri" w:hAnsi="Cambria" w:cs="Times New Roman"/>
          <w:b/>
          <w:iCs/>
          <w:sz w:val="24"/>
          <w:szCs w:val="18"/>
        </w:rPr>
        <w:fldChar w:fldCharType="end"/>
      </w:r>
      <w:r w:rsidR="000A2FE7" w:rsidRPr="00EA1BB2">
        <w:rPr>
          <w:rFonts w:ascii="Cambria" w:eastAsia="Calibri" w:hAnsi="Cambria" w:cs="Times New Roman"/>
          <w:b/>
          <w:iCs/>
          <w:sz w:val="24"/>
          <w:szCs w:val="18"/>
        </w:rPr>
        <w:noBreakHyphen/>
      </w:r>
      <w:r w:rsidR="000A2FE7" w:rsidRPr="00EA1BB2">
        <w:rPr>
          <w:rFonts w:ascii="Cambria" w:eastAsia="Calibri" w:hAnsi="Cambria" w:cs="Times New Roman"/>
          <w:b/>
          <w:iCs/>
          <w:sz w:val="24"/>
          <w:szCs w:val="18"/>
        </w:rPr>
        <w:fldChar w:fldCharType="begin"/>
      </w:r>
      <w:r w:rsidR="000A2FE7" w:rsidRPr="00EA1BB2">
        <w:rPr>
          <w:rFonts w:ascii="Cambria" w:eastAsia="Calibri" w:hAnsi="Cambria" w:cs="Times New Roman"/>
          <w:b/>
          <w:iCs/>
          <w:sz w:val="24"/>
          <w:szCs w:val="18"/>
        </w:rPr>
        <w:instrText xml:space="preserve"> SEQ Tabelul_nr. \* ARABIC \s 1 </w:instrText>
      </w:r>
      <w:r w:rsidR="000A2FE7" w:rsidRPr="00EA1BB2">
        <w:rPr>
          <w:rFonts w:ascii="Cambria" w:eastAsia="Calibri" w:hAnsi="Cambria" w:cs="Times New Roman"/>
          <w:b/>
          <w:iCs/>
          <w:sz w:val="24"/>
          <w:szCs w:val="18"/>
        </w:rPr>
        <w:fldChar w:fldCharType="separate"/>
      </w:r>
      <w:r w:rsidR="00567555">
        <w:rPr>
          <w:rFonts w:ascii="Cambria" w:eastAsia="Calibri" w:hAnsi="Cambria" w:cs="Times New Roman"/>
          <w:b/>
          <w:iCs/>
          <w:noProof/>
          <w:sz w:val="24"/>
          <w:szCs w:val="18"/>
        </w:rPr>
        <w:t>2</w:t>
      </w:r>
      <w:r w:rsidR="000A2FE7" w:rsidRPr="00EA1BB2">
        <w:rPr>
          <w:rFonts w:ascii="Cambria" w:eastAsia="Calibri" w:hAnsi="Cambria" w:cs="Times New Roman"/>
          <w:b/>
          <w:iCs/>
          <w:sz w:val="24"/>
          <w:szCs w:val="18"/>
        </w:rPr>
        <w:fldChar w:fldCharType="end"/>
      </w:r>
      <w:r w:rsidRPr="00EA1BB2">
        <w:rPr>
          <w:rFonts w:ascii="Cambria" w:eastAsia="Calibri" w:hAnsi="Cambria" w:cs="Times New Roman"/>
          <w:b/>
          <w:iCs/>
          <w:sz w:val="24"/>
          <w:szCs w:val="18"/>
        </w:rPr>
        <w:t xml:space="preserve"> - Lista măsurilor </w:t>
      </w:r>
      <w:bookmarkEnd w:id="281"/>
      <w:bookmarkEnd w:id="282"/>
      <w:r w:rsidRPr="00EA1BB2">
        <w:rPr>
          <w:rFonts w:ascii="Cambria" w:eastAsia="Calibri" w:hAnsi="Cambria" w:cs="Times New Roman"/>
          <w:b/>
          <w:iCs/>
          <w:sz w:val="24"/>
          <w:szCs w:val="18"/>
        </w:rPr>
        <w:t>propuse în Planul de calitate a aerului pentru aglomerarea Brăila</w:t>
      </w:r>
      <w:bookmarkEnd w:id="283"/>
    </w:p>
    <w:tbl>
      <w:tblPr>
        <w:tblStyle w:val="TableGrid"/>
        <w:tblW w:w="9506" w:type="dxa"/>
        <w:jc w:val="center"/>
        <w:tblLook w:val="04A0" w:firstRow="1" w:lastRow="0" w:firstColumn="1" w:lastColumn="0" w:noHBand="0" w:noVBand="1"/>
      </w:tblPr>
      <w:tblGrid>
        <w:gridCol w:w="836"/>
        <w:gridCol w:w="5052"/>
        <w:gridCol w:w="3618"/>
      </w:tblGrid>
      <w:tr w:rsidR="00A237A4" w:rsidRPr="00EA1BB2" w14:paraId="5B2BB935" w14:textId="77777777" w:rsidTr="00EA1BB2">
        <w:trPr>
          <w:trHeight w:val="290"/>
          <w:tblHeader/>
          <w:jc w:val="center"/>
        </w:trPr>
        <w:tc>
          <w:tcPr>
            <w:tcW w:w="836" w:type="dxa"/>
            <w:shd w:val="clear" w:color="auto" w:fill="BDD6EE" w:themeFill="accent1" w:themeFillTint="66"/>
            <w:noWrap/>
            <w:vAlign w:val="center"/>
          </w:tcPr>
          <w:p w14:paraId="290E2BCA" w14:textId="77777777" w:rsidR="00A237A4" w:rsidRPr="00EA1BB2" w:rsidRDefault="00A237A4" w:rsidP="00A812FA">
            <w:pPr>
              <w:autoSpaceDE w:val="0"/>
              <w:autoSpaceDN w:val="0"/>
              <w:adjustRightInd w:val="0"/>
              <w:spacing w:line="360" w:lineRule="auto"/>
              <w:jc w:val="center"/>
              <w:rPr>
                <w:rFonts w:ascii="Cambria" w:eastAsia="Calibri" w:hAnsi="Cambria" w:cs="Times New Roman"/>
                <w:b/>
                <w:sz w:val="24"/>
                <w:szCs w:val="24"/>
                <w:lang w:val="ro-RO"/>
              </w:rPr>
            </w:pPr>
            <w:r w:rsidRPr="00EA1BB2">
              <w:rPr>
                <w:rFonts w:ascii="Cambria" w:eastAsia="Calibri" w:hAnsi="Cambria" w:cs="Times New Roman"/>
                <w:b/>
                <w:sz w:val="24"/>
                <w:szCs w:val="24"/>
                <w:lang w:val="ro-RO"/>
              </w:rPr>
              <w:t>Cod</w:t>
            </w:r>
          </w:p>
        </w:tc>
        <w:tc>
          <w:tcPr>
            <w:tcW w:w="5052" w:type="dxa"/>
            <w:shd w:val="clear" w:color="auto" w:fill="BDD6EE" w:themeFill="accent1" w:themeFillTint="66"/>
            <w:noWrap/>
            <w:vAlign w:val="center"/>
          </w:tcPr>
          <w:p w14:paraId="1FB2A7E5" w14:textId="77777777" w:rsidR="00A237A4" w:rsidRPr="00EA1BB2" w:rsidRDefault="00A237A4" w:rsidP="00A812FA">
            <w:pPr>
              <w:spacing w:line="360" w:lineRule="auto"/>
              <w:jc w:val="center"/>
              <w:rPr>
                <w:rFonts w:ascii="Cambria" w:eastAsia="Calibri" w:hAnsi="Cambria" w:cs="Times New Roman"/>
                <w:b/>
                <w:sz w:val="24"/>
                <w:szCs w:val="24"/>
                <w:lang w:val="ro-RO"/>
              </w:rPr>
            </w:pPr>
            <w:r w:rsidRPr="00EA1BB2">
              <w:rPr>
                <w:rFonts w:ascii="Cambria" w:eastAsia="Calibri" w:hAnsi="Cambria" w:cs="Times New Roman"/>
                <w:b/>
                <w:sz w:val="24"/>
                <w:szCs w:val="24"/>
                <w:lang w:val="ro-RO"/>
              </w:rPr>
              <w:t>Denumirea măsurii</w:t>
            </w:r>
          </w:p>
        </w:tc>
        <w:tc>
          <w:tcPr>
            <w:tcW w:w="3618" w:type="dxa"/>
            <w:shd w:val="clear" w:color="auto" w:fill="BDD6EE" w:themeFill="accent1" w:themeFillTint="66"/>
          </w:tcPr>
          <w:p w14:paraId="23DFC8EC" w14:textId="40CFFFB1" w:rsidR="00A237A4" w:rsidRPr="00EA1BB2" w:rsidRDefault="00EA1BB2" w:rsidP="00A812FA">
            <w:pPr>
              <w:spacing w:line="276" w:lineRule="auto"/>
              <w:jc w:val="center"/>
              <w:rPr>
                <w:rFonts w:ascii="Cambria" w:eastAsia="Calibri" w:hAnsi="Cambria" w:cs="Times New Roman"/>
                <w:b/>
                <w:sz w:val="24"/>
                <w:szCs w:val="24"/>
                <w:lang w:val="ro-RO"/>
              </w:rPr>
            </w:pPr>
            <w:r w:rsidRPr="00EA1BB2">
              <w:rPr>
                <w:rFonts w:ascii="Cambria" w:eastAsia="Times New Roman" w:hAnsi="Cambria" w:cs="Times New Roman"/>
                <w:b/>
                <w:sz w:val="24"/>
                <w:szCs w:val="24"/>
                <w:lang w:val="ro-RO"/>
              </w:rPr>
              <w:t>Poluanți asupra cărora măsura are impact de reducere a emisiei</w:t>
            </w:r>
          </w:p>
        </w:tc>
      </w:tr>
      <w:tr w:rsidR="00A237A4" w:rsidRPr="00EA1BB2" w14:paraId="784B3DC8" w14:textId="77777777" w:rsidTr="00EA1BB2">
        <w:trPr>
          <w:trHeight w:val="290"/>
          <w:jc w:val="center"/>
        </w:trPr>
        <w:tc>
          <w:tcPr>
            <w:tcW w:w="836" w:type="dxa"/>
            <w:shd w:val="clear" w:color="auto" w:fill="auto"/>
            <w:noWrap/>
          </w:tcPr>
          <w:p w14:paraId="376D1E4A" w14:textId="77777777" w:rsidR="00A237A4" w:rsidRPr="00EA1BB2" w:rsidRDefault="00A237A4" w:rsidP="00A812FA">
            <w:pPr>
              <w:autoSpaceDE w:val="0"/>
              <w:autoSpaceDN w:val="0"/>
              <w:adjustRightInd w:val="0"/>
              <w:spacing w:line="360" w:lineRule="auto"/>
              <w:jc w:val="both"/>
              <w:rPr>
                <w:rFonts w:ascii="Cambria" w:eastAsia="Calibri" w:hAnsi="Cambria" w:cs="Times New Roman"/>
                <w:sz w:val="24"/>
                <w:szCs w:val="24"/>
                <w:lang w:val="ro-RO"/>
              </w:rPr>
            </w:pPr>
            <w:r w:rsidRPr="00EA1BB2">
              <w:rPr>
                <w:rFonts w:ascii="Cambria" w:eastAsia="Calibri" w:hAnsi="Cambria" w:cs="Times New Roman"/>
                <w:sz w:val="24"/>
                <w:lang w:val="ro-RO"/>
              </w:rPr>
              <w:t>M.1.1</w:t>
            </w:r>
          </w:p>
        </w:tc>
        <w:tc>
          <w:tcPr>
            <w:tcW w:w="5052" w:type="dxa"/>
            <w:shd w:val="clear" w:color="auto" w:fill="auto"/>
            <w:noWrap/>
          </w:tcPr>
          <w:p w14:paraId="702FD645" w14:textId="77777777" w:rsidR="00A237A4" w:rsidRPr="00EA1BB2" w:rsidRDefault="00A237A4" w:rsidP="00A812FA">
            <w:pPr>
              <w:autoSpaceDE w:val="0"/>
              <w:autoSpaceDN w:val="0"/>
              <w:adjustRightInd w:val="0"/>
              <w:spacing w:line="360" w:lineRule="auto"/>
              <w:jc w:val="both"/>
              <w:rPr>
                <w:rFonts w:ascii="Cambria" w:eastAsia="Calibri" w:hAnsi="Cambria" w:cs="Times New Roman"/>
                <w:sz w:val="24"/>
                <w:szCs w:val="24"/>
                <w:lang w:val="ro-RO"/>
              </w:rPr>
            </w:pPr>
            <w:r w:rsidRPr="00EA1BB2">
              <w:rPr>
                <w:rFonts w:ascii="Cambria" w:eastAsia="Calibri" w:hAnsi="Cambria" w:cs="Times New Roman"/>
                <w:sz w:val="24"/>
                <w:lang w:val="ro-RO"/>
              </w:rPr>
              <w:t>Modernizare continuă a structurii parcului auto utilizat pentru transportul public</w:t>
            </w:r>
          </w:p>
        </w:tc>
        <w:tc>
          <w:tcPr>
            <w:tcW w:w="3618" w:type="dxa"/>
            <w:shd w:val="clear" w:color="auto" w:fill="auto"/>
            <w:vAlign w:val="center"/>
          </w:tcPr>
          <w:p w14:paraId="763C09A7" w14:textId="6DA326AC" w:rsidR="00A237A4" w:rsidRPr="00EA1BB2" w:rsidRDefault="009E4EE2" w:rsidP="009E4EE2">
            <w:pPr>
              <w:autoSpaceDE w:val="0"/>
              <w:autoSpaceDN w:val="0"/>
              <w:adjustRightInd w:val="0"/>
              <w:spacing w:line="360" w:lineRule="auto"/>
              <w:jc w:val="center"/>
              <w:rPr>
                <w:rFonts w:ascii="Cambria" w:eastAsia="Calibri" w:hAnsi="Cambria" w:cs="Times New Roman"/>
                <w:sz w:val="24"/>
                <w:szCs w:val="24"/>
                <w:lang w:val="ro-RO"/>
              </w:rPr>
            </w:pPr>
            <w:r w:rsidRPr="00EA1BB2">
              <w:rPr>
                <w:rFonts w:ascii="Cambria" w:eastAsia="Calibri" w:hAnsi="Cambria" w:cs="Times New Roman"/>
                <w:sz w:val="24"/>
                <w:szCs w:val="24"/>
                <w:lang w:val="ro-RO"/>
              </w:rPr>
              <w:t>Cd, C</w:t>
            </w:r>
            <w:r w:rsidRPr="00EA1BB2">
              <w:rPr>
                <w:rFonts w:ascii="Cambria" w:eastAsia="Calibri" w:hAnsi="Cambria" w:cs="Times New Roman"/>
                <w:sz w:val="24"/>
                <w:szCs w:val="24"/>
                <w:vertAlign w:val="subscript"/>
                <w:lang w:val="ro-RO"/>
              </w:rPr>
              <w:t>6</w:t>
            </w:r>
            <w:r w:rsidRPr="00EA1BB2">
              <w:rPr>
                <w:rFonts w:ascii="Cambria" w:eastAsia="Calibri" w:hAnsi="Cambria" w:cs="Times New Roman"/>
                <w:sz w:val="24"/>
                <w:szCs w:val="24"/>
                <w:lang w:val="ro-RO"/>
              </w:rPr>
              <w:t>H</w:t>
            </w:r>
            <w:r w:rsidRPr="00EA1BB2">
              <w:rPr>
                <w:rFonts w:ascii="Cambria" w:eastAsia="Calibri" w:hAnsi="Cambria" w:cs="Times New Roman"/>
                <w:sz w:val="24"/>
                <w:szCs w:val="24"/>
                <w:vertAlign w:val="subscript"/>
                <w:lang w:val="ro-RO"/>
              </w:rPr>
              <w:t>6</w:t>
            </w:r>
            <w:r w:rsidRPr="00EA1BB2">
              <w:rPr>
                <w:rFonts w:ascii="Cambria" w:eastAsia="Calibri" w:hAnsi="Cambria" w:cs="Times New Roman"/>
                <w:sz w:val="24"/>
                <w:szCs w:val="24"/>
                <w:lang w:val="ro-RO"/>
              </w:rPr>
              <w:t>, CO, Ni, Pb, PM</w:t>
            </w:r>
            <w:r w:rsidRPr="00EA1BB2">
              <w:rPr>
                <w:rFonts w:ascii="Cambria" w:eastAsia="Calibri" w:hAnsi="Cambria" w:cs="Times New Roman"/>
                <w:sz w:val="24"/>
                <w:szCs w:val="24"/>
                <w:vertAlign w:val="subscript"/>
                <w:lang w:val="ro-RO"/>
              </w:rPr>
              <w:t>10</w:t>
            </w:r>
            <w:r w:rsidRPr="00EA1BB2">
              <w:rPr>
                <w:rFonts w:ascii="Cambria" w:eastAsia="Calibri" w:hAnsi="Cambria" w:cs="Times New Roman"/>
                <w:sz w:val="24"/>
                <w:szCs w:val="24"/>
                <w:lang w:val="ro-RO"/>
              </w:rPr>
              <w:t>, PM</w:t>
            </w:r>
            <w:r w:rsidRPr="00EA1BB2">
              <w:rPr>
                <w:rFonts w:ascii="Cambria" w:eastAsia="Calibri" w:hAnsi="Cambria" w:cs="Times New Roman"/>
                <w:sz w:val="24"/>
                <w:szCs w:val="24"/>
                <w:vertAlign w:val="subscript"/>
                <w:lang w:val="ro-RO"/>
              </w:rPr>
              <w:t xml:space="preserve">2,5 </w:t>
            </w:r>
          </w:p>
        </w:tc>
      </w:tr>
      <w:tr w:rsidR="00A237A4" w:rsidRPr="00EA1BB2" w14:paraId="082B695A" w14:textId="77777777" w:rsidTr="00EA1BB2">
        <w:trPr>
          <w:trHeight w:val="290"/>
          <w:jc w:val="center"/>
        </w:trPr>
        <w:tc>
          <w:tcPr>
            <w:tcW w:w="836" w:type="dxa"/>
            <w:shd w:val="clear" w:color="auto" w:fill="auto"/>
            <w:noWrap/>
          </w:tcPr>
          <w:p w14:paraId="798E1412" w14:textId="77777777" w:rsidR="00A237A4" w:rsidRPr="00EA1BB2" w:rsidRDefault="00A237A4" w:rsidP="00A812FA">
            <w:pPr>
              <w:autoSpaceDE w:val="0"/>
              <w:autoSpaceDN w:val="0"/>
              <w:adjustRightInd w:val="0"/>
              <w:spacing w:line="360" w:lineRule="auto"/>
              <w:jc w:val="both"/>
              <w:rPr>
                <w:rFonts w:ascii="Cambria" w:eastAsia="Calibri" w:hAnsi="Cambria" w:cs="Times New Roman"/>
                <w:sz w:val="24"/>
                <w:szCs w:val="24"/>
                <w:lang w:val="ro-RO"/>
              </w:rPr>
            </w:pPr>
            <w:r w:rsidRPr="00EA1BB2">
              <w:rPr>
                <w:rFonts w:ascii="Cambria" w:eastAsia="Calibri" w:hAnsi="Cambria" w:cs="Times New Roman"/>
                <w:sz w:val="24"/>
                <w:lang w:val="ro-RO"/>
              </w:rPr>
              <w:t>M.1.2</w:t>
            </w:r>
          </w:p>
        </w:tc>
        <w:tc>
          <w:tcPr>
            <w:tcW w:w="5052" w:type="dxa"/>
            <w:shd w:val="clear" w:color="auto" w:fill="auto"/>
            <w:noWrap/>
          </w:tcPr>
          <w:p w14:paraId="5AA4DE77" w14:textId="77777777" w:rsidR="00A237A4" w:rsidRPr="00EA1BB2" w:rsidRDefault="00A237A4" w:rsidP="00A812FA">
            <w:pPr>
              <w:autoSpaceDE w:val="0"/>
              <w:autoSpaceDN w:val="0"/>
              <w:adjustRightInd w:val="0"/>
              <w:spacing w:line="360" w:lineRule="auto"/>
              <w:jc w:val="both"/>
              <w:rPr>
                <w:rFonts w:ascii="Cambria" w:eastAsia="Calibri" w:hAnsi="Cambria" w:cs="Times New Roman"/>
                <w:sz w:val="24"/>
                <w:szCs w:val="24"/>
                <w:lang w:val="ro-RO"/>
              </w:rPr>
            </w:pPr>
            <w:r w:rsidRPr="00EA1BB2">
              <w:rPr>
                <w:rFonts w:ascii="Cambria" w:eastAsia="Calibri" w:hAnsi="Cambria" w:cs="Times New Roman"/>
                <w:sz w:val="24"/>
                <w:lang w:val="ro-RO"/>
              </w:rPr>
              <w:t>Modernizarea străzilor ce vor fi utilizate ca rute ocolitoare pentru transportul de marfă</w:t>
            </w:r>
          </w:p>
        </w:tc>
        <w:tc>
          <w:tcPr>
            <w:tcW w:w="3618" w:type="dxa"/>
            <w:shd w:val="clear" w:color="auto" w:fill="auto"/>
            <w:vAlign w:val="center"/>
          </w:tcPr>
          <w:p w14:paraId="01F752AD" w14:textId="0EFBE75C" w:rsidR="00A237A4" w:rsidRPr="00EA1BB2" w:rsidRDefault="009E4EE2" w:rsidP="009E4EE2">
            <w:pPr>
              <w:autoSpaceDE w:val="0"/>
              <w:autoSpaceDN w:val="0"/>
              <w:adjustRightInd w:val="0"/>
              <w:spacing w:line="360" w:lineRule="auto"/>
              <w:jc w:val="center"/>
              <w:rPr>
                <w:rFonts w:ascii="Cambria" w:eastAsia="Calibri" w:hAnsi="Cambria" w:cs="Times New Roman"/>
                <w:sz w:val="24"/>
                <w:szCs w:val="24"/>
                <w:lang w:val="ro-RO"/>
              </w:rPr>
            </w:pPr>
            <w:r w:rsidRPr="00EA1BB2">
              <w:rPr>
                <w:rFonts w:ascii="Cambria" w:eastAsia="Calibri" w:hAnsi="Cambria" w:cs="Times New Roman"/>
                <w:sz w:val="24"/>
                <w:szCs w:val="24"/>
                <w:lang w:val="ro-RO"/>
              </w:rPr>
              <w:t>Cd, C</w:t>
            </w:r>
            <w:r w:rsidRPr="00EA1BB2">
              <w:rPr>
                <w:rFonts w:ascii="Cambria" w:eastAsia="Calibri" w:hAnsi="Cambria" w:cs="Times New Roman"/>
                <w:sz w:val="24"/>
                <w:szCs w:val="24"/>
                <w:vertAlign w:val="subscript"/>
                <w:lang w:val="ro-RO"/>
              </w:rPr>
              <w:t>6</w:t>
            </w:r>
            <w:r w:rsidRPr="00EA1BB2">
              <w:rPr>
                <w:rFonts w:ascii="Cambria" w:eastAsia="Calibri" w:hAnsi="Cambria" w:cs="Times New Roman"/>
                <w:sz w:val="24"/>
                <w:szCs w:val="24"/>
                <w:lang w:val="ro-RO"/>
              </w:rPr>
              <w:t>H</w:t>
            </w:r>
            <w:r w:rsidRPr="00EA1BB2">
              <w:rPr>
                <w:rFonts w:ascii="Cambria" w:eastAsia="Calibri" w:hAnsi="Cambria" w:cs="Times New Roman"/>
                <w:sz w:val="24"/>
                <w:szCs w:val="24"/>
                <w:vertAlign w:val="subscript"/>
                <w:lang w:val="ro-RO"/>
              </w:rPr>
              <w:t>6</w:t>
            </w:r>
            <w:r w:rsidRPr="00EA1BB2">
              <w:rPr>
                <w:rFonts w:ascii="Cambria" w:eastAsia="Calibri" w:hAnsi="Cambria" w:cs="Times New Roman"/>
                <w:sz w:val="24"/>
                <w:szCs w:val="24"/>
                <w:lang w:val="ro-RO"/>
              </w:rPr>
              <w:t>, CO, Ni, Pb, PM</w:t>
            </w:r>
            <w:r w:rsidRPr="00EA1BB2">
              <w:rPr>
                <w:rFonts w:ascii="Cambria" w:eastAsia="Calibri" w:hAnsi="Cambria" w:cs="Times New Roman"/>
                <w:sz w:val="24"/>
                <w:szCs w:val="24"/>
                <w:vertAlign w:val="subscript"/>
                <w:lang w:val="ro-RO"/>
              </w:rPr>
              <w:t>10</w:t>
            </w:r>
            <w:r w:rsidRPr="00EA1BB2">
              <w:rPr>
                <w:rFonts w:ascii="Cambria" w:eastAsia="Calibri" w:hAnsi="Cambria" w:cs="Times New Roman"/>
                <w:sz w:val="24"/>
                <w:szCs w:val="24"/>
                <w:lang w:val="ro-RO"/>
              </w:rPr>
              <w:t>, PM</w:t>
            </w:r>
            <w:r w:rsidRPr="00EA1BB2">
              <w:rPr>
                <w:rFonts w:ascii="Cambria" w:eastAsia="Calibri" w:hAnsi="Cambria" w:cs="Times New Roman"/>
                <w:sz w:val="24"/>
                <w:szCs w:val="24"/>
                <w:vertAlign w:val="subscript"/>
                <w:lang w:val="ro-RO"/>
              </w:rPr>
              <w:t>2,5</w:t>
            </w:r>
          </w:p>
        </w:tc>
      </w:tr>
      <w:tr w:rsidR="00A237A4" w:rsidRPr="00EA1BB2" w14:paraId="59EAC0DE" w14:textId="77777777" w:rsidTr="00EA1BB2">
        <w:trPr>
          <w:trHeight w:val="290"/>
          <w:jc w:val="center"/>
        </w:trPr>
        <w:tc>
          <w:tcPr>
            <w:tcW w:w="836" w:type="dxa"/>
            <w:shd w:val="clear" w:color="auto" w:fill="auto"/>
            <w:noWrap/>
          </w:tcPr>
          <w:p w14:paraId="04756583" w14:textId="77777777" w:rsidR="00A237A4" w:rsidRPr="00EA1BB2" w:rsidRDefault="00A237A4" w:rsidP="00A812FA">
            <w:pPr>
              <w:autoSpaceDE w:val="0"/>
              <w:autoSpaceDN w:val="0"/>
              <w:adjustRightInd w:val="0"/>
              <w:spacing w:line="360" w:lineRule="auto"/>
              <w:jc w:val="both"/>
              <w:rPr>
                <w:rFonts w:ascii="Cambria" w:eastAsia="Calibri" w:hAnsi="Cambria" w:cs="Times New Roman"/>
                <w:sz w:val="24"/>
                <w:szCs w:val="24"/>
                <w:lang w:val="ro-RO"/>
              </w:rPr>
            </w:pPr>
            <w:r w:rsidRPr="00EA1BB2">
              <w:rPr>
                <w:rFonts w:ascii="Cambria" w:eastAsia="Calibri" w:hAnsi="Cambria" w:cs="Times New Roman"/>
                <w:sz w:val="24"/>
                <w:lang w:val="ro-RO"/>
              </w:rPr>
              <w:t>M.1.3</w:t>
            </w:r>
          </w:p>
        </w:tc>
        <w:tc>
          <w:tcPr>
            <w:tcW w:w="5052" w:type="dxa"/>
            <w:shd w:val="clear" w:color="auto" w:fill="auto"/>
            <w:noWrap/>
          </w:tcPr>
          <w:p w14:paraId="26C40575" w14:textId="77777777" w:rsidR="00A237A4" w:rsidRPr="00EA1BB2" w:rsidRDefault="00A237A4" w:rsidP="00A812FA">
            <w:pPr>
              <w:autoSpaceDE w:val="0"/>
              <w:autoSpaceDN w:val="0"/>
              <w:adjustRightInd w:val="0"/>
              <w:spacing w:line="360" w:lineRule="auto"/>
              <w:jc w:val="both"/>
              <w:rPr>
                <w:rFonts w:ascii="Cambria" w:eastAsia="Calibri" w:hAnsi="Cambria" w:cs="Times New Roman"/>
                <w:sz w:val="24"/>
                <w:szCs w:val="24"/>
                <w:lang w:val="ro-RO"/>
              </w:rPr>
            </w:pPr>
            <w:r w:rsidRPr="00EA1BB2">
              <w:rPr>
                <w:rFonts w:ascii="Cambria" w:eastAsia="Calibri" w:hAnsi="Cambria" w:cs="Times New Roman"/>
                <w:sz w:val="24"/>
                <w:lang w:val="ro-RO"/>
              </w:rPr>
              <w:t>Promovarea utilizării transportului public</w:t>
            </w:r>
          </w:p>
        </w:tc>
        <w:tc>
          <w:tcPr>
            <w:tcW w:w="3618" w:type="dxa"/>
            <w:shd w:val="clear" w:color="auto" w:fill="auto"/>
            <w:vAlign w:val="center"/>
          </w:tcPr>
          <w:p w14:paraId="491230E6" w14:textId="7DF4EE9D" w:rsidR="00A237A4" w:rsidRPr="00EA1BB2" w:rsidRDefault="009E4EE2" w:rsidP="009E4EE2">
            <w:pPr>
              <w:autoSpaceDE w:val="0"/>
              <w:autoSpaceDN w:val="0"/>
              <w:adjustRightInd w:val="0"/>
              <w:spacing w:line="360" w:lineRule="auto"/>
              <w:jc w:val="center"/>
              <w:rPr>
                <w:rFonts w:ascii="Cambria" w:eastAsia="Calibri" w:hAnsi="Cambria" w:cs="Times New Roman"/>
                <w:sz w:val="24"/>
                <w:szCs w:val="24"/>
                <w:lang w:val="ro-RO"/>
              </w:rPr>
            </w:pPr>
            <w:r w:rsidRPr="00EA1BB2">
              <w:rPr>
                <w:rFonts w:ascii="Cambria" w:eastAsia="Calibri" w:hAnsi="Cambria" w:cs="Times New Roman"/>
                <w:sz w:val="24"/>
                <w:szCs w:val="24"/>
                <w:lang w:val="ro-RO"/>
              </w:rPr>
              <w:t>Cd, C</w:t>
            </w:r>
            <w:r w:rsidRPr="00EA1BB2">
              <w:rPr>
                <w:rFonts w:ascii="Cambria" w:eastAsia="Calibri" w:hAnsi="Cambria" w:cs="Times New Roman"/>
                <w:sz w:val="24"/>
                <w:szCs w:val="24"/>
                <w:vertAlign w:val="subscript"/>
                <w:lang w:val="ro-RO"/>
              </w:rPr>
              <w:t>6</w:t>
            </w:r>
            <w:r w:rsidRPr="00EA1BB2">
              <w:rPr>
                <w:rFonts w:ascii="Cambria" w:eastAsia="Calibri" w:hAnsi="Cambria" w:cs="Times New Roman"/>
                <w:sz w:val="24"/>
                <w:szCs w:val="24"/>
                <w:lang w:val="ro-RO"/>
              </w:rPr>
              <w:t>H</w:t>
            </w:r>
            <w:r w:rsidRPr="00EA1BB2">
              <w:rPr>
                <w:rFonts w:ascii="Cambria" w:eastAsia="Calibri" w:hAnsi="Cambria" w:cs="Times New Roman"/>
                <w:sz w:val="24"/>
                <w:szCs w:val="24"/>
                <w:vertAlign w:val="subscript"/>
                <w:lang w:val="ro-RO"/>
              </w:rPr>
              <w:t>6</w:t>
            </w:r>
            <w:r w:rsidRPr="00EA1BB2">
              <w:rPr>
                <w:rFonts w:ascii="Cambria" w:eastAsia="Calibri" w:hAnsi="Cambria" w:cs="Times New Roman"/>
                <w:sz w:val="24"/>
                <w:szCs w:val="24"/>
                <w:lang w:val="ro-RO"/>
              </w:rPr>
              <w:t>, CO, Ni, Pb, PM</w:t>
            </w:r>
            <w:r w:rsidRPr="00EA1BB2">
              <w:rPr>
                <w:rFonts w:ascii="Cambria" w:eastAsia="Calibri" w:hAnsi="Cambria" w:cs="Times New Roman"/>
                <w:sz w:val="24"/>
                <w:szCs w:val="24"/>
                <w:vertAlign w:val="subscript"/>
                <w:lang w:val="ro-RO"/>
              </w:rPr>
              <w:t>10</w:t>
            </w:r>
            <w:r w:rsidRPr="00EA1BB2">
              <w:rPr>
                <w:rFonts w:ascii="Cambria" w:eastAsia="Calibri" w:hAnsi="Cambria" w:cs="Times New Roman"/>
                <w:sz w:val="24"/>
                <w:szCs w:val="24"/>
                <w:lang w:val="ro-RO"/>
              </w:rPr>
              <w:t>, PM</w:t>
            </w:r>
            <w:r w:rsidRPr="00EA1BB2">
              <w:rPr>
                <w:rFonts w:ascii="Cambria" w:eastAsia="Calibri" w:hAnsi="Cambria" w:cs="Times New Roman"/>
                <w:sz w:val="24"/>
                <w:szCs w:val="24"/>
                <w:vertAlign w:val="subscript"/>
                <w:lang w:val="ro-RO"/>
              </w:rPr>
              <w:t>2,5</w:t>
            </w:r>
          </w:p>
        </w:tc>
      </w:tr>
      <w:tr w:rsidR="00A237A4" w:rsidRPr="00EA1BB2" w14:paraId="2585F1A6" w14:textId="77777777" w:rsidTr="00EA1BB2">
        <w:trPr>
          <w:trHeight w:val="290"/>
          <w:jc w:val="center"/>
        </w:trPr>
        <w:tc>
          <w:tcPr>
            <w:tcW w:w="836" w:type="dxa"/>
            <w:shd w:val="clear" w:color="auto" w:fill="auto"/>
            <w:noWrap/>
          </w:tcPr>
          <w:p w14:paraId="1DF5F245" w14:textId="77777777" w:rsidR="00A237A4" w:rsidRPr="00EA1BB2" w:rsidRDefault="00A237A4" w:rsidP="00A812FA">
            <w:pPr>
              <w:autoSpaceDE w:val="0"/>
              <w:autoSpaceDN w:val="0"/>
              <w:adjustRightInd w:val="0"/>
              <w:spacing w:line="360" w:lineRule="auto"/>
              <w:jc w:val="both"/>
              <w:rPr>
                <w:rFonts w:ascii="Cambria" w:eastAsia="Calibri" w:hAnsi="Cambria" w:cs="Times New Roman"/>
                <w:sz w:val="24"/>
                <w:szCs w:val="24"/>
                <w:lang w:val="ro-RO"/>
              </w:rPr>
            </w:pPr>
            <w:r w:rsidRPr="00EA1BB2">
              <w:rPr>
                <w:rFonts w:ascii="Cambria" w:eastAsia="Calibri" w:hAnsi="Cambria" w:cs="Times New Roman"/>
                <w:sz w:val="24"/>
                <w:lang w:val="ro-RO"/>
              </w:rPr>
              <w:t>M.1.4</w:t>
            </w:r>
          </w:p>
        </w:tc>
        <w:tc>
          <w:tcPr>
            <w:tcW w:w="5052" w:type="dxa"/>
            <w:shd w:val="clear" w:color="auto" w:fill="auto"/>
            <w:noWrap/>
          </w:tcPr>
          <w:p w14:paraId="7F5C10F0" w14:textId="77777777" w:rsidR="00A237A4" w:rsidRPr="00EA1BB2" w:rsidRDefault="00A237A4" w:rsidP="00A812FA">
            <w:pPr>
              <w:autoSpaceDE w:val="0"/>
              <w:autoSpaceDN w:val="0"/>
              <w:adjustRightInd w:val="0"/>
              <w:spacing w:line="360" w:lineRule="auto"/>
              <w:jc w:val="both"/>
              <w:rPr>
                <w:rFonts w:ascii="Cambria" w:eastAsia="Calibri" w:hAnsi="Cambria" w:cs="Times New Roman"/>
                <w:sz w:val="24"/>
                <w:szCs w:val="24"/>
                <w:lang w:val="ro-RO"/>
              </w:rPr>
            </w:pPr>
            <w:r w:rsidRPr="00EA1BB2">
              <w:rPr>
                <w:rFonts w:ascii="Cambria" w:eastAsia="Calibri" w:hAnsi="Cambria" w:cs="Times New Roman"/>
                <w:sz w:val="24"/>
                <w:lang w:val="ro-RO"/>
              </w:rPr>
              <w:t>Extinderea/ modernizarea arterelor de circulație</w:t>
            </w:r>
          </w:p>
        </w:tc>
        <w:tc>
          <w:tcPr>
            <w:tcW w:w="3618" w:type="dxa"/>
            <w:shd w:val="clear" w:color="auto" w:fill="auto"/>
            <w:vAlign w:val="center"/>
          </w:tcPr>
          <w:p w14:paraId="0A02B928" w14:textId="3A4556D5" w:rsidR="00A237A4" w:rsidRPr="00EA1BB2" w:rsidRDefault="009E4EE2" w:rsidP="009E4EE2">
            <w:pPr>
              <w:autoSpaceDE w:val="0"/>
              <w:autoSpaceDN w:val="0"/>
              <w:adjustRightInd w:val="0"/>
              <w:spacing w:line="360" w:lineRule="auto"/>
              <w:jc w:val="center"/>
              <w:rPr>
                <w:rFonts w:ascii="Cambria" w:eastAsia="Calibri" w:hAnsi="Cambria" w:cs="Times New Roman"/>
                <w:sz w:val="24"/>
                <w:szCs w:val="24"/>
                <w:lang w:val="ro-RO"/>
              </w:rPr>
            </w:pPr>
            <w:r w:rsidRPr="00EA1BB2">
              <w:rPr>
                <w:rFonts w:ascii="Cambria" w:eastAsia="Calibri" w:hAnsi="Cambria" w:cs="Times New Roman"/>
                <w:sz w:val="24"/>
                <w:szCs w:val="24"/>
                <w:lang w:val="ro-RO"/>
              </w:rPr>
              <w:t>Cd, C</w:t>
            </w:r>
            <w:r w:rsidRPr="00EA1BB2">
              <w:rPr>
                <w:rFonts w:ascii="Cambria" w:eastAsia="Calibri" w:hAnsi="Cambria" w:cs="Times New Roman"/>
                <w:sz w:val="24"/>
                <w:szCs w:val="24"/>
                <w:vertAlign w:val="subscript"/>
                <w:lang w:val="ro-RO"/>
              </w:rPr>
              <w:t>6</w:t>
            </w:r>
            <w:r w:rsidRPr="00EA1BB2">
              <w:rPr>
                <w:rFonts w:ascii="Cambria" w:eastAsia="Calibri" w:hAnsi="Cambria" w:cs="Times New Roman"/>
                <w:sz w:val="24"/>
                <w:szCs w:val="24"/>
                <w:lang w:val="ro-RO"/>
              </w:rPr>
              <w:t>H</w:t>
            </w:r>
            <w:r w:rsidRPr="00EA1BB2">
              <w:rPr>
                <w:rFonts w:ascii="Cambria" w:eastAsia="Calibri" w:hAnsi="Cambria" w:cs="Times New Roman"/>
                <w:sz w:val="24"/>
                <w:szCs w:val="24"/>
                <w:vertAlign w:val="subscript"/>
                <w:lang w:val="ro-RO"/>
              </w:rPr>
              <w:t>6</w:t>
            </w:r>
            <w:r w:rsidRPr="00EA1BB2">
              <w:rPr>
                <w:rFonts w:ascii="Cambria" w:eastAsia="Calibri" w:hAnsi="Cambria" w:cs="Times New Roman"/>
                <w:sz w:val="24"/>
                <w:szCs w:val="24"/>
                <w:lang w:val="ro-RO"/>
              </w:rPr>
              <w:t>, CO, Ni, Pb, PM</w:t>
            </w:r>
            <w:r w:rsidRPr="00EA1BB2">
              <w:rPr>
                <w:rFonts w:ascii="Cambria" w:eastAsia="Calibri" w:hAnsi="Cambria" w:cs="Times New Roman"/>
                <w:sz w:val="24"/>
                <w:szCs w:val="24"/>
                <w:vertAlign w:val="subscript"/>
                <w:lang w:val="ro-RO"/>
              </w:rPr>
              <w:t>10</w:t>
            </w:r>
            <w:r w:rsidRPr="00EA1BB2">
              <w:rPr>
                <w:rFonts w:ascii="Cambria" w:eastAsia="Calibri" w:hAnsi="Cambria" w:cs="Times New Roman"/>
                <w:sz w:val="24"/>
                <w:szCs w:val="24"/>
                <w:lang w:val="ro-RO"/>
              </w:rPr>
              <w:t>, PM</w:t>
            </w:r>
            <w:r w:rsidRPr="00EA1BB2">
              <w:rPr>
                <w:rFonts w:ascii="Cambria" w:eastAsia="Calibri" w:hAnsi="Cambria" w:cs="Times New Roman"/>
                <w:sz w:val="24"/>
                <w:szCs w:val="24"/>
                <w:vertAlign w:val="subscript"/>
                <w:lang w:val="ro-RO"/>
              </w:rPr>
              <w:t>2,5</w:t>
            </w:r>
          </w:p>
        </w:tc>
      </w:tr>
      <w:tr w:rsidR="00A237A4" w:rsidRPr="00EA1BB2" w14:paraId="610F2BBA" w14:textId="77777777" w:rsidTr="00EA1BB2">
        <w:trPr>
          <w:trHeight w:val="290"/>
          <w:jc w:val="center"/>
        </w:trPr>
        <w:tc>
          <w:tcPr>
            <w:tcW w:w="836" w:type="dxa"/>
            <w:shd w:val="clear" w:color="auto" w:fill="auto"/>
            <w:noWrap/>
          </w:tcPr>
          <w:p w14:paraId="1E943709" w14:textId="77777777" w:rsidR="00A237A4" w:rsidRPr="00EA1BB2" w:rsidRDefault="00A237A4" w:rsidP="00A812FA">
            <w:pPr>
              <w:autoSpaceDE w:val="0"/>
              <w:autoSpaceDN w:val="0"/>
              <w:adjustRightInd w:val="0"/>
              <w:spacing w:line="360" w:lineRule="auto"/>
              <w:jc w:val="both"/>
              <w:rPr>
                <w:rFonts w:ascii="Cambria" w:eastAsia="Calibri" w:hAnsi="Cambria" w:cs="Times New Roman"/>
                <w:sz w:val="24"/>
                <w:szCs w:val="24"/>
                <w:lang w:val="ro-RO"/>
              </w:rPr>
            </w:pPr>
            <w:r w:rsidRPr="00EA1BB2">
              <w:rPr>
                <w:rFonts w:ascii="Cambria" w:eastAsia="Calibri" w:hAnsi="Cambria" w:cs="Times New Roman"/>
                <w:sz w:val="24"/>
                <w:lang w:val="ro-RO"/>
              </w:rPr>
              <w:t>M.1.5</w:t>
            </w:r>
          </w:p>
        </w:tc>
        <w:tc>
          <w:tcPr>
            <w:tcW w:w="5052" w:type="dxa"/>
            <w:shd w:val="clear" w:color="auto" w:fill="auto"/>
            <w:noWrap/>
          </w:tcPr>
          <w:p w14:paraId="371023EB" w14:textId="77777777" w:rsidR="00A237A4" w:rsidRPr="00EA1BB2" w:rsidRDefault="00A237A4" w:rsidP="00A812FA">
            <w:pPr>
              <w:autoSpaceDE w:val="0"/>
              <w:autoSpaceDN w:val="0"/>
              <w:adjustRightInd w:val="0"/>
              <w:spacing w:line="360" w:lineRule="auto"/>
              <w:jc w:val="both"/>
              <w:rPr>
                <w:rFonts w:ascii="Cambria" w:eastAsia="Calibri" w:hAnsi="Cambria" w:cs="Times New Roman"/>
                <w:sz w:val="24"/>
                <w:szCs w:val="24"/>
                <w:lang w:val="ro-RO"/>
              </w:rPr>
            </w:pPr>
            <w:r w:rsidRPr="00EA1BB2">
              <w:rPr>
                <w:rFonts w:ascii="Cambria" w:eastAsia="Calibri" w:hAnsi="Cambria" w:cs="Times New Roman"/>
                <w:sz w:val="24"/>
                <w:lang w:val="ro-RO"/>
              </w:rPr>
              <w:t>Modernizare transport electric în Municipiul Brăila</w:t>
            </w:r>
          </w:p>
        </w:tc>
        <w:tc>
          <w:tcPr>
            <w:tcW w:w="3618" w:type="dxa"/>
            <w:shd w:val="clear" w:color="auto" w:fill="auto"/>
            <w:vAlign w:val="center"/>
          </w:tcPr>
          <w:p w14:paraId="013ECB70" w14:textId="6DC0E097" w:rsidR="00A237A4" w:rsidRPr="00EA1BB2" w:rsidRDefault="009E4EE2" w:rsidP="009E4EE2">
            <w:pPr>
              <w:autoSpaceDE w:val="0"/>
              <w:autoSpaceDN w:val="0"/>
              <w:adjustRightInd w:val="0"/>
              <w:spacing w:line="360" w:lineRule="auto"/>
              <w:jc w:val="center"/>
              <w:rPr>
                <w:rFonts w:ascii="Cambria" w:eastAsia="Calibri" w:hAnsi="Cambria" w:cs="Times New Roman"/>
                <w:sz w:val="24"/>
                <w:szCs w:val="24"/>
                <w:lang w:val="ro-RO"/>
              </w:rPr>
            </w:pPr>
            <w:r w:rsidRPr="00EA1BB2">
              <w:rPr>
                <w:rFonts w:ascii="Cambria" w:eastAsia="Calibri" w:hAnsi="Cambria" w:cs="Times New Roman"/>
                <w:sz w:val="24"/>
                <w:szCs w:val="24"/>
                <w:lang w:val="ro-RO"/>
              </w:rPr>
              <w:t>Cd, C</w:t>
            </w:r>
            <w:r w:rsidRPr="00EA1BB2">
              <w:rPr>
                <w:rFonts w:ascii="Cambria" w:eastAsia="Calibri" w:hAnsi="Cambria" w:cs="Times New Roman"/>
                <w:sz w:val="24"/>
                <w:szCs w:val="24"/>
                <w:vertAlign w:val="subscript"/>
                <w:lang w:val="ro-RO"/>
              </w:rPr>
              <w:t>6</w:t>
            </w:r>
            <w:r w:rsidRPr="00EA1BB2">
              <w:rPr>
                <w:rFonts w:ascii="Cambria" w:eastAsia="Calibri" w:hAnsi="Cambria" w:cs="Times New Roman"/>
                <w:sz w:val="24"/>
                <w:szCs w:val="24"/>
                <w:lang w:val="ro-RO"/>
              </w:rPr>
              <w:t>H</w:t>
            </w:r>
            <w:r w:rsidRPr="00EA1BB2">
              <w:rPr>
                <w:rFonts w:ascii="Cambria" w:eastAsia="Calibri" w:hAnsi="Cambria" w:cs="Times New Roman"/>
                <w:sz w:val="24"/>
                <w:szCs w:val="24"/>
                <w:vertAlign w:val="subscript"/>
                <w:lang w:val="ro-RO"/>
              </w:rPr>
              <w:t>6</w:t>
            </w:r>
            <w:r w:rsidRPr="00EA1BB2">
              <w:rPr>
                <w:rFonts w:ascii="Cambria" w:eastAsia="Calibri" w:hAnsi="Cambria" w:cs="Times New Roman"/>
                <w:sz w:val="24"/>
                <w:szCs w:val="24"/>
                <w:lang w:val="ro-RO"/>
              </w:rPr>
              <w:t>, CO, Ni, Pb, PM</w:t>
            </w:r>
            <w:r w:rsidRPr="00EA1BB2">
              <w:rPr>
                <w:rFonts w:ascii="Cambria" w:eastAsia="Calibri" w:hAnsi="Cambria" w:cs="Times New Roman"/>
                <w:sz w:val="24"/>
                <w:szCs w:val="24"/>
                <w:vertAlign w:val="subscript"/>
                <w:lang w:val="ro-RO"/>
              </w:rPr>
              <w:t>10</w:t>
            </w:r>
            <w:r w:rsidRPr="00EA1BB2">
              <w:rPr>
                <w:rFonts w:ascii="Cambria" w:eastAsia="Calibri" w:hAnsi="Cambria" w:cs="Times New Roman"/>
                <w:sz w:val="24"/>
                <w:szCs w:val="24"/>
                <w:lang w:val="ro-RO"/>
              </w:rPr>
              <w:t>, PM</w:t>
            </w:r>
            <w:r w:rsidRPr="00EA1BB2">
              <w:rPr>
                <w:rFonts w:ascii="Cambria" w:eastAsia="Calibri" w:hAnsi="Cambria" w:cs="Times New Roman"/>
                <w:sz w:val="24"/>
                <w:szCs w:val="24"/>
                <w:vertAlign w:val="subscript"/>
                <w:lang w:val="ro-RO"/>
              </w:rPr>
              <w:t>2,5</w:t>
            </w:r>
          </w:p>
        </w:tc>
      </w:tr>
      <w:tr w:rsidR="00A237A4" w:rsidRPr="00EA1BB2" w14:paraId="7B797D3F" w14:textId="77777777" w:rsidTr="00EA1BB2">
        <w:trPr>
          <w:trHeight w:val="290"/>
          <w:jc w:val="center"/>
        </w:trPr>
        <w:tc>
          <w:tcPr>
            <w:tcW w:w="836" w:type="dxa"/>
            <w:shd w:val="clear" w:color="auto" w:fill="auto"/>
            <w:noWrap/>
          </w:tcPr>
          <w:p w14:paraId="1E0D6693" w14:textId="77777777" w:rsidR="00A237A4" w:rsidRPr="00EA1BB2" w:rsidRDefault="00A237A4" w:rsidP="00A812FA">
            <w:pPr>
              <w:autoSpaceDE w:val="0"/>
              <w:autoSpaceDN w:val="0"/>
              <w:adjustRightInd w:val="0"/>
              <w:spacing w:line="360" w:lineRule="auto"/>
              <w:jc w:val="both"/>
              <w:rPr>
                <w:rFonts w:ascii="Cambria" w:eastAsia="Calibri" w:hAnsi="Cambria" w:cs="Times New Roman"/>
                <w:sz w:val="24"/>
                <w:szCs w:val="24"/>
                <w:lang w:val="ro-RO"/>
              </w:rPr>
            </w:pPr>
            <w:r w:rsidRPr="00EA1BB2">
              <w:rPr>
                <w:rFonts w:ascii="Cambria" w:eastAsia="Calibri" w:hAnsi="Cambria" w:cs="Times New Roman"/>
                <w:sz w:val="24"/>
                <w:lang w:val="ro-RO"/>
              </w:rPr>
              <w:t>M.1.6</w:t>
            </w:r>
          </w:p>
        </w:tc>
        <w:tc>
          <w:tcPr>
            <w:tcW w:w="5052" w:type="dxa"/>
            <w:shd w:val="clear" w:color="auto" w:fill="auto"/>
            <w:noWrap/>
          </w:tcPr>
          <w:p w14:paraId="0324D8D8" w14:textId="77777777" w:rsidR="00A237A4" w:rsidRPr="00EA1BB2" w:rsidRDefault="00A237A4" w:rsidP="00A812FA">
            <w:pPr>
              <w:autoSpaceDE w:val="0"/>
              <w:autoSpaceDN w:val="0"/>
              <w:adjustRightInd w:val="0"/>
              <w:spacing w:line="360" w:lineRule="auto"/>
              <w:jc w:val="both"/>
              <w:rPr>
                <w:rFonts w:ascii="Cambria" w:eastAsia="Calibri" w:hAnsi="Cambria" w:cs="Times New Roman"/>
                <w:sz w:val="24"/>
                <w:szCs w:val="24"/>
                <w:lang w:val="ro-RO"/>
              </w:rPr>
            </w:pPr>
            <w:r w:rsidRPr="00EA1BB2">
              <w:rPr>
                <w:rFonts w:ascii="Cambria" w:eastAsia="Calibri" w:hAnsi="Cambria" w:cs="Times New Roman"/>
                <w:sz w:val="24"/>
                <w:lang w:val="ro-RO"/>
              </w:rPr>
              <w:t>Modernizare străzi în municipiul Brăila</w:t>
            </w:r>
          </w:p>
        </w:tc>
        <w:tc>
          <w:tcPr>
            <w:tcW w:w="3618" w:type="dxa"/>
            <w:shd w:val="clear" w:color="auto" w:fill="auto"/>
            <w:vAlign w:val="center"/>
          </w:tcPr>
          <w:p w14:paraId="379F75DD" w14:textId="62E8BDEA" w:rsidR="00A237A4" w:rsidRPr="00EA1BB2" w:rsidRDefault="009E4EE2" w:rsidP="009E4EE2">
            <w:pPr>
              <w:autoSpaceDE w:val="0"/>
              <w:autoSpaceDN w:val="0"/>
              <w:adjustRightInd w:val="0"/>
              <w:spacing w:line="360" w:lineRule="auto"/>
              <w:jc w:val="center"/>
              <w:rPr>
                <w:rFonts w:ascii="Cambria" w:eastAsia="Calibri" w:hAnsi="Cambria" w:cs="Times New Roman"/>
                <w:sz w:val="24"/>
                <w:szCs w:val="24"/>
                <w:lang w:val="ro-RO"/>
              </w:rPr>
            </w:pPr>
            <w:r w:rsidRPr="00EA1BB2">
              <w:rPr>
                <w:rFonts w:ascii="Cambria" w:eastAsia="Calibri" w:hAnsi="Cambria" w:cs="Times New Roman"/>
                <w:sz w:val="24"/>
                <w:szCs w:val="24"/>
                <w:lang w:val="ro-RO"/>
              </w:rPr>
              <w:t>Cd, C</w:t>
            </w:r>
            <w:r w:rsidRPr="00EA1BB2">
              <w:rPr>
                <w:rFonts w:ascii="Cambria" w:eastAsia="Calibri" w:hAnsi="Cambria" w:cs="Times New Roman"/>
                <w:sz w:val="24"/>
                <w:szCs w:val="24"/>
                <w:vertAlign w:val="subscript"/>
                <w:lang w:val="ro-RO"/>
              </w:rPr>
              <w:t>6</w:t>
            </w:r>
            <w:r w:rsidRPr="00EA1BB2">
              <w:rPr>
                <w:rFonts w:ascii="Cambria" w:eastAsia="Calibri" w:hAnsi="Cambria" w:cs="Times New Roman"/>
                <w:sz w:val="24"/>
                <w:szCs w:val="24"/>
                <w:lang w:val="ro-RO"/>
              </w:rPr>
              <w:t>H</w:t>
            </w:r>
            <w:r w:rsidRPr="00EA1BB2">
              <w:rPr>
                <w:rFonts w:ascii="Cambria" w:eastAsia="Calibri" w:hAnsi="Cambria" w:cs="Times New Roman"/>
                <w:sz w:val="24"/>
                <w:szCs w:val="24"/>
                <w:vertAlign w:val="subscript"/>
                <w:lang w:val="ro-RO"/>
              </w:rPr>
              <w:t>6</w:t>
            </w:r>
            <w:r w:rsidRPr="00EA1BB2">
              <w:rPr>
                <w:rFonts w:ascii="Cambria" w:eastAsia="Calibri" w:hAnsi="Cambria" w:cs="Times New Roman"/>
                <w:sz w:val="24"/>
                <w:szCs w:val="24"/>
                <w:lang w:val="ro-RO"/>
              </w:rPr>
              <w:t>, CO, Ni, Pb, PM</w:t>
            </w:r>
            <w:r w:rsidRPr="00EA1BB2">
              <w:rPr>
                <w:rFonts w:ascii="Cambria" w:eastAsia="Calibri" w:hAnsi="Cambria" w:cs="Times New Roman"/>
                <w:sz w:val="24"/>
                <w:szCs w:val="24"/>
                <w:vertAlign w:val="subscript"/>
                <w:lang w:val="ro-RO"/>
              </w:rPr>
              <w:t>10</w:t>
            </w:r>
            <w:r w:rsidRPr="00EA1BB2">
              <w:rPr>
                <w:rFonts w:ascii="Cambria" w:eastAsia="Calibri" w:hAnsi="Cambria" w:cs="Times New Roman"/>
                <w:sz w:val="24"/>
                <w:szCs w:val="24"/>
                <w:lang w:val="ro-RO"/>
              </w:rPr>
              <w:t>, PM</w:t>
            </w:r>
            <w:r w:rsidRPr="00EA1BB2">
              <w:rPr>
                <w:rFonts w:ascii="Cambria" w:eastAsia="Calibri" w:hAnsi="Cambria" w:cs="Times New Roman"/>
                <w:sz w:val="24"/>
                <w:szCs w:val="24"/>
                <w:vertAlign w:val="subscript"/>
                <w:lang w:val="ro-RO"/>
              </w:rPr>
              <w:t>2,5</w:t>
            </w:r>
          </w:p>
        </w:tc>
      </w:tr>
      <w:tr w:rsidR="00A237A4" w:rsidRPr="00EA1BB2" w14:paraId="6351653C" w14:textId="77777777" w:rsidTr="00EA1BB2">
        <w:trPr>
          <w:trHeight w:val="290"/>
          <w:jc w:val="center"/>
        </w:trPr>
        <w:tc>
          <w:tcPr>
            <w:tcW w:w="836" w:type="dxa"/>
            <w:shd w:val="clear" w:color="auto" w:fill="auto"/>
            <w:noWrap/>
          </w:tcPr>
          <w:p w14:paraId="7EC6C22F" w14:textId="77777777" w:rsidR="00A237A4" w:rsidRPr="00EA1BB2" w:rsidRDefault="00A237A4" w:rsidP="00A812FA">
            <w:pPr>
              <w:autoSpaceDE w:val="0"/>
              <w:autoSpaceDN w:val="0"/>
              <w:adjustRightInd w:val="0"/>
              <w:spacing w:line="360" w:lineRule="auto"/>
              <w:jc w:val="both"/>
              <w:rPr>
                <w:rFonts w:ascii="Cambria" w:eastAsia="Calibri" w:hAnsi="Cambria" w:cs="Times New Roman"/>
                <w:sz w:val="24"/>
                <w:szCs w:val="24"/>
                <w:lang w:val="ro-RO"/>
              </w:rPr>
            </w:pPr>
            <w:r w:rsidRPr="00EA1BB2">
              <w:rPr>
                <w:rFonts w:ascii="Cambria" w:eastAsia="Calibri" w:hAnsi="Cambria" w:cs="Times New Roman"/>
                <w:sz w:val="24"/>
                <w:lang w:val="ro-RO"/>
              </w:rPr>
              <w:t>M.2.1</w:t>
            </w:r>
          </w:p>
        </w:tc>
        <w:tc>
          <w:tcPr>
            <w:tcW w:w="5052" w:type="dxa"/>
            <w:shd w:val="clear" w:color="auto" w:fill="auto"/>
            <w:noWrap/>
          </w:tcPr>
          <w:p w14:paraId="2A147F49" w14:textId="77777777" w:rsidR="00A237A4" w:rsidRPr="00EA1BB2" w:rsidRDefault="00A237A4" w:rsidP="00A812FA">
            <w:pPr>
              <w:autoSpaceDE w:val="0"/>
              <w:autoSpaceDN w:val="0"/>
              <w:adjustRightInd w:val="0"/>
              <w:spacing w:line="360" w:lineRule="auto"/>
              <w:jc w:val="both"/>
              <w:rPr>
                <w:rFonts w:ascii="Cambria" w:eastAsia="Calibri" w:hAnsi="Cambria" w:cs="Times New Roman"/>
                <w:sz w:val="24"/>
                <w:szCs w:val="24"/>
                <w:lang w:val="ro-RO"/>
              </w:rPr>
            </w:pPr>
            <w:r w:rsidRPr="00EA1BB2">
              <w:rPr>
                <w:rFonts w:ascii="Cambria" w:eastAsia="Calibri" w:hAnsi="Cambria" w:cs="Times New Roman"/>
                <w:sz w:val="24"/>
                <w:lang w:val="ro-RO"/>
              </w:rPr>
              <w:t>Întreținerea și extinderea spațiului verde</w:t>
            </w:r>
          </w:p>
        </w:tc>
        <w:tc>
          <w:tcPr>
            <w:tcW w:w="3618" w:type="dxa"/>
            <w:shd w:val="clear" w:color="auto" w:fill="auto"/>
            <w:vAlign w:val="center"/>
          </w:tcPr>
          <w:p w14:paraId="6F63D0E2" w14:textId="33289C09" w:rsidR="00A237A4" w:rsidRPr="00EA1BB2" w:rsidRDefault="009E4EE2" w:rsidP="00A812FA">
            <w:pPr>
              <w:autoSpaceDE w:val="0"/>
              <w:autoSpaceDN w:val="0"/>
              <w:adjustRightInd w:val="0"/>
              <w:spacing w:line="360" w:lineRule="auto"/>
              <w:jc w:val="center"/>
              <w:rPr>
                <w:rFonts w:ascii="Cambria" w:eastAsia="Calibri" w:hAnsi="Cambria" w:cs="Times New Roman"/>
                <w:sz w:val="24"/>
                <w:szCs w:val="24"/>
                <w:lang w:val="ro-RO"/>
              </w:rPr>
            </w:pPr>
            <w:r w:rsidRPr="00EA1BB2">
              <w:rPr>
                <w:rFonts w:ascii="Cambria" w:eastAsia="Calibri" w:hAnsi="Cambria" w:cs="Times New Roman"/>
                <w:sz w:val="24"/>
                <w:szCs w:val="24"/>
                <w:lang w:val="ro-RO"/>
              </w:rPr>
              <w:t>PM</w:t>
            </w:r>
            <w:r w:rsidRPr="00EA1BB2">
              <w:rPr>
                <w:rFonts w:ascii="Cambria" w:eastAsia="Calibri" w:hAnsi="Cambria" w:cs="Times New Roman"/>
                <w:sz w:val="24"/>
                <w:szCs w:val="24"/>
                <w:vertAlign w:val="subscript"/>
                <w:lang w:val="ro-RO"/>
              </w:rPr>
              <w:t>10</w:t>
            </w:r>
            <w:r w:rsidRPr="00EA1BB2">
              <w:rPr>
                <w:rFonts w:ascii="Cambria" w:eastAsia="Calibri" w:hAnsi="Cambria" w:cs="Times New Roman"/>
                <w:sz w:val="24"/>
                <w:szCs w:val="24"/>
                <w:lang w:val="ro-RO"/>
              </w:rPr>
              <w:t>, PM</w:t>
            </w:r>
            <w:r w:rsidRPr="00EA1BB2">
              <w:rPr>
                <w:rFonts w:ascii="Cambria" w:eastAsia="Calibri" w:hAnsi="Cambria" w:cs="Times New Roman"/>
                <w:sz w:val="24"/>
                <w:szCs w:val="24"/>
                <w:vertAlign w:val="subscript"/>
                <w:lang w:val="ro-RO"/>
              </w:rPr>
              <w:t>2,5</w:t>
            </w:r>
          </w:p>
        </w:tc>
      </w:tr>
      <w:tr w:rsidR="00A237A4" w:rsidRPr="00EA1BB2" w14:paraId="1E839323" w14:textId="77777777" w:rsidTr="00EA1BB2">
        <w:trPr>
          <w:trHeight w:val="290"/>
          <w:jc w:val="center"/>
        </w:trPr>
        <w:tc>
          <w:tcPr>
            <w:tcW w:w="836" w:type="dxa"/>
            <w:shd w:val="clear" w:color="auto" w:fill="auto"/>
            <w:noWrap/>
          </w:tcPr>
          <w:p w14:paraId="44A5A7CE" w14:textId="77777777" w:rsidR="00A237A4" w:rsidRPr="00EA1BB2" w:rsidRDefault="00A237A4" w:rsidP="00A812FA">
            <w:pPr>
              <w:autoSpaceDE w:val="0"/>
              <w:autoSpaceDN w:val="0"/>
              <w:adjustRightInd w:val="0"/>
              <w:spacing w:line="360" w:lineRule="auto"/>
              <w:jc w:val="both"/>
              <w:rPr>
                <w:rFonts w:ascii="Cambria" w:eastAsia="Calibri" w:hAnsi="Cambria" w:cs="Times New Roman"/>
                <w:sz w:val="24"/>
                <w:szCs w:val="24"/>
                <w:lang w:val="ro-RO"/>
              </w:rPr>
            </w:pPr>
            <w:r w:rsidRPr="00EA1BB2">
              <w:rPr>
                <w:rFonts w:ascii="Cambria" w:eastAsia="Calibri" w:hAnsi="Cambria" w:cs="Times New Roman"/>
                <w:sz w:val="24"/>
                <w:lang w:val="ro-RO"/>
              </w:rPr>
              <w:t>M.2.2</w:t>
            </w:r>
          </w:p>
        </w:tc>
        <w:tc>
          <w:tcPr>
            <w:tcW w:w="5052" w:type="dxa"/>
            <w:shd w:val="clear" w:color="auto" w:fill="auto"/>
            <w:noWrap/>
          </w:tcPr>
          <w:p w14:paraId="22237117" w14:textId="77777777" w:rsidR="00A237A4" w:rsidRPr="00EA1BB2" w:rsidRDefault="00A237A4" w:rsidP="00A812FA">
            <w:pPr>
              <w:autoSpaceDE w:val="0"/>
              <w:autoSpaceDN w:val="0"/>
              <w:adjustRightInd w:val="0"/>
              <w:spacing w:line="360" w:lineRule="auto"/>
              <w:jc w:val="both"/>
              <w:rPr>
                <w:rFonts w:ascii="Cambria" w:eastAsia="Calibri" w:hAnsi="Cambria" w:cs="Times New Roman"/>
                <w:sz w:val="24"/>
                <w:szCs w:val="24"/>
                <w:lang w:val="ro-RO"/>
              </w:rPr>
            </w:pPr>
            <w:r w:rsidRPr="00EA1BB2">
              <w:rPr>
                <w:rFonts w:ascii="Cambria" w:eastAsia="Calibri" w:hAnsi="Cambria" w:cs="Times New Roman"/>
                <w:sz w:val="24"/>
                <w:lang w:val="ro-RO"/>
              </w:rPr>
              <w:t>Crearea de perdele verzi care să minimizeze impactul negativ al transportului</w:t>
            </w:r>
          </w:p>
        </w:tc>
        <w:tc>
          <w:tcPr>
            <w:tcW w:w="3618" w:type="dxa"/>
            <w:shd w:val="clear" w:color="auto" w:fill="auto"/>
            <w:vAlign w:val="center"/>
          </w:tcPr>
          <w:p w14:paraId="44B63E5F" w14:textId="4A6425A3" w:rsidR="00A237A4" w:rsidRPr="00EA1BB2" w:rsidRDefault="009E4EE2" w:rsidP="00A812FA">
            <w:pPr>
              <w:autoSpaceDE w:val="0"/>
              <w:autoSpaceDN w:val="0"/>
              <w:adjustRightInd w:val="0"/>
              <w:spacing w:line="360" w:lineRule="auto"/>
              <w:jc w:val="center"/>
              <w:rPr>
                <w:rFonts w:ascii="Cambria" w:eastAsia="Calibri" w:hAnsi="Cambria" w:cs="Times New Roman"/>
                <w:sz w:val="24"/>
                <w:szCs w:val="24"/>
                <w:lang w:val="ro-RO"/>
              </w:rPr>
            </w:pPr>
            <w:r w:rsidRPr="00EA1BB2">
              <w:rPr>
                <w:rFonts w:ascii="Cambria" w:eastAsia="Calibri" w:hAnsi="Cambria" w:cs="Times New Roman"/>
                <w:sz w:val="24"/>
                <w:szCs w:val="24"/>
                <w:lang w:val="ro-RO"/>
              </w:rPr>
              <w:t>PM</w:t>
            </w:r>
            <w:r w:rsidRPr="00EA1BB2">
              <w:rPr>
                <w:rFonts w:ascii="Cambria" w:eastAsia="Calibri" w:hAnsi="Cambria" w:cs="Times New Roman"/>
                <w:sz w:val="24"/>
                <w:szCs w:val="24"/>
                <w:vertAlign w:val="subscript"/>
                <w:lang w:val="ro-RO"/>
              </w:rPr>
              <w:t>10</w:t>
            </w:r>
            <w:r w:rsidRPr="00EA1BB2">
              <w:rPr>
                <w:rFonts w:ascii="Cambria" w:eastAsia="Calibri" w:hAnsi="Cambria" w:cs="Times New Roman"/>
                <w:sz w:val="24"/>
                <w:szCs w:val="24"/>
                <w:lang w:val="ro-RO"/>
              </w:rPr>
              <w:t>, PM</w:t>
            </w:r>
            <w:r w:rsidRPr="00EA1BB2">
              <w:rPr>
                <w:rFonts w:ascii="Cambria" w:eastAsia="Calibri" w:hAnsi="Cambria" w:cs="Times New Roman"/>
                <w:sz w:val="24"/>
                <w:szCs w:val="24"/>
                <w:vertAlign w:val="subscript"/>
                <w:lang w:val="ro-RO"/>
              </w:rPr>
              <w:t>2,5</w:t>
            </w:r>
          </w:p>
        </w:tc>
      </w:tr>
      <w:tr w:rsidR="00A237A4" w:rsidRPr="00EA1BB2" w14:paraId="76A7AFC9" w14:textId="77777777" w:rsidTr="00EA1BB2">
        <w:trPr>
          <w:trHeight w:val="290"/>
          <w:jc w:val="center"/>
        </w:trPr>
        <w:tc>
          <w:tcPr>
            <w:tcW w:w="836" w:type="dxa"/>
            <w:shd w:val="clear" w:color="auto" w:fill="auto"/>
            <w:noWrap/>
          </w:tcPr>
          <w:p w14:paraId="38B06A46" w14:textId="77777777" w:rsidR="00A237A4" w:rsidRPr="00EA1BB2" w:rsidRDefault="00A237A4" w:rsidP="00A812FA">
            <w:pPr>
              <w:autoSpaceDE w:val="0"/>
              <w:autoSpaceDN w:val="0"/>
              <w:adjustRightInd w:val="0"/>
              <w:spacing w:line="360" w:lineRule="auto"/>
              <w:jc w:val="both"/>
              <w:rPr>
                <w:rFonts w:ascii="Cambria" w:eastAsia="Calibri" w:hAnsi="Cambria" w:cs="Times New Roman"/>
                <w:sz w:val="24"/>
                <w:szCs w:val="24"/>
                <w:lang w:val="ro-RO"/>
              </w:rPr>
            </w:pPr>
            <w:r w:rsidRPr="00EA1BB2">
              <w:rPr>
                <w:rFonts w:ascii="Cambria" w:eastAsia="Calibri" w:hAnsi="Cambria" w:cs="Times New Roman"/>
                <w:sz w:val="24"/>
                <w:lang w:val="ro-RO"/>
              </w:rPr>
              <w:t>M.3.1</w:t>
            </w:r>
          </w:p>
        </w:tc>
        <w:tc>
          <w:tcPr>
            <w:tcW w:w="5052" w:type="dxa"/>
            <w:shd w:val="clear" w:color="auto" w:fill="auto"/>
            <w:noWrap/>
          </w:tcPr>
          <w:p w14:paraId="62E9E0FC" w14:textId="77777777" w:rsidR="00A237A4" w:rsidRPr="00EA1BB2" w:rsidRDefault="00A237A4" w:rsidP="00A812FA">
            <w:pPr>
              <w:autoSpaceDE w:val="0"/>
              <w:autoSpaceDN w:val="0"/>
              <w:adjustRightInd w:val="0"/>
              <w:spacing w:line="360" w:lineRule="auto"/>
              <w:jc w:val="both"/>
              <w:rPr>
                <w:rFonts w:ascii="Cambria" w:eastAsia="Calibri" w:hAnsi="Cambria" w:cs="Times New Roman"/>
                <w:sz w:val="24"/>
                <w:szCs w:val="24"/>
                <w:lang w:val="ro-RO"/>
              </w:rPr>
            </w:pPr>
            <w:r w:rsidRPr="00EA1BB2">
              <w:rPr>
                <w:rFonts w:ascii="Cambria" w:eastAsia="Calibri" w:hAnsi="Cambria" w:cs="Times New Roman"/>
                <w:sz w:val="24"/>
                <w:lang w:val="ro-RO"/>
              </w:rPr>
              <w:t>Continuarea programului de reabilitare termică a clădirilor instituționale</w:t>
            </w:r>
          </w:p>
        </w:tc>
        <w:tc>
          <w:tcPr>
            <w:tcW w:w="3618" w:type="dxa"/>
            <w:shd w:val="clear" w:color="auto" w:fill="auto"/>
            <w:vAlign w:val="center"/>
          </w:tcPr>
          <w:p w14:paraId="4169106B" w14:textId="695681C7" w:rsidR="00A237A4" w:rsidRPr="00EA1BB2" w:rsidRDefault="009E4EE2" w:rsidP="00A812FA">
            <w:pPr>
              <w:autoSpaceDE w:val="0"/>
              <w:autoSpaceDN w:val="0"/>
              <w:adjustRightInd w:val="0"/>
              <w:spacing w:line="360" w:lineRule="auto"/>
              <w:jc w:val="center"/>
              <w:rPr>
                <w:rFonts w:ascii="Cambria" w:eastAsia="Calibri" w:hAnsi="Cambria" w:cs="Times New Roman"/>
                <w:sz w:val="24"/>
                <w:szCs w:val="24"/>
                <w:lang w:val="ro-RO"/>
              </w:rPr>
            </w:pPr>
            <w:r w:rsidRPr="00EA1BB2">
              <w:rPr>
                <w:rFonts w:ascii="Cambria" w:eastAsia="Calibri" w:hAnsi="Cambria" w:cs="Times New Roman"/>
                <w:sz w:val="24"/>
                <w:szCs w:val="24"/>
                <w:lang w:val="ro-RO"/>
              </w:rPr>
              <w:t>As, Cd, C</w:t>
            </w:r>
            <w:r w:rsidRPr="00EA1BB2">
              <w:rPr>
                <w:rFonts w:ascii="Cambria" w:eastAsia="Calibri" w:hAnsi="Cambria" w:cs="Times New Roman"/>
                <w:sz w:val="24"/>
                <w:szCs w:val="24"/>
                <w:vertAlign w:val="subscript"/>
                <w:lang w:val="ro-RO"/>
              </w:rPr>
              <w:t>6</w:t>
            </w:r>
            <w:r w:rsidRPr="00EA1BB2">
              <w:rPr>
                <w:rFonts w:ascii="Cambria" w:eastAsia="Calibri" w:hAnsi="Cambria" w:cs="Times New Roman"/>
                <w:sz w:val="24"/>
                <w:szCs w:val="24"/>
                <w:lang w:val="ro-RO"/>
              </w:rPr>
              <w:t>H</w:t>
            </w:r>
            <w:r w:rsidRPr="00EA1BB2">
              <w:rPr>
                <w:rFonts w:ascii="Cambria" w:eastAsia="Calibri" w:hAnsi="Cambria" w:cs="Times New Roman"/>
                <w:sz w:val="24"/>
                <w:szCs w:val="24"/>
                <w:vertAlign w:val="subscript"/>
                <w:lang w:val="ro-RO"/>
              </w:rPr>
              <w:t>6</w:t>
            </w:r>
            <w:r w:rsidRPr="00EA1BB2">
              <w:rPr>
                <w:rFonts w:ascii="Cambria" w:eastAsia="Calibri" w:hAnsi="Cambria" w:cs="Times New Roman"/>
                <w:sz w:val="24"/>
                <w:szCs w:val="24"/>
                <w:lang w:val="ro-RO"/>
              </w:rPr>
              <w:t>, CO, Ni, Pb, PM</w:t>
            </w:r>
            <w:r w:rsidRPr="00EA1BB2">
              <w:rPr>
                <w:rFonts w:ascii="Cambria" w:eastAsia="Calibri" w:hAnsi="Cambria" w:cs="Times New Roman"/>
                <w:sz w:val="24"/>
                <w:szCs w:val="24"/>
                <w:vertAlign w:val="subscript"/>
                <w:lang w:val="ro-RO"/>
              </w:rPr>
              <w:t>10</w:t>
            </w:r>
            <w:r w:rsidRPr="00EA1BB2">
              <w:rPr>
                <w:rFonts w:ascii="Cambria" w:eastAsia="Calibri" w:hAnsi="Cambria" w:cs="Times New Roman"/>
                <w:sz w:val="24"/>
                <w:szCs w:val="24"/>
                <w:lang w:val="ro-RO"/>
              </w:rPr>
              <w:t>, PM</w:t>
            </w:r>
            <w:r w:rsidRPr="00EA1BB2">
              <w:rPr>
                <w:rFonts w:ascii="Cambria" w:eastAsia="Calibri" w:hAnsi="Cambria" w:cs="Times New Roman"/>
                <w:sz w:val="24"/>
                <w:szCs w:val="24"/>
                <w:vertAlign w:val="subscript"/>
                <w:lang w:val="ro-RO"/>
              </w:rPr>
              <w:t>2,5</w:t>
            </w:r>
            <w:r w:rsidRPr="00EA1BB2">
              <w:rPr>
                <w:rFonts w:ascii="Cambria" w:eastAsia="Calibri" w:hAnsi="Cambria" w:cs="Times New Roman"/>
                <w:sz w:val="24"/>
                <w:szCs w:val="24"/>
                <w:lang w:val="ro-RO"/>
              </w:rPr>
              <w:t>, SO</w:t>
            </w:r>
            <w:r w:rsidRPr="00EA1BB2">
              <w:rPr>
                <w:rFonts w:ascii="Cambria" w:eastAsia="Calibri" w:hAnsi="Cambria" w:cs="Times New Roman"/>
                <w:sz w:val="24"/>
                <w:szCs w:val="24"/>
                <w:vertAlign w:val="subscript"/>
                <w:lang w:val="ro-RO"/>
              </w:rPr>
              <w:t>2</w:t>
            </w:r>
          </w:p>
        </w:tc>
      </w:tr>
    </w:tbl>
    <w:p w14:paraId="27BD9452" w14:textId="77777777" w:rsidR="00A133F1" w:rsidRPr="00EA1BB2" w:rsidRDefault="00A133F1" w:rsidP="00A237A4">
      <w:pPr>
        <w:spacing w:line="360" w:lineRule="auto"/>
        <w:jc w:val="both"/>
        <w:rPr>
          <w:rFonts w:ascii="Cambria" w:eastAsia="Calibri" w:hAnsi="Cambria" w:cs="Times New Roman"/>
          <w:sz w:val="24"/>
          <w:szCs w:val="24"/>
        </w:rPr>
      </w:pPr>
    </w:p>
    <w:p w14:paraId="2EEFD2CD" w14:textId="77777777" w:rsidR="00073CA6" w:rsidRPr="00EA1BB2" w:rsidRDefault="00073CA6" w:rsidP="00E859EF">
      <w:pPr>
        <w:pStyle w:val="Heading2"/>
        <w:numPr>
          <w:ilvl w:val="1"/>
          <w:numId w:val="1"/>
        </w:numPr>
        <w:spacing w:before="0"/>
        <w:ind w:left="0" w:firstLine="709"/>
        <w:jc w:val="both"/>
        <w:rPr>
          <w:rFonts w:ascii="Cambria" w:eastAsia="Times New Roman" w:hAnsi="Cambria"/>
          <w:color w:val="0070C0"/>
          <w:szCs w:val="24"/>
        </w:rPr>
      </w:pPr>
      <w:bookmarkStart w:id="284" w:name="_Toc526889754"/>
      <w:r w:rsidRPr="00EA1BB2">
        <w:rPr>
          <w:rFonts w:ascii="Cambria" w:eastAsia="Times New Roman" w:hAnsi="Cambria"/>
          <w:color w:val="0070C0"/>
          <w:szCs w:val="24"/>
        </w:rPr>
        <w:t>Calendarul aplicării planului de men</w:t>
      </w:r>
      <w:r w:rsidR="00054880" w:rsidRPr="00EA1BB2">
        <w:rPr>
          <w:rFonts w:ascii="Cambria" w:eastAsia="Times New Roman" w:hAnsi="Cambria"/>
          <w:color w:val="0070C0"/>
          <w:szCs w:val="24"/>
        </w:rPr>
        <w:t>ț</w:t>
      </w:r>
      <w:r w:rsidRPr="00EA1BB2">
        <w:rPr>
          <w:rFonts w:ascii="Cambria" w:eastAsia="Times New Roman" w:hAnsi="Cambria"/>
          <w:color w:val="0070C0"/>
          <w:szCs w:val="24"/>
        </w:rPr>
        <w:t>inere (măsura</w:t>
      </w:r>
      <w:r w:rsidR="009E7C7D" w:rsidRPr="00EA1BB2">
        <w:rPr>
          <w:rFonts w:ascii="Cambria" w:eastAsia="Times New Roman" w:hAnsi="Cambria"/>
          <w:color w:val="0070C0"/>
          <w:szCs w:val="24"/>
        </w:rPr>
        <w:t>,</w:t>
      </w:r>
      <w:r w:rsidRPr="00EA1BB2">
        <w:rPr>
          <w:rFonts w:ascii="Cambria" w:eastAsia="Times New Roman" w:hAnsi="Cambria"/>
          <w:color w:val="0070C0"/>
          <w:szCs w:val="24"/>
        </w:rPr>
        <w:t xml:space="preserve"> responsabilul, termen</w:t>
      </w:r>
      <w:r w:rsidR="009E7C7D" w:rsidRPr="00EA1BB2">
        <w:rPr>
          <w:rFonts w:ascii="Cambria" w:eastAsia="Times New Roman" w:hAnsi="Cambria"/>
          <w:color w:val="0070C0"/>
          <w:szCs w:val="24"/>
        </w:rPr>
        <w:t xml:space="preserve"> de realizare, e</w:t>
      </w:r>
      <w:r w:rsidRPr="00EA1BB2">
        <w:rPr>
          <w:rFonts w:ascii="Cambria" w:eastAsia="Times New Roman" w:hAnsi="Cambria"/>
          <w:color w:val="0070C0"/>
          <w:szCs w:val="24"/>
        </w:rPr>
        <w:t>stimare costuri/surse de finan</w:t>
      </w:r>
      <w:r w:rsidR="00054880" w:rsidRPr="00EA1BB2">
        <w:rPr>
          <w:rFonts w:ascii="Cambria" w:eastAsia="Times New Roman" w:hAnsi="Cambria"/>
          <w:color w:val="0070C0"/>
          <w:szCs w:val="24"/>
        </w:rPr>
        <w:t>ț</w:t>
      </w:r>
      <w:r w:rsidRPr="00EA1BB2">
        <w:rPr>
          <w:rFonts w:ascii="Cambria" w:eastAsia="Times New Roman" w:hAnsi="Cambria"/>
          <w:color w:val="0070C0"/>
          <w:szCs w:val="24"/>
        </w:rPr>
        <w:t>are etc.)</w:t>
      </w:r>
      <w:bookmarkEnd w:id="284"/>
    </w:p>
    <w:p w14:paraId="4176C11D" w14:textId="77777777" w:rsidR="00F94AFE" w:rsidRPr="00EA1BB2" w:rsidRDefault="001B20AE" w:rsidP="00012B91">
      <w:pPr>
        <w:spacing w:line="360" w:lineRule="auto"/>
        <w:ind w:firstLine="708"/>
        <w:jc w:val="both"/>
        <w:rPr>
          <w:rFonts w:ascii="Cambria" w:hAnsi="Cambria" w:cs="Times New Roman"/>
          <w:sz w:val="24"/>
          <w:szCs w:val="24"/>
        </w:rPr>
      </w:pPr>
      <w:r w:rsidRPr="00EA1BB2">
        <w:rPr>
          <w:rFonts w:ascii="Cambria" w:hAnsi="Cambria" w:cs="Times New Roman"/>
          <w:sz w:val="24"/>
          <w:szCs w:val="24"/>
        </w:rPr>
        <w:t>Planul de men</w:t>
      </w:r>
      <w:r w:rsidR="00054880" w:rsidRPr="00EA1BB2">
        <w:rPr>
          <w:rFonts w:ascii="Cambria" w:hAnsi="Cambria" w:cs="Times New Roman"/>
          <w:sz w:val="24"/>
          <w:szCs w:val="24"/>
        </w:rPr>
        <w:t>ț</w:t>
      </w:r>
      <w:r w:rsidRPr="00EA1BB2">
        <w:rPr>
          <w:rFonts w:ascii="Cambria" w:hAnsi="Cambria" w:cs="Times New Roman"/>
          <w:sz w:val="24"/>
          <w:szCs w:val="24"/>
        </w:rPr>
        <w:t>inere a calită</w:t>
      </w:r>
      <w:r w:rsidR="00054880" w:rsidRPr="00EA1BB2">
        <w:rPr>
          <w:rFonts w:ascii="Cambria" w:hAnsi="Cambria" w:cs="Times New Roman"/>
          <w:sz w:val="24"/>
          <w:szCs w:val="24"/>
        </w:rPr>
        <w:t>ț</w:t>
      </w:r>
      <w:r w:rsidRPr="00EA1BB2">
        <w:rPr>
          <w:rFonts w:ascii="Cambria" w:hAnsi="Cambria" w:cs="Times New Roman"/>
          <w:sz w:val="24"/>
          <w:szCs w:val="24"/>
        </w:rPr>
        <w:t>ii aerului în jude</w:t>
      </w:r>
      <w:r w:rsidR="00054880" w:rsidRPr="00EA1BB2">
        <w:rPr>
          <w:rFonts w:ascii="Cambria" w:hAnsi="Cambria" w:cs="Times New Roman"/>
          <w:sz w:val="24"/>
          <w:szCs w:val="24"/>
        </w:rPr>
        <w:t>ț</w:t>
      </w:r>
      <w:r w:rsidRPr="00EA1BB2">
        <w:rPr>
          <w:rFonts w:ascii="Cambria" w:hAnsi="Cambria" w:cs="Times New Roman"/>
          <w:sz w:val="24"/>
          <w:szCs w:val="24"/>
        </w:rPr>
        <w:t xml:space="preserve">ul Brăila cuprinde măsuri pe care membrii Comisiei Tehnice le-au elaborat, discutat </w:t>
      </w:r>
      <w:r w:rsidR="00054880" w:rsidRPr="00EA1BB2">
        <w:rPr>
          <w:rFonts w:ascii="Cambria" w:hAnsi="Cambria" w:cs="Times New Roman"/>
          <w:sz w:val="24"/>
          <w:szCs w:val="24"/>
        </w:rPr>
        <w:t>ș</w:t>
      </w:r>
      <w:r w:rsidR="00F071F0" w:rsidRPr="00EA1BB2">
        <w:rPr>
          <w:rFonts w:ascii="Cambria" w:hAnsi="Cambria" w:cs="Times New Roman"/>
          <w:sz w:val="24"/>
          <w:szCs w:val="24"/>
        </w:rPr>
        <w:t>i</w:t>
      </w:r>
      <w:r w:rsidRPr="00EA1BB2">
        <w:rPr>
          <w:rFonts w:ascii="Cambria" w:hAnsi="Cambria" w:cs="Times New Roman"/>
          <w:sz w:val="24"/>
          <w:szCs w:val="24"/>
        </w:rPr>
        <w:t xml:space="preserve"> aprobat în cadrul </w:t>
      </w:r>
      <w:r w:rsidR="00054880" w:rsidRPr="00EA1BB2">
        <w:rPr>
          <w:rFonts w:ascii="Cambria" w:hAnsi="Cambria" w:cs="Times New Roman"/>
          <w:sz w:val="24"/>
          <w:szCs w:val="24"/>
        </w:rPr>
        <w:t>ș</w:t>
      </w:r>
      <w:r w:rsidRPr="00EA1BB2">
        <w:rPr>
          <w:rFonts w:ascii="Cambria" w:hAnsi="Cambria" w:cs="Times New Roman"/>
          <w:sz w:val="24"/>
          <w:szCs w:val="24"/>
        </w:rPr>
        <w:t>edin</w:t>
      </w:r>
      <w:r w:rsidR="00054880" w:rsidRPr="00EA1BB2">
        <w:rPr>
          <w:rFonts w:ascii="Cambria" w:hAnsi="Cambria" w:cs="Times New Roman"/>
          <w:sz w:val="24"/>
          <w:szCs w:val="24"/>
        </w:rPr>
        <w:t>ț</w:t>
      </w:r>
      <w:r w:rsidRPr="00EA1BB2">
        <w:rPr>
          <w:rFonts w:ascii="Cambria" w:hAnsi="Cambria" w:cs="Times New Roman"/>
          <w:sz w:val="24"/>
          <w:szCs w:val="24"/>
        </w:rPr>
        <w:t>elor organizate pentru elaborarea Planului. Realizarea măsurilor va conduce la men</w:t>
      </w:r>
      <w:r w:rsidR="00054880" w:rsidRPr="00EA1BB2">
        <w:rPr>
          <w:rFonts w:ascii="Cambria" w:hAnsi="Cambria" w:cs="Times New Roman"/>
          <w:sz w:val="24"/>
          <w:szCs w:val="24"/>
        </w:rPr>
        <w:t>ț</w:t>
      </w:r>
      <w:r w:rsidRPr="00EA1BB2">
        <w:rPr>
          <w:rFonts w:ascii="Cambria" w:hAnsi="Cambria" w:cs="Times New Roman"/>
          <w:sz w:val="24"/>
          <w:szCs w:val="24"/>
        </w:rPr>
        <w:t xml:space="preserve">inerea </w:t>
      </w:r>
      <w:r w:rsidR="00054880" w:rsidRPr="00EA1BB2">
        <w:rPr>
          <w:rFonts w:ascii="Cambria" w:hAnsi="Cambria" w:cs="Times New Roman"/>
          <w:sz w:val="24"/>
          <w:szCs w:val="24"/>
        </w:rPr>
        <w:t>ș</w:t>
      </w:r>
      <w:r w:rsidRPr="00EA1BB2">
        <w:rPr>
          <w:rFonts w:ascii="Cambria" w:hAnsi="Cambria" w:cs="Times New Roman"/>
          <w:sz w:val="24"/>
          <w:szCs w:val="24"/>
        </w:rPr>
        <w:t>i/sau îmbunătă</w:t>
      </w:r>
      <w:r w:rsidR="00054880" w:rsidRPr="00EA1BB2">
        <w:rPr>
          <w:rFonts w:ascii="Cambria" w:hAnsi="Cambria" w:cs="Times New Roman"/>
          <w:sz w:val="24"/>
          <w:szCs w:val="24"/>
        </w:rPr>
        <w:t>ț</w:t>
      </w:r>
      <w:r w:rsidRPr="00EA1BB2">
        <w:rPr>
          <w:rFonts w:ascii="Cambria" w:hAnsi="Cambria" w:cs="Times New Roman"/>
          <w:sz w:val="24"/>
          <w:szCs w:val="24"/>
        </w:rPr>
        <w:t>irea calită</w:t>
      </w:r>
      <w:r w:rsidR="00054880" w:rsidRPr="00EA1BB2">
        <w:rPr>
          <w:rFonts w:ascii="Cambria" w:hAnsi="Cambria" w:cs="Times New Roman"/>
          <w:sz w:val="24"/>
          <w:szCs w:val="24"/>
        </w:rPr>
        <w:t>ț</w:t>
      </w:r>
      <w:r w:rsidRPr="00EA1BB2">
        <w:rPr>
          <w:rFonts w:ascii="Cambria" w:hAnsi="Cambria" w:cs="Times New Roman"/>
          <w:sz w:val="24"/>
          <w:szCs w:val="24"/>
        </w:rPr>
        <w:t>ii aerului în jude</w:t>
      </w:r>
      <w:r w:rsidR="00054880" w:rsidRPr="00EA1BB2">
        <w:rPr>
          <w:rFonts w:ascii="Cambria" w:hAnsi="Cambria" w:cs="Times New Roman"/>
          <w:sz w:val="24"/>
          <w:szCs w:val="24"/>
        </w:rPr>
        <w:t>ț</w:t>
      </w:r>
      <w:r w:rsidRPr="00EA1BB2">
        <w:rPr>
          <w:rFonts w:ascii="Cambria" w:hAnsi="Cambria" w:cs="Times New Roman"/>
          <w:sz w:val="24"/>
          <w:szCs w:val="24"/>
        </w:rPr>
        <w:t>ul Brăila.</w:t>
      </w:r>
    </w:p>
    <w:p w14:paraId="03DB49AF" w14:textId="77777777" w:rsidR="001C1A15" w:rsidRPr="00EA1BB2" w:rsidRDefault="001C1A15">
      <w:pPr>
        <w:rPr>
          <w:rFonts w:ascii="Cambria" w:hAnsi="Cambria" w:cs="Times New Roman"/>
          <w:sz w:val="24"/>
          <w:szCs w:val="24"/>
        </w:rPr>
        <w:sectPr w:rsidR="001C1A15" w:rsidRPr="00EA1BB2" w:rsidSect="00C2266B">
          <w:headerReference w:type="default" r:id="rId168"/>
          <w:footerReference w:type="default" r:id="rId169"/>
          <w:pgSz w:w="11906" w:h="16838" w:code="9"/>
          <w:pgMar w:top="1134" w:right="1418" w:bottom="1134" w:left="1418" w:header="283" w:footer="283" w:gutter="0"/>
          <w:cols w:space="708"/>
          <w:docGrid w:linePitch="360"/>
        </w:sectPr>
      </w:pPr>
    </w:p>
    <w:p w14:paraId="0EA67161" w14:textId="61AAB8AE" w:rsidR="001C1A15" w:rsidRPr="00EA1BB2" w:rsidRDefault="001C1A15" w:rsidP="001C1A15">
      <w:pPr>
        <w:spacing w:line="360" w:lineRule="auto"/>
        <w:ind w:firstLine="709"/>
        <w:rPr>
          <w:rFonts w:ascii="Cambria" w:eastAsia="Times New Roman" w:hAnsi="Cambria" w:cs="Times New Roman"/>
          <w:b/>
          <w:sz w:val="24"/>
          <w:szCs w:val="24"/>
        </w:rPr>
      </w:pPr>
      <w:bookmarkStart w:id="285" w:name="_Toc461112589"/>
      <w:bookmarkStart w:id="286" w:name="_Toc461438454"/>
      <w:bookmarkStart w:id="287" w:name="_Toc526889830"/>
      <w:r w:rsidRPr="00EA1BB2">
        <w:rPr>
          <w:rFonts w:ascii="Cambria" w:hAnsi="Cambria"/>
          <w:b/>
          <w:sz w:val="24"/>
          <w:szCs w:val="24"/>
        </w:rPr>
        <w:lastRenderedPageBreak/>
        <w:t xml:space="preserve">Tabelul nr. </w:t>
      </w:r>
      <w:r w:rsidR="000A2FE7" w:rsidRPr="00EA1BB2">
        <w:rPr>
          <w:rFonts w:ascii="Cambria" w:hAnsi="Cambria"/>
          <w:b/>
          <w:sz w:val="24"/>
          <w:szCs w:val="24"/>
        </w:rPr>
        <w:fldChar w:fldCharType="begin"/>
      </w:r>
      <w:r w:rsidR="000A2FE7" w:rsidRPr="00EA1BB2">
        <w:rPr>
          <w:rFonts w:ascii="Cambria" w:hAnsi="Cambria"/>
          <w:b/>
          <w:sz w:val="24"/>
          <w:szCs w:val="24"/>
        </w:rPr>
        <w:instrText xml:space="preserve"> STYLEREF 1 \s </w:instrText>
      </w:r>
      <w:r w:rsidR="000A2FE7" w:rsidRPr="00EA1BB2">
        <w:rPr>
          <w:rFonts w:ascii="Cambria" w:hAnsi="Cambria"/>
          <w:b/>
          <w:sz w:val="24"/>
          <w:szCs w:val="24"/>
        </w:rPr>
        <w:fldChar w:fldCharType="separate"/>
      </w:r>
      <w:r w:rsidR="00567555">
        <w:rPr>
          <w:rFonts w:ascii="Cambria" w:hAnsi="Cambria"/>
          <w:b/>
          <w:noProof/>
          <w:sz w:val="24"/>
          <w:szCs w:val="24"/>
        </w:rPr>
        <w:t>6</w:t>
      </w:r>
      <w:r w:rsidR="000A2FE7" w:rsidRPr="00EA1BB2">
        <w:rPr>
          <w:rFonts w:ascii="Cambria" w:hAnsi="Cambria"/>
          <w:b/>
          <w:sz w:val="24"/>
          <w:szCs w:val="24"/>
        </w:rPr>
        <w:fldChar w:fldCharType="end"/>
      </w:r>
      <w:r w:rsidR="000A2FE7" w:rsidRPr="00EA1BB2">
        <w:rPr>
          <w:rFonts w:ascii="Cambria" w:hAnsi="Cambria"/>
          <w:b/>
          <w:sz w:val="24"/>
          <w:szCs w:val="24"/>
        </w:rPr>
        <w:noBreakHyphen/>
      </w:r>
      <w:r w:rsidR="000A2FE7" w:rsidRPr="00EA1BB2">
        <w:rPr>
          <w:rFonts w:ascii="Cambria" w:hAnsi="Cambria"/>
          <w:b/>
          <w:sz w:val="24"/>
          <w:szCs w:val="24"/>
        </w:rPr>
        <w:fldChar w:fldCharType="begin"/>
      </w:r>
      <w:r w:rsidR="000A2FE7" w:rsidRPr="00EA1BB2">
        <w:rPr>
          <w:rFonts w:ascii="Cambria" w:hAnsi="Cambria"/>
          <w:b/>
          <w:sz w:val="24"/>
          <w:szCs w:val="24"/>
        </w:rPr>
        <w:instrText xml:space="preserve"> SEQ Tabelul_nr. \* ARABIC \s 1 </w:instrText>
      </w:r>
      <w:r w:rsidR="000A2FE7" w:rsidRPr="00EA1BB2">
        <w:rPr>
          <w:rFonts w:ascii="Cambria" w:hAnsi="Cambria"/>
          <w:b/>
          <w:sz w:val="24"/>
          <w:szCs w:val="24"/>
        </w:rPr>
        <w:fldChar w:fldCharType="separate"/>
      </w:r>
      <w:r w:rsidR="00567555">
        <w:rPr>
          <w:rFonts w:ascii="Cambria" w:hAnsi="Cambria"/>
          <w:b/>
          <w:noProof/>
          <w:sz w:val="24"/>
          <w:szCs w:val="24"/>
        </w:rPr>
        <w:t>3</w:t>
      </w:r>
      <w:r w:rsidR="000A2FE7" w:rsidRPr="00EA1BB2">
        <w:rPr>
          <w:rFonts w:ascii="Cambria" w:hAnsi="Cambria"/>
          <w:b/>
          <w:sz w:val="24"/>
          <w:szCs w:val="24"/>
        </w:rPr>
        <w:fldChar w:fldCharType="end"/>
      </w:r>
      <w:r w:rsidRPr="00EA1BB2">
        <w:rPr>
          <w:rFonts w:ascii="Cambria" w:hAnsi="Cambria"/>
          <w:b/>
          <w:sz w:val="24"/>
          <w:szCs w:val="24"/>
        </w:rPr>
        <w:t xml:space="preserve"> - </w:t>
      </w:r>
      <w:r w:rsidRPr="00EA1BB2">
        <w:rPr>
          <w:rFonts w:ascii="Cambria" w:hAnsi="Cambria" w:cs="Arial"/>
          <w:b/>
          <w:color w:val="212121"/>
          <w:sz w:val="24"/>
          <w:szCs w:val="24"/>
          <w:shd w:val="clear" w:color="auto" w:fill="FFFFFF"/>
        </w:rPr>
        <w:t>Lista măsurilor privind men</w:t>
      </w:r>
      <w:r w:rsidR="00054880" w:rsidRPr="00EA1BB2">
        <w:rPr>
          <w:rFonts w:ascii="Cambria" w:hAnsi="Cambria" w:cs="Arial"/>
          <w:b/>
          <w:color w:val="212121"/>
          <w:sz w:val="24"/>
          <w:szCs w:val="24"/>
          <w:shd w:val="clear" w:color="auto" w:fill="FFFFFF"/>
        </w:rPr>
        <w:t>ț</w:t>
      </w:r>
      <w:r w:rsidRPr="00EA1BB2">
        <w:rPr>
          <w:rFonts w:ascii="Cambria" w:hAnsi="Cambria" w:cs="Arial"/>
          <w:b/>
          <w:color w:val="212121"/>
          <w:sz w:val="24"/>
          <w:szCs w:val="24"/>
          <w:shd w:val="clear" w:color="auto" w:fill="FFFFFF"/>
        </w:rPr>
        <w:t>inerea calită</w:t>
      </w:r>
      <w:r w:rsidR="00054880" w:rsidRPr="00EA1BB2">
        <w:rPr>
          <w:rFonts w:ascii="Cambria" w:hAnsi="Cambria" w:cs="Arial"/>
          <w:b/>
          <w:color w:val="212121"/>
          <w:sz w:val="24"/>
          <w:szCs w:val="24"/>
          <w:shd w:val="clear" w:color="auto" w:fill="FFFFFF"/>
        </w:rPr>
        <w:t>ț</w:t>
      </w:r>
      <w:r w:rsidRPr="00EA1BB2">
        <w:rPr>
          <w:rFonts w:ascii="Cambria" w:hAnsi="Cambria" w:cs="Arial"/>
          <w:b/>
          <w:color w:val="212121"/>
          <w:sz w:val="24"/>
          <w:szCs w:val="24"/>
          <w:shd w:val="clear" w:color="auto" w:fill="FFFFFF"/>
        </w:rPr>
        <w:t>ii aerului în jude</w:t>
      </w:r>
      <w:r w:rsidR="00054880" w:rsidRPr="00EA1BB2">
        <w:rPr>
          <w:rFonts w:ascii="Cambria" w:hAnsi="Cambria" w:cs="Arial"/>
          <w:b/>
          <w:color w:val="212121"/>
          <w:sz w:val="24"/>
          <w:szCs w:val="24"/>
          <w:shd w:val="clear" w:color="auto" w:fill="FFFFFF"/>
        </w:rPr>
        <w:t>ț</w:t>
      </w:r>
      <w:r w:rsidRPr="00EA1BB2">
        <w:rPr>
          <w:rFonts w:ascii="Cambria" w:hAnsi="Cambria" w:cs="Arial"/>
          <w:b/>
          <w:color w:val="212121"/>
          <w:sz w:val="24"/>
          <w:szCs w:val="24"/>
          <w:shd w:val="clear" w:color="auto" w:fill="FFFFFF"/>
        </w:rPr>
        <w:t>ul Brăila (</w:t>
      </w:r>
      <w:bookmarkEnd w:id="285"/>
      <w:r w:rsidR="008E2852" w:rsidRPr="00EA1BB2">
        <w:rPr>
          <w:rFonts w:ascii="Cambria" w:hAnsi="Cambria" w:cs="Arial"/>
          <w:b/>
          <w:color w:val="212121"/>
          <w:sz w:val="24"/>
          <w:szCs w:val="24"/>
          <w:shd w:val="clear" w:color="auto" w:fill="FFFFFF"/>
        </w:rPr>
        <w:t>2018-2022</w:t>
      </w:r>
      <w:r w:rsidRPr="00EA1BB2">
        <w:rPr>
          <w:rFonts w:ascii="Cambria" w:hAnsi="Cambria" w:cs="Arial"/>
          <w:b/>
          <w:color w:val="212121"/>
          <w:sz w:val="24"/>
          <w:szCs w:val="24"/>
          <w:shd w:val="clear" w:color="auto" w:fill="FFFFFF"/>
        </w:rPr>
        <w:t>)</w:t>
      </w:r>
      <w:bookmarkEnd w:id="286"/>
      <w:bookmarkEnd w:id="287"/>
    </w:p>
    <w:tbl>
      <w:tblPr>
        <w:tblStyle w:val="TableGrid151"/>
        <w:tblW w:w="14884" w:type="dxa"/>
        <w:jc w:val="center"/>
        <w:tblLayout w:type="fixed"/>
        <w:tblLook w:val="04A0" w:firstRow="1" w:lastRow="0" w:firstColumn="1" w:lastColumn="0" w:noHBand="0" w:noVBand="1"/>
      </w:tblPr>
      <w:tblGrid>
        <w:gridCol w:w="851"/>
        <w:gridCol w:w="2699"/>
        <w:gridCol w:w="3753"/>
        <w:gridCol w:w="1559"/>
        <w:gridCol w:w="1262"/>
        <w:gridCol w:w="1460"/>
        <w:gridCol w:w="1599"/>
        <w:gridCol w:w="1701"/>
      </w:tblGrid>
      <w:tr w:rsidR="00375ED8" w:rsidRPr="00EA1BB2" w14:paraId="600213CF" w14:textId="77777777" w:rsidTr="00A812FA">
        <w:trPr>
          <w:trHeight w:val="57"/>
          <w:tblHeader/>
          <w:jc w:val="center"/>
        </w:trPr>
        <w:tc>
          <w:tcPr>
            <w:tcW w:w="851" w:type="dxa"/>
            <w:shd w:val="clear" w:color="auto" w:fill="BDD6EE" w:themeFill="accent1" w:themeFillTint="66"/>
            <w:vAlign w:val="center"/>
          </w:tcPr>
          <w:p w14:paraId="34671A94" w14:textId="77777777" w:rsidR="00375ED8" w:rsidRPr="00EA1BB2" w:rsidRDefault="00375ED8" w:rsidP="00375ED8">
            <w:pPr>
              <w:ind w:hanging="198"/>
              <w:jc w:val="center"/>
              <w:rPr>
                <w:rFonts w:ascii="Cambria" w:hAnsi="Cambria" w:cs="Times New Roman"/>
                <w:b/>
                <w:szCs w:val="20"/>
                <w:lang w:val="ro-RO"/>
              </w:rPr>
            </w:pPr>
            <w:r w:rsidRPr="00EA1BB2">
              <w:rPr>
                <w:rFonts w:ascii="Cambria" w:hAnsi="Cambria" w:cs="Times New Roman"/>
                <w:b/>
                <w:szCs w:val="20"/>
                <w:lang w:val="ro-RO"/>
              </w:rPr>
              <w:t>Cod</w:t>
            </w:r>
          </w:p>
        </w:tc>
        <w:tc>
          <w:tcPr>
            <w:tcW w:w="2699" w:type="dxa"/>
            <w:shd w:val="clear" w:color="auto" w:fill="BDD6EE" w:themeFill="accent1" w:themeFillTint="66"/>
            <w:vAlign w:val="center"/>
          </w:tcPr>
          <w:p w14:paraId="72735D81" w14:textId="77777777" w:rsidR="00375ED8" w:rsidRPr="00EA1BB2" w:rsidRDefault="00375ED8" w:rsidP="00375ED8">
            <w:pPr>
              <w:jc w:val="center"/>
              <w:rPr>
                <w:rFonts w:ascii="Cambria" w:hAnsi="Cambria" w:cs="Times New Roman"/>
                <w:b/>
                <w:szCs w:val="20"/>
                <w:lang w:val="ro-RO"/>
              </w:rPr>
            </w:pPr>
            <w:r w:rsidRPr="00EA1BB2">
              <w:rPr>
                <w:rFonts w:ascii="Cambria" w:hAnsi="Cambria" w:cs="Times New Roman"/>
                <w:b/>
                <w:szCs w:val="20"/>
                <w:lang w:val="ro-RO"/>
              </w:rPr>
              <w:t>Măsura</w:t>
            </w:r>
          </w:p>
        </w:tc>
        <w:tc>
          <w:tcPr>
            <w:tcW w:w="3753" w:type="dxa"/>
            <w:shd w:val="clear" w:color="auto" w:fill="BDD6EE" w:themeFill="accent1" w:themeFillTint="66"/>
            <w:vAlign w:val="center"/>
          </w:tcPr>
          <w:p w14:paraId="4ED7117A" w14:textId="77777777" w:rsidR="00375ED8" w:rsidRPr="00EA1BB2" w:rsidRDefault="00375ED8" w:rsidP="00375ED8">
            <w:pPr>
              <w:autoSpaceDE w:val="0"/>
              <w:autoSpaceDN w:val="0"/>
              <w:adjustRightInd w:val="0"/>
              <w:jc w:val="center"/>
              <w:rPr>
                <w:rFonts w:ascii="Cambria" w:eastAsia="Calibri" w:hAnsi="Cambria" w:cs="Times New Roman"/>
                <w:b/>
                <w:szCs w:val="20"/>
                <w:lang w:val="ro-RO"/>
              </w:rPr>
            </w:pPr>
            <w:r w:rsidRPr="00EA1BB2">
              <w:rPr>
                <w:rFonts w:ascii="Cambria" w:eastAsia="Calibri" w:hAnsi="Cambria" w:cs="Times New Roman"/>
                <w:b/>
                <w:szCs w:val="20"/>
                <w:lang w:val="ro-RO"/>
              </w:rPr>
              <w:t>Acțiuni</w:t>
            </w:r>
          </w:p>
        </w:tc>
        <w:tc>
          <w:tcPr>
            <w:tcW w:w="1559" w:type="dxa"/>
            <w:shd w:val="clear" w:color="auto" w:fill="BDD6EE" w:themeFill="accent1" w:themeFillTint="66"/>
            <w:vAlign w:val="center"/>
          </w:tcPr>
          <w:p w14:paraId="2BC659A7" w14:textId="77777777" w:rsidR="00375ED8" w:rsidRPr="00EA1BB2" w:rsidRDefault="00375ED8" w:rsidP="00375ED8">
            <w:pPr>
              <w:autoSpaceDE w:val="0"/>
              <w:autoSpaceDN w:val="0"/>
              <w:adjustRightInd w:val="0"/>
              <w:ind w:left="-100" w:right="-45"/>
              <w:jc w:val="center"/>
              <w:rPr>
                <w:rFonts w:ascii="Cambria" w:eastAsia="Calibri" w:hAnsi="Cambria" w:cs="Wingdings 3"/>
                <w:szCs w:val="20"/>
                <w:lang w:val="ro-RO"/>
              </w:rPr>
            </w:pPr>
            <w:r w:rsidRPr="00EA1BB2">
              <w:rPr>
                <w:rFonts w:ascii="Cambria" w:eastAsia="Calibri" w:hAnsi="Cambria" w:cs="Times New Roman"/>
                <w:b/>
                <w:szCs w:val="20"/>
                <w:lang w:val="ro-RO"/>
              </w:rPr>
              <w:t>Responsabil</w:t>
            </w:r>
          </w:p>
        </w:tc>
        <w:tc>
          <w:tcPr>
            <w:tcW w:w="1262" w:type="dxa"/>
            <w:shd w:val="clear" w:color="auto" w:fill="BDD6EE" w:themeFill="accent1" w:themeFillTint="66"/>
            <w:vAlign w:val="center"/>
          </w:tcPr>
          <w:p w14:paraId="736A1775" w14:textId="77777777" w:rsidR="00375ED8" w:rsidRPr="00EA1BB2" w:rsidRDefault="00375ED8" w:rsidP="00375ED8">
            <w:pPr>
              <w:jc w:val="center"/>
              <w:rPr>
                <w:rFonts w:ascii="Cambria" w:hAnsi="Cambria" w:cs="Times New Roman"/>
                <w:b/>
                <w:szCs w:val="20"/>
                <w:lang w:val="ro-RO"/>
              </w:rPr>
            </w:pPr>
            <w:r w:rsidRPr="00EA1BB2">
              <w:rPr>
                <w:rFonts w:ascii="Cambria" w:hAnsi="Cambria" w:cs="Times New Roman"/>
                <w:b/>
                <w:szCs w:val="20"/>
                <w:lang w:val="ro-RO"/>
              </w:rPr>
              <w:t>Termen de realizare</w:t>
            </w:r>
          </w:p>
        </w:tc>
        <w:tc>
          <w:tcPr>
            <w:tcW w:w="1460" w:type="dxa"/>
            <w:shd w:val="clear" w:color="auto" w:fill="BDD6EE" w:themeFill="accent1" w:themeFillTint="66"/>
            <w:vAlign w:val="center"/>
          </w:tcPr>
          <w:p w14:paraId="4812E1C2" w14:textId="77777777" w:rsidR="00375ED8" w:rsidRPr="00EA1BB2" w:rsidRDefault="00375ED8" w:rsidP="00375ED8">
            <w:pPr>
              <w:jc w:val="center"/>
              <w:rPr>
                <w:rFonts w:ascii="Cambria" w:hAnsi="Cambria" w:cs="Times New Roman"/>
                <w:b/>
                <w:szCs w:val="20"/>
                <w:lang w:val="ro-RO"/>
              </w:rPr>
            </w:pPr>
            <w:r w:rsidRPr="00EA1BB2">
              <w:rPr>
                <w:rFonts w:ascii="Cambria" w:hAnsi="Cambria" w:cs="Times New Roman"/>
                <w:b/>
                <w:szCs w:val="20"/>
                <w:lang w:val="ro-RO"/>
              </w:rPr>
              <w:t>Estimare costuri</w:t>
            </w:r>
          </w:p>
          <w:p w14:paraId="176BABDE" w14:textId="77777777" w:rsidR="00375ED8" w:rsidRPr="00EA1BB2" w:rsidRDefault="00375ED8" w:rsidP="00375ED8">
            <w:pPr>
              <w:jc w:val="center"/>
              <w:rPr>
                <w:rFonts w:ascii="Cambria" w:hAnsi="Cambria" w:cs="Times New Roman"/>
                <w:b/>
                <w:szCs w:val="20"/>
                <w:lang w:val="ro-RO"/>
              </w:rPr>
            </w:pPr>
            <w:r w:rsidRPr="00EA1BB2">
              <w:rPr>
                <w:rFonts w:ascii="Cambria" w:hAnsi="Cambria" w:cs="Times New Roman"/>
                <w:b/>
                <w:szCs w:val="20"/>
                <w:lang w:val="ro-RO"/>
              </w:rPr>
              <w:t>[lei]</w:t>
            </w:r>
          </w:p>
        </w:tc>
        <w:tc>
          <w:tcPr>
            <w:tcW w:w="1599" w:type="dxa"/>
            <w:shd w:val="clear" w:color="auto" w:fill="BDD6EE" w:themeFill="accent1" w:themeFillTint="66"/>
            <w:vAlign w:val="center"/>
          </w:tcPr>
          <w:p w14:paraId="18AD15B4" w14:textId="77777777" w:rsidR="00375ED8" w:rsidRPr="00EA1BB2" w:rsidRDefault="00375ED8" w:rsidP="00375ED8">
            <w:pPr>
              <w:jc w:val="center"/>
              <w:rPr>
                <w:rFonts w:ascii="Cambria" w:hAnsi="Cambria" w:cs="Times New Roman"/>
                <w:b/>
                <w:szCs w:val="20"/>
                <w:lang w:val="ro-RO"/>
              </w:rPr>
            </w:pPr>
            <w:r w:rsidRPr="00EA1BB2">
              <w:rPr>
                <w:rFonts w:ascii="Cambria" w:hAnsi="Cambria" w:cs="Times New Roman"/>
                <w:b/>
                <w:szCs w:val="20"/>
                <w:lang w:val="ro-RO"/>
              </w:rPr>
              <w:t>Sursa</w:t>
            </w:r>
          </w:p>
          <w:p w14:paraId="43265AC1" w14:textId="77777777" w:rsidR="00375ED8" w:rsidRPr="00EA1BB2" w:rsidRDefault="00375ED8" w:rsidP="00375ED8">
            <w:pPr>
              <w:jc w:val="center"/>
              <w:rPr>
                <w:rFonts w:ascii="Cambria" w:hAnsi="Cambria" w:cs="Times New Roman"/>
                <w:b/>
                <w:szCs w:val="20"/>
                <w:lang w:val="ro-RO"/>
              </w:rPr>
            </w:pPr>
            <w:r w:rsidRPr="00EA1BB2">
              <w:rPr>
                <w:rFonts w:ascii="Cambria" w:hAnsi="Cambria" w:cs="Times New Roman"/>
                <w:b/>
                <w:szCs w:val="20"/>
                <w:lang w:val="ro-RO"/>
              </w:rPr>
              <w:t>de</w:t>
            </w:r>
          </w:p>
          <w:p w14:paraId="31747914" w14:textId="77777777" w:rsidR="00375ED8" w:rsidRPr="00EA1BB2" w:rsidRDefault="00375ED8" w:rsidP="00375ED8">
            <w:pPr>
              <w:jc w:val="center"/>
              <w:rPr>
                <w:rFonts w:ascii="Cambria" w:hAnsi="Cambria" w:cs="Times New Roman"/>
                <w:b/>
                <w:szCs w:val="20"/>
                <w:lang w:val="ro-RO"/>
              </w:rPr>
            </w:pPr>
            <w:r w:rsidRPr="00EA1BB2">
              <w:rPr>
                <w:rFonts w:ascii="Cambria" w:hAnsi="Cambria" w:cs="Times New Roman"/>
                <w:b/>
                <w:szCs w:val="20"/>
                <w:lang w:val="ro-RO"/>
              </w:rPr>
              <w:t>finanțare</w:t>
            </w:r>
          </w:p>
        </w:tc>
        <w:tc>
          <w:tcPr>
            <w:tcW w:w="1701" w:type="dxa"/>
            <w:shd w:val="clear" w:color="auto" w:fill="BDD6EE" w:themeFill="accent1" w:themeFillTint="66"/>
            <w:vAlign w:val="center"/>
          </w:tcPr>
          <w:p w14:paraId="5C55BB5F" w14:textId="77777777" w:rsidR="00375ED8" w:rsidRPr="00EA1BB2" w:rsidRDefault="00375ED8" w:rsidP="00375ED8">
            <w:pPr>
              <w:ind w:left="-109" w:right="-109"/>
              <w:jc w:val="center"/>
              <w:rPr>
                <w:rFonts w:ascii="Cambria" w:hAnsi="Cambria" w:cs="Times New Roman"/>
                <w:b/>
                <w:szCs w:val="20"/>
                <w:lang w:val="ro-RO"/>
              </w:rPr>
            </w:pPr>
            <w:r w:rsidRPr="00EA1BB2">
              <w:rPr>
                <w:rFonts w:ascii="Cambria" w:hAnsi="Cambria" w:cs="Times New Roman"/>
                <w:b/>
                <w:szCs w:val="20"/>
                <w:lang w:val="ro-RO"/>
              </w:rPr>
              <w:t>Indicator de monitorizare</w:t>
            </w:r>
          </w:p>
        </w:tc>
      </w:tr>
      <w:tr w:rsidR="00375ED8" w:rsidRPr="00EA1BB2" w14:paraId="189A0770" w14:textId="77777777" w:rsidTr="00A812FA">
        <w:trPr>
          <w:trHeight w:val="57"/>
          <w:jc w:val="center"/>
        </w:trPr>
        <w:tc>
          <w:tcPr>
            <w:tcW w:w="14884" w:type="dxa"/>
            <w:gridSpan w:val="8"/>
            <w:shd w:val="clear" w:color="auto" w:fill="FFC000"/>
          </w:tcPr>
          <w:p w14:paraId="4ABEE668" w14:textId="77777777" w:rsidR="00375ED8" w:rsidRPr="00EA1BB2" w:rsidRDefault="00375ED8" w:rsidP="00375ED8">
            <w:pPr>
              <w:jc w:val="both"/>
              <w:rPr>
                <w:rFonts w:ascii="Cambria" w:hAnsi="Cambria" w:cs="Times New Roman"/>
                <w:b/>
                <w:bCs/>
                <w:sz w:val="24"/>
                <w:szCs w:val="20"/>
                <w:lang w:val="ro-RO"/>
              </w:rPr>
            </w:pPr>
            <w:r w:rsidRPr="00EA1BB2">
              <w:rPr>
                <w:rFonts w:ascii="Cambria" w:eastAsia="Calibri" w:hAnsi="Cambria" w:cs="Times New Roman"/>
                <w:b/>
                <w:noProof/>
                <w:sz w:val="24"/>
                <w:szCs w:val="20"/>
                <w:lang w:val="ro-RO"/>
              </w:rPr>
              <w:t>SURSE MOBILE</w:t>
            </w:r>
          </w:p>
        </w:tc>
      </w:tr>
      <w:tr w:rsidR="00375ED8" w:rsidRPr="00EA1BB2" w14:paraId="17C38569" w14:textId="77777777" w:rsidTr="00A812FA">
        <w:trPr>
          <w:trHeight w:val="57"/>
          <w:jc w:val="center"/>
        </w:trPr>
        <w:tc>
          <w:tcPr>
            <w:tcW w:w="851" w:type="dxa"/>
            <w:vMerge w:val="restart"/>
          </w:tcPr>
          <w:p w14:paraId="681C1D7D"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 xml:space="preserve">M.1.1. </w:t>
            </w:r>
          </w:p>
        </w:tc>
        <w:tc>
          <w:tcPr>
            <w:tcW w:w="2699" w:type="dxa"/>
            <w:vMerge w:val="restart"/>
          </w:tcPr>
          <w:p w14:paraId="19A44165" w14:textId="77777777" w:rsidR="00375ED8" w:rsidRPr="00EA1BB2" w:rsidRDefault="00375ED8" w:rsidP="00375ED8">
            <w:pPr>
              <w:jc w:val="both"/>
              <w:rPr>
                <w:rFonts w:ascii="Cambria" w:hAnsi="Cambria" w:cs="Times New Roman"/>
                <w:bCs/>
                <w:sz w:val="20"/>
                <w:szCs w:val="20"/>
                <w:lang w:val="ro-RO"/>
              </w:rPr>
            </w:pPr>
            <w:r w:rsidRPr="00EA1BB2">
              <w:rPr>
                <w:rFonts w:ascii="Cambria" w:hAnsi="Cambria" w:cs="Times New Roman"/>
                <w:bCs/>
                <w:sz w:val="20"/>
                <w:szCs w:val="20"/>
                <w:lang w:val="ro-RO"/>
              </w:rPr>
              <w:t xml:space="preserve">Extinderea/modernizarea arterelor județene de circulație </w:t>
            </w:r>
          </w:p>
          <w:p w14:paraId="4D6D7244" w14:textId="77777777" w:rsidR="00375ED8" w:rsidRPr="00EA1BB2" w:rsidRDefault="00375ED8" w:rsidP="00375ED8">
            <w:pPr>
              <w:jc w:val="both"/>
              <w:rPr>
                <w:rFonts w:ascii="Cambria" w:hAnsi="Cambria" w:cs="Times New Roman"/>
                <w:bCs/>
                <w:sz w:val="20"/>
                <w:szCs w:val="20"/>
                <w:lang w:val="ro-RO"/>
              </w:rPr>
            </w:pPr>
          </w:p>
        </w:tc>
        <w:tc>
          <w:tcPr>
            <w:tcW w:w="3753" w:type="dxa"/>
          </w:tcPr>
          <w:p w14:paraId="7AC58BD7"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 xml:space="preserve">Lucrări modernizare DJ203R Lișcoteanca - DJ211, km22+500-km24+500  </w:t>
            </w:r>
          </w:p>
          <w:p w14:paraId="0792C1F4"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L= 2Km</w:t>
            </w:r>
          </w:p>
        </w:tc>
        <w:tc>
          <w:tcPr>
            <w:tcW w:w="1559" w:type="dxa"/>
          </w:tcPr>
          <w:p w14:paraId="24275115"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C.J. Brăila</w:t>
            </w:r>
          </w:p>
        </w:tc>
        <w:tc>
          <w:tcPr>
            <w:tcW w:w="1262" w:type="dxa"/>
          </w:tcPr>
          <w:p w14:paraId="135E6940"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2019</w:t>
            </w:r>
          </w:p>
        </w:tc>
        <w:tc>
          <w:tcPr>
            <w:tcW w:w="1460" w:type="dxa"/>
          </w:tcPr>
          <w:p w14:paraId="27F86ED4"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3.920.450</w:t>
            </w:r>
          </w:p>
          <w:p w14:paraId="00C085CC" w14:textId="77777777" w:rsidR="00375ED8" w:rsidRPr="00EA1BB2" w:rsidRDefault="00375ED8" w:rsidP="00375ED8">
            <w:pPr>
              <w:jc w:val="center"/>
              <w:rPr>
                <w:rFonts w:ascii="Cambria" w:hAnsi="Cambria" w:cs="Times New Roman"/>
                <w:sz w:val="20"/>
                <w:szCs w:val="20"/>
                <w:lang w:val="ro-RO"/>
              </w:rPr>
            </w:pPr>
          </w:p>
        </w:tc>
        <w:tc>
          <w:tcPr>
            <w:tcW w:w="1599" w:type="dxa"/>
          </w:tcPr>
          <w:p w14:paraId="74D9A139"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MDRAPFE</w:t>
            </w:r>
          </w:p>
          <w:p w14:paraId="5C0AF7CD"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PNDL II</w:t>
            </w:r>
          </w:p>
        </w:tc>
        <w:tc>
          <w:tcPr>
            <w:tcW w:w="1701" w:type="dxa"/>
          </w:tcPr>
          <w:p w14:paraId="2BD14EA9"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2E6DD642" w14:textId="77777777" w:rsidTr="00A812FA">
        <w:trPr>
          <w:trHeight w:val="57"/>
          <w:jc w:val="center"/>
        </w:trPr>
        <w:tc>
          <w:tcPr>
            <w:tcW w:w="851" w:type="dxa"/>
            <w:vMerge/>
          </w:tcPr>
          <w:p w14:paraId="42E1C2B8" w14:textId="77777777" w:rsidR="00375ED8" w:rsidRPr="00EA1BB2" w:rsidRDefault="00375ED8" w:rsidP="00375ED8">
            <w:pPr>
              <w:jc w:val="both"/>
              <w:rPr>
                <w:rFonts w:ascii="Cambria" w:hAnsi="Cambria" w:cs="Times New Roman"/>
                <w:sz w:val="20"/>
                <w:szCs w:val="20"/>
                <w:lang w:val="ro-RO"/>
              </w:rPr>
            </w:pPr>
          </w:p>
        </w:tc>
        <w:tc>
          <w:tcPr>
            <w:tcW w:w="2699" w:type="dxa"/>
            <w:vMerge/>
          </w:tcPr>
          <w:p w14:paraId="69F7E1CF" w14:textId="77777777" w:rsidR="00375ED8" w:rsidRPr="00EA1BB2" w:rsidRDefault="00375ED8" w:rsidP="00375ED8">
            <w:pPr>
              <w:jc w:val="both"/>
              <w:rPr>
                <w:rFonts w:ascii="Cambria" w:hAnsi="Cambria" w:cs="Times New Roman"/>
                <w:bCs/>
                <w:sz w:val="20"/>
                <w:szCs w:val="20"/>
                <w:lang w:val="ro-RO"/>
              </w:rPr>
            </w:pPr>
          </w:p>
        </w:tc>
        <w:tc>
          <w:tcPr>
            <w:tcW w:w="3753" w:type="dxa"/>
          </w:tcPr>
          <w:p w14:paraId="659EC1A6"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Lucrări modernizare DJ 255A, Cotu lung – DN 23,  km 26+000 – km 30+000</w:t>
            </w:r>
          </w:p>
          <w:p w14:paraId="1677FC63"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L= 4km</w:t>
            </w:r>
          </w:p>
        </w:tc>
        <w:tc>
          <w:tcPr>
            <w:tcW w:w="1559" w:type="dxa"/>
          </w:tcPr>
          <w:p w14:paraId="141A17D7"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C.J. Brăila</w:t>
            </w:r>
          </w:p>
        </w:tc>
        <w:tc>
          <w:tcPr>
            <w:tcW w:w="1262" w:type="dxa"/>
          </w:tcPr>
          <w:p w14:paraId="48115D96"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2019</w:t>
            </w:r>
          </w:p>
        </w:tc>
        <w:tc>
          <w:tcPr>
            <w:tcW w:w="1460" w:type="dxa"/>
          </w:tcPr>
          <w:p w14:paraId="5D400C19"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5.579.314</w:t>
            </w:r>
          </w:p>
          <w:p w14:paraId="7D1CF54B" w14:textId="77777777" w:rsidR="00375ED8" w:rsidRPr="00EA1BB2" w:rsidRDefault="00375ED8" w:rsidP="00375ED8">
            <w:pPr>
              <w:jc w:val="center"/>
              <w:rPr>
                <w:rFonts w:ascii="Cambria" w:hAnsi="Cambria" w:cs="Times New Roman"/>
                <w:sz w:val="20"/>
                <w:szCs w:val="20"/>
                <w:lang w:val="ro-RO"/>
              </w:rPr>
            </w:pPr>
          </w:p>
        </w:tc>
        <w:tc>
          <w:tcPr>
            <w:tcW w:w="1599" w:type="dxa"/>
          </w:tcPr>
          <w:p w14:paraId="5AFB32C2"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MDRAPFE</w:t>
            </w:r>
          </w:p>
          <w:p w14:paraId="71D727B2"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PNDL II</w:t>
            </w:r>
          </w:p>
        </w:tc>
        <w:tc>
          <w:tcPr>
            <w:tcW w:w="1701" w:type="dxa"/>
          </w:tcPr>
          <w:p w14:paraId="661AD518"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349E551A" w14:textId="77777777" w:rsidTr="00A812FA">
        <w:trPr>
          <w:trHeight w:val="57"/>
          <w:jc w:val="center"/>
        </w:trPr>
        <w:tc>
          <w:tcPr>
            <w:tcW w:w="851" w:type="dxa"/>
            <w:vMerge/>
          </w:tcPr>
          <w:p w14:paraId="46C161F7" w14:textId="77777777" w:rsidR="00375ED8" w:rsidRPr="00EA1BB2" w:rsidRDefault="00375ED8" w:rsidP="00375ED8">
            <w:pPr>
              <w:jc w:val="both"/>
              <w:rPr>
                <w:rFonts w:ascii="Cambria" w:hAnsi="Cambria" w:cs="Times New Roman"/>
                <w:sz w:val="20"/>
                <w:szCs w:val="20"/>
                <w:lang w:val="ro-RO"/>
              </w:rPr>
            </w:pPr>
          </w:p>
        </w:tc>
        <w:tc>
          <w:tcPr>
            <w:tcW w:w="2699" w:type="dxa"/>
            <w:vMerge/>
          </w:tcPr>
          <w:p w14:paraId="03D81F38" w14:textId="77777777" w:rsidR="00375ED8" w:rsidRPr="00EA1BB2" w:rsidRDefault="00375ED8" w:rsidP="00375ED8">
            <w:pPr>
              <w:jc w:val="both"/>
              <w:rPr>
                <w:rFonts w:ascii="Cambria" w:hAnsi="Cambria" w:cs="Times New Roman"/>
                <w:bCs/>
                <w:sz w:val="20"/>
                <w:szCs w:val="20"/>
                <w:lang w:val="ro-RO"/>
              </w:rPr>
            </w:pPr>
          </w:p>
        </w:tc>
        <w:tc>
          <w:tcPr>
            <w:tcW w:w="3753" w:type="dxa"/>
          </w:tcPr>
          <w:p w14:paraId="15325CB2"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 xml:space="preserve">Lucrări modernizare  DJ 212A: Brăila – Mărașu, Km42+000-km59+000 </w:t>
            </w:r>
          </w:p>
          <w:p w14:paraId="481AD8BA"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L=17,0km</w:t>
            </w:r>
          </w:p>
        </w:tc>
        <w:tc>
          <w:tcPr>
            <w:tcW w:w="1559" w:type="dxa"/>
          </w:tcPr>
          <w:p w14:paraId="48F93D06"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C.J. Brăila</w:t>
            </w:r>
          </w:p>
        </w:tc>
        <w:tc>
          <w:tcPr>
            <w:tcW w:w="1262" w:type="dxa"/>
          </w:tcPr>
          <w:p w14:paraId="1CA6E6C6"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2019</w:t>
            </w:r>
          </w:p>
        </w:tc>
        <w:tc>
          <w:tcPr>
            <w:tcW w:w="1460" w:type="dxa"/>
          </w:tcPr>
          <w:p w14:paraId="49EFFA5E"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22.947.938</w:t>
            </w:r>
          </w:p>
          <w:p w14:paraId="1664CA15" w14:textId="77777777" w:rsidR="00375ED8" w:rsidRPr="00EA1BB2" w:rsidRDefault="00375ED8" w:rsidP="00375ED8">
            <w:pPr>
              <w:jc w:val="center"/>
              <w:rPr>
                <w:rFonts w:ascii="Cambria" w:hAnsi="Cambria" w:cs="Times New Roman"/>
                <w:sz w:val="20"/>
                <w:szCs w:val="20"/>
                <w:lang w:val="ro-RO"/>
              </w:rPr>
            </w:pPr>
          </w:p>
        </w:tc>
        <w:tc>
          <w:tcPr>
            <w:tcW w:w="1599" w:type="dxa"/>
          </w:tcPr>
          <w:p w14:paraId="33A94A9E"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MDRAPFE</w:t>
            </w:r>
          </w:p>
          <w:p w14:paraId="00A051B7"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PNDL II</w:t>
            </w:r>
          </w:p>
        </w:tc>
        <w:tc>
          <w:tcPr>
            <w:tcW w:w="1701" w:type="dxa"/>
          </w:tcPr>
          <w:p w14:paraId="216B8371"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2609C71E" w14:textId="77777777" w:rsidTr="00A812FA">
        <w:trPr>
          <w:trHeight w:val="57"/>
          <w:jc w:val="center"/>
        </w:trPr>
        <w:tc>
          <w:tcPr>
            <w:tcW w:w="851" w:type="dxa"/>
            <w:vMerge/>
          </w:tcPr>
          <w:p w14:paraId="39339DA0" w14:textId="77777777" w:rsidR="00375ED8" w:rsidRPr="00EA1BB2" w:rsidRDefault="00375ED8" w:rsidP="00375ED8">
            <w:pPr>
              <w:jc w:val="both"/>
              <w:rPr>
                <w:rFonts w:ascii="Cambria" w:hAnsi="Cambria" w:cs="Times New Roman"/>
                <w:sz w:val="20"/>
                <w:szCs w:val="20"/>
                <w:lang w:val="ro-RO"/>
              </w:rPr>
            </w:pPr>
          </w:p>
        </w:tc>
        <w:tc>
          <w:tcPr>
            <w:tcW w:w="2699" w:type="dxa"/>
            <w:vMerge/>
          </w:tcPr>
          <w:p w14:paraId="0C32D6C9" w14:textId="77777777" w:rsidR="00375ED8" w:rsidRPr="00EA1BB2" w:rsidRDefault="00375ED8" w:rsidP="00375ED8">
            <w:pPr>
              <w:jc w:val="both"/>
              <w:rPr>
                <w:rFonts w:ascii="Cambria" w:hAnsi="Cambria" w:cs="Times New Roman"/>
                <w:bCs/>
                <w:sz w:val="20"/>
                <w:szCs w:val="20"/>
                <w:lang w:val="ro-RO"/>
              </w:rPr>
            </w:pPr>
          </w:p>
        </w:tc>
        <w:tc>
          <w:tcPr>
            <w:tcW w:w="3753" w:type="dxa"/>
          </w:tcPr>
          <w:p w14:paraId="15669C1D"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Lucrări reabilitare DJ 211B Victoria - Mihai Bravu, km17+550-km27+550</w:t>
            </w:r>
          </w:p>
          <w:p w14:paraId="1C7FB5C4" w14:textId="77777777" w:rsidR="00375ED8" w:rsidRPr="00EA1BB2" w:rsidRDefault="00375ED8" w:rsidP="00375ED8">
            <w:pPr>
              <w:rPr>
                <w:rFonts w:ascii="Cambria" w:hAnsi="Cambria" w:cs="Times New Roman"/>
                <w:sz w:val="20"/>
                <w:szCs w:val="20"/>
                <w:lang w:val="ro-RO"/>
              </w:rPr>
            </w:pPr>
            <w:r w:rsidRPr="00EA1BB2">
              <w:rPr>
                <w:rFonts w:ascii="Cambria" w:hAnsi="Cambria"/>
                <w:sz w:val="20"/>
                <w:szCs w:val="20"/>
                <w:lang w:val="ro-RO"/>
              </w:rPr>
              <w:t>L=10,0 km</w:t>
            </w:r>
          </w:p>
        </w:tc>
        <w:tc>
          <w:tcPr>
            <w:tcW w:w="1559" w:type="dxa"/>
          </w:tcPr>
          <w:p w14:paraId="6A6CE0A4"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C.J. Brăila</w:t>
            </w:r>
          </w:p>
        </w:tc>
        <w:tc>
          <w:tcPr>
            <w:tcW w:w="1262" w:type="dxa"/>
          </w:tcPr>
          <w:p w14:paraId="6DF2D582"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2019</w:t>
            </w:r>
          </w:p>
        </w:tc>
        <w:tc>
          <w:tcPr>
            <w:tcW w:w="1460" w:type="dxa"/>
          </w:tcPr>
          <w:p w14:paraId="17F5C594"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13.675.541</w:t>
            </w:r>
          </w:p>
          <w:p w14:paraId="4AA9813A" w14:textId="77777777" w:rsidR="00375ED8" w:rsidRPr="00EA1BB2" w:rsidRDefault="00375ED8" w:rsidP="00375ED8">
            <w:pPr>
              <w:jc w:val="center"/>
              <w:rPr>
                <w:rFonts w:ascii="Cambria" w:hAnsi="Cambria" w:cs="Times New Roman"/>
                <w:sz w:val="20"/>
                <w:szCs w:val="20"/>
                <w:lang w:val="ro-RO"/>
              </w:rPr>
            </w:pPr>
          </w:p>
        </w:tc>
        <w:tc>
          <w:tcPr>
            <w:tcW w:w="1599" w:type="dxa"/>
          </w:tcPr>
          <w:p w14:paraId="63CF6C54"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MDRAPFE</w:t>
            </w:r>
          </w:p>
          <w:p w14:paraId="277BBFB0"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PNDL II</w:t>
            </w:r>
          </w:p>
        </w:tc>
        <w:tc>
          <w:tcPr>
            <w:tcW w:w="1701" w:type="dxa"/>
          </w:tcPr>
          <w:p w14:paraId="51758F5D"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reabilitat</w:t>
            </w:r>
          </w:p>
        </w:tc>
      </w:tr>
      <w:tr w:rsidR="00375ED8" w:rsidRPr="00EA1BB2" w14:paraId="5AAEC15D" w14:textId="77777777" w:rsidTr="00A812FA">
        <w:trPr>
          <w:trHeight w:val="709"/>
          <w:jc w:val="center"/>
        </w:trPr>
        <w:tc>
          <w:tcPr>
            <w:tcW w:w="851" w:type="dxa"/>
            <w:vMerge/>
          </w:tcPr>
          <w:p w14:paraId="602885B1" w14:textId="77777777" w:rsidR="00375ED8" w:rsidRPr="00EA1BB2" w:rsidRDefault="00375ED8" w:rsidP="00375ED8">
            <w:pPr>
              <w:jc w:val="both"/>
              <w:rPr>
                <w:rFonts w:ascii="Cambria" w:hAnsi="Cambria" w:cs="Times New Roman"/>
                <w:sz w:val="20"/>
                <w:szCs w:val="20"/>
                <w:lang w:val="ro-RO"/>
              </w:rPr>
            </w:pPr>
          </w:p>
        </w:tc>
        <w:tc>
          <w:tcPr>
            <w:tcW w:w="2699" w:type="dxa"/>
            <w:vMerge/>
          </w:tcPr>
          <w:p w14:paraId="0D9DAF32" w14:textId="77777777" w:rsidR="00375ED8" w:rsidRPr="00EA1BB2" w:rsidRDefault="00375ED8" w:rsidP="00375ED8">
            <w:pPr>
              <w:jc w:val="both"/>
              <w:rPr>
                <w:rFonts w:ascii="Cambria" w:hAnsi="Cambria" w:cs="Times New Roman"/>
                <w:bCs/>
                <w:sz w:val="20"/>
                <w:szCs w:val="20"/>
                <w:lang w:val="ro-RO"/>
              </w:rPr>
            </w:pPr>
          </w:p>
        </w:tc>
        <w:tc>
          <w:tcPr>
            <w:tcW w:w="3753" w:type="dxa"/>
          </w:tcPr>
          <w:p w14:paraId="7556C71C" w14:textId="77777777" w:rsidR="00375ED8" w:rsidRPr="00EA1BB2" w:rsidRDefault="00375ED8" w:rsidP="00375ED8">
            <w:pPr>
              <w:rPr>
                <w:rFonts w:ascii="Cambria" w:hAnsi="Cambria"/>
                <w:sz w:val="20"/>
                <w:szCs w:val="20"/>
                <w:lang w:val="ro-RO"/>
              </w:rPr>
            </w:pPr>
            <w:r w:rsidRPr="00EA1BB2">
              <w:rPr>
                <w:rFonts w:ascii="Cambria" w:hAnsi="Cambria"/>
                <w:sz w:val="20"/>
                <w:szCs w:val="20"/>
                <w:lang w:val="ro-RO"/>
              </w:rPr>
              <w:t>Lucrări reabilitare  DJ 221B Brăila – Vădeni, km1+000-km7+300</w:t>
            </w:r>
          </w:p>
          <w:p w14:paraId="1D2174FC"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L= 6,3Km</w:t>
            </w:r>
          </w:p>
        </w:tc>
        <w:tc>
          <w:tcPr>
            <w:tcW w:w="1559" w:type="dxa"/>
          </w:tcPr>
          <w:p w14:paraId="2791AC1C"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C.J. Brăila</w:t>
            </w:r>
          </w:p>
        </w:tc>
        <w:tc>
          <w:tcPr>
            <w:tcW w:w="1262" w:type="dxa"/>
          </w:tcPr>
          <w:p w14:paraId="1A84695E"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2019</w:t>
            </w:r>
          </w:p>
        </w:tc>
        <w:tc>
          <w:tcPr>
            <w:tcW w:w="1460" w:type="dxa"/>
          </w:tcPr>
          <w:p w14:paraId="64CB01A7"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11.136.373</w:t>
            </w:r>
          </w:p>
          <w:p w14:paraId="5B0B60F2" w14:textId="77777777" w:rsidR="00375ED8" w:rsidRPr="00EA1BB2" w:rsidRDefault="00375ED8" w:rsidP="00375ED8">
            <w:pPr>
              <w:jc w:val="center"/>
              <w:rPr>
                <w:rFonts w:ascii="Cambria" w:hAnsi="Cambria" w:cs="Times New Roman"/>
                <w:sz w:val="20"/>
                <w:szCs w:val="20"/>
                <w:lang w:val="ro-RO"/>
              </w:rPr>
            </w:pPr>
          </w:p>
        </w:tc>
        <w:tc>
          <w:tcPr>
            <w:tcW w:w="1599" w:type="dxa"/>
          </w:tcPr>
          <w:p w14:paraId="5E9318BA"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MDRAPFE</w:t>
            </w:r>
          </w:p>
          <w:p w14:paraId="4C28783A"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PNDL II</w:t>
            </w:r>
          </w:p>
        </w:tc>
        <w:tc>
          <w:tcPr>
            <w:tcW w:w="1701" w:type="dxa"/>
          </w:tcPr>
          <w:p w14:paraId="47992F0C"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reabilitat</w:t>
            </w:r>
          </w:p>
        </w:tc>
      </w:tr>
      <w:tr w:rsidR="00375ED8" w:rsidRPr="00EA1BB2" w14:paraId="59B36D1D" w14:textId="77777777" w:rsidTr="00A812FA">
        <w:trPr>
          <w:trHeight w:val="1360"/>
          <w:jc w:val="center"/>
        </w:trPr>
        <w:tc>
          <w:tcPr>
            <w:tcW w:w="851" w:type="dxa"/>
            <w:vMerge/>
          </w:tcPr>
          <w:p w14:paraId="7D3CFD19" w14:textId="77777777" w:rsidR="00375ED8" w:rsidRPr="00EA1BB2" w:rsidRDefault="00375ED8" w:rsidP="00375ED8">
            <w:pPr>
              <w:jc w:val="both"/>
              <w:rPr>
                <w:rFonts w:ascii="Cambria" w:hAnsi="Cambria" w:cs="Times New Roman"/>
                <w:sz w:val="20"/>
                <w:szCs w:val="20"/>
                <w:lang w:val="ro-RO"/>
              </w:rPr>
            </w:pPr>
          </w:p>
        </w:tc>
        <w:tc>
          <w:tcPr>
            <w:tcW w:w="2699" w:type="dxa"/>
            <w:vMerge/>
          </w:tcPr>
          <w:p w14:paraId="27C6B300" w14:textId="77777777" w:rsidR="00375ED8" w:rsidRPr="00EA1BB2" w:rsidRDefault="00375ED8" w:rsidP="00375ED8">
            <w:pPr>
              <w:jc w:val="both"/>
              <w:rPr>
                <w:rFonts w:ascii="Cambria" w:hAnsi="Cambria" w:cs="Times New Roman"/>
                <w:bCs/>
                <w:sz w:val="20"/>
                <w:szCs w:val="20"/>
                <w:lang w:val="ro-RO"/>
              </w:rPr>
            </w:pPr>
          </w:p>
        </w:tc>
        <w:tc>
          <w:tcPr>
            <w:tcW w:w="3753" w:type="dxa"/>
          </w:tcPr>
          <w:p w14:paraId="0CCDD7DA"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Asigurarea accesibilității directe pe traseul Silistraru-Unirea-Gropeni, către coridorul TEN-T Brăila - Buzău și linia Dunării</w:t>
            </w:r>
          </w:p>
          <w:p w14:paraId="4FDE794C"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Ltraseu=17,6Km</w:t>
            </w:r>
          </w:p>
          <w:p w14:paraId="24E02DCE" w14:textId="77777777" w:rsidR="00375ED8" w:rsidRPr="00EA1BB2" w:rsidRDefault="00375ED8" w:rsidP="00375ED8">
            <w:pPr>
              <w:rPr>
                <w:rFonts w:ascii="Cambria" w:hAnsi="Cambria"/>
                <w:sz w:val="20"/>
                <w:szCs w:val="20"/>
                <w:lang w:val="ro-RO"/>
              </w:rPr>
            </w:pPr>
            <w:r w:rsidRPr="00EA1BB2">
              <w:rPr>
                <w:rFonts w:ascii="Cambria" w:hAnsi="Cambria" w:cs="Times New Roman"/>
                <w:sz w:val="20"/>
                <w:szCs w:val="20"/>
                <w:lang w:val="ro-RO"/>
              </w:rPr>
              <w:t>Lpiste biciclete= 2,3Km</w:t>
            </w:r>
          </w:p>
        </w:tc>
        <w:tc>
          <w:tcPr>
            <w:tcW w:w="1559" w:type="dxa"/>
          </w:tcPr>
          <w:p w14:paraId="4749FF78"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C.J. Brăila</w:t>
            </w:r>
          </w:p>
          <w:p w14:paraId="7CDA6AF1"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Unirea</w:t>
            </w:r>
          </w:p>
          <w:p w14:paraId="6245A346"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Traian</w:t>
            </w:r>
          </w:p>
          <w:p w14:paraId="24959ADC"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Gropeni</w:t>
            </w:r>
          </w:p>
        </w:tc>
        <w:tc>
          <w:tcPr>
            <w:tcW w:w="1262" w:type="dxa"/>
          </w:tcPr>
          <w:p w14:paraId="1A62A904"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2020</w:t>
            </w:r>
          </w:p>
        </w:tc>
        <w:tc>
          <w:tcPr>
            <w:tcW w:w="1460" w:type="dxa"/>
          </w:tcPr>
          <w:p w14:paraId="55FAAFAE"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42.660.123</w:t>
            </w:r>
          </w:p>
        </w:tc>
        <w:tc>
          <w:tcPr>
            <w:tcW w:w="1599" w:type="dxa"/>
          </w:tcPr>
          <w:p w14:paraId="0D328D04"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POR</w:t>
            </w:r>
          </w:p>
          <w:p w14:paraId="67588E05"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2014-2020</w:t>
            </w:r>
          </w:p>
          <w:p w14:paraId="4B4D3F2A"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FEDR 85%</w:t>
            </w:r>
          </w:p>
          <w:p w14:paraId="6D7D16EE"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Buget national 13%</w:t>
            </w:r>
          </w:p>
          <w:p w14:paraId="72E59F25"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Buget local 2%</w:t>
            </w:r>
          </w:p>
        </w:tc>
        <w:tc>
          <w:tcPr>
            <w:tcW w:w="1701" w:type="dxa"/>
          </w:tcPr>
          <w:p w14:paraId="6E1743DA"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modernizat</w:t>
            </w:r>
          </w:p>
          <w:p w14:paraId="0D92F451"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piste biciclete</w:t>
            </w:r>
          </w:p>
        </w:tc>
      </w:tr>
      <w:tr w:rsidR="00375ED8" w:rsidRPr="00EA1BB2" w14:paraId="39D11EA1" w14:textId="77777777" w:rsidTr="00A812FA">
        <w:trPr>
          <w:trHeight w:val="284"/>
          <w:jc w:val="center"/>
        </w:trPr>
        <w:tc>
          <w:tcPr>
            <w:tcW w:w="851" w:type="dxa"/>
            <w:vMerge/>
          </w:tcPr>
          <w:p w14:paraId="536DD963" w14:textId="77777777" w:rsidR="00375ED8" w:rsidRPr="00EA1BB2" w:rsidRDefault="00375ED8" w:rsidP="00375ED8">
            <w:pPr>
              <w:jc w:val="both"/>
              <w:rPr>
                <w:rFonts w:ascii="Cambria" w:hAnsi="Cambria" w:cs="Times New Roman"/>
                <w:sz w:val="20"/>
                <w:szCs w:val="20"/>
                <w:lang w:val="ro-RO"/>
              </w:rPr>
            </w:pPr>
          </w:p>
        </w:tc>
        <w:tc>
          <w:tcPr>
            <w:tcW w:w="2699" w:type="dxa"/>
            <w:vMerge/>
          </w:tcPr>
          <w:p w14:paraId="38397B5D" w14:textId="77777777" w:rsidR="00375ED8" w:rsidRPr="00EA1BB2" w:rsidRDefault="00375ED8" w:rsidP="00375ED8">
            <w:pPr>
              <w:jc w:val="both"/>
              <w:rPr>
                <w:rFonts w:ascii="Cambria" w:hAnsi="Cambria" w:cs="Times New Roman"/>
                <w:bCs/>
                <w:sz w:val="20"/>
                <w:szCs w:val="20"/>
                <w:lang w:val="ro-RO"/>
              </w:rPr>
            </w:pPr>
          </w:p>
        </w:tc>
        <w:tc>
          <w:tcPr>
            <w:tcW w:w="3753" w:type="dxa"/>
          </w:tcPr>
          <w:p w14:paraId="103E74CE"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Modernizarea infrastructurii de transport județean pe traseul Gulianca-Ianca-Viziru, asigurând conectivitatea directă cu coridorul TEN-T Brăila – Buzău</w:t>
            </w:r>
          </w:p>
          <w:p w14:paraId="4713CA64"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L=61,12Km</w:t>
            </w:r>
          </w:p>
          <w:p w14:paraId="5D484A13"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Lpistă biciclete=</w:t>
            </w:r>
          </w:p>
          <w:p w14:paraId="394E9C63"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2,37km</w:t>
            </w:r>
          </w:p>
          <w:p w14:paraId="17D24182"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lastRenderedPageBreak/>
              <w:t>Sparcări=0,04ha</w:t>
            </w:r>
          </w:p>
        </w:tc>
        <w:tc>
          <w:tcPr>
            <w:tcW w:w="1559" w:type="dxa"/>
          </w:tcPr>
          <w:p w14:paraId="7827CCE6"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lastRenderedPageBreak/>
              <w:t>C.J. Brăila</w:t>
            </w:r>
          </w:p>
          <w:p w14:paraId="29EC87FF"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Ianca</w:t>
            </w:r>
          </w:p>
          <w:p w14:paraId="7229FF9A"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Salcia Tudor</w:t>
            </w:r>
          </w:p>
          <w:p w14:paraId="503F991A"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 xml:space="preserve">Primarul localității </w:t>
            </w:r>
            <w:r w:rsidRPr="00EA1BB2">
              <w:rPr>
                <w:rFonts w:ascii="Cambria" w:hAnsi="Cambria" w:cs="Times New Roman"/>
                <w:sz w:val="20"/>
                <w:szCs w:val="20"/>
                <w:lang w:val="ro-RO"/>
              </w:rPr>
              <w:lastRenderedPageBreak/>
              <w:t>Rîmnicelu</w:t>
            </w:r>
          </w:p>
          <w:p w14:paraId="32E1527D"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Racoviță</w:t>
            </w:r>
          </w:p>
          <w:p w14:paraId="0926494D"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Grădiștea</w:t>
            </w:r>
          </w:p>
          <w:p w14:paraId="1CD6B1D1"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Șutești</w:t>
            </w:r>
          </w:p>
          <w:p w14:paraId="73706428"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Bordei- Verde</w:t>
            </w:r>
          </w:p>
          <w:p w14:paraId="39BF4C71"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Viziru</w:t>
            </w:r>
          </w:p>
        </w:tc>
        <w:tc>
          <w:tcPr>
            <w:tcW w:w="1262" w:type="dxa"/>
          </w:tcPr>
          <w:p w14:paraId="7AE452E7"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lastRenderedPageBreak/>
              <w:t>2020</w:t>
            </w:r>
          </w:p>
        </w:tc>
        <w:tc>
          <w:tcPr>
            <w:tcW w:w="1460" w:type="dxa"/>
          </w:tcPr>
          <w:p w14:paraId="244D6F8A"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93.297.414</w:t>
            </w:r>
          </w:p>
        </w:tc>
        <w:tc>
          <w:tcPr>
            <w:tcW w:w="1599" w:type="dxa"/>
          </w:tcPr>
          <w:p w14:paraId="49BCD248"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POR</w:t>
            </w:r>
          </w:p>
          <w:p w14:paraId="6BDBE321"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2014-2020</w:t>
            </w:r>
          </w:p>
          <w:p w14:paraId="6DA5540F"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FEDR 85%</w:t>
            </w:r>
          </w:p>
          <w:p w14:paraId="7A96B304"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Buget național 13%</w:t>
            </w:r>
          </w:p>
          <w:p w14:paraId="025E8C21"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Buget local 2%</w:t>
            </w:r>
          </w:p>
          <w:p w14:paraId="00328238" w14:textId="77777777" w:rsidR="00375ED8" w:rsidRPr="00EA1BB2" w:rsidRDefault="00375ED8" w:rsidP="00375ED8">
            <w:pPr>
              <w:jc w:val="center"/>
              <w:rPr>
                <w:rFonts w:ascii="Cambria" w:hAnsi="Cambria" w:cs="Times New Roman"/>
                <w:sz w:val="20"/>
                <w:szCs w:val="20"/>
                <w:lang w:val="ro-RO"/>
              </w:rPr>
            </w:pPr>
          </w:p>
        </w:tc>
        <w:tc>
          <w:tcPr>
            <w:tcW w:w="1701" w:type="dxa"/>
          </w:tcPr>
          <w:p w14:paraId="2CBA429D"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modernizat</w:t>
            </w:r>
          </w:p>
          <w:p w14:paraId="009A4837"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piste biciclete</w:t>
            </w:r>
          </w:p>
        </w:tc>
      </w:tr>
      <w:tr w:rsidR="00375ED8" w:rsidRPr="00EA1BB2" w14:paraId="72B16F84" w14:textId="77777777" w:rsidTr="00A812FA">
        <w:trPr>
          <w:trHeight w:val="259"/>
          <w:jc w:val="center"/>
        </w:trPr>
        <w:tc>
          <w:tcPr>
            <w:tcW w:w="851" w:type="dxa"/>
            <w:vMerge w:val="restart"/>
          </w:tcPr>
          <w:p w14:paraId="2690C641"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M.1.2.</w:t>
            </w:r>
          </w:p>
        </w:tc>
        <w:tc>
          <w:tcPr>
            <w:tcW w:w="2699" w:type="dxa"/>
            <w:vMerge w:val="restart"/>
          </w:tcPr>
          <w:p w14:paraId="1B1280A9" w14:textId="77777777" w:rsidR="00375ED8" w:rsidRPr="00EA1BB2" w:rsidRDefault="00375ED8" w:rsidP="00375ED8">
            <w:pPr>
              <w:jc w:val="both"/>
              <w:rPr>
                <w:rFonts w:ascii="Cambria" w:hAnsi="Cambria" w:cs="Times New Roman"/>
                <w:bCs/>
                <w:sz w:val="20"/>
                <w:szCs w:val="20"/>
                <w:lang w:val="ro-RO"/>
              </w:rPr>
            </w:pPr>
            <w:r w:rsidRPr="00EA1BB2">
              <w:rPr>
                <w:rFonts w:ascii="Cambria" w:hAnsi="Cambria" w:cs="Times New Roman"/>
                <w:bCs/>
                <w:sz w:val="20"/>
                <w:szCs w:val="20"/>
                <w:lang w:val="ro-RO"/>
              </w:rPr>
              <w:t xml:space="preserve">Modernizarea drumurilor comunale și a străzilor din satele componente UAT-lor </w:t>
            </w:r>
          </w:p>
        </w:tc>
        <w:tc>
          <w:tcPr>
            <w:tcW w:w="3753" w:type="dxa"/>
          </w:tcPr>
          <w:p w14:paraId="2FDE8D17"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Covor asfaltic DC 17 Km0+000-1+705- Însurăței</w:t>
            </w:r>
          </w:p>
          <w:p w14:paraId="07D77FF4"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t>L= 1.705 Km</w:t>
            </w:r>
          </w:p>
        </w:tc>
        <w:tc>
          <w:tcPr>
            <w:tcW w:w="1559" w:type="dxa"/>
            <w:vMerge w:val="restart"/>
          </w:tcPr>
          <w:p w14:paraId="715469E3"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Însurăței</w:t>
            </w:r>
          </w:p>
        </w:tc>
        <w:tc>
          <w:tcPr>
            <w:tcW w:w="1262" w:type="dxa"/>
          </w:tcPr>
          <w:p w14:paraId="4E6F16C9"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2018</w:t>
            </w:r>
          </w:p>
        </w:tc>
        <w:tc>
          <w:tcPr>
            <w:tcW w:w="1460" w:type="dxa"/>
          </w:tcPr>
          <w:p w14:paraId="16C9F776"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946.421</w:t>
            </w:r>
          </w:p>
        </w:tc>
        <w:tc>
          <w:tcPr>
            <w:tcW w:w="1599" w:type="dxa"/>
          </w:tcPr>
          <w:p w14:paraId="5D27268F"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w:t>
            </w:r>
          </w:p>
        </w:tc>
        <w:tc>
          <w:tcPr>
            <w:tcW w:w="1701" w:type="dxa"/>
          </w:tcPr>
          <w:p w14:paraId="41FF1ABC"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328AB449" w14:textId="77777777" w:rsidTr="00A812FA">
        <w:trPr>
          <w:trHeight w:val="150"/>
          <w:jc w:val="center"/>
        </w:trPr>
        <w:tc>
          <w:tcPr>
            <w:tcW w:w="851" w:type="dxa"/>
            <w:vMerge/>
          </w:tcPr>
          <w:p w14:paraId="1C101743" w14:textId="77777777" w:rsidR="00375ED8" w:rsidRPr="00EA1BB2" w:rsidRDefault="00375ED8" w:rsidP="00375ED8">
            <w:pPr>
              <w:jc w:val="both"/>
              <w:rPr>
                <w:rFonts w:ascii="Cambria" w:hAnsi="Cambria" w:cs="Times New Roman"/>
                <w:sz w:val="20"/>
                <w:szCs w:val="20"/>
                <w:lang w:val="ro-RO"/>
              </w:rPr>
            </w:pPr>
          </w:p>
        </w:tc>
        <w:tc>
          <w:tcPr>
            <w:tcW w:w="2699" w:type="dxa"/>
            <w:vMerge/>
          </w:tcPr>
          <w:p w14:paraId="30592601" w14:textId="77777777" w:rsidR="00375ED8" w:rsidRPr="00EA1BB2" w:rsidRDefault="00375ED8" w:rsidP="00375ED8">
            <w:pPr>
              <w:jc w:val="both"/>
              <w:rPr>
                <w:rFonts w:ascii="Cambria" w:hAnsi="Cambria" w:cs="Times New Roman"/>
                <w:bCs/>
                <w:sz w:val="20"/>
                <w:szCs w:val="20"/>
                <w:lang w:val="ro-RO"/>
              </w:rPr>
            </w:pPr>
          </w:p>
        </w:tc>
        <w:tc>
          <w:tcPr>
            <w:tcW w:w="3753" w:type="dxa"/>
          </w:tcPr>
          <w:p w14:paraId="6713C4D6"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Modernizare DC 21 km 0+000-km2+500 – Însurăței</w:t>
            </w:r>
          </w:p>
          <w:p w14:paraId="7C7322BA"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t>L= 2,50 Km</w:t>
            </w:r>
          </w:p>
        </w:tc>
        <w:tc>
          <w:tcPr>
            <w:tcW w:w="1559" w:type="dxa"/>
            <w:vMerge/>
          </w:tcPr>
          <w:p w14:paraId="6808235E" w14:textId="77777777" w:rsidR="00375ED8" w:rsidRPr="00EA1BB2" w:rsidRDefault="00375ED8" w:rsidP="00375ED8">
            <w:pPr>
              <w:jc w:val="center"/>
              <w:rPr>
                <w:rFonts w:ascii="Cambria" w:hAnsi="Cambria" w:cs="Times New Roman"/>
                <w:sz w:val="20"/>
                <w:szCs w:val="20"/>
                <w:lang w:val="ro-RO"/>
              </w:rPr>
            </w:pPr>
          </w:p>
        </w:tc>
        <w:tc>
          <w:tcPr>
            <w:tcW w:w="1262" w:type="dxa"/>
          </w:tcPr>
          <w:p w14:paraId="1B41B946"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2018</w:t>
            </w:r>
          </w:p>
        </w:tc>
        <w:tc>
          <w:tcPr>
            <w:tcW w:w="1460" w:type="dxa"/>
          </w:tcPr>
          <w:p w14:paraId="436D6A07"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1.410.137</w:t>
            </w:r>
          </w:p>
        </w:tc>
        <w:tc>
          <w:tcPr>
            <w:tcW w:w="1599" w:type="dxa"/>
          </w:tcPr>
          <w:p w14:paraId="57895FD7"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BL+CJ</w:t>
            </w:r>
          </w:p>
        </w:tc>
        <w:tc>
          <w:tcPr>
            <w:tcW w:w="1701" w:type="dxa"/>
          </w:tcPr>
          <w:p w14:paraId="4C2E9804"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7D012D62" w14:textId="77777777" w:rsidTr="00A812FA">
        <w:trPr>
          <w:trHeight w:val="420"/>
          <w:jc w:val="center"/>
        </w:trPr>
        <w:tc>
          <w:tcPr>
            <w:tcW w:w="851" w:type="dxa"/>
            <w:vMerge/>
          </w:tcPr>
          <w:p w14:paraId="0E331E67" w14:textId="77777777" w:rsidR="00375ED8" w:rsidRPr="00EA1BB2" w:rsidRDefault="00375ED8" w:rsidP="00375ED8">
            <w:pPr>
              <w:jc w:val="both"/>
              <w:rPr>
                <w:rFonts w:ascii="Cambria" w:hAnsi="Cambria" w:cs="Times New Roman"/>
                <w:sz w:val="20"/>
                <w:szCs w:val="20"/>
                <w:lang w:val="ro-RO"/>
              </w:rPr>
            </w:pPr>
          </w:p>
        </w:tc>
        <w:tc>
          <w:tcPr>
            <w:tcW w:w="2699" w:type="dxa"/>
            <w:vMerge/>
          </w:tcPr>
          <w:p w14:paraId="5A220CA4" w14:textId="77777777" w:rsidR="00375ED8" w:rsidRPr="00EA1BB2" w:rsidRDefault="00375ED8" w:rsidP="00375ED8">
            <w:pPr>
              <w:jc w:val="both"/>
              <w:rPr>
                <w:rFonts w:ascii="Cambria" w:hAnsi="Cambria" w:cs="Times New Roman"/>
                <w:bCs/>
                <w:sz w:val="20"/>
                <w:szCs w:val="20"/>
                <w:lang w:val="ro-RO"/>
              </w:rPr>
            </w:pPr>
          </w:p>
        </w:tc>
        <w:tc>
          <w:tcPr>
            <w:tcW w:w="3753" w:type="dxa"/>
          </w:tcPr>
          <w:p w14:paraId="674BC465" w14:textId="77777777" w:rsidR="00375ED8" w:rsidRPr="00EA1BB2" w:rsidRDefault="00375ED8" w:rsidP="00375ED8">
            <w:pPr>
              <w:rPr>
                <w:rFonts w:ascii="Cambria" w:hAnsi="Cambria" w:cs="Times New Roman"/>
                <w:sz w:val="20"/>
                <w:szCs w:val="20"/>
                <w:lang w:val="ro-RO"/>
              </w:rPr>
            </w:pPr>
            <w:r w:rsidRPr="00EA1BB2">
              <w:rPr>
                <w:rFonts w:ascii="Cambria" w:hAnsi="Cambria"/>
                <w:sz w:val="20"/>
                <w:szCs w:val="20"/>
                <w:lang w:val="ro-RO"/>
              </w:rPr>
              <w:t>Asfaltare si pietruire str. Mecanizatorului - Însurăței</w:t>
            </w:r>
          </w:p>
          <w:p w14:paraId="60BA4835" w14:textId="77777777" w:rsidR="00375ED8" w:rsidRPr="00EA1BB2" w:rsidRDefault="00375ED8" w:rsidP="00375ED8">
            <w:pPr>
              <w:rPr>
                <w:rFonts w:ascii="Cambria" w:hAnsi="Cambria"/>
                <w:sz w:val="20"/>
                <w:szCs w:val="20"/>
                <w:lang w:val="ro-RO"/>
              </w:rPr>
            </w:pPr>
            <w:r w:rsidRPr="00EA1BB2">
              <w:rPr>
                <w:rFonts w:ascii="Cambria" w:hAnsi="Cambria" w:cs="Times New Roman"/>
                <w:sz w:val="20"/>
                <w:szCs w:val="20"/>
                <w:lang w:val="ro-RO"/>
              </w:rPr>
              <w:t>L= 2.804 Km</w:t>
            </w:r>
          </w:p>
        </w:tc>
        <w:tc>
          <w:tcPr>
            <w:tcW w:w="1559" w:type="dxa"/>
            <w:vMerge/>
          </w:tcPr>
          <w:p w14:paraId="6570FA36" w14:textId="77777777" w:rsidR="00375ED8" w:rsidRPr="00EA1BB2" w:rsidRDefault="00375ED8" w:rsidP="00375ED8">
            <w:pPr>
              <w:jc w:val="center"/>
              <w:rPr>
                <w:rFonts w:ascii="Cambria" w:hAnsi="Cambria" w:cs="Times New Roman"/>
                <w:sz w:val="20"/>
                <w:szCs w:val="20"/>
                <w:lang w:val="ro-RO"/>
              </w:rPr>
            </w:pPr>
          </w:p>
        </w:tc>
        <w:tc>
          <w:tcPr>
            <w:tcW w:w="1262" w:type="dxa"/>
          </w:tcPr>
          <w:p w14:paraId="3A3BC51B"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2018</w:t>
            </w:r>
          </w:p>
          <w:p w14:paraId="22056E55" w14:textId="77777777" w:rsidR="00375ED8" w:rsidRPr="00EA1BB2" w:rsidRDefault="00375ED8" w:rsidP="00375ED8">
            <w:pPr>
              <w:jc w:val="center"/>
              <w:rPr>
                <w:rFonts w:ascii="Cambria" w:hAnsi="Cambria" w:cs="Times New Roman"/>
                <w:sz w:val="20"/>
                <w:szCs w:val="20"/>
                <w:lang w:val="ro-RO"/>
              </w:rPr>
            </w:pPr>
          </w:p>
        </w:tc>
        <w:tc>
          <w:tcPr>
            <w:tcW w:w="1460" w:type="dxa"/>
          </w:tcPr>
          <w:p w14:paraId="45667E55"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896.182</w:t>
            </w:r>
          </w:p>
          <w:p w14:paraId="0809595A" w14:textId="77777777" w:rsidR="00375ED8" w:rsidRPr="00EA1BB2" w:rsidRDefault="00375ED8" w:rsidP="00375ED8">
            <w:pPr>
              <w:jc w:val="center"/>
              <w:rPr>
                <w:rFonts w:ascii="Cambria" w:hAnsi="Cambria"/>
                <w:sz w:val="20"/>
                <w:szCs w:val="20"/>
                <w:lang w:val="ro-RO"/>
              </w:rPr>
            </w:pPr>
          </w:p>
        </w:tc>
        <w:tc>
          <w:tcPr>
            <w:tcW w:w="1599" w:type="dxa"/>
          </w:tcPr>
          <w:p w14:paraId="69B57655"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w:t>
            </w:r>
          </w:p>
          <w:p w14:paraId="71899443" w14:textId="77777777" w:rsidR="00375ED8" w:rsidRPr="00EA1BB2" w:rsidRDefault="00375ED8" w:rsidP="00375ED8">
            <w:pPr>
              <w:jc w:val="center"/>
              <w:rPr>
                <w:rFonts w:ascii="Cambria" w:hAnsi="Cambria" w:cs="Times New Roman"/>
                <w:sz w:val="20"/>
                <w:szCs w:val="20"/>
                <w:lang w:val="ro-RO"/>
              </w:rPr>
            </w:pPr>
          </w:p>
        </w:tc>
        <w:tc>
          <w:tcPr>
            <w:tcW w:w="1701" w:type="dxa"/>
          </w:tcPr>
          <w:p w14:paraId="4609B212"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asfaltat</w:t>
            </w:r>
          </w:p>
        </w:tc>
      </w:tr>
      <w:tr w:rsidR="00375ED8" w:rsidRPr="00EA1BB2" w14:paraId="0163484B" w14:textId="77777777" w:rsidTr="00A812FA">
        <w:trPr>
          <w:trHeight w:val="117"/>
          <w:jc w:val="center"/>
        </w:trPr>
        <w:tc>
          <w:tcPr>
            <w:tcW w:w="851" w:type="dxa"/>
            <w:vMerge/>
          </w:tcPr>
          <w:p w14:paraId="3137086E" w14:textId="77777777" w:rsidR="00375ED8" w:rsidRPr="00EA1BB2" w:rsidRDefault="00375ED8" w:rsidP="00375ED8">
            <w:pPr>
              <w:jc w:val="both"/>
              <w:rPr>
                <w:rFonts w:ascii="Cambria" w:hAnsi="Cambria" w:cs="Times New Roman"/>
                <w:sz w:val="20"/>
                <w:szCs w:val="20"/>
                <w:lang w:val="ro-RO"/>
              </w:rPr>
            </w:pPr>
          </w:p>
        </w:tc>
        <w:tc>
          <w:tcPr>
            <w:tcW w:w="2699" w:type="dxa"/>
            <w:vMerge/>
          </w:tcPr>
          <w:p w14:paraId="274B394E" w14:textId="77777777" w:rsidR="00375ED8" w:rsidRPr="00EA1BB2" w:rsidRDefault="00375ED8" w:rsidP="00375ED8">
            <w:pPr>
              <w:jc w:val="both"/>
              <w:rPr>
                <w:rFonts w:ascii="Cambria" w:hAnsi="Cambria" w:cs="Times New Roman"/>
                <w:bCs/>
                <w:sz w:val="20"/>
                <w:szCs w:val="20"/>
                <w:lang w:val="ro-RO"/>
              </w:rPr>
            </w:pPr>
          </w:p>
        </w:tc>
        <w:tc>
          <w:tcPr>
            <w:tcW w:w="3753" w:type="dxa"/>
          </w:tcPr>
          <w:p w14:paraId="0BE23AE8"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Modernizare străzi oraș Însurăței-etapa II</w:t>
            </w:r>
          </w:p>
          <w:p w14:paraId="00FA9A65" w14:textId="77777777" w:rsidR="00375ED8" w:rsidRPr="00EA1BB2" w:rsidRDefault="00375ED8" w:rsidP="00375ED8">
            <w:pPr>
              <w:rPr>
                <w:rFonts w:ascii="Cambria" w:hAnsi="Cambria"/>
                <w:sz w:val="20"/>
                <w:szCs w:val="20"/>
                <w:lang w:val="ro-RO"/>
              </w:rPr>
            </w:pPr>
            <w:r w:rsidRPr="00EA1BB2">
              <w:rPr>
                <w:rFonts w:ascii="Cambria" w:hAnsi="Cambria" w:cs="Times New Roman"/>
                <w:sz w:val="20"/>
                <w:szCs w:val="20"/>
                <w:lang w:val="ro-RO"/>
              </w:rPr>
              <w:t>L= 14,0 Km</w:t>
            </w:r>
          </w:p>
        </w:tc>
        <w:tc>
          <w:tcPr>
            <w:tcW w:w="1559" w:type="dxa"/>
            <w:vMerge/>
          </w:tcPr>
          <w:p w14:paraId="2901CC71" w14:textId="77777777" w:rsidR="00375ED8" w:rsidRPr="00EA1BB2" w:rsidRDefault="00375ED8" w:rsidP="00375ED8">
            <w:pPr>
              <w:jc w:val="center"/>
              <w:rPr>
                <w:rFonts w:ascii="Cambria" w:hAnsi="Cambria" w:cs="Times New Roman"/>
                <w:sz w:val="20"/>
                <w:szCs w:val="20"/>
                <w:lang w:val="ro-RO"/>
              </w:rPr>
            </w:pPr>
          </w:p>
        </w:tc>
        <w:tc>
          <w:tcPr>
            <w:tcW w:w="1262" w:type="dxa"/>
          </w:tcPr>
          <w:p w14:paraId="450CC3EC"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2019</w:t>
            </w:r>
          </w:p>
        </w:tc>
        <w:tc>
          <w:tcPr>
            <w:tcW w:w="1460" w:type="dxa"/>
          </w:tcPr>
          <w:p w14:paraId="15C514E8"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13.615.853</w:t>
            </w:r>
          </w:p>
          <w:p w14:paraId="44BFD41C" w14:textId="77777777" w:rsidR="00375ED8" w:rsidRPr="00EA1BB2" w:rsidRDefault="00375ED8" w:rsidP="00375ED8">
            <w:pPr>
              <w:jc w:val="center"/>
              <w:rPr>
                <w:rFonts w:ascii="Cambria" w:hAnsi="Cambria"/>
                <w:sz w:val="20"/>
                <w:szCs w:val="20"/>
                <w:lang w:val="ro-RO"/>
              </w:rPr>
            </w:pPr>
          </w:p>
        </w:tc>
        <w:tc>
          <w:tcPr>
            <w:tcW w:w="1599" w:type="dxa"/>
          </w:tcPr>
          <w:p w14:paraId="0E39091F"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BL+PNDL</w:t>
            </w:r>
          </w:p>
        </w:tc>
        <w:tc>
          <w:tcPr>
            <w:tcW w:w="1701" w:type="dxa"/>
          </w:tcPr>
          <w:p w14:paraId="3D1FA0A9"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31751305" w14:textId="77777777" w:rsidTr="00A812FA">
        <w:trPr>
          <w:trHeight w:val="769"/>
          <w:jc w:val="center"/>
        </w:trPr>
        <w:tc>
          <w:tcPr>
            <w:tcW w:w="851" w:type="dxa"/>
            <w:vMerge/>
          </w:tcPr>
          <w:p w14:paraId="58D91101" w14:textId="77777777" w:rsidR="00375ED8" w:rsidRPr="00EA1BB2" w:rsidRDefault="00375ED8" w:rsidP="00375ED8">
            <w:pPr>
              <w:jc w:val="both"/>
              <w:rPr>
                <w:rFonts w:ascii="Cambria" w:hAnsi="Cambria" w:cs="Times New Roman"/>
                <w:sz w:val="20"/>
                <w:szCs w:val="20"/>
                <w:lang w:val="ro-RO"/>
              </w:rPr>
            </w:pPr>
          </w:p>
        </w:tc>
        <w:tc>
          <w:tcPr>
            <w:tcW w:w="2699" w:type="dxa"/>
            <w:vMerge/>
          </w:tcPr>
          <w:p w14:paraId="1A6E3034" w14:textId="77777777" w:rsidR="00375ED8" w:rsidRPr="00EA1BB2" w:rsidRDefault="00375ED8" w:rsidP="00375ED8">
            <w:pPr>
              <w:jc w:val="both"/>
              <w:rPr>
                <w:rFonts w:ascii="Cambria" w:hAnsi="Cambria" w:cs="Times New Roman"/>
                <w:bCs/>
                <w:sz w:val="20"/>
                <w:szCs w:val="20"/>
                <w:lang w:val="ro-RO"/>
              </w:rPr>
            </w:pPr>
          </w:p>
        </w:tc>
        <w:tc>
          <w:tcPr>
            <w:tcW w:w="3753" w:type="dxa"/>
          </w:tcPr>
          <w:p w14:paraId="103BFBDB"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Modernizarea străzilor Conacului, Magaziilor, Principala si str. Școala Veche –Însurăței</w:t>
            </w:r>
          </w:p>
          <w:p w14:paraId="6839C68A"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t>L=1,634 Km</w:t>
            </w:r>
          </w:p>
        </w:tc>
        <w:tc>
          <w:tcPr>
            <w:tcW w:w="1559" w:type="dxa"/>
            <w:vMerge/>
          </w:tcPr>
          <w:p w14:paraId="0B828F00" w14:textId="77777777" w:rsidR="00375ED8" w:rsidRPr="00EA1BB2" w:rsidRDefault="00375ED8" w:rsidP="00375ED8">
            <w:pPr>
              <w:jc w:val="center"/>
              <w:rPr>
                <w:rFonts w:ascii="Cambria" w:hAnsi="Cambria" w:cs="Times New Roman"/>
                <w:sz w:val="20"/>
                <w:szCs w:val="20"/>
                <w:lang w:val="ro-RO"/>
              </w:rPr>
            </w:pPr>
          </w:p>
        </w:tc>
        <w:tc>
          <w:tcPr>
            <w:tcW w:w="1262" w:type="dxa"/>
          </w:tcPr>
          <w:p w14:paraId="2AB4B7F0"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2018</w:t>
            </w:r>
          </w:p>
        </w:tc>
        <w:tc>
          <w:tcPr>
            <w:tcW w:w="1460" w:type="dxa"/>
          </w:tcPr>
          <w:p w14:paraId="720129DB"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830.728</w:t>
            </w:r>
          </w:p>
        </w:tc>
        <w:tc>
          <w:tcPr>
            <w:tcW w:w="1599" w:type="dxa"/>
          </w:tcPr>
          <w:p w14:paraId="31AFB530"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w:t>
            </w:r>
          </w:p>
        </w:tc>
        <w:tc>
          <w:tcPr>
            <w:tcW w:w="1701" w:type="dxa"/>
            <w:tcBorders>
              <w:right w:val="single" w:sz="4" w:space="0" w:color="auto"/>
            </w:tcBorders>
          </w:tcPr>
          <w:p w14:paraId="3CC6CB61"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123F9865" w14:textId="77777777" w:rsidTr="00A812FA">
        <w:trPr>
          <w:trHeight w:val="529"/>
          <w:jc w:val="center"/>
        </w:trPr>
        <w:tc>
          <w:tcPr>
            <w:tcW w:w="851" w:type="dxa"/>
            <w:vMerge/>
          </w:tcPr>
          <w:p w14:paraId="736764EE" w14:textId="77777777" w:rsidR="00375ED8" w:rsidRPr="00EA1BB2" w:rsidRDefault="00375ED8" w:rsidP="00375ED8">
            <w:pPr>
              <w:jc w:val="both"/>
              <w:rPr>
                <w:rFonts w:ascii="Cambria" w:hAnsi="Cambria" w:cs="Times New Roman"/>
                <w:sz w:val="20"/>
                <w:szCs w:val="20"/>
                <w:lang w:val="ro-RO"/>
              </w:rPr>
            </w:pPr>
          </w:p>
        </w:tc>
        <w:tc>
          <w:tcPr>
            <w:tcW w:w="2699" w:type="dxa"/>
            <w:vMerge/>
          </w:tcPr>
          <w:p w14:paraId="6097EE8D" w14:textId="77777777" w:rsidR="00375ED8" w:rsidRPr="00EA1BB2" w:rsidRDefault="00375ED8" w:rsidP="00375ED8">
            <w:pPr>
              <w:jc w:val="both"/>
              <w:rPr>
                <w:rFonts w:ascii="Cambria" w:hAnsi="Cambria" w:cs="Times New Roman"/>
                <w:bCs/>
                <w:sz w:val="20"/>
                <w:szCs w:val="20"/>
                <w:lang w:val="ro-RO"/>
              </w:rPr>
            </w:pPr>
          </w:p>
        </w:tc>
        <w:tc>
          <w:tcPr>
            <w:tcW w:w="3753" w:type="dxa"/>
          </w:tcPr>
          <w:p w14:paraId="3FA78D3C"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Modernizare drumuri în comuna Bărăganul</w:t>
            </w:r>
          </w:p>
          <w:p w14:paraId="19E213DC"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t>L= 10 Km</w:t>
            </w:r>
          </w:p>
        </w:tc>
        <w:tc>
          <w:tcPr>
            <w:tcW w:w="1559" w:type="dxa"/>
            <w:vMerge w:val="restart"/>
          </w:tcPr>
          <w:p w14:paraId="1120A954"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Bărăganul</w:t>
            </w:r>
          </w:p>
          <w:p w14:paraId="2D0CBD27" w14:textId="77777777" w:rsidR="00375ED8" w:rsidRPr="00EA1BB2" w:rsidRDefault="00375ED8" w:rsidP="00375ED8">
            <w:pPr>
              <w:jc w:val="both"/>
              <w:rPr>
                <w:rFonts w:ascii="Cambria" w:hAnsi="Cambria" w:cs="Times New Roman"/>
                <w:sz w:val="20"/>
                <w:szCs w:val="20"/>
                <w:lang w:val="ro-RO"/>
              </w:rPr>
            </w:pPr>
          </w:p>
        </w:tc>
        <w:tc>
          <w:tcPr>
            <w:tcW w:w="1262" w:type="dxa"/>
          </w:tcPr>
          <w:p w14:paraId="5CC15F80"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lastRenderedPageBreak/>
              <w:t>2019</w:t>
            </w:r>
          </w:p>
        </w:tc>
        <w:tc>
          <w:tcPr>
            <w:tcW w:w="1460" w:type="dxa"/>
          </w:tcPr>
          <w:p w14:paraId="0179A5A5"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10.574.320</w:t>
            </w:r>
          </w:p>
          <w:p w14:paraId="32D44CE3" w14:textId="77777777" w:rsidR="00375ED8" w:rsidRPr="00EA1BB2" w:rsidRDefault="00375ED8" w:rsidP="00375ED8">
            <w:pPr>
              <w:jc w:val="center"/>
              <w:rPr>
                <w:rFonts w:ascii="Cambria" w:hAnsi="Cambria"/>
                <w:sz w:val="20"/>
                <w:szCs w:val="20"/>
                <w:lang w:val="ro-RO"/>
              </w:rPr>
            </w:pPr>
          </w:p>
        </w:tc>
        <w:tc>
          <w:tcPr>
            <w:tcW w:w="1599" w:type="dxa"/>
          </w:tcPr>
          <w:p w14:paraId="15965ECF"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BL+PNDL</w:t>
            </w:r>
          </w:p>
        </w:tc>
        <w:tc>
          <w:tcPr>
            <w:tcW w:w="1701" w:type="dxa"/>
          </w:tcPr>
          <w:p w14:paraId="44BFEEF9"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52AEC85C" w14:textId="77777777" w:rsidTr="00A812FA">
        <w:trPr>
          <w:trHeight w:val="551"/>
          <w:jc w:val="center"/>
        </w:trPr>
        <w:tc>
          <w:tcPr>
            <w:tcW w:w="851" w:type="dxa"/>
            <w:vMerge/>
          </w:tcPr>
          <w:p w14:paraId="2CC612E4" w14:textId="77777777" w:rsidR="00375ED8" w:rsidRPr="00EA1BB2" w:rsidRDefault="00375ED8" w:rsidP="00375ED8">
            <w:pPr>
              <w:jc w:val="both"/>
              <w:rPr>
                <w:rFonts w:ascii="Cambria" w:hAnsi="Cambria" w:cs="Times New Roman"/>
                <w:sz w:val="20"/>
                <w:szCs w:val="20"/>
                <w:lang w:val="ro-RO"/>
              </w:rPr>
            </w:pPr>
          </w:p>
        </w:tc>
        <w:tc>
          <w:tcPr>
            <w:tcW w:w="2699" w:type="dxa"/>
            <w:vMerge/>
          </w:tcPr>
          <w:p w14:paraId="45CF7125" w14:textId="77777777" w:rsidR="00375ED8" w:rsidRPr="00EA1BB2" w:rsidRDefault="00375ED8" w:rsidP="00375ED8">
            <w:pPr>
              <w:jc w:val="both"/>
              <w:rPr>
                <w:rFonts w:ascii="Cambria" w:hAnsi="Cambria" w:cs="Times New Roman"/>
                <w:bCs/>
                <w:sz w:val="20"/>
                <w:szCs w:val="20"/>
                <w:lang w:val="ro-RO"/>
              </w:rPr>
            </w:pPr>
          </w:p>
        </w:tc>
        <w:tc>
          <w:tcPr>
            <w:tcW w:w="3753" w:type="dxa"/>
          </w:tcPr>
          <w:p w14:paraId="42347ABF"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Modernizare drumuri de interes local, in com. Bărăganul</w:t>
            </w:r>
          </w:p>
          <w:p w14:paraId="7255D736"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t>L=7Km</w:t>
            </w:r>
          </w:p>
        </w:tc>
        <w:tc>
          <w:tcPr>
            <w:tcW w:w="1559" w:type="dxa"/>
            <w:vMerge/>
          </w:tcPr>
          <w:p w14:paraId="622E2D0C" w14:textId="77777777" w:rsidR="00375ED8" w:rsidRPr="00EA1BB2" w:rsidRDefault="00375ED8" w:rsidP="00375ED8">
            <w:pPr>
              <w:jc w:val="both"/>
              <w:rPr>
                <w:rFonts w:ascii="Cambria" w:hAnsi="Cambria" w:cs="Times New Roman"/>
                <w:sz w:val="20"/>
                <w:szCs w:val="20"/>
                <w:lang w:val="ro-RO"/>
              </w:rPr>
            </w:pPr>
          </w:p>
        </w:tc>
        <w:tc>
          <w:tcPr>
            <w:tcW w:w="1262" w:type="dxa"/>
          </w:tcPr>
          <w:p w14:paraId="20831E12"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2019</w:t>
            </w:r>
          </w:p>
        </w:tc>
        <w:tc>
          <w:tcPr>
            <w:tcW w:w="1460" w:type="dxa"/>
          </w:tcPr>
          <w:p w14:paraId="612563EA"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7.713.150</w:t>
            </w:r>
          </w:p>
        </w:tc>
        <w:tc>
          <w:tcPr>
            <w:tcW w:w="1599" w:type="dxa"/>
          </w:tcPr>
          <w:p w14:paraId="7276FDDE"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BL+PNDL</w:t>
            </w:r>
          </w:p>
        </w:tc>
        <w:tc>
          <w:tcPr>
            <w:tcW w:w="1701" w:type="dxa"/>
          </w:tcPr>
          <w:p w14:paraId="59F62322"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4A42BF46" w14:textId="77777777" w:rsidTr="00A812FA">
        <w:trPr>
          <w:trHeight w:val="565"/>
          <w:jc w:val="center"/>
        </w:trPr>
        <w:tc>
          <w:tcPr>
            <w:tcW w:w="851" w:type="dxa"/>
            <w:vMerge/>
          </w:tcPr>
          <w:p w14:paraId="164958AD" w14:textId="77777777" w:rsidR="00375ED8" w:rsidRPr="00EA1BB2" w:rsidRDefault="00375ED8" w:rsidP="00375ED8">
            <w:pPr>
              <w:jc w:val="both"/>
              <w:rPr>
                <w:rFonts w:ascii="Cambria" w:hAnsi="Cambria" w:cs="Times New Roman"/>
                <w:sz w:val="20"/>
                <w:szCs w:val="20"/>
                <w:lang w:val="ro-RO"/>
              </w:rPr>
            </w:pPr>
          </w:p>
        </w:tc>
        <w:tc>
          <w:tcPr>
            <w:tcW w:w="2699" w:type="dxa"/>
            <w:vMerge/>
          </w:tcPr>
          <w:p w14:paraId="16DBA3DD" w14:textId="77777777" w:rsidR="00375ED8" w:rsidRPr="00EA1BB2" w:rsidRDefault="00375ED8" w:rsidP="00375ED8">
            <w:pPr>
              <w:jc w:val="both"/>
              <w:rPr>
                <w:rFonts w:ascii="Cambria" w:hAnsi="Cambria" w:cs="Times New Roman"/>
                <w:bCs/>
                <w:sz w:val="20"/>
                <w:szCs w:val="20"/>
                <w:lang w:val="ro-RO"/>
              </w:rPr>
            </w:pPr>
          </w:p>
        </w:tc>
        <w:tc>
          <w:tcPr>
            <w:tcW w:w="3753" w:type="dxa"/>
          </w:tcPr>
          <w:p w14:paraId="032A25E9"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 xml:space="preserve">Modernizare DC 15 intre DJ212 și limita UAT Stancuta </w:t>
            </w:r>
          </w:p>
          <w:p w14:paraId="02FD2035"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t>L=2,45 Km</w:t>
            </w:r>
          </w:p>
        </w:tc>
        <w:tc>
          <w:tcPr>
            <w:tcW w:w="1559" w:type="dxa"/>
            <w:vMerge w:val="restart"/>
          </w:tcPr>
          <w:p w14:paraId="43C94C73"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Berteștii de Jos</w:t>
            </w:r>
          </w:p>
        </w:tc>
        <w:tc>
          <w:tcPr>
            <w:tcW w:w="1262" w:type="dxa"/>
          </w:tcPr>
          <w:p w14:paraId="1C86B549"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2018</w:t>
            </w:r>
          </w:p>
        </w:tc>
        <w:tc>
          <w:tcPr>
            <w:tcW w:w="1460" w:type="dxa"/>
          </w:tcPr>
          <w:p w14:paraId="76E577B9"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1.400.000</w:t>
            </w:r>
          </w:p>
        </w:tc>
        <w:tc>
          <w:tcPr>
            <w:tcW w:w="1599" w:type="dxa"/>
          </w:tcPr>
          <w:p w14:paraId="5C2EFBFA"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 CJ</w:t>
            </w:r>
          </w:p>
        </w:tc>
        <w:tc>
          <w:tcPr>
            <w:tcW w:w="1701" w:type="dxa"/>
          </w:tcPr>
          <w:p w14:paraId="118584C2"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57B97B60" w14:textId="77777777" w:rsidTr="00A812FA">
        <w:trPr>
          <w:trHeight w:val="547"/>
          <w:jc w:val="center"/>
        </w:trPr>
        <w:tc>
          <w:tcPr>
            <w:tcW w:w="851" w:type="dxa"/>
            <w:vMerge/>
          </w:tcPr>
          <w:p w14:paraId="7DB0AE20" w14:textId="77777777" w:rsidR="00375ED8" w:rsidRPr="00EA1BB2" w:rsidRDefault="00375ED8" w:rsidP="00375ED8">
            <w:pPr>
              <w:jc w:val="both"/>
              <w:rPr>
                <w:rFonts w:ascii="Cambria" w:hAnsi="Cambria" w:cs="Times New Roman"/>
                <w:sz w:val="20"/>
                <w:szCs w:val="20"/>
                <w:lang w:val="ro-RO"/>
              </w:rPr>
            </w:pPr>
          </w:p>
        </w:tc>
        <w:tc>
          <w:tcPr>
            <w:tcW w:w="2699" w:type="dxa"/>
            <w:vMerge/>
          </w:tcPr>
          <w:p w14:paraId="7E150FB0" w14:textId="77777777" w:rsidR="00375ED8" w:rsidRPr="00EA1BB2" w:rsidRDefault="00375ED8" w:rsidP="00375ED8">
            <w:pPr>
              <w:jc w:val="both"/>
              <w:rPr>
                <w:rFonts w:ascii="Cambria" w:hAnsi="Cambria" w:cs="Times New Roman"/>
                <w:bCs/>
                <w:sz w:val="20"/>
                <w:szCs w:val="20"/>
                <w:lang w:val="ro-RO"/>
              </w:rPr>
            </w:pPr>
          </w:p>
        </w:tc>
        <w:tc>
          <w:tcPr>
            <w:tcW w:w="3753" w:type="dxa"/>
          </w:tcPr>
          <w:p w14:paraId="0907BBC4"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Modernizare drumuri rurale in Berteștii de Jos</w:t>
            </w:r>
          </w:p>
          <w:p w14:paraId="08BB062E"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t>L=18,13Km</w:t>
            </w:r>
          </w:p>
        </w:tc>
        <w:tc>
          <w:tcPr>
            <w:tcW w:w="1559" w:type="dxa"/>
            <w:vMerge/>
          </w:tcPr>
          <w:p w14:paraId="09E8BA20" w14:textId="77777777" w:rsidR="00375ED8" w:rsidRPr="00EA1BB2" w:rsidRDefault="00375ED8" w:rsidP="00375ED8">
            <w:pPr>
              <w:jc w:val="center"/>
              <w:rPr>
                <w:rFonts w:ascii="Cambria" w:hAnsi="Cambria" w:cs="Times New Roman"/>
                <w:sz w:val="20"/>
                <w:szCs w:val="20"/>
                <w:lang w:val="ro-RO"/>
              </w:rPr>
            </w:pPr>
          </w:p>
        </w:tc>
        <w:tc>
          <w:tcPr>
            <w:tcW w:w="1262" w:type="dxa"/>
          </w:tcPr>
          <w:p w14:paraId="403925EE"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2018</w:t>
            </w:r>
          </w:p>
        </w:tc>
        <w:tc>
          <w:tcPr>
            <w:tcW w:w="1460" w:type="dxa"/>
          </w:tcPr>
          <w:p w14:paraId="6B71002A"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15.672.697</w:t>
            </w:r>
          </w:p>
        </w:tc>
        <w:tc>
          <w:tcPr>
            <w:tcW w:w="1599" w:type="dxa"/>
          </w:tcPr>
          <w:p w14:paraId="692029E4"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BL+MDRAP</w:t>
            </w:r>
          </w:p>
        </w:tc>
        <w:tc>
          <w:tcPr>
            <w:tcW w:w="1701" w:type="dxa"/>
          </w:tcPr>
          <w:p w14:paraId="11F3F98E"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5823A3A6" w14:textId="77777777" w:rsidTr="00A812FA">
        <w:trPr>
          <w:trHeight w:val="284"/>
          <w:jc w:val="center"/>
        </w:trPr>
        <w:tc>
          <w:tcPr>
            <w:tcW w:w="851" w:type="dxa"/>
            <w:vMerge/>
          </w:tcPr>
          <w:p w14:paraId="01BEF3F6" w14:textId="77777777" w:rsidR="00375ED8" w:rsidRPr="00EA1BB2" w:rsidRDefault="00375ED8" w:rsidP="00375ED8">
            <w:pPr>
              <w:jc w:val="both"/>
              <w:rPr>
                <w:rFonts w:ascii="Cambria" w:hAnsi="Cambria" w:cs="Times New Roman"/>
                <w:sz w:val="20"/>
                <w:szCs w:val="20"/>
                <w:lang w:val="ro-RO"/>
              </w:rPr>
            </w:pPr>
          </w:p>
        </w:tc>
        <w:tc>
          <w:tcPr>
            <w:tcW w:w="2699" w:type="dxa"/>
            <w:vMerge/>
          </w:tcPr>
          <w:p w14:paraId="15A1CEEE" w14:textId="77777777" w:rsidR="00375ED8" w:rsidRPr="00EA1BB2" w:rsidRDefault="00375ED8" w:rsidP="00375ED8">
            <w:pPr>
              <w:jc w:val="both"/>
              <w:rPr>
                <w:rFonts w:ascii="Cambria" w:hAnsi="Cambria" w:cs="Times New Roman"/>
                <w:bCs/>
                <w:sz w:val="20"/>
                <w:szCs w:val="20"/>
                <w:lang w:val="ro-RO"/>
              </w:rPr>
            </w:pPr>
          </w:p>
        </w:tc>
        <w:tc>
          <w:tcPr>
            <w:tcW w:w="3753" w:type="dxa"/>
          </w:tcPr>
          <w:p w14:paraId="7B8C3A88"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Modernizare drumuri rurale – com. Bordei Verde</w:t>
            </w:r>
          </w:p>
          <w:p w14:paraId="4DAE5B7B"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t>L=6,5 Km</w:t>
            </w:r>
          </w:p>
        </w:tc>
        <w:tc>
          <w:tcPr>
            <w:tcW w:w="1559" w:type="dxa"/>
            <w:vMerge w:val="restart"/>
          </w:tcPr>
          <w:p w14:paraId="34F86310"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Bordei Verde</w:t>
            </w:r>
          </w:p>
        </w:tc>
        <w:tc>
          <w:tcPr>
            <w:tcW w:w="1262" w:type="dxa"/>
          </w:tcPr>
          <w:p w14:paraId="37FD2D70"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2018</w:t>
            </w:r>
          </w:p>
        </w:tc>
        <w:tc>
          <w:tcPr>
            <w:tcW w:w="1460" w:type="dxa"/>
          </w:tcPr>
          <w:p w14:paraId="06C4E640"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6.672.000</w:t>
            </w:r>
          </w:p>
        </w:tc>
        <w:tc>
          <w:tcPr>
            <w:tcW w:w="1599" w:type="dxa"/>
          </w:tcPr>
          <w:p w14:paraId="4AC1E071"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BL+PNDL</w:t>
            </w:r>
          </w:p>
        </w:tc>
        <w:tc>
          <w:tcPr>
            <w:tcW w:w="1701" w:type="dxa"/>
          </w:tcPr>
          <w:p w14:paraId="0ACC3BED"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5DD596F7" w14:textId="77777777" w:rsidTr="00A812FA">
        <w:trPr>
          <w:trHeight w:val="709"/>
          <w:jc w:val="center"/>
        </w:trPr>
        <w:tc>
          <w:tcPr>
            <w:tcW w:w="851" w:type="dxa"/>
            <w:vMerge/>
          </w:tcPr>
          <w:p w14:paraId="6A4A0C1E" w14:textId="77777777" w:rsidR="00375ED8" w:rsidRPr="00EA1BB2" w:rsidRDefault="00375ED8" w:rsidP="00375ED8">
            <w:pPr>
              <w:jc w:val="both"/>
              <w:rPr>
                <w:rFonts w:ascii="Cambria" w:hAnsi="Cambria" w:cs="Times New Roman"/>
                <w:sz w:val="20"/>
                <w:szCs w:val="20"/>
                <w:lang w:val="ro-RO"/>
              </w:rPr>
            </w:pPr>
          </w:p>
        </w:tc>
        <w:tc>
          <w:tcPr>
            <w:tcW w:w="2699" w:type="dxa"/>
            <w:vMerge/>
          </w:tcPr>
          <w:p w14:paraId="35BFBB8F" w14:textId="77777777" w:rsidR="00375ED8" w:rsidRPr="00EA1BB2" w:rsidRDefault="00375ED8" w:rsidP="00375ED8">
            <w:pPr>
              <w:jc w:val="both"/>
              <w:rPr>
                <w:rFonts w:ascii="Cambria" w:hAnsi="Cambria" w:cs="Times New Roman"/>
                <w:bCs/>
                <w:sz w:val="20"/>
                <w:szCs w:val="20"/>
                <w:lang w:val="ro-RO"/>
              </w:rPr>
            </w:pPr>
          </w:p>
        </w:tc>
        <w:tc>
          <w:tcPr>
            <w:tcW w:w="3753" w:type="dxa"/>
          </w:tcPr>
          <w:p w14:paraId="178B1C91"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Modernizare străzi in localitățile Bordei-Verde, C. Gabrielescu și Lișcoteanca</w:t>
            </w:r>
          </w:p>
          <w:p w14:paraId="4ED3A251"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t>L= 14,5 Km</w:t>
            </w:r>
          </w:p>
        </w:tc>
        <w:tc>
          <w:tcPr>
            <w:tcW w:w="1559" w:type="dxa"/>
            <w:vMerge/>
          </w:tcPr>
          <w:p w14:paraId="2806EDBF" w14:textId="77777777" w:rsidR="00375ED8" w:rsidRPr="00EA1BB2" w:rsidRDefault="00375ED8" w:rsidP="00375ED8">
            <w:pPr>
              <w:jc w:val="center"/>
              <w:rPr>
                <w:rFonts w:ascii="Cambria" w:hAnsi="Cambria" w:cs="Times New Roman"/>
                <w:sz w:val="20"/>
                <w:szCs w:val="20"/>
                <w:lang w:val="ro-RO"/>
              </w:rPr>
            </w:pPr>
          </w:p>
        </w:tc>
        <w:tc>
          <w:tcPr>
            <w:tcW w:w="1262" w:type="dxa"/>
          </w:tcPr>
          <w:p w14:paraId="2CDB7694"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2018</w:t>
            </w:r>
          </w:p>
        </w:tc>
        <w:tc>
          <w:tcPr>
            <w:tcW w:w="1460" w:type="dxa"/>
          </w:tcPr>
          <w:p w14:paraId="7A60DC76"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12.800.000</w:t>
            </w:r>
          </w:p>
        </w:tc>
        <w:tc>
          <w:tcPr>
            <w:tcW w:w="1599" w:type="dxa"/>
          </w:tcPr>
          <w:p w14:paraId="70F68CC1"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BL+PNDL</w:t>
            </w:r>
          </w:p>
        </w:tc>
        <w:tc>
          <w:tcPr>
            <w:tcW w:w="1701" w:type="dxa"/>
          </w:tcPr>
          <w:p w14:paraId="3D82CBEA"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6BF40276" w14:textId="77777777" w:rsidTr="00A812FA">
        <w:trPr>
          <w:trHeight w:val="783"/>
          <w:jc w:val="center"/>
        </w:trPr>
        <w:tc>
          <w:tcPr>
            <w:tcW w:w="851" w:type="dxa"/>
            <w:vMerge/>
          </w:tcPr>
          <w:p w14:paraId="660D5C18" w14:textId="77777777" w:rsidR="00375ED8" w:rsidRPr="00EA1BB2" w:rsidRDefault="00375ED8" w:rsidP="00375ED8">
            <w:pPr>
              <w:jc w:val="both"/>
              <w:rPr>
                <w:rFonts w:ascii="Cambria" w:hAnsi="Cambria" w:cs="Times New Roman"/>
                <w:sz w:val="20"/>
                <w:szCs w:val="20"/>
                <w:lang w:val="ro-RO"/>
              </w:rPr>
            </w:pPr>
          </w:p>
        </w:tc>
        <w:tc>
          <w:tcPr>
            <w:tcW w:w="2699" w:type="dxa"/>
            <w:vMerge/>
          </w:tcPr>
          <w:p w14:paraId="2992E0CF" w14:textId="77777777" w:rsidR="00375ED8" w:rsidRPr="00EA1BB2" w:rsidRDefault="00375ED8" w:rsidP="00375ED8">
            <w:pPr>
              <w:jc w:val="both"/>
              <w:rPr>
                <w:rFonts w:ascii="Cambria" w:hAnsi="Cambria" w:cs="Times New Roman"/>
                <w:bCs/>
                <w:sz w:val="20"/>
                <w:szCs w:val="20"/>
                <w:lang w:val="ro-RO"/>
              </w:rPr>
            </w:pPr>
          </w:p>
        </w:tc>
        <w:tc>
          <w:tcPr>
            <w:tcW w:w="3753" w:type="dxa"/>
          </w:tcPr>
          <w:p w14:paraId="02C721BF"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Extindere modernizare străzi in localitățile Bordei-Verde, C. Gabrielescu si Lișcoteanca</w:t>
            </w:r>
          </w:p>
          <w:p w14:paraId="2C6646DF"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t>L= 9,5Km</w:t>
            </w:r>
          </w:p>
        </w:tc>
        <w:tc>
          <w:tcPr>
            <w:tcW w:w="1559" w:type="dxa"/>
          </w:tcPr>
          <w:p w14:paraId="6AB9B27A"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Bordei Verde</w:t>
            </w:r>
          </w:p>
        </w:tc>
        <w:tc>
          <w:tcPr>
            <w:tcW w:w="1262" w:type="dxa"/>
          </w:tcPr>
          <w:p w14:paraId="7100DE84"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2020</w:t>
            </w:r>
          </w:p>
        </w:tc>
        <w:tc>
          <w:tcPr>
            <w:tcW w:w="1460" w:type="dxa"/>
          </w:tcPr>
          <w:p w14:paraId="496552E2"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10.000.000</w:t>
            </w:r>
          </w:p>
        </w:tc>
        <w:tc>
          <w:tcPr>
            <w:tcW w:w="1599" w:type="dxa"/>
          </w:tcPr>
          <w:p w14:paraId="4F29755A"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BL+PNDL</w:t>
            </w:r>
          </w:p>
        </w:tc>
        <w:tc>
          <w:tcPr>
            <w:tcW w:w="1701" w:type="dxa"/>
          </w:tcPr>
          <w:p w14:paraId="0487E1F4"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5A65882E" w14:textId="77777777" w:rsidTr="00A812FA">
        <w:trPr>
          <w:trHeight w:val="345"/>
          <w:jc w:val="center"/>
        </w:trPr>
        <w:tc>
          <w:tcPr>
            <w:tcW w:w="851" w:type="dxa"/>
            <w:vMerge/>
          </w:tcPr>
          <w:p w14:paraId="0B0F6B3F" w14:textId="77777777" w:rsidR="00375ED8" w:rsidRPr="00EA1BB2" w:rsidRDefault="00375ED8" w:rsidP="00375ED8">
            <w:pPr>
              <w:jc w:val="both"/>
              <w:rPr>
                <w:rFonts w:ascii="Cambria" w:hAnsi="Cambria" w:cs="Times New Roman"/>
                <w:sz w:val="20"/>
                <w:szCs w:val="20"/>
                <w:lang w:val="ro-RO"/>
              </w:rPr>
            </w:pPr>
          </w:p>
        </w:tc>
        <w:tc>
          <w:tcPr>
            <w:tcW w:w="2699" w:type="dxa"/>
            <w:vMerge/>
          </w:tcPr>
          <w:p w14:paraId="69920575" w14:textId="77777777" w:rsidR="00375ED8" w:rsidRPr="00EA1BB2" w:rsidRDefault="00375ED8" w:rsidP="00375ED8">
            <w:pPr>
              <w:jc w:val="both"/>
              <w:rPr>
                <w:rFonts w:ascii="Cambria" w:hAnsi="Cambria" w:cs="Times New Roman"/>
                <w:bCs/>
                <w:sz w:val="20"/>
                <w:szCs w:val="20"/>
                <w:lang w:val="ro-RO"/>
              </w:rPr>
            </w:pPr>
          </w:p>
        </w:tc>
        <w:tc>
          <w:tcPr>
            <w:tcW w:w="3753" w:type="dxa"/>
          </w:tcPr>
          <w:p w14:paraId="21E854D7"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Modernizare străzi de interes local, în comuna Cazasu</w:t>
            </w:r>
          </w:p>
          <w:p w14:paraId="690B6ED4"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t>L=7,35km</w:t>
            </w:r>
          </w:p>
        </w:tc>
        <w:tc>
          <w:tcPr>
            <w:tcW w:w="1559" w:type="dxa"/>
          </w:tcPr>
          <w:p w14:paraId="76A7BA17"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 xml:space="preserve">Primarul localității </w:t>
            </w:r>
          </w:p>
          <w:p w14:paraId="1B9B06F5"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Cazasu</w:t>
            </w:r>
          </w:p>
        </w:tc>
        <w:tc>
          <w:tcPr>
            <w:tcW w:w="1262" w:type="dxa"/>
          </w:tcPr>
          <w:p w14:paraId="2566AF8F"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2019</w:t>
            </w:r>
          </w:p>
          <w:p w14:paraId="6F69D085" w14:textId="77777777" w:rsidR="00375ED8" w:rsidRPr="00EA1BB2" w:rsidRDefault="00375ED8" w:rsidP="00375ED8">
            <w:pPr>
              <w:jc w:val="center"/>
              <w:rPr>
                <w:rFonts w:ascii="Cambria" w:hAnsi="Cambria" w:cs="Times New Roman"/>
                <w:sz w:val="20"/>
                <w:szCs w:val="20"/>
                <w:lang w:val="ro-RO"/>
              </w:rPr>
            </w:pPr>
          </w:p>
        </w:tc>
        <w:tc>
          <w:tcPr>
            <w:tcW w:w="1460" w:type="dxa"/>
          </w:tcPr>
          <w:p w14:paraId="49717AC6"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114.000</w:t>
            </w:r>
          </w:p>
          <w:p w14:paraId="217FCC88" w14:textId="77777777" w:rsidR="00375ED8" w:rsidRPr="00EA1BB2" w:rsidRDefault="00375ED8" w:rsidP="00375ED8">
            <w:pPr>
              <w:jc w:val="center"/>
              <w:rPr>
                <w:rFonts w:ascii="Cambria" w:hAnsi="Cambria"/>
                <w:sz w:val="20"/>
                <w:szCs w:val="20"/>
                <w:lang w:val="ro-RO"/>
              </w:rPr>
            </w:pPr>
          </w:p>
        </w:tc>
        <w:tc>
          <w:tcPr>
            <w:tcW w:w="1599" w:type="dxa"/>
          </w:tcPr>
          <w:p w14:paraId="3ED645A3"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BL+PNDL</w:t>
            </w:r>
          </w:p>
          <w:p w14:paraId="3D3A5BF3" w14:textId="77777777" w:rsidR="00375ED8" w:rsidRPr="00EA1BB2" w:rsidRDefault="00375ED8" w:rsidP="00375ED8">
            <w:pPr>
              <w:jc w:val="center"/>
              <w:rPr>
                <w:rFonts w:ascii="Cambria" w:hAnsi="Cambria" w:cs="Times New Roman"/>
                <w:sz w:val="20"/>
                <w:szCs w:val="20"/>
                <w:lang w:val="ro-RO"/>
              </w:rPr>
            </w:pPr>
          </w:p>
        </w:tc>
        <w:tc>
          <w:tcPr>
            <w:tcW w:w="1701" w:type="dxa"/>
          </w:tcPr>
          <w:p w14:paraId="02E65C09"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20F063EE" w14:textId="77777777" w:rsidTr="00A812FA">
        <w:trPr>
          <w:trHeight w:val="277"/>
          <w:jc w:val="center"/>
        </w:trPr>
        <w:tc>
          <w:tcPr>
            <w:tcW w:w="851" w:type="dxa"/>
            <w:vMerge/>
          </w:tcPr>
          <w:p w14:paraId="04262E6C" w14:textId="77777777" w:rsidR="00375ED8" w:rsidRPr="00EA1BB2" w:rsidRDefault="00375ED8" w:rsidP="00375ED8">
            <w:pPr>
              <w:jc w:val="both"/>
              <w:rPr>
                <w:rFonts w:ascii="Cambria" w:hAnsi="Cambria" w:cs="Times New Roman"/>
                <w:sz w:val="20"/>
                <w:szCs w:val="20"/>
                <w:lang w:val="ro-RO"/>
              </w:rPr>
            </w:pPr>
          </w:p>
        </w:tc>
        <w:tc>
          <w:tcPr>
            <w:tcW w:w="2699" w:type="dxa"/>
            <w:vMerge/>
          </w:tcPr>
          <w:p w14:paraId="47CFAA51" w14:textId="77777777" w:rsidR="00375ED8" w:rsidRPr="00EA1BB2" w:rsidRDefault="00375ED8" w:rsidP="00375ED8">
            <w:pPr>
              <w:jc w:val="both"/>
              <w:rPr>
                <w:rFonts w:ascii="Cambria" w:hAnsi="Cambria" w:cs="Times New Roman"/>
                <w:bCs/>
                <w:sz w:val="20"/>
                <w:szCs w:val="20"/>
                <w:lang w:val="ro-RO"/>
              </w:rPr>
            </w:pPr>
          </w:p>
        </w:tc>
        <w:tc>
          <w:tcPr>
            <w:tcW w:w="3753" w:type="dxa"/>
          </w:tcPr>
          <w:p w14:paraId="04C5D167"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Modernizare - asfaltare străzi sat. Chiscani</w:t>
            </w:r>
          </w:p>
          <w:p w14:paraId="33FF0614"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t>L= 0,465 Km</w:t>
            </w:r>
          </w:p>
        </w:tc>
        <w:tc>
          <w:tcPr>
            <w:tcW w:w="1559" w:type="dxa"/>
            <w:vMerge w:val="restart"/>
          </w:tcPr>
          <w:p w14:paraId="599906CE"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Chiscani</w:t>
            </w:r>
          </w:p>
        </w:tc>
        <w:tc>
          <w:tcPr>
            <w:tcW w:w="1262" w:type="dxa"/>
          </w:tcPr>
          <w:p w14:paraId="5EA6E8FF"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2018</w:t>
            </w:r>
          </w:p>
          <w:p w14:paraId="44456883" w14:textId="77777777" w:rsidR="00375ED8" w:rsidRPr="00EA1BB2" w:rsidRDefault="00375ED8" w:rsidP="00375ED8">
            <w:pPr>
              <w:jc w:val="center"/>
              <w:rPr>
                <w:rFonts w:ascii="Cambria" w:hAnsi="Cambria" w:cs="Times New Roman"/>
                <w:sz w:val="20"/>
                <w:szCs w:val="20"/>
                <w:lang w:val="ro-RO"/>
              </w:rPr>
            </w:pPr>
          </w:p>
        </w:tc>
        <w:tc>
          <w:tcPr>
            <w:tcW w:w="1460" w:type="dxa"/>
          </w:tcPr>
          <w:p w14:paraId="35C73651"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100.000</w:t>
            </w:r>
          </w:p>
          <w:p w14:paraId="367B9B44" w14:textId="77777777" w:rsidR="00375ED8" w:rsidRPr="00EA1BB2" w:rsidRDefault="00375ED8" w:rsidP="00375ED8">
            <w:pPr>
              <w:jc w:val="center"/>
              <w:rPr>
                <w:rFonts w:ascii="Cambria" w:hAnsi="Cambria"/>
                <w:sz w:val="20"/>
                <w:szCs w:val="20"/>
                <w:lang w:val="ro-RO"/>
              </w:rPr>
            </w:pPr>
          </w:p>
        </w:tc>
        <w:tc>
          <w:tcPr>
            <w:tcW w:w="1599" w:type="dxa"/>
          </w:tcPr>
          <w:p w14:paraId="3F005160"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Fonduri UE</w:t>
            </w:r>
          </w:p>
        </w:tc>
        <w:tc>
          <w:tcPr>
            <w:tcW w:w="1701" w:type="dxa"/>
          </w:tcPr>
          <w:p w14:paraId="0A3EA945"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2EEB2B7F" w14:textId="77777777" w:rsidTr="00A812FA">
        <w:trPr>
          <w:trHeight w:val="250"/>
          <w:jc w:val="center"/>
        </w:trPr>
        <w:tc>
          <w:tcPr>
            <w:tcW w:w="851" w:type="dxa"/>
            <w:vMerge/>
          </w:tcPr>
          <w:p w14:paraId="41366D37" w14:textId="77777777" w:rsidR="00375ED8" w:rsidRPr="00EA1BB2" w:rsidRDefault="00375ED8" w:rsidP="00375ED8">
            <w:pPr>
              <w:jc w:val="both"/>
              <w:rPr>
                <w:rFonts w:ascii="Cambria" w:hAnsi="Cambria" w:cs="Times New Roman"/>
                <w:sz w:val="20"/>
                <w:szCs w:val="20"/>
                <w:lang w:val="ro-RO"/>
              </w:rPr>
            </w:pPr>
          </w:p>
        </w:tc>
        <w:tc>
          <w:tcPr>
            <w:tcW w:w="2699" w:type="dxa"/>
            <w:vMerge/>
          </w:tcPr>
          <w:p w14:paraId="6008A2F5" w14:textId="77777777" w:rsidR="00375ED8" w:rsidRPr="00EA1BB2" w:rsidRDefault="00375ED8" w:rsidP="00375ED8">
            <w:pPr>
              <w:jc w:val="both"/>
              <w:rPr>
                <w:rFonts w:ascii="Cambria" w:hAnsi="Cambria" w:cs="Times New Roman"/>
                <w:bCs/>
                <w:sz w:val="20"/>
                <w:szCs w:val="20"/>
                <w:lang w:val="ro-RO"/>
              </w:rPr>
            </w:pPr>
          </w:p>
        </w:tc>
        <w:tc>
          <w:tcPr>
            <w:tcW w:w="3753" w:type="dxa"/>
          </w:tcPr>
          <w:p w14:paraId="466071E3"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Îmbunătățirea rețelei de drumuri în Chiscani</w:t>
            </w:r>
          </w:p>
          <w:p w14:paraId="7CFDE5FB" w14:textId="77777777" w:rsidR="00375ED8" w:rsidRPr="00EA1BB2" w:rsidRDefault="00375ED8" w:rsidP="00375ED8">
            <w:pPr>
              <w:rPr>
                <w:rFonts w:ascii="Cambria" w:hAnsi="Cambria"/>
                <w:sz w:val="20"/>
                <w:szCs w:val="20"/>
                <w:lang w:val="ro-RO"/>
              </w:rPr>
            </w:pPr>
            <w:r w:rsidRPr="00EA1BB2">
              <w:rPr>
                <w:rFonts w:ascii="Cambria" w:hAnsi="Cambria" w:cs="Times New Roman"/>
                <w:sz w:val="20"/>
                <w:szCs w:val="20"/>
                <w:lang w:val="ro-RO"/>
              </w:rPr>
              <w:t>L= 6,4 Km</w:t>
            </w:r>
          </w:p>
        </w:tc>
        <w:tc>
          <w:tcPr>
            <w:tcW w:w="1559" w:type="dxa"/>
            <w:vMerge/>
          </w:tcPr>
          <w:p w14:paraId="336CCA31" w14:textId="77777777" w:rsidR="00375ED8" w:rsidRPr="00EA1BB2" w:rsidRDefault="00375ED8" w:rsidP="00375ED8">
            <w:pPr>
              <w:jc w:val="center"/>
              <w:rPr>
                <w:rFonts w:ascii="Cambria" w:hAnsi="Cambria" w:cs="Times New Roman"/>
                <w:sz w:val="20"/>
                <w:szCs w:val="20"/>
                <w:lang w:val="ro-RO"/>
              </w:rPr>
            </w:pPr>
          </w:p>
        </w:tc>
        <w:tc>
          <w:tcPr>
            <w:tcW w:w="1262" w:type="dxa"/>
          </w:tcPr>
          <w:p w14:paraId="6F9584F4"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2018</w:t>
            </w:r>
          </w:p>
          <w:p w14:paraId="561A6599" w14:textId="77777777" w:rsidR="00375ED8" w:rsidRPr="00EA1BB2" w:rsidRDefault="00375ED8" w:rsidP="00375ED8">
            <w:pPr>
              <w:jc w:val="center"/>
              <w:rPr>
                <w:rFonts w:ascii="Cambria" w:hAnsi="Cambria" w:cs="Times New Roman"/>
                <w:sz w:val="20"/>
                <w:szCs w:val="20"/>
                <w:lang w:val="ro-RO"/>
              </w:rPr>
            </w:pPr>
          </w:p>
          <w:p w14:paraId="4DB87A38" w14:textId="77777777" w:rsidR="00375ED8" w:rsidRPr="00EA1BB2" w:rsidRDefault="00375ED8" w:rsidP="00375ED8">
            <w:pPr>
              <w:jc w:val="center"/>
              <w:rPr>
                <w:rFonts w:ascii="Cambria" w:hAnsi="Cambria" w:cs="Times New Roman"/>
                <w:sz w:val="20"/>
                <w:szCs w:val="20"/>
                <w:lang w:val="ro-RO"/>
              </w:rPr>
            </w:pPr>
          </w:p>
        </w:tc>
        <w:tc>
          <w:tcPr>
            <w:tcW w:w="1460" w:type="dxa"/>
          </w:tcPr>
          <w:p w14:paraId="393595CE"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12.559.103</w:t>
            </w:r>
          </w:p>
          <w:p w14:paraId="57C0C30C" w14:textId="77777777" w:rsidR="00375ED8" w:rsidRPr="00EA1BB2" w:rsidRDefault="00375ED8" w:rsidP="00375ED8">
            <w:pPr>
              <w:jc w:val="center"/>
              <w:rPr>
                <w:rFonts w:ascii="Cambria" w:hAnsi="Cambria"/>
                <w:sz w:val="20"/>
                <w:szCs w:val="20"/>
                <w:lang w:val="ro-RO"/>
              </w:rPr>
            </w:pPr>
          </w:p>
          <w:p w14:paraId="19077A94" w14:textId="77777777" w:rsidR="00375ED8" w:rsidRPr="00EA1BB2" w:rsidRDefault="00375ED8" w:rsidP="00375ED8">
            <w:pPr>
              <w:jc w:val="center"/>
              <w:rPr>
                <w:rFonts w:ascii="Cambria" w:hAnsi="Cambria"/>
                <w:sz w:val="20"/>
                <w:szCs w:val="20"/>
                <w:lang w:val="ro-RO"/>
              </w:rPr>
            </w:pPr>
          </w:p>
        </w:tc>
        <w:tc>
          <w:tcPr>
            <w:tcW w:w="1599" w:type="dxa"/>
          </w:tcPr>
          <w:p w14:paraId="4EF643BA"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 xml:space="preserve">PNDL </w:t>
            </w:r>
          </w:p>
          <w:p w14:paraId="589106BE" w14:textId="77777777" w:rsidR="00375ED8" w:rsidRPr="00EA1BB2" w:rsidRDefault="00375ED8" w:rsidP="00375ED8">
            <w:pPr>
              <w:jc w:val="center"/>
              <w:rPr>
                <w:rFonts w:ascii="Cambria" w:hAnsi="Cambria" w:cs="Times New Roman"/>
                <w:sz w:val="20"/>
                <w:szCs w:val="20"/>
                <w:lang w:val="ro-RO"/>
              </w:rPr>
            </w:pPr>
          </w:p>
          <w:p w14:paraId="4EBC8E80" w14:textId="77777777" w:rsidR="00375ED8" w:rsidRPr="00EA1BB2" w:rsidRDefault="00375ED8" w:rsidP="00375ED8">
            <w:pPr>
              <w:jc w:val="center"/>
              <w:rPr>
                <w:rFonts w:ascii="Cambria" w:hAnsi="Cambria" w:cs="Times New Roman"/>
                <w:sz w:val="20"/>
                <w:szCs w:val="20"/>
                <w:lang w:val="ro-RO"/>
              </w:rPr>
            </w:pPr>
          </w:p>
        </w:tc>
        <w:tc>
          <w:tcPr>
            <w:tcW w:w="1701" w:type="dxa"/>
          </w:tcPr>
          <w:p w14:paraId="32B3986C"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086CC2CF" w14:textId="77777777" w:rsidTr="00A812FA">
        <w:trPr>
          <w:trHeight w:val="591"/>
          <w:jc w:val="center"/>
        </w:trPr>
        <w:tc>
          <w:tcPr>
            <w:tcW w:w="851" w:type="dxa"/>
            <w:vMerge/>
          </w:tcPr>
          <w:p w14:paraId="0EF06CD3" w14:textId="77777777" w:rsidR="00375ED8" w:rsidRPr="00EA1BB2" w:rsidRDefault="00375ED8" w:rsidP="00375ED8">
            <w:pPr>
              <w:jc w:val="both"/>
              <w:rPr>
                <w:rFonts w:ascii="Cambria" w:hAnsi="Cambria" w:cs="Times New Roman"/>
                <w:sz w:val="20"/>
                <w:szCs w:val="20"/>
                <w:lang w:val="ro-RO"/>
              </w:rPr>
            </w:pPr>
          </w:p>
        </w:tc>
        <w:tc>
          <w:tcPr>
            <w:tcW w:w="2699" w:type="dxa"/>
            <w:vMerge/>
          </w:tcPr>
          <w:p w14:paraId="388B8B48" w14:textId="77777777" w:rsidR="00375ED8" w:rsidRPr="00EA1BB2" w:rsidRDefault="00375ED8" w:rsidP="00375ED8">
            <w:pPr>
              <w:jc w:val="both"/>
              <w:rPr>
                <w:rFonts w:ascii="Cambria" w:hAnsi="Cambria" w:cs="Times New Roman"/>
                <w:bCs/>
                <w:sz w:val="20"/>
                <w:szCs w:val="20"/>
                <w:lang w:val="ro-RO"/>
              </w:rPr>
            </w:pPr>
          </w:p>
        </w:tc>
        <w:tc>
          <w:tcPr>
            <w:tcW w:w="3753" w:type="dxa"/>
          </w:tcPr>
          <w:p w14:paraId="5C6B1E93" w14:textId="77777777" w:rsidR="00375ED8" w:rsidRPr="00EA1BB2" w:rsidRDefault="00375ED8" w:rsidP="00375ED8">
            <w:pPr>
              <w:jc w:val="both"/>
              <w:rPr>
                <w:rFonts w:ascii="Cambria" w:hAnsi="Cambria" w:cs="Times New Roman"/>
                <w:sz w:val="20"/>
                <w:szCs w:val="20"/>
                <w:lang w:val="ro-RO"/>
              </w:rPr>
            </w:pPr>
            <w:r w:rsidRPr="00EA1BB2">
              <w:rPr>
                <w:rFonts w:ascii="Cambria" w:hAnsi="Cambria"/>
                <w:sz w:val="20"/>
                <w:szCs w:val="20"/>
                <w:lang w:val="ro-RO"/>
              </w:rPr>
              <w:t>Îmbunătățirea rețelei de drumuri de interes local în com. Chiscani</w:t>
            </w:r>
          </w:p>
          <w:p w14:paraId="1480C9F1"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t>L=10 Km</w:t>
            </w:r>
          </w:p>
        </w:tc>
        <w:tc>
          <w:tcPr>
            <w:tcW w:w="1559" w:type="dxa"/>
            <w:vMerge/>
          </w:tcPr>
          <w:p w14:paraId="2BCFE28B" w14:textId="77777777" w:rsidR="00375ED8" w:rsidRPr="00EA1BB2" w:rsidRDefault="00375ED8" w:rsidP="00375ED8">
            <w:pPr>
              <w:jc w:val="center"/>
              <w:rPr>
                <w:rFonts w:ascii="Cambria" w:hAnsi="Cambria" w:cs="Times New Roman"/>
                <w:sz w:val="20"/>
                <w:szCs w:val="20"/>
                <w:lang w:val="ro-RO"/>
              </w:rPr>
            </w:pPr>
          </w:p>
        </w:tc>
        <w:tc>
          <w:tcPr>
            <w:tcW w:w="1262" w:type="dxa"/>
          </w:tcPr>
          <w:p w14:paraId="6132A69E"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2018</w:t>
            </w:r>
          </w:p>
        </w:tc>
        <w:tc>
          <w:tcPr>
            <w:tcW w:w="1460" w:type="dxa"/>
          </w:tcPr>
          <w:p w14:paraId="6F2ED71C"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34.153.600</w:t>
            </w:r>
          </w:p>
        </w:tc>
        <w:tc>
          <w:tcPr>
            <w:tcW w:w="1599" w:type="dxa"/>
          </w:tcPr>
          <w:p w14:paraId="72FF3399"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BL+PNDL</w:t>
            </w:r>
          </w:p>
        </w:tc>
        <w:tc>
          <w:tcPr>
            <w:tcW w:w="1701" w:type="dxa"/>
          </w:tcPr>
          <w:p w14:paraId="436B5A1C"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5A7A0232" w14:textId="77777777" w:rsidTr="00A812FA">
        <w:trPr>
          <w:trHeight w:val="567"/>
          <w:jc w:val="center"/>
        </w:trPr>
        <w:tc>
          <w:tcPr>
            <w:tcW w:w="851" w:type="dxa"/>
            <w:vMerge/>
          </w:tcPr>
          <w:p w14:paraId="4F7A427C" w14:textId="77777777" w:rsidR="00375ED8" w:rsidRPr="00EA1BB2" w:rsidRDefault="00375ED8" w:rsidP="00375ED8">
            <w:pPr>
              <w:jc w:val="both"/>
              <w:rPr>
                <w:rFonts w:ascii="Cambria" w:hAnsi="Cambria" w:cs="Times New Roman"/>
                <w:sz w:val="20"/>
                <w:szCs w:val="20"/>
                <w:lang w:val="ro-RO"/>
              </w:rPr>
            </w:pPr>
          </w:p>
        </w:tc>
        <w:tc>
          <w:tcPr>
            <w:tcW w:w="2699" w:type="dxa"/>
            <w:vMerge/>
          </w:tcPr>
          <w:p w14:paraId="20556D3C" w14:textId="77777777" w:rsidR="00375ED8" w:rsidRPr="00EA1BB2" w:rsidRDefault="00375ED8" w:rsidP="00375ED8">
            <w:pPr>
              <w:jc w:val="both"/>
              <w:rPr>
                <w:rFonts w:ascii="Cambria" w:hAnsi="Cambria" w:cs="Times New Roman"/>
                <w:bCs/>
                <w:sz w:val="20"/>
                <w:szCs w:val="20"/>
                <w:lang w:val="ro-RO"/>
              </w:rPr>
            </w:pPr>
          </w:p>
        </w:tc>
        <w:tc>
          <w:tcPr>
            <w:tcW w:w="3753" w:type="dxa"/>
          </w:tcPr>
          <w:p w14:paraId="084C56A4"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Modernizare de drumuri în localitățile Vărsătura, com. Chiscani Vărsătura</w:t>
            </w:r>
          </w:p>
          <w:p w14:paraId="73A47BC3"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t>L= 0,41 Km</w:t>
            </w:r>
          </w:p>
        </w:tc>
        <w:tc>
          <w:tcPr>
            <w:tcW w:w="1559" w:type="dxa"/>
            <w:vMerge/>
          </w:tcPr>
          <w:p w14:paraId="082CCBCC" w14:textId="77777777" w:rsidR="00375ED8" w:rsidRPr="00EA1BB2" w:rsidRDefault="00375ED8" w:rsidP="00375ED8">
            <w:pPr>
              <w:jc w:val="center"/>
              <w:rPr>
                <w:rFonts w:ascii="Cambria" w:hAnsi="Cambria" w:cs="Times New Roman"/>
                <w:sz w:val="20"/>
                <w:szCs w:val="20"/>
                <w:lang w:val="ro-RO"/>
              </w:rPr>
            </w:pPr>
          </w:p>
        </w:tc>
        <w:tc>
          <w:tcPr>
            <w:tcW w:w="1262" w:type="dxa"/>
          </w:tcPr>
          <w:p w14:paraId="39931093"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2018</w:t>
            </w:r>
          </w:p>
        </w:tc>
        <w:tc>
          <w:tcPr>
            <w:tcW w:w="1460" w:type="dxa"/>
          </w:tcPr>
          <w:p w14:paraId="59EFAB78"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9.981.615</w:t>
            </w:r>
          </w:p>
        </w:tc>
        <w:tc>
          <w:tcPr>
            <w:tcW w:w="1599" w:type="dxa"/>
          </w:tcPr>
          <w:p w14:paraId="5A921327"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Fonduri UE</w:t>
            </w:r>
          </w:p>
        </w:tc>
        <w:tc>
          <w:tcPr>
            <w:tcW w:w="1701" w:type="dxa"/>
          </w:tcPr>
          <w:p w14:paraId="30F5A2F9"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60FB3965" w14:textId="77777777" w:rsidTr="00A812FA">
        <w:trPr>
          <w:trHeight w:val="597"/>
          <w:jc w:val="center"/>
        </w:trPr>
        <w:tc>
          <w:tcPr>
            <w:tcW w:w="851" w:type="dxa"/>
            <w:vMerge/>
          </w:tcPr>
          <w:p w14:paraId="15B32CE8" w14:textId="77777777" w:rsidR="00375ED8" w:rsidRPr="00EA1BB2" w:rsidRDefault="00375ED8" w:rsidP="00375ED8">
            <w:pPr>
              <w:jc w:val="both"/>
              <w:rPr>
                <w:rFonts w:ascii="Cambria" w:hAnsi="Cambria" w:cs="Times New Roman"/>
                <w:sz w:val="20"/>
                <w:szCs w:val="20"/>
                <w:lang w:val="ro-RO"/>
              </w:rPr>
            </w:pPr>
          </w:p>
        </w:tc>
        <w:tc>
          <w:tcPr>
            <w:tcW w:w="2699" w:type="dxa"/>
            <w:vMerge/>
          </w:tcPr>
          <w:p w14:paraId="15CE739C" w14:textId="77777777" w:rsidR="00375ED8" w:rsidRPr="00EA1BB2" w:rsidRDefault="00375ED8" w:rsidP="00375ED8">
            <w:pPr>
              <w:jc w:val="both"/>
              <w:rPr>
                <w:rFonts w:ascii="Cambria" w:hAnsi="Cambria" w:cs="Times New Roman"/>
                <w:bCs/>
                <w:sz w:val="20"/>
                <w:szCs w:val="20"/>
                <w:lang w:val="ro-RO"/>
              </w:rPr>
            </w:pPr>
          </w:p>
        </w:tc>
        <w:tc>
          <w:tcPr>
            <w:tcW w:w="3753" w:type="dxa"/>
          </w:tcPr>
          <w:p w14:paraId="2C35EB69"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Modernizare drumuri locale in com. Chiscani</w:t>
            </w:r>
          </w:p>
          <w:p w14:paraId="2B94D66A"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t>L=10 Km</w:t>
            </w:r>
          </w:p>
        </w:tc>
        <w:tc>
          <w:tcPr>
            <w:tcW w:w="1559" w:type="dxa"/>
            <w:vMerge/>
          </w:tcPr>
          <w:p w14:paraId="07F26DFD" w14:textId="77777777" w:rsidR="00375ED8" w:rsidRPr="00EA1BB2" w:rsidRDefault="00375ED8" w:rsidP="00375ED8">
            <w:pPr>
              <w:jc w:val="center"/>
              <w:rPr>
                <w:rFonts w:ascii="Cambria" w:hAnsi="Cambria" w:cs="Times New Roman"/>
                <w:sz w:val="20"/>
                <w:szCs w:val="20"/>
                <w:lang w:val="ro-RO"/>
              </w:rPr>
            </w:pPr>
          </w:p>
        </w:tc>
        <w:tc>
          <w:tcPr>
            <w:tcW w:w="1262" w:type="dxa"/>
          </w:tcPr>
          <w:p w14:paraId="7A722F57"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2018</w:t>
            </w:r>
          </w:p>
          <w:p w14:paraId="098F11CC" w14:textId="77777777" w:rsidR="00375ED8" w:rsidRPr="00EA1BB2" w:rsidRDefault="00375ED8" w:rsidP="00375ED8">
            <w:pPr>
              <w:jc w:val="center"/>
              <w:rPr>
                <w:rFonts w:ascii="Cambria" w:hAnsi="Cambria" w:cs="Times New Roman"/>
                <w:sz w:val="20"/>
                <w:szCs w:val="20"/>
                <w:lang w:val="ro-RO"/>
              </w:rPr>
            </w:pPr>
          </w:p>
        </w:tc>
        <w:tc>
          <w:tcPr>
            <w:tcW w:w="1460" w:type="dxa"/>
          </w:tcPr>
          <w:p w14:paraId="50AA75E2"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69.321.000</w:t>
            </w:r>
          </w:p>
          <w:p w14:paraId="36793079" w14:textId="77777777" w:rsidR="00375ED8" w:rsidRPr="00EA1BB2" w:rsidRDefault="00375ED8" w:rsidP="00375ED8">
            <w:pPr>
              <w:jc w:val="center"/>
              <w:rPr>
                <w:rFonts w:ascii="Cambria" w:hAnsi="Cambria"/>
                <w:sz w:val="20"/>
                <w:szCs w:val="20"/>
                <w:lang w:val="ro-RO"/>
              </w:rPr>
            </w:pPr>
          </w:p>
        </w:tc>
        <w:tc>
          <w:tcPr>
            <w:tcW w:w="1599" w:type="dxa"/>
          </w:tcPr>
          <w:p w14:paraId="624575D6"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Fonduri UE</w:t>
            </w:r>
          </w:p>
        </w:tc>
        <w:tc>
          <w:tcPr>
            <w:tcW w:w="1701" w:type="dxa"/>
          </w:tcPr>
          <w:p w14:paraId="1DC67174"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2AF5EC8E" w14:textId="77777777" w:rsidTr="00A812FA">
        <w:trPr>
          <w:trHeight w:val="503"/>
          <w:jc w:val="center"/>
        </w:trPr>
        <w:tc>
          <w:tcPr>
            <w:tcW w:w="851" w:type="dxa"/>
            <w:vMerge/>
          </w:tcPr>
          <w:p w14:paraId="20D5B1C2" w14:textId="77777777" w:rsidR="00375ED8" w:rsidRPr="00EA1BB2" w:rsidRDefault="00375ED8" w:rsidP="00375ED8">
            <w:pPr>
              <w:jc w:val="both"/>
              <w:rPr>
                <w:rFonts w:ascii="Cambria" w:hAnsi="Cambria" w:cs="Times New Roman"/>
                <w:sz w:val="20"/>
                <w:szCs w:val="20"/>
                <w:lang w:val="ro-RO"/>
              </w:rPr>
            </w:pPr>
          </w:p>
        </w:tc>
        <w:tc>
          <w:tcPr>
            <w:tcW w:w="2699" w:type="dxa"/>
            <w:vMerge/>
          </w:tcPr>
          <w:p w14:paraId="41111FB1" w14:textId="77777777" w:rsidR="00375ED8" w:rsidRPr="00EA1BB2" w:rsidRDefault="00375ED8" w:rsidP="00375ED8">
            <w:pPr>
              <w:jc w:val="both"/>
              <w:rPr>
                <w:rFonts w:ascii="Cambria" w:hAnsi="Cambria" w:cs="Times New Roman"/>
                <w:bCs/>
                <w:sz w:val="20"/>
                <w:szCs w:val="20"/>
                <w:lang w:val="ro-RO"/>
              </w:rPr>
            </w:pPr>
          </w:p>
        </w:tc>
        <w:tc>
          <w:tcPr>
            <w:tcW w:w="3753" w:type="dxa"/>
          </w:tcPr>
          <w:p w14:paraId="48F99654"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Modernizare drumuri (DC și străzi) în com. Ciocile</w:t>
            </w:r>
          </w:p>
          <w:p w14:paraId="2A08E3DE" w14:textId="77777777" w:rsidR="00375ED8" w:rsidRPr="00EA1BB2" w:rsidRDefault="00375ED8" w:rsidP="00375ED8">
            <w:pPr>
              <w:rPr>
                <w:rFonts w:ascii="Cambria" w:hAnsi="Cambria"/>
                <w:sz w:val="20"/>
                <w:szCs w:val="20"/>
                <w:lang w:val="ro-RO"/>
              </w:rPr>
            </w:pPr>
            <w:r w:rsidRPr="00EA1BB2">
              <w:rPr>
                <w:rFonts w:ascii="Cambria" w:hAnsi="Cambria" w:cs="Times New Roman"/>
                <w:sz w:val="20"/>
                <w:szCs w:val="20"/>
                <w:lang w:val="ro-RO"/>
              </w:rPr>
              <w:t>L= 10Km</w:t>
            </w:r>
          </w:p>
        </w:tc>
        <w:tc>
          <w:tcPr>
            <w:tcW w:w="1559" w:type="dxa"/>
            <w:vMerge w:val="restart"/>
          </w:tcPr>
          <w:p w14:paraId="321A7CD6"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Ciocile</w:t>
            </w:r>
          </w:p>
        </w:tc>
        <w:tc>
          <w:tcPr>
            <w:tcW w:w="1262" w:type="dxa"/>
          </w:tcPr>
          <w:p w14:paraId="3D33F8A1"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2018</w:t>
            </w:r>
          </w:p>
          <w:p w14:paraId="0DD61EFE" w14:textId="77777777" w:rsidR="00375ED8" w:rsidRPr="00EA1BB2" w:rsidRDefault="00375ED8" w:rsidP="00375ED8">
            <w:pPr>
              <w:jc w:val="center"/>
              <w:rPr>
                <w:rFonts w:ascii="Cambria" w:hAnsi="Cambria" w:cs="Times New Roman"/>
                <w:sz w:val="20"/>
                <w:szCs w:val="20"/>
                <w:lang w:val="ro-RO"/>
              </w:rPr>
            </w:pPr>
          </w:p>
        </w:tc>
        <w:tc>
          <w:tcPr>
            <w:tcW w:w="1460" w:type="dxa"/>
          </w:tcPr>
          <w:p w14:paraId="6A6FBC54"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9.250.000</w:t>
            </w:r>
          </w:p>
          <w:p w14:paraId="5B98DC59" w14:textId="77777777" w:rsidR="00375ED8" w:rsidRPr="00EA1BB2" w:rsidRDefault="00375ED8" w:rsidP="00375ED8">
            <w:pPr>
              <w:jc w:val="center"/>
              <w:rPr>
                <w:rFonts w:ascii="Cambria" w:hAnsi="Cambria"/>
                <w:sz w:val="20"/>
                <w:szCs w:val="20"/>
                <w:lang w:val="ro-RO"/>
              </w:rPr>
            </w:pPr>
          </w:p>
        </w:tc>
        <w:tc>
          <w:tcPr>
            <w:tcW w:w="1599" w:type="dxa"/>
          </w:tcPr>
          <w:p w14:paraId="124A2983"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BL+PNDL</w:t>
            </w:r>
          </w:p>
          <w:p w14:paraId="42273EA3" w14:textId="77777777" w:rsidR="00375ED8" w:rsidRPr="00EA1BB2" w:rsidRDefault="00375ED8" w:rsidP="00375ED8">
            <w:pPr>
              <w:jc w:val="center"/>
              <w:rPr>
                <w:rFonts w:ascii="Cambria" w:hAnsi="Cambria" w:cs="Times New Roman"/>
                <w:sz w:val="20"/>
                <w:szCs w:val="20"/>
                <w:lang w:val="ro-RO"/>
              </w:rPr>
            </w:pPr>
          </w:p>
        </w:tc>
        <w:tc>
          <w:tcPr>
            <w:tcW w:w="1701" w:type="dxa"/>
          </w:tcPr>
          <w:p w14:paraId="769AC7F5"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38DA9FC0" w14:textId="77777777" w:rsidTr="00A812FA">
        <w:trPr>
          <w:trHeight w:val="269"/>
          <w:jc w:val="center"/>
        </w:trPr>
        <w:tc>
          <w:tcPr>
            <w:tcW w:w="851" w:type="dxa"/>
            <w:vMerge/>
            <w:tcBorders>
              <w:bottom w:val="single" w:sz="4" w:space="0" w:color="auto"/>
            </w:tcBorders>
          </w:tcPr>
          <w:p w14:paraId="3780C274" w14:textId="77777777" w:rsidR="00375ED8" w:rsidRPr="00EA1BB2" w:rsidRDefault="00375ED8" w:rsidP="00375ED8">
            <w:pPr>
              <w:jc w:val="both"/>
              <w:rPr>
                <w:rFonts w:ascii="Cambria" w:hAnsi="Cambria" w:cs="Times New Roman"/>
                <w:sz w:val="20"/>
                <w:szCs w:val="20"/>
                <w:lang w:val="ro-RO"/>
              </w:rPr>
            </w:pPr>
          </w:p>
        </w:tc>
        <w:tc>
          <w:tcPr>
            <w:tcW w:w="2699" w:type="dxa"/>
            <w:vMerge/>
            <w:tcBorders>
              <w:bottom w:val="single" w:sz="4" w:space="0" w:color="auto"/>
            </w:tcBorders>
          </w:tcPr>
          <w:p w14:paraId="61B09ED3" w14:textId="77777777" w:rsidR="00375ED8" w:rsidRPr="00EA1BB2" w:rsidRDefault="00375ED8" w:rsidP="00375ED8">
            <w:pPr>
              <w:jc w:val="both"/>
              <w:rPr>
                <w:rFonts w:ascii="Cambria" w:hAnsi="Cambria" w:cs="Times New Roman"/>
                <w:bCs/>
                <w:sz w:val="20"/>
                <w:szCs w:val="20"/>
                <w:lang w:val="ro-RO"/>
              </w:rPr>
            </w:pPr>
          </w:p>
        </w:tc>
        <w:tc>
          <w:tcPr>
            <w:tcW w:w="3753" w:type="dxa"/>
            <w:tcBorders>
              <w:bottom w:val="single" w:sz="4" w:space="0" w:color="auto"/>
            </w:tcBorders>
          </w:tcPr>
          <w:p w14:paraId="4FC9F7D1"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Modernizare drumuri comunale</w:t>
            </w:r>
          </w:p>
          <w:p w14:paraId="1234EDBC"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t>L= 6 Km</w:t>
            </w:r>
          </w:p>
        </w:tc>
        <w:tc>
          <w:tcPr>
            <w:tcW w:w="1559" w:type="dxa"/>
            <w:vMerge/>
            <w:tcBorders>
              <w:bottom w:val="single" w:sz="4" w:space="0" w:color="auto"/>
            </w:tcBorders>
          </w:tcPr>
          <w:p w14:paraId="139112DA" w14:textId="77777777" w:rsidR="00375ED8" w:rsidRPr="00EA1BB2" w:rsidRDefault="00375ED8" w:rsidP="00375ED8">
            <w:pPr>
              <w:jc w:val="center"/>
              <w:rPr>
                <w:rFonts w:ascii="Cambria" w:hAnsi="Cambria" w:cs="Times New Roman"/>
                <w:sz w:val="20"/>
                <w:szCs w:val="20"/>
                <w:lang w:val="ro-RO"/>
              </w:rPr>
            </w:pPr>
          </w:p>
        </w:tc>
        <w:tc>
          <w:tcPr>
            <w:tcW w:w="1262" w:type="dxa"/>
            <w:tcBorders>
              <w:bottom w:val="single" w:sz="4" w:space="0" w:color="auto"/>
            </w:tcBorders>
          </w:tcPr>
          <w:p w14:paraId="3F8CE899"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2018</w:t>
            </w:r>
          </w:p>
        </w:tc>
        <w:tc>
          <w:tcPr>
            <w:tcW w:w="1460" w:type="dxa"/>
            <w:tcBorders>
              <w:bottom w:val="single" w:sz="4" w:space="0" w:color="auto"/>
            </w:tcBorders>
          </w:tcPr>
          <w:p w14:paraId="1BC4004A"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5.708.000</w:t>
            </w:r>
          </w:p>
        </w:tc>
        <w:tc>
          <w:tcPr>
            <w:tcW w:w="1599" w:type="dxa"/>
            <w:tcBorders>
              <w:bottom w:val="single" w:sz="4" w:space="0" w:color="auto"/>
            </w:tcBorders>
          </w:tcPr>
          <w:p w14:paraId="494BCE08"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BL+PNDL</w:t>
            </w:r>
          </w:p>
        </w:tc>
        <w:tc>
          <w:tcPr>
            <w:tcW w:w="1701" w:type="dxa"/>
            <w:tcBorders>
              <w:bottom w:val="single" w:sz="4" w:space="0" w:color="auto"/>
            </w:tcBorders>
          </w:tcPr>
          <w:p w14:paraId="7C2BD6C1"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7C267382" w14:textId="77777777" w:rsidTr="00A812FA">
        <w:trPr>
          <w:trHeight w:val="225"/>
          <w:jc w:val="center"/>
        </w:trPr>
        <w:tc>
          <w:tcPr>
            <w:tcW w:w="851" w:type="dxa"/>
            <w:vMerge/>
          </w:tcPr>
          <w:p w14:paraId="362F697C" w14:textId="77777777" w:rsidR="00375ED8" w:rsidRPr="00EA1BB2" w:rsidRDefault="00375ED8" w:rsidP="00375ED8">
            <w:pPr>
              <w:jc w:val="both"/>
              <w:rPr>
                <w:rFonts w:ascii="Cambria" w:hAnsi="Cambria" w:cs="Times New Roman"/>
                <w:sz w:val="20"/>
                <w:szCs w:val="20"/>
                <w:lang w:val="ro-RO"/>
              </w:rPr>
            </w:pPr>
          </w:p>
        </w:tc>
        <w:tc>
          <w:tcPr>
            <w:tcW w:w="2699" w:type="dxa"/>
            <w:vMerge/>
          </w:tcPr>
          <w:p w14:paraId="53EE80A1" w14:textId="77777777" w:rsidR="00375ED8" w:rsidRPr="00EA1BB2" w:rsidRDefault="00375ED8" w:rsidP="00375ED8">
            <w:pPr>
              <w:jc w:val="both"/>
              <w:rPr>
                <w:rFonts w:ascii="Cambria" w:hAnsi="Cambria" w:cs="Times New Roman"/>
                <w:bCs/>
                <w:sz w:val="20"/>
                <w:szCs w:val="20"/>
                <w:lang w:val="ro-RO"/>
              </w:rPr>
            </w:pPr>
          </w:p>
        </w:tc>
        <w:tc>
          <w:tcPr>
            <w:tcW w:w="3753" w:type="dxa"/>
          </w:tcPr>
          <w:p w14:paraId="7FC97E5F"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Modernizare DC57, Salcia-Agaua</w:t>
            </w:r>
          </w:p>
          <w:p w14:paraId="7001F334"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t>L= 1 Km</w:t>
            </w:r>
          </w:p>
        </w:tc>
        <w:tc>
          <w:tcPr>
            <w:tcW w:w="1559" w:type="dxa"/>
            <w:vMerge w:val="restart"/>
          </w:tcPr>
          <w:p w14:paraId="15DBF2ED"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Frecatei</w:t>
            </w:r>
          </w:p>
        </w:tc>
        <w:tc>
          <w:tcPr>
            <w:tcW w:w="1262" w:type="dxa"/>
          </w:tcPr>
          <w:p w14:paraId="32032A44"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2019</w:t>
            </w:r>
          </w:p>
        </w:tc>
        <w:tc>
          <w:tcPr>
            <w:tcW w:w="1460" w:type="dxa"/>
          </w:tcPr>
          <w:p w14:paraId="3E794713"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91.000</w:t>
            </w:r>
          </w:p>
        </w:tc>
        <w:tc>
          <w:tcPr>
            <w:tcW w:w="1599" w:type="dxa"/>
          </w:tcPr>
          <w:p w14:paraId="4DA86B9C"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BL+PNDL</w:t>
            </w:r>
          </w:p>
        </w:tc>
        <w:tc>
          <w:tcPr>
            <w:tcW w:w="1701" w:type="dxa"/>
          </w:tcPr>
          <w:p w14:paraId="513512FE"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59607FA1" w14:textId="77777777" w:rsidTr="00A812FA">
        <w:trPr>
          <w:trHeight w:val="360"/>
          <w:jc w:val="center"/>
        </w:trPr>
        <w:tc>
          <w:tcPr>
            <w:tcW w:w="851" w:type="dxa"/>
            <w:vMerge/>
          </w:tcPr>
          <w:p w14:paraId="6A2A4F3D" w14:textId="77777777" w:rsidR="00375ED8" w:rsidRPr="00EA1BB2" w:rsidRDefault="00375ED8" w:rsidP="00375ED8">
            <w:pPr>
              <w:jc w:val="both"/>
              <w:rPr>
                <w:rFonts w:ascii="Cambria" w:hAnsi="Cambria" w:cs="Times New Roman"/>
                <w:sz w:val="20"/>
                <w:szCs w:val="20"/>
                <w:lang w:val="ro-RO"/>
              </w:rPr>
            </w:pPr>
          </w:p>
        </w:tc>
        <w:tc>
          <w:tcPr>
            <w:tcW w:w="2699" w:type="dxa"/>
            <w:vMerge/>
          </w:tcPr>
          <w:p w14:paraId="742ED1AA" w14:textId="77777777" w:rsidR="00375ED8" w:rsidRPr="00EA1BB2" w:rsidRDefault="00375ED8" w:rsidP="00375ED8">
            <w:pPr>
              <w:jc w:val="both"/>
              <w:rPr>
                <w:rFonts w:ascii="Cambria" w:hAnsi="Cambria" w:cs="Times New Roman"/>
                <w:bCs/>
                <w:sz w:val="20"/>
                <w:szCs w:val="20"/>
                <w:lang w:val="ro-RO"/>
              </w:rPr>
            </w:pPr>
          </w:p>
        </w:tc>
        <w:tc>
          <w:tcPr>
            <w:tcW w:w="3753" w:type="dxa"/>
          </w:tcPr>
          <w:p w14:paraId="432E6649"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Modernizare DC57, Titcov-Frecatei</w:t>
            </w:r>
          </w:p>
          <w:p w14:paraId="6616DE5A"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t>L= 11 Km</w:t>
            </w:r>
          </w:p>
        </w:tc>
        <w:tc>
          <w:tcPr>
            <w:tcW w:w="1559" w:type="dxa"/>
            <w:vMerge/>
          </w:tcPr>
          <w:p w14:paraId="165D08C0" w14:textId="77777777" w:rsidR="00375ED8" w:rsidRPr="00EA1BB2" w:rsidRDefault="00375ED8" w:rsidP="00375ED8">
            <w:pPr>
              <w:jc w:val="center"/>
              <w:rPr>
                <w:rFonts w:ascii="Cambria" w:hAnsi="Cambria" w:cs="Times New Roman"/>
                <w:sz w:val="20"/>
                <w:szCs w:val="20"/>
                <w:lang w:val="ro-RO"/>
              </w:rPr>
            </w:pPr>
          </w:p>
        </w:tc>
        <w:tc>
          <w:tcPr>
            <w:tcW w:w="1262" w:type="dxa"/>
          </w:tcPr>
          <w:p w14:paraId="0A25705D"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2019</w:t>
            </w:r>
          </w:p>
          <w:p w14:paraId="5954659E" w14:textId="77777777" w:rsidR="00375ED8" w:rsidRPr="00EA1BB2" w:rsidRDefault="00375ED8" w:rsidP="00375ED8">
            <w:pPr>
              <w:jc w:val="center"/>
              <w:rPr>
                <w:rFonts w:ascii="Cambria" w:hAnsi="Cambria" w:cs="Times New Roman"/>
                <w:sz w:val="20"/>
                <w:szCs w:val="20"/>
                <w:lang w:val="ro-RO"/>
              </w:rPr>
            </w:pPr>
          </w:p>
        </w:tc>
        <w:tc>
          <w:tcPr>
            <w:tcW w:w="1460" w:type="dxa"/>
          </w:tcPr>
          <w:p w14:paraId="15CB4354"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250.000</w:t>
            </w:r>
          </w:p>
          <w:p w14:paraId="31E2BAB1" w14:textId="77777777" w:rsidR="00375ED8" w:rsidRPr="00EA1BB2" w:rsidRDefault="00375ED8" w:rsidP="00375ED8">
            <w:pPr>
              <w:jc w:val="center"/>
              <w:rPr>
                <w:rFonts w:ascii="Cambria" w:hAnsi="Cambria"/>
                <w:sz w:val="20"/>
                <w:szCs w:val="20"/>
                <w:lang w:val="ro-RO"/>
              </w:rPr>
            </w:pPr>
          </w:p>
        </w:tc>
        <w:tc>
          <w:tcPr>
            <w:tcW w:w="1599" w:type="dxa"/>
          </w:tcPr>
          <w:p w14:paraId="6220F596"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BL+PNDL</w:t>
            </w:r>
          </w:p>
          <w:p w14:paraId="257A5ACE" w14:textId="77777777" w:rsidR="00375ED8" w:rsidRPr="00EA1BB2" w:rsidRDefault="00375ED8" w:rsidP="00375ED8">
            <w:pPr>
              <w:jc w:val="center"/>
              <w:rPr>
                <w:rFonts w:ascii="Cambria" w:hAnsi="Cambria" w:cs="Times New Roman"/>
                <w:sz w:val="20"/>
                <w:szCs w:val="20"/>
                <w:lang w:val="ro-RO"/>
              </w:rPr>
            </w:pPr>
          </w:p>
        </w:tc>
        <w:tc>
          <w:tcPr>
            <w:tcW w:w="1701" w:type="dxa"/>
          </w:tcPr>
          <w:p w14:paraId="61FA461C"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2569C53C" w14:textId="77777777" w:rsidTr="00A812FA">
        <w:trPr>
          <w:trHeight w:val="585"/>
          <w:jc w:val="center"/>
        </w:trPr>
        <w:tc>
          <w:tcPr>
            <w:tcW w:w="851" w:type="dxa"/>
            <w:vMerge/>
          </w:tcPr>
          <w:p w14:paraId="660D2D0F" w14:textId="77777777" w:rsidR="00375ED8" w:rsidRPr="00EA1BB2" w:rsidRDefault="00375ED8" w:rsidP="00375ED8">
            <w:pPr>
              <w:jc w:val="both"/>
              <w:rPr>
                <w:rFonts w:ascii="Cambria" w:hAnsi="Cambria" w:cs="Times New Roman"/>
                <w:sz w:val="20"/>
                <w:szCs w:val="20"/>
                <w:lang w:val="ro-RO"/>
              </w:rPr>
            </w:pPr>
          </w:p>
        </w:tc>
        <w:tc>
          <w:tcPr>
            <w:tcW w:w="2699" w:type="dxa"/>
            <w:vMerge/>
          </w:tcPr>
          <w:p w14:paraId="22869608" w14:textId="77777777" w:rsidR="00375ED8" w:rsidRPr="00EA1BB2" w:rsidRDefault="00375ED8" w:rsidP="00375ED8">
            <w:pPr>
              <w:jc w:val="both"/>
              <w:rPr>
                <w:rFonts w:ascii="Cambria" w:hAnsi="Cambria" w:cs="Times New Roman"/>
                <w:bCs/>
                <w:sz w:val="20"/>
                <w:szCs w:val="20"/>
                <w:lang w:val="ro-RO"/>
              </w:rPr>
            </w:pPr>
          </w:p>
        </w:tc>
        <w:tc>
          <w:tcPr>
            <w:tcW w:w="3753" w:type="dxa"/>
          </w:tcPr>
          <w:p w14:paraId="203674DE"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Sistematizare centru civic sat Frecatei</w:t>
            </w:r>
          </w:p>
          <w:p w14:paraId="642E38D2"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t>Ltrotuare=0,714Km</w:t>
            </w:r>
          </w:p>
        </w:tc>
        <w:tc>
          <w:tcPr>
            <w:tcW w:w="1559" w:type="dxa"/>
            <w:vMerge/>
          </w:tcPr>
          <w:p w14:paraId="5C46B7C3" w14:textId="77777777" w:rsidR="00375ED8" w:rsidRPr="00EA1BB2" w:rsidRDefault="00375ED8" w:rsidP="00375ED8">
            <w:pPr>
              <w:jc w:val="center"/>
              <w:rPr>
                <w:rFonts w:ascii="Cambria" w:hAnsi="Cambria" w:cs="Times New Roman"/>
                <w:sz w:val="20"/>
                <w:szCs w:val="20"/>
                <w:lang w:val="ro-RO"/>
              </w:rPr>
            </w:pPr>
          </w:p>
        </w:tc>
        <w:tc>
          <w:tcPr>
            <w:tcW w:w="1262" w:type="dxa"/>
          </w:tcPr>
          <w:p w14:paraId="2004AE20"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2018</w:t>
            </w:r>
          </w:p>
        </w:tc>
        <w:tc>
          <w:tcPr>
            <w:tcW w:w="1460" w:type="dxa"/>
          </w:tcPr>
          <w:p w14:paraId="6E98C5E2"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620.000</w:t>
            </w:r>
          </w:p>
        </w:tc>
        <w:tc>
          <w:tcPr>
            <w:tcW w:w="1599" w:type="dxa"/>
          </w:tcPr>
          <w:p w14:paraId="75EC5B25"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BL+PNDL</w:t>
            </w:r>
          </w:p>
          <w:p w14:paraId="077197F3" w14:textId="77777777" w:rsidR="00375ED8" w:rsidRPr="00EA1BB2" w:rsidRDefault="00375ED8" w:rsidP="00375ED8">
            <w:pPr>
              <w:jc w:val="center"/>
              <w:rPr>
                <w:rFonts w:ascii="Cambria" w:hAnsi="Cambria" w:cs="Times New Roman"/>
                <w:sz w:val="20"/>
                <w:szCs w:val="20"/>
                <w:lang w:val="ro-RO"/>
              </w:rPr>
            </w:pPr>
          </w:p>
        </w:tc>
        <w:tc>
          <w:tcPr>
            <w:tcW w:w="1701" w:type="dxa"/>
          </w:tcPr>
          <w:p w14:paraId="2BDF0258"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trotuare</w:t>
            </w:r>
          </w:p>
        </w:tc>
      </w:tr>
      <w:tr w:rsidR="00375ED8" w:rsidRPr="00EA1BB2" w14:paraId="22E07967" w14:textId="77777777" w:rsidTr="00A812FA">
        <w:trPr>
          <w:trHeight w:val="567"/>
          <w:jc w:val="center"/>
        </w:trPr>
        <w:tc>
          <w:tcPr>
            <w:tcW w:w="851" w:type="dxa"/>
            <w:vMerge/>
            <w:tcBorders>
              <w:bottom w:val="single" w:sz="4" w:space="0" w:color="auto"/>
            </w:tcBorders>
          </w:tcPr>
          <w:p w14:paraId="65C04B69" w14:textId="77777777" w:rsidR="00375ED8" w:rsidRPr="00EA1BB2" w:rsidRDefault="00375ED8" w:rsidP="00375ED8">
            <w:pPr>
              <w:jc w:val="both"/>
              <w:rPr>
                <w:rFonts w:ascii="Cambria" w:hAnsi="Cambria" w:cs="Times New Roman"/>
                <w:sz w:val="20"/>
                <w:szCs w:val="20"/>
                <w:lang w:val="ro-RO"/>
              </w:rPr>
            </w:pPr>
          </w:p>
        </w:tc>
        <w:tc>
          <w:tcPr>
            <w:tcW w:w="2699" w:type="dxa"/>
            <w:vMerge/>
            <w:tcBorders>
              <w:bottom w:val="single" w:sz="4" w:space="0" w:color="auto"/>
            </w:tcBorders>
          </w:tcPr>
          <w:p w14:paraId="1D19F954" w14:textId="77777777" w:rsidR="00375ED8" w:rsidRPr="00EA1BB2" w:rsidRDefault="00375ED8" w:rsidP="00375ED8">
            <w:pPr>
              <w:jc w:val="both"/>
              <w:rPr>
                <w:rFonts w:ascii="Cambria" w:hAnsi="Cambria" w:cs="Times New Roman"/>
                <w:bCs/>
                <w:sz w:val="20"/>
                <w:szCs w:val="20"/>
                <w:lang w:val="ro-RO"/>
              </w:rPr>
            </w:pPr>
          </w:p>
        </w:tc>
        <w:tc>
          <w:tcPr>
            <w:tcW w:w="3753" w:type="dxa"/>
            <w:tcBorders>
              <w:bottom w:val="single" w:sz="4" w:space="0" w:color="auto"/>
            </w:tcBorders>
          </w:tcPr>
          <w:p w14:paraId="087EBA80"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Pietruire DC 58 (drum vivcinal) Grecatei-Marasu</w:t>
            </w:r>
          </w:p>
          <w:p w14:paraId="00C56FB6" w14:textId="77777777" w:rsidR="00375ED8" w:rsidRPr="00EA1BB2" w:rsidRDefault="00375ED8" w:rsidP="00375ED8">
            <w:pPr>
              <w:rPr>
                <w:rFonts w:ascii="Cambria" w:hAnsi="Cambria"/>
                <w:sz w:val="20"/>
                <w:szCs w:val="20"/>
                <w:lang w:val="ro-RO"/>
              </w:rPr>
            </w:pPr>
            <w:r w:rsidRPr="00EA1BB2">
              <w:rPr>
                <w:rFonts w:ascii="Cambria" w:hAnsi="Cambria" w:cs="Times New Roman"/>
                <w:sz w:val="20"/>
                <w:szCs w:val="20"/>
                <w:lang w:val="ro-RO"/>
              </w:rPr>
              <w:t>L=3.5Km</w:t>
            </w:r>
          </w:p>
        </w:tc>
        <w:tc>
          <w:tcPr>
            <w:tcW w:w="1559" w:type="dxa"/>
            <w:vMerge/>
            <w:tcBorders>
              <w:bottom w:val="single" w:sz="4" w:space="0" w:color="auto"/>
            </w:tcBorders>
          </w:tcPr>
          <w:p w14:paraId="315B36DD" w14:textId="77777777" w:rsidR="00375ED8" w:rsidRPr="00EA1BB2" w:rsidRDefault="00375ED8" w:rsidP="00375ED8">
            <w:pPr>
              <w:jc w:val="center"/>
              <w:rPr>
                <w:rFonts w:ascii="Cambria" w:hAnsi="Cambria" w:cs="Times New Roman"/>
                <w:sz w:val="20"/>
                <w:szCs w:val="20"/>
                <w:lang w:val="ro-RO"/>
              </w:rPr>
            </w:pPr>
          </w:p>
        </w:tc>
        <w:tc>
          <w:tcPr>
            <w:tcW w:w="1262" w:type="dxa"/>
            <w:tcBorders>
              <w:bottom w:val="single" w:sz="4" w:space="0" w:color="auto"/>
            </w:tcBorders>
          </w:tcPr>
          <w:p w14:paraId="13549A66"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2018</w:t>
            </w:r>
          </w:p>
          <w:p w14:paraId="2FB3FF6E" w14:textId="77777777" w:rsidR="00375ED8" w:rsidRPr="00EA1BB2" w:rsidRDefault="00375ED8" w:rsidP="00375ED8">
            <w:pPr>
              <w:rPr>
                <w:rFonts w:ascii="Cambria" w:hAnsi="Cambria" w:cs="Times New Roman"/>
                <w:sz w:val="20"/>
                <w:szCs w:val="20"/>
                <w:lang w:val="ro-RO"/>
              </w:rPr>
            </w:pPr>
          </w:p>
        </w:tc>
        <w:tc>
          <w:tcPr>
            <w:tcW w:w="1460" w:type="dxa"/>
            <w:tcBorders>
              <w:bottom w:val="single" w:sz="4" w:space="0" w:color="auto"/>
            </w:tcBorders>
          </w:tcPr>
          <w:p w14:paraId="275ADBEB"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350.000</w:t>
            </w:r>
          </w:p>
        </w:tc>
        <w:tc>
          <w:tcPr>
            <w:tcW w:w="1599" w:type="dxa"/>
            <w:tcBorders>
              <w:bottom w:val="single" w:sz="4" w:space="0" w:color="auto"/>
            </w:tcBorders>
          </w:tcPr>
          <w:p w14:paraId="63B383FF"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BL+CJ</w:t>
            </w:r>
          </w:p>
        </w:tc>
        <w:tc>
          <w:tcPr>
            <w:tcW w:w="1701" w:type="dxa"/>
            <w:tcBorders>
              <w:bottom w:val="single" w:sz="4" w:space="0" w:color="auto"/>
            </w:tcBorders>
          </w:tcPr>
          <w:p w14:paraId="78DBC9FA"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5893507D" w14:textId="77777777" w:rsidTr="00A812FA">
        <w:trPr>
          <w:trHeight w:val="527"/>
          <w:jc w:val="center"/>
        </w:trPr>
        <w:tc>
          <w:tcPr>
            <w:tcW w:w="851" w:type="dxa"/>
            <w:vMerge/>
          </w:tcPr>
          <w:p w14:paraId="189E2861" w14:textId="77777777" w:rsidR="00375ED8" w:rsidRPr="00EA1BB2" w:rsidRDefault="00375ED8" w:rsidP="00375ED8">
            <w:pPr>
              <w:jc w:val="both"/>
              <w:rPr>
                <w:rFonts w:ascii="Cambria" w:hAnsi="Cambria" w:cs="Times New Roman"/>
                <w:sz w:val="20"/>
                <w:szCs w:val="20"/>
                <w:lang w:val="ro-RO"/>
              </w:rPr>
            </w:pPr>
          </w:p>
        </w:tc>
        <w:tc>
          <w:tcPr>
            <w:tcW w:w="2699" w:type="dxa"/>
            <w:vMerge/>
          </w:tcPr>
          <w:p w14:paraId="067FE16A" w14:textId="77777777" w:rsidR="00375ED8" w:rsidRPr="00EA1BB2" w:rsidRDefault="00375ED8" w:rsidP="00375ED8">
            <w:pPr>
              <w:jc w:val="both"/>
              <w:rPr>
                <w:rFonts w:ascii="Cambria" w:hAnsi="Cambria" w:cs="Times New Roman"/>
                <w:bCs/>
                <w:sz w:val="20"/>
                <w:szCs w:val="20"/>
                <w:lang w:val="ro-RO"/>
              </w:rPr>
            </w:pPr>
          </w:p>
        </w:tc>
        <w:tc>
          <w:tcPr>
            <w:tcW w:w="3753" w:type="dxa"/>
          </w:tcPr>
          <w:p w14:paraId="72F7609E"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Modernizare (asfaltare) DC57 – din DJ212A-Ticov</w:t>
            </w:r>
          </w:p>
          <w:p w14:paraId="174287AF"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t>L=8,9Km</w:t>
            </w:r>
          </w:p>
        </w:tc>
        <w:tc>
          <w:tcPr>
            <w:tcW w:w="1559" w:type="dxa"/>
            <w:vMerge/>
          </w:tcPr>
          <w:p w14:paraId="6E5C08D5" w14:textId="77777777" w:rsidR="00375ED8" w:rsidRPr="00EA1BB2" w:rsidRDefault="00375ED8" w:rsidP="00375ED8">
            <w:pPr>
              <w:jc w:val="center"/>
              <w:rPr>
                <w:rFonts w:ascii="Cambria" w:hAnsi="Cambria" w:cs="Times New Roman"/>
                <w:sz w:val="20"/>
                <w:szCs w:val="20"/>
                <w:lang w:val="ro-RO"/>
              </w:rPr>
            </w:pPr>
          </w:p>
        </w:tc>
        <w:tc>
          <w:tcPr>
            <w:tcW w:w="1262" w:type="dxa"/>
          </w:tcPr>
          <w:p w14:paraId="5BCBBF6D"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2020</w:t>
            </w:r>
          </w:p>
        </w:tc>
        <w:tc>
          <w:tcPr>
            <w:tcW w:w="1460" w:type="dxa"/>
          </w:tcPr>
          <w:p w14:paraId="327B8FBE"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8.700.000</w:t>
            </w:r>
          </w:p>
        </w:tc>
        <w:tc>
          <w:tcPr>
            <w:tcW w:w="1599" w:type="dxa"/>
          </w:tcPr>
          <w:p w14:paraId="49462904"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BL+PNDL</w:t>
            </w:r>
          </w:p>
        </w:tc>
        <w:tc>
          <w:tcPr>
            <w:tcW w:w="1701" w:type="dxa"/>
          </w:tcPr>
          <w:p w14:paraId="23A052C0"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235460A1" w14:textId="77777777" w:rsidTr="00A812FA">
        <w:trPr>
          <w:trHeight w:val="523"/>
          <w:jc w:val="center"/>
        </w:trPr>
        <w:tc>
          <w:tcPr>
            <w:tcW w:w="851" w:type="dxa"/>
            <w:vMerge/>
          </w:tcPr>
          <w:p w14:paraId="2683A2DA" w14:textId="77777777" w:rsidR="00375ED8" w:rsidRPr="00EA1BB2" w:rsidRDefault="00375ED8" w:rsidP="00375ED8">
            <w:pPr>
              <w:jc w:val="both"/>
              <w:rPr>
                <w:rFonts w:ascii="Cambria" w:hAnsi="Cambria" w:cs="Times New Roman"/>
                <w:sz w:val="20"/>
                <w:szCs w:val="20"/>
                <w:lang w:val="ro-RO"/>
              </w:rPr>
            </w:pPr>
          </w:p>
        </w:tc>
        <w:tc>
          <w:tcPr>
            <w:tcW w:w="2699" w:type="dxa"/>
            <w:vMerge/>
          </w:tcPr>
          <w:p w14:paraId="230B5E10" w14:textId="77777777" w:rsidR="00375ED8" w:rsidRPr="00EA1BB2" w:rsidRDefault="00375ED8" w:rsidP="00375ED8">
            <w:pPr>
              <w:jc w:val="both"/>
              <w:rPr>
                <w:rFonts w:ascii="Cambria" w:hAnsi="Cambria" w:cs="Times New Roman"/>
                <w:bCs/>
                <w:sz w:val="20"/>
                <w:szCs w:val="20"/>
                <w:lang w:val="ro-RO"/>
              </w:rPr>
            </w:pPr>
          </w:p>
        </w:tc>
        <w:tc>
          <w:tcPr>
            <w:tcW w:w="3753" w:type="dxa"/>
          </w:tcPr>
          <w:p w14:paraId="06244FA0"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Modernizare drumuri (străzi) în sat Galbenu</w:t>
            </w:r>
          </w:p>
          <w:p w14:paraId="3A0F6F5D" w14:textId="77777777" w:rsidR="00375ED8" w:rsidRPr="00EA1BB2" w:rsidRDefault="00375ED8" w:rsidP="00375ED8">
            <w:pPr>
              <w:rPr>
                <w:rFonts w:ascii="Cambria" w:hAnsi="Cambria"/>
                <w:sz w:val="20"/>
                <w:szCs w:val="20"/>
                <w:lang w:val="ro-RO"/>
              </w:rPr>
            </w:pPr>
            <w:r w:rsidRPr="00EA1BB2">
              <w:rPr>
                <w:rFonts w:ascii="Cambria" w:hAnsi="Cambria" w:cs="Times New Roman"/>
                <w:sz w:val="20"/>
                <w:szCs w:val="20"/>
                <w:lang w:val="ro-RO"/>
              </w:rPr>
              <w:t>L= 6,.73 Km</w:t>
            </w:r>
          </w:p>
        </w:tc>
        <w:tc>
          <w:tcPr>
            <w:tcW w:w="1559" w:type="dxa"/>
          </w:tcPr>
          <w:p w14:paraId="7D300C23"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Galbenu</w:t>
            </w:r>
          </w:p>
        </w:tc>
        <w:tc>
          <w:tcPr>
            <w:tcW w:w="1262" w:type="dxa"/>
          </w:tcPr>
          <w:p w14:paraId="374E9440"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2018</w:t>
            </w:r>
          </w:p>
        </w:tc>
        <w:tc>
          <w:tcPr>
            <w:tcW w:w="1460" w:type="dxa"/>
          </w:tcPr>
          <w:p w14:paraId="5C9A26B4"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1.488.500</w:t>
            </w:r>
          </w:p>
        </w:tc>
        <w:tc>
          <w:tcPr>
            <w:tcW w:w="1599" w:type="dxa"/>
          </w:tcPr>
          <w:p w14:paraId="20CB9DDC"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BL+PNDL</w:t>
            </w:r>
          </w:p>
          <w:p w14:paraId="3E73CBED" w14:textId="77777777" w:rsidR="00375ED8" w:rsidRPr="00EA1BB2" w:rsidRDefault="00375ED8" w:rsidP="00375ED8">
            <w:pPr>
              <w:jc w:val="center"/>
              <w:rPr>
                <w:rFonts w:ascii="Cambria" w:hAnsi="Cambria" w:cs="Times New Roman"/>
                <w:sz w:val="20"/>
                <w:szCs w:val="20"/>
                <w:lang w:val="ro-RO"/>
              </w:rPr>
            </w:pPr>
          </w:p>
        </w:tc>
        <w:tc>
          <w:tcPr>
            <w:tcW w:w="1701" w:type="dxa"/>
          </w:tcPr>
          <w:p w14:paraId="7B63161D"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743D507C" w14:textId="77777777" w:rsidTr="00A812FA">
        <w:trPr>
          <w:trHeight w:val="559"/>
          <w:jc w:val="center"/>
        </w:trPr>
        <w:tc>
          <w:tcPr>
            <w:tcW w:w="851" w:type="dxa"/>
            <w:vMerge/>
          </w:tcPr>
          <w:p w14:paraId="770BD155" w14:textId="77777777" w:rsidR="00375ED8" w:rsidRPr="00EA1BB2" w:rsidRDefault="00375ED8" w:rsidP="00375ED8">
            <w:pPr>
              <w:jc w:val="both"/>
              <w:rPr>
                <w:rFonts w:ascii="Cambria" w:hAnsi="Cambria" w:cs="Times New Roman"/>
                <w:sz w:val="20"/>
                <w:szCs w:val="20"/>
                <w:lang w:val="ro-RO"/>
              </w:rPr>
            </w:pPr>
          </w:p>
        </w:tc>
        <w:tc>
          <w:tcPr>
            <w:tcW w:w="2699" w:type="dxa"/>
            <w:vMerge/>
          </w:tcPr>
          <w:p w14:paraId="1B6AA9B6" w14:textId="77777777" w:rsidR="00375ED8" w:rsidRPr="00EA1BB2" w:rsidRDefault="00375ED8" w:rsidP="00375ED8">
            <w:pPr>
              <w:jc w:val="both"/>
              <w:rPr>
                <w:rFonts w:ascii="Cambria" w:hAnsi="Cambria" w:cs="Times New Roman"/>
                <w:bCs/>
                <w:sz w:val="20"/>
                <w:szCs w:val="20"/>
                <w:lang w:val="ro-RO"/>
              </w:rPr>
            </w:pPr>
          </w:p>
        </w:tc>
        <w:tc>
          <w:tcPr>
            <w:tcW w:w="3753" w:type="dxa"/>
          </w:tcPr>
          <w:p w14:paraId="65FD5A18"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Modernizare străzi în loc. Grădiștea, Ibrianu, Maraloiu – etapa II</w:t>
            </w:r>
          </w:p>
          <w:p w14:paraId="437646A6"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t>L= 6,.73 Km</w:t>
            </w:r>
          </w:p>
        </w:tc>
        <w:tc>
          <w:tcPr>
            <w:tcW w:w="1559" w:type="dxa"/>
          </w:tcPr>
          <w:p w14:paraId="2B8138C8"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Grădiștea</w:t>
            </w:r>
          </w:p>
        </w:tc>
        <w:tc>
          <w:tcPr>
            <w:tcW w:w="1262" w:type="dxa"/>
          </w:tcPr>
          <w:p w14:paraId="176C0868"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2018</w:t>
            </w:r>
          </w:p>
        </w:tc>
        <w:tc>
          <w:tcPr>
            <w:tcW w:w="1460" w:type="dxa"/>
          </w:tcPr>
          <w:p w14:paraId="268B36A7"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8.642.413</w:t>
            </w:r>
          </w:p>
        </w:tc>
        <w:tc>
          <w:tcPr>
            <w:tcW w:w="1599" w:type="dxa"/>
          </w:tcPr>
          <w:p w14:paraId="45BC7956"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BL+PNDL</w:t>
            </w:r>
          </w:p>
        </w:tc>
        <w:tc>
          <w:tcPr>
            <w:tcW w:w="1701" w:type="dxa"/>
          </w:tcPr>
          <w:p w14:paraId="6A87BBD2"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0CB0B070" w14:textId="77777777" w:rsidTr="00A812FA">
        <w:trPr>
          <w:trHeight w:val="553"/>
          <w:jc w:val="center"/>
        </w:trPr>
        <w:tc>
          <w:tcPr>
            <w:tcW w:w="851" w:type="dxa"/>
            <w:vMerge/>
          </w:tcPr>
          <w:p w14:paraId="6F45A625" w14:textId="77777777" w:rsidR="00375ED8" w:rsidRPr="00EA1BB2" w:rsidRDefault="00375ED8" w:rsidP="00375ED8">
            <w:pPr>
              <w:jc w:val="both"/>
              <w:rPr>
                <w:rFonts w:ascii="Cambria" w:hAnsi="Cambria" w:cs="Times New Roman"/>
                <w:sz w:val="20"/>
                <w:szCs w:val="20"/>
                <w:lang w:val="ro-RO"/>
              </w:rPr>
            </w:pPr>
          </w:p>
        </w:tc>
        <w:tc>
          <w:tcPr>
            <w:tcW w:w="2699" w:type="dxa"/>
            <w:vMerge/>
          </w:tcPr>
          <w:p w14:paraId="5E03D871" w14:textId="77777777" w:rsidR="00375ED8" w:rsidRPr="00EA1BB2" w:rsidRDefault="00375ED8" w:rsidP="00375ED8">
            <w:pPr>
              <w:jc w:val="both"/>
              <w:rPr>
                <w:rFonts w:ascii="Cambria" w:hAnsi="Cambria" w:cs="Times New Roman"/>
                <w:bCs/>
                <w:sz w:val="20"/>
                <w:szCs w:val="20"/>
                <w:lang w:val="ro-RO"/>
              </w:rPr>
            </w:pPr>
          </w:p>
        </w:tc>
        <w:tc>
          <w:tcPr>
            <w:tcW w:w="3753" w:type="dxa"/>
          </w:tcPr>
          <w:p w14:paraId="549362C2"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Modernizare drumuri comunale în localitatea Gemenele</w:t>
            </w:r>
          </w:p>
          <w:p w14:paraId="3540820C" w14:textId="77777777" w:rsidR="00375ED8" w:rsidRPr="00EA1BB2" w:rsidRDefault="00375ED8" w:rsidP="00375ED8">
            <w:pPr>
              <w:rPr>
                <w:rFonts w:ascii="Cambria" w:hAnsi="Cambria"/>
                <w:sz w:val="20"/>
                <w:szCs w:val="20"/>
                <w:lang w:val="ro-RO"/>
              </w:rPr>
            </w:pPr>
            <w:r w:rsidRPr="00EA1BB2">
              <w:rPr>
                <w:rFonts w:ascii="Cambria" w:hAnsi="Cambria"/>
                <w:sz w:val="20"/>
                <w:szCs w:val="20"/>
                <w:lang w:val="ro-RO"/>
              </w:rPr>
              <w:t>L= 11 Km</w:t>
            </w:r>
          </w:p>
        </w:tc>
        <w:tc>
          <w:tcPr>
            <w:tcW w:w="1559" w:type="dxa"/>
          </w:tcPr>
          <w:p w14:paraId="06C9CA79"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Gemenele</w:t>
            </w:r>
          </w:p>
        </w:tc>
        <w:tc>
          <w:tcPr>
            <w:tcW w:w="1262" w:type="dxa"/>
          </w:tcPr>
          <w:p w14:paraId="06693BB5"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2020</w:t>
            </w:r>
          </w:p>
        </w:tc>
        <w:tc>
          <w:tcPr>
            <w:tcW w:w="1460" w:type="dxa"/>
          </w:tcPr>
          <w:p w14:paraId="0E2447A1"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9.800.000</w:t>
            </w:r>
          </w:p>
        </w:tc>
        <w:tc>
          <w:tcPr>
            <w:tcW w:w="1599" w:type="dxa"/>
          </w:tcPr>
          <w:p w14:paraId="20DC99CC"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BL+PNDL</w:t>
            </w:r>
          </w:p>
          <w:p w14:paraId="4A04E453" w14:textId="77777777" w:rsidR="00375ED8" w:rsidRPr="00EA1BB2" w:rsidRDefault="00375ED8" w:rsidP="00375ED8">
            <w:pPr>
              <w:jc w:val="center"/>
              <w:rPr>
                <w:rFonts w:ascii="Cambria" w:hAnsi="Cambria" w:cs="Times New Roman"/>
                <w:sz w:val="20"/>
                <w:szCs w:val="20"/>
                <w:lang w:val="ro-RO"/>
              </w:rPr>
            </w:pPr>
          </w:p>
        </w:tc>
        <w:tc>
          <w:tcPr>
            <w:tcW w:w="1701" w:type="dxa"/>
          </w:tcPr>
          <w:p w14:paraId="38B82D5A"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67F4CA4F" w14:textId="77777777" w:rsidTr="00A812FA">
        <w:trPr>
          <w:trHeight w:val="1100"/>
          <w:jc w:val="center"/>
        </w:trPr>
        <w:tc>
          <w:tcPr>
            <w:tcW w:w="851" w:type="dxa"/>
            <w:vMerge/>
          </w:tcPr>
          <w:p w14:paraId="716D6AE3" w14:textId="77777777" w:rsidR="00375ED8" w:rsidRPr="00EA1BB2" w:rsidRDefault="00375ED8" w:rsidP="00375ED8">
            <w:pPr>
              <w:jc w:val="both"/>
              <w:rPr>
                <w:rFonts w:ascii="Cambria" w:hAnsi="Cambria" w:cs="Times New Roman"/>
                <w:sz w:val="20"/>
                <w:szCs w:val="20"/>
                <w:lang w:val="ro-RO"/>
              </w:rPr>
            </w:pPr>
          </w:p>
        </w:tc>
        <w:tc>
          <w:tcPr>
            <w:tcW w:w="2699" w:type="dxa"/>
            <w:vMerge/>
          </w:tcPr>
          <w:p w14:paraId="0DAA7B22" w14:textId="77777777" w:rsidR="00375ED8" w:rsidRPr="00EA1BB2" w:rsidRDefault="00375ED8" w:rsidP="00375ED8">
            <w:pPr>
              <w:jc w:val="both"/>
              <w:rPr>
                <w:rFonts w:ascii="Cambria" w:hAnsi="Cambria" w:cs="Times New Roman"/>
                <w:bCs/>
                <w:sz w:val="20"/>
                <w:szCs w:val="20"/>
                <w:lang w:val="ro-RO"/>
              </w:rPr>
            </w:pPr>
          </w:p>
        </w:tc>
        <w:tc>
          <w:tcPr>
            <w:tcW w:w="3753" w:type="dxa"/>
          </w:tcPr>
          <w:p w14:paraId="604273C8" w14:textId="77777777" w:rsidR="00375ED8" w:rsidRPr="00EA1BB2" w:rsidRDefault="00375ED8" w:rsidP="00375ED8">
            <w:pPr>
              <w:rPr>
                <w:rFonts w:ascii="Cambria" w:hAnsi="Cambria" w:cs="Times New Roman"/>
                <w:sz w:val="20"/>
                <w:szCs w:val="20"/>
                <w:lang w:val="ro-RO"/>
              </w:rPr>
            </w:pPr>
            <w:r w:rsidRPr="00EA1BB2">
              <w:rPr>
                <w:rFonts w:ascii="Cambria" w:hAnsi="Cambria"/>
                <w:sz w:val="20"/>
                <w:szCs w:val="20"/>
                <w:lang w:val="ro-RO"/>
              </w:rPr>
              <w:t>Proiect integrat privind infrastructura de drumuri- asfaltat străzi comunale, canalizare pluviala, canal menaj, și stație de epurare – Jirlău</w:t>
            </w:r>
          </w:p>
          <w:p w14:paraId="7060B4D7" w14:textId="77777777" w:rsidR="00375ED8" w:rsidRPr="00EA1BB2" w:rsidRDefault="00375ED8" w:rsidP="00375ED8">
            <w:pPr>
              <w:rPr>
                <w:rFonts w:ascii="Cambria" w:hAnsi="Cambria"/>
                <w:sz w:val="20"/>
                <w:szCs w:val="20"/>
                <w:lang w:val="ro-RO"/>
              </w:rPr>
            </w:pPr>
            <w:r w:rsidRPr="00EA1BB2">
              <w:rPr>
                <w:rFonts w:ascii="Cambria" w:hAnsi="Cambria" w:cs="Times New Roman"/>
                <w:sz w:val="20"/>
                <w:szCs w:val="20"/>
                <w:lang w:val="ro-RO"/>
              </w:rPr>
              <w:t>L= 3,9 Km</w:t>
            </w:r>
          </w:p>
        </w:tc>
        <w:tc>
          <w:tcPr>
            <w:tcW w:w="1559" w:type="dxa"/>
            <w:vMerge w:val="restart"/>
          </w:tcPr>
          <w:p w14:paraId="49069F9B"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Jirlău</w:t>
            </w:r>
          </w:p>
        </w:tc>
        <w:tc>
          <w:tcPr>
            <w:tcW w:w="1262" w:type="dxa"/>
          </w:tcPr>
          <w:p w14:paraId="1E25CEC2"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2018</w:t>
            </w:r>
          </w:p>
          <w:p w14:paraId="2B79ACF6" w14:textId="77777777" w:rsidR="00375ED8" w:rsidRPr="00EA1BB2" w:rsidRDefault="00375ED8" w:rsidP="00375ED8">
            <w:pPr>
              <w:jc w:val="center"/>
              <w:rPr>
                <w:rFonts w:ascii="Cambria" w:hAnsi="Cambria" w:cs="Times New Roman"/>
                <w:sz w:val="20"/>
                <w:szCs w:val="20"/>
                <w:lang w:val="ro-RO"/>
              </w:rPr>
            </w:pPr>
          </w:p>
          <w:p w14:paraId="75ED33F4" w14:textId="77777777" w:rsidR="00375ED8" w:rsidRPr="00EA1BB2" w:rsidRDefault="00375ED8" w:rsidP="00375ED8">
            <w:pPr>
              <w:jc w:val="center"/>
              <w:rPr>
                <w:rFonts w:ascii="Cambria" w:hAnsi="Cambria" w:cs="Times New Roman"/>
                <w:sz w:val="20"/>
                <w:szCs w:val="20"/>
                <w:lang w:val="ro-RO"/>
              </w:rPr>
            </w:pPr>
          </w:p>
          <w:p w14:paraId="27EF08A2" w14:textId="77777777" w:rsidR="00375ED8" w:rsidRPr="00EA1BB2" w:rsidRDefault="00375ED8" w:rsidP="00375ED8">
            <w:pPr>
              <w:jc w:val="center"/>
              <w:rPr>
                <w:rFonts w:ascii="Cambria" w:hAnsi="Cambria" w:cs="Times New Roman"/>
                <w:sz w:val="20"/>
                <w:szCs w:val="20"/>
                <w:lang w:val="ro-RO"/>
              </w:rPr>
            </w:pPr>
          </w:p>
        </w:tc>
        <w:tc>
          <w:tcPr>
            <w:tcW w:w="1460" w:type="dxa"/>
          </w:tcPr>
          <w:p w14:paraId="182B0566"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9.595.000</w:t>
            </w:r>
          </w:p>
          <w:p w14:paraId="457AC5AA" w14:textId="77777777" w:rsidR="00375ED8" w:rsidRPr="00EA1BB2" w:rsidRDefault="00375ED8" w:rsidP="00375ED8">
            <w:pPr>
              <w:jc w:val="center"/>
              <w:rPr>
                <w:rFonts w:ascii="Cambria" w:hAnsi="Cambria"/>
                <w:sz w:val="20"/>
                <w:szCs w:val="20"/>
                <w:lang w:val="ro-RO"/>
              </w:rPr>
            </w:pPr>
          </w:p>
          <w:p w14:paraId="11FDD9A9" w14:textId="77777777" w:rsidR="00375ED8" w:rsidRPr="00EA1BB2" w:rsidRDefault="00375ED8" w:rsidP="00375ED8">
            <w:pPr>
              <w:rPr>
                <w:rFonts w:ascii="Cambria" w:hAnsi="Cambria"/>
                <w:sz w:val="20"/>
                <w:szCs w:val="20"/>
                <w:lang w:val="ro-RO"/>
              </w:rPr>
            </w:pPr>
          </w:p>
        </w:tc>
        <w:tc>
          <w:tcPr>
            <w:tcW w:w="1599" w:type="dxa"/>
          </w:tcPr>
          <w:p w14:paraId="5293E622"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BL+fonduri UE</w:t>
            </w:r>
          </w:p>
          <w:p w14:paraId="0EF099F8" w14:textId="77777777" w:rsidR="00375ED8" w:rsidRPr="00EA1BB2" w:rsidRDefault="00375ED8" w:rsidP="00375ED8">
            <w:pPr>
              <w:jc w:val="center"/>
              <w:rPr>
                <w:rFonts w:ascii="Cambria" w:hAnsi="Cambria" w:cs="Times New Roman"/>
                <w:sz w:val="20"/>
                <w:szCs w:val="20"/>
                <w:lang w:val="ro-RO"/>
              </w:rPr>
            </w:pPr>
          </w:p>
          <w:p w14:paraId="3F4F7CFC" w14:textId="77777777" w:rsidR="00375ED8" w:rsidRPr="00EA1BB2" w:rsidRDefault="00375ED8" w:rsidP="00375ED8">
            <w:pPr>
              <w:rPr>
                <w:rFonts w:ascii="Cambria" w:hAnsi="Cambria" w:cs="Times New Roman"/>
                <w:sz w:val="20"/>
                <w:szCs w:val="20"/>
                <w:lang w:val="ro-RO"/>
              </w:rPr>
            </w:pPr>
          </w:p>
        </w:tc>
        <w:tc>
          <w:tcPr>
            <w:tcW w:w="1701" w:type="dxa"/>
          </w:tcPr>
          <w:p w14:paraId="677AAABC" w14:textId="77777777" w:rsidR="00375ED8" w:rsidRPr="00EA1BB2" w:rsidRDefault="00375ED8" w:rsidP="00375ED8">
            <w:pPr>
              <w:rPr>
                <w:rFonts w:ascii="Cambria" w:hAnsi="Cambria" w:cs="Times New Roman"/>
                <w:sz w:val="18"/>
                <w:szCs w:val="18"/>
                <w:lang w:val="ro-RO"/>
              </w:rPr>
            </w:pPr>
            <w:r w:rsidRPr="00EA1BB2">
              <w:rPr>
                <w:rFonts w:ascii="Cambria" w:hAnsi="Cambria" w:cs="Times New Roman"/>
                <w:sz w:val="20"/>
                <w:szCs w:val="20"/>
                <w:lang w:val="ro-RO"/>
              </w:rPr>
              <w:t>km drum modernizat</w:t>
            </w:r>
          </w:p>
        </w:tc>
      </w:tr>
      <w:tr w:rsidR="00375ED8" w:rsidRPr="00EA1BB2" w14:paraId="2B344FDA" w14:textId="77777777" w:rsidTr="00A812FA">
        <w:trPr>
          <w:trHeight w:val="294"/>
          <w:jc w:val="center"/>
        </w:trPr>
        <w:tc>
          <w:tcPr>
            <w:tcW w:w="851" w:type="dxa"/>
            <w:vMerge/>
          </w:tcPr>
          <w:p w14:paraId="350214A3" w14:textId="77777777" w:rsidR="00375ED8" w:rsidRPr="00EA1BB2" w:rsidRDefault="00375ED8" w:rsidP="00375ED8">
            <w:pPr>
              <w:jc w:val="both"/>
              <w:rPr>
                <w:rFonts w:ascii="Cambria" w:hAnsi="Cambria" w:cs="Times New Roman"/>
                <w:sz w:val="20"/>
                <w:szCs w:val="20"/>
                <w:lang w:val="ro-RO"/>
              </w:rPr>
            </w:pPr>
          </w:p>
        </w:tc>
        <w:tc>
          <w:tcPr>
            <w:tcW w:w="2699" w:type="dxa"/>
            <w:vMerge/>
          </w:tcPr>
          <w:p w14:paraId="2BDE862F" w14:textId="77777777" w:rsidR="00375ED8" w:rsidRPr="00EA1BB2" w:rsidRDefault="00375ED8" w:rsidP="00375ED8">
            <w:pPr>
              <w:jc w:val="both"/>
              <w:rPr>
                <w:rFonts w:ascii="Cambria" w:hAnsi="Cambria" w:cs="Times New Roman"/>
                <w:bCs/>
                <w:sz w:val="20"/>
                <w:szCs w:val="20"/>
                <w:lang w:val="ro-RO"/>
              </w:rPr>
            </w:pPr>
          </w:p>
        </w:tc>
        <w:tc>
          <w:tcPr>
            <w:tcW w:w="3753" w:type="dxa"/>
          </w:tcPr>
          <w:p w14:paraId="12CE922B"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Modernizare drumuri comuna Jirlău</w:t>
            </w:r>
          </w:p>
          <w:p w14:paraId="19CA2DFA"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lastRenderedPageBreak/>
              <w:t>L=12Km</w:t>
            </w:r>
          </w:p>
        </w:tc>
        <w:tc>
          <w:tcPr>
            <w:tcW w:w="1559" w:type="dxa"/>
            <w:vMerge/>
          </w:tcPr>
          <w:p w14:paraId="7C5285B1" w14:textId="77777777" w:rsidR="00375ED8" w:rsidRPr="00EA1BB2" w:rsidRDefault="00375ED8" w:rsidP="00375ED8">
            <w:pPr>
              <w:jc w:val="center"/>
              <w:rPr>
                <w:rFonts w:ascii="Cambria" w:hAnsi="Cambria" w:cs="Times New Roman"/>
                <w:sz w:val="20"/>
                <w:szCs w:val="20"/>
                <w:lang w:val="ro-RO"/>
              </w:rPr>
            </w:pPr>
          </w:p>
        </w:tc>
        <w:tc>
          <w:tcPr>
            <w:tcW w:w="1262" w:type="dxa"/>
          </w:tcPr>
          <w:p w14:paraId="04DFC826"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2021</w:t>
            </w:r>
          </w:p>
        </w:tc>
        <w:tc>
          <w:tcPr>
            <w:tcW w:w="1460" w:type="dxa"/>
          </w:tcPr>
          <w:p w14:paraId="180DFC33"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13.911.000</w:t>
            </w:r>
          </w:p>
        </w:tc>
        <w:tc>
          <w:tcPr>
            <w:tcW w:w="1599" w:type="dxa"/>
          </w:tcPr>
          <w:p w14:paraId="6B90F250"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BL+PNDL</w:t>
            </w:r>
          </w:p>
        </w:tc>
        <w:tc>
          <w:tcPr>
            <w:tcW w:w="1701" w:type="dxa"/>
          </w:tcPr>
          <w:p w14:paraId="32ACD356"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 xml:space="preserve">km drum </w:t>
            </w:r>
            <w:r w:rsidRPr="00EA1BB2">
              <w:rPr>
                <w:rFonts w:ascii="Cambria" w:hAnsi="Cambria" w:cs="Times New Roman"/>
                <w:sz w:val="20"/>
                <w:szCs w:val="20"/>
                <w:lang w:val="ro-RO"/>
              </w:rPr>
              <w:lastRenderedPageBreak/>
              <w:t>modernizat</w:t>
            </w:r>
          </w:p>
        </w:tc>
      </w:tr>
      <w:tr w:rsidR="00375ED8" w:rsidRPr="00EA1BB2" w14:paraId="4946257F" w14:textId="77777777" w:rsidTr="00A812FA">
        <w:trPr>
          <w:trHeight w:val="385"/>
          <w:jc w:val="center"/>
        </w:trPr>
        <w:tc>
          <w:tcPr>
            <w:tcW w:w="851" w:type="dxa"/>
            <w:vMerge/>
          </w:tcPr>
          <w:p w14:paraId="10E82E39" w14:textId="77777777" w:rsidR="00375ED8" w:rsidRPr="00EA1BB2" w:rsidRDefault="00375ED8" w:rsidP="00375ED8">
            <w:pPr>
              <w:jc w:val="both"/>
              <w:rPr>
                <w:rFonts w:ascii="Cambria" w:hAnsi="Cambria" w:cs="Times New Roman"/>
                <w:sz w:val="20"/>
                <w:szCs w:val="20"/>
                <w:lang w:val="ro-RO"/>
              </w:rPr>
            </w:pPr>
          </w:p>
        </w:tc>
        <w:tc>
          <w:tcPr>
            <w:tcW w:w="2699" w:type="dxa"/>
            <w:vMerge/>
          </w:tcPr>
          <w:p w14:paraId="3641F3E2" w14:textId="77777777" w:rsidR="00375ED8" w:rsidRPr="00EA1BB2" w:rsidRDefault="00375ED8" w:rsidP="00375ED8">
            <w:pPr>
              <w:jc w:val="both"/>
              <w:rPr>
                <w:rFonts w:ascii="Cambria" w:hAnsi="Cambria" w:cs="Times New Roman"/>
                <w:bCs/>
                <w:sz w:val="20"/>
                <w:szCs w:val="20"/>
                <w:lang w:val="ro-RO"/>
              </w:rPr>
            </w:pPr>
          </w:p>
        </w:tc>
        <w:tc>
          <w:tcPr>
            <w:tcW w:w="3753" w:type="dxa"/>
          </w:tcPr>
          <w:p w14:paraId="1B360144"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Sistematizare str. Râmnicu Sărat, loc. Jirlău</w:t>
            </w:r>
          </w:p>
          <w:p w14:paraId="01DB5138" w14:textId="77777777" w:rsidR="00375ED8" w:rsidRPr="00EA1BB2" w:rsidRDefault="00375ED8" w:rsidP="00375ED8">
            <w:pPr>
              <w:rPr>
                <w:rFonts w:ascii="Cambria" w:hAnsi="Cambria" w:cs="Times New Roman"/>
                <w:sz w:val="18"/>
                <w:szCs w:val="18"/>
                <w:lang w:val="ro-RO"/>
              </w:rPr>
            </w:pPr>
            <w:r w:rsidRPr="00EA1BB2">
              <w:rPr>
                <w:rFonts w:ascii="Cambria" w:hAnsi="Cambria" w:cs="Times New Roman"/>
                <w:sz w:val="18"/>
                <w:szCs w:val="18"/>
                <w:lang w:val="ro-RO"/>
              </w:rPr>
              <w:t>S.refugiu=916mp</w:t>
            </w:r>
          </w:p>
          <w:p w14:paraId="55C777B5"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18"/>
                <w:szCs w:val="18"/>
                <w:lang w:val="ro-RO"/>
              </w:rPr>
              <w:t>L.rigola carosabila=720m</w:t>
            </w:r>
          </w:p>
        </w:tc>
        <w:tc>
          <w:tcPr>
            <w:tcW w:w="1559" w:type="dxa"/>
            <w:vMerge/>
          </w:tcPr>
          <w:p w14:paraId="60483498" w14:textId="77777777" w:rsidR="00375ED8" w:rsidRPr="00EA1BB2" w:rsidRDefault="00375ED8" w:rsidP="00375ED8">
            <w:pPr>
              <w:jc w:val="center"/>
              <w:rPr>
                <w:rFonts w:ascii="Cambria" w:hAnsi="Cambria" w:cs="Times New Roman"/>
                <w:sz w:val="20"/>
                <w:szCs w:val="20"/>
                <w:lang w:val="ro-RO"/>
              </w:rPr>
            </w:pPr>
          </w:p>
        </w:tc>
        <w:tc>
          <w:tcPr>
            <w:tcW w:w="1262" w:type="dxa"/>
          </w:tcPr>
          <w:p w14:paraId="4D1693E5"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2018</w:t>
            </w:r>
          </w:p>
        </w:tc>
        <w:tc>
          <w:tcPr>
            <w:tcW w:w="1460" w:type="dxa"/>
          </w:tcPr>
          <w:p w14:paraId="76348883"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501.222</w:t>
            </w:r>
          </w:p>
          <w:p w14:paraId="5865FF00" w14:textId="77777777" w:rsidR="00375ED8" w:rsidRPr="00EA1BB2" w:rsidRDefault="00375ED8" w:rsidP="00375ED8">
            <w:pPr>
              <w:rPr>
                <w:rFonts w:ascii="Cambria" w:hAnsi="Cambria"/>
                <w:sz w:val="20"/>
                <w:szCs w:val="20"/>
                <w:lang w:val="ro-RO"/>
              </w:rPr>
            </w:pPr>
          </w:p>
        </w:tc>
        <w:tc>
          <w:tcPr>
            <w:tcW w:w="1599" w:type="dxa"/>
          </w:tcPr>
          <w:p w14:paraId="5BF4951D"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BL+CJ</w:t>
            </w:r>
          </w:p>
          <w:p w14:paraId="51096BE0" w14:textId="77777777" w:rsidR="00375ED8" w:rsidRPr="00EA1BB2" w:rsidRDefault="00375ED8" w:rsidP="00375ED8">
            <w:pPr>
              <w:jc w:val="center"/>
              <w:rPr>
                <w:rFonts w:ascii="Cambria" w:hAnsi="Cambria" w:cs="Times New Roman"/>
                <w:sz w:val="20"/>
                <w:szCs w:val="20"/>
                <w:lang w:val="ro-RO"/>
              </w:rPr>
            </w:pPr>
          </w:p>
        </w:tc>
        <w:tc>
          <w:tcPr>
            <w:tcW w:w="1701" w:type="dxa"/>
          </w:tcPr>
          <w:p w14:paraId="717C5141" w14:textId="77777777" w:rsidR="00375ED8" w:rsidRPr="00EA1BB2" w:rsidRDefault="00375ED8" w:rsidP="00375ED8">
            <w:pPr>
              <w:rPr>
                <w:rFonts w:ascii="Cambria" w:hAnsi="Cambria" w:cs="Times New Roman"/>
                <w:sz w:val="18"/>
                <w:szCs w:val="18"/>
                <w:lang w:val="ro-RO"/>
              </w:rPr>
            </w:pPr>
            <w:r w:rsidRPr="00EA1BB2">
              <w:rPr>
                <w:rFonts w:ascii="Cambria" w:hAnsi="Cambria" w:cs="Times New Roman"/>
                <w:sz w:val="20"/>
                <w:szCs w:val="20"/>
                <w:lang w:val="ro-RO"/>
              </w:rPr>
              <w:t>km drum sistematizați</w:t>
            </w:r>
          </w:p>
        </w:tc>
      </w:tr>
      <w:tr w:rsidR="00375ED8" w:rsidRPr="00EA1BB2" w14:paraId="672FF803" w14:textId="77777777" w:rsidTr="00A812FA">
        <w:trPr>
          <w:trHeight w:val="274"/>
          <w:jc w:val="center"/>
        </w:trPr>
        <w:tc>
          <w:tcPr>
            <w:tcW w:w="851" w:type="dxa"/>
            <w:vMerge/>
          </w:tcPr>
          <w:p w14:paraId="23194EC8" w14:textId="77777777" w:rsidR="00375ED8" w:rsidRPr="00EA1BB2" w:rsidRDefault="00375ED8" w:rsidP="00375ED8">
            <w:pPr>
              <w:jc w:val="both"/>
              <w:rPr>
                <w:rFonts w:ascii="Cambria" w:hAnsi="Cambria" w:cs="Times New Roman"/>
                <w:sz w:val="20"/>
                <w:szCs w:val="20"/>
                <w:lang w:val="ro-RO"/>
              </w:rPr>
            </w:pPr>
          </w:p>
        </w:tc>
        <w:tc>
          <w:tcPr>
            <w:tcW w:w="2699" w:type="dxa"/>
            <w:vMerge/>
          </w:tcPr>
          <w:p w14:paraId="1CF019BD" w14:textId="77777777" w:rsidR="00375ED8" w:rsidRPr="00EA1BB2" w:rsidRDefault="00375ED8" w:rsidP="00375ED8">
            <w:pPr>
              <w:jc w:val="both"/>
              <w:rPr>
                <w:rFonts w:ascii="Cambria" w:hAnsi="Cambria" w:cs="Times New Roman"/>
                <w:bCs/>
                <w:sz w:val="20"/>
                <w:szCs w:val="20"/>
                <w:lang w:val="ro-RO"/>
              </w:rPr>
            </w:pPr>
          </w:p>
        </w:tc>
        <w:tc>
          <w:tcPr>
            <w:tcW w:w="3753" w:type="dxa"/>
          </w:tcPr>
          <w:p w14:paraId="42181B49"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Amenajare centru civic și trotuare în loc. Jirlău</w:t>
            </w:r>
          </w:p>
          <w:p w14:paraId="31DB9F21"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S=0,19ha</w:t>
            </w:r>
          </w:p>
        </w:tc>
        <w:tc>
          <w:tcPr>
            <w:tcW w:w="1559" w:type="dxa"/>
            <w:vMerge/>
          </w:tcPr>
          <w:p w14:paraId="51748623" w14:textId="77777777" w:rsidR="00375ED8" w:rsidRPr="00EA1BB2" w:rsidRDefault="00375ED8" w:rsidP="00375ED8">
            <w:pPr>
              <w:jc w:val="center"/>
              <w:rPr>
                <w:rFonts w:ascii="Cambria" w:hAnsi="Cambria" w:cs="Times New Roman"/>
                <w:sz w:val="20"/>
                <w:szCs w:val="20"/>
                <w:lang w:val="ro-RO"/>
              </w:rPr>
            </w:pPr>
          </w:p>
        </w:tc>
        <w:tc>
          <w:tcPr>
            <w:tcW w:w="1262" w:type="dxa"/>
          </w:tcPr>
          <w:p w14:paraId="7E4ABBB0"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2018</w:t>
            </w:r>
          </w:p>
        </w:tc>
        <w:tc>
          <w:tcPr>
            <w:tcW w:w="1460" w:type="dxa"/>
          </w:tcPr>
          <w:p w14:paraId="140F3A03"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322.859</w:t>
            </w:r>
          </w:p>
        </w:tc>
        <w:tc>
          <w:tcPr>
            <w:tcW w:w="1599" w:type="dxa"/>
          </w:tcPr>
          <w:p w14:paraId="27314E4C"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BL+CJ</w:t>
            </w:r>
          </w:p>
        </w:tc>
        <w:tc>
          <w:tcPr>
            <w:tcW w:w="1701" w:type="dxa"/>
          </w:tcPr>
          <w:p w14:paraId="29957ED8" w14:textId="77777777" w:rsidR="00375ED8" w:rsidRPr="00EA1BB2" w:rsidRDefault="00375ED8" w:rsidP="00375ED8">
            <w:pPr>
              <w:rPr>
                <w:rFonts w:ascii="Cambria" w:hAnsi="Cambria" w:cs="Times New Roman"/>
                <w:sz w:val="18"/>
                <w:szCs w:val="18"/>
                <w:lang w:val="ro-RO"/>
              </w:rPr>
            </w:pPr>
            <w:r w:rsidRPr="00EA1BB2">
              <w:rPr>
                <w:rFonts w:ascii="Cambria" w:hAnsi="Cambria" w:cs="Times New Roman"/>
                <w:sz w:val="20"/>
                <w:szCs w:val="20"/>
                <w:lang w:val="ro-RO"/>
              </w:rPr>
              <w:t>Suprafață trotuare</w:t>
            </w:r>
          </w:p>
        </w:tc>
      </w:tr>
      <w:tr w:rsidR="00375ED8" w:rsidRPr="00EA1BB2" w14:paraId="58C661B9" w14:textId="77777777" w:rsidTr="00A812FA">
        <w:trPr>
          <w:trHeight w:val="274"/>
          <w:jc w:val="center"/>
        </w:trPr>
        <w:tc>
          <w:tcPr>
            <w:tcW w:w="851" w:type="dxa"/>
            <w:vMerge/>
          </w:tcPr>
          <w:p w14:paraId="364A793C" w14:textId="77777777" w:rsidR="00375ED8" w:rsidRPr="00EA1BB2" w:rsidRDefault="00375ED8" w:rsidP="00375ED8">
            <w:pPr>
              <w:jc w:val="both"/>
              <w:rPr>
                <w:rFonts w:ascii="Cambria" w:hAnsi="Cambria" w:cs="Times New Roman"/>
                <w:sz w:val="20"/>
                <w:szCs w:val="20"/>
                <w:lang w:val="ro-RO"/>
              </w:rPr>
            </w:pPr>
          </w:p>
        </w:tc>
        <w:tc>
          <w:tcPr>
            <w:tcW w:w="2699" w:type="dxa"/>
            <w:vMerge/>
          </w:tcPr>
          <w:p w14:paraId="6219CD15" w14:textId="77777777" w:rsidR="00375ED8" w:rsidRPr="00EA1BB2" w:rsidRDefault="00375ED8" w:rsidP="00375ED8">
            <w:pPr>
              <w:jc w:val="both"/>
              <w:rPr>
                <w:rFonts w:ascii="Cambria" w:hAnsi="Cambria" w:cs="Times New Roman"/>
                <w:bCs/>
                <w:sz w:val="20"/>
                <w:szCs w:val="20"/>
                <w:lang w:val="ro-RO"/>
              </w:rPr>
            </w:pPr>
          </w:p>
        </w:tc>
        <w:tc>
          <w:tcPr>
            <w:tcW w:w="3753" w:type="dxa"/>
          </w:tcPr>
          <w:p w14:paraId="12DD9A1D"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Amenajare trotuare, podețe și subtraversări intersecții în com. Jirlău</w:t>
            </w:r>
          </w:p>
          <w:p w14:paraId="5A6E0B32"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18"/>
                <w:szCs w:val="18"/>
                <w:lang w:val="ro-RO"/>
              </w:rPr>
              <w:t>L.trotuare=4 km</w:t>
            </w:r>
          </w:p>
        </w:tc>
        <w:tc>
          <w:tcPr>
            <w:tcW w:w="1559" w:type="dxa"/>
            <w:vMerge/>
          </w:tcPr>
          <w:p w14:paraId="4AB07400" w14:textId="77777777" w:rsidR="00375ED8" w:rsidRPr="00EA1BB2" w:rsidRDefault="00375ED8" w:rsidP="00375ED8">
            <w:pPr>
              <w:jc w:val="center"/>
              <w:rPr>
                <w:rFonts w:ascii="Cambria" w:hAnsi="Cambria" w:cs="Times New Roman"/>
                <w:sz w:val="20"/>
                <w:szCs w:val="20"/>
                <w:lang w:val="ro-RO"/>
              </w:rPr>
            </w:pPr>
          </w:p>
        </w:tc>
        <w:tc>
          <w:tcPr>
            <w:tcW w:w="1262" w:type="dxa"/>
          </w:tcPr>
          <w:p w14:paraId="6E5F00FC"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2022</w:t>
            </w:r>
          </w:p>
        </w:tc>
        <w:tc>
          <w:tcPr>
            <w:tcW w:w="1460" w:type="dxa"/>
          </w:tcPr>
          <w:p w14:paraId="4DB5AD58"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800.000</w:t>
            </w:r>
          </w:p>
        </w:tc>
        <w:tc>
          <w:tcPr>
            <w:tcW w:w="1599" w:type="dxa"/>
          </w:tcPr>
          <w:p w14:paraId="4DC7F517"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BL+CJ</w:t>
            </w:r>
          </w:p>
        </w:tc>
        <w:tc>
          <w:tcPr>
            <w:tcW w:w="1701" w:type="dxa"/>
          </w:tcPr>
          <w:p w14:paraId="0B125152" w14:textId="77777777" w:rsidR="00375ED8" w:rsidRPr="00EA1BB2" w:rsidRDefault="00375ED8" w:rsidP="00375ED8">
            <w:pPr>
              <w:rPr>
                <w:rFonts w:ascii="Cambria" w:hAnsi="Cambria" w:cs="Times New Roman"/>
                <w:sz w:val="18"/>
                <w:szCs w:val="18"/>
                <w:lang w:val="ro-RO"/>
              </w:rPr>
            </w:pPr>
            <w:r w:rsidRPr="00EA1BB2">
              <w:rPr>
                <w:rFonts w:ascii="Cambria" w:hAnsi="Cambria" w:cs="Times New Roman"/>
                <w:sz w:val="20"/>
                <w:szCs w:val="20"/>
                <w:lang w:val="ro-RO"/>
              </w:rPr>
              <w:t>Suprafață trotuare</w:t>
            </w:r>
          </w:p>
        </w:tc>
      </w:tr>
      <w:tr w:rsidR="00375ED8" w:rsidRPr="00EA1BB2" w14:paraId="364ABA5E" w14:textId="77777777" w:rsidTr="00A812FA">
        <w:trPr>
          <w:trHeight w:val="274"/>
          <w:jc w:val="center"/>
        </w:trPr>
        <w:tc>
          <w:tcPr>
            <w:tcW w:w="851" w:type="dxa"/>
            <w:vMerge/>
          </w:tcPr>
          <w:p w14:paraId="4D9FD31E" w14:textId="77777777" w:rsidR="00375ED8" w:rsidRPr="00EA1BB2" w:rsidRDefault="00375ED8" w:rsidP="00375ED8">
            <w:pPr>
              <w:jc w:val="both"/>
              <w:rPr>
                <w:rFonts w:ascii="Cambria" w:hAnsi="Cambria" w:cs="Times New Roman"/>
                <w:sz w:val="20"/>
                <w:szCs w:val="20"/>
                <w:lang w:val="ro-RO"/>
              </w:rPr>
            </w:pPr>
          </w:p>
        </w:tc>
        <w:tc>
          <w:tcPr>
            <w:tcW w:w="2699" w:type="dxa"/>
            <w:vMerge/>
          </w:tcPr>
          <w:p w14:paraId="077308BC" w14:textId="77777777" w:rsidR="00375ED8" w:rsidRPr="00EA1BB2" w:rsidRDefault="00375ED8" w:rsidP="00375ED8">
            <w:pPr>
              <w:jc w:val="both"/>
              <w:rPr>
                <w:rFonts w:ascii="Cambria" w:hAnsi="Cambria" w:cs="Times New Roman"/>
                <w:bCs/>
                <w:sz w:val="20"/>
                <w:szCs w:val="20"/>
                <w:lang w:val="ro-RO"/>
              </w:rPr>
            </w:pPr>
          </w:p>
        </w:tc>
        <w:tc>
          <w:tcPr>
            <w:tcW w:w="3753" w:type="dxa"/>
          </w:tcPr>
          <w:p w14:paraId="6322B7D0"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Modernizare străzi în localitatea Maxineni</w:t>
            </w:r>
          </w:p>
          <w:p w14:paraId="45F28426"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t>L= 12 Km</w:t>
            </w:r>
          </w:p>
        </w:tc>
        <w:tc>
          <w:tcPr>
            <w:tcW w:w="1559" w:type="dxa"/>
            <w:vMerge w:val="restart"/>
          </w:tcPr>
          <w:p w14:paraId="03C47AA1"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Măxineni</w:t>
            </w:r>
          </w:p>
          <w:p w14:paraId="23A11748" w14:textId="77777777" w:rsidR="00375ED8" w:rsidRPr="00EA1BB2" w:rsidRDefault="00375ED8" w:rsidP="00375ED8">
            <w:pPr>
              <w:jc w:val="center"/>
              <w:rPr>
                <w:rFonts w:ascii="Cambria" w:hAnsi="Cambria" w:cs="Times New Roman"/>
                <w:sz w:val="20"/>
                <w:szCs w:val="20"/>
                <w:lang w:val="ro-RO"/>
              </w:rPr>
            </w:pPr>
          </w:p>
        </w:tc>
        <w:tc>
          <w:tcPr>
            <w:tcW w:w="1262" w:type="dxa"/>
          </w:tcPr>
          <w:p w14:paraId="7606DFBF"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2018</w:t>
            </w:r>
          </w:p>
        </w:tc>
        <w:tc>
          <w:tcPr>
            <w:tcW w:w="1460" w:type="dxa"/>
          </w:tcPr>
          <w:p w14:paraId="00C2A43E"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10.670.114</w:t>
            </w:r>
          </w:p>
        </w:tc>
        <w:tc>
          <w:tcPr>
            <w:tcW w:w="1599" w:type="dxa"/>
          </w:tcPr>
          <w:p w14:paraId="462389C2"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BL+PNDL</w:t>
            </w:r>
          </w:p>
        </w:tc>
        <w:tc>
          <w:tcPr>
            <w:tcW w:w="1701" w:type="dxa"/>
          </w:tcPr>
          <w:p w14:paraId="5C68A9E6"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37CE9DAE" w14:textId="77777777" w:rsidTr="00A812FA">
        <w:trPr>
          <w:trHeight w:val="225"/>
          <w:jc w:val="center"/>
        </w:trPr>
        <w:tc>
          <w:tcPr>
            <w:tcW w:w="851" w:type="dxa"/>
            <w:vMerge/>
          </w:tcPr>
          <w:p w14:paraId="6BDC6B82" w14:textId="77777777" w:rsidR="00375ED8" w:rsidRPr="00EA1BB2" w:rsidRDefault="00375ED8" w:rsidP="00375ED8">
            <w:pPr>
              <w:jc w:val="both"/>
              <w:rPr>
                <w:rFonts w:ascii="Cambria" w:hAnsi="Cambria" w:cs="Times New Roman"/>
                <w:sz w:val="20"/>
                <w:szCs w:val="20"/>
                <w:lang w:val="ro-RO"/>
              </w:rPr>
            </w:pPr>
          </w:p>
        </w:tc>
        <w:tc>
          <w:tcPr>
            <w:tcW w:w="2699" w:type="dxa"/>
            <w:vMerge/>
          </w:tcPr>
          <w:p w14:paraId="02153F62" w14:textId="77777777" w:rsidR="00375ED8" w:rsidRPr="00EA1BB2" w:rsidRDefault="00375ED8" w:rsidP="00375ED8">
            <w:pPr>
              <w:jc w:val="both"/>
              <w:rPr>
                <w:rFonts w:ascii="Cambria" w:hAnsi="Cambria" w:cs="Times New Roman"/>
                <w:bCs/>
                <w:sz w:val="20"/>
                <w:szCs w:val="20"/>
                <w:lang w:val="ro-RO"/>
              </w:rPr>
            </w:pPr>
          </w:p>
        </w:tc>
        <w:tc>
          <w:tcPr>
            <w:tcW w:w="3753" w:type="dxa"/>
          </w:tcPr>
          <w:p w14:paraId="042D4E79" w14:textId="77777777" w:rsidR="00375ED8" w:rsidRPr="00EA1BB2" w:rsidRDefault="00375ED8" w:rsidP="00375ED8">
            <w:pPr>
              <w:jc w:val="both"/>
              <w:rPr>
                <w:rFonts w:ascii="Cambria" w:hAnsi="Cambria" w:cs="Times New Roman"/>
                <w:sz w:val="20"/>
                <w:szCs w:val="20"/>
                <w:lang w:val="ro-RO"/>
              </w:rPr>
            </w:pPr>
            <w:r w:rsidRPr="00EA1BB2">
              <w:rPr>
                <w:rFonts w:ascii="Cambria" w:hAnsi="Cambria"/>
                <w:sz w:val="20"/>
                <w:szCs w:val="20"/>
                <w:lang w:val="ro-RO"/>
              </w:rPr>
              <w:t>Modernizare străzi in localitățile  Latinu si Corbu Vechi</w:t>
            </w:r>
          </w:p>
          <w:p w14:paraId="59283074"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t>L= 11 Km</w:t>
            </w:r>
          </w:p>
        </w:tc>
        <w:tc>
          <w:tcPr>
            <w:tcW w:w="1559" w:type="dxa"/>
            <w:vMerge/>
          </w:tcPr>
          <w:p w14:paraId="75D7C152" w14:textId="77777777" w:rsidR="00375ED8" w:rsidRPr="00EA1BB2" w:rsidRDefault="00375ED8" w:rsidP="00375ED8">
            <w:pPr>
              <w:jc w:val="center"/>
              <w:rPr>
                <w:rFonts w:ascii="Cambria" w:hAnsi="Cambria" w:cs="Times New Roman"/>
                <w:sz w:val="20"/>
                <w:szCs w:val="20"/>
                <w:lang w:val="ro-RO"/>
              </w:rPr>
            </w:pPr>
          </w:p>
        </w:tc>
        <w:tc>
          <w:tcPr>
            <w:tcW w:w="1262" w:type="dxa"/>
          </w:tcPr>
          <w:p w14:paraId="71206CFC"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2019</w:t>
            </w:r>
          </w:p>
        </w:tc>
        <w:tc>
          <w:tcPr>
            <w:tcW w:w="1460" w:type="dxa"/>
          </w:tcPr>
          <w:p w14:paraId="0401E5AE"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12.391.785</w:t>
            </w:r>
          </w:p>
        </w:tc>
        <w:tc>
          <w:tcPr>
            <w:tcW w:w="1599" w:type="dxa"/>
          </w:tcPr>
          <w:p w14:paraId="57D4E780"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BL+PNDL</w:t>
            </w:r>
          </w:p>
        </w:tc>
        <w:tc>
          <w:tcPr>
            <w:tcW w:w="1701" w:type="dxa"/>
          </w:tcPr>
          <w:p w14:paraId="1DC2088C"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1B16F8EB" w14:textId="77777777" w:rsidTr="00A812FA">
        <w:trPr>
          <w:trHeight w:val="154"/>
          <w:jc w:val="center"/>
        </w:trPr>
        <w:tc>
          <w:tcPr>
            <w:tcW w:w="851" w:type="dxa"/>
            <w:vMerge/>
          </w:tcPr>
          <w:p w14:paraId="0C83E63E" w14:textId="77777777" w:rsidR="00375ED8" w:rsidRPr="00EA1BB2" w:rsidRDefault="00375ED8" w:rsidP="00375ED8">
            <w:pPr>
              <w:jc w:val="both"/>
              <w:rPr>
                <w:rFonts w:ascii="Cambria" w:hAnsi="Cambria" w:cs="Times New Roman"/>
                <w:sz w:val="20"/>
                <w:szCs w:val="20"/>
                <w:lang w:val="ro-RO"/>
              </w:rPr>
            </w:pPr>
          </w:p>
        </w:tc>
        <w:tc>
          <w:tcPr>
            <w:tcW w:w="2699" w:type="dxa"/>
            <w:vMerge/>
          </w:tcPr>
          <w:p w14:paraId="3B249DAF" w14:textId="77777777" w:rsidR="00375ED8" w:rsidRPr="00EA1BB2" w:rsidRDefault="00375ED8" w:rsidP="00375ED8">
            <w:pPr>
              <w:jc w:val="both"/>
              <w:rPr>
                <w:rFonts w:ascii="Cambria" w:hAnsi="Cambria" w:cs="Times New Roman"/>
                <w:bCs/>
                <w:sz w:val="20"/>
                <w:szCs w:val="20"/>
                <w:lang w:val="ro-RO"/>
              </w:rPr>
            </w:pPr>
          </w:p>
        </w:tc>
        <w:tc>
          <w:tcPr>
            <w:tcW w:w="3753" w:type="dxa"/>
          </w:tcPr>
          <w:p w14:paraId="06C20F28"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Modernizare străzi localitățile Corbu Nou și Corbu Vechi</w:t>
            </w:r>
          </w:p>
          <w:p w14:paraId="5DCC1712"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t>L= 13 Km</w:t>
            </w:r>
          </w:p>
        </w:tc>
        <w:tc>
          <w:tcPr>
            <w:tcW w:w="1559" w:type="dxa"/>
            <w:vMerge/>
          </w:tcPr>
          <w:p w14:paraId="799DE773" w14:textId="77777777" w:rsidR="00375ED8" w:rsidRPr="00EA1BB2" w:rsidRDefault="00375ED8" w:rsidP="00375ED8">
            <w:pPr>
              <w:jc w:val="center"/>
              <w:rPr>
                <w:rFonts w:ascii="Cambria" w:hAnsi="Cambria" w:cs="Times New Roman"/>
                <w:sz w:val="20"/>
                <w:szCs w:val="20"/>
                <w:lang w:val="ro-RO"/>
              </w:rPr>
            </w:pPr>
          </w:p>
        </w:tc>
        <w:tc>
          <w:tcPr>
            <w:tcW w:w="1262" w:type="dxa"/>
          </w:tcPr>
          <w:p w14:paraId="39C525C8"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2019</w:t>
            </w:r>
          </w:p>
        </w:tc>
        <w:tc>
          <w:tcPr>
            <w:tcW w:w="1460" w:type="dxa"/>
          </w:tcPr>
          <w:p w14:paraId="5B473F00"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12.309.895</w:t>
            </w:r>
          </w:p>
        </w:tc>
        <w:tc>
          <w:tcPr>
            <w:tcW w:w="1599" w:type="dxa"/>
          </w:tcPr>
          <w:p w14:paraId="5748B891"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BL+PNDL</w:t>
            </w:r>
          </w:p>
        </w:tc>
        <w:tc>
          <w:tcPr>
            <w:tcW w:w="1701" w:type="dxa"/>
          </w:tcPr>
          <w:p w14:paraId="1BDD7D27"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20F37CC1" w14:textId="77777777" w:rsidTr="00A812FA">
        <w:trPr>
          <w:trHeight w:val="261"/>
          <w:jc w:val="center"/>
        </w:trPr>
        <w:tc>
          <w:tcPr>
            <w:tcW w:w="851" w:type="dxa"/>
            <w:vMerge/>
          </w:tcPr>
          <w:p w14:paraId="5B58083E" w14:textId="77777777" w:rsidR="00375ED8" w:rsidRPr="00EA1BB2" w:rsidRDefault="00375ED8" w:rsidP="00375ED8">
            <w:pPr>
              <w:jc w:val="both"/>
              <w:rPr>
                <w:rFonts w:ascii="Cambria" w:hAnsi="Cambria" w:cs="Times New Roman"/>
                <w:sz w:val="20"/>
                <w:szCs w:val="20"/>
                <w:lang w:val="ro-RO"/>
              </w:rPr>
            </w:pPr>
          </w:p>
        </w:tc>
        <w:tc>
          <w:tcPr>
            <w:tcW w:w="2699" w:type="dxa"/>
            <w:vMerge/>
          </w:tcPr>
          <w:p w14:paraId="5B410731" w14:textId="77777777" w:rsidR="00375ED8" w:rsidRPr="00EA1BB2" w:rsidRDefault="00375ED8" w:rsidP="00375ED8">
            <w:pPr>
              <w:jc w:val="both"/>
              <w:rPr>
                <w:rFonts w:ascii="Cambria" w:hAnsi="Cambria" w:cs="Times New Roman"/>
                <w:bCs/>
                <w:sz w:val="20"/>
                <w:szCs w:val="20"/>
                <w:lang w:val="ro-RO"/>
              </w:rPr>
            </w:pPr>
          </w:p>
        </w:tc>
        <w:tc>
          <w:tcPr>
            <w:tcW w:w="3753" w:type="dxa"/>
          </w:tcPr>
          <w:p w14:paraId="68BDC661"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Modernizare străzi în loc. Movila Miresii, Tepes Voda și Esna - etapa II</w:t>
            </w:r>
          </w:p>
          <w:p w14:paraId="53706070" w14:textId="77777777" w:rsidR="00375ED8" w:rsidRPr="00EA1BB2" w:rsidRDefault="00375ED8" w:rsidP="00375ED8">
            <w:pPr>
              <w:rPr>
                <w:rFonts w:ascii="Cambria" w:hAnsi="Cambria"/>
                <w:sz w:val="20"/>
                <w:szCs w:val="20"/>
                <w:lang w:val="ro-RO"/>
              </w:rPr>
            </w:pPr>
            <w:r w:rsidRPr="00EA1BB2">
              <w:rPr>
                <w:rFonts w:ascii="Cambria" w:hAnsi="Cambria" w:cs="Times New Roman"/>
                <w:sz w:val="20"/>
                <w:szCs w:val="20"/>
                <w:lang w:val="ro-RO"/>
              </w:rPr>
              <w:t>L = 11Km</w:t>
            </w:r>
          </w:p>
        </w:tc>
        <w:tc>
          <w:tcPr>
            <w:tcW w:w="1559" w:type="dxa"/>
          </w:tcPr>
          <w:p w14:paraId="1930836E"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Movila Miresii</w:t>
            </w:r>
          </w:p>
        </w:tc>
        <w:tc>
          <w:tcPr>
            <w:tcW w:w="1262" w:type="dxa"/>
          </w:tcPr>
          <w:p w14:paraId="752EC529"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2019</w:t>
            </w:r>
          </w:p>
        </w:tc>
        <w:tc>
          <w:tcPr>
            <w:tcW w:w="1460" w:type="dxa"/>
          </w:tcPr>
          <w:p w14:paraId="1E4EAA8F"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11.537.000</w:t>
            </w:r>
          </w:p>
        </w:tc>
        <w:tc>
          <w:tcPr>
            <w:tcW w:w="1599" w:type="dxa"/>
          </w:tcPr>
          <w:p w14:paraId="4AF202BF"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BL+PNDL</w:t>
            </w:r>
          </w:p>
        </w:tc>
        <w:tc>
          <w:tcPr>
            <w:tcW w:w="1701" w:type="dxa"/>
          </w:tcPr>
          <w:p w14:paraId="41602836"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6E99A558" w14:textId="77777777" w:rsidTr="00A812FA">
        <w:trPr>
          <w:trHeight w:val="116"/>
          <w:jc w:val="center"/>
        </w:trPr>
        <w:tc>
          <w:tcPr>
            <w:tcW w:w="851" w:type="dxa"/>
            <w:vMerge/>
          </w:tcPr>
          <w:p w14:paraId="3805C97C" w14:textId="77777777" w:rsidR="00375ED8" w:rsidRPr="00EA1BB2" w:rsidRDefault="00375ED8" w:rsidP="00375ED8">
            <w:pPr>
              <w:jc w:val="both"/>
              <w:rPr>
                <w:rFonts w:ascii="Cambria" w:hAnsi="Cambria" w:cs="Times New Roman"/>
                <w:sz w:val="20"/>
                <w:szCs w:val="20"/>
                <w:lang w:val="ro-RO"/>
              </w:rPr>
            </w:pPr>
          </w:p>
        </w:tc>
        <w:tc>
          <w:tcPr>
            <w:tcW w:w="2699" w:type="dxa"/>
            <w:vMerge/>
          </w:tcPr>
          <w:p w14:paraId="510F7DED" w14:textId="77777777" w:rsidR="00375ED8" w:rsidRPr="00EA1BB2" w:rsidRDefault="00375ED8" w:rsidP="00375ED8">
            <w:pPr>
              <w:jc w:val="both"/>
              <w:rPr>
                <w:rFonts w:ascii="Cambria" w:hAnsi="Cambria" w:cs="Times New Roman"/>
                <w:bCs/>
                <w:sz w:val="20"/>
                <w:szCs w:val="20"/>
                <w:lang w:val="ro-RO"/>
              </w:rPr>
            </w:pPr>
          </w:p>
        </w:tc>
        <w:tc>
          <w:tcPr>
            <w:tcW w:w="3753" w:type="dxa"/>
          </w:tcPr>
          <w:p w14:paraId="5A5ECBCE"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Modernizare străzi în localitatea Racoviță</w:t>
            </w:r>
          </w:p>
          <w:p w14:paraId="01BD8E75"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t>L=2,4 Km</w:t>
            </w:r>
          </w:p>
        </w:tc>
        <w:tc>
          <w:tcPr>
            <w:tcW w:w="1559" w:type="dxa"/>
          </w:tcPr>
          <w:p w14:paraId="600ED234"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Racoviță</w:t>
            </w:r>
          </w:p>
        </w:tc>
        <w:tc>
          <w:tcPr>
            <w:tcW w:w="1262" w:type="dxa"/>
          </w:tcPr>
          <w:p w14:paraId="33A2FB79"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2018</w:t>
            </w:r>
          </w:p>
        </w:tc>
        <w:tc>
          <w:tcPr>
            <w:tcW w:w="1460" w:type="dxa"/>
          </w:tcPr>
          <w:p w14:paraId="0E960EA0"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2.206.451</w:t>
            </w:r>
          </w:p>
        </w:tc>
        <w:tc>
          <w:tcPr>
            <w:tcW w:w="1599" w:type="dxa"/>
          </w:tcPr>
          <w:p w14:paraId="2DBBD669"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BL+PNDL</w:t>
            </w:r>
          </w:p>
        </w:tc>
        <w:tc>
          <w:tcPr>
            <w:tcW w:w="1701" w:type="dxa"/>
          </w:tcPr>
          <w:p w14:paraId="1A1D3C29"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280E4DAE" w14:textId="77777777" w:rsidTr="00A812FA">
        <w:trPr>
          <w:trHeight w:val="303"/>
          <w:jc w:val="center"/>
        </w:trPr>
        <w:tc>
          <w:tcPr>
            <w:tcW w:w="851" w:type="dxa"/>
            <w:vMerge/>
          </w:tcPr>
          <w:p w14:paraId="17690081" w14:textId="77777777" w:rsidR="00375ED8" w:rsidRPr="00EA1BB2" w:rsidRDefault="00375ED8" w:rsidP="00375ED8">
            <w:pPr>
              <w:jc w:val="both"/>
              <w:rPr>
                <w:rFonts w:ascii="Cambria" w:hAnsi="Cambria" w:cs="Times New Roman"/>
                <w:sz w:val="20"/>
                <w:szCs w:val="20"/>
                <w:lang w:val="ro-RO"/>
              </w:rPr>
            </w:pPr>
          </w:p>
        </w:tc>
        <w:tc>
          <w:tcPr>
            <w:tcW w:w="2699" w:type="dxa"/>
            <w:vMerge/>
          </w:tcPr>
          <w:p w14:paraId="32451F1E" w14:textId="77777777" w:rsidR="00375ED8" w:rsidRPr="00EA1BB2" w:rsidRDefault="00375ED8" w:rsidP="00375ED8">
            <w:pPr>
              <w:jc w:val="both"/>
              <w:rPr>
                <w:rFonts w:ascii="Cambria" w:hAnsi="Cambria" w:cs="Times New Roman"/>
                <w:bCs/>
                <w:sz w:val="20"/>
                <w:szCs w:val="20"/>
                <w:lang w:val="ro-RO"/>
              </w:rPr>
            </w:pPr>
          </w:p>
        </w:tc>
        <w:tc>
          <w:tcPr>
            <w:tcW w:w="3753" w:type="dxa"/>
          </w:tcPr>
          <w:p w14:paraId="20C79BF7"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Amenajare parcare în loc. Rimnicelu</w:t>
            </w:r>
          </w:p>
          <w:p w14:paraId="24B712F2"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t>Spar.=0,15ha</w:t>
            </w:r>
          </w:p>
        </w:tc>
        <w:tc>
          <w:tcPr>
            <w:tcW w:w="1559" w:type="dxa"/>
            <w:vMerge w:val="restart"/>
          </w:tcPr>
          <w:p w14:paraId="1E5E9AF1"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Rimnicelu</w:t>
            </w:r>
          </w:p>
        </w:tc>
        <w:tc>
          <w:tcPr>
            <w:tcW w:w="1262" w:type="dxa"/>
          </w:tcPr>
          <w:p w14:paraId="2E6ADEE7"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2018</w:t>
            </w:r>
          </w:p>
        </w:tc>
        <w:tc>
          <w:tcPr>
            <w:tcW w:w="1460" w:type="dxa"/>
          </w:tcPr>
          <w:p w14:paraId="54F6051B"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150.000</w:t>
            </w:r>
          </w:p>
        </w:tc>
        <w:tc>
          <w:tcPr>
            <w:tcW w:w="1599" w:type="dxa"/>
          </w:tcPr>
          <w:p w14:paraId="7D2EB7B1"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BL+CJ</w:t>
            </w:r>
          </w:p>
        </w:tc>
        <w:tc>
          <w:tcPr>
            <w:tcW w:w="1701" w:type="dxa"/>
          </w:tcPr>
          <w:p w14:paraId="044A0E2C"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Suprafață amenajată</w:t>
            </w:r>
          </w:p>
        </w:tc>
      </w:tr>
      <w:tr w:rsidR="00375ED8" w:rsidRPr="00EA1BB2" w14:paraId="3DE048D4" w14:textId="77777777" w:rsidTr="00A812FA">
        <w:trPr>
          <w:trHeight w:val="381"/>
          <w:jc w:val="center"/>
        </w:trPr>
        <w:tc>
          <w:tcPr>
            <w:tcW w:w="851" w:type="dxa"/>
            <w:vMerge/>
          </w:tcPr>
          <w:p w14:paraId="47C6DFAE" w14:textId="77777777" w:rsidR="00375ED8" w:rsidRPr="00EA1BB2" w:rsidRDefault="00375ED8" w:rsidP="00375ED8">
            <w:pPr>
              <w:jc w:val="both"/>
              <w:rPr>
                <w:rFonts w:ascii="Cambria" w:hAnsi="Cambria" w:cs="Times New Roman"/>
                <w:sz w:val="20"/>
                <w:szCs w:val="20"/>
                <w:lang w:val="ro-RO"/>
              </w:rPr>
            </w:pPr>
          </w:p>
        </w:tc>
        <w:tc>
          <w:tcPr>
            <w:tcW w:w="2699" w:type="dxa"/>
            <w:vMerge/>
          </w:tcPr>
          <w:p w14:paraId="337FFD63" w14:textId="77777777" w:rsidR="00375ED8" w:rsidRPr="00EA1BB2" w:rsidRDefault="00375ED8" w:rsidP="00375ED8">
            <w:pPr>
              <w:jc w:val="both"/>
              <w:rPr>
                <w:rFonts w:ascii="Cambria" w:hAnsi="Cambria" w:cs="Times New Roman"/>
                <w:bCs/>
                <w:sz w:val="20"/>
                <w:szCs w:val="20"/>
                <w:lang w:val="ro-RO"/>
              </w:rPr>
            </w:pPr>
          </w:p>
        </w:tc>
        <w:tc>
          <w:tcPr>
            <w:tcW w:w="3753" w:type="dxa"/>
          </w:tcPr>
          <w:p w14:paraId="50289D60"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Modernizare străzi comunale în loc. Rimnicelu</w:t>
            </w:r>
          </w:p>
          <w:p w14:paraId="412A409F"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t>L=6,9Km</w:t>
            </w:r>
          </w:p>
        </w:tc>
        <w:tc>
          <w:tcPr>
            <w:tcW w:w="1559" w:type="dxa"/>
            <w:vMerge/>
          </w:tcPr>
          <w:p w14:paraId="0CFDD7F3" w14:textId="77777777" w:rsidR="00375ED8" w:rsidRPr="00EA1BB2" w:rsidRDefault="00375ED8" w:rsidP="00375ED8">
            <w:pPr>
              <w:jc w:val="center"/>
              <w:rPr>
                <w:rFonts w:ascii="Cambria" w:hAnsi="Cambria" w:cs="Times New Roman"/>
                <w:sz w:val="20"/>
                <w:szCs w:val="20"/>
                <w:lang w:val="ro-RO"/>
              </w:rPr>
            </w:pPr>
          </w:p>
        </w:tc>
        <w:tc>
          <w:tcPr>
            <w:tcW w:w="1262" w:type="dxa"/>
          </w:tcPr>
          <w:p w14:paraId="015243FF"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2020</w:t>
            </w:r>
          </w:p>
        </w:tc>
        <w:tc>
          <w:tcPr>
            <w:tcW w:w="1460" w:type="dxa"/>
          </w:tcPr>
          <w:p w14:paraId="4C074263"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6.710.000</w:t>
            </w:r>
          </w:p>
        </w:tc>
        <w:tc>
          <w:tcPr>
            <w:tcW w:w="1599" w:type="dxa"/>
          </w:tcPr>
          <w:p w14:paraId="4D8AA502"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BL+PNDL</w:t>
            </w:r>
          </w:p>
        </w:tc>
        <w:tc>
          <w:tcPr>
            <w:tcW w:w="1701" w:type="dxa"/>
          </w:tcPr>
          <w:p w14:paraId="5AE9293F"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1C0C277C" w14:textId="77777777" w:rsidTr="00A812FA">
        <w:trPr>
          <w:trHeight w:val="429"/>
          <w:jc w:val="center"/>
        </w:trPr>
        <w:tc>
          <w:tcPr>
            <w:tcW w:w="851" w:type="dxa"/>
            <w:vMerge/>
          </w:tcPr>
          <w:p w14:paraId="6056B8EB" w14:textId="77777777" w:rsidR="00375ED8" w:rsidRPr="00EA1BB2" w:rsidRDefault="00375ED8" w:rsidP="00375ED8">
            <w:pPr>
              <w:jc w:val="both"/>
              <w:rPr>
                <w:rFonts w:ascii="Cambria" w:hAnsi="Cambria" w:cs="Times New Roman"/>
                <w:sz w:val="20"/>
                <w:szCs w:val="20"/>
                <w:lang w:val="ro-RO"/>
              </w:rPr>
            </w:pPr>
          </w:p>
        </w:tc>
        <w:tc>
          <w:tcPr>
            <w:tcW w:w="2699" w:type="dxa"/>
            <w:vMerge/>
          </w:tcPr>
          <w:p w14:paraId="7A00E948" w14:textId="77777777" w:rsidR="00375ED8" w:rsidRPr="00EA1BB2" w:rsidRDefault="00375ED8" w:rsidP="00375ED8">
            <w:pPr>
              <w:jc w:val="both"/>
              <w:rPr>
                <w:rFonts w:ascii="Cambria" w:hAnsi="Cambria" w:cs="Times New Roman"/>
                <w:bCs/>
                <w:sz w:val="20"/>
                <w:szCs w:val="20"/>
                <w:lang w:val="ro-RO"/>
              </w:rPr>
            </w:pPr>
          </w:p>
        </w:tc>
        <w:tc>
          <w:tcPr>
            <w:tcW w:w="3753" w:type="dxa"/>
          </w:tcPr>
          <w:p w14:paraId="10026E2A"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Proiect asfaltare străzi în Romanu și Oancea</w:t>
            </w:r>
          </w:p>
          <w:p w14:paraId="4848F03D" w14:textId="77777777" w:rsidR="00375ED8" w:rsidRPr="00EA1BB2" w:rsidRDefault="00375ED8" w:rsidP="00375ED8">
            <w:pPr>
              <w:rPr>
                <w:rFonts w:ascii="Cambria" w:hAnsi="Cambria"/>
                <w:sz w:val="20"/>
                <w:szCs w:val="20"/>
                <w:lang w:val="ro-RO"/>
              </w:rPr>
            </w:pPr>
            <w:r w:rsidRPr="00EA1BB2">
              <w:rPr>
                <w:rFonts w:ascii="Cambria" w:hAnsi="Cambria"/>
                <w:sz w:val="20"/>
                <w:szCs w:val="20"/>
                <w:lang w:val="ro-RO"/>
              </w:rPr>
              <w:t>L= 17 Km</w:t>
            </w:r>
          </w:p>
        </w:tc>
        <w:tc>
          <w:tcPr>
            <w:tcW w:w="1559" w:type="dxa"/>
          </w:tcPr>
          <w:p w14:paraId="313529BB"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Romanu</w:t>
            </w:r>
          </w:p>
        </w:tc>
        <w:tc>
          <w:tcPr>
            <w:tcW w:w="1262" w:type="dxa"/>
          </w:tcPr>
          <w:p w14:paraId="5F8EAF0B"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2019</w:t>
            </w:r>
          </w:p>
          <w:p w14:paraId="7FDE171A" w14:textId="77777777" w:rsidR="00375ED8" w:rsidRPr="00EA1BB2" w:rsidRDefault="00375ED8" w:rsidP="00375ED8">
            <w:pPr>
              <w:jc w:val="center"/>
              <w:rPr>
                <w:rFonts w:ascii="Cambria" w:hAnsi="Cambria" w:cs="Times New Roman"/>
                <w:sz w:val="20"/>
                <w:szCs w:val="20"/>
                <w:lang w:val="ro-RO"/>
              </w:rPr>
            </w:pPr>
          </w:p>
        </w:tc>
        <w:tc>
          <w:tcPr>
            <w:tcW w:w="1460" w:type="dxa"/>
          </w:tcPr>
          <w:p w14:paraId="0629460C"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167.000</w:t>
            </w:r>
          </w:p>
        </w:tc>
        <w:tc>
          <w:tcPr>
            <w:tcW w:w="1599" w:type="dxa"/>
          </w:tcPr>
          <w:p w14:paraId="7870E8BD"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PNDL</w:t>
            </w:r>
          </w:p>
        </w:tc>
        <w:tc>
          <w:tcPr>
            <w:tcW w:w="1701" w:type="dxa"/>
          </w:tcPr>
          <w:p w14:paraId="1E9D8536"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asfaltat</w:t>
            </w:r>
          </w:p>
        </w:tc>
      </w:tr>
      <w:tr w:rsidR="00375ED8" w:rsidRPr="00EA1BB2" w14:paraId="6A9A464E" w14:textId="77777777" w:rsidTr="00A812FA">
        <w:trPr>
          <w:trHeight w:val="567"/>
          <w:jc w:val="center"/>
        </w:trPr>
        <w:tc>
          <w:tcPr>
            <w:tcW w:w="851" w:type="dxa"/>
            <w:vMerge/>
          </w:tcPr>
          <w:p w14:paraId="195382BC" w14:textId="77777777" w:rsidR="00375ED8" w:rsidRPr="00EA1BB2" w:rsidRDefault="00375ED8" w:rsidP="00375ED8">
            <w:pPr>
              <w:jc w:val="both"/>
              <w:rPr>
                <w:rFonts w:ascii="Cambria" w:hAnsi="Cambria" w:cs="Times New Roman"/>
                <w:sz w:val="20"/>
                <w:szCs w:val="20"/>
                <w:lang w:val="ro-RO"/>
              </w:rPr>
            </w:pPr>
          </w:p>
        </w:tc>
        <w:tc>
          <w:tcPr>
            <w:tcW w:w="2699" w:type="dxa"/>
            <w:vMerge/>
          </w:tcPr>
          <w:p w14:paraId="33CB3319" w14:textId="77777777" w:rsidR="00375ED8" w:rsidRPr="00EA1BB2" w:rsidRDefault="00375ED8" w:rsidP="00375ED8">
            <w:pPr>
              <w:jc w:val="both"/>
              <w:rPr>
                <w:rFonts w:ascii="Cambria" w:hAnsi="Cambria" w:cs="Times New Roman"/>
                <w:bCs/>
                <w:sz w:val="20"/>
                <w:szCs w:val="20"/>
                <w:lang w:val="ro-RO"/>
              </w:rPr>
            </w:pPr>
          </w:p>
        </w:tc>
        <w:tc>
          <w:tcPr>
            <w:tcW w:w="3753" w:type="dxa"/>
          </w:tcPr>
          <w:p w14:paraId="157426E4"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Sistematizare centru civic sat Gulianca, lungime 1,1Km (trotuare+rigole beton +podețe auto si pietonale)</w:t>
            </w:r>
          </w:p>
          <w:p w14:paraId="2404C662"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Ltrot.=1,1Km</w:t>
            </w:r>
          </w:p>
          <w:p w14:paraId="663B5100"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t>Lrigole beton=1,1Km</w:t>
            </w:r>
          </w:p>
        </w:tc>
        <w:tc>
          <w:tcPr>
            <w:tcW w:w="1559" w:type="dxa"/>
            <w:vMerge w:val="restart"/>
          </w:tcPr>
          <w:p w14:paraId="0C9F5E12"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Salcia Tudor</w:t>
            </w:r>
          </w:p>
          <w:p w14:paraId="58E88FAF" w14:textId="77777777" w:rsidR="00375ED8" w:rsidRPr="00EA1BB2" w:rsidRDefault="00375ED8" w:rsidP="00375ED8">
            <w:pPr>
              <w:jc w:val="center"/>
              <w:rPr>
                <w:rFonts w:ascii="Cambria" w:hAnsi="Cambria" w:cs="Times New Roman"/>
                <w:sz w:val="20"/>
                <w:szCs w:val="20"/>
                <w:lang w:val="ro-RO"/>
              </w:rPr>
            </w:pPr>
          </w:p>
        </w:tc>
        <w:tc>
          <w:tcPr>
            <w:tcW w:w="1262" w:type="dxa"/>
          </w:tcPr>
          <w:p w14:paraId="6CDD20C9"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2018</w:t>
            </w:r>
          </w:p>
          <w:p w14:paraId="7A3FB4A7" w14:textId="77777777" w:rsidR="00375ED8" w:rsidRPr="00EA1BB2" w:rsidRDefault="00375ED8" w:rsidP="00375ED8">
            <w:pPr>
              <w:rPr>
                <w:rFonts w:ascii="Cambria" w:hAnsi="Cambria" w:cs="Times New Roman"/>
                <w:sz w:val="20"/>
                <w:szCs w:val="20"/>
                <w:lang w:val="ro-RO"/>
              </w:rPr>
            </w:pPr>
          </w:p>
        </w:tc>
        <w:tc>
          <w:tcPr>
            <w:tcW w:w="1460" w:type="dxa"/>
          </w:tcPr>
          <w:p w14:paraId="790271C3"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2.355.116</w:t>
            </w:r>
          </w:p>
          <w:p w14:paraId="6DD332DC" w14:textId="77777777" w:rsidR="00375ED8" w:rsidRPr="00EA1BB2" w:rsidRDefault="00375ED8" w:rsidP="00375ED8">
            <w:pPr>
              <w:rPr>
                <w:rFonts w:ascii="Cambria" w:hAnsi="Cambria"/>
                <w:sz w:val="20"/>
                <w:szCs w:val="20"/>
                <w:lang w:val="ro-RO"/>
              </w:rPr>
            </w:pPr>
          </w:p>
        </w:tc>
        <w:tc>
          <w:tcPr>
            <w:tcW w:w="1599" w:type="dxa"/>
          </w:tcPr>
          <w:p w14:paraId="5A5306D9"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BL+CJ</w:t>
            </w:r>
          </w:p>
          <w:p w14:paraId="3E3AA672" w14:textId="77777777" w:rsidR="00375ED8" w:rsidRPr="00EA1BB2" w:rsidRDefault="00375ED8" w:rsidP="00375ED8">
            <w:pPr>
              <w:rPr>
                <w:rFonts w:ascii="Cambria" w:hAnsi="Cambria" w:cs="Times New Roman"/>
                <w:sz w:val="20"/>
                <w:szCs w:val="20"/>
                <w:lang w:val="ro-RO"/>
              </w:rPr>
            </w:pPr>
          </w:p>
        </w:tc>
        <w:tc>
          <w:tcPr>
            <w:tcW w:w="1701" w:type="dxa"/>
          </w:tcPr>
          <w:p w14:paraId="6B1047AA"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sistematizat</w:t>
            </w:r>
          </w:p>
        </w:tc>
      </w:tr>
      <w:tr w:rsidR="00375ED8" w:rsidRPr="00EA1BB2" w14:paraId="6E2DF0C0" w14:textId="77777777" w:rsidTr="00A812FA">
        <w:trPr>
          <w:trHeight w:val="503"/>
          <w:jc w:val="center"/>
        </w:trPr>
        <w:tc>
          <w:tcPr>
            <w:tcW w:w="851" w:type="dxa"/>
            <w:vMerge/>
          </w:tcPr>
          <w:p w14:paraId="3B8820C9" w14:textId="77777777" w:rsidR="00375ED8" w:rsidRPr="00EA1BB2" w:rsidRDefault="00375ED8" w:rsidP="00375ED8">
            <w:pPr>
              <w:jc w:val="both"/>
              <w:rPr>
                <w:rFonts w:ascii="Cambria" w:hAnsi="Cambria" w:cs="Times New Roman"/>
                <w:sz w:val="20"/>
                <w:szCs w:val="20"/>
                <w:lang w:val="ro-RO"/>
              </w:rPr>
            </w:pPr>
          </w:p>
        </w:tc>
        <w:tc>
          <w:tcPr>
            <w:tcW w:w="2699" w:type="dxa"/>
            <w:vMerge/>
          </w:tcPr>
          <w:p w14:paraId="705EA1EC" w14:textId="77777777" w:rsidR="00375ED8" w:rsidRPr="00EA1BB2" w:rsidRDefault="00375ED8" w:rsidP="00375ED8">
            <w:pPr>
              <w:jc w:val="both"/>
              <w:rPr>
                <w:rFonts w:ascii="Cambria" w:hAnsi="Cambria" w:cs="Times New Roman"/>
                <w:bCs/>
                <w:sz w:val="20"/>
                <w:szCs w:val="20"/>
                <w:lang w:val="ro-RO"/>
              </w:rPr>
            </w:pPr>
          </w:p>
        </w:tc>
        <w:tc>
          <w:tcPr>
            <w:tcW w:w="3753" w:type="dxa"/>
          </w:tcPr>
          <w:p w14:paraId="7976D1F1"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Modernizare drumuri comunale în satele Salcia Tudor, Cuza Voda și Ariciu</w:t>
            </w:r>
          </w:p>
          <w:p w14:paraId="5E610A74" w14:textId="77777777" w:rsidR="00375ED8" w:rsidRPr="00EA1BB2" w:rsidRDefault="00375ED8" w:rsidP="00375ED8">
            <w:pPr>
              <w:rPr>
                <w:rFonts w:ascii="Cambria" w:hAnsi="Cambria"/>
                <w:sz w:val="20"/>
                <w:szCs w:val="20"/>
                <w:lang w:val="ro-RO"/>
              </w:rPr>
            </w:pPr>
            <w:r w:rsidRPr="00EA1BB2">
              <w:rPr>
                <w:rFonts w:ascii="Cambria" w:hAnsi="Cambria" w:cs="Times New Roman"/>
                <w:sz w:val="20"/>
                <w:szCs w:val="20"/>
                <w:lang w:val="ro-RO"/>
              </w:rPr>
              <w:t>L=1.76 Km</w:t>
            </w:r>
          </w:p>
        </w:tc>
        <w:tc>
          <w:tcPr>
            <w:tcW w:w="1559" w:type="dxa"/>
            <w:vMerge/>
          </w:tcPr>
          <w:p w14:paraId="4BDAE061" w14:textId="77777777" w:rsidR="00375ED8" w:rsidRPr="00EA1BB2" w:rsidRDefault="00375ED8" w:rsidP="00375ED8">
            <w:pPr>
              <w:jc w:val="center"/>
              <w:rPr>
                <w:rFonts w:ascii="Cambria" w:hAnsi="Cambria" w:cs="Times New Roman"/>
                <w:sz w:val="20"/>
                <w:szCs w:val="20"/>
                <w:lang w:val="ro-RO"/>
              </w:rPr>
            </w:pPr>
          </w:p>
        </w:tc>
        <w:tc>
          <w:tcPr>
            <w:tcW w:w="1262" w:type="dxa"/>
          </w:tcPr>
          <w:p w14:paraId="26DEB3B8"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2018</w:t>
            </w:r>
          </w:p>
          <w:p w14:paraId="48A16273" w14:textId="77777777" w:rsidR="00375ED8" w:rsidRPr="00EA1BB2" w:rsidRDefault="00375ED8" w:rsidP="00375ED8">
            <w:pPr>
              <w:rPr>
                <w:rFonts w:ascii="Cambria" w:hAnsi="Cambria" w:cs="Times New Roman"/>
                <w:sz w:val="20"/>
                <w:szCs w:val="20"/>
                <w:lang w:val="ro-RO"/>
              </w:rPr>
            </w:pPr>
          </w:p>
        </w:tc>
        <w:tc>
          <w:tcPr>
            <w:tcW w:w="1460" w:type="dxa"/>
          </w:tcPr>
          <w:p w14:paraId="724AAFFD"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5.997.042</w:t>
            </w:r>
          </w:p>
          <w:p w14:paraId="364E716D" w14:textId="77777777" w:rsidR="00375ED8" w:rsidRPr="00EA1BB2" w:rsidRDefault="00375ED8" w:rsidP="00375ED8">
            <w:pPr>
              <w:rPr>
                <w:rFonts w:ascii="Cambria" w:hAnsi="Cambria"/>
                <w:sz w:val="20"/>
                <w:szCs w:val="20"/>
                <w:lang w:val="ro-RO"/>
              </w:rPr>
            </w:pPr>
          </w:p>
        </w:tc>
        <w:tc>
          <w:tcPr>
            <w:tcW w:w="1599" w:type="dxa"/>
          </w:tcPr>
          <w:p w14:paraId="7A622774"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PNDL+BL</w:t>
            </w:r>
          </w:p>
          <w:p w14:paraId="22908A93" w14:textId="77777777" w:rsidR="00375ED8" w:rsidRPr="00EA1BB2" w:rsidRDefault="00375ED8" w:rsidP="00375ED8">
            <w:pPr>
              <w:rPr>
                <w:rFonts w:ascii="Cambria" w:hAnsi="Cambria" w:cs="Times New Roman"/>
                <w:sz w:val="20"/>
                <w:szCs w:val="20"/>
                <w:lang w:val="ro-RO"/>
              </w:rPr>
            </w:pPr>
          </w:p>
        </w:tc>
        <w:tc>
          <w:tcPr>
            <w:tcW w:w="1701" w:type="dxa"/>
          </w:tcPr>
          <w:p w14:paraId="1E20DF94"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2DAAE871" w14:textId="77777777" w:rsidTr="00A812FA">
        <w:trPr>
          <w:trHeight w:val="293"/>
          <w:jc w:val="center"/>
        </w:trPr>
        <w:tc>
          <w:tcPr>
            <w:tcW w:w="851" w:type="dxa"/>
            <w:vMerge/>
          </w:tcPr>
          <w:p w14:paraId="7379FA98" w14:textId="77777777" w:rsidR="00375ED8" w:rsidRPr="00EA1BB2" w:rsidRDefault="00375ED8" w:rsidP="00375ED8">
            <w:pPr>
              <w:jc w:val="both"/>
              <w:rPr>
                <w:rFonts w:ascii="Cambria" w:hAnsi="Cambria" w:cs="Times New Roman"/>
                <w:sz w:val="20"/>
                <w:szCs w:val="20"/>
                <w:lang w:val="ro-RO"/>
              </w:rPr>
            </w:pPr>
          </w:p>
        </w:tc>
        <w:tc>
          <w:tcPr>
            <w:tcW w:w="2699" w:type="dxa"/>
            <w:vMerge/>
          </w:tcPr>
          <w:p w14:paraId="298F9B5F" w14:textId="77777777" w:rsidR="00375ED8" w:rsidRPr="00EA1BB2" w:rsidRDefault="00375ED8" w:rsidP="00375ED8">
            <w:pPr>
              <w:jc w:val="both"/>
              <w:rPr>
                <w:rFonts w:ascii="Cambria" w:hAnsi="Cambria" w:cs="Times New Roman"/>
                <w:bCs/>
                <w:sz w:val="20"/>
                <w:szCs w:val="20"/>
                <w:lang w:val="ro-RO"/>
              </w:rPr>
            </w:pPr>
          </w:p>
        </w:tc>
        <w:tc>
          <w:tcPr>
            <w:tcW w:w="3753" w:type="dxa"/>
          </w:tcPr>
          <w:p w14:paraId="0548529F"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Modernizare drum comunal în satul Ariciu</w:t>
            </w:r>
          </w:p>
          <w:p w14:paraId="42965FB3"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t>L=0.4Km</w:t>
            </w:r>
          </w:p>
        </w:tc>
        <w:tc>
          <w:tcPr>
            <w:tcW w:w="1559" w:type="dxa"/>
            <w:vMerge/>
          </w:tcPr>
          <w:p w14:paraId="1DE229E0" w14:textId="77777777" w:rsidR="00375ED8" w:rsidRPr="00EA1BB2" w:rsidRDefault="00375ED8" w:rsidP="00375ED8">
            <w:pPr>
              <w:jc w:val="center"/>
              <w:rPr>
                <w:rFonts w:ascii="Cambria" w:hAnsi="Cambria" w:cs="Times New Roman"/>
                <w:sz w:val="20"/>
                <w:szCs w:val="20"/>
                <w:lang w:val="ro-RO"/>
              </w:rPr>
            </w:pPr>
          </w:p>
        </w:tc>
        <w:tc>
          <w:tcPr>
            <w:tcW w:w="1262" w:type="dxa"/>
          </w:tcPr>
          <w:p w14:paraId="086D33AC"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2018</w:t>
            </w:r>
          </w:p>
        </w:tc>
        <w:tc>
          <w:tcPr>
            <w:tcW w:w="1460" w:type="dxa"/>
          </w:tcPr>
          <w:p w14:paraId="6063F0EC"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1.718.788</w:t>
            </w:r>
          </w:p>
          <w:p w14:paraId="751E8AB6" w14:textId="77777777" w:rsidR="00375ED8" w:rsidRPr="00EA1BB2" w:rsidRDefault="00375ED8" w:rsidP="00375ED8">
            <w:pPr>
              <w:jc w:val="center"/>
              <w:rPr>
                <w:rFonts w:ascii="Cambria" w:hAnsi="Cambria"/>
                <w:sz w:val="20"/>
                <w:szCs w:val="20"/>
                <w:lang w:val="ro-RO"/>
              </w:rPr>
            </w:pPr>
          </w:p>
        </w:tc>
        <w:tc>
          <w:tcPr>
            <w:tcW w:w="1599" w:type="dxa"/>
          </w:tcPr>
          <w:p w14:paraId="2FBC676C"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PNDL+BL</w:t>
            </w:r>
          </w:p>
        </w:tc>
        <w:tc>
          <w:tcPr>
            <w:tcW w:w="1701" w:type="dxa"/>
          </w:tcPr>
          <w:p w14:paraId="69D86516"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06C5F29F" w14:textId="77777777" w:rsidTr="00A812FA">
        <w:trPr>
          <w:trHeight w:val="709"/>
          <w:jc w:val="center"/>
        </w:trPr>
        <w:tc>
          <w:tcPr>
            <w:tcW w:w="851" w:type="dxa"/>
            <w:vMerge/>
          </w:tcPr>
          <w:p w14:paraId="10A3FCAA" w14:textId="77777777" w:rsidR="00375ED8" w:rsidRPr="00EA1BB2" w:rsidRDefault="00375ED8" w:rsidP="00375ED8">
            <w:pPr>
              <w:jc w:val="both"/>
              <w:rPr>
                <w:rFonts w:ascii="Cambria" w:hAnsi="Cambria" w:cs="Times New Roman"/>
                <w:sz w:val="20"/>
                <w:szCs w:val="20"/>
                <w:lang w:val="ro-RO"/>
              </w:rPr>
            </w:pPr>
          </w:p>
        </w:tc>
        <w:tc>
          <w:tcPr>
            <w:tcW w:w="2699" w:type="dxa"/>
            <w:vMerge/>
          </w:tcPr>
          <w:p w14:paraId="7E20AF6A" w14:textId="77777777" w:rsidR="00375ED8" w:rsidRPr="00EA1BB2" w:rsidRDefault="00375ED8" w:rsidP="00375ED8">
            <w:pPr>
              <w:jc w:val="both"/>
              <w:rPr>
                <w:rFonts w:ascii="Cambria" w:hAnsi="Cambria" w:cs="Times New Roman"/>
                <w:bCs/>
                <w:sz w:val="20"/>
                <w:szCs w:val="20"/>
                <w:lang w:val="ro-RO"/>
              </w:rPr>
            </w:pPr>
          </w:p>
        </w:tc>
        <w:tc>
          <w:tcPr>
            <w:tcW w:w="3753" w:type="dxa"/>
          </w:tcPr>
          <w:p w14:paraId="46F67569"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Modernizare drum de legătură DC42 și străzi interioare în localitățile S. Greci, Făurei Sat, Brateșul vechi, Horia – co. Surdila-Greci</w:t>
            </w:r>
          </w:p>
          <w:p w14:paraId="78031961" w14:textId="77777777" w:rsidR="00375ED8" w:rsidRPr="00EA1BB2" w:rsidRDefault="00375ED8" w:rsidP="00375ED8">
            <w:pPr>
              <w:rPr>
                <w:rFonts w:ascii="Cambria" w:hAnsi="Cambria"/>
                <w:sz w:val="20"/>
                <w:szCs w:val="20"/>
                <w:lang w:val="ro-RO"/>
              </w:rPr>
            </w:pPr>
            <w:r w:rsidRPr="00EA1BB2">
              <w:rPr>
                <w:rFonts w:ascii="Cambria" w:hAnsi="Cambria" w:cs="Times New Roman"/>
                <w:sz w:val="20"/>
                <w:szCs w:val="20"/>
                <w:lang w:val="ro-RO"/>
              </w:rPr>
              <w:t>L= 15Km</w:t>
            </w:r>
          </w:p>
        </w:tc>
        <w:tc>
          <w:tcPr>
            <w:tcW w:w="1559" w:type="dxa"/>
            <w:vMerge w:val="restart"/>
          </w:tcPr>
          <w:p w14:paraId="29F18F15"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Surdila-Greci</w:t>
            </w:r>
          </w:p>
          <w:p w14:paraId="330AE163" w14:textId="77777777" w:rsidR="00375ED8" w:rsidRPr="00EA1BB2" w:rsidRDefault="00375ED8" w:rsidP="00375ED8">
            <w:pPr>
              <w:rPr>
                <w:rFonts w:ascii="Cambria" w:hAnsi="Cambria" w:cs="Times New Roman"/>
                <w:sz w:val="20"/>
                <w:szCs w:val="20"/>
                <w:lang w:val="ro-RO"/>
              </w:rPr>
            </w:pPr>
          </w:p>
        </w:tc>
        <w:tc>
          <w:tcPr>
            <w:tcW w:w="1262" w:type="dxa"/>
          </w:tcPr>
          <w:p w14:paraId="437554C1"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2018</w:t>
            </w:r>
          </w:p>
        </w:tc>
        <w:tc>
          <w:tcPr>
            <w:tcW w:w="1460" w:type="dxa"/>
          </w:tcPr>
          <w:p w14:paraId="07413606"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11.381.610</w:t>
            </w:r>
          </w:p>
        </w:tc>
        <w:tc>
          <w:tcPr>
            <w:tcW w:w="1599" w:type="dxa"/>
          </w:tcPr>
          <w:p w14:paraId="6BC249B6"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BL+PNDL</w:t>
            </w:r>
          </w:p>
          <w:p w14:paraId="1792BA8A" w14:textId="77777777" w:rsidR="00375ED8" w:rsidRPr="00EA1BB2" w:rsidRDefault="00375ED8" w:rsidP="00375ED8">
            <w:pPr>
              <w:jc w:val="center"/>
              <w:rPr>
                <w:rFonts w:ascii="Cambria" w:hAnsi="Cambria" w:cs="Times New Roman"/>
                <w:sz w:val="20"/>
                <w:szCs w:val="20"/>
                <w:lang w:val="ro-RO"/>
              </w:rPr>
            </w:pPr>
          </w:p>
        </w:tc>
        <w:tc>
          <w:tcPr>
            <w:tcW w:w="1701" w:type="dxa"/>
          </w:tcPr>
          <w:p w14:paraId="730AF781"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2D19C0BB" w14:textId="77777777" w:rsidTr="00A812FA">
        <w:trPr>
          <w:trHeight w:val="750"/>
          <w:jc w:val="center"/>
        </w:trPr>
        <w:tc>
          <w:tcPr>
            <w:tcW w:w="851" w:type="dxa"/>
            <w:vMerge/>
          </w:tcPr>
          <w:p w14:paraId="72F980D2" w14:textId="77777777" w:rsidR="00375ED8" w:rsidRPr="00EA1BB2" w:rsidRDefault="00375ED8" w:rsidP="00375ED8">
            <w:pPr>
              <w:jc w:val="both"/>
              <w:rPr>
                <w:rFonts w:ascii="Cambria" w:hAnsi="Cambria" w:cs="Times New Roman"/>
                <w:sz w:val="20"/>
                <w:szCs w:val="20"/>
                <w:lang w:val="ro-RO"/>
              </w:rPr>
            </w:pPr>
          </w:p>
        </w:tc>
        <w:tc>
          <w:tcPr>
            <w:tcW w:w="2699" w:type="dxa"/>
            <w:vMerge/>
          </w:tcPr>
          <w:p w14:paraId="68CFE7EE" w14:textId="77777777" w:rsidR="00375ED8" w:rsidRPr="00EA1BB2" w:rsidRDefault="00375ED8" w:rsidP="00375ED8">
            <w:pPr>
              <w:jc w:val="both"/>
              <w:rPr>
                <w:rFonts w:ascii="Cambria" w:hAnsi="Cambria" w:cs="Times New Roman"/>
                <w:bCs/>
                <w:sz w:val="20"/>
                <w:szCs w:val="20"/>
                <w:lang w:val="ro-RO"/>
              </w:rPr>
            </w:pPr>
          </w:p>
        </w:tc>
        <w:tc>
          <w:tcPr>
            <w:tcW w:w="3753" w:type="dxa"/>
          </w:tcPr>
          <w:p w14:paraId="0B01882E" w14:textId="4A694702"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Modernizare drumuri de legătură DC 290 și DC 329, extindere asfaltar</w:t>
            </w:r>
            <w:r w:rsidR="00512934">
              <w:rPr>
                <w:rFonts w:ascii="Cambria" w:hAnsi="Cambria"/>
                <w:sz w:val="20"/>
                <w:szCs w:val="20"/>
                <w:lang w:val="ro-RO"/>
              </w:rPr>
              <w:t>e străzi și realizare trotuare î</w:t>
            </w:r>
            <w:r w:rsidRPr="00EA1BB2">
              <w:rPr>
                <w:rFonts w:ascii="Cambria" w:hAnsi="Cambria"/>
                <w:sz w:val="20"/>
                <w:szCs w:val="20"/>
                <w:lang w:val="ro-RO"/>
              </w:rPr>
              <w:t>n com. Surdila-Greci</w:t>
            </w:r>
          </w:p>
          <w:p w14:paraId="54D203B5"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L.drum/=6.6Km</w:t>
            </w:r>
          </w:p>
          <w:p w14:paraId="17E51D09"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t>L.trotuare=37.5Km</w:t>
            </w:r>
          </w:p>
        </w:tc>
        <w:tc>
          <w:tcPr>
            <w:tcW w:w="1559" w:type="dxa"/>
            <w:vMerge/>
          </w:tcPr>
          <w:p w14:paraId="4B97936C" w14:textId="77777777" w:rsidR="00375ED8" w:rsidRPr="00EA1BB2" w:rsidRDefault="00375ED8" w:rsidP="00375ED8">
            <w:pPr>
              <w:jc w:val="center"/>
              <w:rPr>
                <w:rFonts w:ascii="Cambria" w:hAnsi="Cambria" w:cs="Times New Roman"/>
                <w:sz w:val="20"/>
                <w:szCs w:val="20"/>
                <w:lang w:val="ro-RO"/>
              </w:rPr>
            </w:pPr>
          </w:p>
        </w:tc>
        <w:tc>
          <w:tcPr>
            <w:tcW w:w="1262" w:type="dxa"/>
          </w:tcPr>
          <w:p w14:paraId="10FF7612"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2020</w:t>
            </w:r>
          </w:p>
        </w:tc>
        <w:tc>
          <w:tcPr>
            <w:tcW w:w="1460" w:type="dxa"/>
          </w:tcPr>
          <w:p w14:paraId="3361503B"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11.833.105</w:t>
            </w:r>
          </w:p>
        </w:tc>
        <w:tc>
          <w:tcPr>
            <w:tcW w:w="1599" w:type="dxa"/>
          </w:tcPr>
          <w:p w14:paraId="374FAA0C"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BL+PNDL</w:t>
            </w:r>
          </w:p>
        </w:tc>
        <w:tc>
          <w:tcPr>
            <w:tcW w:w="1701" w:type="dxa"/>
          </w:tcPr>
          <w:p w14:paraId="063B5432"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6DAA5888" w14:textId="77777777" w:rsidTr="00A812FA">
        <w:trPr>
          <w:trHeight w:val="639"/>
          <w:jc w:val="center"/>
        </w:trPr>
        <w:tc>
          <w:tcPr>
            <w:tcW w:w="851" w:type="dxa"/>
            <w:vMerge/>
          </w:tcPr>
          <w:p w14:paraId="5003931C" w14:textId="77777777" w:rsidR="00375ED8" w:rsidRPr="00EA1BB2" w:rsidRDefault="00375ED8" w:rsidP="00375ED8">
            <w:pPr>
              <w:jc w:val="both"/>
              <w:rPr>
                <w:rFonts w:ascii="Cambria" w:hAnsi="Cambria" w:cs="Times New Roman"/>
                <w:sz w:val="20"/>
                <w:szCs w:val="20"/>
                <w:lang w:val="ro-RO"/>
              </w:rPr>
            </w:pPr>
          </w:p>
        </w:tc>
        <w:tc>
          <w:tcPr>
            <w:tcW w:w="2699" w:type="dxa"/>
            <w:vMerge/>
          </w:tcPr>
          <w:p w14:paraId="342F7675" w14:textId="77777777" w:rsidR="00375ED8" w:rsidRPr="00EA1BB2" w:rsidRDefault="00375ED8" w:rsidP="00375ED8">
            <w:pPr>
              <w:jc w:val="both"/>
              <w:rPr>
                <w:rFonts w:ascii="Cambria" w:hAnsi="Cambria" w:cs="Times New Roman"/>
                <w:bCs/>
                <w:sz w:val="20"/>
                <w:szCs w:val="20"/>
                <w:lang w:val="ro-RO"/>
              </w:rPr>
            </w:pPr>
          </w:p>
        </w:tc>
        <w:tc>
          <w:tcPr>
            <w:tcW w:w="3753" w:type="dxa"/>
          </w:tcPr>
          <w:p w14:paraId="1BE045D1"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Amenajare trotuare (asfaltare) în satele Surdila-Găiseanca și Filipești</w:t>
            </w:r>
          </w:p>
          <w:p w14:paraId="05E31834"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L=2,21 Km</w:t>
            </w:r>
          </w:p>
          <w:p w14:paraId="74243BFC" w14:textId="77777777" w:rsidR="00375ED8" w:rsidRPr="00EA1BB2" w:rsidRDefault="00375ED8" w:rsidP="00375ED8">
            <w:pPr>
              <w:jc w:val="both"/>
              <w:rPr>
                <w:rFonts w:ascii="Cambria" w:hAnsi="Cambria"/>
                <w:sz w:val="20"/>
                <w:szCs w:val="20"/>
                <w:lang w:val="ro-RO"/>
              </w:rPr>
            </w:pPr>
          </w:p>
        </w:tc>
        <w:tc>
          <w:tcPr>
            <w:tcW w:w="1559" w:type="dxa"/>
          </w:tcPr>
          <w:p w14:paraId="2D1E1C1F"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Surdila-Găiseanca</w:t>
            </w:r>
          </w:p>
        </w:tc>
        <w:tc>
          <w:tcPr>
            <w:tcW w:w="1262" w:type="dxa"/>
          </w:tcPr>
          <w:p w14:paraId="7729A88D"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2018</w:t>
            </w:r>
          </w:p>
          <w:p w14:paraId="14341A84" w14:textId="77777777" w:rsidR="00375ED8" w:rsidRPr="00EA1BB2" w:rsidRDefault="00375ED8" w:rsidP="00375ED8">
            <w:pPr>
              <w:rPr>
                <w:rFonts w:ascii="Cambria" w:hAnsi="Cambria" w:cs="Times New Roman"/>
                <w:sz w:val="20"/>
                <w:szCs w:val="20"/>
                <w:lang w:val="ro-RO"/>
              </w:rPr>
            </w:pPr>
          </w:p>
        </w:tc>
        <w:tc>
          <w:tcPr>
            <w:tcW w:w="1460" w:type="dxa"/>
          </w:tcPr>
          <w:p w14:paraId="2DEA0602"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339.640</w:t>
            </w:r>
          </w:p>
        </w:tc>
        <w:tc>
          <w:tcPr>
            <w:tcW w:w="1599" w:type="dxa"/>
          </w:tcPr>
          <w:p w14:paraId="05F53C38"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BL+CJ</w:t>
            </w:r>
          </w:p>
          <w:p w14:paraId="2C13DA61" w14:textId="77777777" w:rsidR="00375ED8" w:rsidRPr="00EA1BB2" w:rsidRDefault="00375ED8" w:rsidP="00375ED8">
            <w:pPr>
              <w:jc w:val="center"/>
              <w:rPr>
                <w:rFonts w:ascii="Cambria" w:hAnsi="Cambria" w:cs="Times New Roman"/>
                <w:sz w:val="20"/>
                <w:szCs w:val="20"/>
                <w:lang w:val="ro-RO"/>
              </w:rPr>
            </w:pPr>
          </w:p>
        </w:tc>
        <w:tc>
          <w:tcPr>
            <w:tcW w:w="1701" w:type="dxa"/>
          </w:tcPr>
          <w:p w14:paraId="10AD9142"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37F7F41E" w14:textId="77777777" w:rsidTr="00A812FA">
        <w:trPr>
          <w:trHeight w:val="621"/>
          <w:jc w:val="center"/>
        </w:trPr>
        <w:tc>
          <w:tcPr>
            <w:tcW w:w="851" w:type="dxa"/>
            <w:vMerge/>
          </w:tcPr>
          <w:p w14:paraId="3B134527" w14:textId="77777777" w:rsidR="00375ED8" w:rsidRPr="00EA1BB2" w:rsidRDefault="00375ED8" w:rsidP="00375ED8">
            <w:pPr>
              <w:jc w:val="both"/>
              <w:rPr>
                <w:rFonts w:ascii="Cambria" w:hAnsi="Cambria" w:cs="Times New Roman"/>
                <w:sz w:val="20"/>
                <w:szCs w:val="20"/>
                <w:lang w:val="ro-RO"/>
              </w:rPr>
            </w:pPr>
          </w:p>
        </w:tc>
        <w:tc>
          <w:tcPr>
            <w:tcW w:w="2699" w:type="dxa"/>
            <w:vMerge/>
          </w:tcPr>
          <w:p w14:paraId="6D50CACC" w14:textId="77777777" w:rsidR="00375ED8" w:rsidRPr="00EA1BB2" w:rsidRDefault="00375ED8" w:rsidP="00375ED8">
            <w:pPr>
              <w:jc w:val="both"/>
              <w:rPr>
                <w:rFonts w:ascii="Cambria" w:hAnsi="Cambria" w:cs="Times New Roman"/>
                <w:bCs/>
                <w:sz w:val="20"/>
                <w:szCs w:val="20"/>
                <w:lang w:val="ro-RO"/>
              </w:rPr>
            </w:pPr>
          </w:p>
        </w:tc>
        <w:tc>
          <w:tcPr>
            <w:tcW w:w="3753" w:type="dxa"/>
          </w:tcPr>
          <w:p w14:paraId="4F80E7F3"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Modernizare drumuri locale în com. Stăncuța</w:t>
            </w:r>
          </w:p>
          <w:p w14:paraId="1F4F283A"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t>L= 24 Km</w:t>
            </w:r>
          </w:p>
        </w:tc>
        <w:tc>
          <w:tcPr>
            <w:tcW w:w="1559" w:type="dxa"/>
          </w:tcPr>
          <w:p w14:paraId="3AC6EF78"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Stăncuța</w:t>
            </w:r>
          </w:p>
        </w:tc>
        <w:tc>
          <w:tcPr>
            <w:tcW w:w="1262" w:type="dxa"/>
          </w:tcPr>
          <w:p w14:paraId="7CDDA37C"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2020</w:t>
            </w:r>
          </w:p>
        </w:tc>
        <w:tc>
          <w:tcPr>
            <w:tcW w:w="1460" w:type="dxa"/>
          </w:tcPr>
          <w:p w14:paraId="5DD5C488"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24.560.000</w:t>
            </w:r>
          </w:p>
        </w:tc>
        <w:tc>
          <w:tcPr>
            <w:tcW w:w="1599" w:type="dxa"/>
          </w:tcPr>
          <w:p w14:paraId="6CE1723D"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BL+PNDL</w:t>
            </w:r>
          </w:p>
        </w:tc>
        <w:tc>
          <w:tcPr>
            <w:tcW w:w="1701" w:type="dxa"/>
          </w:tcPr>
          <w:p w14:paraId="1FE89063"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34170F84" w14:textId="77777777" w:rsidTr="00A812FA">
        <w:trPr>
          <w:trHeight w:val="851"/>
          <w:jc w:val="center"/>
        </w:trPr>
        <w:tc>
          <w:tcPr>
            <w:tcW w:w="851" w:type="dxa"/>
            <w:vMerge/>
          </w:tcPr>
          <w:p w14:paraId="3E5CE7AF" w14:textId="77777777" w:rsidR="00375ED8" w:rsidRPr="00EA1BB2" w:rsidRDefault="00375ED8" w:rsidP="00375ED8">
            <w:pPr>
              <w:jc w:val="both"/>
              <w:rPr>
                <w:rFonts w:ascii="Cambria" w:hAnsi="Cambria" w:cs="Times New Roman"/>
                <w:sz w:val="20"/>
                <w:szCs w:val="20"/>
                <w:lang w:val="ro-RO"/>
              </w:rPr>
            </w:pPr>
          </w:p>
        </w:tc>
        <w:tc>
          <w:tcPr>
            <w:tcW w:w="2699" w:type="dxa"/>
            <w:vMerge/>
          </w:tcPr>
          <w:p w14:paraId="0D30F4AD" w14:textId="77777777" w:rsidR="00375ED8" w:rsidRPr="00EA1BB2" w:rsidRDefault="00375ED8" w:rsidP="00375ED8">
            <w:pPr>
              <w:jc w:val="both"/>
              <w:rPr>
                <w:rFonts w:ascii="Cambria" w:hAnsi="Cambria" w:cs="Times New Roman"/>
                <w:bCs/>
                <w:sz w:val="20"/>
                <w:szCs w:val="20"/>
                <w:lang w:val="ro-RO"/>
              </w:rPr>
            </w:pPr>
          </w:p>
        </w:tc>
        <w:tc>
          <w:tcPr>
            <w:tcW w:w="3753" w:type="dxa"/>
          </w:tcPr>
          <w:p w14:paraId="2A274AFE"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Amenajare șanțuri și trotuare pietonale în Șuțești și Kogălniceanu</w:t>
            </w:r>
          </w:p>
          <w:p w14:paraId="4074CA51"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Ltrotuare=3,73Km</w:t>
            </w:r>
          </w:p>
          <w:p w14:paraId="5B82494F"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Șuțești=2,14Km</w:t>
            </w:r>
          </w:p>
          <w:p w14:paraId="30434B45"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t>Kogălniceanu=1,59Km</w:t>
            </w:r>
          </w:p>
        </w:tc>
        <w:tc>
          <w:tcPr>
            <w:tcW w:w="1559" w:type="dxa"/>
          </w:tcPr>
          <w:p w14:paraId="20AB5B4D"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Sutești</w:t>
            </w:r>
          </w:p>
        </w:tc>
        <w:tc>
          <w:tcPr>
            <w:tcW w:w="1262" w:type="dxa"/>
          </w:tcPr>
          <w:p w14:paraId="68DA6C84"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2021</w:t>
            </w:r>
          </w:p>
        </w:tc>
        <w:tc>
          <w:tcPr>
            <w:tcW w:w="1460" w:type="dxa"/>
          </w:tcPr>
          <w:p w14:paraId="1E81F21A"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3.178.406</w:t>
            </w:r>
          </w:p>
        </w:tc>
        <w:tc>
          <w:tcPr>
            <w:tcW w:w="1599" w:type="dxa"/>
          </w:tcPr>
          <w:p w14:paraId="7A31835E"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w:t>
            </w:r>
          </w:p>
        </w:tc>
        <w:tc>
          <w:tcPr>
            <w:tcW w:w="1701" w:type="dxa"/>
          </w:tcPr>
          <w:p w14:paraId="5889A8A1"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km trotuare</w:t>
            </w:r>
          </w:p>
        </w:tc>
      </w:tr>
      <w:tr w:rsidR="00375ED8" w:rsidRPr="00EA1BB2" w14:paraId="3D85D94B" w14:textId="77777777" w:rsidTr="00A812FA">
        <w:trPr>
          <w:trHeight w:val="451"/>
          <w:jc w:val="center"/>
        </w:trPr>
        <w:tc>
          <w:tcPr>
            <w:tcW w:w="851" w:type="dxa"/>
            <w:vMerge/>
          </w:tcPr>
          <w:p w14:paraId="73BB0B6C" w14:textId="77777777" w:rsidR="00375ED8" w:rsidRPr="00EA1BB2" w:rsidRDefault="00375ED8" w:rsidP="00375ED8">
            <w:pPr>
              <w:jc w:val="both"/>
              <w:rPr>
                <w:rFonts w:ascii="Cambria" w:hAnsi="Cambria" w:cs="Times New Roman"/>
                <w:sz w:val="20"/>
                <w:szCs w:val="20"/>
                <w:lang w:val="ro-RO"/>
              </w:rPr>
            </w:pPr>
          </w:p>
        </w:tc>
        <w:tc>
          <w:tcPr>
            <w:tcW w:w="2699" w:type="dxa"/>
            <w:vMerge/>
          </w:tcPr>
          <w:p w14:paraId="69B23195" w14:textId="77777777" w:rsidR="00375ED8" w:rsidRPr="00EA1BB2" w:rsidRDefault="00375ED8" w:rsidP="00375ED8">
            <w:pPr>
              <w:jc w:val="both"/>
              <w:rPr>
                <w:rFonts w:ascii="Cambria" w:hAnsi="Cambria" w:cs="Times New Roman"/>
                <w:bCs/>
                <w:sz w:val="20"/>
                <w:szCs w:val="20"/>
                <w:lang w:val="ro-RO"/>
              </w:rPr>
            </w:pPr>
          </w:p>
        </w:tc>
        <w:tc>
          <w:tcPr>
            <w:tcW w:w="3753" w:type="dxa"/>
          </w:tcPr>
          <w:p w14:paraId="74250B00" w14:textId="2FE3DCBF" w:rsidR="00375ED8" w:rsidRPr="00EA1BB2" w:rsidRDefault="00512934" w:rsidP="00375ED8">
            <w:pPr>
              <w:jc w:val="both"/>
              <w:rPr>
                <w:rFonts w:ascii="Cambria" w:hAnsi="Cambria"/>
                <w:sz w:val="20"/>
                <w:szCs w:val="20"/>
                <w:lang w:val="ro-RO"/>
              </w:rPr>
            </w:pPr>
            <w:r>
              <w:rPr>
                <w:rFonts w:ascii="Cambria" w:hAnsi="Cambria"/>
                <w:sz w:val="20"/>
                <w:szCs w:val="20"/>
                <w:lang w:val="ro-RO"/>
              </w:rPr>
              <w:t>Modernizare străzi rurale î</w:t>
            </w:r>
            <w:r w:rsidR="00375ED8" w:rsidRPr="00EA1BB2">
              <w:rPr>
                <w:rFonts w:ascii="Cambria" w:hAnsi="Cambria"/>
                <w:sz w:val="20"/>
                <w:szCs w:val="20"/>
                <w:lang w:val="ro-RO"/>
              </w:rPr>
              <w:t xml:space="preserve">n sat Traian </w:t>
            </w:r>
          </w:p>
          <w:p w14:paraId="4C23F217"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t>L= 8,.49Km</w:t>
            </w:r>
          </w:p>
        </w:tc>
        <w:tc>
          <w:tcPr>
            <w:tcW w:w="1559" w:type="dxa"/>
            <w:vMerge w:val="restart"/>
          </w:tcPr>
          <w:p w14:paraId="1A0B3632"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 xml:space="preserve">Primarul localității </w:t>
            </w:r>
            <w:r w:rsidRPr="00EA1BB2">
              <w:rPr>
                <w:rFonts w:ascii="Cambria" w:hAnsi="Cambria" w:cs="Times New Roman"/>
                <w:sz w:val="20"/>
                <w:szCs w:val="20"/>
                <w:lang w:val="ro-RO"/>
              </w:rPr>
              <w:lastRenderedPageBreak/>
              <w:t>Traian</w:t>
            </w:r>
          </w:p>
        </w:tc>
        <w:tc>
          <w:tcPr>
            <w:tcW w:w="1262" w:type="dxa"/>
          </w:tcPr>
          <w:p w14:paraId="3B2AEDD6"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lastRenderedPageBreak/>
              <w:t>2020</w:t>
            </w:r>
          </w:p>
        </w:tc>
        <w:tc>
          <w:tcPr>
            <w:tcW w:w="1460" w:type="dxa"/>
          </w:tcPr>
          <w:p w14:paraId="78F30421"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7.846.000</w:t>
            </w:r>
          </w:p>
        </w:tc>
        <w:tc>
          <w:tcPr>
            <w:tcW w:w="1599" w:type="dxa"/>
          </w:tcPr>
          <w:p w14:paraId="1DF25A94"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BL+PNDL</w:t>
            </w:r>
          </w:p>
        </w:tc>
        <w:tc>
          <w:tcPr>
            <w:tcW w:w="1701" w:type="dxa"/>
          </w:tcPr>
          <w:p w14:paraId="7589AB84"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7E56590E" w14:textId="77777777" w:rsidTr="00A812FA">
        <w:trPr>
          <w:trHeight w:val="515"/>
          <w:jc w:val="center"/>
        </w:trPr>
        <w:tc>
          <w:tcPr>
            <w:tcW w:w="851" w:type="dxa"/>
            <w:vMerge/>
          </w:tcPr>
          <w:p w14:paraId="52EDF347" w14:textId="77777777" w:rsidR="00375ED8" w:rsidRPr="00EA1BB2" w:rsidRDefault="00375ED8" w:rsidP="00375ED8">
            <w:pPr>
              <w:jc w:val="both"/>
              <w:rPr>
                <w:rFonts w:ascii="Cambria" w:hAnsi="Cambria" w:cs="Times New Roman"/>
                <w:sz w:val="20"/>
                <w:szCs w:val="20"/>
                <w:lang w:val="ro-RO"/>
              </w:rPr>
            </w:pPr>
          </w:p>
        </w:tc>
        <w:tc>
          <w:tcPr>
            <w:tcW w:w="2699" w:type="dxa"/>
            <w:vMerge/>
          </w:tcPr>
          <w:p w14:paraId="0D9ACD41" w14:textId="77777777" w:rsidR="00375ED8" w:rsidRPr="00EA1BB2" w:rsidRDefault="00375ED8" w:rsidP="00375ED8">
            <w:pPr>
              <w:jc w:val="both"/>
              <w:rPr>
                <w:rFonts w:ascii="Cambria" w:hAnsi="Cambria" w:cs="Times New Roman"/>
                <w:bCs/>
                <w:sz w:val="20"/>
                <w:szCs w:val="20"/>
                <w:lang w:val="ro-RO"/>
              </w:rPr>
            </w:pPr>
          </w:p>
        </w:tc>
        <w:tc>
          <w:tcPr>
            <w:tcW w:w="3753" w:type="dxa"/>
          </w:tcPr>
          <w:p w14:paraId="06C0DDA8"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Modernizare străzi rurale în satele Căldărușa, Urleasca, Silistraru</w:t>
            </w:r>
          </w:p>
          <w:p w14:paraId="30041B7F"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t>L= 9,91Km</w:t>
            </w:r>
          </w:p>
        </w:tc>
        <w:tc>
          <w:tcPr>
            <w:tcW w:w="1559" w:type="dxa"/>
            <w:vMerge/>
          </w:tcPr>
          <w:p w14:paraId="289FAA16" w14:textId="77777777" w:rsidR="00375ED8" w:rsidRPr="00EA1BB2" w:rsidRDefault="00375ED8" w:rsidP="00375ED8">
            <w:pPr>
              <w:jc w:val="center"/>
              <w:rPr>
                <w:rFonts w:ascii="Cambria" w:hAnsi="Cambria" w:cs="Times New Roman"/>
                <w:sz w:val="20"/>
                <w:szCs w:val="20"/>
                <w:lang w:val="ro-RO"/>
              </w:rPr>
            </w:pPr>
          </w:p>
        </w:tc>
        <w:tc>
          <w:tcPr>
            <w:tcW w:w="1262" w:type="dxa"/>
          </w:tcPr>
          <w:p w14:paraId="104CC465"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2020</w:t>
            </w:r>
          </w:p>
        </w:tc>
        <w:tc>
          <w:tcPr>
            <w:tcW w:w="1460" w:type="dxa"/>
          </w:tcPr>
          <w:p w14:paraId="6C170538"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10.000.000</w:t>
            </w:r>
          </w:p>
        </w:tc>
        <w:tc>
          <w:tcPr>
            <w:tcW w:w="1599" w:type="dxa"/>
          </w:tcPr>
          <w:p w14:paraId="4A302DD4"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BL+PNDL</w:t>
            </w:r>
          </w:p>
        </w:tc>
        <w:tc>
          <w:tcPr>
            <w:tcW w:w="1701" w:type="dxa"/>
          </w:tcPr>
          <w:p w14:paraId="355AFADA"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384C4AED" w14:textId="77777777" w:rsidTr="00A812FA">
        <w:trPr>
          <w:trHeight w:val="461"/>
          <w:jc w:val="center"/>
        </w:trPr>
        <w:tc>
          <w:tcPr>
            <w:tcW w:w="851" w:type="dxa"/>
            <w:vMerge/>
          </w:tcPr>
          <w:p w14:paraId="51A36273" w14:textId="77777777" w:rsidR="00375ED8" w:rsidRPr="00EA1BB2" w:rsidRDefault="00375ED8" w:rsidP="00375ED8">
            <w:pPr>
              <w:jc w:val="both"/>
              <w:rPr>
                <w:rFonts w:ascii="Cambria" w:hAnsi="Cambria" w:cs="Times New Roman"/>
                <w:sz w:val="20"/>
                <w:szCs w:val="20"/>
                <w:lang w:val="ro-RO"/>
              </w:rPr>
            </w:pPr>
          </w:p>
        </w:tc>
        <w:tc>
          <w:tcPr>
            <w:tcW w:w="2699" w:type="dxa"/>
            <w:vMerge/>
          </w:tcPr>
          <w:p w14:paraId="0404B311" w14:textId="77777777" w:rsidR="00375ED8" w:rsidRPr="00EA1BB2" w:rsidRDefault="00375ED8" w:rsidP="00375ED8">
            <w:pPr>
              <w:jc w:val="both"/>
              <w:rPr>
                <w:rFonts w:ascii="Cambria" w:hAnsi="Cambria" w:cs="Times New Roman"/>
                <w:bCs/>
                <w:sz w:val="20"/>
                <w:szCs w:val="20"/>
                <w:lang w:val="ro-RO"/>
              </w:rPr>
            </w:pPr>
          </w:p>
        </w:tc>
        <w:tc>
          <w:tcPr>
            <w:tcW w:w="3753" w:type="dxa"/>
          </w:tcPr>
          <w:p w14:paraId="43564C1F"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Modernizare drumuri (străzi rurale) în satele Căldărușa, Urleasca, Silistraru</w:t>
            </w:r>
          </w:p>
          <w:p w14:paraId="60B31CE6"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t>L= 9,00Km</w:t>
            </w:r>
          </w:p>
        </w:tc>
        <w:tc>
          <w:tcPr>
            <w:tcW w:w="1559" w:type="dxa"/>
            <w:vMerge/>
          </w:tcPr>
          <w:p w14:paraId="52688303" w14:textId="77777777" w:rsidR="00375ED8" w:rsidRPr="00EA1BB2" w:rsidRDefault="00375ED8" w:rsidP="00375ED8">
            <w:pPr>
              <w:jc w:val="center"/>
              <w:rPr>
                <w:rFonts w:ascii="Cambria" w:hAnsi="Cambria" w:cs="Times New Roman"/>
                <w:sz w:val="20"/>
                <w:szCs w:val="20"/>
                <w:lang w:val="ro-RO"/>
              </w:rPr>
            </w:pPr>
          </w:p>
        </w:tc>
        <w:tc>
          <w:tcPr>
            <w:tcW w:w="1262" w:type="dxa"/>
          </w:tcPr>
          <w:p w14:paraId="0E76F3AB"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2020</w:t>
            </w:r>
          </w:p>
          <w:p w14:paraId="046E97FA" w14:textId="77777777" w:rsidR="00375ED8" w:rsidRPr="00EA1BB2" w:rsidRDefault="00375ED8" w:rsidP="00375ED8">
            <w:pPr>
              <w:jc w:val="center"/>
              <w:rPr>
                <w:rFonts w:ascii="Cambria" w:hAnsi="Cambria" w:cs="Times New Roman"/>
                <w:sz w:val="20"/>
                <w:szCs w:val="20"/>
                <w:lang w:val="ro-RO"/>
              </w:rPr>
            </w:pPr>
          </w:p>
        </w:tc>
        <w:tc>
          <w:tcPr>
            <w:tcW w:w="1460" w:type="dxa"/>
          </w:tcPr>
          <w:p w14:paraId="21C915C8"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8.793.000</w:t>
            </w:r>
          </w:p>
        </w:tc>
        <w:tc>
          <w:tcPr>
            <w:tcW w:w="1599" w:type="dxa"/>
          </w:tcPr>
          <w:p w14:paraId="3A5569D5"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BL+PNDL</w:t>
            </w:r>
          </w:p>
          <w:p w14:paraId="79C9D17D" w14:textId="77777777" w:rsidR="00375ED8" w:rsidRPr="00EA1BB2" w:rsidRDefault="00375ED8" w:rsidP="00375ED8">
            <w:pPr>
              <w:jc w:val="center"/>
              <w:rPr>
                <w:rFonts w:ascii="Cambria" w:hAnsi="Cambria" w:cs="Times New Roman"/>
                <w:sz w:val="20"/>
                <w:szCs w:val="20"/>
                <w:lang w:val="ro-RO"/>
              </w:rPr>
            </w:pPr>
          </w:p>
        </w:tc>
        <w:tc>
          <w:tcPr>
            <w:tcW w:w="1701" w:type="dxa"/>
          </w:tcPr>
          <w:p w14:paraId="4E76A2B1"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2C69D408" w14:textId="77777777" w:rsidTr="00A812FA">
        <w:trPr>
          <w:trHeight w:val="501"/>
          <w:jc w:val="center"/>
        </w:trPr>
        <w:tc>
          <w:tcPr>
            <w:tcW w:w="851" w:type="dxa"/>
            <w:vMerge/>
          </w:tcPr>
          <w:p w14:paraId="61E32BC7" w14:textId="77777777" w:rsidR="00375ED8" w:rsidRPr="00EA1BB2" w:rsidRDefault="00375ED8" w:rsidP="00375ED8">
            <w:pPr>
              <w:jc w:val="both"/>
              <w:rPr>
                <w:rFonts w:ascii="Cambria" w:hAnsi="Cambria" w:cs="Times New Roman"/>
                <w:sz w:val="20"/>
                <w:szCs w:val="20"/>
                <w:lang w:val="ro-RO"/>
              </w:rPr>
            </w:pPr>
          </w:p>
        </w:tc>
        <w:tc>
          <w:tcPr>
            <w:tcW w:w="2699" w:type="dxa"/>
            <w:vMerge/>
          </w:tcPr>
          <w:p w14:paraId="63136EA5" w14:textId="77777777" w:rsidR="00375ED8" w:rsidRPr="00EA1BB2" w:rsidRDefault="00375ED8" w:rsidP="00375ED8">
            <w:pPr>
              <w:jc w:val="both"/>
              <w:rPr>
                <w:rFonts w:ascii="Cambria" w:hAnsi="Cambria" w:cs="Times New Roman"/>
                <w:bCs/>
                <w:sz w:val="20"/>
                <w:szCs w:val="20"/>
                <w:lang w:val="ro-RO"/>
              </w:rPr>
            </w:pPr>
          </w:p>
        </w:tc>
        <w:tc>
          <w:tcPr>
            <w:tcW w:w="3753" w:type="dxa"/>
          </w:tcPr>
          <w:p w14:paraId="7B88ABB8"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Modernizare străzi în com. Tudor Vladimirescu</w:t>
            </w:r>
          </w:p>
          <w:p w14:paraId="4530B4BE"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t>L străzi=10,3 Km</w:t>
            </w:r>
          </w:p>
        </w:tc>
        <w:tc>
          <w:tcPr>
            <w:tcW w:w="1559" w:type="dxa"/>
            <w:vMerge w:val="restart"/>
          </w:tcPr>
          <w:p w14:paraId="7892C373"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Tudor Vladimirescu</w:t>
            </w:r>
          </w:p>
        </w:tc>
        <w:tc>
          <w:tcPr>
            <w:tcW w:w="1262" w:type="dxa"/>
          </w:tcPr>
          <w:p w14:paraId="3160F83B"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2018</w:t>
            </w:r>
          </w:p>
        </w:tc>
        <w:tc>
          <w:tcPr>
            <w:tcW w:w="1460" w:type="dxa"/>
          </w:tcPr>
          <w:p w14:paraId="701FC72C"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9.581.618</w:t>
            </w:r>
          </w:p>
        </w:tc>
        <w:tc>
          <w:tcPr>
            <w:tcW w:w="1599" w:type="dxa"/>
          </w:tcPr>
          <w:p w14:paraId="0E28D7BA"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MDRAP</w:t>
            </w:r>
          </w:p>
        </w:tc>
        <w:tc>
          <w:tcPr>
            <w:tcW w:w="1701" w:type="dxa"/>
          </w:tcPr>
          <w:p w14:paraId="4FE8AE0C"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50F1FB63" w14:textId="77777777" w:rsidTr="00A812FA">
        <w:trPr>
          <w:trHeight w:val="507"/>
          <w:jc w:val="center"/>
        </w:trPr>
        <w:tc>
          <w:tcPr>
            <w:tcW w:w="851" w:type="dxa"/>
            <w:vMerge/>
          </w:tcPr>
          <w:p w14:paraId="72F8104B" w14:textId="77777777" w:rsidR="00375ED8" w:rsidRPr="00EA1BB2" w:rsidRDefault="00375ED8" w:rsidP="00375ED8">
            <w:pPr>
              <w:jc w:val="both"/>
              <w:rPr>
                <w:rFonts w:ascii="Cambria" w:hAnsi="Cambria" w:cs="Times New Roman"/>
                <w:sz w:val="20"/>
                <w:szCs w:val="20"/>
                <w:lang w:val="ro-RO"/>
              </w:rPr>
            </w:pPr>
          </w:p>
        </w:tc>
        <w:tc>
          <w:tcPr>
            <w:tcW w:w="2699" w:type="dxa"/>
            <w:vMerge/>
          </w:tcPr>
          <w:p w14:paraId="319601D6" w14:textId="77777777" w:rsidR="00375ED8" w:rsidRPr="00EA1BB2" w:rsidRDefault="00375ED8" w:rsidP="00375ED8">
            <w:pPr>
              <w:jc w:val="both"/>
              <w:rPr>
                <w:rFonts w:ascii="Cambria" w:hAnsi="Cambria" w:cs="Times New Roman"/>
                <w:bCs/>
                <w:sz w:val="20"/>
                <w:szCs w:val="20"/>
                <w:lang w:val="ro-RO"/>
              </w:rPr>
            </w:pPr>
          </w:p>
        </w:tc>
        <w:tc>
          <w:tcPr>
            <w:tcW w:w="3753" w:type="dxa"/>
          </w:tcPr>
          <w:p w14:paraId="62D13A7E"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Modernizare drumuri de interes local, com. Tudor Vladimirescu</w:t>
            </w:r>
          </w:p>
          <w:p w14:paraId="0FBDE61E"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t>L străzi=5,5Km</w:t>
            </w:r>
          </w:p>
        </w:tc>
        <w:tc>
          <w:tcPr>
            <w:tcW w:w="1559" w:type="dxa"/>
            <w:vMerge/>
          </w:tcPr>
          <w:p w14:paraId="0331C76C" w14:textId="77777777" w:rsidR="00375ED8" w:rsidRPr="00EA1BB2" w:rsidRDefault="00375ED8" w:rsidP="00375ED8">
            <w:pPr>
              <w:jc w:val="center"/>
              <w:rPr>
                <w:rFonts w:ascii="Cambria" w:hAnsi="Cambria" w:cs="Times New Roman"/>
                <w:sz w:val="20"/>
                <w:szCs w:val="20"/>
                <w:lang w:val="ro-RO"/>
              </w:rPr>
            </w:pPr>
          </w:p>
        </w:tc>
        <w:tc>
          <w:tcPr>
            <w:tcW w:w="1262" w:type="dxa"/>
          </w:tcPr>
          <w:p w14:paraId="27BC2864"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2018</w:t>
            </w:r>
          </w:p>
        </w:tc>
        <w:tc>
          <w:tcPr>
            <w:tcW w:w="1460" w:type="dxa"/>
          </w:tcPr>
          <w:p w14:paraId="786659F8"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5.245.035</w:t>
            </w:r>
          </w:p>
        </w:tc>
        <w:tc>
          <w:tcPr>
            <w:tcW w:w="1599" w:type="dxa"/>
          </w:tcPr>
          <w:p w14:paraId="0996878B"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MDRAP</w:t>
            </w:r>
          </w:p>
        </w:tc>
        <w:tc>
          <w:tcPr>
            <w:tcW w:w="1701" w:type="dxa"/>
          </w:tcPr>
          <w:p w14:paraId="6EDA8A21"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43EB5ABF" w14:textId="77777777" w:rsidTr="00A812FA">
        <w:trPr>
          <w:trHeight w:val="507"/>
          <w:jc w:val="center"/>
        </w:trPr>
        <w:tc>
          <w:tcPr>
            <w:tcW w:w="851" w:type="dxa"/>
            <w:vMerge/>
          </w:tcPr>
          <w:p w14:paraId="6E45F847" w14:textId="77777777" w:rsidR="00375ED8" w:rsidRPr="00EA1BB2" w:rsidRDefault="00375ED8" w:rsidP="00375ED8">
            <w:pPr>
              <w:jc w:val="both"/>
              <w:rPr>
                <w:rFonts w:ascii="Cambria" w:hAnsi="Cambria" w:cs="Times New Roman"/>
                <w:sz w:val="20"/>
                <w:szCs w:val="20"/>
                <w:lang w:val="ro-RO"/>
              </w:rPr>
            </w:pPr>
          </w:p>
        </w:tc>
        <w:tc>
          <w:tcPr>
            <w:tcW w:w="2699" w:type="dxa"/>
            <w:vMerge/>
          </w:tcPr>
          <w:p w14:paraId="0D52AA8A" w14:textId="77777777" w:rsidR="00375ED8" w:rsidRPr="00EA1BB2" w:rsidRDefault="00375ED8" w:rsidP="00375ED8">
            <w:pPr>
              <w:jc w:val="both"/>
              <w:rPr>
                <w:rFonts w:ascii="Cambria" w:hAnsi="Cambria" w:cs="Times New Roman"/>
                <w:bCs/>
                <w:sz w:val="20"/>
                <w:szCs w:val="20"/>
                <w:lang w:val="ro-RO"/>
              </w:rPr>
            </w:pPr>
          </w:p>
        </w:tc>
        <w:tc>
          <w:tcPr>
            <w:tcW w:w="3753" w:type="dxa"/>
          </w:tcPr>
          <w:p w14:paraId="37653598"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Modernizarea străzi în localitățile Unirea și Valea Cânepii</w:t>
            </w:r>
          </w:p>
          <w:p w14:paraId="40C5CA4E"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t>L= 7Km</w:t>
            </w:r>
          </w:p>
        </w:tc>
        <w:tc>
          <w:tcPr>
            <w:tcW w:w="1559" w:type="dxa"/>
            <w:vMerge w:val="restart"/>
          </w:tcPr>
          <w:p w14:paraId="7EEEF41D"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Unirea</w:t>
            </w:r>
          </w:p>
        </w:tc>
        <w:tc>
          <w:tcPr>
            <w:tcW w:w="1262" w:type="dxa"/>
          </w:tcPr>
          <w:p w14:paraId="3017FE50"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2019</w:t>
            </w:r>
          </w:p>
        </w:tc>
        <w:tc>
          <w:tcPr>
            <w:tcW w:w="1460" w:type="dxa"/>
          </w:tcPr>
          <w:p w14:paraId="23840D9E"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6.500.000</w:t>
            </w:r>
          </w:p>
        </w:tc>
        <w:tc>
          <w:tcPr>
            <w:tcW w:w="1599" w:type="dxa"/>
          </w:tcPr>
          <w:p w14:paraId="1C0B35FA"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Bl+PNDL</w:t>
            </w:r>
          </w:p>
        </w:tc>
        <w:tc>
          <w:tcPr>
            <w:tcW w:w="1701" w:type="dxa"/>
          </w:tcPr>
          <w:p w14:paraId="7522678C"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1447D77A" w14:textId="77777777" w:rsidTr="00A812FA">
        <w:trPr>
          <w:trHeight w:val="567"/>
          <w:jc w:val="center"/>
        </w:trPr>
        <w:tc>
          <w:tcPr>
            <w:tcW w:w="851" w:type="dxa"/>
            <w:vMerge/>
          </w:tcPr>
          <w:p w14:paraId="37053903" w14:textId="77777777" w:rsidR="00375ED8" w:rsidRPr="00EA1BB2" w:rsidRDefault="00375ED8" w:rsidP="00375ED8">
            <w:pPr>
              <w:jc w:val="both"/>
              <w:rPr>
                <w:rFonts w:ascii="Cambria" w:hAnsi="Cambria" w:cs="Times New Roman"/>
                <w:sz w:val="20"/>
                <w:szCs w:val="20"/>
                <w:lang w:val="ro-RO"/>
              </w:rPr>
            </w:pPr>
          </w:p>
        </w:tc>
        <w:tc>
          <w:tcPr>
            <w:tcW w:w="2699" w:type="dxa"/>
            <w:vMerge/>
          </w:tcPr>
          <w:p w14:paraId="5E6909F2" w14:textId="77777777" w:rsidR="00375ED8" w:rsidRPr="00EA1BB2" w:rsidRDefault="00375ED8" w:rsidP="00375ED8">
            <w:pPr>
              <w:jc w:val="both"/>
              <w:rPr>
                <w:rFonts w:ascii="Cambria" w:hAnsi="Cambria" w:cs="Times New Roman"/>
                <w:bCs/>
                <w:sz w:val="20"/>
                <w:szCs w:val="20"/>
                <w:lang w:val="ro-RO"/>
              </w:rPr>
            </w:pPr>
          </w:p>
        </w:tc>
        <w:tc>
          <w:tcPr>
            <w:tcW w:w="3753" w:type="dxa"/>
          </w:tcPr>
          <w:p w14:paraId="7EAF6B4B"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Modernizare drum comunal DC1, din com. Unirea</w:t>
            </w:r>
          </w:p>
          <w:p w14:paraId="2AB4090B"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t>L= 4Km</w:t>
            </w:r>
          </w:p>
        </w:tc>
        <w:tc>
          <w:tcPr>
            <w:tcW w:w="1559" w:type="dxa"/>
            <w:vMerge/>
          </w:tcPr>
          <w:p w14:paraId="57CBBAF2" w14:textId="77777777" w:rsidR="00375ED8" w:rsidRPr="00EA1BB2" w:rsidRDefault="00375ED8" w:rsidP="00375ED8">
            <w:pPr>
              <w:jc w:val="center"/>
              <w:rPr>
                <w:rFonts w:ascii="Cambria" w:hAnsi="Cambria" w:cs="Times New Roman"/>
                <w:sz w:val="20"/>
                <w:szCs w:val="20"/>
                <w:lang w:val="ro-RO"/>
              </w:rPr>
            </w:pPr>
          </w:p>
        </w:tc>
        <w:tc>
          <w:tcPr>
            <w:tcW w:w="1262" w:type="dxa"/>
          </w:tcPr>
          <w:p w14:paraId="3DCFA87C"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2019</w:t>
            </w:r>
          </w:p>
        </w:tc>
        <w:tc>
          <w:tcPr>
            <w:tcW w:w="1460" w:type="dxa"/>
          </w:tcPr>
          <w:p w14:paraId="627F7D54"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3.500.000</w:t>
            </w:r>
          </w:p>
        </w:tc>
        <w:tc>
          <w:tcPr>
            <w:tcW w:w="1599" w:type="dxa"/>
          </w:tcPr>
          <w:p w14:paraId="4FF7E904"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Bl+PNDL</w:t>
            </w:r>
          </w:p>
        </w:tc>
        <w:tc>
          <w:tcPr>
            <w:tcW w:w="1701" w:type="dxa"/>
          </w:tcPr>
          <w:p w14:paraId="74B30EB3"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141C37E4" w14:textId="77777777" w:rsidTr="00A812FA">
        <w:trPr>
          <w:trHeight w:val="567"/>
          <w:jc w:val="center"/>
        </w:trPr>
        <w:tc>
          <w:tcPr>
            <w:tcW w:w="851" w:type="dxa"/>
            <w:vMerge/>
          </w:tcPr>
          <w:p w14:paraId="23220CE8" w14:textId="77777777" w:rsidR="00375ED8" w:rsidRPr="00EA1BB2" w:rsidRDefault="00375ED8" w:rsidP="00375ED8">
            <w:pPr>
              <w:jc w:val="both"/>
              <w:rPr>
                <w:rFonts w:ascii="Cambria" w:hAnsi="Cambria" w:cs="Times New Roman"/>
                <w:sz w:val="20"/>
                <w:szCs w:val="20"/>
                <w:lang w:val="ro-RO"/>
              </w:rPr>
            </w:pPr>
          </w:p>
        </w:tc>
        <w:tc>
          <w:tcPr>
            <w:tcW w:w="2699" w:type="dxa"/>
            <w:vMerge/>
          </w:tcPr>
          <w:p w14:paraId="6C55F2DA" w14:textId="77777777" w:rsidR="00375ED8" w:rsidRPr="00EA1BB2" w:rsidRDefault="00375ED8" w:rsidP="00375ED8">
            <w:pPr>
              <w:jc w:val="both"/>
              <w:rPr>
                <w:rFonts w:ascii="Cambria" w:hAnsi="Cambria" w:cs="Times New Roman"/>
                <w:bCs/>
                <w:sz w:val="20"/>
                <w:szCs w:val="20"/>
                <w:lang w:val="ro-RO"/>
              </w:rPr>
            </w:pPr>
          </w:p>
        </w:tc>
        <w:tc>
          <w:tcPr>
            <w:tcW w:w="3753" w:type="dxa"/>
          </w:tcPr>
          <w:p w14:paraId="3852757B"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Modernizare drumuri locale și străzi rurale în localitatea Vădeni</w:t>
            </w:r>
          </w:p>
          <w:p w14:paraId="4E71B2E5"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t>L= 1,2Km</w:t>
            </w:r>
          </w:p>
        </w:tc>
        <w:tc>
          <w:tcPr>
            <w:tcW w:w="1559" w:type="dxa"/>
          </w:tcPr>
          <w:p w14:paraId="7AE8D268"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Vădeni</w:t>
            </w:r>
          </w:p>
        </w:tc>
        <w:tc>
          <w:tcPr>
            <w:tcW w:w="1262" w:type="dxa"/>
          </w:tcPr>
          <w:p w14:paraId="50DCCA1B"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2018</w:t>
            </w:r>
          </w:p>
        </w:tc>
        <w:tc>
          <w:tcPr>
            <w:tcW w:w="1460" w:type="dxa"/>
          </w:tcPr>
          <w:p w14:paraId="41423E0F"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4.267.000</w:t>
            </w:r>
          </w:p>
        </w:tc>
        <w:tc>
          <w:tcPr>
            <w:tcW w:w="1599" w:type="dxa"/>
          </w:tcPr>
          <w:p w14:paraId="25538D88"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Bl+PNDL</w:t>
            </w:r>
          </w:p>
        </w:tc>
        <w:tc>
          <w:tcPr>
            <w:tcW w:w="1701" w:type="dxa"/>
          </w:tcPr>
          <w:p w14:paraId="11696A35"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11E94CF2" w14:textId="77777777" w:rsidTr="00A812FA">
        <w:trPr>
          <w:trHeight w:val="547"/>
          <w:jc w:val="center"/>
        </w:trPr>
        <w:tc>
          <w:tcPr>
            <w:tcW w:w="851" w:type="dxa"/>
            <w:vMerge/>
          </w:tcPr>
          <w:p w14:paraId="1998E7FE" w14:textId="77777777" w:rsidR="00375ED8" w:rsidRPr="00EA1BB2" w:rsidRDefault="00375ED8" w:rsidP="00375ED8">
            <w:pPr>
              <w:jc w:val="both"/>
              <w:rPr>
                <w:rFonts w:ascii="Cambria" w:hAnsi="Cambria" w:cs="Times New Roman"/>
                <w:sz w:val="20"/>
                <w:szCs w:val="20"/>
                <w:lang w:val="ro-RO"/>
              </w:rPr>
            </w:pPr>
          </w:p>
        </w:tc>
        <w:tc>
          <w:tcPr>
            <w:tcW w:w="2699" w:type="dxa"/>
            <w:vMerge/>
          </w:tcPr>
          <w:p w14:paraId="1A08BDAA" w14:textId="77777777" w:rsidR="00375ED8" w:rsidRPr="00EA1BB2" w:rsidRDefault="00375ED8" w:rsidP="00375ED8">
            <w:pPr>
              <w:jc w:val="both"/>
              <w:rPr>
                <w:rFonts w:ascii="Cambria" w:hAnsi="Cambria" w:cs="Times New Roman"/>
                <w:bCs/>
                <w:sz w:val="20"/>
                <w:szCs w:val="20"/>
                <w:lang w:val="ro-RO"/>
              </w:rPr>
            </w:pPr>
          </w:p>
        </w:tc>
        <w:tc>
          <w:tcPr>
            <w:tcW w:w="3753" w:type="dxa"/>
          </w:tcPr>
          <w:p w14:paraId="5C60D3AF"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Modernizare, asfaltare străzi rurale în loc. Mihai Bravu, com. Victoria</w:t>
            </w:r>
          </w:p>
          <w:p w14:paraId="09A5D1DF"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t>L= 5.273Km</w:t>
            </w:r>
          </w:p>
        </w:tc>
        <w:tc>
          <w:tcPr>
            <w:tcW w:w="1559" w:type="dxa"/>
          </w:tcPr>
          <w:p w14:paraId="3970FDB4"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Victoria</w:t>
            </w:r>
          </w:p>
        </w:tc>
        <w:tc>
          <w:tcPr>
            <w:tcW w:w="1262" w:type="dxa"/>
          </w:tcPr>
          <w:p w14:paraId="3EC1A3E1"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2020</w:t>
            </w:r>
          </w:p>
        </w:tc>
        <w:tc>
          <w:tcPr>
            <w:tcW w:w="1460" w:type="dxa"/>
          </w:tcPr>
          <w:p w14:paraId="25B8BF23"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3.974.317</w:t>
            </w:r>
          </w:p>
        </w:tc>
        <w:tc>
          <w:tcPr>
            <w:tcW w:w="1599" w:type="dxa"/>
          </w:tcPr>
          <w:p w14:paraId="3B8977BC"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BL+PNDL</w:t>
            </w:r>
          </w:p>
        </w:tc>
        <w:tc>
          <w:tcPr>
            <w:tcW w:w="1701" w:type="dxa"/>
          </w:tcPr>
          <w:p w14:paraId="23C32EDB"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2D9E24FF" w14:textId="77777777" w:rsidTr="00A812FA">
        <w:trPr>
          <w:trHeight w:val="569"/>
          <w:jc w:val="center"/>
        </w:trPr>
        <w:tc>
          <w:tcPr>
            <w:tcW w:w="851" w:type="dxa"/>
            <w:vMerge/>
          </w:tcPr>
          <w:p w14:paraId="3E399B08" w14:textId="77777777" w:rsidR="00375ED8" w:rsidRPr="00EA1BB2" w:rsidRDefault="00375ED8" w:rsidP="00375ED8">
            <w:pPr>
              <w:jc w:val="both"/>
              <w:rPr>
                <w:rFonts w:ascii="Cambria" w:hAnsi="Cambria" w:cs="Times New Roman"/>
                <w:sz w:val="20"/>
                <w:szCs w:val="20"/>
                <w:lang w:val="ro-RO"/>
              </w:rPr>
            </w:pPr>
          </w:p>
        </w:tc>
        <w:tc>
          <w:tcPr>
            <w:tcW w:w="2699" w:type="dxa"/>
            <w:vMerge/>
          </w:tcPr>
          <w:p w14:paraId="42FD67CF" w14:textId="77777777" w:rsidR="00375ED8" w:rsidRPr="00EA1BB2" w:rsidRDefault="00375ED8" w:rsidP="00375ED8">
            <w:pPr>
              <w:jc w:val="both"/>
              <w:rPr>
                <w:rFonts w:ascii="Cambria" w:hAnsi="Cambria" w:cs="Times New Roman"/>
                <w:bCs/>
                <w:sz w:val="20"/>
                <w:szCs w:val="20"/>
                <w:lang w:val="ro-RO"/>
              </w:rPr>
            </w:pPr>
          </w:p>
        </w:tc>
        <w:tc>
          <w:tcPr>
            <w:tcW w:w="3753" w:type="dxa"/>
          </w:tcPr>
          <w:p w14:paraId="0E844B3E"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Asfaltare și modernizare străzi în sat Viziru și Lanurile</w:t>
            </w:r>
          </w:p>
          <w:p w14:paraId="0447313D" w14:textId="77777777" w:rsidR="00375ED8" w:rsidRPr="00EA1BB2" w:rsidRDefault="00375ED8" w:rsidP="00375ED8">
            <w:pPr>
              <w:rPr>
                <w:rFonts w:ascii="Cambria" w:hAnsi="Cambria"/>
                <w:sz w:val="20"/>
                <w:szCs w:val="20"/>
                <w:lang w:val="ro-RO"/>
              </w:rPr>
            </w:pPr>
            <w:r w:rsidRPr="00EA1BB2">
              <w:rPr>
                <w:rFonts w:ascii="Cambria" w:hAnsi="Cambria" w:cs="Times New Roman"/>
                <w:sz w:val="20"/>
                <w:szCs w:val="20"/>
                <w:lang w:val="ro-RO"/>
              </w:rPr>
              <w:t>L= 17Km</w:t>
            </w:r>
          </w:p>
        </w:tc>
        <w:tc>
          <w:tcPr>
            <w:tcW w:w="1559" w:type="dxa"/>
          </w:tcPr>
          <w:p w14:paraId="3A38AEFA"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Viziru</w:t>
            </w:r>
          </w:p>
        </w:tc>
        <w:tc>
          <w:tcPr>
            <w:tcW w:w="1262" w:type="dxa"/>
          </w:tcPr>
          <w:p w14:paraId="2B9D810B"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2022</w:t>
            </w:r>
          </w:p>
        </w:tc>
        <w:tc>
          <w:tcPr>
            <w:tcW w:w="1460" w:type="dxa"/>
          </w:tcPr>
          <w:p w14:paraId="546C3CC4" w14:textId="77777777" w:rsidR="00375ED8" w:rsidRPr="00EA1BB2" w:rsidRDefault="00375ED8" w:rsidP="00375ED8">
            <w:pPr>
              <w:jc w:val="center"/>
              <w:rPr>
                <w:rFonts w:ascii="Cambria" w:hAnsi="Cambria"/>
                <w:sz w:val="20"/>
                <w:szCs w:val="20"/>
                <w:lang w:val="ro-RO"/>
              </w:rPr>
            </w:pPr>
            <w:r w:rsidRPr="00EA1BB2">
              <w:rPr>
                <w:rFonts w:ascii="Cambria" w:hAnsi="Cambria"/>
                <w:sz w:val="20"/>
                <w:szCs w:val="20"/>
                <w:lang w:val="ro-RO"/>
              </w:rPr>
              <w:t>1.350.000</w:t>
            </w:r>
          </w:p>
        </w:tc>
        <w:tc>
          <w:tcPr>
            <w:tcW w:w="1599" w:type="dxa"/>
          </w:tcPr>
          <w:p w14:paraId="576406C4"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BL+PNDL</w:t>
            </w:r>
          </w:p>
        </w:tc>
        <w:tc>
          <w:tcPr>
            <w:tcW w:w="1701" w:type="dxa"/>
          </w:tcPr>
          <w:p w14:paraId="336465B2"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km drum modernizat</w:t>
            </w:r>
          </w:p>
        </w:tc>
      </w:tr>
      <w:tr w:rsidR="00375ED8" w:rsidRPr="00EA1BB2" w14:paraId="7E573329" w14:textId="77777777" w:rsidTr="00A812FA">
        <w:trPr>
          <w:trHeight w:val="57"/>
          <w:jc w:val="center"/>
        </w:trPr>
        <w:tc>
          <w:tcPr>
            <w:tcW w:w="14884" w:type="dxa"/>
            <w:gridSpan w:val="8"/>
            <w:shd w:val="clear" w:color="auto" w:fill="FFC000"/>
          </w:tcPr>
          <w:p w14:paraId="26FE217B" w14:textId="77777777" w:rsidR="00375ED8" w:rsidRPr="00EA1BB2" w:rsidRDefault="00375ED8" w:rsidP="00375ED8">
            <w:pPr>
              <w:jc w:val="both"/>
              <w:rPr>
                <w:rFonts w:ascii="Cambria" w:hAnsi="Cambria" w:cs="Times New Roman"/>
                <w:b/>
                <w:sz w:val="24"/>
                <w:szCs w:val="20"/>
                <w:lang w:val="ro-RO"/>
              </w:rPr>
            </w:pPr>
            <w:r w:rsidRPr="00EA1BB2">
              <w:rPr>
                <w:rFonts w:ascii="Cambria" w:hAnsi="Cambria" w:cs="Times New Roman"/>
                <w:b/>
                <w:sz w:val="24"/>
                <w:szCs w:val="20"/>
                <w:lang w:val="ro-RO"/>
              </w:rPr>
              <w:t xml:space="preserve">SURSE DE SUPRAFAȚĂ </w:t>
            </w:r>
          </w:p>
        </w:tc>
      </w:tr>
      <w:tr w:rsidR="00375ED8" w:rsidRPr="00EA1BB2" w14:paraId="7CE63C61" w14:textId="77777777" w:rsidTr="00A812FA">
        <w:trPr>
          <w:trHeight w:val="57"/>
          <w:jc w:val="center"/>
        </w:trPr>
        <w:tc>
          <w:tcPr>
            <w:tcW w:w="851" w:type="dxa"/>
            <w:vMerge w:val="restart"/>
          </w:tcPr>
          <w:p w14:paraId="7252B709"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 xml:space="preserve">M.2.1. </w:t>
            </w:r>
          </w:p>
        </w:tc>
        <w:tc>
          <w:tcPr>
            <w:tcW w:w="2699" w:type="dxa"/>
            <w:vMerge w:val="restart"/>
          </w:tcPr>
          <w:p w14:paraId="6A44B9F2" w14:textId="77777777" w:rsidR="00375ED8" w:rsidRPr="00EA1BB2" w:rsidRDefault="00375ED8" w:rsidP="00375ED8">
            <w:pPr>
              <w:jc w:val="both"/>
              <w:rPr>
                <w:rFonts w:ascii="Cambria" w:hAnsi="Cambria" w:cs="Times New Roman"/>
                <w:bCs/>
                <w:sz w:val="20"/>
                <w:szCs w:val="20"/>
                <w:lang w:val="ro-RO"/>
              </w:rPr>
            </w:pPr>
            <w:r w:rsidRPr="00EA1BB2">
              <w:rPr>
                <w:rFonts w:ascii="Cambria" w:hAnsi="Cambria" w:cs="Times New Roman"/>
                <w:bCs/>
                <w:sz w:val="20"/>
                <w:szCs w:val="20"/>
                <w:lang w:val="ro-RO"/>
              </w:rPr>
              <w:t>Amenajarea spațiilor verzi în intravilanul localităților din județul Brăila</w:t>
            </w:r>
          </w:p>
        </w:tc>
        <w:tc>
          <w:tcPr>
            <w:tcW w:w="3753" w:type="dxa"/>
          </w:tcPr>
          <w:p w14:paraId="699E657C"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Amenajare spatii de recreere și activități sportive în localitatea Cazasu.</w:t>
            </w:r>
          </w:p>
          <w:p w14:paraId="7CA82773"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Suprafață amenajată S=0,36ha</w:t>
            </w:r>
          </w:p>
        </w:tc>
        <w:tc>
          <w:tcPr>
            <w:tcW w:w="1559" w:type="dxa"/>
          </w:tcPr>
          <w:p w14:paraId="59FE6C13"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Cazasu</w:t>
            </w:r>
          </w:p>
        </w:tc>
        <w:tc>
          <w:tcPr>
            <w:tcW w:w="1262" w:type="dxa"/>
          </w:tcPr>
          <w:p w14:paraId="1084F424"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2019</w:t>
            </w:r>
          </w:p>
        </w:tc>
        <w:tc>
          <w:tcPr>
            <w:tcW w:w="1460" w:type="dxa"/>
          </w:tcPr>
          <w:p w14:paraId="5796B762"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300.000</w:t>
            </w:r>
          </w:p>
        </w:tc>
        <w:tc>
          <w:tcPr>
            <w:tcW w:w="1599" w:type="dxa"/>
          </w:tcPr>
          <w:p w14:paraId="4C060E2E"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w:t>
            </w:r>
          </w:p>
        </w:tc>
        <w:tc>
          <w:tcPr>
            <w:tcW w:w="1701" w:type="dxa"/>
          </w:tcPr>
          <w:p w14:paraId="1F5AE3EA"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 xml:space="preserve">Suprafață amenajată </w:t>
            </w:r>
          </w:p>
        </w:tc>
      </w:tr>
      <w:tr w:rsidR="00375ED8" w:rsidRPr="00EA1BB2" w14:paraId="69A1AF83" w14:textId="77777777" w:rsidTr="00A812FA">
        <w:trPr>
          <w:trHeight w:val="57"/>
          <w:jc w:val="center"/>
        </w:trPr>
        <w:tc>
          <w:tcPr>
            <w:tcW w:w="851" w:type="dxa"/>
            <w:vMerge/>
          </w:tcPr>
          <w:p w14:paraId="27A7542B" w14:textId="77777777" w:rsidR="00375ED8" w:rsidRPr="00EA1BB2" w:rsidRDefault="00375ED8" w:rsidP="00375ED8">
            <w:pPr>
              <w:jc w:val="both"/>
              <w:rPr>
                <w:rFonts w:ascii="Cambria" w:hAnsi="Cambria" w:cs="Times New Roman"/>
                <w:sz w:val="20"/>
                <w:szCs w:val="20"/>
                <w:lang w:val="ro-RO"/>
              </w:rPr>
            </w:pPr>
          </w:p>
        </w:tc>
        <w:tc>
          <w:tcPr>
            <w:tcW w:w="2699" w:type="dxa"/>
            <w:vMerge/>
          </w:tcPr>
          <w:p w14:paraId="5954C412" w14:textId="77777777" w:rsidR="00375ED8" w:rsidRPr="00EA1BB2" w:rsidRDefault="00375ED8" w:rsidP="00375ED8">
            <w:pPr>
              <w:jc w:val="both"/>
              <w:rPr>
                <w:rFonts w:ascii="Cambria" w:hAnsi="Cambria" w:cs="Times New Roman"/>
                <w:bCs/>
                <w:sz w:val="20"/>
                <w:szCs w:val="20"/>
                <w:lang w:val="ro-RO"/>
              </w:rPr>
            </w:pPr>
          </w:p>
        </w:tc>
        <w:tc>
          <w:tcPr>
            <w:tcW w:w="3753" w:type="dxa"/>
          </w:tcPr>
          <w:p w14:paraId="23F2C733"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Înființare parc și spații verzi în com. Jirlau Suprafață amenajată S=1,00ha</w:t>
            </w:r>
          </w:p>
        </w:tc>
        <w:tc>
          <w:tcPr>
            <w:tcW w:w="1559" w:type="dxa"/>
          </w:tcPr>
          <w:p w14:paraId="33D0AF24"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Jirlau</w:t>
            </w:r>
          </w:p>
        </w:tc>
        <w:tc>
          <w:tcPr>
            <w:tcW w:w="1262" w:type="dxa"/>
          </w:tcPr>
          <w:p w14:paraId="67DBDA15"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2022</w:t>
            </w:r>
          </w:p>
        </w:tc>
        <w:tc>
          <w:tcPr>
            <w:tcW w:w="1460" w:type="dxa"/>
          </w:tcPr>
          <w:p w14:paraId="784A47F1"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900.000</w:t>
            </w:r>
          </w:p>
        </w:tc>
        <w:tc>
          <w:tcPr>
            <w:tcW w:w="1599" w:type="dxa"/>
          </w:tcPr>
          <w:p w14:paraId="54B6F378"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BL+CJ</w:t>
            </w:r>
          </w:p>
        </w:tc>
        <w:tc>
          <w:tcPr>
            <w:tcW w:w="1701" w:type="dxa"/>
          </w:tcPr>
          <w:p w14:paraId="09A71372"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 xml:space="preserve">Suprafață amenajată </w:t>
            </w:r>
          </w:p>
        </w:tc>
      </w:tr>
      <w:tr w:rsidR="00375ED8" w:rsidRPr="00EA1BB2" w14:paraId="51491E52" w14:textId="77777777" w:rsidTr="00A812FA">
        <w:trPr>
          <w:trHeight w:val="57"/>
          <w:jc w:val="center"/>
        </w:trPr>
        <w:tc>
          <w:tcPr>
            <w:tcW w:w="851" w:type="dxa"/>
            <w:vMerge/>
          </w:tcPr>
          <w:p w14:paraId="7AD73025" w14:textId="77777777" w:rsidR="00375ED8" w:rsidRPr="00EA1BB2" w:rsidRDefault="00375ED8" w:rsidP="00375ED8">
            <w:pPr>
              <w:jc w:val="both"/>
              <w:rPr>
                <w:rFonts w:ascii="Cambria" w:hAnsi="Cambria" w:cs="Times New Roman"/>
                <w:sz w:val="20"/>
                <w:szCs w:val="20"/>
                <w:lang w:val="ro-RO"/>
              </w:rPr>
            </w:pPr>
          </w:p>
        </w:tc>
        <w:tc>
          <w:tcPr>
            <w:tcW w:w="2699" w:type="dxa"/>
            <w:vMerge/>
          </w:tcPr>
          <w:p w14:paraId="2C5EE970" w14:textId="77777777" w:rsidR="00375ED8" w:rsidRPr="00EA1BB2" w:rsidRDefault="00375ED8" w:rsidP="00375ED8">
            <w:pPr>
              <w:jc w:val="both"/>
              <w:rPr>
                <w:rFonts w:ascii="Cambria" w:hAnsi="Cambria" w:cs="Times New Roman"/>
                <w:bCs/>
                <w:sz w:val="20"/>
                <w:szCs w:val="20"/>
                <w:lang w:val="ro-RO"/>
              </w:rPr>
            </w:pPr>
          </w:p>
        </w:tc>
        <w:tc>
          <w:tcPr>
            <w:tcW w:w="3753" w:type="dxa"/>
          </w:tcPr>
          <w:p w14:paraId="502E3A0A"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Înființare parc în Măxineni și Corbu Nou.</w:t>
            </w:r>
          </w:p>
          <w:p w14:paraId="18756EFF"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Suprafață amenajată S= 2ha (1+1)</w:t>
            </w:r>
          </w:p>
        </w:tc>
        <w:tc>
          <w:tcPr>
            <w:tcW w:w="1559" w:type="dxa"/>
          </w:tcPr>
          <w:p w14:paraId="6C2FEC8C"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 xml:space="preserve">Primarul localității </w:t>
            </w:r>
            <w:r w:rsidRPr="00EA1BB2">
              <w:rPr>
                <w:rFonts w:ascii="Cambria" w:hAnsi="Cambria" w:cs="Times New Roman"/>
                <w:sz w:val="20"/>
                <w:szCs w:val="20"/>
                <w:lang w:val="ro-RO"/>
              </w:rPr>
              <w:lastRenderedPageBreak/>
              <w:t>Măxineni</w:t>
            </w:r>
          </w:p>
        </w:tc>
        <w:tc>
          <w:tcPr>
            <w:tcW w:w="1262" w:type="dxa"/>
          </w:tcPr>
          <w:p w14:paraId="0592B4BE"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lastRenderedPageBreak/>
              <w:t>2020</w:t>
            </w:r>
          </w:p>
        </w:tc>
        <w:tc>
          <w:tcPr>
            <w:tcW w:w="1460" w:type="dxa"/>
          </w:tcPr>
          <w:p w14:paraId="682C967E"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950.000</w:t>
            </w:r>
          </w:p>
        </w:tc>
        <w:tc>
          <w:tcPr>
            <w:tcW w:w="1599" w:type="dxa"/>
          </w:tcPr>
          <w:p w14:paraId="119645D4"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w:t>
            </w:r>
          </w:p>
        </w:tc>
        <w:tc>
          <w:tcPr>
            <w:tcW w:w="1701" w:type="dxa"/>
          </w:tcPr>
          <w:p w14:paraId="4D0198A0"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Suprafață amenajată</w:t>
            </w:r>
          </w:p>
        </w:tc>
      </w:tr>
      <w:tr w:rsidR="00375ED8" w:rsidRPr="00EA1BB2" w14:paraId="4FE5F03D" w14:textId="77777777" w:rsidTr="00A812FA">
        <w:trPr>
          <w:trHeight w:val="525"/>
          <w:jc w:val="center"/>
        </w:trPr>
        <w:tc>
          <w:tcPr>
            <w:tcW w:w="851" w:type="dxa"/>
            <w:vMerge/>
          </w:tcPr>
          <w:p w14:paraId="7D1D14B7" w14:textId="77777777" w:rsidR="00375ED8" w:rsidRPr="00EA1BB2" w:rsidRDefault="00375ED8" w:rsidP="00375ED8">
            <w:pPr>
              <w:jc w:val="both"/>
              <w:rPr>
                <w:rFonts w:ascii="Cambria" w:hAnsi="Cambria" w:cs="Times New Roman"/>
                <w:sz w:val="20"/>
                <w:szCs w:val="20"/>
                <w:lang w:val="ro-RO"/>
              </w:rPr>
            </w:pPr>
          </w:p>
        </w:tc>
        <w:tc>
          <w:tcPr>
            <w:tcW w:w="2699" w:type="dxa"/>
            <w:vMerge/>
          </w:tcPr>
          <w:p w14:paraId="5FB0A405" w14:textId="77777777" w:rsidR="00375ED8" w:rsidRPr="00EA1BB2" w:rsidRDefault="00375ED8" w:rsidP="00375ED8">
            <w:pPr>
              <w:jc w:val="both"/>
              <w:rPr>
                <w:rFonts w:ascii="Cambria" w:hAnsi="Cambria" w:cs="Times New Roman"/>
                <w:bCs/>
                <w:sz w:val="20"/>
                <w:szCs w:val="20"/>
                <w:lang w:val="ro-RO"/>
              </w:rPr>
            </w:pPr>
          </w:p>
        </w:tc>
        <w:tc>
          <w:tcPr>
            <w:tcW w:w="3753" w:type="dxa"/>
          </w:tcPr>
          <w:p w14:paraId="16913141"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Amenajare parc agrement în sat Filipești.</w:t>
            </w:r>
          </w:p>
          <w:p w14:paraId="5B1B517E"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Suprafață amenajată S=0,2ha</w:t>
            </w:r>
          </w:p>
        </w:tc>
        <w:tc>
          <w:tcPr>
            <w:tcW w:w="1559" w:type="dxa"/>
          </w:tcPr>
          <w:p w14:paraId="42124888"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Surdila-Găiseanca</w:t>
            </w:r>
          </w:p>
        </w:tc>
        <w:tc>
          <w:tcPr>
            <w:tcW w:w="1262" w:type="dxa"/>
          </w:tcPr>
          <w:p w14:paraId="5275699D"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2018</w:t>
            </w:r>
          </w:p>
        </w:tc>
        <w:tc>
          <w:tcPr>
            <w:tcW w:w="1460" w:type="dxa"/>
          </w:tcPr>
          <w:p w14:paraId="7D618E90"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1.512.000</w:t>
            </w:r>
          </w:p>
        </w:tc>
        <w:tc>
          <w:tcPr>
            <w:tcW w:w="1599" w:type="dxa"/>
          </w:tcPr>
          <w:p w14:paraId="22A7250C"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w:t>
            </w:r>
          </w:p>
        </w:tc>
        <w:tc>
          <w:tcPr>
            <w:tcW w:w="1701" w:type="dxa"/>
          </w:tcPr>
          <w:p w14:paraId="01450538"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Suprafață amenajată</w:t>
            </w:r>
          </w:p>
        </w:tc>
      </w:tr>
      <w:tr w:rsidR="00375ED8" w:rsidRPr="00EA1BB2" w14:paraId="4E821F84" w14:textId="77777777" w:rsidTr="00A812FA">
        <w:trPr>
          <w:trHeight w:val="676"/>
          <w:jc w:val="center"/>
        </w:trPr>
        <w:tc>
          <w:tcPr>
            <w:tcW w:w="851" w:type="dxa"/>
            <w:vMerge/>
          </w:tcPr>
          <w:p w14:paraId="433E2529" w14:textId="77777777" w:rsidR="00375ED8" w:rsidRPr="00EA1BB2" w:rsidRDefault="00375ED8" w:rsidP="00375ED8">
            <w:pPr>
              <w:jc w:val="both"/>
              <w:rPr>
                <w:rFonts w:ascii="Cambria" w:hAnsi="Cambria" w:cs="Times New Roman"/>
                <w:sz w:val="20"/>
                <w:szCs w:val="20"/>
                <w:lang w:val="ro-RO"/>
              </w:rPr>
            </w:pPr>
          </w:p>
        </w:tc>
        <w:tc>
          <w:tcPr>
            <w:tcW w:w="2699" w:type="dxa"/>
            <w:vMerge/>
          </w:tcPr>
          <w:p w14:paraId="42246266" w14:textId="77777777" w:rsidR="00375ED8" w:rsidRPr="00EA1BB2" w:rsidRDefault="00375ED8" w:rsidP="00375ED8">
            <w:pPr>
              <w:jc w:val="both"/>
              <w:rPr>
                <w:rFonts w:ascii="Cambria" w:hAnsi="Cambria" w:cs="Times New Roman"/>
                <w:bCs/>
                <w:sz w:val="20"/>
                <w:szCs w:val="20"/>
                <w:lang w:val="ro-RO"/>
              </w:rPr>
            </w:pPr>
          </w:p>
        </w:tc>
        <w:tc>
          <w:tcPr>
            <w:tcW w:w="3753" w:type="dxa"/>
          </w:tcPr>
          <w:p w14:paraId="08DFA7FE"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Amenajare teren sport (gazon natural), sat Romanu. Suprafață teren fotbal =0,1ha</w:t>
            </w:r>
          </w:p>
        </w:tc>
        <w:tc>
          <w:tcPr>
            <w:tcW w:w="1559" w:type="dxa"/>
          </w:tcPr>
          <w:p w14:paraId="073C72F3"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Romanu</w:t>
            </w:r>
          </w:p>
        </w:tc>
        <w:tc>
          <w:tcPr>
            <w:tcW w:w="1262" w:type="dxa"/>
          </w:tcPr>
          <w:p w14:paraId="3512862E"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2018</w:t>
            </w:r>
          </w:p>
        </w:tc>
        <w:tc>
          <w:tcPr>
            <w:tcW w:w="1460" w:type="dxa"/>
          </w:tcPr>
          <w:p w14:paraId="22B26B81"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500.000</w:t>
            </w:r>
          </w:p>
        </w:tc>
        <w:tc>
          <w:tcPr>
            <w:tcW w:w="1599" w:type="dxa"/>
          </w:tcPr>
          <w:p w14:paraId="31D2F0B5"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BL+CJ</w:t>
            </w:r>
          </w:p>
        </w:tc>
        <w:tc>
          <w:tcPr>
            <w:tcW w:w="1701" w:type="dxa"/>
          </w:tcPr>
          <w:p w14:paraId="0469161E"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 xml:space="preserve">Suprafață teren fotbal </w:t>
            </w:r>
          </w:p>
        </w:tc>
      </w:tr>
      <w:tr w:rsidR="00375ED8" w:rsidRPr="00EA1BB2" w14:paraId="6193AACA" w14:textId="77777777" w:rsidTr="00A812FA">
        <w:trPr>
          <w:trHeight w:val="577"/>
          <w:jc w:val="center"/>
        </w:trPr>
        <w:tc>
          <w:tcPr>
            <w:tcW w:w="851" w:type="dxa"/>
            <w:vMerge/>
          </w:tcPr>
          <w:p w14:paraId="70FFE1A4" w14:textId="77777777" w:rsidR="00375ED8" w:rsidRPr="00EA1BB2" w:rsidRDefault="00375ED8" w:rsidP="00375ED8">
            <w:pPr>
              <w:jc w:val="both"/>
              <w:rPr>
                <w:rFonts w:ascii="Cambria" w:hAnsi="Cambria" w:cs="Times New Roman"/>
                <w:sz w:val="20"/>
                <w:szCs w:val="20"/>
                <w:lang w:val="ro-RO"/>
              </w:rPr>
            </w:pPr>
          </w:p>
        </w:tc>
        <w:tc>
          <w:tcPr>
            <w:tcW w:w="2699" w:type="dxa"/>
            <w:vMerge/>
          </w:tcPr>
          <w:p w14:paraId="238056DA" w14:textId="77777777" w:rsidR="00375ED8" w:rsidRPr="00EA1BB2" w:rsidRDefault="00375ED8" w:rsidP="00375ED8">
            <w:pPr>
              <w:jc w:val="both"/>
              <w:rPr>
                <w:rFonts w:ascii="Cambria" w:hAnsi="Cambria" w:cs="Times New Roman"/>
                <w:bCs/>
                <w:sz w:val="20"/>
                <w:szCs w:val="20"/>
                <w:lang w:val="ro-RO"/>
              </w:rPr>
            </w:pPr>
          </w:p>
        </w:tc>
        <w:tc>
          <w:tcPr>
            <w:tcW w:w="3753" w:type="dxa"/>
          </w:tcPr>
          <w:p w14:paraId="0D90AFDB"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Sistematizare centru civic în S. Greci (amenajare parc, plantat gazon pe terenul de fotbal).</w:t>
            </w:r>
          </w:p>
          <w:p w14:paraId="02B7230E"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Sparc central =0,77ha</w:t>
            </w:r>
          </w:p>
          <w:p w14:paraId="46C86FEE"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S teren fotbal =0,1ha</w:t>
            </w:r>
          </w:p>
        </w:tc>
        <w:tc>
          <w:tcPr>
            <w:tcW w:w="1559" w:type="dxa"/>
          </w:tcPr>
          <w:p w14:paraId="127ADEE0"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Surdila-Greci</w:t>
            </w:r>
          </w:p>
        </w:tc>
        <w:tc>
          <w:tcPr>
            <w:tcW w:w="1262" w:type="dxa"/>
          </w:tcPr>
          <w:p w14:paraId="0EC4E097"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2018</w:t>
            </w:r>
          </w:p>
        </w:tc>
        <w:tc>
          <w:tcPr>
            <w:tcW w:w="1460" w:type="dxa"/>
          </w:tcPr>
          <w:p w14:paraId="31E8B096"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1.054.240</w:t>
            </w:r>
          </w:p>
        </w:tc>
        <w:tc>
          <w:tcPr>
            <w:tcW w:w="1599" w:type="dxa"/>
          </w:tcPr>
          <w:p w14:paraId="46CB3904"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BL+CJ</w:t>
            </w:r>
          </w:p>
        </w:tc>
        <w:tc>
          <w:tcPr>
            <w:tcW w:w="1701" w:type="dxa"/>
          </w:tcPr>
          <w:p w14:paraId="7D573613"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Suprafață parc central</w:t>
            </w:r>
          </w:p>
          <w:p w14:paraId="15C27F20"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 xml:space="preserve">Suprafață teren fotbal </w:t>
            </w:r>
          </w:p>
        </w:tc>
      </w:tr>
      <w:tr w:rsidR="00375ED8" w:rsidRPr="00EA1BB2" w14:paraId="6F744E81" w14:textId="77777777" w:rsidTr="00A812FA">
        <w:trPr>
          <w:trHeight w:val="587"/>
          <w:jc w:val="center"/>
        </w:trPr>
        <w:tc>
          <w:tcPr>
            <w:tcW w:w="851" w:type="dxa"/>
            <w:vMerge/>
          </w:tcPr>
          <w:p w14:paraId="790C021D" w14:textId="77777777" w:rsidR="00375ED8" w:rsidRPr="00EA1BB2" w:rsidRDefault="00375ED8" w:rsidP="00375ED8">
            <w:pPr>
              <w:jc w:val="both"/>
              <w:rPr>
                <w:rFonts w:ascii="Cambria" w:hAnsi="Cambria" w:cs="Times New Roman"/>
                <w:sz w:val="20"/>
                <w:szCs w:val="20"/>
                <w:lang w:val="ro-RO"/>
              </w:rPr>
            </w:pPr>
          </w:p>
        </w:tc>
        <w:tc>
          <w:tcPr>
            <w:tcW w:w="2699" w:type="dxa"/>
            <w:vMerge/>
          </w:tcPr>
          <w:p w14:paraId="5CBA009A" w14:textId="77777777" w:rsidR="00375ED8" w:rsidRPr="00EA1BB2" w:rsidRDefault="00375ED8" w:rsidP="00375ED8">
            <w:pPr>
              <w:jc w:val="both"/>
              <w:rPr>
                <w:rFonts w:ascii="Cambria" w:hAnsi="Cambria" w:cs="Times New Roman"/>
                <w:bCs/>
                <w:sz w:val="20"/>
                <w:szCs w:val="20"/>
                <w:lang w:val="ro-RO"/>
              </w:rPr>
            </w:pPr>
          </w:p>
        </w:tc>
        <w:tc>
          <w:tcPr>
            <w:tcW w:w="3753" w:type="dxa"/>
          </w:tcPr>
          <w:p w14:paraId="66B60DB4"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Reconstrucție ecologică forestieră pe terenuri degradate, com. Unirea</w:t>
            </w:r>
          </w:p>
          <w:p w14:paraId="71389299"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t>S=3ha (salcâm)</w:t>
            </w:r>
          </w:p>
        </w:tc>
        <w:tc>
          <w:tcPr>
            <w:tcW w:w="1559" w:type="dxa"/>
          </w:tcPr>
          <w:p w14:paraId="225CDA1D"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Unirea</w:t>
            </w:r>
          </w:p>
        </w:tc>
        <w:tc>
          <w:tcPr>
            <w:tcW w:w="1262" w:type="dxa"/>
          </w:tcPr>
          <w:p w14:paraId="5F285EFA"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2020</w:t>
            </w:r>
          </w:p>
        </w:tc>
        <w:tc>
          <w:tcPr>
            <w:tcW w:w="1460" w:type="dxa"/>
          </w:tcPr>
          <w:p w14:paraId="2AD091DC"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70.000</w:t>
            </w:r>
          </w:p>
        </w:tc>
        <w:tc>
          <w:tcPr>
            <w:tcW w:w="1599" w:type="dxa"/>
          </w:tcPr>
          <w:p w14:paraId="1E787420"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w:t>
            </w:r>
          </w:p>
        </w:tc>
        <w:tc>
          <w:tcPr>
            <w:tcW w:w="1701" w:type="dxa"/>
          </w:tcPr>
          <w:p w14:paraId="0E0BA2E1"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Suprafață amenajată</w:t>
            </w:r>
          </w:p>
        </w:tc>
      </w:tr>
      <w:tr w:rsidR="00375ED8" w:rsidRPr="00EA1BB2" w14:paraId="64D49F88" w14:textId="77777777" w:rsidTr="00A812FA">
        <w:trPr>
          <w:trHeight w:val="728"/>
          <w:jc w:val="center"/>
        </w:trPr>
        <w:tc>
          <w:tcPr>
            <w:tcW w:w="851" w:type="dxa"/>
            <w:vMerge/>
          </w:tcPr>
          <w:p w14:paraId="5BF4909D" w14:textId="77777777" w:rsidR="00375ED8" w:rsidRPr="00EA1BB2" w:rsidRDefault="00375ED8" w:rsidP="00375ED8">
            <w:pPr>
              <w:jc w:val="both"/>
              <w:rPr>
                <w:rFonts w:ascii="Cambria" w:hAnsi="Cambria" w:cs="Times New Roman"/>
                <w:sz w:val="20"/>
                <w:szCs w:val="20"/>
                <w:lang w:val="ro-RO"/>
              </w:rPr>
            </w:pPr>
          </w:p>
        </w:tc>
        <w:tc>
          <w:tcPr>
            <w:tcW w:w="2699" w:type="dxa"/>
            <w:vMerge/>
          </w:tcPr>
          <w:p w14:paraId="505CCAA6" w14:textId="77777777" w:rsidR="00375ED8" w:rsidRPr="00EA1BB2" w:rsidRDefault="00375ED8" w:rsidP="00375ED8">
            <w:pPr>
              <w:jc w:val="both"/>
              <w:rPr>
                <w:rFonts w:ascii="Cambria" w:hAnsi="Cambria" w:cs="Times New Roman"/>
                <w:bCs/>
                <w:sz w:val="20"/>
                <w:szCs w:val="20"/>
                <w:lang w:val="ro-RO"/>
              </w:rPr>
            </w:pPr>
          </w:p>
        </w:tc>
        <w:tc>
          <w:tcPr>
            <w:tcW w:w="3753" w:type="dxa"/>
          </w:tcPr>
          <w:p w14:paraId="12D72690"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Amenajare parc de joacă și recreere în sat Vădeni.</w:t>
            </w:r>
          </w:p>
          <w:p w14:paraId="62EF1723"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t>Suprafață amenajată spații verzi S=1,55ha</w:t>
            </w:r>
          </w:p>
        </w:tc>
        <w:tc>
          <w:tcPr>
            <w:tcW w:w="1559" w:type="dxa"/>
          </w:tcPr>
          <w:p w14:paraId="095775BB"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Vădeni</w:t>
            </w:r>
          </w:p>
        </w:tc>
        <w:tc>
          <w:tcPr>
            <w:tcW w:w="1262" w:type="dxa"/>
          </w:tcPr>
          <w:p w14:paraId="7B4C3C81"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2018</w:t>
            </w:r>
          </w:p>
        </w:tc>
        <w:tc>
          <w:tcPr>
            <w:tcW w:w="1460" w:type="dxa"/>
          </w:tcPr>
          <w:p w14:paraId="36BA1C32"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400.000</w:t>
            </w:r>
          </w:p>
        </w:tc>
        <w:tc>
          <w:tcPr>
            <w:tcW w:w="1599" w:type="dxa"/>
          </w:tcPr>
          <w:p w14:paraId="1CD88368"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w:t>
            </w:r>
          </w:p>
        </w:tc>
        <w:tc>
          <w:tcPr>
            <w:tcW w:w="1701" w:type="dxa"/>
          </w:tcPr>
          <w:p w14:paraId="3935ED12"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Suprafață amenajată spații verzi</w:t>
            </w:r>
          </w:p>
        </w:tc>
      </w:tr>
      <w:tr w:rsidR="00375ED8" w:rsidRPr="00EA1BB2" w14:paraId="2B3B8C71" w14:textId="77777777" w:rsidTr="00A812FA">
        <w:trPr>
          <w:trHeight w:val="426"/>
          <w:jc w:val="center"/>
        </w:trPr>
        <w:tc>
          <w:tcPr>
            <w:tcW w:w="851" w:type="dxa"/>
            <w:vMerge/>
          </w:tcPr>
          <w:p w14:paraId="4BF915FF" w14:textId="77777777" w:rsidR="00375ED8" w:rsidRPr="00EA1BB2" w:rsidRDefault="00375ED8" w:rsidP="00375ED8">
            <w:pPr>
              <w:jc w:val="both"/>
              <w:rPr>
                <w:rFonts w:ascii="Cambria" w:hAnsi="Cambria" w:cs="Times New Roman"/>
                <w:sz w:val="20"/>
                <w:szCs w:val="20"/>
                <w:lang w:val="ro-RO"/>
              </w:rPr>
            </w:pPr>
          </w:p>
        </w:tc>
        <w:tc>
          <w:tcPr>
            <w:tcW w:w="2699" w:type="dxa"/>
            <w:vMerge/>
          </w:tcPr>
          <w:p w14:paraId="2DCDBF90" w14:textId="77777777" w:rsidR="00375ED8" w:rsidRPr="00EA1BB2" w:rsidRDefault="00375ED8" w:rsidP="00375ED8">
            <w:pPr>
              <w:jc w:val="both"/>
              <w:rPr>
                <w:rFonts w:ascii="Cambria" w:hAnsi="Cambria" w:cs="Times New Roman"/>
                <w:bCs/>
                <w:sz w:val="20"/>
                <w:szCs w:val="20"/>
                <w:lang w:val="ro-RO"/>
              </w:rPr>
            </w:pPr>
          </w:p>
        </w:tc>
        <w:tc>
          <w:tcPr>
            <w:tcW w:w="3753" w:type="dxa"/>
            <w:tcBorders>
              <w:bottom w:val="single" w:sz="4" w:space="0" w:color="auto"/>
            </w:tcBorders>
          </w:tcPr>
          <w:p w14:paraId="493ACEAE"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Elaborare registru spații verzi</w:t>
            </w:r>
          </w:p>
        </w:tc>
        <w:tc>
          <w:tcPr>
            <w:tcW w:w="1559" w:type="dxa"/>
            <w:tcBorders>
              <w:bottom w:val="single" w:sz="4" w:space="0" w:color="auto"/>
            </w:tcBorders>
          </w:tcPr>
          <w:p w14:paraId="7017BB1B"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Vișani</w:t>
            </w:r>
          </w:p>
        </w:tc>
        <w:tc>
          <w:tcPr>
            <w:tcW w:w="1262" w:type="dxa"/>
            <w:tcBorders>
              <w:bottom w:val="single" w:sz="4" w:space="0" w:color="auto"/>
            </w:tcBorders>
          </w:tcPr>
          <w:p w14:paraId="5971E91A"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2018</w:t>
            </w:r>
          </w:p>
        </w:tc>
        <w:tc>
          <w:tcPr>
            <w:tcW w:w="1460" w:type="dxa"/>
            <w:tcBorders>
              <w:bottom w:val="single" w:sz="4" w:space="0" w:color="auto"/>
            </w:tcBorders>
          </w:tcPr>
          <w:p w14:paraId="020872AD"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10.000</w:t>
            </w:r>
          </w:p>
          <w:p w14:paraId="1923FD5D" w14:textId="77777777" w:rsidR="00375ED8" w:rsidRPr="00EA1BB2" w:rsidRDefault="00375ED8" w:rsidP="00375ED8">
            <w:pPr>
              <w:jc w:val="center"/>
              <w:rPr>
                <w:rFonts w:ascii="Cambria" w:hAnsi="Cambria" w:cs="Times New Roman"/>
                <w:sz w:val="20"/>
                <w:szCs w:val="20"/>
                <w:lang w:val="ro-RO"/>
              </w:rPr>
            </w:pPr>
          </w:p>
        </w:tc>
        <w:tc>
          <w:tcPr>
            <w:tcW w:w="1599" w:type="dxa"/>
            <w:tcBorders>
              <w:bottom w:val="single" w:sz="4" w:space="0" w:color="auto"/>
            </w:tcBorders>
          </w:tcPr>
          <w:p w14:paraId="14BB9A34"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w:t>
            </w:r>
          </w:p>
        </w:tc>
        <w:tc>
          <w:tcPr>
            <w:tcW w:w="1701" w:type="dxa"/>
            <w:tcBorders>
              <w:bottom w:val="single" w:sz="4" w:space="0" w:color="auto"/>
            </w:tcBorders>
          </w:tcPr>
          <w:p w14:paraId="7C1776F5"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Realizat / Nerealizat</w:t>
            </w:r>
          </w:p>
        </w:tc>
      </w:tr>
      <w:tr w:rsidR="00375ED8" w:rsidRPr="00EA1BB2" w14:paraId="5818931F" w14:textId="77777777" w:rsidTr="00A812FA">
        <w:trPr>
          <w:trHeight w:val="1222"/>
          <w:jc w:val="center"/>
        </w:trPr>
        <w:tc>
          <w:tcPr>
            <w:tcW w:w="851" w:type="dxa"/>
            <w:vMerge/>
          </w:tcPr>
          <w:p w14:paraId="26879335" w14:textId="77777777" w:rsidR="00375ED8" w:rsidRPr="00EA1BB2" w:rsidRDefault="00375ED8" w:rsidP="00375ED8">
            <w:pPr>
              <w:jc w:val="both"/>
              <w:rPr>
                <w:rFonts w:ascii="Cambria" w:hAnsi="Cambria" w:cs="Times New Roman"/>
                <w:sz w:val="20"/>
                <w:szCs w:val="20"/>
                <w:lang w:val="ro-RO"/>
              </w:rPr>
            </w:pPr>
          </w:p>
        </w:tc>
        <w:tc>
          <w:tcPr>
            <w:tcW w:w="2699" w:type="dxa"/>
            <w:vMerge/>
          </w:tcPr>
          <w:p w14:paraId="3A272F06" w14:textId="77777777" w:rsidR="00375ED8" w:rsidRPr="00EA1BB2" w:rsidRDefault="00375ED8" w:rsidP="00375ED8">
            <w:pPr>
              <w:jc w:val="both"/>
              <w:rPr>
                <w:rFonts w:ascii="Cambria" w:hAnsi="Cambria" w:cs="Times New Roman"/>
                <w:bCs/>
                <w:sz w:val="20"/>
                <w:szCs w:val="20"/>
                <w:lang w:val="ro-RO"/>
              </w:rPr>
            </w:pPr>
          </w:p>
        </w:tc>
        <w:tc>
          <w:tcPr>
            <w:tcW w:w="3753" w:type="dxa"/>
            <w:tcBorders>
              <w:bottom w:val="single" w:sz="4" w:space="0" w:color="auto"/>
            </w:tcBorders>
          </w:tcPr>
          <w:p w14:paraId="0C43B9B2"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Modernizare centru civic în loc. Siliștea și Mărtăcești.</w:t>
            </w:r>
          </w:p>
          <w:p w14:paraId="1D37A434"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Suprafață spațiu verde S=1,41ha</w:t>
            </w:r>
          </w:p>
          <w:p w14:paraId="7AA31DC1"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Siliștea=0,9ha</w:t>
            </w:r>
          </w:p>
          <w:p w14:paraId="5EB95E29"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t>Mărtăcești=0,51ha</w:t>
            </w:r>
          </w:p>
        </w:tc>
        <w:tc>
          <w:tcPr>
            <w:tcW w:w="1559" w:type="dxa"/>
            <w:tcBorders>
              <w:bottom w:val="single" w:sz="4" w:space="0" w:color="auto"/>
            </w:tcBorders>
          </w:tcPr>
          <w:p w14:paraId="085E3E37"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Siliștea</w:t>
            </w:r>
          </w:p>
        </w:tc>
        <w:tc>
          <w:tcPr>
            <w:tcW w:w="1262" w:type="dxa"/>
            <w:tcBorders>
              <w:bottom w:val="single" w:sz="4" w:space="0" w:color="auto"/>
            </w:tcBorders>
          </w:tcPr>
          <w:p w14:paraId="22856600"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2019</w:t>
            </w:r>
          </w:p>
        </w:tc>
        <w:tc>
          <w:tcPr>
            <w:tcW w:w="1460" w:type="dxa"/>
            <w:tcBorders>
              <w:bottom w:val="single" w:sz="4" w:space="0" w:color="auto"/>
            </w:tcBorders>
          </w:tcPr>
          <w:p w14:paraId="72A6D34E"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945.000*</w:t>
            </w:r>
          </w:p>
          <w:p w14:paraId="05055837" w14:textId="77777777" w:rsidR="00375ED8" w:rsidRPr="00EA1BB2" w:rsidRDefault="00375ED8" w:rsidP="00375ED8">
            <w:pPr>
              <w:jc w:val="center"/>
              <w:rPr>
                <w:rFonts w:ascii="Cambria" w:hAnsi="Cambria" w:cs="Times New Roman"/>
                <w:sz w:val="20"/>
                <w:szCs w:val="20"/>
                <w:lang w:val="ro-RO"/>
              </w:rPr>
            </w:pPr>
          </w:p>
        </w:tc>
        <w:tc>
          <w:tcPr>
            <w:tcW w:w="1599" w:type="dxa"/>
            <w:tcBorders>
              <w:bottom w:val="single" w:sz="4" w:space="0" w:color="auto"/>
            </w:tcBorders>
          </w:tcPr>
          <w:p w14:paraId="3915F9A4"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w:t>
            </w:r>
          </w:p>
        </w:tc>
        <w:tc>
          <w:tcPr>
            <w:tcW w:w="1701" w:type="dxa"/>
            <w:tcBorders>
              <w:bottom w:val="single" w:sz="4" w:space="0" w:color="auto"/>
            </w:tcBorders>
          </w:tcPr>
          <w:p w14:paraId="1B16E33E"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Suprafață spațiu verde amenajată</w:t>
            </w:r>
          </w:p>
        </w:tc>
      </w:tr>
      <w:tr w:rsidR="00375ED8" w:rsidRPr="00EA1BB2" w14:paraId="3C5EEC2D" w14:textId="77777777" w:rsidTr="00A812FA">
        <w:trPr>
          <w:trHeight w:val="413"/>
          <w:jc w:val="center"/>
        </w:trPr>
        <w:tc>
          <w:tcPr>
            <w:tcW w:w="851" w:type="dxa"/>
            <w:vMerge/>
          </w:tcPr>
          <w:p w14:paraId="41D0DEAF" w14:textId="77777777" w:rsidR="00375ED8" w:rsidRPr="00EA1BB2" w:rsidRDefault="00375ED8" w:rsidP="00375ED8">
            <w:pPr>
              <w:jc w:val="both"/>
              <w:rPr>
                <w:rFonts w:ascii="Cambria" w:hAnsi="Cambria" w:cs="Times New Roman"/>
                <w:sz w:val="20"/>
                <w:szCs w:val="20"/>
                <w:lang w:val="ro-RO"/>
              </w:rPr>
            </w:pPr>
          </w:p>
        </w:tc>
        <w:tc>
          <w:tcPr>
            <w:tcW w:w="2699" w:type="dxa"/>
            <w:vMerge/>
          </w:tcPr>
          <w:p w14:paraId="04FBB1ED" w14:textId="77777777" w:rsidR="00375ED8" w:rsidRPr="00EA1BB2" w:rsidRDefault="00375ED8" w:rsidP="00375ED8">
            <w:pPr>
              <w:jc w:val="both"/>
              <w:rPr>
                <w:rFonts w:ascii="Cambria" w:hAnsi="Cambria" w:cs="Times New Roman"/>
                <w:bCs/>
                <w:sz w:val="20"/>
                <w:szCs w:val="20"/>
                <w:lang w:val="ro-RO"/>
              </w:rPr>
            </w:pPr>
          </w:p>
        </w:tc>
        <w:tc>
          <w:tcPr>
            <w:tcW w:w="3753" w:type="dxa"/>
            <w:tcBorders>
              <w:bottom w:val="single" w:sz="4" w:space="0" w:color="auto"/>
            </w:tcBorders>
          </w:tcPr>
          <w:p w14:paraId="46E5761D" w14:textId="77777777" w:rsidR="00375ED8" w:rsidRPr="00EA1BB2" w:rsidRDefault="00375ED8" w:rsidP="00375ED8">
            <w:pPr>
              <w:jc w:val="both"/>
              <w:rPr>
                <w:rFonts w:ascii="Cambria" w:hAnsi="Cambria"/>
                <w:sz w:val="20"/>
                <w:szCs w:val="20"/>
                <w:lang w:val="ro-RO"/>
              </w:rPr>
            </w:pPr>
            <w:r w:rsidRPr="00EA1BB2">
              <w:rPr>
                <w:rFonts w:ascii="Cambria" w:hAnsi="Cambria"/>
                <w:sz w:val="20"/>
                <w:szCs w:val="20"/>
                <w:lang w:val="ro-RO"/>
              </w:rPr>
              <w:t>Amenajare centru civic oraș Însurăței</w:t>
            </w:r>
          </w:p>
          <w:p w14:paraId="6BF10608" w14:textId="77777777" w:rsidR="00375ED8" w:rsidRPr="00EA1BB2" w:rsidRDefault="00375ED8" w:rsidP="00375ED8">
            <w:pPr>
              <w:jc w:val="both"/>
              <w:rPr>
                <w:rFonts w:ascii="Cambria" w:hAnsi="Cambria"/>
                <w:sz w:val="20"/>
                <w:szCs w:val="20"/>
                <w:lang w:val="ro-RO"/>
              </w:rPr>
            </w:pPr>
            <w:r w:rsidRPr="00EA1BB2">
              <w:rPr>
                <w:rFonts w:ascii="Cambria" w:hAnsi="Cambria" w:cs="Times New Roman"/>
                <w:sz w:val="20"/>
                <w:szCs w:val="20"/>
                <w:lang w:val="ro-RO"/>
              </w:rPr>
              <w:t>L=3,00km</w:t>
            </w:r>
          </w:p>
        </w:tc>
        <w:tc>
          <w:tcPr>
            <w:tcW w:w="1559" w:type="dxa"/>
            <w:tcBorders>
              <w:bottom w:val="single" w:sz="4" w:space="0" w:color="auto"/>
            </w:tcBorders>
          </w:tcPr>
          <w:p w14:paraId="18815666"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Însurăței</w:t>
            </w:r>
          </w:p>
        </w:tc>
        <w:tc>
          <w:tcPr>
            <w:tcW w:w="1262" w:type="dxa"/>
            <w:tcBorders>
              <w:bottom w:val="single" w:sz="4" w:space="0" w:color="auto"/>
            </w:tcBorders>
          </w:tcPr>
          <w:p w14:paraId="34DC3357"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2018</w:t>
            </w:r>
          </w:p>
        </w:tc>
        <w:tc>
          <w:tcPr>
            <w:tcW w:w="1460" w:type="dxa"/>
            <w:tcBorders>
              <w:bottom w:val="single" w:sz="4" w:space="0" w:color="auto"/>
            </w:tcBorders>
          </w:tcPr>
          <w:p w14:paraId="7EAA517D"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2.011.776</w:t>
            </w:r>
          </w:p>
        </w:tc>
        <w:tc>
          <w:tcPr>
            <w:tcW w:w="1599" w:type="dxa"/>
            <w:tcBorders>
              <w:bottom w:val="single" w:sz="4" w:space="0" w:color="auto"/>
            </w:tcBorders>
          </w:tcPr>
          <w:p w14:paraId="67053426"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BL+CJ</w:t>
            </w:r>
          </w:p>
        </w:tc>
        <w:tc>
          <w:tcPr>
            <w:tcW w:w="1701" w:type="dxa"/>
            <w:tcBorders>
              <w:bottom w:val="single" w:sz="4" w:space="0" w:color="auto"/>
            </w:tcBorders>
          </w:tcPr>
          <w:p w14:paraId="4DAE8CDD"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Lungime amenajată</w:t>
            </w:r>
          </w:p>
        </w:tc>
      </w:tr>
      <w:tr w:rsidR="00375ED8" w:rsidRPr="00EA1BB2" w14:paraId="33ED0701" w14:textId="77777777" w:rsidTr="00A812FA">
        <w:trPr>
          <w:trHeight w:val="1072"/>
          <w:jc w:val="center"/>
        </w:trPr>
        <w:tc>
          <w:tcPr>
            <w:tcW w:w="851" w:type="dxa"/>
            <w:vMerge w:val="restart"/>
          </w:tcPr>
          <w:p w14:paraId="209757C9"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M.2.2.</w:t>
            </w:r>
          </w:p>
        </w:tc>
        <w:tc>
          <w:tcPr>
            <w:tcW w:w="2699" w:type="dxa"/>
            <w:vMerge w:val="restart"/>
          </w:tcPr>
          <w:p w14:paraId="690F80E6" w14:textId="77777777" w:rsidR="00375ED8" w:rsidRPr="00EA1BB2" w:rsidRDefault="00375ED8" w:rsidP="00375ED8">
            <w:pPr>
              <w:jc w:val="both"/>
              <w:rPr>
                <w:rFonts w:ascii="Cambria" w:hAnsi="Cambria" w:cs="Times New Roman"/>
                <w:bCs/>
                <w:sz w:val="20"/>
                <w:szCs w:val="20"/>
                <w:lang w:val="ro-RO"/>
              </w:rPr>
            </w:pPr>
            <w:r w:rsidRPr="00EA1BB2">
              <w:rPr>
                <w:rFonts w:ascii="Cambria" w:hAnsi="Cambria" w:cs="Times New Roman"/>
                <w:bCs/>
                <w:sz w:val="20"/>
                <w:szCs w:val="20"/>
                <w:lang w:val="ro-RO"/>
              </w:rPr>
              <w:t xml:space="preserve">Crearea de perdele forestiere care să minimizeze impactul negativ al transportului, cf. </w:t>
            </w:r>
            <w:r w:rsidRPr="00EA1BB2">
              <w:rPr>
                <w:rFonts w:ascii="Cambria" w:hAnsi="Cambria" w:cs="Times New Roman"/>
                <w:bCs/>
                <w:i/>
                <w:sz w:val="20"/>
                <w:szCs w:val="20"/>
                <w:lang w:val="ro-RO"/>
              </w:rPr>
              <w:lastRenderedPageBreak/>
              <w:t>programului național de înființare perdele forestiere</w:t>
            </w:r>
          </w:p>
        </w:tc>
        <w:tc>
          <w:tcPr>
            <w:tcW w:w="3753" w:type="dxa"/>
          </w:tcPr>
          <w:p w14:paraId="12D0F151"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lastRenderedPageBreak/>
              <w:t>Înființare perdele forestiere de protecție a DN 2B în comunele  Surdila-Greci, Surdila-Găiseanca și Mircea Vodă</w:t>
            </w:r>
            <w:r w:rsidRPr="00EA1BB2">
              <w:rPr>
                <w:rFonts w:ascii="Cambria" w:hAnsi="Cambria"/>
                <w:sz w:val="20"/>
                <w:szCs w:val="20"/>
                <w:lang w:val="ro-RO"/>
              </w:rPr>
              <w:t xml:space="preserve"> (</w:t>
            </w:r>
            <w:r w:rsidRPr="00EA1BB2">
              <w:rPr>
                <w:rFonts w:ascii="Cambria" w:hAnsi="Cambria" w:cs="Times New Roman"/>
                <w:sz w:val="20"/>
                <w:szCs w:val="20"/>
                <w:lang w:val="ro-RO"/>
              </w:rPr>
              <w:t>Suprafața teren: 342.484,00 m</w:t>
            </w:r>
            <w:r w:rsidRPr="00EA1BB2">
              <w:rPr>
                <w:rFonts w:ascii="Cambria" w:hAnsi="Cambria" w:cs="Times New Roman"/>
                <w:sz w:val="20"/>
                <w:szCs w:val="20"/>
                <w:vertAlign w:val="superscript"/>
                <w:lang w:val="ro-RO"/>
              </w:rPr>
              <w:t>2</w:t>
            </w:r>
            <w:r w:rsidRPr="00EA1BB2">
              <w:rPr>
                <w:rFonts w:ascii="Cambria" w:hAnsi="Cambria" w:cs="Times New Roman"/>
                <w:sz w:val="20"/>
                <w:szCs w:val="20"/>
                <w:lang w:val="ro-RO"/>
              </w:rPr>
              <w:t>)</w:t>
            </w:r>
          </w:p>
        </w:tc>
        <w:tc>
          <w:tcPr>
            <w:tcW w:w="1559" w:type="dxa"/>
            <w:shd w:val="clear" w:color="auto" w:fill="auto"/>
          </w:tcPr>
          <w:p w14:paraId="74C66A44" w14:textId="37BCBCC5"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 xml:space="preserve">Comandamentul județean Brăila, Prefectul </w:t>
            </w:r>
            <w:r w:rsidRPr="00EA1BB2">
              <w:rPr>
                <w:rFonts w:ascii="Cambria" w:hAnsi="Cambria" w:cs="Times New Roman"/>
                <w:sz w:val="20"/>
                <w:szCs w:val="20"/>
                <w:lang w:val="ro-RO"/>
              </w:rPr>
              <w:lastRenderedPageBreak/>
              <w:t>județului Brăila</w:t>
            </w:r>
          </w:p>
        </w:tc>
        <w:tc>
          <w:tcPr>
            <w:tcW w:w="1262" w:type="dxa"/>
          </w:tcPr>
          <w:p w14:paraId="7AE7BB98"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lastRenderedPageBreak/>
              <w:t>2022</w:t>
            </w:r>
          </w:p>
        </w:tc>
        <w:tc>
          <w:tcPr>
            <w:tcW w:w="1460" w:type="dxa"/>
          </w:tcPr>
          <w:p w14:paraId="2714B107" w14:textId="77777777" w:rsidR="00375ED8" w:rsidRPr="00EA1BB2" w:rsidRDefault="00375ED8" w:rsidP="00375ED8">
            <w:pPr>
              <w:jc w:val="center"/>
              <w:rPr>
                <w:rFonts w:ascii="Cambria" w:hAnsi="Cambria" w:cs="Times New Roman"/>
                <w:sz w:val="20"/>
                <w:szCs w:val="20"/>
                <w:lang w:val="ro-RO"/>
              </w:rPr>
            </w:pPr>
          </w:p>
        </w:tc>
        <w:tc>
          <w:tcPr>
            <w:tcW w:w="1599" w:type="dxa"/>
          </w:tcPr>
          <w:p w14:paraId="5FD8284A"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Buget de stat</w:t>
            </w:r>
          </w:p>
        </w:tc>
        <w:tc>
          <w:tcPr>
            <w:tcW w:w="1701" w:type="dxa"/>
          </w:tcPr>
          <w:p w14:paraId="028E9B6B"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 xml:space="preserve">Suprafața amenajată </w:t>
            </w:r>
          </w:p>
        </w:tc>
      </w:tr>
      <w:tr w:rsidR="00375ED8" w:rsidRPr="00EA1BB2" w14:paraId="5C3FE261" w14:textId="77777777" w:rsidTr="00A812FA">
        <w:trPr>
          <w:trHeight w:val="848"/>
          <w:jc w:val="center"/>
        </w:trPr>
        <w:tc>
          <w:tcPr>
            <w:tcW w:w="851" w:type="dxa"/>
            <w:vMerge/>
          </w:tcPr>
          <w:p w14:paraId="27326E82" w14:textId="77777777" w:rsidR="00375ED8" w:rsidRPr="00EA1BB2" w:rsidRDefault="00375ED8" w:rsidP="00375ED8">
            <w:pPr>
              <w:jc w:val="both"/>
              <w:rPr>
                <w:rFonts w:ascii="Cambria" w:hAnsi="Cambria" w:cs="Times New Roman"/>
                <w:sz w:val="20"/>
                <w:szCs w:val="20"/>
                <w:lang w:val="ro-RO"/>
              </w:rPr>
            </w:pPr>
          </w:p>
        </w:tc>
        <w:tc>
          <w:tcPr>
            <w:tcW w:w="2699" w:type="dxa"/>
            <w:vMerge/>
          </w:tcPr>
          <w:p w14:paraId="54C64419" w14:textId="77777777" w:rsidR="00375ED8" w:rsidRPr="00EA1BB2" w:rsidRDefault="00375ED8" w:rsidP="00375ED8">
            <w:pPr>
              <w:jc w:val="both"/>
              <w:rPr>
                <w:rFonts w:ascii="Cambria" w:hAnsi="Cambria" w:cs="Times New Roman"/>
                <w:bCs/>
                <w:sz w:val="20"/>
                <w:szCs w:val="20"/>
                <w:lang w:val="ro-RO"/>
              </w:rPr>
            </w:pPr>
          </w:p>
        </w:tc>
        <w:tc>
          <w:tcPr>
            <w:tcW w:w="3753" w:type="dxa"/>
          </w:tcPr>
          <w:p w14:paraId="552F48E0"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Înființare perdele forestiere de protecție a DN 2B în</w:t>
            </w:r>
            <w:r w:rsidRPr="00EA1BB2">
              <w:rPr>
                <w:rFonts w:ascii="Cambria" w:hAnsi="Cambria"/>
                <w:sz w:val="20"/>
                <w:szCs w:val="20"/>
                <w:lang w:val="ro-RO"/>
              </w:rPr>
              <w:t xml:space="preserve"> o</w:t>
            </w:r>
            <w:r w:rsidRPr="00EA1BB2">
              <w:rPr>
                <w:rFonts w:ascii="Cambria" w:hAnsi="Cambria" w:cs="Times New Roman"/>
                <w:sz w:val="20"/>
                <w:szCs w:val="20"/>
                <w:lang w:val="ro-RO"/>
              </w:rPr>
              <w:t>raș Ianca și comuna Traian (Suprafața teren 280.652,51,00 m</w:t>
            </w:r>
            <w:r w:rsidRPr="00EA1BB2">
              <w:rPr>
                <w:rFonts w:ascii="Cambria" w:hAnsi="Cambria" w:cs="Times New Roman"/>
                <w:sz w:val="20"/>
                <w:szCs w:val="20"/>
                <w:vertAlign w:val="superscript"/>
                <w:lang w:val="ro-RO"/>
              </w:rPr>
              <w:t>2</w:t>
            </w:r>
            <w:r w:rsidRPr="00EA1BB2">
              <w:rPr>
                <w:rFonts w:ascii="Cambria" w:hAnsi="Cambria" w:cs="Times New Roman"/>
                <w:sz w:val="20"/>
                <w:szCs w:val="20"/>
                <w:lang w:val="ro-RO"/>
              </w:rPr>
              <w:t>)</w:t>
            </w:r>
          </w:p>
        </w:tc>
        <w:tc>
          <w:tcPr>
            <w:tcW w:w="1559" w:type="dxa"/>
            <w:shd w:val="clear" w:color="auto" w:fill="auto"/>
          </w:tcPr>
          <w:p w14:paraId="60FBD813" w14:textId="472B6EC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Comandamentul județean Brăila, Prefectul județului Brăila</w:t>
            </w:r>
          </w:p>
        </w:tc>
        <w:tc>
          <w:tcPr>
            <w:tcW w:w="1262" w:type="dxa"/>
          </w:tcPr>
          <w:p w14:paraId="389D3143"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2022</w:t>
            </w:r>
          </w:p>
        </w:tc>
        <w:tc>
          <w:tcPr>
            <w:tcW w:w="1460" w:type="dxa"/>
          </w:tcPr>
          <w:p w14:paraId="0177A173" w14:textId="77777777" w:rsidR="00375ED8" w:rsidRPr="00EA1BB2" w:rsidRDefault="00375ED8" w:rsidP="00375ED8">
            <w:pPr>
              <w:jc w:val="center"/>
              <w:rPr>
                <w:rFonts w:ascii="Cambria" w:hAnsi="Cambria" w:cs="Times New Roman"/>
                <w:sz w:val="20"/>
                <w:szCs w:val="20"/>
                <w:lang w:val="ro-RO"/>
              </w:rPr>
            </w:pPr>
          </w:p>
        </w:tc>
        <w:tc>
          <w:tcPr>
            <w:tcW w:w="1599" w:type="dxa"/>
          </w:tcPr>
          <w:p w14:paraId="65795E8A"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Buget de stat</w:t>
            </w:r>
          </w:p>
        </w:tc>
        <w:tc>
          <w:tcPr>
            <w:tcW w:w="1701" w:type="dxa"/>
          </w:tcPr>
          <w:p w14:paraId="7C2CC2F3"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 xml:space="preserve">Suprafața amenajată </w:t>
            </w:r>
          </w:p>
        </w:tc>
      </w:tr>
      <w:tr w:rsidR="00375ED8" w:rsidRPr="00EA1BB2" w14:paraId="48FED297" w14:textId="77777777" w:rsidTr="00A812FA">
        <w:trPr>
          <w:trHeight w:val="410"/>
          <w:jc w:val="center"/>
        </w:trPr>
        <w:tc>
          <w:tcPr>
            <w:tcW w:w="851" w:type="dxa"/>
            <w:vMerge w:val="restart"/>
          </w:tcPr>
          <w:p w14:paraId="19DC980E"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M.2.3.</w:t>
            </w:r>
          </w:p>
        </w:tc>
        <w:tc>
          <w:tcPr>
            <w:tcW w:w="2699" w:type="dxa"/>
            <w:vMerge w:val="restart"/>
          </w:tcPr>
          <w:p w14:paraId="3EC20B61" w14:textId="77777777" w:rsidR="00375ED8" w:rsidRPr="00EA1BB2" w:rsidRDefault="00375ED8" w:rsidP="00375ED8">
            <w:pPr>
              <w:jc w:val="both"/>
              <w:rPr>
                <w:rFonts w:ascii="Cambria" w:hAnsi="Cambria" w:cs="Times New Roman"/>
                <w:bCs/>
                <w:sz w:val="20"/>
                <w:szCs w:val="20"/>
                <w:lang w:val="ro-RO"/>
              </w:rPr>
            </w:pPr>
            <w:r w:rsidRPr="00EA1BB2">
              <w:rPr>
                <w:rFonts w:ascii="Cambria" w:hAnsi="Cambria" w:cs="Times New Roman"/>
                <w:bCs/>
                <w:sz w:val="20"/>
                <w:szCs w:val="20"/>
                <w:lang w:val="ro-RO"/>
              </w:rPr>
              <w:t>Reducerea consumului de combustibili solizi și lichizi</w:t>
            </w:r>
          </w:p>
        </w:tc>
        <w:tc>
          <w:tcPr>
            <w:tcW w:w="3753" w:type="dxa"/>
          </w:tcPr>
          <w:p w14:paraId="353B6E37" w14:textId="17848930" w:rsidR="00375ED8" w:rsidRPr="00EA1BB2" w:rsidRDefault="00375ED8" w:rsidP="00375ED8">
            <w:pPr>
              <w:jc w:val="both"/>
              <w:rPr>
                <w:rFonts w:ascii="Cambria" w:hAnsi="Cambria" w:cs="Calibri"/>
                <w:sz w:val="20"/>
                <w:szCs w:val="20"/>
                <w:lang w:val="ro-RO"/>
              </w:rPr>
            </w:pPr>
            <w:r w:rsidRPr="00EA1BB2">
              <w:rPr>
                <w:rFonts w:ascii="Cambria" w:hAnsi="Cambria" w:cs="Calibri"/>
                <w:sz w:val="20"/>
                <w:szCs w:val="20"/>
                <w:lang w:val="ro-RO"/>
              </w:rPr>
              <w:t>Extindere rețea alimentare cu gaze naturale, în localitatea Cazasu (100 gospodării)</w:t>
            </w:r>
          </w:p>
          <w:p w14:paraId="440015FD" w14:textId="77777777" w:rsidR="00375ED8" w:rsidRPr="00EA1BB2" w:rsidRDefault="00375ED8" w:rsidP="00375ED8">
            <w:pPr>
              <w:jc w:val="both"/>
              <w:rPr>
                <w:rFonts w:ascii="Cambria" w:hAnsi="Cambria" w:cs="Calibri"/>
                <w:sz w:val="20"/>
                <w:szCs w:val="20"/>
                <w:lang w:val="ro-RO"/>
              </w:rPr>
            </w:pPr>
            <w:r w:rsidRPr="00EA1BB2">
              <w:rPr>
                <w:rFonts w:ascii="Cambria" w:hAnsi="Cambria" w:cs="Times New Roman"/>
                <w:sz w:val="20"/>
                <w:szCs w:val="20"/>
                <w:lang w:val="ro-RO"/>
              </w:rPr>
              <w:t>L=6,5Km</w:t>
            </w:r>
          </w:p>
        </w:tc>
        <w:tc>
          <w:tcPr>
            <w:tcW w:w="1559" w:type="dxa"/>
          </w:tcPr>
          <w:p w14:paraId="525854DD"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Cazasu</w:t>
            </w:r>
          </w:p>
        </w:tc>
        <w:tc>
          <w:tcPr>
            <w:tcW w:w="1262" w:type="dxa"/>
          </w:tcPr>
          <w:p w14:paraId="21BC86D7"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2019</w:t>
            </w:r>
          </w:p>
        </w:tc>
        <w:tc>
          <w:tcPr>
            <w:tcW w:w="1460" w:type="dxa"/>
          </w:tcPr>
          <w:p w14:paraId="588DB6CD"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100.000</w:t>
            </w:r>
          </w:p>
        </w:tc>
        <w:tc>
          <w:tcPr>
            <w:tcW w:w="1599" w:type="dxa"/>
          </w:tcPr>
          <w:p w14:paraId="4FAAC85D" w14:textId="77777777" w:rsidR="00375ED8" w:rsidRPr="00EA1BB2" w:rsidRDefault="00375ED8" w:rsidP="00375ED8">
            <w:pPr>
              <w:jc w:val="center"/>
              <w:rPr>
                <w:rFonts w:ascii="Cambria" w:hAnsi="Cambria" w:cs="Times New Roman"/>
                <w:bCs/>
                <w:sz w:val="20"/>
                <w:szCs w:val="20"/>
                <w:lang w:val="ro-RO"/>
              </w:rPr>
            </w:pPr>
            <w:r w:rsidRPr="00EA1BB2">
              <w:rPr>
                <w:rFonts w:ascii="Cambria" w:hAnsi="Cambria" w:cs="Times New Roman"/>
                <w:bCs/>
                <w:sz w:val="20"/>
                <w:szCs w:val="20"/>
                <w:lang w:val="ro-RO"/>
              </w:rPr>
              <w:t>BL+TRANSGAZ</w:t>
            </w:r>
          </w:p>
        </w:tc>
        <w:tc>
          <w:tcPr>
            <w:tcW w:w="1701" w:type="dxa"/>
          </w:tcPr>
          <w:p w14:paraId="65D57538"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Nr. locuințe racordate la rețeaua de gaze naturale</w:t>
            </w:r>
          </w:p>
        </w:tc>
      </w:tr>
      <w:tr w:rsidR="00375ED8" w:rsidRPr="00EA1BB2" w14:paraId="403C45B0" w14:textId="77777777" w:rsidTr="00A812FA">
        <w:trPr>
          <w:trHeight w:val="709"/>
          <w:jc w:val="center"/>
        </w:trPr>
        <w:tc>
          <w:tcPr>
            <w:tcW w:w="851" w:type="dxa"/>
            <w:vMerge/>
          </w:tcPr>
          <w:p w14:paraId="72E1BE3F" w14:textId="77777777" w:rsidR="00375ED8" w:rsidRPr="00EA1BB2" w:rsidRDefault="00375ED8" w:rsidP="00375ED8">
            <w:pPr>
              <w:jc w:val="both"/>
              <w:rPr>
                <w:rFonts w:ascii="Cambria" w:hAnsi="Cambria" w:cs="Times New Roman"/>
                <w:sz w:val="20"/>
                <w:szCs w:val="20"/>
                <w:lang w:val="ro-RO"/>
              </w:rPr>
            </w:pPr>
          </w:p>
        </w:tc>
        <w:tc>
          <w:tcPr>
            <w:tcW w:w="2699" w:type="dxa"/>
            <w:vMerge/>
          </w:tcPr>
          <w:p w14:paraId="594C7D75" w14:textId="77777777" w:rsidR="00375ED8" w:rsidRPr="00EA1BB2" w:rsidRDefault="00375ED8" w:rsidP="00375ED8">
            <w:pPr>
              <w:jc w:val="both"/>
              <w:rPr>
                <w:rFonts w:ascii="Cambria" w:hAnsi="Cambria" w:cs="Times New Roman"/>
                <w:bCs/>
                <w:sz w:val="20"/>
                <w:szCs w:val="20"/>
                <w:lang w:val="ro-RO"/>
              </w:rPr>
            </w:pPr>
          </w:p>
        </w:tc>
        <w:tc>
          <w:tcPr>
            <w:tcW w:w="3753" w:type="dxa"/>
          </w:tcPr>
          <w:p w14:paraId="6675D408" w14:textId="247819BC"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Execuție rețea gaze naturale în sat Chiscani și Vărsătura (75 gospodării)</w:t>
            </w:r>
          </w:p>
          <w:p w14:paraId="515431A3"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Chiscani=7,98km</w:t>
            </w:r>
          </w:p>
          <w:p w14:paraId="26012849" w14:textId="77777777" w:rsidR="00375ED8" w:rsidRPr="00EA1BB2" w:rsidRDefault="00375ED8" w:rsidP="00375ED8">
            <w:pPr>
              <w:jc w:val="both"/>
              <w:rPr>
                <w:rFonts w:ascii="Cambria" w:hAnsi="Cambria" w:cs="Calibri"/>
                <w:sz w:val="20"/>
                <w:szCs w:val="20"/>
                <w:lang w:val="ro-RO"/>
              </w:rPr>
            </w:pPr>
            <w:r w:rsidRPr="00EA1BB2">
              <w:rPr>
                <w:rFonts w:ascii="Cambria" w:hAnsi="Cambria" w:cs="Times New Roman"/>
                <w:sz w:val="20"/>
                <w:szCs w:val="20"/>
                <w:lang w:val="ro-RO"/>
              </w:rPr>
              <w:t>Vărsătura=5,79km</w:t>
            </w:r>
          </w:p>
        </w:tc>
        <w:tc>
          <w:tcPr>
            <w:tcW w:w="1559" w:type="dxa"/>
            <w:vMerge w:val="restart"/>
          </w:tcPr>
          <w:p w14:paraId="15734BD8"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Chiscani</w:t>
            </w:r>
          </w:p>
        </w:tc>
        <w:tc>
          <w:tcPr>
            <w:tcW w:w="1262" w:type="dxa"/>
          </w:tcPr>
          <w:p w14:paraId="03315059"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2019</w:t>
            </w:r>
          </w:p>
          <w:p w14:paraId="15E426A0" w14:textId="77777777" w:rsidR="00375ED8" w:rsidRPr="00EA1BB2" w:rsidRDefault="00375ED8" w:rsidP="00375ED8">
            <w:pPr>
              <w:jc w:val="center"/>
              <w:rPr>
                <w:rFonts w:ascii="Cambria" w:hAnsi="Cambria" w:cs="Times New Roman"/>
                <w:sz w:val="20"/>
                <w:szCs w:val="20"/>
                <w:lang w:val="ro-RO"/>
              </w:rPr>
            </w:pPr>
          </w:p>
          <w:p w14:paraId="6CAA75C2" w14:textId="77777777" w:rsidR="00375ED8" w:rsidRPr="00EA1BB2" w:rsidRDefault="00375ED8" w:rsidP="00375ED8">
            <w:pPr>
              <w:jc w:val="center"/>
              <w:rPr>
                <w:rFonts w:ascii="Cambria" w:hAnsi="Cambria" w:cs="Times New Roman"/>
                <w:sz w:val="20"/>
                <w:szCs w:val="20"/>
                <w:lang w:val="ro-RO"/>
              </w:rPr>
            </w:pPr>
          </w:p>
        </w:tc>
        <w:tc>
          <w:tcPr>
            <w:tcW w:w="1460" w:type="dxa"/>
          </w:tcPr>
          <w:p w14:paraId="627475B5"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3.600.000</w:t>
            </w:r>
          </w:p>
          <w:p w14:paraId="28D47FB1" w14:textId="77777777" w:rsidR="00375ED8" w:rsidRPr="00EA1BB2" w:rsidRDefault="00375ED8" w:rsidP="00375ED8">
            <w:pPr>
              <w:jc w:val="center"/>
              <w:rPr>
                <w:rFonts w:ascii="Cambria" w:hAnsi="Cambria" w:cs="Times New Roman"/>
                <w:sz w:val="20"/>
                <w:szCs w:val="20"/>
                <w:lang w:val="ro-RO"/>
              </w:rPr>
            </w:pPr>
          </w:p>
          <w:p w14:paraId="7B336218" w14:textId="77777777" w:rsidR="00375ED8" w:rsidRPr="00EA1BB2" w:rsidRDefault="00375ED8" w:rsidP="00375ED8">
            <w:pPr>
              <w:jc w:val="center"/>
              <w:rPr>
                <w:rFonts w:ascii="Cambria" w:hAnsi="Cambria" w:cs="Times New Roman"/>
                <w:sz w:val="20"/>
                <w:szCs w:val="20"/>
                <w:lang w:val="ro-RO"/>
              </w:rPr>
            </w:pPr>
          </w:p>
        </w:tc>
        <w:tc>
          <w:tcPr>
            <w:tcW w:w="1599" w:type="dxa"/>
          </w:tcPr>
          <w:p w14:paraId="7D4726C7" w14:textId="77777777" w:rsidR="00375ED8" w:rsidRPr="00EA1BB2" w:rsidRDefault="00375ED8" w:rsidP="00375ED8">
            <w:pPr>
              <w:jc w:val="center"/>
              <w:rPr>
                <w:rFonts w:ascii="Cambria" w:hAnsi="Cambria" w:cs="Times New Roman"/>
                <w:bCs/>
                <w:sz w:val="20"/>
                <w:szCs w:val="20"/>
                <w:lang w:val="ro-RO"/>
              </w:rPr>
            </w:pPr>
            <w:r w:rsidRPr="00EA1BB2">
              <w:rPr>
                <w:rFonts w:ascii="Cambria" w:hAnsi="Cambria" w:cs="Times New Roman"/>
                <w:bCs/>
                <w:sz w:val="20"/>
                <w:szCs w:val="20"/>
                <w:lang w:val="ro-RO"/>
              </w:rPr>
              <w:t>BL</w:t>
            </w:r>
          </w:p>
          <w:p w14:paraId="2DA7AE6F" w14:textId="77777777" w:rsidR="00375ED8" w:rsidRPr="00EA1BB2" w:rsidRDefault="00375ED8" w:rsidP="00375ED8">
            <w:pPr>
              <w:jc w:val="center"/>
              <w:rPr>
                <w:rFonts w:ascii="Cambria" w:hAnsi="Cambria" w:cs="Times New Roman"/>
                <w:bCs/>
                <w:sz w:val="20"/>
                <w:szCs w:val="20"/>
                <w:lang w:val="ro-RO"/>
              </w:rPr>
            </w:pPr>
          </w:p>
          <w:p w14:paraId="14DBA1D5" w14:textId="77777777" w:rsidR="00375ED8" w:rsidRPr="00EA1BB2" w:rsidRDefault="00375ED8" w:rsidP="00375ED8">
            <w:pPr>
              <w:jc w:val="center"/>
              <w:rPr>
                <w:rFonts w:ascii="Cambria" w:hAnsi="Cambria" w:cs="Times New Roman"/>
                <w:bCs/>
                <w:sz w:val="20"/>
                <w:szCs w:val="20"/>
                <w:lang w:val="ro-RO"/>
              </w:rPr>
            </w:pPr>
          </w:p>
        </w:tc>
        <w:tc>
          <w:tcPr>
            <w:tcW w:w="1701" w:type="dxa"/>
          </w:tcPr>
          <w:p w14:paraId="48DC231F"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Nr. locuințe racordate la rețeaua de gaze naturale</w:t>
            </w:r>
          </w:p>
        </w:tc>
      </w:tr>
      <w:tr w:rsidR="00375ED8" w:rsidRPr="00EA1BB2" w14:paraId="791A2983" w14:textId="77777777" w:rsidTr="00A812FA">
        <w:trPr>
          <w:trHeight w:val="549"/>
          <w:jc w:val="center"/>
        </w:trPr>
        <w:tc>
          <w:tcPr>
            <w:tcW w:w="851" w:type="dxa"/>
            <w:vMerge/>
          </w:tcPr>
          <w:p w14:paraId="634A3A37" w14:textId="77777777" w:rsidR="00375ED8" w:rsidRPr="00EA1BB2" w:rsidRDefault="00375ED8" w:rsidP="00375ED8">
            <w:pPr>
              <w:jc w:val="both"/>
              <w:rPr>
                <w:rFonts w:ascii="Cambria" w:hAnsi="Cambria" w:cs="Times New Roman"/>
                <w:sz w:val="20"/>
                <w:szCs w:val="20"/>
                <w:lang w:val="ro-RO"/>
              </w:rPr>
            </w:pPr>
          </w:p>
        </w:tc>
        <w:tc>
          <w:tcPr>
            <w:tcW w:w="2699" w:type="dxa"/>
            <w:vMerge/>
          </w:tcPr>
          <w:p w14:paraId="31A8428C" w14:textId="77777777" w:rsidR="00375ED8" w:rsidRPr="00EA1BB2" w:rsidRDefault="00375ED8" w:rsidP="00375ED8">
            <w:pPr>
              <w:jc w:val="both"/>
              <w:rPr>
                <w:rFonts w:ascii="Cambria" w:hAnsi="Cambria" w:cs="Times New Roman"/>
                <w:bCs/>
                <w:sz w:val="20"/>
                <w:szCs w:val="20"/>
                <w:lang w:val="ro-RO"/>
              </w:rPr>
            </w:pPr>
          </w:p>
        </w:tc>
        <w:tc>
          <w:tcPr>
            <w:tcW w:w="3753" w:type="dxa"/>
          </w:tcPr>
          <w:p w14:paraId="1F0DC449" w14:textId="3F9EB8BB"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Înființare rețea gaze naturale în sat Lacu Sărat (300 gospodarii)</w:t>
            </w:r>
          </w:p>
          <w:p w14:paraId="6E2FECAC" w14:textId="4C7A804C"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L=11,8Km</w:t>
            </w:r>
          </w:p>
        </w:tc>
        <w:tc>
          <w:tcPr>
            <w:tcW w:w="1559" w:type="dxa"/>
            <w:vMerge/>
          </w:tcPr>
          <w:p w14:paraId="3F977F9D" w14:textId="77777777" w:rsidR="00375ED8" w:rsidRPr="00EA1BB2" w:rsidRDefault="00375ED8" w:rsidP="00375ED8">
            <w:pPr>
              <w:jc w:val="center"/>
              <w:rPr>
                <w:rFonts w:ascii="Cambria" w:hAnsi="Cambria" w:cs="Times New Roman"/>
                <w:sz w:val="20"/>
                <w:szCs w:val="20"/>
                <w:lang w:val="ro-RO"/>
              </w:rPr>
            </w:pPr>
          </w:p>
        </w:tc>
        <w:tc>
          <w:tcPr>
            <w:tcW w:w="1262" w:type="dxa"/>
          </w:tcPr>
          <w:p w14:paraId="32079110"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2018</w:t>
            </w:r>
          </w:p>
        </w:tc>
        <w:tc>
          <w:tcPr>
            <w:tcW w:w="1460" w:type="dxa"/>
          </w:tcPr>
          <w:p w14:paraId="6754E349"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2.875.000</w:t>
            </w:r>
          </w:p>
        </w:tc>
        <w:tc>
          <w:tcPr>
            <w:tcW w:w="1599" w:type="dxa"/>
          </w:tcPr>
          <w:p w14:paraId="3EA04482" w14:textId="77777777" w:rsidR="00375ED8" w:rsidRPr="00EA1BB2" w:rsidRDefault="00375ED8" w:rsidP="00375ED8">
            <w:pPr>
              <w:jc w:val="center"/>
              <w:rPr>
                <w:rFonts w:ascii="Cambria" w:hAnsi="Cambria" w:cs="Times New Roman"/>
                <w:bCs/>
                <w:sz w:val="20"/>
                <w:szCs w:val="20"/>
                <w:lang w:val="ro-RO"/>
              </w:rPr>
            </w:pPr>
            <w:r w:rsidRPr="00EA1BB2">
              <w:rPr>
                <w:rFonts w:ascii="Cambria" w:hAnsi="Cambria" w:cs="Times New Roman"/>
                <w:bCs/>
                <w:sz w:val="20"/>
                <w:szCs w:val="20"/>
                <w:lang w:val="ro-RO"/>
              </w:rPr>
              <w:t>BL</w:t>
            </w:r>
          </w:p>
        </w:tc>
        <w:tc>
          <w:tcPr>
            <w:tcW w:w="1701" w:type="dxa"/>
          </w:tcPr>
          <w:p w14:paraId="2570F2AA"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Nr. locuințe racordate la rețeaua de gaze naturale</w:t>
            </w:r>
          </w:p>
        </w:tc>
      </w:tr>
      <w:tr w:rsidR="00375ED8" w:rsidRPr="00EA1BB2" w14:paraId="0F393E00" w14:textId="77777777" w:rsidTr="00A812FA">
        <w:trPr>
          <w:trHeight w:val="623"/>
          <w:jc w:val="center"/>
        </w:trPr>
        <w:tc>
          <w:tcPr>
            <w:tcW w:w="851" w:type="dxa"/>
            <w:vMerge/>
          </w:tcPr>
          <w:p w14:paraId="7BB78AE9" w14:textId="77777777" w:rsidR="00375ED8" w:rsidRPr="00EA1BB2" w:rsidRDefault="00375ED8" w:rsidP="00375ED8">
            <w:pPr>
              <w:jc w:val="both"/>
              <w:rPr>
                <w:rFonts w:ascii="Cambria" w:hAnsi="Cambria" w:cs="Times New Roman"/>
                <w:sz w:val="20"/>
                <w:szCs w:val="20"/>
                <w:lang w:val="ro-RO"/>
              </w:rPr>
            </w:pPr>
          </w:p>
        </w:tc>
        <w:tc>
          <w:tcPr>
            <w:tcW w:w="2699" w:type="dxa"/>
            <w:vMerge/>
          </w:tcPr>
          <w:p w14:paraId="4B590474" w14:textId="77777777" w:rsidR="00375ED8" w:rsidRPr="00EA1BB2" w:rsidRDefault="00375ED8" w:rsidP="00375ED8">
            <w:pPr>
              <w:jc w:val="both"/>
              <w:rPr>
                <w:rFonts w:ascii="Cambria" w:hAnsi="Cambria" w:cs="Times New Roman"/>
                <w:bCs/>
                <w:sz w:val="20"/>
                <w:szCs w:val="20"/>
                <w:lang w:val="ro-RO"/>
              </w:rPr>
            </w:pPr>
          </w:p>
        </w:tc>
        <w:tc>
          <w:tcPr>
            <w:tcW w:w="3753" w:type="dxa"/>
          </w:tcPr>
          <w:p w14:paraId="310CC111" w14:textId="02B83B0D"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Extindere distribuție gaze naturale – loc. Baldovinești, Vădeni (25 gospodării)</w:t>
            </w:r>
          </w:p>
          <w:p w14:paraId="5157645E"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L=1,9km</w:t>
            </w:r>
          </w:p>
          <w:p w14:paraId="20B25705"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Vădeni=1,6km</w:t>
            </w:r>
          </w:p>
          <w:p w14:paraId="74C131BB"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Baldovinești=0,3km</w:t>
            </w:r>
          </w:p>
        </w:tc>
        <w:tc>
          <w:tcPr>
            <w:tcW w:w="1559" w:type="dxa"/>
          </w:tcPr>
          <w:p w14:paraId="329DC7BF"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Vădeni</w:t>
            </w:r>
          </w:p>
        </w:tc>
        <w:tc>
          <w:tcPr>
            <w:tcW w:w="1262" w:type="dxa"/>
          </w:tcPr>
          <w:p w14:paraId="6A04CB1E"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2018</w:t>
            </w:r>
          </w:p>
        </w:tc>
        <w:tc>
          <w:tcPr>
            <w:tcW w:w="1460" w:type="dxa"/>
          </w:tcPr>
          <w:p w14:paraId="54F12AD8"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150.000</w:t>
            </w:r>
          </w:p>
        </w:tc>
        <w:tc>
          <w:tcPr>
            <w:tcW w:w="1599" w:type="dxa"/>
          </w:tcPr>
          <w:p w14:paraId="43057E5B" w14:textId="77777777" w:rsidR="00375ED8" w:rsidRPr="00EA1BB2" w:rsidRDefault="00375ED8" w:rsidP="00375ED8">
            <w:pPr>
              <w:jc w:val="center"/>
              <w:rPr>
                <w:rFonts w:ascii="Cambria" w:hAnsi="Cambria" w:cs="Times New Roman"/>
                <w:bCs/>
                <w:sz w:val="20"/>
                <w:szCs w:val="20"/>
                <w:lang w:val="ro-RO"/>
              </w:rPr>
            </w:pPr>
            <w:r w:rsidRPr="00EA1BB2">
              <w:rPr>
                <w:rFonts w:ascii="Cambria" w:hAnsi="Cambria" w:cs="Times New Roman"/>
                <w:bCs/>
                <w:sz w:val="20"/>
                <w:szCs w:val="20"/>
                <w:lang w:val="ro-RO"/>
              </w:rPr>
              <w:t>BL</w:t>
            </w:r>
          </w:p>
        </w:tc>
        <w:tc>
          <w:tcPr>
            <w:tcW w:w="1701" w:type="dxa"/>
          </w:tcPr>
          <w:p w14:paraId="44CD3363"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Nr. locuințe racordate la rețeaua de gaze naturale</w:t>
            </w:r>
          </w:p>
        </w:tc>
      </w:tr>
      <w:tr w:rsidR="00375ED8" w:rsidRPr="00EA1BB2" w14:paraId="4B50601F" w14:textId="77777777" w:rsidTr="00A812FA">
        <w:trPr>
          <w:trHeight w:val="57"/>
          <w:jc w:val="center"/>
        </w:trPr>
        <w:tc>
          <w:tcPr>
            <w:tcW w:w="14884" w:type="dxa"/>
            <w:gridSpan w:val="8"/>
            <w:shd w:val="clear" w:color="auto" w:fill="FFC000"/>
          </w:tcPr>
          <w:p w14:paraId="220C4218" w14:textId="77777777" w:rsidR="00375ED8" w:rsidRPr="00EA1BB2" w:rsidRDefault="00375ED8" w:rsidP="00375ED8">
            <w:pPr>
              <w:rPr>
                <w:rFonts w:ascii="Cambria" w:hAnsi="Cambria" w:cs="Times New Roman"/>
                <w:b/>
                <w:sz w:val="20"/>
                <w:szCs w:val="20"/>
                <w:lang w:val="ro-RO"/>
              </w:rPr>
            </w:pPr>
            <w:r w:rsidRPr="00EA1BB2">
              <w:rPr>
                <w:rFonts w:ascii="Cambria" w:hAnsi="Cambria" w:cs="Times New Roman"/>
                <w:b/>
                <w:sz w:val="24"/>
                <w:szCs w:val="20"/>
                <w:lang w:val="ro-RO"/>
              </w:rPr>
              <w:t>SURSE STAȚIONARE</w:t>
            </w:r>
          </w:p>
        </w:tc>
      </w:tr>
      <w:tr w:rsidR="00375ED8" w:rsidRPr="00EA1BB2" w14:paraId="6D87F463" w14:textId="77777777" w:rsidTr="00A812FA">
        <w:trPr>
          <w:trHeight w:val="57"/>
          <w:jc w:val="center"/>
        </w:trPr>
        <w:tc>
          <w:tcPr>
            <w:tcW w:w="851" w:type="dxa"/>
            <w:vMerge w:val="restart"/>
          </w:tcPr>
          <w:p w14:paraId="65845116"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 xml:space="preserve">M.3.1. </w:t>
            </w:r>
          </w:p>
        </w:tc>
        <w:tc>
          <w:tcPr>
            <w:tcW w:w="2699" w:type="dxa"/>
            <w:vMerge w:val="restart"/>
          </w:tcPr>
          <w:p w14:paraId="2027B24E" w14:textId="77777777" w:rsidR="00375ED8" w:rsidRPr="00EA1BB2" w:rsidRDefault="00375ED8" w:rsidP="00375ED8">
            <w:pPr>
              <w:jc w:val="both"/>
              <w:rPr>
                <w:rFonts w:ascii="Cambria" w:hAnsi="Cambria" w:cs="Times New Roman"/>
                <w:bCs/>
                <w:sz w:val="20"/>
                <w:szCs w:val="20"/>
                <w:lang w:val="ro-RO"/>
              </w:rPr>
            </w:pPr>
            <w:r w:rsidRPr="00EA1BB2">
              <w:rPr>
                <w:rFonts w:ascii="Cambria" w:hAnsi="Cambria" w:cs="Times New Roman"/>
                <w:bCs/>
                <w:sz w:val="20"/>
                <w:szCs w:val="20"/>
                <w:lang w:val="ro-RO"/>
              </w:rPr>
              <w:t>Reabilitare termică a clădirilor instituționale</w:t>
            </w:r>
          </w:p>
        </w:tc>
        <w:tc>
          <w:tcPr>
            <w:tcW w:w="3753" w:type="dxa"/>
          </w:tcPr>
          <w:p w14:paraId="2DF010BC"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Reabilitarea și defuncționalizarea clădirii Palatului administrativ, Piața Independentei, nr.1, Brăila</w:t>
            </w:r>
          </w:p>
        </w:tc>
        <w:tc>
          <w:tcPr>
            <w:tcW w:w="1559" w:type="dxa"/>
          </w:tcPr>
          <w:p w14:paraId="6DBED130"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C.J. Brăila</w:t>
            </w:r>
          </w:p>
        </w:tc>
        <w:tc>
          <w:tcPr>
            <w:tcW w:w="1262" w:type="dxa"/>
          </w:tcPr>
          <w:p w14:paraId="4C6C16EC"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2022</w:t>
            </w:r>
          </w:p>
          <w:p w14:paraId="69B83891" w14:textId="77777777" w:rsidR="00375ED8" w:rsidRPr="00EA1BB2" w:rsidRDefault="00375ED8" w:rsidP="00375ED8">
            <w:pPr>
              <w:rPr>
                <w:rFonts w:ascii="Cambria" w:hAnsi="Cambria" w:cs="Times New Roman"/>
                <w:sz w:val="20"/>
                <w:szCs w:val="20"/>
                <w:lang w:val="ro-RO"/>
              </w:rPr>
            </w:pPr>
          </w:p>
        </w:tc>
        <w:tc>
          <w:tcPr>
            <w:tcW w:w="1460" w:type="dxa"/>
          </w:tcPr>
          <w:p w14:paraId="5B5F14E6"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10.251.840</w:t>
            </w:r>
          </w:p>
          <w:p w14:paraId="69B1AFEB" w14:textId="77777777" w:rsidR="00375ED8" w:rsidRPr="00EA1BB2" w:rsidRDefault="00375ED8" w:rsidP="00375ED8">
            <w:pPr>
              <w:jc w:val="center"/>
              <w:rPr>
                <w:rFonts w:ascii="Cambria" w:hAnsi="Cambria" w:cs="Times New Roman"/>
                <w:sz w:val="20"/>
                <w:szCs w:val="20"/>
                <w:lang w:val="ro-RO"/>
              </w:rPr>
            </w:pPr>
          </w:p>
        </w:tc>
        <w:tc>
          <w:tcPr>
            <w:tcW w:w="1599" w:type="dxa"/>
            <w:vAlign w:val="center"/>
          </w:tcPr>
          <w:p w14:paraId="60B6A795" w14:textId="77777777" w:rsidR="00375ED8" w:rsidRPr="00EA1BB2" w:rsidRDefault="00375ED8" w:rsidP="00375ED8">
            <w:pPr>
              <w:jc w:val="center"/>
              <w:rPr>
                <w:rFonts w:ascii="Cambria" w:hAnsi="Cambria" w:cs="Times New Roman"/>
                <w:bCs/>
                <w:sz w:val="20"/>
                <w:szCs w:val="20"/>
                <w:lang w:val="ro-RO"/>
              </w:rPr>
            </w:pPr>
            <w:r w:rsidRPr="00EA1BB2">
              <w:rPr>
                <w:rFonts w:ascii="Cambria" w:hAnsi="Cambria" w:cs="Times New Roman"/>
                <w:bCs/>
                <w:sz w:val="20"/>
                <w:szCs w:val="20"/>
                <w:lang w:val="ro-RO"/>
              </w:rPr>
              <w:t>POR</w:t>
            </w:r>
          </w:p>
          <w:p w14:paraId="5A47D778" w14:textId="77777777" w:rsidR="00375ED8" w:rsidRPr="00EA1BB2" w:rsidRDefault="00375ED8" w:rsidP="00375ED8">
            <w:pPr>
              <w:jc w:val="center"/>
              <w:rPr>
                <w:rFonts w:ascii="Cambria" w:hAnsi="Cambria" w:cs="Times New Roman"/>
                <w:bCs/>
                <w:sz w:val="20"/>
                <w:szCs w:val="20"/>
                <w:lang w:val="ro-RO"/>
              </w:rPr>
            </w:pPr>
            <w:r w:rsidRPr="00EA1BB2">
              <w:rPr>
                <w:rFonts w:ascii="Cambria" w:hAnsi="Cambria" w:cs="Times New Roman"/>
                <w:bCs/>
                <w:sz w:val="20"/>
                <w:szCs w:val="20"/>
                <w:lang w:val="ro-RO"/>
              </w:rPr>
              <w:t>2014-2020</w:t>
            </w:r>
          </w:p>
          <w:p w14:paraId="1121F65B" w14:textId="77777777" w:rsidR="00375ED8" w:rsidRPr="00EA1BB2" w:rsidRDefault="00375ED8" w:rsidP="00375ED8">
            <w:pPr>
              <w:rPr>
                <w:rFonts w:ascii="Cambria" w:hAnsi="Cambria" w:cs="Times New Roman"/>
                <w:sz w:val="20"/>
                <w:szCs w:val="20"/>
                <w:lang w:val="ro-RO"/>
              </w:rPr>
            </w:pPr>
          </w:p>
        </w:tc>
        <w:tc>
          <w:tcPr>
            <w:tcW w:w="1701" w:type="dxa"/>
          </w:tcPr>
          <w:p w14:paraId="5EF4B9C7"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Clădire reabilitată</w:t>
            </w:r>
          </w:p>
        </w:tc>
      </w:tr>
      <w:tr w:rsidR="00375ED8" w:rsidRPr="00EA1BB2" w14:paraId="43230B13" w14:textId="77777777" w:rsidTr="00A812FA">
        <w:trPr>
          <w:trHeight w:val="549"/>
          <w:jc w:val="center"/>
        </w:trPr>
        <w:tc>
          <w:tcPr>
            <w:tcW w:w="851" w:type="dxa"/>
            <w:vMerge/>
          </w:tcPr>
          <w:p w14:paraId="13B765CA" w14:textId="77777777" w:rsidR="00375ED8" w:rsidRPr="00EA1BB2" w:rsidRDefault="00375ED8" w:rsidP="00375ED8">
            <w:pPr>
              <w:jc w:val="both"/>
              <w:rPr>
                <w:rFonts w:ascii="Cambria" w:hAnsi="Cambria" w:cs="Times New Roman"/>
                <w:sz w:val="20"/>
                <w:szCs w:val="20"/>
                <w:lang w:val="ro-RO"/>
              </w:rPr>
            </w:pPr>
          </w:p>
        </w:tc>
        <w:tc>
          <w:tcPr>
            <w:tcW w:w="2699" w:type="dxa"/>
            <w:vMerge/>
          </w:tcPr>
          <w:p w14:paraId="7DC8B88B" w14:textId="77777777" w:rsidR="00375ED8" w:rsidRPr="00EA1BB2" w:rsidRDefault="00375ED8" w:rsidP="00375ED8">
            <w:pPr>
              <w:jc w:val="both"/>
              <w:rPr>
                <w:rFonts w:ascii="Cambria" w:hAnsi="Cambria" w:cs="Times New Roman"/>
                <w:bCs/>
                <w:sz w:val="20"/>
                <w:szCs w:val="20"/>
                <w:lang w:val="ro-RO"/>
              </w:rPr>
            </w:pPr>
          </w:p>
        </w:tc>
        <w:tc>
          <w:tcPr>
            <w:tcW w:w="3753" w:type="dxa"/>
          </w:tcPr>
          <w:p w14:paraId="185C9540"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Reabilitare energetică a Spitalului Județean de Urgență Brăila (sos. Buzăului, nr.2)</w:t>
            </w:r>
          </w:p>
        </w:tc>
        <w:tc>
          <w:tcPr>
            <w:tcW w:w="1559" w:type="dxa"/>
          </w:tcPr>
          <w:p w14:paraId="32D66954"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C.J. Brăila</w:t>
            </w:r>
          </w:p>
        </w:tc>
        <w:tc>
          <w:tcPr>
            <w:tcW w:w="1262" w:type="dxa"/>
          </w:tcPr>
          <w:p w14:paraId="66939461"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2022</w:t>
            </w:r>
          </w:p>
          <w:p w14:paraId="46B03769" w14:textId="77777777" w:rsidR="00375ED8" w:rsidRPr="00EA1BB2" w:rsidRDefault="00375ED8" w:rsidP="00375ED8">
            <w:pPr>
              <w:rPr>
                <w:rFonts w:ascii="Cambria" w:hAnsi="Cambria" w:cs="Times New Roman"/>
                <w:sz w:val="20"/>
                <w:szCs w:val="20"/>
                <w:lang w:val="ro-RO"/>
              </w:rPr>
            </w:pPr>
          </w:p>
        </w:tc>
        <w:tc>
          <w:tcPr>
            <w:tcW w:w="1460" w:type="dxa"/>
          </w:tcPr>
          <w:p w14:paraId="714A9FBE"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 5.600.000</w:t>
            </w:r>
          </w:p>
          <w:p w14:paraId="56DF2BBE" w14:textId="77777777" w:rsidR="00375ED8" w:rsidRPr="00EA1BB2" w:rsidRDefault="00375ED8" w:rsidP="00375ED8">
            <w:pPr>
              <w:rPr>
                <w:rFonts w:ascii="Cambria" w:hAnsi="Cambria" w:cs="Times New Roman"/>
                <w:sz w:val="20"/>
                <w:szCs w:val="20"/>
                <w:lang w:val="ro-RO"/>
              </w:rPr>
            </w:pPr>
          </w:p>
        </w:tc>
        <w:tc>
          <w:tcPr>
            <w:tcW w:w="1599" w:type="dxa"/>
            <w:vAlign w:val="center"/>
          </w:tcPr>
          <w:p w14:paraId="4A9DEB45" w14:textId="77777777" w:rsidR="00375ED8" w:rsidRPr="00EA1BB2" w:rsidRDefault="00375ED8" w:rsidP="00375ED8">
            <w:pPr>
              <w:jc w:val="center"/>
              <w:rPr>
                <w:rFonts w:ascii="Cambria" w:hAnsi="Cambria" w:cs="Times New Roman"/>
                <w:bCs/>
                <w:sz w:val="20"/>
                <w:szCs w:val="20"/>
                <w:lang w:val="ro-RO"/>
              </w:rPr>
            </w:pPr>
            <w:r w:rsidRPr="00EA1BB2">
              <w:rPr>
                <w:rFonts w:ascii="Cambria" w:hAnsi="Cambria" w:cs="Times New Roman"/>
                <w:bCs/>
                <w:sz w:val="20"/>
                <w:szCs w:val="20"/>
                <w:lang w:val="ro-RO"/>
              </w:rPr>
              <w:t>POR</w:t>
            </w:r>
          </w:p>
          <w:p w14:paraId="27578857"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bCs/>
                <w:sz w:val="20"/>
                <w:szCs w:val="20"/>
                <w:lang w:val="ro-RO"/>
              </w:rPr>
              <w:t>2014-2020</w:t>
            </w:r>
          </w:p>
        </w:tc>
        <w:tc>
          <w:tcPr>
            <w:tcW w:w="1701" w:type="dxa"/>
          </w:tcPr>
          <w:p w14:paraId="64163603"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Clădire reabilitată</w:t>
            </w:r>
          </w:p>
        </w:tc>
      </w:tr>
      <w:tr w:rsidR="00375ED8" w:rsidRPr="00EA1BB2" w14:paraId="3D0A5AE8" w14:textId="77777777" w:rsidTr="00A812FA">
        <w:trPr>
          <w:trHeight w:val="2130"/>
          <w:jc w:val="center"/>
        </w:trPr>
        <w:tc>
          <w:tcPr>
            <w:tcW w:w="851" w:type="dxa"/>
            <w:vMerge/>
          </w:tcPr>
          <w:p w14:paraId="326CA6A7" w14:textId="77777777" w:rsidR="00375ED8" w:rsidRPr="00EA1BB2" w:rsidRDefault="00375ED8" w:rsidP="00375ED8">
            <w:pPr>
              <w:jc w:val="both"/>
              <w:rPr>
                <w:rFonts w:ascii="Cambria" w:hAnsi="Cambria" w:cs="Times New Roman"/>
                <w:sz w:val="20"/>
                <w:szCs w:val="20"/>
                <w:lang w:val="ro-RO"/>
              </w:rPr>
            </w:pPr>
          </w:p>
        </w:tc>
        <w:tc>
          <w:tcPr>
            <w:tcW w:w="2699" w:type="dxa"/>
            <w:vMerge/>
          </w:tcPr>
          <w:p w14:paraId="0D422AD7" w14:textId="77777777" w:rsidR="00375ED8" w:rsidRPr="00EA1BB2" w:rsidRDefault="00375ED8" w:rsidP="00375ED8">
            <w:pPr>
              <w:jc w:val="both"/>
              <w:rPr>
                <w:rFonts w:ascii="Cambria" w:hAnsi="Cambria" w:cs="Times New Roman"/>
                <w:bCs/>
                <w:sz w:val="20"/>
                <w:szCs w:val="20"/>
                <w:lang w:val="ro-RO"/>
              </w:rPr>
            </w:pPr>
          </w:p>
        </w:tc>
        <w:tc>
          <w:tcPr>
            <w:tcW w:w="3753" w:type="dxa"/>
          </w:tcPr>
          <w:p w14:paraId="3E72293C"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Reabilitare dispensar uman cu centrală termică pe gaze - sat Chiscani</w:t>
            </w:r>
          </w:p>
          <w:p w14:paraId="3CA4C64D" w14:textId="77777777" w:rsidR="00375ED8" w:rsidRPr="00EA1BB2" w:rsidRDefault="00375ED8" w:rsidP="00375ED8">
            <w:pPr>
              <w:jc w:val="both"/>
              <w:rPr>
                <w:rFonts w:ascii="Cambria" w:hAnsi="Cambria" w:cs="Times New Roman"/>
                <w:sz w:val="20"/>
                <w:szCs w:val="20"/>
                <w:lang w:val="ro-RO"/>
              </w:rPr>
            </w:pPr>
          </w:p>
          <w:p w14:paraId="18585A35"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Reabilitare și extindere sediu primărie, cu centrală termică pe gaze – sat Chiscani</w:t>
            </w:r>
          </w:p>
          <w:p w14:paraId="10895BC1" w14:textId="77777777" w:rsidR="00375ED8" w:rsidRPr="00EA1BB2" w:rsidRDefault="00375ED8" w:rsidP="00375ED8">
            <w:pPr>
              <w:jc w:val="both"/>
              <w:rPr>
                <w:rFonts w:ascii="Cambria" w:hAnsi="Cambria" w:cs="Times New Roman"/>
                <w:sz w:val="20"/>
                <w:szCs w:val="20"/>
                <w:lang w:val="ro-RO"/>
              </w:rPr>
            </w:pPr>
          </w:p>
          <w:p w14:paraId="0091ACF2"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Reabilitare cămin cultural și centrală termică electrică – sat Lacu Sărat</w:t>
            </w:r>
          </w:p>
        </w:tc>
        <w:tc>
          <w:tcPr>
            <w:tcW w:w="1559" w:type="dxa"/>
          </w:tcPr>
          <w:p w14:paraId="6FA46B5F"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Chiscani</w:t>
            </w:r>
          </w:p>
        </w:tc>
        <w:tc>
          <w:tcPr>
            <w:tcW w:w="1262" w:type="dxa"/>
          </w:tcPr>
          <w:p w14:paraId="11B802D8"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2018</w:t>
            </w:r>
          </w:p>
          <w:p w14:paraId="5B51C3B3" w14:textId="77777777" w:rsidR="00375ED8" w:rsidRPr="00EA1BB2" w:rsidRDefault="00375ED8" w:rsidP="00375ED8">
            <w:pPr>
              <w:jc w:val="center"/>
              <w:rPr>
                <w:rFonts w:ascii="Cambria" w:hAnsi="Cambria" w:cs="Times New Roman"/>
                <w:sz w:val="20"/>
                <w:szCs w:val="20"/>
                <w:lang w:val="ro-RO"/>
              </w:rPr>
            </w:pPr>
          </w:p>
          <w:p w14:paraId="6ACDA2CF" w14:textId="77777777" w:rsidR="00375ED8" w:rsidRPr="00EA1BB2" w:rsidRDefault="00375ED8" w:rsidP="00375ED8">
            <w:pPr>
              <w:jc w:val="center"/>
              <w:rPr>
                <w:rFonts w:ascii="Cambria" w:hAnsi="Cambria" w:cs="Times New Roman"/>
                <w:sz w:val="20"/>
                <w:szCs w:val="20"/>
                <w:lang w:val="ro-RO"/>
              </w:rPr>
            </w:pPr>
          </w:p>
          <w:p w14:paraId="6DEBD7E8" w14:textId="77777777" w:rsidR="00375ED8" w:rsidRPr="00EA1BB2" w:rsidRDefault="00375ED8" w:rsidP="00375ED8">
            <w:pPr>
              <w:jc w:val="center"/>
              <w:rPr>
                <w:rFonts w:ascii="Cambria" w:hAnsi="Cambria" w:cs="Times New Roman"/>
                <w:sz w:val="20"/>
                <w:szCs w:val="20"/>
                <w:lang w:val="ro-RO"/>
              </w:rPr>
            </w:pPr>
          </w:p>
          <w:p w14:paraId="0BC6D11A"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2018</w:t>
            </w:r>
          </w:p>
          <w:p w14:paraId="6550829F" w14:textId="77777777" w:rsidR="00375ED8" w:rsidRPr="00EA1BB2" w:rsidRDefault="00375ED8" w:rsidP="00375ED8">
            <w:pPr>
              <w:jc w:val="center"/>
              <w:rPr>
                <w:rFonts w:ascii="Cambria" w:hAnsi="Cambria" w:cs="Times New Roman"/>
                <w:sz w:val="20"/>
                <w:szCs w:val="20"/>
                <w:lang w:val="ro-RO"/>
              </w:rPr>
            </w:pPr>
          </w:p>
          <w:p w14:paraId="5CB00618" w14:textId="77777777" w:rsidR="00375ED8" w:rsidRPr="00EA1BB2" w:rsidRDefault="00375ED8" w:rsidP="00375ED8">
            <w:pPr>
              <w:jc w:val="center"/>
              <w:rPr>
                <w:rFonts w:ascii="Cambria" w:hAnsi="Cambria" w:cs="Times New Roman"/>
                <w:sz w:val="20"/>
                <w:szCs w:val="20"/>
                <w:lang w:val="ro-RO"/>
              </w:rPr>
            </w:pPr>
          </w:p>
          <w:p w14:paraId="67E6BBFB" w14:textId="77777777" w:rsidR="00375ED8" w:rsidRPr="00EA1BB2" w:rsidRDefault="00375ED8" w:rsidP="00375ED8">
            <w:pPr>
              <w:jc w:val="center"/>
              <w:rPr>
                <w:rFonts w:ascii="Cambria" w:hAnsi="Cambria" w:cs="Times New Roman"/>
                <w:sz w:val="20"/>
                <w:szCs w:val="20"/>
                <w:lang w:val="ro-RO"/>
              </w:rPr>
            </w:pPr>
          </w:p>
          <w:p w14:paraId="19C6704A"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2019</w:t>
            </w:r>
          </w:p>
        </w:tc>
        <w:tc>
          <w:tcPr>
            <w:tcW w:w="1460" w:type="dxa"/>
          </w:tcPr>
          <w:p w14:paraId="6CCE9422"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997.000</w:t>
            </w:r>
          </w:p>
          <w:p w14:paraId="4C15C09B" w14:textId="77777777" w:rsidR="00375ED8" w:rsidRPr="00EA1BB2" w:rsidRDefault="00375ED8" w:rsidP="00375ED8">
            <w:pPr>
              <w:jc w:val="center"/>
              <w:rPr>
                <w:rFonts w:ascii="Cambria" w:hAnsi="Cambria" w:cs="Times New Roman"/>
                <w:sz w:val="20"/>
                <w:szCs w:val="20"/>
                <w:lang w:val="ro-RO"/>
              </w:rPr>
            </w:pPr>
          </w:p>
          <w:p w14:paraId="798AD5A5" w14:textId="77777777" w:rsidR="00375ED8" w:rsidRPr="00EA1BB2" w:rsidRDefault="00375ED8" w:rsidP="00375ED8">
            <w:pPr>
              <w:jc w:val="center"/>
              <w:rPr>
                <w:rFonts w:ascii="Cambria" w:hAnsi="Cambria" w:cs="Times New Roman"/>
                <w:sz w:val="20"/>
                <w:szCs w:val="20"/>
                <w:lang w:val="ro-RO"/>
              </w:rPr>
            </w:pPr>
          </w:p>
          <w:p w14:paraId="5E3304E3" w14:textId="77777777" w:rsidR="00375ED8" w:rsidRPr="00EA1BB2" w:rsidRDefault="00375ED8" w:rsidP="00375ED8">
            <w:pPr>
              <w:jc w:val="center"/>
              <w:rPr>
                <w:rFonts w:ascii="Cambria" w:hAnsi="Cambria" w:cs="Times New Roman"/>
                <w:sz w:val="20"/>
                <w:szCs w:val="20"/>
                <w:lang w:val="ro-RO"/>
              </w:rPr>
            </w:pPr>
          </w:p>
          <w:p w14:paraId="664F72AC"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1.100.000</w:t>
            </w:r>
          </w:p>
          <w:p w14:paraId="10EF1424" w14:textId="77777777" w:rsidR="00375ED8" w:rsidRPr="00EA1BB2" w:rsidRDefault="00375ED8" w:rsidP="00375ED8">
            <w:pPr>
              <w:jc w:val="center"/>
              <w:rPr>
                <w:rFonts w:ascii="Cambria" w:hAnsi="Cambria" w:cs="Times New Roman"/>
                <w:sz w:val="20"/>
                <w:szCs w:val="20"/>
                <w:lang w:val="ro-RO"/>
              </w:rPr>
            </w:pPr>
          </w:p>
          <w:p w14:paraId="3EE472E2" w14:textId="77777777" w:rsidR="00375ED8" w:rsidRPr="00EA1BB2" w:rsidRDefault="00375ED8" w:rsidP="00375ED8">
            <w:pPr>
              <w:jc w:val="center"/>
              <w:rPr>
                <w:rFonts w:ascii="Cambria" w:hAnsi="Cambria" w:cs="Times New Roman"/>
                <w:sz w:val="20"/>
                <w:szCs w:val="20"/>
                <w:lang w:val="ro-RO"/>
              </w:rPr>
            </w:pPr>
          </w:p>
          <w:p w14:paraId="5D181EB8" w14:textId="77777777" w:rsidR="00375ED8" w:rsidRPr="00EA1BB2" w:rsidRDefault="00375ED8" w:rsidP="00375ED8">
            <w:pPr>
              <w:jc w:val="center"/>
              <w:rPr>
                <w:rFonts w:ascii="Cambria" w:hAnsi="Cambria" w:cs="Times New Roman"/>
                <w:sz w:val="20"/>
                <w:szCs w:val="20"/>
                <w:lang w:val="ro-RO"/>
              </w:rPr>
            </w:pPr>
          </w:p>
          <w:p w14:paraId="015F51CA"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2.741.662</w:t>
            </w:r>
          </w:p>
        </w:tc>
        <w:tc>
          <w:tcPr>
            <w:tcW w:w="1599" w:type="dxa"/>
            <w:vAlign w:val="center"/>
          </w:tcPr>
          <w:p w14:paraId="40D156CC" w14:textId="77777777" w:rsidR="00375ED8" w:rsidRPr="00EA1BB2" w:rsidRDefault="00375ED8" w:rsidP="00375ED8">
            <w:pPr>
              <w:jc w:val="center"/>
              <w:rPr>
                <w:rFonts w:ascii="Cambria" w:hAnsi="Cambria" w:cs="Times New Roman"/>
                <w:bCs/>
                <w:sz w:val="20"/>
                <w:szCs w:val="20"/>
                <w:lang w:val="ro-RO"/>
              </w:rPr>
            </w:pPr>
            <w:r w:rsidRPr="00EA1BB2">
              <w:rPr>
                <w:rFonts w:ascii="Cambria" w:hAnsi="Cambria" w:cs="Times New Roman"/>
                <w:bCs/>
                <w:sz w:val="20"/>
                <w:szCs w:val="20"/>
                <w:lang w:val="ro-RO"/>
              </w:rPr>
              <w:t>BL+CJ</w:t>
            </w:r>
          </w:p>
          <w:p w14:paraId="39FBB497" w14:textId="77777777" w:rsidR="00375ED8" w:rsidRPr="00EA1BB2" w:rsidRDefault="00375ED8" w:rsidP="00375ED8">
            <w:pPr>
              <w:jc w:val="center"/>
              <w:rPr>
                <w:rFonts w:ascii="Cambria" w:hAnsi="Cambria" w:cs="Times New Roman"/>
                <w:bCs/>
                <w:sz w:val="20"/>
                <w:szCs w:val="20"/>
                <w:lang w:val="ro-RO"/>
              </w:rPr>
            </w:pPr>
          </w:p>
          <w:p w14:paraId="084BDA0D" w14:textId="77777777" w:rsidR="00375ED8" w:rsidRPr="00EA1BB2" w:rsidRDefault="00375ED8" w:rsidP="00375ED8">
            <w:pPr>
              <w:jc w:val="center"/>
              <w:rPr>
                <w:rFonts w:ascii="Cambria" w:hAnsi="Cambria" w:cs="Times New Roman"/>
                <w:bCs/>
                <w:sz w:val="20"/>
                <w:szCs w:val="20"/>
                <w:lang w:val="ro-RO"/>
              </w:rPr>
            </w:pPr>
          </w:p>
          <w:p w14:paraId="60F8EC5A" w14:textId="77777777" w:rsidR="00375ED8" w:rsidRPr="00EA1BB2" w:rsidRDefault="00375ED8" w:rsidP="00375ED8">
            <w:pPr>
              <w:jc w:val="center"/>
              <w:rPr>
                <w:rFonts w:ascii="Cambria" w:hAnsi="Cambria" w:cs="Times New Roman"/>
                <w:bCs/>
                <w:sz w:val="20"/>
                <w:szCs w:val="20"/>
                <w:lang w:val="ro-RO"/>
              </w:rPr>
            </w:pPr>
          </w:p>
          <w:p w14:paraId="48902B69" w14:textId="77777777" w:rsidR="00375ED8" w:rsidRPr="00EA1BB2" w:rsidRDefault="00375ED8" w:rsidP="00375ED8">
            <w:pPr>
              <w:jc w:val="center"/>
              <w:rPr>
                <w:rFonts w:ascii="Cambria" w:hAnsi="Cambria" w:cs="Times New Roman"/>
                <w:bCs/>
                <w:sz w:val="20"/>
                <w:szCs w:val="20"/>
                <w:lang w:val="ro-RO"/>
              </w:rPr>
            </w:pPr>
            <w:r w:rsidRPr="00EA1BB2">
              <w:rPr>
                <w:rFonts w:ascii="Cambria" w:hAnsi="Cambria" w:cs="Times New Roman"/>
                <w:bCs/>
                <w:sz w:val="20"/>
                <w:szCs w:val="20"/>
                <w:lang w:val="ro-RO"/>
              </w:rPr>
              <w:t>BL</w:t>
            </w:r>
          </w:p>
          <w:p w14:paraId="5DDE3881" w14:textId="77777777" w:rsidR="00375ED8" w:rsidRPr="00EA1BB2" w:rsidRDefault="00375ED8" w:rsidP="00375ED8">
            <w:pPr>
              <w:jc w:val="center"/>
              <w:rPr>
                <w:rFonts w:ascii="Cambria" w:hAnsi="Cambria" w:cs="Times New Roman"/>
                <w:bCs/>
                <w:sz w:val="20"/>
                <w:szCs w:val="20"/>
                <w:lang w:val="ro-RO"/>
              </w:rPr>
            </w:pPr>
          </w:p>
          <w:p w14:paraId="312A9324" w14:textId="77777777" w:rsidR="00375ED8" w:rsidRPr="00EA1BB2" w:rsidRDefault="00375ED8" w:rsidP="00375ED8">
            <w:pPr>
              <w:jc w:val="center"/>
              <w:rPr>
                <w:rFonts w:ascii="Cambria" w:hAnsi="Cambria" w:cs="Times New Roman"/>
                <w:bCs/>
                <w:sz w:val="20"/>
                <w:szCs w:val="20"/>
                <w:lang w:val="ro-RO"/>
              </w:rPr>
            </w:pPr>
          </w:p>
          <w:p w14:paraId="495BA398" w14:textId="77777777" w:rsidR="00375ED8" w:rsidRPr="00EA1BB2" w:rsidRDefault="00375ED8" w:rsidP="00375ED8">
            <w:pPr>
              <w:jc w:val="center"/>
              <w:rPr>
                <w:rFonts w:ascii="Cambria" w:hAnsi="Cambria" w:cs="Times New Roman"/>
                <w:bCs/>
                <w:sz w:val="20"/>
                <w:szCs w:val="20"/>
                <w:lang w:val="ro-RO"/>
              </w:rPr>
            </w:pPr>
          </w:p>
          <w:p w14:paraId="5B9FDE0D"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bCs/>
                <w:sz w:val="20"/>
                <w:szCs w:val="20"/>
                <w:lang w:val="ro-RO"/>
              </w:rPr>
              <w:t>BL</w:t>
            </w:r>
          </w:p>
        </w:tc>
        <w:tc>
          <w:tcPr>
            <w:tcW w:w="1701" w:type="dxa"/>
          </w:tcPr>
          <w:p w14:paraId="1F167EC7"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Clădiri reabilitate</w:t>
            </w:r>
          </w:p>
        </w:tc>
      </w:tr>
      <w:tr w:rsidR="00375ED8" w:rsidRPr="00EA1BB2" w14:paraId="46D16CCF" w14:textId="77777777" w:rsidTr="00A812FA">
        <w:trPr>
          <w:trHeight w:val="675"/>
          <w:jc w:val="center"/>
        </w:trPr>
        <w:tc>
          <w:tcPr>
            <w:tcW w:w="851" w:type="dxa"/>
            <w:vMerge/>
          </w:tcPr>
          <w:p w14:paraId="514E3C1D" w14:textId="77777777" w:rsidR="00375ED8" w:rsidRPr="00EA1BB2" w:rsidRDefault="00375ED8" w:rsidP="00375ED8">
            <w:pPr>
              <w:jc w:val="both"/>
              <w:rPr>
                <w:rFonts w:ascii="Cambria" w:hAnsi="Cambria" w:cs="Times New Roman"/>
                <w:sz w:val="20"/>
                <w:szCs w:val="20"/>
                <w:lang w:val="ro-RO"/>
              </w:rPr>
            </w:pPr>
          </w:p>
        </w:tc>
        <w:tc>
          <w:tcPr>
            <w:tcW w:w="2699" w:type="dxa"/>
            <w:vMerge/>
          </w:tcPr>
          <w:p w14:paraId="41650977" w14:textId="77777777" w:rsidR="00375ED8" w:rsidRPr="00EA1BB2" w:rsidRDefault="00375ED8" w:rsidP="00375ED8">
            <w:pPr>
              <w:jc w:val="both"/>
              <w:rPr>
                <w:rFonts w:ascii="Cambria" w:hAnsi="Cambria" w:cs="Times New Roman"/>
                <w:bCs/>
                <w:sz w:val="20"/>
                <w:szCs w:val="20"/>
                <w:lang w:val="ro-RO"/>
              </w:rPr>
            </w:pPr>
          </w:p>
        </w:tc>
        <w:tc>
          <w:tcPr>
            <w:tcW w:w="3753" w:type="dxa"/>
          </w:tcPr>
          <w:p w14:paraId="5C28E768"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Reabilitare și modernizare clădire grădiniță cu program normal, în loc. Stăncuța</w:t>
            </w:r>
          </w:p>
        </w:tc>
        <w:tc>
          <w:tcPr>
            <w:tcW w:w="1559" w:type="dxa"/>
          </w:tcPr>
          <w:p w14:paraId="28425E12"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Stăncuța</w:t>
            </w:r>
          </w:p>
          <w:p w14:paraId="151F917D" w14:textId="77777777" w:rsidR="00375ED8" w:rsidRPr="00EA1BB2" w:rsidRDefault="00375ED8" w:rsidP="00375ED8">
            <w:pPr>
              <w:jc w:val="center"/>
              <w:rPr>
                <w:rFonts w:ascii="Cambria" w:hAnsi="Cambria" w:cs="Times New Roman"/>
                <w:sz w:val="20"/>
                <w:szCs w:val="20"/>
                <w:lang w:val="ro-RO"/>
              </w:rPr>
            </w:pPr>
          </w:p>
        </w:tc>
        <w:tc>
          <w:tcPr>
            <w:tcW w:w="1262" w:type="dxa"/>
          </w:tcPr>
          <w:p w14:paraId="771D1DAE"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2018</w:t>
            </w:r>
          </w:p>
        </w:tc>
        <w:tc>
          <w:tcPr>
            <w:tcW w:w="1460" w:type="dxa"/>
          </w:tcPr>
          <w:p w14:paraId="3308A209"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715.000</w:t>
            </w:r>
          </w:p>
        </w:tc>
        <w:tc>
          <w:tcPr>
            <w:tcW w:w="1599" w:type="dxa"/>
            <w:vAlign w:val="center"/>
          </w:tcPr>
          <w:p w14:paraId="6D3CF6A1"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bCs/>
                <w:sz w:val="20"/>
                <w:szCs w:val="20"/>
                <w:lang w:val="ro-RO"/>
              </w:rPr>
              <w:t>BL</w:t>
            </w:r>
          </w:p>
        </w:tc>
        <w:tc>
          <w:tcPr>
            <w:tcW w:w="1701" w:type="dxa"/>
          </w:tcPr>
          <w:p w14:paraId="56CE63A4"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Clădire reabilitată</w:t>
            </w:r>
          </w:p>
        </w:tc>
      </w:tr>
      <w:tr w:rsidR="00375ED8" w:rsidRPr="00EA1BB2" w14:paraId="3D4F160B" w14:textId="77777777" w:rsidTr="00A812FA">
        <w:trPr>
          <w:trHeight w:val="980"/>
          <w:jc w:val="center"/>
        </w:trPr>
        <w:tc>
          <w:tcPr>
            <w:tcW w:w="851" w:type="dxa"/>
            <w:vMerge/>
          </w:tcPr>
          <w:p w14:paraId="6B48200E" w14:textId="77777777" w:rsidR="00375ED8" w:rsidRPr="00EA1BB2" w:rsidRDefault="00375ED8" w:rsidP="00375ED8">
            <w:pPr>
              <w:jc w:val="both"/>
              <w:rPr>
                <w:rFonts w:ascii="Cambria" w:hAnsi="Cambria" w:cs="Times New Roman"/>
                <w:sz w:val="20"/>
                <w:szCs w:val="20"/>
                <w:lang w:val="ro-RO"/>
              </w:rPr>
            </w:pPr>
          </w:p>
        </w:tc>
        <w:tc>
          <w:tcPr>
            <w:tcW w:w="2699" w:type="dxa"/>
            <w:vMerge/>
          </w:tcPr>
          <w:p w14:paraId="4902B7A4" w14:textId="77777777" w:rsidR="00375ED8" w:rsidRPr="00EA1BB2" w:rsidRDefault="00375ED8" w:rsidP="00375ED8">
            <w:pPr>
              <w:jc w:val="both"/>
              <w:rPr>
                <w:rFonts w:ascii="Cambria" w:hAnsi="Cambria" w:cs="Times New Roman"/>
                <w:bCs/>
                <w:sz w:val="20"/>
                <w:szCs w:val="20"/>
                <w:lang w:val="ro-RO"/>
              </w:rPr>
            </w:pPr>
          </w:p>
        </w:tc>
        <w:tc>
          <w:tcPr>
            <w:tcW w:w="3753" w:type="dxa"/>
          </w:tcPr>
          <w:p w14:paraId="084BE07A"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Executare instalație termică și achiziționare centrală termică pe gaze la liceul tehnologic N. Oncescu, localitatea Ianca – garsoniere profesori</w:t>
            </w:r>
          </w:p>
        </w:tc>
        <w:tc>
          <w:tcPr>
            <w:tcW w:w="1559" w:type="dxa"/>
          </w:tcPr>
          <w:p w14:paraId="61EF7040"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Primarul localității Ianca</w:t>
            </w:r>
          </w:p>
        </w:tc>
        <w:tc>
          <w:tcPr>
            <w:tcW w:w="1262" w:type="dxa"/>
          </w:tcPr>
          <w:p w14:paraId="39B22F7A"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2018</w:t>
            </w:r>
          </w:p>
          <w:p w14:paraId="03D42833" w14:textId="77777777" w:rsidR="00375ED8" w:rsidRPr="00EA1BB2" w:rsidRDefault="00375ED8" w:rsidP="00375ED8">
            <w:pPr>
              <w:jc w:val="center"/>
              <w:rPr>
                <w:rFonts w:ascii="Cambria" w:hAnsi="Cambria" w:cs="Times New Roman"/>
                <w:sz w:val="20"/>
                <w:szCs w:val="20"/>
                <w:lang w:val="ro-RO"/>
              </w:rPr>
            </w:pPr>
          </w:p>
          <w:p w14:paraId="7D16EDF0" w14:textId="77777777" w:rsidR="00375ED8" w:rsidRPr="00EA1BB2" w:rsidRDefault="00375ED8" w:rsidP="00375ED8">
            <w:pPr>
              <w:rPr>
                <w:rFonts w:ascii="Cambria" w:hAnsi="Cambria" w:cs="Times New Roman"/>
                <w:sz w:val="20"/>
                <w:szCs w:val="20"/>
                <w:lang w:val="ro-RO"/>
              </w:rPr>
            </w:pPr>
          </w:p>
        </w:tc>
        <w:tc>
          <w:tcPr>
            <w:tcW w:w="1460" w:type="dxa"/>
          </w:tcPr>
          <w:p w14:paraId="73B2FFFA"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60.000</w:t>
            </w:r>
          </w:p>
          <w:p w14:paraId="35131A53" w14:textId="77777777" w:rsidR="00375ED8" w:rsidRPr="00EA1BB2" w:rsidRDefault="00375ED8" w:rsidP="00375ED8">
            <w:pPr>
              <w:jc w:val="center"/>
              <w:rPr>
                <w:rFonts w:ascii="Cambria" w:hAnsi="Cambria" w:cs="Times New Roman"/>
                <w:sz w:val="20"/>
                <w:szCs w:val="20"/>
                <w:lang w:val="ro-RO"/>
              </w:rPr>
            </w:pPr>
          </w:p>
          <w:p w14:paraId="38E5A969" w14:textId="77777777" w:rsidR="00375ED8" w:rsidRPr="00EA1BB2" w:rsidRDefault="00375ED8" w:rsidP="00375ED8">
            <w:pPr>
              <w:rPr>
                <w:rFonts w:ascii="Cambria" w:hAnsi="Cambria" w:cs="Times New Roman"/>
                <w:sz w:val="20"/>
                <w:szCs w:val="20"/>
                <w:lang w:val="ro-RO"/>
              </w:rPr>
            </w:pPr>
          </w:p>
        </w:tc>
        <w:tc>
          <w:tcPr>
            <w:tcW w:w="1599" w:type="dxa"/>
            <w:vAlign w:val="center"/>
          </w:tcPr>
          <w:p w14:paraId="5DA0F104" w14:textId="77777777" w:rsidR="00375ED8" w:rsidRPr="00EA1BB2" w:rsidRDefault="00375ED8" w:rsidP="00375ED8">
            <w:pPr>
              <w:jc w:val="center"/>
              <w:rPr>
                <w:rFonts w:ascii="Cambria" w:hAnsi="Cambria" w:cs="Times New Roman"/>
                <w:bCs/>
                <w:sz w:val="20"/>
                <w:szCs w:val="20"/>
                <w:lang w:val="ro-RO"/>
              </w:rPr>
            </w:pPr>
            <w:r w:rsidRPr="00EA1BB2">
              <w:rPr>
                <w:rFonts w:ascii="Cambria" w:hAnsi="Cambria" w:cs="Times New Roman"/>
                <w:bCs/>
                <w:sz w:val="20"/>
                <w:szCs w:val="20"/>
                <w:lang w:val="ro-RO"/>
              </w:rPr>
              <w:t>BL</w:t>
            </w:r>
          </w:p>
          <w:p w14:paraId="024B186C" w14:textId="77777777" w:rsidR="00375ED8" w:rsidRPr="00EA1BB2" w:rsidRDefault="00375ED8" w:rsidP="00375ED8">
            <w:pPr>
              <w:jc w:val="center"/>
              <w:rPr>
                <w:rFonts w:ascii="Cambria" w:hAnsi="Cambria" w:cs="Times New Roman"/>
                <w:bCs/>
                <w:sz w:val="20"/>
                <w:szCs w:val="20"/>
                <w:lang w:val="ro-RO"/>
              </w:rPr>
            </w:pPr>
          </w:p>
          <w:p w14:paraId="15F4A547" w14:textId="77777777" w:rsidR="00375ED8" w:rsidRPr="00EA1BB2" w:rsidRDefault="00375ED8" w:rsidP="00375ED8">
            <w:pPr>
              <w:jc w:val="center"/>
              <w:rPr>
                <w:rFonts w:ascii="Cambria" w:hAnsi="Cambria" w:cs="Times New Roman"/>
                <w:bCs/>
                <w:sz w:val="20"/>
                <w:szCs w:val="20"/>
                <w:lang w:val="ro-RO"/>
              </w:rPr>
            </w:pPr>
          </w:p>
          <w:p w14:paraId="6575578E" w14:textId="77777777" w:rsidR="00375ED8" w:rsidRPr="00EA1BB2" w:rsidRDefault="00375ED8" w:rsidP="00375ED8">
            <w:pPr>
              <w:jc w:val="center"/>
              <w:rPr>
                <w:rFonts w:ascii="Cambria" w:hAnsi="Cambria" w:cs="Times New Roman"/>
                <w:sz w:val="20"/>
                <w:szCs w:val="20"/>
                <w:lang w:val="ro-RO"/>
              </w:rPr>
            </w:pPr>
          </w:p>
        </w:tc>
        <w:tc>
          <w:tcPr>
            <w:tcW w:w="1701" w:type="dxa"/>
          </w:tcPr>
          <w:p w14:paraId="61ACCD5B"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Clădire reabilitată</w:t>
            </w:r>
          </w:p>
        </w:tc>
      </w:tr>
      <w:tr w:rsidR="00375ED8" w:rsidRPr="00EA1BB2" w14:paraId="04F7DF8F" w14:textId="77777777" w:rsidTr="00A812FA">
        <w:trPr>
          <w:trHeight w:val="57"/>
          <w:jc w:val="center"/>
        </w:trPr>
        <w:tc>
          <w:tcPr>
            <w:tcW w:w="14884" w:type="dxa"/>
            <w:gridSpan w:val="8"/>
            <w:shd w:val="clear" w:color="auto" w:fill="FFC000"/>
          </w:tcPr>
          <w:p w14:paraId="1E0D72C0" w14:textId="77777777" w:rsidR="00375ED8" w:rsidRPr="00EA1BB2" w:rsidRDefault="00375ED8" w:rsidP="00375ED8">
            <w:pPr>
              <w:jc w:val="both"/>
              <w:rPr>
                <w:rFonts w:ascii="Cambria" w:hAnsi="Cambria" w:cs="Times New Roman"/>
                <w:b/>
                <w:bCs/>
                <w:sz w:val="24"/>
                <w:szCs w:val="20"/>
                <w:lang w:val="ro-RO"/>
              </w:rPr>
            </w:pPr>
            <w:r w:rsidRPr="00EA1BB2">
              <w:rPr>
                <w:rFonts w:ascii="Cambria" w:hAnsi="Cambria" w:cs="Times New Roman"/>
                <w:b/>
                <w:bCs/>
                <w:sz w:val="24"/>
                <w:szCs w:val="20"/>
                <w:lang w:val="ro-RO"/>
              </w:rPr>
              <w:t>ALTE PROPUNERI DE MĂSURI PENTRU REDUCEREA POLUĂRII AERULUI</w:t>
            </w:r>
          </w:p>
        </w:tc>
      </w:tr>
      <w:tr w:rsidR="00375ED8" w:rsidRPr="00EA1BB2" w14:paraId="23680824" w14:textId="77777777" w:rsidTr="00A812FA">
        <w:trPr>
          <w:trHeight w:val="57"/>
          <w:jc w:val="center"/>
        </w:trPr>
        <w:tc>
          <w:tcPr>
            <w:tcW w:w="851" w:type="dxa"/>
          </w:tcPr>
          <w:p w14:paraId="34482015"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 xml:space="preserve">M.4.1. </w:t>
            </w:r>
          </w:p>
        </w:tc>
        <w:tc>
          <w:tcPr>
            <w:tcW w:w="2699" w:type="dxa"/>
          </w:tcPr>
          <w:p w14:paraId="4E0382C5"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Conștientizarea populației cu privire la nivelul real al calității aerului, la implicațiile asupra sănătății umane</w:t>
            </w:r>
          </w:p>
        </w:tc>
        <w:tc>
          <w:tcPr>
            <w:tcW w:w="3753" w:type="dxa"/>
          </w:tcPr>
          <w:p w14:paraId="77BCA1CB"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Informarea populației privind efectele poluării asupra sănătății populației, pe grupe de receptori sensibili.</w:t>
            </w:r>
          </w:p>
        </w:tc>
        <w:tc>
          <w:tcPr>
            <w:tcW w:w="1559" w:type="dxa"/>
          </w:tcPr>
          <w:p w14:paraId="1A97EDF9" w14:textId="77777777" w:rsidR="00375ED8" w:rsidRPr="00EA1BB2" w:rsidRDefault="00375ED8" w:rsidP="00375ED8">
            <w:pPr>
              <w:jc w:val="center"/>
              <w:rPr>
                <w:rFonts w:ascii="Cambria" w:hAnsi="Cambria" w:cs="Times New Roman"/>
                <w:sz w:val="20"/>
                <w:szCs w:val="20"/>
                <w:lang w:val="ro-RO"/>
              </w:rPr>
            </w:pPr>
            <w:r w:rsidRPr="00EA1BB2">
              <w:rPr>
                <w:rFonts w:ascii="Cambria" w:hAnsi="Cambria" w:cs="Times New Roman"/>
                <w:sz w:val="20"/>
                <w:szCs w:val="20"/>
                <w:lang w:val="ro-RO"/>
              </w:rPr>
              <w:t>C.J. Brăila</w:t>
            </w:r>
          </w:p>
        </w:tc>
        <w:tc>
          <w:tcPr>
            <w:tcW w:w="1262" w:type="dxa"/>
          </w:tcPr>
          <w:p w14:paraId="51911B6F" w14:textId="77777777" w:rsidR="00375ED8" w:rsidRPr="00EA1BB2" w:rsidRDefault="00375ED8" w:rsidP="00375ED8">
            <w:pPr>
              <w:jc w:val="both"/>
              <w:rPr>
                <w:rFonts w:ascii="Cambria" w:hAnsi="Cambria" w:cs="Times New Roman"/>
                <w:sz w:val="20"/>
                <w:szCs w:val="20"/>
                <w:lang w:val="ro-RO"/>
              </w:rPr>
            </w:pPr>
            <w:r w:rsidRPr="00EA1BB2">
              <w:rPr>
                <w:rFonts w:ascii="Cambria" w:hAnsi="Cambria" w:cs="Times New Roman"/>
                <w:sz w:val="20"/>
                <w:szCs w:val="20"/>
                <w:lang w:val="ro-RO"/>
              </w:rPr>
              <w:t>2022</w:t>
            </w:r>
          </w:p>
        </w:tc>
        <w:tc>
          <w:tcPr>
            <w:tcW w:w="1460" w:type="dxa"/>
          </w:tcPr>
          <w:p w14:paraId="46D65115"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Fonduri UE*, Buget propriu</w:t>
            </w:r>
          </w:p>
          <w:p w14:paraId="26F171B7"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(cf. aprobărilor de buget  prin HCJ)</w:t>
            </w:r>
          </w:p>
        </w:tc>
        <w:tc>
          <w:tcPr>
            <w:tcW w:w="1599" w:type="dxa"/>
          </w:tcPr>
          <w:p w14:paraId="17A44037" w14:textId="77777777" w:rsidR="00375ED8" w:rsidRPr="00EA1BB2" w:rsidRDefault="00375ED8" w:rsidP="00375ED8">
            <w:pPr>
              <w:rPr>
                <w:rFonts w:ascii="Cambria" w:hAnsi="Cambria" w:cs="Times New Roman"/>
                <w:sz w:val="20"/>
                <w:szCs w:val="20"/>
                <w:lang w:val="ro-RO"/>
              </w:rPr>
            </w:pPr>
          </w:p>
        </w:tc>
        <w:tc>
          <w:tcPr>
            <w:tcW w:w="1701" w:type="dxa"/>
          </w:tcPr>
          <w:p w14:paraId="13404371" w14:textId="77777777" w:rsidR="00375ED8" w:rsidRPr="00EA1BB2" w:rsidRDefault="00375ED8" w:rsidP="00375ED8">
            <w:pPr>
              <w:rPr>
                <w:rFonts w:ascii="Cambria" w:hAnsi="Cambria" w:cs="Times New Roman"/>
                <w:sz w:val="20"/>
                <w:szCs w:val="20"/>
                <w:lang w:val="ro-RO"/>
              </w:rPr>
            </w:pPr>
            <w:r w:rsidRPr="00EA1BB2">
              <w:rPr>
                <w:rFonts w:ascii="Cambria" w:hAnsi="Cambria" w:cs="Times New Roman"/>
                <w:sz w:val="20"/>
                <w:szCs w:val="20"/>
                <w:lang w:val="ro-RO"/>
              </w:rPr>
              <w:t>Nr. campanii organizate</w:t>
            </w:r>
          </w:p>
        </w:tc>
      </w:tr>
    </w:tbl>
    <w:p w14:paraId="6AC853F4" w14:textId="77777777" w:rsidR="001C1A15" w:rsidRPr="00EA1BB2" w:rsidRDefault="00801393" w:rsidP="00801393">
      <w:pPr>
        <w:autoSpaceDE w:val="0"/>
        <w:autoSpaceDN w:val="0"/>
        <w:adjustRightInd w:val="0"/>
        <w:spacing w:line="197" w:lineRule="atLeast"/>
        <w:rPr>
          <w:rFonts w:ascii="Cambria" w:hAnsi="Cambria" w:cs="Times New Roman"/>
          <w:color w:val="0070C0"/>
          <w:sz w:val="24"/>
          <w:szCs w:val="24"/>
        </w:rPr>
      </w:pPr>
      <w:r w:rsidRPr="00EA1BB2">
        <w:rPr>
          <w:rFonts w:ascii="Cambria" w:eastAsia="Calibri" w:hAnsi="Cambria" w:cs="Times New Roman"/>
          <w:sz w:val="24"/>
          <w:szCs w:val="24"/>
        </w:rPr>
        <w:t>*Realizarea proiectului v</w:t>
      </w:r>
      <w:r w:rsidRPr="00EA1BB2">
        <w:rPr>
          <w:rFonts w:ascii="Cambria" w:hAnsi="Cambria" w:cs="Times New Roman"/>
          <w:sz w:val="24"/>
          <w:szCs w:val="24"/>
        </w:rPr>
        <w:t>a depinde de posibilitatea finan</w:t>
      </w:r>
      <w:r w:rsidR="00054880" w:rsidRPr="00EA1BB2">
        <w:rPr>
          <w:rFonts w:ascii="Cambria" w:hAnsi="Cambria" w:cs="Times New Roman"/>
          <w:sz w:val="24"/>
          <w:szCs w:val="24"/>
        </w:rPr>
        <w:t>ț</w:t>
      </w:r>
      <w:r w:rsidRPr="00EA1BB2">
        <w:rPr>
          <w:rFonts w:ascii="Cambria" w:hAnsi="Cambria" w:cs="Times New Roman"/>
          <w:sz w:val="24"/>
          <w:szCs w:val="24"/>
        </w:rPr>
        <w:t>ării</w:t>
      </w:r>
      <w:r w:rsidR="00226B9F" w:rsidRPr="00EA1BB2">
        <w:rPr>
          <w:rFonts w:ascii="Cambria" w:hAnsi="Cambria" w:cs="Times New Roman"/>
          <w:sz w:val="24"/>
          <w:szCs w:val="24"/>
        </w:rPr>
        <w:t>/acces</w:t>
      </w:r>
      <w:r w:rsidR="00226080" w:rsidRPr="00EA1BB2">
        <w:rPr>
          <w:rFonts w:ascii="Cambria" w:hAnsi="Cambria" w:cs="Times New Roman"/>
          <w:sz w:val="24"/>
          <w:szCs w:val="24"/>
        </w:rPr>
        <w:t>ă</w:t>
      </w:r>
      <w:r w:rsidR="00226B9F" w:rsidRPr="00EA1BB2">
        <w:rPr>
          <w:rFonts w:ascii="Cambria" w:hAnsi="Cambria" w:cs="Times New Roman"/>
          <w:sz w:val="24"/>
          <w:szCs w:val="24"/>
        </w:rPr>
        <w:t>ri</w:t>
      </w:r>
      <w:r w:rsidR="007119B4" w:rsidRPr="00EA1BB2">
        <w:rPr>
          <w:rFonts w:ascii="Cambria" w:hAnsi="Cambria" w:cs="Times New Roman"/>
          <w:sz w:val="24"/>
          <w:szCs w:val="24"/>
        </w:rPr>
        <w:t>i diferite fonduri</w:t>
      </w:r>
    </w:p>
    <w:p w14:paraId="2249AC1E" w14:textId="77777777" w:rsidR="001C1A15" w:rsidRPr="00EA1BB2" w:rsidRDefault="001C1A15">
      <w:pPr>
        <w:rPr>
          <w:rFonts w:ascii="Cambria" w:hAnsi="Cambria" w:cs="Times New Roman"/>
          <w:sz w:val="24"/>
          <w:szCs w:val="24"/>
        </w:rPr>
      </w:pPr>
    </w:p>
    <w:p w14:paraId="7F5CCF7D" w14:textId="77777777" w:rsidR="001C1A15" w:rsidRPr="00EA1BB2" w:rsidRDefault="001C1A15" w:rsidP="00BA6FA3">
      <w:pPr>
        <w:pStyle w:val="Caption"/>
        <w:rPr>
          <w:rFonts w:ascii="Cambria" w:hAnsi="Cambria" w:cs="Times New Roman"/>
          <w:szCs w:val="24"/>
        </w:rPr>
        <w:sectPr w:rsidR="001C1A15" w:rsidRPr="00EA1BB2" w:rsidSect="00C33981">
          <w:pgSz w:w="16838" w:h="11906" w:orient="landscape" w:code="9"/>
          <w:pgMar w:top="1134" w:right="1418" w:bottom="1134" w:left="1418" w:header="283" w:footer="283" w:gutter="0"/>
          <w:cols w:space="708"/>
          <w:docGrid w:linePitch="360"/>
        </w:sectPr>
      </w:pPr>
    </w:p>
    <w:p w14:paraId="2690F163" w14:textId="77777777" w:rsidR="00EE3655" w:rsidRPr="00EA1BB2" w:rsidRDefault="00463A99" w:rsidP="00E859EF">
      <w:pPr>
        <w:pStyle w:val="Heading1"/>
        <w:numPr>
          <w:ilvl w:val="0"/>
          <w:numId w:val="1"/>
        </w:numPr>
        <w:spacing w:before="0"/>
        <w:ind w:hanging="11"/>
        <w:rPr>
          <w:rFonts w:ascii="Cambria" w:hAnsi="Cambria" w:cs="Times New Roman"/>
          <w:color w:val="0070C0"/>
          <w:sz w:val="28"/>
          <w:szCs w:val="24"/>
        </w:rPr>
      </w:pPr>
      <w:bookmarkStart w:id="288" w:name="_Toc526889755"/>
      <w:r w:rsidRPr="00EA1BB2">
        <w:rPr>
          <w:rFonts w:ascii="Cambria" w:hAnsi="Cambria" w:cs="Times New Roman"/>
          <w:color w:val="0070C0"/>
          <w:sz w:val="28"/>
          <w:szCs w:val="24"/>
        </w:rPr>
        <w:lastRenderedPageBreak/>
        <w:t>LISTA PUBLICA</w:t>
      </w:r>
      <w:r w:rsidR="00054880" w:rsidRPr="00EA1BB2">
        <w:rPr>
          <w:rFonts w:ascii="Cambria" w:hAnsi="Cambria" w:cs="Times New Roman"/>
          <w:color w:val="0070C0"/>
          <w:sz w:val="28"/>
          <w:szCs w:val="24"/>
        </w:rPr>
        <w:t>Ț</w:t>
      </w:r>
      <w:r w:rsidRPr="00EA1BB2">
        <w:rPr>
          <w:rFonts w:ascii="Cambria" w:hAnsi="Cambria" w:cs="Times New Roman"/>
          <w:color w:val="0070C0"/>
          <w:sz w:val="28"/>
          <w:szCs w:val="24"/>
        </w:rPr>
        <w:t>IILOR, DOCUMENTELOR, ACTIVITĂ</w:t>
      </w:r>
      <w:r w:rsidR="00054880" w:rsidRPr="00EA1BB2">
        <w:rPr>
          <w:rFonts w:ascii="Cambria" w:hAnsi="Cambria" w:cs="Times New Roman"/>
          <w:color w:val="0070C0"/>
          <w:sz w:val="28"/>
          <w:szCs w:val="24"/>
        </w:rPr>
        <w:t>Ț</w:t>
      </w:r>
      <w:r w:rsidRPr="00EA1BB2">
        <w:rPr>
          <w:rFonts w:ascii="Cambria" w:hAnsi="Cambria" w:cs="Times New Roman"/>
          <w:color w:val="0070C0"/>
          <w:sz w:val="28"/>
          <w:szCs w:val="24"/>
        </w:rPr>
        <w:t>ILOR UTILIZATE PENTRU A SUPLIMENTA INFORMA</w:t>
      </w:r>
      <w:r w:rsidR="00054880" w:rsidRPr="00EA1BB2">
        <w:rPr>
          <w:rFonts w:ascii="Cambria" w:hAnsi="Cambria" w:cs="Times New Roman"/>
          <w:color w:val="0070C0"/>
          <w:sz w:val="28"/>
          <w:szCs w:val="24"/>
        </w:rPr>
        <w:t>Ț</w:t>
      </w:r>
      <w:r w:rsidRPr="00EA1BB2">
        <w:rPr>
          <w:rFonts w:ascii="Cambria" w:hAnsi="Cambria" w:cs="Times New Roman"/>
          <w:color w:val="0070C0"/>
          <w:sz w:val="28"/>
          <w:szCs w:val="24"/>
        </w:rPr>
        <w:t>IILE NECESARE</w:t>
      </w:r>
      <w:bookmarkEnd w:id="288"/>
    </w:p>
    <w:p w14:paraId="218929ED" w14:textId="77777777" w:rsidR="00312A5C" w:rsidRPr="00EA1BB2" w:rsidRDefault="00312A5C" w:rsidP="00D30073">
      <w:pPr>
        <w:pStyle w:val="ListParagraph"/>
        <w:numPr>
          <w:ilvl w:val="0"/>
          <w:numId w:val="6"/>
        </w:numPr>
        <w:spacing w:after="0" w:line="360" w:lineRule="auto"/>
        <w:jc w:val="both"/>
        <w:rPr>
          <w:rFonts w:ascii="Cambria" w:hAnsi="Cambria" w:cs="Times New Roman"/>
          <w:sz w:val="24"/>
          <w:szCs w:val="24"/>
          <w:lang w:val="ro-RO"/>
        </w:rPr>
      </w:pPr>
      <w:r w:rsidRPr="00EA1BB2">
        <w:rPr>
          <w:rFonts w:ascii="Cambria" w:hAnsi="Cambria" w:cs="Times New Roman"/>
          <w:sz w:val="24"/>
          <w:szCs w:val="24"/>
          <w:lang w:val="ro-RO"/>
        </w:rPr>
        <w:t>APM Brăila - Raportul anual privind starea mediului pentru jude</w:t>
      </w:r>
      <w:r w:rsidR="00054880" w:rsidRPr="00EA1BB2">
        <w:rPr>
          <w:rFonts w:ascii="Cambria" w:hAnsi="Cambria" w:cs="Times New Roman"/>
          <w:sz w:val="24"/>
          <w:szCs w:val="24"/>
          <w:lang w:val="ro-RO"/>
        </w:rPr>
        <w:t>ț</w:t>
      </w:r>
      <w:r w:rsidRPr="00EA1BB2">
        <w:rPr>
          <w:rFonts w:ascii="Cambria" w:hAnsi="Cambria" w:cs="Times New Roman"/>
          <w:sz w:val="24"/>
          <w:szCs w:val="24"/>
          <w:lang w:val="ro-RO"/>
        </w:rPr>
        <w:t>ul Brăila pe anul 201</w:t>
      </w:r>
      <w:r w:rsidR="00D30073" w:rsidRPr="00EA1BB2">
        <w:rPr>
          <w:rFonts w:ascii="Cambria" w:hAnsi="Cambria" w:cs="Times New Roman"/>
          <w:sz w:val="24"/>
          <w:szCs w:val="24"/>
          <w:lang w:val="ro-RO"/>
        </w:rPr>
        <w:t>1</w:t>
      </w:r>
      <w:r w:rsidRPr="00EA1BB2">
        <w:rPr>
          <w:rFonts w:ascii="Cambria" w:hAnsi="Cambria" w:cs="Times New Roman"/>
          <w:sz w:val="24"/>
          <w:szCs w:val="24"/>
          <w:lang w:val="ro-RO"/>
        </w:rPr>
        <w:t>;</w:t>
      </w:r>
      <w:hyperlink r:id="rId170" w:history="1">
        <w:r w:rsidR="00D30073" w:rsidRPr="00EA1BB2">
          <w:rPr>
            <w:rStyle w:val="Hyperlink"/>
            <w:rFonts w:ascii="Cambria" w:hAnsi="Cambria" w:cs="Times New Roman"/>
            <w:sz w:val="24"/>
            <w:szCs w:val="24"/>
            <w:lang w:val="ro-RO"/>
          </w:rPr>
          <w:t>http://www.anpm.ro/web/apm-braila/rapoarte-anuale1/-/asset_publisher/zx0kZaWCbnWT/content/raport-starea-mediului-2011?_101_INSTANCE_zx0kZaWCbnWT_redirect=http%3A%2F%2Fwww.anpm.ro%2Fweb%2Fapm-braila%2Frapoarte-anuale1%3Fp_p_id%3D101_INSTANCE_zx0kZaWCbnWT%26p_p_lifecycle%3D0%26p_p_state%3Dnormal%26p_p_mode%3Dview%26p_p_col_id%3Dcolumn-2%26p_p_col_count%3D1&amp;redirect=http%3A%2F%2Fwww.anpm.ro%2Fweb%2Fapm-braila%2Frapoarte-anuale1%3Fp_p_id%3D101_INSTANCE_zx0kZaWCbnWT%26p_p_lifecycle%3D0%26p_p_state%3Dnormal%26p_p_mode%3Dview%26p_p_col_id%3Dcolumn-2%26p_p_col_count%3D1</w:t>
        </w:r>
      </w:hyperlink>
      <w:r w:rsidR="00B4173D" w:rsidRPr="00EA1BB2">
        <w:rPr>
          <w:rFonts w:ascii="Cambria" w:hAnsi="Cambria" w:cs="Times New Roman"/>
          <w:sz w:val="24"/>
          <w:szCs w:val="24"/>
          <w:lang w:val="ro-RO"/>
        </w:rPr>
        <w:t>;</w:t>
      </w:r>
    </w:p>
    <w:p w14:paraId="261A1D1A" w14:textId="77777777" w:rsidR="00312A5C" w:rsidRPr="00EA1BB2" w:rsidRDefault="00312A5C" w:rsidP="00D30073">
      <w:pPr>
        <w:pStyle w:val="ListParagraph"/>
        <w:numPr>
          <w:ilvl w:val="0"/>
          <w:numId w:val="6"/>
        </w:numPr>
        <w:spacing w:after="0" w:line="360" w:lineRule="auto"/>
        <w:jc w:val="both"/>
        <w:rPr>
          <w:rFonts w:ascii="Cambria" w:hAnsi="Cambria" w:cs="Times New Roman"/>
          <w:sz w:val="24"/>
          <w:szCs w:val="24"/>
          <w:lang w:val="ro-RO"/>
        </w:rPr>
      </w:pPr>
      <w:r w:rsidRPr="00EA1BB2">
        <w:rPr>
          <w:rFonts w:ascii="Cambria" w:hAnsi="Cambria" w:cs="Times New Roman"/>
          <w:sz w:val="24"/>
          <w:szCs w:val="24"/>
          <w:lang w:val="ro-RO"/>
        </w:rPr>
        <w:t>APM Brăila - Raportul anual privind starea mediului pentru jude</w:t>
      </w:r>
      <w:r w:rsidR="00054880" w:rsidRPr="00EA1BB2">
        <w:rPr>
          <w:rFonts w:ascii="Cambria" w:hAnsi="Cambria" w:cs="Times New Roman"/>
          <w:sz w:val="24"/>
          <w:szCs w:val="24"/>
          <w:lang w:val="ro-RO"/>
        </w:rPr>
        <w:t>ț</w:t>
      </w:r>
      <w:r w:rsidRPr="00EA1BB2">
        <w:rPr>
          <w:rFonts w:ascii="Cambria" w:hAnsi="Cambria" w:cs="Times New Roman"/>
          <w:sz w:val="24"/>
          <w:szCs w:val="24"/>
          <w:lang w:val="ro-RO"/>
        </w:rPr>
        <w:t>ul Brăila pe anul 201</w:t>
      </w:r>
      <w:r w:rsidR="00D30073" w:rsidRPr="00EA1BB2">
        <w:rPr>
          <w:rFonts w:ascii="Cambria" w:hAnsi="Cambria" w:cs="Times New Roman"/>
          <w:sz w:val="24"/>
          <w:szCs w:val="24"/>
          <w:lang w:val="ro-RO"/>
        </w:rPr>
        <w:t>2</w:t>
      </w:r>
      <w:r w:rsidRPr="00EA1BB2">
        <w:rPr>
          <w:rFonts w:ascii="Cambria" w:hAnsi="Cambria" w:cs="Times New Roman"/>
          <w:sz w:val="24"/>
          <w:szCs w:val="24"/>
          <w:lang w:val="ro-RO"/>
        </w:rPr>
        <w:t>;</w:t>
      </w:r>
      <w:hyperlink r:id="rId171" w:history="1">
        <w:r w:rsidR="00D30073" w:rsidRPr="00EA1BB2">
          <w:rPr>
            <w:rStyle w:val="Hyperlink"/>
            <w:rFonts w:ascii="Cambria" w:hAnsi="Cambria" w:cs="Times New Roman"/>
            <w:sz w:val="24"/>
            <w:szCs w:val="24"/>
            <w:lang w:val="ro-RO"/>
          </w:rPr>
          <w:t>http://www.anpm.ro/web/apm-braila/rapoarte-anuale1/-/asset_publisher/zx0kZaWCbnWT/content/raport-starea-mediului-2012?_101_INSTANCE_zx0kZaWCbnWT_redirect=http%3A%2F%2Fwww.anpm.ro%2Fweb%2Fapm-braila%2Frapoarte-anuale1%3Fp_p_id%3D101_INSTANCE_zx0kZaWCbnWT%26p_p_lifecycle%3D0%26p_p_state%3Dnormal%26p_p_mode%3Dview%26p_p_col_id%3Dcolumn-2%26p_p_col_count%3D1&amp;redirect=http%3A%2F%2Fwww.anpm.ro%2Fweb%2Fapm-braila%2Frapoarte-anuale1%3Fp_p_id%3D101_INSTANCE_zx0kZaWCbnWT%26p_p_lifecycle%3D0%26p_p_state%3Dnormal%26p_p_mode%3Dview%26p_p_col_id%3Dcolumn-2%26p_p_col_count%3D1</w:t>
        </w:r>
      </w:hyperlink>
      <w:r w:rsidR="00B4173D" w:rsidRPr="00EA1BB2">
        <w:rPr>
          <w:rFonts w:ascii="Cambria" w:hAnsi="Cambria" w:cs="Times New Roman"/>
          <w:sz w:val="24"/>
          <w:szCs w:val="24"/>
          <w:lang w:val="ro-RO"/>
        </w:rPr>
        <w:t>;</w:t>
      </w:r>
    </w:p>
    <w:p w14:paraId="52DB242B" w14:textId="77777777" w:rsidR="00312A5C" w:rsidRPr="00EA1BB2" w:rsidRDefault="00312A5C" w:rsidP="00D30073">
      <w:pPr>
        <w:numPr>
          <w:ilvl w:val="0"/>
          <w:numId w:val="6"/>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sz w:val="24"/>
          <w:szCs w:val="24"/>
        </w:rPr>
        <w:t>APM Brăila - Raportul anual privind starea mediului pentru jude</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ul Brăila pe anul 2013;</w:t>
      </w:r>
      <w:hyperlink r:id="rId172" w:history="1">
        <w:r w:rsidR="00D30073" w:rsidRPr="00EA1BB2">
          <w:rPr>
            <w:rStyle w:val="Hyperlink"/>
            <w:rFonts w:ascii="Cambria" w:eastAsia="Calibri" w:hAnsi="Cambria" w:cs="Times New Roman"/>
            <w:sz w:val="24"/>
            <w:szCs w:val="24"/>
          </w:rPr>
          <w:t>http://www.anpm.ro/web/apm-braila/rapoarte-anuale1/-/asset_publisher/zx0kZaWCbnWT/content/raport-starea-mediului-2013?_101_INSTANCE_zx0kZaWCbnWT_redirect=http%3A%2F%2Fwww.anpm.ro%2Fweb%2Fapm-braila%2Frapoarte-anuale1%3Fp_p_id%3D101_INSTANCE_zx0kZaWCbnWT%26p_p_lifecycle%3D0%26p_p_state%3Dnormal%26p_p_mode%3Dview%26p_p_col_id%3Dcolumn-</w:t>
        </w:r>
        <w:r w:rsidR="00D30073" w:rsidRPr="00EA1BB2">
          <w:rPr>
            <w:rStyle w:val="Hyperlink"/>
            <w:rFonts w:ascii="Cambria" w:eastAsia="Calibri" w:hAnsi="Cambria" w:cs="Times New Roman"/>
            <w:sz w:val="24"/>
            <w:szCs w:val="24"/>
          </w:rPr>
          <w:lastRenderedPageBreak/>
          <w:t>2%26p_p_col_count%3D1&amp;redirect=http%3A%2F%2Fwww.anpm.ro%2Fweb%2Fapm-braila%2Frapoarte-anuale1%3Fp_p_id%3D101_INSTANCE_zx0kZaWCbnWT%26p_p_lifecycle%3D0%26p_p_state%3Dnormal%26p_p_mode%3Dview%26p_p_col_id%3Dcolumn-2%26p_p_col_count%3D1</w:t>
        </w:r>
      </w:hyperlink>
      <w:r w:rsidR="00B4173D" w:rsidRPr="00EA1BB2">
        <w:rPr>
          <w:rFonts w:ascii="Cambria" w:eastAsia="Calibri" w:hAnsi="Cambria" w:cs="Times New Roman"/>
          <w:sz w:val="24"/>
          <w:szCs w:val="24"/>
        </w:rPr>
        <w:t>;</w:t>
      </w:r>
    </w:p>
    <w:p w14:paraId="3C076887" w14:textId="77777777" w:rsidR="00312A5C" w:rsidRPr="00EA1BB2" w:rsidRDefault="00312A5C" w:rsidP="00D30073">
      <w:pPr>
        <w:numPr>
          <w:ilvl w:val="0"/>
          <w:numId w:val="6"/>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sz w:val="24"/>
          <w:szCs w:val="24"/>
        </w:rPr>
        <w:t>APM Brăila - Raportul anual privind starea mediului pentru jude</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ul Brăila pe anul 2014;</w:t>
      </w:r>
      <w:hyperlink r:id="rId173" w:history="1">
        <w:r w:rsidR="00D30073" w:rsidRPr="00EA1BB2">
          <w:rPr>
            <w:rStyle w:val="Hyperlink"/>
            <w:rFonts w:ascii="Cambria" w:eastAsia="Calibri" w:hAnsi="Cambria" w:cs="Times New Roman"/>
            <w:sz w:val="24"/>
            <w:szCs w:val="24"/>
          </w:rPr>
          <w:t>http://www.anpm.ro/web/apm-braila/rapoarte-anuale1/-/asset_publisher/zx0kZaWCbnWT/content/raport-starea-mediului-2014?_101_INSTANCE_zx0kZaWCbnWT_redirect=http%3A%2F%2Fwww.anpm.ro%2Fweb%2Fapm-braila%2Frapoarte-anuale1%3Fp_p_id%3D101_INSTANCE_zx0kZaWCbnWT%26p_p_lifecycle%3D0%26p_p_state%3Dnormal%26p_p_mode%3Dview%26p_p_col_id%3Dcolumn-2%26p_p_col_count%3D1&amp;redirect=http%3A%2F%2Fwww.anpm.ro%2Fweb%2Fapm-braila%2Frapoarte-anuale1%3Fp_p_id%3D101_INSTANCE_zx0kZaWCbnWT%26p_p_lifecycle%3D0%26p_p_state%3Dnormal%26p_p_mode%3Dview%26p_p_col_id%3Dcolumn-2%26p_p_col_count%3D1</w:t>
        </w:r>
      </w:hyperlink>
      <w:r w:rsidR="00B4173D" w:rsidRPr="00EA1BB2">
        <w:rPr>
          <w:rFonts w:ascii="Cambria" w:eastAsia="Calibri" w:hAnsi="Cambria" w:cs="Times New Roman"/>
          <w:sz w:val="24"/>
          <w:szCs w:val="24"/>
        </w:rPr>
        <w:t>;</w:t>
      </w:r>
    </w:p>
    <w:p w14:paraId="0341D3E5" w14:textId="77777777" w:rsidR="00D30073" w:rsidRPr="00EA1BB2" w:rsidRDefault="00D30073" w:rsidP="00D30073">
      <w:pPr>
        <w:numPr>
          <w:ilvl w:val="0"/>
          <w:numId w:val="6"/>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sz w:val="24"/>
          <w:szCs w:val="24"/>
        </w:rPr>
        <w:t>APM Brăila - Raportul anual privind starea mediului pentru județul Brăila pe anul 2015</w:t>
      </w:r>
      <w:hyperlink r:id="rId174" w:history="1">
        <w:r w:rsidRPr="00EA1BB2">
          <w:rPr>
            <w:rStyle w:val="Hyperlink"/>
            <w:rFonts w:ascii="Cambria" w:eastAsia="Calibri" w:hAnsi="Cambria" w:cs="Times New Roman"/>
            <w:sz w:val="24"/>
            <w:szCs w:val="24"/>
          </w:rPr>
          <w:t>http://www.anpm.ro/web/apm-braila/rapoarte-anuale1/-/asset_publisher/zx0kZaWCbnWT/content/raport-privind-calitatea-aerului-2015?_101_INSTANCE_zx0kZaWCbnWT_redirect=http%3A%2F%2Fwww.anpm.ro%2Fweb%2Fapm-braila%2Frapoarte-anuale1%3Fp_p_id%3D101_INSTANCE_zx0kZaWCbnWT%26p_p_lifecycle%3D0%26p_p_state%3Dnormal%26p_p_mode%3Dview%26p_p_col_id%3Dcolumn-2%26p_p_col_count%3D1&amp;redirect=http%3A%2F%2Fwww.anpm.ro%2Fweb%2Fapm-braila%2Frapoarte-anuale1%3Fp_p_id%3D101_INSTANCE_zx0kZaWCbnWT%26p_p_lifecycle%3D0%26p_p_state%3Dnormal%26p_p_mode%3Dview%26p_p_col_id%3Dcolumn-2%26p_p_col_count%3D1</w:t>
        </w:r>
      </w:hyperlink>
      <w:r w:rsidR="00B4173D" w:rsidRPr="00EA1BB2">
        <w:rPr>
          <w:rFonts w:ascii="Cambria" w:eastAsia="Calibri" w:hAnsi="Cambria" w:cs="Times New Roman"/>
          <w:sz w:val="24"/>
          <w:szCs w:val="24"/>
        </w:rPr>
        <w:t>;</w:t>
      </w:r>
    </w:p>
    <w:p w14:paraId="0F6AAB4C" w14:textId="77777777" w:rsidR="00D30073" w:rsidRPr="00EA1BB2" w:rsidRDefault="00D30073" w:rsidP="00D30073">
      <w:pPr>
        <w:numPr>
          <w:ilvl w:val="0"/>
          <w:numId w:val="6"/>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sz w:val="24"/>
          <w:szCs w:val="24"/>
        </w:rPr>
        <w:t xml:space="preserve">APM Brăila - Raportul anual privind starea mediului pentru județul Brăila pe anul 2016 </w:t>
      </w:r>
      <w:hyperlink r:id="rId175" w:history="1">
        <w:r w:rsidRPr="00EA1BB2">
          <w:rPr>
            <w:rStyle w:val="Hyperlink"/>
            <w:rFonts w:ascii="Cambria" w:eastAsia="Calibri" w:hAnsi="Cambria" w:cs="Times New Roman"/>
            <w:sz w:val="24"/>
            <w:szCs w:val="24"/>
          </w:rPr>
          <w:t>http://www.anpm.ro/web/apm-braila/rapoarte-anuale1/-/asset_publisher/zx0kZaWCbnWT/content/raport-starea-mediului-2016?_101_INSTANCE_zx0kZaWCbnWT_redirect=http%3A%2F%2Fwww.anpm.</w:t>
        </w:r>
        <w:r w:rsidRPr="00EA1BB2">
          <w:rPr>
            <w:rStyle w:val="Hyperlink"/>
            <w:rFonts w:ascii="Cambria" w:eastAsia="Calibri" w:hAnsi="Cambria" w:cs="Times New Roman"/>
            <w:sz w:val="24"/>
            <w:szCs w:val="24"/>
          </w:rPr>
          <w:lastRenderedPageBreak/>
          <w:t>ro%2Fweb%2Fapm-braila%2Frapoarte-anuale1%3Fp_p_id%3D101_INSTANCE_zx0kZaWCbnWT%26p_p_lifecycle%3D0%26p_p_state%3Dnormal%26p_p_mode%3Dview%26p_p_col_id%3Dcolumn-2%26p_p_col_count%3D1&amp;redirect=http%3A%2F%2Fwww.anpm.ro%2Fweb%2Fapm-braila%2Frapoarte-anuale1%3Fp_p_id%3D101_INSTANCE_zx0kZaWCbnWT%26p_p_lifecycle%3D0%26p_p_state%3Dnormal%26p_p_mode%3Dview%26p_p_col_id%3Dcolumn-2%26p_p_col_count%3D1</w:t>
        </w:r>
      </w:hyperlink>
      <w:r w:rsidR="00B4173D" w:rsidRPr="00EA1BB2">
        <w:rPr>
          <w:rFonts w:ascii="Cambria" w:eastAsia="Calibri" w:hAnsi="Cambria" w:cs="Times New Roman"/>
          <w:sz w:val="24"/>
          <w:szCs w:val="24"/>
        </w:rPr>
        <w:t>;</w:t>
      </w:r>
    </w:p>
    <w:p w14:paraId="0A3A3172" w14:textId="77777777" w:rsidR="00312A5C" w:rsidRPr="00EA1BB2" w:rsidRDefault="00375A75" w:rsidP="00D30073">
      <w:pPr>
        <w:numPr>
          <w:ilvl w:val="0"/>
          <w:numId w:val="6"/>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sz w:val="24"/>
          <w:szCs w:val="24"/>
        </w:rPr>
        <w:t>A</w:t>
      </w:r>
      <w:r w:rsidR="00312A5C" w:rsidRPr="00EA1BB2">
        <w:rPr>
          <w:rFonts w:ascii="Cambria" w:eastAsia="Calibri" w:hAnsi="Cambria" w:cs="Times New Roman"/>
          <w:sz w:val="24"/>
          <w:szCs w:val="24"/>
        </w:rPr>
        <w:t>PM Brăila - Raport anual privind stadiul realizării măsurilor în anul 2010 din  programul de gestionare a calită</w:t>
      </w:r>
      <w:r w:rsidR="00054880" w:rsidRPr="00EA1BB2">
        <w:rPr>
          <w:rFonts w:ascii="Cambria" w:eastAsia="Calibri" w:hAnsi="Cambria" w:cs="Times New Roman"/>
          <w:sz w:val="24"/>
          <w:szCs w:val="24"/>
        </w:rPr>
        <w:t>ț</w:t>
      </w:r>
      <w:r w:rsidR="00312A5C" w:rsidRPr="00EA1BB2">
        <w:rPr>
          <w:rFonts w:ascii="Cambria" w:eastAsia="Calibri" w:hAnsi="Cambria" w:cs="Times New Roman"/>
          <w:sz w:val="24"/>
          <w:szCs w:val="24"/>
        </w:rPr>
        <w:t>ii aerului pentru localită</w:t>
      </w:r>
      <w:r w:rsidR="00054880" w:rsidRPr="00EA1BB2">
        <w:rPr>
          <w:rFonts w:ascii="Cambria" w:eastAsia="Calibri" w:hAnsi="Cambria" w:cs="Times New Roman"/>
          <w:sz w:val="24"/>
          <w:szCs w:val="24"/>
        </w:rPr>
        <w:t>ț</w:t>
      </w:r>
      <w:r w:rsidR="00312A5C" w:rsidRPr="00EA1BB2">
        <w:rPr>
          <w:rFonts w:ascii="Cambria" w:eastAsia="Calibri" w:hAnsi="Cambria" w:cs="Times New Roman"/>
          <w:sz w:val="24"/>
          <w:szCs w:val="24"/>
        </w:rPr>
        <w:t>ile din jude</w:t>
      </w:r>
      <w:r w:rsidR="00054880" w:rsidRPr="00EA1BB2">
        <w:rPr>
          <w:rFonts w:ascii="Cambria" w:eastAsia="Calibri" w:hAnsi="Cambria" w:cs="Times New Roman"/>
          <w:sz w:val="24"/>
          <w:szCs w:val="24"/>
        </w:rPr>
        <w:t>ț</w:t>
      </w:r>
      <w:r w:rsidR="00312A5C" w:rsidRPr="00EA1BB2">
        <w:rPr>
          <w:rFonts w:ascii="Cambria" w:eastAsia="Calibri" w:hAnsi="Cambria" w:cs="Times New Roman"/>
          <w:sz w:val="24"/>
          <w:szCs w:val="24"/>
        </w:rPr>
        <w:t>ul Brăila: municipiul Brăila, Cazasu, Chiscani, Frecă</w:t>
      </w:r>
      <w:r w:rsidR="00054880" w:rsidRPr="00EA1BB2">
        <w:rPr>
          <w:rFonts w:ascii="Cambria" w:eastAsia="Calibri" w:hAnsi="Cambria" w:cs="Times New Roman"/>
          <w:sz w:val="24"/>
          <w:szCs w:val="24"/>
        </w:rPr>
        <w:t>ț</w:t>
      </w:r>
      <w:r w:rsidR="00312A5C" w:rsidRPr="00EA1BB2">
        <w:rPr>
          <w:rFonts w:ascii="Cambria" w:eastAsia="Calibri" w:hAnsi="Cambria" w:cs="Times New Roman"/>
          <w:sz w:val="24"/>
          <w:szCs w:val="24"/>
        </w:rPr>
        <w:t>ei, Gropeni, Măra</w:t>
      </w:r>
      <w:r w:rsidR="00054880" w:rsidRPr="00EA1BB2">
        <w:rPr>
          <w:rFonts w:ascii="Cambria" w:eastAsia="Calibri" w:hAnsi="Cambria" w:cs="Times New Roman"/>
          <w:sz w:val="24"/>
          <w:szCs w:val="24"/>
        </w:rPr>
        <w:t>ș</w:t>
      </w:r>
      <w:r w:rsidR="00312A5C" w:rsidRPr="00EA1BB2">
        <w:rPr>
          <w:rFonts w:ascii="Cambria" w:eastAsia="Calibri" w:hAnsi="Cambria" w:cs="Times New Roman"/>
          <w:sz w:val="24"/>
          <w:szCs w:val="24"/>
        </w:rPr>
        <w:t>u, Romanu, Tichile</w:t>
      </w:r>
      <w:r w:rsidR="00054880" w:rsidRPr="00EA1BB2">
        <w:rPr>
          <w:rFonts w:ascii="Cambria" w:eastAsia="Calibri" w:hAnsi="Cambria" w:cs="Times New Roman"/>
          <w:sz w:val="24"/>
          <w:szCs w:val="24"/>
        </w:rPr>
        <w:t>ș</w:t>
      </w:r>
      <w:r w:rsidR="00312A5C" w:rsidRPr="00EA1BB2">
        <w:rPr>
          <w:rFonts w:ascii="Cambria" w:eastAsia="Calibri" w:hAnsi="Cambria" w:cs="Times New Roman"/>
          <w:sz w:val="24"/>
          <w:szCs w:val="24"/>
        </w:rPr>
        <w:t>ti, Tudor Vladimirescu, Vădeni – 2010;</w:t>
      </w:r>
      <w:hyperlink r:id="rId176" w:history="1">
        <w:r w:rsidR="00D30073" w:rsidRPr="00EA1BB2">
          <w:rPr>
            <w:rStyle w:val="Hyperlink"/>
            <w:rFonts w:ascii="Cambria" w:eastAsia="Calibri" w:hAnsi="Cambria" w:cs="Times New Roman"/>
            <w:sz w:val="24"/>
            <w:szCs w:val="24"/>
          </w:rPr>
          <w:t>http://www.anpm.ro/web/apm-braila/calitatea-aerului-inconjurator/-/asset_publisher/DoFtkgbg2SXM/content/program-de-gestionare-a-calitatii-aerului-braila?_101_INSTANCE_DoFtkgbg2SXM_redirect=http%3A%2F%2Fwww.anpm.ro%2Fweb%2Fapm-braila%2Fcalitatea-aerului-inconjurator%3Fp_p_id%3D101_INSTANCE_DoFtkgbg2SXM%26p_p_lifecycle%3D0%26p_p_state%3Dnormal%26p_p_mode%3Dview%26p_p_col_id%3Dcolumn-2%26p_p_col_count%3D1&amp;redirect=http%3A%2F%2Fwww.anpm.ro%2Fweb%2Fapm-braila%2Fcalitatea-aerului-inconjurator%3Fp_p_id%3D101_INSTANCE_DoFtkgbg2SXM%26p_p_lifecycle%3D0%26p_p_state%3Dnormal%26p_p_mode%3Dview%26p_p_col_id%3Dcolumn-2%26p_p_col_count%3D1</w:t>
        </w:r>
      </w:hyperlink>
      <w:r w:rsidR="00B4173D" w:rsidRPr="00EA1BB2">
        <w:rPr>
          <w:rFonts w:ascii="Cambria" w:eastAsia="Calibri" w:hAnsi="Cambria" w:cs="Times New Roman"/>
          <w:sz w:val="24"/>
          <w:szCs w:val="24"/>
        </w:rPr>
        <w:t>;</w:t>
      </w:r>
    </w:p>
    <w:p w14:paraId="75879AAF" w14:textId="77777777" w:rsidR="00B749A1" w:rsidRPr="00EA1BB2" w:rsidRDefault="00375A75" w:rsidP="00D30073">
      <w:pPr>
        <w:numPr>
          <w:ilvl w:val="0"/>
          <w:numId w:val="6"/>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sz w:val="24"/>
          <w:szCs w:val="24"/>
        </w:rPr>
        <w:t xml:space="preserve">APM Brăila - </w:t>
      </w:r>
      <w:r w:rsidR="00B749A1" w:rsidRPr="00EA1BB2">
        <w:rPr>
          <w:rFonts w:ascii="Cambria" w:eastAsia="Calibri" w:hAnsi="Cambria" w:cs="Times New Roman"/>
          <w:sz w:val="24"/>
          <w:szCs w:val="24"/>
        </w:rPr>
        <w:t>Raport privind activitatea desfă</w:t>
      </w:r>
      <w:r w:rsidR="00054880" w:rsidRPr="00EA1BB2">
        <w:rPr>
          <w:rFonts w:ascii="Cambria" w:eastAsia="Calibri" w:hAnsi="Cambria" w:cs="Times New Roman"/>
          <w:sz w:val="24"/>
          <w:szCs w:val="24"/>
        </w:rPr>
        <w:t>ș</w:t>
      </w:r>
      <w:r w:rsidR="00B749A1" w:rsidRPr="00EA1BB2">
        <w:rPr>
          <w:rFonts w:ascii="Cambria" w:eastAsia="Calibri" w:hAnsi="Cambria" w:cs="Times New Roman"/>
          <w:sz w:val="24"/>
          <w:szCs w:val="24"/>
        </w:rPr>
        <w:t>urată de către Agen</w:t>
      </w:r>
      <w:r w:rsidR="00054880" w:rsidRPr="00EA1BB2">
        <w:rPr>
          <w:rFonts w:ascii="Cambria" w:eastAsia="Calibri" w:hAnsi="Cambria" w:cs="Times New Roman"/>
          <w:sz w:val="24"/>
          <w:szCs w:val="24"/>
        </w:rPr>
        <w:t>ț</w:t>
      </w:r>
      <w:r w:rsidR="00B749A1" w:rsidRPr="00EA1BB2">
        <w:rPr>
          <w:rFonts w:ascii="Cambria" w:eastAsia="Calibri" w:hAnsi="Cambria" w:cs="Times New Roman"/>
          <w:sz w:val="24"/>
          <w:szCs w:val="24"/>
        </w:rPr>
        <w:t>ia pentru protec</w:t>
      </w:r>
      <w:r w:rsidR="00054880" w:rsidRPr="00EA1BB2">
        <w:rPr>
          <w:rFonts w:ascii="Cambria" w:eastAsia="Calibri" w:hAnsi="Cambria" w:cs="Times New Roman"/>
          <w:sz w:val="24"/>
          <w:szCs w:val="24"/>
        </w:rPr>
        <w:t>ț</w:t>
      </w:r>
      <w:r w:rsidR="00B749A1" w:rsidRPr="00EA1BB2">
        <w:rPr>
          <w:rFonts w:ascii="Cambria" w:eastAsia="Calibri" w:hAnsi="Cambria" w:cs="Times New Roman"/>
          <w:sz w:val="24"/>
          <w:szCs w:val="24"/>
        </w:rPr>
        <w:t>ia mediului Brăila în anul 2015</w:t>
      </w:r>
      <w:r w:rsidR="00D30073" w:rsidRPr="00EA1BB2">
        <w:rPr>
          <w:rFonts w:ascii="Cambria" w:eastAsia="Calibri" w:hAnsi="Cambria" w:cs="Times New Roman"/>
          <w:sz w:val="24"/>
          <w:szCs w:val="24"/>
        </w:rPr>
        <w:t>,</w:t>
      </w:r>
      <w:hyperlink r:id="rId177" w:history="1">
        <w:r w:rsidR="00D30073" w:rsidRPr="00EA1BB2">
          <w:rPr>
            <w:rStyle w:val="Hyperlink"/>
            <w:rFonts w:ascii="Cambria" w:eastAsia="Calibri" w:hAnsi="Cambria" w:cs="Times New Roman"/>
            <w:sz w:val="24"/>
            <w:szCs w:val="24"/>
          </w:rPr>
          <w:t>http://www.anpm.ro/web/apm-braila/rapoarte-de-activitate/-/asset_publisher/sX9AQEQnnRSi/content/raport-de-activitate-al-apm-braila-pe-anul-2015?_101_INSTANCE_sX9AQEQnnRSi_redirect=http%3A%2F%2Fwww.anpm.ro%2Fweb%2Fapm-braila%2Frapoarte-de-activitate%3Fp_p_id%3D101_INSTANCE_sX9AQEQnnRSi%26p_p_lifecycle%3D0%26p_p_state%3Dnormal%26p_p_mode%3Dview%26p_p_col_id%3Dcolumn-2%26p_p_col_count%3D1&amp;redirect=http%3A%2F%2Fwww.anpm.ro%2Fweb%</w:t>
        </w:r>
        <w:r w:rsidR="00D30073" w:rsidRPr="00EA1BB2">
          <w:rPr>
            <w:rStyle w:val="Hyperlink"/>
            <w:rFonts w:ascii="Cambria" w:eastAsia="Calibri" w:hAnsi="Cambria" w:cs="Times New Roman"/>
            <w:sz w:val="24"/>
            <w:szCs w:val="24"/>
          </w:rPr>
          <w:lastRenderedPageBreak/>
          <w:t>2Fapm-braila%2Frapoarte-de-activitate%3Fp_p_id%3D101_INSTANCE_sX9AQEQnnRSi%26p_p_lifecycle%3D0%26p_p_state%3Dnormal%26p_p_mode%3Dview%26p_p_col_id%3Dcolumn-2%26p_p_col_count%3D1</w:t>
        </w:r>
      </w:hyperlink>
      <w:r w:rsidR="00D30073" w:rsidRPr="00EA1BB2">
        <w:rPr>
          <w:rFonts w:ascii="Cambria" w:eastAsia="Calibri" w:hAnsi="Cambria" w:cs="Times New Roman"/>
          <w:sz w:val="24"/>
          <w:szCs w:val="24"/>
        </w:rPr>
        <w:t>;</w:t>
      </w:r>
    </w:p>
    <w:p w14:paraId="6E461538" w14:textId="77777777" w:rsidR="00F82162" w:rsidRPr="00EA1BB2" w:rsidRDefault="00F82162" w:rsidP="00F82162">
      <w:pPr>
        <w:numPr>
          <w:ilvl w:val="0"/>
          <w:numId w:val="6"/>
        </w:numPr>
        <w:spacing w:line="360" w:lineRule="auto"/>
        <w:contextualSpacing/>
        <w:jc w:val="both"/>
        <w:rPr>
          <w:rFonts w:ascii="Cambria" w:hAnsi="Cambria" w:cs="Times New Roman"/>
          <w:sz w:val="24"/>
          <w:szCs w:val="24"/>
        </w:rPr>
      </w:pPr>
      <w:r w:rsidRPr="00EA1BB2">
        <w:rPr>
          <w:rFonts w:ascii="Cambria" w:hAnsi="Cambria" w:cs="Times New Roman"/>
          <w:sz w:val="24"/>
          <w:szCs w:val="24"/>
        </w:rPr>
        <w:t xml:space="preserve">Berkowicz, R., H.R. Olesen and U. Torp (1987). </w:t>
      </w:r>
      <w:r w:rsidRPr="00EA1BB2">
        <w:rPr>
          <w:rFonts w:ascii="Cambria" w:hAnsi="Cambria" w:cs="Times New Roman"/>
          <w:i/>
          <w:sz w:val="24"/>
          <w:szCs w:val="24"/>
        </w:rPr>
        <w:t>The Danish Gaussian Air Pollution Model (OML): Description, Test and Sensitivity Analysis in View of Regulatory Applications. In Air Pollution Modelling and its Application V</w:t>
      </w:r>
      <w:r w:rsidRPr="00EA1BB2">
        <w:rPr>
          <w:rFonts w:ascii="Cambria" w:hAnsi="Cambria" w:cs="Times New Roman"/>
          <w:sz w:val="24"/>
          <w:szCs w:val="24"/>
        </w:rPr>
        <w:t xml:space="preserve"> (ed. De Wispelaere, Schiermeier and Gillani);</w:t>
      </w:r>
    </w:p>
    <w:p w14:paraId="11A90A0B" w14:textId="77777777" w:rsidR="00312A5C" w:rsidRPr="00EA1BB2" w:rsidRDefault="00312A5C" w:rsidP="008C6FE1">
      <w:pPr>
        <w:numPr>
          <w:ilvl w:val="0"/>
          <w:numId w:val="6"/>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sz w:val="24"/>
          <w:szCs w:val="24"/>
        </w:rPr>
        <w:t>CJ BRĂILA – Strategia de dezvoltare a jude</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ului Brăila 2014-2020</w:t>
      </w:r>
      <w:hyperlink r:id="rId178" w:history="1">
        <w:r w:rsidR="00D30073" w:rsidRPr="00EA1BB2">
          <w:rPr>
            <w:rStyle w:val="Hyperlink"/>
            <w:rFonts w:ascii="Cambria" w:eastAsia="Calibri" w:hAnsi="Cambria" w:cs="Times New Roman"/>
            <w:sz w:val="24"/>
            <w:szCs w:val="24"/>
          </w:rPr>
          <w:t>http://www.portal-braila.ro/dm/portal.nsf/AllByUNID/0000801E?OpenDocument</w:t>
        </w:r>
      </w:hyperlink>
      <w:r w:rsidRPr="00EA1BB2">
        <w:rPr>
          <w:rFonts w:ascii="Cambria" w:eastAsia="Calibri" w:hAnsi="Cambria" w:cs="Times New Roman"/>
          <w:sz w:val="24"/>
          <w:szCs w:val="24"/>
        </w:rPr>
        <w:t>;</w:t>
      </w:r>
    </w:p>
    <w:p w14:paraId="1CF315D9" w14:textId="77777777" w:rsidR="00312A5C" w:rsidRPr="00EA1BB2" w:rsidRDefault="00312A5C" w:rsidP="003A520C">
      <w:pPr>
        <w:numPr>
          <w:ilvl w:val="0"/>
          <w:numId w:val="6"/>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sz w:val="24"/>
          <w:szCs w:val="24"/>
        </w:rPr>
        <w:t>CJ BRĂILA - Studiu privind factorii de mediu (riscuri naturale, protec</w:t>
      </w:r>
      <w:r w:rsidR="00054880" w:rsidRPr="00EA1BB2">
        <w:rPr>
          <w:rFonts w:ascii="Cambria" w:eastAsia="Calibri" w:hAnsi="Cambria" w:cs="Times New Roman"/>
          <w:sz w:val="24"/>
          <w:szCs w:val="24"/>
        </w:rPr>
        <w:t>ț</w:t>
      </w:r>
      <w:r w:rsidRPr="00EA1BB2">
        <w:rPr>
          <w:rFonts w:ascii="Cambria" w:eastAsia="Calibri" w:hAnsi="Cambria" w:cs="Times New Roman"/>
          <w:sz w:val="24"/>
          <w:szCs w:val="24"/>
        </w:rPr>
        <w:t xml:space="preserve">ia </w:t>
      </w:r>
      <w:r w:rsidR="00054880" w:rsidRPr="00EA1BB2">
        <w:rPr>
          <w:rFonts w:ascii="Cambria" w:eastAsia="Calibri" w:hAnsi="Cambria" w:cs="Times New Roman"/>
          <w:sz w:val="24"/>
          <w:szCs w:val="24"/>
        </w:rPr>
        <w:t>ș</w:t>
      </w:r>
      <w:r w:rsidRPr="00EA1BB2">
        <w:rPr>
          <w:rFonts w:ascii="Cambria" w:eastAsia="Calibri" w:hAnsi="Cambria" w:cs="Times New Roman"/>
          <w:sz w:val="24"/>
          <w:szCs w:val="24"/>
        </w:rPr>
        <w:t>i conservarea mediului) Planul Urbanistic General Brăila – 2012;</w:t>
      </w:r>
    </w:p>
    <w:p w14:paraId="3499F51B" w14:textId="77777777" w:rsidR="00327C14" w:rsidRPr="00EA1BB2" w:rsidRDefault="00327C14" w:rsidP="00B4173D">
      <w:pPr>
        <w:numPr>
          <w:ilvl w:val="0"/>
          <w:numId w:val="6"/>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sz w:val="24"/>
          <w:szCs w:val="24"/>
        </w:rPr>
        <w:t>Primăria Municipiului Brăila – Plan strategic de mobilitate urbană – 2015</w:t>
      </w:r>
      <w:hyperlink r:id="rId179" w:history="1">
        <w:r w:rsidR="00B4173D" w:rsidRPr="00EA1BB2">
          <w:rPr>
            <w:rStyle w:val="Hyperlink"/>
            <w:rFonts w:ascii="Cambria" w:eastAsia="Calibri" w:hAnsi="Cambria" w:cs="Times New Roman"/>
            <w:sz w:val="24"/>
            <w:szCs w:val="24"/>
          </w:rPr>
          <w:t>http://www.primariabraila.ro/Documente%20Pdf/AS/PSMU%20Braila.pdf</w:t>
        </w:r>
      </w:hyperlink>
      <w:r w:rsidR="00B4173D" w:rsidRPr="00EA1BB2">
        <w:rPr>
          <w:rFonts w:ascii="Cambria" w:eastAsia="Calibri" w:hAnsi="Cambria" w:cs="Times New Roman"/>
          <w:sz w:val="24"/>
          <w:szCs w:val="24"/>
        </w:rPr>
        <w:t>;</w:t>
      </w:r>
    </w:p>
    <w:p w14:paraId="115CED65" w14:textId="77777777" w:rsidR="00F82162" w:rsidRPr="00EA1BB2" w:rsidRDefault="00F82162" w:rsidP="00BB6B71">
      <w:pPr>
        <w:numPr>
          <w:ilvl w:val="0"/>
          <w:numId w:val="6"/>
        </w:numPr>
        <w:spacing w:line="360" w:lineRule="auto"/>
        <w:contextualSpacing/>
        <w:jc w:val="both"/>
        <w:rPr>
          <w:rFonts w:ascii="Cambria" w:hAnsi="Cambria"/>
          <w:sz w:val="24"/>
          <w:szCs w:val="24"/>
        </w:rPr>
      </w:pPr>
      <w:r w:rsidRPr="00EA1BB2">
        <w:rPr>
          <w:rFonts w:ascii="Cambria" w:hAnsi="Cambria"/>
          <w:sz w:val="24"/>
          <w:szCs w:val="24"/>
        </w:rPr>
        <w:t xml:space="preserve">EEA, </w:t>
      </w:r>
      <w:r w:rsidRPr="00EA1BB2">
        <w:rPr>
          <w:rFonts w:ascii="Cambria" w:hAnsi="Cambria"/>
          <w:i/>
          <w:sz w:val="24"/>
          <w:szCs w:val="24"/>
        </w:rPr>
        <w:t>Global megatrends update: 3 Changing disease burdens and risks of pandemics</w:t>
      </w:r>
      <w:r w:rsidRPr="00EA1BB2">
        <w:rPr>
          <w:rFonts w:ascii="Cambria" w:hAnsi="Cambria"/>
          <w:sz w:val="24"/>
          <w:szCs w:val="24"/>
        </w:rPr>
        <w:t>, European Environment Agency, Copenhagen, Denmark. 2014.</w:t>
      </w:r>
      <w:hyperlink r:id="rId180" w:history="1">
        <w:r w:rsidR="00BB6B71" w:rsidRPr="00EA1BB2">
          <w:rPr>
            <w:rStyle w:val="Hyperlink"/>
            <w:rFonts w:ascii="Cambria" w:hAnsi="Cambria"/>
            <w:sz w:val="24"/>
            <w:szCs w:val="24"/>
          </w:rPr>
          <w:t>https://www.eea.europa.eu/publications/global-megatrends-update-3</w:t>
        </w:r>
      </w:hyperlink>
    </w:p>
    <w:p w14:paraId="350BF457" w14:textId="77777777" w:rsidR="00F82162" w:rsidRPr="00EA1BB2" w:rsidRDefault="00F82162" w:rsidP="00F82162">
      <w:pPr>
        <w:numPr>
          <w:ilvl w:val="0"/>
          <w:numId w:val="6"/>
        </w:numPr>
        <w:spacing w:line="360" w:lineRule="auto"/>
        <w:contextualSpacing/>
        <w:jc w:val="both"/>
        <w:rPr>
          <w:rFonts w:ascii="Cambria" w:hAnsi="Cambria"/>
          <w:sz w:val="24"/>
          <w:szCs w:val="24"/>
        </w:rPr>
      </w:pPr>
      <w:r w:rsidRPr="00EA1BB2">
        <w:rPr>
          <w:rFonts w:ascii="Cambria" w:hAnsi="Cambria"/>
          <w:sz w:val="24"/>
          <w:szCs w:val="24"/>
        </w:rPr>
        <w:t>EEA/AEM - Mediul european - Starea și perspectiva 2015, Raport de sinteză</w:t>
      </w:r>
    </w:p>
    <w:p w14:paraId="26A96D5F" w14:textId="77777777" w:rsidR="00BB6B71" w:rsidRPr="00EA1BB2" w:rsidRDefault="009A1372" w:rsidP="00BB6B71">
      <w:pPr>
        <w:pStyle w:val="ListParagraph"/>
        <w:spacing w:line="360" w:lineRule="auto"/>
        <w:jc w:val="both"/>
        <w:rPr>
          <w:rFonts w:ascii="Cambria" w:hAnsi="Cambria"/>
          <w:sz w:val="24"/>
          <w:szCs w:val="24"/>
          <w:lang w:val="ro-RO"/>
        </w:rPr>
      </w:pPr>
      <w:hyperlink r:id="rId181" w:history="1">
        <w:r w:rsidR="00BB6B71" w:rsidRPr="00EA1BB2">
          <w:rPr>
            <w:rStyle w:val="Hyperlink"/>
            <w:rFonts w:ascii="Cambria" w:hAnsi="Cambria"/>
            <w:sz w:val="24"/>
            <w:szCs w:val="24"/>
            <w:lang w:val="ro-RO"/>
          </w:rPr>
          <w:t>https://media.hotnews.ro/media_server1/document-2015-03-3-19538585-0-raportul-mediu2015.pdf</w:t>
        </w:r>
      </w:hyperlink>
    </w:p>
    <w:p w14:paraId="4CD59F17" w14:textId="77777777" w:rsidR="00F82162" w:rsidRPr="00EA1BB2" w:rsidRDefault="00F82162" w:rsidP="00BB6B71">
      <w:pPr>
        <w:pStyle w:val="ListParagraph"/>
        <w:numPr>
          <w:ilvl w:val="0"/>
          <w:numId w:val="6"/>
        </w:numPr>
        <w:spacing w:after="0" w:line="360" w:lineRule="auto"/>
        <w:jc w:val="both"/>
        <w:rPr>
          <w:rFonts w:ascii="Cambria" w:hAnsi="Cambria"/>
          <w:sz w:val="24"/>
          <w:szCs w:val="24"/>
          <w:lang w:val="ro-RO"/>
        </w:rPr>
      </w:pPr>
      <w:r w:rsidRPr="00EA1BB2">
        <w:rPr>
          <w:rFonts w:ascii="Cambria" w:hAnsi="Cambria"/>
          <w:sz w:val="24"/>
          <w:szCs w:val="24"/>
          <w:lang w:val="ro-RO"/>
        </w:rPr>
        <w:t xml:space="preserve">EEA/JRC, 2013, </w:t>
      </w:r>
      <w:r w:rsidRPr="00EA1BB2">
        <w:rPr>
          <w:rFonts w:ascii="Cambria" w:hAnsi="Cambria"/>
          <w:i/>
          <w:sz w:val="24"/>
          <w:szCs w:val="24"/>
          <w:lang w:val="ro-RO"/>
        </w:rPr>
        <w:t>Environment and human health</w:t>
      </w:r>
      <w:r w:rsidRPr="00EA1BB2">
        <w:rPr>
          <w:rFonts w:ascii="Cambria" w:hAnsi="Cambria"/>
          <w:sz w:val="24"/>
          <w:szCs w:val="24"/>
          <w:lang w:val="ro-RO"/>
        </w:rPr>
        <w:t>, EEA Report No 5/2013, European Environment Agency and the European Commission's Joint Research Centre</w:t>
      </w:r>
    </w:p>
    <w:p w14:paraId="3A451D6E" w14:textId="77777777" w:rsidR="00BB6B71" w:rsidRPr="00EA1BB2" w:rsidRDefault="009A1372" w:rsidP="00BB6B71">
      <w:pPr>
        <w:spacing w:line="360" w:lineRule="auto"/>
        <w:ind w:left="720"/>
        <w:contextualSpacing/>
        <w:jc w:val="both"/>
        <w:rPr>
          <w:rFonts w:ascii="Cambria" w:hAnsi="Cambria"/>
          <w:sz w:val="24"/>
          <w:szCs w:val="24"/>
        </w:rPr>
      </w:pPr>
      <w:hyperlink r:id="rId182" w:history="1">
        <w:r w:rsidR="00BB6B71" w:rsidRPr="00EA1BB2">
          <w:rPr>
            <w:rStyle w:val="Hyperlink"/>
            <w:rFonts w:ascii="Cambria" w:hAnsi="Cambria"/>
            <w:sz w:val="24"/>
            <w:szCs w:val="24"/>
          </w:rPr>
          <w:t>https://www.eea.europa.eu/publications/environment-and-human-health</w:t>
        </w:r>
      </w:hyperlink>
    </w:p>
    <w:p w14:paraId="0886EA45" w14:textId="77777777" w:rsidR="002621D4" w:rsidRPr="00EA1BB2" w:rsidRDefault="009A1372" w:rsidP="003A520C">
      <w:pPr>
        <w:numPr>
          <w:ilvl w:val="0"/>
          <w:numId w:val="6"/>
        </w:numPr>
        <w:spacing w:after="200" w:line="360" w:lineRule="auto"/>
        <w:contextualSpacing/>
        <w:jc w:val="both"/>
        <w:rPr>
          <w:rFonts w:ascii="Cambria" w:eastAsia="Calibri" w:hAnsi="Cambria" w:cs="Times New Roman"/>
          <w:sz w:val="24"/>
          <w:szCs w:val="24"/>
        </w:rPr>
      </w:pPr>
      <w:hyperlink r:id="rId183" w:history="1">
        <w:r w:rsidR="002621D4" w:rsidRPr="00EA1BB2">
          <w:rPr>
            <w:rStyle w:val="Hyperlink"/>
            <w:rFonts w:ascii="Cambria" w:eastAsia="Calibri" w:hAnsi="Cambria" w:cs="Times New Roman"/>
            <w:color w:val="auto"/>
            <w:sz w:val="24"/>
            <w:szCs w:val="24"/>
            <w:u w:val="none"/>
          </w:rPr>
          <w:t>http://apmbr.anpm.ro/</w:t>
        </w:r>
      </w:hyperlink>
    </w:p>
    <w:p w14:paraId="3AD5FC5C" w14:textId="77777777" w:rsidR="002621D4" w:rsidRPr="00EA1BB2" w:rsidRDefault="002621D4" w:rsidP="003A520C">
      <w:pPr>
        <w:numPr>
          <w:ilvl w:val="0"/>
          <w:numId w:val="6"/>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sz w:val="24"/>
          <w:szCs w:val="24"/>
        </w:rPr>
        <w:t>http://primaria-ianca.ro/</w:t>
      </w:r>
    </w:p>
    <w:p w14:paraId="3E3F1E1A" w14:textId="77777777" w:rsidR="002621D4" w:rsidRPr="00EA1BB2" w:rsidRDefault="009A1372" w:rsidP="003A520C">
      <w:pPr>
        <w:numPr>
          <w:ilvl w:val="0"/>
          <w:numId w:val="6"/>
        </w:numPr>
        <w:spacing w:after="200" w:line="360" w:lineRule="auto"/>
        <w:contextualSpacing/>
        <w:jc w:val="both"/>
        <w:rPr>
          <w:rFonts w:ascii="Cambria" w:eastAsia="Calibri" w:hAnsi="Cambria" w:cs="Times New Roman"/>
          <w:sz w:val="24"/>
          <w:szCs w:val="24"/>
        </w:rPr>
      </w:pPr>
      <w:hyperlink r:id="rId184" w:history="1">
        <w:r w:rsidR="002621D4" w:rsidRPr="00EA1BB2">
          <w:rPr>
            <w:rFonts w:ascii="Cambria" w:eastAsia="Calibri" w:hAnsi="Cambria" w:cs="Times New Roman"/>
            <w:sz w:val="24"/>
            <w:szCs w:val="24"/>
          </w:rPr>
          <w:t>http://www.adrse.ro/</w:t>
        </w:r>
      </w:hyperlink>
    </w:p>
    <w:p w14:paraId="1672ACA1" w14:textId="77777777" w:rsidR="002621D4" w:rsidRPr="00EA1BB2" w:rsidRDefault="009A1372" w:rsidP="003A520C">
      <w:pPr>
        <w:numPr>
          <w:ilvl w:val="0"/>
          <w:numId w:val="6"/>
        </w:numPr>
        <w:spacing w:after="200" w:line="360" w:lineRule="auto"/>
        <w:contextualSpacing/>
        <w:jc w:val="both"/>
        <w:rPr>
          <w:rFonts w:ascii="Cambria" w:eastAsia="Calibri" w:hAnsi="Cambria" w:cs="Times New Roman"/>
          <w:sz w:val="24"/>
          <w:szCs w:val="24"/>
        </w:rPr>
      </w:pPr>
      <w:hyperlink r:id="rId185" w:history="1">
        <w:r w:rsidR="002621D4" w:rsidRPr="00EA1BB2">
          <w:rPr>
            <w:rFonts w:ascii="Cambria" w:eastAsia="Calibri" w:hAnsi="Cambria" w:cs="Times New Roman"/>
            <w:sz w:val="24"/>
            <w:szCs w:val="24"/>
          </w:rPr>
          <w:t>http://www.braila.insse.ro/</w:t>
        </w:r>
      </w:hyperlink>
    </w:p>
    <w:p w14:paraId="48556684" w14:textId="77777777" w:rsidR="002621D4" w:rsidRPr="00EA1BB2" w:rsidRDefault="009A1372" w:rsidP="003A520C">
      <w:pPr>
        <w:numPr>
          <w:ilvl w:val="0"/>
          <w:numId w:val="6"/>
        </w:numPr>
        <w:spacing w:after="200" w:line="360" w:lineRule="auto"/>
        <w:contextualSpacing/>
        <w:jc w:val="both"/>
        <w:rPr>
          <w:rFonts w:ascii="Cambria" w:eastAsia="Calibri" w:hAnsi="Cambria" w:cs="Times New Roman"/>
          <w:sz w:val="24"/>
          <w:szCs w:val="24"/>
        </w:rPr>
      </w:pPr>
      <w:hyperlink r:id="rId186" w:history="1">
        <w:r w:rsidR="002621D4" w:rsidRPr="00EA1BB2">
          <w:rPr>
            <w:rStyle w:val="Hyperlink"/>
            <w:rFonts w:ascii="Cambria" w:eastAsia="Calibri" w:hAnsi="Cambria" w:cs="Times New Roman"/>
            <w:color w:val="auto"/>
            <w:sz w:val="24"/>
            <w:szCs w:val="24"/>
            <w:u w:val="none"/>
          </w:rPr>
          <w:t>http://www.calitateaer.ro/</w:t>
        </w:r>
      </w:hyperlink>
    </w:p>
    <w:p w14:paraId="0F4AC17B" w14:textId="77777777" w:rsidR="002621D4" w:rsidRPr="00EA1BB2" w:rsidRDefault="009A1372" w:rsidP="003A520C">
      <w:pPr>
        <w:numPr>
          <w:ilvl w:val="0"/>
          <w:numId w:val="6"/>
        </w:numPr>
        <w:spacing w:after="200" w:line="360" w:lineRule="auto"/>
        <w:contextualSpacing/>
        <w:jc w:val="both"/>
        <w:rPr>
          <w:rFonts w:ascii="Cambria" w:eastAsia="Calibri" w:hAnsi="Cambria" w:cs="Times New Roman"/>
          <w:sz w:val="24"/>
          <w:szCs w:val="24"/>
        </w:rPr>
      </w:pPr>
      <w:hyperlink r:id="rId187" w:history="1">
        <w:r w:rsidR="002621D4" w:rsidRPr="00EA1BB2">
          <w:rPr>
            <w:rStyle w:val="Hyperlink"/>
            <w:rFonts w:ascii="Cambria" w:eastAsia="Calibri" w:hAnsi="Cambria" w:cs="Times New Roman"/>
            <w:color w:val="auto"/>
            <w:sz w:val="24"/>
            <w:szCs w:val="24"/>
            <w:u w:val="none"/>
          </w:rPr>
          <w:t>http://www.cestrin.ro/</w:t>
        </w:r>
      </w:hyperlink>
    </w:p>
    <w:p w14:paraId="41ED31E6" w14:textId="77777777" w:rsidR="002621D4" w:rsidRPr="00EA1BB2" w:rsidRDefault="009A1372" w:rsidP="003A520C">
      <w:pPr>
        <w:numPr>
          <w:ilvl w:val="0"/>
          <w:numId w:val="6"/>
        </w:numPr>
        <w:spacing w:after="200" w:line="360" w:lineRule="auto"/>
        <w:contextualSpacing/>
        <w:jc w:val="both"/>
        <w:rPr>
          <w:rFonts w:ascii="Cambria" w:eastAsia="Calibri" w:hAnsi="Cambria" w:cs="Times New Roman"/>
          <w:sz w:val="24"/>
          <w:szCs w:val="24"/>
        </w:rPr>
      </w:pPr>
      <w:hyperlink r:id="rId188" w:history="1">
        <w:r w:rsidR="002621D4" w:rsidRPr="00EA1BB2">
          <w:rPr>
            <w:rStyle w:val="Hyperlink"/>
            <w:rFonts w:ascii="Cambria" w:eastAsia="Calibri" w:hAnsi="Cambria" w:cs="Times New Roman"/>
            <w:color w:val="auto"/>
            <w:sz w:val="24"/>
            <w:szCs w:val="24"/>
            <w:u w:val="none"/>
          </w:rPr>
          <w:t>http://www.cjbraila.ro/</w:t>
        </w:r>
      </w:hyperlink>
    </w:p>
    <w:p w14:paraId="43A01075" w14:textId="77777777" w:rsidR="002621D4" w:rsidRPr="00EA1BB2" w:rsidRDefault="009A1372" w:rsidP="003A520C">
      <w:pPr>
        <w:numPr>
          <w:ilvl w:val="0"/>
          <w:numId w:val="6"/>
        </w:numPr>
        <w:spacing w:after="200" w:line="360" w:lineRule="auto"/>
        <w:contextualSpacing/>
        <w:jc w:val="both"/>
        <w:rPr>
          <w:rFonts w:ascii="Cambria" w:eastAsia="Calibri" w:hAnsi="Cambria" w:cs="Times New Roman"/>
          <w:sz w:val="24"/>
          <w:szCs w:val="24"/>
        </w:rPr>
      </w:pPr>
      <w:hyperlink r:id="rId189" w:history="1">
        <w:r w:rsidR="002621D4" w:rsidRPr="00EA1BB2">
          <w:rPr>
            <w:rFonts w:ascii="Cambria" w:eastAsia="Calibri" w:hAnsi="Cambria" w:cs="Times New Roman"/>
            <w:sz w:val="24"/>
            <w:szCs w:val="24"/>
          </w:rPr>
          <w:t>http://www.meteoromania.ro/</w:t>
        </w:r>
      </w:hyperlink>
    </w:p>
    <w:p w14:paraId="6EA4326A" w14:textId="77777777" w:rsidR="002621D4" w:rsidRPr="00EA1BB2" w:rsidRDefault="002621D4" w:rsidP="003A520C">
      <w:pPr>
        <w:numPr>
          <w:ilvl w:val="0"/>
          <w:numId w:val="6"/>
        </w:numPr>
        <w:spacing w:after="200" w:line="360" w:lineRule="auto"/>
        <w:contextualSpacing/>
        <w:jc w:val="both"/>
        <w:rPr>
          <w:rFonts w:ascii="Cambria" w:eastAsia="Calibri" w:hAnsi="Cambria" w:cs="Times New Roman"/>
          <w:sz w:val="24"/>
          <w:szCs w:val="24"/>
        </w:rPr>
      </w:pPr>
      <w:r w:rsidRPr="00EA1BB2">
        <w:rPr>
          <w:rFonts w:ascii="Cambria" w:eastAsia="Calibri" w:hAnsi="Cambria" w:cs="Times New Roman"/>
          <w:sz w:val="24"/>
          <w:szCs w:val="24"/>
        </w:rPr>
        <w:t>http://www.orasulfaurei.ro/</w:t>
      </w:r>
    </w:p>
    <w:p w14:paraId="2C2F0B83" w14:textId="77777777" w:rsidR="002621D4" w:rsidRPr="00EA1BB2" w:rsidRDefault="009A1372" w:rsidP="003A520C">
      <w:pPr>
        <w:numPr>
          <w:ilvl w:val="0"/>
          <w:numId w:val="6"/>
        </w:numPr>
        <w:spacing w:after="200" w:line="360" w:lineRule="auto"/>
        <w:contextualSpacing/>
        <w:jc w:val="both"/>
        <w:rPr>
          <w:rFonts w:ascii="Cambria" w:eastAsia="Calibri" w:hAnsi="Cambria" w:cs="Times New Roman"/>
          <w:sz w:val="24"/>
          <w:szCs w:val="24"/>
        </w:rPr>
      </w:pPr>
      <w:hyperlink r:id="rId190" w:history="1">
        <w:r w:rsidR="002621D4" w:rsidRPr="00EA1BB2">
          <w:rPr>
            <w:rFonts w:ascii="Cambria" w:eastAsia="Calibri" w:hAnsi="Cambria" w:cs="Times New Roman"/>
            <w:sz w:val="24"/>
            <w:szCs w:val="24"/>
          </w:rPr>
          <w:t>http://www.primariabraila.ro/</w:t>
        </w:r>
      </w:hyperlink>
    </w:p>
    <w:p w14:paraId="23D975EF" w14:textId="77777777" w:rsidR="00F82162" w:rsidRPr="00EA1BB2" w:rsidRDefault="00F82162" w:rsidP="00FF482D">
      <w:pPr>
        <w:numPr>
          <w:ilvl w:val="0"/>
          <w:numId w:val="6"/>
        </w:numPr>
        <w:spacing w:line="360" w:lineRule="auto"/>
        <w:ind w:left="709"/>
        <w:contextualSpacing/>
        <w:jc w:val="both"/>
        <w:rPr>
          <w:rFonts w:ascii="Cambria" w:hAnsi="Cambria"/>
          <w:sz w:val="24"/>
          <w:szCs w:val="24"/>
        </w:rPr>
      </w:pPr>
      <w:r w:rsidRPr="00EA1BB2">
        <w:rPr>
          <w:rFonts w:ascii="Cambria" w:hAnsi="Cambria"/>
          <w:sz w:val="24"/>
          <w:szCs w:val="24"/>
        </w:rPr>
        <w:t xml:space="preserve">IARC, 2012, </w:t>
      </w:r>
      <w:r w:rsidRPr="00EA1BB2">
        <w:rPr>
          <w:rFonts w:ascii="Cambria" w:hAnsi="Cambria"/>
          <w:i/>
          <w:sz w:val="24"/>
          <w:szCs w:val="24"/>
        </w:rPr>
        <w:t>Diesel Engine Exhaust Carcinogenic</w:t>
      </w:r>
      <w:r w:rsidRPr="00EA1BB2">
        <w:rPr>
          <w:rFonts w:ascii="Cambria" w:hAnsi="Cambria"/>
          <w:sz w:val="24"/>
          <w:szCs w:val="24"/>
        </w:rPr>
        <w:t>, Press release, 213, International Agency for Research on Cancer, Lyon, France.</w:t>
      </w:r>
    </w:p>
    <w:p w14:paraId="688E2764" w14:textId="77777777" w:rsidR="00736F3B" w:rsidRPr="00EA1BB2" w:rsidRDefault="009A1372" w:rsidP="00736F3B">
      <w:pPr>
        <w:spacing w:line="360" w:lineRule="auto"/>
        <w:ind w:left="720"/>
        <w:contextualSpacing/>
        <w:jc w:val="both"/>
        <w:rPr>
          <w:rFonts w:ascii="Cambria" w:hAnsi="Cambria"/>
          <w:sz w:val="24"/>
          <w:szCs w:val="24"/>
        </w:rPr>
      </w:pPr>
      <w:hyperlink r:id="rId191" w:history="1">
        <w:r w:rsidR="00736F3B" w:rsidRPr="00EA1BB2">
          <w:rPr>
            <w:rStyle w:val="Hyperlink"/>
            <w:rFonts w:ascii="Cambria" w:hAnsi="Cambria"/>
            <w:sz w:val="24"/>
            <w:szCs w:val="24"/>
          </w:rPr>
          <w:t>https://www.iarc.fr/en/media-centre/pr/2012/pdfs/pr213_E.pdf</w:t>
        </w:r>
      </w:hyperlink>
    </w:p>
    <w:p w14:paraId="308A11CD" w14:textId="77777777" w:rsidR="00F82162" w:rsidRPr="00EA1BB2" w:rsidRDefault="00F82162" w:rsidP="00FF482D">
      <w:pPr>
        <w:numPr>
          <w:ilvl w:val="0"/>
          <w:numId w:val="6"/>
        </w:numPr>
        <w:spacing w:line="360" w:lineRule="auto"/>
        <w:ind w:left="709"/>
        <w:contextualSpacing/>
        <w:jc w:val="both"/>
        <w:rPr>
          <w:rFonts w:ascii="Cambria" w:hAnsi="Cambria"/>
          <w:sz w:val="24"/>
          <w:szCs w:val="24"/>
        </w:rPr>
      </w:pPr>
      <w:r w:rsidRPr="00EA1BB2">
        <w:rPr>
          <w:rFonts w:ascii="Cambria" w:hAnsi="Cambria"/>
          <w:sz w:val="24"/>
          <w:szCs w:val="24"/>
        </w:rPr>
        <w:t>IARC, 2013, Outdoor air pollution a leading environmental cause of cancer deaths, Press Release No 221, 17 October 2013, International Agency for Research on Cancer, World Health Organization, Lyon, France.</w:t>
      </w:r>
    </w:p>
    <w:p w14:paraId="3BD9C395" w14:textId="77777777" w:rsidR="00736F3B" w:rsidRPr="00EA1BB2" w:rsidRDefault="009A1372" w:rsidP="00736F3B">
      <w:pPr>
        <w:spacing w:line="360" w:lineRule="auto"/>
        <w:ind w:left="720"/>
        <w:contextualSpacing/>
        <w:jc w:val="both"/>
        <w:rPr>
          <w:rFonts w:ascii="Cambria" w:hAnsi="Cambria"/>
          <w:sz w:val="24"/>
          <w:szCs w:val="24"/>
        </w:rPr>
      </w:pPr>
      <w:hyperlink r:id="rId192" w:history="1">
        <w:r w:rsidR="00736F3B" w:rsidRPr="00EA1BB2">
          <w:rPr>
            <w:rStyle w:val="Hyperlink"/>
            <w:rFonts w:ascii="Cambria" w:hAnsi="Cambria"/>
            <w:sz w:val="24"/>
            <w:szCs w:val="24"/>
          </w:rPr>
          <w:t>https://www.iarc.fr/en/media-centre/iarcnews/pdf/pr221_E.pdf</w:t>
        </w:r>
      </w:hyperlink>
    </w:p>
    <w:p w14:paraId="2C310A5D" w14:textId="77777777" w:rsidR="00F82162" w:rsidRPr="00EA1BB2" w:rsidRDefault="00F82162" w:rsidP="00FF482D">
      <w:pPr>
        <w:numPr>
          <w:ilvl w:val="0"/>
          <w:numId w:val="6"/>
        </w:numPr>
        <w:spacing w:after="200" w:line="360" w:lineRule="auto"/>
        <w:contextualSpacing/>
        <w:jc w:val="both"/>
        <w:rPr>
          <w:rFonts w:ascii="Cambria" w:hAnsi="Cambria"/>
          <w:sz w:val="24"/>
          <w:szCs w:val="24"/>
        </w:rPr>
      </w:pPr>
      <w:r w:rsidRPr="00EA1BB2">
        <w:rPr>
          <w:rFonts w:ascii="Cambria" w:hAnsi="Cambria"/>
          <w:sz w:val="24"/>
          <w:szCs w:val="24"/>
        </w:rPr>
        <w:t xml:space="preserve">Institutul Național De Sănătate Publică, Centrul Național De Monitorizare A Riscurilor Din Mediul Comunitar -RAPORTUL PENTRU SANATATE ȘI MEDIU 2014; </w:t>
      </w:r>
    </w:p>
    <w:p w14:paraId="70676674" w14:textId="77777777" w:rsidR="00F82162" w:rsidRPr="00EA1BB2" w:rsidRDefault="00F82162" w:rsidP="00FF482D">
      <w:pPr>
        <w:numPr>
          <w:ilvl w:val="0"/>
          <w:numId w:val="6"/>
        </w:numPr>
        <w:spacing w:line="360" w:lineRule="auto"/>
        <w:contextualSpacing/>
        <w:jc w:val="both"/>
        <w:rPr>
          <w:rFonts w:ascii="Cambria" w:hAnsi="Cambria"/>
          <w:sz w:val="24"/>
          <w:szCs w:val="24"/>
        </w:rPr>
      </w:pPr>
      <w:r w:rsidRPr="00EA1BB2">
        <w:rPr>
          <w:rFonts w:ascii="Cambria" w:hAnsi="Cambria"/>
          <w:sz w:val="24"/>
          <w:szCs w:val="24"/>
        </w:rPr>
        <w:t>Institutul Național de Statistică - Recensământul populației și al locuințelor 2011</w:t>
      </w:r>
    </w:p>
    <w:p w14:paraId="49D253B8" w14:textId="77777777" w:rsidR="000E4FFC" w:rsidRPr="00EA1BB2" w:rsidRDefault="009A1372" w:rsidP="000E4FFC">
      <w:pPr>
        <w:spacing w:line="360" w:lineRule="auto"/>
        <w:ind w:left="720"/>
        <w:contextualSpacing/>
        <w:jc w:val="both"/>
        <w:rPr>
          <w:rFonts w:ascii="Cambria" w:hAnsi="Cambria"/>
          <w:sz w:val="24"/>
          <w:szCs w:val="24"/>
        </w:rPr>
      </w:pPr>
      <w:hyperlink r:id="rId193" w:history="1">
        <w:r w:rsidR="000E4FFC" w:rsidRPr="00EA1BB2">
          <w:rPr>
            <w:rStyle w:val="Hyperlink"/>
            <w:rFonts w:ascii="Cambria" w:hAnsi="Cambria"/>
            <w:sz w:val="24"/>
            <w:szCs w:val="24"/>
          </w:rPr>
          <w:t>http://www.recensamantromania.ro/rezultate-2/</w:t>
        </w:r>
      </w:hyperlink>
    </w:p>
    <w:p w14:paraId="24E2A31F" w14:textId="77777777" w:rsidR="00F82162" w:rsidRPr="00EA1BB2" w:rsidRDefault="00F82162" w:rsidP="00FF482D">
      <w:pPr>
        <w:numPr>
          <w:ilvl w:val="0"/>
          <w:numId w:val="6"/>
        </w:numPr>
        <w:spacing w:line="360" w:lineRule="auto"/>
        <w:contextualSpacing/>
        <w:jc w:val="both"/>
        <w:rPr>
          <w:rFonts w:ascii="Cambria" w:hAnsi="Cambria"/>
          <w:sz w:val="24"/>
          <w:szCs w:val="24"/>
        </w:rPr>
      </w:pPr>
      <w:r w:rsidRPr="00EA1BB2">
        <w:rPr>
          <w:rFonts w:ascii="Cambria" w:hAnsi="Cambria"/>
          <w:sz w:val="24"/>
          <w:szCs w:val="24"/>
        </w:rPr>
        <w:t xml:space="preserve">Popa, R. G., Drăguț, Ghe., Studiu privind efectele pulberilor rezultate din activitatea depozitului de cărbune Roşiuţa, asupra populației din zonă, Analele Universității “Constantin Brâncuși” din Târgu Jiu, Seria Inginerie, Nr. 2/2011; </w:t>
      </w:r>
    </w:p>
    <w:p w14:paraId="2598979B" w14:textId="77777777" w:rsidR="000E4FFC" w:rsidRPr="00EA1BB2" w:rsidRDefault="00F82162" w:rsidP="001D1E64">
      <w:pPr>
        <w:numPr>
          <w:ilvl w:val="0"/>
          <w:numId w:val="6"/>
        </w:numPr>
        <w:spacing w:after="200" w:line="360" w:lineRule="auto"/>
        <w:contextualSpacing/>
        <w:jc w:val="both"/>
        <w:rPr>
          <w:rFonts w:ascii="Cambria" w:hAnsi="Cambria"/>
          <w:sz w:val="24"/>
          <w:szCs w:val="24"/>
        </w:rPr>
      </w:pPr>
      <w:r w:rsidRPr="00EA1BB2">
        <w:rPr>
          <w:rFonts w:ascii="Cambria" w:eastAsia="Calibri" w:hAnsi="Cambria" w:cs="Times New Roman"/>
          <w:sz w:val="24"/>
          <w:szCs w:val="24"/>
        </w:rPr>
        <w:t xml:space="preserve">TIȚA, Mihaela Cosmina, - </w:t>
      </w:r>
      <w:r w:rsidRPr="00EA1BB2">
        <w:rPr>
          <w:rFonts w:ascii="Cambria" w:eastAsia="Calibri" w:hAnsi="Cambria" w:cs="Times New Roman"/>
          <w:i/>
          <w:sz w:val="24"/>
          <w:szCs w:val="24"/>
        </w:rPr>
        <w:t>Modelarea dispersiei atmosferice a poluanților</w:t>
      </w:r>
      <w:r w:rsidRPr="00EA1BB2">
        <w:rPr>
          <w:rFonts w:ascii="Cambria" w:eastAsia="Calibri" w:hAnsi="Cambria" w:cs="Times New Roman"/>
          <w:sz w:val="24"/>
          <w:szCs w:val="24"/>
        </w:rPr>
        <w:t>, Universitatea din Craiova, Buletinul AGIR, Supliment 2/2012</w:t>
      </w:r>
      <w:hyperlink r:id="rId194" w:history="1">
        <w:r w:rsidRPr="00EA1BB2">
          <w:rPr>
            <w:rStyle w:val="Hyperlink"/>
            <w:rFonts w:ascii="Cambria" w:eastAsia="Calibri" w:hAnsi="Cambria" w:cs="Times New Roman"/>
            <w:sz w:val="24"/>
            <w:szCs w:val="24"/>
          </w:rPr>
          <w:t>http://www.agir.ro/buletine/1622.pdf</w:t>
        </w:r>
      </w:hyperlink>
      <w:r w:rsidRPr="00EA1BB2">
        <w:rPr>
          <w:rFonts w:ascii="Cambria" w:eastAsia="Calibri" w:hAnsi="Cambria" w:cs="Times New Roman"/>
          <w:sz w:val="24"/>
          <w:szCs w:val="24"/>
        </w:rPr>
        <w:t>;</w:t>
      </w:r>
    </w:p>
    <w:p w14:paraId="69FCE9C0" w14:textId="77777777" w:rsidR="00F82162" w:rsidRPr="00EA1BB2" w:rsidRDefault="00F82162" w:rsidP="001D1E64">
      <w:pPr>
        <w:numPr>
          <w:ilvl w:val="0"/>
          <w:numId w:val="6"/>
        </w:numPr>
        <w:spacing w:after="200" w:line="360" w:lineRule="auto"/>
        <w:contextualSpacing/>
        <w:jc w:val="both"/>
        <w:rPr>
          <w:rFonts w:ascii="Cambria" w:hAnsi="Cambria"/>
          <w:sz w:val="24"/>
          <w:szCs w:val="24"/>
        </w:rPr>
      </w:pPr>
      <w:r w:rsidRPr="00EA1BB2">
        <w:rPr>
          <w:rFonts w:ascii="Cambria" w:hAnsi="Cambria"/>
          <w:sz w:val="24"/>
          <w:szCs w:val="24"/>
        </w:rPr>
        <w:t xml:space="preserve">WHO Regional Office for Europe - </w:t>
      </w:r>
      <w:r w:rsidRPr="00EA1BB2">
        <w:rPr>
          <w:rFonts w:ascii="Cambria" w:hAnsi="Cambria"/>
          <w:i/>
          <w:sz w:val="24"/>
          <w:szCs w:val="24"/>
        </w:rPr>
        <w:t>Health risk assessment of air pollution</w:t>
      </w:r>
      <w:r w:rsidRPr="00EA1BB2">
        <w:rPr>
          <w:rFonts w:ascii="Cambria" w:hAnsi="Cambria"/>
          <w:sz w:val="24"/>
          <w:szCs w:val="24"/>
        </w:rPr>
        <w:t xml:space="preserve"> – general principles. Copenhagen: 2016 </w:t>
      </w:r>
    </w:p>
    <w:p w14:paraId="26A05FCA" w14:textId="77777777" w:rsidR="00F82162" w:rsidRPr="00EA1BB2" w:rsidRDefault="009A1372" w:rsidP="00F82162">
      <w:pPr>
        <w:spacing w:after="200" w:line="360" w:lineRule="auto"/>
        <w:ind w:left="720"/>
        <w:contextualSpacing/>
        <w:jc w:val="both"/>
        <w:rPr>
          <w:rFonts w:ascii="Cambria" w:hAnsi="Cambria"/>
          <w:sz w:val="24"/>
          <w:szCs w:val="24"/>
        </w:rPr>
      </w:pPr>
      <w:hyperlink r:id="rId195" w:history="1">
        <w:r w:rsidR="00F82162" w:rsidRPr="00EA1BB2">
          <w:rPr>
            <w:rStyle w:val="Hyperlink"/>
            <w:rFonts w:ascii="Cambria" w:eastAsia="Calibri" w:hAnsi="Cambria" w:cs="Times New Roman"/>
            <w:sz w:val="24"/>
            <w:szCs w:val="24"/>
          </w:rPr>
          <w:t>http://www.euro.who.int/__data/assets/pdf_file/0006/298482/Health-risk-assessment-air-pollution-General-principles-en.pdf?ua=1</w:t>
        </w:r>
      </w:hyperlink>
      <w:r w:rsidR="00F82162" w:rsidRPr="00EA1BB2">
        <w:rPr>
          <w:rFonts w:ascii="Cambria" w:eastAsia="Calibri" w:hAnsi="Cambria" w:cs="Times New Roman"/>
          <w:sz w:val="24"/>
          <w:szCs w:val="24"/>
        </w:rPr>
        <w:t>.</w:t>
      </w:r>
    </w:p>
    <w:p w14:paraId="71879794" w14:textId="77777777" w:rsidR="00BB6B71" w:rsidRPr="00EA1BB2" w:rsidRDefault="00F82162" w:rsidP="001700A7">
      <w:pPr>
        <w:numPr>
          <w:ilvl w:val="0"/>
          <w:numId w:val="6"/>
        </w:numPr>
        <w:spacing w:line="360" w:lineRule="auto"/>
        <w:contextualSpacing/>
        <w:jc w:val="both"/>
        <w:rPr>
          <w:rFonts w:ascii="Cambria" w:hAnsi="Cambria"/>
          <w:sz w:val="24"/>
          <w:szCs w:val="24"/>
        </w:rPr>
      </w:pPr>
      <w:r w:rsidRPr="00EA1BB2">
        <w:rPr>
          <w:rFonts w:ascii="Cambria" w:hAnsi="Cambria"/>
          <w:sz w:val="24"/>
          <w:szCs w:val="24"/>
        </w:rPr>
        <w:t xml:space="preserve">WHO, 2006, </w:t>
      </w:r>
      <w:r w:rsidRPr="00EA1BB2">
        <w:rPr>
          <w:rFonts w:ascii="Cambria" w:hAnsi="Cambria"/>
          <w:i/>
          <w:sz w:val="24"/>
          <w:szCs w:val="24"/>
        </w:rPr>
        <w:t>Air quality guidelines for particulate matter, ozone, nitrogen dioxide and sulfur dioxide</w:t>
      </w:r>
      <w:r w:rsidRPr="00EA1BB2">
        <w:rPr>
          <w:rFonts w:ascii="Cambria" w:hAnsi="Cambria"/>
          <w:sz w:val="24"/>
          <w:szCs w:val="24"/>
        </w:rPr>
        <w:t>. Global update 2005. Summary of risk assessment, World Health Organization, Geneva, Switzerland.</w:t>
      </w:r>
    </w:p>
    <w:p w14:paraId="79CF08BD" w14:textId="77777777" w:rsidR="00BB6B71" w:rsidRPr="00EA1BB2" w:rsidRDefault="009A1372" w:rsidP="00BB6B71">
      <w:pPr>
        <w:spacing w:line="360" w:lineRule="auto"/>
        <w:ind w:left="720"/>
        <w:contextualSpacing/>
        <w:jc w:val="both"/>
        <w:rPr>
          <w:rFonts w:ascii="Cambria" w:hAnsi="Cambria"/>
          <w:sz w:val="24"/>
          <w:szCs w:val="24"/>
        </w:rPr>
      </w:pPr>
      <w:hyperlink r:id="rId196" w:history="1">
        <w:r w:rsidR="00BB6B71" w:rsidRPr="00EA1BB2">
          <w:rPr>
            <w:rStyle w:val="Hyperlink"/>
            <w:rFonts w:ascii="Cambria" w:hAnsi="Cambria"/>
            <w:sz w:val="24"/>
            <w:szCs w:val="24"/>
          </w:rPr>
          <w:t>http://apps.who.int/iris/bitstream/handle/10665/69477/WHO_SDE_PHE_OEH_06.02_eng.pdf;jsessionid=5FF808A734A8EC0781E15502F894269F?sequence=1</w:t>
        </w:r>
      </w:hyperlink>
    </w:p>
    <w:p w14:paraId="168F4428" w14:textId="77777777" w:rsidR="00BB6B71" w:rsidRPr="00EA1BB2" w:rsidRDefault="00F82162" w:rsidP="00BB6B71">
      <w:pPr>
        <w:numPr>
          <w:ilvl w:val="0"/>
          <w:numId w:val="6"/>
        </w:numPr>
        <w:spacing w:line="360" w:lineRule="auto"/>
        <w:contextualSpacing/>
        <w:jc w:val="both"/>
        <w:rPr>
          <w:rFonts w:ascii="Cambria" w:hAnsi="Cambria"/>
          <w:sz w:val="24"/>
          <w:szCs w:val="24"/>
        </w:rPr>
      </w:pPr>
      <w:r w:rsidRPr="00EA1BB2">
        <w:rPr>
          <w:rFonts w:ascii="Cambria" w:hAnsi="Cambria"/>
          <w:sz w:val="24"/>
          <w:szCs w:val="24"/>
        </w:rPr>
        <w:t xml:space="preserve">WHO, 2013b, </w:t>
      </w:r>
      <w:r w:rsidRPr="00EA1BB2">
        <w:rPr>
          <w:rFonts w:ascii="Cambria" w:hAnsi="Cambria"/>
          <w:i/>
          <w:sz w:val="24"/>
          <w:szCs w:val="24"/>
        </w:rPr>
        <w:t>Review of evidence on health aspects of air pollution</w:t>
      </w:r>
      <w:r w:rsidRPr="00EA1BB2">
        <w:rPr>
          <w:rFonts w:ascii="Cambria" w:hAnsi="Cambria"/>
          <w:sz w:val="24"/>
          <w:szCs w:val="24"/>
        </w:rPr>
        <w:t xml:space="preserve"> – REVIHAAP project technical report, World Health Organization, Regional Office for Europe, Copenhagen, Denmark.</w:t>
      </w:r>
    </w:p>
    <w:p w14:paraId="11367200" w14:textId="77777777" w:rsidR="00BB6B71" w:rsidRPr="00EA1BB2" w:rsidRDefault="009A1372" w:rsidP="001700A7">
      <w:pPr>
        <w:numPr>
          <w:ilvl w:val="0"/>
          <w:numId w:val="6"/>
        </w:numPr>
        <w:spacing w:line="360" w:lineRule="auto"/>
        <w:contextualSpacing/>
        <w:jc w:val="both"/>
        <w:rPr>
          <w:rFonts w:ascii="Cambria" w:hAnsi="Cambria"/>
          <w:sz w:val="24"/>
          <w:szCs w:val="24"/>
        </w:rPr>
      </w:pPr>
      <w:hyperlink r:id="rId197" w:history="1">
        <w:r w:rsidR="00BB6B71" w:rsidRPr="00EA1BB2">
          <w:rPr>
            <w:rStyle w:val="Hyperlink"/>
            <w:rFonts w:ascii="Cambria" w:hAnsi="Cambria"/>
            <w:sz w:val="24"/>
            <w:szCs w:val="24"/>
          </w:rPr>
          <w:t>http://www.euro.who.int/__data/assets/pdf_file/0004/193108/REVIHAAP-Final-technical-report.pdf</w:t>
        </w:r>
      </w:hyperlink>
    </w:p>
    <w:p w14:paraId="70C017B4" w14:textId="77777777" w:rsidR="005C05F0" w:rsidRPr="00EA1BB2" w:rsidRDefault="005C05F0" w:rsidP="0033579E">
      <w:pPr>
        <w:pStyle w:val="Caption"/>
        <w:rPr>
          <w:rFonts w:ascii="Cambria" w:hAnsi="Cambria" w:cs="Times New Roman"/>
          <w:szCs w:val="24"/>
        </w:rPr>
      </w:pPr>
      <w:r w:rsidRPr="00EA1BB2">
        <w:rPr>
          <w:rFonts w:ascii="Cambria" w:hAnsi="Cambria" w:cs="Times New Roman"/>
          <w:szCs w:val="24"/>
        </w:rPr>
        <w:br w:type="page"/>
      </w:r>
    </w:p>
    <w:p w14:paraId="145A4CF4" w14:textId="77777777" w:rsidR="005C05F0" w:rsidRPr="00EA1BB2" w:rsidRDefault="005C05F0" w:rsidP="005C05F0">
      <w:pPr>
        <w:keepNext/>
        <w:keepLines/>
        <w:spacing w:line="360" w:lineRule="auto"/>
        <w:ind w:firstLine="709"/>
        <w:jc w:val="both"/>
        <w:outlineLvl w:val="0"/>
        <w:rPr>
          <w:rFonts w:ascii="Cambria" w:eastAsiaTheme="majorEastAsia" w:hAnsi="Cambria" w:cstheme="majorBidi"/>
          <w:b/>
          <w:color w:val="0070C0"/>
          <w:sz w:val="24"/>
          <w:szCs w:val="24"/>
        </w:rPr>
      </w:pPr>
      <w:bookmarkStart w:id="289" w:name="_Toc520757846"/>
      <w:bookmarkStart w:id="290" w:name="_Toc524966306"/>
      <w:bookmarkStart w:id="291" w:name="_Toc526889756"/>
      <w:r w:rsidRPr="00EA1BB2">
        <w:rPr>
          <w:rFonts w:ascii="Cambria" w:eastAsiaTheme="majorEastAsia" w:hAnsi="Cambria" w:cstheme="majorBidi"/>
          <w:b/>
          <w:color w:val="0070C0"/>
          <w:sz w:val="24"/>
          <w:szCs w:val="24"/>
        </w:rPr>
        <w:lastRenderedPageBreak/>
        <w:t>ANEXE</w:t>
      </w:r>
      <w:bookmarkEnd w:id="289"/>
      <w:bookmarkEnd w:id="290"/>
      <w:bookmarkEnd w:id="291"/>
    </w:p>
    <w:p w14:paraId="6746EA28" w14:textId="1E96E3CD" w:rsidR="008C16A7" w:rsidRPr="00EA1BB2" w:rsidRDefault="008C16A7" w:rsidP="0074285B">
      <w:pPr>
        <w:spacing w:line="276" w:lineRule="auto"/>
        <w:ind w:firstLine="708"/>
        <w:jc w:val="both"/>
        <w:rPr>
          <w:rFonts w:ascii="Cambria" w:hAnsi="Cambria"/>
        </w:rPr>
      </w:pPr>
      <w:bookmarkStart w:id="292" w:name="_Toc520631684"/>
      <w:r w:rsidRPr="00EA1BB2">
        <w:rPr>
          <w:rFonts w:ascii="Cambria" w:hAnsi="Cambria"/>
          <w:b/>
          <w:iCs/>
          <w:sz w:val="24"/>
          <w:szCs w:val="18"/>
        </w:rPr>
        <w:t xml:space="preserve">Anexa nr. </w:t>
      </w:r>
      <w:r w:rsidR="00280BC9" w:rsidRPr="00EA1BB2">
        <w:rPr>
          <w:rFonts w:ascii="Cambria" w:hAnsi="Cambria"/>
          <w:b/>
          <w:iCs/>
          <w:sz w:val="24"/>
          <w:szCs w:val="18"/>
        </w:rPr>
        <w:fldChar w:fldCharType="begin"/>
      </w:r>
      <w:r w:rsidRPr="00EA1BB2">
        <w:rPr>
          <w:rFonts w:ascii="Cambria" w:hAnsi="Cambria"/>
          <w:b/>
          <w:iCs/>
          <w:sz w:val="24"/>
          <w:szCs w:val="18"/>
        </w:rPr>
        <w:instrText xml:space="preserve"> SEQ Anexa_nr. \* ARABIC </w:instrText>
      </w:r>
      <w:r w:rsidR="00280BC9" w:rsidRPr="00EA1BB2">
        <w:rPr>
          <w:rFonts w:ascii="Cambria" w:hAnsi="Cambria"/>
          <w:b/>
          <w:iCs/>
          <w:sz w:val="24"/>
          <w:szCs w:val="18"/>
        </w:rPr>
        <w:fldChar w:fldCharType="separate"/>
      </w:r>
      <w:r w:rsidR="00567555">
        <w:rPr>
          <w:rFonts w:ascii="Cambria" w:hAnsi="Cambria"/>
          <w:b/>
          <w:iCs/>
          <w:noProof/>
          <w:sz w:val="24"/>
          <w:szCs w:val="18"/>
        </w:rPr>
        <w:t>1</w:t>
      </w:r>
      <w:r w:rsidR="00280BC9" w:rsidRPr="00EA1BB2">
        <w:rPr>
          <w:rFonts w:ascii="Cambria" w:hAnsi="Cambria"/>
          <w:b/>
          <w:iCs/>
          <w:sz w:val="24"/>
          <w:szCs w:val="18"/>
        </w:rPr>
        <w:fldChar w:fldCharType="end"/>
      </w:r>
      <w:r w:rsidRPr="00EA1BB2">
        <w:rPr>
          <w:rFonts w:ascii="Cambria" w:hAnsi="Cambria"/>
          <w:b/>
          <w:iCs/>
          <w:sz w:val="24"/>
          <w:szCs w:val="18"/>
        </w:rPr>
        <w:t xml:space="preserve"> – Rezultatele calculelor de dispersie a emisiilor de substan</w:t>
      </w:r>
      <w:r w:rsidR="00054880" w:rsidRPr="00EA1BB2">
        <w:rPr>
          <w:rFonts w:ascii="Cambria" w:hAnsi="Cambria"/>
          <w:b/>
          <w:iCs/>
          <w:sz w:val="24"/>
          <w:szCs w:val="18"/>
        </w:rPr>
        <w:t>ț</w:t>
      </w:r>
      <w:r w:rsidRPr="00EA1BB2">
        <w:rPr>
          <w:rFonts w:ascii="Cambria" w:hAnsi="Cambria"/>
          <w:b/>
          <w:iCs/>
          <w:sz w:val="24"/>
          <w:szCs w:val="18"/>
        </w:rPr>
        <w:t>e poluante în atmosferă, pe tipuri de poluan</w:t>
      </w:r>
      <w:r w:rsidR="00054880" w:rsidRPr="00EA1BB2">
        <w:rPr>
          <w:rFonts w:ascii="Cambria" w:hAnsi="Cambria"/>
          <w:b/>
          <w:iCs/>
          <w:sz w:val="24"/>
          <w:szCs w:val="18"/>
        </w:rPr>
        <w:t>ț</w:t>
      </w:r>
      <w:r w:rsidRPr="00EA1BB2">
        <w:rPr>
          <w:rFonts w:ascii="Cambria" w:hAnsi="Cambria"/>
          <w:b/>
          <w:iCs/>
          <w:sz w:val="24"/>
          <w:szCs w:val="18"/>
        </w:rPr>
        <w:t>i</w:t>
      </w:r>
      <w:bookmarkEnd w:id="292"/>
    </w:p>
    <w:p w14:paraId="2691DF3E" w14:textId="77777777" w:rsidR="008C16A7" w:rsidRPr="00EA1BB2" w:rsidRDefault="008C16A7" w:rsidP="008C16A7">
      <w:pPr>
        <w:spacing w:line="360" w:lineRule="auto"/>
        <w:contextualSpacing/>
        <w:jc w:val="center"/>
        <w:rPr>
          <w:rFonts w:ascii="Cambria" w:hAnsi="Cambria" w:cs="Times New Roman"/>
          <w:sz w:val="24"/>
          <w:szCs w:val="24"/>
        </w:rPr>
      </w:pPr>
      <w:r w:rsidRPr="00EA1BB2">
        <w:rPr>
          <w:rFonts w:ascii="Cambria" w:hAnsi="Cambria" w:cs="Times New Roman"/>
          <w:noProof/>
          <w:sz w:val="24"/>
          <w:szCs w:val="24"/>
          <w:lang w:val="en-US"/>
        </w:rPr>
        <w:drawing>
          <wp:inline distT="0" distB="0" distL="0" distR="0" wp14:anchorId="3BEF2DE2" wp14:editId="61C00360">
            <wp:extent cx="5594350" cy="3956325"/>
            <wp:effectExtent l="19050" t="19050" r="25400" b="2540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s_an_A.pn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5594350" cy="3956325"/>
                    </a:xfrm>
                    <a:prstGeom prst="rect">
                      <a:avLst/>
                    </a:prstGeom>
                    <a:ln>
                      <a:solidFill>
                        <a:srgbClr val="E7E6E6">
                          <a:lumMod val="75000"/>
                        </a:srgbClr>
                      </a:solidFill>
                    </a:ln>
                  </pic:spPr>
                </pic:pic>
              </a:graphicData>
            </a:graphic>
          </wp:inline>
        </w:drawing>
      </w:r>
    </w:p>
    <w:p w14:paraId="452E17C7" w14:textId="77777777" w:rsidR="008C16A7" w:rsidRPr="00EA1BB2" w:rsidRDefault="008C16A7" w:rsidP="008C16A7">
      <w:pPr>
        <w:spacing w:line="360" w:lineRule="auto"/>
        <w:contextualSpacing/>
        <w:jc w:val="center"/>
        <w:rPr>
          <w:rFonts w:ascii="Cambria" w:hAnsi="Cambria" w:cs="Times New Roman"/>
          <w:sz w:val="24"/>
          <w:szCs w:val="24"/>
        </w:rPr>
      </w:pPr>
      <w:r w:rsidRPr="00EA1BB2">
        <w:rPr>
          <w:rFonts w:ascii="Cambria" w:hAnsi="Cambria" w:cs="Times New Roman"/>
          <w:noProof/>
          <w:sz w:val="24"/>
          <w:szCs w:val="24"/>
          <w:lang w:val="en-US"/>
        </w:rPr>
        <w:drawing>
          <wp:inline distT="0" distB="0" distL="0" distR="0" wp14:anchorId="1E4E76A2" wp14:editId="4329E8E3">
            <wp:extent cx="5594350" cy="3956325"/>
            <wp:effectExtent l="19050" t="19050" r="25400" b="2540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n_an_A.pn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5594350" cy="3956325"/>
                    </a:xfrm>
                    <a:prstGeom prst="rect">
                      <a:avLst/>
                    </a:prstGeom>
                    <a:ln>
                      <a:solidFill>
                        <a:srgbClr val="E7E6E6">
                          <a:lumMod val="75000"/>
                        </a:srgbClr>
                      </a:solidFill>
                    </a:ln>
                  </pic:spPr>
                </pic:pic>
              </a:graphicData>
            </a:graphic>
          </wp:inline>
        </w:drawing>
      </w:r>
    </w:p>
    <w:p w14:paraId="1453075C" w14:textId="77777777" w:rsidR="008C16A7" w:rsidRPr="00EA1BB2" w:rsidRDefault="008C16A7" w:rsidP="008C16A7">
      <w:pPr>
        <w:spacing w:line="360" w:lineRule="auto"/>
        <w:contextualSpacing/>
        <w:jc w:val="center"/>
        <w:rPr>
          <w:rFonts w:ascii="Cambria" w:hAnsi="Cambria" w:cs="Times New Roman"/>
          <w:sz w:val="24"/>
          <w:szCs w:val="24"/>
        </w:rPr>
      </w:pPr>
      <w:r w:rsidRPr="00EA1BB2">
        <w:rPr>
          <w:rFonts w:ascii="Cambria" w:hAnsi="Cambria" w:cs="Times New Roman"/>
          <w:noProof/>
          <w:sz w:val="24"/>
          <w:szCs w:val="24"/>
          <w:lang w:val="en-US"/>
        </w:rPr>
        <w:lastRenderedPageBreak/>
        <w:drawing>
          <wp:inline distT="0" distB="0" distL="0" distR="0" wp14:anchorId="39D8239B" wp14:editId="33DAD4AA">
            <wp:extent cx="5737794" cy="4057770"/>
            <wp:effectExtent l="19050" t="19050" r="15875" b="1905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Cd_an_A.pn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5737794" cy="4057770"/>
                    </a:xfrm>
                    <a:prstGeom prst="rect">
                      <a:avLst/>
                    </a:prstGeom>
                    <a:ln>
                      <a:solidFill>
                        <a:srgbClr val="E7E6E6">
                          <a:lumMod val="75000"/>
                        </a:srgbClr>
                      </a:solidFill>
                    </a:ln>
                  </pic:spPr>
                </pic:pic>
              </a:graphicData>
            </a:graphic>
          </wp:inline>
        </w:drawing>
      </w:r>
    </w:p>
    <w:p w14:paraId="504E14A2" w14:textId="77777777" w:rsidR="00ED30C9" w:rsidRPr="00EA1BB2" w:rsidRDefault="00ED30C9" w:rsidP="008C16A7">
      <w:pPr>
        <w:spacing w:line="360" w:lineRule="auto"/>
        <w:contextualSpacing/>
        <w:jc w:val="center"/>
        <w:rPr>
          <w:rFonts w:ascii="Cambria" w:hAnsi="Cambria" w:cs="Times New Roman"/>
          <w:sz w:val="24"/>
          <w:szCs w:val="24"/>
        </w:rPr>
      </w:pPr>
    </w:p>
    <w:p w14:paraId="5E7A7E3D" w14:textId="77777777" w:rsidR="008C16A7" w:rsidRPr="00EA1BB2" w:rsidRDefault="008C16A7" w:rsidP="008C16A7">
      <w:pPr>
        <w:spacing w:line="360" w:lineRule="auto"/>
        <w:contextualSpacing/>
        <w:jc w:val="center"/>
        <w:rPr>
          <w:rFonts w:ascii="Cambria" w:hAnsi="Cambria" w:cs="Times New Roman"/>
          <w:sz w:val="24"/>
          <w:szCs w:val="24"/>
        </w:rPr>
      </w:pPr>
      <w:r w:rsidRPr="00EA1BB2">
        <w:rPr>
          <w:rFonts w:ascii="Cambria" w:hAnsi="Cambria" w:cs="Times New Roman"/>
          <w:noProof/>
          <w:sz w:val="24"/>
          <w:szCs w:val="24"/>
          <w:lang w:val="en-US"/>
        </w:rPr>
        <w:drawing>
          <wp:inline distT="0" distB="0" distL="0" distR="0" wp14:anchorId="6D1D520D" wp14:editId="18E1A3D4">
            <wp:extent cx="5737794" cy="4057769"/>
            <wp:effectExtent l="19050" t="19050" r="15875" b="1905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O_8h_A.pn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5737794" cy="4057769"/>
                    </a:xfrm>
                    <a:prstGeom prst="rect">
                      <a:avLst/>
                    </a:prstGeom>
                    <a:ln>
                      <a:solidFill>
                        <a:srgbClr val="E7E6E6">
                          <a:lumMod val="75000"/>
                        </a:srgbClr>
                      </a:solidFill>
                    </a:ln>
                  </pic:spPr>
                </pic:pic>
              </a:graphicData>
            </a:graphic>
          </wp:inline>
        </w:drawing>
      </w:r>
    </w:p>
    <w:p w14:paraId="1C49DFE0" w14:textId="77777777" w:rsidR="008C16A7" w:rsidRPr="00EA1BB2" w:rsidRDefault="008C16A7" w:rsidP="008C16A7">
      <w:pPr>
        <w:spacing w:line="360" w:lineRule="auto"/>
        <w:contextualSpacing/>
        <w:jc w:val="center"/>
        <w:rPr>
          <w:rFonts w:ascii="Cambria" w:hAnsi="Cambria" w:cs="Times New Roman"/>
          <w:sz w:val="24"/>
          <w:szCs w:val="24"/>
        </w:rPr>
      </w:pPr>
      <w:r w:rsidRPr="00EA1BB2">
        <w:rPr>
          <w:rFonts w:ascii="Cambria" w:hAnsi="Cambria" w:cs="Times New Roman"/>
          <w:noProof/>
          <w:sz w:val="24"/>
          <w:szCs w:val="24"/>
          <w:lang w:val="en-US"/>
        </w:rPr>
        <w:lastRenderedPageBreak/>
        <w:drawing>
          <wp:inline distT="0" distB="0" distL="0" distR="0" wp14:anchorId="2356AD19" wp14:editId="4F3B4A95">
            <wp:extent cx="5737794" cy="4057769"/>
            <wp:effectExtent l="19050" t="19050" r="15875" b="1905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O_an_A.pn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5737794" cy="4057769"/>
                    </a:xfrm>
                    <a:prstGeom prst="rect">
                      <a:avLst/>
                    </a:prstGeom>
                    <a:ln>
                      <a:solidFill>
                        <a:srgbClr val="E7E6E6">
                          <a:lumMod val="75000"/>
                        </a:srgbClr>
                      </a:solidFill>
                    </a:ln>
                  </pic:spPr>
                </pic:pic>
              </a:graphicData>
            </a:graphic>
          </wp:inline>
        </w:drawing>
      </w:r>
    </w:p>
    <w:p w14:paraId="591E5590" w14:textId="77777777" w:rsidR="00ED30C9" w:rsidRPr="00EA1BB2" w:rsidRDefault="00ED30C9" w:rsidP="008C16A7">
      <w:pPr>
        <w:spacing w:line="360" w:lineRule="auto"/>
        <w:contextualSpacing/>
        <w:jc w:val="center"/>
        <w:rPr>
          <w:rFonts w:ascii="Cambria" w:hAnsi="Cambria" w:cs="Times New Roman"/>
          <w:sz w:val="24"/>
          <w:szCs w:val="24"/>
        </w:rPr>
      </w:pPr>
    </w:p>
    <w:p w14:paraId="7BC55032" w14:textId="77777777" w:rsidR="008C16A7" w:rsidRPr="00EA1BB2" w:rsidRDefault="008C16A7" w:rsidP="008C16A7">
      <w:pPr>
        <w:spacing w:line="360" w:lineRule="auto"/>
        <w:contextualSpacing/>
        <w:jc w:val="center"/>
        <w:rPr>
          <w:rFonts w:ascii="Cambria" w:hAnsi="Cambria" w:cs="Times New Roman"/>
          <w:sz w:val="24"/>
          <w:szCs w:val="24"/>
        </w:rPr>
      </w:pPr>
      <w:r w:rsidRPr="00EA1BB2">
        <w:rPr>
          <w:rFonts w:ascii="Cambria" w:hAnsi="Cambria" w:cs="Times New Roman"/>
          <w:noProof/>
          <w:sz w:val="24"/>
          <w:szCs w:val="24"/>
          <w:lang w:val="en-US"/>
        </w:rPr>
        <w:drawing>
          <wp:inline distT="0" distB="0" distL="0" distR="0" wp14:anchorId="30A9204E" wp14:editId="63491292">
            <wp:extent cx="5737794" cy="4057770"/>
            <wp:effectExtent l="19050" t="19050" r="15875" b="1905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Ni_an_A.pn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5737794" cy="4057770"/>
                    </a:xfrm>
                    <a:prstGeom prst="rect">
                      <a:avLst/>
                    </a:prstGeom>
                    <a:ln>
                      <a:solidFill>
                        <a:srgbClr val="E7E6E6">
                          <a:lumMod val="75000"/>
                        </a:srgbClr>
                      </a:solidFill>
                    </a:ln>
                  </pic:spPr>
                </pic:pic>
              </a:graphicData>
            </a:graphic>
          </wp:inline>
        </w:drawing>
      </w:r>
    </w:p>
    <w:p w14:paraId="5BA29B07" w14:textId="77777777" w:rsidR="008C16A7" w:rsidRPr="00EA1BB2" w:rsidRDefault="008C16A7" w:rsidP="008C16A7">
      <w:pPr>
        <w:spacing w:line="360" w:lineRule="auto"/>
        <w:contextualSpacing/>
        <w:jc w:val="center"/>
        <w:rPr>
          <w:rFonts w:ascii="Cambria" w:hAnsi="Cambria" w:cs="Times New Roman"/>
          <w:sz w:val="24"/>
          <w:szCs w:val="24"/>
        </w:rPr>
      </w:pPr>
      <w:r w:rsidRPr="00EA1BB2">
        <w:rPr>
          <w:rFonts w:ascii="Cambria" w:hAnsi="Cambria" w:cs="Times New Roman"/>
          <w:noProof/>
          <w:sz w:val="24"/>
          <w:szCs w:val="24"/>
          <w:lang w:val="en-US"/>
        </w:rPr>
        <w:lastRenderedPageBreak/>
        <w:drawing>
          <wp:inline distT="0" distB="0" distL="0" distR="0" wp14:anchorId="055A5AC3" wp14:editId="765897A5">
            <wp:extent cx="5737793" cy="4057768"/>
            <wp:effectExtent l="19050" t="19050" r="15875" b="1905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NOx_an_A.pn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5737793" cy="4057768"/>
                    </a:xfrm>
                    <a:prstGeom prst="rect">
                      <a:avLst/>
                    </a:prstGeom>
                    <a:ln>
                      <a:solidFill>
                        <a:srgbClr val="E7E6E6">
                          <a:lumMod val="75000"/>
                        </a:srgbClr>
                      </a:solidFill>
                    </a:ln>
                  </pic:spPr>
                </pic:pic>
              </a:graphicData>
            </a:graphic>
          </wp:inline>
        </w:drawing>
      </w:r>
    </w:p>
    <w:p w14:paraId="082247F8" w14:textId="77777777" w:rsidR="00ED30C9" w:rsidRPr="00EA1BB2" w:rsidRDefault="00ED30C9" w:rsidP="008C16A7">
      <w:pPr>
        <w:spacing w:line="360" w:lineRule="auto"/>
        <w:contextualSpacing/>
        <w:jc w:val="center"/>
        <w:rPr>
          <w:rFonts w:ascii="Cambria" w:hAnsi="Cambria" w:cs="Times New Roman"/>
          <w:sz w:val="24"/>
          <w:szCs w:val="24"/>
        </w:rPr>
      </w:pPr>
    </w:p>
    <w:p w14:paraId="262FA234" w14:textId="77777777" w:rsidR="008C16A7" w:rsidRPr="00EA1BB2" w:rsidRDefault="008C16A7" w:rsidP="008C16A7">
      <w:pPr>
        <w:spacing w:line="360" w:lineRule="auto"/>
        <w:contextualSpacing/>
        <w:jc w:val="center"/>
        <w:rPr>
          <w:rFonts w:ascii="Cambria" w:hAnsi="Cambria" w:cs="Times New Roman"/>
          <w:sz w:val="24"/>
          <w:szCs w:val="24"/>
        </w:rPr>
      </w:pPr>
      <w:r w:rsidRPr="00EA1BB2">
        <w:rPr>
          <w:rFonts w:ascii="Cambria" w:hAnsi="Cambria" w:cs="Times New Roman"/>
          <w:noProof/>
          <w:sz w:val="24"/>
          <w:szCs w:val="24"/>
          <w:lang w:val="en-US"/>
        </w:rPr>
        <w:drawing>
          <wp:inline distT="0" distB="0" distL="0" distR="0" wp14:anchorId="3FBE869C" wp14:editId="0B3ED748">
            <wp:extent cx="5737794" cy="4057769"/>
            <wp:effectExtent l="19050" t="19050" r="15875" b="1905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NOx_h_A.pn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5737794" cy="4057769"/>
                    </a:xfrm>
                    <a:prstGeom prst="rect">
                      <a:avLst/>
                    </a:prstGeom>
                    <a:ln>
                      <a:solidFill>
                        <a:srgbClr val="E7E6E6">
                          <a:lumMod val="75000"/>
                        </a:srgbClr>
                      </a:solidFill>
                    </a:ln>
                  </pic:spPr>
                </pic:pic>
              </a:graphicData>
            </a:graphic>
          </wp:inline>
        </w:drawing>
      </w:r>
    </w:p>
    <w:p w14:paraId="0C6E65B5" w14:textId="77777777" w:rsidR="008C16A7" w:rsidRPr="00EA1BB2" w:rsidRDefault="008C16A7" w:rsidP="008C16A7">
      <w:pPr>
        <w:spacing w:line="360" w:lineRule="auto"/>
        <w:contextualSpacing/>
        <w:jc w:val="center"/>
        <w:rPr>
          <w:rFonts w:ascii="Cambria" w:hAnsi="Cambria" w:cs="Times New Roman"/>
          <w:sz w:val="24"/>
          <w:szCs w:val="24"/>
        </w:rPr>
      </w:pPr>
      <w:r w:rsidRPr="00EA1BB2">
        <w:rPr>
          <w:rFonts w:ascii="Cambria" w:hAnsi="Cambria" w:cs="Times New Roman"/>
          <w:noProof/>
          <w:sz w:val="24"/>
          <w:szCs w:val="24"/>
          <w:lang w:val="en-US"/>
        </w:rPr>
        <w:lastRenderedPageBreak/>
        <w:drawing>
          <wp:inline distT="0" distB="0" distL="0" distR="0" wp14:anchorId="04D59903" wp14:editId="115BAFE1">
            <wp:extent cx="5737794" cy="4057770"/>
            <wp:effectExtent l="19050" t="19050" r="15875" b="1905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b_an_A.pn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5737794" cy="4057770"/>
                    </a:xfrm>
                    <a:prstGeom prst="rect">
                      <a:avLst/>
                    </a:prstGeom>
                    <a:ln>
                      <a:solidFill>
                        <a:srgbClr val="E7E6E6">
                          <a:lumMod val="75000"/>
                        </a:srgbClr>
                      </a:solidFill>
                    </a:ln>
                  </pic:spPr>
                </pic:pic>
              </a:graphicData>
            </a:graphic>
          </wp:inline>
        </w:drawing>
      </w:r>
    </w:p>
    <w:p w14:paraId="024088CE" w14:textId="77777777" w:rsidR="00ED30C9" w:rsidRPr="00EA1BB2" w:rsidRDefault="00ED30C9" w:rsidP="008C16A7">
      <w:pPr>
        <w:spacing w:line="360" w:lineRule="auto"/>
        <w:contextualSpacing/>
        <w:jc w:val="center"/>
        <w:rPr>
          <w:rFonts w:ascii="Cambria" w:hAnsi="Cambria" w:cs="Times New Roman"/>
          <w:sz w:val="24"/>
          <w:szCs w:val="24"/>
        </w:rPr>
      </w:pPr>
    </w:p>
    <w:p w14:paraId="00CCF539" w14:textId="77777777" w:rsidR="008C16A7" w:rsidRPr="00EA1BB2" w:rsidRDefault="008C16A7" w:rsidP="008C16A7">
      <w:pPr>
        <w:spacing w:line="360" w:lineRule="auto"/>
        <w:contextualSpacing/>
        <w:jc w:val="center"/>
        <w:rPr>
          <w:rFonts w:ascii="Cambria" w:hAnsi="Cambria" w:cs="Times New Roman"/>
          <w:sz w:val="24"/>
          <w:szCs w:val="24"/>
        </w:rPr>
      </w:pPr>
      <w:r w:rsidRPr="00EA1BB2">
        <w:rPr>
          <w:rFonts w:ascii="Cambria" w:hAnsi="Cambria" w:cs="Times New Roman"/>
          <w:noProof/>
          <w:sz w:val="24"/>
          <w:szCs w:val="24"/>
          <w:lang w:val="en-US"/>
        </w:rPr>
        <w:drawing>
          <wp:inline distT="0" distB="0" distL="0" distR="0" wp14:anchorId="05770F87" wp14:editId="439B57C7">
            <wp:extent cx="5737794" cy="4057769"/>
            <wp:effectExtent l="19050" t="19050" r="15875" b="190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M10_24h_A.pn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5737794" cy="4057769"/>
                    </a:xfrm>
                    <a:prstGeom prst="rect">
                      <a:avLst/>
                    </a:prstGeom>
                    <a:ln>
                      <a:solidFill>
                        <a:srgbClr val="E7E6E6">
                          <a:lumMod val="75000"/>
                        </a:srgbClr>
                      </a:solidFill>
                    </a:ln>
                  </pic:spPr>
                </pic:pic>
              </a:graphicData>
            </a:graphic>
          </wp:inline>
        </w:drawing>
      </w:r>
    </w:p>
    <w:p w14:paraId="51E82988" w14:textId="77777777" w:rsidR="008C16A7" w:rsidRPr="00EA1BB2" w:rsidRDefault="008C16A7" w:rsidP="008C16A7">
      <w:pPr>
        <w:spacing w:line="360" w:lineRule="auto"/>
        <w:contextualSpacing/>
        <w:jc w:val="center"/>
        <w:rPr>
          <w:rFonts w:ascii="Cambria" w:hAnsi="Cambria" w:cs="Times New Roman"/>
          <w:sz w:val="24"/>
          <w:szCs w:val="24"/>
        </w:rPr>
      </w:pPr>
      <w:r w:rsidRPr="00EA1BB2">
        <w:rPr>
          <w:rFonts w:ascii="Cambria" w:hAnsi="Cambria" w:cs="Times New Roman"/>
          <w:noProof/>
          <w:sz w:val="24"/>
          <w:szCs w:val="24"/>
          <w:lang w:val="en-US"/>
        </w:rPr>
        <w:lastRenderedPageBreak/>
        <w:drawing>
          <wp:inline distT="0" distB="0" distL="0" distR="0" wp14:anchorId="39834DCD" wp14:editId="7D4C8983">
            <wp:extent cx="5737794" cy="4057769"/>
            <wp:effectExtent l="19050" t="19050" r="15875" b="1905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M10_an_A.pn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5737794" cy="4057769"/>
                    </a:xfrm>
                    <a:prstGeom prst="rect">
                      <a:avLst/>
                    </a:prstGeom>
                    <a:ln>
                      <a:solidFill>
                        <a:srgbClr val="E7E6E6">
                          <a:lumMod val="75000"/>
                        </a:srgbClr>
                      </a:solidFill>
                    </a:ln>
                  </pic:spPr>
                </pic:pic>
              </a:graphicData>
            </a:graphic>
          </wp:inline>
        </w:drawing>
      </w:r>
    </w:p>
    <w:p w14:paraId="528E1C1E" w14:textId="77777777" w:rsidR="00ED30C9" w:rsidRPr="00EA1BB2" w:rsidRDefault="00ED30C9" w:rsidP="008C16A7">
      <w:pPr>
        <w:spacing w:line="360" w:lineRule="auto"/>
        <w:contextualSpacing/>
        <w:jc w:val="center"/>
        <w:rPr>
          <w:rFonts w:ascii="Cambria" w:hAnsi="Cambria" w:cs="Times New Roman"/>
          <w:sz w:val="24"/>
          <w:szCs w:val="24"/>
        </w:rPr>
      </w:pPr>
    </w:p>
    <w:p w14:paraId="30D99034" w14:textId="77777777" w:rsidR="008C16A7" w:rsidRPr="00EA1BB2" w:rsidRDefault="008C16A7" w:rsidP="008C16A7">
      <w:pPr>
        <w:spacing w:line="360" w:lineRule="auto"/>
        <w:contextualSpacing/>
        <w:jc w:val="center"/>
        <w:rPr>
          <w:rFonts w:ascii="Cambria" w:hAnsi="Cambria" w:cs="Times New Roman"/>
          <w:sz w:val="24"/>
          <w:szCs w:val="24"/>
        </w:rPr>
      </w:pPr>
      <w:r w:rsidRPr="00EA1BB2">
        <w:rPr>
          <w:rFonts w:ascii="Cambria" w:hAnsi="Cambria" w:cs="Times New Roman"/>
          <w:noProof/>
          <w:sz w:val="24"/>
          <w:szCs w:val="24"/>
          <w:lang w:val="en-US"/>
        </w:rPr>
        <w:drawing>
          <wp:inline distT="0" distB="0" distL="0" distR="0" wp14:anchorId="7C4450D6" wp14:editId="63DE1175">
            <wp:extent cx="5737794" cy="4057769"/>
            <wp:effectExtent l="19050" t="19050" r="15875" b="1905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SOx_an_A.pn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5737794" cy="4057769"/>
                    </a:xfrm>
                    <a:prstGeom prst="rect">
                      <a:avLst/>
                    </a:prstGeom>
                    <a:ln>
                      <a:solidFill>
                        <a:srgbClr val="E7E6E6">
                          <a:lumMod val="75000"/>
                        </a:srgbClr>
                      </a:solidFill>
                    </a:ln>
                  </pic:spPr>
                </pic:pic>
              </a:graphicData>
            </a:graphic>
          </wp:inline>
        </w:drawing>
      </w:r>
    </w:p>
    <w:p w14:paraId="257DE48C" w14:textId="77777777" w:rsidR="008C16A7" w:rsidRPr="00EA1BB2" w:rsidRDefault="008C16A7" w:rsidP="008C16A7">
      <w:pPr>
        <w:spacing w:line="360" w:lineRule="auto"/>
        <w:contextualSpacing/>
        <w:jc w:val="center"/>
        <w:rPr>
          <w:rFonts w:ascii="Cambria" w:hAnsi="Cambria" w:cs="Times New Roman"/>
          <w:sz w:val="24"/>
          <w:szCs w:val="24"/>
        </w:rPr>
      </w:pPr>
      <w:r w:rsidRPr="00EA1BB2">
        <w:rPr>
          <w:rFonts w:ascii="Cambria" w:hAnsi="Cambria" w:cs="Times New Roman"/>
          <w:noProof/>
          <w:sz w:val="24"/>
          <w:szCs w:val="24"/>
          <w:lang w:val="en-US"/>
        </w:rPr>
        <w:lastRenderedPageBreak/>
        <w:drawing>
          <wp:inline distT="0" distB="0" distL="0" distR="0" wp14:anchorId="5950AF1C" wp14:editId="075ABDCF">
            <wp:extent cx="5737794" cy="4057769"/>
            <wp:effectExtent l="19050" t="19050" r="15875" b="1905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SOx_h_A.pn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5737794" cy="4057769"/>
                    </a:xfrm>
                    <a:prstGeom prst="rect">
                      <a:avLst/>
                    </a:prstGeom>
                    <a:ln>
                      <a:solidFill>
                        <a:srgbClr val="E7E6E6">
                          <a:lumMod val="75000"/>
                        </a:srgbClr>
                      </a:solidFill>
                    </a:ln>
                  </pic:spPr>
                </pic:pic>
              </a:graphicData>
            </a:graphic>
          </wp:inline>
        </w:drawing>
      </w:r>
    </w:p>
    <w:p w14:paraId="69B5978A" w14:textId="77777777" w:rsidR="008C16A7" w:rsidRPr="00EA1BB2" w:rsidRDefault="008C16A7" w:rsidP="008C16A7">
      <w:pPr>
        <w:spacing w:line="360" w:lineRule="auto"/>
        <w:contextualSpacing/>
        <w:jc w:val="both"/>
        <w:rPr>
          <w:rFonts w:ascii="Cambria" w:hAnsi="Cambria" w:cs="Times New Roman"/>
          <w:sz w:val="24"/>
          <w:szCs w:val="24"/>
        </w:rPr>
      </w:pPr>
    </w:p>
    <w:p w14:paraId="76836A50" w14:textId="77777777" w:rsidR="00F7366C" w:rsidRPr="00EA1BB2" w:rsidRDefault="00F7366C" w:rsidP="00F7366C">
      <w:pPr>
        <w:jc w:val="both"/>
        <w:rPr>
          <w:rFonts w:ascii="Cambria" w:hAnsi="Cambria"/>
        </w:rPr>
      </w:pPr>
    </w:p>
    <w:p w14:paraId="2A926F75" w14:textId="77777777" w:rsidR="00420C56" w:rsidRPr="00EA1BB2" w:rsidRDefault="00420C56">
      <w:pPr>
        <w:rPr>
          <w:rFonts w:ascii="Cambria" w:hAnsi="Cambria"/>
        </w:rPr>
      </w:pPr>
      <w:r w:rsidRPr="00EA1BB2">
        <w:rPr>
          <w:rFonts w:ascii="Cambria" w:hAnsi="Cambria"/>
        </w:rPr>
        <w:br w:type="page"/>
      </w:r>
    </w:p>
    <w:p w14:paraId="4ECAA0AA" w14:textId="6E5F722C" w:rsidR="00420C56" w:rsidRPr="00EA1BB2" w:rsidRDefault="00420C56" w:rsidP="00420C56">
      <w:pPr>
        <w:spacing w:line="360" w:lineRule="auto"/>
        <w:jc w:val="both"/>
        <w:rPr>
          <w:rFonts w:ascii="Cambria" w:eastAsia="Times New Roman" w:hAnsi="Cambria" w:cs="Times New Roman"/>
          <w:b/>
          <w:sz w:val="24"/>
          <w:szCs w:val="24"/>
        </w:rPr>
      </w:pPr>
      <w:bookmarkStart w:id="293" w:name="_Toc520631685"/>
      <w:r w:rsidRPr="00EA1BB2">
        <w:rPr>
          <w:rFonts w:ascii="Cambria" w:hAnsi="Cambria"/>
          <w:b/>
          <w:iCs/>
          <w:sz w:val="24"/>
          <w:szCs w:val="18"/>
        </w:rPr>
        <w:lastRenderedPageBreak/>
        <w:t xml:space="preserve">Anexa nr. </w:t>
      </w:r>
      <w:r w:rsidR="00280BC9" w:rsidRPr="00EA1BB2">
        <w:rPr>
          <w:rFonts w:ascii="Cambria" w:hAnsi="Cambria"/>
          <w:b/>
          <w:iCs/>
          <w:sz w:val="24"/>
          <w:szCs w:val="18"/>
        </w:rPr>
        <w:fldChar w:fldCharType="begin"/>
      </w:r>
      <w:r w:rsidRPr="00EA1BB2">
        <w:rPr>
          <w:rFonts w:ascii="Cambria" w:hAnsi="Cambria"/>
          <w:b/>
          <w:iCs/>
          <w:sz w:val="24"/>
          <w:szCs w:val="18"/>
        </w:rPr>
        <w:instrText xml:space="preserve"> SEQ Anexa_nr. \* ARABIC </w:instrText>
      </w:r>
      <w:r w:rsidR="00280BC9" w:rsidRPr="00EA1BB2">
        <w:rPr>
          <w:rFonts w:ascii="Cambria" w:hAnsi="Cambria"/>
          <w:b/>
          <w:iCs/>
          <w:sz w:val="24"/>
          <w:szCs w:val="18"/>
        </w:rPr>
        <w:fldChar w:fldCharType="separate"/>
      </w:r>
      <w:r w:rsidR="00567555">
        <w:rPr>
          <w:rFonts w:ascii="Cambria" w:hAnsi="Cambria"/>
          <w:b/>
          <w:iCs/>
          <w:noProof/>
          <w:sz w:val="24"/>
          <w:szCs w:val="18"/>
        </w:rPr>
        <w:t>2</w:t>
      </w:r>
      <w:r w:rsidR="00280BC9" w:rsidRPr="00EA1BB2">
        <w:rPr>
          <w:rFonts w:ascii="Cambria" w:hAnsi="Cambria"/>
          <w:b/>
          <w:iCs/>
          <w:sz w:val="24"/>
          <w:szCs w:val="18"/>
        </w:rPr>
        <w:fldChar w:fldCharType="end"/>
      </w:r>
      <w:r w:rsidRPr="00EA1BB2">
        <w:rPr>
          <w:rFonts w:ascii="Cambria" w:hAnsi="Cambria"/>
          <w:b/>
          <w:iCs/>
          <w:sz w:val="24"/>
          <w:szCs w:val="18"/>
        </w:rPr>
        <w:t xml:space="preserve"> – </w:t>
      </w:r>
      <w:r w:rsidRPr="00EA1BB2">
        <w:rPr>
          <w:rFonts w:ascii="Cambria" w:eastAsia="Times New Roman" w:hAnsi="Cambria" w:cs="Times New Roman"/>
          <w:b/>
          <w:sz w:val="24"/>
          <w:szCs w:val="24"/>
        </w:rPr>
        <w:t>Surse de emisie analizate privind transportul și dispersiei poluanților emiși în atmosferă cu influență asupra calității aerului în județul Brăila.</w:t>
      </w:r>
      <w:bookmarkEnd w:id="293"/>
    </w:p>
    <w:p w14:paraId="4E826655" w14:textId="77777777" w:rsidR="00420C56" w:rsidRPr="00EA1BB2" w:rsidRDefault="00420C56" w:rsidP="00420C56">
      <w:pPr>
        <w:numPr>
          <w:ilvl w:val="0"/>
          <w:numId w:val="43"/>
        </w:numPr>
        <w:spacing w:after="200" w:line="360" w:lineRule="auto"/>
        <w:contextualSpacing/>
        <w:jc w:val="both"/>
        <w:rPr>
          <w:rFonts w:ascii="Cambria" w:eastAsia="Calibri" w:hAnsi="Cambria" w:cs="Times New Roman"/>
          <w:b/>
          <w:sz w:val="24"/>
          <w:szCs w:val="24"/>
        </w:rPr>
      </w:pPr>
      <w:r w:rsidRPr="00EA1BB2">
        <w:rPr>
          <w:rFonts w:ascii="Cambria" w:eastAsia="Calibri" w:hAnsi="Cambria" w:cs="Times New Roman"/>
          <w:b/>
          <w:sz w:val="24"/>
          <w:szCs w:val="24"/>
        </w:rPr>
        <w:t>ARCELOR MITTAL GALAȚI SA (AIM nr. 01/24.08.2015 revizuită în data 23.06.2016 valabilă până la 23.08.2025)</w:t>
      </w:r>
    </w:p>
    <w:p w14:paraId="7B9CBD24" w14:textId="77777777" w:rsidR="00420C56" w:rsidRPr="00EA1BB2" w:rsidRDefault="00420C56" w:rsidP="00420C56">
      <w:pPr>
        <w:spacing w:line="360" w:lineRule="auto"/>
        <w:ind w:firstLine="567"/>
        <w:jc w:val="both"/>
        <w:rPr>
          <w:rFonts w:ascii="Cambria" w:eastAsia="Calibri" w:hAnsi="Cambria" w:cs="Times New Roman"/>
          <w:b/>
          <w:sz w:val="24"/>
          <w:szCs w:val="24"/>
        </w:rPr>
      </w:pPr>
      <w:bookmarkStart w:id="294" w:name="_Toc462098757"/>
      <w:bookmarkStart w:id="295" w:name="_Toc466895985"/>
      <w:r w:rsidRPr="00EA1BB2">
        <w:rPr>
          <w:rFonts w:ascii="Cambria" w:eastAsia="Calibri" w:hAnsi="Cambria" w:cs="Times New Roman"/>
          <w:b/>
          <w:sz w:val="24"/>
          <w:szCs w:val="24"/>
        </w:rPr>
        <w:t>Tabelul nr. 1 – Surse de emisie în cadrul ARCELOR MITTAL SA Galați</w:t>
      </w:r>
      <w:bookmarkEnd w:id="294"/>
      <w:bookmarkEnd w:id="295"/>
    </w:p>
    <w:tbl>
      <w:tblPr>
        <w:tblStyle w:val="TableGrid59"/>
        <w:tblW w:w="9351" w:type="dxa"/>
        <w:jc w:val="center"/>
        <w:tblLook w:val="04A0" w:firstRow="1" w:lastRow="0" w:firstColumn="1" w:lastColumn="0" w:noHBand="0" w:noVBand="1"/>
      </w:tblPr>
      <w:tblGrid>
        <w:gridCol w:w="2070"/>
        <w:gridCol w:w="3312"/>
        <w:gridCol w:w="2381"/>
        <w:gridCol w:w="1588"/>
      </w:tblGrid>
      <w:tr w:rsidR="00420C56" w:rsidRPr="00EA1BB2" w14:paraId="35A68697" w14:textId="77777777" w:rsidTr="0072341A">
        <w:trPr>
          <w:trHeight w:val="57"/>
          <w:tblHeader/>
          <w:jc w:val="center"/>
        </w:trPr>
        <w:tc>
          <w:tcPr>
            <w:tcW w:w="2070" w:type="dxa"/>
            <w:shd w:val="clear" w:color="auto" w:fill="BDD6EE" w:themeFill="accent1" w:themeFillTint="66"/>
            <w:vAlign w:val="center"/>
          </w:tcPr>
          <w:p w14:paraId="47110E5B" w14:textId="77777777" w:rsidR="00420C56" w:rsidRPr="00EA1BB2" w:rsidRDefault="00420C56" w:rsidP="0072341A">
            <w:pPr>
              <w:spacing w:line="360" w:lineRule="auto"/>
              <w:jc w:val="center"/>
              <w:rPr>
                <w:rFonts w:ascii="Cambria" w:eastAsia="Calibri" w:hAnsi="Cambria"/>
                <w:b/>
                <w:sz w:val="24"/>
                <w:szCs w:val="24"/>
                <w:lang w:val="ro-RO"/>
              </w:rPr>
            </w:pPr>
            <w:r w:rsidRPr="00EA1BB2">
              <w:rPr>
                <w:rFonts w:ascii="Cambria" w:eastAsia="Calibri" w:hAnsi="Cambria"/>
                <w:b/>
                <w:sz w:val="24"/>
                <w:szCs w:val="24"/>
                <w:lang w:val="ro-RO"/>
              </w:rPr>
              <w:t>Instalație</w:t>
            </w:r>
          </w:p>
        </w:tc>
        <w:tc>
          <w:tcPr>
            <w:tcW w:w="3312" w:type="dxa"/>
            <w:shd w:val="clear" w:color="auto" w:fill="BDD6EE" w:themeFill="accent1" w:themeFillTint="66"/>
            <w:vAlign w:val="center"/>
          </w:tcPr>
          <w:p w14:paraId="746091B2" w14:textId="77777777" w:rsidR="00420C56" w:rsidRPr="00EA1BB2" w:rsidRDefault="00420C56" w:rsidP="0072341A">
            <w:pPr>
              <w:spacing w:line="360" w:lineRule="auto"/>
              <w:jc w:val="center"/>
              <w:rPr>
                <w:rFonts w:ascii="Cambria" w:eastAsia="Calibri" w:hAnsi="Cambria"/>
                <w:b/>
                <w:sz w:val="24"/>
                <w:szCs w:val="24"/>
                <w:lang w:val="ro-RO"/>
              </w:rPr>
            </w:pPr>
            <w:r w:rsidRPr="00EA1BB2">
              <w:rPr>
                <w:rFonts w:ascii="Cambria" w:eastAsia="Calibri" w:hAnsi="Cambria"/>
                <w:b/>
                <w:sz w:val="24"/>
                <w:szCs w:val="24"/>
                <w:lang w:val="ro-RO"/>
              </w:rPr>
              <w:t>Sursa</w:t>
            </w:r>
          </w:p>
        </w:tc>
        <w:tc>
          <w:tcPr>
            <w:tcW w:w="2381" w:type="dxa"/>
            <w:shd w:val="clear" w:color="auto" w:fill="BDD6EE" w:themeFill="accent1" w:themeFillTint="66"/>
            <w:vAlign w:val="center"/>
          </w:tcPr>
          <w:p w14:paraId="37C2554C" w14:textId="77777777" w:rsidR="00420C56" w:rsidRPr="00EA1BB2" w:rsidRDefault="00420C56" w:rsidP="0072341A">
            <w:pPr>
              <w:spacing w:line="360" w:lineRule="auto"/>
              <w:jc w:val="center"/>
              <w:rPr>
                <w:rFonts w:ascii="Cambria" w:eastAsia="Calibri" w:hAnsi="Cambria"/>
                <w:b/>
                <w:sz w:val="24"/>
                <w:szCs w:val="24"/>
                <w:lang w:val="ro-RO"/>
              </w:rPr>
            </w:pPr>
            <w:r w:rsidRPr="00EA1BB2">
              <w:rPr>
                <w:rFonts w:ascii="Cambria" w:eastAsia="Calibri" w:hAnsi="Cambria"/>
                <w:b/>
                <w:sz w:val="24"/>
                <w:szCs w:val="24"/>
                <w:lang w:val="ro-RO"/>
              </w:rPr>
              <w:t>Puncte de emisie</w:t>
            </w:r>
          </w:p>
        </w:tc>
        <w:tc>
          <w:tcPr>
            <w:tcW w:w="1588" w:type="dxa"/>
            <w:shd w:val="clear" w:color="auto" w:fill="BDD6EE" w:themeFill="accent1" w:themeFillTint="66"/>
            <w:vAlign w:val="center"/>
          </w:tcPr>
          <w:p w14:paraId="354F135C" w14:textId="77777777" w:rsidR="00420C56" w:rsidRPr="00EA1BB2" w:rsidRDefault="00420C56" w:rsidP="0072341A">
            <w:pPr>
              <w:spacing w:line="360" w:lineRule="auto"/>
              <w:jc w:val="center"/>
              <w:rPr>
                <w:rFonts w:ascii="Cambria" w:eastAsia="Calibri" w:hAnsi="Cambria"/>
                <w:b/>
                <w:sz w:val="24"/>
                <w:szCs w:val="24"/>
                <w:lang w:val="ro-RO"/>
              </w:rPr>
            </w:pPr>
            <w:r w:rsidRPr="00EA1BB2">
              <w:rPr>
                <w:rFonts w:ascii="Cambria" w:eastAsia="Calibri" w:hAnsi="Cambria"/>
                <w:b/>
                <w:sz w:val="24"/>
                <w:szCs w:val="24"/>
                <w:lang w:val="ro-RO"/>
              </w:rPr>
              <w:t>Poluanți emiși</w:t>
            </w:r>
          </w:p>
        </w:tc>
      </w:tr>
      <w:tr w:rsidR="00420C56" w:rsidRPr="00EA1BB2" w14:paraId="770A5AC3" w14:textId="77777777" w:rsidTr="0072341A">
        <w:trPr>
          <w:trHeight w:val="57"/>
          <w:jc w:val="center"/>
        </w:trPr>
        <w:tc>
          <w:tcPr>
            <w:tcW w:w="2070" w:type="dxa"/>
            <w:vAlign w:val="center"/>
          </w:tcPr>
          <w:p w14:paraId="50862459"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Uzina Aglomerare</w:t>
            </w:r>
          </w:p>
        </w:tc>
        <w:tc>
          <w:tcPr>
            <w:tcW w:w="3312" w:type="dxa"/>
            <w:vAlign w:val="center"/>
          </w:tcPr>
          <w:p w14:paraId="452D4DD6"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Mașinile de aglomerare nr. 4, 5, 6/ desprăfuire primară</w:t>
            </w:r>
          </w:p>
        </w:tc>
        <w:tc>
          <w:tcPr>
            <w:tcW w:w="2381" w:type="dxa"/>
            <w:vAlign w:val="center"/>
          </w:tcPr>
          <w:p w14:paraId="760FECF8"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Sisteme de evacuare (coșuri cu D=8m și H=80 m, respectiv D=7m și H=98m)</w:t>
            </w:r>
          </w:p>
        </w:tc>
        <w:tc>
          <w:tcPr>
            <w:tcW w:w="1588" w:type="dxa"/>
            <w:vAlign w:val="center"/>
          </w:tcPr>
          <w:p w14:paraId="5C02EB51"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 xml:space="preserve">TSP </w:t>
            </w:r>
          </w:p>
        </w:tc>
      </w:tr>
      <w:tr w:rsidR="00420C56" w:rsidRPr="00EA1BB2" w14:paraId="0688C4A0" w14:textId="77777777" w:rsidTr="0072341A">
        <w:trPr>
          <w:trHeight w:val="57"/>
          <w:jc w:val="center"/>
        </w:trPr>
        <w:tc>
          <w:tcPr>
            <w:tcW w:w="2070" w:type="dxa"/>
            <w:vAlign w:val="center"/>
          </w:tcPr>
          <w:p w14:paraId="6348F0F6"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Furnale și Departamentul de logistică internă (DLI)</w:t>
            </w:r>
          </w:p>
        </w:tc>
        <w:tc>
          <w:tcPr>
            <w:tcW w:w="3312" w:type="dxa"/>
            <w:vAlign w:val="center"/>
          </w:tcPr>
          <w:p w14:paraId="0050EC9B"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Cowper furnalele F4 și F5</w:t>
            </w:r>
          </w:p>
        </w:tc>
        <w:tc>
          <w:tcPr>
            <w:tcW w:w="2381" w:type="dxa"/>
            <w:vAlign w:val="center"/>
          </w:tcPr>
          <w:p w14:paraId="3B91A49D"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Sisteme de evacuare (coșuri cu D=4,2m și H=80,5 m)</w:t>
            </w:r>
          </w:p>
        </w:tc>
        <w:tc>
          <w:tcPr>
            <w:tcW w:w="1588" w:type="dxa"/>
            <w:vAlign w:val="center"/>
          </w:tcPr>
          <w:p w14:paraId="5D64FE9D"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CO, NOx, SOx,  TSP</w:t>
            </w:r>
          </w:p>
        </w:tc>
      </w:tr>
      <w:tr w:rsidR="00420C56" w:rsidRPr="00EA1BB2" w14:paraId="5740B43C" w14:textId="77777777" w:rsidTr="0072341A">
        <w:trPr>
          <w:trHeight w:val="57"/>
          <w:jc w:val="center"/>
        </w:trPr>
        <w:tc>
          <w:tcPr>
            <w:tcW w:w="2070" w:type="dxa"/>
            <w:vAlign w:val="center"/>
          </w:tcPr>
          <w:p w14:paraId="47EBDDB4"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Activități auxiliare</w:t>
            </w:r>
          </w:p>
        </w:tc>
        <w:tc>
          <w:tcPr>
            <w:tcW w:w="3312" w:type="dxa"/>
            <w:vAlign w:val="center"/>
          </w:tcPr>
          <w:p w14:paraId="3EA52958"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Cuptoare rotative de var nr. 1. 2, 3</w:t>
            </w:r>
          </w:p>
        </w:tc>
        <w:tc>
          <w:tcPr>
            <w:tcW w:w="2381" w:type="dxa"/>
            <w:vAlign w:val="center"/>
          </w:tcPr>
          <w:p w14:paraId="612FDE79"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Sisteme de evacuare (coșuri D=2,7m și H=12 m)</w:t>
            </w:r>
          </w:p>
        </w:tc>
        <w:tc>
          <w:tcPr>
            <w:tcW w:w="1588" w:type="dxa"/>
            <w:vAlign w:val="center"/>
          </w:tcPr>
          <w:p w14:paraId="0476A911"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CO, NOx, SOx,  TSP</w:t>
            </w:r>
          </w:p>
        </w:tc>
      </w:tr>
      <w:tr w:rsidR="00420C56" w:rsidRPr="00EA1BB2" w14:paraId="40B76426" w14:textId="77777777" w:rsidTr="0072341A">
        <w:trPr>
          <w:trHeight w:val="57"/>
          <w:jc w:val="center"/>
        </w:trPr>
        <w:tc>
          <w:tcPr>
            <w:tcW w:w="2070" w:type="dxa"/>
            <w:vAlign w:val="center"/>
          </w:tcPr>
          <w:p w14:paraId="684F5170"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OLD1 și TC1</w:t>
            </w:r>
          </w:p>
        </w:tc>
        <w:tc>
          <w:tcPr>
            <w:tcW w:w="3312" w:type="dxa"/>
            <w:vAlign w:val="center"/>
          </w:tcPr>
          <w:p w14:paraId="45F42841"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Epurare umedă a gazului de convertizor la convertizoarele 1-3</w:t>
            </w:r>
          </w:p>
        </w:tc>
        <w:tc>
          <w:tcPr>
            <w:tcW w:w="2381" w:type="dxa"/>
            <w:vAlign w:val="center"/>
          </w:tcPr>
          <w:p w14:paraId="42B9150A"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Sisteme de evacuare (coșuri D=4,2m și H=50 m)</w:t>
            </w:r>
          </w:p>
        </w:tc>
        <w:tc>
          <w:tcPr>
            <w:tcW w:w="1588" w:type="dxa"/>
            <w:vAlign w:val="center"/>
          </w:tcPr>
          <w:p w14:paraId="5168E8CA"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PM10, PM2,5,</w:t>
            </w:r>
          </w:p>
        </w:tc>
      </w:tr>
      <w:tr w:rsidR="00420C56" w:rsidRPr="00EA1BB2" w14:paraId="0051A99D" w14:textId="77777777" w:rsidTr="0072341A">
        <w:trPr>
          <w:trHeight w:val="57"/>
          <w:jc w:val="center"/>
        </w:trPr>
        <w:tc>
          <w:tcPr>
            <w:tcW w:w="2070" w:type="dxa"/>
            <w:vMerge w:val="restart"/>
            <w:vAlign w:val="center"/>
          </w:tcPr>
          <w:p w14:paraId="5689ECAE"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Laminorul de tablă groasă nr. 1</w:t>
            </w:r>
          </w:p>
        </w:tc>
        <w:tc>
          <w:tcPr>
            <w:tcW w:w="3312" w:type="dxa"/>
            <w:vAlign w:val="center"/>
          </w:tcPr>
          <w:p w14:paraId="0449B81D"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Cuptoare de propulsie nr. 1, 2, 3</w:t>
            </w:r>
          </w:p>
        </w:tc>
        <w:tc>
          <w:tcPr>
            <w:tcW w:w="2381" w:type="dxa"/>
            <w:vAlign w:val="center"/>
          </w:tcPr>
          <w:p w14:paraId="1B28EF67"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Sisteme de evacuare (coșuri Db=2,7m Dv=1,8m și H=30 m)</w:t>
            </w:r>
          </w:p>
        </w:tc>
        <w:tc>
          <w:tcPr>
            <w:tcW w:w="1588" w:type="dxa"/>
          </w:tcPr>
          <w:p w14:paraId="0C75051C"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CO, NOx, SOx,  TSP</w:t>
            </w:r>
          </w:p>
        </w:tc>
      </w:tr>
      <w:tr w:rsidR="00420C56" w:rsidRPr="00EA1BB2" w14:paraId="754BA5B6" w14:textId="77777777" w:rsidTr="0072341A">
        <w:trPr>
          <w:trHeight w:val="57"/>
          <w:jc w:val="center"/>
        </w:trPr>
        <w:tc>
          <w:tcPr>
            <w:tcW w:w="2070" w:type="dxa"/>
            <w:vMerge/>
            <w:vAlign w:val="center"/>
          </w:tcPr>
          <w:p w14:paraId="57E4A67A" w14:textId="77777777" w:rsidR="00420C56" w:rsidRPr="00EA1BB2" w:rsidRDefault="00420C56" w:rsidP="0072341A">
            <w:pPr>
              <w:spacing w:line="276" w:lineRule="auto"/>
              <w:jc w:val="center"/>
              <w:rPr>
                <w:rFonts w:ascii="Cambria" w:eastAsia="Calibri" w:hAnsi="Cambria"/>
                <w:sz w:val="24"/>
                <w:szCs w:val="24"/>
                <w:lang w:val="ro-RO"/>
              </w:rPr>
            </w:pPr>
          </w:p>
        </w:tc>
        <w:tc>
          <w:tcPr>
            <w:tcW w:w="3312" w:type="dxa"/>
            <w:vAlign w:val="center"/>
          </w:tcPr>
          <w:p w14:paraId="79D38A3C"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Cuptor normalizare CN1</w:t>
            </w:r>
          </w:p>
        </w:tc>
        <w:tc>
          <w:tcPr>
            <w:tcW w:w="2381" w:type="dxa"/>
            <w:vAlign w:val="center"/>
          </w:tcPr>
          <w:p w14:paraId="436B07F3"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Sistem de evacuare (coș D=2m și H=21 m)</w:t>
            </w:r>
          </w:p>
        </w:tc>
        <w:tc>
          <w:tcPr>
            <w:tcW w:w="1588" w:type="dxa"/>
          </w:tcPr>
          <w:p w14:paraId="7C1CBB55"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CO, NOx, SOx,  TSP</w:t>
            </w:r>
          </w:p>
        </w:tc>
      </w:tr>
      <w:tr w:rsidR="00420C56" w:rsidRPr="00EA1BB2" w14:paraId="46F2C21A" w14:textId="77777777" w:rsidTr="0072341A">
        <w:trPr>
          <w:trHeight w:val="57"/>
          <w:jc w:val="center"/>
        </w:trPr>
        <w:tc>
          <w:tcPr>
            <w:tcW w:w="2070" w:type="dxa"/>
            <w:vMerge w:val="restart"/>
            <w:vAlign w:val="center"/>
          </w:tcPr>
          <w:p w14:paraId="72211E71"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Laminorul de tablă groasă nr. 2</w:t>
            </w:r>
          </w:p>
        </w:tc>
        <w:tc>
          <w:tcPr>
            <w:tcW w:w="3312" w:type="dxa"/>
            <w:vAlign w:val="center"/>
          </w:tcPr>
          <w:p w14:paraId="7B99C178"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Cuptoare de propulsie nr. 1, 2, 3</w:t>
            </w:r>
          </w:p>
        </w:tc>
        <w:tc>
          <w:tcPr>
            <w:tcW w:w="2381" w:type="dxa"/>
            <w:vAlign w:val="center"/>
          </w:tcPr>
          <w:p w14:paraId="54A01280"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Sisteme de evacuare (coșuri D=5,8m și H=40 m)</w:t>
            </w:r>
          </w:p>
        </w:tc>
        <w:tc>
          <w:tcPr>
            <w:tcW w:w="1588" w:type="dxa"/>
          </w:tcPr>
          <w:p w14:paraId="1BF2A6B9"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CO, NOx, SOx,  TSP</w:t>
            </w:r>
          </w:p>
        </w:tc>
      </w:tr>
      <w:tr w:rsidR="00420C56" w:rsidRPr="00EA1BB2" w14:paraId="1EA92CC2" w14:textId="77777777" w:rsidTr="0072341A">
        <w:trPr>
          <w:trHeight w:val="57"/>
          <w:jc w:val="center"/>
        </w:trPr>
        <w:tc>
          <w:tcPr>
            <w:tcW w:w="2070" w:type="dxa"/>
            <w:vMerge/>
            <w:vAlign w:val="center"/>
          </w:tcPr>
          <w:p w14:paraId="6A0D3071" w14:textId="77777777" w:rsidR="00420C56" w:rsidRPr="00EA1BB2" w:rsidRDefault="00420C56" w:rsidP="0072341A">
            <w:pPr>
              <w:spacing w:line="276" w:lineRule="auto"/>
              <w:jc w:val="center"/>
              <w:rPr>
                <w:rFonts w:ascii="Cambria" w:eastAsia="Calibri" w:hAnsi="Cambria"/>
                <w:sz w:val="24"/>
                <w:szCs w:val="24"/>
                <w:lang w:val="ro-RO"/>
              </w:rPr>
            </w:pPr>
          </w:p>
        </w:tc>
        <w:tc>
          <w:tcPr>
            <w:tcW w:w="3312" w:type="dxa"/>
            <w:vAlign w:val="center"/>
          </w:tcPr>
          <w:p w14:paraId="17084674"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Cuptor normalizare nr. 1</w:t>
            </w:r>
          </w:p>
        </w:tc>
        <w:tc>
          <w:tcPr>
            <w:tcW w:w="2381" w:type="dxa"/>
            <w:vAlign w:val="center"/>
          </w:tcPr>
          <w:p w14:paraId="33839D18"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Sistem de evacuare (coș D=2,55 m și H=21,7 m)</w:t>
            </w:r>
          </w:p>
        </w:tc>
        <w:tc>
          <w:tcPr>
            <w:tcW w:w="1588" w:type="dxa"/>
          </w:tcPr>
          <w:p w14:paraId="5B2E6A19"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CO, NOx, SOx,  TSP</w:t>
            </w:r>
          </w:p>
        </w:tc>
      </w:tr>
      <w:tr w:rsidR="00420C56" w:rsidRPr="00EA1BB2" w14:paraId="772F24F6" w14:textId="77777777" w:rsidTr="0072341A">
        <w:trPr>
          <w:trHeight w:val="57"/>
          <w:jc w:val="center"/>
        </w:trPr>
        <w:tc>
          <w:tcPr>
            <w:tcW w:w="2070" w:type="dxa"/>
            <w:vMerge/>
            <w:vAlign w:val="center"/>
          </w:tcPr>
          <w:p w14:paraId="5B26C2A0" w14:textId="77777777" w:rsidR="00420C56" w:rsidRPr="00EA1BB2" w:rsidRDefault="00420C56" w:rsidP="0072341A">
            <w:pPr>
              <w:spacing w:line="276" w:lineRule="auto"/>
              <w:jc w:val="center"/>
              <w:rPr>
                <w:rFonts w:ascii="Cambria" w:eastAsia="Calibri" w:hAnsi="Cambria"/>
                <w:sz w:val="24"/>
                <w:szCs w:val="24"/>
                <w:lang w:val="ro-RO"/>
              </w:rPr>
            </w:pPr>
          </w:p>
        </w:tc>
        <w:tc>
          <w:tcPr>
            <w:tcW w:w="3312" w:type="dxa"/>
            <w:vAlign w:val="center"/>
          </w:tcPr>
          <w:p w14:paraId="79055E25"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Cuptor revenire</w:t>
            </w:r>
          </w:p>
        </w:tc>
        <w:tc>
          <w:tcPr>
            <w:tcW w:w="2381" w:type="dxa"/>
            <w:vAlign w:val="center"/>
          </w:tcPr>
          <w:p w14:paraId="5DF9B277"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Sistem de evacuare (coș D=1,6 m și H=22,7 m)</w:t>
            </w:r>
          </w:p>
        </w:tc>
        <w:tc>
          <w:tcPr>
            <w:tcW w:w="1588" w:type="dxa"/>
          </w:tcPr>
          <w:p w14:paraId="4F407757"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CO, NOx, SOx,  TSP</w:t>
            </w:r>
          </w:p>
        </w:tc>
      </w:tr>
      <w:tr w:rsidR="00420C56" w:rsidRPr="00EA1BB2" w14:paraId="0FDFE99C" w14:textId="77777777" w:rsidTr="0072341A">
        <w:trPr>
          <w:trHeight w:val="57"/>
          <w:jc w:val="center"/>
        </w:trPr>
        <w:tc>
          <w:tcPr>
            <w:tcW w:w="2070" w:type="dxa"/>
            <w:vMerge w:val="restart"/>
            <w:vAlign w:val="center"/>
          </w:tcPr>
          <w:p w14:paraId="66A9E1D5"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LBC și LBR</w:t>
            </w:r>
          </w:p>
        </w:tc>
        <w:tc>
          <w:tcPr>
            <w:tcW w:w="3312" w:type="dxa"/>
            <w:vAlign w:val="center"/>
          </w:tcPr>
          <w:p w14:paraId="1E499AF2"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Cuptoare tratament termic</w:t>
            </w:r>
          </w:p>
        </w:tc>
        <w:tc>
          <w:tcPr>
            <w:tcW w:w="2381" w:type="dxa"/>
            <w:vAlign w:val="center"/>
          </w:tcPr>
          <w:p w14:paraId="08CA0557"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 xml:space="preserve">Sisteme de evacuare (9 coșuri cu Dv=0,4 m Db=1,4 m și </w:t>
            </w:r>
            <w:r w:rsidRPr="00EA1BB2">
              <w:rPr>
                <w:rFonts w:ascii="Cambria" w:eastAsia="Calibri" w:hAnsi="Cambria"/>
                <w:sz w:val="24"/>
                <w:szCs w:val="24"/>
                <w:lang w:val="ro-RO"/>
              </w:rPr>
              <w:lastRenderedPageBreak/>
              <w:t>H=26,64 m)</w:t>
            </w:r>
          </w:p>
        </w:tc>
        <w:tc>
          <w:tcPr>
            <w:tcW w:w="1588" w:type="dxa"/>
          </w:tcPr>
          <w:p w14:paraId="493BA2C3"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lastRenderedPageBreak/>
              <w:t>CO, NOx, SOx,  TSP</w:t>
            </w:r>
          </w:p>
        </w:tc>
      </w:tr>
      <w:tr w:rsidR="00420C56" w:rsidRPr="00EA1BB2" w14:paraId="756002CB" w14:textId="77777777" w:rsidTr="0072341A">
        <w:trPr>
          <w:trHeight w:val="57"/>
          <w:jc w:val="center"/>
        </w:trPr>
        <w:tc>
          <w:tcPr>
            <w:tcW w:w="2070" w:type="dxa"/>
            <w:vMerge/>
            <w:vAlign w:val="center"/>
          </w:tcPr>
          <w:p w14:paraId="1C11C630" w14:textId="77777777" w:rsidR="00420C56" w:rsidRPr="00EA1BB2" w:rsidRDefault="00420C56" w:rsidP="0072341A">
            <w:pPr>
              <w:spacing w:line="276" w:lineRule="auto"/>
              <w:jc w:val="center"/>
              <w:rPr>
                <w:rFonts w:ascii="Cambria" w:eastAsia="Calibri" w:hAnsi="Cambria"/>
                <w:sz w:val="24"/>
                <w:szCs w:val="24"/>
                <w:lang w:val="ro-RO"/>
              </w:rPr>
            </w:pPr>
          </w:p>
        </w:tc>
        <w:tc>
          <w:tcPr>
            <w:tcW w:w="3312" w:type="dxa"/>
            <w:vAlign w:val="center"/>
          </w:tcPr>
          <w:p w14:paraId="70ECE1F9"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Instalație de regenerare a HCl</w:t>
            </w:r>
          </w:p>
        </w:tc>
        <w:tc>
          <w:tcPr>
            <w:tcW w:w="2381" w:type="dxa"/>
            <w:vAlign w:val="center"/>
          </w:tcPr>
          <w:p w14:paraId="4AA5F2AF"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Sistem de evacuare (coș)</w:t>
            </w:r>
          </w:p>
        </w:tc>
        <w:tc>
          <w:tcPr>
            <w:tcW w:w="1588" w:type="dxa"/>
          </w:tcPr>
          <w:p w14:paraId="5B5C0CB3"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CO, NOx, SOx,  TSP</w:t>
            </w:r>
          </w:p>
        </w:tc>
      </w:tr>
      <w:tr w:rsidR="00420C56" w:rsidRPr="00EA1BB2" w14:paraId="7BE5A111" w14:textId="77777777" w:rsidTr="0072341A">
        <w:trPr>
          <w:trHeight w:val="57"/>
          <w:jc w:val="center"/>
        </w:trPr>
        <w:tc>
          <w:tcPr>
            <w:tcW w:w="2070" w:type="dxa"/>
            <w:vMerge/>
            <w:vAlign w:val="center"/>
          </w:tcPr>
          <w:p w14:paraId="7F5828CB" w14:textId="77777777" w:rsidR="00420C56" w:rsidRPr="00EA1BB2" w:rsidRDefault="00420C56" w:rsidP="0072341A">
            <w:pPr>
              <w:spacing w:line="276" w:lineRule="auto"/>
              <w:jc w:val="center"/>
              <w:rPr>
                <w:rFonts w:ascii="Cambria" w:eastAsia="Calibri" w:hAnsi="Cambria"/>
                <w:sz w:val="24"/>
                <w:szCs w:val="24"/>
                <w:lang w:val="ro-RO"/>
              </w:rPr>
            </w:pPr>
          </w:p>
        </w:tc>
        <w:tc>
          <w:tcPr>
            <w:tcW w:w="3312" w:type="dxa"/>
            <w:vAlign w:val="center"/>
          </w:tcPr>
          <w:p w14:paraId="7421E81B"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Cuptoare de propulsie nr. 1-3</w:t>
            </w:r>
          </w:p>
        </w:tc>
        <w:tc>
          <w:tcPr>
            <w:tcW w:w="2381" w:type="dxa"/>
            <w:vAlign w:val="center"/>
          </w:tcPr>
          <w:p w14:paraId="53D25775"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Sistem de evacuare (coș D=2,75 m și H=31,53 m)</w:t>
            </w:r>
          </w:p>
        </w:tc>
        <w:tc>
          <w:tcPr>
            <w:tcW w:w="1588" w:type="dxa"/>
          </w:tcPr>
          <w:p w14:paraId="477202E3"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CO, NOx, SOx,  TSP</w:t>
            </w:r>
          </w:p>
        </w:tc>
      </w:tr>
      <w:tr w:rsidR="00420C56" w:rsidRPr="00EA1BB2" w14:paraId="19D02179" w14:textId="77777777" w:rsidTr="0072341A">
        <w:trPr>
          <w:trHeight w:val="57"/>
          <w:jc w:val="center"/>
        </w:trPr>
        <w:tc>
          <w:tcPr>
            <w:tcW w:w="2070" w:type="dxa"/>
            <w:vAlign w:val="center"/>
          </w:tcPr>
          <w:p w14:paraId="33610AE1"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Zincare</w:t>
            </w:r>
          </w:p>
        </w:tc>
        <w:tc>
          <w:tcPr>
            <w:tcW w:w="3312" w:type="dxa"/>
            <w:vAlign w:val="center"/>
          </w:tcPr>
          <w:p w14:paraId="2CEB1D66"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Cuptor tratament termic</w:t>
            </w:r>
          </w:p>
        </w:tc>
        <w:tc>
          <w:tcPr>
            <w:tcW w:w="2381" w:type="dxa"/>
            <w:vAlign w:val="center"/>
          </w:tcPr>
          <w:p w14:paraId="52D3ACB8"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Sistem de evacuare (coș D=1,20 m și H=35 m)</w:t>
            </w:r>
          </w:p>
        </w:tc>
        <w:tc>
          <w:tcPr>
            <w:tcW w:w="1588" w:type="dxa"/>
          </w:tcPr>
          <w:p w14:paraId="1D95E071"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CO, NOx, SOx,  TSP</w:t>
            </w:r>
          </w:p>
        </w:tc>
      </w:tr>
      <w:tr w:rsidR="00420C56" w:rsidRPr="00EA1BB2" w14:paraId="27CDF739" w14:textId="77777777" w:rsidTr="0072341A">
        <w:trPr>
          <w:trHeight w:val="57"/>
          <w:jc w:val="center"/>
        </w:trPr>
        <w:tc>
          <w:tcPr>
            <w:tcW w:w="2070" w:type="dxa"/>
            <w:vAlign w:val="center"/>
          </w:tcPr>
          <w:p w14:paraId="60A0F14D"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Departamentul producere și distribuție a energiei în siderurgie</w:t>
            </w:r>
          </w:p>
        </w:tc>
        <w:tc>
          <w:tcPr>
            <w:tcW w:w="3312" w:type="dxa"/>
            <w:vAlign w:val="center"/>
          </w:tcPr>
          <w:p w14:paraId="195608B7"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 xml:space="preserve">Cazane abur </w:t>
            </w:r>
          </w:p>
          <w:p w14:paraId="149923FB"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(19 buc)</w:t>
            </w:r>
          </w:p>
        </w:tc>
        <w:tc>
          <w:tcPr>
            <w:tcW w:w="2381" w:type="dxa"/>
            <w:vAlign w:val="center"/>
          </w:tcPr>
          <w:p w14:paraId="5206234F"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Sisteme de evacuare (coșuri D=2,5 m și H=30 m)</w:t>
            </w:r>
          </w:p>
        </w:tc>
        <w:tc>
          <w:tcPr>
            <w:tcW w:w="1588" w:type="dxa"/>
          </w:tcPr>
          <w:p w14:paraId="50856058"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CO, NOx, SOx,  TSP</w:t>
            </w:r>
          </w:p>
        </w:tc>
      </w:tr>
      <w:tr w:rsidR="00420C56" w:rsidRPr="00EA1BB2" w14:paraId="07E435E6" w14:textId="77777777" w:rsidTr="0072341A">
        <w:trPr>
          <w:trHeight w:val="57"/>
          <w:jc w:val="center"/>
        </w:trPr>
        <w:tc>
          <w:tcPr>
            <w:tcW w:w="2070" w:type="dxa"/>
            <w:vMerge w:val="restart"/>
            <w:vAlign w:val="center"/>
          </w:tcPr>
          <w:p w14:paraId="239204B9"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Zona servicii</w:t>
            </w:r>
          </w:p>
        </w:tc>
        <w:tc>
          <w:tcPr>
            <w:tcW w:w="3312" w:type="dxa"/>
            <w:vAlign w:val="center"/>
          </w:tcPr>
          <w:p w14:paraId="33CBFDD5"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Cuptor uscat nisip/ciclon</w:t>
            </w:r>
          </w:p>
        </w:tc>
        <w:tc>
          <w:tcPr>
            <w:tcW w:w="2381" w:type="dxa"/>
            <w:vAlign w:val="center"/>
          </w:tcPr>
          <w:p w14:paraId="33D598F0"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Sistem de evacuare (coș C1 D=0,6 m și H=24 m)</w:t>
            </w:r>
          </w:p>
        </w:tc>
        <w:tc>
          <w:tcPr>
            <w:tcW w:w="1588" w:type="dxa"/>
            <w:vAlign w:val="center"/>
          </w:tcPr>
          <w:p w14:paraId="245910BF"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CO, NOx, SOx,  TSP</w:t>
            </w:r>
          </w:p>
        </w:tc>
      </w:tr>
      <w:tr w:rsidR="00420C56" w:rsidRPr="00EA1BB2" w14:paraId="59D6E9D6" w14:textId="77777777" w:rsidTr="0072341A">
        <w:trPr>
          <w:trHeight w:val="57"/>
          <w:jc w:val="center"/>
        </w:trPr>
        <w:tc>
          <w:tcPr>
            <w:tcW w:w="2070" w:type="dxa"/>
            <w:vMerge/>
            <w:vAlign w:val="center"/>
          </w:tcPr>
          <w:p w14:paraId="58F4691B" w14:textId="77777777" w:rsidR="00420C56" w:rsidRPr="00EA1BB2" w:rsidRDefault="00420C56" w:rsidP="0072341A">
            <w:pPr>
              <w:spacing w:line="276" w:lineRule="auto"/>
              <w:jc w:val="center"/>
              <w:rPr>
                <w:rFonts w:ascii="Cambria" w:eastAsia="Calibri" w:hAnsi="Cambria"/>
                <w:sz w:val="24"/>
                <w:szCs w:val="24"/>
                <w:lang w:val="ro-RO"/>
              </w:rPr>
            </w:pPr>
          </w:p>
        </w:tc>
        <w:tc>
          <w:tcPr>
            <w:tcW w:w="3312" w:type="dxa"/>
            <w:vAlign w:val="center"/>
          </w:tcPr>
          <w:p w14:paraId="3371259F"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Cuptoare încălzire vatră mobilă 25 m</w:t>
            </w:r>
            <w:r w:rsidRPr="00EA1BB2">
              <w:rPr>
                <w:rFonts w:ascii="Cambria" w:eastAsia="Calibri" w:hAnsi="Cambria"/>
                <w:sz w:val="24"/>
                <w:szCs w:val="24"/>
                <w:vertAlign w:val="superscript"/>
                <w:lang w:val="ro-RO"/>
              </w:rPr>
              <w:t>2</w:t>
            </w:r>
            <w:r w:rsidRPr="00EA1BB2">
              <w:rPr>
                <w:rFonts w:ascii="Cambria" w:eastAsia="Calibri" w:hAnsi="Cambria"/>
                <w:sz w:val="24"/>
                <w:szCs w:val="24"/>
                <w:lang w:val="ro-RO"/>
              </w:rPr>
              <w:t>, 16 m</w:t>
            </w:r>
            <w:r w:rsidRPr="00EA1BB2">
              <w:rPr>
                <w:rFonts w:ascii="Cambria" w:eastAsia="Calibri" w:hAnsi="Cambria"/>
                <w:sz w:val="24"/>
                <w:szCs w:val="24"/>
                <w:vertAlign w:val="superscript"/>
                <w:lang w:val="ro-RO"/>
              </w:rPr>
              <w:t>2</w:t>
            </w:r>
          </w:p>
        </w:tc>
        <w:tc>
          <w:tcPr>
            <w:tcW w:w="2381" w:type="dxa"/>
            <w:vAlign w:val="center"/>
          </w:tcPr>
          <w:p w14:paraId="16BD256C"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Coș C1 cu D=2 m și H 82 m</w:t>
            </w:r>
          </w:p>
        </w:tc>
        <w:tc>
          <w:tcPr>
            <w:tcW w:w="1588" w:type="dxa"/>
          </w:tcPr>
          <w:p w14:paraId="71515FD9"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CO, NOx, SOx,  TSP</w:t>
            </w:r>
          </w:p>
        </w:tc>
      </w:tr>
      <w:tr w:rsidR="00420C56" w:rsidRPr="00EA1BB2" w14:paraId="3977AE0B" w14:textId="77777777" w:rsidTr="0072341A">
        <w:trPr>
          <w:trHeight w:val="57"/>
          <w:jc w:val="center"/>
        </w:trPr>
        <w:tc>
          <w:tcPr>
            <w:tcW w:w="2070" w:type="dxa"/>
            <w:vMerge/>
            <w:vAlign w:val="center"/>
          </w:tcPr>
          <w:p w14:paraId="24D5A710" w14:textId="77777777" w:rsidR="00420C56" w:rsidRPr="00EA1BB2" w:rsidRDefault="00420C56" w:rsidP="0072341A">
            <w:pPr>
              <w:spacing w:line="276" w:lineRule="auto"/>
              <w:jc w:val="center"/>
              <w:rPr>
                <w:rFonts w:ascii="Cambria" w:eastAsia="Calibri" w:hAnsi="Cambria"/>
                <w:sz w:val="24"/>
                <w:szCs w:val="24"/>
                <w:lang w:val="ro-RO"/>
              </w:rPr>
            </w:pPr>
          </w:p>
        </w:tc>
        <w:tc>
          <w:tcPr>
            <w:tcW w:w="3312" w:type="dxa"/>
            <w:vAlign w:val="center"/>
          </w:tcPr>
          <w:p w14:paraId="3376CF01"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Cuptoare încălzire vatră mobilă 31,5 m</w:t>
            </w:r>
            <w:r w:rsidRPr="00EA1BB2">
              <w:rPr>
                <w:rFonts w:ascii="Cambria" w:eastAsia="Calibri" w:hAnsi="Cambria"/>
                <w:sz w:val="24"/>
                <w:szCs w:val="24"/>
                <w:vertAlign w:val="superscript"/>
                <w:lang w:val="ro-RO"/>
              </w:rPr>
              <w:t>2</w:t>
            </w:r>
            <w:r w:rsidRPr="00EA1BB2">
              <w:rPr>
                <w:rFonts w:ascii="Cambria" w:eastAsia="Calibri" w:hAnsi="Cambria"/>
                <w:sz w:val="24"/>
                <w:szCs w:val="24"/>
                <w:lang w:val="ro-RO"/>
              </w:rPr>
              <w:t>, 12,6 m</w:t>
            </w:r>
            <w:r w:rsidRPr="00EA1BB2">
              <w:rPr>
                <w:rFonts w:ascii="Cambria" w:eastAsia="Calibri" w:hAnsi="Cambria"/>
                <w:sz w:val="24"/>
                <w:szCs w:val="24"/>
                <w:vertAlign w:val="superscript"/>
                <w:lang w:val="ro-RO"/>
              </w:rPr>
              <w:t>2</w:t>
            </w:r>
            <w:r w:rsidRPr="00EA1BB2">
              <w:rPr>
                <w:rFonts w:ascii="Cambria" w:eastAsia="Calibri" w:hAnsi="Cambria"/>
                <w:sz w:val="24"/>
                <w:szCs w:val="24"/>
                <w:lang w:val="ro-RO"/>
              </w:rPr>
              <w:t>, 50 m</w:t>
            </w:r>
            <w:r w:rsidRPr="00EA1BB2">
              <w:rPr>
                <w:rFonts w:ascii="Cambria" w:eastAsia="Calibri" w:hAnsi="Cambria"/>
                <w:sz w:val="24"/>
                <w:szCs w:val="24"/>
                <w:vertAlign w:val="superscript"/>
                <w:lang w:val="ro-RO"/>
              </w:rPr>
              <w:t>2</w:t>
            </w:r>
          </w:p>
        </w:tc>
        <w:tc>
          <w:tcPr>
            <w:tcW w:w="2381" w:type="dxa"/>
            <w:vAlign w:val="center"/>
          </w:tcPr>
          <w:p w14:paraId="6FF02A0F"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Coș dispersie C2  cu      D = 2 m și H=82 m</w:t>
            </w:r>
          </w:p>
        </w:tc>
        <w:tc>
          <w:tcPr>
            <w:tcW w:w="1588" w:type="dxa"/>
          </w:tcPr>
          <w:p w14:paraId="6B8A7356"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CO, NOx, SOx,  TSP</w:t>
            </w:r>
          </w:p>
        </w:tc>
      </w:tr>
      <w:tr w:rsidR="00420C56" w:rsidRPr="00EA1BB2" w14:paraId="5799DB6C" w14:textId="77777777" w:rsidTr="0072341A">
        <w:trPr>
          <w:trHeight w:val="57"/>
          <w:jc w:val="center"/>
        </w:trPr>
        <w:tc>
          <w:tcPr>
            <w:tcW w:w="2070" w:type="dxa"/>
            <w:vMerge/>
            <w:vAlign w:val="center"/>
          </w:tcPr>
          <w:p w14:paraId="3F5CA2F4" w14:textId="77777777" w:rsidR="00420C56" w:rsidRPr="00EA1BB2" w:rsidRDefault="00420C56" w:rsidP="0072341A">
            <w:pPr>
              <w:spacing w:line="276" w:lineRule="auto"/>
              <w:jc w:val="center"/>
              <w:rPr>
                <w:rFonts w:ascii="Cambria" w:eastAsia="Calibri" w:hAnsi="Cambria"/>
                <w:sz w:val="24"/>
                <w:szCs w:val="24"/>
                <w:lang w:val="ro-RO"/>
              </w:rPr>
            </w:pPr>
          </w:p>
        </w:tc>
        <w:tc>
          <w:tcPr>
            <w:tcW w:w="3312" w:type="dxa"/>
            <w:vAlign w:val="center"/>
          </w:tcPr>
          <w:p w14:paraId="5FE44501"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Cuptoare încălzire vatră fixă 3,5 m</w:t>
            </w:r>
            <w:r w:rsidRPr="00EA1BB2">
              <w:rPr>
                <w:rFonts w:ascii="Cambria" w:eastAsia="Calibri" w:hAnsi="Cambria"/>
                <w:sz w:val="24"/>
                <w:szCs w:val="24"/>
                <w:vertAlign w:val="superscript"/>
                <w:lang w:val="ro-RO"/>
              </w:rPr>
              <w:t>2</w:t>
            </w:r>
            <w:r w:rsidRPr="00EA1BB2">
              <w:rPr>
                <w:rFonts w:ascii="Cambria" w:eastAsia="Calibri" w:hAnsi="Cambria"/>
                <w:sz w:val="24"/>
                <w:szCs w:val="24"/>
                <w:lang w:val="ro-RO"/>
              </w:rPr>
              <w:t>, 6 m</w:t>
            </w:r>
            <w:r w:rsidRPr="00EA1BB2">
              <w:rPr>
                <w:rFonts w:ascii="Cambria" w:eastAsia="Calibri" w:hAnsi="Cambria"/>
                <w:sz w:val="24"/>
                <w:szCs w:val="24"/>
                <w:vertAlign w:val="superscript"/>
                <w:lang w:val="ro-RO"/>
              </w:rPr>
              <w:t>2</w:t>
            </w:r>
            <w:r w:rsidRPr="00EA1BB2">
              <w:rPr>
                <w:rFonts w:ascii="Cambria" w:eastAsia="Calibri" w:hAnsi="Cambria"/>
                <w:sz w:val="24"/>
                <w:szCs w:val="24"/>
                <w:lang w:val="ro-RO"/>
              </w:rPr>
              <w:t>,3,5 m</w:t>
            </w:r>
            <w:r w:rsidRPr="00EA1BB2">
              <w:rPr>
                <w:rFonts w:ascii="Cambria" w:eastAsia="Calibri" w:hAnsi="Cambria"/>
                <w:sz w:val="24"/>
                <w:szCs w:val="24"/>
                <w:vertAlign w:val="superscript"/>
                <w:lang w:val="ro-RO"/>
              </w:rPr>
              <w:t>2</w:t>
            </w:r>
            <w:r w:rsidRPr="00EA1BB2">
              <w:rPr>
                <w:rFonts w:ascii="Cambria" w:eastAsia="Calibri" w:hAnsi="Cambria"/>
                <w:sz w:val="24"/>
                <w:szCs w:val="24"/>
                <w:lang w:val="ro-RO"/>
              </w:rPr>
              <w:t xml:space="preserve"> 0,35 m</w:t>
            </w:r>
            <w:r w:rsidRPr="00EA1BB2">
              <w:rPr>
                <w:rFonts w:ascii="Cambria" w:eastAsia="Calibri" w:hAnsi="Cambria"/>
                <w:sz w:val="24"/>
                <w:szCs w:val="24"/>
                <w:vertAlign w:val="superscript"/>
                <w:lang w:val="ro-RO"/>
              </w:rPr>
              <w:t>2</w:t>
            </w:r>
            <w:r w:rsidRPr="00EA1BB2">
              <w:rPr>
                <w:rFonts w:ascii="Cambria" w:eastAsia="Calibri" w:hAnsi="Cambria"/>
                <w:sz w:val="24"/>
                <w:szCs w:val="24"/>
                <w:lang w:val="ro-RO"/>
              </w:rPr>
              <w:t xml:space="preserve"> 1 m</w:t>
            </w:r>
            <w:r w:rsidRPr="00EA1BB2">
              <w:rPr>
                <w:rFonts w:ascii="Cambria" w:eastAsia="Calibri" w:hAnsi="Cambria"/>
                <w:sz w:val="24"/>
                <w:szCs w:val="24"/>
                <w:vertAlign w:val="superscript"/>
                <w:lang w:val="ro-RO"/>
              </w:rPr>
              <w:t>2</w:t>
            </w:r>
            <w:r w:rsidRPr="00EA1BB2">
              <w:rPr>
                <w:rFonts w:ascii="Cambria" w:eastAsia="Calibri" w:hAnsi="Cambria"/>
                <w:sz w:val="24"/>
                <w:szCs w:val="24"/>
                <w:lang w:val="ro-RO"/>
              </w:rPr>
              <w:t>, 3 m</w:t>
            </w:r>
            <w:r w:rsidRPr="00EA1BB2">
              <w:rPr>
                <w:rFonts w:ascii="Cambria" w:eastAsia="Calibri" w:hAnsi="Cambria"/>
                <w:sz w:val="24"/>
                <w:szCs w:val="24"/>
                <w:vertAlign w:val="superscript"/>
                <w:lang w:val="ro-RO"/>
              </w:rPr>
              <w:t>2</w:t>
            </w:r>
            <w:r w:rsidRPr="00EA1BB2">
              <w:rPr>
                <w:rFonts w:ascii="Cambria" w:eastAsia="Calibri" w:hAnsi="Cambria"/>
                <w:sz w:val="24"/>
                <w:szCs w:val="24"/>
                <w:lang w:val="ro-RO"/>
              </w:rPr>
              <w:t>, 5 m</w:t>
            </w:r>
            <w:r w:rsidRPr="00EA1BB2">
              <w:rPr>
                <w:rFonts w:ascii="Cambria" w:eastAsia="Calibri" w:hAnsi="Cambria"/>
                <w:sz w:val="24"/>
                <w:szCs w:val="24"/>
                <w:vertAlign w:val="superscript"/>
                <w:lang w:val="ro-RO"/>
              </w:rPr>
              <w:t>2</w:t>
            </w:r>
            <w:r w:rsidRPr="00EA1BB2">
              <w:rPr>
                <w:rFonts w:ascii="Cambria" w:eastAsia="Calibri" w:hAnsi="Cambria"/>
                <w:sz w:val="24"/>
                <w:szCs w:val="24"/>
                <w:lang w:val="ro-RO"/>
              </w:rPr>
              <w:t>, 2,5 m</w:t>
            </w:r>
            <w:r w:rsidRPr="00EA1BB2">
              <w:rPr>
                <w:rFonts w:ascii="Cambria" w:eastAsia="Calibri" w:hAnsi="Cambria"/>
                <w:sz w:val="24"/>
                <w:szCs w:val="24"/>
                <w:vertAlign w:val="superscript"/>
                <w:lang w:val="ro-RO"/>
              </w:rPr>
              <w:t>2</w:t>
            </w:r>
            <w:r w:rsidRPr="00EA1BB2">
              <w:rPr>
                <w:rFonts w:ascii="Cambria" w:eastAsia="Calibri" w:hAnsi="Cambria"/>
                <w:sz w:val="24"/>
                <w:szCs w:val="24"/>
                <w:lang w:val="ro-RO"/>
              </w:rPr>
              <w:t>, 6,3 m</w:t>
            </w:r>
            <w:r w:rsidRPr="00EA1BB2">
              <w:rPr>
                <w:rFonts w:ascii="Cambria" w:eastAsia="Calibri" w:hAnsi="Cambria"/>
                <w:sz w:val="24"/>
                <w:szCs w:val="24"/>
                <w:vertAlign w:val="superscript"/>
                <w:lang w:val="ro-RO"/>
              </w:rPr>
              <w:t>2</w:t>
            </w:r>
          </w:p>
        </w:tc>
        <w:tc>
          <w:tcPr>
            <w:tcW w:w="2381" w:type="dxa"/>
            <w:vAlign w:val="center"/>
          </w:tcPr>
          <w:p w14:paraId="53381373"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Coș dispersie C1 cu D=2m și H 30 m</w:t>
            </w:r>
          </w:p>
        </w:tc>
        <w:tc>
          <w:tcPr>
            <w:tcW w:w="1588" w:type="dxa"/>
            <w:vAlign w:val="center"/>
          </w:tcPr>
          <w:p w14:paraId="294F05AF"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CO, NOx, SOx,  TSP</w:t>
            </w:r>
          </w:p>
        </w:tc>
      </w:tr>
      <w:tr w:rsidR="00420C56" w:rsidRPr="00EA1BB2" w14:paraId="34AEE671" w14:textId="77777777" w:rsidTr="0072341A">
        <w:trPr>
          <w:trHeight w:val="57"/>
          <w:jc w:val="center"/>
        </w:trPr>
        <w:tc>
          <w:tcPr>
            <w:tcW w:w="2070" w:type="dxa"/>
            <w:vMerge/>
            <w:vAlign w:val="center"/>
          </w:tcPr>
          <w:p w14:paraId="448397B3" w14:textId="77777777" w:rsidR="00420C56" w:rsidRPr="00EA1BB2" w:rsidRDefault="00420C56" w:rsidP="0072341A">
            <w:pPr>
              <w:spacing w:line="276" w:lineRule="auto"/>
              <w:jc w:val="center"/>
              <w:rPr>
                <w:rFonts w:ascii="Cambria" w:eastAsia="Calibri" w:hAnsi="Cambria"/>
                <w:sz w:val="24"/>
                <w:szCs w:val="24"/>
                <w:lang w:val="ro-RO"/>
              </w:rPr>
            </w:pPr>
          </w:p>
        </w:tc>
        <w:tc>
          <w:tcPr>
            <w:tcW w:w="3312" w:type="dxa"/>
            <w:vAlign w:val="center"/>
          </w:tcPr>
          <w:p w14:paraId="075F8339"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Cuptor tratament termic cu vatră mobilă 32 m</w:t>
            </w:r>
            <w:r w:rsidRPr="00EA1BB2">
              <w:rPr>
                <w:rFonts w:ascii="Cambria" w:eastAsia="Calibri" w:hAnsi="Cambria"/>
                <w:sz w:val="24"/>
                <w:szCs w:val="24"/>
                <w:vertAlign w:val="superscript"/>
                <w:lang w:val="ro-RO"/>
              </w:rPr>
              <w:t>2</w:t>
            </w:r>
          </w:p>
        </w:tc>
        <w:tc>
          <w:tcPr>
            <w:tcW w:w="2381" w:type="dxa"/>
            <w:vAlign w:val="center"/>
          </w:tcPr>
          <w:p w14:paraId="7639E956"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Coș dispersie C1 cu D=0,4m și H 14 m</w:t>
            </w:r>
          </w:p>
        </w:tc>
        <w:tc>
          <w:tcPr>
            <w:tcW w:w="1588" w:type="dxa"/>
            <w:vAlign w:val="center"/>
          </w:tcPr>
          <w:p w14:paraId="26B97AF6"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CO, NOx, SOx,  TSP</w:t>
            </w:r>
          </w:p>
        </w:tc>
      </w:tr>
      <w:tr w:rsidR="00420C56" w:rsidRPr="00EA1BB2" w14:paraId="2BD7227C" w14:textId="77777777" w:rsidTr="0072341A">
        <w:trPr>
          <w:trHeight w:val="57"/>
          <w:jc w:val="center"/>
        </w:trPr>
        <w:tc>
          <w:tcPr>
            <w:tcW w:w="2070" w:type="dxa"/>
            <w:vMerge/>
            <w:vAlign w:val="center"/>
          </w:tcPr>
          <w:p w14:paraId="34CB43EF" w14:textId="77777777" w:rsidR="00420C56" w:rsidRPr="00EA1BB2" w:rsidRDefault="00420C56" w:rsidP="0072341A">
            <w:pPr>
              <w:spacing w:line="276" w:lineRule="auto"/>
              <w:jc w:val="center"/>
              <w:rPr>
                <w:rFonts w:ascii="Cambria" w:eastAsia="Calibri" w:hAnsi="Cambria"/>
                <w:sz w:val="24"/>
                <w:szCs w:val="24"/>
                <w:lang w:val="ro-RO"/>
              </w:rPr>
            </w:pPr>
          </w:p>
        </w:tc>
        <w:tc>
          <w:tcPr>
            <w:tcW w:w="3312" w:type="dxa"/>
            <w:vAlign w:val="center"/>
          </w:tcPr>
          <w:p w14:paraId="74F9FB37"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Cuptor tratament termic cu vatră mobilă 2 m</w:t>
            </w:r>
            <w:r w:rsidRPr="00EA1BB2">
              <w:rPr>
                <w:rFonts w:ascii="Cambria" w:eastAsia="Calibri" w:hAnsi="Cambria"/>
                <w:sz w:val="24"/>
                <w:szCs w:val="24"/>
                <w:vertAlign w:val="superscript"/>
                <w:lang w:val="ro-RO"/>
              </w:rPr>
              <w:t>2</w:t>
            </w:r>
          </w:p>
        </w:tc>
        <w:tc>
          <w:tcPr>
            <w:tcW w:w="2381" w:type="dxa"/>
            <w:vAlign w:val="center"/>
          </w:tcPr>
          <w:p w14:paraId="3527738D"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Coș dispersie C1 cu D=0,4m și H 16 m</w:t>
            </w:r>
          </w:p>
        </w:tc>
        <w:tc>
          <w:tcPr>
            <w:tcW w:w="1588" w:type="dxa"/>
          </w:tcPr>
          <w:p w14:paraId="4588CAC1"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CO, NOx, SOx,  TSP</w:t>
            </w:r>
          </w:p>
        </w:tc>
      </w:tr>
      <w:tr w:rsidR="00420C56" w:rsidRPr="00EA1BB2" w14:paraId="6B920DB9" w14:textId="77777777" w:rsidTr="0072341A">
        <w:trPr>
          <w:trHeight w:val="57"/>
          <w:jc w:val="center"/>
        </w:trPr>
        <w:tc>
          <w:tcPr>
            <w:tcW w:w="2070" w:type="dxa"/>
            <w:vMerge/>
            <w:vAlign w:val="center"/>
          </w:tcPr>
          <w:p w14:paraId="7752B6C0" w14:textId="77777777" w:rsidR="00420C56" w:rsidRPr="00EA1BB2" w:rsidRDefault="00420C56" w:rsidP="0072341A">
            <w:pPr>
              <w:spacing w:line="276" w:lineRule="auto"/>
              <w:jc w:val="center"/>
              <w:rPr>
                <w:rFonts w:ascii="Cambria" w:eastAsia="Calibri" w:hAnsi="Cambria"/>
                <w:sz w:val="24"/>
                <w:szCs w:val="24"/>
                <w:lang w:val="ro-RO"/>
              </w:rPr>
            </w:pPr>
          </w:p>
        </w:tc>
        <w:tc>
          <w:tcPr>
            <w:tcW w:w="3312" w:type="dxa"/>
            <w:vAlign w:val="center"/>
          </w:tcPr>
          <w:p w14:paraId="3B39DD6F"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Cuptor tratament termic cu vatră fixă 2 m</w:t>
            </w:r>
            <w:r w:rsidRPr="00EA1BB2">
              <w:rPr>
                <w:rFonts w:ascii="Cambria" w:eastAsia="Calibri" w:hAnsi="Cambria"/>
                <w:sz w:val="24"/>
                <w:szCs w:val="24"/>
                <w:vertAlign w:val="superscript"/>
                <w:lang w:val="ro-RO"/>
              </w:rPr>
              <w:t>2</w:t>
            </w:r>
          </w:p>
        </w:tc>
        <w:tc>
          <w:tcPr>
            <w:tcW w:w="2381" w:type="dxa"/>
            <w:vAlign w:val="center"/>
          </w:tcPr>
          <w:p w14:paraId="35F0C491"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Coș dispersie C2 cu D=0,4m și H 16 m</w:t>
            </w:r>
          </w:p>
        </w:tc>
        <w:tc>
          <w:tcPr>
            <w:tcW w:w="1588" w:type="dxa"/>
          </w:tcPr>
          <w:p w14:paraId="70B1AEF6"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CO, NOx, SOx,  TSP</w:t>
            </w:r>
          </w:p>
        </w:tc>
      </w:tr>
      <w:tr w:rsidR="00420C56" w:rsidRPr="00EA1BB2" w14:paraId="13F8101E" w14:textId="77777777" w:rsidTr="0072341A">
        <w:trPr>
          <w:trHeight w:val="57"/>
          <w:jc w:val="center"/>
        </w:trPr>
        <w:tc>
          <w:tcPr>
            <w:tcW w:w="2070" w:type="dxa"/>
            <w:vMerge/>
            <w:vAlign w:val="center"/>
          </w:tcPr>
          <w:p w14:paraId="5D2563DF" w14:textId="77777777" w:rsidR="00420C56" w:rsidRPr="00EA1BB2" w:rsidRDefault="00420C56" w:rsidP="0072341A">
            <w:pPr>
              <w:spacing w:line="276" w:lineRule="auto"/>
              <w:jc w:val="center"/>
              <w:rPr>
                <w:rFonts w:ascii="Cambria" w:eastAsia="Calibri" w:hAnsi="Cambria"/>
                <w:sz w:val="24"/>
                <w:szCs w:val="24"/>
                <w:lang w:val="ro-RO"/>
              </w:rPr>
            </w:pPr>
          </w:p>
        </w:tc>
        <w:tc>
          <w:tcPr>
            <w:tcW w:w="3312" w:type="dxa"/>
            <w:vAlign w:val="center"/>
          </w:tcPr>
          <w:p w14:paraId="7E7550FA"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Cuptoare tratament termic cu vatră mobilă 16 m</w:t>
            </w:r>
            <w:r w:rsidRPr="00EA1BB2">
              <w:rPr>
                <w:rFonts w:ascii="Cambria" w:eastAsia="Calibri" w:hAnsi="Cambria"/>
                <w:sz w:val="24"/>
                <w:szCs w:val="24"/>
                <w:vertAlign w:val="superscript"/>
                <w:lang w:val="ro-RO"/>
              </w:rPr>
              <w:t>2</w:t>
            </w:r>
            <w:r w:rsidRPr="00EA1BB2">
              <w:rPr>
                <w:rFonts w:ascii="Cambria" w:eastAsia="Calibri" w:hAnsi="Cambria"/>
                <w:sz w:val="24"/>
                <w:szCs w:val="24"/>
                <w:lang w:val="ro-RO"/>
              </w:rPr>
              <w:t>, 1,3 m</w:t>
            </w:r>
            <w:r w:rsidRPr="00EA1BB2">
              <w:rPr>
                <w:rFonts w:ascii="Cambria" w:eastAsia="Calibri" w:hAnsi="Cambria"/>
                <w:sz w:val="24"/>
                <w:szCs w:val="24"/>
                <w:vertAlign w:val="superscript"/>
                <w:lang w:val="ro-RO"/>
              </w:rPr>
              <w:t>2</w:t>
            </w:r>
          </w:p>
        </w:tc>
        <w:tc>
          <w:tcPr>
            <w:tcW w:w="2381" w:type="dxa"/>
            <w:vMerge w:val="restart"/>
            <w:vAlign w:val="center"/>
          </w:tcPr>
          <w:p w14:paraId="75B08765"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Coș dispersie C3 beton armat cu D=2 m și H =32 m</w:t>
            </w:r>
          </w:p>
        </w:tc>
        <w:tc>
          <w:tcPr>
            <w:tcW w:w="1588" w:type="dxa"/>
            <w:vMerge w:val="restart"/>
            <w:vAlign w:val="center"/>
          </w:tcPr>
          <w:p w14:paraId="10472235"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CO, NOx, SOx, TSP</w:t>
            </w:r>
          </w:p>
        </w:tc>
      </w:tr>
      <w:tr w:rsidR="00420C56" w:rsidRPr="00EA1BB2" w14:paraId="33CABE6C" w14:textId="77777777" w:rsidTr="0072341A">
        <w:trPr>
          <w:trHeight w:val="57"/>
          <w:jc w:val="center"/>
        </w:trPr>
        <w:tc>
          <w:tcPr>
            <w:tcW w:w="2070" w:type="dxa"/>
            <w:vMerge/>
            <w:vAlign w:val="center"/>
          </w:tcPr>
          <w:p w14:paraId="2E8EFF9A" w14:textId="77777777" w:rsidR="00420C56" w:rsidRPr="00EA1BB2" w:rsidRDefault="00420C56" w:rsidP="0072341A">
            <w:pPr>
              <w:spacing w:line="360" w:lineRule="auto"/>
              <w:jc w:val="center"/>
              <w:rPr>
                <w:rFonts w:ascii="Cambria" w:eastAsia="Calibri" w:hAnsi="Cambria"/>
                <w:sz w:val="24"/>
                <w:szCs w:val="24"/>
                <w:lang w:val="ro-RO"/>
              </w:rPr>
            </w:pPr>
          </w:p>
        </w:tc>
        <w:tc>
          <w:tcPr>
            <w:tcW w:w="3312" w:type="dxa"/>
            <w:vAlign w:val="center"/>
          </w:tcPr>
          <w:p w14:paraId="3EF09355" w14:textId="77777777" w:rsidR="00420C56" w:rsidRPr="00EA1BB2" w:rsidRDefault="00420C56" w:rsidP="0072341A">
            <w:pPr>
              <w:spacing w:line="276" w:lineRule="auto"/>
              <w:jc w:val="center"/>
              <w:rPr>
                <w:rFonts w:ascii="Cambria" w:eastAsia="Calibri" w:hAnsi="Cambria"/>
                <w:sz w:val="24"/>
                <w:szCs w:val="24"/>
                <w:lang w:val="ro-RO"/>
              </w:rPr>
            </w:pPr>
            <w:r w:rsidRPr="00EA1BB2">
              <w:rPr>
                <w:rFonts w:ascii="Cambria" w:eastAsia="Calibri" w:hAnsi="Cambria"/>
                <w:sz w:val="24"/>
                <w:szCs w:val="24"/>
                <w:lang w:val="ro-RO"/>
              </w:rPr>
              <w:t>Cuptor tratament termic vertical cu adâncimea de 7 m, 5m</w:t>
            </w:r>
          </w:p>
        </w:tc>
        <w:tc>
          <w:tcPr>
            <w:tcW w:w="2381" w:type="dxa"/>
            <w:vMerge/>
            <w:vAlign w:val="center"/>
          </w:tcPr>
          <w:p w14:paraId="2E50FC4C" w14:textId="77777777" w:rsidR="00420C56" w:rsidRPr="00EA1BB2" w:rsidRDefault="00420C56" w:rsidP="0072341A">
            <w:pPr>
              <w:spacing w:line="360" w:lineRule="auto"/>
              <w:jc w:val="center"/>
              <w:rPr>
                <w:rFonts w:ascii="Cambria" w:eastAsia="Calibri" w:hAnsi="Cambria"/>
                <w:sz w:val="24"/>
                <w:szCs w:val="24"/>
                <w:lang w:val="ro-RO"/>
              </w:rPr>
            </w:pPr>
          </w:p>
        </w:tc>
        <w:tc>
          <w:tcPr>
            <w:tcW w:w="1588" w:type="dxa"/>
            <w:vMerge/>
            <w:vAlign w:val="center"/>
          </w:tcPr>
          <w:p w14:paraId="73EBAFF8" w14:textId="77777777" w:rsidR="00420C56" w:rsidRPr="00EA1BB2" w:rsidRDefault="00420C56" w:rsidP="0072341A">
            <w:pPr>
              <w:spacing w:line="360" w:lineRule="auto"/>
              <w:jc w:val="center"/>
              <w:rPr>
                <w:rFonts w:ascii="Cambria" w:eastAsia="Calibri" w:hAnsi="Cambria"/>
                <w:sz w:val="24"/>
                <w:szCs w:val="24"/>
                <w:lang w:val="ro-RO"/>
              </w:rPr>
            </w:pPr>
          </w:p>
        </w:tc>
      </w:tr>
    </w:tbl>
    <w:p w14:paraId="03F7FC7F" w14:textId="77777777" w:rsidR="00420C56" w:rsidRPr="00EA1BB2" w:rsidRDefault="00420C56" w:rsidP="00420C56">
      <w:pPr>
        <w:spacing w:after="200" w:line="360" w:lineRule="auto"/>
        <w:ind w:firstLine="709"/>
        <w:rPr>
          <w:rFonts w:ascii="Cambria" w:eastAsia="Calibri" w:hAnsi="Cambria" w:cs="Times New Roman"/>
          <w:b/>
          <w:sz w:val="24"/>
          <w:szCs w:val="24"/>
        </w:rPr>
      </w:pPr>
    </w:p>
    <w:p w14:paraId="5B9E3DA5" w14:textId="77777777" w:rsidR="00420C56" w:rsidRPr="00EA1BB2" w:rsidRDefault="00420C56" w:rsidP="00420C56">
      <w:pPr>
        <w:numPr>
          <w:ilvl w:val="0"/>
          <w:numId w:val="43"/>
        </w:numPr>
        <w:spacing w:after="200" w:line="360" w:lineRule="auto"/>
        <w:contextualSpacing/>
        <w:jc w:val="both"/>
        <w:rPr>
          <w:rFonts w:ascii="Cambria" w:eastAsia="Calibri" w:hAnsi="Cambria" w:cs="Times New Roman"/>
          <w:b/>
          <w:sz w:val="24"/>
          <w:szCs w:val="24"/>
        </w:rPr>
      </w:pPr>
      <w:r w:rsidRPr="00EA1BB2">
        <w:rPr>
          <w:rFonts w:ascii="Cambria" w:eastAsia="Calibri" w:hAnsi="Cambria" w:cs="Times New Roman"/>
          <w:b/>
          <w:sz w:val="24"/>
          <w:szCs w:val="24"/>
        </w:rPr>
        <w:t>ELECTROCENTRALE SA (AIM 1/24.02.2014 valabilă până la 23.02.2024)</w:t>
      </w:r>
    </w:p>
    <w:p w14:paraId="60AFD4E8" w14:textId="77777777" w:rsidR="00420C56" w:rsidRPr="00EA1BB2" w:rsidRDefault="00420C56" w:rsidP="00420C56">
      <w:pPr>
        <w:spacing w:line="360" w:lineRule="auto"/>
        <w:rPr>
          <w:rFonts w:ascii="Cambria" w:eastAsia="Calibri" w:hAnsi="Cambria" w:cs="Times New Roman"/>
          <w:sz w:val="24"/>
          <w:szCs w:val="24"/>
        </w:rPr>
      </w:pPr>
      <w:r w:rsidRPr="00EA1BB2">
        <w:rPr>
          <w:rFonts w:ascii="Cambria" w:eastAsia="Calibri" w:hAnsi="Cambria" w:cs="Times New Roman"/>
          <w:sz w:val="24"/>
          <w:szCs w:val="24"/>
        </w:rPr>
        <w:lastRenderedPageBreak/>
        <w:t>Activitatea: 1.1. Arderea combustibililor în instalații cu o putere termică nominală totală egală sau mai mare de 50MW.</w:t>
      </w:r>
    </w:p>
    <w:p w14:paraId="5487ACAF" w14:textId="77777777" w:rsidR="00420C56" w:rsidRPr="00EA1BB2" w:rsidRDefault="00420C56" w:rsidP="00420C56">
      <w:pPr>
        <w:spacing w:line="360" w:lineRule="auto"/>
        <w:ind w:firstLine="567"/>
        <w:jc w:val="both"/>
        <w:rPr>
          <w:rFonts w:ascii="Cambria" w:eastAsia="Calibri" w:hAnsi="Cambria" w:cs="Times New Roman"/>
          <w:b/>
          <w:sz w:val="24"/>
          <w:szCs w:val="24"/>
        </w:rPr>
      </w:pPr>
      <w:bookmarkStart w:id="296" w:name="_Toc462098758"/>
      <w:bookmarkStart w:id="297" w:name="_Toc466895986"/>
      <w:r w:rsidRPr="00EA1BB2">
        <w:rPr>
          <w:rFonts w:ascii="Cambria" w:eastAsia="Calibri" w:hAnsi="Cambria" w:cs="Times New Roman"/>
          <w:b/>
          <w:sz w:val="24"/>
          <w:szCs w:val="24"/>
        </w:rPr>
        <w:t>Tabelul nr. 2– Surse de emisie în cadrul ELECTROCENTRALE SA Galați</w:t>
      </w:r>
      <w:bookmarkEnd w:id="296"/>
      <w:bookmarkEnd w:id="297"/>
    </w:p>
    <w:tbl>
      <w:tblPr>
        <w:tblStyle w:val="TableGrid59"/>
        <w:tblW w:w="0" w:type="auto"/>
        <w:jc w:val="center"/>
        <w:tblLook w:val="04A0" w:firstRow="1" w:lastRow="0" w:firstColumn="1" w:lastColumn="0" w:noHBand="0" w:noVBand="1"/>
      </w:tblPr>
      <w:tblGrid>
        <w:gridCol w:w="1561"/>
        <w:gridCol w:w="2403"/>
        <w:gridCol w:w="3402"/>
        <w:gridCol w:w="1154"/>
      </w:tblGrid>
      <w:tr w:rsidR="00420C56" w:rsidRPr="00EA1BB2" w14:paraId="06ED7D4C" w14:textId="77777777" w:rsidTr="0072341A">
        <w:trPr>
          <w:jc w:val="center"/>
        </w:trPr>
        <w:tc>
          <w:tcPr>
            <w:tcW w:w="1561" w:type="dxa"/>
            <w:shd w:val="clear" w:color="auto" w:fill="BDD6EE" w:themeFill="accent1" w:themeFillTint="66"/>
            <w:vAlign w:val="center"/>
          </w:tcPr>
          <w:p w14:paraId="73F89EB2" w14:textId="77777777" w:rsidR="00420C56" w:rsidRPr="00EA1BB2" w:rsidRDefault="00420C56" w:rsidP="0072341A">
            <w:pPr>
              <w:spacing w:line="360" w:lineRule="auto"/>
              <w:jc w:val="center"/>
              <w:rPr>
                <w:rFonts w:ascii="Cambria" w:eastAsia="Calibri" w:hAnsi="Cambria"/>
                <w:b/>
                <w:sz w:val="24"/>
                <w:szCs w:val="24"/>
                <w:lang w:val="ro-RO"/>
              </w:rPr>
            </w:pPr>
            <w:r w:rsidRPr="00EA1BB2">
              <w:rPr>
                <w:rFonts w:ascii="Cambria" w:eastAsia="Calibri" w:hAnsi="Cambria"/>
                <w:b/>
                <w:sz w:val="24"/>
                <w:szCs w:val="24"/>
                <w:lang w:val="ro-RO"/>
              </w:rPr>
              <w:t>Instalație</w:t>
            </w:r>
          </w:p>
        </w:tc>
        <w:tc>
          <w:tcPr>
            <w:tcW w:w="2403" w:type="dxa"/>
            <w:shd w:val="clear" w:color="auto" w:fill="BDD6EE" w:themeFill="accent1" w:themeFillTint="66"/>
            <w:vAlign w:val="center"/>
          </w:tcPr>
          <w:p w14:paraId="23ED0CCD" w14:textId="77777777" w:rsidR="00420C56" w:rsidRPr="00EA1BB2" w:rsidRDefault="00420C56" w:rsidP="0072341A">
            <w:pPr>
              <w:spacing w:line="360" w:lineRule="auto"/>
              <w:jc w:val="center"/>
              <w:rPr>
                <w:rFonts w:ascii="Cambria" w:eastAsia="Calibri" w:hAnsi="Cambria"/>
                <w:b/>
                <w:sz w:val="24"/>
                <w:szCs w:val="24"/>
                <w:lang w:val="ro-RO"/>
              </w:rPr>
            </w:pPr>
            <w:r w:rsidRPr="00EA1BB2">
              <w:rPr>
                <w:rFonts w:ascii="Cambria" w:eastAsia="Calibri" w:hAnsi="Cambria"/>
                <w:b/>
                <w:sz w:val="24"/>
                <w:szCs w:val="24"/>
                <w:lang w:val="ro-RO"/>
              </w:rPr>
              <w:t>Tip combustibil</w:t>
            </w:r>
          </w:p>
        </w:tc>
        <w:tc>
          <w:tcPr>
            <w:tcW w:w="3402" w:type="dxa"/>
            <w:shd w:val="clear" w:color="auto" w:fill="BDD6EE" w:themeFill="accent1" w:themeFillTint="66"/>
            <w:vAlign w:val="center"/>
          </w:tcPr>
          <w:p w14:paraId="5810CAF2" w14:textId="77777777" w:rsidR="00420C56" w:rsidRPr="00EA1BB2" w:rsidRDefault="00420C56" w:rsidP="0072341A">
            <w:pPr>
              <w:spacing w:line="360" w:lineRule="auto"/>
              <w:jc w:val="center"/>
              <w:rPr>
                <w:rFonts w:ascii="Cambria" w:eastAsia="Calibri" w:hAnsi="Cambria"/>
                <w:b/>
                <w:sz w:val="24"/>
                <w:szCs w:val="24"/>
                <w:lang w:val="ro-RO"/>
              </w:rPr>
            </w:pPr>
            <w:r w:rsidRPr="00EA1BB2">
              <w:rPr>
                <w:rFonts w:ascii="Cambria" w:eastAsia="Calibri" w:hAnsi="Cambria"/>
                <w:b/>
                <w:sz w:val="24"/>
                <w:szCs w:val="24"/>
                <w:lang w:val="ro-RO"/>
              </w:rPr>
              <w:t>Puncte de emisie</w:t>
            </w:r>
          </w:p>
        </w:tc>
        <w:tc>
          <w:tcPr>
            <w:tcW w:w="298" w:type="dxa"/>
            <w:shd w:val="clear" w:color="auto" w:fill="BDD6EE" w:themeFill="accent1" w:themeFillTint="66"/>
            <w:vAlign w:val="center"/>
          </w:tcPr>
          <w:p w14:paraId="174681C7" w14:textId="77777777" w:rsidR="00420C56" w:rsidRPr="00EA1BB2" w:rsidRDefault="00420C56" w:rsidP="0072341A">
            <w:pPr>
              <w:spacing w:line="360" w:lineRule="auto"/>
              <w:jc w:val="center"/>
              <w:rPr>
                <w:rFonts w:ascii="Cambria" w:eastAsia="Calibri" w:hAnsi="Cambria"/>
                <w:b/>
                <w:sz w:val="24"/>
                <w:szCs w:val="24"/>
                <w:lang w:val="ro-RO"/>
              </w:rPr>
            </w:pPr>
            <w:r w:rsidRPr="00EA1BB2">
              <w:rPr>
                <w:rFonts w:ascii="Cambria" w:eastAsia="Calibri" w:hAnsi="Cambria"/>
                <w:b/>
                <w:sz w:val="24"/>
                <w:szCs w:val="24"/>
                <w:lang w:val="ro-RO"/>
              </w:rPr>
              <w:t>Poluanți emiși</w:t>
            </w:r>
          </w:p>
        </w:tc>
      </w:tr>
      <w:tr w:rsidR="00420C56" w:rsidRPr="00EA1BB2" w14:paraId="384C742A" w14:textId="77777777" w:rsidTr="0072341A">
        <w:trPr>
          <w:jc w:val="center"/>
        </w:trPr>
        <w:tc>
          <w:tcPr>
            <w:tcW w:w="1561" w:type="dxa"/>
            <w:vMerge w:val="restart"/>
            <w:vAlign w:val="center"/>
          </w:tcPr>
          <w:p w14:paraId="5FEC8375" w14:textId="77777777" w:rsidR="00420C56" w:rsidRPr="00EA1BB2" w:rsidRDefault="00420C56" w:rsidP="0072341A">
            <w:pPr>
              <w:spacing w:line="360" w:lineRule="auto"/>
              <w:jc w:val="center"/>
              <w:rPr>
                <w:rFonts w:ascii="Cambria" w:eastAsia="Calibri" w:hAnsi="Cambria"/>
                <w:sz w:val="24"/>
                <w:szCs w:val="24"/>
                <w:lang w:val="ro-RO"/>
              </w:rPr>
            </w:pPr>
            <w:r w:rsidRPr="00EA1BB2">
              <w:rPr>
                <w:rFonts w:ascii="Cambria" w:eastAsia="Calibri" w:hAnsi="Cambria"/>
                <w:sz w:val="24"/>
                <w:szCs w:val="24"/>
                <w:lang w:val="ro-RO"/>
              </w:rPr>
              <w:t>IMA nr. 2</w:t>
            </w:r>
          </w:p>
          <w:p w14:paraId="0F7BF7D9" w14:textId="77777777" w:rsidR="00420C56" w:rsidRPr="00EA1BB2" w:rsidRDefault="00420C56" w:rsidP="0072341A">
            <w:pPr>
              <w:spacing w:line="360" w:lineRule="auto"/>
              <w:jc w:val="center"/>
              <w:rPr>
                <w:rFonts w:ascii="Cambria" w:eastAsia="Calibri" w:hAnsi="Cambria"/>
                <w:sz w:val="24"/>
                <w:szCs w:val="24"/>
                <w:lang w:val="ro-RO"/>
              </w:rPr>
            </w:pPr>
            <w:r w:rsidRPr="00EA1BB2">
              <w:rPr>
                <w:rFonts w:ascii="Cambria" w:eastAsia="Calibri" w:hAnsi="Cambria"/>
                <w:sz w:val="24"/>
                <w:szCs w:val="24"/>
                <w:lang w:val="ro-RO"/>
              </w:rPr>
              <w:t>Cazan nr. 5</w:t>
            </w:r>
          </w:p>
        </w:tc>
        <w:tc>
          <w:tcPr>
            <w:tcW w:w="2403" w:type="dxa"/>
            <w:vAlign w:val="center"/>
          </w:tcPr>
          <w:p w14:paraId="21DFF93B" w14:textId="77777777" w:rsidR="00420C56" w:rsidRPr="00EA1BB2" w:rsidRDefault="00420C56" w:rsidP="0072341A">
            <w:pPr>
              <w:spacing w:line="360" w:lineRule="auto"/>
              <w:jc w:val="center"/>
              <w:rPr>
                <w:rFonts w:ascii="Cambria" w:eastAsia="Calibri" w:hAnsi="Cambria"/>
                <w:sz w:val="24"/>
                <w:szCs w:val="24"/>
                <w:lang w:val="ro-RO"/>
              </w:rPr>
            </w:pPr>
            <w:r w:rsidRPr="00EA1BB2">
              <w:rPr>
                <w:rFonts w:ascii="Cambria" w:eastAsia="Calibri" w:hAnsi="Cambria"/>
                <w:sz w:val="24"/>
                <w:szCs w:val="24"/>
                <w:lang w:val="ro-RO"/>
              </w:rPr>
              <w:t>Gaze naturale</w:t>
            </w:r>
          </w:p>
        </w:tc>
        <w:tc>
          <w:tcPr>
            <w:tcW w:w="3402" w:type="dxa"/>
            <w:vMerge w:val="restart"/>
            <w:vAlign w:val="center"/>
          </w:tcPr>
          <w:p w14:paraId="28690528" w14:textId="77777777" w:rsidR="00420C56" w:rsidRPr="00EA1BB2" w:rsidRDefault="00420C56" w:rsidP="0072341A">
            <w:pPr>
              <w:spacing w:line="360" w:lineRule="auto"/>
              <w:jc w:val="center"/>
              <w:rPr>
                <w:rFonts w:ascii="Cambria" w:eastAsia="Calibri" w:hAnsi="Cambria"/>
                <w:sz w:val="24"/>
                <w:szCs w:val="24"/>
                <w:lang w:val="ro-RO"/>
              </w:rPr>
            </w:pPr>
            <w:r w:rsidRPr="00EA1BB2">
              <w:rPr>
                <w:rFonts w:ascii="Cambria" w:eastAsia="Calibri" w:hAnsi="Cambria"/>
                <w:sz w:val="24"/>
                <w:szCs w:val="24"/>
                <w:lang w:val="ro-RO"/>
              </w:rPr>
              <w:t>Coș de dispersie C2 cu dimensiunile Dint vârf = 6,07 m H = 100 m</w:t>
            </w:r>
          </w:p>
        </w:tc>
        <w:tc>
          <w:tcPr>
            <w:tcW w:w="298" w:type="dxa"/>
            <w:vMerge w:val="restart"/>
            <w:vAlign w:val="center"/>
          </w:tcPr>
          <w:p w14:paraId="5FF79643" w14:textId="77777777" w:rsidR="00420C56" w:rsidRPr="00EA1BB2" w:rsidRDefault="00420C56" w:rsidP="0072341A">
            <w:pPr>
              <w:spacing w:line="360" w:lineRule="auto"/>
              <w:jc w:val="center"/>
              <w:rPr>
                <w:rFonts w:ascii="Cambria" w:eastAsia="Calibri" w:hAnsi="Cambria"/>
                <w:sz w:val="24"/>
                <w:szCs w:val="24"/>
                <w:lang w:val="ro-RO"/>
              </w:rPr>
            </w:pPr>
            <w:r w:rsidRPr="00EA1BB2">
              <w:rPr>
                <w:rFonts w:ascii="Cambria" w:eastAsia="Calibri" w:hAnsi="Cambria"/>
                <w:sz w:val="24"/>
                <w:szCs w:val="24"/>
                <w:lang w:val="ro-RO"/>
              </w:rPr>
              <w:t>CO, NOx, SO</w:t>
            </w:r>
            <w:r w:rsidRPr="00EA1BB2">
              <w:rPr>
                <w:rFonts w:ascii="Cambria" w:eastAsia="Calibri" w:hAnsi="Cambria"/>
                <w:sz w:val="24"/>
                <w:szCs w:val="24"/>
                <w:vertAlign w:val="subscript"/>
                <w:lang w:val="ro-RO"/>
              </w:rPr>
              <w:t>X</w:t>
            </w:r>
            <w:r w:rsidRPr="00EA1BB2">
              <w:rPr>
                <w:rFonts w:ascii="Cambria" w:eastAsia="Calibri" w:hAnsi="Cambria"/>
                <w:sz w:val="24"/>
                <w:szCs w:val="24"/>
                <w:lang w:val="ro-RO"/>
              </w:rPr>
              <w:t>, TSP</w:t>
            </w:r>
          </w:p>
        </w:tc>
      </w:tr>
      <w:tr w:rsidR="00420C56" w:rsidRPr="00EA1BB2" w14:paraId="5D4F5B23" w14:textId="77777777" w:rsidTr="0072341A">
        <w:trPr>
          <w:jc w:val="center"/>
        </w:trPr>
        <w:tc>
          <w:tcPr>
            <w:tcW w:w="1561" w:type="dxa"/>
            <w:vMerge/>
            <w:vAlign w:val="center"/>
          </w:tcPr>
          <w:p w14:paraId="68113158" w14:textId="77777777" w:rsidR="00420C56" w:rsidRPr="00EA1BB2" w:rsidRDefault="00420C56" w:rsidP="0072341A">
            <w:pPr>
              <w:spacing w:line="360" w:lineRule="auto"/>
              <w:jc w:val="center"/>
              <w:rPr>
                <w:rFonts w:ascii="Cambria" w:eastAsia="Calibri" w:hAnsi="Cambria"/>
                <w:sz w:val="24"/>
                <w:szCs w:val="24"/>
                <w:lang w:val="ro-RO"/>
              </w:rPr>
            </w:pPr>
          </w:p>
        </w:tc>
        <w:tc>
          <w:tcPr>
            <w:tcW w:w="2403" w:type="dxa"/>
            <w:vAlign w:val="center"/>
          </w:tcPr>
          <w:p w14:paraId="769EDEBF" w14:textId="77777777" w:rsidR="00420C56" w:rsidRPr="00EA1BB2" w:rsidRDefault="00420C56" w:rsidP="0072341A">
            <w:pPr>
              <w:spacing w:line="360" w:lineRule="auto"/>
              <w:jc w:val="center"/>
              <w:rPr>
                <w:rFonts w:ascii="Cambria" w:eastAsia="Calibri" w:hAnsi="Cambria"/>
                <w:sz w:val="24"/>
                <w:szCs w:val="24"/>
                <w:lang w:val="ro-RO"/>
              </w:rPr>
            </w:pPr>
            <w:r w:rsidRPr="00EA1BB2">
              <w:rPr>
                <w:rFonts w:ascii="Cambria" w:eastAsia="Calibri" w:hAnsi="Cambria"/>
                <w:sz w:val="24"/>
                <w:szCs w:val="24"/>
                <w:lang w:val="ro-RO"/>
              </w:rPr>
              <w:t>Gaz de furnal</w:t>
            </w:r>
          </w:p>
        </w:tc>
        <w:tc>
          <w:tcPr>
            <w:tcW w:w="3402" w:type="dxa"/>
            <w:vMerge/>
            <w:vAlign w:val="center"/>
          </w:tcPr>
          <w:p w14:paraId="47D4472A" w14:textId="77777777" w:rsidR="00420C56" w:rsidRPr="00EA1BB2" w:rsidRDefault="00420C56" w:rsidP="0072341A">
            <w:pPr>
              <w:spacing w:line="360" w:lineRule="auto"/>
              <w:jc w:val="center"/>
              <w:rPr>
                <w:rFonts w:ascii="Cambria" w:eastAsia="Calibri" w:hAnsi="Cambria"/>
                <w:sz w:val="24"/>
                <w:szCs w:val="24"/>
                <w:lang w:val="ro-RO"/>
              </w:rPr>
            </w:pPr>
          </w:p>
        </w:tc>
        <w:tc>
          <w:tcPr>
            <w:tcW w:w="298" w:type="dxa"/>
            <w:vMerge/>
            <w:vAlign w:val="center"/>
          </w:tcPr>
          <w:p w14:paraId="35BAE0D0" w14:textId="77777777" w:rsidR="00420C56" w:rsidRPr="00EA1BB2" w:rsidRDefault="00420C56" w:rsidP="0072341A">
            <w:pPr>
              <w:spacing w:line="360" w:lineRule="auto"/>
              <w:jc w:val="center"/>
              <w:rPr>
                <w:rFonts w:ascii="Cambria" w:eastAsia="Calibri" w:hAnsi="Cambria"/>
                <w:sz w:val="24"/>
                <w:szCs w:val="24"/>
                <w:lang w:val="ro-RO"/>
              </w:rPr>
            </w:pPr>
          </w:p>
        </w:tc>
      </w:tr>
      <w:tr w:rsidR="00420C56" w:rsidRPr="00EA1BB2" w14:paraId="629CAB2D" w14:textId="77777777" w:rsidTr="0072341A">
        <w:trPr>
          <w:jc w:val="center"/>
        </w:trPr>
        <w:tc>
          <w:tcPr>
            <w:tcW w:w="1561" w:type="dxa"/>
            <w:vMerge/>
            <w:vAlign w:val="center"/>
          </w:tcPr>
          <w:p w14:paraId="486823CF" w14:textId="77777777" w:rsidR="00420C56" w:rsidRPr="00EA1BB2" w:rsidRDefault="00420C56" w:rsidP="0072341A">
            <w:pPr>
              <w:spacing w:line="360" w:lineRule="auto"/>
              <w:jc w:val="center"/>
              <w:rPr>
                <w:rFonts w:ascii="Cambria" w:eastAsia="Calibri" w:hAnsi="Cambria"/>
                <w:sz w:val="24"/>
                <w:szCs w:val="24"/>
                <w:lang w:val="ro-RO"/>
              </w:rPr>
            </w:pPr>
          </w:p>
        </w:tc>
        <w:tc>
          <w:tcPr>
            <w:tcW w:w="2403" w:type="dxa"/>
            <w:vAlign w:val="center"/>
          </w:tcPr>
          <w:p w14:paraId="5E328AB9" w14:textId="77777777" w:rsidR="00420C56" w:rsidRPr="00EA1BB2" w:rsidRDefault="00420C56" w:rsidP="0072341A">
            <w:pPr>
              <w:spacing w:line="360" w:lineRule="auto"/>
              <w:jc w:val="center"/>
              <w:rPr>
                <w:rFonts w:ascii="Cambria" w:eastAsia="Calibri" w:hAnsi="Cambria"/>
                <w:sz w:val="24"/>
                <w:szCs w:val="24"/>
                <w:lang w:val="ro-RO"/>
              </w:rPr>
            </w:pPr>
            <w:r w:rsidRPr="00EA1BB2">
              <w:rPr>
                <w:rFonts w:ascii="Cambria" w:eastAsia="Calibri" w:hAnsi="Cambria"/>
                <w:sz w:val="24"/>
                <w:szCs w:val="24"/>
                <w:lang w:val="ro-RO"/>
              </w:rPr>
              <w:t>Păcură</w:t>
            </w:r>
          </w:p>
        </w:tc>
        <w:tc>
          <w:tcPr>
            <w:tcW w:w="3402" w:type="dxa"/>
            <w:vMerge/>
            <w:vAlign w:val="center"/>
          </w:tcPr>
          <w:p w14:paraId="5400C2D5" w14:textId="77777777" w:rsidR="00420C56" w:rsidRPr="00EA1BB2" w:rsidRDefault="00420C56" w:rsidP="0072341A">
            <w:pPr>
              <w:spacing w:line="360" w:lineRule="auto"/>
              <w:jc w:val="center"/>
              <w:rPr>
                <w:rFonts w:ascii="Cambria" w:eastAsia="Calibri" w:hAnsi="Cambria"/>
                <w:sz w:val="24"/>
                <w:szCs w:val="24"/>
                <w:lang w:val="ro-RO"/>
              </w:rPr>
            </w:pPr>
          </w:p>
        </w:tc>
        <w:tc>
          <w:tcPr>
            <w:tcW w:w="298" w:type="dxa"/>
            <w:vMerge/>
            <w:vAlign w:val="center"/>
          </w:tcPr>
          <w:p w14:paraId="3C3F473C" w14:textId="77777777" w:rsidR="00420C56" w:rsidRPr="00EA1BB2" w:rsidRDefault="00420C56" w:rsidP="0072341A">
            <w:pPr>
              <w:spacing w:line="360" w:lineRule="auto"/>
              <w:jc w:val="center"/>
              <w:rPr>
                <w:rFonts w:ascii="Cambria" w:eastAsia="Calibri" w:hAnsi="Cambria"/>
                <w:sz w:val="24"/>
                <w:szCs w:val="24"/>
                <w:lang w:val="ro-RO"/>
              </w:rPr>
            </w:pPr>
          </w:p>
        </w:tc>
      </w:tr>
      <w:tr w:rsidR="00420C56" w:rsidRPr="00EA1BB2" w14:paraId="432FEBC6" w14:textId="77777777" w:rsidTr="0072341A">
        <w:trPr>
          <w:jc w:val="center"/>
        </w:trPr>
        <w:tc>
          <w:tcPr>
            <w:tcW w:w="1561" w:type="dxa"/>
            <w:vMerge w:val="restart"/>
            <w:vAlign w:val="center"/>
          </w:tcPr>
          <w:p w14:paraId="2F5FCA25" w14:textId="77777777" w:rsidR="00420C56" w:rsidRPr="00EA1BB2" w:rsidRDefault="00420C56" w:rsidP="0072341A">
            <w:pPr>
              <w:spacing w:line="360" w:lineRule="auto"/>
              <w:jc w:val="center"/>
              <w:rPr>
                <w:rFonts w:ascii="Cambria" w:eastAsia="Calibri" w:hAnsi="Cambria"/>
                <w:sz w:val="24"/>
                <w:szCs w:val="24"/>
                <w:lang w:val="ro-RO"/>
              </w:rPr>
            </w:pPr>
            <w:r w:rsidRPr="00EA1BB2">
              <w:rPr>
                <w:rFonts w:ascii="Cambria" w:eastAsia="Calibri" w:hAnsi="Cambria"/>
                <w:sz w:val="24"/>
                <w:szCs w:val="24"/>
                <w:lang w:val="ro-RO"/>
              </w:rPr>
              <w:t>IMA nr. 3</w:t>
            </w:r>
          </w:p>
          <w:p w14:paraId="08DABD65" w14:textId="77777777" w:rsidR="00420C56" w:rsidRPr="00EA1BB2" w:rsidRDefault="00420C56" w:rsidP="0072341A">
            <w:pPr>
              <w:spacing w:line="360" w:lineRule="auto"/>
              <w:jc w:val="center"/>
              <w:rPr>
                <w:rFonts w:ascii="Cambria" w:eastAsia="Calibri" w:hAnsi="Cambria"/>
                <w:sz w:val="24"/>
                <w:szCs w:val="24"/>
                <w:lang w:val="ro-RO"/>
              </w:rPr>
            </w:pPr>
            <w:r w:rsidRPr="00EA1BB2">
              <w:rPr>
                <w:rFonts w:ascii="Cambria" w:eastAsia="Calibri" w:hAnsi="Cambria"/>
                <w:sz w:val="24"/>
                <w:szCs w:val="24"/>
                <w:lang w:val="ro-RO"/>
              </w:rPr>
              <w:t xml:space="preserve">Cazan 6, 7, 8, </w:t>
            </w:r>
          </w:p>
        </w:tc>
        <w:tc>
          <w:tcPr>
            <w:tcW w:w="2403" w:type="dxa"/>
            <w:vAlign w:val="center"/>
          </w:tcPr>
          <w:p w14:paraId="4AA077E6" w14:textId="77777777" w:rsidR="00420C56" w:rsidRPr="00EA1BB2" w:rsidRDefault="00420C56" w:rsidP="0072341A">
            <w:pPr>
              <w:spacing w:line="360" w:lineRule="auto"/>
              <w:jc w:val="center"/>
              <w:rPr>
                <w:rFonts w:ascii="Cambria" w:eastAsia="Calibri" w:hAnsi="Cambria"/>
                <w:sz w:val="24"/>
                <w:szCs w:val="24"/>
                <w:lang w:val="ro-RO"/>
              </w:rPr>
            </w:pPr>
            <w:r w:rsidRPr="00EA1BB2">
              <w:rPr>
                <w:rFonts w:ascii="Cambria" w:eastAsia="Calibri" w:hAnsi="Cambria"/>
                <w:sz w:val="24"/>
                <w:szCs w:val="24"/>
                <w:lang w:val="ro-RO"/>
              </w:rPr>
              <w:t>Gaze naturale</w:t>
            </w:r>
          </w:p>
        </w:tc>
        <w:tc>
          <w:tcPr>
            <w:tcW w:w="3402" w:type="dxa"/>
            <w:vMerge w:val="restart"/>
            <w:vAlign w:val="center"/>
          </w:tcPr>
          <w:p w14:paraId="092492D7" w14:textId="77777777" w:rsidR="00420C56" w:rsidRPr="00EA1BB2" w:rsidRDefault="00420C56" w:rsidP="0072341A">
            <w:pPr>
              <w:spacing w:line="360" w:lineRule="auto"/>
              <w:jc w:val="center"/>
              <w:rPr>
                <w:rFonts w:ascii="Cambria" w:eastAsia="Calibri" w:hAnsi="Cambria"/>
                <w:sz w:val="24"/>
                <w:szCs w:val="24"/>
                <w:lang w:val="ro-RO"/>
              </w:rPr>
            </w:pPr>
            <w:r w:rsidRPr="00EA1BB2">
              <w:rPr>
                <w:rFonts w:ascii="Cambria" w:eastAsia="Calibri" w:hAnsi="Cambria"/>
                <w:sz w:val="24"/>
                <w:szCs w:val="24"/>
                <w:lang w:val="ro-RO"/>
              </w:rPr>
              <w:t>Coș de dispersie C2 cu dimensiunile Dint vârf = 6,07 m H = 100 m</w:t>
            </w:r>
          </w:p>
        </w:tc>
        <w:tc>
          <w:tcPr>
            <w:tcW w:w="298" w:type="dxa"/>
            <w:vMerge/>
            <w:vAlign w:val="center"/>
          </w:tcPr>
          <w:p w14:paraId="5B22053D" w14:textId="77777777" w:rsidR="00420C56" w:rsidRPr="00EA1BB2" w:rsidRDefault="00420C56" w:rsidP="0072341A">
            <w:pPr>
              <w:spacing w:line="360" w:lineRule="auto"/>
              <w:jc w:val="center"/>
              <w:rPr>
                <w:rFonts w:ascii="Cambria" w:eastAsia="Calibri" w:hAnsi="Cambria"/>
                <w:sz w:val="24"/>
                <w:szCs w:val="24"/>
                <w:lang w:val="ro-RO"/>
              </w:rPr>
            </w:pPr>
          </w:p>
        </w:tc>
      </w:tr>
      <w:tr w:rsidR="00420C56" w:rsidRPr="00EA1BB2" w14:paraId="7806F413" w14:textId="77777777" w:rsidTr="0072341A">
        <w:trPr>
          <w:jc w:val="center"/>
        </w:trPr>
        <w:tc>
          <w:tcPr>
            <w:tcW w:w="1561" w:type="dxa"/>
            <w:vMerge/>
            <w:vAlign w:val="center"/>
          </w:tcPr>
          <w:p w14:paraId="2074D303" w14:textId="77777777" w:rsidR="00420C56" w:rsidRPr="00EA1BB2" w:rsidRDefault="00420C56" w:rsidP="0072341A">
            <w:pPr>
              <w:spacing w:line="360" w:lineRule="auto"/>
              <w:jc w:val="center"/>
              <w:rPr>
                <w:rFonts w:ascii="Cambria" w:eastAsia="Calibri" w:hAnsi="Cambria"/>
                <w:sz w:val="24"/>
                <w:szCs w:val="24"/>
                <w:lang w:val="ro-RO"/>
              </w:rPr>
            </w:pPr>
          </w:p>
        </w:tc>
        <w:tc>
          <w:tcPr>
            <w:tcW w:w="2403" w:type="dxa"/>
            <w:vAlign w:val="center"/>
          </w:tcPr>
          <w:p w14:paraId="3CCFE9E4" w14:textId="77777777" w:rsidR="00420C56" w:rsidRPr="00EA1BB2" w:rsidRDefault="00420C56" w:rsidP="0072341A">
            <w:pPr>
              <w:spacing w:line="360" w:lineRule="auto"/>
              <w:jc w:val="center"/>
              <w:rPr>
                <w:rFonts w:ascii="Cambria" w:eastAsia="Calibri" w:hAnsi="Cambria"/>
                <w:sz w:val="24"/>
                <w:szCs w:val="24"/>
                <w:lang w:val="ro-RO"/>
              </w:rPr>
            </w:pPr>
            <w:r w:rsidRPr="00EA1BB2">
              <w:rPr>
                <w:rFonts w:ascii="Cambria" w:eastAsia="Calibri" w:hAnsi="Cambria"/>
                <w:sz w:val="24"/>
                <w:szCs w:val="24"/>
                <w:lang w:val="ro-RO"/>
              </w:rPr>
              <w:t>Gaz de furnal</w:t>
            </w:r>
          </w:p>
        </w:tc>
        <w:tc>
          <w:tcPr>
            <w:tcW w:w="3402" w:type="dxa"/>
            <w:vMerge/>
            <w:vAlign w:val="center"/>
          </w:tcPr>
          <w:p w14:paraId="0F4C9477" w14:textId="77777777" w:rsidR="00420C56" w:rsidRPr="00EA1BB2" w:rsidRDefault="00420C56" w:rsidP="0072341A">
            <w:pPr>
              <w:spacing w:line="360" w:lineRule="auto"/>
              <w:jc w:val="center"/>
              <w:rPr>
                <w:rFonts w:ascii="Cambria" w:eastAsia="Calibri" w:hAnsi="Cambria"/>
                <w:sz w:val="24"/>
                <w:szCs w:val="24"/>
                <w:lang w:val="ro-RO"/>
              </w:rPr>
            </w:pPr>
          </w:p>
        </w:tc>
        <w:tc>
          <w:tcPr>
            <w:tcW w:w="298" w:type="dxa"/>
            <w:vMerge/>
            <w:vAlign w:val="center"/>
          </w:tcPr>
          <w:p w14:paraId="07E85B65" w14:textId="77777777" w:rsidR="00420C56" w:rsidRPr="00EA1BB2" w:rsidRDefault="00420C56" w:rsidP="0072341A">
            <w:pPr>
              <w:spacing w:line="360" w:lineRule="auto"/>
              <w:jc w:val="center"/>
              <w:rPr>
                <w:rFonts w:ascii="Cambria" w:eastAsia="Calibri" w:hAnsi="Cambria"/>
                <w:sz w:val="24"/>
                <w:szCs w:val="24"/>
                <w:lang w:val="ro-RO"/>
              </w:rPr>
            </w:pPr>
          </w:p>
        </w:tc>
      </w:tr>
      <w:tr w:rsidR="00420C56" w:rsidRPr="00EA1BB2" w14:paraId="050E0467" w14:textId="77777777" w:rsidTr="0072341A">
        <w:trPr>
          <w:jc w:val="center"/>
        </w:trPr>
        <w:tc>
          <w:tcPr>
            <w:tcW w:w="1561" w:type="dxa"/>
            <w:vMerge/>
            <w:vAlign w:val="center"/>
          </w:tcPr>
          <w:p w14:paraId="3DCE7A8F" w14:textId="77777777" w:rsidR="00420C56" w:rsidRPr="00EA1BB2" w:rsidRDefault="00420C56" w:rsidP="0072341A">
            <w:pPr>
              <w:spacing w:line="360" w:lineRule="auto"/>
              <w:jc w:val="center"/>
              <w:rPr>
                <w:rFonts w:ascii="Cambria" w:eastAsia="Calibri" w:hAnsi="Cambria"/>
                <w:sz w:val="24"/>
                <w:szCs w:val="24"/>
                <w:lang w:val="ro-RO"/>
              </w:rPr>
            </w:pPr>
          </w:p>
        </w:tc>
        <w:tc>
          <w:tcPr>
            <w:tcW w:w="2403" w:type="dxa"/>
            <w:vAlign w:val="center"/>
          </w:tcPr>
          <w:p w14:paraId="35408AF4" w14:textId="77777777" w:rsidR="00420C56" w:rsidRPr="00EA1BB2" w:rsidRDefault="00420C56" w:rsidP="0072341A">
            <w:pPr>
              <w:spacing w:line="360" w:lineRule="auto"/>
              <w:jc w:val="center"/>
              <w:rPr>
                <w:rFonts w:ascii="Cambria" w:eastAsia="Calibri" w:hAnsi="Cambria"/>
                <w:sz w:val="24"/>
                <w:szCs w:val="24"/>
                <w:lang w:val="ro-RO"/>
              </w:rPr>
            </w:pPr>
            <w:r w:rsidRPr="00EA1BB2">
              <w:rPr>
                <w:rFonts w:ascii="Cambria" w:eastAsia="Calibri" w:hAnsi="Cambria"/>
                <w:sz w:val="24"/>
                <w:szCs w:val="24"/>
                <w:lang w:val="ro-RO"/>
              </w:rPr>
              <w:t>Păcură*</w:t>
            </w:r>
          </w:p>
        </w:tc>
        <w:tc>
          <w:tcPr>
            <w:tcW w:w="3402" w:type="dxa"/>
            <w:vMerge/>
            <w:vAlign w:val="center"/>
          </w:tcPr>
          <w:p w14:paraId="081F85AA" w14:textId="77777777" w:rsidR="00420C56" w:rsidRPr="00EA1BB2" w:rsidRDefault="00420C56" w:rsidP="0072341A">
            <w:pPr>
              <w:spacing w:line="360" w:lineRule="auto"/>
              <w:jc w:val="center"/>
              <w:rPr>
                <w:rFonts w:ascii="Cambria" w:eastAsia="Calibri" w:hAnsi="Cambria"/>
                <w:sz w:val="24"/>
                <w:szCs w:val="24"/>
                <w:lang w:val="ro-RO"/>
              </w:rPr>
            </w:pPr>
          </w:p>
        </w:tc>
        <w:tc>
          <w:tcPr>
            <w:tcW w:w="298" w:type="dxa"/>
            <w:vMerge/>
            <w:vAlign w:val="center"/>
          </w:tcPr>
          <w:p w14:paraId="3C578820" w14:textId="77777777" w:rsidR="00420C56" w:rsidRPr="00EA1BB2" w:rsidRDefault="00420C56" w:rsidP="0072341A">
            <w:pPr>
              <w:spacing w:line="360" w:lineRule="auto"/>
              <w:jc w:val="center"/>
              <w:rPr>
                <w:rFonts w:ascii="Cambria" w:eastAsia="Calibri" w:hAnsi="Cambria"/>
                <w:sz w:val="24"/>
                <w:szCs w:val="24"/>
                <w:lang w:val="ro-RO"/>
              </w:rPr>
            </w:pPr>
          </w:p>
        </w:tc>
      </w:tr>
    </w:tbl>
    <w:p w14:paraId="05CB8F8E" w14:textId="77777777" w:rsidR="00420C56" w:rsidRPr="00EA1BB2" w:rsidRDefault="00420C56" w:rsidP="00420C56">
      <w:pPr>
        <w:spacing w:line="276" w:lineRule="auto"/>
        <w:rPr>
          <w:rFonts w:ascii="Cambria" w:eastAsia="Calibri" w:hAnsi="Cambria" w:cs="Times New Roman"/>
          <w:szCs w:val="24"/>
        </w:rPr>
      </w:pPr>
      <w:r w:rsidRPr="00EA1BB2">
        <w:rPr>
          <w:rFonts w:ascii="Cambria" w:eastAsia="Calibri" w:hAnsi="Cambria" w:cs="Times New Roman"/>
          <w:szCs w:val="24"/>
        </w:rPr>
        <w:t>*începând cu anul 2016 – acest combustibil va fi utilizat doar în situații de urgență</w:t>
      </w:r>
    </w:p>
    <w:p w14:paraId="6D4EED89" w14:textId="77777777" w:rsidR="00420C56" w:rsidRPr="00EA1BB2" w:rsidRDefault="00420C56" w:rsidP="00420C56">
      <w:pPr>
        <w:spacing w:line="276" w:lineRule="auto"/>
        <w:jc w:val="both"/>
        <w:rPr>
          <w:rFonts w:ascii="Cambria" w:hAnsi="Cambria"/>
          <w:b/>
          <w:iCs/>
          <w:sz w:val="24"/>
          <w:szCs w:val="18"/>
        </w:rPr>
      </w:pPr>
    </w:p>
    <w:p w14:paraId="07FB8E65" w14:textId="77777777" w:rsidR="00F7366C" w:rsidRPr="00EA1BB2" w:rsidRDefault="00F7366C" w:rsidP="00F7366C">
      <w:pPr>
        <w:jc w:val="both"/>
        <w:rPr>
          <w:rFonts w:ascii="Cambria" w:hAnsi="Cambria"/>
        </w:rPr>
      </w:pPr>
    </w:p>
    <w:p w14:paraId="58926247" w14:textId="77777777" w:rsidR="00F7366C" w:rsidRPr="00EA1BB2" w:rsidRDefault="00F7366C" w:rsidP="00F7366C">
      <w:pPr>
        <w:jc w:val="both"/>
        <w:rPr>
          <w:rFonts w:ascii="Cambria" w:hAnsi="Cambria"/>
        </w:rPr>
      </w:pPr>
    </w:p>
    <w:sectPr w:rsidR="00F7366C" w:rsidRPr="00EA1BB2" w:rsidSect="005038F5">
      <w:pgSz w:w="11906" w:h="16838" w:code="9"/>
      <w:pgMar w:top="1134" w:right="1418" w:bottom="1134" w:left="1418" w:header="510" w:footer="45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81546F5" w14:textId="77777777" w:rsidR="009A1372" w:rsidRDefault="009A1372" w:rsidP="00CF551E">
      <w:r>
        <w:separator/>
      </w:r>
    </w:p>
  </w:endnote>
  <w:endnote w:type="continuationSeparator" w:id="0">
    <w:p w14:paraId="12714DDE" w14:textId="77777777" w:rsidR="009A1372" w:rsidRDefault="009A1372" w:rsidP="00CF55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BMFChange">
    <w:altName w:val="Arial"/>
    <w:panose1 w:val="00000000000000000000"/>
    <w:charset w:val="00"/>
    <w:family w:val="swiss"/>
    <w:notTrueType/>
    <w:pitch w:val="default"/>
    <w:sig w:usb0="00000001" w:usb1="00000000" w:usb2="00000000" w:usb3="00000000" w:csb0="00000009" w:csb1="00000000"/>
  </w:font>
  <w:font w:name="Candara">
    <w:panose1 w:val="020E0502030303020204"/>
    <w:charset w:val="00"/>
    <w:family w:val="swiss"/>
    <w:pitch w:val="variable"/>
    <w:sig w:usb0="A00002EF" w:usb1="4000A44B" w:usb2="00000000" w:usb3="00000000" w:csb0="0000019F" w:csb1="00000000"/>
  </w:font>
  <w:font w:name="PT Sans">
    <w:altName w:val="Corbel"/>
    <w:charset w:val="00"/>
    <w:family w:val="swiss"/>
    <w:pitch w:val="variable"/>
    <w:sig w:usb0="00000001" w:usb1="5000204B" w:usb2="00000000" w:usb3="00000000" w:csb0="00000097" w:csb1="00000000"/>
  </w:font>
  <w:font w:name="Century Gothic">
    <w:panose1 w:val="020B0502020202020204"/>
    <w:charset w:val="00"/>
    <w:family w:val="swiss"/>
    <w:pitch w:val="variable"/>
    <w:sig w:usb0="00000287" w:usb1="00000000" w:usb2="00000000" w:usb3="00000000" w:csb0="0000009F" w:csb1="00000000"/>
  </w:font>
  <w:font w:name="AvantGarde Bk BT">
    <w:altName w:val="Century Gothic"/>
    <w:charset w:val="00"/>
    <w:family w:val="swiss"/>
    <w:pitch w:val="variable"/>
    <w:sig w:usb0="00000007" w:usb1="00000000" w:usb2="00000000" w:usb3="00000000" w:csb0="00000011" w:csb1="00000000"/>
  </w:font>
  <w:font w:name="Myriad Pro">
    <w:altName w:val="Arial"/>
    <w:panose1 w:val="00000000000000000000"/>
    <w:charset w:val="00"/>
    <w:family w:val="swiss"/>
    <w:notTrueType/>
    <w:pitch w:val="variable"/>
    <w:sig w:usb0="00000001" w:usb1="00000001" w:usb2="00000000" w:usb3="00000000" w:csb0="0000019F" w:csb1="00000000"/>
  </w:font>
  <w:font w:name="Franklin Gothic Book">
    <w:panose1 w:val="020B05030201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Wingdings 3">
    <w:panose1 w:val="050401020108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jc w:val="center"/>
      <w:tblCellMar>
        <w:top w:w="144" w:type="dxa"/>
        <w:left w:w="115" w:type="dxa"/>
        <w:bottom w:w="144" w:type="dxa"/>
        <w:right w:w="115" w:type="dxa"/>
      </w:tblCellMar>
      <w:tblLook w:val="04A0" w:firstRow="1" w:lastRow="0" w:firstColumn="1" w:lastColumn="0" w:noHBand="0" w:noVBand="1"/>
    </w:tblPr>
    <w:tblGrid>
      <w:gridCol w:w="4652"/>
      <w:gridCol w:w="4648"/>
    </w:tblGrid>
    <w:tr w:rsidR="00567555" w14:paraId="374D2BE9" w14:textId="77777777" w:rsidTr="007F3CDB">
      <w:trPr>
        <w:trHeight w:hRule="exact" w:val="115"/>
        <w:jc w:val="center"/>
      </w:trPr>
      <w:tc>
        <w:tcPr>
          <w:tcW w:w="4686" w:type="dxa"/>
          <w:shd w:val="clear" w:color="auto" w:fill="5B9BD5" w:themeFill="accent1"/>
          <w:tcMar>
            <w:top w:w="0" w:type="dxa"/>
            <w:bottom w:w="0" w:type="dxa"/>
          </w:tcMar>
        </w:tcPr>
        <w:p w14:paraId="63FB6A77" w14:textId="77777777" w:rsidR="00567555" w:rsidRDefault="00567555" w:rsidP="007F3CDB">
          <w:pPr>
            <w:pStyle w:val="Header"/>
            <w:rPr>
              <w:caps/>
              <w:sz w:val="18"/>
            </w:rPr>
          </w:pPr>
        </w:p>
      </w:tc>
      <w:tc>
        <w:tcPr>
          <w:tcW w:w="4674" w:type="dxa"/>
          <w:shd w:val="clear" w:color="auto" w:fill="5B9BD5" w:themeFill="accent1"/>
          <w:tcMar>
            <w:top w:w="0" w:type="dxa"/>
            <w:bottom w:w="0" w:type="dxa"/>
          </w:tcMar>
        </w:tcPr>
        <w:p w14:paraId="3F303424" w14:textId="77777777" w:rsidR="00567555" w:rsidRDefault="00567555" w:rsidP="007F3CDB">
          <w:pPr>
            <w:pStyle w:val="Header"/>
            <w:jc w:val="right"/>
            <w:rPr>
              <w:caps/>
              <w:sz w:val="18"/>
            </w:rPr>
          </w:pPr>
        </w:p>
      </w:tc>
    </w:tr>
    <w:tr w:rsidR="00567555" w14:paraId="056D1A87" w14:textId="77777777" w:rsidTr="007F3CDB">
      <w:trPr>
        <w:jc w:val="center"/>
      </w:trPr>
      <w:tc>
        <w:tcPr>
          <w:tcW w:w="4686" w:type="dxa"/>
          <w:shd w:val="clear" w:color="auto" w:fill="auto"/>
          <w:vAlign w:val="center"/>
        </w:tcPr>
        <w:p w14:paraId="269A5387" w14:textId="77777777" w:rsidR="00567555" w:rsidRDefault="00567555" w:rsidP="007F3CDB">
          <w:pPr>
            <w:pStyle w:val="Footer"/>
            <w:rPr>
              <w:caps/>
              <w:color w:val="808080" w:themeColor="background1" w:themeShade="80"/>
              <w:sz w:val="18"/>
              <w:szCs w:val="18"/>
            </w:rPr>
          </w:pPr>
        </w:p>
      </w:tc>
      <w:tc>
        <w:tcPr>
          <w:tcW w:w="4674" w:type="dxa"/>
          <w:shd w:val="clear" w:color="auto" w:fill="auto"/>
          <w:vAlign w:val="center"/>
        </w:tcPr>
        <w:p w14:paraId="09831945" w14:textId="630F0DE2" w:rsidR="00567555" w:rsidRPr="00B7493D" w:rsidRDefault="00567555" w:rsidP="007F3CDB">
          <w:pPr>
            <w:pStyle w:val="Footer"/>
            <w:jc w:val="right"/>
            <w:rPr>
              <w:rFonts w:ascii="Cambria" w:hAnsi="Cambria"/>
              <w:caps/>
              <w:color w:val="808080" w:themeColor="background1" w:themeShade="80"/>
              <w:sz w:val="18"/>
              <w:szCs w:val="18"/>
            </w:rPr>
          </w:pPr>
          <w:r w:rsidRPr="00B7493D">
            <w:rPr>
              <w:rFonts w:ascii="Cambria" w:eastAsia="Calibri" w:hAnsi="Cambria" w:cs="Times New Roman"/>
              <w:noProof/>
              <w:spacing w:val="60"/>
              <w:sz w:val="24"/>
              <w:szCs w:val="24"/>
              <w:lang w:val="ro-RO"/>
            </w:rPr>
            <w:t>Pagina</w:t>
          </w:r>
          <w:r w:rsidRPr="00B7493D">
            <w:rPr>
              <w:rFonts w:ascii="Cambria" w:eastAsia="Calibri" w:hAnsi="Cambria" w:cs="Times New Roman"/>
              <w:b/>
              <w:noProof/>
              <w:sz w:val="24"/>
              <w:szCs w:val="24"/>
              <w:lang w:val="ro-RO"/>
            </w:rPr>
            <w:fldChar w:fldCharType="begin"/>
          </w:r>
          <w:r w:rsidRPr="00B7493D">
            <w:rPr>
              <w:rFonts w:ascii="Cambria" w:eastAsia="Calibri" w:hAnsi="Cambria" w:cs="Times New Roman"/>
              <w:b/>
              <w:noProof/>
              <w:sz w:val="24"/>
              <w:szCs w:val="24"/>
              <w:lang w:val="ro-RO"/>
            </w:rPr>
            <w:instrText xml:space="preserve"> PAGE   \* MERGEFORMAT </w:instrText>
          </w:r>
          <w:r w:rsidRPr="00B7493D">
            <w:rPr>
              <w:rFonts w:ascii="Cambria" w:eastAsia="Calibri" w:hAnsi="Cambria" w:cs="Times New Roman"/>
              <w:b/>
              <w:noProof/>
              <w:sz w:val="24"/>
              <w:szCs w:val="24"/>
              <w:lang w:val="ro-RO"/>
            </w:rPr>
            <w:fldChar w:fldCharType="separate"/>
          </w:r>
          <w:r w:rsidR="0051310E">
            <w:rPr>
              <w:rFonts w:ascii="Cambria" w:eastAsia="Calibri" w:hAnsi="Cambria" w:cs="Times New Roman"/>
              <w:b/>
              <w:noProof/>
              <w:sz w:val="24"/>
              <w:szCs w:val="24"/>
              <w:lang w:val="ro-RO"/>
            </w:rPr>
            <w:t>17</w:t>
          </w:r>
          <w:r w:rsidRPr="00B7493D">
            <w:rPr>
              <w:rFonts w:ascii="Cambria" w:eastAsia="Calibri" w:hAnsi="Cambria" w:cs="Times New Roman"/>
              <w:b/>
              <w:noProof/>
              <w:sz w:val="24"/>
              <w:szCs w:val="24"/>
              <w:lang w:val="ro-RO"/>
            </w:rPr>
            <w:fldChar w:fldCharType="end"/>
          </w:r>
          <w:r w:rsidRPr="00B7493D">
            <w:rPr>
              <w:rFonts w:ascii="Cambria" w:eastAsia="Calibri" w:hAnsi="Cambria" w:cs="Times New Roman"/>
              <w:b/>
              <w:i/>
              <w:noProof/>
              <w:sz w:val="24"/>
              <w:szCs w:val="24"/>
              <w:lang w:val="ro-RO"/>
            </w:rPr>
            <w:t>|</w:t>
          </w:r>
          <w:r w:rsidR="009A1372">
            <w:rPr>
              <w:rFonts w:ascii="Cambria" w:eastAsia="Calibri" w:hAnsi="Cambria" w:cs="Times New Roman"/>
              <w:b/>
              <w:noProof/>
              <w:sz w:val="24"/>
              <w:szCs w:val="24"/>
              <w:lang w:val="ro-RO"/>
            </w:rPr>
            <w:fldChar w:fldCharType="begin"/>
          </w:r>
          <w:r w:rsidR="009A1372">
            <w:rPr>
              <w:rFonts w:ascii="Cambria" w:eastAsia="Calibri" w:hAnsi="Cambria" w:cs="Times New Roman"/>
              <w:b/>
              <w:noProof/>
              <w:sz w:val="24"/>
              <w:szCs w:val="24"/>
              <w:lang w:val="ro-RO"/>
            </w:rPr>
            <w:instrText xml:space="preserve"> NUMPAGES  \* Arabic  \* MERGEFORMAT </w:instrText>
          </w:r>
          <w:r w:rsidR="009A1372">
            <w:rPr>
              <w:rFonts w:ascii="Cambria" w:eastAsia="Calibri" w:hAnsi="Cambria" w:cs="Times New Roman"/>
              <w:b/>
              <w:noProof/>
              <w:sz w:val="24"/>
              <w:szCs w:val="24"/>
              <w:lang w:val="ro-RO"/>
            </w:rPr>
            <w:fldChar w:fldCharType="separate"/>
          </w:r>
          <w:r w:rsidR="0051310E" w:rsidRPr="0051310E">
            <w:rPr>
              <w:rFonts w:ascii="Cambria" w:eastAsia="Calibri" w:hAnsi="Cambria" w:cs="Times New Roman"/>
              <w:b/>
              <w:noProof/>
              <w:sz w:val="24"/>
              <w:szCs w:val="24"/>
              <w:lang w:val="ro-RO"/>
            </w:rPr>
            <w:t>192</w:t>
          </w:r>
          <w:r w:rsidR="009A1372">
            <w:rPr>
              <w:rFonts w:ascii="Cambria" w:eastAsia="Calibri" w:hAnsi="Cambria" w:cs="Times New Roman"/>
              <w:b/>
              <w:noProof/>
              <w:sz w:val="24"/>
              <w:szCs w:val="24"/>
              <w:lang w:val="ro-RO"/>
            </w:rPr>
            <w:fldChar w:fldCharType="end"/>
          </w:r>
        </w:p>
      </w:tc>
    </w:tr>
  </w:tbl>
  <w:p w14:paraId="459F51D5" w14:textId="77777777" w:rsidR="00567555" w:rsidRPr="00220A42" w:rsidRDefault="00567555">
    <w:pPr>
      <w:pStyle w:val="Footer"/>
      <w:rPr>
        <w:sz w:val="8"/>
      </w:rPr>
    </w:pPr>
  </w:p>
  <w:p w14:paraId="0C133957" w14:textId="77777777" w:rsidR="00567555" w:rsidRPr="00FA3294" w:rsidRDefault="00567555">
    <w:pPr>
      <w:rPr>
        <w:sz w:val="1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jc w:val="center"/>
      <w:tblCellMar>
        <w:top w:w="144" w:type="dxa"/>
        <w:left w:w="115" w:type="dxa"/>
        <w:bottom w:w="144" w:type="dxa"/>
        <w:right w:w="115" w:type="dxa"/>
      </w:tblCellMar>
      <w:tblLook w:val="04A0" w:firstRow="1" w:lastRow="0" w:firstColumn="1" w:lastColumn="0" w:noHBand="0" w:noVBand="1"/>
    </w:tblPr>
    <w:tblGrid>
      <w:gridCol w:w="4652"/>
      <w:gridCol w:w="4648"/>
    </w:tblGrid>
    <w:tr w:rsidR="00567555" w14:paraId="0939D118" w14:textId="77777777" w:rsidTr="007F3CDB">
      <w:trPr>
        <w:trHeight w:hRule="exact" w:val="115"/>
        <w:jc w:val="center"/>
      </w:trPr>
      <w:tc>
        <w:tcPr>
          <w:tcW w:w="4686" w:type="dxa"/>
          <w:shd w:val="clear" w:color="auto" w:fill="5B9BD5" w:themeFill="accent1"/>
          <w:tcMar>
            <w:top w:w="0" w:type="dxa"/>
            <w:bottom w:w="0" w:type="dxa"/>
          </w:tcMar>
        </w:tcPr>
        <w:p w14:paraId="75F277BF" w14:textId="77777777" w:rsidR="00567555" w:rsidRDefault="00567555" w:rsidP="007F3CDB">
          <w:pPr>
            <w:pStyle w:val="Header"/>
            <w:rPr>
              <w:caps/>
              <w:sz w:val="18"/>
            </w:rPr>
          </w:pPr>
        </w:p>
      </w:tc>
      <w:tc>
        <w:tcPr>
          <w:tcW w:w="4674" w:type="dxa"/>
          <w:shd w:val="clear" w:color="auto" w:fill="5B9BD5" w:themeFill="accent1"/>
          <w:tcMar>
            <w:top w:w="0" w:type="dxa"/>
            <w:bottom w:w="0" w:type="dxa"/>
          </w:tcMar>
        </w:tcPr>
        <w:p w14:paraId="71E8C0D0" w14:textId="77777777" w:rsidR="00567555" w:rsidRDefault="00567555" w:rsidP="007F3CDB">
          <w:pPr>
            <w:pStyle w:val="Header"/>
            <w:jc w:val="right"/>
            <w:rPr>
              <w:caps/>
              <w:sz w:val="18"/>
            </w:rPr>
          </w:pPr>
        </w:p>
      </w:tc>
    </w:tr>
    <w:tr w:rsidR="00567555" w14:paraId="1F32D823" w14:textId="77777777" w:rsidTr="007F3CDB">
      <w:trPr>
        <w:jc w:val="center"/>
      </w:trPr>
      <w:tc>
        <w:tcPr>
          <w:tcW w:w="4686" w:type="dxa"/>
          <w:shd w:val="clear" w:color="auto" w:fill="auto"/>
          <w:vAlign w:val="center"/>
        </w:tcPr>
        <w:p w14:paraId="0A173DFE" w14:textId="77777777" w:rsidR="00567555" w:rsidRDefault="00567555" w:rsidP="007F3CDB">
          <w:pPr>
            <w:pStyle w:val="Footer"/>
            <w:rPr>
              <w:caps/>
              <w:color w:val="808080" w:themeColor="background1" w:themeShade="80"/>
              <w:sz w:val="18"/>
              <w:szCs w:val="18"/>
            </w:rPr>
          </w:pPr>
        </w:p>
      </w:tc>
      <w:tc>
        <w:tcPr>
          <w:tcW w:w="4674" w:type="dxa"/>
          <w:shd w:val="clear" w:color="auto" w:fill="auto"/>
          <w:vAlign w:val="center"/>
        </w:tcPr>
        <w:p w14:paraId="38B1FC8F" w14:textId="60A9B73A" w:rsidR="00567555" w:rsidRPr="00B7493D" w:rsidRDefault="00567555" w:rsidP="007F3CDB">
          <w:pPr>
            <w:pStyle w:val="Footer"/>
            <w:jc w:val="right"/>
            <w:rPr>
              <w:rFonts w:ascii="Cambria" w:hAnsi="Cambria"/>
              <w:caps/>
              <w:color w:val="808080" w:themeColor="background1" w:themeShade="80"/>
              <w:sz w:val="18"/>
              <w:szCs w:val="18"/>
            </w:rPr>
          </w:pPr>
          <w:r w:rsidRPr="00B7493D">
            <w:rPr>
              <w:rFonts w:ascii="Cambria" w:eastAsia="Calibri" w:hAnsi="Cambria" w:cs="Times New Roman"/>
              <w:noProof/>
              <w:spacing w:val="60"/>
              <w:sz w:val="24"/>
              <w:szCs w:val="24"/>
              <w:lang w:val="ro-RO"/>
            </w:rPr>
            <w:t>Pagina</w:t>
          </w:r>
          <w:r w:rsidRPr="00B7493D">
            <w:rPr>
              <w:rFonts w:ascii="Cambria" w:eastAsia="Calibri" w:hAnsi="Cambria" w:cs="Times New Roman"/>
              <w:b/>
              <w:noProof/>
              <w:sz w:val="24"/>
              <w:szCs w:val="24"/>
              <w:lang w:val="ro-RO"/>
            </w:rPr>
            <w:fldChar w:fldCharType="begin"/>
          </w:r>
          <w:r w:rsidRPr="00B7493D">
            <w:rPr>
              <w:rFonts w:ascii="Cambria" w:eastAsia="Calibri" w:hAnsi="Cambria" w:cs="Times New Roman"/>
              <w:b/>
              <w:noProof/>
              <w:sz w:val="24"/>
              <w:szCs w:val="24"/>
              <w:lang w:val="ro-RO"/>
            </w:rPr>
            <w:instrText xml:space="preserve"> PAGE   \* MERGEFORMAT </w:instrText>
          </w:r>
          <w:r w:rsidRPr="00B7493D">
            <w:rPr>
              <w:rFonts w:ascii="Cambria" w:eastAsia="Calibri" w:hAnsi="Cambria" w:cs="Times New Roman"/>
              <w:b/>
              <w:noProof/>
              <w:sz w:val="24"/>
              <w:szCs w:val="24"/>
              <w:lang w:val="ro-RO"/>
            </w:rPr>
            <w:fldChar w:fldCharType="separate"/>
          </w:r>
          <w:r w:rsidR="0051310E">
            <w:rPr>
              <w:rFonts w:ascii="Cambria" w:eastAsia="Calibri" w:hAnsi="Cambria" w:cs="Times New Roman"/>
              <w:b/>
              <w:noProof/>
              <w:sz w:val="24"/>
              <w:szCs w:val="24"/>
              <w:lang w:val="ro-RO"/>
            </w:rPr>
            <w:t>80</w:t>
          </w:r>
          <w:r w:rsidRPr="00B7493D">
            <w:rPr>
              <w:rFonts w:ascii="Cambria" w:eastAsia="Calibri" w:hAnsi="Cambria" w:cs="Times New Roman"/>
              <w:b/>
              <w:noProof/>
              <w:sz w:val="24"/>
              <w:szCs w:val="24"/>
              <w:lang w:val="ro-RO"/>
            </w:rPr>
            <w:fldChar w:fldCharType="end"/>
          </w:r>
          <w:r w:rsidRPr="00B7493D">
            <w:rPr>
              <w:rFonts w:ascii="Cambria" w:eastAsia="Calibri" w:hAnsi="Cambria" w:cs="Times New Roman"/>
              <w:b/>
              <w:i/>
              <w:noProof/>
              <w:sz w:val="24"/>
              <w:szCs w:val="24"/>
              <w:lang w:val="ro-RO"/>
            </w:rPr>
            <w:t>|</w:t>
          </w:r>
          <w:r w:rsidR="009A1372">
            <w:rPr>
              <w:rFonts w:ascii="Cambria" w:eastAsia="Calibri" w:hAnsi="Cambria" w:cs="Times New Roman"/>
              <w:b/>
              <w:noProof/>
              <w:sz w:val="24"/>
              <w:szCs w:val="24"/>
              <w:lang w:val="ro-RO"/>
            </w:rPr>
            <w:fldChar w:fldCharType="begin"/>
          </w:r>
          <w:r w:rsidR="009A1372">
            <w:rPr>
              <w:rFonts w:ascii="Cambria" w:eastAsia="Calibri" w:hAnsi="Cambria" w:cs="Times New Roman"/>
              <w:b/>
              <w:noProof/>
              <w:sz w:val="24"/>
              <w:szCs w:val="24"/>
              <w:lang w:val="ro-RO"/>
            </w:rPr>
            <w:instrText xml:space="preserve"> NUMPAGES  \* Arabic  \* MERGEFORMAT </w:instrText>
          </w:r>
          <w:r w:rsidR="009A1372">
            <w:rPr>
              <w:rFonts w:ascii="Cambria" w:eastAsia="Calibri" w:hAnsi="Cambria" w:cs="Times New Roman"/>
              <w:b/>
              <w:noProof/>
              <w:sz w:val="24"/>
              <w:szCs w:val="24"/>
              <w:lang w:val="ro-RO"/>
            </w:rPr>
            <w:fldChar w:fldCharType="separate"/>
          </w:r>
          <w:r w:rsidR="0051310E" w:rsidRPr="0051310E">
            <w:rPr>
              <w:rFonts w:ascii="Cambria" w:eastAsia="Calibri" w:hAnsi="Cambria" w:cs="Times New Roman"/>
              <w:b/>
              <w:noProof/>
              <w:sz w:val="24"/>
              <w:szCs w:val="24"/>
              <w:lang w:val="ro-RO"/>
            </w:rPr>
            <w:t>192</w:t>
          </w:r>
          <w:r w:rsidR="009A1372">
            <w:rPr>
              <w:rFonts w:ascii="Cambria" w:eastAsia="Calibri" w:hAnsi="Cambria" w:cs="Times New Roman"/>
              <w:b/>
              <w:noProof/>
              <w:sz w:val="24"/>
              <w:szCs w:val="24"/>
              <w:lang w:val="ro-RO"/>
            </w:rPr>
            <w:fldChar w:fldCharType="end"/>
          </w:r>
        </w:p>
      </w:tc>
    </w:tr>
  </w:tbl>
  <w:p w14:paraId="7C9A768D" w14:textId="77777777" w:rsidR="00567555" w:rsidRPr="00220A42" w:rsidRDefault="00567555">
    <w:pPr>
      <w:pStyle w:val="Footer"/>
      <w:rPr>
        <w:sz w:val="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jc w:val="center"/>
      <w:tblCellMar>
        <w:top w:w="57" w:type="dxa"/>
        <w:left w:w="115" w:type="dxa"/>
        <w:bottom w:w="144" w:type="dxa"/>
        <w:right w:w="115" w:type="dxa"/>
      </w:tblCellMar>
      <w:tblLook w:val="04A0" w:firstRow="1" w:lastRow="0" w:firstColumn="1" w:lastColumn="0" w:noHBand="0" w:noVBand="1"/>
    </w:tblPr>
    <w:tblGrid>
      <w:gridCol w:w="4652"/>
      <w:gridCol w:w="4648"/>
    </w:tblGrid>
    <w:tr w:rsidR="00567555" w14:paraId="1622C989" w14:textId="77777777" w:rsidTr="006455F6">
      <w:trPr>
        <w:trHeight w:hRule="exact" w:val="115"/>
        <w:jc w:val="center"/>
      </w:trPr>
      <w:tc>
        <w:tcPr>
          <w:tcW w:w="4686" w:type="dxa"/>
          <w:shd w:val="clear" w:color="auto" w:fill="5B9BD5" w:themeFill="accent1"/>
          <w:tcMar>
            <w:top w:w="0" w:type="dxa"/>
            <w:bottom w:w="0" w:type="dxa"/>
          </w:tcMar>
        </w:tcPr>
        <w:p w14:paraId="41E68F1B" w14:textId="77777777" w:rsidR="00567555" w:rsidRDefault="00567555" w:rsidP="001F2056">
          <w:pPr>
            <w:pStyle w:val="Header"/>
            <w:rPr>
              <w:caps/>
              <w:sz w:val="18"/>
            </w:rPr>
          </w:pPr>
        </w:p>
      </w:tc>
      <w:tc>
        <w:tcPr>
          <w:tcW w:w="4674" w:type="dxa"/>
          <w:shd w:val="clear" w:color="auto" w:fill="5B9BD5" w:themeFill="accent1"/>
          <w:tcMar>
            <w:top w:w="0" w:type="dxa"/>
            <w:bottom w:w="0" w:type="dxa"/>
          </w:tcMar>
        </w:tcPr>
        <w:p w14:paraId="450CC65D" w14:textId="77777777" w:rsidR="00567555" w:rsidRDefault="00567555" w:rsidP="001F2056">
          <w:pPr>
            <w:pStyle w:val="Header"/>
            <w:jc w:val="right"/>
            <w:rPr>
              <w:caps/>
              <w:sz w:val="18"/>
            </w:rPr>
          </w:pPr>
        </w:p>
      </w:tc>
    </w:tr>
    <w:tr w:rsidR="00567555" w:rsidRPr="0083390D" w14:paraId="516EB230" w14:textId="77777777" w:rsidTr="006455F6">
      <w:trPr>
        <w:trHeight w:val="393"/>
        <w:jc w:val="center"/>
      </w:trPr>
      <w:tc>
        <w:tcPr>
          <w:tcW w:w="4686" w:type="dxa"/>
          <w:shd w:val="clear" w:color="auto" w:fill="auto"/>
        </w:tcPr>
        <w:p w14:paraId="4F9A47E3" w14:textId="77777777" w:rsidR="00567555" w:rsidRDefault="00567555" w:rsidP="001F2056">
          <w:pPr>
            <w:pStyle w:val="Footer"/>
            <w:rPr>
              <w:caps/>
              <w:color w:val="808080" w:themeColor="background1" w:themeShade="80"/>
              <w:sz w:val="18"/>
              <w:szCs w:val="18"/>
            </w:rPr>
          </w:pPr>
        </w:p>
      </w:tc>
      <w:tc>
        <w:tcPr>
          <w:tcW w:w="4674" w:type="dxa"/>
          <w:shd w:val="clear" w:color="auto" w:fill="auto"/>
        </w:tcPr>
        <w:p w14:paraId="6CC4B55D" w14:textId="4FEB0D26" w:rsidR="00567555" w:rsidRPr="0083390D" w:rsidRDefault="00567555" w:rsidP="001F2056">
          <w:pPr>
            <w:pStyle w:val="Footer"/>
            <w:jc w:val="right"/>
            <w:rPr>
              <w:rFonts w:ascii="Cambria" w:hAnsi="Cambria"/>
              <w:caps/>
              <w:color w:val="808080" w:themeColor="background1" w:themeShade="80"/>
              <w:sz w:val="18"/>
              <w:szCs w:val="18"/>
            </w:rPr>
          </w:pPr>
          <w:r w:rsidRPr="0083390D">
            <w:rPr>
              <w:rFonts w:ascii="Cambria" w:eastAsia="Calibri" w:hAnsi="Cambria" w:cs="Times New Roman"/>
              <w:noProof/>
              <w:spacing w:val="60"/>
              <w:sz w:val="24"/>
              <w:szCs w:val="24"/>
              <w:lang w:val="ro-RO"/>
            </w:rPr>
            <w:t>Pagina</w:t>
          </w:r>
          <w:r w:rsidRPr="0083390D">
            <w:rPr>
              <w:rFonts w:ascii="Cambria" w:eastAsia="Calibri" w:hAnsi="Cambria" w:cs="Times New Roman"/>
              <w:b/>
              <w:noProof/>
              <w:sz w:val="24"/>
              <w:szCs w:val="24"/>
              <w:lang w:val="ro-RO"/>
            </w:rPr>
            <w:fldChar w:fldCharType="begin"/>
          </w:r>
          <w:r w:rsidRPr="0083390D">
            <w:rPr>
              <w:rFonts w:ascii="Cambria" w:eastAsia="Calibri" w:hAnsi="Cambria" w:cs="Times New Roman"/>
              <w:b/>
              <w:noProof/>
              <w:sz w:val="24"/>
              <w:szCs w:val="24"/>
              <w:lang w:val="ro-RO"/>
            </w:rPr>
            <w:instrText xml:space="preserve"> PAGE   \* MERGEFORMAT </w:instrText>
          </w:r>
          <w:r w:rsidRPr="0083390D">
            <w:rPr>
              <w:rFonts w:ascii="Cambria" w:eastAsia="Calibri" w:hAnsi="Cambria" w:cs="Times New Roman"/>
              <w:b/>
              <w:noProof/>
              <w:sz w:val="24"/>
              <w:szCs w:val="24"/>
              <w:lang w:val="ro-RO"/>
            </w:rPr>
            <w:fldChar w:fldCharType="separate"/>
          </w:r>
          <w:r w:rsidR="0051310E">
            <w:rPr>
              <w:rFonts w:ascii="Cambria" w:eastAsia="Calibri" w:hAnsi="Cambria" w:cs="Times New Roman"/>
              <w:b/>
              <w:noProof/>
              <w:sz w:val="24"/>
              <w:szCs w:val="24"/>
              <w:lang w:val="ro-RO"/>
            </w:rPr>
            <w:t>85</w:t>
          </w:r>
          <w:r w:rsidRPr="0083390D">
            <w:rPr>
              <w:rFonts w:ascii="Cambria" w:eastAsia="Calibri" w:hAnsi="Cambria" w:cs="Times New Roman"/>
              <w:b/>
              <w:noProof/>
              <w:sz w:val="24"/>
              <w:szCs w:val="24"/>
              <w:lang w:val="ro-RO"/>
            </w:rPr>
            <w:fldChar w:fldCharType="end"/>
          </w:r>
          <w:r w:rsidRPr="0083390D">
            <w:rPr>
              <w:rFonts w:ascii="Cambria" w:eastAsia="Calibri" w:hAnsi="Cambria" w:cs="Times New Roman"/>
              <w:b/>
              <w:i/>
              <w:noProof/>
              <w:sz w:val="24"/>
              <w:szCs w:val="24"/>
              <w:lang w:val="ro-RO"/>
            </w:rPr>
            <w:t>|</w:t>
          </w:r>
          <w:r w:rsidR="009A1372">
            <w:rPr>
              <w:rFonts w:ascii="Cambria" w:eastAsia="Calibri" w:hAnsi="Cambria" w:cs="Times New Roman"/>
              <w:b/>
              <w:noProof/>
              <w:sz w:val="24"/>
              <w:szCs w:val="24"/>
              <w:lang w:val="ro-RO"/>
            </w:rPr>
            <w:fldChar w:fldCharType="begin"/>
          </w:r>
          <w:r w:rsidR="009A1372">
            <w:rPr>
              <w:rFonts w:ascii="Cambria" w:eastAsia="Calibri" w:hAnsi="Cambria" w:cs="Times New Roman"/>
              <w:b/>
              <w:noProof/>
              <w:sz w:val="24"/>
              <w:szCs w:val="24"/>
              <w:lang w:val="ro-RO"/>
            </w:rPr>
            <w:instrText xml:space="preserve"> NUMPAGES  \* Arabic  \* MERGEFORMAT </w:instrText>
          </w:r>
          <w:r w:rsidR="009A1372">
            <w:rPr>
              <w:rFonts w:ascii="Cambria" w:eastAsia="Calibri" w:hAnsi="Cambria" w:cs="Times New Roman"/>
              <w:b/>
              <w:noProof/>
              <w:sz w:val="24"/>
              <w:szCs w:val="24"/>
              <w:lang w:val="ro-RO"/>
            </w:rPr>
            <w:fldChar w:fldCharType="separate"/>
          </w:r>
          <w:r w:rsidR="0051310E" w:rsidRPr="0051310E">
            <w:rPr>
              <w:rFonts w:ascii="Cambria" w:eastAsia="Calibri" w:hAnsi="Cambria" w:cs="Times New Roman"/>
              <w:b/>
              <w:noProof/>
              <w:sz w:val="24"/>
              <w:szCs w:val="24"/>
              <w:lang w:val="ro-RO"/>
            </w:rPr>
            <w:t>192</w:t>
          </w:r>
          <w:r w:rsidR="009A1372">
            <w:rPr>
              <w:rFonts w:ascii="Cambria" w:eastAsia="Calibri" w:hAnsi="Cambria" w:cs="Times New Roman"/>
              <w:b/>
              <w:noProof/>
              <w:sz w:val="24"/>
              <w:szCs w:val="24"/>
              <w:lang w:val="ro-RO"/>
            </w:rPr>
            <w:fldChar w:fldCharType="end"/>
          </w:r>
        </w:p>
      </w:tc>
    </w:tr>
  </w:tbl>
  <w:p w14:paraId="1EB6A997" w14:textId="77777777" w:rsidR="00567555" w:rsidRPr="00C33981" w:rsidRDefault="00567555">
    <w:pPr>
      <w:rPr>
        <w:sz w:val="1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jc w:val="center"/>
      <w:tblCellMar>
        <w:top w:w="57" w:type="dxa"/>
        <w:left w:w="115" w:type="dxa"/>
        <w:bottom w:w="144" w:type="dxa"/>
        <w:right w:w="115" w:type="dxa"/>
      </w:tblCellMar>
      <w:tblLook w:val="04A0" w:firstRow="1" w:lastRow="0" w:firstColumn="1" w:lastColumn="0" w:noHBand="0" w:noVBand="1"/>
    </w:tblPr>
    <w:tblGrid>
      <w:gridCol w:w="4652"/>
      <w:gridCol w:w="4648"/>
    </w:tblGrid>
    <w:tr w:rsidR="00567555" w14:paraId="3A2DBBED" w14:textId="77777777" w:rsidTr="006455F6">
      <w:trPr>
        <w:trHeight w:hRule="exact" w:val="115"/>
        <w:jc w:val="center"/>
      </w:trPr>
      <w:tc>
        <w:tcPr>
          <w:tcW w:w="4686" w:type="dxa"/>
          <w:shd w:val="clear" w:color="auto" w:fill="5B9BD5" w:themeFill="accent1"/>
          <w:tcMar>
            <w:top w:w="0" w:type="dxa"/>
            <w:bottom w:w="0" w:type="dxa"/>
          </w:tcMar>
        </w:tcPr>
        <w:p w14:paraId="6383CCFF" w14:textId="77777777" w:rsidR="00567555" w:rsidRDefault="00567555" w:rsidP="00C33981">
          <w:pPr>
            <w:pStyle w:val="Header"/>
            <w:rPr>
              <w:caps/>
              <w:sz w:val="18"/>
            </w:rPr>
          </w:pPr>
        </w:p>
      </w:tc>
      <w:tc>
        <w:tcPr>
          <w:tcW w:w="4674" w:type="dxa"/>
          <w:shd w:val="clear" w:color="auto" w:fill="5B9BD5" w:themeFill="accent1"/>
          <w:tcMar>
            <w:top w:w="0" w:type="dxa"/>
            <w:bottom w:w="0" w:type="dxa"/>
          </w:tcMar>
        </w:tcPr>
        <w:p w14:paraId="525C4E1E" w14:textId="77777777" w:rsidR="00567555" w:rsidRDefault="00567555" w:rsidP="00C33981">
          <w:pPr>
            <w:pStyle w:val="Header"/>
            <w:jc w:val="right"/>
            <w:rPr>
              <w:caps/>
              <w:sz w:val="18"/>
            </w:rPr>
          </w:pPr>
        </w:p>
      </w:tc>
    </w:tr>
    <w:tr w:rsidR="00567555" w:rsidRPr="0083390D" w14:paraId="4FD370FA" w14:textId="77777777" w:rsidTr="006455F6">
      <w:trPr>
        <w:trHeight w:val="393"/>
        <w:jc w:val="center"/>
      </w:trPr>
      <w:tc>
        <w:tcPr>
          <w:tcW w:w="4686" w:type="dxa"/>
          <w:shd w:val="clear" w:color="auto" w:fill="auto"/>
        </w:tcPr>
        <w:p w14:paraId="078F4393" w14:textId="77777777" w:rsidR="00567555" w:rsidRDefault="00567555" w:rsidP="00C33981">
          <w:pPr>
            <w:pStyle w:val="Footer"/>
            <w:rPr>
              <w:caps/>
              <w:color w:val="808080" w:themeColor="background1" w:themeShade="80"/>
              <w:sz w:val="18"/>
              <w:szCs w:val="18"/>
            </w:rPr>
          </w:pPr>
        </w:p>
      </w:tc>
      <w:tc>
        <w:tcPr>
          <w:tcW w:w="4674" w:type="dxa"/>
          <w:shd w:val="clear" w:color="auto" w:fill="auto"/>
        </w:tcPr>
        <w:p w14:paraId="1E201507" w14:textId="48D79F09" w:rsidR="00567555" w:rsidRPr="0083390D" w:rsidRDefault="00567555" w:rsidP="00C33981">
          <w:pPr>
            <w:pStyle w:val="Footer"/>
            <w:jc w:val="right"/>
            <w:rPr>
              <w:rFonts w:ascii="Cambria" w:hAnsi="Cambria"/>
              <w:caps/>
              <w:color w:val="808080" w:themeColor="background1" w:themeShade="80"/>
              <w:sz w:val="18"/>
              <w:szCs w:val="18"/>
            </w:rPr>
          </w:pPr>
          <w:r w:rsidRPr="0083390D">
            <w:rPr>
              <w:rFonts w:ascii="Cambria" w:eastAsia="Calibri" w:hAnsi="Cambria" w:cs="Times New Roman"/>
              <w:noProof/>
              <w:spacing w:val="60"/>
              <w:sz w:val="24"/>
              <w:szCs w:val="24"/>
              <w:lang w:val="ro-RO"/>
            </w:rPr>
            <w:t>Pagina</w:t>
          </w:r>
          <w:r w:rsidRPr="0083390D">
            <w:rPr>
              <w:rFonts w:ascii="Cambria" w:eastAsia="Calibri" w:hAnsi="Cambria" w:cs="Times New Roman"/>
              <w:b/>
              <w:noProof/>
              <w:sz w:val="24"/>
              <w:szCs w:val="24"/>
              <w:lang w:val="ro-RO"/>
            </w:rPr>
            <w:fldChar w:fldCharType="begin"/>
          </w:r>
          <w:r w:rsidRPr="0083390D">
            <w:rPr>
              <w:rFonts w:ascii="Cambria" w:eastAsia="Calibri" w:hAnsi="Cambria" w:cs="Times New Roman"/>
              <w:b/>
              <w:noProof/>
              <w:sz w:val="24"/>
              <w:szCs w:val="24"/>
              <w:lang w:val="ro-RO"/>
            </w:rPr>
            <w:instrText xml:space="preserve"> PAGE   \* MERGEFORMAT </w:instrText>
          </w:r>
          <w:r w:rsidRPr="0083390D">
            <w:rPr>
              <w:rFonts w:ascii="Cambria" w:eastAsia="Calibri" w:hAnsi="Cambria" w:cs="Times New Roman"/>
              <w:b/>
              <w:noProof/>
              <w:sz w:val="24"/>
              <w:szCs w:val="24"/>
              <w:lang w:val="ro-RO"/>
            </w:rPr>
            <w:fldChar w:fldCharType="separate"/>
          </w:r>
          <w:r w:rsidR="0051310E">
            <w:rPr>
              <w:rFonts w:ascii="Cambria" w:eastAsia="Calibri" w:hAnsi="Cambria" w:cs="Times New Roman"/>
              <w:b/>
              <w:noProof/>
              <w:sz w:val="24"/>
              <w:szCs w:val="24"/>
              <w:lang w:val="ro-RO"/>
            </w:rPr>
            <w:t>86</w:t>
          </w:r>
          <w:r w:rsidRPr="0083390D">
            <w:rPr>
              <w:rFonts w:ascii="Cambria" w:eastAsia="Calibri" w:hAnsi="Cambria" w:cs="Times New Roman"/>
              <w:b/>
              <w:noProof/>
              <w:sz w:val="24"/>
              <w:szCs w:val="24"/>
              <w:lang w:val="ro-RO"/>
            </w:rPr>
            <w:fldChar w:fldCharType="end"/>
          </w:r>
          <w:r w:rsidRPr="0083390D">
            <w:rPr>
              <w:rFonts w:ascii="Cambria" w:eastAsia="Calibri" w:hAnsi="Cambria" w:cs="Times New Roman"/>
              <w:b/>
              <w:i/>
              <w:noProof/>
              <w:sz w:val="24"/>
              <w:szCs w:val="24"/>
              <w:lang w:val="ro-RO"/>
            </w:rPr>
            <w:t>|</w:t>
          </w:r>
          <w:r w:rsidR="009A1372">
            <w:rPr>
              <w:rFonts w:ascii="Cambria" w:eastAsia="Calibri" w:hAnsi="Cambria" w:cs="Times New Roman"/>
              <w:b/>
              <w:noProof/>
              <w:sz w:val="24"/>
              <w:szCs w:val="24"/>
              <w:lang w:val="ro-RO"/>
            </w:rPr>
            <w:fldChar w:fldCharType="begin"/>
          </w:r>
          <w:r w:rsidR="009A1372">
            <w:rPr>
              <w:rFonts w:ascii="Cambria" w:eastAsia="Calibri" w:hAnsi="Cambria" w:cs="Times New Roman"/>
              <w:b/>
              <w:noProof/>
              <w:sz w:val="24"/>
              <w:szCs w:val="24"/>
              <w:lang w:val="ro-RO"/>
            </w:rPr>
            <w:instrText xml:space="preserve"> NUMPAGES  \* Arabic  \* MERGEFORMAT </w:instrText>
          </w:r>
          <w:r w:rsidR="009A1372">
            <w:rPr>
              <w:rFonts w:ascii="Cambria" w:eastAsia="Calibri" w:hAnsi="Cambria" w:cs="Times New Roman"/>
              <w:b/>
              <w:noProof/>
              <w:sz w:val="24"/>
              <w:szCs w:val="24"/>
              <w:lang w:val="ro-RO"/>
            </w:rPr>
            <w:fldChar w:fldCharType="separate"/>
          </w:r>
          <w:r w:rsidR="0051310E" w:rsidRPr="0051310E">
            <w:rPr>
              <w:rFonts w:ascii="Cambria" w:eastAsia="Calibri" w:hAnsi="Cambria" w:cs="Times New Roman"/>
              <w:b/>
              <w:noProof/>
              <w:sz w:val="24"/>
              <w:szCs w:val="24"/>
              <w:lang w:val="ro-RO"/>
            </w:rPr>
            <w:t>192</w:t>
          </w:r>
          <w:r w:rsidR="009A1372">
            <w:rPr>
              <w:rFonts w:ascii="Cambria" w:eastAsia="Calibri" w:hAnsi="Cambria" w:cs="Times New Roman"/>
              <w:b/>
              <w:noProof/>
              <w:sz w:val="24"/>
              <w:szCs w:val="24"/>
              <w:lang w:val="ro-RO"/>
            </w:rPr>
            <w:fldChar w:fldCharType="end"/>
          </w:r>
        </w:p>
      </w:tc>
    </w:tr>
  </w:tbl>
  <w:p w14:paraId="7DA212F0" w14:textId="77777777" w:rsidR="00567555" w:rsidRPr="00C33981" w:rsidRDefault="00567555" w:rsidP="00C33981">
    <w:pPr>
      <w:tabs>
        <w:tab w:val="left" w:pos="1125"/>
        <w:tab w:val="right" w:pos="9027"/>
      </w:tabs>
      <w:rPr>
        <w:sz w:val="1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jc w:val="center"/>
      <w:tblCellMar>
        <w:top w:w="144" w:type="dxa"/>
        <w:left w:w="115" w:type="dxa"/>
        <w:bottom w:w="144" w:type="dxa"/>
        <w:right w:w="115" w:type="dxa"/>
      </w:tblCellMar>
      <w:tblLook w:val="04A0" w:firstRow="1" w:lastRow="0" w:firstColumn="1" w:lastColumn="0" w:noHBand="0" w:noVBand="1"/>
    </w:tblPr>
    <w:tblGrid>
      <w:gridCol w:w="4652"/>
      <w:gridCol w:w="4648"/>
    </w:tblGrid>
    <w:tr w:rsidR="00567555" w14:paraId="01B515CA" w14:textId="77777777" w:rsidTr="007F3CDB">
      <w:trPr>
        <w:trHeight w:hRule="exact" w:val="115"/>
        <w:jc w:val="center"/>
      </w:trPr>
      <w:tc>
        <w:tcPr>
          <w:tcW w:w="4686" w:type="dxa"/>
          <w:shd w:val="clear" w:color="auto" w:fill="5B9BD5" w:themeFill="accent1"/>
          <w:tcMar>
            <w:top w:w="0" w:type="dxa"/>
            <w:bottom w:w="0" w:type="dxa"/>
          </w:tcMar>
        </w:tcPr>
        <w:p w14:paraId="2A485F77" w14:textId="77777777" w:rsidR="00567555" w:rsidRDefault="00567555" w:rsidP="007F3CDB">
          <w:pPr>
            <w:pStyle w:val="Header"/>
            <w:rPr>
              <w:caps/>
              <w:sz w:val="18"/>
            </w:rPr>
          </w:pPr>
        </w:p>
      </w:tc>
      <w:tc>
        <w:tcPr>
          <w:tcW w:w="4674" w:type="dxa"/>
          <w:shd w:val="clear" w:color="auto" w:fill="5B9BD5" w:themeFill="accent1"/>
          <w:tcMar>
            <w:top w:w="0" w:type="dxa"/>
            <w:bottom w:w="0" w:type="dxa"/>
          </w:tcMar>
        </w:tcPr>
        <w:p w14:paraId="35831B24" w14:textId="77777777" w:rsidR="00567555" w:rsidRDefault="00567555" w:rsidP="007F3CDB">
          <w:pPr>
            <w:pStyle w:val="Header"/>
            <w:jc w:val="right"/>
            <w:rPr>
              <w:caps/>
              <w:sz w:val="18"/>
            </w:rPr>
          </w:pPr>
        </w:p>
      </w:tc>
    </w:tr>
    <w:tr w:rsidR="00567555" w14:paraId="2894157C" w14:textId="77777777" w:rsidTr="007F3CDB">
      <w:trPr>
        <w:jc w:val="center"/>
      </w:trPr>
      <w:tc>
        <w:tcPr>
          <w:tcW w:w="4686" w:type="dxa"/>
          <w:shd w:val="clear" w:color="auto" w:fill="auto"/>
          <w:vAlign w:val="center"/>
        </w:tcPr>
        <w:p w14:paraId="1B119477" w14:textId="77777777" w:rsidR="00567555" w:rsidRDefault="00567555" w:rsidP="007F3CDB">
          <w:pPr>
            <w:pStyle w:val="Footer"/>
            <w:rPr>
              <w:caps/>
              <w:color w:val="808080" w:themeColor="background1" w:themeShade="80"/>
              <w:sz w:val="18"/>
              <w:szCs w:val="18"/>
            </w:rPr>
          </w:pPr>
        </w:p>
      </w:tc>
      <w:tc>
        <w:tcPr>
          <w:tcW w:w="4674" w:type="dxa"/>
          <w:shd w:val="clear" w:color="auto" w:fill="auto"/>
          <w:vAlign w:val="center"/>
        </w:tcPr>
        <w:p w14:paraId="0C7967E9" w14:textId="39A716FF" w:rsidR="00567555" w:rsidRPr="00B7493D" w:rsidRDefault="00567555" w:rsidP="007F3CDB">
          <w:pPr>
            <w:pStyle w:val="Footer"/>
            <w:jc w:val="right"/>
            <w:rPr>
              <w:rFonts w:ascii="Cambria" w:hAnsi="Cambria"/>
              <w:caps/>
              <w:color w:val="808080" w:themeColor="background1" w:themeShade="80"/>
              <w:sz w:val="18"/>
              <w:szCs w:val="18"/>
            </w:rPr>
          </w:pPr>
          <w:r w:rsidRPr="00B7493D">
            <w:rPr>
              <w:rFonts w:ascii="Cambria" w:eastAsia="Calibri" w:hAnsi="Cambria" w:cs="Times New Roman"/>
              <w:noProof/>
              <w:spacing w:val="60"/>
              <w:sz w:val="24"/>
              <w:szCs w:val="24"/>
              <w:lang w:val="ro-RO"/>
            </w:rPr>
            <w:t>Pagina</w:t>
          </w:r>
          <w:r w:rsidRPr="00B7493D">
            <w:rPr>
              <w:rFonts w:ascii="Cambria" w:eastAsia="Calibri" w:hAnsi="Cambria" w:cs="Times New Roman"/>
              <w:b/>
              <w:noProof/>
              <w:sz w:val="24"/>
              <w:szCs w:val="24"/>
              <w:lang w:val="ro-RO"/>
            </w:rPr>
            <w:fldChar w:fldCharType="begin"/>
          </w:r>
          <w:r w:rsidRPr="00B7493D">
            <w:rPr>
              <w:rFonts w:ascii="Cambria" w:eastAsia="Calibri" w:hAnsi="Cambria" w:cs="Times New Roman"/>
              <w:b/>
              <w:noProof/>
              <w:sz w:val="24"/>
              <w:szCs w:val="24"/>
              <w:lang w:val="ro-RO"/>
            </w:rPr>
            <w:instrText xml:space="preserve"> PAGE   \* MERGEFORMAT </w:instrText>
          </w:r>
          <w:r w:rsidRPr="00B7493D">
            <w:rPr>
              <w:rFonts w:ascii="Cambria" w:eastAsia="Calibri" w:hAnsi="Cambria" w:cs="Times New Roman"/>
              <w:b/>
              <w:noProof/>
              <w:sz w:val="24"/>
              <w:szCs w:val="24"/>
              <w:lang w:val="ro-RO"/>
            </w:rPr>
            <w:fldChar w:fldCharType="separate"/>
          </w:r>
          <w:r>
            <w:rPr>
              <w:rFonts w:ascii="Cambria" w:eastAsia="Calibri" w:hAnsi="Cambria" w:cs="Times New Roman"/>
              <w:b/>
              <w:noProof/>
              <w:sz w:val="24"/>
              <w:szCs w:val="24"/>
              <w:lang w:val="ro-RO"/>
            </w:rPr>
            <w:t>108</w:t>
          </w:r>
          <w:r w:rsidRPr="00B7493D">
            <w:rPr>
              <w:rFonts w:ascii="Cambria" w:eastAsia="Calibri" w:hAnsi="Cambria" w:cs="Times New Roman"/>
              <w:b/>
              <w:noProof/>
              <w:sz w:val="24"/>
              <w:szCs w:val="24"/>
              <w:lang w:val="ro-RO"/>
            </w:rPr>
            <w:fldChar w:fldCharType="end"/>
          </w:r>
          <w:r w:rsidRPr="00B7493D">
            <w:rPr>
              <w:rFonts w:ascii="Cambria" w:eastAsia="Calibri" w:hAnsi="Cambria" w:cs="Times New Roman"/>
              <w:b/>
              <w:i/>
              <w:noProof/>
              <w:sz w:val="24"/>
              <w:szCs w:val="24"/>
              <w:lang w:val="ro-RO"/>
            </w:rPr>
            <w:t>|</w:t>
          </w:r>
          <w:r w:rsidR="009A1372">
            <w:rPr>
              <w:rFonts w:ascii="Cambria" w:eastAsia="Calibri" w:hAnsi="Cambria" w:cs="Times New Roman"/>
              <w:b/>
              <w:noProof/>
              <w:sz w:val="24"/>
              <w:szCs w:val="24"/>
              <w:lang w:val="ro-RO"/>
            </w:rPr>
            <w:fldChar w:fldCharType="begin"/>
          </w:r>
          <w:r w:rsidR="009A1372">
            <w:rPr>
              <w:rFonts w:ascii="Cambria" w:eastAsia="Calibri" w:hAnsi="Cambria" w:cs="Times New Roman"/>
              <w:b/>
              <w:noProof/>
              <w:sz w:val="24"/>
              <w:szCs w:val="24"/>
              <w:lang w:val="ro-RO"/>
            </w:rPr>
            <w:instrText xml:space="preserve"> NUMPAGES  \* Arabic  \* MERGEFORMAT </w:instrText>
          </w:r>
          <w:r w:rsidR="009A1372">
            <w:rPr>
              <w:rFonts w:ascii="Cambria" w:eastAsia="Calibri" w:hAnsi="Cambria" w:cs="Times New Roman"/>
              <w:b/>
              <w:noProof/>
              <w:sz w:val="24"/>
              <w:szCs w:val="24"/>
              <w:lang w:val="ro-RO"/>
            </w:rPr>
            <w:fldChar w:fldCharType="separate"/>
          </w:r>
          <w:r w:rsidRPr="00567555">
            <w:rPr>
              <w:rFonts w:ascii="Cambria" w:eastAsia="Calibri" w:hAnsi="Cambria" w:cs="Times New Roman"/>
              <w:b/>
              <w:noProof/>
              <w:sz w:val="24"/>
              <w:szCs w:val="24"/>
              <w:lang w:val="ro-RO"/>
            </w:rPr>
            <w:t>192</w:t>
          </w:r>
          <w:r w:rsidR="009A1372">
            <w:rPr>
              <w:rFonts w:ascii="Cambria" w:eastAsia="Calibri" w:hAnsi="Cambria" w:cs="Times New Roman"/>
              <w:b/>
              <w:noProof/>
              <w:sz w:val="24"/>
              <w:szCs w:val="24"/>
              <w:lang w:val="ro-RO"/>
            </w:rPr>
            <w:fldChar w:fldCharType="end"/>
          </w:r>
        </w:p>
      </w:tc>
    </w:tr>
  </w:tbl>
  <w:p w14:paraId="54090698" w14:textId="77777777" w:rsidR="00567555" w:rsidRPr="00220A42" w:rsidRDefault="00567555">
    <w:pPr>
      <w:pStyle w:val="Footer"/>
      <w:rPr>
        <w:sz w:val="8"/>
      </w:rPr>
    </w:pPr>
  </w:p>
  <w:p w14:paraId="794ED92B" w14:textId="77777777" w:rsidR="00567555" w:rsidRPr="00FA3294" w:rsidRDefault="00567555">
    <w:pPr>
      <w:rPr>
        <w:sz w:val="1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24" w:type="pct"/>
      <w:jc w:val="center"/>
      <w:tblCellMar>
        <w:top w:w="144" w:type="dxa"/>
        <w:left w:w="115" w:type="dxa"/>
        <w:bottom w:w="144" w:type="dxa"/>
        <w:right w:w="115" w:type="dxa"/>
      </w:tblCellMar>
      <w:tblLook w:val="04A0" w:firstRow="1" w:lastRow="0" w:firstColumn="1" w:lastColumn="0" w:noHBand="0" w:noVBand="1"/>
    </w:tblPr>
    <w:tblGrid>
      <w:gridCol w:w="4656"/>
      <w:gridCol w:w="4689"/>
    </w:tblGrid>
    <w:tr w:rsidR="00567555" w14:paraId="09ECC03C" w14:textId="77777777" w:rsidTr="005E0E08">
      <w:trPr>
        <w:trHeight w:hRule="exact" w:val="91"/>
        <w:jc w:val="center"/>
      </w:trPr>
      <w:tc>
        <w:tcPr>
          <w:tcW w:w="4519" w:type="dxa"/>
          <w:shd w:val="clear" w:color="auto" w:fill="5B9BD5" w:themeFill="accent1"/>
          <w:tcMar>
            <w:top w:w="0" w:type="dxa"/>
            <w:bottom w:w="0" w:type="dxa"/>
          </w:tcMar>
        </w:tcPr>
        <w:p w14:paraId="5E4CC2E9" w14:textId="77777777" w:rsidR="00567555" w:rsidRDefault="00567555" w:rsidP="005E0E08">
          <w:pPr>
            <w:pStyle w:val="Header"/>
            <w:rPr>
              <w:caps/>
              <w:sz w:val="18"/>
            </w:rPr>
          </w:pPr>
        </w:p>
      </w:tc>
      <w:tc>
        <w:tcPr>
          <w:tcW w:w="4551" w:type="dxa"/>
          <w:shd w:val="clear" w:color="auto" w:fill="5B9BD5" w:themeFill="accent1"/>
          <w:tcMar>
            <w:top w:w="0" w:type="dxa"/>
            <w:bottom w:w="0" w:type="dxa"/>
          </w:tcMar>
        </w:tcPr>
        <w:p w14:paraId="41DE5842" w14:textId="77777777" w:rsidR="00567555" w:rsidRDefault="00567555" w:rsidP="005E0E08">
          <w:pPr>
            <w:pStyle w:val="Header"/>
            <w:jc w:val="right"/>
            <w:rPr>
              <w:caps/>
              <w:sz w:val="18"/>
            </w:rPr>
          </w:pPr>
        </w:p>
      </w:tc>
    </w:tr>
    <w:tr w:rsidR="00567555" w14:paraId="678A9CDD" w14:textId="77777777" w:rsidTr="005E0E08">
      <w:trPr>
        <w:trHeight w:val="215"/>
        <w:jc w:val="center"/>
      </w:trPr>
      <w:tc>
        <w:tcPr>
          <w:tcW w:w="4519" w:type="dxa"/>
          <w:shd w:val="clear" w:color="auto" w:fill="auto"/>
          <w:vAlign w:val="center"/>
        </w:tcPr>
        <w:p w14:paraId="5A97729F" w14:textId="77777777" w:rsidR="00567555" w:rsidRDefault="00567555" w:rsidP="005E0E08">
          <w:pPr>
            <w:pStyle w:val="Footer"/>
            <w:rPr>
              <w:caps/>
              <w:color w:val="808080" w:themeColor="background1" w:themeShade="80"/>
              <w:sz w:val="18"/>
              <w:szCs w:val="18"/>
            </w:rPr>
          </w:pPr>
        </w:p>
      </w:tc>
      <w:tc>
        <w:tcPr>
          <w:tcW w:w="4551" w:type="dxa"/>
          <w:shd w:val="clear" w:color="auto" w:fill="auto"/>
          <w:vAlign w:val="center"/>
        </w:tcPr>
        <w:p w14:paraId="7F1519C5" w14:textId="0C3457B8" w:rsidR="00567555" w:rsidRPr="00B7493D" w:rsidRDefault="00567555" w:rsidP="005E0E08">
          <w:pPr>
            <w:pStyle w:val="Footer"/>
            <w:jc w:val="right"/>
            <w:rPr>
              <w:rFonts w:ascii="Cambria" w:hAnsi="Cambria"/>
              <w:caps/>
              <w:color w:val="808080" w:themeColor="background1" w:themeShade="80"/>
              <w:sz w:val="18"/>
              <w:szCs w:val="18"/>
            </w:rPr>
          </w:pPr>
          <w:r w:rsidRPr="00B7493D">
            <w:rPr>
              <w:rFonts w:ascii="Cambria" w:eastAsia="Calibri" w:hAnsi="Cambria" w:cs="Times New Roman"/>
              <w:noProof/>
              <w:spacing w:val="60"/>
              <w:sz w:val="24"/>
              <w:szCs w:val="24"/>
              <w:lang w:val="ro-RO"/>
            </w:rPr>
            <w:t>Pagina</w:t>
          </w:r>
          <w:r w:rsidRPr="00B7493D">
            <w:rPr>
              <w:rFonts w:ascii="Cambria" w:eastAsia="Calibri" w:hAnsi="Cambria" w:cs="Times New Roman"/>
              <w:b/>
              <w:noProof/>
              <w:sz w:val="24"/>
              <w:szCs w:val="24"/>
              <w:lang w:val="ro-RO"/>
            </w:rPr>
            <w:fldChar w:fldCharType="begin"/>
          </w:r>
          <w:r w:rsidRPr="00B7493D">
            <w:rPr>
              <w:rFonts w:ascii="Cambria" w:eastAsia="Calibri" w:hAnsi="Cambria" w:cs="Times New Roman"/>
              <w:b/>
              <w:noProof/>
              <w:sz w:val="24"/>
              <w:szCs w:val="24"/>
              <w:lang w:val="ro-RO"/>
            </w:rPr>
            <w:instrText xml:space="preserve"> PAGE   \* MERGEFORMAT </w:instrText>
          </w:r>
          <w:r w:rsidRPr="00B7493D">
            <w:rPr>
              <w:rFonts w:ascii="Cambria" w:eastAsia="Calibri" w:hAnsi="Cambria" w:cs="Times New Roman"/>
              <w:b/>
              <w:noProof/>
              <w:sz w:val="24"/>
              <w:szCs w:val="24"/>
              <w:lang w:val="ro-RO"/>
            </w:rPr>
            <w:fldChar w:fldCharType="separate"/>
          </w:r>
          <w:r>
            <w:rPr>
              <w:rFonts w:ascii="Cambria" w:eastAsia="Calibri" w:hAnsi="Cambria" w:cs="Times New Roman"/>
              <w:b/>
              <w:noProof/>
              <w:sz w:val="24"/>
              <w:szCs w:val="24"/>
              <w:lang w:val="ro-RO"/>
            </w:rPr>
            <w:t>111</w:t>
          </w:r>
          <w:r w:rsidRPr="00B7493D">
            <w:rPr>
              <w:rFonts w:ascii="Cambria" w:eastAsia="Calibri" w:hAnsi="Cambria" w:cs="Times New Roman"/>
              <w:b/>
              <w:noProof/>
              <w:sz w:val="24"/>
              <w:szCs w:val="24"/>
              <w:lang w:val="ro-RO"/>
            </w:rPr>
            <w:fldChar w:fldCharType="end"/>
          </w:r>
          <w:r w:rsidRPr="00B7493D">
            <w:rPr>
              <w:rFonts w:ascii="Cambria" w:eastAsia="Calibri" w:hAnsi="Cambria" w:cs="Times New Roman"/>
              <w:b/>
              <w:i/>
              <w:noProof/>
              <w:sz w:val="24"/>
              <w:szCs w:val="24"/>
              <w:lang w:val="ro-RO"/>
            </w:rPr>
            <w:t>|</w:t>
          </w:r>
          <w:r w:rsidR="009A1372">
            <w:rPr>
              <w:rFonts w:ascii="Cambria" w:eastAsia="Calibri" w:hAnsi="Cambria" w:cs="Times New Roman"/>
              <w:b/>
              <w:noProof/>
              <w:sz w:val="24"/>
              <w:szCs w:val="24"/>
              <w:lang w:val="ro-RO"/>
            </w:rPr>
            <w:fldChar w:fldCharType="begin"/>
          </w:r>
          <w:r w:rsidR="009A1372">
            <w:rPr>
              <w:rFonts w:ascii="Cambria" w:eastAsia="Calibri" w:hAnsi="Cambria" w:cs="Times New Roman"/>
              <w:b/>
              <w:noProof/>
              <w:sz w:val="24"/>
              <w:szCs w:val="24"/>
              <w:lang w:val="ro-RO"/>
            </w:rPr>
            <w:instrText xml:space="preserve"> NUMPAGES  \* Arabic  \* MERGEFORMAT </w:instrText>
          </w:r>
          <w:r w:rsidR="009A1372">
            <w:rPr>
              <w:rFonts w:ascii="Cambria" w:eastAsia="Calibri" w:hAnsi="Cambria" w:cs="Times New Roman"/>
              <w:b/>
              <w:noProof/>
              <w:sz w:val="24"/>
              <w:szCs w:val="24"/>
              <w:lang w:val="ro-RO"/>
            </w:rPr>
            <w:fldChar w:fldCharType="separate"/>
          </w:r>
          <w:r w:rsidRPr="00567555">
            <w:rPr>
              <w:rFonts w:ascii="Cambria" w:eastAsia="Calibri" w:hAnsi="Cambria" w:cs="Times New Roman"/>
              <w:b/>
              <w:noProof/>
              <w:sz w:val="24"/>
              <w:szCs w:val="24"/>
              <w:lang w:val="ro-RO"/>
            </w:rPr>
            <w:t>192</w:t>
          </w:r>
          <w:r w:rsidR="009A1372">
            <w:rPr>
              <w:rFonts w:ascii="Cambria" w:eastAsia="Calibri" w:hAnsi="Cambria" w:cs="Times New Roman"/>
              <w:b/>
              <w:noProof/>
              <w:sz w:val="24"/>
              <w:szCs w:val="24"/>
              <w:lang w:val="ro-RO"/>
            </w:rPr>
            <w:fldChar w:fldCharType="end"/>
          </w:r>
        </w:p>
      </w:tc>
    </w:tr>
  </w:tbl>
  <w:p w14:paraId="4BB0C5B1" w14:textId="77777777" w:rsidR="00567555" w:rsidRPr="007F2A98" w:rsidRDefault="00567555" w:rsidP="005E0E08">
    <w:pPr>
      <w:pStyle w:val="Footer"/>
      <w:rPr>
        <w:sz w:val="10"/>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24" w:type="pct"/>
      <w:jc w:val="center"/>
      <w:tblCellMar>
        <w:top w:w="144" w:type="dxa"/>
        <w:left w:w="115" w:type="dxa"/>
        <w:bottom w:w="144" w:type="dxa"/>
        <w:right w:w="115" w:type="dxa"/>
      </w:tblCellMar>
      <w:tblLook w:val="04A0" w:firstRow="1" w:lastRow="0" w:firstColumn="1" w:lastColumn="0" w:noHBand="0" w:noVBand="1"/>
    </w:tblPr>
    <w:tblGrid>
      <w:gridCol w:w="4634"/>
      <w:gridCol w:w="4666"/>
    </w:tblGrid>
    <w:tr w:rsidR="00567555" w14:paraId="1EDB36E4" w14:textId="77777777" w:rsidTr="005E0E08">
      <w:trPr>
        <w:trHeight w:hRule="exact" w:val="91"/>
        <w:jc w:val="center"/>
      </w:trPr>
      <w:tc>
        <w:tcPr>
          <w:tcW w:w="4519" w:type="dxa"/>
          <w:shd w:val="clear" w:color="auto" w:fill="5B9BD5" w:themeFill="accent1"/>
          <w:tcMar>
            <w:top w:w="0" w:type="dxa"/>
            <w:bottom w:w="0" w:type="dxa"/>
          </w:tcMar>
        </w:tcPr>
        <w:p w14:paraId="00BCBEB8" w14:textId="77777777" w:rsidR="00567555" w:rsidRDefault="00567555" w:rsidP="005E0E08">
          <w:pPr>
            <w:pStyle w:val="Header"/>
            <w:rPr>
              <w:caps/>
              <w:sz w:val="18"/>
            </w:rPr>
          </w:pPr>
        </w:p>
      </w:tc>
      <w:tc>
        <w:tcPr>
          <w:tcW w:w="4551" w:type="dxa"/>
          <w:shd w:val="clear" w:color="auto" w:fill="5B9BD5" w:themeFill="accent1"/>
          <w:tcMar>
            <w:top w:w="0" w:type="dxa"/>
            <w:bottom w:w="0" w:type="dxa"/>
          </w:tcMar>
        </w:tcPr>
        <w:p w14:paraId="63ED3A1C" w14:textId="77777777" w:rsidR="00567555" w:rsidRDefault="00567555" w:rsidP="005E0E08">
          <w:pPr>
            <w:pStyle w:val="Header"/>
            <w:jc w:val="right"/>
            <w:rPr>
              <w:caps/>
              <w:sz w:val="18"/>
            </w:rPr>
          </w:pPr>
        </w:p>
      </w:tc>
    </w:tr>
    <w:tr w:rsidR="00567555" w14:paraId="2F6D7640" w14:textId="77777777" w:rsidTr="005E0E08">
      <w:trPr>
        <w:trHeight w:val="215"/>
        <w:jc w:val="center"/>
      </w:trPr>
      <w:tc>
        <w:tcPr>
          <w:tcW w:w="4519" w:type="dxa"/>
          <w:shd w:val="clear" w:color="auto" w:fill="auto"/>
          <w:vAlign w:val="center"/>
        </w:tcPr>
        <w:p w14:paraId="5AD58B4A" w14:textId="77777777" w:rsidR="00567555" w:rsidRDefault="00567555" w:rsidP="005E0E08">
          <w:pPr>
            <w:pStyle w:val="Footer"/>
            <w:rPr>
              <w:caps/>
              <w:color w:val="808080" w:themeColor="background1" w:themeShade="80"/>
              <w:sz w:val="18"/>
              <w:szCs w:val="18"/>
            </w:rPr>
          </w:pPr>
        </w:p>
      </w:tc>
      <w:tc>
        <w:tcPr>
          <w:tcW w:w="4551" w:type="dxa"/>
          <w:shd w:val="clear" w:color="auto" w:fill="auto"/>
          <w:vAlign w:val="center"/>
        </w:tcPr>
        <w:p w14:paraId="4D4D7424" w14:textId="07E8FF9D" w:rsidR="00567555" w:rsidRPr="00B7493D" w:rsidRDefault="00567555" w:rsidP="005E0E08">
          <w:pPr>
            <w:pStyle w:val="Footer"/>
            <w:jc w:val="right"/>
            <w:rPr>
              <w:rFonts w:ascii="Cambria" w:hAnsi="Cambria"/>
              <w:caps/>
              <w:color w:val="808080" w:themeColor="background1" w:themeShade="80"/>
              <w:sz w:val="18"/>
              <w:szCs w:val="18"/>
            </w:rPr>
          </w:pPr>
          <w:r w:rsidRPr="00B7493D">
            <w:rPr>
              <w:rFonts w:ascii="Cambria" w:eastAsia="Calibri" w:hAnsi="Cambria" w:cs="Times New Roman"/>
              <w:noProof/>
              <w:spacing w:val="60"/>
              <w:sz w:val="24"/>
              <w:szCs w:val="24"/>
              <w:lang w:val="ro-RO"/>
            </w:rPr>
            <w:t>Pagina</w:t>
          </w:r>
          <w:r w:rsidRPr="00B7493D">
            <w:rPr>
              <w:rFonts w:ascii="Cambria" w:eastAsia="Calibri" w:hAnsi="Cambria" w:cs="Times New Roman"/>
              <w:b/>
              <w:noProof/>
              <w:sz w:val="24"/>
              <w:szCs w:val="24"/>
              <w:lang w:val="ro-RO"/>
            </w:rPr>
            <w:fldChar w:fldCharType="begin"/>
          </w:r>
          <w:r w:rsidRPr="00B7493D">
            <w:rPr>
              <w:rFonts w:ascii="Cambria" w:eastAsia="Calibri" w:hAnsi="Cambria" w:cs="Times New Roman"/>
              <w:b/>
              <w:noProof/>
              <w:sz w:val="24"/>
              <w:szCs w:val="24"/>
              <w:lang w:val="ro-RO"/>
            </w:rPr>
            <w:instrText xml:space="preserve"> PAGE   \* MERGEFORMAT </w:instrText>
          </w:r>
          <w:r w:rsidRPr="00B7493D">
            <w:rPr>
              <w:rFonts w:ascii="Cambria" w:eastAsia="Calibri" w:hAnsi="Cambria" w:cs="Times New Roman"/>
              <w:b/>
              <w:noProof/>
              <w:sz w:val="24"/>
              <w:szCs w:val="24"/>
              <w:lang w:val="ro-RO"/>
            </w:rPr>
            <w:fldChar w:fldCharType="separate"/>
          </w:r>
          <w:r>
            <w:rPr>
              <w:rFonts w:ascii="Cambria" w:eastAsia="Calibri" w:hAnsi="Cambria" w:cs="Times New Roman"/>
              <w:b/>
              <w:noProof/>
              <w:sz w:val="24"/>
              <w:szCs w:val="24"/>
              <w:lang w:val="ro-RO"/>
            </w:rPr>
            <w:t>134</w:t>
          </w:r>
          <w:r w:rsidRPr="00B7493D">
            <w:rPr>
              <w:rFonts w:ascii="Cambria" w:eastAsia="Calibri" w:hAnsi="Cambria" w:cs="Times New Roman"/>
              <w:b/>
              <w:noProof/>
              <w:sz w:val="24"/>
              <w:szCs w:val="24"/>
              <w:lang w:val="ro-RO"/>
            </w:rPr>
            <w:fldChar w:fldCharType="end"/>
          </w:r>
          <w:r w:rsidRPr="00B7493D">
            <w:rPr>
              <w:rFonts w:ascii="Cambria" w:eastAsia="Calibri" w:hAnsi="Cambria" w:cs="Times New Roman"/>
              <w:b/>
              <w:i/>
              <w:noProof/>
              <w:sz w:val="24"/>
              <w:szCs w:val="24"/>
              <w:lang w:val="ro-RO"/>
            </w:rPr>
            <w:t>|</w:t>
          </w:r>
          <w:r w:rsidR="009A1372">
            <w:rPr>
              <w:rFonts w:ascii="Cambria" w:eastAsia="Calibri" w:hAnsi="Cambria" w:cs="Times New Roman"/>
              <w:b/>
              <w:noProof/>
              <w:sz w:val="24"/>
              <w:szCs w:val="24"/>
              <w:lang w:val="ro-RO"/>
            </w:rPr>
            <w:fldChar w:fldCharType="begin"/>
          </w:r>
          <w:r w:rsidR="009A1372">
            <w:rPr>
              <w:rFonts w:ascii="Cambria" w:eastAsia="Calibri" w:hAnsi="Cambria" w:cs="Times New Roman"/>
              <w:b/>
              <w:noProof/>
              <w:sz w:val="24"/>
              <w:szCs w:val="24"/>
              <w:lang w:val="ro-RO"/>
            </w:rPr>
            <w:instrText xml:space="preserve"> NUMPAGES  \* Arabic  \* MERGEFORMAT </w:instrText>
          </w:r>
          <w:r w:rsidR="009A1372">
            <w:rPr>
              <w:rFonts w:ascii="Cambria" w:eastAsia="Calibri" w:hAnsi="Cambria" w:cs="Times New Roman"/>
              <w:b/>
              <w:noProof/>
              <w:sz w:val="24"/>
              <w:szCs w:val="24"/>
              <w:lang w:val="ro-RO"/>
            </w:rPr>
            <w:fldChar w:fldCharType="separate"/>
          </w:r>
          <w:r w:rsidRPr="00567555">
            <w:rPr>
              <w:rFonts w:ascii="Cambria" w:eastAsia="Calibri" w:hAnsi="Cambria" w:cs="Times New Roman"/>
              <w:b/>
              <w:noProof/>
              <w:sz w:val="24"/>
              <w:szCs w:val="24"/>
              <w:lang w:val="ro-RO"/>
            </w:rPr>
            <w:t>192</w:t>
          </w:r>
          <w:r w:rsidR="009A1372">
            <w:rPr>
              <w:rFonts w:ascii="Cambria" w:eastAsia="Calibri" w:hAnsi="Cambria" w:cs="Times New Roman"/>
              <w:b/>
              <w:noProof/>
              <w:sz w:val="24"/>
              <w:szCs w:val="24"/>
              <w:lang w:val="ro-RO"/>
            </w:rPr>
            <w:fldChar w:fldCharType="end"/>
          </w:r>
        </w:p>
      </w:tc>
    </w:tr>
  </w:tbl>
  <w:p w14:paraId="155E41AE" w14:textId="77777777" w:rsidR="00567555" w:rsidRPr="007F2A98" w:rsidRDefault="00567555" w:rsidP="005E0E08">
    <w:pPr>
      <w:pStyle w:val="Footer"/>
      <w:rPr>
        <w:sz w:val="10"/>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24" w:type="pct"/>
      <w:jc w:val="center"/>
      <w:tblCellMar>
        <w:top w:w="144" w:type="dxa"/>
        <w:left w:w="115" w:type="dxa"/>
        <w:bottom w:w="144" w:type="dxa"/>
        <w:right w:w="115" w:type="dxa"/>
      </w:tblCellMar>
      <w:tblLook w:val="04A0" w:firstRow="1" w:lastRow="0" w:firstColumn="1" w:lastColumn="0" w:noHBand="0" w:noVBand="1"/>
    </w:tblPr>
    <w:tblGrid>
      <w:gridCol w:w="4656"/>
      <w:gridCol w:w="4689"/>
    </w:tblGrid>
    <w:tr w:rsidR="00567555" w14:paraId="2412D491" w14:textId="77777777" w:rsidTr="0068646C">
      <w:trPr>
        <w:trHeight w:hRule="exact" w:val="91"/>
        <w:jc w:val="center"/>
      </w:trPr>
      <w:tc>
        <w:tcPr>
          <w:tcW w:w="4519" w:type="dxa"/>
          <w:shd w:val="clear" w:color="auto" w:fill="5B9BD5" w:themeFill="accent1"/>
          <w:tcMar>
            <w:top w:w="0" w:type="dxa"/>
            <w:bottom w:w="0" w:type="dxa"/>
          </w:tcMar>
        </w:tcPr>
        <w:p w14:paraId="29C90B6A" w14:textId="77777777" w:rsidR="00567555" w:rsidRPr="00E93869" w:rsidRDefault="00567555" w:rsidP="00835836">
          <w:pPr>
            <w:pStyle w:val="Header"/>
            <w:rPr>
              <w:caps/>
              <w:sz w:val="12"/>
            </w:rPr>
          </w:pPr>
        </w:p>
      </w:tc>
      <w:tc>
        <w:tcPr>
          <w:tcW w:w="4551" w:type="dxa"/>
          <w:shd w:val="clear" w:color="auto" w:fill="5B9BD5" w:themeFill="accent1"/>
          <w:tcMar>
            <w:top w:w="0" w:type="dxa"/>
            <w:bottom w:w="0" w:type="dxa"/>
          </w:tcMar>
        </w:tcPr>
        <w:p w14:paraId="20C797AF" w14:textId="77777777" w:rsidR="00567555" w:rsidRDefault="00567555" w:rsidP="00835836">
          <w:pPr>
            <w:pStyle w:val="Header"/>
            <w:jc w:val="right"/>
            <w:rPr>
              <w:caps/>
              <w:sz w:val="18"/>
            </w:rPr>
          </w:pPr>
        </w:p>
      </w:tc>
    </w:tr>
    <w:tr w:rsidR="00567555" w14:paraId="5C549DB7" w14:textId="77777777" w:rsidTr="0068646C">
      <w:trPr>
        <w:trHeight w:val="215"/>
        <w:jc w:val="center"/>
      </w:trPr>
      <w:tc>
        <w:tcPr>
          <w:tcW w:w="4519" w:type="dxa"/>
          <w:shd w:val="clear" w:color="auto" w:fill="auto"/>
          <w:vAlign w:val="center"/>
        </w:tcPr>
        <w:p w14:paraId="017176CD" w14:textId="77777777" w:rsidR="00567555" w:rsidRDefault="00567555" w:rsidP="00835836">
          <w:pPr>
            <w:pStyle w:val="Footer"/>
            <w:rPr>
              <w:caps/>
              <w:color w:val="808080" w:themeColor="background1" w:themeShade="80"/>
              <w:sz w:val="18"/>
              <w:szCs w:val="18"/>
            </w:rPr>
          </w:pPr>
        </w:p>
      </w:tc>
      <w:tc>
        <w:tcPr>
          <w:tcW w:w="4551" w:type="dxa"/>
          <w:shd w:val="clear" w:color="auto" w:fill="auto"/>
          <w:vAlign w:val="center"/>
        </w:tcPr>
        <w:p w14:paraId="78E74BD2" w14:textId="02D2B8DB" w:rsidR="00567555" w:rsidRPr="00B7493D" w:rsidRDefault="00567555" w:rsidP="00835836">
          <w:pPr>
            <w:pStyle w:val="Footer"/>
            <w:jc w:val="right"/>
            <w:rPr>
              <w:rFonts w:ascii="Cambria" w:hAnsi="Cambria"/>
              <w:caps/>
              <w:color w:val="808080" w:themeColor="background1" w:themeShade="80"/>
              <w:sz w:val="18"/>
              <w:szCs w:val="18"/>
            </w:rPr>
          </w:pPr>
          <w:r w:rsidRPr="00B7493D">
            <w:rPr>
              <w:rFonts w:ascii="Cambria" w:eastAsia="Calibri" w:hAnsi="Cambria" w:cs="Times New Roman"/>
              <w:noProof/>
              <w:spacing w:val="60"/>
              <w:sz w:val="24"/>
              <w:szCs w:val="24"/>
              <w:lang w:val="ro-RO"/>
            </w:rPr>
            <w:t>Pagina</w:t>
          </w:r>
          <w:r w:rsidRPr="00B7493D">
            <w:rPr>
              <w:rFonts w:ascii="Cambria" w:eastAsia="Calibri" w:hAnsi="Cambria" w:cs="Times New Roman"/>
              <w:b/>
              <w:noProof/>
              <w:sz w:val="24"/>
              <w:szCs w:val="24"/>
              <w:lang w:val="ro-RO"/>
            </w:rPr>
            <w:fldChar w:fldCharType="begin"/>
          </w:r>
          <w:r w:rsidRPr="00B7493D">
            <w:rPr>
              <w:rFonts w:ascii="Cambria" w:eastAsia="Calibri" w:hAnsi="Cambria" w:cs="Times New Roman"/>
              <w:b/>
              <w:noProof/>
              <w:sz w:val="24"/>
              <w:szCs w:val="24"/>
              <w:lang w:val="ro-RO"/>
            </w:rPr>
            <w:instrText xml:space="preserve"> PAGE   \* MERGEFORMAT </w:instrText>
          </w:r>
          <w:r w:rsidRPr="00B7493D">
            <w:rPr>
              <w:rFonts w:ascii="Cambria" w:eastAsia="Calibri" w:hAnsi="Cambria" w:cs="Times New Roman"/>
              <w:b/>
              <w:noProof/>
              <w:sz w:val="24"/>
              <w:szCs w:val="24"/>
              <w:lang w:val="ro-RO"/>
            </w:rPr>
            <w:fldChar w:fldCharType="separate"/>
          </w:r>
          <w:r>
            <w:rPr>
              <w:rFonts w:ascii="Cambria" w:eastAsia="Calibri" w:hAnsi="Cambria" w:cs="Times New Roman"/>
              <w:b/>
              <w:noProof/>
              <w:sz w:val="24"/>
              <w:szCs w:val="24"/>
              <w:lang w:val="ro-RO"/>
            </w:rPr>
            <w:t>162</w:t>
          </w:r>
          <w:r w:rsidRPr="00B7493D">
            <w:rPr>
              <w:rFonts w:ascii="Cambria" w:eastAsia="Calibri" w:hAnsi="Cambria" w:cs="Times New Roman"/>
              <w:b/>
              <w:noProof/>
              <w:sz w:val="24"/>
              <w:szCs w:val="24"/>
              <w:lang w:val="ro-RO"/>
            </w:rPr>
            <w:fldChar w:fldCharType="end"/>
          </w:r>
          <w:r w:rsidRPr="00B7493D">
            <w:rPr>
              <w:rFonts w:ascii="Cambria" w:eastAsia="Calibri" w:hAnsi="Cambria" w:cs="Times New Roman"/>
              <w:b/>
              <w:i/>
              <w:noProof/>
              <w:sz w:val="24"/>
              <w:szCs w:val="24"/>
              <w:lang w:val="ro-RO"/>
            </w:rPr>
            <w:t>|</w:t>
          </w:r>
          <w:r w:rsidR="009A1372">
            <w:rPr>
              <w:rFonts w:ascii="Cambria" w:eastAsia="Calibri" w:hAnsi="Cambria" w:cs="Times New Roman"/>
              <w:b/>
              <w:noProof/>
              <w:sz w:val="24"/>
              <w:szCs w:val="24"/>
              <w:lang w:val="ro-RO"/>
            </w:rPr>
            <w:fldChar w:fldCharType="begin"/>
          </w:r>
          <w:r w:rsidR="009A1372">
            <w:rPr>
              <w:rFonts w:ascii="Cambria" w:eastAsia="Calibri" w:hAnsi="Cambria" w:cs="Times New Roman"/>
              <w:b/>
              <w:noProof/>
              <w:sz w:val="24"/>
              <w:szCs w:val="24"/>
              <w:lang w:val="ro-RO"/>
            </w:rPr>
            <w:instrText xml:space="preserve"> NUMPAGES  \* Arabic  \* MERGEFORMAT </w:instrText>
          </w:r>
          <w:r w:rsidR="009A1372">
            <w:rPr>
              <w:rFonts w:ascii="Cambria" w:eastAsia="Calibri" w:hAnsi="Cambria" w:cs="Times New Roman"/>
              <w:b/>
              <w:noProof/>
              <w:sz w:val="24"/>
              <w:szCs w:val="24"/>
              <w:lang w:val="ro-RO"/>
            </w:rPr>
            <w:fldChar w:fldCharType="separate"/>
          </w:r>
          <w:r w:rsidRPr="00567555">
            <w:rPr>
              <w:rFonts w:ascii="Cambria" w:eastAsia="Calibri" w:hAnsi="Cambria" w:cs="Times New Roman"/>
              <w:b/>
              <w:noProof/>
              <w:sz w:val="24"/>
              <w:szCs w:val="24"/>
              <w:lang w:val="ro-RO"/>
            </w:rPr>
            <w:t>192</w:t>
          </w:r>
          <w:r w:rsidR="009A1372">
            <w:rPr>
              <w:rFonts w:ascii="Cambria" w:eastAsia="Calibri" w:hAnsi="Cambria" w:cs="Times New Roman"/>
              <w:b/>
              <w:noProof/>
              <w:sz w:val="24"/>
              <w:szCs w:val="24"/>
              <w:lang w:val="ro-RO"/>
            </w:rPr>
            <w:fldChar w:fldCharType="end"/>
          </w:r>
        </w:p>
      </w:tc>
    </w:tr>
  </w:tbl>
  <w:p w14:paraId="3533668C" w14:textId="77777777" w:rsidR="00567555" w:rsidRPr="00E93869" w:rsidRDefault="00567555" w:rsidP="00EC4138">
    <w:pPr>
      <w:tabs>
        <w:tab w:val="left" w:pos="1125"/>
        <w:tab w:val="right" w:pos="9027"/>
      </w:tabs>
      <w:rPr>
        <w:sz w:val="10"/>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24" w:type="pct"/>
      <w:jc w:val="center"/>
      <w:tblCellMar>
        <w:top w:w="144" w:type="dxa"/>
        <w:left w:w="115" w:type="dxa"/>
        <w:bottom w:w="144" w:type="dxa"/>
        <w:right w:w="115" w:type="dxa"/>
      </w:tblCellMar>
      <w:tblLook w:val="04A0" w:firstRow="1" w:lastRow="0" w:firstColumn="1" w:lastColumn="0" w:noHBand="0" w:noVBand="1"/>
    </w:tblPr>
    <w:tblGrid>
      <w:gridCol w:w="4656"/>
      <w:gridCol w:w="4689"/>
    </w:tblGrid>
    <w:tr w:rsidR="00567555" w14:paraId="5BF780C4" w14:textId="77777777" w:rsidTr="005E0E08">
      <w:trPr>
        <w:trHeight w:hRule="exact" w:val="91"/>
        <w:jc w:val="center"/>
      </w:trPr>
      <w:tc>
        <w:tcPr>
          <w:tcW w:w="4519" w:type="dxa"/>
          <w:shd w:val="clear" w:color="auto" w:fill="5B9BD5" w:themeFill="accent1"/>
          <w:tcMar>
            <w:top w:w="0" w:type="dxa"/>
            <w:bottom w:w="0" w:type="dxa"/>
          </w:tcMar>
        </w:tcPr>
        <w:p w14:paraId="11D77160" w14:textId="77777777" w:rsidR="00567555" w:rsidRDefault="00567555" w:rsidP="005E0E08">
          <w:pPr>
            <w:pStyle w:val="Header"/>
            <w:rPr>
              <w:caps/>
              <w:sz w:val="18"/>
            </w:rPr>
          </w:pPr>
        </w:p>
      </w:tc>
      <w:tc>
        <w:tcPr>
          <w:tcW w:w="4551" w:type="dxa"/>
          <w:shd w:val="clear" w:color="auto" w:fill="5B9BD5" w:themeFill="accent1"/>
          <w:tcMar>
            <w:top w:w="0" w:type="dxa"/>
            <w:bottom w:w="0" w:type="dxa"/>
          </w:tcMar>
        </w:tcPr>
        <w:p w14:paraId="1125388F" w14:textId="77777777" w:rsidR="00567555" w:rsidRDefault="00567555" w:rsidP="005E0E08">
          <w:pPr>
            <w:pStyle w:val="Header"/>
            <w:jc w:val="right"/>
            <w:rPr>
              <w:caps/>
              <w:sz w:val="18"/>
            </w:rPr>
          </w:pPr>
        </w:p>
      </w:tc>
    </w:tr>
    <w:tr w:rsidR="00567555" w14:paraId="6CED7699" w14:textId="77777777" w:rsidTr="005E0E08">
      <w:trPr>
        <w:trHeight w:val="215"/>
        <w:jc w:val="center"/>
      </w:trPr>
      <w:tc>
        <w:tcPr>
          <w:tcW w:w="4519" w:type="dxa"/>
          <w:shd w:val="clear" w:color="auto" w:fill="auto"/>
          <w:vAlign w:val="center"/>
        </w:tcPr>
        <w:p w14:paraId="4113CF99" w14:textId="77777777" w:rsidR="00567555" w:rsidRDefault="00567555" w:rsidP="005E0E08">
          <w:pPr>
            <w:pStyle w:val="Footer"/>
            <w:rPr>
              <w:caps/>
              <w:color w:val="808080" w:themeColor="background1" w:themeShade="80"/>
              <w:sz w:val="18"/>
              <w:szCs w:val="18"/>
            </w:rPr>
          </w:pPr>
        </w:p>
      </w:tc>
      <w:tc>
        <w:tcPr>
          <w:tcW w:w="4551" w:type="dxa"/>
          <w:shd w:val="clear" w:color="auto" w:fill="auto"/>
          <w:vAlign w:val="center"/>
        </w:tcPr>
        <w:p w14:paraId="300FE5BE" w14:textId="12CDEEBC" w:rsidR="00567555" w:rsidRPr="00B7493D" w:rsidRDefault="00567555" w:rsidP="005E0E08">
          <w:pPr>
            <w:pStyle w:val="Footer"/>
            <w:jc w:val="right"/>
            <w:rPr>
              <w:rFonts w:ascii="Cambria" w:hAnsi="Cambria"/>
              <w:caps/>
              <w:color w:val="808080" w:themeColor="background1" w:themeShade="80"/>
              <w:sz w:val="18"/>
              <w:szCs w:val="18"/>
            </w:rPr>
          </w:pPr>
          <w:r w:rsidRPr="00B7493D">
            <w:rPr>
              <w:rFonts w:ascii="Cambria" w:eastAsia="Calibri" w:hAnsi="Cambria" w:cs="Times New Roman"/>
              <w:noProof/>
              <w:spacing w:val="60"/>
              <w:sz w:val="24"/>
              <w:szCs w:val="24"/>
              <w:lang w:val="ro-RO"/>
            </w:rPr>
            <w:t>Pagina</w:t>
          </w:r>
          <w:r w:rsidRPr="00B7493D">
            <w:rPr>
              <w:rFonts w:ascii="Cambria" w:eastAsia="Calibri" w:hAnsi="Cambria" w:cs="Times New Roman"/>
              <w:b/>
              <w:noProof/>
              <w:sz w:val="24"/>
              <w:szCs w:val="24"/>
              <w:lang w:val="ro-RO"/>
            </w:rPr>
            <w:fldChar w:fldCharType="begin"/>
          </w:r>
          <w:r w:rsidRPr="00B7493D">
            <w:rPr>
              <w:rFonts w:ascii="Cambria" w:eastAsia="Calibri" w:hAnsi="Cambria" w:cs="Times New Roman"/>
              <w:b/>
              <w:noProof/>
              <w:sz w:val="24"/>
              <w:szCs w:val="24"/>
              <w:lang w:val="ro-RO"/>
            </w:rPr>
            <w:instrText xml:space="preserve"> PAGE   \* MERGEFORMAT </w:instrText>
          </w:r>
          <w:r w:rsidRPr="00B7493D">
            <w:rPr>
              <w:rFonts w:ascii="Cambria" w:eastAsia="Calibri" w:hAnsi="Cambria" w:cs="Times New Roman"/>
              <w:b/>
              <w:noProof/>
              <w:sz w:val="24"/>
              <w:szCs w:val="24"/>
              <w:lang w:val="ro-RO"/>
            </w:rPr>
            <w:fldChar w:fldCharType="separate"/>
          </w:r>
          <w:r>
            <w:rPr>
              <w:rFonts w:ascii="Cambria" w:eastAsia="Calibri" w:hAnsi="Cambria" w:cs="Times New Roman"/>
              <w:b/>
              <w:noProof/>
              <w:sz w:val="24"/>
              <w:szCs w:val="24"/>
              <w:lang w:val="ro-RO"/>
            </w:rPr>
            <w:t>192</w:t>
          </w:r>
          <w:r w:rsidRPr="00B7493D">
            <w:rPr>
              <w:rFonts w:ascii="Cambria" w:eastAsia="Calibri" w:hAnsi="Cambria" w:cs="Times New Roman"/>
              <w:b/>
              <w:noProof/>
              <w:sz w:val="24"/>
              <w:szCs w:val="24"/>
              <w:lang w:val="ro-RO"/>
            </w:rPr>
            <w:fldChar w:fldCharType="end"/>
          </w:r>
          <w:r w:rsidRPr="00B7493D">
            <w:rPr>
              <w:rFonts w:ascii="Cambria" w:eastAsia="Calibri" w:hAnsi="Cambria" w:cs="Times New Roman"/>
              <w:b/>
              <w:i/>
              <w:noProof/>
              <w:sz w:val="24"/>
              <w:szCs w:val="24"/>
              <w:lang w:val="ro-RO"/>
            </w:rPr>
            <w:t>|</w:t>
          </w:r>
          <w:r w:rsidR="009A1372">
            <w:rPr>
              <w:rFonts w:ascii="Cambria" w:eastAsia="Calibri" w:hAnsi="Cambria" w:cs="Times New Roman"/>
              <w:b/>
              <w:noProof/>
              <w:sz w:val="24"/>
              <w:szCs w:val="24"/>
              <w:lang w:val="ro-RO"/>
            </w:rPr>
            <w:fldChar w:fldCharType="begin"/>
          </w:r>
          <w:r w:rsidR="009A1372">
            <w:rPr>
              <w:rFonts w:ascii="Cambria" w:eastAsia="Calibri" w:hAnsi="Cambria" w:cs="Times New Roman"/>
              <w:b/>
              <w:noProof/>
              <w:sz w:val="24"/>
              <w:szCs w:val="24"/>
              <w:lang w:val="ro-RO"/>
            </w:rPr>
            <w:instrText xml:space="preserve"> NUMPAGES  \* Arabic  \* MERGEFORMAT </w:instrText>
          </w:r>
          <w:r w:rsidR="009A1372">
            <w:rPr>
              <w:rFonts w:ascii="Cambria" w:eastAsia="Calibri" w:hAnsi="Cambria" w:cs="Times New Roman"/>
              <w:b/>
              <w:noProof/>
              <w:sz w:val="24"/>
              <w:szCs w:val="24"/>
              <w:lang w:val="ro-RO"/>
            </w:rPr>
            <w:fldChar w:fldCharType="separate"/>
          </w:r>
          <w:r w:rsidRPr="00567555">
            <w:rPr>
              <w:rFonts w:ascii="Cambria" w:eastAsia="Calibri" w:hAnsi="Cambria" w:cs="Times New Roman"/>
              <w:b/>
              <w:noProof/>
              <w:sz w:val="24"/>
              <w:szCs w:val="24"/>
              <w:lang w:val="ro-RO"/>
            </w:rPr>
            <w:t>192</w:t>
          </w:r>
          <w:r w:rsidR="009A1372">
            <w:rPr>
              <w:rFonts w:ascii="Cambria" w:eastAsia="Calibri" w:hAnsi="Cambria" w:cs="Times New Roman"/>
              <w:b/>
              <w:noProof/>
              <w:sz w:val="24"/>
              <w:szCs w:val="24"/>
              <w:lang w:val="ro-RO"/>
            </w:rPr>
            <w:fldChar w:fldCharType="end"/>
          </w:r>
        </w:p>
      </w:tc>
    </w:tr>
  </w:tbl>
  <w:p w14:paraId="6CEBBDD8" w14:textId="77777777" w:rsidR="00567555" w:rsidRPr="00FA3294" w:rsidRDefault="00567555" w:rsidP="005E0E08">
    <w:pPr>
      <w:pStyle w:val="Footer"/>
      <w:rPr>
        <w:sz w:val="1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ABE1EF2" w14:textId="77777777" w:rsidR="009A1372" w:rsidRDefault="009A1372" w:rsidP="00CF551E">
      <w:r>
        <w:separator/>
      </w:r>
    </w:p>
  </w:footnote>
  <w:footnote w:type="continuationSeparator" w:id="0">
    <w:p w14:paraId="12E05E9E" w14:textId="77777777" w:rsidR="009A1372" w:rsidRDefault="009A1372" w:rsidP="00CF551E">
      <w:r>
        <w:continuationSeparator/>
      </w:r>
    </w:p>
  </w:footnote>
  <w:footnote w:id="1">
    <w:p w14:paraId="71EC4CA7" w14:textId="77777777" w:rsidR="00567555" w:rsidRPr="00CE0538" w:rsidRDefault="00567555">
      <w:pPr>
        <w:pStyle w:val="FootnoteText"/>
        <w:rPr>
          <w:rFonts w:ascii="Cambria" w:hAnsi="Cambria"/>
          <w:lang w:val="ro-RO"/>
        </w:rPr>
      </w:pPr>
      <w:r w:rsidRPr="00CE0538">
        <w:rPr>
          <w:rStyle w:val="FootnoteReference"/>
          <w:rFonts w:ascii="Cambria" w:hAnsi="Cambria"/>
        </w:rPr>
        <w:footnoteRef/>
      </w:r>
      <w:r w:rsidRPr="00CE0538">
        <w:rPr>
          <w:rFonts w:ascii="Cambria" w:hAnsi="Cambria"/>
          <w:lang w:val="ro-RO"/>
        </w:rPr>
        <w:t>Cu excepția municipiului Brăila</w:t>
      </w:r>
    </w:p>
  </w:footnote>
  <w:footnote w:id="2">
    <w:p w14:paraId="1145A39F" w14:textId="77777777" w:rsidR="00567555" w:rsidRPr="00CE0538" w:rsidRDefault="00567555" w:rsidP="006118FE">
      <w:pPr>
        <w:pStyle w:val="FootnoteText"/>
        <w:rPr>
          <w:rFonts w:ascii="Cambria" w:hAnsi="Cambria"/>
          <w:lang w:val="ro-RO"/>
        </w:rPr>
      </w:pPr>
      <w:r w:rsidRPr="00CE0538">
        <w:rPr>
          <w:rStyle w:val="FootnoteReference"/>
          <w:rFonts w:ascii="Cambria" w:hAnsi="Cambria"/>
        </w:rPr>
        <w:footnoteRef/>
      </w:r>
      <w:r w:rsidRPr="00CE0538">
        <w:rPr>
          <w:rFonts w:ascii="Cambria" w:hAnsi="Cambria"/>
          <w:lang w:val="ro-RO"/>
        </w:rPr>
        <w:t>Cu excepția municipiului Brăila</w:t>
      </w:r>
    </w:p>
  </w:footnote>
  <w:footnote w:id="3">
    <w:p w14:paraId="2A61512F" w14:textId="77777777" w:rsidR="00567555" w:rsidRPr="00254C63" w:rsidRDefault="00567555" w:rsidP="00C83C04">
      <w:pPr>
        <w:pStyle w:val="FootnoteText"/>
        <w:rPr>
          <w:rFonts w:ascii="Cambria" w:hAnsi="Cambria"/>
          <w:lang w:val="ro-RO"/>
        </w:rPr>
      </w:pPr>
      <w:r w:rsidRPr="00254C63">
        <w:rPr>
          <w:rStyle w:val="FootnoteReference"/>
          <w:rFonts w:ascii="Cambria" w:hAnsi="Cambria"/>
        </w:rPr>
        <w:footnoteRef/>
      </w:r>
      <w:r w:rsidRPr="00254C63">
        <w:rPr>
          <w:rFonts w:ascii="Cambria" w:hAnsi="Cambria"/>
        </w:rPr>
        <w:t xml:space="preserve"> http://www.primariabraila.ro:7200/Continut%20Site/Descriere%20Geografica.aspx</w:t>
      </w:r>
    </w:p>
  </w:footnote>
  <w:footnote w:id="4">
    <w:p w14:paraId="7274415A" w14:textId="77777777" w:rsidR="00567555" w:rsidRPr="00456CDB" w:rsidRDefault="00567555" w:rsidP="00C83C04">
      <w:pPr>
        <w:pStyle w:val="FootnoteText"/>
        <w:jc w:val="both"/>
        <w:rPr>
          <w:rFonts w:ascii="Cambria" w:hAnsi="Cambria"/>
          <w:lang w:val="ro-RO"/>
        </w:rPr>
      </w:pPr>
      <w:r w:rsidRPr="00456CDB">
        <w:rPr>
          <w:rStyle w:val="FootnoteReference"/>
          <w:rFonts w:ascii="Cambria" w:hAnsi="Cambria"/>
          <w:lang w:val="ro-RO"/>
        </w:rPr>
        <w:footnoteRef/>
      </w:r>
      <w:r w:rsidRPr="00456CDB">
        <w:rPr>
          <w:rFonts w:ascii="Cambria" w:hAnsi="Cambria"/>
          <w:lang w:val="ro-RO"/>
        </w:rPr>
        <w:t xml:space="preserve"> Rezultatele finale ale Recensământului din 2011: „Tab8. Populația stabilă după etnie – județe, municipii, orașe, comune”. Institutul Național de Statistică din România. iulie 2013. Accesat la 10.10.2016</w:t>
      </w:r>
    </w:p>
  </w:footnote>
  <w:footnote w:id="5">
    <w:p w14:paraId="15DC82F9" w14:textId="77777777" w:rsidR="00567555" w:rsidRPr="00FF6E61" w:rsidRDefault="00567555" w:rsidP="00C83C04">
      <w:pPr>
        <w:pStyle w:val="FootnoteText"/>
        <w:rPr>
          <w:rFonts w:ascii="Cambria" w:hAnsi="Cambria"/>
          <w:lang w:val="ro-RO"/>
        </w:rPr>
      </w:pPr>
      <w:r w:rsidRPr="00FF6E61">
        <w:rPr>
          <w:rStyle w:val="FootnoteReference"/>
          <w:rFonts w:ascii="Cambria" w:hAnsi="Cambria"/>
        </w:rPr>
        <w:footnoteRef/>
      </w:r>
      <w:r w:rsidRPr="00FF6E61">
        <w:rPr>
          <w:rFonts w:ascii="Cambria" w:hAnsi="Cambria"/>
        </w:rPr>
        <w:t xml:space="preserve"> http://primaria-ianca.ro</w:t>
      </w:r>
    </w:p>
  </w:footnote>
  <w:footnote w:id="6">
    <w:p w14:paraId="47994474" w14:textId="77777777" w:rsidR="00567555" w:rsidRPr="00456CDB" w:rsidRDefault="00567555" w:rsidP="00C83C04">
      <w:pPr>
        <w:pStyle w:val="FootnoteText"/>
        <w:jc w:val="both"/>
        <w:rPr>
          <w:rFonts w:ascii="Cambria" w:hAnsi="Cambria"/>
          <w:lang w:val="ro-RO"/>
        </w:rPr>
      </w:pPr>
      <w:r w:rsidRPr="00456CDB">
        <w:rPr>
          <w:rStyle w:val="FootnoteReference"/>
          <w:rFonts w:ascii="Cambria" w:hAnsi="Cambria"/>
          <w:lang w:val="ro-RO"/>
        </w:rPr>
        <w:footnoteRef/>
      </w:r>
      <w:r w:rsidRPr="00456CDB">
        <w:rPr>
          <w:rFonts w:ascii="Cambria" w:hAnsi="Cambria"/>
          <w:lang w:val="ro-RO"/>
        </w:rPr>
        <w:t xml:space="preserve"> Rezultatele finale ale Recensământului din 2011: „Tab8. Populația stabilă după etnie – județe, municipii, orașe, comune”. Institutul Național de Statistică din România. iulie 2013. Accesat la 10.10.2016</w:t>
      </w:r>
    </w:p>
  </w:footnote>
  <w:footnote w:id="7">
    <w:p w14:paraId="426C98D1" w14:textId="77777777" w:rsidR="00567555" w:rsidRPr="00456CDB" w:rsidRDefault="00567555" w:rsidP="00370EF5">
      <w:pPr>
        <w:pStyle w:val="FootnoteText"/>
        <w:jc w:val="both"/>
        <w:rPr>
          <w:rFonts w:ascii="Cambria" w:hAnsi="Cambria"/>
          <w:lang w:val="ro-RO"/>
        </w:rPr>
      </w:pPr>
      <w:r w:rsidRPr="00456CDB">
        <w:rPr>
          <w:rStyle w:val="FootnoteReference"/>
          <w:rFonts w:ascii="Cambria" w:hAnsi="Cambria"/>
          <w:lang w:val="ro-RO"/>
        </w:rPr>
        <w:footnoteRef/>
      </w:r>
      <w:r w:rsidRPr="00456CDB">
        <w:rPr>
          <w:rFonts w:ascii="Cambria" w:hAnsi="Cambria"/>
          <w:lang w:val="ro-RO"/>
        </w:rPr>
        <w:t xml:space="preserve"> Rezultatele finale ale Recensământului din 2011: „Tab8. Populația stabilă după etnie – județe, municipii, orașe, comune”. Institutul Național de Statistică din România. iulie 2013. Accesat la 10.10.2016</w:t>
      </w:r>
    </w:p>
  </w:footnote>
  <w:footnote w:id="8">
    <w:p w14:paraId="0A1E9D04" w14:textId="77777777" w:rsidR="00567555" w:rsidRPr="00A85253" w:rsidRDefault="00567555" w:rsidP="00C83C04">
      <w:pPr>
        <w:pStyle w:val="FootnoteText"/>
        <w:rPr>
          <w:lang w:val="ro-RO"/>
        </w:rPr>
      </w:pPr>
      <w:r>
        <w:rPr>
          <w:rStyle w:val="FootnoteReference"/>
        </w:rPr>
        <w:footnoteRef/>
      </w:r>
      <w:r>
        <w:rPr>
          <w:rFonts w:ascii="Cambria" w:hAnsi="Cambria"/>
        </w:rPr>
        <w:t xml:space="preserve"> </w:t>
      </w:r>
      <w:r w:rsidRPr="00A85253">
        <w:rPr>
          <w:rFonts w:ascii="Cambria" w:hAnsi="Cambria"/>
        </w:rPr>
        <w:t>http://www.orasulfaurei.ro/</w:t>
      </w:r>
    </w:p>
  </w:footnote>
  <w:footnote w:id="9">
    <w:p w14:paraId="3275364F" w14:textId="77777777" w:rsidR="00567555" w:rsidRPr="00456CDB" w:rsidRDefault="00567555" w:rsidP="00370EF5">
      <w:pPr>
        <w:pStyle w:val="FootnoteText"/>
        <w:jc w:val="both"/>
        <w:rPr>
          <w:rFonts w:ascii="Cambria" w:hAnsi="Cambria"/>
          <w:lang w:val="ro-RO"/>
        </w:rPr>
      </w:pPr>
      <w:r w:rsidRPr="00456CDB">
        <w:rPr>
          <w:rStyle w:val="FootnoteReference"/>
          <w:rFonts w:ascii="Cambria" w:hAnsi="Cambria"/>
          <w:lang w:val="ro-RO"/>
        </w:rPr>
        <w:footnoteRef/>
      </w:r>
      <w:r w:rsidRPr="00456CDB">
        <w:rPr>
          <w:rFonts w:ascii="Cambria" w:hAnsi="Cambria"/>
          <w:lang w:val="ro-RO"/>
        </w:rPr>
        <w:t xml:space="preserve"> Rezultatele finale ale Recensământului din 2011: „Tab8. Populația stabilă după etnie – județe, municipii, orașe, comune”. Institutul Național de Statistică din România. iulie 2013. Accesat la 10.10.2016</w:t>
      </w:r>
    </w:p>
  </w:footnote>
  <w:footnote w:id="10">
    <w:p w14:paraId="539FF317" w14:textId="3518A57A" w:rsidR="00567555" w:rsidRPr="000A2FE7" w:rsidRDefault="00567555" w:rsidP="000A2FE7">
      <w:pPr>
        <w:pStyle w:val="FootnoteText"/>
        <w:jc w:val="both"/>
        <w:rPr>
          <w:rFonts w:ascii="Cambria" w:hAnsi="Cambria"/>
          <w:lang w:val="ro-RO"/>
        </w:rPr>
      </w:pPr>
      <w:r w:rsidRPr="000A2FE7">
        <w:rPr>
          <w:rStyle w:val="FootnoteReference"/>
          <w:rFonts w:ascii="Cambria" w:hAnsi="Cambria"/>
          <w:lang w:val="ro-RO"/>
        </w:rPr>
        <w:footnoteRef/>
      </w:r>
      <w:r w:rsidRPr="000A2FE7">
        <w:rPr>
          <w:rFonts w:ascii="Cambria" w:hAnsi="Cambria"/>
          <w:lang w:val="ro-RO"/>
        </w:rPr>
        <w:t xml:space="preserve"> Conform Ordinului MMAP nr. 36/2016 pentru aprobarea listelor cu unitățile administrativ-teritoriale întocmite în urma încadrării în regimurile de evaluare a ariilor din zonele și aglomerările prevăzute în anexa nr. 2 la Legea nr. 104/2011 privind calitatea aerului înconjurător</w:t>
      </w:r>
    </w:p>
  </w:footnote>
  <w:footnote w:id="11">
    <w:p w14:paraId="5026CC24" w14:textId="77777777" w:rsidR="00567555" w:rsidRPr="00A66B8B" w:rsidRDefault="00567555" w:rsidP="003271D2">
      <w:pPr>
        <w:pStyle w:val="FootnoteText"/>
        <w:rPr>
          <w:rFonts w:ascii="Cambria" w:hAnsi="Cambria"/>
        </w:rPr>
      </w:pPr>
      <w:r w:rsidRPr="00A66B8B">
        <w:rPr>
          <w:rStyle w:val="FootnoteReference"/>
          <w:rFonts w:ascii="Cambria" w:hAnsi="Cambria"/>
        </w:rPr>
        <w:footnoteRef/>
      </w:r>
      <w:r w:rsidRPr="00A66B8B">
        <w:rPr>
          <w:rFonts w:ascii="Cambria" w:hAnsi="Cambria"/>
        </w:rPr>
        <w:t xml:space="preserve"> Date conform Corine Land Cover 2006</w:t>
      </w:r>
    </w:p>
  </w:footnote>
  <w:footnote w:id="12">
    <w:p w14:paraId="7B726D6C" w14:textId="77777777" w:rsidR="00567555" w:rsidRPr="00483B81" w:rsidRDefault="00567555" w:rsidP="00483B81">
      <w:pPr>
        <w:pStyle w:val="FootnoteText"/>
        <w:jc w:val="both"/>
        <w:rPr>
          <w:rFonts w:ascii="Cambria" w:hAnsi="Cambria"/>
          <w:lang w:val="ro-RO"/>
        </w:rPr>
      </w:pPr>
      <w:r w:rsidRPr="00483B81">
        <w:rPr>
          <w:rStyle w:val="FootnoteReference"/>
          <w:rFonts w:ascii="Cambria" w:hAnsi="Cambria"/>
          <w:lang w:val="ro-RO"/>
        </w:rPr>
        <w:footnoteRef/>
      </w:r>
      <w:r w:rsidRPr="00483B81">
        <w:rPr>
          <w:rFonts w:ascii="Cambria" w:hAnsi="Cambria"/>
          <w:lang w:val="ro-RO"/>
        </w:rPr>
        <w:t xml:space="preserve"> Din anul 2014 cele două instalații mari de ardere aparținând SC CET SA nu mai funcționează (sursa:APM Brăila - Raportul anual privind starea mediului pentru județul Brăila pe anul 2014 )</w:t>
      </w:r>
    </w:p>
  </w:footnote>
  <w:footnote w:id="13">
    <w:p w14:paraId="6FDCBB19" w14:textId="77777777" w:rsidR="00567555" w:rsidRPr="009F5436" w:rsidRDefault="00567555" w:rsidP="009F5436">
      <w:pPr>
        <w:pStyle w:val="FootnoteText"/>
        <w:rPr>
          <w:rFonts w:ascii="Cambria" w:hAnsi="Cambria"/>
          <w:lang w:val="ro-RO"/>
        </w:rPr>
      </w:pPr>
      <w:r w:rsidRPr="009F5436">
        <w:rPr>
          <w:rStyle w:val="FootnoteReference"/>
          <w:rFonts w:ascii="Cambria" w:hAnsi="Cambria"/>
          <w:lang w:val="ro-RO"/>
        </w:rPr>
        <w:footnoteRef/>
      </w:r>
      <w:r w:rsidRPr="009F5436">
        <w:rPr>
          <w:rFonts w:ascii="Cambria" w:hAnsi="Cambria"/>
          <w:lang w:val="ro-RO"/>
        </w:rPr>
        <w:t xml:space="preserve"> APM Brăila - Raportul anual privind starea mediului pentru județul Brăila - Anul 201</w:t>
      </w:r>
      <w:r>
        <w:rPr>
          <w:rFonts w:ascii="Cambria" w:hAnsi="Cambria"/>
          <w:lang w:val="ro-RO"/>
        </w:rPr>
        <w:t>3</w:t>
      </w:r>
    </w:p>
  </w:footnote>
  <w:footnote w:id="14">
    <w:p w14:paraId="02029975" w14:textId="77777777" w:rsidR="00567555" w:rsidRDefault="00567555" w:rsidP="009F5436">
      <w:pPr>
        <w:pStyle w:val="FootnoteText"/>
      </w:pPr>
      <w:r w:rsidRPr="009F5436">
        <w:rPr>
          <w:rStyle w:val="FootnoteReference"/>
          <w:rFonts w:ascii="Cambria" w:hAnsi="Cambria"/>
          <w:lang w:val="ro-RO"/>
        </w:rPr>
        <w:footnoteRef/>
      </w:r>
      <w:r w:rsidRPr="009F5436">
        <w:rPr>
          <w:rFonts w:ascii="Cambria" w:hAnsi="Cambria"/>
          <w:lang w:val="ro-RO"/>
        </w:rPr>
        <w:t xml:space="preserve"> APM Brăila - Raportul anual privind starea mediului pentru județul Brăila - Anul 201</w:t>
      </w:r>
      <w:r>
        <w:rPr>
          <w:rFonts w:ascii="Cambria" w:hAnsi="Cambria"/>
          <w:lang w:val="ro-RO"/>
        </w:rPr>
        <w:t>3</w:t>
      </w:r>
    </w:p>
  </w:footnote>
  <w:footnote w:id="15">
    <w:p w14:paraId="38C5DC38" w14:textId="77777777" w:rsidR="00567555" w:rsidRPr="00E97379" w:rsidRDefault="00567555" w:rsidP="00BB3954">
      <w:pPr>
        <w:pStyle w:val="FootnoteText"/>
        <w:rPr>
          <w:rFonts w:ascii="Cambria" w:hAnsi="Cambria"/>
          <w:lang w:val="ro-RO"/>
        </w:rPr>
      </w:pPr>
      <w:r w:rsidRPr="00E97379">
        <w:rPr>
          <w:rStyle w:val="FootnoteReference"/>
          <w:rFonts w:ascii="Cambria" w:hAnsi="Cambria"/>
          <w:lang w:val="ro-RO"/>
        </w:rPr>
        <w:footnoteRef/>
      </w:r>
      <w:r w:rsidRPr="00E97379">
        <w:rPr>
          <w:rFonts w:ascii="Cambria" w:hAnsi="Cambria"/>
          <w:lang w:val="ro-RO"/>
        </w:rPr>
        <w:t xml:space="preserve"> https://www.eea.europa.eu/ro/semnale/semnale-de-mediu-2013/articole/aerul-pe-care-il-respiram</w:t>
      </w:r>
    </w:p>
  </w:footnote>
  <w:footnote w:id="16">
    <w:p w14:paraId="199E2B76" w14:textId="77777777" w:rsidR="00567555" w:rsidRPr="00E97379" w:rsidRDefault="00567555" w:rsidP="00BB3954">
      <w:pPr>
        <w:pStyle w:val="FootnoteText"/>
        <w:rPr>
          <w:rFonts w:ascii="Cambria" w:hAnsi="Cambria"/>
          <w:lang w:val="ro-RO"/>
        </w:rPr>
      </w:pPr>
      <w:r w:rsidRPr="00E97379">
        <w:rPr>
          <w:rStyle w:val="FootnoteReference"/>
          <w:rFonts w:ascii="Cambria" w:hAnsi="Cambria"/>
          <w:lang w:val="ro-RO"/>
        </w:rPr>
        <w:footnoteRef/>
      </w:r>
      <w:r w:rsidRPr="00E97379">
        <w:rPr>
          <w:rFonts w:ascii="Cambria" w:hAnsi="Cambria"/>
          <w:lang w:val="ro-RO"/>
        </w:rPr>
        <w:t xml:space="preserve"> https://www.eea.europa.eu/ro/semnale/semnale-de-mediu-2013/articole/aerul-pe-care-il-respiram</w:t>
      </w:r>
    </w:p>
  </w:footnote>
  <w:footnote w:id="17">
    <w:p w14:paraId="188271E8" w14:textId="77777777" w:rsidR="00567555" w:rsidRPr="00E97D11" w:rsidRDefault="00567555" w:rsidP="00AC4C38">
      <w:pPr>
        <w:pStyle w:val="FootnoteText"/>
        <w:rPr>
          <w:rFonts w:ascii="Cambria" w:hAnsi="Cambria"/>
          <w:lang w:val="ro-RO"/>
        </w:rPr>
      </w:pPr>
      <w:r w:rsidRPr="00E97D11">
        <w:rPr>
          <w:rStyle w:val="FootnoteReference"/>
          <w:rFonts w:ascii="Cambria" w:hAnsi="Cambria"/>
        </w:rPr>
        <w:footnoteRef/>
      </w:r>
      <w:r w:rsidRPr="00E97D11">
        <w:rPr>
          <w:rFonts w:ascii="Cambria" w:hAnsi="Cambria"/>
        </w:rPr>
        <w:t xml:space="preserve"> http://www.eco-research.eu/CURS%2011%20ECO.pdf</w:t>
      </w:r>
    </w:p>
  </w:footnote>
  <w:footnote w:id="18">
    <w:p w14:paraId="7258DF36" w14:textId="77777777" w:rsidR="00567555" w:rsidRPr="00893B82" w:rsidRDefault="00567555" w:rsidP="00BB3954">
      <w:pPr>
        <w:pStyle w:val="FootnoteText"/>
        <w:rPr>
          <w:rFonts w:ascii="Cambria" w:hAnsi="Cambria"/>
          <w:lang w:val="ro-RO"/>
        </w:rPr>
      </w:pPr>
      <w:r w:rsidRPr="00893B82">
        <w:rPr>
          <w:rStyle w:val="FootnoteReference"/>
          <w:rFonts w:ascii="Cambria" w:hAnsi="Cambria"/>
        </w:rPr>
        <w:footnoteRef/>
      </w:r>
      <w:r w:rsidRPr="00893B82">
        <w:rPr>
          <w:rFonts w:ascii="Cambria" w:hAnsi="Cambria"/>
        </w:rPr>
        <w:t xml:space="preserve"> http://www.euro.who.int/__data/assets/pdf_file/0020/182432/e96762-final.pdf</w:t>
      </w:r>
    </w:p>
  </w:footnote>
  <w:footnote w:id="19">
    <w:p w14:paraId="56781666" w14:textId="77777777" w:rsidR="00567555" w:rsidRPr="00E97D11" w:rsidRDefault="00567555" w:rsidP="00BB3954">
      <w:pPr>
        <w:pStyle w:val="FootnoteText"/>
        <w:rPr>
          <w:rFonts w:ascii="Cambria" w:hAnsi="Cambria"/>
          <w:lang w:val="ro-RO"/>
        </w:rPr>
      </w:pPr>
      <w:r w:rsidRPr="00E97D11">
        <w:rPr>
          <w:rStyle w:val="FootnoteReference"/>
          <w:rFonts w:ascii="Cambria" w:hAnsi="Cambria"/>
        </w:rPr>
        <w:footnoteRef/>
      </w:r>
      <w:r w:rsidRPr="00E97D11">
        <w:rPr>
          <w:rFonts w:ascii="Cambria" w:hAnsi="Cambria"/>
        </w:rPr>
        <w:t xml:space="preserve"> http://www.eco-research.eu/CURS%2011%20ECO.pdf</w:t>
      </w:r>
    </w:p>
  </w:footnote>
  <w:footnote w:id="20">
    <w:p w14:paraId="58002397" w14:textId="77777777" w:rsidR="00567555" w:rsidRPr="00E97D11" w:rsidRDefault="00567555" w:rsidP="00BB3954">
      <w:pPr>
        <w:pStyle w:val="FootnoteText"/>
        <w:rPr>
          <w:rFonts w:ascii="Cambria" w:hAnsi="Cambria"/>
          <w:lang w:val="ro-RO"/>
        </w:rPr>
      </w:pPr>
      <w:r w:rsidRPr="00E97D11">
        <w:rPr>
          <w:rStyle w:val="FootnoteReference"/>
          <w:rFonts w:ascii="Cambria" w:hAnsi="Cambria"/>
        </w:rPr>
        <w:footnoteRef/>
      </w:r>
      <w:r w:rsidRPr="00E97D11">
        <w:rPr>
          <w:rFonts w:ascii="Cambria" w:hAnsi="Cambria"/>
        </w:rPr>
        <w:t xml:space="preserve"> http://www.eco-research.eu/CURS%2011%20ECO.pdf</w:t>
      </w:r>
    </w:p>
  </w:footnote>
  <w:footnote w:id="21">
    <w:p w14:paraId="18623E36" w14:textId="77777777" w:rsidR="00567555" w:rsidRPr="008A080C" w:rsidRDefault="00567555" w:rsidP="00D07245">
      <w:pPr>
        <w:pStyle w:val="FootnoteText"/>
        <w:jc w:val="both"/>
        <w:rPr>
          <w:rFonts w:ascii="Cambria" w:hAnsi="Cambria"/>
          <w:lang w:val="ro-RO"/>
        </w:rPr>
      </w:pPr>
      <w:r w:rsidRPr="008A080C">
        <w:rPr>
          <w:rStyle w:val="FootnoteReference"/>
          <w:rFonts w:ascii="Cambria" w:hAnsi="Cambria"/>
          <w:lang w:val="ro-RO"/>
        </w:rPr>
        <w:footnoteRef/>
      </w:r>
      <w:r w:rsidRPr="008A080C">
        <w:rPr>
          <w:rFonts w:ascii="Cambria" w:hAnsi="Cambria"/>
          <w:lang w:val="ro-RO"/>
        </w:rPr>
        <w:t xml:space="preserve"> Ministerul Mediului și Schimbărilor Climatice 2013-2014. Studiul privind evaluarea calității aerului prin modelarea matematică a dispersiei poluanților emiși în aer și identificarea zonelor și aglomerărilor în care este necesară monitorizarea continuă a calității aerului și unde este necesară elaborarea și punerea în aplicare a planurilor și programelor de gestionare a calității aerului, inclusiv stabilirea zonelor de protecție a stațiilor de monitorizare a calității aerului</w:t>
      </w:r>
    </w:p>
  </w:footnote>
  <w:footnote w:id="22">
    <w:p w14:paraId="0BF955BE" w14:textId="77777777" w:rsidR="00567555" w:rsidRPr="00E50E39" w:rsidRDefault="00567555" w:rsidP="00B66DF1">
      <w:pPr>
        <w:pStyle w:val="FootnoteText"/>
        <w:jc w:val="both"/>
        <w:rPr>
          <w:rFonts w:ascii="Cambria" w:hAnsi="Cambria"/>
          <w:lang w:val="ro-RO"/>
        </w:rPr>
      </w:pPr>
      <w:r w:rsidRPr="00E50E39">
        <w:rPr>
          <w:rStyle w:val="FootnoteReference"/>
          <w:rFonts w:ascii="Cambria" w:hAnsi="Cambria"/>
        </w:rPr>
        <w:footnoteRef/>
      </w:r>
      <w:r w:rsidRPr="00E50E39">
        <w:rPr>
          <w:rFonts w:ascii="Cambria" w:hAnsi="Cambria"/>
        </w:rPr>
        <w:t xml:space="preserve"> Health risk assessment of air pollution – general principles. Copenhagen: WHO Regional Office for Europe; 2016</w:t>
      </w:r>
    </w:p>
  </w:footnote>
  <w:footnote w:id="23">
    <w:p w14:paraId="775B0F5F" w14:textId="77777777" w:rsidR="00567555" w:rsidRPr="00C6719E" w:rsidRDefault="00567555" w:rsidP="00343667">
      <w:pPr>
        <w:pStyle w:val="FootnoteText"/>
        <w:rPr>
          <w:rFonts w:ascii="Cambria" w:hAnsi="Cambria"/>
        </w:rPr>
      </w:pPr>
      <w:r w:rsidRPr="00C6719E">
        <w:rPr>
          <w:rStyle w:val="FootnoteReference"/>
          <w:rFonts w:ascii="Cambria" w:hAnsi="Cambria"/>
        </w:rPr>
        <w:footnoteRef/>
      </w:r>
      <w:r w:rsidRPr="00C6719E">
        <w:rPr>
          <w:rFonts w:ascii="Cambria" w:hAnsi="Cambria"/>
        </w:rPr>
        <w:t xml:space="preserve"> EMEP/EEA Emission Inventory Guidebook 2009, updated May 2012</w:t>
      </w:r>
    </w:p>
  </w:footnote>
  <w:footnote w:id="24">
    <w:p w14:paraId="7B6995EF" w14:textId="77777777" w:rsidR="00567555" w:rsidRPr="008A080C" w:rsidRDefault="00567555" w:rsidP="00343667">
      <w:pPr>
        <w:pStyle w:val="FootnoteText"/>
        <w:jc w:val="both"/>
        <w:rPr>
          <w:rFonts w:ascii="Cambria" w:hAnsi="Cambria"/>
          <w:lang w:val="ro-RO"/>
        </w:rPr>
      </w:pPr>
      <w:r w:rsidRPr="008A080C">
        <w:rPr>
          <w:rStyle w:val="FootnoteReference"/>
          <w:rFonts w:ascii="Cambria" w:hAnsi="Cambria"/>
          <w:lang w:val="ro-RO"/>
        </w:rPr>
        <w:footnoteRef/>
      </w:r>
      <w:r w:rsidRPr="008A080C">
        <w:rPr>
          <w:rFonts w:ascii="Cambria" w:hAnsi="Cambria"/>
          <w:lang w:val="ro-RO"/>
        </w:rPr>
        <w:t xml:space="preserve"> Ministerul Mediului și Schimbărilor </w:t>
      </w:r>
      <w:r>
        <w:rPr>
          <w:rFonts w:ascii="Cambria" w:hAnsi="Cambria"/>
          <w:lang w:val="ro-RO"/>
        </w:rPr>
        <w:t xml:space="preserve">Climatice 2013-2014 - </w:t>
      </w:r>
      <w:r w:rsidRPr="008A080C">
        <w:rPr>
          <w:rFonts w:ascii="Cambria" w:hAnsi="Cambria"/>
          <w:lang w:val="ro-RO"/>
        </w:rPr>
        <w:t>Studiul privind evaluarea calității aerului prin modelarea matematică a dispersiei poluanților emiși în aer și identificarea zonelor și aglomerărilor în care este necesară monitorizarea continuă a calității aerului și unde este necesară elaborarea și punerea în aplicare a planurilor și programelor de gestionare a calității aerului, inclusiv stabilirea zonelor de protecție a stațiilor de monitorizare a calității aerului</w:t>
      </w:r>
    </w:p>
  </w:footnote>
  <w:footnote w:id="25">
    <w:p w14:paraId="1CA9FDB8" w14:textId="77777777" w:rsidR="00567555" w:rsidRPr="004A64ED" w:rsidRDefault="00567555" w:rsidP="00B84975">
      <w:pPr>
        <w:pStyle w:val="FootnoteText"/>
        <w:rPr>
          <w:rFonts w:ascii="Cambria" w:hAnsi="Cambria"/>
          <w:lang w:val="ro-RO"/>
        </w:rPr>
      </w:pPr>
      <w:r w:rsidRPr="004A64ED">
        <w:rPr>
          <w:rStyle w:val="FootnoteReference"/>
          <w:rFonts w:ascii="Cambria" w:hAnsi="Cambria"/>
        </w:rPr>
        <w:footnoteRef/>
      </w:r>
      <w:r w:rsidRPr="004A64ED">
        <w:rPr>
          <w:rFonts w:ascii="Cambria" w:hAnsi="Cambria"/>
          <w:lang w:val="ro-RO"/>
        </w:rPr>
        <w:t>ANPM - Raport anul privind Starea Mediului în România pe anul 2008</w:t>
      </w:r>
    </w:p>
  </w:footnote>
  <w:footnote w:id="26">
    <w:p w14:paraId="4077341D" w14:textId="77777777" w:rsidR="00567555" w:rsidRPr="00BA0595" w:rsidRDefault="00567555" w:rsidP="00B84975">
      <w:pPr>
        <w:pStyle w:val="FootnoteText"/>
        <w:rPr>
          <w:rFonts w:ascii="Cambria" w:hAnsi="Cambria"/>
          <w:lang w:val="ro-RO"/>
        </w:rPr>
      </w:pPr>
      <w:r w:rsidRPr="00BA0595">
        <w:rPr>
          <w:rStyle w:val="FootnoteReference"/>
          <w:rFonts w:ascii="Cambria" w:hAnsi="Cambria"/>
        </w:rPr>
        <w:footnoteRef/>
      </w:r>
      <w:r w:rsidRPr="00BA0595">
        <w:rPr>
          <w:rFonts w:ascii="Cambria" w:hAnsi="Cambria"/>
        </w:rPr>
        <w:t xml:space="preserve"> ANPM - </w:t>
      </w:r>
      <w:r w:rsidRPr="0054326A">
        <w:rPr>
          <w:rFonts w:ascii="Cambria" w:hAnsi="Cambria"/>
          <w:lang w:val="ro-RO"/>
        </w:rPr>
        <w:t>Raport anul privind Starea Mediului în România pe anul 2008</w:t>
      </w:r>
    </w:p>
  </w:footnote>
  <w:footnote w:id="27">
    <w:p w14:paraId="3817262F" w14:textId="77777777" w:rsidR="00567555" w:rsidRPr="00000A8B" w:rsidRDefault="00567555" w:rsidP="0030027B">
      <w:pPr>
        <w:pStyle w:val="FootnoteText"/>
        <w:jc w:val="both"/>
        <w:rPr>
          <w:rFonts w:ascii="Cambria" w:hAnsi="Cambria"/>
          <w:lang w:val="ro-RO"/>
        </w:rPr>
      </w:pPr>
      <w:r w:rsidRPr="00000A8B">
        <w:rPr>
          <w:rStyle w:val="FootnoteReference"/>
          <w:rFonts w:ascii="Cambria" w:hAnsi="Cambria"/>
          <w:lang w:val="ro-RO"/>
        </w:rPr>
        <w:footnoteRef/>
      </w:r>
      <w:r w:rsidRPr="00000A8B">
        <w:rPr>
          <w:rFonts w:ascii="Cambria" w:hAnsi="Cambria"/>
          <w:lang w:val="ro-RO"/>
        </w:rPr>
        <w:t xml:space="preserve"> TIȚA, Mihaela Cosmina, - Modelarea dispersiei atmosferice a poluanților, Universitatea din Craiova, Buletinul AGIR, Supliment 2/2012.</w:t>
      </w:r>
    </w:p>
  </w:footnote>
  <w:footnote w:id="28">
    <w:p w14:paraId="6B20B742" w14:textId="77777777" w:rsidR="00567555" w:rsidRDefault="00567555" w:rsidP="00221660">
      <w:pPr>
        <w:pStyle w:val="FootnoteText"/>
        <w:jc w:val="both"/>
        <w:rPr>
          <w:rFonts w:ascii="Cambria" w:hAnsi="Cambria"/>
          <w:lang w:val="ro-RO"/>
        </w:rPr>
      </w:pPr>
      <w:r w:rsidRPr="00000A8B">
        <w:rPr>
          <w:rStyle w:val="FootnoteReference"/>
          <w:rFonts w:ascii="Cambria" w:hAnsi="Cambria"/>
          <w:lang w:val="ro-RO"/>
        </w:rPr>
        <w:footnoteRef/>
      </w:r>
      <w:r w:rsidRPr="00000A8B">
        <w:rPr>
          <w:rFonts w:ascii="Cambria" w:hAnsi="Cambria"/>
          <w:lang w:val="ro-RO"/>
        </w:rPr>
        <w:t xml:space="preserve"> EUROPEAN TOPIC CENTRE ON AIR QUALITY</w:t>
      </w:r>
      <w:r w:rsidRPr="00000A8B">
        <w:rPr>
          <w:lang w:val="ro-RO"/>
        </w:rPr>
        <w:t xml:space="preserve"> - </w:t>
      </w:r>
      <w:r w:rsidRPr="004507F8">
        <w:rPr>
          <w:rFonts w:ascii="Cambria" w:hAnsi="Cambria"/>
          <w:lang w:val="ro-RO"/>
        </w:rPr>
        <w:t>Whole model's catalogue</w:t>
      </w:r>
    </w:p>
    <w:p w14:paraId="6123452D" w14:textId="77777777" w:rsidR="00567555" w:rsidRPr="00000A8B" w:rsidRDefault="009A1372" w:rsidP="00221660">
      <w:pPr>
        <w:pStyle w:val="FootnoteText"/>
        <w:jc w:val="both"/>
        <w:rPr>
          <w:rFonts w:ascii="Cambria" w:hAnsi="Cambria"/>
          <w:lang w:val="ro-RO"/>
        </w:rPr>
      </w:pPr>
      <w:hyperlink r:id="rId1" w:history="1">
        <w:r w:rsidR="00567555" w:rsidRPr="00356BF7">
          <w:rPr>
            <w:rStyle w:val="Hyperlink"/>
            <w:rFonts w:ascii="Cambria" w:hAnsi="Cambria"/>
            <w:lang w:val="ro-RO"/>
          </w:rPr>
          <w:t>https://web.archive.org/web/20071102135620/http://pandora.meng.auth.gr/mds/strquery.php?wholedb</w:t>
        </w:r>
      </w:hyperlink>
    </w:p>
  </w:footnote>
  <w:footnote w:id="29">
    <w:p w14:paraId="2121C643" w14:textId="77777777" w:rsidR="00567555" w:rsidRPr="00FA7B60" w:rsidRDefault="00567555" w:rsidP="0030027B">
      <w:pPr>
        <w:pStyle w:val="FootnoteText"/>
        <w:jc w:val="both"/>
        <w:rPr>
          <w:lang w:val="ro-RO"/>
        </w:rPr>
      </w:pPr>
      <w:r w:rsidRPr="00FA7B60">
        <w:rPr>
          <w:rStyle w:val="FootnoteReference"/>
          <w:rFonts w:ascii="Cambria" w:hAnsi="Cambria"/>
        </w:rPr>
        <w:footnoteRef/>
      </w:r>
      <w:r w:rsidRPr="00000A8B">
        <w:rPr>
          <w:rFonts w:ascii="Cambria" w:hAnsi="Cambria"/>
          <w:lang w:val="ro-RO"/>
        </w:rPr>
        <w:t>TIȚA, Mihaela Cosmina, - Modelarea dispersiei atmosferice a poluanților, Universitatea din Craiova, Buletinul AGIR, Supliment 2/2012.</w:t>
      </w:r>
    </w:p>
  </w:footnote>
  <w:footnote w:id="30">
    <w:p w14:paraId="27BFB5EF" w14:textId="77777777" w:rsidR="00567555" w:rsidRPr="00444EE2" w:rsidRDefault="00567555" w:rsidP="0030027B">
      <w:pPr>
        <w:pStyle w:val="FootnoteText"/>
        <w:jc w:val="both"/>
      </w:pPr>
      <w:r w:rsidRPr="00444EE2">
        <w:rPr>
          <w:rStyle w:val="FootnoteReference"/>
          <w:rFonts w:ascii="Cambria" w:hAnsi="Cambria"/>
        </w:rPr>
        <w:footnoteRef/>
      </w:r>
      <w:r w:rsidRPr="00444EE2">
        <w:rPr>
          <w:rFonts w:ascii="Cambria" w:hAnsi="Cambria"/>
        </w:rPr>
        <w:t xml:space="preserve"> Berkowicz, R., H.R. Olesen and U. Torp (1987). The Danish Gaussian Air Pollution Model (OML): Description, Test and Sensitivity Analysis in View of Regulatory Applications. In Air Pollution Modelling and its Application V (ed. De Wispelaere, Schiermeier and Gillani).</w:t>
      </w:r>
    </w:p>
  </w:footnote>
  <w:footnote w:id="31">
    <w:p w14:paraId="00B35125" w14:textId="77777777" w:rsidR="00567555" w:rsidRPr="004E58F1" w:rsidRDefault="00567555" w:rsidP="0030027B">
      <w:pPr>
        <w:pStyle w:val="FootnoteText"/>
        <w:rPr>
          <w:rFonts w:ascii="Cambria" w:hAnsi="Cambria"/>
          <w:lang w:val="ro-RO"/>
        </w:rPr>
      </w:pPr>
      <w:r w:rsidRPr="004E58F1">
        <w:rPr>
          <w:rStyle w:val="FootnoteReference"/>
          <w:rFonts w:ascii="Cambria" w:hAnsi="Cambria"/>
        </w:rPr>
        <w:footnoteRef/>
      </w:r>
      <w:r w:rsidRPr="004E58F1">
        <w:rPr>
          <w:rFonts w:ascii="Cambria" w:hAnsi="Cambria"/>
        </w:rPr>
        <w:t xml:space="preserve"> http://emisia.com/sites/default/files/COEPRT_SL_v2.2_Manual.pdf</w:t>
      </w:r>
    </w:p>
  </w:footnote>
  <w:footnote w:id="32">
    <w:p w14:paraId="7A3C9835" w14:textId="77777777" w:rsidR="00567555" w:rsidRPr="0085778B" w:rsidRDefault="00567555" w:rsidP="0030027B">
      <w:pPr>
        <w:pStyle w:val="FootnoteText"/>
        <w:rPr>
          <w:rFonts w:ascii="Cambria" w:hAnsi="Cambria"/>
          <w:lang w:val="ro-RO"/>
        </w:rPr>
      </w:pPr>
      <w:r w:rsidRPr="0085778B">
        <w:rPr>
          <w:rStyle w:val="FootnoteReference"/>
          <w:rFonts w:ascii="Cambria" w:hAnsi="Cambria"/>
          <w:lang w:val="ro-RO"/>
        </w:rPr>
        <w:footnoteRef/>
      </w:r>
      <w:r w:rsidRPr="0085778B">
        <w:rPr>
          <w:rFonts w:ascii="Cambria" w:hAnsi="Cambria"/>
          <w:lang w:val="ro-RO"/>
        </w:rPr>
        <w:t xml:space="preserve"> EMEP/EEA Air Pollutant Emission Inventory Guidebook 20</w:t>
      </w:r>
      <w:r>
        <w:rPr>
          <w:rFonts w:ascii="Cambria" w:hAnsi="Cambria"/>
          <w:lang w:val="ro-RO"/>
        </w:rPr>
        <w:t>09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jc w:val="center"/>
      <w:tblCellMar>
        <w:top w:w="144" w:type="dxa"/>
        <w:left w:w="115" w:type="dxa"/>
        <w:bottom w:w="28" w:type="dxa"/>
        <w:right w:w="115" w:type="dxa"/>
      </w:tblCellMar>
      <w:tblLook w:val="04A0" w:firstRow="1" w:lastRow="0" w:firstColumn="1" w:lastColumn="0" w:noHBand="0" w:noVBand="1"/>
    </w:tblPr>
    <w:tblGrid>
      <w:gridCol w:w="1899"/>
      <w:gridCol w:w="2045"/>
      <w:gridCol w:w="5356"/>
    </w:tblGrid>
    <w:tr w:rsidR="00567555" w14:paraId="73E626EC" w14:textId="77777777" w:rsidTr="005E0E08">
      <w:trPr>
        <w:trHeight w:val="567"/>
        <w:jc w:val="center"/>
      </w:trPr>
      <w:tc>
        <w:tcPr>
          <w:tcW w:w="1843" w:type="dxa"/>
          <w:shd w:val="clear" w:color="auto" w:fill="FFFFFF" w:themeFill="background1"/>
          <w:vAlign w:val="bottom"/>
        </w:tcPr>
        <w:p w14:paraId="5043D130" w14:textId="77777777" w:rsidR="00567555" w:rsidRDefault="00567555" w:rsidP="001069E1">
          <w:pPr>
            <w:pStyle w:val="Header"/>
            <w:rPr>
              <w:caps/>
              <w:color w:val="FFFFFF" w:themeColor="background1"/>
              <w:sz w:val="18"/>
              <w:szCs w:val="18"/>
            </w:rPr>
          </w:pPr>
          <w:r>
            <w:rPr>
              <w:caps/>
              <w:noProof/>
              <w:color w:val="FFFFFF" w:themeColor="background1"/>
              <w:sz w:val="18"/>
              <w:szCs w:val="18"/>
            </w:rPr>
            <w:drawing>
              <wp:inline distT="0" distB="0" distL="0" distR="0" wp14:anchorId="197F4293" wp14:editId="4229CC42">
                <wp:extent cx="1000125" cy="474645"/>
                <wp:effectExtent l="0" t="0" r="0" b="190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tema judet galati - Copy.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4148" cy="476554"/>
                        </a:xfrm>
                        <a:prstGeom prst="rect">
                          <a:avLst/>
                        </a:prstGeom>
                      </pic:spPr>
                    </pic:pic>
                  </a:graphicData>
                </a:graphic>
              </wp:inline>
            </w:drawing>
          </w:r>
        </w:p>
      </w:tc>
      <w:sdt>
        <w:sdtPr>
          <w:rPr>
            <w:rFonts w:ascii="Cambria" w:hAnsi="Cambria"/>
            <w:b/>
            <w:caps/>
            <w:szCs w:val="18"/>
          </w:rPr>
          <w:alias w:val="Title"/>
          <w:tag w:val=""/>
          <w:id w:val="1267657591"/>
          <w:dataBinding w:prefixMappings="xmlns:ns0='http://purl.org/dc/elements/1.1/' xmlns:ns1='http://schemas.openxmlformats.org/package/2006/metadata/core-properties' " w:xpath="/ns1:coreProperties[1]/ns0:title[1]" w:storeItemID="{6C3C8BC8-F283-45AE-878A-BAB7291924A1}"/>
          <w:text/>
        </w:sdtPr>
        <w:sdtEndPr/>
        <w:sdtContent>
          <w:tc>
            <w:tcPr>
              <w:tcW w:w="7183" w:type="dxa"/>
              <w:gridSpan w:val="2"/>
              <w:shd w:val="clear" w:color="auto" w:fill="FFFFFF" w:themeFill="background1"/>
              <w:vAlign w:val="bottom"/>
            </w:tcPr>
            <w:p w14:paraId="54BD0E9B" w14:textId="77777777" w:rsidR="00567555" w:rsidRPr="005A3B7B" w:rsidRDefault="00567555" w:rsidP="00B7493D">
              <w:pPr>
                <w:pStyle w:val="Header"/>
                <w:jc w:val="right"/>
                <w:rPr>
                  <w:rFonts w:ascii="Cambria" w:hAnsi="Cambria"/>
                  <w:b/>
                  <w:caps/>
                  <w:szCs w:val="18"/>
                </w:rPr>
              </w:pPr>
              <w:r>
                <w:rPr>
                  <w:rFonts w:ascii="Cambria" w:hAnsi="Cambria"/>
                  <w:b/>
                  <w:caps/>
                  <w:szCs w:val="18"/>
                  <w:lang w:val="ro-RO"/>
                </w:rPr>
                <w:t>PLANUL DE MENȚINERE A CALITĂȚII AERULUI În JUDEȚUL BRĂILA</w:t>
              </w:r>
            </w:p>
          </w:tc>
        </w:sdtContent>
      </w:sdt>
    </w:tr>
    <w:tr w:rsidR="00567555" w14:paraId="621D257E" w14:textId="77777777" w:rsidTr="005E0E08">
      <w:trPr>
        <w:trHeight w:hRule="exact" w:val="115"/>
        <w:jc w:val="center"/>
      </w:trPr>
      <w:tc>
        <w:tcPr>
          <w:tcW w:w="3828" w:type="dxa"/>
          <w:gridSpan w:val="2"/>
          <w:shd w:val="clear" w:color="auto" w:fill="5B9BD5" w:themeFill="accent1"/>
          <w:tcMar>
            <w:top w:w="0" w:type="dxa"/>
            <w:bottom w:w="0" w:type="dxa"/>
          </w:tcMar>
        </w:tcPr>
        <w:p w14:paraId="5F702B09" w14:textId="77777777" w:rsidR="00567555" w:rsidRDefault="00567555" w:rsidP="007F3CDB">
          <w:pPr>
            <w:pStyle w:val="Header"/>
            <w:rPr>
              <w:caps/>
              <w:color w:val="FFFFFF" w:themeColor="background1"/>
              <w:sz w:val="18"/>
              <w:szCs w:val="18"/>
            </w:rPr>
          </w:pPr>
        </w:p>
      </w:tc>
      <w:tc>
        <w:tcPr>
          <w:tcW w:w="5198" w:type="dxa"/>
          <w:shd w:val="clear" w:color="auto" w:fill="5B9BD5" w:themeFill="accent1"/>
          <w:tcMar>
            <w:top w:w="0" w:type="dxa"/>
            <w:bottom w:w="0" w:type="dxa"/>
          </w:tcMar>
        </w:tcPr>
        <w:p w14:paraId="6D2FE97C" w14:textId="77777777" w:rsidR="00567555" w:rsidRDefault="00567555" w:rsidP="007F3CDB">
          <w:pPr>
            <w:pStyle w:val="Header"/>
            <w:rPr>
              <w:caps/>
              <w:color w:val="FFFFFF" w:themeColor="background1"/>
              <w:sz w:val="18"/>
              <w:szCs w:val="18"/>
            </w:rPr>
          </w:pPr>
        </w:p>
      </w:tc>
    </w:tr>
  </w:tbl>
  <w:p w14:paraId="13343EE6" w14:textId="77777777" w:rsidR="00567555" w:rsidRPr="000661FD" w:rsidRDefault="00567555" w:rsidP="00826F37">
    <w:pPr>
      <w:rPr>
        <w:sz w:val="1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jc w:val="center"/>
      <w:tblCellMar>
        <w:top w:w="144" w:type="dxa"/>
        <w:left w:w="115" w:type="dxa"/>
        <w:bottom w:w="28" w:type="dxa"/>
        <w:right w:w="115" w:type="dxa"/>
      </w:tblCellMar>
      <w:tblLook w:val="04A0" w:firstRow="1" w:lastRow="0" w:firstColumn="1" w:lastColumn="0" w:noHBand="0" w:noVBand="1"/>
    </w:tblPr>
    <w:tblGrid>
      <w:gridCol w:w="1899"/>
      <w:gridCol w:w="2045"/>
      <w:gridCol w:w="5356"/>
    </w:tblGrid>
    <w:tr w:rsidR="00567555" w14:paraId="38EAE661" w14:textId="77777777" w:rsidTr="005E0E08">
      <w:trPr>
        <w:trHeight w:val="567"/>
        <w:jc w:val="center"/>
      </w:trPr>
      <w:tc>
        <w:tcPr>
          <w:tcW w:w="1843" w:type="dxa"/>
          <w:shd w:val="clear" w:color="auto" w:fill="FFFFFF" w:themeFill="background1"/>
          <w:vAlign w:val="bottom"/>
        </w:tcPr>
        <w:p w14:paraId="23C99124" w14:textId="77777777" w:rsidR="00567555" w:rsidRDefault="00567555" w:rsidP="001069E1">
          <w:pPr>
            <w:pStyle w:val="Header"/>
            <w:rPr>
              <w:caps/>
              <w:color w:val="FFFFFF" w:themeColor="background1"/>
              <w:sz w:val="18"/>
              <w:szCs w:val="18"/>
            </w:rPr>
          </w:pPr>
          <w:r>
            <w:rPr>
              <w:caps/>
              <w:noProof/>
              <w:color w:val="FFFFFF" w:themeColor="background1"/>
              <w:sz w:val="18"/>
              <w:szCs w:val="18"/>
            </w:rPr>
            <w:drawing>
              <wp:inline distT="0" distB="0" distL="0" distR="0" wp14:anchorId="5CC24B42" wp14:editId="24CDFC85">
                <wp:extent cx="1000125" cy="474645"/>
                <wp:effectExtent l="0" t="0" r="0" b="190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tema judet galati - Copy.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4148" cy="476554"/>
                        </a:xfrm>
                        <a:prstGeom prst="rect">
                          <a:avLst/>
                        </a:prstGeom>
                      </pic:spPr>
                    </pic:pic>
                  </a:graphicData>
                </a:graphic>
              </wp:inline>
            </w:drawing>
          </w:r>
        </w:p>
      </w:tc>
      <w:sdt>
        <w:sdtPr>
          <w:rPr>
            <w:rFonts w:ascii="Cambria" w:hAnsi="Cambria"/>
            <w:b/>
            <w:caps/>
            <w:szCs w:val="18"/>
          </w:rPr>
          <w:alias w:val="Title"/>
          <w:tag w:val=""/>
          <w:id w:val="-1481769597"/>
          <w:dataBinding w:prefixMappings="xmlns:ns0='http://purl.org/dc/elements/1.1/' xmlns:ns1='http://schemas.openxmlformats.org/package/2006/metadata/core-properties' " w:xpath="/ns1:coreProperties[1]/ns0:title[1]" w:storeItemID="{6C3C8BC8-F283-45AE-878A-BAB7291924A1}"/>
          <w:text/>
        </w:sdtPr>
        <w:sdtEndPr/>
        <w:sdtContent>
          <w:tc>
            <w:tcPr>
              <w:tcW w:w="7183" w:type="dxa"/>
              <w:gridSpan w:val="2"/>
              <w:shd w:val="clear" w:color="auto" w:fill="FFFFFF" w:themeFill="background1"/>
              <w:vAlign w:val="bottom"/>
            </w:tcPr>
            <w:p w14:paraId="06D1C7CE" w14:textId="77777777" w:rsidR="00567555" w:rsidRPr="005A3B7B" w:rsidRDefault="00567555" w:rsidP="00B7493D">
              <w:pPr>
                <w:pStyle w:val="Header"/>
                <w:jc w:val="right"/>
                <w:rPr>
                  <w:rFonts w:ascii="Cambria" w:hAnsi="Cambria"/>
                  <w:b/>
                  <w:caps/>
                  <w:szCs w:val="18"/>
                </w:rPr>
              </w:pPr>
              <w:r>
                <w:rPr>
                  <w:rFonts w:ascii="Cambria" w:hAnsi="Cambria"/>
                  <w:b/>
                  <w:caps/>
                  <w:szCs w:val="18"/>
                  <w:lang w:val="ro-RO"/>
                </w:rPr>
                <w:t>PLANUL DE MENȚINERE A CALITĂȚII AERULUI În JUDEȚUL BRĂILA</w:t>
              </w:r>
            </w:p>
          </w:tc>
        </w:sdtContent>
      </w:sdt>
    </w:tr>
    <w:tr w:rsidR="00567555" w14:paraId="27ABF6B3" w14:textId="77777777" w:rsidTr="005E0E08">
      <w:trPr>
        <w:trHeight w:hRule="exact" w:val="115"/>
        <w:jc w:val="center"/>
      </w:trPr>
      <w:tc>
        <w:tcPr>
          <w:tcW w:w="3828" w:type="dxa"/>
          <w:gridSpan w:val="2"/>
          <w:shd w:val="clear" w:color="auto" w:fill="5B9BD5" w:themeFill="accent1"/>
          <w:tcMar>
            <w:top w:w="0" w:type="dxa"/>
            <w:bottom w:w="0" w:type="dxa"/>
          </w:tcMar>
        </w:tcPr>
        <w:p w14:paraId="2694E816" w14:textId="77777777" w:rsidR="00567555" w:rsidRDefault="00567555" w:rsidP="007F3CDB">
          <w:pPr>
            <w:pStyle w:val="Header"/>
            <w:rPr>
              <w:caps/>
              <w:color w:val="FFFFFF" w:themeColor="background1"/>
              <w:sz w:val="18"/>
              <w:szCs w:val="18"/>
            </w:rPr>
          </w:pPr>
        </w:p>
      </w:tc>
      <w:tc>
        <w:tcPr>
          <w:tcW w:w="5198" w:type="dxa"/>
          <w:shd w:val="clear" w:color="auto" w:fill="5B9BD5" w:themeFill="accent1"/>
          <w:tcMar>
            <w:top w:w="0" w:type="dxa"/>
            <w:bottom w:w="0" w:type="dxa"/>
          </w:tcMar>
        </w:tcPr>
        <w:p w14:paraId="39986D75" w14:textId="77777777" w:rsidR="00567555" w:rsidRDefault="00567555" w:rsidP="007F3CDB">
          <w:pPr>
            <w:pStyle w:val="Header"/>
            <w:rPr>
              <w:caps/>
              <w:color w:val="FFFFFF" w:themeColor="background1"/>
              <w:sz w:val="18"/>
              <w:szCs w:val="18"/>
            </w:rPr>
          </w:pPr>
        </w:p>
      </w:tc>
    </w:tr>
  </w:tbl>
  <w:p w14:paraId="0B23F8AA" w14:textId="77777777" w:rsidR="00567555" w:rsidRPr="00FA3294" w:rsidRDefault="00567555" w:rsidP="00826F37">
    <w:pPr>
      <w:rPr>
        <w:sz w:val="1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jc w:val="center"/>
      <w:tblCellMar>
        <w:top w:w="144" w:type="dxa"/>
        <w:left w:w="115" w:type="dxa"/>
        <w:bottom w:w="57" w:type="dxa"/>
        <w:right w:w="115" w:type="dxa"/>
      </w:tblCellMar>
      <w:tblLook w:val="04A0" w:firstRow="1" w:lastRow="0" w:firstColumn="1" w:lastColumn="0" w:noHBand="0" w:noVBand="1"/>
    </w:tblPr>
    <w:tblGrid>
      <w:gridCol w:w="1899"/>
      <w:gridCol w:w="2045"/>
      <w:gridCol w:w="5356"/>
    </w:tblGrid>
    <w:tr w:rsidR="00567555" w14:paraId="69D56FDF" w14:textId="77777777" w:rsidTr="006455F6">
      <w:trPr>
        <w:trHeight w:val="567"/>
        <w:jc w:val="center"/>
      </w:trPr>
      <w:tc>
        <w:tcPr>
          <w:tcW w:w="1843" w:type="dxa"/>
          <w:shd w:val="clear" w:color="auto" w:fill="FFFFFF" w:themeFill="background1"/>
          <w:vAlign w:val="bottom"/>
        </w:tcPr>
        <w:p w14:paraId="5ABD27E2" w14:textId="77777777" w:rsidR="00567555" w:rsidRDefault="00567555" w:rsidP="00EC1F7F">
          <w:pPr>
            <w:pStyle w:val="Header"/>
            <w:rPr>
              <w:caps/>
              <w:color w:val="FFFFFF" w:themeColor="background1"/>
              <w:sz w:val="18"/>
              <w:szCs w:val="18"/>
            </w:rPr>
          </w:pPr>
          <w:r>
            <w:rPr>
              <w:caps/>
              <w:noProof/>
              <w:color w:val="FFFFFF" w:themeColor="background1"/>
              <w:sz w:val="18"/>
              <w:szCs w:val="18"/>
            </w:rPr>
            <w:drawing>
              <wp:inline distT="0" distB="0" distL="0" distR="0" wp14:anchorId="0D5D301E" wp14:editId="4B0BB269">
                <wp:extent cx="942251" cy="40906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tema judet galati - Copy.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2251" cy="409066"/>
                        </a:xfrm>
                        <a:prstGeom prst="rect">
                          <a:avLst/>
                        </a:prstGeom>
                      </pic:spPr>
                    </pic:pic>
                  </a:graphicData>
                </a:graphic>
              </wp:inline>
            </w:drawing>
          </w:r>
        </w:p>
      </w:tc>
      <w:sdt>
        <w:sdtPr>
          <w:rPr>
            <w:rFonts w:ascii="Cambria" w:hAnsi="Cambria"/>
            <w:b/>
            <w:caps/>
            <w:szCs w:val="18"/>
          </w:rPr>
          <w:alias w:val="Title"/>
          <w:tag w:val=""/>
          <w:id w:val="-2145954486"/>
          <w:dataBinding w:prefixMappings="xmlns:ns0='http://purl.org/dc/elements/1.1/' xmlns:ns1='http://schemas.openxmlformats.org/package/2006/metadata/core-properties' " w:xpath="/ns1:coreProperties[1]/ns0:title[1]" w:storeItemID="{6C3C8BC8-F283-45AE-878A-BAB7291924A1}"/>
          <w:text/>
        </w:sdtPr>
        <w:sdtEndPr/>
        <w:sdtContent>
          <w:tc>
            <w:tcPr>
              <w:tcW w:w="7183" w:type="dxa"/>
              <w:gridSpan w:val="2"/>
              <w:shd w:val="clear" w:color="auto" w:fill="FFFFFF" w:themeFill="background1"/>
              <w:vAlign w:val="bottom"/>
            </w:tcPr>
            <w:p w14:paraId="25AFF1A1" w14:textId="77777777" w:rsidR="00567555" w:rsidRPr="005A3B7B" w:rsidRDefault="00567555" w:rsidP="00EC1F7F">
              <w:pPr>
                <w:pStyle w:val="Header"/>
                <w:jc w:val="right"/>
                <w:rPr>
                  <w:rFonts w:ascii="Cambria" w:hAnsi="Cambria"/>
                  <w:b/>
                  <w:caps/>
                  <w:szCs w:val="18"/>
                </w:rPr>
              </w:pPr>
              <w:r>
                <w:rPr>
                  <w:rFonts w:ascii="Cambria" w:hAnsi="Cambria"/>
                  <w:b/>
                  <w:caps/>
                  <w:szCs w:val="18"/>
                </w:rPr>
                <w:t>PLANUL DE MENȚINERE A CALITĂȚII AERULUI În JUDEȚUL BRĂILA</w:t>
              </w:r>
            </w:p>
          </w:tc>
        </w:sdtContent>
      </w:sdt>
    </w:tr>
    <w:tr w:rsidR="00567555" w14:paraId="2B0070C7" w14:textId="77777777" w:rsidTr="006455F6">
      <w:trPr>
        <w:trHeight w:hRule="exact" w:val="115"/>
        <w:jc w:val="center"/>
      </w:trPr>
      <w:tc>
        <w:tcPr>
          <w:tcW w:w="3828" w:type="dxa"/>
          <w:gridSpan w:val="2"/>
          <w:shd w:val="clear" w:color="auto" w:fill="5B9BD5" w:themeFill="accent1"/>
          <w:tcMar>
            <w:top w:w="0" w:type="dxa"/>
            <w:bottom w:w="0" w:type="dxa"/>
          </w:tcMar>
        </w:tcPr>
        <w:p w14:paraId="3C31BBAB" w14:textId="77777777" w:rsidR="00567555" w:rsidRDefault="00567555" w:rsidP="00EC1F7F">
          <w:pPr>
            <w:pStyle w:val="Header"/>
            <w:rPr>
              <w:caps/>
              <w:color w:val="FFFFFF" w:themeColor="background1"/>
              <w:sz w:val="18"/>
              <w:szCs w:val="18"/>
            </w:rPr>
          </w:pPr>
        </w:p>
      </w:tc>
      <w:tc>
        <w:tcPr>
          <w:tcW w:w="5198" w:type="dxa"/>
          <w:shd w:val="clear" w:color="auto" w:fill="5B9BD5" w:themeFill="accent1"/>
          <w:tcMar>
            <w:top w:w="0" w:type="dxa"/>
            <w:bottom w:w="0" w:type="dxa"/>
          </w:tcMar>
        </w:tcPr>
        <w:p w14:paraId="5AF95A0C" w14:textId="77777777" w:rsidR="00567555" w:rsidRDefault="00567555" w:rsidP="00EC1F7F">
          <w:pPr>
            <w:pStyle w:val="Header"/>
            <w:rPr>
              <w:caps/>
              <w:color w:val="FFFFFF" w:themeColor="background1"/>
              <w:sz w:val="18"/>
              <w:szCs w:val="18"/>
            </w:rPr>
          </w:pPr>
        </w:p>
      </w:tc>
    </w:tr>
  </w:tbl>
  <w:p w14:paraId="4AF343C8" w14:textId="77777777" w:rsidR="00567555" w:rsidRPr="00EC1F7F" w:rsidRDefault="00567555" w:rsidP="00EC1F7F">
    <w:pPr>
      <w:pStyle w:val="Header"/>
      <w:rPr>
        <w:sz w:val="1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jc w:val="center"/>
      <w:tblCellMar>
        <w:top w:w="144" w:type="dxa"/>
        <w:left w:w="115" w:type="dxa"/>
        <w:bottom w:w="57" w:type="dxa"/>
        <w:right w:w="115" w:type="dxa"/>
      </w:tblCellMar>
      <w:tblLook w:val="04A0" w:firstRow="1" w:lastRow="0" w:firstColumn="1" w:lastColumn="0" w:noHBand="0" w:noVBand="1"/>
    </w:tblPr>
    <w:tblGrid>
      <w:gridCol w:w="1899"/>
      <w:gridCol w:w="2045"/>
      <w:gridCol w:w="5356"/>
    </w:tblGrid>
    <w:tr w:rsidR="00567555" w14:paraId="20CAA11A" w14:textId="77777777" w:rsidTr="006455F6">
      <w:trPr>
        <w:trHeight w:val="567"/>
        <w:jc w:val="center"/>
      </w:trPr>
      <w:tc>
        <w:tcPr>
          <w:tcW w:w="1843" w:type="dxa"/>
          <w:shd w:val="clear" w:color="auto" w:fill="FFFFFF" w:themeFill="background1"/>
          <w:vAlign w:val="bottom"/>
        </w:tcPr>
        <w:p w14:paraId="472EC5AD" w14:textId="77777777" w:rsidR="00567555" w:rsidRDefault="00567555" w:rsidP="00EC1F7F">
          <w:pPr>
            <w:pStyle w:val="Header"/>
            <w:rPr>
              <w:caps/>
              <w:color w:val="FFFFFF" w:themeColor="background1"/>
              <w:sz w:val="18"/>
              <w:szCs w:val="18"/>
            </w:rPr>
          </w:pPr>
          <w:r>
            <w:rPr>
              <w:caps/>
              <w:noProof/>
              <w:color w:val="FFFFFF" w:themeColor="background1"/>
              <w:sz w:val="18"/>
              <w:szCs w:val="18"/>
            </w:rPr>
            <w:drawing>
              <wp:inline distT="0" distB="0" distL="0" distR="0" wp14:anchorId="1AC832E0" wp14:editId="0D546EDB">
                <wp:extent cx="942251" cy="40906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tema judet galati - Copy.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2251" cy="409066"/>
                        </a:xfrm>
                        <a:prstGeom prst="rect">
                          <a:avLst/>
                        </a:prstGeom>
                      </pic:spPr>
                    </pic:pic>
                  </a:graphicData>
                </a:graphic>
              </wp:inline>
            </w:drawing>
          </w:r>
        </w:p>
      </w:tc>
      <w:sdt>
        <w:sdtPr>
          <w:rPr>
            <w:rFonts w:ascii="Cambria" w:hAnsi="Cambria"/>
            <w:b/>
            <w:caps/>
            <w:szCs w:val="18"/>
          </w:rPr>
          <w:alias w:val="Title"/>
          <w:tag w:val=""/>
          <w:id w:val="1870412311"/>
          <w:dataBinding w:prefixMappings="xmlns:ns0='http://purl.org/dc/elements/1.1/' xmlns:ns1='http://schemas.openxmlformats.org/package/2006/metadata/core-properties' " w:xpath="/ns1:coreProperties[1]/ns0:title[1]" w:storeItemID="{6C3C8BC8-F283-45AE-878A-BAB7291924A1}"/>
          <w:text/>
        </w:sdtPr>
        <w:sdtEndPr/>
        <w:sdtContent>
          <w:tc>
            <w:tcPr>
              <w:tcW w:w="7183" w:type="dxa"/>
              <w:gridSpan w:val="2"/>
              <w:shd w:val="clear" w:color="auto" w:fill="FFFFFF" w:themeFill="background1"/>
              <w:vAlign w:val="bottom"/>
            </w:tcPr>
            <w:p w14:paraId="68625E5A" w14:textId="77777777" w:rsidR="00567555" w:rsidRPr="005A3B7B" w:rsidRDefault="00567555" w:rsidP="00EC1F7F">
              <w:pPr>
                <w:pStyle w:val="Header"/>
                <w:jc w:val="right"/>
                <w:rPr>
                  <w:rFonts w:ascii="Cambria" w:hAnsi="Cambria"/>
                  <w:b/>
                  <w:caps/>
                  <w:szCs w:val="18"/>
                </w:rPr>
              </w:pPr>
              <w:r>
                <w:rPr>
                  <w:rFonts w:ascii="Cambria" w:hAnsi="Cambria"/>
                  <w:b/>
                  <w:caps/>
                  <w:szCs w:val="18"/>
                </w:rPr>
                <w:t>PLANUL DE MENȚINERE A CALITĂȚII AERULUI În JUDEȚUL BRĂILA</w:t>
              </w:r>
            </w:p>
          </w:tc>
        </w:sdtContent>
      </w:sdt>
    </w:tr>
    <w:tr w:rsidR="00567555" w14:paraId="05D0953B" w14:textId="77777777" w:rsidTr="006455F6">
      <w:trPr>
        <w:trHeight w:hRule="exact" w:val="115"/>
        <w:jc w:val="center"/>
      </w:trPr>
      <w:tc>
        <w:tcPr>
          <w:tcW w:w="3828" w:type="dxa"/>
          <w:gridSpan w:val="2"/>
          <w:shd w:val="clear" w:color="auto" w:fill="5B9BD5" w:themeFill="accent1"/>
          <w:tcMar>
            <w:top w:w="0" w:type="dxa"/>
            <w:bottom w:w="0" w:type="dxa"/>
          </w:tcMar>
        </w:tcPr>
        <w:p w14:paraId="18932655" w14:textId="77777777" w:rsidR="00567555" w:rsidRDefault="00567555" w:rsidP="00EC1F7F">
          <w:pPr>
            <w:pStyle w:val="Header"/>
            <w:rPr>
              <w:caps/>
              <w:color w:val="FFFFFF" w:themeColor="background1"/>
              <w:sz w:val="18"/>
              <w:szCs w:val="18"/>
            </w:rPr>
          </w:pPr>
        </w:p>
      </w:tc>
      <w:tc>
        <w:tcPr>
          <w:tcW w:w="5198" w:type="dxa"/>
          <w:shd w:val="clear" w:color="auto" w:fill="5B9BD5" w:themeFill="accent1"/>
          <w:tcMar>
            <w:top w:w="0" w:type="dxa"/>
            <w:bottom w:w="0" w:type="dxa"/>
          </w:tcMar>
        </w:tcPr>
        <w:p w14:paraId="60325415" w14:textId="77777777" w:rsidR="00567555" w:rsidRDefault="00567555" w:rsidP="00EC1F7F">
          <w:pPr>
            <w:pStyle w:val="Header"/>
            <w:rPr>
              <w:caps/>
              <w:color w:val="FFFFFF" w:themeColor="background1"/>
              <w:sz w:val="18"/>
              <w:szCs w:val="18"/>
            </w:rPr>
          </w:pPr>
        </w:p>
      </w:tc>
    </w:tr>
  </w:tbl>
  <w:p w14:paraId="2DF9A59E" w14:textId="77777777" w:rsidR="00567555" w:rsidRPr="00EC1F7F" w:rsidRDefault="00567555" w:rsidP="00EC1F7F">
    <w:pPr>
      <w:pStyle w:val="Header"/>
      <w:rPr>
        <w:sz w:val="1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jc w:val="center"/>
      <w:tblCellMar>
        <w:top w:w="144" w:type="dxa"/>
        <w:left w:w="115" w:type="dxa"/>
        <w:bottom w:w="28" w:type="dxa"/>
        <w:right w:w="115" w:type="dxa"/>
      </w:tblCellMar>
      <w:tblLook w:val="04A0" w:firstRow="1" w:lastRow="0" w:firstColumn="1" w:lastColumn="0" w:noHBand="0" w:noVBand="1"/>
    </w:tblPr>
    <w:tblGrid>
      <w:gridCol w:w="1899"/>
      <w:gridCol w:w="2045"/>
      <w:gridCol w:w="5356"/>
    </w:tblGrid>
    <w:tr w:rsidR="00567555" w14:paraId="4F54F1A3" w14:textId="77777777" w:rsidTr="005E0E08">
      <w:trPr>
        <w:trHeight w:val="567"/>
        <w:jc w:val="center"/>
      </w:trPr>
      <w:tc>
        <w:tcPr>
          <w:tcW w:w="1843" w:type="dxa"/>
          <w:shd w:val="clear" w:color="auto" w:fill="FFFFFF" w:themeFill="background1"/>
          <w:vAlign w:val="bottom"/>
        </w:tcPr>
        <w:p w14:paraId="7AB7C409" w14:textId="77777777" w:rsidR="00567555" w:rsidRDefault="00567555" w:rsidP="001069E1">
          <w:pPr>
            <w:pStyle w:val="Header"/>
            <w:rPr>
              <w:caps/>
              <w:color w:val="FFFFFF" w:themeColor="background1"/>
              <w:sz w:val="18"/>
              <w:szCs w:val="18"/>
            </w:rPr>
          </w:pPr>
          <w:r>
            <w:rPr>
              <w:caps/>
              <w:noProof/>
              <w:color w:val="FFFFFF" w:themeColor="background1"/>
              <w:sz w:val="18"/>
              <w:szCs w:val="18"/>
            </w:rPr>
            <w:drawing>
              <wp:inline distT="0" distB="0" distL="0" distR="0" wp14:anchorId="7B2D72DD" wp14:editId="199C880A">
                <wp:extent cx="1000125" cy="474645"/>
                <wp:effectExtent l="0" t="0" r="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tema judet galati - Copy.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4148" cy="476554"/>
                        </a:xfrm>
                        <a:prstGeom prst="rect">
                          <a:avLst/>
                        </a:prstGeom>
                      </pic:spPr>
                    </pic:pic>
                  </a:graphicData>
                </a:graphic>
              </wp:inline>
            </w:drawing>
          </w:r>
        </w:p>
      </w:tc>
      <w:sdt>
        <w:sdtPr>
          <w:rPr>
            <w:rFonts w:ascii="Cambria" w:hAnsi="Cambria"/>
            <w:b/>
            <w:caps/>
            <w:szCs w:val="18"/>
          </w:rPr>
          <w:alias w:val="Title"/>
          <w:tag w:val=""/>
          <w:id w:val="1518354365"/>
          <w:dataBinding w:prefixMappings="xmlns:ns0='http://purl.org/dc/elements/1.1/' xmlns:ns1='http://schemas.openxmlformats.org/package/2006/metadata/core-properties' " w:xpath="/ns1:coreProperties[1]/ns0:title[1]" w:storeItemID="{6C3C8BC8-F283-45AE-878A-BAB7291924A1}"/>
          <w:text/>
        </w:sdtPr>
        <w:sdtEndPr/>
        <w:sdtContent>
          <w:tc>
            <w:tcPr>
              <w:tcW w:w="7183" w:type="dxa"/>
              <w:gridSpan w:val="2"/>
              <w:shd w:val="clear" w:color="auto" w:fill="FFFFFF" w:themeFill="background1"/>
              <w:vAlign w:val="bottom"/>
            </w:tcPr>
            <w:p w14:paraId="76E8781D" w14:textId="77777777" w:rsidR="00567555" w:rsidRPr="005A3B7B" w:rsidRDefault="00567555" w:rsidP="00B7493D">
              <w:pPr>
                <w:pStyle w:val="Header"/>
                <w:jc w:val="right"/>
                <w:rPr>
                  <w:rFonts w:ascii="Cambria" w:hAnsi="Cambria"/>
                  <w:b/>
                  <w:caps/>
                  <w:szCs w:val="18"/>
                </w:rPr>
              </w:pPr>
              <w:r>
                <w:rPr>
                  <w:rFonts w:ascii="Cambria" w:hAnsi="Cambria"/>
                  <w:b/>
                  <w:caps/>
                  <w:szCs w:val="18"/>
                </w:rPr>
                <w:t>PLANUL DE MENȚINERE A CALITĂȚII AERULUI În JUDEȚUL BRĂILA</w:t>
              </w:r>
            </w:p>
          </w:tc>
        </w:sdtContent>
      </w:sdt>
    </w:tr>
    <w:tr w:rsidR="00567555" w14:paraId="1C8AC39E" w14:textId="77777777" w:rsidTr="005E0E08">
      <w:trPr>
        <w:trHeight w:hRule="exact" w:val="115"/>
        <w:jc w:val="center"/>
      </w:trPr>
      <w:tc>
        <w:tcPr>
          <w:tcW w:w="3828" w:type="dxa"/>
          <w:gridSpan w:val="2"/>
          <w:shd w:val="clear" w:color="auto" w:fill="5B9BD5" w:themeFill="accent1"/>
          <w:tcMar>
            <w:top w:w="0" w:type="dxa"/>
            <w:bottom w:w="0" w:type="dxa"/>
          </w:tcMar>
        </w:tcPr>
        <w:p w14:paraId="08C6D2DC" w14:textId="77777777" w:rsidR="00567555" w:rsidRDefault="00567555" w:rsidP="007F3CDB">
          <w:pPr>
            <w:pStyle w:val="Header"/>
            <w:rPr>
              <w:caps/>
              <w:color w:val="FFFFFF" w:themeColor="background1"/>
              <w:sz w:val="18"/>
              <w:szCs w:val="18"/>
            </w:rPr>
          </w:pPr>
        </w:p>
      </w:tc>
      <w:tc>
        <w:tcPr>
          <w:tcW w:w="5198" w:type="dxa"/>
          <w:shd w:val="clear" w:color="auto" w:fill="5B9BD5" w:themeFill="accent1"/>
          <w:tcMar>
            <w:top w:w="0" w:type="dxa"/>
            <w:bottom w:w="0" w:type="dxa"/>
          </w:tcMar>
        </w:tcPr>
        <w:p w14:paraId="4E93F0D4" w14:textId="77777777" w:rsidR="00567555" w:rsidRDefault="00567555" w:rsidP="007F3CDB">
          <w:pPr>
            <w:pStyle w:val="Header"/>
            <w:rPr>
              <w:caps/>
              <w:color w:val="FFFFFF" w:themeColor="background1"/>
              <w:sz w:val="18"/>
              <w:szCs w:val="18"/>
            </w:rPr>
          </w:pPr>
        </w:p>
      </w:tc>
    </w:tr>
  </w:tbl>
  <w:p w14:paraId="127F4CA2" w14:textId="77777777" w:rsidR="00567555" w:rsidRPr="00FA3294" w:rsidRDefault="00567555" w:rsidP="00826F37">
    <w:pPr>
      <w:rPr>
        <w:sz w:val="1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jc w:val="center"/>
      <w:tblCellMar>
        <w:top w:w="144" w:type="dxa"/>
        <w:left w:w="115" w:type="dxa"/>
        <w:bottom w:w="28" w:type="dxa"/>
        <w:right w:w="115" w:type="dxa"/>
      </w:tblCellMar>
      <w:tblLook w:val="04A0" w:firstRow="1" w:lastRow="0" w:firstColumn="1" w:lastColumn="0" w:noHBand="0" w:noVBand="1"/>
    </w:tblPr>
    <w:tblGrid>
      <w:gridCol w:w="1899"/>
      <w:gridCol w:w="2045"/>
      <w:gridCol w:w="5356"/>
    </w:tblGrid>
    <w:tr w:rsidR="00567555" w14:paraId="1D725FA7" w14:textId="77777777" w:rsidTr="005E0E08">
      <w:trPr>
        <w:trHeight w:val="567"/>
        <w:jc w:val="center"/>
      </w:trPr>
      <w:tc>
        <w:tcPr>
          <w:tcW w:w="1843" w:type="dxa"/>
          <w:shd w:val="clear" w:color="auto" w:fill="FFFFFF" w:themeFill="background1"/>
          <w:vAlign w:val="bottom"/>
        </w:tcPr>
        <w:p w14:paraId="31E609F8" w14:textId="77777777" w:rsidR="00567555" w:rsidRDefault="00567555" w:rsidP="005E0E08">
          <w:pPr>
            <w:pStyle w:val="Header"/>
            <w:rPr>
              <w:caps/>
              <w:color w:val="FFFFFF" w:themeColor="background1"/>
              <w:sz w:val="18"/>
              <w:szCs w:val="18"/>
            </w:rPr>
          </w:pPr>
          <w:r>
            <w:rPr>
              <w:caps/>
              <w:noProof/>
              <w:color w:val="FFFFFF" w:themeColor="background1"/>
              <w:sz w:val="18"/>
              <w:szCs w:val="18"/>
            </w:rPr>
            <w:drawing>
              <wp:inline distT="0" distB="0" distL="0" distR="0" wp14:anchorId="251BB5EF" wp14:editId="331F648C">
                <wp:extent cx="1000125" cy="474645"/>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tema judet galati - Copy.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4148" cy="476554"/>
                        </a:xfrm>
                        <a:prstGeom prst="rect">
                          <a:avLst/>
                        </a:prstGeom>
                      </pic:spPr>
                    </pic:pic>
                  </a:graphicData>
                </a:graphic>
              </wp:inline>
            </w:drawing>
          </w:r>
        </w:p>
      </w:tc>
      <w:sdt>
        <w:sdtPr>
          <w:rPr>
            <w:rFonts w:ascii="Cambria" w:hAnsi="Cambria"/>
            <w:b/>
            <w:caps/>
            <w:szCs w:val="18"/>
          </w:rPr>
          <w:alias w:val="Title"/>
          <w:tag w:val=""/>
          <w:id w:val="-394656715"/>
          <w:dataBinding w:prefixMappings="xmlns:ns0='http://purl.org/dc/elements/1.1/' xmlns:ns1='http://schemas.openxmlformats.org/package/2006/metadata/core-properties' " w:xpath="/ns1:coreProperties[1]/ns0:title[1]" w:storeItemID="{6C3C8BC8-F283-45AE-878A-BAB7291924A1}"/>
          <w:text/>
        </w:sdtPr>
        <w:sdtEndPr/>
        <w:sdtContent>
          <w:tc>
            <w:tcPr>
              <w:tcW w:w="7183" w:type="dxa"/>
              <w:gridSpan w:val="2"/>
              <w:shd w:val="clear" w:color="auto" w:fill="FFFFFF" w:themeFill="background1"/>
              <w:vAlign w:val="bottom"/>
            </w:tcPr>
            <w:p w14:paraId="61192A23" w14:textId="77777777" w:rsidR="00567555" w:rsidRPr="005A3B7B" w:rsidRDefault="00567555" w:rsidP="005E0E08">
              <w:pPr>
                <w:pStyle w:val="Header"/>
                <w:jc w:val="right"/>
                <w:rPr>
                  <w:rFonts w:ascii="Cambria" w:hAnsi="Cambria"/>
                  <w:b/>
                  <w:caps/>
                  <w:szCs w:val="18"/>
                </w:rPr>
              </w:pPr>
              <w:r>
                <w:rPr>
                  <w:rFonts w:ascii="Cambria" w:hAnsi="Cambria"/>
                  <w:b/>
                  <w:caps/>
                  <w:szCs w:val="18"/>
                </w:rPr>
                <w:t>PLANUL DE MENȚINERE A CALITĂȚII AERULUI În JUDEȚUL BRĂILA</w:t>
              </w:r>
            </w:p>
          </w:tc>
        </w:sdtContent>
      </w:sdt>
    </w:tr>
    <w:tr w:rsidR="00567555" w14:paraId="6B773E29" w14:textId="77777777" w:rsidTr="005E0E08">
      <w:trPr>
        <w:trHeight w:hRule="exact" w:val="115"/>
        <w:jc w:val="center"/>
      </w:trPr>
      <w:tc>
        <w:tcPr>
          <w:tcW w:w="3828" w:type="dxa"/>
          <w:gridSpan w:val="2"/>
          <w:shd w:val="clear" w:color="auto" w:fill="5B9BD5" w:themeFill="accent1"/>
          <w:tcMar>
            <w:top w:w="0" w:type="dxa"/>
            <w:bottom w:w="0" w:type="dxa"/>
          </w:tcMar>
        </w:tcPr>
        <w:p w14:paraId="47CC4277" w14:textId="77777777" w:rsidR="00567555" w:rsidRDefault="00567555" w:rsidP="005E0E08">
          <w:pPr>
            <w:pStyle w:val="Header"/>
            <w:rPr>
              <w:caps/>
              <w:color w:val="FFFFFF" w:themeColor="background1"/>
              <w:sz w:val="18"/>
              <w:szCs w:val="18"/>
            </w:rPr>
          </w:pPr>
        </w:p>
      </w:tc>
      <w:tc>
        <w:tcPr>
          <w:tcW w:w="5198" w:type="dxa"/>
          <w:shd w:val="clear" w:color="auto" w:fill="5B9BD5" w:themeFill="accent1"/>
          <w:tcMar>
            <w:top w:w="0" w:type="dxa"/>
            <w:bottom w:w="0" w:type="dxa"/>
          </w:tcMar>
        </w:tcPr>
        <w:p w14:paraId="021E9CEF" w14:textId="77777777" w:rsidR="00567555" w:rsidRDefault="00567555" w:rsidP="005E0E08">
          <w:pPr>
            <w:pStyle w:val="Header"/>
            <w:rPr>
              <w:caps/>
              <w:color w:val="FFFFFF" w:themeColor="background1"/>
              <w:sz w:val="18"/>
              <w:szCs w:val="18"/>
            </w:rPr>
          </w:pPr>
        </w:p>
      </w:tc>
    </w:tr>
  </w:tbl>
  <w:p w14:paraId="589893B8" w14:textId="77777777" w:rsidR="00567555" w:rsidRPr="007F2A98" w:rsidRDefault="00567555">
    <w:pPr>
      <w:rPr>
        <w:sz w:val="1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jc w:val="center"/>
      <w:tblCellMar>
        <w:top w:w="144" w:type="dxa"/>
        <w:left w:w="115" w:type="dxa"/>
        <w:bottom w:w="28" w:type="dxa"/>
        <w:right w:w="115" w:type="dxa"/>
      </w:tblCellMar>
      <w:tblLook w:val="04A0" w:firstRow="1" w:lastRow="0" w:firstColumn="1" w:lastColumn="0" w:noHBand="0" w:noVBand="1"/>
    </w:tblPr>
    <w:tblGrid>
      <w:gridCol w:w="1890"/>
      <w:gridCol w:w="2036"/>
      <w:gridCol w:w="5330"/>
    </w:tblGrid>
    <w:tr w:rsidR="00567555" w14:paraId="2B0C1222" w14:textId="77777777" w:rsidTr="005E0E08">
      <w:trPr>
        <w:trHeight w:val="567"/>
        <w:jc w:val="center"/>
      </w:trPr>
      <w:tc>
        <w:tcPr>
          <w:tcW w:w="1843" w:type="dxa"/>
          <w:shd w:val="clear" w:color="auto" w:fill="FFFFFF" w:themeFill="background1"/>
          <w:vAlign w:val="bottom"/>
        </w:tcPr>
        <w:p w14:paraId="3BCA5904" w14:textId="77777777" w:rsidR="00567555" w:rsidRDefault="00567555" w:rsidP="005E0E08">
          <w:pPr>
            <w:pStyle w:val="Header"/>
            <w:rPr>
              <w:caps/>
              <w:color w:val="FFFFFF" w:themeColor="background1"/>
              <w:sz w:val="18"/>
              <w:szCs w:val="18"/>
            </w:rPr>
          </w:pPr>
          <w:r>
            <w:rPr>
              <w:caps/>
              <w:noProof/>
              <w:color w:val="FFFFFF" w:themeColor="background1"/>
              <w:sz w:val="18"/>
              <w:szCs w:val="18"/>
            </w:rPr>
            <w:drawing>
              <wp:inline distT="0" distB="0" distL="0" distR="0" wp14:anchorId="566116B7" wp14:editId="65B14BBC">
                <wp:extent cx="1000125" cy="474645"/>
                <wp:effectExtent l="0" t="0" r="0" b="190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tema judet galati - Copy.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4148" cy="476554"/>
                        </a:xfrm>
                        <a:prstGeom prst="rect">
                          <a:avLst/>
                        </a:prstGeom>
                      </pic:spPr>
                    </pic:pic>
                  </a:graphicData>
                </a:graphic>
              </wp:inline>
            </w:drawing>
          </w:r>
        </w:p>
      </w:tc>
      <w:sdt>
        <w:sdtPr>
          <w:rPr>
            <w:rFonts w:ascii="Cambria" w:hAnsi="Cambria"/>
            <w:b/>
            <w:caps/>
            <w:szCs w:val="18"/>
          </w:rPr>
          <w:alias w:val="Title"/>
          <w:tag w:val=""/>
          <w:id w:val="-1530726200"/>
          <w:dataBinding w:prefixMappings="xmlns:ns0='http://purl.org/dc/elements/1.1/' xmlns:ns1='http://schemas.openxmlformats.org/package/2006/metadata/core-properties' " w:xpath="/ns1:coreProperties[1]/ns0:title[1]" w:storeItemID="{6C3C8BC8-F283-45AE-878A-BAB7291924A1}"/>
          <w:text/>
        </w:sdtPr>
        <w:sdtEndPr/>
        <w:sdtContent>
          <w:tc>
            <w:tcPr>
              <w:tcW w:w="7183" w:type="dxa"/>
              <w:gridSpan w:val="2"/>
              <w:shd w:val="clear" w:color="auto" w:fill="FFFFFF" w:themeFill="background1"/>
              <w:vAlign w:val="bottom"/>
            </w:tcPr>
            <w:p w14:paraId="5CC5CB10" w14:textId="77777777" w:rsidR="00567555" w:rsidRPr="005A3B7B" w:rsidRDefault="00567555" w:rsidP="005E0E08">
              <w:pPr>
                <w:pStyle w:val="Header"/>
                <w:jc w:val="right"/>
                <w:rPr>
                  <w:rFonts w:ascii="Cambria" w:hAnsi="Cambria"/>
                  <w:b/>
                  <w:caps/>
                  <w:szCs w:val="18"/>
                </w:rPr>
              </w:pPr>
              <w:r>
                <w:rPr>
                  <w:rFonts w:ascii="Cambria" w:hAnsi="Cambria"/>
                  <w:b/>
                  <w:caps/>
                  <w:szCs w:val="18"/>
                  <w:lang w:val="ro-RO"/>
                </w:rPr>
                <w:t>PLANUL DE MENȚINERE A CALITĂȚII AERULUI În JUDEȚUL BRĂILA</w:t>
              </w:r>
            </w:p>
          </w:tc>
        </w:sdtContent>
      </w:sdt>
    </w:tr>
    <w:tr w:rsidR="00567555" w14:paraId="1D822195" w14:textId="77777777" w:rsidTr="005E0E08">
      <w:trPr>
        <w:trHeight w:hRule="exact" w:val="115"/>
        <w:jc w:val="center"/>
      </w:trPr>
      <w:tc>
        <w:tcPr>
          <w:tcW w:w="3828" w:type="dxa"/>
          <w:gridSpan w:val="2"/>
          <w:shd w:val="clear" w:color="auto" w:fill="5B9BD5" w:themeFill="accent1"/>
          <w:tcMar>
            <w:top w:w="0" w:type="dxa"/>
            <w:bottom w:w="0" w:type="dxa"/>
          </w:tcMar>
        </w:tcPr>
        <w:p w14:paraId="09207CB8" w14:textId="77777777" w:rsidR="00567555" w:rsidRDefault="00567555" w:rsidP="005E0E08">
          <w:pPr>
            <w:pStyle w:val="Header"/>
            <w:rPr>
              <w:caps/>
              <w:color w:val="FFFFFF" w:themeColor="background1"/>
              <w:sz w:val="18"/>
              <w:szCs w:val="18"/>
            </w:rPr>
          </w:pPr>
        </w:p>
      </w:tc>
      <w:tc>
        <w:tcPr>
          <w:tcW w:w="5198" w:type="dxa"/>
          <w:shd w:val="clear" w:color="auto" w:fill="5B9BD5" w:themeFill="accent1"/>
          <w:tcMar>
            <w:top w:w="0" w:type="dxa"/>
            <w:bottom w:w="0" w:type="dxa"/>
          </w:tcMar>
        </w:tcPr>
        <w:p w14:paraId="3E5D5491" w14:textId="77777777" w:rsidR="00567555" w:rsidRDefault="00567555" w:rsidP="005E0E08">
          <w:pPr>
            <w:pStyle w:val="Header"/>
            <w:rPr>
              <w:caps/>
              <w:color w:val="FFFFFF" w:themeColor="background1"/>
              <w:sz w:val="18"/>
              <w:szCs w:val="18"/>
            </w:rPr>
          </w:pPr>
        </w:p>
      </w:tc>
    </w:tr>
  </w:tbl>
  <w:p w14:paraId="244F21FB" w14:textId="77777777" w:rsidR="00567555" w:rsidRPr="007F2A98" w:rsidRDefault="00567555">
    <w:pPr>
      <w:rPr>
        <w:sz w:val="1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jc w:val="center"/>
      <w:tblCellMar>
        <w:top w:w="144" w:type="dxa"/>
        <w:left w:w="115" w:type="dxa"/>
        <w:bottom w:w="28" w:type="dxa"/>
        <w:right w:w="115" w:type="dxa"/>
      </w:tblCellMar>
      <w:tblLook w:val="04A0" w:firstRow="1" w:lastRow="0" w:firstColumn="1" w:lastColumn="0" w:noHBand="0" w:noVBand="1"/>
    </w:tblPr>
    <w:tblGrid>
      <w:gridCol w:w="1899"/>
      <w:gridCol w:w="2045"/>
      <w:gridCol w:w="5356"/>
    </w:tblGrid>
    <w:tr w:rsidR="00567555" w14:paraId="780E8A6C" w14:textId="77777777" w:rsidTr="0068646C">
      <w:trPr>
        <w:trHeight w:val="567"/>
        <w:jc w:val="center"/>
      </w:trPr>
      <w:tc>
        <w:tcPr>
          <w:tcW w:w="1843" w:type="dxa"/>
          <w:shd w:val="clear" w:color="auto" w:fill="FFFFFF" w:themeFill="background1"/>
          <w:vAlign w:val="bottom"/>
        </w:tcPr>
        <w:p w14:paraId="17319682" w14:textId="77777777" w:rsidR="00567555" w:rsidRDefault="00567555" w:rsidP="00835836">
          <w:pPr>
            <w:pStyle w:val="Header"/>
            <w:rPr>
              <w:caps/>
              <w:color w:val="FFFFFF" w:themeColor="background1"/>
              <w:sz w:val="18"/>
              <w:szCs w:val="18"/>
            </w:rPr>
          </w:pPr>
          <w:r>
            <w:rPr>
              <w:caps/>
              <w:noProof/>
              <w:color w:val="FFFFFF" w:themeColor="background1"/>
              <w:sz w:val="18"/>
              <w:szCs w:val="18"/>
            </w:rPr>
            <w:drawing>
              <wp:inline distT="0" distB="0" distL="0" distR="0" wp14:anchorId="5DB362A8" wp14:editId="45DCAE6F">
                <wp:extent cx="1000125" cy="474645"/>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tema judet galati - Copy.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4148" cy="476554"/>
                        </a:xfrm>
                        <a:prstGeom prst="rect">
                          <a:avLst/>
                        </a:prstGeom>
                      </pic:spPr>
                    </pic:pic>
                  </a:graphicData>
                </a:graphic>
              </wp:inline>
            </w:drawing>
          </w:r>
        </w:p>
      </w:tc>
      <w:sdt>
        <w:sdtPr>
          <w:rPr>
            <w:rFonts w:ascii="Cambria" w:hAnsi="Cambria"/>
            <w:b/>
            <w:caps/>
            <w:szCs w:val="18"/>
          </w:rPr>
          <w:alias w:val="Title"/>
          <w:tag w:val=""/>
          <w:id w:val="-530339573"/>
          <w:dataBinding w:prefixMappings="xmlns:ns0='http://purl.org/dc/elements/1.1/' xmlns:ns1='http://schemas.openxmlformats.org/package/2006/metadata/core-properties' " w:xpath="/ns1:coreProperties[1]/ns0:title[1]" w:storeItemID="{6C3C8BC8-F283-45AE-878A-BAB7291924A1}"/>
          <w:text/>
        </w:sdtPr>
        <w:sdtEndPr/>
        <w:sdtContent>
          <w:tc>
            <w:tcPr>
              <w:tcW w:w="7183" w:type="dxa"/>
              <w:gridSpan w:val="2"/>
              <w:shd w:val="clear" w:color="auto" w:fill="FFFFFF" w:themeFill="background1"/>
              <w:vAlign w:val="bottom"/>
            </w:tcPr>
            <w:p w14:paraId="6467AAC1" w14:textId="77777777" w:rsidR="00567555" w:rsidRPr="005A3B7B" w:rsidRDefault="00567555" w:rsidP="00835836">
              <w:pPr>
                <w:pStyle w:val="Header"/>
                <w:jc w:val="right"/>
                <w:rPr>
                  <w:rFonts w:ascii="Cambria" w:hAnsi="Cambria"/>
                  <w:b/>
                  <w:caps/>
                  <w:szCs w:val="18"/>
                </w:rPr>
              </w:pPr>
              <w:r>
                <w:rPr>
                  <w:rFonts w:ascii="Cambria" w:hAnsi="Cambria"/>
                  <w:b/>
                  <w:caps/>
                  <w:szCs w:val="18"/>
                </w:rPr>
                <w:t>PLANUL DE MENȚINERE A CALITĂȚII AERULUI În JUDEȚUL BRĂILA</w:t>
              </w:r>
            </w:p>
          </w:tc>
        </w:sdtContent>
      </w:sdt>
    </w:tr>
    <w:tr w:rsidR="00567555" w14:paraId="73A1B9ED" w14:textId="77777777" w:rsidTr="0068646C">
      <w:trPr>
        <w:trHeight w:hRule="exact" w:val="115"/>
        <w:jc w:val="center"/>
      </w:trPr>
      <w:tc>
        <w:tcPr>
          <w:tcW w:w="3828" w:type="dxa"/>
          <w:gridSpan w:val="2"/>
          <w:shd w:val="clear" w:color="auto" w:fill="5B9BD5" w:themeFill="accent1"/>
          <w:tcMar>
            <w:top w:w="0" w:type="dxa"/>
            <w:bottom w:w="0" w:type="dxa"/>
          </w:tcMar>
        </w:tcPr>
        <w:p w14:paraId="60E1490B" w14:textId="77777777" w:rsidR="00567555" w:rsidRDefault="00567555" w:rsidP="00835836">
          <w:pPr>
            <w:pStyle w:val="Header"/>
            <w:rPr>
              <w:caps/>
              <w:color w:val="FFFFFF" w:themeColor="background1"/>
              <w:sz w:val="18"/>
              <w:szCs w:val="18"/>
            </w:rPr>
          </w:pPr>
        </w:p>
      </w:tc>
      <w:tc>
        <w:tcPr>
          <w:tcW w:w="5198" w:type="dxa"/>
          <w:shd w:val="clear" w:color="auto" w:fill="5B9BD5" w:themeFill="accent1"/>
          <w:tcMar>
            <w:top w:w="0" w:type="dxa"/>
            <w:bottom w:w="0" w:type="dxa"/>
          </w:tcMar>
        </w:tcPr>
        <w:p w14:paraId="3DBC15EB" w14:textId="77777777" w:rsidR="00567555" w:rsidRDefault="00567555" w:rsidP="00835836">
          <w:pPr>
            <w:pStyle w:val="Header"/>
            <w:rPr>
              <w:caps/>
              <w:color w:val="FFFFFF" w:themeColor="background1"/>
              <w:sz w:val="18"/>
              <w:szCs w:val="18"/>
            </w:rPr>
          </w:pPr>
        </w:p>
      </w:tc>
    </w:tr>
  </w:tbl>
  <w:p w14:paraId="1E66A5F9" w14:textId="77777777" w:rsidR="00567555" w:rsidRPr="00E93869" w:rsidRDefault="00567555" w:rsidP="006452AB">
    <w:pPr>
      <w:pStyle w:val="Header"/>
      <w:rPr>
        <w:sz w:val="8"/>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jc w:val="center"/>
      <w:tblCellMar>
        <w:top w:w="144" w:type="dxa"/>
        <w:left w:w="115" w:type="dxa"/>
        <w:bottom w:w="28" w:type="dxa"/>
        <w:right w:w="115" w:type="dxa"/>
      </w:tblCellMar>
      <w:tblLook w:val="04A0" w:firstRow="1" w:lastRow="0" w:firstColumn="1" w:lastColumn="0" w:noHBand="0" w:noVBand="1"/>
    </w:tblPr>
    <w:tblGrid>
      <w:gridCol w:w="1899"/>
      <w:gridCol w:w="2045"/>
      <w:gridCol w:w="5356"/>
    </w:tblGrid>
    <w:tr w:rsidR="00567555" w14:paraId="7E26DB07" w14:textId="77777777" w:rsidTr="005E0E08">
      <w:trPr>
        <w:trHeight w:val="567"/>
        <w:jc w:val="center"/>
      </w:trPr>
      <w:tc>
        <w:tcPr>
          <w:tcW w:w="1843" w:type="dxa"/>
          <w:shd w:val="clear" w:color="auto" w:fill="FFFFFF" w:themeFill="background1"/>
          <w:vAlign w:val="bottom"/>
        </w:tcPr>
        <w:p w14:paraId="4E1F985D" w14:textId="77777777" w:rsidR="00567555" w:rsidRDefault="00567555" w:rsidP="005E0E08">
          <w:pPr>
            <w:pStyle w:val="Header"/>
            <w:rPr>
              <w:caps/>
              <w:color w:val="FFFFFF" w:themeColor="background1"/>
              <w:sz w:val="18"/>
              <w:szCs w:val="18"/>
            </w:rPr>
          </w:pPr>
          <w:r>
            <w:rPr>
              <w:caps/>
              <w:noProof/>
              <w:color w:val="FFFFFF" w:themeColor="background1"/>
              <w:sz w:val="18"/>
              <w:szCs w:val="18"/>
            </w:rPr>
            <w:drawing>
              <wp:inline distT="0" distB="0" distL="0" distR="0" wp14:anchorId="3E1CA547" wp14:editId="6BFD5D2C">
                <wp:extent cx="1000125" cy="474645"/>
                <wp:effectExtent l="0" t="0" r="0" b="190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tema judet galati - Copy.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4148" cy="476554"/>
                        </a:xfrm>
                        <a:prstGeom prst="rect">
                          <a:avLst/>
                        </a:prstGeom>
                      </pic:spPr>
                    </pic:pic>
                  </a:graphicData>
                </a:graphic>
              </wp:inline>
            </w:drawing>
          </w:r>
        </w:p>
      </w:tc>
      <w:sdt>
        <w:sdtPr>
          <w:rPr>
            <w:rFonts w:ascii="Cambria" w:hAnsi="Cambria"/>
            <w:b/>
            <w:caps/>
            <w:szCs w:val="18"/>
          </w:rPr>
          <w:alias w:val="Title"/>
          <w:tag w:val=""/>
          <w:id w:val="1238827310"/>
          <w:dataBinding w:prefixMappings="xmlns:ns0='http://purl.org/dc/elements/1.1/' xmlns:ns1='http://schemas.openxmlformats.org/package/2006/metadata/core-properties' " w:xpath="/ns1:coreProperties[1]/ns0:title[1]" w:storeItemID="{6C3C8BC8-F283-45AE-878A-BAB7291924A1}"/>
          <w:text/>
        </w:sdtPr>
        <w:sdtEndPr/>
        <w:sdtContent>
          <w:tc>
            <w:tcPr>
              <w:tcW w:w="7183" w:type="dxa"/>
              <w:gridSpan w:val="2"/>
              <w:shd w:val="clear" w:color="auto" w:fill="FFFFFF" w:themeFill="background1"/>
              <w:vAlign w:val="bottom"/>
            </w:tcPr>
            <w:p w14:paraId="2D24F710" w14:textId="77777777" w:rsidR="00567555" w:rsidRPr="005A3B7B" w:rsidRDefault="00567555" w:rsidP="005E0E08">
              <w:pPr>
                <w:pStyle w:val="Header"/>
                <w:jc w:val="right"/>
                <w:rPr>
                  <w:rFonts w:ascii="Cambria" w:hAnsi="Cambria"/>
                  <w:b/>
                  <w:caps/>
                  <w:szCs w:val="18"/>
                </w:rPr>
              </w:pPr>
              <w:r>
                <w:rPr>
                  <w:rFonts w:ascii="Cambria" w:hAnsi="Cambria"/>
                  <w:b/>
                  <w:caps/>
                  <w:szCs w:val="18"/>
                </w:rPr>
                <w:t>PLANUL DE MENȚINERE A CALITĂȚII AERULUI În JUDEȚUL BRĂILA</w:t>
              </w:r>
            </w:p>
          </w:tc>
        </w:sdtContent>
      </w:sdt>
    </w:tr>
    <w:tr w:rsidR="00567555" w14:paraId="3C9B634C" w14:textId="77777777" w:rsidTr="005E0E08">
      <w:trPr>
        <w:trHeight w:hRule="exact" w:val="115"/>
        <w:jc w:val="center"/>
      </w:trPr>
      <w:tc>
        <w:tcPr>
          <w:tcW w:w="3828" w:type="dxa"/>
          <w:gridSpan w:val="2"/>
          <w:shd w:val="clear" w:color="auto" w:fill="5B9BD5" w:themeFill="accent1"/>
          <w:tcMar>
            <w:top w:w="0" w:type="dxa"/>
            <w:bottom w:w="0" w:type="dxa"/>
          </w:tcMar>
        </w:tcPr>
        <w:p w14:paraId="33ADA0EB" w14:textId="77777777" w:rsidR="00567555" w:rsidRDefault="00567555" w:rsidP="005E0E08">
          <w:pPr>
            <w:pStyle w:val="Header"/>
            <w:rPr>
              <w:caps/>
              <w:color w:val="FFFFFF" w:themeColor="background1"/>
              <w:sz w:val="18"/>
              <w:szCs w:val="18"/>
            </w:rPr>
          </w:pPr>
        </w:p>
      </w:tc>
      <w:tc>
        <w:tcPr>
          <w:tcW w:w="5198" w:type="dxa"/>
          <w:shd w:val="clear" w:color="auto" w:fill="5B9BD5" w:themeFill="accent1"/>
          <w:tcMar>
            <w:top w:w="0" w:type="dxa"/>
            <w:bottom w:w="0" w:type="dxa"/>
          </w:tcMar>
        </w:tcPr>
        <w:p w14:paraId="27031723" w14:textId="77777777" w:rsidR="00567555" w:rsidRDefault="00567555" w:rsidP="005E0E08">
          <w:pPr>
            <w:pStyle w:val="Header"/>
            <w:rPr>
              <w:caps/>
              <w:color w:val="FFFFFF" w:themeColor="background1"/>
              <w:sz w:val="18"/>
              <w:szCs w:val="18"/>
            </w:rPr>
          </w:pPr>
        </w:p>
      </w:tc>
    </w:tr>
  </w:tbl>
  <w:p w14:paraId="303D1C53" w14:textId="77777777" w:rsidR="00567555" w:rsidRPr="000661FD" w:rsidRDefault="00567555">
    <w:pPr>
      <w:rPr>
        <w:sz w:val="1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DB04DE"/>
    <w:multiLevelType w:val="hybridMultilevel"/>
    <w:tmpl w:val="C48220F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F67989"/>
    <w:multiLevelType w:val="hybridMultilevel"/>
    <w:tmpl w:val="809C3EFA"/>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6E51CAD"/>
    <w:multiLevelType w:val="hybridMultilevel"/>
    <w:tmpl w:val="9F889DB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 w15:restartNumberingAfterBreak="0">
    <w:nsid w:val="07015A5B"/>
    <w:multiLevelType w:val="hybridMultilevel"/>
    <w:tmpl w:val="81FE9086"/>
    <w:lvl w:ilvl="0" w:tplc="3312AE26">
      <w:start w:val="1"/>
      <w:numFmt w:val="decimal"/>
      <w:pStyle w:val="Titlufigura"/>
      <w:lvlText w:val="Figura %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72C5B53"/>
    <w:multiLevelType w:val="hybridMultilevel"/>
    <w:tmpl w:val="A9FCD7DA"/>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07853938"/>
    <w:multiLevelType w:val="hybridMultilevel"/>
    <w:tmpl w:val="AFD03F7C"/>
    <w:lvl w:ilvl="0" w:tplc="0409000B">
      <w:start w:val="1"/>
      <w:numFmt w:val="bullet"/>
      <w:lvlText w:val=""/>
      <w:lvlJc w:val="left"/>
      <w:pPr>
        <w:ind w:left="720" w:hanging="360"/>
      </w:pPr>
      <w:rPr>
        <w:rFonts w:ascii="Wingdings" w:hAnsi="Wingdings" w:hint="default"/>
      </w:rPr>
    </w:lvl>
    <w:lvl w:ilvl="1" w:tplc="BC4409E4">
      <w:numFmt w:val="bullet"/>
      <w:lvlText w:val="–"/>
      <w:lvlJc w:val="left"/>
      <w:pPr>
        <w:ind w:left="1440" w:hanging="360"/>
      </w:pPr>
      <w:rPr>
        <w:rFonts w:ascii="Cambria" w:eastAsiaTheme="minorHAnsi" w:hAnsi="Cambria"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9AF3D10"/>
    <w:multiLevelType w:val="hybridMultilevel"/>
    <w:tmpl w:val="850A6878"/>
    <w:lvl w:ilvl="0" w:tplc="0418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 w15:restartNumberingAfterBreak="0">
    <w:nsid w:val="0D4B3330"/>
    <w:multiLevelType w:val="hybridMultilevel"/>
    <w:tmpl w:val="E7C8604E"/>
    <w:lvl w:ilvl="0" w:tplc="885CDB7A">
      <w:start w:val="4"/>
      <w:numFmt w:val="bullet"/>
      <w:lvlText w:val="-"/>
      <w:lvlJc w:val="left"/>
      <w:pPr>
        <w:ind w:left="720" w:hanging="360"/>
      </w:pPr>
      <w:rPr>
        <w:rFonts w:ascii="Arial" w:eastAsia="Times New Roman" w:hAnsi="Arial"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 w15:restartNumberingAfterBreak="0">
    <w:nsid w:val="1126119D"/>
    <w:multiLevelType w:val="hybridMultilevel"/>
    <w:tmpl w:val="D9923AA0"/>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 w15:restartNumberingAfterBreak="0">
    <w:nsid w:val="11650B77"/>
    <w:multiLevelType w:val="hybridMultilevel"/>
    <w:tmpl w:val="ECA0399C"/>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 w15:restartNumberingAfterBreak="0">
    <w:nsid w:val="12F870B1"/>
    <w:multiLevelType w:val="hybridMultilevel"/>
    <w:tmpl w:val="F418F402"/>
    <w:lvl w:ilvl="0" w:tplc="885CDB7A">
      <w:start w:val="4"/>
      <w:numFmt w:val="bullet"/>
      <w:lvlText w:val="-"/>
      <w:lvlJc w:val="left"/>
      <w:pPr>
        <w:ind w:left="720" w:hanging="360"/>
      </w:pPr>
      <w:rPr>
        <w:rFonts w:ascii="Arial" w:eastAsia="Times New Roman" w:hAnsi="Arial"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 w15:restartNumberingAfterBreak="0">
    <w:nsid w:val="13EC7BAF"/>
    <w:multiLevelType w:val="hybridMultilevel"/>
    <w:tmpl w:val="E42E452E"/>
    <w:lvl w:ilvl="0" w:tplc="04090011">
      <w:start w:val="1"/>
      <w:numFmt w:val="decimal"/>
      <w:lvlText w:val="%1)"/>
      <w:lvlJc w:val="left"/>
      <w:pPr>
        <w:ind w:left="720" w:hanging="360"/>
      </w:pPr>
    </w:lvl>
    <w:lvl w:ilvl="1" w:tplc="0409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41D6350"/>
    <w:multiLevelType w:val="hybridMultilevel"/>
    <w:tmpl w:val="A1441D3A"/>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3" w15:restartNumberingAfterBreak="0">
    <w:nsid w:val="160B6060"/>
    <w:multiLevelType w:val="hybridMultilevel"/>
    <w:tmpl w:val="0A2482F6"/>
    <w:lvl w:ilvl="0" w:tplc="0418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4" w15:restartNumberingAfterBreak="0">
    <w:nsid w:val="170B32EB"/>
    <w:multiLevelType w:val="hybridMultilevel"/>
    <w:tmpl w:val="4BB25EDE"/>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5" w15:restartNumberingAfterBreak="0">
    <w:nsid w:val="1738713E"/>
    <w:multiLevelType w:val="hybridMultilevel"/>
    <w:tmpl w:val="63D4254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7804587"/>
    <w:multiLevelType w:val="hybridMultilevel"/>
    <w:tmpl w:val="CE8200E6"/>
    <w:lvl w:ilvl="0" w:tplc="7DDCEC0A">
      <w:start w:val="1"/>
      <w:numFmt w:val="decimal"/>
      <w:lvlText w:val="%1."/>
      <w:lvlJc w:val="left"/>
      <w:pPr>
        <w:ind w:left="927" w:hanging="360"/>
      </w:pPr>
    </w:lvl>
    <w:lvl w:ilvl="1" w:tplc="04180019">
      <w:start w:val="1"/>
      <w:numFmt w:val="lowerLetter"/>
      <w:lvlText w:val="%2."/>
      <w:lvlJc w:val="left"/>
      <w:pPr>
        <w:ind w:left="1647" w:hanging="360"/>
      </w:pPr>
    </w:lvl>
    <w:lvl w:ilvl="2" w:tplc="0418001B">
      <w:start w:val="1"/>
      <w:numFmt w:val="lowerRoman"/>
      <w:lvlText w:val="%3."/>
      <w:lvlJc w:val="right"/>
      <w:pPr>
        <w:ind w:left="2367" w:hanging="180"/>
      </w:pPr>
    </w:lvl>
    <w:lvl w:ilvl="3" w:tplc="0418000F">
      <w:start w:val="1"/>
      <w:numFmt w:val="decimal"/>
      <w:lvlText w:val="%4."/>
      <w:lvlJc w:val="left"/>
      <w:pPr>
        <w:ind w:left="3087" w:hanging="360"/>
      </w:pPr>
    </w:lvl>
    <w:lvl w:ilvl="4" w:tplc="04180019">
      <w:start w:val="1"/>
      <w:numFmt w:val="lowerLetter"/>
      <w:lvlText w:val="%5."/>
      <w:lvlJc w:val="left"/>
      <w:pPr>
        <w:ind w:left="3807" w:hanging="360"/>
      </w:pPr>
    </w:lvl>
    <w:lvl w:ilvl="5" w:tplc="0418001B">
      <w:start w:val="1"/>
      <w:numFmt w:val="lowerRoman"/>
      <w:lvlText w:val="%6."/>
      <w:lvlJc w:val="right"/>
      <w:pPr>
        <w:ind w:left="4527" w:hanging="180"/>
      </w:pPr>
    </w:lvl>
    <w:lvl w:ilvl="6" w:tplc="0418000F">
      <w:start w:val="1"/>
      <w:numFmt w:val="decimal"/>
      <w:lvlText w:val="%7."/>
      <w:lvlJc w:val="left"/>
      <w:pPr>
        <w:ind w:left="5247" w:hanging="360"/>
      </w:pPr>
    </w:lvl>
    <w:lvl w:ilvl="7" w:tplc="04180019">
      <w:start w:val="1"/>
      <w:numFmt w:val="lowerLetter"/>
      <w:lvlText w:val="%8."/>
      <w:lvlJc w:val="left"/>
      <w:pPr>
        <w:ind w:left="5967" w:hanging="360"/>
      </w:pPr>
    </w:lvl>
    <w:lvl w:ilvl="8" w:tplc="0418001B">
      <w:start w:val="1"/>
      <w:numFmt w:val="lowerRoman"/>
      <w:lvlText w:val="%9."/>
      <w:lvlJc w:val="right"/>
      <w:pPr>
        <w:ind w:left="6687" w:hanging="180"/>
      </w:pPr>
    </w:lvl>
  </w:abstractNum>
  <w:abstractNum w:abstractNumId="17" w15:restartNumberingAfterBreak="0">
    <w:nsid w:val="19AE6FC4"/>
    <w:multiLevelType w:val="hybridMultilevel"/>
    <w:tmpl w:val="150CE404"/>
    <w:lvl w:ilvl="0" w:tplc="0418000D">
      <w:start w:val="1"/>
      <w:numFmt w:val="bullet"/>
      <w:lvlText w:val=""/>
      <w:lvlJc w:val="left"/>
      <w:pPr>
        <w:ind w:left="1428" w:hanging="360"/>
      </w:pPr>
      <w:rPr>
        <w:rFonts w:ascii="Wingdings" w:hAnsi="Wingdings" w:hint="default"/>
      </w:rPr>
    </w:lvl>
    <w:lvl w:ilvl="1" w:tplc="04180003" w:tentative="1">
      <w:start w:val="1"/>
      <w:numFmt w:val="bullet"/>
      <w:lvlText w:val="o"/>
      <w:lvlJc w:val="left"/>
      <w:pPr>
        <w:ind w:left="2148" w:hanging="360"/>
      </w:pPr>
      <w:rPr>
        <w:rFonts w:ascii="Courier New" w:hAnsi="Courier New" w:cs="Courier New" w:hint="default"/>
      </w:rPr>
    </w:lvl>
    <w:lvl w:ilvl="2" w:tplc="04180005" w:tentative="1">
      <w:start w:val="1"/>
      <w:numFmt w:val="bullet"/>
      <w:lvlText w:val=""/>
      <w:lvlJc w:val="left"/>
      <w:pPr>
        <w:ind w:left="2868" w:hanging="360"/>
      </w:pPr>
      <w:rPr>
        <w:rFonts w:ascii="Wingdings" w:hAnsi="Wingdings" w:hint="default"/>
      </w:rPr>
    </w:lvl>
    <w:lvl w:ilvl="3" w:tplc="04180001" w:tentative="1">
      <w:start w:val="1"/>
      <w:numFmt w:val="bullet"/>
      <w:lvlText w:val=""/>
      <w:lvlJc w:val="left"/>
      <w:pPr>
        <w:ind w:left="3588" w:hanging="360"/>
      </w:pPr>
      <w:rPr>
        <w:rFonts w:ascii="Symbol" w:hAnsi="Symbol" w:hint="default"/>
      </w:rPr>
    </w:lvl>
    <w:lvl w:ilvl="4" w:tplc="04180003" w:tentative="1">
      <w:start w:val="1"/>
      <w:numFmt w:val="bullet"/>
      <w:lvlText w:val="o"/>
      <w:lvlJc w:val="left"/>
      <w:pPr>
        <w:ind w:left="4308" w:hanging="360"/>
      </w:pPr>
      <w:rPr>
        <w:rFonts w:ascii="Courier New" w:hAnsi="Courier New" w:cs="Courier New" w:hint="default"/>
      </w:rPr>
    </w:lvl>
    <w:lvl w:ilvl="5" w:tplc="04180005" w:tentative="1">
      <w:start w:val="1"/>
      <w:numFmt w:val="bullet"/>
      <w:lvlText w:val=""/>
      <w:lvlJc w:val="left"/>
      <w:pPr>
        <w:ind w:left="5028" w:hanging="360"/>
      </w:pPr>
      <w:rPr>
        <w:rFonts w:ascii="Wingdings" w:hAnsi="Wingdings" w:hint="default"/>
      </w:rPr>
    </w:lvl>
    <w:lvl w:ilvl="6" w:tplc="04180001" w:tentative="1">
      <w:start w:val="1"/>
      <w:numFmt w:val="bullet"/>
      <w:lvlText w:val=""/>
      <w:lvlJc w:val="left"/>
      <w:pPr>
        <w:ind w:left="5748" w:hanging="360"/>
      </w:pPr>
      <w:rPr>
        <w:rFonts w:ascii="Symbol" w:hAnsi="Symbol" w:hint="default"/>
      </w:rPr>
    </w:lvl>
    <w:lvl w:ilvl="7" w:tplc="04180003" w:tentative="1">
      <w:start w:val="1"/>
      <w:numFmt w:val="bullet"/>
      <w:lvlText w:val="o"/>
      <w:lvlJc w:val="left"/>
      <w:pPr>
        <w:ind w:left="6468" w:hanging="360"/>
      </w:pPr>
      <w:rPr>
        <w:rFonts w:ascii="Courier New" w:hAnsi="Courier New" w:cs="Courier New" w:hint="default"/>
      </w:rPr>
    </w:lvl>
    <w:lvl w:ilvl="8" w:tplc="04180005" w:tentative="1">
      <w:start w:val="1"/>
      <w:numFmt w:val="bullet"/>
      <w:lvlText w:val=""/>
      <w:lvlJc w:val="left"/>
      <w:pPr>
        <w:ind w:left="7188" w:hanging="360"/>
      </w:pPr>
      <w:rPr>
        <w:rFonts w:ascii="Wingdings" w:hAnsi="Wingdings" w:hint="default"/>
      </w:rPr>
    </w:lvl>
  </w:abstractNum>
  <w:abstractNum w:abstractNumId="18" w15:restartNumberingAfterBreak="0">
    <w:nsid w:val="19B311C1"/>
    <w:multiLevelType w:val="hybridMultilevel"/>
    <w:tmpl w:val="8B3E6084"/>
    <w:lvl w:ilvl="0" w:tplc="885CDB7A">
      <w:start w:val="4"/>
      <w:numFmt w:val="bullet"/>
      <w:lvlText w:val="-"/>
      <w:lvlJc w:val="left"/>
      <w:pPr>
        <w:ind w:left="720" w:hanging="360"/>
      </w:pPr>
      <w:rPr>
        <w:rFonts w:ascii="Arial" w:eastAsia="Times New Roman" w:hAnsi="Arial"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9" w15:restartNumberingAfterBreak="0">
    <w:nsid w:val="1B176695"/>
    <w:multiLevelType w:val="hybridMultilevel"/>
    <w:tmpl w:val="7E3C544C"/>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0" w15:restartNumberingAfterBreak="0">
    <w:nsid w:val="1DAC7C66"/>
    <w:multiLevelType w:val="hybridMultilevel"/>
    <w:tmpl w:val="22AEE4B2"/>
    <w:lvl w:ilvl="0" w:tplc="76C4BB4E">
      <w:start w:val="1"/>
      <w:numFmt w:val="decimal"/>
      <w:lvlText w:val="%1."/>
      <w:lvlJc w:val="left"/>
      <w:pPr>
        <w:ind w:left="567" w:hanging="207"/>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1" w15:restartNumberingAfterBreak="0">
    <w:nsid w:val="1F966203"/>
    <w:multiLevelType w:val="hybridMultilevel"/>
    <w:tmpl w:val="B85E9426"/>
    <w:lvl w:ilvl="0" w:tplc="0418000D">
      <w:start w:val="1"/>
      <w:numFmt w:val="bullet"/>
      <w:lvlText w:val=""/>
      <w:lvlJc w:val="left"/>
      <w:pPr>
        <w:ind w:left="1287" w:hanging="360"/>
      </w:pPr>
      <w:rPr>
        <w:rFonts w:ascii="Wingdings" w:hAnsi="Wingdings" w:hint="default"/>
      </w:rPr>
    </w:lvl>
    <w:lvl w:ilvl="1" w:tplc="04180003">
      <w:start w:val="1"/>
      <w:numFmt w:val="bullet"/>
      <w:lvlText w:val="o"/>
      <w:lvlJc w:val="left"/>
      <w:pPr>
        <w:ind w:left="2007" w:hanging="360"/>
      </w:pPr>
      <w:rPr>
        <w:rFonts w:ascii="Courier New" w:hAnsi="Courier New" w:cs="Courier New" w:hint="default"/>
      </w:rPr>
    </w:lvl>
    <w:lvl w:ilvl="2" w:tplc="04180005">
      <w:start w:val="1"/>
      <w:numFmt w:val="bullet"/>
      <w:lvlText w:val=""/>
      <w:lvlJc w:val="left"/>
      <w:pPr>
        <w:ind w:left="2727" w:hanging="360"/>
      </w:pPr>
      <w:rPr>
        <w:rFonts w:ascii="Wingdings" w:hAnsi="Wingdings" w:hint="default"/>
      </w:rPr>
    </w:lvl>
    <w:lvl w:ilvl="3" w:tplc="04180001">
      <w:start w:val="1"/>
      <w:numFmt w:val="bullet"/>
      <w:lvlText w:val=""/>
      <w:lvlJc w:val="left"/>
      <w:pPr>
        <w:ind w:left="3447" w:hanging="360"/>
      </w:pPr>
      <w:rPr>
        <w:rFonts w:ascii="Symbol" w:hAnsi="Symbol" w:hint="default"/>
      </w:rPr>
    </w:lvl>
    <w:lvl w:ilvl="4" w:tplc="04180003">
      <w:start w:val="1"/>
      <w:numFmt w:val="bullet"/>
      <w:lvlText w:val="o"/>
      <w:lvlJc w:val="left"/>
      <w:pPr>
        <w:ind w:left="4167" w:hanging="360"/>
      </w:pPr>
      <w:rPr>
        <w:rFonts w:ascii="Courier New" w:hAnsi="Courier New" w:cs="Courier New" w:hint="default"/>
      </w:rPr>
    </w:lvl>
    <w:lvl w:ilvl="5" w:tplc="04180005">
      <w:start w:val="1"/>
      <w:numFmt w:val="bullet"/>
      <w:lvlText w:val=""/>
      <w:lvlJc w:val="left"/>
      <w:pPr>
        <w:ind w:left="4887" w:hanging="360"/>
      </w:pPr>
      <w:rPr>
        <w:rFonts w:ascii="Wingdings" w:hAnsi="Wingdings" w:hint="default"/>
      </w:rPr>
    </w:lvl>
    <w:lvl w:ilvl="6" w:tplc="04180001">
      <w:start w:val="1"/>
      <w:numFmt w:val="bullet"/>
      <w:lvlText w:val=""/>
      <w:lvlJc w:val="left"/>
      <w:pPr>
        <w:ind w:left="5607" w:hanging="360"/>
      </w:pPr>
      <w:rPr>
        <w:rFonts w:ascii="Symbol" w:hAnsi="Symbol" w:hint="default"/>
      </w:rPr>
    </w:lvl>
    <w:lvl w:ilvl="7" w:tplc="04180003">
      <w:start w:val="1"/>
      <w:numFmt w:val="bullet"/>
      <w:lvlText w:val="o"/>
      <w:lvlJc w:val="left"/>
      <w:pPr>
        <w:ind w:left="6327" w:hanging="360"/>
      </w:pPr>
      <w:rPr>
        <w:rFonts w:ascii="Courier New" w:hAnsi="Courier New" w:cs="Courier New" w:hint="default"/>
      </w:rPr>
    </w:lvl>
    <w:lvl w:ilvl="8" w:tplc="04180005">
      <w:start w:val="1"/>
      <w:numFmt w:val="bullet"/>
      <w:lvlText w:val=""/>
      <w:lvlJc w:val="left"/>
      <w:pPr>
        <w:ind w:left="7047" w:hanging="360"/>
      </w:pPr>
      <w:rPr>
        <w:rFonts w:ascii="Wingdings" w:hAnsi="Wingdings" w:hint="default"/>
      </w:rPr>
    </w:lvl>
  </w:abstractNum>
  <w:abstractNum w:abstractNumId="22" w15:restartNumberingAfterBreak="0">
    <w:nsid w:val="20883785"/>
    <w:multiLevelType w:val="hybridMultilevel"/>
    <w:tmpl w:val="2F18291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3" w15:restartNumberingAfterBreak="0">
    <w:nsid w:val="24A5167D"/>
    <w:multiLevelType w:val="hybridMultilevel"/>
    <w:tmpl w:val="642676B4"/>
    <w:lvl w:ilvl="0" w:tplc="D4B6DB9A">
      <w:start w:val="1"/>
      <w:numFmt w:val="decimal"/>
      <w:lvlText w:val="%1."/>
      <w:lvlJc w:val="left"/>
      <w:pPr>
        <w:ind w:left="1068" w:hanging="360"/>
      </w:pPr>
      <w:rPr>
        <w:rFonts w:hint="default"/>
      </w:rPr>
    </w:lvl>
    <w:lvl w:ilvl="1" w:tplc="04180019" w:tentative="1">
      <w:start w:val="1"/>
      <w:numFmt w:val="lowerLetter"/>
      <w:lvlText w:val="%2."/>
      <w:lvlJc w:val="left"/>
      <w:pPr>
        <w:ind w:left="1788" w:hanging="360"/>
      </w:pPr>
    </w:lvl>
    <w:lvl w:ilvl="2" w:tplc="0418001B" w:tentative="1">
      <w:start w:val="1"/>
      <w:numFmt w:val="lowerRoman"/>
      <w:lvlText w:val="%3."/>
      <w:lvlJc w:val="right"/>
      <w:pPr>
        <w:ind w:left="2508" w:hanging="180"/>
      </w:pPr>
    </w:lvl>
    <w:lvl w:ilvl="3" w:tplc="0418000F" w:tentative="1">
      <w:start w:val="1"/>
      <w:numFmt w:val="decimal"/>
      <w:lvlText w:val="%4."/>
      <w:lvlJc w:val="left"/>
      <w:pPr>
        <w:ind w:left="3228" w:hanging="360"/>
      </w:pPr>
    </w:lvl>
    <w:lvl w:ilvl="4" w:tplc="04180019" w:tentative="1">
      <w:start w:val="1"/>
      <w:numFmt w:val="lowerLetter"/>
      <w:lvlText w:val="%5."/>
      <w:lvlJc w:val="left"/>
      <w:pPr>
        <w:ind w:left="3948" w:hanging="360"/>
      </w:pPr>
    </w:lvl>
    <w:lvl w:ilvl="5" w:tplc="0418001B" w:tentative="1">
      <w:start w:val="1"/>
      <w:numFmt w:val="lowerRoman"/>
      <w:lvlText w:val="%6."/>
      <w:lvlJc w:val="right"/>
      <w:pPr>
        <w:ind w:left="4668" w:hanging="180"/>
      </w:pPr>
    </w:lvl>
    <w:lvl w:ilvl="6" w:tplc="0418000F" w:tentative="1">
      <w:start w:val="1"/>
      <w:numFmt w:val="decimal"/>
      <w:lvlText w:val="%7."/>
      <w:lvlJc w:val="left"/>
      <w:pPr>
        <w:ind w:left="5388" w:hanging="360"/>
      </w:pPr>
    </w:lvl>
    <w:lvl w:ilvl="7" w:tplc="04180019" w:tentative="1">
      <w:start w:val="1"/>
      <w:numFmt w:val="lowerLetter"/>
      <w:lvlText w:val="%8."/>
      <w:lvlJc w:val="left"/>
      <w:pPr>
        <w:ind w:left="6108" w:hanging="360"/>
      </w:pPr>
    </w:lvl>
    <w:lvl w:ilvl="8" w:tplc="0418001B" w:tentative="1">
      <w:start w:val="1"/>
      <w:numFmt w:val="lowerRoman"/>
      <w:lvlText w:val="%9."/>
      <w:lvlJc w:val="right"/>
      <w:pPr>
        <w:ind w:left="6828" w:hanging="180"/>
      </w:pPr>
    </w:lvl>
  </w:abstractNum>
  <w:abstractNum w:abstractNumId="24" w15:restartNumberingAfterBreak="0">
    <w:nsid w:val="28090A8F"/>
    <w:multiLevelType w:val="hybridMultilevel"/>
    <w:tmpl w:val="614068D8"/>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5" w15:restartNumberingAfterBreak="0">
    <w:nsid w:val="2E604503"/>
    <w:multiLevelType w:val="hybridMultilevel"/>
    <w:tmpl w:val="22AEE4B2"/>
    <w:lvl w:ilvl="0" w:tplc="76C4BB4E">
      <w:start w:val="1"/>
      <w:numFmt w:val="decimal"/>
      <w:lvlText w:val="%1."/>
      <w:lvlJc w:val="left"/>
      <w:pPr>
        <w:ind w:left="349" w:hanging="207"/>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6" w15:restartNumberingAfterBreak="0">
    <w:nsid w:val="357469EF"/>
    <w:multiLevelType w:val="hybridMultilevel"/>
    <w:tmpl w:val="8534A2EC"/>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7" w15:restartNumberingAfterBreak="0">
    <w:nsid w:val="370C0564"/>
    <w:multiLevelType w:val="hybridMultilevel"/>
    <w:tmpl w:val="14904228"/>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8" w15:restartNumberingAfterBreak="0">
    <w:nsid w:val="38751B5D"/>
    <w:multiLevelType w:val="hybridMultilevel"/>
    <w:tmpl w:val="DFC2A418"/>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9" w15:restartNumberingAfterBreak="0">
    <w:nsid w:val="38FB3E11"/>
    <w:multiLevelType w:val="hybridMultilevel"/>
    <w:tmpl w:val="99525F58"/>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0" w15:restartNumberingAfterBreak="0">
    <w:nsid w:val="3F170469"/>
    <w:multiLevelType w:val="hybridMultilevel"/>
    <w:tmpl w:val="9E781322"/>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1" w15:restartNumberingAfterBreak="0">
    <w:nsid w:val="406653A9"/>
    <w:multiLevelType w:val="hybridMultilevel"/>
    <w:tmpl w:val="76C4C116"/>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32" w15:restartNumberingAfterBreak="0">
    <w:nsid w:val="450222C5"/>
    <w:multiLevelType w:val="multilevel"/>
    <w:tmpl w:val="7B90E86C"/>
    <w:lvl w:ilvl="0">
      <w:start w:val="1"/>
      <w:numFmt w:val="decimal"/>
      <w:lvlText w:val="%1."/>
      <w:lvlJc w:val="left"/>
      <w:pPr>
        <w:ind w:left="720" w:hanging="360"/>
      </w:pPr>
      <w:rPr>
        <w:rFonts w:hint="default"/>
      </w:rPr>
    </w:lvl>
    <w:lvl w:ilvl="1">
      <w:start w:val="1"/>
      <w:numFmt w:val="decimal"/>
      <w:isLgl/>
      <w:lvlText w:val="%1.%2."/>
      <w:lvlJc w:val="left"/>
      <w:pPr>
        <w:ind w:left="928" w:hanging="360"/>
      </w:pPr>
      <w:rPr>
        <w:rFonts w:hint="default"/>
        <w:b/>
      </w:rPr>
    </w:lvl>
    <w:lvl w:ilvl="2">
      <w:start w:val="1"/>
      <w:numFmt w:val="decimal"/>
      <w:isLgl/>
      <w:lvlText w:val="%1.%2.%3."/>
      <w:lvlJc w:val="left"/>
      <w:pPr>
        <w:ind w:left="1776" w:hanging="720"/>
      </w:pPr>
      <w:rPr>
        <w:rFonts w:hint="default"/>
        <w:b/>
        <w:color w:val="0070C0"/>
      </w:rPr>
    </w:lvl>
    <w:lvl w:ilvl="3">
      <w:start w:val="1"/>
      <w:numFmt w:val="decimal"/>
      <w:isLgl/>
      <w:lvlText w:val="%1.%2.%3.%4."/>
      <w:lvlJc w:val="left"/>
      <w:pPr>
        <w:ind w:left="1288" w:hanging="72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180" w:hanging="108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236" w:hanging="1440"/>
      </w:pPr>
      <w:rPr>
        <w:rFonts w:hint="default"/>
      </w:rPr>
    </w:lvl>
    <w:lvl w:ilvl="8">
      <w:start w:val="1"/>
      <w:numFmt w:val="decimal"/>
      <w:isLgl/>
      <w:lvlText w:val="%1.%2.%3.%4.%5.%6.%7.%8.%9."/>
      <w:lvlJc w:val="left"/>
      <w:pPr>
        <w:ind w:left="4944" w:hanging="1800"/>
      </w:pPr>
      <w:rPr>
        <w:rFonts w:hint="default"/>
      </w:rPr>
    </w:lvl>
  </w:abstractNum>
  <w:abstractNum w:abstractNumId="33" w15:restartNumberingAfterBreak="0">
    <w:nsid w:val="457B3089"/>
    <w:multiLevelType w:val="hybridMultilevel"/>
    <w:tmpl w:val="49CA61E4"/>
    <w:lvl w:ilvl="0" w:tplc="5F7A3A64">
      <w:start w:val="1"/>
      <w:numFmt w:val="decimal"/>
      <w:pStyle w:val="Heading31"/>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4" w15:restartNumberingAfterBreak="0">
    <w:nsid w:val="47D2031C"/>
    <w:multiLevelType w:val="hybridMultilevel"/>
    <w:tmpl w:val="0414CDFE"/>
    <w:lvl w:ilvl="0" w:tplc="0409000D">
      <w:start w:val="1"/>
      <w:numFmt w:val="bullet"/>
      <w:lvlText w:val=""/>
      <w:lvlJc w:val="left"/>
      <w:pPr>
        <w:ind w:left="1429" w:hanging="360"/>
      </w:pPr>
      <w:rPr>
        <w:rFonts w:ascii="Wingdings" w:hAnsi="Wingding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5" w15:restartNumberingAfterBreak="0">
    <w:nsid w:val="497C6500"/>
    <w:multiLevelType w:val="hybridMultilevel"/>
    <w:tmpl w:val="EF08CDE4"/>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6" w15:restartNumberingAfterBreak="0">
    <w:nsid w:val="4B537647"/>
    <w:multiLevelType w:val="hybridMultilevel"/>
    <w:tmpl w:val="93083F14"/>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37" w15:restartNumberingAfterBreak="0">
    <w:nsid w:val="4C5113C4"/>
    <w:multiLevelType w:val="hybridMultilevel"/>
    <w:tmpl w:val="E9641DE6"/>
    <w:lvl w:ilvl="0" w:tplc="0DD4D7B4">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8" w15:restartNumberingAfterBreak="0">
    <w:nsid w:val="4EE56D87"/>
    <w:multiLevelType w:val="hybridMultilevel"/>
    <w:tmpl w:val="5F629500"/>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9" w15:restartNumberingAfterBreak="0">
    <w:nsid w:val="53DE2101"/>
    <w:multiLevelType w:val="hybridMultilevel"/>
    <w:tmpl w:val="BA26C712"/>
    <w:lvl w:ilvl="0" w:tplc="0418000B">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0" w15:restartNumberingAfterBreak="0">
    <w:nsid w:val="580A3510"/>
    <w:multiLevelType w:val="hybridMultilevel"/>
    <w:tmpl w:val="BC0A6092"/>
    <w:lvl w:ilvl="0" w:tplc="885CDB7A">
      <w:start w:val="4"/>
      <w:numFmt w:val="bullet"/>
      <w:lvlText w:val="-"/>
      <w:lvlJc w:val="left"/>
      <w:pPr>
        <w:ind w:left="720" w:hanging="360"/>
      </w:pPr>
      <w:rPr>
        <w:rFonts w:ascii="Arial" w:eastAsia="Times New Roman" w:hAnsi="Arial"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1" w15:restartNumberingAfterBreak="0">
    <w:nsid w:val="5C55601D"/>
    <w:multiLevelType w:val="hybridMultilevel"/>
    <w:tmpl w:val="08E8F442"/>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2" w15:restartNumberingAfterBreak="0">
    <w:nsid w:val="5E90109B"/>
    <w:multiLevelType w:val="hybridMultilevel"/>
    <w:tmpl w:val="5880780C"/>
    <w:lvl w:ilvl="0" w:tplc="885CDB7A">
      <w:start w:val="4"/>
      <w:numFmt w:val="bullet"/>
      <w:lvlText w:val="-"/>
      <w:lvlJc w:val="left"/>
      <w:pPr>
        <w:ind w:left="720" w:hanging="360"/>
      </w:pPr>
      <w:rPr>
        <w:rFonts w:ascii="Arial" w:eastAsia="Times New Roman" w:hAnsi="Arial"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3" w15:restartNumberingAfterBreak="0">
    <w:nsid w:val="5E9264B4"/>
    <w:multiLevelType w:val="hybridMultilevel"/>
    <w:tmpl w:val="9E464A6C"/>
    <w:lvl w:ilvl="0" w:tplc="00808B46">
      <w:start w:val="21"/>
      <w:numFmt w:val="bullet"/>
      <w:lvlText w:val="-"/>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4" w15:restartNumberingAfterBreak="0">
    <w:nsid w:val="5ECE4EC8"/>
    <w:multiLevelType w:val="hybridMultilevel"/>
    <w:tmpl w:val="15A6CE58"/>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5" w15:restartNumberingAfterBreak="0">
    <w:nsid w:val="60BB260B"/>
    <w:multiLevelType w:val="hybridMultilevel"/>
    <w:tmpl w:val="449A5C54"/>
    <w:lvl w:ilvl="0" w:tplc="885CDB7A">
      <w:start w:val="4"/>
      <w:numFmt w:val="bullet"/>
      <w:lvlText w:val="-"/>
      <w:lvlJc w:val="left"/>
      <w:pPr>
        <w:ind w:left="1080" w:hanging="360"/>
      </w:pPr>
      <w:rPr>
        <w:rFonts w:ascii="Arial" w:eastAsia="Times New Roman" w:hAnsi="Arial" w:cs="Arial"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46" w15:restartNumberingAfterBreak="0">
    <w:nsid w:val="656E727C"/>
    <w:multiLevelType w:val="hybridMultilevel"/>
    <w:tmpl w:val="8034ECD6"/>
    <w:lvl w:ilvl="0" w:tplc="DA26730C">
      <w:start w:val="2010"/>
      <w:numFmt w:val="bullet"/>
      <w:lvlText w:val="-"/>
      <w:lvlJc w:val="left"/>
      <w:pPr>
        <w:ind w:left="720" w:hanging="360"/>
      </w:pPr>
      <w:rPr>
        <w:rFonts w:ascii="Arial" w:eastAsia="Times New Roman" w:hAnsi="Arial"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7" w15:restartNumberingAfterBreak="0">
    <w:nsid w:val="686E0D2B"/>
    <w:multiLevelType w:val="hybridMultilevel"/>
    <w:tmpl w:val="96C45FA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914612C"/>
    <w:multiLevelType w:val="hybridMultilevel"/>
    <w:tmpl w:val="3FD0586E"/>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9" w15:restartNumberingAfterBreak="0">
    <w:nsid w:val="6A4A70A1"/>
    <w:multiLevelType w:val="hybridMultilevel"/>
    <w:tmpl w:val="E8A49CBE"/>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0" w15:restartNumberingAfterBreak="0">
    <w:nsid w:val="6EAB561C"/>
    <w:multiLevelType w:val="hybridMultilevel"/>
    <w:tmpl w:val="796CA7D4"/>
    <w:lvl w:ilvl="0" w:tplc="D4B6DB9A">
      <w:start w:val="1"/>
      <w:numFmt w:val="decimal"/>
      <w:lvlText w:val="%1."/>
      <w:lvlJc w:val="left"/>
      <w:pPr>
        <w:ind w:left="1068" w:hanging="360"/>
      </w:pPr>
      <w:rPr>
        <w:rFonts w:hint="default"/>
      </w:rPr>
    </w:lvl>
    <w:lvl w:ilvl="1" w:tplc="04180019" w:tentative="1">
      <w:start w:val="1"/>
      <w:numFmt w:val="lowerLetter"/>
      <w:lvlText w:val="%2."/>
      <w:lvlJc w:val="left"/>
      <w:pPr>
        <w:ind w:left="1788" w:hanging="360"/>
      </w:pPr>
    </w:lvl>
    <w:lvl w:ilvl="2" w:tplc="0418001B" w:tentative="1">
      <w:start w:val="1"/>
      <w:numFmt w:val="lowerRoman"/>
      <w:lvlText w:val="%3."/>
      <w:lvlJc w:val="right"/>
      <w:pPr>
        <w:ind w:left="2508" w:hanging="180"/>
      </w:pPr>
    </w:lvl>
    <w:lvl w:ilvl="3" w:tplc="0418000F" w:tentative="1">
      <w:start w:val="1"/>
      <w:numFmt w:val="decimal"/>
      <w:lvlText w:val="%4."/>
      <w:lvlJc w:val="left"/>
      <w:pPr>
        <w:ind w:left="3228" w:hanging="360"/>
      </w:pPr>
    </w:lvl>
    <w:lvl w:ilvl="4" w:tplc="04180019" w:tentative="1">
      <w:start w:val="1"/>
      <w:numFmt w:val="lowerLetter"/>
      <w:lvlText w:val="%5."/>
      <w:lvlJc w:val="left"/>
      <w:pPr>
        <w:ind w:left="3948" w:hanging="360"/>
      </w:pPr>
    </w:lvl>
    <w:lvl w:ilvl="5" w:tplc="0418001B" w:tentative="1">
      <w:start w:val="1"/>
      <w:numFmt w:val="lowerRoman"/>
      <w:lvlText w:val="%6."/>
      <w:lvlJc w:val="right"/>
      <w:pPr>
        <w:ind w:left="4668" w:hanging="180"/>
      </w:pPr>
    </w:lvl>
    <w:lvl w:ilvl="6" w:tplc="0418000F" w:tentative="1">
      <w:start w:val="1"/>
      <w:numFmt w:val="decimal"/>
      <w:lvlText w:val="%7."/>
      <w:lvlJc w:val="left"/>
      <w:pPr>
        <w:ind w:left="5388" w:hanging="360"/>
      </w:pPr>
    </w:lvl>
    <w:lvl w:ilvl="7" w:tplc="04180019" w:tentative="1">
      <w:start w:val="1"/>
      <w:numFmt w:val="lowerLetter"/>
      <w:lvlText w:val="%8."/>
      <w:lvlJc w:val="left"/>
      <w:pPr>
        <w:ind w:left="6108" w:hanging="360"/>
      </w:pPr>
    </w:lvl>
    <w:lvl w:ilvl="8" w:tplc="0418001B" w:tentative="1">
      <w:start w:val="1"/>
      <w:numFmt w:val="lowerRoman"/>
      <w:lvlText w:val="%9."/>
      <w:lvlJc w:val="right"/>
      <w:pPr>
        <w:ind w:left="6828" w:hanging="180"/>
      </w:pPr>
    </w:lvl>
  </w:abstractNum>
  <w:abstractNum w:abstractNumId="51" w15:restartNumberingAfterBreak="0">
    <w:nsid w:val="6F236863"/>
    <w:multiLevelType w:val="hybridMultilevel"/>
    <w:tmpl w:val="B8E26AFE"/>
    <w:lvl w:ilvl="0" w:tplc="885CDB7A">
      <w:start w:val="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09A0256"/>
    <w:multiLevelType w:val="hybridMultilevel"/>
    <w:tmpl w:val="C39E0B04"/>
    <w:lvl w:ilvl="0" w:tplc="37A05BC4">
      <w:start w:val="1"/>
      <w:numFmt w:val="low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15:restartNumberingAfterBreak="0">
    <w:nsid w:val="71146D1F"/>
    <w:multiLevelType w:val="hybridMultilevel"/>
    <w:tmpl w:val="1EBEA038"/>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4" w15:restartNumberingAfterBreak="0">
    <w:nsid w:val="71CC7FAF"/>
    <w:multiLevelType w:val="hybridMultilevel"/>
    <w:tmpl w:val="F89AC5C2"/>
    <w:lvl w:ilvl="0" w:tplc="D0107FCA">
      <w:start w:val="1"/>
      <w:numFmt w:val="decimal"/>
      <w:lvlText w:val="%1."/>
      <w:lvlJc w:val="left"/>
      <w:pPr>
        <w:ind w:left="1065" w:hanging="360"/>
      </w:pPr>
      <w:rPr>
        <w:rFonts w:hint="default"/>
      </w:rPr>
    </w:lvl>
    <w:lvl w:ilvl="1" w:tplc="04180019" w:tentative="1">
      <w:start w:val="1"/>
      <w:numFmt w:val="lowerLetter"/>
      <w:lvlText w:val="%2."/>
      <w:lvlJc w:val="left"/>
      <w:pPr>
        <w:ind w:left="1785" w:hanging="360"/>
      </w:pPr>
    </w:lvl>
    <w:lvl w:ilvl="2" w:tplc="0418001B" w:tentative="1">
      <w:start w:val="1"/>
      <w:numFmt w:val="lowerRoman"/>
      <w:lvlText w:val="%3."/>
      <w:lvlJc w:val="right"/>
      <w:pPr>
        <w:ind w:left="2505" w:hanging="180"/>
      </w:pPr>
    </w:lvl>
    <w:lvl w:ilvl="3" w:tplc="0418000F" w:tentative="1">
      <w:start w:val="1"/>
      <w:numFmt w:val="decimal"/>
      <w:lvlText w:val="%4."/>
      <w:lvlJc w:val="left"/>
      <w:pPr>
        <w:ind w:left="3225" w:hanging="360"/>
      </w:pPr>
    </w:lvl>
    <w:lvl w:ilvl="4" w:tplc="04180019" w:tentative="1">
      <w:start w:val="1"/>
      <w:numFmt w:val="lowerLetter"/>
      <w:lvlText w:val="%5."/>
      <w:lvlJc w:val="left"/>
      <w:pPr>
        <w:ind w:left="3945" w:hanging="360"/>
      </w:pPr>
    </w:lvl>
    <w:lvl w:ilvl="5" w:tplc="0418001B" w:tentative="1">
      <w:start w:val="1"/>
      <w:numFmt w:val="lowerRoman"/>
      <w:lvlText w:val="%6."/>
      <w:lvlJc w:val="right"/>
      <w:pPr>
        <w:ind w:left="4665" w:hanging="180"/>
      </w:pPr>
    </w:lvl>
    <w:lvl w:ilvl="6" w:tplc="0418000F" w:tentative="1">
      <w:start w:val="1"/>
      <w:numFmt w:val="decimal"/>
      <w:lvlText w:val="%7."/>
      <w:lvlJc w:val="left"/>
      <w:pPr>
        <w:ind w:left="5385" w:hanging="360"/>
      </w:pPr>
    </w:lvl>
    <w:lvl w:ilvl="7" w:tplc="04180019" w:tentative="1">
      <w:start w:val="1"/>
      <w:numFmt w:val="lowerLetter"/>
      <w:lvlText w:val="%8."/>
      <w:lvlJc w:val="left"/>
      <w:pPr>
        <w:ind w:left="6105" w:hanging="360"/>
      </w:pPr>
    </w:lvl>
    <w:lvl w:ilvl="8" w:tplc="0418001B" w:tentative="1">
      <w:start w:val="1"/>
      <w:numFmt w:val="lowerRoman"/>
      <w:lvlText w:val="%9."/>
      <w:lvlJc w:val="right"/>
      <w:pPr>
        <w:ind w:left="6825" w:hanging="180"/>
      </w:pPr>
    </w:lvl>
  </w:abstractNum>
  <w:abstractNum w:abstractNumId="55" w15:restartNumberingAfterBreak="0">
    <w:nsid w:val="71E95848"/>
    <w:multiLevelType w:val="hybridMultilevel"/>
    <w:tmpl w:val="FC562B90"/>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6" w15:restartNumberingAfterBreak="0">
    <w:nsid w:val="73497F7F"/>
    <w:multiLevelType w:val="hybridMultilevel"/>
    <w:tmpl w:val="FDD8CB56"/>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4EF3362"/>
    <w:multiLevelType w:val="hybridMultilevel"/>
    <w:tmpl w:val="C546A7EA"/>
    <w:lvl w:ilvl="0" w:tplc="0418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8" w15:restartNumberingAfterBreak="0">
    <w:nsid w:val="75410254"/>
    <w:multiLevelType w:val="multilevel"/>
    <w:tmpl w:val="7B90E86C"/>
    <w:lvl w:ilvl="0">
      <w:start w:val="1"/>
      <w:numFmt w:val="decimal"/>
      <w:lvlText w:val="%1."/>
      <w:lvlJc w:val="left"/>
      <w:pPr>
        <w:ind w:left="720" w:hanging="360"/>
      </w:pPr>
      <w:rPr>
        <w:rFonts w:hint="default"/>
      </w:rPr>
    </w:lvl>
    <w:lvl w:ilvl="1">
      <w:start w:val="1"/>
      <w:numFmt w:val="decimal"/>
      <w:isLgl/>
      <w:lvlText w:val="%1.%2."/>
      <w:lvlJc w:val="left"/>
      <w:pPr>
        <w:ind w:left="928" w:hanging="360"/>
      </w:pPr>
      <w:rPr>
        <w:rFonts w:hint="default"/>
        <w:b/>
      </w:rPr>
    </w:lvl>
    <w:lvl w:ilvl="2">
      <w:start w:val="1"/>
      <w:numFmt w:val="decimal"/>
      <w:isLgl/>
      <w:lvlText w:val="%1.%2.%3."/>
      <w:lvlJc w:val="left"/>
      <w:pPr>
        <w:ind w:left="1776" w:hanging="720"/>
      </w:pPr>
      <w:rPr>
        <w:rFonts w:hint="default"/>
        <w:b/>
        <w:color w:val="0070C0"/>
      </w:rPr>
    </w:lvl>
    <w:lvl w:ilvl="3">
      <w:start w:val="1"/>
      <w:numFmt w:val="decimal"/>
      <w:isLgl/>
      <w:lvlText w:val="%1.%2.%3.%4."/>
      <w:lvlJc w:val="left"/>
      <w:pPr>
        <w:ind w:left="1288" w:hanging="72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180" w:hanging="108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236" w:hanging="1440"/>
      </w:pPr>
      <w:rPr>
        <w:rFonts w:hint="default"/>
      </w:rPr>
    </w:lvl>
    <w:lvl w:ilvl="8">
      <w:start w:val="1"/>
      <w:numFmt w:val="decimal"/>
      <w:isLgl/>
      <w:lvlText w:val="%1.%2.%3.%4.%5.%6.%7.%8.%9."/>
      <w:lvlJc w:val="left"/>
      <w:pPr>
        <w:ind w:left="4944" w:hanging="1800"/>
      </w:pPr>
      <w:rPr>
        <w:rFonts w:hint="default"/>
      </w:rPr>
    </w:lvl>
  </w:abstractNum>
  <w:abstractNum w:abstractNumId="59" w15:restartNumberingAfterBreak="0">
    <w:nsid w:val="76DF235D"/>
    <w:multiLevelType w:val="hybridMultilevel"/>
    <w:tmpl w:val="B6BAB6E4"/>
    <w:lvl w:ilvl="0" w:tplc="0409000D">
      <w:start w:val="1"/>
      <w:numFmt w:val="bullet"/>
      <w:lvlText w:val=""/>
      <w:lvlJc w:val="left"/>
      <w:pPr>
        <w:ind w:left="1428" w:hanging="360"/>
      </w:pPr>
      <w:rPr>
        <w:rFonts w:ascii="Wingdings" w:hAnsi="Wingdings"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60" w15:restartNumberingAfterBreak="0">
    <w:nsid w:val="78802490"/>
    <w:multiLevelType w:val="hybridMultilevel"/>
    <w:tmpl w:val="C9EC0DF2"/>
    <w:lvl w:ilvl="0" w:tplc="04180003">
      <w:start w:val="1"/>
      <w:numFmt w:val="bullet"/>
      <w:lvlText w:val="o"/>
      <w:lvlJc w:val="left"/>
      <w:pPr>
        <w:ind w:left="720" w:hanging="360"/>
      </w:pPr>
      <w:rPr>
        <w:rFonts w:ascii="Courier New" w:hAnsi="Courier New" w:cs="Courier New"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1" w15:restartNumberingAfterBreak="0">
    <w:nsid w:val="790B7CC9"/>
    <w:multiLevelType w:val="hybridMultilevel"/>
    <w:tmpl w:val="E6747F0C"/>
    <w:lvl w:ilvl="0" w:tplc="D9FC4596">
      <w:start w:val="1"/>
      <w:numFmt w:val="decimal"/>
      <w:pStyle w:val="Titlutabel"/>
      <w:lvlText w:val="Tabel %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pStyle w:val="Heading9"/>
      <w:lvlText w:val="%9."/>
      <w:lvlJc w:val="right"/>
      <w:pPr>
        <w:ind w:left="6480" w:hanging="180"/>
      </w:pPr>
    </w:lvl>
  </w:abstractNum>
  <w:abstractNum w:abstractNumId="62" w15:restartNumberingAfterBreak="0">
    <w:nsid w:val="79C3079A"/>
    <w:multiLevelType w:val="hybridMultilevel"/>
    <w:tmpl w:val="5DD88A0C"/>
    <w:lvl w:ilvl="0" w:tplc="D4B6DB9A">
      <w:start w:val="1"/>
      <w:numFmt w:val="decimal"/>
      <w:lvlText w:val="%1."/>
      <w:lvlJc w:val="left"/>
      <w:pPr>
        <w:ind w:left="1068" w:hanging="360"/>
      </w:pPr>
      <w:rPr>
        <w:rFonts w:hint="default"/>
      </w:rPr>
    </w:lvl>
    <w:lvl w:ilvl="1" w:tplc="04180019" w:tentative="1">
      <w:start w:val="1"/>
      <w:numFmt w:val="lowerLetter"/>
      <w:lvlText w:val="%2."/>
      <w:lvlJc w:val="left"/>
      <w:pPr>
        <w:ind w:left="1788" w:hanging="360"/>
      </w:pPr>
    </w:lvl>
    <w:lvl w:ilvl="2" w:tplc="0418001B" w:tentative="1">
      <w:start w:val="1"/>
      <w:numFmt w:val="lowerRoman"/>
      <w:lvlText w:val="%3."/>
      <w:lvlJc w:val="right"/>
      <w:pPr>
        <w:ind w:left="2508" w:hanging="180"/>
      </w:pPr>
    </w:lvl>
    <w:lvl w:ilvl="3" w:tplc="0418000F" w:tentative="1">
      <w:start w:val="1"/>
      <w:numFmt w:val="decimal"/>
      <w:lvlText w:val="%4."/>
      <w:lvlJc w:val="left"/>
      <w:pPr>
        <w:ind w:left="3228" w:hanging="360"/>
      </w:pPr>
    </w:lvl>
    <w:lvl w:ilvl="4" w:tplc="04180019" w:tentative="1">
      <w:start w:val="1"/>
      <w:numFmt w:val="lowerLetter"/>
      <w:lvlText w:val="%5."/>
      <w:lvlJc w:val="left"/>
      <w:pPr>
        <w:ind w:left="3948" w:hanging="360"/>
      </w:pPr>
    </w:lvl>
    <w:lvl w:ilvl="5" w:tplc="0418001B" w:tentative="1">
      <w:start w:val="1"/>
      <w:numFmt w:val="lowerRoman"/>
      <w:lvlText w:val="%6."/>
      <w:lvlJc w:val="right"/>
      <w:pPr>
        <w:ind w:left="4668" w:hanging="180"/>
      </w:pPr>
    </w:lvl>
    <w:lvl w:ilvl="6" w:tplc="0418000F" w:tentative="1">
      <w:start w:val="1"/>
      <w:numFmt w:val="decimal"/>
      <w:lvlText w:val="%7."/>
      <w:lvlJc w:val="left"/>
      <w:pPr>
        <w:ind w:left="5388" w:hanging="360"/>
      </w:pPr>
    </w:lvl>
    <w:lvl w:ilvl="7" w:tplc="04180019" w:tentative="1">
      <w:start w:val="1"/>
      <w:numFmt w:val="lowerLetter"/>
      <w:lvlText w:val="%8."/>
      <w:lvlJc w:val="left"/>
      <w:pPr>
        <w:ind w:left="6108" w:hanging="360"/>
      </w:pPr>
    </w:lvl>
    <w:lvl w:ilvl="8" w:tplc="0418001B" w:tentative="1">
      <w:start w:val="1"/>
      <w:numFmt w:val="lowerRoman"/>
      <w:lvlText w:val="%9."/>
      <w:lvlJc w:val="right"/>
      <w:pPr>
        <w:ind w:left="6828" w:hanging="180"/>
      </w:pPr>
    </w:lvl>
  </w:abstractNum>
  <w:abstractNum w:abstractNumId="63" w15:restartNumberingAfterBreak="0">
    <w:nsid w:val="7A7825DD"/>
    <w:multiLevelType w:val="hybridMultilevel"/>
    <w:tmpl w:val="F1DC47B8"/>
    <w:lvl w:ilvl="0" w:tplc="213AF10C">
      <w:start w:val="21"/>
      <w:numFmt w:val="bullet"/>
      <w:lvlText w:val="-"/>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4" w15:restartNumberingAfterBreak="0">
    <w:nsid w:val="7B066374"/>
    <w:multiLevelType w:val="hybridMultilevel"/>
    <w:tmpl w:val="51A4680A"/>
    <w:lvl w:ilvl="0" w:tplc="04180001">
      <w:start w:val="1"/>
      <w:numFmt w:val="bullet"/>
      <w:lvlText w:val=""/>
      <w:lvlJc w:val="left"/>
      <w:pPr>
        <w:ind w:left="1800" w:hanging="360"/>
      </w:pPr>
      <w:rPr>
        <w:rFonts w:ascii="Symbol" w:hAnsi="Symbol" w:hint="default"/>
      </w:rPr>
    </w:lvl>
    <w:lvl w:ilvl="1" w:tplc="04180003" w:tentative="1">
      <w:start w:val="1"/>
      <w:numFmt w:val="bullet"/>
      <w:lvlText w:val="o"/>
      <w:lvlJc w:val="left"/>
      <w:pPr>
        <w:ind w:left="2520" w:hanging="360"/>
      </w:pPr>
      <w:rPr>
        <w:rFonts w:ascii="Courier New" w:hAnsi="Courier New" w:cs="Courier New" w:hint="default"/>
      </w:rPr>
    </w:lvl>
    <w:lvl w:ilvl="2" w:tplc="04180005" w:tentative="1">
      <w:start w:val="1"/>
      <w:numFmt w:val="bullet"/>
      <w:lvlText w:val=""/>
      <w:lvlJc w:val="left"/>
      <w:pPr>
        <w:ind w:left="3240" w:hanging="360"/>
      </w:pPr>
      <w:rPr>
        <w:rFonts w:ascii="Wingdings" w:hAnsi="Wingdings" w:hint="default"/>
      </w:rPr>
    </w:lvl>
    <w:lvl w:ilvl="3" w:tplc="04180001" w:tentative="1">
      <w:start w:val="1"/>
      <w:numFmt w:val="bullet"/>
      <w:lvlText w:val=""/>
      <w:lvlJc w:val="left"/>
      <w:pPr>
        <w:ind w:left="3960" w:hanging="360"/>
      </w:pPr>
      <w:rPr>
        <w:rFonts w:ascii="Symbol" w:hAnsi="Symbol" w:hint="default"/>
      </w:rPr>
    </w:lvl>
    <w:lvl w:ilvl="4" w:tplc="04180003" w:tentative="1">
      <w:start w:val="1"/>
      <w:numFmt w:val="bullet"/>
      <w:lvlText w:val="o"/>
      <w:lvlJc w:val="left"/>
      <w:pPr>
        <w:ind w:left="4680" w:hanging="360"/>
      </w:pPr>
      <w:rPr>
        <w:rFonts w:ascii="Courier New" w:hAnsi="Courier New" w:cs="Courier New" w:hint="default"/>
      </w:rPr>
    </w:lvl>
    <w:lvl w:ilvl="5" w:tplc="04180005" w:tentative="1">
      <w:start w:val="1"/>
      <w:numFmt w:val="bullet"/>
      <w:lvlText w:val=""/>
      <w:lvlJc w:val="left"/>
      <w:pPr>
        <w:ind w:left="5400" w:hanging="360"/>
      </w:pPr>
      <w:rPr>
        <w:rFonts w:ascii="Wingdings" w:hAnsi="Wingdings" w:hint="default"/>
      </w:rPr>
    </w:lvl>
    <w:lvl w:ilvl="6" w:tplc="04180001" w:tentative="1">
      <w:start w:val="1"/>
      <w:numFmt w:val="bullet"/>
      <w:lvlText w:val=""/>
      <w:lvlJc w:val="left"/>
      <w:pPr>
        <w:ind w:left="6120" w:hanging="360"/>
      </w:pPr>
      <w:rPr>
        <w:rFonts w:ascii="Symbol" w:hAnsi="Symbol" w:hint="default"/>
      </w:rPr>
    </w:lvl>
    <w:lvl w:ilvl="7" w:tplc="04180003" w:tentative="1">
      <w:start w:val="1"/>
      <w:numFmt w:val="bullet"/>
      <w:lvlText w:val="o"/>
      <w:lvlJc w:val="left"/>
      <w:pPr>
        <w:ind w:left="6840" w:hanging="360"/>
      </w:pPr>
      <w:rPr>
        <w:rFonts w:ascii="Courier New" w:hAnsi="Courier New" w:cs="Courier New" w:hint="default"/>
      </w:rPr>
    </w:lvl>
    <w:lvl w:ilvl="8" w:tplc="04180005" w:tentative="1">
      <w:start w:val="1"/>
      <w:numFmt w:val="bullet"/>
      <w:lvlText w:val=""/>
      <w:lvlJc w:val="left"/>
      <w:pPr>
        <w:ind w:left="7560" w:hanging="360"/>
      </w:pPr>
      <w:rPr>
        <w:rFonts w:ascii="Wingdings" w:hAnsi="Wingdings" w:hint="default"/>
      </w:rPr>
    </w:lvl>
  </w:abstractNum>
  <w:abstractNum w:abstractNumId="65" w15:restartNumberingAfterBreak="0">
    <w:nsid w:val="7CF06284"/>
    <w:multiLevelType w:val="hybridMultilevel"/>
    <w:tmpl w:val="4E102F4C"/>
    <w:lvl w:ilvl="0" w:tplc="04090017">
      <w:start w:val="1"/>
      <w:numFmt w:val="lowerLetter"/>
      <w:lvlText w:val="%1)"/>
      <w:lvlJc w:val="left"/>
      <w:pPr>
        <w:ind w:left="1428" w:hanging="360"/>
      </w:pPr>
    </w:lvl>
    <w:lvl w:ilvl="1" w:tplc="04090019" w:tentative="1">
      <w:start w:val="1"/>
      <w:numFmt w:val="lowerLetter"/>
      <w:lvlText w:val="%2."/>
      <w:lvlJc w:val="left"/>
      <w:pPr>
        <w:ind w:left="2148" w:hanging="360"/>
      </w:pPr>
    </w:lvl>
    <w:lvl w:ilvl="2" w:tplc="0409001B" w:tentative="1">
      <w:start w:val="1"/>
      <w:numFmt w:val="lowerRoman"/>
      <w:lvlText w:val="%3."/>
      <w:lvlJc w:val="right"/>
      <w:pPr>
        <w:ind w:left="2868" w:hanging="180"/>
      </w:pPr>
    </w:lvl>
    <w:lvl w:ilvl="3" w:tplc="0409000F" w:tentative="1">
      <w:start w:val="1"/>
      <w:numFmt w:val="decimal"/>
      <w:lvlText w:val="%4."/>
      <w:lvlJc w:val="left"/>
      <w:pPr>
        <w:ind w:left="3588" w:hanging="360"/>
      </w:pPr>
    </w:lvl>
    <w:lvl w:ilvl="4" w:tplc="04090019" w:tentative="1">
      <w:start w:val="1"/>
      <w:numFmt w:val="lowerLetter"/>
      <w:lvlText w:val="%5."/>
      <w:lvlJc w:val="left"/>
      <w:pPr>
        <w:ind w:left="4308" w:hanging="360"/>
      </w:pPr>
    </w:lvl>
    <w:lvl w:ilvl="5" w:tplc="0409001B" w:tentative="1">
      <w:start w:val="1"/>
      <w:numFmt w:val="lowerRoman"/>
      <w:lvlText w:val="%6."/>
      <w:lvlJc w:val="right"/>
      <w:pPr>
        <w:ind w:left="5028" w:hanging="180"/>
      </w:pPr>
    </w:lvl>
    <w:lvl w:ilvl="6" w:tplc="0409000F" w:tentative="1">
      <w:start w:val="1"/>
      <w:numFmt w:val="decimal"/>
      <w:lvlText w:val="%7."/>
      <w:lvlJc w:val="left"/>
      <w:pPr>
        <w:ind w:left="5748" w:hanging="360"/>
      </w:pPr>
    </w:lvl>
    <w:lvl w:ilvl="7" w:tplc="04090019" w:tentative="1">
      <w:start w:val="1"/>
      <w:numFmt w:val="lowerLetter"/>
      <w:lvlText w:val="%8."/>
      <w:lvlJc w:val="left"/>
      <w:pPr>
        <w:ind w:left="6468" w:hanging="360"/>
      </w:pPr>
    </w:lvl>
    <w:lvl w:ilvl="8" w:tplc="0409001B" w:tentative="1">
      <w:start w:val="1"/>
      <w:numFmt w:val="lowerRoman"/>
      <w:lvlText w:val="%9."/>
      <w:lvlJc w:val="right"/>
      <w:pPr>
        <w:ind w:left="7188" w:hanging="180"/>
      </w:pPr>
    </w:lvl>
  </w:abstractNum>
  <w:abstractNum w:abstractNumId="66" w15:restartNumberingAfterBreak="0">
    <w:nsid w:val="7E943F65"/>
    <w:multiLevelType w:val="hybridMultilevel"/>
    <w:tmpl w:val="A0544314"/>
    <w:lvl w:ilvl="0" w:tplc="0409000D">
      <w:start w:val="1"/>
      <w:numFmt w:val="bullet"/>
      <w:lvlText w:val=""/>
      <w:lvlJc w:val="left"/>
      <w:pPr>
        <w:ind w:left="1428" w:hanging="360"/>
      </w:pPr>
      <w:rPr>
        <w:rFonts w:ascii="Wingdings" w:hAnsi="Wingdings"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67" w15:restartNumberingAfterBreak="0">
    <w:nsid w:val="7FE554CE"/>
    <w:multiLevelType w:val="hybridMultilevel"/>
    <w:tmpl w:val="5648989C"/>
    <w:lvl w:ilvl="0" w:tplc="0409000D">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num w:numId="1">
    <w:abstractNumId w:val="32"/>
  </w:num>
  <w:num w:numId="2">
    <w:abstractNumId w:val="46"/>
  </w:num>
  <w:num w:numId="3">
    <w:abstractNumId w:val="6"/>
  </w:num>
  <w:num w:numId="4">
    <w:abstractNumId w:val="38"/>
  </w:num>
  <w:num w:numId="5">
    <w:abstractNumId w:val="51"/>
  </w:num>
  <w:num w:numId="6">
    <w:abstractNumId w:val="37"/>
  </w:num>
  <w:num w:numId="7">
    <w:abstractNumId w:val="33"/>
  </w:num>
  <w:num w:numId="8">
    <w:abstractNumId w:val="7"/>
  </w:num>
  <w:num w:numId="9">
    <w:abstractNumId w:val="40"/>
  </w:num>
  <w:num w:numId="10">
    <w:abstractNumId w:val="42"/>
  </w:num>
  <w:num w:numId="11">
    <w:abstractNumId w:val="57"/>
  </w:num>
  <w:num w:numId="12">
    <w:abstractNumId w:val="31"/>
  </w:num>
  <w:num w:numId="13">
    <w:abstractNumId w:val="36"/>
  </w:num>
  <w:num w:numId="14">
    <w:abstractNumId w:val="64"/>
  </w:num>
  <w:num w:numId="15">
    <w:abstractNumId w:val="4"/>
  </w:num>
  <w:num w:numId="16">
    <w:abstractNumId w:val="61"/>
  </w:num>
  <w:num w:numId="17">
    <w:abstractNumId w:val="3"/>
  </w:num>
  <w:num w:numId="18">
    <w:abstractNumId w:val="13"/>
  </w:num>
  <w:num w:numId="19">
    <w:abstractNumId w:val="45"/>
  </w:num>
  <w:num w:numId="20">
    <w:abstractNumId w:val="27"/>
  </w:num>
  <w:num w:numId="21">
    <w:abstractNumId w:val="26"/>
  </w:num>
  <w:num w:numId="22">
    <w:abstractNumId w:val="28"/>
  </w:num>
  <w:num w:numId="23">
    <w:abstractNumId w:val="60"/>
  </w:num>
  <w:num w:numId="24">
    <w:abstractNumId w:val="48"/>
  </w:num>
  <w:num w:numId="25">
    <w:abstractNumId w:val="23"/>
  </w:num>
  <w:num w:numId="26">
    <w:abstractNumId w:val="62"/>
  </w:num>
  <w:num w:numId="27">
    <w:abstractNumId w:val="54"/>
  </w:num>
  <w:num w:numId="28">
    <w:abstractNumId w:val="14"/>
  </w:num>
  <w:num w:numId="29">
    <w:abstractNumId w:val="18"/>
  </w:num>
  <w:num w:numId="30">
    <w:abstractNumId w:val="50"/>
  </w:num>
  <w:num w:numId="31">
    <w:abstractNumId w:val="8"/>
  </w:num>
  <w:num w:numId="32">
    <w:abstractNumId w:val="39"/>
  </w:num>
  <w:num w:numId="33">
    <w:abstractNumId w:val="21"/>
  </w:num>
  <w:num w:numId="34">
    <w:abstractNumId w:val="25"/>
  </w:num>
  <w:num w:numId="35">
    <w:abstractNumId w:val="59"/>
  </w:num>
  <w:num w:numId="36">
    <w:abstractNumId w:val="66"/>
  </w:num>
  <w:num w:numId="37">
    <w:abstractNumId w:val="49"/>
  </w:num>
  <w:num w:numId="38">
    <w:abstractNumId w:val="10"/>
  </w:num>
  <w:num w:numId="39">
    <w:abstractNumId w:val="53"/>
  </w:num>
  <w:num w:numId="40">
    <w:abstractNumId w:val="44"/>
  </w:num>
  <w:num w:numId="41">
    <w:abstractNumId w:val="55"/>
  </w:num>
  <w:num w:numId="42">
    <w:abstractNumId w:val="35"/>
  </w:num>
  <w:num w:numId="43">
    <w:abstractNumId w:val="16"/>
  </w:num>
  <w:num w:numId="44">
    <w:abstractNumId w:val="63"/>
  </w:num>
  <w:num w:numId="45">
    <w:abstractNumId w:val="43"/>
  </w:num>
  <w:num w:numId="46">
    <w:abstractNumId w:val="1"/>
  </w:num>
  <w:num w:numId="47">
    <w:abstractNumId w:val="24"/>
  </w:num>
  <w:num w:numId="48">
    <w:abstractNumId w:val="9"/>
  </w:num>
  <w:num w:numId="49">
    <w:abstractNumId w:val="19"/>
  </w:num>
  <w:num w:numId="50">
    <w:abstractNumId w:val="29"/>
  </w:num>
  <w:num w:numId="51">
    <w:abstractNumId w:val="30"/>
  </w:num>
  <w:num w:numId="52">
    <w:abstractNumId w:val="12"/>
  </w:num>
  <w:num w:numId="53">
    <w:abstractNumId w:val="41"/>
  </w:num>
  <w:num w:numId="54">
    <w:abstractNumId w:val="2"/>
  </w:num>
  <w:num w:numId="55">
    <w:abstractNumId w:val="22"/>
  </w:num>
  <w:num w:numId="56">
    <w:abstractNumId w:val="52"/>
  </w:num>
  <w:num w:numId="57">
    <w:abstractNumId w:val="47"/>
  </w:num>
  <w:num w:numId="58">
    <w:abstractNumId w:val="65"/>
  </w:num>
  <w:num w:numId="59">
    <w:abstractNumId w:val="34"/>
  </w:num>
  <w:num w:numId="60">
    <w:abstractNumId w:val="11"/>
  </w:num>
  <w:num w:numId="61">
    <w:abstractNumId w:val="15"/>
  </w:num>
  <w:num w:numId="62">
    <w:abstractNumId w:val="5"/>
  </w:num>
  <w:num w:numId="63">
    <w:abstractNumId w:val="67"/>
  </w:num>
  <w:num w:numId="64">
    <w:abstractNumId w:val="0"/>
  </w:num>
  <w:num w:numId="65">
    <w:abstractNumId w:val="17"/>
  </w:num>
  <w:num w:numId="66">
    <w:abstractNumId w:val="56"/>
  </w:num>
  <w:num w:numId="67">
    <w:abstractNumId w:val="58"/>
  </w:num>
  <w:num w:numId="68">
    <w:abstractNumId w:val="20"/>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GrammaticalErrors/>
  <w:defaultTabStop w:val="708"/>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E3655"/>
    <w:rsid w:val="0000002B"/>
    <w:rsid w:val="00000253"/>
    <w:rsid w:val="0000098F"/>
    <w:rsid w:val="00000ADA"/>
    <w:rsid w:val="00000BAD"/>
    <w:rsid w:val="000023A8"/>
    <w:rsid w:val="00003785"/>
    <w:rsid w:val="00004166"/>
    <w:rsid w:val="00004E69"/>
    <w:rsid w:val="000074D5"/>
    <w:rsid w:val="00007EB9"/>
    <w:rsid w:val="0001181C"/>
    <w:rsid w:val="000119D3"/>
    <w:rsid w:val="00011BD8"/>
    <w:rsid w:val="00011C9B"/>
    <w:rsid w:val="00012B91"/>
    <w:rsid w:val="0001322C"/>
    <w:rsid w:val="000139FA"/>
    <w:rsid w:val="000146D5"/>
    <w:rsid w:val="00014CC9"/>
    <w:rsid w:val="00015046"/>
    <w:rsid w:val="0001666E"/>
    <w:rsid w:val="00016C71"/>
    <w:rsid w:val="00017BBF"/>
    <w:rsid w:val="00017CEB"/>
    <w:rsid w:val="00021893"/>
    <w:rsid w:val="0002455E"/>
    <w:rsid w:val="000247A9"/>
    <w:rsid w:val="00024B86"/>
    <w:rsid w:val="000257EC"/>
    <w:rsid w:val="00025CE8"/>
    <w:rsid w:val="000262C3"/>
    <w:rsid w:val="00026839"/>
    <w:rsid w:val="0002718D"/>
    <w:rsid w:val="00027D26"/>
    <w:rsid w:val="00030690"/>
    <w:rsid w:val="00030755"/>
    <w:rsid w:val="00030F7D"/>
    <w:rsid w:val="00030FD7"/>
    <w:rsid w:val="00031EFD"/>
    <w:rsid w:val="000365B1"/>
    <w:rsid w:val="00037F29"/>
    <w:rsid w:val="00040468"/>
    <w:rsid w:val="00041123"/>
    <w:rsid w:val="0004159A"/>
    <w:rsid w:val="00042796"/>
    <w:rsid w:val="00042AE7"/>
    <w:rsid w:val="0004450F"/>
    <w:rsid w:val="00044B41"/>
    <w:rsid w:val="000453FB"/>
    <w:rsid w:val="00046789"/>
    <w:rsid w:val="0004687E"/>
    <w:rsid w:val="00046929"/>
    <w:rsid w:val="00050A57"/>
    <w:rsid w:val="00050BCA"/>
    <w:rsid w:val="00050DE0"/>
    <w:rsid w:val="00051021"/>
    <w:rsid w:val="00051A69"/>
    <w:rsid w:val="00051BE9"/>
    <w:rsid w:val="00052BDC"/>
    <w:rsid w:val="0005362D"/>
    <w:rsid w:val="00054880"/>
    <w:rsid w:val="00054C9D"/>
    <w:rsid w:val="000550CF"/>
    <w:rsid w:val="0005590D"/>
    <w:rsid w:val="000561CF"/>
    <w:rsid w:val="00057837"/>
    <w:rsid w:val="00060604"/>
    <w:rsid w:val="00060F94"/>
    <w:rsid w:val="000622C8"/>
    <w:rsid w:val="0006291D"/>
    <w:rsid w:val="00062BCC"/>
    <w:rsid w:val="00063292"/>
    <w:rsid w:val="00063CE4"/>
    <w:rsid w:val="00064F16"/>
    <w:rsid w:val="000655C5"/>
    <w:rsid w:val="00065C8E"/>
    <w:rsid w:val="000661FD"/>
    <w:rsid w:val="000674F2"/>
    <w:rsid w:val="000725D4"/>
    <w:rsid w:val="000726C0"/>
    <w:rsid w:val="00072BE4"/>
    <w:rsid w:val="00072E9B"/>
    <w:rsid w:val="00073CA6"/>
    <w:rsid w:val="000741CD"/>
    <w:rsid w:val="00075BAB"/>
    <w:rsid w:val="000805B7"/>
    <w:rsid w:val="00080EB2"/>
    <w:rsid w:val="00080F49"/>
    <w:rsid w:val="00081C77"/>
    <w:rsid w:val="00082670"/>
    <w:rsid w:val="00082A2C"/>
    <w:rsid w:val="00083475"/>
    <w:rsid w:val="00084A79"/>
    <w:rsid w:val="00085C68"/>
    <w:rsid w:val="00086957"/>
    <w:rsid w:val="000873AB"/>
    <w:rsid w:val="000903BE"/>
    <w:rsid w:val="00091340"/>
    <w:rsid w:val="00091444"/>
    <w:rsid w:val="000914CC"/>
    <w:rsid w:val="00091A4C"/>
    <w:rsid w:val="00091A64"/>
    <w:rsid w:val="00092335"/>
    <w:rsid w:val="0009422C"/>
    <w:rsid w:val="000965F0"/>
    <w:rsid w:val="000970C9"/>
    <w:rsid w:val="00097B8B"/>
    <w:rsid w:val="000A0032"/>
    <w:rsid w:val="000A0AFC"/>
    <w:rsid w:val="000A20EA"/>
    <w:rsid w:val="000A2768"/>
    <w:rsid w:val="000A2D54"/>
    <w:rsid w:val="000A2FE7"/>
    <w:rsid w:val="000A3209"/>
    <w:rsid w:val="000A4898"/>
    <w:rsid w:val="000A5A63"/>
    <w:rsid w:val="000A64F9"/>
    <w:rsid w:val="000A6F72"/>
    <w:rsid w:val="000B07ED"/>
    <w:rsid w:val="000B0924"/>
    <w:rsid w:val="000B1F57"/>
    <w:rsid w:val="000B1F7B"/>
    <w:rsid w:val="000B1F8E"/>
    <w:rsid w:val="000B2223"/>
    <w:rsid w:val="000B2383"/>
    <w:rsid w:val="000B3558"/>
    <w:rsid w:val="000B3DC2"/>
    <w:rsid w:val="000B506A"/>
    <w:rsid w:val="000B5A31"/>
    <w:rsid w:val="000B6E4B"/>
    <w:rsid w:val="000B7F3B"/>
    <w:rsid w:val="000C0BED"/>
    <w:rsid w:val="000C23E2"/>
    <w:rsid w:val="000C2D10"/>
    <w:rsid w:val="000C3010"/>
    <w:rsid w:val="000C3679"/>
    <w:rsid w:val="000C4FBA"/>
    <w:rsid w:val="000C5440"/>
    <w:rsid w:val="000C55CE"/>
    <w:rsid w:val="000C5C16"/>
    <w:rsid w:val="000C6187"/>
    <w:rsid w:val="000C640C"/>
    <w:rsid w:val="000C6DFC"/>
    <w:rsid w:val="000C7A05"/>
    <w:rsid w:val="000C7DA1"/>
    <w:rsid w:val="000D0C17"/>
    <w:rsid w:val="000D0CF7"/>
    <w:rsid w:val="000D11C0"/>
    <w:rsid w:val="000D17DE"/>
    <w:rsid w:val="000D2505"/>
    <w:rsid w:val="000D2B1A"/>
    <w:rsid w:val="000D45E4"/>
    <w:rsid w:val="000D4CB9"/>
    <w:rsid w:val="000D4FAB"/>
    <w:rsid w:val="000D5360"/>
    <w:rsid w:val="000D57EB"/>
    <w:rsid w:val="000D59EC"/>
    <w:rsid w:val="000D5B4D"/>
    <w:rsid w:val="000D71D5"/>
    <w:rsid w:val="000D76D9"/>
    <w:rsid w:val="000E349E"/>
    <w:rsid w:val="000E3979"/>
    <w:rsid w:val="000E3D27"/>
    <w:rsid w:val="000E450A"/>
    <w:rsid w:val="000E4BC5"/>
    <w:rsid w:val="000E4F07"/>
    <w:rsid w:val="000E4FFC"/>
    <w:rsid w:val="000F04C2"/>
    <w:rsid w:val="000F100B"/>
    <w:rsid w:val="000F1B1F"/>
    <w:rsid w:val="000F1DA7"/>
    <w:rsid w:val="000F28EF"/>
    <w:rsid w:val="000F4608"/>
    <w:rsid w:val="000F4A82"/>
    <w:rsid w:val="000F6436"/>
    <w:rsid w:val="000F6619"/>
    <w:rsid w:val="000F73AB"/>
    <w:rsid w:val="000F7F91"/>
    <w:rsid w:val="000F7FC5"/>
    <w:rsid w:val="00101239"/>
    <w:rsid w:val="00101247"/>
    <w:rsid w:val="001014D3"/>
    <w:rsid w:val="0010239E"/>
    <w:rsid w:val="00103944"/>
    <w:rsid w:val="00104041"/>
    <w:rsid w:val="001044B8"/>
    <w:rsid w:val="001050AD"/>
    <w:rsid w:val="0010619F"/>
    <w:rsid w:val="00106228"/>
    <w:rsid w:val="001064A7"/>
    <w:rsid w:val="001069E1"/>
    <w:rsid w:val="00107B8C"/>
    <w:rsid w:val="00110B8B"/>
    <w:rsid w:val="00113C31"/>
    <w:rsid w:val="001155A2"/>
    <w:rsid w:val="001156F3"/>
    <w:rsid w:val="00116314"/>
    <w:rsid w:val="00116716"/>
    <w:rsid w:val="00117BAE"/>
    <w:rsid w:val="00120ADF"/>
    <w:rsid w:val="0012129B"/>
    <w:rsid w:val="001213C1"/>
    <w:rsid w:val="00122AC4"/>
    <w:rsid w:val="001233CD"/>
    <w:rsid w:val="00123DF9"/>
    <w:rsid w:val="00124E70"/>
    <w:rsid w:val="00125258"/>
    <w:rsid w:val="00126708"/>
    <w:rsid w:val="00126B94"/>
    <w:rsid w:val="00127758"/>
    <w:rsid w:val="00127FCC"/>
    <w:rsid w:val="00130D1D"/>
    <w:rsid w:val="00131B7E"/>
    <w:rsid w:val="00132235"/>
    <w:rsid w:val="001329A5"/>
    <w:rsid w:val="00133C76"/>
    <w:rsid w:val="00133D30"/>
    <w:rsid w:val="00133F31"/>
    <w:rsid w:val="00134394"/>
    <w:rsid w:val="0013537F"/>
    <w:rsid w:val="00135C8A"/>
    <w:rsid w:val="0013626E"/>
    <w:rsid w:val="0013707B"/>
    <w:rsid w:val="00137C76"/>
    <w:rsid w:val="00140EB9"/>
    <w:rsid w:val="0014220B"/>
    <w:rsid w:val="00142278"/>
    <w:rsid w:val="00142EAB"/>
    <w:rsid w:val="00145BC7"/>
    <w:rsid w:val="001475DD"/>
    <w:rsid w:val="00150CBD"/>
    <w:rsid w:val="001513D7"/>
    <w:rsid w:val="00153B24"/>
    <w:rsid w:val="00153DBB"/>
    <w:rsid w:val="00154FED"/>
    <w:rsid w:val="00155A92"/>
    <w:rsid w:val="00155B72"/>
    <w:rsid w:val="0015604D"/>
    <w:rsid w:val="00156182"/>
    <w:rsid w:val="00156655"/>
    <w:rsid w:val="001577AF"/>
    <w:rsid w:val="001609A3"/>
    <w:rsid w:val="00161564"/>
    <w:rsid w:val="001619A8"/>
    <w:rsid w:val="00163930"/>
    <w:rsid w:val="00164617"/>
    <w:rsid w:val="0016533E"/>
    <w:rsid w:val="001654BD"/>
    <w:rsid w:val="00166676"/>
    <w:rsid w:val="0016671D"/>
    <w:rsid w:val="00166B87"/>
    <w:rsid w:val="001677B8"/>
    <w:rsid w:val="001700A7"/>
    <w:rsid w:val="00170357"/>
    <w:rsid w:val="00170571"/>
    <w:rsid w:val="00171514"/>
    <w:rsid w:val="00171C34"/>
    <w:rsid w:val="0017620B"/>
    <w:rsid w:val="00176545"/>
    <w:rsid w:val="00176855"/>
    <w:rsid w:val="001772B2"/>
    <w:rsid w:val="001804CB"/>
    <w:rsid w:val="001817EE"/>
    <w:rsid w:val="00181B39"/>
    <w:rsid w:val="00182F12"/>
    <w:rsid w:val="00183936"/>
    <w:rsid w:val="00183A0E"/>
    <w:rsid w:val="001860CB"/>
    <w:rsid w:val="00187F33"/>
    <w:rsid w:val="00191A99"/>
    <w:rsid w:val="00193ACE"/>
    <w:rsid w:val="00194FF0"/>
    <w:rsid w:val="00195407"/>
    <w:rsid w:val="001959BF"/>
    <w:rsid w:val="00196AE6"/>
    <w:rsid w:val="00196B49"/>
    <w:rsid w:val="001A0DC3"/>
    <w:rsid w:val="001A186A"/>
    <w:rsid w:val="001A1C7D"/>
    <w:rsid w:val="001A2BAD"/>
    <w:rsid w:val="001A3090"/>
    <w:rsid w:val="001A3D01"/>
    <w:rsid w:val="001A4D6C"/>
    <w:rsid w:val="001A55DD"/>
    <w:rsid w:val="001A584F"/>
    <w:rsid w:val="001B103E"/>
    <w:rsid w:val="001B19EE"/>
    <w:rsid w:val="001B20AE"/>
    <w:rsid w:val="001B219B"/>
    <w:rsid w:val="001B2796"/>
    <w:rsid w:val="001B2AD1"/>
    <w:rsid w:val="001B3B62"/>
    <w:rsid w:val="001B5BED"/>
    <w:rsid w:val="001B61B7"/>
    <w:rsid w:val="001B647C"/>
    <w:rsid w:val="001B7137"/>
    <w:rsid w:val="001B7B87"/>
    <w:rsid w:val="001C0A47"/>
    <w:rsid w:val="001C0C60"/>
    <w:rsid w:val="001C1570"/>
    <w:rsid w:val="001C1776"/>
    <w:rsid w:val="001C1A15"/>
    <w:rsid w:val="001C2086"/>
    <w:rsid w:val="001C34DE"/>
    <w:rsid w:val="001C4AFF"/>
    <w:rsid w:val="001C4EB6"/>
    <w:rsid w:val="001C5613"/>
    <w:rsid w:val="001C6911"/>
    <w:rsid w:val="001C6C09"/>
    <w:rsid w:val="001D08BD"/>
    <w:rsid w:val="001D1E64"/>
    <w:rsid w:val="001D3257"/>
    <w:rsid w:val="001D53C6"/>
    <w:rsid w:val="001D6450"/>
    <w:rsid w:val="001E21CA"/>
    <w:rsid w:val="001E3517"/>
    <w:rsid w:val="001E3C6D"/>
    <w:rsid w:val="001E558C"/>
    <w:rsid w:val="001E57D5"/>
    <w:rsid w:val="001E634E"/>
    <w:rsid w:val="001F1F33"/>
    <w:rsid w:val="001F2056"/>
    <w:rsid w:val="001F2C0A"/>
    <w:rsid w:val="001F2D02"/>
    <w:rsid w:val="001F3378"/>
    <w:rsid w:val="001F33C2"/>
    <w:rsid w:val="001F469E"/>
    <w:rsid w:val="001F5039"/>
    <w:rsid w:val="001F5609"/>
    <w:rsid w:val="001F56BB"/>
    <w:rsid w:val="001F611F"/>
    <w:rsid w:val="001F6D06"/>
    <w:rsid w:val="001F7AA5"/>
    <w:rsid w:val="002003BF"/>
    <w:rsid w:val="002005F2"/>
    <w:rsid w:val="00200A86"/>
    <w:rsid w:val="00200B45"/>
    <w:rsid w:val="00200C2F"/>
    <w:rsid w:val="00200CA4"/>
    <w:rsid w:val="00201364"/>
    <w:rsid w:val="002016C6"/>
    <w:rsid w:val="00202308"/>
    <w:rsid w:val="00204915"/>
    <w:rsid w:val="00204B7C"/>
    <w:rsid w:val="00205038"/>
    <w:rsid w:val="00205A70"/>
    <w:rsid w:val="00205FB3"/>
    <w:rsid w:val="00206B2B"/>
    <w:rsid w:val="00206E0F"/>
    <w:rsid w:val="002074AA"/>
    <w:rsid w:val="002101DF"/>
    <w:rsid w:val="002108A8"/>
    <w:rsid w:val="00211383"/>
    <w:rsid w:val="00212221"/>
    <w:rsid w:val="00212ABA"/>
    <w:rsid w:val="00212CB0"/>
    <w:rsid w:val="00213137"/>
    <w:rsid w:val="002136AB"/>
    <w:rsid w:val="0021534E"/>
    <w:rsid w:val="0021694A"/>
    <w:rsid w:val="0022078D"/>
    <w:rsid w:val="00220A42"/>
    <w:rsid w:val="00221660"/>
    <w:rsid w:val="0022195C"/>
    <w:rsid w:val="0022371D"/>
    <w:rsid w:val="00224F3E"/>
    <w:rsid w:val="00226080"/>
    <w:rsid w:val="00226B9F"/>
    <w:rsid w:val="0022741C"/>
    <w:rsid w:val="00227BEE"/>
    <w:rsid w:val="00227CAE"/>
    <w:rsid w:val="00231940"/>
    <w:rsid w:val="0023374E"/>
    <w:rsid w:val="00235D1A"/>
    <w:rsid w:val="00236B8F"/>
    <w:rsid w:val="0024184D"/>
    <w:rsid w:val="00241C32"/>
    <w:rsid w:val="002428E3"/>
    <w:rsid w:val="002440CF"/>
    <w:rsid w:val="00245732"/>
    <w:rsid w:val="00246346"/>
    <w:rsid w:val="002471BA"/>
    <w:rsid w:val="00247EB3"/>
    <w:rsid w:val="00250E89"/>
    <w:rsid w:val="002524D7"/>
    <w:rsid w:val="00252EF4"/>
    <w:rsid w:val="00253344"/>
    <w:rsid w:val="00253B8A"/>
    <w:rsid w:val="002543F4"/>
    <w:rsid w:val="002547D9"/>
    <w:rsid w:val="00254C63"/>
    <w:rsid w:val="002553EA"/>
    <w:rsid w:val="00256B1E"/>
    <w:rsid w:val="00256D32"/>
    <w:rsid w:val="00256FEB"/>
    <w:rsid w:val="0026198A"/>
    <w:rsid w:val="00261E4C"/>
    <w:rsid w:val="002621D4"/>
    <w:rsid w:val="0026415A"/>
    <w:rsid w:val="00264BF6"/>
    <w:rsid w:val="0026529F"/>
    <w:rsid w:val="0026557C"/>
    <w:rsid w:val="00265944"/>
    <w:rsid w:val="00267298"/>
    <w:rsid w:val="00271A8D"/>
    <w:rsid w:val="00271F4D"/>
    <w:rsid w:val="002724C9"/>
    <w:rsid w:val="0027293F"/>
    <w:rsid w:val="00273912"/>
    <w:rsid w:val="002771FE"/>
    <w:rsid w:val="00277270"/>
    <w:rsid w:val="00277911"/>
    <w:rsid w:val="00277CB7"/>
    <w:rsid w:val="00280831"/>
    <w:rsid w:val="00280BC9"/>
    <w:rsid w:val="00281431"/>
    <w:rsid w:val="002815D9"/>
    <w:rsid w:val="002830C9"/>
    <w:rsid w:val="00283DFA"/>
    <w:rsid w:val="00284F79"/>
    <w:rsid w:val="00285F85"/>
    <w:rsid w:val="00287193"/>
    <w:rsid w:val="00287796"/>
    <w:rsid w:val="00290187"/>
    <w:rsid w:val="00290C02"/>
    <w:rsid w:val="00290C81"/>
    <w:rsid w:val="00291298"/>
    <w:rsid w:val="00293101"/>
    <w:rsid w:val="002956D2"/>
    <w:rsid w:val="00295772"/>
    <w:rsid w:val="00295F75"/>
    <w:rsid w:val="0029612E"/>
    <w:rsid w:val="00297B5A"/>
    <w:rsid w:val="002A1BF7"/>
    <w:rsid w:val="002A25D5"/>
    <w:rsid w:val="002A2C87"/>
    <w:rsid w:val="002A424E"/>
    <w:rsid w:val="002A4573"/>
    <w:rsid w:val="002A49C4"/>
    <w:rsid w:val="002A4F4A"/>
    <w:rsid w:val="002A5861"/>
    <w:rsid w:val="002A7799"/>
    <w:rsid w:val="002A7977"/>
    <w:rsid w:val="002B018D"/>
    <w:rsid w:val="002B034B"/>
    <w:rsid w:val="002B076D"/>
    <w:rsid w:val="002B0F92"/>
    <w:rsid w:val="002B1291"/>
    <w:rsid w:val="002B1B3D"/>
    <w:rsid w:val="002B3216"/>
    <w:rsid w:val="002B34A7"/>
    <w:rsid w:val="002B5184"/>
    <w:rsid w:val="002C02AE"/>
    <w:rsid w:val="002C115C"/>
    <w:rsid w:val="002C242D"/>
    <w:rsid w:val="002C2BA4"/>
    <w:rsid w:val="002C3811"/>
    <w:rsid w:val="002C3858"/>
    <w:rsid w:val="002C4022"/>
    <w:rsid w:val="002C4380"/>
    <w:rsid w:val="002C44B6"/>
    <w:rsid w:val="002C50F7"/>
    <w:rsid w:val="002C6291"/>
    <w:rsid w:val="002C62F3"/>
    <w:rsid w:val="002C6BB0"/>
    <w:rsid w:val="002C701A"/>
    <w:rsid w:val="002D05A2"/>
    <w:rsid w:val="002D1AAA"/>
    <w:rsid w:val="002D2342"/>
    <w:rsid w:val="002D2575"/>
    <w:rsid w:val="002D2D1B"/>
    <w:rsid w:val="002D6B1F"/>
    <w:rsid w:val="002D7119"/>
    <w:rsid w:val="002D7366"/>
    <w:rsid w:val="002D764D"/>
    <w:rsid w:val="002D7843"/>
    <w:rsid w:val="002E10A4"/>
    <w:rsid w:val="002E145E"/>
    <w:rsid w:val="002E1B5D"/>
    <w:rsid w:val="002E3D2C"/>
    <w:rsid w:val="002E5ED3"/>
    <w:rsid w:val="002E666E"/>
    <w:rsid w:val="002E66CD"/>
    <w:rsid w:val="002F027E"/>
    <w:rsid w:val="002F2669"/>
    <w:rsid w:val="002F27E8"/>
    <w:rsid w:val="002F2B0B"/>
    <w:rsid w:val="002F33F4"/>
    <w:rsid w:val="002F3AE3"/>
    <w:rsid w:val="002F4B45"/>
    <w:rsid w:val="002F5ED8"/>
    <w:rsid w:val="002F6CB2"/>
    <w:rsid w:val="002F6D06"/>
    <w:rsid w:val="0030027B"/>
    <w:rsid w:val="00300E1D"/>
    <w:rsid w:val="00301413"/>
    <w:rsid w:val="00301981"/>
    <w:rsid w:val="003035DF"/>
    <w:rsid w:val="00304D6D"/>
    <w:rsid w:val="0030500A"/>
    <w:rsid w:val="00305926"/>
    <w:rsid w:val="00307FC3"/>
    <w:rsid w:val="0031036E"/>
    <w:rsid w:val="00310D3D"/>
    <w:rsid w:val="00312A5C"/>
    <w:rsid w:val="003135F4"/>
    <w:rsid w:val="00313FAC"/>
    <w:rsid w:val="00315A3F"/>
    <w:rsid w:val="00315E9B"/>
    <w:rsid w:val="00316752"/>
    <w:rsid w:val="00317273"/>
    <w:rsid w:val="003174A7"/>
    <w:rsid w:val="0032265C"/>
    <w:rsid w:val="0032359C"/>
    <w:rsid w:val="003271D2"/>
    <w:rsid w:val="00327204"/>
    <w:rsid w:val="00327C14"/>
    <w:rsid w:val="00330633"/>
    <w:rsid w:val="00331AF6"/>
    <w:rsid w:val="0033298C"/>
    <w:rsid w:val="00332B20"/>
    <w:rsid w:val="0033349E"/>
    <w:rsid w:val="00335312"/>
    <w:rsid w:val="0033579E"/>
    <w:rsid w:val="0033655C"/>
    <w:rsid w:val="003379E6"/>
    <w:rsid w:val="00340BEA"/>
    <w:rsid w:val="0034154A"/>
    <w:rsid w:val="003415D4"/>
    <w:rsid w:val="00342830"/>
    <w:rsid w:val="003428EA"/>
    <w:rsid w:val="0034322E"/>
    <w:rsid w:val="00343553"/>
    <w:rsid w:val="00343667"/>
    <w:rsid w:val="00344F89"/>
    <w:rsid w:val="00344FE7"/>
    <w:rsid w:val="003457A8"/>
    <w:rsid w:val="003469BB"/>
    <w:rsid w:val="00347029"/>
    <w:rsid w:val="0035156E"/>
    <w:rsid w:val="00351CFB"/>
    <w:rsid w:val="00352428"/>
    <w:rsid w:val="00353551"/>
    <w:rsid w:val="00354107"/>
    <w:rsid w:val="003547E9"/>
    <w:rsid w:val="00355043"/>
    <w:rsid w:val="00355ADF"/>
    <w:rsid w:val="00356575"/>
    <w:rsid w:val="00356759"/>
    <w:rsid w:val="00357DB2"/>
    <w:rsid w:val="00361255"/>
    <w:rsid w:val="00361585"/>
    <w:rsid w:val="003622E6"/>
    <w:rsid w:val="00362769"/>
    <w:rsid w:val="00362B21"/>
    <w:rsid w:val="00363AC0"/>
    <w:rsid w:val="00363F07"/>
    <w:rsid w:val="00364288"/>
    <w:rsid w:val="00364A79"/>
    <w:rsid w:val="0036530D"/>
    <w:rsid w:val="0036703D"/>
    <w:rsid w:val="00370685"/>
    <w:rsid w:val="00370EF5"/>
    <w:rsid w:val="0037135B"/>
    <w:rsid w:val="00371699"/>
    <w:rsid w:val="00371AD7"/>
    <w:rsid w:val="00371CEF"/>
    <w:rsid w:val="0037218D"/>
    <w:rsid w:val="00372B1D"/>
    <w:rsid w:val="00372EB2"/>
    <w:rsid w:val="0037462B"/>
    <w:rsid w:val="00375A75"/>
    <w:rsid w:val="00375C04"/>
    <w:rsid w:val="00375ED8"/>
    <w:rsid w:val="00376DA9"/>
    <w:rsid w:val="00377FE4"/>
    <w:rsid w:val="00381A7B"/>
    <w:rsid w:val="0038273B"/>
    <w:rsid w:val="003828B1"/>
    <w:rsid w:val="003828C8"/>
    <w:rsid w:val="00383110"/>
    <w:rsid w:val="003833CA"/>
    <w:rsid w:val="003834EC"/>
    <w:rsid w:val="00383B22"/>
    <w:rsid w:val="0038427C"/>
    <w:rsid w:val="00384E9A"/>
    <w:rsid w:val="00385569"/>
    <w:rsid w:val="00386FCA"/>
    <w:rsid w:val="0038759F"/>
    <w:rsid w:val="00387675"/>
    <w:rsid w:val="00387798"/>
    <w:rsid w:val="00387F88"/>
    <w:rsid w:val="003948BC"/>
    <w:rsid w:val="0039599B"/>
    <w:rsid w:val="003959A5"/>
    <w:rsid w:val="00396ABB"/>
    <w:rsid w:val="00397C78"/>
    <w:rsid w:val="003A39A9"/>
    <w:rsid w:val="003A4537"/>
    <w:rsid w:val="003A520C"/>
    <w:rsid w:val="003A5C33"/>
    <w:rsid w:val="003A68B0"/>
    <w:rsid w:val="003B0C49"/>
    <w:rsid w:val="003B0D03"/>
    <w:rsid w:val="003B0D57"/>
    <w:rsid w:val="003B0DAF"/>
    <w:rsid w:val="003B1D7D"/>
    <w:rsid w:val="003B4067"/>
    <w:rsid w:val="003B495A"/>
    <w:rsid w:val="003B58DF"/>
    <w:rsid w:val="003B741B"/>
    <w:rsid w:val="003B749A"/>
    <w:rsid w:val="003B7756"/>
    <w:rsid w:val="003C04B7"/>
    <w:rsid w:val="003C2F78"/>
    <w:rsid w:val="003C3B9F"/>
    <w:rsid w:val="003C58E1"/>
    <w:rsid w:val="003C69F8"/>
    <w:rsid w:val="003C7C5E"/>
    <w:rsid w:val="003C7CB0"/>
    <w:rsid w:val="003D1C13"/>
    <w:rsid w:val="003D217E"/>
    <w:rsid w:val="003D2844"/>
    <w:rsid w:val="003D2852"/>
    <w:rsid w:val="003D4243"/>
    <w:rsid w:val="003D61AD"/>
    <w:rsid w:val="003E0DB1"/>
    <w:rsid w:val="003E0F07"/>
    <w:rsid w:val="003E0F0B"/>
    <w:rsid w:val="003E1952"/>
    <w:rsid w:val="003E1A40"/>
    <w:rsid w:val="003E3B0E"/>
    <w:rsid w:val="003E4106"/>
    <w:rsid w:val="003E5619"/>
    <w:rsid w:val="003E6C01"/>
    <w:rsid w:val="003E7DB8"/>
    <w:rsid w:val="003F131E"/>
    <w:rsid w:val="003F18BA"/>
    <w:rsid w:val="003F1B13"/>
    <w:rsid w:val="003F20FD"/>
    <w:rsid w:val="003F4509"/>
    <w:rsid w:val="003F47D9"/>
    <w:rsid w:val="003F7A7B"/>
    <w:rsid w:val="0040071E"/>
    <w:rsid w:val="004008FD"/>
    <w:rsid w:val="00400965"/>
    <w:rsid w:val="00401DB7"/>
    <w:rsid w:val="00402D45"/>
    <w:rsid w:val="00403E61"/>
    <w:rsid w:val="004054D0"/>
    <w:rsid w:val="00405AE9"/>
    <w:rsid w:val="0040686E"/>
    <w:rsid w:val="00406987"/>
    <w:rsid w:val="00406B0B"/>
    <w:rsid w:val="00410965"/>
    <w:rsid w:val="00412385"/>
    <w:rsid w:val="0041285F"/>
    <w:rsid w:val="00413691"/>
    <w:rsid w:val="00414A83"/>
    <w:rsid w:val="00414AE2"/>
    <w:rsid w:val="00414E11"/>
    <w:rsid w:val="00414F52"/>
    <w:rsid w:val="00415289"/>
    <w:rsid w:val="004162EC"/>
    <w:rsid w:val="00416807"/>
    <w:rsid w:val="00420622"/>
    <w:rsid w:val="00420749"/>
    <w:rsid w:val="00420C56"/>
    <w:rsid w:val="00420D6B"/>
    <w:rsid w:val="00420E37"/>
    <w:rsid w:val="004210BA"/>
    <w:rsid w:val="004231CA"/>
    <w:rsid w:val="0042442C"/>
    <w:rsid w:val="00424F63"/>
    <w:rsid w:val="004256FE"/>
    <w:rsid w:val="00426C9B"/>
    <w:rsid w:val="004307C2"/>
    <w:rsid w:val="00430C05"/>
    <w:rsid w:val="00431773"/>
    <w:rsid w:val="00431CC7"/>
    <w:rsid w:val="00431E31"/>
    <w:rsid w:val="00432430"/>
    <w:rsid w:val="00433CF8"/>
    <w:rsid w:val="0043787C"/>
    <w:rsid w:val="00437ACC"/>
    <w:rsid w:val="00440036"/>
    <w:rsid w:val="00443FE3"/>
    <w:rsid w:val="00444EE2"/>
    <w:rsid w:val="004461F6"/>
    <w:rsid w:val="00451392"/>
    <w:rsid w:val="00452AC9"/>
    <w:rsid w:val="00452F7B"/>
    <w:rsid w:val="0045323D"/>
    <w:rsid w:val="00453395"/>
    <w:rsid w:val="0045446F"/>
    <w:rsid w:val="004544BA"/>
    <w:rsid w:val="00455581"/>
    <w:rsid w:val="00455C34"/>
    <w:rsid w:val="00455EF8"/>
    <w:rsid w:val="00456CDB"/>
    <w:rsid w:val="00456E1C"/>
    <w:rsid w:val="0046063F"/>
    <w:rsid w:val="0046274A"/>
    <w:rsid w:val="0046369B"/>
    <w:rsid w:val="00463A99"/>
    <w:rsid w:val="004643D8"/>
    <w:rsid w:val="00464ABD"/>
    <w:rsid w:val="00465A49"/>
    <w:rsid w:val="00466623"/>
    <w:rsid w:val="00467179"/>
    <w:rsid w:val="0047075F"/>
    <w:rsid w:val="00471336"/>
    <w:rsid w:val="00472852"/>
    <w:rsid w:val="00472EB8"/>
    <w:rsid w:val="00473169"/>
    <w:rsid w:val="00473A4E"/>
    <w:rsid w:val="00474106"/>
    <w:rsid w:val="00474882"/>
    <w:rsid w:val="00474FDA"/>
    <w:rsid w:val="00475855"/>
    <w:rsid w:val="00475C98"/>
    <w:rsid w:val="00476631"/>
    <w:rsid w:val="004771AF"/>
    <w:rsid w:val="004772B3"/>
    <w:rsid w:val="004816AD"/>
    <w:rsid w:val="00481AED"/>
    <w:rsid w:val="004832FC"/>
    <w:rsid w:val="00483744"/>
    <w:rsid w:val="00483A37"/>
    <w:rsid w:val="00483B81"/>
    <w:rsid w:val="00484783"/>
    <w:rsid w:val="00485D41"/>
    <w:rsid w:val="0048603B"/>
    <w:rsid w:val="00486074"/>
    <w:rsid w:val="00486223"/>
    <w:rsid w:val="004866A8"/>
    <w:rsid w:val="0048697D"/>
    <w:rsid w:val="00490B06"/>
    <w:rsid w:val="00491A83"/>
    <w:rsid w:val="0049303C"/>
    <w:rsid w:val="00493EB4"/>
    <w:rsid w:val="004962EA"/>
    <w:rsid w:val="0049631C"/>
    <w:rsid w:val="004967A0"/>
    <w:rsid w:val="00497ADB"/>
    <w:rsid w:val="004A031E"/>
    <w:rsid w:val="004A1F13"/>
    <w:rsid w:val="004A2422"/>
    <w:rsid w:val="004A334C"/>
    <w:rsid w:val="004A3A7A"/>
    <w:rsid w:val="004A476F"/>
    <w:rsid w:val="004A7745"/>
    <w:rsid w:val="004B2565"/>
    <w:rsid w:val="004B26B0"/>
    <w:rsid w:val="004B3A24"/>
    <w:rsid w:val="004B6831"/>
    <w:rsid w:val="004B6922"/>
    <w:rsid w:val="004B6CBF"/>
    <w:rsid w:val="004C061C"/>
    <w:rsid w:val="004C0BF6"/>
    <w:rsid w:val="004C1675"/>
    <w:rsid w:val="004C1B0B"/>
    <w:rsid w:val="004C2B90"/>
    <w:rsid w:val="004C5BF7"/>
    <w:rsid w:val="004C5F2E"/>
    <w:rsid w:val="004C6B92"/>
    <w:rsid w:val="004D1928"/>
    <w:rsid w:val="004D2410"/>
    <w:rsid w:val="004D272C"/>
    <w:rsid w:val="004D2BBC"/>
    <w:rsid w:val="004D2EF1"/>
    <w:rsid w:val="004D3D30"/>
    <w:rsid w:val="004D4357"/>
    <w:rsid w:val="004D4DBB"/>
    <w:rsid w:val="004D51DA"/>
    <w:rsid w:val="004D5862"/>
    <w:rsid w:val="004D5FD6"/>
    <w:rsid w:val="004E0F18"/>
    <w:rsid w:val="004E11F7"/>
    <w:rsid w:val="004E137E"/>
    <w:rsid w:val="004E13DE"/>
    <w:rsid w:val="004E171C"/>
    <w:rsid w:val="004E175F"/>
    <w:rsid w:val="004E2373"/>
    <w:rsid w:val="004E2B41"/>
    <w:rsid w:val="004E3ABD"/>
    <w:rsid w:val="004E3CD3"/>
    <w:rsid w:val="004E4B07"/>
    <w:rsid w:val="004E54B8"/>
    <w:rsid w:val="004E55BA"/>
    <w:rsid w:val="004E561F"/>
    <w:rsid w:val="004E5E7B"/>
    <w:rsid w:val="004E69E9"/>
    <w:rsid w:val="004E6B67"/>
    <w:rsid w:val="004E770E"/>
    <w:rsid w:val="004F0D2C"/>
    <w:rsid w:val="004F1010"/>
    <w:rsid w:val="004F14F4"/>
    <w:rsid w:val="004F1BFA"/>
    <w:rsid w:val="004F1E5B"/>
    <w:rsid w:val="004F2265"/>
    <w:rsid w:val="004F29C2"/>
    <w:rsid w:val="004F2C7D"/>
    <w:rsid w:val="004F2D72"/>
    <w:rsid w:val="004F639D"/>
    <w:rsid w:val="004F7169"/>
    <w:rsid w:val="004F77F0"/>
    <w:rsid w:val="00500E68"/>
    <w:rsid w:val="00500F91"/>
    <w:rsid w:val="00502B60"/>
    <w:rsid w:val="00503213"/>
    <w:rsid w:val="005038F5"/>
    <w:rsid w:val="005040D3"/>
    <w:rsid w:val="0050451D"/>
    <w:rsid w:val="00506304"/>
    <w:rsid w:val="005070A6"/>
    <w:rsid w:val="00510C06"/>
    <w:rsid w:val="00510F36"/>
    <w:rsid w:val="005116D6"/>
    <w:rsid w:val="00511EDC"/>
    <w:rsid w:val="00511FA8"/>
    <w:rsid w:val="00512934"/>
    <w:rsid w:val="005130F2"/>
    <w:rsid w:val="0051310E"/>
    <w:rsid w:val="00513142"/>
    <w:rsid w:val="00515036"/>
    <w:rsid w:val="0051592A"/>
    <w:rsid w:val="00515A80"/>
    <w:rsid w:val="00516DAA"/>
    <w:rsid w:val="005174D3"/>
    <w:rsid w:val="00520594"/>
    <w:rsid w:val="0052061F"/>
    <w:rsid w:val="00521508"/>
    <w:rsid w:val="00521FBF"/>
    <w:rsid w:val="00522561"/>
    <w:rsid w:val="0052292B"/>
    <w:rsid w:val="005235DE"/>
    <w:rsid w:val="00524464"/>
    <w:rsid w:val="00525278"/>
    <w:rsid w:val="00525DE6"/>
    <w:rsid w:val="00526C89"/>
    <w:rsid w:val="00531075"/>
    <w:rsid w:val="00531C76"/>
    <w:rsid w:val="00532274"/>
    <w:rsid w:val="00533046"/>
    <w:rsid w:val="00534705"/>
    <w:rsid w:val="00536C9A"/>
    <w:rsid w:val="00537FA2"/>
    <w:rsid w:val="005401F1"/>
    <w:rsid w:val="0054032E"/>
    <w:rsid w:val="00541BE7"/>
    <w:rsid w:val="0054326A"/>
    <w:rsid w:val="005435F1"/>
    <w:rsid w:val="005437D1"/>
    <w:rsid w:val="005437D2"/>
    <w:rsid w:val="005437E9"/>
    <w:rsid w:val="00543A36"/>
    <w:rsid w:val="00544594"/>
    <w:rsid w:val="00544D75"/>
    <w:rsid w:val="005450DE"/>
    <w:rsid w:val="00545CF1"/>
    <w:rsid w:val="005462E7"/>
    <w:rsid w:val="00546410"/>
    <w:rsid w:val="00547077"/>
    <w:rsid w:val="00547725"/>
    <w:rsid w:val="0054786B"/>
    <w:rsid w:val="00547EBF"/>
    <w:rsid w:val="00547F90"/>
    <w:rsid w:val="005500F0"/>
    <w:rsid w:val="00550371"/>
    <w:rsid w:val="005503A4"/>
    <w:rsid w:val="005529FC"/>
    <w:rsid w:val="00553127"/>
    <w:rsid w:val="00553937"/>
    <w:rsid w:val="00553F44"/>
    <w:rsid w:val="005546E9"/>
    <w:rsid w:val="00554A48"/>
    <w:rsid w:val="00555B9E"/>
    <w:rsid w:val="005609FA"/>
    <w:rsid w:val="00560BFB"/>
    <w:rsid w:val="00560D4C"/>
    <w:rsid w:val="00561B9C"/>
    <w:rsid w:val="00561DE4"/>
    <w:rsid w:val="00562340"/>
    <w:rsid w:val="005636A5"/>
    <w:rsid w:val="00563BD3"/>
    <w:rsid w:val="00563D78"/>
    <w:rsid w:val="00563FA4"/>
    <w:rsid w:val="00564AD4"/>
    <w:rsid w:val="00565120"/>
    <w:rsid w:val="00565B4A"/>
    <w:rsid w:val="00566031"/>
    <w:rsid w:val="005662F5"/>
    <w:rsid w:val="00567555"/>
    <w:rsid w:val="00567C64"/>
    <w:rsid w:val="00570343"/>
    <w:rsid w:val="005713C4"/>
    <w:rsid w:val="00571848"/>
    <w:rsid w:val="00571FA4"/>
    <w:rsid w:val="005727C0"/>
    <w:rsid w:val="0057360C"/>
    <w:rsid w:val="00573C72"/>
    <w:rsid w:val="00573FEE"/>
    <w:rsid w:val="0057418F"/>
    <w:rsid w:val="00574D4B"/>
    <w:rsid w:val="005760A5"/>
    <w:rsid w:val="00576DAA"/>
    <w:rsid w:val="005776CD"/>
    <w:rsid w:val="00580765"/>
    <w:rsid w:val="00581154"/>
    <w:rsid w:val="005822B2"/>
    <w:rsid w:val="005843C2"/>
    <w:rsid w:val="00584553"/>
    <w:rsid w:val="005846B5"/>
    <w:rsid w:val="00584D7E"/>
    <w:rsid w:val="00585B73"/>
    <w:rsid w:val="00585E25"/>
    <w:rsid w:val="00586645"/>
    <w:rsid w:val="005870E9"/>
    <w:rsid w:val="00587204"/>
    <w:rsid w:val="00590697"/>
    <w:rsid w:val="00590716"/>
    <w:rsid w:val="00590AAA"/>
    <w:rsid w:val="0059114E"/>
    <w:rsid w:val="0059164F"/>
    <w:rsid w:val="0059379D"/>
    <w:rsid w:val="0059483F"/>
    <w:rsid w:val="00594A56"/>
    <w:rsid w:val="00595C4B"/>
    <w:rsid w:val="00597B76"/>
    <w:rsid w:val="00597C2F"/>
    <w:rsid w:val="005A031D"/>
    <w:rsid w:val="005A08DC"/>
    <w:rsid w:val="005A2A3E"/>
    <w:rsid w:val="005A3080"/>
    <w:rsid w:val="005A355B"/>
    <w:rsid w:val="005A3E83"/>
    <w:rsid w:val="005A4D5C"/>
    <w:rsid w:val="005A7D92"/>
    <w:rsid w:val="005A7F94"/>
    <w:rsid w:val="005B1344"/>
    <w:rsid w:val="005B2038"/>
    <w:rsid w:val="005B216D"/>
    <w:rsid w:val="005B2AFB"/>
    <w:rsid w:val="005B3DA7"/>
    <w:rsid w:val="005B4A95"/>
    <w:rsid w:val="005B5391"/>
    <w:rsid w:val="005C052B"/>
    <w:rsid w:val="005C05F0"/>
    <w:rsid w:val="005C1FDA"/>
    <w:rsid w:val="005C2B95"/>
    <w:rsid w:val="005C3E54"/>
    <w:rsid w:val="005C4676"/>
    <w:rsid w:val="005C483D"/>
    <w:rsid w:val="005C572D"/>
    <w:rsid w:val="005C60BF"/>
    <w:rsid w:val="005C6488"/>
    <w:rsid w:val="005C69C5"/>
    <w:rsid w:val="005C6D58"/>
    <w:rsid w:val="005C6F3C"/>
    <w:rsid w:val="005C6F94"/>
    <w:rsid w:val="005D0051"/>
    <w:rsid w:val="005D11CF"/>
    <w:rsid w:val="005D1291"/>
    <w:rsid w:val="005D49BF"/>
    <w:rsid w:val="005D757E"/>
    <w:rsid w:val="005E0186"/>
    <w:rsid w:val="005E0483"/>
    <w:rsid w:val="005E0D85"/>
    <w:rsid w:val="005E0E08"/>
    <w:rsid w:val="005E1631"/>
    <w:rsid w:val="005E39ED"/>
    <w:rsid w:val="005E3B0E"/>
    <w:rsid w:val="005E4036"/>
    <w:rsid w:val="005E476F"/>
    <w:rsid w:val="005E58A6"/>
    <w:rsid w:val="005E6BD4"/>
    <w:rsid w:val="005F1679"/>
    <w:rsid w:val="005F2724"/>
    <w:rsid w:val="005F346E"/>
    <w:rsid w:val="005F366C"/>
    <w:rsid w:val="005F67DA"/>
    <w:rsid w:val="005F6999"/>
    <w:rsid w:val="005F6F41"/>
    <w:rsid w:val="005F734A"/>
    <w:rsid w:val="006008AA"/>
    <w:rsid w:val="00601A28"/>
    <w:rsid w:val="0060233E"/>
    <w:rsid w:val="00602351"/>
    <w:rsid w:val="006026E1"/>
    <w:rsid w:val="006026F7"/>
    <w:rsid w:val="006034BF"/>
    <w:rsid w:val="006036A1"/>
    <w:rsid w:val="00604040"/>
    <w:rsid w:val="00604650"/>
    <w:rsid w:val="00604C46"/>
    <w:rsid w:val="00605B37"/>
    <w:rsid w:val="006060F7"/>
    <w:rsid w:val="0060625A"/>
    <w:rsid w:val="006064A3"/>
    <w:rsid w:val="00606BEA"/>
    <w:rsid w:val="006103D9"/>
    <w:rsid w:val="006118FE"/>
    <w:rsid w:val="00611AFA"/>
    <w:rsid w:val="006120D7"/>
    <w:rsid w:val="006123ED"/>
    <w:rsid w:val="00613BAE"/>
    <w:rsid w:val="00613C4A"/>
    <w:rsid w:val="0061489C"/>
    <w:rsid w:val="00614A8D"/>
    <w:rsid w:val="00615D1E"/>
    <w:rsid w:val="00616278"/>
    <w:rsid w:val="0061771B"/>
    <w:rsid w:val="00620362"/>
    <w:rsid w:val="00620700"/>
    <w:rsid w:val="006210F0"/>
    <w:rsid w:val="00621DAE"/>
    <w:rsid w:val="0062232C"/>
    <w:rsid w:val="00622A99"/>
    <w:rsid w:val="006242DF"/>
    <w:rsid w:val="00624DF1"/>
    <w:rsid w:val="006258F2"/>
    <w:rsid w:val="00625CEE"/>
    <w:rsid w:val="00626721"/>
    <w:rsid w:val="00627490"/>
    <w:rsid w:val="006304E8"/>
    <w:rsid w:val="00630BBE"/>
    <w:rsid w:val="006322B4"/>
    <w:rsid w:val="00633217"/>
    <w:rsid w:val="0063427C"/>
    <w:rsid w:val="00635BC5"/>
    <w:rsid w:val="00636142"/>
    <w:rsid w:val="00636F99"/>
    <w:rsid w:val="006371FF"/>
    <w:rsid w:val="0063796A"/>
    <w:rsid w:val="006403EA"/>
    <w:rsid w:val="0064190E"/>
    <w:rsid w:val="00641C2D"/>
    <w:rsid w:val="00641FA3"/>
    <w:rsid w:val="006423E3"/>
    <w:rsid w:val="006429AE"/>
    <w:rsid w:val="00643DB1"/>
    <w:rsid w:val="00643E30"/>
    <w:rsid w:val="00643E35"/>
    <w:rsid w:val="006452AB"/>
    <w:rsid w:val="00645509"/>
    <w:rsid w:val="006455F6"/>
    <w:rsid w:val="0064568D"/>
    <w:rsid w:val="0064593C"/>
    <w:rsid w:val="00646167"/>
    <w:rsid w:val="0064714F"/>
    <w:rsid w:val="0065051B"/>
    <w:rsid w:val="006506F7"/>
    <w:rsid w:val="00650ADB"/>
    <w:rsid w:val="006512B9"/>
    <w:rsid w:val="00652115"/>
    <w:rsid w:val="0065239E"/>
    <w:rsid w:val="0065302C"/>
    <w:rsid w:val="006605AF"/>
    <w:rsid w:val="00660A34"/>
    <w:rsid w:val="00665302"/>
    <w:rsid w:val="006655F0"/>
    <w:rsid w:val="00665D42"/>
    <w:rsid w:val="00666601"/>
    <w:rsid w:val="006666F4"/>
    <w:rsid w:val="00672002"/>
    <w:rsid w:val="006748A4"/>
    <w:rsid w:val="0067538B"/>
    <w:rsid w:val="006755A3"/>
    <w:rsid w:val="006757F2"/>
    <w:rsid w:val="006758AF"/>
    <w:rsid w:val="00675DE7"/>
    <w:rsid w:val="006766F4"/>
    <w:rsid w:val="00680409"/>
    <w:rsid w:val="0068387C"/>
    <w:rsid w:val="00685EEA"/>
    <w:rsid w:val="0068646C"/>
    <w:rsid w:val="00686CD7"/>
    <w:rsid w:val="006870A2"/>
    <w:rsid w:val="006907E5"/>
    <w:rsid w:val="00690FBD"/>
    <w:rsid w:val="00691543"/>
    <w:rsid w:val="0069221E"/>
    <w:rsid w:val="006926D9"/>
    <w:rsid w:val="00692EDC"/>
    <w:rsid w:val="00695DDA"/>
    <w:rsid w:val="00695FAC"/>
    <w:rsid w:val="006965AE"/>
    <w:rsid w:val="006966C9"/>
    <w:rsid w:val="006A006E"/>
    <w:rsid w:val="006A02B7"/>
    <w:rsid w:val="006A0BFB"/>
    <w:rsid w:val="006A1999"/>
    <w:rsid w:val="006A1AAF"/>
    <w:rsid w:val="006A1B3D"/>
    <w:rsid w:val="006A2254"/>
    <w:rsid w:val="006A398A"/>
    <w:rsid w:val="006A3CBB"/>
    <w:rsid w:val="006A6144"/>
    <w:rsid w:val="006A64B1"/>
    <w:rsid w:val="006A76D5"/>
    <w:rsid w:val="006A7984"/>
    <w:rsid w:val="006A7A1F"/>
    <w:rsid w:val="006B107A"/>
    <w:rsid w:val="006B1FE2"/>
    <w:rsid w:val="006B2584"/>
    <w:rsid w:val="006B3A27"/>
    <w:rsid w:val="006B4F82"/>
    <w:rsid w:val="006B5361"/>
    <w:rsid w:val="006B60A8"/>
    <w:rsid w:val="006C1135"/>
    <w:rsid w:val="006C20E2"/>
    <w:rsid w:val="006C216D"/>
    <w:rsid w:val="006C4B74"/>
    <w:rsid w:val="006C77BA"/>
    <w:rsid w:val="006D0260"/>
    <w:rsid w:val="006D03BD"/>
    <w:rsid w:val="006D0D12"/>
    <w:rsid w:val="006D1046"/>
    <w:rsid w:val="006D2CFA"/>
    <w:rsid w:val="006D2DCF"/>
    <w:rsid w:val="006D3009"/>
    <w:rsid w:val="006D36CC"/>
    <w:rsid w:val="006D4FC5"/>
    <w:rsid w:val="006E0070"/>
    <w:rsid w:val="006E0E6D"/>
    <w:rsid w:val="006E265B"/>
    <w:rsid w:val="006E44DE"/>
    <w:rsid w:val="006E4C4B"/>
    <w:rsid w:val="006E5783"/>
    <w:rsid w:val="006E68A9"/>
    <w:rsid w:val="006E6ACE"/>
    <w:rsid w:val="006E7158"/>
    <w:rsid w:val="006E7B62"/>
    <w:rsid w:val="006E7E85"/>
    <w:rsid w:val="006F0F8C"/>
    <w:rsid w:val="006F1534"/>
    <w:rsid w:val="006F181F"/>
    <w:rsid w:val="006F435C"/>
    <w:rsid w:val="006F5FC3"/>
    <w:rsid w:val="006F64DC"/>
    <w:rsid w:val="006F6775"/>
    <w:rsid w:val="006F6CF3"/>
    <w:rsid w:val="00702C33"/>
    <w:rsid w:val="0070486C"/>
    <w:rsid w:val="00705B20"/>
    <w:rsid w:val="00705FF7"/>
    <w:rsid w:val="00706505"/>
    <w:rsid w:val="0070699D"/>
    <w:rsid w:val="00706A23"/>
    <w:rsid w:val="00707ECE"/>
    <w:rsid w:val="00710080"/>
    <w:rsid w:val="007102F0"/>
    <w:rsid w:val="0071064A"/>
    <w:rsid w:val="007119B4"/>
    <w:rsid w:val="007120C7"/>
    <w:rsid w:val="007142F9"/>
    <w:rsid w:val="007175D6"/>
    <w:rsid w:val="00721422"/>
    <w:rsid w:val="0072341A"/>
    <w:rsid w:val="00726FC7"/>
    <w:rsid w:val="00726FC9"/>
    <w:rsid w:val="0072717F"/>
    <w:rsid w:val="00727823"/>
    <w:rsid w:val="00730558"/>
    <w:rsid w:val="0073066F"/>
    <w:rsid w:val="00731680"/>
    <w:rsid w:val="00732A52"/>
    <w:rsid w:val="007349D1"/>
    <w:rsid w:val="0073557A"/>
    <w:rsid w:val="007360F5"/>
    <w:rsid w:val="00736D84"/>
    <w:rsid w:val="00736F3B"/>
    <w:rsid w:val="007372CD"/>
    <w:rsid w:val="00737FC9"/>
    <w:rsid w:val="007406AE"/>
    <w:rsid w:val="00740741"/>
    <w:rsid w:val="00740CA0"/>
    <w:rsid w:val="0074111C"/>
    <w:rsid w:val="00741DA8"/>
    <w:rsid w:val="0074285B"/>
    <w:rsid w:val="00743567"/>
    <w:rsid w:val="0074364D"/>
    <w:rsid w:val="00743BDB"/>
    <w:rsid w:val="0074444B"/>
    <w:rsid w:val="00744560"/>
    <w:rsid w:val="0074536D"/>
    <w:rsid w:val="00745F7E"/>
    <w:rsid w:val="007469EA"/>
    <w:rsid w:val="00746AA8"/>
    <w:rsid w:val="00747BF0"/>
    <w:rsid w:val="007509F3"/>
    <w:rsid w:val="00750F24"/>
    <w:rsid w:val="00751F44"/>
    <w:rsid w:val="00754161"/>
    <w:rsid w:val="00756BD4"/>
    <w:rsid w:val="007573BF"/>
    <w:rsid w:val="00760524"/>
    <w:rsid w:val="0076071C"/>
    <w:rsid w:val="00760F90"/>
    <w:rsid w:val="007613BD"/>
    <w:rsid w:val="00763C92"/>
    <w:rsid w:val="00764B7D"/>
    <w:rsid w:val="00765911"/>
    <w:rsid w:val="007671ED"/>
    <w:rsid w:val="00770930"/>
    <w:rsid w:val="00771750"/>
    <w:rsid w:val="00772440"/>
    <w:rsid w:val="007755BD"/>
    <w:rsid w:val="007757BE"/>
    <w:rsid w:val="007762F3"/>
    <w:rsid w:val="00777F2B"/>
    <w:rsid w:val="007800A3"/>
    <w:rsid w:val="007801D9"/>
    <w:rsid w:val="007829CB"/>
    <w:rsid w:val="00782FEA"/>
    <w:rsid w:val="0078356A"/>
    <w:rsid w:val="0078386C"/>
    <w:rsid w:val="00783BE8"/>
    <w:rsid w:val="00784593"/>
    <w:rsid w:val="00785B8E"/>
    <w:rsid w:val="0078622B"/>
    <w:rsid w:val="00786289"/>
    <w:rsid w:val="00787143"/>
    <w:rsid w:val="00787232"/>
    <w:rsid w:val="007904AE"/>
    <w:rsid w:val="007919A6"/>
    <w:rsid w:val="00791CFA"/>
    <w:rsid w:val="007942B7"/>
    <w:rsid w:val="007944BA"/>
    <w:rsid w:val="007949C4"/>
    <w:rsid w:val="007949FE"/>
    <w:rsid w:val="00795634"/>
    <w:rsid w:val="00795983"/>
    <w:rsid w:val="00797354"/>
    <w:rsid w:val="007975C9"/>
    <w:rsid w:val="0079766C"/>
    <w:rsid w:val="00797EAA"/>
    <w:rsid w:val="007A09EB"/>
    <w:rsid w:val="007A1359"/>
    <w:rsid w:val="007A1D23"/>
    <w:rsid w:val="007A5008"/>
    <w:rsid w:val="007A5370"/>
    <w:rsid w:val="007A5B0D"/>
    <w:rsid w:val="007A5E31"/>
    <w:rsid w:val="007A6357"/>
    <w:rsid w:val="007A63A9"/>
    <w:rsid w:val="007A68E5"/>
    <w:rsid w:val="007A6D59"/>
    <w:rsid w:val="007A7B9F"/>
    <w:rsid w:val="007A7E89"/>
    <w:rsid w:val="007B05EF"/>
    <w:rsid w:val="007B19C6"/>
    <w:rsid w:val="007B2959"/>
    <w:rsid w:val="007B2C1A"/>
    <w:rsid w:val="007B3D68"/>
    <w:rsid w:val="007B4EF0"/>
    <w:rsid w:val="007B5AEA"/>
    <w:rsid w:val="007B65A0"/>
    <w:rsid w:val="007B6EE7"/>
    <w:rsid w:val="007B7BF0"/>
    <w:rsid w:val="007C0CC5"/>
    <w:rsid w:val="007C18D9"/>
    <w:rsid w:val="007C1BC6"/>
    <w:rsid w:val="007C1D08"/>
    <w:rsid w:val="007C26C0"/>
    <w:rsid w:val="007C2C18"/>
    <w:rsid w:val="007C3899"/>
    <w:rsid w:val="007C3927"/>
    <w:rsid w:val="007C5A8C"/>
    <w:rsid w:val="007C62BC"/>
    <w:rsid w:val="007C7345"/>
    <w:rsid w:val="007D021C"/>
    <w:rsid w:val="007D0C83"/>
    <w:rsid w:val="007D1EE1"/>
    <w:rsid w:val="007D2080"/>
    <w:rsid w:val="007D21F2"/>
    <w:rsid w:val="007D320E"/>
    <w:rsid w:val="007D3D3E"/>
    <w:rsid w:val="007D3F70"/>
    <w:rsid w:val="007D456E"/>
    <w:rsid w:val="007D53C7"/>
    <w:rsid w:val="007D5A54"/>
    <w:rsid w:val="007D6713"/>
    <w:rsid w:val="007D70FE"/>
    <w:rsid w:val="007D7A7D"/>
    <w:rsid w:val="007E0921"/>
    <w:rsid w:val="007E13A8"/>
    <w:rsid w:val="007E2132"/>
    <w:rsid w:val="007E2BDC"/>
    <w:rsid w:val="007E3A38"/>
    <w:rsid w:val="007E42B8"/>
    <w:rsid w:val="007E510C"/>
    <w:rsid w:val="007E53C2"/>
    <w:rsid w:val="007E6775"/>
    <w:rsid w:val="007E6B43"/>
    <w:rsid w:val="007F0102"/>
    <w:rsid w:val="007F03F5"/>
    <w:rsid w:val="007F0631"/>
    <w:rsid w:val="007F2465"/>
    <w:rsid w:val="007F2A0C"/>
    <w:rsid w:val="007F2A98"/>
    <w:rsid w:val="007F3C1C"/>
    <w:rsid w:val="007F3CDB"/>
    <w:rsid w:val="007F3F3C"/>
    <w:rsid w:val="007F49D7"/>
    <w:rsid w:val="007F529F"/>
    <w:rsid w:val="007F58D0"/>
    <w:rsid w:val="007F59DB"/>
    <w:rsid w:val="007F5DEA"/>
    <w:rsid w:val="007F649E"/>
    <w:rsid w:val="0080077F"/>
    <w:rsid w:val="00800E51"/>
    <w:rsid w:val="00801393"/>
    <w:rsid w:val="00801B43"/>
    <w:rsid w:val="00804BD7"/>
    <w:rsid w:val="008052B9"/>
    <w:rsid w:val="008063A6"/>
    <w:rsid w:val="0080699E"/>
    <w:rsid w:val="00807DBB"/>
    <w:rsid w:val="008111C2"/>
    <w:rsid w:val="00811204"/>
    <w:rsid w:val="008127D8"/>
    <w:rsid w:val="00813339"/>
    <w:rsid w:val="008161C1"/>
    <w:rsid w:val="0081635C"/>
    <w:rsid w:val="008165D9"/>
    <w:rsid w:val="0082002F"/>
    <w:rsid w:val="0082044B"/>
    <w:rsid w:val="00820CA9"/>
    <w:rsid w:val="008211AF"/>
    <w:rsid w:val="00821F88"/>
    <w:rsid w:val="008233B0"/>
    <w:rsid w:val="0082414A"/>
    <w:rsid w:val="008248D5"/>
    <w:rsid w:val="0082643C"/>
    <w:rsid w:val="00826F37"/>
    <w:rsid w:val="008272E2"/>
    <w:rsid w:val="008272EB"/>
    <w:rsid w:val="0082758B"/>
    <w:rsid w:val="00830F3F"/>
    <w:rsid w:val="00831372"/>
    <w:rsid w:val="00831438"/>
    <w:rsid w:val="00831976"/>
    <w:rsid w:val="00832080"/>
    <w:rsid w:val="008330B0"/>
    <w:rsid w:val="00833892"/>
    <w:rsid w:val="0083419F"/>
    <w:rsid w:val="00835247"/>
    <w:rsid w:val="00835485"/>
    <w:rsid w:val="008356C3"/>
    <w:rsid w:val="00835836"/>
    <w:rsid w:val="00835DAC"/>
    <w:rsid w:val="00835FA3"/>
    <w:rsid w:val="00837887"/>
    <w:rsid w:val="00840EA4"/>
    <w:rsid w:val="0084120F"/>
    <w:rsid w:val="00841C37"/>
    <w:rsid w:val="008449DE"/>
    <w:rsid w:val="00844FA2"/>
    <w:rsid w:val="00847A3A"/>
    <w:rsid w:val="008509F5"/>
    <w:rsid w:val="00852D83"/>
    <w:rsid w:val="0085321D"/>
    <w:rsid w:val="00853521"/>
    <w:rsid w:val="00853622"/>
    <w:rsid w:val="008554FF"/>
    <w:rsid w:val="00855857"/>
    <w:rsid w:val="008567FE"/>
    <w:rsid w:val="00856E20"/>
    <w:rsid w:val="0085708E"/>
    <w:rsid w:val="008603C0"/>
    <w:rsid w:val="008607C8"/>
    <w:rsid w:val="00860A9C"/>
    <w:rsid w:val="00861A3F"/>
    <w:rsid w:val="00863870"/>
    <w:rsid w:val="00864049"/>
    <w:rsid w:val="0086496B"/>
    <w:rsid w:val="0086518C"/>
    <w:rsid w:val="0086645C"/>
    <w:rsid w:val="00866D5B"/>
    <w:rsid w:val="00867296"/>
    <w:rsid w:val="00871D4D"/>
    <w:rsid w:val="008729FB"/>
    <w:rsid w:val="00872C5F"/>
    <w:rsid w:val="00874516"/>
    <w:rsid w:val="00874AD2"/>
    <w:rsid w:val="00875797"/>
    <w:rsid w:val="00877C98"/>
    <w:rsid w:val="00877DF3"/>
    <w:rsid w:val="00880DD8"/>
    <w:rsid w:val="008823BD"/>
    <w:rsid w:val="0088250D"/>
    <w:rsid w:val="00882FD3"/>
    <w:rsid w:val="00884556"/>
    <w:rsid w:val="0088467B"/>
    <w:rsid w:val="00884B16"/>
    <w:rsid w:val="008851CC"/>
    <w:rsid w:val="00886682"/>
    <w:rsid w:val="00886891"/>
    <w:rsid w:val="0088689A"/>
    <w:rsid w:val="00886B3D"/>
    <w:rsid w:val="00887437"/>
    <w:rsid w:val="0088789F"/>
    <w:rsid w:val="008905F1"/>
    <w:rsid w:val="00890A1A"/>
    <w:rsid w:val="00891852"/>
    <w:rsid w:val="00893659"/>
    <w:rsid w:val="008955D8"/>
    <w:rsid w:val="0089682F"/>
    <w:rsid w:val="0089769D"/>
    <w:rsid w:val="00897E13"/>
    <w:rsid w:val="00897FA5"/>
    <w:rsid w:val="008A080C"/>
    <w:rsid w:val="008A0A36"/>
    <w:rsid w:val="008A2081"/>
    <w:rsid w:val="008A33F5"/>
    <w:rsid w:val="008A5F31"/>
    <w:rsid w:val="008B0634"/>
    <w:rsid w:val="008B184D"/>
    <w:rsid w:val="008B1E3E"/>
    <w:rsid w:val="008B4F64"/>
    <w:rsid w:val="008B5245"/>
    <w:rsid w:val="008B54DC"/>
    <w:rsid w:val="008B68F7"/>
    <w:rsid w:val="008B69BE"/>
    <w:rsid w:val="008B6CA4"/>
    <w:rsid w:val="008B73EA"/>
    <w:rsid w:val="008B7502"/>
    <w:rsid w:val="008C04E8"/>
    <w:rsid w:val="008C16A7"/>
    <w:rsid w:val="008C1E6F"/>
    <w:rsid w:val="008C1E8A"/>
    <w:rsid w:val="008C2083"/>
    <w:rsid w:val="008C3F09"/>
    <w:rsid w:val="008C4C68"/>
    <w:rsid w:val="008C5CE0"/>
    <w:rsid w:val="008C5E60"/>
    <w:rsid w:val="008C63F2"/>
    <w:rsid w:val="008C66F7"/>
    <w:rsid w:val="008C67D8"/>
    <w:rsid w:val="008C6853"/>
    <w:rsid w:val="008C6FE1"/>
    <w:rsid w:val="008D285E"/>
    <w:rsid w:val="008D3B24"/>
    <w:rsid w:val="008D3FB0"/>
    <w:rsid w:val="008E1593"/>
    <w:rsid w:val="008E2852"/>
    <w:rsid w:val="008E31A3"/>
    <w:rsid w:val="008E3380"/>
    <w:rsid w:val="008E3443"/>
    <w:rsid w:val="008E54C8"/>
    <w:rsid w:val="008E5F82"/>
    <w:rsid w:val="008F18D2"/>
    <w:rsid w:val="008F23C5"/>
    <w:rsid w:val="008F249F"/>
    <w:rsid w:val="008F37A7"/>
    <w:rsid w:val="008F4C48"/>
    <w:rsid w:val="008F676F"/>
    <w:rsid w:val="008F7FD1"/>
    <w:rsid w:val="009002B8"/>
    <w:rsid w:val="00901D05"/>
    <w:rsid w:val="00901DDA"/>
    <w:rsid w:val="00904330"/>
    <w:rsid w:val="00905F0E"/>
    <w:rsid w:val="00906C5C"/>
    <w:rsid w:val="00906DA2"/>
    <w:rsid w:val="00910404"/>
    <w:rsid w:val="009104DD"/>
    <w:rsid w:val="00910A22"/>
    <w:rsid w:val="00910BA3"/>
    <w:rsid w:val="009111D6"/>
    <w:rsid w:val="00911E03"/>
    <w:rsid w:val="00911E21"/>
    <w:rsid w:val="00912F8C"/>
    <w:rsid w:val="009131CD"/>
    <w:rsid w:val="009153C0"/>
    <w:rsid w:val="00915599"/>
    <w:rsid w:val="00915C5B"/>
    <w:rsid w:val="00915ED0"/>
    <w:rsid w:val="00916A9E"/>
    <w:rsid w:val="0091721D"/>
    <w:rsid w:val="00917853"/>
    <w:rsid w:val="00917858"/>
    <w:rsid w:val="00917DC7"/>
    <w:rsid w:val="009211B6"/>
    <w:rsid w:val="009229B4"/>
    <w:rsid w:val="00922A39"/>
    <w:rsid w:val="00924797"/>
    <w:rsid w:val="00924FA0"/>
    <w:rsid w:val="00925522"/>
    <w:rsid w:val="009256A6"/>
    <w:rsid w:val="00925B1E"/>
    <w:rsid w:val="00926407"/>
    <w:rsid w:val="009265E1"/>
    <w:rsid w:val="0092677D"/>
    <w:rsid w:val="00927567"/>
    <w:rsid w:val="00927709"/>
    <w:rsid w:val="0092796F"/>
    <w:rsid w:val="00927A00"/>
    <w:rsid w:val="0093195B"/>
    <w:rsid w:val="009326ED"/>
    <w:rsid w:val="0093575E"/>
    <w:rsid w:val="00935801"/>
    <w:rsid w:val="00940009"/>
    <w:rsid w:val="009405F4"/>
    <w:rsid w:val="0094085B"/>
    <w:rsid w:val="00942055"/>
    <w:rsid w:val="0094239A"/>
    <w:rsid w:val="0094281A"/>
    <w:rsid w:val="00944B4A"/>
    <w:rsid w:val="00944D11"/>
    <w:rsid w:val="00945392"/>
    <w:rsid w:val="00945747"/>
    <w:rsid w:val="009468D5"/>
    <w:rsid w:val="00946B39"/>
    <w:rsid w:val="009473E8"/>
    <w:rsid w:val="009474BB"/>
    <w:rsid w:val="00947FCA"/>
    <w:rsid w:val="00951C2B"/>
    <w:rsid w:val="00952911"/>
    <w:rsid w:val="0095299B"/>
    <w:rsid w:val="00953B0F"/>
    <w:rsid w:val="009540F5"/>
    <w:rsid w:val="0095487B"/>
    <w:rsid w:val="0095565D"/>
    <w:rsid w:val="00955A99"/>
    <w:rsid w:val="00955C9C"/>
    <w:rsid w:val="00961800"/>
    <w:rsid w:val="009618E7"/>
    <w:rsid w:val="00962BB7"/>
    <w:rsid w:val="00963D60"/>
    <w:rsid w:val="00965E81"/>
    <w:rsid w:val="00966B9A"/>
    <w:rsid w:val="00967F97"/>
    <w:rsid w:val="0097092D"/>
    <w:rsid w:val="0097295B"/>
    <w:rsid w:val="00972BC5"/>
    <w:rsid w:val="00972CDB"/>
    <w:rsid w:val="00974557"/>
    <w:rsid w:val="00974D0B"/>
    <w:rsid w:val="00975AF4"/>
    <w:rsid w:val="00976D9F"/>
    <w:rsid w:val="00976F18"/>
    <w:rsid w:val="00980FEE"/>
    <w:rsid w:val="0098139A"/>
    <w:rsid w:val="0098218C"/>
    <w:rsid w:val="0098351C"/>
    <w:rsid w:val="009862D0"/>
    <w:rsid w:val="0098675F"/>
    <w:rsid w:val="00987F73"/>
    <w:rsid w:val="00990ECD"/>
    <w:rsid w:val="00990F5C"/>
    <w:rsid w:val="009919C8"/>
    <w:rsid w:val="00991A06"/>
    <w:rsid w:val="0099223A"/>
    <w:rsid w:val="00993575"/>
    <w:rsid w:val="00993ACC"/>
    <w:rsid w:val="00993D17"/>
    <w:rsid w:val="00993E50"/>
    <w:rsid w:val="009945FB"/>
    <w:rsid w:val="00994971"/>
    <w:rsid w:val="00994FF7"/>
    <w:rsid w:val="00996231"/>
    <w:rsid w:val="009A0935"/>
    <w:rsid w:val="009A1372"/>
    <w:rsid w:val="009A23B2"/>
    <w:rsid w:val="009A23D3"/>
    <w:rsid w:val="009A2B9B"/>
    <w:rsid w:val="009A316C"/>
    <w:rsid w:val="009A4220"/>
    <w:rsid w:val="009A563F"/>
    <w:rsid w:val="009A7F2D"/>
    <w:rsid w:val="009A7FD2"/>
    <w:rsid w:val="009B05C6"/>
    <w:rsid w:val="009B5339"/>
    <w:rsid w:val="009B5BB8"/>
    <w:rsid w:val="009B697F"/>
    <w:rsid w:val="009B76DB"/>
    <w:rsid w:val="009B78D7"/>
    <w:rsid w:val="009B7E84"/>
    <w:rsid w:val="009C0AFB"/>
    <w:rsid w:val="009C0FFD"/>
    <w:rsid w:val="009C1480"/>
    <w:rsid w:val="009C1679"/>
    <w:rsid w:val="009C207A"/>
    <w:rsid w:val="009C2F29"/>
    <w:rsid w:val="009C314D"/>
    <w:rsid w:val="009C32C0"/>
    <w:rsid w:val="009C3AB0"/>
    <w:rsid w:val="009C5120"/>
    <w:rsid w:val="009C5D04"/>
    <w:rsid w:val="009C67A2"/>
    <w:rsid w:val="009C6876"/>
    <w:rsid w:val="009C7BC0"/>
    <w:rsid w:val="009C7F0C"/>
    <w:rsid w:val="009D0416"/>
    <w:rsid w:val="009D13E7"/>
    <w:rsid w:val="009D198E"/>
    <w:rsid w:val="009D2BC0"/>
    <w:rsid w:val="009D2BDA"/>
    <w:rsid w:val="009D2E69"/>
    <w:rsid w:val="009D300D"/>
    <w:rsid w:val="009D3A9D"/>
    <w:rsid w:val="009D52DE"/>
    <w:rsid w:val="009D52E4"/>
    <w:rsid w:val="009D6A14"/>
    <w:rsid w:val="009D73E8"/>
    <w:rsid w:val="009D7DAF"/>
    <w:rsid w:val="009E0A10"/>
    <w:rsid w:val="009E18DB"/>
    <w:rsid w:val="009E33D3"/>
    <w:rsid w:val="009E3645"/>
    <w:rsid w:val="009E4E06"/>
    <w:rsid w:val="009E4EE2"/>
    <w:rsid w:val="009E5543"/>
    <w:rsid w:val="009E6452"/>
    <w:rsid w:val="009E7C7D"/>
    <w:rsid w:val="009F0C76"/>
    <w:rsid w:val="009F5436"/>
    <w:rsid w:val="009F5583"/>
    <w:rsid w:val="009F57DF"/>
    <w:rsid w:val="009F7441"/>
    <w:rsid w:val="00A0020D"/>
    <w:rsid w:val="00A004FB"/>
    <w:rsid w:val="00A01004"/>
    <w:rsid w:val="00A0166A"/>
    <w:rsid w:val="00A02CBE"/>
    <w:rsid w:val="00A02E1F"/>
    <w:rsid w:val="00A03DF7"/>
    <w:rsid w:val="00A05156"/>
    <w:rsid w:val="00A0528F"/>
    <w:rsid w:val="00A05A46"/>
    <w:rsid w:val="00A0713C"/>
    <w:rsid w:val="00A102CE"/>
    <w:rsid w:val="00A120AA"/>
    <w:rsid w:val="00A1290F"/>
    <w:rsid w:val="00A12E6F"/>
    <w:rsid w:val="00A132A0"/>
    <w:rsid w:val="00A133F1"/>
    <w:rsid w:val="00A13F36"/>
    <w:rsid w:val="00A1511D"/>
    <w:rsid w:val="00A1519A"/>
    <w:rsid w:val="00A15217"/>
    <w:rsid w:val="00A15D63"/>
    <w:rsid w:val="00A16159"/>
    <w:rsid w:val="00A1662F"/>
    <w:rsid w:val="00A1691F"/>
    <w:rsid w:val="00A17AF4"/>
    <w:rsid w:val="00A20117"/>
    <w:rsid w:val="00A202EB"/>
    <w:rsid w:val="00A2080B"/>
    <w:rsid w:val="00A20C96"/>
    <w:rsid w:val="00A21290"/>
    <w:rsid w:val="00A2331A"/>
    <w:rsid w:val="00A2357A"/>
    <w:rsid w:val="00A237A4"/>
    <w:rsid w:val="00A24795"/>
    <w:rsid w:val="00A25346"/>
    <w:rsid w:val="00A2542E"/>
    <w:rsid w:val="00A25848"/>
    <w:rsid w:val="00A308A4"/>
    <w:rsid w:val="00A308BB"/>
    <w:rsid w:val="00A3144B"/>
    <w:rsid w:val="00A3226B"/>
    <w:rsid w:val="00A3335B"/>
    <w:rsid w:val="00A33C8C"/>
    <w:rsid w:val="00A35638"/>
    <w:rsid w:val="00A35930"/>
    <w:rsid w:val="00A36169"/>
    <w:rsid w:val="00A36A61"/>
    <w:rsid w:val="00A36A78"/>
    <w:rsid w:val="00A3704F"/>
    <w:rsid w:val="00A37153"/>
    <w:rsid w:val="00A37C1A"/>
    <w:rsid w:val="00A40208"/>
    <w:rsid w:val="00A41576"/>
    <w:rsid w:val="00A424BD"/>
    <w:rsid w:val="00A42D26"/>
    <w:rsid w:val="00A42E52"/>
    <w:rsid w:val="00A432DC"/>
    <w:rsid w:val="00A435A0"/>
    <w:rsid w:val="00A445B5"/>
    <w:rsid w:val="00A449EF"/>
    <w:rsid w:val="00A44AAC"/>
    <w:rsid w:val="00A45E04"/>
    <w:rsid w:val="00A45FDA"/>
    <w:rsid w:val="00A46F9E"/>
    <w:rsid w:val="00A5083B"/>
    <w:rsid w:val="00A50C8C"/>
    <w:rsid w:val="00A511F7"/>
    <w:rsid w:val="00A5216F"/>
    <w:rsid w:val="00A52446"/>
    <w:rsid w:val="00A52C34"/>
    <w:rsid w:val="00A53A8A"/>
    <w:rsid w:val="00A53DCB"/>
    <w:rsid w:val="00A556DB"/>
    <w:rsid w:val="00A56BC6"/>
    <w:rsid w:val="00A57AA2"/>
    <w:rsid w:val="00A621E4"/>
    <w:rsid w:val="00A63A0E"/>
    <w:rsid w:val="00A63CB9"/>
    <w:rsid w:val="00A64578"/>
    <w:rsid w:val="00A64A2B"/>
    <w:rsid w:val="00A64EAC"/>
    <w:rsid w:val="00A66B8B"/>
    <w:rsid w:val="00A6777A"/>
    <w:rsid w:val="00A6781C"/>
    <w:rsid w:val="00A67934"/>
    <w:rsid w:val="00A70A4C"/>
    <w:rsid w:val="00A70F3A"/>
    <w:rsid w:val="00A72152"/>
    <w:rsid w:val="00A7361C"/>
    <w:rsid w:val="00A73FB7"/>
    <w:rsid w:val="00A74865"/>
    <w:rsid w:val="00A75A1B"/>
    <w:rsid w:val="00A76AB0"/>
    <w:rsid w:val="00A76D63"/>
    <w:rsid w:val="00A77366"/>
    <w:rsid w:val="00A77FB8"/>
    <w:rsid w:val="00A812FA"/>
    <w:rsid w:val="00A819AB"/>
    <w:rsid w:val="00A82539"/>
    <w:rsid w:val="00A8314A"/>
    <w:rsid w:val="00A85253"/>
    <w:rsid w:val="00A857B0"/>
    <w:rsid w:val="00A86F7E"/>
    <w:rsid w:val="00A909DC"/>
    <w:rsid w:val="00A90ED0"/>
    <w:rsid w:val="00A9153A"/>
    <w:rsid w:val="00A92EA7"/>
    <w:rsid w:val="00A936B0"/>
    <w:rsid w:val="00A938AD"/>
    <w:rsid w:val="00A940F1"/>
    <w:rsid w:val="00A94B41"/>
    <w:rsid w:val="00A9523D"/>
    <w:rsid w:val="00A957F6"/>
    <w:rsid w:val="00A959FC"/>
    <w:rsid w:val="00A964B9"/>
    <w:rsid w:val="00A96D4D"/>
    <w:rsid w:val="00A96DD2"/>
    <w:rsid w:val="00AA06F2"/>
    <w:rsid w:val="00AA103E"/>
    <w:rsid w:val="00AA1425"/>
    <w:rsid w:val="00AA31AE"/>
    <w:rsid w:val="00AA38AF"/>
    <w:rsid w:val="00AA45D2"/>
    <w:rsid w:val="00AA4794"/>
    <w:rsid w:val="00AA4A5D"/>
    <w:rsid w:val="00AA5856"/>
    <w:rsid w:val="00AA589E"/>
    <w:rsid w:val="00AA5D26"/>
    <w:rsid w:val="00AA7405"/>
    <w:rsid w:val="00AB04BA"/>
    <w:rsid w:val="00AB0C2F"/>
    <w:rsid w:val="00AB1061"/>
    <w:rsid w:val="00AB22A5"/>
    <w:rsid w:val="00AB2D31"/>
    <w:rsid w:val="00AB3397"/>
    <w:rsid w:val="00AB3799"/>
    <w:rsid w:val="00AB3979"/>
    <w:rsid w:val="00AB3C41"/>
    <w:rsid w:val="00AB3C68"/>
    <w:rsid w:val="00AB4123"/>
    <w:rsid w:val="00AB64FC"/>
    <w:rsid w:val="00AB7FB7"/>
    <w:rsid w:val="00AC0411"/>
    <w:rsid w:val="00AC0585"/>
    <w:rsid w:val="00AC1353"/>
    <w:rsid w:val="00AC1400"/>
    <w:rsid w:val="00AC1455"/>
    <w:rsid w:val="00AC1B06"/>
    <w:rsid w:val="00AC2721"/>
    <w:rsid w:val="00AC2826"/>
    <w:rsid w:val="00AC2DED"/>
    <w:rsid w:val="00AC37C4"/>
    <w:rsid w:val="00AC454E"/>
    <w:rsid w:val="00AC4C38"/>
    <w:rsid w:val="00AC756F"/>
    <w:rsid w:val="00AC7B91"/>
    <w:rsid w:val="00AD0974"/>
    <w:rsid w:val="00AD215E"/>
    <w:rsid w:val="00AD32DD"/>
    <w:rsid w:val="00AD34FD"/>
    <w:rsid w:val="00AD40A2"/>
    <w:rsid w:val="00AD4176"/>
    <w:rsid w:val="00AD47DF"/>
    <w:rsid w:val="00AD4F91"/>
    <w:rsid w:val="00AD4F96"/>
    <w:rsid w:val="00AD59C5"/>
    <w:rsid w:val="00AD618F"/>
    <w:rsid w:val="00AD66D9"/>
    <w:rsid w:val="00AE0690"/>
    <w:rsid w:val="00AE1013"/>
    <w:rsid w:val="00AE4998"/>
    <w:rsid w:val="00AE5246"/>
    <w:rsid w:val="00AE6970"/>
    <w:rsid w:val="00AF02E7"/>
    <w:rsid w:val="00AF3C6E"/>
    <w:rsid w:val="00AF6C7A"/>
    <w:rsid w:val="00AF7182"/>
    <w:rsid w:val="00AF77F7"/>
    <w:rsid w:val="00AF7A9C"/>
    <w:rsid w:val="00B00479"/>
    <w:rsid w:val="00B01CF7"/>
    <w:rsid w:val="00B0296C"/>
    <w:rsid w:val="00B034BC"/>
    <w:rsid w:val="00B03F74"/>
    <w:rsid w:val="00B05BD0"/>
    <w:rsid w:val="00B05C64"/>
    <w:rsid w:val="00B06BFB"/>
    <w:rsid w:val="00B06CB6"/>
    <w:rsid w:val="00B101D2"/>
    <w:rsid w:val="00B10C79"/>
    <w:rsid w:val="00B124BE"/>
    <w:rsid w:val="00B12A98"/>
    <w:rsid w:val="00B13614"/>
    <w:rsid w:val="00B13BB4"/>
    <w:rsid w:val="00B13CF2"/>
    <w:rsid w:val="00B13F60"/>
    <w:rsid w:val="00B14180"/>
    <w:rsid w:val="00B14572"/>
    <w:rsid w:val="00B15C0E"/>
    <w:rsid w:val="00B162FF"/>
    <w:rsid w:val="00B16EDF"/>
    <w:rsid w:val="00B17522"/>
    <w:rsid w:val="00B176F3"/>
    <w:rsid w:val="00B17ACD"/>
    <w:rsid w:val="00B204E2"/>
    <w:rsid w:val="00B2214F"/>
    <w:rsid w:val="00B23F0A"/>
    <w:rsid w:val="00B244C8"/>
    <w:rsid w:val="00B264F9"/>
    <w:rsid w:val="00B27B58"/>
    <w:rsid w:val="00B30041"/>
    <w:rsid w:val="00B30B02"/>
    <w:rsid w:val="00B30EBC"/>
    <w:rsid w:val="00B31147"/>
    <w:rsid w:val="00B344E3"/>
    <w:rsid w:val="00B34F65"/>
    <w:rsid w:val="00B3568C"/>
    <w:rsid w:val="00B363AD"/>
    <w:rsid w:val="00B40405"/>
    <w:rsid w:val="00B4173D"/>
    <w:rsid w:val="00B429D6"/>
    <w:rsid w:val="00B4352E"/>
    <w:rsid w:val="00B43D4F"/>
    <w:rsid w:val="00B44203"/>
    <w:rsid w:val="00B445CD"/>
    <w:rsid w:val="00B44687"/>
    <w:rsid w:val="00B4532B"/>
    <w:rsid w:val="00B4540A"/>
    <w:rsid w:val="00B46084"/>
    <w:rsid w:val="00B4735F"/>
    <w:rsid w:val="00B473D6"/>
    <w:rsid w:val="00B47726"/>
    <w:rsid w:val="00B505F9"/>
    <w:rsid w:val="00B50A2C"/>
    <w:rsid w:val="00B523CA"/>
    <w:rsid w:val="00B539F5"/>
    <w:rsid w:val="00B53B7E"/>
    <w:rsid w:val="00B54271"/>
    <w:rsid w:val="00B54B0B"/>
    <w:rsid w:val="00B54CB1"/>
    <w:rsid w:val="00B54EC7"/>
    <w:rsid w:val="00B57514"/>
    <w:rsid w:val="00B57E48"/>
    <w:rsid w:val="00B61637"/>
    <w:rsid w:val="00B61AB2"/>
    <w:rsid w:val="00B62563"/>
    <w:rsid w:val="00B64245"/>
    <w:rsid w:val="00B6595E"/>
    <w:rsid w:val="00B66088"/>
    <w:rsid w:val="00B66DF1"/>
    <w:rsid w:val="00B67E84"/>
    <w:rsid w:val="00B704AF"/>
    <w:rsid w:val="00B70F4A"/>
    <w:rsid w:val="00B712E3"/>
    <w:rsid w:val="00B7188E"/>
    <w:rsid w:val="00B72D37"/>
    <w:rsid w:val="00B73A99"/>
    <w:rsid w:val="00B73CEE"/>
    <w:rsid w:val="00B7468F"/>
    <w:rsid w:val="00B7493D"/>
    <w:rsid w:val="00B749A1"/>
    <w:rsid w:val="00B74F16"/>
    <w:rsid w:val="00B75BFD"/>
    <w:rsid w:val="00B75C06"/>
    <w:rsid w:val="00B803C1"/>
    <w:rsid w:val="00B80C46"/>
    <w:rsid w:val="00B810EA"/>
    <w:rsid w:val="00B82486"/>
    <w:rsid w:val="00B83D8D"/>
    <w:rsid w:val="00B84975"/>
    <w:rsid w:val="00B869F6"/>
    <w:rsid w:val="00B875AD"/>
    <w:rsid w:val="00B87782"/>
    <w:rsid w:val="00B910EE"/>
    <w:rsid w:val="00B919C4"/>
    <w:rsid w:val="00B91FCE"/>
    <w:rsid w:val="00B92212"/>
    <w:rsid w:val="00B92EAD"/>
    <w:rsid w:val="00B94336"/>
    <w:rsid w:val="00B9628F"/>
    <w:rsid w:val="00B9693E"/>
    <w:rsid w:val="00B96B70"/>
    <w:rsid w:val="00B96CB8"/>
    <w:rsid w:val="00BA024F"/>
    <w:rsid w:val="00BA08D4"/>
    <w:rsid w:val="00BA1555"/>
    <w:rsid w:val="00BA20EE"/>
    <w:rsid w:val="00BA24D0"/>
    <w:rsid w:val="00BA46D8"/>
    <w:rsid w:val="00BA6532"/>
    <w:rsid w:val="00BA6FA3"/>
    <w:rsid w:val="00BB204F"/>
    <w:rsid w:val="00BB354F"/>
    <w:rsid w:val="00BB3558"/>
    <w:rsid w:val="00BB3954"/>
    <w:rsid w:val="00BB4BC6"/>
    <w:rsid w:val="00BB55B1"/>
    <w:rsid w:val="00BB6B71"/>
    <w:rsid w:val="00BB7243"/>
    <w:rsid w:val="00BC1EFE"/>
    <w:rsid w:val="00BC2140"/>
    <w:rsid w:val="00BC3BDC"/>
    <w:rsid w:val="00BC4D99"/>
    <w:rsid w:val="00BC52B9"/>
    <w:rsid w:val="00BC58FE"/>
    <w:rsid w:val="00BC70EB"/>
    <w:rsid w:val="00BC7E41"/>
    <w:rsid w:val="00BD02FF"/>
    <w:rsid w:val="00BD06C5"/>
    <w:rsid w:val="00BD0D1B"/>
    <w:rsid w:val="00BD1A8E"/>
    <w:rsid w:val="00BD2170"/>
    <w:rsid w:val="00BD274C"/>
    <w:rsid w:val="00BD2FC0"/>
    <w:rsid w:val="00BD31FB"/>
    <w:rsid w:val="00BD347E"/>
    <w:rsid w:val="00BD37AD"/>
    <w:rsid w:val="00BD396D"/>
    <w:rsid w:val="00BD5009"/>
    <w:rsid w:val="00BD5A8B"/>
    <w:rsid w:val="00BD6076"/>
    <w:rsid w:val="00BD66A7"/>
    <w:rsid w:val="00BD7259"/>
    <w:rsid w:val="00BE0BB8"/>
    <w:rsid w:val="00BE3283"/>
    <w:rsid w:val="00BE5CE8"/>
    <w:rsid w:val="00BF15D8"/>
    <w:rsid w:val="00BF1915"/>
    <w:rsid w:val="00BF223A"/>
    <w:rsid w:val="00BF29FA"/>
    <w:rsid w:val="00BF2A92"/>
    <w:rsid w:val="00BF3203"/>
    <w:rsid w:val="00BF54F9"/>
    <w:rsid w:val="00BF55B6"/>
    <w:rsid w:val="00BF5775"/>
    <w:rsid w:val="00BF5FB6"/>
    <w:rsid w:val="00BF70C6"/>
    <w:rsid w:val="00BF7EC1"/>
    <w:rsid w:val="00C00FAB"/>
    <w:rsid w:val="00C00FD9"/>
    <w:rsid w:val="00C0149C"/>
    <w:rsid w:val="00C02D87"/>
    <w:rsid w:val="00C039ED"/>
    <w:rsid w:val="00C043BC"/>
    <w:rsid w:val="00C05321"/>
    <w:rsid w:val="00C06D94"/>
    <w:rsid w:val="00C07539"/>
    <w:rsid w:val="00C10A2B"/>
    <w:rsid w:val="00C1119B"/>
    <w:rsid w:val="00C1314E"/>
    <w:rsid w:val="00C13627"/>
    <w:rsid w:val="00C13C61"/>
    <w:rsid w:val="00C140F4"/>
    <w:rsid w:val="00C151D0"/>
    <w:rsid w:val="00C15AEA"/>
    <w:rsid w:val="00C166E4"/>
    <w:rsid w:val="00C207F5"/>
    <w:rsid w:val="00C21764"/>
    <w:rsid w:val="00C2266B"/>
    <w:rsid w:val="00C2271E"/>
    <w:rsid w:val="00C231EE"/>
    <w:rsid w:val="00C24AD4"/>
    <w:rsid w:val="00C24F6C"/>
    <w:rsid w:val="00C26A31"/>
    <w:rsid w:val="00C306BF"/>
    <w:rsid w:val="00C311A3"/>
    <w:rsid w:val="00C3192E"/>
    <w:rsid w:val="00C31A2A"/>
    <w:rsid w:val="00C31E32"/>
    <w:rsid w:val="00C33981"/>
    <w:rsid w:val="00C35837"/>
    <w:rsid w:val="00C379F3"/>
    <w:rsid w:val="00C41070"/>
    <w:rsid w:val="00C41A0F"/>
    <w:rsid w:val="00C41B4A"/>
    <w:rsid w:val="00C41CF1"/>
    <w:rsid w:val="00C438B3"/>
    <w:rsid w:val="00C4481A"/>
    <w:rsid w:val="00C44E01"/>
    <w:rsid w:val="00C45294"/>
    <w:rsid w:val="00C45C60"/>
    <w:rsid w:val="00C45D78"/>
    <w:rsid w:val="00C469DC"/>
    <w:rsid w:val="00C47917"/>
    <w:rsid w:val="00C47CE6"/>
    <w:rsid w:val="00C47EDD"/>
    <w:rsid w:val="00C5170E"/>
    <w:rsid w:val="00C517FE"/>
    <w:rsid w:val="00C536ED"/>
    <w:rsid w:val="00C54A1C"/>
    <w:rsid w:val="00C54D0F"/>
    <w:rsid w:val="00C5645D"/>
    <w:rsid w:val="00C57AF8"/>
    <w:rsid w:val="00C57F3C"/>
    <w:rsid w:val="00C60737"/>
    <w:rsid w:val="00C61289"/>
    <w:rsid w:val="00C6129E"/>
    <w:rsid w:val="00C6194B"/>
    <w:rsid w:val="00C61B17"/>
    <w:rsid w:val="00C62934"/>
    <w:rsid w:val="00C62D50"/>
    <w:rsid w:val="00C63642"/>
    <w:rsid w:val="00C64FDD"/>
    <w:rsid w:val="00C65311"/>
    <w:rsid w:val="00C665BB"/>
    <w:rsid w:val="00C66E2F"/>
    <w:rsid w:val="00C6719E"/>
    <w:rsid w:val="00C673FF"/>
    <w:rsid w:val="00C67627"/>
    <w:rsid w:val="00C67E42"/>
    <w:rsid w:val="00C70C66"/>
    <w:rsid w:val="00C7291C"/>
    <w:rsid w:val="00C73BE5"/>
    <w:rsid w:val="00C73C13"/>
    <w:rsid w:val="00C7454D"/>
    <w:rsid w:val="00C75800"/>
    <w:rsid w:val="00C7740D"/>
    <w:rsid w:val="00C77E62"/>
    <w:rsid w:val="00C803C1"/>
    <w:rsid w:val="00C80E80"/>
    <w:rsid w:val="00C81F94"/>
    <w:rsid w:val="00C8277F"/>
    <w:rsid w:val="00C82917"/>
    <w:rsid w:val="00C83C04"/>
    <w:rsid w:val="00C8501F"/>
    <w:rsid w:val="00C865E1"/>
    <w:rsid w:val="00C90E6D"/>
    <w:rsid w:val="00C9122C"/>
    <w:rsid w:val="00C913AA"/>
    <w:rsid w:val="00C91946"/>
    <w:rsid w:val="00C93CC6"/>
    <w:rsid w:val="00C9498A"/>
    <w:rsid w:val="00C94E4F"/>
    <w:rsid w:val="00C95F53"/>
    <w:rsid w:val="00C962CA"/>
    <w:rsid w:val="00C96D59"/>
    <w:rsid w:val="00C97300"/>
    <w:rsid w:val="00C9762F"/>
    <w:rsid w:val="00CA246A"/>
    <w:rsid w:val="00CA48BE"/>
    <w:rsid w:val="00CA59E9"/>
    <w:rsid w:val="00CA5D6F"/>
    <w:rsid w:val="00CA63B0"/>
    <w:rsid w:val="00CA6A48"/>
    <w:rsid w:val="00CB0212"/>
    <w:rsid w:val="00CB1259"/>
    <w:rsid w:val="00CB4F18"/>
    <w:rsid w:val="00CB5BFC"/>
    <w:rsid w:val="00CC03CC"/>
    <w:rsid w:val="00CC1585"/>
    <w:rsid w:val="00CC1E0B"/>
    <w:rsid w:val="00CC2DEB"/>
    <w:rsid w:val="00CC3BF0"/>
    <w:rsid w:val="00CC3D0F"/>
    <w:rsid w:val="00CC62FC"/>
    <w:rsid w:val="00CC63A1"/>
    <w:rsid w:val="00CC6E46"/>
    <w:rsid w:val="00CC7D2B"/>
    <w:rsid w:val="00CD020E"/>
    <w:rsid w:val="00CD0CA5"/>
    <w:rsid w:val="00CD2A36"/>
    <w:rsid w:val="00CD2D16"/>
    <w:rsid w:val="00CD44B7"/>
    <w:rsid w:val="00CD6035"/>
    <w:rsid w:val="00CD6F4C"/>
    <w:rsid w:val="00CD7823"/>
    <w:rsid w:val="00CD7FF8"/>
    <w:rsid w:val="00CE0538"/>
    <w:rsid w:val="00CE08C3"/>
    <w:rsid w:val="00CE0D1D"/>
    <w:rsid w:val="00CE2576"/>
    <w:rsid w:val="00CE3838"/>
    <w:rsid w:val="00CE6E8F"/>
    <w:rsid w:val="00CE7204"/>
    <w:rsid w:val="00CE7421"/>
    <w:rsid w:val="00CE7AEF"/>
    <w:rsid w:val="00CF185E"/>
    <w:rsid w:val="00CF2A2F"/>
    <w:rsid w:val="00CF2BF2"/>
    <w:rsid w:val="00CF3955"/>
    <w:rsid w:val="00CF402E"/>
    <w:rsid w:val="00CF4AA9"/>
    <w:rsid w:val="00CF551E"/>
    <w:rsid w:val="00CF6037"/>
    <w:rsid w:val="00CF606C"/>
    <w:rsid w:val="00CF6FEF"/>
    <w:rsid w:val="00D016A4"/>
    <w:rsid w:val="00D0199B"/>
    <w:rsid w:val="00D020E4"/>
    <w:rsid w:val="00D03AE0"/>
    <w:rsid w:val="00D04222"/>
    <w:rsid w:val="00D05070"/>
    <w:rsid w:val="00D051A1"/>
    <w:rsid w:val="00D054F1"/>
    <w:rsid w:val="00D05D02"/>
    <w:rsid w:val="00D065A5"/>
    <w:rsid w:val="00D07039"/>
    <w:rsid w:val="00D07245"/>
    <w:rsid w:val="00D077BB"/>
    <w:rsid w:val="00D07E17"/>
    <w:rsid w:val="00D07EF6"/>
    <w:rsid w:val="00D10D56"/>
    <w:rsid w:val="00D11E1D"/>
    <w:rsid w:val="00D14C8B"/>
    <w:rsid w:val="00D14F5B"/>
    <w:rsid w:val="00D15458"/>
    <w:rsid w:val="00D156F5"/>
    <w:rsid w:val="00D16095"/>
    <w:rsid w:val="00D1682C"/>
    <w:rsid w:val="00D1685E"/>
    <w:rsid w:val="00D16D3E"/>
    <w:rsid w:val="00D17C49"/>
    <w:rsid w:val="00D20578"/>
    <w:rsid w:val="00D21728"/>
    <w:rsid w:val="00D217AD"/>
    <w:rsid w:val="00D249E2"/>
    <w:rsid w:val="00D2556D"/>
    <w:rsid w:val="00D25D41"/>
    <w:rsid w:val="00D26644"/>
    <w:rsid w:val="00D26A8D"/>
    <w:rsid w:val="00D27021"/>
    <w:rsid w:val="00D27301"/>
    <w:rsid w:val="00D27A5E"/>
    <w:rsid w:val="00D30073"/>
    <w:rsid w:val="00D30230"/>
    <w:rsid w:val="00D302A3"/>
    <w:rsid w:val="00D31781"/>
    <w:rsid w:val="00D31B01"/>
    <w:rsid w:val="00D32DB4"/>
    <w:rsid w:val="00D351F2"/>
    <w:rsid w:val="00D35578"/>
    <w:rsid w:val="00D35697"/>
    <w:rsid w:val="00D376E9"/>
    <w:rsid w:val="00D40936"/>
    <w:rsid w:val="00D41BD2"/>
    <w:rsid w:val="00D42199"/>
    <w:rsid w:val="00D4228C"/>
    <w:rsid w:val="00D43D4B"/>
    <w:rsid w:val="00D44504"/>
    <w:rsid w:val="00D448A3"/>
    <w:rsid w:val="00D45D75"/>
    <w:rsid w:val="00D466DC"/>
    <w:rsid w:val="00D46CD4"/>
    <w:rsid w:val="00D5020B"/>
    <w:rsid w:val="00D50481"/>
    <w:rsid w:val="00D507D4"/>
    <w:rsid w:val="00D51119"/>
    <w:rsid w:val="00D519D5"/>
    <w:rsid w:val="00D5311C"/>
    <w:rsid w:val="00D54355"/>
    <w:rsid w:val="00D56B32"/>
    <w:rsid w:val="00D604E6"/>
    <w:rsid w:val="00D60C5C"/>
    <w:rsid w:val="00D6178A"/>
    <w:rsid w:val="00D61C7E"/>
    <w:rsid w:val="00D6280C"/>
    <w:rsid w:val="00D6379B"/>
    <w:rsid w:val="00D63B86"/>
    <w:rsid w:val="00D64B5B"/>
    <w:rsid w:val="00D659DC"/>
    <w:rsid w:val="00D67904"/>
    <w:rsid w:val="00D700EE"/>
    <w:rsid w:val="00D70578"/>
    <w:rsid w:val="00D709B4"/>
    <w:rsid w:val="00D70E2E"/>
    <w:rsid w:val="00D710F6"/>
    <w:rsid w:val="00D71130"/>
    <w:rsid w:val="00D71AD0"/>
    <w:rsid w:val="00D73470"/>
    <w:rsid w:val="00D7567A"/>
    <w:rsid w:val="00D75D4B"/>
    <w:rsid w:val="00D76418"/>
    <w:rsid w:val="00D77665"/>
    <w:rsid w:val="00D80450"/>
    <w:rsid w:val="00D8151A"/>
    <w:rsid w:val="00D819B7"/>
    <w:rsid w:val="00D82864"/>
    <w:rsid w:val="00D82B75"/>
    <w:rsid w:val="00D837A5"/>
    <w:rsid w:val="00D83884"/>
    <w:rsid w:val="00D83A5C"/>
    <w:rsid w:val="00D83FB5"/>
    <w:rsid w:val="00D869FA"/>
    <w:rsid w:val="00D8704F"/>
    <w:rsid w:val="00D8718F"/>
    <w:rsid w:val="00D90993"/>
    <w:rsid w:val="00D90FE6"/>
    <w:rsid w:val="00D92A18"/>
    <w:rsid w:val="00D92CA6"/>
    <w:rsid w:val="00D92DC6"/>
    <w:rsid w:val="00D937BD"/>
    <w:rsid w:val="00D93A04"/>
    <w:rsid w:val="00D94625"/>
    <w:rsid w:val="00D94EF7"/>
    <w:rsid w:val="00D96F49"/>
    <w:rsid w:val="00DA011F"/>
    <w:rsid w:val="00DA126E"/>
    <w:rsid w:val="00DA3EF2"/>
    <w:rsid w:val="00DA41B6"/>
    <w:rsid w:val="00DA5260"/>
    <w:rsid w:val="00DA5F35"/>
    <w:rsid w:val="00DA6CC5"/>
    <w:rsid w:val="00DB06C0"/>
    <w:rsid w:val="00DB24FF"/>
    <w:rsid w:val="00DB290C"/>
    <w:rsid w:val="00DB2F96"/>
    <w:rsid w:val="00DB39D3"/>
    <w:rsid w:val="00DB4DCB"/>
    <w:rsid w:val="00DB7ADE"/>
    <w:rsid w:val="00DC196B"/>
    <w:rsid w:val="00DC1EFF"/>
    <w:rsid w:val="00DC33DC"/>
    <w:rsid w:val="00DC34F4"/>
    <w:rsid w:val="00DC3A5D"/>
    <w:rsid w:val="00DC6164"/>
    <w:rsid w:val="00DC68C6"/>
    <w:rsid w:val="00DD07B9"/>
    <w:rsid w:val="00DD2093"/>
    <w:rsid w:val="00DD5624"/>
    <w:rsid w:val="00DD5D89"/>
    <w:rsid w:val="00DD5FDE"/>
    <w:rsid w:val="00DE0DCF"/>
    <w:rsid w:val="00DE2A42"/>
    <w:rsid w:val="00DE3CA0"/>
    <w:rsid w:val="00DE78EA"/>
    <w:rsid w:val="00DE7A28"/>
    <w:rsid w:val="00DF1003"/>
    <w:rsid w:val="00DF1B38"/>
    <w:rsid w:val="00DF2339"/>
    <w:rsid w:val="00DF2F7C"/>
    <w:rsid w:val="00DF2FC0"/>
    <w:rsid w:val="00DF5A5F"/>
    <w:rsid w:val="00DF5CE0"/>
    <w:rsid w:val="00DF6952"/>
    <w:rsid w:val="00DF6F87"/>
    <w:rsid w:val="00DF719D"/>
    <w:rsid w:val="00E01F00"/>
    <w:rsid w:val="00E0237B"/>
    <w:rsid w:val="00E03320"/>
    <w:rsid w:val="00E07CB8"/>
    <w:rsid w:val="00E119CE"/>
    <w:rsid w:val="00E1242D"/>
    <w:rsid w:val="00E12905"/>
    <w:rsid w:val="00E12AA0"/>
    <w:rsid w:val="00E13061"/>
    <w:rsid w:val="00E13A00"/>
    <w:rsid w:val="00E148BD"/>
    <w:rsid w:val="00E15108"/>
    <w:rsid w:val="00E15152"/>
    <w:rsid w:val="00E1522D"/>
    <w:rsid w:val="00E15512"/>
    <w:rsid w:val="00E15624"/>
    <w:rsid w:val="00E15AA7"/>
    <w:rsid w:val="00E17598"/>
    <w:rsid w:val="00E20083"/>
    <w:rsid w:val="00E21918"/>
    <w:rsid w:val="00E21921"/>
    <w:rsid w:val="00E21D4A"/>
    <w:rsid w:val="00E22002"/>
    <w:rsid w:val="00E22A7C"/>
    <w:rsid w:val="00E22CF3"/>
    <w:rsid w:val="00E23386"/>
    <w:rsid w:val="00E233FC"/>
    <w:rsid w:val="00E23FBC"/>
    <w:rsid w:val="00E241E7"/>
    <w:rsid w:val="00E242C1"/>
    <w:rsid w:val="00E24597"/>
    <w:rsid w:val="00E24DBD"/>
    <w:rsid w:val="00E25040"/>
    <w:rsid w:val="00E2672A"/>
    <w:rsid w:val="00E26968"/>
    <w:rsid w:val="00E26D19"/>
    <w:rsid w:val="00E300F6"/>
    <w:rsid w:val="00E30C85"/>
    <w:rsid w:val="00E34562"/>
    <w:rsid w:val="00E3699B"/>
    <w:rsid w:val="00E40A45"/>
    <w:rsid w:val="00E40B49"/>
    <w:rsid w:val="00E41663"/>
    <w:rsid w:val="00E41E8F"/>
    <w:rsid w:val="00E42276"/>
    <w:rsid w:val="00E423FE"/>
    <w:rsid w:val="00E42ED8"/>
    <w:rsid w:val="00E432CF"/>
    <w:rsid w:val="00E43E0B"/>
    <w:rsid w:val="00E44890"/>
    <w:rsid w:val="00E44BB7"/>
    <w:rsid w:val="00E4631C"/>
    <w:rsid w:val="00E46B56"/>
    <w:rsid w:val="00E475B1"/>
    <w:rsid w:val="00E4799C"/>
    <w:rsid w:val="00E5158F"/>
    <w:rsid w:val="00E515EF"/>
    <w:rsid w:val="00E51897"/>
    <w:rsid w:val="00E5292F"/>
    <w:rsid w:val="00E52AD4"/>
    <w:rsid w:val="00E52DDB"/>
    <w:rsid w:val="00E53210"/>
    <w:rsid w:val="00E55853"/>
    <w:rsid w:val="00E55B09"/>
    <w:rsid w:val="00E57CA2"/>
    <w:rsid w:val="00E57DD1"/>
    <w:rsid w:val="00E600A8"/>
    <w:rsid w:val="00E618A2"/>
    <w:rsid w:val="00E61920"/>
    <w:rsid w:val="00E62A40"/>
    <w:rsid w:val="00E63B0B"/>
    <w:rsid w:val="00E64DD9"/>
    <w:rsid w:val="00E65B47"/>
    <w:rsid w:val="00E66E09"/>
    <w:rsid w:val="00E700BD"/>
    <w:rsid w:val="00E70B90"/>
    <w:rsid w:val="00E70E42"/>
    <w:rsid w:val="00E71DC0"/>
    <w:rsid w:val="00E71DDE"/>
    <w:rsid w:val="00E74C5D"/>
    <w:rsid w:val="00E74ECC"/>
    <w:rsid w:val="00E76B93"/>
    <w:rsid w:val="00E76FAD"/>
    <w:rsid w:val="00E77C56"/>
    <w:rsid w:val="00E77D8C"/>
    <w:rsid w:val="00E77F36"/>
    <w:rsid w:val="00E81045"/>
    <w:rsid w:val="00E812FE"/>
    <w:rsid w:val="00E82338"/>
    <w:rsid w:val="00E82E74"/>
    <w:rsid w:val="00E83343"/>
    <w:rsid w:val="00E83748"/>
    <w:rsid w:val="00E83A6D"/>
    <w:rsid w:val="00E84A5F"/>
    <w:rsid w:val="00E859EF"/>
    <w:rsid w:val="00E85BC7"/>
    <w:rsid w:val="00E86815"/>
    <w:rsid w:val="00E90295"/>
    <w:rsid w:val="00E90707"/>
    <w:rsid w:val="00E93123"/>
    <w:rsid w:val="00E931E0"/>
    <w:rsid w:val="00E93869"/>
    <w:rsid w:val="00E94ED5"/>
    <w:rsid w:val="00E962FC"/>
    <w:rsid w:val="00E967D0"/>
    <w:rsid w:val="00E96B48"/>
    <w:rsid w:val="00E97038"/>
    <w:rsid w:val="00EA0036"/>
    <w:rsid w:val="00EA051B"/>
    <w:rsid w:val="00EA05B2"/>
    <w:rsid w:val="00EA103B"/>
    <w:rsid w:val="00EA1BB2"/>
    <w:rsid w:val="00EA3D98"/>
    <w:rsid w:val="00EA5025"/>
    <w:rsid w:val="00EA5551"/>
    <w:rsid w:val="00EA592C"/>
    <w:rsid w:val="00EA5BEA"/>
    <w:rsid w:val="00EA6221"/>
    <w:rsid w:val="00EA69C6"/>
    <w:rsid w:val="00EA6F24"/>
    <w:rsid w:val="00EA7782"/>
    <w:rsid w:val="00EB03DA"/>
    <w:rsid w:val="00EB11D9"/>
    <w:rsid w:val="00EB2191"/>
    <w:rsid w:val="00EB28AD"/>
    <w:rsid w:val="00EB2A50"/>
    <w:rsid w:val="00EB3BA0"/>
    <w:rsid w:val="00EB3DA2"/>
    <w:rsid w:val="00EB48DB"/>
    <w:rsid w:val="00EB5286"/>
    <w:rsid w:val="00EB58DB"/>
    <w:rsid w:val="00EB59E1"/>
    <w:rsid w:val="00EB5D52"/>
    <w:rsid w:val="00EB79E4"/>
    <w:rsid w:val="00EB7DCD"/>
    <w:rsid w:val="00EB7FE9"/>
    <w:rsid w:val="00EC18E7"/>
    <w:rsid w:val="00EC1F7F"/>
    <w:rsid w:val="00EC2683"/>
    <w:rsid w:val="00EC2AF9"/>
    <w:rsid w:val="00EC364E"/>
    <w:rsid w:val="00EC3A83"/>
    <w:rsid w:val="00EC4138"/>
    <w:rsid w:val="00EC499D"/>
    <w:rsid w:val="00EC4A8D"/>
    <w:rsid w:val="00EC5D05"/>
    <w:rsid w:val="00ED0391"/>
    <w:rsid w:val="00ED0CB6"/>
    <w:rsid w:val="00ED16C6"/>
    <w:rsid w:val="00ED2E32"/>
    <w:rsid w:val="00ED30C9"/>
    <w:rsid w:val="00ED3235"/>
    <w:rsid w:val="00ED33E7"/>
    <w:rsid w:val="00ED3512"/>
    <w:rsid w:val="00ED3783"/>
    <w:rsid w:val="00ED3CB9"/>
    <w:rsid w:val="00ED4245"/>
    <w:rsid w:val="00ED44BF"/>
    <w:rsid w:val="00ED4724"/>
    <w:rsid w:val="00ED48A7"/>
    <w:rsid w:val="00ED596B"/>
    <w:rsid w:val="00ED60A5"/>
    <w:rsid w:val="00ED61B6"/>
    <w:rsid w:val="00EE10C6"/>
    <w:rsid w:val="00EE11DD"/>
    <w:rsid w:val="00EE13B2"/>
    <w:rsid w:val="00EE2058"/>
    <w:rsid w:val="00EE273C"/>
    <w:rsid w:val="00EE33C5"/>
    <w:rsid w:val="00EE3655"/>
    <w:rsid w:val="00EE4BA0"/>
    <w:rsid w:val="00EE54D7"/>
    <w:rsid w:val="00EE6C94"/>
    <w:rsid w:val="00EE6F00"/>
    <w:rsid w:val="00EE7599"/>
    <w:rsid w:val="00EE76D2"/>
    <w:rsid w:val="00EF0005"/>
    <w:rsid w:val="00EF01C5"/>
    <w:rsid w:val="00EF046A"/>
    <w:rsid w:val="00EF2B03"/>
    <w:rsid w:val="00EF392A"/>
    <w:rsid w:val="00EF3A1B"/>
    <w:rsid w:val="00EF4152"/>
    <w:rsid w:val="00EF4A04"/>
    <w:rsid w:val="00EF6559"/>
    <w:rsid w:val="00EF6CC3"/>
    <w:rsid w:val="00EF6EA1"/>
    <w:rsid w:val="00EF7F8C"/>
    <w:rsid w:val="00F01630"/>
    <w:rsid w:val="00F01D64"/>
    <w:rsid w:val="00F0254C"/>
    <w:rsid w:val="00F033A5"/>
    <w:rsid w:val="00F047A2"/>
    <w:rsid w:val="00F048A4"/>
    <w:rsid w:val="00F04F2F"/>
    <w:rsid w:val="00F0674C"/>
    <w:rsid w:val="00F071F0"/>
    <w:rsid w:val="00F07577"/>
    <w:rsid w:val="00F07B00"/>
    <w:rsid w:val="00F1168F"/>
    <w:rsid w:val="00F12037"/>
    <w:rsid w:val="00F130D8"/>
    <w:rsid w:val="00F139C5"/>
    <w:rsid w:val="00F15184"/>
    <w:rsid w:val="00F15CDF"/>
    <w:rsid w:val="00F16456"/>
    <w:rsid w:val="00F16916"/>
    <w:rsid w:val="00F17682"/>
    <w:rsid w:val="00F21A5D"/>
    <w:rsid w:val="00F221CB"/>
    <w:rsid w:val="00F22D7C"/>
    <w:rsid w:val="00F22F3B"/>
    <w:rsid w:val="00F23154"/>
    <w:rsid w:val="00F23176"/>
    <w:rsid w:val="00F256F6"/>
    <w:rsid w:val="00F262D1"/>
    <w:rsid w:val="00F26371"/>
    <w:rsid w:val="00F26F46"/>
    <w:rsid w:val="00F27A9D"/>
    <w:rsid w:val="00F30573"/>
    <w:rsid w:val="00F322ED"/>
    <w:rsid w:val="00F32453"/>
    <w:rsid w:val="00F32808"/>
    <w:rsid w:val="00F3508B"/>
    <w:rsid w:val="00F35B41"/>
    <w:rsid w:val="00F3706E"/>
    <w:rsid w:val="00F40C77"/>
    <w:rsid w:val="00F43EA7"/>
    <w:rsid w:val="00F44C9E"/>
    <w:rsid w:val="00F44F00"/>
    <w:rsid w:val="00F45192"/>
    <w:rsid w:val="00F457CB"/>
    <w:rsid w:val="00F4590B"/>
    <w:rsid w:val="00F46A56"/>
    <w:rsid w:val="00F531A1"/>
    <w:rsid w:val="00F535BE"/>
    <w:rsid w:val="00F5465C"/>
    <w:rsid w:val="00F54679"/>
    <w:rsid w:val="00F54888"/>
    <w:rsid w:val="00F56907"/>
    <w:rsid w:val="00F60B46"/>
    <w:rsid w:val="00F61617"/>
    <w:rsid w:val="00F61EEF"/>
    <w:rsid w:val="00F62686"/>
    <w:rsid w:val="00F6288A"/>
    <w:rsid w:val="00F63AE5"/>
    <w:rsid w:val="00F645A1"/>
    <w:rsid w:val="00F645E3"/>
    <w:rsid w:val="00F64CF3"/>
    <w:rsid w:val="00F65032"/>
    <w:rsid w:val="00F65F56"/>
    <w:rsid w:val="00F6635F"/>
    <w:rsid w:val="00F6747C"/>
    <w:rsid w:val="00F70867"/>
    <w:rsid w:val="00F71F92"/>
    <w:rsid w:val="00F723E4"/>
    <w:rsid w:val="00F7366C"/>
    <w:rsid w:val="00F747E4"/>
    <w:rsid w:val="00F752CD"/>
    <w:rsid w:val="00F80F47"/>
    <w:rsid w:val="00F80FFA"/>
    <w:rsid w:val="00F81E71"/>
    <w:rsid w:val="00F82162"/>
    <w:rsid w:val="00F82BCF"/>
    <w:rsid w:val="00F82F4D"/>
    <w:rsid w:val="00F8376F"/>
    <w:rsid w:val="00F837AE"/>
    <w:rsid w:val="00F83D38"/>
    <w:rsid w:val="00F84D1A"/>
    <w:rsid w:val="00F8624F"/>
    <w:rsid w:val="00F90DB7"/>
    <w:rsid w:val="00F9245F"/>
    <w:rsid w:val="00F92635"/>
    <w:rsid w:val="00F94AFE"/>
    <w:rsid w:val="00F95004"/>
    <w:rsid w:val="00F952E6"/>
    <w:rsid w:val="00F953BF"/>
    <w:rsid w:val="00F955D6"/>
    <w:rsid w:val="00F967E1"/>
    <w:rsid w:val="00F96AFF"/>
    <w:rsid w:val="00F96DB3"/>
    <w:rsid w:val="00F972BF"/>
    <w:rsid w:val="00FA044A"/>
    <w:rsid w:val="00FA1A6B"/>
    <w:rsid w:val="00FA25D2"/>
    <w:rsid w:val="00FA3294"/>
    <w:rsid w:val="00FA5F80"/>
    <w:rsid w:val="00FA64CB"/>
    <w:rsid w:val="00FA6510"/>
    <w:rsid w:val="00FA7578"/>
    <w:rsid w:val="00FB0F1F"/>
    <w:rsid w:val="00FB20CF"/>
    <w:rsid w:val="00FB4617"/>
    <w:rsid w:val="00FB4FEC"/>
    <w:rsid w:val="00FB5B72"/>
    <w:rsid w:val="00FB6507"/>
    <w:rsid w:val="00FB7355"/>
    <w:rsid w:val="00FC17F2"/>
    <w:rsid w:val="00FC1E09"/>
    <w:rsid w:val="00FC23BB"/>
    <w:rsid w:val="00FC261F"/>
    <w:rsid w:val="00FC2E1E"/>
    <w:rsid w:val="00FC38A8"/>
    <w:rsid w:val="00FC5876"/>
    <w:rsid w:val="00FC5B00"/>
    <w:rsid w:val="00FD0106"/>
    <w:rsid w:val="00FD08D1"/>
    <w:rsid w:val="00FD0F57"/>
    <w:rsid w:val="00FD242E"/>
    <w:rsid w:val="00FD25F6"/>
    <w:rsid w:val="00FD2ADB"/>
    <w:rsid w:val="00FD3817"/>
    <w:rsid w:val="00FD3C5C"/>
    <w:rsid w:val="00FD3D3C"/>
    <w:rsid w:val="00FD3E84"/>
    <w:rsid w:val="00FD44F7"/>
    <w:rsid w:val="00FD49CF"/>
    <w:rsid w:val="00FD528B"/>
    <w:rsid w:val="00FD561B"/>
    <w:rsid w:val="00FD5D91"/>
    <w:rsid w:val="00FE029A"/>
    <w:rsid w:val="00FE0515"/>
    <w:rsid w:val="00FE05F3"/>
    <w:rsid w:val="00FE1E41"/>
    <w:rsid w:val="00FE4144"/>
    <w:rsid w:val="00FE60CA"/>
    <w:rsid w:val="00FE7182"/>
    <w:rsid w:val="00FE74D8"/>
    <w:rsid w:val="00FF1902"/>
    <w:rsid w:val="00FF1946"/>
    <w:rsid w:val="00FF29BF"/>
    <w:rsid w:val="00FF2F29"/>
    <w:rsid w:val="00FF482D"/>
    <w:rsid w:val="00FF56B9"/>
    <w:rsid w:val="00FF5C6F"/>
    <w:rsid w:val="00FF65F6"/>
    <w:rsid w:val="00FF6E61"/>
  </w:rsids>
  <m:mathPr>
    <m:mathFont m:val="Cambria Math"/>
    <m:brkBin m:val="before"/>
    <m:brkBinSub m:val="--"/>
    <m:smallFrac/>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38681B"/>
  <w15:docId w15:val="{07627579-0448-4646-8025-A0D678B6C0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o-RO"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64AD4"/>
  </w:style>
  <w:style w:type="paragraph" w:styleId="Heading1">
    <w:name w:val="heading 1"/>
    <w:basedOn w:val="Normal"/>
    <w:next w:val="Normal"/>
    <w:link w:val="Heading1Char"/>
    <w:qFormat/>
    <w:rsid w:val="00B4532B"/>
    <w:pPr>
      <w:keepNext/>
      <w:keepLines/>
      <w:spacing w:before="240" w:line="360" w:lineRule="auto"/>
      <w:jc w:val="both"/>
      <w:outlineLvl w:val="0"/>
    </w:pPr>
    <w:rPr>
      <w:rFonts w:ascii="Times New Roman" w:eastAsiaTheme="majorEastAsia" w:hAnsi="Times New Roman" w:cstheme="majorBidi"/>
      <w:b/>
      <w:sz w:val="24"/>
      <w:szCs w:val="32"/>
    </w:rPr>
  </w:style>
  <w:style w:type="paragraph" w:styleId="Heading2">
    <w:name w:val="heading 2"/>
    <w:basedOn w:val="Normal"/>
    <w:next w:val="Normal"/>
    <w:link w:val="Heading2Char"/>
    <w:unhideWhenUsed/>
    <w:qFormat/>
    <w:rsid w:val="00EA592C"/>
    <w:pPr>
      <w:keepNext/>
      <w:keepLines/>
      <w:spacing w:before="40" w:line="360" w:lineRule="auto"/>
      <w:outlineLvl w:val="1"/>
    </w:pPr>
    <w:rPr>
      <w:rFonts w:ascii="Times New Roman" w:eastAsiaTheme="majorEastAsia" w:hAnsi="Times New Roman" w:cstheme="majorBidi"/>
      <w:b/>
      <w:sz w:val="24"/>
      <w:szCs w:val="26"/>
    </w:rPr>
  </w:style>
  <w:style w:type="paragraph" w:styleId="Heading3">
    <w:name w:val="heading 3"/>
    <w:basedOn w:val="Normal"/>
    <w:next w:val="Normal"/>
    <w:link w:val="Heading3Char"/>
    <w:unhideWhenUsed/>
    <w:qFormat/>
    <w:rsid w:val="00CB0212"/>
    <w:pPr>
      <w:keepNext/>
      <w:keepLines/>
      <w:spacing w:before="40" w:line="360" w:lineRule="auto"/>
      <w:jc w:val="both"/>
      <w:outlineLvl w:val="2"/>
    </w:pPr>
    <w:rPr>
      <w:rFonts w:ascii="Times New Roman" w:eastAsia="Times New Roman" w:hAnsi="Times New Roman" w:cs="Times New Roman"/>
      <w:b/>
      <w:sz w:val="24"/>
      <w:szCs w:val="24"/>
    </w:rPr>
  </w:style>
  <w:style w:type="paragraph" w:styleId="Heading4">
    <w:name w:val="heading 4"/>
    <w:basedOn w:val="Normal"/>
    <w:next w:val="Normal"/>
    <w:link w:val="Heading4Char"/>
    <w:unhideWhenUsed/>
    <w:qFormat/>
    <w:rsid w:val="00EA592C"/>
    <w:pPr>
      <w:keepNext/>
      <w:keepLines/>
      <w:spacing w:before="40"/>
      <w:outlineLvl w:val="3"/>
    </w:pPr>
    <w:rPr>
      <w:rFonts w:ascii="Cambria" w:eastAsia="Times New Roman" w:hAnsi="Cambria" w:cs="Times New Roman"/>
      <w:i/>
      <w:iCs/>
      <w:color w:val="365F91"/>
    </w:rPr>
  </w:style>
  <w:style w:type="paragraph" w:styleId="Heading5">
    <w:name w:val="heading 5"/>
    <w:basedOn w:val="Normal"/>
    <w:next w:val="Normal"/>
    <w:link w:val="Heading5Char"/>
    <w:qFormat/>
    <w:rsid w:val="00764B7D"/>
    <w:pPr>
      <w:tabs>
        <w:tab w:val="num" w:pos="1048"/>
      </w:tabs>
      <w:spacing w:before="240" w:after="60"/>
      <w:ind w:left="1048" w:hanging="1008"/>
      <w:outlineLvl w:val="4"/>
    </w:pPr>
    <w:rPr>
      <w:rFonts w:ascii="Lucida Sans Unicode" w:eastAsia="Times New Roman" w:hAnsi="Lucida Sans Unicode" w:cs="Times New Roman"/>
      <w:b/>
      <w:bCs/>
      <w:i/>
      <w:iCs/>
      <w:sz w:val="26"/>
      <w:szCs w:val="26"/>
    </w:rPr>
  </w:style>
  <w:style w:type="paragraph" w:styleId="Heading6">
    <w:name w:val="heading 6"/>
    <w:basedOn w:val="Normal"/>
    <w:next w:val="Normal"/>
    <w:link w:val="Heading6Char"/>
    <w:qFormat/>
    <w:rsid w:val="00764B7D"/>
    <w:pPr>
      <w:tabs>
        <w:tab w:val="num" w:pos="1192"/>
      </w:tabs>
      <w:spacing w:before="240" w:after="60"/>
      <w:ind w:left="1192" w:hanging="1152"/>
      <w:outlineLvl w:val="5"/>
    </w:pPr>
    <w:rPr>
      <w:rFonts w:ascii="Lucida Sans Unicode" w:eastAsia="Times New Roman" w:hAnsi="Lucida Sans Unicode" w:cs="Times New Roman"/>
      <w:b/>
      <w:bCs/>
    </w:rPr>
  </w:style>
  <w:style w:type="paragraph" w:styleId="Heading7">
    <w:name w:val="heading 7"/>
    <w:basedOn w:val="Normal"/>
    <w:next w:val="Normal"/>
    <w:link w:val="Heading7Char"/>
    <w:semiHidden/>
    <w:unhideWhenUsed/>
    <w:qFormat/>
    <w:rsid w:val="00764B7D"/>
    <w:pPr>
      <w:keepNext/>
      <w:keepLines/>
      <w:spacing w:before="40" w:line="276" w:lineRule="auto"/>
      <w:outlineLvl w:val="6"/>
    </w:pPr>
    <w:rPr>
      <w:rFonts w:eastAsia="Times New Roman" w:cs="Times New Roman"/>
      <w:sz w:val="24"/>
      <w:szCs w:val="24"/>
    </w:rPr>
  </w:style>
  <w:style w:type="paragraph" w:styleId="Heading8">
    <w:name w:val="heading 8"/>
    <w:basedOn w:val="Normal"/>
    <w:next w:val="Normal"/>
    <w:link w:val="Heading8Char"/>
    <w:qFormat/>
    <w:rsid w:val="00764B7D"/>
    <w:pPr>
      <w:tabs>
        <w:tab w:val="num" w:pos="1480"/>
      </w:tabs>
      <w:spacing w:before="240" w:after="60"/>
      <w:ind w:left="1480" w:hanging="1440"/>
      <w:outlineLvl w:val="7"/>
    </w:pPr>
    <w:rPr>
      <w:rFonts w:ascii="Lucida Sans Unicode" w:eastAsia="Times New Roman" w:hAnsi="Lucida Sans Unicode" w:cs="Times New Roman"/>
      <w:i/>
      <w:iCs/>
      <w:sz w:val="24"/>
      <w:szCs w:val="24"/>
    </w:rPr>
  </w:style>
  <w:style w:type="paragraph" w:styleId="Heading9">
    <w:name w:val="heading 9"/>
    <w:basedOn w:val="Normal"/>
    <w:next w:val="Normal"/>
    <w:link w:val="Heading9Char"/>
    <w:qFormat/>
    <w:rsid w:val="00764B7D"/>
    <w:pPr>
      <w:numPr>
        <w:ilvl w:val="8"/>
        <w:numId w:val="16"/>
      </w:numPr>
      <w:tabs>
        <w:tab w:val="num" w:pos="1624"/>
      </w:tabs>
      <w:spacing w:before="240" w:after="60"/>
      <w:ind w:left="1624" w:hanging="1584"/>
      <w:outlineLvl w:val="8"/>
    </w:pPr>
    <w:rPr>
      <w:rFonts w:ascii="Arial" w:eastAsia="Times New Roman" w:hAnsi="Arial"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4532B"/>
    <w:rPr>
      <w:rFonts w:ascii="Times New Roman" w:eastAsiaTheme="majorEastAsia" w:hAnsi="Times New Roman" w:cstheme="majorBidi"/>
      <w:b/>
      <w:sz w:val="24"/>
      <w:szCs w:val="32"/>
    </w:rPr>
  </w:style>
  <w:style w:type="character" w:customStyle="1" w:styleId="Heading2Char">
    <w:name w:val="Heading 2 Char"/>
    <w:basedOn w:val="DefaultParagraphFont"/>
    <w:link w:val="Heading2"/>
    <w:rsid w:val="00EA592C"/>
    <w:rPr>
      <w:rFonts w:ascii="Times New Roman" w:eastAsiaTheme="majorEastAsia" w:hAnsi="Times New Roman" w:cstheme="majorBidi"/>
      <w:b/>
      <w:sz w:val="24"/>
      <w:szCs w:val="26"/>
    </w:rPr>
  </w:style>
  <w:style w:type="table" w:styleId="TableGrid">
    <w:name w:val="Table Grid"/>
    <w:basedOn w:val="TableNormal"/>
    <w:uiPriority w:val="39"/>
    <w:rsid w:val="00D156F5"/>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371CEF"/>
    <w:pPr>
      <w:spacing w:after="200"/>
    </w:pPr>
    <w:rPr>
      <w:rFonts w:ascii="Times New Roman" w:hAnsi="Times New Roman"/>
      <w:b/>
      <w:iCs/>
      <w:sz w:val="24"/>
      <w:szCs w:val="18"/>
    </w:rPr>
  </w:style>
  <w:style w:type="paragraph" w:customStyle="1" w:styleId="Heading31">
    <w:name w:val="Heading 31"/>
    <w:basedOn w:val="Normal"/>
    <w:next w:val="Normal"/>
    <w:unhideWhenUsed/>
    <w:qFormat/>
    <w:rsid w:val="00EA592C"/>
    <w:pPr>
      <w:keepNext/>
      <w:keepLines/>
      <w:numPr>
        <w:numId w:val="7"/>
      </w:numPr>
      <w:tabs>
        <w:tab w:val="num" w:pos="360"/>
      </w:tabs>
      <w:spacing w:line="360" w:lineRule="auto"/>
      <w:ind w:left="0" w:firstLine="0"/>
      <w:outlineLvl w:val="2"/>
    </w:pPr>
    <w:rPr>
      <w:rFonts w:ascii="Times New Roman" w:eastAsia="Times New Roman" w:hAnsi="Times New Roman" w:cs="Times New Roman"/>
      <w:b/>
      <w:sz w:val="24"/>
      <w:szCs w:val="24"/>
      <w:lang w:val="en-US"/>
    </w:rPr>
  </w:style>
  <w:style w:type="paragraph" w:customStyle="1" w:styleId="Heading41">
    <w:name w:val="Heading 41"/>
    <w:basedOn w:val="Normal"/>
    <w:next w:val="Normal"/>
    <w:uiPriority w:val="9"/>
    <w:semiHidden/>
    <w:unhideWhenUsed/>
    <w:qFormat/>
    <w:rsid w:val="00EA592C"/>
    <w:pPr>
      <w:keepNext/>
      <w:keepLines/>
      <w:spacing w:before="40" w:line="276" w:lineRule="auto"/>
      <w:outlineLvl w:val="3"/>
    </w:pPr>
    <w:rPr>
      <w:rFonts w:ascii="Cambria" w:eastAsia="Times New Roman" w:hAnsi="Cambria" w:cs="Times New Roman"/>
      <w:i/>
      <w:iCs/>
      <w:color w:val="365F91"/>
      <w:lang w:val="en-US"/>
    </w:rPr>
  </w:style>
  <w:style w:type="numbering" w:customStyle="1" w:styleId="NoList1">
    <w:name w:val="No List1"/>
    <w:next w:val="NoList"/>
    <w:uiPriority w:val="99"/>
    <w:semiHidden/>
    <w:unhideWhenUsed/>
    <w:rsid w:val="00EA592C"/>
  </w:style>
  <w:style w:type="paragraph" w:styleId="ListParagraph">
    <w:name w:val="List Paragraph"/>
    <w:basedOn w:val="Normal"/>
    <w:uiPriority w:val="34"/>
    <w:qFormat/>
    <w:rsid w:val="00EA592C"/>
    <w:pPr>
      <w:spacing w:after="200" w:line="276" w:lineRule="auto"/>
      <w:ind w:left="720"/>
      <w:contextualSpacing/>
    </w:pPr>
    <w:rPr>
      <w:lang w:val="en-US"/>
    </w:rPr>
  </w:style>
  <w:style w:type="paragraph" w:customStyle="1" w:styleId="CharChar4CaracterCaracterCharCharCaracterCaracter">
    <w:name w:val="Char Char4 Caracter Caracter Char Char Caracter Caracter"/>
    <w:basedOn w:val="Normal"/>
    <w:rsid w:val="00EA592C"/>
    <w:rPr>
      <w:rFonts w:ascii="Times New Roman" w:eastAsia="Times New Roman" w:hAnsi="Times New Roman" w:cs="Times New Roman"/>
      <w:sz w:val="24"/>
      <w:szCs w:val="24"/>
      <w:lang w:val="pl-PL" w:eastAsia="pl-PL"/>
    </w:rPr>
  </w:style>
  <w:style w:type="character" w:customStyle="1" w:styleId="Hyperlink1">
    <w:name w:val="Hyperlink1"/>
    <w:basedOn w:val="DefaultParagraphFont"/>
    <w:uiPriority w:val="99"/>
    <w:unhideWhenUsed/>
    <w:rsid w:val="00EA592C"/>
    <w:rPr>
      <w:color w:val="0000FF"/>
      <w:u w:val="single"/>
    </w:rPr>
  </w:style>
  <w:style w:type="character" w:customStyle="1" w:styleId="FollowedHyperlink1">
    <w:name w:val="FollowedHyperlink1"/>
    <w:basedOn w:val="DefaultParagraphFont"/>
    <w:uiPriority w:val="99"/>
    <w:semiHidden/>
    <w:unhideWhenUsed/>
    <w:rsid w:val="00EA592C"/>
    <w:rPr>
      <w:color w:val="800080"/>
      <w:u w:val="single"/>
    </w:rPr>
  </w:style>
  <w:style w:type="paragraph" w:customStyle="1" w:styleId="CharChar4CaracterCaracterCharCharCaracterCaracter2">
    <w:name w:val="Char Char4 Caracter Caracter Char Char Caracter Caracter2"/>
    <w:basedOn w:val="Normal"/>
    <w:rsid w:val="00EA592C"/>
    <w:rPr>
      <w:rFonts w:ascii="Times New Roman" w:eastAsia="Times New Roman" w:hAnsi="Times New Roman" w:cs="Times New Roman"/>
      <w:sz w:val="24"/>
      <w:szCs w:val="24"/>
      <w:lang w:val="pl-PL" w:eastAsia="pl-PL"/>
    </w:rPr>
  </w:style>
  <w:style w:type="paragraph" w:customStyle="1" w:styleId="CharChar4CaracterCaracterCharCharCaracterCaracter1">
    <w:name w:val="Char Char4 Caracter Caracter Char Char Caracter Caracter1"/>
    <w:basedOn w:val="Normal"/>
    <w:rsid w:val="00EA592C"/>
    <w:rPr>
      <w:rFonts w:ascii="Times New Roman" w:eastAsia="Times New Roman" w:hAnsi="Times New Roman" w:cs="Times New Roman"/>
      <w:sz w:val="24"/>
      <w:szCs w:val="24"/>
      <w:lang w:val="pl-PL" w:eastAsia="pl-PL"/>
    </w:rPr>
  </w:style>
  <w:style w:type="paragraph" w:styleId="Header">
    <w:name w:val="header"/>
    <w:basedOn w:val="Normal"/>
    <w:link w:val="HeaderChar"/>
    <w:uiPriority w:val="99"/>
    <w:unhideWhenUsed/>
    <w:rsid w:val="00EA592C"/>
    <w:pPr>
      <w:tabs>
        <w:tab w:val="center" w:pos="4513"/>
        <w:tab w:val="right" w:pos="9026"/>
      </w:tabs>
    </w:pPr>
    <w:rPr>
      <w:lang w:val="en-US"/>
    </w:rPr>
  </w:style>
  <w:style w:type="character" w:customStyle="1" w:styleId="HeaderChar">
    <w:name w:val="Header Char"/>
    <w:basedOn w:val="DefaultParagraphFont"/>
    <w:link w:val="Header"/>
    <w:uiPriority w:val="99"/>
    <w:rsid w:val="00EA592C"/>
    <w:rPr>
      <w:lang w:val="en-US"/>
    </w:rPr>
  </w:style>
  <w:style w:type="paragraph" w:styleId="Footer">
    <w:name w:val="footer"/>
    <w:aliases w:val=" Char"/>
    <w:basedOn w:val="Normal"/>
    <w:link w:val="FooterChar"/>
    <w:unhideWhenUsed/>
    <w:rsid w:val="00EA592C"/>
    <w:pPr>
      <w:tabs>
        <w:tab w:val="center" w:pos="4513"/>
        <w:tab w:val="right" w:pos="9026"/>
      </w:tabs>
    </w:pPr>
    <w:rPr>
      <w:lang w:val="en-US"/>
    </w:rPr>
  </w:style>
  <w:style w:type="character" w:customStyle="1" w:styleId="FooterChar">
    <w:name w:val="Footer Char"/>
    <w:aliases w:val=" Char Char"/>
    <w:basedOn w:val="DefaultParagraphFont"/>
    <w:link w:val="Footer"/>
    <w:rsid w:val="00EA592C"/>
    <w:rPr>
      <w:lang w:val="en-US"/>
    </w:rPr>
  </w:style>
  <w:style w:type="paragraph" w:styleId="TOC2">
    <w:name w:val="toc 2"/>
    <w:basedOn w:val="Normal"/>
    <w:next w:val="Normal"/>
    <w:autoRedefine/>
    <w:uiPriority w:val="39"/>
    <w:unhideWhenUsed/>
    <w:rsid w:val="00EA592C"/>
    <w:pPr>
      <w:spacing w:line="360" w:lineRule="auto"/>
      <w:ind w:left="221"/>
    </w:pPr>
    <w:rPr>
      <w:rFonts w:ascii="Times New Roman" w:hAnsi="Times New Roman"/>
      <w:sz w:val="24"/>
      <w:lang w:val="en-US"/>
    </w:rPr>
  </w:style>
  <w:style w:type="paragraph" w:styleId="TOC1">
    <w:name w:val="toc 1"/>
    <w:basedOn w:val="Normal"/>
    <w:next w:val="Normal"/>
    <w:autoRedefine/>
    <w:uiPriority w:val="39"/>
    <w:unhideWhenUsed/>
    <w:rsid w:val="008C6FE1"/>
    <w:pPr>
      <w:tabs>
        <w:tab w:val="left" w:pos="442"/>
        <w:tab w:val="right" w:leader="dot" w:pos="9070"/>
      </w:tabs>
      <w:spacing w:line="360" w:lineRule="auto"/>
      <w:jc w:val="both"/>
    </w:pPr>
    <w:rPr>
      <w:rFonts w:ascii="Cambria" w:hAnsi="Cambria"/>
      <w:sz w:val="24"/>
      <w:lang w:val="en-US"/>
    </w:rPr>
  </w:style>
  <w:style w:type="paragraph" w:styleId="TOC3">
    <w:name w:val="toc 3"/>
    <w:basedOn w:val="Normal"/>
    <w:next w:val="Normal"/>
    <w:autoRedefine/>
    <w:uiPriority w:val="39"/>
    <w:unhideWhenUsed/>
    <w:rsid w:val="00EA592C"/>
    <w:pPr>
      <w:spacing w:line="360" w:lineRule="auto"/>
      <w:ind w:left="442"/>
    </w:pPr>
    <w:rPr>
      <w:rFonts w:ascii="Times New Roman" w:hAnsi="Times New Roman"/>
      <w:lang w:val="en-US"/>
    </w:rPr>
  </w:style>
  <w:style w:type="paragraph" w:styleId="TOC4">
    <w:name w:val="toc 4"/>
    <w:basedOn w:val="Normal"/>
    <w:next w:val="Normal"/>
    <w:autoRedefine/>
    <w:uiPriority w:val="39"/>
    <w:unhideWhenUsed/>
    <w:rsid w:val="00EA592C"/>
    <w:pPr>
      <w:spacing w:line="360" w:lineRule="auto"/>
      <w:ind w:left="658"/>
    </w:pPr>
    <w:rPr>
      <w:rFonts w:ascii="Times New Roman" w:hAnsi="Times New Roman"/>
      <w:sz w:val="24"/>
      <w:lang w:val="en-US"/>
    </w:rPr>
  </w:style>
  <w:style w:type="paragraph" w:styleId="BalloonText">
    <w:name w:val="Balloon Text"/>
    <w:basedOn w:val="Normal"/>
    <w:link w:val="BalloonTextChar"/>
    <w:uiPriority w:val="99"/>
    <w:semiHidden/>
    <w:unhideWhenUsed/>
    <w:rsid w:val="00EA592C"/>
    <w:rPr>
      <w:rFonts w:ascii="Segoe UI" w:hAnsi="Segoe UI" w:cs="Segoe UI"/>
      <w:sz w:val="18"/>
      <w:szCs w:val="18"/>
      <w:lang w:val="en-US"/>
    </w:rPr>
  </w:style>
  <w:style w:type="character" w:customStyle="1" w:styleId="BalloonTextChar">
    <w:name w:val="Balloon Text Char"/>
    <w:basedOn w:val="DefaultParagraphFont"/>
    <w:link w:val="BalloonText"/>
    <w:uiPriority w:val="99"/>
    <w:semiHidden/>
    <w:rsid w:val="00EA592C"/>
    <w:rPr>
      <w:rFonts w:ascii="Segoe UI" w:hAnsi="Segoe UI" w:cs="Segoe UI"/>
      <w:sz w:val="18"/>
      <w:szCs w:val="18"/>
      <w:lang w:val="en-US"/>
    </w:rPr>
  </w:style>
  <w:style w:type="character" w:customStyle="1" w:styleId="Heading3Char">
    <w:name w:val="Heading 3 Char"/>
    <w:basedOn w:val="DefaultParagraphFont"/>
    <w:link w:val="Heading3"/>
    <w:rsid w:val="00CB0212"/>
    <w:rPr>
      <w:rFonts w:ascii="Times New Roman" w:eastAsia="Times New Roman" w:hAnsi="Times New Roman" w:cs="Times New Roman"/>
      <w:b/>
      <w:sz w:val="24"/>
      <w:szCs w:val="24"/>
    </w:rPr>
  </w:style>
  <w:style w:type="character" w:styleId="CommentReference">
    <w:name w:val="annotation reference"/>
    <w:basedOn w:val="DefaultParagraphFont"/>
    <w:uiPriority w:val="99"/>
    <w:semiHidden/>
    <w:unhideWhenUsed/>
    <w:rsid w:val="00EA592C"/>
    <w:rPr>
      <w:sz w:val="16"/>
      <w:szCs w:val="16"/>
    </w:rPr>
  </w:style>
  <w:style w:type="paragraph" w:styleId="CommentText">
    <w:name w:val="annotation text"/>
    <w:basedOn w:val="Normal"/>
    <w:link w:val="CommentTextChar"/>
    <w:uiPriority w:val="99"/>
    <w:semiHidden/>
    <w:unhideWhenUsed/>
    <w:rsid w:val="00EA592C"/>
    <w:pPr>
      <w:spacing w:after="200"/>
    </w:pPr>
    <w:rPr>
      <w:sz w:val="20"/>
      <w:szCs w:val="20"/>
      <w:lang w:val="en-US"/>
    </w:rPr>
  </w:style>
  <w:style w:type="character" w:customStyle="1" w:styleId="CommentTextChar">
    <w:name w:val="Comment Text Char"/>
    <w:basedOn w:val="DefaultParagraphFont"/>
    <w:link w:val="CommentText"/>
    <w:uiPriority w:val="99"/>
    <w:semiHidden/>
    <w:rsid w:val="00EA592C"/>
    <w:rPr>
      <w:sz w:val="20"/>
      <w:szCs w:val="20"/>
      <w:lang w:val="en-US"/>
    </w:rPr>
  </w:style>
  <w:style w:type="paragraph" w:styleId="CommentSubject">
    <w:name w:val="annotation subject"/>
    <w:basedOn w:val="CommentText"/>
    <w:next w:val="CommentText"/>
    <w:link w:val="CommentSubjectChar"/>
    <w:uiPriority w:val="99"/>
    <w:semiHidden/>
    <w:unhideWhenUsed/>
    <w:rsid w:val="00EA592C"/>
    <w:rPr>
      <w:b/>
      <w:bCs/>
    </w:rPr>
  </w:style>
  <w:style w:type="character" w:customStyle="1" w:styleId="CommentSubjectChar">
    <w:name w:val="Comment Subject Char"/>
    <w:basedOn w:val="CommentTextChar"/>
    <w:link w:val="CommentSubject"/>
    <w:uiPriority w:val="99"/>
    <w:semiHidden/>
    <w:rsid w:val="00EA592C"/>
    <w:rPr>
      <w:b/>
      <w:bCs/>
      <w:sz w:val="20"/>
      <w:szCs w:val="20"/>
      <w:lang w:val="en-US"/>
    </w:rPr>
  </w:style>
  <w:style w:type="paragraph" w:styleId="BodyText3">
    <w:name w:val="Body Text 3"/>
    <w:basedOn w:val="Normal"/>
    <w:link w:val="BodyText3Char"/>
    <w:rsid w:val="00EA592C"/>
    <w:pPr>
      <w:jc w:val="both"/>
    </w:pPr>
    <w:rPr>
      <w:rFonts w:ascii="Arial" w:eastAsia="Times New Roman" w:hAnsi="Arial" w:cs="Arial"/>
      <w:sz w:val="24"/>
      <w:szCs w:val="20"/>
      <w:lang w:eastAsia="ro-RO"/>
    </w:rPr>
  </w:style>
  <w:style w:type="character" w:customStyle="1" w:styleId="BodyText3Char">
    <w:name w:val="Body Text 3 Char"/>
    <w:basedOn w:val="DefaultParagraphFont"/>
    <w:link w:val="BodyText3"/>
    <w:rsid w:val="00EA592C"/>
    <w:rPr>
      <w:rFonts w:ascii="Arial" w:eastAsia="Times New Roman" w:hAnsi="Arial" w:cs="Arial"/>
      <w:sz w:val="24"/>
      <w:szCs w:val="20"/>
      <w:lang w:eastAsia="ro-RO"/>
    </w:rPr>
  </w:style>
  <w:style w:type="table" w:customStyle="1" w:styleId="TableGrid1">
    <w:name w:val="Table Grid1"/>
    <w:basedOn w:val="TableNormal"/>
    <w:next w:val="TableGrid"/>
    <w:uiPriority w:val="59"/>
    <w:rsid w:val="00EA592C"/>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rsid w:val="00EA592C"/>
    <w:rPr>
      <w:rFonts w:ascii="Cambria" w:eastAsia="Times New Roman" w:hAnsi="Cambria" w:cs="Times New Roman"/>
      <w:i/>
      <w:iCs/>
      <w:color w:val="365F91"/>
    </w:rPr>
  </w:style>
  <w:style w:type="table" w:customStyle="1" w:styleId="TableGrid2">
    <w:name w:val="Table Grid2"/>
    <w:basedOn w:val="TableNormal"/>
    <w:next w:val="TableGrid"/>
    <w:uiPriority w:val="59"/>
    <w:rsid w:val="00EA592C"/>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EA592C"/>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EA592C"/>
    <w:rPr>
      <w:color w:val="808080"/>
    </w:rPr>
  </w:style>
  <w:style w:type="paragraph" w:customStyle="1" w:styleId="TableofFigures1">
    <w:name w:val="Table of Figures1"/>
    <w:basedOn w:val="Normal"/>
    <w:next w:val="Normal"/>
    <w:uiPriority w:val="99"/>
    <w:unhideWhenUsed/>
    <w:rsid w:val="00EA592C"/>
    <w:pPr>
      <w:spacing w:line="276" w:lineRule="auto"/>
    </w:pPr>
    <w:rPr>
      <w:lang w:val="en-US"/>
    </w:rPr>
  </w:style>
  <w:style w:type="character" w:styleId="Hyperlink">
    <w:name w:val="Hyperlink"/>
    <w:basedOn w:val="DefaultParagraphFont"/>
    <w:uiPriority w:val="99"/>
    <w:unhideWhenUsed/>
    <w:rsid w:val="00EA592C"/>
    <w:rPr>
      <w:color w:val="0563C1" w:themeColor="hyperlink"/>
      <w:u w:val="single"/>
    </w:rPr>
  </w:style>
  <w:style w:type="character" w:styleId="FollowedHyperlink">
    <w:name w:val="FollowedHyperlink"/>
    <w:basedOn w:val="DefaultParagraphFont"/>
    <w:uiPriority w:val="99"/>
    <w:semiHidden/>
    <w:unhideWhenUsed/>
    <w:rsid w:val="00EA592C"/>
    <w:rPr>
      <w:color w:val="954F72" w:themeColor="followedHyperlink"/>
      <w:u w:val="single"/>
    </w:rPr>
  </w:style>
  <w:style w:type="character" w:customStyle="1" w:styleId="Heading3Char1">
    <w:name w:val="Heading 3 Char1"/>
    <w:basedOn w:val="DefaultParagraphFont"/>
    <w:uiPriority w:val="9"/>
    <w:semiHidden/>
    <w:rsid w:val="00EA592C"/>
    <w:rPr>
      <w:rFonts w:asciiTheme="majorHAnsi" w:eastAsiaTheme="majorEastAsia" w:hAnsiTheme="majorHAnsi" w:cstheme="majorBidi"/>
      <w:color w:val="1F4D78" w:themeColor="accent1" w:themeShade="7F"/>
      <w:sz w:val="24"/>
      <w:szCs w:val="24"/>
    </w:rPr>
  </w:style>
  <w:style w:type="character" w:customStyle="1" w:styleId="Heading4Char1">
    <w:name w:val="Heading 4 Char1"/>
    <w:basedOn w:val="DefaultParagraphFont"/>
    <w:uiPriority w:val="9"/>
    <w:semiHidden/>
    <w:rsid w:val="00EA592C"/>
    <w:rPr>
      <w:rFonts w:asciiTheme="majorHAnsi" w:eastAsiaTheme="majorEastAsia" w:hAnsiTheme="majorHAnsi" w:cstheme="majorBidi"/>
      <w:i/>
      <w:iCs/>
      <w:color w:val="2E74B5" w:themeColor="accent1" w:themeShade="BF"/>
    </w:rPr>
  </w:style>
  <w:style w:type="table" w:customStyle="1" w:styleId="TableGrid4">
    <w:name w:val="Table Grid4"/>
    <w:basedOn w:val="TableNormal"/>
    <w:next w:val="TableGrid"/>
    <w:uiPriority w:val="59"/>
    <w:rsid w:val="002D6B1F"/>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2D6B1F"/>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semiHidden/>
    <w:unhideWhenUsed/>
    <w:rsid w:val="00770930"/>
    <w:pPr>
      <w:spacing w:after="120"/>
    </w:pPr>
  </w:style>
  <w:style w:type="character" w:customStyle="1" w:styleId="BodyTextChar">
    <w:name w:val="Body Text Char"/>
    <w:basedOn w:val="DefaultParagraphFont"/>
    <w:link w:val="BodyText"/>
    <w:uiPriority w:val="99"/>
    <w:semiHidden/>
    <w:rsid w:val="00770930"/>
  </w:style>
  <w:style w:type="table" w:customStyle="1" w:styleId="TableGrid6">
    <w:name w:val="Table Grid6"/>
    <w:basedOn w:val="TableNormal"/>
    <w:next w:val="TableGrid"/>
    <w:uiPriority w:val="59"/>
    <w:rsid w:val="00770930"/>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770930"/>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770930"/>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5C483D"/>
  </w:style>
  <w:style w:type="table" w:customStyle="1" w:styleId="TableGrid7">
    <w:name w:val="Table Grid7"/>
    <w:basedOn w:val="TableNormal"/>
    <w:next w:val="TableGrid"/>
    <w:uiPriority w:val="59"/>
    <w:rsid w:val="005C483D"/>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5C483D"/>
  </w:style>
  <w:style w:type="table" w:customStyle="1" w:styleId="TableGrid13">
    <w:name w:val="Table Grid13"/>
    <w:basedOn w:val="TableNormal"/>
    <w:next w:val="TableGrid"/>
    <w:uiPriority w:val="59"/>
    <w:rsid w:val="005C483D"/>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5C483D"/>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5C483D"/>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5C483D"/>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5C483D"/>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5C483D"/>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59"/>
    <w:rsid w:val="005C483D"/>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59"/>
    <w:rsid w:val="005C483D"/>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5C483D"/>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5C483D"/>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rsid w:val="001F2C0A"/>
  </w:style>
  <w:style w:type="paragraph" w:styleId="TOCHeading">
    <w:name w:val="TOC Heading"/>
    <w:basedOn w:val="Heading1"/>
    <w:next w:val="Normal"/>
    <w:uiPriority w:val="39"/>
    <w:unhideWhenUsed/>
    <w:qFormat/>
    <w:rsid w:val="001F2C0A"/>
    <w:pPr>
      <w:spacing w:line="259" w:lineRule="auto"/>
      <w:jc w:val="left"/>
      <w:outlineLvl w:val="9"/>
    </w:pPr>
    <w:rPr>
      <w:rFonts w:asciiTheme="majorHAnsi" w:hAnsiTheme="majorHAnsi"/>
      <w:b w:val="0"/>
      <w:color w:val="2E74B5" w:themeColor="accent1" w:themeShade="BF"/>
      <w:sz w:val="32"/>
      <w:lang w:val="en-US"/>
    </w:rPr>
  </w:style>
  <w:style w:type="character" w:customStyle="1" w:styleId="Heading5Char">
    <w:name w:val="Heading 5 Char"/>
    <w:basedOn w:val="DefaultParagraphFont"/>
    <w:link w:val="Heading5"/>
    <w:rsid w:val="00764B7D"/>
    <w:rPr>
      <w:rFonts w:ascii="Lucida Sans Unicode" w:eastAsia="Times New Roman" w:hAnsi="Lucida Sans Unicode" w:cs="Times New Roman"/>
      <w:b/>
      <w:bCs/>
      <w:i/>
      <w:iCs/>
      <w:sz w:val="26"/>
      <w:szCs w:val="26"/>
    </w:rPr>
  </w:style>
  <w:style w:type="character" w:customStyle="1" w:styleId="Heading6Char">
    <w:name w:val="Heading 6 Char"/>
    <w:basedOn w:val="DefaultParagraphFont"/>
    <w:link w:val="Heading6"/>
    <w:rsid w:val="00764B7D"/>
    <w:rPr>
      <w:rFonts w:ascii="Lucida Sans Unicode" w:eastAsia="Times New Roman" w:hAnsi="Lucida Sans Unicode" w:cs="Times New Roman"/>
      <w:b/>
      <w:bCs/>
    </w:rPr>
  </w:style>
  <w:style w:type="character" w:customStyle="1" w:styleId="Heading7Char">
    <w:name w:val="Heading 7 Char"/>
    <w:basedOn w:val="DefaultParagraphFont"/>
    <w:link w:val="Heading7"/>
    <w:rsid w:val="00764B7D"/>
    <w:rPr>
      <w:rFonts w:eastAsia="Times New Roman" w:cs="Times New Roman"/>
      <w:sz w:val="24"/>
      <w:szCs w:val="24"/>
    </w:rPr>
  </w:style>
  <w:style w:type="character" w:customStyle="1" w:styleId="Heading8Char">
    <w:name w:val="Heading 8 Char"/>
    <w:basedOn w:val="DefaultParagraphFont"/>
    <w:link w:val="Heading8"/>
    <w:rsid w:val="00764B7D"/>
    <w:rPr>
      <w:rFonts w:ascii="Lucida Sans Unicode" w:eastAsia="Times New Roman" w:hAnsi="Lucida Sans Unicode" w:cs="Times New Roman"/>
      <w:i/>
      <w:iCs/>
      <w:sz w:val="24"/>
      <w:szCs w:val="24"/>
    </w:rPr>
  </w:style>
  <w:style w:type="character" w:customStyle="1" w:styleId="Heading9Char">
    <w:name w:val="Heading 9 Char"/>
    <w:basedOn w:val="DefaultParagraphFont"/>
    <w:link w:val="Heading9"/>
    <w:rsid w:val="00764B7D"/>
    <w:rPr>
      <w:rFonts w:ascii="Arial" w:eastAsia="Times New Roman" w:hAnsi="Arial" w:cs="Times New Roman"/>
    </w:rPr>
  </w:style>
  <w:style w:type="paragraph" w:customStyle="1" w:styleId="Default">
    <w:name w:val="Default"/>
    <w:rsid w:val="00764B7D"/>
    <w:pPr>
      <w:autoSpaceDE w:val="0"/>
      <w:autoSpaceDN w:val="0"/>
      <w:adjustRightInd w:val="0"/>
    </w:pPr>
    <w:rPr>
      <w:rFonts w:ascii="Times New Roman" w:hAnsi="Times New Roman" w:cs="Times New Roman"/>
      <w:color w:val="000000"/>
      <w:sz w:val="24"/>
      <w:szCs w:val="24"/>
    </w:rPr>
  </w:style>
  <w:style w:type="numbering" w:customStyle="1" w:styleId="NoList3">
    <w:name w:val="No List3"/>
    <w:next w:val="NoList"/>
    <w:uiPriority w:val="99"/>
    <w:semiHidden/>
    <w:unhideWhenUsed/>
    <w:rsid w:val="00764B7D"/>
  </w:style>
  <w:style w:type="table" w:customStyle="1" w:styleId="TableGrid10">
    <w:name w:val="Table Grid10"/>
    <w:basedOn w:val="TableNormal"/>
    <w:next w:val="TableGrid"/>
    <w:uiPriority w:val="59"/>
    <w:rsid w:val="00764B7D"/>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764B7D"/>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764B7D"/>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uiPriority w:val="99"/>
    <w:semiHidden/>
    <w:unhideWhenUsed/>
    <w:rsid w:val="00764B7D"/>
  </w:style>
  <w:style w:type="table" w:customStyle="1" w:styleId="TableGrid71">
    <w:name w:val="Table Grid71"/>
    <w:basedOn w:val="TableNormal"/>
    <w:next w:val="TableGrid"/>
    <w:uiPriority w:val="59"/>
    <w:rsid w:val="00764B7D"/>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
    <w:name w:val="No List111"/>
    <w:next w:val="NoList"/>
    <w:uiPriority w:val="99"/>
    <w:semiHidden/>
    <w:unhideWhenUsed/>
    <w:rsid w:val="00764B7D"/>
  </w:style>
  <w:style w:type="table" w:customStyle="1" w:styleId="TableGrid211">
    <w:name w:val="Table Grid211"/>
    <w:basedOn w:val="TableNormal"/>
    <w:next w:val="TableGrid"/>
    <w:uiPriority w:val="59"/>
    <w:rsid w:val="00764B7D"/>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59"/>
    <w:rsid w:val="00764B7D"/>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59"/>
    <w:rsid w:val="00764B7D"/>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59"/>
    <w:rsid w:val="00764B7D"/>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764B7D"/>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59"/>
    <w:rsid w:val="00764B7D"/>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764B7D"/>
  </w:style>
  <w:style w:type="paragraph" w:customStyle="1" w:styleId="Pa11">
    <w:name w:val="Pa11"/>
    <w:basedOn w:val="Normal"/>
    <w:next w:val="Normal"/>
    <w:uiPriority w:val="99"/>
    <w:rsid w:val="00764B7D"/>
    <w:pPr>
      <w:autoSpaceDE w:val="0"/>
      <w:autoSpaceDN w:val="0"/>
      <w:adjustRightInd w:val="0"/>
      <w:spacing w:line="197" w:lineRule="atLeast"/>
    </w:pPr>
    <w:rPr>
      <w:rFonts w:ascii="BMFChange" w:eastAsia="Calibri" w:hAnsi="BMFChange" w:cs="Times New Roman"/>
      <w:sz w:val="24"/>
      <w:szCs w:val="24"/>
    </w:rPr>
  </w:style>
  <w:style w:type="character" w:customStyle="1" w:styleId="Bodytext275ptBold">
    <w:name w:val="Body text (2) + 7;5 pt;Bold"/>
    <w:basedOn w:val="DefaultParagraphFont"/>
    <w:rsid w:val="00764B7D"/>
    <w:rPr>
      <w:rFonts w:ascii="Arial" w:eastAsia="Arial" w:hAnsi="Arial" w:cs="Arial"/>
      <w:b/>
      <w:bCs/>
      <w:color w:val="000000"/>
      <w:spacing w:val="0"/>
      <w:w w:val="100"/>
      <w:position w:val="0"/>
      <w:sz w:val="15"/>
      <w:szCs w:val="15"/>
      <w:shd w:val="clear" w:color="auto" w:fill="FFFFFF"/>
      <w:lang w:val="ro-RO" w:eastAsia="ro-RO" w:bidi="ro-RO"/>
    </w:rPr>
  </w:style>
  <w:style w:type="character" w:customStyle="1" w:styleId="Bodytext2">
    <w:name w:val="Body text (2)_"/>
    <w:basedOn w:val="DefaultParagraphFont"/>
    <w:link w:val="Bodytext20"/>
    <w:rsid w:val="00764B7D"/>
    <w:rPr>
      <w:rFonts w:ascii="Arial" w:eastAsia="Arial" w:hAnsi="Arial" w:cs="Arial"/>
      <w:shd w:val="clear" w:color="auto" w:fill="FFFFFF"/>
    </w:rPr>
  </w:style>
  <w:style w:type="paragraph" w:customStyle="1" w:styleId="Bodytext20">
    <w:name w:val="Body text (2)"/>
    <w:basedOn w:val="Normal"/>
    <w:link w:val="Bodytext2"/>
    <w:rsid w:val="00764B7D"/>
    <w:pPr>
      <w:widowControl w:val="0"/>
      <w:shd w:val="clear" w:color="auto" w:fill="FFFFFF"/>
      <w:spacing w:line="288" w:lineRule="exact"/>
      <w:ind w:hanging="420"/>
    </w:pPr>
    <w:rPr>
      <w:rFonts w:ascii="Arial" w:eastAsia="Arial" w:hAnsi="Arial" w:cs="Arial"/>
    </w:rPr>
  </w:style>
  <w:style w:type="character" w:customStyle="1" w:styleId="A2">
    <w:name w:val="A2"/>
    <w:uiPriority w:val="99"/>
    <w:rsid w:val="00764B7D"/>
    <w:rPr>
      <w:rFonts w:cs="BMFChange"/>
      <w:b/>
      <w:bCs/>
      <w:color w:val="000000"/>
      <w:sz w:val="20"/>
      <w:szCs w:val="20"/>
    </w:rPr>
  </w:style>
  <w:style w:type="character" w:customStyle="1" w:styleId="slitbdy">
    <w:name w:val="s_lit_bdy"/>
    <w:basedOn w:val="DefaultParagraphFont"/>
    <w:rsid w:val="00764B7D"/>
  </w:style>
  <w:style w:type="character" w:customStyle="1" w:styleId="Bodytext2Bold">
    <w:name w:val="Body text (2) + Bold"/>
    <w:basedOn w:val="Bodytext2"/>
    <w:rsid w:val="00764B7D"/>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o-RO" w:eastAsia="ro-RO" w:bidi="ro-RO"/>
    </w:rPr>
  </w:style>
  <w:style w:type="character" w:customStyle="1" w:styleId="Bodytext6">
    <w:name w:val="Body text (6)_"/>
    <w:basedOn w:val="DefaultParagraphFont"/>
    <w:link w:val="Bodytext60"/>
    <w:rsid w:val="00764B7D"/>
    <w:rPr>
      <w:rFonts w:ascii="Times New Roman" w:eastAsia="Times New Roman" w:hAnsi="Times New Roman" w:cs="Times New Roman"/>
      <w:i/>
      <w:iCs/>
      <w:shd w:val="clear" w:color="auto" w:fill="FFFFFF"/>
    </w:rPr>
  </w:style>
  <w:style w:type="paragraph" w:customStyle="1" w:styleId="Bodytext60">
    <w:name w:val="Body text (6)"/>
    <w:basedOn w:val="Normal"/>
    <w:link w:val="Bodytext6"/>
    <w:rsid w:val="00764B7D"/>
    <w:pPr>
      <w:widowControl w:val="0"/>
      <w:shd w:val="clear" w:color="auto" w:fill="FFFFFF"/>
      <w:spacing w:line="259" w:lineRule="exact"/>
      <w:jc w:val="both"/>
    </w:pPr>
    <w:rPr>
      <w:rFonts w:ascii="Times New Roman" w:eastAsia="Times New Roman" w:hAnsi="Times New Roman" w:cs="Times New Roman"/>
      <w:i/>
      <w:iCs/>
    </w:rPr>
  </w:style>
  <w:style w:type="character" w:customStyle="1" w:styleId="Bodytext2Candara95ptBold">
    <w:name w:val="Body text (2) + Candara;9;5 pt;Bold"/>
    <w:basedOn w:val="Bodytext2"/>
    <w:rsid w:val="00764B7D"/>
    <w:rPr>
      <w:rFonts w:ascii="Candara" w:eastAsia="Candara" w:hAnsi="Candara" w:cs="Candara"/>
      <w:b/>
      <w:bCs/>
      <w:i w:val="0"/>
      <w:iCs w:val="0"/>
      <w:smallCaps w:val="0"/>
      <w:strike w:val="0"/>
      <w:color w:val="000000"/>
      <w:spacing w:val="0"/>
      <w:w w:val="100"/>
      <w:position w:val="0"/>
      <w:sz w:val="19"/>
      <w:szCs w:val="19"/>
      <w:u w:val="none"/>
      <w:shd w:val="clear" w:color="auto" w:fill="FFFFFF"/>
      <w:lang w:val="ro-RO" w:eastAsia="ro-RO" w:bidi="ro-RO"/>
    </w:rPr>
  </w:style>
  <w:style w:type="character" w:customStyle="1" w:styleId="Bodytext27pt">
    <w:name w:val="Body text (2) + 7 pt"/>
    <w:basedOn w:val="Bodytext2"/>
    <w:rsid w:val="00764B7D"/>
    <w:rPr>
      <w:rFonts w:ascii="Times New Roman" w:eastAsia="Times New Roman" w:hAnsi="Times New Roman" w:cs="Times New Roman"/>
      <w:b w:val="0"/>
      <w:bCs w:val="0"/>
      <w:i w:val="0"/>
      <w:iCs w:val="0"/>
      <w:smallCaps w:val="0"/>
      <w:strike w:val="0"/>
      <w:color w:val="000000"/>
      <w:spacing w:val="0"/>
      <w:w w:val="100"/>
      <w:position w:val="0"/>
      <w:sz w:val="14"/>
      <w:szCs w:val="14"/>
      <w:u w:val="none"/>
      <w:shd w:val="clear" w:color="auto" w:fill="FFFFFF"/>
      <w:lang w:val="ro-RO" w:eastAsia="ro-RO" w:bidi="ro-RO"/>
    </w:rPr>
  </w:style>
  <w:style w:type="paragraph" w:customStyle="1" w:styleId="Heading11">
    <w:name w:val="Heading 11"/>
    <w:basedOn w:val="Normal"/>
    <w:next w:val="Normal"/>
    <w:qFormat/>
    <w:rsid w:val="00764B7D"/>
    <w:pPr>
      <w:keepNext/>
      <w:tabs>
        <w:tab w:val="num" w:pos="1174"/>
      </w:tabs>
      <w:spacing w:line="360" w:lineRule="auto"/>
      <w:ind w:left="1174" w:hanging="454"/>
      <w:outlineLvl w:val="0"/>
    </w:pPr>
    <w:rPr>
      <w:rFonts w:ascii="PT Sans" w:eastAsia="Times New Roman" w:hAnsi="PT Sans" w:cs="Times New Roman"/>
      <w:b/>
      <w:bCs/>
      <w:caps/>
      <w:kern w:val="32"/>
      <w:sz w:val="24"/>
      <w:szCs w:val="32"/>
    </w:rPr>
  </w:style>
  <w:style w:type="paragraph" w:customStyle="1" w:styleId="Heading71">
    <w:name w:val="Heading 71"/>
    <w:basedOn w:val="Normal"/>
    <w:next w:val="Normal"/>
    <w:qFormat/>
    <w:rsid w:val="00764B7D"/>
    <w:pPr>
      <w:tabs>
        <w:tab w:val="num" w:pos="360"/>
      </w:tabs>
      <w:spacing w:before="240" w:after="60"/>
      <w:outlineLvl w:val="6"/>
    </w:pPr>
    <w:rPr>
      <w:rFonts w:ascii="Lucida Sans Unicode" w:eastAsia="Times New Roman" w:hAnsi="Lucida Sans Unicode"/>
      <w:sz w:val="24"/>
      <w:szCs w:val="24"/>
    </w:rPr>
  </w:style>
  <w:style w:type="numbering" w:customStyle="1" w:styleId="NoList12">
    <w:name w:val="No List12"/>
    <w:next w:val="NoList"/>
    <w:uiPriority w:val="99"/>
    <w:semiHidden/>
    <w:unhideWhenUsed/>
    <w:rsid w:val="00764B7D"/>
  </w:style>
  <w:style w:type="paragraph" w:customStyle="1" w:styleId="Titlu71">
    <w:name w:val="Titlu 71"/>
    <w:basedOn w:val="Normal"/>
    <w:next w:val="Normal"/>
    <w:uiPriority w:val="9"/>
    <w:semiHidden/>
    <w:unhideWhenUsed/>
    <w:rsid w:val="00764B7D"/>
    <w:pPr>
      <w:keepNext/>
      <w:keepLines/>
      <w:spacing w:before="200"/>
      <w:ind w:left="-108"/>
      <w:outlineLvl w:val="6"/>
    </w:pPr>
    <w:rPr>
      <w:rFonts w:ascii="Cambria" w:eastAsia="Times New Roman" w:hAnsi="Cambria" w:cs="Lucida Sans Unicode"/>
      <w:i/>
      <w:iCs/>
      <w:color w:val="404040"/>
      <w:sz w:val="24"/>
      <w:szCs w:val="24"/>
    </w:rPr>
  </w:style>
  <w:style w:type="character" w:styleId="Strong">
    <w:name w:val="Strong"/>
    <w:qFormat/>
    <w:rsid w:val="00764B7D"/>
    <w:rPr>
      <w:b/>
      <w:bCs/>
    </w:rPr>
  </w:style>
  <w:style w:type="character" w:customStyle="1" w:styleId="Heading1Char1">
    <w:name w:val="Heading 1 Char1"/>
    <w:basedOn w:val="DefaultParagraphFont"/>
    <w:uiPriority w:val="9"/>
    <w:rsid w:val="00764B7D"/>
    <w:rPr>
      <w:rFonts w:asciiTheme="majorHAnsi" w:eastAsiaTheme="majorEastAsia" w:hAnsiTheme="majorHAnsi" w:cstheme="majorBidi"/>
      <w:color w:val="2E74B5" w:themeColor="accent1" w:themeShade="BF"/>
      <w:sz w:val="32"/>
      <w:szCs w:val="32"/>
      <w:lang w:val="en-US"/>
    </w:rPr>
  </w:style>
  <w:style w:type="paragraph" w:customStyle="1" w:styleId="Titlutabel">
    <w:name w:val="Titlu tabel"/>
    <w:basedOn w:val="Normal"/>
    <w:next w:val="Normal"/>
    <w:rsid w:val="00764B7D"/>
    <w:pPr>
      <w:numPr>
        <w:numId w:val="16"/>
      </w:numPr>
      <w:tabs>
        <w:tab w:val="left" w:pos="1077"/>
      </w:tabs>
      <w:spacing w:before="240" w:after="120"/>
    </w:pPr>
    <w:rPr>
      <w:rFonts w:ascii="Lucida Sans Unicode" w:eastAsia="Calibri" w:hAnsi="Lucida Sans Unicode" w:cs="Lucida Sans Unicode"/>
      <w:sz w:val="24"/>
      <w:szCs w:val="24"/>
    </w:rPr>
  </w:style>
  <w:style w:type="paragraph" w:customStyle="1" w:styleId="Titlufigura">
    <w:name w:val="Titlu figura"/>
    <w:basedOn w:val="Normal"/>
    <w:next w:val="Normal"/>
    <w:rsid w:val="00764B7D"/>
    <w:pPr>
      <w:numPr>
        <w:numId w:val="17"/>
      </w:numPr>
      <w:tabs>
        <w:tab w:val="left" w:pos="1077"/>
      </w:tabs>
      <w:spacing w:before="240" w:after="120"/>
    </w:pPr>
    <w:rPr>
      <w:rFonts w:ascii="Lucida Sans Unicode" w:eastAsia="Calibri" w:hAnsi="Lucida Sans Unicode" w:cs="Lucida Sans Unicode"/>
      <w:sz w:val="24"/>
      <w:szCs w:val="24"/>
    </w:rPr>
  </w:style>
  <w:style w:type="paragraph" w:customStyle="1" w:styleId="Textnormal">
    <w:name w:val="Text normal"/>
    <w:link w:val="TextnormalChar"/>
    <w:autoRedefine/>
    <w:qFormat/>
    <w:rsid w:val="00764B7D"/>
    <w:pPr>
      <w:tabs>
        <w:tab w:val="left" w:pos="7965"/>
      </w:tabs>
      <w:spacing w:after="120" w:line="276" w:lineRule="auto"/>
      <w:ind w:right="113"/>
      <w:jc w:val="both"/>
    </w:pPr>
    <w:rPr>
      <w:rFonts w:ascii="Century Gothic" w:eastAsia="Calibri" w:hAnsi="Century Gothic" w:cs="Times New Roman"/>
      <w:lang w:val="it-IT" w:bidi="pa-IN"/>
    </w:rPr>
  </w:style>
  <w:style w:type="character" w:customStyle="1" w:styleId="TextnormalChar">
    <w:name w:val="Text normal Char"/>
    <w:link w:val="Textnormal"/>
    <w:rsid w:val="00764B7D"/>
    <w:rPr>
      <w:rFonts w:ascii="Century Gothic" w:eastAsia="Calibri" w:hAnsi="Century Gothic" w:cs="Times New Roman"/>
      <w:lang w:val="it-IT" w:bidi="pa-IN"/>
    </w:rPr>
  </w:style>
  <w:style w:type="paragraph" w:styleId="Title">
    <w:name w:val="Title"/>
    <w:basedOn w:val="Normal"/>
    <w:link w:val="TitleChar"/>
    <w:qFormat/>
    <w:rsid w:val="00764B7D"/>
    <w:pPr>
      <w:spacing w:line="240" w:lineRule="atLeast"/>
      <w:jc w:val="center"/>
    </w:pPr>
    <w:rPr>
      <w:rFonts w:ascii="Arial" w:eastAsia="Times New Roman" w:hAnsi="Arial" w:cs="Times New Roman"/>
      <w:b/>
      <w:sz w:val="24"/>
      <w:szCs w:val="20"/>
      <w:lang w:val="en-GB"/>
    </w:rPr>
  </w:style>
  <w:style w:type="character" w:customStyle="1" w:styleId="TitleChar">
    <w:name w:val="Title Char"/>
    <w:basedOn w:val="DefaultParagraphFont"/>
    <w:link w:val="Title"/>
    <w:rsid w:val="00764B7D"/>
    <w:rPr>
      <w:rFonts w:ascii="Arial" w:eastAsia="Times New Roman" w:hAnsi="Arial" w:cs="Times New Roman"/>
      <w:b/>
      <w:sz w:val="24"/>
      <w:szCs w:val="20"/>
      <w:lang w:val="en-GB"/>
    </w:rPr>
  </w:style>
  <w:style w:type="paragraph" w:styleId="Subtitle">
    <w:name w:val="Subtitle"/>
    <w:basedOn w:val="Normal"/>
    <w:link w:val="SubtitleChar"/>
    <w:qFormat/>
    <w:rsid w:val="00764B7D"/>
    <w:pPr>
      <w:jc w:val="both"/>
    </w:pPr>
    <w:rPr>
      <w:rFonts w:ascii="AvantGarde Bk BT" w:eastAsia="Times New Roman" w:hAnsi="AvantGarde Bk BT" w:cs="Times New Roman"/>
      <w:sz w:val="32"/>
      <w:szCs w:val="20"/>
      <w:lang w:val="en-AU" w:eastAsia="ro-RO"/>
    </w:rPr>
  </w:style>
  <w:style w:type="character" w:customStyle="1" w:styleId="SubtitleChar">
    <w:name w:val="Subtitle Char"/>
    <w:basedOn w:val="DefaultParagraphFont"/>
    <w:link w:val="Subtitle"/>
    <w:rsid w:val="00764B7D"/>
    <w:rPr>
      <w:rFonts w:ascii="AvantGarde Bk BT" w:eastAsia="Times New Roman" w:hAnsi="AvantGarde Bk BT" w:cs="Times New Roman"/>
      <w:sz w:val="32"/>
      <w:szCs w:val="20"/>
      <w:lang w:val="en-AU" w:eastAsia="ro-RO"/>
    </w:rPr>
  </w:style>
  <w:style w:type="character" w:styleId="Emphasis">
    <w:name w:val="Emphasis"/>
    <w:uiPriority w:val="20"/>
    <w:qFormat/>
    <w:rsid w:val="00764B7D"/>
    <w:rPr>
      <w:b/>
      <w:i/>
      <w:iCs/>
    </w:rPr>
  </w:style>
  <w:style w:type="paragraph" w:styleId="NoSpacing">
    <w:name w:val="No Spacing"/>
    <w:link w:val="NoSpacingChar"/>
    <w:uiPriority w:val="1"/>
    <w:qFormat/>
    <w:rsid w:val="00764B7D"/>
    <w:rPr>
      <w:rFonts w:ascii="Calibri" w:eastAsia="Times New Roman" w:hAnsi="Calibri" w:cs="Lucida Sans Unicode"/>
      <w:lang w:val="en-US"/>
    </w:rPr>
  </w:style>
  <w:style w:type="character" w:customStyle="1" w:styleId="NoSpacingChar">
    <w:name w:val="No Spacing Char"/>
    <w:link w:val="NoSpacing"/>
    <w:uiPriority w:val="1"/>
    <w:rsid w:val="00764B7D"/>
    <w:rPr>
      <w:rFonts w:ascii="Calibri" w:eastAsia="Times New Roman" w:hAnsi="Calibri" w:cs="Lucida Sans Unicode"/>
      <w:lang w:val="en-US"/>
    </w:rPr>
  </w:style>
  <w:style w:type="table" w:customStyle="1" w:styleId="TableGrid15">
    <w:name w:val="Table Grid15"/>
    <w:basedOn w:val="TableNormal"/>
    <w:next w:val="TableGrid"/>
    <w:uiPriority w:val="59"/>
    <w:locked/>
    <w:rsid w:val="00764B7D"/>
    <w:rPr>
      <w:rFonts w:ascii="Lucida Sans Unicode" w:eastAsia="Calibri" w:hAnsi="Lucida Sans Unicode" w:cs="Lucida Sans Unicode"/>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31">
    <w:name w:val="Pa31"/>
    <w:basedOn w:val="Normal"/>
    <w:next w:val="Normal"/>
    <w:uiPriority w:val="99"/>
    <w:rsid w:val="00764B7D"/>
    <w:pPr>
      <w:autoSpaceDE w:val="0"/>
      <w:autoSpaceDN w:val="0"/>
      <w:adjustRightInd w:val="0"/>
      <w:spacing w:line="197" w:lineRule="atLeast"/>
    </w:pPr>
    <w:rPr>
      <w:rFonts w:ascii="BMFChange" w:eastAsia="Calibri" w:hAnsi="BMFChange" w:cs="Times New Roman"/>
      <w:sz w:val="24"/>
      <w:szCs w:val="24"/>
    </w:rPr>
  </w:style>
  <w:style w:type="character" w:customStyle="1" w:styleId="Heading7Char1">
    <w:name w:val="Heading 7 Char1"/>
    <w:basedOn w:val="DefaultParagraphFont"/>
    <w:uiPriority w:val="9"/>
    <w:semiHidden/>
    <w:rsid w:val="00764B7D"/>
    <w:rPr>
      <w:rFonts w:asciiTheme="majorHAnsi" w:eastAsiaTheme="majorEastAsia" w:hAnsiTheme="majorHAnsi" w:cstheme="majorBidi"/>
      <w:i/>
      <w:iCs/>
      <w:color w:val="1F4D78" w:themeColor="accent1" w:themeShade="7F"/>
      <w:lang w:val="en-US"/>
    </w:rPr>
  </w:style>
  <w:style w:type="paragraph" w:styleId="FootnoteText">
    <w:name w:val="footnote text"/>
    <w:basedOn w:val="Normal"/>
    <w:link w:val="FootnoteTextChar"/>
    <w:uiPriority w:val="99"/>
    <w:semiHidden/>
    <w:unhideWhenUsed/>
    <w:rsid w:val="00764B7D"/>
    <w:rPr>
      <w:sz w:val="20"/>
      <w:szCs w:val="20"/>
      <w:lang w:val="en-US"/>
    </w:rPr>
  </w:style>
  <w:style w:type="character" w:customStyle="1" w:styleId="FootnoteTextChar">
    <w:name w:val="Footnote Text Char"/>
    <w:basedOn w:val="DefaultParagraphFont"/>
    <w:link w:val="FootnoteText"/>
    <w:uiPriority w:val="99"/>
    <w:semiHidden/>
    <w:rsid w:val="00764B7D"/>
    <w:rPr>
      <w:sz w:val="20"/>
      <w:szCs w:val="20"/>
      <w:lang w:val="en-US"/>
    </w:rPr>
  </w:style>
  <w:style w:type="character" w:styleId="FootnoteReference">
    <w:name w:val="footnote reference"/>
    <w:basedOn w:val="DefaultParagraphFont"/>
    <w:uiPriority w:val="99"/>
    <w:semiHidden/>
    <w:unhideWhenUsed/>
    <w:rsid w:val="00764B7D"/>
    <w:rPr>
      <w:vertAlign w:val="superscript"/>
    </w:rPr>
  </w:style>
  <w:style w:type="table" w:customStyle="1" w:styleId="TableGrid16">
    <w:name w:val="Table Grid16"/>
    <w:basedOn w:val="TableNormal"/>
    <w:next w:val="TableGrid"/>
    <w:uiPriority w:val="59"/>
    <w:rsid w:val="006B5361"/>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next w:val="TableGrid"/>
    <w:uiPriority w:val="59"/>
    <w:rsid w:val="001C1A15"/>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59"/>
    <w:rsid w:val="00403E61"/>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98139A"/>
    <w:rPr>
      <w:rFonts w:ascii="Times New Roman" w:hAnsi="Times New Roman" w:cs="Times New Roman"/>
      <w:sz w:val="24"/>
      <w:szCs w:val="24"/>
    </w:rPr>
  </w:style>
  <w:style w:type="table" w:customStyle="1" w:styleId="TableGrid18">
    <w:name w:val="Table Grid18"/>
    <w:basedOn w:val="TableNormal"/>
    <w:next w:val="TableGrid"/>
    <w:uiPriority w:val="59"/>
    <w:rsid w:val="00A936B0"/>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next w:val="TableGrid"/>
    <w:uiPriority w:val="59"/>
    <w:rsid w:val="00F80FFA"/>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59"/>
    <w:rsid w:val="0049631C"/>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
    <w:name w:val="Table Grid134"/>
    <w:basedOn w:val="TableNormal"/>
    <w:next w:val="TableGrid"/>
    <w:uiPriority w:val="59"/>
    <w:rsid w:val="00620362"/>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A76D63"/>
  </w:style>
  <w:style w:type="table" w:customStyle="1" w:styleId="TableGrid92">
    <w:name w:val="Table Grid92"/>
    <w:basedOn w:val="TableNormal"/>
    <w:next w:val="TableGrid"/>
    <w:uiPriority w:val="59"/>
    <w:rsid w:val="00A76D63"/>
    <w:rPr>
      <w:rFonts w:ascii="Lucida Sans Unicode" w:eastAsia="Calibri" w:hAnsi="Lucida Sans Unicode" w:cs="Lucida Sans Unicode"/>
      <w:sz w:val="20"/>
      <w:szCs w:val="20"/>
      <w:lang w:val="en-GB"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59"/>
    <w:rsid w:val="00A76D63"/>
    <w:rPr>
      <w:rFonts w:ascii="Calibri" w:eastAsia="Calibri"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
    <w:name w:val="No List13"/>
    <w:next w:val="NoList"/>
    <w:uiPriority w:val="99"/>
    <w:semiHidden/>
    <w:unhideWhenUsed/>
    <w:rsid w:val="00A76D63"/>
  </w:style>
  <w:style w:type="table" w:customStyle="1" w:styleId="TableGrid110">
    <w:name w:val="Table Grid110"/>
    <w:basedOn w:val="TableNormal"/>
    <w:next w:val="TableGrid"/>
    <w:uiPriority w:val="59"/>
    <w:rsid w:val="00A76D63"/>
    <w:rPr>
      <w:rFonts w:ascii="Calibri" w:eastAsia="Times New Roman" w:hAnsi="Calibri" w:cs="Times New Roman"/>
      <w:sz w:val="20"/>
      <w:szCs w:val="20"/>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59"/>
    <w:rsid w:val="00A76D63"/>
    <w:rPr>
      <w:rFonts w:ascii="Calibri" w:eastAsia="Times New Roman" w:hAnsi="Calibri" w:cs="Times New Roman"/>
      <w:sz w:val="20"/>
      <w:szCs w:val="20"/>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A76D63"/>
    <w:rPr>
      <w:rFonts w:ascii="Calibri" w:eastAsia="Calibri"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A76D63"/>
    <w:rPr>
      <w:rFonts w:ascii="Calibri" w:eastAsia="Times New Roman" w:hAnsi="Calibri" w:cs="Times New Roman"/>
      <w:sz w:val="20"/>
      <w:szCs w:val="20"/>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59"/>
    <w:rsid w:val="00A76D63"/>
    <w:rPr>
      <w:rFonts w:ascii="Calibri" w:eastAsia="Calibri" w:hAnsi="Calibri" w:cs="Times New Roman"/>
      <w:sz w:val="20"/>
      <w:szCs w:val="20"/>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59"/>
    <w:rsid w:val="00A76D63"/>
    <w:pPr>
      <w:jc w:val="both"/>
    </w:pPr>
    <w:rPr>
      <w:rFonts w:ascii="Calibri" w:eastAsia="Calibri" w:hAnsi="Calibri" w:cs="Times New Roman"/>
      <w:sz w:val="20"/>
      <w:szCs w:val="20"/>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next w:val="TableGrid"/>
    <w:uiPriority w:val="59"/>
    <w:rsid w:val="00A76D63"/>
    <w:rPr>
      <w:rFonts w:ascii="Calibri" w:eastAsia="Calibri" w:hAnsi="Calibri" w:cs="Times New Roman"/>
      <w:sz w:val="20"/>
      <w:szCs w:val="20"/>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semiHidden/>
    <w:unhideWhenUsed/>
    <w:rsid w:val="00A76D63"/>
    <w:rPr>
      <w:rFonts w:ascii="Calibri" w:eastAsia="Calibri" w:hAnsi="Calibri" w:cs="Times New Roman"/>
      <w:sz w:val="20"/>
      <w:szCs w:val="20"/>
      <w:lang w:val="en-US"/>
    </w:rPr>
  </w:style>
  <w:style w:type="character" w:customStyle="1" w:styleId="EndnoteTextChar">
    <w:name w:val="Endnote Text Char"/>
    <w:basedOn w:val="DefaultParagraphFont"/>
    <w:link w:val="EndnoteText"/>
    <w:uiPriority w:val="99"/>
    <w:semiHidden/>
    <w:rsid w:val="00A76D63"/>
    <w:rPr>
      <w:rFonts w:ascii="Calibri" w:eastAsia="Calibri" w:hAnsi="Calibri" w:cs="Times New Roman"/>
      <w:sz w:val="20"/>
      <w:szCs w:val="20"/>
      <w:lang w:val="en-US"/>
    </w:rPr>
  </w:style>
  <w:style w:type="character" w:styleId="EndnoteReference">
    <w:name w:val="endnote reference"/>
    <w:uiPriority w:val="99"/>
    <w:semiHidden/>
    <w:unhideWhenUsed/>
    <w:rsid w:val="00A76D63"/>
    <w:rPr>
      <w:vertAlign w:val="superscript"/>
    </w:rPr>
  </w:style>
  <w:style w:type="character" w:customStyle="1" w:styleId="hps">
    <w:name w:val="hps"/>
    <w:basedOn w:val="DefaultParagraphFont"/>
    <w:rsid w:val="00A76D63"/>
  </w:style>
  <w:style w:type="character" w:customStyle="1" w:styleId="A12">
    <w:name w:val="A12"/>
    <w:uiPriority w:val="99"/>
    <w:rsid w:val="00A76D63"/>
    <w:rPr>
      <w:rFonts w:cs="Myriad Pro"/>
      <w:color w:val="000000"/>
      <w:sz w:val="11"/>
      <w:szCs w:val="11"/>
    </w:rPr>
  </w:style>
  <w:style w:type="paragraph" w:styleId="HTMLPreformatted">
    <w:name w:val="HTML Preformatted"/>
    <w:basedOn w:val="Normal"/>
    <w:link w:val="HTMLPreformattedChar"/>
    <w:uiPriority w:val="99"/>
    <w:semiHidden/>
    <w:unhideWhenUsed/>
    <w:rsid w:val="00A76D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Times New Roman"/>
      <w:sz w:val="20"/>
      <w:szCs w:val="20"/>
      <w:lang w:eastAsia="ro-RO"/>
    </w:rPr>
  </w:style>
  <w:style w:type="character" w:customStyle="1" w:styleId="HTMLPreformattedChar">
    <w:name w:val="HTML Preformatted Char"/>
    <w:basedOn w:val="DefaultParagraphFont"/>
    <w:link w:val="HTMLPreformatted"/>
    <w:uiPriority w:val="99"/>
    <w:semiHidden/>
    <w:rsid w:val="00A76D63"/>
    <w:rPr>
      <w:rFonts w:ascii="Courier New" w:eastAsia="Times New Roman" w:hAnsi="Courier New" w:cs="Times New Roman"/>
      <w:sz w:val="20"/>
      <w:szCs w:val="20"/>
      <w:lang w:eastAsia="ro-RO"/>
    </w:rPr>
  </w:style>
  <w:style w:type="table" w:customStyle="1" w:styleId="TableGrid421">
    <w:name w:val="Table Grid421"/>
    <w:basedOn w:val="TableNormal"/>
    <w:next w:val="TableGrid"/>
    <w:uiPriority w:val="59"/>
    <w:rsid w:val="00A76D63"/>
    <w:rPr>
      <w:rFonts w:ascii="Calibri" w:eastAsia="Calibri" w:hAnsi="Calibri" w:cs="Times New Roman"/>
      <w:sz w:val="20"/>
      <w:szCs w:val="20"/>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uiPriority w:val="59"/>
    <w:rsid w:val="00A76D63"/>
    <w:rPr>
      <w:rFonts w:ascii="Calibri" w:eastAsia="Calibri" w:hAnsi="Calibri" w:cs="Times New Roman"/>
      <w:sz w:val="20"/>
      <w:szCs w:val="20"/>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next w:val="TableGrid"/>
    <w:uiPriority w:val="59"/>
    <w:rsid w:val="00A76D63"/>
    <w:rPr>
      <w:rFonts w:ascii="Calibri" w:eastAsia="Calibri" w:hAnsi="Calibri" w:cs="Times New Roman"/>
      <w:sz w:val="20"/>
      <w:szCs w:val="20"/>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
    <w:name w:val="No List112"/>
    <w:next w:val="NoList"/>
    <w:uiPriority w:val="99"/>
    <w:semiHidden/>
    <w:unhideWhenUsed/>
    <w:rsid w:val="00A76D63"/>
  </w:style>
  <w:style w:type="table" w:customStyle="1" w:styleId="TableGrid101">
    <w:name w:val="Table Grid101"/>
    <w:basedOn w:val="TableNormal"/>
    <w:next w:val="TableGrid"/>
    <w:uiPriority w:val="59"/>
    <w:rsid w:val="00A76D63"/>
    <w:rPr>
      <w:rFonts w:ascii="Lucida Sans Unicode" w:eastAsia="Calibri" w:hAnsi="Lucida Sans Unicode" w:cs="Lucida Sans Unicode"/>
      <w:sz w:val="20"/>
      <w:szCs w:val="20"/>
      <w:lang w:val="en-GB"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rsid w:val="00A76D63"/>
  </w:style>
  <w:style w:type="numbering" w:customStyle="1" w:styleId="NoList22">
    <w:name w:val="No List22"/>
    <w:next w:val="NoList"/>
    <w:uiPriority w:val="99"/>
    <w:semiHidden/>
    <w:unhideWhenUsed/>
    <w:rsid w:val="00A76D63"/>
  </w:style>
  <w:style w:type="table" w:customStyle="1" w:styleId="TableGrid131">
    <w:name w:val="Table Grid131"/>
    <w:basedOn w:val="TableNormal"/>
    <w:next w:val="TableGrid"/>
    <w:uiPriority w:val="59"/>
    <w:rsid w:val="00A76D63"/>
    <w:rPr>
      <w:rFonts w:ascii="Calibri" w:eastAsia="Times New Roman" w:hAnsi="Calibri" w:cs="Times New Roman"/>
      <w:sz w:val="20"/>
      <w:szCs w:val="20"/>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next w:val="TableGrid"/>
    <w:uiPriority w:val="59"/>
    <w:rsid w:val="00A76D63"/>
    <w:rPr>
      <w:rFonts w:ascii="Calibri" w:eastAsia="Times New Roman" w:hAnsi="Calibri" w:cs="Times New Roman"/>
      <w:sz w:val="20"/>
      <w:szCs w:val="20"/>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59"/>
    <w:rsid w:val="00A76D63"/>
    <w:rPr>
      <w:rFonts w:ascii="Calibri" w:eastAsia="Times New Roman" w:hAnsi="Calibri" w:cs="Times New Roman"/>
      <w:sz w:val="20"/>
      <w:szCs w:val="20"/>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
    <w:name w:val="No List121"/>
    <w:next w:val="NoList"/>
    <w:uiPriority w:val="99"/>
    <w:semiHidden/>
    <w:unhideWhenUsed/>
    <w:rsid w:val="00A76D63"/>
  </w:style>
  <w:style w:type="numbering" w:customStyle="1" w:styleId="NoList31">
    <w:name w:val="No List31"/>
    <w:next w:val="NoList"/>
    <w:uiPriority w:val="99"/>
    <w:semiHidden/>
    <w:unhideWhenUsed/>
    <w:rsid w:val="00A76D63"/>
  </w:style>
  <w:style w:type="table" w:customStyle="1" w:styleId="TableGrid141">
    <w:name w:val="Table Grid141"/>
    <w:basedOn w:val="TableNormal"/>
    <w:next w:val="TableGrid"/>
    <w:uiPriority w:val="59"/>
    <w:rsid w:val="00A76D63"/>
    <w:rPr>
      <w:rFonts w:ascii="Calibri" w:eastAsia="Times New Roman" w:hAnsi="Calibri" w:cs="Times New Roman"/>
      <w:sz w:val="20"/>
      <w:szCs w:val="20"/>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next w:val="TableGrid"/>
    <w:uiPriority w:val="59"/>
    <w:rsid w:val="00A76D63"/>
    <w:rPr>
      <w:rFonts w:ascii="Calibri" w:eastAsia="Times New Roman" w:hAnsi="Calibri" w:cs="Times New Roman"/>
      <w:sz w:val="20"/>
      <w:szCs w:val="20"/>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next w:val="TableGrid"/>
    <w:uiPriority w:val="59"/>
    <w:rsid w:val="00A76D63"/>
    <w:rPr>
      <w:rFonts w:ascii="Calibri" w:eastAsia="Times New Roman" w:hAnsi="Calibri" w:cs="Times New Roman"/>
      <w:sz w:val="20"/>
      <w:szCs w:val="20"/>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
    <w:name w:val="No List131"/>
    <w:next w:val="NoList"/>
    <w:uiPriority w:val="99"/>
    <w:semiHidden/>
    <w:unhideWhenUsed/>
    <w:rsid w:val="00A76D63"/>
  </w:style>
  <w:style w:type="character" w:customStyle="1" w:styleId="Bodytext27">
    <w:name w:val="Body text (2) + 7"/>
    <w:aliases w:val="5 pt,Bold"/>
    <w:rsid w:val="00A76D63"/>
    <w:rPr>
      <w:rFonts w:ascii="Arial" w:eastAsia="Arial" w:hAnsi="Arial" w:cs="Arial" w:hint="default"/>
      <w:b/>
      <w:bCs/>
      <w:color w:val="000000"/>
      <w:spacing w:val="0"/>
      <w:w w:val="100"/>
      <w:position w:val="0"/>
      <w:sz w:val="15"/>
      <w:szCs w:val="15"/>
      <w:shd w:val="clear" w:color="auto" w:fill="FFFFFF"/>
      <w:lang w:val="ro-RO" w:eastAsia="ro-RO" w:bidi="ro-RO"/>
    </w:rPr>
  </w:style>
  <w:style w:type="table" w:customStyle="1" w:styleId="TableGrid1311">
    <w:name w:val="Table Grid1311"/>
    <w:basedOn w:val="TableNormal"/>
    <w:next w:val="TableGrid"/>
    <w:uiPriority w:val="59"/>
    <w:rsid w:val="00A76D63"/>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
    <w:name w:val="Table Grid1411"/>
    <w:basedOn w:val="TableNormal"/>
    <w:next w:val="TableGrid"/>
    <w:uiPriority w:val="59"/>
    <w:rsid w:val="00A76D63"/>
    <w:rPr>
      <w:rFonts w:ascii="Calibri" w:eastAsia="Calibri" w:hAnsi="Calibri" w:cs="Times New Roman"/>
      <w:sz w:val="20"/>
      <w:szCs w:val="20"/>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next w:val="TableGrid"/>
    <w:uiPriority w:val="59"/>
    <w:rsid w:val="00A76D63"/>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
    <w:name w:val="No List41"/>
    <w:next w:val="NoList"/>
    <w:uiPriority w:val="99"/>
    <w:semiHidden/>
    <w:unhideWhenUsed/>
    <w:rsid w:val="00A76D63"/>
  </w:style>
  <w:style w:type="table" w:customStyle="1" w:styleId="TableGrid152">
    <w:name w:val="Table Grid152"/>
    <w:basedOn w:val="TableNormal"/>
    <w:next w:val="TableGrid"/>
    <w:uiPriority w:val="59"/>
    <w:rsid w:val="00A76D63"/>
    <w:rPr>
      <w:rFonts w:ascii="Calibri" w:eastAsia="Times New Roman" w:hAnsi="Calibri" w:cs="Times New Roman"/>
      <w:sz w:val="20"/>
      <w:szCs w:val="20"/>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next w:val="TableGrid"/>
    <w:uiPriority w:val="59"/>
    <w:rsid w:val="00A76D63"/>
    <w:rPr>
      <w:rFonts w:ascii="Calibri" w:eastAsia="Times New Roman" w:hAnsi="Calibri" w:cs="Times New Roman"/>
      <w:sz w:val="20"/>
      <w:szCs w:val="20"/>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next w:val="TableGrid"/>
    <w:uiPriority w:val="59"/>
    <w:rsid w:val="00A76D63"/>
    <w:rPr>
      <w:rFonts w:ascii="Calibri" w:eastAsia="Times New Roman" w:hAnsi="Calibri" w:cs="Times New Roman"/>
      <w:sz w:val="20"/>
      <w:szCs w:val="20"/>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NoList"/>
    <w:uiPriority w:val="99"/>
    <w:semiHidden/>
    <w:unhideWhenUsed/>
    <w:rsid w:val="00A76D63"/>
  </w:style>
  <w:style w:type="table" w:customStyle="1" w:styleId="TableGrid132">
    <w:name w:val="Table Grid132"/>
    <w:basedOn w:val="TableNormal"/>
    <w:next w:val="TableGrid"/>
    <w:uiPriority w:val="59"/>
    <w:rsid w:val="00A76D63"/>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next w:val="TableGrid"/>
    <w:uiPriority w:val="59"/>
    <w:rsid w:val="00A76D63"/>
    <w:rPr>
      <w:rFonts w:ascii="Calibri" w:eastAsia="Calibri" w:hAnsi="Calibri" w:cs="Times New Roman"/>
      <w:sz w:val="20"/>
      <w:szCs w:val="20"/>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
    <w:name w:val="No List211"/>
    <w:next w:val="NoList"/>
    <w:uiPriority w:val="99"/>
    <w:semiHidden/>
    <w:unhideWhenUsed/>
    <w:rsid w:val="00A76D63"/>
  </w:style>
  <w:style w:type="numbering" w:customStyle="1" w:styleId="NoList1111">
    <w:name w:val="No List1111"/>
    <w:next w:val="NoList"/>
    <w:uiPriority w:val="99"/>
    <w:semiHidden/>
    <w:unhideWhenUsed/>
    <w:rsid w:val="00A76D63"/>
  </w:style>
  <w:style w:type="table" w:customStyle="1" w:styleId="TableGrid1511">
    <w:name w:val="Table Grid1511"/>
    <w:basedOn w:val="TableNormal"/>
    <w:next w:val="TableGrid"/>
    <w:uiPriority w:val="59"/>
    <w:rsid w:val="00A76D63"/>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next w:val="TableGrid"/>
    <w:uiPriority w:val="59"/>
    <w:rsid w:val="00A76D63"/>
    <w:rPr>
      <w:rFonts w:ascii="Calibri" w:eastAsia="Times New Roman" w:hAnsi="Calibri" w:cs="Times New Roman"/>
      <w:sz w:val="20"/>
      <w:szCs w:val="20"/>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next w:val="TableGrid"/>
    <w:uiPriority w:val="59"/>
    <w:rsid w:val="00A76D63"/>
    <w:rPr>
      <w:rFonts w:ascii="Calibri" w:eastAsia="Calibri" w:hAnsi="Calibri" w:cs="Times New Roman"/>
      <w:sz w:val="20"/>
      <w:szCs w:val="20"/>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next w:val="TableGrid"/>
    <w:uiPriority w:val="59"/>
    <w:rsid w:val="00A76D63"/>
    <w:rPr>
      <w:rFonts w:ascii="Calibri" w:eastAsia="Calibri" w:hAnsi="Calibri" w:cs="Times New Roman"/>
      <w:sz w:val="20"/>
      <w:szCs w:val="20"/>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next w:val="TableGrid"/>
    <w:uiPriority w:val="59"/>
    <w:rsid w:val="00A76D63"/>
    <w:rPr>
      <w:rFonts w:ascii="Calibri" w:eastAsia="Calibri" w:hAnsi="Calibri" w:cs="Times New Roman"/>
      <w:sz w:val="20"/>
      <w:szCs w:val="20"/>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1">
    <w:name w:val="No List2111"/>
    <w:next w:val="NoList"/>
    <w:uiPriority w:val="99"/>
    <w:semiHidden/>
    <w:unhideWhenUsed/>
    <w:rsid w:val="00A76D63"/>
  </w:style>
  <w:style w:type="numbering" w:customStyle="1" w:styleId="NoList311">
    <w:name w:val="No List311"/>
    <w:next w:val="NoList"/>
    <w:uiPriority w:val="99"/>
    <w:semiHidden/>
    <w:unhideWhenUsed/>
    <w:rsid w:val="00A76D63"/>
  </w:style>
  <w:style w:type="table" w:customStyle="1" w:styleId="TableGrid1011">
    <w:name w:val="Table Grid1011"/>
    <w:basedOn w:val="TableNormal"/>
    <w:next w:val="TableGrid"/>
    <w:uiPriority w:val="59"/>
    <w:rsid w:val="00A76D63"/>
    <w:rPr>
      <w:rFonts w:ascii="Calibri" w:eastAsia="Calibri" w:hAnsi="Calibri" w:cs="Times New Roman"/>
      <w:sz w:val="20"/>
      <w:szCs w:val="20"/>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
    <w:name w:val="No List11111"/>
    <w:next w:val="NoList"/>
    <w:uiPriority w:val="99"/>
    <w:semiHidden/>
    <w:unhideWhenUsed/>
    <w:rsid w:val="00A76D63"/>
  </w:style>
  <w:style w:type="table" w:customStyle="1" w:styleId="TableGrid321">
    <w:name w:val="Table Grid321"/>
    <w:basedOn w:val="TableNormal"/>
    <w:next w:val="TableGrid"/>
    <w:uiPriority w:val="59"/>
    <w:rsid w:val="00A76D63"/>
    <w:rPr>
      <w:rFonts w:ascii="Calibri" w:eastAsia="Times New Roman" w:hAnsi="Calibri" w:cs="Times New Roman"/>
      <w:sz w:val="20"/>
      <w:szCs w:val="20"/>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next w:val="TableGrid"/>
    <w:uiPriority w:val="59"/>
    <w:rsid w:val="00A76D63"/>
    <w:rPr>
      <w:rFonts w:ascii="Calibri" w:eastAsia="Calibri" w:hAnsi="Calibri" w:cs="Times New Roman"/>
      <w:sz w:val="20"/>
      <w:szCs w:val="20"/>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11">
    <w:name w:val="No List21111"/>
    <w:next w:val="NoList"/>
    <w:uiPriority w:val="99"/>
    <w:semiHidden/>
    <w:unhideWhenUsed/>
    <w:rsid w:val="00A76D63"/>
  </w:style>
  <w:style w:type="table" w:customStyle="1" w:styleId="TableGrid711">
    <w:name w:val="Table Grid711"/>
    <w:basedOn w:val="TableNormal"/>
    <w:next w:val="TableGrid"/>
    <w:uiPriority w:val="59"/>
    <w:rsid w:val="00A76D63"/>
    <w:rPr>
      <w:rFonts w:ascii="Calibri" w:eastAsia="Calibri" w:hAnsi="Calibri" w:cs="Times New Roman"/>
      <w:sz w:val="20"/>
      <w:szCs w:val="20"/>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1">
    <w:name w:val="No List111111"/>
    <w:next w:val="NoList"/>
    <w:uiPriority w:val="99"/>
    <w:semiHidden/>
    <w:unhideWhenUsed/>
    <w:rsid w:val="00A76D63"/>
  </w:style>
  <w:style w:type="table" w:customStyle="1" w:styleId="TableGrid2111">
    <w:name w:val="Table Grid2111"/>
    <w:basedOn w:val="TableNormal"/>
    <w:next w:val="TableGrid"/>
    <w:uiPriority w:val="59"/>
    <w:rsid w:val="00A76D63"/>
    <w:rPr>
      <w:rFonts w:ascii="Calibri" w:eastAsia="Times New Roman" w:hAnsi="Calibri" w:cs="Times New Roman"/>
      <w:sz w:val="20"/>
      <w:szCs w:val="20"/>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next w:val="TableGrid"/>
    <w:uiPriority w:val="59"/>
    <w:rsid w:val="00A76D63"/>
    <w:rPr>
      <w:rFonts w:ascii="Calibri" w:eastAsia="Times New Roman" w:hAnsi="Calibri" w:cs="Times New Roman"/>
      <w:sz w:val="20"/>
      <w:szCs w:val="20"/>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
    <w:name w:val="Table Grid811"/>
    <w:basedOn w:val="TableNormal"/>
    <w:next w:val="TableGrid"/>
    <w:uiPriority w:val="59"/>
    <w:rsid w:val="00A76D63"/>
    <w:rPr>
      <w:rFonts w:ascii="Calibri" w:eastAsia="Calibri" w:hAnsi="Calibri" w:cs="Times New Roman"/>
      <w:sz w:val="20"/>
      <w:szCs w:val="20"/>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1">
    <w:name w:val="Table Grid14111"/>
    <w:basedOn w:val="TableNormal"/>
    <w:next w:val="TableGrid"/>
    <w:uiPriority w:val="59"/>
    <w:rsid w:val="00A76D63"/>
    <w:rPr>
      <w:rFonts w:ascii="Calibri" w:eastAsia="Times New Roman" w:hAnsi="Calibri" w:cs="Times New Roman"/>
      <w:sz w:val="20"/>
      <w:szCs w:val="20"/>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
    <w:name w:val="No List411"/>
    <w:next w:val="NoList"/>
    <w:uiPriority w:val="99"/>
    <w:semiHidden/>
    <w:unhideWhenUsed/>
    <w:rsid w:val="00A76D63"/>
  </w:style>
  <w:style w:type="numbering" w:customStyle="1" w:styleId="NoList1211">
    <w:name w:val="No List1211"/>
    <w:next w:val="NoList"/>
    <w:uiPriority w:val="99"/>
    <w:semiHidden/>
    <w:unhideWhenUsed/>
    <w:rsid w:val="00A76D63"/>
  </w:style>
  <w:style w:type="table" w:customStyle="1" w:styleId="TableGrid15111">
    <w:name w:val="Table Grid15111"/>
    <w:basedOn w:val="TableNormal"/>
    <w:next w:val="TableGrid"/>
    <w:uiPriority w:val="59"/>
    <w:locked/>
    <w:rsid w:val="00A76D63"/>
    <w:rPr>
      <w:rFonts w:ascii="Lucida Sans Unicode" w:eastAsia="Calibri" w:hAnsi="Lucida Sans Unicode" w:cs="Lucida Sans Unicode"/>
      <w:sz w:val="20"/>
      <w:szCs w:val="20"/>
      <w:lang w:val="en-GB"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next w:val="TableGrid"/>
    <w:uiPriority w:val="59"/>
    <w:rsid w:val="00A76D63"/>
    <w:rPr>
      <w:rFonts w:ascii="Calibri" w:eastAsia="Times New Roman" w:hAnsi="Calibri" w:cs="Times New Roman"/>
      <w:sz w:val="20"/>
      <w:szCs w:val="20"/>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A76D63"/>
    <w:rPr>
      <w:rFonts w:ascii="Calibri" w:eastAsia="Calibri" w:hAnsi="Calibri" w:cs="Times New Roman"/>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next w:val="TableGrid"/>
    <w:uiPriority w:val="59"/>
    <w:rsid w:val="00A76D63"/>
    <w:rPr>
      <w:rFonts w:ascii="Calibri" w:eastAsia="Calibri" w:hAnsi="Calibri" w:cs="Times New Roman"/>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59"/>
    <w:rsid w:val="00A76D63"/>
    <w:rPr>
      <w:rFonts w:ascii="Calibri" w:eastAsia="Calibri" w:hAnsi="Calibri" w:cs="Times New Roman"/>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59"/>
    <w:rsid w:val="00A76D63"/>
    <w:rPr>
      <w:rFonts w:ascii="Calibri" w:eastAsia="Calibri" w:hAnsi="Calibri" w:cs="Times New Roman"/>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59"/>
    <w:rsid w:val="00A76D63"/>
    <w:rPr>
      <w:rFonts w:ascii="Calibri" w:eastAsia="Calibri" w:hAnsi="Calibri" w:cs="Times New Roman"/>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59"/>
    <w:rsid w:val="00A76D63"/>
    <w:rPr>
      <w:rFonts w:ascii="Calibri" w:eastAsia="Calibri" w:hAnsi="Calibri" w:cs="Times New Roman"/>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
    <w:name w:val="No List51"/>
    <w:next w:val="NoList"/>
    <w:uiPriority w:val="99"/>
    <w:semiHidden/>
    <w:unhideWhenUsed/>
    <w:rsid w:val="00A76D63"/>
  </w:style>
  <w:style w:type="table" w:customStyle="1" w:styleId="TableGrid28">
    <w:name w:val="Table Grid28"/>
    <w:basedOn w:val="TableNormal"/>
    <w:next w:val="TableGrid"/>
    <w:uiPriority w:val="3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next w:val="TableGrid"/>
    <w:uiPriority w:val="59"/>
    <w:rsid w:val="00A76D63"/>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59"/>
    <w:rsid w:val="00A76D63"/>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next w:val="TableGrid"/>
    <w:uiPriority w:val="39"/>
    <w:rsid w:val="00A76D63"/>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next w:val="TableGrid"/>
    <w:uiPriority w:val="59"/>
    <w:rsid w:val="00A76D63"/>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next w:val="TableGrid"/>
    <w:uiPriority w:val="59"/>
    <w:rsid w:val="00A76D63"/>
    <w:pPr>
      <w:jc w:val="both"/>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59"/>
    <w:rsid w:val="00A76D63"/>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275ptBold0">
    <w:name w:val="Body text (2) + 7.5 pt.Bold"/>
    <w:rsid w:val="00A76D63"/>
    <w:rPr>
      <w:rFonts w:ascii="Arial" w:eastAsia="Arial" w:hAnsi="Arial" w:cs="Arial"/>
      <w:b/>
      <w:bCs/>
      <w:color w:val="000000"/>
      <w:spacing w:val="0"/>
      <w:w w:val="100"/>
      <w:position w:val="0"/>
      <w:sz w:val="15"/>
      <w:szCs w:val="15"/>
      <w:shd w:val="clear" w:color="auto" w:fill="FFFFFF"/>
      <w:lang w:val="ro-RO" w:eastAsia="ro-RO" w:bidi="ro-RO"/>
    </w:rPr>
  </w:style>
  <w:style w:type="table" w:customStyle="1" w:styleId="TableGrid122">
    <w:name w:val="Table Grid122"/>
    <w:basedOn w:val="TableNormal"/>
    <w:next w:val="TableGrid"/>
    <w:uiPriority w:val="59"/>
    <w:rsid w:val="00A76D63"/>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
    <w:name w:val="No List15"/>
    <w:next w:val="NoList"/>
    <w:uiPriority w:val="99"/>
    <w:semiHidden/>
    <w:unhideWhenUsed/>
    <w:rsid w:val="00A76D63"/>
  </w:style>
  <w:style w:type="table" w:customStyle="1" w:styleId="TableGrid102">
    <w:name w:val="Table Grid102"/>
    <w:basedOn w:val="TableNormal"/>
    <w:next w:val="TableGrid"/>
    <w:uiPriority w:val="59"/>
    <w:rsid w:val="00A76D63"/>
    <w:rPr>
      <w:rFonts w:ascii="Lucida Sans Unicode" w:eastAsia="Calibri" w:hAnsi="Lucida Sans Unicode" w:cs="Lucida Sans Unicode"/>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
    <w:name w:val="Table Grid133"/>
    <w:basedOn w:val="TableNormal"/>
    <w:next w:val="TableGrid"/>
    <w:uiPriority w:val="59"/>
    <w:rsid w:val="00A76D63"/>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
    <w:name w:val="No List221"/>
    <w:next w:val="NoList"/>
    <w:uiPriority w:val="99"/>
    <w:semiHidden/>
    <w:unhideWhenUsed/>
    <w:rsid w:val="00A76D63"/>
  </w:style>
  <w:style w:type="numbering" w:customStyle="1" w:styleId="NoList1121">
    <w:name w:val="No List1121"/>
    <w:next w:val="NoList"/>
    <w:uiPriority w:val="99"/>
    <w:semiHidden/>
    <w:unhideWhenUsed/>
    <w:rsid w:val="00A76D63"/>
  </w:style>
  <w:style w:type="table" w:customStyle="1" w:styleId="TableGrid1521">
    <w:name w:val="Table Grid1521"/>
    <w:basedOn w:val="TableNormal"/>
    <w:next w:val="TableGrid"/>
    <w:uiPriority w:val="59"/>
    <w:rsid w:val="00A76D63"/>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next w:val="TableGrid"/>
    <w:uiPriority w:val="59"/>
    <w:rsid w:val="00A76D63"/>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
    <w:name w:val="Table Grid3121"/>
    <w:basedOn w:val="TableNormal"/>
    <w:next w:val="TableGrid"/>
    <w:uiPriority w:val="59"/>
    <w:rsid w:val="00A76D63"/>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2">
    <w:name w:val="Table Grid432"/>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
    <w:name w:val="No List212"/>
    <w:next w:val="NoList"/>
    <w:uiPriority w:val="99"/>
    <w:semiHidden/>
    <w:unhideWhenUsed/>
    <w:rsid w:val="00A76D63"/>
  </w:style>
  <w:style w:type="numbering" w:customStyle="1" w:styleId="NoList32">
    <w:name w:val="No List32"/>
    <w:next w:val="NoList"/>
    <w:uiPriority w:val="99"/>
    <w:semiHidden/>
    <w:unhideWhenUsed/>
    <w:rsid w:val="00A76D63"/>
  </w:style>
  <w:style w:type="table" w:customStyle="1" w:styleId="TableGrid10111">
    <w:name w:val="Table Grid10111"/>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
    <w:name w:val="No List1112"/>
    <w:next w:val="NoList"/>
    <w:uiPriority w:val="99"/>
    <w:semiHidden/>
    <w:unhideWhenUsed/>
    <w:rsid w:val="00A76D63"/>
  </w:style>
  <w:style w:type="table" w:customStyle="1" w:styleId="TableGrid2211">
    <w:name w:val="Table Grid2211"/>
    <w:basedOn w:val="TableNormal"/>
    <w:next w:val="TableGrid"/>
    <w:uiPriority w:val="59"/>
    <w:rsid w:val="00A76D63"/>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next w:val="TableGrid"/>
    <w:uiPriority w:val="59"/>
    <w:rsid w:val="00A76D63"/>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next w:val="TableGrid"/>
    <w:uiPriority w:val="59"/>
    <w:rsid w:val="00A76D63"/>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next w:val="TableGrid"/>
    <w:uiPriority w:val="59"/>
    <w:rsid w:val="00A76D63"/>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2">
    <w:name w:val="No List2112"/>
    <w:next w:val="NoList"/>
    <w:uiPriority w:val="99"/>
    <w:semiHidden/>
    <w:unhideWhenUsed/>
    <w:rsid w:val="00A76D63"/>
  </w:style>
  <w:style w:type="table" w:customStyle="1" w:styleId="TableGrid7111">
    <w:name w:val="Table Grid7111"/>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
    <w:name w:val="No List11112"/>
    <w:next w:val="NoList"/>
    <w:uiPriority w:val="99"/>
    <w:semiHidden/>
    <w:unhideWhenUsed/>
    <w:rsid w:val="00A76D63"/>
  </w:style>
  <w:style w:type="table" w:customStyle="1" w:styleId="TableGrid21111">
    <w:name w:val="Table Grid21111"/>
    <w:basedOn w:val="TableNormal"/>
    <w:next w:val="TableGrid"/>
    <w:uiPriority w:val="59"/>
    <w:rsid w:val="00A76D63"/>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
    <w:name w:val="Table Grid31111"/>
    <w:basedOn w:val="TableNormal"/>
    <w:next w:val="TableGrid"/>
    <w:uiPriority w:val="59"/>
    <w:rsid w:val="00A76D63"/>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
    <w:name w:val="Table Grid1412"/>
    <w:basedOn w:val="TableNormal"/>
    <w:next w:val="TableGrid"/>
    <w:uiPriority w:val="59"/>
    <w:rsid w:val="00A76D63"/>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
    <w:name w:val="Table Grid232"/>
    <w:basedOn w:val="TableNormal"/>
    <w:next w:val="TableGrid"/>
    <w:uiPriority w:val="59"/>
    <w:rsid w:val="00A76D63"/>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
    <w:name w:val="No List42"/>
    <w:next w:val="NoList"/>
    <w:uiPriority w:val="99"/>
    <w:semiHidden/>
    <w:unhideWhenUsed/>
    <w:rsid w:val="00A76D63"/>
  </w:style>
  <w:style w:type="character" w:customStyle="1" w:styleId="Bodytext2Candara95ptBold0">
    <w:name w:val="Body text (2) + Candara.9.5 pt.Bold"/>
    <w:rsid w:val="00A76D63"/>
    <w:rPr>
      <w:rFonts w:ascii="Candara" w:eastAsia="Candara" w:hAnsi="Candara" w:cs="Candara"/>
      <w:b/>
      <w:bCs/>
      <w:i w:val="0"/>
      <w:iCs w:val="0"/>
      <w:smallCaps w:val="0"/>
      <w:strike w:val="0"/>
      <w:color w:val="000000"/>
      <w:spacing w:val="0"/>
      <w:w w:val="100"/>
      <w:position w:val="0"/>
      <w:sz w:val="19"/>
      <w:szCs w:val="19"/>
      <w:u w:val="none"/>
      <w:shd w:val="clear" w:color="auto" w:fill="FFFFFF"/>
      <w:lang w:val="ro-RO" w:eastAsia="ro-RO" w:bidi="ro-RO"/>
    </w:rPr>
  </w:style>
  <w:style w:type="numbering" w:customStyle="1" w:styleId="NoList122">
    <w:name w:val="No List122"/>
    <w:next w:val="NoList"/>
    <w:uiPriority w:val="99"/>
    <w:semiHidden/>
    <w:unhideWhenUsed/>
    <w:rsid w:val="00A76D63"/>
  </w:style>
  <w:style w:type="table" w:customStyle="1" w:styleId="TableGrid1512">
    <w:name w:val="Table Grid1512"/>
    <w:basedOn w:val="TableNormal"/>
    <w:next w:val="TableGrid"/>
    <w:uiPriority w:val="59"/>
    <w:rsid w:val="00A76D63"/>
    <w:rPr>
      <w:rFonts w:ascii="Lucida Sans Unicode" w:eastAsia="Calibri" w:hAnsi="Lucida Sans Unicode" w:cs="Lucida Sans Unicode"/>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
    <w:name w:val="Table Grid1611"/>
    <w:basedOn w:val="TableNormal"/>
    <w:next w:val="TableGrid"/>
    <w:uiPriority w:val="59"/>
    <w:rsid w:val="00A76D63"/>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paragraf">
    <w:name w:val="Listă paragraf"/>
    <w:basedOn w:val="Normal"/>
    <w:uiPriority w:val="34"/>
    <w:qFormat/>
    <w:rsid w:val="00A76D63"/>
    <w:pPr>
      <w:spacing w:after="200" w:line="276" w:lineRule="auto"/>
      <w:ind w:left="720"/>
      <w:contextualSpacing/>
    </w:pPr>
    <w:rPr>
      <w:rFonts w:ascii="Calibri" w:eastAsia="Calibri" w:hAnsi="Calibri" w:cs="Times New Roman"/>
      <w:lang w:val="en-US"/>
    </w:rPr>
  </w:style>
  <w:style w:type="character" w:customStyle="1" w:styleId="apple-converted-space">
    <w:name w:val="apple-converted-space"/>
    <w:rsid w:val="00A76D63"/>
  </w:style>
  <w:style w:type="table" w:customStyle="1" w:styleId="TableGrid2411">
    <w:name w:val="Table Grid2411"/>
    <w:basedOn w:val="TableNormal"/>
    <w:next w:val="TableGrid"/>
    <w:uiPriority w:val="59"/>
    <w:rsid w:val="00A76D63"/>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1">
    <w:name w:val="Table Grid1341"/>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uiPriority w:val="99"/>
    <w:semiHidden/>
    <w:unhideWhenUsed/>
    <w:rsid w:val="00A76D63"/>
    <w:pPr>
      <w:spacing w:after="120" w:line="276" w:lineRule="auto"/>
      <w:ind w:left="283"/>
    </w:pPr>
    <w:rPr>
      <w:rFonts w:ascii="Calibri" w:eastAsia="Calibri" w:hAnsi="Calibri" w:cs="Times New Roman"/>
      <w:lang w:val="en-US"/>
    </w:rPr>
  </w:style>
  <w:style w:type="character" w:customStyle="1" w:styleId="BodyTextIndentChar">
    <w:name w:val="Body Text Indent Char"/>
    <w:basedOn w:val="DefaultParagraphFont"/>
    <w:link w:val="BodyTextIndent"/>
    <w:uiPriority w:val="99"/>
    <w:semiHidden/>
    <w:rsid w:val="00A76D63"/>
    <w:rPr>
      <w:rFonts w:ascii="Calibri" w:eastAsia="Calibri" w:hAnsi="Calibri" w:cs="Times New Roman"/>
      <w:lang w:val="en-US"/>
    </w:rPr>
  </w:style>
  <w:style w:type="table" w:customStyle="1" w:styleId="TableGrid30">
    <w:name w:val="Table Grid30"/>
    <w:basedOn w:val="TableNormal"/>
    <w:next w:val="TableGrid"/>
    <w:uiPriority w:val="3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4CaracterCaracterCharCharCaracterCaracter4">
    <w:name w:val="Char Char4 Caracter Caracter Char Char Caracter Caracter4"/>
    <w:basedOn w:val="Normal"/>
    <w:rsid w:val="00A76D63"/>
    <w:rPr>
      <w:rFonts w:ascii="Times New Roman" w:eastAsia="Times New Roman" w:hAnsi="Times New Roman" w:cs="Times New Roman"/>
      <w:sz w:val="24"/>
      <w:szCs w:val="24"/>
      <w:lang w:val="pl-PL" w:eastAsia="pl-PL"/>
    </w:rPr>
  </w:style>
  <w:style w:type="table" w:customStyle="1" w:styleId="TableGrid34">
    <w:name w:val="Table Grid34"/>
    <w:basedOn w:val="TableNormal"/>
    <w:next w:val="TableGrid"/>
    <w:uiPriority w:val="3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A76D63"/>
  </w:style>
  <w:style w:type="table" w:customStyle="1" w:styleId="TableGrid36">
    <w:name w:val="Table Grid36"/>
    <w:basedOn w:val="TableNormal"/>
    <w:next w:val="TableGrid"/>
    <w:uiPriority w:val="3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uiPriority w:val="59"/>
    <w:rsid w:val="00A76D63"/>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next w:val="TableGrid"/>
    <w:uiPriority w:val="59"/>
    <w:rsid w:val="00A76D63"/>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next w:val="TableGrid"/>
    <w:uiPriority w:val="39"/>
    <w:rsid w:val="00A76D63"/>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next w:val="TableGrid"/>
    <w:uiPriority w:val="59"/>
    <w:rsid w:val="00A76D63"/>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next w:val="TableGrid"/>
    <w:uiPriority w:val="59"/>
    <w:rsid w:val="00A76D63"/>
    <w:pPr>
      <w:jc w:val="both"/>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next w:val="TableGrid"/>
    <w:uiPriority w:val="59"/>
    <w:rsid w:val="00A76D63"/>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next w:val="TableGrid"/>
    <w:uiPriority w:val="59"/>
    <w:rsid w:val="00A76D63"/>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
    <w:name w:val="Table Grid422"/>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next w:val="TableGrid"/>
    <w:uiPriority w:val="59"/>
    <w:rsid w:val="00A76D63"/>
    <w:rPr>
      <w:rFonts w:ascii="Lucida Sans Unicode" w:eastAsia="Calibri" w:hAnsi="Lucida Sans Unicode" w:cs="Lucida Sans Unicode"/>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
    <w:name w:val="No List16"/>
    <w:next w:val="NoList"/>
    <w:uiPriority w:val="99"/>
    <w:semiHidden/>
    <w:unhideWhenUsed/>
    <w:rsid w:val="00A76D63"/>
  </w:style>
  <w:style w:type="table" w:customStyle="1" w:styleId="TableGrid103">
    <w:name w:val="Table Grid103"/>
    <w:basedOn w:val="TableNormal"/>
    <w:next w:val="TableGrid"/>
    <w:uiPriority w:val="59"/>
    <w:rsid w:val="00A76D63"/>
    <w:rPr>
      <w:rFonts w:ascii="Lucida Sans Unicode" w:eastAsia="Calibri" w:hAnsi="Lucida Sans Unicode" w:cs="Lucida Sans Unicode"/>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
    <w:name w:val="Table Grid135"/>
    <w:basedOn w:val="TableNormal"/>
    <w:next w:val="TableGrid"/>
    <w:uiPriority w:val="59"/>
    <w:rsid w:val="00A76D63"/>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
    <w:name w:val="Table Grid144"/>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
    <w:name w:val="No List23"/>
    <w:next w:val="NoList"/>
    <w:uiPriority w:val="99"/>
    <w:semiHidden/>
    <w:unhideWhenUsed/>
    <w:rsid w:val="00A76D63"/>
  </w:style>
  <w:style w:type="numbering" w:customStyle="1" w:styleId="NoList113">
    <w:name w:val="No List113"/>
    <w:next w:val="NoList"/>
    <w:uiPriority w:val="99"/>
    <w:semiHidden/>
    <w:unhideWhenUsed/>
    <w:rsid w:val="00A76D63"/>
  </w:style>
  <w:style w:type="table" w:customStyle="1" w:styleId="TableGrid153">
    <w:name w:val="Table Grid153"/>
    <w:basedOn w:val="TableNormal"/>
    <w:next w:val="TableGrid"/>
    <w:uiPriority w:val="59"/>
    <w:rsid w:val="00A76D63"/>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59"/>
    <w:rsid w:val="00A76D63"/>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
    <w:name w:val="Table Grid313"/>
    <w:basedOn w:val="TableNormal"/>
    <w:next w:val="TableGrid"/>
    <w:uiPriority w:val="59"/>
    <w:rsid w:val="00A76D63"/>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3">
    <w:name w:val="Table Grid433"/>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2">
    <w:name w:val="Table Grid912"/>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3">
    <w:name w:val="No List213"/>
    <w:next w:val="NoList"/>
    <w:uiPriority w:val="99"/>
    <w:semiHidden/>
    <w:unhideWhenUsed/>
    <w:rsid w:val="00A76D63"/>
  </w:style>
  <w:style w:type="numbering" w:customStyle="1" w:styleId="NoList33">
    <w:name w:val="No List33"/>
    <w:next w:val="NoList"/>
    <w:uiPriority w:val="99"/>
    <w:semiHidden/>
    <w:unhideWhenUsed/>
    <w:rsid w:val="00A76D63"/>
  </w:style>
  <w:style w:type="table" w:customStyle="1" w:styleId="TableGrid1012">
    <w:name w:val="Table Grid1012"/>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
    <w:name w:val="No List1113"/>
    <w:next w:val="NoList"/>
    <w:uiPriority w:val="99"/>
    <w:semiHidden/>
    <w:unhideWhenUsed/>
    <w:rsid w:val="00A76D63"/>
  </w:style>
  <w:style w:type="table" w:customStyle="1" w:styleId="TableGrid222">
    <w:name w:val="Table Grid222"/>
    <w:basedOn w:val="TableNormal"/>
    <w:next w:val="TableGrid"/>
    <w:uiPriority w:val="59"/>
    <w:rsid w:val="00A76D63"/>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
    <w:name w:val="Table Grid322"/>
    <w:basedOn w:val="TableNormal"/>
    <w:next w:val="TableGrid"/>
    <w:uiPriority w:val="59"/>
    <w:rsid w:val="00A76D63"/>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next w:val="TableGrid"/>
    <w:uiPriority w:val="59"/>
    <w:rsid w:val="00A76D63"/>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
    <w:name w:val="Table Grid1212"/>
    <w:basedOn w:val="TableNormal"/>
    <w:next w:val="TableGrid"/>
    <w:uiPriority w:val="59"/>
    <w:rsid w:val="00A76D63"/>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3">
    <w:name w:val="No List2113"/>
    <w:next w:val="NoList"/>
    <w:uiPriority w:val="99"/>
    <w:semiHidden/>
    <w:unhideWhenUsed/>
    <w:rsid w:val="00A76D63"/>
  </w:style>
  <w:style w:type="table" w:customStyle="1" w:styleId="TableGrid712">
    <w:name w:val="Table Grid712"/>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3">
    <w:name w:val="No List11113"/>
    <w:next w:val="NoList"/>
    <w:uiPriority w:val="99"/>
    <w:semiHidden/>
    <w:unhideWhenUsed/>
    <w:rsid w:val="00A76D63"/>
  </w:style>
  <w:style w:type="table" w:customStyle="1" w:styleId="TableGrid2112">
    <w:name w:val="Table Grid2112"/>
    <w:basedOn w:val="TableNormal"/>
    <w:next w:val="TableGrid"/>
    <w:uiPriority w:val="59"/>
    <w:rsid w:val="00A76D63"/>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
    <w:name w:val="Table Grid3112"/>
    <w:basedOn w:val="TableNormal"/>
    <w:next w:val="TableGrid"/>
    <w:uiPriority w:val="59"/>
    <w:rsid w:val="00A76D63"/>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3">
    <w:name w:val="Table Grid1413"/>
    <w:basedOn w:val="TableNormal"/>
    <w:next w:val="TableGrid"/>
    <w:uiPriority w:val="59"/>
    <w:rsid w:val="00A76D63"/>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
    <w:name w:val="Table Grid233"/>
    <w:basedOn w:val="TableNormal"/>
    <w:next w:val="TableGrid"/>
    <w:uiPriority w:val="59"/>
    <w:rsid w:val="00A76D63"/>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
    <w:name w:val="No List43"/>
    <w:next w:val="NoList"/>
    <w:uiPriority w:val="99"/>
    <w:semiHidden/>
    <w:unhideWhenUsed/>
    <w:rsid w:val="00A76D63"/>
  </w:style>
  <w:style w:type="numbering" w:customStyle="1" w:styleId="NoList123">
    <w:name w:val="No List123"/>
    <w:next w:val="NoList"/>
    <w:uiPriority w:val="99"/>
    <w:semiHidden/>
    <w:unhideWhenUsed/>
    <w:rsid w:val="00A76D63"/>
  </w:style>
  <w:style w:type="table" w:customStyle="1" w:styleId="TableGrid1513">
    <w:name w:val="Table Grid1513"/>
    <w:basedOn w:val="TableNormal"/>
    <w:next w:val="TableGrid"/>
    <w:uiPriority w:val="59"/>
    <w:rsid w:val="00A76D63"/>
    <w:rPr>
      <w:rFonts w:ascii="Lucida Sans Unicode" w:eastAsia="Calibri" w:hAnsi="Lucida Sans Unicode" w:cs="Lucida Sans Unicode"/>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
    <w:name w:val="Table Grid162"/>
    <w:basedOn w:val="TableNormal"/>
    <w:next w:val="TableGrid"/>
    <w:uiPriority w:val="59"/>
    <w:rsid w:val="00A76D63"/>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
    <w:name w:val="Table Grid242"/>
    <w:basedOn w:val="TableNormal"/>
    <w:next w:val="TableGrid"/>
    <w:uiPriority w:val="59"/>
    <w:rsid w:val="00A76D63"/>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2">
    <w:name w:val="Table Grid252"/>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2">
    <w:name w:val="Table Grid442"/>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next w:val="TableGrid"/>
    <w:uiPriority w:val="3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A76D63"/>
  </w:style>
  <w:style w:type="table" w:customStyle="1" w:styleId="TableGrid39">
    <w:name w:val="Table Grid39"/>
    <w:basedOn w:val="TableNormal"/>
    <w:next w:val="TableGrid"/>
    <w:uiPriority w:val="3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next w:val="TableGrid"/>
    <w:uiPriority w:val="59"/>
    <w:rsid w:val="00A76D63"/>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
    <w:name w:val="Table Grid214"/>
    <w:basedOn w:val="TableNormal"/>
    <w:next w:val="TableGrid"/>
    <w:uiPriority w:val="59"/>
    <w:rsid w:val="00A76D63"/>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next w:val="TableGrid"/>
    <w:uiPriority w:val="39"/>
    <w:rsid w:val="00A76D63"/>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next w:val="TableGrid"/>
    <w:uiPriority w:val="59"/>
    <w:rsid w:val="00A76D63"/>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next w:val="TableGrid"/>
    <w:uiPriority w:val="59"/>
    <w:rsid w:val="00A76D63"/>
    <w:pPr>
      <w:jc w:val="both"/>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next w:val="TableGrid"/>
    <w:uiPriority w:val="59"/>
    <w:rsid w:val="00A76D63"/>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
    <w:name w:val="Table Grid124"/>
    <w:basedOn w:val="TableNormal"/>
    <w:next w:val="TableGrid"/>
    <w:uiPriority w:val="59"/>
    <w:rsid w:val="00A76D63"/>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3">
    <w:name w:val="Table Grid423"/>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59"/>
    <w:rsid w:val="00A76D63"/>
    <w:rPr>
      <w:rFonts w:ascii="Lucida Sans Unicode" w:eastAsia="Calibri" w:hAnsi="Lucida Sans Unicode" w:cs="Lucida Sans Unicode"/>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
    <w:name w:val="No List17"/>
    <w:next w:val="NoList"/>
    <w:uiPriority w:val="99"/>
    <w:semiHidden/>
    <w:unhideWhenUsed/>
    <w:rsid w:val="00A76D63"/>
  </w:style>
  <w:style w:type="table" w:customStyle="1" w:styleId="TableGrid104">
    <w:name w:val="Table Grid104"/>
    <w:basedOn w:val="TableNormal"/>
    <w:next w:val="TableGrid"/>
    <w:uiPriority w:val="59"/>
    <w:rsid w:val="00A76D63"/>
    <w:rPr>
      <w:rFonts w:ascii="Lucida Sans Unicode" w:eastAsia="Calibri" w:hAnsi="Lucida Sans Unicode" w:cs="Lucida Sans Unicode"/>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
    <w:name w:val="Table Grid136"/>
    <w:basedOn w:val="TableNormal"/>
    <w:next w:val="TableGrid"/>
    <w:uiPriority w:val="59"/>
    <w:rsid w:val="00A76D63"/>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
    <w:name w:val="Table Grid173"/>
    <w:basedOn w:val="TableNormal"/>
    <w:next w:val="TableGrid"/>
    <w:uiPriority w:val="59"/>
    <w:rsid w:val="00A76D63"/>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
    <w:name w:val="Table Grid145"/>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
    <w:name w:val="No List24"/>
    <w:next w:val="NoList"/>
    <w:uiPriority w:val="99"/>
    <w:semiHidden/>
    <w:unhideWhenUsed/>
    <w:rsid w:val="00A76D63"/>
  </w:style>
  <w:style w:type="numbering" w:customStyle="1" w:styleId="NoList114">
    <w:name w:val="No List114"/>
    <w:next w:val="NoList"/>
    <w:uiPriority w:val="99"/>
    <w:semiHidden/>
    <w:unhideWhenUsed/>
    <w:rsid w:val="00A76D63"/>
  </w:style>
  <w:style w:type="table" w:customStyle="1" w:styleId="TableGrid154">
    <w:name w:val="Table Grid154"/>
    <w:basedOn w:val="TableNormal"/>
    <w:next w:val="TableGrid"/>
    <w:uiPriority w:val="59"/>
    <w:rsid w:val="00A76D63"/>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 Grid215"/>
    <w:basedOn w:val="TableNormal"/>
    <w:next w:val="TableGrid"/>
    <w:uiPriority w:val="59"/>
    <w:rsid w:val="00A76D63"/>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
    <w:name w:val="Table Grid314"/>
    <w:basedOn w:val="TableNormal"/>
    <w:next w:val="TableGrid"/>
    <w:uiPriority w:val="59"/>
    <w:rsid w:val="00A76D63"/>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4">
    <w:name w:val="Table Grid434"/>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3">
    <w:name w:val="Table Grid913"/>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
    <w:name w:val="No List214"/>
    <w:next w:val="NoList"/>
    <w:uiPriority w:val="99"/>
    <w:semiHidden/>
    <w:unhideWhenUsed/>
    <w:rsid w:val="00A76D63"/>
  </w:style>
  <w:style w:type="numbering" w:customStyle="1" w:styleId="NoList34">
    <w:name w:val="No List34"/>
    <w:next w:val="NoList"/>
    <w:uiPriority w:val="99"/>
    <w:semiHidden/>
    <w:unhideWhenUsed/>
    <w:rsid w:val="00A76D63"/>
  </w:style>
  <w:style w:type="table" w:customStyle="1" w:styleId="TableGrid1013">
    <w:name w:val="Table Grid1013"/>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4">
    <w:name w:val="No List1114"/>
    <w:next w:val="NoList"/>
    <w:uiPriority w:val="99"/>
    <w:semiHidden/>
    <w:unhideWhenUsed/>
    <w:rsid w:val="00A76D63"/>
  </w:style>
  <w:style w:type="table" w:customStyle="1" w:styleId="TableGrid223">
    <w:name w:val="Table Grid223"/>
    <w:basedOn w:val="TableNormal"/>
    <w:next w:val="TableGrid"/>
    <w:uiPriority w:val="59"/>
    <w:rsid w:val="00A76D63"/>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
    <w:name w:val="Table Grid323"/>
    <w:basedOn w:val="TableNormal"/>
    <w:next w:val="TableGrid"/>
    <w:uiPriority w:val="59"/>
    <w:rsid w:val="00A76D63"/>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next w:val="TableGrid"/>
    <w:uiPriority w:val="59"/>
    <w:rsid w:val="00A76D63"/>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
    <w:name w:val="Table Grid1213"/>
    <w:basedOn w:val="TableNormal"/>
    <w:next w:val="TableGrid"/>
    <w:uiPriority w:val="59"/>
    <w:rsid w:val="00A76D63"/>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4">
    <w:name w:val="No List2114"/>
    <w:next w:val="NoList"/>
    <w:uiPriority w:val="99"/>
    <w:semiHidden/>
    <w:unhideWhenUsed/>
    <w:rsid w:val="00A76D63"/>
  </w:style>
  <w:style w:type="table" w:customStyle="1" w:styleId="TableGrid713">
    <w:name w:val="Table Grid713"/>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4">
    <w:name w:val="No List11114"/>
    <w:next w:val="NoList"/>
    <w:uiPriority w:val="99"/>
    <w:semiHidden/>
    <w:unhideWhenUsed/>
    <w:rsid w:val="00A76D63"/>
  </w:style>
  <w:style w:type="table" w:customStyle="1" w:styleId="TableGrid2113">
    <w:name w:val="Table Grid2113"/>
    <w:basedOn w:val="TableNormal"/>
    <w:next w:val="TableGrid"/>
    <w:uiPriority w:val="59"/>
    <w:rsid w:val="00A76D63"/>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
    <w:name w:val="Table Grid3113"/>
    <w:basedOn w:val="TableNormal"/>
    <w:next w:val="TableGrid"/>
    <w:uiPriority w:val="59"/>
    <w:rsid w:val="00A76D63"/>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3">
    <w:name w:val="Table Grid813"/>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4">
    <w:name w:val="Table Grid1414"/>
    <w:basedOn w:val="TableNormal"/>
    <w:next w:val="TableGrid"/>
    <w:uiPriority w:val="59"/>
    <w:rsid w:val="00A76D63"/>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
    <w:name w:val="Table Grid234"/>
    <w:basedOn w:val="TableNormal"/>
    <w:next w:val="TableGrid"/>
    <w:uiPriority w:val="59"/>
    <w:rsid w:val="00A76D63"/>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
    <w:name w:val="No List44"/>
    <w:next w:val="NoList"/>
    <w:uiPriority w:val="99"/>
    <w:semiHidden/>
    <w:unhideWhenUsed/>
    <w:rsid w:val="00A76D63"/>
  </w:style>
  <w:style w:type="numbering" w:customStyle="1" w:styleId="NoList124">
    <w:name w:val="No List124"/>
    <w:next w:val="NoList"/>
    <w:uiPriority w:val="99"/>
    <w:semiHidden/>
    <w:unhideWhenUsed/>
    <w:rsid w:val="00A76D63"/>
  </w:style>
  <w:style w:type="table" w:customStyle="1" w:styleId="TableGrid1514">
    <w:name w:val="Table Grid1514"/>
    <w:basedOn w:val="TableNormal"/>
    <w:next w:val="TableGrid"/>
    <w:uiPriority w:val="59"/>
    <w:locked/>
    <w:rsid w:val="00A76D63"/>
    <w:rPr>
      <w:rFonts w:ascii="Lucida Sans Unicode" w:eastAsia="Calibri" w:hAnsi="Lucida Sans Unicode" w:cs="Lucida Sans Unicode"/>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59"/>
    <w:rsid w:val="00A76D63"/>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3">
    <w:name w:val="Table Grid243"/>
    <w:basedOn w:val="TableNormal"/>
    <w:next w:val="TableGrid"/>
    <w:uiPriority w:val="59"/>
    <w:rsid w:val="00A76D63"/>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2">
    <w:name w:val="Table Grid7112"/>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3">
    <w:name w:val="Table Grid193"/>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2">
    <w:name w:val="Table Grid1342"/>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3">
    <w:name w:val="Table Grid203"/>
    <w:basedOn w:val="TableNormal"/>
    <w:next w:val="TableGrid"/>
    <w:uiPriority w:val="3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3">
    <w:name w:val="Table Grid253"/>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3">
    <w:name w:val="Table Grid443"/>
    <w:basedOn w:val="TableNormal"/>
    <w:next w:val="TableGrid"/>
    <w:uiPriority w:val="59"/>
    <w:rsid w:val="00A76D63"/>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
    <w:name w:val="No List8"/>
    <w:next w:val="NoList"/>
    <w:uiPriority w:val="99"/>
    <w:semiHidden/>
    <w:unhideWhenUsed/>
    <w:rsid w:val="00E40B49"/>
  </w:style>
  <w:style w:type="table" w:customStyle="1" w:styleId="TableGrid40">
    <w:name w:val="Table Grid40"/>
    <w:basedOn w:val="TableNormal"/>
    <w:next w:val="TableGrid"/>
    <w:uiPriority w:val="59"/>
    <w:rsid w:val="00E40B49"/>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8">
    <w:name w:val="No List18"/>
    <w:next w:val="NoList"/>
    <w:uiPriority w:val="99"/>
    <w:semiHidden/>
    <w:unhideWhenUsed/>
    <w:rsid w:val="00E40B49"/>
  </w:style>
  <w:style w:type="table" w:customStyle="1" w:styleId="TableGrid117">
    <w:name w:val="Table Grid117"/>
    <w:basedOn w:val="TableNormal"/>
    <w:next w:val="TableGrid"/>
    <w:uiPriority w:val="59"/>
    <w:rsid w:val="00E40B49"/>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
    <w:name w:val="Table Grid216"/>
    <w:basedOn w:val="TableNormal"/>
    <w:next w:val="TableGrid"/>
    <w:uiPriority w:val="59"/>
    <w:rsid w:val="00E40B49"/>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
    <w:name w:val="Table Grid315"/>
    <w:basedOn w:val="TableNormal"/>
    <w:next w:val="TableGrid"/>
    <w:uiPriority w:val="59"/>
    <w:rsid w:val="00E40B49"/>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next w:val="TableGrid"/>
    <w:uiPriority w:val="59"/>
    <w:rsid w:val="00E40B49"/>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next w:val="TableGrid"/>
    <w:uiPriority w:val="59"/>
    <w:rsid w:val="00E40B49"/>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next w:val="TableGrid"/>
    <w:uiPriority w:val="59"/>
    <w:rsid w:val="00E40B49"/>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next w:val="TableGrid"/>
    <w:uiPriority w:val="59"/>
    <w:rsid w:val="00E40B49"/>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next w:val="TableGrid"/>
    <w:uiPriority w:val="59"/>
    <w:rsid w:val="00E40B49"/>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next w:val="TableGrid"/>
    <w:uiPriority w:val="59"/>
    <w:rsid w:val="00E40B49"/>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next w:val="TableGrid"/>
    <w:uiPriority w:val="59"/>
    <w:rsid w:val="00E40B49"/>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
    <w:name w:val="Table Grid95"/>
    <w:basedOn w:val="TableNormal"/>
    <w:next w:val="TableGrid"/>
    <w:uiPriority w:val="59"/>
    <w:rsid w:val="00E40B49"/>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
    <w:name w:val="No List25"/>
    <w:next w:val="NoList"/>
    <w:uiPriority w:val="99"/>
    <w:semiHidden/>
    <w:unhideWhenUsed/>
    <w:rsid w:val="00E40B49"/>
  </w:style>
  <w:style w:type="table" w:customStyle="1" w:styleId="TableGrid217">
    <w:name w:val="Table Grid217"/>
    <w:basedOn w:val="TableNormal"/>
    <w:next w:val="TableGrid"/>
    <w:uiPriority w:val="59"/>
    <w:rsid w:val="00E40B49"/>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6">
    <w:name w:val="Table Grid316"/>
    <w:basedOn w:val="TableNormal"/>
    <w:next w:val="TableGrid"/>
    <w:uiPriority w:val="59"/>
    <w:rsid w:val="00E40B49"/>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5">
    <w:name w:val="No List35"/>
    <w:next w:val="NoList"/>
    <w:uiPriority w:val="99"/>
    <w:semiHidden/>
    <w:unhideWhenUsed/>
    <w:rsid w:val="00E40B49"/>
  </w:style>
  <w:style w:type="table" w:customStyle="1" w:styleId="TableGrid105">
    <w:name w:val="Table Grid105"/>
    <w:basedOn w:val="TableNormal"/>
    <w:next w:val="TableGrid"/>
    <w:uiPriority w:val="59"/>
    <w:rsid w:val="00E40B49"/>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5">
    <w:name w:val="No List115"/>
    <w:next w:val="NoList"/>
    <w:uiPriority w:val="99"/>
    <w:semiHidden/>
    <w:unhideWhenUsed/>
    <w:rsid w:val="00E40B49"/>
  </w:style>
  <w:style w:type="table" w:customStyle="1" w:styleId="TableGrid137">
    <w:name w:val="Table Grid137"/>
    <w:basedOn w:val="TableNormal"/>
    <w:next w:val="TableGrid"/>
    <w:uiPriority w:val="59"/>
    <w:rsid w:val="00E40B49"/>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
    <w:name w:val="Table Grid224"/>
    <w:basedOn w:val="TableNormal"/>
    <w:next w:val="TableGrid"/>
    <w:uiPriority w:val="59"/>
    <w:rsid w:val="00E40B49"/>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4">
    <w:name w:val="Table Grid324"/>
    <w:basedOn w:val="TableNormal"/>
    <w:next w:val="TableGrid"/>
    <w:uiPriority w:val="59"/>
    <w:rsid w:val="00E40B49"/>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
    <w:name w:val="Table Grid414"/>
    <w:basedOn w:val="TableNormal"/>
    <w:next w:val="TableGrid"/>
    <w:uiPriority w:val="59"/>
    <w:rsid w:val="00E40B49"/>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4">
    <w:name w:val="Table Grid514"/>
    <w:basedOn w:val="TableNormal"/>
    <w:next w:val="TableGrid"/>
    <w:uiPriority w:val="59"/>
    <w:rsid w:val="00E40B49"/>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4">
    <w:name w:val="Table Grid614"/>
    <w:basedOn w:val="TableNormal"/>
    <w:next w:val="TableGrid"/>
    <w:uiPriority w:val="59"/>
    <w:rsid w:val="00E40B49"/>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next w:val="TableGrid"/>
    <w:uiPriority w:val="59"/>
    <w:rsid w:val="00E40B49"/>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4">
    <w:name w:val="Table Grid1214"/>
    <w:basedOn w:val="TableNormal"/>
    <w:next w:val="TableGrid"/>
    <w:uiPriority w:val="59"/>
    <w:rsid w:val="00E40B49"/>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5">
    <w:name w:val="No List215"/>
    <w:next w:val="NoList"/>
    <w:uiPriority w:val="99"/>
    <w:semiHidden/>
    <w:unhideWhenUsed/>
    <w:rsid w:val="00E40B49"/>
  </w:style>
  <w:style w:type="table" w:customStyle="1" w:styleId="TableGrid714">
    <w:name w:val="Table Grid714"/>
    <w:basedOn w:val="TableNormal"/>
    <w:next w:val="TableGrid"/>
    <w:uiPriority w:val="59"/>
    <w:rsid w:val="00E40B49"/>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5">
    <w:name w:val="No List1115"/>
    <w:next w:val="NoList"/>
    <w:uiPriority w:val="99"/>
    <w:semiHidden/>
    <w:unhideWhenUsed/>
    <w:rsid w:val="00E40B49"/>
  </w:style>
  <w:style w:type="table" w:customStyle="1" w:styleId="TableGrid2114">
    <w:name w:val="Table Grid2114"/>
    <w:basedOn w:val="TableNormal"/>
    <w:next w:val="TableGrid"/>
    <w:uiPriority w:val="59"/>
    <w:rsid w:val="00E40B49"/>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4">
    <w:name w:val="Table Grid3114"/>
    <w:basedOn w:val="TableNormal"/>
    <w:next w:val="TableGrid"/>
    <w:uiPriority w:val="59"/>
    <w:rsid w:val="00E40B49"/>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4">
    <w:name w:val="Table Grid814"/>
    <w:basedOn w:val="TableNormal"/>
    <w:next w:val="TableGrid"/>
    <w:uiPriority w:val="59"/>
    <w:rsid w:val="00E40B49"/>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4">
    <w:name w:val="Table Grid914"/>
    <w:basedOn w:val="TableNormal"/>
    <w:next w:val="TableGrid"/>
    <w:uiPriority w:val="59"/>
    <w:rsid w:val="00E40B49"/>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
    <w:name w:val="Table Grid146"/>
    <w:basedOn w:val="TableNormal"/>
    <w:next w:val="TableGrid"/>
    <w:uiPriority w:val="59"/>
    <w:rsid w:val="00E40B49"/>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5">
    <w:name w:val="Table Grid235"/>
    <w:basedOn w:val="TableNormal"/>
    <w:next w:val="TableGrid"/>
    <w:uiPriority w:val="59"/>
    <w:rsid w:val="00E40B49"/>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5">
    <w:name w:val="No List45"/>
    <w:next w:val="NoList"/>
    <w:uiPriority w:val="99"/>
    <w:semiHidden/>
    <w:unhideWhenUsed/>
    <w:rsid w:val="00E40B49"/>
  </w:style>
  <w:style w:type="numbering" w:customStyle="1" w:styleId="NoList125">
    <w:name w:val="No List125"/>
    <w:next w:val="NoList"/>
    <w:uiPriority w:val="99"/>
    <w:semiHidden/>
    <w:unhideWhenUsed/>
    <w:rsid w:val="00E40B49"/>
  </w:style>
  <w:style w:type="table" w:customStyle="1" w:styleId="TableGrid155">
    <w:name w:val="Table Grid155"/>
    <w:basedOn w:val="TableNormal"/>
    <w:next w:val="TableGrid"/>
    <w:uiPriority w:val="59"/>
    <w:locked/>
    <w:rsid w:val="00E40B49"/>
    <w:rPr>
      <w:rFonts w:ascii="Lucida Sans Unicode" w:eastAsia="Calibri" w:hAnsi="Lucida Sans Unicode" w:cs="Lucida Sans Unicode"/>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4">
    <w:name w:val="Table Grid164"/>
    <w:basedOn w:val="TableNormal"/>
    <w:next w:val="TableGrid"/>
    <w:uiPriority w:val="59"/>
    <w:rsid w:val="00E40B49"/>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4">
    <w:name w:val="Table Grid174"/>
    <w:basedOn w:val="TableNormal"/>
    <w:next w:val="TableGrid"/>
    <w:uiPriority w:val="59"/>
    <w:rsid w:val="00E40B49"/>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2FranklinGothicBook">
    <w:name w:val="Body text (2) + Franklin Gothic Book"/>
    <w:aliases w:val="4 pt,Not Bold"/>
    <w:basedOn w:val="Bodytext2"/>
    <w:rsid w:val="00E40B49"/>
    <w:rPr>
      <w:rFonts w:ascii="Franklin Gothic Book" w:eastAsia="Franklin Gothic Book" w:hAnsi="Franklin Gothic Book" w:cs="Franklin Gothic Book"/>
      <w:b/>
      <w:bCs/>
      <w:i w:val="0"/>
      <w:iCs w:val="0"/>
      <w:smallCaps w:val="0"/>
      <w:strike w:val="0"/>
      <w:color w:val="000000"/>
      <w:spacing w:val="0"/>
      <w:w w:val="100"/>
      <w:position w:val="0"/>
      <w:sz w:val="8"/>
      <w:szCs w:val="8"/>
      <w:u w:val="none"/>
      <w:shd w:val="clear" w:color="auto" w:fill="FFFFFF"/>
      <w:lang w:val="ro-RO" w:eastAsia="ro-RO" w:bidi="ro-RO"/>
    </w:rPr>
  </w:style>
  <w:style w:type="character" w:customStyle="1" w:styleId="Bodytext2NotBold">
    <w:name w:val="Body text (2) + Not Bold"/>
    <w:basedOn w:val="Bodytext2"/>
    <w:rsid w:val="00E40B49"/>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o-RO" w:eastAsia="ro-RO" w:bidi="ro-RO"/>
    </w:rPr>
  </w:style>
  <w:style w:type="numbering" w:customStyle="1" w:styleId="NoList9">
    <w:name w:val="No List9"/>
    <w:next w:val="NoList"/>
    <w:uiPriority w:val="99"/>
    <w:semiHidden/>
    <w:unhideWhenUsed/>
    <w:rsid w:val="00590716"/>
  </w:style>
  <w:style w:type="table" w:customStyle="1" w:styleId="TableGrid50">
    <w:name w:val="Table Grid50"/>
    <w:basedOn w:val="TableNormal"/>
    <w:next w:val="TableGrid"/>
    <w:uiPriority w:val="59"/>
    <w:rsid w:val="00590716"/>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9">
    <w:name w:val="No List19"/>
    <w:next w:val="NoList"/>
    <w:uiPriority w:val="99"/>
    <w:semiHidden/>
    <w:unhideWhenUsed/>
    <w:rsid w:val="00590716"/>
  </w:style>
  <w:style w:type="table" w:customStyle="1" w:styleId="TableGrid119">
    <w:name w:val="Table Grid119"/>
    <w:basedOn w:val="TableNormal"/>
    <w:next w:val="TableGrid"/>
    <w:uiPriority w:val="59"/>
    <w:rsid w:val="00590716"/>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
    <w:name w:val="Table Grid218"/>
    <w:basedOn w:val="TableNormal"/>
    <w:next w:val="TableGrid"/>
    <w:uiPriority w:val="59"/>
    <w:rsid w:val="00590716"/>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7">
    <w:name w:val="Table Grid317"/>
    <w:basedOn w:val="TableNormal"/>
    <w:next w:val="TableGrid"/>
    <w:uiPriority w:val="59"/>
    <w:rsid w:val="00590716"/>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
    <w:name w:val="Table Grid410"/>
    <w:basedOn w:val="TableNormal"/>
    <w:next w:val="TableGrid"/>
    <w:uiPriority w:val="59"/>
    <w:rsid w:val="00590716"/>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next w:val="TableGrid"/>
    <w:uiPriority w:val="59"/>
    <w:rsid w:val="00590716"/>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next w:val="TableGrid"/>
    <w:uiPriority w:val="59"/>
    <w:rsid w:val="00590716"/>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next w:val="TableGrid"/>
    <w:uiPriority w:val="59"/>
    <w:rsid w:val="00590716"/>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
    <w:name w:val="Table Grid126"/>
    <w:basedOn w:val="TableNormal"/>
    <w:next w:val="TableGrid"/>
    <w:uiPriority w:val="59"/>
    <w:rsid w:val="00590716"/>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next w:val="TableGrid"/>
    <w:uiPriority w:val="59"/>
    <w:rsid w:val="00590716"/>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next w:val="TableGrid"/>
    <w:uiPriority w:val="59"/>
    <w:rsid w:val="00590716"/>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6">
    <w:name w:val="Table Grid96"/>
    <w:basedOn w:val="TableNormal"/>
    <w:next w:val="TableGrid"/>
    <w:uiPriority w:val="59"/>
    <w:rsid w:val="00590716"/>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
    <w:name w:val="No List26"/>
    <w:next w:val="NoList"/>
    <w:uiPriority w:val="99"/>
    <w:semiHidden/>
    <w:unhideWhenUsed/>
    <w:rsid w:val="00590716"/>
  </w:style>
  <w:style w:type="table" w:customStyle="1" w:styleId="TableGrid219">
    <w:name w:val="Table Grid219"/>
    <w:basedOn w:val="TableNormal"/>
    <w:next w:val="TableGrid"/>
    <w:uiPriority w:val="59"/>
    <w:rsid w:val="00590716"/>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8">
    <w:name w:val="Table Grid318"/>
    <w:basedOn w:val="TableNormal"/>
    <w:next w:val="TableGrid"/>
    <w:uiPriority w:val="59"/>
    <w:rsid w:val="00590716"/>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6">
    <w:name w:val="No List36"/>
    <w:next w:val="NoList"/>
    <w:uiPriority w:val="99"/>
    <w:semiHidden/>
    <w:unhideWhenUsed/>
    <w:rsid w:val="00590716"/>
  </w:style>
  <w:style w:type="table" w:customStyle="1" w:styleId="TableGrid106">
    <w:name w:val="Table Grid106"/>
    <w:basedOn w:val="TableNormal"/>
    <w:next w:val="TableGrid"/>
    <w:uiPriority w:val="59"/>
    <w:rsid w:val="00590716"/>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6">
    <w:name w:val="No List116"/>
    <w:next w:val="NoList"/>
    <w:uiPriority w:val="99"/>
    <w:semiHidden/>
    <w:unhideWhenUsed/>
    <w:rsid w:val="00590716"/>
  </w:style>
  <w:style w:type="table" w:customStyle="1" w:styleId="TableGrid138">
    <w:name w:val="Table Grid138"/>
    <w:basedOn w:val="TableNormal"/>
    <w:next w:val="TableGrid"/>
    <w:uiPriority w:val="59"/>
    <w:rsid w:val="00590716"/>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
    <w:name w:val="Table Grid225"/>
    <w:basedOn w:val="TableNormal"/>
    <w:next w:val="TableGrid"/>
    <w:uiPriority w:val="59"/>
    <w:rsid w:val="00590716"/>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5">
    <w:name w:val="Table Grid325"/>
    <w:basedOn w:val="TableNormal"/>
    <w:next w:val="TableGrid"/>
    <w:uiPriority w:val="59"/>
    <w:rsid w:val="00590716"/>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5">
    <w:name w:val="Table Grid415"/>
    <w:basedOn w:val="TableNormal"/>
    <w:next w:val="TableGrid"/>
    <w:uiPriority w:val="59"/>
    <w:rsid w:val="00590716"/>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5">
    <w:name w:val="Table Grid515"/>
    <w:basedOn w:val="TableNormal"/>
    <w:next w:val="TableGrid"/>
    <w:uiPriority w:val="59"/>
    <w:rsid w:val="00590716"/>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5">
    <w:name w:val="Table Grid615"/>
    <w:basedOn w:val="TableNormal"/>
    <w:next w:val="TableGrid"/>
    <w:uiPriority w:val="59"/>
    <w:rsid w:val="00590716"/>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next w:val="TableGrid"/>
    <w:uiPriority w:val="59"/>
    <w:rsid w:val="00590716"/>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5">
    <w:name w:val="Table Grid1215"/>
    <w:basedOn w:val="TableNormal"/>
    <w:next w:val="TableGrid"/>
    <w:uiPriority w:val="59"/>
    <w:rsid w:val="00590716"/>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6">
    <w:name w:val="No List216"/>
    <w:next w:val="NoList"/>
    <w:uiPriority w:val="99"/>
    <w:semiHidden/>
    <w:unhideWhenUsed/>
    <w:rsid w:val="00590716"/>
  </w:style>
  <w:style w:type="table" w:customStyle="1" w:styleId="TableGrid715">
    <w:name w:val="Table Grid715"/>
    <w:basedOn w:val="TableNormal"/>
    <w:next w:val="TableGrid"/>
    <w:uiPriority w:val="59"/>
    <w:rsid w:val="00590716"/>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6">
    <w:name w:val="No List1116"/>
    <w:next w:val="NoList"/>
    <w:uiPriority w:val="99"/>
    <w:semiHidden/>
    <w:unhideWhenUsed/>
    <w:rsid w:val="00590716"/>
  </w:style>
  <w:style w:type="table" w:customStyle="1" w:styleId="TableGrid2115">
    <w:name w:val="Table Grid2115"/>
    <w:basedOn w:val="TableNormal"/>
    <w:next w:val="TableGrid"/>
    <w:uiPriority w:val="59"/>
    <w:rsid w:val="00590716"/>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5">
    <w:name w:val="Table Grid3115"/>
    <w:basedOn w:val="TableNormal"/>
    <w:next w:val="TableGrid"/>
    <w:uiPriority w:val="59"/>
    <w:rsid w:val="00590716"/>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5">
    <w:name w:val="Table Grid815"/>
    <w:basedOn w:val="TableNormal"/>
    <w:next w:val="TableGrid"/>
    <w:uiPriority w:val="59"/>
    <w:rsid w:val="00590716"/>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5">
    <w:name w:val="Table Grid915"/>
    <w:basedOn w:val="TableNormal"/>
    <w:next w:val="TableGrid"/>
    <w:uiPriority w:val="59"/>
    <w:rsid w:val="00590716"/>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7">
    <w:name w:val="Table Grid147"/>
    <w:basedOn w:val="TableNormal"/>
    <w:next w:val="TableGrid"/>
    <w:uiPriority w:val="59"/>
    <w:rsid w:val="00590716"/>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6">
    <w:name w:val="Table Grid236"/>
    <w:basedOn w:val="TableNormal"/>
    <w:next w:val="TableGrid"/>
    <w:uiPriority w:val="59"/>
    <w:rsid w:val="00590716"/>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6">
    <w:name w:val="No List46"/>
    <w:next w:val="NoList"/>
    <w:uiPriority w:val="99"/>
    <w:semiHidden/>
    <w:unhideWhenUsed/>
    <w:rsid w:val="00590716"/>
  </w:style>
  <w:style w:type="numbering" w:customStyle="1" w:styleId="NoList126">
    <w:name w:val="No List126"/>
    <w:next w:val="NoList"/>
    <w:uiPriority w:val="99"/>
    <w:semiHidden/>
    <w:unhideWhenUsed/>
    <w:rsid w:val="00590716"/>
  </w:style>
  <w:style w:type="table" w:customStyle="1" w:styleId="TableGrid156">
    <w:name w:val="Table Grid156"/>
    <w:basedOn w:val="TableNormal"/>
    <w:next w:val="TableGrid"/>
    <w:uiPriority w:val="59"/>
    <w:locked/>
    <w:rsid w:val="00590716"/>
    <w:rPr>
      <w:rFonts w:ascii="Lucida Sans Unicode" w:eastAsia="Calibri" w:hAnsi="Lucida Sans Unicode" w:cs="Lucida Sans Unicode"/>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5">
    <w:name w:val="Table Grid165"/>
    <w:basedOn w:val="TableNormal"/>
    <w:next w:val="TableGrid"/>
    <w:uiPriority w:val="59"/>
    <w:rsid w:val="00590716"/>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5">
    <w:name w:val="Table Grid175"/>
    <w:basedOn w:val="TableNormal"/>
    <w:next w:val="TableGrid"/>
    <w:uiPriority w:val="59"/>
    <w:rsid w:val="00590716"/>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next w:val="TableGrid"/>
    <w:uiPriority w:val="59"/>
    <w:rsid w:val="00D03AE0"/>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next w:val="TableGrid"/>
    <w:uiPriority w:val="39"/>
    <w:rsid w:val="00A3593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next w:val="TableGrid"/>
    <w:uiPriority w:val="59"/>
    <w:rsid w:val="009A563F"/>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4CaracterCaracterCharCharCaracterCaracter3">
    <w:name w:val="Char Char4 Caracter Caracter Char Char Caracter Caracter3"/>
    <w:basedOn w:val="Normal"/>
    <w:rsid w:val="00B12A98"/>
    <w:rPr>
      <w:rFonts w:ascii="Times New Roman" w:eastAsia="Times New Roman" w:hAnsi="Times New Roman" w:cs="Times New Roman"/>
      <w:sz w:val="24"/>
      <w:szCs w:val="24"/>
      <w:lang w:val="pl-PL" w:eastAsia="pl-PL"/>
    </w:rPr>
  </w:style>
  <w:style w:type="paragraph" w:customStyle="1" w:styleId="CaracterCaracter2CharCharCaracterCaracterCharCharCaracterCaracterCharCharCaracterCaracterCharCharCaracterCaracter">
    <w:name w:val="Caracter Caracter2 Char Char Caracter Caracter Char Char Caracter Caracter Char Char Caracter Caracter Char Char Caracter Caracter"/>
    <w:basedOn w:val="Normal"/>
    <w:rsid w:val="006210F0"/>
    <w:rPr>
      <w:rFonts w:ascii="Times New Roman" w:eastAsia="Times New Roman" w:hAnsi="Times New Roman" w:cs="Times New Roman"/>
      <w:sz w:val="24"/>
      <w:szCs w:val="24"/>
      <w:lang w:val="pl-PL" w:eastAsia="pl-PL"/>
    </w:rPr>
  </w:style>
  <w:style w:type="numbering" w:customStyle="1" w:styleId="NoList10">
    <w:name w:val="No List10"/>
    <w:next w:val="NoList"/>
    <w:uiPriority w:val="99"/>
    <w:semiHidden/>
    <w:unhideWhenUsed/>
    <w:rsid w:val="00D8704F"/>
  </w:style>
  <w:style w:type="numbering" w:customStyle="1" w:styleId="NoList110">
    <w:name w:val="No List110"/>
    <w:next w:val="NoList"/>
    <w:uiPriority w:val="99"/>
    <w:semiHidden/>
    <w:unhideWhenUsed/>
    <w:rsid w:val="00D8704F"/>
  </w:style>
  <w:style w:type="numbering" w:customStyle="1" w:styleId="NoList117">
    <w:name w:val="No List117"/>
    <w:next w:val="NoList"/>
    <w:uiPriority w:val="99"/>
    <w:semiHidden/>
    <w:unhideWhenUsed/>
    <w:rsid w:val="00D8704F"/>
  </w:style>
  <w:style w:type="numbering" w:customStyle="1" w:styleId="NoList27">
    <w:name w:val="No List27"/>
    <w:next w:val="NoList"/>
    <w:uiPriority w:val="99"/>
    <w:semiHidden/>
    <w:unhideWhenUsed/>
    <w:rsid w:val="00D8704F"/>
  </w:style>
  <w:style w:type="numbering" w:customStyle="1" w:styleId="NoList1117">
    <w:name w:val="No List1117"/>
    <w:next w:val="NoList"/>
    <w:uiPriority w:val="99"/>
    <w:semiHidden/>
    <w:unhideWhenUsed/>
    <w:rsid w:val="00D8704F"/>
  </w:style>
  <w:style w:type="numbering" w:customStyle="1" w:styleId="NoList37">
    <w:name w:val="No List37"/>
    <w:next w:val="NoList"/>
    <w:uiPriority w:val="99"/>
    <w:semiHidden/>
    <w:unhideWhenUsed/>
    <w:rsid w:val="00D8704F"/>
  </w:style>
  <w:style w:type="numbering" w:customStyle="1" w:styleId="NoList217">
    <w:name w:val="No List217"/>
    <w:next w:val="NoList"/>
    <w:uiPriority w:val="99"/>
    <w:semiHidden/>
    <w:unhideWhenUsed/>
    <w:rsid w:val="00D8704F"/>
  </w:style>
  <w:style w:type="numbering" w:customStyle="1" w:styleId="NoList11115">
    <w:name w:val="No List11115"/>
    <w:next w:val="NoList"/>
    <w:uiPriority w:val="99"/>
    <w:semiHidden/>
    <w:unhideWhenUsed/>
    <w:rsid w:val="00D8704F"/>
  </w:style>
  <w:style w:type="numbering" w:customStyle="1" w:styleId="NoList47">
    <w:name w:val="No List47"/>
    <w:next w:val="NoList"/>
    <w:uiPriority w:val="99"/>
    <w:semiHidden/>
    <w:unhideWhenUsed/>
    <w:rsid w:val="00D8704F"/>
  </w:style>
  <w:style w:type="numbering" w:customStyle="1" w:styleId="NoList127">
    <w:name w:val="No List127"/>
    <w:next w:val="NoList"/>
    <w:uiPriority w:val="99"/>
    <w:semiHidden/>
    <w:unhideWhenUsed/>
    <w:rsid w:val="00D8704F"/>
  </w:style>
  <w:style w:type="numbering" w:customStyle="1" w:styleId="NoList52">
    <w:name w:val="No List52"/>
    <w:next w:val="NoList"/>
    <w:uiPriority w:val="99"/>
    <w:semiHidden/>
    <w:unhideWhenUsed/>
    <w:rsid w:val="00D8704F"/>
  </w:style>
  <w:style w:type="numbering" w:customStyle="1" w:styleId="NoList132">
    <w:name w:val="No List132"/>
    <w:next w:val="NoList"/>
    <w:uiPriority w:val="99"/>
    <w:semiHidden/>
    <w:unhideWhenUsed/>
    <w:rsid w:val="00D8704F"/>
  </w:style>
  <w:style w:type="numbering" w:customStyle="1" w:styleId="NoList1122">
    <w:name w:val="No List1122"/>
    <w:next w:val="NoList"/>
    <w:uiPriority w:val="99"/>
    <w:semiHidden/>
    <w:unhideWhenUsed/>
    <w:rsid w:val="00D8704F"/>
  </w:style>
  <w:style w:type="numbering" w:customStyle="1" w:styleId="NoList222">
    <w:name w:val="No List222"/>
    <w:next w:val="NoList"/>
    <w:uiPriority w:val="99"/>
    <w:semiHidden/>
    <w:unhideWhenUsed/>
    <w:rsid w:val="00D8704F"/>
  </w:style>
  <w:style w:type="numbering" w:customStyle="1" w:styleId="NoList1212">
    <w:name w:val="No List1212"/>
    <w:next w:val="NoList"/>
    <w:uiPriority w:val="99"/>
    <w:semiHidden/>
    <w:unhideWhenUsed/>
    <w:rsid w:val="00D8704F"/>
  </w:style>
  <w:style w:type="numbering" w:customStyle="1" w:styleId="NoList312">
    <w:name w:val="No List312"/>
    <w:next w:val="NoList"/>
    <w:uiPriority w:val="99"/>
    <w:semiHidden/>
    <w:unhideWhenUsed/>
    <w:rsid w:val="00D8704F"/>
  </w:style>
  <w:style w:type="numbering" w:customStyle="1" w:styleId="NoList1311">
    <w:name w:val="No List1311"/>
    <w:next w:val="NoList"/>
    <w:uiPriority w:val="99"/>
    <w:semiHidden/>
    <w:unhideWhenUsed/>
    <w:rsid w:val="00D8704F"/>
  </w:style>
  <w:style w:type="numbering" w:customStyle="1" w:styleId="NoList412">
    <w:name w:val="No List412"/>
    <w:next w:val="NoList"/>
    <w:uiPriority w:val="99"/>
    <w:semiHidden/>
    <w:unhideWhenUsed/>
    <w:rsid w:val="00D8704F"/>
  </w:style>
  <w:style w:type="numbering" w:customStyle="1" w:styleId="NoList141">
    <w:name w:val="No List141"/>
    <w:next w:val="NoList"/>
    <w:uiPriority w:val="99"/>
    <w:semiHidden/>
    <w:unhideWhenUsed/>
    <w:rsid w:val="00D8704F"/>
  </w:style>
  <w:style w:type="numbering" w:customStyle="1" w:styleId="NoList2115">
    <w:name w:val="No List2115"/>
    <w:next w:val="NoList"/>
    <w:uiPriority w:val="99"/>
    <w:semiHidden/>
    <w:unhideWhenUsed/>
    <w:rsid w:val="00D8704F"/>
  </w:style>
  <w:style w:type="numbering" w:customStyle="1" w:styleId="NoList111112">
    <w:name w:val="No List111112"/>
    <w:next w:val="NoList"/>
    <w:uiPriority w:val="99"/>
    <w:semiHidden/>
    <w:unhideWhenUsed/>
    <w:rsid w:val="00D8704F"/>
  </w:style>
  <w:style w:type="numbering" w:customStyle="1" w:styleId="NoList21112">
    <w:name w:val="No List21112"/>
    <w:next w:val="NoList"/>
    <w:uiPriority w:val="99"/>
    <w:semiHidden/>
    <w:unhideWhenUsed/>
    <w:rsid w:val="00D8704F"/>
  </w:style>
  <w:style w:type="numbering" w:customStyle="1" w:styleId="NoList3111">
    <w:name w:val="No List3111"/>
    <w:next w:val="NoList"/>
    <w:uiPriority w:val="99"/>
    <w:semiHidden/>
    <w:unhideWhenUsed/>
    <w:rsid w:val="00D8704F"/>
  </w:style>
  <w:style w:type="numbering" w:customStyle="1" w:styleId="NoList1111111">
    <w:name w:val="No List1111111"/>
    <w:next w:val="NoList"/>
    <w:uiPriority w:val="99"/>
    <w:semiHidden/>
    <w:unhideWhenUsed/>
    <w:rsid w:val="00D8704F"/>
  </w:style>
  <w:style w:type="numbering" w:customStyle="1" w:styleId="NoList211111">
    <w:name w:val="No List211111"/>
    <w:next w:val="NoList"/>
    <w:uiPriority w:val="99"/>
    <w:semiHidden/>
    <w:unhideWhenUsed/>
    <w:rsid w:val="00D8704F"/>
  </w:style>
  <w:style w:type="numbering" w:customStyle="1" w:styleId="NoList11111111">
    <w:name w:val="No List11111111"/>
    <w:next w:val="NoList"/>
    <w:uiPriority w:val="99"/>
    <w:semiHidden/>
    <w:unhideWhenUsed/>
    <w:rsid w:val="00D8704F"/>
  </w:style>
  <w:style w:type="numbering" w:customStyle="1" w:styleId="NoList4111">
    <w:name w:val="No List4111"/>
    <w:next w:val="NoList"/>
    <w:uiPriority w:val="99"/>
    <w:semiHidden/>
    <w:unhideWhenUsed/>
    <w:rsid w:val="00D8704F"/>
  </w:style>
  <w:style w:type="numbering" w:customStyle="1" w:styleId="NoList12111">
    <w:name w:val="No List12111"/>
    <w:next w:val="NoList"/>
    <w:uiPriority w:val="99"/>
    <w:semiHidden/>
    <w:unhideWhenUsed/>
    <w:rsid w:val="00D8704F"/>
  </w:style>
  <w:style w:type="numbering" w:customStyle="1" w:styleId="NoList511">
    <w:name w:val="No List511"/>
    <w:next w:val="NoList"/>
    <w:uiPriority w:val="99"/>
    <w:semiHidden/>
    <w:unhideWhenUsed/>
    <w:rsid w:val="00D8704F"/>
  </w:style>
  <w:style w:type="numbering" w:customStyle="1" w:styleId="NoList151">
    <w:name w:val="No List151"/>
    <w:next w:val="NoList"/>
    <w:uiPriority w:val="99"/>
    <w:semiHidden/>
    <w:unhideWhenUsed/>
    <w:rsid w:val="00D8704F"/>
  </w:style>
  <w:style w:type="numbering" w:customStyle="1" w:styleId="NoList2211">
    <w:name w:val="No List2211"/>
    <w:next w:val="NoList"/>
    <w:uiPriority w:val="99"/>
    <w:semiHidden/>
    <w:unhideWhenUsed/>
    <w:rsid w:val="00D8704F"/>
  </w:style>
  <w:style w:type="numbering" w:customStyle="1" w:styleId="NoList11211">
    <w:name w:val="No List11211"/>
    <w:next w:val="NoList"/>
    <w:uiPriority w:val="99"/>
    <w:semiHidden/>
    <w:unhideWhenUsed/>
    <w:rsid w:val="00D8704F"/>
  </w:style>
  <w:style w:type="numbering" w:customStyle="1" w:styleId="NoList2121">
    <w:name w:val="No List2121"/>
    <w:next w:val="NoList"/>
    <w:uiPriority w:val="99"/>
    <w:semiHidden/>
    <w:unhideWhenUsed/>
    <w:rsid w:val="00D8704F"/>
  </w:style>
  <w:style w:type="numbering" w:customStyle="1" w:styleId="NoList321">
    <w:name w:val="No List321"/>
    <w:next w:val="NoList"/>
    <w:uiPriority w:val="99"/>
    <w:semiHidden/>
    <w:unhideWhenUsed/>
    <w:rsid w:val="00D8704F"/>
  </w:style>
  <w:style w:type="numbering" w:customStyle="1" w:styleId="NoList11121">
    <w:name w:val="No List11121"/>
    <w:next w:val="NoList"/>
    <w:uiPriority w:val="99"/>
    <w:semiHidden/>
    <w:unhideWhenUsed/>
    <w:rsid w:val="00D8704F"/>
  </w:style>
  <w:style w:type="numbering" w:customStyle="1" w:styleId="NoList21121">
    <w:name w:val="No List21121"/>
    <w:next w:val="NoList"/>
    <w:uiPriority w:val="99"/>
    <w:semiHidden/>
    <w:unhideWhenUsed/>
    <w:rsid w:val="00D8704F"/>
  </w:style>
  <w:style w:type="numbering" w:customStyle="1" w:styleId="NoList111121">
    <w:name w:val="No List111121"/>
    <w:next w:val="NoList"/>
    <w:uiPriority w:val="99"/>
    <w:semiHidden/>
    <w:unhideWhenUsed/>
    <w:rsid w:val="00D8704F"/>
  </w:style>
  <w:style w:type="numbering" w:customStyle="1" w:styleId="NoList421">
    <w:name w:val="No List421"/>
    <w:next w:val="NoList"/>
    <w:uiPriority w:val="99"/>
    <w:semiHidden/>
    <w:unhideWhenUsed/>
    <w:rsid w:val="00D8704F"/>
  </w:style>
  <w:style w:type="numbering" w:customStyle="1" w:styleId="NoList1221">
    <w:name w:val="No List1221"/>
    <w:next w:val="NoList"/>
    <w:uiPriority w:val="99"/>
    <w:semiHidden/>
    <w:unhideWhenUsed/>
    <w:rsid w:val="00D8704F"/>
  </w:style>
  <w:style w:type="numbering" w:customStyle="1" w:styleId="NoList61">
    <w:name w:val="No List61"/>
    <w:next w:val="NoList"/>
    <w:uiPriority w:val="99"/>
    <w:semiHidden/>
    <w:unhideWhenUsed/>
    <w:rsid w:val="00D8704F"/>
  </w:style>
  <w:style w:type="numbering" w:customStyle="1" w:styleId="NoList161">
    <w:name w:val="No List161"/>
    <w:next w:val="NoList"/>
    <w:uiPriority w:val="99"/>
    <w:semiHidden/>
    <w:unhideWhenUsed/>
    <w:rsid w:val="00D8704F"/>
  </w:style>
  <w:style w:type="numbering" w:customStyle="1" w:styleId="NoList231">
    <w:name w:val="No List231"/>
    <w:next w:val="NoList"/>
    <w:uiPriority w:val="99"/>
    <w:semiHidden/>
    <w:unhideWhenUsed/>
    <w:rsid w:val="00D8704F"/>
  </w:style>
  <w:style w:type="numbering" w:customStyle="1" w:styleId="NoList1131">
    <w:name w:val="No List1131"/>
    <w:next w:val="NoList"/>
    <w:uiPriority w:val="99"/>
    <w:semiHidden/>
    <w:unhideWhenUsed/>
    <w:rsid w:val="00D8704F"/>
  </w:style>
  <w:style w:type="numbering" w:customStyle="1" w:styleId="NoList2131">
    <w:name w:val="No List2131"/>
    <w:next w:val="NoList"/>
    <w:uiPriority w:val="99"/>
    <w:semiHidden/>
    <w:unhideWhenUsed/>
    <w:rsid w:val="00D8704F"/>
  </w:style>
  <w:style w:type="numbering" w:customStyle="1" w:styleId="NoList331">
    <w:name w:val="No List331"/>
    <w:next w:val="NoList"/>
    <w:uiPriority w:val="99"/>
    <w:semiHidden/>
    <w:unhideWhenUsed/>
    <w:rsid w:val="00D8704F"/>
  </w:style>
  <w:style w:type="numbering" w:customStyle="1" w:styleId="NoList11131">
    <w:name w:val="No List11131"/>
    <w:next w:val="NoList"/>
    <w:uiPriority w:val="99"/>
    <w:semiHidden/>
    <w:unhideWhenUsed/>
    <w:rsid w:val="00D8704F"/>
  </w:style>
  <w:style w:type="numbering" w:customStyle="1" w:styleId="NoList21131">
    <w:name w:val="No List21131"/>
    <w:next w:val="NoList"/>
    <w:uiPriority w:val="99"/>
    <w:semiHidden/>
    <w:unhideWhenUsed/>
    <w:rsid w:val="00D8704F"/>
  </w:style>
  <w:style w:type="numbering" w:customStyle="1" w:styleId="NoList111131">
    <w:name w:val="No List111131"/>
    <w:next w:val="NoList"/>
    <w:uiPriority w:val="99"/>
    <w:semiHidden/>
    <w:unhideWhenUsed/>
    <w:rsid w:val="00D8704F"/>
  </w:style>
  <w:style w:type="numbering" w:customStyle="1" w:styleId="NoList431">
    <w:name w:val="No List431"/>
    <w:next w:val="NoList"/>
    <w:uiPriority w:val="99"/>
    <w:semiHidden/>
    <w:unhideWhenUsed/>
    <w:rsid w:val="00D8704F"/>
  </w:style>
  <w:style w:type="numbering" w:customStyle="1" w:styleId="NoList1231">
    <w:name w:val="No List1231"/>
    <w:next w:val="NoList"/>
    <w:uiPriority w:val="99"/>
    <w:semiHidden/>
    <w:unhideWhenUsed/>
    <w:rsid w:val="00D8704F"/>
  </w:style>
  <w:style w:type="numbering" w:customStyle="1" w:styleId="NoList71">
    <w:name w:val="No List71"/>
    <w:next w:val="NoList"/>
    <w:uiPriority w:val="99"/>
    <w:semiHidden/>
    <w:unhideWhenUsed/>
    <w:rsid w:val="00D8704F"/>
  </w:style>
  <w:style w:type="numbering" w:customStyle="1" w:styleId="NoList171">
    <w:name w:val="No List171"/>
    <w:next w:val="NoList"/>
    <w:uiPriority w:val="99"/>
    <w:semiHidden/>
    <w:unhideWhenUsed/>
    <w:rsid w:val="00D8704F"/>
  </w:style>
  <w:style w:type="numbering" w:customStyle="1" w:styleId="NoList241">
    <w:name w:val="No List241"/>
    <w:next w:val="NoList"/>
    <w:uiPriority w:val="99"/>
    <w:semiHidden/>
    <w:unhideWhenUsed/>
    <w:rsid w:val="00D8704F"/>
  </w:style>
  <w:style w:type="numbering" w:customStyle="1" w:styleId="NoList1141">
    <w:name w:val="No List1141"/>
    <w:next w:val="NoList"/>
    <w:uiPriority w:val="99"/>
    <w:semiHidden/>
    <w:unhideWhenUsed/>
    <w:rsid w:val="00D8704F"/>
  </w:style>
  <w:style w:type="numbering" w:customStyle="1" w:styleId="NoList2141">
    <w:name w:val="No List2141"/>
    <w:next w:val="NoList"/>
    <w:uiPriority w:val="99"/>
    <w:semiHidden/>
    <w:unhideWhenUsed/>
    <w:rsid w:val="00D8704F"/>
  </w:style>
  <w:style w:type="numbering" w:customStyle="1" w:styleId="NoList341">
    <w:name w:val="No List341"/>
    <w:next w:val="NoList"/>
    <w:uiPriority w:val="99"/>
    <w:semiHidden/>
    <w:unhideWhenUsed/>
    <w:rsid w:val="00D8704F"/>
  </w:style>
  <w:style w:type="numbering" w:customStyle="1" w:styleId="NoList11141">
    <w:name w:val="No List11141"/>
    <w:next w:val="NoList"/>
    <w:uiPriority w:val="99"/>
    <w:semiHidden/>
    <w:unhideWhenUsed/>
    <w:rsid w:val="00D8704F"/>
  </w:style>
  <w:style w:type="numbering" w:customStyle="1" w:styleId="NoList21141">
    <w:name w:val="No List21141"/>
    <w:next w:val="NoList"/>
    <w:uiPriority w:val="99"/>
    <w:semiHidden/>
    <w:unhideWhenUsed/>
    <w:rsid w:val="00D8704F"/>
  </w:style>
  <w:style w:type="numbering" w:customStyle="1" w:styleId="NoList111141">
    <w:name w:val="No List111141"/>
    <w:next w:val="NoList"/>
    <w:uiPriority w:val="99"/>
    <w:semiHidden/>
    <w:unhideWhenUsed/>
    <w:rsid w:val="00D8704F"/>
  </w:style>
  <w:style w:type="numbering" w:customStyle="1" w:styleId="NoList441">
    <w:name w:val="No List441"/>
    <w:next w:val="NoList"/>
    <w:uiPriority w:val="99"/>
    <w:semiHidden/>
    <w:unhideWhenUsed/>
    <w:rsid w:val="00D8704F"/>
  </w:style>
  <w:style w:type="numbering" w:customStyle="1" w:styleId="NoList1241">
    <w:name w:val="No List1241"/>
    <w:next w:val="NoList"/>
    <w:uiPriority w:val="99"/>
    <w:semiHidden/>
    <w:unhideWhenUsed/>
    <w:rsid w:val="00D8704F"/>
  </w:style>
  <w:style w:type="numbering" w:customStyle="1" w:styleId="NoList81">
    <w:name w:val="No List81"/>
    <w:next w:val="NoList"/>
    <w:uiPriority w:val="99"/>
    <w:semiHidden/>
    <w:unhideWhenUsed/>
    <w:rsid w:val="00D8704F"/>
  </w:style>
  <w:style w:type="numbering" w:customStyle="1" w:styleId="NoList181">
    <w:name w:val="No List181"/>
    <w:next w:val="NoList"/>
    <w:uiPriority w:val="99"/>
    <w:semiHidden/>
    <w:unhideWhenUsed/>
    <w:rsid w:val="00D8704F"/>
  </w:style>
  <w:style w:type="numbering" w:customStyle="1" w:styleId="NoList251">
    <w:name w:val="No List251"/>
    <w:next w:val="NoList"/>
    <w:uiPriority w:val="99"/>
    <w:semiHidden/>
    <w:unhideWhenUsed/>
    <w:rsid w:val="00D8704F"/>
  </w:style>
  <w:style w:type="numbering" w:customStyle="1" w:styleId="NoList351">
    <w:name w:val="No List351"/>
    <w:next w:val="NoList"/>
    <w:uiPriority w:val="99"/>
    <w:semiHidden/>
    <w:unhideWhenUsed/>
    <w:rsid w:val="00D8704F"/>
  </w:style>
  <w:style w:type="numbering" w:customStyle="1" w:styleId="NoList1151">
    <w:name w:val="No List1151"/>
    <w:next w:val="NoList"/>
    <w:uiPriority w:val="99"/>
    <w:semiHidden/>
    <w:unhideWhenUsed/>
    <w:rsid w:val="00D8704F"/>
  </w:style>
  <w:style w:type="numbering" w:customStyle="1" w:styleId="NoList2151">
    <w:name w:val="No List2151"/>
    <w:next w:val="NoList"/>
    <w:uiPriority w:val="99"/>
    <w:semiHidden/>
    <w:unhideWhenUsed/>
    <w:rsid w:val="00D8704F"/>
  </w:style>
  <w:style w:type="numbering" w:customStyle="1" w:styleId="NoList11151">
    <w:name w:val="No List11151"/>
    <w:next w:val="NoList"/>
    <w:uiPriority w:val="99"/>
    <w:semiHidden/>
    <w:unhideWhenUsed/>
    <w:rsid w:val="00D8704F"/>
  </w:style>
  <w:style w:type="numbering" w:customStyle="1" w:styleId="NoList451">
    <w:name w:val="No List451"/>
    <w:next w:val="NoList"/>
    <w:uiPriority w:val="99"/>
    <w:semiHidden/>
    <w:unhideWhenUsed/>
    <w:rsid w:val="00D8704F"/>
  </w:style>
  <w:style w:type="numbering" w:customStyle="1" w:styleId="NoList1251">
    <w:name w:val="No List1251"/>
    <w:next w:val="NoList"/>
    <w:uiPriority w:val="99"/>
    <w:semiHidden/>
    <w:unhideWhenUsed/>
    <w:rsid w:val="00D8704F"/>
  </w:style>
  <w:style w:type="numbering" w:customStyle="1" w:styleId="NoList91">
    <w:name w:val="No List91"/>
    <w:next w:val="NoList"/>
    <w:uiPriority w:val="99"/>
    <w:semiHidden/>
    <w:unhideWhenUsed/>
    <w:rsid w:val="00D8704F"/>
  </w:style>
  <w:style w:type="numbering" w:customStyle="1" w:styleId="NoList191">
    <w:name w:val="No List191"/>
    <w:next w:val="NoList"/>
    <w:uiPriority w:val="99"/>
    <w:semiHidden/>
    <w:unhideWhenUsed/>
    <w:rsid w:val="00D8704F"/>
  </w:style>
  <w:style w:type="numbering" w:customStyle="1" w:styleId="NoList261">
    <w:name w:val="No List261"/>
    <w:next w:val="NoList"/>
    <w:uiPriority w:val="99"/>
    <w:semiHidden/>
    <w:unhideWhenUsed/>
    <w:rsid w:val="00D8704F"/>
  </w:style>
  <w:style w:type="numbering" w:customStyle="1" w:styleId="NoList361">
    <w:name w:val="No List361"/>
    <w:next w:val="NoList"/>
    <w:uiPriority w:val="99"/>
    <w:semiHidden/>
    <w:unhideWhenUsed/>
    <w:rsid w:val="00D8704F"/>
  </w:style>
  <w:style w:type="numbering" w:customStyle="1" w:styleId="NoList1161">
    <w:name w:val="No List1161"/>
    <w:next w:val="NoList"/>
    <w:uiPriority w:val="99"/>
    <w:semiHidden/>
    <w:unhideWhenUsed/>
    <w:rsid w:val="00D8704F"/>
  </w:style>
  <w:style w:type="numbering" w:customStyle="1" w:styleId="NoList2161">
    <w:name w:val="No List2161"/>
    <w:next w:val="NoList"/>
    <w:uiPriority w:val="99"/>
    <w:semiHidden/>
    <w:unhideWhenUsed/>
    <w:rsid w:val="00D8704F"/>
  </w:style>
  <w:style w:type="numbering" w:customStyle="1" w:styleId="NoList11161">
    <w:name w:val="No List11161"/>
    <w:next w:val="NoList"/>
    <w:uiPriority w:val="99"/>
    <w:semiHidden/>
    <w:unhideWhenUsed/>
    <w:rsid w:val="00D8704F"/>
  </w:style>
  <w:style w:type="numbering" w:customStyle="1" w:styleId="NoList461">
    <w:name w:val="No List461"/>
    <w:next w:val="NoList"/>
    <w:uiPriority w:val="99"/>
    <w:semiHidden/>
    <w:unhideWhenUsed/>
    <w:rsid w:val="00D8704F"/>
  </w:style>
  <w:style w:type="numbering" w:customStyle="1" w:styleId="NoList1261">
    <w:name w:val="No List1261"/>
    <w:next w:val="NoList"/>
    <w:uiPriority w:val="99"/>
    <w:semiHidden/>
    <w:unhideWhenUsed/>
    <w:rsid w:val="00D8704F"/>
  </w:style>
  <w:style w:type="table" w:customStyle="1" w:styleId="TableGrid97">
    <w:name w:val="Table Grid97"/>
    <w:basedOn w:val="TableNormal"/>
    <w:next w:val="TableGrid"/>
    <w:uiPriority w:val="59"/>
    <w:rsid w:val="00C21764"/>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next w:val="TableGrid"/>
    <w:uiPriority w:val="39"/>
    <w:rsid w:val="00A25848"/>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0">
    <w:name w:val="No List20"/>
    <w:next w:val="NoList"/>
    <w:uiPriority w:val="99"/>
    <w:semiHidden/>
    <w:unhideWhenUsed/>
    <w:rsid w:val="004E171C"/>
  </w:style>
  <w:style w:type="numbering" w:customStyle="1" w:styleId="NoList118">
    <w:name w:val="No List118"/>
    <w:next w:val="NoList"/>
    <w:uiPriority w:val="99"/>
    <w:semiHidden/>
    <w:unhideWhenUsed/>
    <w:rsid w:val="004E171C"/>
  </w:style>
  <w:style w:type="numbering" w:customStyle="1" w:styleId="NoList119">
    <w:name w:val="No List119"/>
    <w:next w:val="NoList"/>
    <w:uiPriority w:val="99"/>
    <w:semiHidden/>
    <w:unhideWhenUsed/>
    <w:rsid w:val="004E171C"/>
  </w:style>
  <w:style w:type="numbering" w:customStyle="1" w:styleId="NoList28">
    <w:name w:val="No List28"/>
    <w:next w:val="NoList"/>
    <w:uiPriority w:val="99"/>
    <w:semiHidden/>
    <w:unhideWhenUsed/>
    <w:rsid w:val="004E171C"/>
  </w:style>
  <w:style w:type="numbering" w:customStyle="1" w:styleId="NoList1118">
    <w:name w:val="No List1118"/>
    <w:next w:val="NoList"/>
    <w:uiPriority w:val="99"/>
    <w:semiHidden/>
    <w:unhideWhenUsed/>
    <w:rsid w:val="004E171C"/>
  </w:style>
  <w:style w:type="numbering" w:customStyle="1" w:styleId="NoList38">
    <w:name w:val="No List38"/>
    <w:next w:val="NoList"/>
    <w:uiPriority w:val="99"/>
    <w:semiHidden/>
    <w:unhideWhenUsed/>
    <w:rsid w:val="004E171C"/>
  </w:style>
  <w:style w:type="numbering" w:customStyle="1" w:styleId="NoList218">
    <w:name w:val="No List218"/>
    <w:next w:val="NoList"/>
    <w:uiPriority w:val="99"/>
    <w:semiHidden/>
    <w:unhideWhenUsed/>
    <w:rsid w:val="004E171C"/>
  </w:style>
  <w:style w:type="numbering" w:customStyle="1" w:styleId="NoList11116">
    <w:name w:val="No List11116"/>
    <w:next w:val="NoList"/>
    <w:uiPriority w:val="99"/>
    <w:semiHidden/>
    <w:unhideWhenUsed/>
    <w:rsid w:val="004E171C"/>
  </w:style>
  <w:style w:type="numbering" w:customStyle="1" w:styleId="NoList48">
    <w:name w:val="No List48"/>
    <w:next w:val="NoList"/>
    <w:uiPriority w:val="99"/>
    <w:semiHidden/>
    <w:unhideWhenUsed/>
    <w:rsid w:val="004E171C"/>
  </w:style>
  <w:style w:type="numbering" w:customStyle="1" w:styleId="NoList128">
    <w:name w:val="No List128"/>
    <w:next w:val="NoList"/>
    <w:uiPriority w:val="99"/>
    <w:semiHidden/>
    <w:unhideWhenUsed/>
    <w:rsid w:val="004E171C"/>
  </w:style>
  <w:style w:type="numbering" w:customStyle="1" w:styleId="NoList53">
    <w:name w:val="No List53"/>
    <w:next w:val="NoList"/>
    <w:uiPriority w:val="99"/>
    <w:semiHidden/>
    <w:unhideWhenUsed/>
    <w:rsid w:val="004E171C"/>
  </w:style>
  <w:style w:type="numbering" w:customStyle="1" w:styleId="NoList133">
    <w:name w:val="No List133"/>
    <w:next w:val="NoList"/>
    <w:uiPriority w:val="99"/>
    <w:semiHidden/>
    <w:unhideWhenUsed/>
    <w:rsid w:val="004E171C"/>
  </w:style>
  <w:style w:type="numbering" w:customStyle="1" w:styleId="NoList1123">
    <w:name w:val="No List1123"/>
    <w:next w:val="NoList"/>
    <w:uiPriority w:val="99"/>
    <w:semiHidden/>
    <w:unhideWhenUsed/>
    <w:rsid w:val="004E171C"/>
  </w:style>
  <w:style w:type="numbering" w:customStyle="1" w:styleId="NoList223">
    <w:name w:val="No List223"/>
    <w:next w:val="NoList"/>
    <w:uiPriority w:val="99"/>
    <w:semiHidden/>
    <w:unhideWhenUsed/>
    <w:rsid w:val="004E171C"/>
  </w:style>
  <w:style w:type="numbering" w:customStyle="1" w:styleId="NoList1213">
    <w:name w:val="No List1213"/>
    <w:next w:val="NoList"/>
    <w:uiPriority w:val="99"/>
    <w:semiHidden/>
    <w:unhideWhenUsed/>
    <w:rsid w:val="004E171C"/>
  </w:style>
  <w:style w:type="numbering" w:customStyle="1" w:styleId="NoList313">
    <w:name w:val="No List313"/>
    <w:next w:val="NoList"/>
    <w:uiPriority w:val="99"/>
    <w:semiHidden/>
    <w:unhideWhenUsed/>
    <w:rsid w:val="004E171C"/>
  </w:style>
  <w:style w:type="numbering" w:customStyle="1" w:styleId="NoList1312">
    <w:name w:val="No List1312"/>
    <w:next w:val="NoList"/>
    <w:uiPriority w:val="99"/>
    <w:semiHidden/>
    <w:unhideWhenUsed/>
    <w:rsid w:val="004E171C"/>
  </w:style>
  <w:style w:type="numbering" w:customStyle="1" w:styleId="NoList413">
    <w:name w:val="No List413"/>
    <w:next w:val="NoList"/>
    <w:uiPriority w:val="99"/>
    <w:semiHidden/>
    <w:unhideWhenUsed/>
    <w:rsid w:val="004E171C"/>
  </w:style>
  <w:style w:type="numbering" w:customStyle="1" w:styleId="NoList142">
    <w:name w:val="No List142"/>
    <w:next w:val="NoList"/>
    <w:uiPriority w:val="99"/>
    <w:semiHidden/>
    <w:unhideWhenUsed/>
    <w:rsid w:val="004E171C"/>
  </w:style>
  <w:style w:type="numbering" w:customStyle="1" w:styleId="NoList2116">
    <w:name w:val="No List2116"/>
    <w:next w:val="NoList"/>
    <w:uiPriority w:val="99"/>
    <w:semiHidden/>
    <w:unhideWhenUsed/>
    <w:rsid w:val="004E171C"/>
  </w:style>
  <w:style w:type="numbering" w:customStyle="1" w:styleId="NoList111113">
    <w:name w:val="No List111113"/>
    <w:next w:val="NoList"/>
    <w:uiPriority w:val="99"/>
    <w:semiHidden/>
    <w:unhideWhenUsed/>
    <w:rsid w:val="004E171C"/>
  </w:style>
  <w:style w:type="numbering" w:customStyle="1" w:styleId="NoList21113">
    <w:name w:val="No List21113"/>
    <w:next w:val="NoList"/>
    <w:uiPriority w:val="99"/>
    <w:semiHidden/>
    <w:unhideWhenUsed/>
    <w:rsid w:val="004E171C"/>
  </w:style>
  <w:style w:type="numbering" w:customStyle="1" w:styleId="NoList3112">
    <w:name w:val="No List3112"/>
    <w:next w:val="NoList"/>
    <w:uiPriority w:val="99"/>
    <w:semiHidden/>
    <w:unhideWhenUsed/>
    <w:rsid w:val="004E171C"/>
  </w:style>
  <w:style w:type="numbering" w:customStyle="1" w:styleId="NoList1111112">
    <w:name w:val="No List1111112"/>
    <w:next w:val="NoList"/>
    <w:uiPriority w:val="99"/>
    <w:semiHidden/>
    <w:unhideWhenUsed/>
    <w:rsid w:val="004E171C"/>
  </w:style>
  <w:style w:type="numbering" w:customStyle="1" w:styleId="NoList211112">
    <w:name w:val="No List211112"/>
    <w:next w:val="NoList"/>
    <w:uiPriority w:val="99"/>
    <w:semiHidden/>
    <w:unhideWhenUsed/>
    <w:rsid w:val="004E171C"/>
  </w:style>
  <w:style w:type="numbering" w:customStyle="1" w:styleId="NoList11111112">
    <w:name w:val="No List11111112"/>
    <w:next w:val="NoList"/>
    <w:uiPriority w:val="99"/>
    <w:semiHidden/>
    <w:unhideWhenUsed/>
    <w:rsid w:val="004E171C"/>
  </w:style>
  <w:style w:type="numbering" w:customStyle="1" w:styleId="NoList4112">
    <w:name w:val="No List4112"/>
    <w:next w:val="NoList"/>
    <w:uiPriority w:val="99"/>
    <w:semiHidden/>
    <w:unhideWhenUsed/>
    <w:rsid w:val="004E171C"/>
  </w:style>
  <w:style w:type="numbering" w:customStyle="1" w:styleId="NoList12112">
    <w:name w:val="No List12112"/>
    <w:next w:val="NoList"/>
    <w:uiPriority w:val="99"/>
    <w:semiHidden/>
    <w:unhideWhenUsed/>
    <w:rsid w:val="004E171C"/>
  </w:style>
  <w:style w:type="numbering" w:customStyle="1" w:styleId="NoList512">
    <w:name w:val="No List512"/>
    <w:next w:val="NoList"/>
    <w:uiPriority w:val="99"/>
    <w:semiHidden/>
    <w:unhideWhenUsed/>
    <w:rsid w:val="004E171C"/>
  </w:style>
  <w:style w:type="numbering" w:customStyle="1" w:styleId="NoList152">
    <w:name w:val="No List152"/>
    <w:next w:val="NoList"/>
    <w:uiPriority w:val="99"/>
    <w:semiHidden/>
    <w:unhideWhenUsed/>
    <w:rsid w:val="004E171C"/>
  </w:style>
  <w:style w:type="numbering" w:customStyle="1" w:styleId="NoList2212">
    <w:name w:val="No List2212"/>
    <w:next w:val="NoList"/>
    <w:uiPriority w:val="99"/>
    <w:semiHidden/>
    <w:unhideWhenUsed/>
    <w:rsid w:val="004E171C"/>
  </w:style>
  <w:style w:type="numbering" w:customStyle="1" w:styleId="NoList11212">
    <w:name w:val="No List11212"/>
    <w:next w:val="NoList"/>
    <w:uiPriority w:val="99"/>
    <w:semiHidden/>
    <w:unhideWhenUsed/>
    <w:rsid w:val="004E171C"/>
  </w:style>
  <w:style w:type="numbering" w:customStyle="1" w:styleId="NoList2122">
    <w:name w:val="No List2122"/>
    <w:next w:val="NoList"/>
    <w:uiPriority w:val="99"/>
    <w:semiHidden/>
    <w:unhideWhenUsed/>
    <w:rsid w:val="004E171C"/>
  </w:style>
  <w:style w:type="numbering" w:customStyle="1" w:styleId="NoList322">
    <w:name w:val="No List322"/>
    <w:next w:val="NoList"/>
    <w:uiPriority w:val="99"/>
    <w:semiHidden/>
    <w:unhideWhenUsed/>
    <w:rsid w:val="004E171C"/>
  </w:style>
  <w:style w:type="numbering" w:customStyle="1" w:styleId="NoList11122">
    <w:name w:val="No List11122"/>
    <w:next w:val="NoList"/>
    <w:uiPriority w:val="99"/>
    <w:semiHidden/>
    <w:unhideWhenUsed/>
    <w:rsid w:val="004E171C"/>
  </w:style>
  <w:style w:type="numbering" w:customStyle="1" w:styleId="NoList21122">
    <w:name w:val="No List21122"/>
    <w:next w:val="NoList"/>
    <w:uiPriority w:val="99"/>
    <w:semiHidden/>
    <w:unhideWhenUsed/>
    <w:rsid w:val="004E171C"/>
  </w:style>
  <w:style w:type="numbering" w:customStyle="1" w:styleId="NoList111122">
    <w:name w:val="No List111122"/>
    <w:next w:val="NoList"/>
    <w:uiPriority w:val="99"/>
    <w:semiHidden/>
    <w:unhideWhenUsed/>
    <w:rsid w:val="004E171C"/>
  </w:style>
  <w:style w:type="numbering" w:customStyle="1" w:styleId="NoList422">
    <w:name w:val="No List422"/>
    <w:next w:val="NoList"/>
    <w:uiPriority w:val="99"/>
    <w:semiHidden/>
    <w:unhideWhenUsed/>
    <w:rsid w:val="004E171C"/>
  </w:style>
  <w:style w:type="numbering" w:customStyle="1" w:styleId="NoList1222">
    <w:name w:val="No List1222"/>
    <w:next w:val="NoList"/>
    <w:uiPriority w:val="99"/>
    <w:semiHidden/>
    <w:unhideWhenUsed/>
    <w:rsid w:val="004E171C"/>
  </w:style>
  <w:style w:type="numbering" w:customStyle="1" w:styleId="NoList62">
    <w:name w:val="No List62"/>
    <w:next w:val="NoList"/>
    <w:uiPriority w:val="99"/>
    <w:semiHidden/>
    <w:unhideWhenUsed/>
    <w:rsid w:val="004E171C"/>
  </w:style>
  <w:style w:type="numbering" w:customStyle="1" w:styleId="NoList162">
    <w:name w:val="No List162"/>
    <w:next w:val="NoList"/>
    <w:uiPriority w:val="99"/>
    <w:semiHidden/>
    <w:unhideWhenUsed/>
    <w:rsid w:val="004E171C"/>
  </w:style>
  <w:style w:type="numbering" w:customStyle="1" w:styleId="NoList232">
    <w:name w:val="No List232"/>
    <w:next w:val="NoList"/>
    <w:uiPriority w:val="99"/>
    <w:semiHidden/>
    <w:unhideWhenUsed/>
    <w:rsid w:val="004E171C"/>
  </w:style>
  <w:style w:type="numbering" w:customStyle="1" w:styleId="NoList1132">
    <w:name w:val="No List1132"/>
    <w:next w:val="NoList"/>
    <w:uiPriority w:val="99"/>
    <w:semiHidden/>
    <w:unhideWhenUsed/>
    <w:rsid w:val="004E171C"/>
  </w:style>
  <w:style w:type="numbering" w:customStyle="1" w:styleId="NoList2132">
    <w:name w:val="No List2132"/>
    <w:next w:val="NoList"/>
    <w:uiPriority w:val="99"/>
    <w:semiHidden/>
    <w:unhideWhenUsed/>
    <w:rsid w:val="004E171C"/>
  </w:style>
  <w:style w:type="numbering" w:customStyle="1" w:styleId="NoList332">
    <w:name w:val="No List332"/>
    <w:next w:val="NoList"/>
    <w:uiPriority w:val="99"/>
    <w:semiHidden/>
    <w:unhideWhenUsed/>
    <w:rsid w:val="004E171C"/>
  </w:style>
  <w:style w:type="numbering" w:customStyle="1" w:styleId="NoList11132">
    <w:name w:val="No List11132"/>
    <w:next w:val="NoList"/>
    <w:uiPriority w:val="99"/>
    <w:semiHidden/>
    <w:unhideWhenUsed/>
    <w:rsid w:val="004E171C"/>
  </w:style>
  <w:style w:type="numbering" w:customStyle="1" w:styleId="NoList21132">
    <w:name w:val="No List21132"/>
    <w:next w:val="NoList"/>
    <w:uiPriority w:val="99"/>
    <w:semiHidden/>
    <w:unhideWhenUsed/>
    <w:rsid w:val="004E171C"/>
  </w:style>
  <w:style w:type="numbering" w:customStyle="1" w:styleId="NoList111132">
    <w:name w:val="No List111132"/>
    <w:next w:val="NoList"/>
    <w:uiPriority w:val="99"/>
    <w:semiHidden/>
    <w:unhideWhenUsed/>
    <w:rsid w:val="004E171C"/>
  </w:style>
  <w:style w:type="numbering" w:customStyle="1" w:styleId="NoList432">
    <w:name w:val="No List432"/>
    <w:next w:val="NoList"/>
    <w:uiPriority w:val="99"/>
    <w:semiHidden/>
    <w:unhideWhenUsed/>
    <w:rsid w:val="004E171C"/>
  </w:style>
  <w:style w:type="numbering" w:customStyle="1" w:styleId="NoList1232">
    <w:name w:val="No List1232"/>
    <w:next w:val="NoList"/>
    <w:uiPriority w:val="99"/>
    <w:semiHidden/>
    <w:unhideWhenUsed/>
    <w:rsid w:val="004E171C"/>
  </w:style>
  <w:style w:type="numbering" w:customStyle="1" w:styleId="NoList72">
    <w:name w:val="No List72"/>
    <w:next w:val="NoList"/>
    <w:uiPriority w:val="99"/>
    <w:semiHidden/>
    <w:unhideWhenUsed/>
    <w:rsid w:val="004E171C"/>
  </w:style>
  <w:style w:type="numbering" w:customStyle="1" w:styleId="NoList172">
    <w:name w:val="No List172"/>
    <w:next w:val="NoList"/>
    <w:uiPriority w:val="99"/>
    <w:semiHidden/>
    <w:unhideWhenUsed/>
    <w:rsid w:val="004E171C"/>
  </w:style>
  <w:style w:type="numbering" w:customStyle="1" w:styleId="NoList242">
    <w:name w:val="No List242"/>
    <w:next w:val="NoList"/>
    <w:uiPriority w:val="99"/>
    <w:semiHidden/>
    <w:unhideWhenUsed/>
    <w:rsid w:val="004E171C"/>
  </w:style>
  <w:style w:type="numbering" w:customStyle="1" w:styleId="NoList1142">
    <w:name w:val="No List1142"/>
    <w:next w:val="NoList"/>
    <w:uiPriority w:val="99"/>
    <w:semiHidden/>
    <w:unhideWhenUsed/>
    <w:rsid w:val="004E171C"/>
  </w:style>
  <w:style w:type="numbering" w:customStyle="1" w:styleId="NoList2142">
    <w:name w:val="No List2142"/>
    <w:next w:val="NoList"/>
    <w:uiPriority w:val="99"/>
    <w:semiHidden/>
    <w:unhideWhenUsed/>
    <w:rsid w:val="004E171C"/>
  </w:style>
  <w:style w:type="numbering" w:customStyle="1" w:styleId="NoList342">
    <w:name w:val="No List342"/>
    <w:next w:val="NoList"/>
    <w:uiPriority w:val="99"/>
    <w:semiHidden/>
    <w:unhideWhenUsed/>
    <w:rsid w:val="004E171C"/>
  </w:style>
  <w:style w:type="numbering" w:customStyle="1" w:styleId="NoList11142">
    <w:name w:val="No List11142"/>
    <w:next w:val="NoList"/>
    <w:uiPriority w:val="99"/>
    <w:semiHidden/>
    <w:unhideWhenUsed/>
    <w:rsid w:val="004E171C"/>
  </w:style>
  <w:style w:type="numbering" w:customStyle="1" w:styleId="NoList21142">
    <w:name w:val="No List21142"/>
    <w:next w:val="NoList"/>
    <w:uiPriority w:val="99"/>
    <w:semiHidden/>
    <w:unhideWhenUsed/>
    <w:rsid w:val="004E171C"/>
  </w:style>
  <w:style w:type="numbering" w:customStyle="1" w:styleId="NoList111142">
    <w:name w:val="No List111142"/>
    <w:next w:val="NoList"/>
    <w:uiPriority w:val="99"/>
    <w:semiHidden/>
    <w:unhideWhenUsed/>
    <w:rsid w:val="004E171C"/>
  </w:style>
  <w:style w:type="numbering" w:customStyle="1" w:styleId="NoList442">
    <w:name w:val="No List442"/>
    <w:next w:val="NoList"/>
    <w:uiPriority w:val="99"/>
    <w:semiHidden/>
    <w:unhideWhenUsed/>
    <w:rsid w:val="004E171C"/>
  </w:style>
  <w:style w:type="numbering" w:customStyle="1" w:styleId="NoList1242">
    <w:name w:val="No List1242"/>
    <w:next w:val="NoList"/>
    <w:uiPriority w:val="99"/>
    <w:semiHidden/>
    <w:unhideWhenUsed/>
    <w:rsid w:val="004E171C"/>
  </w:style>
  <w:style w:type="numbering" w:customStyle="1" w:styleId="NoList82">
    <w:name w:val="No List82"/>
    <w:next w:val="NoList"/>
    <w:uiPriority w:val="99"/>
    <w:semiHidden/>
    <w:unhideWhenUsed/>
    <w:rsid w:val="004E171C"/>
  </w:style>
  <w:style w:type="numbering" w:customStyle="1" w:styleId="NoList182">
    <w:name w:val="No List182"/>
    <w:next w:val="NoList"/>
    <w:uiPriority w:val="99"/>
    <w:semiHidden/>
    <w:unhideWhenUsed/>
    <w:rsid w:val="004E171C"/>
  </w:style>
  <w:style w:type="numbering" w:customStyle="1" w:styleId="NoList252">
    <w:name w:val="No List252"/>
    <w:next w:val="NoList"/>
    <w:uiPriority w:val="99"/>
    <w:semiHidden/>
    <w:unhideWhenUsed/>
    <w:rsid w:val="004E171C"/>
  </w:style>
  <w:style w:type="numbering" w:customStyle="1" w:styleId="NoList352">
    <w:name w:val="No List352"/>
    <w:next w:val="NoList"/>
    <w:uiPriority w:val="99"/>
    <w:semiHidden/>
    <w:unhideWhenUsed/>
    <w:rsid w:val="004E171C"/>
  </w:style>
  <w:style w:type="numbering" w:customStyle="1" w:styleId="NoList1152">
    <w:name w:val="No List1152"/>
    <w:next w:val="NoList"/>
    <w:uiPriority w:val="99"/>
    <w:semiHidden/>
    <w:unhideWhenUsed/>
    <w:rsid w:val="004E171C"/>
  </w:style>
  <w:style w:type="numbering" w:customStyle="1" w:styleId="NoList2152">
    <w:name w:val="No List2152"/>
    <w:next w:val="NoList"/>
    <w:uiPriority w:val="99"/>
    <w:semiHidden/>
    <w:unhideWhenUsed/>
    <w:rsid w:val="004E171C"/>
  </w:style>
  <w:style w:type="numbering" w:customStyle="1" w:styleId="NoList11152">
    <w:name w:val="No List11152"/>
    <w:next w:val="NoList"/>
    <w:uiPriority w:val="99"/>
    <w:semiHidden/>
    <w:unhideWhenUsed/>
    <w:rsid w:val="004E171C"/>
  </w:style>
  <w:style w:type="numbering" w:customStyle="1" w:styleId="NoList452">
    <w:name w:val="No List452"/>
    <w:next w:val="NoList"/>
    <w:uiPriority w:val="99"/>
    <w:semiHidden/>
    <w:unhideWhenUsed/>
    <w:rsid w:val="004E171C"/>
  </w:style>
  <w:style w:type="numbering" w:customStyle="1" w:styleId="NoList1252">
    <w:name w:val="No List1252"/>
    <w:next w:val="NoList"/>
    <w:uiPriority w:val="99"/>
    <w:semiHidden/>
    <w:unhideWhenUsed/>
    <w:rsid w:val="004E171C"/>
  </w:style>
  <w:style w:type="numbering" w:customStyle="1" w:styleId="NoList92">
    <w:name w:val="No List92"/>
    <w:next w:val="NoList"/>
    <w:uiPriority w:val="99"/>
    <w:semiHidden/>
    <w:unhideWhenUsed/>
    <w:rsid w:val="004E171C"/>
  </w:style>
  <w:style w:type="numbering" w:customStyle="1" w:styleId="NoList192">
    <w:name w:val="No List192"/>
    <w:next w:val="NoList"/>
    <w:uiPriority w:val="99"/>
    <w:semiHidden/>
    <w:unhideWhenUsed/>
    <w:rsid w:val="004E171C"/>
  </w:style>
  <w:style w:type="numbering" w:customStyle="1" w:styleId="NoList262">
    <w:name w:val="No List262"/>
    <w:next w:val="NoList"/>
    <w:uiPriority w:val="99"/>
    <w:semiHidden/>
    <w:unhideWhenUsed/>
    <w:rsid w:val="004E171C"/>
  </w:style>
  <w:style w:type="numbering" w:customStyle="1" w:styleId="NoList362">
    <w:name w:val="No List362"/>
    <w:next w:val="NoList"/>
    <w:uiPriority w:val="99"/>
    <w:semiHidden/>
    <w:unhideWhenUsed/>
    <w:rsid w:val="004E171C"/>
  </w:style>
  <w:style w:type="numbering" w:customStyle="1" w:styleId="NoList1162">
    <w:name w:val="No List1162"/>
    <w:next w:val="NoList"/>
    <w:uiPriority w:val="99"/>
    <w:semiHidden/>
    <w:unhideWhenUsed/>
    <w:rsid w:val="004E171C"/>
  </w:style>
  <w:style w:type="numbering" w:customStyle="1" w:styleId="NoList2162">
    <w:name w:val="No List2162"/>
    <w:next w:val="NoList"/>
    <w:uiPriority w:val="99"/>
    <w:semiHidden/>
    <w:unhideWhenUsed/>
    <w:rsid w:val="004E171C"/>
  </w:style>
  <w:style w:type="numbering" w:customStyle="1" w:styleId="NoList11162">
    <w:name w:val="No List11162"/>
    <w:next w:val="NoList"/>
    <w:uiPriority w:val="99"/>
    <w:semiHidden/>
    <w:unhideWhenUsed/>
    <w:rsid w:val="004E171C"/>
  </w:style>
  <w:style w:type="numbering" w:customStyle="1" w:styleId="NoList462">
    <w:name w:val="No List462"/>
    <w:next w:val="NoList"/>
    <w:uiPriority w:val="99"/>
    <w:semiHidden/>
    <w:unhideWhenUsed/>
    <w:rsid w:val="004E171C"/>
  </w:style>
  <w:style w:type="numbering" w:customStyle="1" w:styleId="NoList1262">
    <w:name w:val="No List1262"/>
    <w:next w:val="NoList"/>
    <w:uiPriority w:val="99"/>
    <w:semiHidden/>
    <w:unhideWhenUsed/>
    <w:rsid w:val="004E171C"/>
  </w:style>
  <w:style w:type="numbering" w:customStyle="1" w:styleId="NoList29">
    <w:name w:val="No List29"/>
    <w:next w:val="NoList"/>
    <w:uiPriority w:val="99"/>
    <w:semiHidden/>
    <w:unhideWhenUsed/>
    <w:rsid w:val="006E6ACE"/>
  </w:style>
  <w:style w:type="numbering" w:customStyle="1" w:styleId="NoList120">
    <w:name w:val="No List120"/>
    <w:next w:val="NoList"/>
    <w:uiPriority w:val="99"/>
    <w:semiHidden/>
    <w:unhideWhenUsed/>
    <w:rsid w:val="006E6ACE"/>
  </w:style>
  <w:style w:type="numbering" w:customStyle="1" w:styleId="NoList1110">
    <w:name w:val="No List1110"/>
    <w:next w:val="NoList"/>
    <w:uiPriority w:val="99"/>
    <w:semiHidden/>
    <w:unhideWhenUsed/>
    <w:rsid w:val="006E6ACE"/>
  </w:style>
  <w:style w:type="numbering" w:customStyle="1" w:styleId="NoList210">
    <w:name w:val="No List210"/>
    <w:next w:val="NoList"/>
    <w:uiPriority w:val="99"/>
    <w:semiHidden/>
    <w:unhideWhenUsed/>
    <w:rsid w:val="006E6ACE"/>
  </w:style>
  <w:style w:type="numbering" w:customStyle="1" w:styleId="NoList1119">
    <w:name w:val="No List1119"/>
    <w:next w:val="NoList"/>
    <w:uiPriority w:val="99"/>
    <w:semiHidden/>
    <w:unhideWhenUsed/>
    <w:rsid w:val="006E6ACE"/>
  </w:style>
  <w:style w:type="numbering" w:customStyle="1" w:styleId="NoList39">
    <w:name w:val="No List39"/>
    <w:next w:val="NoList"/>
    <w:uiPriority w:val="99"/>
    <w:semiHidden/>
    <w:unhideWhenUsed/>
    <w:rsid w:val="006E6ACE"/>
  </w:style>
  <w:style w:type="numbering" w:customStyle="1" w:styleId="NoList219">
    <w:name w:val="No List219"/>
    <w:next w:val="NoList"/>
    <w:uiPriority w:val="99"/>
    <w:semiHidden/>
    <w:unhideWhenUsed/>
    <w:rsid w:val="006E6ACE"/>
  </w:style>
  <w:style w:type="numbering" w:customStyle="1" w:styleId="NoList11117">
    <w:name w:val="No List11117"/>
    <w:next w:val="NoList"/>
    <w:uiPriority w:val="99"/>
    <w:semiHidden/>
    <w:unhideWhenUsed/>
    <w:rsid w:val="006E6ACE"/>
  </w:style>
  <w:style w:type="numbering" w:customStyle="1" w:styleId="NoList49">
    <w:name w:val="No List49"/>
    <w:next w:val="NoList"/>
    <w:uiPriority w:val="99"/>
    <w:semiHidden/>
    <w:unhideWhenUsed/>
    <w:rsid w:val="006E6ACE"/>
  </w:style>
  <w:style w:type="numbering" w:customStyle="1" w:styleId="NoList129">
    <w:name w:val="No List129"/>
    <w:next w:val="NoList"/>
    <w:uiPriority w:val="99"/>
    <w:semiHidden/>
    <w:unhideWhenUsed/>
    <w:rsid w:val="006E6ACE"/>
  </w:style>
  <w:style w:type="numbering" w:customStyle="1" w:styleId="NoList54">
    <w:name w:val="No List54"/>
    <w:next w:val="NoList"/>
    <w:uiPriority w:val="99"/>
    <w:semiHidden/>
    <w:unhideWhenUsed/>
    <w:rsid w:val="006E6ACE"/>
  </w:style>
  <w:style w:type="numbering" w:customStyle="1" w:styleId="NoList134">
    <w:name w:val="No List134"/>
    <w:next w:val="NoList"/>
    <w:uiPriority w:val="99"/>
    <w:semiHidden/>
    <w:unhideWhenUsed/>
    <w:rsid w:val="006E6ACE"/>
  </w:style>
  <w:style w:type="numbering" w:customStyle="1" w:styleId="NoList1124">
    <w:name w:val="No List1124"/>
    <w:next w:val="NoList"/>
    <w:uiPriority w:val="99"/>
    <w:semiHidden/>
    <w:unhideWhenUsed/>
    <w:rsid w:val="006E6ACE"/>
  </w:style>
  <w:style w:type="numbering" w:customStyle="1" w:styleId="NoList224">
    <w:name w:val="No List224"/>
    <w:next w:val="NoList"/>
    <w:uiPriority w:val="99"/>
    <w:semiHidden/>
    <w:unhideWhenUsed/>
    <w:rsid w:val="006E6ACE"/>
  </w:style>
  <w:style w:type="numbering" w:customStyle="1" w:styleId="NoList1214">
    <w:name w:val="No List1214"/>
    <w:next w:val="NoList"/>
    <w:uiPriority w:val="99"/>
    <w:semiHidden/>
    <w:unhideWhenUsed/>
    <w:rsid w:val="006E6ACE"/>
  </w:style>
  <w:style w:type="numbering" w:customStyle="1" w:styleId="NoList314">
    <w:name w:val="No List314"/>
    <w:next w:val="NoList"/>
    <w:uiPriority w:val="99"/>
    <w:semiHidden/>
    <w:unhideWhenUsed/>
    <w:rsid w:val="006E6ACE"/>
  </w:style>
  <w:style w:type="numbering" w:customStyle="1" w:styleId="NoList1313">
    <w:name w:val="No List1313"/>
    <w:next w:val="NoList"/>
    <w:uiPriority w:val="99"/>
    <w:semiHidden/>
    <w:unhideWhenUsed/>
    <w:rsid w:val="006E6ACE"/>
  </w:style>
  <w:style w:type="numbering" w:customStyle="1" w:styleId="NoList414">
    <w:name w:val="No List414"/>
    <w:next w:val="NoList"/>
    <w:uiPriority w:val="99"/>
    <w:semiHidden/>
    <w:unhideWhenUsed/>
    <w:rsid w:val="006E6ACE"/>
  </w:style>
  <w:style w:type="numbering" w:customStyle="1" w:styleId="NoList143">
    <w:name w:val="No List143"/>
    <w:next w:val="NoList"/>
    <w:uiPriority w:val="99"/>
    <w:semiHidden/>
    <w:unhideWhenUsed/>
    <w:rsid w:val="006E6ACE"/>
  </w:style>
  <w:style w:type="numbering" w:customStyle="1" w:styleId="NoList2117">
    <w:name w:val="No List2117"/>
    <w:next w:val="NoList"/>
    <w:uiPriority w:val="99"/>
    <w:semiHidden/>
    <w:unhideWhenUsed/>
    <w:rsid w:val="006E6ACE"/>
  </w:style>
  <w:style w:type="numbering" w:customStyle="1" w:styleId="NoList111114">
    <w:name w:val="No List111114"/>
    <w:next w:val="NoList"/>
    <w:uiPriority w:val="99"/>
    <w:semiHidden/>
    <w:unhideWhenUsed/>
    <w:rsid w:val="006E6ACE"/>
  </w:style>
  <w:style w:type="numbering" w:customStyle="1" w:styleId="NoList21114">
    <w:name w:val="No List21114"/>
    <w:next w:val="NoList"/>
    <w:uiPriority w:val="99"/>
    <w:semiHidden/>
    <w:unhideWhenUsed/>
    <w:rsid w:val="006E6ACE"/>
  </w:style>
  <w:style w:type="numbering" w:customStyle="1" w:styleId="NoList3113">
    <w:name w:val="No List3113"/>
    <w:next w:val="NoList"/>
    <w:uiPriority w:val="99"/>
    <w:semiHidden/>
    <w:unhideWhenUsed/>
    <w:rsid w:val="006E6ACE"/>
  </w:style>
  <w:style w:type="numbering" w:customStyle="1" w:styleId="NoList1111113">
    <w:name w:val="No List1111113"/>
    <w:next w:val="NoList"/>
    <w:uiPriority w:val="99"/>
    <w:semiHidden/>
    <w:unhideWhenUsed/>
    <w:rsid w:val="006E6ACE"/>
  </w:style>
  <w:style w:type="numbering" w:customStyle="1" w:styleId="NoList211113">
    <w:name w:val="No List211113"/>
    <w:next w:val="NoList"/>
    <w:uiPriority w:val="99"/>
    <w:semiHidden/>
    <w:unhideWhenUsed/>
    <w:rsid w:val="006E6ACE"/>
  </w:style>
  <w:style w:type="numbering" w:customStyle="1" w:styleId="NoList11111113">
    <w:name w:val="No List11111113"/>
    <w:next w:val="NoList"/>
    <w:uiPriority w:val="99"/>
    <w:semiHidden/>
    <w:unhideWhenUsed/>
    <w:rsid w:val="006E6ACE"/>
  </w:style>
  <w:style w:type="numbering" w:customStyle="1" w:styleId="NoList4113">
    <w:name w:val="No List4113"/>
    <w:next w:val="NoList"/>
    <w:uiPriority w:val="99"/>
    <w:semiHidden/>
    <w:unhideWhenUsed/>
    <w:rsid w:val="006E6ACE"/>
  </w:style>
  <w:style w:type="numbering" w:customStyle="1" w:styleId="NoList12113">
    <w:name w:val="No List12113"/>
    <w:next w:val="NoList"/>
    <w:uiPriority w:val="99"/>
    <w:semiHidden/>
    <w:unhideWhenUsed/>
    <w:rsid w:val="006E6ACE"/>
  </w:style>
  <w:style w:type="numbering" w:customStyle="1" w:styleId="NoList513">
    <w:name w:val="No List513"/>
    <w:next w:val="NoList"/>
    <w:uiPriority w:val="99"/>
    <w:semiHidden/>
    <w:unhideWhenUsed/>
    <w:rsid w:val="006E6ACE"/>
  </w:style>
  <w:style w:type="numbering" w:customStyle="1" w:styleId="NoList153">
    <w:name w:val="No List153"/>
    <w:next w:val="NoList"/>
    <w:uiPriority w:val="99"/>
    <w:semiHidden/>
    <w:unhideWhenUsed/>
    <w:rsid w:val="006E6ACE"/>
  </w:style>
  <w:style w:type="numbering" w:customStyle="1" w:styleId="NoList2213">
    <w:name w:val="No List2213"/>
    <w:next w:val="NoList"/>
    <w:uiPriority w:val="99"/>
    <w:semiHidden/>
    <w:unhideWhenUsed/>
    <w:rsid w:val="006E6ACE"/>
  </w:style>
  <w:style w:type="numbering" w:customStyle="1" w:styleId="NoList11213">
    <w:name w:val="No List11213"/>
    <w:next w:val="NoList"/>
    <w:uiPriority w:val="99"/>
    <w:semiHidden/>
    <w:unhideWhenUsed/>
    <w:rsid w:val="006E6ACE"/>
  </w:style>
  <w:style w:type="numbering" w:customStyle="1" w:styleId="NoList2123">
    <w:name w:val="No List2123"/>
    <w:next w:val="NoList"/>
    <w:uiPriority w:val="99"/>
    <w:semiHidden/>
    <w:unhideWhenUsed/>
    <w:rsid w:val="006E6ACE"/>
  </w:style>
  <w:style w:type="numbering" w:customStyle="1" w:styleId="NoList323">
    <w:name w:val="No List323"/>
    <w:next w:val="NoList"/>
    <w:uiPriority w:val="99"/>
    <w:semiHidden/>
    <w:unhideWhenUsed/>
    <w:rsid w:val="006E6ACE"/>
  </w:style>
  <w:style w:type="numbering" w:customStyle="1" w:styleId="NoList11123">
    <w:name w:val="No List11123"/>
    <w:next w:val="NoList"/>
    <w:uiPriority w:val="99"/>
    <w:semiHidden/>
    <w:unhideWhenUsed/>
    <w:rsid w:val="006E6ACE"/>
  </w:style>
  <w:style w:type="numbering" w:customStyle="1" w:styleId="NoList21123">
    <w:name w:val="No List21123"/>
    <w:next w:val="NoList"/>
    <w:uiPriority w:val="99"/>
    <w:semiHidden/>
    <w:unhideWhenUsed/>
    <w:rsid w:val="006E6ACE"/>
  </w:style>
  <w:style w:type="numbering" w:customStyle="1" w:styleId="NoList111123">
    <w:name w:val="No List111123"/>
    <w:next w:val="NoList"/>
    <w:uiPriority w:val="99"/>
    <w:semiHidden/>
    <w:unhideWhenUsed/>
    <w:rsid w:val="006E6ACE"/>
  </w:style>
  <w:style w:type="numbering" w:customStyle="1" w:styleId="NoList423">
    <w:name w:val="No List423"/>
    <w:next w:val="NoList"/>
    <w:uiPriority w:val="99"/>
    <w:semiHidden/>
    <w:unhideWhenUsed/>
    <w:rsid w:val="006E6ACE"/>
  </w:style>
  <w:style w:type="numbering" w:customStyle="1" w:styleId="NoList1223">
    <w:name w:val="No List1223"/>
    <w:next w:val="NoList"/>
    <w:uiPriority w:val="99"/>
    <w:semiHidden/>
    <w:unhideWhenUsed/>
    <w:rsid w:val="006E6ACE"/>
  </w:style>
  <w:style w:type="numbering" w:customStyle="1" w:styleId="NoList63">
    <w:name w:val="No List63"/>
    <w:next w:val="NoList"/>
    <w:uiPriority w:val="99"/>
    <w:semiHidden/>
    <w:unhideWhenUsed/>
    <w:rsid w:val="006E6ACE"/>
  </w:style>
  <w:style w:type="numbering" w:customStyle="1" w:styleId="NoList163">
    <w:name w:val="No List163"/>
    <w:next w:val="NoList"/>
    <w:uiPriority w:val="99"/>
    <w:semiHidden/>
    <w:unhideWhenUsed/>
    <w:rsid w:val="006E6ACE"/>
  </w:style>
  <w:style w:type="numbering" w:customStyle="1" w:styleId="NoList233">
    <w:name w:val="No List233"/>
    <w:next w:val="NoList"/>
    <w:uiPriority w:val="99"/>
    <w:semiHidden/>
    <w:unhideWhenUsed/>
    <w:rsid w:val="006E6ACE"/>
  </w:style>
  <w:style w:type="numbering" w:customStyle="1" w:styleId="NoList1133">
    <w:name w:val="No List1133"/>
    <w:next w:val="NoList"/>
    <w:uiPriority w:val="99"/>
    <w:semiHidden/>
    <w:unhideWhenUsed/>
    <w:rsid w:val="006E6ACE"/>
  </w:style>
  <w:style w:type="numbering" w:customStyle="1" w:styleId="NoList2133">
    <w:name w:val="No List2133"/>
    <w:next w:val="NoList"/>
    <w:uiPriority w:val="99"/>
    <w:semiHidden/>
    <w:unhideWhenUsed/>
    <w:rsid w:val="006E6ACE"/>
  </w:style>
  <w:style w:type="numbering" w:customStyle="1" w:styleId="NoList333">
    <w:name w:val="No List333"/>
    <w:next w:val="NoList"/>
    <w:uiPriority w:val="99"/>
    <w:semiHidden/>
    <w:unhideWhenUsed/>
    <w:rsid w:val="006E6ACE"/>
  </w:style>
  <w:style w:type="numbering" w:customStyle="1" w:styleId="NoList11133">
    <w:name w:val="No List11133"/>
    <w:next w:val="NoList"/>
    <w:uiPriority w:val="99"/>
    <w:semiHidden/>
    <w:unhideWhenUsed/>
    <w:rsid w:val="006E6ACE"/>
  </w:style>
  <w:style w:type="numbering" w:customStyle="1" w:styleId="NoList21133">
    <w:name w:val="No List21133"/>
    <w:next w:val="NoList"/>
    <w:uiPriority w:val="99"/>
    <w:semiHidden/>
    <w:unhideWhenUsed/>
    <w:rsid w:val="006E6ACE"/>
  </w:style>
  <w:style w:type="numbering" w:customStyle="1" w:styleId="NoList111133">
    <w:name w:val="No List111133"/>
    <w:next w:val="NoList"/>
    <w:uiPriority w:val="99"/>
    <w:semiHidden/>
    <w:unhideWhenUsed/>
    <w:rsid w:val="006E6ACE"/>
  </w:style>
  <w:style w:type="numbering" w:customStyle="1" w:styleId="NoList433">
    <w:name w:val="No List433"/>
    <w:next w:val="NoList"/>
    <w:uiPriority w:val="99"/>
    <w:semiHidden/>
    <w:unhideWhenUsed/>
    <w:rsid w:val="006E6ACE"/>
  </w:style>
  <w:style w:type="numbering" w:customStyle="1" w:styleId="NoList1233">
    <w:name w:val="No List1233"/>
    <w:next w:val="NoList"/>
    <w:uiPriority w:val="99"/>
    <w:semiHidden/>
    <w:unhideWhenUsed/>
    <w:rsid w:val="006E6ACE"/>
  </w:style>
  <w:style w:type="numbering" w:customStyle="1" w:styleId="NoList73">
    <w:name w:val="No List73"/>
    <w:next w:val="NoList"/>
    <w:uiPriority w:val="99"/>
    <w:semiHidden/>
    <w:unhideWhenUsed/>
    <w:rsid w:val="006E6ACE"/>
  </w:style>
  <w:style w:type="numbering" w:customStyle="1" w:styleId="NoList173">
    <w:name w:val="No List173"/>
    <w:next w:val="NoList"/>
    <w:uiPriority w:val="99"/>
    <w:semiHidden/>
    <w:unhideWhenUsed/>
    <w:rsid w:val="006E6ACE"/>
  </w:style>
  <w:style w:type="numbering" w:customStyle="1" w:styleId="NoList243">
    <w:name w:val="No List243"/>
    <w:next w:val="NoList"/>
    <w:uiPriority w:val="99"/>
    <w:semiHidden/>
    <w:unhideWhenUsed/>
    <w:rsid w:val="006E6ACE"/>
  </w:style>
  <w:style w:type="numbering" w:customStyle="1" w:styleId="NoList1143">
    <w:name w:val="No List1143"/>
    <w:next w:val="NoList"/>
    <w:uiPriority w:val="99"/>
    <w:semiHidden/>
    <w:unhideWhenUsed/>
    <w:rsid w:val="006E6ACE"/>
  </w:style>
  <w:style w:type="numbering" w:customStyle="1" w:styleId="NoList2143">
    <w:name w:val="No List2143"/>
    <w:next w:val="NoList"/>
    <w:uiPriority w:val="99"/>
    <w:semiHidden/>
    <w:unhideWhenUsed/>
    <w:rsid w:val="006E6ACE"/>
  </w:style>
  <w:style w:type="numbering" w:customStyle="1" w:styleId="NoList343">
    <w:name w:val="No List343"/>
    <w:next w:val="NoList"/>
    <w:uiPriority w:val="99"/>
    <w:semiHidden/>
    <w:unhideWhenUsed/>
    <w:rsid w:val="006E6ACE"/>
  </w:style>
  <w:style w:type="numbering" w:customStyle="1" w:styleId="NoList11143">
    <w:name w:val="No List11143"/>
    <w:next w:val="NoList"/>
    <w:uiPriority w:val="99"/>
    <w:semiHidden/>
    <w:unhideWhenUsed/>
    <w:rsid w:val="006E6ACE"/>
  </w:style>
  <w:style w:type="numbering" w:customStyle="1" w:styleId="NoList21143">
    <w:name w:val="No List21143"/>
    <w:next w:val="NoList"/>
    <w:uiPriority w:val="99"/>
    <w:semiHidden/>
    <w:unhideWhenUsed/>
    <w:rsid w:val="006E6ACE"/>
  </w:style>
  <w:style w:type="numbering" w:customStyle="1" w:styleId="NoList111143">
    <w:name w:val="No List111143"/>
    <w:next w:val="NoList"/>
    <w:uiPriority w:val="99"/>
    <w:semiHidden/>
    <w:unhideWhenUsed/>
    <w:rsid w:val="006E6ACE"/>
  </w:style>
  <w:style w:type="numbering" w:customStyle="1" w:styleId="NoList443">
    <w:name w:val="No List443"/>
    <w:next w:val="NoList"/>
    <w:uiPriority w:val="99"/>
    <w:semiHidden/>
    <w:unhideWhenUsed/>
    <w:rsid w:val="006E6ACE"/>
  </w:style>
  <w:style w:type="numbering" w:customStyle="1" w:styleId="NoList1243">
    <w:name w:val="No List1243"/>
    <w:next w:val="NoList"/>
    <w:uiPriority w:val="99"/>
    <w:semiHidden/>
    <w:unhideWhenUsed/>
    <w:rsid w:val="006E6ACE"/>
  </w:style>
  <w:style w:type="numbering" w:customStyle="1" w:styleId="NoList83">
    <w:name w:val="No List83"/>
    <w:next w:val="NoList"/>
    <w:uiPriority w:val="99"/>
    <w:semiHidden/>
    <w:unhideWhenUsed/>
    <w:rsid w:val="006E6ACE"/>
  </w:style>
  <w:style w:type="numbering" w:customStyle="1" w:styleId="NoList183">
    <w:name w:val="No List183"/>
    <w:next w:val="NoList"/>
    <w:uiPriority w:val="99"/>
    <w:semiHidden/>
    <w:unhideWhenUsed/>
    <w:rsid w:val="006E6ACE"/>
  </w:style>
  <w:style w:type="numbering" w:customStyle="1" w:styleId="NoList253">
    <w:name w:val="No List253"/>
    <w:next w:val="NoList"/>
    <w:uiPriority w:val="99"/>
    <w:semiHidden/>
    <w:unhideWhenUsed/>
    <w:rsid w:val="006E6ACE"/>
  </w:style>
  <w:style w:type="numbering" w:customStyle="1" w:styleId="NoList353">
    <w:name w:val="No List353"/>
    <w:next w:val="NoList"/>
    <w:uiPriority w:val="99"/>
    <w:semiHidden/>
    <w:unhideWhenUsed/>
    <w:rsid w:val="006E6ACE"/>
  </w:style>
  <w:style w:type="numbering" w:customStyle="1" w:styleId="NoList1153">
    <w:name w:val="No List1153"/>
    <w:next w:val="NoList"/>
    <w:uiPriority w:val="99"/>
    <w:semiHidden/>
    <w:unhideWhenUsed/>
    <w:rsid w:val="006E6ACE"/>
  </w:style>
  <w:style w:type="numbering" w:customStyle="1" w:styleId="NoList2153">
    <w:name w:val="No List2153"/>
    <w:next w:val="NoList"/>
    <w:uiPriority w:val="99"/>
    <w:semiHidden/>
    <w:unhideWhenUsed/>
    <w:rsid w:val="006E6ACE"/>
  </w:style>
  <w:style w:type="numbering" w:customStyle="1" w:styleId="NoList11153">
    <w:name w:val="No List11153"/>
    <w:next w:val="NoList"/>
    <w:uiPriority w:val="99"/>
    <w:semiHidden/>
    <w:unhideWhenUsed/>
    <w:rsid w:val="006E6ACE"/>
  </w:style>
  <w:style w:type="numbering" w:customStyle="1" w:styleId="NoList453">
    <w:name w:val="No List453"/>
    <w:next w:val="NoList"/>
    <w:uiPriority w:val="99"/>
    <w:semiHidden/>
    <w:unhideWhenUsed/>
    <w:rsid w:val="006E6ACE"/>
  </w:style>
  <w:style w:type="numbering" w:customStyle="1" w:styleId="NoList1253">
    <w:name w:val="No List1253"/>
    <w:next w:val="NoList"/>
    <w:uiPriority w:val="99"/>
    <w:semiHidden/>
    <w:unhideWhenUsed/>
    <w:rsid w:val="006E6ACE"/>
  </w:style>
  <w:style w:type="numbering" w:customStyle="1" w:styleId="NoList93">
    <w:name w:val="No List93"/>
    <w:next w:val="NoList"/>
    <w:uiPriority w:val="99"/>
    <w:semiHidden/>
    <w:unhideWhenUsed/>
    <w:rsid w:val="006E6ACE"/>
  </w:style>
  <w:style w:type="numbering" w:customStyle="1" w:styleId="NoList193">
    <w:name w:val="No List193"/>
    <w:next w:val="NoList"/>
    <w:uiPriority w:val="99"/>
    <w:semiHidden/>
    <w:unhideWhenUsed/>
    <w:rsid w:val="006E6ACE"/>
  </w:style>
  <w:style w:type="numbering" w:customStyle="1" w:styleId="NoList263">
    <w:name w:val="No List263"/>
    <w:next w:val="NoList"/>
    <w:uiPriority w:val="99"/>
    <w:semiHidden/>
    <w:unhideWhenUsed/>
    <w:rsid w:val="006E6ACE"/>
  </w:style>
  <w:style w:type="numbering" w:customStyle="1" w:styleId="NoList363">
    <w:name w:val="No List363"/>
    <w:next w:val="NoList"/>
    <w:uiPriority w:val="99"/>
    <w:semiHidden/>
    <w:unhideWhenUsed/>
    <w:rsid w:val="006E6ACE"/>
  </w:style>
  <w:style w:type="numbering" w:customStyle="1" w:styleId="NoList1163">
    <w:name w:val="No List1163"/>
    <w:next w:val="NoList"/>
    <w:uiPriority w:val="99"/>
    <w:semiHidden/>
    <w:unhideWhenUsed/>
    <w:rsid w:val="006E6ACE"/>
  </w:style>
  <w:style w:type="numbering" w:customStyle="1" w:styleId="NoList2163">
    <w:name w:val="No List2163"/>
    <w:next w:val="NoList"/>
    <w:uiPriority w:val="99"/>
    <w:semiHidden/>
    <w:unhideWhenUsed/>
    <w:rsid w:val="006E6ACE"/>
  </w:style>
  <w:style w:type="numbering" w:customStyle="1" w:styleId="NoList11163">
    <w:name w:val="No List11163"/>
    <w:next w:val="NoList"/>
    <w:uiPriority w:val="99"/>
    <w:semiHidden/>
    <w:unhideWhenUsed/>
    <w:rsid w:val="006E6ACE"/>
  </w:style>
  <w:style w:type="numbering" w:customStyle="1" w:styleId="NoList463">
    <w:name w:val="No List463"/>
    <w:next w:val="NoList"/>
    <w:uiPriority w:val="99"/>
    <w:semiHidden/>
    <w:unhideWhenUsed/>
    <w:rsid w:val="006E6ACE"/>
  </w:style>
  <w:style w:type="numbering" w:customStyle="1" w:styleId="NoList1263">
    <w:name w:val="No List1263"/>
    <w:next w:val="NoList"/>
    <w:uiPriority w:val="99"/>
    <w:semiHidden/>
    <w:unhideWhenUsed/>
    <w:rsid w:val="006E6ACE"/>
  </w:style>
  <w:style w:type="numbering" w:customStyle="1" w:styleId="NoList101">
    <w:name w:val="No List101"/>
    <w:next w:val="NoList"/>
    <w:uiPriority w:val="99"/>
    <w:semiHidden/>
    <w:unhideWhenUsed/>
    <w:rsid w:val="006E6ACE"/>
  </w:style>
  <w:style w:type="numbering" w:customStyle="1" w:styleId="NoList1101">
    <w:name w:val="No List1101"/>
    <w:next w:val="NoList"/>
    <w:uiPriority w:val="99"/>
    <w:semiHidden/>
    <w:unhideWhenUsed/>
    <w:rsid w:val="006E6ACE"/>
  </w:style>
  <w:style w:type="numbering" w:customStyle="1" w:styleId="NoList1171">
    <w:name w:val="No List1171"/>
    <w:next w:val="NoList"/>
    <w:uiPriority w:val="99"/>
    <w:semiHidden/>
    <w:unhideWhenUsed/>
    <w:rsid w:val="006E6ACE"/>
  </w:style>
  <w:style w:type="numbering" w:customStyle="1" w:styleId="NoList271">
    <w:name w:val="No List271"/>
    <w:next w:val="NoList"/>
    <w:uiPriority w:val="99"/>
    <w:semiHidden/>
    <w:unhideWhenUsed/>
    <w:rsid w:val="006E6ACE"/>
  </w:style>
  <w:style w:type="numbering" w:customStyle="1" w:styleId="NoList11171">
    <w:name w:val="No List11171"/>
    <w:next w:val="NoList"/>
    <w:uiPriority w:val="99"/>
    <w:semiHidden/>
    <w:unhideWhenUsed/>
    <w:rsid w:val="006E6ACE"/>
  </w:style>
  <w:style w:type="numbering" w:customStyle="1" w:styleId="NoList371">
    <w:name w:val="No List371"/>
    <w:next w:val="NoList"/>
    <w:uiPriority w:val="99"/>
    <w:semiHidden/>
    <w:unhideWhenUsed/>
    <w:rsid w:val="006E6ACE"/>
  </w:style>
  <w:style w:type="numbering" w:customStyle="1" w:styleId="NoList2171">
    <w:name w:val="No List2171"/>
    <w:next w:val="NoList"/>
    <w:uiPriority w:val="99"/>
    <w:semiHidden/>
    <w:unhideWhenUsed/>
    <w:rsid w:val="006E6ACE"/>
  </w:style>
  <w:style w:type="numbering" w:customStyle="1" w:styleId="NoList111151">
    <w:name w:val="No List111151"/>
    <w:next w:val="NoList"/>
    <w:uiPriority w:val="99"/>
    <w:semiHidden/>
    <w:unhideWhenUsed/>
    <w:rsid w:val="006E6ACE"/>
  </w:style>
  <w:style w:type="numbering" w:customStyle="1" w:styleId="NoList471">
    <w:name w:val="No List471"/>
    <w:next w:val="NoList"/>
    <w:uiPriority w:val="99"/>
    <w:semiHidden/>
    <w:unhideWhenUsed/>
    <w:rsid w:val="006E6ACE"/>
  </w:style>
  <w:style w:type="numbering" w:customStyle="1" w:styleId="NoList1271">
    <w:name w:val="No List1271"/>
    <w:next w:val="NoList"/>
    <w:uiPriority w:val="99"/>
    <w:semiHidden/>
    <w:unhideWhenUsed/>
    <w:rsid w:val="006E6ACE"/>
  </w:style>
  <w:style w:type="numbering" w:customStyle="1" w:styleId="NoList521">
    <w:name w:val="No List521"/>
    <w:next w:val="NoList"/>
    <w:uiPriority w:val="99"/>
    <w:semiHidden/>
    <w:unhideWhenUsed/>
    <w:rsid w:val="006E6ACE"/>
  </w:style>
  <w:style w:type="numbering" w:customStyle="1" w:styleId="NoList1321">
    <w:name w:val="No List1321"/>
    <w:next w:val="NoList"/>
    <w:uiPriority w:val="99"/>
    <w:semiHidden/>
    <w:unhideWhenUsed/>
    <w:rsid w:val="006E6ACE"/>
  </w:style>
  <w:style w:type="numbering" w:customStyle="1" w:styleId="NoList11221">
    <w:name w:val="No List11221"/>
    <w:next w:val="NoList"/>
    <w:uiPriority w:val="99"/>
    <w:semiHidden/>
    <w:unhideWhenUsed/>
    <w:rsid w:val="006E6ACE"/>
  </w:style>
  <w:style w:type="numbering" w:customStyle="1" w:styleId="NoList2221">
    <w:name w:val="No List2221"/>
    <w:next w:val="NoList"/>
    <w:uiPriority w:val="99"/>
    <w:semiHidden/>
    <w:unhideWhenUsed/>
    <w:rsid w:val="006E6ACE"/>
  </w:style>
  <w:style w:type="numbering" w:customStyle="1" w:styleId="NoList12121">
    <w:name w:val="No List12121"/>
    <w:next w:val="NoList"/>
    <w:uiPriority w:val="99"/>
    <w:semiHidden/>
    <w:unhideWhenUsed/>
    <w:rsid w:val="006E6ACE"/>
  </w:style>
  <w:style w:type="numbering" w:customStyle="1" w:styleId="NoList3121">
    <w:name w:val="No List3121"/>
    <w:next w:val="NoList"/>
    <w:uiPriority w:val="99"/>
    <w:semiHidden/>
    <w:unhideWhenUsed/>
    <w:rsid w:val="006E6ACE"/>
  </w:style>
  <w:style w:type="numbering" w:customStyle="1" w:styleId="NoList13111">
    <w:name w:val="No List13111"/>
    <w:next w:val="NoList"/>
    <w:uiPriority w:val="99"/>
    <w:semiHidden/>
    <w:unhideWhenUsed/>
    <w:rsid w:val="006E6ACE"/>
  </w:style>
  <w:style w:type="numbering" w:customStyle="1" w:styleId="NoList4121">
    <w:name w:val="No List4121"/>
    <w:next w:val="NoList"/>
    <w:uiPriority w:val="99"/>
    <w:semiHidden/>
    <w:unhideWhenUsed/>
    <w:rsid w:val="006E6ACE"/>
  </w:style>
  <w:style w:type="numbering" w:customStyle="1" w:styleId="NoList1411">
    <w:name w:val="No List1411"/>
    <w:next w:val="NoList"/>
    <w:uiPriority w:val="99"/>
    <w:semiHidden/>
    <w:unhideWhenUsed/>
    <w:rsid w:val="006E6ACE"/>
  </w:style>
  <w:style w:type="numbering" w:customStyle="1" w:styleId="NoList21151">
    <w:name w:val="No List21151"/>
    <w:next w:val="NoList"/>
    <w:uiPriority w:val="99"/>
    <w:semiHidden/>
    <w:unhideWhenUsed/>
    <w:rsid w:val="006E6ACE"/>
  </w:style>
  <w:style w:type="numbering" w:customStyle="1" w:styleId="NoList1111121">
    <w:name w:val="No List1111121"/>
    <w:next w:val="NoList"/>
    <w:uiPriority w:val="99"/>
    <w:semiHidden/>
    <w:unhideWhenUsed/>
    <w:rsid w:val="006E6ACE"/>
  </w:style>
  <w:style w:type="numbering" w:customStyle="1" w:styleId="NoList211121">
    <w:name w:val="No List211121"/>
    <w:next w:val="NoList"/>
    <w:uiPriority w:val="99"/>
    <w:semiHidden/>
    <w:unhideWhenUsed/>
    <w:rsid w:val="006E6ACE"/>
  </w:style>
  <w:style w:type="numbering" w:customStyle="1" w:styleId="NoList31111">
    <w:name w:val="No List31111"/>
    <w:next w:val="NoList"/>
    <w:uiPriority w:val="99"/>
    <w:semiHidden/>
    <w:unhideWhenUsed/>
    <w:rsid w:val="006E6ACE"/>
  </w:style>
  <w:style w:type="numbering" w:customStyle="1" w:styleId="NoList111111111">
    <w:name w:val="No List111111111"/>
    <w:next w:val="NoList"/>
    <w:uiPriority w:val="99"/>
    <w:semiHidden/>
    <w:unhideWhenUsed/>
    <w:rsid w:val="006E6ACE"/>
  </w:style>
  <w:style w:type="numbering" w:customStyle="1" w:styleId="NoList2111111">
    <w:name w:val="No List2111111"/>
    <w:next w:val="NoList"/>
    <w:uiPriority w:val="99"/>
    <w:semiHidden/>
    <w:unhideWhenUsed/>
    <w:rsid w:val="006E6ACE"/>
  </w:style>
  <w:style w:type="numbering" w:customStyle="1" w:styleId="NoList1111111111">
    <w:name w:val="No List1111111111"/>
    <w:next w:val="NoList"/>
    <w:uiPriority w:val="99"/>
    <w:semiHidden/>
    <w:unhideWhenUsed/>
    <w:rsid w:val="006E6ACE"/>
  </w:style>
  <w:style w:type="numbering" w:customStyle="1" w:styleId="NoList41111">
    <w:name w:val="No List41111"/>
    <w:next w:val="NoList"/>
    <w:uiPriority w:val="99"/>
    <w:semiHidden/>
    <w:unhideWhenUsed/>
    <w:rsid w:val="006E6ACE"/>
  </w:style>
  <w:style w:type="numbering" w:customStyle="1" w:styleId="NoList121111">
    <w:name w:val="No List121111"/>
    <w:next w:val="NoList"/>
    <w:uiPriority w:val="99"/>
    <w:semiHidden/>
    <w:unhideWhenUsed/>
    <w:rsid w:val="006E6ACE"/>
  </w:style>
  <w:style w:type="numbering" w:customStyle="1" w:styleId="NoList5111">
    <w:name w:val="No List5111"/>
    <w:next w:val="NoList"/>
    <w:uiPriority w:val="99"/>
    <w:semiHidden/>
    <w:unhideWhenUsed/>
    <w:rsid w:val="006E6ACE"/>
  </w:style>
  <w:style w:type="numbering" w:customStyle="1" w:styleId="NoList1511">
    <w:name w:val="No List1511"/>
    <w:next w:val="NoList"/>
    <w:uiPriority w:val="99"/>
    <w:semiHidden/>
    <w:unhideWhenUsed/>
    <w:rsid w:val="006E6ACE"/>
  </w:style>
  <w:style w:type="numbering" w:customStyle="1" w:styleId="NoList22111">
    <w:name w:val="No List22111"/>
    <w:next w:val="NoList"/>
    <w:uiPriority w:val="99"/>
    <w:semiHidden/>
    <w:unhideWhenUsed/>
    <w:rsid w:val="006E6ACE"/>
  </w:style>
  <w:style w:type="numbering" w:customStyle="1" w:styleId="NoList112111">
    <w:name w:val="No List112111"/>
    <w:next w:val="NoList"/>
    <w:uiPriority w:val="99"/>
    <w:semiHidden/>
    <w:unhideWhenUsed/>
    <w:rsid w:val="006E6ACE"/>
  </w:style>
  <w:style w:type="numbering" w:customStyle="1" w:styleId="NoList21211">
    <w:name w:val="No List21211"/>
    <w:next w:val="NoList"/>
    <w:uiPriority w:val="99"/>
    <w:semiHidden/>
    <w:unhideWhenUsed/>
    <w:rsid w:val="006E6ACE"/>
  </w:style>
  <w:style w:type="numbering" w:customStyle="1" w:styleId="NoList3211">
    <w:name w:val="No List3211"/>
    <w:next w:val="NoList"/>
    <w:uiPriority w:val="99"/>
    <w:semiHidden/>
    <w:unhideWhenUsed/>
    <w:rsid w:val="006E6ACE"/>
  </w:style>
  <w:style w:type="numbering" w:customStyle="1" w:styleId="NoList111211">
    <w:name w:val="No List111211"/>
    <w:next w:val="NoList"/>
    <w:uiPriority w:val="99"/>
    <w:semiHidden/>
    <w:unhideWhenUsed/>
    <w:rsid w:val="006E6ACE"/>
  </w:style>
  <w:style w:type="numbering" w:customStyle="1" w:styleId="NoList211211">
    <w:name w:val="No List211211"/>
    <w:next w:val="NoList"/>
    <w:uiPriority w:val="99"/>
    <w:semiHidden/>
    <w:unhideWhenUsed/>
    <w:rsid w:val="006E6ACE"/>
  </w:style>
  <w:style w:type="numbering" w:customStyle="1" w:styleId="NoList1111211">
    <w:name w:val="No List1111211"/>
    <w:next w:val="NoList"/>
    <w:uiPriority w:val="99"/>
    <w:semiHidden/>
    <w:unhideWhenUsed/>
    <w:rsid w:val="006E6ACE"/>
  </w:style>
  <w:style w:type="numbering" w:customStyle="1" w:styleId="NoList4211">
    <w:name w:val="No List4211"/>
    <w:next w:val="NoList"/>
    <w:uiPriority w:val="99"/>
    <w:semiHidden/>
    <w:unhideWhenUsed/>
    <w:rsid w:val="006E6ACE"/>
  </w:style>
  <w:style w:type="numbering" w:customStyle="1" w:styleId="NoList12211">
    <w:name w:val="No List12211"/>
    <w:next w:val="NoList"/>
    <w:uiPriority w:val="99"/>
    <w:semiHidden/>
    <w:unhideWhenUsed/>
    <w:rsid w:val="006E6ACE"/>
  </w:style>
  <w:style w:type="numbering" w:customStyle="1" w:styleId="NoList611">
    <w:name w:val="No List611"/>
    <w:next w:val="NoList"/>
    <w:uiPriority w:val="99"/>
    <w:semiHidden/>
    <w:unhideWhenUsed/>
    <w:rsid w:val="006E6ACE"/>
  </w:style>
  <w:style w:type="numbering" w:customStyle="1" w:styleId="NoList1611">
    <w:name w:val="No List1611"/>
    <w:next w:val="NoList"/>
    <w:uiPriority w:val="99"/>
    <w:semiHidden/>
    <w:unhideWhenUsed/>
    <w:rsid w:val="006E6ACE"/>
  </w:style>
  <w:style w:type="numbering" w:customStyle="1" w:styleId="NoList2311">
    <w:name w:val="No List2311"/>
    <w:next w:val="NoList"/>
    <w:uiPriority w:val="99"/>
    <w:semiHidden/>
    <w:unhideWhenUsed/>
    <w:rsid w:val="006E6ACE"/>
  </w:style>
  <w:style w:type="numbering" w:customStyle="1" w:styleId="NoList11311">
    <w:name w:val="No List11311"/>
    <w:next w:val="NoList"/>
    <w:uiPriority w:val="99"/>
    <w:semiHidden/>
    <w:unhideWhenUsed/>
    <w:rsid w:val="006E6ACE"/>
  </w:style>
  <w:style w:type="numbering" w:customStyle="1" w:styleId="NoList21311">
    <w:name w:val="No List21311"/>
    <w:next w:val="NoList"/>
    <w:uiPriority w:val="99"/>
    <w:semiHidden/>
    <w:unhideWhenUsed/>
    <w:rsid w:val="006E6ACE"/>
  </w:style>
  <w:style w:type="numbering" w:customStyle="1" w:styleId="NoList3311">
    <w:name w:val="No List3311"/>
    <w:next w:val="NoList"/>
    <w:uiPriority w:val="99"/>
    <w:semiHidden/>
    <w:unhideWhenUsed/>
    <w:rsid w:val="006E6ACE"/>
  </w:style>
  <w:style w:type="numbering" w:customStyle="1" w:styleId="NoList111311">
    <w:name w:val="No List111311"/>
    <w:next w:val="NoList"/>
    <w:uiPriority w:val="99"/>
    <w:semiHidden/>
    <w:unhideWhenUsed/>
    <w:rsid w:val="006E6ACE"/>
  </w:style>
  <w:style w:type="numbering" w:customStyle="1" w:styleId="NoList211311">
    <w:name w:val="No List211311"/>
    <w:next w:val="NoList"/>
    <w:uiPriority w:val="99"/>
    <w:semiHidden/>
    <w:unhideWhenUsed/>
    <w:rsid w:val="006E6ACE"/>
  </w:style>
  <w:style w:type="numbering" w:customStyle="1" w:styleId="NoList1111311">
    <w:name w:val="No List1111311"/>
    <w:next w:val="NoList"/>
    <w:uiPriority w:val="99"/>
    <w:semiHidden/>
    <w:unhideWhenUsed/>
    <w:rsid w:val="006E6ACE"/>
  </w:style>
  <w:style w:type="numbering" w:customStyle="1" w:styleId="NoList4311">
    <w:name w:val="No List4311"/>
    <w:next w:val="NoList"/>
    <w:uiPriority w:val="99"/>
    <w:semiHidden/>
    <w:unhideWhenUsed/>
    <w:rsid w:val="006E6ACE"/>
  </w:style>
  <w:style w:type="numbering" w:customStyle="1" w:styleId="NoList12311">
    <w:name w:val="No List12311"/>
    <w:next w:val="NoList"/>
    <w:uiPriority w:val="99"/>
    <w:semiHidden/>
    <w:unhideWhenUsed/>
    <w:rsid w:val="006E6ACE"/>
  </w:style>
  <w:style w:type="numbering" w:customStyle="1" w:styleId="NoList711">
    <w:name w:val="No List711"/>
    <w:next w:val="NoList"/>
    <w:uiPriority w:val="99"/>
    <w:semiHidden/>
    <w:unhideWhenUsed/>
    <w:rsid w:val="006E6ACE"/>
  </w:style>
  <w:style w:type="numbering" w:customStyle="1" w:styleId="NoList1711">
    <w:name w:val="No List1711"/>
    <w:next w:val="NoList"/>
    <w:uiPriority w:val="99"/>
    <w:semiHidden/>
    <w:unhideWhenUsed/>
    <w:rsid w:val="006E6ACE"/>
  </w:style>
  <w:style w:type="numbering" w:customStyle="1" w:styleId="NoList2411">
    <w:name w:val="No List2411"/>
    <w:next w:val="NoList"/>
    <w:uiPriority w:val="99"/>
    <w:semiHidden/>
    <w:unhideWhenUsed/>
    <w:rsid w:val="006E6ACE"/>
  </w:style>
  <w:style w:type="numbering" w:customStyle="1" w:styleId="NoList11411">
    <w:name w:val="No List11411"/>
    <w:next w:val="NoList"/>
    <w:uiPriority w:val="99"/>
    <w:semiHidden/>
    <w:unhideWhenUsed/>
    <w:rsid w:val="006E6ACE"/>
  </w:style>
  <w:style w:type="numbering" w:customStyle="1" w:styleId="NoList21411">
    <w:name w:val="No List21411"/>
    <w:next w:val="NoList"/>
    <w:uiPriority w:val="99"/>
    <w:semiHidden/>
    <w:unhideWhenUsed/>
    <w:rsid w:val="006E6ACE"/>
  </w:style>
  <w:style w:type="numbering" w:customStyle="1" w:styleId="NoList3411">
    <w:name w:val="No List3411"/>
    <w:next w:val="NoList"/>
    <w:uiPriority w:val="99"/>
    <w:semiHidden/>
    <w:unhideWhenUsed/>
    <w:rsid w:val="006E6ACE"/>
  </w:style>
  <w:style w:type="numbering" w:customStyle="1" w:styleId="NoList111411">
    <w:name w:val="No List111411"/>
    <w:next w:val="NoList"/>
    <w:uiPriority w:val="99"/>
    <w:semiHidden/>
    <w:unhideWhenUsed/>
    <w:rsid w:val="006E6ACE"/>
  </w:style>
  <w:style w:type="numbering" w:customStyle="1" w:styleId="NoList211411">
    <w:name w:val="No List211411"/>
    <w:next w:val="NoList"/>
    <w:uiPriority w:val="99"/>
    <w:semiHidden/>
    <w:unhideWhenUsed/>
    <w:rsid w:val="006E6ACE"/>
  </w:style>
  <w:style w:type="numbering" w:customStyle="1" w:styleId="NoList1111411">
    <w:name w:val="No List1111411"/>
    <w:next w:val="NoList"/>
    <w:uiPriority w:val="99"/>
    <w:semiHidden/>
    <w:unhideWhenUsed/>
    <w:rsid w:val="006E6ACE"/>
  </w:style>
  <w:style w:type="numbering" w:customStyle="1" w:styleId="NoList4411">
    <w:name w:val="No List4411"/>
    <w:next w:val="NoList"/>
    <w:uiPriority w:val="99"/>
    <w:semiHidden/>
    <w:unhideWhenUsed/>
    <w:rsid w:val="006E6ACE"/>
  </w:style>
  <w:style w:type="numbering" w:customStyle="1" w:styleId="NoList12411">
    <w:name w:val="No List12411"/>
    <w:next w:val="NoList"/>
    <w:uiPriority w:val="99"/>
    <w:semiHidden/>
    <w:unhideWhenUsed/>
    <w:rsid w:val="006E6ACE"/>
  </w:style>
  <w:style w:type="numbering" w:customStyle="1" w:styleId="NoList811">
    <w:name w:val="No List811"/>
    <w:next w:val="NoList"/>
    <w:uiPriority w:val="99"/>
    <w:semiHidden/>
    <w:unhideWhenUsed/>
    <w:rsid w:val="006E6ACE"/>
  </w:style>
  <w:style w:type="numbering" w:customStyle="1" w:styleId="NoList1811">
    <w:name w:val="No List1811"/>
    <w:next w:val="NoList"/>
    <w:uiPriority w:val="99"/>
    <w:semiHidden/>
    <w:unhideWhenUsed/>
    <w:rsid w:val="006E6ACE"/>
  </w:style>
  <w:style w:type="numbering" w:customStyle="1" w:styleId="NoList2511">
    <w:name w:val="No List2511"/>
    <w:next w:val="NoList"/>
    <w:uiPriority w:val="99"/>
    <w:semiHidden/>
    <w:unhideWhenUsed/>
    <w:rsid w:val="006E6ACE"/>
  </w:style>
  <w:style w:type="numbering" w:customStyle="1" w:styleId="NoList3511">
    <w:name w:val="No List3511"/>
    <w:next w:val="NoList"/>
    <w:uiPriority w:val="99"/>
    <w:semiHidden/>
    <w:unhideWhenUsed/>
    <w:rsid w:val="006E6ACE"/>
  </w:style>
  <w:style w:type="numbering" w:customStyle="1" w:styleId="NoList11511">
    <w:name w:val="No List11511"/>
    <w:next w:val="NoList"/>
    <w:uiPriority w:val="99"/>
    <w:semiHidden/>
    <w:unhideWhenUsed/>
    <w:rsid w:val="006E6ACE"/>
  </w:style>
  <w:style w:type="numbering" w:customStyle="1" w:styleId="NoList21511">
    <w:name w:val="No List21511"/>
    <w:next w:val="NoList"/>
    <w:uiPriority w:val="99"/>
    <w:semiHidden/>
    <w:unhideWhenUsed/>
    <w:rsid w:val="006E6ACE"/>
  </w:style>
  <w:style w:type="numbering" w:customStyle="1" w:styleId="NoList111511">
    <w:name w:val="No List111511"/>
    <w:next w:val="NoList"/>
    <w:uiPriority w:val="99"/>
    <w:semiHidden/>
    <w:unhideWhenUsed/>
    <w:rsid w:val="006E6ACE"/>
  </w:style>
  <w:style w:type="numbering" w:customStyle="1" w:styleId="NoList4511">
    <w:name w:val="No List4511"/>
    <w:next w:val="NoList"/>
    <w:uiPriority w:val="99"/>
    <w:semiHidden/>
    <w:unhideWhenUsed/>
    <w:rsid w:val="006E6ACE"/>
  </w:style>
  <w:style w:type="numbering" w:customStyle="1" w:styleId="NoList12511">
    <w:name w:val="No List12511"/>
    <w:next w:val="NoList"/>
    <w:uiPriority w:val="99"/>
    <w:semiHidden/>
    <w:unhideWhenUsed/>
    <w:rsid w:val="006E6ACE"/>
  </w:style>
  <w:style w:type="numbering" w:customStyle="1" w:styleId="NoList911">
    <w:name w:val="No List911"/>
    <w:next w:val="NoList"/>
    <w:uiPriority w:val="99"/>
    <w:semiHidden/>
    <w:unhideWhenUsed/>
    <w:rsid w:val="006E6ACE"/>
  </w:style>
  <w:style w:type="numbering" w:customStyle="1" w:styleId="NoList1911">
    <w:name w:val="No List1911"/>
    <w:next w:val="NoList"/>
    <w:uiPriority w:val="99"/>
    <w:semiHidden/>
    <w:unhideWhenUsed/>
    <w:rsid w:val="006E6ACE"/>
  </w:style>
  <w:style w:type="numbering" w:customStyle="1" w:styleId="NoList2611">
    <w:name w:val="No List2611"/>
    <w:next w:val="NoList"/>
    <w:uiPriority w:val="99"/>
    <w:semiHidden/>
    <w:unhideWhenUsed/>
    <w:rsid w:val="006E6ACE"/>
  </w:style>
  <w:style w:type="numbering" w:customStyle="1" w:styleId="NoList3611">
    <w:name w:val="No List3611"/>
    <w:next w:val="NoList"/>
    <w:uiPriority w:val="99"/>
    <w:semiHidden/>
    <w:unhideWhenUsed/>
    <w:rsid w:val="006E6ACE"/>
  </w:style>
  <w:style w:type="numbering" w:customStyle="1" w:styleId="NoList11611">
    <w:name w:val="No List11611"/>
    <w:next w:val="NoList"/>
    <w:uiPriority w:val="99"/>
    <w:semiHidden/>
    <w:unhideWhenUsed/>
    <w:rsid w:val="006E6ACE"/>
  </w:style>
  <w:style w:type="numbering" w:customStyle="1" w:styleId="NoList21611">
    <w:name w:val="No List21611"/>
    <w:next w:val="NoList"/>
    <w:uiPriority w:val="99"/>
    <w:semiHidden/>
    <w:unhideWhenUsed/>
    <w:rsid w:val="006E6ACE"/>
  </w:style>
  <w:style w:type="numbering" w:customStyle="1" w:styleId="NoList111611">
    <w:name w:val="No List111611"/>
    <w:next w:val="NoList"/>
    <w:uiPriority w:val="99"/>
    <w:semiHidden/>
    <w:unhideWhenUsed/>
    <w:rsid w:val="006E6ACE"/>
  </w:style>
  <w:style w:type="numbering" w:customStyle="1" w:styleId="NoList4611">
    <w:name w:val="No List4611"/>
    <w:next w:val="NoList"/>
    <w:uiPriority w:val="99"/>
    <w:semiHidden/>
    <w:unhideWhenUsed/>
    <w:rsid w:val="006E6ACE"/>
  </w:style>
  <w:style w:type="numbering" w:customStyle="1" w:styleId="NoList12611">
    <w:name w:val="No List12611"/>
    <w:next w:val="NoList"/>
    <w:uiPriority w:val="99"/>
    <w:semiHidden/>
    <w:unhideWhenUsed/>
    <w:rsid w:val="006E6ACE"/>
  </w:style>
  <w:style w:type="numbering" w:customStyle="1" w:styleId="NoList201">
    <w:name w:val="No List201"/>
    <w:next w:val="NoList"/>
    <w:uiPriority w:val="99"/>
    <w:semiHidden/>
    <w:unhideWhenUsed/>
    <w:rsid w:val="006E6ACE"/>
  </w:style>
  <w:style w:type="numbering" w:customStyle="1" w:styleId="NoList1181">
    <w:name w:val="No List1181"/>
    <w:next w:val="NoList"/>
    <w:uiPriority w:val="99"/>
    <w:semiHidden/>
    <w:unhideWhenUsed/>
    <w:rsid w:val="006E6ACE"/>
  </w:style>
  <w:style w:type="numbering" w:customStyle="1" w:styleId="NoList1191">
    <w:name w:val="No List1191"/>
    <w:next w:val="NoList"/>
    <w:uiPriority w:val="99"/>
    <w:semiHidden/>
    <w:unhideWhenUsed/>
    <w:rsid w:val="006E6ACE"/>
  </w:style>
  <w:style w:type="numbering" w:customStyle="1" w:styleId="NoList281">
    <w:name w:val="No List281"/>
    <w:next w:val="NoList"/>
    <w:uiPriority w:val="99"/>
    <w:semiHidden/>
    <w:unhideWhenUsed/>
    <w:rsid w:val="006E6ACE"/>
  </w:style>
  <w:style w:type="numbering" w:customStyle="1" w:styleId="NoList11181">
    <w:name w:val="No List11181"/>
    <w:next w:val="NoList"/>
    <w:uiPriority w:val="99"/>
    <w:semiHidden/>
    <w:unhideWhenUsed/>
    <w:rsid w:val="006E6ACE"/>
  </w:style>
  <w:style w:type="numbering" w:customStyle="1" w:styleId="NoList381">
    <w:name w:val="No List381"/>
    <w:next w:val="NoList"/>
    <w:uiPriority w:val="99"/>
    <w:semiHidden/>
    <w:unhideWhenUsed/>
    <w:rsid w:val="006E6ACE"/>
  </w:style>
  <w:style w:type="numbering" w:customStyle="1" w:styleId="NoList2181">
    <w:name w:val="No List2181"/>
    <w:next w:val="NoList"/>
    <w:uiPriority w:val="99"/>
    <w:semiHidden/>
    <w:unhideWhenUsed/>
    <w:rsid w:val="006E6ACE"/>
  </w:style>
  <w:style w:type="numbering" w:customStyle="1" w:styleId="NoList111161">
    <w:name w:val="No List111161"/>
    <w:next w:val="NoList"/>
    <w:uiPriority w:val="99"/>
    <w:semiHidden/>
    <w:unhideWhenUsed/>
    <w:rsid w:val="006E6ACE"/>
  </w:style>
  <w:style w:type="numbering" w:customStyle="1" w:styleId="NoList481">
    <w:name w:val="No List481"/>
    <w:next w:val="NoList"/>
    <w:uiPriority w:val="99"/>
    <w:semiHidden/>
    <w:unhideWhenUsed/>
    <w:rsid w:val="006E6ACE"/>
  </w:style>
  <w:style w:type="numbering" w:customStyle="1" w:styleId="NoList1281">
    <w:name w:val="No List1281"/>
    <w:next w:val="NoList"/>
    <w:uiPriority w:val="99"/>
    <w:semiHidden/>
    <w:unhideWhenUsed/>
    <w:rsid w:val="006E6ACE"/>
  </w:style>
  <w:style w:type="numbering" w:customStyle="1" w:styleId="NoList531">
    <w:name w:val="No List531"/>
    <w:next w:val="NoList"/>
    <w:uiPriority w:val="99"/>
    <w:semiHidden/>
    <w:unhideWhenUsed/>
    <w:rsid w:val="006E6ACE"/>
  </w:style>
  <w:style w:type="numbering" w:customStyle="1" w:styleId="NoList1331">
    <w:name w:val="No List1331"/>
    <w:next w:val="NoList"/>
    <w:uiPriority w:val="99"/>
    <w:semiHidden/>
    <w:unhideWhenUsed/>
    <w:rsid w:val="006E6ACE"/>
  </w:style>
  <w:style w:type="numbering" w:customStyle="1" w:styleId="NoList11231">
    <w:name w:val="No List11231"/>
    <w:next w:val="NoList"/>
    <w:uiPriority w:val="99"/>
    <w:semiHidden/>
    <w:unhideWhenUsed/>
    <w:rsid w:val="006E6ACE"/>
  </w:style>
  <w:style w:type="numbering" w:customStyle="1" w:styleId="NoList2231">
    <w:name w:val="No List2231"/>
    <w:next w:val="NoList"/>
    <w:uiPriority w:val="99"/>
    <w:semiHidden/>
    <w:unhideWhenUsed/>
    <w:rsid w:val="006E6ACE"/>
  </w:style>
  <w:style w:type="numbering" w:customStyle="1" w:styleId="NoList12131">
    <w:name w:val="No List12131"/>
    <w:next w:val="NoList"/>
    <w:uiPriority w:val="99"/>
    <w:semiHidden/>
    <w:unhideWhenUsed/>
    <w:rsid w:val="006E6ACE"/>
  </w:style>
  <w:style w:type="numbering" w:customStyle="1" w:styleId="NoList3131">
    <w:name w:val="No List3131"/>
    <w:next w:val="NoList"/>
    <w:uiPriority w:val="99"/>
    <w:semiHidden/>
    <w:unhideWhenUsed/>
    <w:rsid w:val="006E6ACE"/>
  </w:style>
  <w:style w:type="numbering" w:customStyle="1" w:styleId="NoList13121">
    <w:name w:val="No List13121"/>
    <w:next w:val="NoList"/>
    <w:uiPriority w:val="99"/>
    <w:semiHidden/>
    <w:unhideWhenUsed/>
    <w:rsid w:val="006E6ACE"/>
  </w:style>
  <w:style w:type="numbering" w:customStyle="1" w:styleId="NoList4131">
    <w:name w:val="No List4131"/>
    <w:next w:val="NoList"/>
    <w:uiPriority w:val="99"/>
    <w:semiHidden/>
    <w:unhideWhenUsed/>
    <w:rsid w:val="006E6ACE"/>
  </w:style>
  <w:style w:type="numbering" w:customStyle="1" w:styleId="NoList1421">
    <w:name w:val="No List1421"/>
    <w:next w:val="NoList"/>
    <w:uiPriority w:val="99"/>
    <w:semiHidden/>
    <w:unhideWhenUsed/>
    <w:rsid w:val="006E6ACE"/>
  </w:style>
  <w:style w:type="numbering" w:customStyle="1" w:styleId="NoList21161">
    <w:name w:val="No List21161"/>
    <w:next w:val="NoList"/>
    <w:uiPriority w:val="99"/>
    <w:semiHidden/>
    <w:unhideWhenUsed/>
    <w:rsid w:val="006E6ACE"/>
  </w:style>
  <w:style w:type="numbering" w:customStyle="1" w:styleId="NoList1111131">
    <w:name w:val="No List1111131"/>
    <w:next w:val="NoList"/>
    <w:uiPriority w:val="99"/>
    <w:semiHidden/>
    <w:unhideWhenUsed/>
    <w:rsid w:val="006E6ACE"/>
  </w:style>
  <w:style w:type="numbering" w:customStyle="1" w:styleId="NoList211131">
    <w:name w:val="No List211131"/>
    <w:next w:val="NoList"/>
    <w:uiPriority w:val="99"/>
    <w:semiHidden/>
    <w:unhideWhenUsed/>
    <w:rsid w:val="006E6ACE"/>
  </w:style>
  <w:style w:type="numbering" w:customStyle="1" w:styleId="NoList31121">
    <w:name w:val="No List31121"/>
    <w:next w:val="NoList"/>
    <w:uiPriority w:val="99"/>
    <w:semiHidden/>
    <w:unhideWhenUsed/>
    <w:rsid w:val="006E6ACE"/>
  </w:style>
  <w:style w:type="numbering" w:customStyle="1" w:styleId="NoList11111121">
    <w:name w:val="No List11111121"/>
    <w:next w:val="NoList"/>
    <w:uiPriority w:val="99"/>
    <w:semiHidden/>
    <w:unhideWhenUsed/>
    <w:rsid w:val="006E6ACE"/>
  </w:style>
  <w:style w:type="numbering" w:customStyle="1" w:styleId="NoList2111121">
    <w:name w:val="No List2111121"/>
    <w:next w:val="NoList"/>
    <w:uiPriority w:val="99"/>
    <w:semiHidden/>
    <w:unhideWhenUsed/>
    <w:rsid w:val="006E6ACE"/>
  </w:style>
  <w:style w:type="numbering" w:customStyle="1" w:styleId="NoList111111121">
    <w:name w:val="No List111111121"/>
    <w:next w:val="NoList"/>
    <w:uiPriority w:val="99"/>
    <w:semiHidden/>
    <w:unhideWhenUsed/>
    <w:rsid w:val="006E6ACE"/>
  </w:style>
  <w:style w:type="numbering" w:customStyle="1" w:styleId="NoList41121">
    <w:name w:val="No List41121"/>
    <w:next w:val="NoList"/>
    <w:uiPriority w:val="99"/>
    <w:semiHidden/>
    <w:unhideWhenUsed/>
    <w:rsid w:val="006E6ACE"/>
  </w:style>
  <w:style w:type="numbering" w:customStyle="1" w:styleId="NoList121121">
    <w:name w:val="No List121121"/>
    <w:next w:val="NoList"/>
    <w:uiPriority w:val="99"/>
    <w:semiHidden/>
    <w:unhideWhenUsed/>
    <w:rsid w:val="006E6ACE"/>
  </w:style>
  <w:style w:type="numbering" w:customStyle="1" w:styleId="NoList5121">
    <w:name w:val="No List5121"/>
    <w:next w:val="NoList"/>
    <w:uiPriority w:val="99"/>
    <w:semiHidden/>
    <w:unhideWhenUsed/>
    <w:rsid w:val="006E6ACE"/>
  </w:style>
  <w:style w:type="numbering" w:customStyle="1" w:styleId="NoList1521">
    <w:name w:val="No List1521"/>
    <w:next w:val="NoList"/>
    <w:uiPriority w:val="99"/>
    <w:semiHidden/>
    <w:unhideWhenUsed/>
    <w:rsid w:val="006E6ACE"/>
  </w:style>
  <w:style w:type="numbering" w:customStyle="1" w:styleId="NoList22121">
    <w:name w:val="No List22121"/>
    <w:next w:val="NoList"/>
    <w:uiPriority w:val="99"/>
    <w:semiHidden/>
    <w:unhideWhenUsed/>
    <w:rsid w:val="006E6ACE"/>
  </w:style>
  <w:style w:type="numbering" w:customStyle="1" w:styleId="NoList112121">
    <w:name w:val="No List112121"/>
    <w:next w:val="NoList"/>
    <w:uiPriority w:val="99"/>
    <w:semiHidden/>
    <w:unhideWhenUsed/>
    <w:rsid w:val="006E6ACE"/>
  </w:style>
  <w:style w:type="numbering" w:customStyle="1" w:styleId="NoList21221">
    <w:name w:val="No List21221"/>
    <w:next w:val="NoList"/>
    <w:uiPriority w:val="99"/>
    <w:semiHidden/>
    <w:unhideWhenUsed/>
    <w:rsid w:val="006E6ACE"/>
  </w:style>
  <w:style w:type="numbering" w:customStyle="1" w:styleId="NoList3221">
    <w:name w:val="No List3221"/>
    <w:next w:val="NoList"/>
    <w:uiPriority w:val="99"/>
    <w:semiHidden/>
    <w:unhideWhenUsed/>
    <w:rsid w:val="006E6ACE"/>
  </w:style>
  <w:style w:type="numbering" w:customStyle="1" w:styleId="NoList111221">
    <w:name w:val="No List111221"/>
    <w:next w:val="NoList"/>
    <w:uiPriority w:val="99"/>
    <w:semiHidden/>
    <w:unhideWhenUsed/>
    <w:rsid w:val="006E6ACE"/>
  </w:style>
  <w:style w:type="numbering" w:customStyle="1" w:styleId="NoList211221">
    <w:name w:val="No List211221"/>
    <w:next w:val="NoList"/>
    <w:uiPriority w:val="99"/>
    <w:semiHidden/>
    <w:unhideWhenUsed/>
    <w:rsid w:val="006E6ACE"/>
  </w:style>
  <w:style w:type="numbering" w:customStyle="1" w:styleId="NoList1111221">
    <w:name w:val="No List1111221"/>
    <w:next w:val="NoList"/>
    <w:uiPriority w:val="99"/>
    <w:semiHidden/>
    <w:unhideWhenUsed/>
    <w:rsid w:val="006E6ACE"/>
  </w:style>
  <w:style w:type="numbering" w:customStyle="1" w:styleId="NoList4221">
    <w:name w:val="No List4221"/>
    <w:next w:val="NoList"/>
    <w:uiPriority w:val="99"/>
    <w:semiHidden/>
    <w:unhideWhenUsed/>
    <w:rsid w:val="006E6ACE"/>
  </w:style>
  <w:style w:type="numbering" w:customStyle="1" w:styleId="NoList12221">
    <w:name w:val="No List12221"/>
    <w:next w:val="NoList"/>
    <w:uiPriority w:val="99"/>
    <w:semiHidden/>
    <w:unhideWhenUsed/>
    <w:rsid w:val="006E6ACE"/>
  </w:style>
  <w:style w:type="numbering" w:customStyle="1" w:styleId="NoList621">
    <w:name w:val="No List621"/>
    <w:next w:val="NoList"/>
    <w:uiPriority w:val="99"/>
    <w:semiHidden/>
    <w:unhideWhenUsed/>
    <w:rsid w:val="006E6ACE"/>
  </w:style>
  <w:style w:type="numbering" w:customStyle="1" w:styleId="NoList1621">
    <w:name w:val="No List1621"/>
    <w:next w:val="NoList"/>
    <w:uiPriority w:val="99"/>
    <w:semiHidden/>
    <w:unhideWhenUsed/>
    <w:rsid w:val="006E6ACE"/>
  </w:style>
  <w:style w:type="numbering" w:customStyle="1" w:styleId="NoList2321">
    <w:name w:val="No List2321"/>
    <w:next w:val="NoList"/>
    <w:uiPriority w:val="99"/>
    <w:semiHidden/>
    <w:unhideWhenUsed/>
    <w:rsid w:val="006E6ACE"/>
  </w:style>
  <w:style w:type="numbering" w:customStyle="1" w:styleId="NoList11321">
    <w:name w:val="No List11321"/>
    <w:next w:val="NoList"/>
    <w:uiPriority w:val="99"/>
    <w:semiHidden/>
    <w:unhideWhenUsed/>
    <w:rsid w:val="006E6ACE"/>
  </w:style>
  <w:style w:type="numbering" w:customStyle="1" w:styleId="NoList21321">
    <w:name w:val="No List21321"/>
    <w:next w:val="NoList"/>
    <w:uiPriority w:val="99"/>
    <w:semiHidden/>
    <w:unhideWhenUsed/>
    <w:rsid w:val="006E6ACE"/>
  </w:style>
  <w:style w:type="numbering" w:customStyle="1" w:styleId="NoList3321">
    <w:name w:val="No List3321"/>
    <w:next w:val="NoList"/>
    <w:uiPriority w:val="99"/>
    <w:semiHidden/>
    <w:unhideWhenUsed/>
    <w:rsid w:val="006E6ACE"/>
  </w:style>
  <w:style w:type="numbering" w:customStyle="1" w:styleId="NoList111321">
    <w:name w:val="No List111321"/>
    <w:next w:val="NoList"/>
    <w:uiPriority w:val="99"/>
    <w:semiHidden/>
    <w:unhideWhenUsed/>
    <w:rsid w:val="006E6ACE"/>
  </w:style>
  <w:style w:type="numbering" w:customStyle="1" w:styleId="NoList211321">
    <w:name w:val="No List211321"/>
    <w:next w:val="NoList"/>
    <w:uiPriority w:val="99"/>
    <w:semiHidden/>
    <w:unhideWhenUsed/>
    <w:rsid w:val="006E6ACE"/>
  </w:style>
  <w:style w:type="numbering" w:customStyle="1" w:styleId="NoList1111321">
    <w:name w:val="No List1111321"/>
    <w:next w:val="NoList"/>
    <w:uiPriority w:val="99"/>
    <w:semiHidden/>
    <w:unhideWhenUsed/>
    <w:rsid w:val="006E6ACE"/>
  </w:style>
  <w:style w:type="numbering" w:customStyle="1" w:styleId="NoList4321">
    <w:name w:val="No List4321"/>
    <w:next w:val="NoList"/>
    <w:uiPriority w:val="99"/>
    <w:semiHidden/>
    <w:unhideWhenUsed/>
    <w:rsid w:val="006E6ACE"/>
  </w:style>
  <w:style w:type="numbering" w:customStyle="1" w:styleId="NoList12321">
    <w:name w:val="No List12321"/>
    <w:next w:val="NoList"/>
    <w:uiPriority w:val="99"/>
    <w:semiHidden/>
    <w:unhideWhenUsed/>
    <w:rsid w:val="006E6ACE"/>
  </w:style>
  <w:style w:type="numbering" w:customStyle="1" w:styleId="NoList721">
    <w:name w:val="No List721"/>
    <w:next w:val="NoList"/>
    <w:uiPriority w:val="99"/>
    <w:semiHidden/>
    <w:unhideWhenUsed/>
    <w:rsid w:val="006E6ACE"/>
  </w:style>
  <w:style w:type="numbering" w:customStyle="1" w:styleId="NoList1721">
    <w:name w:val="No List1721"/>
    <w:next w:val="NoList"/>
    <w:uiPriority w:val="99"/>
    <w:semiHidden/>
    <w:unhideWhenUsed/>
    <w:rsid w:val="006E6ACE"/>
  </w:style>
  <w:style w:type="numbering" w:customStyle="1" w:styleId="NoList2421">
    <w:name w:val="No List2421"/>
    <w:next w:val="NoList"/>
    <w:uiPriority w:val="99"/>
    <w:semiHidden/>
    <w:unhideWhenUsed/>
    <w:rsid w:val="006E6ACE"/>
  </w:style>
  <w:style w:type="numbering" w:customStyle="1" w:styleId="NoList11421">
    <w:name w:val="No List11421"/>
    <w:next w:val="NoList"/>
    <w:uiPriority w:val="99"/>
    <w:semiHidden/>
    <w:unhideWhenUsed/>
    <w:rsid w:val="006E6ACE"/>
  </w:style>
  <w:style w:type="numbering" w:customStyle="1" w:styleId="NoList21421">
    <w:name w:val="No List21421"/>
    <w:next w:val="NoList"/>
    <w:uiPriority w:val="99"/>
    <w:semiHidden/>
    <w:unhideWhenUsed/>
    <w:rsid w:val="006E6ACE"/>
  </w:style>
  <w:style w:type="numbering" w:customStyle="1" w:styleId="NoList3421">
    <w:name w:val="No List3421"/>
    <w:next w:val="NoList"/>
    <w:uiPriority w:val="99"/>
    <w:semiHidden/>
    <w:unhideWhenUsed/>
    <w:rsid w:val="006E6ACE"/>
  </w:style>
  <w:style w:type="numbering" w:customStyle="1" w:styleId="NoList111421">
    <w:name w:val="No List111421"/>
    <w:next w:val="NoList"/>
    <w:uiPriority w:val="99"/>
    <w:semiHidden/>
    <w:unhideWhenUsed/>
    <w:rsid w:val="006E6ACE"/>
  </w:style>
  <w:style w:type="numbering" w:customStyle="1" w:styleId="NoList211421">
    <w:name w:val="No List211421"/>
    <w:next w:val="NoList"/>
    <w:uiPriority w:val="99"/>
    <w:semiHidden/>
    <w:unhideWhenUsed/>
    <w:rsid w:val="006E6ACE"/>
  </w:style>
  <w:style w:type="numbering" w:customStyle="1" w:styleId="NoList1111421">
    <w:name w:val="No List1111421"/>
    <w:next w:val="NoList"/>
    <w:uiPriority w:val="99"/>
    <w:semiHidden/>
    <w:unhideWhenUsed/>
    <w:rsid w:val="006E6ACE"/>
  </w:style>
  <w:style w:type="numbering" w:customStyle="1" w:styleId="NoList4421">
    <w:name w:val="No List4421"/>
    <w:next w:val="NoList"/>
    <w:uiPriority w:val="99"/>
    <w:semiHidden/>
    <w:unhideWhenUsed/>
    <w:rsid w:val="006E6ACE"/>
  </w:style>
  <w:style w:type="numbering" w:customStyle="1" w:styleId="NoList12421">
    <w:name w:val="No List12421"/>
    <w:next w:val="NoList"/>
    <w:uiPriority w:val="99"/>
    <w:semiHidden/>
    <w:unhideWhenUsed/>
    <w:rsid w:val="006E6ACE"/>
  </w:style>
  <w:style w:type="numbering" w:customStyle="1" w:styleId="NoList821">
    <w:name w:val="No List821"/>
    <w:next w:val="NoList"/>
    <w:uiPriority w:val="99"/>
    <w:semiHidden/>
    <w:unhideWhenUsed/>
    <w:rsid w:val="006E6ACE"/>
  </w:style>
  <w:style w:type="numbering" w:customStyle="1" w:styleId="NoList1821">
    <w:name w:val="No List1821"/>
    <w:next w:val="NoList"/>
    <w:uiPriority w:val="99"/>
    <w:semiHidden/>
    <w:unhideWhenUsed/>
    <w:rsid w:val="006E6ACE"/>
  </w:style>
  <w:style w:type="numbering" w:customStyle="1" w:styleId="NoList2521">
    <w:name w:val="No List2521"/>
    <w:next w:val="NoList"/>
    <w:uiPriority w:val="99"/>
    <w:semiHidden/>
    <w:unhideWhenUsed/>
    <w:rsid w:val="006E6ACE"/>
  </w:style>
  <w:style w:type="numbering" w:customStyle="1" w:styleId="NoList3521">
    <w:name w:val="No List3521"/>
    <w:next w:val="NoList"/>
    <w:uiPriority w:val="99"/>
    <w:semiHidden/>
    <w:unhideWhenUsed/>
    <w:rsid w:val="006E6ACE"/>
  </w:style>
  <w:style w:type="numbering" w:customStyle="1" w:styleId="NoList11521">
    <w:name w:val="No List11521"/>
    <w:next w:val="NoList"/>
    <w:uiPriority w:val="99"/>
    <w:semiHidden/>
    <w:unhideWhenUsed/>
    <w:rsid w:val="006E6ACE"/>
  </w:style>
  <w:style w:type="numbering" w:customStyle="1" w:styleId="NoList21521">
    <w:name w:val="No List21521"/>
    <w:next w:val="NoList"/>
    <w:uiPriority w:val="99"/>
    <w:semiHidden/>
    <w:unhideWhenUsed/>
    <w:rsid w:val="006E6ACE"/>
  </w:style>
  <w:style w:type="numbering" w:customStyle="1" w:styleId="NoList111521">
    <w:name w:val="No List111521"/>
    <w:next w:val="NoList"/>
    <w:uiPriority w:val="99"/>
    <w:semiHidden/>
    <w:unhideWhenUsed/>
    <w:rsid w:val="006E6ACE"/>
  </w:style>
  <w:style w:type="numbering" w:customStyle="1" w:styleId="NoList4521">
    <w:name w:val="No List4521"/>
    <w:next w:val="NoList"/>
    <w:uiPriority w:val="99"/>
    <w:semiHidden/>
    <w:unhideWhenUsed/>
    <w:rsid w:val="006E6ACE"/>
  </w:style>
  <w:style w:type="numbering" w:customStyle="1" w:styleId="NoList12521">
    <w:name w:val="No List12521"/>
    <w:next w:val="NoList"/>
    <w:uiPriority w:val="99"/>
    <w:semiHidden/>
    <w:unhideWhenUsed/>
    <w:rsid w:val="006E6ACE"/>
  </w:style>
  <w:style w:type="numbering" w:customStyle="1" w:styleId="NoList921">
    <w:name w:val="No List921"/>
    <w:next w:val="NoList"/>
    <w:uiPriority w:val="99"/>
    <w:semiHidden/>
    <w:unhideWhenUsed/>
    <w:rsid w:val="006E6ACE"/>
  </w:style>
  <w:style w:type="numbering" w:customStyle="1" w:styleId="NoList1921">
    <w:name w:val="No List1921"/>
    <w:next w:val="NoList"/>
    <w:uiPriority w:val="99"/>
    <w:semiHidden/>
    <w:unhideWhenUsed/>
    <w:rsid w:val="006E6ACE"/>
  </w:style>
  <w:style w:type="numbering" w:customStyle="1" w:styleId="NoList2621">
    <w:name w:val="No List2621"/>
    <w:next w:val="NoList"/>
    <w:uiPriority w:val="99"/>
    <w:semiHidden/>
    <w:unhideWhenUsed/>
    <w:rsid w:val="006E6ACE"/>
  </w:style>
  <w:style w:type="numbering" w:customStyle="1" w:styleId="NoList3621">
    <w:name w:val="No List3621"/>
    <w:next w:val="NoList"/>
    <w:uiPriority w:val="99"/>
    <w:semiHidden/>
    <w:unhideWhenUsed/>
    <w:rsid w:val="006E6ACE"/>
  </w:style>
  <w:style w:type="numbering" w:customStyle="1" w:styleId="NoList11621">
    <w:name w:val="No List11621"/>
    <w:next w:val="NoList"/>
    <w:uiPriority w:val="99"/>
    <w:semiHidden/>
    <w:unhideWhenUsed/>
    <w:rsid w:val="006E6ACE"/>
  </w:style>
  <w:style w:type="numbering" w:customStyle="1" w:styleId="NoList21621">
    <w:name w:val="No List21621"/>
    <w:next w:val="NoList"/>
    <w:uiPriority w:val="99"/>
    <w:semiHidden/>
    <w:unhideWhenUsed/>
    <w:rsid w:val="006E6ACE"/>
  </w:style>
  <w:style w:type="numbering" w:customStyle="1" w:styleId="NoList111621">
    <w:name w:val="No List111621"/>
    <w:next w:val="NoList"/>
    <w:uiPriority w:val="99"/>
    <w:semiHidden/>
    <w:unhideWhenUsed/>
    <w:rsid w:val="006E6ACE"/>
  </w:style>
  <w:style w:type="numbering" w:customStyle="1" w:styleId="NoList4621">
    <w:name w:val="No List4621"/>
    <w:next w:val="NoList"/>
    <w:uiPriority w:val="99"/>
    <w:semiHidden/>
    <w:unhideWhenUsed/>
    <w:rsid w:val="006E6ACE"/>
  </w:style>
  <w:style w:type="numbering" w:customStyle="1" w:styleId="NoList12621">
    <w:name w:val="No List12621"/>
    <w:next w:val="NoList"/>
    <w:uiPriority w:val="99"/>
    <w:semiHidden/>
    <w:unhideWhenUsed/>
    <w:rsid w:val="006E6ACE"/>
  </w:style>
  <w:style w:type="character" w:customStyle="1" w:styleId="geo-dms">
    <w:name w:val="geo-dms"/>
    <w:basedOn w:val="DefaultParagraphFont"/>
    <w:rsid w:val="00C673FF"/>
  </w:style>
  <w:style w:type="character" w:customStyle="1" w:styleId="latitude">
    <w:name w:val="latitude"/>
    <w:basedOn w:val="DefaultParagraphFont"/>
    <w:rsid w:val="00C673FF"/>
  </w:style>
  <w:style w:type="character" w:customStyle="1" w:styleId="longitude">
    <w:name w:val="longitude"/>
    <w:basedOn w:val="DefaultParagraphFont"/>
    <w:rsid w:val="00C673FF"/>
  </w:style>
  <w:style w:type="character" w:customStyle="1" w:styleId="spar">
    <w:name w:val="s_par"/>
    <w:basedOn w:val="DefaultParagraphFont"/>
    <w:rsid w:val="003E0DB1"/>
  </w:style>
  <w:style w:type="paragraph" w:styleId="Revision">
    <w:name w:val="Revision"/>
    <w:hidden/>
    <w:uiPriority w:val="99"/>
    <w:semiHidden/>
    <w:rsid w:val="003E0DB1"/>
  </w:style>
  <w:style w:type="numbering" w:customStyle="1" w:styleId="NoList30">
    <w:name w:val="No List30"/>
    <w:next w:val="NoList"/>
    <w:uiPriority w:val="99"/>
    <w:semiHidden/>
    <w:unhideWhenUsed/>
    <w:rsid w:val="00375ED8"/>
  </w:style>
  <w:style w:type="numbering" w:customStyle="1" w:styleId="NoList130">
    <w:name w:val="No List130"/>
    <w:next w:val="NoList"/>
    <w:uiPriority w:val="99"/>
    <w:semiHidden/>
    <w:unhideWhenUsed/>
    <w:rsid w:val="00375ED8"/>
  </w:style>
  <w:style w:type="numbering" w:customStyle="1" w:styleId="NoList1120">
    <w:name w:val="No List1120"/>
    <w:next w:val="NoList"/>
    <w:uiPriority w:val="99"/>
    <w:semiHidden/>
    <w:unhideWhenUsed/>
    <w:rsid w:val="00375ED8"/>
  </w:style>
  <w:style w:type="numbering" w:customStyle="1" w:styleId="NoList220">
    <w:name w:val="No List220"/>
    <w:next w:val="NoList"/>
    <w:uiPriority w:val="99"/>
    <w:semiHidden/>
    <w:unhideWhenUsed/>
    <w:rsid w:val="00375ED8"/>
  </w:style>
  <w:style w:type="numbering" w:customStyle="1" w:styleId="NoList11110">
    <w:name w:val="No List11110"/>
    <w:next w:val="NoList"/>
    <w:uiPriority w:val="99"/>
    <w:semiHidden/>
    <w:unhideWhenUsed/>
    <w:rsid w:val="00375ED8"/>
  </w:style>
  <w:style w:type="numbering" w:customStyle="1" w:styleId="NoList310">
    <w:name w:val="No List310"/>
    <w:next w:val="NoList"/>
    <w:uiPriority w:val="99"/>
    <w:semiHidden/>
    <w:unhideWhenUsed/>
    <w:rsid w:val="00375ED8"/>
  </w:style>
  <w:style w:type="numbering" w:customStyle="1" w:styleId="NoList2110">
    <w:name w:val="No List2110"/>
    <w:next w:val="NoList"/>
    <w:uiPriority w:val="99"/>
    <w:semiHidden/>
    <w:unhideWhenUsed/>
    <w:rsid w:val="00375ED8"/>
  </w:style>
  <w:style w:type="numbering" w:customStyle="1" w:styleId="NoList11118">
    <w:name w:val="No List11118"/>
    <w:next w:val="NoList"/>
    <w:uiPriority w:val="99"/>
    <w:semiHidden/>
    <w:unhideWhenUsed/>
    <w:rsid w:val="00375ED8"/>
  </w:style>
  <w:style w:type="numbering" w:customStyle="1" w:styleId="NoList410">
    <w:name w:val="No List410"/>
    <w:next w:val="NoList"/>
    <w:uiPriority w:val="99"/>
    <w:semiHidden/>
    <w:unhideWhenUsed/>
    <w:rsid w:val="00375ED8"/>
  </w:style>
  <w:style w:type="numbering" w:customStyle="1" w:styleId="NoList1210">
    <w:name w:val="No List1210"/>
    <w:next w:val="NoList"/>
    <w:uiPriority w:val="99"/>
    <w:semiHidden/>
    <w:unhideWhenUsed/>
    <w:rsid w:val="00375ED8"/>
  </w:style>
  <w:style w:type="numbering" w:customStyle="1" w:styleId="NoList55">
    <w:name w:val="No List55"/>
    <w:next w:val="NoList"/>
    <w:uiPriority w:val="99"/>
    <w:semiHidden/>
    <w:unhideWhenUsed/>
    <w:rsid w:val="00375ED8"/>
  </w:style>
  <w:style w:type="numbering" w:customStyle="1" w:styleId="NoList135">
    <w:name w:val="No List135"/>
    <w:next w:val="NoList"/>
    <w:uiPriority w:val="99"/>
    <w:semiHidden/>
    <w:unhideWhenUsed/>
    <w:rsid w:val="00375ED8"/>
  </w:style>
  <w:style w:type="numbering" w:customStyle="1" w:styleId="NoList1125">
    <w:name w:val="No List1125"/>
    <w:next w:val="NoList"/>
    <w:uiPriority w:val="99"/>
    <w:semiHidden/>
    <w:unhideWhenUsed/>
    <w:rsid w:val="00375ED8"/>
  </w:style>
  <w:style w:type="numbering" w:customStyle="1" w:styleId="NoList225">
    <w:name w:val="No List225"/>
    <w:next w:val="NoList"/>
    <w:uiPriority w:val="99"/>
    <w:semiHidden/>
    <w:unhideWhenUsed/>
    <w:rsid w:val="00375ED8"/>
  </w:style>
  <w:style w:type="numbering" w:customStyle="1" w:styleId="NoList1215">
    <w:name w:val="No List1215"/>
    <w:next w:val="NoList"/>
    <w:uiPriority w:val="99"/>
    <w:semiHidden/>
    <w:unhideWhenUsed/>
    <w:rsid w:val="00375ED8"/>
  </w:style>
  <w:style w:type="numbering" w:customStyle="1" w:styleId="NoList315">
    <w:name w:val="No List315"/>
    <w:next w:val="NoList"/>
    <w:uiPriority w:val="99"/>
    <w:semiHidden/>
    <w:unhideWhenUsed/>
    <w:rsid w:val="00375ED8"/>
  </w:style>
  <w:style w:type="numbering" w:customStyle="1" w:styleId="NoList1314">
    <w:name w:val="No List1314"/>
    <w:next w:val="NoList"/>
    <w:uiPriority w:val="99"/>
    <w:semiHidden/>
    <w:unhideWhenUsed/>
    <w:rsid w:val="00375ED8"/>
  </w:style>
  <w:style w:type="numbering" w:customStyle="1" w:styleId="NoList415">
    <w:name w:val="No List415"/>
    <w:next w:val="NoList"/>
    <w:uiPriority w:val="99"/>
    <w:semiHidden/>
    <w:unhideWhenUsed/>
    <w:rsid w:val="00375ED8"/>
  </w:style>
  <w:style w:type="numbering" w:customStyle="1" w:styleId="NoList144">
    <w:name w:val="No List144"/>
    <w:next w:val="NoList"/>
    <w:uiPriority w:val="99"/>
    <w:semiHidden/>
    <w:unhideWhenUsed/>
    <w:rsid w:val="00375ED8"/>
  </w:style>
  <w:style w:type="numbering" w:customStyle="1" w:styleId="NoList2118">
    <w:name w:val="No List2118"/>
    <w:next w:val="NoList"/>
    <w:uiPriority w:val="99"/>
    <w:semiHidden/>
    <w:unhideWhenUsed/>
    <w:rsid w:val="00375ED8"/>
  </w:style>
  <w:style w:type="numbering" w:customStyle="1" w:styleId="NoList111115">
    <w:name w:val="No List111115"/>
    <w:next w:val="NoList"/>
    <w:uiPriority w:val="99"/>
    <w:semiHidden/>
    <w:unhideWhenUsed/>
    <w:rsid w:val="00375ED8"/>
  </w:style>
  <w:style w:type="numbering" w:customStyle="1" w:styleId="NoList21115">
    <w:name w:val="No List21115"/>
    <w:next w:val="NoList"/>
    <w:uiPriority w:val="99"/>
    <w:semiHidden/>
    <w:unhideWhenUsed/>
    <w:rsid w:val="00375ED8"/>
  </w:style>
  <w:style w:type="numbering" w:customStyle="1" w:styleId="NoList3114">
    <w:name w:val="No List3114"/>
    <w:next w:val="NoList"/>
    <w:uiPriority w:val="99"/>
    <w:semiHidden/>
    <w:unhideWhenUsed/>
    <w:rsid w:val="00375ED8"/>
  </w:style>
  <w:style w:type="numbering" w:customStyle="1" w:styleId="NoList1111114">
    <w:name w:val="No List1111114"/>
    <w:next w:val="NoList"/>
    <w:uiPriority w:val="99"/>
    <w:semiHidden/>
    <w:unhideWhenUsed/>
    <w:rsid w:val="00375ED8"/>
  </w:style>
  <w:style w:type="numbering" w:customStyle="1" w:styleId="NoList211114">
    <w:name w:val="No List211114"/>
    <w:next w:val="NoList"/>
    <w:uiPriority w:val="99"/>
    <w:semiHidden/>
    <w:unhideWhenUsed/>
    <w:rsid w:val="00375ED8"/>
  </w:style>
  <w:style w:type="numbering" w:customStyle="1" w:styleId="NoList11111114">
    <w:name w:val="No List11111114"/>
    <w:next w:val="NoList"/>
    <w:uiPriority w:val="99"/>
    <w:semiHidden/>
    <w:unhideWhenUsed/>
    <w:rsid w:val="00375ED8"/>
  </w:style>
  <w:style w:type="numbering" w:customStyle="1" w:styleId="NoList4114">
    <w:name w:val="No List4114"/>
    <w:next w:val="NoList"/>
    <w:uiPriority w:val="99"/>
    <w:semiHidden/>
    <w:unhideWhenUsed/>
    <w:rsid w:val="00375ED8"/>
  </w:style>
  <w:style w:type="numbering" w:customStyle="1" w:styleId="NoList12114">
    <w:name w:val="No List12114"/>
    <w:next w:val="NoList"/>
    <w:uiPriority w:val="99"/>
    <w:semiHidden/>
    <w:unhideWhenUsed/>
    <w:rsid w:val="00375ED8"/>
  </w:style>
  <w:style w:type="numbering" w:customStyle="1" w:styleId="NoList514">
    <w:name w:val="No List514"/>
    <w:next w:val="NoList"/>
    <w:uiPriority w:val="99"/>
    <w:semiHidden/>
    <w:unhideWhenUsed/>
    <w:rsid w:val="00375ED8"/>
  </w:style>
  <w:style w:type="numbering" w:customStyle="1" w:styleId="NoList154">
    <w:name w:val="No List154"/>
    <w:next w:val="NoList"/>
    <w:uiPriority w:val="99"/>
    <w:semiHidden/>
    <w:unhideWhenUsed/>
    <w:rsid w:val="00375ED8"/>
  </w:style>
  <w:style w:type="numbering" w:customStyle="1" w:styleId="NoList2214">
    <w:name w:val="No List2214"/>
    <w:next w:val="NoList"/>
    <w:uiPriority w:val="99"/>
    <w:semiHidden/>
    <w:unhideWhenUsed/>
    <w:rsid w:val="00375ED8"/>
  </w:style>
  <w:style w:type="numbering" w:customStyle="1" w:styleId="NoList11214">
    <w:name w:val="No List11214"/>
    <w:next w:val="NoList"/>
    <w:uiPriority w:val="99"/>
    <w:semiHidden/>
    <w:unhideWhenUsed/>
    <w:rsid w:val="00375ED8"/>
  </w:style>
  <w:style w:type="numbering" w:customStyle="1" w:styleId="NoList2124">
    <w:name w:val="No List2124"/>
    <w:next w:val="NoList"/>
    <w:uiPriority w:val="99"/>
    <w:semiHidden/>
    <w:unhideWhenUsed/>
    <w:rsid w:val="00375ED8"/>
  </w:style>
  <w:style w:type="numbering" w:customStyle="1" w:styleId="NoList324">
    <w:name w:val="No List324"/>
    <w:next w:val="NoList"/>
    <w:uiPriority w:val="99"/>
    <w:semiHidden/>
    <w:unhideWhenUsed/>
    <w:rsid w:val="00375ED8"/>
  </w:style>
  <w:style w:type="numbering" w:customStyle="1" w:styleId="NoList11124">
    <w:name w:val="No List11124"/>
    <w:next w:val="NoList"/>
    <w:uiPriority w:val="99"/>
    <w:semiHidden/>
    <w:unhideWhenUsed/>
    <w:rsid w:val="00375ED8"/>
  </w:style>
  <w:style w:type="numbering" w:customStyle="1" w:styleId="NoList21124">
    <w:name w:val="No List21124"/>
    <w:next w:val="NoList"/>
    <w:uiPriority w:val="99"/>
    <w:semiHidden/>
    <w:unhideWhenUsed/>
    <w:rsid w:val="00375ED8"/>
  </w:style>
  <w:style w:type="numbering" w:customStyle="1" w:styleId="NoList111124">
    <w:name w:val="No List111124"/>
    <w:next w:val="NoList"/>
    <w:uiPriority w:val="99"/>
    <w:semiHidden/>
    <w:unhideWhenUsed/>
    <w:rsid w:val="00375ED8"/>
  </w:style>
  <w:style w:type="numbering" w:customStyle="1" w:styleId="NoList424">
    <w:name w:val="No List424"/>
    <w:next w:val="NoList"/>
    <w:uiPriority w:val="99"/>
    <w:semiHidden/>
    <w:unhideWhenUsed/>
    <w:rsid w:val="00375ED8"/>
  </w:style>
  <w:style w:type="numbering" w:customStyle="1" w:styleId="NoList1224">
    <w:name w:val="No List1224"/>
    <w:next w:val="NoList"/>
    <w:uiPriority w:val="99"/>
    <w:semiHidden/>
    <w:unhideWhenUsed/>
    <w:rsid w:val="00375ED8"/>
  </w:style>
  <w:style w:type="numbering" w:customStyle="1" w:styleId="NoList64">
    <w:name w:val="No List64"/>
    <w:next w:val="NoList"/>
    <w:uiPriority w:val="99"/>
    <w:semiHidden/>
    <w:unhideWhenUsed/>
    <w:rsid w:val="00375ED8"/>
  </w:style>
  <w:style w:type="numbering" w:customStyle="1" w:styleId="NoList164">
    <w:name w:val="No List164"/>
    <w:next w:val="NoList"/>
    <w:uiPriority w:val="99"/>
    <w:semiHidden/>
    <w:unhideWhenUsed/>
    <w:rsid w:val="00375ED8"/>
  </w:style>
  <w:style w:type="numbering" w:customStyle="1" w:styleId="NoList234">
    <w:name w:val="No List234"/>
    <w:next w:val="NoList"/>
    <w:uiPriority w:val="99"/>
    <w:semiHidden/>
    <w:unhideWhenUsed/>
    <w:rsid w:val="00375ED8"/>
  </w:style>
  <w:style w:type="numbering" w:customStyle="1" w:styleId="NoList1134">
    <w:name w:val="No List1134"/>
    <w:next w:val="NoList"/>
    <w:uiPriority w:val="99"/>
    <w:semiHidden/>
    <w:unhideWhenUsed/>
    <w:rsid w:val="00375ED8"/>
  </w:style>
  <w:style w:type="numbering" w:customStyle="1" w:styleId="NoList2134">
    <w:name w:val="No List2134"/>
    <w:next w:val="NoList"/>
    <w:uiPriority w:val="99"/>
    <w:semiHidden/>
    <w:unhideWhenUsed/>
    <w:rsid w:val="00375ED8"/>
  </w:style>
  <w:style w:type="numbering" w:customStyle="1" w:styleId="NoList334">
    <w:name w:val="No List334"/>
    <w:next w:val="NoList"/>
    <w:uiPriority w:val="99"/>
    <w:semiHidden/>
    <w:unhideWhenUsed/>
    <w:rsid w:val="00375ED8"/>
  </w:style>
  <w:style w:type="numbering" w:customStyle="1" w:styleId="NoList11134">
    <w:name w:val="No List11134"/>
    <w:next w:val="NoList"/>
    <w:uiPriority w:val="99"/>
    <w:semiHidden/>
    <w:unhideWhenUsed/>
    <w:rsid w:val="00375ED8"/>
  </w:style>
  <w:style w:type="numbering" w:customStyle="1" w:styleId="NoList21134">
    <w:name w:val="No List21134"/>
    <w:next w:val="NoList"/>
    <w:uiPriority w:val="99"/>
    <w:semiHidden/>
    <w:unhideWhenUsed/>
    <w:rsid w:val="00375ED8"/>
  </w:style>
  <w:style w:type="numbering" w:customStyle="1" w:styleId="NoList111134">
    <w:name w:val="No List111134"/>
    <w:next w:val="NoList"/>
    <w:uiPriority w:val="99"/>
    <w:semiHidden/>
    <w:unhideWhenUsed/>
    <w:rsid w:val="00375ED8"/>
  </w:style>
  <w:style w:type="numbering" w:customStyle="1" w:styleId="NoList434">
    <w:name w:val="No List434"/>
    <w:next w:val="NoList"/>
    <w:uiPriority w:val="99"/>
    <w:semiHidden/>
    <w:unhideWhenUsed/>
    <w:rsid w:val="00375ED8"/>
  </w:style>
  <w:style w:type="numbering" w:customStyle="1" w:styleId="NoList1234">
    <w:name w:val="No List1234"/>
    <w:next w:val="NoList"/>
    <w:uiPriority w:val="99"/>
    <w:semiHidden/>
    <w:unhideWhenUsed/>
    <w:rsid w:val="00375ED8"/>
  </w:style>
  <w:style w:type="numbering" w:customStyle="1" w:styleId="NoList74">
    <w:name w:val="No List74"/>
    <w:next w:val="NoList"/>
    <w:uiPriority w:val="99"/>
    <w:semiHidden/>
    <w:unhideWhenUsed/>
    <w:rsid w:val="00375ED8"/>
  </w:style>
  <w:style w:type="numbering" w:customStyle="1" w:styleId="NoList174">
    <w:name w:val="No List174"/>
    <w:next w:val="NoList"/>
    <w:uiPriority w:val="99"/>
    <w:semiHidden/>
    <w:unhideWhenUsed/>
    <w:rsid w:val="00375ED8"/>
  </w:style>
  <w:style w:type="numbering" w:customStyle="1" w:styleId="NoList244">
    <w:name w:val="No List244"/>
    <w:next w:val="NoList"/>
    <w:uiPriority w:val="99"/>
    <w:semiHidden/>
    <w:unhideWhenUsed/>
    <w:rsid w:val="00375ED8"/>
  </w:style>
  <w:style w:type="numbering" w:customStyle="1" w:styleId="NoList1144">
    <w:name w:val="No List1144"/>
    <w:next w:val="NoList"/>
    <w:uiPriority w:val="99"/>
    <w:semiHidden/>
    <w:unhideWhenUsed/>
    <w:rsid w:val="00375ED8"/>
  </w:style>
  <w:style w:type="numbering" w:customStyle="1" w:styleId="NoList2144">
    <w:name w:val="No List2144"/>
    <w:next w:val="NoList"/>
    <w:uiPriority w:val="99"/>
    <w:semiHidden/>
    <w:unhideWhenUsed/>
    <w:rsid w:val="00375ED8"/>
  </w:style>
  <w:style w:type="numbering" w:customStyle="1" w:styleId="NoList344">
    <w:name w:val="No List344"/>
    <w:next w:val="NoList"/>
    <w:uiPriority w:val="99"/>
    <w:semiHidden/>
    <w:unhideWhenUsed/>
    <w:rsid w:val="00375ED8"/>
  </w:style>
  <w:style w:type="numbering" w:customStyle="1" w:styleId="NoList11144">
    <w:name w:val="No List11144"/>
    <w:next w:val="NoList"/>
    <w:uiPriority w:val="99"/>
    <w:semiHidden/>
    <w:unhideWhenUsed/>
    <w:rsid w:val="00375ED8"/>
  </w:style>
  <w:style w:type="numbering" w:customStyle="1" w:styleId="NoList21144">
    <w:name w:val="No List21144"/>
    <w:next w:val="NoList"/>
    <w:uiPriority w:val="99"/>
    <w:semiHidden/>
    <w:unhideWhenUsed/>
    <w:rsid w:val="00375ED8"/>
  </w:style>
  <w:style w:type="numbering" w:customStyle="1" w:styleId="NoList111144">
    <w:name w:val="No List111144"/>
    <w:next w:val="NoList"/>
    <w:uiPriority w:val="99"/>
    <w:semiHidden/>
    <w:unhideWhenUsed/>
    <w:rsid w:val="00375ED8"/>
  </w:style>
  <w:style w:type="numbering" w:customStyle="1" w:styleId="NoList444">
    <w:name w:val="No List444"/>
    <w:next w:val="NoList"/>
    <w:uiPriority w:val="99"/>
    <w:semiHidden/>
    <w:unhideWhenUsed/>
    <w:rsid w:val="00375ED8"/>
  </w:style>
  <w:style w:type="numbering" w:customStyle="1" w:styleId="NoList1244">
    <w:name w:val="No List1244"/>
    <w:next w:val="NoList"/>
    <w:uiPriority w:val="99"/>
    <w:semiHidden/>
    <w:unhideWhenUsed/>
    <w:rsid w:val="00375ED8"/>
  </w:style>
  <w:style w:type="numbering" w:customStyle="1" w:styleId="NoList84">
    <w:name w:val="No List84"/>
    <w:next w:val="NoList"/>
    <w:uiPriority w:val="99"/>
    <w:semiHidden/>
    <w:unhideWhenUsed/>
    <w:rsid w:val="00375ED8"/>
  </w:style>
  <w:style w:type="numbering" w:customStyle="1" w:styleId="NoList184">
    <w:name w:val="No List184"/>
    <w:next w:val="NoList"/>
    <w:uiPriority w:val="99"/>
    <w:semiHidden/>
    <w:unhideWhenUsed/>
    <w:rsid w:val="00375ED8"/>
  </w:style>
  <w:style w:type="numbering" w:customStyle="1" w:styleId="NoList254">
    <w:name w:val="No List254"/>
    <w:next w:val="NoList"/>
    <w:uiPriority w:val="99"/>
    <w:semiHidden/>
    <w:unhideWhenUsed/>
    <w:rsid w:val="00375ED8"/>
  </w:style>
  <w:style w:type="numbering" w:customStyle="1" w:styleId="NoList354">
    <w:name w:val="No List354"/>
    <w:next w:val="NoList"/>
    <w:uiPriority w:val="99"/>
    <w:semiHidden/>
    <w:unhideWhenUsed/>
    <w:rsid w:val="00375ED8"/>
  </w:style>
  <w:style w:type="numbering" w:customStyle="1" w:styleId="NoList1154">
    <w:name w:val="No List1154"/>
    <w:next w:val="NoList"/>
    <w:uiPriority w:val="99"/>
    <w:semiHidden/>
    <w:unhideWhenUsed/>
    <w:rsid w:val="00375ED8"/>
  </w:style>
  <w:style w:type="numbering" w:customStyle="1" w:styleId="NoList2154">
    <w:name w:val="No List2154"/>
    <w:next w:val="NoList"/>
    <w:uiPriority w:val="99"/>
    <w:semiHidden/>
    <w:unhideWhenUsed/>
    <w:rsid w:val="00375ED8"/>
  </w:style>
  <w:style w:type="numbering" w:customStyle="1" w:styleId="NoList11154">
    <w:name w:val="No List11154"/>
    <w:next w:val="NoList"/>
    <w:uiPriority w:val="99"/>
    <w:semiHidden/>
    <w:unhideWhenUsed/>
    <w:rsid w:val="00375ED8"/>
  </w:style>
  <w:style w:type="numbering" w:customStyle="1" w:styleId="NoList454">
    <w:name w:val="No List454"/>
    <w:next w:val="NoList"/>
    <w:uiPriority w:val="99"/>
    <w:semiHidden/>
    <w:unhideWhenUsed/>
    <w:rsid w:val="00375ED8"/>
  </w:style>
  <w:style w:type="numbering" w:customStyle="1" w:styleId="NoList1254">
    <w:name w:val="No List1254"/>
    <w:next w:val="NoList"/>
    <w:uiPriority w:val="99"/>
    <w:semiHidden/>
    <w:unhideWhenUsed/>
    <w:rsid w:val="00375ED8"/>
  </w:style>
  <w:style w:type="numbering" w:customStyle="1" w:styleId="NoList94">
    <w:name w:val="No List94"/>
    <w:next w:val="NoList"/>
    <w:uiPriority w:val="99"/>
    <w:semiHidden/>
    <w:unhideWhenUsed/>
    <w:rsid w:val="00375ED8"/>
  </w:style>
  <w:style w:type="numbering" w:customStyle="1" w:styleId="NoList194">
    <w:name w:val="No List194"/>
    <w:next w:val="NoList"/>
    <w:uiPriority w:val="99"/>
    <w:semiHidden/>
    <w:unhideWhenUsed/>
    <w:rsid w:val="00375ED8"/>
  </w:style>
  <w:style w:type="numbering" w:customStyle="1" w:styleId="NoList264">
    <w:name w:val="No List264"/>
    <w:next w:val="NoList"/>
    <w:uiPriority w:val="99"/>
    <w:semiHidden/>
    <w:unhideWhenUsed/>
    <w:rsid w:val="00375ED8"/>
  </w:style>
  <w:style w:type="numbering" w:customStyle="1" w:styleId="NoList364">
    <w:name w:val="No List364"/>
    <w:next w:val="NoList"/>
    <w:uiPriority w:val="99"/>
    <w:semiHidden/>
    <w:unhideWhenUsed/>
    <w:rsid w:val="00375ED8"/>
  </w:style>
  <w:style w:type="numbering" w:customStyle="1" w:styleId="NoList1164">
    <w:name w:val="No List1164"/>
    <w:next w:val="NoList"/>
    <w:uiPriority w:val="99"/>
    <w:semiHidden/>
    <w:unhideWhenUsed/>
    <w:rsid w:val="00375ED8"/>
  </w:style>
  <w:style w:type="numbering" w:customStyle="1" w:styleId="NoList2164">
    <w:name w:val="No List2164"/>
    <w:next w:val="NoList"/>
    <w:uiPriority w:val="99"/>
    <w:semiHidden/>
    <w:unhideWhenUsed/>
    <w:rsid w:val="00375ED8"/>
  </w:style>
  <w:style w:type="numbering" w:customStyle="1" w:styleId="NoList11164">
    <w:name w:val="No List11164"/>
    <w:next w:val="NoList"/>
    <w:uiPriority w:val="99"/>
    <w:semiHidden/>
    <w:unhideWhenUsed/>
    <w:rsid w:val="00375ED8"/>
  </w:style>
  <w:style w:type="numbering" w:customStyle="1" w:styleId="NoList464">
    <w:name w:val="No List464"/>
    <w:next w:val="NoList"/>
    <w:uiPriority w:val="99"/>
    <w:semiHidden/>
    <w:unhideWhenUsed/>
    <w:rsid w:val="00375ED8"/>
  </w:style>
  <w:style w:type="numbering" w:customStyle="1" w:styleId="NoList1264">
    <w:name w:val="No List1264"/>
    <w:next w:val="NoList"/>
    <w:uiPriority w:val="99"/>
    <w:semiHidden/>
    <w:unhideWhenUsed/>
    <w:rsid w:val="00375ED8"/>
  </w:style>
  <w:style w:type="numbering" w:customStyle="1" w:styleId="NoList102">
    <w:name w:val="No List102"/>
    <w:next w:val="NoList"/>
    <w:uiPriority w:val="99"/>
    <w:semiHidden/>
    <w:unhideWhenUsed/>
    <w:rsid w:val="00375ED8"/>
  </w:style>
  <w:style w:type="numbering" w:customStyle="1" w:styleId="NoList1102">
    <w:name w:val="No List1102"/>
    <w:next w:val="NoList"/>
    <w:uiPriority w:val="99"/>
    <w:semiHidden/>
    <w:unhideWhenUsed/>
    <w:rsid w:val="00375ED8"/>
  </w:style>
  <w:style w:type="numbering" w:customStyle="1" w:styleId="NoList1172">
    <w:name w:val="No List1172"/>
    <w:next w:val="NoList"/>
    <w:uiPriority w:val="99"/>
    <w:semiHidden/>
    <w:unhideWhenUsed/>
    <w:rsid w:val="00375ED8"/>
  </w:style>
  <w:style w:type="numbering" w:customStyle="1" w:styleId="NoList272">
    <w:name w:val="No List272"/>
    <w:next w:val="NoList"/>
    <w:uiPriority w:val="99"/>
    <w:semiHidden/>
    <w:unhideWhenUsed/>
    <w:rsid w:val="00375ED8"/>
  </w:style>
  <w:style w:type="numbering" w:customStyle="1" w:styleId="NoList11172">
    <w:name w:val="No List11172"/>
    <w:next w:val="NoList"/>
    <w:uiPriority w:val="99"/>
    <w:semiHidden/>
    <w:unhideWhenUsed/>
    <w:rsid w:val="00375ED8"/>
  </w:style>
  <w:style w:type="numbering" w:customStyle="1" w:styleId="NoList372">
    <w:name w:val="No List372"/>
    <w:next w:val="NoList"/>
    <w:uiPriority w:val="99"/>
    <w:semiHidden/>
    <w:unhideWhenUsed/>
    <w:rsid w:val="00375ED8"/>
  </w:style>
  <w:style w:type="numbering" w:customStyle="1" w:styleId="NoList2172">
    <w:name w:val="No List2172"/>
    <w:next w:val="NoList"/>
    <w:uiPriority w:val="99"/>
    <w:semiHidden/>
    <w:unhideWhenUsed/>
    <w:rsid w:val="00375ED8"/>
  </w:style>
  <w:style w:type="numbering" w:customStyle="1" w:styleId="NoList111152">
    <w:name w:val="No List111152"/>
    <w:next w:val="NoList"/>
    <w:uiPriority w:val="99"/>
    <w:semiHidden/>
    <w:unhideWhenUsed/>
    <w:rsid w:val="00375ED8"/>
  </w:style>
  <w:style w:type="numbering" w:customStyle="1" w:styleId="NoList472">
    <w:name w:val="No List472"/>
    <w:next w:val="NoList"/>
    <w:uiPriority w:val="99"/>
    <w:semiHidden/>
    <w:unhideWhenUsed/>
    <w:rsid w:val="00375ED8"/>
  </w:style>
  <w:style w:type="numbering" w:customStyle="1" w:styleId="NoList1272">
    <w:name w:val="No List1272"/>
    <w:next w:val="NoList"/>
    <w:uiPriority w:val="99"/>
    <w:semiHidden/>
    <w:unhideWhenUsed/>
    <w:rsid w:val="00375ED8"/>
  </w:style>
  <w:style w:type="numbering" w:customStyle="1" w:styleId="NoList522">
    <w:name w:val="No List522"/>
    <w:next w:val="NoList"/>
    <w:uiPriority w:val="99"/>
    <w:semiHidden/>
    <w:unhideWhenUsed/>
    <w:rsid w:val="00375ED8"/>
  </w:style>
  <w:style w:type="numbering" w:customStyle="1" w:styleId="NoList1322">
    <w:name w:val="No List1322"/>
    <w:next w:val="NoList"/>
    <w:uiPriority w:val="99"/>
    <w:semiHidden/>
    <w:unhideWhenUsed/>
    <w:rsid w:val="00375ED8"/>
  </w:style>
  <w:style w:type="numbering" w:customStyle="1" w:styleId="NoList11222">
    <w:name w:val="No List11222"/>
    <w:next w:val="NoList"/>
    <w:uiPriority w:val="99"/>
    <w:semiHidden/>
    <w:unhideWhenUsed/>
    <w:rsid w:val="00375ED8"/>
  </w:style>
  <w:style w:type="numbering" w:customStyle="1" w:styleId="NoList2222">
    <w:name w:val="No List2222"/>
    <w:next w:val="NoList"/>
    <w:uiPriority w:val="99"/>
    <w:semiHidden/>
    <w:unhideWhenUsed/>
    <w:rsid w:val="00375ED8"/>
  </w:style>
  <w:style w:type="numbering" w:customStyle="1" w:styleId="NoList12122">
    <w:name w:val="No List12122"/>
    <w:next w:val="NoList"/>
    <w:uiPriority w:val="99"/>
    <w:semiHidden/>
    <w:unhideWhenUsed/>
    <w:rsid w:val="00375ED8"/>
  </w:style>
  <w:style w:type="numbering" w:customStyle="1" w:styleId="NoList3122">
    <w:name w:val="No List3122"/>
    <w:next w:val="NoList"/>
    <w:uiPriority w:val="99"/>
    <w:semiHidden/>
    <w:unhideWhenUsed/>
    <w:rsid w:val="00375ED8"/>
  </w:style>
  <w:style w:type="numbering" w:customStyle="1" w:styleId="NoList13112">
    <w:name w:val="No List13112"/>
    <w:next w:val="NoList"/>
    <w:uiPriority w:val="99"/>
    <w:semiHidden/>
    <w:unhideWhenUsed/>
    <w:rsid w:val="00375ED8"/>
  </w:style>
  <w:style w:type="numbering" w:customStyle="1" w:styleId="NoList4122">
    <w:name w:val="No List4122"/>
    <w:next w:val="NoList"/>
    <w:uiPriority w:val="99"/>
    <w:semiHidden/>
    <w:unhideWhenUsed/>
    <w:rsid w:val="00375ED8"/>
  </w:style>
  <w:style w:type="numbering" w:customStyle="1" w:styleId="NoList1412">
    <w:name w:val="No List1412"/>
    <w:next w:val="NoList"/>
    <w:uiPriority w:val="99"/>
    <w:semiHidden/>
    <w:unhideWhenUsed/>
    <w:rsid w:val="00375ED8"/>
  </w:style>
  <w:style w:type="numbering" w:customStyle="1" w:styleId="NoList21152">
    <w:name w:val="No List21152"/>
    <w:next w:val="NoList"/>
    <w:uiPriority w:val="99"/>
    <w:semiHidden/>
    <w:unhideWhenUsed/>
    <w:rsid w:val="00375ED8"/>
  </w:style>
  <w:style w:type="numbering" w:customStyle="1" w:styleId="NoList1111122">
    <w:name w:val="No List1111122"/>
    <w:next w:val="NoList"/>
    <w:uiPriority w:val="99"/>
    <w:semiHidden/>
    <w:unhideWhenUsed/>
    <w:rsid w:val="00375ED8"/>
  </w:style>
  <w:style w:type="numbering" w:customStyle="1" w:styleId="NoList211122">
    <w:name w:val="No List211122"/>
    <w:next w:val="NoList"/>
    <w:uiPriority w:val="99"/>
    <w:semiHidden/>
    <w:unhideWhenUsed/>
    <w:rsid w:val="00375ED8"/>
  </w:style>
  <w:style w:type="numbering" w:customStyle="1" w:styleId="NoList31112">
    <w:name w:val="No List31112"/>
    <w:next w:val="NoList"/>
    <w:uiPriority w:val="99"/>
    <w:semiHidden/>
    <w:unhideWhenUsed/>
    <w:rsid w:val="00375ED8"/>
  </w:style>
  <w:style w:type="numbering" w:customStyle="1" w:styleId="NoList111111112">
    <w:name w:val="No List111111112"/>
    <w:next w:val="NoList"/>
    <w:uiPriority w:val="99"/>
    <w:semiHidden/>
    <w:unhideWhenUsed/>
    <w:rsid w:val="00375ED8"/>
  </w:style>
  <w:style w:type="numbering" w:customStyle="1" w:styleId="NoList2111112">
    <w:name w:val="No List2111112"/>
    <w:next w:val="NoList"/>
    <w:uiPriority w:val="99"/>
    <w:semiHidden/>
    <w:unhideWhenUsed/>
    <w:rsid w:val="00375ED8"/>
  </w:style>
  <w:style w:type="numbering" w:customStyle="1" w:styleId="NoList1111111112">
    <w:name w:val="No List1111111112"/>
    <w:next w:val="NoList"/>
    <w:uiPriority w:val="99"/>
    <w:semiHidden/>
    <w:unhideWhenUsed/>
    <w:rsid w:val="00375ED8"/>
  </w:style>
  <w:style w:type="numbering" w:customStyle="1" w:styleId="NoList41112">
    <w:name w:val="No List41112"/>
    <w:next w:val="NoList"/>
    <w:uiPriority w:val="99"/>
    <w:semiHidden/>
    <w:unhideWhenUsed/>
    <w:rsid w:val="00375ED8"/>
  </w:style>
  <w:style w:type="numbering" w:customStyle="1" w:styleId="NoList121112">
    <w:name w:val="No List121112"/>
    <w:next w:val="NoList"/>
    <w:uiPriority w:val="99"/>
    <w:semiHidden/>
    <w:unhideWhenUsed/>
    <w:rsid w:val="00375ED8"/>
  </w:style>
  <w:style w:type="numbering" w:customStyle="1" w:styleId="NoList5112">
    <w:name w:val="No List5112"/>
    <w:next w:val="NoList"/>
    <w:uiPriority w:val="99"/>
    <w:semiHidden/>
    <w:unhideWhenUsed/>
    <w:rsid w:val="00375ED8"/>
  </w:style>
  <w:style w:type="numbering" w:customStyle="1" w:styleId="NoList1512">
    <w:name w:val="No List1512"/>
    <w:next w:val="NoList"/>
    <w:uiPriority w:val="99"/>
    <w:semiHidden/>
    <w:unhideWhenUsed/>
    <w:rsid w:val="00375ED8"/>
  </w:style>
  <w:style w:type="numbering" w:customStyle="1" w:styleId="NoList22112">
    <w:name w:val="No List22112"/>
    <w:next w:val="NoList"/>
    <w:uiPriority w:val="99"/>
    <w:semiHidden/>
    <w:unhideWhenUsed/>
    <w:rsid w:val="00375ED8"/>
  </w:style>
  <w:style w:type="numbering" w:customStyle="1" w:styleId="NoList112112">
    <w:name w:val="No List112112"/>
    <w:next w:val="NoList"/>
    <w:uiPriority w:val="99"/>
    <w:semiHidden/>
    <w:unhideWhenUsed/>
    <w:rsid w:val="00375ED8"/>
  </w:style>
  <w:style w:type="numbering" w:customStyle="1" w:styleId="NoList21212">
    <w:name w:val="No List21212"/>
    <w:next w:val="NoList"/>
    <w:uiPriority w:val="99"/>
    <w:semiHidden/>
    <w:unhideWhenUsed/>
    <w:rsid w:val="00375ED8"/>
  </w:style>
  <w:style w:type="numbering" w:customStyle="1" w:styleId="NoList3212">
    <w:name w:val="No List3212"/>
    <w:next w:val="NoList"/>
    <w:uiPriority w:val="99"/>
    <w:semiHidden/>
    <w:unhideWhenUsed/>
    <w:rsid w:val="00375ED8"/>
  </w:style>
  <w:style w:type="numbering" w:customStyle="1" w:styleId="NoList111212">
    <w:name w:val="No List111212"/>
    <w:next w:val="NoList"/>
    <w:uiPriority w:val="99"/>
    <w:semiHidden/>
    <w:unhideWhenUsed/>
    <w:rsid w:val="00375ED8"/>
  </w:style>
  <w:style w:type="numbering" w:customStyle="1" w:styleId="NoList211212">
    <w:name w:val="No List211212"/>
    <w:next w:val="NoList"/>
    <w:uiPriority w:val="99"/>
    <w:semiHidden/>
    <w:unhideWhenUsed/>
    <w:rsid w:val="00375ED8"/>
  </w:style>
  <w:style w:type="numbering" w:customStyle="1" w:styleId="NoList1111212">
    <w:name w:val="No List1111212"/>
    <w:next w:val="NoList"/>
    <w:uiPriority w:val="99"/>
    <w:semiHidden/>
    <w:unhideWhenUsed/>
    <w:rsid w:val="00375ED8"/>
  </w:style>
  <w:style w:type="numbering" w:customStyle="1" w:styleId="NoList4212">
    <w:name w:val="No List4212"/>
    <w:next w:val="NoList"/>
    <w:uiPriority w:val="99"/>
    <w:semiHidden/>
    <w:unhideWhenUsed/>
    <w:rsid w:val="00375ED8"/>
  </w:style>
  <w:style w:type="numbering" w:customStyle="1" w:styleId="NoList12212">
    <w:name w:val="No List12212"/>
    <w:next w:val="NoList"/>
    <w:uiPriority w:val="99"/>
    <w:semiHidden/>
    <w:unhideWhenUsed/>
    <w:rsid w:val="00375ED8"/>
  </w:style>
  <w:style w:type="numbering" w:customStyle="1" w:styleId="NoList612">
    <w:name w:val="No List612"/>
    <w:next w:val="NoList"/>
    <w:uiPriority w:val="99"/>
    <w:semiHidden/>
    <w:unhideWhenUsed/>
    <w:rsid w:val="00375ED8"/>
  </w:style>
  <w:style w:type="numbering" w:customStyle="1" w:styleId="NoList1612">
    <w:name w:val="No List1612"/>
    <w:next w:val="NoList"/>
    <w:uiPriority w:val="99"/>
    <w:semiHidden/>
    <w:unhideWhenUsed/>
    <w:rsid w:val="00375ED8"/>
  </w:style>
  <w:style w:type="numbering" w:customStyle="1" w:styleId="NoList2312">
    <w:name w:val="No List2312"/>
    <w:next w:val="NoList"/>
    <w:uiPriority w:val="99"/>
    <w:semiHidden/>
    <w:unhideWhenUsed/>
    <w:rsid w:val="00375ED8"/>
  </w:style>
  <w:style w:type="numbering" w:customStyle="1" w:styleId="NoList11312">
    <w:name w:val="No List11312"/>
    <w:next w:val="NoList"/>
    <w:uiPriority w:val="99"/>
    <w:semiHidden/>
    <w:unhideWhenUsed/>
    <w:rsid w:val="00375ED8"/>
  </w:style>
  <w:style w:type="numbering" w:customStyle="1" w:styleId="NoList21312">
    <w:name w:val="No List21312"/>
    <w:next w:val="NoList"/>
    <w:uiPriority w:val="99"/>
    <w:semiHidden/>
    <w:unhideWhenUsed/>
    <w:rsid w:val="00375ED8"/>
  </w:style>
  <w:style w:type="numbering" w:customStyle="1" w:styleId="NoList3312">
    <w:name w:val="No List3312"/>
    <w:next w:val="NoList"/>
    <w:uiPriority w:val="99"/>
    <w:semiHidden/>
    <w:unhideWhenUsed/>
    <w:rsid w:val="00375ED8"/>
  </w:style>
  <w:style w:type="numbering" w:customStyle="1" w:styleId="NoList111312">
    <w:name w:val="No List111312"/>
    <w:next w:val="NoList"/>
    <w:uiPriority w:val="99"/>
    <w:semiHidden/>
    <w:unhideWhenUsed/>
    <w:rsid w:val="00375ED8"/>
  </w:style>
  <w:style w:type="numbering" w:customStyle="1" w:styleId="NoList211312">
    <w:name w:val="No List211312"/>
    <w:next w:val="NoList"/>
    <w:uiPriority w:val="99"/>
    <w:semiHidden/>
    <w:unhideWhenUsed/>
    <w:rsid w:val="00375ED8"/>
  </w:style>
  <w:style w:type="numbering" w:customStyle="1" w:styleId="NoList1111312">
    <w:name w:val="No List1111312"/>
    <w:next w:val="NoList"/>
    <w:uiPriority w:val="99"/>
    <w:semiHidden/>
    <w:unhideWhenUsed/>
    <w:rsid w:val="00375ED8"/>
  </w:style>
  <w:style w:type="numbering" w:customStyle="1" w:styleId="NoList4312">
    <w:name w:val="No List4312"/>
    <w:next w:val="NoList"/>
    <w:uiPriority w:val="99"/>
    <w:semiHidden/>
    <w:unhideWhenUsed/>
    <w:rsid w:val="00375ED8"/>
  </w:style>
  <w:style w:type="numbering" w:customStyle="1" w:styleId="NoList12312">
    <w:name w:val="No List12312"/>
    <w:next w:val="NoList"/>
    <w:uiPriority w:val="99"/>
    <w:semiHidden/>
    <w:unhideWhenUsed/>
    <w:rsid w:val="00375ED8"/>
  </w:style>
  <w:style w:type="numbering" w:customStyle="1" w:styleId="NoList712">
    <w:name w:val="No List712"/>
    <w:next w:val="NoList"/>
    <w:uiPriority w:val="99"/>
    <w:semiHidden/>
    <w:unhideWhenUsed/>
    <w:rsid w:val="00375ED8"/>
  </w:style>
  <w:style w:type="numbering" w:customStyle="1" w:styleId="NoList1712">
    <w:name w:val="No List1712"/>
    <w:next w:val="NoList"/>
    <w:uiPriority w:val="99"/>
    <w:semiHidden/>
    <w:unhideWhenUsed/>
    <w:rsid w:val="00375ED8"/>
  </w:style>
  <w:style w:type="numbering" w:customStyle="1" w:styleId="NoList2412">
    <w:name w:val="No List2412"/>
    <w:next w:val="NoList"/>
    <w:uiPriority w:val="99"/>
    <w:semiHidden/>
    <w:unhideWhenUsed/>
    <w:rsid w:val="00375ED8"/>
  </w:style>
  <w:style w:type="numbering" w:customStyle="1" w:styleId="NoList11412">
    <w:name w:val="No List11412"/>
    <w:next w:val="NoList"/>
    <w:uiPriority w:val="99"/>
    <w:semiHidden/>
    <w:unhideWhenUsed/>
    <w:rsid w:val="00375ED8"/>
  </w:style>
  <w:style w:type="numbering" w:customStyle="1" w:styleId="NoList21412">
    <w:name w:val="No List21412"/>
    <w:next w:val="NoList"/>
    <w:uiPriority w:val="99"/>
    <w:semiHidden/>
    <w:unhideWhenUsed/>
    <w:rsid w:val="00375ED8"/>
  </w:style>
  <w:style w:type="numbering" w:customStyle="1" w:styleId="NoList3412">
    <w:name w:val="No List3412"/>
    <w:next w:val="NoList"/>
    <w:uiPriority w:val="99"/>
    <w:semiHidden/>
    <w:unhideWhenUsed/>
    <w:rsid w:val="00375ED8"/>
  </w:style>
  <w:style w:type="numbering" w:customStyle="1" w:styleId="NoList111412">
    <w:name w:val="No List111412"/>
    <w:next w:val="NoList"/>
    <w:uiPriority w:val="99"/>
    <w:semiHidden/>
    <w:unhideWhenUsed/>
    <w:rsid w:val="00375ED8"/>
  </w:style>
  <w:style w:type="numbering" w:customStyle="1" w:styleId="NoList211412">
    <w:name w:val="No List211412"/>
    <w:next w:val="NoList"/>
    <w:uiPriority w:val="99"/>
    <w:semiHidden/>
    <w:unhideWhenUsed/>
    <w:rsid w:val="00375ED8"/>
  </w:style>
  <w:style w:type="numbering" w:customStyle="1" w:styleId="NoList1111412">
    <w:name w:val="No List1111412"/>
    <w:next w:val="NoList"/>
    <w:uiPriority w:val="99"/>
    <w:semiHidden/>
    <w:unhideWhenUsed/>
    <w:rsid w:val="00375ED8"/>
  </w:style>
  <w:style w:type="numbering" w:customStyle="1" w:styleId="NoList4412">
    <w:name w:val="No List4412"/>
    <w:next w:val="NoList"/>
    <w:uiPriority w:val="99"/>
    <w:semiHidden/>
    <w:unhideWhenUsed/>
    <w:rsid w:val="00375ED8"/>
  </w:style>
  <w:style w:type="numbering" w:customStyle="1" w:styleId="NoList12412">
    <w:name w:val="No List12412"/>
    <w:next w:val="NoList"/>
    <w:uiPriority w:val="99"/>
    <w:semiHidden/>
    <w:unhideWhenUsed/>
    <w:rsid w:val="00375ED8"/>
  </w:style>
  <w:style w:type="numbering" w:customStyle="1" w:styleId="NoList812">
    <w:name w:val="No List812"/>
    <w:next w:val="NoList"/>
    <w:uiPriority w:val="99"/>
    <w:semiHidden/>
    <w:unhideWhenUsed/>
    <w:rsid w:val="00375ED8"/>
  </w:style>
  <w:style w:type="numbering" w:customStyle="1" w:styleId="NoList1812">
    <w:name w:val="No List1812"/>
    <w:next w:val="NoList"/>
    <w:uiPriority w:val="99"/>
    <w:semiHidden/>
    <w:unhideWhenUsed/>
    <w:rsid w:val="00375ED8"/>
  </w:style>
  <w:style w:type="numbering" w:customStyle="1" w:styleId="NoList2512">
    <w:name w:val="No List2512"/>
    <w:next w:val="NoList"/>
    <w:uiPriority w:val="99"/>
    <w:semiHidden/>
    <w:unhideWhenUsed/>
    <w:rsid w:val="00375ED8"/>
  </w:style>
  <w:style w:type="numbering" w:customStyle="1" w:styleId="NoList3512">
    <w:name w:val="No List3512"/>
    <w:next w:val="NoList"/>
    <w:uiPriority w:val="99"/>
    <w:semiHidden/>
    <w:unhideWhenUsed/>
    <w:rsid w:val="00375ED8"/>
  </w:style>
  <w:style w:type="numbering" w:customStyle="1" w:styleId="NoList11512">
    <w:name w:val="No List11512"/>
    <w:next w:val="NoList"/>
    <w:uiPriority w:val="99"/>
    <w:semiHidden/>
    <w:unhideWhenUsed/>
    <w:rsid w:val="00375ED8"/>
  </w:style>
  <w:style w:type="numbering" w:customStyle="1" w:styleId="NoList21512">
    <w:name w:val="No List21512"/>
    <w:next w:val="NoList"/>
    <w:uiPriority w:val="99"/>
    <w:semiHidden/>
    <w:unhideWhenUsed/>
    <w:rsid w:val="00375ED8"/>
  </w:style>
  <w:style w:type="numbering" w:customStyle="1" w:styleId="NoList111512">
    <w:name w:val="No List111512"/>
    <w:next w:val="NoList"/>
    <w:uiPriority w:val="99"/>
    <w:semiHidden/>
    <w:unhideWhenUsed/>
    <w:rsid w:val="00375ED8"/>
  </w:style>
  <w:style w:type="numbering" w:customStyle="1" w:styleId="NoList4512">
    <w:name w:val="No List4512"/>
    <w:next w:val="NoList"/>
    <w:uiPriority w:val="99"/>
    <w:semiHidden/>
    <w:unhideWhenUsed/>
    <w:rsid w:val="00375ED8"/>
  </w:style>
  <w:style w:type="numbering" w:customStyle="1" w:styleId="NoList12512">
    <w:name w:val="No List12512"/>
    <w:next w:val="NoList"/>
    <w:uiPriority w:val="99"/>
    <w:semiHidden/>
    <w:unhideWhenUsed/>
    <w:rsid w:val="00375ED8"/>
  </w:style>
  <w:style w:type="numbering" w:customStyle="1" w:styleId="NoList912">
    <w:name w:val="No List912"/>
    <w:next w:val="NoList"/>
    <w:uiPriority w:val="99"/>
    <w:semiHidden/>
    <w:unhideWhenUsed/>
    <w:rsid w:val="00375ED8"/>
  </w:style>
  <w:style w:type="numbering" w:customStyle="1" w:styleId="NoList1912">
    <w:name w:val="No List1912"/>
    <w:next w:val="NoList"/>
    <w:uiPriority w:val="99"/>
    <w:semiHidden/>
    <w:unhideWhenUsed/>
    <w:rsid w:val="00375ED8"/>
  </w:style>
  <w:style w:type="numbering" w:customStyle="1" w:styleId="NoList2612">
    <w:name w:val="No List2612"/>
    <w:next w:val="NoList"/>
    <w:uiPriority w:val="99"/>
    <w:semiHidden/>
    <w:unhideWhenUsed/>
    <w:rsid w:val="00375ED8"/>
  </w:style>
  <w:style w:type="numbering" w:customStyle="1" w:styleId="NoList3612">
    <w:name w:val="No List3612"/>
    <w:next w:val="NoList"/>
    <w:uiPriority w:val="99"/>
    <w:semiHidden/>
    <w:unhideWhenUsed/>
    <w:rsid w:val="00375ED8"/>
  </w:style>
  <w:style w:type="numbering" w:customStyle="1" w:styleId="NoList11612">
    <w:name w:val="No List11612"/>
    <w:next w:val="NoList"/>
    <w:uiPriority w:val="99"/>
    <w:semiHidden/>
    <w:unhideWhenUsed/>
    <w:rsid w:val="00375ED8"/>
  </w:style>
  <w:style w:type="numbering" w:customStyle="1" w:styleId="NoList21612">
    <w:name w:val="No List21612"/>
    <w:next w:val="NoList"/>
    <w:uiPriority w:val="99"/>
    <w:semiHidden/>
    <w:unhideWhenUsed/>
    <w:rsid w:val="00375ED8"/>
  </w:style>
  <w:style w:type="numbering" w:customStyle="1" w:styleId="NoList111612">
    <w:name w:val="No List111612"/>
    <w:next w:val="NoList"/>
    <w:uiPriority w:val="99"/>
    <w:semiHidden/>
    <w:unhideWhenUsed/>
    <w:rsid w:val="00375ED8"/>
  </w:style>
  <w:style w:type="numbering" w:customStyle="1" w:styleId="NoList4612">
    <w:name w:val="No List4612"/>
    <w:next w:val="NoList"/>
    <w:uiPriority w:val="99"/>
    <w:semiHidden/>
    <w:unhideWhenUsed/>
    <w:rsid w:val="00375ED8"/>
  </w:style>
  <w:style w:type="numbering" w:customStyle="1" w:styleId="NoList12612">
    <w:name w:val="No List12612"/>
    <w:next w:val="NoList"/>
    <w:uiPriority w:val="99"/>
    <w:semiHidden/>
    <w:unhideWhenUsed/>
    <w:rsid w:val="00375ED8"/>
  </w:style>
  <w:style w:type="numbering" w:customStyle="1" w:styleId="NoList202">
    <w:name w:val="No List202"/>
    <w:next w:val="NoList"/>
    <w:uiPriority w:val="99"/>
    <w:semiHidden/>
    <w:unhideWhenUsed/>
    <w:rsid w:val="00375ED8"/>
  </w:style>
  <w:style w:type="numbering" w:customStyle="1" w:styleId="NoList1182">
    <w:name w:val="No List1182"/>
    <w:next w:val="NoList"/>
    <w:uiPriority w:val="99"/>
    <w:semiHidden/>
    <w:unhideWhenUsed/>
    <w:rsid w:val="00375ED8"/>
  </w:style>
  <w:style w:type="numbering" w:customStyle="1" w:styleId="NoList1192">
    <w:name w:val="No List1192"/>
    <w:next w:val="NoList"/>
    <w:uiPriority w:val="99"/>
    <w:semiHidden/>
    <w:unhideWhenUsed/>
    <w:rsid w:val="00375ED8"/>
  </w:style>
  <w:style w:type="numbering" w:customStyle="1" w:styleId="NoList282">
    <w:name w:val="No List282"/>
    <w:next w:val="NoList"/>
    <w:uiPriority w:val="99"/>
    <w:semiHidden/>
    <w:unhideWhenUsed/>
    <w:rsid w:val="00375ED8"/>
  </w:style>
  <w:style w:type="numbering" w:customStyle="1" w:styleId="NoList11182">
    <w:name w:val="No List11182"/>
    <w:next w:val="NoList"/>
    <w:uiPriority w:val="99"/>
    <w:semiHidden/>
    <w:unhideWhenUsed/>
    <w:rsid w:val="00375ED8"/>
  </w:style>
  <w:style w:type="numbering" w:customStyle="1" w:styleId="NoList382">
    <w:name w:val="No List382"/>
    <w:next w:val="NoList"/>
    <w:uiPriority w:val="99"/>
    <w:semiHidden/>
    <w:unhideWhenUsed/>
    <w:rsid w:val="00375ED8"/>
  </w:style>
  <w:style w:type="numbering" w:customStyle="1" w:styleId="NoList2182">
    <w:name w:val="No List2182"/>
    <w:next w:val="NoList"/>
    <w:uiPriority w:val="99"/>
    <w:semiHidden/>
    <w:unhideWhenUsed/>
    <w:rsid w:val="00375ED8"/>
  </w:style>
  <w:style w:type="numbering" w:customStyle="1" w:styleId="NoList111162">
    <w:name w:val="No List111162"/>
    <w:next w:val="NoList"/>
    <w:uiPriority w:val="99"/>
    <w:semiHidden/>
    <w:unhideWhenUsed/>
    <w:rsid w:val="00375ED8"/>
  </w:style>
  <w:style w:type="numbering" w:customStyle="1" w:styleId="NoList482">
    <w:name w:val="No List482"/>
    <w:next w:val="NoList"/>
    <w:uiPriority w:val="99"/>
    <w:semiHidden/>
    <w:unhideWhenUsed/>
    <w:rsid w:val="00375ED8"/>
  </w:style>
  <w:style w:type="numbering" w:customStyle="1" w:styleId="NoList1282">
    <w:name w:val="No List1282"/>
    <w:next w:val="NoList"/>
    <w:uiPriority w:val="99"/>
    <w:semiHidden/>
    <w:unhideWhenUsed/>
    <w:rsid w:val="00375ED8"/>
  </w:style>
  <w:style w:type="numbering" w:customStyle="1" w:styleId="NoList532">
    <w:name w:val="No List532"/>
    <w:next w:val="NoList"/>
    <w:uiPriority w:val="99"/>
    <w:semiHidden/>
    <w:unhideWhenUsed/>
    <w:rsid w:val="00375ED8"/>
  </w:style>
  <w:style w:type="numbering" w:customStyle="1" w:styleId="NoList1332">
    <w:name w:val="No List1332"/>
    <w:next w:val="NoList"/>
    <w:uiPriority w:val="99"/>
    <w:semiHidden/>
    <w:unhideWhenUsed/>
    <w:rsid w:val="00375ED8"/>
  </w:style>
  <w:style w:type="numbering" w:customStyle="1" w:styleId="NoList11232">
    <w:name w:val="No List11232"/>
    <w:next w:val="NoList"/>
    <w:uiPriority w:val="99"/>
    <w:semiHidden/>
    <w:unhideWhenUsed/>
    <w:rsid w:val="00375ED8"/>
  </w:style>
  <w:style w:type="numbering" w:customStyle="1" w:styleId="NoList2232">
    <w:name w:val="No List2232"/>
    <w:next w:val="NoList"/>
    <w:uiPriority w:val="99"/>
    <w:semiHidden/>
    <w:unhideWhenUsed/>
    <w:rsid w:val="00375ED8"/>
  </w:style>
  <w:style w:type="numbering" w:customStyle="1" w:styleId="NoList12132">
    <w:name w:val="No List12132"/>
    <w:next w:val="NoList"/>
    <w:uiPriority w:val="99"/>
    <w:semiHidden/>
    <w:unhideWhenUsed/>
    <w:rsid w:val="00375ED8"/>
  </w:style>
  <w:style w:type="numbering" w:customStyle="1" w:styleId="NoList3132">
    <w:name w:val="No List3132"/>
    <w:next w:val="NoList"/>
    <w:uiPriority w:val="99"/>
    <w:semiHidden/>
    <w:unhideWhenUsed/>
    <w:rsid w:val="00375ED8"/>
  </w:style>
  <w:style w:type="numbering" w:customStyle="1" w:styleId="NoList13122">
    <w:name w:val="No List13122"/>
    <w:next w:val="NoList"/>
    <w:uiPriority w:val="99"/>
    <w:semiHidden/>
    <w:unhideWhenUsed/>
    <w:rsid w:val="00375ED8"/>
  </w:style>
  <w:style w:type="numbering" w:customStyle="1" w:styleId="NoList4132">
    <w:name w:val="No List4132"/>
    <w:next w:val="NoList"/>
    <w:uiPriority w:val="99"/>
    <w:semiHidden/>
    <w:unhideWhenUsed/>
    <w:rsid w:val="00375ED8"/>
  </w:style>
  <w:style w:type="numbering" w:customStyle="1" w:styleId="NoList1422">
    <w:name w:val="No List1422"/>
    <w:next w:val="NoList"/>
    <w:uiPriority w:val="99"/>
    <w:semiHidden/>
    <w:unhideWhenUsed/>
    <w:rsid w:val="00375ED8"/>
  </w:style>
  <w:style w:type="numbering" w:customStyle="1" w:styleId="NoList21162">
    <w:name w:val="No List21162"/>
    <w:next w:val="NoList"/>
    <w:uiPriority w:val="99"/>
    <w:semiHidden/>
    <w:unhideWhenUsed/>
    <w:rsid w:val="00375ED8"/>
  </w:style>
  <w:style w:type="numbering" w:customStyle="1" w:styleId="NoList1111132">
    <w:name w:val="No List1111132"/>
    <w:next w:val="NoList"/>
    <w:uiPriority w:val="99"/>
    <w:semiHidden/>
    <w:unhideWhenUsed/>
    <w:rsid w:val="00375ED8"/>
  </w:style>
  <w:style w:type="numbering" w:customStyle="1" w:styleId="NoList211132">
    <w:name w:val="No List211132"/>
    <w:next w:val="NoList"/>
    <w:uiPriority w:val="99"/>
    <w:semiHidden/>
    <w:unhideWhenUsed/>
    <w:rsid w:val="00375ED8"/>
  </w:style>
  <w:style w:type="numbering" w:customStyle="1" w:styleId="NoList31122">
    <w:name w:val="No List31122"/>
    <w:next w:val="NoList"/>
    <w:uiPriority w:val="99"/>
    <w:semiHidden/>
    <w:unhideWhenUsed/>
    <w:rsid w:val="00375ED8"/>
  </w:style>
  <w:style w:type="numbering" w:customStyle="1" w:styleId="NoList11111122">
    <w:name w:val="No List11111122"/>
    <w:next w:val="NoList"/>
    <w:uiPriority w:val="99"/>
    <w:semiHidden/>
    <w:unhideWhenUsed/>
    <w:rsid w:val="00375ED8"/>
  </w:style>
  <w:style w:type="numbering" w:customStyle="1" w:styleId="NoList2111122">
    <w:name w:val="No List2111122"/>
    <w:next w:val="NoList"/>
    <w:uiPriority w:val="99"/>
    <w:semiHidden/>
    <w:unhideWhenUsed/>
    <w:rsid w:val="00375ED8"/>
  </w:style>
  <w:style w:type="numbering" w:customStyle="1" w:styleId="NoList111111122">
    <w:name w:val="No List111111122"/>
    <w:next w:val="NoList"/>
    <w:uiPriority w:val="99"/>
    <w:semiHidden/>
    <w:unhideWhenUsed/>
    <w:rsid w:val="00375ED8"/>
  </w:style>
  <w:style w:type="numbering" w:customStyle="1" w:styleId="NoList41122">
    <w:name w:val="No List41122"/>
    <w:next w:val="NoList"/>
    <w:uiPriority w:val="99"/>
    <w:semiHidden/>
    <w:unhideWhenUsed/>
    <w:rsid w:val="00375ED8"/>
  </w:style>
  <w:style w:type="numbering" w:customStyle="1" w:styleId="NoList121122">
    <w:name w:val="No List121122"/>
    <w:next w:val="NoList"/>
    <w:uiPriority w:val="99"/>
    <w:semiHidden/>
    <w:unhideWhenUsed/>
    <w:rsid w:val="00375ED8"/>
  </w:style>
  <w:style w:type="numbering" w:customStyle="1" w:styleId="NoList5122">
    <w:name w:val="No List5122"/>
    <w:next w:val="NoList"/>
    <w:uiPriority w:val="99"/>
    <w:semiHidden/>
    <w:unhideWhenUsed/>
    <w:rsid w:val="00375ED8"/>
  </w:style>
  <w:style w:type="numbering" w:customStyle="1" w:styleId="NoList1522">
    <w:name w:val="No List1522"/>
    <w:next w:val="NoList"/>
    <w:uiPriority w:val="99"/>
    <w:semiHidden/>
    <w:unhideWhenUsed/>
    <w:rsid w:val="00375ED8"/>
  </w:style>
  <w:style w:type="numbering" w:customStyle="1" w:styleId="NoList22122">
    <w:name w:val="No List22122"/>
    <w:next w:val="NoList"/>
    <w:uiPriority w:val="99"/>
    <w:semiHidden/>
    <w:unhideWhenUsed/>
    <w:rsid w:val="00375ED8"/>
  </w:style>
  <w:style w:type="numbering" w:customStyle="1" w:styleId="NoList112122">
    <w:name w:val="No List112122"/>
    <w:next w:val="NoList"/>
    <w:uiPriority w:val="99"/>
    <w:semiHidden/>
    <w:unhideWhenUsed/>
    <w:rsid w:val="00375ED8"/>
  </w:style>
  <w:style w:type="numbering" w:customStyle="1" w:styleId="NoList21222">
    <w:name w:val="No List21222"/>
    <w:next w:val="NoList"/>
    <w:uiPriority w:val="99"/>
    <w:semiHidden/>
    <w:unhideWhenUsed/>
    <w:rsid w:val="00375ED8"/>
  </w:style>
  <w:style w:type="numbering" w:customStyle="1" w:styleId="NoList3222">
    <w:name w:val="No List3222"/>
    <w:next w:val="NoList"/>
    <w:uiPriority w:val="99"/>
    <w:semiHidden/>
    <w:unhideWhenUsed/>
    <w:rsid w:val="00375ED8"/>
  </w:style>
  <w:style w:type="numbering" w:customStyle="1" w:styleId="NoList111222">
    <w:name w:val="No List111222"/>
    <w:next w:val="NoList"/>
    <w:uiPriority w:val="99"/>
    <w:semiHidden/>
    <w:unhideWhenUsed/>
    <w:rsid w:val="00375ED8"/>
  </w:style>
  <w:style w:type="numbering" w:customStyle="1" w:styleId="NoList211222">
    <w:name w:val="No List211222"/>
    <w:next w:val="NoList"/>
    <w:uiPriority w:val="99"/>
    <w:semiHidden/>
    <w:unhideWhenUsed/>
    <w:rsid w:val="00375ED8"/>
  </w:style>
  <w:style w:type="numbering" w:customStyle="1" w:styleId="NoList1111222">
    <w:name w:val="No List1111222"/>
    <w:next w:val="NoList"/>
    <w:uiPriority w:val="99"/>
    <w:semiHidden/>
    <w:unhideWhenUsed/>
    <w:rsid w:val="00375ED8"/>
  </w:style>
  <w:style w:type="numbering" w:customStyle="1" w:styleId="NoList4222">
    <w:name w:val="No List4222"/>
    <w:next w:val="NoList"/>
    <w:uiPriority w:val="99"/>
    <w:semiHidden/>
    <w:unhideWhenUsed/>
    <w:rsid w:val="00375ED8"/>
  </w:style>
  <w:style w:type="numbering" w:customStyle="1" w:styleId="NoList12222">
    <w:name w:val="No List12222"/>
    <w:next w:val="NoList"/>
    <w:uiPriority w:val="99"/>
    <w:semiHidden/>
    <w:unhideWhenUsed/>
    <w:rsid w:val="00375ED8"/>
  </w:style>
  <w:style w:type="numbering" w:customStyle="1" w:styleId="NoList622">
    <w:name w:val="No List622"/>
    <w:next w:val="NoList"/>
    <w:uiPriority w:val="99"/>
    <w:semiHidden/>
    <w:unhideWhenUsed/>
    <w:rsid w:val="00375ED8"/>
  </w:style>
  <w:style w:type="numbering" w:customStyle="1" w:styleId="NoList1622">
    <w:name w:val="No List1622"/>
    <w:next w:val="NoList"/>
    <w:uiPriority w:val="99"/>
    <w:semiHidden/>
    <w:unhideWhenUsed/>
    <w:rsid w:val="00375ED8"/>
  </w:style>
  <w:style w:type="numbering" w:customStyle="1" w:styleId="NoList2322">
    <w:name w:val="No List2322"/>
    <w:next w:val="NoList"/>
    <w:uiPriority w:val="99"/>
    <w:semiHidden/>
    <w:unhideWhenUsed/>
    <w:rsid w:val="00375ED8"/>
  </w:style>
  <w:style w:type="numbering" w:customStyle="1" w:styleId="NoList11322">
    <w:name w:val="No List11322"/>
    <w:next w:val="NoList"/>
    <w:uiPriority w:val="99"/>
    <w:semiHidden/>
    <w:unhideWhenUsed/>
    <w:rsid w:val="00375ED8"/>
  </w:style>
  <w:style w:type="numbering" w:customStyle="1" w:styleId="NoList21322">
    <w:name w:val="No List21322"/>
    <w:next w:val="NoList"/>
    <w:uiPriority w:val="99"/>
    <w:semiHidden/>
    <w:unhideWhenUsed/>
    <w:rsid w:val="00375ED8"/>
  </w:style>
  <w:style w:type="numbering" w:customStyle="1" w:styleId="NoList3322">
    <w:name w:val="No List3322"/>
    <w:next w:val="NoList"/>
    <w:uiPriority w:val="99"/>
    <w:semiHidden/>
    <w:unhideWhenUsed/>
    <w:rsid w:val="00375ED8"/>
  </w:style>
  <w:style w:type="numbering" w:customStyle="1" w:styleId="NoList111322">
    <w:name w:val="No List111322"/>
    <w:next w:val="NoList"/>
    <w:uiPriority w:val="99"/>
    <w:semiHidden/>
    <w:unhideWhenUsed/>
    <w:rsid w:val="00375ED8"/>
  </w:style>
  <w:style w:type="numbering" w:customStyle="1" w:styleId="NoList211322">
    <w:name w:val="No List211322"/>
    <w:next w:val="NoList"/>
    <w:uiPriority w:val="99"/>
    <w:semiHidden/>
    <w:unhideWhenUsed/>
    <w:rsid w:val="00375ED8"/>
  </w:style>
  <w:style w:type="numbering" w:customStyle="1" w:styleId="NoList1111322">
    <w:name w:val="No List1111322"/>
    <w:next w:val="NoList"/>
    <w:uiPriority w:val="99"/>
    <w:semiHidden/>
    <w:unhideWhenUsed/>
    <w:rsid w:val="00375ED8"/>
  </w:style>
  <w:style w:type="numbering" w:customStyle="1" w:styleId="NoList4322">
    <w:name w:val="No List4322"/>
    <w:next w:val="NoList"/>
    <w:uiPriority w:val="99"/>
    <w:semiHidden/>
    <w:unhideWhenUsed/>
    <w:rsid w:val="00375ED8"/>
  </w:style>
  <w:style w:type="numbering" w:customStyle="1" w:styleId="NoList12322">
    <w:name w:val="No List12322"/>
    <w:next w:val="NoList"/>
    <w:uiPriority w:val="99"/>
    <w:semiHidden/>
    <w:unhideWhenUsed/>
    <w:rsid w:val="00375ED8"/>
  </w:style>
  <w:style w:type="numbering" w:customStyle="1" w:styleId="NoList722">
    <w:name w:val="No List722"/>
    <w:next w:val="NoList"/>
    <w:uiPriority w:val="99"/>
    <w:semiHidden/>
    <w:unhideWhenUsed/>
    <w:rsid w:val="00375ED8"/>
  </w:style>
  <w:style w:type="numbering" w:customStyle="1" w:styleId="NoList1722">
    <w:name w:val="No List1722"/>
    <w:next w:val="NoList"/>
    <w:uiPriority w:val="99"/>
    <w:semiHidden/>
    <w:unhideWhenUsed/>
    <w:rsid w:val="00375ED8"/>
  </w:style>
  <w:style w:type="numbering" w:customStyle="1" w:styleId="NoList2422">
    <w:name w:val="No List2422"/>
    <w:next w:val="NoList"/>
    <w:uiPriority w:val="99"/>
    <w:semiHidden/>
    <w:unhideWhenUsed/>
    <w:rsid w:val="00375ED8"/>
  </w:style>
  <w:style w:type="numbering" w:customStyle="1" w:styleId="NoList11422">
    <w:name w:val="No List11422"/>
    <w:next w:val="NoList"/>
    <w:uiPriority w:val="99"/>
    <w:semiHidden/>
    <w:unhideWhenUsed/>
    <w:rsid w:val="00375ED8"/>
  </w:style>
  <w:style w:type="numbering" w:customStyle="1" w:styleId="NoList21422">
    <w:name w:val="No List21422"/>
    <w:next w:val="NoList"/>
    <w:uiPriority w:val="99"/>
    <w:semiHidden/>
    <w:unhideWhenUsed/>
    <w:rsid w:val="00375ED8"/>
  </w:style>
  <w:style w:type="numbering" w:customStyle="1" w:styleId="NoList3422">
    <w:name w:val="No List3422"/>
    <w:next w:val="NoList"/>
    <w:uiPriority w:val="99"/>
    <w:semiHidden/>
    <w:unhideWhenUsed/>
    <w:rsid w:val="00375ED8"/>
  </w:style>
  <w:style w:type="numbering" w:customStyle="1" w:styleId="NoList111422">
    <w:name w:val="No List111422"/>
    <w:next w:val="NoList"/>
    <w:uiPriority w:val="99"/>
    <w:semiHidden/>
    <w:unhideWhenUsed/>
    <w:rsid w:val="00375ED8"/>
  </w:style>
  <w:style w:type="numbering" w:customStyle="1" w:styleId="NoList211422">
    <w:name w:val="No List211422"/>
    <w:next w:val="NoList"/>
    <w:uiPriority w:val="99"/>
    <w:semiHidden/>
    <w:unhideWhenUsed/>
    <w:rsid w:val="00375ED8"/>
  </w:style>
  <w:style w:type="numbering" w:customStyle="1" w:styleId="NoList1111422">
    <w:name w:val="No List1111422"/>
    <w:next w:val="NoList"/>
    <w:uiPriority w:val="99"/>
    <w:semiHidden/>
    <w:unhideWhenUsed/>
    <w:rsid w:val="00375ED8"/>
  </w:style>
  <w:style w:type="numbering" w:customStyle="1" w:styleId="NoList4422">
    <w:name w:val="No List4422"/>
    <w:next w:val="NoList"/>
    <w:uiPriority w:val="99"/>
    <w:semiHidden/>
    <w:unhideWhenUsed/>
    <w:rsid w:val="00375ED8"/>
  </w:style>
  <w:style w:type="numbering" w:customStyle="1" w:styleId="NoList12422">
    <w:name w:val="No List12422"/>
    <w:next w:val="NoList"/>
    <w:uiPriority w:val="99"/>
    <w:semiHidden/>
    <w:unhideWhenUsed/>
    <w:rsid w:val="00375ED8"/>
  </w:style>
  <w:style w:type="numbering" w:customStyle="1" w:styleId="NoList822">
    <w:name w:val="No List822"/>
    <w:next w:val="NoList"/>
    <w:uiPriority w:val="99"/>
    <w:semiHidden/>
    <w:unhideWhenUsed/>
    <w:rsid w:val="00375ED8"/>
  </w:style>
  <w:style w:type="numbering" w:customStyle="1" w:styleId="NoList1822">
    <w:name w:val="No List1822"/>
    <w:next w:val="NoList"/>
    <w:uiPriority w:val="99"/>
    <w:semiHidden/>
    <w:unhideWhenUsed/>
    <w:rsid w:val="00375ED8"/>
  </w:style>
  <w:style w:type="numbering" w:customStyle="1" w:styleId="NoList2522">
    <w:name w:val="No List2522"/>
    <w:next w:val="NoList"/>
    <w:uiPriority w:val="99"/>
    <w:semiHidden/>
    <w:unhideWhenUsed/>
    <w:rsid w:val="00375ED8"/>
  </w:style>
  <w:style w:type="numbering" w:customStyle="1" w:styleId="NoList3522">
    <w:name w:val="No List3522"/>
    <w:next w:val="NoList"/>
    <w:uiPriority w:val="99"/>
    <w:semiHidden/>
    <w:unhideWhenUsed/>
    <w:rsid w:val="00375ED8"/>
  </w:style>
  <w:style w:type="numbering" w:customStyle="1" w:styleId="NoList11522">
    <w:name w:val="No List11522"/>
    <w:next w:val="NoList"/>
    <w:uiPriority w:val="99"/>
    <w:semiHidden/>
    <w:unhideWhenUsed/>
    <w:rsid w:val="00375ED8"/>
  </w:style>
  <w:style w:type="numbering" w:customStyle="1" w:styleId="NoList21522">
    <w:name w:val="No List21522"/>
    <w:next w:val="NoList"/>
    <w:uiPriority w:val="99"/>
    <w:semiHidden/>
    <w:unhideWhenUsed/>
    <w:rsid w:val="00375ED8"/>
  </w:style>
  <w:style w:type="numbering" w:customStyle="1" w:styleId="NoList111522">
    <w:name w:val="No List111522"/>
    <w:next w:val="NoList"/>
    <w:uiPriority w:val="99"/>
    <w:semiHidden/>
    <w:unhideWhenUsed/>
    <w:rsid w:val="00375ED8"/>
  </w:style>
  <w:style w:type="numbering" w:customStyle="1" w:styleId="NoList4522">
    <w:name w:val="No List4522"/>
    <w:next w:val="NoList"/>
    <w:uiPriority w:val="99"/>
    <w:semiHidden/>
    <w:unhideWhenUsed/>
    <w:rsid w:val="00375ED8"/>
  </w:style>
  <w:style w:type="numbering" w:customStyle="1" w:styleId="NoList12522">
    <w:name w:val="No List12522"/>
    <w:next w:val="NoList"/>
    <w:uiPriority w:val="99"/>
    <w:semiHidden/>
    <w:unhideWhenUsed/>
    <w:rsid w:val="00375ED8"/>
  </w:style>
  <w:style w:type="numbering" w:customStyle="1" w:styleId="NoList922">
    <w:name w:val="No List922"/>
    <w:next w:val="NoList"/>
    <w:uiPriority w:val="99"/>
    <w:semiHidden/>
    <w:unhideWhenUsed/>
    <w:rsid w:val="00375ED8"/>
  </w:style>
  <w:style w:type="numbering" w:customStyle="1" w:styleId="NoList1922">
    <w:name w:val="No List1922"/>
    <w:next w:val="NoList"/>
    <w:uiPriority w:val="99"/>
    <w:semiHidden/>
    <w:unhideWhenUsed/>
    <w:rsid w:val="00375ED8"/>
  </w:style>
  <w:style w:type="numbering" w:customStyle="1" w:styleId="NoList2622">
    <w:name w:val="No List2622"/>
    <w:next w:val="NoList"/>
    <w:uiPriority w:val="99"/>
    <w:semiHidden/>
    <w:unhideWhenUsed/>
    <w:rsid w:val="00375ED8"/>
  </w:style>
  <w:style w:type="numbering" w:customStyle="1" w:styleId="NoList3622">
    <w:name w:val="No List3622"/>
    <w:next w:val="NoList"/>
    <w:uiPriority w:val="99"/>
    <w:semiHidden/>
    <w:unhideWhenUsed/>
    <w:rsid w:val="00375ED8"/>
  </w:style>
  <w:style w:type="numbering" w:customStyle="1" w:styleId="NoList11622">
    <w:name w:val="No List11622"/>
    <w:next w:val="NoList"/>
    <w:uiPriority w:val="99"/>
    <w:semiHidden/>
    <w:unhideWhenUsed/>
    <w:rsid w:val="00375ED8"/>
  </w:style>
  <w:style w:type="numbering" w:customStyle="1" w:styleId="NoList21622">
    <w:name w:val="No List21622"/>
    <w:next w:val="NoList"/>
    <w:uiPriority w:val="99"/>
    <w:semiHidden/>
    <w:unhideWhenUsed/>
    <w:rsid w:val="00375ED8"/>
  </w:style>
  <w:style w:type="numbering" w:customStyle="1" w:styleId="NoList111622">
    <w:name w:val="No List111622"/>
    <w:next w:val="NoList"/>
    <w:uiPriority w:val="99"/>
    <w:semiHidden/>
    <w:unhideWhenUsed/>
    <w:rsid w:val="00375ED8"/>
  </w:style>
  <w:style w:type="numbering" w:customStyle="1" w:styleId="NoList4622">
    <w:name w:val="No List4622"/>
    <w:next w:val="NoList"/>
    <w:uiPriority w:val="99"/>
    <w:semiHidden/>
    <w:unhideWhenUsed/>
    <w:rsid w:val="00375ED8"/>
  </w:style>
  <w:style w:type="numbering" w:customStyle="1" w:styleId="NoList12622">
    <w:name w:val="No List12622"/>
    <w:next w:val="NoList"/>
    <w:uiPriority w:val="99"/>
    <w:semiHidden/>
    <w:unhideWhenUsed/>
    <w:rsid w:val="00375ED8"/>
  </w:style>
  <w:style w:type="numbering" w:customStyle="1" w:styleId="NoList291">
    <w:name w:val="No List291"/>
    <w:next w:val="NoList"/>
    <w:uiPriority w:val="99"/>
    <w:semiHidden/>
    <w:unhideWhenUsed/>
    <w:rsid w:val="00375ED8"/>
  </w:style>
  <w:style w:type="numbering" w:customStyle="1" w:styleId="NoList1201">
    <w:name w:val="No List1201"/>
    <w:next w:val="NoList"/>
    <w:uiPriority w:val="99"/>
    <w:semiHidden/>
    <w:unhideWhenUsed/>
    <w:rsid w:val="00375ED8"/>
  </w:style>
  <w:style w:type="numbering" w:customStyle="1" w:styleId="NoList11101">
    <w:name w:val="No List11101"/>
    <w:next w:val="NoList"/>
    <w:uiPriority w:val="99"/>
    <w:semiHidden/>
    <w:unhideWhenUsed/>
    <w:rsid w:val="00375ED8"/>
  </w:style>
  <w:style w:type="numbering" w:customStyle="1" w:styleId="NoList2101">
    <w:name w:val="No List2101"/>
    <w:next w:val="NoList"/>
    <w:uiPriority w:val="99"/>
    <w:semiHidden/>
    <w:unhideWhenUsed/>
    <w:rsid w:val="00375ED8"/>
  </w:style>
  <w:style w:type="numbering" w:customStyle="1" w:styleId="NoList11191">
    <w:name w:val="No List11191"/>
    <w:next w:val="NoList"/>
    <w:uiPriority w:val="99"/>
    <w:semiHidden/>
    <w:unhideWhenUsed/>
    <w:rsid w:val="00375ED8"/>
  </w:style>
  <w:style w:type="numbering" w:customStyle="1" w:styleId="NoList391">
    <w:name w:val="No List391"/>
    <w:next w:val="NoList"/>
    <w:uiPriority w:val="99"/>
    <w:semiHidden/>
    <w:unhideWhenUsed/>
    <w:rsid w:val="00375ED8"/>
  </w:style>
  <w:style w:type="numbering" w:customStyle="1" w:styleId="NoList2191">
    <w:name w:val="No List2191"/>
    <w:next w:val="NoList"/>
    <w:uiPriority w:val="99"/>
    <w:semiHidden/>
    <w:unhideWhenUsed/>
    <w:rsid w:val="00375ED8"/>
  </w:style>
  <w:style w:type="numbering" w:customStyle="1" w:styleId="NoList111171">
    <w:name w:val="No List111171"/>
    <w:next w:val="NoList"/>
    <w:uiPriority w:val="99"/>
    <w:semiHidden/>
    <w:unhideWhenUsed/>
    <w:rsid w:val="00375ED8"/>
  </w:style>
  <w:style w:type="numbering" w:customStyle="1" w:styleId="NoList491">
    <w:name w:val="No List491"/>
    <w:next w:val="NoList"/>
    <w:uiPriority w:val="99"/>
    <w:semiHidden/>
    <w:unhideWhenUsed/>
    <w:rsid w:val="00375ED8"/>
  </w:style>
  <w:style w:type="numbering" w:customStyle="1" w:styleId="NoList1291">
    <w:name w:val="No List1291"/>
    <w:next w:val="NoList"/>
    <w:uiPriority w:val="99"/>
    <w:semiHidden/>
    <w:unhideWhenUsed/>
    <w:rsid w:val="00375ED8"/>
  </w:style>
  <w:style w:type="numbering" w:customStyle="1" w:styleId="NoList541">
    <w:name w:val="No List541"/>
    <w:next w:val="NoList"/>
    <w:uiPriority w:val="99"/>
    <w:semiHidden/>
    <w:unhideWhenUsed/>
    <w:rsid w:val="00375ED8"/>
  </w:style>
  <w:style w:type="numbering" w:customStyle="1" w:styleId="NoList1341">
    <w:name w:val="No List1341"/>
    <w:next w:val="NoList"/>
    <w:uiPriority w:val="99"/>
    <w:semiHidden/>
    <w:unhideWhenUsed/>
    <w:rsid w:val="00375ED8"/>
  </w:style>
  <w:style w:type="numbering" w:customStyle="1" w:styleId="NoList11241">
    <w:name w:val="No List11241"/>
    <w:next w:val="NoList"/>
    <w:uiPriority w:val="99"/>
    <w:semiHidden/>
    <w:unhideWhenUsed/>
    <w:rsid w:val="00375ED8"/>
  </w:style>
  <w:style w:type="numbering" w:customStyle="1" w:styleId="NoList2241">
    <w:name w:val="No List2241"/>
    <w:next w:val="NoList"/>
    <w:uiPriority w:val="99"/>
    <w:semiHidden/>
    <w:unhideWhenUsed/>
    <w:rsid w:val="00375ED8"/>
  </w:style>
  <w:style w:type="numbering" w:customStyle="1" w:styleId="NoList12141">
    <w:name w:val="No List12141"/>
    <w:next w:val="NoList"/>
    <w:uiPriority w:val="99"/>
    <w:semiHidden/>
    <w:unhideWhenUsed/>
    <w:rsid w:val="00375ED8"/>
  </w:style>
  <w:style w:type="numbering" w:customStyle="1" w:styleId="NoList3141">
    <w:name w:val="No List3141"/>
    <w:next w:val="NoList"/>
    <w:uiPriority w:val="99"/>
    <w:semiHidden/>
    <w:unhideWhenUsed/>
    <w:rsid w:val="00375ED8"/>
  </w:style>
  <w:style w:type="numbering" w:customStyle="1" w:styleId="NoList13131">
    <w:name w:val="No List13131"/>
    <w:next w:val="NoList"/>
    <w:uiPriority w:val="99"/>
    <w:semiHidden/>
    <w:unhideWhenUsed/>
    <w:rsid w:val="00375ED8"/>
  </w:style>
  <w:style w:type="numbering" w:customStyle="1" w:styleId="NoList4141">
    <w:name w:val="No List4141"/>
    <w:next w:val="NoList"/>
    <w:uiPriority w:val="99"/>
    <w:semiHidden/>
    <w:unhideWhenUsed/>
    <w:rsid w:val="00375ED8"/>
  </w:style>
  <w:style w:type="numbering" w:customStyle="1" w:styleId="NoList1431">
    <w:name w:val="No List1431"/>
    <w:next w:val="NoList"/>
    <w:uiPriority w:val="99"/>
    <w:semiHidden/>
    <w:unhideWhenUsed/>
    <w:rsid w:val="00375ED8"/>
  </w:style>
  <w:style w:type="numbering" w:customStyle="1" w:styleId="NoList21171">
    <w:name w:val="No List21171"/>
    <w:next w:val="NoList"/>
    <w:uiPriority w:val="99"/>
    <w:semiHidden/>
    <w:unhideWhenUsed/>
    <w:rsid w:val="00375ED8"/>
  </w:style>
  <w:style w:type="numbering" w:customStyle="1" w:styleId="NoList1111141">
    <w:name w:val="No List1111141"/>
    <w:next w:val="NoList"/>
    <w:uiPriority w:val="99"/>
    <w:semiHidden/>
    <w:unhideWhenUsed/>
    <w:rsid w:val="00375ED8"/>
  </w:style>
  <w:style w:type="numbering" w:customStyle="1" w:styleId="NoList211141">
    <w:name w:val="No List211141"/>
    <w:next w:val="NoList"/>
    <w:uiPriority w:val="99"/>
    <w:semiHidden/>
    <w:unhideWhenUsed/>
    <w:rsid w:val="00375ED8"/>
  </w:style>
  <w:style w:type="numbering" w:customStyle="1" w:styleId="NoList31131">
    <w:name w:val="No List31131"/>
    <w:next w:val="NoList"/>
    <w:uiPriority w:val="99"/>
    <w:semiHidden/>
    <w:unhideWhenUsed/>
    <w:rsid w:val="00375ED8"/>
  </w:style>
  <w:style w:type="numbering" w:customStyle="1" w:styleId="NoList11111131">
    <w:name w:val="No List11111131"/>
    <w:next w:val="NoList"/>
    <w:uiPriority w:val="99"/>
    <w:semiHidden/>
    <w:unhideWhenUsed/>
    <w:rsid w:val="00375ED8"/>
  </w:style>
  <w:style w:type="numbering" w:customStyle="1" w:styleId="NoList2111131">
    <w:name w:val="No List2111131"/>
    <w:next w:val="NoList"/>
    <w:uiPriority w:val="99"/>
    <w:semiHidden/>
    <w:unhideWhenUsed/>
    <w:rsid w:val="00375ED8"/>
  </w:style>
  <w:style w:type="numbering" w:customStyle="1" w:styleId="NoList111111131">
    <w:name w:val="No List111111131"/>
    <w:next w:val="NoList"/>
    <w:uiPriority w:val="99"/>
    <w:semiHidden/>
    <w:unhideWhenUsed/>
    <w:rsid w:val="00375ED8"/>
  </w:style>
  <w:style w:type="numbering" w:customStyle="1" w:styleId="NoList41131">
    <w:name w:val="No List41131"/>
    <w:next w:val="NoList"/>
    <w:uiPriority w:val="99"/>
    <w:semiHidden/>
    <w:unhideWhenUsed/>
    <w:rsid w:val="00375ED8"/>
  </w:style>
  <w:style w:type="numbering" w:customStyle="1" w:styleId="NoList121131">
    <w:name w:val="No List121131"/>
    <w:next w:val="NoList"/>
    <w:uiPriority w:val="99"/>
    <w:semiHidden/>
    <w:unhideWhenUsed/>
    <w:rsid w:val="00375ED8"/>
  </w:style>
  <w:style w:type="numbering" w:customStyle="1" w:styleId="NoList5131">
    <w:name w:val="No List5131"/>
    <w:next w:val="NoList"/>
    <w:uiPriority w:val="99"/>
    <w:semiHidden/>
    <w:unhideWhenUsed/>
    <w:rsid w:val="00375ED8"/>
  </w:style>
  <w:style w:type="numbering" w:customStyle="1" w:styleId="NoList1531">
    <w:name w:val="No List1531"/>
    <w:next w:val="NoList"/>
    <w:uiPriority w:val="99"/>
    <w:semiHidden/>
    <w:unhideWhenUsed/>
    <w:rsid w:val="00375ED8"/>
  </w:style>
  <w:style w:type="numbering" w:customStyle="1" w:styleId="NoList22131">
    <w:name w:val="No List22131"/>
    <w:next w:val="NoList"/>
    <w:uiPriority w:val="99"/>
    <w:semiHidden/>
    <w:unhideWhenUsed/>
    <w:rsid w:val="00375ED8"/>
  </w:style>
  <w:style w:type="numbering" w:customStyle="1" w:styleId="NoList112131">
    <w:name w:val="No List112131"/>
    <w:next w:val="NoList"/>
    <w:uiPriority w:val="99"/>
    <w:semiHidden/>
    <w:unhideWhenUsed/>
    <w:rsid w:val="00375ED8"/>
  </w:style>
  <w:style w:type="numbering" w:customStyle="1" w:styleId="NoList21231">
    <w:name w:val="No List21231"/>
    <w:next w:val="NoList"/>
    <w:uiPriority w:val="99"/>
    <w:semiHidden/>
    <w:unhideWhenUsed/>
    <w:rsid w:val="00375ED8"/>
  </w:style>
  <w:style w:type="numbering" w:customStyle="1" w:styleId="NoList3231">
    <w:name w:val="No List3231"/>
    <w:next w:val="NoList"/>
    <w:uiPriority w:val="99"/>
    <w:semiHidden/>
    <w:unhideWhenUsed/>
    <w:rsid w:val="00375ED8"/>
  </w:style>
  <w:style w:type="numbering" w:customStyle="1" w:styleId="NoList111231">
    <w:name w:val="No List111231"/>
    <w:next w:val="NoList"/>
    <w:uiPriority w:val="99"/>
    <w:semiHidden/>
    <w:unhideWhenUsed/>
    <w:rsid w:val="00375ED8"/>
  </w:style>
  <w:style w:type="numbering" w:customStyle="1" w:styleId="NoList211231">
    <w:name w:val="No List211231"/>
    <w:next w:val="NoList"/>
    <w:uiPriority w:val="99"/>
    <w:semiHidden/>
    <w:unhideWhenUsed/>
    <w:rsid w:val="00375ED8"/>
  </w:style>
  <w:style w:type="numbering" w:customStyle="1" w:styleId="NoList1111231">
    <w:name w:val="No List1111231"/>
    <w:next w:val="NoList"/>
    <w:uiPriority w:val="99"/>
    <w:semiHidden/>
    <w:unhideWhenUsed/>
    <w:rsid w:val="00375ED8"/>
  </w:style>
  <w:style w:type="numbering" w:customStyle="1" w:styleId="NoList4231">
    <w:name w:val="No List4231"/>
    <w:next w:val="NoList"/>
    <w:uiPriority w:val="99"/>
    <w:semiHidden/>
    <w:unhideWhenUsed/>
    <w:rsid w:val="00375ED8"/>
  </w:style>
  <w:style w:type="numbering" w:customStyle="1" w:styleId="NoList12231">
    <w:name w:val="No List12231"/>
    <w:next w:val="NoList"/>
    <w:uiPriority w:val="99"/>
    <w:semiHidden/>
    <w:unhideWhenUsed/>
    <w:rsid w:val="00375ED8"/>
  </w:style>
  <w:style w:type="numbering" w:customStyle="1" w:styleId="NoList631">
    <w:name w:val="No List631"/>
    <w:next w:val="NoList"/>
    <w:uiPriority w:val="99"/>
    <w:semiHidden/>
    <w:unhideWhenUsed/>
    <w:rsid w:val="00375ED8"/>
  </w:style>
  <w:style w:type="numbering" w:customStyle="1" w:styleId="NoList1631">
    <w:name w:val="No List1631"/>
    <w:next w:val="NoList"/>
    <w:uiPriority w:val="99"/>
    <w:semiHidden/>
    <w:unhideWhenUsed/>
    <w:rsid w:val="00375ED8"/>
  </w:style>
  <w:style w:type="numbering" w:customStyle="1" w:styleId="NoList2331">
    <w:name w:val="No List2331"/>
    <w:next w:val="NoList"/>
    <w:uiPriority w:val="99"/>
    <w:semiHidden/>
    <w:unhideWhenUsed/>
    <w:rsid w:val="00375ED8"/>
  </w:style>
  <w:style w:type="numbering" w:customStyle="1" w:styleId="NoList11331">
    <w:name w:val="No List11331"/>
    <w:next w:val="NoList"/>
    <w:uiPriority w:val="99"/>
    <w:semiHidden/>
    <w:unhideWhenUsed/>
    <w:rsid w:val="00375ED8"/>
  </w:style>
  <w:style w:type="numbering" w:customStyle="1" w:styleId="NoList21331">
    <w:name w:val="No List21331"/>
    <w:next w:val="NoList"/>
    <w:uiPriority w:val="99"/>
    <w:semiHidden/>
    <w:unhideWhenUsed/>
    <w:rsid w:val="00375ED8"/>
  </w:style>
  <w:style w:type="numbering" w:customStyle="1" w:styleId="NoList3331">
    <w:name w:val="No List3331"/>
    <w:next w:val="NoList"/>
    <w:uiPriority w:val="99"/>
    <w:semiHidden/>
    <w:unhideWhenUsed/>
    <w:rsid w:val="00375ED8"/>
  </w:style>
  <w:style w:type="numbering" w:customStyle="1" w:styleId="NoList111331">
    <w:name w:val="No List111331"/>
    <w:next w:val="NoList"/>
    <w:uiPriority w:val="99"/>
    <w:semiHidden/>
    <w:unhideWhenUsed/>
    <w:rsid w:val="00375ED8"/>
  </w:style>
  <w:style w:type="numbering" w:customStyle="1" w:styleId="NoList211331">
    <w:name w:val="No List211331"/>
    <w:next w:val="NoList"/>
    <w:uiPriority w:val="99"/>
    <w:semiHidden/>
    <w:unhideWhenUsed/>
    <w:rsid w:val="00375ED8"/>
  </w:style>
  <w:style w:type="numbering" w:customStyle="1" w:styleId="NoList1111331">
    <w:name w:val="No List1111331"/>
    <w:next w:val="NoList"/>
    <w:uiPriority w:val="99"/>
    <w:semiHidden/>
    <w:unhideWhenUsed/>
    <w:rsid w:val="00375ED8"/>
  </w:style>
  <w:style w:type="numbering" w:customStyle="1" w:styleId="NoList4331">
    <w:name w:val="No List4331"/>
    <w:next w:val="NoList"/>
    <w:uiPriority w:val="99"/>
    <w:semiHidden/>
    <w:unhideWhenUsed/>
    <w:rsid w:val="00375ED8"/>
  </w:style>
  <w:style w:type="numbering" w:customStyle="1" w:styleId="NoList12331">
    <w:name w:val="No List12331"/>
    <w:next w:val="NoList"/>
    <w:uiPriority w:val="99"/>
    <w:semiHidden/>
    <w:unhideWhenUsed/>
    <w:rsid w:val="00375ED8"/>
  </w:style>
  <w:style w:type="numbering" w:customStyle="1" w:styleId="NoList731">
    <w:name w:val="No List731"/>
    <w:next w:val="NoList"/>
    <w:uiPriority w:val="99"/>
    <w:semiHidden/>
    <w:unhideWhenUsed/>
    <w:rsid w:val="00375ED8"/>
  </w:style>
  <w:style w:type="numbering" w:customStyle="1" w:styleId="NoList1731">
    <w:name w:val="No List1731"/>
    <w:next w:val="NoList"/>
    <w:uiPriority w:val="99"/>
    <w:semiHidden/>
    <w:unhideWhenUsed/>
    <w:rsid w:val="00375ED8"/>
  </w:style>
  <w:style w:type="numbering" w:customStyle="1" w:styleId="NoList2431">
    <w:name w:val="No List2431"/>
    <w:next w:val="NoList"/>
    <w:uiPriority w:val="99"/>
    <w:semiHidden/>
    <w:unhideWhenUsed/>
    <w:rsid w:val="00375ED8"/>
  </w:style>
  <w:style w:type="numbering" w:customStyle="1" w:styleId="NoList11431">
    <w:name w:val="No List11431"/>
    <w:next w:val="NoList"/>
    <w:uiPriority w:val="99"/>
    <w:semiHidden/>
    <w:unhideWhenUsed/>
    <w:rsid w:val="00375ED8"/>
  </w:style>
  <w:style w:type="numbering" w:customStyle="1" w:styleId="NoList21431">
    <w:name w:val="No List21431"/>
    <w:next w:val="NoList"/>
    <w:uiPriority w:val="99"/>
    <w:semiHidden/>
    <w:unhideWhenUsed/>
    <w:rsid w:val="00375ED8"/>
  </w:style>
  <w:style w:type="numbering" w:customStyle="1" w:styleId="NoList3431">
    <w:name w:val="No List3431"/>
    <w:next w:val="NoList"/>
    <w:uiPriority w:val="99"/>
    <w:semiHidden/>
    <w:unhideWhenUsed/>
    <w:rsid w:val="00375ED8"/>
  </w:style>
  <w:style w:type="numbering" w:customStyle="1" w:styleId="NoList111431">
    <w:name w:val="No List111431"/>
    <w:next w:val="NoList"/>
    <w:uiPriority w:val="99"/>
    <w:semiHidden/>
    <w:unhideWhenUsed/>
    <w:rsid w:val="00375ED8"/>
  </w:style>
  <w:style w:type="numbering" w:customStyle="1" w:styleId="NoList211431">
    <w:name w:val="No List211431"/>
    <w:next w:val="NoList"/>
    <w:uiPriority w:val="99"/>
    <w:semiHidden/>
    <w:unhideWhenUsed/>
    <w:rsid w:val="00375ED8"/>
  </w:style>
  <w:style w:type="numbering" w:customStyle="1" w:styleId="NoList1111431">
    <w:name w:val="No List1111431"/>
    <w:next w:val="NoList"/>
    <w:uiPriority w:val="99"/>
    <w:semiHidden/>
    <w:unhideWhenUsed/>
    <w:rsid w:val="00375ED8"/>
  </w:style>
  <w:style w:type="numbering" w:customStyle="1" w:styleId="NoList4431">
    <w:name w:val="No List4431"/>
    <w:next w:val="NoList"/>
    <w:uiPriority w:val="99"/>
    <w:semiHidden/>
    <w:unhideWhenUsed/>
    <w:rsid w:val="00375ED8"/>
  </w:style>
  <w:style w:type="numbering" w:customStyle="1" w:styleId="NoList12431">
    <w:name w:val="No List12431"/>
    <w:next w:val="NoList"/>
    <w:uiPriority w:val="99"/>
    <w:semiHidden/>
    <w:unhideWhenUsed/>
    <w:rsid w:val="00375ED8"/>
  </w:style>
  <w:style w:type="numbering" w:customStyle="1" w:styleId="NoList831">
    <w:name w:val="No List831"/>
    <w:next w:val="NoList"/>
    <w:uiPriority w:val="99"/>
    <w:semiHidden/>
    <w:unhideWhenUsed/>
    <w:rsid w:val="00375ED8"/>
  </w:style>
  <w:style w:type="numbering" w:customStyle="1" w:styleId="NoList1831">
    <w:name w:val="No List1831"/>
    <w:next w:val="NoList"/>
    <w:uiPriority w:val="99"/>
    <w:semiHidden/>
    <w:unhideWhenUsed/>
    <w:rsid w:val="00375ED8"/>
  </w:style>
  <w:style w:type="numbering" w:customStyle="1" w:styleId="NoList2531">
    <w:name w:val="No List2531"/>
    <w:next w:val="NoList"/>
    <w:uiPriority w:val="99"/>
    <w:semiHidden/>
    <w:unhideWhenUsed/>
    <w:rsid w:val="00375ED8"/>
  </w:style>
  <w:style w:type="numbering" w:customStyle="1" w:styleId="NoList3531">
    <w:name w:val="No List3531"/>
    <w:next w:val="NoList"/>
    <w:uiPriority w:val="99"/>
    <w:semiHidden/>
    <w:unhideWhenUsed/>
    <w:rsid w:val="00375ED8"/>
  </w:style>
  <w:style w:type="numbering" w:customStyle="1" w:styleId="NoList11531">
    <w:name w:val="No List11531"/>
    <w:next w:val="NoList"/>
    <w:uiPriority w:val="99"/>
    <w:semiHidden/>
    <w:unhideWhenUsed/>
    <w:rsid w:val="00375ED8"/>
  </w:style>
  <w:style w:type="numbering" w:customStyle="1" w:styleId="NoList21531">
    <w:name w:val="No List21531"/>
    <w:next w:val="NoList"/>
    <w:uiPriority w:val="99"/>
    <w:semiHidden/>
    <w:unhideWhenUsed/>
    <w:rsid w:val="00375ED8"/>
  </w:style>
  <w:style w:type="numbering" w:customStyle="1" w:styleId="NoList111531">
    <w:name w:val="No List111531"/>
    <w:next w:val="NoList"/>
    <w:uiPriority w:val="99"/>
    <w:semiHidden/>
    <w:unhideWhenUsed/>
    <w:rsid w:val="00375ED8"/>
  </w:style>
  <w:style w:type="numbering" w:customStyle="1" w:styleId="NoList4531">
    <w:name w:val="No List4531"/>
    <w:next w:val="NoList"/>
    <w:uiPriority w:val="99"/>
    <w:semiHidden/>
    <w:unhideWhenUsed/>
    <w:rsid w:val="00375ED8"/>
  </w:style>
  <w:style w:type="numbering" w:customStyle="1" w:styleId="NoList12531">
    <w:name w:val="No List12531"/>
    <w:next w:val="NoList"/>
    <w:uiPriority w:val="99"/>
    <w:semiHidden/>
    <w:unhideWhenUsed/>
    <w:rsid w:val="00375ED8"/>
  </w:style>
  <w:style w:type="numbering" w:customStyle="1" w:styleId="NoList931">
    <w:name w:val="No List931"/>
    <w:next w:val="NoList"/>
    <w:uiPriority w:val="99"/>
    <w:semiHidden/>
    <w:unhideWhenUsed/>
    <w:rsid w:val="00375ED8"/>
  </w:style>
  <w:style w:type="numbering" w:customStyle="1" w:styleId="NoList1931">
    <w:name w:val="No List1931"/>
    <w:next w:val="NoList"/>
    <w:uiPriority w:val="99"/>
    <w:semiHidden/>
    <w:unhideWhenUsed/>
    <w:rsid w:val="00375ED8"/>
  </w:style>
  <w:style w:type="numbering" w:customStyle="1" w:styleId="NoList2631">
    <w:name w:val="No List2631"/>
    <w:next w:val="NoList"/>
    <w:uiPriority w:val="99"/>
    <w:semiHidden/>
    <w:unhideWhenUsed/>
    <w:rsid w:val="00375ED8"/>
  </w:style>
  <w:style w:type="numbering" w:customStyle="1" w:styleId="NoList3631">
    <w:name w:val="No List3631"/>
    <w:next w:val="NoList"/>
    <w:uiPriority w:val="99"/>
    <w:semiHidden/>
    <w:unhideWhenUsed/>
    <w:rsid w:val="00375ED8"/>
  </w:style>
  <w:style w:type="numbering" w:customStyle="1" w:styleId="NoList11631">
    <w:name w:val="No List11631"/>
    <w:next w:val="NoList"/>
    <w:uiPriority w:val="99"/>
    <w:semiHidden/>
    <w:unhideWhenUsed/>
    <w:rsid w:val="00375ED8"/>
  </w:style>
  <w:style w:type="numbering" w:customStyle="1" w:styleId="NoList21631">
    <w:name w:val="No List21631"/>
    <w:next w:val="NoList"/>
    <w:uiPriority w:val="99"/>
    <w:semiHidden/>
    <w:unhideWhenUsed/>
    <w:rsid w:val="00375ED8"/>
  </w:style>
  <w:style w:type="numbering" w:customStyle="1" w:styleId="NoList111631">
    <w:name w:val="No List111631"/>
    <w:next w:val="NoList"/>
    <w:uiPriority w:val="99"/>
    <w:semiHidden/>
    <w:unhideWhenUsed/>
    <w:rsid w:val="00375ED8"/>
  </w:style>
  <w:style w:type="numbering" w:customStyle="1" w:styleId="NoList4631">
    <w:name w:val="No List4631"/>
    <w:next w:val="NoList"/>
    <w:uiPriority w:val="99"/>
    <w:semiHidden/>
    <w:unhideWhenUsed/>
    <w:rsid w:val="00375ED8"/>
  </w:style>
  <w:style w:type="numbering" w:customStyle="1" w:styleId="NoList12631">
    <w:name w:val="No List12631"/>
    <w:next w:val="NoList"/>
    <w:uiPriority w:val="99"/>
    <w:semiHidden/>
    <w:unhideWhenUsed/>
    <w:rsid w:val="00375ED8"/>
  </w:style>
  <w:style w:type="numbering" w:customStyle="1" w:styleId="NoList1011">
    <w:name w:val="No List1011"/>
    <w:next w:val="NoList"/>
    <w:uiPriority w:val="99"/>
    <w:semiHidden/>
    <w:unhideWhenUsed/>
    <w:rsid w:val="00375ED8"/>
  </w:style>
  <w:style w:type="numbering" w:customStyle="1" w:styleId="NoList11011">
    <w:name w:val="No List11011"/>
    <w:next w:val="NoList"/>
    <w:uiPriority w:val="99"/>
    <w:semiHidden/>
    <w:unhideWhenUsed/>
    <w:rsid w:val="00375ED8"/>
  </w:style>
  <w:style w:type="numbering" w:customStyle="1" w:styleId="NoList11711">
    <w:name w:val="No List11711"/>
    <w:next w:val="NoList"/>
    <w:uiPriority w:val="99"/>
    <w:semiHidden/>
    <w:unhideWhenUsed/>
    <w:rsid w:val="00375ED8"/>
  </w:style>
  <w:style w:type="numbering" w:customStyle="1" w:styleId="NoList2711">
    <w:name w:val="No List2711"/>
    <w:next w:val="NoList"/>
    <w:uiPriority w:val="99"/>
    <w:semiHidden/>
    <w:unhideWhenUsed/>
    <w:rsid w:val="00375ED8"/>
  </w:style>
  <w:style w:type="numbering" w:customStyle="1" w:styleId="NoList111711">
    <w:name w:val="No List111711"/>
    <w:next w:val="NoList"/>
    <w:uiPriority w:val="99"/>
    <w:semiHidden/>
    <w:unhideWhenUsed/>
    <w:rsid w:val="00375ED8"/>
  </w:style>
  <w:style w:type="numbering" w:customStyle="1" w:styleId="NoList3711">
    <w:name w:val="No List3711"/>
    <w:next w:val="NoList"/>
    <w:uiPriority w:val="99"/>
    <w:semiHidden/>
    <w:unhideWhenUsed/>
    <w:rsid w:val="00375ED8"/>
  </w:style>
  <w:style w:type="numbering" w:customStyle="1" w:styleId="NoList21711">
    <w:name w:val="No List21711"/>
    <w:next w:val="NoList"/>
    <w:uiPriority w:val="99"/>
    <w:semiHidden/>
    <w:unhideWhenUsed/>
    <w:rsid w:val="00375ED8"/>
  </w:style>
  <w:style w:type="numbering" w:customStyle="1" w:styleId="NoList1111511">
    <w:name w:val="No List1111511"/>
    <w:next w:val="NoList"/>
    <w:uiPriority w:val="99"/>
    <w:semiHidden/>
    <w:unhideWhenUsed/>
    <w:rsid w:val="00375ED8"/>
  </w:style>
  <w:style w:type="numbering" w:customStyle="1" w:styleId="NoList4711">
    <w:name w:val="No List4711"/>
    <w:next w:val="NoList"/>
    <w:uiPriority w:val="99"/>
    <w:semiHidden/>
    <w:unhideWhenUsed/>
    <w:rsid w:val="00375ED8"/>
  </w:style>
  <w:style w:type="numbering" w:customStyle="1" w:styleId="NoList12711">
    <w:name w:val="No List12711"/>
    <w:next w:val="NoList"/>
    <w:uiPriority w:val="99"/>
    <w:semiHidden/>
    <w:unhideWhenUsed/>
    <w:rsid w:val="00375ED8"/>
  </w:style>
  <w:style w:type="numbering" w:customStyle="1" w:styleId="NoList5211">
    <w:name w:val="No List5211"/>
    <w:next w:val="NoList"/>
    <w:uiPriority w:val="99"/>
    <w:semiHidden/>
    <w:unhideWhenUsed/>
    <w:rsid w:val="00375ED8"/>
  </w:style>
  <w:style w:type="numbering" w:customStyle="1" w:styleId="NoList13211">
    <w:name w:val="No List13211"/>
    <w:next w:val="NoList"/>
    <w:uiPriority w:val="99"/>
    <w:semiHidden/>
    <w:unhideWhenUsed/>
    <w:rsid w:val="00375ED8"/>
  </w:style>
  <w:style w:type="numbering" w:customStyle="1" w:styleId="NoList112211">
    <w:name w:val="No List112211"/>
    <w:next w:val="NoList"/>
    <w:uiPriority w:val="99"/>
    <w:semiHidden/>
    <w:unhideWhenUsed/>
    <w:rsid w:val="00375ED8"/>
  </w:style>
  <w:style w:type="numbering" w:customStyle="1" w:styleId="NoList22211">
    <w:name w:val="No List22211"/>
    <w:next w:val="NoList"/>
    <w:uiPriority w:val="99"/>
    <w:semiHidden/>
    <w:unhideWhenUsed/>
    <w:rsid w:val="00375ED8"/>
  </w:style>
  <w:style w:type="numbering" w:customStyle="1" w:styleId="NoList121211">
    <w:name w:val="No List121211"/>
    <w:next w:val="NoList"/>
    <w:uiPriority w:val="99"/>
    <w:semiHidden/>
    <w:unhideWhenUsed/>
    <w:rsid w:val="00375ED8"/>
  </w:style>
  <w:style w:type="numbering" w:customStyle="1" w:styleId="NoList31211">
    <w:name w:val="No List31211"/>
    <w:next w:val="NoList"/>
    <w:uiPriority w:val="99"/>
    <w:semiHidden/>
    <w:unhideWhenUsed/>
    <w:rsid w:val="00375ED8"/>
  </w:style>
  <w:style w:type="numbering" w:customStyle="1" w:styleId="NoList131111">
    <w:name w:val="No List131111"/>
    <w:next w:val="NoList"/>
    <w:uiPriority w:val="99"/>
    <w:semiHidden/>
    <w:unhideWhenUsed/>
    <w:rsid w:val="00375ED8"/>
  </w:style>
  <w:style w:type="numbering" w:customStyle="1" w:styleId="NoList41211">
    <w:name w:val="No List41211"/>
    <w:next w:val="NoList"/>
    <w:uiPriority w:val="99"/>
    <w:semiHidden/>
    <w:unhideWhenUsed/>
    <w:rsid w:val="00375ED8"/>
  </w:style>
  <w:style w:type="numbering" w:customStyle="1" w:styleId="NoList14111">
    <w:name w:val="No List14111"/>
    <w:next w:val="NoList"/>
    <w:uiPriority w:val="99"/>
    <w:semiHidden/>
    <w:unhideWhenUsed/>
    <w:rsid w:val="00375ED8"/>
  </w:style>
  <w:style w:type="numbering" w:customStyle="1" w:styleId="NoList211511">
    <w:name w:val="No List211511"/>
    <w:next w:val="NoList"/>
    <w:uiPriority w:val="99"/>
    <w:semiHidden/>
    <w:unhideWhenUsed/>
    <w:rsid w:val="00375ED8"/>
  </w:style>
  <w:style w:type="numbering" w:customStyle="1" w:styleId="NoList11111211">
    <w:name w:val="No List11111211"/>
    <w:next w:val="NoList"/>
    <w:uiPriority w:val="99"/>
    <w:semiHidden/>
    <w:unhideWhenUsed/>
    <w:rsid w:val="00375ED8"/>
  </w:style>
  <w:style w:type="numbering" w:customStyle="1" w:styleId="NoList2111211">
    <w:name w:val="No List2111211"/>
    <w:next w:val="NoList"/>
    <w:uiPriority w:val="99"/>
    <w:semiHidden/>
    <w:unhideWhenUsed/>
    <w:rsid w:val="00375ED8"/>
  </w:style>
  <w:style w:type="numbering" w:customStyle="1" w:styleId="NoList311111">
    <w:name w:val="No List311111"/>
    <w:next w:val="NoList"/>
    <w:uiPriority w:val="99"/>
    <w:semiHidden/>
    <w:unhideWhenUsed/>
    <w:rsid w:val="00375ED8"/>
  </w:style>
  <w:style w:type="numbering" w:customStyle="1" w:styleId="NoList11111111111">
    <w:name w:val="No List11111111111"/>
    <w:next w:val="NoList"/>
    <w:uiPriority w:val="99"/>
    <w:semiHidden/>
    <w:unhideWhenUsed/>
    <w:rsid w:val="00375ED8"/>
  </w:style>
  <w:style w:type="numbering" w:customStyle="1" w:styleId="NoList21111111">
    <w:name w:val="No List21111111"/>
    <w:next w:val="NoList"/>
    <w:uiPriority w:val="99"/>
    <w:semiHidden/>
    <w:unhideWhenUsed/>
    <w:rsid w:val="00375ED8"/>
  </w:style>
  <w:style w:type="numbering" w:customStyle="1" w:styleId="NoList111111111111">
    <w:name w:val="No List111111111111"/>
    <w:next w:val="NoList"/>
    <w:uiPriority w:val="99"/>
    <w:semiHidden/>
    <w:unhideWhenUsed/>
    <w:rsid w:val="00375ED8"/>
  </w:style>
  <w:style w:type="numbering" w:customStyle="1" w:styleId="NoList411111">
    <w:name w:val="No List411111"/>
    <w:next w:val="NoList"/>
    <w:uiPriority w:val="99"/>
    <w:semiHidden/>
    <w:unhideWhenUsed/>
    <w:rsid w:val="00375ED8"/>
  </w:style>
  <w:style w:type="numbering" w:customStyle="1" w:styleId="NoList1211111">
    <w:name w:val="No List1211111"/>
    <w:next w:val="NoList"/>
    <w:uiPriority w:val="99"/>
    <w:semiHidden/>
    <w:unhideWhenUsed/>
    <w:rsid w:val="00375ED8"/>
  </w:style>
  <w:style w:type="numbering" w:customStyle="1" w:styleId="NoList51111">
    <w:name w:val="No List51111"/>
    <w:next w:val="NoList"/>
    <w:uiPriority w:val="99"/>
    <w:semiHidden/>
    <w:unhideWhenUsed/>
    <w:rsid w:val="00375ED8"/>
  </w:style>
  <w:style w:type="numbering" w:customStyle="1" w:styleId="NoList15111">
    <w:name w:val="No List15111"/>
    <w:next w:val="NoList"/>
    <w:uiPriority w:val="99"/>
    <w:semiHidden/>
    <w:unhideWhenUsed/>
    <w:rsid w:val="00375ED8"/>
  </w:style>
  <w:style w:type="numbering" w:customStyle="1" w:styleId="NoList221111">
    <w:name w:val="No List221111"/>
    <w:next w:val="NoList"/>
    <w:uiPriority w:val="99"/>
    <w:semiHidden/>
    <w:unhideWhenUsed/>
    <w:rsid w:val="00375ED8"/>
  </w:style>
  <w:style w:type="numbering" w:customStyle="1" w:styleId="NoList1121111">
    <w:name w:val="No List1121111"/>
    <w:next w:val="NoList"/>
    <w:uiPriority w:val="99"/>
    <w:semiHidden/>
    <w:unhideWhenUsed/>
    <w:rsid w:val="00375ED8"/>
  </w:style>
  <w:style w:type="numbering" w:customStyle="1" w:styleId="NoList212111">
    <w:name w:val="No List212111"/>
    <w:next w:val="NoList"/>
    <w:uiPriority w:val="99"/>
    <w:semiHidden/>
    <w:unhideWhenUsed/>
    <w:rsid w:val="00375ED8"/>
  </w:style>
  <w:style w:type="numbering" w:customStyle="1" w:styleId="NoList32111">
    <w:name w:val="No List32111"/>
    <w:next w:val="NoList"/>
    <w:uiPriority w:val="99"/>
    <w:semiHidden/>
    <w:unhideWhenUsed/>
    <w:rsid w:val="00375ED8"/>
  </w:style>
  <w:style w:type="numbering" w:customStyle="1" w:styleId="NoList1112111">
    <w:name w:val="No List1112111"/>
    <w:next w:val="NoList"/>
    <w:uiPriority w:val="99"/>
    <w:semiHidden/>
    <w:unhideWhenUsed/>
    <w:rsid w:val="00375ED8"/>
  </w:style>
  <w:style w:type="numbering" w:customStyle="1" w:styleId="NoList2112111">
    <w:name w:val="No List2112111"/>
    <w:next w:val="NoList"/>
    <w:uiPriority w:val="99"/>
    <w:semiHidden/>
    <w:unhideWhenUsed/>
    <w:rsid w:val="00375ED8"/>
  </w:style>
  <w:style w:type="numbering" w:customStyle="1" w:styleId="NoList11112111">
    <w:name w:val="No List11112111"/>
    <w:next w:val="NoList"/>
    <w:uiPriority w:val="99"/>
    <w:semiHidden/>
    <w:unhideWhenUsed/>
    <w:rsid w:val="00375ED8"/>
  </w:style>
  <w:style w:type="numbering" w:customStyle="1" w:styleId="NoList42111">
    <w:name w:val="No List42111"/>
    <w:next w:val="NoList"/>
    <w:uiPriority w:val="99"/>
    <w:semiHidden/>
    <w:unhideWhenUsed/>
    <w:rsid w:val="00375ED8"/>
  </w:style>
  <w:style w:type="numbering" w:customStyle="1" w:styleId="NoList122111">
    <w:name w:val="No List122111"/>
    <w:next w:val="NoList"/>
    <w:uiPriority w:val="99"/>
    <w:semiHidden/>
    <w:unhideWhenUsed/>
    <w:rsid w:val="00375ED8"/>
  </w:style>
  <w:style w:type="numbering" w:customStyle="1" w:styleId="NoList6111">
    <w:name w:val="No List6111"/>
    <w:next w:val="NoList"/>
    <w:uiPriority w:val="99"/>
    <w:semiHidden/>
    <w:unhideWhenUsed/>
    <w:rsid w:val="00375ED8"/>
  </w:style>
  <w:style w:type="numbering" w:customStyle="1" w:styleId="NoList16111">
    <w:name w:val="No List16111"/>
    <w:next w:val="NoList"/>
    <w:uiPriority w:val="99"/>
    <w:semiHidden/>
    <w:unhideWhenUsed/>
    <w:rsid w:val="00375ED8"/>
  </w:style>
  <w:style w:type="numbering" w:customStyle="1" w:styleId="NoList23111">
    <w:name w:val="No List23111"/>
    <w:next w:val="NoList"/>
    <w:uiPriority w:val="99"/>
    <w:semiHidden/>
    <w:unhideWhenUsed/>
    <w:rsid w:val="00375ED8"/>
  </w:style>
  <w:style w:type="numbering" w:customStyle="1" w:styleId="NoList113111">
    <w:name w:val="No List113111"/>
    <w:next w:val="NoList"/>
    <w:uiPriority w:val="99"/>
    <w:semiHidden/>
    <w:unhideWhenUsed/>
    <w:rsid w:val="00375ED8"/>
  </w:style>
  <w:style w:type="numbering" w:customStyle="1" w:styleId="NoList213111">
    <w:name w:val="No List213111"/>
    <w:next w:val="NoList"/>
    <w:uiPriority w:val="99"/>
    <w:semiHidden/>
    <w:unhideWhenUsed/>
    <w:rsid w:val="00375ED8"/>
  </w:style>
  <w:style w:type="numbering" w:customStyle="1" w:styleId="NoList33111">
    <w:name w:val="No List33111"/>
    <w:next w:val="NoList"/>
    <w:uiPriority w:val="99"/>
    <w:semiHidden/>
    <w:unhideWhenUsed/>
    <w:rsid w:val="00375ED8"/>
  </w:style>
  <w:style w:type="numbering" w:customStyle="1" w:styleId="NoList1113111">
    <w:name w:val="No List1113111"/>
    <w:next w:val="NoList"/>
    <w:uiPriority w:val="99"/>
    <w:semiHidden/>
    <w:unhideWhenUsed/>
    <w:rsid w:val="00375ED8"/>
  </w:style>
  <w:style w:type="numbering" w:customStyle="1" w:styleId="NoList2113111">
    <w:name w:val="No List2113111"/>
    <w:next w:val="NoList"/>
    <w:uiPriority w:val="99"/>
    <w:semiHidden/>
    <w:unhideWhenUsed/>
    <w:rsid w:val="00375ED8"/>
  </w:style>
  <w:style w:type="numbering" w:customStyle="1" w:styleId="NoList11113111">
    <w:name w:val="No List11113111"/>
    <w:next w:val="NoList"/>
    <w:uiPriority w:val="99"/>
    <w:semiHidden/>
    <w:unhideWhenUsed/>
    <w:rsid w:val="00375ED8"/>
  </w:style>
  <w:style w:type="numbering" w:customStyle="1" w:styleId="NoList43111">
    <w:name w:val="No List43111"/>
    <w:next w:val="NoList"/>
    <w:uiPriority w:val="99"/>
    <w:semiHidden/>
    <w:unhideWhenUsed/>
    <w:rsid w:val="00375ED8"/>
  </w:style>
  <w:style w:type="numbering" w:customStyle="1" w:styleId="NoList123111">
    <w:name w:val="No List123111"/>
    <w:next w:val="NoList"/>
    <w:uiPriority w:val="99"/>
    <w:semiHidden/>
    <w:unhideWhenUsed/>
    <w:rsid w:val="00375ED8"/>
  </w:style>
  <w:style w:type="numbering" w:customStyle="1" w:styleId="NoList7111">
    <w:name w:val="No List7111"/>
    <w:next w:val="NoList"/>
    <w:uiPriority w:val="99"/>
    <w:semiHidden/>
    <w:unhideWhenUsed/>
    <w:rsid w:val="00375ED8"/>
  </w:style>
  <w:style w:type="numbering" w:customStyle="1" w:styleId="NoList17111">
    <w:name w:val="No List17111"/>
    <w:next w:val="NoList"/>
    <w:uiPriority w:val="99"/>
    <w:semiHidden/>
    <w:unhideWhenUsed/>
    <w:rsid w:val="00375ED8"/>
  </w:style>
  <w:style w:type="numbering" w:customStyle="1" w:styleId="NoList24111">
    <w:name w:val="No List24111"/>
    <w:next w:val="NoList"/>
    <w:uiPriority w:val="99"/>
    <w:semiHidden/>
    <w:unhideWhenUsed/>
    <w:rsid w:val="00375ED8"/>
  </w:style>
  <w:style w:type="numbering" w:customStyle="1" w:styleId="NoList114111">
    <w:name w:val="No List114111"/>
    <w:next w:val="NoList"/>
    <w:uiPriority w:val="99"/>
    <w:semiHidden/>
    <w:unhideWhenUsed/>
    <w:rsid w:val="00375ED8"/>
  </w:style>
  <w:style w:type="numbering" w:customStyle="1" w:styleId="NoList214111">
    <w:name w:val="No List214111"/>
    <w:next w:val="NoList"/>
    <w:uiPriority w:val="99"/>
    <w:semiHidden/>
    <w:unhideWhenUsed/>
    <w:rsid w:val="00375ED8"/>
  </w:style>
  <w:style w:type="numbering" w:customStyle="1" w:styleId="NoList34111">
    <w:name w:val="No List34111"/>
    <w:next w:val="NoList"/>
    <w:uiPriority w:val="99"/>
    <w:semiHidden/>
    <w:unhideWhenUsed/>
    <w:rsid w:val="00375ED8"/>
  </w:style>
  <w:style w:type="numbering" w:customStyle="1" w:styleId="NoList1114111">
    <w:name w:val="No List1114111"/>
    <w:next w:val="NoList"/>
    <w:uiPriority w:val="99"/>
    <w:semiHidden/>
    <w:unhideWhenUsed/>
    <w:rsid w:val="00375ED8"/>
  </w:style>
  <w:style w:type="numbering" w:customStyle="1" w:styleId="NoList2114111">
    <w:name w:val="No List2114111"/>
    <w:next w:val="NoList"/>
    <w:uiPriority w:val="99"/>
    <w:semiHidden/>
    <w:unhideWhenUsed/>
    <w:rsid w:val="00375ED8"/>
  </w:style>
  <w:style w:type="numbering" w:customStyle="1" w:styleId="NoList11114111">
    <w:name w:val="No List11114111"/>
    <w:next w:val="NoList"/>
    <w:uiPriority w:val="99"/>
    <w:semiHidden/>
    <w:unhideWhenUsed/>
    <w:rsid w:val="00375ED8"/>
  </w:style>
  <w:style w:type="numbering" w:customStyle="1" w:styleId="NoList44111">
    <w:name w:val="No List44111"/>
    <w:next w:val="NoList"/>
    <w:uiPriority w:val="99"/>
    <w:semiHidden/>
    <w:unhideWhenUsed/>
    <w:rsid w:val="00375ED8"/>
  </w:style>
  <w:style w:type="numbering" w:customStyle="1" w:styleId="NoList124111">
    <w:name w:val="No List124111"/>
    <w:next w:val="NoList"/>
    <w:uiPriority w:val="99"/>
    <w:semiHidden/>
    <w:unhideWhenUsed/>
    <w:rsid w:val="00375ED8"/>
  </w:style>
  <w:style w:type="numbering" w:customStyle="1" w:styleId="NoList8111">
    <w:name w:val="No List8111"/>
    <w:next w:val="NoList"/>
    <w:uiPriority w:val="99"/>
    <w:semiHidden/>
    <w:unhideWhenUsed/>
    <w:rsid w:val="00375ED8"/>
  </w:style>
  <w:style w:type="numbering" w:customStyle="1" w:styleId="NoList18111">
    <w:name w:val="No List18111"/>
    <w:next w:val="NoList"/>
    <w:uiPriority w:val="99"/>
    <w:semiHidden/>
    <w:unhideWhenUsed/>
    <w:rsid w:val="00375ED8"/>
  </w:style>
  <w:style w:type="numbering" w:customStyle="1" w:styleId="NoList25111">
    <w:name w:val="No List25111"/>
    <w:next w:val="NoList"/>
    <w:uiPriority w:val="99"/>
    <w:semiHidden/>
    <w:unhideWhenUsed/>
    <w:rsid w:val="00375ED8"/>
  </w:style>
  <w:style w:type="numbering" w:customStyle="1" w:styleId="NoList35111">
    <w:name w:val="No List35111"/>
    <w:next w:val="NoList"/>
    <w:uiPriority w:val="99"/>
    <w:semiHidden/>
    <w:unhideWhenUsed/>
    <w:rsid w:val="00375ED8"/>
  </w:style>
  <w:style w:type="numbering" w:customStyle="1" w:styleId="NoList115111">
    <w:name w:val="No List115111"/>
    <w:next w:val="NoList"/>
    <w:uiPriority w:val="99"/>
    <w:semiHidden/>
    <w:unhideWhenUsed/>
    <w:rsid w:val="00375ED8"/>
  </w:style>
  <w:style w:type="numbering" w:customStyle="1" w:styleId="NoList215111">
    <w:name w:val="No List215111"/>
    <w:next w:val="NoList"/>
    <w:uiPriority w:val="99"/>
    <w:semiHidden/>
    <w:unhideWhenUsed/>
    <w:rsid w:val="00375ED8"/>
  </w:style>
  <w:style w:type="numbering" w:customStyle="1" w:styleId="NoList1115111">
    <w:name w:val="No List1115111"/>
    <w:next w:val="NoList"/>
    <w:uiPriority w:val="99"/>
    <w:semiHidden/>
    <w:unhideWhenUsed/>
    <w:rsid w:val="00375ED8"/>
  </w:style>
  <w:style w:type="numbering" w:customStyle="1" w:styleId="NoList45111">
    <w:name w:val="No List45111"/>
    <w:next w:val="NoList"/>
    <w:uiPriority w:val="99"/>
    <w:semiHidden/>
    <w:unhideWhenUsed/>
    <w:rsid w:val="00375ED8"/>
  </w:style>
  <w:style w:type="numbering" w:customStyle="1" w:styleId="NoList125111">
    <w:name w:val="No List125111"/>
    <w:next w:val="NoList"/>
    <w:uiPriority w:val="99"/>
    <w:semiHidden/>
    <w:unhideWhenUsed/>
    <w:rsid w:val="00375ED8"/>
  </w:style>
  <w:style w:type="numbering" w:customStyle="1" w:styleId="NoList9111">
    <w:name w:val="No List9111"/>
    <w:next w:val="NoList"/>
    <w:uiPriority w:val="99"/>
    <w:semiHidden/>
    <w:unhideWhenUsed/>
    <w:rsid w:val="00375ED8"/>
  </w:style>
  <w:style w:type="numbering" w:customStyle="1" w:styleId="NoList19111">
    <w:name w:val="No List19111"/>
    <w:next w:val="NoList"/>
    <w:uiPriority w:val="99"/>
    <w:semiHidden/>
    <w:unhideWhenUsed/>
    <w:rsid w:val="00375ED8"/>
  </w:style>
  <w:style w:type="numbering" w:customStyle="1" w:styleId="NoList26111">
    <w:name w:val="No List26111"/>
    <w:next w:val="NoList"/>
    <w:uiPriority w:val="99"/>
    <w:semiHidden/>
    <w:unhideWhenUsed/>
    <w:rsid w:val="00375ED8"/>
  </w:style>
  <w:style w:type="numbering" w:customStyle="1" w:styleId="NoList36111">
    <w:name w:val="No List36111"/>
    <w:next w:val="NoList"/>
    <w:uiPriority w:val="99"/>
    <w:semiHidden/>
    <w:unhideWhenUsed/>
    <w:rsid w:val="00375ED8"/>
  </w:style>
  <w:style w:type="numbering" w:customStyle="1" w:styleId="NoList116111">
    <w:name w:val="No List116111"/>
    <w:next w:val="NoList"/>
    <w:uiPriority w:val="99"/>
    <w:semiHidden/>
    <w:unhideWhenUsed/>
    <w:rsid w:val="00375ED8"/>
  </w:style>
  <w:style w:type="numbering" w:customStyle="1" w:styleId="NoList216111">
    <w:name w:val="No List216111"/>
    <w:next w:val="NoList"/>
    <w:uiPriority w:val="99"/>
    <w:semiHidden/>
    <w:unhideWhenUsed/>
    <w:rsid w:val="00375ED8"/>
  </w:style>
  <w:style w:type="numbering" w:customStyle="1" w:styleId="NoList1116111">
    <w:name w:val="No List1116111"/>
    <w:next w:val="NoList"/>
    <w:uiPriority w:val="99"/>
    <w:semiHidden/>
    <w:unhideWhenUsed/>
    <w:rsid w:val="00375ED8"/>
  </w:style>
  <w:style w:type="numbering" w:customStyle="1" w:styleId="NoList46111">
    <w:name w:val="No List46111"/>
    <w:next w:val="NoList"/>
    <w:uiPriority w:val="99"/>
    <w:semiHidden/>
    <w:unhideWhenUsed/>
    <w:rsid w:val="00375ED8"/>
  </w:style>
  <w:style w:type="numbering" w:customStyle="1" w:styleId="NoList126111">
    <w:name w:val="No List126111"/>
    <w:next w:val="NoList"/>
    <w:uiPriority w:val="99"/>
    <w:semiHidden/>
    <w:unhideWhenUsed/>
    <w:rsid w:val="00375ED8"/>
  </w:style>
  <w:style w:type="numbering" w:customStyle="1" w:styleId="NoList2011">
    <w:name w:val="No List2011"/>
    <w:next w:val="NoList"/>
    <w:uiPriority w:val="99"/>
    <w:semiHidden/>
    <w:unhideWhenUsed/>
    <w:rsid w:val="00375ED8"/>
  </w:style>
  <w:style w:type="numbering" w:customStyle="1" w:styleId="NoList11811">
    <w:name w:val="No List11811"/>
    <w:next w:val="NoList"/>
    <w:uiPriority w:val="99"/>
    <w:semiHidden/>
    <w:unhideWhenUsed/>
    <w:rsid w:val="00375ED8"/>
  </w:style>
  <w:style w:type="numbering" w:customStyle="1" w:styleId="NoList11911">
    <w:name w:val="No List11911"/>
    <w:next w:val="NoList"/>
    <w:uiPriority w:val="99"/>
    <w:semiHidden/>
    <w:unhideWhenUsed/>
    <w:rsid w:val="00375ED8"/>
  </w:style>
  <w:style w:type="numbering" w:customStyle="1" w:styleId="NoList2811">
    <w:name w:val="No List2811"/>
    <w:next w:val="NoList"/>
    <w:uiPriority w:val="99"/>
    <w:semiHidden/>
    <w:unhideWhenUsed/>
    <w:rsid w:val="00375ED8"/>
  </w:style>
  <w:style w:type="numbering" w:customStyle="1" w:styleId="NoList111811">
    <w:name w:val="No List111811"/>
    <w:next w:val="NoList"/>
    <w:uiPriority w:val="99"/>
    <w:semiHidden/>
    <w:unhideWhenUsed/>
    <w:rsid w:val="00375ED8"/>
  </w:style>
  <w:style w:type="numbering" w:customStyle="1" w:styleId="NoList3811">
    <w:name w:val="No List3811"/>
    <w:next w:val="NoList"/>
    <w:uiPriority w:val="99"/>
    <w:semiHidden/>
    <w:unhideWhenUsed/>
    <w:rsid w:val="00375ED8"/>
  </w:style>
  <w:style w:type="numbering" w:customStyle="1" w:styleId="NoList21811">
    <w:name w:val="No List21811"/>
    <w:next w:val="NoList"/>
    <w:uiPriority w:val="99"/>
    <w:semiHidden/>
    <w:unhideWhenUsed/>
    <w:rsid w:val="00375ED8"/>
  </w:style>
  <w:style w:type="numbering" w:customStyle="1" w:styleId="NoList1111611">
    <w:name w:val="No List1111611"/>
    <w:next w:val="NoList"/>
    <w:uiPriority w:val="99"/>
    <w:semiHidden/>
    <w:unhideWhenUsed/>
    <w:rsid w:val="00375ED8"/>
  </w:style>
  <w:style w:type="numbering" w:customStyle="1" w:styleId="NoList4811">
    <w:name w:val="No List4811"/>
    <w:next w:val="NoList"/>
    <w:uiPriority w:val="99"/>
    <w:semiHidden/>
    <w:unhideWhenUsed/>
    <w:rsid w:val="00375ED8"/>
  </w:style>
  <w:style w:type="numbering" w:customStyle="1" w:styleId="NoList12811">
    <w:name w:val="No List12811"/>
    <w:next w:val="NoList"/>
    <w:uiPriority w:val="99"/>
    <w:semiHidden/>
    <w:unhideWhenUsed/>
    <w:rsid w:val="00375ED8"/>
  </w:style>
  <w:style w:type="numbering" w:customStyle="1" w:styleId="NoList5311">
    <w:name w:val="No List5311"/>
    <w:next w:val="NoList"/>
    <w:uiPriority w:val="99"/>
    <w:semiHidden/>
    <w:unhideWhenUsed/>
    <w:rsid w:val="00375ED8"/>
  </w:style>
  <w:style w:type="numbering" w:customStyle="1" w:styleId="NoList13311">
    <w:name w:val="No List13311"/>
    <w:next w:val="NoList"/>
    <w:uiPriority w:val="99"/>
    <w:semiHidden/>
    <w:unhideWhenUsed/>
    <w:rsid w:val="00375ED8"/>
  </w:style>
  <w:style w:type="numbering" w:customStyle="1" w:styleId="NoList112311">
    <w:name w:val="No List112311"/>
    <w:next w:val="NoList"/>
    <w:uiPriority w:val="99"/>
    <w:semiHidden/>
    <w:unhideWhenUsed/>
    <w:rsid w:val="00375ED8"/>
  </w:style>
  <w:style w:type="numbering" w:customStyle="1" w:styleId="NoList22311">
    <w:name w:val="No List22311"/>
    <w:next w:val="NoList"/>
    <w:uiPriority w:val="99"/>
    <w:semiHidden/>
    <w:unhideWhenUsed/>
    <w:rsid w:val="00375ED8"/>
  </w:style>
  <w:style w:type="numbering" w:customStyle="1" w:styleId="NoList121311">
    <w:name w:val="No List121311"/>
    <w:next w:val="NoList"/>
    <w:uiPriority w:val="99"/>
    <w:semiHidden/>
    <w:unhideWhenUsed/>
    <w:rsid w:val="00375ED8"/>
  </w:style>
  <w:style w:type="numbering" w:customStyle="1" w:styleId="NoList31311">
    <w:name w:val="No List31311"/>
    <w:next w:val="NoList"/>
    <w:uiPriority w:val="99"/>
    <w:semiHidden/>
    <w:unhideWhenUsed/>
    <w:rsid w:val="00375ED8"/>
  </w:style>
  <w:style w:type="numbering" w:customStyle="1" w:styleId="NoList131211">
    <w:name w:val="No List131211"/>
    <w:next w:val="NoList"/>
    <w:uiPriority w:val="99"/>
    <w:semiHidden/>
    <w:unhideWhenUsed/>
    <w:rsid w:val="00375ED8"/>
  </w:style>
  <w:style w:type="numbering" w:customStyle="1" w:styleId="NoList41311">
    <w:name w:val="No List41311"/>
    <w:next w:val="NoList"/>
    <w:uiPriority w:val="99"/>
    <w:semiHidden/>
    <w:unhideWhenUsed/>
    <w:rsid w:val="00375ED8"/>
  </w:style>
  <w:style w:type="numbering" w:customStyle="1" w:styleId="NoList14211">
    <w:name w:val="No List14211"/>
    <w:next w:val="NoList"/>
    <w:uiPriority w:val="99"/>
    <w:semiHidden/>
    <w:unhideWhenUsed/>
    <w:rsid w:val="00375ED8"/>
  </w:style>
  <w:style w:type="numbering" w:customStyle="1" w:styleId="NoList211611">
    <w:name w:val="No List211611"/>
    <w:next w:val="NoList"/>
    <w:uiPriority w:val="99"/>
    <w:semiHidden/>
    <w:unhideWhenUsed/>
    <w:rsid w:val="00375ED8"/>
  </w:style>
  <w:style w:type="numbering" w:customStyle="1" w:styleId="NoList11111311">
    <w:name w:val="No List11111311"/>
    <w:next w:val="NoList"/>
    <w:uiPriority w:val="99"/>
    <w:semiHidden/>
    <w:unhideWhenUsed/>
    <w:rsid w:val="00375ED8"/>
  </w:style>
  <w:style w:type="numbering" w:customStyle="1" w:styleId="NoList2111311">
    <w:name w:val="No List2111311"/>
    <w:next w:val="NoList"/>
    <w:uiPriority w:val="99"/>
    <w:semiHidden/>
    <w:unhideWhenUsed/>
    <w:rsid w:val="00375ED8"/>
  </w:style>
  <w:style w:type="numbering" w:customStyle="1" w:styleId="NoList311211">
    <w:name w:val="No List311211"/>
    <w:next w:val="NoList"/>
    <w:uiPriority w:val="99"/>
    <w:semiHidden/>
    <w:unhideWhenUsed/>
    <w:rsid w:val="00375ED8"/>
  </w:style>
  <w:style w:type="numbering" w:customStyle="1" w:styleId="NoList111111211">
    <w:name w:val="No List111111211"/>
    <w:next w:val="NoList"/>
    <w:uiPriority w:val="99"/>
    <w:semiHidden/>
    <w:unhideWhenUsed/>
    <w:rsid w:val="00375ED8"/>
  </w:style>
  <w:style w:type="numbering" w:customStyle="1" w:styleId="NoList21111211">
    <w:name w:val="No List21111211"/>
    <w:next w:val="NoList"/>
    <w:uiPriority w:val="99"/>
    <w:semiHidden/>
    <w:unhideWhenUsed/>
    <w:rsid w:val="00375ED8"/>
  </w:style>
  <w:style w:type="numbering" w:customStyle="1" w:styleId="NoList1111111211">
    <w:name w:val="No List1111111211"/>
    <w:next w:val="NoList"/>
    <w:uiPriority w:val="99"/>
    <w:semiHidden/>
    <w:unhideWhenUsed/>
    <w:rsid w:val="00375ED8"/>
  </w:style>
  <w:style w:type="numbering" w:customStyle="1" w:styleId="NoList411211">
    <w:name w:val="No List411211"/>
    <w:next w:val="NoList"/>
    <w:uiPriority w:val="99"/>
    <w:semiHidden/>
    <w:unhideWhenUsed/>
    <w:rsid w:val="00375ED8"/>
  </w:style>
  <w:style w:type="numbering" w:customStyle="1" w:styleId="NoList1211211">
    <w:name w:val="No List1211211"/>
    <w:next w:val="NoList"/>
    <w:uiPriority w:val="99"/>
    <w:semiHidden/>
    <w:unhideWhenUsed/>
    <w:rsid w:val="00375ED8"/>
  </w:style>
  <w:style w:type="numbering" w:customStyle="1" w:styleId="NoList51211">
    <w:name w:val="No List51211"/>
    <w:next w:val="NoList"/>
    <w:uiPriority w:val="99"/>
    <w:semiHidden/>
    <w:unhideWhenUsed/>
    <w:rsid w:val="00375ED8"/>
  </w:style>
  <w:style w:type="numbering" w:customStyle="1" w:styleId="NoList15211">
    <w:name w:val="No List15211"/>
    <w:next w:val="NoList"/>
    <w:uiPriority w:val="99"/>
    <w:semiHidden/>
    <w:unhideWhenUsed/>
    <w:rsid w:val="00375ED8"/>
  </w:style>
  <w:style w:type="numbering" w:customStyle="1" w:styleId="NoList221211">
    <w:name w:val="No List221211"/>
    <w:next w:val="NoList"/>
    <w:uiPriority w:val="99"/>
    <w:semiHidden/>
    <w:unhideWhenUsed/>
    <w:rsid w:val="00375ED8"/>
  </w:style>
  <w:style w:type="numbering" w:customStyle="1" w:styleId="NoList1121211">
    <w:name w:val="No List1121211"/>
    <w:next w:val="NoList"/>
    <w:uiPriority w:val="99"/>
    <w:semiHidden/>
    <w:unhideWhenUsed/>
    <w:rsid w:val="00375ED8"/>
  </w:style>
  <w:style w:type="numbering" w:customStyle="1" w:styleId="NoList212211">
    <w:name w:val="No List212211"/>
    <w:next w:val="NoList"/>
    <w:uiPriority w:val="99"/>
    <w:semiHidden/>
    <w:unhideWhenUsed/>
    <w:rsid w:val="00375ED8"/>
  </w:style>
  <w:style w:type="numbering" w:customStyle="1" w:styleId="NoList32211">
    <w:name w:val="No List32211"/>
    <w:next w:val="NoList"/>
    <w:uiPriority w:val="99"/>
    <w:semiHidden/>
    <w:unhideWhenUsed/>
    <w:rsid w:val="00375ED8"/>
  </w:style>
  <w:style w:type="numbering" w:customStyle="1" w:styleId="NoList1112211">
    <w:name w:val="No List1112211"/>
    <w:next w:val="NoList"/>
    <w:uiPriority w:val="99"/>
    <w:semiHidden/>
    <w:unhideWhenUsed/>
    <w:rsid w:val="00375ED8"/>
  </w:style>
  <w:style w:type="numbering" w:customStyle="1" w:styleId="NoList2112211">
    <w:name w:val="No List2112211"/>
    <w:next w:val="NoList"/>
    <w:uiPriority w:val="99"/>
    <w:semiHidden/>
    <w:unhideWhenUsed/>
    <w:rsid w:val="00375ED8"/>
  </w:style>
  <w:style w:type="numbering" w:customStyle="1" w:styleId="NoList11112211">
    <w:name w:val="No List11112211"/>
    <w:next w:val="NoList"/>
    <w:uiPriority w:val="99"/>
    <w:semiHidden/>
    <w:unhideWhenUsed/>
    <w:rsid w:val="00375ED8"/>
  </w:style>
  <w:style w:type="numbering" w:customStyle="1" w:styleId="NoList42211">
    <w:name w:val="No List42211"/>
    <w:next w:val="NoList"/>
    <w:uiPriority w:val="99"/>
    <w:semiHidden/>
    <w:unhideWhenUsed/>
    <w:rsid w:val="00375ED8"/>
  </w:style>
  <w:style w:type="numbering" w:customStyle="1" w:styleId="NoList122211">
    <w:name w:val="No List122211"/>
    <w:next w:val="NoList"/>
    <w:uiPriority w:val="99"/>
    <w:semiHidden/>
    <w:unhideWhenUsed/>
    <w:rsid w:val="00375ED8"/>
  </w:style>
  <w:style w:type="numbering" w:customStyle="1" w:styleId="NoList6211">
    <w:name w:val="No List6211"/>
    <w:next w:val="NoList"/>
    <w:uiPriority w:val="99"/>
    <w:semiHidden/>
    <w:unhideWhenUsed/>
    <w:rsid w:val="00375ED8"/>
  </w:style>
  <w:style w:type="numbering" w:customStyle="1" w:styleId="NoList16211">
    <w:name w:val="No List16211"/>
    <w:next w:val="NoList"/>
    <w:uiPriority w:val="99"/>
    <w:semiHidden/>
    <w:unhideWhenUsed/>
    <w:rsid w:val="00375ED8"/>
  </w:style>
  <w:style w:type="numbering" w:customStyle="1" w:styleId="NoList23211">
    <w:name w:val="No List23211"/>
    <w:next w:val="NoList"/>
    <w:uiPriority w:val="99"/>
    <w:semiHidden/>
    <w:unhideWhenUsed/>
    <w:rsid w:val="00375ED8"/>
  </w:style>
  <w:style w:type="numbering" w:customStyle="1" w:styleId="NoList113211">
    <w:name w:val="No List113211"/>
    <w:next w:val="NoList"/>
    <w:uiPriority w:val="99"/>
    <w:semiHidden/>
    <w:unhideWhenUsed/>
    <w:rsid w:val="00375ED8"/>
  </w:style>
  <w:style w:type="numbering" w:customStyle="1" w:styleId="NoList213211">
    <w:name w:val="No List213211"/>
    <w:next w:val="NoList"/>
    <w:uiPriority w:val="99"/>
    <w:semiHidden/>
    <w:unhideWhenUsed/>
    <w:rsid w:val="00375ED8"/>
  </w:style>
  <w:style w:type="numbering" w:customStyle="1" w:styleId="NoList33211">
    <w:name w:val="No List33211"/>
    <w:next w:val="NoList"/>
    <w:uiPriority w:val="99"/>
    <w:semiHidden/>
    <w:unhideWhenUsed/>
    <w:rsid w:val="00375ED8"/>
  </w:style>
  <w:style w:type="numbering" w:customStyle="1" w:styleId="NoList1113211">
    <w:name w:val="No List1113211"/>
    <w:next w:val="NoList"/>
    <w:uiPriority w:val="99"/>
    <w:semiHidden/>
    <w:unhideWhenUsed/>
    <w:rsid w:val="00375ED8"/>
  </w:style>
  <w:style w:type="numbering" w:customStyle="1" w:styleId="NoList2113211">
    <w:name w:val="No List2113211"/>
    <w:next w:val="NoList"/>
    <w:uiPriority w:val="99"/>
    <w:semiHidden/>
    <w:unhideWhenUsed/>
    <w:rsid w:val="00375ED8"/>
  </w:style>
  <w:style w:type="numbering" w:customStyle="1" w:styleId="NoList11113211">
    <w:name w:val="No List11113211"/>
    <w:next w:val="NoList"/>
    <w:uiPriority w:val="99"/>
    <w:semiHidden/>
    <w:unhideWhenUsed/>
    <w:rsid w:val="00375ED8"/>
  </w:style>
  <w:style w:type="numbering" w:customStyle="1" w:styleId="NoList43211">
    <w:name w:val="No List43211"/>
    <w:next w:val="NoList"/>
    <w:uiPriority w:val="99"/>
    <w:semiHidden/>
    <w:unhideWhenUsed/>
    <w:rsid w:val="00375ED8"/>
  </w:style>
  <w:style w:type="numbering" w:customStyle="1" w:styleId="NoList123211">
    <w:name w:val="No List123211"/>
    <w:next w:val="NoList"/>
    <w:uiPriority w:val="99"/>
    <w:semiHidden/>
    <w:unhideWhenUsed/>
    <w:rsid w:val="00375ED8"/>
  </w:style>
  <w:style w:type="numbering" w:customStyle="1" w:styleId="NoList7211">
    <w:name w:val="No List7211"/>
    <w:next w:val="NoList"/>
    <w:uiPriority w:val="99"/>
    <w:semiHidden/>
    <w:unhideWhenUsed/>
    <w:rsid w:val="00375ED8"/>
  </w:style>
  <w:style w:type="numbering" w:customStyle="1" w:styleId="NoList17211">
    <w:name w:val="No List17211"/>
    <w:next w:val="NoList"/>
    <w:uiPriority w:val="99"/>
    <w:semiHidden/>
    <w:unhideWhenUsed/>
    <w:rsid w:val="00375ED8"/>
  </w:style>
  <w:style w:type="numbering" w:customStyle="1" w:styleId="NoList24211">
    <w:name w:val="No List24211"/>
    <w:next w:val="NoList"/>
    <w:uiPriority w:val="99"/>
    <w:semiHidden/>
    <w:unhideWhenUsed/>
    <w:rsid w:val="00375ED8"/>
  </w:style>
  <w:style w:type="numbering" w:customStyle="1" w:styleId="NoList114211">
    <w:name w:val="No List114211"/>
    <w:next w:val="NoList"/>
    <w:uiPriority w:val="99"/>
    <w:semiHidden/>
    <w:unhideWhenUsed/>
    <w:rsid w:val="00375ED8"/>
  </w:style>
  <w:style w:type="numbering" w:customStyle="1" w:styleId="NoList214211">
    <w:name w:val="No List214211"/>
    <w:next w:val="NoList"/>
    <w:uiPriority w:val="99"/>
    <w:semiHidden/>
    <w:unhideWhenUsed/>
    <w:rsid w:val="00375ED8"/>
  </w:style>
  <w:style w:type="numbering" w:customStyle="1" w:styleId="NoList34211">
    <w:name w:val="No List34211"/>
    <w:next w:val="NoList"/>
    <w:uiPriority w:val="99"/>
    <w:semiHidden/>
    <w:unhideWhenUsed/>
    <w:rsid w:val="00375ED8"/>
  </w:style>
  <w:style w:type="numbering" w:customStyle="1" w:styleId="NoList1114211">
    <w:name w:val="No List1114211"/>
    <w:next w:val="NoList"/>
    <w:uiPriority w:val="99"/>
    <w:semiHidden/>
    <w:unhideWhenUsed/>
    <w:rsid w:val="00375ED8"/>
  </w:style>
  <w:style w:type="numbering" w:customStyle="1" w:styleId="NoList2114211">
    <w:name w:val="No List2114211"/>
    <w:next w:val="NoList"/>
    <w:uiPriority w:val="99"/>
    <w:semiHidden/>
    <w:unhideWhenUsed/>
    <w:rsid w:val="00375ED8"/>
  </w:style>
  <w:style w:type="numbering" w:customStyle="1" w:styleId="NoList11114211">
    <w:name w:val="No List11114211"/>
    <w:next w:val="NoList"/>
    <w:uiPriority w:val="99"/>
    <w:semiHidden/>
    <w:unhideWhenUsed/>
    <w:rsid w:val="00375ED8"/>
  </w:style>
  <w:style w:type="numbering" w:customStyle="1" w:styleId="NoList44211">
    <w:name w:val="No List44211"/>
    <w:next w:val="NoList"/>
    <w:uiPriority w:val="99"/>
    <w:semiHidden/>
    <w:unhideWhenUsed/>
    <w:rsid w:val="00375ED8"/>
  </w:style>
  <w:style w:type="numbering" w:customStyle="1" w:styleId="NoList124211">
    <w:name w:val="No List124211"/>
    <w:next w:val="NoList"/>
    <w:uiPriority w:val="99"/>
    <w:semiHidden/>
    <w:unhideWhenUsed/>
    <w:rsid w:val="00375ED8"/>
  </w:style>
  <w:style w:type="numbering" w:customStyle="1" w:styleId="NoList8211">
    <w:name w:val="No List8211"/>
    <w:next w:val="NoList"/>
    <w:uiPriority w:val="99"/>
    <w:semiHidden/>
    <w:unhideWhenUsed/>
    <w:rsid w:val="00375ED8"/>
  </w:style>
  <w:style w:type="numbering" w:customStyle="1" w:styleId="NoList18211">
    <w:name w:val="No List18211"/>
    <w:next w:val="NoList"/>
    <w:uiPriority w:val="99"/>
    <w:semiHidden/>
    <w:unhideWhenUsed/>
    <w:rsid w:val="00375ED8"/>
  </w:style>
  <w:style w:type="numbering" w:customStyle="1" w:styleId="NoList25211">
    <w:name w:val="No List25211"/>
    <w:next w:val="NoList"/>
    <w:uiPriority w:val="99"/>
    <w:semiHidden/>
    <w:unhideWhenUsed/>
    <w:rsid w:val="00375ED8"/>
  </w:style>
  <w:style w:type="numbering" w:customStyle="1" w:styleId="NoList35211">
    <w:name w:val="No List35211"/>
    <w:next w:val="NoList"/>
    <w:uiPriority w:val="99"/>
    <w:semiHidden/>
    <w:unhideWhenUsed/>
    <w:rsid w:val="00375ED8"/>
  </w:style>
  <w:style w:type="numbering" w:customStyle="1" w:styleId="NoList115211">
    <w:name w:val="No List115211"/>
    <w:next w:val="NoList"/>
    <w:uiPriority w:val="99"/>
    <w:semiHidden/>
    <w:unhideWhenUsed/>
    <w:rsid w:val="00375ED8"/>
  </w:style>
  <w:style w:type="numbering" w:customStyle="1" w:styleId="NoList215211">
    <w:name w:val="No List215211"/>
    <w:next w:val="NoList"/>
    <w:uiPriority w:val="99"/>
    <w:semiHidden/>
    <w:unhideWhenUsed/>
    <w:rsid w:val="00375ED8"/>
  </w:style>
  <w:style w:type="numbering" w:customStyle="1" w:styleId="NoList1115211">
    <w:name w:val="No List1115211"/>
    <w:next w:val="NoList"/>
    <w:uiPriority w:val="99"/>
    <w:semiHidden/>
    <w:unhideWhenUsed/>
    <w:rsid w:val="00375ED8"/>
  </w:style>
  <w:style w:type="numbering" w:customStyle="1" w:styleId="NoList45211">
    <w:name w:val="No List45211"/>
    <w:next w:val="NoList"/>
    <w:uiPriority w:val="99"/>
    <w:semiHidden/>
    <w:unhideWhenUsed/>
    <w:rsid w:val="00375ED8"/>
  </w:style>
  <w:style w:type="numbering" w:customStyle="1" w:styleId="NoList125211">
    <w:name w:val="No List125211"/>
    <w:next w:val="NoList"/>
    <w:uiPriority w:val="99"/>
    <w:semiHidden/>
    <w:unhideWhenUsed/>
    <w:rsid w:val="00375ED8"/>
  </w:style>
  <w:style w:type="numbering" w:customStyle="1" w:styleId="NoList9211">
    <w:name w:val="No List9211"/>
    <w:next w:val="NoList"/>
    <w:uiPriority w:val="99"/>
    <w:semiHidden/>
    <w:unhideWhenUsed/>
    <w:rsid w:val="00375ED8"/>
  </w:style>
  <w:style w:type="numbering" w:customStyle="1" w:styleId="NoList19211">
    <w:name w:val="No List19211"/>
    <w:next w:val="NoList"/>
    <w:uiPriority w:val="99"/>
    <w:semiHidden/>
    <w:unhideWhenUsed/>
    <w:rsid w:val="00375ED8"/>
  </w:style>
  <w:style w:type="numbering" w:customStyle="1" w:styleId="NoList26211">
    <w:name w:val="No List26211"/>
    <w:next w:val="NoList"/>
    <w:uiPriority w:val="99"/>
    <w:semiHidden/>
    <w:unhideWhenUsed/>
    <w:rsid w:val="00375ED8"/>
  </w:style>
  <w:style w:type="numbering" w:customStyle="1" w:styleId="NoList36211">
    <w:name w:val="No List36211"/>
    <w:next w:val="NoList"/>
    <w:uiPriority w:val="99"/>
    <w:semiHidden/>
    <w:unhideWhenUsed/>
    <w:rsid w:val="00375ED8"/>
  </w:style>
  <w:style w:type="numbering" w:customStyle="1" w:styleId="NoList116211">
    <w:name w:val="No List116211"/>
    <w:next w:val="NoList"/>
    <w:uiPriority w:val="99"/>
    <w:semiHidden/>
    <w:unhideWhenUsed/>
    <w:rsid w:val="00375ED8"/>
  </w:style>
  <w:style w:type="numbering" w:customStyle="1" w:styleId="NoList216211">
    <w:name w:val="No List216211"/>
    <w:next w:val="NoList"/>
    <w:uiPriority w:val="99"/>
    <w:semiHidden/>
    <w:unhideWhenUsed/>
    <w:rsid w:val="00375ED8"/>
  </w:style>
  <w:style w:type="numbering" w:customStyle="1" w:styleId="NoList1116211">
    <w:name w:val="No List1116211"/>
    <w:next w:val="NoList"/>
    <w:uiPriority w:val="99"/>
    <w:semiHidden/>
    <w:unhideWhenUsed/>
    <w:rsid w:val="00375ED8"/>
  </w:style>
  <w:style w:type="numbering" w:customStyle="1" w:styleId="NoList46211">
    <w:name w:val="No List46211"/>
    <w:next w:val="NoList"/>
    <w:uiPriority w:val="99"/>
    <w:semiHidden/>
    <w:unhideWhenUsed/>
    <w:rsid w:val="00375ED8"/>
  </w:style>
  <w:style w:type="numbering" w:customStyle="1" w:styleId="NoList126211">
    <w:name w:val="No List126211"/>
    <w:next w:val="NoList"/>
    <w:uiPriority w:val="99"/>
    <w:semiHidden/>
    <w:unhideWhenUsed/>
    <w:rsid w:val="00375ED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8763350">
      <w:bodyDiv w:val="1"/>
      <w:marLeft w:val="0"/>
      <w:marRight w:val="0"/>
      <w:marTop w:val="0"/>
      <w:marBottom w:val="0"/>
      <w:divBdr>
        <w:top w:val="none" w:sz="0" w:space="0" w:color="auto"/>
        <w:left w:val="none" w:sz="0" w:space="0" w:color="auto"/>
        <w:bottom w:val="none" w:sz="0" w:space="0" w:color="auto"/>
        <w:right w:val="none" w:sz="0" w:space="0" w:color="auto"/>
      </w:divBdr>
    </w:div>
    <w:div w:id="385566072">
      <w:bodyDiv w:val="1"/>
      <w:marLeft w:val="0"/>
      <w:marRight w:val="0"/>
      <w:marTop w:val="0"/>
      <w:marBottom w:val="0"/>
      <w:divBdr>
        <w:top w:val="none" w:sz="0" w:space="0" w:color="auto"/>
        <w:left w:val="none" w:sz="0" w:space="0" w:color="auto"/>
        <w:bottom w:val="none" w:sz="0" w:space="0" w:color="auto"/>
        <w:right w:val="none" w:sz="0" w:space="0" w:color="auto"/>
      </w:divBdr>
      <w:divsChild>
        <w:div w:id="213583938">
          <w:marLeft w:val="0"/>
          <w:marRight w:val="0"/>
          <w:marTop w:val="0"/>
          <w:marBottom w:val="0"/>
          <w:divBdr>
            <w:top w:val="none" w:sz="0" w:space="0" w:color="auto"/>
            <w:left w:val="none" w:sz="0" w:space="0" w:color="auto"/>
            <w:bottom w:val="none" w:sz="0" w:space="0" w:color="auto"/>
            <w:right w:val="none" w:sz="0" w:space="0" w:color="auto"/>
          </w:divBdr>
        </w:div>
        <w:div w:id="1505432304">
          <w:marLeft w:val="0"/>
          <w:marRight w:val="0"/>
          <w:marTop w:val="0"/>
          <w:marBottom w:val="0"/>
          <w:divBdr>
            <w:top w:val="none" w:sz="0" w:space="0" w:color="auto"/>
            <w:left w:val="none" w:sz="0" w:space="0" w:color="auto"/>
            <w:bottom w:val="none" w:sz="0" w:space="0" w:color="auto"/>
            <w:right w:val="none" w:sz="0" w:space="0" w:color="auto"/>
          </w:divBdr>
        </w:div>
      </w:divsChild>
    </w:div>
    <w:div w:id="557861514">
      <w:bodyDiv w:val="1"/>
      <w:marLeft w:val="0"/>
      <w:marRight w:val="0"/>
      <w:marTop w:val="0"/>
      <w:marBottom w:val="0"/>
      <w:divBdr>
        <w:top w:val="none" w:sz="0" w:space="0" w:color="auto"/>
        <w:left w:val="none" w:sz="0" w:space="0" w:color="auto"/>
        <w:bottom w:val="none" w:sz="0" w:space="0" w:color="auto"/>
        <w:right w:val="none" w:sz="0" w:space="0" w:color="auto"/>
      </w:divBdr>
    </w:div>
    <w:div w:id="580607101">
      <w:bodyDiv w:val="1"/>
      <w:marLeft w:val="0"/>
      <w:marRight w:val="0"/>
      <w:marTop w:val="0"/>
      <w:marBottom w:val="0"/>
      <w:divBdr>
        <w:top w:val="none" w:sz="0" w:space="0" w:color="auto"/>
        <w:left w:val="none" w:sz="0" w:space="0" w:color="auto"/>
        <w:bottom w:val="none" w:sz="0" w:space="0" w:color="auto"/>
        <w:right w:val="none" w:sz="0" w:space="0" w:color="auto"/>
      </w:divBdr>
    </w:div>
    <w:div w:id="585187018">
      <w:bodyDiv w:val="1"/>
      <w:marLeft w:val="0"/>
      <w:marRight w:val="0"/>
      <w:marTop w:val="0"/>
      <w:marBottom w:val="0"/>
      <w:divBdr>
        <w:top w:val="none" w:sz="0" w:space="0" w:color="auto"/>
        <w:left w:val="none" w:sz="0" w:space="0" w:color="auto"/>
        <w:bottom w:val="none" w:sz="0" w:space="0" w:color="auto"/>
        <w:right w:val="none" w:sz="0" w:space="0" w:color="auto"/>
      </w:divBdr>
    </w:div>
    <w:div w:id="606232483">
      <w:bodyDiv w:val="1"/>
      <w:marLeft w:val="0"/>
      <w:marRight w:val="0"/>
      <w:marTop w:val="0"/>
      <w:marBottom w:val="0"/>
      <w:divBdr>
        <w:top w:val="none" w:sz="0" w:space="0" w:color="auto"/>
        <w:left w:val="none" w:sz="0" w:space="0" w:color="auto"/>
        <w:bottom w:val="none" w:sz="0" w:space="0" w:color="auto"/>
        <w:right w:val="none" w:sz="0" w:space="0" w:color="auto"/>
      </w:divBdr>
    </w:div>
    <w:div w:id="630136964">
      <w:bodyDiv w:val="1"/>
      <w:marLeft w:val="0"/>
      <w:marRight w:val="0"/>
      <w:marTop w:val="0"/>
      <w:marBottom w:val="0"/>
      <w:divBdr>
        <w:top w:val="none" w:sz="0" w:space="0" w:color="auto"/>
        <w:left w:val="none" w:sz="0" w:space="0" w:color="auto"/>
        <w:bottom w:val="none" w:sz="0" w:space="0" w:color="auto"/>
        <w:right w:val="none" w:sz="0" w:space="0" w:color="auto"/>
      </w:divBdr>
    </w:div>
    <w:div w:id="649868940">
      <w:bodyDiv w:val="1"/>
      <w:marLeft w:val="0"/>
      <w:marRight w:val="0"/>
      <w:marTop w:val="0"/>
      <w:marBottom w:val="0"/>
      <w:divBdr>
        <w:top w:val="none" w:sz="0" w:space="0" w:color="auto"/>
        <w:left w:val="none" w:sz="0" w:space="0" w:color="auto"/>
        <w:bottom w:val="none" w:sz="0" w:space="0" w:color="auto"/>
        <w:right w:val="none" w:sz="0" w:space="0" w:color="auto"/>
      </w:divBdr>
    </w:div>
    <w:div w:id="698966250">
      <w:bodyDiv w:val="1"/>
      <w:marLeft w:val="0"/>
      <w:marRight w:val="0"/>
      <w:marTop w:val="0"/>
      <w:marBottom w:val="0"/>
      <w:divBdr>
        <w:top w:val="none" w:sz="0" w:space="0" w:color="auto"/>
        <w:left w:val="none" w:sz="0" w:space="0" w:color="auto"/>
        <w:bottom w:val="none" w:sz="0" w:space="0" w:color="auto"/>
        <w:right w:val="none" w:sz="0" w:space="0" w:color="auto"/>
      </w:divBdr>
    </w:div>
    <w:div w:id="717095960">
      <w:bodyDiv w:val="1"/>
      <w:marLeft w:val="0"/>
      <w:marRight w:val="0"/>
      <w:marTop w:val="0"/>
      <w:marBottom w:val="0"/>
      <w:divBdr>
        <w:top w:val="none" w:sz="0" w:space="0" w:color="auto"/>
        <w:left w:val="none" w:sz="0" w:space="0" w:color="auto"/>
        <w:bottom w:val="none" w:sz="0" w:space="0" w:color="auto"/>
        <w:right w:val="none" w:sz="0" w:space="0" w:color="auto"/>
      </w:divBdr>
    </w:div>
    <w:div w:id="1024987246">
      <w:bodyDiv w:val="1"/>
      <w:marLeft w:val="0"/>
      <w:marRight w:val="0"/>
      <w:marTop w:val="0"/>
      <w:marBottom w:val="0"/>
      <w:divBdr>
        <w:top w:val="none" w:sz="0" w:space="0" w:color="auto"/>
        <w:left w:val="none" w:sz="0" w:space="0" w:color="auto"/>
        <w:bottom w:val="none" w:sz="0" w:space="0" w:color="auto"/>
        <w:right w:val="none" w:sz="0" w:space="0" w:color="auto"/>
      </w:divBdr>
    </w:div>
    <w:div w:id="1099908284">
      <w:bodyDiv w:val="1"/>
      <w:marLeft w:val="0"/>
      <w:marRight w:val="0"/>
      <w:marTop w:val="0"/>
      <w:marBottom w:val="0"/>
      <w:divBdr>
        <w:top w:val="none" w:sz="0" w:space="0" w:color="auto"/>
        <w:left w:val="none" w:sz="0" w:space="0" w:color="auto"/>
        <w:bottom w:val="none" w:sz="0" w:space="0" w:color="auto"/>
        <w:right w:val="none" w:sz="0" w:space="0" w:color="auto"/>
      </w:divBdr>
    </w:div>
    <w:div w:id="1113205341">
      <w:bodyDiv w:val="1"/>
      <w:marLeft w:val="0"/>
      <w:marRight w:val="0"/>
      <w:marTop w:val="0"/>
      <w:marBottom w:val="0"/>
      <w:divBdr>
        <w:top w:val="none" w:sz="0" w:space="0" w:color="auto"/>
        <w:left w:val="none" w:sz="0" w:space="0" w:color="auto"/>
        <w:bottom w:val="none" w:sz="0" w:space="0" w:color="auto"/>
        <w:right w:val="none" w:sz="0" w:space="0" w:color="auto"/>
      </w:divBdr>
    </w:div>
    <w:div w:id="1263413260">
      <w:bodyDiv w:val="1"/>
      <w:marLeft w:val="0"/>
      <w:marRight w:val="0"/>
      <w:marTop w:val="0"/>
      <w:marBottom w:val="0"/>
      <w:divBdr>
        <w:top w:val="none" w:sz="0" w:space="0" w:color="auto"/>
        <w:left w:val="none" w:sz="0" w:space="0" w:color="auto"/>
        <w:bottom w:val="none" w:sz="0" w:space="0" w:color="auto"/>
        <w:right w:val="none" w:sz="0" w:space="0" w:color="auto"/>
      </w:divBdr>
    </w:div>
    <w:div w:id="1322737287">
      <w:bodyDiv w:val="1"/>
      <w:marLeft w:val="0"/>
      <w:marRight w:val="0"/>
      <w:marTop w:val="0"/>
      <w:marBottom w:val="0"/>
      <w:divBdr>
        <w:top w:val="none" w:sz="0" w:space="0" w:color="auto"/>
        <w:left w:val="none" w:sz="0" w:space="0" w:color="auto"/>
        <w:bottom w:val="none" w:sz="0" w:space="0" w:color="auto"/>
        <w:right w:val="none" w:sz="0" w:space="0" w:color="auto"/>
      </w:divBdr>
    </w:div>
    <w:div w:id="1549143810">
      <w:bodyDiv w:val="1"/>
      <w:marLeft w:val="0"/>
      <w:marRight w:val="0"/>
      <w:marTop w:val="0"/>
      <w:marBottom w:val="0"/>
      <w:divBdr>
        <w:top w:val="none" w:sz="0" w:space="0" w:color="auto"/>
        <w:left w:val="none" w:sz="0" w:space="0" w:color="auto"/>
        <w:bottom w:val="none" w:sz="0" w:space="0" w:color="auto"/>
        <w:right w:val="none" w:sz="0" w:space="0" w:color="auto"/>
      </w:divBdr>
    </w:div>
    <w:div w:id="1633244635">
      <w:bodyDiv w:val="1"/>
      <w:marLeft w:val="0"/>
      <w:marRight w:val="0"/>
      <w:marTop w:val="0"/>
      <w:marBottom w:val="0"/>
      <w:divBdr>
        <w:top w:val="none" w:sz="0" w:space="0" w:color="auto"/>
        <w:left w:val="none" w:sz="0" w:space="0" w:color="auto"/>
        <w:bottom w:val="none" w:sz="0" w:space="0" w:color="auto"/>
        <w:right w:val="none" w:sz="0" w:space="0" w:color="auto"/>
      </w:divBdr>
    </w:div>
    <w:div w:id="1686054813">
      <w:bodyDiv w:val="1"/>
      <w:marLeft w:val="0"/>
      <w:marRight w:val="0"/>
      <w:marTop w:val="0"/>
      <w:marBottom w:val="0"/>
      <w:divBdr>
        <w:top w:val="none" w:sz="0" w:space="0" w:color="auto"/>
        <w:left w:val="none" w:sz="0" w:space="0" w:color="auto"/>
        <w:bottom w:val="none" w:sz="0" w:space="0" w:color="auto"/>
        <w:right w:val="none" w:sz="0" w:space="0" w:color="auto"/>
      </w:divBdr>
    </w:div>
    <w:div w:id="1699820114">
      <w:bodyDiv w:val="1"/>
      <w:marLeft w:val="0"/>
      <w:marRight w:val="0"/>
      <w:marTop w:val="0"/>
      <w:marBottom w:val="0"/>
      <w:divBdr>
        <w:top w:val="none" w:sz="0" w:space="0" w:color="auto"/>
        <w:left w:val="none" w:sz="0" w:space="0" w:color="auto"/>
        <w:bottom w:val="none" w:sz="0" w:space="0" w:color="auto"/>
        <w:right w:val="none" w:sz="0" w:space="0" w:color="auto"/>
      </w:divBdr>
    </w:div>
    <w:div w:id="1766801664">
      <w:bodyDiv w:val="1"/>
      <w:marLeft w:val="0"/>
      <w:marRight w:val="0"/>
      <w:marTop w:val="0"/>
      <w:marBottom w:val="0"/>
      <w:divBdr>
        <w:top w:val="none" w:sz="0" w:space="0" w:color="auto"/>
        <w:left w:val="none" w:sz="0" w:space="0" w:color="auto"/>
        <w:bottom w:val="none" w:sz="0" w:space="0" w:color="auto"/>
        <w:right w:val="none" w:sz="0" w:space="0" w:color="auto"/>
      </w:divBdr>
    </w:div>
    <w:div w:id="1840197014">
      <w:bodyDiv w:val="1"/>
      <w:marLeft w:val="0"/>
      <w:marRight w:val="0"/>
      <w:marTop w:val="0"/>
      <w:marBottom w:val="0"/>
      <w:divBdr>
        <w:top w:val="none" w:sz="0" w:space="0" w:color="auto"/>
        <w:left w:val="none" w:sz="0" w:space="0" w:color="auto"/>
        <w:bottom w:val="none" w:sz="0" w:space="0" w:color="auto"/>
        <w:right w:val="none" w:sz="0" w:space="0" w:color="auto"/>
      </w:divBdr>
    </w:div>
    <w:div w:id="1919091572">
      <w:bodyDiv w:val="1"/>
      <w:marLeft w:val="0"/>
      <w:marRight w:val="0"/>
      <w:marTop w:val="0"/>
      <w:marBottom w:val="0"/>
      <w:divBdr>
        <w:top w:val="none" w:sz="0" w:space="0" w:color="auto"/>
        <w:left w:val="none" w:sz="0" w:space="0" w:color="auto"/>
        <w:bottom w:val="none" w:sz="0" w:space="0" w:color="auto"/>
        <w:right w:val="none" w:sz="0" w:space="0" w:color="auto"/>
      </w:divBdr>
    </w:div>
    <w:div w:id="2015452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3.png"/><Relationship Id="rId21" Type="http://schemas.openxmlformats.org/officeDocument/2006/relationships/chart" Target="charts/chart8.xml"/><Relationship Id="rId42" Type="http://schemas.openxmlformats.org/officeDocument/2006/relationships/hyperlink" Target="http://statistici.insse.ro/shop/index.jsp?page=tempo3&amp;lang=ro&amp;ind=AGR101B" TargetMode="External"/><Relationship Id="rId63" Type="http://schemas.openxmlformats.org/officeDocument/2006/relationships/chart" Target="charts/chart14.xml"/><Relationship Id="rId84" Type="http://schemas.openxmlformats.org/officeDocument/2006/relationships/chart" Target="charts/chart17.xml"/><Relationship Id="rId138" Type="http://schemas.openxmlformats.org/officeDocument/2006/relationships/chart" Target="charts/chart61.xml"/><Relationship Id="rId159" Type="http://schemas.openxmlformats.org/officeDocument/2006/relationships/chart" Target="charts/chart77.xml"/><Relationship Id="rId170" Type="http://schemas.openxmlformats.org/officeDocument/2006/relationships/hyperlink" Target="http://www.anpm.ro/web/apm-braila/rapoarte-anuale1/-/asset_publisher/zx0kZaWCbnWT/content/raport-starea-mediului-2011?_101_INSTANCE_zx0kZaWCbnWT_redirect=http%3A%2F%2Fwww.anpm.ro%2Fweb%2Fapm-braila%2Frapoarte-anuale1%3Fp_p_id%3D101_INSTANCE_zx0kZaWCbnWT%26p_p_lifecycle%3D0%26p_p_state%3Dnormal%26p_p_mode%3Dview%26p_p_col_id%3Dcolumn-2%26p_p_col_count%3D1&amp;redirect=http%3A%2F%2Fwww.anpm.ro%2Fweb%2Fapm-braila%2Frapoarte-anuale1%3Fp_p_id%3D101_INSTANCE_zx0kZaWCbnWT%26p_p_lifecycle%3D0%26p_p_state%3Dnormal%26p_p_mode%3Dview%26p_p_col_id%3Dcolumn-2%26p_p_col_count%3D1" TargetMode="External"/><Relationship Id="rId191" Type="http://schemas.openxmlformats.org/officeDocument/2006/relationships/hyperlink" Target="https://www.iarc.fr/en/media-centre/pr/2012/pdfs/pr213_E.pdf" TargetMode="External"/><Relationship Id="rId205" Type="http://schemas.openxmlformats.org/officeDocument/2006/relationships/image" Target="media/image35.png"/><Relationship Id="rId107" Type="http://schemas.openxmlformats.org/officeDocument/2006/relationships/chart" Target="charts/chart35.xml"/><Relationship Id="rId11" Type="http://schemas.openxmlformats.org/officeDocument/2006/relationships/hyperlink" Target="http://www.cjbraila.ro" TargetMode="External"/><Relationship Id="rId32" Type="http://schemas.openxmlformats.org/officeDocument/2006/relationships/hyperlink" Target="http://statistici.insse.ro/shop/" TargetMode="External"/><Relationship Id="rId37" Type="http://schemas.openxmlformats.org/officeDocument/2006/relationships/chart" Target="charts/chart11.xml"/><Relationship Id="rId53" Type="http://schemas.openxmlformats.org/officeDocument/2006/relationships/image" Target="media/image17.png"/><Relationship Id="rId58" Type="http://schemas.openxmlformats.org/officeDocument/2006/relationships/chart" Target="charts/chart13.xml"/><Relationship Id="rId74" Type="http://schemas.openxmlformats.org/officeDocument/2006/relationships/chart" Target="charts/chart15.xml"/><Relationship Id="rId79" Type="http://schemas.openxmlformats.org/officeDocument/2006/relationships/hyperlink" Target="http://www.calitateaer.ro/public/assessment-page/pollutants-page/oxid-azot-page/?__" TargetMode="External"/><Relationship Id="rId102" Type="http://schemas.openxmlformats.org/officeDocument/2006/relationships/chart" Target="charts/chart32.xml"/><Relationship Id="rId123" Type="http://schemas.openxmlformats.org/officeDocument/2006/relationships/chart" Target="charts/chart47.xml"/><Relationship Id="rId128" Type="http://schemas.openxmlformats.org/officeDocument/2006/relationships/chart" Target="charts/chart52.xml"/><Relationship Id="rId144" Type="http://schemas.openxmlformats.org/officeDocument/2006/relationships/header" Target="header8.xml"/><Relationship Id="rId149" Type="http://schemas.openxmlformats.org/officeDocument/2006/relationships/chart" Target="charts/chart67.xml"/><Relationship Id="rId5" Type="http://schemas.openxmlformats.org/officeDocument/2006/relationships/webSettings" Target="webSettings.xml"/><Relationship Id="rId90" Type="http://schemas.openxmlformats.org/officeDocument/2006/relationships/chart" Target="charts/chart23.xml"/><Relationship Id="rId95" Type="http://schemas.openxmlformats.org/officeDocument/2006/relationships/footer" Target="footer5.xml"/><Relationship Id="rId160" Type="http://schemas.openxmlformats.org/officeDocument/2006/relationships/chart" Target="charts/chart78.xml"/><Relationship Id="rId165" Type="http://schemas.openxmlformats.org/officeDocument/2006/relationships/chart" Target="charts/chart83.xml"/><Relationship Id="rId181" Type="http://schemas.openxmlformats.org/officeDocument/2006/relationships/hyperlink" Target="https://media.hotnews.ro/media_server1/document-2015-03-3-19538585-0-raportul-mediu2015.pdf" TargetMode="External"/><Relationship Id="rId186" Type="http://schemas.openxmlformats.org/officeDocument/2006/relationships/hyperlink" Target="http://www.calitateaer.ro/" TargetMode="External"/><Relationship Id="rId211" Type="http://schemas.openxmlformats.org/officeDocument/2006/relationships/fontTable" Target="fontTable.xml"/><Relationship Id="rId22" Type="http://schemas.openxmlformats.org/officeDocument/2006/relationships/chart" Target="charts/chart9.xml"/><Relationship Id="rId27" Type="http://schemas.openxmlformats.org/officeDocument/2006/relationships/hyperlink" Target="https://ro.wikipedia.org/wiki/Lacu_Rezii,_Br%C4%83ila" TargetMode="External"/><Relationship Id="rId43" Type="http://schemas.openxmlformats.org/officeDocument/2006/relationships/image" Target="media/image11.png"/><Relationship Id="rId48" Type="http://schemas.openxmlformats.org/officeDocument/2006/relationships/hyperlink" Target="http://www.anpm.ro/web/apm-braila/reteaua-nationala-de-monitorizare-a-calitatii-aerului/-/asset_publisher/MCtW0ySppoYG/content/reteaua-automata-de-monitorizare-a-calitatii-aerului-in-judetul-braila?_101_INSTANCE_MCtW0ySppoYG_redirect=http%3A%2F%2Fwww.anpm.ro%2Fweb%2Fapm-braila%2Freteaua-nationala-de-monitorizare-a-calitatii-aerului%3Fp_p_id%3D101_INSTANCE_MCtW0ySppoYG%26p_p_lifecycle%3D0%26p_p_state%3Dnormal%26p_p_mode%3Dview%26p_p_col_id%3Dcolumn-2%26p_p_col_count%3D1&amp;redirect=http%3A%2F%2Fwww.anpm.ro%2Fweb%2Fapm-braila%2Freteaua-nationala-de-monitorizare-a-calitatii-aerului%3Fp_p_id%3D101_INSTANCE_MCtW0ySppoYG%26p_p_lifecycle%3D0%26p_p_state%3Dnormal%26p_p_mode%3Dview%26p_p_col_id%3Dcolumn-2%26p_p_col_count%3D1" TargetMode="External"/><Relationship Id="rId64" Type="http://schemas.openxmlformats.org/officeDocument/2006/relationships/hyperlink" Target="http://www.calitateaer.ro" TargetMode="External"/><Relationship Id="rId69" Type="http://schemas.openxmlformats.org/officeDocument/2006/relationships/hyperlink" Target="http://www.calitateaer.ro" TargetMode="External"/><Relationship Id="rId113" Type="http://schemas.openxmlformats.org/officeDocument/2006/relationships/chart" Target="charts/chart41.xml"/><Relationship Id="rId118" Type="http://schemas.openxmlformats.org/officeDocument/2006/relationships/image" Target="media/image24.png"/><Relationship Id="rId134" Type="http://schemas.openxmlformats.org/officeDocument/2006/relationships/chart" Target="charts/chart57.xml"/><Relationship Id="rId139" Type="http://schemas.openxmlformats.org/officeDocument/2006/relationships/chart" Target="charts/chart62.xml"/><Relationship Id="rId80" Type="http://schemas.openxmlformats.org/officeDocument/2006/relationships/hyperlink" Target="http://www.calitateaer.ro/public/assessment-page/pollutants-page/benzen-page/?__" TargetMode="External"/><Relationship Id="rId85" Type="http://schemas.openxmlformats.org/officeDocument/2006/relationships/chart" Target="charts/chart18.xml"/><Relationship Id="rId150" Type="http://schemas.openxmlformats.org/officeDocument/2006/relationships/chart" Target="charts/chart68.xml"/><Relationship Id="rId155" Type="http://schemas.openxmlformats.org/officeDocument/2006/relationships/chart" Target="charts/chart73.xml"/><Relationship Id="rId171" Type="http://schemas.openxmlformats.org/officeDocument/2006/relationships/hyperlink" Target="http://www.anpm.ro/web/apm-braila/rapoarte-anuale1/-/asset_publisher/zx0kZaWCbnWT/content/raport-starea-mediului-2012?_101_INSTANCE_zx0kZaWCbnWT_redirect=http%3A%2F%2Fwww.anpm.ro%2Fweb%2Fapm-braila%2Frapoarte-anuale1%3Fp_p_id%3D101_INSTANCE_zx0kZaWCbnWT%26p_p_lifecycle%3D0%26p_p_state%3Dnormal%26p_p_mode%3Dview%26p_p_col_id%3Dcolumn-2%26p_p_col_count%3D1&amp;redirect=http%3A%2F%2Fwww.anpm.ro%2Fweb%2Fapm-braila%2Frapoarte-anuale1%3Fp_p_id%3D101_INSTANCE_zx0kZaWCbnWT%26p_p_lifecycle%3D0%26p_p_state%3Dnormal%26p_p_mode%3Dview%26p_p_col_id%3Dcolumn-2%26p_p_col_count%3D1" TargetMode="External"/><Relationship Id="rId176" Type="http://schemas.openxmlformats.org/officeDocument/2006/relationships/hyperlink" Target="http://www.anpm.ro/web/apm-braila/calitatea-aerului-inconjurator/-/asset_publisher/DoFtkgbg2SXM/content/program-de-gestionare-a-calitatii-aerului-braila?_101_INSTANCE_DoFtkgbg2SXM_redirect=http%3A%2F%2Fwww.anpm.ro%2Fweb%2Fapm-braila%2Fcalitatea-aerului-inconjurator%3Fp_p_id%3D101_INSTANCE_DoFtkgbg2SXM%26p_p_lifecycle%3D0%26p_p_state%3Dnormal%26p_p_mode%3Dview%26p_p_col_id%3Dcolumn-2%26p_p_col_count%3D1&amp;redirect=http%3A%2F%2Fwww.anpm.ro%2Fweb%2Fapm-braila%2Fcalitatea-aerului-inconjurator%3Fp_p_id%3D101_INSTANCE_DoFtkgbg2SXM%26p_p_lifecycle%3D0%26p_p_state%3Dnormal%26p_p_mode%3Dview%26p_p_col_id%3Dcolumn-2%26p_p_col_count%3D1" TargetMode="External"/><Relationship Id="rId192" Type="http://schemas.openxmlformats.org/officeDocument/2006/relationships/hyperlink" Target="https://www.iarc.fr/en/media-centre/iarcnews/pdf/pr221_E.pdf" TargetMode="External"/><Relationship Id="rId197" Type="http://schemas.openxmlformats.org/officeDocument/2006/relationships/hyperlink" Target="http://www.euro.who.int/__data/assets/pdf_file/0004/193108/REVIHAAP-Final-technical-report.pdf" TargetMode="External"/><Relationship Id="rId206" Type="http://schemas.openxmlformats.org/officeDocument/2006/relationships/image" Target="media/image36.png"/><Relationship Id="rId201" Type="http://schemas.openxmlformats.org/officeDocument/2006/relationships/image" Target="media/image31.png"/><Relationship Id="rId12" Type="http://schemas.openxmlformats.org/officeDocument/2006/relationships/header" Target="header1.xml"/><Relationship Id="rId17" Type="http://schemas.openxmlformats.org/officeDocument/2006/relationships/chart" Target="charts/chart4.xml"/><Relationship Id="rId33" Type="http://schemas.openxmlformats.org/officeDocument/2006/relationships/hyperlink" Target="http://statistici.insse.ro/shop/index.jsp?page=tempo3&amp;lang=ro&amp;ind=POP105A" TargetMode="External"/><Relationship Id="rId38" Type="http://schemas.openxmlformats.org/officeDocument/2006/relationships/image" Target="media/image7.png"/><Relationship Id="rId59" Type="http://schemas.openxmlformats.org/officeDocument/2006/relationships/hyperlink" Target="http://www.calitateaer.ro" TargetMode="External"/><Relationship Id="rId103" Type="http://schemas.openxmlformats.org/officeDocument/2006/relationships/chart" Target="charts/chart33.xml"/><Relationship Id="rId108" Type="http://schemas.openxmlformats.org/officeDocument/2006/relationships/chart" Target="charts/chart36.xml"/><Relationship Id="rId124" Type="http://schemas.openxmlformats.org/officeDocument/2006/relationships/chart" Target="charts/chart48.xml"/><Relationship Id="rId129" Type="http://schemas.openxmlformats.org/officeDocument/2006/relationships/chart" Target="charts/chart53.xml"/><Relationship Id="rId54" Type="http://schemas.openxmlformats.org/officeDocument/2006/relationships/hyperlink" Target="http://statistici.insse.ro/shop/" TargetMode="External"/><Relationship Id="rId70" Type="http://schemas.openxmlformats.org/officeDocument/2006/relationships/hyperlink" Target="http://www.calitateaer.ro" TargetMode="External"/><Relationship Id="rId75" Type="http://schemas.openxmlformats.org/officeDocument/2006/relationships/header" Target="header3.xml"/><Relationship Id="rId91" Type="http://schemas.openxmlformats.org/officeDocument/2006/relationships/chart" Target="charts/chart24.xml"/><Relationship Id="rId96" Type="http://schemas.openxmlformats.org/officeDocument/2006/relationships/chart" Target="charts/chart26.xml"/><Relationship Id="rId140" Type="http://schemas.openxmlformats.org/officeDocument/2006/relationships/header" Target="header7.xml"/><Relationship Id="rId145" Type="http://schemas.openxmlformats.org/officeDocument/2006/relationships/footer" Target="footer8.xml"/><Relationship Id="rId161" Type="http://schemas.openxmlformats.org/officeDocument/2006/relationships/chart" Target="charts/chart79.xml"/><Relationship Id="rId166" Type="http://schemas.openxmlformats.org/officeDocument/2006/relationships/chart" Target="charts/chart84.xml"/><Relationship Id="rId182" Type="http://schemas.openxmlformats.org/officeDocument/2006/relationships/hyperlink" Target="https://www.eea.europa.eu/publications/environment-and-human-health" TargetMode="External"/><Relationship Id="rId187" Type="http://schemas.openxmlformats.org/officeDocument/2006/relationships/hyperlink" Target="http://www.cestrin.ro/"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theme" Target="theme/theme1.xml"/><Relationship Id="rId23" Type="http://schemas.openxmlformats.org/officeDocument/2006/relationships/image" Target="media/image3.png"/><Relationship Id="rId28" Type="http://schemas.openxmlformats.org/officeDocument/2006/relationships/hyperlink" Target="https://ro.wikipedia.org/wiki/M%C4%83ru_Ro%C8%99u,_Br%C4%83ila" TargetMode="External"/><Relationship Id="rId49" Type="http://schemas.openxmlformats.org/officeDocument/2006/relationships/image" Target="media/image13.png"/><Relationship Id="rId114" Type="http://schemas.openxmlformats.org/officeDocument/2006/relationships/chart" Target="charts/chart42.xml"/><Relationship Id="rId119" Type="http://schemas.openxmlformats.org/officeDocument/2006/relationships/image" Target="media/image25.png"/><Relationship Id="rId44" Type="http://schemas.openxmlformats.org/officeDocument/2006/relationships/image" Target="media/image12.png"/><Relationship Id="rId60" Type="http://schemas.openxmlformats.org/officeDocument/2006/relationships/hyperlink" Target="http://www.calitateaer.ro" TargetMode="External"/><Relationship Id="rId65" Type="http://schemas.openxmlformats.org/officeDocument/2006/relationships/hyperlink" Target="http://www.calitateaer.ro" TargetMode="External"/><Relationship Id="rId81" Type="http://schemas.openxmlformats.org/officeDocument/2006/relationships/hyperlink" Target="http://www.calitateaer.ro/public/assessment-page/pollutants-page/dioxid-sulf-page" TargetMode="External"/><Relationship Id="rId86" Type="http://schemas.openxmlformats.org/officeDocument/2006/relationships/chart" Target="charts/chart19.xml"/><Relationship Id="rId130" Type="http://schemas.openxmlformats.org/officeDocument/2006/relationships/image" Target="media/image26.png"/><Relationship Id="rId135" Type="http://schemas.openxmlformats.org/officeDocument/2006/relationships/chart" Target="charts/chart58.xml"/><Relationship Id="rId151" Type="http://schemas.openxmlformats.org/officeDocument/2006/relationships/chart" Target="charts/chart69.xml"/><Relationship Id="rId156" Type="http://schemas.openxmlformats.org/officeDocument/2006/relationships/chart" Target="charts/chart74.xml"/><Relationship Id="rId177" Type="http://schemas.openxmlformats.org/officeDocument/2006/relationships/hyperlink" Target="http://www.anpm.ro/web/apm-braila/rapoarte-de-activitate/-/asset_publisher/sX9AQEQnnRSi/content/raport-de-activitate-al-apm-braila-pe-anul-2015?_101_INSTANCE_sX9AQEQnnRSi_redirect=http%3A%2F%2Fwww.anpm.ro%2Fweb%2Fapm-braila%2Frapoarte-de-activitate%3Fp_p_id%3D101_INSTANCE_sX9AQEQnnRSi%26p_p_lifecycle%3D0%26p_p_state%3Dnormal%26p_p_mode%3Dview%26p_p_col_id%3Dcolumn-2%26p_p_col_count%3D1&amp;redirect=http%3A%2F%2Fwww.anpm.ro%2Fweb%2Fapm-braila%2Frapoarte-de-activitate%3Fp_p_id%3D101_INSTANCE_sX9AQEQnnRSi%26p_p_lifecycle%3D0%26p_p_state%3Dnormal%26p_p_mode%3Dview%26p_p_col_id%3Dcolumn-2%26p_p_col_count%3D1" TargetMode="External"/><Relationship Id="rId198" Type="http://schemas.openxmlformats.org/officeDocument/2006/relationships/image" Target="media/image28.png"/><Relationship Id="rId172" Type="http://schemas.openxmlformats.org/officeDocument/2006/relationships/hyperlink" Target="http://www.anpm.ro/web/apm-braila/rapoarte-anuale1/-/asset_publisher/zx0kZaWCbnWT/content/raport-starea-mediului-2013?_101_INSTANCE_zx0kZaWCbnWT_redirect=http%3A%2F%2Fwww.anpm.ro%2Fweb%2Fapm-braila%2Frapoarte-anuale1%3Fp_p_id%3D101_INSTANCE_zx0kZaWCbnWT%26p_p_lifecycle%3D0%26p_p_state%3Dnormal%26p_p_mode%3Dview%26p_p_col_id%3Dcolumn-2%26p_p_col_count%3D1&amp;redirect=http%3A%2F%2Fwww.anpm.ro%2Fweb%2Fapm-braila%2Frapoarte-anuale1%3Fp_p_id%3D101_INSTANCE_zx0kZaWCbnWT%26p_p_lifecycle%3D0%26p_p_state%3Dnormal%26p_p_mode%3Dview%26p_p_col_id%3Dcolumn-2%26p_p_col_count%3D1" TargetMode="External"/><Relationship Id="rId193" Type="http://schemas.openxmlformats.org/officeDocument/2006/relationships/hyperlink" Target="http://www.recensamantromania.ro/rezultate-2/" TargetMode="External"/><Relationship Id="rId202" Type="http://schemas.openxmlformats.org/officeDocument/2006/relationships/image" Target="media/image32.png"/><Relationship Id="rId207" Type="http://schemas.openxmlformats.org/officeDocument/2006/relationships/image" Target="media/image37.png"/><Relationship Id="rId13" Type="http://schemas.openxmlformats.org/officeDocument/2006/relationships/footer" Target="footer1.xml"/><Relationship Id="rId18" Type="http://schemas.openxmlformats.org/officeDocument/2006/relationships/chart" Target="charts/chart5.xml"/><Relationship Id="rId39" Type="http://schemas.openxmlformats.org/officeDocument/2006/relationships/image" Target="media/image8.png"/><Relationship Id="rId109" Type="http://schemas.openxmlformats.org/officeDocument/2006/relationships/chart" Target="charts/chart37.xml"/><Relationship Id="rId34" Type="http://schemas.openxmlformats.org/officeDocument/2006/relationships/image" Target="media/image5.jpeg"/><Relationship Id="rId50" Type="http://schemas.openxmlformats.org/officeDocument/2006/relationships/image" Target="media/image14.jpeg"/><Relationship Id="rId55" Type="http://schemas.openxmlformats.org/officeDocument/2006/relationships/image" Target="media/image18.png"/><Relationship Id="rId76" Type="http://schemas.openxmlformats.org/officeDocument/2006/relationships/footer" Target="footer3.xml"/><Relationship Id="rId97" Type="http://schemas.openxmlformats.org/officeDocument/2006/relationships/chart" Target="charts/chart27.xml"/><Relationship Id="rId104" Type="http://schemas.openxmlformats.org/officeDocument/2006/relationships/chart" Target="charts/chart34.xml"/><Relationship Id="rId120" Type="http://schemas.openxmlformats.org/officeDocument/2006/relationships/chart" Target="charts/chart44.xml"/><Relationship Id="rId125" Type="http://schemas.openxmlformats.org/officeDocument/2006/relationships/chart" Target="charts/chart49.xml"/><Relationship Id="rId141" Type="http://schemas.openxmlformats.org/officeDocument/2006/relationships/footer" Target="footer7.xml"/><Relationship Id="rId146" Type="http://schemas.openxmlformats.org/officeDocument/2006/relationships/chart" Target="charts/chart64.xml"/><Relationship Id="rId167" Type="http://schemas.openxmlformats.org/officeDocument/2006/relationships/hyperlink" Target="http://www.calitateaer.ro" TargetMode="External"/><Relationship Id="rId188" Type="http://schemas.openxmlformats.org/officeDocument/2006/relationships/hyperlink" Target="http://www.cjbraila.ro/" TargetMode="External"/><Relationship Id="rId7" Type="http://schemas.openxmlformats.org/officeDocument/2006/relationships/endnotes" Target="endnotes.xml"/><Relationship Id="rId71" Type="http://schemas.openxmlformats.org/officeDocument/2006/relationships/hyperlink" Target="http://www.calitateaer.ro" TargetMode="External"/><Relationship Id="rId92" Type="http://schemas.openxmlformats.org/officeDocument/2006/relationships/chart" Target="charts/chart25.xml"/><Relationship Id="rId162" Type="http://schemas.openxmlformats.org/officeDocument/2006/relationships/chart" Target="charts/chart80.xml"/><Relationship Id="rId183" Type="http://schemas.openxmlformats.org/officeDocument/2006/relationships/hyperlink" Target="http://apmbr.anpm.ro/" TargetMode="External"/><Relationship Id="rId2" Type="http://schemas.openxmlformats.org/officeDocument/2006/relationships/numbering" Target="numbering.xml"/><Relationship Id="rId29" Type="http://schemas.openxmlformats.org/officeDocument/2006/relationships/hyperlink" Target="https://ro.wikipedia.org/wiki/Valea_C%C4%83lm%C4%83%C8%9Buiului,_Br%C4%83ila" TargetMode="External"/><Relationship Id="rId24" Type="http://schemas.openxmlformats.org/officeDocument/2006/relationships/image" Target="media/image4.png"/><Relationship Id="rId40" Type="http://schemas.openxmlformats.org/officeDocument/2006/relationships/image" Target="media/image9.png"/><Relationship Id="rId45" Type="http://schemas.openxmlformats.org/officeDocument/2006/relationships/chart" Target="charts/chart12.xml"/><Relationship Id="rId66" Type="http://schemas.openxmlformats.org/officeDocument/2006/relationships/hyperlink" Target="http://www.calitateaer.ro" TargetMode="External"/><Relationship Id="rId87" Type="http://schemas.openxmlformats.org/officeDocument/2006/relationships/chart" Target="charts/chart20.xml"/><Relationship Id="rId110" Type="http://schemas.openxmlformats.org/officeDocument/2006/relationships/chart" Target="charts/chart38.xml"/><Relationship Id="rId115" Type="http://schemas.openxmlformats.org/officeDocument/2006/relationships/chart" Target="charts/chart43.xml"/><Relationship Id="rId131" Type="http://schemas.openxmlformats.org/officeDocument/2006/relationships/chart" Target="charts/chart54.xml"/><Relationship Id="rId136" Type="http://schemas.openxmlformats.org/officeDocument/2006/relationships/chart" Target="charts/chart59.xml"/><Relationship Id="rId157" Type="http://schemas.openxmlformats.org/officeDocument/2006/relationships/chart" Target="charts/chart75.xml"/><Relationship Id="rId178" Type="http://schemas.openxmlformats.org/officeDocument/2006/relationships/hyperlink" Target="http://www.portal-braila.ro/dm/portal.nsf/AllByUNID/0000801E?OpenDocument" TargetMode="External"/><Relationship Id="rId61" Type="http://schemas.openxmlformats.org/officeDocument/2006/relationships/hyperlink" Target="http://www.calitateaer.ro" TargetMode="External"/><Relationship Id="rId82" Type="http://schemas.openxmlformats.org/officeDocument/2006/relationships/hyperlink" Target="http://www.calitateaer.ro/public/assessment-page/pollutants-page/monoxid-carbon-page/?__locale=ro" TargetMode="External"/><Relationship Id="rId152" Type="http://schemas.openxmlformats.org/officeDocument/2006/relationships/chart" Target="charts/chart70.xml"/><Relationship Id="rId173" Type="http://schemas.openxmlformats.org/officeDocument/2006/relationships/hyperlink" Target="http://www.anpm.ro/web/apm-braila/rapoarte-anuale1/-/asset_publisher/zx0kZaWCbnWT/content/raport-starea-mediului-2014?_101_INSTANCE_zx0kZaWCbnWT_redirect=http%3A%2F%2Fwww.anpm.ro%2Fweb%2Fapm-braila%2Frapoarte-anuale1%3Fp_p_id%3D101_INSTANCE_zx0kZaWCbnWT%26p_p_lifecycle%3D0%26p_p_state%3Dnormal%26p_p_mode%3Dview%26p_p_col_id%3Dcolumn-2%26p_p_col_count%3D1&amp;redirect=http%3A%2F%2Fwww.anpm.ro%2Fweb%2Fapm-braila%2Frapoarte-anuale1%3Fp_p_id%3D101_INSTANCE_zx0kZaWCbnWT%26p_p_lifecycle%3D0%26p_p_state%3Dnormal%26p_p_mode%3Dview%26p_p_col_id%3Dcolumn-2%26p_p_col_count%3D1" TargetMode="External"/><Relationship Id="rId194" Type="http://schemas.openxmlformats.org/officeDocument/2006/relationships/hyperlink" Target="http://www.agir.ro/buletine/1622.pdf" TargetMode="External"/><Relationship Id="rId199" Type="http://schemas.openxmlformats.org/officeDocument/2006/relationships/image" Target="media/image29.png"/><Relationship Id="rId203" Type="http://schemas.openxmlformats.org/officeDocument/2006/relationships/image" Target="media/image33.png"/><Relationship Id="rId208" Type="http://schemas.openxmlformats.org/officeDocument/2006/relationships/image" Target="media/image38.png"/><Relationship Id="rId19" Type="http://schemas.openxmlformats.org/officeDocument/2006/relationships/chart" Target="charts/chart6.xml"/><Relationship Id="rId14" Type="http://schemas.openxmlformats.org/officeDocument/2006/relationships/chart" Target="charts/chart1.xml"/><Relationship Id="rId30" Type="http://schemas.openxmlformats.org/officeDocument/2006/relationships/hyperlink" Target="https://ro.wikipedia.org/wiki/Recens%C4%83m%C3%A2ntul_popula%C8%9Biei_din_2011_(Rom%C3%A2nia)" TargetMode="External"/><Relationship Id="rId35" Type="http://schemas.openxmlformats.org/officeDocument/2006/relationships/chart" Target="charts/chart10.xml"/><Relationship Id="rId56" Type="http://schemas.openxmlformats.org/officeDocument/2006/relationships/hyperlink" Target="http://statistici.insse.ro" TargetMode="External"/><Relationship Id="rId77" Type="http://schemas.openxmlformats.org/officeDocument/2006/relationships/header" Target="header4.xml"/><Relationship Id="rId100" Type="http://schemas.openxmlformats.org/officeDocument/2006/relationships/chart" Target="charts/chart30.xml"/><Relationship Id="rId105" Type="http://schemas.openxmlformats.org/officeDocument/2006/relationships/header" Target="header6.xml"/><Relationship Id="rId126" Type="http://schemas.openxmlformats.org/officeDocument/2006/relationships/chart" Target="charts/chart50.xml"/><Relationship Id="rId147" Type="http://schemas.openxmlformats.org/officeDocument/2006/relationships/chart" Target="charts/chart65.xml"/><Relationship Id="rId168" Type="http://schemas.openxmlformats.org/officeDocument/2006/relationships/header" Target="header9.xml"/><Relationship Id="rId8" Type="http://schemas.openxmlformats.org/officeDocument/2006/relationships/image" Target="media/image1.png"/><Relationship Id="rId51" Type="http://schemas.openxmlformats.org/officeDocument/2006/relationships/image" Target="media/image15.jpeg"/><Relationship Id="rId72" Type="http://schemas.openxmlformats.org/officeDocument/2006/relationships/header" Target="header2.xml"/><Relationship Id="rId93" Type="http://schemas.openxmlformats.org/officeDocument/2006/relationships/image" Target="media/image21.png"/><Relationship Id="rId98" Type="http://schemas.openxmlformats.org/officeDocument/2006/relationships/chart" Target="charts/chart28.xml"/><Relationship Id="rId121" Type="http://schemas.openxmlformats.org/officeDocument/2006/relationships/chart" Target="charts/chart45.xml"/><Relationship Id="rId142" Type="http://schemas.openxmlformats.org/officeDocument/2006/relationships/chart" Target="charts/chart63.xml"/><Relationship Id="rId163" Type="http://schemas.openxmlformats.org/officeDocument/2006/relationships/chart" Target="charts/chart81.xml"/><Relationship Id="rId184" Type="http://schemas.openxmlformats.org/officeDocument/2006/relationships/hyperlink" Target="http://www.adrse.ro/" TargetMode="External"/><Relationship Id="rId189" Type="http://schemas.openxmlformats.org/officeDocument/2006/relationships/hyperlink" Target="http://www.meteoromania.ro/" TargetMode="External"/><Relationship Id="rId3" Type="http://schemas.openxmlformats.org/officeDocument/2006/relationships/styles" Target="styles.xml"/><Relationship Id="rId25" Type="http://schemas.openxmlformats.org/officeDocument/2006/relationships/hyperlink" Target="https://ro.wikipedia.org/wiki/Recens%C4%83m%C3%A2ntul_popula%C8%9Biei_din_2011_(Rom%C3%A2nia)" TargetMode="External"/><Relationship Id="rId46" Type="http://schemas.openxmlformats.org/officeDocument/2006/relationships/hyperlink" Target="http://statistici.insse.ro/shop/index.jsp?page=tempo3&amp;lang=ro&amp;ind=POP105A" TargetMode="External"/><Relationship Id="rId67" Type="http://schemas.openxmlformats.org/officeDocument/2006/relationships/hyperlink" Target="http://www.calitateaer.ro" TargetMode="External"/><Relationship Id="rId116" Type="http://schemas.openxmlformats.org/officeDocument/2006/relationships/image" Target="media/image22.png"/><Relationship Id="rId137" Type="http://schemas.openxmlformats.org/officeDocument/2006/relationships/chart" Target="charts/chart60.xml"/><Relationship Id="rId158" Type="http://schemas.openxmlformats.org/officeDocument/2006/relationships/chart" Target="charts/chart76.xml"/><Relationship Id="rId20" Type="http://schemas.openxmlformats.org/officeDocument/2006/relationships/chart" Target="charts/chart7.xml"/><Relationship Id="rId41" Type="http://schemas.openxmlformats.org/officeDocument/2006/relationships/image" Target="media/image10.png"/><Relationship Id="rId62" Type="http://schemas.openxmlformats.org/officeDocument/2006/relationships/hyperlink" Target="http://www.calitateaer.ro" TargetMode="External"/><Relationship Id="rId83" Type="http://schemas.openxmlformats.org/officeDocument/2006/relationships/chart" Target="charts/chart16.xml"/><Relationship Id="rId88" Type="http://schemas.openxmlformats.org/officeDocument/2006/relationships/chart" Target="charts/chart21.xml"/><Relationship Id="rId111" Type="http://schemas.openxmlformats.org/officeDocument/2006/relationships/chart" Target="charts/chart39.xml"/><Relationship Id="rId132" Type="http://schemas.openxmlformats.org/officeDocument/2006/relationships/chart" Target="charts/chart55.xml"/><Relationship Id="rId153" Type="http://schemas.openxmlformats.org/officeDocument/2006/relationships/chart" Target="charts/chart71.xml"/><Relationship Id="rId174" Type="http://schemas.openxmlformats.org/officeDocument/2006/relationships/hyperlink" Target="http://www.anpm.ro/web/apm-braila/rapoarte-anuale1/-/asset_publisher/zx0kZaWCbnWT/content/raport-privind-calitatea-aerului-2015?_101_INSTANCE_zx0kZaWCbnWT_redirect=http%3A%2F%2Fwww.anpm.ro%2Fweb%2Fapm-braila%2Frapoarte-anuale1%3Fp_p_id%3D101_INSTANCE_zx0kZaWCbnWT%26p_p_lifecycle%3D0%26p_p_state%3Dnormal%26p_p_mode%3Dview%26p_p_col_id%3Dcolumn-2%26p_p_col_count%3D1&amp;redirect=http%3A%2F%2Fwww.anpm.ro%2Fweb%2Fapm-braila%2Frapoarte-anuale1%3Fp_p_id%3D101_INSTANCE_zx0kZaWCbnWT%26p_p_lifecycle%3D0%26p_p_state%3Dnormal%26p_p_mode%3Dview%26p_p_col_id%3Dcolumn-2%26p_p_col_count%3D1" TargetMode="External"/><Relationship Id="rId179" Type="http://schemas.openxmlformats.org/officeDocument/2006/relationships/hyperlink" Target="http://www.primariabraila.ro/Documente%20Pdf/AS/PSMU%20Braila.pdf" TargetMode="External"/><Relationship Id="rId195" Type="http://schemas.openxmlformats.org/officeDocument/2006/relationships/hyperlink" Target="http://www.euro.who.int/__data/assets/pdf_file/0006/298482/Health-risk-assessment-air-pollution-General-principles-en.pdf?ua=1" TargetMode="External"/><Relationship Id="rId209" Type="http://schemas.openxmlformats.org/officeDocument/2006/relationships/image" Target="media/image39.png"/><Relationship Id="rId190" Type="http://schemas.openxmlformats.org/officeDocument/2006/relationships/hyperlink" Target="http://www.primariabraila.ro/" TargetMode="External"/><Relationship Id="rId204" Type="http://schemas.openxmlformats.org/officeDocument/2006/relationships/image" Target="media/image34.png"/><Relationship Id="rId15" Type="http://schemas.openxmlformats.org/officeDocument/2006/relationships/chart" Target="charts/chart2.xml"/><Relationship Id="rId36" Type="http://schemas.openxmlformats.org/officeDocument/2006/relationships/image" Target="media/image6.png"/><Relationship Id="rId57" Type="http://schemas.openxmlformats.org/officeDocument/2006/relationships/image" Target="media/image19.jpeg"/><Relationship Id="rId106" Type="http://schemas.openxmlformats.org/officeDocument/2006/relationships/footer" Target="footer6.xml"/><Relationship Id="rId127" Type="http://schemas.openxmlformats.org/officeDocument/2006/relationships/chart" Target="charts/chart51.xml"/><Relationship Id="rId10" Type="http://schemas.openxmlformats.org/officeDocument/2006/relationships/hyperlink" Target="http://www.portal-braila.ro/dm/portal.nsf/AllByUNID/Planului-de-mentinerea-calitatii-aerului--Dezbatere-Publica-00008392?OpenDocument" TargetMode="External"/><Relationship Id="rId31" Type="http://schemas.openxmlformats.org/officeDocument/2006/relationships/hyperlink" Target="https://ro.wikipedia.org/wiki/Recens%C4%83m%C3%A2ntul_popula%C8%9Biei_din_2002_(Rom%C3%A2nia)" TargetMode="External"/><Relationship Id="rId52" Type="http://schemas.openxmlformats.org/officeDocument/2006/relationships/image" Target="media/image16.jpeg"/><Relationship Id="rId73" Type="http://schemas.openxmlformats.org/officeDocument/2006/relationships/footer" Target="footer2.xml"/><Relationship Id="rId78" Type="http://schemas.openxmlformats.org/officeDocument/2006/relationships/footer" Target="footer4.xml"/><Relationship Id="rId94" Type="http://schemas.openxmlformats.org/officeDocument/2006/relationships/header" Target="header5.xml"/><Relationship Id="rId99" Type="http://schemas.openxmlformats.org/officeDocument/2006/relationships/chart" Target="charts/chart29.xml"/><Relationship Id="rId101" Type="http://schemas.openxmlformats.org/officeDocument/2006/relationships/chart" Target="charts/chart31.xml"/><Relationship Id="rId122" Type="http://schemas.openxmlformats.org/officeDocument/2006/relationships/chart" Target="charts/chart46.xml"/><Relationship Id="rId143" Type="http://schemas.openxmlformats.org/officeDocument/2006/relationships/image" Target="media/image27.png"/><Relationship Id="rId148" Type="http://schemas.openxmlformats.org/officeDocument/2006/relationships/chart" Target="charts/chart66.xml"/><Relationship Id="rId164" Type="http://schemas.openxmlformats.org/officeDocument/2006/relationships/chart" Target="charts/chart82.xml"/><Relationship Id="rId169" Type="http://schemas.openxmlformats.org/officeDocument/2006/relationships/footer" Target="footer9.xml"/><Relationship Id="rId185" Type="http://schemas.openxmlformats.org/officeDocument/2006/relationships/hyperlink" Target="http://www.braila.insse.ro/" TargetMode="External"/><Relationship Id="rId4" Type="http://schemas.openxmlformats.org/officeDocument/2006/relationships/settings" Target="settings.xml"/><Relationship Id="rId9" Type="http://schemas.openxmlformats.org/officeDocument/2006/relationships/hyperlink" Target="mailto:consiliu@cjbraila.ro" TargetMode="External"/><Relationship Id="rId180" Type="http://schemas.openxmlformats.org/officeDocument/2006/relationships/hyperlink" Target="https://www.eea.europa.eu/publications/global-megatrends-update-3" TargetMode="External"/><Relationship Id="rId210" Type="http://schemas.openxmlformats.org/officeDocument/2006/relationships/image" Target="media/image40.png"/><Relationship Id="rId26" Type="http://schemas.openxmlformats.org/officeDocument/2006/relationships/hyperlink" Target="https://ro.wikipedia.org/wiki/Recens%C4%83m%C3%A2ntul_popula%C8%9Biei_din_2002_(Rom%C3%A2nia)" TargetMode="External"/><Relationship Id="rId47" Type="http://schemas.openxmlformats.org/officeDocument/2006/relationships/hyperlink" Target="http://www.calitateaer.ro" TargetMode="External"/><Relationship Id="rId68" Type="http://schemas.openxmlformats.org/officeDocument/2006/relationships/hyperlink" Target="http://www.calitateaer.ro" TargetMode="External"/><Relationship Id="rId89" Type="http://schemas.openxmlformats.org/officeDocument/2006/relationships/chart" Target="charts/chart22.xml"/><Relationship Id="rId112" Type="http://schemas.openxmlformats.org/officeDocument/2006/relationships/chart" Target="charts/chart40.xml"/><Relationship Id="rId133" Type="http://schemas.openxmlformats.org/officeDocument/2006/relationships/chart" Target="charts/chart56.xml"/><Relationship Id="rId154" Type="http://schemas.openxmlformats.org/officeDocument/2006/relationships/chart" Target="charts/chart72.xml"/><Relationship Id="rId175" Type="http://schemas.openxmlformats.org/officeDocument/2006/relationships/hyperlink" Target="http://www.anpm.ro/web/apm-braila/rapoarte-anuale1/-/asset_publisher/zx0kZaWCbnWT/content/raport-starea-mediului-2016?_101_INSTANCE_zx0kZaWCbnWT_redirect=http%3A%2F%2Fwww.anpm.ro%2Fweb%2Fapm-braila%2Frapoarte-anuale1%3Fp_p_id%3D101_INSTANCE_zx0kZaWCbnWT%26p_p_lifecycle%3D0%26p_p_state%3Dnormal%26p_p_mode%3Dview%26p_p_col_id%3Dcolumn-2%26p_p_col_count%3D1&amp;redirect=http%3A%2F%2Fwww.anpm.ro%2Fweb%2Fapm-braila%2Frapoarte-anuale1%3Fp_p_id%3D101_INSTANCE_zx0kZaWCbnWT%26p_p_lifecycle%3D0%26p_p_state%3Dnormal%26p_p_mode%3Dview%26p_p_col_id%3Dcolumn-2%26p_p_col_count%3D1" TargetMode="External"/><Relationship Id="rId196" Type="http://schemas.openxmlformats.org/officeDocument/2006/relationships/hyperlink" Target="http://apps.who.int/iris/bitstream/handle/10665/69477/WHO_SDE_PHE_OEH_06.02_eng.pdf;jsessionid=5FF808A734A8EC0781E15502F894269F?sequence=1" TargetMode="External"/><Relationship Id="rId200" Type="http://schemas.openxmlformats.org/officeDocument/2006/relationships/image" Target="media/image30.png"/><Relationship Id="rId16" Type="http://schemas.openxmlformats.org/officeDocument/2006/relationships/chart" Target="charts/chart3.xml"/></Relationships>
</file>

<file path=word/_rels/footnotes.xml.rels><?xml version="1.0" encoding="UTF-8" standalone="yes"?>
<Relationships xmlns="http://schemas.openxmlformats.org/package/2006/relationships"><Relationship Id="rId1" Type="http://schemas.openxmlformats.org/officeDocument/2006/relationships/hyperlink" Target="https://web.archive.org/web/20071102135620/http://pandora.meng.auth.gr/mds/strquery.php?wholedb"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0.png"/></Relationships>
</file>

<file path=word/_rels/header4.xml.rels><?xml version="1.0" encoding="UTF-8" standalone="yes"?>
<Relationships xmlns="http://schemas.openxmlformats.org/package/2006/relationships"><Relationship Id="rId1" Type="http://schemas.openxmlformats.org/officeDocument/2006/relationships/image" Target="media/image20.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0.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1.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2.xml"/></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3.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4.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5.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6.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17.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18.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19.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20.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21.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22.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23.xml"/></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24.xm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25.xml"/></Relationships>
</file>

<file path=word/charts/_rels/chart29.xml.rels><?xml version="1.0" encoding="UTF-8" standalone="yes"?>
<Relationships xmlns="http://schemas.openxmlformats.org/package/2006/relationships"><Relationship Id="rId2" Type="http://schemas.openxmlformats.org/officeDocument/2006/relationships/package" Target="../embeddings/Microsoft_Excel_Worksheet28.xlsx"/><Relationship Id="rId1" Type="http://schemas.openxmlformats.org/officeDocument/2006/relationships/themeOverride" Target="../theme/themeOverride26.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package" Target="../embeddings/Microsoft_Excel_Worksheet29.xlsx"/><Relationship Id="rId1" Type="http://schemas.openxmlformats.org/officeDocument/2006/relationships/themeOverride" Target="../theme/themeOverride27.xml"/></Relationships>
</file>

<file path=word/charts/_rels/chart31.xml.rels><?xml version="1.0" encoding="UTF-8" standalone="yes"?>
<Relationships xmlns="http://schemas.openxmlformats.org/package/2006/relationships"><Relationship Id="rId2" Type="http://schemas.openxmlformats.org/officeDocument/2006/relationships/package" Target="../embeddings/Microsoft_Excel_Worksheet30.xlsx"/><Relationship Id="rId1" Type="http://schemas.openxmlformats.org/officeDocument/2006/relationships/themeOverride" Target="../theme/themeOverride28.xml"/></Relationships>
</file>

<file path=word/charts/_rels/chart32.xml.rels><?xml version="1.0" encoding="UTF-8" standalone="yes"?>
<Relationships xmlns="http://schemas.openxmlformats.org/package/2006/relationships"><Relationship Id="rId2" Type="http://schemas.openxmlformats.org/officeDocument/2006/relationships/package" Target="../embeddings/Microsoft_Excel_Worksheet31.xlsx"/><Relationship Id="rId1" Type="http://schemas.openxmlformats.org/officeDocument/2006/relationships/themeOverride" Target="../theme/themeOverride29.xml"/></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32.xlsx"/><Relationship Id="rId1" Type="http://schemas.openxmlformats.org/officeDocument/2006/relationships/themeOverride" Target="../theme/themeOverride30.xml"/></Relationships>
</file>

<file path=word/charts/_rels/chart34.xml.rels><?xml version="1.0" encoding="UTF-8" standalone="yes"?>
<Relationships xmlns="http://schemas.openxmlformats.org/package/2006/relationships"><Relationship Id="rId2" Type="http://schemas.openxmlformats.org/officeDocument/2006/relationships/package" Target="../embeddings/Microsoft_Excel_Worksheet33.xlsx"/><Relationship Id="rId1" Type="http://schemas.openxmlformats.org/officeDocument/2006/relationships/themeOverride" Target="../theme/themeOverride31.xml"/></Relationships>
</file>

<file path=word/charts/_rels/chart35.xml.rels><?xml version="1.0" encoding="UTF-8" standalone="yes"?>
<Relationships xmlns="http://schemas.openxmlformats.org/package/2006/relationships"><Relationship Id="rId2" Type="http://schemas.openxmlformats.org/officeDocument/2006/relationships/package" Target="../embeddings/Microsoft_Excel_Worksheet34.xlsx"/><Relationship Id="rId1" Type="http://schemas.openxmlformats.org/officeDocument/2006/relationships/themeOverride" Target="../theme/themeOverride32.xml"/></Relationships>
</file>

<file path=word/charts/_rels/chart36.xml.rels><?xml version="1.0" encoding="UTF-8" standalone="yes"?>
<Relationships xmlns="http://schemas.openxmlformats.org/package/2006/relationships"><Relationship Id="rId2" Type="http://schemas.openxmlformats.org/officeDocument/2006/relationships/package" Target="../embeddings/Microsoft_Excel_Worksheet35.xlsx"/><Relationship Id="rId1" Type="http://schemas.openxmlformats.org/officeDocument/2006/relationships/themeOverride" Target="../theme/themeOverride33.xml"/></Relationships>
</file>

<file path=word/charts/_rels/chart37.xml.rels><?xml version="1.0" encoding="UTF-8" standalone="yes"?>
<Relationships xmlns="http://schemas.openxmlformats.org/package/2006/relationships"><Relationship Id="rId2" Type="http://schemas.openxmlformats.org/officeDocument/2006/relationships/package" Target="../embeddings/Microsoft_Excel_Worksheet36.xlsx"/><Relationship Id="rId1" Type="http://schemas.openxmlformats.org/officeDocument/2006/relationships/themeOverride" Target="../theme/themeOverride34.xml"/></Relationships>
</file>

<file path=word/charts/_rels/chart38.xml.rels><?xml version="1.0" encoding="UTF-8" standalone="yes"?>
<Relationships xmlns="http://schemas.openxmlformats.org/package/2006/relationships"><Relationship Id="rId2" Type="http://schemas.openxmlformats.org/officeDocument/2006/relationships/package" Target="../embeddings/Microsoft_Excel_Worksheet37.xlsx"/><Relationship Id="rId1" Type="http://schemas.openxmlformats.org/officeDocument/2006/relationships/themeOverride" Target="../theme/themeOverride35.xml"/></Relationships>
</file>

<file path=word/charts/_rels/chart39.xml.rels><?xml version="1.0" encoding="UTF-8" standalone="yes"?>
<Relationships xmlns="http://schemas.openxmlformats.org/package/2006/relationships"><Relationship Id="rId2" Type="http://schemas.openxmlformats.org/officeDocument/2006/relationships/package" Target="../embeddings/Microsoft_Excel_Worksheet38.xlsx"/><Relationship Id="rId1" Type="http://schemas.openxmlformats.org/officeDocument/2006/relationships/themeOverride" Target="../theme/themeOverride36.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2" Type="http://schemas.openxmlformats.org/officeDocument/2006/relationships/package" Target="../embeddings/Microsoft_Excel_Worksheet39.xlsx"/><Relationship Id="rId1" Type="http://schemas.openxmlformats.org/officeDocument/2006/relationships/themeOverride" Target="../theme/themeOverride37.xml"/></Relationships>
</file>

<file path=word/charts/_rels/chart41.xml.rels><?xml version="1.0" encoding="UTF-8" standalone="yes"?>
<Relationships xmlns="http://schemas.openxmlformats.org/package/2006/relationships"><Relationship Id="rId2" Type="http://schemas.openxmlformats.org/officeDocument/2006/relationships/package" Target="../embeddings/Microsoft_Excel_Worksheet40.xlsx"/><Relationship Id="rId1" Type="http://schemas.openxmlformats.org/officeDocument/2006/relationships/themeOverride" Target="../theme/themeOverride38.xml"/></Relationships>
</file>

<file path=word/charts/_rels/chart42.xml.rels><?xml version="1.0" encoding="UTF-8" standalone="yes"?>
<Relationships xmlns="http://schemas.openxmlformats.org/package/2006/relationships"><Relationship Id="rId2" Type="http://schemas.openxmlformats.org/officeDocument/2006/relationships/package" Target="../embeddings/Microsoft_Excel_Worksheet41.xlsx"/><Relationship Id="rId1" Type="http://schemas.openxmlformats.org/officeDocument/2006/relationships/themeOverride" Target="../theme/themeOverride39.xml"/></Relationships>
</file>

<file path=word/charts/_rels/chart43.xml.rels><?xml version="1.0" encoding="UTF-8" standalone="yes"?>
<Relationships xmlns="http://schemas.openxmlformats.org/package/2006/relationships"><Relationship Id="rId2" Type="http://schemas.openxmlformats.org/officeDocument/2006/relationships/package" Target="../embeddings/Microsoft_Excel_Worksheet42.xlsx"/><Relationship Id="rId1" Type="http://schemas.openxmlformats.org/officeDocument/2006/relationships/themeOverride" Target="../theme/themeOverride40.xml"/></Relationships>
</file>

<file path=word/charts/_rels/chart44.xml.rels><?xml version="1.0" encoding="UTF-8" standalone="yes"?>
<Relationships xmlns="http://schemas.openxmlformats.org/package/2006/relationships"><Relationship Id="rId2" Type="http://schemas.openxmlformats.org/officeDocument/2006/relationships/package" Target="../embeddings/Microsoft_Excel_Worksheet43.xlsx"/><Relationship Id="rId1" Type="http://schemas.openxmlformats.org/officeDocument/2006/relationships/themeOverride" Target="../theme/themeOverride41.xml"/></Relationships>
</file>

<file path=word/charts/_rels/chart45.xml.rels><?xml version="1.0" encoding="UTF-8" standalone="yes"?>
<Relationships xmlns="http://schemas.openxmlformats.org/package/2006/relationships"><Relationship Id="rId2" Type="http://schemas.openxmlformats.org/officeDocument/2006/relationships/package" Target="../embeddings/Microsoft_Excel_Worksheet44.xlsx"/><Relationship Id="rId1" Type="http://schemas.openxmlformats.org/officeDocument/2006/relationships/themeOverride" Target="../theme/themeOverride42.xml"/></Relationships>
</file>

<file path=word/charts/_rels/chart46.xml.rels><?xml version="1.0" encoding="UTF-8" standalone="yes"?>
<Relationships xmlns="http://schemas.openxmlformats.org/package/2006/relationships"><Relationship Id="rId2" Type="http://schemas.openxmlformats.org/officeDocument/2006/relationships/package" Target="../embeddings/Microsoft_Excel_Worksheet45.xlsx"/><Relationship Id="rId1" Type="http://schemas.openxmlformats.org/officeDocument/2006/relationships/themeOverride" Target="../theme/themeOverride43.xml"/></Relationships>
</file>

<file path=word/charts/_rels/chart47.xml.rels><?xml version="1.0" encoding="UTF-8" standalone="yes"?>
<Relationships xmlns="http://schemas.openxmlformats.org/package/2006/relationships"><Relationship Id="rId2" Type="http://schemas.openxmlformats.org/officeDocument/2006/relationships/package" Target="../embeddings/Microsoft_Excel_Worksheet46.xlsx"/><Relationship Id="rId1" Type="http://schemas.openxmlformats.org/officeDocument/2006/relationships/themeOverride" Target="../theme/themeOverride44.xml"/></Relationships>
</file>

<file path=word/charts/_rels/chart48.xml.rels><?xml version="1.0" encoding="UTF-8" standalone="yes"?>
<Relationships xmlns="http://schemas.openxmlformats.org/package/2006/relationships"><Relationship Id="rId2" Type="http://schemas.openxmlformats.org/officeDocument/2006/relationships/package" Target="../embeddings/Microsoft_Excel_Worksheet47.xlsx"/><Relationship Id="rId1" Type="http://schemas.openxmlformats.org/officeDocument/2006/relationships/themeOverride" Target="../theme/themeOverride45.xml"/></Relationships>
</file>

<file path=word/charts/_rels/chart49.xml.rels><?xml version="1.0" encoding="UTF-8" standalone="yes"?>
<Relationships xmlns="http://schemas.openxmlformats.org/package/2006/relationships"><Relationship Id="rId2" Type="http://schemas.openxmlformats.org/officeDocument/2006/relationships/package" Target="../embeddings/Microsoft_Excel_Worksheet48.xlsx"/><Relationship Id="rId1" Type="http://schemas.openxmlformats.org/officeDocument/2006/relationships/themeOverride" Target="../theme/themeOverride46.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50.xml.rels><?xml version="1.0" encoding="UTF-8" standalone="yes"?>
<Relationships xmlns="http://schemas.openxmlformats.org/package/2006/relationships"><Relationship Id="rId2" Type="http://schemas.openxmlformats.org/officeDocument/2006/relationships/package" Target="../embeddings/Microsoft_Excel_Worksheet49.xlsx"/><Relationship Id="rId1" Type="http://schemas.openxmlformats.org/officeDocument/2006/relationships/themeOverride" Target="../theme/themeOverride47.xml"/></Relationships>
</file>

<file path=word/charts/_rels/chart51.xml.rels><?xml version="1.0" encoding="UTF-8" standalone="yes"?>
<Relationships xmlns="http://schemas.openxmlformats.org/package/2006/relationships"><Relationship Id="rId2" Type="http://schemas.openxmlformats.org/officeDocument/2006/relationships/package" Target="../embeddings/Microsoft_Excel_Worksheet50.xlsx"/><Relationship Id="rId1" Type="http://schemas.openxmlformats.org/officeDocument/2006/relationships/themeOverride" Target="../theme/themeOverride48.xml"/></Relationships>
</file>

<file path=word/charts/_rels/chart52.xml.rels><?xml version="1.0" encoding="UTF-8" standalone="yes"?>
<Relationships xmlns="http://schemas.openxmlformats.org/package/2006/relationships"><Relationship Id="rId2" Type="http://schemas.openxmlformats.org/officeDocument/2006/relationships/package" Target="../embeddings/Microsoft_Excel_Worksheet51.xlsx"/><Relationship Id="rId1" Type="http://schemas.openxmlformats.org/officeDocument/2006/relationships/themeOverride" Target="../theme/themeOverride49.xml"/></Relationships>
</file>

<file path=word/charts/_rels/chart53.xml.rels><?xml version="1.0" encoding="UTF-8" standalone="yes"?>
<Relationships xmlns="http://schemas.openxmlformats.org/package/2006/relationships"><Relationship Id="rId2" Type="http://schemas.openxmlformats.org/officeDocument/2006/relationships/package" Target="../embeddings/Microsoft_Excel_Worksheet52.xlsx"/><Relationship Id="rId1" Type="http://schemas.openxmlformats.org/officeDocument/2006/relationships/themeOverride" Target="../theme/themeOverride50.xml"/></Relationships>
</file>

<file path=word/charts/_rels/chart54.xml.rels><?xml version="1.0" encoding="UTF-8" standalone="yes"?>
<Relationships xmlns="http://schemas.openxmlformats.org/package/2006/relationships"><Relationship Id="rId2" Type="http://schemas.openxmlformats.org/officeDocument/2006/relationships/package" Target="../embeddings/Microsoft_Excel_Worksheet53.xlsx"/><Relationship Id="rId1" Type="http://schemas.openxmlformats.org/officeDocument/2006/relationships/themeOverride" Target="../theme/themeOverride51.xml"/></Relationships>
</file>

<file path=word/charts/_rels/chart55.xml.rels><?xml version="1.0" encoding="UTF-8" standalone="yes"?>
<Relationships xmlns="http://schemas.openxmlformats.org/package/2006/relationships"><Relationship Id="rId2" Type="http://schemas.openxmlformats.org/officeDocument/2006/relationships/package" Target="../embeddings/Microsoft_Excel_Worksheet54.xlsx"/><Relationship Id="rId1" Type="http://schemas.openxmlformats.org/officeDocument/2006/relationships/themeOverride" Target="../theme/themeOverride52.xml"/></Relationships>
</file>

<file path=word/charts/_rels/chart56.xml.rels><?xml version="1.0" encoding="UTF-8" standalone="yes"?>
<Relationships xmlns="http://schemas.openxmlformats.org/package/2006/relationships"><Relationship Id="rId2" Type="http://schemas.openxmlformats.org/officeDocument/2006/relationships/package" Target="../embeddings/Microsoft_Excel_Worksheet55.xlsx"/><Relationship Id="rId1" Type="http://schemas.openxmlformats.org/officeDocument/2006/relationships/themeOverride" Target="../theme/themeOverride53.xml"/></Relationships>
</file>

<file path=word/charts/_rels/chart57.xml.rels><?xml version="1.0" encoding="UTF-8" standalone="yes"?>
<Relationships xmlns="http://schemas.openxmlformats.org/package/2006/relationships"><Relationship Id="rId2" Type="http://schemas.openxmlformats.org/officeDocument/2006/relationships/package" Target="../embeddings/Microsoft_Excel_Worksheet56.xlsx"/><Relationship Id="rId1" Type="http://schemas.openxmlformats.org/officeDocument/2006/relationships/themeOverride" Target="../theme/themeOverride54.xml"/></Relationships>
</file>

<file path=word/charts/_rels/chart58.xml.rels><?xml version="1.0" encoding="UTF-8" standalone="yes"?>
<Relationships xmlns="http://schemas.openxmlformats.org/package/2006/relationships"><Relationship Id="rId2" Type="http://schemas.openxmlformats.org/officeDocument/2006/relationships/package" Target="../embeddings/Microsoft_Excel_Worksheet57.xlsx"/><Relationship Id="rId1" Type="http://schemas.openxmlformats.org/officeDocument/2006/relationships/themeOverride" Target="../theme/themeOverride55.xml"/></Relationships>
</file>

<file path=word/charts/_rels/chart59.xml.rels><?xml version="1.0" encoding="UTF-8" standalone="yes"?>
<Relationships xmlns="http://schemas.openxmlformats.org/package/2006/relationships"><Relationship Id="rId2" Type="http://schemas.openxmlformats.org/officeDocument/2006/relationships/package" Target="../embeddings/Microsoft_Excel_Worksheet58.xlsx"/><Relationship Id="rId1" Type="http://schemas.openxmlformats.org/officeDocument/2006/relationships/themeOverride" Target="../theme/themeOverride56.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60.xml.rels><?xml version="1.0" encoding="UTF-8" standalone="yes"?>
<Relationships xmlns="http://schemas.openxmlformats.org/package/2006/relationships"><Relationship Id="rId2" Type="http://schemas.openxmlformats.org/officeDocument/2006/relationships/package" Target="../embeddings/Microsoft_Excel_Worksheet59.xlsx"/><Relationship Id="rId1" Type="http://schemas.openxmlformats.org/officeDocument/2006/relationships/themeOverride" Target="../theme/themeOverride57.xml"/></Relationships>
</file>

<file path=word/charts/_rels/chart61.xml.rels><?xml version="1.0" encoding="UTF-8" standalone="yes"?>
<Relationships xmlns="http://schemas.openxmlformats.org/package/2006/relationships"><Relationship Id="rId2" Type="http://schemas.openxmlformats.org/officeDocument/2006/relationships/package" Target="../embeddings/Microsoft_Excel_Worksheet60.xlsx"/><Relationship Id="rId1" Type="http://schemas.openxmlformats.org/officeDocument/2006/relationships/themeOverride" Target="../theme/themeOverride58.xml"/></Relationships>
</file>

<file path=word/charts/_rels/chart62.xml.rels><?xml version="1.0" encoding="UTF-8" standalone="yes"?>
<Relationships xmlns="http://schemas.openxmlformats.org/package/2006/relationships"><Relationship Id="rId2" Type="http://schemas.openxmlformats.org/officeDocument/2006/relationships/package" Target="../embeddings/Microsoft_Excel_Worksheet61.xlsx"/><Relationship Id="rId1" Type="http://schemas.openxmlformats.org/officeDocument/2006/relationships/themeOverride" Target="../theme/themeOverride59.xml"/></Relationships>
</file>

<file path=word/charts/_rels/chart63.xml.rels><?xml version="1.0" encoding="UTF-8" standalone="yes"?>
<Relationships xmlns="http://schemas.openxmlformats.org/package/2006/relationships"><Relationship Id="rId2" Type="http://schemas.openxmlformats.org/officeDocument/2006/relationships/package" Target="../embeddings/Microsoft_Excel_Worksheet62.xlsx"/><Relationship Id="rId1" Type="http://schemas.openxmlformats.org/officeDocument/2006/relationships/themeOverride" Target="../theme/themeOverride60.xml"/></Relationships>
</file>

<file path=word/charts/_rels/chart64.xml.rels><?xml version="1.0" encoding="UTF-8" standalone="yes"?>
<Relationships xmlns="http://schemas.openxmlformats.org/package/2006/relationships"><Relationship Id="rId2" Type="http://schemas.openxmlformats.org/officeDocument/2006/relationships/package" Target="../embeddings/Microsoft_Excel_Worksheet63.xlsx"/><Relationship Id="rId1" Type="http://schemas.openxmlformats.org/officeDocument/2006/relationships/themeOverride" Target="../theme/themeOverride61.xml"/></Relationships>
</file>

<file path=word/charts/_rels/chart65.xml.rels><?xml version="1.0" encoding="UTF-8" standalone="yes"?>
<Relationships xmlns="http://schemas.openxmlformats.org/package/2006/relationships"><Relationship Id="rId2" Type="http://schemas.openxmlformats.org/officeDocument/2006/relationships/package" Target="../embeddings/Microsoft_Excel_Worksheet64.xlsx"/><Relationship Id="rId1" Type="http://schemas.openxmlformats.org/officeDocument/2006/relationships/themeOverride" Target="../theme/themeOverride62.xml"/></Relationships>
</file>

<file path=word/charts/_rels/chart66.xml.rels><?xml version="1.0" encoding="UTF-8" standalone="yes"?>
<Relationships xmlns="http://schemas.openxmlformats.org/package/2006/relationships"><Relationship Id="rId2" Type="http://schemas.openxmlformats.org/officeDocument/2006/relationships/package" Target="../embeddings/Microsoft_Excel_Worksheet65.xlsx"/><Relationship Id="rId1" Type="http://schemas.openxmlformats.org/officeDocument/2006/relationships/themeOverride" Target="../theme/themeOverride63.xml"/></Relationships>
</file>

<file path=word/charts/_rels/chart67.xml.rels><?xml version="1.0" encoding="UTF-8" standalone="yes"?>
<Relationships xmlns="http://schemas.openxmlformats.org/package/2006/relationships"><Relationship Id="rId2" Type="http://schemas.openxmlformats.org/officeDocument/2006/relationships/package" Target="../embeddings/Microsoft_Excel_Worksheet66.xlsx"/><Relationship Id="rId1" Type="http://schemas.openxmlformats.org/officeDocument/2006/relationships/themeOverride" Target="../theme/themeOverride64.xml"/></Relationships>
</file>

<file path=word/charts/_rels/chart68.xml.rels><?xml version="1.0" encoding="UTF-8" standalone="yes"?>
<Relationships xmlns="http://schemas.openxmlformats.org/package/2006/relationships"><Relationship Id="rId2" Type="http://schemas.openxmlformats.org/officeDocument/2006/relationships/package" Target="../embeddings/Microsoft_Excel_Worksheet67.xlsx"/><Relationship Id="rId1" Type="http://schemas.openxmlformats.org/officeDocument/2006/relationships/themeOverride" Target="../theme/themeOverride65.xml"/></Relationships>
</file>

<file path=word/charts/_rels/chart69.xml.rels><?xml version="1.0" encoding="UTF-8" standalone="yes"?>
<Relationships xmlns="http://schemas.openxmlformats.org/package/2006/relationships"><Relationship Id="rId2" Type="http://schemas.openxmlformats.org/officeDocument/2006/relationships/package" Target="../embeddings/Microsoft_Excel_Worksheet68.xlsx"/><Relationship Id="rId1" Type="http://schemas.openxmlformats.org/officeDocument/2006/relationships/themeOverride" Target="../theme/themeOverride6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70.xml.rels><?xml version="1.0" encoding="UTF-8" standalone="yes"?>
<Relationships xmlns="http://schemas.openxmlformats.org/package/2006/relationships"><Relationship Id="rId2" Type="http://schemas.openxmlformats.org/officeDocument/2006/relationships/package" Target="../embeddings/Microsoft_Excel_Worksheet69.xlsx"/><Relationship Id="rId1" Type="http://schemas.openxmlformats.org/officeDocument/2006/relationships/themeOverride" Target="../theme/themeOverride67.xml"/></Relationships>
</file>

<file path=word/charts/_rels/chart71.xml.rels><?xml version="1.0" encoding="UTF-8" standalone="yes"?>
<Relationships xmlns="http://schemas.openxmlformats.org/package/2006/relationships"><Relationship Id="rId2" Type="http://schemas.openxmlformats.org/officeDocument/2006/relationships/package" Target="../embeddings/Microsoft_Excel_Worksheet70.xlsx"/><Relationship Id="rId1" Type="http://schemas.openxmlformats.org/officeDocument/2006/relationships/themeOverride" Target="../theme/themeOverride68.xml"/></Relationships>
</file>

<file path=word/charts/_rels/chart72.xml.rels><?xml version="1.0" encoding="UTF-8" standalone="yes"?>
<Relationships xmlns="http://schemas.openxmlformats.org/package/2006/relationships"><Relationship Id="rId2" Type="http://schemas.openxmlformats.org/officeDocument/2006/relationships/package" Target="../embeddings/Microsoft_Excel_Worksheet71.xlsx"/><Relationship Id="rId1" Type="http://schemas.openxmlformats.org/officeDocument/2006/relationships/themeOverride" Target="../theme/themeOverride69.xml"/></Relationships>
</file>

<file path=word/charts/_rels/chart73.xml.rels><?xml version="1.0" encoding="UTF-8" standalone="yes"?>
<Relationships xmlns="http://schemas.openxmlformats.org/package/2006/relationships"><Relationship Id="rId2" Type="http://schemas.openxmlformats.org/officeDocument/2006/relationships/package" Target="../embeddings/Microsoft_Excel_Worksheet72.xlsx"/><Relationship Id="rId1" Type="http://schemas.openxmlformats.org/officeDocument/2006/relationships/themeOverride" Target="../theme/themeOverride70.xml"/></Relationships>
</file>

<file path=word/charts/_rels/chart74.xml.rels><?xml version="1.0" encoding="UTF-8" standalone="yes"?>
<Relationships xmlns="http://schemas.openxmlformats.org/package/2006/relationships"><Relationship Id="rId2" Type="http://schemas.openxmlformats.org/officeDocument/2006/relationships/package" Target="../embeddings/Microsoft_Excel_Worksheet73.xlsx"/><Relationship Id="rId1" Type="http://schemas.openxmlformats.org/officeDocument/2006/relationships/themeOverride" Target="../theme/themeOverride71.xml"/></Relationships>
</file>

<file path=word/charts/_rels/chart75.xml.rels><?xml version="1.0" encoding="UTF-8" standalone="yes"?>
<Relationships xmlns="http://schemas.openxmlformats.org/package/2006/relationships"><Relationship Id="rId2" Type="http://schemas.openxmlformats.org/officeDocument/2006/relationships/package" Target="../embeddings/Microsoft_Excel_Worksheet74.xlsx"/><Relationship Id="rId1" Type="http://schemas.openxmlformats.org/officeDocument/2006/relationships/themeOverride" Target="../theme/themeOverride72.xml"/></Relationships>
</file>

<file path=word/charts/_rels/chart76.xml.rels><?xml version="1.0" encoding="UTF-8" standalone="yes"?>
<Relationships xmlns="http://schemas.openxmlformats.org/package/2006/relationships"><Relationship Id="rId2" Type="http://schemas.openxmlformats.org/officeDocument/2006/relationships/package" Target="../embeddings/Microsoft_Excel_Worksheet75.xlsx"/><Relationship Id="rId1" Type="http://schemas.openxmlformats.org/officeDocument/2006/relationships/themeOverride" Target="../theme/themeOverride73.xml"/></Relationships>
</file>

<file path=word/charts/_rels/chart77.xml.rels><?xml version="1.0" encoding="UTF-8" standalone="yes"?>
<Relationships xmlns="http://schemas.openxmlformats.org/package/2006/relationships"><Relationship Id="rId2" Type="http://schemas.openxmlformats.org/officeDocument/2006/relationships/package" Target="../embeddings/Microsoft_Excel_Worksheet76.xlsx"/><Relationship Id="rId1" Type="http://schemas.openxmlformats.org/officeDocument/2006/relationships/themeOverride" Target="../theme/themeOverride74.xml"/></Relationships>
</file>

<file path=word/charts/_rels/chart78.xml.rels><?xml version="1.0" encoding="UTF-8" standalone="yes"?>
<Relationships xmlns="http://schemas.openxmlformats.org/package/2006/relationships"><Relationship Id="rId2" Type="http://schemas.openxmlformats.org/officeDocument/2006/relationships/package" Target="../embeddings/Microsoft_Excel_Worksheet77.xlsx"/><Relationship Id="rId1" Type="http://schemas.openxmlformats.org/officeDocument/2006/relationships/themeOverride" Target="../theme/themeOverride75.xml"/></Relationships>
</file>

<file path=word/charts/_rels/chart79.xml.rels><?xml version="1.0" encoding="UTF-8" standalone="yes"?>
<Relationships xmlns="http://schemas.openxmlformats.org/package/2006/relationships"><Relationship Id="rId2" Type="http://schemas.openxmlformats.org/officeDocument/2006/relationships/package" Target="../embeddings/Microsoft_Excel_Worksheet78.xlsx"/><Relationship Id="rId1" Type="http://schemas.openxmlformats.org/officeDocument/2006/relationships/themeOverride" Target="../theme/themeOverride76.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80.xml.rels><?xml version="1.0" encoding="UTF-8" standalone="yes"?>
<Relationships xmlns="http://schemas.openxmlformats.org/package/2006/relationships"><Relationship Id="rId2" Type="http://schemas.openxmlformats.org/officeDocument/2006/relationships/package" Target="../embeddings/Microsoft_Excel_Worksheet79.xlsx"/><Relationship Id="rId1" Type="http://schemas.openxmlformats.org/officeDocument/2006/relationships/themeOverride" Target="../theme/themeOverride77.xml"/></Relationships>
</file>

<file path=word/charts/_rels/chart81.xml.rels><?xml version="1.0" encoding="UTF-8" standalone="yes"?>
<Relationships xmlns="http://schemas.openxmlformats.org/package/2006/relationships"><Relationship Id="rId2" Type="http://schemas.openxmlformats.org/officeDocument/2006/relationships/package" Target="../embeddings/Microsoft_Excel_Worksheet80.xlsx"/><Relationship Id="rId1" Type="http://schemas.openxmlformats.org/officeDocument/2006/relationships/themeOverride" Target="../theme/themeOverride78.xml"/></Relationships>
</file>

<file path=word/charts/_rels/chart82.xml.rels><?xml version="1.0" encoding="UTF-8" standalone="yes"?>
<Relationships xmlns="http://schemas.openxmlformats.org/package/2006/relationships"><Relationship Id="rId2" Type="http://schemas.openxmlformats.org/officeDocument/2006/relationships/package" Target="../embeddings/Microsoft_Excel_Worksheet81.xlsx"/><Relationship Id="rId1" Type="http://schemas.openxmlformats.org/officeDocument/2006/relationships/themeOverride" Target="../theme/themeOverride79.xml"/></Relationships>
</file>

<file path=word/charts/_rels/chart83.xml.rels><?xml version="1.0" encoding="UTF-8" standalone="yes"?>
<Relationships xmlns="http://schemas.openxmlformats.org/package/2006/relationships"><Relationship Id="rId2" Type="http://schemas.openxmlformats.org/officeDocument/2006/relationships/package" Target="../embeddings/Microsoft_Excel_Worksheet82.xlsx"/><Relationship Id="rId1" Type="http://schemas.openxmlformats.org/officeDocument/2006/relationships/themeOverride" Target="../theme/themeOverride80.xml"/></Relationships>
</file>

<file path=word/charts/_rels/chart84.xml.rels><?xml version="1.0" encoding="UTF-8" standalone="yes"?>
<Relationships xmlns="http://schemas.openxmlformats.org/package/2006/relationships"><Relationship Id="rId2" Type="http://schemas.openxmlformats.org/officeDocument/2006/relationships/package" Target="../embeddings/Microsoft_Excel_Worksheet83.xlsx"/><Relationship Id="rId1" Type="http://schemas.openxmlformats.org/officeDocument/2006/relationships/themeOverride" Target="../theme/themeOverride81.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r>
              <a:rPr lang="en-US"/>
              <a:t>PM</a:t>
            </a:r>
            <a:r>
              <a:rPr lang="en-US" sz="1000"/>
              <a:t>2,5</a:t>
            </a:r>
          </a:p>
        </c:rich>
      </c:tx>
      <c:layout>
        <c:manualLayout>
          <c:xMode val="edge"/>
          <c:yMode val="edge"/>
          <c:x val="0.71110265491906455"/>
          <c:y val="6.0240963855421749E-2"/>
        </c:manualLayout>
      </c:layout>
      <c:overlay val="0"/>
      <c:spPr>
        <a:noFill/>
        <a:ln>
          <a:noFill/>
        </a:ln>
        <a:effectLst/>
      </c:spPr>
    </c:title>
    <c:autoTitleDeleted val="0"/>
    <c:plotArea>
      <c:layout>
        <c:manualLayout>
          <c:layoutTarget val="inner"/>
          <c:xMode val="edge"/>
          <c:yMode val="edge"/>
          <c:x val="8.2060318668344928E-2"/>
          <c:y val="7.41552955439512E-2"/>
          <c:w val="0.5176551629931021"/>
          <c:h val="0.89876875330342787"/>
        </c:manualLayout>
      </c:layout>
      <c:doughnutChart>
        <c:varyColors val="1"/>
        <c:ser>
          <c:idx val="0"/>
          <c:order val="0"/>
          <c:tx>
            <c:strRef>
              <c:f>Sheet1!$B$1</c:f>
              <c:strCache>
                <c:ptCount val="1"/>
                <c:pt idx="0">
                  <c:v>PM 2,5</c:v>
                </c:pt>
              </c:strCache>
            </c:strRef>
          </c:tx>
          <c:spPr>
            <a:ln>
              <a:noFill/>
            </a:ln>
            <a:effectLst>
              <a:outerShdw blurRad="50800" dist="38100" dir="2700000" algn="tl" rotWithShape="0">
                <a:prstClr val="black">
                  <a:alpha val="40000"/>
                </a:prstClr>
              </a:outerShdw>
            </a:effectLst>
          </c:spPr>
          <c:dPt>
            <c:idx val="0"/>
            <c:bubble3D val="0"/>
            <c:spPr>
              <a:solidFill>
                <a:schemeClr val="accent1"/>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C1BF-45FF-94E4-D7F3D092153D}"/>
              </c:ext>
            </c:extLst>
          </c:dPt>
          <c:dPt>
            <c:idx val="1"/>
            <c:bubble3D val="0"/>
            <c:spPr>
              <a:solidFill>
                <a:schemeClr val="accent2"/>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C1BF-45FF-94E4-D7F3D092153D}"/>
              </c:ext>
            </c:extLst>
          </c:dPt>
          <c:dPt>
            <c:idx val="2"/>
            <c:bubble3D val="0"/>
            <c:spPr>
              <a:solidFill>
                <a:schemeClr val="accent3"/>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C1BF-45FF-94E4-D7F3D092153D}"/>
              </c:ext>
            </c:extLst>
          </c:dPt>
          <c:dLbls>
            <c:spPr>
              <a:noFill/>
              <a:ln>
                <a:noFill/>
              </a:ln>
              <a:effectLst/>
            </c:spPr>
            <c:txPr>
              <a:bodyPr rot="0" spcFirstLastPara="1" vertOverflow="ellipsis" vert="horz" wrap="square" anchor="ctr" anchorCtr="1"/>
              <a:lstStyle/>
              <a:p>
                <a:pPr>
                  <a:defRPr lang="en-US" sz="11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Surse staționare</c:v>
                </c:pt>
                <c:pt idx="1">
                  <c:v>Surse mobile</c:v>
                </c:pt>
                <c:pt idx="2">
                  <c:v>Surse de suprafață</c:v>
                </c:pt>
              </c:strCache>
            </c:strRef>
          </c:cat>
          <c:val>
            <c:numRef>
              <c:f>Sheet1!$B$2:$B$4</c:f>
              <c:numCache>
                <c:formatCode>General</c:formatCode>
                <c:ptCount val="3"/>
                <c:pt idx="0">
                  <c:v>126.42006739999998</c:v>
                </c:pt>
                <c:pt idx="1">
                  <c:v>720.02128399999958</c:v>
                </c:pt>
                <c:pt idx="2">
                  <c:v>191.67833800000011</c:v>
                </c:pt>
              </c:numCache>
            </c:numRef>
          </c:val>
          <c:extLst>
            <c:ext xmlns:c16="http://schemas.microsoft.com/office/drawing/2014/chart" uri="{C3380CC4-5D6E-409C-BE32-E72D297353CC}">
              <c16:uniqueId val="{00000006-C1BF-45FF-94E4-D7F3D092153D}"/>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69065597283611002"/>
          <c:y val="0.26225690162223697"/>
          <c:w val="0.27960425021221796"/>
          <c:h val="0.69420358599753318"/>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2012</c:v>
                </c:pt>
              </c:strCache>
            </c:strRef>
          </c:tx>
          <c:spPr>
            <a:solidFill>
              <a:schemeClr val="accent1"/>
            </a:solidFill>
            <a:ln>
              <a:noFill/>
            </a:ln>
            <a:effectLst/>
          </c:spPr>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Sheet1!$B$2:$B$13</c:f>
              <c:numCache>
                <c:formatCode>General</c:formatCode>
                <c:ptCount val="12"/>
                <c:pt idx="0">
                  <c:v>-1.5</c:v>
                </c:pt>
                <c:pt idx="1">
                  <c:v>-7.3</c:v>
                </c:pt>
                <c:pt idx="2">
                  <c:v>5.2</c:v>
                </c:pt>
                <c:pt idx="3">
                  <c:v>14</c:v>
                </c:pt>
                <c:pt idx="4">
                  <c:v>18.3</c:v>
                </c:pt>
                <c:pt idx="5">
                  <c:v>22.8</c:v>
                </c:pt>
                <c:pt idx="7">
                  <c:v>23.6</c:v>
                </c:pt>
                <c:pt idx="8">
                  <c:v>18.8</c:v>
                </c:pt>
                <c:pt idx="10">
                  <c:v>7.4</c:v>
                </c:pt>
                <c:pt idx="11">
                  <c:v>-1.6</c:v>
                </c:pt>
              </c:numCache>
            </c:numRef>
          </c:val>
          <c:extLst>
            <c:ext xmlns:c16="http://schemas.microsoft.com/office/drawing/2014/chart" uri="{C3380CC4-5D6E-409C-BE32-E72D297353CC}">
              <c16:uniqueId val="{00000000-ABF9-4B88-9EF7-612D333C0FD2}"/>
            </c:ext>
          </c:extLst>
        </c:ser>
        <c:ser>
          <c:idx val="1"/>
          <c:order val="1"/>
          <c:tx>
            <c:strRef>
              <c:f>Sheet1!$C$1</c:f>
              <c:strCache>
                <c:ptCount val="1"/>
                <c:pt idx="0">
                  <c:v>2013</c:v>
                </c:pt>
              </c:strCache>
            </c:strRef>
          </c:tx>
          <c:spPr>
            <a:solidFill>
              <a:schemeClr val="accent2"/>
            </a:solidFill>
            <a:ln>
              <a:noFill/>
            </a:ln>
            <a:effectLst/>
          </c:spPr>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Sheet1!$C$2:$C$13</c:f>
              <c:numCache>
                <c:formatCode>General</c:formatCode>
                <c:ptCount val="12"/>
                <c:pt idx="0">
                  <c:v>-1.2</c:v>
                </c:pt>
                <c:pt idx="1">
                  <c:v>2.8</c:v>
                </c:pt>
                <c:pt idx="2">
                  <c:v>4.5</c:v>
                </c:pt>
                <c:pt idx="3">
                  <c:v>13</c:v>
                </c:pt>
                <c:pt idx="4">
                  <c:v>19.3</c:v>
                </c:pt>
                <c:pt idx="7">
                  <c:v>23.2</c:v>
                </c:pt>
                <c:pt idx="8">
                  <c:v>16.100000000000001</c:v>
                </c:pt>
                <c:pt idx="9">
                  <c:v>11.1</c:v>
                </c:pt>
                <c:pt idx="10">
                  <c:v>8.7000000000000011</c:v>
                </c:pt>
                <c:pt idx="11">
                  <c:v>0</c:v>
                </c:pt>
              </c:numCache>
            </c:numRef>
          </c:val>
          <c:extLst>
            <c:ext xmlns:c16="http://schemas.microsoft.com/office/drawing/2014/chart" uri="{C3380CC4-5D6E-409C-BE32-E72D297353CC}">
              <c16:uniqueId val="{00000001-ABF9-4B88-9EF7-612D333C0FD2}"/>
            </c:ext>
          </c:extLst>
        </c:ser>
        <c:ser>
          <c:idx val="2"/>
          <c:order val="2"/>
          <c:tx>
            <c:strRef>
              <c:f>Sheet1!$D$1</c:f>
              <c:strCache>
                <c:ptCount val="1"/>
                <c:pt idx="0">
                  <c:v>2014</c:v>
                </c:pt>
              </c:strCache>
            </c:strRef>
          </c:tx>
          <c:spPr>
            <a:solidFill>
              <a:schemeClr val="accent3"/>
            </a:solidFill>
            <a:ln>
              <a:noFill/>
            </a:ln>
            <a:effectLst/>
          </c:spPr>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Sheet1!$D$2:$D$13</c:f>
              <c:numCache>
                <c:formatCode>General</c:formatCode>
                <c:ptCount val="12"/>
                <c:pt idx="0">
                  <c:v>-0.5</c:v>
                </c:pt>
                <c:pt idx="2">
                  <c:v>8.6</c:v>
                </c:pt>
                <c:pt idx="3">
                  <c:v>11.5</c:v>
                </c:pt>
                <c:pt idx="4">
                  <c:v>16.899999999999999</c:v>
                </c:pt>
                <c:pt idx="5">
                  <c:v>20.3</c:v>
                </c:pt>
                <c:pt idx="6">
                  <c:v>23.3</c:v>
                </c:pt>
                <c:pt idx="7">
                  <c:v>23.7</c:v>
                </c:pt>
                <c:pt idx="8">
                  <c:v>18.100000000000001</c:v>
                </c:pt>
                <c:pt idx="10">
                  <c:v>5.2</c:v>
                </c:pt>
                <c:pt idx="11">
                  <c:v>0.60000000000000042</c:v>
                </c:pt>
              </c:numCache>
            </c:numRef>
          </c:val>
          <c:extLst>
            <c:ext xmlns:c16="http://schemas.microsoft.com/office/drawing/2014/chart" uri="{C3380CC4-5D6E-409C-BE32-E72D297353CC}">
              <c16:uniqueId val="{00000002-ABF9-4B88-9EF7-612D333C0FD2}"/>
            </c:ext>
          </c:extLst>
        </c:ser>
        <c:ser>
          <c:idx val="3"/>
          <c:order val="3"/>
          <c:tx>
            <c:strRef>
              <c:f>Sheet1!$E$1</c:f>
              <c:strCache>
                <c:ptCount val="1"/>
                <c:pt idx="0">
                  <c:v>2015</c:v>
                </c:pt>
              </c:strCache>
            </c:strRef>
          </c:tx>
          <c:spPr>
            <a:solidFill>
              <a:schemeClr val="accent4"/>
            </a:solidFill>
            <a:ln>
              <a:noFill/>
            </a:ln>
            <a:effectLst/>
          </c:spPr>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Sheet1!$E$2:$E$13</c:f>
              <c:numCache>
                <c:formatCode>General</c:formatCode>
                <c:ptCount val="12"/>
                <c:pt idx="0">
                  <c:v>-1.1000000000000001</c:v>
                </c:pt>
                <c:pt idx="1">
                  <c:v>2.1</c:v>
                </c:pt>
                <c:pt idx="2">
                  <c:v>6.2</c:v>
                </c:pt>
                <c:pt idx="3">
                  <c:v>11.1</c:v>
                </c:pt>
                <c:pt idx="4">
                  <c:v>18.3</c:v>
                </c:pt>
                <c:pt idx="5">
                  <c:v>21.2</c:v>
                </c:pt>
                <c:pt idx="6">
                  <c:v>24.5</c:v>
                </c:pt>
                <c:pt idx="7">
                  <c:v>23.9</c:v>
                </c:pt>
                <c:pt idx="8">
                  <c:v>19.899999999999999</c:v>
                </c:pt>
                <c:pt idx="9">
                  <c:v>11</c:v>
                </c:pt>
                <c:pt idx="10">
                  <c:v>7.5</c:v>
                </c:pt>
                <c:pt idx="11">
                  <c:v>2.4</c:v>
                </c:pt>
              </c:numCache>
            </c:numRef>
          </c:val>
          <c:extLst>
            <c:ext xmlns:c16="http://schemas.microsoft.com/office/drawing/2014/chart" uri="{C3380CC4-5D6E-409C-BE32-E72D297353CC}">
              <c16:uniqueId val="{00000003-ABF9-4B88-9EF7-612D333C0FD2}"/>
            </c:ext>
          </c:extLst>
        </c:ser>
        <c:ser>
          <c:idx val="4"/>
          <c:order val="4"/>
          <c:tx>
            <c:strRef>
              <c:f>Sheet1!$F$1</c:f>
              <c:strCache>
                <c:ptCount val="1"/>
                <c:pt idx="0">
                  <c:v>2016</c:v>
                </c:pt>
              </c:strCache>
            </c:strRef>
          </c:tx>
          <c:spPr>
            <a:solidFill>
              <a:schemeClr val="accent5"/>
            </a:solidFill>
            <a:ln>
              <a:noFill/>
            </a:ln>
            <a:effectLst/>
          </c:spPr>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Sheet1!$F$2:$F$13</c:f>
              <c:numCache>
                <c:formatCode>General</c:formatCode>
                <c:ptCount val="12"/>
                <c:pt idx="0">
                  <c:v>-2.6</c:v>
                </c:pt>
                <c:pt idx="1">
                  <c:v>6.4</c:v>
                </c:pt>
                <c:pt idx="2">
                  <c:v>7.2</c:v>
                </c:pt>
                <c:pt idx="3">
                  <c:v>14</c:v>
                </c:pt>
                <c:pt idx="4">
                  <c:v>16.5</c:v>
                </c:pt>
                <c:pt idx="5">
                  <c:v>22.4</c:v>
                </c:pt>
                <c:pt idx="6">
                  <c:v>23.9</c:v>
                </c:pt>
                <c:pt idx="7">
                  <c:v>22.8</c:v>
                </c:pt>
                <c:pt idx="8">
                  <c:v>18.8</c:v>
                </c:pt>
                <c:pt idx="9">
                  <c:v>10.1</c:v>
                </c:pt>
                <c:pt idx="10">
                  <c:v>5.4</c:v>
                </c:pt>
                <c:pt idx="11">
                  <c:v>-0.4</c:v>
                </c:pt>
              </c:numCache>
            </c:numRef>
          </c:val>
          <c:extLst>
            <c:ext xmlns:c16="http://schemas.microsoft.com/office/drawing/2014/chart" uri="{C3380CC4-5D6E-409C-BE32-E72D297353CC}">
              <c16:uniqueId val="{00000004-ABF9-4B88-9EF7-612D333C0FD2}"/>
            </c:ext>
          </c:extLst>
        </c:ser>
        <c:dLbls>
          <c:showLegendKey val="0"/>
          <c:showVal val="0"/>
          <c:showCatName val="0"/>
          <c:showSerName val="0"/>
          <c:showPercent val="0"/>
          <c:showBubbleSize val="0"/>
        </c:dLbls>
        <c:gapWidth val="219"/>
        <c:axId val="279881216"/>
        <c:axId val="356515840"/>
      </c:barChart>
      <c:catAx>
        <c:axId val="279881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10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356515840"/>
        <c:crosses val="autoZero"/>
        <c:auto val="1"/>
        <c:lblAlgn val="ctr"/>
        <c:lblOffset val="100"/>
        <c:noMultiLvlLbl val="0"/>
      </c:catAx>
      <c:valAx>
        <c:axId val="3565158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lang="en-US" sz="1000" b="0" i="0" u="none" strike="noStrike" kern="1200" baseline="0">
                    <a:solidFill>
                      <a:schemeClr val="tx1">
                        <a:lumMod val="65000"/>
                        <a:lumOff val="35000"/>
                      </a:schemeClr>
                    </a:solidFill>
                    <a:latin typeface="Cambria" panose="02040503050406030204" pitchFamily="18" charset="0"/>
                    <a:ea typeface="+mn-ea"/>
                    <a:cs typeface="+mn-cs"/>
                  </a:defRPr>
                </a:pPr>
                <a:r>
                  <a:rPr lang="ro-RO" sz="1000" b="0" i="0" u="none" strike="noStrike" baseline="0">
                    <a:effectLst/>
                    <a:latin typeface="Cambria" panose="02040503050406030204" pitchFamily="18" charset="0"/>
                  </a:rPr>
                  <a:t>⁰C</a:t>
                </a:r>
                <a:endParaRPr lang="ro-RO">
                  <a:latin typeface="Cambria" panose="02040503050406030204" pitchFamily="18" charset="0"/>
                </a:endParaRPr>
              </a:p>
            </c:rich>
          </c:tx>
          <c:layout>
            <c:manualLayout>
              <c:xMode val="edge"/>
              <c:yMode val="edge"/>
              <c:x val="2.4122807017543858E-2"/>
              <c:y val="4.2657167854018331E-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10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279881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US"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2012</c:v>
                </c:pt>
              </c:strCache>
            </c:strRef>
          </c:tx>
          <c:spPr>
            <a:solidFill>
              <a:schemeClr val="accent1"/>
            </a:solidFill>
            <a:ln>
              <a:noFill/>
            </a:ln>
            <a:effectLst/>
          </c:spPr>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Sheet1!$B$2:$B$13</c:f>
              <c:numCache>
                <c:formatCode>General</c:formatCode>
                <c:ptCount val="12"/>
                <c:pt idx="0">
                  <c:v>70.2</c:v>
                </c:pt>
                <c:pt idx="1">
                  <c:v>40.1</c:v>
                </c:pt>
                <c:pt idx="2">
                  <c:v>4</c:v>
                </c:pt>
                <c:pt idx="3">
                  <c:v>39.4</c:v>
                </c:pt>
                <c:pt idx="4">
                  <c:v>136.6</c:v>
                </c:pt>
                <c:pt idx="5">
                  <c:v>51.2</c:v>
                </c:pt>
                <c:pt idx="6">
                  <c:v>23.5</c:v>
                </c:pt>
                <c:pt idx="7">
                  <c:v>74</c:v>
                </c:pt>
                <c:pt idx="8">
                  <c:v>35</c:v>
                </c:pt>
                <c:pt idx="9">
                  <c:v>28.9</c:v>
                </c:pt>
                <c:pt idx="10">
                  <c:v>22.8</c:v>
                </c:pt>
                <c:pt idx="11">
                  <c:v>107.4</c:v>
                </c:pt>
              </c:numCache>
            </c:numRef>
          </c:val>
          <c:extLst>
            <c:ext xmlns:c16="http://schemas.microsoft.com/office/drawing/2014/chart" uri="{C3380CC4-5D6E-409C-BE32-E72D297353CC}">
              <c16:uniqueId val="{00000000-88A0-4EFE-99B0-126222380216}"/>
            </c:ext>
          </c:extLst>
        </c:ser>
        <c:ser>
          <c:idx val="1"/>
          <c:order val="1"/>
          <c:tx>
            <c:strRef>
              <c:f>Sheet1!$C$1</c:f>
              <c:strCache>
                <c:ptCount val="1"/>
                <c:pt idx="0">
                  <c:v>2013</c:v>
                </c:pt>
              </c:strCache>
            </c:strRef>
          </c:tx>
          <c:spPr>
            <a:solidFill>
              <a:schemeClr val="accent2"/>
            </a:solidFill>
            <a:ln>
              <a:noFill/>
            </a:ln>
            <a:effectLst/>
          </c:spPr>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Sheet1!$C$2:$C$13</c:f>
              <c:numCache>
                <c:formatCode>General</c:formatCode>
                <c:ptCount val="12"/>
                <c:pt idx="0">
                  <c:v>66.2</c:v>
                </c:pt>
                <c:pt idx="1">
                  <c:v>46.1</c:v>
                </c:pt>
                <c:pt idx="2">
                  <c:v>31.3</c:v>
                </c:pt>
                <c:pt idx="3">
                  <c:v>16.399999999999999</c:v>
                </c:pt>
                <c:pt idx="4">
                  <c:v>55.9</c:v>
                </c:pt>
                <c:pt idx="5">
                  <c:v>43.7</c:v>
                </c:pt>
                <c:pt idx="6">
                  <c:v>48.6</c:v>
                </c:pt>
                <c:pt idx="7">
                  <c:v>26.6</c:v>
                </c:pt>
                <c:pt idx="8">
                  <c:v>60.4</c:v>
                </c:pt>
                <c:pt idx="9">
                  <c:v>74.400000000000006</c:v>
                </c:pt>
                <c:pt idx="10">
                  <c:v>20.100000000000001</c:v>
                </c:pt>
                <c:pt idx="11">
                  <c:v>2.1</c:v>
                </c:pt>
              </c:numCache>
            </c:numRef>
          </c:val>
          <c:extLst>
            <c:ext xmlns:c16="http://schemas.microsoft.com/office/drawing/2014/chart" uri="{C3380CC4-5D6E-409C-BE32-E72D297353CC}">
              <c16:uniqueId val="{00000001-88A0-4EFE-99B0-126222380216}"/>
            </c:ext>
          </c:extLst>
        </c:ser>
        <c:ser>
          <c:idx val="2"/>
          <c:order val="2"/>
          <c:tx>
            <c:strRef>
              <c:f>Sheet1!$D$1</c:f>
              <c:strCache>
                <c:ptCount val="1"/>
                <c:pt idx="0">
                  <c:v>2014</c:v>
                </c:pt>
              </c:strCache>
            </c:strRef>
          </c:tx>
          <c:spPr>
            <a:solidFill>
              <a:schemeClr val="accent3"/>
            </a:solidFill>
            <a:ln>
              <a:noFill/>
            </a:ln>
            <a:effectLst/>
          </c:spPr>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Sheet1!$D$2:$D$13</c:f>
              <c:numCache>
                <c:formatCode>General</c:formatCode>
                <c:ptCount val="12"/>
                <c:pt idx="0">
                  <c:v>62.5</c:v>
                </c:pt>
                <c:pt idx="1">
                  <c:v>6.1</c:v>
                </c:pt>
                <c:pt idx="2">
                  <c:v>40</c:v>
                </c:pt>
                <c:pt idx="3">
                  <c:v>43.2</c:v>
                </c:pt>
                <c:pt idx="4">
                  <c:v>52.5</c:v>
                </c:pt>
                <c:pt idx="5">
                  <c:v>47.8</c:v>
                </c:pt>
                <c:pt idx="6">
                  <c:v>27</c:v>
                </c:pt>
                <c:pt idx="7">
                  <c:v>16.600000000000001</c:v>
                </c:pt>
                <c:pt idx="8">
                  <c:v>13</c:v>
                </c:pt>
                <c:pt idx="9">
                  <c:v>53.6</c:v>
                </c:pt>
                <c:pt idx="10">
                  <c:v>56.2</c:v>
                </c:pt>
                <c:pt idx="11">
                  <c:v>60.8</c:v>
                </c:pt>
              </c:numCache>
            </c:numRef>
          </c:val>
          <c:extLst>
            <c:ext xmlns:c16="http://schemas.microsoft.com/office/drawing/2014/chart" uri="{C3380CC4-5D6E-409C-BE32-E72D297353CC}">
              <c16:uniqueId val="{00000002-88A0-4EFE-99B0-126222380216}"/>
            </c:ext>
          </c:extLst>
        </c:ser>
        <c:ser>
          <c:idx val="3"/>
          <c:order val="3"/>
          <c:tx>
            <c:strRef>
              <c:f>Sheet1!$E$1</c:f>
              <c:strCache>
                <c:ptCount val="1"/>
                <c:pt idx="0">
                  <c:v>2015</c:v>
                </c:pt>
              </c:strCache>
            </c:strRef>
          </c:tx>
          <c:spPr>
            <a:solidFill>
              <a:schemeClr val="accent4"/>
            </a:solidFill>
            <a:ln>
              <a:noFill/>
            </a:ln>
            <a:effectLst/>
          </c:spPr>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Sheet1!$E$2:$E$13</c:f>
              <c:numCache>
                <c:formatCode>General</c:formatCode>
                <c:ptCount val="12"/>
                <c:pt idx="0">
                  <c:v>27.1</c:v>
                </c:pt>
                <c:pt idx="1">
                  <c:v>39.9</c:v>
                </c:pt>
                <c:pt idx="2">
                  <c:v>83</c:v>
                </c:pt>
                <c:pt idx="3">
                  <c:v>27.6</c:v>
                </c:pt>
                <c:pt idx="4">
                  <c:v>11.2</c:v>
                </c:pt>
                <c:pt idx="5">
                  <c:v>63.8</c:v>
                </c:pt>
                <c:pt idx="6">
                  <c:v>20.6</c:v>
                </c:pt>
                <c:pt idx="7">
                  <c:v>39.6</c:v>
                </c:pt>
                <c:pt idx="8">
                  <c:v>35.200000000000003</c:v>
                </c:pt>
                <c:pt idx="9">
                  <c:v>87</c:v>
                </c:pt>
                <c:pt idx="10">
                  <c:v>89.2</c:v>
                </c:pt>
                <c:pt idx="11">
                  <c:v>1.8</c:v>
                </c:pt>
              </c:numCache>
            </c:numRef>
          </c:val>
          <c:extLst>
            <c:ext xmlns:c16="http://schemas.microsoft.com/office/drawing/2014/chart" uri="{C3380CC4-5D6E-409C-BE32-E72D297353CC}">
              <c16:uniqueId val="{00000003-88A0-4EFE-99B0-126222380216}"/>
            </c:ext>
          </c:extLst>
        </c:ser>
        <c:ser>
          <c:idx val="4"/>
          <c:order val="4"/>
          <c:tx>
            <c:strRef>
              <c:f>Sheet1!$F$1</c:f>
              <c:strCache>
                <c:ptCount val="1"/>
                <c:pt idx="0">
                  <c:v>2016</c:v>
                </c:pt>
              </c:strCache>
            </c:strRef>
          </c:tx>
          <c:spPr>
            <a:solidFill>
              <a:schemeClr val="accent5"/>
            </a:solidFill>
            <a:ln>
              <a:noFill/>
            </a:ln>
            <a:effectLst/>
          </c:spPr>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Sheet1!$F$2:$F$13</c:f>
              <c:numCache>
                <c:formatCode>General</c:formatCode>
                <c:ptCount val="12"/>
                <c:pt idx="0">
                  <c:v>44.2</c:v>
                </c:pt>
                <c:pt idx="1">
                  <c:v>6.4</c:v>
                </c:pt>
                <c:pt idx="2">
                  <c:v>58</c:v>
                </c:pt>
                <c:pt idx="3">
                  <c:v>48.4</c:v>
                </c:pt>
                <c:pt idx="4">
                  <c:v>46</c:v>
                </c:pt>
                <c:pt idx="5">
                  <c:v>85.4</c:v>
                </c:pt>
                <c:pt idx="6">
                  <c:v>1.2</c:v>
                </c:pt>
                <c:pt idx="7">
                  <c:v>48.2</c:v>
                </c:pt>
                <c:pt idx="8">
                  <c:v>29.2</c:v>
                </c:pt>
                <c:pt idx="9">
                  <c:v>127</c:v>
                </c:pt>
                <c:pt idx="10">
                  <c:v>56.6</c:v>
                </c:pt>
                <c:pt idx="11">
                  <c:v>3.1</c:v>
                </c:pt>
              </c:numCache>
            </c:numRef>
          </c:val>
          <c:extLst>
            <c:ext xmlns:c16="http://schemas.microsoft.com/office/drawing/2014/chart" uri="{C3380CC4-5D6E-409C-BE32-E72D297353CC}">
              <c16:uniqueId val="{00000004-88A0-4EFE-99B0-126222380216}"/>
            </c:ext>
          </c:extLst>
        </c:ser>
        <c:dLbls>
          <c:showLegendKey val="0"/>
          <c:showVal val="0"/>
          <c:showCatName val="0"/>
          <c:showSerName val="0"/>
          <c:showPercent val="0"/>
          <c:showBubbleSize val="0"/>
        </c:dLbls>
        <c:gapWidth val="219"/>
        <c:overlap val="-27"/>
        <c:axId val="356493312"/>
        <c:axId val="356518144"/>
      </c:barChart>
      <c:catAx>
        <c:axId val="356493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10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356518144"/>
        <c:crosses val="autoZero"/>
        <c:auto val="1"/>
        <c:lblAlgn val="ctr"/>
        <c:lblOffset val="100"/>
        <c:noMultiLvlLbl val="0"/>
      </c:catAx>
      <c:valAx>
        <c:axId val="356518144"/>
        <c:scaling>
          <c:orientation val="minMax"/>
          <c:max val="14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10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356493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US" sz="105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200" b="0" i="0" u="none" strike="noStrike" kern="1200" spc="0" baseline="0">
                <a:solidFill>
                  <a:schemeClr val="tx1">
                    <a:lumMod val="65000"/>
                    <a:lumOff val="35000"/>
                  </a:schemeClr>
                </a:solidFill>
                <a:latin typeface="Cambria" panose="02040503050406030204" pitchFamily="18" charset="0"/>
                <a:ea typeface="+mn-ea"/>
                <a:cs typeface="+mn-cs"/>
              </a:defRPr>
            </a:pPr>
            <a:r>
              <a:rPr lang="en-US" sz="1200"/>
              <a:t>2017</a:t>
            </a:r>
            <a:endParaRPr lang="ro-RO" sz="1200"/>
          </a:p>
        </c:rich>
      </c:tx>
      <c:layout>
        <c:manualLayout>
          <c:xMode val="edge"/>
          <c:yMode val="edge"/>
          <c:x val="0.52206818181818149"/>
          <c:y val="2.0161290322580638E-2"/>
        </c:manualLayout>
      </c:layout>
      <c:overlay val="0"/>
      <c:spPr>
        <a:noFill/>
        <a:ln>
          <a:noFill/>
        </a:ln>
        <a:effectLst/>
      </c:spPr>
    </c:title>
    <c:autoTitleDeleted val="0"/>
    <c:plotArea>
      <c:layout/>
      <c:barChart>
        <c:barDir val="bar"/>
        <c:grouping val="stacked"/>
        <c:varyColors val="0"/>
        <c:ser>
          <c:idx val="0"/>
          <c:order val="0"/>
          <c:tx>
            <c:strRef>
              <c:f>Sheet1!$B$1</c:f>
              <c:strCache>
                <c:ptCount val="1"/>
                <c:pt idx="0">
                  <c:v>Masculin</c:v>
                </c:pt>
              </c:strCache>
            </c:strRef>
          </c:tx>
          <c:spPr>
            <a:solidFill>
              <a:schemeClr val="accent1"/>
            </a:solidFill>
            <a:ln>
              <a:noFill/>
            </a:ln>
            <a:effectLst/>
          </c:spPr>
          <c:invertIfNegative val="0"/>
          <c:cat>
            <c:strRef>
              <c:f>Sheet1!$A$2:$A$19</c:f>
              <c:strCache>
                <c:ptCount val="18"/>
                <c:pt idx="0">
                  <c:v>0-4 ani</c:v>
                </c:pt>
                <c:pt idx="1">
                  <c:v>5-9 ani</c:v>
                </c:pt>
                <c:pt idx="2">
                  <c:v>10-14 ani</c:v>
                </c:pt>
                <c:pt idx="3">
                  <c:v>15-19 ani</c:v>
                </c:pt>
                <c:pt idx="4">
                  <c:v>20-24 ani</c:v>
                </c:pt>
                <c:pt idx="5">
                  <c:v>25-29 ani</c:v>
                </c:pt>
                <c:pt idx="6">
                  <c:v>30-34 ani</c:v>
                </c:pt>
                <c:pt idx="7">
                  <c:v>35-39 ani</c:v>
                </c:pt>
                <c:pt idx="8">
                  <c:v>40-44 ani</c:v>
                </c:pt>
                <c:pt idx="9">
                  <c:v>45-49 ani</c:v>
                </c:pt>
                <c:pt idx="10">
                  <c:v>50-54 ani</c:v>
                </c:pt>
                <c:pt idx="11">
                  <c:v>55-59 ani</c:v>
                </c:pt>
                <c:pt idx="12">
                  <c:v>60-64 ani</c:v>
                </c:pt>
                <c:pt idx="13">
                  <c:v>65-69 ani</c:v>
                </c:pt>
                <c:pt idx="14">
                  <c:v>70-74 ani</c:v>
                </c:pt>
                <c:pt idx="15">
                  <c:v>75-79 ani</c:v>
                </c:pt>
                <c:pt idx="16">
                  <c:v>80-84 ani</c:v>
                </c:pt>
                <c:pt idx="17">
                  <c:v>85 ani și peste</c:v>
                </c:pt>
              </c:strCache>
            </c:strRef>
          </c:cat>
          <c:val>
            <c:numRef>
              <c:f>Sheet1!$B$2:$B$19</c:f>
              <c:numCache>
                <c:formatCode>General</c:formatCode>
                <c:ptCount val="18"/>
                <c:pt idx="0">
                  <c:v>-6120</c:v>
                </c:pt>
                <c:pt idx="1">
                  <c:v>-7336</c:v>
                </c:pt>
                <c:pt idx="2">
                  <c:v>-8129</c:v>
                </c:pt>
                <c:pt idx="3">
                  <c:v>-8361</c:v>
                </c:pt>
                <c:pt idx="4">
                  <c:v>-7845</c:v>
                </c:pt>
                <c:pt idx="5">
                  <c:v>-8335</c:v>
                </c:pt>
                <c:pt idx="6">
                  <c:v>-8365</c:v>
                </c:pt>
                <c:pt idx="7">
                  <c:v>-10904</c:v>
                </c:pt>
                <c:pt idx="8">
                  <c:v>-12623</c:v>
                </c:pt>
                <c:pt idx="9">
                  <c:v>-14771</c:v>
                </c:pt>
                <c:pt idx="10">
                  <c:v>-7881</c:v>
                </c:pt>
                <c:pt idx="11">
                  <c:v>-10376</c:v>
                </c:pt>
                <c:pt idx="12">
                  <c:v>-10731</c:v>
                </c:pt>
                <c:pt idx="13">
                  <c:v>-8671</c:v>
                </c:pt>
                <c:pt idx="14">
                  <c:v>-5305</c:v>
                </c:pt>
                <c:pt idx="15">
                  <c:v>-4998</c:v>
                </c:pt>
                <c:pt idx="16">
                  <c:v>-3598</c:v>
                </c:pt>
                <c:pt idx="17">
                  <c:v>-2244</c:v>
                </c:pt>
              </c:numCache>
            </c:numRef>
          </c:val>
          <c:extLst>
            <c:ext xmlns:c16="http://schemas.microsoft.com/office/drawing/2014/chart" uri="{C3380CC4-5D6E-409C-BE32-E72D297353CC}">
              <c16:uniqueId val="{00000000-A9B7-4F64-AF20-DB2142618C57}"/>
            </c:ext>
          </c:extLst>
        </c:ser>
        <c:ser>
          <c:idx val="1"/>
          <c:order val="1"/>
          <c:tx>
            <c:strRef>
              <c:f>Sheet1!$C$1</c:f>
              <c:strCache>
                <c:ptCount val="1"/>
                <c:pt idx="0">
                  <c:v>Feminin</c:v>
                </c:pt>
              </c:strCache>
            </c:strRef>
          </c:tx>
          <c:spPr>
            <a:solidFill>
              <a:schemeClr val="accent2"/>
            </a:solidFill>
            <a:ln>
              <a:noFill/>
            </a:ln>
            <a:effectLst/>
          </c:spPr>
          <c:invertIfNegative val="0"/>
          <c:cat>
            <c:strRef>
              <c:f>Sheet1!$A$2:$A$19</c:f>
              <c:strCache>
                <c:ptCount val="18"/>
                <c:pt idx="0">
                  <c:v>0-4 ani</c:v>
                </c:pt>
                <c:pt idx="1">
                  <c:v>5-9 ani</c:v>
                </c:pt>
                <c:pt idx="2">
                  <c:v>10-14 ani</c:v>
                </c:pt>
                <c:pt idx="3">
                  <c:v>15-19 ani</c:v>
                </c:pt>
                <c:pt idx="4">
                  <c:v>20-24 ani</c:v>
                </c:pt>
                <c:pt idx="5">
                  <c:v>25-29 ani</c:v>
                </c:pt>
                <c:pt idx="6">
                  <c:v>30-34 ani</c:v>
                </c:pt>
                <c:pt idx="7">
                  <c:v>35-39 ani</c:v>
                </c:pt>
                <c:pt idx="8">
                  <c:v>40-44 ani</c:v>
                </c:pt>
                <c:pt idx="9">
                  <c:v>45-49 ani</c:v>
                </c:pt>
                <c:pt idx="10">
                  <c:v>50-54 ani</c:v>
                </c:pt>
                <c:pt idx="11">
                  <c:v>55-59 ani</c:v>
                </c:pt>
                <c:pt idx="12">
                  <c:v>60-64 ani</c:v>
                </c:pt>
                <c:pt idx="13">
                  <c:v>65-69 ani</c:v>
                </c:pt>
                <c:pt idx="14">
                  <c:v>70-74 ani</c:v>
                </c:pt>
                <c:pt idx="15">
                  <c:v>75-79 ani</c:v>
                </c:pt>
                <c:pt idx="16">
                  <c:v>80-84 ani</c:v>
                </c:pt>
                <c:pt idx="17">
                  <c:v>85 ani și peste</c:v>
                </c:pt>
              </c:strCache>
            </c:strRef>
          </c:cat>
          <c:val>
            <c:numRef>
              <c:f>Sheet1!$C$2:$C$19</c:f>
              <c:numCache>
                <c:formatCode>General</c:formatCode>
                <c:ptCount val="18"/>
                <c:pt idx="0">
                  <c:v>5861</c:v>
                </c:pt>
                <c:pt idx="1">
                  <c:v>6720</c:v>
                </c:pt>
                <c:pt idx="2">
                  <c:v>7816</c:v>
                </c:pt>
                <c:pt idx="3">
                  <c:v>7664</c:v>
                </c:pt>
                <c:pt idx="4">
                  <c:v>7055</c:v>
                </c:pt>
                <c:pt idx="5">
                  <c:v>5944</c:v>
                </c:pt>
                <c:pt idx="6">
                  <c:v>7048</c:v>
                </c:pt>
                <c:pt idx="7">
                  <c:v>10554</c:v>
                </c:pt>
                <c:pt idx="8">
                  <c:v>11733</c:v>
                </c:pt>
                <c:pt idx="9">
                  <c:v>13785</c:v>
                </c:pt>
                <c:pt idx="10">
                  <c:v>7489</c:v>
                </c:pt>
                <c:pt idx="11">
                  <c:v>10483</c:v>
                </c:pt>
                <c:pt idx="12">
                  <c:v>12470</c:v>
                </c:pt>
                <c:pt idx="13">
                  <c:v>10960</c:v>
                </c:pt>
                <c:pt idx="14">
                  <c:v>7769</c:v>
                </c:pt>
                <c:pt idx="15">
                  <c:v>8273</c:v>
                </c:pt>
                <c:pt idx="16">
                  <c:v>6304</c:v>
                </c:pt>
                <c:pt idx="17">
                  <c:v>4604</c:v>
                </c:pt>
              </c:numCache>
            </c:numRef>
          </c:val>
          <c:extLst>
            <c:ext xmlns:c16="http://schemas.microsoft.com/office/drawing/2014/chart" uri="{C3380CC4-5D6E-409C-BE32-E72D297353CC}">
              <c16:uniqueId val="{00000001-A9B7-4F64-AF20-DB2142618C57}"/>
            </c:ext>
          </c:extLst>
        </c:ser>
        <c:dLbls>
          <c:showLegendKey val="0"/>
          <c:showVal val="0"/>
          <c:showCatName val="0"/>
          <c:showSerName val="0"/>
          <c:showPercent val="0"/>
          <c:showBubbleSize val="0"/>
        </c:dLbls>
        <c:gapWidth val="39"/>
        <c:overlap val="100"/>
        <c:axId val="385273344"/>
        <c:axId val="322050240"/>
      </c:barChart>
      <c:catAx>
        <c:axId val="385273344"/>
        <c:scaling>
          <c:orientation val="minMax"/>
        </c:scaling>
        <c:delete val="0"/>
        <c:axPos val="l"/>
        <c:numFmt formatCode="General" sourceLinked="1"/>
        <c:majorTickMark val="out"/>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10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322050240"/>
        <c:crosses val="autoZero"/>
        <c:auto val="1"/>
        <c:lblAlgn val="ctr"/>
        <c:lblOffset val="100"/>
        <c:noMultiLvlLbl val="0"/>
      </c:catAx>
      <c:valAx>
        <c:axId val="322050240"/>
        <c:scaling>
          <c:orientation val="minMax"/>
          <c:max val="15000"/>
          <c:min val="-1500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385273344"/>
        <c:crosses val="autoZero"/>
        <c:crossBetween val="between"/>
      </c:valAx>
      <c:spPr>
        <a:noFill/>
        <a:ln>
          <a:noFill/>
        </a:ln>
        <a:effectLst/>
      </c:spPr>
    </c:plotArea>
    <c:legend>
      <c:legendPos val="b"/>
      <c:layout>
        <c:manualLayout>
          <c:xMode val="edge"/>
          <c:yMode val="edge"/>
          <c:x val="0.42992573371510406"/>
          <c:y val="0.92405014393362117"/>
          <c:w val="0.25833017179670731"/>
          <c:h val="5.9148780797561598E-2"/>
        </c:manualLayout>
      </c:layout>
      <c:overlay val="0"/>
      <c:spPr>
        <a:noFill/>
        <a:ln>
          <a:noFill/>
        </a:ln>
        <a:effectLst/>
      </c:spPr>
      <c:txPr>
        <a:bodyPr rot="0" spcFirstLastPara="1" vertOverflow="ellipsis" vert="horz" wrap="square" anchor="ctr" anchorCtr="1"/>
        <a:lstStyle/>
        <a:p>
          <a:pPr>
            <a:defRPr lang="en-US" sz="10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NOx</c:v>
                </c:pt>
              </c:strCache>
            </c:strRef>
          </c:tx>
          <c:spPr>
            <a:solidFill>
              <a:schemeClr val="accent1"/>
            </a:solidFill>
            <a:ln>
              <a:noFill/>
            </a:ln>
            <a:effectLst/>
          </c:spPr>
          <c:invertIfNegative val="0"/>
          <c:cat>
            <c:numRef>
              <c:f>Sheet1!$A$2:$A$8</c:f>
              <c:numCache>
                <c:formatCode>General</c:formatCode>
                <c:ptCount val="7"/>
                <c:pt idx="0">
                  <c:v>2010</c:v>
                </c:pt>
                <c:pt idx="1">
                  <c:v>2011</c:v>
                </c:pt>
                <c:pt idx="2">
                  <c:v>2012</c:v>
                </c:pt>
                <c:pt idx="3">
                  <c:v>2013</c:v>
                </c:pt>
                <c:pt idx="4">
                  <c:v>2014</c:v>
                </c:pt>
                <c:pt idx="5">
                  <c:v>2015</c:v>
                </c:pt>
                <c:pt idx="6">
                  <c:v>2016</c:v>
                </c:pt>
              </c:numCache>
            </c:numRef>
          </c:cat>
          <c:val>
            <c:numRef>
              <c:f>Sheet1!$B$2:$B$8</c:f>
              <c:numCache>
                <c:formatCode>#,##0</c:formatCode>
                <c:ptCount val="7"/>
                <c:pt idx="0" formatCode="General">
                  <c:v>743</c:v>
                </c:pt>
                <c:pt idx="1">
                  <c:v>4354</c:v>
                </c:pt>
                <c:pt idx="2" formatCode="#,##0.00">
                  <c:v>2356.06</c:v>
                </c:pt>
                <c:pt idx="3" formatCode="#,##0.00">
                  <c:v>1291.29</c:v>
                </c:pt>
                <c:pt idx="4">
                  <c:v>1580</c:v>
                </c:pt>
                <c:pt idx="5" formatCode="General">
                  <c:v>1100</c:v>
                </c:pt>
                <c:pt idx="6" formatCode="General">
                  <c:v>1192</c:v>
                </c:pt>
              </c:numCache>
            </c:numRef>
          </c:val>
          <c:extLst>
            <c:ext xmlns:c16="http://schemas.microsoft.com/office/drawing/2014/chart" uri="{C3380CC4-5D6E-409C-BE32-E72D297353CC}">
              <c16:uniqueId val="{00000000-D6F1-443E-9A58-C125FD9598ED}"/>
            </c:ext>
          </c:extLst>
        </c:ser>
        <c:ser>
          <c:idx val="1"/>
          <c:order val="1"/>
          <c:tx>
            <c:strRef>
              <c:f>Sheet1!$C$1</c:f>
              <c:strCache>
                <c:ptCount val="1"/>
                <c:pt idx="0">
                  <c:v>NMCOV</c:v>
                </c:pt>
              </c:strCache>
            </c:strRef>
          </c:tx>
          <c:spPr>
            <a:solidFill>
              <a:schemeClr val="accent2"/>
            </a:solidFill>
            <a:ln>
              <a:noFill/>
            </a:ln>
            <a:effectLst/>
          </c:spPr>
          <c:invertIfNegative val="0"/>
          <c:cat>
            <c:numRef>
              <c:f>Sheet1!$A$2:$A$8</c:f>
              <c:numCache>
                <c:formatCode>General</c:formatCode>
                <c:ptCount val="7"/>
                <c:pt idx="0">
                  <c:v>2010</c:v>
                </c:pt>
                <c:pt idx="1">
                  <c:v>2011</c:v>
                </c:pt>
                <c:pt idx="2">
                  <c:v>2012</c:v>
                </c:pt>
                <c:pt idx="3">
                  <c:v>2013</c:v>
                </c:pt>
                <c:pt idx="4">
                  <c:v>2014</c:v>
                </c:pt>
                <c:pt idx="5">
                  <c:v>2015</c:v>
                </c:pt>
                <c:pt idx="6">
                  <c:v>2016</c:v>
                </c:pt>
              </c:numCache>
            </c:numRef>
          </c:cat>
          <c:val>
            <c:numRef>
              <c:f>Sheet1!$C$2:$C$8</c:f>
              <c:numCache>
                <c:formatCode>#,##0</c:formatCode>
                <c:ptCount val="7"/>
                <c:pt idx="0">
                  <c:v>1756</c:v>
                </c:pt>
                <c:pt idx="1">
                  <c:v>1388</c:v>
                </c:pt>
                <c:pt idx="2">
                  <c:v>3963</c:v>
                </c:pt>
                <c:pt idx="3">
                  <c:v>2140</c:v>
                </c:pt>
                <c:pt idx="4">
                  <c:v>1820</c:v>
                </c:pt>
                <c:pt idx="5" formatCode="General">
                  <c:v>2200</c:v>
                </c:pt>
                <c:pt idx="6" formatCode="General">
                  <c:v>2107</c:v>
                </c:pt>
              </c:numCache>
            </c:numRef>
          </c:val>
          <c:extLst>
            <c:ext xmlns:c16="http://schemas.microsoft.com/office/drawing/2014/chart" uri="{C3380CC4-5D6E-409C-BE32-E72D297353CC}">
              <c16:uniqueId val="{00000001-D6F1-443E-9A58-C125FD9598ED}"/>
            </c:ext>
          </c:extLst>
        </c:ser>
        <c:ser>
          <c:idx val="2"/>
          <c:order val="2"/>
          <c:tx>
            <c:strRef>
              <c:f>Sheet1!$D$1</c:f>
              <c:strCache>
                <c:ptCount val="1"/>
                <c:pt idx="0">
                  <c:v>CO</c:v>
                </c:pt>
              </c:strCache>
            </c:strRef>
          </c:tx>
          <c:spPr>
            <a:solidFill>
              <a:schemeClr val="accent3"/>
            </a:solidFill>
            <a:ln>
              <a:noFill/>
            </a:ln>
            <a:effectLst/>
          </c:spPr>
          <c:invertIfNegative val="0"/>
          <c:cat>
            <c:numRef>
              <c:f>Sheet1!$A$2:$A$8</c:f>
              <c:numCache>
                <c:formatCode>General</c:formatCode>
                <c:ptCount val="7"/>
                <c:pt idx="0">
                  <c:v>2010</c:v>
                </c:pt>
                <c:pt idx="1">
                  <c:v>2011</c:v>
                </c:pt>
                <c:pt idx="2">
                  <c:v>2012</c:v>
                </c:pt>
                <c:pt idx="3">
                  <c:v>2013</c:v>
                </c:pt>
                <c:pt idx="4">
                  <c:v>2014</c:v>
                </c:pt>
                <c:pt idx="5">
                  <c:v>2015</c:v>
                </c:pt>
                <c:pt idx="6">
                  <c:v>2016</c:v>
                </c:pt>
              </c:numCache>
            </c:numRef>
          </c:cat>
          <c:val>
            <c:numRef>
              <c:f>Sheet1!$D$2:$D$8</c:f>
              <c:numCache>
                <c:formatCode>#,##0</c:formatCode>
                <c:ptCount val="7"/>
                <c:pt idx="0">
                  <c:v>3310</c:v>
                </c:pt>
                <c:pt idx="1">
                  <c:v>9655</c:v>
                </c:pt>
                <c:pt idx="2">
                  <c:v>5364</c:v>
                </c:pt>
                <c:pt idx="3">
                  <c:v>2683</c:v>
                </c:pt>
                <c:pt idx="4">
                  <c:v>2730</c:v>
                </c:pt>
                <c:pt idx="5" formatCode="General">
                  <c:v>4100</c:v>
                </c:pt>
                <c:pt idx="6" formatCode="General">
                  <c:v>1885</c:v>
                </c:pt>
              </c:numCache>
            </c:numRef>
          </c:val>
          <c:extLst>
            <c:ext xmlns:c16="http://schemas.microsoft.com/office/drawing/2014/chart" uri="{C3380CC4-5D6E-409C-BE32-E72D297353CC}">
              <c16:uniqueId val="{00000002-D6F1-443E-9A58-C125FD9598ED}"/>
            </c:ext>
          </c:extLst>
        </c:ser>
        <c:ser>
          <c:idx val="3"/>
          <c:order val="3"/>
          <c:tx>
            <c:strRef>
              <c:f>Sheet1!$E$1</c:f>
              <c:strCache>
                <c:ptCount val="1"/>
                <c:pt idx="0">
                  <c:v>NH3</c:v>
                </c:pt>
              </c:strCache>
            </c:strRef>
          </c:tx>
          <c:spPr>
            <a:solidFill>
              <a:schemeClr val="accent4"/>
            </a:solidFill>
            <a:ln>
              <a:noFill/>
            </a:ln>
            <a:effectLst/>
          </c:spPr>
          <c:invertIfNegative val="0"/>
          <c:cat>
            <c:numRef>
              <c:f>Sheet1!$A$2:$A$8</c:f>
              <c:numCache>
                <c:formatCode>General</c:formatCode>
                <c:ptCount val="7"/>
                <c:pt idx="0">
                  <c:v>2010</c:v>
                </c:pt>
                <c:pt idx="1">
                  <c:v>2011</c:v>
                </c:pt>
                <c:pt idx="2">
                  <c:v>2012</c:v>
                </c:pt>
                <c:pt idx="3">
                  <c:v>2013</c:v>
                </c:pt>
                <c:pt idx="4">
                  <c:v>2014</c:v>
                </c:pt>
                <c:pt idx="5">
                  <c:v>2015</c:v>
                </c:pt>
                <c:pt idx="6">
                  <c:v>2016</c:v>
                </c:pt>
              </c:numCache>
            </c:numRef>
          </c:cat>
          <c:val>
            <c:numRef>
              <c:f>Sheet1!$E$2:$E$8</c:f>
              <c:numCache>
                <c:formatCode>General</c:formatCode>
                <c:ptCount val="7"/>
                <c:pt idx="0">
                  <c:v>2</c:v>
                </c:pt>
                <c:pt idx="1">
                  <c:v>7275.1</c:v>
                </c:pt>
                <c:pt idx="2">
                  <c:v>8252</c:v>
                </c:pt>
                <c:pt idx="3">
                  <c:v>6022.24</c:v>
                </c:pt>
                <c:pt idx="4">
                  <c:v>7110</c:v>
                </c:pt>
                <c:pt idx="5">
                  <c:v>400</c:v>
                </c:pt>
                <c:pt idx="6">
                  <c:v>218</c:v>
                </c:pt>
              </c:numCache>
            </c:numRef>
          </c:val>
          <c:extLst>
            <c:ext xmlns:c16="http://schemas.microsoft.com/office/drawing/2014/chart" uri="{C3380CC4-5D6E-409C-BE32-E72D297353CC}">
              <c16:uniqueId val="{00000000-0079-43E7-966A-11BA4551E952}"/>
            </c:ext>
          </c:extLst>
        </c:ser>
        <c:dLbls>
          <c:showLegendKey val="0"/>
          <c:showVal val="0"/>
          <c:showCatName val="0"/>
          <c:showSerName val="0"/>
          <c:showPercent val="0"/>
          <c:showBubbleSize val="0"/>
        </c:dLbls>
        <c:gapWidth val="300"/>
        <c:axId val="356403200"/>
        <c:axId val="356521024"/>
      </c:barChart>
      <c:catAx>
        <c:axId val="356403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356521024"/>
        <c:crossesAt val="0"/>
        <c:auto val="1"/>
        <c:lblAlgn val="ctr"/>
        <c:lblOffset val="100"/>
        <c:noMultiLvlLbl val="0"/>
      </c:catAx>
      <c:valAx>
        <c:axId val="356521024"/>
        <c:scaling>
          <c:orientation val="minMax"/>
          <c:max val="1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1000" b="0" i="0" u="none" strike="noStrike" kern="1200" baseline="0">
                    <a:solidFill>
                      <a:schemeClr val="tx1">
                        <a:lumMod val="65000"/>
                        <a:lumOff val="35000"/>
                      </a:schemeClr>
                    </a:solidFill>
                    <a:latin typeface="Cambria" panose="02040503050406030204" pitchFamily="18" charset="0"/>
                    <a:ea typeface="+mn-ea"/>
                    <a:cs typeface="+mn-cs"/>
                  </a:defRPr>
                </a:pPr>
                <a:r>
                  <a:rPr lang="ro-RO"/>
                  <a:t>tone</a:t>
                </a:r>
              </a:p>
            </c:rich>
          </c:tx>
          <c:layout>
            <c:manualLayout>
              <c:xMode val="edge"/>
              <c:yMode val="edge"/>
              <c:x val="2.2187708009762608E-2"/>
              <c:y val="0.44103224910256694"/>
            </c:manualLayout>
          </c:layout>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35640320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lang="en-US" sz="10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992290930557618E-2"/>
          <c:y val="4.365079365079369E-2"/>
          <c:w val="0.8758213023813044"/>
          <c:h val="0.61878089865632513"/>
        </c:manualLayout>
      </c:layout>
      <c:barChart>
        <c:barDir val="col"/>
        <c:grouping val="clustered"/>
        <c:varyColors val="0"/>
        <c:ser>
          <c:idx val="0"/>
          <c:order val="0"/>
          <c:tx>
            <c:strRef>
              <c:f>Sheet1!$B$1</c:f>
              <c:strCache>
                <c:ptCount val="1"/>
                <c:pt idx="0">
                  <c:v>2008</c:v>
                </c:pt>
              </c:strCache>
            </c:strRef>
          </c:tx>
          <c:spPr>
            <a:solidFill>
              <a:schemeClr val="accent1"/>
            </a:solidFill>
            <a:ln>
              <a:noFill/>
            </a:ln>
            <a:effectLst/>
          </c:spPr>
          <c:invertIfNegative val="0"/>
          <c:cat>
            <c:strRef>
              <c:f>Sheet1!$A$2:$A$5</c:f>
              <c:strCache>
                <c:ptCount val="4"/>
                <c:pt idx="0">
                  <c:v>BR1</c:v>
                </c:pt>
                <c:pt idx="1">
                  <c:v>BR2</c:v>
                </c:pt>
                <c:pt idx="2">
                  <c:v>BR3</c:v>
                </c:pt>
                <c:pt idx="3">
                  <c:v>BR4</c:v>
                </c:pt>
              </c:strCache>
            </c:strRef>
          </c:cat>
          <c:val>
            <c:numRef>
              <c:f>Sheet1!$B$2:$B$5</c:f>
              <c:numCache>
                <c:formatCode>General</c:formatCode>
                <c:ptCount val="4"/>
              </c:numCache>
            </c:numRef>
          </c:val>
          <c:extLst>
            <c:ext xmlns:c16="http://schemas.microsoft.com/office/drawing/2014/chart" uri="{C3380CC4-5D6E-409C-BE32-E72D297353CC}">
              <c16:uniqueId val="{00000000-45E8-4F3F-AD0D-6A186B4E2634}"/>
            </c:ext>
          </c:extLst>
        </c:ser>
        <c:ser>
          <c:idx val="1"/>
          <c:order val="1"/>
          <c:tx>
            <c:strRef>
              <c:f>Sheet1!$C$1</c:f>
              <c:strCache>
                <c:ptCount val="1"/>
                <c:pt idx="0">
                  <c:v>2009</c:v>
                </c:pt>
              </c:strCache>
            </c:strRef>
          </c:tx>
          <c:spPr>
            <a:solidFill>
              <a:schemeClr val="accent2"/>
            </a:solidFill>
            <a:ln>
              <a:noFill/>
            </a:ln>
            <a:effectLst/>
          </c:spPr>
          <c:invertIfNegative val="0"/>
          <c:cat>
            <c:strRef>
              <c:f>Sheet1!$A$2:$A$5</c:f>
              <c:strCache>
                <c:ptCount val="4"/>
                <c:pt idx="0">
                  <c:v>BR1</c:v>
                </c:pt>
                <c:pt idx="1">
                  <c:v>BR2</c:v>
                </c:pt>
                <c:pt idx="2">
                  <c:v>BR3</c:v>
                </c:pt>
                <c:pt idx="3">
                  <c:v>BR4</c:v>
                </c:pt>
              </c:strCache>
            </c:strRef>
          </c:cat>
          <c:val>
            <c:numRef>
              <c:f>Sheet1!$C$2:$C$5</c:f>
              <c:numCache>
                <c:formatCode>General</c:formatCode>
                <c:ptCount val="4"/>
                <c:pt idx="0">
                  <c:v>13</c:v>
                </c:pt>
                <c:pt idx="2">
                  <c:v>3</c:v>
                </c:pt>
                <c:pt idx="3">
                  <c:v>9</c:v>
                </c:pt>
              </c:numCache>
            </c:numRef>
          </c:val>
          <c:extLst>
            <c:ext xmlns:c16="http://schemas.microsoft.com/office/drawing/2014/chart" uri="{C3380CC4-5D6E-409C-BE32-E72D297353CC}">
              <c16:uniqueId val="{00000001-45E8-4F3F-AD0D-6A186B4E2634}"/>
            </c:ext>
          </c:extLst>
        </c:ser>
        <c:ser>
          <c:idx val="2"/>
          <c:order val="2"/>
          <c:tx>
            <c:strRef>
              <c:f>Sheet1!$D$1</c:f>
              <c:strCache>
                <c:ptCount val="1"/>
                <c:pt idx="0">
                  <c:v>2010</c:v>
                </c:pt>
              </c:strCache>
            </c:strRef>
          </c:tx>
          <c:spPr>
            <a:solidFill>
              <a:schemeClr val="accent3"/>
            </a:solidFill>
            <a:ln>
              <a:noFill/>
            </a:ln>
            <a:effectLst/>
          </c:spPr>
          <c:invertIfNegative val="0"/>
          <c:cat>
            <c:strRef>
              <c:f>Sheet1!$A$2:$A$5</c:f>
              <c:strCache>
                <c:ptCount val="4"/>
                <c:pt idx="0">
                  <c:v>BR1</c:v>
                </c:pt>
                <c:pt idx="1">
                  <c:v>BR2</c:v>
                </c:pt>
                <c:pt idx="2">
                  <c:v>BR3</c:v>
                </c:pt>
                <c:pt idx="3">
                  <c:v>BR4</c:v>
                </c:pt>
              </c:strCache>
            </c:strRef>
          </c:cat>
          <c:val>
            <c:numRef>
              <c:f>Sheet1!$D$2:$D$5</c:f>
              <c:numCache>
                <c:formatCode>General</c:formatCode>
                <c:ptCount val="4"/>
                <c:pt idx="0">
                  <c:v>9</c:v>
                </c:pt>
                <c:pt idx="2">
                  <c:v>4</c:v>
                </c:pt>
              </c:numCache>
            </c:numRef>
          </c:val>
          <c:extLst>
            <c:ext xmlns:c16="http://schemas.microsoft.com/office/drawing/2014/chart" uri="{C3380CC4-5D6E-409C-BE32-E72D297353CC}">
              <c16:uniqueId val="{00000002-45E8-4F3F-AD0D-6A186B4E2634}"/>
            </c:ext>
          </c:extLst>
        </c:ser>
        <c:ser>
          <c:idx val="3"/>
          <c:order val="3"/>
          <c:tx>
            <c:strRef>
              <c:f>Sheet1!$E$1</c:f>
              <c:strCache>
                <c:ptCount val="1"/>
                <c:pt idx="0">
                  <c:v>2011</c:v>
                </c:pt>
              </c:strCache>
            </c:strRef>
          </c:tx>
          <c:spPr>
            <a:solidFill>
              <a:schemeClr val="accent4"/>
            </a:solidFill>
            <a:ln>
              <a:noFill/>
            </a:ln>
            <a:effectLst/>
          </c:spPr>
          <c:invertIfNegative val="0"/>
          <c:cat>
            <c:strRef>
              <c:f>Sheet1!$A$2:$A$5</c:f>
              <c:strCache>
                <c:ptCount val="4"/>
                <c:pt idx="0">
                  <c:v>BR1</c:v>
                </c:pt>
                <c:pt idx="1">
                  <c:v>BR2</c:v>
                </c:pt>
                <c:pt idx="2">
                  <c:v>BR3</c:v>
                </c:pt>
                <c:pt idx="3">
                  <c:v>BR4</c:v>
                </c:pt>
              </c:strCache>
            </c:strRef>
          </c:cat>
          <c:val>
            <c:numRef>
              <c:f>Sheet1!$E$2:$E$5</c:f>
              <c:numCache>
                <c:formatCode>General</c:formatCode>
                <c:ptCount val="4"/>
                <c:pt idx="2">
                  <c:v>10</c:v>
                </c:pt>
              </c:numCache>
            </c:numRef>
          </c:val>
          <c:extLst>
            <c:ext xmlns:c16="http://schemas.microsoft.com/office/drawing/2014/chart" uri="{C3380CC4-5D6E-409C-BE32-E72D297353CC}">
              <c16:uniqueId val="{00000003-45E8-4F3F-AD0D-6A186B4E2634}"/>
            </c:ext>
          </c:extLst>
        </c:ser>
        <c:ser>
          <c:idx val="4"/>
          <c:order val="4"/>
          <c:tx>
            <c:strRef>
              <c:f>Sheet1!$F$1</c:f>
              <c:strCache>
                <c:ptCount val="1"/>
                <c:pt idx="0">
                  <c:v>2012</c:v>
                </c:pt>
              </c:strCache>
            </c:strRef>
          </c:tx>
          <c:spPr>
            <a:solidFill>
              <a:schemeClr val="accent5"/>
            </a:solidFill>
            <a:ln>
              <a:noFill/>
            </a:ln>
            <a:effectLst/>
          </c:spPr>
          <c:invertIfNegative val="0"/>
          <c:cat>
            <c:strRef>
              <c:f>Sheet1!$A$2:$A$5</c:f>
              <c:strCache>
                <c:ptCount val="4"/>
                <c:pt idx="0">
                  <c:v>BR1</c:v>
                </c:pt>
                <c:pt idx="1">
                  <c:v>BR2</c:v>
                </c:pt>
                <c:pt idx="2">
                  <c:v>BR3</c:v>
                </c:pt>
                <c:pt idx="3">
                  <c:v>BR4</c:v>
                </c:pt>
              </c:strCache>
            </c:strRef>
          </c:cat>
          <c:val>
            <c:numRef>
              <c:f>Sheet1!$F$2:$F$5</c:f>
              <c:numCache>
                <c:formatCode>General</c:formatCode>
                <c:ptCount val="4"/>
                <c:pt idx="2">
                  <c:v>23</c:v>
                </c:pt>
              </c:numCache>
            </c:numRef>
          </c:val>
          <c:extLst>
            <c:ext xmlns:c16="http://schemas.microsoft.com/office/drawing/2014/chart" uri="{C3380CC4-5D6E-409C-BE32-E72D297353CC}">
              <c16:uniqueId val="{00000004-45E8-4F3F-AD0D-6A186B4E2634}"/>
            </c:ext>
          </c:extLst>
        </c:ser>
        <c:ser>
          <c:idx val="5"/>
          <c:order val="5"/>
          <c:tx>
            <c:strRef>
              <c:f>Sheet1!$G$1</c:f>
              <c:strCache>
                <c:ptCount val="1"/>
                <c:pt idx="0">
                  <c:v>2013</c:v>
                </c:pt>
              </c:strCache>
            </c:strRef>
          </c:tx>
          <c:spPr>
            <a:solidFill>
              <a:schemeClr val="accent6"/>
            </a:solidFill>
            <a:ln>
              <a:noFill/>
            </a:ln>
            <a:effectLst/>
          </c:spPr>
          <c:invertIfNegative val="0"/>
          <c:cat>
            <c:strRef>
              <c:f>Sheet1!$A$2:$A$5</c:f>
              <c:strCache>
                <c:ptCount val="4"/>
                <c:pt idx="0">
                  <c:v>BR1</c:v>
                </c:pt>
                <c:pt idx="1">
                  <c:v>BR2</c:v>
                </c:pt>
                <c:pt idx="2">
                  <c:v>BR3</c:v>
                </c:pt>
                <c:pt idx="3">
                  <c:v>BR4</c:v>
                </c:pt>
              </c:strCache>
            </c:strRef>
          </c:cat>
          <c:val>
            <c:numRef>
              <c:f>Sheet1!$G$2:$G$5</c:f>
              <c:numCache>
                <c:formatCode>General</c:formatCode>
                <c:ptCount val="4"/>
                <c:pt idx="2">
                  <c:v>19</c:v>
                </c:pt>
              </c:numCache>
            </c:numRef>
          </c:val>
          <c:extLst>
            <c:ext xmlns:c16="http://schemas.microsoft.com/office/drawing/2014/chart" uri="{C3380CC4-5D6E-409C-BE32-E72D297353CC}">
              <c16:uniqueId val="{00000005-45E8-4F3F-AD0D-6A186B4E2634}"/>
            </c:ext>
          </c:extLst>
        </c:ser>
        <c:ser>
          <c:idx val="6"/>
          <c:order val="6"/>
          <c:tx>
            <c:strRef>
              <c:f>Sheet1!$H$1</c:f>
              <c:strCache>
                <c:ptCount val="1"/>
                <c:pt idx="0">
                  <c:v>2014</c:v>
                </c:pt>
              </c:strCache>
            </c:strRef>
          </c:tx>
          <c:spPr>
            <a:solidFill>
              <a:schemeClr val="accent1">
                <a:lumMod val="60000"/>
              </a:schemeClr>
            </a:solidFill>
            <a:ln>
              <a:noFill/>
            </a:ln>
            <a:effectLst/>
          </c:spPr>
          <c:invertIfNegative val="0"/>
          <c:cat>
            <c:strRef>
              <c:f>Sheet1!$A$2:$A$5</c:f>
              <c:strCache>
                <c:ptCount val="4"/>
                <c:pt idx="0">
                  <c:v>BR1</c:v>
                </c:pt>
                <c:pt idx="1">
                  <c:v>BR2</c:v>
                </c:pt>
                <c:pt idx="2">
                  <c:v>BR3</c:v>
                </c:pt>
                <c:pt idx="3">
                  <c:v>BR4</c:v>
                </c:pt>
              </c:strCache>
            </c:strRef>
          </c:cat>
          <c:val>
            <c:numRef>
              <c:f>Sheet1!$H$2:$H$5</c:f>
              <c:numCache>
                <c:formatCode>General</c:formatCode>
                <c:ptCount val="4"/>
              </c:numCache>
            </c:numRef>
          </c:val>
          <c:extLst>
            <c:ext xmlns:c16="http://schemas.microsoft.com/office/drawing/2014/chart" uri="{C3380CC4-5D6E-409C-BE32-E72D297353CC}">
              <c16:uniqueId val="{00000006-45E8-4F3F-AD0D-6A186B4E2634}"/>
            </c:ext>
          </c:extLst>
        </c:ser>
        <c:ser>
          <c:idx val="7"/>
          <c:order val="7"/>
          <c:tx>
            <c:strRef>
              <c:f>Sheet1!$I$1</c:f>
              <c:strCache>
                <c:ptCount val="1"/>
                <c:pt idx="0">
                  <c:v>2015</c:v>
                </c:pt>
              </c:strCache>
            </c:strRef>
          </c:tx>
          <c:spPr>
            <a:solidFill>
              <a:schemeClr val="accent2">
                <a:lumMod val="60000"/>
              </a:schemeClr>
            </a:solidFill>
            <a:ln>
              <a:noFill/>
            </a:ln>
            <a:effectLst/>
          </c:spPr>
          <c:invertIfNegative val="0"/>
          <c:cat>
            <c:strRef>
              <c:f>Sheet1!$A$2:$A$5</c:f>
              <c:strCache>
                <c:ptCount val="4"/>
                <c:pt idx="0">
                  <c:v>BR1</c:v>
                </c:pt>
                <c:pt idx="1">
                  <c:v>BR2</c:v>
                </c:pt>
                <c:pt idx="2">
                  <c:v>BR3</c:v>
                </c:pt>
                <c:pt idx="3">
                  <c:v>BR4</c:v>
                </c:pt>
              </c:strCache>
            </c:strRef>
          </c:cat>
          <c:val>
            <c:numRef>
              <c:f>Sheet1!$I$2:$I$5</c:f>
              <c:numCache>
                <c:formatCode>General</c:formatCode>
                <c:ptCount val="4"/>
              </c:numCache>
            </c:numRef>
          </c:val>
          <c:extLst>
            <c:ext xmlns:c16="http://schemas.microsoft.com/office/drawing/2014/chart" uri="{C3380CC4-5D6E-409C-BE32-E72D297353CC}">
              <c16:uniqueId val="{00000007-45E8-4F3F-AD0D-6A186B4E2634}"/>
            </c:ext>
          </c:extLst>
        </c:ser>
        <c:ser>
          <c:idx val="8"/>
          <c:order val="8"/>
          <c:tx>
            <c:strRef>
              <c:f>Sheet1!$J$1</c:f>
              <c:strCache>
                <c:ptCount val="1"/>
                <c:pt idx="0">
                  <c:v>2016</c:v>
                </c:pt>
              </c:strCache>
            </c:strRef>
          </c:tx>
          <c:spPr>
            <a:solidFill>
              <a:schemeClr val="accent3">
                <a:lumMod val="60000"/>
              </a:schemeClr>
            </a:solidFill>
            <a:ln>
              <a:noFill/>
            </a:ln>
            <a:effectLst/>
          </c:spPr>
          <c:invertIfNegative val="0"/>
          <c:cat>
            <c:strRef>
              <c:f>Sheet1!$A$2:$A$5</c:f>
              <c:strCache>
                <c:ptCount val="4"/>
                <c:pt idx="0">
                  <c:v>BR1</c:v>
                </c:pt>
                <c:pt idx="1">
                  <c:v>BR2</c:v>
                </c:pt>
                <c:pt idx="2">
                  <c:v>BR3</c:v>
                </c:pt>
                <c:pt idx="3">
                  <c:v>BR4</c:v>
                </c:pt>
              </c:strCache>
            </c:strRef>
          </c:cat>
          <c:val>
            <c:numRef>
              <c:f>Sheet1!$J$2:$J$5</c:f>
              <c:numCache>
                <c:formatCode>General</c:formatCode>
                <c:ptCount val="4"/>
              </c:numCache>
            </c:numRef>
          </c:val>
          <c:extLst>
            <c:ext xmlns:c16="http://schemas.microsoft.com/office/drawing/2014/chart" uri="{C3380CC4-5D6E-409C-BE32-E72D297353CC}">
              <c16:uniqueId val="{00000008-45E8-4F3F-AD0D-6A186B4E2634}"/>
            </c:ext>
          </c:extLst>
        </c:ser>
        <c:ser>
          <c:idx val="9"/>
          <c:order val="9"/>
          <c:tx>
            <c:strRef>
              <c:f>Sheet1!$K$1</c:f>
              <c:strCache>
                <c:ptCount val="1"/>
                <c:pt idx="0">
                  <c:v>2017*</c:v>
                </c:pt>
              </c:strCache>
            </c:strRef>
          </c:tx>
          <c:spPr>
            <a:solidFill>
              <a:schemeClr val="accent4">
                <a:lumMod val="60000"/>
              </a:schemeClr>
            </a:solidFill>
            <a:ln>
              <a:noFill/>
            </a:ln>
            <a:effectLst/>
          </c:spPr>
          <c:invertIfNegative val="0"/>
          <c:cat>
            <c:strRef>
              <c:f>Sheet1!$A$2:$A$5</c:f>
              <c:strCache>
                <c:ptCount val="4"/>
                <c:pt idx="0">
                  <c:v>BR1</c:v>
                </c:pt>
                <c:pt idx="1">
                  <c:v>BR2</c:v>
                </c:pt>
                <c:pt idx="2">
                  <c:v>BR3</c:v>
                </c:pt>
                <c:pt idx="3">
                  <c:v>BR4</c:v>
                </c:pt>
              </c:strCache>
            </c:strRef>
          </c:cat>
          <c:val>
            <c:numRef>
              <c:f>Sheet1!$K$2:$K$5</c:f>
              <c:numCache>
                <c:formatCode>General</c:formatCode>
                <c:ptCount val="4"/>
                <c:pt idx="0">
                  <c:v>1</c:v>
                </c:pt>
                <c:pt idx="2">
                  <c:v>3</c:v>
                </c:pt>
              </c:numCache>
            </c:numRef>
          </c:val>
          <c:extLst>
            <c:ext xmlns:c16="http://schemas.microsoft.com/office/drawing/2014/chart" uri="{C3380CC4-5D6E-409C-BE32-E72D297353CC}">
              <c16:uniqueId val="{00000009-45E8-4F3F-AD0D-6A186B4E2634}"/>
            </c:ext>
          </c:extLst>
        </c:ser>
        <c:dLbls>
          <c:showLegendKey val="0"/>
          <c:showVal val="0"/>
          <c:showCatName val="0"/>
          <c:showSerName val="0"/>
          <c:showPercent val="0"/>
          <c:showBubbleSize val="0"/>
        </c:dLbls>
        <c:gapWidth val="219"/>
        <c:axId val="356404736"/>
        <c:axId val="356522176"/>
      </c:barChart>
      <c:lineChart>
        <c:grouping val="standard"/>
        <c:varyColors val="0"/>
        <c:ser>
          <c:idx val="10"/>
          <c:order val="10"/>
          <c:tx>
            <c:strRef>
              <c:f>Sheet1!$L$1</c:f>
              <c:strCache>
                <c:ptCount val="1"/>
                <c:pt idx="0">
                  <c:v>35 de depăşiri</c:v>
                </c:pt>
              </c:strCache>
            </c:strRef>
          </c:tx>
          <c:spPr>
            <a:ln w="28575" cap="rnd">
              <a:solidFill>
                <a:srgbClr val="FF0000"/>
              </a:solidFill>
              <a:round/>
            </a:ln>
            <a:effectLst/>
          </c:spPr>
          <c:marker>
            <c:symbol val="none"/>
          </c:marker>
          <c:cat>
            <c:strRef>
              <c:f>Sheet1!$A$2:$A$5</c:f>
              <c:strCache>
                <c:ptCount val="4"/>
                <c:pt idx="0">
                  <c:v>BR1</c:v>
                </c:pt>
                <c:pt idx="1">
                  <c:v>BR2</c:v>
                </c:pt>
                <c:pt idx="2">
                  <c:v>BR3</c:v>
                </c:pt>
                <c:pt idx="3">
                  <c:v>BR4</c:v>
                </c:pt>
              </c:strCache>
            </c:strRef>
          </c:cat>
          <c:val>
            <c:numRef>
              <c:f>Sheet1!$L$2:$L$5</c:f>
              <c:numCache>
                <c:formatCode>General</c:formatCode>
                <c:ptCount val="4"/>
                <c:pt idx="0">
                  <c:v>35</c:v>
                </c:pt>
                <c:pt idx="1">
                  <c:v>35</c:v>
                </c:pt>
                <c:pt idx="2">
                  <c:v>35</c:v>
                </c:pt>
                <c:pt idx="3">
                  <c:v>35</c:v>
                </c:pt>
              </c:numCache>
            </c:numRef>
          </c:val>
          <c:smooth val="0"/>
          <c:extLst>
            <c:ext xmlns:c16="http://schemas.microsoft.com/office/drawing/2014/chart" uri="{C3380CC4-5D6E-409C-BE32-E72D297353CC}">
              <c16:uniqueId val="{0000000A-45E8-4F3F-AD0D-6A186B4E2634}"/>
            </c:ext>
          </c:extLst>
        </c:ser>
        <c:dLbls>
          <c:showLegendKey val="0"/>
          <c:showVal val="0"/>
          <c:showCatName val="0"/>
          <c:showSerName val="0"/>
          <c:showPercent val="0"/>
          <c:showBubbleSize val="0"/>
        </c:dLbls>
        <c:marker val="1"/>
        <c:smooth val="0"/>
        <c:axId val="356404736"/>
        <c:axId val="356522176"/>
      </c:lineChart>
      <c:catAx>
        <c:axId val="356404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Cambria" panose="02040503050406030204" pitchFamily="18" charset="0"/>
                <a:cs typeface="+mn-cs"/>
              </a:defRPr>
            </a:pPr>
            <a:endParaRPr lang="en-US"/>
          </a:p>
        </c:txPr>
        <c:crossAx val="356522176"/>
        <c:crosses val="autoZero"/>
        <c:auto val="1"/>
        <c:lblAlgn val="ctr"/>
        <c:lblOffset val="100"/>
        <c:noMultiLvlLbl val="0"/>
      </c:catAx>
      <c:valAx>
        <c:axId val="3565221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1000" b="0" i="0" u="none" strike="noStrike" kern="1200" baseline="0">
                    <a:solidFill>
                      <a:schemeClr val="tx1">
                        <a:lumMod val="65000"/>
                        <a:lumOff val="35000"/>
                      </a:schemeClr>
                    </a:solidFill>
                    <a:latin typeface="Cambria" panose="02040503050406030204" pitchFamily="18" charset="0"/>
                    <a:ea typeface="Cambria" panose="02040503050406030204" pitchFamily="18" charset="0"/>
                    <a:cs typeface="+mn-cs"/>
                  </a:defRPr>
                </a:pPr>
                <a:r>
                  <a:rPr lang="en-US"/>
                  <a:t>Număr depășiri</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Cambria" panose="02040503050406030204" pitchFamily="18" charset="0"/>
                <a:cs typeface="+mn-cs"/>
              </a:defRPr>
            </a:pPr>
            <a:endParaRPr lang="en-US"/>
          </a:p>
        </c:txPr>
        <c:crossAx val="356404736"/>
        <c:crosses val="autoZero"/>
        <c:crossBetween val="between"/>
      </c:valAx>
      <c:spPr>
        <a:noFill/>
        <a:ln>
          <a:noFill/>
        </a:ln>
        <a:effectLst/>
      </c:spPr>
    </c:plotArea>
    <c:legend>
      <c:legendPos val="b"/>
      <c:layout>
        <c:manualLayout>
          <c:xMode val="edge"/>
          <c:yMode val="edge"/>
          <c:x val="9.0219725841877249E-2"/>
          <c:y val="0.75482822109922865"/>
          <c:w val="0.88130255493145992"/>
          <c:h val="0.21638696282367689"/>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Cambria" panose="02040503050406030204" pitchFamily="18" charset="0"/>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ea typeface="Cambria" panose="02040503050406030204" pitchFamily="18" charset="0"/>
        </a:defRPr>
      </a:pPr>
      <a:endParaRPr lang="en-U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2877878964137203E-2"/>
          <c:y val="9.0277777777777707E-2"/>
          <c:w val="0.89286633272274207"/>
          <c:h val="0.73788313302942443"/>
        </c:manualLayout>
      </c:layout>
      <c:barChart>
        <c:barDir val="col"/>
        <c:grouping val="percentStacked"/>
        <c:varyColors val="0"/>
        <c:ser>
          <c:idx val="0"/>
          <c:order val="0"/>
          <c:tx>
            <c:strRef>
              <c:f>Sheet1!$B$1</c:f>
              <c:strCache>
                <c:ptCount val="1"/>
                <c:pt idx="0">
                  <c:v>1.A.1.a</c:v>
                </c:pt>
              </c:strCache>
            </c:strRef>
          </c:tx>
          <c:spPr>
            <a:solidFill>
              <a:schemeClr val="accent1"/>
            </a:solidFill>
            <a:ln>
              <a:noFill/>
            </a:ln>
            <a:effectLst/>
          </c:spPr>
          <c:invertIfNegative val="0"/>
          <c:cat>
            <c:strRef>
              <c:f>Sheet1!$A$2:$A$10</c:f>
              <c:strCache>
                <c:ptCount val="9"/>
                <c:pt idx="0">
                  <c:v>As</c:v>
                </c:pt>
                <c:pt idx="1">
                  <c:v>Cd</c:v>
                </c:pt>
                <c:pt idx="2">
                  <c:v>CO</c:v>
                </c:pt>
                <c:pt idx="3">
                  <c:v>Ni</c:v>
                </c:pt>
                <c:pt idx="4">
                  <c:v>NOx*</c:v>
                </c:pt>
                <c:pt idx="5">
                  <c:v>Pb</c:v>
                </c:pt>
                <c:pt idx="6">
                  <c:v>PM10</c:v>
                </c:pt>
                <c:pt idx="7">
                  <c:v>PM2,5</c:v>
                </c:pt>
                <c:pt idx="8">
                  <c:v>SOx</c:v>
                </c:pt>
              </c:strCache>
            </c:strRef>
          </c:cat>
          <c:val>
            <c:numRef>
              <c:f>Sheet1!$B$2:$B$10</c:f>
              <c:numCache>
                <c:formatCode>0.00%</c:formatCode>
                <c:ptCount val="9"/>
                <c:pt idx="0" formatCode="General">
                  <c:v>2.2000000000000035E-8</c:v>
                </c:pt>
                <c:pt idx="1">
                  <c:v>1.2100000000000009E-7</c:v>
                </c:pt>
                <c:pt idx="2" formatCode="General">
                  <c:v>9.4029421800000054E-3</c:v>
                </c:pt>
                <c:pt idx="3" formatCode="General">
                  <c:v>2.4100000000000016E-7</c:v>
                </c:pt>
                <c:pt idx="5" formatCode="General">
                  <c:v>4.8000000000000053E-8</c:v>
                </c:pt>
                <c:pt idx="6" formatCode="General">
                  <c:v>2.1699097340000014E-4</c:v>
                </c:pt>
                <c:pt idx="7" formatCode="General">
                  <c:v>2.1699097340000014E-4</c:v>
                </c:pt>
                <c:pt idx="8" formatCode="General">
                  <c:v>7.2330000000000048E-5</c:v>
                </c:pt>
              </c:numCache>
            </c:numRef>
          </c:val>
          <c:extLst>
            <c:ext xmlns:c16="http://schemas.microsoft.com/office/drawing/2014/chart" uri="{C3380CC4-5D6E-409C-BE32-E72D297353CC}">
              <c16:uniqueId val="{00000000-95D4-4ED5-808D-95A9C1A2E508}"/>
            </c:ext>
          </c:extLst>
        </c:ser>
        <c:ser>
          <c:idx val="1"/>
          <c:order val="1"/>
          <c:tx>
            <c:strRef>
              <c:f>Sheet1!$C$1</c:f>
              <c:strCache>
                <c:ptCount val="1"/>
                <c:pt idx="0">
                  <c:v>1.A.2.a</c:v>
                </c:pt>
              </c:strCache>
            </c:strRef>
          </c:tx>
          <c:spPr>
            <a:solidFill>
              <a:schemeClr val="accent2"/>
            </a:solidFill>
            <a:ln>
              <a:noFill/>
            </a:ln>
            <a:effectLst/>
          </c:spPr>
          <c:invertIfNegative val="0"/>
          <c:cat>
            <c:strRef>
              <c:f>Sheet1!$A$2:$A$10</c:f>
              <c:strCache>
                <c:ptCount val="9"/>
                <c:pt idx="0">
                  <c:v>As</c:v>
                </c:pt>
                <c:pt idx="1">
                  <c:v>Cd</c:v>
                </c:pt>
                <c:pt idx="2">
                  <c:v>CO</c:v>
                </c:pt>
                <c:pt idx="3">
                  <c:v>Ni</c:v>
                </c:pt>
                <c:pt idx="4">
                  <c:v>NOx*</c:v>
                </c:pt>
                <c:pt idx="5">
                  <c:v>Pb</c:v>
                </c:pt>
                <c:pt idx="6">
                  <c:v>PM10</c:v>
                </c:pt>
                <c:pt idx="7">
                  <c:v>PM2,5</c:v>
                </c:pt>
                <c:pt idx="8">
                  <c:v>SOx</c:v>
                </c:pt>
              </c:strCache>
            </c:strRef>
          </c:cat>
          <c:val>
            <c:numRef>
              <c:f>Sheet1!$C$2:$C$10</c:f>
              <c:numCache>
                <c:formatCode>General</c:formatCode>
                <c:ptCount val="9"/>
                <c:pt idx="2">
                  <c:v>0.23343775000000008</c:v>
                </c:pt>
                <c:pt idx="8">
                  <c:v>4.6687549999999967E-2</c:v>
                </c:pt>
              </c:numCache>
            </c:numRef>
          </c:val>
          <c:extLst>
            <c:ext xmlns:c16="http://schemas.microsoft.com/office/drawing/2014/chart" uri="{C3380CC4-5D6E-409C-BE32-E72D297353CC}">
              <c16:uniqueId val="{00000001-95D4-4ED5-808D-95A9C1A2E508}"/>
            </c:ext>
          </c:extLst>
        </c:ser>
        <c:ser>
          <c:idx val="2"/>
          <c:order val="2"/>
          <c:tx>
            <c:strRef>
              <c:f>Sheet1!$D$1</c:f>
              <c:strCache>
                <c:ptCount val="1"/>
                <c:pt idx="0">
                  <c:v>1.A.2.e</c:v>
                </c:pt>
              </c:strCache>
            </c:strRef>
          </c:tx>
          <c:spPr>
            <a:solidFill>
              <a:schemeClr val="accent3"/>
            </a:solidFill>
            <a:ln>
              <a:noFill/>
            </a:ln>
            <a:effectLst/>
          </c:spPr>
          <c:invertIfNegative val="0"/>
          <c:cat>
            <c:strRef>
              <c:f>Sheet1!$A$2:$A$10</c:f>
              <c:strCache>
                <c:ptCount val="9"/>
                <c:pt idx="0">
                  <c:v>As</c:v>
                </c:pt>
                <c:pt idx="1">
                  <c:v>Cd</c:v>
                </c:pt>
                <c:pt idx="2">
                  <c:v>CO</c:v>
                </c:pt>
                <c:pt idx="3">
                  <c:v>Ni</c:v>
                </c:pt>
                <c:pt idx="4">
                  <c:v>NOx*</c:v>
                </c:pt>
                <c:pt idx="5">
                  <c:v>Pb</c:v>
                </c:pt>
                <c:pt idx="6">
                  <c:v>PM10</c:v>
                </c:pt>
                <c:pt idx="7">
                  <c:v>PM2,5</c:v>
                </c:pt>
                <c:pt idx="8">
                  <c:v>SOx</c:v>
                </c:pt>
              </c:strCache>
            </c:strRef>
          </c:cat>
          <c:val>
            <c:numRef>
              <c:f>Sheet1!$D$2:$D$10</c:f>
              <c:numCache>
                <c:formatCode>0.00%</c:formatCode>
                <c:ptCount val="9"/>
                <c:pt idx="0" formatCode="General">
                  <c:v>6.2200000000000078E-7</c:v>
                </c:pt>
                <c:pt idx="1">
                  <c:v>3.4410000000000027E-6</c:v>
                </c:pt>
                <c:pt idx="2" formatCode="General">
                  <c:v>0.13772444730000008</c:v>
                </c:pt>
                <c:pt idx="3" formatCode="General">
                  <c:v>6.514000000000004E-6</c:v>
                </c:pt>
                <c:pt idx="5" formatCode="General">
                  <c:v>6.3310000000000077E-6</c:v>
                </c:pt>
                <c:pt idx="6" formatCode="General">
                  <c:v>3.3956366939999999E-3</c:v>
                </c:pt>
                <c:pt idx="7" formatCode="General">
                  <c:v>3.3956366939999999E-3</c:v>
                </c:pt>
                <c:pt idx="8" formatCode="General">
                  <c:v>3.2639420000000014E-3</c:v>
                </c:pt>
              </c:numCache>
            </c:numRef>
          </c:val>
          <c:extLst>
            <c:ext xmlns:c16="http://schemas.microsoft.com/office/drawing/2014/chart" uri="{C3380CC4-5D6E-409C-BE32-E72D297353CC}">
              <c16:uniqueId val="{00000002-95D4-4ED5-808D-95A9C1A2E508}"/>
            </c:ext>
          </c:extLst>
        </c:ser>
        <c:ser>
          <c:idx val="3"/>
          <c:order val="3"/>
          <c:tx>
            <c:strRef>
              <c:f>Sheet1!$E$1</c:f>
              <c:strCache>
                <c:ptCount val="1"/>
                <c:pt idx="0">
                  <c:v>1.A.2.f.i</c:v>
                </c:pt>
              </c:strCache>
            </c:strRef>
          </c:tx>
          <c:spPr>
            <a:solidFill>
              <a:schemeClr val="accent4"/>
            </a:solidFill>
            <a:ln>
              <a:noFill/>
            </a:ln>
            <a:effectLst/>
          </c:spPr>
          <c:invertIfNegative val="0"/>
          <c:cat>
            <c:strRef>
              <c:f>Sheet1!$A$2:$A$10</c:f>
              <c:strCache>
                <c:ptCount val="9"/>
                <c:pt idx="0">
                  <c:v>As</c:v>
                </c:pt>
                <c:pt idx="1">
                  <c:v>Cd</c:v>
                </c:pt>
                <c:pt idx="2">
                  <c:v>CO</c:v>
                </c:pt>
                <c:pt idx="3">
                  <c:v>Ni</c:v>
                </c:pt>
                <c:pt idx="4">
                  <c:v>NOx*</c:v>
                </c:pt>
                <c:pt idx="5">
                  <c:v>Pb</c:v>
                </c:pt>
                <c:pt idx="6">
                  <c:v>PM10</c:v>
                </c:pt>
                <c:pt idx="7">
                  <c:v>PM2,5</c:v>
                </c:pt>
                <c:pt idx="8">
                  <c:v>SOx</c:v>
                </c:pt>
              </c:strCache>
            </c:strRef>
          </c:cat>
          <c:val>
            <c:numRef>
              <c:f>Sheet1!$E$2:$E$10</c:f>
              <c:numCache>
                <c:formatCode>General</c:formatCode>
                <c:ptCount val="9"/>
                <c:pt idx="2">
                  <c:v>33.7700648</c:v>
                </c:pt>
                <c:pt idx="4">
                  <c:v>5.8342704000000003</c:v>
                </c:pt>
                <c:pt idx="8">
                  <c:v>3.6261994999999998</c:v>
                </c:pt>
              </c:numCache>
            </c:numRef>
          </c:val>
          <c:extLst>
            <c:ext xmlns:c16="http://schemas.microsoft.com/office/drawing/2014/chart" uri="{C3380CC4-5D6E-409C-BE32-E72D297353CC}">
              <c16:uniqueId val="{00000003-95D4-4ED5-808D-95A9C1A2E508}"/>
            </c:ext>
          </c:extLst>
        </c:ser>
        <c:ser>
          <c:idx val="4"/>
          <c:order val="4"/>
          <c:tx>
            <c:strRef>
              <c:f>Sheet1!$F$1</c:f>
              <c:strCache>
                <c:ptCount val="1"/>
                <c:pt idx="0">
                  <c:v>1.A.3.b.i</c:v>
                </c:pt>
              </c:strCache>
            </c:strRef>
          </c:tx>
          <c:spPr>
            <a:solidFill>
              <a:schemeClr val="accent5"/>
            </a:solidFill>
            <a:ln>
              <a:noFill/>
            </a:ln>
            <a:effectLst/>
          </c:spPr>
          <c:invertIfNegative val="0"/>
          <c:cat>
            <c:strRef>
              <c:f>Sheet1!$A$2:$A$10</c:f>
              <c:strCache>
                <c:ptCount val="9"/>
                <c:pt idx="0">
                  <c:v>As</c:v>
                </c:pt>
                <c:pt idx="1">
                  <c:v>Cd</c:v>
                </c:pt>
                <c:pt idx="2">
                  <c:v>CO</c:v>
                </c:pt>
                <c:pt idx="3">
                  <c:v>Ni</c:v>
                </c:pt>
                <c:pt idx="4">
                  <c:v>NOx*</c:v>
                </c:pt>
                <c:pt idx="5">
                  <c:v>Pb</c:v>
                </c:pt>
                <c:pt idx="6">
                  <c:v>PM10</c:v>
                </c:pt>
                <c:pt idx="7">
                  <c:v>PM2,5</c:v>
                </c:pt>
                <c:pt idx="8">
                  <c:v>SOx</c:v>
                </c:pt>
              </c:strCache>
            </c:strRef>
          </c:cat>
          <c:val>
            <c:numRef>
              <c:f>Sheet1!$F$2:$F$10</c:f>
              <c:numCache>
                <c:formatCode>0.00%</c:formatCode>
                <c:ptCount val="9"/>
                <c:pt idx="1">
                  <c:v>2.0300000000000011E-4</c:v>
                </c:pt>
                <c:pt idx="2" formatCode="General">
                  <c:v>1998.7379120000001</c:v>
                </c:pt>
                <c:pt idx="3" formatCode="General">
                  <c:v>5.6500000000000029E-4</c:v>
                </c:pt>
                <c:pt idx="4" formatCode="General">
                  <c:v>128.51950699999998</c:v>
                </c:pt>
                <c:pt idx="5" formatCode="General">
                  <c:v>6.5580000000000031E-3</c:v>
                </c:pt>
                <c:pt idx="6" formatCode="General">
                  <c:v>7.9834949999999996</c:v>
                </c:pt>
                <c:pt idx="7" formatCode="General">
                  <c:v>5.8748939999999985</c:v>
                </c:pt>
              </c:numCache>
            </c:numRef>
          </c:val>
          <c:extLst>
            <c:ext xmlns:c16="http://schemas.microsoft.com/office/drawing/2014/chart" uri="{C3380CC4-5D6E-409C-BE32-E72D297353CC}">
              <c16:uniqueId val="{00000004-95D4-4ED5-808D-95A9C1A2E508}"/>
            </c:ext>
          </c:extLst>
        </c:ser>
        <c:ser>
          <c:idx val="5"/>
          <c:order val="5"/>
          <c:tx>
            <c:strRef>
              <c:f>Sheet1!$G$1</c:f>
              <c:strCache>
                <c:ptCount val="1"/>
                <c:pt idx="0">
                  <c:v>1.A.3.b.ii</c:v>
                </c:pt>
              </c:strCache>
            </c:strRef>
          </c:tx>
          <c:spPr>
            <a:solidFill>
              <a:schemeClr val="accent6"/>
            </a:solidFill>
            <a:ln>
              <a:noFill/>
            </a:ln>
            <a:effectLst/>
          </c:spPr>
          <c:invertIfNegative val="0"/>
          <c:cat>
            <c:strRef>
              <c:f>Sheet1!$A$2:$A$10</c:f>
              <c:strCache>
                <c:ptCount val="9"/>
                <c:pt idx="0">
                  <c:v>As</c:v>
                </c:pt>
                <c:pt idx="1">
                  <c:v>Cd</c:v>
                </c:pt>
                <c:pt idx="2">
                  <c:v>CO</c:v>
                </c:pt>
                <c:pt idx="3">
                  <c:v>Ni</c:v>
                </c:pt>
                <c:pt idx="4">
                  <c:v>NOx*</c:v>
                </c:pt>
                <c:pt idx="5">
                  <c:v>Pb</c:v>
                </c:pt>
                <c:pt idx="6">
                  <c:v>PM10</c:v>
                </c:pt>
                <c:pt idx="7">
                  <c:v>PM2,5</c:v>
                </c:pt>
                <c:pt idx="8">
                  <c:v>SOx</c:v>
                </c:pt>
              </c:strCache>
            </c:strRef>
          </c:cat>
          <c:val>
            <c:numRef>
              <c:f>Sheet1!$G$2:$G$10</c:f>
              <c:numCache>
                <c:formatCode>0.00%</c:formatCode>
                <c:ptCount val="9"/>
                <c:pt idx="1">
                  <c:v>2.7000000000000023E-5</c:v>
                </c:pt>
                <c:pt idx="2" formatCode="General">
                  <c:v>256.20136499999984</c:v>
                </c:pt>
                <c:pt idx="3" formatCode="General">
                  <c:v>8.0000000000000061E-5</c:v>
                </c:pt>
                <c:pt idx="4" formatCode="General">
                  <c:v>10.372101000000002</c:v>
                </c:pt>
                <c:pt idx="5" formatCode="General">
                  <c:v>1.003E-3</c:v>
                </c:pt>
                <c:pt idx="6" formatCode="General">
                  <c:v>2.2773850000000002</c:v>
                </c:pt>
                <c:pt idx="7" formatCode="General">
                  <c:v>1.9584420000000007</c:v>
                </c:pt>
              </c:numCache>
            </c:numRef>
          </c:val>
          <c:extLst>
            <c:ext xmlns:c16="http://schemas.microsoft.com/office/drawing/2014/chart" uri="{C3380CC4-5D6E-409C-BE32-E72D297353CC}">
              <c16:uniqueId val="{00000005-95D4-4ED5-808D-95A9C1A2E508}"/>
            </c:ext>
          </c:extLst>
        </c:ser>
        <c:ser>
          <c:idx val="6"/>
          <c:order val="6"/>
          <c:tx>
            <c:strRef>
              <c:f>Sheet1!$H$1</c:f>
              <c:strCache>
                <c:ptCount val="1"/>
                <c:pt idx="0">
                  <c:v>1.A.3.b.iii</c:v>
                </c:pt>
              </c:strCache>
            </c:strRef>
          </c:tx>
          <c:spPr>
            <a:solidFill>
              <a:schemeClr val="accent1">
                <a:lumMod val="60000"/>
              </a:schemeClr>
            </a:solidFill>
            <a:ln>
              <a:noFill/>
            </a:ln>
            <a:effectLst/>
          </c:spPr>
          <c:invertIfNegative val="0"/>
          <c:cat>
            <c:strRef>
              <c:f>Sheet1!$A$2:$A$10</c:f>
              <c:strCache>
                <c:ptCount val="9"/>
                <c:pt idx="0">
                  <c:v>As</c:v>
                </c:pt>
                <c:pt idx="1">
                  <c:v>Cd</c:v>
                </c:pt>
                <c:pt idx="2">
                  <c:v>CO</c:v>
                </c:pt>
                <c:pt idx="3">
                  <c:v>Ni</c:v>
                </c:pt>
                <c:pt idx="4">
                  <c:v>NOx*</c:v>
                </c:pt>
                <c:pt idx="5">
                  <c:v>Pb</c:v>
                </c:pt>
                <c:pt idx="6">
                  <c:v>PM10</c:v>
                </c:pt>
                <c:pt idx="7">
                  <c:v>PM2,5</c:v>
                </c:pt>
                <c:pt idx="8">
                  <c:v>SOx</c:v>
                </c:pt>
              </c:strCache>
            </c:strRef>
          </c:cat>
          <c:val>
            <c:numRef>
              <c:f>Sheet1!$H$2:$H$10</c:f>
              <c:numCache>
                <c:formatCode>0.00%</c:formatCode>
                <c:ptCount val="9"/>
                <c:pt idx="1">
                  <c:v>3.1500000000000023E-4</c:v>
                </c:pt>
                <c:pt idx="2" formatCode="General">
                  <c:v>237.94168399999998</c:v>
                </c:pt>
                <c:pt idx="3" formatCode="General">
                  <c:v>1.0420000000000006E-3</c:v>
                </c:pt>
                <c:pt idx="4" formatCode="General">
                  <c:v>269.39930099999981</c:v>
                </c:pt>
                <c:pt idx="5" formatCode="General">
                  <c:v>1.523E-2</c:v>
                </c:pt>
                <c:pt idx="6" formatCode="General">
                  <c:v>32.034600000000005</c:v>
                </c:pt>
                <c:pt idx="7" formatCode="General">
                  <c:v>27.80067</c:v>
                </c:pt>
              </c:numCache>
            </c:numRef>
          </c:val>
          <c:extLst>
            <c:ext xmlns:c16="http://schemas.microsoft.com/office/drawing/2014/chart" uri="{C3380CC4-5D6E-409C-BE32-E72D297353CC}">
              <c16:uniqueId val="{00000006-95D4-4ED5-808D-95A9C1A2E508}"/>
            </c:ext>
          </c:extLst>
        </c:ser>
        <c:ser>
          <c:idx val="7"/>
          <c:order val="7"/>
          <c:tx>
            <c:strRef>
              <c:f>Sheet1!$I$1</c:f>
              <c:strCache>
                <c:ptCount val="1"/>
                <c:pt idx="0">
                  <c:v>1.A.3.b.iv</c:v>
                </c:pt>
              </c:strCache>
            </c:strRef>
          </c:tx>
          <c:spPr>
            <a:solidFill>
              <a:schemeClr val="accent2">
                <a:lumMod val="60000"/>
              </a:schemeClr>
            </a:solidFill>
            <a:ln>
              <a:noFill/>
            </a:ln>
            <a:effectLst/>
          </c:spPr>
          <c:invertIfNegative val="0"/>
          <c:cat>
            <c:strRef>
              <c:f>Sheet1!$A$2:$A$10</c:f>
              <c:strCache>
                <c:ptCount val="9"/>
                <c:pt idx="0">
                  <c:v>As</c:v>
                </c:pt>
                <c:pt idx="1">
                  <c:v>Cd</c:v>
                </c:pt>
                <c:pt idx="2">
                  <c:v>CO</c:v>
                </c:pt>
                <c:pt idx="3">
                  <c:v>Ni</c:v>
                </c:pt>
                <c:pt idx="4">
                  <c:v>NOx*</c:v>
                </c:pt>
                <c:pt idx="5">
                  <c:v>Pb</c:v>
                </c:pt>
                <c:pt idx="6">
                  <c:v>PM10</c:v>
                </c:pt>
                <c:pt idx="7">
                  <c:v>PM2,5</c:v>
                </c:pt>
                <c:pt idx="8">
                  <c:v>SOx</c:v>
                </c:pt>
              </c:strCache>
            </c:strRef>
          </c:cat>
          <c:val>
            <c:numRef>
              <c:f>Sheet1!$I$2:$I$10</c:f>
              <c:numCache>
                <c:formatCode>0.00%</c:formatCode>
                <c:ptCount val="9"/>
                <c:pt idx="1">
                  <c:v>1.0000000000000014E-6</c:v>
                </c:pt>
                <c:pt idx="2" formatCode="General">
                  <c:v>14.213551000000001</c:v>
                </c:pt>
                <c:pt idx="3" formatCode="General">
                  <c:v>2.0000000000000016E-6</c:v>
                </c:pt>
                <c:pt idx="4" formatCode="General">
                  <c:v>0.14595100000000008</c:v>
                </c:pt>
                <c:pt idx="5" formatCode="General">
                  <c:v>2.4000000000000018E-5</c:v>
                </c:pt>
                <c:pt idx="6" formatCode="General">
                  <c:v>9.8517000000000077E-2</c:v>
                </c:pt>
                <c:pt idx="7" formatCode="General">
                  <c:v>9.0836000000000028E-2</c:v>
                </c:pt>
              </c:numCache>
            </c:numRef>
          </c:val>
          <c:extLst>
            <c:ext xmlns:c16="http://schemas.microsoft.com/office/drawing/2014/chart" uri="{C3380CC4-5D6E-409C-BE32-E72D297353CC}">
              <c16:uniqueId val="{00000007-95D4-4ED5-808D-95A9C1A2E508}"/>
            </c:ext>
          </c:extLst>
        </c:ser>
        <c:ser>
          <c:idx val="8"/>
          <c:order val="8"/>
          <c:tx>
            <c:strRef>
              <c:f>Sheet1!$J$1</c:f>
              <c:strCache>
                <c:ptCount val="1"/>
                <c:pt idx="0">
                  <c:v>1.A.4.a.i</c:v>
                </c:pt>
              </c:strCache>
            </c:strRef>
          </c:tx>
          <c:spPr>
            <a:solidFill>
              <a:schemeClr val="accent3">
                <a:lumMod val="60000"/>
              </a:schemeClr>
            </a:solidFill>
            <a:ln>
              <a:noFill/>
            </a:ln>
            <a:effectLst/>
          </c:spPr>
          <c:invertIfNegative val="0"/>
          <c:cat>
            <c:strRef>
              <c:f>Sheet1!$A$2:$A$10</c:f>
              <c:strCache>
                <c:ptCount val="9"/>
                <c:pt idx="0">
                  <c:v>As</c:v>
                </c:pt>
                <c:pt idx="1">
                  <c:v>Cd</c:v>
                </c:pt>
                <c:pt idx="2">
                  <c:v>CO</c:v>
                </c:pt>
                <c:pt idx="3">
                  <c:v>Ni</c:v>
                </c:pt>
                <c:pt idx="4">
                  <c:v>NOx*</c:v>
                </c:pt>
                <c:pt idx="5">
                  <c:v>Pb</c:v>
                </c:pt>
                <c:pt idx="6">
                  <c:v>PM10</c:v>
                </c:pt>
                <c:pt idx="7">
                  <c:v>PM2,5</c:v>
                </c:pt>
                <c:pt idx="8">
                  <c:v>SOx</c:v>
                </c:pt>
              </c:strCache>
            </c:strRef>
          </c:cat>
          <c:val>
            <c:numRef>
              <c:f>Sheet1!$J$2:$J$10</c:f>
              <c:numCache>
                <c:formatCode>0.00%</c:formatCode>
                <c:ptCount val="9"/>
                <c:pt idx="0" formatCode="General">
                  <c:v>1.7938800000000008E-4</c:v>
                </c:pt>
                <c:pt idx="1">
                  <c:v>2.9258300000000012E-4</c:v>
                </c:pt>
                <c:pt idx="2" formatCode="General">
                  <c:v>212.18504128500001</c:v>
                </c:pt>
                <c:pt idx="3" formatCode="General">
                  <c:v>3.127459300000001E-2</c:v>
                </c:pt>
                <c:pt idx="4" formatCode="General">
                  <c:v>26.578321829999989</c:v>
                </c:pt>
                <c:pt idx="5" formatCode="General">
                  <c:v>2.2218580000000002E-3</c:v>
                </c:pt>
                <c:pt idx="6" formatCode="General">
                  <c:v>6.724694334999997</c:v>
                </c:pt>
                <c:pt idx="7" formatCode="General">
                  <c:v>6.3862943349999997</c:v>
                </c:pt>
                <c:pt idx="8" formatCode="General">
                  <c:v>11.041189671</c:v>
                </c:pt>
              </c:numCache>
            </c:numRef>
          </c:val>
          <c:extLst>
            <c:ext xmlns:c16="http://schemas.microsoft.com/office/drawing/2014/chart" uri="{C3380CC4-5D6E-409C-BE32-E72D297353CC}">
              <c16:uniqueId val="{00000008-95D4-4ED5-808D-95A9C1A2E508}"/>
            </c:ext>
          </c:extLst>
        </c:ser>
        <c:ser>
          <c:idx val="9"/>
          <c:order val="9"/>
          <c:tx>
            <c:strRef>
              <c:f>Sheet1!$K$1</c:f>
              <c:strCache>
                <c:ptCount val="1"/>
                <c:pt idx="0">
                  <c:v>1.A.4.a.ii</c:v>
                </c:pt>
              </c:strCache>
            </c:strRef>
          </c:tx>
          <c:spPr>
            <a:solidFill>
              <a:schemeClr val="accent4">
                <a:lumMod val="60000"/>
              </a:schemeClr>
            </a:solidFill>
            <a:ln>
              <a:noFill/>
            </a:ln>
            <a:effectLst/>
          </c:spPr>
          <c:invertIfNegative val="0"/>
          <c:cat>
            <c:strRef>
              <c:f>Sheet1!$A$2:$A$10</c:f>
              <c:strCache>
                <c:ptCount val="9"/>
                <c:pt idx="0">
                  <c:v>As</c:v>
                </c:pt>
                <c:pt idx="1">
                  <c:v>Cd</c:v>
                </c:pt>
                <c:pt idx="2">
                  <c:v>CO</c:v>
                </c:pt>
                <c:pt idx="3">
                  <c:v>Ni</c:v>
                </c:pt>
                <c:pt idx="4">
                  <c:v>NOx*</c:v>
                </c:pt>
                <c:pt idx="5">
                  <c:v>Pb</c:v>
                </c:pt>
                <c:pt idx="6">
                  <c:v>PM10</c:v>
                </c:pt>
                <c:pt idx="7">
                  <c:v>PM2,5</c:v>
                </c:pt>
                <c:pt idx="8">
                  <c:v>SOx</c:v>
                </c:pt>
              </c:strCache>
            </c:strRef>
          </c:cat>
          <c:val>
            <c:numRef>
              <c:f>Sheet1!$K$2:$K$10</c:f>
              <c:numCache>
                <c:formatCode>0.00%</c:formatCode>
                <c:ptCount val="9"/>
                <c:pt idx="0" formatCode="General">
                  <c:v>2.3000000000000027E-8</c:v>
                </c:pt>
                <c:pt idx="1">
                  <c:v>1.2600000000000012E-7</c:v>
                </c:pt>
                <c:pt idx="2" formatCode="General">
                  <c:v>4.8650619999999999E-3</c:v>
                </c:pt>
                <c:pt idx="3" formatCode="General">
                  <c:v>2.3900000000000017E-7</c:v>
                </c:pt>
                <c:pt idx="5" formatCode="General">
                  <c:v>2.3800000000000017E-7</c:v>
                </c:pt>
                <c:pt idx="6" formatCode="General">
                  <c:v>1.2162700000000005E-4</c:v>
                </c:pt>
                <c:pt idx="7" formatCode="General">
                  <c:v>1.2162700000000005E-4</c:v>
                </c:pt>
                <c:pt idx="8" formatCode="General">
                  <c:v>1.2162700000000005E-4</c:v>
                </c:pt>
              </c:numCache>
            </c:numRef>
          </c:val>
          <c:extLst>
            <c:ext xmlns:c16="http://schemas.microsoft.com/office/drawing/2014/chart" uri="{C3380CC4-5D6E-409C-BE32-E72D297353CC}">
              <c16:uniqueId val="{00000009-95D4-4ED5-808D-95A9C1A2E508}"/>
            </c:ext>
          </c:extLst>
        </c:ser>
        <c:ser>
          <c:idx val="10"/>
          <c:order val="10"/>
          <c:tx>
            <c:strRef>
              <c:f>Sheet1!$L$1</c:f>
              <c:strCache>
                <c:ptCount val="1"/>
                <c:pt idx="0">
                  <c:v>1.A.4.b.i</c:v>
                </c:pt>
              </c:strCache>
            </c:strRef>
          </c:tx>
          <c:spPr>
            <a:solidFill>
              <a:schemeClr val="accent5">
                <a:lumMod val="60000"/>
              </a:schemeClr>
            </a:solidFill>
            <a:ln>
              <a:noFill/>
            </a:ln>
            <a:effectLst/>
          </c:spPr>
          <c:invertIfNegative val="0"/>
          <c:cat>
            <c:strRef>
              <c:f>Sheet1!$A$2:$A$10</c:f>
              <c:strCache>
                <c:ptCount val="9"/>
                <c:pt idx="0">
                  <c:v>As</c:v>
                </c:pt>
                <c:pt idx="1">
                  <c:v>Cd</c:v>
                </c:pt>
                <c:pt idx="2">
                  <c:v>CO</c:v>
                </c:pt>
                <c:pt idx="3">
                  <c:v>Ni</c:v>
                </c:pt>
                <c:pt idx="4">
                  <c:v>NOx*</c:v>
                </c:pt>
                <c:pt idx="5">
                  <c:v>Pb</c:v>
                </c:pt>
                <c:pt idx="6">
                  <c:v>PM10</c:v>
                </c:pt>
                <c:pt idx="7">
                  <c:v>PM2,5</c:v>
                </c:pt>
                <c:pt idx="8">
                  <c:v>SOx</c:v>
                </c:pt>
              </c:strCache>
            </c:strRef>
          </c:cat>
          <c:val>
            <c:numRef>
              <c:f>Sheet1!$L$2:$L$10</c:f>
              <c:numCache>
                <c:formatCode>0.00%</c:formatCode>
                <c:ptCount val="9"/>
                <c:pt idx="0" formatCode="General">
                  <c:v>2.0047300000000025E-4</c:v>
                </c:pt>
                <c:pt idx="1">
                  <c:v>3.6256500000000019E-4</c:v>
                </c:pt>
                <c:pt idx="2" formatCode="General">
                  <c:v>1359.3632174430002</c:v>
                </c:pt>
                <c:pt idx="3" formatCode="General">
                  <c:v>9.8236300000000129E-4</c:v>
                </c:pt>
                <c:pt idx="4" formatCode="General">
                  <c:v>18.114804980000017</c:v>
                </c:pt>
                <c:pt idx="5" formatCode="General">
                  <c:v>9.7734770000000026E-3</c:v>
                </c:pt>
                <c:pt idx="6" formatCode="General">
                  <c:v>180.10557855300002</c:v>
                </c:pt>
                <c:pt idx="7" formatCode="General">
                  <c:v>180.10519455300002</c:v>
                </c:pt>
                <c:pt idx="8" formatCode="General">
                  <c:v>3.4160686329999979</c:v>
                </c:pt>
              </c:numCache>
            </c:numRef>
          </c:val>
          <c:extLst>
            <c:ext xmlns:c16="http://schemas.microsoft.com/office/drawing/2014/chart" uri="{C3380CC4-5D6E-409C-BE32-E72D297353CC}">
              <c16:uniqueId val="{0000000A-95D4-4ED5-808D-95A9C1A2E508}"/>
            </c:ext>
          </c:extLst>
        </c:ser>
        <c:ser>
          <c:idx val="11"/>
          <c:order val="11"/>
          <c:tx>
            <c:strRef>
              <c:f>Sheet1!$M$1</c:f>
              <c:strCache>
                <c:ptCount val="1"/>
                <c:pt idx="0">
                  <c:v>1.A.4.c.i</c:v>
                </c:pt>
              </c:strCache>
            </c:strRef>
          </c:tx>
          <c:spPr>
            <a:solidFill>
              <a:schemeClr val="accent6">
                <a:lumMod val="60000"/>
              </a:schemeClr>
            </a:solidFill>
            <a:ln>
              <a:noFill/>
            </a:ln>
            <a:effectLst/>
          </c:spPr>
          <c:invertIfNegative val="0"/>
          <c:cat>
            <c:strRef>
              <c:f>Sheet1!$A$2:$A$10</c:f>
              <c:strCache>
                <c:ptCount val="9"/>
                <c:pt idx="0">
                  <c:v>As</c:v>
                </c:pt>
                <c:pt idx="1">
                  <c:v>Cd</c:v>
                </c:pt>
                <c:pt idx="2">
                  <c:v>CO</c:v>
                </c:pt>
                <c:pt idx="3">
                  <c:v>Ni</c:v>
                </c:pt>
                <c:pt idx="4">
                  <c:v>NOx*</c:v>
                </c:pt>
                <c:pt idx="5">
                  <c:v>Pb</c:v>
                </c:pt>
                <c:pt idx="6">
                  <c:v>PM10</c:v>
                </c:pt>
                <c:pt idx="7">
                  <c:v>PM2,5</c:v>
                </c:pt>
                <c:pt idx="8">
                  <c:v>SOx</c:v>
                </c:pt>
              </c:strCache>
            </c:strRef>
          </c:cat>
          <c:val>
            <c:numRef>
              <c:f>Sheet1!$M$2:$M$10</c:f>
              <c:numCache>
                <c:formatCode>0.00%</c:formatCode>
                <c:ptCount val="9"/>
                <c:pt idx="0" formatCode="General">
                  <c:v>9.4900000000000142E-7</c:v>
                </c:pt>
                <c:pt idx="1">
                  <c:v>5.1040000000000014E-6</c:v>
                </c:pt>
                <c:pt idx="2" formatCode="General">
                  <c:v>0.23340844700000013</c:v>
                </c:pt>
                <c:pt idx="3" formatCode="General">
                  <c:v>9.7030000000000086E-6</c:v>
                </c:pt>
                <c:pt idx="4" formatCode="General">
                  <c:v>0.68509006100000003</c:v>
                </c:pt>
                <c:pt idx="5" formatCode="General">
                  <c:v>9.7650000000000124E-6</c:v>
                </c:pt>
                <c:pt idx="6" formatCode="General">
                  <c:v>0.14252814699999999</c:v>
                </c:pt>
                <c:pt idx="7" formatCode="General">
                  <c:v>0.14252814699999999</c:v>
                </c:pt>
                <c:pt idx="8" formatCode="General">
                  <c:v>0.6713349470000004</c:v>
                </c:pt>
              </c:numCache>
            </c:numRef>
          </c:val>
          <c:extLst>
            <c:ext xmlns:c16="http://schemas.microsoft.com/office/drawing/2014/chart" uri="{C3380CC4-5D6E-409C-BE32-E72D297353CC}">
              <c16:uniqueId val="{0000000B-95D4-4ED5-808D-95A9C1A2E508}"/>
            </c:ext>
          </c:extLst>
        </c:ser>
        <c:ser>
          <c:idx val="12"/>
          <c:order val="12"/>
          <c:tx>
            <c:strRef>
              <c:f>Sheet1!$N$1</c:f>
              <c:strCache>
                <c:ptCount val="1"/>
                <c:pt idx="0">
                  <c:v>2.A.6</c:v>
                </c:pt>
              </c:strCache>
            </c:strRef>
          </c:tx>
          <c:spPr>
            <a:solidFill>
              <a:schemeClr val="accent1">
                <a:lumMod val="80000"/>
                <a:lumOff val="20000"/>
              </a:schemeClr>
            </a:solidFill>
            <a:ln>
              <a:noFill/>
            </a:ln>
            <a:effectLst/>
          </c:spPr>
          <c:invertIfNegative val="0"/>
          <c:cat>
            <c:strRef>
              <c:f>Sheet1!$A$2:$A$10</c:f>
              <c:strCache>
                <c:ptCount val="9"/>
                <c:pt idx="0">
                  <c:v>As</c:v>
                </c:pt>
                <c:pt idx="1">
                  <c:v>Cd</c:v>
                </c:pt>
                <c:pt idx="2">
                  <c:v>CO</c:v>
                </c:pt>
                <c:pt idx="3">
                  <c:v>Ni</c:v>
                </c:pt>
                <c:pt idx="4">
                  <c:v>NOx*</c:v>
                </c:pt>
                <c:pt idx="5">
                  <c:v>Pb</c:v>
                </c:pt>
                <c:pt idx="6">
                  <c:v>PM10</c:v>
                </c:pt>
                <c:pt idx="7">
                  <c:v>PM2,5</c:v>
                </c:pt>
                <c:pt idx="8">
                  <c:v>SOx</c:v>
                </c:pt>
              </c:strCache>
            </c:strRef>
          </c:cat>
          <c:val>
            <c:numRef>
              <c:f>Sheet1!$N$2:$N$10</c:f>
              <c:numCache>
                <c:formatCode>General</c:formatCode>
                <c:ptCount val="9"/>
                <c:pt idx="6">
                  <c:v>491.65199999999999</c:v>
                </c:pt>
                <c:pt idx="7">
                  <c:v>114.7188</c:v>
                </c:pt>
              </c:numCache>
            </c:numRef>
          </c:val>
          <c:extLst>
            <c:ext xmlns:c16="http://schemas.microsoft.com/office/drawing/2014/chart" uri="{C3380CC4-5D6E-409C-BE32-E72D297353CC}">
              <c16:uniqueId val="{0000000C-95D4-4ED5-808D-95A9C1A2E508}"/>
            </c:ext>
          </c:extLst>
        </c:ser>
        <c:ser>
          <c:idx val="13"/>
          <c:order val="13"/>
          <c:tx>
            <c:strRef>
              <c:f>Sheet1!$O$1</c:f>
              <c:strCache>
                <c:ptCount val="1"/>
                <c:pt idx="0">
                  <c:v>2.A.7.b</c:v>
                </c:pt>
              </c:strCache>
            </c:strRef>
          </c:tx>
          <c:spPr>
            <a:solidFill>
              <a:schemeClr val="accent2">
                <a:lumMod val="80000"/>
                <a:lumOff val="20000"/>
              </a:schemeClr>
            </a:solidFill>
            <a:ln>
              <a:noFill/>
            </a:ln>
            <a:effectLst/>
          </c:spPr>
          <c:invertIfNegative val="0"/>
          <c:cat>
            <c:strRef>
              <c:f>Sheet1!$A$2:$A$10</c:f>
              <c:strCache>
                <c:ptCount val="9"/>
                <c:pt idx="0">
                  <c:v>As</c:v>
                </c:pt>
                <c:pt idx="1">
                  <c:v>Cd</c:v>
                </c:pt>
                <c:pt idx="2">
                  <c:v>CO</c:v>
                </c:pt>
                <c:pt idx="3">
                  <c:v>Ni</c:v>
                </c:pt>
                <c:pt idx="4">
                  <c:v>NOx*</c:v>
                </c:pt>
                <c:pt idx="5">
                  <c:v>Pb</c:v>
                </c:pt>
                <c:pt idx="6">
                  <c:v>PM10</c:v>
                </c:pt>
                <c:pt idx="7">
                  <c:v>PM2,5</c:v>
                </c:pt>
                <c:pt idx="8">
                  <c:v>SOx</c:v>
                </c:pt>
              </c:strCache>
            </c:strRef>
          </c:cat>
          <c:val>
            <c:numRef>
              <c:f>Sheet1!$O$2:$O$10</c:f>
              <c:numCache>
                <c:formatCode>General</c:formatCode>
                <c:ptCount val="9"/>
                <c:pt idx="6">
                  <c:v>0.26113919999999996</c:v>
                </c:pt>
                <c:pt idx="7">
                  <c:v>2.6113920000000002E-2</c:v>
                </c:pt>
              </c:numCache>
            </c:numRef>
          </c:val>
          <c:extLst>
            <c:ext xmlns:c16="http://schemas.microsoft.com/office/drawing/2014/chart" uri="{C3380CC4-5D6E-409C-BE32-E72D297353CC}">
              <c16:uniqueId val="{0000000D-95D4-4ED5-808D-95A9C1A2E508}"/>
            </c:ext>
          </c:extLst>
        </c:ser>
        <c:ser>
          <c:idx val="14"/>
          <c:order val="14"/>
          <c:tx>
            <c:strRef>
              <c:f>Sheet1!$P$1</c:f>
              <c:strCache>
                <c:ptCount val="1"/>
                <c:pt idx="0">
                  <c:v>2.C.1</c:v>
                </c:pt>
              </c:strCache>
            </c:strRef>
          </c:tx>
          <c:spPr>
            <a:solidFill>
              <a:schemeClr val="accent3">
                <a:lumMod val="80000"/>
                <a:lumOff val="20000"/>
              </a:schemeClr>
            </a:solidFill>
            <a:ln>
              <a:noFill/>
            </a:ln>
            <a:effectLst/>
          </c:spPr>
          <c:invertIfNegative val="0"/>
          <c:cat>
            <c:strRef>
              <c:f>Sheet1!$A$2:$A$10</c:f>
              <c:strCache>
                <c:ptCount val="9"/>
                <c:pt idx="0">
                  <c:v>As</c:v>
                </c:pt>
                <c:pt idx="1">
                  <c:v>Cd</c:v>
                </c:pt>
                <c:pt idx="2">
                  <c:v>CO</c:v>
                </c:pt>
                <c:pt idx="3">
                  <c:v>Ni</c:v>
                </c:pt>
                <c:pt idx="4">
                  <c:v>NOx*</c:v>
                </c:pt>
                <c:pt idx="5">
                  <c:v>Pb</c:v>
                </c:pt>
                <c:pt idx="6">
                  <c:v>PM10</c:v>
                </c:pt>
                <c:pt idx="7">
                  <c:v>PM2,5</c:v>
                </c:pt>
                <c:pt idx="8">
                  <c:v>SOx</c:v>
                </c:pt>
              </c:strCache>
            </c:strRef>
          </c:cat>
          <c:val>
            <c:numRef>
              <c:f>Sheet1!$P$2:$P$10</c:f>
              <c:numCache>
                <c:formatCode>0.00%</c:formatCode>
                <c:ptCount val="9"/>
                <c:pt idx="0" formatCode="General">
                  <c:v>1.6935800000000015E-4</c:v>
                </c:pt>
                <c:pt idx="1">
                  <c:v>2.3933800000000015E-4</c:v>
                </c:pt>
                <c:pt idx="2" formatCode="General">
                  <c:v>2.6165549999999986</c:v>
                </c:pt>
                <c:pt idx="3" formatCode="General">
                  <c:v>1.4904100000000008E-3</c:v>
                </c:pt>
                <c:pt idx="5" formatCode="General">
                  <c:v>3.3460095000000002E-2</c:v>
                </c:pt>
                <c:pt idx="6" formatCode="General">
                  <c:v>0.29346460000000024</c:v>
                </c:pt>
                <c:pt idx="7" formatCode="General">
                  <c:v>0.23754215000000009</c:v>
                </c:pt>
                <c:pt idx="8" formatCode="General">
                  <c:v>9.2348999999999987E-2</c:v>
                </c:pt>
              </c:numCache>
            </c:numRef>
          </c:val>
          <c:extLst>
            <c:ext xmlns:c16="http://schemas.microsoft.com/office/drawing/2014/chart" uri="{C3380CC4-5D6E-409C-BE32-E72D297353CC}">
              <c16:uniqueId val="{0000000E-95D4-4ED5-808D-95A9C1A2E508}"/>
            </c:ext>
          </c:extLst>
        </c:ser>
        <c:ser>
          <c:idx val="15"/>
          <c:order val="15"/>
          <c:tx>
            <c:strRef>
              <c:f>Sheet1!$Q$1</c:f>
              <c:strCache>
                <c:ptCount val="1"/>
                <c:pt idx="0">
                  <c:v>4.B.8</c:v>
                </c:pt>
              </c:strCache>
            </c:strRef>
          </c:tx>
          <c:spPr>
            <a:solidFill>
              <a:schemeClr val="accent4">
                <a:lumMod val="80000"/>
                <a:lumOff val="20000"/>
              </a:schemeClr>
            </a:solidFill>
            <a:ln>
              <a:noFill/>
            </a:ln>
            <a:effectLst/>
          </c:spPr>
          <c:invertIfNegative val="0"/>
          <c:cat>
            <c:strRef>
              <c:f>Sheet1!$A$2:$A$10</c:f>
              <c:strCache>
                <c:ptCount val="9"/>
                <c:pt idx="0">
                  <c:v>As</c:v>
                </c:pt>
                <c:pt idx="1">
                  <c:v>Cd</c:v>
                </c:pt>
                <c:pt idx="2">
                  <c:v>CO</c:v>
                </c:pt>
                <c:pt idx="3">
                  <c:v>Ni</c:v>
                </c:pt>
                <c:pt idx="4">
                  <c:v>NOx*</c:v>
                </c:pt>
                <c:pt idx="5">
                  <c:v>Pb</c:v>
                </c:pt>
                <c:pt idx="6">
                  <c:v>PM10</c:v>
                </c:pt>
                <c:pt idx="7">
                  <c:v>PM2,5</c:v>
                </c:pt>
                <c:pt idx="8">
                  <c:v>SOx</c:v>
                </c:pt>
              </c:strCache>
            </c:strRef>
          </c:cat>
          <c:val>
            <c:numRef>
              <c:f>Sheet1!$Q$2:$Q$10</c:f>
              <c:numCache>
                <c:formatCode>General</c:formatCode>
                <c:ptCount val="9"/>
                <c:pt idx="6">
                  <c:v>72.759260000000026</c:v>
                </c:pt>
                <c:pt idx="7">
                  <c:v>11.539290000000001</c:v>
                </c:pt>
              </c:numCache>
            </c:numRef>
          </c:val>
          <c:extLst>
            <c:ext xmlns:c16="http://schemas.microsoft.com/office/drawing/2014/chart" uri="{C3380CC4-5D6E-409C-BE32-E72D297353CC}">
              <c16:uniqueId val="{0000000F-95D4-4ED5-808D-95A9C1A2E508}"/>
            </c:ext>
          </c:extLst>
        </c:ser>
        <c:ser>
          <c:idx val="16"/>
          <c:order val="16"/>
          <c:tx>
            <c:strRef>
              <c:f>Sheet1!$R$1</c:f>
              <c:strCache>
                <c:ptCount val="1"/>
                <c:pt idx="0">
                  <c:v>4.D.2.a</c:v>
                </c:pt>
              </c:strCache>
            </c:strRef>
          </c:tx>
          <c:spPr>
            <a:solidFill>
              <a:schemeClr val="accent5">
                <a:lumMod val="80000"/>
                <a:lumOff val="20000"/>
              </a:schemeClr>
            </a:solidFill>
            <a:ln>
              <a:noFill/>
            </a:ln>
            <a:effectLst/>
          </c:spPr>
          <c:invertIfNegative val="0"/>
          <c:cat>
            <c:strRef>
              <c:f>Sheet1!$A$2:$A$10</c:f>
              <c:strCache>
                <c:ptCount val="9"/>
                <c:pt idx="0">
                  <c:v>As</c:v>
                </c:pt>
                <c:pt idx="1">
                  <c:v>Cd</c:v>
                </c:pt>
                <c:pt idx="2">
                  <c:v>CO</c:v>
                </c:pt>
                <c:pt idx="3">
                  <c:v>Ni</c:v>
                </c:pt>
                <c:pt idx="4">
                  <c:v>NOx*</c:v>
                </c:pt>
                <c:pt idx="5">
                  <c:v>Pb</c:v>
                </c:pt>
                <c:pt idx="6">
                  <c:v>PM10</c:v>
                </c:pt>
                <c:pt idx="7">
                  <c:v>PM2,5</c:v>
                </c:pt>
                <c:pt idx="8">
                  <c:v>SOx</c:v>
                </c:pt>
              </c:strCache>
            </c:strRef>
          </c:cat>
          <c:val>
            <c:numRef>
              <c:f>Sheet1!$R$2:$R$10</c:f>
              <c:numCache>
                <c:formatCode>General</c:formatCode>
                <c:ptCount val="9"/>
                <c:pt idx="6">
                  <c:v>0.20124000000000009</c:v>
                </c:pt>
                <c:pt idx="7">
                  <c:v>7.740000000000003E-3</c:v>
                </c:pt>
              </c:numCache>
            </c:numRef>
          </c:val>
          <c:extLst>
            <c:ext xmlns:c16="http://schemas.microsoft.com/office/drawing/2014/chart" uri="{C3380CC4-5D6E-409C-BE32-E72D297353CC}">
              <c16:uniqueId val="{00000010-95D4-4ED5-808D-95A9C1A2E508}"/>
            </c:ext>
          </c:extLst>
        </c:ser>
        <c:ser>
          <c:idx val="17"/>
          <c:order val="17"/>
          <c:tx>
            <c:strRef>
              <c:f>Sheet1!$S$1</c:f>
              <c:strCache>
                <c:ptCount val="1"/>
                <c:pt idx="0">
                  <c:v>6.C.d</c:v>
                </c:pt>
              </c:strCache>
            </c:strRef>
          </c:tx>
          <c:spPr>
            <a:solidFill>
              <a:schemeClr val="accent6">
                <a:lumMod val="80000"/>
                <a:lumOff val="20000"/>
              </a:schemeClr>
            </a:solidFill>
            <a:ln>
              <a:noFill/>
            </a:ln>
            <a:effectLst/>
          </c:spPr>
          <c:invertIfNegative val="0"/>
          <c:cat>
            <c:strRef>
              <c:f>Sheet1!$A$2:$A$10</c:f>
              <c:strCache>
                <c:ptCount val="9"/>
                <c:pt idx="0">
                  <c:v>As</c:v>
                </c:pt>
                <c:pt idx="1">
                  <c:v>Cd</c:v>
                </c:pt>
                <c:pt idx="2">
                  <c:v>CO</c:v>
                </c:pt>
                <c:pt idx="3">
                  <c:v>Ni</c:v>
                </c:pt>
                <c:pt idx="4">
                  <c:v>NOx*</c:v>
                </c:pt>
                <c:pt idx="5">
                  <c:v>Pb</c:v>
                </c:pt>
                <c:pt idx="6">
                  <c:v>PM10</c:v>
                </c:pt>
                <c:pt idx="7">
                  <c:v>PM2,5</c:v>
                </c:pt>
                <c:pt idx="8">
                  <c:v>SOx</c:v>
                </c:pt>
              </c:strCache>
            </c:strRef>
          </c:cat>
          <c:val>
            <c:numRef>
              <c:f>Sheet1!$S$2:$S$10</c:f>
              <c:numCache>
                <c:formatCode>General</c:formatCode>
                <c:ptCount val="9"/>
                <c:pt idx="6">
                  <c:v>6.1545779999999946</c:v>
                </c:pt>
                <c:pt idx="7">
                  <c:v>5.2696059999999996</c:v>
                </c:pt>
              </c:numCache>
            </c:numRef>
          </c:val>
          <c:extLst>
            <c:ext xmlns:c16="http://schemas.microsoft.com/office/drawing/2014/chart" uri="{C3380CC4-5D6E-409C-BE32-E72D297353CC}">
              <c16:uniqueId val="{00000011-95D4-4ED5-808D-95A9C1A2E508}"/>
            </c:ext>
          </c:extLst>
        </c:ser>
        <c:dLbls>
          <c:showLegendKey val="0"/>
          <c:showVal val="0"/>
          <c:showCatName val="0"/>
          <c:showSerName val="0"/>
          <c:showPercent val="0"/>
          <c:showBubbleSize val="0"/>
        </c:dLbls>
        <c:gapWidth val="150"/>
        <c:overlap val="100"/>
        <c:axId val="356836352"/>
        <c:axId val="356523328"/>
      </c:barChart>
      <c:catAx>
        <c:axId val="356836352"/>
        <c:scaling>
          <c:orientation val="minMax"/>
        </c:scaling>
        <c:delete val="0"/>
        <c:axPos val="t"/>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Cambria" panose="02040503050406030204" pitchFamily="18" charset="0"/>
                <a:cs typeface="+mn-cs"/>
              </a:defRPr>
            </a:pPr>
            <a:endParaRPr lang="en-US"/>
          </a:p>
        </c:txPr>
        <c:crossAx val="356523328"/>
        <c:crosses val="autoZero"/>
        <c:auto val="1"/>
        <c:lblAlgn val="ctr"/>
        <c:lblOffset val="100"/>
        <c:noMultiLvlLbl val="0"/>
      </c:catAx>
      <c:valAx>
        <c:axId val="356523328"/>
        <c:scaling>
          <c:orientation val="maxMin"/>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Cambria" panose="02040503050406030204" pitchFamily="18" charset="0"/>
                <a:cs typeface="+mn-cs"/>
              </a:defRPr>
            </a:pPr>
            <a:endParaRPr lang="en-US"/>
          </a:p>
        </c:txPr>
        <c:crossAx val="356836352"/>
        <c:crosses val="autoZero"/>
        <c:crossBetween val="between"/>
      </c:valAx>
      <c:spPr>
        <a:noFill/>
        <a:ln>
          <a:noFill/>
        </a:ln>
        <a:effectLst/>
      </c:spPr>
    </c:plotArea>
    <c:legend>
      <c:legendPos val="b"/>
      <c:layout>
        <c:manualLayout>
          <c:xMode val="edge"/>
          <c:yMode val="edge"/>
          <c:x val="8.4041010860412026E-3"/>
          <c:y val="0.87740453495944593"/>
          <c:w val="0.9831917978279171"/>
          <c:h val="9.8786099106032962E-2"/>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Cambria" panose="02040503050406030204" pitchFamily="18" charset="0"/>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ea typeface="Cambria" panose="02040503050406030204" pitchFamily="18" charset="0"/>
        </a:defRPr>
      </a:pPr>
      <a:endParaRPr lang="en-U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190764743161252"/>
          <c:y val="7.275590551181102E-2"/>
          <c:w val="0.85383656425526699"/>
          <c:h val="0.72534317068634147"/>
        </c:manualLayout>
      </c:layout>
      <c:barChart>
        <c:barDir val="col"/>
        <c:grouping val="clustered"/>
        <c:varyColors val="0"/>
        <c:ser>
          <c:idx val="0"/>
          <c:order val="0"/>
          <c:tx>
            <c:strRef>
              <c:f>Sheet1!$B$1</c:f>
              <c:strCache>
                <c:ptCount val="1"/>
                <c:pt idx="0">
                  <c:v>Mortalitate generală</c:v>
                </c:pt>
              </c:strCache>
            </c:strRef>
          </c:tx>
          <c:spPr>
            <a:solidFill>
              <a:schemeClr val="accent1"/>
            </a:solidFill>
            <a:ln>
              <a:noFill/>
            </a:ln>
            <a:effectLst/>
          </c:spPr>
          <c:invertIfNegative val="0"/>
          <c:dLbls>
            <c:spPr>
              <a:noFill/>
              <a:ln>
                <a:noFill/>
              </a:ln>
              <a:effectLst/>
            </c:spPr>
            <c:txPr>
              <a:bodyPr/>
              <a:lstStyle/>
              <a:p>
                <a:pPr>
                  <a:defRPr lang="en-US"/>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Sheet1!$A$2:$A$6</c:f>
              <c:strCache>
                <c:ptCount val="5"/>
                <c:pt idx="0">
                  <c:v>2010</c:v>
                </c:pt>
                <c:pt idx="1">
                  <c:v>2011</c:v>
                </c:pt>
                <c:pt idx="2">
                  <c:v>2012</c:v>
                </c:pt>
                <c:pt idx="3">
                  <c:v>2013</c:v>
                </c:pt>
                <c:pt idx="4">
                  <c:v>2014</c:v>
                </c:pt>
              </c:strCache>
            </c:strRef>
          </c:cat>
          <c:val>
            <c:numRef>
              <c:f>Sheet1!$B$2:$B$6</c:f>
              <c:numCache>
                <c:formatCode>General</c:formatCode>
                <c:ptCount val="5"/>
                <c:pt idx="0">
                  <c:v>4548</c:v>
                </c:pt>
                <c:pt idx="1">
                  <c:v>4437</c:v>
                </c:pt>
                <c:pt idx="2">
                  <c:v>4581</c:v>
                </c:pt>
                <c:pt idx="3">
                  <c:v>4464</c:v>
                </c:pt>
                <c:pt idx="4">
                  <c:v>4455</c:v>
                </c:pt>
              </c:numCache>
            </c:numRef>
          </c:val>
          <c:extLst>
            <c:ext xmlns:c16="http://schemas.microsoft.com/office/drawing/2014/chart" uri="{C3380CC4-5D6E-409C-BE32-E72D297353CC}">
              <c16:uniqueId val="{00000000-D8F5-4D3A-BF5B-8FAFA02E515C}"/>
            </c:ext>
          </c:extLst>
        </c:ser>
        <c:ser>
          <c:idx val="1"/>
          <c:order val="1"/>
          <c:tx>
            <c:strRef>
              <c:f>Sheet1!$C$1</c:f>
              <c:strCache>
                <c:ptCount val="1"/>
                <c:pt idx="0">
                  <c:v>Boli ale aparatului circulator</c:v>
                </c:pt>
              </c:strCache>
            </c:strRef>
          </c:tx>
          <c:spPr>
            <a:solidFill>
              <a:schemeClr val="accent2"/>
            </a:solidFill>
            <a:ln>
              <a:noFill/>
            </a:ln>
            <a:effectLst/>
          </c:spPr>
          <c:invertIfNegative val="0"/>
          <c:dLbls>
            <c:spPr>
              <a:noFill/>
              <a:ln>
                <a:noFill/>
              </a:ln>
              <a:effectLst/>
            </c:spPr>
            <c:txPr>
              <a:bodyPr/>
              <a:lstStyle/>
              <a:p>
                <a:pPr>
                  <a:defRPr lang="en-US"/>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Sheet1!$A$2:$A$6</c:f>
              <c:strCache>
                <c:ptCount val="5"/>
                <c:pt idx="0">
                  <c:v>2010</c:v>
                </c:pt>
                <c:pt idx="1">
                  <c:v>2011</c:v>
                </c:pt>
                <c:pt idx="2">
                  <c:v>2012</c:v>
                </c:pt>
                <c:pt idx="3">
                  <c:v>2013</c:v>
                </c:pt>
                <c:pt idx="4">
                  <c:v>2014</c:v>
                </c:pt>
              </c:strCache>
            </c:strRef>
          </c:cat>
          <c:val>
            <c:numRef>
              <c:f>Sheet1!$C$2:$C$6</c:f>
              <c:numCache>
                <c:formatCode>General</c:formatCode>
                <c:ptCount val="5"/>
                <c:pt idx="0">
                  <c:v>2768</c:v>
                </c:pt>
                <c:pt idx="1">
                  <c:v>2614</c:v>
                </c:pt>
                <c:pt idx="2">
                  <c:v>2662</c:v>
                </c:pt>
                <c:pt idx="3">
                  <c:v>2560</c:v>
                </c:pt>
                <c:pt idx="4">
                  <c:v>2484</c:v>
                </c:pt>
              </c:numCache>
            </c:numRef>
          </c:val>
          <c:extLst>
            <c:ext xmlns:c16="http://schemas.microsoft.com/office/drawing/2014/chart" uri="{C3380CC4-5D6E-409C-BE32-E72D297353CC}">
              <c16:uniqueId val="{00000001-D8F5-4D3A-BF5B-8FAFA02E515C}"/>
            </c:ext>
          </c:extLst>
        </c:ser>
        <c:ser>
          <c:idx val="2"/>
          <c:order val="2"/>
          <c:tx>
            <c:strRef>
              <c:f>Sheet1!$D$1</c:f>
              <c:strCache>
                <c:ptCount val="1"/>
                <c:pt idx="0">
                  <c:v>Boală ischemică a inimii</c:v>
                </c:pt>
              </c:strCache>
            </c:strRef>
          </c:tx>
          <c:spPr>
            <a:solidFill>
              <a:schemeClr val="accent3"/>
            </a:solidFill>
            <a:ln>
              <a:noFill/>
            </a:ln>
            <a:effectLst/>
          </c:spPr>
          <c:invertIfNegative val="0"/>
          <c:dLbls>
            <c:spPr>
              <a:noFill/>
              <a:ln>
                <a:noFill/>
              </a:ln>
              <a:effectLst/>
            </c:spPr>
            <c:txPr>
              <a:bodyPr/>
              <a:lstStyle/>
              <a:p>
                <a:pPr>
                  <a:defRPr lang="en-US"/>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Sheet1!$A$2:$A$6</c:f>
              <c:strCache>
                <c:ptCount val="5"/>
                <c:pt idx="0">
                  <c:v>2010</c:v>
                </c:pt>
                <c:pt idx="1">
                  <c:v>2011</c:v>
                </c:pt>
                <c:pt idx="2">
                  <c:v>2012</c:v>
                </c:pt>
                <c:pt idx="3">
                  <c:v>2013</c:v>
                </c:pt>
                <c:pt idx="4">
                  <c:v>2014</c:v>
                </c:pt>
              </c:strCache>
            </c:strRef>
          </c:cat>
          <c:val>
            <c:numRef>
              <c:f>Sheet1!$D$2:$D$6</c:f>
              <c:numCache>
                <c:formatCode>General</c:formatCode>
                <c:ptCount val="5"/>
                <c:pt idx="0">
                  <c:v>342</c:v>
                </c:pt>
                <c:pt idx="1">
                  <c:v>312</c:v>
                </c:pt>
                <c:pt idx="2">
                  <c:v>461</c:v>
                </c:pt>
                <c:pt idx="3">
                  <c:v>367</c:v>
                </c:pt>
                <c:pt idx="4">
                  <c:v>353</c:v>
                </c:pt>
              </c:numCache>
            </c:numRef>
          </c:val>
          <c:extLst>
            <c:ext xmlns:c16="http://schemas.microsoft.com/office/drawing/2014/chart" uri="{C3380CC4-5D6E-409C-BE32-E72D297353CC}">
              <c16:uniqueId val="{00000002-D8F5-4D3A-BF5B-8FAFA02E515C}"/>
            </c:ext>
          </c:extLst>
        </c:ser>
        <c:ser>
          <c:idx val="3"/>
          <c:order val="3"/>
          <c:tx>
            <c:strRef>
              <c:f>Sheet1!$E$1</c:f>
              <c:strCache>
                <c:ptCount val="1"/>
                <c:pt idx="0">
                  <c:v>Boli respiratorii</c:v>
                </c:pt>
              </c:strCache>
            </c:strRef>
          </c:tx>
          <c:spPr>
            <a:solidFill>
              <a:schemeClr val="accent4"/>
            </a:solidFill>
            <a:ln>
              <a:noFill/>
            </a:ln>
            <a:effectLst/>
          </c:spPr>
          <c:invertIfNegative val="0"/>
          <c:dLbls>
            <c:spPr>
              <a:noFill/>
              <a:ln>
                <a:noFill/>
              </a:ln>
              <a:effectLst/>
            </c:spPr>
            <c:txPr>
              <a:bodyPr/>
              <a:lstStyle/>
              <a:p>
                <a:pPr>
                  <a:defRPr lang="en-US"/>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Sheet1!$A$2:$A$6</c:f>
              <c:strCache>
                <c:ptCount val="5"/>
                <c:pt idx="0">
                  <c:v>2010</c:v>
                </c:pt>
                <c:pt idx="1">
                  <c:v>2011</c:v>
                </c:pt>
                <c:pt idx="2">
                  <c:v>2012</c:v>
                </c:pt>
                <c:pt idx="3">
                  <c:v>2013</c:v>
                </c:pt>
                <c:pt idx="4">
                  <c:v>2014</c:v>
                </c:pt>
              </c:strCache>
            </c:strRef>
          </c:cat>
          <c:val>
            <c:numRef>
              <c:f>Sheet1!$E$2:$E$6</c:f>
              <c:numCache>
                <c:formatCode>General</c:formatCode>
                <c:ptCount val="5"/>
                <c:pt idx="0">
                  <c:v>222</c:v>
                </c:pt>
                <c:pt idx="1">
                  <c:v>242</c:v>
                </c:pt>
                <c:pt idx="2">
                  <c:v>256</c:v>
                </c:pt>
                <c:pt idx="3">
                  <c:v>237</c:v>
                </c:pt>
                <c:pt idx="4">
                  <c:v>260</c:v>
                </c:pt>
              </c:numCache>
            </c:numRef>
          </c:val>
          <c:extLst>
            <c:ext xmlns:c16="http://schemas.microsoft.com/office/drawing/2014/chart" uri="{C3380CC4-5D6E-409C-BE32-E72D297353CC}">
              <c16:uniqueId val="{00000003-D8F5-4D3A-BF5B-8FAFA02E515C}"/>
            </c:ext>
          </c:extLst>
        </c:ser>
        <c:dLbls>
          <c:showLegendKey val="0"/>
          <c:showVal val="1"/>
          <c:showCatName val="0"/>
          <c:showSerName val="0"/>
          <c:showPercent val="0"/>
          <c:showBubbleSize val="0"/>
        </c:dLbls>
        <c:gapWidth val="150"/>
        <c:axId val="356837376"/>
        <c:axId val="357386496"/>
      </c:barChart>
      <c:catAx>
        <c:axId val="356837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10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357386496"/>
        <c:crosses val="autoZero"/>
        <c:auto val="1"/>
        <c:lblAlgn val="ctr"/>
        <c:lblOffset val="100"/>
        <c:noMultiLvlLbl val="0"/>
      </c:catAx>
      <c:valAx>
        <c:axId val="3573864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1000" b="0" i="0" u="none" strike="noStrike" kern="1200" baseline="0">
                    <a:solidFill>
                      <a:schemeClr val="tx1">
                        <a:lumMod val="65000"/>
                        <a:lumOff val="35000"/>
                      </a:schemeClr>
                    </a:solidFill>
                    <a:latin typeface="Cambria" panose="02040503050406030204" pitchFamily="18" charset="0"/>
                    <a:ea typeface="+mn-ea"/>
                    <a:cs typeface="+mn-cs"/>
                  </a:defRPr>
                </a:pPr>
                <a:r>
                  <a:rPr lang="ro-RO"/>
                  <a:t>Număr cazuri</a:t>
                </a:r>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lang="en-US" sz="10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356837376"/>
        <c:crosses val="autoZero"/>
        <c:crossBetween val="between"/>
      </c:valAx>
      <c:spPr>
        <a:noFill/>
        <a:ln>
          <a:noFill/>
        </a:ln>
        <a:effectLst/>
      </c:spPr>
    </c:plotArea>
    <c:legend>
      <c:legendPos val="b"/>
      <c:layout>
        <c:manualLayout>
          <c:xMode val="edge"/>
          <c:yMode val="edge"/>
          <c:x val="5.2204984850984036E-2"/>
          <c:y val="0.89268026536053069"/>
          <c:w val="0.9"/>
          <c:h val="8.6322359311385294E-2"/>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Mortalitate infantilă în mediul Urban(decedaţi sub 1 an la 1000 născuţi vii)</c:v>
                </c:pt>
              </c:strCache>
            </c:strRef>
          </c:tx>
          <c:spPr>
            <a:solidFill>
              <a:schemeClr val="accent1"/>
            </a:solidFill>
            <a:ln>
              <a:noFill/>
            </a:ln>
            <a:effectLst/>
          </c:spPr>
          <c:invertIfNegative val="0"/>
          <c:cat>
            <c:strRef>
              <c:f>Sheet1!$A$2:$A$6</c:f>
              <c:strCache>
                <c:ptCount val="5"/>
                <c:pt idx="0">
                  <c:v>2010</c:v>
                </c:pt>
                <c:pt idx="1">
                  <c:v>2011</c:v>
                </c:pt>
                <c:pt idx="2">
                  <c:v>2012</c:v>
                </c:pt>
                <c:pt idx="3">
                  <c:v>2013</c:v>
                </c:pt>
                <c:pt idx="4">
                  <c:v>2014</c:v>
                </c:pt>
              </c:strCache>
            </c:strRef>
          </c:cat>
          <c:val>
            <c:numRef>
              <c:f>Sheet1!$B$2:$B$6</c:f>
              <c:numCache>
                <c:formatCode>General</c:formatCode>
                <c:ptCount val="5"/>
                <c:pt idx="0">
                  <c:v>9</c:v>
                </c:pt>
                <c:pt idx="1">
                  <c:v>7</c:v>
                </c:pt>
                <c:pt idx="2">
                  <c:v>13</c:v>
                </c:pt>
                <c:pt idx="3">
                  <c:v>16</c:v>
                </c:pt>
                <c:pt idx="4">
                  <c:v>8</c:v>
                </c:pt>
              </c:numCache>
            </c:numRef>
          </c:val>
          <c:extLst>
            <c:ext xmlns:c16="http://schemas.microsoft.com/office/drawing/2014/chart" uri="{C3380CC4-5D6E-409C-BE32-E72D297353CC}">
              <c16:uniqueId val="{00000000-6A31-4A2A-AC29-75ED38CA915D}"/>
            </c:ext>
          </c:extLst>
        </c:ser>
        <c:ser>
          <c:idx val="1"/>
          <c:order val="1"/>
          <c:tx>
            <c:strRef>
              <c:f>Sheet1!$C$1</c:f>
              <c:strCache>
                <c:ptCount val="1"/>
                <c:pt idx="0">
                  <c:v>Mortalitate infantilă prin afecţiuni respiratorii în mediul Urban (decedaţi sub 1 an la 1000 născuţi vii)</c:v>
                </c:pt>
              </c:strCache>
            </c:strRef>
          </c:tx>
          <c:spPr>
            <a:solidFill>
              <a:schemeClr val="accent2"/>
            </a:solidFill>
            <a:ln>
              <a:noFill/>
            </a:ln>
            <a:effectLst/>
          </c:spPr>
          <c:invertIfNegative val="0"/>
          <c:cat>
            <c:strRef>
              <c:f>Sheet1!$A$2:$A$6</c:f>
              <c:strCache>
                <c:ptCount val="5"/>
                <c:pt idx="0">
                  <c:v>2010</c:v>
                </c:pt>
                <c:pt idx="1">
                  <c:v>2011</c:v>
                </c:pt>
                <c:pt idx="2">
                  <c:v>2012</c:v>
                </c:pt>
                <c:pt idx="3">
                  <c:v>2013</c:v>
                </c:pt>
                <c:pt idx="4">
                  <c:v>2014</c:v>
                </c:pt>
              </c:strCache>
            </c:strRef>
          </c:cat>
          <c:val>
            <c:numRef>
              <c:f>Sheet1!$C$2:$C$6</c:f>
              <c:numCache>
                <c:formatCode>General</c:formatCode>
                <c:ptCount val="5"/>
                <c:pt idx="0">
                  <c:v>0</c:v>
                </c:pt>
                <c:pt idx="1">
                  <c:v>1</c:v>
                </c:pt>
                <c:pt idx="2">
                  <c:v>0</c:v>
                </c:pt>
                <c:pt idx="3">
                  <c:v>3</c:v>
                </c:pt>
                <c:pt idx="4">
                  <c:v>0</c:v>
                </c:pt>
              </c:numCache>
            </c:numRef>
          </c:val>
          <c:extLst>
            <c:ext xmlns:c16="http://schemas.microsoft.com/office/drawing/2014/chart" uri="{C3380CC4-5D6E-409C-BE32-E72D297353CC}">
              <c16:uniqueId val="{00000001-6A31-4A2A-AC29-75ED38CA915D}"/>
            </c:ext>
          </c:extLst>
        </c:ser>
        <c:dLbls>
          <c:showLegendKey val="0"/>
          <c:showVal val="0"/>
          <c:showCatName val="0"/>
          <c:showSerName val="0"/>
          <c:showPercent val="0"/>
          <c:showBubbleSize val="0"/>
        </c:dLbls>
        <c:gapWidth val="150"/>
        <c:axId val="355978240"/>
        <c:axId val="357388224"/>
      </c:barChart>
      <c:catAx>
        <c:axId val="355978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357388224"/>
        <c:crosses val="autoZero"/>
        <c:auto val="1"/>
        <c:lblAlgn val="ctr"/>
        <c:lblOffset val="100"/>
        <c:noMultiLvlLbl val="0"/>
      </c:catAx>
      <c:valAx>
        <c:axId val="3573882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1000" b="0" i="0" u="none" strike="noStrike" kern="1200" baseline="0">
                    <a:solidFill>
                      <a:schemeClr val="tx1">
                        <a:lumMod val="65000"/>
                        <a:lumOff val="35000"/>
                      </a:schemeClr>
                    </a:solidFill>
                    <a:latin typeface="Cambria" panose="02040503050406030204" pitchFamily="18" charset="0"/>
                    <a:ea typeface="+mn-ea"/>
                    <a:cs typeface="+mn-cs"/>
                  </a:defRPr>
                </a:pPr>
                <a:r>
                  <a:rPr lang="ro-RO"/>
                  <a:t>Număr cazuri</a:t>
                </a:r>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3559782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71110265491906455"/>
          <c:y val="6.0240963855421749E-2"/>
        </c:manualLayout>
      </c:layout>
      <c:overlay val="0"/>
      <c:spPr>
        <a:noFill/>
        <a:ln>
          <a:noFill/>
        </a:ln>
        <a:effectLst/>
      </c:spPr>
      <c:txPr>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endParaRPr lang="en-US"/>
        </a:p>
      </c:txPr>
    </c:title>
    <c:autoTitleDeleted val="0"/>
    <c:plotArea>
      <c:layout>
        <c:manualLayout>
          <c:layoutTarget val="inner"/>
          <c:xMode val="edge"/>
          <c:yMode val="edge"/>
          <c:x val="8.2060318668344887E-2"/>
          <c:y val="7.4155295543951172E-2"/>
          <c:w val="0.5176551629931021"/>
          <c:h val="0.89876875330342765"/>
        </c:manualLayout>
      </c:layout>
      <c:doughnutChart>
        <c:varyColors val="1"/>
        <c:ser>
          <c:idx val="0"/>
          <c:order val="0"/>
          <c:tx>
            <c:strRef>
              <c:f>Sheet1!$B$1</c:f>
              <c:strCache>
                <c:ptCount val="1"/>
                <c:pt idx="0">
                  <c:v>Cd</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D3C-4769-BCBA-531F855CFD8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D3C-4769-BCBA-531F855CFD8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D3C-4769-BCBA-531F855CFD80}"/>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CD3C-4769-BCBA-531F855CFD80}"/>
              </c:ext>
            </c:extLst>
          </c:dPt>
          <c:dLbls>
            <c:dLbl>
              <c:idx val="0"/>
              <c:layout>
                <c:manualLayout>
                  <c:x val="9.9132589838908589E-3"/>
                  <c:y val="5.6134723336006456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CD3C-4769-BCBA-531F855CFD80}"/>
                </c:ext>
              </c:extLst>
            </c:dLbl>
            <c:dLbl>
              <c:idx val="1"/>
              <c:layout>
                <c:manualLayout>
                  <c:x val="1.9826517967781922E-2"/>
                  <c:y val="-2.4057738572574216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CD3C-4769-BCBA-531F855CFD80}"/>
                </c:ext>
              </c:extLst>
            </c:dLbl>
            <c:dLbl>
              <c:idx val="3"/>
              <c:delete val="1"/>
              <c:extLst>
                <c:ext xmlns:c15="http://schemas.microsoft.com/office/drawing/2012/chart" uri="{CE6537A1-D6FC-4f65-9D91-7224C49458BB}"/>
                <c:ext xmlns:c16="http://schemas.microsoft.com/office/drawing/2014/chart" uri="{C3380CC4-5D6E-409C-BE32-E72D297353CC}">
                  <c16:uniqueId val="{00000007-CD3C-4769-BCBA-531F855CFD80}"/>
                </c:ext>
              </c:extLst>
            </c:dLbl>
            <c:spPr>
              <a:noFill/>
              <a:ln>
                <a:noFill/>
              </a:ln>
              <a:effectLst/>
            </c:spPr>
            <c:txPr>
              <a:bodyPr rot="0" spcFirstLastPara="1" vertOverflow="ellipsis" vert="horz" wrap="square" anchor="ctr" anchorCtr="1"/>
              <a:lstStyle/>
              <a:p>
                <a:pPr>
                  <a:defRPr lang="en-US" sz="11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Autoturisme</c:v>
                </c:pt>
                <c:pt idx="1">
                  <c:v>Autoutilitare</c:v>
                </c:pt>
                <c:pt idx="2">
                  <c:v>Autovehicule grele și autobuze</c:v>
                </c:pt>
                <c:pt idx="3">
                  <c:v>Motociclete</c:v>
                </c:pt>
              </c:strCache>
            </c:strRef>
          </c:cat>
          <c:val>
            <c:numRef>
              <c:f>Sheet1!$B$2:$B$5</c:f>
              <c:numCache>
                <c:formatCode>General</c:formatCode>
                <c:ptCount val="4"/>
                <c:pt idx="0">
                  <c:v>2.0300000000000011E-4</c:v>
                </c:pt>
                <c:pt idx="1">
                  <c:v>2.7000000000000036E-5</c:v>
                </c:pt>
                <c:pt idx="2">
                  <c:v>3.1500000000000034E-4</c:v>
                </c:pt>
                <c:pt idx="3">
                  <c:v>1.0000000000000019E-6</c:v>
                </c:pt>
              </c:numCache>
            </c:numRef>
          </c:val>
          <c:extLst>
            <c:ext xmlns:c16="http://schemas.microsoft.com/office/drawing/2014/chart" uri="{C3380CC4-5D6E-409C-BE32-E72D297353CC}">
              <c16:uniqueId val="{00000008-CD3C-4769-BCBA-531F855CFD80}"/>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60639327147303657"/>
          <c:y val="0.26225690162223697"/>
          <c:w val="0.38369346954307298"/>
          <c:h val="0.69420358599753296"/>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71110265491906455"/>
          <c:y val="6.0240963855421749E-2"/>
        </c:manualLayout>
      </c:layout>
      <c:overlay val="0"/>
      <c:spPr>
        <a:noFill/>
        <a:ln>
          <a:noFill/>
        </a:ln>
        <a:effectLst/>
      </c:spPr>
      <c:txPr>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endParaRPr lang="en-US"/>
        </a:p>
      </c:txPr>
    </c:title>
    <c:autoTitleDeleted val="0"/>
    <c:plotArea>
      <c:layout>
        <c:manualLayout>
          <c:layoutTarget val="inner"/>
          <c:xMode val="edge"/>
          <c:yMode val="edge"/>
          <c:x val="8.2060318668344887E-2"/>
          <c:y val="7.4155295543951172E-2"/>
          <c:w val="0.5176551629931021"/>
          <c:h val="0.89876875330342765"/>
        </c:manualLayout>
      </c:layout>
      <c:doughnutChart>
        <c:varyColors val="1"/>
        <c:ser>
          <c:idx val="0"/>
          <c:order val="0"/>
          <c:tx>
            <c:strRef>
              <c:f>Sheet1!$B$1</c:f>
              <c:strCache>
                <c:ptCount val="1"/>
                <c:pt idx="0">
                  <c:v>CO</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A2C-4408-B7FA-1EA345293DC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A2C-4408-B7FA-1EA345293DC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A2C-4408-B7FA-1EA345293DC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A2C-4408-B7FA-1EA345293DC4}"/>
              </c:ext>
            </c:extLst>
          </c:dPt>
          <c:dLbls>
            <c:dLbl>
              <c:idx val="0"/>
              <c:layout>
                <c:manualLayout>
                  <c:x val="-9.9132589838909994E-3"/>
                  <c:y val="0"/>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8A2C-4408-B7FA-1EA345293DC4}"/>
                </c:ext>
              </c:extLst>
            </c:dLbl>
            <c:dLbl>
              <c:idx val="1"/>
              <c:layout>
                <c:manualLayout>
                  <c:x val="6.9392812887236768E-2"/>
                  <c:y val="-0.11226944667201288"/>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8A2C-4408-B7FA-1EA345293DC4}"/>
                </c:ext>
              </c:extLst>
            </c:dLbl>
            <c:dLbl>
              <c:idx val="2"/>
              <c:layout>
                <c:manualLayout>
                  <c:x val="-9.9132589838909532E-2"/>
                  <c:y val="0.11226944667201288"/>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8A2C-4408-B7FA-1EA345293DC4}"/>
                </c:ext>
              </c:extLst>
            </c:dLbl>
            <c:dLbl>
              <c:idx val="3"/>
              <c:layout>
                <c:manualLayout>
                  <c:x val="1.4869888475836439E-2"/>
                  <c:y val="-8.0192461908580679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8A2C-4408-B7FA-1EA345293DC4}"/>
                </c:ext>
              </c:extLst>
            </c:dLbl>
            <c:spPr>
              <a:noFill/>
              <a:ln>
                <a:noFill/>
              </a:ln>
              <a:effectLst/>
            </c:spPr>
            <c:txPr>
              <a:bodyPr rot="0" spcFirstLastPara="1" vertOverflow="ellipsis" vert="horz" wrap="square" anchor="ctr" anchorCtr="1"/>
              <a:lstStyle/>
              <a:p>
                <a:pPr>
                  <a:defRPr lang="en-US" sz="11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Autoturisme</c:v>
                </c:pt>
                <c:pt idx="1">
                  <c:v>Autoutilitare</c:v>
                </c:pt>
                <c:pt idx="2">
                  <c:v>Autovehicule grele și autobuze</c:v>
                </c:pt>
                <c:pt idx="3">
                  <c:v>Motociclete</c:v>
                </c:pt>
              </c:strCache>
            </c:strRef>
          </c:cat>
          <c:val>
            <c:numRef>
              <c:f>Sheet1!$B$2:$B$5</c:f>
              <c:numCache>
                <c:formatCode>General</c:formatCode>
                <c:ptCount val="4"/>
                <c:pt idx="0">
                  <c:v>1998.7380000000001</c:v>
                </c:pt>
                <c:pt idx="1">
                  <c:v>256.20139999999958</c:v>
                </c:pt>
                <c:pt idx="2">
                  <c:v>237.9417</c:v>
                </c:pt>
                <c:pt idx="3">
                  <c:v>14.21355</c:v>
                </c:pt>
              </c:numCache>
            </c:numRef>
          </c:val>
          <c:extLst>
            <c:ext xmlns:c16="http://schemas.microsoft.com/office/drawing/2014/chart" uri="{C3380CC4-5D6E-409C-BE32-E72D297353CC}">
              <c16:uniqueId val="{00000008-8A2C-4408-B7FA-1EA345293DC4}"/>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60639327147303679"/>
          <c:y val="0.26225690162223697"/>
          <c:w val="0.38865009903501863"/>
          <c:h val="0.69420358599753296"/>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r>
              <a:rPr lang="en-US"/>
              <a:t>PM</a:t>
            </a:r>
            <a:r>
              <a:rPr lang="en-US" sz="1000"/>
              <a:t>10</a:t>
            </a:r>
          </a:p>
        </c:rich>
      </c:tx>
      <c:layout>
        <c:manualLayout>
          <c:xMode val="edge"/>
          <c:yMode val="edge"/>
          <c:x val="0.71110265491906455"/>
          <c:y val="6.0240963855421749E-2"/>
        </c:manualLayout>
      </c:layout>
      <c:overlay val="0"/>
      <c:spPr>
        <a:noFill/>
        <a:ln>
          <a:noFill/>
        </a:ln>
        <a:effectLst/>
      </c:spPr>
    </c:title>
    <c:autoTitleDeleted val="0"/>
    <c:plotArea>
      <c:layout>
        <c:manualLayout>
          <c:layoutTarget val="inner"/>
          <c:xMode val="edge"/>
          <c:yMode val="edge"/>
          <c:x val="8.2060318668344887E-2"/>
          <c:y val="7.4155295543951172E-2"/>
          <c:w val="0.5176551629931021"/>
          <c:h val="0.89876875330342765"/>
        </c:manualLayout>
      </c:layout>
      <c:doughnutChart>
        <c:varyColors val="1"/>
        <c:ser>
          <c:idx val="0"/>
          <c:order val="0"/>
          <c:tx>
            <c:strRef>
              <c:f>Sheet1!$B$1</c:f>
              <c:strCache>
                <c:ptCount val="1"/>
                <c:pt idx="0">
                  <c:v>PM 10</c:v>
                </c:pt>
              </c:strCache>
            </c:strRef>
          </c:tx>
          <c:spPr>
            <a:ln>
              <a:noFill/>
            </a:ln>
            <a:effectLst>
              <a:outerShdw blurRad="50800" dist="38100" dir="2700000" algn="tl" rotWithShape="0">
                <a:prstClr val="black">
                  <a:alpha val="40000"/>
                </a:prstClr>
              </a:outerShdw>
            </a:effectLst>
          </c:spPr>
          <c:dPt>
            <c:idx val="0"/>
            <c:bubble3D val="0"/>
            <c:spPr>
              <a:solidFill>
                <a:schemeClr val="accent1"/>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033B-4DF5-BAA7-1AF02F8D3743}"/>
              </c:ext>
            </c:extLst>
          </c:dPt>
          <c:dPt>
            <c:idx val="1"/>
            <c:bubble3D val="0"/>
            <c:spPr>
              <a:solidFill>
                <a:schemeClr val="accent2"/>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033B-4DF5-BAA7-1AF02F8D3743}"/>
              </c:ext>
            </c:extLst>
          </c:dPt>
          <c:dPt>
            <c:idx val="2"/>
            <c:bubble3D val="0"/>
            <c:spPr>
              <a:solidFill>
                <a:schemeClr val="accent3"/>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033B-4DF5-BAA7-1AF02F8D3743}"/>
              </c:ext>
            </c:extLst>
          </c:dPt>
          <c:dLbls>
            <c:spPr>
              <a:noFill/>
              <a:ln>
                <a:noFill/>
              </a:ln>
              <a:effectLst/>
            </c:spPr>
            <c:txPr>
              <a:bodyPr rot="0" spcFirstLastPara="1" vertOverflow="ellipsis" vert="horz" wrap="square" anchor="ctr" anchorCtr="1"/>
              <a:lstStyle/>
              <a:p>
                <a:pPr>
                  <a:defRPr lang="en-US" sz="11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Surse staționare</c:v>
                </c:pt>
                <c:pt idx="1">
                  <c:v>Surse mobile</c:v>
                </c:pt>
                <c:pt idx="2">
                  <c:v>Surse de suprafață</c:v>
                </c:pt>
              </c:strCache>
            </c:strRef>
          </c:cat>
          <c:val>
            <c:numRef>
              <c:f>Sheet1!$B$2:$B$4</c:f>
              <c:numCache>
                <c:formatCode>General</c:formatCode>
                <c:ptCount val="3"/>
                <c:pt idx="0">
                  <c:v>504.581863</c:v>
                </c:pt>
                <c:pt idx="1">
                  <c:v>720.0354609999996</c:v>
                </c:pt>
                <c:pt idx="2">
                  <c:v>253.32721800000016</c:v>
                </c:pt>
              </c:numCache>
            </c:numRef>
          </c:val>
          <c:extLst>
            <c:ext xmlns:c16="http://schemas.microsoft.com/office/drawing/2014/chart" uri="{C3380CC4-5D6E-409C-BE32-E72D297353CC}">
              <c16:uniqueId val="{00000006-033B-4DF5-BAA7-1AF02F8D3743}"/>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69065597283610991"/>
          <c:y val="0.26225690162223697"/>
          <c:w val="0.27960425021221796"/>
          <c:h val="0.69420358599753296"/>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71110265491906455"/>
          <c:y val="6.0240963855421749E-2"/>
        </c:manualLayout>
      </c:layout>
      <c:overlay val="0"/>
      <c:spPr>
        <a:noFill/>
        <a:ln>
          <a:noFill/>
        </a:ln>
        <a:effectLst/>
      </c:spPr>
      <c:txPr>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endParaRPr lang="en-US"/>
        </a:p>
      </c:txPr>
    </c:title>
    <c:autoTitleDeleted val="0"/>
    <c:plotArea>
      <c:layout>
        <c:manualLayout>
          <c:layoutTarget val="inner"/>
          <c:xMode val="edge"/>
          <c:yMode val="edge"/>
          <c:x val="8.2060318668344887E-2"/>
          <c:y val="7.4155295543951172E-2"/>
          <c:w val="0.5176551629931021"/>
          <c:h val="0.89876875330342765"/>
        </c:manualLayout>
      </c:layout>
      <c:doughnutChart>
        <c:varyColors val="1"/>
        <c:ser>
          <c:idx val="0"/>
          <c:order val="0"/>
          <c:tx>
            <c:strRef>
              <c:f>Sheet1!$B$1</c:f>
              <c:strCache>
                <c:ptCount val="1"/>
                <c:pt idx="0">
                  <c:v>Ni</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99B-4883-AD9D-A8597312259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99B-4883-AD9D-A8597312259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B99B-4883-AD9D-A8597312259E}"/>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B99B-4883-AD9D-A8597312259E}"/>
              </c:ext>
            </c:extLst>
          </c:dPt>
          <c:dLbls>
            <c:dLbl>
              <c:idx val="3"/>
              <c:delete val="1"/>
              <c:extLst>
                <c:ext xmlns:c15="http://schemas.microsoft.com/office/drawing/2012/chart" uri="{CE6537A1-D6FC-4f65-9D91-7224C49458BB}"/>
                <c:ext xmlns:c16="http://schemas.microsoft.com/office/drawing/2014/chart" uri="{C3380CC4-5D6E-409C-BE32-E72D297353CC}">
                  <c16:uniqueId val="{00000007-B99B-4883-AD9D-A8597312259E}"/>
                </c:ext>
              </c:extLst>
            </c:dLbl>
            <c:spPr>
              <a:noFill/>
              <a:ln>
                <a:noFill/>
              </a:ln>
              <a:effectLst/>
            </c:spPr>
            <c:txPr>
              <a:bodyPr rot="0" spcFirstLastPara="1" vertOverflow="ellipsis" vert="horz" wrap="square" anchor="ctr" anchorCtr="1"/>
              <a:lstStyle/>
              <a:p>
                <a:pPr>
                  <a:defRPr lang="en-US" sz="11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Autoturisme</c:v>
                </c:pt>
                <c:pt idx="1">
                  <c:v>Autoutilitare</c:v>
                </c:pt>
                <c:pt idx="2">
                  <c:v>Autovehicule grele și autobuze</c:v>
                </c:pt>
                <c:pt idx="3">
                  <c:v>Motociclete</c:v>
                </c:pt>
              </c:strCache>
            </c:strRef>
          </c:cat>
          <c:val>
            <c:numRef>
              <c:f>Sheet1!$B$2:$B$5</c:f>
              <c:numCache>
                <c:formatCode>General</c:formatCode>
                <c:ptCount val="4"/>
                <c:pt idx="0">
                  <c:v>0.56529600000000002</c:v>
                </c:pt>
                <c:pt idx="1">
                  <c:v>7.9782000000000103E-2</c:v>
                </c:pt>
                <c:pt idx="2">
                  <c:v>1.0416329999999998</c:v>
                </c:pt>
                <c:pt idx="3">
                  <c:v>2.0540000000000011E-3</c:v>
                </c:pt>
              </c:numCache>
            </c:numRef>
          </c:val>
          <c:extLst>
            <c:ext xmlns:c16="http://schemas.microsoft.com/office/drawing/2014/chart" uri="{C3380CC4-5D6E-409C-BE32-E72D297353CC}">
              <c16:uniqueId val="{00000008-B99B-4883-AD9D-A8597312259E}"/>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60639327147303679"/>
          <c:y val="0.26225690162223697"/>
          <c:w val="0.38865009903501857"/>
          <c:h val="0.69420358599753296"/>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71110265491906455"/>
          <c:y val="6.0240963855421749E-2"/>
        </c:manualLayout>
      </c:layout>
      <c:overlay val="0"/>
      <c:spPr>
        <a:noFill/>
        <a:ln>
          <a:noFill/>
        </a:ln>
        <a:effectLst/>
      </c:spPr>
      <c:txPr>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endParaRPr lang="en-US"/>
        </a:p>
      </c:txPr>
    </c:title>
    <c:autoTitleDeleted val="0"/>
    <c:plotArea>
      <c:layout>
        <c:manualLayout>
          <c:layoutTarget val="inner"/>
          <c:xMode val="edge"/>
          <c:yMode val="edge"/>
          <c:x val="8.2060318668344887E-2"/>
          <c:y val="7.4155295543951172E-2"/>
          <c:w val="0.5176551629931021"/>
          <c:h val="0.89876875330342765"/>
        </c:manualLayout>
      </c:layout>
      <c:doughnutChart>
        <c:varyColors val="1"/>
        <c:ser>
          <c:idx val="0"/>
          <c:order val="0"/>
          <c:tx>
            <c:strRef>
              <c:f>Sheet1!$B$1</c:f>
              <c:strCache>
                <c:ptCount val="1"/>
                <c:pt idx="0">
                  <c:v>NOx*</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FE4-4D85-9710-241A8759D03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FE4-4D85-9710-241A8759D03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4FE4-4D85-9710-241A8759D039}"/>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4FE4-4D85-9710-241A8759D039}"/>
              </c:ext>
            </c:extLst>
          </c:dPt>
          <c:dLbls>
            <c:dLbl>
              <c:idx val="0"/>
              <c:layout>
                <c:manualLayout>
                  <c:x val="-4.9566294919454867E-3"/>
                  <c:y val="8.0192461908580679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FE4-4D85-9710-241A8759D039}"/>
                </c:ext>
              </c:extLst>
            </c:dLbl>
            <c:dLbl>
              <c:idx val="1"/>
              <c:layout>
                <c:manualLayout>
                  <c:x val="4.9566294919454867E-3"/>
                  <c:y val="-2.4057738572574285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4FE4-4D85-9710-241A8759D039}"/>
                </c:ext>
              </c:extLst>
            </c:dLbl>
            <c:dLbl>
              <c:idx val="3"/>
              <c:delete val="1"/>
              <c:extLst>
                <c:ext xmlns:c15="http://schemas.microsoft.com/office/drawing/2012/chart" uri="{CE6537A1-D6FC-4f65-9D91-7224C49458BB}"/>
                <c:ext xmlns:c16="http://schemas.microsoft.com/office/drawing/2014/chart" uri="{C3380CC4-5D6E-409C-BE32-E72D297353CC}">
                  <c16:uniqueId val="{00000007-4FE4-4D85-9710-241A8759D039}"/>
                </c:ext>
              </c:extLst>
            </c:dLbl>
            <c:spPr>
              <a:noFill/>
              <a:ln>
                <a:noFill/>
              </a:ln>
              <a:effectLst/>
            </c:spPr>
            <c:txPr>
              <a:bodyPr rot="0" spcFirstLastPara="1" vertOverflow="ellipsis" vert="horz" wrap="square" anchor="ctr" anchorCtr="1"/>
              <a:lstStyle/>
              <a:p>
                <a:pPr>
                  <a:defRPr lang="en-US" sz="11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Autoturisme</c:v>
                </c:pt>
                <c:pt idx="1">
                  <c:v>Autoutilitare</c:v>
                </c:pt>
                <c:pt idx="2">
                  <c:v>Autovehicule grele și autobuze</c:v>
                </c:pt>
                <c:pt idx="3">
                  <c:v>Motociclete</c:v>
                </c:pt>
              </c:strCache>
            </c:strRef>
          </c:cat>
          <c:val>
            <c:numRef>
              <c:f>Sheet1!$B$2:$B$5</c:f>
              <c:numCache>
                <c:formatCode>General</c:formatCode>
                <c:ptCount val="4"/>
                <c:pt idx="0">
                  <c:v>128.51950699999998</c:v>
                </c:pt>
                <c:pt idx="1">
                  <c:v>10.372101000000002</c:v>
                </c:pt>
                <c:pt idx="2">
                  <c:v>269.39930099999975</c:v>
                </c:pt>
                <c:pt idx="3">
                  <c:v>0.14595100000000011</c:v>
                </c:pt>
              </c:numCache>
            </c:numRef>
          </c:val>
          <c:extLst>
            <c:ext xmlns:c16="http://schemas.microsoft.com/office/drawing/2014/chart" uri="{C3380CC4-5D6E-409C-BE32-E72D297353CC}">
              <c16:uniqueId val="{00000008-4FE4-4D85-9710-241A8759D039}"/>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60639327147303679"/>
          <c:y val="0.26225690162223697"/>
          <c:w val="0.38865009903501857"/>
          <c:h val="0.69420358599753296"/>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71110265491906455"/>
          <c:y val="6.0240963855421749E-2"/>
        </c:manualLayout>
      </c:layout>
      <c:overlay val="0"/>
      <c:spPr>
        <a:noFill/>
        <a:ln>
          <a:noFill/>
        </a:ln>
        <a:effectLst/>
      </c:spPr>
      <c:txPr>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endParaRPr lang="en-US"/>
        </a:p>
      </c:txPr>
    </c:title>
    <c:autoTitleDeleted val="0"/>
    <c:plotArea>
      <c:layout>
        <c:manualLayout>
          <c:layoutTarget val="inner"/>
          <c:xMode val="edge"/>
          <c:yMode val="edge"/>
          <c:x val="8.2060318668344887E-2"/>
          <c:y val="7.4155295543951172E-2"/>
          <c:w val="0.5176551629931021"/>
          <c:h val="0.89876875330342765"/>
        </c:manualLayout>
      </c:layout>
      <c:doughnutChart>
        <c:varyColors val="1"/>
        <c:ser>
          <c:idx val="0"/>
          <c:order val="0"/>
          <c:tx>
            <c:strRef>
              <c:f>Sheet1!$B$1</c:f>
              <c:strCache>
                <c:ptCount val="1"/>
                <c:pt idx="0">
                  <c:v>Pb</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C5D-4FD9-962D-C1D2FD56409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C5D-4FD9-962D-C1D2FD56409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C5D-4FD9-962D-C1D2FD564090}"/>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FC5D-4FD9-962D-C1D2FD564090}"/>
              </c:ext>
            </c:extLst>
          </c:dPt>
          <c:dLbls>
            <c:dLbl>
              <c:idx val="0"/>
              <c:layout>
                <c:manualLayout>
                  <c:x val="-9.9132589838909994E-3"/>
                  <c:y val="1.6038492381716122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C5D-4FD9-962D-C1D2FD564090}"/>
                </c:ext>
              </c:extLst>
            </c:dLbl>
            <c:dLbl>
              <c:idx val="1"/>
              <c:layout>
                <c:manualLayout>
                  <c:x val="9.9132589838909543E-3"/>
                  <c:y val="-1.6038492381716191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C5D-4FD9-962D-C1D2FD564090}"/>
                </c:ext>
              </c:extLst>
            </c:dLbl>
            <c:dLbl>
              <c:idx val="2"/>
              <c:layout>
                <c:manualLayout>
                  <c:x val="0"/>
                  <c:y val="4.8115477145148397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FC5D-4FD9-962D-C1D2FD564090}"/>
                </c:ext>
              </c:extLst>
            </c:dLbl>
            <c:spPr>
              <a:noFill/>
              <a:ln>
                <a:noFill/>
              </a:ln>
              <a:effectLst/>
            </c:spPr>
            <c:txPr>
              <a:bodyPr rot="0" spcFirstLastPara="1" vertOverflow="ellipsis" vert="horz" wrap="square" anchor="ctr" anchorCtr="1"/>
              <a:lstStyle/>
              <a:p>
                <a:pPr>
                  <a:defRPr lang="en-US" sz="11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Autoturisme</c:v>
                </c:pt>
                <c:pt idx="1">
                  <c:v>Autoutilitare</c:v>
                </c:pt>
                <c:pt idx="2">
                  <c:v>Autovehicule grele și autobuze</c:v>
                </c:pt>
                <c:pt idx="3">
                  <c:v>Motociclete</c:v>
                </c:pt>
              </c:strCache>
            </c:strRef>
          </c:cat>
          <c:val>
            <c:numRef>
              <c:f>Sheet1!$B$2:$B$5</c:f>
              <c:numCache>
                <c:formatCode>General</c:formatCode>
                <c:ptCount val="4"/>
                <c:pt idx="0">
                  <c:v>6.558156999999996</c:v>
                </c:pt>
                <c:pt idx="1">
                  <c:v>1.0025279999999999</c:v>
                </c:pt>
                <c:pt idx="2">
                  <c:v>15.23048</c:v>
                </c:pt>
                <c:pt idx="3">
                  <c:v>2.3606000000000002E-2</c:v>
                </c:pt>
              </c:numCache>
            </c:numRef>
          </c:val>
          <c:extLst>
            <c:ext xmlns:c16="http://schemas.microsoft.com/office/drawing/2014/chart" uri="{C3380CC4-5D6E-409C-BE32-E72D297353CC}">
              <c16:uniqueId val="{00000008-FC5D-4FD9-962D-C1D2FD564090}"/>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59648001248914551"/>
          <c:y val="0.26225690162223697"/>
          <c:w val="0.39360672852696416"/>
          <c:h val="0.69420358599753296"/>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r>
              <a:rPr lang="en-US"/>
              <a:t>PM</a:t>
            </a:r>
            <a:r>
              <a:rPr lang="en-US" sz="1000"/>
              <a:t>10</a:t>
            </a:r>
          </a:p>
        </c:rich>
      </c:tx>
      <c:layout>
        <c:manualLayout>
          <c:xMode val="edge"/>
          <c:yMode val="edge"/>
          <c:x val="0.71110265491906455"/>
          <c:y val="6.0240963855421749E-2"/>
        </c:manualLayout>
      </c:layout>
      <c:overlay val="0"/>
      <c:spPr>
        <a:noFill/>
        <a:ln>
          <a:noFill/>
        </a:ln>
        <a:effectLst/>
      </c:spPr>
    </c:title>
    <c:autoTitleDeleted val="0"/>
    <c:plotArea>
      <c:layout>
        <c:manualLayout>
          <c:layoutTarget val="inner"/>
          <c:xMode val="edge"/>
          <c:yMode val="edge"/>
          <c:x val="8.2060318668344887E-2"/>
          <c:y val="7.4155295543951172E-2"/>
          <c:w val="0.5176551629931021"/>
          <c:h val="0.89876875330342765"/>
        </c:manualLayout>
      </c:layout>
      <c:doughnutChart>
        <c:varyColors val="1"/>
        <c:ser>
          <c:idx val="0"/>
          <c:order val="0"/>
          <c:tx>
            <c:strRef>
              <c:f>Sheet1!$B$1</c:f>
              <c:strCache>
                <c:ptCount val="1"/>
                <c:pt idx="0">
                  <c:v>PM10</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3A6-4462-9CD0-338C7818B2C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3A6-4462-9CD0-338C7818B2C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3A6-4462-9CD0-338C7818B2C9}"/>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C3A6-4462-9CD0-338C7818B2C9}"/>
              </c:ext>
            </c:extLst>
          </c:dPt>
          <c:dLbls>
            <c:dLbl>
              <c:idx val="3"/>
              <c:delete val="1"/>
              <c:extLst>
                <c:ext xmlns:c15="http://schemas.microsoft.com/office/drawing/2012/chart" uri="{CE6537A1-D6FC-4f65-9D91-7224C49458BB}"/>
                <c:ext xmlns:c16="http://schemas.microsoft.com/office/drawing/2014/chart" uri="{C3380CC4-5D6E-409C-BE32-E72D297353CC}">
                  <c16:uniqueId val="{00000007-C3A6-4462-9CD0-338C7818B2C9}"/>
                </c:ext>
              </c:extLst>
            </c:dLbl>
            <c:spPr>
              <a:noFill/>
              <a:ln>
                <a:noFill/>
              </a:ln>
              <a:effectLst/>
            </c:spPr>
            <c:txPr>
              <a:bodyPr rot="0" spcFirstLastPara="1" vertOverflow="ellipsis" vert="horz" wrap="square" anchor="ctr" anchorCtr="1"/>
              <a:lstStyle/>
              <a:p>
                <a:pPr>
                  <a:defRPr lang="en-US" sz="11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Autoturisme</c:v>
                </c:pt>
                <c:pt idx="1">
                  <c:v>Autoutilitare</c:v>
                </c:pt>
                <c:pt idx="2">
                  <c:v>Autovehicule grele și autobuze</c:v>
                </c:pt>
                <c:pt idx="3">
                  <c:v>Motociclete</c:v>
                </c:pt>
              </c:strCache>
            </c:strRef>
          </c:cat>
          <c:val>
            <c:numRef>
              <c:f>Sheet1!$B$2:$B$5</c:f>
              <c:numCache>
                <c:formatCode>General</c:formatCode>
                <c:ptCount val="4"/>
                <c:pt idx="0">
                  <c:v>7.9834949999999996</c:v>
                </c:pt>
                <c:pt idx="1">
                  <c:v>2.2773850000000002</c:v>
                </c:pt>
                <c:pt idx="2">
                  <c:v>32.034600000000005</c:v>
                </c:pt>
                <c:pt idx="3">
                  <c:v>9.8517000000000091E-2</c:v>
                </c:pt>
              </c:numCache>
            </c:numRef>
          </c:val>
          <c:extLst>
            <c:ext xmlns:c16="http://schemas.microsoft.com/office/drawing/2014/chart" uri="{C3380CC4-5D6E-409C-BE32-E72D297353CC}">
              <c16:uniqueId val="{00000008-C3A6-4462-9CD0-338C7818B2C9}"/>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59648001248914562"/>
          <c:y val="0.26225690162223697"/>
          <c:w val="0.3985633580189093"/>
          <c:h val="0.69420358599753296"/>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r>
              <a:rPr lang="en-US"/>
              <a:t>PM</a:t>
            </a:r>
            <a:r>
              <a:rPr lang="en-US" sz="1000"/>
              <a:t>2,5</a:t>
            </a:r>
          </a:p>
        </c:rich>
      </c:tx>
      <c:layout>
        <c:manualLayout>
          <c:xMode val="edge"/>
          <c:yMode val="edge"/>
          <c:x val="0.71110265491906455"/>
          <c:y val="6.0240963855421749E-2"/>
        </c:manualLayout>
      </c:layout>
      <c:overlay val="0"/>
      <c:spPr>
        <a:noFill/>
        <a:ln>
          <a:noFill/>
        </a:ln>
        <a:effectLst/>
      </c:spPr>
    </c:title>
    <c:autoTitleDeleted val="0"/>
    <c:plotArea>
      <c:layout>
        <c:manualLayout>
          <c:layoutTarget val="inner"/>
          <c:xMode val="edge"/>
          <c:yMode val="edge"/>
          <c:x val="8.2060318668344887E-2"/>
          <c:y val="7.4155295543951172E-2"/>
          <c:w val="0.5176551629931021"/>
          <c:h val="0.89876875330342765"/>
        </c:manualLayout>
      </c:layout>
      <c:doughnutChart>
        <c:varyColors val="1"/>
        <c:ser>
          <c:idx val="0"/>
          <c:order val="0"/>
          <c:tx>
            <c:strRef>
              <c:f>Sheet1!$B$1</c:f>
              <c:strCache>
                <c:ptCount val="1"/>
                <c:pt idx="0">
                  <c:v>PM2,5</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2F4-425C-BCD8-323C050BEE4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2F4-425C-BCD8-323C050BEE4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2F4-425C-BCD8-323C050BEE4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12F4-425C-BCD8-323C050BEE4F}"/>
              </c:ext>
            </c:extLst>
          </c:dPt>
          <c:dLbls>
            <c:dLbl>
              <c:idx val="3"/>
              <c:delete val="1"/>
              <c:extLst>
                <c:ext xmlns:c15="http://schemas.microsoft.com/office/drawing/2012/chart" uri="{CE6537A1-D6FC-4f65-9D91-7224C49458BB}"/>
                <c:ext xmlns:c16="http://schemas.microsoft.com/office/drawing/2014/chart" uri="{C3380CC4-5D6E-409C-BE32-E72D297353CC}">
                  <c16:uniqueId val="{00000007-12F4-425C-BCD8-323C050BEE4F}"/>
                </c:ext>
              </c:extLst>
            </c:dLbl>
            <c:spPr>
              <a:noFill/>
              <a:ln>
                <a:noFill/>
              </a:ln>
              <a:effectLst/>
            </c:spPr>
            <c:txPr>
              <a:bodyPr rot="0" spcFirstLastPara="1" vertOverflow="ellipsis" vert="horz" wrap="square" lIns="38100" tIns="19050" rIns="38100" bIns="19050" anchor="ctr" anchorCtr="1">
                <a:spAutoFit/>
              </a:bodyPr>
              <a:lstStyle/>
              <a:p>
                <a:pPr>
                  <a:defRPr lang="en-US" sz="11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Autoturisme</c:v>
                </c:pt>
                <c:pt idx="1">
                  <c:v>Autoutilitare</c:v>
                </c:pt>
                <c:pt idx="2">
                  <c:v>Autovehicule grele și autobuze</c:v>
                </c:pt>
                <c:pt idx="3">
                  <c:v>Motociclete</c:v>
                </c:pt>
              </c:strCache>
            </c:strRef>
          </c:cat>
          <c:val>
            <c:numRef>
              <c:f>Sheet1!$B$2:$B$5</c:f>
              <c:numCache>
                <c:formatCode>General</c:formatCode>
                <c:ptCount val="4"/>
                <c:pt idx="0">
                  <c:v>5.8748939999999985</c:v>
                </c:pt>
                <c:pt idx="1">
                  <c:v>1.9584420000000009</c:v>
                </c:pt>
                <c:pt idx="2">
                  <c:v>27.80067</c:v>
                </c:pt>
                <c:pt idx="3">
                  <c:v>9.0836000000000028E-2</c:v>
                </c:pt>
              </c:numCache>
            </c:numRef>
          </c:val>
          <c:extLst>
            <c:ext xmlns:c16="http://schemas.microsoft.com/office/drawing/2014/chart" uri="{C3380CC4-5D6E-409C-BE32-E72D297353CC}">
              <c16:uniqueId val="{00000008-12F4-425C-BCD8-323C050BEE4F}"/>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61630653045692707"/>
          <c:y val="0.26225690162223697"/>
          <c:w val="0.37873684005112729"/>
          <c:h val="0.69420358599753296"/>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r>
              <a:rPr lang="en-US"/>
              <a:t>C</a:t>
            </a:r>
            <a:r>
              <a:rPr lang="en-US" sz="1000"/>
              <a:t>6</a:t>
            </a:r>
            <a:r>
              <a:rPr lang="en-US" sz="1400"/>
              <a:t>H</a:t>
            </a:r>
            <a:r>
              <a:rPr lang="en-US" sz="1000"/>
              <a:t>6</a:t>
            </a:r>
          </a:p>
        </c:rich>
      </c:tx>
      <c:layout>
        <c:manualLayout>
          <c:xMode val="edge"/>
          <c:yMode val="edge"/>
          <c:x val="0.71110265491906455"/>
          <c:y val="6.0240963855421749E-2"/>
        </c:manualLayout>
      </c:layout>
      <c:overlay val="0"/>
      <c:spPr>
        <a:noFill/>
        <a:ln>
          <a:noFill/>
        </a:ln>
        <a:effectLst/>
      </c:spPr>
    </c:title>
    <c:autoTitleDeleted val="0"/>
    <c:plotArea>
      <c:layout>
        <c:manualLayout>
          <c:layoutTarget val="inner"/>
          <c:xMode val="edge"/>
          <c:yMode val="edge"/>
          <c:x val="8.2060318668344887E-2"/>
          <c:y val="7.4155295543951172E-2"/>
          <c:w val="0.5176551629931021"/>
          <c:h val="0.89876875330342765"/>
        </c:manualLayout>
      </c:layout>
      <c:doughnutChart>
        <c:varyColors val="1"/>
        <c:ser>
          <c:idx val="0"/>
          <c:order val="0"/>
          <c:tx>
            <c:strRef>
              <c:f>Sheet1!$B$1</c:f>
              <c:strCache>
                <c:ptCount val="1"/>
                <c:pt idx="0">
                  <c:v>C6H6</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3F0-4287-ADBA-A8B7882D66E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3F0-4287-ADBA-A8B7882D66E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B3F0-4287-ADBA-A8B7882D66E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B3F0-4287-ADBA-A8B7882D66EF}"/>
              </c:ext>
            </c:extLst>
          </c:dPt>
          <c:dLbls>
            <c:dLbl>
              <c:idx val="2"/>
              <c:delete val="1"/>
              <c:extLst>
                <c:ext xmlns:c15="http://schemas.microsoft.com/office/drawing/2012/chart" uri="{CE6537A1-D6FC-4f65-9D91-7224C49458BB}"/>
                <c:ext xmlns:c16="http://schemas.microsoft.com/office/drawing/2014/chart" uri="{C3380CC4-5D6E-409C-BE32-E72D297353CC}">
                  <c16:uniqueId val="{00000005-B3F0-4287-ADBA-A8B7882D66EF}"/>
                </c:ext>
              </c:extLst>
            </c:dLbl>
            <c:dLbl>
              <c:idx val="3"/>
              <c:delete val="1"/>
              <c:extLst>
                <c:ext xmlns:c15="http://schemas.microsoft.com/office/drawing/2012/chart" uri="{CE6537A1-D6FC-4f65-9D91-7224C49458BB}"/>
                <c:ext xmlns:c16="http://schemas.microsoft.com/office/drawing/2014/chart" uri="{C3380CC4-5D6E-409C-BE32-E72D297353CC}">
                  <c16:uniqueId val="{00000007-B3F0-4287-ADBA-A8B7882D66EF}"/>
                </c:ext>
              </c:extLst>
            </c:dLbl>
            <c:spPr>
              <a:noFill/>
              <a:ln>
                <a:noFill/>
              </a:ln>
              <a:effectLst/>
            </c:spPr>
            <c:txPr>
              <a:bodyPr rot="0" spcFirstLastPara="1" vertOverflow="ellipsis" vert="horz" wrap="square" anchor="ctr" anchorCtr="1"/>
              <a:lstStyle/>
              <a:p>
                <a:pPr>
                  <a:defRPr lang="en-US" sz="11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Autoturisme</c:v>
                </c:pt>
                <c:pt idx="1">
                  <c:v>Autoutilitare</c:v>
                </c:pt>
                <c:pt idx="2">
                  <c:v>Autovehicule grele și autobuze</c:v>
                </c:pt>
                <c:pt idx="3">
                  <c:v>Motociclete</c:v>
                </c:pt>
              </c:strCache>
            </c:strRef>
          </c:cat>
          <c:val>
            <c:numRef>
              <c:f>Sheet1!$B$2:$B$5</c:f>
              <c:numCache>
                <c:formatCode>General</c:formatCode>
                <c:ptCount val="4"/>
                <c:pt idx="0">
                  <c:v>11.398</c:v>
                </c:pt>
                <c:pt idx="1">
                  <c:v>4.5110000000000001</c:v>
                </c:pt>
                <c:pt idx="2">
                  <c:v>4.2000000000000023E-2</c:v>
                </c:pt>
                <c:pt idx="3">
                  <c:v>0</c:v>
                </c:pt>
              </c:numCache>
            </c:numRef>
          </c:val>
          <c:extLst>
            <c:ext xmlns:c16="http://schemas.microsoft.com/office/drawing/2014/chart" uri="{C3380CC4-5D6E-409C-BE32-E72D297353CC}">
              <c16:uniqueId val="{00000008-B3F0-4287-ADBA-A8B7882D66EF}"/>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59648001248914562"/>
          <c:y val="0.26225690162223697"/>
          <c:w val="0.3985633580189093"/>
          <c:h val="0.69420358599753296"/>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r>
              <a:rPr lang="en-US"/>
              <a:t>As</a:t>
            </a:r>
          </a:p>
        </c:rich>
      </c:tx>
      <c:layout>
        <c:manualLayout>
          <c:xMode val="edge"/>
          <c:yMode val="edge"/>
          <c:x val="0.58223028812848199"/>
          <c:y val="3.6183217675176384E-2"/>
        </c:manualLayout>
      </c:layout>
      <c:overlay val="0"/>
      <c:spPr>
        <a:noFill/>
        <a:ln>
          <a:noFill/>
        </a:ln>
        <a:effectLst/>
      </c:spPr>
    </c:title>
    <c:autoTitleDeleted val="0"/>
    <c:plotArea>
      <c:layout>
        <c:manualLayout>
          <c:layoutTarget val="inner"/>
          <c:xMode val="edge"/>
          <c:yMode val="edge"/>
          <c:x val="8.2060318668344887E-2"/>
          <c:y val="7.4155295543951172E-2"/>
          <c:w val="0.5176551629931021"/>
          <c:h val="0.89876875330342765"/>
        </c:manualLayout>
      </c:layout>
      <c:doughnutChart>
        <c:varyColors val="1"/>
        <c:ser>
          <c:idx val="0"/>
          <c:order val="0"/>
          <c:tx>
            <c:strRef>
              <c:f>Sheet1!$B$1</c:f>
              <c:strCache>
                <c:ptCount val="1"/>
                <c:pt idx="0">
                  <c:v>As</c:v>
                </c:pt>
              </c:strCache>
            </c:strRef>
          </c:tx>
          <c:spPr>
            <a:ln>
              <a:noFill/>
            </a:ln>
            <a:effectLst>
              <a:outerShdw blurRad="50800" dist="38100" dir="2700000" algn="tl" rotWithShape="0">
                <a:prstClr val="black">
                  <a:alpha val="40000"/>
                </a:prstClr>
              </a:outerShdw>
            </a:effectLst>
          </c:spPr>
          <c:dPt>
            <c:idx val="0"/>
            <c:bubble3D val="0"/>
            <c:spPr>
              <a:solidFill>
                <a:schemeClr val="accent1"/>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5880-4763-B76D-C89DE318AE9E}"/>
              </c:ext>
            </c:extLst>
          </c:dPt>
          <c:dPt>
            <c:idx val="1"/>
            <c:bubble3D val="0"/>
            <c:spPr>
              <a:solidFill>
                <a:schemeClr val="accent2"/>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5880-4763-B76D-C89DE318AE9E}"/>
              </c:ext>
            </c:extLst>
          </c:dPt>
          <c:dPt>
            <c:idx val="2"/>
            <c:bubble3D val="0"/>
            <c:spPr>
              <a:solidFill>
                <a:schemeClr val="accent3"/>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5880-4763-B76D-C89DE318AE9E}"/>
              </c:ext>
            </c:extLst>
          </c:dPt>
          <c:dPt>
            <c:idx val="3"/>
            <c:bubble3D val="0"/>
            <c:spPr>
              <a:solidFill>
                <a:schemeClr val="accent4"/>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7-95F8-4D0A-9B56-2C1CDB01BB0E}"/>
              </c:ext>
            </c:extLst>
          </c:dPt>
          <c:dPt>
            <c:idx val="4"/>
            <c:bubble3D val="0"/>
            <c:spPr>
              <a:solidFill>
                <a:schemeClr val="accent5"/>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7-1FFD-490C-A9F2-56F551A67C39}"/>
              </c:ext>
            </c:extLst>
          </c:dPt>
          <c:dPt>
            <c:idx val="5"/>
            <c:bubble3D val="0"/>
            <c:spPr>
              <a:solidFill>
                <a:schemeClr val="accent6"/>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8-1FFD-490C-A9F2-56F551A67C39}"/>
              </c:ext>
            </c:extLst>
          </c:dPt>
          <c:dPt>
            <c:idx val="6"/>
            <c:bubble3D val="0"/>
            <c:spPr>
              <a:solidFill>
                <a:schemeClr val="accent1">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D-95F8-4D0A-9B56-2C1CDB01BB0E}"/>
              </c:ext>
            </c:extLst>
          </c:dPt>
          <c:dPt>
            <c:idx val="7"/>
            <c:bubble3D val="0"/>
            <c:spPr>
              <a:solidFill>
                <a:schemeClr val="accent2">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9-1FFD-490C-A9F2-56F551A67C39}"/>
              </c:ext>
            </c:extLst>
          </c:dPt>
          <c:dPt>
            <c:idx val="8"/>
            <c:bubble3D val="0"/>
            <c:spPr>
              <a:solidFill>
                <a:schemeClr val="accent3">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11-95F8-4D0A-9B56-2C1CDB01BB0E}"/>
              </c:ext>
            </c:extLst>
          </c:dPt>
          <c:dPt>
            <c:idx val="9"/>
            <c:bubble3D val="0"/>
            <c:spPr>
              <a:solidFill>
                <a:srgbClr val="FFC000">
                  <a:lumMod val="75000"/>
                </a:srgb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6-1FFD-490C-A9F2-56F551A67C39}"/>
              </c:ext>
            </c:extLst>
          </c:dPt>
          <c:dPt>
            <c:idx val="10"/>
            <c:bubble3D val="0"/>
            <c:spPr>
              <a:solidFill>
                <a:schemeClr val="accent5">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15-95F8-4D0A-9B56-2C1CDB01BB0E}"/>
              </c:ext>
            </c:extLst>
          </c:dPt>
          <c:dLbls>
            <c:dLbl>
              <c:idx val="0"/>
              <c:delete val="1"/>
              <c:extLst>
                <c:ext xmlns:c15="http://schemas.microsoft.com/office/drawing/2012/chart" uri="{CE6537A1-D6FC-4f65-9D91-7224C49458BB}"/>
                <c:ext xmlns:c16="http://schemas.microsoft.com/office/drawing/2014/chart" uri="{C3380CC4-5D6E-409C-BE32-E72D297353CC}">
                  <c16:uniqueId val="{00000001-5880-4763-B76D-C89DE318AE9E}"/>
                </c:ext>
              </c:extLst>
            </c:dLbl>
            <c:dLbl>
              <c:idx val="1"/>
              <c:delete val="1"/>
              <c:extLst>
                <c:ext xmlns:c15="http://schemas.microsoft.com/office/drawing/2012/chart" uri="{CE6537A1-D6FC-4f65-9D91-7224C49458BB}"/>
                <c:ext xmlns:c16="http://schemas.microsoft.com/office/drawing/2014/chart" uri="{C3380CC4-5D6E-409C-BE32-E72D297353CC}">
                  <c16:uniqueId val="{00000003-5880-4763-B76D-C89DE318AE9E}"/>
                </c:ext>
              </c:extLst>
            </c:dLbl>
            <c:dLbl>
              <c:idx val="2"/>
              <c:delete val="1"/>
              <c:extLst>
                <c:ext xmlns:c15="http://schemas.microsoft.com/office/drawing/2012/chart" uri="{CE6537A1-D6FC-4f65-9D91-7224C49458BB}"/>
                <c:ext xmlns:c16="http://schemas.microsoft.com/office/drawing/2014/chart" uri="{C3380CC4-5D6E-409C-BE32-E72D297353CC}">
                  <c16:uniqueId val="{00000005-5880-4763-B76D-C89DE318AE9E}"/>
                </c:ext>
              </c:extLst>
            </c:dLbl>
            <c:dLbl>
              <c:idx val="3"/>
              <c:delete val="1"/>
              <c:extLst>
                <c:ext xmlns:c15="http://schemas.microsoft.com/office/drawing/2012/chart" uri="{CE6537A1-D6FC-4f65-9D91-7224C49458BB}"/>
                <c:ext xmlns:c16="http://schemas.microsoft.com/office/drawing/2014/chart" uri="{C3380CC4-5D6E-409C-BE32-E72D297353CC}">
                  <c16:uniqueId val="{00000007-95F8-4D0A-9B56-2C1CDB01BB0E}"/>
                </c:ext>
              </c:extLst>
            </c:dLbl>
            <c:dLbl>
              <c:idx val="5"/>
              <c:delete val="1"/>
              <c:extLst>
                <c:ext xmlns:c15="http://schemas.microsoft.com/office/drawing/2012/chart" uri="{CE6537A1-D6FC-4f65-9D91-7224C49458BB}"/>
                <c:ext xmlns:c16="http://schemas.microsoft.com/office/drawing/2014/chart" uri="{C3380CC4-5D6E-409C-BE32-E72D297353CC}">
                  <c16:uniqueId val="{00000008-1FFD-490C-A9F2-56F551A67C39}"/>
                </c:ext>
              </c:extLst>
            </c:dLbl>
            <c:dLbl>
              <c:idx val="7"/>
              <c:delete val="1"/>
              <c:extLst>
                <c:ext xmlns:c15="http://schemas.microsoft.com/office/drawing/2012/chart" uri="{CE6537A1-D6FC-4f65-9D91-7224C49458BB}"/>
                <c:ext xmlns:c16="http://schemas.microsoft.com/office/drawing/2014/chart" uri="{C3380CC4-5D6E-409C-BE32-E72D297353CC}">
                  <c16:uniqueId val="{00000009-1FFD-490C-A9F2-56F551A67C39}"/>
                </c:ext>
              </c:extLst>
            </c:dLbl>
            <c:dLbl>
              <c:idx val="8"/>
              <c:delete val="1"/>
              <c:extLst>
                <c:ext xmlns:c15="http://schemas.microsoft.com/office/drawing/2012/chart" uri="{CE6537A1-D6FC-4f65-9D91-7224C49458BB}"/>
                <c:ext xmlns:c16="http://schemas.microsoft.com/office/drawing/2014/chart" uri="{C3380CC4-5D6E-409C-BE32-E72D297353CC}">
                  <c16:uniqueId val="{00000011-95F8-4D0A-9B56-2C1CDB01BB0E}"/>
                </c:ext>
              </c:extLst>
            </c:dLbl>
            <c:dLbl>
              <c:idx val="10"/>
              <c:delete val="1"/>
              <c:extLst>
                <c:ext xmlns:c15="http://schemas.microsoft.com/office/drawing/2012/chart" uri="{CE6537A1-D6FC-4f65-9D91-7224C49458BB}"/>
                <c:ext xmlns:c16="http://schemas.microsoft.com/office/drawing/2014/chart" uri="{C3380CC4-5D6E-409C-BE32-E72D297353CC}">
                  <c16:uniqueId val="{00000015-95F8-4D0A-9B56-2C1CDB01BB0E}"/>
                </c:ext>
              </c:extLst>
            </c:dLbl>
            <c:spPr>
              <a:noFill/>
              <a:ln>
                <a:noFill/>
              </a:ln>
              <a:effectLst/>
            </c:spPr>
            <c:txPr>
              <a:bodyPr rot="0" spcFirstLastPara="1" vertOverflow="ellipsis" vert="horz" wrap="square" anchor="ctr" anchorCtr="1"/>
              <a:lstStyle/>
              <a:p>
                <a:pPr>
                  <a:defRPr lang="en-US" sz="11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Sheet1!$A$2:$A$12</c:f>
              <c:strCache>
                <c:ptCount val="11"/>
                <c:pt idx="0">
                  <c:v>1.A.1.a</c:v>
                </c:pt>
                <c:pt idx="1">
                  <c:v>1.A.2.a</c:v>
                </c:pt>
                <c:pt idx="2">
                  <c:v>1.A.2.e</c:v>
                </c:pt>
                <c:pt idx="3">
                  <c:v>1.A.2.f.i</c:v>
                </c:pt>
                <c:pt idx="4">
                  <c:v>1.A.4.a.i</c:v>
                </c:pt>
                <c:pt idx="5">
                  <c:v>1.A.4.a.ii</c:v>
                </c:pt>
                <c:pt idx="6">
                  <c:v>1.A.4.b.i</c:v>
                </c:pt>
                <c:pt idx="7">
                  <c:v>1.A.4.c.i</c:v>
                </c:pt>
                <c:pt idx="8">
                  <c:v>2.A.6</c:v>
                </c:pt>
                <c:pt idx="9">
                  <c:v>2.C.1</c:v>
                </c:pt>
                <c:pt idx="10">
                  <c:v>6.C.d</c:v>
                </c:pt>
              </c:strCache>
            </c:strRef>
          </c:cat>
          <c:val>
            <c:numRef>
              <c:f>Sheet1!$B$2:$B$12</c:f>
              <c:numCache>
                <c:formatCode>General</c:formatCode>
                <c:ptCount val="11"/>
                <c:pt idx="0">
                  <c:v>2.1699099999999999E-2</c:v>
                </c:pt>
                <c:pt idx="2">
                  <c:v>0.59062258999999928</c:v>
                </c:pt>
                <c:pt idx="4">
                  <c:v>97.917710920000076</c:v>
                </c:pt>
                <c:pt idx="5">
                  <c:v>2.2865790000000018E-2</c:v>
                </c:pt>
                <c:pt idx="6">
                  <c:v>10.648117389999998</c:v>
                </c:pt>
                <c:pt idx="7">
                  <c:v>0.3516253900000002</c:v>
                </c:pt>
                <c:pt idx="9">
                  <c:v>169.35780500000001</c:v>
                </c:pt>
              </c:numCache>
            </c:numRef>
          </c:val>
          <c:extLst>
            <c:ext xmlns:c16="http://schemas.microsoft.com/office/drawing/2014/chart" uri="{C3380CC4-5D6E-409C-BE32-E72D297353CC}">
              <c16:uniqueId val="{00000006-5880-4763-B76D-C89DE318AE9E}"/>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69065597283610991"/>
          <c:y val="5.3756732693898433E-2"/>
          <c:w val="0.27960425021221796"/>
          <c:h val="0.90270381198340632"/>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59710017660431869"/>
          <c:y val="5.2221710056892454E-2"/>
        </c:manualLayout>
      </c:layout>
      <c:overlay val="0"/>
      <c:spPr>
        <a:noFill/>
        <a:ln>
          <a:noFill/>
        </a:ln>
        <a:effectLst/>
      </c:spPr>
      <c:txPr>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endParaRPr lang="en-US"/>
        </a:p>
      </c:txPr>
    </c:title>
    <c:autoTitleDeleted val="0"/>
    <c:plotArea>
      <c:layout>
        <c:manualLayout>
          <c:layoutTarget val="inner"/>
          <c:xMode val="edge"/>
          <c:yMode val="edge"/>
          <c:x val="8.2060318668344887E-2"/>
          <c:y val="7.4155295543951172E-2"/>
          <c:w val="0.5176551629931021"/>
          <c:h val="0.89876875330342765"/>
        </c:manualLayout>
      </c:layout>
      <c:doughnutChart>
        <c:varyColors val="1"/>
        <c:ser>
          <c:idx val="0"/>
          <c:order val="0"/>
          <c:tx>
            <c:strRef>
              <c:f>Sheet1!$B$1</c:f>
              <c:strCache>
                <c:ptCount val="1"/>
                <c:pt idx="0">
                  <c:v>Cd</c:v>
                </c:pt>
              </c:strCache>
            </c:strRef>
          </c:tx>
          <c:spPr>
            <a:ln>
              <a:noFill/>
            </a:ln>
            <a:effectLst>
              <a:outerShdw blurRad="50800" dist="38100" dir="2700000" algn="tl" rotWithShape="0">
                <a:prstClr val="black">
                  <a:alpha val="40000"/>
                </a:prstClr>
              </a:outerShdw>
            </a:effectLst>
          </c:spPr>
          <c:dPt>
            <c:idx val="0"/>
            <c:bubble3D val="0"/>
            <c:spPr>
              <a:solidFill>
                <a:schemeClr val="accent1"/>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6588-4F5C-B619-C1C375DB6F9C}"/>
              </c:ext>
            </c:extLst>
          </c:dPt>
          <c:dPt>
            <c:idx val="1"/>
            <c:bubble3D val="0"/>
            <c:spPr>
              <a:solidFill>
                <a:schemeClr val="accent2"/>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6588-4F5C-B619-C1C375DB6F9C}"/>
              </c:ext>
            </c:extLst>
          </c:dPt>
          <c:dPt>
            <c:idx val="2"/>
            <c:bubble3D val="0"/>
            <c:spPr>
              <a:solidFill>
                <a:schemeClr val="accent3"/>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6588-4F5C-B619-C1C375DB6F9C}"/>
              </c:ext>
            </c:extLst>
          </c:dPt>
          <c:dPt>
            <c:idx val="3"/>
            <c:bubble3D val="0"/>
            <c:spPr>
              <a:solidFill>
                <a:schemeClr val="accent4"/>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7-6650-4940-8396-954401F548B7}"/>
              </c:ext>
            </c:extLst>
          </c:dPt>
          <c:dPt>
            <c:idx val="4"/>
            <c:bubble3D val="0"/>
            <c:spPr>
              <a:solidFill>
                <a:schemeClr val="accent5"/>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9-6650-4940-8396-954401F548B7}"/>
              </c:ext>
            </c:extLst>
          </c:dPt>
          <c:dPt>
            <c:idx val="5"/>
            <c:bubble3D val="0"/>
            <c:spPr>
              <a:solidFill>
                <a:schemeClr val="accent6"/>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8-ADD8-48B9-B535-7B7EF7B6866F}"/>
              </c:ext>
            </c:extLst>
          </c:dPt>
          <c:dPt>
            <c:idx val="6"/>
            <c:bubble3D val="0"/>
            <c:spPr>
              <a:solidFill>
                <a:schemeClr val="accent1">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D-6650-4940-8396-954401F548B7}"/>
              </c:ext>
            </c:extLst>
          </c:dPt>
          <c:dPt>
            <c:idx val="7"/>
            <c:bubble3D val="0"/>
            <c:spPr>
              <a:solidFill>
                <a:schemeClr val="accent2">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7-ADD8-48B9-B535-7B7EF7B6866F}"/>
              </c:ext>
            </c:extLst>
          </c:dPt>
          <c:dPt>
            <c:idx val="8"/>
            <c:bubble3D val="0"/>
            <c:spPr>
              <a:solidFill>
                <a:schemeClr val="accent3">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11-6650-4940-8396-954401F548B7}"/>
              </c:ext>
            </c:extLst>
          </c:dPt>
          <c:dPt>
            <c:idx val="9"/>
            <c:bubble3D val="0"/>
            <c:spPr>
              <a:solidFill>
                <a:srgbClr val="FFC000">
                  <a:lumMod val="75000"/>
                </a:srgb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6-ADD8-48B9-B535-7B7EF7B6866F}"/>
              </c:ext>
            </c:extLst>
          </c:dPt>
          <c:dPt>
            <c:idx val="10"/>
            <c:bubble3D val="0"/>
            <c:spPr>
              <a:solidFill>
                <a:schemeClr val="accent5">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15-6650-4940-8396-954401F548B7}"/>
              </c:ext>
            </c:extLst>
          </c:dPt>
          <c:dLbls>
            <c:dLbl>
              <c:idx val="0"/>
              <c:delete val="1"/>
              <c:extLst>
                <c:ext xmlns:c15="http://schemas.microsoft.com/office/drawing/2012/chart" uri="{CE6537A1-D6FC-4f65-9D91-7224C49458BB}"/>
                <c:ext xmlns:c16="http://schemas.microsoft.com/office/drawing/2014/chart" uri="{C3380CC4-5D6E-409C-BE32-E72D297353CC}">
                  <c16:uniqueId val="{00000001-6588-4F5C-B619-C1C375DB6F9C}"/>
                </c:ext>
              </c:extLst>
            </c:dLbl>
            <c:dLbl>
              <c:idx val="1"/>
              <c:delete val="1"/>
              <c:extLst>
                <c:ext xmlns:c15="http://schemas.microsoft.com/office/drawing/2012/chart" uri="{CE6537A1-D6FC-4f65-9D91-7224C49458BB}"/>
                <c:ext xmlns:c16="http://schemas.microsoft.com/office/drawing/2014/chart" uri="{C3380CC4-5D6E-409C-BE32-E72D297353CC}">
                  <c16:uniqueId val="{00000003-6588-4F5C-B619-C1C375DB6F9C}"/>
                </c:ext>
              </c:extLst>
            </c:dLbl>
            <c:dLbl>
              <c:idx val="2"/>
              <c:layout>
                <c:manualLayout>
                  <c:x val="9.9132589838909092E-3"/>
                  <c:y val="-1.6038492381716122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6588-4F5C-B619-C1C375DB6F9C}"/>
                </c:ext>
              </c:extLst>
            </c:dLbl>
            <c:dLbl>
              <c:idx val="3"/>
              <c:delete val="1"/>
              <c:extLst>
                <c:ext xmlns:c15="http://schemas.microsoft.com/office/drawing/2012/chart" uri="{CE6537A1-D6FC-4f65-9D91-7224C49458BB}"/>
                <c:ext xmlns:c16="http://schemas.microsoft.com/office/drawing/2014/chart" uri="{C3380CC4-5D6E-409C-BE32-E72D297353CC}">
                  <c16:uniqueId val="{00000007-6650-4940-8396-954401F548B7}"/>
                </c:ext>
              </c:extLst>
            </c:dLbl>
            <c:dLbl>
              <c:idx val="5"/>
              <c:delete val="1"/>
              <c:extLst>
                <c:ext xmlns:c15="http://schemas.microsoft.com/office/drawing/2012/chart" uri="{CE6537A1-D6FC-4f65-9D91-7224C49458BB}"/>
                <c:ext xmlns:c16="http://schemas.microsoft.com/office/drawing/2014/chart" uri="{C3380CC4-5D6E-409C-BE32-E72D297353CC}">
                  <c16:uniqueId val="{00000008-ADD8-48B9-B535-7B7EF7B6866F}"/>
                </c:ext>
              </c:extLst>
            </c:dLbl>
            <c:dLbl>
              <c:idx val="7"/>
              <c:delete val="1"/>
              <c:extLst>
                <c:ext xmlns:c15="http://schemas.microsoft.com/office/drawing/2012/chart" uri="{CE6537A1-D6FC-4f65-9D91-7224C49458BB}"/>
                <c:ext xmlns:c16="http://schemas.microsoft.com/office/drawing/2014/chart" uri="{C3380CC4-5D6E-409C-BE32-E72D297353CC}">
                  <c16:uniqueId val="{00000007-ADD8-48B9-B535-7B7EF7B6866F}"/>
                </c:ext>
              </c:extLst>
            </c:dLbl>
            <c:dLbl>
              <c:idx val="8"/>
              <c:delete val="1"/>
              <c:extLst>
                <c:ext xmlns:c15="http://schemas.microsoft.com/office/drawing/2012/chart" uri="{CE6537A1-D6FC-4f65-9D91-7224C49458BB}"/>
                <c:ext xmlns:c16="http://schemas.microsoft.com/office/drawing/2014/chart" uri="{C3380CC4-5D6E-409C-BE32-E72D297353CC}">
                  <c16:uniqueId val="{00000011-6650-4940-8396-954401F548B7}"/>
                </c:ext>
              </c:extLst>
            </c:dLbl>
            <c:dLbl>
              <c:idx val="10"/>
              <c:delete val="1"/>
              <c:extLst>
                <c:ext xmlns:c15="http://schemas.microsoft.com/office/drawing/2012/chart" uri="{CE6537A1-D6FC-4f65-9D91-7224C49458BB}"/>
                <c:ext xmlns:c16="http://schemas.microsoft.com/office/drawing/2014/chart" uri="{C3380CC4-5D6E-409C-BE32-E72D297353CC}">
                  <c16:uniqueId val="{00000015-6650-4940-8396-954401F548B7}"/>
                </c:ext>
              </c:extLst>
            </c:dLbl>
            <c:spPr>
              <a:noFill/>
              <a:ln>
                <a:noFill/>
              </a:ln>
              <a:effectLst/>
            </c:spPr>
            <c:txPr>
              <a:bodyPr rot="0" spcFirstLastPara="1" vertOverflow="ellipsis" vert="horz" wrap="square" anchor="ctr" anchorCtr="1"/>
              <a:lstStyle/>
              <a:p>
                <a:pPr>
                  <a:defRPr lang="en-US" sz="11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Sheet1!$A$2:$A$12</c:f>
              <c:strCache>
                <c:ptCount val="11"/>
                <c:pt idx="0">
                  <c:v>1.A.1.a</c:v>
                </c:pt>
                <c:pt idx="1">
                  <c:v>1.A.2.a</c:v>
                </c:pt>
                <c:pt idx="2">
                  <c:v>1.A.2.e</c:v>
                </c:pt>
                <c:pt idx="3">
                  <c:v>1.A.2.f.i</c:v>
                </c:pt>
                <c:pt idx="4">
                  <c:v>1.A.4.a.i</c:v>
                </c:pt>
                <c:pt idx="5">
                  <c:v>1.A.4.a.ii</c:v>
                </c:pt>
                <c:pt idx="6">
                  <c:v>1.A.4.b.i</c:v>
                </c:pt>
                <c:pt idx="7">
                  <c:v>1.A.4.c.i</c:v>
                </c:pt>
                <c:pt idx="8">
                  <c:v>2.A.6</c:v>
                </c:pt>
                <c:pt idx="9">
                  <c:v>2.C.1</c:v>
                </c:pt>
                <c:pt idx="10">
                  <c:v>6.C.d</c:v>
                </c:pt>
              </c:strCache>
            </c:strRef>
          </c:cat>
          <c:val>
            <c:numRef>
              <c:f>Sheet1!$B$2:$B$12</c:f>
              <c:numCache>
                <c:formatCode>General</c:formatCode>
                <c:ptCount val="11"/>
                <c:pt idx="0">
                  <c:v>0.12055054000000005</c:v>
                </c:pt>
                <c:pt idx="2">
                  <c:v>3.2665723199999999</c:v>
                </c:pt>
                <c:pt idx="4">
                  <c:v>201.07077529999989</c:v>
                </c:pt>
                <c:pt idx="5">
                  <c:v>0.12649160000000001</c:v>
                </c:pt>
                <c:pt idx="6">
                  <c:v>56.746334880000013</c:v>
                </c:pt>
                <c:pt idx="7">
                  <c:v>1.7993583799999999</c:v>
                </c:pt>
                <c:pt idx="9">
                  <c:v>239.33782500000001</c:v>
                </c:pt>
              </c:numCache>
            </c:numRef>
          </c:val>
          <c:extLst>
            <c:ext xmlns:c16="http://schemas.microsoft.com/office/drawing/2014/chart" uri="{C3380CC4-5D6E-409C-BE32-E72D297353CC}">
              <c16:uniqueId val="{00000006-6588-4F5C-B619-C1C375DB6F9C}"/>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69065597283610991"/>
          <c:y val="6.9795225075614573E-2"/>
          <c:w val="0.27960425021221796"/>
          <c:h val="0.88666531960168971"/>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58223028812848199"/>
          <c:y val="6.0240956247750485E-2"/>
        </c:manualLayout>
      </c:layout>
      <c:overlay val="0"/>
      <c:spPr>
        <a:noFill/>
        <a:ln>
          <a:noFill/>
        </a:ln>
        <a:effectLst/>
      </c:spPr>
      <c:txPr>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endParaRPr lang="en-US"/>
        </a:p>
      </c:txPr>
    </c:title>
    <c:autoTitleDeleted val="0"/>
    <c:plotArea>
      <c:layout>
        <c:manualLayout>
          <c:layoutTarget val="inner"/>
          <c:xMode val="edge"/>
          <c:yMode val="edge"/>
          <c:x val="8.2060318668344887E-2"/>
          <c:y val="7.4155295543951172E-2"/>
          <c:w val="0.5176551629931021"/>
          <c:h val="0.89876875330342765"/>
        </c:manualLayout>
      </c:layout>
      <c:doughnutChart>
        <c:varyColors val="1"/>
        <c:ser>
          <c:idx val="0"/>
          <c:order val="0"/>
          <c:tx>
            <c:strRef>
              <c:f>Sheet1!$B$1</c:f>
              <c:strCache>
                <c:ptCount val="1"/>
                <c:pt idx="0">
                  <c:v>CO</c:v>
                </c:pt>
              </c:strCache>
            </c:strRef>
          </c:tx>
          <c:spPr>
            <a:ln>
              <a:noFill/>
            </a:ln>
            <a:effectLst>
              <a:outerShdw blurRad="50800" dist="38100" dir="2700000" algn="tl" rotWithShape="0">
                <a:prstClr val="black">
                  <a:alpha val="40000"/>
                </a:prstClr>
              </a:outerShdw>
            </a:effectLst>
          </c:spPr>
          <c:dPt>
            <c:idx val="0"/>
            <c:bubble3D val="0"/>
            <c:spPr>
              <a:solidFill>
                <a:schemeClr val="accent1"/>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3E35-460B-BEAD-2045F9A3F484}"/>
              </c:ext>
            </c:extLst>
          </c:dPt>
          <c:dPt>
            <c:idx val="1"/>
            <c:bubble3D val="0"/>
            <c:spPr>
              <a:solidFill>
                <a:schemeClr val="accent2"/>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3E35-460B-BEAD-2045F9A3F484}"/>
              </c:ext>
            </c:extLst>
          </c:dPt>
          <c:dPt>
            <c:idx val="2"/>
            <c:bubble3D val="0"/>
            <c:spPr>
              <a:solidFill>
                <a:schemeClr val="accent3"/>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3E35-460B-BEAD-2045F9A3F484}"/>
              </c:ext>
            </c:extLst>
          </c:dPt>
          <c:dPt>
            <c:idx val="3"/>
            <c:bubble3D val="0"/>
            <c:spPr>
              <a:solidFill>
                <a:schemeClr val="accent4"/>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7-8952-4E23-99D3-F90DA044335B}"/>
              </c:ext>
            </c:extLst>
          </c:dPt>
          <c:dPt>
            <c:idx val="4"/>
            <c:bubble3D val="0"/>
            <c:spPr>
              <a:solidFill>
                <a:schemeClr val="accent5"/>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9-8952-4E23-99D3-F90DA044335B}"/>
              </c:ext>
            </c:extLst>
          </c:dPt>
          <c:dPt>
            <c:idx val="5"/>
            <c:bubble3D val="0"/>
            <c:spPr>
              <a:solidFill>
                <a:schemeClr val="accent6"/>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6-87D1-4A7F-93A7-347C01E4B4B7}"/>
              </c:ext>
            </c:extLst>
          </c:dPt>
          <c:dPt>
            <c:idx val="6"/>
            <c:bubble3D val="0"/>
            <c:spPr>
              <a:solidFill>
                <a:schemeClr val="accent1">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9-87D1-4A7F-93A7-347C01E4B4B7}"/>
              </c:ext>
            </c:extLst>
          </c:dPt>
          <c:dPt>
            <c:idx val="7"/>
            <c:bubble3D val="0"/>
            <c:spPr>
              <a:solidFill>
                <a:schemeClr val="accent2">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8-87D1-4A7F-93A7-347C01E4B4B7}"/>
              </c:ext>
            </c:extLst>
          </c:dPt>
          <c:dPt>
            <c:idx val="8"/>
            <c:bubble3D val="0"/>
            <c:spPr>
              <a:solidFill>
                <a:schemeClr val="accent3">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11-8952-4E23-99D3-F90DA044335B}"/>
              </c:ext>
            </c:extLst>
          </c:dPt>
          <c:dPt>
            <c:idx val="9"/>
            <c:bubble3D val="0"/>
            <c:spPr>
              <a:solidFill>
                <a:schemeClr val="accent4">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7-87D1-4A7F-93A7-347C01E4B4B7}"/>
              </c:ext>
            </c:extLst>
          </c:dPt>
          <c:dPt>
            <c:idx val="10"/>
            <c:bubble3D val="0"/>
            <c:spPr>
              <a:solidFill>
                <a:schemeClr val="accent5">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15-8952-4E23-99D3-F90DA044335B}"/>
              </c:ext>
            </c:extLst>
          </c:dPt>
          <c:dLbls>
            <c:dLbl>
              <c:idx val="0"/>
              <c:delete val="1"/>
              <c:extLst>
                <c:ext xmlns:c15="http://schemas.microsoft.com/office/drawing/2012/chart" uri="{CE6537A1-D6FC-4f65-9D91-7224C49458BB}"/>
                <c:ext xmlns:c16="http://schemas.microsoft.com/office/drawing/2014/chart" uri="{C3380CC4-5D6E-409C-BE32-E72D297353CC}">
                  <c16:uniqueId val="{00000001-3E35-460B-BEAD-2045F9A3F484}"/>
                </c:ext>
              </c:extLst>
            </c:dLbl>
            <c:dLbl>
              <c:idx val="1"/>
              <c:delete val="1"/>
              <c:extLst>
                <c:ext xmlns:c15="http://schemas.microsoft.com/office/drawing/2012/chart" uri="{CE6537A1-D6FC-4f65-9D91-7224C49458BB}"/>
                <c:ext xmlns:c16="http://schemas.microsoft.com/office/drawing/2014/chart" uri="{C3380CC4-5D6E-409C-BE32-E72D297353CC}">
                  <c16:uniqueId val="{00000003-3E35-460B-BEAD-2045F9A3F484}"/>
                </c:ext>
              </c:extLst>
            </c:dLbl>
            <c:dLbl>
              <c:idx val="2"/>
              <c:delete val="1"/>
              <c:extLst>
                <c:ext xmlns:c15="http://schemas.microsoft.com/office/drawing/2012/chart" uri="{CE6537A1-D6FC-4f65-9D91-7224C49458BB}"/>
                <c:ext xmlns:c16="http://schemas.microsoft.com/office/drawing/2014/chart" uri="{C3380CC4-5D6E-409C-BE32-E72D297353CC}">
                  <c16:uniqueId val="{00000005-3E35-460B-BEAD-2045F9A3F484}"/>
                </c:ext>
              </c:extLst>
            </c:dLbl>
            <c:dLbl>
              <c:idx val="5"/>
              <c:delete val="1"/>
              <c:extLst>
                <c:ext xmlns:c15="http://schemas.microsoft.com/office/drawing/2012/chart" uri="{CE6537A1-D6FC-4f65-9D91-7224C49458BB}"/>
                <c:ext xmlns:c16="http://schemas.microsoft.com/office/drawing/2014/chart" uri="{C3380CC4-5D6E-409C-BE32-E72D297353CC}">
                  <c16:uniqueId val="{00000006-87D1-4A7F-93A7-347C01E4B4B7}"/>
                </c:ext>
              </c:extLst>
            </c:dLbl>
            <c:dLbl>
              <c:idx val="6"/>
              <c:layout>
                <c:manualLayout>
                  <c:x val="-9.4175960346964183E-2"/>
                  <c:y val="-0.10425020048115495"/>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87D1-4A7F-93A7-347C01E4B4B7}"/>
                </c:ext>
              </c:extLst>
            </c:dLbl>
            <c:dLbl>
              <c:idx val="7"/>
              <c:delete val="1"/>
              <c:extLst>
                <c:ext xmlns:c15="http://schemas.microsoft.com/office/drawing/2012/chart" uri="{CE6537A1-D6FC-4f65-9D91-7224C49458BB}"/>
                <c:ext xmlns:c16="http://schemas.microsoft.com/office/drawing/2014/chart" uri="{C3380CC4-5D6E-409C-BE32-E72D297353CC}">
                  <c16:uniqueId val="{00000008-87D1-4A7F-93A7-347C01E4B4B7}"/>
                </c:ext>
              </c:extLst>
            </c:dLbl>
            <c:dLbl>
              <c:idx val="9"/>
              <c:layout>
                <c:manualLayout>
                  <c:x val="0"/>
                  <c:y val="-0.1363271852445869"/>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87D1-4A7F-93A7-347C01E4B4B7}"/>
                </c:ext>
              </c:extLst>
            </c:dLbl>
            <c:spPr>
              <a:noFill/>
              <a:ln>
                <a:noFill/>
              </a:ln>
              <a:effectLst/>
            </c:spPr>
            <c:txPr>
              <a:bodyPr rot="0" spcFirstLastPara="1" vertOverflow="ellipsis" vert="horz" wrap="square" anchor="ctr" anchorCtr="1"/>
              <a:lstStyle/>
              <a:p>
                <a:pPr>
                  <a:defRPr lang="en-US" sz="11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Sheet1!$A$2:$A$12</c:f>
              <c:strCache>
                <c:ptCount val="11"/>
                <c:pt idx="0">
                  <c:v>1.A.1.a</c:v>
                </c:pt>
                <c:pt idx="1">
                  <c:v>1.A.2.a</c:v>
                </c:pt>
                <c:pt idx="2">
                  <c:v>1.A.2.e</c:v>
                </c:pt>
                <c:pt idx="3">
                  <c:v>1.A.2.f.i</c:v>
                </c:pt>
                <c:pt idx="4">
                  <c:v>1.A.4.a.i</c:v>
                </c:pt>
                <c:pt idx="5">
                  <c:v>1.A.4.a.ii</c:v>
                </c:pt>
                <c:pt idx="6">
                  <c:v>1.A.4.b.i</c:v>
                </c:pt>
                <c:pt idx="7">
                  <c:v>1.A.4.c.i</c:v>
                </c:pt>
                <c:pt idx="8">
                  <c:v>2.A.6</c:v>
                </c:pt>
                <c:pt idx="9">
                  <c:v>2.C.1</c:v>
                </c:pt>
                <c:pt idx="10">
                  <c:v>6.C.d</c:v>
                </c:pt>
              </c:strCache>
            </c:strRef>
          </c:cat>
          <c:val>
            <c:numRef>
              <c:f>Sheet1!$B$2:$B$12</c:f>
              <c:numCache>
                <c:formatCode>General</c:formatCode>
                <c:ptCount val="11"/>
                <c:pt idx="0">
                  <c:v>9402.94218</c:v>
                </c:pt>
                <c:pt idx="1">
                  <c:v>233437.75</c:v>
                </c:pt>
                <c:pt idx="2">
                  <c:v>131004.60810000006</c:v>
                </c:pt>
                <c:pt idx="3">
                  <c:v>33770064.800000004</c:v>
                </c:pt>
                <c:pt idx="4">
                  <c:v>202563896.59999999</c:v>
                </c:pt>
                <c:pt idx="5">
                  <c:v>4865.0616000000036</c:v>
                </c:pt>
                <c:pt idx="6">
                  <c:v>9350700.5629999992</c:v>
                </c:pt>
                <c:pt idx="7">
                  <c:v>106317.29580000001</c:v>
                </c:pt>
                <c:pt idx="9">
                  <c:v>2616555</c:v>
                </c:pt>
              </c:numCache>
            </c:numRef>
          </c:val>
          <c:extLst>
            <c:ext xmlns:c16="http://schemas.microsoft.com/office/drawing/2014/chart" uri="{C3380CC4-5D6E-409C-BE32-E72D297353CC}">
              <c16:uniqueId val="{00000006-3E35-460B-BEAD-2045F9A3F484}"/>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69065597283610991"/>
          <c:y val="6.9795225075614573E-2"/>
          <c:w val="0.27960425021221796"/>
          <c:h val="0.88666531960168971"/>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60205680609626389"/>
          <c:y val="6.0240956247750485E-2"/>
        </c:manualLayout>
      </c:layout>
      <c:overlay val="0"/>
      <c:spPr>
        <a:noFill/>
        <a:ln>
          <a:noFill/>
        </a:ln>
        <a:effectLst/>
      </c:spPr>
      <c:txPr>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endParaRPr lang="en-US"/>
        </a:p>
      </c:txPr>
    </c:title>
    <c:autoTitleDeleted val="0"/>
    <c:plotArea>
      <c:layout>
        <c:manualLayout>
          <c:layoutTarget val="inner"/>
          <c:xMode val="edge"/>
          <c:yMode val="edge"/>
          <c:x val="8.2060318668344887E-2"/>
          <c:y val="7.4155295543951172E-2"/>
          <c:w val="0.5176551629931021"/>
          <c:h val="0.89876875330342765"/>
        </c:manualLayout>
      </c:layout>
      <c:doughnutChart>
        <c:varyColors val="1"/>
        <c:ser>
          <c:idx val="0"/>
          <c:order val="0"/>
          <c:tx>
            <c:strRef>
              <c:f>Sheet1!$B$1</c:f>
              <c:strCache>
                <c:ptCount val="1"/>
                <c:pt idx="0">
                  <c:v>Ni</c:v>
                </c:pt>
              </c:strCache>
            </c:strRef>
          </c:tx>
          <c:spPr>
            <a:ln>
              <a:noFill/>
            </a:ln>
            <a:effectLst>
              <a:outerShdw blurRad="50800" dist="38100" dir="2700000" algn="tl" rotWithShape="0">
                <a:prstClr val="black">
                  <a:alpha val="40000"/>
                </a:prstClr>
              </a:outerShdw>
            </a:effectLst>
          </c:spPr>
          <c:dPt>
            <c:idx val="0"/>
            <c:bubble3D val="0"/>
            <c:spPr>
              <a:solidFill>
                <a:schemeClr val="accent1"/>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A2DE-4EE3-9660-91CEE6742D42}"/>
              </c:ext>
            </c:extLst>
          </c:dPt>
          <c:dPt>
            <c:idx val="1"/>
            <c:bubble3D val="0"/>
            <c:spPr>
              <a:solidFill>
                <a:schemeClr val="accent2"/>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A2DE-4EE3-9660-91CEE6742D42}"/>
              </c:ext>
            </c:extLst>
          </c:dPt>
          <c:dPt>
            <c:idx val="2"/>
            <c:bubble3D val="0"/>
            <c:spPr>
              <a:solidFill>
                <a:schemeClr val="accent3"/>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A2DE-4EE3-9660-91CEE6742D42}"/>
              </c:ext>
            </c:extLst>
          </c:dPt>
          <c:dPt>
            <c:idx val="3"/>
            <c:bubble3D val="0"/>
            <c:spPr>
              <a:solidFill>
                <a:schemeClr val="accent4"/>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7-DEBF-4220-9D17-7E6C73DC1CBE}"/>
              </c:ext>
            </c:extLst>
          </c:dPt>
          <c:dPt>
            <c:idx val="4"/>
            <c:bubble3D val="0"/>
            <c:spPr>
              <a:solidFill>
                <a:schemeClr val="accent5"/>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9-DEBF-4220-9D17-7E6C73DC1CBE}"/>
              </c:ext>
            </c:extLst>
          </c:dPt>
          <c:dPt>
            <c:idx val="5"/>
            <c:bubble3D val="0"/>
            <c:spPr>
              <a:solidFill>
                <a:schemeClr val="accent6"/>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8-78C7-499C-86EC-9D3F54C28E64}"/>
              </c:ext>
            </c:extLst>
          </c:dPt>
          <c:dPt>
            <c:idx val="6"/>
            <c:bubble3D val="0"/>
            <c:spPr>
              <a:solidFill>
                <a:schemeClr val="accent1">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7-78C7-499C-86EC-9D3F54C28E64}"/>
              </c:ext>
            </c:extLst>
          </c:dPt>
          <c:dPt>
            <c:idx val="7"/>
            <c:bubble3D val="0"/>
            <c:spPr>
              <a:solidFill>
                <a:schemeClr val="accent2">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6-78C7-499C-86EC-9D3F54C28E64}"/>
              </c:ext>
            </c:extLst>
          </c:dPt>
          <c:dPt>
            <c:idx val="8"/>
            <c:bubble3D val="0"/>
            <c:spPr>
              <a:solidFill>
                <a:schemeClr val="accent3">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11-DEBF-4220-9D17-7E6C73DC1CBE}"/>
              </c:ext>
            </c:extLst>
          </c:dPt>
          <c:dPt>
            <c:idx val="9"/>
            <c:bubble3D val="0"/>
            <c:spPr>
              <a:solidFill>
                <a:srgbClr val="FFC000">
                  <a:lumMod val="75000"/>
                </a:srgb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9-78C7-499C-86EC-9D3F54C28E64}"/>
              </c:ext>
            </c:extLst>
          </c:dPt>
          <c:dPt>
            <c:idx val="10"/>
            <c:bubble3D val="0"/>
            <c:spPr>
              <a:solidFill>
                <a:schemeClr val="accent5">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15-DEBF-4220-9D17-7E6C73DC1CBE}"/>
              </c:ext>
            </c:extLst>
          </c:dPt>
          <c:dLbls>
            <c:dLbl>
              <c:idx val="0"/>
              <c:delete val="1"/>
              <c:extLst>
                <c:ext xmlns:c15="http://schemas.microsoft.com/office/drawing/2012/chart" uri="{CE6537A1-D6FC-4f65-9D91-7224C49458BB}"/>
                <c:ext xmlns:c16="http://schemas.microsoft.com/office/drawing/2014/chart" uri="{C3380CC4-5D6E-409C-BE32-E72D297353CC}">
                  <c16:uniqueId val="{00000001-A2DE-4EE3-9660-91CEE6742D42}"/>
                </c:ext>
              </c:extLst>
            </c:dLbl>
            <c:dLbl>
              <c:idx val="1"/>
              <c:delete val="1"/>
              <c:extLst>
                <c:ext xmlns:c15="http://schemas.microsoft.com/office/drawing/2012/chart" uri="{CE6537A1-D6FC-4f65-9D91-7224C49458BB}"/>
                <c:ext xmlns:c16="http://schemas.microsoft.com/office/drawing/2014/chart" uri="{C3380CC4-5D6E-409C-BE32-E72D297353CC}">
                  <c16:uniqueId val="{00000003-A2DE-4EE3-9660-91CEE6742D42}"/>
                </c:ext>
              </c:extLst>
            </c:dLbl>
            <c:dLbl>
              <c:idx val="2"/>
              <c:delete val="1"/>
              <c:extLst>
                <c:ext xmlns:c15="http://schemas.microsoft.com/office/drawing/2012/chart" uri="{CE6537A1-D6FC-4f65-9D91-7224C49458BB}"/>
                <c:ext xmlns:c16="http://schemas.microsoft.com/office/drawing/2014/chart" uri="{C3380CC4-5D6E-409C-BE32-E72D297353CC}">
                  <c16:uniqueId val="{00000005-A2DE-4EE3-9660-91CEE6742D42}"/>
                </c:ext>
              </c:extLst>
            </c:dLbl>
            <c:dLbl>
              <c:idx val="3"/>
              <c:delete val="1"/>
              <c:extLst>
                <c:ext xmlns:c15="http://schemas.microsoft.com/office/drawing/2012/chart" uri="{CE6537A1-D6FC-4f65-9D91-7224C49458BB}"/>
                <c:ext xmlns:c16="http://schemas.microsoft.com/office/drawing/2014/chart" uri="{C3380CC4-5D6E-409C-BE32-E72D297353CC}">
                  <c16:uniqueId val="{00000007-DEBF-4220-9D17-7E6C73DC1CBE}"/>
                </c:ext>
              </c:extLst>
            </c:dLbl>
            <c:dLbl>
              <c:idx val="5"/>
              <c:delete val="1"/>
              <c:extLst>
                <c:ext xmlns:c15="http://schemas.microsoft.com/office/drawing/2012/chart" uri="{CE6537A1-D6FC-4f65-9D91-7224C49458BB}"/>
                <c:ext xmlns:c16="http://schemas.microsoft.com/office/drawing/2014/chart" uri="{C3380CC4-5D6E-409C-BE32-E72D297353CC}">
                  <c16:uniqueId val="{00000008-78C7-499C-86EC-9D3F54C28E64}"/>
                </c:ext>
              </c:extLst>
            </c:dLbl>
            <c:dLbl>
              <c:idx val="6"/>
              <c:layout>
                <c:manualLayout>
                  <c:x val="-9.4175960346964183E-2"/>
                  <c:y val="-4.0096230954290407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78C7-499C-86EC-9D3F54C28E64}"/>
                </c:ext>
              </c:extLst>
            </c:dLbl>
            <c:dLbl>
              <c:idx val="7"/>
              <c:delete val="1"/>
              <c:extLst>
                <c:ext xmlns:c15="http://schemas.microsoft.com/office/drawing/2012/chart" uri="{CE6537A1-D6FC-4f65-9D91-7224C49458BB}"/>
                <c:ext xmlns:c16="http://schemas.microsoft.com/office/drawing/2014/chart" uri="{C3380CC4-5D6E-409C-BE32-E72D297353CC}">
                  <c16:uniqueId val="{00000006-78C7-499C-86EC-9D3F54C28E64}"/>
                </c:ext>
              </c:extLst>
            </c:dLbl>
            <c:dLbl>
              <c:idx val="8"/>
              <c:delete val="1"/>
              <c:extLst>
                <c:ext xmlns:c15="http://schemas.microsoft.com/office/drawing/2012/chart" uri="{CE6537A1-D6FC-4f65-9D91-7224C49458BB}"/>
                <c:ext xmlns:c16="http://schemas.microsoft.com/office/drawing/2014/chart" uri="{C3380CC4-5D6E-409C-BE32-E72D297353CC}">
                  <c16:uniqueId val="{00000011-DEBF-4220-9D17-7E6C73DC1CBE}"/>
                </c:ext>
              </c:extLst>
            </c:dLbl>
            <c:dLbl>
              <c:idx val="10"/>
              <c:delete val="1"/>
              <c:extLst>
                <c:ext xmlns:c15="http://schemas.microsoft.com/office/drawing/2012/chart" uri="{CE6537A1-D6FC-4f65-9D91-7224C49458BB}"/>
                <c:ext xmlns:c16="http://schemas.microsoft.com/office/drawing/2014/chart" uri="{C3380CC4-5D6E-409C-BE32-E72D297353CC}">
                  <c16:uniqueId val="{00000015-DEBF-4220-9D17-7E6C73DC1CBE}"/>
                </c:ext>
              </c:extLst>
            </c:dLbl>
            <c:spPr>
              <a:noFill/>
              <a:ln>
                <a:noFill/>
              </a:ln>
              <a:effectLst/>
            </c:spPr>
            <c:txPr>
              <a:bodyPr rot="0" spcFirstLastPara="1" vertOverflow="ellipsis" vert="horz" wrap="square" anchor="ctr" anchorCtr="1"/>
              <a:lstStyle/>
              <a:p>
                <a:pPr>
                  <a:defRPr lang="en-US" sz="11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Sheet1!$A$2:$A$12</c:f>
              <c:strCache>
                <c:ptCount val="11"/>
                <c:pt idx="0">
                  <c:v>1.A.1.a</c:v>
                </c:pt>
                <c:pt idx="1">
                  <c:v>1.A.2.a</c:v>
                </c:pt>
                <c:pt idx="2">
                  <c:v>1.A.2.e</c:v>
                </c:pt>
                <c:pt idx="3">
                  <c:v>1.A.2.f.i</c:v>
                </c:pt>
                <c:pt idx="4">
                  <c:v>1.A.4.a.i</c:v>
                </c:pt>
                <c:pt idx="5">
                  <c:v>1.A.4.a.ii</c:v>
                </c:pt>
                <c:pt idx="6">
                  <c:v>1.A.4.b.i</c:v>
                </c:pt>
                <c:pt idx="7">
                  <c:v>1.A.4.c.i</c:v>
                </c:pt>
                <c:pt idx="8">
                  <c:v>2.A.6</c:v>
                </c:pt>
                <c:pt idx="9">
                  <c:v>2.C.1</c:v>
                </c:pt>
                <c:pt idx="10">
                  <c:v>6.C.d</c:v>
                </c:pt>
              </c:strCache>
            </c:strRef>
          </c:cat>
          <c:val>
            <c:numRef>
              <c:f>Sheet1!$B$2:$B$12</c:f>
              <c:numCache>
                <c:formatCode>General</c:formatCode>
                <c:ptCount val="11"/>
                <c:pt idx="0">
                  <c:v>0.24110108000000011</c:v>
                </c:pt>
                <c:pt idx="2">
                  <c:v>6.1833472</c:v>
                </c:pt>
                <c:pt idx="4">
                  <c:v>13349.537840000006</c:v>
                </c:pt>
                <c:pt idx="5">
                  <c:v>0.23936103000000011</c:v>
                </c:pt>
                <c:pt idx="6">
                  <c:v>108.5149389</c:v>
                </c:pt>
                <c:pt idx="7">
                  <c:v>3.4499635099999999</c:v>
                </c:pt>
                <c:pt idx="9">
                  <c:v>1490.4102499999999</c:v>
                </c:pt>
              </c:numCache>
            </c:numRef>
          </c:val>
          <c:extLst>
            <c:ext xmlns:c16="http://schemas.microsoft.com/office/drawing/2014/chart" uri="{C3380CC4-5D6E-409C-BE32-E72D297353CC}">
              <c16:uniqueId val="{00000006-A2DE-4EE3-9660-91CEE6742D42}"/>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69065597283610991"/>
          <c:y val="4.573748650304043E-2"/>
          <c:w val="0.27960425021221796"/>
          <c:h val="0.91072305817426391"/>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r>
              <a:rPr lang="en-US"/>
              <a:t>NO</a:t>
            </a:r>
            <a:r>
              <a:rPr lang="en-US" sz="1000"/>
              <a:t>2</a:t>
            </a:r>
          </a:p>
        </c:rich>
      </c:tx>
      <c:layout>
        <c:manualLayout>
          <c:xMode val="edge"/>
          <c:yMode val="edge"/>
          <c:x val="0.71110265491906455"/>
          <c:y val="6.0240963855421749E-2"/>
        </c:manualLayout>
      </c:layout>
      <c:overlay val="0"/>
      <c:spPr>
        <a:noFill/>
        <a:ln>
          <a:noFill/>
        </a:ln>
        <a:effectLst/>
      </c:spPr>
    </c:title>
    <c:autoTitleDeleted val="0"/>
    <c:plotArea>
      <c:layout>
        <c:manualLayout>
          <c:layoutTarget val="inner"/>
          <c:xMode val="edge"/>
          <c:yMode val="edge"/>
          <c:x val="8.2060318668344887E-2"/>
          <c:y val="7.4155295543951172E-2"/>
          <c:w val="0.5176551629931021"/>
          <c:h val="0.89876875330342765"/>
        </c:manualLayout>
      </c:layout>
      <c:doughnutChart>
        <c:varyColors val="1"/>
        <c:ser>
          <c:idx val="0"/>
          <c:order val="0"/>
          <c:tx>
            <c:strRef>
              <c:f>Sheet1!$B$1</c:f>
              <c:strCache>
                <c:ptCount val="1"/>
                <c:pt idx="0">
                  <c:v>NO2</c:v>
                </c:pt>
              </c:strCache>
            </c:strRef>
          </c:tx>
          <c:spPr>
            <a:ln>
              <a:noFill/>
            </a:ln>
            <a:effectLst>
              <a:outerShdw blurRad="50800" dist="38100" dir="2700000" algn="tl" rotWithShape="0">
                <a:prstClr val="black">
                  <a:alpha val="40000"/>
                </a:prstClr>
              </a:outerShdw>
            </a:effectLst>
          </c:spPr>
          <c:dPt>
            <c:idx val="0"/>
            <c:bubble3D val="0"/>
            <c:spPr>
              <a:solidFill>
                <a:schemeClr val="accent1"/>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5DC4-45F8-BD4D-E453DFD8376C}"/>
              </c:ext>
            </c:extLst>
          </c:dPt>
          <c:dPt>
            <c:idx val="1"/>
            <c:bubble3D val="0"/>
            <c:spPr>
              <a:solidFill>
                <a:schemeClr val="accent2"/>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5DC4-45F8-BD4D-E453DFD8376C}"/>
              </c:ext>
            </c:extLst>
          </c:dPt>
          <c:dPt>
            <c:idx val="2"/>
            <c:bubble3D val="0"/>
            <c:spPr>
              <a:solidFill>
                <a:schemeClr val="accent3"/>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5DC4-45F8-BD4D-E453DFD8376C}"/>
              </c:ext>
            </c:extLst>
          </c:dPt>
          <c:dLbls>
            <c:spPr>
              <a:noFill/>
              <a:ln>
                <a:noFill/>
              </a:ln>
              <a:effectLst/>
            </c:spPr>
            <c:txPr>
              <a:bodyPr rot="0" spcFirstLastPara="1" vertOverflow="ellipsis" vert="horz" wrap="square" anchor="ctr" anchorCtr="1"/>
              <a:lstStyle/>
              <a:p>
                <a:pPr>
                  <a:defRPr lang="en-US" sz="11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Surse staționare</c:v>
                </c:pt>
                <c:pt idx="1">
                  <c:v>Surse mobile</c:v>
                </c:pt>
                <c:pt idx="2">
                  <c:v>Surse de suprafață</c:v>
                </c:pt>
              </c:strCache>
            </c:strRef>
          </c:cat>
          <c:val>
            <c:numRef>
              <c:f>Sheet1!$B$2:$B$4</c:f>
              <c:numCache>
                <c:formatCode>General</c:formatCode>
                <c:ptCount val="3"/>
                <c:pt idx="0">
                  <c:v>2083.2275159999999</c:v>
                </c:pt>
                <c:pt idx="1">
                  <c:v>2158.7889479999981</c:v>
                </c:pt>
                <c:pt idx="2">
                  <c:v>387.2294</c:v>
                </c:pt>
              </c:numCache>
            </c:numRef>
          </c:val>
          <c:extLst>
            <c:ext xmlns:c16="http://schemas.microsoft.com/office/drawing/2014/chart" uri="{C3380CC4-5D6E-409C-BE32-E72D297353CC}">
              <c16:uniqueId val="{00000006-5DC4-45F8-BD4D-E453DFD8376C}"/>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69065597283610991"/>
          <c:y val="0.26225690162223697"/>
          <c:w val="0.27960425021221796"/>
          <c:h val="0.69420358599753296"/>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55744714066875467"/>
          <c:y val="6.0240956247750485E-2"/>
        </c:manualLayout>
      </c:layout>
      <c:overlay val="0"/>
      <c:spPr>
        <a:noFill/>
        <a:ln>
          <a:noFill/>
        </a:ln>
        <a:effectLst/>
      </c:spPr>
      <c:txPr>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endParaRPr lang="en-US"/>
        </a:p>
      </c:txPr>
    </c:title>
    <c:autoTitleDeleted val="0"/>
    <c:plotArea>
      <c:layout>
        <c:manualLayout>
          <c:layoutTarget val="inner"/>
          <c:xMode val="edge"/>
          <c:yMode val="edge"/>
          <c:x val="8.2060318668344887E-2"/>
          <c:y val="7.4155295543951172E-2"/>
          <c:w val="0.5176551629931021"/>
          <c:h val="0.89876875330342765"/>
        </c:manualLayout>
      </c:layout>
      <c:doughnutChart>
        <c:varyColors val="1"/>
        <c:ser>
          <c:idx val="0"/>
          <c:order val="0"/>
          <c:tx>
            <c:strRef>
              <c:f>Sheet1!$B$1</c:f>
              <c:strCache>
                <c:ptCount val="1"/>
                <c:pt idx="0">
                  <c:v>NOx*</c:v>
                </c:pt>
              </c:strCache>
            </c:strRef>
          </c:tx>
          <c:spPr>
            <a:ln>
              <a:noFill/>
            </a:ln>
            <a:effectLst>
              <a:outerShdw blurRad="50800" dist="38100" dir="2700000" algn="tl" rotWithShape="0">
                <a:prstClr val="black">
                  <a:alpha val="40000"/>
                </a:prstClr>
              </a:outerShdw>
            </a:effectLst>
          </c:spPr>
          <c:dPt>
            <c:idx val="0"/>
            <c:bubble3D val="0"/>
            <c:spPr>
              <a:solidFill>
                <a:schemeClr val="accent1"/>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4909-4CBC-AA85-4BD72188A4C6}"/>
              </c:ext>
            </c:extLst>
          </c:dPt>
          <c:dPt>
            <c:idx val="1"/>
            <c:bubble3D val="0"/>
            <c:spPr>
              <a:solidFill>
                <a:schemeClr val="accent2"/>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4909-4CBC-AA85-4BD72188A4C6}"/>
              </c:ext>
            </c:extLst>
          </c:dPt>
          <c:dPt>
            <c:idx val="2"/>
            <c:bubble3D val="0"/>
            <c:spPr>
              <a:solidFill>
                <a:schemeClr val="accent3"/>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4909-4CBC-AA85-4BD72188A4C6}"/>
              </c:ext>
            </c:extLst>
          </c:dPt>
          <c:dPt>
            <c:idx val="3"/>
            <c:bubble3D val="0"/>
            <c:spPr>
              <a:solidFill>
                <a:schemeClr val="accent4"/>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7-D9E9-4BBC-B717-4C756339BA1A}"/>
              </c:ext>
            </c:extLst>
          </c:dPt>
          <c:dPt>
            <c:idx val="4"/>
            <c:bubble3D val="0"/>
            <c:spPr>
              <a:solidFill>
                <a:schemeClr val="accent5"/>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9-D9E9-4BBC-B717-4C756339BA1A}"/>
              </c:ext>
            </c:extLst>
          </c:dPt>
          <c:dPt>
            <c:idx val="5"/>
            <c:bubble3D val="0"/>
            <c:spPr>
              <a:solidFill>
                <a:schemeClr val="accent6"/>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B-D9E9-4BBC-B717-4C756339BA1A}"/>
              </c:ext>
            </c:extLst>
          </c:dPt>
          <c:dPt>
            <c:idx val="6"/>
            <c:bubble3D val="0"/>
            <c:spPr>
              <a:solidFill>
                <a:schemeClr val="accent1">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7-003C-495F-8DAF-CC3614BF167D}"/>
              </c:ext>
            </c:extLst>
          </c:dPt>
          <c:dPt>
            <c:idx val="7"/>
            <c:bubble3D val="0"/>
            <c:spPr>
              <a:solidFill>
                <a:schemeClr val="accent2">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6-003C-495F-8DAF-CC3614BF167D}"/>
              </c:ext>
            </c:extLst>
          </c:dPt>
          <c:dPt>
            <c:idx val="8"/>
            <c:bubble3D val="0"/>
            <c:spPr>
              <a:solidFill>
                <a:schemeClr val="accent3">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11-D9E9-4BBC-B717-4C756339BA1A}"/>
              </c:ext>
            </c:extLst>
          </c:dPt>
          <c:dPt>
            <c:idx val="9"/>
            <c:bubble3D val="0"/>
            <c:spPr>
              <a:solidFill>
                <a:schemeClr val="accent4">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13-D9E9-4BBC-B717-4C756339BA1A}"/>
              </c:ext>
            </c:extLst>
          </c:dPt>
          <c:dPt>
            <c:idx val="10"/>
            <c:bubble3D val="0"/>
            <c:spPr>
              <a:solidFill>
                <a:schemeClr val="accent5">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15-D9E9-4BBC-B717-4C756339BA1A}"/>
              </c:ext>
            </c:extLst>
          </c:dPt>
          <c:dLbls>
            <c:dLbl>
              <c:idx val="0"/>
              <c:delete val="1"/>
              <c:extLst>
                <c:ext xmlns:c15="http://schemas.microsoft.com/office/drawing/2012/chart" uri="{CE6537A1-D6FC-4f65-9D91-7224C49458BB}"/>
                <c:ext xmlns:c16="http://schemas.microsoft.com/office/drawing/2014/chart" uri="{C3380CC4-5D6E-409C-BE32-E72D297353CC}">
                  <c16:uniqueId val="{00000001-4909-4CBC-AA85-4BD72188A4C6}"/>
                </c:ext>
              </c:extLst>
            </c:dLbl>
            <c:dLbl>
              <c:idx val="1"/>
              <c:delete val="1"/>
              <c:extLst>
                <c:ext xmlns:c15="http://schemas.microsoft.com/office/drawing/2012/chart" uri="{CE6537A1-D6FC-4f65-9D91-7224C49458BB}"/>
                <c:ext xmlns:c16="http://schemas.microsoft.com/office/drawing/2014/chart" uri="{C3380CC4-5D6E-409C-BE32-E72D297353CC}">
                  <c16:uniqueId val="{00000003-4909-4CBC-AA85-4BD72188A4C6}"/>
                </c:ext>
              </c:extLst>
            </c:dLbl>
            <c:dLbl>
              <c:idx val="2"/>
              <c:delete val="1"/>
              <c:extLst>
                <c:ext xmlns:c15="http://schemas.microsoft.com/office/drawing/2012/chart" uri="{CE6537A1-D6FC-4f65-9D91-7224C49458BB}"/>
                <c:ext xmlns:c16="http://schemas.microsoft.com/office/drawing/2014/chart" uri="{C3380CC4-5D6E-409C-BE32-E72D297353CC}">
                  <c16:uniqueId val="{00000005-4909-4CBC-AA85-4BD72188A4C6}"/>
                </c:ext>
              </c:extLst>
            </c:dLbl>
            <c:dLbl>
              <c:idx val="5"/>
              <c:delete val="1"/>
              <c:extLst>
                <c:ext xmlns:c15="http://schemas.microsoft.com/office/drawing/2012/chart" uri="{CE6537A1-D6FC-4f65-9D91-7224C49458BB}"/>
                <c:ext xmlns:c16="http://schemas.microsoft.com/office/drawing/2014/chart" uri="{C3380CC4-5D6E-409C-BE32-E72D297353CC}">
                  <c16:uniqueId val="{0000000B-D9E9-4BBC-B717-4C756339BA1A}"/>
                </c:ext>
              </c:extLst>
            </c:dLbl>
            <c:dLbl>
              <c:idx val="6"/>
              <c:delete val="1"/>
              <c:extLst>
                <c:ext xmlns:c15="http://schemas.microsoft.com/office/drawing/2012/chart" uri="{CE6537A1-D6FC-4f65-9D91-7224C49458BB}"/>
                <c:ext xmlns:c16="http://schemas.microsoft.com/office/drawing/2014/chart" uri="{C3380CC4-5D6E-409C-BE32-E72D297353CC}">
                  <c16:uniqueId val="{00000007-003C-495F-8DAF-CC3614BF167D}"/>
                </c:ext>
              </c:extLst>
            </c:dLbl>
            <c:dLbl>
              <c:idx val="7"/>
              <c:layout>
                <c:manualLayout>
                  <c:x val="-1.4869888475836439E-2"/>
                  <c:y val="-1.6038492381716139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6-003C-495F-8DAF-CC3614BF167D}"/>
                </c:ext>
              </c:extLst>
            </c:dLbl>
            <c:dLbl>
              <c:idx val="8"/>
              <c:delete val="1"/>
              <c:extLst>
                <c:ext xmlns:c15="http://schemas.microsoft.com/office/drawing/2012/chart" uri="{CE6537A1-D6FC-4f65-9D91-7224C49458BB}"/>
                <c:ext xmlns:c16="http://schemas.microsoft.com/office/drawing/2014/chart" uri="{C3380CC4-5D6E-409C-BE32-E72D297353CC}">
                  <c16:uniqueId val="{00000011-D9E9-4BBC-B717-4C756339BA1A}"/>
                </c:ext>
              </c:extLst>
            </c:dLbl>
            <c:dLbl>
              <c:idx val="9"/>
              <c:delete val="1"/>
              <c:extLst>
                <c:ext xmlns:c15="http://schemas.microsoft.com/office/drawing/2012/chart" uri="{CE6537A1-D6FC-4f65-9D91-7224C49458BB}"/>
                <c:ext xmlns:c16="http://schemas.microsoft.com/office/drawing/2014/chart" uri="{C3380CC4-5D6E-409C-BE32-E72D297353CC}">
                  <c16:uniqueId val="{00000013-D9E9-4BBC-B717-4C756339BA1A}"/>
                </c:ext>
              </c:extLst>
            </c:dLbl>
            <c:dLbl>
              <c:idx val="10"/>
              <c:delete val="1"/>
              <c:extLst>
                <c:ext xmlns:c15="http://schemas.microsoft.com/office/drawing/2012/chart" uri="{CE6537A1-D6FC-4f65-9D91-7224C49458BB}"/>
                <c:ext xmlns:c16="http://schemas.microsoft.com/office/drawing/2014/chart" uri="{C3380CC4-5D6E-409C-BE32-E72D297353CC}">
                  <c16:uniqueId val="{00000015-D9E9-4BBC-B717-4C756339BA1A}"/>
                </c:ext>
              </c:extLst>
            </c:dLbl>
            <c:spPr>
              <a:noFill/>
              <a:ln>
                <a:noFill/>
              </a:ln>
              <a:effectLst/>
            </c:spPr>
            <c:txPr>
              <a:bodyPr rot="0" spcFirstLastPara="1" vertOverflow="ellipsis" vert="horz" wrap="square" anchor="ctr" anchorCtr="1"/>
              <a:lstStyle/>
              <a:p>
                <a:pPr>
                  <a:defRPr lang="en-US" sz="11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Sheet1!$A$2:$A$12</c:f>
              <c:strCache>
                <c:ptCount val="11"/>
                <c:pt idx="0">
                  <c:v>1.A.1.a</c:v>
                </c:pt>
                <c:pt idx="1">
                  <c:v>1.A.2.a</c:v>
                </c:pt>
                <c:pt idx="2">
                  <c:v>1.A.2.e</c:v>
                </c:pt>
                <c:pt idx="3">
                  <c:v>1.A.2.f.i</c:v>
                </c:pt>
                <c:pt idx="4">
                  <c:v>1.A.4.a.i</c:v>
                </c:pt>
                <c:pt idx="5">
                  <c:v>1.A.4.a.ii</c:v>
                </c:pt>
                <c:pt idx="6">
                  <c:v>1.A.4.b.i</c:v>
                </c:pt>
                <c:pt idx="7">
                  <c:v>1.A.4.c.i</c:v>
                </c:pt>
                <c:pt idx="8">
                  <c:v>2.A.6</c:v>
                </c:pt>
                <c:pt idx="9">
                  <c:v>2.C.1</c:v>
                </c:pt>
                <c:pt idx="10">
                  <c:v>6.C.d</c:v>
                </c:pt>
              </c:strCache>
            </c:strRef>
          </c:cat>
          <c:val>
            <c:numRef>
              <c:f>Sheet1!$B$2:$B$12</c:f>
              <c:numCache>
                <c:formatCode>General</c:formatCode>
                <c:ptCount val="11"/>
                <c:pt idx="3">
                  <c:v>5834270.4000000004</c:v>
                </c:pt>
                <c:pt idx="4">
                  <c:v>10778686.029999992</c:v>
                </c:pt>
                <c:pt idx="6">
                  <c:v>50869.62</c:v>
                </c:pt>
                <c:pt idx="7">
                  <c:v>240271.03169999988</c:v>
                </c:pt>
              </c:numCache>
            </c:numRef>
          </c:val>
          <c:extLst>
            <c:ext xmlns:c16="http://schemas.microsoft.com/office/drawing/2014/chart" uri="{C3380CC4-5D6E-409C-BE32-E72D297353CC}">
              <c16:uniqueId val="{00000006-4909-4CBC-AA85-4BD72188A4C6}"/>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69065597283610991"/>
          <c:y val="7.7814471266472687E-2"/>
          <c:w val="0.27960425021221796"/>
          <c:h val="0.87864607341083256"/>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59710017660431869"/>
          <c:y val="6.0240956247750485E-2"/>
        </c:manualLayout>
      </c:layout>
      <c:overlay val="0"/>
      <c:spPr>
        <a:noFill/>
        <a:ln>
          <a:noFill/>
        </a:ln>
        <a:effectLst/>
      </c:spPr>
      <c:txPr>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endParaRPr lang="en-US"/>
        </a:p>
      </c:txPr>
    </c:title>
    <c:autoTitleDeleted val="0"/>
    <c:plotArea>
      <c:layout>
        <c:manualLayout>
          <c:layoutTarget val="inner"/>
          <c:xMode val="edge"/>
          <c:yMode val="edge"/>
          <c:x val="8.2060318668344887E-2"/>
          <c:y val="7.4155295543951172E-2"/>
          <c:w val="0.5176551629931021"/>
          <c:h val="0.89876875330342765"/>
        </c:manualLayout>
      </c:layout>
      <c:doughnutChart>
        <c:varyColors val="1"/>
        <c:ser>
          <c:idx val="0"/>
          <c:order val="0"/>
          <c:tx>
            <c:strRef>
              <c:f>Sheet1!$B$1</c:f>
              <c:strCache>
                <c:ptCount val="1"/>
                <c:pt idx="0">
                  <c:v>Pb</c:v>
                </c:pt>
              </c:strCache>
            </c:strRef>
          </c:tx>
          <c:spPr>
            <a:ln>
              <a:noFill/>
            </a:ln>
            <a:effectLst>
              <a:outerShdw blurRad="50800" dist="38100" dir="2700000" algn="tl" rotWithShape="0">
                <a:prstClr val="black">
                  <a:alpha val="40000"/>
                </a:prstClr>
              </a:outerShdw>
            </a:effectLst>
          </c:spPr>
          <c:dPt>
            <c:idx val="0"/>
            <c:bubble3D val="0"/>
            <c:spPr>
              <a:solidFill>
                <a:schemeClr val="accent1"/>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B7BF-4F2C-B705-345EE255F3AA}"/>
              </c:ext>
            </c:extLst>
          </c:dPt>
          <c:dPt>
            <c:idx val="1"/>
            <c:bubble3D val="0"/>
            <c:spPr>
              <a:solidFill>
                <a:schemeClr val="accent2"/>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B7BF-4F2C-B705-345EE255F3AA}"/>
              </c:ext>
            </c:extLst>
          </c:dPt>
          <c:dPt>
            <c:idx val="2"/>
            <c:bubble3D val="0"/>
            <c:spPr>
              <a:solidFill>
                <a:schemeClr val="accent3"/>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B7BF-4F2C-B705-345EE255F3AA}"/>
              </c:ext>
            </c:extLst>
          </c:dPt>
          <c:dPt>
            <c:idx val="3"/>
            <c:bubble3D val="0"/>
            <c:spPr>
              <a:solidFill>
                <a:schemeClr val="accent4"/>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7-FE7C-41D9-8268-666956F207D5}"/>
              </c:ext>
            </c:extLst>
          </c:dPt>
          <c:dPt>
            <c:idx val="4"/>
            <c:bubble3D val="0"/>
            <c:spPr>
              <a:solidFill>
                <a:schemeClr val="accent5"/>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9-7E5B-4E83-B6C1-5F4FDAFBB009}"/>
              </c:ext>
            </c:extLst>
          </c:dPt>
          <c:dPt>
            <c:idx val="5"/>
            <c:bubble3D val="0"/>
            <c:spPr>
              <a:solidFill>
                <a:schemeClr val="accent6"/>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8-7E5B-4E83-B6C1-5F4FDAFBB009}"/>
              </c:ext>
            </c:extLst>
          </c:dPt>
          <c:dPt>
            <c:idx val="6"/>
            <c:bubble3D val="0"/>
            <c:spPr>
              <a:solidFill>
                <a:schemeClr val="accent1">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7-7E5B-4E83-B6C1-5F4FDAFBB009}"/>
              </c:ext>
            </c:extLst>
          </c:dPt>
          <c:dPt>
            <c:idx val="7"/>
            <c:bubble3D val="0"/>
            <c:spPr>
              <a:solidFill>
                <a:schemeClr val="accent2">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6-7E5B-4E83-B6C1-5F4FDAFBB009}"/>
              </c:ext>
            </c:extLst>
          </c:dPt>
          <c:dPt>
            <c:idx val="8"/>
            <c:bubble3D val="0"/>
            <c:spPr>
              <a:solidFill>
                <a:schemeClr val="accent3">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11-FE7C-41D9-8268-666956F207D5}"/>
              </c:ext>
            </c:extLst>
          </c:dPt>
          <c:dPt>
            <c:idx val="9"/>
            <c:bubble3D val="0"/>
            <c:spPr>
              <a:solidFill>
                <a:srgbClr val="FFC000">
                  <a:lumMod val="75000"/>
                </a:srgb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A-7E5B-4E83-B6C1-5F4FDAFBB009}"/>
              </c:ext>
            </c:extLst>
          </c:dPt>
          <c:dPt>
            <c:idx val="10"/>
            <c:bubble3D val="0"/>
            <c:spPr>
              <a:solidFill>
                <a:schemeClr val="accent5">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15-FE7C-41D9-8268-666956F207D5}"/>
              </c:ext>
            </c:extLst>
          </c:dPt>
          <c:dLbls>
            <c:dLbl>
              <c:idx val="0"/>
              <c:delete val="1"/>
              <c:extLst>
                <c:ext xmlns:c15="http://schemas.microsoft.com/office/drawing/2012/chart" uri="{CE6537A1-D6FC-4f65-9D91-7224C49458BB}"/>
                <c:ext xmlns:c16="http://schemas.microsoft.com/office/drawing/2014/chart" uri="{C3380CC4-5D6E-409C-BE32-E72D297353CC}">
                  <c16:uniqueId val="{00000001-B7BF-4F2C-B705-345EE255F3AA}"/>
                </c:ext>
              </c:extLst>
            </c:dLbl>
            <c:dLbl>
              <c:idx val="1"/>
              <c:delete val="1"/>
              <c:extLst>
                <c:ext xmlns:c15="http://schemas.microsoft.com/office/drawing/2012/chart" uri="{CE6537A1-D6FC-4f65-9D91-7224C49458BB}"/>
                <c:ext xmlns:c16="http://schemas.microsoft.com/office/drawing/2014/chart" uri="{C3380CC4-5D6E-409C-BE32-E72D297353CC}">
                  <c16:uniqueId val="{00000003-B7BF-4F2C-B705-345EE255F3AA}"/>
                </c:ext>
              </c:extLst>
            </c:dLbl>
            <c:dLbl>
              <c:idx val="2"/>
              <c:delete val="1"/>
              <c:extLst>
                <c:ext xmlns:c15="http://schemas.microsoft.com/office/drawing/2012/chart" uri="{CE6537A1-D6FC-4f65-9D91-7224C49458BB}"/>
                <c:ext xmlns:c16="http://schemas.microsoft.com/office/drawing/2014/chart" uri="{C3380CC4-5D6E-409C-BE32-E72D297353CC}">
                  <c16:uniqueId val="{00000005-B7BF-4F2C-B705-345EE255F3AA}"/>
                </c:ext>
              </c:extLst>
            </c:dLbl>
            <c:dLbl>
              <c:idx val="3"/>
              <c:delete val="1"/>
              <c:extLst>
                <c:ext xmlns:c15="http://schemas.microsoft.com/office/drawing/2012/chart" uri="{CE6537A1-D6FC-4f65-9D91-7224C49458BB}"/>
                <c:ext xmlns:c16="http://schemas.microsoft.com/office/drawing/2014/chart" uri="{C3380CC4-5D6E-409C-BE32-E72D297353CC}">
                  <c16:uniqueId val="{00000007-FE7C-41D9-8268-666956F207D5}"/>
                </c:ext>
              </c:extLst>
            </c:dLbl>
            <c:dLbl>
              <c:idx val="4"/>
              <c:layout>
                <c:manualLayout>
                  <c:x val="9.9132589838909092E-3"/>
                  <c:y val="0"/>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7E5B-4E83-B6C1-5F4FDAFBB009}"/>
                </c:ext>
              </c:extLst>
            </c:dLbl>
            <c:dLbl>
              <c:idx val="5"/>
              <c:delete val="1"/>
              <c:extLst>
                <c:ext xmlns:c15="http://schemas.microsoft.com/office/drawing/2012/chart" uri="{CE6537A1-D6FC-4f65-9D91-7224C49458BB}"/>
                <c:ext xmlns:c16="http://schemas.microsoft.com/office/drawing/2014/chart" uri="{C3380CC4-5D6E-409C-BE32-E72D297353CC}">
                  <c16:uniqueId val="{00000008-7E5B-4E83-B6C1-5F4FDAFBB009}"/>
                </c:ext>
              </c:extLst>
            </c:dLbl>
            <c:dLbl>
              <c:idx val="6"/>
              <c:delete val="1"/>
              <c:extLst>
                <c:ext xmlns:c15="http://schemas.microsoft.com/office/drawing/2012/chart" uri="{CE6537A1-D6FC-4f65-9D91-7224C49458BB}"/>
                <c:ext xmlns:c16="http://schemas.microsoft.com/office/drawing/2014/chart" uri="{C3380CC4-5D6E-409C-BE32-E72D297353CC}">
                  <c16:uniqueId val="{00000007-7E5B-4E83-B6C1-5F4FDAFBB009}"/>
                </c:ext>
              </c:extLst>
            </c:dLbl>
            <c:dLbl>
              <c:idx val="7"/>
              <c:delete val="1"/>
              <c:extLst>
                <c:ext xmlns:c15="http://schemas.microsoft.com/office/drawing/2012/chart" uri="{CE6537A1-D6FC-4f65-9D91-7224C49458BB}"/>
                <c:ext xmlns:c16="http://schemas.microsoft.com/office/drawing/2014/chart" uri="{C3380CC4-5D6E-409C-BE32-E72D297353CC}">
                  <c16:uniqueId val="{00000006-7E5B-4E83-B6C1-5F4FDAFBB009}"/>
                </c:ext>
              </c:extLst>
            </c:dLbl>
            <c:dLbl>
              <c:idx val="8"/>
              <c:delete val="1"/>
              <c:extLst>
                <c:ext xmlns:c15="http://schemas.microsoft.com/office/drawing/2012/chart" uri="{CE6537A1-D6FC-4f65-9D91-7224C49458BB}"/>
                <c:ext xmlns:c16="http://schemas.microsoft.com/office/drawing/2014/chart" uri="{C3380CC4-5D6E-409C-BE32-E72D297353CC}">
                  <c16:uniqueId val="{00000011-FE7C-41D9-8268-666956F207D5}"/>
                </c:ext>
              </c:extLst>
            </c:dLbl>
            <c:dLbl>
              <c:idx val="10"/>
              <c:delete val="1"/>
              <c:extLst>
                <c:ext xmlns:c15="http://schemas.microsoft.com/office/drawing/2012/chart" uri="{CE6537A1-D6FC-4f65-9D91-7224C49458BB}"/>
                <c:ext xmlns:c16="http://schemas.microsoft.com/office/drawing/2014/chart" uri="{C3380CC4-5D6E-409C-BE32-E72D297353CC}">
                  <c16:uniqueId val="{00000015-FE7C-41D9-8268-666956F207D5}"/>
                </c:ext>
              </c:extLst>
            </c:dLbl>
            <c:spPr>
              <a:noFill/>
              <a:ln>
                <a:noFill/>
              </a:ln>
              <a:effectLst/>
            </c:spPr>
            <c:txPr>
              <a:bodyPr rot="0" spcFirstLastPara="1" vertOverflow="ellipsis" vert="horz" wrap="square" anchor="ctr" anchorCtr="1"/>
              <a:lstStyle/>
              <a:p>
                <a:pPr>
                  <a:defRPr lang="en-US" sz="11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Sheet1!$A$2:$A$12</c:f>
              <c:strCache>
                <c:ptCount val="11"/>
                <c:pt idx="0">
                  <c:v>1.A.1.a</c:v>
                </c:pt>
                <c:pt idx="1">
                  <c:v>1.A.2.a</c:v>
                </c:pt>
                <c:pt idx="2">
                  <c:v>1.A.2.e</c:v>
                </c:pt>
                <c:pt idx="3">
                  <c:v>1.A.2.f.i</c:v>
                </c:pt>
                <c:pt idx="4">
                  <c:v>1.A.4.a.i</c:v>
                </c:pt>
                <c:pt idx="5">
                  <c:v>1.A.4.a.ii</c:v>
                </c:pt>
                <c:pt idx="6">
                  <c:v>1.A.4.b.i</c:v>
                </c:pt>
                <c:pt idx="7">
                  <c:v>1.A.4.c.i</c:v>
                </c:pt>
                <c:pt idx="8">
                  <c:v>2.A.6</c:v>
                </c:pt>
                <c:pt idx="9">
                  <c:v>2.C.1</c:v>
                </c:pt>
                <c:pt idx="10">
                  <c:v>6.C.d</c:v>
                </c:pt>
              </c:strCache>
            </c:strRef>
          </c:cat>
          <c:val>
            <c:numRef>
              <c:f>Sheet1!$B$2:$B$12</c:f>
              <c:numCache>
                <c:formatCode>General</c:formatCode>
                <c:ptCount val="11"/>
                <c:pt idx="0">
                  <c:v>4.8220220000000001E-2</c:v>
                </c:pt>
                <c:pt idx="2">
                  <c:v>6.0015224199999997</c:v>
                </c:pt>
                <c:pt idx="4">
                  <c:v>995.62400630000002</c:v>
                </c:pt>
                <c:pt idx="5">
                  <c:v>0.23838802000000001</c:v>
                </c:pt>
                <c:pt idx="6">
                  <c:v>147.17585009999988</c:v>
                </c:pt>
                <c:pt idx="7">
                  <c:v>3.5376487299999981</c:v>
                </c:pt>
                <c:pt idx="9">
                  <c:v>33460.094900000004</c:v>
                </c:pt>
              </c:numCache>
            </c:numRef>
          </c:val>
          <c:extLst>
            <c:ext xmlns:c16="http://schemas.microsoft.com/office/drawing/2014/chart" uri="{C3380CC4-5D6E-409C-BE32-E72D297353CC}">
              <c16:uniqueId val="{00000006-B7BF-4F2C-B705-345EE255F3AA}"/>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69065597283610991"/>
          <c:y val="8.5833717457330594E-2"/>
          <c:w val="0.27960425021221796"/>
          <c:h val="0.87062682721997431"/>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r>
              <a:rPr lang="en-US"/>
              <a:t>PM</a:t>
            </a:r>
            <a:r>
              <a:rPr lang="en-US" sz="1000"/>
              <a:t>10</a:t>
            </a:r>
          </a:p>
        </c:rich>
      </c:tx>
      <c:layout>
        <c:manualLayout>
          <c:xMode val="edge"/>
          <c:yMode val="edge"/>
          <c:x val="0.52275073422513663"/>
          <c:y val="6.0240956247750485E-2"/>
        </c:manualLayout>
      </c:layout>
      <c:overlay val="0"/>
      <c:spPr>
        <a:noFill/>
        <a:ln>
          <a:noFill/>
        </a:ln>
        <a:effectLst/>
      </c:spPr>
    </c:title>
    <c:autoTitleDeleted val="0"/>
    <c:plotArea>
      <c:layout>
        <c:manualLayout>
          <c:layoutTarget val="inner"/>
          <c:xMode val="edge"/>
          <c:yMode val="edge"/>
          <c:x val="8.2060318668344887E-2"/>
          <c:y val="7.4155295543951172E-2"/>
          <c:w val="0.5176551629931021"/>
          <c:h val="0.89876875330342765"/>
        </c:manualLayout>
      </c:layout>
      <c:doughnutChart>
        <c:varyColors val="1"/>
        <c:ser>
          <c:idx val="0"/>
          <c:order val="0"/>
          <c:tx>
            <c:strRef>
              <c:f>Sheet1!$B$1</c:f>
              <c:strCache>
                <c:ptCount val="1"/>
                <c:pt idx="0">
                  <c:v>PM10</c:v>
                </c:pt>
              </c:strCache>
            </c:strRef>
          </c:tx>
          <c:spPr>
            <a:ln>
              <a:noFill/>
            </a:ln>
            <a:effectLst>
              <a:outerShdw blurRad="50800" dist="38100" dir="2700000" algn="tl" rotWithShape="0">
                <a:prstClr val="black">
                  <a:alpha val="40000"/>
                </a:prstClr>
              </a:outerShdw>
            </a:effectLst>
          </c:spPr>
          <c:dPt>
            <c:idx val="0"/>
            <c:bubble3D val="0"/>
            <c:spPr>
              <a:solidFill>
                <a:schemeClr val="accent1"/>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43F2-4911-80B3-52556956A032}"/>
              </c:ext>
            </c:extLst>
          </c:dPt>
          <c:dPt>
            <c:idx val="1"/>
            <c:bubble3D val="0"/>
            <c:spPr>
              <a:solidFill>
                <a:schemeClr val="accent2"/>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43F2-4911-80B3-52556956A032}"/>
              </c:ext>
            </c:extLst>
          </c:dPt>
          <c:dPt>
            <c:idx val="2"/>
            <c:bubble3D val="0"/>
            <c:spPr>
              <a:solidFill>
                <a:schemeClr val="accent3"/>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43F2-4911-80B3-52556956A032}"/>
              </c:ext>
            </c:extLst>
          </c:dPt>
          <c:dPt>
            <c:idx val="3"/>
            <c:bubble3D val="0"/>
            <c:spPr>
              <a:solidFill>
                <a:schemeClr val="accent4"/>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7-A31D-4DFC-AC65-C60A957048CA}"/>
              </c:ext>
            </c:extLst>
          </c:dPt>
          <c:dPt>
            <c:idx val="4"/>
            <c:bubble3D val="0"/>
            <c:spPr>
              <a:solidFill>
                <a:schemeClr val="accent5"/>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B-921A-43BD-81B5-EBA663F12E5F}"/>
              </c:ext>
            </c:extLst>
          </c:dPt>
          <c:dPt>
            <c:idx val="5"/>
            <c:bubble3D val="0"/>
            <c:spPr>
              <a:solidFill>
                <a:schemeClr val="accent6"/>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A-921A-43BD-81B5-EBA663F12E5F}"/>
              </c:ext>
            </c:extLst>
          </c:dPt>
          <c:dPt>
            <c:idx val="6"/>
            <c:bubble3D val="0"/>
            <c:spPr>
              <a:solidFill>
                <a:schemeClr val="accent1">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9-921A-43BD-81B5-EBA663F12E5F}"/>
              </c:ext>
            </c:extLst>
          </c:dPt>
          <c:dPt>
            <c:idx val="7"/>
            <c:bubble3D val="0"/>
            <c:spPr>
              <a:solidFill>
                <a:schemeClr val="accent2">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8-921A-43BD-81B5-EBA663F12E5F}"/>
              </c:ext>
            </c:extLst>
          </c:dPt>
          <c:dPt>
            <c:idx val="8"/>
            <c:bubble3D val="0"/>
            <c:spPr>
              <a:solidFill>
                <a:schemeClr val="accent3">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11-A31D-4DFC-AC65-C60A957048CA}"/>
              </c:ext>
            </c:extLst>
          </c:dPt>
          <c:dPt>
            <c:idx val="9"/>
            <c:bubble3D val="0"/>
            <c:spPr>
              <a:solidFill>
                <a:schemeClr val="accent4">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7-921A-43BD-81B5-EBA663F12E5F}"/>
              </c:ext>
            </c:extLst>
          </c:dPt>
          <c:dPt>
            <c:idx val="10"/>
            <c:bubble3D val="0"/>
            <c:spPr>
              <a:solidFill>
                <a:schemeClr val="accent5">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6-921A-43BD-81B5-EBA663F12E5F}"/>
              </c:ext>
            </c:extLst>
          </c:dPt>
          <c:dLbls>
            <c:dLbl>
              <c:idx val="0"/>
              <c:delete val="1"/>
              <c:extLst>
                <c:ext xmlns:c15="http://schemas.microsoft.com/office/drawing/2012/chart" uri="{CE6537A1-D6FC-4f65-9D91-7224C49458BB}"/>
                <c:ext xmlns:c16="http://schemas.microsoft.com/office/drawing/2014/chart" uri="{C3380CC4-5D6E-409C-BE32-E72D297353CC}">
                  <c16:uniqueId val="{00000001-43F2-4911-80B3-52556956A032}"/>
                </c:ext>
              </c:extLst>
            </c:dLbl>
            <c:dLbl>
              <c:idx val="1"/>
              <c:delete val="1"/>
              <c:extLst>
                <c:ext xmlns:c15="http://schemas.microsoft.com/office/drawing/2012/chart" uri="{CE6537A1-D6FC-4f65-9D91-7224C49458BB}"/>
                <c:ext xmlns:c16="http://schemas.microsoft.com/office/drawing/2014/chart" uri="{C3380CC4-5D6E-409C-BE32-E72D297353CC}">
                  <c16:uniqueId val="{00000003-43F2-4911-80B3-52556956A032}"/>
                </c:ext>
              </c:extLst>
            </c:dLbl>
            <c:dLbl>
              <c:idx val="2"/>
              <c:delete val="1"/>
              <c:extLst>
                <c:ext xmlns:c15="http://schemas.microsoft.com/office/drawing/2012/chart" uri="{CE6537A1-D6FC-4f65-9D91-7224C49458BB}"/>
                <c:ext xmlns:c16="http://schemas.microsoft.com/office/drawing/2014/chart" uri="{C3380CC4-5D6E-409C-BE32-E72D297353CC}">
                  <c16:uniqueId val="{00000005-43F2-4911-80B3-52556956A032}"/>
                </c:ext>
              </c:extLst>
            </c:dLbl>
            <c:dLbl>
              <c:idx val="3"/>
              <c:delete val="1"/>
              <c:extLst>
                <c:ext xmlns:c15="http://schemas.microsoft.com/office/drawing/2012/chart" uri="{CE6537A1-D6FC-4f65-9D91-7224C49458BB}"/>
                <c:ext xmlns:c16="http://schemas.microsoft.com/office/drawing/2014/chart" uri="{C3380CC4-5D6E-409C-BE32-E72D297353CC}">
                  <c16:uniqueId val="{00000007-A31D-4DFC-AC65-C60A957048CA}"/>
                </c:ext>
              </c:extLst>
            </c:dLbl>
            <c:dLbl>
              <c:idx val="4"/>
              <c:layout>
                <c:manualLayout>
                  <c:x val="8.4262701363073192E-2"/>
                  <c:y val="-8.0192461908581026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921A-43BD-81B5-EBA663F12E5F}"/>
                </c:ext>
              </c:extLst>
            </c:dLbl>
            <c:dLbl>
              <c:idx val="5"/>
              <c:delete val="1"/>
              <c:extLst>
                <c:ext xmlns:c15="http://schemas.microsoft.com/office/drawing/2012/chart" uri="{CE6537A1-D6FC-4f65-9D91-7224C49458BB}"/>
                <c:ext xmlns:c16="http://schemas.microsoft.com/office/drawing/2014/chart" uri="{C3380CC4-5D6E-409C-BE32-E72D297353CC}">
                  <c16:uniqueId val="{0000000A-921A-43BD-81B5-EBA663F12E5F}"/>
                </c:ext>
              </c:extLst>
            </c:dLbl>
            <c:dLbl>
              <c:idx val="6"/>
              <c:delete val="1"/>
              <c:extLst>
                <c:ext xmlns:c15="http://schemas.microsoft.com/office/drawing/2012/chart" uri="{CE6537A1-D6FC-4f65-9D91-7224C49458BB}"/>
                <c:ext xmlns:c16="http://schemas.microsoft.com/office/drawing/2014/chart" uri="{C3380CC4-5D6E-409C-BE32-E72D297353CC}">
                  <c16:uniqueId val="{00000009-921A-43BD-81B5-EBA663F12E5F}"/>
                </c:ext>
              </c:extLst>
            </c:dLbl>
            <c:dLbl>
              <c:idx val="7"/>
              <c:delete val="1"/>
              <c:extLst>
                <c:ext xmlns:c15="http://schemas.microsoft.com/office/drawing/2012/chart" uri="{CE6537A1-D6FC-4f65-9D91-7224C49458BB}"/>
                <c:ext xmlns:c16="http://schemas.microsoft.com/office/drawing/2014/chart" uri="{C3380CC4-5D6E-409C-BE32-E72D297353CC}">
                  <c16:uniqueId val="{00000008-921A-43BD-81B5-EBA663F12E5F}"/>
                </c:ext>
              </c:extLst>
            </c:dLbl>
            <c:dLbl>
              <c:idx val="9"/>
              <c:delete val="1"/>
              <c:extLst>
                <c:ext xmlns:c15="http://schemas.microsoft.com/office/drawing/2012/chart" uri="{CE6537A1-D6FC-4f65-9D91-7224C49458BB}"/>
                <c:ext xmlns:c16="http://schemas.microsoft.com/office/drawing/2014/chart" uri="{C3380CC4-5D6E-409C-BE32-E72D297353CC}">
                  <c16:uniqueId val="{00000007-921A-43BD-81B5-EBA663F12E5F}"/>
                </c:ext>
              </c:extLst>
            </c:dLbl>
            <c:dLbl>
              <c:idx val="10"/>
              <c:layout>
                <c:manualLayout>
                  <c:x val="-8.9219330855018625E-2"/>
                  <c:y val="8.0192461908580679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6-921A-43BD-81B5-EBA663F12E5F}"/>
                </c:ext>
              </c:extLst>
            </c:dLbl>
            <c:numFmt formatCode="General" sourceLinked="0"/>
            <c:spPr>
              <a:noFill/>
              <a:ln>
                <a:noFill/>
              </a:ln>
              <a:effectLst/>
            </c:spPr>
            <c:txPr>
              <a:bodyPr rot="0" spcFirstLastPara="1" vertOverflow="ellipsis" vert="horz" wrap="square" anchor="ctr" anchorCtr="1"/>
              <a:lstStyle/>
              <a:p>
                <a:pPr>
                  <a:defRPr lang="en-US" sz="1100" b="0" i="0" u="none" strike="noStrike" kern="1200" baseline="0">
                    <a:solidFill>
                      <a:schemeClr val="bg1"/>
                    </a:solidFill>
                    <a:latin typeface="Cambria" panose="02040503050406030204" pitchFamily="18" charset="0"/>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Sheet1!$A$2:$A$12</c:f>
              <c:strCache>
                <c:ptCount val="11"/>
                <c:pt idx="0">
                  <c:v>1.A.1.a</c:v>
                </c:pt>
                <c:pt idx="1">
                  <c:v>1.A.2.a</c:v>
                </c:pt>
                <c:pt idx="2">
                  <c:v>1.A.2.e</c:v>
                </c:pt>
                <c:pt idx="3">
                  <c:v>1.A.2.f.i</c:v>
                </c:pt>
                <c:pt idx="4">
                  <c:v>1.A.4.a.i</c:v>
                </c:pt>
                <c:pt idx="5">
                  <c:v>1.A.4.a.ii</c:v>
                </c:pt>
                <c:pt idx="6">
                  <c:v>1.A.4.b.i</c:v>
                </c:pt>
                <c:pt idx="7">
                  <c:v>1.A.4.c.i</c:v>
                </c:pt>
                <c:pt idx="8">
                  <c:v>2.A.6</c:v>
                </c:pt>
                <c:pt idx="9">
                  <c:v>2.C.1</c:v>
                </c:pt>
                <c:pt idx="10">
                  <c:v>6.C.d</c:v>
                </c:pt>
              </c:strCache>
            </c:strRef>
          </c:cat>
          <c:val>
            <c:numRef>
              <c:f>Sheet1!$B$2:$B$12</c:f>
              <c:numCache>
                <c:formatCode>General</c:formatCode>
                <c:ptCount val="11"/>
                <c:pt idx="0">
                  <c:v>216.9909734</c:v>
                </c:pt>
                <c:pt idx="2">
                  <c:v>3227.6407159999999</c:v>
                </c:pt>
                <c:pt idx="4">
                  <c:v>5127642.7190000005</c:v>
                </c:pt>
                <c:pt idx="5">
                  <c:v>121.62654000000001</c:v>
                </c:pt>
                <c:pt idx="6">
                  <c:v>878193.61340000003</c:v>
                </c:pt>
                <c:pt idx="7">
                  <c:v>139350.86809999988</c:v>
                </c:pt>
                <c:pt idx="8">
                  <c:v>491652000</c:v>
                </c:pt>
                <c:pt idx="9">
                  <c:v>293464.59999999998</c:v>
                </c:pt>
                <c:pt idx="10">
                  <c:v>6154578</c:v>
                </c:pt>
              </c:numCache>
            </c:numRef>
          </c:val>
          <c:extLst>
            <c:ext xmlns:c16="http://schemas.microsoft.com/office/drawing/2014/chart" uri="{C3380CC4-5D6E-409C-BE32-E72D297353CC}">
              <c16:uniqueId val="{00000006-43F2-4911-80B3-52556956A032}"/>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69065597283610991"/>
          <c:y val="7.7814471266472687E-2"/>
          <c:w val="0.27960425021221796"/>
          <c:h val="0.87864607341083256"/>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r>
              <a:rPr lang="en-US"/>
              <a:t>PM</a:t>
            </a:r>
            <a:r>
              <a:rPr lang="en-US" sz="1000"/>
              <a:t>2,5</a:t>
            </a:r>
          </a:p>
        </c:rich>
      </c:tx>
      <c:layout>
        <c:manualLayout>
          <c:xMode val="edge"/>
          <c:yMode val="edge"/>
          <c:x val="0.5128374752412449"/>
          <c:y val="6.0240956247750485E-2"/>
        </c:manualLayout>
      </c:layout>
      <c:overlay val="0"/>
      <c:spPr>
        <a:noFill/>
        <a:ln>
          <a:noFill/>
        </a:ln>
        <a:effectLst/>
      </c:spPr>
    </c:title>
    <c:autoTitleDeleted val="0"/>
    <c:plotArea>
      <c:layout>
        <c:manualLayout>
          <c:layoutTarget val="inner"/>
          <c:xMode val="edge"/>
          <c:yMode val="edge"/>
          <c:x val="8.2060318668344887E-2"/>
          <c:y val="7.4155295543951172E-2"/>
          <c:w val="0.5176551629931021"/>
          <c:h val="0.89876875330342765"/>
        </c:manualLayout>
      </c:layout>
      <c:doughnutChart>
        <c:varyColors val="1"/>
        <c:ser>
          <c:idx val="0"/>
          <c:order val="0"/>
          <c:tx>
            <c:strRef>
              <c:f>Sheet1!$B$1</c:f>
              <c:strCache>
                <c:ptCount val="1"/>
                <c:pt idx="0">
                  <c:v>PM2,5</c:v>
                </c:pt>
              </c:strCache>
            </c:strRef>
          </c:tx>
          <c:spPr>
            <a:ln>
              <a:noFill/>
            </a:ln>
            <a:effectLst>
              <a:outerShdw blurRad="50800" dist="38100" dir="2700000" algn="tl" rotWithShape="0">
                <a:prstClr val="black">
                  <a:alpha val="40000"/>
                </a:prstClr>
              </a:outerShdw>
            </a:effectLst>
          </c:spPr>
          <c:dPt>
            <c:idx val="0"/>
            <c:bubble3D val="0"/>
            <c:spPr>
              <a:solidFill>
                <a:schemeClr val="accent1"/>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1112-491F-AADC-1CEE8F71FCB3}"/>
              </c:ext>
            </c:extLst>
          </c:dPt>
          <c:dPt>
            <c:idx val="1"/>
            <c:bubble3D val="0"/>
            <c:spPr>
              <a:solidFill>
                <a:schemeClr val="accent2"/>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1112-491F-AADC-1CEE8F71FCB3}"/>
              </c:ext>
            </c:extLst>
          </c:dPt>
          <c:dPt>
            <c:idx val="2"/>
            <c:bubble3D val="0"/>
            <c:spPr>
              <a:solidFill>
                <a:schemeClr val="accent3"/>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1112-491F-AADC-1CEE8F71FCB3}"/>
              </c:ext>
            </c:extLst>
          </c:dPt>
          <c:dPt>
            <c:idx val="3"/>
            <c:bubble3D val="0"/>
            <c:spPr>
              <a:solidFill>
                <a:schemeClr val="accent4"/>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7-C132-4F61-9549-E849C41B9447}"/>
              </c:ext>
            </c:extLst>
          </c:dPt>
          <c:dPt>
            <c:idx val="4"/>
            <c:bubble3D val="0"/>
            <c:spPr>
              <a:solidFill>
                <a:schemeClr val="accent5"/>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B-391A-43E0-9480-8ADC0FDCA569}"/>
              </c:ext>
            </c:extLst>
          </c:dPt>
          <c:dPt>
            <c:idx val="5"/>
            <c:bubble3D val="0"/>
            <c:spPr>
              <a:solidFill>
                <a:schemeClr val="accent6"/>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6-391A-43E0-9480-8ADC0FDCA569}"/>
              </c:ext>
            </c:extLst>
          </c:dPt>
          <c:dPt>
            <c:idx val="6"/>
            <c:bubble3D val="0"/>
            <c:spPr>
              <a:solidFill>
                <a:schemeClr val="accent1">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A-391A-43E0-9480-8ADC0FDCA569}"/>
              </c:ext>
            </c:extLst>
          </c:dPt>
          <c:dPt>
            <c:idx val="7"/>
            <c:bubble3D val="0"/>
            <c:spPr>
              <a:solidFill>
                <a:schemeClr val="accent2">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9-391A-43E0-9480-8ADC0FDCA569}"/>
              </c:ext>
            </c:extLst>
          </c:dPt>
          <c:dPt>
            <c:idx val="8"/>
            <c:bubble3D val="0"/>
            <c:spPr>
              <a:solidFill>
                <a:schemeClr val="accent3">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11-C132-4F61-9549-E849C41B9447}"/>
              </c:ext>
            </c:extLst>
          </c:dPt>
          <c:dPt>
            <c:idx val="9"/>
            <c:bubble3D val="0"/>
            <c:spPr>
              <a:solidFill>
                <a:schemeClr val="accent4">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8-391A-43E0-9480-8ADC0FDCA569}"/>
              </c:ext>
            </c:extLst>
          </c:dPt>
          <c:dPt>
            <c:idx val="10"/>
            <c:bubble3D val="0"/>
            <c:spPr>
              <a:solidFill>
                <a:schemeClr val="accent5">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7-391A-43E0-9480-8ADC0FDCA569}"/>
              </c:ext>
            </c:extLst>
          </c:dPt>
          <c:dLbls>
            <c:dLbl>
              <c:idx val="0"/>
              <c:delete val="1"/>
              <c:extLst>
                <c:ext xmlns:c15="http://schemas.microsoft.com/office/drawing/2012/chart" uri="{CE6537A1-D6FC-4f65-9D91-7224C49458BB}"/>
                <c:ext xmlns:c16="http://schemas.microsoft.com/office/drawing/2014/chart" uri="{C3380CC4-5D6E-409C-BE32-E72D297353CC}">
                  <c16:uniqueId val="{00000001-1112-491F-AADC-1CEE8F71FCB3}"/>
                </c:ext>
              </c:extLst>
            </c:dLbl>
            <c:dLbl>
              <c:idx val="1"/>
              <c:delete val="1"/>
              <c:extLst>
                <c:ext xmlns:c15="http://schemas.microsoft.com/office/drawing/2012/chart" uri="{CE6537A1-D6FC-4f65-9D91-7224C49458BB}"/>
                <c:ext xmlns:c16="http://schemas.microsoft.com/office/drawing/2014/chart" uri="{C3380CC4-5D6E-409C-BE32-E72D297353CC}">
                  <c16:uniqueId val="{00000003-1112-491F-AADC-1CEE8F71FCB3}"/>
                </c:ext>
              </c:extLst>
            </c:dLbl>
            <c:dLbl>
              <c:idx val="2"/>
              <c:delete val="1"/>
              <c:extLst>
                <c:ext xmlns:c15="http://schemas.microsoft.com/office/drawing/2012/chart" uri="{CE6537A1-D6FC-4f65-9D91-7224C49458BB}"/>
                <c:ext xmlns:c16="http://schemas.microsoft.com/office/drawing/2014/chart" uri="{C3380CC4-5D6E-409C-BE32-E72D297353CC}">
                  <c16:uniqueId val="{00000005-1112-491F-AADC-1CEE8F71FCB3}"/>
                </c:ext>
              </c:extLst>
            </c:dLbl>
            <c:dLbl>
              <c:idx val="3"/>
              <c:delete val="1"/>
              <c:extLst>
                <c:ext xmlns:c15="http://schemas.microsoft.com/office/drawing/2012/chart" uri="{CE6537A1-D6FC-4f65-9D91-7224C49458BB}"/>
                <c:ext xmlns:c16="http://schemas.microsoft.com/office/drawing/2014/chart" uri="{C3380CC4-5D6E-409C-BE32-E72D297353CC}">
                  <c16:uniqueId val="{00000007-C132-4F61-9549-E849C41B9447}"/>
                </c:ext>
              </c:extLst>
            </c:dLbl>
            <c:dLbl>
              <c:idx val="4"/>
              <c:layout>
                <c:manualLayout>
                  <c:x val="1.4869888475836439E-2"/>
                  <c:y val="-4.0096230954290407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391A-43E0-9480-8ADC0FDCA569}"/>
                </c:ext>
              </c:extLst>
            </c:dLbl>
            <c:dLbl>
              <c:idx val="5"/>
              <c:delete val="1"/>
              <c:extLst>
                <c:ext xmlns:c15="http://schemas.microsoft.com/office/drawing/2012/chart" uri="{CE6537A1-D6FC-4f65-9D91-7224C49458BB}"/>
                <c:ext xmlns:c16="http://schemas.microsoft.com/office/drawing/2014/chart" uri="{C3380CC4-5D6E-409C-BE32-E72D297353CC}">
                  <c16:uniqueId val="{00000006-391A-43E0-9480-8ADC0FDCA569}"/>
                </c:ext>
              </c:extLst>
            </c:dLbl>
            <c:dLbl>
              <c:idx val="6"/>
              <c:layout>
                <c:manualLayout>
                  <c:x val="6.4436183395291155E-2"/>
                  <c:y val="7.2173215717722533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A-391A-43E0-9480-8ADC0FDCA569}"/>
                </c:ext>
              </c:extLst>
            </c:dLbl>
            <c:dLbl>
              <c:idx val="7"/>
              <c:delete val="1"/>
              <c:extLst>
                <c:ext xmlns:c15="http://schemas.microsoft.com/office/drawing/2012/chart" uri="{CE6537A1-D6FC-4f65-9D91-7224C49458BB}"/>
                <c:ext xmlns:c16="http://schemas.microsoft.com/office/drawing/2014/chart" uri="{C3380CC4-5D6E-409C-BE32-E72D297353CC}">
                  <c16:uniqueId val="{00000009-391A-43E0-9480-8ADC0FDCA569}"/>
                </c:ext>
              </c:extLst>
            </c:dLbl>
            <c:dLbl>
              <c:idx val="9"/>
              <c:delete val="1"/>
              <c:extLst>
                <c:ext xmlns:c15="http://schemas.microsoft.com/office/drawing/2012/chart" uri="{CE6537A1-D6FC-4f65-9D91-7224C49458BB}"/>
                <c:ext xmlns:c16="http://schemas.microsoft.com/office/drawing/2014/chart" uri="{C3380CC4-5D6E-409C-BE32-E72D297353CC}">
                  <c16:uniqueId val="{00000008-391A-43E0-9480-8ADC0FDCA569}"/>
                </c:ext>
              </c:extLst>
            </c:dLbl>
            <c:dLbl>
              <c:idx val="10"/>
              <c:layout>
                <c:manualLayout>
                  <c:x val="-2.973977695167292E-2"/>
                  <c:y val="-3.2076984763432272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391A-43E0-9480-8ADC0FDCA569}"/>
                </c:ext>
              </c:extLst>
            </c:dLbl>
            <c:spPr>
              <a:noFill/>
              <a:ln>
                <a:noFill/>
              </a:ln>
              <a:effectLst/>
            </c:spPr>
            <c:txPr>
              <a:bodyPr rot="0" spcFirstLastPara="1" vertOverflow="ellipsis" vert="horz" wrap="square" anchor="ctr" anchorCtr="1"/>
              <a:lstStyle/>
              <a:p>
                <a:pPr>
                  <a:defRPr lang="en-US" sz="1100" b="0" i="0" u="none" strike="noStrike" kern="1200" baseline="0">
                    <a:solidFill>
                      <a:schemeClr val="bg1"/>
                    </a:solidFill>
                    <a:latin typeface="Cambria" panose="02040503050406030204" pitchFamily="18" charset="0"/>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Sheet1!$A$2:$A$12</c:f>
              <c:strCache>
                <c:ptCount val="11"/>
                <c:pt idx="0">
                  <c:v>1.A.1.a</c:v>
                </c:pt>
                <c:pt idx="1">
                  <c:v>1.A.2.a</c:v>
                </c:pt>
                <c:pt idx="2">
                  <c:v>1.A.2.e</c:v>
                </c:pt>
                <c:pt idx="3">
                  <c:v>1.A.2.f.i</c:v>
                </c:pt>
                <c:pt idx="4">
                  <c:v>1.A.4.a.i</c:v>
                </c:pt>
                <c:pt idx="5">
                  <c:v>1.A.4.a.ii</c:v>
                </c:pt>
                <c:pt idx="6">
                  <c:v>1.A.4.b.i</c:v>
                </c:pt>
                <c:pt idx="7">
                  <c:v>1.A.4.c.i</c:v>
                </c:pt>
                <c:pt idx="8">
                  <c:v>2.A.6</c:v>
                </c:pt>
                <c:pt idx="9">
                  <c:v>2.C.1</c:v>
                </c:pt>
                <c:pt idx="10">
                  <c:v>6.C.d</c:v>
                </c:pt>
              </c:strCache>
            </c:strRef>
          </c:cat>
          <c:val>
            <c:numRef>
              <c:f>Sheet1!$B$2:$B$12</c:f>
              <c:numCache>
                <c:formatCode>General</c:formatCode>
                <c:ptCount val="11"/>
                <c:pt idx="0">
                  <c:v>216.9909734</c:v>
                </c:pt>
                <c:pt idx="2">
                  <c:v>3227.6407159999999</c:v>
                </c:pt>
                <c:pt idx="4">
                  <c:v>5127642.7190000005</c:v>
                </c:pt>
                <c:pt idx="5">
                  <c:v>121.62654000000001</c:v>
                </c:pt>
                <c:pt idx="6">
                  <c:v>878193.61340000003</c:v>
                </c:pt>
                <c:pt idx="7">
                  <c:v>139350.86809999988</c:v>
                </c:pt>
                <c:pt idx="8">
                  <c:v>114718800</c:v>
                </c:pt>
                <c:pt idx="9">
                  <c:v>237542.15</c:v>
                </c:pt>
                <c:pt idx="10">
                  <c:v>5269606</c:v>
                </c:pt>
              </c:numCache>
            </c:numRef>
          </c:val>
          <c:extLst>
            <c:ext xmlns:c16="http://schemas.microsoft.com/office/drawing/2014/chart" uri="{C3380CC4-5D6E-409C-BE32-E72D297353CC}">
              <c16:uniqueId val="{00000006-1112-491F-AADC-1CEE8F71FCB3}"/>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69065597283610991"/>
          <c:y val="9.3852963648188764E-2"/>
          <c:w val="0.27960425021221796"/>
          <c:h val="0.86260758102911561"/>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57727365863653712"/>
          <c:y val="6.0240956247750485E-2"/>
        </c:manualLayout>
      </c:layout>
      <c:overlay val="0"/>
      <c:spPr>
        <a:noFill/>
        <a:ln>
          <a:noFill/>
        </a:ln>
        <a:effectLst/>
      </c:spPr>
      <c:txPr>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endParaRPr lang="en-US"/>
        </a:p>
      </c:txPr>
    </c:title>
    <c:autoTitleDeleted val="0"/>
    <c:plotArea>
      <c:layout>
        <c:manualLayout>
          <c:layoutTarget val="inner"/>
          <c:xMode val="edge"/>
          <c:yMode val="edge"/>
          <c:x val="8.2060318668344887E-2"/>
          <c:y val="7.4155295543951172E-2"/>
          <c:w val="0.5176551629931021"/>
          <c:h val="0.89876875330342765"/>
        </c:manualLayout>
      </c:layout>
      <c:doughnutChart>
        <c:varyColors val="1"/>
        <c:ser>
          <c:idx val="0"/>
          <c:order val="0"/>
          <c:tx>
            <c:strRef>
              <c:f>Sheet1!$B$1</c:f>
              <c:strCache>
                <c:ptCount val="1"/>
                <c:pt idx="0">
                  <c:v>SOx</c:v>
                </c:pt>
              </c:strCache>
            </c:strRef>
          </c:tx>
          <c:spPr>
            <a:ln>
              <a:noFill/>
            </a:ln>
            <a:effectLst>
              <a:outerShdw blurRad="50800" dist="38100" dir="2700000" algn="tl" rotWithShape="0">
                <a:prstClr val="black">
                  <a:alpha val="40000"/>
                </a:prstClr>
              </a:outerShdw>
            </a:effectLst>
          </c:spPr>
          <c:dPt>
            <c:idx val="0"/>
            <c:bubble3D val="0"/>
            <c:spPr>
              <a:solidFill>
                <a:schemeClr val="accent1"/>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DEAE-44DF-B39D-879A663F4C7C}"/>
              </c:ext>
            </c:extLst>
          </c:dPt>
          <c:dPt>
            <c:idx val="1"/>
            <c:bubble3D val="0"/>
            <c:spPr>
              <a:solidFill>
                <a:schemeClr val="accent2"/>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DEAE-44DF-B39D-879A663F4C7C}"/>
              </c:ext>
            </c:extLst>
          </c:dPt>
          <c:dPt>
            <c:idx val="2"/>
            <c:bubble3D val="0"/>
            <c:spPr>
              <a:solidFill>
                <a:schemeClr val="accent3"/>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DEAE-44DF-B39D-879A663F4C7C}"/>
              </c:ext>
            </c:extLst>
          </c:dPt>
          <c:dPt>
            <c:idx val="3"/>
            <c:bubble3D val="0"/>
            <c:spPr>
              <a:solidFill>
                <a:schemeClr val="accent4"/>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7-2D98-4B10-A013-E9ABA3C68940}"/>
              </c:ext>
            </c:extLst>
          </c:dPt>
          <c:dPt>
            <c:idx val="4"/>
            <c:bubble3D val="0"/>
            <c:spPr>
              <a:solidFill>
                <a:schemeClr val="accent5"/>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9-2D98-4B10-A013-E9ABA3C68940}"/>
              </c:ext>
            </c:extLst>
          </c:dPt>
          <c:dPt>
            <c:idx val="5"/>
            <c:bubble3D val="0"/>
            <c:spPr>
              <a:solidFill>
                <a:schemeClr val="accent6"/>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7-466B-4A8B-81A9-9C3632933BD2}"/>
              </c:ext>
            </c:extLst>
          </c:dPt>
          <c:dPt>
            <c:idx val="6"/>
            <c:bubble3D val="0"/>
            <c:spPr>
              <a:solidFill>
                <a:schemeClr val="accent1">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6-466B-4A8B-81A9-9C3632933BD2}"/>
              </c:ext>
            </c:extLst>
          </c:dPt>
          <c:dPt>
            <c:idx val="7"/>
            <c:bubble3D val="0"/>
            <c:spPr>
              <a:solidFill>
                <a:schemeClr val="accent2">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9-466B-4A8B-81A9-9C3632933BD2}"/>
              </c:ext>
            </c:extLst>
          </c:dPt>
          <c:dPt>
            <c:idx val="8"/>
            <c:bubble3D val="0"/>
            <c:spPr>
              <a:solidFill>
                <a:schemeClr val="accent3">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11-2D98-4B10-A013-E9ABA3C68940}"/>
              </c:ext>
            </c:extLst>
          </c:dPt>
          <c:dPt>
            <c:idx val="9"/>
            <c:bubble3D val="0"/>
            <c:spPr>
              <a:solidFill>
                <a:srgbClr val="FFC000">
                  <a:lumMod val="75000"/>
                </a:srgb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8-466B-4A8B-81A9-9C3632933BD2}"/>
              </c:ext>
            </c:extLst>
          </c:dPt>
          <c:dPt>
            <c:idx val="10"/>
            <c:bubble3D val="0"/>
            <c:spPr>
              <a:solidFill>
                <a:schemeClr val="accent5">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15-2D98-4B10-A013-E9ABA3C68940}"/>
              </c:ext>
            </c:extLst>
          </c:dPt>
          <c:dLbls>
            <c:dLbl>
              <c:idx val="0"/>
              <c:delete val="1"/>
              <c:extLst>
                <c:ext xmlns:c15="http://schemas.microsoft.com/office/drawing/2012/chart" uri="{CE6537A1-D6FC-4f65-9D91-7224C49458BB}"/>
                <c:ext xmlns:c16="http://schemas.microsoft.com/office/drawing/2014/chart" uri="{C3380CC4-5D6E-409C-BE32-E72D297353CC}">
                  <c16:uniqueId val="{00000001-DEAE-44DF-B39D-879A663F4C7C}"/>
                </c:ext>
              </c:extLst>
            </c:dLbl>
            <c:dLbl>
              <c:idx val="1"/>
              <c:layout>
                <c:manualLayout>
                  <c:x val="8.9219330855018514E-2"/>
                  <c:y val="-0.11226944667201288"/>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DEAE-44DF-B39D-879A663F4C7C}"/>
                </c:ext>
              </c:extLst>
            </c:dLbl>
            <c:dLbl>
              <c:idx val="2"/>
              <c:delete val="1"/>
              <c:extLst>
                <c:ext xmlns:c15="http://schemas.microsoft.com/office/drawing/2012/chart" uri="{CE6537A1-D6FC-4f65-9D91-7224C49458BB}"/>
                <c:ext xmlns:c16="http://schemas.microsoft.com/office/drawing/2014/chart" uri="{C3380CC4-5D6E-409C-BE32-E72D297353CC}">
                  <c16:uniqueId val="{00000005-DEAE-44DF-B39D-879A663F4C7C}"/>
                </c:ext>
              </c:extLst>
            </c:dLbl>
            <c:dLbl>
              <c:idx val="5"/>
              <c:delete val="1"/>
              <c:extLst>
                <c:ext xmlns:c15="http://schemas.microsoft.com/office/drawing/2012/chart" uri="{CE6537A1-D6FC-4f65-9D91-7224C49458BB}"/>
                <c:ext xmlns:c16="http://schemas.microsoft.com/office/drawing/2014/chart" uri="{C3380CC4-5D6E-409C-BE32-E72D297353CC}">
                  <c16:uniqueId val="{00000007-466B-4A8B-81A9-9C3632933BD2}"/>
                </c:ext>
              </c:extLst>
            </c:dLbl>
            <c:dLbl>
              <c:idx val="6"/>
              <c:layout>
                <c:manualLayout>
                  <c:x val="-0.12887236679058237"/>
                  <c:y val="-1.6038492381716157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6-466B-4A8B-81A9-9C3632933BD2}"/>
                </c:ext>
              </c:extLst>
            </c:dLbl>
            <c:dLbl>
              <c:idx val="7"/>
              <c:spPr>
                <a:noFill/>
                <a:ln>
                  <a:noFill/>
                </a:ln>
                <a:effectLst/>
              </c:spPr>
              <c:txPr>
                <a:bodyPr rot="0" spcFirstLastPara="1" vertOverflow="ellipsis" vert="horz" wrap="square" anchor="ctr" anchorCtr="1"/>
                <a:lstStyle/>
                <a:p>
                  <a:pPr>
                    <a:defRPr lang="en-US" sz="1100" b="0" i="0" u="none" strike="noStrike" kern="1200" baseline="0">
                      <a:solidFill>
                        <a:schemeClr val="bg1"/>
                      </a:solidFill>
                      <a:latin typeface="Cambria" panose="02040503050406030204" pitchFamily="18" charset="0"/>
                      <a:ea typeface="+mn-ea"/>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09-466B-4A8B-81A9-9C3632933BD2}"/>
                </c:ext>
              </c:extLst>
            </c:dLbl>
            <c:dLbl>
              <c:idx val="8"/>
              <c:delete val="1"/>
              <c:extLst>
                <c:ext xmlns:c15="http://schemas.microsoft.com/office/drawing/2012/chart" uri="{CE6537A1-D6FC-4f65-9D91-7224C49458BB}"/>
                <c:ext xmlns:c16="http://schemas.microsoft.com/office/drawing/2014/chart" uri="{C3380CC4-5D6E-409C-BE32-E72D297353CC}">
                  <c16:uniqueId val="{00000011-2D98-4B10-A013-E9ABA3C68940}"/>
                </c:ext>
              </c:extLst>
            </c:dLbl>
            <c:dLbl>
              <c:idx val="9"/>
              <c:layout>
                <c:manualLayout>
                  <c:x val="-7.9306071871127704E-2"/>
                  <c:y val="-0.12028869286287089"/>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8-466B-4A8B-81A9-9C3632933BD2}"/>
                </c:ext>
              </c:extLst>
            </c:dLbl>
            <c:dLbl>
              <c:idx val="10"/>
              <c:delete val="1"/>
              <c:extLst>
                <c:ext xmlns:c15="http://schemas.microsoft.com/office/drawing/2012/chart" uri="{CE6537A1-D6FC-4f65-9D91-7224C49458BB}"/>
                <c:ext xmlns:c16="http://schemas.microsoft.com/office/drawing/2014/chart" uri="{C3380CC4-5D6E-409C-BE32-E72D297353CC}">
                  <c16:uniqueId val="{00000015-2D98-4B10-A013-E9ABA3C68940}"/>
                </c:ext>
              </c:extLst>
            </c:dLbl>
            <c:spPr>
              <a:noFill/>
              <a:ln>
                <a:noFill/>
              </a:ln>
              <a:effectLst/>
            </c:spPr>
            <c:txPr>
              <a:bodyPr rot="0" spcFirstLastPara="1" vertOverflow="ellipsis" vert="horz" wrap="square" anchor="ctr" anchorCtr="1"/>
              <a:lstStyle/>
              <a:p>
                <a:pPr>
                  <a:defRPr lang="en-US" sz="11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Sheet1!$A$2:$A$12</c:f>
              <c:strCache>
                <c:ptCount val="11"/>
                <c:pt idx="0">
                  <c:v>1.A.1.a</c:v>
                </c:pt>
                <c:pt idx="1">
                  <c:v>1.A.2.a</c:v>
                </c:pt>
                <c:pt idx="2">
                  <c:v>1.A.2.e</c:v>
                </c:pt>
                <c:pt idx="3">
                  <c:v>1.A.2.f.i</c:v>
                </c:pt>
                <c:pt idx="4">
                  <c:v>1.A.4.a.i</c:v>
                </c:pt>
                <c:pt idx="5">
                  <c:v>1.A.4.a.ii</c:v>
                </c:pt>
                <c:pt idx="6">
                  <c:v>1.A.4.b.i</c:v>
                </c:pt>
                <c:pt idx="7">
                  <c:v>1.A.4.c.i</c:v>
                </c:pt>
                <c:pt idx="8">
                  <c:v>2.A.6</c:v>
                </c:pt>
                <c:pt idx="9">
                  <c:v>2.C.1</c:v>
                </c:pt>
                <c:pt idx="10">
                  <c:v>6.C.d</c:v>
                </c:pt>
              </c:strCache>
            </c:strRef>
          </c:cat>
          <c:val>
            <c:numRef>
              <c:f>Sheet1!$B$2:$B$12</c:f>
              <c:numCache>
                <c:formatCode>General</c:formatCode>
                <c:ptCount val="11"/>
                <c:pt idx="0">
                  <c:v>72.330324460000057</c:v>
                </c:pt>
                <c:pt idx="1">
                  <c:v>46687.55</c:v>
                </c:pt>
                <c:pt idx="2">
                  <c:v>3095.94614</c:v>
                </c:pt>
                <c:pt idx="3">
                  <c:v>3626199.5</c:v>
                </c:pt>
                <c:pt idx="4">
                  <c:v>1478394.344</c:v>
                </c:pt>
                <c:pt idx="5">
                  <c:v>121.62654000000001</c:v>
                </c:pt>
                <c:pt idx="6">
                  <c:v>64279.693379999997</c:v>
                </c:pt>
                <c:pt idx="7">
                  <c:v>668157.66780000005</c:v>
                </c:pt>
                <c:pt idx="9">
                  <c:v>92349</c:v>
                </c:pt>
              </c:numCache>
            </c:numRef>
          </c:val>
          <c:extLst>
            <c:ext xmlns:c16="http://schemas.microsoft.com/office/drawing/2014/chart" uri="{C3380CC4-5D6E-409C-BE32-E72D297353CC}">
              <c16:uniqueId val="{00000006-DEAE-44DF-B39D-879A663F4C7C}"/>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69065597283610991"/>
          <c:y val="8.5833717457330594E-2"/>
          <c:w val="0.27960425021221796"/>
          <c:h val="0.87062682721997431"/>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r>
              <a:rPr lang="en-US"/>
              <a:t>As</a:t>
            </a:r>
          </a:p>
        </c:rich>
      </c:tx>
      <c:layout>
        <c:manualLayout>
          <c:xMode val="edge"/>
          <c:yMode val="edge"/>
          <c:x val="0.58223028812848199"/>
          <c:y val="3.6183217675176384E-2"/>
        </c:manualLayout>
      </c:layout>
      <c:overlay val="0"/>
      <c:spPr>
        <a:noFill/>
        <a:ln>
          <a:noFill/>
        </a:ln>
        <a:effectLst/>
      </c:spPr>
    </c:title>
    <c:autoTitleDeleted val="0"/>
    <c:plotArea>
      <c:layout>
        <c:manualLayout>
          <c:layoutTarget val="inner"/>
          <c:xMode val="edge"/>
          <c:yMode val="edge"/>
          <c:x val="8.2060318668344887E-2"/>
          <c:y val="7.4155295543951172E-2"/>
          <c:w val="0.5176551629931021"/>
          <c:h val="0.89876875330342765"/>
        </c:manualLayout>
      </c:layout>
      <c:doughnutChart>
        <c:varyColors val="1"/>
        <c:ser>
          <c:idx val="0"/>
          <c:order val="0"/>
          <c:tx>
            <c:strRef>
              <c:f>Sheet1!$B$1</c:f>
              <c:strCache>
                <c:ptCount val="1"/>
                <c:pt idx="0">
                  <c:v>As</c:v>
                </c:pt>
              </c:strCache>
            </c:strRef>
          </c:tx>
          <c:spPr>
            <a:ln>
              <a:noFill/>
            </a:ln>
            <a:effectLst>
              <a:outerShdw blurRad="50800" dist="38100" dir="2700000" algn="tl" rotWithShape="0">
                <a:prstClr val="black">
                  <a:alpha val="40000"/>
                </a:prstClr>
              </a:outerShdw>
            </a:effectLst>
          </c:spPr>
          <c:dPt>
            <c:idx val="0"/>
            <c:bubble3D val="0"/>
            <c:spPr>
              <a:solidFill>
                <a:schemeClr val="accent1"/>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8EC2-4B9F-882B-6B31BD47D0C2}"/>
              </c:ext>
            </c:extLst>
          </c:dPt>
          <c:dPt>
            <c:idx val="1"/>
            <c:bubble3D val="0"/>
            <c:spPr>
              <a:solidFill>
                <a:schemeClr val="accent2"/>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8EC2-4B9F-882B-6B31BD47D0C2}"/>
              </c:ext>
            </c:extLst>
          </c:dPt>
          <c:dPt>
            <c:idx val="2"/>
            <c:bubble3D val="0"/>
            <c:spPr>
              <a:solidFill>
                <a:schemeClr val="accent3"/>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8EC2-4B9F-882B-6B31BD47D0C2}"/>
              </c:ext>
            </c:extLst>
          </c:dPt>
          <c:dPt>
            <c:idx val="3"/>
            <c:bubble3D val="0"/>
            <c:spPr>
              <a:solidFill>
                <a:schemeClr val="accent4"/>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7-8EC2-4B9F-882B-6B31BD47D0C2}"/>
              </c:ext>
            </c:extLst>
          </c:dPt>
          <c:dPt>
            <c:idx val="4"/>
            <c:bubble3D val="0"/>
            <c:spPr>
              <a:solidFill>
                <a:schemeClr val="accent5"/>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9-8EC2-4B9F-882B-6B31BD47D0C2}"/>
              </c:ext>
            </c:extLst>
          </c:dPt>
          <c:dPt>
            <c:idx val="5"/>
            <c:bubble3D val="0"/>
            <c:spPr>
              <a:solidFill>
                <a:schemeClr val="accent6"/>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B-8EC2-4B9F-882B-6B31BD47D0C2}"/>
              </c:ext>
            </c:extLst>
          </c:dPt>
          <c:dPt>
            <c:idx val="6"/>
            <c:bubble3D val="0"/>
            <c:spPr>
              <a:solidFill>
                <a:schemeClr val="accent1">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D-8EC2-4B9F-882B-6B31BD47D0C2}"/>
              </c:ext>
            </c:extLst>
          </c:dPt>
          <c:dPt>
            <c:idx val="7"/>
            <c:bubble3D val="0"/>
            <c:spPr>
              <a:solidFill>
                <a:schemeClr val="accent2">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F-8EC2-4B9F-882B-6B31BD47D0C2}"/>
              </c:ext>
            </c:extLst>
          </c:dPt>
          <c:dLbls>
            <c:dLbl>
              <c:idx val="0"/>
              <c:delete val="1"/>
              <c:extLst>
                <c:ext xmlns:c15="http://schemas.microsoft.com/office/drawing/2012/chart" uri="{CE6537A1-D6FC-4f65-9D91-7224C49458BB}"/>
                <c:ext xmlns:c16="http://schemas.microsoft.com/office/drawing/2014/chart" uri="{C3380CC4-5D6E-409C-BE32-E72D297353CC}">
                  <c16:uniqueId val="{00000001-8EC2-4B9F-882B-6B31BD47D0C2}"/>
                </c:ext>
              </c:extLst>
            </c:dLbl>
            <c:dLbl>
              <c:idx val="1"/>
              <c:delete val="1"/>
              <c:extLst>
                <c:ext xmlns:c15="http://schemas.microsoft.com/office/drawing/2012/chart" uri="{CE6537A1-D6FC-4f65-9D91-7224C49458BB}"/>
                <c:ext xmlns:c16="http://schemas.microsoft.com/office/drawing/2014/chart" uri="{C3380CC4-5D6E-409C-BE32-E72D297353CC}">
                  <c16:uniqueId val="{00000003-8EC2-4B9F-882B-6B31BD47D0C2}"/>
                </c:ext>
              </c:extLst>
            </c:dLbl>
            <c:dLbl>
              <c:idx val="4"/>
              <c:delete val="1"/>
              <c:extLst>
                <c:ext xmlns:c15="http://schemas.microsoft.com/office/drawing/2012/chart" uri="{CE6537A1-D6FC-4f65-9D91-7224C49458BB}"/>
                <c:ext xmlns:c16="http://schemas.microsoft.com/office/drawing/2014/chart" uri="{C3380CC4-5D6E-409C-BE32-E72D297353CC}">
                  <c16:uniqueId val="{00000009-8EC2-4B9F-882B-6B31BD47D0C2}"/>
                </c:ext>
              </c:extLst>
            </c:dLbl>
            <c:dLbl>
              <c:idx val="5"/>
              <c:delete val="1"/>
              <c:extLst>
                <c:ext xmlns:c15="http://schemas.microsoft.com/office/drawing/2012/chart" uri="{CE6537A1-D6FC-4f65-9D91-7224C49458BB}"/>
                <c:ext xmlns:c16="http://schemas.microsoft.com/office/drawing/2014/chart" uri="{C3380CC4-5D6E-409C-BE32-E72D297353CC}">
                  <c16:uniqueId val="{0000000B-8EC2-4B9F-882B-6B31BD47D0C2}"/>
                </c:ext>
              </c:extLst>
            </c:dLbl>
            <c:dLbl>
              <c:idx val="6"/>
              <c:delete val="1"/>
              <c:extLst>
                <c:ext xmlns:c15="http://schemas.microsoft.com/office/drawing/2012/chart" uri="{CE6537A1-D6FC-4f65-9D91-7224C49458BB}"/>
                <c:ext xmlns:c16="http://schemas.microsoft.com/office/drawing/2014/chart" uri="{C3380CC4-5D6E-409C-BE32-E72D297353CC}">
                  <c16:uniqueId val="{0000000D-8EC2-4B9F-882B-6B31BD47D0C2}"/>
                </c:ext>
              </c:extLst>
            </c:dLbl>
            <c:dLbl>
              <c:idx val="7"/>
              <c:delete val="1"/>
              <c:extLst>
                <c:ext xmlns:c15="http://schemas.microsoft.com/office/drawing/2012/chart" uri="{CE6537A1-D6FC-4f65-9D91-7224C49458BB}"/>
                <c:ext xmlns:c16="http://schemas.microsoft.com/office/drawing/2014/chart" uri="{C3380CC4-5D6E-409C-BE32-E72D297353CC}">
                  <c16:uniqueId val="{0000000F-8EC2-4B9F-882B-6B31BD47D0C2}"/>
                </c:ext>
              </c:extLst>
            </c:dLbl>
            <c:spPr>
              <a:noFill/>
              <a:ln>
                <a:noFill/>
              </a:ln>
              <a:effectLst/>
            </c:spPr>
            <c:txPr>
              <a:bodyPr rot="0" spcFirstLastPara="1" vertOverflow="ellipsis" vert="horz" wrap="square" anchor="ctr" anchorCtr="1"/>
              <a:lstStyle/>
              <a:p>
                <a:pPr>
                  <a:defRPr lang="en-US" sz="11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Sheet1!$A$2:$A$9</c:f>
              <c:strCache>
                <c:ptCount val="8"/>
                <c:pt idx="0">
                  <c:v>1.A.2.e</c:v>
                </c:pt>
                <c:pt idx="1">
                  <c:v>1.A.2 .f.ii</c:v>
                </c:pt>
                <c:pt idx="2">
                  <c:v>1.A.4.a.i</c:v>
                </c:pt>
                <c:pt idx="3">
                  <c:v>1.A.4.b.i</c:v>
                </c:pt>
                <c:pt idx="4">
                  <c:v>1.A.4.c.i</c:v>
                </c:pt>
                <c:pt idx="5">
                  <c:v>2.A.7.b</c:v>
                </c:pt>
                <c:pt idx="6">
                  <c:v>4.B.8</c:v>
                </c:pt>
                <c:pt idx="7">
                  <c:v>4.D.2.a</c:v>
                </c:pt>
              </c:strCache>
            </c:strRef>
          </c:cat>
          <c:val>
            <c:numRef>
              <c:f>Sheet1!$B$2:$B$9</c:f>
              <c:numCache>
                <c:formatCode>General</c:formatCode>
                <c:ptCount val="8"/>
                <c:pt idx="0">
                  <c:v>3.1583240000000026E-2</c:v>
                </c:pt>
                <c:pt idx="2">
                  <c:v>81.469918490000026</c:v>
                </c:pt>
                <c:pt idx="3">
                  <c:v>189.8251254000001</c:v>
                </c:pt>
                <c:pt idx="4">
                  <c:v>0.59732841000000003</c:v>
                </c:pt>
              </c:numCache>
            </c:numRef>
          </c:val>
          <c:extLst>
            <c:ext xmlns:c16="http://schemas.microsoft.com/office/drawing/2014/chart" uri="{C3380CC4-5D6E-409C-BE32-E72D297353CC}">
              <c16:uniqueId val="{00000016-8EC2-4B9F-882B-6B31BD47D0C2}"/>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69065597283610991"/>
          <c:y val="5.3756732693898433E-2"/>
          <c:w val="0.27960425021221796"/>
          <c:h val="0.90270381198340632"/>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59710017660431869"/>
          <c:y val="5.2221710056892454E-2"/>
        </c:manualLayout>
      </c:layout>
      <c:overlay val="0"/>
      <c:spPr>
        <a:noFill/>
        <a:ln>
          <a:noFill/>
        </a:ln>
        <a:effectLst/>
      </c:spPr>
      <c:txPr>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endParaRPr lang="en-US"/>
        </a:p>
      </c:txPr>
    </c:title>
    <c:autoTitleDeleted val="0"/>
    <c:plotArea>
      <c:layout>
        <c:manualLayout>
          <c:layoutTarget val="inner"/>
          <c:xMode val="edge"/>
          <c:yMode val="edge"/>
          <c:x val="8.2060318668344887E-2"/>
          <c:y val="7.4155295543951172E-2"/>
          <c:w val="0.5176551629931021"/>
          <c:h val="0.89876875330342765"/>
        </c:manualLayout>
      </c:layout>
      <c:doughnutChart>
        <c:varyColors val="1"/>
        <c:ser>
          <c:idx val="0"/>
          <c:order val="0"/>
          <c:tx>
            <c:strRef>
              <c:f>Sheet1!$B$1</c:f>
              <c:strCache>
                <c:ptCount val="1"/>
                <c:pt idx="0">
                  <c:v>Cd</c:v>
                </c:pt>
              </c:strCache>
            </c:strRef>
          </c:tx>
          <c:spPr>
            <a:ln>
              <a:noFill/>
            </a:ln>
            <a:effectLst>
              <a:outerShdw blurRad="50800" dist="38100" dir="2700000" algn="tl" rotWithShape="0">
                <a:prstClr val="black">
                  <a:alpha val="40000"/>
                </a:prstClr>
              </a:outerShdw>
            </a:effectLst>
          </c:spPr>
          <c:dPt>
            <c:idx val="0"/>
            <c:bubble3D val="0"/>
            <c:spPr>
              <a:solidFill>
                <a:schemeClr val="accent1"/>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9475-4DB6-AED8-542BA45A2A06}"/>
              </c:ext>
            </c:extLst>
          </c:dPt>
          <c:dPt>
            <c:idx val="1"/>
            <c:bubble3D val="0"/>
            <c:spPr>
              <a:solidFill>
                <a:schemeClr val="accent2"/>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9475-4DB6-AED8-542BA45A2A06}"/>
              </c:ext>
            </c:extLst>
          </c:dPt>
          <c:dPt>
            <c:idx val="2"/>
            <c:bubble3D val="0"/>
            <c:spPr>
              <a:solidFill>
                <a:schemeClr val="accent3"/>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9475-4DB6-AED8-542BA45A2A06}"/>
              </c:ext>
            </c:extLst>
          </c:dPt>
          <c:dPt>
            <c:idx val="3"/>
            <c:bubble3D val="0"/>
            <c:spPr>
              <a:solidFill>
                <a:schemeClr val="accent4"/>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7-9475-4DB6-AED8-542BA45A2A06}"/>
              </c:ext>
            </c:extLst>
          </c:dPt>
          <c:dPt>
            <c:idx val="4"/>
            <c:bubble3D val="0"/>
            <c:spPr>
              <a:solidFill>
                <a:schemeClr val="accent5"/>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9-9475-4DB6-AED8-542BA45A2A06}"/>
              </c:ext>
            </c:extLst>
          </c:dPt>
          <c:dPt>
            <c:idx val="5"/>
            <c:bubble3D val="0"/>
            <c:spPr>
              <a:solidFill>
                <a:schemeClr val="accent6"/>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B-9475-4DB6-AED8-542BA45A2A06}"/>
              </c:ext>
            </c:extLst>
          </c:dPt>
          <c:dPt>
            <c:idx val="6"/>
            <c:bubble3D val="0"/>
            <c:spPr>
              <a:solidFill>
                <a:schemeClr val="accent1">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D-9475-4DB6-AED8-542BA45A2A06}"/>
              </c:ext>
            </c:extLst>
          </c:dPt>
          <c:dPt>
            <c:idx val="7"/>
            <c:bubble3D val="0"/>
            <c:spPr>
              <a:solidFill>
                <a:schemeClr val="accent2">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F-9475-4DB6-AED8-542BA45A2A06}"/>
              </c:ext>
            </c:extLst>
          </c:dPt>
          <c:dLbls>
            <c:dLbl>
              <c:idx val="0"/>
              <c:delete val="1"/>
              <c:extLst>
                <c:ext xmlns:c15="http://schemas.microsoft.com/office/drawing/2012/chart" uri="{CE6537A1-D6FC-4f65-9D91-7224C49458BB}"/>
                <c:ext xmlns:c16="http://schemas.microsoft.com/office/drawing/2014/chart" uri="{C3380CC4-5D6E-409C-BE32-E72D297353CC}">
                  <c16:uniqueId val="{00000001-9475-4DB6-AED8-542BA45A2A06}"/>
                </c:ext>
              </c:extLst>
            </c:dLbl>
            <c:dLbl>
              <c:idx val="1"/>
              <c:layout>
                <c:manualLayout>
                  <c:x val="1.4869888475836439E-2"/>
                  <c:y val="0"/>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9475-4DB6-AED8-542BA45A2A06}"/>
                </c:ext>
              </c:extLst>
            </c:dLbl>
            <c:dLbl>
              <c:idx val="2"/>
              <c:layout>
                <c:manualLayout>
                  <c:x val="9.9132589838909092E-3"/>
                  <c:y val="-1.6038492381716122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9475-4DB6-AED8-542BA45A2A06}"/>
                </c:ext>
              </c:extLst>
            </c:dLbl>
            <c:dLbl>
              <c:idx val="5"/>
              <c:delete val="1"/>
              <c:extLst>
                <c:ext xmlns:c15="http://schemas.microsoft.com/office/drawing/2012/chart" uri="{CE6537A1-D6FC-4f65-9D91-7224C49458BB}"/>
                <c:ext xmlns:c16="http://schemas.microsoft.com/office/drawing/2014/chart" uri="{C3380CC4-5D6E-409C-BE32-E72D297353CC}">
                  <c16:uniqueId val="{0000000B-9475-4DB6-AED8-542BA45A2A06}"/>
                </c:ext>
              </c:extLst>
            </c:dLbl>
            <c:dLbl>
              <c:idx val="6"/>
              <c:delete val="1"/>
              <c:extLst>
                <c:ext xmlns:c15="http://schemas.microsoft.com/office/drawing/2012/chart" uri="{CE6537A1-D6FC-4f65-9D91-7224C49458BB}"/>
                <c:ext xmlns:c16="http://schemas.microsoft.com/office/drawing/2014/chart" uri="{C3380CC4-5D6E-409C-BE32-E72D297353CC}">
                  <c16:uniqueId val="{0000000D-9475-4DB6-AED8-542BA45A2A06}"/>
                </c:ext>
              </c:extLst>
            </c:dLbl>
            <c:dLbl>
              <c:idx val="7"/>
              <c:delete val="1"/>
              <c:extLst>
                <c:ext xmlns:c15="http://schemas.microsoft.com/office/drawing/2012/chart" uri="{CE6537A1-D6FC-4f65-9D91-7224C49458BB}"/>
                <c:ext xmlns:c16="http://schemas.microsoft.com/office/drawing/2014/chart" uri="{C3380CC4-5D6E-409C-BE32-E72D297353CC}">
                  <c16:uniqueId val="{0000000F-9475-4DB6-AED8-542BA45A2A06}"/>
                </c:ext>
              </c:extLst>
            </c:dLbl>
            <c:spPr>
              <a:noFill/>
              <a:ln>
                <a:noFill/>
              </a:ln>
              <a:effectLst/>
            </c:spPr>
            <c:txPr>
              <a:bodyPr rot="0" spcFirstLastPara="1" vertOverflow="ellipsis" vert="horz" wrap="square" anchor="ctr" anchorCtr="1"/>
              <a:lstStyle/>
              <a:p>
                <a:pPr>
                  <a:defRPr lang="en-US" sz="11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Sheet1!$A$2:$A$9</c:f>
              <c:strCache>
                <c:ptCount val="8"/>
                <c:pt idx="0">
                  <c:v>1.A.2.e</c:v>
                </c:pt>
                <c:pt idx="1">
                  <c:v>1.A.2.f.ii</c:v>
                </c:pt>
                <c:pt idx="2">
                  <c:v>1.A.4.a.i</c:v>
                </c:pt>
                <c:pt idx="3">
                  <c:v>1.A.4.b.i</c:v>
                </c:pt>
                <c:pt idx="4">
                  <c:v>1.A.4.c.i</c:v>
                </c:pt>
                <c:pt idx="5">
                  <c:v>2.A.7.b</c:v>
                </c:pt>
                <c:pt idx="6">
                  <c:v>4.B.8</c:v>
                </c:pt>
                <c:pt idx="7">
                  <c:v>4.D.2.a</c:v>
                </c:pt>
              </c:strCache>
            </c:strRef>
          </c:cat>
          <c:val>
            <c:numRef>
              <c:f>Sheet1!$B$2:$B$9</c:f>
              <c:numCache>
                <c:formatCode>General</c:formatCode>
                <c:ptCount val="8"/>
                <c:pt idx="0">
                  <c:v>0.17471581999999999</c:v>
                </c:pt>
                <c:pt idx="1">
                  <c:v>60.581669999999995</c:v>
                </c:pt>
                <c:pt idx="2">
                  <c:v>91.512176109999942</c:v>
                </c:pt>
                <c:pt idx="3">
                  <c:v>305.81870819999995</c:v>
                </c:pt>
                <c:pt idx="4">
                  <c:v>3.3043699399999982</c:v>
                </c:pt>
              </c:numCache>
            </c:numRef>
          </c:val>
          <c:extLst>
            <c:ext xmlns:c16="http://schemas.microsoft.com/office/drawing/2014/chart" uri="{C3380CC4-5D6E-409C-BE32-E72D297353CC}">
              <c16:uniqueId val="{00000016-9475-4DB6-AED8-542BA45A2A06}"/>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69065597283610991"/>
          <c:y val="6.9795225075614573E-2"/>
          <c:w val="0.27960425021221796"/>
          <c:h val="0.88666531960168971"/>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58223028812848199"/>
          <c:y val="6.0240956247750485E-2"/>
        </c:manualLayout>
      </c:layout>
      <c:overlay val="0"/>
      <c:spPr>
        <a:noFill/>
        <a:ln>
          <a:noFill/>
        </a:ln>
        <a:effectLst/>
      </c:spPr>
      <c:txPr>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endParaRPr lang="en-US"/>
        </a:p>
      </c:txPr>
    </c:title>
    <c:autoTitleDeleted val="0"/>
    <c:plotArea>
      <c:layout>
        <c:manualLayout>
          <c:layoutTarget val="inner"/>
          <c:xMode val="edge"/>
          <c:yMode val="edge"/>
          <c:x val="8.2060318668344887E-2"/>
          <c:y val="7.4155295543951172E-2"/>
          <c:w val="0.5176551629931021"/>
          <c:h val="0.89876875330342765"/>
        </c:manualLayout>
      </c:layout>
      <c:doughnutChart>
        <c:varyColors val="1"/>
        <c:ser>
          <c:idx val="0"/>
          <c:order val="0"/>
          <c:tx>
            <c:strRef>
              <c:f>Sheet1!$B$1</c:f>
              <c:strCache>
                <c:ptCount val="1"/>
                <c:pt idx="0">
                  <c:v>CO</c:v>
                </c:pt>
              </c:strCache>
            </c:strRef>
          </c:tx>
          <c:spPr>
            <a:ln>
              <a:noFill/>
            </a:ln>
            <a:effectLst>
              <a:outerShdw blurRad="50800" dist="38100" dir="2700000" algn="tl" rotWithShape="0">
                <a:prstClr val="black">
                  <a:alpha val="40000"/>
                </a:prstClr>
              </a:outerShdw>
            </a:effectLst>
          </c:spPr>
          <c:dPt>
            <c:idx val="0"/>
            <c:bubble3D val="0"/>
            <c:spPr>
              <a:solidFill>
                <a:schemeClr val="accent1"/>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3A02-4E25-84BB-DA719B6587FB}"/>
              </c:ext>
            </c:extLst>
          </c:dPt>
          <c:dPt>
            <c:idx val="1"/>
            <c:bubble3D val="0"/>
            <c:spPr>
              <a:solidFill>
                <a:schemeClr val="accent2"/>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3A02-4E25-84BB-DA719B6587FB}"/>
              </c:ext>
            </c:extLst>
          </c:dPt>
          <c:dPt>
            <c:idx val="2"/>
            <c:bubble3D val="0"/>
            <c:spPr>
              <a:solidFill>
                <a:schemeClr val="accent3"/>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3A02-4E25-84BB-DA719B6587FB}"/>
              </c:ext>
            </c:extLst>
          </c:dPt>
          <c:dPt>
            <c:idx val="3"/>
            <c:bubble3D val="0"/>
            <c:spPr>
              <a:solidFill>
                <a:schemeClr val="accent4"/>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7-3A02-4E25-84BB-DA719B6587FB}"/>
              </c:ext>
            </c:extLst>
          </c:dPt>
          <c:dPt>
            <c:idx val="4"/>
            <c:bubble3D val="0"/>
            <c:spPr>
              <a:solidFill>
                <a:schemeClr val="accent5"/>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9-3A02-4E25-84BB-DA719B6587FB}"/>
              </c:ext>
            </c:extLst>
          </c:dPt>
          <c:dPt>
            <c:idx val="5"/>
            <c:bubble3D val="0"/>
            <c:spPr>
              <a:solidFill>
                <a:schemeClr val="accent6"/>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B-3A02-4E25-84BB-DA719B6587FB}"/>
              </c:ext>
            </c:extLst>
          </c:dPt>
          <c:dPt>
            <c:idx val="6"/>
            <c:bubble3D val="0"/>
            <c:spPr>
              <a:solidFill>
                <a:schemeClr val="accent1">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D-3A02-4E25-84BB-DA719B6587FB}"/>
              </c:ext>
            </c:extLst>
          </c:dPt>
          <c:dPt>
            <c:idx val="7"/>
            <c:bubble3D val="0"/>
            <c:spPr>
              <a:solidFill>
                <a:schemeClr val="accent2">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F-3A02-4E25-84BB-DA719B6587FB}"/>
              </c:ext>
            </c:extLst>
          </c:dPt>
          <c:dLbls>
            <c:dLbl>
              <c:idx val="0"/>
              <c:delete val="1"/>
              <c:extLst>
                <c:ext xmlns:c15="http://schemas.microsoft.com/office/drawing/2012/chart" uri="{CE6537A1-D6FC-4f65-9D91-7224C49458BB}"/>
                <c:ext xmlns:c16="http://schemas.microsoft.com/office/drawing/2014/chart" uri="{C3380CC4-5D6E-409C-BE32-E72D297353CC}">
                  <c16:uniqueId val="{00000001-3A02-4E25-84BB-DA719B6587FB}"/>
                </c:ext>
              </c:extLst>
            </c:dLbl>
            <c:dLbl>
              <c:idx val="1"/>
              <c:layout>
                <c:manualLayout>
                  <c:x val="-4.9566294919454867E-3"/>
                  <c:y val="-4.0096230954290435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3A02-4E25-84BB-DA719B6587FB}"/>
                </c:ext>
              </c:extLst>
            </c:dLbl>
            <c:dLbl>
              <c:idx val="2"/>
              <c:layout>
                <c:manualLayout>
                  <c:x val="8.4262701363073025E-2"/>
                  <c:y val="6.4153969526864474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3A02-4E25-84BB-DA719B6587FB}"/>
                </c:ext>
              </c:extLst>
            </c:dLbl>
            <c:dLbl>
              <c:idx val="4"/>
              <c:delete val="1"/>
              <c:extLst>
                <c:ext xmlns:c15="http://schemas.microsoft.com/office/drawing/2012/chart" uri="{CE6537A1-D6FC-4f65-9D91-7224C49458BB}"/>
                <c:ext xmlns:c16="http://schemas.microsoft.com/office/drawing/2014/chart" uri="{C3380CC4-5D6E-409C-BE32-E72D297353CC}">
                  <c16:uniqueId val="{00000009-3A02-4E25-84BB-DA719B6587FB}"/>
                </c:ext>
              </c:extLst>
            </c:dLbl>
            <c:dLbl>
              <c:idx val="5"/>
              <c:delete val="1"/>
              <c:extLst>
                <c:ext xmlns:c15="http://schemas.microsoft.com/office/drawing/2012/chart" uri="{CE6537A1-D6FC-4f65-9D91-7224C49458BB}"/>
                <c:ext xmlns:c16="http://schemas.microsoft.com/office/drawing/2014/chart" uri="{C3380CC4-5D6E-409C-BE32-E72D297353CC}">
                  <c16:uniqueId val="{0000000B-3A02-4E25-84BB-DA719B6587FB}"/>
                </c:ext>
              </c:extLst>
            </c:dLbl>
            <c:dLbl>
              <c:idx val="6"/>
              <c:delete val="1"/>
              <c:extLst>
                <c:ext xmlns:c15="http://schemas.microsoft.com/office/drawing/2012/chart" uri="{CE6537A1-D6FC-4f65-9D91-7224C49458BB}"/>
                <c:ext xmlns:c16="http://schemas.microsoft.com/office/drawing/2014/chart" uri="{C3380CC4-5D6E-409C-BE32-E72D297353CC}">
                  <c16:uniqueId val="{0000000D-3A02-4E25-84BB-DA719B6587FB}"/>
                </c:ext>
              </c:extLst>
            </c:dLbl>
            <c:dLbl>
              <c:idx val="7"/>
              <c:delete val="1"/>
              <c:extLst>
                <c:ext xmlns:c15="http://schemas.microsoft.com/office/drawing/2012/chart" uri="{CE6537A1-D6FC-4f65-9D91-7224C49458BB}"/>
                <c:ext xmlns:c16="http://schemas.microsoft.com/office/drawing/2014/chart" uri="{C3380CC4-5D6E-409C-BE32-E72D297353CC}">
                  <c16:uniqueId val="{0000000F-3A02-4E25-84BB-DA719B6587FB}"/>
                </c:ext>
              </c:extLst>
            </c:dLbl>
            <c:dLbl>
              <c:idx val="9"/>
              <c:layout>
                <c:manualLayout>
                  <c:x val="0"/>
                  <c:y val="-0.1363271852445869"/>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3-3A02-4E25-84BB-DA719B6587FB}"/>
                </c:ext>
              </c:extLst>
            </c:dLbl>
            <c:spPr>
              <a:noFill/>
              <a:ln>
                <a:noFill/>
              </a:ln>
              <a:effectLst/>
            </c:spPr>
            <c:txPr>
              <a:bodyPr rot="0" spcFirstLastPara="1" vertOverflow="ellipsis" vert="horz" wrap="square" anchor="ctr" anchorCtr="1"/>
              <a:lstStyle/>
              <a:p>
                <a:pPr>
                  <a:defRPr lang="en-US" sz="11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Sheet1!$A$2:$A$9</c:f>
              <c:strCache>
                <c:ptCount val="8"/>
                <c:pt idx="0">
                  <c:v>1.A.2.e</c:v>
                </c:pt>
                <c:pt idx="1">
                  <c:v>1.A.2.f.ii</c:v>
                </c:pt>
                <c:pt idx="2">
                  <c:v>1.A.4.a.i</c:v>
                </c:pt>
                <c:pt idx="3">
                  <c:v>1.A.4.b.i</c:v>
                </c:pt>
                <c:pt idx="4">
                  <c:v>1.A.4.c.i</c:v>
                </c:pt>
                <c:pt idx="5">
                  <c:v>2.A.7.b</c:v>
                </c:pt>
                <c:pt idx="6">
                  <c:v>4.B.8</c:v>
                </c:pt>
                <c:pt idx="7">
                  <c:v>4.D.2.a</c:v>
                </c:pt>
              </c:strCache>
            </c:strRef>
          </c:cat>
          <c:val>
            <c:numRef>
              <c:f>Sheet1!$B$2:$B$9</c:f>
              <c:numCache>
                <c:formatCode>General</c:formatCode>
                <c:ptCount val="8"/>
                <c:pt idx="0">
                  <c:v>6719.8391210000036</c:v>
                </c:pt>
                <c:pt idx="1">
                  <c:v>64955666.57</c:v>
                </c:pt>
                <c:pt idx="2">
                  <c:v>9621144.7029999923</c:v>
                </c:pt>
                <c:pt idx="3">
                  <c:v>1350012517</c:v>
                </c:pt>
                <c:pt idx="4">
                  <c:v>127091.15140000006</c:v>
                </c:pt>
              </c:numCache>
            </c:numRef>
          </c:val>
          <c:extLst>
            <c:ext xmlns:c16="http://schemas.microsoft.com/office/drawing/2014/chart" uri="{C3380CC4-5D6E-409C-BE32-E72D297353CC}">
              <c16:uniqueId val="{00000016-3A02-4E25-84BB-DA719B6587FB}"/>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69065597283610991"/>
          <c:y val="6.9795225075614573E-2"/>
          <c:w val="0.27960425021221796"/>
          <c:h val="0.88666531960168971"/>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60205680609626389"/>
          <c:y val="6.0240956247750485E-2"/>
        </c:manualLayout>
      </c:layout>
      <c:overlay val="0"/>
      <c:spPr>
        <a:noFill/>
        <a:ln>
          <a:noFill/>
        </a:ln>
        <a:effectLst/>
      </c:spPr>
      <c:txPr>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endParaRPr lang="en-US"/>
        </a:p>
      </c:txPr>
    </c:title>
    <c:autoTitleDeleted val="0"/>
    <c:plotArea>
      <c:layout>
        <c:manualLayout>
          <c:layoutTarget val="inner"/>
          <c:xMode val="edge"/>
          <c:yMode val="edge"/>
          <c:x val="8.2060318668344887E-2"/>
          <c:y val="7.4155295543951172E-2"/>
          <c:w val="0.5176551629931021"/>
          <c:h val="0.89876875330342765"/>
        </c:manualLayout>
      </c:layout>
      <c:doughnutChart>
        <c:varyColors val="1"/>
        <c:ser>
          <c:idx val="0"/>
          <c:order val="0"/>
          <c:tx>
            <c:strRef>
              <c:f>Sheet1!$B$1</c:f>
              <c:strCache>
                <c:ptCount val="1"/>
                <c:pt idx="0">
                  <c:v>Ni</c:v>
                </c:pt>
              </c:strCache>
            </c:strRef>
          </c:tx>
          <c:spPr>
            <a:ln>
              <a:noFill/>
            </a:ln>
            <a:effectLst>
              <a:outerShdw blurRad="50800" dist="38100" dir="2700000" algn="tl" rotWithShape="0">
                <a:prstClr val="black">
                  <a:alpha val="40000"/>
                </a:prstClr>
              </a:outerShdw>
            </a:effectLst>
          </c:spPr>
          <c:dPt>
            <c:idx val="0"/>
            <c:bubble3D val="0"/>
            <c:spPr>
              <a:solidFill>
                <a:schemeClr val="accent1"/>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5F86-4465-8A4F-3681347AAD10}"/>
              </c:ext>
            </c:extLst>
          </c:dPt>
          <c:dPt>
            <c:idx val="1"/>
            <c:bubble3D val="0"/>
            <c:spPr>
              <a:solidFill>
                <a:schemeClr val="accent2"/>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5F86-4465-8A4F-3681347AAD10}"/>
              </c:ext>
            </c:extLst>
          </c:dPt>
          <c:dPt>
            <c:idx val="2"/>
            <c:bubble3D val="0"/>
            <c:spPr>
              <a:solidFill>
                <a:schemeClr val="accent3"/>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5F86-4465-8A4F-3681347AAD10}"/>
              </c:ext>
            </c:extLst>
          </c:dPt>
          <c:dPt>
            <c:idx val="3"/>
            <c:bubble3D val="0"/>
            <c:spPr>
              <a:solidFill>
                <a:schemeClr val="accent4"/>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7-5F86-4465-8A4F-3681347AAD10}"/>
              </c:ext>
            </c:extLst>
          </c:dPt>
          <c:dPt>
            <c:idx val="4"/>
            <c:bubble3D val="0"/>
            <c:spPr>
              <a:solidFill>
                <a:schemeClr val="accent5"/>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9-5F86-4465-8A4F-3681347AAD10}"/>
              </c:ext>
            </c:extLst>
          </c:dPt>
          <c:dPt>
            <c:idx val="5"/>
            <c:bubble3D val="0"/>
            <c:spPr>
              <a:solidFill>
                <a:schemeClr val="accent6"/>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B-5F86-4465-8A4F-3681347AAD10}"/>
              </c:ext>
            </c:extLst>
          </c:dPt>
          <c:dPt>
            <c:idx val="6"/>
            <c:bubble3D val="0"/>
            <c:spPr>
              <a:solidFill>
                <a:schemeClr val="accent1">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D-5F86-4465-8A4F-3681347AAD10}"/>
              </c:ext>
            </c:extLst>
          </c:dPt>
          <c:dPt>
            <c:idx val="7"/>
            <c:bubble3D val="0"/>
            <c:spPr>
              <a:solidFill>
                <a:schemeClr val="accent2">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F-5F86-4465-8A4F-3681347AAD10}"/>
              </c:ext>
            </c:extLst>
          </c:dPt>
          <c:dLbls>
            <c:dLbl>
              <c:idx val="0"/>
              <c:delete val="1"/>
              <c:extLst>
                <c:ext xmlns:c15="http://schemas.microsoft.com/office/drawing/2012/chart" uri="{CE6537A1-D6FC-4f65-9D91-7224C49458BB}"/>
                <c:ext xmlns:c16="http://schemas.microsoft.com/office/drawing/2014/chart" uri="{C3380CC4-5D6E-409C-BE32-E72D297353CC}">
                  <c16:uniqueId val="{00000001-5F86-4465-8A4F-3681347AAD10}"/>
                </c:ext>
              </c:extLst>
            </c:dLbl>
            <c:dLbl>
              <c:idx val="1"/>
              <c:layout>
                <c:manualLayout>
                  <c:x val="4.9566294919454842E-2"/>
                  <c:y val="4.8115477145148432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5F86-4465-8A4F-3681347AAD10}"/>
                </c:ext>
              </c:extLst>
            </c:dLbl>
            <c:dLbl>
              <c:idx val="3"/>
              <c:layout>
                <c:manualLayout>
                  <c:x val="-4.9566294919455335E-3"/>
                  <c:y val="-2.4057738572574254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5F86-4465-8A4F-3681347AAD10}"/>
                </c:ext>
              </c:extLst>
            </c:dLbl>
            <c:dLbl>
              <c:idx val="4"/>
              <c:delete val="1"/>
              <c:extLst>
                <c:ext xmlns:c15="http://schemas.microsoft.com/office/drawing/2012/chart" uri="{CE6537A1-D6FC-4f65-9D91-7224C49458BB}"/>
                <c:ext xmlns:c16="http://schemas.microsoft.com/office/drawing/2014/chart" uri="{C3380CC4-5D6E-409C-BE32-E72D297353CC}">
                  <c16:uniqueId val="{00000009-5F86-4465-8A4F-3681347AAD10}"/>
                </c:ext>
              </c:extLst>
            </c:dLbl>
            <c:dLbl>
              <c:idx val="5"/>
              <c:delete val="1"/>
              <c:extLst>
                <c:ext xmlns:c15="http://schemas.microsoft.com/office/drawing/2012/chart" uri="{CE6537A1-D6FC-4f65-9D91-7224C49458BB}"/>
                <c:ext xmlns:c16="http://schemas.microsoft.com/office/drawing/2014/chart" uri="{C3380CC4-5D6E-409C-BE32-E72D297353CC}">
                  <c16:uniqueId val="{0000000B-5F86-4465-8A4F-3681347AAD10}"/>
                </c:ext>
              </c:extLst>
            </c:dLbl>
            <c:dLbl>
              <c:idx val="6"/>
              <c:delete val="1"/>
              <c:extLst>
                <c:ext xmlns:c15="http://schemas.microsoft.com/office/drawing/2012/chart" uri="{CE6537A1-D6FC-4f65-9D91-7224C49458BB}"/>
                <c:ext xmlns:c16="http://schemas.microsoft.com/office/drawing/2014/chart" uri="{C3380CC4-5D6E-409C-BE32-E72D297353CC}">
                  <c16:uniqueId val="{0000000D-5F86-4465-8A4F-3681347AAD10}"/>
                </c:ext>
              </c:extLst>
            </c:dLbl>
            <c:dLbl>
              <c:idx val="7"/>
              <c:delete val="1"/>
              <c:extLst>
                <c:ext xmlns:c15="http://schemas.microsoft.com/office/drawing/2012/chart" uri="{CE6537A1-D6FC-4f65-9D91-7224C49458BB}"/>
                <c:ext xmlns:c16="http://schemas.microsoft.com/office/drawing/2014/chart" uri="{C3380CC4-5D6E-409C-BE32-E72D297353CC}">
                  <c16:uniqueId val="{0000000F-5F86-4465-8A4F-3681347AAD10}"/>
                </c:ext>
              </c:extLst>
            </c:dLbl>
            <c:spPr>
              <a:noFill/>
              <a:ln>
                <a:noFill/>
              </a:ln>
              <a:effectLst/>
            </c:spPr>
            <c:txPr>
              <a:bodyPr rot="0" spcFirstLastPara="1" vertOverflow="ellipsis" vert="horz" wrap="square" anchor="ctr" anchorCtr="1"/>
              <a:lstStyle/>
              <a:p>
                <a:pPr>
                  <a:defRPr lang="en-US" sz="11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Sheet1!$A$2:$A$9</c:f>
              <c:strCache>
                <c:ptCount val="8"/>
                <c:pt idx="0">
                  <c:v>1.A.2.e</c:v>
                </c:pt>
                <c:pt idx="1">
                  <c:v>1.A.2.f.ii</c:v>
                </c:pt>
                <c:pt idx="2">
                  <c:v>1.A.4.a.i</c:v>
                </c:pt>
                <c:pt idx="3">
                  <c:v>1.A.4.b.i</c:v>
                </c:pt>
                <c:pt idx="4">
                  <c:v>1.A.4.c.i</c:v>
                </c:pt>
                <c:pt idx="5">
                  <c:v>2.A.7.b</c:v>
                </c:pt>
                <c:pt idx="6">
                  <c:v>4.B.8</c:v>
                </c:pt>
                <c:pt idx="7">
                  <c:v>4.D.2.a</c:v>
                </c:pt>
              </c:strCache>
            </c:strRef>
          </c:cat>
          <c:val>
            <c:numRef>
              <c:f>Sheet1!$B$2:$B$9</c:f>
              <c:numCache>
                <c:formatCode>General</c:formatCode>
                <c:ptCount val="8"/>
                <c:pt idx="0">
                  <c:v>0.33061608000000037</c:v>
                </c:pt>
                <c:pt idx="1">
                  <c:v>424.07168999999999</c:v>
                </c:pt>
                <c:pt idx="2">
                  <c:v>17925.055130000001</c:v>
                </c:pt>
                <c:pt idx="3">
                  <c:v>873.84839390000002</c:v>
                </c:pt>
                <c:pt idx="4">
                  <c:v>6.2528846499999933</c:v>
                </c:pt>
              </c:numCache>
            </c:numRef>
          </c:val>
          <c:extLst>
            <c:ext xmlns:c16="http://schemas.microsoft.com/office/drawing/2014/chart" uri="{C3380CC4-5D6E-409C-BE32-E72D297353CC}">
              <c16:uniqueId val="{00000016-5F86-4465-8A4F-3681347AAD10}"/>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69065597283610991"/>
          <c:y val="4.573748650304043E-2"/>
          <c:w val="0.27960425021221796"/>
          <c:h val="0.91072305817426391"/>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55744714066875467"/>
          <c:y val="6.0240956247750485E-2"/>
        </c:manualLayout>
      </c:layout>
      <c:overlay val="0"/>
      <c:spPr>
        <a:noFill/>
        <a:ln>
          <a:noFill/>
        </a:ln>
        <a:effectLst/>
      </c:spPr>
      <c:txPr>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endParaRPr lang="en-US"/>
        </a:p>
      </c:txPr>
    </c:title>
    <c:autoTitleDeleted val="0"/>
    <c:plotArea>
      <c:layout>
        <c:manualLayout>
          <c:layoutTarget val="inner"/>
          <c:xMode val="edge"/>
          <c:yMode val="edge"/>
          <c:x val="8.2060318668344887E-2"/>
          <c:y val="7.4155295543951172E-2"/>
          <c:w val="0.5176551629931021"/>
          <c:h val="0.89876875330342765"/>
        </c:manualLayout>
      </c:layout>
      <c:doughnutChart>
        <c:varyColors val="1"/>
        <c:ser>
          <c:idx val="0"/>
          <c:order val="0"/>
          <c:tx>
            <c:strRef>
              <c:f>Sheet1!$B$1</c:f>
              <c:strCache>
                <c:ptCount val="1"/>
                <c:pt idx="0">
                  <c:v>NOx*</c:v>
                </c:pt>
              </c:strCache>
            </c:strRef>
          </c:tx>
          <c:spPr>
            <a:ln>
              <a:noFill/>
            </a:ln>
            <a:effectLst>
              <a:outerShdw blurRad="50800" dist="38100" dir="2700000" algn="tl" rotWithShape="0">
                <a:prstClr val="black">
                  <a:alpha val="40000"/>
                </a:prstClr>
              </a:outerShdw>
            </a:effectLst>
          </c:spPr>
          <c:dPt>
            <c:idx val="0"/>
            <c:bubble3D val="0"/>
            <c:spPr>
              <a:solidFill>
                <a:schemeClr val="accent1"/>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04F2-4163-8FAD-E2195EDABC89}"/>
              </c:ext>
            </c:extLst>
          </c:dPt>
          <c:dPt>
            <c:idx val="1"/>
            <c:bubble3D val="0"/>
            <c:spPr>
              <a:solidFill>
                <a:schemeClr val="accent2"/>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04F2-4163-8FAD-E2195EDABC89}"/>
              </c:ext>
            </c:extLst>
          </c:dPt>
          <c:dPt>
            <c:idx val="2"/>
            <c:bubble3D val="0"/>
            <c:spPr>
              <a:solidFill>
                <a:schemeClr val="accent3"/>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04F2-4163-8FAD-E2195EDABC89}"/>
              </c:ext>
            </c:extLst>
          </c:dPt>
          <c:dPt>
            <c:idx val="3"/>
            <c:bubble3D val="0"/>
            <c:spPr>
              <a:solidFill>
                <a:schemeClr val="accent4"/>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7-04F2-4163-8FAD-E2195EDABC89}"/>
              </c:ext>
            </c:extLst>
          </c:dPt>
          <c:dPt>
            <c:idx val="4"/>
            <c:bubble3D val="0"/>
            <c:spPr>
              <a:solidFill>
                <a:schemeClr val="accent5"/>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9-04F2-4163-8FAD-E2195EDABC89}"/>
              </c:ext>
            </c:extLst>
          </c:dPt>
          <c:dPt>
            <c:idx val="5"/>
            <c:bubble3D val="0"/>
            <c:spPr>
              <a:solidFill>
                <a:schemeClr val="accent6"/>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B-04F2-4163-8FAD-E2195EDABC89}"/>
              </c:ext>
            </c:extLst>
          </c:dPt>
          <c:dPt>
            <c:idx val="6"/>
            <c:bubble3D val="0"/>
            <c:spPr>
              <a:solidFill>
                <a:schemeClr val="accent1">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D-04F2-4163-8FAD-E2195EDABC89}"/>
              </c:ext>
            </c:extLst>
          </c:dPt>
          <c:dPt>
            <c:idx val="7"/>
            <c:bubble3D val="0"/>
            <c:spPr>
              <a:solidFill>
                <a:schemeClr val="accent2">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F-04F2-4163-8FAD-E2195EDABC89}"/>
              </c:ext>
            </c:extLst>
          </c:dPt>
          <c:dLbls>
            <c:dLbl>
              <c:idx val="0"/>
              <c:delete val="1"/>
              <c:extLst>
                <c:ext xmlns:c15="http://schemas.microsoft.com/office/drawing/2012/chart" uri="{CE6537A1-D6FC-4f65-9D91-7224C49458BB}"/>
                <c:ext xmlns:c16="http://schemas.microsoft.com/office/drawing/2014/chart" uri="{C3380CC4-5D6E-409C-BE32-E72D297353CC}">
                  <c16:uniqueId val="{00000001-04F2-4163-8FAD-E2195EDABC89}"/>
                </c:ext>
              </c:extLst>
            </c:dLbl>
            <c:dLbl>
              <c:idx val="1"/>
              <c:layout>
                <c:manualLayout>
                  <c:x val="7.434944237918216E-2"/>
                  <c:y val="8.0192461908580488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04F2-4163-8FAD-E2195EDABC89}"/>
                </c:ext>
              </c:extLst>
            </c:dLbl>
            <c:dLbl>
              <c:idx val="4"/>
              <c:layout>
                <c:manualLayout>
                  <c:x val="-6.4436183395291322E-2"/>
                  <c:y val="8.0192461908580679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04F2-4163-8FAD-E2195EDABC89}"/>
                </c:ext>
              </c:extLst>
            </c:dLbl>
            <c:dLbl>
              <c:idx val="5"/>
              <c:delete val="1"/>
              <c:extLst>
                <c:ext xmlns:c15="http://schemas.microsoft.com/office/drawing/2012/chart" uri="{CE6537A1-D6FC-4f65-9D91-7224C49458BB}"/>
                <c:ext xmlns:c16="http://schemas.microsoft.com/office/drawing/2014/chart" uri="{C3380CC4-5D6E-409C-BE32-E72D297353CC}">
                  <c16:uniqueId val="{0000000B-04F2-4163-8FAD-E2195EDABC89}"/>
                </c:ext>
              </c:extLst>
            </c:dLbl>
            <c:dLbl>
              <c:idx val="6"/>
              <c:delete val="1"/>
              <c:extLst>
                <c:ext xmlns:c15="http://schemas.microsoft.com/office/drawing/2012/chart" uri="{CE6537A1-D6FC-4f65-9D91-7224C49458BB}"/>
                <c:ext xmlns:c16="http://schemas.microsoft.com/office/drawing/2014/chart" uri="{C3380CC4-5D6E-409C-BE32-E72D297353CC}">
                  <c16:uniqueId val="{0000000D-04F2-4163-8FAD-E2195EDABC89}"/>
                </c:ext>
              </c:extLst>
            </c:dLbl>
            <c:dLbl>
              <c:idx val="7"/>
              <c:delete val="1"/>
              <c:extLst>
                <c:ext xmlns:c15="http://schemas.microsoft.com/office/drawing/2012/chart" uri="{CE6537A1-D6FC-4f65-9D91-7224C49458BB}"/>
                <c:ext xmlns:c16="http://schemas.microsoft.com/office/drawing/2014/chart" uri="{C3380CC4-5D6E-409C-BE32-E72D297353CC}">
                  <c16:uniqueId val="{0000000F-04F2-4163-8FAD-E2195EDABC89}"/>
                </c:ext>
              </c:extLst>
            </c:dLbl>
            <c:spPr>
              <a:noFill/>
              <a:ln>
                <a:noFill/>
              </a:ln>
              <a:effectLst/>
            </c:spPr>
            <c:txPr>
              <a:bodyPr rot="0" spcFirstLastPara="1" vertOverflow="ellipsis" vert="horz" wrap="square" anchor="ctr" anchorCtr="1"/>
              <a:lstStyle/>
              <a:p>
                <a:pPr>
                  <a:defRPr lang="en-US" sz="11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Sheet1!$A$2:$A$9</c:f>
              <c:strCache>
                <c:ptCount val="8"/>
                <c:pt idx="0">
                  <c:v>1.A.2.e</c:v>
                </c:pt>
                <c:pt idx="1">
                  <c:v>1.A.2.f.ii</c:v>
                </c:pt>
                <c:pt idx="2">
                  <c:v>1.A.4.a.i</c:v>
                </c:pt>
                <c:pt idx="3">
                  <c:v>1.A.4.b.i</c:v>
                </c:pt>
                <c:pt idx="4">
                  <c:v>1.A.4.c.i</c:v>
                </c:pt>
                <c:pt idx="5">
                  <c:v>2.A.7.b</c:v>
                </c:pt>
                <c:pt idx="6">
                  <c:v>4.B.8</c:v>
                </c:pt>
                <c:pt idx="7">
                  <c:v>4.D.2.a</c:v>
                </c:pt>
              </c:strCache>
            </c:strRef>
          </c:cat>
          <c:val>
            <c:numRef>
              <c:f>Sheet1!$B$2:$B$9</c:f>
              <c:numCache>
                <c:formatCode>General</c:formatCode>
                <c:ptCount val="8"/>
                <c:pt idx="1">
                  <c:v>756544.23199999996</c:v>
                </c:pt>
                <c:pt idx="2">
                  <c:v>15799635.800000004</c:v>
                </c:pt>
                <c:pt idx="3">
                  <c:v>18063935.359999999</c:v>
                </c:pt>
                <c:pt idx="4">
                  <c:v>444819.02980000002</c:v>
                </c:pt>
              </c:numCache>
            </c:numRef>
          </c:val>
          <c:extLst>
            <c:ext xmlns:c16="http://schemas.microsoft.com/office/drawing/2014/chart" uri="{C3380CC4-5D6E-409C-BE32-E72D297353CC}">
              <c16:uniqueId val="{00000016-04F2-4163-8FAD-E2195EDABC89}"/>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69065597283610991"/>
          <c:y val="7.7814471266472687E-2"/>
          <c:w val="0.27960425021221796"/>
          <c:h val="0.87864607341083256"/>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r>
              <a:rPr lang="en-US"/>
              <a:t>SO</a:t>
            </a:r>
            <a:r>
              <a:rPr lang="en-US" sz="1000"/>
              <a:t>2</a:t>
            </a:r>
          </a:p>
        </c:rich>
      </c:tx>
      <c:layout>
        <c:manualLayout>
          <c:xMode val="edge"/>
          <c:yMode val="edge"/>
          <c:x val="0.71110265491906455"/>
          <c:y val="6.0240963855421749E-2"/>
        </c:manualLayout>
      </c:layout>
      <c:overlay val="0"/>
      <c:spPr>
        <a:noFill/>
        <a:ln>
          <a:noFill/>
        </a:ln>
        <a:effectLst/>
      </c:spPr>
    </c:title>
    <c:autoTitleDeleted val="0"/>
    <c:plotArea>
      <c:layout>
        <c:manualLayout>
          <c:layoutTarget val="inner"/>
          <c:xMode val="edge"/>
          <c:yMode val="edge"/>
          <c:x val="8.2060318668344887E-2"/>
          <c:y val="7.4155295543951172E-2"/>
          <c:w val="0.5176551629931021"/>
          <c:h val="0.89876875330342765"/>
        </c:manualLayout>
      </c:layout>
      <c:doughnutChart>
        <c:varyColors val="1"/>
        <c:ser>
          <c:idx val="0"/>
          <c:order val="0"/>
          <c:tx>
            <c:strRef>
              <c:f>Sheet1!$B$1</c:f>
              <c:strCache>
                <c:ptCount val="1"/>
                <c:pt idx="0">
                  <c:v>SO2</c:v>
                </c:pt>
              </c:strCache>
            </c:strRef>
          </c:tx>
          <c:spPr>
            <a:ln>
              <a:noFill/>
            </a:ln>
            <a:effectLst>
              <a:outerShdw blurRad="50800" dist="38100" dir="2700000" algn="tl" rotWithShape="0">
                <a:prstClr val="black">
                  <a:alpha val="40000"/>
                </a:prstClr>
              </a:outerShdw>
            </a:effectLst>
          </c:spPr>
          <c:dPt>
            <c:idx val="0"/>
            <c:bubble3D val="0"/>
            <c:spPr>
              <a:solidFill>
                <a:schemeClr val="accent1"/>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4D45-4D05-95CB-8E49B041E0C0}"/>
              </c:ext>
            </c:extLst>
          </c:dPt>
          <c:dPt>
            <c:idx val="1"/>
            <c:bubble3D val="0"/>
            <c:spPr>
              <a:solidFill>
                <a:schemeClr val="accent2"/>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4D45-4D05-95CB-8E49B041E0C0}"/>
              </c:ext>
            </c:extLst>
          </c:dPt>
          <c:dPt>
            <c:idx val="2"/>
            <c:bubble3D val="0"/>
            <c:spPr>
              <a:solidFill>
                <a:schemeClr val="accent3"/>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4D45-4D05-95CB-8E49B041E0C0}"/>
              </c:ext>
            </c:extLst>
          </c:dPt>
          <c:dLbls>
            <c:dLbl>
              <c:idx val="1"/>
              <c:delete val="1"/>
              <c:extLst>
                <c:ext xmlns:c15="http://schemas.microsoft.com/office/drawing/2012/chart" uri="{CE6537A1-D6FC-4f65-9D91-7224C49458BB}"/>
                <c:ext xmlns:c16="http://schemas.microsoft.com/office/drawing/2014/chart" uri="{C3380CC4-5D6E-409C-BE32-E72D297353CC}">
                  <c16:uniqueId val="{00000003-4D45-4D05-95CB-8E49B041E0C0}"/>
                </c:ext>
              </c:extLst>
            </c:dLbl>
            <c:spPr>
              <a:noFill/>
              <a:ln>
                <a:noFill/>
              </a:ln>
              <a:effectLst/>
            </c:spPr>
            <c:txPr>
              <a:bodyPr rot="0" spcFirstLastPara="1" vertOverflow="ellipsis" vert="horz" wrap="square" anchor="ctr" anchorCtr="1"/>
              <a:lstStyle/>
              <a:p>
                <a:pPr>
                  <a:defRPr lang="en-US" sz="11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Surse staționare</c:v>
                </c:pt>
                <c:pt idx="1">
                  <c:v>Surse mobile</c:v>
                </c:pt>
                <c:pt idx="2">
                  <c:v>Surse de suprafață</c:v>
                </c:pt>
              </c:strCache>
            </c:strRef>
          </c:cat>
          <c:val>
            <c:numRef>
              <c:f>Sheet1!$B$2:$B$4</c:f>
              <c:numCache>
                <c:formatCode>General</c:formatCode>
                <c:ptCount val="3"/>
                <c:pt idx="0">
                  <c:v>2.8151519999999981</c:v>
                </c:pt>
                <c:pt idx="1">
                  <c:v>0</c:v>
                </c:pt>
                <c:pt idx="2">
                  <c:v>0.59242199999999956</c:v>
                </c:pt>
              </c:numCache>
            </c:numRef>
          </c:val>
          <c:extLst>
            <c:ext xmlns:c16="http://schemas.microsoft.com/office/drawing/2014/chart" uri="{C3380CC4-5D6E-409C-BE32-E72D297353CC}">
              <c16:uniqueId val="{00000006-4D45-4D05-95CB-8E49B041E0C0}"/>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69065597283610991"/>
          <c:y val="0.26225690162223697"/>
          <c:w val="0.27960425021221796"/>
          <c:h val="0.69420358599753296"/>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59710017660431869"/>
          <c:y val="6.0240956247750485E-2"/>
        </c:manualLayout>
      </c:layout>
      <c:overlay val="0"/>
      <c:spPr>
        <a:noFill/>
        <a:ln>
          <a:noFill/>
        </a:ln>
        <a:effectLst/>
      </c:spPr>
      <c:txPr>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endParaRPr lang="en-US"/>
        </a:p>
      </c:txPr>
    </c:title>
    <c:autoTitleDeleted val="0"/>
    <c:plotArea>
      <c:layout>
        <c:manualLayout>
          <c:layoutTarget val="inner"/>
          <c:xMode val="edge"/>
          <c:yMode val="edge"/>
          <c:x val="8.2060318668344887E-2"/>
          <c:y val="7.4155295543951172E-2"/>
          <c:w val="0.5176551629931021"/>
          <c:h val="0.89876875330342765"/>
        </c:manualLayout>
      </c:layout>
      <c:doughnutChart>
        <c:varyColors val="1"/>
        <c:ser>
          <c:idx val="0"/>
          <c:order val="0"/>
          <c:tx>
            <c:strRef>
              <c:f>Sheet1!$B$1</c:f>
              <c:strCache>
                <c:ptCount val="1"/>
                <c:pt idx="0">
                  <c:v>Pb</c:v>
                </c:pt>
              </c:strCache>
            </c:strRef>
          </c:tx>
          <c:spPr>
            <a:ln>
              <a:noFill/>
            </a:ln>
            <a:effectLst>
              <a:outerShdw blurRad="50800" dist="38100" dir="2700000" algn="tl" rotWithShape="0">
                <a:prstClr val="black">
                  <a:alpha val="40000"/>
                </a:prstClr>
              </a:outerShdw>
            </a:effectLst>
          </c:spPr>
          <c:dPt>
            <c:idx val="0"/>
            <c:bubble3D val="0"/>
            <c:spPr>
              <a:solidFill>
                <a:schemeClr val="accent1"/>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234F-4D1E-A1D0-88E690B905F4}"/>
              </c:ext>
            </c:extLst>
          </c:dPt>
          <c:dPt>
            <c:idx val="1"/>
            <c:bubble3D val="0"/>
            <c:spPr>
              <a:solidFill>
                <a:schemeClr val="accent2"/>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234F-4D1E-A1D0-88E690B905F4}"/>
              </c:ext>
            </c:extLst>
          </c:dPt>
          <c:dPt>
            <c:idx val="2"/>
            <c:bubble3D val="0"/>
            <c:spPr>
              <a:solidFill>
                <a:schemeClr val="accent3"/>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234F-4D1E-A1D0-88E690B905F4}"/>
              </c:ext>
            </c:extLst>
          </c:dPt>
          <c:dPt>
            <c:idx val="3"/>
            <c:bubble3D val="0"/>
            <c:spPr>
              <a:solidFill>
                <a:schemeClr val="accent4"/>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7-234F-4D1E-A1D0-88E690B905F4}"/>
              </c:ext>
            </c:extLst>
          </c:dPt>
          <c:dPt>
            <c:idx val="4"/>
            <c:bubble3D val="0"/>
            <c:spPr>
              <a:solidFill>
                <a:schemeClr val="accent5"/>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9-234F-4D1E-A1D0-88E690B905F4}"/>
              </c:ext>
            </c:extLst>
          </c:dPt>
          <c:dPt>
            <c:idx val="5"/>
            <c:bubble3D val="0"/>
            <c:spPr>
              <a:solidFill>
                <a:schemeClr val="accent6"/>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B-234F-4D1E-A1D0-88E690B905F4}"/>
              </c:ext>
            </c:extLst>
          </c:dPt>
          <c:dPt>
            <c:idx val="6"/>
            <c:bubble3D val="0"/>
            <c:spPr>
              <a:solidFill>
                <a:schemeClr val="accent1">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D-234F-4D1E-A1D0-88E690B905F4}"/>
              </c:ext>
            </c:extLst>
          </c:dPt>
          <c:dPt>
            <c:idx val="7"/>
            <c:bubble3D val="0"/>
            <c:spPr>
              <a:solidFill>
                <a:schemeClr val="accent2">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F-234F-4D1E-A1D0-88E690B905F4}"/>
              </c:ext>
            </c:extLst>
          </c:dPt>
          <c:dLbls>
            <c:dLbl>
              <c:idx val="0"/>
              <c:delete val="1"/>
              <c:extLst>
                <c:ext xmlns:c15="http://schemas.microsoft.com/office/drawing/2012/chart" uri="{CE6537A1-D6FC-4f65-9D91-7224C49458BB}"/>
                <c:ext xmlns:c16="http://schemas.microsoft.com/office/drawing/2014/chart" uri="{C3380CC4-5D6E-409C-BE32-E72D297353CC}">
                  <c16:uniqueId val="{00000001-234F-4D1E-A1D0-88E690B905F4}"/>
                </c:ext>
              </c:extLst>
            </c:dLbl>
            <c:dLbl>
              <c:idx val="1"/>
              <c:delete val="1"/>
              <c:extLst>
                <c:ext xmlns:c15="http://schemas.microsoft.com/office/drawing/2012/chart" uri="{CE6537A1-D6FC-4f65-9D91-7224C49458BB}"/>
                <c:ext xmlns:c16="http://schemas.microsoft.com/office/drawing/2014/chart" uri="{C3380CC4-5D6E-409C-BE32-E72D297353CC}">
                  <c16:uniqueId val="{00000003-234F-4D1E-A1D0-88E690B905F4}"/>
                </c:ext>
              </c:extLst>
            </c:dLbl>
            <c:dLbl>
              <c:idx val="4"/>
              <c:delete val="1"/>
              <c:extLst>
                <c:ext xmlns:c15="http://schemas.microsoft.com/office/drawing/2012/chart" uri="{CE6537A1-D6FC-4f65-9D91-7224C49458BB}"/>
                <c:ext xmlns:c16="http://schemas.microsoft.com/office/drawing/2014/chart" uri="{C3380CC4-5D6E-409C-BE32-E72D297353CC}">
                  <c16:uniqueId val="{00000009-234F-4D1E-A1D0-88E690B905F4}"/>
                </c:ext>
              </c:extLst>
            </c:dLbl>
            <c:dLbl>
              <c:idx val="5"/>
              <c:delete val="1"/>
              <c:extLst>
                <c:ext xmlns:c15="http://schemas.microsoft.com/office/drawing/2012/chart" uri="{CE6537A1-D6FC-4f65-9D91-7224C49458BB}"/>
                <c:ext xmlns:c16="http://schemas.microsoft.com/office/drawing/2014/chart" uri="{C3380CC4-5D6E-409C-BE32-E72D297353CC}">
                  <c16:uniqueId val="{0000000B-234F-4D1E-A1D0-88E690B905F4}"/>
                </c:ext>
              </c:extLst>
            </c:dLbl>
            <c:dLbl>
              <c:idx val="6"/>
              <c:delete val="1"/>
              <c:extLst>
                <c:ext xmlns:c15="http://schemas.microsoft.com/office/drawing/2012/chart" uri="{CE6537A1-D6FC-4f65-9D91-7224C49458BB}"/>
                <c:ext xmlns:c16="http://schemas.microsoft.com/office/drawing/2014/chart" uri="{C3380CC4-5D6E-409C-BE32-E72D297353CC}">
                  <c16:uniqueId val="{0000000D-234F-4D1E-A1D0-88E690B905F4}"/>
                </c:ext>
              </c:extLst>
            </c:dLbl>
            <c:dLbl>
              <c:idx val="7"/>
              <c:delete val="1"/>
              <c:extLst>
                <c:ext xmlns:c15="http://schemas.microsoft.com/office/drawing/2012/chart" uri="{CE6537A1-D6FC-4f65-9D91-7224C49458BB}"/>
                <c:ext xmlns:c16="http://schemas.microsoft.com/office/drawing/2014/chart" uri="{C3380CC4-5D6E-409C-BE32-E72D297353CC}">
                  <c16:uniqueId val="{0000000F-234F-4D1E-A1D0-88E690B905F4}"/>
                </c:ext>
              </c:extLst>
            </c:dLbl>
            <c:spPr>
              <a:noFill/>
              <a:ln>
                <a:noFill/>
              </a:ln>
              <a:effectLst/>
            </c:spPr>
            <c:txPr>
              <a:bodyPr rot="0" spcFirstLastPara="1" vertOverflow="ellipsis" vert="horz" wrap="square" anchor="ctr" anchorCtr="1"/>
              <a:lstStyle/>
              <a:p>
                <a:pPr>
                  <a:defRPr lang="en-US" sz="11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Sheet1!$A$2:$A$9</c:f>
              <c:strCache>
                <c:ptCount val="8"/>
                <c:pt idx="0">
                  <c:v>1.A.2.e</c:v>
                </c:pt>
                <c:pt idx="1">
                  <c:v>1.A.2.f.ii</c:v>
                </c:pt>
                <c:pt idx="2">
                  <c:v>1.A.4.a.i</c:v>
                </c:pt>
                <c:pt idx="3">
                  <c:v>1.A.4.b.i</c:v>
                </c:pt>
                <c:pt idx="4">
                  <c:v>1.A.4.c.i</c:v>
                </c:pt>
                <c:pt idx="5">
                  <c:v>2.A.7.b</c:v>
                </c:pt>
                <c:pt idx="6">
                  <c:v>4.B.8</c:v>
                </c:pt>
                <c:pt idx="7">
                  <c:v>4.D.2.a</c:v>
                </c:pt>
              </c:strCache>
            </c:strRef>
          </c:cat>
          <c:val>
            <c:numRef>
              <c:f>Sheet1!$B$2:$B$9</c:f>
              <c:numCache>
                <c:formatCode>General</c:formatCode>
                <c:ptCount val="8"/>
                <c:pt idx="0">
                  <c:v>0.32927212000000022</c:v>
                </c:pt>
                <c:pt idx="2">
                  <c:v>1226.2343459999991</c:v>
                </c:pt>
                <c:pt idx="3">
                  <c:v>9626.3015939999914</c:v>
                </c:pt>
                <c:pt idx="4">
                  <c:v>6.2274664199999963</c:v>
                </c:pt>
              </c:numCache>
            </c:numRef>
          </c:val>
          <c:extLst>
            <c:ext xmlns:c16="http://schemas.microsoft.com/office/drawing/2014/chart" uri="{C3380CC4-5D6E-409C-BE32-E72D297353CC}">
              <c16:uniqueId val="{00000016-234F-4D1E-A1D0-88E690B905F4}"/>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69065597283610991"/>
          <c:y val="8.5833717457330594E-2"/>
          <c:w val="0.27960425021221796"/>
          <c:h val="0.87062682721997431"/>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r>
              <a:rPr lang="en-US"/>
              <a:t>PM</a:t>
            </a:r>
            <a:r>
              <a:rPr lang="en-US" sz="1000"/>
              <a:t>10</a:t>
            </a:r>
          </a:p>
        </c:rich>
      </c:tx>
      <c:layout>
        <c:manualLayout>
          <c:xMode val="edge"/>
          <c:yMode val="edge"/>
          <c:x val="0.52275073422513663"/>
          <c:y val="6.0240956247750485E-2"/>
        </c:manualLayout>
      </c:layout>
      <c:overlay val="0"/>
      <c:spPr>
        <a:noFill/>
        <a:ln>
          <a:noFill/>
        </a:ln>
        <a:effectLst/>
      </c:spPr>
    </c:title>
    <c:autoTitleDeleted val="0"/>
    <c:plotArea>
      <c:layout>
        <c:manualLayout>
          <c:layoutTarget val="inner"/>
          <c:xMode val="edge"/>
          <c:yMode val="edge"/>
          <c:x val="8.2060318668344887E-2"/>
          <c:y val="7.4155295543951172E-2"/>
          <c:w val="0.5176551629931021"/>
          <c:h val="0.89876875330342765"/>
        </c:manualLayout>
      </c:layout>
      <c:doughnutChart>
        <c:varyColors val="1"/>
        <c:ser>
          <c:idx val="0"/>
          <c:order val="0"/>
          <c:tx>
            <c:strRef>
              <c:f>Sheet1!$B$1</c:f>
              <c:strCache>
                <c:ptCount val="1"/>
                <c:pt idx="0">
                  <c:v>PM10</c:v>
                </c:pt>
              </c:strCache>
            </c:strRef>
          </c:tx>
          <c:spPr>
            <a:ln>
              <a:noFill/>
            </a:ln>
            <a:effectLst>
              <a:outerShdw blurRad="50800" dist="38100" dir="2700000" algn="tl" rotWithShape="0">
                <a:prstClr val="black">
                  <a:alpha val="40000"/>
                </a:prstClr>
              </a:outerShdw>
            </a:effectLst>
          </c:spPr>
          <c:dPt>
            <c:idx val="0"/>
            <c:bubble3D val="0"/>
            <c:spPr>
              <a:solidFill>
                <a:schemeClr val="accent1"/>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2618-46EC-828F-1653CB996A71}"/>
              </c:ext>
            </c:extLst>
          </c:dPt>
          <c:dPt>
            <c:idx val="1"/>
            <c:bubble3D val="0"/>
            <c:spPr>
              <a:solidFill>
                <a:schemeClr val="accent2"/>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2618-46EC-828F-1653CB996A71}"/>
              </c:ext>
            </c:extLst>
          </c:dPt>
          <c:dPt>
            <c:idx val="2"/>
            <c:bubble3D val="0"/>
            <c:spPr>
              <a:solidFill>
                <a:schemeClr val="accent3"/>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2618-46EC-828F-1653CB996A71}"/>
              </c:ext>
            </c:extLst>
          </c:dPt>
          <c:dPt>
            <c:idx val="3"/>
            <c:bubble3D val="0"/>
            <c:spPr>
              <a:solidFill>
                <a:schemeClr val="accent4"/>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7-2618-46EC-828F-1653CB996A71}"/>
              </c:ext>
            </c:extLst>
          </c:dPt>
          <c:dPt>
            <c:idx val="4"/>
            <c:bubble3D val="0"/>
            <c:spPr>
              <a:solidFill>
                <a:schemeClr val="accent5"/>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9-2618-46EC-828F-1653CB996A71}"/>
              </c:ext>
            </c:extLst>
          </c:dPt>
          <c:dPt>
            <c:idx val="5"/>
            <c:bubble3D val="0"/>
            <c:spPr>
              <a:solidFill>
                <a:schemeClr val="accent6"/>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B-2618-46EC-828F-1653CB996A71}"/>
              </c:ext>
            </c:extLst>
          </c:dPt>
          <c:dPt>
            <c:idx val="6"/>
            <c:bubble3D val="0"/>
            <c:spPr>
              <a:solidFill>
                <a:schemeClr val="accent1">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D-2618-46EC-828F-1653CB996A71}"/>
              </c:ext>
            </c:extLst>
          </c:dPt>
          <c:dPt>
            <c:idx val="7"/>
            <c:bubble3D val="0"/>
            <c:spPr>
              <a:solidFill>
                <a:schemeClr val="accent2">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F-2618-46EC-828F-1653CB996A71}"/>
              </c:ext>
            </c:extLst>
          </c:dPt>
          <c:dLbls>
            <c:dLbl>
              <c:idx val="0"/>
              <c:delete val="1"/>
              <c:extLst>
                <c:ext xmlns:c15="http://schemas.microsoft.com/office/drawing/2012/chart" uri="{CE6537A1-D6FC-4f65-9D91-7224C49458BB}"/>
                <c:ext xmlns:c16="http://schemas.microsoft.com/office/drawing/2014/chart" uri="{C3380CC4-5D6E-409C-BE32-E72D297353CC}">
                  <c16:uniqueId val="{00000001-2618-46EC-828F-1653CB996A71}"/>
                </c:ext>
              </c:extLst>
            </c:dLbl>
            <c:dLbl>
              <c:idx val="1"/>
              <c:layout>
                <c:manualLayout>
                  <c:x val="-4.543524547100084E-17"/>
                  <c:y val="-3.2076984763432244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618-46EC-828F-1653CB996A71}"/>
                </c:ext>
              </c:extLst>
            </c:dLbl>
            <c:dLbl>
              <c:idx val="2"/>
              <c:layout>
                <c:manualLayout>
                  <c:x val="4.9566294919454898E-2"/>
                  <c:y val="3.2076984763432202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2618-46EC-828F-1653CB996A71}"/>
                </c:ext>
              </c:extLst>
            </c:dLbl>
            <c:dLbl>
              <c:idx val="4"/>
              <c:delete val="1"/>
              <c:extLst>
                <c:ext xmlns:c15="http://schemas.microsoft.com/office/drawing/2012/chart" uri="{CE6537A1-D6FC-4f65-9D91-7224C49458BB}"/>
                <c:ext xmlns:c16="http://schemas.microsoft.com/office/drawing/2014/chart" uri="{C3380CC4-5D6E-409C-BE32-E72D297353CC}">
                  <c16:uniqueId val="{00000009-2618-46EC-828F-1653CB996A71}"/>
                </c:ext>
              </c:extLst>
            </c:dLbl>
            <c:dLbl>
              <c:idx val="5"/>
              <c:delete val="1"/>
              <c:extLst>
                <c:ext xmlns:c15="http://schemas.microsoft.com/office/drawing/2012/chart" uri="{CE6537A1-D6FC-4f65-9D91-7224C49458BB}"/>
                <c:ext xmlns:c16="http://schemas.microsoft.com/office/drawing/2014/chart" uri="{C3380CC4-5D6E-409C-BE32-E72D297353CC}">
                  <c16:uniqueId val="{0000000B-2618-46EC-828F-1653CB996A71}"/>
                </c:ext>
              </c:extLst>
            </c:dLbl>
            <c:dLbl>
              <c:idx val="7"/>
              <c:delete val="1"/>
              <c:extLst>
                <c:ext xmlns:c15="http://schemas.microsoft.com/office/drawing/2012/chart" uri="{CE6537A1-D6FC-4f65-9D91-7224C49458BB}"/>
                <c:ext xmlns:c16="http://schemas.microsoft.com/office/drawing/2014/chart" uri="{C3380CC4-5D6E-409C-BE32-E72D297353CC}">
                  <c16:uniqueId val="{0000000F-2618-46EC-828F-1653CB996A71}"/>
                </c:ext>
              </c:extLst>
            </c:dLbl>
            <c:dLbl>
              <c:idx val="10"/>
              <c:layout>
                <c:manualLayout>
                  <c:x val="-8.9219330855018625E-2"/>
                  <c:y val="8.0192461908580679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5-2618-46EC-828F-1653CB996A71}"/>
                </c:ext>
              </c:extLst>
            </c:dLbl>
            <c:numFmt formatCode="General" sourceLinked="0"/>
            <c:spPr>
              <a:noFill/>
              <a:ln>
                <a:noFill/>
              </a:ln>
              <a:effectLst/>
            </c:spPr>
            <c:txPr>
              <a:bodyPr rot="0" spcFirstLastPara="1" vertOverflow="ellipsis" vert="horz" wrap="square" anchor="ctr" anchorCtr="1"/>
              <a:lstStyle/>
              <a:p>
                <a:pPr>
                  <a:defRPr lang="en-US" sz="1100" b="0" i="0" u="none" strike="noStrike" kern="1200" baseline="0">
                    <a:solidFill>
                      <a:sysClr val="windowText" lastClr="000000"/>
                    </a:solidFill>
                    <a:latin typeface="Cambria" panose="02040503050406030204" pitchFamily="18" charset="0"/>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Sheet1!$A$2:$A$9</c:f>
              <c:strCache>
                <c:ptCount val="8"/>
                <c:pt idx="0">
                  <c:v>1.A.2.e</c:v>
                </c:pt>
                <c:pt idx="1">
                  <c:v>1.A.2.f.ii</c:v>
                </c:pt>
                <c:pt idx="2">
                  <c:v>1.A.4.a.i</c:v>
                </c:pt>
                <c:pt idx="3">
                  <c:v>1.A.4.b.i</c:v>
                </c:pt>
                <c:pt idx="4">
                  <c:v>1.A.4.c.i</c:v>
                </c:pt>
                <c:pt idx="5">
                  <c:v>2.A.7.b</c:v>
                </c:pt>
                <c:pt idx="6">
                  <c:v>4.B.8</c:v>
                </c:pt>
                <c:pt idx="7">
                  <c:v>4.D.2.a</c:v>
                </c:pt>
              </c:strCache>
            </c:strRef>
          </c:cat>
          <c:val>
            <c:numRef>
              <c:f>Sheet1!$B$2:$B$9</c:f>
              <c:numCache>
                <c:formatCode>General</c:formatCode>
                <c:ptCount val="8"/>
                <c:pt idx="0">
                  <c:v>167.99597800000001</c:v>
                </c:pt>
                <c:pt idx="1">
                  <c:v>12637336.359999999</c:v>
                </c:pt>
                <c:pt idx="2">
                  <c:v>1597051.6170000001</c:v>
                </c:pt>
                <c:pt idx="3">
                  <c:v>179227384.90000001</c:v>
                </c:pt>
                <c:pt idx="4">
                  <c:v>3177.2787839999987</c:v>
                </c:pt>
                <c:pt idx="5">
                  <c:v>261139.20000000001</c:v>
                </c:pt>
                <c:pt idx="6">
                  <c:v>72759260</c:v>
                </c:pt>
                <c:pt idx="7">
                  <c:v>201240</c:v>
                </c:pt>
              </c:numCache>
            </c:numRef>
          </c:val>
          <c:extLst>
            <c:ext xmlns:c16="http://schemas.microsoft.com/office/drawing/2014/chart" uri="{C3380CC4-5D6E-409C-BE32-E72D297353CC}">
              <c16:uniqueId val="{00000016-2618-46EC-828F-1653CB996A71}"/>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69065597283610991"/>
          <c:y val="7.7814471266472687E-2"/>
          <c:w val="0.27960425021221796"/>
          <c:h val="0.87864607341083256"/>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r>
              <a:rPr lang="en-US"/>
              <a:t>PM</a:t>
            </a:r>
            <a:r>
              <a:rPr lang="en-US" sz="1000"/>
              <a:t>2,5</a:t>
            </a:r>
          </a:p>
        </c:rich>
      </c:tx>
      <c:layout>
        <c:manualLayout>
          <c:xMode val="edge"/>
          <c:yMode val="edge"/>
          <c:x val="0.5128374752412449"/>
          <c:y val="6.0240956247750485E-2"/>
        </c:manualLayout>
      </c:layout>
      <c:overlay val="0"/>
      <c:spPr>
        <a:noFill/>
        <a:ln>
          <a:noFill/>
        </a:ln>
        <a:effectLst/>
      </c:spPr>
    </c:title>
    <c:autoTitleDeleted val="0"/>
    <c:plotArea>
      <c:layout>
        <c:manualLayout>
          <c:layoutTarget val="inner"/>
          <c:xMode val="edge"/>
          <c:yMode val="edge"/>
          <c:x val="8.2060318668344887E-2"/>
          <c:y val="7.4155295543951172E-2"/>
          <c:w val="0.5176551629931021"/>
          <c:h val="0.89876875330342765"/>
        </c:manualLayout>
      </c:layout>
      <c:doughnutChart>
        <c:varyColors val="1"/>
        <c:ser>
          <c:idx val="0"/>
          <c:order val="0"/>
          <c:tx>
            <c:strRef>
              <c:f>Sheet1!$B$1</c:f>
              <c:strCache>
                <c:ptCount val="1"/>
                <c:pt idx="0">
                  <c:v>PM2,5</c:v>
                </c:pt>
              </c:strCache>
            </c:strRef>
          </c:tx>
          <c:spPr>
            <a:ln>
              <a:noFill/>
            </a:ln>
            <a:effectLst>
              <a:outerShdw blurRad="50800" dist="38100" dir="2700000" algn="tl" rotWithShape="0">
                <a:prstClr val="black">
                  <a:alpha val="40000"/>
                </a:prstClr>
              </a:outerShdw>
            </a:effectLst>
          </c:spPr>
          <c:dPt>
            <c:idx val="0"/>
            <c:bubble3D val="0"/>
            <c:spPr>
              <a:solidFill>
                <a:schemeClr val="accent1"/>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C439-4753-A797-D18C847B5F32}"/>
              </c:ext>
            </c:extLst>
          </c:dPt>
          <c:dPt>
            <c:idx val="1"/>
            <c:bubble3D val="0"/>
            <c:spPr>
              <a:solidFill>
                <a:schemeClr val="accent2"/>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C439-4753-A797-D18C847B5F32}"/>
              </c:ext>
            </c:extLst>
          </c:dPt>
          <c:dPt>
            <c:idx val="2"/>
            <c:bubble3D val="0"/>
            <c:spPr>
              <a:solidFill>
                <a:schemeClr val="accent3"/>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C439-4753-A797-D18C847B5F32}"/>
              </c:ext>
            </c:extLst>
          </c:dPt>
          <c:dPt>
            <c:idx val="3"/>
            <c:bubble3D val="0"/>
            <c:spPr>
              <a:solidFill>
                <a:schemeClr val="accent4"/>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7-C439-4753-A797-D18C847B5F32}"/>
              </c:ext>
            </c:extLst>
          </c:dPt>
          <c:dPt>
            <c:idx val="4"/>
            <c:bubble3D val="0"/>
            <c:spPr>
              <a:solidFill>
                <a:schemeClr val="accent5"/>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9-C439-4753-A797-D18C847B5F32}"/>
              </c:ext>
            </c:extLst>
          </c:dPt>
          <c:dPt>
            <c:idx val="5"/>
            <c:bubble3D val="0"/>
            <c:spPr>
              <a:solidFill>
                <a:schemeClr val="accent6"/>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B-C439-4753-A797-D18C847B5F32}"/>
              </c:ext>
            </c:extLst>
          </c:dPt>
          <c:dPt>
            <c:idx val="6"/>
            <c:bubble3D val="0"/>
            <c:spPr>
              <a:solidFill>
                <a:schemeClr val="accent1">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D-C439-4753-A797-D18C847B5F32}"/>
              </c:ext>
            </c:extLst>
          </c:dPt>
          <c:dPt>
            <c:idx val="7"/>
            <c:bubble3D val="0"/>
            <c:spPr>
              <a:solidFill>
                <a:schemeClr val="accent2">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F-C439-4753-A797-D18C847B5F32}"/>
              </c:ext>
            </c:extLst>
          </c:dPt>
          <c:dLbls>
            <c:dLbl>
              <c:idx val="0"/>
              <c:delete val="1"/>
              <c:extLst>
                <c:ext xmlns:c15="http://schemas.microsoft.com/office/drawing/2012/chart" uri="{CE6537A1-D6FC-4f65-9D91-7224C49458BB}"/>
                <c:ext xmlns:c16="http://schemas.microsoft.com/office/drawing/2014/chart" uri="{C3380CC4-5D6E-409C-BE32-E72D297353CC}">
                  <c16:uniqueId val="{00000001-C439-4753-A797-D18C847B5F32}"/>
                </c:ext>
              </c:extLst>
            </c:dLbl>
            <c:dLbl>
              <c:idx val="2"/>
              <c:layout>
                <c:manualLayout>
                  <c:x val="6.4436183395291252E-2"/>
                  <c:y val="8.0192461908580228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C439-4753-A797-D18C847B5F32}"/>
                </c:ext>
              </c:extLst>
            </c:dLbl>
            <c:dLbl>
              <c:idx val="4"/>
              <c:delete val="1"/>
              <c:extLst>
                <c:ext xmlns:c15="http://schemas.microsoft.com/office/drawing/2012/chart" uri="{CE6537A1-D6FC-4f65-9D91-7224C49458BB}"/>
                <c:ext xmlns:c16="http://schemas.microsoft.com/office/drawing/2014/chart" uri="{C3380CC4-5D6E-409C-BE32-E72D297353CC}">
                  <c16:uniqueId val="{00000009-C439-4753-A797-D18C847B5F32}"/>
                </c:ext>
              </c:extLst>
            </c:dLbl>
            <c:dLbl>
              <c:idx val="5"/>
              <c:delete val="1"/>
              <c:extLst>
                <c:ext xmlns:c15="http://schemas.microsoft.com/office/drawing/2012/chart" uri="{CE6537A1-D6FC-4f65-9D91-7224C49458BB}"/>
                <c:ext xmlns:c16="http://schemas.microsoft.com/office/drawing/2014/chart" uri="{C3380CC4-5D6E-409C-BE32-E72D297353CC}">
                  <c16:uniqueId val="{0000000B-C439-4753-A797-D18C847B5F32}"/>
                </c:ext>
              </c:extLst>
            </c:dLbl>
            <c:dLbl>
              <c:idx val="6"/>
              <c:layout>
                <c:manualLayout>
                  <c:x val="-9.9132589838909491E-3"/>
                  <c:y val="-3.2076984763432244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C439-4753-A797-D18C847B5F32}"/>
                </c:ext>
              </c:extLst>
            </c:dLbl>
            <c:dLbl>
              <c:idx val="7"/>
              <c:delete val="1"/>
              <c:extLst>
                <c:ext xmlns:c15="http://schemas.microsoft.com/office/drawing/2012/chart" uri="{CE6537A1-D6FC-4f65-9D91-7224C49458BB}"/>
                <c:ext xmlns:c16="http://schemas.microsoft.com/office/drawing/2014/chart" uri="{C3380CC4-5D6E-409C-BE32-E72D297353CC}">
                  <c16:uniqueId val="{0000000F-C439-4753-A797-D18C847B5F32}"/>
                </c:ext>
              </c:extLst>
            </c:dLbl>
            <c:dLbl>
              <c:idx val="10"/>
              <c:layout>
                <c:manualLayout>
                  <c:x val="-2.973977695167292E-2"/>
                  <c:y val="-3.2076984763432272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5-C439-4753-A797-D18C847B5F32}"/>
                </c:ext>
              </c:extLst>
            </c:dLbl>
            <c:spPr>
              <a:noFill/>
              <a:ln>
                <a:noFill/>
              </a:ln>
              <a:effectLst/>
            </c:spPr>
            <c:txPr>
              <a:bodyPr rot="0" spcFirstLastPara="1" vertOverflow="ellipsis" vert="horz" wrap="square" anchor="ctr" anchorCtr="1"/>
              <a:lstStyle/>
              <a:p>
                <a:pPr>
                  <a:defRPr lang="en-US" sz="11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Sheet1!$A$2:$A$9</c:f>
              <c:strCache>
                <c:ptCount val="8"/>
                <c:pt idx="0">
                  <c:v>1.A.2.e</c:v>
                </c:pt>
                <c:pt idx="1">
                  <c:v>1.A.2.f.ii</c:v>
                </c:pt>
                <c:pt idx="2">
                  <c:v>1.A.4.a.i</c:v>
                </c:pt>
                <c:pt idx="3">
                  <c:v>1.A.4.b.i</c:v>
                </c:pt>
                <c:pt idx="4">
                  <c:v>1.A.4.c.i</c:v>
                </c:pt>
                <c:pt idx="5">
                  <c:v>2.A.7.b</c:v>
                </c:pt>
                <c:pt idx="6">
                  <c:v>4.B.8</c:v>
                </c:pt>
                <c:pt idx="7">
                  <c:v>4.D.2.a</c:v>
                </c:pt>
              </c:strCache>
            </c:strRef>
          </c:cat>
          <c:val>
            <c:numRef>
              <c:f>Sheet1!$B$2:$B$9</c:f>
              <c:numCache>
                <c:formatCode>General</c:formatCode>
                <c:ptCount val="8"/>
                <c:pt idx="0">
                  <c:v>167.99597800000001</c:v>
                </c:pt>
                <c:pt idx="1">
                  <c:v>12637336.359999999</c:v>
                </c:pt>
                <c:pt idx="2">
                  <c:v>1258651.6170000001</c:v>
                </c:pt>
                <c:pt idx="3">
                  <c:v>179227000.90000001</c:v>
                </c:pt>
                <c:pt idx="4">
                  <c:v>3177.2787839999987</c:v>
                </c:pt>
                <c:pt idx="5">
                  <c:v>26113.919999999984</c:v>
                </c:pt>
                <c:pt idx="6">
                  <c:v>11539290</c:v>
                </c:pt>
                <c:pt idx="7">
                  <c:v>7740</c:v>
                </c:pt>
              </c:numCache>
            </c:numRef>
          </c:val>
          <c:extLst>
            <c:ext xmlns:c16="http://schemas.microsoft.com/office/drawing/2014/chart" uri="{C3380CC4-5D6E-409C-BE32-E72D297353CC}">
              <c16:uniqueId val="{00000016-C439-4753-A797-D18C847B5F32}"/>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69065597283610991"/>
          <c:y val="9.3852963648188764E-2"/>
          <c:w val="0.27960425021221796"/>
          <c:h val="0.86260758102911561"/>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57727365863653712"/>
          <c:y val="6.0240956247750485E-2"/>
        </c:manualLayout>
      </c:layout>
      <c:overlay val="0"/>
      <c:spPr>
        <a:noFill/>
        <a:ln>
          <a:noFill/>
        </a:ln>
        <a:effectLst/>
      </c:spPr>
      <c:txPr>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endParaRPr lang="en-US"/>
        </a:p>
      </c:txPr>
    </c:title>
    <c:autoTitleDeleted val="0"/>
    <c:plotArea>
      <c:layout>
        <c:manualLayout>
          <c:layoutTarget val="inner"/>
          <c:xMode val="edge"/>
          <c:yMode val="edge"/>
          <c:x val="8.2060318668344887E-2"/>
          <c:y val="7.4155295543951172E-2"/>
          <c:w val="0.5176551629931021"/>
          <c:h val="0.89876875330342765"/>
        </c:manualLayout>
      </c:layout>
      <c:doughnutChart>
        <c:varyColors val="1"/>
        <c:ser>
          <c:idx val="0"/>
          <c:order val="0"/>
          <c:tx>
            <c:strRef>
              <c:f>Sheet1!$B$1</c:f>
              <c:strCache>
                <c:ptCount val="1"/>
                <c:pt idx="0">
                  <c:v>SOx</c:v>
                </c:pt>
              </c:strCache>
            </c:strRef>
          </c:tx>
          <c:spPr>
            <a:ln>
              <a:noFill/>
            </a:ln>
            <a:effectLst>
              <a:outerShdw blurRad="50800" dist="38100" dir="2700000" algn="tl" rotWithShape="0">
                <a:prstClr val="black">
                  <a:alpha val="40000"/>
                </a:prstClr>
              </a:outerShdw>
            </a:effectLst>
          </c:spPr>
          <c:dPt>
            <c:idx val="0"/>
            <c:bubble3D val="0"/>
            <c:spPr>
              <a:solidFill>
                <a:schemeClr val="accent1"/>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34BD-4F2D-BB80-0EA59C17B0C8}"/>
              </c:ext>
            </c:extLst>
          </c:dPt>
          <c:dPt>
            <c:idx val="1"/>
            <c:bubble3D val="0"/>
            <c:spPr>
              <a:solidFill>
                <a:schemeClr val="accent2"/>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34BD-4F2D-BB80-0EA59C17B0C8}"/>
              </c:ext>
            </c:extLst>
          </c:dPt>
          <c:dPt>
            <c:idx val="2"/>
            <c:bubble3D val="0"/>
            <c:spPr>
              <a:solidFill>
                <a:schemeClr val="accent3"/>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34BD-4F2D-BB80-0EA59C17B0C8}"/>
              </c:ext>
            </c:extLst>
          </c:dPt>
          <c:dPt>
            <c:idx val="3"/>
            <c:bubble3D val="0"/>
            <c:spPr>
              <a:solidFill>
                <a:schemeClr val="accent4"/>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7-34BD-4F2D-BB80-0EA59C17B0C8}"/>
              </c:ext>
            </c:extLst>
          </c:dPt>
          <c:dPt>
            <c:idx val="4"/>
            <c:bubble3D val="0"/>
            <c:spPr>
              <a:solidFill>
                <a:schemeClr val="accent5"/>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9-34BD-4F2D-BB80-0EA59C17B0C8}"/>
              </c:ext>
            </c:extLst>
          </c:dPt>
          <c:dPt>
            <c:idx val="5"/>
            <c:bubble3D val="0"/>
            <c:spPr>
              <a:solidFill>
                <a:schemeClr val="accent6"/>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B-34BD-4F2D-BB80-0EA59C17B0C8}"/>
              </c:ext>
            </c:extLst>
          </c:dPt>
          <c:dPt>
            <c:idx val="6"/>
            <c:bubble3D val="0"/>
            <c:spPr>
              <a:solidFill>
                <a:schemeClr val="accent1">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D-34BD-4F2D-BB80-0EA59C17B0C8}"/>
              </c:ext>
            </c:extLst>
          </c:dPt>
          <c:dPt>
            <c:idx val="7"/>
            <c:bubble3D val="0"/>
            <c:spPr>
              <a:solidFill>
                <a:schemeClr val="accent2">
                  <a:lumMod val="60000"/>
                </a:schemeClr>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F-34BD-4F2D-BB80-0EA59C17B0C8}"/>
              </c:ext>
            </c:extLst>
          </c:dPt>
          <c:dLbls>
            <c:dLbl>
              <c:idx val="0"/>
              <c:delete val="1"/>
              <c:extLst>
                <c:ext xmlns:c15="http://schemas.microsoft.com/office/drawing/2012/chart" uri="{CE6537A1-D6FC-4f65-9D91-7224C49458BB}"/>
                <c:ext xmlns:c16="http://schemas.microsoft.com/office/drawing/2014/chart" uri="{C3380CC4-5D6E-409C-BE32-E72D297353CC}">
                  <c16:uniqueId val="{00000001-34BD-4F2D-BB80-0EA59C17B0C8}"/>
                </c:ext>
              </c:extLst>
            </c:dLbl>
            <c:dLbl>
              <c:idx val="1"/>
              <c:delete val="1"/>
              <c:extLst>
                <c:ext xmlns:c15="http://schemas.microsoft.com/office/drawing/2012/chart" uri="{CE6537A1-D6FC-4f65-9D91-7224C49458BB}"/>
                <c:ext xmlns:c16="http://schemas.microsoft.com/office/drawing/2014/chart" uri="{C3380CC4-5D6E-409C-BE32-E72D297353CC}">
                  <c16:uniqueId val="{00000003-34BD-4F2D-BB80-0EA59C17B0C8}"/>
                </c:ext>
              </c:extLst>
            </c:dLbl>
            <c:dLbl>
              <c:idx val="4"/>
              <c:delete val="1"/>
              <c:extLst>
                <c:ext xmlns:c15="http://schemas.microsoft.com/office/drawing/2012/chart" uri="{CE6537A1-D6FC-4f65-9D91-7224C49458BB}"/>
                <c:ext xmlns:c16="http://schemas.microsoft.com/office/drawing/2014/chart" uri="{C3380CC4-5D6E-409C-BE32-E72D297353CC}">
                  <c16:uniqueId val="{00000009-34BD-4F2D-BB80-0EA59C17B0C8}"/>
                </c:ext>
              </c:extLst>
            </c:dLbl>
            <c:dLbl>
              <c:idx val="5"/>
              <c:delete val="1"/>
              <c:extLst>
                <c:ext xmlns:c15="http://schemas.microsoft.com/office/drawing/2012/chart" uri="{CE6537A1-D6FC-4f65-9D91-7224C49458BB}"/>
                <c:ext xmlns:c16="http://schemas.microsoft.com/office/drawing/2014/chart" uri="{C3380CC4-5D6E-409C-BE32-E72D297353CC}">
                  <c16:uniqueId val="{0000000B-34BD-4F2D-BB80-0EA59C17B0C8}"/>
                </c:ext>
              </c:extLst>
            </c:dLbl>
            <c:dLbl>
              <c:idx val="6"/>
              <c:delete val="1"/>
              <c:extLst>
                <c:ext xmlns:c15="http://schemas.microsoft.com/office/drawing/2012/chart" uri="{CE6537A1-D6FC-4f65-9D91-7224C49458BB}"/>
                <c:ext xmlns:c16="http://schemas.microsoft.com/office/drawing/2014/chart" uri="{C3380CC4-5D6E-409C-BE32-E72D297353CC}">
                  <c16:uniqueId val="{0000000D-34BD-4F2D-BB80-0EA59C17B0C8}"/>
                </c:ext>
              </c:extLst>
            </c:dLbl>
            <c:dLbl>
              <c:idx val="7"/>
              <c:delete val="1"/>
              <c:extLst>
                <c:ext xmlns:c15="http://schemas.microsoft.com/office/drawing/2012/chart" uri="{CE6537A1-D6FC-4f65-9D91-7224C49458BB}"/>
                <c:ext xmlns:c16="http://schemas.microsoft.com/office/drawing/2014/chart" uri="{C3380CC4-5D6E-409C-BE32-E72D297353CC}">
                  <c16:uniqueId val="{0000000F-34BD-4F2D-BB80-0EA59C17B0C8}"/>
                </c:ext>
              </c:extLst>
            </c:dLbl>
            <c:dLbl>
              <c:idx val="9"/>
              <c:layout>
                <c:manualLayout>
                  <c:x val="-7.9306071871127704E-2"/>
                  <c:y val="-0.12028869286287089"/>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3-34BD-4F2D-BB80-0EA59C17B0C8}"/>
                </c:ext>
              </c:extLst>
            </c:dLbl>
            <c:spPr>
              <a:noFill/>
              <a:ln>
                <a:noFill/>
              </a:ln>
              <a:effectLst/>
            </c:spPr>
            <c:txPr>
              <a:bodyPr rot="0" spcFirstLastPara="1" vertOverflow="ellipsis" vert="horz" wrap="square" anchor="ctr" anchorCtr="1"/>
              <a:lstStyle/>
              <a:p>
                <a:pPr>
                  <a:defRPr lang="en-US" sz="11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Sheet1!$A$2:$A$9</c:f>
              <c:strCache>
                <c:ptCount val="8"/>
                <c:pt idx="0">
                  <c:v>1.A.2.e</c:v>
                </c:pt>
                <c:pt idx="1">
                  <c:v>1.A.2.f.ii</c:v>
                </c:pt>
                <c:pt idx="2">
                  <c:v>1.A.4.a.i</c:v>
                </c:pt>
                <c:pt idx="3">
                  <c:v>1.A.4.b.i</c:v>
                </c:pt>
                <c:pt idx="4">
                  <c:v>1.A.4.c.i</c:v>
                </c:pt>
                <c:pt idx="5">
                  <c:v>2.A.7.b</c:v>
                </c:pt>
                <c:pt idx="6">
                  <c:v>4.B.8</c:v>
                </c:pt>
                <c:pt idx="7">
                  <c:v>4.D.2.a</c:v>
                </c:pt>
              </c:strCache>
            </c:strRef>
          </c:cat>
          <c:val>
            <c:numRef>
              <c:f>Sheet1!$B$2:$B$9</c:f>
              <c:numCache>
                <c:formatCode>General</c:formatCode>
                <c:ptCount val="8"/>
                <c:pt idx="0">
                  <c:v>167.99597800000001</c:v>
                </c:pt>
                <c:pt idx="2">
                  <c:v>9562795.3259999994</c:v>
                </c:pt>
                <c:pt idx="3">
                  <c:v>3351788.94</c:v>
                </c:pt>
                <c:pt idx="4">
                  <c:v>3177.2787839999987</c:v>
                </c:pt>
              </c:numCache>
            </c:numRef>
          </c:val>
          <c:extLst>
            <c:ext xmlns:c16="http://schemas.microsoft.com/office/drawing/2014/chart" uri="{C3380CC4-5D6E-409C-BE32-E72D297353CC}">
              <c16:uniqueId val="{00000016-34BD-4F2D-BB80-0EA59C17B0C8}"/>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69065597283610991"/>
          <c:y val="8.5833717457330594E-2"/>
          <c:w val="0.27960425021221796"/>
          <c:h val="0.87062682721997431"/>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tx>
            <c:strRef>
              <c:f>Sheet1!$B$1</c:f>
              <c:strCache>
                <c:ptCount val="1"/>
                <c:pt idx="0">
                  <c:v>Media maximelor 1974-1990</c:v>
                </c:pt>
              </c:strCache>
            </c:strRef>
          </c:tx>
          <c:spPr>
            <a:ln w="19050" cap="rnd">
              <a:solidFill>
                <a:schemeClr val="accent1"/>
              </a:solidFill>
              <a:round/>
            </a:ln>
            <a:effectLst/>
          </c:spPr>
          <c:marker>
            <c:symbol val="none"/>
          </c:marker>
          <c:xVal>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xVal>
          <c:yVal>
            <c:numRef>
              <c:f>Sheet1!$B$2:$B$13</c:f>
              <c:numCache>
                <c:formatCode>General</c:formatCode>
                <c:ptCount val="12"/>
                <c:pt idx="0">
                  <c:v>2.6</c:v>
                </c:pt>
                <c:pt idx="1">
                  <c:v>3.7</c:v>
                </c:pt>
                <c:pt idx="2">
                  <c:v>10.4</c:v>
                </c:pt>
                <c:pt idx="3">
                  <c:v>17.100000000000001</c:v>
                </c:pt>
                <c:pt idx="4">
                  <c:v>23.2</c:v>
                </c:pt>
                <c:pt idx="5">
                  <c:v>26.1</c:v>
                </c:pt>
                <c:pt idx="6">
                  <c:v>28.4</c:v>
                </c:pt>
                <c:pt idx="7">
                  <c:v>28.2</c:v>
                </c:pt>
                <c:pt idx="8">
                  <c:v>24.8</c:v>
                </c:pt>
                <c:pt idx="9">
                  <c:v>17.100000000000001</c:v>
                </c:pt>
                <c:pt idx="10">
                  <c:v>9.1</c:v>
                </c:pt>
                <c:pt idx="11">
                  <c:v>4.8</c:v>
                </c:pt>
              </c:numCache>
            </c:numRef>
          </c:yVal>
          <c:smooth val="0"/>
          <c:extLst>
            <c:ext xmlns:c16="http://schemas.microsoft.com/office/drawing/2014/chart" uri="{C3380CC4-5D6E-409C-BE32-E72D297353CC}">
              <c16:uniqueId val="{00000000-B9F4-4969-A9CF-9FB654A7260F}"/>
            </c:ext>
          </c:extLst>
        </c:ser>
        <c:ser>
          <c:idx val="1"/>
          <c:order val="1"/>
          <c:tx>
            <c:strRef>
              <c:f>Sheet1!$C$1</c:f>
              <c:strCache>
                <c:ptCount val="1"/>
                <c:pt idx="0">
                  <c:v>Media minimelor 1974-1990</c:v>
                </c:pt>
              </c:strCache>
            </c:strRef>
          </c:tx>
          <c:spPr>
            <a:ln w="19050" cap="rnd">
              <a:solidFill>
                <a:schemeClr val="accent2"/>
              </a:solidFill>
              <a:round/>
            </a:ln>
            <a:effectLst/>
          </c:spPr>
          <c:marker>
            <c:symbol val="none"/>
          </c:marker>
          <c:xVal>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xVal>
          <c:yVal>
            <c:numRef>
              <c:f>Sheet1!$C$2:$C$13</c:f>
              <c:numCache>
                <c:formatCode>General</c:formatCode>
                <c:ptCount val="12"/>
                <c:pt idx="0">
                  <c:v>-4.5999999999999996</c:v>
                </c:pt>
                <c:pt idx="1">
                  <c:v>-3.8</c:v>
                </c:pt>
                <c:pt idx="2">
                  <c:v>0.60000000000000042</c:v>
                </c:pt>
                <c:pt idx="3">
                  <c:v>5.5</c:v>
                </c:pt>
                <c:pt idx="4">
                  <c:v>10.6</c:v>
                </c:pt>
                <c:pt idx="5">
                  <c:v>14.2</c:v>
                </c:pt>
                <c:pt idx="6">
                  <c:v>15.5</c:v>
                </c:pt>
                <c:pt idx="7">
                  <c:v>14.8</c:v>
                </c:pt>
                <c:pt idx="8">
                  <c:v>11.1</c:v>
                </c:pt>
                <c:pt idx="9">
                  <c:v>6</c:v>
                </c:pt>
                <c:pt idx="10">
                  <c:v>1.2</c:v>
                </c:pt>
                <c:pt idx="11">
                  <c:v>-2.1</c:v>
                </c:pt>
              </c:numCache>
            </c:numRef>
          </c:yVal>
          <c:smooth val="0"/>
          <c:extLst>
            <c:ext xmlns:c16="http://schemas.microsoft.com/office/drawing/2014/chart" uri="{C3380CC4-5D6E-409C-BE32-E72D297353CC}">
              <c16:uniqueId val="{00000001-B9F4-4969-A9CF-9FB654A7260F}"/>
            </c:ext>
          </c:extLst>
        </c:ser>
        <c:ser>
          <c:idx val="2"/>
          <c:order val="2"/>
          <c:tx>
            <c:strRef>
              <c:f>Sheet1!$D$1</c:f>
              <c:strCache>
                <c:ptCount val="1"/>
                <c:pt idx="0">
                  <c:v>Media minimelor 2012-2016</c:v>
                </c:pt>
              </c:strCache>
            </c:strRef>
          </c:tx>
          <c:spPr>
            <a:ln w="19050" cap="rnd">
              <a:solidFill>
                <a:schemeClr val="accent3"/>
              </a:solidFill>
              <a:round/>
            </a:ln>
            <a:effectLst/>
          </c:spPr>
          <c:marker>
            <c:symbol val="none"/>
          </c:marker>
          <c:xVal>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xVal>
          <c:yVal>
            <c:numRef>
              <c:f>Sheet1!$D$2:$D$13</c:f>
              <c:numCache>
                <c:formatCode>General</c:formatCode>
                <c:ptCount val="12"/>
                <c:pt idx="0">
                  <c:v>2.5</c:v>
                </c:pt>
                <c:pt idx="1">
                  <c:v>5</c:v>
                </c:pt>
                <c:pt idx="2">
                  <c:v>12</c:v>
                </c:pt>
                <c:pt idx="3">
                  <c:v>19.8</c:v>
                </c:pt>
                <c:pt idx="4">
                  <c:v>24.8</c:v>
                </c:pt>
                <c:pt idx="5">
                  <c:v>28.8</c:v>
                </c:pt>
                <c:pt idx="6">
                  <c:v>32</c:v>
                </c:pt>
                <c:pt idx="7">
                  <c:v>31.8</c:v>
                </c:pt>
                <c:pt idx="8">
                  <c:v>26.5</c:v>
                </c:pt>
                <c:pt idx="9">
                  <c:v>17.7</c:v>
                </c:pt>
                <c:pt idx="10">
                  <c:v>11.3</c:v>
                </c:pt>
                <c:pt idx="11">
                  <c:v>4.2</c:v>
                </c:pt>
              </c:numCache>
            </c:numRef>
          </c:yVal>
          <c:smooth val="0"/>
          <c:extLst>
            <c:ext xmlns:c16="http://schemas.microsoft.com/office/drawing/2014/chart" uri="{C3380CC4-5D6E-409C-BE32-E72D297353CC}">
              <c16:uniqueId val="{00000002-B9F4-4969-A9CF-9FB654A7260F}"/>
            </c:ext>
          </c:extLst>
        </c:ser>
        <c:ser>
          <c:idx val="3"/>
          <c:order val="3"/>
          <c:tx>
            <c:strRef>
              <c:f>Sheet1!$E$1</c:f>
              <c:strCache>
                <c:ptCount val="1"/>
                <c:pt idx="0">
                  <c:v>Media maximelor 2012-2016</c:v>
                </c:pt>
              </c:strCache>
            </c:strRef>
          </c:tx>
          <c:spPr>
            <a:ln w="19050" cap="rnd">
              <a:solidFill>
                <a:schemeClr val="accent4"/>
              </a:solidFill>
              <a:round/>
            </a:ln>
            <a:effectLst/>
          </c:spPr>
          <c:marker>
            <c:symbol val="none"/>
          </c:marker>
          <c:xVal>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xVal>
          <c:yVal>
            <c:numRef>
              <c:f>Sheet1!$E$2:$E$13</c:f>
              <c:numCache>
                <c:formatCode>General</c:formatCode>
                <c:ptCount val="12"/>
                <c:pt idx="0">
                  <c:v>-4.5</c:v>
                </c:pt>
                <c:pt idx="1">
                  <c:v>-2.5</c:v>
                </c:pt>
                <c:pt idx="2">
                  <c:v>1.8</c:v>
                </c:pt>
                <c:pt idx="3">
                  <c:v>6.7</c:v>
                </c:pt>
                <c:pt idx="4">
                  <c:v>11.5</c:v>
                </c:pt>
                <c:pt idx="5">
                  <c:v>15.4</c:v>
                </c:pt>
                <c:pt idx="6">
                  <c:v>17</c:v>
                </c:pt>
                <c:pt idx="7">
                  <c:v>16.5</c:v>
                </c:pt>
                <c:pt idx="8">
                  <c:v>12.1</c:v>
                </c:pt>
                <c:pt idx="9">
                  <c:v>6.9</c:v>
                </c:pt>
                <c:pt idx="10">
                  <c:v>3.6</c:v>
                </c:pt>
                <c:pt idx="11">
                  <c:v>-2.8</c:v>
                </c:pt>
              </c:numCache>
            </c:numRef>
          </c:yVal>
          <c:smooth val="0"/>
          <c:extLst>
            <c:ext xmlns:c16="http://schemas.microsoft.com/office/drawing/2014/chart" uri="{C3380CC4-5D6E-409C-BE32-E72D297353CC}">
              <c16:uniqueId val="{00000003-B9F4-4969-A9CF-9FB654A7260F}"/>
            </c:ext>
          </c:extLst>
        </c:ser>
        <c:dLbls>
          <c:showLegendKey val="0"/>
          <c:showVal val="0"/>
          <c:showCatName val="0"/>
          <c:showSerName val="0"/>
          <c:showPercent val="0"/>
          <c:showBubbleSize val="0"/>
        </c:dLbls>
        <c:axId val="357387072"/>
        <c:axId val="391786432"/>
      </c:scatterChart>
      <c:valAx>
        <c:axId val="357387072"/>
        <c:scaling>
          <c:orientation val="minMax"/>
          <c:max val="12"/>
          <c:min val="1"/>
        </c:scaling>
        <c:delete val="0"/>
        <c:axPos val="b"/>
        <c:numFmt formatCode="General" sourceLinked="1"/>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391786432"/>
        <c:crosses val="autoZero"/>
        <c:crossBetween val="midCat"/>
        <c:majorUnit val="1"/>
      </c:valAx>
      <c:valAx>
        <c:axId val="3917864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lang="en-US" sz="1000" b="0" i="0" u="none" strike="noStrike" kern="1200" baseline="0">
                    <a:solidFill>
                      <a:schemeClr val="tx1">
                        <a:lumMod val="65000"/>
                        <a:lumOff val="35000"/>
                      </a:schemeClr>
                    </a:solidFill>
                    <a:latin typeface="Cambria" panose="02040503050406030204" pitchFamily="18" charset="0"/>
                    <a:ea typeface="+mn-ea"/>
                    <a:cs typeface="+mn-cs"/>
                  </a:defRPr>
                </a:pPr>
                <a:r>
                  <a:rPr lang="ro-RO" sz="1000" b="0" i="0" u="none" strike="noStrike" baseline="0">
                    <a:effectLst/>
                  </a:rPr>
                  <a:t>⁰C</a:t>
                </a:r>
                <a:endParaRPr lang="ro-RO"/>
              </a:p>
            </c:rich>
          </c:tx>
          <c:layout>
            <c:manualLayout>
              <c:xMode val="edge"/>
              <c:yMode val="edge"/>
              <c:x val="1.3355592654424039E-2"/>
              <c:y val="4.095842484959504E-2"/>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357387072"/>
        <c:crosses val="autoZero"/>
        <c:crossBetween val="midCat"/>
      </c:valAx>
      <c:spPr>
        <a:noFill/>
        <a:ln>
          <a:noFill/>
        </a:ln>
        <a:effectLst/>
      </c:spPr>
    </c:plotArea>
    <c:legend>
      <c:legendPos val="b"/>
      <c:layout>
        <c:manualLayout>
          <c:xMode val="edge"/>
          <c:yMode val="edge"/>
          <c:x val="0.12064411814967202"/>
          <c:y val="0.82489369644670996"/>
          <c:w val="0.80768209482996556"/>
          <c:h val="0.14864544357534165"/>
        </c:manualLayout>
      </c:layout>
      <c:overlay val="0"/>
      <c:spPr>
        <a:noFill/>
        <a:ln>
          <a:noFill/>
        </a:ln>
        <a:effectLst/>
      </c:spPr>
      <c:txPr>
        <a:bodyPr rot="0" spcFirstLastPara="1" vertOverflow="ellipsis" vert="horz" wrap="square" anchor="ctr" anchorCtr="1"/>
        <a:lstStyle/>
        <a:p>
          <a:pPr>
            <a:defRPr lang="en-US" sz="105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1990-2016</c:v>
                </c:pt>
              </c:strCache>
            </c:strRef>
          </c:tx>
          <c:spPr>
            <a:solidFill>
              <a:schemeClr val="accent1"/>
            </a:solidFill>
            <a:ln>
              <a:noFill/>
            </a:ln>
            <a:effectLst/>
            <a:sp3d/>
          </c:spPr>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Sheet1!$B$2:$B$13</c:f>
              <c:numCache>
                <c:formatCode>General</c:formatCode>
                <c:ptCount val="12"/>
                <c:pt idx="0">
                  <c:v>30.2</c:v>
                </c:pt>
                <c:pt idx="1">
                  <c:v>21.2</c:v>
                </c:pt>
                <c:pt idx="2">
                  <c:v>30.5</c:v>
                </c:pt>
                <c:pt idx="3">
                  <c:v>37.1</c:v>
                </c:pt>
                <c:pt idx="4">
                  <c:v>48.5</c:v>
                </c:pt>
                <c:pt idx="5">
                  <c:v>56.9</c:v>
                </c:pt>
                <c:pt idx="6">
                  <c:v>46</c:v>
                </c:pt>
                <c:pt idx="7">
                  <c:v>38.6</c:v>
                </c:pt>
                <c:pt idx="8">
                  <c:v>42.2</c:v>
                </c:pt>
                <c:pt idx="9">
                  <c:v>41.9</c:v>
                </c:pt>
                <c:pt idx="10">
                  <c:v>34.700000000000003</c:v>
                </c:pt>
                <c:pt idx="11">
                  <c:v>37.200000000000003</c:v>
                </c:pt>
              </c:numCache>
            </c:numRef>
          </c:val>
          <c:extLst>
            <c:ext xmlns:c16="http://schemas.microsoft.com/office/drawing/2014/chart" uri="{C3380CC4-5D6E-409C-BE32-E72D297353CC}">
              <c16:uniqueId val="{00000000-6B6B-43F0-905D-09E29A817700}"/>
            </c:ext>
          </c:extLst>
        </c:ser>
        <c:ser>
          <c:idx val="1"/>
          <c:order val="1"/>
          <c:tx>
            <c:strRef>
              <c:f>Sheet1!$C$1</c:f>
              <c:strCache>
                <c:ptCount val="1"/>
                <c:pt idx="0">
                  <c:v>1974-1990</c:v>
                </c:pt>
              </c:strCache>
            </c:strRef>
          </c:tx>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Sheet1!$C$2:$C$13</c:f>
              <c:numCache>
                <c:formatCode>General</c:formatCode>
                <c:ptCount val="12"/>
                <c:pt idx="0">
                  <c:v>21.4</c:v>
                </c:pt>
                <c:pt idx="1">
                  <c:v>23.1</c:v>
                </c:pt>
                <c:pt idx="2">
                  <c:v>24.7</c:v>
                </c:pt>
                <c:pt idx="3">
                  <c:v>35.200000000000003</c:v>
                </c:pt>
                <c:pt idx="4">
                  <c:v>46.4</c:v>
                </c:pt>
                <c:pt idx="5">
                  <c:v>75.599999999999994</c:v>
                </c:pt>
                <c:pt idx="6">
                  <c:v>43.8</c:v>
                </c:pt>
                <c:pt idx="7">
                  <c:v>35.800000000000004</c:v>
                </c:pt>
                <c:pt idx="8">
                  <c:v>31.9</c:v>
                </c:pt>
                <c:pt idx="9">
                  <c:v>28.2</c:v>
                </c:pt>
                <c:pt idx="10">
                  <c:v>32.6</c:v>
                </c:pt>
                <c:pt idx="11">
                  <c:v>28.9</c:v>
                </c:pt>
              </c:numCache>
            </c:numRef>
          </c:val>
          <c:extLst>
            <c:ext xmlns:c16="http://schemas.microsoft.com/office/drawing/2014/chart" uri="{C3380CC4-5D6E-409C-BE32-E72D297353CC}">
              <c16:uniqueId val="{00000001-6B6B-43F0-905D-09E29A817700}"/>
            </c:ext>
          </c:extLst>
        </c:ser>
        <c:dLbls>
          <c:showLegendKey val="0"/>
          <c:showVal val="0"/>
          <c:showCatName val="0"/>
          <c:showSerName val="0"/>
          <c:showPercent val="0"/>
          <c:showBubbleSize val="0"/>
        </c:dLbls>
        <c:gapWidth val="75"/>
        <c:overlap val="-25"/>
        <c:axId val="392127488"/>
        <c:axId val="391785280"/>
      </c:barChart>
      <c:catAx>
        <c:axId val="392127488"/>
        <c:scaling>
          <c:orientation val="minMax"/>
        </c:scaling>
        <c:delete val="0"/>
        <c:axPos val="b"/>
        <c:numFmt formatCode="General" sourceLinked="1"/>
        <c:majorTickMark val="none"/>
        <c:minorTickMark val="none"/>
        <c:tickLblPos val="nextTo"/>
        <c:spPr>
          <a:noFill/>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391785280"/>
        <c:crosses val="autoZero"/>
        <c:auto val="1"/>
        <c:lblAlgn val="ctr"/>
        <c:lblOffset val="100"/>
        <c:noMultiLvlLbl val="0"/>
      </c:catAx>
      <c:valAx>
        <c:axId val="3917852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392127488"/>
        <c:crosses val="autoZero"/>
        <c:crossBetween val="between"/>
      </c:valAx>
      <c:spPr>
        <a:noFill/>
        <a:ln>
          <a:noFill/>
        </a:ln>
        <a:effectLst/>
        <a:sp3d/>
      </c:spPr>
    </c:plotArea>
    <c:legend>
      <c:legendPos val="b"/>
      <c:overlay val="0"/>
      <c:txPr>
        <a:bodyPr/>
        <a:lstStyle/>
        <a:p>
          <a:pPr>
            <a:defRPr lang="en-US" sz="1000">
              <a:latin typeface="Cambria" panose="020405030504060302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200" b="0" i="0" u="none" strike="noStrike" kern="1200" spc="0" baseline="0">
                <a:solidFill>
                  <a:schemeClr val="tx1">
                    <a:lumMod val="65000"/>
                    <a:lumOff val="35000"/>
                  </a:schemeClr>
                </a:solidFill>
                <a:latin typeface="Cambria" panose="02040503050406030204" pitchFamily="18" charset="0"/>
                <a:ea typeface="+mn-ea"/>
                <a:cs typeface="+mn-cs"/>
              </a:defRPr>
            </a:pPr>
            <a:r>
              <a:rPr lang="ro-RO" sz="1200"/>
              <a:t>Număr lunar de zile cu ceață din perioada 2012-2016 de la stația meteorologică Brăila</a:t>
            </a:r>
          </a:p>
        </c:rich>
      </c:tx>
      <c:overlay val="0"/>
      <c:spPr>
        <a:noFill/>
        <a:ln>
          <a:noFill/>
        </a:ln>
        <a:effectLst/>
      </c:spPr>
    </c:title>
    <c:autoTitleDeleted val="0"/>
    <c:plotArea>
      <c:layout/>
      <c:barChart>
        <c:barDir val="col"/>
        <c:grouping val="clustered"/>
        <c:varyColors val="0"/>
        <c:ser>
          <c:idx val="0"/>
          <c:order val="0"/>
          <c:tx>
            <c:strRef>
              <c:f>Sheet1!$B$1</c:f>
              <c:strCache>
                <c:ptCount val="1"/>
                <c:pt idx="0">
                  <c:v>2012</c:v>
                </c:pt>
              </c:strCache>
            </c:strRef>
          </c:tx>
          <c:spPr>
            <a:solidFill>
              <a:schemeClr val="accent1"/>
            </a:solidFill>
            <a:ln>
              <a:noFill/>
            </a:ln>
            <a:effectLst/>
          </c:spPr>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Sheet1!$B$2:$B$13</c:f>
              <c:numCache>
                <c:formatCode>General</c:formatCode>
                <c:ptCount val="12"/>
                <c:pt idx="0">
                  <c:v>2</c:v>
                </c:pt>
                <c:pt idx="1">
                  <c:v>4</c:v>
                </c:pt>
                <c:pt idx="2">
                  <c:v>2</c:v>
                </c:pt>
                <c:pt idx="3">
                  <c:v>0</c:v>
                </c:pt>
                <c:pt idx="4">
                  <c:v>0</c:v>
                </c:pt>
                <c:pt idx="5">
                  <c:v>0</c:v>
                </c:pt>
                <c:pt idx="6">
                  <c:v>0</c:v>
                </c:pt>
                <c:pt idx="7">
                  <c:v>0</c:v>
                </c:pt>
                <c:pt idx="8">
                  <c:v>0</c:v>
                </c:pt>
                <c:pt idx="9">
                  <c:v>2</c:v>
                </c:pt>
                <c:pt idx="10">
                  <c:v>7</c:v>
                </c:pt>
                <c:pt idx="11">
                  <c:v>5</c:v>
                </c:pt>
              </c:numCache>
            </c:numRef>
          </c:val>
          <c:extLst>
            <c:ext xmlns:c16="http://schemas.microsoft.com/office/drawing/2014/chart" uri="{C3380CC4-5D6E-409C-BE32-E72D297353CC}">
              <c16:uniqueId val="{00000000-5323-4963-B256-707CDAA83448}"/>
            </c:ext>
          </c:extLst>
        </c:ser>
        <c:ser>
          <c:idx val="1"/>
          <c:order val="1"/>
          <c:tx>
            <c:strRef>
              <c:f>Sheet1!$C$1</c:f>
              <c:strCache>
                <c:ptCount val="1"/>
                <c:pt idx="0">
                  <c:v>2013</c:v>
                </c:pt>
              </c:strCache>
            </c:strRef>
          </c:tx>
          <c:spPr>
            <a:solidFill>
              <a:schemeClr val="accent2"/>
            </a:solidFill>
            <a:ln>
              <a:noFill/>
            </a:ln>
            <a:effectLst/>
          </c:spPr>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Sheet1!$C$2:$C$13</c:f>
              <c:numCache>
                <c:formatCode>General</c:formatCode>
                <c:ptCount val="12"/>
                <c:pt idx="0">
                  <c:v>8</c:v>
                </c:pt>
                <c:pt idx="1">
                  <c:v>2</c:v>
                </c:pt>
                <c:pt idx="2">
                  <c:v>2</c:v>
                </c:pt>
                <c:pt idx="3">
                  <c:v>1</c:v>
                </c:pt>
                <c:pt idx="4">
                  <c:v>0</c:v>
                </c:pt>
                <c:pt idx="5">
                  <c:v>0</c:v>
                </c:pt>
                <c:pt idx="6">
                  <c:v>0</c:v>
                </c:pt>
                <c:pt idx="7">
                  <c:v>0</c:v>
                </c:pt>
                <c:pt idx="8">
                  <c:v>1</c:v>
                </c:pt>
                <c:pt idx="9">
                  <c:v>3</c:v>
                </c:pt>
                <c:pt idx="10">
                  <c:v>2</c:v>
                </c:pt>
                <c:pt idx="11">
                  <c:v>13</c:v>
                </c:pt>
              </c:numCache>
            </c:numRef>
          </c:val>
          <c:extLst>
            <c:ext xmlns:c16="http://schemas.microsoft.com/office/drawing/2014/chart" uri="{C3380CC4-5D6E-409C-BE32-E72D297353CC}">
              <c16:uniqueId val="{00000001-5323-4963-B256-707CDAA83448}"/>
            </c:ext>
          </c:extLst>
        </c:ser>
        <c:ser>
          <c:idx val="2"/>
          <c:order val="2"/>
          <c:tx>
            <c:strRef>
              <c:f>Sheet1!$D$1</c:f>
              <c:strCache>
                <c:ptCount val="1"/>
                <c:pt idx="0">
                  <c:v>2014</c:v>
                </c:pt>
              </c:strCache>
            </c:strRef>
          </c:tx>
          <c:spPr>
            <a:solidFill>
              <a:schemeClr val="accent3"/>
            </a:solidFill>
            <a:ln>
              <a:noFill/>
            </a:ln>
            <a:effectLst/>
          </c:spPr>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Sheet1!$D$2:$D$13</c:f>
              <c:numCache>
                <c:formatCode>General</c:formatCode>
                <c:ptCount val="12"/>
                <c:pt idx="0">
                  <c:v>9</c:v>
                </c:pt>
                <c:pt idx="1">
                  <c:v>8</c:v>
                </c:pt>
                <c:pt idx="2">
                  <c:v>1</c:v>
                </c:pt>
                <c:pt idx="3">
                  <c:v>1</c:v>
                </c:pt>
                <c:pt idx="4">
                  <c:v>1</c:v>
                </c:pt>
                <c:pt idx="5">
                  <c:v>0</c:v>
                </c:pt>
                <c:pt idx="6">
                  <c:v>0</c:v>
                </c:pt>
                <c:pt idx="7">
                  <c:v>1</c:v>
                </c:pt>
                <c:pt idx="8">
                  <c:v>2</c:v>
                </c:pt>
                <c:pt idx="9">
                  <c:v>7</c:v>
                </c:pt>
                <c:pt idx="10">
                  <c:v>7</c:v>
                </c:pt>
                <c:pt idx="11">
                  <c:v>10</c:v>
                </c:pt>
              </c:numCache>
            </c:numRef>
          </c:val>
          <c:extLst>
            <c:ext xmlns:c16="http://schemas.microsoft.com/office/drawing/2014/chart" uri="{C3380CC4-5D6E-409C-BE32-E72D297353CC}">
              <c16:uniqueId val="{00000002-5323-4963-B256-707CDAA83448}"/>
            </c:ext>
          </c:extLst>
        </c:ser>
        <c:ser>
          <c:idx val="3"/>
          <c:order val="3"/>
          <c:tx>
            <c:strRef>
              <c:f>Sheet1!$E$1</c:f>
              <c:strCache>
                <c:ptCount val="1"/>
                <c:pt idx="0">
                  <c:v>2015</c:v>
                </c:pt>
              </c:strCache>
            </c:strRef>
          </c:tx>
          <c:spPr>
            <a:solidFill>
              <a:schemeClr val="accent4"/>
            </a:solidFill>
            <a:ln>
              <a:noFill/>
            </a:ln>
            <a:effectLst/>
          </c:spPr>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Sheet1!$E$2:$E$13</c:f>
              <c:numCache>
                <c:formatCode>General</c:formatCode>
                <c:ptCount val="12"/>
                <c:pt idx="0">
                  <c:v>9</c:v>
                </c:pt>
                <c:pt idx="1">
                  <c:v>0</c:v>
                </c:pt>
                <c:pt idx="2">
                  <c:v>0</c:v>
                </c:pt>
                <c:pt idx="3">
                  <c:v>0</c:v>
                </c:pt>
                <c:pt idx="4">
                  <c:v>0</c:v>
                </c:pt>
                <c:pt idx="5">
                  <c:v>0</c:v>
                </c:pt>
                <c:pt idx="6">
                  <c:v>0</c:v>
                </c:pt>
                <c:pt idx="7">
                  <c:v>0</c:v>
                </c:pt>
                <c:pt idx="8">
                  <c:v>3</c:v>
                </c:pt>
                <c:pt idx="9">
                  <c:v>0</c:v>
                </c:pt>
                <c:pt idx="10">
                  <c:v>7</c:v>
                </c:pt>
                <c:pt idx="11">
                  <c:v>10</c:v>
                </c:pt>
              </c:numCache>
            </c:numRef>
          </c:val>
          <c:extLst>
            <c:ext xmlns:c16="http://schemas.microsoft.com/office/drawing/2014/chart" uri="{C3380CC4-5D6E-409C-BE32-E72D297353CC}">
              <c16:uniqueId val="{00000003-5323-4963-B256-707CDAA83448}"/>
            </c:ext>
          </c:extLst>
        </c:ser>
        <c:ser>
          <c:idx val="4"/>
          <c:order val="4"/>
          <c:tx>
            <c:strRef>
              <c:f>Sheet1!$F$1</c:f>
              <c:strCache>
                <c:ptCount val="1"/>
                <c:pt idx="0">
                  <c:v>2016</c:v>
                </c:pt>
              </c:strCache>
            </c:strRef>
          </c:tx>
          <c:spPr>
            <a:solidFill>
              <a:schemeClr val="accent5"/>
            </a:solidFill>
            <a:ln>
              <a:noFill/>
            </a:ln>
            <a:effectLst/>
          </c:spPr>
          <c:invertIfNegative val="0"/>
          <c:cat>
            <c:strRef>
              <c:f>Sheet1!$A$2:$A$13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Sheet1!$F$2:$F$13</c:f>
              <c:numCache>
                <c:formatCode>General</c:formatCode>
                <c:ptCount val="12"/>
                <c:pt idx="0">
                  <c:v>5</c:v>
                </c:pt>
                <c:pt idx="1">
                  <c:v>1</c:v>
                </c:pt>
                <c:pt idx="2">
                  <c:v>4</c:v>
                </c:pt>
                <c:pt idx="3">
                  <c:v>0</c:v>
                </c:pt>
                <c:pt idx="4">
                  <c:v>0</c:v>
                </c:pt>
                <c:pt idx="5">
                  <c:v>0</c:v>
                </c:pt>
                <c:pt idx="6">
                  <c:v>0</c:v>
                </c:pt>
                <c:pt idx="7">
                  <c:v>0</c:v>
                </c:pt>
                <c:pt idx="8">
                  <c:v>1</c:v>
                </c:pt>
                <c:pt idx="9">
                  <c:v>4</c:v>
                </c:pt>
                <c:pt idx="10">
                  <c:v>4</c:v>
                </c:pt>
                <c:pt idx="11">
                  <c:v>2</c:v>
                </c:pt>
              </c:numCache>
            </c:numRef>
          </c:val>
          <c:extLst>
            <c:ext xmlns:c16="http://schemas.microsoft.com/office/drawing/2014/chart" uri="{C3380CC4-5D6E-409C-BE32-E72D297353CC}">
              <c16:uniqueId val="{00000004-5323-4963-B256-707CDAA83448}"/>
            </c:ext>
          </c:extLst>
        </c:ser>
        <c:dLbls>
          <c:showLegendKey val="0"/>
          <c:showVal val="0"/>
          <c:showCatName val="0"/>
          <c:showSerName val="0"/>
          <c:showPercent val="0"/>
          <c:showBubbleSize val="0"/>
        </c:dLbls>
        <c:gapWidth val="219"/>
        <c:overlap val="-27"/>
        <c:axId val="392129536"/>
        <c:axId val="391787584"/>
      </c:barChart>
      <c:catAx>
        <c:axId val="392129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10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391787584"/>
        <c:crosses val="autoZero"/>
        <c:auto val="1"/>
        <c:lblAlgn val="ctr"/>
        <c:lblOffset val="100"/>
        <c:noMultiLvlLbl val="0"/>
      </c:catAx>
      <c:valAx>
        <c:axId val="3917875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1000" b="0" i="0" u="none" strike="noStrike" kern="1200" baseline="0">
                    <a:solidFill>
                      <a:schemeClr val="tx1">
                        <a:lumMod val="65000"/>
                        <a:lumOff val="35000"/>
                      </a:schemeClr>
                    </a:solidFill>
                    <a:latin typeface="Cambria" panose="02040503050406030204" pitchFamily="18" charset="0"/>
                    <a:ea typeface="+mn-ea"/>
                    <a:cs typeface="+mn-cs"/>
                  </a:defRPr>
                </a:pPr>
                <a:r>
                  <a:rPr lang="ro-RO"/>
                  <a:t>Număr zile</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10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392129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US" sz="11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radarChart>
        <c:radarStyle val="marker"/>
        <c:varyColors val="0"/>
        <c:ser>
          <c:idx val="0"/>
          <c:order val="0"/>
          <c:tx>
            <c:strRef>
              <c:f>Sheet1!$B$1</c:f>
              <c:strCache>
                <c:ptCount val="1"/>
                <c:pt idx="0">
                  <c:v>2014</c:v>
                </c:pt>
              </c:strCache>
            </c:strRef>
          </c:tx>
          <c:spPr>
            <a:ln w="28575" cap="rnd">
              <a:solidFill>
                <a:schemeClr val="bg2">
                  <a:lumMod val="75000"/>
                </a:schemeClr>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Sheet1!$B$2:$B$9</c:f>
              <c:numCache>
                <c:formatCode>General</c:formatCode>
                <c:ptCount val="8"/>
                <c:pt idx="0">
                  <c:v>36.800000000000004</c:v>
                </c:pt>
                <c:pt idx="1">
                  <c:v>6.1</c:v>
                </c:pt>
                <c:pt idx="2">
                  <c:v>3.8</c:v>
                </c:pt>
                <c:pt idx="3">
                  <c:v>5.7</c:v>
                </c:pt>
                <c:pt idx="4">
                  <c:v>17.7</c:v>
                </c:pt>
                <c:pt idx="5">
                  <c:v>6.1</c:v>
                </c:pt>
                <c:pt idx="6">
                  <c:v>4.9000000000000004</c:v>
                </c:pt>
                <c:pt idx="7">
                  <c:v>14.1</c:v>
                </c:pt>
              </c:numCache>
            </c:numRef>
          </c:val>
          <c:extLst>
            <c:ext xmlns:c16="http://schemas.microsoft.com/office/drawing/2014/chart" uri="{C3380CC4-5D6E-409C-BE32-E72D297353CC}">
              <c16:uniqueId val="{00000000-FF8E-4E34-B069-2186551770C0}"/>
            </c:ext>
          </c:extLst>
        </c:ser>
        <c:ser>
          <c:idx val="1"/>
          <c:order val="1"/>
          <c:tx>
            <c:strRef>
              <c:f>Sheet1!$C$1</c:f>
              <c:strCache>
                <c:ptCount val="1"/>
                <c:pt idx="0">
                  <c:v>calm 4,9%</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Sheet1!$C$2:$C$9</c:f>
              <c:numCache>
                <c:formatCode>General</c:formatCode>
                <c:ptCount val="8"/>
              </c:numCache>
            </c:numRef>
          </c:val>
          <c:extLst>
            <c:ext xmlns:c16="http://schemas.microsoft.com/office/drawing/2014/chart" uri="{C3380CC4-5D6E-409C-BE32-E72D297353CC}">
              <c16:uniqueId val="{00000001-FF8E-4E34-B069-2186551770C0}"/>
            </c:ext>
          </c:extLst>
        </c:ser>
        <c:ser>
          <c:idx val="2"/>
          <c:order val="2"/>
          <c:tx>
            <c:strRef>
              <c:f>Sheet1!$D$1</c:f>
              <c:strCache>
                <c:ptCount val="1"/>
                <c:pt idx="0">
                  <c:v>2015</c:v>
                </c:pt>
              </c:strCache>
            </c:strRef>
          </c:tx>
          <c:spPr>
            <a:ln w="28575" cap="rnd">
              <a:solidFill>
                <a:srgbClr val="FFFF00"/>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Sheet1!$D$2:$D$9</c:f>
              <c:numCache>
                <c:formatCode>General</c:formatCode>
                <c:ptCount val="8"/>
                <c:pt idx="0">
                  <c:v>31</c:v>
                </c:pt>
                <c:pt idx="1">
                  <c:v>3.6</c:v>
                </c:pt>
                <c:pt idx="2">
                  <c:v>4.2</c:v>
                </c:pt>
                <c:pt idx="3">
                  <c:v>3.6</c:v>
                </c:pt>
                <c:pt idx="4">
                  <c:v>19.600000000000001</c:v>
                </c:pt>
                <c:pt idx="5">
                  <c:v>9.5</c:v>
                </c:pt>
                <c:pt idx="6">
                  <c:v>6.8</c:v>
                </c:pt>
                <c:pt idx="7">
                  <c:v>16.7</c:v>
                </c:pt>
              </c:numCache>
            </c:numRef>
          </c:val>
          <c:extLst>
            <c:ext xmlns:c16="http://schemas.microsoft.com/office/drawing/2014/chart" uri="{C3380CC4-5D6E-409C-BE32-E72D297353CC}">
              <c16:uniqueId val="{00000002-FF8E-4E34-B069-2186551770C0}"/>
            </c:ext>
          </c:extLst>
        </c:ser>
        <c:ser>
          <c:idx val="3"/>
          <c:order val="3"/>
          <c:tx>
            <c:strRef>
              <c:f>Sheet1!$E$1</c:f>
              <c:strCache>
                <c:ptCount val="1"/>
                <c:pt idx="0">
                  <c:v>calm 5,1%</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Sheet1!$E$2:$E$9</c:f>
              <c:numCache>
                <c:formatCode>General</c:formatCode>
                <c:ptCount val="8"/>
              </c:numCache>
            </c:numRef>
          </c:val>
          <c:extLst>
            <c:ext xmlns:c16="http://schemas.microsoft.com/office/drawing/2014/chart" uri="{C3380CC4-5D6E-409C-BE32-E72D297353CC}">
              <c16:uniqueId val="{00000003-FF8E-4E34-B069-2186551770C0}"/>
            </c:ext>
          </c:extLst>
        </c:ser>
        <c:ser>
          <c:idx val="4"/>
          <c:order val="4"/>
          <c:tx>
            <c:strRef>
              <c:f>Sheet1!$F$1</c:f>
              <c:strCache>
                <c:ptCount val="1"/>
                <c:pt idx="0">
                  <c:v>2016</c:v>
                </c:pt>
              </c:strCache>
            </c:strRef>
          </c:tx>
          <c:spPr>
            <a:ln w="28575" cap="rnd">
              <a:solidFill>
                <a:schemeClr val="accent5"/>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Sheet1!$F$2:$F$9</c:f>
              <c:numCache>
                <c:formatCode>General</c:formatCode>
                <c:ptCount val="8"/>
                <c:pt idx="0">
                  <c:v>25.5</c:v>
                </c:pt>
                <c:pt idx="1">
                  <c:v>3.4</c:v>
                </c:pt>
                <c:pt idx="2">
                  <c:v>5</c:v>
                </c:pt>
                <c:pt idx="3">
                  <c:v>6</c:v>
                </c:pt>
                <c:pt idx="4">
                  <c:v>20</c:v>
                </c:pt>
                <c:pt idx="5">
                  <c:v>14.3</c:v>
                </c:pt>
                <c:pt idx="6">
                  <c:v>5.9</c:v>
                </c:pt>
                <c:pt idx="7">
                  <c:v>13.5</c:v>
                </c:pt>
              </c:numCache>
            </c:numRef>
          </c:val>
          <c:extLst>
            <c:ext xmlns:c16="http://schemas.microsoft.com/office/drawing/2014/chart" uri="{C3380CC4-5D6E-409C-BE32-E72D297353CC}">
              <c16:uniqueId val="{00000004-FF8E-4E34-B069-2186551770C0}"/>
            </c:ext>
          </c:extLst>
        </c:ser>
        <c:ser>
          <c:idx val="5"/>
          <c:order val="5"/>
          <c:tx>
            <c:strRef>
              <c:f>Sheet1!$G$1</c:f>
              <c:strCache>
                <c:ptCount val="1"/>
                <c:pt idx="0">
                  <c:v>calm 6,6%</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Sheet1!$G$2:$G$9</c:f>
              <c:numCache>
                <c:formatCode>General</c:formatCode>
                <c:ptCount val="8"/>
              </c:numCache>
            </c:numRef>
          </c:val>
          <c:extLst>
            <c:ext xmlns:c16="http://schemas.microsoft.com/office/drawing/2014/chart" uri="{C3380CC4-5D6E-409C-BE32-E72D297353CC}">
              <c16:uniqueId val="{00000005-FF8E-4E34-B069-2186551770C0}"/>
            </c:ext>
          </c:extLst>
        </c:ser>
        <c:dLbls>
          <c:showLegendKey val="0"/>
          <c:showVal val="0"/>
          <c:showCatName val="0"/>
          <c:showSerName val="0"/>
          <c:showPercent val="0"/>
          <c:showBubbleSize val="0"/>
        </c:dLbls>
        <c:axId val="410301440"/>
        <c:axId val="392381568"/>
      </c:radarChart>
      <c:catAx>
        <c:axId val="410301440"/>
        <c:scaling>
          <c:orientation val="minMax"/>
        </c:scaling>
        <c:delete val="0"/>
        <c:axPos val="b"/>
        <c:numFmt formatCode="General" sourceLinked="1"/>
        <c:majorTickMark val="none"/>
        <c:minorTickMark val="none"/>
        <c:tickLblPos val="nextTo"/>
        <c:spPr>
          <a:noFill/>
          <a:ln w="25400" cap="flat" cmpd="sng" algn="ctr">
            <a:noFill/>
            <a:round/>
          </a:ln>
          <a:effectLst/>
        </c:spPr>
        <c:txPr>
          <a:bodyPr rot="-60000000" spcFirstLastPara="1" vertOverflow="ellipsis" vert="horz" wrap="square" anchor="ctr" anchorCtr="1"/>
          <a:lstStyle/>
          <a:p>
            <a:pPr>
              <a:defRPr lang="en-US" sz="10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392381568"/>
        <c:crosses val="autoZero"/>
        <c:auto val="1"/>
        <c:lblAlgn val="ctr"/>
        <c:lblOffset val="100"/>
        <c:noMultiLvlLbl val="0"/>
      </c:catAx>
      <c:valAx>
        <c:axId val="3923815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10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0301440"/>
        <c:crosses val="autoZero"/>
        <c:crossBetween val="between"/>
      </c:valAx>
      <c:spPr>
        <a:noFill/>
        <a:ln>
          <a:noFill/>
        </a:ln>
        <a:effectLst/>
      </c:spPr>
    </c:plotArea>
    <c:legend>
      <c:legendPos val="r"/>
      <c:layout>
        <c:manualLayout>
          <c:xMode val="edge"/>
          <c:yMode val="edge"/>
          <c:x val="0.75232611548556461"/>
          <c:y val="0.27262623422072235"/>
          <c:w val="0.17554470691163604"/>
          <c:h val="0.44681102362204744"/>
        </c:manualLayout>
      </c:layout>
      <c:overlay val="0"/>
      <c:spPr>
        <a:noFill/>
        <a:ln>
          <a:noFill/>
        </a:ln>
        <a:effectLst/>
      </c:spPr>
      <c:txPr>
        <a:bodyPr rot="0" spcFirstLastPara="1" vertOverflow="ellipsis" vert="horz" wrap="square" anchor="ctr" anchorCtr="1"/>
        <a:lstStyle/>
        <a:p>
          <a:pPr>
            <a:defRPr lang="en-US" sz="11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r>
              <a:rPr lang="ro-RO" sz="1100"/>
              <a:t>IANUARIE</a:t>
            </a:r>
          </a:p>
        </c:rich>
      </c:tx>
      <c:layout>
        <c:manualLayout>
          <c:xMode val="edge"/>
          <c:yMode val="edge"/>
          <c:x val="0.68873239436619704"/>
          <c:y val="5.5443548387096767E-2"/>
        </c:manualLayout>
      </c:layout>
      <c:overlay val="0"/>
      <c:spPr>
        <a:noFill/>
        <a:ln>
          <a:noFill/>
        </a:ln>
        <a:effectLst/>
      </c:spPr>
    </c:title>
    <c:autoTitleDeleted val="0"/>
    <c:plotArea>
      <c:layout>
        <c:manualLayout>
          <c:layoutTarget val="inner"/>
          <c:xMode val="edge"/>
          <c:yMode val="edge"/>
          <c:x val="0.11048131307530212"/>
          <c:y val="0.21016954533909071"/>
          <c:w val="0.56760452478651435"/>
          <c:h val="0.60937380937261876"/>
        </c:manualLayout>
      </c:layout>
      <c:radarChart>
        <c:radarStyle val="marker"/>
        <c:varyColors val="0"/>
        <c:ser>
          <c:idx val="0"/>
          <c:order val="0"/>
          <c:tx>
            <c:strRef>
              <c:f>Sheet1!$B$1</c:f>
              <c:strCache>
                <c:ptCount val="1"/>
                <c:pt idx="0">
                  <c:v>2012</c:v>
                </c:pt>
              </c:strCache>
            </c:strRef>
          </c:tx>
          <c:spPr>
            <a:ln w="28575" cap="rnd">
              <a:solidFill>
                <a:schemeClr val="accent1"/>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Sheet1!$B$2:$B$9</c:f>
              <c:numCache>
                <c:formatCode>General</c:formatCode>
                <c:ptCount val="8"/>
                <c:pt idx="0">
                  <c:v>37.1</c:v>
                </c:pt>
                <c:pt idx="1">
                  <c:v>4.8</c:v>
                </c:pt>
                <c:pt idx="2">
                  <c:v>0</c:v>
                </c:pt>
                <c:pt idx="3">
                  <c:v>8.9</c:v>
                </c:pt>
                <c:pt idx="4">
                  <c:v>22.6</c:v>
                </c:pt>
                <c:pt idx="5">
                  <c:v>4.8</c:v>
                </c:pt>
                <c:pt idx="6">
                  <c:v>7.3</c:v>
                </c:pt>
                <c:pt idx="7">
                  <c:v>11.3</c:v>
                </c:pt>
              </c:numCache>
            </c:numRef>
          </c:val>
          <c:extLst>
            <c:ext xmlns:c16="http://schemas.microsoft.com/office/drawing/2014/chart" uri="{C3380CC4-5D6E-409C-BE32-E72D297353CC}">
              <c16:uniqueId val="{00000000-6239-4213-B788-7ECBB7C58BBD}"/>
            </c:ext>
          </c:extLst>
        </c:ser>
        <c:ser>
          <c:idx val="1"/>
          <c:order val="1"/>
          <c:tx>
            <c:strRef>
              <c:f>Sheet1!$C$1</c:f>
              <c:strCache>
                <c:ptCount val="1"/>
                <c:pt idx="0">
                  <c:v>2013</c:v>
                </c:pt>
              </c:strCache>
            </c:strRef>
          </c:tx>
          <c:spPr>
            <a:ln w="28575" cap="rnd">
              <a:solidFill>
                <a:schemeClr val="accent2"/>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Sheet1!$C$2:$C$9</c:f>
              <c:numCache>
                <c:formatCode>General</c:formatCode>
                <c:ptCount val="8"/>
                <c:pt idx="0">
                  <c:v>25.8</c:v>
                </c:pt>
                <c:pt idx="1">
                  <c:v>6.5</c:v>
                </c:pt>
                <c:pt idx="2">
                  <c:v>2.4</c:v>
                </c:pt>
                <c:pt idx="3">
                  <c:v>12.9</c:v>
                </c:pt>
                <c:pt idx="4">
                  <c:v>29.9</c:v>
                </c:pt>
                <c:pt idx="5">
                  <c:v>5.6</c:v>
                </c:pt>
                <c:pt idx="6">
                  <c:v>4</c:v>
                </c:pt>
                <c:pt idx="7">
                  <c:v>7.3</c:v>
                </c:pt>
              </c:numCache>
            </c:numRef>
          </c:val>
          <c:extLst>
            <c:ext xmlns:c16="http://schemas.microsoft.com/office/drawing/2014/chart" uri="{C3380CC4-5D6E-409C-BE32-E72D297353CC}">
              <c16:uniqueId val="{00000001-6239-4213-B788-7ECBB7C58BBD}"/>
            </c:ext>
          </c:extLst>
        </c:ser>
        <c:ser>
          <c:idx val="2"/>
          <c:order val="2"/>
          <c:tx>
            <c:strRef>
              <c:f>Sheet1!$D$1</c:f>
              <c:strCache>
                <c:ptCount val="1"/>
                <c:pt idx="0">
                  <c:v>2014</c:v>
                </c:pt>
              </c:strCache>
            </c:strRef>
          </c:tx>
          <c:spPr>
            <a:ln w="28575" cap="rnd">
              <a:solidFill>
                <a:schemeClr val="accent3"/>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Sheet1!$D$2:$D$9</c:f>
              <c:numCache>
                <c:formatCode>General</c:formatCode>
                <c:ptCount val="8"/>
                <c:pt idx="0">
                  <c:v>30</c:v>
                </c:pt>
                <c:pt idx="1">
                  <c:v>14.5</c:v>
                </c:pt>
                <c:pt idx="2">
                  <c:v>0.8</c:v>
                </c:pt>
                <c:pt idx="3">
                  <c:v>8.9</c:v>
                </c:pt>
                <c:pt idx="4">
                  <c:v>29</c:v>
                </c:pt>
                <c:pt idx="5">
                  <c:v>4</c:v>
                </c:pt>
                <c:pt idx="6">
                  <c:v>4</c:v>
                </c:pt>
                <c:pt idx="7">
                  <c:v>5.6</c:v>
                </c:pt>
              </c:numCache>
            </c:numRef>
          </c:val>
          <c:extLst>
            <c:ext xmlns:c16="http://schemas.microsoft.com/office/drawing/2014/chart" uri="{C3380CC4-5D6E-409C-BE32-E72D297353CC}">
              <c16:uniqueId val="{00000002-6239-4213-B788-7ECBB7C58BBD}"/>
            </c:ext>
          </c:extLst>
        </c:ser>
        <c:ser>
          <c:idx val="3"/>
          <c:order val="3"/>
          <c:tx>
            <c:strRef>
              <c:f>Sheet1!$E$1</c:f>
              <c:strCache>
                <c:ptCount val="1"/>
                <c:pt idx="0">
                  <c:v>2015</c:v>
                </c:pt>
              </c:strCache>
            </c:strRef>
          </c:tx>
          <c:spPr>
            <a:ln w="28575" cap="rnd">
              <a:solidFill>
                <a:schemeClr val="accent4"/>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Sheet1!$E$2:$E$9</c:f>
              <c:numCache>
                <c:formatCode>General</c:formatCode>
                <c:ptCount val="8"/>
                <c:pt idx="0">
                  <c:v>33.1</c:v>
                </c:pt>
                <c:pt idx="1">
                  <c:v>1.6</c:v>
                </c:pt>
                <c:pt idx="2">
                  <c:v>3.2</c:v>
                </c:pt>
                <c:pt idx="3">
                  <c:v>0.8</c:v>
                </c:pt>
                <c:pt idx="4">
                  <c:v>24.2</c:v>
                </c:pt>
                <c:pt idx="5">
                  <c:v>8.9</c:v>
                </c:pt>
                <c:pt idx="6">
                  <c:v>8.9</c:v>
                </c:pt>
                <c:pt idx="7">
                  <c:v>16.899999999999999</c:v>
                </c:pt>
              </c:numCache>
            </c:numRef>
          </c:val>
          <c:extLst>
            <c:ext xmlns:c16="http://schemas.microsoft.com/office/drawing/2014/chart" uri="{C3380CC4-5D6E-409C-BE32-E72D297353CC}">
              <c16:uniqueId val="{00000003-6239-4213-B788-7ECBB7C58BBD}"/>
            </c:ext>
          </c:extLst>
        </c:ser>
        <c:ser>
          <c:idx val="4"/>
          <c:order val="4"/>
          <c:tx>
            <c:strRef>
              <c:f>Sheet1!$F$1</c:f>
              <c:strCache>
                <c:ptCount val="1"/>
                <c:pt idx="0">
                  <c:v>2016</c:v>
                </c:pt>
              </c:strCache>
            </c:strRef>
          </c:tx>
          <c:spPr>
            <a:ln w="28575" cap="rnd">
              <a:solidFill>
                <a:schemeClr val="accent5"/>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Sheet1!$F$2:$F$9</c:f>
              <c:numCache>
                <c:formatCode>General</c:formatCode>
                <c:ptCount val="8"/>
                <c:pt idx="0">
                  <c:v>36.4</c:v>
                </c:pt>
                <c:pt idx="1">
                  <c:v>16.899999999999999</c:v>
                </c:pt>
                <c:pt idx="2">
                  <c:v>3.2</c:v>
                </c:pt>
                <c:pt idx="3">
                  <c:v>0.8</c:v>
                </c:pt>
                <c:pt idx="4">
                  <c:v>12.1</c:v>
                </c:pt>
                <c:pt idx="5">
                  <c:v>10.5</c:v>
                </c:pt>
                <c:pt idx="6">
                  <c:v>3.2</c:v>
                </c:pt>
                <c:pt idx="7">
                  <c:v>12.1</c:v>
                </c:pt>
              </c:numCache>
            </c:numRef>
          </c:val>
          <c:extLst>
            <c:ext xmlns:c16="http://schemas.microsoft.com/office/drawing/2014/chart" uri="{C3380CC4-5D6E-409C-BE32-E72D297353CC}">
              <c16:uniqueId val="{00000004-6239-4213-B788-7ECBB7C58BBD}"/>
            </c:ext>
          </c:extLst>
        </c:ser>
        <c:ser>
          <c:idx val="5"/>
          <c:order val="5"/>
          <c:tx>
            <c:strRef>
              <c:f>Sheet1!$G$1</c:f>
              <c:strCache>
                <c:ptCount val="1"/>
                <c:pt idx="0">
                  <c:v>calm 2012 3,2%</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Sheet1!$G$2:$G$9</c:f>
              <c:numCache>
                <c:formatCode>General</c:formatCode>
                <c:ptCount val="8"/>
              </c:numCache>
            </c:numRef>
          </c:val>
          <c:extLst>
            <c:ext xmlns:c16="http://schemas.microsoft.com/office/drawing/2014/chart" uri="{C3380CC4-5D6E-409C-BE32-E72D297353CC}">
              <c16:uniqueId val="{00000005-6239-4213-B788-7ECBB7C58BBD}"/>
            </c:ext>
          </c:extLst>
        </c:ser>
        <c:ser>
          <c:idx val="6"/>
          <c:order val="6"/>
          <c:tx>
            <c:strRef>
              <c:f>Sheet1!$H$1</c:f>
              <c:strCache>
                <c:ptCount val="1"/>
                <c:pt idx="0">
                  <c:v>calm 2013 5,6%</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Sheet1!$H$2:$H$9</c:f>
              <c:numCache>
                <c:formatCode>General</c:formatCode>
                <c:ptCount val="8"/>
              </c:numCache>
            </c:numRef>
          </c:val>
          <c:extLst>
            <c:ext xmlns:c16="http://schemas.microsoft.com/office/drawing/2014/chart" uri="{C3380CC4-5D6E-409C-BE32-E72D297353CC}">
              <c16:uniqueId val="{00000006-6239-4213-B788-7ECBB7C58BBD}"/>
            </c:ext>
          </c:extLst>
        </c:ser>
        <c:ser>
          <c:idx val="7"/>
          <c:order val="7"/>
          <c:tx>
            <c:strRef>
              <c:f>Sheet1!$I$1</c:f>
              <c:strCache>
                <c:ptCount val="1"/>
                <c:pt idx="0">
                  <c:v>calm 2014 3,2%</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Sheet1!$I$2:$I$9</c:f>
              <c:numCache>
                <c:formatCode>General</c:formatCode>
                <c:ptCount val="8"/>
              </c:numCache>
            </c:numRef>
          </c:val>
          <c:extLst>
            <c:ext xmlns:c16="http://schemas.microsoft.com/office/drawing/2014/chart" uri="{C3380CC4-5D6E-409C-BE32-E72D297353CC}">
              <c16:uniqueId val="{00000007-6239-4213-B788-7ECBB7C58BBD}"/>
            </c:ext>
          </c:extLst>
        </c:ser>
        <c:ser>
          <c:idx val="8"/>
          <c:order val="8"/>
          <c:tx>
            <c:strRef>
              <c:f>Sheet1!$J$1</c:f>
              <c:strCache>
                <c:ptCount val="1"/>
                <c:pt idx="0">
                  <c:v>calm 2015 2,4%</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Sheet1!$J$2:$J$9</c:f>
              <c:numCache>
                <c:formatCode>General</c:formatCode>
                <c:ptCount val="8"/>
              </c:numCache>
            </c:numRef>
          </c:val>
          <c:extLst>
            <c:ext xmlns:c16="http://schemas.microsoft.com/office/drawing/2014/chart" uri="{C3380CC4-5D6E-409C-BE32-E72D297353CC}">
              <c16:uniqueId val="{00000008-6239-4213-B788-7ECBB7C58BBD}"/>
            </c:ext>
          </c:extLst>
        </c:ser>
        <c:ser>
          <c:idx val="9"/>
          <c:order val="9"/>
          <c:tx>
            <c:strRef>
              <c:f>Sheet1!$K$1</c:f>
              <c:strCache>
                <c:ptCount val="1"/>
                <c:pt idx="0">
                  <c:v>calm 2016 4,8%</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Sheet1!$K$2:$K$9</c:f>
              <c:numCache>
                <c:formatCode>General</c:formatCode>
                <c:ptCount val="8"/>
              </c:numCache>
            </c:numRef>
          </c:val>
          <c:extLst>
            <c:ext xmlns:c16="http://schemas.microsoft.com/office/drawing/2014/chart" uri="{C3380CC4-5D6E-409C-BE32-E72D297353CC}">
              <c16:uniqueId val="{00000009-6239-4213-B788-7ECBB7C58BBD}"/>
            </c:ext>
          </c:extLst>
        </c:ser>
        <c:dLbls>
          <c:showLegendKey val="0"/>
          <c:showVal val="0"/>
          <c:showCatName val="0"/>
          <c:showSerName val="0"/>
          <c:showPercent val="0"/>
          <c:showBubbleSize val="0"/>
        </c:dLbls>
        <c:axId val="410303488"/>
        <c:axId val="392383296"/>
      </c:radarChart>
      <c:catAx>
        <c:axId val="410303488"/>
        <c:scaling>
          <c:orientation val="minMax"/>
        </c:scaling>
        <c:delete val="0"/>
        <c:axPos val="b"/>
        <c:numFmt formatCode="General" sourceLinked="1"/>
        <c:majorTickMark val="none"/>
        <c:minorTickMark val="none"/>
        <c:tickLblPos val="nextTo"/>
        <c:spPr>
          <a:noFill/>
          <a:ln w="25400" cap="flat" cmpd="sng" algn="ctr">
            <a:no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392383296"/>
        <c:crosses val="autoZero"/>
        <c:auto val="1"/>
        <c:lblAlgn val="ctr"/>
        <c:lblOffset val="100"/>
        <c:noMultiLvlLbl val="0"/>
      </c:catAx>
      <c:valAx>
        <c:axId val="3923832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0303488"/>
        <c:crosses val="autoZero"/>
        <c:crossBetween val="between"/>
      </c:valAx>
      <c:spPr>
        <a:noFill/>
        <a:ln>
          <a:noFill/>
        </a:ln>
        <a:effectLst/>
      </c:spPr>
    </c:plotArea>
    <c:legend>
      <c:legendPos val="r"/>
      <c:legendEntry>
        <c:idx val="0"/>
        <c:delete val="1"/>
      </c:legendEntry>
      <c:legendEntry>
        <c:idx val="1"/>
        <c:delete val="1"/>
      </c:legendEntry>
      <c:legendEntry>
        <c:idx val="2"/>
        <c:delete val="1"/>
      </c:legendEntry>
      <c:legendEntry>
        <c:idx val="3"/>
        <c:delete val="1"/>
      </c:legendEntry>
      <c:legendEntry>
        <c:idx val="4"/>
        <c:delete val="1"/>
      </c:legendEntry>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r>
              <a:rPr lang="ro-RO" sz="1100"/>
              <a:t>FEBRUARIE</a:t>
            </a:r>
          </a:p>
        </c:rich>
      </c:tx>
      <c:layout>
        <c:manualLayout>
          <c:xMode val="edge"/>
          <c:yMode val="edge"/>
          <c:x val="0.68873239436619704"/>
          <c:y val="5.5443548387096767E-2"/>
        </c:manualLayout>
      </c:layout>
      <c:overlay val="0"/>
      <c:spPr>
        <a:noFill/>
        <a:ln>
          <a:noFill/>
        </a:ln>
        <a:effectLst/>
      </c:spPr>
    </c:title>
    <c:autoTitleDeleted val="0"/>
    <c:plotArea>
      <c:layout>
        <c:manualLayout>
          <c:layoutTarget val="inner"/>
          <c:xMode val="edge"/>
          <c:yMode val="edge"/>
          <c:x val="0.11048131307530212"/>
          <c:y val="0.21016954533909071"/>
          <c:w val="0.56760452478651435"/>
          <c:h val="0.60937380937261876"/>
        </c:manualLayout>
      </c:layout>
      <c:radarChart>
        <c:radarStyle val="marker"/>
        <c:varyColors val="0"/>
        <c:ser>
          <c:idx val="0"/>
          <c:order val="0"/>
          <c:tx>
            <c:strRef>
              <c:f>Sheet1!$B$1</c:f>
              <c:strCache>
                <c:ptCount val="1"/>
                <c:pt idx="0">
                  <c:v>2012</c:v>
                </c:pt>
              </c:strCache>
            </c:strRef>
          </c:tx>
          <c:spPr>
            <a:ln w="28575" cap="rnd">
              <a:solidFill>
                <a:schemeClr val="accent1"/>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Sheet1!$B$2:$B$9</c:f>
              <c:numCache>
                <c:formatCode>General</c:formatCode>
                <c:ptCount val="8"/>
                <c:pt idx="0">
                  <c:v>49</c:v>
                </c:pt>
                <c:pt idx="1">
                  <c:v>14.7</c:v>
                </c:pt>
                <c:pt idx="2">
                  <c:v>6.9</c:v>
                </c:pt>
                <c:pt idx="3">
                  <c:v>2.6</c:v>
                </c:pt>
                <c:pt idx="4">
                  <c:v>14.7</c:v>
                </c:pt>
                <c:pt idx="5">
                  <c:v>1.7</c:v>
                </c:pt>
                <c:pt idx="6">
                  <c:v>0</c:v>
                </c:pt>
                <c:pt idx="7">
                  <c:v>7.8</c:v>
                </c:pt>
              </c:numCache>
            </c:numRef>
          </c:val>
          <c:extLst>
            <c:ext xmlns:c16="http://schemas.microsoft.com/office/drawing/2014/chart" uri="{C3380CC4-5D6E-409C-BE32-E72D297353CC}">
              <c16:uniqueId val="{00000000-2D36-4F6D-B4BD-462717885252}"/>
            </c:ext>
          </c:extLst>
        </c:ser>
        <c:ser>
          <c:idx val="1"/>
          <c:order val="1"/>
          <c:tx>
            <c:strRef>
              <c:f>Sheet1!$C$1</c:f>
              <c:strCache>
                <c:ptCount val="1"/>
                <c:pt idx="0">
                  <c:v>2013</c:v>
                </c:pt>
              </c:strCache>
            </c:strRef>
          </c:tx>
          <c:spPr>
            <a:ln w="28575" cap="rnd">
              <a:solidFill>
                <a:schemeClr val="accent2"/>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Sheet1!$C$2:$C$9</c:f>
              <c:numCache>
                <c:formatCode>General</c:formatCode>
                <c:ptCount val="8"/>
                <c:pt idx="0">
                  <c:v>25</c:v>
                </c:pt>
                <c:pt idx="1">
                  <c:v>20.5</c:v>
                </c:pt>
                <c:pt idx="2">
                  <c:v>7.1</c:v>
                </c:pt>
                <c:pt idx="3">
                  <c:v>12.5</c:v>
                </c:pt>
                <c:pt idx="4">
                  <c:v>24.1</c:v>
                </c:pt>
                <c:pt idx="5">
                  <c:v>0.9</c:v>
                </c:pt>
                <c:pt idx="6">
                  <c:v>4.5</c:v>
                </c:pt>
                <c:pt idx="7">
                  <c:v>4.5</c:v>
                </c:pt>
              </c:numCache>
            </c:numRef>
          </c:val>
          <c:extLst>
            <c:ext xmlns:c16="http://schemas.microsoft.com/office/drawing/2014/chart" uri="{C3380CC4-5D6E-409C-BE32-E72D297353CC}">
              <c16:uniqueId val="{00000001-2D36-4F6D-B4BD-462717885252}"/>
            </c:ext>
          </c:extLst>
        </c:ser>
        <c:ser>
          <c:idx val="2"/>
          <c:order val="2"/>
          <c:tx>
            <c:strRef>
              <c:f>Sheet1!$D$1</c:f>
              <c:strCache>
                <c:ptCount val="1"/>
                <c:pt idx="0">
                  <c:v>2014</c:v>
                </c:pt>
              </c:strCache>
            </c:strRef>
          </c:tx>
          <c:spPr>
            <a:ln w="28575" cap="rnd">
              <a:solidFill>
                <a:schemeClr val="accent3"/>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Sheet1!$D$2:$D$9</c:f>
              <c:numCache>
                <c:formatCode>General</c:formatCode>
                <c:ptCount val="8"/>
                <c:pt idx="0">
                  <c:v>37.4</c:v>
                </c:pt>
                <c:pt idx="1">
                  <c:v>10.7</c:v>
                </c:pt>
                <c:pt idx="2">
                  <c:v>4.5</c:v>
                </c:pt>
                <c:pt idx="3">
                  <c:v>4.5</c:v>
                </c:pt>
                <c:pt idx="4">
                  <c:v>20.5</c:v>
                </c:pt>
                <c:pt idx="5">
                  <c:v>6.3</c:v>
                </c:pt>
                <c:pt idx="6">
                  <c:v>2.7</c:v>
                </c:pt>
                <c:pt idx="7">
                  <c:v>8</c:v>
                </c:pt>
              </c:numCache>
            </c:numRef>
          </c:val>
          <c:extLst>
            <c:ext xmlns:c16="http://schemas.microsoft.com/office/drawing/2014/chart" uri="{C3380CC4-5D6E-409C-BE32-E72D297353CC}">
              <c16:uniqueId val="{00000002-2D36-4F6D-B4BD-462717885252}"/>
            </c:ext>
          </c:extLst>
        </c:ser>
        <c:ser>
          <c:idx val="3"/>
          <c:order val="3"/>
          <c:tx>
            <c:strRef>
              <c:f>Sheet1!$E$1</c:f>
              <c:strCache>
                <c:ptCount val="1"/>
                <c:pt idx="0">
                  <c:v>2015</c:v>
                </c:pt>
              </c:strCache>
            </c:strRef>
          </c:tx>
          <c:spPr>
            <a:ln w="28575" cap="rnd">
              <a:solidFill>
                <a:schemeClr val="accent4"/>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Sheet1!$E$2:$E$9</c:f>
              <c:numCache>
                <c:formatCode>General</c:formatCode>
                <c:ptCount val="8"/>
                <c:pt idx="0">
                  <c:v>55.2</c:v>
                </c:pt>
                <c:pt idx="1">
                  <c:v>2.7</c:v>
                </c:pt>
                <c:pt idx="2">
                  <c:v>2.7</c:v>
                </c:pt>
                <c:pt idx="3">
                  <c:v>1.8</c:v>
                </c:pt>
                <c:pt idx="4">
                  <c:v>6.3</c:v>
                </c:pt>
                <c:pt idx="5">
                  <c:v>7.1</c:v>
                </c:pt>
                <c:pt idx="6">
                  <c:v>3.6</c:v>
                </c:pt>
                <c:pt idx="7">
                  <c:v>17</c:v>
                </c:pt>
              </c:numCache>
            </c:numRef>
          </c:val>
          <c:extLst>
            <c:ext xmlns:c16="http://schemas.microsoft.com/office/drawing/2014/chart" uri="{C3380CC4-5D6E-409C-BE32-E72D297353CC}">
              <c16:uniqueId val="{00000003-2D36-4F6D-B4BD-462717885252}"/>
            </c:ext>
          </c:extLst>
        </c:ser>
        <c:ser>
          <c:idx val="4"/>
          <c:order val="4"/>
          <c:tx>
            <c:strRef>
              <c:f>Sheet1!$F$1</c:f>
              <c:strCache>
                <c:ptCount val="1"/>
                <c:pt idx="0">
                  <c:v>2016</c:v>
                </c:pt>
              </c:strCache>
            </c:strRef>
          </c:tx>
          <c:spPr>
            <a:ln w="28575" cap="rnd">
              <a:solidFill>
                <a:schemeClr val="accent5"/>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Sheet1!$F$2:$F$9</c:f>
              <c:numCache>
                <c:formatCode>General</c:formatCode>
                <c:ptCount val="8"/>
                <c:pt idx="0">
                  <c:v>24.1</c:v>
                </c:pt>
                <c:pt idx="1">
                  <c:v>4.3</c:v>
                </c:pt>
                <c:pt idx="2">
                  <c:v>4.3</c:v>
                </c:pt>
                <c:pt idx="3">
                  <c:v>6</c:v>
                </c:pt>
                <c:pt idx="4">
                  <c:v>38.9</c:v>
                </c:pt>
                <c:pt idx="5">
                  <c:v>17.2</c:v>
                </c:pt>
                <c:pt idx="6">
                  <c:v>0.9</c:v>
                </c:pt>
                <c:pt idx="7">
                  <c:v>2.6</c:v>
                </c:pt>
              </c:numCache>
            </c:numRef>
          </c:val>
          <c:extLst>
            <c:ext xmlns:c16="http://schemas.microsoft.com/office/drawing/2014/chart" uri="{C3380CC4-5D6E-409C-BE32-E72D297353CC}">
              <c16:uniqueId val="{00000004-2D36-4F6D-B4BD-462717885252}"/>
            </c:ext>
          </c:extLst>
        </c:ser>
        <c:ser>
          <c:idx val="5"/>
          <c:order val="5"/>
          <c:tx>
            <c:strRef>
              <c:f>Sheet1!$G$1</c:f>
              <c:strCache>
                <c:ptCount val="1"/>
                <c:pt idx="0">
                  <c:v>calm 2012 2,6%</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Sheet1!$G$2:$G$9</c:f>
              <c:numCache>
                <c:formatCode>General</c:formatCode>
                <c:ptCount val="8"/>
              </c:numCache>
            </c:numRef>
          </c:val>
          <c:extLst>
            <c:ext xmlns:c16="http://schemas.microsoft.com/office/drawing/2014/chart" uri="{C3380CC4-5D6E-409C-BE32-E72D297353CC}">
              <c16:uniqueId val="{00000005-2D36-4F6D-B4BD-462717885252}"/>
            </c:ext>
          </c:extLst>
        </c:ser>
        <c:ser>
          <c:idx val="6"/>
          <c:order val="6"/>
          <c:tx>
            <c:strRef>
              <c:f>Sheet1!$H$1</c:f>
              <c:strCache>
                <c:ptCount val="1"/>
                <c:pt idx="0">
                  <c:v>calm 2013 0,9%</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Sheet1!$H$2:$H$9</c:f>
              <c:numCache>
                <c:formatCode>General</c:formatCode>
                <c:ptCount val="8"/>
              </c:numCache>
            </c:numRef>
          </c:val>
          <c:extLst>
            <c:ext xmlns:c16="http://schemas.microsoft.com/office/drawing/2014/chart" uri="{C3380CC4-5D6E-409C-BE32-E72D297353CC}">
              <c16:uniqueId val="{00000006-2D36-4F6D-B4BD-462717885252}"/>
            </c:ext>
          </c:extLst>
        </c:ser>
        <c:ser>
          <c:idx val="7"/>
          <c:order val="7"/>
          <c:tx>
            <c:strRef>
              <c:f>Sheet1!$I$1</c:f>
              <c:strCache>
                <c:ptCount val="1"/>
                <c:pt idx="0">
                  <c:v>calm 2014 5,4%</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Sheet1!$I$2:$I$9</c:f>
              <c:numCache>
                <c:formatCode>General</c:formatCode>
                <c:ptCount val="8"/>
              </c:numCache>
            </c:numRef>
          </c:val>
          <c:extLst>
            <c:ext xmlns:c16="http://schemas.microsoft.com/office/drawing/2014/chart" uri="{C3380CC4-5D6E-409C-BE32-E72D297353CC}">
              <c16:uniqueId val="{00000007-2D36-4F6D-B4BD-462717885252}"/>
            </c:ext>
          </c:extLst>
        </c:ser>
        <c:ser>
          <c:idx val="8"/>
          <c:order val="8"/>
          <c:tx>
            <c:strRef>
              <c:f>Sheet1!$J$1</c:f>
              <c:strCache>
                <c:ptCount val="1"/>
                <c:pt idx="0">
                  <c:v>calm 2015 3,6%</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Sheet1!$J$2:$J$9</c:f>
              <c:numCache>
                <c:formatCode>General</c:formatCode>
                <c:ptCount val="8"/>
              </c:numCache>
            </c:numRef>
          </c:val>
          <c:extLst>
            <c:ext xmlns:c16="http://schemas.microsoft.com/office/drawing/2014/chart" uri="{C3380CC4-5D6E-409C-BE32-E72D297353CC}">
              <c16:uniqueId val="{00000008-2D36-4F6D-B4BD-462717885252}"/>
            </c:ext>
          </c:extLst>
        </c:ser>
        <c:ser>
          <c:idx val="9"/>
          <c:order val="9"/>
          <c:tx>
            <c:strRef>
              <c:f>Sheet1!$K$1</c:f>
              <c:strCache>
                <c:ptCount val="1"/>
                <c:pt idx="0">
                  <c:v>calm 2016 1,7%</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Sheet1!$K$2:$K$9</c:f>
              <c:numCache>
                <c:formatCode>General</c:formatCode>
                <c:ptCount val="8"/>
              </c:numCache>
            </c:numRef>
          </c:val>
          <c:extLst>
            <c:ext xmlns:c16="http://schemas.microsoft.com/office/drawing/2014/chart" uri="{C3380CC4-5D6E-409C-BE32-E72D297353CC}">
              <c16:uniqueId val="{00000009-2D36-4F6D-B4BD-462717885252}"/>
            </c:ext>
          </c:extLst>
        </c:ser>
        <c:dLbls>
          <c:showLegendKey val="0"/>
          <c:showVal val="0"/>
          <c:showCatName val="0"/>
          <c:showSerName val="0"/>
          <c:showPercent val="0"/>
          <c:showBubbleSize val="0"/>
        </c:dLbls>
        <c:axId val="410380800"/>
        <c:axId val="392382144"/>
      </c:radarChart>
      <c:catAx>
        <c:axId val="410380800"/>
        <c:scaling>
          <c:orientation val="minMax"/>
        </c:scaling>
        <c:delete val="0"/>
        <c:axPos val="b"/>
        <c:numFmt formatCode="General" sourceLinked="1"/>
        <c:majorTickMark val="none"/>
        <c:minorTickMark val="none"/>
        <c:tickLblPos val="nextTo"/>
        <c:spPr>
          <a:noFill/>
          <a:ln w="25400" cap="flat" cmpd="sng" algn="ctr">
            <a:no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392382144"/>
        <c:crosses val="autoZero"/>
        <c:auto val="1"/>
        <c:lblAlgn val="ctr"/>
        <c:lblOffset val="100"/>
        <c:noMultiLvlLbl val="0"/>
      </c:catAx>
      <c:valAx>
        <c:axId val="3923821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0380800"/>
        <c:crosses val="autoZero"/>
        <c:crossBetween val="between"/>
      </c:valAx>
      <c:spPr>
        <a:noFill/>
        <a:ln>
          <a:noFill/>
        </a:ln>
        <a:effectLst/>
      </c:spPr>
    </c:plotArea>
    <c:legend>
      <c:legendPos val="r"/>
      <c:legendEntry>
        <c:idx val="0"/>
        <c:delete val="1"/>
      </c:legendEntry>
      <c:legendEntry>
        <c:idx val="1"/>
        <c:delete val="1"/>
      </c:legendEntry>
      <c:legendEntry>
        <c:idx val="2"/>
        <c:delete val="1"/>
      </c:legendEntry>
      <c:legendEntry>
        <c:idx val="3"/>
        <c:delete val="1"/>
      </c:legendEntry>
      <c:legendEntry>
        <c:idx val="4"/>
        <c:delete val="1"/>
      </c:legendEntry>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71110265491906455"/>
          <c:y val="6.0240963855421749E-2"/>
        </c:manualLayout>
      </c:layout>
      <c:overlay val="0"/>
      <c:spPr>
        <a:noFill/>
        <a:ln>
          <a:noFill/>
        </a:ln>
        <a:effectLst/>
      </c:spPr>
      <c:txPr>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endParaRPr lang="en-US"/>
        </a:p>
      </c:txPr>
    </c:title>
    <c:autoTitleDeleted val="0"/>
    <c:plotArea>
      <c:layout>
        <c:manualLayout>
          <c:layoutTarget val="inner"/>
          <c:xMode val="edge"/>
          <c:yMode val="edge"/>
          <c:x val="8.2060318668344887E-2"/>
          <c:y val="7.4155295543951172E-2"/>
          <c:w val="0.5176551629931021"/>
          <c:h val="0.89876875330342765"/>
        </c:manualLayout>
      </c:layout>
      <c:doughnutChart>
        <c:varyColors val="1"/>
        <c:ser>
          <c:idx val="0"/>
          <c:order val="0"/>
          <c:tx>
            <c:strRef>
              <c:f>Sheet1!$B$1</c:f>
              <c:strCache>
                <c:ptCount val="1"/>
                <c:pt idx="0">
                  <c:v>CO</c:v>
                </c:pt>
              </c:strCache>
            </c:strRef>
          </c:tx>
          <c:spPr>
            <a:ln>
              <a:noFill/>
            </a:ln>
            <a:effectLst>
              <a:outerShdw blurRad="50800" dist="38100" dir="2700000" algn="tl" rotWithShape="0">
                <a:prstClr val="black">
                  <a:alpha val="40000"/>
                </a:prstClr>
              </a:outerShdw>
            </a:effectLst>
          </c:spPr>
          <c:dPt>
            <c:idx val="0"/>
            <c:bubble3D val="0"/>
            <c:spPr>
              <a:solidFill>
                <a:schemeClr val="accent1"/>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9700-4AD5-943F-F5C953D176F2}"/>
              </c:ext>
            </c:extLst>
          </c:dPt>
          <c:dPt>
            <c:idx val="1"/>
            <c:bubble3D val="0"/>
            <c:spPr>
              <a:solidFill>
                <a:schemeClr val="accent2"/>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9700-4AD5-943F-F5C953D176F2}"/>
              </c:ext>
            </c:extLst>
          </c:dPt>
          <c:dPt>
            <c:idx val="2"/>
            <c:bubble3D val="0"/>
            <c:spPr>
              <a:solidFill>
                <a:schemeClr val="accent3"/>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9700-4AD5-943F-F5C953D176F2}"/>
              </c:ext>
            </c:extLst>
          </c:dPt>
          <c:dLbls>
            <c:spPr>
              <a:noFill/>
              <a:ln>
                <a:noFill/>
              </a:ln>
              <a:effectLst/>
            </c:spPr>
            <c:txPr>
              <a:bodyPr rot="0" spcFirstLastPara="1" vertOverflow="ellipsis" vert="horz" wrap="square" anchor="ctr" anchorCtr="1"/>
              <a:lstStyle/>
              <a:p>
                <a:pPr>
                  <a:defRPr lang="en-US" sz="11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Surse staționare</c:v>
                </c:pt>
                <c:pt idx="1">
                  <c:v>Surse mobile</c:v>
                </c:pt>
                <c:pt idx="2">
                  <c:v>Surse de suprafață</c:v>
                </c:pt>
              </c:strCache>
            </c:strRef>
          </c:cat>
          <c:val>
            <c:numRef>
              <c:f>Sheet1!$B$2:$B$4</c:f>
              <c:numCache>
                <c:formatCode>General</c:formatCode>
                <c:ptCount val="3"/>
                <c:pt idx="0">
                  <c:v>249.32043000000016</c:v>
                </c:pt>
                <c:pt idx="1">
                  <c:v>3700.4261839999999</c:v>
                </c:pt>
                <c:pt idx="2">
                  <c:v>1359.3632169999992</c:v>
                </c:pt>
              </c:numCache>
            </c:numRef>
          </c:val>
          <c:extLst>
            <c:ext xmlns:c16="http://schemas.microsoft.com/office/drawing/2014/chart" uri="{C3380CC4-5D6E-409C-BE32-E72D297353CC}">
              <c16:uniqueId val="{00000006-9700-4AD5-943F-F5C953D176F2}"/>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69065597283610991"/>
          <c:y val="0.26225690162223697"/>
          <c:w val="0.27960425021221796"/>
          <c:h val="0.69420358599753296"/>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r>
              <a:rPr lang="ro-RO" sz="1100"/>
              <a:t>MARTIE</a:t>
            </a:r>
          </a:p>
        </c:rich>
      </c:tx>
      <c:layout>
        <c:manualLayout>
          <c:xMode val="edge"/>
          <c:yMode val="edge"/>
          <c:x val="0.68873239436619704"/>
          <c:y val="5.5443548387096767E-2"/>
        </c:manualLayout>
      </c:layout>
      <c:overlay val="0"/>
      <c:spPr>
        <a:noFill/>
        <a:ln>
          <a:noFill/>
        </a:ln>
        <a:effectLst/>
      </c:spPr>
    </c:title>
    <c:autoTitleDeleted val="0"/>
    <c:plotArea>
      <c:layout>
        <c:manualLayout>
          <c:layoutTarget val="inner"/>
          <c:xMode val="edge"/>
          <c:yMode val="edge"/>
          <c:x val="0.11048131307530212"/>
          <c:y val="0.21016954533909071"/>
          <c:w val="0.56760452478651435"/>
          <c:h val="0.60937380937261876"/>
        </c:manualLayout>
      </c:layout>
      <c:radarChart>
        <c:radarStyle val="marker"/>
        <c:varyColors val="0"/>
        <c:ser>
          <c:idx val="0"/>
          <c:order val="0"/>
          <c:tx>
            <c:strRef>
              <c:f>Sheet1!$B$1</c:f>
              <c:strCache>
                <c:ptCount val="1"/>
                <c:pt idx="0">
                  <c:v>2012</c:v>
                </c:pt>
              </c:strCache>
            </c:strRef>
          </c:tx>
          <c:spPr>
            <a:ln w="28575" cap="rnd">
              <a:solidFill>
                <a:schemeClr val="accent1"/>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Sheet1!$B$2:$B$9</c:f>
              <c:numCache>
                <c:formatCode>General</c:formatCode>
                <c:ptCount val="8"/>
                <c:pt idx="0">
                  <c:v>29.1</c:v>
                </c:pt>
                <c:pt idx="1">
                  <c:v>3.2</c:v>
                </c:pt>
                <c:pt idx="2">
                  <c:v>0.8</c:v>
                </c:pt>
                <c:pt idx="3">
                  <c:v>6.5</c:v>
                </c:pt>
                <c:pt idx="4">
                  <c:v>18.5</c:v>
                </c:pt>
                <c:pt idx="5">
                  <c:v>6.5</c:v>
                </c:pt>
                <c:pt idx="6">
                  <c:v>14.5</c:v>
                </c:pt>
                <c:pt idx="7">
                  <c:v>16.899999999999999</c:v>
                </c:pt>
              </c:numCache>
            </c:numRef>
          </c:val>
          <c:extLst>
            <c:ext xmlns:c16="http://schemas.microsoft.com/office/drawing/2014/chart" uri="{C3380CC4-5D6E-409C-BE32-E72D297353CC}">
              <c16:uniqueId val="{00000000-6B54-4332-8A8C-21706AFEA192}"/>
            </c:ext>
          </c:extLst>
        </c:ser>
        <c:ser>
          <c:idx val="1"/>
          <c:order val="1"/>
          <c:tx>
            <c:strRef>
              <c:f>Sheet1!$C$1</c:f>
              <c:strCache>
                <c:ptCount val="1"/>
                <c:pt idx="0">
                  <c:v>2013</c:v>
                </c:pt>
              </c:strCache>
            </c:strRef>
          </c:tx>
          <c:spPr>
            <a:ln w="28575" cap="rnd">
              <a:solidFill>
                <a:schemeClr val="accent2"/>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Sheet1!$C$2:$C$9</c:f>
              <c:numCache>
                <c:formatCode>General</c:formatCode>
                <c:ptCount val="8"/>
                <c:pt idx="0">
                  <c:v>30</c:v>
                </c:pt>
                <c:pt idx="1">
                  <c:v>12.9</c:v>
                </c:pt>
                <c:pt idx="2">
                  <c:v>3.2</c:v>
                </c:pt>
                <c:pt idx="3">
                  <c:v>12.1</c:v>
                </c:pt>
                <c:pt idx="4">
                  <c:v>22.6</c:v>
                </c:pt>
                <c:pt idx="5">
                  <c:v>5.6</c:v>
                </c:pt>
                <c:pt idx="6">
                  <c:v>5.6</c:v>
                </c:pt>
                <c:pt idx="7">
                  <c:v>3.2</c:v>
                </c:pt>
              </c:numCache>
            </c:numRef>
          </c:val>
          <c:extLst>
            <c:ext xmlns:c16="http://schemas.microsoft.com/office/drawing/2014/chart" uri="{C3380CC4-5D6E-409C-BE32-E72D297353CC}">
              <c16:uniqueId val="{00000001-6B54-4332-8A8C-21706AFEA192}"/>
            </c:ext>
          </c:extLst>
        </c:ser>
        <c:ser>
          <c:idx val="2"/>
          <c:order val="2"/>
          <c:tx>
            <c:strRef>
              <c:f>Sheet1!$D$1</c:f>
              <c:strCache>
                <c:ptCount val="1"/>
                <c:pt idx="0">
                  <c:v>2014</c:v>
                </c:pt>
              </c:strCache>
            </c:strRef>
          </c:tx>
          <c:spPr>
            <a:ln w="28575" cap="rnd">
              <a:solidFill>
                <a:schemeClr val="accent3"/>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Sheet1!$D$2:$D$9</c:f>
              <c:numCache>
                <c:formatCode>General</c:formatCode>
                <c:ptCount val="8"/>
                <c:pt idx="0">
                  <c:v>43.6</c:v>
                </c:pt>
                <c:pt idx="1">
                  <c:v>2.4</c:v>
                </c:pt>
                <c:pt idx="2">
                  <c:v>4</c:v>
                </c:pt>
                <c:pt idx="3">
                  <c:v>2.4</c:v>
                </c:pt>
                <c:pt idx="4">
                  <c:v>21.8</c:v>
                </c:pt>
                <c:pt idx="5">
                  <c:v>11.3</c:v>
                </c:pt>
                <c:pt idx="6">
                  <c:v>4.8</c:v>
                </c:pt>
                <c:pt idx="7">
                  <c:v>9.7000000000000011</c:v>
                </c:pt>
              </c:numCache>
            </c:numRef>
          </c:val>
          <c:extLst>
            <c:ext xmlns:c16="http://schemas.microsoft.com/office/drawing/2014/chart" uri="{C3380CC4-5D6E-409C-BE32-E72D297353CC}">
              <c16:uniqueId val="{00000002-6B54-4332-8A8C-21706AFEA192}"/>
            </c:ext>
          </c:extLst>
        </c:ser>
        <c:ser>
          <c:idx val="3"/>
          <c:order val="3"/>
          <c:tx>
            <c:strRef>
              <c:f>Sheet1!$E$1</c:f>
              <c:strCache>
                <c:ptCount val="1"/>
                <c:pt idx="0">
                  <c:v>2015</c:v>
                </c:pt>
              </c:strCache>
            </c:strRef>
          </c:tx>
          <c:spPr>
            <a:ln w="28575" cap="rnd">
              <a:solidFill>
                <a:schemeClr val="accent4"/>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Sheet1!$E$2:$E$9</c:f>
              <c:numCache>
                <c:formatCode>General</c:formatCode>
                <c:ptCount val="8"/>
                <c:pt idx="0">
                  <c:v>41.3</c:v>
                </c:pt>
                <c:pt idx="1">
                  <c:v>1.6</c:v>
                </c:pt>
                <c:pt idx="2">
                  <c:v>5.6</c:v>
                </c:pt>
                <c:pt idx="3">
                  <c:v>4</c:v>
                </c:pt>
                <c:pt idx="4">
                  <c:v>17.7</c:v>
                </c:pt>
                <c:pt idx="5">
                  <c:v>9.7000000000000011</c:v>
                </c:pt>
                <c:pt idx="6">
                  <c:v>4.8</c:v>
                </c:pt>
                <c:pt idx="7">
                  <c:v>13.7</c:v>
                </c:pt>
              </c:numCache>
            </c:numRef>
          </c:val>
          <c:extLst>
            <c:ext xmlns:c16="http://schemas.microsoft.com/office/drawing/2014/chart" uri="{C3380CC4-5D6E-409C-BE32-E72D297353CC}">
              <c16:uniqueId val="{00000003-6B54-4332-8A8C-21706AFEA192}"/>
            </c:ext>
          </c:extLst>
        </c:ser>
        <c:ser>
          <c:idx val="4"/>
          <c:order val="4"/>
          <c:tx>
            <c:strRef>
              <c:f>Sheet1!$F$1</c:f>
              <c:strCache>
                <c:ptCount val="1"/>
                <c:pt idx="0">
                  <c:v>2016</c:v>
                </c:pt>
              </c:strCache>
            </c:strRef>
          </c:tx>
          <c:spPr>
            <a:ln w="28575" cap="rnd">
              <a:solidFill>
                <a:schemeClr val="accent5"/>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Sheet1!$F$2:$F$9</c:f>
              <c:numCache>
                <c:formatCode>General</c:formatCode>
                <c:ptCount val="8"/>
                <c:pt idx="0">
                  <c:v>37.200000000000003</c:v>
                </c:pt>
                <c:pt idx="1">
                  <c:v>1.6</c:v>
                </c:pt>
                <c:pt idx="2">
                  <c:v>3.2</c:v>
                </c:pt>
                <c:pt idx="3">
                  <c:v>4</c:v>
                </c:pt>
                <c:pt idx="4">
                  <c:v>21</c:v>
                </c:pt>
                <c:pt idx="5">
                  <c:v>20.2</c:v>
                </c:pt>
                <c:pt idx="6">
                  <c:v>2.4</c:v>
                </c:pt>
                <c:pt idx="7">
                  <c:v>4.8</c:v>
                </c:pt>
              </c:numCache>
            </c:numRef>
          </c:val>
          <c:extLst>
            <c:ext xmlns:c16="http://schemas.microsoft.com/office/drawing/2014/chart" uri="{C3380CC4-5D6E-409C-BE32-E72D297353CC}">
              <c16:uniqueId val="{00000004-6B54-4332-8A8C-21706AFEA192}"/>
            </c:ext>
          </c:extLst>
        </c:ser>
        <c:ser>
          <c:idx val="5"/>
          <c:order val="5"/>
          <c:tx>
            <c:strRef>
              <c:f>Sheet1!$G$1</c:f>
              <c:strCache>
                <c:ptCount val="1"/>
                <c:pt idx="0">
                  <c:v>calm 2012 4%</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Sheet1!$G$2:$G$9</c:f>
              <c:numCache>
                <c:formatCode>General</c:formatCode>
                <c:ptCount val="8"/>
              </c:numCache>
            </c:numRef>
          </c:val>
          <c:extLst>
            <c:ext xmlns:c16="http://schemas.microsoft.com/office/drawing/2014/chart" uri="{C3380CC4-5D6E-409C-BE32-E72D297353CC}">
              <c16:uniqueId val="{00000005-6B54-4332-8A8C-21706AFEA192}"/>
            </c:ext>
          </c:extLst>
        </c:ser>
        <c:ser>
          <c:idx val="6"/>
          <c:order val="6"/>
          <c:tx>
            <c:strRef>
              <c:f>Sheet1!$H$1</c:f>
              <c:strCache>
                <c:ptCount val="1"/>
                <c:pt idx="0">
                  <c:v>calm 2013 4,8%</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Sheet1!$H$2:$H$9</c:f>
              <c:numCache>
                <c:formatCode>General</c:formatCode>
                <c:ptCount val="8"/>
              </c:numCache>
            </c:numRef>
          </c:val>
          <c:extLst>
            <c:ext xmlns:c16="http://schemas.microsoft.com/office/drawing/2014/chart" uri="{C3380CC4-5D6E-409C-BE32-E72D297353CC}">
              <c16:uniqueId val="{00000006-6B54-4332-8A8C-21706AFEA192}"/>
            </c:ext>
          </c:extLst>
        </c:ser>
        <c:ser>
          <c:idx val="7"/>
          <c:order val="7"/>
          <c:tx>
            <c:strRef>
              <c:f>Sheet1!$I$1</c:f>
              <c:strCache>
                <c:ptCount val="1"/>
                <c:pt idx="0">
                  <c:v>calm 2014 0%</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Sheet1!$I$2:$I$9</c:f>
              <c:numCache>
                <c:formatCode>General</c:formatCode>
                <c:ptCount val="8"/>
              </c:numCache>
            </c:numRef>
          </c:val>
          <c:extLst>
            <c:ext xmlns:c16="http://schemas.microsoft.com/office/drawing/2014/chart" uri="{C3380CC4-5D6E-409C-BE32-E72D297353CC}">
              <c16:uniqueId val="{00000007-6B54-4332-8A8C-21706AFEA192}"/>
            </c:ext>
          </c:extLst>
        </c:ser>
        <c:ser>
          <c:idx val="8"/>
          <c:order val="8"/>
          <c:tx>
            <c:strRef>
              <c:f>Sheet1!$J$1</c:f>
              <c:strCache>
                <c:ptCount val="1"/>
                <c:pt idx="0">
                  <c:v>calm 2015 1,6%</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Sheet1!$J$2:$J$9</c:f>
              <c:numCache>
                <c:formatCode>General</c:formatCode>
                <c:ptCount val="8"/>
              </c:numCache>
            </c:numRef>
          </c:val>
          <c:extLst>
            <c:ext xmlns:c16="http://schemas.microsoft.com/office/drawing/2014/chart" uri="{C3380CC4-5D6E-409C-BE32-E72D297353CC}">
              <c16:uniqueId val="{00000008-6B54-4332-8A8C-21706AFEA192}"/>
            </c:ext>
          </c:extLst>
        </c:ser>
        <c:ser>
          <c:idx val="9"/>
          <c:order val="9"/>
          <c:tx>
            <c:strRef>
              <c:f>Sheet1!$K$1</c:f>
              <c:strCache>
                <c:ptCount val="1"/>
                <c:pt idx="0">
                  <c:v>calm 2016 5,6%</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Sheet1!$K$2:$K$9</c:f>
              <c:numCache>
                <c:formatCode>General</c:formatCode>
                <c:ptCount val="8"/>
              </c:numCache>
            </c:numRef>
          </c:val>
          <c:extLst>
            <c:ext xmlns:c16="http://schemas.microsoft.com/office/drawing/2014/chart" uri="{C3380CC4-5D6E-409C-BE32-E72D297353CC}">
              <c16:uniqueId val="{00000009-6B54-4332-8A8C-21706AFEA192}"/>
            </c:ext>
          </c:extLst>
        </c:ser>
        <c:dLbls>
          <c:showLegendKey val="0"/>
          <c:showVal val="0"/>
          <c:showCatName val="0"/>
          <c:showSerName val="0"/>
          <c:showPercent val="0"/>
          <c:showBubbleSize val="0"/>
        </c:dLbls>
        <c:axId val="410301952"/>
        <c:axId val="392384448"/>
      </c:radarChart>
      <c:catAx>
        <c:axId val="410301952"/>
        <c:scaling>
          <c:orientation val="minMax"/>
        </c:scaling>
        <c:delete val="0"/>
        <c:axPos val="b"/>
        <c:numFmt formatCode="General" sourceLinked="1"/>
        <c:majorTickMark val="none"/>
        <c:minorTickMark val="none"/>
        <c:tickLblPos val="nextTo"/>
        <c:spPr>
          <a:noFill/>
          <a:ln w="25400" cap="flat" cmpd="sng" algn="ctr">
            <a:no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392384448"/>
        <c:crosses val="autoZero"/>
        <c:auto val="1"/>
        <c:lblAlgn val="ctr"/>
        <c:lblOffset val="100"/>
        <c:noMultiLvlLbl val="0"/>
      </c:catAx>
      <c:valAx>
        <c:axId val="3923844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0301952"/>
        <c:crosses val="autoZero"/>
        <c:crossBetween val="between"/>
      </c:valAx>
      <c:spPr>
        <a:noFill/>
        <a:ln>
          <a:noFill/>
        </a:ln>
        <a:effectLst/>
      </c:spPr>
    </c:plotArea>
    <c:legend>
      <c:legendPos val="r"/>
      <c:legendEntry>
        <c:idx val="0"/>
        <c:delete val="1"/>
      </c:legendEntry>
      <c:legendEntry>
        <c:idx val="1"/>
        <c:delete val="1"/>
      </c:legendEntry>
      <c:legendEntry>
        <c:idx val="2"/>
        <c:delete val="1"/>
      </c:legendEntry>
      <c:legendEntry>
        <c:idx val="3"/>
        <c:delete val="1"/>
      </c:legendEntry>
      <c:legendEntry>
        <c:idx val="4"/>
        <c:delete val="1"/>
      </c:legendEntry>
      <c:layout>
        <c:manualLayout>
          <c:xMode val="edge"/>
          <c:yMode val="edge"/>
          <c:x val="0.68692358877675441"/>
          <c:y val="0.21635802959105921"/>
          <c:w val="0.28490739713873792"/>
          <c:h val="0.6776416052832116"/>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r>
              <a:rPr lang="ro-RO" sz="1100"/>
              <a:t>APRILIE</a:t>
            </a:r>
          </a:p>
        </c:rich>
      </c:tx>
      <c:layout>
        <c:manualLayout>
          <c:xMode val="edge"/>
          <c:yMode val="edge"/>
          <c:x val="0.68873239436619704"/>
          <c:y val="5.5443548387096767E-2"/>
        </c:manualLayout>
      </c:layout>
      <c:overlay val="0"/>
      <c:spPr>
        <a:noFill/>
        <a:ln>
          <a:noFill/>
        </a:ln>
        <a:effectLst/>
      </c:spPr>
    </c:title>
    <c:autoTitleDeleted val="0"/>
    <c:plotArea>
      <c:layout>
        <c:manualLayout>
          <c:layoutTarget val="inner"/>
          <c:xMode val="edge"/>
          <c:yMode val="edge"/>
          <c:x val="0.11048131307530212"/>
          <c:y val="0.21016954533909071"/>
          <c:w val="0.56760452478651435"/>
          <c:h val="0.60937380937261876"/>
        </c:manualLayout>
      </c:layout>
      <c:radarChart>
        <c:radarStyle val="marker"/>
        <c:varyColors val="0"/>
        <c:ser>
          <c:idx val="0"/>
          <c:order val="0"/>
          <c:tx>
            <c:strRef>
              <c:f>Sheet1!$B$1</c:f>
              <c:strCache>
                <c:ptCount val="1"/>
                <c:pt idx="0">
                  <c:v>2012</c:v>
                </c:pt>
              </c:strCache>
            </c:strRef>
          </c:tx>
          <c:spPr>
            <a:ln w="28575" cap="rnd">
              <a:solidFill>
                <a:schemeClr val="accent1"/>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Sheet1!$B$2:$B$9</c:f>
              <c:numCache>
                <c:formatCode>General</c:formatCode>
                <c:ptCount val="8"/>
                <c:pt idx="0">
                  <c:v>15</c:v>
                </c:pt>
                <c:pt idx="1">
                  <c:v>5</c:v>
                </c:pt>
                <c:pt idx="2">
                  <c:v>7.5</c:v>
                </c:pt>
                <c:pt idx="3">
                  <c:v>23.3</c:v>
                </c:pt>
                <c:pt idx="4">
                  <c:v>25</c:v>
                </c:pt>
                <c:pt idx="5">
                  <c:v>15</c:v>
                </c:pt>
                <c:pt idx="6">
                  <c:v>4.2</c:v>
                </c:pt>
                <c:pt idx="7">
                  <c:v>4.2</c:v>
                </c:pt>
              </c:numCache>
            </c:numRef>
          </c:val>
          <c:extLst>
            <c:ext xmlns:c16="http://schemas.microsoft.com/office/drawing/2014/chart" uri="{C3380CC4-5D6E-409C-BE32-E72D297353CC}">
              <c16:uniqueId val="{00000000-C60F-4CF6-AAB2-58C5FDAB9840}"/>
            </c:ext>
          </c:extLst>
        </c:ser>
        <c:ser>
          <c:idx val="1"/>
          <c:order val="1"/>
          <c:tx>
            <c:strRef>
              <c:f>Sheet1!$C$1</c:f>
              <c:strCache>
                <c:ptCount val="1"/>
                <c:pt idx="0">
                  <c:v>2013</c:v>
                </c:pt>
              </c:strCache>
            </c:strRef>
          </c:tx>
          <c:spPr>
            <a:ln w="28575" cap="rnd">
              <a:solidFill>
                <a:schemeClr val="accent2"/>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Sheet1!$C$2:$C$9</c:f>
              <c:numCache>
                <c:formatCode>General</c:formatCode>
                <c:ptCount val="8"/>
                <c:pt idx="0">
                  <c:v>29.3</c:v>
                </c:pt>
                <c:pt idx="1">
                  <c:v>13.3</c:v>
                </c:pt>
                <c:pt idx="2">
                  <c:v>5.8</c:v>
                </c:pt>
                <c:pt idx="3">
                  <c:v>16.7</c:v>
                </c:pt>
                <c:pt idx="4">
                  <c:v>23.3</c:v>
                </c:pt>
                <c:pt idx="5">
                  <c:v>5.8</c:v>
                </c:pt>
                <c:pt idx="6">
                  <c:v>2.5</c:v>
                </c:pt>
                <c:pt idx="7">
                  <c:v>2.5</c:v>
                </c:pt>
              </c:numCache>
            </c:numRef>
          </c:val>
          <c:extLst>
            <c:ext xmlns:c16="http://schemas.microsoft.com/office/drawing/2014/chart" uri="{C3380CC4-5D6E-409C-BE32-E72D297353CC}">
              <c16:uniqueId val="{00000001-C60F-4CF6-AAB2-58C5FDAB9840}"/>
            </c:ext>
          </c:extLst>
        </c:ser>
        <c:ser>
          <c:idx val="2"/>
          <c:order val="2"/>
          <c:tx>
            <c:strRef>
              <c:f>Sheet1!$D$1</c:f>
              <c:strCache>
                <c:ptCount val="1"/>
                <c:pt idx="0">
                  <c:v>2014</c:v>
                </c:pt>
              </c:strCache>
            </c:strRef>
          </c:tx>
          <c:spPr>
            <a:ln w="28575" cap="rnd">
              <a:solidFill>
                <a:schemeClr val="accent3"/>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Sheet1!$D$2:$D$9</c:f>
              <c:numCache>
                <c:formatCode>General</c:formatCode>
                <c:ptCount val="8"/>
                <c:pt idx="0">
                  <c:v>30</c:v>
                </c:pt>
                <c:pt idx="1">
                  <c:v>3.3</c:v>
                </c:pt>
                <c:pt idx="2">
                  <c:v>2.5</c:v>
                </c:pt>
                <c:pt idx="3">
                  <c:v>10</c:v>
                </c:pt>
                <c:pt idx="4">
                  <c:v>27.5</c:v>
                </c:pt>
                <c:pt idx="5">
                  <c:v>12.5</c:v>
                </c:pt>
                <c:pt idx="6">
                  <c:v>3.3</c:v>
                </c:pt>
                <c:pt idx="7">
                  <c:v>9.2000000000000011</c:v>
                </c:pt>
              </c:numCache>
            </c:numRef>
          </c:val>
          <c:extLst>
            <c:ext xmlns:c16="http://schemas.microsoft.com/office/drawing/2014/chart" uri="{C3380CC4-5D6E-409C-BE32-E72D297353CC}">
              <c16:uniqueId val="{00000002-C60F-4CF6-AAB2-58C5FDAB9840}"/>
            </c:ext>
          </c:extLst>
        </c:ser>
        <c:ser>
          <c:idx val="3"/>
          <c:order val="3"/>
          <c:tx>
            <c:strRef>
              <c:f>Sheet1!$E$1</c:f>
              <c:strCache>
                <c:ptCount val="1"/>
                <c:pt idx="0">
                  <c:v>2015</c:v>
                </c:pt>
              </c:strCache>
            </c:strRef>
          </c:tx>
          <c:spPr>
            <a:ln w="28575" cap="rnd">
              <a:solidFill>
                <a:schemeClr val="accent4"/>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Sheet1!$E$2:$E$9</c:f>
              <c:numCache>
                <c:formatCode>General</c:formatCode>
                <c:ptCount val="8"/>
                <c:pt idx="0">
                  <c:v>20.8</c:v>
                </c:pt>
                <c:pt idx="1">
                  <c:v>0.8</c:v>
                </c:pt>
                <c:pt idx="2">
                  <c:v>1.7</c:v>
                </c:pt>
                <c:pt idx="3">
                  <c:v>6.7</c:v>
                </c:pt>
                <c:pt idx="4">
                  <c:v>21.7</c:v>
                </c:pt>
                <c:pt idx="5">
                  <c:v>15.8</c:v>
                </c:pt>
                <c:pt idx="6">
                  <c:v>12.5</c:v>
                </c:pt>
                <c:pt idx="7">
                  <c:v>19.2</c:v>
                </c:pt>
              </c:numCache>
            </c:numRef>
          </c:val>
          <c:extLst>
            <c:ext xmlns:c16="http://schemas.microsoft.com/office/drawing/2014/chart" uri="{C3380CC4-5D6E-409C-BE32-E72D297353CC}">
              <c16:uniqueId val="{00000003-C60F-4CF6-AAB2-58C5FDAB9840}"/>
            </c:ext>
          </c:extLst>
        </c:ser>
        <c:ser>
          <c:idx val="4"/>
          <c:order val="4"/>
          <c:tx>
            <c:strRef>
              <c:f>Sheet1!$F$1</c:f>
              <c:strCache>
                <c:ptCount val="1"/>
                <c:pt idx="0">
                  <c:v>2016</c:v>
                </c:pt>
              </c:strCache>
            </c:strRef>
          </c:tx>
          <c:spPr>
            <a:ln w="28575" cap="rnd">
              <a:solidFill>
                <a:schemeClr val="accent5"/>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Sheet1!$F$2:$F$9</c:f>
              <c:numCache>
                <c:formatCode>General</c:formatCode>
                <c:ptCount val="8"/>
                <c:pt idx="0">
                  <c:v>18.3</c:v>
                </c:pt>
                <c:pt idx="1">
                  <c:v>0.8</c:v>
                </c:pt>
                <c:pt idx="2">
                  <c:v>3.3</c:v>
                </c:pt>
                <c:pt idx="3">
                  <c:v>7.5</c:v>
                </c:pt>
                <c:pt idx="4">
                  <c:v>31.8</c:v>
                </c:pt>
                <c:pt idx="5">
                  <c:v>19.2</c:v>
                </c:pt>
                <c:pt idx="6">
                  <c:v>7.5</c:v>
                </c:pt>
                <c:pt idx="7">
                  <c:v>8.3000000000000007</c:v>
                </c:pt>
              </c:numCache>
            </c:numRef>
          </c:val>
          <c:extLst>
            <c:ext xmlns:c16="http://schemas.microsoft.com/office/drawing/2014/chart" uri="{C3380CC4-5D6E-409C-BE32-E72D297353CC}">
              <c16:uniqueId val="{00000004-C60F-4CF6-AAB2-58C5FDAB9840}"/>
            </c:ext>
          </c:extLst>
        </c:ser>
        <c:ser>
          <c:idx val="5"/>
          <c:order val="5"/>
          <c:tx>
            <c:strRef>
              <c:f>Sheet1!$G$1</c:f>
              <c:strCache>
                <c:ptCount val="1"/>
                <c:pt idx="0">
                  <c:v>calm 2012 0,8%</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Sheet1!$G$2:$G$9</c:f>
              <c:numCache>
                <c:formatCode>General</c:formatCode>
                <c:ptCount val="8"/>
              </c:numCache>
            </c:numRef>
          </c:val>
          <c:extLst>
            <c:ext xmlns:c16="http://schemas.microsoft.com/office/drawing/2014/chart" uri="{C3380CC4-5D6E-409C-BE32-E72D297353CC}">
              <c16:uniqueId val="{00000005-C60F-4CF6-AAB2-58C5FDAB9840}"/>
            </c:ext>
          </c:extLst>
        </c:ser>
        <c:ser>
          <c:idx val="6"/>
          <c:order val="6"/>
          <c:tx>
            <c:strRef>
              <c:f>Sheet1!$H$1</c:f>
              <c:strCache>
                <c:ptCount val="1"/>
                <c:pt idx="0">
                  <c:v>calm 2013 0,8%</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Sheet1!$H$2:$H$9</c:f>
              <c:numCache>
                <c:formatCode>General</c:formatCode>
                <c:ptCount val="8"/>
              </c:numCache>
            </c:numRef>
          </c:val>
          <c:extLst>
            <c:ext xmlns:c16="http://schemas.microsoft.com/office/drawing/2014/chart" uri="{C3380CC4-5D6E-409C-BE32-E72D297353CC}">
              <c16:uniqueId val="{00000006-C60F-4CF6-AAB2-58C5FDAB9840}"/>
            </c:ext>
          </c:extLst>
        </c:ser>
        <c:ser>
          <c:idx val="7"/>
          <c:order val="7"/>
          <c:tx>
            <c:strRef>
              <c:f>Sheet1!$I$1</c:f>
              <c:strCache>
                <c:ptCount val="1"/>
                <c:pt idx="0">
                  <c:v>calm 2014 1,7%</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Sheet1!$I$2:$I$9</c:f>
              <c:numCache>
                <c:formatCode>General</c:formatCode>
                <c:ptCount val="8"/>
              </c:numCache>
            </c:numRef>
          </c:val>
          <c:extLst>
            <c:ext xmlns:c16="http://schemas.microsoft.com/office/drawing/2014/chart" uri="{C3380CC4-5D6E-409C-BE32-E72D297353CC}">
              <c16:uniqueId val="{00000007-C60F-4CF6-AAB2-58C5FDAB9840}"/>
            </c:ext>
          </c:extLst>
        </c:ser>
        <c:ser>
          <c:idx val="8"/>
          <c:order val="8"/>
          <c:tx>
            <c:strRef>
              <c:f>Sheet1!$J$1</c:f>
              <c:strCache>
                <c:ptCount val="1"/>
                <c:pt idx="0">
                  <c:v>calm 2015 0,8%</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Sheet1!$J$2:$J$9</c:f>
              <c:numCache>
                <c:formatCode>General</c:formatCode>
                <c:ptCount val="8"/>
              </c:numCache>
            </c:numRef>
          </c:val>
          <c:extLst>
            <c:ext xmlns:c16="http://schemas.microsoft.com/office/drawing/2014/chart" uri="{C3380CC4-5D6E-409C-BE32-E72D297353CC}">
              <c16:uniqueId val="{00000008-C60F-4CF6-AAB2-58C5FDAB9840}"/>
            </c:ext>
          </c:extLst>
        </c:ser>
        <c:ser>
          <c:idx val="9"/>
          <c:order val="9"/>
          <c:tx>
            <c:strRef>
              <c:f>Sheet1!$K$1</c:f>
              <c:strCache>
                <c:ptCount val="1"/>
                <c:pt idx="0">
                  <c:v>calm 2016 3,3%</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Sheet1!$K$2:$K$9</c:f>
              <c:numCache>
                <c:formatCode>General</c:formatCode>
                <c:ptCount val="8"/>
              </c:numCache>
            </c:numRef>
          </c:val>
          <c:extLst>
            <c:ext xmlns:c16="http://schemas.microsoft.com/office/drawing/2014/chart" uri="{C3380CC4-5D6E-409C-BE32-E72D297353CC}">
              <c16:uniqueId val="{00000009-C60F-4CF6-AAB2-58C5FDAB9840}"/>
            </c:ext>
          </c:extLst>
        </c:ser>
        <c:dLbls>
          <c:showLegendKey val="0"/>
          <c:showVal val="0"/>
          <c:showCatName val="0"/>
          <c:showSerName val="0"/>
          <c:showPercent val="0"/>
          <c:showBubbleSize val="0"/>
        </c:dLbls>
        <c:axId val="357315072"/>
        <c:axId val="410861568"/>
      </c:radarChart>
      <c:catAx>
        <c:axId val="357315072"/>
        <c:scaling>
          <c:orientation val="minMax"/>
        </c:scaling>
        <c:delete val="0"/>
        <c:axPos val="b"/>
        <c:numFmt formatCode="General" sourceLinked="1"/>
        <c:majorTickMark val="none"/>
        <c:minorTickMark val="none"/>
        <c:tickLblPos val="nextTo"/>
        <c:spPr>
          <a:noFill/>
          <a:ln w="25400" cap="flat" cmpd="sng" algn="ctr">
            <a:no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0861568"/>
        <c:crosses val="autoZero"/>
        <c:auto val="1"/>
        <c:lblAlgn val="ctr"/>
        <c:lblOffset val="100"/>
        <c:noMultiLvlLbl val="0"/>
      </c:catAx>
      <c:valAx>
        <c:axId val="4108615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357315072"/>
        <c:crosses val="autoZero"/>
        <c:crossBetween val="between"/>
      </c:valAx>
      <c:spPr>
        <a:noFill/>
        <a:ln>
          <a:noFill/>
        </a:ln>
        <a:effectLst/>
      </c:spPr>
    </c:plotArea>
    <c:legend>
      <c:legendPos val="r"/>
      <c:legendEntry>
        <c:idx val="0"/>
        <c:delete val="1"/>
      </c:legendEntry>
      <c:legendEntry>
        <c:idx val="1"/>
        <c:delete val="1"/>
      </c:legendEntry>
      <c:legendEntry>
        <c:idx val="2"/>
        <c:delete val="1"/>
      </c:legendEntry>
      <c:legendEntry>
        <c:idx val="3"/>
        <c:delete val="1"/>
      </c:legendEntry>
      <c:legendEntry>
        <c:idx val="4"/>
        <c:delete val="1"/>
      </c:legendEntry>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r>
              <a:rPr lang="ro-RO" sz="1100"/>
              <a:t>MAI</a:t>
            </a:r>
          </a:p>
        </c:rich>
      </c:tx>
      <c:layout>
        <c:manualLayout>
          <c:xMode val="edge"/>
          <c:yMode val="edge"/>
          <c:x val="0.76384976525821635"/>
          <c:y val="5.5443548387096767E-2"/>
        </c:manualLayout>
      </c:layout>
      <c:overlay val="0"/>
      <c:spPr>
        <a:noFill/>
        <a:ln>
          <a:noFill/>
        </a:ln>
        <a:effectLst/>
      </c:spPr>
    </c:title>
    <c:autoTitleDeleted val="0"/>
    <c:plotArea>
      <c:layout>
        <c:manualLayout>
          <c:layoutTarget val="inner"/>
          <c:xMode val="edge"/>
          <c:yMode val="edge"/>
          <c:x val="0.11048131307530212"/>
          <c:y val="0.21016954533909071"/>
          <c:w val="0.56760452478651435"/>
          <c:h val="0.60937380937261876"/>
        </c:manualLayout>
      </c:layout>
      <c:radarChart>
        <c:radarStyle val="marker"/>
        <c:varyColors val="0"/>
        <c:ser>
          <c:idx val="0"/>
          <c:order val="0"/>
          <c:tx>
            <c:strRef>
              <c:f>Sheet1!$B$1</c:f>
              <c:strCache>
                <c:ptCount val="1"/>
                <c:pt idx="0">
                  <c:v>2012</c:v>
                </c:pt>
              </c:strCache>
            </c:strRef>
          </c:tx>
          <c:spPr>
            <a:ln w="28575" cap="rnd">
              <a:solidFill>
                <a:schemeClr val="accent1"/>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Sheet1!$B$2:$B$9</c:f>
              <c:numCache>
                <c:formatCode>General</c:formatCode>
                <c:ptCount val="8"/>
                <c:pt idx="0">
                  <c:v>42.8</c:v>
                </c:pt>
                <c:pt idx="1">
                  <c:v>10.5</c:v>
                </c:pt>
                <c:pt idx="2">
                  <c:v>2.4</c:v>
                </c:pt>
                <c:pt idx="3">
                  <c:v>13.7</c:v>
                </c:pt>
                <c:pt idx="4">
                  <c:v>13.7</c:v>
                </c:pt>
                <c:pt idx="5">
                  <c:v>1.6</c:v>
                </c:pt>
                <c:pt idx="6">
                  <c:v>2.4</c:v>
                </c:pt>
                <c:pt idx="7">
                  <c:v>9.7000000000000011</c:v>
                </c:pt>
              </c:numCache>
            </c:numRef>
          </c:val>
          <c:extLst>
            <c:ext xmlns:c16="http://schemas.microsoft.com/office/drawing/2014/chart" uri="{C3380CC4-5D6E-409C-BE32-E72D297353CC}">
              <c16:uniqueId val="{00000000-617C-4D34-8B58-54B72DAFCD45}"/>
            </c:ext>
          </c:extLst>
        </c:ser>
        <c:ser>
          <c:idx val="1"/>
          <c:order val="1"/>
          <c:tx>
            <c:strRef>
              <c:f>Sheet1!$C$1</c:f>
              <c:strCache>
                <c:ptCount val="1"/>
                <c:pt idx="0">
                  <c:v>2013</c:v>
                </c:pt>
              </c:strCache>
            </c:strRef>
          </c:tx>
          <c:spPr>
            <a:ln w="28575" cap="rnd">
              <a:solidFill>
                <a:schemeClr val="accent2"/>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Sheet1!$C$2:$C$9</c:f>
              <c:numCache>
                <c:formatCode>General</c:formatCode>
                <c:ptCount val="8"/>
                <c:pt idx="0">
                  <c:v>17.7</c:v>
                </c:pt>
                <c:pt idx="1">
                  <c:v>14.5</c:v>
                </c:pt>
                <c:pt idx="2">
                  <c:v>10.5</c:v>
                </c:pt>
                <c:pt idx="3">
                  <c:v>16.100000000000001</c:v>
                </c:pt>
                <c:pt idx="4">
                  <c:v>21.1</c:v>
                </c:pt>
                <c:pt idx="5">
                  <c:v>11.3</c:v>
                </c:pt>
                <c:pt idx="6">
                  <c:v>2.4</c:v>
                </c:pt>
                <c:pt idx="7">
                  <c:v>5.6</c:v>
                </c:pt>
              </c:numCache>
            </c:numRef>
          </c:val>
          <c:extLst>
            <c:ext xmlns:c16="http://schemas.microsoft.com/office/drawing/2014/chart" uri="{C3380CC4-5D6E-409C-BE32-E72D297353CC}">
              <c16:uniqueId val="{00000001-617C-4D34-8B58-54B72DAFCD45}"/>
            </c:ext>
          </c:extLst>
        </c:ser>
        <c:ser>
          <c:idx val="2"/>
          <c:order val="2"/>
          <c:tx>
            <c:strRef>
              <c:f>Sheet1!$D$1</c:f>
              <c:strCache>
                <c:ptCount val="1"/>
                <c:pt idx="0">
                  <c:v>2014</c:v>
                </c:pt>
              </c:strCache>
            </c:strRef>
          </c:tx>
          <c:spPr>
            <a:ln w="28575" cap="rnd">
              <a:solidFill>
                <a:schemeClr val="accent3"/>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Sheet1!$D$2:$D$9</c:f>
              <c:numCache>
                <c:formatCode>General</c:formatCode>
                <c:ptCount val="8"/>
                <c:pt idx="0">
                  <c:v>23.4</c:v>
                </c:pt>
                <c:pt idx="1">
                  <c:v>3.2</c:v>
                </c:pt>
                <c:pt idx="2">
                  <c:v>4</c:v>
                </c:pt>
                <c:pt idx="3">
                  <c:v>5.6</c:v>
                </c:pt>
                <c:pt idx="4">
                  <c:v>28.3</c:v>
                </c:pt>
                <c:pt idx="5">
                  <c:v>9.7000000000000011</c:v>
                </c:pt>
                <c:pt idx="6">
                  <c:v>3.2</c:v>
                </c:pt>
                <c:pt idx="7">
                  <c:v>15.3</c:v>
                </c:pt>
              </c:numCache>
            </c:numRef>
          </c:val>
          <c:extLst>
            <c:ext xmlns:c16="http://schemas.microsoft.com/office/drawing/2014/chart" uri="{C3380CC4-5D6E-409C-BE32-E72D297353CC}">
              <c16:uniqueId val="{00000002-617C-4D34-8B58-54B72DAFCD45}"/>
            </c:ext>
          </c:extLst>
        </c:ser>
        <c:ser>
          <c:idx val="3"/>
          <c:order val="3"/>
          <c:tx>
            <c:strRef>
              <c:f>Sheet1!$E$1</c:f>
              <c:strCache>
                <c:ptCount val="1"/>
                <c:pt idx="0">
                  <c:v>2015</c:v>
                </c:pt>
              </c:strCache>
            </c:strRef>
          </c:tx>
          <c:spPr>
            <a:ln w="28575" cap="rnd">
              <a:solidFill>
                <a:schemeClr val="accent4"/>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Sheet1!$E$2:$E$9</c:f>
              <c:numCache>
                <c:formatCode>General</c:formatCode>
                <c:ptCount val="8"/>
                <c:pt idx="0">
                  <c:v>28.2</c:v>
                </c:pt>
                <c:pt idx="1">
                  <c:v>0</c:v>
                </c:pt>
                <c:pt idx="2">
                  <c:v>6.5</c:v>
                </c:pt>
                <c:pt idx="3">
                  <c:v>6.5</c:v>
                </c:pt>
                <c:pt idx="4">
                  <c:v>25</c:v>
                </c:pt>
                <c:pt idx="5">
                  <c:v>12.1</c:v>
                </c:pt>
                <c:pt idx="6">
                  <c:v>4</c:v>
                </c:pt>
                <c:pt idx="7">
                  <c:v>12.1</c:v>
                </c:pt>
              </c:numCache>
            </c:numRef>
          </c:val>
          <c:extLst>
            <c:ext xmlns:c16="http://schemas.microsoft.com/office/drawing/2014/chart" uri="{C3380CC4-5D6E-409C-BE32-E72D297353CC}">
              <c16:uniqueId val="{00000003-617C-4D34-8B58-54B72DAFCD45}"/>
            </c:ext>
          </c:extLst>
        </c:ser>
        <c:ser>
          <c:idx val="4"/>
          <c:order val="4"/>
          <c:tx>
            <c:strRef>
              <c:f>Sheet1!$F$1</c:f>
              <c:strCache>
                <c:ptCount val="1"/>
                <c:pt idx="0">
                  <c:v>2016</c:v>
                </c:pt>
              </c:strCache>
            </c:strRef>
          </c:tx>
          <c:spPr>
            <a:ln w="28575" cap="rnd">
              <a:solidFill>
                <a:schemeClr val="accent5"/>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Sheet1!$F$2:$F$9</c:f>
              <c:numCache>
                <c:formatCode>General</c:formatCode>
                <c:ptCount val="8"/>
                <c:pt idx="0">
                  <c:v>20.9</c:v>
                </c:pt>
                <c:pt idx="1">
                  <c:v>5.6</c:v>
                </c:pt>
                <c:pt idx="2">
                  <c:v>7.3</c:v>
                </c:pt>
                <c:pt idx="3">
                  <c:v>4.8</c:v>
                </c:pt>
                <c:pt idx="4">
                  <c:v>21</c:v>
                </c:pt>
                <c:pt idx="5">
                  <c:v>10.5</c:v>
                </c:pt>
                <c:pt idx="6">
                  <c:v>7.3</c:v>
                </c:pt>
                <c:pt idx="7">
                  <c:v>16.100000000000001</c:v>
                </c:pt>
              </c:numCache>
            </c:numRef>
          </c:val>
          <c:extLst>
            <c:ext xmlns:c16="http://schemas.microsoft.com/office/drawing/2014/chart" uri="{C3380CC4-5D6E-409C-BE32-E72D297353CC}">
              <c16:uniqueId val="{00000004-617C-4D34-8B58-54B72DAFCD45}"/>
            </c:ext>
          </c:extLst>
        </c:ser>
        <c:ser>
          <c:idx val="5"/>
          <c:order val="5"/>
          <c:tx>
            <c:strRef>
              <c:f>Sheet1!$G$1</c:f>
              <c:strCache>
                <c:ptCount val="1"/>
                <c:pt idx="0">
                  <c:v>calm 2012 3,2%</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Sheet1!$G$2:$G$9</c:f>
              <c:numCache>
                <c:formatCode>General</c:formatCode>
                <c:ptCount val="8"/>
              </c:numCache>
            </c:numRef>
          </c:val>
          <c:extLst>
            <c:ext xmlns:c16="http://schemas.microsoft.com/office/drawing/2014/chart" uri="{C3380CC4-5D6E-409C-BE32-E72D297353CC}">
              <c16:uniqueId val="{00000005-617C-4D34-8B58-54B72DAFCD45}"/>
            </c:ext>
          </c:extLst>
        </c:ser>
        <c:ser>
          <c:idx val="6"/>
          <c:order val="6"/>
          <c:tx>
            <c:strRef>
              <c:f>Sheet1!$H$1</c:f>
              <c:strCache>
                <c:ptCount val="1"/>
                <c:pt idx="0">
                  <c:v>calm 2013 0,8%</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Sheet1!$H$2:$H$9</c:f>
              <c:numCache>
                <c:formatCode>General</c:formatCode>
                <c:ptCount val="8"/>
              </c:numCache>
            </c:numRef>
          </c:val>
          <c:extLst>
            <c:ext xmlns:c16="http://schemas.microsoft.com/office/drawing/2014/chart" uri="{C3380CC4-5D6E-409C-BE32-E72D297353CC}">
              <c16:uniqueId val="{00000006-617C-4D34-8B58-54B72DAFCD45}"/>
            </c:ext>
          </c:extLst>
        </c:ser>
        <c:ser>
          <c:idx val="7"/>
          <c:order val="7"/>
          <c:tx>
            <c:strRef>
              <c:f>Sheet1!$I$1</c:f>
              <c:strCache>
                <c:ptCount val="1"/>
                <c:pt idx="0">
                  <c:v>calm 2014 7,3%</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Sheet1!$I$2:$I$9</c:f>
              <c:numCache>
                <c:formatCode>General</c:formatCode>
                <c:ptCount val="8"/>
              </c:numCache>
            </c:numRef>
          </c:val>
          <c:extLst>
            <c:ext xmlns:c16="http://schemas.microsoft.com/office/drawing/2014/chart" uri="{C3380CC4-5D6E-409C-BE32-E72D297353CC}">
              <c16:uniqueId val="{00000007-617C-4D34-8B58-54B72DAFCD45}"/>
            </c:ext>
          </c:extLst>
        </c:ser>
        <c:ser>
          <c:idx val="8"/>
          <c:order val="8"/>
          <c:tx>
            <c:strRef>
              <c:f>Sheet1!$J$1</c:f>
              <c:strCache>
                <c:ptCount val="1"/>
                <c:pt idx="0">
                  <c:v>calm 2015 5,6%</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Sheet1!$J$2:$J$9</c:f>
              <c:numCache>
                <c:formatCode>General</c:formatCode>
                <c:ptCount val="8"/>
              </c:numCache>
            </c:numRef>
          </c:val>
          <c:extLst>
            <c:ext xmlns:c16="http://schemas.microsoft.com/office/drawing/2014/chart" uri="{C3380CC4-5D6E-409C-BE32-E72D297353CC}">
              <c16:uniqueId val="{00000008-617C-4D34-8B58-54B72DAFCD45}"/>
            </c:ext>
          </c:extLst>
        </c:ser>
        <c:ser>
          <c:idx val="9"/>
          <c:order val="9"/>
          <c:tx>
            <c:strRef>
              <c:f>Sheet1!$K$1</c:f>
              <c:strCache>
                <c:ptCount val="1"/>
                <c:pt idx="0">
                  <c:v>calm 2016 6,5%</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Sheet1!$K$2:$K$9</c:f>
              <c:numCache>
                <c:formatCode>General</c:formatCode>
                <c:ptCount val="8"/>
              </c:numCache>
            </c:numRef>
          </c:val>
          <c:extLst>
            <c:ext xmlns:c16="http://schemas.microsoft.com/office/drawing/2014/chart" uri="{C3380CC4-5D6E-409C-BE32-E72D297353CC}">
              <c16:uniqueId val="{00000009-617C-4D34-8B58-54B72DAFCD45}"/>
            </c:ext>
          </c:extLst>
        </c:ser>
        <c:dLbls>
          <c:showLegendKey val="0"/>
          <c:showVal val="0"/>
          <c:showCatName val="0"/>
          <c:showSerName val="0"/>
          <c:showPercent val="0"/>
          <c:showBubbleSize val="0"/>
        </c:dLbls>
        <c:axId val="410761216"/>
        <c:axId val="410863296"/>
      </c:radarChart>
      <c:catAx>
        <c:axId val="410761216"/>
        <c:scaling>
          <c:orientation val="minMax"/>
        </c:scaling>
        <c:delete val="0"/>
        <c:axPos val="b"/>
        <c:numFmt formatCode="General" sourceLinked="1"/>
        <c:majorTickMark val="none"/>
        <c:minorTickMark val="none"/>
        <c:tickLblPos val="nextTo"/>
        <c:spPr>
          <a:noFill/>
          <a:ln w="25400" cap="flat" cmpd="sng" algn="ctr">
            <a:no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0863296"/>
        <c:crosses val="autoZero"/>
        <c:auto val="1"/>
        <c:lblAlgn val="ctr"/>
        <c:lblOffset val="100"/>
        <c:noMultiLvlLbl val="0"/>
      </c:catAx>
      <c:valAx>
        <c:axId val="4108632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0761216"/>
        <c:crosses val="autoZero"/>
        <c:crossBetween val="between"/>
      </c:valAx>
      <c:spPr>
        <a:noFill/>
        <a:ln>
          <a:noFill/>
        </a:ln>
        <a:effectLst/>
      </c:spPr>
    </c:plotArea>
    <c:legend>
      <c:legendPos val="r"/>
      <c:legendEntry>
        <c:idx val="0"/>
        <c:delete val="1"/>
      </c:legendEntry>
      <c:legendEntry>
        <c:idx val="1"/>
        <c:delete val="1"/>
      </c:legendEntry>
      <c:legendEntry>
        <c:idx val="2"/>
        <c:delete val="1"/>
      </c:legendEntry>
      <c:legendEntry>
        <c:idx val="3"/>
        <c:delete val="1"/>
      </c:legendEntry>
      <c:legendEntry>
        <c:idx val="4"/>
        <c:delete val="1"/>
      </c:legendEntry>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r>
              <a:rPr lang="ro-RO" sz="1100"/>
              <a:t>IUNIE</a:t>
            </a:r>
          </a:p>
        </c:rich>
      </c:tx>
      <c:layout>
        <c:manualLayout>
          <c:xMode val="edge"/>
          <c:yMode val="edge"/>
          <c:x val="0.68873239436619704"/>
          <c:y val="5.5443548387096767E-2"/>
        </c:manualLayout>
      </c:layout>
      <c:overlay val="0"/>
      <c:spPr>
        <a:noFill/>
        <a:ln>
          <a:noFill/>
        </a:ln>
        <a:effectLst/>
      </c:spPr>
    </c:title>
    <c:autoTitleDeleted val="0"/>
    <c:plotArea>
      <c:layout>
        <c:manualLayout>
          <c:layoutTarget val="inner"/>
          <c:xMode val="edge"/>
          <c:yMode val="edge"/>
          <c:x val="0.11048131307530212"/>
          <c:y val="0.21016954533909071"/>
          <c:w val="0.56760452478651435"/>
          <c:h val="0.60937380937261876"/>
        </c:manualLayout>
      </c:layout>
      <c:radarChart>
        <c:radarStyle val="marker"/>
        <c:varyColors val="0"/>
        <c:ser>
          <c:idx val="0"/>
          <c:order val="0"/>
          <c:tx>
            <c:strRef>
              <c:f>Sheet1!$B$1</c:f>
              <c:strCache>
                <c:ptCount val="1"/>
                <c:pt idx="0">
                  <c:v>2012</c:v>
                </c:pt>
              </c:strCache>
            </c:strRef>
          </c:tx>
          <c:spPr>
            <a:ln w="28575" cap="rnd">
              <a:solidFill>
                <a:schemeClr val="accent1"/>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Sheet1!$B$2:$B$9</c:f>
              <c:numCache>
                <c:formatCode>General</c:formatCode>
                <c:ptCount val="8"/>
                <c:pt idx="0">
                  <c:v>20</c:v>
                </c:pt>
                <c:pt idx="1">
                  <c:v>4.2</c:v>
                </c:pt>
                <c:pt idx="2">
                  <c:v>5</c:v>
                </c:pt>
                <c:pt idx="3">
                  <c:v>9.2000000000000011</c:v>
                </c:pt>
                <c:pt idx="4">
                  <c:v>35</c:v>
                </c:pt>
                <c:pt idx="5">
                  <c:v>7.5</c:v>
                </c:pt>
                <c:pt idx="6">
                  <c:v>8.3000000000000007</c:v>
                </c:pt>
                <c:pt idx="7">
                  <c:v>5.8</c:v>
                </c:pt>
              </c:numCache>
            </c:numRef>
          </c:val>
          <c:extLst>
            <c:ext xmlns:c16="http://schemas.microsoft.com/office/drawing/2014/chart" uri="{C3380CC4-5D6E-409C-BE32-E72D297353CC}">
              <c16:uniqueId val="{00000000-0079-4F98-87DA-46EE9E6702CB}"/>
            </c:ext>
          </c:extLst>
        </c:ser>
        <c:ser>
          <c:idx val="1"/>
          <c:order val="1"/>
          <c:tx>
            <c:strRef>
              <c:f>Sheet1!$C$1</c:f>
              <c:strCache>
                <c:ptCount val="1"/>
                <c:pt idx="0">
                  <c:v>2013</c:v>
                </c:pt>
              </c:strCache>
            </c:strRef>
          </c:tx>
          <c:spPr>
            <a:ln w="28575" cap="rnd">
              <a:solidFill>
                <a:schemeClr val="accent2"/>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Sheet1!$C$2:$C$9</c:f>
              <c:numCache>
                <c:formatCode>General</c:formatCode>
                <c:ptCount val="8"/>
              </c:numCache>
            </c:numRef>
          </c:val>
          <c:extLst>
            <c:ext xmlns:c16="http://schemas.microsoft.com/office/drawing/2014/chart" uri="{C3380CC4-5D6E-409C-BE32-E72D297353CC}">
              <c16:uniqueId val="{00000001-0079-4F98-87DA-46EE9E6702CB}"/>
            </c:ext>
          </c:extLst>
        </c:ser>
        <c:ser>
          <c:idx val="2"/>
          <c:order val="2"/>
          <c:tx>
            <c:strRef>
              <c:f>Sheet1!$D$1</c:f>
              <c:strCache>
                <c:ptCount val="1"/>
                <c:pt idx="0">
                  <c:v>2014</c:v>
                </c:pt>
              </c:strCache>
            </c:strRef>
          </c:tx>
          <c:spPr>
            <a:ln w="28575" cap="rnd">
              <a:solidFill>
                <a:schemeClr val="accent3"/>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Sheet1!$D$2:$D$9</c:f>
              <c:numCache>
                <c:formatCode>General</c:formatCode>
                <c:ptCount val="8"/>
                <c:pt idx="0">
                  <c:v>27.5</c:v>
                </c:pt>
                <c:pt idx="1">
                  <c:v>0</c:v>
                </c:pt>
                <c:pt idx="2">
                  <c:v>4.2</c:v>
                </c:pt>
                <c:pt idx="3">
                  <c:v>2.5</c:v>
                </c:pt>
                <c:pt idx="4">
                  <c:v>11.7</c:v>
                </c:pt>
                <c:pt idx="5">
                  <c:v>8.3000000000000007</c:v>
                </c:pt>
                <c:pt idx="6">
                  <c:v>10.8</c:v>
                </c:pt>
                <c:pt idx="7">
                  <c:v>27.5</c:v>
                </c:pt>
              </c:numCache>
            </c:numRef>
          </c:val>
          <c:extLst>
            <c:ext xmlns:c16="http://schemas.microsoft.com/office/drawing/2014/chart" uri="{C3380CC4-5D6E-409C-BE32-E72D297353CC}">
              <c16:uniqueId val="{00000002-0079-4F98-87DA-46EE9E6702CB}"/>
            </c:ext>
          </c:extLst>
        </c:ser>
        <c:ser>
          <c:idx val="3"/>
          <c:order val="3"/>
          <c:tx>
            <c:strRef>
              <c:f>Sheet1!$E$1</c:f>
              <c:strCache>
                <c:ptCount val="1"/>
                <c:pt idx="0">
                  <c:v>2015</c:v>
                </c:pt>
              </c:strCache>
            </c:strRef>
          </c:tx>
          <c:spPr>
            <a:ln w="28575" cap="rnd">
              <a:solidFill>
                <a:schemeClr val="accent4"/>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Sheet1!$E$2:$E$9</c:f>
              <c:numCache>
                <c:formatCode>General</c:formatCode>
                <c:ptCount val="8"/>
                <c:pt idx="0">
                  <c:v>26.7</c:v>
                </c:pt>
                <c:pt idx="1">
                  <c:v>0.8</c:v>
                </c:pt>
                <c:pt idx="2">
                  <c:v>5.8</c:v>
                </c:pt>
                <c:pt idx="3">
                  <c:v>2.5</c:v>
                </c:pt>
                <c:pt idx="4">
                  <c:v>18.3</c:v>
                </c:pt>
                <c:pt idx="5">
                  <c:v>3.3</c:v>
                </c:pt>
                <c:pt idx="6">
                  <c:v>5</c:v>
                </c:pt>
                <c:pt idx="7">
                  <c:v>30.9</c:v>
                </c:pt>
              </c:numCache>
            </c:numRef>
          </c:val>
          <c:extLst>
            <c:ext xmlns:c16="http://schemas.microsoft.com/office/drawing/2014/chart" uri="{C3380CC4-5D6E-409C-BE32-E72D297353CC}">
              <c16:uniqueId val="{00000003-0079-4F98-87DA-46EE9E6702CB}"/>
            </c:ext>
          </c:extLst>
        </c:ser>
        <c:ser>
          <c:idx val="4"/>
          <c:order val="4"/>
          <c:tx>
            <c:strRef>
              <c:f>Sheet1!$F$1</c:f>
              <c:strCache>
                <c:ptCount val="1"/>
                <c:pt idx="0">
                  <c:v>2016</c:v>
                </c:pt>
              </c:strCache>
            </c:strRef>
          </c:tx>
          <c:spPr>
            <a:ln w="28575" cap="rnd">
              <a:solidFill>
                <a:schemeClr val="accent5"/>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Sheet1!$F$2:$F$9</c:f>
              <c:numCache>
                <c:formatCode>General</c:formatCode>
                <c:ptCount val="8"/>
                <c:pt idx="0">
                  <c:v>24.3</c:v>
                </c:pt>
                <c:pt idx="1">
                  <c:v>0.8</c:v>
                </c:pt>
                <c:pt idx="2">
                  <c:v>8.3000000000000007</c:v>
                </c:pt>
                <c:pt idx="3">
                  <c:v>8.3000000000000007</c:v>
                </c:pt>
                <c:pt idx="4">
                  <c:v>18.3</c:v>
                </c:pt>
                <c:pt idx="5">
                  <c:v>10</c:v>
                </c:pt>
                <c:pt idx="6">
                  <c:v>5</c:v>
                </c:pt>
                <c:pt idx="7">
                  <c:v>15.8</c:v>
                </c:pt>
              </c:numCache>
            </c:numRef>
          </c:val>
          <c:extLst>
            <c:ext xmlns:c16="http://schemas.microsoft.com/office/drawing/2014/chart" uri="{C3380CC4-5D6E-409C-BE32-E72D297353CC}">
              <c16:uniqueId val="{00000004-0079-4F98-87DA-46EE9E6702CB}"/>
            </c:ext>
          </c:extLst>
        </c:ser>
        <c:ser>
          <c:idx val="5"/>
          <c:order val="5"/>
          <c:tx>
            <c:strRef>
              <c:f>Sheet1!$G$1</c:f>
              <c:strCache>
                <c:ptCount val="1"/>
                <c:pt idx="0">
                  <c:v>calm 2012 5%</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Sheet1!$G$2:$G$9</c:f>
              <c:numCache>
                <c:formatCode>General</c:formatCode>
                <c:ptCount val="8"/>
              </c:numCache>
            </c:numRef>
          </c:val>
          <c:extLst>
            <c:ext xmlns:c16="http://schemas.microsoft.com/office/drawing/2014/chart" uri="{C3380CC4-5D6E-409C-BE32-E72D297353CC}">
              <c16:uniqueId val="{00000005-0079-4F98-87DA-46EE9E6702CB}"/>
            </c:ext>
          </c:extLst>
        </c:ser>
        <c:ser>
          <c:idx val="6"/>
          <c:order val="6"/>
          <c:tx>
            <c:strRef>
              <c:f>Sheet1!$H$1</c:f>
              <c:strCache>
                <c:ptCount val="1"/>
                <c:pt idx="0">
                  <c:v>calm 2013*</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Sheet1!$H$2:$H$9</c:f>
              <c:numCache>
                <c:formatCode>General</c:formatCode>
                <c:ptCount val="8"/>
              </c:numCache>
            </c:numRef>
          </c:val>
          <c:extLst>
            <c:ext xmlns:c16="http://schemas.microsoft.com/office/drawing/2014/chart" uri="{C3380CC4-5D6E-409C-BE32-E72D297353CC}">
              <c16:uniqueId val="{00000006-0079-4F98-87DA-46EE9E6702CB}"/>
            </c:ext>
          </c:extLst>
        </c:ser>
        <c:ser>
          <c:idx val="7"/>
          <c:order val="7"/>
          <c:tx>
            <c:strRef>
              <c:f>Sheet1!$I$1</c:f>
              <c:strCache>
                <c:ptCount val="1"/>
                <c:pt idx="0">
                  <c:v>calm 2014 7,5%</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Sheet1!$I$2:$I$9</c:f>
              <c:numCache>
                <c:formatCode>General</c:formatCode>
                <c:ptCount val="8"/>
              </c:numCache>
            </c:numRef>
          </c:val>
          <c:extLst>
            <c:ext xmlns:c16="http://schemas.microsoft.com/office/drawing/2014/chart" uri="{C3380CC4-5D6E-409C-BE32-E72D297353CC}">
              <c16:uniqueId val="{00000007-0079-4F98-87DA-46EE9E6702CB}"/>
            </c:ext>
          </c:extLst>
        </c:ser>
        <c:ser>
          <c:idx val="8"/>
          <c:order val="8"/>
          <c:tx>
            <c:strRef>
              <c:f>Sheet1!$J$1</c:f>
              <c:strCache>
                <c:ptCount val="1"/>
                <c:pt idx="0">
                  <c:v>calm 2015 6,7%</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Sheet1!$J$2:$J$9</c:f>
              <c:numCache>
                <c:formatCode>General</c:formatCode>
                <c:ptCount val="8"/>
              </c:numCache>
            </c:numRef>
          </c:val>
          <c:extLst>
            <c:ext xmlns:c16="http://schemas.microsoft.com/office/drawing/2014/chart" uri="{C3380CC4-5D6E-409C-BE32-E72D297353CC}">
              <c16:uniqueId val="{00000008-0079-4F98-87DA-46EE9E6702CB}"/>
            </c:ext>
          </c:extLst>
        </c:ser>
        <c:ser>
          <c:idx val="9"/>
          <c:order val="9"/>
          <c:tx>
            <c:strRef>
              <c:f>Sheet1!$K$1</c:f>
              <c:strCache>
                <c:ptCount val="1"/>
                <c:pt idx="0">
                  <c:v>calm 2016 9,2%</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Sheet1!$K$2:$K$9</c:f>
              <c:numCache>
                <c:formatCode>General</c:formatCode>
                <c:ptCount val="8"/>
              </c:numCache>
            </c:numRef>
          </c:val>
          <c:extLst>
            <c:ext xmlns:c16="http://schemas.microsoft.com/office/drawing/2014/chart" uri="{C3380CC4-5D6E-409C-BE32-E72D297353CC}">
              <c16:uniqueId val="{00000009-0079-4F98-87DA-46EE9E6702CB}"/>
            </c:ext>
          </c:extLst>
        </c:ser>
        <c:dLbls>
          <c:showLegendKey val="0"/>
          <c:showVal val="0"/>
          <c:showCatName val="0"/>
          <c:showSerName val="0"/>
          <c:showPercent val="0"/>
          <c:showBubbleSize val="0"/>
        </c:dLbls>
        <c:axId val="413241856"/>
        <c:axId val="410862144"/>
      </c:radarChart>
      <c:catAx>
        <c:axId val="413241856"/>
        <c:scaling>
          <c:orientation val="minMax"/>
        </c:scaling>
        <c:delete val="0"/>
        <c:axPos val="b"/>
        <c:numFmt formatCode="General" sourceLinked="1"/>
        <c:majorTickMark val="none"/>
        <c:minorTickMark val="none"/>
        <c:tickLblPos val="nextTo"/>
        <c:spPr>
          <a:noFill/>
          <a:ln w="25400" cap="flat" cmpd="sng" algn="ctr">
            <a:no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0862144"/>
        <c:crosses val="autoZero"/>
        <c:auto val="1"/>
        <c:lblAlgn val="ctr"/>
        <c:lblOffset val="100"/>
        <c:noMultiLvlLbl val="0"/>
      </c:catAx>
      <c:valAx>
        <c:axId val="4108621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3241856"/>
        <c:crosses val="autoZero"/>
        <c:crossBetween val="between"/>
      </c:valAx>
      <c:spPr>
        <a:noFill/>
        <a:ln>
          <a:noFill/>
        </a:ln>
        <a:effectLst/>
      </c:spPr>
    </c:plotArea>
    <c:legend>
      <c:legendPos val="r"/>
      <c:legendEntry>
        <c:idx val="0"/>
        <c:delete val="1"/>
      </c:legendEntry>
      <c:legendEntry>
        <c:idx val="1"/>
        <c:delete val="1"/>
      </c:legendEntry>
      <c:legendEntry>
        <c:idx val="2"/>
        <c:delete val="1"/>
      </c:legendEntry>
      <c:legendEntry>
        <c:idx val="3"/>
        <c:delete val="1"/>
      </c:legendEntry>
      <c:legendEntry>
        <c:idx val="4"/>
        <c:delete val="1"/>
      </c:legendEntry>
      <c:layout>
        <c:manualLayout>
          <c:xMode val="edge"/>
          <c:yMode val="edge"/>
          <c:x val="0.71039776718051095"/>
          <c:y val="0.21635802959105921"/>
          <c:w val="0.2614332187349821"/>
          <c:h val="0.6776416052832116"/>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r>
              <a:rPr lang="ro-RO" sz="1100"/>
              <a:t>IULIE</a:t>
            </a:r>
          </a:p>
        </c:rich>
      </c:tx>
      <c:layout>
        <c:manualLayout>
          <c:xMode val="edge"/>
          <c:yMode val="edge"/>
          <c:x val="0.68873239436619704"/>
          <c:y val="5.5443548387096767E-2"/>
        </c:manualLayout>
      </c:layout>
      <c:overlay val="0"/>
      <c:spPr>
        <a:noFill/>
        <a:ln>
          <a:noFill/>
        </a:ln>
        <a:effectLst/>
      </c:spPr>
    </c:title>
    <c:autoTitleDeleted val="0"/>
    <c:plotArea>
      <c:layout>
        <c:manualLayout>
          <c:layoutTarget val="inner"/>
          <c:xMode val="edge"/>
          <c:yMode val="edge"/>
          <c:x val="0.11048131307530212"/>
          <c:y val="0.21016954533909071"/>
          <c:w val="0.56760452478651435"/>
          <c:h val="0.60937380937261876"/>
        </c:manualLayout>
      </c:layout>
      <c:radarChart>
        <c:radarStyle val="marker"/>
        <c:varyColors val="0"/>
        <c:ser>
          <c:idx val="0"/>
          <c:order val="0"/>
          <c:tx>
            <c:strRef>
              <c:f>Sheet1!$B$1</c:f>
              <c:strCache>
                <c:ptCount val="1"/>
                <c:pt idx="0">
                  <c:v>2012</c:v>
                </c:pt>
              </c:strCache>
            </c:strRef>
          </c:tx>
          <c:spPr>
            <a:ln w="28575" cap="rnd">
              <a:solidFill>
                <a:schemeClr val="accent1"/>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Sheet1!$B$2:$B$9</c:f>
              <c:numCache>
                <c:formatCode>General</c:formatCode>
                <c:ptCount val="8"/>
              </c:numCache>
            </c:numRef>
          </c:val>
          <c:extLst>
            <c:ext xmlns:c16="http://schemas.microsoft.com/office/drawing/2014/chart" uri="{C3380CC4-5D6E-409C-BE32-E72D297353CC}">
              <c16:uniqueId val="{00000000-4A02-4D3F-B917-F0AFA49D8102}"/>
            </c:ext>
          </c:extLst>
        </c:ser>
        <c:ser>
          <c:idx val="1"/>
          <c:order val="1"/>
          <c:tx>
            <c:strRef>
              <c:f>Sheet1!$C$1</c:f>
              <c:strCache>
                <c:ptCount val="1"/>
                <c:pt idx="0">
                  <c:v>2013</c:v>
                </c:pt>
              </c:strCache>
            </c:strRef>
          </c:tx>
          <c:spPr>
            <a:ln w="28575" cap="rnd">
              <a:solidFill>
                <a:schemeClr val="accent2"/>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Sheet1!$C$2:$C$9</c:f>
              <c:numCache>
                <c:formatCode>General</c:formatCode>
                <c:ptCount val="8"/>
              </c:numCache>
            </c:numRef>
          </c:val>
          <c:extLst>
            <c:ext xmlns:c16="http://schemas.microsoft.com/office/drawing/2014/chart" uri="{C3380CC4-5D6E-409C-BE32-E72D297353CC}">
              <c16:uniqueId val="{00000001-4A02-4D3F-B917-F0AFA49D8102}"/>
            </c:ext>
          </c:extLst>
        </c:ser>
        <c:ser>
          <c:idx val="2"/>
          <c:order val="2"/>
          <c:tx>
            <c:strRef>
              <c:f>Sheet1!$D$1</c:f>
              <c:strCache>
                <c:ptCount val="1"/>
                <c:pt idx="0">
                  <c:v>2014</c:v>
                </c:pt>
              </c:strCache>
            </c:strRef>
          </c:tx>
          <c:spPr>
            <a:ln w="28575" cap="rnd">
              <a:solidFill>
                <a:schemeClr val="accent3"/>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Sheet1!$D$2:$D$9</c:f>
              <c:numCache>
                <c:formatCode>General</c:formatCode>
                <c:ptCount val="8"/>
                <c:pt idx="0">
                  <c:v>26.7</c:v>
                </c:pt>
                <c:pt idx="1">
                  <c:v>1.6</c:v>
                </c:pt>
                <c:pt idx="2">
                  <c:v>5.6</c:v>
                </c:pt>
                <c:pt idx="3">
                  <c:v>10.5</c:v>
                </c:pt>
                <c:pt idx="4">
                  <c:v>11.3</c:v>
                </c:pt>
                <c:pt idx="5">
                  <c:v>8.1</c:v>
                </c:pt>
                <c:pt idx="6">
                  <c:v>4.8</c:v>
                </c:pt>
                <c:pt idx="7">
                  <c:v>25.8</c:v>
                </c:pt>
              </c:numCache>
            </c:numRef>
          </c:val>
          <c:extLst>
            <c:ext xmlns:c16="http://schemas.microsoft.com/office/drawing/2014/chart" uri="{C3380CC4-5D6E-409C-BE32-E72D297353CC}">
              <c16:uniqueId val="{00000002-4A02-4D3F-B917-F0AFA49D8102}"/>
            </c:ext>
          </c:extLst>
        </c:ser>
        <c:ser>
          <c:idx val="3"/>
          <c:order val="3"/>
          <c:tx>
            <c:strRef>
              <c:f>Sheet1!$E$1</c:f>
              <c:strCache>
                <c:ptCount val="1"/>
                <c:pt idx="0">
                  <c:v>2015</c:v>
                </c:pt>
              </c:strCache>
            </c:strRef>
          </c:tx>
          <c:spPr>
            <a:ln w="28575" cap="rnd">
              <a:solidFill>
                <a:schemeClr val="accent4"/>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Sheet1!$E$2:$E$9</c:f>
              <c:numCache>
                <c:formatCode>General</c:formatCode>
                <c:ptCount val="8"/>
                <c:pt idx="0">
                  <c:v>20.2</c:v>
                </c:pt>
                <c:pt idx="1">
                  <c:v>1.6</c:v>
                </c:pt>
                <c:pt idx="2">
                  <c:v>4.8</c:v>
                </c:pt>
                <c:pt idx="3">
                  <c:v>3.2</c:v>
                </c:pt>
                <c:pt idx="4">
                  <c:v>25.8</c:v>
                </c:pt>
                <c:pt idx="5">
                  <c:v>9.7000000000000011</c:v>
                </c:pt>
                <c:pt idx="6">
                  <c:v>8.9</c:v>
                </c:pt>
                <c:pt idx="7">
                  <c:v>16.899999999999999</c:v>
                </c:pt>
              </c:numCache>
            </c:numRef>
          </c:val>
          <c:extLst>
            <c:ext xmlns:c16="http://schemas.microsoft.com/office/drawing/2014/chart" uri="{C3380CC4-5D6E-409C-BE32-E72D297353CC}">
              <c16:uniqueId val="{00000003-4A02-4D3F-B917-F0AFA49D8102}"/>
            </c:ext>
          </c:extLst>
        </c:ser>
        <c:ser>
          <c:idx val="4"/>
          <c:order val="4"/>
          <c:tx>
            <c:strRef>
              <c:f>Sheet1!$F$1</c:f>
              <c:strCache>
                <c:ptCount val="1"/>
                <c:pt idx="0">
                  <c:v>2016</c:v>
                </c:pt>
              </c:strCache>
            </c:strRef>
          </c:tx>
          <c:spPr>
            <a:ln w="28575" cap="rnd">
              <a:solidFill>
                <a:schemeClr val="accent5"/>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Sheet1!$F$2:$F$9</c:f>
              <c:numCache>
                <c:formatCode>General</c:formatCode>
                <c:ptCount val="8"/>
                <c:pt idx="0">
                  <c:v>27.3</c:v>
                </c:pt>
                <c:pt idx="1">
                  <c:v>0.8</c:v>
                </c:pt>
                <c:pt idx="2">
                  <c:v>3.2</c:v>
                </c:pt>
                <c:pt idx="3">
                  <c:v>6.5</c:v>
                </c:pt>
                <c:pt idx="4">
                  <c:v>17.7</c:v>
                </c:pt>
                <c:pt idx="5">
                  <c:v>6.5</c:v>
                </c:pt>
                <c:pt idx="6">
                  <c:v>6.5</c:v>
                </c:pt>
                <c:pt idx="7">
                  <c:v>21.8</c:v>
                </c:pt>
              </c:numCache>
            </c:numRef>
          </c:val>
          <c:extLst>
            <c:ext xmlns:c16="http://schemas.microsoft.com/office/drawing/2014/chart" uri="{C3380CC4-5D6E-409C-BE32-E72D297353CC}">
              <c16:uniqueId val="{00000004-4A02-4D3F-B917-F0AFA49D8102}"/>
            </c:ext>
          </c:extLst>
        </c:ser>
        <c:ser>
          <c:idx val="5"/>
          <c:order val="5"/>
          <c:tx>
            <c:strRef>
              <c:f>Sheet1!$G$1</c:f>
              <c:strCache>
                <c:ptCount val="1"/>
                <c:pt idx="0">
                  <c:v>calm 2012 </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Sheet1!$G$2:$G$9</c:f>
              <c:numCache>
                <c:formatCode>General</c:formatCode>
                <c:ptCount val="8"/>
              </c:numCache>
            </c:numRef>
          </c:val>
          <c:extLst>
            <c:ext xmlns:c16="http://schemas.microsoft.com/office/drawing/2014/chart" uri="{C3380CC4-5D6E-409C-BE32-E72D297353CC}">
              <c16:uniqueId val="{00000005-4A02-4D3F-B917-F0AFA49D8102}"/>
            </c:ext>
          </c:extLst>
        </c:ser>
        <c:ser>
          <c:idx val="6"/>
          <c:order val="6"/>
          <c:tx>
            <c:strRef>
              <c:f>Sheet1!$H$1</c:f>
              <c:strCache>
                <c:ptCount val="1"/>
                <c:pt idx="0">
                  <c:v>calm 2013 </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Sheet1!$H$2:$H$9</c:f>
              <c:numCache>
                <c:formatCode>General</c:formatCode>
                <c:ptCount val="8"/>
              </c:numCache>
            </c:numRef>
          </c:val>
          <c:extLst>
            <c:ext xmlns:c16="http://schemas.microsoft.com/office/drawing/2014/chart" uri="{C3380CC4-5D6E-409C-BE32-E72D297353CC}">
              <c16:uniqueId val="{00000006-4A02-4D3F-B917-F0AFA49D8102}"/>
            </c:ext>
          </c:extLst>
        </c:ser>
        <c:ser>
          <c:idx val="7"/>
          <c:order val="7"/>
          <c:tx>
            <c:strRef>
              <c:f>Sheet1!$I$1</c:f>
              <c:strCache>
                <c:ptCount val="1"/>
                <c:pt idx="0">
                  <c:v>calm 2014 5,8%</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Sheet1!$I$2:$I$9</c:f>
              <c:numCache>
                <c:formatCode>General</c:formatCode>
                <c:ptCount val="8"/>
              </c:numCache>
            </c:numRef>
          </c:val>
          <c:extLst>
            <c:ext xmlns:c16="http://schemas.microsoft.com/office/drawing/2014/chart" uri="{C3380CC4-5D6E-409C-BE32-E72D297353CC}">
              <c16:uniqueId val="{00000007-4A02-4D3F-B917-F0AFA49D8102}"/>
            </c:ext>
          </c:extLst>
        </c:ser>
        <c:ser>
          <c:idx val="8"/>
          <c:order val="8"/>
          <c:tx>
            <c:strRef>
              <c:f>Sheet1!$J$1</c:f>
              <c:strCache>
                <c:ptCount val="1"/>
                <c:pt idx="0">
                  <c:v>calm 2015 6,7%</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Sheet1!$J$2:$J$9</c:f>
              <c:numCache>
                <c:formatCode>General</c:formatCode>
                <c:ptCount val="8"/>
              </c:numCache>
            </c:numRef>
          </c:val>
          <c:extLst>
            <c:ext xmlns:c16="http://schemas.microsoft.com/office/drawing/2014/chart" uri="{C3380CC4-5D6E-409C-BE32-E72D297353CC}">
              <c16:uniqueId val="{00000008-4A02-4D3F-B917-F0AFA49D8102}"/>
            </c:ext>
          </c:extLst>
        </c:ser>
        <c:ser>
          <c:idx val="9"/>
          <c:order val="9"/>
          <c:tx>
            <c:strRef>
              <c:f>Sheet1!$K$1</c:f>
              <c:strCache>
                <c:ptCount val="1"/>
                <c:pt idx="0">
                  <c:v>calm 2016 11,7%</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Sheet1!$K$2:$K$9</c:f>
              <c:numCache>
                <c:formatCode>General</c:formatCode>
                <c:ptCount val="8"/>
              </c:numCache>
            </c:numRef>
          </c:val>
          <c:extLst>
            <c:ext xmlns:c16="http://schemas.microsoft.com/office/drawing/2014/chart" uri="{C3380CC4-5D6E-409C-BE32-E72D297353CC}">
              <c16:uniqueId val="{00000009-4A02-4D3F-B917-F0AFA49D8102}"/>
            </c:ext>
          </c:extLst>
        </c:ser>
        <c:dLbls>
          <c:showLegendKey val="0"/>
          <c:showVal val="0"/>
          <c:showCatName val="0"/>
          <c:showSerName val="0"/>
          <c:showPercent val="0"/>
          <c:showBubbleSize val="0"/>
        </c:dLbls>
        <c:axId val="392128512"/>
        <c:axId val="410864448"/>
      </c:radarChart>
      <c:catAx>
        <c:axId val="392128512"/>
        <c:scaling>
          <c:orientation val="minMax"/>
        </c:scaling>
        <c:delete val="0"/>
        <c:axPos val="b"/>
        <c:numFmt formatCode="General" sourceLinked="1"/>
        <c:majorTickMark val="none"/>
        <c:minorTickMark val="none"/>
        <c:tickLblPos val="nextTo"/>
        <c:spPr>
          <a:noFill/>
          <a:ln w="25400" cap="flat" cmpd="sng" algn="ctr">
            <a:no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0864448"/>
        <c:crosses val="autoZero"/>
        <c:auto val="1"/>
        <c:lblAlgn val="ctr"/>
        <c:lblOffset val="100"/>
        <c:noMultiLvlLbl val="0"/>
      </c:catAx>
      <c:valAx>
        <c:axId val="4108644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392128512"/>
        <c:crosses val="autoZero"/>
        <c:crossBetween val="between"/>
      </c:valAx>
      <c:spPr>
        <a:noFill/>
        <a:ln>
          <a:noFill/>
        </a:ln>
        <a:effectLst/>
      </c:spPr>
    </c:plotArea>
    <c:legend>
      <c:legendPos val="r"/>
      <c:legendEntry>
        <c:idx val="0"/>
        <c:delete val="1"/>
      </c:legendEntry>
      <c:legendEntry>
        <c:idx val="1"/>
        <c:delete val="1"/>
      </c:legendEntry>
      <c:legendEntry>
        <c:idx val="2"/>
        <c:delete val="1"/>
      </c:legendEntry>
      <c:legendEntry>
        <c:idx val="3"/>
        <c:delete val="1"/>
      </c:legendEntry>
      <c:legendEntry>
        <c:idx val="4"/>
        <c:delete val="1"/>
      </c:legendEntry>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r>
              <a:rPr lang="ro-RO" sz="1100"/>
              <a:t>AUGUST</a:t>
            </a:r>
          </a:p>
        </c:rich>
      </c:tx>
      <c:layout>
        <c:manualLayout>
          <c:xMode val="edge"/>
          <c:yMode val="edge"/>
          <c:x val="0.68873239436619704"/>
          <c:y val="5.5443548387096767E-2"/>
        </c:manualLayout>
      </c:layout>
      <c:overlay val="0"/>
      <c:spPr>
        <a:noFill/>
        <a:ln>
          <a:noFill/>
        </a:ln>
        <a:effectLst/>
      </c:spPr>
    </c:title>
    <c:autoTitleDeleted val="0"/>
    <c:plotArea>
      <c:layout>
        <c:manualLayout>
          <c:layoutTarget val="inner"/>
          <c:xMode val="edge"/>
          <c:yMode val="edge"/>
          <c:x val="0.11048131307530212"/>
          <c:y val="0.21016954533909071"/>
          <c:w val="0.56760452478651435"/>
          <c:h val="0.60937380937261876"/>
        </c:manualLayout>
      </c:layout>
      <c:radarChart>
        <c:radarStyle val="marker"/>
        <c:varyColors val="0"/>
        <c:ser>
          <c:idx val="0"/>
          <c:order val="0"/>
          <c:tx>
            <c:strRef>
              <c:f>Sheet1!$B$1</c:f>
              <c:strCache>
                <c:ptCount val="1"/>
                <c:pt idx="0">
                  <c:v>2012</c:v>
                </c:pt>
              </c:strCache>
            </c:strRef>
          </c:tx>
          <c:spPr>
            <a:ln w="28575" cap="rnd">
              <a:solidFill>
                <a:schemeClr val="accent1"/>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Sheet1!$B$2:$B$9</c:f>
              <c:numCache>
                <c:formatCode>General</c:formatCode>
                <c:ptCount val="8"/>
                <c:pt idx="0">
                  <c:v>32.4</c:v>
                </c:pt>
                <c:pt idx="1">
                  <c:v>12.1</c:v>
                </c:pt>
                <c:pt idx="2">
                  <c:v>4.8</c:v>
                </c:pt>
                <c:pt idx="3">
                  <c:v>5.6</c:v>
                </c:pt>
                <c:pt idx="4">
                  <c:v>16.100000000000001</c:v>
                </c:pt>
                <c:pt idx="5">
                  <c:v>0.8</c:v>
                </c:pt>
                <c:pt idx="6">
                  <c:v>5.6</c:v>
                </c:pt>
                <c:pt idx="7">
                  <c:v>16.100000000000001</c:v>
                </c:pt>
              </c:numCache>
            </c:numRef>
          </c:val>
          <c:extLst>
            <c:ext xmlns:c16="http://schemas.microsoft.com/office/drawing/2014/chart" uri="{C3380CC4-5D6E-409C-BE32-E72D297353CC}">
              <c16:uniqueId val="{00000000-6840-4979-BE22-EE6AF36A5434}"/>
            </c:ext>
          </c:extLst>
        </c:ser>
        <c:ser>
          <c:idx val="1"/>
          <c:order val="1"/>
          <c:tx>
            <c:strRef>
              <c:f>Sheet1!$C$1</c:f>
              <c:strCache>
                <c:ptCount val="1"/>
                <c:pt idx="0">
                  <c:v>2013</c:v>
                </c:pt>
              </c:strCache>
            </c:strRef>
          </c:tx>
          <c:spPr>
            <a:ln w="28575" cap="rnd">
              <a:solidFill>
                <a:schemeClr val="accent2"/>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Sheet1!$C$2:$C$9</c:f>
              <c:numCache>
                <c:formatCode>General</c:formatCode>
                <c:ptCount val="8"/>
                <c:pt idx="0">
                  <c:v>45.4</c:v>
                </c:pt>
                <c:pt idx="1">
                  <c:v>15.3</c:v>
                </c:pt>
                <c:pt idx="2">
                  <c:v>5.6</c:v>
                </c:pt>
                <c:pt idx="3">
                  <c:v>4</c:v>
                </c:pt>
                <c:pt idx="4">
                  <c:v>2.4</c:v>
                </c:pt>
                <c:pt idx="5">
                  <c:v>1.6</c:v>
                </c:pt>
                <c:pt idx="6">
                  <c:v>4.8</c:v>
                </c:pt>
                <c:pt idx="7">
                  <c:v>15.3</c:v>
                </c:pt>
              </c:numCache>
            </c:numRef>
          </c:val>
          <c:extLst>
            <c:ext xmlns:c16="http://schemas.microsoft.com/office/drawing/2014/chart" uri="{C3380CC4-5D6E-409C-BE32-E72D297353CC}">
              <c16:uniqueId val="{00000001-6840-4979-BE22-EE6AF36A5434}"/>
            </c:ext>
          </c:extLst>
        </c:ser>
        <c:ser>
          <c:idx val="2"/>
          <c:order val="2"/>
          <c:tx>
            <c:strRef>
              <c:f>Sheet1!$D$1</c:f>
              <c:strCache>
                <c:ptCount val="1"/>
                <c:pt idx="0">
                  <c:v>2014</c:v>
                </c:pt>
              </c:strCache>
            </c:strRef>
          </c:tx>
          <c:spPr>
            <a:ln w="28575" cap="rnd">
              <a:solidFill>
                <a:schemeClr val="accent3"/>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Sheet1!$D$2:$D$9</c:f>
              <c:numCache>
                <c:formatCode>General</c:formatCode>
                <c:ptCount val="8"/>
                <c:pt idx="0">
                  <c:v>31.5</c:v>
                </c:pt>
                <c:pt idx="1">
                  <c:v>3.2</c:v>
                </c:pt>
                <c:pt idx="2">
                  <c:v>4</c:v>
                </c:pt>
                <c:pt idx="3">
                  <c:v>7.3</c:v>
                </c:pt>
                <c:pt idx="4">
                  <c:v>23.4</c:v>
                </c:pt>
                <c:pt idx="5">
                  <c:v>2.4</c:v>
                </c:pt>
                <c:pt idx="6">
                  <c:v>7.3</c:v>
                </c:pt>
                <c:pt idx="7">
                  <c:v>16.899999999999999</c:v>
                </c:pt>
              </c:numCache>
            </c:numRef>
          </c:val>
          <c:extLst>
            <c:ext xmlns:c16="http://schemas.microsoft.com/office/drawing/2014/chart" uri="{C3380CC4-5D6E-409C-BE32-E72D297353CC}">
              <c16:uniqueId val="{00000002-6840-4979-BE22-EE6AF36A5434}"/>
            </c:ext>
          </c:extLst>
        </c:ser>
        <c:ser>
          <c:idx val="3"/>
          <c:order val="3"/>
          <c:tx>
            <c:strRef>
              <c:f>Sheet1!$E$1</c:f>
              <c:strCache>
                <c:ptCount val="1"/>
                <c:pt idx="0">
                  <c:v>2015</c:v>
                </c:pt>
              </c:strCache>
            </c:strRef>
          </c:tx>
          <c:spPr>
            <a:ln w="28575" cap="rnd">
              <a:solidFill>
                <a:schemeClr val="accent4"/>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Sheet1!$E$2:$E$9</c:f>
              <c:numCache>
                <c:formatCode>General</c:formatCode>
                <c:ptCount val="8"/>
                <c:pt idx="0">
                  <c:v>39.6</c:v>
                </c:pt>
                <c:pt idx="1">
                  <c:v>1.6</c:v>
                </c:pt>
                <c:pt idx="2">
                  <c:v>8.9</c:v>
                </c:pt>
                <c:pt idx="3">
                  <c:v>3.2</c:v>
                </c:pt>
                <c:pt idx="4">
                  <c:v>12.9</c:v>
                </c:pt>
                <c:pt idx="5">
                  <c:v>4</c:v>
                </c:pt>
                <c:pt idx="6">
                  <c:v>5.6</c:v>
                </c:pt>
                <c:pt idx="7">
                  <c:v>22.6</c:v>
                </c:pt>
              </c:numCache>
            </c:numRef>
          </c:val>
          <c:extLst>
            <c:ext xmlns:c16="http://schemas.microsoft.com/office/drawing/2014/chart" uri="{C3380CC4-5D6E-409C-BE32-E72D297353CC}">
              <c16:uniqueId val="{00000003-6840-4979-BE22-EE6AF36A5434}"/>
            </c:ext>
          </c:extLst>
        </c:ser>
        <c:ser>
          <c:idx val="4"/>
          <c:order val="4"/>
          <c:tx>
            <c:strRef>
              <c:f>Sheet1!$F$1</c:f>
              <c:strCache>
                <c:ptCount val="1"/>
                <c:pt idx="0">
                  <c:v>2016</c:v>
                </c:pt>
              </c:strCache>
            </c:strRef>
          </c:tx>
          <c:spPr>
            <a:ln w="28575" cap="rnd">
              <a:solidFill>
                <a:schemeClr val="accent5"/>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Sheet1!$F$2:$F$9</c:f>
              <c:numCache>
                <c:formatCode>General</c:formatCode>
                <c:ptCount val="8"/>
                <c:pt idx="0">
                  <c:v>26.6</c:v>
                </c:pt>
                <c:pt idx="1">
                  <c:v>0.8</c:v>
                </c:pt>
                <c:pt idx="2">
                  <c:v>4</c:v>
                </c:pt>
                <c:pt idx="3">
                  <c:v>2.4</c:v>
                </c:pt>
                <c:pt idx="4">
                  <c:v>9.7000000000000011</c:v>
                </c:pt>
                <c:pt idx="5">
                  <c:v>6.5</c:v>
                </c:pt>
                <c:pt idx="6">
                  <c:v>5.6</c:v>
                </c:pt>
                <c:pt idx="7">
                  <c:v>34.700000000000003</c:v>
                </c:pt>
              </c:numCache>
            </c:numRef>
          </c:val>
          <c:extLst>
            <c:ext xmlns:c16="http://schemas.microsoft.com/office/drawing/2014/chart" uri="{C3380CC4-5D6E-409C-BE32-E72D297353CC}">
              <c16:uniqueId val="{00000004-6840-4979-BE22-EE6AF36A5434}"/>
            </c:ext>
          </c:extLst>
        </c:ser>
        <c:ser>
          <c:idx val="5"/>
          <c:order val="5"/>
          <c:tx>
            <c:strRef>
              <c:f>Sheet1!$G$1</c:f>
              <c:strCache>
                <c:ptCount val="1"/>
                <c:pt idx="0">
                  <c:v>calm 2012 6,5%</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Sheet1!$G$2:$G$9</c:f>
              <c:numCache>
                <c:formatCode>General</c:formatCode>
                <c:ptCount val="8"/>
              </c:numCache>
            </c:numRef>
          </c:val>
          <c:extLst>
            <c:ext xmlns:c16="http://schemas.microsoft.com/office/drawing/2014/chart" uri="{C3380CC4-5D6E-409C-BE32-E72D297353CC}">
              <c16:uniqueId val="{00000005-6840-4979-BE22-EE6AF36A5434}"/>
            </c:ext>
          </c:extLst>
        </c:ser>
        <c:ser>
          <c:idx val="6"/>
          <c:order val="6"/>
          <c:tx>
            <c:strRef>
              <c:f>Sheet1!$H$1</c:f>
              <c:strCache>
                <c:ptCount val="1"/>
                <c:pt idx="0">
                  <c:v>calm 2013 5,6%</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Sheet1!$H$2:$H$9</c:f>
              <c:numCache>
                <c:formatCode>General</c:formatCode>
                <c:ptCount val="8"/>
              </c:numCache>
            </c:numRef>
          </c:val>
          <c:extLst>
            <c:ext xmlns:c16="http://schemas.microsoft.com/office/drawing/2014/chart" uri="{C3380CC4-5D6E-409C-BE32-E72D297353CC}">
              <c16:uniqueId val="{00000006-6840-4979-BE22-EE6AF36A5434}"/>
            </c:ext>
          </c:extLst>
        </c:ser>
        <c:ser>
          <c:idx val="7"/>
          <c:order val="7"/>
          <c:tx>
            <c:strRef>
              <c:f>Sheet1!$I$1</c:f>
              <c:strCache>
                <c:ptCount val="1"/>
                <c:pt idx="0">
                  <c:v>calm 2014 4%</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Sheet1!$I$2:$I$9</c:f>
              <c:numCache>
                <c:formatCode>General</c:formatCode>
                <c:ptCount val="8"/>
              </c:numCache>
            </c:numRef>
          </c:val>
          <c:extLst>
            <c:ext xmlns:c16="http://schemas.microsoft.com/office/drawing/2014/chart" uri="{C3380CC4-5D6E-409C-BE32-E72D297353CC}">
              <c16:uniqueId val="{00000007-6840-4979-BE22-EE6AF36A5434}"/>
            </c:ext>
          </c:extLst>
        </c:ser>
        <c:ser>
          <c:idx val="8"/>
          <c:order val="8"/>
          <c:tx>
            <c:strRef>
              <c:f>Sheet1!$J$1</c:f>
              <c:strCache>
                <c:ptCount val="1"/>
                <c:pt idx="0">
                  <c:v>calm 2015 1,6%</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Sheet1!$J$2:$J$9</c:f>
              <c:numCache>
                <c:formatCode>General</c:formatCode>
                <c:ptCount val="8"/>
              </c:numCache>
            </c:numRef>
          </c:val>
          <c:extLst>
            <c:ext xmlns:c16="http://schemas.microsoft.com/office/drawing/2014/chart" uri="{C3380CC4-5D6E-409C-BE32-E72D297353CC}">
              <c16:uniqueId val="{00000008-6840-4979-BE22-EE6AF36A5434}"/>
            </c:ext>
          </c:extLst>
        </c:ser>
        <c:ser>
          <c:idx val="9"/>
          <c:order val="9"/>
          <c:tx>
            <c:strRef>
              <c:f>Sheet1!$K$1</c:f>
              <c:strCache>
                <c:ptCount val="1"/>
                <c:pt idx="0">
                  <c:v>calm 2016 9,7%</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Sheet1!$K$2:$K$9</c:f>
              <c:numCache>
                <c:formatCode>General</c:formatCode>
                <c:ptCount val="8"/>
              </c:numCache>
            </c:numRef>
          </c:val>
          <c:extLst>
            <c:ext xmlns:c16="http://schemas.microsoft.com/office/drawing/2014/chart" uri="{C3380CC4-5D6E-409C-BE32-E72D297353CC}">
              <c16:uniqueId val="{00000009-6840-4979-BE22-EE6AF36A5434}"/>
            </c:ext>
          </c:extLst>
        </c:ser>
        <c:dLbls>
          <c:showLegendKey val="0"/>
          <c:showVal val="0"/>
          <c:showCatName val="0"/>
          <c:showSerName val="0"/>
          <c:showPercent val="0"/>
          <c:showBubbleSize val="0"/>
        </c:dLbls>
        <c:axId val="413492736"/>
        <c:axId val="410868480"/>
      </c:radarChart>
      <c:catAx>
        <c:axId val="413492736"/>
        <c:scaling>
          <c:orientation val="minMax"/>
        </c:scaling>
        <c:delete val="0"/>
        <c:axPos val="b"/>
        <c:numFmt formatCode="General" sourceLinked="1"/>
        <c:majorTickMark val="none"/>
        <c:minorTickMark val="none"/>
        <c:tickLblPos val="nextTo"/>
        <c:spPr>
          <a:noFill/>
          <a:ln w="25400" cap="flat" cmpd="sng" algn="ctr">
            <a:no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0868480"/>
        <c:crosses val="autoZero"/>
        <c:auto val="1"/>
        <c:lblAlgn val="ctr"/>
        <c:lblOffset val="100"/>
        <c:noMultiLvlLbl val="0"/>
      </c:catAx>
      <c:valAx>
        <c:axId val="4108684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3492736"/>
        <c:crosses val="autoZero"/>
        <c:crossBetween val="between"/>
      </c:valAx>
      <c:spPr>
        <a:noFill/>
        <a:ln>
          <a:noFill/>
        </a:ln>
        <a:effectLst/>
      </c:spPr>
    </c:plotArea>
    <c:legend>
      <c:legendPos val="r"/>
      <c:legendEntry>
        <c:idx val="0"/>
        <c:delete val="1"/>
      </c:legendEntry>
      <c:legendEntry>
        <c:idx val="1"/>
        <c:delete val="1"/>
      </c:legendEntry>
      <c:legendEntry>
        <c:idx val="2"/>
        <c:delete val="1"/>
      </c:legendEntry>
      <c:legendEntry>
        <c:idx val="3"/>
        <c:delete val="1"/>
      </c:legendEntry>
      <c:legendEntry>
        <c:idx val="4"/>
        <c:delete val="1"/>
      </c:legendEntry>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r>
              <a:rPr lang="ro-RO" sz="1100"/>
              <a:t>SEPTEMBRIE</a:t>
            </a:r>
          </a:p>
        </c:rich>
      </c:tx>
      <c:layout>
        <c:manualLayout>
          <c:xMode val="edge"/>
          <c:yMode val="edge"/>
          <c:x val="0.68873239436619704"/>
          <c:y val="5.5443548387096767E-2"/>
        </c:manualLayout>
      </c:layout>
      <c:overlay val="0"/>
      <c:spPr>
        <a:noFill/>
        <a:ln>
          <a:noFill/>
        </a:ln>
        <a:effectLst/>
      </c:spPr>
    </c:title>
    <c:autoTitleDeleted val="0"/>
    <c:plotArea>
      <c:layout>
        <c:manualLayout>
          <c:layoutTarget val="inner"/>
          <c:xMode val="edge"/>
          <c:yMode val="edge"/>
          <c:x val="0.11048131307530212"/>
          <c:y val="0.21016954533909071"/>
          <c:w val="0.56760452478651435"/>
          <c:h val="0.60937380937261876"/>
        </c:manualLayout>
      </c:layout>
      <c:radarChart>
        <c:radarStyle val="marker"/>
        <c:varyColors val="0"/>
        <c:ser>
          <c:idx val="0"/>
          <c:order val="0"/>
          <c:tx>
            <c:strRef>
              <c:f>Sheet1!$B$1</c:f>
              <c:strCache>
                <c:ptCount val="1"/>
                <c:pt idx="0">
                  <c:v>2012</c:v>
                </c:pt>
              </c:strCache>
            </c:strRef>
          </c:tx>
          <c:spPr>
            <a:ln w="28575" cap="rnd">
              <a:solidFill>
                <a:schemeClr val="accent1"/>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Sheet1!$B$2:$B$9</c:f>
              <c:numCache>
                <c:formatCode>General</c:formatCode>
                <c:ptCount val="8"/>
                <c:pt idx="0">
                  <c:v>17.5</c:v>
                </c:pt>
                <c:pt idx="1">
                  <c:v>15</c:v>
                </c:pt>
                <c:pt idx="2">
                  <c:v>15.8</c:v>
                </c:pt>
                <c:pt idx="3">
                  <c:v>15</c:v>
                </c:pt>
                <c:pt idx="4">
                  <c:v>22.5</c:v>
                </c:pt>
                <c:pt idx="5">
                  <c:v>1.7</c:v>
                </c:pt>
                <c:pt idx="6">
                  <c:v>3.3</c:v>
                </c:pt>
                <c:pt idx="7">
                  <c:v>4.2</c:v>
                </c:pt>
              </c:numCache>
            </c:numRef>
          </c:val>
          <c:extLst>
            <c:ext xmlns:c16="http://schemas.microsoft.com/office/drawing/2014/chart" uri="{C3380CC4-5D6E-409C-BE32-E72D297353CC}">
              <c16:uniqueId val="{00000000-DCF0-4C7A-A864-745441BD24CF}"/>
            </c:ext>
          </c:extLst>
        </c:ser>
        <c:ser>
          <c:idx val="1"/>
          <c:order val="1"/>
          <c:tx>
            <c:strRef>
              <c:f>Sheet1!$C$1</c:f>
              <c:strCache>
                <c:ptCount val="1"/>
                <c:pt idx="0">
                  <c:v>2013</c:v>
                </c:pt>
              </c:strCache>
            </c:strRef>
          </c:tx>
          <c:spPr>
            <a:ln w="28575" cap="rnd">
              <a:solidFill>
                <a:schemeClr val="accent2"/>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Sheet1!$C$2:$C$9</c:f>
              <c:numCache>
                <c:formatCode>General</c:formatCode>
                <c:ptCount val="8"/>
                <c:pt idx="0">
                  <c:v>23.2</c:v>
                </c:pt>
                <c:pt idx="1">
                  <c:v>10.8</c:v>
                </c:pt>
                <c:pt idx="2">
                  <c:v>6.7</c:v>
                </c:pt>
                <c:pt idx="3">
                  <c:v>9.2000000000000011</c:v>
                </c:pt>
                <c:pt idx="4">
                  <c:v>12.5</c:v>
                </c:pt>
                <c:pt idx="5">
                  <c:v>9.2000000000000011</c:v>
                </c:pt>
                <c:pt idx="6">
                  <c:v>11.7</c:v>
                </c:pt>
                <c:pt idx="7">
                  <c:v>12.5</c:v>
                </c:pt>
              </c:numCache>
            </c:numRef>
          </c:val>
          <c:extLst>
            <c:ext xmlns:c16="http://schemas.microsoft.com/office/drawing/2014/chart" uri="{C3380CC4-5D6E-409C-BE32-E72D297353CC}">
              <c16:uniqueId val="{00000001-DCF0-4C7A-A864-745441BD24CF}"/>
            </c:ext>
          </c:extLst>
        </c:ser>
        <c:ser>
          <c:idx val="2"/>
          <c:order val="2"/>
          <c:tx>
            <c:strRef>
              <c:f>Sheet1!$D$1</c:f>
              <c:strCache>
                <c:ptCount val="1"/>
                <c:pt idx="0">
                  <c:v>2014</c:v>
                </c:pt>
              </c:strCache>
            </c:strRef>
          </c:tx>
          <c:spPr>
            <a:ln w="28575" cap="rnd">
              <a:solidFill>
                <a:schemeClr val="accent3"/>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Sheet1!$D$2:$D$9</c:f>
              <c:numCache>
                <c:formatCode>General</c:formatCode>
                <c:ptCount val="8"/>
                <c:pt idx="0">
                  <c:v>41.7</c:v>
                </c:pt>
                <c:pt idx="1">
                  <c:v>4.2</c:v>
                </c:pt>
                <c:pt idx="2">
                  <c:v>7.5</c:v>
                </c:pt>
                <c:pt idx="3">
                  <c:v>5</c:v>
                </c:pt>
                <c:pt idx="4">
                  <c:v>13.3</c:v>
                </c:pt>
                <c:pt idx="5">
                  <c:v>5</c:v>
                </c:pt>
                <c:pt idx="6">
                  <c:v>6.7</c:v>
                </c:pt>
                <c:pt idx="7">
                  <c:v>10.8</c:v>
                </c:pt>
              </c:numCache>
            </c:numRef>
          </c:val>
          <c:extLst>
            <c:ext xmlns:c16="http://schemas.microsoft.com/office/drawing/2014/chart" uri="{C3380CC4-5D6E-409C-BE32-E72D297353CC}">
              <c16:uniqueId val="{00000002-DCF0-4C7A-A864-745441BD24CF}"/>
            </c:ext>
          </c:extLst>
        </c:ser>
        <c:ser>
          <c:idx val="3"/>
          <c:order val="3"/>
          <c:tx>
            <c:strRef>
              <c:f>Sheet1!$E$1</c:f>
              <c:strCache>
                <c:ptCount val="1"/>
                <c:pt idx="0">
                  <c:v>2015</c:v>
                </c:pt>
              </c:strCache>
            </c:strRef>
          </c:tx>
          <c:spPr>
            <a:ln w="28575" cap="rnd">
              <a:solidFill>
                <a:schemeClr val="accent4"/>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Sheet1!$E$2:$E$9</c:f>
              <c:numCache>
                <c:formatCode>General</c:formatCode>
                <c:ptCount val="8"/>
                <c:pt idx="0">
                  <c:v>26.7</c:v>
                </c:pt>
                <c:pt idx="1">
                  <c:v>3.3</c:v>
                </c:pt>
                <c:pt idx="2">
                  <c:v>2.5</c:v>
                </c:pt>
                <c:pt idx="3">
                  <c:v>6.7</c:v>
                </c:pt>
                <c:pt idx="4">
                  <c:v>28.2</c:v>
                </c:pt>
                <c:pt idx="5">
                  <c:v>4.2</c:v>
                </c:pt>
                <c:pt idx="6">
                  <c:v>4.2</c:v>
                </c:pt>
                <c:pt idx="7">
                  <c:v>17.5</c:v>
                </c:pt>
              </c:numCache>
            </c:numRef>
          </c:val>
          <c:extLst>
            <c:ext xmlns:c16="http://schemas.microsoft.com/office/drawing/2014/chart" uri="{C3380CC4-5D6E-409C-BE32-E72D297353CC}">
              <c16:uniqueId val="{00000003-DCF0-4C7A-A864-745441BD24CF}"/>
            </c:ext>
          </c:extLst>
        </c:ser>
        <c:ser>
          <c:idx val="4"/>
          <c:order val="4"/>
          <c:tx>
            <c:strRef>
              <c:f>Sheet1!$F$1</c:f>
              <c:strCache>
                <c:ptCount val="1"/>
                <c:pt idx="0">
                  <c:v>2016</c:v>
                </c:pt>
              </c:strCache>
            </c:strRef>
          </c:tx>
          <c:spPr>
            <a:ln w="28575" cap="rnd">
              <a:solidFill>
                <a:schemeClr val="accent5"/>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Sheet1!$F$2:$F$9</c:f>
              <c:numCache>
                <c:formatCode>General</c:formatCode>
                <c:ptCount val="8"/>
                <c:pt idx="0">
                  <c:v>20</c:v>
                </c:pt>
                <c:pt idx="1">
                  <c:v>2.5</c:v>
                </c:pt>
                <c:pt idx="2">
                  <c:v>5.8</c:v>
                </c:pt>
                <c:pt idx="3">
                  <c:v>4.2</c:v>
                </c:pt>
                <c:pt idx="4">
                  <c:v>15.8</c:v>
                </c:pt>
                <c:pt idx="5">
                  <c:v>7.5</c:v>
                </c:pt>
                <c:pt idx="6">
                  <c:v>13.3</c:v>
                </c:pt>
                <c:pt idx="7">
                  <c:v>19.2</c:v>
                </c:pt>
              </c:numCache>
            </c:numRef>
          </c:val>
          <c:extLst>
            <c:ext xmlns:c16="http://schemas.microsoft.com/office/drawing/2014/chart" uri="{C3380CC4-5D6E-409C-BE32-E72D297353CC}">
              <c16:uniqueId val="{00000004-DCF0-4C7A-A864-745441BD24CF}"/>
            </c:ext>
          </c:extLst>
        </c:ser>
        <c:ser>
          <c:idx val="5"/>
          <c:order val="5"/>
          <c:tx>
            <c:strRef>
              <c:f>Sheet1!$G$1</c:f>
              <c:strCache>
                <c:ptCount val="1"/>
                <c:pt idx="0">
                  <c:v>calm 2012 5%</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Sheet1!$G$2:$G$9</c:f>
              <c:numCache>
                <c:formatCode>General</c:formatCode>
                <c:ptCount val="8"/>
              </c:numCache>
            </c:numRef>
          </c:val>
          <c:extLst>
            <c:ext xmlns:c16="http://schemas.microsoft.com/office/drawing/2014/chart" uri="{C3380CC4-5D6E-409C-BE32-E72D297353CC}">
              <c16:uniqueId val="{00000005-DCF0-4C7A-A864-745441BD24CF}"/>
            </c:ext>
          </c:extLst>
        </c:ser>
        <c:ser>
          <c:idx val="6"/>
          <c:order val="6"/>
          <c:tx>
            <c:strRef>
              <c:f>Sheet1!$H$1</c:f>
              <c:strCache>
                <c:ptCount val="1"/>
                <c:pt idx="0">
                  <c:v>calm 2013 4,2%</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Sheet1!$H$2:$H$9</c:f>
              <c:numCache>
                <c:formatCode>General</c:formatCode>
                <c:ptCount val="8"/>
              </c:numCache>
            </c:numRef>
          </c:val>
          <c:extLst>
            <c:ext xmlns:c16="http://schemas.microsoft.com/office/drawing/2014/chart" uri="{C3380CC4-5D6E-409C-BE32-E72D297353CC}">
              <c16:uniqueId val="{00000006-DCF0-4C7A-A864-745441BD24CF}"/>
            </c:ext>
          </c:extLst>
        </c:ser>
        <c:ser>
          <c:idx val="7"/>
          <c:order val="7"/>
          <c:tx>
            <c:strRef>
              <c:f>Sheet1!$I$1</c:f>
              <c:strCache>
                <c:ptCount val="1"/>
                <c:pt idx="0">
                  <c:v>calm 2014 5,8%</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Sheet1!$I$2:$I$9</c:f>
              <c:numCache>
                <c:formatCode>General</c:formatCode>
                <c:ptCount val="8"/>
              </c:numCache>
            </c:numRef>
          </c:val>
          <c:extLst>
            <c:ext xmlns:c16="http://schemas.microsoft.com/office/drawing/2014/chart" uri="{C3380CC4-5D6E-409C-BE32-E72D297353CC}">
              <c16:uniqueId val="{00000007-DCF0-4C7A-A864-745441BD24CF}"/>
            </c:ext>
          </c:extLst>
        </c:ser>
        <c:ser>
          <c:idx val="8"/>
          <c:order val="8"/>
          <c:tx>
            <c:strRef>
              <c:f>Sheet1!$J$1</c:f>
              <c:strCache>
                <c:ptCount val="1"/>
                <c:pt idx="0">
                  <c:v>calm 2015 6,7%</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Sheet1!$J$2:$J$9</c:f>
              <c:numCache>
                <c:formatCode>General</c:formatCode>
                <c:ptCount val="8"/>
              </c:numCache>
            </c:numRef>
          </c:val>
          <c:extLst>
            <c:ext xmlns:c16="http://schemas.microsoft.com/office/drawing/2014/chart" uri="{C3380CC4-5D6E-409C-BE32-E72D297353CC}">
              <c16:uniqueId val="{00000008-DCF0-4C7A-A864-745441BD24CF}"/>
            </c:ext>
          </c:extLst>
        </c:ser>
        <c:ser>
          <c:idx val="9"/>
          <c:order val="9"/>
          <c:tx>
            <c:strRef>
              <c:f>Sheet1!$K$1</c:f>
              <c:strCache>
                <c:ptCount val="1"/>
                <c:pt idx="0">
                  <c:v>calm 2016 11,7%</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Sheet1!$K$2:$K$9</c:f>
              <c:numCache>
                <c:formatCode>General</c:formatCode>
                <c:ptCount val="8"/>
              </c:numCache>
            </c:numRef>
          </c:val>
          <c:extLst>
            <c:ext xmlns:c16="http://schemas.microsoft.com/office/drawing/2014/chart" uri="{C3380CC4-5D6E-409C-BE32-E72D297353CC}">
              <c16:uniqueId val="{00000009-DCF0-4C7A-A864-745441BD24CF}"/>
            </c:ext>
          </c:extLst>
        </c:ser>
        <c:dLbls>
          <c:showLegendKey val="0"/>
          <c:showVal val="0"/>
          <c:showCatName val="0"/>
          <c:showSerName val="0"/>
          <c:showPercent val="0"/>
          <c:showBubbleSize val="0"/>
        </c:dLbls>
        <c:axId val="329928704"/>
        <c:axId val="413393472"/>
      </c:radarChart>
      <c:catAx>
        <c:axId val="329928704"/>
        <c:scaling>
          <c:orientation val="minMax"/>
        </c:scaling>
        <c:delete val="0"/>
        <c:axPos val="b"/>
        <c:numFmt formatCode="General" sourceLinked="1"/>
        <c:majorTickMark val="none"/>
        <c:minorTickMark val="none"/>
        <c:tickLblPos val="nextTo"/>
        <c:spPr>
          <a:noFill/>
          <a:ln w="25400" cap="flat" cmpd="sng" algn="ctr">
            <a:no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3393472"/>
        <c:crosses val="autoZero"/>
        <c:auto val="1"/>
        <c:lblAlgn val="ctr"/>
        <c:lblOffset val="100"/>
        <c:noMultiLvlLbl val="0"/>
      </c:catAx>
      <c:valAx>
        <c:axId val="4133934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329928704"/>
        <c:crosses val="autoZero"/>
        <c:crossBetween val="between"/>
      </c:valAx>
      <c:spPr>
        <a:noFill/>
        <a:ln>
          <a:noFill/>
        </a:ln>
        <a:effectLst/>
      </c:spPr>
    </c:plotArea>
    <c:legend>
      <c:legendPos val="r"/>
      <c:legendEntry>
        <c:idx val="0"/>
        <c:delete val="1"/>
      </c:legendEntry>
      <c:legendEntry>
        <c:idx val="1"/>
        <c:delete val="1"/>
      </c:legendEntry>
      <c:legendEntry>
        <c:idx val="2"/>
        <c:delete val="1"/>
      </c:legendEntry>
      <c:legendEntry>
        <c:idx val="3"/>
        <c:delete val="1"/>
      </c:legendEntry>
      <c:legendEntry>
        <c:idx val="4"/>
        <c:delete val="1"/>
      </c:legendEntry>
      <c:layout>
        <c:manualLayout>
          <c:xMode val="edge"/>
          <c:yMode val="edge"/>
          <c:x val="0.69161842445750665"/>
          <c:y val="0.21635802959105921"/>
          <c:w val="0.28021256145798706"/>
          <c:h val="0.6776416052832116"/>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r>
              <a:rPr lang="ro-RO" sz="1100"/>
              <a:t>OCTOMBRIE</a:t>
            </a:r>
          </a:p>
        </c:rich>
      </c:tx>
      <c:layout>
        <c:manualLayout>
          <c:xMode val="edge"/>
          <c:yMode val="edge"/>
          <c:x val="0.68873239436619704"/>
          <c:y val="5.5443548387096767E-2"/>
        </c:manualLayout>
      </c:layout>
      <c:overlay val="0"/>
      <c:spPr>
        <a:noFill/>
        <a:ln>
          <a:noFill/>
        </a:ln>
        <a:effectLst/>
      </c:spPr>
    </c:title>
    <c:autoTitleDeleted val="0"/>
    <c:plotArea>
      <c:layout>
        <c:manualLayout>
          <c:layoutTarget val="inner"/>
          <c:xMode val="edge"/>
          <c:yMode val="edge"/>
          <c:x val="0.11048131307530212"/>
          <c:y val="0.21016954533909071"/>
          <c:w val="0.56760452478651435"/>
          <c:h val="0.60937380937261876"/>
        </c:manualLayout>
      </c:layout>
      <c:radarChart>
        <c:radarStyle val="marker"/>
        <c:varyColors val="0"/>
        <c:ser>
          <c:idx val="0"/>
          <c:order val="0"/>
          <c:tx>
            <c:strRef>
              <c:f>Sheet1!$B$1</c:f>
              <c:strCache>
                <c:ptCount val="1"/>
                <c:pt idx="0">
                  <c:v>2012</c:v>
                </c:pt>
              </c:strCache>
            </c:strRef>
          </c:tx>
          <c:spPr>
            <a:ln w="28575" cap="rnd">
              <a:solidFill>
                <a:schemeClr val="accent1"/>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Sheet1!$B$2:$B$9</c:f>
              <c:numCache>
                <c:formatCode>General</c:formatCode>
                <c:ptCount val="8"/>
              </c:numCache>
            </c:numRef>
          </c:val>
          <c:extLst>
            <c:ext xmlns:c16="http://schemas.microsoft.com/office/drawing/2014/chart" uri="{C3380CC4-5D6E-409C-BE32-E72D297353CC}">
              <c16:uniqueId val="{00000000-8384-4CBB-897B-005BFBEF235D}"/>
            </c:ext>
          </c:extLst>
        </c:ser>
        <c:ser>
          <c:idx val="1"/>
          <c:order val="1"/>
          <c:tx>
            <c:strRef>
              <c:f>Sheet1!$C$1</c:f>
              <c:strCache>
                <c:ptCount val="1"/>
                <c:pt idx="0">
                  <c:v>2013</c:v>
                </c:pt>
              </c:strCache>
            </c:strRef>
          </c:tx>
          <c:spPr>
            <a:ln w="28575" cap="rnd">
              <a:solidFill>
                <a:schemeClr val="accent2"/>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Sheet1!$C$2:$C$9</c:f>
              <c:numCache>
                <c:formatCode>General</c:formatCode>
                <c:ptCount val="8"/>
                <c:pt idx="0">
                  <c:v>23.4</c:v>
                </c:pt>
                <c:pt idx="1">
                  <c:v>8.9</c:v>
                </c:pt>
                <c:pt idx="2">
                  <c:v>4.8</c:v>
                </c:pt>
                <c:pt idx="3">
                  <c:v>24.2</c:v>
                </c:pt>
                <c:pt idx="4">
                  <c:v>25.1</c:v>
                </c:pt>
                <c:pt idx="5">
                  <c:v>1.6</c:v>
                </c:pt>
                <c:pt idx="6">
                  <c:v>1.6</c:v>
                </c:pt>
                <c:pt idx="7">
                  <c:v>4.8</c:v>
                </c:pt>
              </c:numCache>
            </c:numRef>
          </c:val>
          <c:extLst>
            <c:ext xmlns:c16="http://schemas.microsoft.com/office/drawing/2014/chart" uri="{C3380CC4-5D6E-409C-BE32-E72D297353CC}">
              <c16:uniqueId val="{00000001-8384-4CBB-897B-005BFBEF235D}"/>
            </c:ext>
          </c:extLst>
        </c:ser>
        <c:ser>
          <c:idx val="2"/>
          <c:order val="2"/>
          <c:tx>
            <c:strRef>
              <c:f>Sheet1!$D$1</c:f>
              <c:strCache>
                <c:ptCount val="1"/>
                <c:pt idx="0">
                  <c:v>2014</c:v>
                </c:pt>
              </c:strCache>
            </c:strRef>
          </c:tx>
          <c:spPr>
            <a:ln w="28575" cap="rnd">
              <a:solidFill>
                <a:schemeClr val="accent3"/>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Sheet1!$D$2:$D$9</c:f>
              <c:numCache>
                <c:formatCode>General</c:formatCode>
                <c:ptCount val="8"/>
                <c:pt idx="0">
                  <c:v>47.7</c:v>
                </c:pt>
                <c:pt idx="1">
                  <c:v>2.4</c:v>
                </c:pt>
                <c:pt idx="2">
                  <c:v>3.2</c:v>
                </c:pt>
                <c:pt idx="3">
                  <c:v>5.6</c:v>
                </c:pt>
                <c:pt idx="4">
                  <c:v>18.5</c:v>
                </c:pt>
                <c:pt idx="5">
                  <c:v>4</c:v>
                </c:pt>
                <c:pt idx="6">
                  <c:v>0</c:v>
                </c:pt>
                <c:pt idx="7">
                  <c:v>9.7000000000000011</c:v>
                </c:pt>
              </c:numCache>
            </c:numRef>
          </c:val>
          <c:extLst>
            <c:ext xmlns:c16="http://schemas.microsoft.com/office/drawing/2014/chart" uri="{C3380CC4-5D6E-409C-BE32-E72D297353CC}">
              <c16:uniqueId val="{00000002-8384-4CBB-897B-005BFBEF235D}"/>
            </c:ext>
          </c:extLst>
        </c:ser>
        <c:ser>
          <c:idx val="3"/>
          <c:order val="3"/>
          <c:tx>
            <c:strRef>
              <c:f>Sheet1!$E$1</c:f>
              <c:strCache>
                <c:ptCount val="1"/>
                <c:pt idx="0">
                  <c:v>2015</c:v>
                </c:pt>
              </c:strCache>
            </c:strRef>
          </c:tx>
          <c:spPr>
            <a:ln w="28575" cap="rnd">
              <a:solidFill>
                <a:schemeClr val="accent4"/>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Sheet1!$E$2:$E$9</c:f>
              <c:numCache>
                <c:formatCode>General</c:formatCode>
                <c:ptCount val="8"/>
                <c:pt idx="0">
                  <c:v>35.4</c:v>
                </c:pt>
                <c:pt idx="1">
                  <c:v>7.3</c:v>
                </c:pt>
                <c:pt idx="2">
                  <c:v>3.2</c:v>
                </c:pt>
                <c:pt idx="3">
                  <c:v>2.4</c:v>
                </c:pt>
                <c:pt idx="4">
                  <c:v>13.7</c:v>
                </c:pt>
                <c:pt idx="5">
                  <c:v>3.2</c:v>
                </c:pt>
                <c:pt idx="6">
                  <c:v>8.1</c:v>
                </c:pt>
                <c:pt idx="7">
                  <c:v>19.399999999999999</c:v>
                </c:pt>
              </c:numCache>
            </c:numRef>
          </c:val>
          <c:extLst>
            <c:ext xmlns:c16="http://schemas.microsoft.com/office/drawing/2014/chart" uri="{C3380CC4-5D6E-409C-BE32-E72D297353CC}">
              <c16:uniqueId val="{00000003-8384-4CBB-897B-005BFBEF235D}"/>
            </c:ext>
          </c:extLst>
        </c:ser>
        <c:ser>
          <c:idx val="4"/>
          <c:order val="4"/>
          <c:tx>
            <c:strRef>
              <c:f>Sheet1!$F$1</c:f>
              <c:strCache>
                <c:ptCount val="1"/>
                <c:pt idx="0">
                  <c:v>2016</c:v>
                </c:pt>
              </c:strCache>
            </c:strRef>
          </c:tx>
          <c:spPr>
            <a:ln w="28575" cap="rnd">
              <a:solidFill>
                <a:schemeClr val="accent5"/>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Sheet1!$F$2:$F$9</c:f>
              <c:numCache>
                <c:formatCode>General</c:formatCode>
                <c:ptCount val="8"/>
                <c:pt idx="0">
                  <c:v>25</c:v>
                </c:pt>
                <c:pt idx="1">
                  <c:v>2.4</c:v>
                </c:pt>
                <c:pt idx="2">
                  <c:v>12.1</c:v>
                </c:pt>
                <c:pt idx="3">
                  <c:v>12.9</c:v>
                </c:pt>
                <c:pt idx="4">
                  <c:v>11.3</c:v>
                </c:pt>
                <c:pt idx="5">
                  <c:v>12.1</c:v>
                </c:pt>
                <c:pt idx="6">
                  <c:v>6.5</c:v>
                </c:pt>
                <c:pt idx="7">
                  <c:v>12.9</c:v>
                </c:pt>
              </c:numCache>
            </c:numRef>
          </c:val>
          <c:extLst>
            <c:ext xmlns:c16="http://schemas.microsoft.com/office/drawing/2014/chart" uri="{C3380CC4-5D6E-409C-BE32-E72D297353CC}">
              <c16:uniqueId val="{00000004-8384-4CBB-897B-005BFBEF235D}"/>
            </c:ext>
          </c:extLst>
        </c:ser>
        <c:ser>
          <c:idx val="5"/>
          <c:order val="5"/>
          <c:tx>
            <c:strRef>
              <c:f>Sheet1!$G$1</c:f>
              <c:strCache>
                <c:ptCount val="1"/>
                <c:pt idx="0">
                  <c:v>calm 2012 </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Sheet1!$G$2:$G$9</c:f>
              <c:numCache>
                <c:formatCode>General</c:formatCode>
                <c:ptCount val="8"/>
              </c:numCache>
            </c:numRef>
          </c:val>
          <c:extLst>
            <c:ext xmlns:c16="http://schemas.microsoft.com/office/drawing/2014/chart" uri="{C3380CC4-5D6E-409C-BE32-E72D297353CC}">
              <c16:uniqueId val="{00000005-8384-4CBB-897B-005BFBEF235D}"/>
            </c:ext>
          </c:extLst>
        </c:ser>
        <c:ser>
          <c:idx val="6"/>
          <c:order val="6"/>
          <c:tx>
            <c:strRef>
              <c:f>Sheet1!$H$1</c:f>
              <c:strCache>
                <c:ptCount val="1"/>
                <c:pt idx="0">
                  <c:v>calm 2013 5,6%</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Sheet1!$H$2:$H$9</c:f>
              <c:numCache>
                <c:formatCode>General</c:formatCode>
                <c:ptCount val="8"/>
              </c:numCache>
            </c:numRef>
          </c:val>
          <c:extLst>
            <c:ext xmlns:c16="http://schemas.microsoft.com/office/drawing/2014/chart" uri="{C3380CC4-5D6E-409C-BE32-E72D297353CC}">
              <c16:uniqueId val="{00000006-8384-4CBB-897B-005BFBEF235D}"/>
            </c:ext>
          </c:extLst>
        </c:ser>
        <c:ser>
          <c:idx val="7"/>
          <c:order val="7"/>
          <c:tx>
            <c:strRef>
              <c:f>Sheet1!$I$1</c:f>
              <c:strCache>
                <c:ptCount val="1"/>
                <c:pt idx="0">
                  <c:v>calm 2014 8,9%</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Sheet1!$I$2:$I$9</c:f>
              <c:numCache>
                <c:formatCode>General</c:formatCode>
                <c:ptCount val="8"/>
              </c:numCache>
            </c:numRef>
          </c:val>
          <c:extLst>
            <c:ext xmlns:c16="http://schemas.microsoft.com/office/drawing/2014/chart" uri="{C3380CC4-5D6E-409C-BE32-E72D297353CC}">
              <c16:uniqueId val="{00000007-8384-4CBB-897B-005BFBEF235D}"/>
            </c:ext>
          </c:extLst>
        </c:ser>
        <c:ser>
          <c:idx val="8"/>
          <c:order val="8"/>
          <c:tx>
            <c:strRef>
              <c:f>Sheet1!$J$1</c:f>
              <c:strCache>
                <c:ptCount val="1"/>
                <c:pt idx="0">
                  <c:v>calm 2015 7,3%</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Sheet1!$J$2:$J$9</c:f>
              <c:numCache>
                <c:formatCode>General</c:formatCode>
                <c:ptCount val="8"/>
              </c:numCache>
            </c:numRef>
          </c:val>
          <c:extLst>
            <c:ext xmlns:c16="http://schemas.microsoft.com/office/drawing/2014/chart" uri="{C3380CC4-5D6E-409C-BE32-E72D297353CC}">
              <c16:uniqueId val="{00000008-8384-4CBB-897B-005BFBEF235D}"/>
            </c:ext>
          </c:extLst>
        </c:ser>
        <c:ser>
          <c:idx val="9"/>
          <c:order val="9"/>
          <c:tx>
            <c:strRef>
              <c:f>Sheet1!$K$1</c:f>
              <c:strCache>
                <c:ptCount val="1"/>
                <c:pt idx="0">
                  <c:v>calm 2016 4,8%</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Sheet1!$K$2:$K$9</c:f>
              <c:numCache>
                <c:formatCode>General</c:formatCode>
                <c:ptCount val="8"/>
              </c:numCache>
            </c:numRef>
          </c:val>
          <c:extLst>
            <c:ext xmlns:c16="http://schemas.microsoft.com/office/drawing/2014/chart" uri="{C3380CC4-5D6E-409C-BE32-E72D297353CC}">
              <c16:uniqueId val="{00000009-8384-4CBB-897B-005BFBEF235D}"/>
            </c:ext>
          </c:extLst>
        </c:ser>
        <c:dLbls>
          <c:showLegendKey val="0"/>
          <c:showVal val="0"/>
          <c:showCatName val="0"/>
          <c:showSerName val="0"/>
          <c:showPercent val="0"/>
          <c:showBubbleSize val="0"/>
        </c:dLbls>
        <c:axId val="410762240"/>
        <c:axId val="410869056"/>
      </c:radarChart>
      <c:catAx>
        <c:axId val="410762240"/>
        <c:scaling>
          <c:orientation val="minMax"/>
        </c:scaling>
        <c:delete val="0"/>
        <c:axPos val="b"/>
        <c:numFmt formatCode="General" sourceLinked="1"/>
        <c:majorTickMark val="none"/>
        <c:minorTickMark val="none"/>
        <c:tickLblPos val="nextTo"/>
        <c:spPr>
          <a:noFill/>
          <a:ln w="25400" cap="flat" cmpd="sng" algn="ctr">
            <a:no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0869056"/>
        <c:crosses val="autoZero"/>
        <c:auto val="1"/>
        <c:lblAlgn val="ctr"/>
        <c:lblOffset val="100"/>
        <c:noMultiLvlLbl val="0"/>
      </c:catAx>
      <c:valAx>
        <c:axId val="4108690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0762240"/>
        <c:crosses val="autoZero"/>
        <c:crossBetween val="between"/>
      </c:valAx>
      <c:spPr>
        <a:noFill/>
        <a:ln>
          <a:noFill/>
        </a:ln>
        <a:effectLst/>
      </c:spPr>
    </c:plotArea>
    <c:legend>
      <c:legendPos val="r"/>
      <c:legendEntry>
        <c:idx val="0"/>
        <c:delete val="1"/>
      </c:legendEntry>
      <c:legendEntry>
        <c:idx val="1"/>
        <c:delete val="1"/>
      </c:legendEntry>
      <c:legendEntry>
        <c:idx val="2"/>
        <c:delete val="1"/>
      </c:legendEntry>
      <c:legendEntry>
        <c:idx val="3"/>
        <c:delete val="1"/>
      </c:legendEntry>
      <c:legendEntry>
        <c:idx val="4"/>
        <c:delete val="1"/>
      </c:legendEntry>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r>
              <a:rPr lang="ro-RO" sz="1100"/>
              <a:t>NOIEMBRIE</a:t>
            </a:r>
          </a:p>
        </c:rich>
      </c:tx>
      <c:layout>
        <c:manualLayout>
          <c:xMode val="edge"/>
          <c:yMode val="edge"/>
          <c:x val="0.68873239436619704"/>
          <c:y val="5.5443548387096767E-2"/>
        </c:manualLayout>
      </c:layout>
      <c:overlay val="0"/>
      <c:spPr>
        <a:noFill/>
        <a:ln>
          <a:noFill/>
        </a:ln>
        <a:effectLst/>
      </c:spPr>
    </c:title>
    <c:autoTitleDeleted val="0"/>
    <c:plotArea>
      <c:layout>
        <c:manualLayout>
          <c:layoutTarget val="inner"/>
          <c:xMode val="edge"/>
          <c:yMode val="edge"/>
          <c:x val="0.11048131307530212"/>
          <c:y val="0.21016954533909071"/>
          <c:w val="0.56760452478651435"/>
          <c:h val="0.60937380937261876"/>
        </c:manualLayout>
      </c:layout>
      <c:radarChart>
        <c:radarStyle val="marker"/>
        <c:varyColors val="0"/>
        <c:ser>
          <c:idx val="0"/>
          <c:order val="0"/>
          <c:tx>
            <c:strRef>
              <c:f>Sheet1!$B$1</c:f>
              <c:strCache>
                <c:ptCount val="1"/>
                <c:pt idx="0">
                  <c:v>2012</c:v>
                </c:pt>
              </c:strCache>
            </c:strRef>
          </c:tx>
          <c:spPr>
            <a:ln w="28575" cap="rnd">
              <a:solidFill>
                <a:schemeClr val="accent1"/>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Sheet1!$B$2:$B$9</c:f>
              <c:numCache>
                <c:formatCode>General</c:formatCode>
                <c:ptCount val="8"/>
                <c:pt idx="0">
                  <c:v>20.8</c:v>
                </c:pt>
                <c:pt idx="1">
                  <c:v>15.8</c:v>
                </c:pt>
                <c:pt idx="2">
                  <c:v>3.3</c:v>
                </c:pt>
                <c:pt idx="3">
                  <c:v>12.5</c:v>
                </c:pt>
                <c:pt idx="4">
                  <c:v>31.8</c:v>
                </c:pt>
                <c:pt idx="5">
                  <c:v>5.8</c:v>
                </c:pt>
                <c:pt idx="6">
                  <c:v>1.7</c:v>
                </c:pt>
                <c:pt idx="7">
                  <c:v>3.3</c:v>
                </c:pt>
              </c:numCache>
            </c:numRef>
          </c:val>
          <c:extLst>
            <c:ext xmlns:c16="http://schemas.microsoft.com/office/drawing/2014/chart" uri="{C3380CC4-5D6E-409C-BE32-E72D297353CC}">
              <c16:uniqueId val="{00000000-8A14-45DE-BAA3-C1D9D43D7818}"/>
            </c:ext>
          </c:extLst>
        </c:ser>
        <c:ser>
          <c:idx val="1"/>
          <c:order val="1"/>
          <c:tx>
            <c:strRef>
              <c:f>Sheet1!$C$1</c:f>
              <c:strCache>
                <c:ptCount val="1"/>
                <c:pt idx="0">
                  <c:v>2013</c:v>
                </c:pt>
              </c:strCache>
            </c:strRef>
          </c:tx>
          <c:spPr>
            <a:ln w="28575" cap="rnd">
              <a:solidFill>
                <a:schemeClr val="accent2"/>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Sheet1!$C$2:$C$9</c:f>
              <c:numCache>
                <c:formatCode>General</c:formatCode>
                <c:ptCount val="8"/>
                <c:pt idx="0">
                  <c:v>22.5</c:v>
                </c:pt>
                <c:pt idx="1">
                  <c:v>7.5</c:v>
                </c:pt>
                <c:pt idx="2">
                  <c:v>5</c:v>
                </c:pt>
                <c:pt idx="3">
                  <c:v>15.8</c:v>
                </c:pt>
                <c:pt idx="4">
                  <c:v>28.3</c:v>
                </c:pt>
                <c:pt idx="5">
                  <c:v>7.5</c:v>
                </c:pt>
                <c:pt idx="6">
                  <c:v>5</c:v>
                </c:pt>
                <c:pt idx="7">
                  <c:v>1.7</c:v>
                </c:pt>
              </c:numCache>
            </c:numRef>
          </c:val>
          <c:extLst>
            <c:ext xmlns:c16="http://schemas.microsoft.com/office/drawing/2014/chart" uri="{C3380CC4-5D6E-409C-BE32-E72D297353CC}">
              <c16:uniqueId val="{00000001-8A14-45DE-BAA3-C1D9D43D7818}"/>
            </c:ext>
          </c:extLst>
        </c:ser>
        <c:ser>
          <c:idx val="2"/>
          <c:order val="2"/>
          <c:tx>
            <c:strRef>
              <c:f>Sheet1!$D$1</c:f>
              <c:strCache>
                <c:ptCount val="1"/>
                <c:pt idx="0">
                  <c:v>2014</c:v>
                </c:pt>
              </c:strCache>
            </c:strRef>
          </c:tx>
          <c:spPr>
            <a:ln w="28575" cap="rnd">
              <a:solidFill>
                <a:schemeClr val="accent3"/>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Sheet1!$D$2:$D$9</c:f>
              <c:numCache>
                <c:formatCode>General</c:formatCode>
                <c:ptCount val="8"/>
                <c:pt idx="0">
                  <c:v>53.4</c:v>
                </c:pt>
                <c:pt idx="1">
                  <c:v>6.7</c:v>
                </c:pt>
                <c:pt idx="2">
                  <c:v>5</c:v>
                </c:pt>
                <c:pt idx="3">
                  <c:v>3.3</c:v>
                </c:pt>
                <c:pt idx="4">
                  <c:v>0</c:v>
                </c:pt>
                <c:pt idx="5">
                  <c:v>0.8</c:v>
                </c:pt>
                <c:pt idx="6">
                  <c:v>8.3000000000000007</c:v>
                </c:pt>
                <c:pt idx="7">
                  <c:v>18.3</c:v>
                </c:pt>
              </c:numCache>
            </c:numRef>
          </c:val>
          <c:extLst>
            <c:ext xmlns:c16="http://schemas.microsoft.com/office/drawing/2014/chart" uri="{C3380CC4-5D6E-409C-BE32-E72D297353CC}">
              <c16:uniqueId val="{00000002-8A14-45DE-BAA3-C1D9D43D7818}"/>
            </c:ext>
          </c:extLst>
        </c:ser>
        <c:ser>
          <c:idx val="3"/>
          <c:order val="3"/>
          <c:tx>
            <c:strRef>
              <c:f>Sheet1!$E$1</c:f>
              <c:strCache>
                <c:ptCount val="1"/>
                <c:pt idx="0">
                  <c:v>2015</c:v>
                </c:pt>
              </c:strCache>
            </c:strRef>
          </c:tx>
          <c:spPr>
            <a:ln w="28575" cap="rnd">
              <a:solidFill>
                <a:schemeClr val="accent4"/>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Sheet1!$E$2:$E$9</c:f>
              <c:numCache>
                <c:formatCode>General</c:formatCode>
                <c:ptCount val="8"/>
                <c:pt idx="0">
                  <c:v>29.2</c:v>
                </c:pt>
                <c:pt idx="1">
                  <c:v>2.5</c:v>
                </c:pt>
                <c:pt idx="2">
                  <c:v>1.7</c:v>
                </c:pt>
                <c:pt idx="3">
                  <c:v>4.2</c:v>
                </c:pt>
                <c:pt idx="4">
                  <c:v>23.3</c:v>
                </c:pt>
                <c:pt idx="5">
                  <c:v>20.8</c:v>
                </c:pt>
                <c:pt idx="6">
                  <c:v>8.3000000000000007</c:v>
                </c:pt>
                <c:pt idx="7">
                  <c:v>4.2</c:v>
                </c:pt>
              </c:numCache>
            </c:numRef>
          </c:val>
          <c:extLst>
            <c:ext xmlns:c16="http://schemas.microsoft.com/office/drawing/2014/chart" uri="{C3380CC4-5D6E-409C-BE32-E72D297353CC}">
              <c16:uniqueId val="{00000003-8A14-45DE-BAA3-C1D9D43D7818}"/>
            </c:ext>
          </c:extLst>
        </c:ser>
        <c:ser>
          <c:idx val="4"/>
          <c:order val="4"/>
          <c:tx>
            <c:strRef>
              <c:f>Sheet1!$F$1</c:f>
              <c:strCache>
                <c:ptCount val="1"/>
                <c:pt idx="0">
                  <c:v>2016</c:v>
                </c:pt>
              </c:strCache>
            </c:strRef>
          </c:tx>
          <c:spPr>
            <a:ln w="28575" cap="rnd">
              <a:solidFill>
                <a:schemeClr val="accent5"/>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Sheet1!$F$2:$F$9</c:f>
              <c:numCache>
                <c:formatCode>General</c:formatCode>
                <c:ptCount val="8"/>
                <c:pt idx="0">
                  <c:v>20.8</c:v>
                </c:pt>
                <c:pt idx="1">
                  <c:v>0.8</c:v>
                </c:pt>
                <c:pt idx="2">
                  <c:v>4.2</c:v>
                </c:pt>
                <c:pt idx="3">
                  <c:v>10</c:v>
                </c:pt>
                <c:pt idx="4">
                  <c:v>20.8</c:v>
                </c:pt>
                <c:pt idx="5">
                  <c:v>26.8</c:v>
                </c:pt>
                <c:pt idx="6">
                  <c:v>5.8</c:v>
                </c:pt>
                <c:pt idx="7">
                  <c:v>7.5</c:v>
                </c:pt>
              </c:numCache>
            </c:numRef>
          </c:val>
          <c:extLst>
            <c:ext xmlns:c16="http://schemas.microsoft.com/office/drawing/2014/chart" uri="{C3380CC4-5D6E-409C-BE32-E72D297353CC}">
              <c16:uniqueId val="{00000004-8A14-45DE-BAA3-C1D9D43D7818}"/>
            </c:ext>
          </c:extLst>
        </c:ser>
        <c:ser>
          <c:idx val="5"/>
          <c:order val="5"/>
          <c:tx>
            <c:strRef>
              <c:f>Sheet1!$G$1</c:f>
              <c:strCache>
                <c:ptCount val="1"/>
                <c:pt idx="0">
                  <c:v>calm 2012 5%</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Sheet1!$G$2:$G$9</c:f>
              <c:numCache>
                <c:formatCode>General</c:formatCode>
                <c:ptCount val="8"/>
              </c:numCache>
            </c:numRef>
          </c:val>
          <c:extLst>
            <c:ext xmlns:c16="http://schemas.microsoft.com/office/drawing/2014/chart" uri="{C3380CC4-5D6E-409C-BE32-E72D297353CC}">
              <c16:uniqueId val="{00000005-8A14-45DE-BAA3-C1D9D43D7818}"/>
            </c:ext>
          </c:extLst>
        </c:ser>
        <c:ser>
          <c:idx val="6"/>
          <c:order val="6"/>
          <c:tx>
            <c:strRef>
              <c:f>Sheet1!$H$1</c:f>
              <c:strCache>
                <c:ptCount val="1"/>
                <c:pt idx="0">
                  <c:v>calm 2013 6,7%</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Sheet1!$H$2:$H$9</c:f>
              <c:numCache>
                <c:formatCode>General</c:formatCode>
                <c:ptCount val="8"/>
              </c:numCache>
            </c:numRef>
          </c:val>
          <c:extLst>
            <c:ext xmlns:c16="http://schemas.microsoft.com/office/drawing/2014/chart" uri="{C3380CC4-5D6E-409C-BE32-E72D297353CC}">
              <c16:uniqueId val="{00000006-8A14-45DE-BAA3-C1D9D43D7818}"/>
            </c:ext>
          </c:extLst>
        </c:ser>
        <c:ser>
          <c:idx val="7"/>
          <c:order val="7"/>
          <c:tx>
            <c:strRef>
              <c:f>Sheet1!$I$1</c:f>
              <c:strCache>
                <c:ptCount val="1"/>
                <c:pt idx="0">
                  <c:v>calm 2014 4,2%</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Sheet1!$I$2:$I$9</c:f>
              <c:numCache>
                <c:formatCode>General</c:formatCode>
                <c:ptCount val="8"/>
              </c:numCache>
            </c:numRef>
          </c:val>
          <c:extLst>
            <c:ext xmlns:c16="http://schemas.microsoft.com/office/drawing/2014/chart" uri="{C3380CC4-5D6E-409C-BE32-E72D297353CC}">
              <c16:uniqueId val="{00000007-8A14-45DE-BAA3-C1D9D43D7818}"/>
            </c:ext>
          </c:extLst>
        </c:ser>
        <c:ser>
          <c:idx val="8"/>
          <c:order val="8"/>
          <c:tx>
            <c:strRef>
              <c:f>Sheet1!$J$1</c:f>
              <c:strCache>
                <c:ptCount val="1"/>
                <c:pt idx="0">
                  <c:v>calm 2015 5,8%</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Sheet1!$J$2:$J$9</c:f>
              <c:numCache>
                <c:formatCode>General</c:formatCode>
                <c:ptCount val="8"/>
              </c:numCache>
            </c:numRef>
          </c:val>
          <c:extLst>
            <c:ext xmlns:c16="http://schemas.microsoft.com/office/drawing/2014/chart" uri="{C3380CC4-5D6E-409C-BE32-E72D297353CC}">
              <c16:uniqueId val="{00000008-8A14-45DE-BAA3-C1D9D43D7818}"/>
            </c:ext>
          </c:extLst>
        </c:ser>
        <c:ser>
          <c:idx val="9"/>
          <c:order val="9"/>
          <c:tx>
            <c:strRef>
              <c:f>Sheet1!$K$1</c:f>
              <c:strCache>
                <c:ptCount val="1"/>
                <c:pt idx="0">
                  <c:v>calm 2016 3,3%</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Sheet1!$K$2:$K$9</c:f>
              <c:numCache>
                <c:formatCode>General</c:formatCode>
                <c:ptCount val="8"/>
              </c:numCache>
            </c:numRef>
          </c:val>
          <c:extLst>
            <c:ext xmlns:c16="http://schemas.microsoft.com/office/drawing/2014/chart" uri="{C3380CC4-5D6E-409C-BE32-E72D297353CC}">
              <c16:uniqueId val="{00000009-8A14-45DE-BAA3-C1D9D43D7818}"/>
            </c:ext>
          </c:extLst>
        </c:ser>
        <c:dLbls>
          <c:showLegendKey val="0"/>
          <c:showVal val="0"/>
          <c:showCatName val="0"/>
          <c:showSerName val="0"/>
          <c:showPercent val="0"/>
          <c:showBubbleSize val="0"/>
        </c:dLbls>
        <c:axId val="413493760"/>
        <c:axId val="413394624"/>
      </c:radarChart>
      <c:catAx>
        <c:axId val="413493760"/>
        <c:scaling>
          <c:orientation val="minMax"/>
        </c:scaling>
        <c:delete val="0"/>
        <c:axPos val="b"/>
        <c:numFmt formatCode="General" sourceLinked="1"/>
        <c:majorTickMark val="none"/>
        <c:minorTickMark val="none"/>
        <c:tickLblPos val="nextTo"/>
        <c:spPr>
          <a:noFill/>
          <a:ln w="25400" cap="flat" cmpd="sng" algn="ctr">
            <a:no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3394624"/>
        <c:crosses val="autoZero"/>
        <c:auto val="1"/>
        <c:lblAlgn val="ctr"/>
        <c:lblOffset val="100"/>
        <c:noMultiLvlLbl val="0"/>
      </c:catAx>
      <c:valAx>
        <c:axId val="4133946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3493760"/>
        <c:crosses val="autoZero"/>
        <c:crossBetween val="between"/>
      </c:valAx>
      <c:spPr>
        <a:noFill/>
        <a:ln>
          <a:noFill/>
        </a:ln>
        <a:effectLst/>
      </c:spPr>
    </c:plotArea>
    <c:legend>
      <c:legendPos val="r"/>
      <c:legendEntry>
        <c:idx val="0"/>
        <c:delete val="1"/>
      </c:legendEntry>
      <c:legendEntry>
        <c:idx val="1"/>
        <c:delete val="1"/>
      </c:legendEntry>
      <c:legendEntry>
        <c:idx val="2"/>
        <c:delete val="1"/>
      </c:legendEntry>
      <c:legendEntry>
        <c:idx val="3"/>
        <c:delete val="1"/>
      </c:legendEntry>
      <c:legendEntry>
        <c:idx val="4"/>
        <c:delete val="1"/>
      </c:legendEntry>
      <c:layout>
        <c:manualLayout>
          <c:xMode val="edge"/>
          <c:yMode val="edge"/>
          <c:x val="0.71039776718051095"/>
          <c:y val="0.21635802959105921"/>
          <c:w val="0.2614332187349821"/>
          <c:h val="0.6776416052832116"/>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r>
              <a:rPr lang="ro-RO" sz="1100"/>
              <a:t>DECEMBRIE</a:t>
            </a:r>
          </a:p>
        </c:rich>
      </c:tx>
      <c:layout>
        <c:manualLayout>
          <c:xMode val="edge"/>
          <c:yMode val="edge"/>
          <c:x val="0.68873239436619704"/>
          <c:y val="5.5443548387096767E-2"/>
        </c:manualLayout>
      </c:layout>
      <c:overlay val="0"/>
      <c:spPr>
        <a:noFill/>
        <a:ln>
          <a:noFill/>
        </a:ln>
        <a:effectLst/>
      </c:spPr>
    </c:title>
    <c:autoTitleDeleted val="0"/>
    <c:plotArea>
      <c:layout>
        <c:manualLayout>
          <c:layoutTarget val="inner"/>
          <c:xMode val="edge"/>
          <c:yMode val="edge"/>
          <c:x val="0.11048131307530212"/>
          <c:y val="0.21016954533909071"/>
          <c:w val="0.56760452478651435"/>
          <c:h val="0.60937380937261876"/>
        </c:manualLayout>
      </c:layout>
      <c:radarChart>
        <c:radarStyle val="marker"/>
        <c:varyColors val="0"/>
        <c:ser>
          <c:idx val="0"/>
          <c:order val="0"/>
          <c:tx>
            <c:strRef>
              <c:f>Sheet1!$B$1</c:f>
              <c:strCache>
                <c:ptCount val="1"/>
                <c:pt idx="0">
                  <c:v>2012</c:v>
                </c:pt>
              </c:strCache>
            </c:strRef>
          </c:tx>
          <c:spPr>
            <a:ln w="28575" cap="rnd">
              <a:solidFill>
                <a:schemeClr val="accent1"/>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Sheet1!$B$2:$B$9</c:f>
              <c:numCache>
                <c:formatCode>General</c:formatCode>
                <c:ptCount val="8"/>
                <c:pt idx="0">
                  <c:v>28</c:v>
                </c:pt>
                <c:pt idx="1">
                  <c:v>8.9</c:v>
                </c:pt>
                <c:pt idx="2">
                  <c:v>7.3</c:v>
                </c:pt>
                <c:pt idx="3">
                  <c:v>8.9</c:v>
                </c:pt>
                <c:pt idx="4">
                  <c:v>16.100000000000001</c:v>
                </c:pt>
                <c:pt idx="5">
                  <c:v>6.5</c:v>
                </c:pt>
                <c:pt idx="6">
                  <c:v>6.5</c:v>
                </c:pt>
                <c:pt idx="7">
                  <c:v>8.1</c:v>
                </c:pt>
              </c:numCache>
            </c:numRef>
          </c:val>
          <c:extLst>
            <c:ext xmlns:c16="http://schemas.microsoft.com/office/drawing/2014/chart" uri="{C3380CC4-5D6E-409C-BE32-E72D297353CC}">
              <c16:uniqueId val="{00000000-897A-4F7A-A1E0-D7EA6607DC8E}"/>
            </c:ext>
          </c:extLst>
        </c:ser>
        <c:ser>
          <c:idx val="1"/>
          <c:order val="1"/>
          <c:tx>
            <c:strRef>
              <c:f>Sheet1!$C$1</c:f>
              <c:strCache>
                <c:ptCount val="1"/>
                <c:pt idx="0">
                  <c:v>2013</c:v>
                </c:pt>
              </c:strCache>
            </c:strRef>
          </c:tx>
          <c:spPr>
            <a:ln w="28575" cap="rnd">
              <a:solidFill>
                <a:schemeClr val="accent2"/>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Sheet1!$C$2:$C$9</c:f>
              <c:numCache>
                <c:formatCode>General</c:formatCode>
                <c:ptCount val="8"/>
              </c:numCache>
            </c:numRef>
          </c:val>
          <c:extLst>
            <c:ext xmlns:c16="http://schemas.microsoft.com/office/drawing/2014/chart" uri="{C3380CC4-5D6E-409C-BE32-E72D297353CC}">
              <c16:uniqueId val="{00000001-897A-4F7A-A1E0-D7EA6607DC8E}"/>
            </c:ext>
          </c:extLst>
        </c:ser>
        <c:ser>
          <c:idx val="2"/>
          <c:order val="2"/>
          <c:tx>
            <c:strRef>
              <c:f>Sheet1!$D$1</c:f>
              <c:strCache>
                <c:ptCount val="1"/>
                <c:pt idx="0">
                  <c:v>2014</c:v>
                </c:pt>
              </c:strCache>
            </c:strRef>
          </c:tx>
          <c:spPr>
            <a:ln w="28575" cap="rnd">
              <a:solidFill>
                <a:schemeClr val="accent3"/>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Sheet1!$D$2:$D$9</c:f>
              <c:numCache>
                <c:formatCode>General</c:formatCode>
                <c:ptCount val="8"/>
                <c:pt idx="0">
                  <c:v>49.2</c:v>
                </c:pt>
                <c:pt idx="1">
                  <c:v>21</c:v>
                </c:pt>
                <c:pt idx="2">
                  <c:v>0</c:v>
                </c:pt>
                <c:pt idx="3">
                  <c:v>2.4</c:v>
                </c:pt>
                <c:pt idx="4">
                  <c:v>7.3</c:v>
                </c:pt>
                <c:pt idx="5">
                  <c:v>0.8</c:v>
                </c:pt>
                <c:pt idx="6">
                  <c:v>2.4</c:v>
                </c:pt>
                <c:pt idx="7">
                  <c:v>12.1</c:v>
                </c:pt>
              </c:numCache>
            </c:numRef>
          </c:val>
          <c:extLst>
            <c:ext xmlns:c16="http://schemas.microsoft.com/office/drawing/2014/chart" uri="{C3380CC4-5D6E-409C-BE32-E72D297353CC}">
              <c16:uniqueId val="{00000002-897A-4F7A-A1E0-D7EA6607DC8E}"/>
            </c:ext>
          </c:extLst>
        </c:ser>
        <c:ser>
          <c:idx val="3"/>
          <c:order val="3"/>
          <c:tx>
            <c:strRef>
              <c:f>Sheet1!$E$1</c:f>
              <c:strCache>
                <c:ptCount val="1"/>
                <c:pt idx="0">
                  <c:v>2015</c:v>
                </c:pt>
              </c:strCache>
            </c:strRef>
          </c:tx>
          <c:spPr>
            <a:ln w="28575" cap="rnd">
              <a:solidFill>
                <a:schemeClr val="accent4"/>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Sheet1!$E$2:$E$9</c:f>
              <c:numCache>
                <c:formatCode>General</c:formatCode>
                <c:ptCount val="8"/>
                <c:pt idx="0">
                  <c:v>16.100000000000001</c:v>
                </c:pt>
                <c:pt idx="1">
                  <c:v>19.399999999999999</c:v>
                </c:pt>
                <c:pt idx="2">
                  <c:v>3.2</c:v>
                </c:pt>
                <c:pt idx="3">
                  <c:v>0.8</c:v>
                </c:pt>
                <c:pt idx="4">
                  <c:v>17.7</c:v>
                </c:pt>
                <c:pt idx="5">
                  <c:v>15.3</c:v>
                </c:pt>
                <c:pt idx="6">
                  <c:v>8.1</c:v>
                </c:pt>
                <c:pt idx="7">
                  <c:v>9.7000000000000011</c:v>
                </c:pt>
              </c:numCache>
            </c:numRef>
          </c:val>
          <c:extLst>
            <c:ext xmlns:c16="http://schemas.microsoft.com/office/drawing/2014/chart" uri="{C3380CC4-5D6E-409C-BE32-E72D297353CC}">
              <c16:uniqueId val="{00000003-897A-4F7A-A1E0-D7EA6607DC8E}"/>
            </c:ext>
          </c:extLst>
        </c:ser>
        <c:ser>
          <c:idx val="4"/>
          <c:order val="4"/>
          <c:tx>
            <c:strRef>
              <c:f>Sheet1!$F$1</c:f>
              <c:strCache>
                <c:ptCount val="1"/>
                <c:pt idx="0">
                  <c:v>2016</c:v>
                </c:pt>
              </c:strCache>
            </c:strRef>
          </c:tx>
          <c:spPr>
            <a:ln w="28575" cap="rnd">
              <a:solidFill>
                <a:schemeClr val="accent5"/>
              </a:solid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Sheet1!$F$2:$F$9</c:f>
              <c:numCache>
                <c:formatCode>General</c:formatCode>
                <c:ptCount val="8"/>
                <c:pt idx="0">
                  <c:v>25</c:v>
                </c:pt>
                <c:pt idx="1">
                  <c:v>4</c:v>
                </c:pt>
                <c:pt idx="2">
                  <c:v>0.8</c:v>
                </c:pt>
                <c:pt idx="3">
                  <c:v>4</c:v>
                </c:pt>
                <c:pt idx="4">
                  <c:v>21</c:v>
                </c:pt>
                <c:pt idx="5">
                  <c:v>24.2</c:v>
                </c:pt>
                <c:pt idx="6">
                  <c:v>6.5</c:v>
                </c:pt>
                <c:pt idx="7">
                  <c:v>5.6</c:v>
                </c:pt>
              </c:numCache>
            </c:numRef>
          </c:val>
          <c:extLst>
            <c:ext xmlns:c16="http://schemas.microsoft.com/office/drawing/2014/chart" uri="{C3380CC4-5D6E-409C-BE32-E72D297353CC}">
              <c16:uniqueId val="{00000004-897A-4F7A-A1E0-D7EA6607DC8E}"/>
            </c:ext>
          </c:extLst>
        </c:ser>
        <c:ser>
          <c:idx val="5"/>
          <c:order val="5"/>
          <c:tx>
            <c:strRef>
              <c:f>Sheet1!$G$1</c:f>
              <c:strCache>
                <c:ptCount val="1"/>
                <c:pt idx="0">
                  <c:v>calm 2012 3,2%</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Sheet1!$G$2:$G$9</c:f>
              <c:numCache>
                <c:formatCode>General</c:formatCode>
                <c:ptCount val="8"/>
              </c:numCache>
            </c:numRef>
          </c:val>
          <c:extLst>
            <c:ext xmlns:c16="http://schemas.microsoft.com/office/drawing/2014/chart" uri="{C3380CC4-5D6E-409C-BE32-E72D297353CC}">
              <c16:uniqueId val="{00000005-897A-4F7A-A1E0-D7EA6607DC8E}"/>
            </c:ext>
          </c:extLst>
        </c:ser>
        <c:ser>
          <c:idx val="6"/>
          <c:order val="6"/>
          <c:tx>
            <c:strRef>
              <c:f>Sheet1!$H$1</c:f>
              <c:strCache>
                <c:ptCount val="1"/>
                <c:pt idx="0">
                  <c:v>calm 2013 </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Sheet1!$H$2:$H$9</c:f>
              <c:numCache>
                <c:formatCode>General</c:formatCode>
                <c:ptCount val="8"/>
              </c:numCache>
            </c:numRef>
          </c:val>
          <c:extLst>
            <c:ext xmlns:c16="http://schemas.microsoft.com/office/drawing/2014/chart" uri="{C3380CC4-5D6E-409C-BE32-E72D297353CC}">
              <c16:uniqueId val="{00000006-897A-4F7A-A1E0-D7EA6607DC8E}"/>
            </c:ext>
          </c:extLst>
        </c:ser>
        <c:ser>
          <c:idx val="7"/>
          <c:order val="7"/>
          <c:tx>
            <c:strRef>
              <c:f>Sheet1!$I$1</c:f>
              <c:strCache>
                <c:ptCount val="1"/>
                <c:pt idx="0">
                  <c:v>calm 2014 4,8%</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Sheet1!$I$2:$I$9</c:f>
              <c:numCache>
                <c:formatCode>General</c:formatCode>
                <c:ptCount val="8"/>
              </c:numCache>
            </c:numRef>
          </c:val>
          <c:extLst>
            <c:ext xmlns:c16="http://schemas.microsoft.com/office/drawing/2014/chart" uri="{C3380CC4-5D6E-409C-BE32-E72D297353CC}">
              <c16:uniqueId val="{00000007-897A-4F7A-A1E0-D7EA6607DC8E}"/>
            </c:ext>
          </c:extLst>
        </c:ser>
        <c:ser>
          <c:idx val="8"/>
          <c:order val="8"/>
          <c:tx>
            <c:strRef>
              <c:f>Sheet1!$J$1</c:f>
              <c:strCache>
                <c:ptCount val="1"/>
                <c:pt idx="0">
                  <c:v>calm 2015 9,7%</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Sheet1!$J$2:$J$9</c:f>
              <c:numCache>
                <c:formatCode>General</c:formatCode>
                <c:ptCount val="8"/>
              </c:numCache>
            </c:numRef>
          </c:val>
          <c:extLst>
            <c:ext xmlns:c16="http://schemas.microsoft.com/office/drawing/2014/chart" uri="{C3380CC4-5D6E-409C-BE32-E72D297353CC}">
              <c16:uniqueId val="{00000008-897A-4F7A-A1E0-D7EA6607DC8E}"/>
            </c:ext>
          </c:extLst>
        </c:ser>
        <c:ser>
          <c:idx val="9"/>
          <c:order val="9"/>
          <c:tx>
            <c:strRef>
              <c:f>Sheet1!$K$1</c:f>
              <c:strCache>
                <c:ptCount val="1"/>
                <c:pt idx="0">
                  <c:v>calm 2016 8,9%</c:v>
                </c:pt>
              </c:strCache>
            </c:strRef>
          </c:tx>
          <c:spPr>
            <a:ln w="28575" cap="rnd">
              <a:noFill/>
              <a:round/>
            </a:ln>
            <a:effectLst/>
          </c:spPr>
          <c:marker>
            <c:symbol val="none"/>
          </c:marker>
          <c:cat>
            <c:strRef>
              <c:f>Sheet1!$A$2:$A$9</c:f>
              <c:strCache>
                <c:ptCount val="8"/>
                <c:pt idx="0">
                  <c:v>N</c:v>
                </c:pt>
                <c:pt idx="1">
                  <c:v>NE</c:v>
                </c:pt>
                <c:pt idx="2">
                  <c:v>E</c:v>
                </c:pt>
                <c:pt idx="3">
                  <c:v>SE</c:v>
                </c:pt>
                <c:pt idx="4">
                  <c:v>S</c:v>
                </c:pt>
                <c:pt idx="5">
                  <c:v>SV</c:v>
                </c:pt>
                <c:pt idx="6">
                  <c:v>V</c:v>
                </c:pt>
                <c:pt idx="7">
                  <c:v>NV</c:v>
                </c:pt>
              </c:strCache>
            </c:strRef>
          </c:cat>
          <c:val>
            <c:numRef>
              <c:f>Sheet1!$K$2:$K$9</c:f>
              <c:numCache>
                <c:formatCode>General</c:formatCode>
                <c:ptCount val="8"/>
              </c:numCache>
            </c:numRef>
          </c:val>
          <c:extLst>
            <c:ext xmlns:c16="http://schemas.microsoft.com/office/drawing/2014/chart" uri="{C3380CC4-5D6E-409C-BE32-E72D297353CC}">
              <c16:uniqueId val="{00000009-897A-4F7A-A1E0-D7EA6607DC8E}"/>
            </c:ext>
          </c:extLst>
        </c:ser>
        <c:dLbls>
          <c:showLegendKey val="0"/>
          <c:showVal val="0"/>
          <c:showCatName val="0"/>
          <c:showSerName val="0"/>
          <c:showPercent val="0"/>
          <c:showBubbleSize val="0"/>
        </c:dLbls>
        <c:axId val="356590592"/>
        <c:axId val="413398656"/>
      </c:radarChart>
      <c:catAx>
        <c:axId val="356590592"/>
        <c:scaling>
          <c:orientation val="minMax"/>
        </c:scaling>
        <c:delete val="0"/>
        <c:axPos val="b"/>
        <c:numFmt formatCode="General" sourceLinked="1"/>
        <c:majorTickMark val="none"/>
        <c:minorTickMark val="none"/>
        <c:tickLblPos val="nextTo"/>
        <c:spPr>
          <a:noFill/>
          <a:ln w="25400" cap="flat" cmpd="sng" algn="ctr">
            <a:no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3398656"/>
        <c:crosses val="autoZero"/>
        <c:auto val="1"/>
        <c:lblAlgn val="ctr"/>
        <c:lblOffset val="100"/>
        <c:noMultiLvlLbl val="0"/>
      </c:catAx>
      <c:valAx>
        <c:axId val="4133986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356590592"/>
        <c:crosses val="autoZero"/>
        <c:crossBetween val="between"/>
      </c:valAx>
      <c:spPr>
        <a:noFill/>
        <a:ln>
          <a:noFill/>
        </a:ln>
        <a:effectLst/>
      </c:spPr>
    </c:plotArea>
    <c:legend>
      <c:legendPos val="r"/>
      <c:legendEntry>
        <c:idx val="0"/>
        <c:delete val="1"/>
      </c:legendEntry>
      <c:legendEntry>
        <c:idx val="1"/>
        <c:delete val="1"/>
      </c:legendEntry>
      <c:legendEntry>
        <c:idx val="2"/>
        <c:delete val="1"/>
      </c:legendEntry>
      <c:legendEntry>
        <c:idx val="3"/>
        <c:delete val="1"/>
      </c:legendEntry>
      <c:legendEntry>
        <c:idx val="4"/>
        <c:delete val="1"/>
      </c:legendEntry>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71110265491906455"/>
          <c:y val="6.0240963855421749E-2"/>
        </c:manualLayout>
      </c:layout>
      <c:overlay val="0"/>
      <c:spPr>
        <a:noFill/>
        <a:ln>
          <a:noFill/>
        </a:ln>
        <a:effectLst/>
      </c:spPr>
      <c:txPr>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endParaRPr lang="en-US"/>
        </a:p>
      </c:txPr>
    </c:title>
    <c:autoTitleDeleted val="0"/>
    <c:plotArea>
      <c:layout>
        <c:manualLayout>
          <c:layoutTarget val="inner"/>
          <c:xMode val="edge"/>
          <c:yMode val="edge"/>
          <c:x val="8.2060318668344887E-2"/>
          <c:y val="7.4155295543951172E-2"/>
          <c:w val="0.5176551629931021"/>
          <c:h val="0.89876875330342765"/>
        </c:manualLayout>
      </c:layout>
      <c:doughnutChart>
        <c:varyColors val="1"/>
        <c:ser>
          <c:idx val="0"/>
          <c:order val="0"/>
          <c:tx>
            <c:strRef>
              <c:f>Sheet1!$B$1</c:f>
              <c:strCache>
                <c:ptCount val="1"/>
                <c:pt idx="0">
                  <c:v>Pb</c:v>
                </c:pt>
              </c:strCache>
            </c:strRef>
          </c:tx>
          <c:spPr>
            <a:ln>
              <a:noFill/>
            </a:ln>
            <a:effectLst>
              <a:outerShdw blurRad="50800" dist="38100" dir="2700000" algn="tl" rotWithShape="0">
                <a:prstClr val="black">
                  <a:alpha val="40000"/>
                </a:prstClr>
              </a:outerShdw>
            </a:effectLst>
          </c:spPr>
          <c:dPt>
            <c:idx val="0"/>
            <c:bubble3D val="0"/>
            <c:spPr>
              <a:solidFill>
                <a:schemeClr val="accent1"/>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02A0-4984-8E17-766FC5328378}"/>
              </c:ext>
            </c:extLst>
          </c:dPt>
          <c:dPt>
            <c:idx val="1"/>
            <c:bubble3D val="0"/>
            <c:spPr>
              <a:solidFill>
                <a:schemeClr val="accent2"/>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02A0-4984-8E17-766FC5328378}"/>
              </c:ext>
            </c:extLst>
          </c:dPt>
          <c:dPt>
            <c:idx val="2"/>
            <c:bubble3D val="0"/>
            <c:spPr>
              <a:solidFill>
                <a:schemeClr val="accent3"/>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02A0-4984-8E17-766FC5328378}"/>
              </c:ext>
            </c:extLst>
          </c:dPt>
          <c:dLbls>
            <c:spPr>
              <a:noFill/>
              <a:ln>
                <a:noFill/>
              </a:ln>
              <a:effectLst/>
            </c:spPr>
            <c:txPr>
              <a:bodyPr rot="0" spcFirstLastPara="1" vertOverflow="ellipsis" vert="horz" wrap="square" anchor="ctr" anchorCtr="1"/>
              <a:lstStyle/>
              <a:p>
                <a:pPr>
                  <a:defRPr lang="en-US" sz="11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Surse staționare</c:v>
                </c:pt>
                <c:pt idx="1">
                  <c:v>Surse mobile</c:v>
                </c:pt>
                <c:pt idx="2">
                  <c:v>Surse de suprafață</c:v>
                </c:pt>
              </c:strCache>
            </c:strRef>
          </c:cat>
          <c:val>
            <c:numRef>
              <c:f>Sheet1!$B$2:$B$4</c:f>
              <c:numCache>
                <c:formatCode>General</c:formatCode>
                <c:ptCount val="3"/>
                <c:pt idx="0">
                  <c:v>1.5780000000000017E-3</c:v>
                </c:pt>
                <c:pt idx="1">
                  <c:v>2.8709999999999999E-3</c:v>
                </c:pt>
                <c:pt idx="2">
                  <c:v>2.9500000000000001E-4</c:v>
                </c:pt>
              </c:numCache>
            </c:numRef>
          </c:val>
          <c:extLst>
            <c:ext xmlns:c16="http://schemas.microsoft.com/office/drawing/2014/chart" uri="{C3380CC4-5D6E-409C-BE32-E72D297353CC}">
              <c16:uniqueId val="{00000006-02A0-4984-8E17-766FC5328378}"/>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69065597283610991"/>
          <c:y val="0.26225690162223697"/>
          <c:w val="0.27960425021221796"/>
          <c:h val="0.69420358599753296"/>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4014348206474299E-2"/>
          <c:y val="7.7465904997169474E-2"/>
          <c:w val="0.89057987751531065"/>
          <c:h val="0.63993571455742004"/>
        </c:manualLayout>
      </c:layout>
      <c:lineChart>
        <c:grouping val="standard"/>
        <c:varyColors val="0"/>
        <c:ser>
          <c:idx val="0"/>
          <c:order val="0"/>
          <c:tx>
            <c:strRef>
              <c:f>Sheet1!$B$1</c:f>
              <c:strCache>
                <c:ptCount val="1"/>
                <c:pt idx="0">
                  <c:v>BR2</c:v>
                </c:pt>
              </c:strCache>
            </c:strRef>
          </c:tx>
          <c:spPr>
            <a:ln w="12700" cap="rnd">
              <a:solidFill>
                <a:srgbClr val="92D050"/>
              </a:solidFill>
              <a:round/>
            </a:ln>
            <a:effectLst/>
          </c:spPr>
          <c:marker>
            <c:symbol val="none"/>
          </c:marker>
          <c:cat>
            <c:numRef>
              <c:f>Sheet1!$A$2:$A$366</c:f>
              <c:numCache>
                <c:formatCode>General</c:formatCode>
                <c:ptCount val="365"/>
                <c:pt idx="0">
                  <c:v>20130101</c:v>
                </c:pt>
                <c:pt idx="1">
                  <c:v>20130102</c:v>
                </c:pt>
                <c:pt idx="2">
                  <c:v>20130103</c:v>
                </c:pt>
                <c:pt idx="3">
                  <c:v>20130104</c:v>
                </c:pt>
                <c:pt idx="4">
                  <c:v>20130105</c:v>
                </c:pt>
                <c:pt idx="5">
                  <c:v>20130106</c:v>
                </c:pt>
                <c:pt idx="6">
                  <c:v>20130107</c:v>
                </c:pt>
                <c:pt idx="7">
                  <c:v>20130108</c:v>
                </c:pt>
                <c:pt idx="8">
                  <c:v>20130109</c:v>
                </c:pt>
                <c:pt idx="9">
                  <c:v>20130110</c:v>
                </c:pt>
                <c:pt idx="10">
                  <c:v>20130111</c:v>
                </c:pt>
                <c:pt idx="11">
                  <c:v>20130112</c:v>
                </c:pt>
                <c:pt idx="12">
                  <c:v>20130113</c:v>
                </c:pt>
                <c:pt idx="13">
                  <c:v>20130114</c:v>
                </c:pt>
                <c:pt idx="14">
                  <c:v>20130115</c:v>
                </c:pt>
                <c:pt idx="15">
                  <c:v>20130116</c:v>
                </c:pt>
                <c:pt idx="16">
                  <c:v>20130117</c:v>
                </c:pt>
                <c:pt idx="17">
                  <c:v>20130118</c:v>
                </c:pt>
                <c:pt idx="18">
                  <c:v>20130119</c:v>
                </c:pt>
                <c:pt idx="19">
                  <c:v>20130120</c:v>
                </c:pt>
                <c:pt idx="20">
                  <c:v>20130121</c:v>
                </c:pt>
                <c:pt idx="21">
                  <c:v>20130122</c:v>
                </c:pt>
                <c:pt idx="22">
                  <c:v>20130123</c:v>
                </c:pt>
                <c:pt idx="23">
                  <c:v>20130124</c:v>
                </c:pt>
                <c:pt idx="24">
                  <c:v>20130125</c:v>
                </c:pt>
                <c:pt idx="25">
                  <c:v>20130126</c:v>
                </c:pt>
                <c:pt idx="26">
                  <c:v>20130127</c:v>
                </c:pt>
                <c:pt idx="27">
                  <c:v>20130128</c:v>
                </c:pt>
                <c:pt idx="28">
                  <c:v>20130129</c:v>
                </c:pt>
                <c:pt idx="29">
                  <c:v>20130130</c:v>
                </c:pt>
                <c:pt idx="30">
                  <c:v>20130131</c:v>
                </c:pt>
                <c:pt idx="31">
                  <c:v>20130201</c:v>
                </c:pt>
                <c:pt idx="32">
                  <c:v>20130202</c:v>
                </c:pt>
                <c:pt idx="33">
                  <c:v>20130203</c:v>
                </c:pt>
                <c:pt idx="34">
                  <c:v>20130204</c:v>
                </c:pt>
                <c:pt idx="35">
                  <c:v>20130205</c:v>
                </c:pt>
                <c:pt idx="36">
                  <c:v>20130206</c:v>
                </c:pt>
                <c:pt idx="37">
                  <c:v>20130207</c:v>
                </c:pt>
                <c:pt idx="38">
                  <c:v>20130208</c:v>
                </c:pt>
                <c:pt idx="39">
                  <c:v>20130209</c:v>
                </c:pt>
                <c:pt idx="40">
                  <c:v>20130210</c:v>
                </c:pt>
                <c:pt idx="41">
                  <c:v>20130211</c:v>
                </c:pt>
                <c:pt idx="42">
                  <c:v>20130212</c:v>
                </c:pt>
                <c:pt idx="43">
                  <c:v>20130213</c:v>
                </c:pt>
                <c:pt idx="44">
                  <c:v>20130214</c:v>
                </c:pt>
                <c:pt idx="45">
                  <c:v>20130215</c:v>
                </c:pt>
                <c:pt idx="46">
                  <c:v>20130216</c:v>
                </c:pt>
                <c:pt idx="47">
                  <c:v>20130217</c:v>
                </c:pt>
                <c:pt idx="48">
                  <c:v>20130218</c:v>
                </c:pt>
                <c:pt idx="49">
                  <c:v>20130219</c:v>
                </c:pt>
                <c:pt idx="50">
                  <c:v>20130220</c:v>
                </c:pt>
                <c:pt idx="51">
                  <c:v>20130221</c:v>
                </c:pt>
                <c:pt idx="52">
                  <c:v>20130222</c:v>
                </c:pt>
                <c:pt idx="53">
                  <c:v>20130223</c:v>
                </c:pt>
                <c:pt idx="54">
                  <c:v>20130224</c:v>
                </c:pt>
                <c:pt idx="55">
                  <c:v>20130225</c:v>
                </c:pt>
                <c:pt idx="56">
                  <c:v>20130226</c:v>
                </c:pt>
                <c:pt idx="57">
                  <c:v>20130227</c:v>
                </c:pt>
                <c:pt idx="58">
                  <c:v>20130228</c:v>
                </c:pt>
                <c:pt idx="59">
                  <c:v>20130301</c:v>
                </c:pt>
                <c:pt idx="60">
                  <c:v>20130302</c:v>
                </c:pt>
                <c:pt idx="61">
                  <c:v>20130303</c:v>
                </c:pt>
                <c:pt idx="62">
                  <c:v>20130304</c:v>
                </c:pt>
                <c:pt idx="63">
                  <c:v>20130305</c:v>
                </c:pt>
                <c:pt idx="64">
                  <c:v>20130306</c:v>
                </c:pt>
                <c:pt idx="65">
                  <c:v>20130307</c:v>
                </c:pt>
                <c:pt idx="66">
                  <c:v>20130308</c:v>
                </c:pt>
                <c:pt idx="67">
                  <c:v>20130309</c:v>
                </c:pt>
                <c:pt idx="68">
                  <c:v>20130310</c:v>
                </c:pt>
                <c:pt idx="69">
                  <c:v>20130311</c:v>
                </c:pt>
                <c:pt idx="70">
                  <c:v>20130312</c:v>
                </c:pt>
                <c:pt idx="71">
                  <c:v>20130313</c:v>
                </c:pt>
                <c:pt idx="72">
                  <c:v>20130314</c:v>
                </c:pt>
                <c:pt idx="73">
                  <c:v>20130315</c:v>
                </c:pt>
                <c:pt idx="74">
                  <c:v>20130316</c:v>
                </c:pt>
                <c:pt idx="75">
                  <c:v>20130317</c:v>
                </c:pt>
                <c:pt idx="76">
                  <c:v>20130318</c:v>
                </c:pt>
                <c:pt idx="77">
                  <c:v>20130319</c:v>
                </c:pt>
                <c:pt idx="78">
                  <c:v>20130320</c:v>
                </c:pt>
                <c:pt idx="79">
                  <c:v>20130321</c:v>
                </c:pt>
                <c:pt idx="80">
                  <c:v>20130322</c:v>
                </c:pt>
                <c:pt idx="81">
                  <c:v>20130323</c:v>
                </c:pt>
                <c:pt idx="82">
                  <c:v>20130324</c:v>
                </c:pt>
                <c:pt idx="83">
                  <c:v>20130325</c:v>
                </c:pt>
                <c:pt idx="84">
                  <c:v>20130326</c:v>
                </c:pt>
                <c:pt idx="85">
                  <c:v>20130327</c:v>
                </c:pt>
                <c:pt idx="86">
                  <c:v>20130328</c:v>
                </c:pt>
                <c:pt idx="87">
                  <c:v>20130329</c:v>
                </c:pt>
                <c:pt idx="88">
                  <c:v>20130330</c:v>
                </c:pt>
                <c:pt idx="89">
                  <c:v>20130331</c:v>
                </c:pt>
                <c:pt idx="90">
                  <c:v>20130401</c:v>
                </c:pt>
                <c:pt idx="91">
                  <c:v>20130402</c:v>
                </c:pt>
                <c:pt idx="92">
                  <c:v>20130403</c:v>
                </c:pt>
                <c:pt idx="93">
                  <c:v>20130404</c:v>
                </c:pt>
                <c:pt idx="94">
                  <c:v>20130405</c:v>
                </c:pt>
                <c:pt idx="95">
                  <c:v>20130406</c:v>
                </c:pt>
                <c:pt idx="96">
                  <c:v>20130407</c:v>
                </c:pt>
                <c:pt idx="97">
                  <c:v>20130408</c:v>
                </c:pt>
                <c:pt idx="98">
                  <c:v>20130409</c:v>
                </c:pt>
                <c:pt idx="99">
                  <c:v>20130410</c:v>
                </c:pt>
                <c:pt idx="100">
                  <c:v>20130411</c:v>
                </c:pt>
                <c:pt idx="101">
                  <c:v>20130412</c:v>
                </c:pt>
                <c:pt idx="102">
                  <c:v>20130413</c:v>
                </c:pt>
                <c:pt idx="103">
                  <c:v>20130414</c:v>
                </c:pt>
                <c:pt idx="104">
                  <c:v>20130415</c:v>
                </c:pt>
                <c:pt idx="105">
                  <c:v>20130416</c:v>
                </c:pt>
                <c:pt idx="106">
                  <c:v>20130417</c:v>
                </c:pt>
                <c:pt idx="107">
                  <c:v>20130418</c:v>
                </c:pt>
                <c:pt idx="108">
                  <c:v>20130419</c:v>
                </c:pt>
                <c:pt idx="109">
                  <c:v>20130420</c:v>
                </c:pt>
                <c:pt idx="110">
                  <c:v>20130421</c:v>
                </c:pt>
                <c:pt idx="111">
                  <c:v>20130422</c:v>
                </c:pt>
                <c:pt idx="112">
                  <c:v>20130423</c:v>
                </c:pt>
                <c:pt idx="113">
                  <c:v>20130424</c:v>
                </c:pt>
                <c:pt idx="114">
                  <c:v>20130425</c:v>
                </c:pt>
                <c:pt idx="115">
                  <c:v>20130426</c:v>
                </c:pt>
                <c:pt idx="116">
                  <c:v>20130427</c:v>
                </c:pt>
                <c:pt idx="117">
                  <c:v>20130428</c:v>
                </c:pt>
                <c:pt idx="118">
                  <c:v>20130429</c:v>
                </c:pt>
                <c:pt idx="119">
                  <c:v>20130430</c:v>
                </c:pt>
                <c:pt idx="120">
                  <c:v>20130501</c:v>
                </c:pt>
                <c:pt idx="121">
                  <c:v>20130502</c:v>
                </c:pt>
                <c:pt idx="122">
                  <c:v>20130503</c:v>
                </c:pt>
                <c:pt idx="123">
                  <c:v>20130504</c:v>
                </c:pt>
                <c:pt idx="124">
                  <c:v>20130505</c:v>
                </c:pt>
                <c:pt idx="125">
                  <c:v>20130506</c:v>
                </c:pt>
                <c:pt idx="126">
                  <c:v>20130507</c:v>
                </c:pt>
                <c:pt idx="127">
                  <c:v>20130508</c:v>
                </c:pt>
                <c:pt idx="128">
                  <c:v>20130509</c:v>
                </c:pt>
                <c:pt idx="129">
                  <c:v>20130510</c:v>
                </c:pt>
                <c:pt idx="130">
                  <c:v>20130511</c:v>
                </c:pt>
                <c:pt idx="131">
                  <c:v>20130512</c:v>
                </c:pt>
                <c:pt idx="132">
                  <c:v>20130513</c:v>
                </c:pt>
                <c:pt idx="133">
                  <c:v>20130514</c:v>
                </c:pt>
                <c:pt idx="134">
                  <c:v>20130515</c:v>
                </c:pt>
                <c:pt idx="135">
                  <c:v>20130516</c:v>
                </c:pt>
                <c:pt idx="136">
                  <c:v>20130517</c:v>
                </c:pt>
                <c:pt idx="137">
                  <c:v>20130518</c:v>
                </c:pt>
                <c:pt idx="138">
                  <c:v>20130519</c:v>
                </c:pt>
                <c:pt idx="139">
                  <c:v>20130520</c:v>
                </c:pt>
                <c:pt idx="140">
                  <c:v>20130521</c:v>
                </c:pt>
                <c:pt idx="141">
                  <c:v>20130522</c:v>
                </c:pt>
                <c:pt idx="142">
                  <c:v>20130523</c:v>
                </c:pt>
                <c:pt idx="143">
                  <c:v>20130524</c:v>
                </c:pt>
                <c:pt idx="144">
                  <c:v>20130525</c:v>
                </c:pt>
                <c:pt idx="145">
                  <c:v>20130526</c:v>
                </c:pt>
                <c:pt idx="146">
                  <c:v>20130527</c:v>
                </c:pt>
                <c:pt idx="147">
                  <c:v>20130528</c:v>
                </c:pt>
                <c:pt idx="148">
                  <c:v>20130529</c:v>
                </c:pt>
                <c:pt idx="149">
                  <c:v>20130530</c:v>
                </c:pt>
                <c:pt idx="150">
                  <c:v>20130531</c:v>
                </c:pt>
                <c:pt idx="151">
                  <c:v>20130601</c:v>
                </c:pt>
                <c:pt idx="152">
                  <c:v>20130602</c:v>
                </c:pt>
                <c:pt idx="153">
                  <c:v>20130603</c:v>
                </c:pt>
                <c:pt idx="154">
                  <c:v>20130604</c:v>
                </c:pt>
                <c:pt idx="155">
                  <c:v>20130605</c:v>
                </c:pt>
                <c:pt idx="156">
                  <c:v>20130606</c:v>
                </c:pt>
                <c:pt idx="157">
                  <c:v>20130607</c:v>
                </c:pt>
                <c:pt idx="158">
                  <c:v>20130608</c:v>
                </c:pt>
                <c:pt idx="159">
                  <c:v>20130609</c:v>
                </c:pt>
                <c:pt idx="160">
                  <c:v>20130610</c:v>
                </c:pt>
                <c:pt idx="161">
                  <c:v>20130611</c:v>
                </c:pt>
                <c:pt idx="162">
                  <c:v>20130612</c:v>
                </c:pt>
                <c:pt idx="163">
                  <c:v>20130613</c:v>
                </c:pt>
                <c:pt idx="164">
                  <c:v>20130614</c:v>
                </c:pt>
                <c:pt idx="165">
                  <c:v>20130615</c:v>
                </c:pt>
                <c:pt idx="166">
                  <c:v>20130616</c:v>
                </c:pt>
                <c:pt idx="167">
                  <c:v>20130617</c:v>
                </c:pt>
                <c:pt idx="168">
                  <c:v>20130618</c:v>
                </c:pt>
                <c:pt idx="169">
                  <c:v>20130619</c:v>
                </c:pt>
                <c:pt idx="170">
                  <c:v>20130620</c:v>
                </c:pt>
                <c:pt idx="171">
                  <c:v>20130621</c:v>
                </c:pt>
                <c:pt idx="172">
                  <c:v>20130622</c:v>
                </c:pt>
                <c:pt idx="173">
                  <c:v>20130623</c:v>
                </c:pt>
                <c:pt idx="174">
                  <c:v>20130624</c:v>
                </c:pt>
                <c:pt idx="175">
                  <c:v>20130625</c:v>
                </c:pt>
                <c:pt idx="176">
                  <c:v>20130626</c:v>
                </c:pt>
                <c:pt idx="177">
                  <c:v>20130627</c:v>
                </c:pt>
                <c:pt idx="178">
                  <c:v>20130628</c:v>
                </c:pt>
                <c:pt idx="179">
                  <c:v>20130629</c:v>
                </c:pt>
                <c:pt idx="180">
                  <c:v>20130630</c:v>
                </c:pt>
                <c:pt idx="181">
                  <c:v>20130701</c:v>
                </c:pt>
                <c:pt idx="182">
                  <c:v>20130702</c:v>
                </c:pt>
                <c:pt idx="183">
                  <c:v>20130703</c:v>
                </c:pt>
                <c:pt idx="184">
                  <c:v>20130704</c:v>
                </c:pt>
                <c:pt idx="185">
                  <c:v>20130705</c:v>
                </c:pt>
                <c:pt idx="186">
                  <c:v>20130706</c:v>
                </c:pt>
                <c:pt idx="187">
                  <c:v>20130707</c:v>
                </c:pt>
                <c:pt idx="188">
                  <c:v>20130708</c:v>
                </c:pt>
                <c:pt idx="189">
                  <c:v>20130709</c:v>
                </c:pt>
                <c:pt idx="190">
                  <c:v>20130710</c:v>
                </c:pt>
                <c:pt idx="191">
                  <c:v>20130711</c:v>
                </c:pt>
                <c:pt idx="192">
                  <c:v>20130712</c:v>
                </c:pt>
                <c:pt idx="193">
                  <c:v>20130713</c:v>
                </c:pt>
                <c:pt idx="194">
                  <c:v>20130714</c:v>
                </c:pt>
                <c:pt idx="195">
                  <c:v>20130715</c:v>
                </c:pt>
                <c:pt idx="196">
                  <c:v>20130716</c:v>
                </c:pt>
                <c:pt idx="197">
                  <c:v>20130717</c:v>
                </c:pt>
                <c:pt idx="198">
                  <c:v>20130718</c:v>
                </c:pt>
                <c:pt idx="199">
                  <c:v>20130719</c:v>
                </c:pt>
                <c:pt idx="200">
                  <c:v>20130720</c:v>
                </c:pt>
                <c:pt idx="201">
                  <c:v>20130721</c:v>
                </c:pt>
                <c:pt idx="202">
                  <c:v>20130722</c:v>
                </c:pt>
                <c:pt idx="203">
                  <c:v>20130723</c:v>
                </c:pt>
                <c:pt idx="204">
                  <c:v>20130724</c:v>
                </c:pt>
                <c:pt idx="205">
                  <c:v>20130725</c:v>
                </c:pt>
                <c:pt idx="206">
                  <c:v>20130726</c:v>
                </c:pt>
                <c:pt idx="207">
                  <c:v>20130727</c:v>
                </c:pt>
                <c:pt idx="208">
                  <c:v>20130728</c:v>
                </c:pt>
                <c:pt idx="209">
                  <c:v>20130729</c:v>
                </c:pt>
                <c:pt idx="210">
                  <c:v>20130730</c:v>
                </c:pt>
                <c:pt idx="211">
                  <c:v>20130731</c:v>
                </c:pt>
                <c:pt idx="212">
                  <c:v>20130801</c:v>
                </c:pt>
                <c:pt idx="213">
                  <c:v>20130802</c:v>
                </c:pt>
                <c:pt idx="214">
                  <c:v>20130803</c:v>
                </c:pt>
                <c:pt idx="215">
                  <c:v>20130804</c:v>
                </c:pt>
                <c:pt idx="216">
                  <c:v>20130805</c:v>
                </c:pt>
                <c:pt idx="217">
                  <c:v>20130806</c:v>
                </c:pt>
                <c:pt idx="218">
                  <c:v>20130807</c:v>
                </c:pt>
                <c:pt idx="219">
                  <c:v>20130808</c:v>
                </c:pt>
                <c:pt idx="220">
                  <c:v>20130809</c:v>
                </c:pt>
                <c:pt idx="221">
                  <c:v>20130810</c:v>
                </c:pt>
                <c:pt idx="222">
                  <c:v>20130811</c:v>
                </c:pt>
                <c:pt idx="223">
                  <c:v>20130812</c:v>
                </c:pt>
                <c:pt idx="224">
                  <c:v>20130813</c:v>
                </c:pt>
                <c:pt idx="225">
                  <c:v>20130814</c:v>
                </c:pt>
                <c:pt idx="226">
                  <c:v>20130815</c:v>
                </c:pt>
                <c:pt idx="227">
                  <c:v>20130816</c:v>
                </c:pt>
                <c:pt idx="228">
                  <c:v>20130817</c:v>
                </c:pt>
                <c:pt idx="229">
                  <c:v>20130818</c:v>
                </c:pt>
                <c:pt idx="230">
                  <c:v>20130819</c:v>
                </c:pt>
                <c:pt idx="231">
                  <c:v>20130820</c:v>
                </c:pt>
                <c:pt idx="232">
                  <c:v>20130821</c:v>
                </c:pt>
                <c:pt idx="233">
                  <c:v>20130822</c:v>
                </c:pt>
                <c:pt idx="234">
                  <c:v>20130823</c:v>
                </c:pt>
                <c:pt idx="235">
                  <c:v>20130824</c:v>
                </c:pt>
                <c:pt idx="236">
                  <c:v>20130825</c:v>
                </c:pt>
                <c:pt idx="237">
                  <c:v>20130826</c:v>
                </c:pt>
                <c:pt idx="238">
                  <c:v>20130827</c:v>
                </c:pt>
                <c:pt idx="239">
                  <c:v>20130828</c:v>
                </c:pt>
                <c:pt idx="240">
                  <c:v>20130829</c:v>
                </c:pt>
                <c:pt idx="241">
                  <c:v>20130830</c:v>
                </c:pt>
                <c:pt idx="242">
                  <c:v>20130831</c:v>
                </c:pt>
                <c:pt idx="243">
                  <c:v>20130901</c:v>
                </c:pt>
                <c:pt idx="244">
                  <c:v>20130902</c:v>
                </c:pt>
                <c:pt idx="245">
                  <c:v>20130903</c:v>
                </c:pt>
                <c:pt idx="246">
                  <c:v>20130904</c:v>
                </c:pt>
                <c:pt idx="247">
                  <c:v>20130905</c:v>
                </c:pt>
                <c:pt idx="248">
                  <c:v>20130906</c:v>
                </c:pt>
                <c:pt idx="249">
                  <c:v>20130907</c:v>
                </c:pt>
                <c:pt idx="250">
                  <c:v>20130908</c:v>
                </c:pt>
                <c:pt idx="251">
                  <c:v>20130909</c:v>
                </c:pt>
                <c:pt idx="252">
                  <c:v>20130910</c:v>
                </c:pt>
                <c:pt idx="253">
                  <c:v>20130911</c:v>
                </c:pt>
                <c:pt idx="254">
                  <c:v>20130912</c:v>
                </c:pt>
                <c:pt idx="255">
                  <c:v>20130913</c:v>
                </c:pt>
                <c:pt idx="256">
                  <c:v>20130914</c:v>
                </c:pt>
                <c:pt idx="257">
                  <c:v>20130915</c:v>
                </c:pt>
                <c:pt idx="258">
                  <c:v>20130916</c:v>
                </c:pt>
                <c:pt idx="259">
                  <c:v>20130917</c:v>
                </c:pt>
                <c:pt idx="260">
                  <c:v>20130918</c:v>
                </c:pt>
                <c:pt idx="261">
                  <c:v>20130919</c:v>
                </c:pt>
                <c:pt idx="262">
                  <c:v>20130920</c:v>
                </c:pt>
                <c:pt idx="263">
                  <c:v>20130921</c:v>
                </c:pt>
                <c:pt idx="264">
                  <c:v>20130922</c:v>
                </c:pt>
                <c:pt idx="265">
                  <c:v>20130923</c:v>
                </c:pt>
                <c:pt idx="266">
                  <c:v>20130924</c:v>
                </c:pt>
                <c:pt idx="267">
                  <c:v>20130925</c:v>
                </c:pt>
                <c:pt idx="268">
                  <c:v>20130926</c:v>
                </c:pt>
                <c:pt idx="269">
                  <c:v>20130927</c:v>
                </c:pt>
                <c:pt idx="270">
                  <c:v>20130928</c:v>
                </c:pt>
                <c:pt idx="271">
                  <c:v>20130929</c:v>
                </c:pt>
                <c:pt idx="272">
                  <c:v>20130930</c:v>
                </c:pt>
                <c:pt idx="273">
                  <c:v>20131001</c:v>
                </c:pt>
                <c:pt idx="274">
                  <c:v>20131002</c:v>
                </c:pt>
                <c:pt idx="275">
                  <c:v>20131003</c:v>
                </c:pt>
                <c:pt idx="276">
                  <c:v>20131004</c:v>
                </c:pt>
                <c:pt idx="277">
                  <c:v>20131005</c:v>
                </c:pt>
                <c:pt idx="278">
                  <c:v>20131006</c:v>
                </c:pt>
                <c:pt idx="279">
                  <c:v>20131007</c:v>
                </c:pt>
                <c:pt idx="280">
                  <c:v>20131008</c:v>
                </c:pt>
                <c:pt idx="281">
                  <c:v>20131009</c:v>
                </c:pt>
                <c:pt idx="282">
                  <c:v>20131010</c:v>
                </c:pt>
                <c:pt idx="283">
                  <c:v>20131011</c:v>
                </c:pt>
                <c:pt idx="284">
                  <c:v>20131012</c:v>
                </c:pt>
                <c:pt idx="285">
                  <c:v>20131013</c:v>
                </c:pt>
                <c:pt idx="286">
                  <c:v>20131014</c:v>
                </c:pt>
                <c:pt idx="287">
                  <c:v>20131015</c:v>
                </c:pt>
                <c:pt idx="288">
                  <c:v>20131016</c:v>
                </c:pt>
                <c:pt idx="289">
                  <c:v>20131017</c:v>
                </c:pt>
                <c:pt idx="290">
                  <c:v>20131018</c:v>
                </c:pt>
                <c:pt idx="291">
                  <c:v>20131019</c:v>
                </c:pt>
                <c:pt idx="292">
                  <c:v>20131020</c:v>
                </c:pt>
                <c:pt idx="293">
                  <c:v>20131021</c:v>
                </c:pt>
                <c:pt idx="294">
                  <c:v>20131022</c:v>
                </c:pt>
                <c:pt idx="295">
                  <c:v>20131023</c:v>
                </c:pt>
                <c:pt idx="296">
                  <c:v>20131024</c:v>
                </c:pt>
                <c:pt idx="297">
                  <c:v>20131025</c:v>
                </c:pt>
                <c:pt idx="298">
                  <c:v>20131026</c:v>
                </c:pt>
                <c:pt idx="299">
                  <c:v>20131027</c:v>
                </c:pt>
                <c:pt idx="300">
                  <c:v>20131028</c:v>
                </c:pt>
                <c:pt idx="301">
                  <c:v>20131029</c:v>
                </c:pt>
                <c:pt idx="302">
                  <c:v>20131030</c:v>
                </c:pt>
                <c:pt idx="303">
                  <c:v>20131031</c:v>
                </c:pt>
                <c:pt idx="304">
                  <c:v>20131101</c:v>
                </c:pt>
                <c:pt idx="305">
                  <c:v>20131102</c:v>
                </c:pt>
                <c:pt idx="306">
                  <c:v>20131103</c:v>
                </c:pt>
                <c:pt idx="307">
                  <c:v>20131104</c:v>
                </c:pt>
                <c:pt idx="308">
                  <c:v>20131105</c:v>
                </c:pt>
                <c:pt idx="309">
                  <c:v>20131106</c:v>
                </c:pt>
                <c:pt idx="310">
                  <c:v>20131107</c:v>
                </c:pt>
                <c:pt idx="311">
                  <c:v>20131108</c:v>
                </c:pt>
                <c:pt idx="312">
                  <c:v>20131109</c:v>
                </c:pt>
                <c:pt idx="313">
                  <c:v>20131110</c:v>
                </c:pt>
                <c:pt idx="314">
                  <c:v>20131111</c:v>
                </c:pt>
                <c:pt idx="315">
                  <c:v>20131112</c:v>
                </c:pt>
                <c:pt idx="316">
                  <c:v>20131113</c:v>
                </c:pt>
                <c:pt idx="317">
                  <c:v>20131114</c:v>
                </c:pt>
                <c:pt idx="318">
                  <c:v>20131115</c:v>
                </c:pt>
                <c:pt idx="319">
                  <c:v>20131116</c:v>
                </c:pt>
                <c:pt idx="320">
                  <c:v>20131117</c:v>
                </c:pt>
                <c:pt idx="321">
                  <c:v>20131118</c:v>
                </c:pt>
                <c:pt idx="322">
                  <c:v>20131119</c:v>
                </c:pt>
                <c:pt idx="323">
                  <c:v>20131120</c:v>
                </c:pt>
                <c:pt idx="324">
                  <c:v>20131121</c:v>
                </c:pt>
                <c:pt idx="325">
                  <c:v>20131122</c:v>
                </c:pt>
                <c:pt idx="326">
                  <c:v>20131123</c:v>
                </c:pt>
                <c:pt idx="327">
                  <c:v>20131124</c:v>
                </c:pt>
                <c:pt idx="328">
                  <c:v>20131125</c:v>
                </c:pt>
                <c:pt idx="329">
                  <c:v>20131126</c:v>
                </c:pt>
                <c:pt idx="330">
                  <c:v>20131127</c:v>
                </c:pt>
                <c:pt idx="331">
                  <c:v>20131128</c:v>
                </c:pt>
                <c:pt idx="332">
                  <c:v>20131129</c:v>
                </c:pt>
                <c:pt idx="333">
                  <c:v>20131130</c:v>
                </c:pt>
                <c:pt idx="334">
                  <c:v>20131201</c:v>
                </c:pt>
                <c:pt idx="335">
                  <c:v>20131202</c:v>
                </c:pt>
                <c:pt idx="336">
                  <c:v>20131203</c:v>
                </c:pt>
                <c:pt idx="337">
                  <c:v>20131204</c:v>
                </c:pt>
                <c:pt idx="338">
                  <c:v>20131205</c:v>
                </c:pt>
                <c:pt idx="339">
                  <c:v>20131206</c:v>
                </c:pt>
                <c:pt idx="340">
                  <c:v>20131207</c:v>
                </c:pt>
                <c:pt idx="341">
                  <c:v>20131208</c:v>
                </c:pt>
                <c:pt idx="342">
                  <c:v>20131209</c:v>
                </c:pt>
                <c:pt idx="343">
                  <c:v>20131210</c:v>
                </c:pt>
                <c:pt idx="344">
                  <c:v>20131211</c:v>
                </c:pt>
                <c:pt idx="345">
                  <c:v>20131212</c:v>
                </c:pt>
                <c:pt idx="346">
                  <c:v>20131213</c:v>
                </c:pt>
                <c:pt idx="347">
                  <c:v>20131214</c:v>
                </c:pt>
                <c:pt idx="348">
                  <c:v>20131215</c:v>
                </c:pt>
                <c:pt idx="349">
                  <c:v>20131216</c:v>
                </c:pt>
                <c:pt idx="350">
                  <c:v>20131217</c:v>
                </c:pt>
                <c:pt idx="351">
                  <c:v>20131218</c:v>
                </c:pt>
                <c:pt idx="352">
                  <c:v>20131219</c:v>
                </c:pt>
                <c:pt idx="353">
                  <c:v>20131220</c:v>
                </c:pt>
                <c:pt idx="354">
                  <c:v>20131221</c:v>
                </c:pt>
                <c:pt idx="355">
                  <c:v>20131222</c:v>
                </c:pt>
                <c:pt idx="356">
                  <c:v>20131223</c:v>
                </c:pt>
                <c:pt idx="357">
                  <c:v>20131224</c:v>
                </c:pt>
                <c:pt idx="358">
                  <c:v>20131225</c:v>
                </c:pt>
                <c:pt idx="359">
                  <c:v>20131226</c:v>
                </c:pt>
                <c:pt idx="360">
                  <c:v>20131227</c:v>
                </c:pt>
                <c:pt idx="361">
                  <c:v>20131228</c:v>
                </c:pt>
                <c:pt idx="362">
                  <c:v>20131229</c:v>
                </c:pt>
                <c:pt idx="363">
                  <c:v>20131230</c:v>
                </c:pt>
                <c:pt idx="364">
                  <c:v>20131231</c:v>
                </c:pt>
              </c:numCache>
            </c:numRef>
          </c:cat>
          <c:val>
            <c:numRef>
              <c:f>Sheet1!$B$2:$B$366</c:f>
              <c:numCache>
                <c:formatCode>General</c:formatCode>
                <c:ptCount val="365"/>
                <c:pt idx="52">
                  <c:v>67.489999999999995</c:v>
                </c:pt>
                <c:pt idx="53">
                  <c:v>53.59</c:v>
                </c:pt>
                <c:pt idx="54">
                  <c:v>61.290000000000013</c:v>
                </c:pt>
                <c:pt idx="55">
                  <c:v>70.179999999999978</c:v>
                </c:pt>
                <c:pt idx="56">
                  <c:v>56.53</c:v>
                </c:pt>
                <c:pt idx="57">
                  <c:v>78.81</c:v>
                </c:pt>
                <c:pt idx="58">
                  <c:v>99.7</c:v>
                </c:pt>
                <c:pt idx="59">
                  <c:v>93.179999999999978</c:v>
                </c:pt>
                <c:pt idx="60">
                  <c:v>83.649999999999991</c:v>
                </c:pt>
                <c:pt idx="61">
                  <c:v>95.92</c:v>
                </c:pt>
                <c:pt idx="62">
                  <c:v>87.04</c:v>
                </c:pt>
                <c:pt idx="63">
                  <c:v>98.5</c:v>
                </c:pt>
                <c:pt idx="64">
                  <c:v>87.53</c:v>
                </c:pt>
                <c:pt idx="65">
                  <c:v>68.97</c:v>
                </c:pt>
                <c:pt idx="66">
                  <c:v>60.81</c:v>
                </c:pt>
                <c:pt idx="67">
                  <c:v>54.18</c:v>
                </c:pt>
                <c:pt idx="68">
                  <c:v>37.050000000000004</c:v>
                </c:pt>
                <c:pt idx="69">
                  <c:v>33.83</c:v>
                </c:pt>
                <c:pt idx="70">
                  <c:v>40.98</c:v>
                </c:pt>
                <c:pt idx="71">
                  <c:v>52.38</c:v>
                </c:pt>
                <c:pt idx="72">
                  <c:v>77.02</c:v>
                </c:pt>
                <c:pt idx="73">
                  <c:v>87.27</c:v>
                </c:pt>
                <c:pt idx="74">
                  <c:v>92.86</c:v>
                </c:pt>
                <c:pt idx="75">
                  <c:v>93.7</c:v>
                </c:pt>
                <c:pt idx="76">
                  <c:v>96.460000000000022</c:v>
                </c:pt>
                <c:pt idx="77">
                  <c:v>87.16</c:v>
                </c:pt>
                <c:pt idx="78">
                  <c:v>90.43</c:v>
                </c:pt>
                <c:pt idx="79">
                  <c:v>97.33</c:v>
                </c:pt>
                <c:pt idx="80">
                  <c:v>90.149999999999991</c:v>
                </c:pt>
                <c:pt idx="81">
                  <c:v>95.14</c:v>
                </c:pt>
                <c:pt idx="82">
                  <c:v>88.36999999999999</c:v>
                </c:pt>
                <c:pt idx="83">
                  <c:v>88.169999999999987</c:v>
                </c:pt>
                <c:pt idx="84">
                  <c:v>86.85</c:v>
                </c:pt>
                <c:pt idx="85">
                  <c:v>96.57</c:v>
                </c:pt>
                <c:pt idx="86">
                  <c:v>99.990000000000023</c:v>
                </c:pt>
                <c:pt idx="87">
                  <c:v>92.58</c:v>
                </c:pt>
                <c:pt idx="88">
                  <c:v>88.9</c:v>
                </c:pt>
                <c:pt idx="89">
                  <c:v>81.22</c:v>
                </c:pt>
                <c:pt idx="90">
                  <c:v>99.02</c:v>
                </c:pt>
                <c:pt idx="91">
                  <c:v>105.41000000000005</c:v>
                </c:pt>
                <c:pt idx="92">
                  <c:v>102.7</c:v>
                </c:pt>
                <c:pt idx="93">
                  <c:v>79.260000000000005</c:v>
                </c:pt>
                <c:pt idx="94">
                  <c:v>85.36999999999999</c:v>
                </c:pt>
                <c:pt idx="95">
                  <c:v>96.84</c:v>
                </c:pt>
                <c:pt idx="96">
                  <c:v>84.47</c:v>
                </c:pt>
                <c:pt idx="97">
                  <c:v>83.08</c:v>
                </c:pt>
                <c:pt idx="98">
                  <c:v>99.84</c:v>
                </c:pt>
                <c:pt idx="99">
                  <c:v>93.39</c:v>
                </c:pt>
                <c:pt idx="100">
                  <c:v>82.410000000000025</c:v>
                </c:pt>
                <c:pt idx="101">
                  <c:v>97.01</c:v>
                </c:pt>
                <c:pt idx="102">
                  <c:v>96.5</c:v>
                </c:pt>
                <c:pt idx="103">
                  <c:v>97.47</c:v>
                </c:pt>
                <c:pt idx="104">
                  <c:v>82.1</c:v>
                </c:pt>
                <c:pt idx="105">
                  <c:v>105.19</c:v>
                </c:pt>
                <c:pt idx="106">
                  <c:v>107.04</c:v>
                </c:pt>
                <c:pt idx="107">
                  <c:v>116.45</c:v>
                </c:pt>
                <c:pt idx="108">
                  <c:v>92.1</c:v>
                </c:pt>
                <c:pt idx="109">
                  <c:v>104.79</c:v>
                </c:pt>
                <c:pt idx="110">
                  <c:v>85.04</c:v>
                </c:pt>
                <c:pt idx="111">
                  <c:v>105.23</c:v>
                </c:pt>
                <c:pt idx="112">
                  <c:v>107.69</c:v>
                </c:pt>
                <c:pt idx="113">
                  <c:v>95.440000000000026</c:v>
                </c:pt>
                <c:pt idx="115">
                  <c:v>141.81</c:v>
                </c:pt>
                <c:pt idx="116">
                  <c:v>140.66999999999999</c:v>
                </c:pt>
                <c:pt idx="117">
                  <c:v>130.60999999999999</c:v>
                </c:pt>
                <c:pt idx="118">
                  <c:v>120.45</c:v>
                </c:pt>
                <c:pt idx="119">
                  <c:v>116.36</c:v>
                </c:pt>
                <c:pt idx="120">
                  <c:v>127.08</c:v>
                </c:pt>
                <c:pt idx="121">
                  <c:v>108.34</c:v>
                </c:pt>
                <c:pt idx="127">
                  <c:v>136.36000000000001</c:v>
                </c:pt>
                <c:pt idx="128">
                  <c:v>124.64999999999999</c:v>
                </c:pt>
                <c:pt idx="129">
                  <c:v>127.2</c:v>
                </c:pt>
                <c:pt idx="130">
                  <c:v>119.33</c:v>
                </c:pt>
                <c:pt idx="131">
                  <c:v>107.25</c:v>
                </c:pt>
                <c:pt idx="132">
                  <c:v>100.07</c:v>
                </c:pt>
                <c:pt idx="133">
                  <c:v>91.3</c:v>
                </c:pt>
                <c:pt idx="134">
                  <c:v>131.81</c:v>
                </c:pt>
                <c:pt idx="135">
                  <c:v>129.29</c:v>
                </c:pt>
                <c:pt idx="136">
                  <c:v>131.72</c:v>
                </c:pt>
                <c:pt idx="137">
                  <c:v>126.86</c:v>
                </c:pt>
                <c:pt idx="138">
                  <c:v>125.56</c:v>
                </c:pt>
                <c:pt idx="139">
                  <c:v>126.81</c:v>
                </c:pt>
                <c:pt idx="140">
                  <c:v>143.54</c:v>
                </c:pt>
                <c:pt idx="141">
                  <c:v>125.67999999999998</c:v>
                </c:pt>
                <c:pt idx="142">
                  <c:v>130.10999999999999</c:v>
                </c:pt>
                <c:pt idx="143">
                  <c:v>108.59</c:v>
                </c:pt>
                <c:pt idx="144">
                  <c:v>129.47</c:v>
                </c:pt>
                <c:pt idx="145">
                  <c:v>134.6</c:v>
                </c:pt>
                <c:pt idx="146">
                  <c:v>117.1</c:v>
                </c:pt>
                <c:pt idx="147">
                  <c:v>126.02</c:v>
                </c:pt>
                <c:pt idx="148">
                  <c:v>143.76</c:v>
                </c:pt>
                <c:pt idx="149">
                  <c:v>117.99000000000002</c:v>
                </c:pt>
                <c:pt idx="150">
                  <c:v>110.76</c:v>
                </c:pt>
                <c:pt idx="151">
                  <c:v>115.56</c:v>
                </c:pt>
                <c:pt idx="152">
                  <c:v>137.62</c:v>
                </c:pt>
                <c:pt idx="153">
                  <c:v>109.14999999999999</c:v>
                </c:pt>
                <c:pt idx="154">
                  <c:v>123.38</c:v>
                </c:pt>
                <c:pt idx="155">
                  <c:v>105.09</c:v>
                </c:pt>
                <c:pt idx="156">
                  <c:v>83.47</c:v>
                </c:pt>
                <c:pt idx="157">
                  <c:v>109.04</c:v>
                </c:pt>
                <c:pt idx="158">
                  <c:v>99.52</c:v>
                </c:pt>
                <c:pt idx="159">
                  <c:v>127.16</c:v>
                </c:pt>
                <c:pt idx="160">
                  <c:v>132.25</c:v>
                </c:pt>
                <c:pt idx="161">
                  <c:v>112.29</c:v>
                </c:pt>
                <c:pt idx="162">
                  <c:v>112.71000000000002</c:v>
                </c:pt>
                <c:pt idx="163">
                  <c:v>107.34</c:v>
                </c:pt>
                <c:pt idx="164">
                  <c:v>124.23</c:v>
                </c:pt>
                <c:pt idx="165">
                  <c:v>121.51</c:v>
                </c:pt>
                <c:pt idx="166">
                  <c:v>97.649999999999991</c:v>
                </c:pt>
                <c:pt idx="167">
                  <c:v>97</c:v>
                </c:pt>
                <c:pt idx="168">
                  <c:v>108.84</c:v>
                </c:pt>
                <c:pt idx="169">
                  <c:v>111.43</c:v>
                </c:pt>
                <c:pt idx="170">
                  <c:v>102.77</c:v>
                </c:pt>
                <c:pt idx="171">
                  <c:v>114.48</c:v>
                </c:pt>
                <c:pt idx="172">
                  <c:v>118.5</c:v>
                </c:pt>
                <c:pt idx="173">
                  <c:v>113.96000000000002</c:v>
                </c:pt>
                <c:pt idx="174">
                  <c:v>103.06</c:v>
                </c:pt>
                <c:pt idx="175">
                  <c:v>79.410000000000025</c:v>
                </c:pt>
                <c:pt idx="181">
                  <c:v>53.58</c:v>
                </c:pt>
                <c:pt idx="182">
                  <c:v>85.26</c:v>
                </c:pt>
                <c:pt idx="183">
                  <c:v>78.89</c:v>
                </c:pt>
                <c:pt idx="191">
                  <c:v>94.679999999999978</c:v>
                </c:pt>
                <c:pt idx="192">
                  <c:v>111.66999999999999</c:v>
                </c:pt>
                <c:pt idx="193">
                  <c:v>114.44000000000005</c:v>
                </c:pt>
                <c:pt idx="194">
                  <c:v>99.42</c:v>
                </c:pt>
                <c:pt idx="195">
                  <c:v>76.8</c:v>
                </c:pt>
                <c:pt idx="197">
                  <c:v>85.460000000000022</c:v>
                </c:pt>
                <c:pt idx="198">
                  <c:v>84.82</c:v>
                </c:pt>
                <c:pt idx="204">
                  <c:v>70.66</c:v>
                </c:pt>
                <c:pt idx="205">
                  <c:v>75.459999999999994</c:v>
                </c:pt>
                <c:pt idx="206">
                  <c:v>64.290000000000006</c:v>
                </c:pt>
                <c:pt idx="207">
                  <c:v>64.959999999999994</c:v>
                </c:pt>
                <c:pt idx="208">
                  <c:v>74.55</c:v>
                </c:pt>
                <c:pt idx="209">
                  <c:v>92.54</c:v>
                </c:pt>
                <c:pt idx="210">
                  <c:v>87.26</c:v>
                </c:pt>
                <c:pt idx="211">
                  <c:v>62.43</c:v>
                </c:pt>
                <c:pt idx="212">
                  <c:v>69.78</c:v>
                </c:pt>
                <c:pt idx="213">
                  <c:v>63.44</c:v>
                </c:pt>
                <c:pt idx="214">
                  <c:v>61.32</c:v>
                </c:pt>
                <c:pt idx="215">
                  <c:v>53.24</c:v>
                </c:pt>
                <c:pt idx="216">
                  <c:v>72.19</c:v>
                </c:pt>
                <c:pt idx="217">
                  <c:v>71.97</c:v>
                </c:pt>
                <c:pt idx="218">
                  <c:v>80.66</c:v>
                </c:pt>
                <c:pt idx="219">
                  <c:v>74.940000000000026</c:v>
                </c:pt>
                <c:pt idx="220">
                  <c:v>85.83</c:v>
                </c:pt>
                <c:pt idx="221">
                  <c:v>78.8</c:v>
                </c:pt>
                <c:pt idx="222">
                  <c:v>73.290000000000006</c:v>
                </c:pt>
                <c:pt idx="223">
                  <c:v>55.24</c:v>
                </c:pt>
                <c:pt idx="224">
                  <c:v>72.400000000000006</c:v>
                </c:pt>
                <c:pt idx="225">
                  <c:v>88.11999999999999</c:v>
                </c:pt>
                <c:pt idx="226">
                  <c:v>69.599999999999994</c:v>
                </c:pt>
                <c:pt idx="227">
                  <c:v>70.77</c:v>
                </c:pt>
                <c:pt idx="228">
                  <c:v>73.260000000000005</c:v>
                </c:pt>
                <c:pt idx="229">
                  <c:v>92.16</c:v>
                </c:pt>
                <c:pt idx="230">
                  <c:v>91.97</c:v>
                </c:pt>
                <c:pt idx="231">
                  <c:v>92.28</c:v>
                </c:pt>
                <c:pt idx="232">
                  <c:v>100.46000000000002</c:v>
                </c:pt>
                <c:pt idx="233">
                  <c:v>101.6</c:v>
                </c:pt>
                <c:pt idx="234">
                  <c:v>85.36999999999999</c:v>
                </c:pt>
                <c:pt idx="235">
                  <c:v>85.210000000000022</c:v>
                </c:pt>
                <c:pt idx="236">
                  <c:v>64.349999999999994</c:v>
                </c:pt>
                <c:pt idx="237">
                  <c:v>77.66</c:v>
                </c:pt>
                <c:pt idx="238">
                  <c:v>57.290000000000013</c:v>
                </c:pt>
                <c:pt idx="239">
                  <c:v>60.04</c:v>
                </c:pt>
                <c:pt idx="240">
                  <c:v>48.74</c:v>
                </c:pt>
                <c:pt idx="241">
                  <c:v>55.27</c:v>
                </c:pt>
                <c:pt idx="242">
                  <c:v>64.930000000000007</c:v>
                </c:pt>
                <c:pt idx="243">
                  <c:v>77.669999999999987</c:v>
                </c:pt>
                <c:pt idx="244">
                  <c:v>80.910000000000025</c:v>
                </c:pt>
                <c:pt idx="245">
                  <c:v>59.51</c:v>
                </c:pt>
                <c:pt idx="246">
                  <c:v>59.11</c:v>
                </c:pt>
                <c:pt idx="247">
                  <c:v>62.3</c:v>
                </c:pt>
                <c:pt idx="248">
                  <c:v>60.87</c:v>
                </c:pt>
                <c:pt idx="249">
                  <c:v>72.63</c:v>
                </c:pt>
                <c:pt idx="250">
                  <c:v>69.61</c:v>
                </c:pt>
                <c:pt idx="251">
                  <c:v>82.27</c:v>
                </c:pt>
                <c:pt idx="252">
                  <c:v>82.460000000000022</c:v>
                </c:pt>
                <c:pt idx="253">
                  <c:v>89.28</c:v>
                </c:pt>
                <c:pt idx="254">
                  <c:v>70.540000000000006</c:v>
                </c:pt>
                <c:pt idx="255">
                  <c:v>59.97</c:v>
                </c:pt>
                <c:pt idx="256">
                  <c:v>53.3</c:v>
                </c:pt>
                <c:pt idx="257">
                  <c:v>59.120000000000012</c:v>
                </c:pt>
                <c:pt idx="258">
                  <c:v>83.53</c:v>
                </c:pt>
                <c:pt idx="259">
                  <c:v>86.56</c:v>
                </c:pt>
                <c:pt idx="260">
                  <c:v>63.25</c:v>
                </c:pt>
                <c:pt idx="261">
                  <c:v>54.25</c:v>
                </c:pt>
                <c:pt idx="262">
                  <c:v>63.8</c:v>
                </c:pt>
                <c:pt idx="263">
                  <c:v>68.55</c:v>
                </c:pt>
                <c:pt idx="264">
                  <c:v>63.92</c:v>
                </c:pt>
                <c:pt idx="265">
                  <c:v>70.77</c:v>
                </c:pt>
                <c:pt idx="266">
                  <c:v>60.54</c:v>
                </c:pt>
                <c:pt idx="267">
                  <c:v>62.38</c:v>
                </c:pt>
                <c:pt idx="268">
                  <c:v>79.099999999999994</c:v>
                </c:pt>
                <c:pt idx="269">
                  <c:v>77.73</c:v>
                </c:pt>
                <c:pt idx="270">
                  <c:v>60.61</c:v>
                </c:pt>
                <c:pt idx="271">
                  <c:v>44.61</c:v>
                </c:pt>
                <c:pt idx="275">
                  <c:v>43.720000000000013</c:v>
                </c:pt>
                <c:pt idx="276">
                  <c:v>45.35</c:v>
                </c:pt>
                <c:pt idx="277">
                  <c:v>58.730000000000011</c:v>
                </c:pt>
                <c:pt idx="278">
                  <c:v>61.88</c:v>
                </c:pt>
                <c:pt idx="279">
                  <c:v>68.95</c:v>
                </c:pt>
                <c:pt idx="280">
                  <c:v>69.489999999999995</c:v>
                </c:pt>
                <c:pt idx="281">
                  <c:v>79.25</c:v>
                </c:pt>
                <c:pt idx="282">
                  <c:v>79.55</c:v>
                </c:pt>
                <c:pt idx="283">
                  <c:v>65.06</c:v>
                </c:pt>
                <c:pt idx="304">
                  <c:v>19.239999999999988</c:v>
                </c:pt>
                <c:pt idx="305">
                  <c:v>21.51</c:v>
                </c:pt>
                <c:pt idx="306">
                  <c:v>25.630000000000013</c:v>
                </c:pt>
                <c:pt idx="307">
                  <c:v>17.79</c:v>
                </c:pt>
                <c:pt idx="308">
                  <c:v>42.68</c:v>
                </c:pt>
                <c:pt idx="309">
                  <c:v>45.43</c:v>
                </c:pt>
                <c:pt idx="310">
                  <c:v>33.07</c:v>
                </c:pt>
                <c:pt idx="311">
                  <c:v>27.32</c:v>
                </c:pt>
                <c:pt idx="312">
                  <c:v>56.17</c:v>
                </c:pt>
                <c:pt idx="313">
                  <c:v>46.5</c:v>
                </c:pt>
                <c:pt idx="314">
                  <c:v>25.37</c:v>
                </c:pt>
                <c:pt idx="315">
                  <c:v>26.17</c:v>
                </c:pt>
                <c:pt idx="316">
                  <c:v>5.79</c:v>
                </c:pt>
                <c:pt idx="317">
                  <c:v>10.72</c:v>
                </c:pt>
                <c:pt idx="318">
                  <c:v>21.43</c:v>
                </c:pt>
                <c:pt idx="319">
                  <c:v>21.459999999999987</c:v>
                </c:pt>
                <c:pt idx="320">
                  <c:v>19.38</c:v>
                </c:pt>
                <c:pt idx="321">
                  <c:v>13.09</c:v>
                </c:pt>
                <c:pt idx="322">
                  <c:v>12.07</c:v>
                </c:pt>
                <c:pt idx="323">
                  <c:v>21.19</c:v>
                </c:pt>
                <c:pt idx="324">
                  <c:v>18.07</c:v>
                </c:pt>
                <c:pt idx="325">
                  <c:v>16.39</c:v>
                </c:pt>
                <c:pt idx="326">
                  <c:v>5.9700000000000024</c:v>
                </c:pt>
                <c:pt idx="327">
                  <c:v>22.919999999999987</c:v>
                </c:pt>
                <c:pt idx="328">
                  <c:v>30.8</c:v>
                </c:pt>
                <c:pt idx="329">
                  <c:v>36.39</c:v>
                </c:pt>
                <c:pt idx="330">
                  <c:v>36.32</c:v>
                </c:pt>
                <c:pt idx="331">
                  <c:v>24.41</c:v>
                </c:pt>
                <c:pt idx="332">
                  <c:v>23.64</c:v>
                </c:pt>
                <c:pt idx="333">
                  <c:v>19.809999999999999</c:v>
                </c:pt>
                <c:pt idx="334">
                  <c:v>11.14</c:v>
                </c:pt>
                <c:pt idx="335">
                  <c:v>30.310000000000013</c:v>
                </c:pt>
                <c:pt idx="336">
                  <c:v>32.53</c:v>
                </c:pt>
                <c:pt idx="337">
                  <c:v>20.32</c:v>
                </c:pt>
                <c:pt idx="338">
                  <c:v>22.630000000000013</c:v>
                </c:pt>
                <c:pt idx="339">
                  <c:v>11.44</c:v>
                </c:pt>
                <c:pt idx="340">
                  <c:v>18.989999999999977</c:v>
                </c:pt>
                <c:pt idx="341">
                  <c:v>35.36</c:v>
                </c:pt>
                <c:pt idx="342">
                  <c:v>13.850000000000007</c:v>
                </c:pt>
                <c:pt idx="343">
                  <c:v>33.47</c:v>
                </c:pt>
                <c:pt idx="344">
                  <c:v>19.989999999999977</c:v>
                </c:pt>
                <c:pt idx="345">
                  <c:v>12.77</c:v>
                </c:pt>
                <c:pt idx="346">
                  <c:v>5.9700000000000024</c:v>
                </c:pt>
                <c:pt idx="347">
                  <c:v>5.72</c:v>
                </c:pt>
                <c:pt idx="348">
                  <c:v>12.71</c:v>
                </c:pt>
                <c:pt idx="349">
                  <c:v>7.46</c:v>
                </c:pt>
                <c:pt idx="350">
                  <c:v>13.57</c:v>
                </c:pt>
                <c:pt idx="351">
                  <c:v>16.350000000000001</c:v>
                </c:pt>
                <c:pt idx="352">
                  <c:v>14.28</c:v>
                </c:pt>
                <c:pt idx="353">
                  <c:v>12.66</c:v>
                </c:pt>
                <c:pt idx="354">
                  <c:v>6.45</c:v>
                </c:pt>
                <c:pt idx="355">
                  <c:v>20.27</c:v>
                </c:pt>
                <c:pt idx="356">
                  <c:v>14.79</c:v>
                </c:pt>
                <c:pt idx="357">
                  <c:v>14.62</c:v>
                </c:pt>
                <c:pt idx="358">
                  <c:v>14.98</c:v>
                </c:pt>
                <c:pt idx="359">
                  <c:v>6.4300000000000024</c:v>
                </c:pt>
                <c:pt idx="360">
                  <c:v>5.4</c:v>
                </c:pt>
                <c:pt idx="361">
                  <c:v>17.25</c:v>
                </c:pt>
                <c:pt idx="362">
                  <c:v>19.54</c:v>
                </c:pt>
                <c:pt idx="363">
                  <c:v>14.83</c:v>
                </c:pt>
                <c:pt idx="364">
                  <c:v>9.25</c:v>
                </c:pt>
              </c:numCache>
            </c:numRef>
          </c:val>
          <c:smooth val="0"/>
          <c:extLst>
            <c:ext xmlns:c16="http://schemas.microsoft.com/office/drawing/2014/chart" uri="{C3380CC4-5D6E-409C-BE32-E72D297353CC}">
              <c16:uniqueId val="{00000000-F977-409D-961B-2F3656AE3B65}"/>
            </c:ext>
          </c:extLst>
        </c:ser>
        <c:ser>
          <c:idx val="1"/>
          <c:order val="1"/>
          <c:tx>
            <c:strRef>
              <c:f>Sheet1!$C$1</c:f>
              <c:strCache>
                <c:ptCount val="1"/>
                <c:pt idx="0">
                  <c:v>BR3</c:v>
                </c:pt>
              </c:strCache>
            </c:strRef>
          </c:tx>
          <c:spPr>
            <a:ln w="12700" cap="rnd">
              <a:solidFill>
                <a:srgbClr val="00B0F0"/>
              </a:solidFill>
              <a:round/>
            </a:ln>
            <a:effectLst/>
          </c:spPr>
          <c:marker>
            <c:symbol val="none"/>
          </c:marker>
          <c:cat>
            <c:numRef>
              <c:f>Sheet1!$A$2:$A$366</c:f>
              <c:numCache>
                <c:formatCode>General</c:formatCode>
                <c:ptCount val="365"/>
                <c:pt idx="0">
                  <c:v>20130101</c:v>
                </c:pt>
                <c:pt idx="1">
                  <c:v>20130102</c:v>
                </c:pt>
                <c:pt idx="2">
                  <c:v>20130103</c:v>
                </c:pt>
                <c:pt idx="3">
                  <c:v>20130104</c:v>
                </c:pt>
                <c:pt idx="4">
                  <c:v>20130105</c:v>
                </c:pt>
                <c:pt idx="5">
                  <c:v>20130106</c:v>
                </c:pt>
                <c:pt idx="6">
                  <c:v>20130107</c:v>
                </c:pt>
                <c:pt idx="7">
                  <c:v>20130108</c:v>
                </c:pt>
                <c:pt idx="8">
                  <c:v>20130109</c:v>
                </c:pt>
                <c:pt idx="9">
                  <c:v>20130110</c:v>
                </c:pt>
                <c:pt idx="10">
                  <c:v>20130111</c:v>
                </c:pt>
                <c:pt idx="11">
                  <c:v>20130112</c:v>
                </c:pt>
                <c:pt idx="12">
                  <c:v>20130113</c:v>
                </c:pt>
                <c:pt idx="13">
                  <c:v>20130114</c:v>
                </c:pt>
                <c:pt idx="14">
                  <c:v>20130115</c:v>
                </c:pt>
                <c:pt idx="15">
                  <c:v>20130116</c:v>
                </c:pt>
                <c:pt idx="16">
                  <c:v>20130117</c:v>
                </c:pt>
                <c:pt idx="17">
                  <c:v>20130118</c:v>
                </c:pt>
                <c:pt idx="18">
                  <c:v>20130119</c:v>
                </c:pt>
                <c:pt idx="19">
                  <c:v>20130120</c:v>
                </c:pt>
                <c:pt idx="20">
                  <c:v>20130121</c:v>
                </c:pt>
                <c:pt idx="21">
                  <c:v>20130122</c:v>
                </c:pt>
                <c:pt idx="22">
                  <c:v>20130123</c:v>
                </c:pt>
                <c:pt idx="23">
                  <c:v>20130124</c:v>
                </c:pt>
                <c:pt idx="24">
                  <c:v>20130125</c:v>
                </c:pt>
                <c:pt idx="25">
                  <c:v>20130126</c:v>
                </c:pt>
                <c:pt idx="26">
                  <c:v>20130127</c:v>
                </c:pt>
                <c:pt idx="27">
                  <c:v>20130128</c:v>
                </c:pt>
                <c:pt idx="28">
                  <c:v>20130129</c:v>
                </c:pt>
                <c:pt idx="29">
                  <c:v>20130130</c:v>
                </c:pt>
                <c:pt idx="30">
                  <c:v>20130131</c:v>
                </c:pt>
                <c:pt idx="31">
                  <c:v>20130201</c:v>
                </c:pt>
                <c:pt idx="32">
                  <c:v>20130202</c:v>
                </c:pt>
                <c:pt idx="33">
                  <c:v>20130203</c:v>
                </c:pt>
                <c:pt idx="34">
                  <c:v>20130204</c:v>
                </c:pt>
                <c:pt idx="35">
                  <c:v>20130205</c:v>
                </c:pt>
                <c:pt idx="36">
                  <c:v>20130206</c:v>
                </c:pt>
                <c:pt idx="37">
                  <c:v>20130207</c:v>
                </c:pt>
                <c:pt idx="38">
                  <c:v>20130208</c:v>
                </c:pt>
                <c:pt idx="39">
                  <c:v>20130209</c:v>
                </c:pt>
                <c:pt idx="40">
                  <c:v>20130210</c:v>
                </c:pt>
                <c:pt idx="41">
                  <c:v>20130211</c:v>
                </c:pt>
                <c:pt idx="42">
                  <c:v>20130212</c:v>
                </c:pt>
                <c:pt idx="43">
                  <c:v>20130213</c:v>
                </c:pt>
                <c:pt idx="44">
                  <c:v>20130214</c:v>
                </c:pt>
                <c:pt idx="45">
                  <c:v>20130215</c:v>
                </c:pt>
                <c:pt idx="46">
                  <c:v>20130216</c:v>
                </c:pt>
                <c:pt idx="47">
                  <c:v>20130217</c:v>
                </c:pt>
                <c:pt idx="48">
                  <c:v>20130218</c:v>
                </c:pt>
                <c:pt idx="49">
                  <c:v>20130219</c:v>
                </c:pt>
                <c:pt idx="50">
                  <c:v>20130220</c:v>
                </c:pt>
                <c:pt idx="51">
                  <c:v>20130221</c:v>
                </c:pt>
                <c:pt idx="52">
                  <c:v>20130222</c:v>
                </c:pt>
                <c:pt idx="53">
                  <c:v>20130223</c:v>
                </c:pt>
                <c:pt idx="54">
                  <c:v>20130224</c:v>
                </c:pt>
                <c:pt idx="55">
                  <c:v>20130225</c:v>
                </c:pt>
                <c:pt idx="56">
                  <c:v>20130226</c:v>
                </c:pt>
                <c:pt idx="57">
                  <c:v>20130227</c:v>
                </c:pt>
                <c:pt idx="58">
                  <c:v>20130228</c:v>
                </c:pt>
                <c:pt idx="59">
                  <c:v>20130301</c:v>
                </c:pt>
                <c:pt idx="60">
                  <c:v>20130302</c:v>
                </c:pt>
                <c:pt idx="61">
                  <c:v>20130303</c:v>
                </c:pt>
                <c:pt idx="62">
                  <c:v>20130304</c:v>
                </c:pt>
                <c:pt idx="63">
                  <c:v>20130305</c:v>
                </c:pt>
                <c:pt idx="64">
                  <c:v>20130306</c:v>
                </c:pt>
                <c:pt idx="65">
                  <c:v>20130307</c:v>
                </c:pt>
                <c:pt idx="66">
                  <c:v>20130308</c:v>
                </c:pt>
                <c:pt idx="67">
                  <c:v>20130309</c:v>
                </c:pt>
                <c:pt idx="68">
                  <c:v>20130310</c:v>
                </c:pt>
                <c:pt idx="69">
                  <c:v>20130311</c:v>
                </c:pt>
                <c:pt idx="70">
                  <c:v>20130312</c:v>
                </c:pt>
                <c:pt idx="71">
                  <c:v>20130313</c:v>
                </c:pt>
                <c:pt idx="72">
                  <c:v>20130314</c:v>
                </c:pt>
                <c:pt idx="73">
                  <c:v>20130315</c:v>
                </c:pt>
                <c:pt idx="74">
                  <c:v>20130316</c:v>
                </c:pt>
                <c:pt idx="75">
                  <c:v>20130317</c:v>
                </c:pt>
                <c:pt idx="76">
                  <c:v>20130318</c:v>
                </c:pt>
                <c:pt idx="77">
                  <c:v>20130319</c:v>
                </c:pt>
                <c:pt idx="78">
                  <c:v>20130320</c:v>
                </c:pt>
                <c:pt idx="79">
                  <c:v>20130321</c:v>
                </c:pt>
                <c:pt idx="80">
                  <c:v>20130322</c:v>
                </c:pt>
                <c:pt idx="81">
                  <c:v>20130323</c:v>
                </c:pt>
                <c:pt idx="82">
                  <c:v>20130324</c:v>
                </c:pt>
                <c:pt idx="83">
                  <c:v>20130325</c:v>
                </c:pt>
                <c:pt idx="84">
                  <c:v>20130326</c:v>
                </c:pt>
                <c:pt idx="85">
                  <c:v>20130327</c:v>
                </c:pt>
                <c:pt idx="86">
                  <c:v>20130328</c:v>
                </c:pt>
                <c:pt idx="87">
                  <c:v>20130329</c:v>
                </c:pt>
                <c:pt idx="88">
                  <c:v>20130330</c:v>
                </c:pt>
                <c:pt idx="89">
                  <c:v>20130331</c:v>
                </c:pt>
                <c:pt idx="90">
                  <c:v>20130401</c:v>
                </c:pt>
                <c:pt idx="91">
                  <c:v>20130402</c:v>
                </c:pt>
                <c:pt idx="92">
                  <c:v>20130403</c:v>
                </c:pt>
                <c:pt idx="93">
                  <c:v>20130404</c:v>
                </c:pt>
                <c:pt idx="94">
                  <c:v>20130405</c:v>
                </c:pt>
                <c:pt idx="95">
                  <c:v>20130406</c:v>
                </c:pt>
                <c:pt idx="96">
                  <c:v>20130407</c:v>
                </c:pt>
                <c:pt idx="97">
                  <c:v>20130408</c:v>
                </c:pt>
                <c:pt idx="98">
                  <c:v>20130409</c:v>
                </c:pt>
                <c:pt idx="99">
                  <c:v>20130410</c:v>
                </c:pt>
                <c:pt idx="100">
                  <c:v>20130411</c:v>
                </c:pt>
                <c:pt idx="101">
                  <c:v>20130412</c:v>
                </c:pt>
                <c:pt idx="102">
                  <c:v>20130413</c:v>
                </c:pt>
                <c:pt idx="103">
                  <c:v>20130414</c:v>
                </c:pt>
                <c:pt idx="104">
                  <c:v>20130415</c:v>
                </c:pt>
                <c:pt idx="105">
                  <c:v>20130416</c:v>
                </c:pt>
                <c:pt idx="106">
                  <c:v>20130417</c:v>
                </c:pt>
                <c:pt idx="107">
                  <c:v>20130418</c:v>
                </c:pt>
                <c:pt idx="108">
                  <c:v>20130419</c:v>
                </c:pt>
                <c:pt idx="109">
                  <c:v>20130420</c:v>
                </c:pt>
                <c:pt idx="110">
                  <c:v>20130421</c:v>
                </c:pt>
                <c:pt idx="111">
                  <c:v>20130422</c:v>
                </c:pt>
                <c:pt idx="112">
                  <c:v>20130423</c:v>
                </c:pt>
                <c:pt idx="113">
                  <c:v>20130424</c:v>
                </c:pt>
                <c:pt idx="114">
                  <c:v>20130425</c:v>
                </c:pt>
                <c:pt idx="115">
                  <c:v>20130426</c:v>
                </c:pt>
                <c:pt idx="116">
                  <c:v>20130427</c:v>
                </c:pt>
                <c:pt idx="117">
                  <c:v>20130428</c:v>
                </c:pt>
                <c:pt idx="118">
                  <c:v>20130429</c:v>
                </c:pt>
                <c:pt idx="119">
                  <c:v>20130430</c:v>
                </c:pt>
                <c:pt idx="120">
                  <c:v>20130501</c:v>
                </c:pt>
                <c:pt idx="121">
                  <c:v>20130502</c:v>
                </c:pt>
                <c:pt idx="122">
                  <c:v>20130503</c:v>
                </c:pt>
                <c:pt idx="123">
                  <c:v>20130504</c:v>
                </c:pt>
                <c:pt idx="124">
                  <c:v>20130505</c:v>
                </c:pt>
                <c:pt idx="125">
                  <c:v>20130506</c:v>
                </c:pt>
                <c:pt idx="126">
                  <c:v>20130507</c:v>
                </c:pt>
                <c:pt idx="127">
                  <c:v>20130508</c:v>
                </c:pt>
                <c:pt idx="128">
                  <c:v>20130509</c:v>
                </c:pt>
                <c:pt idx="129">
                  <c:v>20130510</c:v>
                </c:pt>
                <c:pt idx="130">
                  <c:v>20130511</c:v>
                </c:pt>
                <c:pt idx="131">
                  <c:v>20130512</c:v>
                </c:pt>
                <c:pt idx="132">
                  <c:v>20130513</c:v>
                </c:pt>
                <c:pt idx="133">
                  <c:v>20130514</c:v>
                </c:pt>
                <c:pt idx="134">
                  <c:v>20130515</c:v>
                </c:pt>
                <c:pt idx="135">
                  <c:v>20130516</c:v>
                </c:pt>
                <c:pt idx="136">
                  <c:v>20130517</c:v>
                </c:pt>
                <c:pt idx="137">
                  <c:v>20130518</c:v>
                </c:pt>
                <c:pt idx="138">
                  <c:v>20130519</c:v>
                </c:pt>
                <c:pt idx="139">
                  <c:v>20130520</c:v>
                </c:pt>
                <c:pt idx="140">
                  <c:v>20130521</c:v>
                </c:pt>
                <c:pt idx="141">
                  <c:v>20130522</c:v>
                </c:pt>
                <c:pt idx="142">
                  <c:v>20130523</c:v>
                </c:pt>
                <c:pt idx="143">
                  <c:v>20130524</c:v>
                </c:pt>
                <c:pt idx="144">
                  <c:v>20130525</c:v>
                </c:pt>
                <c:pt idx="145">
                  <c:v>20130526</c:v>
                </c:pt>
                <c:pt idx="146">
                  <c:v>20130527</c:v>
                </c:pt>
                <c:pt idx="147">
                  <c:v>20130528</c:v>
                </c:pt>
                <c:pt idx="148">
                  <c:v>20130529</c:v>
                </c:pt>
                <c:pt idx="149">
                  <c:v>20130530</c:v>
                </c:pt>
                <c:pt idx="150">
                  <c:v>20130531</c:v>
                </c:pt>
                <c:pt idx="151">
                  <c:v>20130601</c:v>
                </c:pt>
                <c:pt idx="152">
                  <c:v>20130602</c:v>
                </c:pt>
                <c:pt idx="153">
                  <c:v>20130603</c:v>
                </c:pt>
                <c:pt idx="154">
                  <c:v>20130604</c:v>
                </c:pt>
                <c:pt idx="155">
                  <c:v>20130605</c:v>
                </c:pt>
                <c:pt idx="156">
                  <c:v>20130606</c:v>
                </c:pt>
                <c:pt idx="157">
                  <c:v>20130607</c:v>
                </c:pt>
                <c:pt idx="158">
                  <c:v>20130608</c:v>
                </c:pt>
                <c:pt idx="159">
                  <c:v>20130609</c:v>
                </c:pt>
                <c:pt idx="160">
                  <c:v>20130610</c:v>
                </c:pt>
                <c:pt idx="161">
                  <c:v>20130611</c:v>
                </c:pt>
                <c:pt idx="162">
                  <c:v>20130612</c:v>
                </c:pt>
                <c:pt idx="163">
                  <c:v>20130613</c:v>
                </c:pt>
                <c:pt idx="164">
                  <c:v>20130614</c:v>
                </c:pt>
                <c:pt idx="165">
                  <c:v>20130615</c:v>
                </c:pt>
                <c:pt idx="166">
                  <c:v>20130616</c:v>
                </c:pt>
                <c:pt idx="167">
                  <c:v>20130617</c:v>
                </c:pt>
                <c:pt idx="168">
                  <c:v>20130618</c:v>
                </c:pt>
                <c:pt idx="169">
                  <c:v>20130619</c:v>
                </c:pt>
                <c:pt idx="170">
                  <c:v>20130620</c:v>
                </c:pt>
                <c:pt idx="171">
                  <c:v>20130621</c:v>
                </c:pt>
                <c:pt idx="172">
                  <c:v>20130622</c:v>
                </c:pt>
                <c:pt idx="173">
                  <c:v>20130623</c:v>
                </c:pt>
                <c:pt idx="174">
                  <c:v>20130624</c:v>
                </c:pt>
                <c:pt idx="175">
                  <c:v>20130625</c:v>
                </c:pt>
                <c:pt idx="176">
                  <c:v>20130626</c:v>
                </c:pt>
                <c:pt idx="177">
                  <c:v>20130627</c:v>
                </c:pt>
                <c:pt idx="178">
                  <c:v>20130628</c:v>
                </c:pt>
                <c:pt idx="179">
                  <c:v>20130629</c:v>
                </c:pt>
                <c:pt idx="180">
                  <c:v>20130630</c:v>
                </c:pt>
                <c:pt idx="181">
                  <c:v>20130701</c:v>
                </c:pt>
                <c:pt idx="182">
                  <c:v>20130702</c:v>
                </c:pt>
                <c:pt idx="183">
                  <c:v>20130703</c:v>
                </c:pt>
                <c:pt idx="184">
                  <c:v>20130704</c:v>
                </c:pt>
                <c:pt idx="185">
                  <c:v>20130705</c:v>
                </c:pt>
                <c:pt idx="186">
                  <c:v>20130706</c:v>
                </c:pt>
                <c:pt idx="187">
                  <c:v>20130707</c:v>
                </c:pt>
                <c:pt idx="188">
                  <c:v>20130708</c:v>
                </c:pt>
                <c:pt idx="189">
                  <c:v>20130709</c:v>
                </c:pt>
                <c:pt idx="190">
                  <c:v>20130710</c:v>
                </c:pt>
                <c:pt idx="191">
                  <c:v>20130711</c:v>
                </c:pt>
                <c:pt idx="192">
                  <c:v>20130712</c:v>
                </c:pt>
                <c:pt idx="193">
                  <c:v>20130713</c:v>
                </c:pt>
                <c:pt idx="194">
                  <c:v>20130714</c:v>
                </c:pt>
                <c:pt idx="195">
                  <c:v>20130715</c:v>
                </c:pt>
                <c:pt idx="196">
                  <c:v>20130716</c:v>
                </c:pt>
                <c:pt idx="197">
                  <c:v>20130717</c:v>
                </c:pt>
                <c:pt idx="198">
                  <c:v>20130718</c:v>
                </c:pt>
                <c:pt idx="199">
                  <c:v>20130719</c:v>
                </c:pt>
                <c:pt idx="200">
                  <c:v>20130720</c:v>
                </c:pt>
                <c:pt idx="201">
                  <c:v>20130721</c:v>
                </c:pt>
                <c:pt idx="202">
                  <c:v>20130722</c:v>
                </c:pt>
                <c:pt idx="203">
                  <c:v>20130723</c:v>
                </c:pt>
                <c:pt idx="204">
                  <c:v>20130724</c:v>
                </c:pt>
                <c:pt idx="205">
                  <c:v>20130725</c:v>
                </c:pt>
                <c:pt idx="206">
                  <c:v>20130726</c:v>
                </c:pt>
                <c:pt idx="207">
                  <c:v>20130727</c:v>
                </c:pt>
                <c:pt idx="208">
                  <c:v>20130728</c:v>
                </c:pt>
                <c:pt idx="209">
                  <c:v>20130729</c:v>
                </c:pt>
                <c:pt idx="210">
                  <c:v>20130730</c:v>
                </c:pt>
                <c:pt idx="211">
                  <c:v>20130731</c:v>
                </c:pt>
                <c:pt idx="212">
                  <c:v>20130801</c:v>
                </c:pt>
                <c:pt idx="213">
                  <c:v>20130802</c:v>
                </c:pt>
                <c:pt idx="214">
                  <c:v>20130803</c:v>
                </c:pt>
                <c:pt idx="215">
                  <c:v>20130804</c:v>
                </c:pt>
                <c:pt idx="216">
                  <c:v>20130805</c:v>
                </c:pt>
                <c:pt idx="217">
                  <c:v>20130806</c:v>
                </c:pt>
                <c:pt idx="218">
                  <c:v>20130807</c:v>
                </c:pt>
                <c:pt idx="219">
                  <c:v>20130808</c:v>
                </c:pt>
                <c:pt idx="220">
                  <c:v>20130809</c:v>
                </c:pt>
                <c:pt idx="221">
                  <c:v>20130810</c:v>
                </c:pt>
                <c:pt idx="222">
                  <c:v>20130811</c:v>
                </c:pt>
                <c:pt idx="223">
                  <c:v>20130812</c:v>
                </c:pt>
                <c:pt idx="224">
                  <c:v>20130813</c:v>
                </c:pt>
                <c:pt idx="225">
                  <c:v>20130814</c:v>
                </c:pt>
                <c:pt idx="226">
                  <c:v>20130815</c:v>
                </c:pt>
                <c:pt idx="227">
                  <c:v>20130816</c:v>
                </c:pt>
                <c:pt idx="228">
                  <c:v>20130817</c:v>
                </c:pt>
                <c:pt idx="229">
                  <c:v>20130818</c:v>
                </c:pt>
                <c:pt idx="230">
                  <c:v>20130819</c:v>
                </c:pt>
                <c:pt idx="231">
                  <c:v>20130820</c:v>
                </c:pt>
                <c:pt idx="232">
                  <c:v>20130821</c:v>
                </c:pt>
                <c:pt idx="233">
                  <c:v>20130822</c:v>
                </c:pt>
                <c:pt idx="234">
                  <c:v>20130823</c:v>
                </c:pt>
                <c:pt idx="235">
                  <c:v>20130824</c:v>
                </c:pt>
                <c:pt idx="236">
                  <c:v>20130825</c:v>
                </c:pt>
                <c:pt idx="237">
                  <c:v>20130826</c:v>
                </c:pt>
                <c:pt idx="238">
                  <c:v>20130827</c:v>
                </c:pt>
                <c:pt idx="239">
                  <c:v>20130828</c:v>
                </c:pt>
                <c:pt idx="240">
                  <c:v>20130829</c:v>
                </c:pt>
                <c:pt idx="241">
                  <c:v>20130830</c:v>
                </c:pt>
                <c:pt idx="242">
                  <c:v>20130831</c:v>
                </c:pt>
                <c:pt idx="243">
                  <c:v>20130901</c:v>
                </c:pt>
                <c:pt idx="244">
                  <c:v>20130902</c:v>
                </c:pt>
                <c:pt idx="245">
                  <c:v>20130903</c:v>
                </c:pt>
                <c:pt idx="246">
                  <c:v>20130904</c:v>
                </c:pt>
                <c:pt idx="247">
                  <c:v>20130905</c:v>
                </c:pt>
                <c:pt idx="248">
                  <c:v>20130906</c:v>
                </c:pt>
                <c:pt idx="249">
                  <c:v>20130907</c:v>
                </c:pt>
                <c:pt idx="250">
                  <c:v>20130908</c:v>
                </c:pt>
                <c:pt idx="251">
                  <c:v>20130909</c:v>
                </c:pt>
                <c:pt idx="252">
                  <c:v>20130910</c:v>
                </c:pt>
                <c:pt idx="253">
                  <c:v>20130911</c:v>
                </c:pt>
                <c:pt idx="254">
                  <c:v>20130912</c:v>
                </c:pt>
                <c:pt idx="255">
                  <c:v>20130913</c:v>
                </c:pt>
                <c:pt idx="256">
                  <c:v>20130914</c:v>
                </c:pt>
                <c:pt idx="257">
                  <c:v>20130915</c:v>
                </c:pt>
                <c:pt idx="258">
                  <c:v>20130916</c:v>
                </c:pt>
                <c:pt idx="259">
                  <c:v>20130917</c:v>
                </c:pt>
                <c:pt idx="260">
                  <c:v>20130918</c:v>
                </c:pt>
                <c:pt idx="261">
                  <c:v>20130919</c:v>
                </c:pt>
                <c:pt idx="262">
                  <c:v>20130920</c:v>
                </c:pt>
                <c:pt idx="263">
                  <c:v>20130921</c:v>
                </c:pt>
                <c:pt idx="264">
                  <c:v>20130922</c:v>
                </c:pt>
                <c:pt idx="265">
                  <c:v>20130923</c:v>
                </c:pt>
                <c:pt idx="266">
                  <c:v>20130924</c:v>
                </c:pt>
                <c:pt idx="267">
                  <c:v>20130925</c:v>
                </c:pt>
                <c:pt idx="268">
                  <c:v>20130926</c:v>
                </c:pt>
                <c:pt idx="269">
                  <c:v>20130927</c:v>
                </c:pt>
                <c:pt idx="270">
                  <c:v>20130928</c:v>
                </c:pt>
                <c:pt idx="271">
                  <c:v>20130929</c:v>
                </c:pt>
                <c:pt idx="272">
                  <c:v>20130930</c:v>
                </c:pt>
                <c:pt idx="273">
                  <c:v>20131001</c:v>
                </c:pt>
                <c:pt idx="274">
                  <c:v>20131002</c:v>
                </c:pt>
                <c:pt idx="275">
                  <c:v>20131003</c:v>
                </c:pt>
                <c:pt idx="276">
                  <c:v>20131004</c:v>
                </c:pt>
                <c:pt idx="277">
                  <c:v>20131005</c:v>
                </c:pt>
                <c:pt idx="278">
                  <c:v>20131006</c:v>
                </c:pt>
                <c:pt idx="279">
                  <c:v>20131007</c:v>
                </c:pt>
                <c:pt idx="280">
                  <c:v>20131008</c:v>
                </c:pt>
                <c:pt idx="281">
                  <c:v>20131009</c:v>
                </c:pt>
                <c:pt idx="282">
                  <c:v>20131010</c:v>
                </c:pt>
                <c:pt idx="283">
                  <c:v>20131011</c:v>
                </c:pt>
                <c:pt idx="284">
                  <c:v>20131012</c:v>
                </c:pt>
                <c:pt idx="285">
                  <c:v>20131013</c:v>
                </c:pt>
                <c:pt idx="286">
                  <c:v>20131014</c:v>
                </c:pt>
                <c:pt idx="287">
                  <c:v>20131015</c:v>
                </c:pt>
                <c:pt idx="288">
                  <c:v>20131016</c:v>
                </c:pt>
                <c:pt idx="289">
                  <c:v>20131017</c:v>
                </c:pt>
                <c:pt idx="290">
                  <c:v>20131018</c:v>
                </c:pt>
                <c:pt idx="291">
                  <c:v>20131019</c:v>
                </c:pt>
                <c:pt idx="292">
                  <c:v>20131020</c:v>
                </c:pt>
                <c:pt idx="293">
                  <c:v>20131021</c:v>
                </c:pt>
                <c:pt idx="294">
                  <c:v>20131022</c:v>
                </c:pt>
                <c:pt idx="295">
                  <c:v>20131023</c:v>
                </c:pt>
                <c:pt idx="296">
                  <c:v>20131024</c:v>
                </c:pt>
                <c:pt idx="297">
                  <c:v>20131025</c:v>
                </c:pt>
                <c:pt idx="298">
                  <c:v>20131026</c:v>
                </c:pt>
                <c:pt idx="299">
                  <c:v>20131027</c:v>
                </c:pt>
                <c:pt idx="300">
                  <c:v>20131028</c:v>
                </c:pt>
                <c:pt idx="301">
                  <c:v>20131029</c:v>
                </c:pt>
                <c:pt idx="302">
                  <c:v>20131030</c:v>
                </c:pt>
                <c:pt idx="303">
                  <c:v>20131031</c:v>
                </c:pt>
                <c:pt idx="304">
                  <c:v>20131101</c:v>
                </c:pt>
                <c:pt idx="305">
                  <c:v>20131102</c:v>
                </c:pt>
                <c:pt idx="306">
                  <c:v>20131103</c:v>
                </c:pt>
                <c:pt idx="307">
                  <c:v>20131104</c:v>
                </c:pt>
                <c:pt idx="308">
                  <c:v>20131105</c:v>
                </c:pt>
                <c:pt idx="309">
                  <c:v>20131106</c:v>
                </c:pt>
                <c:pt idx="310">
                  <c:v>20131107</c:v>
                </c:pt>
                <c:pt idx="311">
                  <c:v>20131108</c:v>
                </c:pt>
                <c:pt idx="312">
                  <c:v>20131109</c:v>
                </c:pt>
                <c:pt idx="313">
                  <c:v>20131110</c:v>
                </c:pt>
                <c:pt idx="314">
                  <c:v>20131111</c:v>
                </c:pt>
                <c:pt idx="315">
                  <c:v>20131112</c:v>
                </c:pt>
                <c:pt idx="316">
                  <c:v>20131113</c:v>
                </c:pt>
                <c:pt idx="317">
                  <c:v>20131114</c:v>
                </c:pt>
                <c:pt idx="318">
                  <c:v>20131115</c:v>
                </c:pt>
                <c:pt idx="319">
                  <c:v>20131116</c:v>
                </c:pt>
                <c:pt idx="320">
                  <c:v>20131117</c:v>
                </c:pt>
                <c:pt idx="321">
                  <c:v>20131118</c:v>
                </c:pt>
                <c:pt idx="322">
                  <c:v>20131119</c:v>
                </c:pt>
                <c:pt idx="323">
                  <c:v>20131120</c:v>
                </c:pt>
                <c:pt idx="324">
                  <c:v>20131121</c:v>
                </c:pt>
                <c:pt idx="325">
                  <c:v>20131122</c:v>
                </c:pt>
                <c:pt idx="326">
                  <c:v>20131123</c:v>
                </c:pt>
                <c:pt idx="327">
                  <c:v>20131124</c:v>
                </c:pt>
                <c:pt idx="328">
                  <c:v>20131125</c:v>
                </c:pt>
                <c:pt idx="329">
                  <c:v>20131126</c:v>
                </c:pt>
                <c:pt idx="330">
                  <c:v>20131127</c:v>
                </c:pt>
                <c:pt idx="331">
                  <c:v>20131128</c:v>
                </c:pt>
                <c:pt idx="332">
                  <c:v>20131129</c:v>
                </c:pt>
                <c:pt idx="333">
                  <c:v>20131130</c:v>
                </c:pt>
                <c:pt idx="334">
                  <c:v>20131201</c:v>
                </c:pt>
                <c:pt idx="335">
                  <c:v>20131202</c:v>
                </c:pt>
                <c:pt idx="336">
                  <c:v>20131203</c:v>
                </c:pt>
                <c:pt idx="337">
                  <c:v>20131204</c:v>
                </c:pt>
                <c:pt idx="338">
                  <c:v>20131205</c:v>
                </c:pt>
                <c:pt idx="339">
                  <c:v>20131206</c:v>
                </c:pt>
                <c:pt idx="340">
                  <c:v>20131207</c:v>
                </c:pt>
                <c:pt idx="341">
                  <c:v>20131208</c:v>
                </c:pt>
                <c:pt idx="342">
                  <c:v>20131209</c:v>
                </c:pt>
                <c:pt idx="343">
                  <c:v>20131210</c:v>
                </c:pt>
                <c:pt idx="344">
                  <c:v>20131211</c:v>
                </c:pt>
                <c:pt idx="345">
                  <c:v>20131212</c:v>
                </c:pt>
                <c:pt idx="346">
                  <c:v>20131213</c:v>
                </c:pt>
                <c:pt idx="347">
                  <c:v>20131214</c:v>
                </c:pt>
                <c:pt idx="348">
                  <c:v>20131215</c:v>
                </c:pt>
                <c:pt idx="349">
                  <c:v>20131216</c:v>
                </c:pt>
                <c:pt idx="350">
                  <c:v>20131217</c:v>
                </c:pt>
                <c:pt idx="351">
                  <c:v>20131218</c:v>
                </c:pt>
                <c:pt idx="352">
                  <c:v>20131219</c:v>
                </c:pt>
                <c:pt idx="353">
                  <c:v>20131220</c:v>
                </c:pt>
                <c:pt idx="354">
                  <c:v>20131221</c:v>
                </c:pt>
                <c:pt idx="355">
                  <c:v>20131222</c:v>
                </c:pt>
                <c:pt idx="356">
                  <c:v>20131223</c:v>
                </c:pt>
                <c:pt idx="357">
                  <c:v>20131224</c:v>
                </c:pt>
                <c:pt idx="358">
                  <c:v>20131225</c:v>
                </c:pt>
                <c:pt idx="359">
                  <c:v>20131226</c:v>
                </c:pt>
                <c:pt idx="360">
                  <c:v>20131227</c:v>
                </c:pt>
                <c:pt idx="361">
                  <c:v>20131228</c:v>
                </c:pt>
                <c:pt idx="362">
                  <c:v>20131229</c:v>
                </c:pt>
                <c:pt idx="363">
                  <c:v>20131230</c:v>
                </c:pt>
                <c:pt idx="364">
                  <c:v>20131231</c:v>
                </c:pt>
              </c:numCache>
            </c:numRef>
          </c:cat>
          <c:val>
            <c:numRef>
              <c:f>Sheet1!$C$2:$C$366</c:f>
              <c:numCache>
                <c:formatCode>General</c:formatCode>
                <c:ptCount val="365"/>
              </c:numCache>
            </c:numRef>
          </c:val>
          <c:smooth val="0"/>
          <c:extLst>
            <c:ext xmlns:c16="http://schemas.microsoft.com/office/drawing/2014/chart" uri="{C3380CC4-5D6E-409C-BE32-E72D297353CC}">
              <c16:uniqueId val="{00000001-F977-409D-961B-2F3656AE3B65}"/>
            </c:ext>
          </c:extLst>
        </c:ser>
        <c:ser>
          <c:idx val="2"/>
          <c:order val="2"/>
          <c:tx>
            <c:strRef>
              <c:f>Sheet1!$D$1</c:f>
              <c:strCache>
                <c:ptCount val="1"/>
                <c:pt idx="0">
                  <c:v>BR4</c:v>
                </c:pt>
              </c:strCache>
            </c:strRef>
          </c:tx>
          <c:spPr>
            <a:ln w="12700" cap="rnd">
              <a:solidFill>
                <a:schemeClr val="accent3"/>
              </a:solidFill>
              <a:round/>
            </a:ln>
            <a:effectLst/>
          </c:spPr>
          <c:marker>
            <c:symbol val="none"/>
          </c:marker>
          <c:cat>
            <c:numRef>
              <c:f>Sheet1!$A$2:$A$366</c:f>
              <c:numCache>
                <c:formatCode>General</c:formatCode>
                <c:ptCount val="365"/>
                <c:pt idx="0">
                  <c:v>20130101</c:v>
                </c:pt>
                <c:pt idx="1">
                  <c:v>20130102</c:v>
                </c:pt>
                <c:pt idx="2">
                  <c:v>20130103</c:v>
                </c:pt>
                <c:pt idx="3">
                  <c:v>20130104</c:v>
                </c:pt>
                <c:pt idx="4">
                  <c:v>20130105</c:v>
                </c:pt>
                <c:pt idx="5">
                  <c:v>20130106</c:v>
                </c:pt>
                <c:pt idx="6">
                  <c:v>20130107</c:v>
                </c:pt>
                <c:pt idx="7">
                  <c:v>20130108</c:v>
                </c:pt>
                <c:pt idx="8">
                  <c:v>20130109</c:v>
                </c:pt>
                <c:pt idx="9">
                  <c:v>20130110</c:v>
                </c:pt>
                <c:pt idx="10">
                  <c:v>20130111</c:v>
                </c:pt>
                <c:pt idx="11">
                  <c:v>20130112</c:v>
                </c:pt>
                <c:pt idx="12">
                  <c:v>20130113</c:v>
                </c:pt>
                <c:pt idx="13">
                  <c:v>20130114</c:v>
                </c:pt>
                <c:pt idx="14">
                  <c:v>20130115</c:v>
                </c:pt>
                <c:pt idx="15">
                  <c:v>20130116</c:v>
                </c:pt>
                <c:pt idx="16">
                  <c:v>20130117</c:v>
                </c:pt>
                <c:pt idx="17">
                  <c:v>20130118</c:v>
                </c:pt>
                <c:pt idx="18">
                  <c:v>20130119</c:v>
                </c:pt>
                <c:pt idx="19">
                  <c:v>20130120</c:v>
                </c:pt>
                <c:pt idx="20">
                  <c:v>20130121</c:v>
                </c:pt>
                <c:pt idx="21">
                  <c:v>20130122</c:v>
                </c:pt>
                <c:pt idx="22">
                  <c:v>20130123</c:v>
                </c:pt>
                <c:pt idx="23">
                  <c:v>20130124</c:v>
                </c:pt>
                <c:pt idx="24">
                  <c:v>20130125</c:v>
                </c:pt>
                <c:pt idx="25">
                  <c:v>20130126</c:v>
                </c:pt>
                <c:pt idx="26">
                  <c:v>20130127</c:v>
                </c:pt>
                <c:pt idx="27">
                  <c:v>20130128</c:v>
                </c:pt>
                <c:pt idx="28">
                  <c:v>20130129</c:v>
                </c:pt>
                <c:pt idx="29">
                  <c:v>20130130</c:v>
                </c:pt>
                <c:pt idx="30">
                  <c:v>20130131</c:v>
                </c:pt>
                <c:pt idx="31">
                  <c:v>20130201</c:v>
                </c:pt>
                <c:pt idx="32">
                  <c:v>20130202</c:v>
                </c:pt>
                <c:pt idx="33">
                  <c:v>20130203</c:v>
                </c:pt>
                <c:pt idx="34">
                  <c:v>20130204</c:v>
                </c:pt>
                <c:pt idx="35">
                  <c:v>20130205</c:v>
                </c:pt>
                <c:pt idx="36">
                  <c:v>20130206</c:v>
                </c:pt>
                <c:pt idx="37">
                  <c:v>20130207</c:v>
                </c:pt>
                <c:pt idx="38">
                  <c:v>20130208</c:v>
                </c:pt>
                <c:pt idx="39">
                  <c:v>20130209</c:v>
                </c:pt>
                <c:pt idx="40">
                  <c:v>20130210</c:v>
                </c:pt>
                <c:pt idx="41">
                  <c:v>20130211</c:v>
                </c:pt>
                <c:pt idx="42">
                  <c:v>20130212</c:v>
                </c:pt>
                <c:pt idx="43">
                  <c:v>20130213</c:v>
                </c:pt>
                <c:pt idx="44">
                  <c:v>20130214</c:v>
                </c:pt>
                <c:pt idx="45">
                  <c:v>20130215</c:v>
                </c:pt>
                <c:pt idx="46">
                  <c:v>20130216</c:v>
                </c:pt>
                <c:pt idx="47">
                  <c:v>20130217</c:v>
                </c:pt>
                <c:pt idx="48">
                  <c:v>20130218</c:v>
                </c:pt>
                <c:pt idx="49">
                  <c:v>20130219</c:v>
                </c:pt>
                <c:pt idx="50">
                  <c:v>20130220</c:v>
                </c:pt>
                <c:pt idx="51">
                  <c:v>20130221</c:v>
                </c:pt>
                <c:pt idx="52">
                  <c:v>20130222</c:v>
                </c:pt>
                <c:pt idx="53">
                  <c:v>20130223</c:v>
                </c:pt>
                <c:pt idx="54">
                  <c:v>20130224</c:v>
                </c:pt>
                <c:pt idx="55">
                  <c:v>20130225</c:v>
                </c:pt>
                <c:pt idx="56">
                  <c:v>20130226</c:v>
                </c:pt>
                <c:pt idx="57">
                  <c:v>20130227</c:v>
                </c:pt>
                <c:pt idx="58">
                  <c:v>20130228</c:v>
                </c:pt>
                <c:pt idx="59">
                  <c:v>20130301</c:v>
                </c:pt>
                <c:pt idx="60">
                  <c:v>20130302</c:v>
                </c:pt>
                <c:pt idx="61">
                  <c:v>20130303</c:v>
                </c:pt>
                <c:pt idx="62">
                  <c:v>20130304</c:v>
                </c:pt>
                <c:pt idx="63">
                  <c:v>20130305</c:v>
                </c:pt>
                <c:pt idx="64">
                  <c:v>20130306</c:v>
                </c:pt>
                <c:pt idx="65">
                  <c:v>20130307</c:v>
                </c:pt>
                <c:pt idx="66">
                  <c:v>20130308</c:v>
                </c:pt>
                <c:pt idx="67">
                  <c:v>20130309</c:v>
                </c:pt>
                <c:pt idx="68">
                  <c:v>20130310</c:v>
                </c:pt>
                <c:pt idx="69">
                  <c:v>20130311</c:v>
                </c:pt>
                <c:pt idx="70">
                  <c:v>20130312</c:v>
                </c:pt>
                <c:pt idx="71">
                  <c:v>20130313</c:v>
                </c:pt>
                <c:pt idx="72">
                  <c:v>20130314</c:v>
                </c:pt>
                <c:pt idx="73">
                  <c:v>20130315</c:v>
                </c:pt>
                <c:pt idx="74">
                  <c:v>20130316</c:v>
                </c:pt>
                <c:pt idx="75">
                  <c:v>20130317</c:v>
                </c:pt>
                <c:pt idx="76">
                  <c:v>20130318</c:v>
                </c:pt>
                <c:pt idx="77">
                  <c:v>20130319</c:v>
                </c:pt>
                <c:pt idx="78">
                  <c:v>20130320</c:v>
                </c:pt>
                <c:pt idx="79">
                  <c:v>20130321</c:v>
                </c:pt>
                <c:pt idx="80">
                  <c:v>20130322</c:v>
                </c:pt>
                <c:pt idx="81">
                  <c:v>20130323</c:v>
                </c:pt>
                <c:pt idx="82">
                  <c:v>20130324</c:v>
                </c:pt>
                <c:pt idx="83">
                  <c:v>20130325</c:v>
                </c:pt>
                <c:pt idx="84">
                  <c:v>20130326</c:v>
                </c:pt>
                <c:pt idx="85">
                  <c:v>20130327</c:v>
                </c:pt>
                <c:pt idx="86">
                  <c:v>20130328</c:v>
                </c:pt>
                <c:pt idx="87">
                  <c:v>20130329</c:v>
                </c:pt>
                <c:pt idx="88">
                  <c:v>20130330</c:v>
                </c:pt>
                <c:pt idx="89">
                  <c:v>20130331</c:v>
                </c:pt>
                <c:pt idx="90">
                  <c:v>20130401</c:v>
                </c:pt>
                <c:pt idx="91">
                  <c:v>20130402</c:v>
                </c:pt>
                <c:pt idx="92">
                  <c:v>20130403</c:v>
                </c:pt>
                <c:pt idx="93">
                  <c:v>20130404</c:v>
                </c:pt>
                <c:pt idx="94">
                  <c:v>20130405</c:v>
                </c:pt>
                <c:pt idx="95">
                  <c:v>20130406</c:v>
                </c:pt>
                <c:pt idx="96">
                  <c:v>20130407</c:v>
                </c:pt>
                <c:pt idx="97">
                  <c:v>20130408</c:v>
                </c:pt>
                <c:pt idx="98">
                  <c:v>20130409</c:v>
                </c:pt>
                <c:pt idx="99">
                  <c:v>20130410</c:v>
                </c:pt>
                <c:pt idx="100">
                  <c:v>20130411</c:v>
                </c:pt>
                <c:pt idx="101">
                  <c:v>20130412</c:v>
                </c:pt>
                <c:pt idx="102">
                  <c:v>20130413</c:v>
                </c:pt>
                <c:pt idx="103">
                  <c:v>20130414</c:v>
                </c:pt>
                <c:pt idx="104">
                  <c:v>20130415</c:v>
                </c:pt>
                <c:pt idx="105">
                  <c:v>20130416</c:v>
                </c:pt>
                <c:pt idx="106">
                  <c:v>20130417</c:v>
                </c:pt>
                <c:pt idx="107">
                  <c:v>20130418</c:v>
                </c:pt>
                <c:pt idx="108">
                  <c:v>20130419</c:v>
                </c:pt>
                <c:pt idx="109">
                  <c:v>20130420</c:v>
                </c:pt>
                <c:pt idx="110">
                  <c:v>20130421</c:v>
                </c:pt>
                <c:pt idx="111">
                  <c:v>20130422</c:v>
                </c:pt>
                <c:pt idx="112">
                  <c:v>20130423</c:v>
                </c:pt>
                <c:pt idx="113">
                  <c:v>20130424</c:v>
                </c:pt>
                <c:pt idx="114">
                  <c:v>20130425</c:v>
                </c:pt>
                <c:pt idx="115">
                  <c:v>20130426</c:v>
                </c:pt>
                <c:pt idx="116">
                  <c:v>20130427</c:v>
                </c:pt>
                <c:pt idx="117">
                  <c:v>20130428</c:v>
                </c:pt>
                <c:pt idx="118">
                  <c:v>20130429</c:v>
                </c:pt>
                <c:pt idx="119">
                  <c:v>20130430</c:v>
                </c:pt>
                <c:pt idx="120">
                  <c:v>20130501</c:v>
                </c:pt>
                <c:pt idx="121">
                  <c:v>20130502</c:v>
                </c:pt>
                <c:pt idx="122">
                  <c:v>20130503</c:v>
                </c:pt>
                <c:pt idx="123">
                  <c:v>20130504</c:v>
                </c:pt>
                <c:pt idx="124">
                  <c:v>20130505</c:v>
                </c:pt>
                <c:pt idx="125">
                  <c:v>20130506</c:v>
                </c:pt>
                <c:pt idx="126">
                  <c:v>20130507</c:v>
                </c:pt>
                <c:pt idx="127">
                  <c:v>20130508</c:v>
                </c:pt>
                <c:pt idx="128">
                  <c:v>20130509</c:v>
                </c:pt>
                <c:pt idx="129">
                  <c:v>20130510</c:v>
                </c:pt>
                <c:pt idx="130">
                  <c:v>20130511</c:v>
                </c:pt>
                <c:pt idx="131">
                  <c:v>20130512</c:v>
                </c:pt>
                <c:pt idx="132">
                  <c:v>20130513</c:v>
                </c:pt>
                <c:pt idx="133">
                  <c:v>20130514</c:v>
                </c:pt>
                <c:pt idx="134">
                  <c:v>20130515</c:v>
                </c:pt>
                <c:pt idx="135">
                  <c:v>20130516</c:v>
                </c:pt>
                <c:pt idx="136">
                  <c:v>20130517</c:v>
                </c:pt>
                <c:pt idx="137">
                  <c:v>20130518</c:v>
                </c:pt>
                <c:pt idx="138">
                  <c:v>20130519</c:v>
                </c:pt>
                <c:pt idx="139">
                  <c:v>20130520</c:v>
                </c:pt>
                <c:pt idx="140">
                  <c:v>20130521</c:v>
                </c:pt>
                <c:pt idx="141">
                  <c:v>20130522</c:v>
                </c:pt>
                <c:pt idx="142">
                  <c:v>20130523</c:v>
                </c:pt>
                <c:pt idx="143">
                  <c:v>20130524</c:v>
                </c:pt>
                <c:pt idx="144">
                  <c:v>20130525</c:v>
                </c:pt>
                <c:pt idx="145">
                  <c:v>20130526</c:v>
                </c:pt>
                <c:pt idx="146">
                  <c:v>20130527</c:v>
                </c:pt>
                <c:pt idx="147">
                  <c:v>20130528</c:v>
                </c:pt>
                <c:pt idx="148">
                  <c:v>20130529</c:v>
                </c:pt>
                <c:pt idx="149">
                  <c:v>20130530</c:v>
                </c:pt>
                <c:pt idx="150">
                  <c:v>20130531</c:v>
                </c:pt>
                <c:pt idx="151">
                  <c:v>20130601</c:v>
                </c:pt>
                <c:pt idx="152">
                  <c:v>20130602</c:v>
                </c:pt>
                <c:pt idx="153">
                  <c:v>20130603</c:v>
                </c:pt>
                <c:pt idx="154">
                  <c:v>20130604</c:v>
                </c:pt>
                <c:pt idx="155">
                  <c:v>20130605</c:v>
                </c:pt>
                <c:pt idx="156">
                  <c:v>20130606</c:v>
                </c:pt>
                <c:pt idx="157">
                  <c:v>20130607</c:v>
                </c:pt>
                <c:pt idx="158">
                  <c:v>20130608</c:v>
                </c:pt>
                <c:pt idx="159">
                  <c:v>20130609</c:v>
                </c:pt>
                <c:pt idx="160">
                  <c:v>20130610</c:v>
                </c:pt>
                <c:pt idx="161">
                  <c:v>20130611</c:v>
                </c:pt>
                <c:pt idx="162">
                  <c:v>20130612</c:v>
                </c:pt>
                <c:pt idx="163">
                  <c:v>20130613</c:v>
                </c:pt>
                <c:pt idx="164">
                  <c:v>20130614</c:v>
                </c:pt>
                <c:pt idx="165">
                  <c:v>20130615</c:v>
                </c:pt>
                <c:pt idx="166">
                  <c:v>20130616</c:v>
                </c:pt>
                <c:pt idx="167">
                  <c:v>20130617</c:v>
                </c:pt>
                <c:pt idx="168">
                  <c:v>20130618</c:v>
                </c:pt>
                <c:pt idx="169">
                  <c:v>20130619</c:v>
                </c:pt>
                <c:pt idx="170">
                  <c:v>20130620</c:v>
                </c:pt>
                <c:pt idx="171">
                  <c:v>20130621</c:v>
                </c:pt>
                <c:pt idx="172">
                  <c:v>20130622</c:v>
                </c:pt>
                <c:pt idx="173">
                  <c:v>20130623</c:v>
                </c:pt>
                <c:pt idx="174">
                  <c:v>20130624</c:v>
                </c:pt>
                <c:pt idx="175">
                  <c:v>20130625</c:v>
                </c:pt>
                <c:pt idx="176">
                  <c:v>20130626</c:v>
                </c:pt>
                <c:pt idx="177">
                  <c:v>20130627</c:v>
                </c:pt>
                <c:pt idx="178">
                  <c:v>20130628</c:v>
                </c:pt>
                <c:pt idx="179">
                  <c:v>20130629</c:v>
                </c:pt>
                <c:pt idx="180">
                  <c:v>20130630</c:v>
                </c:pt>
                <c:pt idx="181">
                  <c:v>20130701</c:v>
                </c:pt>
                <c:pt idx="182">
                  <c:v>20130702</c:v>
                </c:pt>
                <c:pt idx="183">
                  <c:v>20130703</c:v>
                </c:pt>
                <c:pt idx="184">
                  <c:v>20130704</c:v>
                </c:pt>
                <c:pt idx="185">
                  <c:v>20130705</c:v>
                </c:pt>
                <c:pt idx="186">
                  <c:v>20130706</c:v>
                </c:pt>
                <c:pt idx="187">
                  <c:v>20130707</c:v>
                </c:pt>
                <c:pt idx="188">
                  <c:v>20130708</c:v>
                </c:pt>
                <c:pt idx="189">
                  <c:v>20130709</c:v>
                </c:pt>
                <c:pt idx="190">
                  <c:v>20130710</c:v>
                </c:pt>
                <c:pt idx="191">
                  <c:v>20130711</c:v>
                </c:pt>
                <c:pt idx="192">
                  <c:v>20130712</c:v>
                </c:pt>
                <c:pt idx="193">
                  <c:v>20130713</c:v>
                </c:pt>
                <c:pt idx="194">
                  <c:v>20130714</c:v>
                </c:pt>
                <c:pt idx="195">
                  <c:v>20130715</c:v>
                </c:pt>
                <c:pt idx="196">
                  <c:v>20130716</c:v>
                </c:pt>
                <c:pt idx="197">
                  <c:v>20130717</c:v>
                </c:pt>
                <c:pt idx="198">
                  <c:v>20130718</c:v>
                </c:pt>
                <c:pt idx="199">
                  <c:v>20130719</c:v>
                </c:pt>
                <c:pt idx="200">
                  <c:v>20130720</c:v>
                </c:pt>
                <c:pt idx="201">
                  <c:v>20130721</c:v>
                </c:pt>
                <c:pt idx="202">
                  <c:v>20130722</c:v>
                </c:pt>
                <c:pt idx="203">
                  <c:v>20130723</c:v>
                </c:pt>
                <c:pt idx="204">
                  <c:v>20130724</c:v>
                </c:pt>
                <c:pt idx="205">
                  <c:v>20130725</c:v>
                </c:pt>
                <c:pt idx="206">
                  <c:v>20130726</c:v>
                </c:pt>
                <c:pt idx="207">
                  <c:v>20130727</c:v>
                </c:pt>
                <c:pt idx="208">
                  <c:v>20130728</c:v>
                </c:pt>
                <c:pt idx="209">
                  <c:v>20130729</c:v>
                </c:pt>
                <c:pt idx="210">
                  <c:v>20130730</c:v>
                </c:pt>
                <c:pt idx="211">
                  <c:v>20130731</c:v>
                </c:pt>
                <c:pt idx="212">
                  <c:v>20130801</c:v>
                </c:pt>
                <c:pt idx="213">
                  <c:v>20130802</c:v>
                </c:pt>
                <c:pt idx="214">
                  <c:v>20130803</c:v>
                </c:pt>
                <c:pt idx="215">
                  <c:v>20130804</c:v>
                </c:pt>
                <c:pt idx="216">
                  <c:v>20130805</c:v>
                </c:pt>
                <c:pt idx="217">
                  <c:v>20130806</c:v>
                </c:pt>
                <c:pt idx="218">
                  <c:v>20130807</c:v>
                </c:pt>
                <c:pt idx="219">
                  <c:v>20130808</c:v>
                </c:pt>
                <c:pt idx="220">
                  <c:v>20130809</c:v>
                </c:pt>
                <c:pt idx="221">
                  <c:v>20130810</c:v>
                </c:pt>
                <c:pt idx="222">
                  <c:v>20130811</c:v>
                </c:pt>
                <c:pt idx="223">
                  <c:v>20130812</c:v>
                </c:pt>
                <c:pt idx="224">
                  <c:v>20130813</c:v>
                </c:pt>
                <c:pt idx="225">
                  <c:v>20130814</c:v>
                </c:pt>
                <c:pt idx="226">
                  <c:v>20130815</c:v>
                </c:pt>
                <c:pt idx="227">
                  <c:v>20130816</c:v>
                </c:pt>
                <c:pt idx="228">
                  <c:v>20130817</c:v>
                </c:pt>
                <c:pt idx="229">
                  <c:v>20130818</c:v>
                </c:pt>
                <c:pt idx="230">
                  <c:v>20130819</c:v>
                </c:pt>
                <c:pt idx="231">
                  <c:v>20130820</c:v>
                </c:pt>
                <c:pt idx="232">
                  <c:v>20130821</c:v>
                </c:pt>
                <c:pt idx="233">
                  <c:v>20130822</c:v>
                </c:pt>
                <c:pt idx="234">
                  <c:v>20130823</c:v>
                </c:pt>
                <c:pt idx="235">
                  <c:v>20130824</c:v>
                </c:pt>
                <c:pt idx="236">
                  <c:v>20130825</c:v>
                </c:pt>
                <c:pt idx="237">
                  <c:v>20130826</c:v>
                </c:pt>
                <c:pt idx="238">
                  <c:v>20130827</c:v>
                </c:pt>
                <c:pt idx="239">
                  <c:v>20130828</c:v>
                </c:pt>
                <c:pt idx="240">
                  <c:v>20130829</c:v>
                </c:pt>
                <c:pt idx="241">
                  <c:v>20130830</c:v>
                </c:pt>
                <c:pt idx="242">
                  <c:v>20130831</c:v>
                </c:pt>
                <c:pt idx="243">
                  <c:v>20130901</c:v>
                </c:pt>
                <c:pt idx="244">
                  <c:v>20130902</c:v>
                </c:pt>
                <c:pt idx="245">
                  <c:v>20130903</c:v>
                </c:pt>
                <c:pt idx="246">
                  <c:v>20130904</c:v>
                </c:pt>
                <c:pt idx="247">
                  <c:v>20130905</c:v>
                </c:pt>
                <c:pt idx="248">
                  <c:v>20130906</c:v>
                </c:pt>
                <c:pt idx="249">
                  <c:v>20130907</c:v>
                </c:pt>
                <c:pt idx="250">
                  <c:v>20130908</c:v>
                </c:pt>
                <c:pt idx="251">
                  <c:v>20130909</c:v>
                </c:pt>
                <c:pt idx="252">
                  <c:v>20130910</c:v>
                </c:pt>
                <c:pt idx="253">
                  <c:v>20130911</c:v>
                </c:pt>
                <c:pt idx="254">
                  <c:v>20130912</c:v>
                </c:pt>
                <c:pt idx="255">
                  <c:v>20130913</c:v>
                </c:pt>
                <c:pt idx="256">
                  <c:v>20130914</c:v>
                </c:pt>
                <c:pt idx="257">
                  <c:v>20130915</c:v>
                </c:pt>
                <c:pt idx="258">
                  <c:v>20130916</c:v>
                </c:pt>
                <c:pt idx="259">
                  <c:v>20130917</c:v>
                </c:pt>
                <c:pt idx="260">
                  <c:v>20130918</c:v>
                </c:pt>
                <c:pt idx="261">
                  <c:v>20130919</c:v>
                </c:pt>
                <c:pt idx="262">
                  <c:v>20130920</c:v>
                </c:pt>
                <c:pt idx="263">
                  <c:v>20130921</c:v>
                </c:pt>
                <c:pt idx="264">
                  <c:v>20130922</c:v>
                </c:pt>
                <c:pt idx="265">
                  <c:v>20130923</c:v>
                </c:pt>
                <c:pt idx="266">
                  <c:v>20130924</c:v>
                </c:pt>
                <c:pt idx="267">
                  <c:v>20130925</c:v>
                </c:pt>
                <c:pt idx="268">
                  <c:v>20130926</c:v>
                </c:pt>
                <c:pt idx="269">
                  <c:v>20130927</c:v>
                </c:pt>
                <c:pt idx="270">
                  <c:v>20130928</c:v>
                </c:pt>
                <c:pt idx="271">
                  <c:v>20130929</c:v>
                </c:pt>
                <c:pt idx="272">
                  <c:v>20130930</c:v>
                </c:pt>
                <c:pt idx="273">
                  <c:v>20131001</c:v>
                </c:pt>
                <c:pt idx="274">
                  <c:v>20131002</c:v>
                </c:pt>
                <c:pt idx="275">
                  <c:v>20131003</c:v>
                </c:pt>
                <c:pt idx="276">
                  <c:v>20131004</c:v>
                </c:pt>
                <c:pt idx="277">
                  <c:v>20131005</c:v>
                </c:pt>
                <c:pt idx="278">
                  <c:v>20131006</c:v>
                </c:pt>
                <c:pt idx="279">
                  <c:v>20131007</c:v>
                </c:pt>
                <c:pt idx="280">
                  <c:v>20131008</c:v>
                </c:pt>
                <c:pt idx="281">
                  <c:v>20131009</c:v>
                </c:pt>
                <c:pt idx="282">
                  <c:v>20131010</c:v>
                </c:pt>
                <c:pt idx="283">
                  <c:v>20131011</c:v>
                </c:pt>
                <c:pt idx="284">
                  <c:v>20131012</c:v>
                </c:pt>
                <c:pt idx="285">
                  <c:v>20131013</c:v>
                </c:pt>
                <c:pt idx="286">
                  <c:v>20131014</c:v>
                </c:pt>
                <c:pt idx="287">
                  <c:v>20131015</c:v>
                </c:pt>
                <c:pt idx="288">
                  <c:v>20131016</c:v>
                </c:pt>
                <c:pt idx="289">
                  <c:v>20131017</c:v>
                </c:pt>
                <c:pt idx="290">
                  <c:v>20131018</c:v>
                </c:pt>
                <c:pt idx="291">
                  <c:v>20131019</c:v>
                </c:pt>
                <c:pt idx="292">
                  <c:v>20131020</c:v>
                </c:pt>
                <c:pt idx="293">
                  <c:v>20131021</c:v>
                </c:pt>
                <c:pt idx="294">
                  <c:v>20131022</c:v>
                </c:pt>
                <c:pt idx="295">
                  <c:v>20131023</c:v>
                </c:pt>
                <c:pt idx="296">
                  <c:v>20131024</c:v>
                </c:pt>
                <c:pt idx="297">
                  <c:v>20131025</c:v>
                </c:pt>
                <c:pt idx="298">
                  <c:v>20131026</c:v>
                </c:pt>
                <c:pt idx="299">
                  <c:v>20131027</c:v>
                </c:pt>
                <c:pt idx="300">
                  <c:v>20131028</c:v>
                </c:pt>
                <c:pt idx="301">
                  <c:v>20131029</c:v>
                </c:pt>
                <c:pt idx="302">
                  <c:v>20131030</c:v>
                </c:pt>
                <c:pt idx="303">
                  <c:v>20131031</c:v>
                </c:pt>
                <c:pt idx="304">
                  <c:v>20131101</c:v>
                </c:pt>
                <c:pt idx="305">
                  <c:v>20131102</c:v>
                </c:pt>
                <c:pt idx="306">
                  <c:v>20131103</c:v>
                </c:pt>
                <c:pt idx="307">
                  <c:v>20131104</c:v>
                </c:pt>
                <c:pt idx="308">
                  <c:v>20131105</c:v>
                </c:pt>
                <c:pt idx="309">
                  <c:v>20131106</c:v>
                </c:pt>
                <c:pt idx="310">
                  <c:v>20131107</c:v>
                </c:pt>
                <c:pt idx="311">
                  <c:v>20131108</c:v>
                </c:pt>
                <c:pt idx="312">
                  <c:v>20131109</c:v>
                </c:pt>
                <c:pt idx="313">
                  <c:v>20131110</c:v>
                </c:pt>
                <c:pt idx="314">
                  <c:v>20131111</c:v>
                </c:pt>
                <c:pt idx="315">
                  <c:v>20131112</c:v>
                </c:pt>
                <c:pt idx="316">
                  <c:v>20131113</c:v>
                </c:pt>
                <c:pt idx="317">
                  <c:v>20131114</c:v>
                </c:pt>
                <c:pt idx="318">
                  <c:v>20131115</c:v>
                </c:pt>
                <c:pt idx="319">
                  <c:v>20131116</c:v>
                </c:pt>
                <c:pt idx="320">
                  <c:v>20131117</c:v>
                </c:pt>
                <c:pt idx="321">
                  <c:v>20131118</c:v>
                </c:pt>
                <c:pt idx="322">
                  <c:v>20131119</c:v>
                </c:pt>
                <c:pt idx="323">
                  <c:v>20131120</c:v>
                </c:pt>
                <c:pt idx="324">
                  <c:v>20131121</c:v>
                </c:pt>
                <c:pt idx="325">
                  <c:v>20131122</c:v>
                </c:pt>
                <c:pt idx="326">
                  <c:v>20131123</c:v>
                </c:pt>
                <c:pt idx="327">
                  <c:v>20131124</c:v>
                </c:pt>
                <c:pt idx="328">
                  <c:v>20131125</c:v>
                </c:pt>
                <c:pt idx="329">
                  <c:v>20131126</c:v>
                </c:pt>
                <c:pt idx="330">
                  <c:v>20131127</c:v>
                </c:pt>
                <c:pt idx="331">
                  <c:v>20131128</c:v>
                </c:pt>
                <c:pt idx="332">
                  <c:v>20131129</c:v>
                </c:pt>
                <c:pt idx="333">
                  <c:v>20131130</c:v>
                </c:pt>
                <c:pt idx="334">
                  <c:v>20131201</c:v>
                </c:pt>
                <c:pt idx="335">
                  <c:v>20131202</c:v>
                </c:pt>
                <c:pt idx="336">
                  <c:v>20131203</c:v>
                </c:pt>
                <c:pt idx="337">
                  <c:v>20131204</c:v>
                </c:pt>
                <c:pt idx="338">
                  <c:v>20131205</c:v>
                </c:pt>
                <c:pt idx="339">
                  <c:v>20131206</c:v>
                </c:pt>
                <c:pt idx="340">
                  <c:v>20131207</c:v>
                </c:pt>
                <c:pt idx="341">
                  <c:v>20131208</c:v>
                </c:pt>
                <c:pt idx="342">
                  <c:v>20131209</c:v>
                </c:pt>
                <c:pt idx="343">
                  <c:v>20131210</c:v>
                </c:pt>
                <c:pt idx="344">
                  <c:v>20131211</c:v>
                </c:pt>
                <c:pt idx="345">
                  <c:v>20131212</c:v>
                </c:pt>
                <c:pt idx="346">
                  <c:v>20131213</c:v>
                </c:pt>
                <c:pt idx="347">
                  <c:v>20131214</c:v>
                </c:pt>
                <c:pt idx="348">
                  <c:v>20131215</c:v>
                </c:pt>
                <c:pt idx="349">
                  <c:v>20131216</c:v>
                </c:pt>
                <c:pt idx="350">
                  <c:v>20131217</c:v>
                </c:pt>
                <c:pt idx="351">
                  <c:v>20131218</c:v>
                </c:pt>
                <c:pt idx="352">
                  <c:v>20131219</c:v>
                </c:pt>
                <c:pt idx="353">
                  <c:v>20131220</c:v>
                </c:pt>
                <c:pt idx="354">
                  <c:v>20131221</c:v>
                </c:pt>
                <c:pt idx="355">
                  <c:v>20131222</c:v>
                </c:pt>
                <c:pt idx="356">
                  <c:v>20131223</c:v>
                </c:pt>
                <c:pt idx="357">
                  <c:v>20131224</c:v>
                </c:pt>
                <c:pt idx="358">
                  <c:v>20131225</c:v>
                </c:pt>
                <c:pt idx="359">
                  <c:v>20131226</c:v>
                </c:pt>
                <c:pt idx="360">
                  <c:v>20131227</c:v>
                </c:pt>
                <c:pt idx="361">
                  <c:v>20131228</c:v>
                </c:pt>
                <c:pt idx="362">
                  <c:v>20131229</c:v>
                </c:pt>
                <c:pt idx="363">
                  <c:v>20131230</c:v>
                </c:pt>
                <c:pt idx="364">
                  <c:v>20131231</c:v>
                </c:pt>
              </c:numCache>
            </c:numRef>
          </c:cat>
          <c:val>
            <c:numRef>
              <c:f>Sheet1!$D$2:$D$366</c:f>
              <c:numCache>
                <c:formatCode>General</c:formatCode>
                <c:ptCount val="365"/>
                <c:pt idx="77">
                  <c:v>114.73</c:v>
                </c:pt>
                <c:pt idx="78">
                  <c:v>93.75</c:v>
                </c:pt>
                <c:pt idx="79">
                  <c:v>81.63</c:v>
                </c:pt>
                <c:pt idx="80">
                  <c:v>81.010000000000005</c:v>
                </c:pt>
                <c:pt idx="81">
                  <c:v>82.149999999999991</c:v>
                </c:pt>
                <c:pt idx="82">
                  <c:v>82.47</c:v>
                </c:pt>
                <c:pt idx="83">
                  <c:v>79.38</c:v>
                </c:pt>
                <c:pt idx="84">
                  <c:v>80.64</c:v>
                </c:pt>
                <c:pt idx="85">
                  <c:v>88.45</c:v>
                </c:pt>
                <c:pt idx="86">
                  <c:v>93.86</c:v>
                </c:pt>
                <c:pt idx="87">
                  <c:v>80.959999999999994</c:v>
                </c:pt>
                <c:pt idx="88">
                  <c:v>80.05</c:v>
                </c:pt>
                <c:pt idx="89">
                  <c:v>65.3</c:v>
                </c:pt>
                <c:pt idx="90">
                  <c:v>87.43</c:v>
                </c:pt>
                <c:pt idx="91">
                  <c:v>89.42</c:v>
                </c:pt>
                <c:pt idx="92">
                  <c:v>87.64</c:v>
                </c:pt>
                <c:pt idx="93">
                  <c:v>75.410000000000025</c:v>
                </c:pt>
                <c:pt idx="94">
                  <c:v>73.28</c:v>
                </c:pt>
                <c:pt idx="95">
                  <c:v>86.36</c:v>
                </c:pt>
                <c:pt idx="96">
                  <c:v>71.349999999999994</c:v>
                </c:pt>
                <c:pt idx="97">
                  <c:v>85.51</c:v>
                </c:pt>
                <c:pt idx="98">
                  <c:v>86.66</c:v>
                </c:pt>
                <c:pt idx="99">
                  <c:v>81.410000000000025</c:v>
                </c:pt>
                <c:pt idx="100">
                  <c:v>76.649999999999991</c:v>
                </c:pt>
                <c:pt idx="101">
                  <c:v>89.13</c:v>
                </c:pt>
                <c:pt idx="102">
                  <c:v>89.149999999999991</c:v>
                </c:pt>
                <c:pt idx="103">
                  <c:v>85.679999999999978</c:v>
                </c:pt>
                <c:pt idx="104">
                  <c:v>69.8</c:v>
                </c:pt>
                <c:pt idx="105">
                  <c:v>100.75</c:v>
                </c:pt>
                <c:pt idx="106">
                  <c:v>99.710000000000022</c:v>
                </c:pt>
                <c:pt idx="107">
                  <c:v>106.06</c:v>
                </c:pt>
                <c:pt idx="108">
                  <c:v>84.92</c:v>
                </c:pt>
                <c:pt idx="109">
                  <c:v>97.23</c:v>
                </c:pt>
                <c:pt idx="110">
                  <c:v>86.4</c:v>
                </c:pt>
                <c:pt idx="111">
                  <c:v>100.84</c:v>
                </c:pt>
                <c:pt idx="112">
                  <c:v>99.51</c:v>
                </c:pt>
                <c:pt idx="113">
                  <c:v>108.36</c:v>
                </c:pt>
                <c:pt idx="114">
                  <c:v>114.27</c:v>
                </c:pt>
                <c:pt idx="115">
                  <c:v>118.66999999999999</c:v>
                </c:pt>
                <c:pt idx="116">
                  <c:v>116.96000000000002</c:v>
                </c:pt>
                <c:pt idx="117">
                  <c:v>110.59</c:v>
                </c:pt>
                <c:pt idx="118">
                  <c:v>96.28</c:v>
                </c:pt>
                <c:pt idx="119">
                  <c:v>108.2</c:v>
                </c:pt>
                <c:pt idx="120">
                  <c:v>113.66999999999999</c:v>
                </c:pt>
                <c:pt idx="121">
                  <c:v>96.06</c:v>
                </c:pt>
                <c:pt idx="122">
                  <c:v>117.5</c:v>
                </c:pt>
                <c:pt idx="123">
                  <c:v>109.84</c:v>
                </c:pt>
                <c:pt idx="124">
                  <c:v>81.400000000000006</c:v>
                </c:pt>
                <c:pt idx="125">
                  <c:v>97.7</c:v>
                </c:pt>
                <c:pt idx="126">
                  <c:v>114.74000000000002</c:v>
                </c:pt>
                <c:pt idx="127">
                  <c:v>121.82</c:v>
                </c:pt>
                <c:pt idx="128">
                  <c:v>106.56</c:v>
                </c:pt>
                <c:pt idx="129">
                  <c:v>105.45</c:v>
                </c:pt>
                <c:pt idx="130">
                  <c:v>102.95</c:v>
                </c:pt>
                <c:pt idx="131">
                  <c:v>93.64</c:v>
                </c:pt>
                <c:pt idx="132">
                  <c:v>82.82</c:v>
                </c:pt>
                <c:pt idx="133">
                  <c:v>82.649999999999991</c:v>
                </c:pt>
                <c:pt idx="134">
                  <c:v>109.36999999999999</c:v>
                </c:pt>
                <c:pt idx="135">
                  <c:v>89.410000000000025</c:v>
                </c:pt>
                <c:pt idx="136">
                  <c:v>105.39</c:v>
                </c:pt>
                <c:pt idx="137">
                  <c:v>102.69</c:v>
                </c:pt>
                <c:pt idx="138">
                  <c:v>105.78</c:v>
                </c:pt>
                <c:pt idx="139">
                  <c:v>110.02</c:v>
                </c:pt>
                <c:pt idx="140">
                  <c:v>113.5</c:v>
                </c:pt>
                <c:pt idx="141">
                  <c:v>104.36999999999999</c:v>
                </c:pt>
                <c:pt idx="142">
                  <c:v>98.95</c:v>
                </c:pt>
                <c:pt idx="143">
                  <c:v>85.51</c:v>
                </c:pt>
                <c:pt idx="144">
                  <c:v>106.04</c:v>
                </c:pt>
                <c:pt idx="145">
                  <c:v>109.91000000000005</c:v>
                </c:pt>
                <c:pt idx="146">
                  <c:v>96.29</c:v>
                </c:pt>
                <c:pt idx="147">
                  <c:v>118.43</c:v>
                </c:pt>
                <c:pt idx="148">
                  <c:v>124.81</c:v>
                </c:pt>
                <c:pt idx="149">
                  <c:v>101.47</c:v>
                </c:pt>
                <c:pt idx="150">
                  <c:v>88.51</c:v>
                </c:pt>
                <c:pt idx="151">
                  <c:v>95.669999999999987</c:v>
                </c:pt>
                <c:pt idx="152">
                  <c:v>109.45</c:v>
                </c:pt>
                <c:pt idx="153">
                  <c:v>85.710000000000022</c:v>
                </c:pt>
                <c:pt idx="154">
                  <c:v>107.03</c:v>
                </c:pt>
                <c:pt idx="155">
                  <c:v>89.69</c:v>
                </c:pt>
                <c:pt idx="156">
                  <c:v>85.240000000000023</c:v>
                </c:pt>
                <c:pt idx="157">
                  <c:v>86.79</c:v>
                </c:pt>
                <c:pt idx="158">
                  <c:v>79.48</c:v>
                </c:pt>
                <c:pt idx="159">
                  <c:v>110.96000000000002</c:v>
                </c:pt>
                <c:pt idx="160">
                  <c:v>115.78</c:v>
                </c:pt>
                <c:pt idx="161">
                  <c:v>99.57</c:v>
                </c:pt>
                <c:pt idx="162">
                  <c:v>90.72</c:v>
                </c:pt>
                <c:pt idx="163">
                  <c:v>92.27</c:v>
                </c:pt>
                <c:pt idx="164">
                  <c:v>108.99000000000002</c:v>
                </c:pt>
                <c:pt idx="165">
                  <c:v>99.79</c:v>
                </c:pt>
                <c:pt idx="166">
                  <c:v>88.490000000000023</c:v>
                </c:pt>
                <c:pt idx="167">
                  <c:v>96.23</c:v>
                </c:pt>
                <c:pt idx="168">
                  <c:v>98.47</c:v>
                </c:pt>
                <c:pt idx="169">
                  <c:v>93.78</c:v>
                </c:pt>
                <c:pt idx="170">
                  <c:v>98.51</c:v>
                </c:pt>
                <c:pt idx="171">
                  <c:v>99.13</c:v>
                </c:pt>
                <c:pt idx="172">
                  <c:v>107.06</c:v>
                </c:pt>
                <c:pt idx="173">
                  <c:v>105.41000000000005</c:v>
                </c:pt>
                <c:pt idx="174">
                  <c:v>94.440000000000026</c:v>
                </c:pt>
                <c:pt idx="175">
                  <c:v>75.19</c:v>
                </c:pt>
                <c:pt idx="176">
                  <c:v>68.819999999999993</c:v>
                </c:pt>
                <c:pt idx="177">
                  <c:v>60.9</c:v>
                </c:pt>
                <c:pt idx="178">
                  <c:v>70.59</c:v>
                </c:pt>
                <c:pt idx="179">
                  <c:v>79.05</c:v>
                </c:pt>
                <c:pt idx="180">
                  <c:v>73.14</c:v>
                </c:pt>
                <c:pt idx="181">
                  <c:v>75.45</c:v>
                </c:pt>
                <c:pt idx="182">
                  <c:v>88.69</c:v>
                </c:pt>
                <c:pt idx="183">
                  <c:v>88.34</c:v>
                </c:pt>
                <c:pt idx="184">
                  <c:v>77.069999999999993</c:v>
                </c:pt>
                <c:pt idx="185">
                  <c:v>86.56</c:v>
                </c:pt>
                <c:pt idx="186">
                  <c:v>87.210000000000022</c:v>
                </c:pt>
                <c:pt idx="187">
                  <c:v>86.58</c:v>
                </c:pt>
                <c:pt idx="188">
                  <c:v>79.2</c:v>
                </c:pt>
                <c:pt idx="189">
                  <c:v>92.34</c:v>
                </c:pt>
                <c:pt idx="190">
                  <c:v>97.7</c:v>
                </c:pt>
                <c:pt idx="191">
                  <c:v>103.75</c:v>
                </c:pt>
                <c:pt idx="192">
                  <c:v>101.32</c:v>
                </c:pt>
                <c:pt idx="193">
                  <c:v>91.32</c:v>
                </c:pt>
                <c:pt idx="194">
                  <c:v>79.36</c:v>
                </c:pt>
                <c:pt idx="195">
                  <c:v>77.58</c:v>
                </c:pt>
                <c:pt idx="196">
                  <c:v>78.989999999999995</c:v>
                </c:pt>
                <c:pt idx="197">
                  <c:v>81.260000000000005</c:v>
                </c:pt>
                <c:pt idx="198">
                  <c:v>71.11</c:v>
                </c:pt>
                <c:pt idx="199">
                  <c:v>101.6</c:v>
                </c:pt>
                <c:pt idx="200">
                  <c:v>85.29</c:v>
                </c:pt>
                <c:pt idx="201">
                  <c:v>66.8</c:v>
                </c:pt>
                <c:pt idx="202">
                  <c:v>72.39</c:v>
                </c:pt>
                <c:pt idx="203">
                  <c:v>85.88</c:v>
                </c:pt>
                <c:pt idx="204">
                  <c:v>99</c:v>
                </c:pt>
                <c:pt idx="205">
                  <c:v>94.54</c:v>
                </c:pt>
                <c:pt idx="206">
                  <c:v>88.940000000000026</c:v>
                </c:pt>
                <c:pt idx="207">
                  <c:v>85.48</c:v>
                </c:pt>
                <c:pt idx="208">
                  <c:v>92.990000000000023</c:v>
                </c:pt>
                <c:pt idx="209">
                  <c:v>132.54</c:v>
                </c:pt>
                <c:pt idx="210">
                  <c:v>99.53</c:v>
                </c:pt>
                <c:pt idx="211">
                  <c:v>63.760000000000012</c:v>
                </c:pt>
                <c:pt idx="212">
                  <c:v>89.149999999999991</c:v>
                </c:pt>
                <c:pt idx="213">
                  <c:v>83.76</c:v>
                </c:pt>
                <c:pt idx="214">
                  <c:v>77.849999999999994</c:v>
                </c:pt>
                <c:pt idx="215">
                  <c:v>68.86</c:v>
                </c:pt>
                <c:pt idx="216">
                  <c:v>89.31</c:v>
                </c:pt>
                <c:pt idx="217">
                  <c:v>91.36999999999999</c:v>
                </c:pt>
                <c:pt idx="218">
                  <c:v>99.79</c:v>
                </c:pt>
                <c:pt idx="219">
                  <c:v>103.71000000000002</c:v>
                </c:pt>
                <c:pt idx="220">
                  <c:v>113.21000000000002</c:v>
                </c:pt>
                <c:pt idx="221">
                  <c:v>100.02</c:v>
                </c:pt>
                <c:pt idx="222">
                  <c:v>99.29</c:v>
                </c:pt>
                <c:pt idx="223">
                  <c:v>83.2</c:v>
                </c:pt>
                <c:pt idx="224">
                  <c:v>93.460000000000022</c:v>
                </c:pt>
                <c:pt idx="225">
                  <c:v>98.45</c:v>
                </c:pt>
                <c:pt idx="226">
                  <c:v>82.11</c:v>
                </c:pt>
                <c:pt idx="227">
                  <c:v>92.84</c:v>
                </c:pt>
                <c:pt idx="228">
                  <c:v>92.53</c:v>
                </c:pt>
                <c:pt idx="229">
                  <c:v>104.3</c:v>
                </c:pt>
                <c:pt idx="230">
                  <c:v>95.45</c:v>
                </c:pt>
                <c:pt idx="231">
                  <c:v>100.14</c:v>
                </c:pt>
                <c:pt idx="232">
                  <c:v>99.83</c:v>
                </c:pt>
                <c:pt idx="233">
                  <c:v>92.6</c:v>
                </c:pt>
                <c:pt idx="234">
                  <c:v>78.45</c:v>
                </c:pt>
                <c:pt idx="235">
                  <c:v>85.33</c:v>
                </c:pt>
                <c:pt idx="236">
                  <c:v>68.39</c:v>
                </c:pt>
                <c:pt idx="237">
                  <c:v>64.459999999999994</c:v>
                </c:pt>
                <c:pt idx="238">
                  <c:v>47.27</c:v>
                </c:pt>
                <c:pt idx="239">
                  <c:v>53.15</c:v>
                </c:pt>
                <c:pt idx="240">
                  <c:v>37.08</c:v>
                </c:pt>
                <c:pt idx="241">
                  <c:v>54.91</c:v>
                </c:pt>
                <c:pt idx="242">
                  <c:v>71.34</c:v>
                </c:pt>
                <c:pt idx="243">
                  <c:v>48.21</c:v>
                </c:pt>
                <c:pt idx="244">
                  <c:v>83.740000000000023</c:v>
                </c:pt>
                <c:pt idx="245">
                  <c:v>58.03</c:v>
                </c:pt>
                <c:pt idx="246">
                  <c:v>63.53</c:v>
                </c:pt>
                <c:pt idx="247">
                  <c:v>65.95</c:v>
                </c:pt>
                <c:pt idx="248">
                  <c:v>62.760000000000012</c:v>
                </c:pt>
                <c:pt idx="249">
                  <c:v>73.319999999999993</c:v>
                </c:pt>
                <c:pt idx="250">
                  <c:v>66.069999999999993</c:v>
                </c:pt>
                <c:pt idx="251">
                  <c:v>72.760000000000005</c:v>
                </c:pt>
                <c:pt idx="252">
                  <c:v>72.77</c:v>
                </c:pt>
                <c:pt idx="253">
                  <c:v>66.14</c:v>
                </c:pt>
                <c:pt idx="254">
                  <c:v>64.959999999999994</c:v>
                </c:pt>
                <c:pt idx="255">
                  <c:v>54.34</c:v>
                </c:pt>
                <c:pt idx="256">
                  <c:v>46.14</c:v>
                </c:pt>
                <c:pt idx="257">
                  <c:v>53.01</c:v>
                </c:pt>
                <c:pt idx="258">
                  <c:v>57.09</c:v>
                </c:pt>
                <c:pt idx="259">
                  <c:v>70.510000000000005</c:v>
                </c:pt>
                <c:pt idx="260">
                  <c:v>61.160000000000011</c:v>
                </c:pt>
                <c:pt idx="261">
                  <c:v>44.25</c:v>
                </c:pt>
                <c:pt idx="262">
                  <c:v>61.06</c:v>
                </c:pt>
                <c:pt idx="263">
                  <c:v>67.410000000000025</c:v>
                </c:pt>
                <c:pt idx="264">
                  <c:v>57.51</c:v>
                </c:pt>
                <c:pt idx="265">
                  <c:v>59.05</c:v>
                </c:pt>
                <c:pt idx="266">
                  <c:v>52.61</c:v>
                </c:pt>
                <c:pt idx="267">
                  <c:v>51</c:v>
                </c:pt>
                <c:pt idx="268">
                  <c:v>68.430000000000007</c:v>
                </c:pt>
                <c:pt idx="269">
                  <c:v>60.39</c:v>
                </c:pt>
                <c:pt idx="270">
                  <c:v>56.03</c:v>
                </c:pt>
                <c:pt idx="271">
                  <c:v>59.44</c:v>
                </c:pt>
                <c:pt idx="272">
                  <c:v>44.85</c:v>
                </c:pt>
                <c:pt idx="273">
                  <c:v>37.730000000000011</c:v>
                </c:pt>
              </c:numCache>
            </c:numRef>
          </c:val>
          <c:smooth val="0"/>
          <c:extLst>
            <c:ext xmlns:c16="http://schemas.microsoft.com/office/drawing/2014/chart" uri="{C3380CC4-5D6E-409C-BE32-E72D297353CC}">
              <c16:uniqueId val="{00000002-F977-409D-961B-2F3656AE3B65}"/>
            </c:ext>
          </c:extLst>
        </c:ser>
        <c:ser>
          <c:idx val="3"/>
          <c:order val="3"/>
          <c:tx>
            <c:strRef>
              <c:f>Sheet1!$E$1</c:f>
              <c:strCache>
                <c:ptCount val="1"/>
                <c:pt idx="0">
                  <c:v>BR5</c:v>
                </c:pt>
              </c:strCache>
            </c:strRef>
          </c:tx>
          <c:spPr>
            <a:ln w="12700" cap="rnd">
              <a:solidFill>
                <a:schemeClr val="accent4"/>
              </a:solidFill>
              <a:round/>
            </a:ln>
            <a:effectLst/>
          </c:spPr>
          <c:marker>
            <c:symbol val="none"/>
          </c:marker>
          <c:cat>
            <c:numRef>
              <c:f>Sheet1!$A$2:$A$366</c:f>
              <c:numCache>
                <c:formatCode>General</c:formatCode>
                <c:ptCount val="365"/>
                <c:pt idx="0">
                  <c:v>20130101</c:v>
                </c:pt>
                <c:pt idx="1">
                  <c:v>20130102</c:v>
                </c:pt>
                <c:pt idx="2">
                  <c:v>20130103</c:v>
                </c:pt>
                <c:pt idx="3">
                  <c:v>20130104</c:v>
                </c:pt>
                <c:pt idx="4">
                  <c:v>20130105</c:v>
                </c:pt>
                <c:pt idx="5">
                  <c:v>20130106</c:v>
                </c:pt>
                <c:pt idx="6">
                  <c:v>20130107</c:v>
                </c:pt>
                <c:pt idx="7">
                  <c:v>20130108</c:v>
                </c:pt>
                <c:pt idx="8">
                  <c:v>20130109</c:v>
                </c:pt>
                <c:pt idx="9">
                  <c:v>20130110</c:v>
                </c:pt>
                <c:pt idx="10">
                  <c:v>20130111</c:v>
                </c:pt>
                <c:pt idx="11">
                  <c:v>20130112</c:v>
                </c:pt>
                <c:pt idx="12">
                  <c:v>20130113</c:v>
                </c:pt>
                <c:pt idx="13">
                  <c:v>20130114</c:v>
                </c:pt>
                <c:pt idx="14">
                  <c:v>20130115</c:v>
                </c:pt>
                <c:pt idx="15">
                  <c:v>20130116</c:v>
                </c:pt>
                <c:pt idx="16">
                  <c:v>20130117</c:v>
                </c:pt>
                <c:pt idx="17">
                  <c:v>20130118</c:v>
                </c:pt>
                <c:pt idx="18">
                  <c:v>20130119</c:v>
                </c:pt>
                <c:pt idx="19">
                  <c:v>20130120</c:v>
                </c:pt>
                <c:pt idx="20">
                  <c:v>20130121</c:v>
                </c:pt>
                <c:pt idx="21">
                  <c:v>20130122</c:v>
                </c:pt>
                <c:pt idx="22">
                  <c:v>20130123</c:v>
                </c:pt>
                <c:pt idx="23">
                  <c:v>20130124</c:v>
                </c:pt>
                <c:pt idx="24">
                  <c:v>20130125</c:v>
                </c:pt>
                <c:pt idx="25">
                  <c:v>20130126</c:v>
                </c:pt>
                <c:pt idx="26">
                  <c:v>20130127</c:v>
                </c:pt>
                <c:pt idx="27">
                  <c:v>20130128</c:v>
                </c:pt>
                <c:pt idx="28">
                  <c:v>20130129</c:v>
                </c:pt>
                <c:pt idx="29">
                  <c:v>20130130</c:v>
                </c:pt>
                <c:pt idx="30">
                  <c:v>20130131</c:v>
                </c:pt>
                <c:pt idx="31">
                  <c:v>20130201</c:v>
                </c:pt>
                <c:pt idx="32">
                  <c:v>20130202</c:v>
                </c:pt>
                <c:pt idx="33">
                  <c:v>20130203</c:v>
                </c:pt>
                <c:pt idx="34">
                  <c:v>20130204</c:v>
                </c:pt>
                <c:pt idx="35">
                  <c:v>20130205</c:v>
                </c:pt>
                <c:pt idx="36">
                  <c:v>20130206</c:v>
                </c:pt>
                <c:pt idx="37">
                  <c:v>20130207</c:v>
                </c:pt>
                <c:pt idx="38">
                  <c:v>20130208</c:v>
                </c:pt>
                <c:pt idx="39">
                  <c:v>20130209</c:v>
                </c:pt>
                <c:pt idx="40">
                  <c:v>20130210</c:v>
                </c:pt>
                <c:pt idx="41">
                  <c:v>20130211</c:v>
                </c:pt>
                <c:pt idx="42">
                  <c:v>20130212</c:v>
                </c:pt>
                <c:pt idx="43">
                  <c:v>20130213</c:v>
                </c:pt>
                <c:pt idx="44">
                  <c:v>20130214</c:v>
                </c:pt>
                <c:pt idx="45">
                  <c:v>20130215</c:v>
                </c:pt>
                <c:pt idx="46">
                  <c:v>20130216</c:v>
                </c:pt>
                <c:pt idx="47">
                  <c:v>20130217</c:v>
                </c:pt>
                <c:pt idx="48">
                  <c:v>20130218</c:v>
                </c:pt>
                <c:pt idx="49">
                  <c:v>20130219</c:v>
                </c:pt>
                <c:pt idx="50">
                  <c:v>20130220</c:v>
                </c:pt>
                <c:pt idx="51">
                  <c:v>20130221</c:v>
                </c:pt>
                <c:pt idx="52">
                  <c:v>20130222</c:v>
                </c:pt>
                <c:pt idx="53">
                  <c:v>20130223</c:v>
                </c:pt>
                <c:pt idx="54">
                  <c:v>20130224</c:v>
                </c:pt>
                <c:pt idx="55">
                  <c:v>20130225</c:v>
                </c:pt>
                <c:pt idx="56">
                  <c:v>20130226</c:v>
                </c:pt>
                <c:pt idx="57">
                  <c:v>20130227</c:v>
                </c:pt>
                <c:pt idx="58">
                  <c:v>20130228</c:v>
                </c:pt>
                <c:pt idx="59">
                  <c:v>20130301</c:v>
                </c:pt>
                <c:pt idx="60">
                  <c:v>20130302</c:v>
                </c:pt>
                <c:pt idx="61">
                  <c:v>20130303</c:v>
                </c:pt>
                <c:pt idx="62">
                  <c:v>20130304</c:v>
                </c:pt>
                <c:pt idx="63">
                  <c:v>20130305</c:v>
                </c:pt>
                <c:pt idx="64">
                  <c:v>20130306</c:v>
                </c:pt>
                <c:pt idx="65">
                  <c:v>20130307</c:v>
                </c:pt>
                <c:pt idx="66">
                  <c:v>20130308</c:v>
                </c:pt>
                <c:pt idx="67">
                  <c:v>20130309</c:v>
                </c:pt>
                <c:pt idx="68">
                  <c:v>20130310</c:v>
                </c:pt>
                <c:pt idx="69">
                  <c:v>20130311</c:v>
                </c:pt>
                <c:pt idx="70">
                  <c:v>20130312</c:v>
                </c:pt>
                <c:pt idx="71">
                  <c:v>20130313</c:v>
                </c:pt>
                <c:pt idx="72">
                  <c:v>20130314</c:v>
                </c:pt>
                <c:pt idx="73">
                  <c:v>20130315</c:v>
                </c:pt>
                <c:pt idx="74">
                  <c:v>20130316</c:v>
                </c:pt>
                <c:pt idx="75">
                  <c:v>20130317</c:v>
                </c:pt>
                <c:pt idx="76">
                  <c:v>20130318</c:v>
                </c:pt>
                <c:pt idx="77">
                  <c:v>20130319</c:v>
                </c:pt>
                <c:pt idx="78">
                  <c:v>20130320</c:v>
                </c:pt>
                <c:pt idx="79">
                  <c:v>20130321</c:v>
                </c:pt>
                <c:pt idx="80">
                  <c:v>20130322</c:v>
                </c:pt>
                <c:pt idx="81">
                  <c:v>20130323</c:v>
                </c:pt>
                <c:pt idx="82">
                  <c:v>20130324</c:v>
                </c:pt>
                <c:pt idx="83">
                  <c:v>20130325</c:v>
                </c:pt>
                <c:pt idx="84">
                  <c:v>20130326</c:v>
                </c:pt>
                <c:pt idx="85">
                  <c:v>20130327</c:v>
                </c:pt>
                <c:pt idx="86">
                  <c:v>20130328</c:v>
                </c:pt>
                <c:pt idx="87">
                  <c:v>20130329</c:v>
                </c:pt>
                <c:pt idx="88">
                  <c:v>20130330</c:v>
                </c:pt>
                <c:pt idx="89">
                  <c:v>20130331</c:v>
                </c:pt>
                <c:pt idx="90">
                  <c:v>20130401</c:v>
                </c:pt>
                <c:pt idx="91">
                  <c:v>20130402</c:v>
                </c:pt>
                <c:pt idx="92">
                  <c:v>20130403</c:v>
                </c:pt>
                <c:pt idx="93">
                  <c:v>20130404</c:v>
                </c:pt>
                <c:pt idx="94">
                  <c:v>20130405</c:v>
                </c:pt>
                <c:pt idx="95">
                  <c:v>20130406</c:v>
                </c:pt>
                <c:pt idx="96">
                  <c:v>20130407</c:v>
                </c:pt>
                <c:pt idx="97">
                  <c:v>20130408</c:v>
                </c:pt>
                <c:pt idx="98">
                  <c:v>20130409</c:v>
                </c:pt>
                <c:pt idx="99">
                  <c:v>20130410</c:v>
                </c:pt>
                <c:pt idx="100">
                  <c:v>20130411</c:v>
                </c:pt>
                <c:pt idx="101">
                  <c:v>20130412</c:v>
                </c:pt>
                <c:pt idx="102">
                  <c:v>20130413</c:v>
                </c:pt>
                <c:pt idx="103">
                  <c:v>20130414</c:v>
                </c:pt>
                <c:pt idx="104">
                  <c:v>20130415</c:v>
                </c:pt>
                <c:pt idx="105">
                  <c:v>20130416</c:v>
                </c:pt>
                <c:pt idx="106">
                  <c:v>20130417</c:v>
                </c:pt>
                <c:pt idx="107">
                  <c:v>20130418</c:v>
                </c:pt>
                <c:pt idx="108">
                  <c:v>20130419</c:v>
                </c:pt>
                <c:pt idx="109">
                  <c:v>20130420</c:v>
                </c:pt>
                <c:pt idx="110">
                  <c:v>20130421</c:v>
                </c:pt>
                <c:pt idx="111">
                  <c:v>20130422</c:v>
                </c:pt>
                <c:pt idx="112">
                  <c:v>20130423</c:v>
                </c:pt>
                <c:pt idx="113">
                  <c:v>20130424</c:v>
                </c:pt>
                <c:pt idx="114">
                  <c:v>20130425</c:v>
                </c:pt>
                <c:pt idx="115">
                  <c:v>20130426</c:v>
                </c:pt>
                <c:pt idx="116">
                  <c:v>20130427</c:v>
                </c:pt>
                <c:pt idx="117">
                  <c:v>20130428</c:v>
                </c:pt>
                <c:pt idx="118">
                  <c:v>20130429</c:v>
                </c:pt>
                <c:pt idx="119">
                  <c:v>20130430</c:v>
                </c:pt>
                <c:pt idx="120">
                  <c:v>20130501</c:v>
                </c:pt>
                <c:pt idx="121">
                  <c:v>20130502</c:v>
                </c:pt>
                <c:pt idx="122">
                  <c:v>20130503</c:v>
                </c:pt>
                <c:pt idx="123">
                  <c:v>20130504</c:v>
                </c:pt>
                <c:pt idx="124">
                  <c:v>20130505</c:v>
                </c:pt>
                <c:pt idx="125">
                  <c:v>20130506</c:v>
                </c:pt>
                <c:pt idx="126">
                  <c:v>20130507</c:v>
                </c:pt>
                <c:pt idx="127">
                  <c:v>20130508</c:v>
                </c:pt>
                <c:pt idx="128">
                  <c:v>20130509</c:v>
                </c:pt>
                <c:pt idx="129">
                  <c:v>20130510</c:v>
                </c:pt>
                <c:pt idx="130">
                  <c:v>20130511</c:v>
                </c:pt>
                <c:pt idx="131">
                  <c:v>20130512</c:v>
                </c:pt>
                <c:pt idx="132">
                  <c:v>20130513</c:v>
                </c:pt>
                <c:pt idx="133">
                  <c:v>20130514</c:v>
                </c:pt>
                <c:pt idx="134">
                  <c:v>20130515</c:v>
                </c:pt>
                <c:pt idx="135">
                  <c:v>20130516</c:v>
                </c:pt>
                <c:pt idx="136">
                  <c:v>20130517</c:v>
                </c:pt>
                <c:pt idx="137">
                  <c:v>20130518</c:v>
                </c:pt>
                <c:pt idx="138">
                  <c:v>20130519</c:v>
                </c:pt>
                <c:pt idx="139">
                  <c:v>20130520</c:v>
                </c:pt>
                <c:pt idx="140">
                  <c:v>20130521</c:v>
                </c:pt>
                <c:pt idx="141">
                  <c:v>20130522</c:v>
                </c:pt>
                <c:pt idx="142">
                  <c:v>20130523</c:v>
                </c:pt>
                <c:pt idx="143">
                  <c:v>20130524</c:v>
                </c:pt>
                <c:pt idx="144">
                  <c:v>20130525</c:v>
                </c:pt>
                <c:pt idx="145">
                  <c:v>20130526</c:v>
                </c:pt>
                <c:pt idx="146">
                  <c:v>20130527</c:v>
                </c:pt>
                <c:pt idx="147">
                  <c:v>20130528</c:v>
                </c:pt>
                <c:pt idx="148">
                  <c:v>20130529</c:v>
                </c:pt>
                <c:pt idx="149">
                  <c:v>20130530</c:v>
                </c:pt>
                <c:pt idx="150">
                  <c:v>20130531</c:v>
                </c:pt>
                <c:pt idx="151">
                  <c:v>20130601</c:v>
                </c:pt>
                <c:pt idx="152">
                  <c:v>20130602</c:v>
                </c:pt>
                <c:pt idx="153">
                  <c:v>20130603</c:v>
                </c:pt>
                <c:pt idx="154">
                  <c:v>20130604</c:v>
                </c:pt>
                <c:pt idx="155">
                  <c:v>20130605</c:v>
                </c:pt>
                <c:pt idx="156">
                  <c:v>20130606</c:v>
                </c:pt>
                <c:pt idx="157">
                  <c:v>20130607</c:v>
                </c:pt>
                <c:pt idx="158">
                  <c:v>20130608</c:v>
                </c:pt>
                <c:pt idx="159">
                  <c:v>20130609</c:v>
                </c:pt>
                <c:pt idx="160">
                  <c:v>20130610</c:v>
                </c:pt>
                <c:pt idx="161">
                  <c:v>20130611</c:v>
                </c:pt>
                <c:pt idx="162">
                  <c:v>20130612</c:v>
                </c:pt>
                <c:pt idx="163">
                  <c:v>20130613</c:v>
                </c:pt>
                <c:pt idx="164">
                  <c:v>20130614</c:v>
                </c:pt>
                <c:pt idx="165">
                  <c:v>20130615</c:v>
                </c:pt>
                <c:pt idx="166">
                  <c:v>20130616</c:v>
                </c:pt>
                <c:pt idx="167">
                  <c:v>20130617</c:v>
                </c:pt>
                <c:pt idx="168">
                  <c:v>20130618</c:v>
                </c:pt>
                <c:pt idx="169">
                  <c:v>20130619</c:v>
                </c:pt>
                <c:pt idx="170">
                  <c:v>20130620</c:v>
                </c:pt>
                <c:pt idx="171">
                  <c:v>20130621</c:v>
                </c:pt>
                <c:pt idx="172">
                  <c:v>20130622</c:v>
                </c:pt>
                <c:pt idx="173">
                  <c:v>20130623</c:v>
                </c:pt>
                <c:pt idx="174">
                  <c:v>20130624</c:v>
                </c:pt>
                <c:pt idx="175">
                  <c:v>20130625</c:v>
                </c:pt>
                <c:pt idx="176">
                  <c:v>20130626</c:v>
                </c:pt>
                <c:pt idx="177">
                  <c:v>20130627</c:v>
                </c:pt>
                <c:pt idx="178">
                  <c:v>20130628</c:v>
                </c:pt>
                <c:pt idx="179">
                  <c:v>20130629</c:v>
                </c:pt>
                <c:pt idx="180">
                  <c:v>20130630</c:v>
                </c:pt>
                <c:pt idx="181">
                  <c:v>20130701</c:v>
                </c:pt>
                <c:pt idx="182">
                  <c:v>20130702</c:v>
                </c:pt>
                <c:pt idx="183">
                  <c:v>20130703</c:v>
                </c:pt>
                <c:pt idx="184">
                  <c:v>20130704</c:v>
                </c:pt>
                <c:pt idx="185">
                  <c:v>20130705</c:v>
                </c:pt>
                <c:pt idx="186">
                  <c:v>20130706</c:v>
                </c:pt>
                <c:pt idx="187">
                  <c:v>20130707</c:v>
                </c:pt>
                <c:pt idx="188">
                  <c:v>20130708</c:v>
                </c:pt>
                <c:pt idx="189">
                  <c:v>20130709</c:v>
                </c:pt>
                <c:pt idx="190">
                  <c:v>20130710</c:v>
                </c:pt>
                <c:pt idx="191">
                  <c:v>20130711</c:v>
                </c:pt>
                <c:pt idx="192">
                  <c:v>20130712</c:v>
                </c:pt>
                <c:pt idx="193">
                  <c:v>20130713</c:v>
                </c:pt>
                <c:pt idx="194">
                  <c:v>20130714</c:v>
                </c:pt>
                <c:pt idx="195">
                  <c:v>20130715</c:v>
                </c:pt>
                <c:pt idx="196">
                  <c:v>20130716</c:v>
                </c:pt>
                <c:pt idx="197">
                  <c:v>20130717</c:v>
                </c:pt>
                <c:pt idx="198">
                  <c:v>20130718</c:v>
                </c:pt>
                <c:pt idx="199">
                  <c:v>20130719</c:v>
                </c:pt>
                <c:pt idx="200">
                  <c:v>20130720</c:v>
                </c:pt>
                <c:pt idx="201">
                  <c:v>20130721</c:v>
                </c:pt>
                <c:pt idx="202">
                  <c:v>20130722</c:v>
                </c:pt>
                <c:pt idx="203">
                  <c:v>20130723</c:v>
                </c:pt>
                <c:pt idx="204">
                  <c:v>20130724</c:v>
                </c:pt>
                <c:pt idx="205">
                  <c:v>20130725</c:v>
                </c:pt>
                <c:pt idx="206">
                  <c:v>20130726</c:v>
                </c:pt>
                <c:pt idx="207">
                  <c:v>20130727</c:v>
                </c:pt>
                <c:pt idx="208">
                  <c:v>20130728</c:v>
                </c:pt>
                <c:pt idx="209">
                  <c:v>20130729</c:v>
                </c:pt>
                <c:pt idx="210">
                  <c:v>20130730</c:v>
                </c:pt>
                <c:pt idx="211">
                  <c:v>20130731</c:v>
                </c:pt>
                <c:pt idx="212">
                  <c:v>20130801</c:v>
                </c:pt>
                <c:pt idx="213">
                  <c:v>20130802</c:v>
                </c:pt>
                <c:pt idx="214">
                  <c:v>20130803</c:v>
                </c:pt>
                <c:pt idx="215">
                  <c:v>20130804</c:v>
                </c:pt>
                <c:pt idx="216">
                  <c:v>20130805</c:v>
                </c:pt>
                <c:pt idx="217">
                  <c:v>20130806</c:v>
                </c:pt>
                <c:pt idx="218">
                  <c:v>20130807</c:v>
                </c:pt>
                <c:pt idx="219">
                  <c:v>20130808</c:v>
                </c:pt>
                <c:pt idx="220">
                  <c:v>20130809</c:v>
                </c:pt>
                <c:pt idx="221">
                  <c:v>20130810</c:v>
                </c:pt>
                <c:pt idx="222">
                  <c:v>20130811</c:v>
                </c:pt>
                <c:pt idx="223">
                  <c:v>20130812</c:v>
                </c:pt>
                <c:pt idx="224">
                  <c:v>20130813</c:v>
                </c:pt>
                <c:pt idx="225">
                  <c:v>20130814</c:v>
                </c:pt>
                <c:pt idx="226">
                  <c:v>20130815</c:v>
                </c:pt>
                <c:pt idx="227">
                  <c:v>20130816</c:v>
                </c:pt>
                <c:pt idx="228">
                  <c:v>20130817</c:v>
                </c:pt>
                <c:pt idx="229">
                  <c:v>20130818</c:v>
                </c:pt>
                <c:pt idx="230">
                  <c:v>20130819</c:v>
                </c:pt>
                <c:pt idx="231">
                  <c:v>20130820</c:v>
                </c:pt>
                <c:pt idx="232">
                  <c:v>20130821</c:v>
                </c:pt>
                <c:pt idx="233">
                  <c:v>20130822</c:v>
                </c:pt>
                <c:pt idx="234">
                  <c:v>20130823</c:v>
                </c:pt>
                <c:pt idx="235">
                  <c:v>20130824</c:v>
                </c:pt>
                <c:pt idx="236">
                  <c:v>20130825</c:v>
                </c:pt>
                <c:pt idx="237">
                  <c:v>20130826</c:v>
                </c:pt>
                <c:pt idx="238">
                  <c:v>20130827</c:v>
                </c:pt>
                <c:pt idx="239">
                  <c:v>20130828</c:v>
                </c:pt>
                <c:pt idx="240">
                  <c:v>20130829</c:v>
                </c:pt>
                <c:pt idx="241">
                  <c:v>20130830</c:v>
                </c:pt>
                <c:pt idx="242">
                  <c:v>20130831</c:v>
                </c:pt>
                <c:pt idx="243">
                  <c:v>20130901</c:v>
                </c:pt>
                <c:pt idx="244">
                  <c:v>20130902</c:v>
                </c:pt>
                <c:pt idx="245">
                  <c:v>20130903</c:v>
                </c:pt>
                <c:pt idx="246">
                  <c:v>20130904</c:v>
                </c:pt>
                <c:pt idx="247">
                  <c:v>20130905</c:v>
                </c:pt>
                <c:pt idx="248">
                  <c:v>20130906</c:v>
                </c:pt>
                <c:pt idx="249">
                  <c:v>20130907</c:v>
                </c:pt>
                <c:pt idx="250">
                  <c:v>20130908</c:v>
                </c:pt>
                <c:pt idx="251">
                  <c:v>20130909</c:v>
                </c:pt>
                <c:pt idx="252">
                  <c:v>20130910</c:v>
                </c:pt>
                <c:pt idx="253">
                  <c:v>20130911</c:v>
                </c:pt>
                <c:pt idx="254">
                  <c:v>20130912</c:v>
                </c:pt>
                <c:pt idx="255">
                  <c:v>20130913</c:v>
                </c:pt>
                <c:pt idx="256">
                  <c:v>20130914</c:v>
                </c:pt>
                <c:pt idx="257">
                  <c:v>20130915</c:v>
                </c:pt>
                <c:pt idx="258">
                  <c:v>20130916</c:v>
                </c:pt>
                <c:pt idx="259">
                  <c:v>20130917</c:v>
                </c:pt>
                <c:pt idx="260">
                  <c:v>20130918</c:v>
                </c:pt>
                <c:pt idx="261">
                  <c:v>20130919</c:v>
                </c:pt>
                <c:pt idx="262">
                  <c:v>20130920</c:v>
                </c:pt>
                <c:pt idx="263">
                  <c:v>20130921</c:v>
                </c:pt>
                <c:pt idx="264">
                  <c:v>20130922</c:v>
                </c:pt>
                <c:pt idx="265">
                  <c:v>20130923</c:v>
                </c:pt>
                <c:pt idx="266">
                  <c:v>20130924</c:v>
                </c:pt>
                <c:pt idx="267">
                  <c:v>20130925</c:v>
                </c:pt>
                <c:pt idx="268">
                  <c:v>20130926</c:v>
                </c:pt>
                <c:pt idx="269">
                  <c:v>20130927</c:v>
                </c:pt>
                <c:pt idx="270">
                  <c:v>20130928</c:v>
                </c:pt>
                <c:pt idx="271">
                  <c:v>20130929</c:v>
                </c:pt>
                <c:pt idx="272">
                  <c:v>20130930</c:v>
                </c:pt>
                <c:pt idx="273">
                  <c:v>20131001</c:v>
                </c:pt>
                <c:pt idx="274">
                  <c:v>20131002</c:v>
                </c:pt>
                <c:pt idx="275">
                  <c:v>20131003</c:v>
                </c:pt>
                <c:pt idx="276">
                  <c:v>20131004</c:v>
                </c:pt>
                <c:pt idx="277">
                  <c:v>20131005</c:v>
                </c:pt>
                <c:pt idx="278">
                  <c:v>20131006</c:v>
                </c:pt>
                <c:pt idx="279">
                  <c:v>20131007</c:v>
                </c:pt>
                <c:pt idx="280">
                  <c:v>20131008</c:v>
                </c:pt>
                <c:pt idx="281">
                  <c:v>20131009</c:v>
                </c:pt>
                <c:pt idx="282">
                  <c:v>20131010</c:v>
                </c:pt>
                <c:pt idx="283">
                  <c:v>20131011</c:v>
                </c:pt>
                <c:pt idx="284">
                  <c:v>20131012</c:v>
                </c:pt>
                <c:pt idx="285">
                  <c:v>20131013</c:v>
                </c:pt>
                <c:pt idx="286">
                  <c:v>20131014</c:v>
                </c:pt>
                <c:pt idx="287">
                  <c:v>20131015</c:v>
                </c:pt>
                <c:pt idx="288">
                  <c:v>20131016</c:v>
                </c:pt>
                <c:pt idx="289">
                  <c:v>20131017</c:v>
                </c:pt>
                <c:pt idx="290">
                  <c:v>20131018</c:v>
                </c:pt>
                <c:pt idx="291">
                  <c:v>20131019</c:v>
                </c:pt>
                <c:pt idx="292">
                  <c:v>20131020</c:v>
                </c:pt>
                <c:pt idx="293">
                  <c:v>20131021</c:v>
                </c:pt>
                <c:pt idx="294">
                  <c:v>20131022</c:v>
                </c:pt>
                <c:pt idx="295">
                  <c:v>20131023</c:v>
                </c:pt>
                <c:pt idx="296">
                  <c:v>20131024</c:v>
                </c:pt>
                <c:pt idx="297">
                  <c:v>20131025</c:v>
                </c:pt>
                <c:pt idx="298">
                  <c:v>20131026</c:v>
                </c:pt>
                <c:pt idx="299">
                  <c:v>20131027</c:v>
                </c:pt>
                <c:pt idx="300">
                  <c:v>20131028</c:v>
                </c:pt>
                <c:pt idx="301">
                  <c:v>20131029</c:v>
                </c:pt>
                <c:pt idx="302">
                  <c:v>20131030</c:v>
                </c:pt>
                <c:pt idx="303">
                  <c:v>20131031</c:v>
                </c:pt>
                <c:pt idx="304">
                  <c:v>20131101</c:v>
                </c:pt>
                <c:pt idx="305">
                  <c:v>20131102</c:v>
                </c:pt>
                <c:pt idx="306">
                  <c:v>20131103</c:v>
                </c:pt>
                <c:pt idx="307">
                  <c:v>20131104</c:v>
                </c:pt>
                <c:pt idx="308">
                  <c:v>20131105</c:v>
                </c:pt>
                <c:pt idx="309">
                  <c:v>20131106</c:v>
                </c:pt>
                <c:pt idx="310">
                  <c:v>20131107</c:v>
                </c:pt>
                <c:pt idx="311">
                  <c:v>20131108</c:v>
                </c:pt>
                <c:pt idx="312">
                  <c:v>20131109</c:v>
                </c:pt>
                <c:pt idx="313">
                  <c:v>20131110</c:v>
                </c:pt>
                <c:pt idx="314">
                  <c:v>20131111</c:v>
                </c:pt>
                <c:pt idx="315">
                  <c:v>20131112</c:v>
                </c:pt>
                <c:pt idx="316">
                  <c:v>20131113</c:v>
                </c:pt>
                <c:pt idx="317">
                  <c:v>20131114</c:v>
                </c:pt>
                <c:pt idx="318">
                  <c:v>20131115</c:v>
                </c:pt>
                <c:pt idx="319">
                  <c:v>20131116</c:v>
                </c:pt>
                <c:pt idx="320">
                  <c:v>20131117</c:v>
                </c:pt>
                <c:pt idx="321">
                  <c:v>20131118</c:v>
                </c:pt>
                <c:pt idx="322">
                  <c:v>20131119</c:v>
                </c:pt>
                <c:pt idx="323">
                  <c:v>20131120</c:v>
                </c:pt>
                <c:pt idx="324">
                  <c:v>20131121</c:v>
                </c:pt>
                <c:pt idx="325">
                  <c:v>20131122</c:v>
                </c:pt>
                <c:pt idx="326">
                  <c:v>20131123</c:v>
                </c:pt>
                <c:pt idx="327">
                  <c:v>20131124</c:v>
                </c:pt>
                <c:pt idx="328">
                  <c:v>20131125</c:v>
                </c:pt>
                <c:pt idx="329">
                  <c:v>20131126</c:v>
                </c:pt>
                <c:pt idx="330">
                  <c:v>20131127</c:v>
                </c:pt>
                <c:pt idx="331">
                  <c:v>20131128</c:v>
                </c:pt>
                <c:pt idx="332">
                  <c:v>20131129</c:v>
                </c:pt>
                <c:pt idx="333">
                  <c:v>20131130</c:v>
                </c:pt>
                <c:pt idx="334">
                  <c:v>20131201</c:v>
                </c:pt>
                <c:pt idx="335">
                  <c:v>20131202</c:v>
                </c:pt>
                <c:pt idx="336">
                  <c:v>20131203</c:v>
                </c:pt>
                <c:pt idx="337">
                  <c:v>20131204</c:v>
                </c:pt>
                <c:pt idx="338">
                  <c:v>20131205</c:v>
                </c:pt>
                <c:pt idx="339">
                  <c:v>20131206</c:v>
                </c:pt>
                <c:pt idx="340">
                  <c:v>20131207</c:v>
                </c:pt>
                <c:pt idx="341">
                  <c:v>20131208</c:v>
                </c:pt>
                <c:pt idx="342">
                  <c:v>20131209</c:v>
                </c:pt>
                <c:pt idx="343">
                  <c:v>20131210</c:v>
                </c:pt>
                <c:pt idx="344">
                  <c:v>20131211</c:v>
                </c:pt>
                <c:pt idx="345">
                  <c:v>20131212</c:v>
                </c:pt>
                <c:pt idx="346">
                  <c:v>20131213</c:v>
                </c:pt>
                <c:pt idx="347">
                  <c:v>20131214</c:v>
                </c:pt>
                <c:pt idx="348">
                  <c:v>20131215</c:v>
                </c:pt>
                <c:pt idx="349">
                  <c:v>20131216</c:v>
                </c:pt>
                <c:pt idx="350">
                  <c:v>20131217</c:v>
                </c:pt>
                <c:pt idx="351">
                  <c:v>20131218</c:v>
                </c:pt>
                <c:pt idx="352">
                  <c:v>20131219</c:v>
                </c:pt>
                <c:pt idx="353">
                  <c:v>20131220</c:v>
                </c:pt>
                <c:pt idx="354">
                  <c:v>20131221</c:v>
                </c:pt>
                <c:pt idx="355">
                  <c:v>20131222</c:v>
                </c:pt>
                <c:pt idx="356">
                  <c:v>20131223</c:v>
                </c:pt>
                <c:pt idx="357">
                  <c:v>20131224</c:v>
                </c:pt>
                <c:pt idx="358">
                  <c:v>20131225</c:v>
                </c:pt>
                <c:pt idx="359">
                  <c:v>20131226</c:v>
                </c:pt>
                <c:pt idx="360">
                  <c:v>20131227</c:v>
                </c:pt>
                <c:pt idx="361">
                  <c:v>20131228</c:v>
                </c:pt>
                <c:pt idx="362">
                  <c:v>20131229</c:v>
                </c:pt>
                <c:pt idx="363">
                  <c:v>20131230</c:v>
                </c:pt>
                <c:pt idx="364">
                  <c:v>20131231</c:v>
                </c:pt>
              </c:numCache>
            </c:numRef>
          </c:cat>
          <c:val>
            <c:numRef>
              <c:f>Sheet1!$E$2:$E$366</c:f>
              <c:numCache>
                <c:formatCode>General</c:formatCode>
                <c:ptCount val="365"/>
                <c:pt idx="0">
                  <c:v>95.77</c:v>
                </c:pt>
                <c:pt idx="1">
                  <c:v>111.7</c:v>
                </c:pt>
                <c:pt idx="2">
                  <c:v>99.61999999999999</c:v>
                </c:pt>
                <c:pt idx="3">
                  <c:v>84.48</c:v>
                </c:pt>
                <c:pt idx="4">
                  <c:v>77.86</c:v>
                </c:pt>
                <c:pt idx="5">
                  <c:v>73</c:v>
                </c:pt>
                <c:pt idx="6">
                  <c:v>82.82</c:v>
                </c:pt>
                <c:pt idx="7">
                  <c:v>81.09</c:v>
                </c:pt>
                <c:pt idx="8">
                  <c:v>79.23</c:v>
                </c:pt>
                <c:pt idx="9">
                  <c:v>97.53</c:v>
                </c:pt>
                <c:pt idx="10">
                  <c:v>81.3</c:v>
                </c:pt>
                <c:pt idx="11">
                  <c:v>80.679999999999978</c:v>
                </c:pt>
                <c:pt idx="12">
                  <c:v>89.75</c:v>
                </c:pt>
                <c:pt idx="13">
                  <c:v>81.63</c:v>
                </c:pt>
                <c:pt idx="14">
                  <c:v>78.260000000000005</c:v>
                </c:pt>
                <c:pt idx="15">
                  <c:v>69.510000000000005</c:v>
                </c:pt>
                <c:pt idx="20">
                  <c:v>75.239999999999995</c:v>
                </c:pt>
                <c:pt idx="21">
                  <c:v>90.149999999999991</c:v>
                </c:pt>
                <c:pt idx="22">
                  <c:v>59.51</c:v>
                </c:pt>
                <c:pt idx="23">
                  <c:v>54.63</c:v>
                </c:pt>
                <c:pt idx="24">
                  <c:v>100.93</c:v>
                </c:pt>
                <c:pt idx="25">
                  <c:v>95.01</c:v>
                </c:pt>
                <c:pt idx="26">
                  <c:v>112.31</c:v>
                </c:pt>
                <c:pt idx="27">
                  <c:v>108.89</c:v>
                </c:pt>
                <c:pt idx="28">
                  <c:v>104.92</c:v>
                </c:pt>
                <c:pt idx="29">
                  <c:v>105.44000000000005</c:v>
                </c:pt>
                <c:pt idx="30">
                  <c:v>103.27</c:v>
                </c:pt>
                <c:pt idx="31">
                  <c:v>71.11</c:v>
                </c:pt>
                <c:pt idx="32">
                  <c:v>80.73</c:v>
                </c:pt>
                <c:pt idx="33">
                  <c:v>83.26</c:v>
                </c:pt>
                <c:pt idx="34">
                  <c:v>85.960000000000022</c:v>
                </c:pt>
                <c:pt idx="35">
                  <c:v>84.740000000000023</c:v>
                </c:pt>
                <c:pt idx="36">
                  <c:v>86.09</c:v>
                </c:pt>
                <c:pt idx="37">
                  <c:v>76.95</c:v>
                </c:pt>
                <c:pt idx="38">
                  <c:v>80.06</c:v>
                </c:pt>
                <c:pt idx="39">
                  <c:v>86.79</c:v>
                </c:pt>
                <c:pt idx="40">
                  <c:v>61.41</c:v>
                </c:pt>
                <c:pt idx="41">
                  <c:v>74.64</c:v>
                </c:pt>
                <c:pt idx="42">
                  <c:v>89.28</c:v>
                </c:pt>
                <c:pt idx="43">
                  <c:v>102.86999999999999</c:v>
                </c:pt>
                <c:pt idx="44">
                  <c:v>86.83</c:v>
                </c:pt>
                <c:pt idx="45">
                  <c:v>78.84</c:v>
                </c:pt>
                <c:pt idx="46">
                  <c:v>87.460000000000022</c:v>
                </c:pt>
                <c:pt idx="47">
                  <c:v>94.79</c:v>
                </c:pt>
                <c:pt idx="48">
                  <c:v>96.95</c:v>
                </c:pt>
                <c:pt idx="49">
                  <c:v>97.86999999999999</c:v>
                </c:pt>
                <c:pt idx="50">
                  <c:v>110.2</c:v>
                </c:pt>
                <c:pt idx="51">
                  <c:v>95.3</c:v>
                </c:pt>
                <c:pt idx="52">
                  <c:v>88.25</c:v>
                </c:pt>
                <c:pt idx="55">
                  <c:v>77.88</c:v>
                </c:pt>
                <c:pt idx="56">
                  <c:v>63.42</c:v>
                </c:pt>
                <c:pt idx="57">
                  <c:v>68.86</c:v>
                </c:pt>
                <c:pt idx="58">
                  <c:v>119.16</c:v>
                </c:pt>
                <c:pt idx="59">
                  <c:v>109.19</c:v>
                </c:pt>
                <c:pt idx="60">
                  <c:v>102.69</c:v>
                </c:pt>
                <c:pt idx="61">
                  <c:v>109.64999999999999</c:v>
                </c:pt>
                <c:pt idx="62">
                  <c:v>107.72</c:v>
                </c:pt>
                <c:pt idx="63">
                  <c:v>124.01</c:v>
                </c:pt>
                <c:pt idx="64">
                  <c:v>118.4</c:v>
                </c:pt>
                <c:pt idx="65">
                  <c:v>107.64</c:v>
                </c:pt>
                <c:pt idx="66">
                  <c:v>105.19</c:v>
                </c:pt>
                <c:pt idx="67">
                  <c:v>85.57</c:v>
                </c:pt>
                <c:pt idx="68">
                  <c:v>62.720000000000013</c:v>
                </c:pt>
                <c:pt idx="69">
                  <c:v>61.85</c:v>
                </c:pt>
                <c:pt idx="70">
                  <c:v>48.83</c:v>
                </c:pt>
                <c:pt idx="71">
                  <c:v>83.59</c:v>
                </c:pt>
                <c:pt idx="72">
                  <c:v>102.99000000000002</c:v>
                </c:pt>
                <c:pt idx="73">
                  <c:v>106.23</c:v>
                </c:pt>
                <c:pt idx="76">
                  <c:v>131.62</c:v>
                </c:pt>
                <c:pt idx="77">
                  <c:v>118.11999999999999</c:v>
                </c:pt>
                <c:pt idx="78">
                  <c:v>126.27</c:v>
                </c:pt>
                <c:pt idx="79">
                  <c:v>105.34</c:v>
                </c:pt>
                <c:pt idx="80">
                  <c:v>102.85</c:v>
                </c:pt>
                <c:pt idx="81">
                  <c:v>107.29</c:v>
                </c:pt>
                <c:pt idx="82">
                  <c:v>107.16</c:v>
                </c:pt>
                <c:pt idx="83">
                  <c:v>104.95</c:v>
                </c:pt>
                <c:pt idx="84">
                  <c:v>103.64</c:v>
                </c:pt>
                <c:pt idx="85">
                  <c:v>117.57</c:v>
                </c:pt>
                <c:pt idx="86">
                  <c:v>107.1</c:v>
                </c:pt>
                <c:pt idx="87">
                  <c:v>111.14</c:v>
                </c:pt>
                <c:pt idx="88">
                  <c:v>109.28</c:v>
                </c:pt>
                <c:pt idx="89">
                  <c:v>101.49000000000002</c:v>
                </c:pt>
                <c:pt idx="90">
                  <c:v>82.55</c:v>
                </c:pt>
                <c:pt idx="98">
                  <c:v>137.20999999999998</c:v>
                </c:pt>
                <c:pt idx="99">
                  <c:v>130.1</c:v>
                </c:pt>
                <c:pt idx="100">
                  <c:v>111.81</c:v>
                </c:pt>
                <c:pt idx="101">
                  <c:v>113.6</c:v>
                </c:pt>
                <c:pt idx="102">
                  <c:v>117.64999999999999</c:v>
                </c:pt>
                <c:pt idx="103">
                  <c:v>117.84</c:v>
                </c:pt>
                <c:pt idx="104">
                  <c:v>97.4</c:v>
                </c:pt>
                <c:pt idx="105">
                  <c:v>126.97</c:v>
                </c:pt>
                <c:pt idx="106">
                  <c:v>126.69</c:v>
                </c:pt>
                <c:pt idx="107">
                  <c:v>134.09</c:v>
                </c:pt>
                <c:pt idx="108">
                  <c:v>101.66</c:v>
                </c:pt>
                <c:pt idx="109">
                  <c:v>118.5</c:v>
                </c:pt>
                <c:pt idx="110">
                  <c:v>103.47</c:v>
                </c:pt>
                <c:pt idx="111">
                  <c:v>124.91000000000005</c:v>
                </c:pt>
                <c:pt idx="112">
                  <c:v>126.8</c:v>
                </c:pt>
                <c:pt idx="113">
                  <c:v>135.72</c:v>
                </c:pt>
                <c:pt idx="114">
                  <c:v>150.36000000000001</c:v>
                </c:pt>
                <c:pt idx="115">
                  <c:v>143.93</c:v>
                </c:pt>
                <c:pt idx="116">
                  <c:v>147.09</c:v>
                </c:pt>
                <c:pt idx="117">
                  <c:v>131.10999999999999</c:v>
                </c:pt>
                <c:pt idx="118">
                  <c:v>115.05</c:v>
                </c:pt>
                <c:pt idx="119">
                  <c:v>129.05000000000001</c:v>
                </c:pt>
                <c:pt idx="120">
                  <c:v>140.97999999999999</c:v>
                </c:pt>
                <c:pt idx="121">
                  <c:v>112.49000000000002</c:v>
                </c:pt>
                <c:pt idx="122">
                  <c:v>131.66999999999999</c:v>
                </c:pt>
                <c:pt idx="123">
                  <c:v>123.55</c:v>
                </c:pt>
                <c:pt idx="124">
                  <c:v>80.08</c:v>
                </c:pt>
                <c:pt idx="125">
                  <c:v>113.44000000000005</c:v>
                </c:pt>
                <c:pt idx="126">
                  <c:v>139.83000000000001</c:v>
                </c:pt>
                <c:pt idx="127">
                  <c:v>135.4</c:v>
                </c:pt>
                <c:pt idx="128">
                  <c:v>120.61</c:v>
                </c:pt>
                <c:pt idx="129">
                  <c:v>129.30000000000001</c:v>
                </c:pt>
                <c:pt idx="130">
                  <c:v>125.14999999999999</c:v>
                </c:pt>
                <c:pt idx="131">
                  <c:v>114.17999999999998</c:v>
                </c:pt>
                <c:pt idx="132">
                  <c:v>109.22</c:v>
                </c:pt>
                <c:pt idx="133">
                  <c:v>108.16</c:v>
                </c:pt>
                <c:pt idx="134">
                  <c:v>129.19999999999999</c:v>
                </c:pt>
                <c:pt idx="135">
                  <c:v>117.09</c:v>
                </c:pt>
                <c:pt idx="136">
                  <c:v>113.03</c:v>
                </c:pt>
                <c:pt idx="137">
                  <c:v>113.35</c:v>
                </c:pt>
                <c:pt idx="138">
                  <c:v>103.8</c:v>
                </c:pt>
                <c:pt idx="139">
                  <c:v>121.11</c:v>
                </c:pt>
                <c:pt idx="140">
                  <c:v>127.14999999999999</c:v>
                </c:pt>
                <c:pt idx="141">
                  <c:v>120.81</c:v>
                </c:pt>
                <c:pt idx="142">
                  <c:v>119.92</c:v>
                </c:pt>
                <c:pt idx="143">
                  <c:v>98.679999999999978</c:v>
                </c:pt>
                <c:pt idx="144">
                  <c:v>125.94000000000005</c:v>
                </c:pt>
                <c:pt idx="145">
                  <c:v>128.44999999999999</c:v>
                </c:pt>
                <c:pt idx="146">
                  <c:v>119.04</c:v>
                </c:pt>
                <c:pt idx="147">
                  <c:v>126.74000000000002</c:v>
                </c:pt>
                <c:pt idx="148">
                  <c:v>140.76999999999998</c:v>
                </c:pt>
                <c:pt idx="149">
                  <c:v>111.57</c:v>
                </c:pt>
                <c:pt idx="150">
                  <c:v>108.79</c:v>
                </c:pt>
                <c:pt idx="151">
                  <c:v>112.45</c:v>
                </c:pt>
                <c:pt idx="152">
                  <c:v>121.66</c:v>
                </c:pt>
                <c:pt idx="153">
                  <c:v>110.14</c:v>
                </c:pt>
                <c:pt idx="154">
                  <c:v>118.34</c:v>
                </c:pt>
                <c:pt idx="155">
                  <c:v>109.86999999999999</c:v>
                </c:pt>
                <c:pt idx="156">
                  <c:v>113.64</c:v>
                </c:pt>
                <c:pt idx="157">
                  <c:v>112.24000000000002</c:v>
                </c:pt>
                <c:pt idx="158">
                  <c:v>99.04</c:v>
                </c:pt>
                <c:pt idx="159">
                  <c:v>116.91000000000005</c:v>
                </c:pt>
                <c:pt idx="160">
                  <c:v>123.75</c:v>
                </c:pt>
                <c:pt idx="161">
                  <c:v>107.44000000000005</c:v>
                </c:pt>
                <c:pt idx="162">
                  <c:v>107.82</c:v>
                </c:pt>
                <c:pt idx="163">
                  <c:v>109.54</c:v>
                </c:pt>
                <c:pt idx="164">
                  <c:v>128.12</c:v>
                </c:pt>
                <c:pt idx="165">
                  <c:v>117.69</c:v>
                </c:pt>
                <c:pt idx="166">
                  <c:v>96.649999999999991</c:v>
                </c:pt>
                <c:pt idx="167">
                  <c:v>98.13</c:v>
                </c:pt>
                <c:pt idx="168">
                  <c:v>100.42</c:v>
                </c:pt>
                <c:pt idx="169">
                  <c:v>100.02</c:v>
                </c:pt>
                <c:pt idx="170">
                  <c:v>62.02</c:v>
                </c:pt>
                <c:pt idx="171">
                  <c:v>112.03</c:v>
                </c:pt>
                <c:pt idx="172">
                  <c:v>114.83</c:v>
                </c:pt>
                <c:pt idx="173">
                  <c:v>110.78</c:v>
                </c:pt>
                <c:pt idx="174">
                  <c:v>91.57</c:v>
                </c:pt>
                <c:pt idx="175">
                  <c:v>77.61999999999999</c:v>
                </c:pt>
                <c:pt idx="176">
                  <c:v>68.73</c:v>
                </c:pt>
                <c:pt idx="177">
                  <c:v>57.89</c:v>
                </c:pt>
                <c:pt idx="178">
                  <c:v>75.11</c:v>
                </c:pt>
                <c:pt idx="179">
                  <c:v>68.47</c:v>
                </c:pt>
                <c:pt idx="180">
                  <c:v>74.39</c:v>
                </c:pt>
                <c:pt idx="181">
                  <c:v>66.98</c:v>
                </c:pt>
                <c:pt idx="182">
                  <c:v>92.02</c:v>
                </c:pt>
                <c:pt idx="183">
                  <c:v>97.48</c:v>
                </c:pt>
                <c:pt idx="184">
                  <c:v>91.08</c:v>
                </c:pt>
                <c:pt idx="185">
                  <c:v>97.32</c:v>
                </c:pt>
                <c:pt idx="186">
                  <c:v>85.460000000000022</c:v>
                </c:pt>
                <c:pt idx="187">
                  <c:v>76.06</c:v>
                </c:pt>
                <c:pt idx="188">
                  <c:v>88.43</c:v>
                </c:pt>
                <c:pt idx="189">
                  <c:v>99.61999999999999</c:v>
                </c:pt>
                <c:pt idx="190">
                  <c:v>116.21000000000002</c:v>
                </c:pt>
                <c:pt idx="191">
                  <c:v>115.28</c:v>
                </c:pt>
                <c:pt idx="192">
                  <c:v>112.85</c:v>
                </c:pt>
                <c:pt idx="193">
                  <c:v>110.85</c:v>
                </c:pt>
                <c:pt idx="194">
                  <c:v>103.55</c:v>
                </c:pt>
                <c:pt idx="195">
                  <c:v>99.3</c:v>
                </c:pt>
                <c:pt idx="196">
                  <c:v>100.48</c:v>
                </c:pt>
                <c:pt idx="197">
                  <c:v>98.22</c:v>
                </c:pt>
                <c:pt idx="198">
                  <c:v>98.01</c:v>
                </c:pt>
                <c:pt idx="199">
                  <c:v>118.11</c:v>
                </c:pt>
                <c:pt idx="200">
                  <c:v>104.91000000000005</c:v>
                </c:pt>
                <c:pt idx="201">
                  <c:v>87.61999999999999</c:v>
                </c:pt>
                <c:pt idx="202">
                  <c:v>92.8</c:v>
                </c:pt>
                <c:pt idx="203">
                  <c:v>111.2</c:v>
                </c:pt>
                <c:pt idx="204">
                  <c:v>105.69</c:v>
                </c:pt>
                <c:pt idx="205">
                  <c:v>75.209999999999994</c:v>
                </c:pt>
                <c:pt idx="206">
                  <c:v>112.59</c:v>
                </c:pt>
                <c:pt idx="207">
                  <c:v>106.82</c:v>
                </c:pt>
                <c:pt idx="208">
                  <c:v>118.7</c:v>
                </c:pt>
                <c:pt idx="209">
                  <c:v>151.41999999999999</c:v>
                </c:pt>
                <c:pt idx="210">
                  <c:v>113.67999999999998</c:v>
                </c:pt>
                <c:pt idx="211">
                  <c:v>84.47</c:v>
                </c:pt>
                <c:pt idx="212">
                  <c:v>110.77</c:v>
                </c:pt>
                <c:pt idx="213">
                  <c:v>105.07</c:v>
                </c:pt>
                <c:pt idx="214">
                  <c:v>99.76</c:v>
                </c:pt>
                <c:pt idx="215">
                  <c:v>90.43</c:v>
                </c:pt>
                <c:pt idx="216">
                  <c:v>122.11</c:v>
                </c:pt>
                <c:pt idx="217">
                  <c:v>113.14999999999999</c:v>
                </c:pt>
                <c:pt idx="218">
                  <c:v>132.57</c:v>
                </c:pt>
                <c:pt idx="219">
                  <c:v>128.72</c:v>
                </c:pt>
                <c:pt idx="220">
                  <c:v>143.41999999999999</c:v>
                </c:pt>
                <c:pt idx="221">
                  <c:v>133.22999999999999</c:v>
                </c:pt>
                <c:pt idx="222">
                  <c:v>127.19</c:v>
                </c:pt>
                <c:pt idx="223">
                  <c:v>105.51</c:v>
                </c:pt>
                <c:pt idx="224">
                  <c:v>128.75</c:v>
                </c:pt>
                <c:pt idx="225">
                  <c:v>136.41</c:v>
                </c:pt>
                <c:pt idx="226">
                  <c:v>103.21000000000002</c:v>
                </c:pt>
                <c:pt idx="227">
                  <c:v>116.57</c:v>
                </c:pt>
                <c:pt idx="228">
                  <c:v>116.17999999999998</c:v>
                </c:pt>
                <c:pt idx="229">
                  <c:v>133.66999999999999</c:v>
                </c:pt>
                <c:pt idx="230">
                  <c:v>134.57</c:v>
                </c:pt>
                <c:pt idx="231">
                  <c:v>134.52000000000001</c:v>
                </c:pt>
                <c:pt idx="232">
                  <c:v>142.97</c:v>
                </c:pt>
                <c:pt idx="233">
                  <c:v>140.63</c:v>
                </c:pt>
                <c:pt idx="234">
                  <c:v>120.25</c:v>
                </c:pt>
                <c:pt idx="235">
                  <c:v>121.45</c:v>
                </c:pt>
                <c:pt idx="236">
                  <c:v>83.69</c:v>
                </c:pt>
                <c:pt idx="237">
                  <c:v>99.66</c:v>
                </c:pt>
                <c:pt idx="238">
                  <c:v>71.45</c:v>
                </c:pt>
                <c:pt idx="239">
                  <c:v>95.28</c:v>
                </c:pt>
                <c:pt idx="240">
                  <c:v>72.36</c:v>
                </c:pt>
                <c:pt idx="241">
                  <c:v>95.23</c:v>
                </c:pt>
                <c:pt idx="242">
                  <c:v>106.28</c:v>
                </c:pt>
                <c:pt idx="243">
                  <c:v>126.48</c:v>
                </c:pt>
                <c:pt idx="244">
                  <c:v>123.21000000000002</c:v>
                </c:pt>
                <c:pt idx="245">
                  <c:v>95.25</c:v>
                </c:pt>
                <c:pt idx="246">
                  <c:v>90.57</c:v>
                </c:pt>
                <c:pt idx="247">
                  <c:v>97.08</c:v>
                </c:pt>
                <c:pt idx="248">
                  <c:v>94.4</c:v>
                </c:pt>
                <c:pt idx="249">
                  <c:v>106.32</c:v>
                </c:pt>
                <c:pt idx="250">
                  <c:v>91.06</c:v>
                </c:pt>
                <c:pt idx="251">
                  <c:v>101.56</c:v>
                </c:pt>
                <c:pt idx="252">
                  <c:v>107.04</c:v>
                </c:pt>
                <c:pt idx="253">
                  <c:v>97.7</c:v>
                </c:pt>
                <c:pt idx="254">
                  <c:v>101.75</c:v>
                </c:pt>
                <c:pt idx="255">
                  <c:v>85.940000000000026</c:v>
                </c:pt>
                <c:pt idx="256">
                  <c:v>88.440000000000026</c:v>
                </c:pt>
                <c:pt idx="257">
                  <c:v>100.21000000000002</c:v>
                </c:pt>
                <c:pt idx="258">
                  <c:v>94.33</c:v>
                </c:pt>
                <c:pt idx="259">
                  <c:v>102.61999999999999</c:v>
                </c:pt>
                <c:pt idx="260">
                  <c:v>91.09</c:v>
                </c:pt>
                <c:pt idx="261">
                  <c:v>73.33</c:v>
                </c:pt>
                <c:pt idx="262">
                  <c:v>90.84</c:v>
                </c:pt>
                <c:pt idx="263">
                  <c:v>97.22</c:v>
                </c:pt>
                <c:pt idx="264">
                  <c:v>86.86999999999999</c:v>
                </c:pt>
                <c:pt idx="265">
                  <c:v>92.85</c:v>
                </c:pt>
                <c:pt idx="266">
                  <c:v>79.75</c:v>
                </c:pt>
                <c:pt idx="267">
                  <c:v>77.790000000000006</c:v>
                </c:pt>
                <c:pt idx="268">
                  <c:v>105.33</c:v>
                </c:pt>
                <c:pt idx="269">
                  <c:v>92</c:v>
                </c:pt>
                <c:pt idx="270">
                  <c:v>67.16</c:v>
                </c:pt>
                <c:pt idx="271">
                  <c:v>78.08</c:v>
                </c:pt>
                <c:pt idx="272">
                  <c:v>68.53</c:v>
                </c:pt>
                <c:pt idx="273">
                  <c:v>68.38</c:v>
                </c:pt>
                <c:pt idx="274">
                  <c:v>67.59</c:v>
                </c:pt>
                <c:pt idx="275">
                  <c:v>71.489999999999995</c:v>
                </c:pt>
                <c:pt idx="276">
                  <c:v>73.599999999999994</c:v>
                </c:pt>
                <c:pt idx="277">
                  <c:v>76.959999999999994</c:v>
                </c:pt>
                <c:pt idx="278">
                  <c:v>86.179999999999978</c:v>
                </c:pt>
                <c:pt idx="279">
                  <c:v>94.02</c:v>
                </c:pt>
                <c:pt idx="280">
                  <c:v>96.410000000000025</c:v>
                </c:pt>
                <c:pt idx="281">
                  <c:v>104.22</c:v>
                </c:pt>
                <c:pt idx="282">
                  <c:v>103.83</c:v>
                </c:pt>
                <c:pt idx="283">
                  <c:v>79.510000000000005</c:v>
                </c:pt>
                <c:pt idx="286">
                  <c:v>80.900000000000006</c:v>
                </c:pt>
                <c:pt idx="287">
                  <c:v>89.149999999999991</c:v>
                </c:pt>
                <c:pt idx="288">
                  <c:v>72.95</c:v>
                </c:pt>
                <c:pt idx="289">
                  <c:v>90.08</c:v>
                </c:pt>
                <c:pt idx="290">
                  <c:v>61.04</c:v>
                </c:pt>
                <c:pt idx="291">
                  <c:v>83.669999999999987</c:v>
                </c:pt>
                <c:pt idx="292">
                  <c:v>93.649999999999991</c:v>
                </c:pt>
                <c:pt idx="293">
                  <c:v>75.05</c:v>
                </c:pt>
                <c:pt idx="294">
                  <c:v>78.260000000000005</c:v>
                </c:pt>
                <c:pt idx="295">
                  <c:v>88.19</c:v>
                </c:pt>
                <c:pt idx="296">
                  <c:v>94.679999999999978</c:v>
                </c:pt>
                <c:pt idx="297">
                  <c:v>72.38</c:v>
                </c:pt>
                <c:pt idx="300">
                  <c:v>64.099999999999994</c:v>
                </c:pt>
                <c:pt idx="301">
                  <c:v>87.179999999999978</c:v>
                </c:pt>
                <c:pt idx="302">
                  <c:v>79.040000000000006</c:v>
                </c:pt>
                <c:pt idx="303">
                  <c:v>59.660000000000011</c:v>
                </c:pt>
                <c:pt idx="304">
                  <c:v>69.09</c:v>
                </c:pt>
                <c:pt idx="305">
                  <c:v>75.540000000000006</c:v>
                </c:pt>
                <c:pt idx="306">
                  <c:v>67.61</c:v>
                </c:pt>
                <c:pt idx="307">
                  <c:v>74.53</c:v>
                </c:pt>
                <c:pt idx="308">
                  <c:v>80.069999999999993</c:v>
                </c:pt>
                <c:pt idx="309">
                  <c:v>77.64</c:v>
                </c:pt>
                <c:pt idx="310">
                  <c:v>78.599999999999994</c:v>
                </c:pt>
                <c:pt idx="311">
                  <c:v>67.78</c:v>
                </c:pt>
                <c:pt idx="312">
                  <c:v>88.06</c:v>
                </c:pt>
                <c:pt idx="313">
                  <c:v>82.56</c:v>
                </c:pt>
                <c:pt idx="314">
                  <c:v>80.989999999999995</c:v>
                </c:pt>
                <c:pt idx="315">
                  <c:v>77.989999999999995</c:v>
                </c:pt>
                <c:pt idx="316">
                  <c:v>23</c:v>
                </c:pt>
                <c:pt idx="317">
                  <c:v>39.15</c:v>
                </c:pt>
                <c:pt idx="318">
                  <c:v>67.440000000000026</c:v>
                </c:pt>
                <c:pt idx="319">
                  <c:v>62.25</c:v>
                </c:pt>
                <c:pt idx="320">
                  <c:v>35.950000000000003</c:v>
                </c:pt>
                <c:pt idx="321">
                  <c:v>48.220000000000013</c:v>
                </c:pt>
                <c:pt idx="322">
                  <c:v>52.260000000000012</c:v>
                </c:pt>
                <c:pt idx="323">
                  <c:v>59.18</c:v>
                </c:pt>
                <c:pt idx="324">
                  <c:v>54.08</c:v>
                </c:pt>
                <c:pt idx="325">
                  <c:v>27.38</c:v>
                </c:pt>
                <c:pt idx="329">
                  <c:v>67.169999999999987</c:v>
                </c:pt>
                <c:pt idx="330">
                  <c:v>66.489999999999995</c:v>
                </c:pt>
                <c:pt idx="331">
                  <c:v>55.96</c:v>
                </c:pt>
                <c:pt idx="332">
                  <c:v>51.54</c:v>
                </c:pt>
                <c:pt idx="333">
                  <c:v>56.63</c:v>
                </c:pt>
                <c:pt idx="334">
                  <c:v>42.43</c:v>
                </c:pt>
                <c:pt idx="335">
                  <c:v>65.11999999999999</c:v>
                </c:pt>
                <c:pt idx="336">
                  <c:v>67.08</c:v>
                </c:pt>
                <c:pt idx="337">
                  <c:v>53.61</c:v>
                </c:pt>
                <c:pt idx="338">
                  <c:v>49.37</c:v>
                </c:pt>
              </c:numCache>
            </c:numRef>
          </c:val>
          <c:smooth val="0"/>
          <c:extLst>
            <c:ext xmlns:c16="http://schemas.microsoft.com/office/drawing/2014/chart" uri="{C3380CC4-5D6E-409C-BE32-E72D297353CC}">
              <c16:uniqueId val="{00000003-F977-409D-961B-2F3656AE3B65}"/>
            </c:ext>
          </c:extLst>
        </c:ser>
        <c:ser>
          <c:idx val="4"/>
          <c:order val="4"/>
          <c:tx>
            <c:strRef>
              <c:f>Sheet1!$F$1</c:f>
              <c:strCache>
                <c:ptCount val="1"/>
                <c:pt idx="0">
                  <c:v>VT</c:v>
                </c:pt>
              </c:strCache>
            </c:strRef>
          </c:tx>
          <c:spPr>
            <a:ln w="19050" cap="rnd">
              <a:solidFill>
                <a:srgbClr val="FF0000"/>
              </a:solidFill>
              <a:round/>
            </a:ln>
            <a:effectLst/>
          </c:spPr>
          <c:marker>
            <c:symbol val="none"/>
          </c:marker>
          <c:cat>
            <c:numRef>
              <c:f>Sheet1!$A$2:$A$366</c:f>
              <c:numCache>
                <c:formatCode>General</c:formatCode>
                <c:ptCount val="365"/>
                <c:pt idx="0">
                  <c:v>20130101</c:v>
                </c:pt>
                <c:pt idx="1">
                  <c:v>20130102</c:v>
                </c:pt>
                <c:pt idx="2">
                  <c:v>20130103</c:v>
                </c:pt>
                <c:pt idx="3">
                  <c:v>20130104</c:v>
                </c:pt>
                <c:pt idx="4">
                  <c:v>20130105</c:v>
                </c:pt>
                <c:pt idx="5">
                  <c:v>20130106</c:v>
                </c:pt>
                <c:pt idx="6">
                  <c:v>20130107</c:v>
                </c:pt>
                <c:pt idx="7">
                  <c:v>20130108</c:v>
                </c:pt>
                <c:pt idx="8">
                  <c:v>20130109</c:v>
                </c:pt>
                <c:pt idx="9">
                  <c:v>20130110</c:v>
                </c:pt>
                <c:pt idx="10">
                  <c:v>20130111</c:v>
                </c:pt>
                <c:pt idx="11">
                  <c:v>20130112</c:v>
                </c:pt>
                <c:pt idx="12">
                  <c:v>20130113</c:v>
                </c:pt>
                <c:pt idx="13">
                  <c:v>20130114</c:v>
                </c:pt>
                <c:pt idx="14">
                  <c:v>20130115</c:v>
                </c:pt>
                <c:pt idx="15">
                  <c:v>20130116</c:v>
                </c:pt>
                <c:pt idx="16">
                  <c:v>20130117</c:v>
                </c:pt>
                <c:pt idx="17">
                  <c:v>20130118</c:v>
                </c:pt>
                <c:pt idx="18">
                  <c:v>20130119</c:v>
                </c:pt>
                <c:pt idx="19">
                  <c:v>20130120</c:v>
                </c:pt>
                <c:pt idx="20">
                  <c:v>20130121</c:v>
                </c:pt>
                <c:pt idx="21">
                  <c:v>20130122</c:v>
                </c:pt>
                <c:pt idx="22">
                  <c:v>20130123</c:v>
                </c:pt>
                <c:pt idx="23">
                  <c:v>20130124</c:v>
                </c:pt>
                <c:pt idx="24">
                  <c:v>20130125</c:v>
                </c:pt>
                <c:pt idx="25">
                  <c:v>20130126</c:v>
                </c:pt>
                <c:pt idx="26">
                  <c:v>20130127</c:v>
                </c:pt>
                <c:pt idx="27">
                  <c:v>20130128</c:v>
                </c:pt>
                <c:pt idx="28">
                  <c:v>20130129</c:v>
                </c:pt>
                <c:pt idx="29">
                  <c:v>20130130</c:v>
                </c:pt>
                <c:pt idx="30">
                  <c:v>20130131</c:v>
                </c:pt>
                <c:pt idx="31">
                  <c:v>20130201</c:v>
                </c:pt>
                <c:pt idx="32">
                  <c:v>20130202</c:v>
                </c:pt>
                <c:pt idx="33">
                  <c:v>20130203</c:v>
                </c:pt>
                <c:pt idx="34">
                  <c:v>20130204</c:v>
                </c:pt>
                <c:pt idx="35">
                  <c:v>20130205</c:v>
                </c:pt>
                <c:pt idx="36">
                  <c:v>20130206</c:v>
                </c:pt>
                <c:pt idx="37">
                  <c:v>20130207</c:v>
                </c:pt>
                <c:pt idx="38">
                  <c:v>20130208</c:v>
                </c:pt>
                <c:pt idx="39">
                  <c:v>20130209</c:v>
                </c:pt>
                <c:pt idx="40">
                  <c:v>20130210</c:v>
                </c:pt>
                <c:pt idx="41">
                  <c:v>20130211</c:v>
                </c:pt>
                <c:pt idx="42">
                  <c:v>20130212</c:v>
                </c:pt>
                <c:pt idx="43">
                  <c:v>20130213</c:v>
                </c:pt>
                <c:pt idx="44">
                  <c:v>20130214</c:v>
                </c:pt>
                <c:pt idx="45">
                  <c:v>20130215</c:v>
                </c:pt>
                <c:pt idx="46">
                  <c:v>20130216</c:v>
                </c:pt>
                <c:pt idx="47">
                  <c:v>20130217</c:v>
                </c:pt>
                <c:pt idx="48">
                  <c:v>20130218</c:v>
                </c:pt>
                <c:pt idx="49">
                  <c:v>20130219</c:v>
                </c:pt>
                <c:pt idx="50">
                  <c:v>20130220</c:v>
                </c:pt>
                <c:pt idx="51">
                  <c:v>20130221</c:v>
                </c:pt>
                <c:pt idx="52">
                  <c:v>20130222</c:v>
                </c:pt>
                <c:pt idx="53">
                  <c:v>20130223</c:v>
                </c:pt>
                <c:pt idx="54">
                  <c:v>20130224</c:v>
                </c:pt>
                <c:pt idx="55">
                  <c:v>20130225</c:v>
                </c:pt>
                <c:pt idx="56">
                  <c:v>20130226</c:v>
                </c:pt>
                <c:pt idx="57">
                  <c:v>20130227</c:v>
                </c:pt>
                <c:pt idx="58">
                  <c:v>20130228</c:v>
                </c:pt>
                <c:pt idx="59">
                  <c:v>20130301</c:v>
                </c:pt>
                <c:pt idx="60">
                  <c:v>20130302</c:v>
                </c:pt>
                <c:pt idx="61">
                  <c:v>20130303</c:v>
                </c:pt>
                <c:pt idx="62">
                  <c:v>20130304</c:v>
                </c:pt>
                <c:pt idx="63">
                  <c:v>20130305</c:v>
                </c:pt>
                <c:pt idx="64">
                  <c:v>20130306</c:v>
                </c:pt>
                <c:pt idx="65">
                  <c:v>20130307</c:v>
                </c:pt>
                <c:pt idx="66">
                  <c:v>20130308</c:v>
                </c:pt>
                <c:pt idx="67">
                  <c:v>20130309</c:v>
                </c:pt>
                <c:pt idx="68">
                  <c:v>20130310</c:v>
                </c:pt>
                <c:pt idx="69">
                  <c:v>20130311</c:v>
                </c:pt>
                <c:pt idx="70">
                  <c:v>20130312</c:v>
                </c:pt>
                <c:pt idx="71">
                  <c:v>20130313</c:v>
                </c:pt>
                <c:pt idx="72">
                  <c:v>20130314</c:v>
                </c:pt>
                <c:pt idx="73">
                  <c:v>20130315</c:v>
                </c:pt>
                <c:pt idx="74">
                  <c:v>20130316</c:v>
                </c:pt>
                <c:pt idx="75">
                  <c:v>20130317</c:v>
                </c:pt>
                <c:pt idx="76">
                  <c:v>20130318</c:v>
                </c:pt>
                <c:pt idx="77">
                  <c:v>20130319</c:v>
                </c:pt>
                <c:pt idx="78">
                  <c:v>20130320</c:v>
                </c:pt>
                <c:pt idx="79">
                  <c:v>20130321</c:v>
                </c:pt>
                <c:pt idx="80">
                  <c:v>20130322</c:v>
                </c:pt>
                <c:pt idx="81">
                  <c:v>20130323</c:v>
                </c:pt>
                <c:pt idx="82">
                  <c:v>20130324</c:v>
                </c:pt>
                <c:pt idx="83">
                  <c:v>20130325</c:v>
                </c:pt>
                <c:pt idx="84">
                  <c:v>20130326</c:v>
                </c:pt>
                <c:pt idx="85">
                  <c:v>20130327</c:v>
                </c:pt>
                <c:pt idx="86">
                  <c:v>20130328</c:v>
                </c:pt>
                <c:pt idx="87">
                  <c:v>20130329</c:v>
                </c:pt>
                <c:pt idx="88">
                  <c:v>20130330</c:v>
                </c:pt>
                <c:pt idx="89">
                  <c:v>20130331</c:v>
                </c:pt>
                <c:pt idx="90">
                  <c:v>20130401</c:v>
                </c:pt>
                <c:pt idx="91">
                  <c:v>20130402</c:v>
                </c:pt>
                <c:pt idx="92">
                  <c:v>20130403</c:v>
                </c:pt>
                <c:pt idx="93">
                  <c:v>20130404</c:v>
                </c:pt>
                <c:pt idx="94">
                  <c:v>20130405</c:v>
                </c:pt>
                <c:pt idx="95">
                  <c:v>20130406</c:v>
                </c:pt>
                <c:pt idx="96">
                  <c:v>20130407</c:v>
                </c:pt>
                <c:pt idx="97">
                  <c:v>20130408</c:v>
                </c:pt>
                <c:pt idx="98">
                  <c:v>20130409</c:v>
                </c:pt>
                <c:pt idx="99">
                  <c:v>20130410</c:v>
                </c:pt>
                <c:pt idx="100">
                  <c:v>20130411</c:v>
                </c:pt>
                <c:pt idx="101">
                  <c:v>20130412</c:v>
                </c:pt>
                <c:pt idx="102">
                  <c:v>20130413</c:v>
                </c:pt>
                <c:pt idx="103">
                  <c:v>20130414</c:v>
                </c:pt>
                <c:pt idx="104">
                  <c:v>20130415</c:v>
                </c:pt>
                <c:pt idx="105">
                  <c:v>20130416</c:v>
                </c:pt>
                <c:pt idx="106">
                  <c:v>20130417</c:v>
                </c:pt>
                <c:pt idx="107">
                  <c:v>20130418</c:v>
                </c:pt>
                <c:pt idx="108">
                  <c:v>20130419</c:v>
                </c:pt>
                <c:pt idx="109">
                  <c:v>20130420</c:v>
                </c:pt>
                <c:pt idx="110">
                  <c:v>20130421</c:v>
                </c:pt>
                <c:pt idx="111">
                  <c:v>20130422</c:v>
                </c:pt>
                <c:pt idx="112">
                  <c:v>20130423</c:v>
                </c:pt>
                <c:pt idx="113">
                  <c:v>20130424</c:v>
                </c:pt>
                <c:pt idx="114">
                  <c:v>20130425</c:v>
                </c:pt>
                <c:pt idx="115">
                  <c:v>20130426</c:v>
                </c:pt>
                <c:pt idx="116">
                  <c:v>20130427</c:v>
                </c:pt>
                <c:pt idx="117">
                  <c:v>20130428</c:v>
                </c:pt>
                <c:pt idx="118">
                  <c:v>20130429</c:v>
                </c:pt>
                <c:pt idx="119">
                  <c:v>20130430</c:v>
                </c:pt>
                <c:pt idx="120">
                  <c:v>20130501</c:v>
                </c:pt>
                <c:pt idx="121">
                  <c:v>20130502</c:v>
                </c:pt>
                <c:pt idx="122">
                  <c:v>20130503</c:v>
                </c:pt>
                <c:pt idx="123">
                  <c:v>20130504</c:v>
                </c:pt>
                <c:pt idx="124">
                  <c:v>20130505</c:v>
                </c:pt>
                <c:pt idx="125">
                  <c:v>20130506</c:v>
                </c:pt>
                <c:pt idx="126">
                  <c:v>20130507</c:v>
                </c:pt>
                <c:pt idx="127">
                  <c:v>20130508</c:v>
                </c:pt>
                <c:pt idx="128">
                  <c:v>20130509</c:v>
                </c:pt>
                <c:pt idx="129">
                  <c:v>20130510</c:v>
                </c:pt>
                <c:pt idx="130">
                  <c:v>20130511</c:v>
                </c:pt>
                <c:pt idx="131">
                  <c:v>20130512</c:v>
                </c:pt>
                <c:pt idx="132">
                  <c:v>20130513</c:v>
                </c:pt>
                <c:pt idx="133">
                  <c:v>20130514</c:v>
                </c:pt>
                <c:pt idx="134">
                  <c:v>20130515</c:v>
                </c:pt>
                <c:pt idx="135">
                  <c:v>20130516</c:v>
                </c:pt>
                <c:pt idx="136">
                  <c:v>20130517</c:v>
                </c:pt>
                <c:pt idx="137">
                  <c:v>20130518</c:v>
                </c:pt>
                <c:pt idx="138">
                  <c:v>20130519</c:v>
                </c:pt>
                <c:pt idx="139">
                  <c:v>20130520</c:v>
                </c:pt>
                <c:pt idx="140">
                  <c:v>20130521</c:v>
                </c:pt>
                <c:pt idx="141">
                  <c:v>20130522</c:v>
                </c:pt>
                <c:pt idx="142">
                  <c:v>20130523</c:v>
                </c:pt>
                <c:pt idx="143">
                  <c:v>20130524</c:v>
                </c:pt>
                <c:pt idx="144">
                  <c:v>20130525</c:v>
                </c:pt>
                <c:pt idx="145">
                  <c:v>20130526</c:v>
                </c:pt>
                <c:pt idx="146">
                  <c:v>20130527</c:v>
                </c:pt>
                <c:pt idx="147">
                  <c:v>20130528</c:v>
                </c:pt>
                <c:pt idx="148">
                  <c:v>20130529</c:v>
                </c:pt>
                <c:pt idx="149">
                  <c:v>20130530</c:v>
                </c:pt>
                <c:pt idx="150">
                  <c:v>20130531</c:v>
                </c:pt>
                <c:pt idx="151">
                  <c:v>20130601</c:v>
                </c:pt>
                <c:pt idx="152">
                  <c:v>20130602</c:v>
                </c:pt>
                <c:pt idx="153">
                  <c:v>20130603</c:v>
                </c:pt>
                <c:pt idx="154">
                  <c:v>20130604</c:v>
                </c:pt>
                <c:pt idx="155">
                  <c:v>20130605</c:v>
                </c:pt>
                <c:pt idx="156">
                  <c:v>20130606</c:v>
                </c:pt>
                <c:pt idx="157">
                  <c:v>20130607</c:v>
                </c:pt>
                <c:pt idx="158">
                  <c:v>20130608</c:v>
                </c:pt>
                <c:pt idx="159">
                  <c:v>20130609</c:v>
                </c:pt>
                <c:pt idx="160">
                  <c:v>20130610</c:v>
                </c:pt>
                <c:pt idx="161">
                  <c:v>20130611</c:v>
                </c:pt>
                <c:pt idx="162">
                  <c:v>20130612</c:v>
                </c:pt>
                <c:pt idx="163">
                  <c:v>20130613</c:v>
                </c:pt>
                <c:pt idx="164">
                  <c:v>20130614</c:v>
                </c:pt>
                <c:pt idx="165">
                  <c:v>20130615</c:v>
                </c:pt>
                <c:pt idx="166">
                  <c:v>20130616</c:v>
                </c:pt>
                <c:pt idx="167">
                  <c:v>20130617</c:v>
                </c:pt>
                <c:pt idx="168">
                  <c:v>20130618</c:v>
                </c:pt>
                <c:pt idx="169">
                  <c:v>20130619</c:v>
                </c:pt>
                <c:pt idx="170">
                  <c:v>20130620</c:v>
                </c:pt>
                <c:pt idx="171">
                  <c:v>20130621</c:v>
                </c:pt>
                <c:pt idx="172">
                  <c:v>20130622</c:v>
                </c:pt>
                <c:pt idx="173">
                  <c:v>20130623</c:v>
                </c:pt>
                <c:pt idx="174">
                  <c:v>20130624</c:v>
                </c:pt>
                <c:pt idx="175">
                  <c:v>20130625</c:v>
                </c:pt>
                <c:pt idx="176">
                  <c:v>20130626</c:v>
                </c:pt>
                <c:pt idx="177">
                  <c:v>20130627</c:v>
                </c:pt>
                <c:pt idx="178">
                  <c:v>20130628</c:v>
                </c:pt>
                <c:pt idx="179">
                  <c:v>20130629</c:v>
                </c:pt>
                <c:pt idx="180">
                  <c:v>20130630</c:v>
                </c:pt>
                <c:pt idx="181">
                  <c:v>20130701</c:v>
                </c:pt>
                <c:pt idx="182">
                  <c:v>20130702</c:v>
                </c:pt>
                <c:pt idx="183">
                  <c:v>20130703</c:v>
                </c:pt>
                <c:pt idx="184">
                  <c:v>20130704</c:v>
                </c:pt>
                <c:pt idx="185">
                  <c:v>20130705</c:v>
                </c:pt>
                <c:pt idx="186">
                  <c:v>20130706</c:v>
                </c:pt>
                <c:pt idx="187">
                  <c:v>20130707</c:v>
                </c:pt>
                <c:pt idx="188">
                  <c:v>20130708</c:v>
                </c:pt>
                <c:pt idx="189">
                  <c:v>20130709</c:v>
                </c:pt>
                <c:pt idx="190">
                  <c:v>20130710</c:v>
                </c:pt>
                <c:pt idx="191">
                  <c:v>20130711</c:v>
                </c:pt>
                <c:pt idx="192">
                  <c:v>20130712</c:v>
                </c:pt>
                <c:pt idx="193">
                  <c:v>20130713</c:v>
                </c:pt>
                <c:pt idx="194">
                  <c:v>20130714</c:v>
                </c:pt>
                <c:pt idx="195">
                  <c:v>20130715</c:v>
                </c:pt>
                <c:pt idx="196">
                  <c:v>20130716</c:v>
                </c:pt>
                <c:pt idx="197">
                  <c:v>20130717</c:v>
                </c:pt>
                <c:pt idx="198">
                  <c:v>20130718</c:v>
                </c:pt>
                <c:pt idx="199">
                  <c:v>20130719</c:v>
                </c:pt>
                <c:pt idx="200">
                  <c:v>20130720</c:v>
                </c:pt>
                <c:pt idx="201">
                  <c:v>20130721</c:v>
                </c:pt>
                <c:pt idx="202">
                  <c:v>20130722</c:v>
                </c:pt>
                <c:pt idx="203">
                  <c:v>20130723</c:v>
                </c:pt>
                <c:pt idx="204">
                  <c:v>20130724</c:v>
                </c:pt>
                <c:pt idx="205">
                  <c:v>20130725</c:v>
                </c:pt>
                <c:pt idx="206">
                  <c:v>20130726</c:v>
                </c:pt>
                <c:pt idx="207">
                  <c:v>20130727</c:v>
                </c:pt>
                <c:pt idx="208">
                  <c:v>20130728</c:v>
                </c:pt>
                <c:pt idx="209">
                  <c:v>20130729</c:v>
                </c:pt>
                <c:pt idx="210">
                  <c:v>20130730</c:v>
                </c:pt>
                <c:pt idx="211">
                  <c:v>20130731</c:v>
                </c:pt>
                <c:pt idx="212">
                  <c:v>20130801</c:v>
                </c:pt>
                <c:pt idx="213">
                  <c:v>20130802</c:v>
                </c:pt>
                <c:pt idx="214">
                  <c:v>20130803</c:v>
                </c:pt>
                <c:pt idx="215">
                  <c:v>20130804</c:v>
                </c:pt>
                <c:pt idx="216">
                  <c:v>20130805</c:v>
                </c:pt>
                <c:pt idx="217">
                  <c:v>20130806</c:v>
                </c:pt>
                <c:pt idx="218">
                  <c:v>20130807</c:v>
                </c:pt>
                <c:pt idx="219">
                  <c:v>20130808</c:v>
                </c:pt>
                <c:pt idx="220">
                  <c:v>20130809</c:v>
                </c:pt>
                <c:pt idx="221">
                  <c:v>20130810</c:v>
                </c:pt>
                <c:pt idx="222">
                  <c:v>20130811</c:v>
                </c:pt>
                <c:pt idx="223">
                  <c:v>20130812</c:v>
                </c:pt>
                <c:pt idx="224">
                  <c:v>20130813</c:v>
                </c:pt>
                <c:pt idx="225">
                  <c:v>20130814</c:v>
                </c:pt>
                <c:pt idx="226">
                  <c:v>20130815</c:v>
                </c:pt>
                <c:pt idx="227">
                  <c:v>20130816</c:v>
                </c:pt>
                <c:pt idx="228">
                  <c:v>20130817</c:v>
                </c:pt>
                <c:pt idx="229">
                  <c:v>20130818</c:v>
                </c:pt>
                <c:pt idx="230">
                  <c:v>20130819</c:v>
                </c:pt>
                <c:pt idx="231">
                  <c:v>20130820</c:v>
                </c:pt>
                <c:pt idx="232">
                  <c:v>20130821</c:v>
                </c:pt>
                <c:pt idx="233">
                  <c:v>20130822</c:v>
                </c:pt>
                <c:pt idx="234">
                  <c:v>20130823</c:v>
                </c:pt>
                <c:pt idx="235">
                  <c:v>20130824</c:v>
                </c:pt>
                <c:pt idx="236">
                  <c:v>20130825</c:v>
                </c:pt>
                <c:pt idx="237">
                  <c:v>20130826</c:v>
                </c:pt>
                <c:pt idx="238">
                  <c:v>20130827</c:v>
                </c:pt>
                <c:pt idx="239">
                  <c:v>20130828</c:v>
                </c:pt>
                <c:pt idx="240">
                  <c:v>20130829</c:v>
                </c:pt>
                <c:pt idx="241">
                  <c:v>20130830</c:v>
                </c:pt>
                <c:pt idx="242">
                  <c:v>20130831</c:v>
                </c:pt>
                <c:pt idx="243">
                  <c:v>20130901</c:v>
                </c:pt>
                <c:pt idx="244">
                  <c:v>20130902</c:v>
                </c:pt>
                <c:pt idx="245">
                  <c:v>20130903</c:v>
                </c:pt>
                <c:pt idx="246">
                  <c:v>20130904</c:v>
                </c:pt>
                <c:pt idx="247">
                  <c:v>20130905</c:v>
                </c:pt>
                <c:pt idx="248">
                  <c:v>20130906</c:v>
                </c:pt>
                <c:pt idx="249">
                  <c:v>20130907</c:v>
                </c:pt>
                <c:pt idx="250">
                  <c:v>20130908</c:v>
                </c:pt>
                <c:pt idx="251">
                  <c:v>20130909</c:v>
                </c:pt>
                <c:pt idx="252">
                  <c:v>20130910</c:v>
                </c:pt>
                <c:pt idx="253">
                  <c:v>20130911</c:v>
                </c:pt>
                <c:pt idx="254">
                  <c:v>20130912</c:v>
                </c:pt>
                <c:pt idx="255">
                  <c:v>20130913</c:v>
                </c:pt>
                <c:pt idx="256">
                  <c:v>20130914</c:v>
                </c:pt>
                <c:pt idx="257">
                  <c:v>20130915</c:v>
                </c:pt>
                <c:pt idx="258">
                  <c:v>20130916</c:v>
                </c:pt>
                <c:pt idx="259">
                  <c:v>20130917</c:v>
                </c:pt>
                <c:pt idx="260">
                  <c:v>20130918</c:v>
                </c:pt>
                <c:pt idx="261">
                  <c:v>20130919</c:v>
                </c:pt>
                <c:pt idx="262">
                  <c:v>20130920</c:v>
                </c:pt>
                <c:pt idx="263">
                  <c:v>20130921</c:v>
                </c:pt>
                <c:pt idx="264">
                  <c:v>20130922</c:v>
                </c:pt>
                <c:pt idx="265">
                  <c:v>20130923</c:v>
                </c:pt>
                <c:pt idx="266">
                  <c:v>20130924</c:v>
                </c:pt>
                <c:pt idx="267">
                  <c:v>20130925</c:v>
                </c:pt>
                <c:pt idx="268">
                  <c:v>20130926</c:v>
                </c:pt>
                <c:pt idx="269">
                  <c:v>20130927</c:v>
                </c:pt>
                <c:pt idx="270">
                  <c:v>20130928</c:v>
                </c:pt>
                <c:pt idx="271">
                  <c:v>20130929</c:v>
                </c:pt>
                <c:pt idx="272">
                  <c:v>20130930</c:v>
                </c:pt>
                <c:pt idx="273">
                  <c:v>20131001</c:v>
                </c:pt>
                <c:pt idx="274">
                  <c:v>20131002</c:v>
                </c:pt>
                <c:pt idx="275">
                  <c:v>20131003</c:v>
                </c:pt>
                <c:pt idx="276">
                  <c:v>20131004</c:v>
                </c:pt>
                <c:pt idx="277">
                  <c:v>20131005</c:v>
                </c:pt>
                <c:pt idx="278">
                  <c:v>20131006</c:v>
                </c:pt>
                <c:pt idx="279">
                  <c:v>20131007</c:v>
                </c:pt>
                <c:pt idx="280">
                  <c:v>20131008</c:v>
                </c:pt>
                <c:pt idx="281">
                  <c:v>20131009</c:v>
                </c:pt>
                <c:pt idx="282">
                  <c:v>20131010</c:v>
                </c:pt>
                <c:pt idx="283">
                  <c:v>20131011</c:v>
                </c:pt>
                <c:pt idx="284">
                  <c:v>20131012</c:v>
                </c:pt>
                <c:pt idx="285">
                  <c:v>20131013</c:v>
                </c:pt>
                <c:pt idx="286">
                  <c:v>20131014</c:v>
                </c:pt>
                <c:pt idx="287">
                  <c:v>20131015</c:v>
                </c:pt>
                <c:pt idx="288">
                  <c:v>20131016</c:v>
                </c:pt>
                <c:pt idx="289">
                  <c:v>20131017</c:v>
                </c:pt>
                <c:pt idx="290">
                  <c:v>20131018</c:v>
                </c:pt>
                <c:pt idx="291">
                  <c:v>20131019</c:v>
                </c:pt>
                <c:pt idx="292">
                  <c:v>20131020</c:v>
                </c:pt>
                <c:pt idx="293">
                  <c:v>20131021</c:v>
                </c:pt>
                <c:pt idx="294">
                  <c:v>20131022</c:v>
                </c:pt>
                <c:pt idx="295">
                  <c:v>20131023</c:v>
                </c:pt>
                <c:pt idx="296">
                  <c:v>20131024</c:v>
                </c:pt>
                <c:pt idx="297">
                  <c:v>20131025</c:v>
                </c:pt>
                <c:pt idx="298">
                  <c:v>20131026</c:v>
                </c:pt>
                <c:pt idx="299">
                  <c:v>20131027</c:v>
                </c:pt>
                <c:pt idx="300">
                  <c:v>20131028</c:v>
                </c:pt>
                <c:pt idx="301">
                  <c:v>20131029</c:v>
                </c:pt>
                <c:pt idx="302">
                  <c:v>20131030</c:v>
                </c:pt>
                <c:pt idx="303">
                  <c:v>20131031</c:v>
                </c:pt>
                <c:pt idx="304">
                  <c:v>20131101</c:v>
                </c:pt>
                <c:pt idx="305">
                  <c:v>20131102</c:v>
                </c:pt>
                <c:pt idx="306">
                  <c:v>20131103</c:v>
                </c:pt>
                <c:pt idx="307">
                  <c:v>20131104</c:v>
                </c:pt>
                <c:pt idx="308">
                  <c:v>20131105</c:v>
                </c:pt>
                <c:pt idx="309">
                  <c:v>20131106</c:v>
                </c:pt>
                <c:pt idx="310">
                  <c:v>20131107</c:v>
                </c:pt>
                <c:pt idx="311">
                  <c:v>20131108</c:v>
                </c:pt>
                <c:pt idx="312">
                  <c:v>20131109</c:v>
                </c:pt>
                <c:pt idx="313">
                  <c:v>20131110</c:v>
                </c:pt>
                <c:pt idx="314">
                  <c:v>20131111</c:v>
                </c:pt>
                <c:pt idx="315">
                  <c:v>20131112</c:v>
                </c:pt>
                <c:pt idx="316">
                  <c:v>20131113</c:v>
                </c:pt>
                <c:pt idx="317">
                  <c:v>20131114</c:v>
                </c:pt>
                <c:pt idx="318">
                  <c:v>20131115</c:v>
                </c:pt>
                <c:pt idx="319">
                  <c:v>20131116</c:v>
                </c:pt>
                <c:pt idx="320">
                  <c:v>20131117</c:v>
                </c:pt>
                <c:pt idx="321">
                  <c:v>20131118</c:v>
                </c:pt>
                <c:pt idx="322">
                  <c:v>20131119</c:v>
                </c:pt>
                <c:pt idx="323">
                  <c:v>20131120</c:v>
                </c:pt>
                <c:pt idx="324">
                  <c:v>20131121</c:v>
                </c:pt>
                <c:pt idx="325">
                  <c:v>20131122</c:v>
                </c:pt>
                <c:pt idx="326">
                  <c:v>20131123</c:v>
                </c:pt>
                <c:pt idx="327">
                  <c:v>20131124</c:v>
                </c:pt>
                <c:pt idx="328">
                  <c:v>20131125</c:v>
                </c:pt>
                <c:pt idx="329">
                  <c:v>20131126</c:v>
                </c:pt>
                <c:pt idx="330">
                  <c:v>20131127</c:v>
                </c:pt>
                <c:pt idx="331">
                  <c:v>20131128</c:v>
                </c:pt>
                <c:pt idx="332">
                  <c:v>20131129</c:v>
                </c:pt>
                <c:pt idx="333">
                  <c:v>20131130</c:v>
                </c:pt>
                <c:pt idx="334">
                  <c:v>20131201</c:v>
                </c:pt>
                <c:pt idx="335">
                  <c:v>20131202</c:v>
                </c:pt>
                <c:pt idx="336">
                  <c:v>20131203</c:v>
                </c:pt>
                <c:pt idx="337">
                  <c:v>20131204</c:v>
                </c:pt>
                <c:pt idx="338">
                  <c:v>20131205</c:v>
                </c:pt>
                <c:pt idx="339">
                  <c:v>20131206</c:v>
                </c:pt>
                <c:pt idx="340">
                  <c:v>20131207</c:v>
                </c:pt>
                <c:pt idx="341">
                  <c:v>20131208</c:v>
                </c:pt>
                <c:pt idx="342">
                  <c:v>20131209</c:v>
                </c:pt>
                <c:pt idx="343">
                  <c:v>20131210</c:v>
                </c:pt>
                <c:pt idx="344">
                  <c:v>20131211</c:v>
                </c:pt>
                <c:pt idx="345">
                  <c:v>20131212</c:v>
                </c:pt>
                <c:pt idx="346">
                  <c:v>20131213</c:v>
                </c:pt>
                <c:pt idx="347">
                  <c:v>20131214</c:v>
                </c:pt>
                <c:pt idx="348">
                  <c:v>20131215</c:v>
                </c:pt>
                <c:pt idx="349">
                  <c:v>20131216</c:v>
                </c:pt>
                <c:pt idx="350">
                  <c:v>20131217</c:v>
                </c:pt>
                <c:pt idx="351">
                  <c:v>20131218</c:v>
                </c:pt>
                <c:pt idx="352">
                  <c:v>20131219</c:v>
                </c:pt>
                <c:pt idx="353">
                  <c:v>20131220</c:v>
                </c:pt>
                <c:pt idx="354">
                  <c:v>20131221</c:v>
                </c:pt>
                <c:pt idx="355">
                  <c:v>20131222</c:v>
                </c:pt>
                <c:pt idx="356">
                  <c:v>20131223</c:v>
                </c:pt>
                <c:pt idx="357">
                  <c:v>20131224</c:v>
                </c:pt>
                <c:pt idx="358">
                  <c:v>20131225</c:v>
                </c:pt>
                <c:pt idx="359">
                  <c:v>20131226</c:v>
                </c:pt>
                <c:pt idx="360">
                  <c:v>20131227</c:v>
                </c:pt>
                <c:pt idx="361">
                  <c:v>20131228</c:v>
                </c:pt>
                <c:pt idx="362">
                  <c:v>20131229</c:v>
                </c:pt>
                <c:pt idx="363">
                  <c:v>20131230</c:v>
                </c:pt>
                <c:pt idx="364">
                  <c:v>20131231</c:v>
                </c:pt>
              </c:numCache>
            </c:numRef>
          </c:cat>
          <c:val>
            <c:numRef>
              <c:f>Sheet1!$F$2:$F$366</c:f>
              <c:numCache>
                <c:formatCode>General</c:formatCode>
                <c:ptCount val="365"/>
                <c:pt idx="0">
                  <c:v>120</c:v>
                </c:pt>
                <c:pt idx="1">
                  <c:v>120</c:v>
                </c:pt>
                <c:pt idx="2">
                  <c:v>120</c:v>
                </c:pt>
                <c:pt idx="3">
                  <c:v>120</c:v>
                </c:pt>
                <c:pt idx="4">
                  <c:v>120</c:v>
                </c:pt>
                <c:pt idx="5">
                  <c:v>120</c:v>
                </c:pt>
                <c:pt idx="6">
                  <c:v>120</c:v>
                </c:pt>
                <c:pt idx="7">
                  <c:v>120</c:v>
                </c:pt>
                <c:pt idx="8">
                  <c:v>120</c:v>
                </c:pt>
                <c:pt idx="9">
                  <c:v>120</c:v>
                </c:pt>
                <c:pt idx="10">
                  <c:v>120</c:v>
                </c:pt>
                <c:pt idx="11">
                  <c:v>120</c:v>
                </c:pt>
                <c:pt idx="12">
                  <c:v>120</c:v>
                </c:pt>
                <c:pt idx="13">
                  <c:v>120</c:v>
                </c:pt>
                <c:pt idx="14">
                  <c:v>120</c:v>
                </c:pt>
                <c:pt idx="15">
                  <c:v>120</c:v>
                </c:pt>
                <c:pt idx="16">
                  <c:v>120</c:v>
                </c:pt>
                <c:pt idx="17">
                  <c:v>120</c:v>
                </c:pt>
                <c:pt idx="18">
                  <c:v>120</c:v>
                </c:pt>
                <c:pt idx="19">
                  <c:v>120</c:v>
                </c:pt>
                <c:pt idx="20">
                  <c:v>120</c:v>
                </c:pt>
                <c:pt idx="21">
                  <c:v>120</c:v>
                </c:pt>
                <c:pt idx="22">
                  <c:v>120</c:v>
                </c:pt>
                <c:pt idx="23">
                  <c:v>120</c:v>
                </c:pt>
                <c:pt idx="24">
                  <c:v>120</c:v>
                </c:pt>
                <c:pt idx="25">
                  <c:v>120</c:v>
                </c:pt>
                <c:pt idx="26">
                  <c:v>120</c:v>
                </c:pt>
                <c:pt idx="27">
                  <c:v>120</c:v>
                </c:pt>
                <c:pt idx="28">
                  <c:v>120</c:v>
                </c:pt>
                <c:pt idx="29">
                  <c:v>120</c:v>
                </c:pt>
                <c:pt idx="30">
                  <c:v>120</c:v>
                </c:pt>
                <c:pt idx="31">
                  <c:v>120</c:v>
                </c:pt>
                <c:pt idx="32">
                  <c:v>120</c:v>
                </c:pt>
                <c:pt idx="33">
                  <c:v>120</c:v>
                </c:pt>
                <c:pt idx="34">
                  <c:v>120</c:v>
                </c:pt>
                <c:pt idx="35">
                  <c:v>120</c:v>
                </c:pt>
                <c:pt idx="36">
                  <c:v>120</c:v>
                </c:pt>
                <c:pt idx="37">
                  <c:v>120</c:v>
                </c:pt>
                <c:pt idx="38">
                  <c:v>120</c:v>
                </c:pt>
                <c:pt idx="39">
                  <c:v>120</c:v>
                </c:pt>
                <c:pt idx="40">
                  <c:v>120</c:v>
                </c:pt>
                <c:pt idx="41">
                  <c:v>120</c:v>
                </c:pt>
                <c:pt idx="42">
                  <c:v>120</c:v>
                </c:pt>
                <c:pt idx="43">
                  <c:v>120</c:v>
                </c:pt>
                <c:pt idx="44">
                  <c:v>120</c:v>
                </c:pt>
                <c:pt idx="45">
                  <c:v>120</c:v>
                </c:pt>
                <c:pt idx="46">
                  <c:v>120</c:v>
                </c:pt>
                <c:pt idx="47">
                  <c:v>120</c:v>
                </c:pt>
                <c:pt idx="48">
                  <c:v>120</c:v>
                </c:pt>
                <c:pt idx="49">
                  <c:v>120</c:v>
                </c:pt>
                <c:pt idx="50">
                  <c:v>120</c:v>
                </c:pt>
                <c:pt idx="51">
                  <c:v>120</c:v>
                </c:pt>
                <c:pt idx="52">
                  <c:v>120</c:v>
                </c:pt>
                <c:pt idx="53">
                  <c:v>120</c:v>
                </c:pt>
                <c:pt idx="54">
                  <c:v>120</c:v>
                </c:pt>
                <c:pt idx="55">
                  <c:v>120</c:v>
                </c:pt>
                <c:pt idx="56">
                  <c:v>120</c:v>
                </c:pt>
                <c:pt idx="57">
                  <c:v>120</c:v>
                </c:pt>
                <c:pt idx="58">
                  <c:v>120</c:v>
                </c:pt>
                <c:pt idx="59">
                  <c:v>120</c:v>
                </c:pt>
                <c:pt idx="60">
                  <c:v>120</c:v>
                </c:pt>
                <c:pt idx="61">
                  <c:v>120</c:v>
                </c:pt>
                <c:pt idx="62">
                  <c:v>120</c:v>
                </c:pt>
                <c:pt idx="63">
                  <c:v>120</c:v>
                </c:pt>
                <c:pt idx="64">
                  <c:v>120</c:v>
                </c:pt>
                <c:pt idx="65">
                  <c:v>120</c:v>
                </c:pt>
                <c:pt idx="66">
                  <c:v>120</c:v>
                </c:pt>
                <c:pt idx="67">
                  <c:v>120</c:v>
                </c:pt>
                <c:pt idx="68">
                  <c:v>120</c:v>
                </c:pt>
                <c:pt idx="69">
                  <c:v>120</c:v>
                </c:pt>
                <c:pt idx="70">
                  <c:v>120</c:v>
                </c:pt>
                <c:pt idx="71">
                  <c:v>120</c:v>
                </c:pt>
                <c:pt idx="72">
                  <c:v>120</c:v>
                </c:pt>
                <c:pt idx="73">
                  <c:v>120</c:v>
                </c:pt>
                <c:pt idx="74">
                  <c:v>120</c:v>
                </c:pt>
                <c:pt idx="75">
                  <c:v>120</c:v>
                </c:pt>
                <c:pt idx="76">
                  <c:v>120</c:v>
                </c:pt>
                <c:pt idx="77">
                  <c:v>120</c:v>
                </c:pt>
                <c:pt idx="78">
                  <c:v>120</c:v>
                </c:pt>
                <c:pt idx="79">
                  <c:v>120</c:v>
                </c:pt>
                <c:pt idx="80">
                  <c:v>120</c:v>
                </c:pt>
                <c:pt idx="81">
                  <c:v>120</c:v>
                </c:pt>
                <c:pt idx="82">
                  <c:v>120</c:v>
                </c:pt>
                <c:pt idx="83">
                  <c:v>120</c:v>
                </c:pt>
                <c:pt idx="84">
                  <c:v>120</c:v>
                </c:pt>
                <c:pt idx="85">
                  <c:v>120</c:v>
                </c:pt>
                <c:pt idx="86">
                  <c:v>120</c:v>
                </c:pt>
                <c:pt idx="87">
                  <c:v>120</c:v>
                </c:pt>
                <c:pt idx="88">
                  <c:v>120</c:v>
                </c:pt>
                <c:pt idx="89">
                  <c:v>120</c:v>
                </c:pt>
                <c:pt idx="90">
                  <c:v>120</c:v>
                </c:pt>
                <c:pt idx="91">
                  <c:v>120</c:v>
                </c:pt>
                <c:pt idx="92">
                  <c:v>120</c:v>
                </c:pt>
                <c:pt idx="93">
                  <c:v>120</c:v>
                </c:pt>
                <c:pt idx="94">
                  <c:v>120</c:v>
                </c:pt>
                <c:pt idx="95">
                  <c:v>120</c:v>
                </c:pt>
                <c:pt idx="96">
                  <c:v>120</c:v>
                </c:pt>
                <c:pt idx="97">
                  <c:v>120</c:v>
                </c:pt>
                <c:pt idx="98">
                  <c:v>120</c:v>
                </c:pt>
                <c:pt idx="99">
                  <c:v>120</c:v>
                </c:pt>
                <c:pt idx="100">
                  <c:v>120</c:v>
                </c:pt>
                <c:pt idx="101">
                  <c:v>120</c:v>
                </c:pt>
                <c:pt idx="102">
                  <c:v>120</c:v>
                </c:pt>
                <c:pt idx="103">
                  <c:v>120</c:v>
                </c:pt>
                <c:pt idx="104">
                  <c:v>120</c:v>
                </c:pt>
                <c:pt idx="105">
                  <c:v>120</c:v>
                </c:pt>
                <c:pt idx="106">
                  <c:v>120</c:v>
                </c:pt>
                <c:pt idx="107">
                  <c:v>120</c:v>
                </c:pt>
                <c:pt idx="108">
                  <c:v>120</c:v>
                </c:pt>
                <c:pt idx="109">
                  <c:v>120</c:v>
                </c:pt>
                <c:pt idx="110">
                  <c:v>120</c:v>
                </c:pt>
                <c:pt idx="111">
                  <c:v>120</c:v>
                </c:pt>
                <c:pt idx="112">
                  <c:v>120</c:v>
                </c:pt>
                <c:pt idx="113">
                  <c:v>120</c:v>
                </c:pt>
                <c:pt idx="114">
                  <c:v>120</c:v>
                </c:pt>
                <c:pt idx="115">
                  <c:v>120</c:v>
                </c:pt>
                <c:pt idx="116">
                  <c:v>120</c:v>
                </c:pt>
                <c:pt idx="117">
                  <c:v>120</c:v>
                </c:pt>
                <c:pt idx="118">
                  <c:v>120</c:v>
                </c:pt>
                <c:pt idx="119">
                  <c:v>120</c:v>
                </c:pt>
                <c:pt idx="120">
                  <c:v>120</c:v>
                </c:pt>
                <c:pt idx="121">
                  <c:v>120</c:v>
                </c:pt>
                <c:pt idx="122">
                  <c:v>120</c:v>
                </c:pt>
                <c:pt idx="123">
                  <c:v>120</c:v>
                </c:pt>
                <c:pt idx="124">
                  <c:v>120</c:v>
                </c:pt>
                <c:pt idx="125">
                  <c:v>120</c:v>
                </c:pt>
                <c:pt idx="126">
                  <c:v>120</c:v>
                </c:pt>
                <c:pt idx="127">
                  <c:v>120</c:v>
                </c:pt>
                <c:pt idx="128">
                  <c:v>120</c:v>
                </c:pt>
                <c:pt idx="129">
                  <c:v>120</c:v>
                </c:pt>
                <c:pt idx="130">
                  <c:v>120</c:v>
                </c:pt>
                <c:pt idx="131">
                  <c:v>120</c:v>
                </c:pt>
                <c:pt idx="132">
                  <c:v>120</c:v>
                </c:pt>
                <c:pt idx="133">
                  <c:v>120</c:v>
                </c:pt>
                <c:pt idx="134">
                  <c:v>120</c:v>
                </c:pt>
                <c:pt idx="135">
                  <c:v>120</c:v>
                </c:pt>
                <c:pt idx="136">
                  <c:v>120</c:v>
                </c:pt>
                <c:pt idx="137">
                  <c:v>120</c:v>
                </c:pt>
                <c:pt idx="138">
                  <c:v>120</c:v>
                </c:pt>
                <c:pt idx="139">
                  <c:v>120</c:v>
                </c:pt>
                <c:pt idx="140">
                  <c:v>120</c:v>
                </c:pt>
                <c:pt idx="141">
                  <c:v>120</c:v>
                </c:pt>
                <c:pt idx="142">
                  <c:v>120</c:v>
                </c:pt>
                <c:pt idx="143">
                  <c:v>120</c:v>
                </c:pt>
                <c:pt idx="144">
                  <c:v>120</c:v>
                </c:pt>
                <c:pt idx="145">
                  <c:v>120</c:v>
                </c:pt>
                <c:pt idx="146">
                  <c:v>120</c:v>
                </c:pt>
                <c:pt idx="147">
                  <c:v>120</c:v>
                </c:pt>
                <c:pt idx="148">
                  <c:v>120</c:v>
                </c:pt>
                <c:pt idx="149">
                  <c:v>120</c:v>
                </c:pt>
                <c:pt idx="150">
                  <c:v>120</c:v>
                </c:pt>
                <c:pt idx="151">
                  <c:v>120</c:v>
                </c:pt>
                <c:pt idx="152">
                  <c:v>120</c:v>
                </c:pt>
                <c:pt idx="153">
                  <c:v>120</c:v>
                </c:pt>
                <c:pt idx="154">
                  <c:v>120</c:v>
                </c:pt>
                <c:pt idx="155">
                  <c:v>120</c:v>
                </c:pt>
                <c:pt idx="156">
                  <c:v>120</c:v>
                </c:pt>
                <c:pt idx="157">
                  <c:v>120</c:v>
                </c:pt>
                <c:pt idx="158">
                  <c:v>120</c:v>
                </c:pt>
                <c:pt idx="159">
                  <c:v>120</c:v>
                </c:pt>
                <c:pt idx="160">
                  <c:v>120</c:v>
                </c:pt>
                <c:pt idx="161">
                  <c:v>120</c:v>
                </c:pt>
                <c:pt idx="162">
                  <c:v>120</c:v>
                </c:pt>
                <c:pt idx="163">
                  <c:v>120</c:v>
                </c:pt>
                <c:pt idx="164">
                  <c:v>120</c:v>
                </c:pt>
                <c:pt idx="165">
                  <c:v>120</c:v>
                </c:pt>
                <c:pt idx="166">
                  <c:v>120</c:v>
                </c:pt>
                <c:pt idx="167">
                  <c:v>120</c:v>
                </c:pt>
                <c:pt idx="168">
                  <c:v>120</c:v>
                </c:pt>
                <c:pt idx="169">
                  <c:v>120</c:v>
                </c:pt>
                <c:pt idx="170">
                  <c:v>120</c:v>
                </c:pt>
                <c:pt idx="171">
                  <c:v>120</c:v>
                </c:pt>
                <c:pt idx="172">
                  <c:v>120</c:v>
                </c:pt>
                <c:pt idx="173">
                  <c:v>120</c:v>
                </c:pt>
                <c:pt idx="174">
                  <c:v>120</c:v>
                </c:pt>
                <c:pt idx="175">
                  <c:v>120</c:v>
                </c:pt>
                <c:pt idx="176">
                  <c:v>120</c:v>
                </c:pt>
                <c:pt idx="177">
                  <c:v>120</c:v>
                </c:pt>
                <c:pt idx="178">
                  <c:v>120</c:v>
                </c:pt>
                <c:pt idx="179">
                  <c:v>120</c:v>
                </c:pt>
                <c:pt idx="180">
                  <c:v>120</c:v>
                </c:pt>
                <c:pt idx="181">
                  <c:v>120</c:v>
                </c:pt>
                <c:pt idx="182">
                  <c:v>120</c:v>
                </c:pt>
                <c:pt idx="183">
                  <c:v>120</c:v>
                </c:pt>
                <c:pt idx="184">
                  <c:v>120</c:v>
                </c:pt>
                <c:pt idx="185">
                  <c:v>120</c:v>
                </c:pt>
                <c:pt idx="186">
                  <c:v>120</c:v>
                </c:pt>
                <c:pt idx="187">
                  <c:v>120</c:v>
                </c:pt>
                <c:pt idx="188">
                  <c:v>120</c:v>
                </c:pt>
                <c:pt idx="189">
                  <c:v>120</c:v>
                </c:pt>
                <c:pt idx="190">
                  <c:v>120</c:v>
                </c:pt>
                <c:pt idx="191">
                  <c:v>120</c:v>
                </c:pt>
                <c:pt idx="192">
                  <c:v>120</c:v>
                </c:pt>
                <c:pt idx="193">
                  <c:v>120</c:v>
                </c:pt>
                <c:pt idx="194">
                  <c:v>120</c:v>
                </c:pt>
                <c:pt idx="195">
                  <c:v>120</c:v>
                </c:pt>
                <c:pt idx="196">
                  <c:v>120</c:v>
                </c:pt>
                <c:pt idx="197">
                  <c:v>120</c:v>
                </c:pt>
                <c:pt idx="198">
                  <c:v>120</c:v>
                </c:pt>
                <c:pt idx="199">
                  <c:v>120</c:v>
                </c:pt>
                <c:pt idx="200">
                  <c:v>120</c:v>
                </c:pt>
                <c:pt idx="201">
                  <c:v>120</c:v>
                </c:pt>
                <c:pt idx="202">
                  <c:v>120</c:v>
                </c:pt>
                <c:pt idx="203">
                  <c:v>120</c:v>
                </c:pt>
                <c:pt idx="204">
                  <c:v>120</c:v>
                </c:pt>
                <c:pt idx="205">
                  <c:v>120</c:v>
                </c:pt>
                <c:pt idx="206">
                  <c:v>120</c:v>
                </c:pt>
                <c:pt idx="207">
                  <c:v>120</c:v>
                </c:pt>
                <c:pt idx="208">
                  <c:v>120</c:v>
                </c:pt>
                <c:pt idx="209">
                  <c:v>120</c:v>
                </c:pt>
                <c:pt idx="210">
                  <c:v>120</c:v>
                </c:pt>
                <c:pt idx="211">
                  <c:v>120</c:v>
                </c:pt>
                <c:pt idx="212">
                  <c:v>120</c:v>
                </c:pt>
                <c:pt idx="213">
                  <c:v>120</c:v>
                </c:pt>
                <c:pt idx="214">
                  <c:v>120</c:v>
                </c:pt>
                <c:pt idx="215">
                  <c:v>120</c:v>
                </c:pt>
                <c:pt idx="216">
                  <c:v>120</c:v>
                </c:pt>
                <c:pt idx="217">
                  <c:v>120</c:v>
                </c:pt>
                <c:pt idx="218">
                  <c:v>120</c:v>
                </c:pt>
                <c:pt idx="219">
                  <c:v>120</c:v>
                </c:pt>
                <c:pt idx="220">
                  <c:v>120</c:v>
                </c:pt>
                <c:pt idx="221">
                  <c:v>120</c:v>
                </c:pt>
                <c:pt idx="222">
                  <c:v>120</c:v>
                </c:pt>
                <c:pt idx="223">
                  <c:v>120</c:v>
                </c:pt>
                <c:pt idx="224">
                  <c:v>120</c:v>
                </c:pt>
                <c:pt idx="225">
                  <c:v>120</c:v>
                </c:pt>
                <c:pt idx="226">
                  <c:v>120</c:v>
                </c:pt>
                <c:pt idx="227">
                  <c:v>120</c:v>
                </c:pt>
                <c:pt idx="228">
                  <c:v>120</c:v>
                </c:pt>
                <c:pt idx="229">
                  <c:v>120</c:v>
                </c:pt>
                <c:pt idx="230">
                  <c:v>120</c:v>
                </c:pt>
                <c:pt idx="231">
                  <c:v>120</c:v>
                </c:pt>
                <c:pt idx="232">
                  <c:v>120</c:v>
                </c:pt>
                <c:pt idx="233">
                  <c:v>120</c:v>
                </c:pt>
                <c:pt idx="234">
                  <c:v>120</c:v>
                </c:pt>
                <c:pt idx="235">
                  <c:v>120</c:v>
                </c:pt>
                <c:pt idx="236">
                  <c:v>120</c:v>
                </c:pt>
                <c:pt idx="237">
                  <c:v>120</c:v>
                </c:pt>
                <c:pt idx="238">
                  <c:v>120</c:v>
                </c:pt>
                <c:pt idx="239">
                  <c:v>120</c:v>
                </c:pt>
                <c:pt idx="240">
                  <c:v>120</c:v>
                </c:pt>
                <c:pt idx="241">
                  <c:v>120</c:v>
                </c:pt>
                <c:pt idx="242">
                  <c:v>120</c:v>
                </c:pt>
                <c:pt idx="243">
                  <c:v>120</c:v>
                </c:pt>
                <c:pt idx="244">
                  <c:v>120</c:v>
                </c:pt>
                <c:pt idx="245">
                  <c:v>120</c:v>
                </c:pt>
                <c:pt idx="246">
                  <c:v>120</c:v>
                </c:pt>
                <c:pt idx="247">
                  <c:v>120</c:v>
                </c:pt>
                <c:pt idx="248">
                  <c:v>120</c:v>
                </c:pt>
                <c:pt idx="249">
                  <c:v>120</c:v>
                </c:pt>
                <c:pt idx="250">
                  <c:v>120</c:v>
                </c:pt>
                <c:pt idx="251">
                  <c:v>120</c:v>
                </c:pt>
                <c:pt idx="252">
                  <c:v>120</c:v>
                </c:pt>
                <c:pt idx="253">
                  <c:v>120</c:v>
                </c:pt>
                <c:pt idx="254">
                  <c:v>120</c:v>
                </c:pt>
                <c:pt idx="255">
                  <c:v>120</c:v>
                </c:pt>
                <c:pt idx="256">
                  <c:v>120</c:v>
                </c:pt>
                <c:pt idx="257">
                  <c:v>120</c:v>
                </c:pt>
                <c:pt idx="258">
                  <c:v>120</c:v>
                </c:pt>
                <c:pt idx="259">
                  <c:v>120</c:v>
                </c:pt>
                <c:pt idx="260">
                  <c:v>120</c:v>
                </c:pt>
                <c:pt idx="261">
                  <c:v>120</c:v>
                </c:pt>
                <c:pt idx="262">
                  <c:v>120</c:v>
                </c:pt>
                <c:pt idx="263">
                  <c:v>120</c:v>
                </c:pt>
                <c:pt idx="264">
                  <c:v>120</c:v>
                </c:pt>
                <c:pt idx="265">
                  <c:v>120</c:v>
                </c:pt>
                <c:pt idx="266">
                  <c:v>120</c:v>
                </c:pt>
                <c:pt idx="267">
                  <c:v>120</c:v>
                </c:pt>
                <c:pt idx="268">
                  <c:v>120</c:v>
                </c:pt>
                <c:pt idx="269">
                  <c:v>120</c:v>
                </c:pt>
                <c:pt idx="270">
                  <c:v>120</c:v>
                </c:pt>
                <c:pt idx="271">
                  <c:v>120</c:v>
                </c:pt>
                <c:pt idx="272">
                  <c:v>120</c:v>
                </c:pt>
                <c:pt idx="273">
                  <c:v>120</c:v>
                </c:pt>
                <c:pt idx="274">
                  <c:v>120</c:v>
                </c:pt>
                <c:pt idx="275">
                  <c:v>120</c:v>
                </c:pt>
                <c:pt idx="276">
                  <c:v>120</c:v>
                </c:pt>
                <c:pt idx="277">
                  <c:v>120</c:v>
                </c:pt>
                <c:pt idx="278">
                  <c:v>120</c:v>
                </c:pt>
                <c:pt idx="279">
                  <c:v>120</c:v>
                </c:pt>
                <c:pt idx="280">
                  <c:v>120</c:v>
                </c:pt>
                <c:pt idx="281">
                  <c:v>120</c:v>
                </c:pt>
                <c:pt idx="282">
                  <c:v>120</c:v>
                </c:pt>
                <c:pt idx="283">
                  <c:v>120</c:v>
                </c:pt>
                <c:pt idx="284">
                  <c:v>120</c:v>
                </c:pt>
                <c:pt idx="285">
                  <c:v>120</c:v>
                </c:pt>
                <c:pt idx="286">
                  <c:v>120</c:v>
                </c:pt>
                <c:pt idx="287">
                  <c:v>120</c:v>
                </c:pt>
                <c:pt idx="288">
                  <c:v>120</c:v>
                </c:pt>
                <c:pt idx="289">
                  <c:v>120</c:v>
                </c:pt>
                <c:pt idx="290">
                  <c:v>120</c:v>
                </c:pt>
                <c:pt idx="291">
                  <c:v>120</c:v>
                </c:pt>
                <c:pt idx="292">
                  <c:v>120</c:v>
                </c:pt>
                <c:pt idx="293">
                  <c:v>120</c:v>
                </c:pt>
                <c:pt idx="294">
                  <c:v>120</c:v>
                </c:pt>
                <c:pt idx="295">
                  <c:v>120</c:v>
                </c:pt>
                <c:pt idx="296">
                  <c:v>120</c:v>
                </c:pt>
                <c:pt idx="297">
                  <c:v>120</c:v>
                </c:pt>
                <c:pt idx="298">
                  <c:v>120</c:v>
                </c:pt>
                <c:pt idx="299">
                  <c:v>120</c:v>
                </c:pt>
                <c:pt idx="300">
                  <c:v>120</c:v>
                </c:pt>
                <c:pt idx="301">
                  <c:v>120</c:v>
                </c:pt>
                <c:pt idx="302">
                  <c:v>120</c:v>
                </c:pt>
                <c:pt idx="303">
                  <c:v>120</c:v>
                </c:pt>
                <c:pt idx="304">
                  <c:v>120</c:v>
                </c:pt>
                <c:pt idx="305">
                  <c:v>120</c:v>
                </c:pt>
                <c:pt idx="306">
                  <c:v>120</c:v>
                </c:pt>
                <c:pt idx="307">
                  <c:v>120</c:v>
                </c:pt>
                <c:pt idx="308">
                  <c:v>120</c:v>
                </c:pt>
                <c:pt idx="309">
                  <c:v>120</c:v>
                </c:pt>
                <c:pt idx="310">
                  <c:v>120</c:v>
                </c:pt>
                <c:pt idx="311">
                  <c:v>120</c:v>
                </c:pt>
                <c:pt idx="312">
                  <c:v>120</c:v>
                </c:pt>
                <c:pt idx="313">
                  <c:v>120</c:v>
                </c:pt>
                <c:pt idx="314">
                  <c:v>120</c:v>
                </c:pt>
                <c:pt idx="315">
                  <c:v>120</c:v>
                </c:pt>
                <c:pt idx="316">
                  <c:v>120</c:v>
                </c:pt>
                <c:pt idx="317">
                  <c:v>120</c:v>
                </c:pt>
                <c:pt idx="318">
                  <c:v>120</c:v>
                </c:pt>
                <c:pt idx="319">
                  <c:v>120</c:v>
                </c:pt>
                <c:pt idx="320">
                  <c:v>120</c:v>
                </c:pt>
                <c:pt idx="321">
                  <c:v>120</c:v>
                </c:pt>
                <c:pt idx="322">
                  <c:v>120</c:v>
                </c:pt>
                <c:pt idx="323">
                  <c:v>120</c:v>
                </c:pt>
                <c:pt idx="324">
                  <c:v>120</c:v>
                </c:pt>
                <c:pt idx="325">
                  <c:v>120</c:v>
                </c:pt>
                <c:pt idx="326">
                  <c:v>120</c:v>
                </c:pt>
                <c:pt idx="327">
                  <c:v>120</c:v>
                </c:pt>
                <c:pt idx="328">
                  <c:v>120</c:v>
                </c:pt>
                <c:pt idx="329">
                  <c:v>120</c:v>
                </c:pt>
                <c:pt idx="330">
                  <c:v>120</c:v>
                </c:pt>
                <c:pt idx="331">
                  <c:v>120</c:v>
                </c:pt>
                <c:pt idx="332">
                  <c:v>120</c:v>
                </c:pt>
                <c:pt idx="333">
                  <c:v>120</c:v>
                </c:pt>
                <c:pt idx="334">
                  <c:v>120</c:v>
                </c:pt>
                <c:pt idx="335">
                  <c:v>120</c:v>
                </c:pt>
                <c:pt idx="336">
                  <c:v>120</c:v>
                </c:pt>
                <c:pt idx="337">
                  <c:v>120</c:v>
                </c:pt>
                <c:pt idx="338">
                  <c:v>120</c:v>
                </c:pt>
                <c:pt idx="339">
                  <c:v>120</c:v>
                </c:pt>
                <c:pt idx="340">
                  <c:v>120</c:v>
                </c:pt>
                <c:pt idx="341">
                  <c:v>120</c:v>
                </c:pt>
                <c:pt idx="342">
                  <c:v>120</c:v>
                </c:pt>
                <c:pt idx="343">
                  <c:v>120</c:v>
                </c:pt>
                <c:pt idx="344">
                  <c:v>120</c:v>
                </c:pt>
                <c:pt idx="345">
                  <c:v>120</c:v>
                </c:pt>
                <c:pt idx="346">
                  <c:v>120</c:v>
                </c:pt>
                <c:pt idx="347">
                  <c:v>120</c:v>
                </c:pt>
                <c:pt idx="348">
                  <c:v>120</c:v>
                </c:pt>
                <c:pt idx="349">
                  <c:v>120</c:v>
                </c:pt>
                <c:pt idx="350">
                  <c:v>120</c:v>
                </c:pt>
                <c:pt idx="351">
                  <c:v>120</c:v>
                </c:pt>
                <c:pt idx="352">
                  <c:v>120</c:v>
                </c:pt>
                <c:pt idx="353">
                  <c:v>120</c:v>
                </c:pt>
                <c:pt idx="354">
                  <c:v>120</c:v>
                </c:pt>
                <c:pt idx="355">
                  <c:v>120</c:v>
                </c:pt>
                <c:pt idx="356">
                  <c:v>120</c:v>
                </c:pt>
                <c:pt idx="357">
                  <c:v>120</c:v>
                </c:pt>
                <c:pt idx="358">
                  <c:v>120</c:v>
                </c:pt>
                <c:pt idx="359">
                  <c:v>120</c:v>
                </c:pt>
                <c:pt idx="360">
                  <c:v>120</c:v>
                </c:pt>
                <c:pt idx="361">
                  <c:v>120</c:v>
                </c:pt>
                <c:pt idx="362">
                  <c:v>120</c:v>
                </c:pt>
                <c:pt idx="363">
                  <c:v>120</c:v>
                </c:pt>
                <c:pt idx="364">
                  <c:v>120</c:v>
                </c:pt>
              </c:numCache>
            </c:numRef>
          </c:val>
          <c:smooth val="0"/>
          <c:extLst>
            <c:ext xmlns:c16="http://schemas.microsoft.com/office/drawing/2014/chart" uri="{C3380CC4-5D6E-409C-BE32-E72D297353CC}">
              <c16:uniqueId val="{00000004-F977-409D-961B-2F3656AE3B65}"/>
            </c:ext>
          </c:extLst>
        </c:ser>
        <c:dLbls>
          <c:showLegendKey val="0"/>
          <c:showVal val="0"/>
          <c:showCatName val="0"/>
          <c:showSerName val="0"/>
          <c:showPercent val="0"/>
          <c:showBubbleSize val="0"/>
        </c:dLbls>
        <c:smooth val="0"/>
        <c:axId val="356145152"/>
        <c:axId val="413400384"/>
      </c:lineChart>
      <c:catAx>
        <c:axId val="356145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3400384"/>
        <c:crosses val="autoZero"/>
        <c:auto val="1"/>
        <c:lblAlgn val="ctr"/>
        <c:lblOffset val="100"/>
        <c:noMultiLvlLbl val="0"/>
      </c:catAx>
      <c:valAx>
        <c:axId val="4134003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1000" b="0" i="0" u="none" strike="noStrike" kern="1200" baseline="0">
                    <a:solidFill>
                      <a:schemeClr val="tx1">
                        <a:lumMod val="65000"/>
                        <a:lumOff val="35000"/>
                      </a:schemeClr>
                    </a:solidFill>
                    <a:latin typeface="Cambria" panose="02040503050406030204" pitchFamily="18" charset="0"/>
                    <a:ea typeface="+mn-ea"/>
                    <a:cs typeface="+mn-cs"/>
                  </a:defRPr>
                </a:pPr>
                <a:r>
                  <a:rPr lang="ro-RO"/>
                  <a:t>ug/mc</a:t>
                </a:r>
              </a:p>
            </c:rich>
          </c:tx>
          <c:layout>
            <c:manualLayout>
              <c:xMode val="edge"/>
              <c:yMode val="edge"/>
              <c:x val="1.0014173228346461E-2"/>
              <c:y val="0.341364484044758"/>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356145152"/>
        <c:crosses val="autoZero"/>
        <c:crossBetween val="between"/>
      </c:valAx>
      <c:spPr>
        <a:noFill/>
        <a:ln>
          <a:noFill/>
        </a:ln>
        <a:effectLst/>
      </c:spPr>
    </c:plotArea>
    <c:legend>
      <c:legendPos val="b"/>
      <c:layout>
        <c:manualLayout>
          <c:xMode val="edge"/>
          <c:yMode val="edge"/>
          <c:x val="0.10205651793525809"/>
          <c:y val="0.92580242436800664"/>
          <c:w val="0.89794355363793421"/>
          <c:h val="5.4093452134272732E-2"/>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4014348206474299E-2"/>
          <c:y val="7.7465904997169474E-2"/>
          <c:w val="0.89057987751531065"/>
          <c:h val="0.63993571455742004"/>
        </c:manualLayout>
      </c:layout>
      <c:lineChart>
        <c:grouping val="standard"/>
        <c:varyColors val="0"/>
        <c:ser>
          <c:idx val="0"/>
          <c:order val="0"/>
          <c:tx>
            <c:strRef>
              <c:f>Sheet1!$B$1</c:f>
              <c:strCache>
                <c:ptCount val="1"/>
                <c:pt idx="0">
                  <c:v>BR2</c:v>
                </c:pt>
              </c:strCache>
            </c:strRef>
          </c:tx>
          <c:spPr>
            <a:ln w="12700" cap="rnd">
              <a:solidFill>
                <a:srgbClr val="92D050"/>
              </a:solidFill>
              <a:round/>
            </a:ln>
            <a:effectLst/>
          </c:spPr>
          <c:marker>
            <c:symbol val="none"/>
          </c:marker>
          <c:cat>
            <c:strRef>
              <c:f>Sheet1!$A$2:$A$366</c:f>
              <c:strCache>
                <c:ptCount val="365"/>
                <c:pt idx="0">
                  <c:v>2017 01 01</c:v>
                </c:pt>
                <c:pt idx="1">
                  <c:v>2017 01 02</c:v>
                </c:pt>
                <c:pt idx="2">
                  <c:v>2017 01 03</c:v>
                </c:pt>
                <c:pt idx="3">
                  <c:v>2017 01 04</c:v>
                </c:pt>
                <c:pt idx="4">
                  <c:v>2017 01 05</c:v>
                </c:pt>
                <c:pt idx="5">
                  <c:v>2017 01 06</c:v>
                </c:pt>
                <c:pt idx="6">
                  <c:v>2017 01 07</c:v>
                </c:pt>
                <c:pt idx="7">
                  <c:v>2017 01 08</c:v>
                </c:pt>
                <c:pt idx="8">
                  <c:v>2017 01 09</c:v>
                </c:pt>
                <c:pt idx="9">
                  <c:v>2017 01 10</c:v>
                </c:pt>
                <c:pt idx="10">
                  <c:v>2017 01 11</c:v>
                </c:pt>
                <c:pt idx="11">
                  <c:v>2017 01 12</c:v>
                </c:pt>
                <c:pt idx="12">
                  <c:v>2017 01 13</c:v>
                </c:pt>
                <c:pt idx="13">
                  <c:v>2017 01 14</c:v>
                </c:pt>
                <c:pt idx="14">
                  <c:v>2017 01 15</c:v>
                </c:pt>
                <c:pt idx="15">
                  <c:v>2017 01 16</c:v>
                </c:pt>
                <c:pt idx="16">
                  <c:v>2017 01 17</c:v>
                </c:pt>
                <c:pt idx="17">
                  <c:v>2017 01 18</c:v>
                </c:pt>
                <c:pt idx="18">
                  <c:v>2017 01 19</c:v>
                </c:pt>
                <c:pt idx="19">
                  <c:v>2017 01 20</c:v>
                </c:pt>
                <c:pt idx="20">
                  <c:v>2017 01 21</c:v>
                </c:pt>
                <c:pt idx="21">
                  <c:v>2017 01 22</c:v>
                </c:pt>
                <c:pt idx="22">
                  <c:v>2017 01 23</c:v>
                </c:pt>
                <c:pt idx="23">
                  <c:v>2017 01 24</c:v>
                </c:pt>
                <c:pt idx="24">
                  <c:v>2017 01 25</c:v>
                </c:pt>
                <c:pt idx="25">
                  <c:v>2017 01 26</c:v>
                </c:pt>
                <c:pt idx="26">
                  <c:v>2017 01 27</c:v>
                </c:pt>
                <c:pt idx="27">
                  <c:v>2017 01 28</c:v>
                </c:pt>
                <c:pt idx="28">
                  <c:v>2017 01 29</c:v>
                </c:pt>
                <c:pt idx="29">
                  <c:v>2017 01 30</c:v>
                </c:pt>
                <c:pt idx="30">
                  <c:v>2017 01 31</c:v>
                </c:pt>
                <c:pt idx="31">
                  <c:v>2017 02 01</c:v>
                </c:pt>
                <c:pt idx="32">
                  <c:v>2017 02 02</c:v>
                </c:pt>
                <c:pt idx="33">
                  <c:v>2017 02 03</c:v>
                </c:pt>
                <c:pt idx="34">
                  <c:v>2017 02 04</c:v>
                </c:pt>
                <c:pt idx="35">
                  <c:v>2017 02 05</c:v>
                </c:pt>
                <c:pt idx="36">
                  <c:v>2017 02 06</c:v>
                </c:pt>
                <c:pt idx="37">
                  <c:v>2017 02 07</c:v>
                </c:pt>
                <c:pt idx="38">
                  <c:v>2017 02 08</c:v>
                </c:pt>
                <c:pt idx="39">
                  <c:v>2017 02 09</c:v>
                </c:pt>
                <c:pt idx="40">
                  <c:v>2017 02 10</c:v>
                </c:pt>
                <c:pt idx="41">
                  <c:v>2017 02 11</c:v>
                </c:pt>
                <c:pt idx="42">
                  <c:v>2017 02 12</c:v>
                </c:pt>
                <c:pt idx="43">
                  <c:v>2017 02 13</c:v>
                </c:pt>
                <c:pt idx="44">
                  <c:v>2017 02 14</c:v>
                </c:pt>
                <c:pt idx="45">
                  <c:v>2017 02 15</c:v>
                </c:pt>
                <c:pt idx="46">
                  <c:v>2017 02 16</c:v>
                </c:pt>
                <c:pt idx="47">
                  <c:v>2017 02 17</c:v>
                </c:pt>
                <c:pt idx="48">
                  <c:v>2017 02 18</c:v>
                </c:pt>
                <c:pt idx="49">
                  <c:v>2017 02 19</c:v>
                </c:pt>
                <c:pt idx="50">
                  <c:v>2017 02 20</c:v>
                </c:pt>
                <c:pt idx="51">
                  <c:v>2017 02 21</c:v>
                </c:pt>
                <c:pt idx="52">
                  <c:v>2017 02 22</c:v>
                </c:pt>
                <c:pt idx="53">
                  <c:v>2017 02 23</c:v>
                </c:pt>
                <c:pt idx="54">
                  <c:v>2017 02 24</c:v>
                </c:pt>
                <c:pt idx="55">
                  <c:v>2017 02 25</c:v>
                </c:pt>
                <c:pt idx="56">
                  <c:v>2017 02 26</c:v>
                </c:pt>
                <c:pt idx="57">
                  <c:v>2017 02 27</c:v>
                </c:pt>
                <c:pt idx="58">
                  <c:v>2017 02 28</c:v>
                </c:pt>
                <c:pt idx="59">
                  <c:v>2017 03 01</c:v>
                </c:pt>
                <c:pt idx="60">
                  <c:v>2017 03 02</c:v>
                </c:pt>
                <c:pt idx="61">
                  <c:v>2017 03 03</c:v>
                </c:pt>
                <c:pt idx="62">
                  <c:v>2017 03 04</c:v>
                </c:pt>
                <c:pt idx="63">
                  <c:v>2017 03 05</c:v>
                </c:pt>
                <c:pt idx="64">
                  <c:v>2017 03 06</c:v>
                </c:pt>
                <c:pt idx="65">
                  <c:v>2017 03 07</c:v>
                </c:pt>
                <c:pt idx="66">
                  <c:v>2017 03 08</c:v>
                </c:pt>
                <c:pt idx="67">
                  <c:v>2017 03 09</c:v>
                </c:pt>
                <c:pt idx="68">
                  <c:v>2017 03 10</c:v>
                </c:pt>
                <c:pt idx="69">
                  <c:v>2017 03 11</c:v>
                </c:pt>
                <c:pt idx="70">
                  <c:v>2017 03 12</c:v>
                </c:pt>
                <c:pt idx="71">
                  <c:v>2017 03 13</c:v>
                </c:pt>
                <c:pt idx="72">
                  <c:v>2017 03 14</c:v>
                </c:pt>
                <c:pt idx="73">
                  <c:v>2017 03 15</c:v>
                </c:pt>
                <c:pt idx="74">
                  <c:v>2017 03 16</c:v>
                </c:pt>
                <c:pt idx="75">
                  <c:v>2017 03 17</c:v>
                </c:pt>
                <c:pt idx="76">
                  <c:v>2017 03 18</c:v>
                </c:pt>
                <c:pt idx="77">
                  <c:v>2017 03 19</c:v>
                </c:pt>
                <c:pt idx="78">
                  <c:v>2017 03 20</c:v>
                </c:pt>
                <c:pt idx="79">
                  <c:v>2017 03 21</c:v>
                </c:pt>
                <c:pt idx="80">
                  <c:v>2017 03 22</c:v>
                </c:pt>
                <c:pt idx="81">
                  <c:v>2017 03 23</c:v>
                </c:pt>
                <c:pt idx="82">
                  <c:v>2017 03 24</c:v>
                </c:pt>
                <c:pt idx="83">
                  <c:v>2017 03 25</c:v>
                </c:pt>
                <c:pt idx="84">
                  <c:v>2017 03 26</c:v>
                </c:pt>
                <c:pt idx="85">
                  <c:v>2017 03 27</c:v>
                </c:pt>
                <c:pt idx="86">
                  <c:v>2017 03 28</c:v>
                </c:pt>
                <c:pt idx="87">
                  <c:v>2017 03 29</c:v>
                </c:pt>
                <c:pt idx="88">
                  <c:v>2017 03 30</c:v>
                </c:pt>
                <c:pt idx="89">
                  <c:v>2017 03 31</c:v>
                </c:pt>
                <c:pt idx="90">
                  <c:v>2017 04 01</c:v>
                </c:pt>
                <c:pt idx="91">
                  <c:v>2017 04 02</c:v>
                </c:pt>
                <c:pt idx="92">
                  <c:v>2017 04 03</c:v>
                </c:pt>
                <c:pt idx="93">
                  <c:v>2017 04 04</c:v>
                </c:pt>
                <c:pt idx="94">
                  <c:v>2017 04 05</c:v>
                </c:pt>
                <c:pt idx="95">
                  <c:v>2017 04 06</c:v>
                </c:pt>
                <c:pt idx="96">
                  <c:v>2017 04 07</c:v>
                </c:pt>
                <c:pt idx="97">
                  <c:v>2017 04 08</c:v>
                </c:pt>
                <c:pt idx="98">
                  <c:v>2017 04 09</c:v>
                </c:pt>
                <c:pt idx="99">
                  <c:v>2017 04 10</c:v>
                </c:pt>
                <c:pt idx="100">
                  <c:v>2017 04 11</c:v>
                </c:pt>
                <c:pt idx="101">
                  <c:v>2017 04 12</c:v>
                </c:pt>
                <c:pt idx="102">
                  <c:v>2017 04 13</c:v>
                </c:pt>
                <c:pt idx="103">
                  <c:v>2017 04 14</c:v>
                </c:pt>
                <c:pt idx="104">
                  <c:v>2017 04 15</c:v>
                </c:pt>
                <c:pt idx="105">
                  <c:v>2017 04 16</c:v>
                </c:pt>
                <c:pt idx="106">
                  <c:v>2017 04 17</c:v>
                </c:pt>
                <c:pt idx="107">
                  <c:v>2017 04 18</c:v>
                </c:pt>
                <c:pt idx="108">
                  <c:v>2017 04 19</c:v>
                </c:pt>
                <c:pt idx="109">
                  <c:v>2017 04 20</c:v>
                </c:pt>
                <c:pt idx="110">
                  <c:v>2017 04 21</c:v>
                </c:pt>
                <c:pt idx="111">
                  <c:v>2017 04 22</c:v>
                </c:pt>
                <c:pt idx="112">
                  <c:v>2017 04 23</c:v>
                </c:pt>
                <c:pt idx="113">
                  <c:v>2017 04 24</c:v>
                </c:pt>
                <c:pt idx="114">
                  <c:v>2017 04 25</c:v>
                </c:pt>
                <c:pt idx="115">
                  <c:v>2017 04 26</c:v>
                </c:pt>
                <c:pt idx="116">
                  <c:v>2017 04 27</c:v>
                </c:pt>
                <c:pt idx="117">
                  <c:v>2017 04 28</c:v>
                </c:pt>
                <c:pt idx="118">
                  <c:v>2017 04 29</c:v>
                </c:pt>
                <c:pt idx="119">
                  <c:v>2017 04 30</c:v>
                </c:pt>
                <c:pt idx="120">
                  <c:v>2017 05 01</c:v>
                </c:pt>
                <c:pt idx="121">
                  <c:v>2017 05 02</c:v>
                </c:pt>
                <c:pt idx="122">
                  <c:v>2017 05 03</c:v>
                </c:pt>
                <c:pt idx="123">
                  <c:v>2017 05 04</c:v>
                </c:pt>
                <c:pt idx="124">
                  <c:v>2017 05 05</c:v>
                </c:pt>
                <c:pt idx="125">
                  <c:v>2017 05 06</c:v>
                </c:pt>
                <c:pt idx="126">
                  <c:v>2017 05 07</c:v>
                </c:pt>
                <c:pt idx="127">
                  <c:v>2017 05 08</c:v>
                </c:pt>
                <c:pt idx="128">
                  <c:v>2017 05 09</c:v>
                </c:pt>
                <c:pt idx="129">
                  <c:v>2017 05 10</c:v>
                </c:pt>
                <c:pt idx="130">
                  <c:v>2017 05 11</c:v>
                </c:pt>
                <c:pt idx="131">
                  <c:v>2017 05 12</c:v>
                </c:pt>
                <c:pt idx="132">
                  <c:v>2017 05 13</c:v>
                </c:pt>
                <c:pt idx="133">
                  <c:v>2017 05 14</c:v>
                </c:pt>
                <c:pt idx="134">
                  <c:v>2017 05 15</c:v>
                </c:pt>
                <c:pt idx="135">
                  <c:v>2017 05 16</c:v>
                </c:pt>
                <c:pt idx="136">
                  <c:v>2017 05 17</c:v>
                </c:pt>
                <c:pt idx="137">
                  <c:v>2017 05 18</c:v>
                </c:pt>
                <c:pt idx="138">
                  <c:v>2017 05 19</c:v>
                </c:pt>
                <c:pt idx="139">
                  <c:v>2017 05 20</c:v>
                </c:pt>
                <c:pt idx="140">
                  <c:v>2017 05 21</c:v>
                </c:pt>
                <c:pt idx="141">
                  <c:v>2017 05 22</c:v>
                </c:pt>
                <c:pt idx="142">
                  <c:v>2017 05 23</c:v>
                </c:pt>
                <c:pt idx="143">
                  <c:v>2017 05 24</c:v>
                </c:pt>
                <c:pt idx="144">
                  <c:v>2017 05 25</c:v>
                </c:pt>
                <c:pt idx="145">
                  <c:v>2017 05 26</c:v>
                </c:pt>
                <c:pt idx="146">
                  <c:v>2017 05 27</c:v>
                </c:pt>
                <c:pt idx="147">
                  <c:v>2017 05 28</c:v>
                </c:pt>
                <c:pt idx="148">
                  <c:v>2017 05 29</c:v>
                </c:pt>
                <c:pt idx="149">
                  <c:v>2017 05 30</c:v>
                </c:pt>
                <c:pt idx="150">
                  <c:v>2017 05 31</c:v>
                </c:pt>
                <c:pt idx="151">
                  <c:v>2017 06 01</c:v>
                </c:pt>
                <c:pt idx="152">
                  <c:v>2017 06 02</c:v>
                </c:pt>
                <c:pt idx="153">
                  <c:v>2017 06 03</c:v>
                </c:pt>
                <c:pt idx="154">
                  <c:v>2017 06 04</c:v>
                </c:pt>
                <c:pt idx="155">
                  <c:v>2017 06 05</c:v>
                </c:pt>
                <c:pt idx="156">
                  <c:v>2017 06 06</c:v>
                </c:pt>
                <c:pt idx="157">
                  <c:v>2017 06 07</c:v>
                </c:pt>
                <c:pt idx="158">
                  <c:v>2017 06 08</c:v>
                </c:pt>
                <c:pt idx="159">
                  <c:v>2017 06 09</c:v>
                </c:pt>
                <c:pt idx="160">
                  <c:v>2017 06 10</c:v>
                </c:pt>
                <c:pt idx="161">
                  <c:v>2017 06 11</c:v>
                </c:pt>
                <c:pt idx="162">
                  <c:v>2017 06 12</c:v>
                </c:pt>
                <c:pt idx="163">
                  <c:v>2017 06 13</c:v>
                </c:pt>
                <c:pt idx="164">
                  <c:v>2017 06 14</c:v>
                </c:pt>
                <c:pt idx="165">
                  <c:v>2017 06 15</c:v>
                </c:pt>
                <c:pt idx="166">
                  <c:v>2017 06 16</c:v>
                </c:pt>
                <c:pt idx="167">
                  <c:v>2017 06 17</c:v>
                </c:pt>
                <c:pt idx="168">
                  <c:v>2017 06 18</c:v>
                </c:pt>
                <c:pt idx="169">
                  <c:v>2017 06 19</c:v>
                </c:pt>
                <c:pt idx="170">
                  <c:v>2017 06 20</c:v>
                </c:pt>
                <c:pt idx="171">
                  <c:v>2017 06 21</c:v>
                </c:pt>
                <c:pt idx="172">
                  <c:v>2017 06 22</c:v>
                </c:pt>
                <c:pt idx="173">
                  <c:v>2017 06 23</c:v>
                </c:pt>
                <c:pt idx="174">
                  <c:v>2017 06 24</c:v>
                </c:pt>
                <c:pt idx="175">
                  <c:v>2017 06 25</c:v>
                </c:pt>
                <c:pt idx="176">
                  <c:v>2017 06 26</c:v>
                </c:pt>
                <c:pt idx="177">
                  <c:v>2017 06 27</c:v>
                </c:pt>
                <c:pt idx="178">
                  <c:v>2017 06 28</c:v>
                </c:pt>
                <c:pt idx="179">
                  <c:v>2017 06 29</c:v>
                </c:pt>
                <c:pt idx="180">
                  <c:v>2017 06 30</c:v>
                </c:pt>
                <c:pt idx="181">
                  <c:v>2017 07 01</c:v>
                </c:pt>
                <c:pt idx="182">
                  <c:v>2017 07 02</c:v>
                </c:pt>
                <c:pt idx="183">
                  <c:v>2017 07 03</c:v>
                </c:pt>
                <c:pt idx="184">
                  <c:v>2017 07 04</c:v>
                </c:pt>
                <c:pt idx="185">
                  <c:v>2017 07 05</c:v>
                </c:pt>
                <c:pt idx="186">
                  <c:v>2017 07 06</c:v>
                </c:pt>
                <c:pt idx="187">
                  <c:v>2017 07 07</c:v>
                </c:pt>
                <c:pt idx="188">
                  <c:v>2017 07 08</c:v>
                </c:pt>
                <c:pt idx="189">
                  <c:v>2017 07 09</c:v>
                </c:pt>
                <c:pt idx="190">
                  <c:v>2017 07 10</c:v>
                </c:pt>
                <c:pt idx="191">
                  <c:v>2017 07 11</c:v>
                </c:pt>
                <c:pt idx="192">
                  <c:v>2017 07 12</c:v>
                </c:pt>
                <c:pt idx="193">
                  <c:v>2017 07 13</c:v>
                </c:pt>
                <c:pt idx="194">
                  <c:v>2017 07 14</c:v>
                </c:pt>
                <c:pt idx="195">
                  <c:v>2017 07 15</c:v>
                </c:pt>
                <c:pt idx="196">
                  <c:v>2017 07 16</c:v>
                </c:pt>
                <c:pt idx="197">
                  <c:v>2017 07 17</c:v>
                </c:pt>
                <c:pt idx="198">
                  <c:v>2017 07 18</c:v>
                </c:pt>
                <c:pt idx="199">
                  <c:v>2017 07 19</c:v>
                </c:pt>
                <c:pt idx="200">
                  <c:v>2017 07 20</c:v>
                </c:pt>
                <c:pt idx="201">
                  <c:v>2017 07 21</c:v>
                </c:pt>
                <c:pt idx="202">
                  <c:v>2017 07 22</c:v>
                </c:pt>
                <c:pt idx="203">
                  <c:v>2017 07 23</c:v>
                </c:pt>
                <c:pt idx="204">
                  <c:v>2017 07 24</c:v>
                </c:pt>
                <c:pt idx="205">
                  <c:v>2017 07 25</c:v>
                </c:pt>
                <c:pt idx="206">
                  <c:v>2017 07 26</c:v>
                </c:pt>
                <c:pt idx="207">
                  <c:v>2017 07 27</c:v>
                </c:pt>
                <c:pt idx="208">
                  <c:v>2017 07 28</c:v>
                </c:pt>
                <c:pt idx="209">
                  <c:v>2017 07 29</c:v>
                </c:pt>
                <c:pt idx="210">
                  <c:v>2017 07 30</c:v>
                </c:pt>
                <c:pt idx="211">
                  <c:v>2017 07 31</c:v>
                </c:pt>
                <c:pt idx="212">
                  <c:v>2017 08 01</c:v>
                </c:pt>
                <c:pt idx="213">
                  <c:v>2017 08 02</c:v>
                </c:pt>
                <c:pt idx="214">
                  <c:v>2017 08 03</c:v>
                </c:pt>
                <c:pt idx="215">
                  <c:v>2017 08 04</c:v>
                </c:pt>
                <c:pt idx="216">
                  <c:v>2017 08 05</c:v>
                </c:pt>
                <c:pt idx="217">
                  <c:v>2017 08 06</c:v>
                </c:pt>
                <c:pt idx="218">
                  <c:v>2017 08 07</c:v>
                </c:pt>
                <c:pt idx="219">
                  <c:v>2017 08 08</c:v>
                </c:pt>
                <c:pt idx="220">
                  <c:v>2017 08 09</c:v>
                </c:pt>
                <c:pt idx="221">
                  <c:v>2017 08 10</c:v>
                </c:pt>
                <c:pt idx="222">
                  <c:v>2017 08 11</c:v>
                </c:pt>
                <c:pt idx="223">
                  <c:v>2017 08 12</c:v>
                </c:pt>
                <c:pt idx="224">
                  <c:v>2017 08 13</c:v>
                </c:pt>
                <c:pt idx="225">
                  <c:v>2017 08 14</c:v>
                </c:pt>
                <c:pt idx="226">
                  <c:v>2017 08 15</c:v>
                </c:pt>
                <c:pt idx="227">
                  <c:v>2017 08 16</c:v>
                </c:pt>
                <c:pt idx="228">
                  <c:v>2017 08 17</c:v>
                </c:pt>
                <c:pt idx="229">
                  <c:v>2017 08 18</c:v>
                </c:pt>
                <c:pt idx="230">
                  <c:v>2017 08 19</c:v>
                </c:pt>
                <c:pt idx="231">
                  <c:v>2017 08 20</c:v>
                </c:pt>
                <c:pt idx="232">
                  <c:v>2017 08 21</c:v>
                </c:pt>
                <c:pt idx="233">
                  <c:v>2017 08 22</c:v>
                </c:pt>
                <c:pt idx="234">
                  <c:v>2017 08 23</c:v>
                </c:pt>
                <c:pt idx="235">
                  <c:v>2017 08 24</c:v>
                </c:pt>
                <c:pt idx="236">
                  <c:v>2017 08 25</c:v>
                </c:pt>
                <c:pt idx="237">
                  <c:v>2017 08 26</c:v>
                </c:pt>
                <c:pt idx="238">
                  <c:v>2017 08 27</c:v>
                </c:pt>
                <c:pt idx="239">
                  <c:v>2017 08 28</c:v>
                </c:pt>
                <c:pt idx="240">
                  <c:v>2017 08 29</c:v>
                </c:pt>
                <c:pt idx="241">
                  <c:v>2017 08 30</c:v>
                </c:pt>
                <c:pt idx="242">
                  <c:v>2017 08 31</c:v>
                </c:pt>
                <c:pt idx="243">
                  <c:v>2017 09 01</c:v>
                </c:pt>
                <c:pt idx="244">
                  <c:v>2017 09 02</c:v>
                </c:pt>
                <c:pt idx="245">
                  <c:v>2017 09 03</c:v>
                </c:pt>
                <c:pt idx="246">
                  <c:v>2017 09 04</c:v>
                </c:pt>
                <c:pt idx="247">
                  <c:v>2017 09 05</c:v>
                </c:pt>
                <c:pt idx="248">
                  <c:v>2017 09 06</c:v>
                </c:pt>
                <c:pt idx="249">
                  <c:v>2017 09 07</c:v>
                </c:pt>
                <c:pt idx="250">
                  <c:v>2017 09 08</c:v>
                </c:pt>
                <c:pt idx="251">
                  <c:v>2017 09 09</c:v>
                </c:pt>
                <c:pt idx="252">
                  <c:v>2017 09 10</c:v>
                </c:pt>
                <c:pt idx="253">
                  <c:v>2017 09 11</c:v>
                </c:pt>
                <c:pt idx="254">
                  <c:v>2017 09 12</c:v>
                </c:pt>
                <c:pt idx="255">
                  <c:v>2017 09 13</c:v>
                </c:pt>
                <c:pt idx="256">
                  <c:v>2017 09 14</c:v>
                </c:pt>
                <c:pt idx="257">
                  <c:v>2017 09 15</c:v>
                </c:pt>
                <c:pt idx="258">
                  <c:v>2017 09 16</c:v>
                </c:pt>
                <c:pt idx="259">
                  <c:v>2017 09 17</c:v>
                </c:pt>
                <c:pt idx="260">
                  <c:v>2017 09 18</c:v>
                </c:pt>
                <c:pt idx="261">
                  <c:v>2017 09 19</c:v>
                </c:pt>
                <c:pt idx="262">
                  <c:v>2017 09 20</c:v>
                </c:pt>
                <c:pt idx="263">
                  <c:v>2017 09 21</c:v>
                </c:pt>
                <c:pt idx="264">
                  <c:v>2017 09 22</c:v>
                </c:pt>
                <c:pt idx="265">
                  <c:v>2017 09 23</c:v>
                </c:pt>
                <c:pt idx="266">
                  <c:v>2017 09 24</c:v>
                </c:pt>
                <c:pt idx="267">
                  <c:v>2017 09 25</c:v>
                </c:pt>
                <c:pt idx="268">
                  <c:v>2017 09 26</c:v>
                </c:pt>
                <c:pt idx="269">
                  <c:v>2017 09 27</c:v>
                </c:pt>
                <c:pt idx="270">
                  <c:v>2017 09 28</c:v>
                </c:pt>
                <c:pt idx="271">
                  <c:v>2017 09 29</c:v>
                </c:pt>
                <c:pt idx="272">
                  <c:v>2017 09 30</c:v>
                </c:pt>
                <c:pt idx="273">
                  <c:v>2017 10 01</c:v>
                </c:pt>
                <c:pt idx="274">
                  <c:v>2017 10 02</c:v>
                </c:pt>
                <c:pt idx="275">
                  <c:v>2017 10 03</c:v>
                </c:pt>
                <c:pt idx="276">
                  <c:v>2017 10 04</c:v>
                </c:pt>
                <c:pt idx="277">
                  <c:v>2017 10 05</c:v>
                </c:pt>
                <c:pt idx="278">
                  <c:v>2017 10 06</c:v>
                </c:pt>
                <c:pt idx="279">
                  <c:v>2017 10 07</c:v>
                </c:pt>
                <c:pt idx="280">
                  <c:v>2017 10 08</c:v>
                </c:pt>
                <c:pt idx="281">
                  <c:v>2017 10 09</c:v>
                </c:pt>
                <c:pt idx="282">
                  <c:v>2017 10 10</c:v>
                </c:pt>
                <c:pt idx="283">
                  <c:v>2017 10 11</c:v>
                </c:pt>
                <c:pt idx="284">
                  <c:v>2017 10 12</c:v>
                </c:pt>
                <c:pt idx="285">
                  <c:v>2017 10 13</c:v>
                </c:pt>
                <c:pt idx="286">
                  <c:v>2017 10 14</c:v>
                </c:pt>
                <c:pt idx="287">
                  <c:v>2017 10 15</c:v>
                </c:pt>
                <c:pt idx="288">
                  <c:v>2017 10 16</c:v>
                </c:pt>
                <c:pt idx="289">
                  <c:v>2017 10 17</c:v>
                </c:pt>
                <c:pt idx="290">
                  <c:v>2017 10 18</c:v>
                </c:pt>
                <c:pt idx="291">
                  <c:v>2017 10 19</c:v>
                </c:pt>
                <c:pt idx="292">
                  <c:v>2017 10 20</c:v>
                </c:pt>
                <c:pt idx="293">
                  <c:v>2017 10 21</c:v>
                </c:pt>
                <c:pt idx="294">
                  <c:v>2017 10 22</c:v>
                </c:pt>
                <c:pt idx="295">
                  <c:v>2017 10 23</c:v>
                </c:pt>
                <c:pt idx="296">
                  <c:v>2017 10 24</c:v>
                </c:pt>
                <c:pt idx="297">
                  <c:v>2017 10 25</c:v>
                </c:pt>
                <c:pt idx="298">
                  <c:v>2017 10 26</c:v>
                </c:pt>
                <c:pt idx="299">
                  <c:v>2017 10 27</c:v>
                </c:pt>
                <c:pt idx="300">
                  <c:v>2017 10 28</c:v>
                </c:pt>
                <c:pt idx="301">
                  <c:v>2017 10 29</c:v>
                </c:pt>
                <c:pt idx="302">
                  <c:v>2017 10 30</c:v>
                </c:pt>
                <c:pt idx="303">
                  <c:v>2017 10 31</c:v>
                </c:pt>
                <c:pt idx="304">
                  <c:v>2017 11 01</c:v>
                </c:pt>
                <c:pt idx="305">
                  <c:v>2017 11 02</c:v>
                </c:pt>
                <c:pt idx="306">
                  <c:v>2017 11 03</c:v>
                </c:pt>
                <c:pt idx="307">
                  <c:v>2017 11 04</c:v>
                </c:pt>
                <c:pt idx="308">
                  <c:v>2017 11 05</c:v>
                </c:pt>
                <c:pt idx="309">
                  <c:v>2017 11 06</c:v>
                </c:pt>
                <c:pt idx="310">
                  <c:v>2017 11 07</c:v>
                </c:pt>
                <c:pt idx="311">
                  <c:v>2017 11 08</c:v>
                </c:pt>
                <c:pt idx="312">
                  <c:v>2017 11 09</c:v>
                </c:pt>
                <c:pt idx="313">
                  <c:v>2017 11 10</c:v>
                </c:pt>
                <c:pt idx="314">
                  <c:v>2017 11 11</c:v>
                </c:pt>
                <c:pt idx="315">
                  <c:v>2017 11 12</c:v>
                </c:pt>
                <c:pt idx="316">
                  <c:v>2017 11 13</c:v>
                </c:pt>
                <c:pt idx="317">
                  <c:v>2017 11 14</c:v>
                </c:pt>
                <c:pt idx="318">
                  <c:v>2017 11 15</c:v>
                </c:pt>
                <c:pt idx="319">
                  <c:v>2017 11 16</c:v>
                </c:pt>
                <c:pt idx="320">
                  <c:v>2017 11 17</c:v>
                </c:pt>
                <c:pt idx="321">
                  <c:v>2017 11 18</c:v>
                </c:pt>
                <c:pt idx="322">
                  <c:v>2017 11 19</c:v>
                </c:pt>
                <c:pt idx="323">
                  <c:v>2017 11 20</c:v>
                </c:pt>
                <c:pt idx="324">
                  <c:v>2017 11 21</c:v>
                </c:pt>
                <c:pt idx="325">
                  <c:v>2017 11 22</c:v>
                </c:pt>
                <c:pt idx="326">
                  <c:v>2017 11 23</c:v>
                </c:pt>
                <c:pt idx="327">
                  <c:v>2017 11 24</c:v>
                </c:pt>
                <c:pt idx="328">
                  <c:v>2017 11 25</c:v>
                </c:pt>
                <c:pt idx="329">
                  <c:v>2017 11 26</c:v>
                </c:pt>
                <c:pt idx="330">
                  <c:v>2017 11 27</c:v>
                </c:pt>
                <c:pt idx="331">
                  <c:v>2017 11 28</c:v>
                </c:pt>
                <c:pt idx="332">
                  <c:v>2017 11 29</c:v>
                </c:pt>
                <c:pt idx="333">
                  <c:v>2017 11 30</c:v>
                </c:pt>
                <c:pt idx="334">
                  <c:v>2017 12 01</c:v>
                </c:pt>
                <c:pt idx="335">
                  <c:v>2017 12 02</c:v>
                </c:pt>
                <c:pt idx="336">
                  <c:v>2017 12 03</c:v>
                </c:pt>
                <c:pt idx="337">
                  <c:v>2017 12 04</c:v>
                </c:pt>
                <c:pt idx="338">
                  <c:v>2017 12 05</c:v>
                </c:pt>
                <c:pt idx="339">
                  <c:v>2017 12 06</c:v>
                </c:pt>
                <c:pt idx="340">
                  <c:v>2017 12 07</c:v>
                </c:pt>
                <c:pt idx="341">
                  <c:v>2017 12 08</c:v>
                </c:pt>
                <c:pt idx="342">
                  <c:v>2017 12 09</c:v>
                </c:pt>
                <c:pt idx="343">
                  <c:v>2017 12 10</c:v>
                </c:pt>
                <c:pt idx="344">
                  <c:v>2017 12 11</c:v>
                </c:pt>
                <c:pt idx="345">
                  <c:v>2017 12 12</c:v>
                </c:pt>
                <c:pt idx="346">
                  <c:v>2017 12 13</c:v>
                </c:pt>
                <c:pt idx="347">
                  <c:v>2017 12 14</c:v>
                </c:pt>
                <c:pt idx="348">
                  <c:v>2017 12 15</c:v>
                </c:pt>
                <c:pt idx="349">
                  <c:v>2017 12 16</c:v>
                </c:pt>
                <c:pt idx="350">
                  <c:v>2017 12 17</c:v>
                </c:pt>
                <c:pt idx="351">
                  <c:v>2017 12 18</c:v>
                </c:pt>
                <c:pt idx="352">
                  <c:v>2017 12 19</c:v>
                </c:pt>
                <c:pt idx="353">
                  <c:v>2017 12 20</c:v>
                </c:pt>
                <c:pt idx="354">
                  <c:v>2017 12 21</c:v>
                </c:pt>
                <c:pt idx="355">
                  <c:v>2017 12 22</c:v>
                </c:pt>
                <c:pt idx="356">
                  <c:v>2017 12 23</c:v>
                </c:pt>
                <c:pt idx="357">
                  <c:v>2017 12 24</c:v>
                </c:pt>
                <c:pt idx="358">
                  <c:v>2017 12 25</c:v>
                </c:pt>
                <c:pt idx="359">
                  <c:v>2017 12 26</c:v>
                </c:pt>
                <c:pt idx="360">
                  <c:v>2017 12 27</c:v>
                </c:pt>
                <c:pt idx="361">
                  <c:v>2017 12 28</c:v>
                </c:pt>
                <c:pt idx="362">
                  <c:v>2017 12 29</c:v>
                </c:pt>
                <c:pt idx="363">
                  <c:v>2017 12 30</c:v>
                </c:pt>
                <c:pt idx="364">
                  <c:v>2017 12 31</c:v>
                </c:pt>
              </c:strCache>
            </c:strRef>
          </c:cat>
          <c:val>
            <c:numRef>
              <c:f>Sheet1!$B$2:$B$366</c:f>
              <c:numCache>
                <c:formatCode>General</c:formatCode>
                <c:ptCount val="365"/>
                <c:pt idx="0">
                  <c:v>25.34</c:v>
                </c:pt>
                <c:pt idx="1">
                  <c:v>33.51</c:v>
                </c:pt>
                <c:pt idx="2">
                  <c:v>28.49</c:v>
                </c:pt>
                <c:pt idx="3">
                  <c:v>32.1</c:v>
                </c:pt>
                <c:pt idx="4">
                  <c:v>22.69</c:v>
                </c:pt>
                <c:pt idx="5">
                  <c:v>12.51</c:v>
                </c:pt>
                <c:pt idx="6">
                  <c:v>35.47</c:v>
                </c:pt>
                <c:pt idx="7">
                  <c:v>35.75</c:v>
                </c:pt>
                <c:pt idx="8">
                  <c:v>32.660000000000011</c:v>
                </c:pt>
                <c:pt idx="9">
                  <c:v>29.630000000000013</c:v>
                </c:pt>
                <c:pt idx="10">
                  <c:v>29.650000000000013</c:v>
                </c:pt>
                <c:pt idx="11">
                  <c:v>46.120000000000012</c:v>
                </c:pt>
                <c:pt idx="12">
                  <c:v>46.17</c:v>
                </c:pt>
                <c:pt idx="13">
                  <c:v>45.9</c:v>
                </c:pt>
                <c:pt idx="14">
                  <c:v>32.01</c:v>
                </c:pt>
                <c:pt idx="15">
                  <c:v>26.09</c:v>
                </c:pt>
                <c:pt idx="16">
                  <c:v>30.45</c:v>
                </c:pt>
                <c:pt idx="17">
                  <c:v>30.64</c:v>
                </c:pt>
                <c:pt idx="18">
                  <c:v>28.38</c:v>
                </c:pt>
                <c:pt idx="19">
                  <c:v>35.83</c:v>
                </c:pt>
                <c:pt idx="20">
                  <c:v>34.39</c:v>
                </c:pt>
                <c:pt idx="21">
                  <c:v>34.790000000000013</c:v>
                </c:pt>
                <c:pt idx="22">
                  <c:v>30.330000000000005</c:v>
                </c:pt>
                <c:pt idx="23">
                  <c:v>26.959999999999987</c:v>
                </c:pt>
                <c:pt idx="24">
                  <c:v>29.07</c:v>
                </c:pt>
                <c:pt idx="25">
                  <c:v>29.810000000000013</c:v>
                </c:pt>
                <c:pt idx="26">
                  <c:v>26.77</c:v>
                </c:pt>
                <c:pt idx="27">
                  <c:v>19.459999999999987</c:v>
                </c:pt>
                <c:pt idx="28">
                  <c:v>25.03</c:v>
                </c:pt>
                <c:pt idx="29">
                  <c:v>32.99</c:v>
                </c:pt>
                <c:pt idx="30">
                  <c:v>38.35</c:v>
                </c:pt>
                <c:pt idx="31">
                  <c:v>40.65</c:v>
                </c:pt>
                <c:pt idx="32">
                  <c:v>47.98</c:v>
                </c:pt>
                <c:pt idx="33">
                  <c:v>55.35</c:v>
                </c:pt>
                <c:pt idx="34">
                  <c:v>53</c:v>
                </c:pt>
                <c:pt idx="35">
                  <c:v>40.65</c:v>
                </c:pt>
                <c:pt idx="36">
                  <c:v>28.4</c:v>
                </c:pt>
                <c:pt idx="37">
                  <c:v>27.22</c:v>
                </c:pt>
                <c:pt idx="38">
                  <c:v>23.75</c:v>
                </c:pt>
                <c:pt idx="39">
                  <c:v>28.54</c:v>
                </c:pt>
                <c:pt idx="40">
                  <c:v>30.74</c:v>
                </c:pt>
                <c:pt idx="41">
                  <c:v>29.14</c:v>
                </c:pt>
                <c:pt idx="42">
                  <c:v>23.7</c:v>
                </c:pt>
                <c:pt idx="43">
                  <c:v>24.25</c:v>
                </c:pt>
                <c:pt idx="44">
                  <c:v>25.73</c:v>
                </c:pt>
                <c:pt idx="45">
                  <c:v>36.18</c:v>
                </c:pt>
                <c:pt idx="46">
                  <c:v>46.5</c:v>
                </c:pt>
                <c:pt idx="47">
                  <c:v>47.8</c:v>
                </c:pt>
                <c:pt idx="48">
                  <c:v>45.260000000000012</c:v>
                </c:pt>
                <c:pt idx="49">
                  <c:v>43.47</c:v>
                </c:pt>
                <c:pt idx="50">
                  <c:v>37.590000000000003</c:v>
                </c:pt>
                <c:pt idx="51">
                  <c:v>34.96</c:v>
                </c:pt>
                <c:pt idx="52">
                  <c:v>41.61</c:v>
                </c:pt>
                <c:pt idx="53">
                  <c:v>37.51</c:v>
                </c:pt>
                <c:pt idx="54">
                  <c:v>47.91</c:v>
                </c:pt>
                <c:pt idx="55">
                  <c:v>38.190000000000012</c:v>
                </c:pt>
                <c:pt idx="56">
                  <c:v>42.18</c:v>
                </c:pt>
                <c:pt idx="57">
                  <c:v>40.1</c:v>
                </c:pt>
                <c:pt idx="58">
                  <c:v>43.81</c:v>
                </c:pt>
                <c:pt idx="59">
                  <c:v>44.14</c:v>
                </c:pt>
                <c:pt idx="60">
                  <c:v>36.5</c:v>
                </c:pt>
                <c:pt idx="61">
                  <c:v>43.02</c:v>
                </c:pt>
                <c:pt idx="62">
                  <c:v>54.21</c:v>
                </c:pt>
                <c:pt idx="63">
                  <c:v>63.290000000000013</c:v>
                </c:pt>
                <c:pt idx="64">
                  <c:v>46.48</c:v>
                </c:pt>
                <c:pt idx="65">
                  <c:v>30.64</c:v>
                </c:pt>
                <c:pt idx="66">
                  <c:v>30.6</c:v>
                </c:pt>
                <c:pt idx="67">
                  <c:v>21.130000000000013</c:v>
                </c:pt>
                <c:pt idx="68">
                  <c:v>19.399999999999999</c:v>
                </c:pt>
                <c:pt idx="69">
                  <c:v>18.559999999999999</c:v>
                </c:pt>
                <c:pt idx="70">
                  <c:v>17.760000000000002</c:v>
                </c:pt>
                <c:pt idx="71">
                  <c:v>17.5</c:v>
                </c:pt>
                <c:pt idx="72">
                  <c:v>17.3</c:v>
                </c:pt>
                <c:pt idx="73">
                  <c:v>15.15</c:v>
                </c:pt>
                <c:pt idx="74">
                  <c:v>34.65</c:v>
                </c:pt>
                <c:pt idx="75">
                  <c:v>31.68</c:v>
                </c:pt>
                <c:pt idx="76">
                  <c:v>39.03</c:v>
                </c:pt>
                <c:pt idx="77">
                  <c:v>44.98</c:v>
                </c:pt>
                <c:pt idx="78">
                  <c:v>38.75</c:v>
                </c:pt>
                <c:pt idx="79">
                  <c:v>46.93</c:v>
                </c:pt>
                <c:pt idx="80">
                  <c:v>53.64</c:v>
                </c:pt>
                <c:pt idx="81">
                  <c:v>56.05</c:v>
                </c:pt>
                <c:pt idx="82">
                  <c:v>55.790000000000013</c:v>
                </c:pt>
                <c:pt idx="83">
                  <c:v>38.260000000000012</c:v>
                </c:pt>
                <c:pt idx="84">
                  <c:v>41.06</c:v>
                </c:pt>
                <c:pt idx="85">
                  <c:v>38.14</c:v>
                </c:pt>
                <c:pt idx="86">
                  <c:v>50.02</c:v>
                </c:pt>
                <c:pt idx="87">
                  <c:v>63.47</c:v>
                </c:pt>
                <c:pt idx="88">
                  <c:v>50.11</c:v>
                </c:pt>
                <c:pt idx="89">
                  <c:v>56.34</c:v>
                </c:pt>
                <c:pt idx="90">
                  <c:v>56.98</c:v>
                </c:pt>
                <c:pt idx="91">
                  <c:v>56.35</c:v>
                </c:pt>
                <c:pt idx="92">
                  <c:v>54.720000000000013</c:v>
                </c:pt>
                <c:pt idx="93">
                  <c:v>49.57</c:v>
                </c:pt>
                <c:pt idx="94">
                  <c:v>48.1</c:v>
                </c:pt>
                <c:pt idx="95">
                  <c:v>51.83</c:v>
                </c:pt>
                <c:pt idx="96">
                  <c:v>42.14</c:v>
                </c:pt>
                <c:pt idx="97">
                  <c:v>51.61</c:v>
                </c:pt>
                <c:pt idx="98">
                  <c:v>47.96</c:v>
                </c:pt>
                <c:pt idx="99">
                  <c:v>60.57</c:v>
                </c:pt>
                <c:pt idx="100">
                  <c:v>55.89</c:v>
                </c:pt>
                <c:pt idx="101">
                  <c:v>51.2</c:v>
                </c:pt>
                <c:pt idx="102">
                  <c:v>52.55</c:v>
                </c:pt>
                <c:pt idx="103">
                  <c:v>43.93</c:v>
                </c:pt>
                <c:pt idx="104">
                  <c:v>53.1</c:v>
                </c:pt>
                <c:pt idx="105">
                  <c:v>48.03</c:v>
                </c:pt>
                <c:pt idx="106">
                  <c:v>43.620000000000012</c:v>
                </c:pt>
                <c:pt idx="107">
                  <c:v>45.21</c:v>
                </c:pt>
                <c:pt idx="108">
                  <c:v>52.220000000000013</c:v>
                </c:pt>
                <c:pt idx="109">
                  <c:v>51.790000000000013</c:v>
                </c:pt>
                <c:pt idx="110">
                  <c:v>42.720000000000013</c:v>
                </c:pt>
                <c:pt idx="111">
                  <c:v>44.65</c:v>
                </c:pt>
                <c:pt idx="112">
                  <c:v>37.51</c:v>
                </c:pt>
                <c:pt idx="113">
                  <c:v>41.84</c:v>
                </c:pt>
                <c:pt idx="114">
                  <c:v>53.13</c:v>
                </c:pt>
                <c:pt idx="115">
                  <c:v>55.74</c:v>
                </c:pt>
                <c:pt idx="116">
                  <c:v>63.18</c:v>
                </c:pt>
                <c:pt idx="117">
                  <c:v>66.88</c:v>
                </c:pt>
                <c:pt idx="118">
                  <c:v>58.05</c:v>
                </c:pt>
                <c:pt idx="119">
                  <c:v>46.35</c:v>
                </c:pt>
                <c:pt idx="120">
                  <c:v>41.18</c:v>
                </c:pt>
                <c:pt idx="121">
                  <c:v>60.290000000000013</c:v>
                </c:pt>
                <c:pt idx="122">
                  <c:v>61.03</c:v>
                </c:pt>
                <c:pt idx="123">
                  <c:v>59.21</c:v>
                </c:pt>
                <c:pt idx="124">
                  <c:v>67.910000000000025</c:v>
                </c:pt>
                <c:pt idx="125">
                  <c:v>57.1</c:v>
                </c:pt>
                <c:pt idx="126">
                  <c:v>59.98</c:v>
                </c:pt>
                <c:pt idx="127">
                  <c:v>54.71</c:v>
                </c:pt>
                <c:pt idx="128">
                  <c:v>43.88</c:v>
                </c:pt>
                <c:pt idx="129">
                  <c:v>53.75</c:v>
                </c:pt>
                <c:pt idx="130">
                  <c:v>63.01</c:v>
                </c:pt>
                <c:pt idx="131">
                  <c:v>50.02</c:v>
                </c:pt>
                <c:pt idx="132">
                  <c:v>52.87</c:v>
                </c:pt>
                <c:pt idx="133">
                  <c:v>44.35</c:v>
                </c:pt>
                <c:pt idx="134">
                  <c:v>72.89</c:v>
                </c:pt>
                <c:pt idx="135">
                  <c:v>84.98</c:v>
                </c:pt>
                <c:pt idx="136">
                  <c:v>69.39</c:v>
                </c:pt>
                <c:pt idx="137">
                  <c:v>80.02</c:v>
                </c:pt>
                <c:pt idx="138">
                  <c:v>57.14</c:v>
                </c:pt>
                <c:pt idx="139">
                  <c:v>49.2</c:v>
                </c:pt>
                <c:pt idx="140">
                  <c:v>40.56</c:v>
                </c:pt>
                <c:pt idx="141">
                  <c:v>35.32</c:v>
                </c:pt>
                <c:pt idx="142">
                  <c:v>89.53</c:v>
                </c:pt>
                <c:pt idx="143">
                  <c:v>96.05</c:v>
                </c:pt>
                <c:pt idx="144">
                  <c:v>91.38</c:v>
                </c:pt>
                <c:pt idx="145">
                  <c:v>85.960000000000022</c:v>
                </c:pt>
                <c:pt idx="146">
                  <c:v>79.400000000000006</c:v>
                </c:pt>
                <c:pt idx="147">
                  <c:v>79.05</c:v>
                </c:pt>
                <c:pt idx="148">
                  <c:v>105.48</c:v>
                </c:pt>
                <c:pt idx="149">
                  <c:v>94.22</c:v>
                </c:pt>
                <c:pt idx="150">
                  <c:v>80.679999999999978</c:v>
                </c:pt>
                <c:pt idx="151">
                  <c:v>97.43</c:v>
                </c:pt>
                <c:pt idx="152">
                  <c:v>101.59</c:v>
                </c:pt>
                <c:pt idx="153">
                  <c:v>103.83</c:v>
                </c:pt>
                <c:pt idx="154">
                  <c:v>100.47</c:v>
                </c:pt>
                <c:pt idx="155">
                  <c:v>100.36999999999999</c:v>
                </c:pt>
                <c:pt idx="156">
                  <c:v>105.85</c:v>
                </c:pt>
                <c:pt idx="157">
                  <c:v>91.38</c:v>
                </c:pt>
                <c:pt idx="158">
                  <c:v>81.42</c:v>
                </c:pt>
                <c:pt idx="159">
                  <c:v>55.1</c:v>
                </c:pt>
                <c:pt idx="160">
                  <c:v>103.02</c:v>
                </c:pt>
                <c:pt idx="161">
                  <c:v>109.52</c:v>
                </c:pt>
                <c:pt idx="162">
                  <c:v>83.16</c:v>
                </c:pt>
                <c:pt idx="163">
                  <c:v>77.02</c:v>
                </c:pt>
                <c:pt idx="164">
                  <c:v>86.03</c:v>
                </c:pt>
                <c:pt idx="165">
                  <c:v>76.25</c:v>
                </c:pt>
                <c:pt idx="166">
                  <c:v>59.46</c:v>
                </c:pt>
                <c:pt idx="167">
                  <c:v>#N/A</c:v>
                </c:pt>
                <c:pt idx="168">
                  <c:v>#N/A</c:v>
                </c:pt>
                <c:pt idx="169">
                  <c:v>84.55</c:v>
                </c:pt>
                <c:pt idx="170">
                  <c:v>65.319999999999993</c:v>
                </c:pt>
                <c:pt idx="171">
                  <c:v>77.930000000000007</c:v>
                </c:pt>
                <c:pt idx="172">
                  <c:v>94.11999999999999</c:v>
                </c:pt>
                <c:pt idx="173">
                  <c:v>85.36</c:v>
                </c:pt>
                <c:pt idx="174">
                  <c:v>94.460000000000022</c:v>
                </c:pt>
                <c:pt idx="175">
                  <c:v>95.84</c:v>
                </c:pt>
                <c:pt idx="176">
                  <c:v>93.63</c:v>
                </c:pt>
                <c:pt idx="177">
                  <c:v>82.83</c:v>
                </c:pt>
                <c:pt idx="178">
                  <c:v>66.349999999999994</c:v>
                </c:pt>
                <c:pt idx="179">
                  <c:v>78.92</c:v>
                </c:pt>
                <c:pt idx="180">
                  <c:v>84.8</c:v>
                </c:pt>
                <c:pt idx="181">
                  <c:v>101.97</c:v>
                </c:pt>
                <c:pt idx="182">
                  <c:v>90.28</c:v>
                </c:pt>
                <c:pt idx="183">
                  <c:v>69.099999999999994</c:v>
                </c:pt>
                <c:pt idx="184">
                  <c:v>70.25</c:v>
                </c:pt>
                <c:pt idx="185">
                  <c:v>84.210000000000022</c:v>
                </c:pt>
                <c:pt idx="186">
                  <c:v>78.16</c:v>
                </c:pt>
                <c:pt idx="187">
                  <c:v>80.69</c:v>
                </c:pt>
                <c:pt idx="188">
                  <c:v>92.179999999999978</c:v>
                </c:pt>
                <c:pt idx="189">
                  <c:v>93.2</c:v>
                </c:pt>
                <c:pt idx="190">
                  <c:v>92.36999999999999</c:v>
                </c:pt>
                <c:pt idx="191">
                  <c:v>95.25</c:v>
                </c:pt>
                <c:pt idx="192">
                  <c:v>83.649999999999991</c:v>
                </c:pt>
                <c:pt idx="193">
                  <c:v>92.36</c:v>
                </c:pt>
                <c:pt idx="194">
                  <c:v>76.7</c:v>
                </c:pt>
                <c:pt idx="195">
                  <c:v>85.72</c:v>
                </c:pt>
                <c:pt idx="196">
                  <c:v>65.58</c:v>
                </c:pt>
                <c:pt idx="197">
                  <c:v>55.81</c:v>
                </c:pt>
                <c:pt idx="198">
                  <c:v>59.1</c:v>
                </c:pt>
                <c:pt idx="199">
                  <c:v>63.31</c:v>
                </c:pt>
                <c:pt idx="200">
                  <c:v>59.91</c:v>
                </c:pt>
                <c:pt idx="201">
                  <c:v>52.660000000000011</c:v>
                </c:pt>
                <c:pt idx="202">
                  <c:v>59.09</c:v>
                </c:pt>
                <c:pt idx="203">
                  <c:v>49.3</c:v>
                </c:pt>
                <c:pt idx="204">
                  <c:v>47.51</c:v>
                </c:pt>
                <c:pt idx="205">
                  <c:v>53.690000000000012</c:v>
                </c:pt>
                <c:pt idx="206">
                  <c:v>50.160000000000011</c:v>
                </c:pt>
                <c:pt idx="207">
                  <c:v>46.34</c:v>
                </c:pt>
                <c:pt idx="208">
                  <c:v>53.41</c:v>
                </c:pt>
                <c:pt idx="209">
                  <c:v>78.400000000000006</c:v>
                </c:pt>
                <c:pt idx="210">
                  <c:v>91.83</c:v>
                </c:pt>
                <c:pt idx="211">
                  <c:v>78.290000000000006</c:v>
                </c:pt>
                <c:pt idx="212">
                  <c:v>99.86</c:v>
                </c:pt>
                <c:pt idx="213">
                  <c:v>104.56</c:v>
                </c:pt>
                <c:pt idx="214">
                  <c:v>118.82</c:v>
                </c:pt>
                <c:pt idx="215">
                  <c:v>107.58</c:v>
                </c:pt>
                <c:pt idx="216">
                  <c:v>97.89</c:v>
                </c:pt>
                <c:pt idx="217">
                  <c:v>101.13</c:v>
                </c:pt>
                <c:pt idx="218">
                  <c:v>90.93</c:v>
                </c:pt>
                <c:pt idx="219">
                  <c:v>67.31</c:v>
                </c:pt>
                <c:pt idx="220">
                  <c:v>88.75</c:v>
                </c:pt>
                <c:pt idx="221">
                  <c:v>106.85</c:v>
                </c:pt>
                <c:pt idx="222">
                  <c:v>96.53</c:v>
                </c:pt>
                <c:pt idx="223">
                  <c:v>#N/A</c:v>
                </c:pt>
                <c:pt idx="224">
                  <c:v>95.710000000000022</c:v>
                </c:pt>
                <c:pt idx="225">
                  <c:v>82.07</c:v>
                </c:pt>
                <c:pt idx="226">
                  <c:v>69.2</c:v>
                </c:pt>
                <c:pt idx="227">
                  <c:v>85.09</c:v>
                </c:pt>
                <c:pt idx="228">
                  <c:v>84.42</c:v>
                </c:pt>
                <c:pt idx="229">
                  <c:v>90.86</c:v>
                </c:pt>
                <c:pt idx="230">
                  <c:v>89.78</c:v>
                </c:pt>
                <c:pt idx="231">
                  <c:v>90.7</c:v>
                </c:pt>
                <c:pt idx="232">
                  <c:v>69.72</c:v>
                </c:pt>
                <c:pt idx="233">
                  <c:v>73.66</c:v>
                </c:pt>
                <c:pt idx="234">
                  <c:v>69.819999999999993</c:v>
                </c:pt>
                <c:pt idx="235">
                  <c:v>85.29</c:v>
                </c:pt>
                <c:pt idx="236">
                  <c:v>104.11999999999999</c:v>
                </c:pt>
                <c:pt idx="237">
                  <c:v>114.53</c:v>
                </c:pt>
                <c:pt idx="238">
                  <c:v>99.64</c:v>
                </c:pt>
                <c:pt idx="239">
                  <c:v>91.460000000000022</c:v>
                </c:pt>
                <c:pt idx="240">
                  <c:v>75.28</c:v>
                </c:pt>
                <c:pt idx="241">
                  <c:v>69.48</c:v>
                </c:pt>
                <c:pt idx="242">
                  <c:v>89.169999999999987</c:v>
                </c:pt>
                <c:pt idx="243">
                  <c:v>104.92</c:v>
                </c:pt>
                <c:pt idx="244">
                  <c:v>109.01</c:v>
                </c:pt>
                <c:pt idx="245">
                  <c:v>113.51</c:v>
                </c:pt>
                <c:pt idx="246">
                  <c:v>78.33</c:v>
                </c:pt>
                <c:pt idx="247">
                  <c:v>64.260000000000005</c:v>
                </c:pt>
                <c:pt idx="248">
                  <c:v>86.85</c:v>
                </c:pt>
                <c:pt idx="249">
                  <c:v>95.29</c:v>
                </c:pt>
                <c:pt idx="250">
                  <c:v>83.88</c:v>
                </c:pt>
                <c:pt idx="251">
                  <c:v>#N/A</c:v>
                </c:pt>
                <c:pt idx="252">
                  <c:v>82.93</c:v>
                </c:pt>
                <c:pt idx="253">
                  <c:v>95.98</c:v>
                </c:pt>
                <c:pt idx="254">
                  <c:v>74.02</c:v>
                </c:pt>
                <c:pt idx="255">
                  <c:v>54.690000000000012</c:v>
                </c:pt>
                <c:pt idx="256">
                  <c:v>54.2</c:v>
                </c:pt>
                <c:pt idx="257">
                  <c:v>57.45</c:v>
                </c:pt>
                <c:pt idx="258">
                  <c:v>51.59</c:v>
                </c:pt>
                <c:pt idx="259">
                  <c:v>47.91</c:v>
                </c:pt>
                <c:pt idx="260">
                  <c:v>46.02</c:v>
                </c:pt>
                <c:pt idx="261">
                  <c:v>30.66</c:v>
                </c:pt>
                <c:pt idx="262">
                  <c:v>80.11</c:v>
                </c:pt>
                <c:pt idx="263">
                  <c:v>72.89</c:v>
                </c:pt>
                <c:pt idx="264">
                  <c:v>63.91</c:v>
                </c:pt>
                <c:pt idx="265">
                  <c:v>68.930000000000007</c:v>
                </c:pt>
                <c:pt idx="266">
                  <c:v>74.81</c:v>
                </c:pt>
                <c:pt idx="267">
                  <c:v>88.169999999999987</c:v>
                </c:pt>
                <c:pt idx="268">
                  <c:v>79.48</c:v>
                </c:pt>
                <c:pt idx="269">
                  <c:v>77.099999999999994</c:v>
                </c:pt>
                <c:pt idx="270">
                  <c:v>63.9</c:v>
                </c:pt>
                <c:pt idx="271">
                  <c:v>73.739999999999995</c:v>
                </c:pt>
                <c:pt idx="272">
                  <c:v>79.86</c:v>
                </c:pt>
                <c:pt idx="273">
                  <c:v>69.55</c:v>
                </c:pt>
                <c:pt idx="274">
                  <c:v>72.959999999999994</c:v>
                </c:pt>
                <c:pt idx="275">
                  <c:v>81.679999999999978</c:v>
                </c:pt>
                <c:pt idx="276">
                  <c:v>71.28</c:v>
                </c:pt>
                <c:pt idx="277">
                  <c:v>77.55</c:v>
                </c:pt>
                <c:pt idx="278">
                  <c:v>68.61</c:v>
                </c:pt>
                <c:pt idx="279">
                  <c:v>54.24</c:v>
                </c:pt>
                <c:pt idx="280">
                  <c:v>58.230000000000011</c:v>
                </c:pt>
                <c:pt idx="281">
                  <c:v>56.15</c:v>
                </c:pt>
                <c:pt idx="282">
                  <c:v>60</c:v>
                </c:pt>
                <c:pt idx="283">
                  <c:v>74.48</c:v>
                </c:pt>
                <c:pt idx="284">
                  <c:v>65.069999999999993</c:v>
                </c:pt>
                <c:pt idx="285">
                  <c:v>62.06</c:v>
                </c:pt>
                <c:pt idx="286">
                  <c:v>60.63</c:v>
                </c:pt>
                <c:pt idx="287">
                  <c:v>45.55</c:v>
                </c:pt>
                <c:pt idx="288">
                  <c:v>50.660000000000011</c:v>
                </c:pt>
                <c:pt idx="289">
                  <c:v>67.739999999999995</c:v>
                </c:pt>
                <c:pt idx="290">
                  <c:v>81.42</c:v>
                </c:pt>
                <c:pt idx="291">
                  <c:v>65.66</c:v>
                </c:pt>
                <c:pt idx="292">
                  <c:v>80.31</c:v>
                </c:pt>
                <c:pt idx="293">
                  <c:v>75.36999999999999</c:v>
                </c:pt>
                <c:pt idx="294">
                  <c:v>58.86</c:v>
                </c:pt>
                <c:pt idx="295">
                  <c:v>44.71</c:v>
                </c:pt>
                <c:pt idx="296">
                  <c:v>44.77</c:v>
                </c:pt>
                <c:pt idx="297">
                  <c:v>31.51</c:v>
                </c:pt>
                <c:pt idx="298">
                  <c:v>27.71</c:v>
                </c:pt>
                <c:pt idx="299">
                  <c:v>28.150000000000013</c:v>
                </c:pt>
                <c:pt idx="300">
                  <c:v>24.47</c:v>
                </c:pt>
                <c:pt idx="301">
                  <c:v>29.650000000000013</c:v>
                </c:pt>
                <c:pt idx="302">
                  <c:v>45.89</c:v>
                </c:pt>
                <c:pt idx="303">
                  <c:v>46.31</c:v>
                </c:pt>
                <c:pt idx="304">
                  <c:v>59.91</c:v>
                </c:pt>
                <c:pt idx="305">
                  <c:v>49.71</c:v>
                </c:pt>
                <c:pt idx="306">
                  <c:v>35.17</c:v>
                </c:pt>
                <c:pt idx="307">
                  <c:v>36.53</c:v>
                </c:pt>
                <c:pt idx="308">
                  <c:v>52.77</c:v>
                </c:pt>
                <c:pt idx="309">
                  <c:v>51.38</c:v>
                </c:pt>
                <c:pt idx="310">
                  <c:v>39.950000000000003</c:v>
                </c:pt>
                <c:pt idx="311">
                  <c:v>24.08</c:v>
                </c:pt>
                <c:pt idx="312">
                  <c:v>34.71</c:v>
                </c:pt>
                <c:pt idx="313">
                  <c:v>31.88</c:v>
                </c:pt>
                <c:pt idx="314">
                  <c:v>42.660000000000011</c:v>
                </c:pt>
                <c:pt idx="315">
                  <c:v>49.44</c:v>
                </c:pt>
                <c:pt idx="316">
                  <c:v>67.11</c:v>
                </c:pt>
                <c:pt idx="317">
                  <c:v>55.24</c:v>
                </c:pt>
                <c:pt idx="318">
                  <c:v>34.020000000000003</c:v>
                </c:pt>
                <c:pt idx="319">
                  <c:v>33.700000000000003</c:v>
                </c:pt>
                <c:pt idx="320">
                  <c:v>31.82</c:v>
                </c:pt>
                <c:pt idx="321">
                  <c:v>26.18</c:v>
                </c:pt>
                <c:pt idx="322">
                  <c:v>22.25</c:v>
                </c:pt>
                <c:pt idx="323">
                  <c:v>28.87</c:v>
                </c:pt>
                <c:pt idx="324">
                  <c:v>36.370000000000005</c:v>
                </c:pt>
                <c:pt idx="325">
                  <c:v>36.1</c:v>
                </c:pt>
                <c:pt idx="326">
                  <c:v>36.630000000000003</c:v>
                </c:pt>
                <c:pt idx="327">
                  <c:v>28.84</c:v>
                </c:pt>
                <c:pt idx="328">
                  <c:v>49.87</c:v>
                </c:pt>
                <c:pt idx="329">
                  <c:v>53.4</c:v>
                </c:pt>
                <c:pt idx="330">
                  <c:v>23.979999999999986</c:v>
                </c:pt>
                <c:pt idx="331">
                  <c:v>26.630000000000013</c:v>
                </c:pt>
                <c:pt idx="332">
                  <c:v>34.4</c:v>
                </c:pt>
                <c:pt idx="333">
                  <c:v>54.07</c:v>
                </c:pt>
                <c:pt idx="334">
                  <c:v>50.3</c:v>
                </c:pt>
                <c:pt idx="335">
                  <c:v>24.82</c:v>
                </c:pt>
                <c:pt idx="336">
                  <c:v>31.54</c:v>
                </c:pt>
                <c:pt idx="337">
                  <c:v>30.59</c:v>
                </c:pt>
                <c:pt idx="338">
                  <c:v>24.21</c:v>
                </c:pt>
                <c:pt idx="339">
                  <c:v>33.33</c:v>
                </c:pt>
                <c:pt idx="340">
                  <c:v>28.68</c:v>
                </c:pt>
                <c:pt idx="341">
                  <c:v>34.64</c:v>
                </c:pt>
                <c:pt idx="342">
                  <c:v>51.230000000000011</c:v>
                </c:pt>
                <c:pt idx="343">
                  <c:v>48.47</c:v>
                </c:pt>
                <c:pt idx="344">
                  <c:v>51.51</c:v>
                </c:pt>
                <c:pt idx="345">
                  <c:v>51.55</c:v>
                </c:pt>
                <c:pt idx="346">
                  <c:v>36.480000000000004</c:v>
                </c:pt>
                <c:pt idx="347">
                  <c:v>13.65</c:v>
                </c:pt>
                <c:pt idx="348">
                  <c:v>11.950000000000006</c:v>
                </c:pt>
                <c:pt idx="349">
                  <c:v>17.47</c:v>
                </c:pt>
                <c:pt idx="350">
                  <c:v>14.76</c:v>
                </c:pt>
                <c:pt idx="351">
                  <c:v>21.64</c:v>
                </c:pt>
                <c:pt idx="352">
                  <c:v>#N/A</c:v>
                </c:pt>
                <c:pt idx="353">
                  <c:v>21.29</c:v>
                </c:pt>
                <c:pt idx="354">
                  <c:v>30.07</c:v>
                </c:pt>
                <c:pt idx="355">
                  <c:v>31.9</c:v>
                </c:pt>
                <c:pt idx="356">
                  <c:v>43.08</c:v>
                </c:pt>
                <c:pt idx="357">
                  <c:v>35</c:v>
                </c:pt>
                <c:pt idx="358">
                  <c:v>42.9</c:v>
                </c:pt>
                <c:pt idx="359">
                  <c:v>47.91</c:v>
                </c:pt>
                <c:pt idx="360">
                  <c:v>43.81</c:v>
                </c:pt>
                <c:pt idx="361">
                  <c:v>57.24</c:v>
                </c:pt>
                <c:pt idx="362">
                  <c:v>61.84</c:v>
                </c:pt>
                <c:pt idx="363">
                  <c:v>28.04</c:v>
                </c:pt>
                <c:pt idx="364">
                  <c:v>37.870000000000005</c:v>
                </c:pt>
              </c:numCache>
            </c:numRef>
          </c:val>
          <c:smooth val="0"/>
          <c:extLst>
            <c:ext xmlns:c16="http://schemas.microsoft.com/office/drawing/2014/chart" uri="{C3380CC4-5D6E-409C-BE32-E72D297353CC}">
              <c16:uniqueId val="{00000000-D534-4BA7-B9A3-A8B1BD0FCCCB}"/>
            </c:ext>
          </c:extLst>
        </c:ser>
        <c:ser>
          <c:idx val="1"/>
          <c:order val="1"/>
          <c:tx>
            <c:strRef>
              <c:f>Sheet1!$C$1</c:f>
              <c:strCache>
                <c:ptCount val="1"/>
                <c:pt idx="0">
                  <c:v>BR3</c:v>
                </c:pt>
              </c:strCache>
            </c:strRef>
          </c:tx>
          <c:spPr>
            <a:ln w="12700" cap="rnd">
              <a:solidFill>
                <a:srgbClr val="00B0F0"/>
              </a:solidFill>
              <a:round/>
            </a:ln>
            <a:effectLst/>
          </c:spPr>
          <c:marker>
            <c:symbol val="none"/>
          </c:marker>
          <c:cat>
            <c:strRef>
              <c:f>Sheet1!$A$2:$A$366</c:f>
              <c:strCache>
                <c:ptCount val="365"/>
                <c:pt idx="0">
                  <c:v>2017 01 01</c:v>
                </c:pt>
                <c:pt idx="1">
                  <c:v>2017 01 02</c:v>
                </c:pt>
                <c:pt idx="2">
                  <c:v>2017 01 03</c:v>
                </c:pt>
                <c:pt idx="3">
                  <c:v>2017 01 04</c:v>
                </c:pt>
                <c:pt idx="4">
                  <c:v>2017 01 05</c:v>
                </c:pt>
                <c:pt idx="5">
                  <c:v>2017 01 06</c:v>
                </c:pt>
                <c:pt idx="6">
                  <c:v>2017 01 07</c:v>
                </c:pt>
                <c:pt idx="7">
                  <c:v>2017 01 08</c:v>
                </c:pt>
                <c:pt idx="8">
                  <c:v>2017 01 09</c:v>
                </c:pt>
                <c:pt idx="9">
                  <c:v>2017 01 10</c:v>
                </c:pt>
                <c:pt idx="10">
                  <c:v>2017 01 11</c:v>
                </c:pt>
                <c:pt idx="11">
                  <c:v>2017 01 12</c:v>
                </c:pt>
                <c:pt idx="12">
                  <c:v>2017 01 13</c:v>
                </c:pt>
                <c:pt idx="13">
                  <c:v>2017 01 14</c:v>
                </c:pt>
                <c:pt idx="14">
                  <c:v>2017 01 15</c:v>
                </c:pt>
                <c:pt idx="15">
                  <c:v>2017 01 16</c:v>
                </c:pt>
                <c:pt idx="16">
                  <c:v>2017 01 17</c:v>
                </c:pt>
                <c:pt idx="17">
                  <c:v>2017 01 18</c:v>
                </c:pt>
                <c:pt idx="18">
                  <c:v>2017 01 19</c:v>
                </c:pt>
                <c:pt idx="19">
                  <c:v>2017 01 20</c:v>
                </c:pt>
                <c:pt idx="20">
                  <c:v>2017 01 21</c:v>
                </c:pt>
                <c:pt idx="21">
                  <c:v>2017 01 22</c:v>
                </c:pt>
                <c:pt idx="22">
                  <c:v>2017 01 23</c:v>
                </c:pt>
                <c:pt idx="23">
                  <c:v>2017 01 24</c:v>
                </c:pt>
                <c:pt idx="24">
                  <c:v>2017 01 25</c:v>
                </c:pt>
                <c:pt idx="25">
                  <c:v>2017 01 26</c:v>
                </c:pt>
                <c:pt idx="26">
                  <c:v>2017 01 27</c:v>
                </c:pt>
                <c:pt idx="27">
                  <c:v>2017 01 28</c:v>
                </c:pt>
                <c:pt idx="28">
                  <c:v>2017 01 29</c:v>
                </c:pt>
                <c:pt idx="29">
                  <c:v>2017 01 30</c:v>
                </c:pt>
                <c:pt idx="30">
                  <c:v>2017 01 31</c:v>
                </c:pt>
                <c:pt idx="31">
                  <c:v>2017 02 01</c:v>
                </c:pt>
                <c:pt idx="32">
                  <c:v>2017 02 02</c:v>
                </c:pt>
                <c:pt idx="33">
                  <c:v>2017 02 03</c:v>
                </c:pt>
                <c:pt idx="34">
                  <c:v>2017 02 04</c:v>
                </c:pt>
                <c:pt idx="35">
                  <c:v>2017 02 05</c:v>
                </c:pt>
                <c:pt idx="36">
                  <c:v>2017 02 06</c:v>
                </c:pt>
                <c:pt idx="37">
                  <c:v>2017 02 07</c:v>
                </c:pt>
                <c:pt idx="38">
                  <c:v>2017 02 08</c:v>
                </c:pt>
                <c:pt idx="39">
                  <c:v>2017 02 09</c:v>
                </c:pt>
                <c:pt idx="40">
                  <c:v>2017 02 10</c:v>
                </c:pt>
                <c:pt idx="41">
                  <c:v>2017 02 11</c:v>
                </c:pt>
                <c:pt idx="42">
                  <c:v>2017 02 12</c:v>
                </c:pt>
                <c:pt idx="43">
                  <c:v>2017 02 13</c:v>
                </c:pt>
                <c:pt idx="44">
                  <c:v>2017 02 14</c:v>
                </c:pt>
                <c:pt idx="45">
                  <c:v>2017 02 15</c:v>
                </c:pt>
                <c:pt idx="46">
                  <c:v>2017 02 16</c:v>
                </c:pt>
                <c:pt idx="47">
                  <c:v>2017 02 17</c:v>
                </c:pt>
                <c:pt idx="48">
                  <c:v>2017 02 18</c:v>
                </c:pt>
                <c:pt idx="49">
                  <c:v>2017 02 19</c:v>
                </c:pt>
                <c:pt idx="50">
                  <c:v>2017 02 20</c:v>
                </c:pt>
                <c:pt idx="51">
                  <c:v>2017 02 21</c:v>
                </c:pt>
                <c:pt idx="52">
                  <c:v>2017 02 22</c:v>
                </c:pt>
                <c:pt idx="53">
                  <c:v>2017 02 23</c:v>
                </c:pt>
                <c:pt idx="54">
                  <c:v>2017 02 24</c:v>
                </c:pt>
                <c:pt idx="55">
                  <c:v>2017 02 25</c:v>
                </c:pt>
                <c:pt idx="56">
                  <c:v>2017 02 26</c:v>
                </c:pt>
                <c:pt idx="57">
                  <c:v>2017 02 27</c:v>
                </c:pt>
                <c:pt idx="58">
                  <c:v>2017 02 28</c:v>
                </c:pt>
                <c:pt idx="59">
                  <c:v>2017 03 01</c:v>
                </c:pt>
                <c:pt idx="60">
                  <c:v>2017 03 02</c:v>
                </c:pt>
                <c:pt idx="61">
                  <c:v>2017 03 03</c:v>
                </c:pt>
                <c:pt idx="62">
                  <c:v>2017 03 04</c:v>
                </c:pt>
                <c:pt idx="63">
                  <c:v>2017 03 05</c:v>
                </c:pt>
                <c:pt idx="64">
                  <c:v>2017 03 06</c:v>
                </c:pt>
                <c:pt idx="65">
                  <c:v>2017 03 07</c:v>
                </c:pt>
                <c:pt idx="66">
                  <c:v>2017 03 08</c:v>
                </c:pt>
                <c:pt idx="67">
                  <c:v>2017 03 09</c:v>
                </c:pt>
                <c:pt idx="68">
                  <c:v>2017 03 10</c:v>
                </c:pt>
                <c:pt idx="69">
                  <c:v>2017 03 11</c:v>
                </c:pt>
                <c:pt idx="70">
                  <c:v>2017 03 12</c:v>
                </c:pt>
                <c:pt idx="71">
                  <c:v>2017 03 13</c:v>
                </c:pt>
                <c:pt idx="72">
                  <c:v>2017 03 14</c:v>
                </c:pt>
                <c:pt idx="73">
                  <c:v>2017 03 15</c:v>
                </c:pt>
                <c:pt idx="74">
                  <c:v>2017 03 16</c:v>
                </c:pt>
                <c:pt idx="75">
                  <c:v>2017 03 17</c:v>
                </c:pt>
                <c:pt idx="76">
                  <c:v>2017 03 18</c:v>
                </c:pt>
                <c:pt idx="77">
                  <c:v>2017 03 19</c:v>
                </c:pt>
                <c:pt idx="78">
                  <c:v>2017 03 20</c:v>
                </c:pt>
                <c:pt idx="79">
                  <c:v>2017 03 21</c:v>
                </c:pt>
                <c:pt idx="80">
                  <c:v>2017 03 22</c:v>
                </c:pt>
                <c:pt idx="81">
                  <c:v>2017 03 23</c:v>
                </c:pt>
                <c:pt idx="82">
                  <c:v>2017 03 24</c:v>
                </c:pt>
                <c:pt idx="83">
                  <c:v>2017 03 25</c:v>
                </c:pt>
                <c:pt idx="84">
                  <c:v>2017 03 26</c:v>
                </c:pt>
                <c:pt idx="85">
                  <c:v>2017 03 27</c:v>
                </c:pt>
                <c:pt idx="86">
                  <c:v>2017 03 28</c:v>
                </c:pt>
                <c:pt idx="87">
                  <c:v>2017 03 29</c:v>
                </c:pt>
                <c:pt idx="88">
                  <c:v>2017 03 30</c:v>
                </c:pt>
                <c:pt idx="89">
                  <c:v>2017 03 31</c:v>
                </c:pt>
                <c:pt idx="90">
                  <c:v>2017 04 01</c:v>
                </c:pt>
                <c:pt idx="91">
                  <c:v>2017 04 02</c:v>
                </c:pt>
                <c:pt idx="92">
                  <c:v>2017 04 03</c:v>
                </c:pt>
                <c:pt idx="93">
                  <c:v>2017 04 04</c:v>
                </c:pt>
                <c:pt idx="94">
                  <c:v>2017 04 05</c:v>
                </c:pt>
                <c:pt idx="95">
                  <c:v>2017 04 06</c:v>
                </c:pt>
                <c:pt idx="96">
                  <c:v>2017 04 07</c:v>
                </c:pt>
                <c:pt idx="97">
                  <c:v>2017 04 08</c:v>
                </c:pt>
                <c:pt idx="98">
                  <c:v>2017 04 09</c:v>
                </c:pt>
                <c:pt idx="99">
                  <c:v>2017 04 10</c:v>
                </c:pt>
                <c:pt idx="100">
                  <c:v>2017 04 11</c:v>
                </c:pt>
                <c:pt idx="101">
                  <c:v>2017 04 12</c:v>
                </c:pt>
                <c:pt idx="102">
                  <c:v>2017 04 13</c:v>
                </c:pt>
                <c:pt idx="103">
                  <c:v>2017 04 14</c:v>
                </c:pt>
                <c:pt idx="104">
                  <c:v>2017 04 15</c:v>
                </c:pt>
                <c:pt idx="105">
                  <c:v>2017 04 16</c:v>
                </c:pt>
                <c:pt idx="106">
                  <c:v>2017 04 17</c:v>
                </c:pt>
                <c:pt idx="107">
                  <c:v>2017 04 18</c:v>
                </c:pt>
                <c:pt idx="108">
                  <c:v>2017 04 19</c:v>
                </c:pt>
                <c:pt idx="109">
                  <c:v>2017 04 20</c:v>
                </c:pt>
                <c:pt idx="110">
                  <c:v>2017 04 21</c:v>
                </c:pt>
                <c:pt idx="111">
                  <c:v>2017 04 22</c:v>
                </c:pt>
                <c:pt idx="112">
                  <c:v>2017 04 23</c:v>
                </c:pt>
                <c:pt idx="113">
                  <c:v>2017 04 24</c:v>
                </c:pt>
                <c:pt idx="114">
                  <c:v>2017 04 25</c:v>
                </c:pt>
                <c:pt idx="115">
                  <c:v>2017 04 26</c:v>
                </c:pt>
                <c:pt idx="116">
                  <c:v>2017 04 27</c:v>
                </c:pt>
                <c:pt idx="117">
                  <c:v>2017 04 28</c:v>
                </c:pt>
                <c:pt idx="118">
                  <c:v>2017 04 29</c:v>
                </c:pt>
                <c:pt idx="119">
                  <c:v>2017 04 30</c:v>
                </c:pt>
                <c:pt idx="120">
                  <c:v>2017 05 01</c:v>
                </c:pt>
                <c:pt idx="121">
                  <c:v>2017 05 02</c:v>
                </c:pt>
                <c:pt idx="122">
                  <c:v>2017 05 03</c:v>
                </c:pt>
                <c:pt idx="123">
                  <c:v>2017 05 04</c:v>
                </c:pt>
                <c:pt idx="124">
                  <c:v>2017 05 05</c:v>
                </c:pt>
                <c:pt idx="125">
                  <c:v>2017 05 06</c:v>
                </c:pt>
                <c:pt idx="126">
                  <c:v>2017 05 07</c:v>
                </c:pt>
                <c:pt idx="127">
                  <c:v>2017 05 08</c:v>
                </c:pt>
                <c:pt idx="128">
                  <c:v>2017 05 09</c:v>
                </c:pt>
                <c:pt idx="129">
                  <c:v>2017 05 10</c:v>
                </c:pt>
                <c:pt idx="130">
                  <c:v>2017 05 11</c:v>
                </c:pt>
                <c:pt idx="131">
                  <c:v>2017 05 12</c:v>
                </c:pt>
                <c:pt idx="132">
                  <c:v>2017 05 13</c:v>
                </c:pt>
                <c:pt idx="133">
                  <c:v>2017 05 14</c:v>
                </c:pt>
                <c:pt idx="134">
                  <c:v>2017 05 15</c:v>
                </c:pt>
                <c:pt idx="135">
                  <c:v>2017 05 16</c:v>
                </c:pt>
                <c:pt idx="136">
                  <c:v>2017 05 17</c:v>
                </c:pt>
                <c:pt idx="137">
                  <c:v>2017 05 18</c:v>
                </c:pt>
                <c:pt idx="138">
                  <c:v>2017 05 19</c:v>
                </c:pt>
                <c:pt idx="139">
                  <c:v>2017 05 20</c:v>
                </c:pt>
                <c:pt idx="140">
                  <c:v>2017 05 21</c:v>
                </c:pt>
                <c:pt idx="141">
                  <c:v>2017 05 22</c:v>
                </c:pt>
                <c:pt idx="142">
                  <c:v>2017 05 23</c:v>
                </c:pt>
                <c:pt idx="143">
                  <c:v>2017 05 24</c:v>
                </c:pt>
                <c:pt idx="144">
                  <c:v>2017 05 25</c:v>
                </c:pt>
                <c:pt idx="145">
                  <c:v>2017 05 26</c:v>
                </c:pt>
                <c:pt idx="146">
                  <c:v>2017 05 27</c:v>
                </c:pt>
                <c:pt idx="147">
                  <c:v>2017 05 28</c:v>
                </c:pt>
                <c:pt idx="148">
                  <c:v>2017 05 29</c:v>
                </c:pt>
                <c:pt idx="149">
                  <c:v>2017 05 30</c:v>
                </c:pt>
                <c:pt idx="150">
                  <c:v>2017 05 31</c:v>
                </c:pt>
                <c:pt idx="151">
                  <c:v>2017 06 01</c:v>
                </c:pt>
                <c:pt idx="152">
                  <c:v>2017 06 02</c:v>
                </c:pt>
                <c:pt idx="153">
                  <c:v>2017 06 03</c:v>
                </c:pt>
                <c:pt idx="154">
                  <c:v>2017 06 04</c:v>
                </c:pt>
                <c:pt idx="155">
                  <c:v>2017 06 05</c:v>
                </c:pt>
                <c:pt idx="156">
                  <c:v>2017 06 06</c:v>
                </c:pt>
                <c:pt idx="157">
                  <c:v>2017 06 07</c:v>
                </c:pt>
                <c:pt idx="158">
                  <c:v>2017 06 08</c:v>
                </c:pt>
                <c:pt idx="159">
                  <c:v>2017 06 09</c:v>
                </c:pt>
                <c:pt idx="160">
                  <c:v>2017 06 10</c:v>
                </c:pt>
                <c:pt idx="161">
                  <c:v>2017 06 11</c:v>
                </c:pt>
                <c:pt idx="162">
                  <c:v>2017 06 12</c:v>
                </c:pt>
                <c:pt idx="163">
                  <c:v>2017 06 13</c:v>
                </c:pt>
                <c:pt idx="164">
                  <c:v>2017 06 14</c:v>
                </c:pt>
                <c:pt idx="165">
                  <c:v>2017 06 15</c:v>
                </c:pt>
                <c:pt idx="166">
                  <c:v>2017 06 16</c:v>
                </c:pt>
                <c:pt idx="167">
                  <c:v>2017 06 17</c:v>
                </c:pt>
                <c:pt idx="168">
                  <c:v>2017 06 18</c:v>
                </c:pt>
                <c:pt idx="169">
                  <c:v>2017 06 19</c:v>
                </c:pt>
                <c:pt idx="170">
                  <c:v>2017 06 20</c:v>
                </c:pt>
                <c:pt idx="171">
                  <c:v>2017 06 21</c:v>
                </c:pt>
                <c:pt idx="172">
                  <c:v>2017 06 22</c:v>
                </c:pt>
                <c:pt idx="173">
                  <c:v>2017 06 23</c:v>
                </c:pt>
                <c:pt idx="174">
                  <c:v>2017 06 24</c:v>
                </c:pt>
                <c:pt idx="175">
                  <c:v>2017 06 25</c:v>
                </c:pt>
                <c:pt idx="176">
                  <c:v>2017 06 26</c:v>
                </c:pt>
                <c:pt idx="177">
                  <c:v>2017 06 27</c:v>
                </c:pt>
                <c:pt idx="178">
                  <c:v>2017 06 28</c:v>
                </c:pt>
                <c:pt idx="179">
                  <c:v>2017 06 29</c:v>
                </c:pt>
                <c:pt idx="180">
                  <c:v>2017 06 30</c:v>
                </c:pt>
                <c:pt idx="181">
                  <c:v>2017 07 01</c:v>
                </c:pt>
                <c:pt idx="182">
                  <c:v>2017 07 02</c:v>
                </c:pt>
                <c:pt idx="183">
                  <c:v>2017 07 03</c:v>
                </c:pt>
                <c:pt idx="184">
                  <c:v>2017 07 04</c:v>
                </c:pt>
                <c:pt idx="185">
                  <c:v>2017 07 05</c:v>
                </c:pt>
                <c:pt idx="186">
                  <c:v>2017 07 06</c:v>
                </c:pt>
                <c:pt idx="187">
                  <c:v>2017 07 07</c:v>
                </c:pt>
                <c:pt idx="188">
                  <c:v>2017 07 08</c:v>
                </c:pt>
                <c:pt idx="189">
                  <c:v>2017 07 09</c:v>
                </c:pt>
                <c:pt idx="190">
                  <c:v>2017 07 10</c:v>
                </c:pt>
                <c:pt idx="191">
                  <c:v>2017 07 11</c:v>
                </c:pt>
                <c:pt idx="192">
                  <c:v>2017 07 12</c:v>
                </c:pt>
                <c:pt idx="193">
                  <c:v>2017 07 13</c:v>
                </c:pt>
                <c:pt idx="194">
                  <c:v>2017 07 14</c:v>
                </c:pt>
                <c:pt idx="195">
                  <c:v>2017 07 15</c:v>
                </c:pt>
                <c:pt idx="196">
                  <c:v>2017 07 16</c:v>
                </c:pt>
                <c:pt idx="197">
                  <c:v>2017 07 17</c:v>
                </c:pt>
                <c:pt idx="198">
                  <c:v>2017 07 18</c:v>
                </c:pt>
                <c:pt idx="199">
                  <c:v>2017 07 19</c:v>
                </c:pt>
                <c:pt idx="200">
                  <c:v>2017 07 20</c:v>
                </c:pt>
                <c:pt idx="201">
                  <c:v>2017 07 21</c:v>
                </c:pt>
                <c:pt idx="202">
                  <c:v>2017 07 22</c:v>
                </c:pt>
                <c:pt idx="203">
                  <c:v>2017 07 23</c:v>
                </c:pt>
                <c:pt idx="204">
                  <c:v>2017 07 24</c:v>
                </c:pt>
                <c:pt idx="205">
                  <c:v>2017 07 25</c:v>
                </c:pt>
                <c:pt idx="206">
                  <c:v>2017 07 26</c:v>
                </c:pt>
                <c:pt idx="207">
                  <c:v>2017 07 27</c:v>
                </c:pt>
                <c:pt idx="208">
                  <c:v>2017 07 28</c:v>
                </c:pt>
                <c:pt idx="209">
                  <c:v>2017 07 29</c:v>
                </c:pt>
                <c:pt idx="210">
                  <c:v>2017 07 30</c:v>
                </c:pt>
                <c:pt idx="211">
                  <c:v>2017 07 31</c:v>
                </c:pt>
                <c:pt idx="212">
                  <c:v>2017 08 01</c:v>
                </c:pt>
                <c:pt idx="213">
                  <c:v>2017 08 02</c:v>
                </c:pt>
                <c:pt idx="214">
                  <c:v>2017 08 03</c:v>
                </c:pt>
                <c:pt idx="215">
                  <c:v>2017 08 04</c:v>
                </c:pt>
                <c:pt idx="216">
                  <c:v>2017 08 05</c:v>
                </c:pt>
                <c:pt idx="217">
                  <c:v>2017 08 06</c:v>
                </c:pt>
                <c:pt idx="218">
                  <c:v>2017 08 07</c:v>
                </c:pt>
                <c:pt idx="219">
                  <c:v>2017 08 08</c:v>
                </c:pt>
                <c:pt idx="220">
                  <c:v>2017 08 09</c:v>
                </c:pt>
                <c:pt idx="221">
                  <c:v>2017 08 10</c:v>
                </c:pt>
                <c:pt idx="222">
                  <c:v>2017 08 11</c:v>
                </c:pt>
                <c:pt idx="223">
                  <c:v>2017 08 12</c:v>
                </c:pt>
                <c:pt idx="224">
                  <c:v>2017 08 13</c:v>
                </c:pt>
                <c:pt idx="225">
                  <c:v>2017 08 14</c:v>
                </c:pt>
                <c:pt idx="226">
                  <c:v>2017 08 15</c:v>
                </c:pt>
                <c:pt idx="227">
                  <c:v>2017 08 16</c:v>
                </c:pt>
                <c:pt idx="228">
                  <c:v>2017 08 17</c:v>
                </c:pt>
                <c:pt idx="229">
                  <c:v>2017 08 18</c:v>
                </c:pt>
                <c:pt idx="230">
                  <c:v>2017 08 19</c:v>
                </c:pt>
                <c:pt idx="231">
                  <c:v>2017 08 20</c:v>
                </c:pt>
                <c:pt idx="232">
                  <c:v>2017 08 21</c:v>
                </c:pt>
                <c:pt idx="233">
                  <c:v>2017 08 22</c:v>
                </c:pt>
                <c:pt idx="234">
                  <c:v>2017 08 23</c:v>
                </c:pt>
                <c:pt idx="235">
                  <c:v>2017 08 24</c:v>
                </c:pt>
                <c:pt idx="236">
                  <c:v>2017 08 25</c:v>
                </c:pt>
                <c:pt idx="237">
                  <c:v>2017 08 26</c:v>
                </c:pt>
                <c:pt idx="238">
                  <c:v>2017 08 27</c:v>
                </c:pt>
                <c:pt idx="239">
                  <c:v>2017 08 28</c:v>
                </c:pt>
                <c:pt idx="240">
                  <c:v>2017 08 29</c:v>
                </c:pt>
                <c:pt idx="241">
                  <c:v>2017 08 30</c:v>
                </c:pt>
                <c:pt idx="242">
                  <c:v>2017 08 31</c:v>
                </c:pt>
                <c:pt idx="243">
                  <c:v>2017 09 01</c:v>
                </c:pt>
                <c:pt idx="244">
                  <c:v>2017 09 02</c:v>
                </c:pt>
                <c:pt idx="245">
                  <c:v>2017 09 03</c:v>
                </c:pt>
                <c:pt idx="246">
                  <c:v>2017 09 04</c:v>
                </c:pt>
                <c:pt idx="247">
                  <c:v>2017 09 05</c:v>
                </c:pt>
                <c:pt idx="248">
                  <c:v>2017 09 06</c:v>
                </c:pt>
                <c:pt idx="249">
                  <c:v>2017 09 07</c:v>
                </c:pt>
                <c:pt idx="250">
                  <c:v>2017 09 08</c:v>
                </c:pt>
                <c:pt idx="251">
                  <c:v>2017 09 09</c:v>
                </c:pt>
                <c:pt idx="252">
                  <c:v>2017 09 10</c:v>
                </c:pt>
                <c:pt idx="253">
                  <c:v>2017 09 11</c:v>
                </c:pt>
                <c:pt idx="254">
                  <c:v>2017 09 12</c:v>
                </c:pt>
                <c:pt idx="255">
                  <c:v>2017 09 13</c:v>
                </c:pt>
                <c:pt idx="256">
                  <c:v>2017 09 14</c:v>
                </c:pt>
                <c:pt idx="257">
                  <c:v>2017 09 15</c:v>
                </c:pt>
                <c:pt idx="258">
                  <c:v>2017 09 16</c:v>
                </c:pt>
                <c:pt idx="259">
                  <c:v>2017 09 17</c:v>
                </c:pt>
                <c:pt idx="260">
                  <c:v>2017 09 18</c:v>
                </c:pt>
                <c:pt idx="261">
                  <c:v>2017 09 19</c:v>
                </c:pt>
                <c:pt idx="262">
                  <c:v>2017 09 20</c:v>
                </c:pt>
                <c:pt idx="263">
                  <c:v>2017 09 21</c:v>
                </c:pt>
                <c:pt idx="264">
                  <c:v>2017 09 22</c:v>
                </c:pt>
                <c:pt idx="265">
                  <c:v>2017 09 23</c:v>
                </c:pt>
                <c:pt idx="266">
                  <c:v>2017 09 24</c:v>
                </c:pt>
                <c:pt idx="267">
                  <c:v>2017 09 25</c:v>
                </c:pt>
                <c:pt idx="268">
                  <c:v>2017 09 26</c:v>
                </c:pt>
                <c:pt idx="269">
                  <c:v>2017 09 27</c:v>
                </c:pt>
                <c:pt idx="270">
                  <c:v>2017 09 28</c:v>
                </c:pt>
                <c:pt idx="271">
                  <c:v>2017 09 29</c:v>
                </c:pt>
                <c:pt idx="272">
                  <c:v>2017 09 30</c:v>
                </c:pt>
                <c:pt idx="273">
                  <c:v>2017 10 01</c:v>
                </c:pt>
                <c:pt idx="274">
                  <c:v>2017 10 02</c:v>
                </c:pt>
                <c:pt idx="275">
                  <c:v>2017 10 03</c:v>
                </c:pt>
                <c:pt idx="276">
                  <c:v>2017 10 04</c:v>
                </c:pt>
                <c:pt idx="277">
                  <c:v>2017 10 05</c:v>
                </c:pt>
                <c:pt idx="278">
                  <c:v>2017 10 06</c:v>
                </c:pt>
                <c:pt idx="279">
                  <c:v>2017 10 07</c:v>
                </c:pt>
                <c:pt idx="280">
                  <c:v>2017 10 08</c:v>
                </c:pt>
                <c:pt idx="281">
                  <c:v>2017 10 09</c:v>
                </c:pt>
                <c:pt idx="282">
                  <c:v>2017 10 10</c:v>
                </c:pt>
                <c:pt idx="283">
                  <c:v>2017 10 11</c:v>
                </c:pt>
                <c:pt idx="284">
                  <c:v>2017 10 12</c:v>
                </c:pt>
                <c:pt idx="285">
                  <c:v>2017 10 13</c:v>
                </c:pt>
                <c:pt idx="286">
                  <c:v>2017 10 14</c:v>
                </c:pt>
                <c:pt idx="287">
                  <c:v>2017 10 15</c:v>
                </c:pt>
                <c:pt idx="288">
                  <c:v>2017 10 16</c:v>
                </c:pt>
                <c:pt idx="289">
                  <c:v>2017 10 17</c:v>
                </c:pt>
                <c:pt idx="290">
                  <c:v>2017 10 18</c:v>
                </c:pt>
                <c:pt idx="291">
                  <c:v>2017 10 19</c:v>
                </c:pt>
                <c:pt idx="292">
                  <c:v>2017 10 20</c:v>
                </c:pt>
                <c:pt idx="293">
                  <c:v>2017 10 21</c:v>
                </c:pt>
                <c:pt idx="294">
                  <c:v>2017 10 22</c:v>
                </c:pt>
                <c:pt idx="295">
                  <c:v>2017 10 23</c:v>
                </c:pt>
                <c:pt idx="296">
                  <c:v>2017 10 24</c:v>
                </c:pt>
                <c:pt idx="297">
                  <c:v>2017 10 25</c:v>
                </c:pt>
                <c:pt idx="298">
                  <c:v>2017 10 26</c:v>
                </c:pt>
                <c:pt idx="299">
                  <c:v>2017 10 27</c:v>
                </c:pt>
                <c:pt idx="300">
                  <c:v>2017 10 28</c:v>
                </c:pt>
                <c:pt idx="301">
                  <c:v>2017 10 29</c:v>
                </c:pt>
                <c:pt idx="302">
                  <c:v>2017 10 30</c:v>
                </c:pt>
                <c:pt idx="303">
                  <c:v>2017 10 31</c:v>
                </c:pt>
                <c:pt idx="304">
                  <c:v>2017 11 01</c:v>
                </c:pt>
                <c:pt idx="305">
                  <c:v>2017 11 02</c:v>
                </c:pt>
                <c:pt idx="306">
                  <c:v>2017 11 03</c:v>
                </c:pt>
                <c:pt idx="307">
                  <c:v>2017 11 04</c:v>
                </c:pt>
                <c:pt idx="308">
                  <c:v>2017 11 05</c:v>
                </c:pt>
                <c:pt idx="309">
                  <c:v>2017 11 06</c:v>
                </c:pt>
                <c:pt idx="310">
                  <c:v>2017 11 07</c:v>
                </c:pt>
                <c:pt idx="311">
                  <c:v>2017 11 08</c:v>
                </c:pt>
                <c:pt idx="312">
                  <c:v>2017 11 09</c:v>
                </c:pt>
                <c:pt idx="313">
                  <c:v>2017 11 10</c:v>
                </c:pt>
                <c:pt idx="314">
                  <c:v>2017 11 11</c:v>
                </c:pt>
                <c:pt idx="315">
                  <c:v>2017 11 12</c:v>
                </c:pt>
                <c:pt idx="316">
                  <c:v>2017 11 13</c:v>
                </c:pt>
                <c:pt idx="317">
                  <c:v>2017 11 14</c:v>
                </c:pt>
                <c:pt idx="318">
                  <c:v>2017 11 15</c:v>
                </c:pt>
                <c:pt idx="319">
                  <c:v>2017 11 16</c:v>
                </c:pt>
                <c:pt idx="320">
                  <c:v>2017 11 17</c:v>
                </c:pt>
                <c:pt idx="321">
                  <c:v>2017 11 18</c:v>
                </c:pt>
                <c:pt idx="322">
                  <c:v>2017 11 19</c:v>
                </c:pt>
                <c:pt idx="323">
                  <c:v>2017 11 20</c:v>
                </c:pt>
                <c:pt idx="324">
                  <c:v>2017 11 21</c:v>
                </c:pt>
                <c:pt idx="325">
                  <c:v>2017 11 22</c:v>
                </c:pt>
                <c:pt idx="326">
                  <c:v>2017 11 23</c:v>
                </c:pt>
                <c:pt idx="327">
                  <c:v>2017 11 24</c:v>
                </c:pt>
                <c:pt idx="328">
                  <c:v>2017 11 25</c:v>
                </c:pt>
                <c:pt idx="329">
                  <c:v>2017 11 26</c:v>
                </c:pt>
                <c:pt idx="330">
                  <c:v>2017 11 27</c:v>
                </c:pt>
                <c:pt idx="331">
                  <c:v>2017 11 28</c:v>
                </c:pt>
                <c:pt idx="332">
                  <c:v>2017 11 29</c:v>
                </c:pt>
                <c:pt idx="333">
                  <c:v>2017 11 30</c:v>
                </c:pt>
                <c:pt idx="334">
                  <c:v>2017 12 01</c:v>
                </c:pt>
                <c:pt idx="335">
                  <c:v>2017 12 02</c:v>
                </c:pt>
                <c:pt idx="336">
                  <c:v>2017 12 03</c:v>
                </c:pt>
                <c:pt idx="337">
                  <c:v>2017 12 04</c:v>
                </c:pt>
                <c:pt idx="338">
                  <c:v>2017 12 05</c:v>
                </c:pt>
                <c:pt idx="339">
                  <c:v>2017 12 06</c:v>
                </c:pt>
                <c:pt idx="340">
                  <c:v>2017 12 07</c:v>
                </c:pt>
                <c:pt idx="341">
                  <c:v>2017 12 08</c:v>
                </c:pt>
                <c:pt idx="342">
                  <c:v>2017 12 09</c:v>
                </c:pt>
                <c:pt idx="343">
                  <c:v>2017 12 10</c:v>
                </c:pt>
                <c:pt idx="344">
                  <c:v>2017 12 11</c:v>
                </c:pt>
                <c:pt idx="345">
                  <c:v>2017 12 12</c:v>
                </c:pt>
                <c:pt idx="346">
                  <c:v>2017 12 13</c:v>
                </c:pt>
                <c:pt idx="347">
                  <c:v>2017 12 14</c:v>
                </c:pt>
                <c:pt idx="348">
                  <c:v>2017 12 15</c:v>
                </c:pt>
                <c:pt idx="349">
                  <c:v>2017 12 16</c:v>
                </c:pt>
                <c:pt idx="350">
                  <c:v>2017 12 17</c:v>
                </c:pt>
                <c:pt idx="351">
                  <c:v>2017 12 18</c:v>
                </c:pt>
                <c:pt idx="352">
                  <c:v>2017 12 19</c:v>
                </c:pt>
                <c:pt idx="353">
                  <c:v>2017 12 20</c:v>
                </c:pt>
                <c:pt idx="354">
                  <c:v>2017 12 21</c:v>
                </c:pt>
                <c:pt idx="355">
                  <c:v>2017 12 22</c:v>
                </c:pt>
                <c:pt idx="356">
                  <c:v>2017 12 23</c:v>
                </c:pt>
                <c:pt idx="357">
                  <c:v>2017 12 24</c:v>
                </c:pt>
                <c:pt idx="358">
                  <c:v>2017 12 25</c:v>
                </c:pt>
                <c:pt idx="359">
                  <c:v>2017 12 26</c:v>
                </c:pt>
                <c:pt idx="360">
                  <c:v>2017 12 27</c:v>
                </c:pt>
                <c:pt idx="361">
                  <c:v>2017 12 28</c:v>
                </c:pt>
                <c:pt idx="362">
                  <c:v>2017 12 29</c:v>
                </c:pt>
                <c:pt idx="363">
                  <c:v>2017 12 30</c:v>
                </c:pt>
                <c:pt idx="364">
                  <c:v>2017 12 31</c:v>
                </c:pt>
              </c:strCache>
            </c:strRef>
          </c:cat>
          <c:val>
            <c:numRef>
              <c:f>Sheet1!$C$2:$C$366</c:f>
              <c:numCache>
                <c:formatCode>General</c:formatCode>
                <c:ptCount val="365"/>
                <c:pt idx="0">
                  <c:v>31.62</c:v>
                </c:pt>
                <c:pt idx="1">
                  <c:v>43.99</c:v>
                </c:pt>
                <c:pt idx="2">
                  <c:v>37.03</c:v>
                </c:pt>
                <c:pt idx="3">
                  <c:v>42.88</c:v>
                </c:pt>
                <c:pt idx="4">
                  <c:v>26.2</c:v>
                </c:pt>
                <c:pt idx="5">
                  <c:v>46.220000000000013</c:v>
                </c:pt>
                <c:pt idx="6">
                  <c:v>50.9</c:v>
                </c:pt>
                <c:pt idx="7">
                  <c:v>61.46</c:v>
                </c:pt>
                <c:pt idx="8">
                  <c:v>58.120000000000012</c:v>
                </c:pt>
                <c:pt idx="9">
                  <c:v>56.160000000000011</c:v>
                </c:pt>
                <c:pt idx="10">
                  <c:v>68.5</c:v>
                </c:pt>
                <c:pt idx="11">
                  <c:v>77.679999999999978</c:v>
                </c:pt>
                <c:pt idx="12">
                  <c:v>83.04</c:v>
                </c:pt>
                <c:pt idx="13">
                  <c:v>85.47</c:v>
                </c:pt>
                <c:pt idx="14">
                  <c:v>58.58</c:v>
                </c:pt>
                <c:pt idx="15">
                  <c:v>44.54</c:v>
                </c:pt>
                <c:pt idx="16">
                  <c:v>57.05</c:v>
                </c:pt>
                <c:pt idx="17">
                  <c:v>69.39</c:v>
                </c:pt>
                <c:pt idx="18">
                  <c:v>63.43</c:v>
                </c:pt>
                <c:pt idx="19">
                  <c:v>76.910000000000025</c:v>
                </c:pt>
                <c:pt idx="20">
                  <c:v>64.61999999999999</c:v>
                </c:pt>
                <c:pt idx="21">
                  <c:v>60.64</c:v>
                </c:pt>
                <c:pt idx="22">
                  <c:v>56.18</c:v>
                </c:pt>
                <c:pt idx="23">
                  <c:v>59.49</c:v>
                </c:pt>
                <c:pt idx="24">
                  <c:v>49.96</c:v>
                </c:pt>
                <c:pt idx="25">
                  <c:v>#N/A</c:v>
                </c:pt>
                <c:pt idx="26">
                  <c:v>#N/A</c:v>
                </c:pt>
                <c:pt idx="27">
                  <c:v>#N/A</c:v>
                </c:pt>
                <c:pt idx="28">
                  <c:v>#N/A</c:v>
                </c:pt>
                <c:pt idx="29">
                  <c:v>40.380000000000003</c:v>
                </c:pt>
                <c:pt idx="30">
                  <c:v>73.290000000000006</c:v>
                </c:pt>
                <c:pt idx="31">
                  <c:v>85.29</c:v>
                </c:pt>
                <c:pt idx="32">
                  <c:v>89.669999999999987</c:v>
                </c:pt>
                <c:pt idx="33">
                  <c:v>96.36999999999999</c:v>
                </c:pt>
                <c:pt idx="34">
                  <c:v>90.04</c:v>
                </c:pt>
                <c:pt idx="35">
                  <c:v>64.400000000000006</c:v>
                </c:pt>
                <c:pt idx="36">
                  <c:v>41.42</c:v>
                </c:pt>
                <c:pt idx="37">
                  <c:v>41.95</c:v>
                </c:pt>
                <c:pt idx="38">
                  <c:v>48.11</c:v>
                </c:pt>
                <c:pt idx="39">
                  <c:v>74.5</c:v>
                </c:pt>
                <c:pt idx="40">
                  <c:v>89.31</c:v>
                </c:pt>
                <c:pt idx="41">
                  <c:v>87.77</c:v>
                </c:pt>
                <c:pt idx="42">
                  <c:v>72.2</c:v>
                </c:pt>
                <c:pt idx="43">
                  <c:v>82.38</c:v>
                </c:pt>
                <c:pt idx="44">
                  <c:v>88.36999999999999</c:v>
                </c:pt>
                <c:pt idx="45">
                  <c:v>78.61999999999999</c:v>
                </c:pt>
                <c:pt idx="46">
                  <c:v>91.25</c:v>
                </c:pt>
                <c:pt idx="47">
                  <c:v>86.66</c:v>
                </c:pt>
                <c:pt idx="48">
                  <c:v>82.39</c:v>
                </c:pt>
                <c:pt idx="49">
                  <c:v>78.209999999999994</c:v>
                </c:pt>
                <c:pt idx="50">
                  <c:v>75.19</c:v>
                </c:pt>
                <c:pt idx="51">
                  <c:v>72.11</c:v>
                </c:pt>
                <c:pt idx="52">
                  <c:v>76.239999999999995</c:v>
                </c:pt>
                <c:pt idx="53">
                  <c:v>65.52</c:v>
                </c:pt>
                <c:pt idx="54">
                  <c:v>90.69</c:v>
                </c:pt>
                <c:pt idx="55">
                  <c:v>71.930000000000007</c:v>
                </c:pt>
                <c:pt idx="56">
                  <c:v>66.430000000000007</c:v>
                </c:pt>
                <c:pt idx="57">
                  <c:v>63.47</c:v>
                </c:pt>
                <c:pt idx="58">
                  <c:v>66.86</c:v>
                </c:pt>
                <c:pt idx="59">
                  <c:v>67.64</c:v>
                </c:pt>
                <c:pt idx="60">
                  <c:v>59.52</c:v>
                </c:pt>
                <c:pt idx="61">
                  <c:v>53.27</c:v>
                </c:pt>
                <c:pt idx="62">
                  <c:v>83.36999999999999</c:v>
                </c:pt>
                <c:pt idx="63">
                  <c:v>81.23</c:v>
                </c:pt>
                <c:pt idx="64">
                  <c:v>78.39</c:v>
                </c:pt>
                <c:pt idx="65">
                  <c:v>83.55</c:v>
                </c:pt>
                <c:pt idx="66">
                  <c:v>89.31</c:v>
                </c:pt>
                <c:pt idx="67">
                  <c:v>64.069999999999993</c:v>
                </c:pt>
                <c:pt idx="68">
                  <c:v>52.04</c:v>
                </c:pt>
                <c:pt idx="69">
                  <c:v>64.149999999999991</c:v>
                </c:pt>
                <c:pt idx="70">
                  <c:v>58.96</c:v>
                </c:pt>
                <c:pt idx="71">
                  <c:v>67.08</c:v>
                </c:pt>
                <c:pt idx="72">
                  <c:v>70.540000000000006</c:v>
                </c:pt>
                <c:pt idx="73">
                  <c:v>54.57</c:v>
                </c:pt>
                <c:pt idx="74">
                  <c:v>76.97</c:v>
                </c:pt>
                <c:pt idx="75">
                  <c:v>66.510000000000005</c:v>
                </c:pt>
                <c:pt idx="76">
                  <c:v>63.74</c:v>
                </c:pt>
                <c:pt idx="77">
                  <c:v>79.14</c:v>
                </c:pt>
                <c:pt idx="78">
                  <c:v>77.55</c:v>
                </c:pt>
                <c:pt idx="79">
                  <c:v>78.09</c:v>
                </c:pt>
                <c:pt idx="80">
                  <c:v>88.11999999999999</c:v>
                </c:pt>
                <c:pt idx="81">
                  <c:v>99.57</c:v>
                </c:pt>
                <c:pt idx="82">
                  <c:v>94.86999999999999</c:v>
                </c:pt>
                <c:pt idx="83">
                  <c:v>68.53</c:v>
                </c:pt>
                <c:pt idx="84">
                  <c:v>76.09</c:v>
                </c:pt>
                <c:pt idx="85">
                  <c:v>84.06</c:v>
                </c:pt>
                <c:pt idx="86">
                  <c:v>89.33</c:v>
                </c:pt>
                <c:pt idx="87">
                  <c:v>100.06</c:v>
                </c:pt>
                <c:pt idx="88">
                  <c:v>86.490000000000023</c:v>
                </c:pt>
                <c:pt idx="89">
                  <c:v>96.28</c:v>
                </c:pt>
                <c:pt idx="90">
                  <c:v>99.740000000000023</c:v>
                </c:pt>
                <c:pt idx="91">
                  <c:v>96.42</c:v>
                </c:pt>
                <c:pt idx="92">
                  <c:v>97.64</c:v>
                </c:pt>
                <c:pt idx="93">
                  <c:v>85.77</c:v>
                </c:pt>
                <c:pt idx="94">
                  <c:v>86.08</c:v>
                </c:pt>
                <c:pt idx="95">
                  <c:v>85.43</c:v>
                </c:pt>
                <c:pt idx="96">
                  <c:v>72.61999999999999</c:v>
                </c:pt>
                <c:pt idx="97">
                  <c:v>89.56</c:v>
                </c:pt>
                <c:pt idx="98">
                  <c:v>82.649999999999991</c:v>
                </c:pt>
                <c:pt idx="99">
                  <c:v>102.05</c:v>
                </c:pt>
                <c:pt idx="100">
                  <c:v>91.47</c:v>
                </c:pt>
                <c:pt idx="101">
                  <c:v>89.06</c:v>
                </c:pt>
                <c:pt idx="102">
                  <c:v>93.25</c:v>
                </c:pt>
                <c:pt idx="103">
                  <c:v>81.95</c:v>
                </c:pt>
                <c:pt idx="104">
                  <c:v>90</c:v>
                </c:pt>
                <c:pt idx="105">
                  <c:v>82.39</c:v>
                </c:pt>
                <c:pt idx="106">
                  <c:v>69.73</c:v>
                </c:pt>
                <c:pt idx="107">
                  <c:v>80.72</c:v>
                </c:pt>
                <c:pt idx="108">
                  <c:v>86.58</c:v>
                </c:pt>
                <c:pt idx="109">
                  <c:v>87.5</c:v>
                </c:pt>
                <c:pt idx="110">
                  <c:v>77.08</c:v>
                </c:pt>
                <c:pt idx="111">
                  <c:v>108.02</c:v>
                </c:pt>
                <c:pt idx="112">
                  <c:v>83.02</c:v>
                </c:pt>
                <c:pt idx="113">
                  <c:v>90.149999999999991</c:v>
                </c:pt>
                <c:pt idx="114">
                  <c:v>98.56</c:v>
                </c:pt>
                <c:pt idx="115">
                  <c:v>101.49000000000002</c:v>
                </c:pt>
                <c:pt idx="116">
                  <c:v>108.91000000000005</c:v>
                </c:pt>
                <c:pt idx="117">
                  <c:v>97.98</c:v>
                </c:pt>
                <c:pt idx="118">
                  <c:v>104.43</c:v>
                </c:pt>
                <c:pt idx="119">
                  <c:v>79.98</c:v>
                </c:pt>
                <c:pt idx="120">
                  <c:v>70.73</c:v>
                </c:pt>
                <c:pt idx="121">
                  <c:v>103.64999999999999</c:v>
                </c:pt>
                <c:pt idx="122">
                  <c:v>101.61</c:v>
                </c:pt>
                <c:pt idx="123">
                  <c:v>93.76</c:v>
                </c:pt>
                <c:pt idx="124">
                  <c:v>112.25</c:v>
                </c:pt>
                <c:pt idx="125">
                  <c:v>93.410000000000025</c:v>
                </c:pt>
                <c:pt idx="126">
                  <c:v>91.42</c:v>
                </c:pt>
                <c:pt idx="127">
                  <c:v>85.51</c:v>
                </c:pt>
                <c:pt idx="128">
                  <c:v>63.55</c:v>
                </c:pt>
                <c:pt idx="129">
                  <c:v>77.08</c:v>
                </c:pt>
                <c:pt idx="130">
                  <c:v>96.08</c:v>
                </c:pt>
                <c:pt idx="131">
                  <c:v>77.569999999999993</c:v>
                </c:pt>
                <c:pt idx="132">
                  <c:v>75.86</c:v>
                </c:pt>
                <c:pt idx="133">
                  <c:v>63.65</c:v>
                </c:pt>
                <c:pt idx="134">
                  <c:v>102.9</c:v>
                </c:pt>
                <c:pt idx="135">
                  <c:v>83.69</c:v>
                </c:pt>
                <c:pt idx="136">
                  <c:v>92.79</c:v>
                </c:pt>
                <c:pt idx="137">
                  <c:v>105.72</c:v>
                </c:pt>
                <c:pt idx="138">
                  <c:v>107.79</c:v>
                </c:pt>
                <c:pt idx="139">
                  <c:v>103.97</c:v>
                </c:pt>
                <c:pt idx="140">
                  <c:v>97.77</c:v>
                </c:pt>
                <c:pt idx="141">
                  <c:v>83.42</c:v>
                </c:pt>
                <c:pt idx="142">
                  <c:v>99.27</c:v>
                </c:pt>
                <c:pt idx="143">
                  <c:v>99.1</c:v>
                </c:pt>
                <c:pt idx="144">
                  <c:v>86.92</c:v>
                </c:pt>
                <c:pt idx="145">
                  <c:v>84.72</c:v>
                </c:pt>
                <c:pt idx="146">
                  <c:v>74.290000000000006</c:v>
                </c:pt>
                <c:pt idx="147">
                  <c:v>80.989999999999995</c:v>
                </c:pt>
                <c:pt idx="148">
                  <c:v>106.26</c:v>
                </c:pt>
                <c:pt idx="149">
                  <c:v>91.27</c:v>
                </c:pt>
                <c:pt idx="150">
                  <c:v>74.540000000000006</c:v>
                </c:pt>
                <c:pt idx="151">
                  <c:v>90.649999999999991</c:v>
                </c:pt>
                <c:pt idx="152">
                  <c:v>101.49000000000002</c:v>
                </c:pt>
                <c:pt idx="153">
                  <c:v>105.72</c:v>
                </c:pt>
                <c:pt idx="154">
                  <c:v>98.14</c:v>
                </c:pt>
                <c:pt idx="155">
                  <c:v>99.179999999999978</c:v>
                </c:pt>
                <c:pt idx="156">
                  <c:v>112.98</c:v>
                </c:pt>
                <c:pt idx="157">
                  <c:v>91.910000000000025</c:v>
                </c:pt>
                <c:pt idx="158">
                  <c:v>80.23</c:v>
                </c:pt>
                <c:pt idx="159">
                  <c:v>59.06</c:v>
                </c:pt>
                <c:pt idx="160">
                  <c:v>95.77</c:v>
                </c:pt>
                <c:pt idx="161">
                  <c:v>88.42</c:v>
                </c:pt>
                <c:pt idx="162">
                  <c:v>92.38</c:v>
                </c:pt>
                <c:pt idx="163">
                  <c:v>84.52</c:v>
                </c:pt>
                <c:pt idx="164">
                  <c:v>83.86999999999999</c:v>
                </c:pt>
                <c:pt idx="165">
                  <c:v>77.23</c:v>
                </c:pt>
                <c:pt idx="166">
                  <c:v>88.76</c:v>
                </c:pt>
                <c:pt idx="167">
                  <c:v>78.930000000000007</c:v>
                </c:pt>
                <c:pt idx="168">
                  <c:v>72.349999999999994</c:v>
                </c:pt>
                <c:pt idx="169">
                  <c:v>85.77</c:v>
                </c:pt>
                <c:pt idx="170">
                  <c:v>68.5</c:v>
                </c:pt>
                <c:pt idx="171">
                  <c:v>79.849999999999994</c:v>
                </c:pt>
                <c:pt idx="172">
                  <c:v>100.61999999999999</c:v>
                </c:pt>
                <c:pt idx="173">
                  <c:v>51.77</c:v>
                </c:pt>
                <c:pt idx="174">
                  <c:v>94.48</c:v>
                </c:pt>
                <c:pt idx="175">
                  <c:v>97.88</c:v>
                </c:pt>
                <c:pt idx="176">
                  <c:v>96.32</c:v>
                </c:pt>
                <c:pt idx="177">
                  <c:v>83.990000000000023</c:v>
                </c:pt>
                <c:pt idx="178">
                  <c:v>88.410000000000025</c:v>
                </c:pt>
                <c:pt idx="179">
                  <c:v>81.73</c:v>
                </c:pt>
                <c:pt idx="180">
                  <c:v>78.760000000000005</c:v>
                </c:pt>
                <c:pt idx="181">
                  <c:v>95.13</c:v>
                </c:pt>
                <c:pt idx="182">
                  <c:v>89.83</c:v>
                </c:pt>
                <c:pt idx="183">
                  <c:v>63.47</c:v>
                </c:pt>
                <c:pt idx="184">
                  <c:v>49.24</c:v>
                </c:pt>
                <c:pt idx="185">
                  <c:v>75.540000000000006</c:v>
                </c:pt>
                <c:pt idx="186">
                  <c:v>65.260000000000005</c:v>
                </c:pt>
                <c:pt idx="187">
                  <c:v>80.72</c:v>
                </c:pt>
                <c:pt idx="188">
                  <c:v>95.8</c:v>
                </c:pt>
                <c:pt idx="189">
                  <c:v>91.679999999999978</c:v>
                </c:pt>
                <c:pt idx="190">
                  <c:v>95.740000000000023</c:v>
                </c:pt>
                <c:pt idx="191">
                  <c:v>92.07</c:v>
                </c:pt>
                <c:pt idx="192">
                  <c:v>83.11999999999999</c:v>
                </c:pt>
                <c:pt idx="193">
                  <c:v>74.669999999999987</c:v>
                </c:pt>
                <c:pt idx="194">
                  <c:v>#N/A</c:v>
                </c:pt>
                <c:pt idx="195">
                  <c:v>#N/A</c:v>
                </c:pt>
                <c:pt idx="196">
                  <c:v>#N/A</c:v>
                </c:pt>
                <c:pt idx="197">
                  <c:v>77.48</c:v>
                </c:pt>
                <c:pt idx="198">
                  <c:v>91.97</c:v>
                </c:pt>
                <c:pt idx="199">
                  <c:v>101.05</c:v>
                </c:pt>
                <c:pt idx="200">
                  <c:v>110.52</c:v>
                </c:pt>
                <c:pt idx="201">
                  <c:v>108.1</c:v>
                </c:pt>
                <c:pt idx="202">
                  <c:v>89.710000000000022</c:v>
                </c:pt>
                <c:pt idx="203">
                  <c:v>#N/A</c:v>
                </c:pt>
                <c:pt idx="204">
                  <c:v>75.92</c:v>
                </c:pt>
                <c:pt idx="205">
                  <c:v>103.95</c:v>
                </c:pt>
                <c:pt idx="206">
                  <c:v>107.86999999999999</c:v>
                </c:pt>
                <c:pt idx="207">
                  <c:v>77.98</c:v>
                </c:pt>
                <c:pt idx="208">
                  <c:v>58.58</c:v>
                </c:pt>
                <c:pt idx="209">
                  <c:v>77.349999999999994</c:v>
                </c:pt>
                <c:pt idx="210">
                  <c:v>89.69</c:v>
                </c:pt>
                <c:pt idx="211">
                  <c:v>102</c:v>
                </c:pt>
                <c:pt idx="212">
                  <c:v>104.35</c:v>
                </c:pt>
                <c:pt idx="213">
                  <c:v>107.75</c:v>
                </c:pt>
                <c:pt idx="214">
                  <c:v>112.86999999999999</c:v>
                </c:pt>
                <c:pt idx="215">
                  <c:v>100.03</c:v>
                </c:pt>
                <c:pt idx="216">
                  <c:v>107.53</c:v>
                </c:pt>
                <c:pt idx="217">
                  <c:v>101.63</c:v>
                </c:pt>
                <c:pt idx="218">
                  <c:v>90.240000000000023</c:v>
                </c:pt>
                <c:pt idx="219">
                  <c:v>69.27</c:v>
                </c:pt>
                <c:pt idx="220">
                  <c:v>88.92</c:v>
                </c:pt>
                <c:pt idx="221">
                  <c:v>110.61</c:v>
                </c:pt>
                <c:pt idx="222">
                  <c:v>99.04</c:v>
                </c:pt>
                <c:pt idx="223">
                  <c:v>#N/A</c:v>
                </c:pt>
                <c:pt idx="224">
                  <c:v>#N/A</c:v>
                </c:pt>
                <c:pt idx="225">
                  <c:v>65.55</c:v>
                </c:pt>
                <c:pt idx="226">
                  <c:v>79.28</c:v>
                </c:pt>
                <c:pt idx="227">
                  <c:v>105.43</c:v>
                </c:pt>
                <c:pt idx="228">
                  <c:v>92.73</c:v>
                </c:pt>
                <c:pt idx="229">
                  <c:v>58.84</c:v>
                </c:pt>
                <c:pt idx="230">
                  <c:v>97.02</c:v>
                </c:pt>
                <c:pt idx="231">
                  <c:v>92.649999999999991</c:v>
                </c:pt>
                <c:pt idx="232">
                  <c:v>73.56</c:v>
                </c:pt>
                <c:pt idx="233">
                  <c:v>73.45</c:v>
                </c:pt>
                <c:pt idx="234">
                  <c:v>72.16</c:v>
                </c:pt>
                <c:pt idx="235">
                  <c:v>88.13</c:v>
                </c:pt>
                <c:pt idx="236">
                  <c:v>103.55</c:v>
                </c:pt>
                <c:pt idx="237">
                  <c:v>112.14</c:v>
                </c:pt>
                <c:pt idx="238">
                  <c:v>99.31</c:v>
                </c:pt>
                <c:pt idx="239">
                  <c:v>93.3</c:v>
                </c:pt>
                <c:pt idx="240">
                  <c:v>77.81</c:v>
                </c:pt>
                <c:pt idx="241">
                  <c:v>69.66</c:v>
                </c:pt>
                <c:pt idx="242">
                  <c:v>84.86</c:v>
                </c:pt>
                <c:pt idx="243">
                  <c:v>101.83</c:v>
                </c:pt>
                <c:pt idx="244">
                  <c:v>62.290000000000013</c:v>
                </c:pt>
                <c:pt idx="245">
                  <c:v>109.4</c:v>
                </c:pt>
                <c:pt idx="246">
                  <c:v>82.22</c:v>
                </c:pt>
                <c:pt idx="247">
                  <c:v>68.069999999999993</c:v>
                </c:pt>
                <c:pt idx="248">
                  <c:v>90.3</c:v>
                </c:pt>
                <c:pt idx="249">
                  <c:v>100.38</c:v>
                </c:pt>
                <c:pt idx="250">
                  <c:v>83.740000000000023</c:v>
                </c:pt>
                <c:pt idx="251">
                  <c:v>107.01</c:v>
                </c:pt>
                <c:pt idx="252">
                  <c:v>96.210000000000022</c:v>
                </c:pt>
                <c:pt idx="253">
                  <c:v>105.11</c:v>
                </c:pt>
                <c:pt idx="254">
                  <c:v>102.51</c:v>
                </c:pt>
                <c:pt idx="255">
                  <c:v>93.8</c:v>
                </c:pt>
                <c:pt idx="256">
                  <c:v>90.3</c:v>
                </c:pt>
                <c:pt idx="257">
                  <c:v>105.63</c:v>
                </c:pt>
                <c:pt idx="258">
                  <c:v>100.52</c:v>
                </c:pt>
                <c:pt idx="259">
                  <c:v>95.4</c:v>
                </c:pt>
                <c:pt idx="260">
                  <c:v>97.6</c:v>
                </c:pt>
                <c:pt idx="261">
                  <c:v>95.42</c:v>
                </c:pt>
                <c:pt idx="262">
                  <c:v>87.88</c:v>
                </c:pt>
                <c:pt idx="263">
                  <c:v>71.11</c:v>
                </c:pt>
                <c:pt idx="264">
                  <c:v>66.179999999999978</c:v>
                </c:pt>
                <c:pt idx="265">
                  <c:v>68.61999999999999</c:v>
                </c:pt>
                <c:pt idx="266">
                  <c:v>76.2</c:v>
                </c:pt>
                <c:pt idx="267">
                  <c:v>88.03</c:v>
                </c:pt>
                <c:pt idx="268">
                  <c:v>79.92</c:v>
                </c:pt>
                <c:pt idx="269">
                  <c:v>76.97</c:v>
                </c:pt>
                <c:pt idx="270">
                  <c:v>66.97</c:v>
                </c:pt>
                <c:pt idx="271">
                  <c:v>78.2</c:v>
                </c:pt>
                <c:pt idx="272">
                  <c:v>79.910000000000025</c:v>
                </c:pt>
                <c:pt idx="273">
                  <c:v>73.86</c:v>
                </c:pt>
                <c:pt idx="274">
                  <c:v>64.52</c:v>
                </c:pt>
                <c:pt idx="275">
                  <c:v>76.069999999999993</c:v>
                </c:pt>
                <c:pt idx="276">
                  <c:v>73.239999999999995</c:v>
                </c:pt>
                <c:pt idx="277">
                  <c:v>82.61999999999999</c:v>
                </c:pt>
                <c:pt idx="278">
                  <c:v>66.2</c:v>
                </c:pt>
                <c:pt idx="279">
                  <c:v>47.690000000000012</c:v>
                </c:pt>
                <c:pt idx="280">
                  <c:v>60.36</c:v>
                </c:pt>
                <c:pt idx="281">
                  <c:v>59</c:v>
                </c:pt>
                <c:pt idx="282">
                  <c:v>70.98</c:v>
                </c:pt>
                <c:pt idx="283">
                  <c:v>80.59</c:v>
                </c:pt>
                <c:pt idx="284">
                  <c:v>74.59</c:v>
                </c:pt>
                <c:pt idx="285">
                  <c:v>71.149999999999991</c:v>
                </c:pt>
                <c:pt idx="286">
                  <c:v>64.95</c:v>
                </c:pt>
                <c:pt idx="287">
                  <c:v>54.05</c:v>
                </c:pt>
                <c:pt idx="288">
                  <c:v>59.93</c:v>
                </c:pt>
                <c:pt idx="289">
                  <c:v>66.2</c:v>
                </c:pt>
                <c:pt idx="290">
                  <c:v>77.760000000000005</c:v>
                </c:pt>
                <c:pt idx="291">
                  <c:v>61.58</c:v>
                </c:pt>
                <c:pt idx="292">
                  <c:v>75.179999999999978</c:v>
                </c:pt>
                <c:pt idx="293">
                  <c:v>72.489999999999995</c:v>
                </c:pt>
                <c:pt idx="294">
                  <c:v>66.25</c:v>
                </c:pt>
                <c:pt idx="295">
                  <c:v>55.38</c:v>
                </c:pt>
                <c:pt idx="296">
                  <c:v>56.63</c:v>
                </c:pt>
                <c:pt idx="297">
                  <c:v>57.730000000000011</c:v>
                </c:pt>
                <c:pt idx="298">
                  <c:v>48.08</c:v>
                </c:pt>
                <c:pt idx="299">
                  <c:v>55.27</c:v>
                </c:pt>
                <c:pt idx="300">
                  <c:v>51.4</c:v>
                </c:pt>
                <c:pt idx="301">
                  <c:v>64.06</c:v>
                </c:pt>
                <c:pt idx="302">
                  <c:v>71.14</c:v>
                </c:pt>
                <c:pt idx="303">
                  <c:v>74.05</c:v>
                </c:pt>
                <c:pt idx="304">
                  <c:v>81.64</c:v>
                </c:pt>
                <c:pt idx="305">
                  <c:v>61.82</c:v>
                </c:pt>
                <c:pt idx="306">
                  <c:v>#N/A</c:v>
                </c:pt>
                <c:pt idx="307">
                  <c:v>44.5</c:v>
                </c:pt>
                <c:pt idx="308">
                  <c:v>53.11</c:v>
                </c:pt>
                <c:pt idx="309">
                  <c:v>53.660000000000011</c:v>
                </c:pt>
                <c:pt idx="310">
                  <c:v>39.9</c:v>
                </c:pt>
                <c:pt idx="311">
                  <c:v>25.959999999999987</c:v>
                </c:pt>
                <c:pt idx="312">
                  <c:v>32.6</c:v>
                </c:pt>
                <c:pt idx="313">
                  <c:v>32.96</c:v>
                </c:pt>
                <c:pt idx="314">
                  <c:v>40.64</c:v>
                </c:pt>
                <c:pt idx="315">
                  <c:v>50.57</c:v>
                </c:pt>
                <c:pt idx="316">
                  <c:v>63.7</c:v>
                </c:pt>
                <c:pt idx="317">
                  <c:v>50.84</c:v>
                </c:pt>
                <c:pt idx="318">
                  <c:v>37.56</c:v>
                </c:pt>
                <c:pt idx="319">
                  <c:v>35.730000000000011</c:v>
                </c:pt>
                <c:pt idx="320">
                  <c:v>33.700000000000003</c:v>
                </c:pt>
                <c:pt idx="321">
                  <c:v>27.54</c:v>
                </c:pt>
                <c:pt idx="322">
                  <c:v>25.02</c:v>
                </c:pt>
                <c:pt idx="323">
                  <c:v>41.44</c:v>
                </c:pt>
                <c:pt idx="324">
                  <c:v>47.85</c:v>
                </c:pt>
                <c:pt idx="325">
                  <c:v>33.760000000000012</c:v>
                </c:pt>
                <c:pt idx="326">
                  <c:v>35.910000000000004</c:v>
                </c:pt>
                <c:pt idx="327">
                  <c:v>25.75</c:v>
                </c:pt>
                <c:pt idx="328">
                  <c:v>41.42</c:v>
                </c:pt>
                <c:pt idx="329">
                  <c:v>43.58</c:v>
                </c:pt>
                <c:pt idx="330">
                  <c:v>32.67</c:v>
                </c:pt>
                <c:pt idx="331">
                  <c:v>33.160000000000011</c:v>
                </c:pt>
                <c:pt idx="332">
                  <c:v>34.17</c:v>
                </c:pt>
                <c:pt idx="333">
                  <c:v>53</c:v>
                </c:pt>
                <c:pt idx="334">
                  <c:v>50.83</c:v>
                </c:pt>
                <c:pt idx="335">
                  <c:v>37.68</c:v>
                </c:pt>
                <c:pt idx="336">
                  <c:v>36.770000000000003</c:v>
                </c:pt>
                <c:pt idx="337">
                  <c:v>33.97</c:v>
                </c:pt>
                <c:pt idx="338">
                  <c:v>35.74</c:v>
                </c:pt>
                <c:pt idx="339">
                  <c:v>40.32</c:v>
                </c:pt>
                <c:pt idx="340">
                  <c:v>37.43</c:v>
                </c:pt>
                <c:pt idx="341">
                  <c:v>31.47</c:v>
                </c:pt>
                <c:pt idx="342">
                  <c:v>45.87</c:v>
                </c:pt>
                <c:pt idx="343">
                  <c:v>46.84</c:v>
                </c:pt>
                <c:pt idx="344">
                  <c:v>49.09</c:v>
                </c:pt>
                <c:pt idx="345">
                  <c:v>52.37</c:v>
                </c:pt>
                <c:pt idx="346">
                  <c:v>#N/A</c:v>
                </c:pt>
                <c:pt idx="347">
                  <c:v>#N/A</c:v>
                </c:pt>
                <c:pt idx="348">
                  <c:v>21.8</c:v>
                </c:pt>
                <c:pt idx="349">
                  <c:v>17.130000000000013</c:v>
                </c:pt>
                <c:pt idx="350">
                  <c:v>20.91</c:v>
                </c:pt>
                <c:pt idx="351">
                  <c:v>24.99</c:v>
                </c:pt>
                <c:pt idx="352">
                  <c:v>17.7</c:v>
                </c:pt>
                <c:pt idx="353">
                  <c:v>#N/A</c:v>
                </c:pt>
                <c:pt idx="354">
                  <c:v>#N/A</c:v>
                </c:pt>
                <c:pt idx="355">
                  <c:v>#N/A</c:v>
                </c:pt>
                <c:pt idx="356">
                  <c:v>#N/A</c:v>
                </c:pt>
                <c:pt idx="357">
                  <c:v>#N/A</c:v>
                </c:pt>
                <c:pt idx="358">
                  <c:v>#N/A</c:v>
                </c:pt>
                <c:pt idx="359">
                  <c:v>#N/A</c:v>
                </c:pt>
                <c:pt idx="360">
                  <c:v>#N/A</c:v>
                </c:pt>
                <c:pt idx="361">
                  <c:v>#N/A</c:v>
                </c:pt>
                <c:pt idx="362">
                  <c:v>#N/A</c:v>
                </c:pt>
                <c:pt idx="363">
                  <c:v>#N/A</c:v>
                </c:pt>
                <c:pt idx="364">
                  <c:v>#N/A</c:v>
                </c:pt>
              </c:numCache>
            </c:numRef>
          </c:val>
          <c:smooth val="0"/>
          <c:extLst>
            <c:ext xmlns:c16="http://schemas.microsoft.com/office/drawing/2014/chart" uri="{C3380CC4-5D6E-409C-BE32-E72D297353CC}">
              <c16:uniqueId val="{00000001-D534-4BA7-B9A3-A8B1BD0FCCCB}"/>
            </c:ext>
          </c:extLst>
        </c:ser>
        <c:ser>
          <c:idx val="2"/>
          <c:order val="2"/>
          <c:tx>
            <c:strRef>
              <c:f>Sheet1!$D$1</c:f>
              <c:strCache>
                <c:ptCount val="1"/>
                <c:pt idx="0">
                  <c:v>BR4</c:v>
                </c:pt>
              </c:strCache>
            </c:strRef>
          </c:tx>
          <c:spPr>
            <a:ln w="12700" cap="rnd">
              <a:solidFill>
                <a:schemeClr val="accent3"/>
              </a:solidFill>
              <a:round/>
            </a:ln>
            <a:effectLst/>
          </c:spPr>
          <c:marker>
            <c:symbol val="none"/>
          </c:marker>
          <c:cat>
            <c:strRef>
              <c:f>Sheet1!$A$2:$A$366</c:f>
              <c:strCache>
                <c:ptCount val="365"/>
                <c:pt idx="0">
                  <c:v>2017 01 01</c:v>
                </c:pt>
                <c:pt idx="1">
                  <c:v>2017 01 02</c:v>
                </c:pt>
                <c:pt idx="2">
                  <c:v>2017 01 03</c:v>
                </c:pt>
                <c:pt idx="3">
                  <c:v>2017 01 04</c:v>
                </c:pt>
                <c:pt idx="4">
                  <c:v>2017 01 05</c:v>
                </c:pt>
                <c:pt idx="5">
                  <c:v>2017 01 06</c:v>
                </c:pt>
                <c:pt idx="6">
                  <c:v>2017 01 07</c:v>
                </c:pt>
                <c:pt idx="7">
                  <c:v>2017 01 08</c:v>
                </c:pt>
                <c:pt idx="8">
                  <c:v>2017 01 09</c:v>
                </c:pt>
                <c:pt idx="9">
                  <c:v>2017 01 10</c:v>
                </c:pt>
                <c:pt idx="10">
                  <c:v>2017 01 11</c:v>
                </c:pt>
                <c:pt idx="11">
                  <c:v>2017 01 12</c:v>
                </c:pt>
                <c:pt idx="12">
                  <c:v>2017 01 13</c:v>
                </c:pt>
                <c:pt idx="13">
                  <c:v>2017 01 14</c:v>
                </c:pt>
                <c:pt idx="14">
                  <c:v>2017 01 15</c:v>
                </c:pt>
                <c:pt idx="15">
                  <c:v>2017 01 16</c:v>
                </c:pt>
                <c:pt idx="16">
                  <c:v>2017 01 17</c:v>
                </c:pt>
                <c:pt idx="17">
                  <c:v>2017 01 18</c:v>
                </c:pt>
                <c:pt idx="18">
                  <c:v>2017 01 19</c:v>
                </c:pt>
                <c:pt idx="19">
                  <c:v>2017 01 20</c:v>
                </c:pt>
                <c:pt idx="20">
                  <c:v>2017 01 21</c:v>
                </c:pt>
                <c:pt idx="21">
                  <c:v>2017 01 22</c:v>
                </c:pt>
                <c:pt idx="22">
                  <c:v>2017 01 23</c:v>
                </c:pt>
                <c:pt idx="23">
                  <c:v>2017 01 24</c:v>
                </c:pt>
                <c:pt idx="24">
                  <c:v>2017 01 25</c:v>
                </c:pt>
                <c:pt idx="25">
                  <c:v>2017 01 26</c:v>
                </c:pt>
                <c:pt idx="26">
                  <c:v>2017 01 27</c:v>
                </c:pt>
                <c:pt idx="27">
                  <c:v>2017 01 28</c:v>
                </c:pt>
                <c:pt idx="28">
                  <c:v>2017 01 29</c:v>
                </c:pt>
                <c:pt idx="29">
                  <c:v>2017 01 30</c:v>
                </c:pt>
                <c:pt idx="30">
                  <c:v>2017 01 31</c:v>
                </c:pt>
                <c:pt idx="31">
                  <c:v>2017 02 01</c:v>
                </c:pt>
                <c:pt idx="32">
                  <c:v>2017 02 02</c:v>
                </c:pt>
                <c:pt idx="33">
                  <c:v>2017 02 03</c:v>
                </c:pt>
                <c:pt idx="34">
                  <c:v>2017 02 04</c:v>
                </c:pt>
                <c:pt idx="35">
                  <c:v>2017 02 05</c:v>
                </c:pt>
                <c:pt idx="36">
                  <c:v>2017 02 06</c:v>
                </c:pt>
                <c:pt idx="37">
                  <c:v>2017 02 07</c:v>
                </c:pt>
                <c:pt idx="38">
                  <c:v>2017 02 08</c:v>
                </c:pt>
                <c:pt idx="39">
                  <c:v>2017 02 09</c:v>
                </c:pt>
                <c:pt idx="40">
                  <c:v>2017 02 10</c:v>
                </c:pt>
                <c:pt idx="41">
                  <c:v>2017 02 11</c:v>
                </c:pt>
                <c:pt idx="42">
                  <c:v>2017 02 12</c:v>
                </c:pt>
                <c:pt idx="43">
                  <c:v>2017 02 13</c:v>
                </c:pt>
                <c:pt idx="44">
                  <c:v>2017 02 14</c:v>
                </c:pt>
                <c:pt idx="45">
                  <c:v>2017 02 15</c:v>
                </c:pt>
                <c:pt idx="46">
                  <c:v>2017 02 16</c:v>
                </c:pt>
                <c:pt idx="47">
                  <c:v>2017 02 17</c:v>
                </c:pt>
                <c:pt idx="48">
                  <c:v>2017 02 18</c:v>
                </c:pt>
                <c:pt idx="49">
                  <c:v>2017 02 19</c:v>
                </c:pt>
                <c:pt idx="50">
                  <c:v>2017 02 20</c:v>
                </c:pt>
                <c:pt idx="51">
                  <c:v>2017 02 21</c:v>
                </c:pt>
                <c:pt idx="52">
                  <c:v>2017 02 22</c:v>
                </c:pt>
                <c:pt idx="53">
                  <c:v>2017 02 23</c:v>
                </c:pt>
                <c:pt idx="54">
                  <c:v>2017 02 24</c:v>
                </c:pt>
                <c:pt idx="55">
                  <c:v>2017 02 25</c:v>
                </c:pt>
                <c:pt idx="56">
                  <c:v>2017 02 26</c:v>
                </c:pt>
                <c:pt idx="57">
                  <c:v>2017 02 27</c:v>
                </c:pt>
                <c:pt idx="58">
                  <c:v>2017 02 28</c:v>
                </c:pt>
                <c:pt idx="59">
                  <c:v>2017 03 01</c:v>
                </c:pt>
                <c:pt idx="60">
                  <c:v>2017 03 02</c:v>
                </c:pt>
                <c:pt idx="61">
                  <c:v>2017 03 03</c:v>
                </c:pt>
                <c:pt idx="62">
                  <c:v>2017 03 04</c:v>
                </c:pt>
                <c:pt idx="63">
                  <c:v>2017 03 05</c:v>
                </c:pt>
                <c:pt idx="64">
                  <c:v>2017 03 06</c:v>
                </c:pt>
                <c:pt idx="65">
                  <c:v>2017 03 07</c:v>
                </c:pt>
                <c:pt idx="66">
                  <c:v>2017 03 08</c:v>
                </c:pt>
                <c:pt idx="67">
                  <c:v>2017 03 09</c:v>
                </c:pt>
                <c:pt idx="68">
                  <c:v>2017 03 10</c:v>
                </c:pt>
                <c:pt idx="69">
                  <c:v>2017 03 11</c:v>
                </c:pt>
                <c:pt idx="70">
                  <c:v>2017 03 12</c:v>
                </c:pt>
                <c:pt idx="71">
                  <c:v>2017 03 13</c:v>
                </c:pt>
                <c:pt idx="72">
                  <c:v>2017 03 14</c:v>
                </c:pt>
                <c:pt idx="73">
                  <c:v>2017 03 15</c:v>
                </c:pt>
                <c:pt idx="74">
                  <c:v>2017 03 16</c:v>
                </c:pt>
                <c:pt idx="75">
                  <c:v>2017 03 17</c:v>
                </c:pt>
                <c:pt idx="76">
                  <c:v>2017 03 18</c:v>
                </c:pt>
                <c:pt idx="77">
                  <c:v>2017 03 19</c:v>
                </c:pt>
                <c:pt idx="78">
                  <c:v>2017 03 20</c:v>
                </c:pt>
                <c:pt idx="79">
                  <c:v>2017 03 21</c:v>
                </c:pt>
                <c:pt idx="80">
                  <c:v>2017 03 22</c:v>
                </c:pt>
                <c:pt idx="81">
                  <c:v>2017 03 23</c:v>
                </c:pt>
                <c:pt idx="82">
                  <c:v>2017 03 24</c:v>
                </c:pt>
                <c:pt idx="83">
                  <c:v>2017 03 25</c:v>
                </c:pt>
                <c:pt idx="84">
                  <c:v>2017 03 26</c:v>
                </c:pt>
                <c:pt idx="85">
                  <c:v>2017 03 27</c:v>
                </c:pt>
                <c:pt idx="86">
                  <c:v>2017 03 28</c:v>
                </c:pt>
                <c:pt idx="87">
                  <c:v>2017 03 29</c:v>
                </c:pt>
                <c:pt idx="88">
                  <c:v>2017 03 30</c:v>
                </c:pt>
                <c:pt idx="89">
                  <c:v>2017 03 31</c:v>
                </c:pt>
                <c:pt idx="90">
                  <c:v>2017 04 01</c:v>
                </c:pt>
                <c:pt idx="91">
                  <c:v>2017 04 02</c:v>
                </c:pt>
                <c:pt idx="92">
                  <c:v>2017 04 03</c:v>
                </c:pt>
                <c:pt idx="93">
                  <c:v>2017 04 04</c:v>
                </c:pt>
                <c:pt idx="94">
                  <c:v>2017 04 05</c:v>
                </c:pt>
                <c:pt idx="95">
                  <c:v>2017 04 06</c:v>
                </c:pt>
                <c:pt idx="96">
                  <c:v>2017 04 07</c:v>
                </c:pt>
                <c:pt idx="97">
                  <c:v>2017 04 08</c:v>
                </c:pt>
                <c:pt idx="98">
                  <c:v>2017 04 09</c:v>
                </c:pt>
                <c:pt idx="99">
                  <c:v>2017 04 10</c:v>
                </c:pt>
                <c:pt idx="100">
                  <c:v>2017 04 11</c:v>
                </c:pt>
                <c:pt idx="101">
                  <c:v>2017 04 12</c:v>
                </c:pt>
                <c:pt idx="102">
                  <c:v>2017 04 13</c:v>
                </c:pt>
                <c:pt idx="103">
                  <c:v>2017 04 14</c:v>
                </c:pt>
                <c:pt idx="104">
                  <c:v>2017 04 15</c:v>
                </c:pt>
                <c:pt idx="105">
                  <c:v>2017 04 16</c:v>
                </c:pt>
                <c:pt idx="106">
                  <c:v>2017 04 17</c:v>
                </c:pt>
                <c:pt idx="107">
                  <c:v>2017 04 18</c:v>
                </c:pt>
                <c:pt idx="108">
                  <c:v>2017 04 19</c:v>
                </c:pt>
                <c:pt idx="109">
                  <c:v>2017 04 20</c:v>
                </c:pt>
                <c:pt idx="110">
                  <c:v>2017 04 21</c:v>
                </c:pt>
                <c:pt idx="111">
                  <c:v>2017 04 22</c:v>
                </c:pt>
                <c:pt idx="112">
                  <c:v>2017 04 23</c:v>
                </c:pt>
                <c:pt idx="113">
                  <c:v>2017 04 24</c:v>
                </c:pt>
                <c:pt idx="114">
                  <c:v>2017 04 25</c:v>
                </c:pt>
                <c:pt idx="115">
                  <c:v>2017 04 26</c:v>
                </c:pt>
                <c:pt idx="116">
                  <c:v>2017 04 27</c:v>
                </c:pt>
                <c:pt idx="117">
                  <c:v>2017 04 28</c:v>
                </c:pt>
                <c:pt idx="118">
                  <c:v>2017 04 29</c:v>
                </c:pt>
                <c:pt idx="119">
                  <c:v>2017 04 30</c:v>
                </c:pt>
                <c:pt idx="120">
                  <c:v>2017 05 01</c:v>
                </c:pt>
                <c:pt idx="121">
                  <c:v>2017 05 02</c:v>
                </c:pt>
                <c:pt idx="122">
                  <c:v>2017 05 03</c:v>
                </c:pt>
                <c:pt idx="123">
                  <c:v>2017 05 04</c:v>
                </c:pt>
                <c:pt idx="124">
                  <c:v>2017 05 05</c:v>
                </c:pt>
                <c:pt idx="125">
                  <c:v>2017 05 06</c:v>
                </c:pt>
                <c:pt idx="126">
                  <c:v>2017 05 07</c:v>
                </c:pt>
                <c:pt idx="127">
                  <c:v>2017 05 08</c:v>
                </c:pt>
                <c:pt idx="128">
                  <c:v>2017 05 09</c:v>
                </c:pt>
                <c:pt idx="129">
                  <c:v>2017 05 10</c:v>
                </c:pt>
                <c:pt idx="130">
                  <c:v>2017 05 11</c:v>
                </c:pt>
                <c:pt idx="131">
                  <c:v>2017 05 12</c:v>
                </c:pt>
                <c:pt idx="132">
                  <c:v>2017 05 13</c:v>
                </c:pt>
                <c:pt idx="133">
                  <c:v>2017 05 14</c:v>
                </c:pt>
                <c:pt idx="134">
                  <c:v>2017 05 15</c:v>
                </c:pt>
                <c:pt idx="135">
                  <c:v>2017 05 16</c:v>
                </c:pt>
                <c:pt idx="136">
                  <c:v>2017 05 17</c:v>
                </c:pt>
                <c:pt idx="137">
                  <c:v>2017 05 18</c:v>
                </c:pt>
                <c:pt idx="138">
                  <c:v>2017 05 19</c:v>
                </c:pt>
                <c:pt idx="139">
                  <c:v>2017 05 20</c:v>
                </c:pt>
                <c:pt idx="140">
                  <c:v>2017 05 21</c:v>
                </c:pt>
                <c:pt idx="141">
                  <c:v>2017 05 22</c:v>
                </c:pt>
                <c:pt idx="142">
                  <c:v>2017 05 23</c:v>
                </c:pt>
                <c:pt idx="143">
                  <c:v>2017 05 24</c:v>
                </c:pt>
                <c:pt idx="144">
                  <c:v>2017 05 25</c:v>
                </c:pt>
                <c:pt idx="145">
                  <c:v>2017 05 26</c:v>
                </c:pt>
                <c:pt idx="146">
                  <c:v>2017 05 27</c:v>
                </c:pt>
                <c:pt idx="147">
                  <c:v>2017 05 28</c:v>
                </c:pt>
                <c:pt idx="148">
                  <c:v>2017 05 29</c:v>
                </c:pt>
                <c:pt idx="149">
                  <c:v>2017 05 30</c:v>
                </c:pt>
                <c:pt idx="150">
                  <c:v>2017 05 31</c:v>
                </c:pt>
                <c:pt idx="151">
                  <c:v>2017 06 01</c:v>
                </c:pt>
                <c:pt idx="152">
                  <c:v>2017 06 02</c:v>
                </c:pt>
                <c:pt idx="153">
                  <c:v>2017 06 03</c:v>
                </c:pt>
                <c:pt idx="154">
                  <c:v>2017 06 04</c:v>
                </c:pt>
                <c:pt idx="155">
                  <c:v>2017 06 05</c:v>
                </c:pt>
                <c:pt idx="156">
                  <c:v>2017 06 06</c:v>
                </c:pt>
                <c:pt idx="157">
                  <c:v>2017 06 07</c:v>
                </c:pt>
                <c:pt idx="158">
                  <c:v>2017 06 08</c:v>
                </c:pt>
                <c:pt idx="159">
                  <c:v>2017 06 09</c:v>
                </c:pt>
                <c:pt idx="160">
                  <c:v>2017 06 10</c:v>
                </c:pt>
                <c:pt idx="161">
                  <c:v>2017 06 11</c:v>
                </c:pt>
                <c:pt idx="162">
                  <c:v>2017 06 12</c:v>
                </c:pt>
                <c:pt idx="163">
                  <c:v>2017 06 13</c:v>
                </c:pt>
                <c:pt idx="164">
                  <c:v>2017 06 14</c:v>
                </c:pt>
                <c:pt idx="165">
                  <c:v>2017 06 15</c:v>
                </c:pt>
                <c:pt idx="166">
                  <c:v>2017 06 16</c:v>
                </c:pt>
                <c:pt idx="167">
                  <c:v>2017 06 17</c:v>
                </c:pt>
                <c:pt idx="168">
                  <c:v>2017 06 18</c:v>
                </c:pt>
                <c:pt idx="169">
                  <c:v>2017 06 19</c:v>
                </c:pt>
                <c:pt idx="170">
                  <c:v>2017 06 20</c:v>
                </c:pt>
                <c:pt idx="171">
                  <c:v>2017 06 21</c:v>
                </c:pt>
                <c:pt idx="172">
                  <c:v>2017 06 22</c:v>
                </c:pt>
                <c:pt idx="173">
                  <c:v>2017 06 23</c:v>
                </c:pt>
                <c:pt idx="174">
                  <c:v>2017 06 24</c:v>
                </c:pt>
                <c:pt idx="175">
                  <c:v>2017 06 25</c:v>
                </c:pt>
                <c:pt idx="176">
                  <c:v>2017 06 26</c:v>
                </c:pt>
                <c:pt idx="177">
                  <c:v>2017 06 27</c:v>
                </c:pt>
                <c:pt idx="178">
                  <c:v>2017 06 28</c:v>
                </c:pt>
                <c:pt idx="179">
                  <c:v>2017 06 29</c:v>
                </c:pt>
                <c:pt idx="180">
                  <c:v>2017 06 30</c:v>
                </c:pt>
                <c:pt idx="181">
                  <c:v>2017 07 01</c:v>
                </c:pt>
                <c:pt idx="182">
                  <c:v>2017 07 02</c:v>
                </c:pt>
                <c:pt idx="183">
                  <c:v>2017 07 03</c:v>
                </c:pt>
                <c:pt idx="184">
                  <c:v>2017 07 04</c:v>
                </c:pt>
                <c:pt idx="185">
                  <c:v>2017 07 05</c:v>
                </c:pt>
                <c:pt idx="186">
                  <c:v>2017 07 06</c:v>
                </c:pt>
                <c:pt idx="187">
                  <c:v>2017 07 07</c:v>
                </c:pt>
                <c:pt idx="188">
                  <c:v>2017 07 08</c:v>
                </c:pt>
                <c:pt idx="189">
                  <c:v>2017 07 09</c:v>
                </c:pt>
                <c:pt idx="190">
                  <c:v>2017 07 10</c:v>
                </c:pt>
                <c:pt idx="191">
                  <c:v>2017 07 11</c:v>
                </c:pt>
                <c:pt idx="192">
                  <c:v>2017 07 12</c:v>
                </c:pt>
                <c:pt idx="193">
                  <c:v>2017 07 13</c:v>
                </c:pt>
                <c:pt idx="194">
                  <c:v>2017 07 14</c:v>
                </c:pt>
                <c:pt idx="195">
                  <c:v>2017 07 15</c:v>
                </c:pt>
                <c:pt idx="196">
                  <c:v>2017 07 16</c:v>
                </c:pt>
                <c:pt idx="197">
                  <c:v>2017 07 17</c:v>
                </c:pt>
                <c:pt idx="198">
                  <c:v>2017 07 18</c:v>
                </c:pt>
                <c:pt idx="199">
                  <c:v>2017 07 19</c:v>
                </c:pt>
                <c:pt idx="200">
                  <c:v>2017 07 20</c:v>
                </c:pt>
                <c:pt idx="201">
                  <c:v>2017 07 21</c:v>
                </c:pt>
                <c:pt idx="202">
                  <c:v>2017 07 22</c:v>
                </c:pt>
                <c:pt idx="203">
                  <c:v>2017 07 23</c:v>
                </c:pt>
                <c:pt idx="204">
                  <c:v>2017 07 24</c:v>
                </c:pt>
                <c:pt idx="205">
                  <c:v>2017 07 25</c:v>
                </c:pt>
                <c:pt idx="206">
                  <c:v>2017 07 26</c:v>
                </c:pt>
                <c:pt idx="207">
                  <c:v>2017 07 27</c:v>
                </c:pt>
                <c:pt idx="208">
                  <c:v>2017 07 28</c:v>
                </c:pt>
                <c:pt idx="209">
                  <c:v>2017 07 29</c:v>
                </c:pt>
                <c:pt idx="210">
                  <c:v>2017 07 30</c:v>
                </c:pt>
                <c:pt idx="211">
                  <c:v>2017 07 31</c:v>
                </c:pt>
                <c:pt idx="212">
                  <c:v>2017 08 01</c:v>
                </c:pt>
                <c:pt idx="213">
                  <c:v>2017 08 02</c:v>
                </c:pt>
                <c:pt idx="214">
                  <c:v>2017 08 03</c:v>
                </c:pt>
                <c:pt idx="215">
                  <c:v>2017 08 04</c:v>
                </c:pt>
                <c:pt idx="216">
                  <c:v>2017 08 05</c:v>
                </c:pt>
                <c:pt idx="217">
                  <c:v>2017 08 06</c:v>
                </c:pt>
                <c:pt idx="218">
                  <c:v>2017 08 07</c:v>
                </c:pt>
                <c:pt idx="219">
                  <c:v>2017 08 08</c:v>
                </c:pt>
                <c:pt idx="220">
                  <c:v>2017 08 09</c:v>
                </c:pt>
                <c:pt idx="221">
                  <c:v>2017 08 10</c:v>
                </c:pt>
                <c:pt idx="222">
                  <c:v>2017 08 11</c:v>
                </c:pt>
                <c:pt idx="223">
                  <c:v>2017 08 12</c:v>
                </c:pt>
                <c:pt idx="224">
                  <c:v>2017 08 13</c:v>
                </c:pt>
                <c:pt idx="225">
                  <c:v>2017 08 14</c:v>
                </c:pt>
                <c:pt idx="226">
                  <c:v>2017 08 15</c:v>
                </c:pt>
                <c:pt idx="227">
                  <c:v>2017 08 16</c:v>
                </c:pt>
                <c:pt idx="228">
                  <c:v>2017 08 17</c:v>
                </c:pt>
                <c:pt idx="229">
                  <c:v>2017 08 18</c:v>
                </c:pt>
                <c:pt idx="230">
                  <c:v>2017 08 19</c:v>
                </c:pt>
                <c:pt idx="231">
                  <c:v>2017 08 20</c:v>
                </c:pt>
                <c:pt idx="232">
                  <c:v>2017 08 21</c:v>
                </c:pt>
                <c:pt idx="233">
                  <c:v>2017 08 22</c:v>
                </c:pt>
                <c:pt idx="234">
                  <c:v>2017 08 23</c:v>
                </c:pt>
                <c:pt idx="235">
                  <c:v>2017 08 24</c:v>
                </c:pt>
                <c:pt idx="236">
                  <c:v>2017 08 25</c:v>
                </c:pt>
                <c:pt idx="237">
                  <c:v>2017 08 26</c:v>
                </c:pt>
                <c:pt idx="238">
                  <c:v>2017 08 27</c:v>
                </c:pt>
                <c:pt idx="239">
                  <c:v>2017 08 28</c:v>
                </c:pt>
                <c:pt idx="240">
                  <c:v>2017 08 29</c:v>
                </c:pt>
                <c:pt idx="241">
                  <c:v>2017 08 30</c:v>
                </c:pt>
                <c:pt idx="242">
                  <c:v>2017 08 31</c:v>
                </c:pt>
                <c:pt idx="243">
                  <c:v>2017 09 01</c:v>
                </c:pt>
                <c:pt idx="244">
                  <c:v>2017 09 02</c:v>
                </c:pt>
                <c:pt idx="245">
                  <c:v>2017 09 03</c:v>
                </c:pt>
                <c:pt idx="246">
                  <c:v>2017 09 04</c:v>
                </c:pt>
                <c:pt idx="247">
                  <c:v>2017 09 05</c:v>
                </c:pt>
                <c:pt idx="248">
                  <c:v>2017 09 06</c:v>
                </c:pt>
                <c:pt idx="249">
                  <c:v>2017 09 07</c:v>
                </c:pt>
                <c:pt idx="250">
                  <c:v>2017 09 08</c:v>
                </c:pt>
                <c:pt idx="251">
                  <c:v>2017 09 09</c:v>
                </c:pt>
                <c:pt idx="252">
                  <c:v>2017 09 10</c:v>
                </c:pt>
                <c:pt idx="253">
                  <c:v>2017 09 11</c:v>
                </c:pt>
                <c:pt idx="254">
                  <c:v>2017 09 12</c:v>
                </c:pt>
                <c:pt idx="255">
                  <c:v>2017 09 13</c:v>
                </c:pt>
                <c:pt idx="256">
                  <c:v>2017 09 14</c:v>
                </c:pt>
                <c:pt idx="257">
                  <c:v>2017 09 15</c:v>
                </c:pt>
                <c:pt idx="258">
                  <c:v>2017 09 16</c:v>
                </c:pt>
                <c:pt idx="259">
                  <c:v>2017 09 17</c:v>
                </c:pt>
                <c:pt idx="260">
                  <c:v>2017 09 18</c:v>
                </c:pt>
                <c:pt idx="261">
                  <c:v>2017 09 19</c:v>
                </c:pt>
                <c:pt idx="262">
                  <c:v>2017 09 20</c:v>
                </c:pt>
                <c:pt idx="263">
                  <c:v>2017 09 21</c:v>
                </c:pt>
                <c:pt idx="264">
                  <c:v>2017 09 22</c:v>
                </c:pt>
                <c:pt idx="265">
                  <c:v>2017 09 23</c:v>
                </c:pt>
                <c:pt idx="266">
                  <c:v>2017 09 24</c:v>
                </c:pt>
                <c:pt idx="267">
                  <c:v>2017 09 25</c:v>
                </c:pt>
                <c:pt idx="268">
                  <c:v>2017 09 26</c:v>
                </c:pt>
                <c:pt idx="269">
                  <c:v>2017 09 27</c:v>
                </c:pt>
                <c:pt idx="270">
                  <c:v>2017 09 28</c:v>
                </c:pt>
                <c:pt idx="271">
                  <c:v>2017 09 29</c:v>
                </c:pt>
                <c:pt idx="272">
                  <c:v>2017 09 30</c:v>
                </c:pt>
                <c:pt idx="273">
                  <c:v>2017 10 01</c:v>
                </c:pt>
                <c:pt idx="274">
                  <c:v>2017 10 02</c:v>
                </c:pt>
                <c:pt idx="275">
                  <c:v>2017 10 03</c:v>
                </c:pt>
                <c:pt idx="276">
                  <c:v>2017 10 04</c:v>
                </c:pt>
                <c:pt idx="277">
                  <c:v>2017 10 05</c:v>
                </c:pt>
                <c:pt idx="278">
                  <c:v>2017 10 06</c:v>
                </c:pt>
                <c:pt idx="279">
                  <c:v>2017 10 07</c:v>
                </c:pt>
                <c:pt idx="280">
                  <c:v>2017 10 08</c:v>
                </c:pt>
                <c:pt idx="281">
                  <c:v>2017 10 09</c:v>
                </c:pt>
                <c:pt idx="282">
                  <c:v>2017 10 10</c:v>
                </c:pt>
                <c:pt idx="283">
                  <c:v>2017 10 11</c:v>
                </c:pt>
                <c:pt idx="284">
                  <c:v>2017 10 12</c:v>
                </c:pt>
                <c:pt idx="285">
                  <c:v>2017 10 13</c:v>
                </c:pt>
                <c:pt idx="286">
                  <c:v>2017 10 14</c:v>
                </c:pt>
                <c:pt idx="287">
                  <c:v>2017 10 15</c:v>
                </c:pt>
                <c:pt idx="288">
                  <c:v>2017 10 16</c:v>
                </c:pt>
                <c:pt idx="289">
                  <c:v>2017 10 17</c:v>
                </c:pt>
                <c:pt idx="290">
                  <c:v>2017 10 18</c:v>
                </c:pt>
                <c:pt idx="291">
                  <c:v>2017 10 19</c:v>
                </c:pt>
                <c:pt idx="292">
                  <c:v>2017 10 20</c:v>
                </c:pt>
                <c:pt idx="293">
                  <c:v>2017 10 21</c:v>
                </c:pt>
                <c:pt idx="294">
                  <c:v>2017 10 22</c:v>
                </c:pt>
                <c:pt idx="295">
                  <c:v>2017 10 23</c:v>
                </c:pt>
                <c:pt idx="296">
                  <c:v>2017 10 24</c:v>
                </c:pt>
                <c:pt idx="297">
                  <c:v>2017 10 25</c:v>
                </c:pt>
                <c:pt idx="298">
                  <c:v>2017 10 26</c:v>
                </c:pt>
                <c:pt idx="299">
                  <c:v>2017 10 27</c:v>
                </c:pt>
                <c:pt idx="300">
                  <c:v>2017 10 28</c:v>
                </c:pt>
                <c:pt idx="301">
                  <c:v>2017 10 29</c:v>
                </c:pt>
                <c:pt idx="302">
                  <c:v>2017 10 30</c:v>
                </c:pt>
                <c:pt idx="303">
                  <c:v>2017 10 31</c:v>
                </c:pt>
                <c:pt idx="304">
                  <c:v>2017 11 01</c:v>
                </c:pt>
                <c:pt idx="305">
                  <c:v>2017 11 02</c:v>
                </c:pt>
                <c:pt idx="306">
                  <c:v>2017 11 03</c:v>
                </c:pt>
                <c:pt idx="307">
                  <c:v>2017 11 04</c:v>
                </c:pt>
                <c:pt idx="308">
                  <c:v>2017 11 05</c:v>
                </c:pt>
                <c:pt idx="309">
                  <c:v>2017 11 06</c:v>
                </c:pt>
                <c:pt idx="310">
                  <c:v>2017 11 07</c:v>
                </c:pt>
                <c:pt idx="311">
                  <c:v>2017 11 08</c:v>
                </c:pt>
                <c:pt idx="312">
                  <c:v>2017 11 09</c:v>
                </c:pt>
                <c:pt idx="313">
                  <c:v>2017 11 10</c:v>
                </c:pt>
                <c:pt idx="314">
                  <c:v>2017 11 11</c:v>
                </c:pt>
                <c:pt idx="315">
                  <c:v>2017 11 12</c:v>
                </c:pt>
                <c:pt idx="316">
                  <c:v>2017 11 13</c:v>
                </c:pt>
                <c:pt idx="317">
                  <c:v>2017 11 14</c:v>
                </c:pt>
                <c:pt idx="318">
                  <c:v>2017 11 15</c:v>
                </c:pt>
                <c:pt idx="319">
                  <c:v>2017 11 16</c:v>
                </c:pt>
                <c:pt idx="320">
                  <c:v>2017 11 17</c:v>
                </c:pt>
                <c:pt idx="321">
                  <c:v>2017 11 18</c:v>
                </c:pt>
                <c:pt idx="322">
                  <c:v>2017 11 19</c:v>
                </c:pt>
                <c:pt idx="323">
                  <c:v>2017 11 20</c:v>
                </c:pt>
                <c:pt idx="324">
                  <c:v>2017 11 21</c:v>
                </c:pt>
                <c:pt idx="325">
                  <c:v>2017 11 22</c:v>
                </c:pt>
                <c:pt idx="326">
                  <c:v>2017 11 23</c:v>
                </c:pt>
                <c:pt idx="327">
                  <c:v>2017 11 24</c:v>
                </c:pt>
                <c:pt idx="328">
                  <c:v>2017 11 25</c:v>
                </c:pt>
                <c:pt idx="329">
                  <c:v>2017 11 26</c:v>
                </c:pt>
                <c:pt idx="330">
                  <c:v>2017 11 27</c:v>
                </c:pt>
                <c:pt idx="331">
                  <c:v>2017 11 28</c:v>
                </c:pt>
                <c:pt idx="332">
                  <c:v>2017 11 29</c:v>
                </c:pt>
                <c:pt idx="333">
                  <c:v>2017 11 30</c:v>
                </c:pt>
                <c:pt idx="334">
                  <c:v>2017 12 01</c:v>
                </c:pt>
                <c:pt idx="335">
                  <c:v>2017 12 02</c:v>
                </c:pt>
                <c:pt idx="336">
                  <c:v>2017 12 03</c:v>
                </c:pt>
                <c:pt idx="337">
                  <c:v>2017 12 04</c:v>
                </c:pt>
                <c:pt idx="338">
                  <c:v>2017 12 05</c:v>
                </c:pt>
                <c:pt idx="339">
                  <c:v>2017 12 06</c:v>
                </c:pt>
                <c:pt idx="340">
                  <c:v>2017 12 07</c:v>
                </c:pt>
                <c:pt idx="341">
                  <c:v>2017 12 08</c:v>
                </c:pt>
                <c:pt idx="342">
                  <c:v>2017 12 09</c:v>
                </c:pt>
                <c:pt idx="343">
                  <c:v>2017 12 10</c:v>
                </c:pt>
                <c:pt idx="344">
                  <c:v>2017 12 11</c:v>
                </c:pt>
                <c:pt idx="345">
                  <c:v>2017 12 12</c:v>
                </c:pt>
                <c:pt idx="346">
                  <c:v>2017 12 13</c:v>
                </c:pt>
                <c:pt idx="347">
                  <c:v>2017 12 14</c:v>
                </c:pt>
                <c:pt idx="348">
                  <c:v>2017 12 15</c:v>
                </c:pt>
                <c:pt idx="349">
                  <c:v>2017 12 16</c:v>
                </c:pt>
                <c:pt idx="350">
                  <c:v>2017 12 17</c:v>
                </c:pt>
                <c:pt idx="351">
                  <c:v>2017 12 18</c:v>
                </c:pt>
                <c:pt idx="352">
                  <c:v>2017 12 19</c:v>
                </c:pt>
                <c:pt idx="353">
                  <c:v>2017 12 20</c:v>
                </c:pt>
                <c:pt idx="354">
                  <c:v>2017 12 21</c:v>
                </c:pt>
                <c:pt idx="355">
                  <c:v>2017 12 22</c:v>
                </c:pt>
                <c:pt idx="356">
                  <c:v>2017 12 23</c:v>
                </c:pt>
                <c:pt idx="357">
                  <c:v>2017 12 24</c:v>
                </c:pt>
                <c:pt idx="358">
                  <c:v>2017 12 25</c:v>
                </c:pt>
                <c:pt idx="359">
                  <c:v>2017 12 26</c:v>
                </c:pt>
                <c:pt idx="360">
                  <c:v>2017 12 27</c:v>
                </c:pt>
                <c:pt idx="361">
                  <c:v>2017 12 28</c:v>
                </c:pt>
                <c:pt idx="362">
                  <c:v>2017 12 29</c:v>
                </c:pt>
                <c:pt idx="363">
                  <c:v>2017 12 30</c:v>
                </c:pt>
                <c:pt idx="364">
                  <c:v>2017 12 31</c:v>
                </c:pt>
              </c:strCache>
            </c:strRef>
          </c:cat>
          <c:val>
            <c:numRef>
              <c:f>Sheet1!$D$2:$D$366</c:f>
              <c:numCache>
                <c:formatCode>General</c:formatCode>
                <c:ptCount val="365"/>
                <c:pt idx="0">
                  <c:v>33.64</c:v>
                </c:pt>
                <c:pt idx="1">
                  <c:v>50.9</c:v>
                </c:pt>
                <c:pt idx="2">
                  <c:v>49.06</c:v>
                </c:pt>
                <c:pt idx="3">
                  <c:v>53.83</c:v>
                </c:pt>
                <c:pt idx="4">
                  <c:v>38.090000000000003</c:v>
                </c:pt>
                <c:pt idx="5">
                  <c:v>52.68</c:v>
                </c:pt>
                <c:pt idx="6">
                  <c:v>59.81</c:v>
                </c:pt>
                <c:pt idx="7">
                  <c:v>72.42</c:v>
                </c:pt>
                <c:pt idx="8">
                  <c:v>67.45</c:v>
                </c:pt>
                <c:pt idx="9">
                  <c:v>67.23</c:v>
                </c:pt>
                <c:pt idx="10">
                  <c:v>72.400000000000006</c:v>
                </c:pt>
                <c:pt idx="11">
                  <c:v>83.149999999999991</c:v>
                </c:pt>
                <c:pt idx="12">
                  <c:v>76.47</c:v>
                </c:pt>
                <c:pt idx="13">
                  <c:v>#N/A</c:v>
                </c:pt>
                <c:pt idx="14">
                  <c:v>#N/A</c:v>
                </c:pt>
                <c:pt idx="15">
                  <c:v>54.9</c:v>
                </c:pt>
                <c:pt idx="16">
                  <c:v>72.36</c:v>
                </c:pt>
                <c:pt idx="17">
                  <c:v>80.7</c:v>
                </c:pt>
                <c:pt idx="18">
                  <c:v>75.59</c:v>
                </c:pt>
                <c:pt idx="19">
                  <c:v>75.55</c:v>
                </c:pt>
                <c:pt idx="20">
                  <c:v>65.48</c:v>
                </c:pt>
                <c:pt idx="21">
                  <c:v>63.07</c:v>
                </c:pt>
                <c:pt idx="22">
                  <c:v>58.720000000000013</c:v>
                </c:pt>
                <c:pt idx="23">
                  <c:v>69.98</c:v>
                </c:pt>
                <c:pt idx="24">
                  <c:v>76.61</c:v>
                </c:pt>
                <c:pt idx="25">
                  <c:v>83.89</c:v>
                </c:pt>
                <c:pt idx="26">
                  <c:v>80.5</c:v>
                </c:pt>
                <c:pt idx="27">
                  <c:v>64.27</c:v>
                </c:pt>
                <c:pt idx="28">
                  <c:v>61.99</c:v>
                </c:pt>
                <c:pt idx="29">
                  <c:v>71.84</c:v>
                </c:pt>
                <c:pt idx="30">
                  <c:v>80.11</c:v>
                </c:pt>
                <c:pt idx="31">
                  <c:v>90.86999999999999</c:v>
                </c:pt>
                <c:pt idx="32">
                  <c:v>91.410000000000025</c:v>
                </c:pt>
                <c:pt idx="33">
                  <c:v>102.03</c:v>
                </c:pt>
                <c:pt idx="34">
                  <c:v>94.23</c:v>
                </c:pt>
                <c:pt idx="35">
                  <c:v>58.1</c:v>
                </c:pt>
                <c:pt idx="36">
                  <c:v>49.7</c:v>
                </c:pt>
                <c:pt idx="37">
                  <c:v>54.44</c:v>
                </c:pt>
                <c:pt idx="38">
                  <c:v>59.13</c:v>
                </c:pt>
                <c:pt idx="39">
                  <c:v>87.19</c:v>
                </c:pt>
                <c:pt idx="40">
                  <c:v>98.76</c:v>
                </c:pt>
                <c:pt idx="41">
                  <c:v>97.08</c:v>
                </c:pt>
                <c:pt idx="42">
                  <c:v>85.210000000000022</c:v>
                </c:pt>
                <c:pt idx="43">
                  <c:v>89.47</c:v>
                </c:pt>
                <c:pt idx="44">
                  <c:v>94.32</c:v>
                </c:pt>
                <c:pt idx="45">
                  <c:v>90.47</c:v>
                </c:pt>
                <c:pt idx="46">
                  <c:v>83.32</c:v>
                </c:pt>
                <c:pt idx="47">
                  <c:v>81.53</c:v>
                </c:pt>
                <c:pt idx="48">
                  <c:v>87.960000000000022</c:v>
                </c:pt>
                <c:pt idx="49">
                  <c:v>82.169999999999987</c:v>
                </c:pt>
                <c:pt idx="50">
                  <c:v>79.83</c:v>
                </c:pt>
                <c:pt idx="51">
                  <c:v>72.81</c:v>
                </c:pt>
                <c:pt idx="52">
                  <c:v>77.39</c:v>
                </c:pt>
                <c:pt idx="53">
                  <c:v>69.540000000000006</c:v>
                </c:pt>
                <c:pt idx="54">
                  <c:v>90.79</c:v>
                </c:pt>
                <c:pt idx="55">
                  <c:v>73.86999999999999</c:v>
                </c:pt>
                <c:pt idx="56">
                  <c:v>68.7</c:v>
                </c:pt>
                <c:pt idx="57">
                  <c:v>73.53</c:v>
                </c:pt>
                <c:pt idx="58">
                  <c:v>71.84</c:v>
                </c:pt>
                <c:pt idx="59">
                  <c:v>#N/A</c:v>
                </c:pt>
                <c:pt idx="60">
                  <c:v>#N/A</c:v>
                </c:pt>
                <c:pt idx="61">
                  <c:v>66.349999999999994</c:v>
                </c:pt>
                <c:pt idx="62">
                  <c:v>90.22</c:v>
                </c:pt>
                <c:pt idx="63">
                  <c:v>86.03</c:v>
                </c:pt>
                <c:pt idx="64">
                  <c:v>81.78</c:v>
                </c:pt>
                <c:pt idx="65">
                  <c:v>88.710000000000022</c:v>
                </c:pt>
                <c:pt idx="66">
                  <c:v>93.05</c:v>
                </c:pt>
                <c:pt idx="67">
                  <c:v>69.790000000000006</c:v>
                </c:pt>
                <c:pt idx="68">
                  <c:v>63.41</c:v>
                </c:pt>
                <c:pt idx="69">
                  <c:v>65.33</c:v>
                </c:pt>
                <c:pt idx="70">
                  <c:v>62.48</c:v>
                </c:pt>
                <c:pt idx="71">
                  <c:v>70.649999999999991</c:v>
                </c:pt>
                <c:pt idx="72">
                  <c:v>79.099999999999994</c:v>
                </c:pt>
                <c:pt idx="73">
                  <c:v>59.61</c:v>
                </c:pt>
                <c:pt idx="74">
                  <c:v>81.430000000000007</c:v>
                </c:pt>
                <c:pt idx="75">
                  <c:v>71.95</c:v>
                </c:pt>
                <c:pt idx="76">
                  <c:v>73.23</c:v>
                </c:pt>
                <c:pt idx="77">
                  <c:v>87.910000000000025</c:v>
                </c:pt>
                <c:pt idx="78">
                  <c:v>84.16</c:v>
                </c:pt>
                <c:pt idx="79">
                  <c:v>85.35</c:v>
                </c:pt>
                <c:pt idx="80">
                  <c:v>93.8</c:v>
                </c:pt>
                <c:pt idx="81">
                  <c:v>101.51</c:v>
                </c:pt>
                <c:pt idx="82">
                  <c:v>100.19</c:v>
                </c:pt>
                <c:pt idx="83">
                  <c:v>71.69</c:v>
                </c:pt>
                <c:pt idx="84">
                  <c:v>78.239999999999995</c:v>
                </c:pt>
                <c:pt idx="85">
                  <c:v>89.11999999999999</c:v>
                </c:pt>
                <c:pt idx="86">
                  <c:v>91.6</c:v>
                </c:pt>
                <c:pt idx="87">
                  <c:v>86.72</c:v>
                </c:pt>
                <c:pt idx="88">
                  <c:v>96.09</c:v>
                </c:pt>
                <c:pt idx="89">
                  <c:v>104.33</c:v>
                </c:pt>
                <c:pt idx="90">
                  <c:v>109.55</c:v>
                </c:pt>
                <c:pt idx="91">
                  <c:v>103.47</c:v>
                </c:pt>
                <c:pt idx="92">
                  <c:v>103.43</c:v>
                </c:pt>
                <c:pt idx="93">
                  <c:v>92.410000000000025</c:v>
                </c:pt>
                <c:pt idx="94">
                  <c:v>63.220000000000013</c:v>
                </c:pt>
                <c:pt idx="95">
                  <c:v>90.39</c:v>
                </c:pt>
                <c:pt idx="96">
                  <c:v>73.23</c:v>
                </c:pt>
                <c:pt idx="97">
                  <c:v>94.07</c:v>
                </c:pt>
                <c:pt idx="98">
                  <c:v>86.76</c:v>
                </c:pt>
                <c:pt idx="99">
                  <c:v>106.11</c:v>
                </c:pt>
                <c:pt idx="100">
                  <c:v>99.28</c:v>
                </c:pt>
                <c:pt idx="101">
                  <c:v>89.14</c:v>
                </c:pt>
                <c:pt idx="102">
                  <c:v>97.04</c:v>
                </c:pt>
                <c:pt idx="103">
                  <c:v>89.57</c:v>
                </c:pt>
                <c:pt idx="104">
                  <c:v>96.08</c:v>
                </c:pt>
                <c:pt idx="105">
                  <c:v>87.42</c:v>
                </c:pt>
                <c:pt idx="106">
                  <c:v>#N/A</c:v>
                </c:pt>
                <c:pt idx="107">
                  <c:v>81.34</c:v>
                </c:pt>
                <c:pt idx="108">
                  <c:v>93.86</c:v>
                </c:pt>
                <c:pt idx="109">
                  <c:v>93.45</c:v>
                </c:pt>
                <c:pt idx="110">
                  <c:v>98.38</c:v>
                </c:pt>
                <c:pt idx="111">
                  <c:v>82.710000000000022</c:v>
                </c:pt>
                <c:pt idx="112">
                  <c:v>75.5</c:v>
                </c:pt>
                <c:pt idx="113">
                  <c:v>90.93</c:v>
                </c:pt>
                <c:pt idx="114">
                  <c:v>108.1</c:v>
                </c:pt>
                <c:pt idx="115">
                  <c:v>109.57</c:v>
                </c:pt>
                <c:pt idx="116">
                  <c:v>102.26</c:v>
                </c:pt>
                <c:pt idx="117">
                  <c:v>112.82</c:v>
                </c:pt>
                <c:pt idx="118">
                  <c:v>101.38</c:v>
                </c:pt>
                <c:pt idx="119">
                  <c:v>75.7</c:v>
                </c:pt>
                <c:pt idx="120">
                  <c:v>67.599999999999994</c:v>
                </c:pt>
                <c:pt idx="121">
                  <c:v>97.26</c:v>
                </c:pt>
                <c:pt idx="122">
                  <c:v>95.43</c:v>
                </c:pt>
                <c:pt idx="123">
                  <c:v>90.11999999999999</c:v>
                </c:pt>
                <c:pt idx="124">
                  <c:v>103.98</c:v>
                </c:pt>
                <c:pt idx="125">
                  <c:v>87.81</c:v>
                </c:pt>
                <c:pt idx="126">
                  <c:v>88.7</c:v>
                </c:pt>
                <c:pt idx="127">
                  <c:v>80.649999999999991</c:v>
                </c:pt>
                <c:pt idx="128">
                  <c:v>63.190000000000012</c:v>
                </c:pt>
                <c:pt idx="129">
                  <c:v>73.540000000000006</c:v>
                </c:pt>
                <c:pt idx="130">
                  <c:v>89.910000000000025</c:v>
                </c:pt>
                <c:pt idx="131">
                  <c:v>75.02</c:v>
                </c:pt>
                <c:pt idx="132">
                  <c:v>74.099999999999994</c:v>
                </c:pt>
                <c:pt idx="133">
                  <c:v>66.55</c:v>
                </c:pt>
                <c:pt idx="134">
                  <c:v>95.89</c:v>
                </c:pt>
                <c:pt idx="135">
                  <c:v>111.31</c:v>
                </c:pt>
                <c:pt idx="136">
                  <c:v>89.39</c:v>
                </c:pt>
                <c:pt idx="137">
                  <c:v>99.3</c:v>
                </c:pt>
                <c:pt idx="138">
                  <c:v>103.1</c:v>
                </c:pt>
                <c:pt idx="139">
                  <c:v>99.03</c:v>
                </c:pt>
                <c:pt idx="140">
                  <c:v>93.6</c:v>
                </c:pt>
                <c:pt idx="141">
                  <c:v>80.569999999999993</c:v>
                </c:pt>
                <c:pt idx="142">
                  <c:v>70.709999999999994</c:v>
                </c:pt>
                <c:pt idx="143">
                  <c:v>90.59</c:v>
                </c:pt>
                <c:pt idx="144">
                  <c:v>87.28</c:v>
                </c:pt>
                <c:pt idx="145">
                  <c:v>79.989999999999995</c:v>
                </c:pt>
                <c:pt idx="146">
                  <c:v>71.52</c:v>
                </c:pt>
                <c:pt idx="147">
                  <c:v>77.510000000000005</c:v>
                </c:pt>
                <c:pt idx="148">
                  <c:v>100.58</c:v>
                </c:pt>
                <c:pt idx="149">
                  <c:v>88.440000000000026</c:v>
                </c:pt>
                <c:pt idx="150">
                  <c:v>69.209999999999994</c:v>
                </c:pt>
                <c:pt idx="151">
                  <c:v>82.649999999999991</c:v>
                </c:pt>
                <c:pt idx="152">
                  <c:v>94.33</c:v>
                </c:pt>
                <c:pt idx="153">
                  <c:v>98.48</c:v>
                </c:pt>
                <c:pt idx="154">
                  <c:v>93.58</c:v>
                </c:pt>
                <c:pt idx="155">
                  <c:v>94.55</c:v>
                </c:pt>
                <c:pt idx="156">
                  <c:v>100.89</c:v>
                </c:pt>
                <c:pt idx="157">
                  <c:v>89.07</c:v>
                </c:pt>
                <c:pt idx="158">
                  <c:v>81.69</c:v>
                </c:pt>
                <c:pt idx="159">
                  <c:v>55.1</c:v>
                </c:pt>
                <c:pt idx="160">
                  <c:v>91.36999999999999</c:v>
                </c:pt>
                <c:pt idx="161">
                  <c:v>83.66</c:v>
                </c:pt>
                <c:pt idx="162">
                  <c:v>81.819999999999993</c:v>
                </c:pt>
                <c:pt idx="163">
                  <c:v>81</c:v>
                </c:pt>
                <c:pt idx="164">
                  <c:v>78.7</c:v>
                </c:pt>
                <c:pt idx="165">
                  <c:v>71.19</c:v>
                </c:pt>
                <c:pt idx="166">
                  <c:v>84.36</c:v>
                </c:pt>
                <c:pt idx="167">
                  <c:v>74.55</c:v>
                </c:pt>
                <c:pt idx="168">
                  <c:v>70.55</c:v>
                </c:pt>
                <c:pt idx="169">
                  <c:v>82.98</c:v>
                </c:pt>
                <c:pt idx="170">
                  <c:v>63.74</c:v>
                </c:pt>
                <c:pt idx="171">
                  <c:v>71.81</c:v>
                </c:pt>
                <c:pt idx="172">
                  <c:v>88.09</c:v>
                </c:pt>
                <c:pt idx="173">
                  <c:v>76.22</c:v>
                </c:pt>
                <c:pt idx="174">
                  <c:v>86.460000000000022</c:v>
                </c:pt>
                <c:pt idx="175">
                  <c:v>91.57</c:v>
                </c:pt>
                <c:pt idx="176">
                  <c:v>91.54</c:v>
                </c:pt>
                <c:pt idx="177">
                  <c:v>81.81</c:v>
                </c:pt>
                <c:pt idx="178">
                  <c:v>98.14</c:v>
                </c:pt>
                <c:pt idx="179">
                  <c:v>82.98</c:v>
                </c:pt>
                <c:pt idx="180">
                  <c:v>62.08</c:v>
                </c:pt>
                <c:pt idx="181">
                  <c:v>88.6</c:v>
                </c:pt>
                <c:pt idx="182">
                  <c:v>82.76</c:v>
                </c:pt>
                <c:pt idx="183">
                  <c:v>63.39</c:v>
                </c:pt>
                <c:pt idx="184">
                  <c:v>64.2</c:v>
                </c:pt>
                <c:pt idx="185">
                  <c:v>81.16</c:v>
                </c:pt>
                <c:pt idx="186">
                  <c:v>75.739999999999995</c:v>
                </c:pt>
                <c:pt idx="187">
                  <c:v>71.97</c:v>
                </c:pt>
                <c:pt idx="188">
                  <c:v>87.61999999999999</c:v>
                </c:pt>
                <c:pt idx="189">
                  <c:v>84.16</c:v>
                </c:pt>
                <c:pt idx="190">
                  <c:v>91.77</c:v>
                </c:pt>
                <c:pt idx="191">
                  <c:v>87.61</c:v>
                </c:pt>
                <c:pt idx="192">
                  <c:v>82.78</c:v>
                </c:pt>
                <c:pt idx="193">
                  <c:v>74.16</c:v>
                </c:pt>
                <c:pt idx="194">
                  <c:v>64.78</c:v>
                </c:pt>
                <c:pt idx="195">
                  <c:v>62.45</c:v>
                </c:pt>
                <c:pt idx="196">
                  <c:v>50.3</c:v>
                </c:pt>
                <c:pt idx="197">
                  <c:v>76.69</c:v>
                </c:pt>
                <c:pt idx="198">
                  <c:v>86.59</c:v>
                </c:pt>
                <c:pt idx="199">
                  <c:v>97.35</c:v>
                </c:pt>
                <c:pt idx="200">
                  <c:v>108.46000000000002</c:v>
                </c:pt>
                <c:pt idx="201">
                  <c:v>103.08</c:v>
                </c:pt>
                <c:pt idx="202">
                  <c:v>111.35</c:v>
                </c:pt>
                <c:pt idx="203">
                  <c:v>97.06</c:v>
                </c:pt>
                <c:pt idx="204">
                  <c:v>93.88</c:v>
                </c:pt>
                <c:pt idx="205">
                  <c:v>107.39</c:v>
                </c:pt>
                <c:pt idx="206">
                  <c:v>107.17999999999998</c:v>
                </c:pt>
                <c:pt idx="207">
                  <c:v>82.08</c:v>
                </c:pt>
                <c:pt idx="208">
                  <c:v>58.190000000000012</c:v>
                </c:pt>
                <c:pt idx="209">
                  <c:v>76.11999999999999</c:v>
                </c:pt>
                <c:pt idx="210">
                  <c:v>87.47</c:v>
                </c:pt>
                <c:pt idx="211">
                  <c:v>99.3</c:v>
                </c:pt>
                <c:pt idx="212">
                  <c:v>103.66999999999999</c:v>
                </c:pt>
                <c:pt idx="213">
                  <c:v>108.29</c:v>
                </c:pt>
                <c:pt idx="214">
                  <c:v>111.28</c:v>
                </c:pt>
                <c:pt idx="215">
                  <c:v>101.46000000000002</c:v>
                </c:pt>
                <c:pt idx="216">
                  <c:v>104.17999999999998</c:v>
                </c:pt>
                <c:pt idx="217">
                  <c:v>102.57</c:v>
                </c:pt>
                <c:pt idx="218">
                  <c:v>89.460000000000022</c:v>
                </c:pt>
                <c:pt idx="219">
                  <c:v>67.669999999999987</c:v>
                </c:pt>
                <c:pt idx="220">
                  <c:v>89.03</c:v>
                </c:pt>
                <c:pt idx="221">
                  <c:v>72.290000000000006</c:v>
                </c:pt>
                <c:pt idx="222">
                  <c:v>96.86</c:v>
                </c:pt>
                <c:pt idx="223">
                  <c:v>98.59</c:v>
                </c:pt>
                <c:pt idx="224">
                  <c:v>90.14</c:v>
                </c:pt>
                <c:pt idx="225">
                  <c:v>78.179999999999978</c:v>
                </c:pt>
                <c:pt idx="226">
                  <c:v>75.349999999999994</c:v>
                </c:pt>
                <c:pt idx="227">
                  <c:v>100.02</c:v>
                </c:pt>
                <c:pt idx="228">
                  <c:v>88.98</c:v>
                </c:pt>
                <c:pt idx="229">
                  <c:v>85.48</c:v>
                </c:pt>
                <c:pt idx="230">
                  <c:v>92.6</c:v>
                </c:pt>
                <c:pt idx="231">
                  <c:v>92.54</c:v>
                </c:pt>
                <c:pt idx="232">
                  <c:v>78.36</c:v>
                </c:pt>
                <c:pt idx="233">
                  <c:v>72.459999999999994</c:v>
                </c:pt>
                <c:pt idx="234">
                  <c:v>71.86999999999999</c:v>
                </c:pt>
                <c:pt idx="235">
                  <c:v>86.23</c:v>
                </c:pt>
                <c:pt idx="236">
                  <c:v>101.32</c:v>
                </c:pt>
                <c:pt idx="237">
                  <c:v>108.51</c:v>
                </c:pt>
                <c:pt idx="238">
                  <c:v>99.679999999999978</c:v>
                </c:pt>
                <c:pt idx="239">
                  <c:v>89.08</c:v>
                </c:pt>
                <c:pt idx="240">
                  <c:v>74.05</c:v>
                </c:pt>
                <c:pt idx="241">
                  <c:v>60.67</c:v>
                </c:pt>
                <c:pt idx="242">
                  <c:v>28.55</c:v>
                </c:pt>
                <c:pt idx="243">
                  <c:v>103.99000000000002</c:v>
                </c:pt>
                <c:pt idx="244">
                  <c:v>111.13</c:v>
                </c:pt>
                <c:pt idx="245">
                  <c:v>108.32</c:v>
                </c:pt>
                <c:pt idx="246">
                  <c:v>79.400000000000006</c:v>
                </c:pt>
                <c:pt idx="247">
                  <c:v>67.08</c:v>
                </c:pt>
                <c:pt idx="248">
                  <c:v>86.679999999999978</c:v>
                </c:pt>
                <c:pt idx="249">
                  <c:v>93.76</c:v>
                </c:pt>
                <c:pt idx="250">
                  <c:v>77.31</c:v>
                </c:pt>
                <c:pt idx="251">
                  <c:v>106.78</c:v>
                </c:pt>
                <c:pt idx="252">
                  <c:v>92.43</c:v>
                </c:pt>
                <c:pt idx="253">
                  <c:v>100.78</c:v>
                </c:pt>
                <c:pt idx="254">
                  <c:v>96.01</c:v>
                </c:pt>
                <c:pt idx="255">
                  <c:v>87.13</c:v>
                </c:pt>
                <c:pt idx="256">
                  <c:v>89.710000000000022</c:v>
                </c:pt>
                <c:pt idx="257">
                  <c:v>103.73</c:v>
                </c:pt>
                <c:pt idx="258">
                  <c:v>95.210000000000022</c:v>
                </c:pt>
                <c:pt idx="259">
                  <c:v>92</c:v>
                </c:pt>
                <c:pt idx="260">
                  <c:v>94.28</c:v>
                </c:pt>
                <c:pt idx="261">
                  <c:v>92.4</c:v>
                </c:pt>
                <c:pt idx="262">
                  <c:v>83.6</c:v>
                </c:pt>
                <c:pt idx="263">
                  <c:v>68.569999999999993</c:v>
                </c:pt>
                <c:pt idx="264">
                  <c:v>61.96</c:v>
                </c:pt>
                <c:pt idx="265">
                  <c:v>69.900000000000006</c:v>
                </c:pt>
                <c:pt idx="266">
                  <c:v>78.510000000000005</c:v>
                </c:pt>
                <c:pt idx="267">
                  <c:v>58.4</c:v>
                </c:pt>
                <c:pt idx="268">
                  <c:v>80.86</c:v>
                </c:pt>
                <c:pt idx="269">
                  <c:v>76.58</c:v>
                </c:pt>
                <c:pt idx="270">
                  <c:v>66.489999999999995</c:v>
                </c:pt>
                <c:pt idx="271">
                  <c:v>78.7</c:v>
                </c:pt>
                <c:pt idx="272">
                  <c:v>81.09</c:v>
                </c:pt>
                <c:pt idx="273">
                  <c:v>74</c:v>
                </c:pt>
                <c:pt idx="274">
                  <c:v>64.319999999999993</c:v>
                </c:pt>
                <c:pt idx="275">
                  <c:v>80.22</c:v>
                </c:pt>
                <c:pt idx="276">
                  <c:v>80.239999999999995</c:v>
                </c:pt>
                <c:pt idx="277">
                  <c:v>87.410000000000025</c:v>
                </c:pt>
                <c:pt idx="278">
                  <c:v>77.13</c:v>
                </c:pt>
                <c:pt idx="279">
                  <c:v>62.97</c:v>
                </c:pt>
                <c:pt idx="280">
                  <c:v>58.53</c:v>
                </c:pt>
                <c:pt idx="281">
                  <c:v>56.92</c:v>
                </c:pt>
                <c:pt idx="282">
                  <c:v>63.56</c:v>
                </c:pt>
                <c:pt idx="283">
                  <c:v>72.11</c:v>
                </c:pt>
                <c:pt idx="284">
                  <c:v>65.510000000000005</c:v>
                </c:pt>
                <c:pt idx="285">
                  <c:v>69.679999999999978</c:v>
                </c:pt>
                <c:pt idx="286">
                  <c:v>63.04</c:v>
                </c:pt>
                <c:pt idx="287">
                  <c:v>52.54</c:v>
                </c:pt>
                <c:pt idx="288">
                  <c:v>59.05</c:v>
                </c:pt>
                <c:pt idx="289">
                  <c:v>64.819999999999993</c:v>
                </c:pt>
                <c:pt idx="290">
                  <c:v>31.59</c:v>
                </c:pt>
                <c:pt idx="291">
                  <c:v>62.92</c:v>
                </c:pt>
                <c:pt idx="292">
                  <c:v>86.77</c:v>
                </c:pt>
                <c:pt idx="293">
                  <c:v>73.66</c:v>
                </c:pt>
                <c:pt idx="294">
                  <c:v>64.569999999999993</c:v>
                </c:pt>
                <c:pt idx="295">
                  <c:v>54.28</c:v>
                </c:pt>
                <c:pt idx="296">
                  <c:v>59.41</c:v>
                </c:pt>
                <c:pt idx="297">
                  <c:v>50.01</c:v>
                </c:pt>
                <c:pt idx="298">
                  <c:v>38.51</c:v>
                </c:pt>
                <c:pt idx="299">
                  <c:v>44.93</c:v>
                </c:pt>
                <c:pt idx="300">
                  <c:v>47.190000000000012</c:v>
                </c:pt>
                <c:pt idx="301">
                  <c:v>54.59</c:v>
                </c:pt>
                <c:pt idx="302">
                  <c:v>60.74</c:v>
                </c:pt>
                <c:pt idx="303">
                  <c:v>65.930000000000007</c:v>
                </c:pt>
                <c:pt idx="304">
                  <c:v>63.47</c:v>
                </c:pt>
                <c:pt idx="305">
                  <c:v>54.87</c:v>
                </c:pt>
                <c:pt idx="306">
                  <c:v>37.730000000000011</c:v>
                </c:pt>
                <c:pt idx="307">
                  <c:v>47.18</c:v>
                </c:pt>
                <c:pt idx="308">
                  <c:v>58.160000000000011</c:v>
                </c:pt>
                <c:pt idx="309">
                  <c:v>53.25</c:v>
                </c:pt>
                <c:pt idx="310">
                  <c:v>44.84</c:v>
                </c:pt>
                <c:pt idx="311">
                  <c:v>28.479999999999986</c:v>
                </c:pt>
                <c:pt idx="312">
                  <c:v>33.33</c:v>
                </c:pt>
                <c:pt idx="313">
                  <c:v>33.020000000000003</c:v>
                </c:pt>
                <c:pt idx="314">
                  <c:v>41.25</c:v>
                </c:pt>
                <c:pt idx="315">
                  <c:v>49.9</c:v>
                </c:pt>
                <c:pt idx="316">
                  <c:v>63.82</c:v>
                </c:pt>
                <c:pt idx="317">
                  <c:v>55.58</c:v>
                </c:pt>
                <c:pt idx="318">
                  <c:v>36.410000000000004</c:v>
                </c:pt>
                <c:pt idx="319">
                  <c:v>36.31</c:v>
                </c:pt>
                <c:pt idx="320">
                  <c:v>34.74</c:v>
                </c:pt>
                <c:pt idx="321">
                  <c:v>28.18</c:v>
                </c:pt>
                <c:pt idx="322">
                  <c:v>22.919999999999987</c:v>
                </c:pt>
                <c:pt idx="323">
                  <c:v>42.24</c:v>
                </c:pt>
                <c:pt idx="324">
                  <c:v>41.06</c:v>
                </c:pt>
                <c:pt idx="325">
                  <c:v>33.230000000000011</c:v>
                </c:pt>
                <c:pt idx="326">
                  <c:v>42.61</c:v>
                </c:pt>
                <c:pt idx="327">
                  <c:v>31.9</c:v>
                </c:pt>
                <c:pt idx="328">
                  <c:v>45.220000000000013</c:v>
                </c:pt>
                <c:pt idx="329">
                  <c:v>52.17</c:v>
                </c:pt>
                <c:pt idx="330">
                  <c:v>32.260000000000012</c:v>
                </c:pt>
                <c:pt idx="331">
                  <c:v>34.300000000000004</c:v>
                </c:pt>
                <c:pt idx="332">
                  <c:v>32.620000000000012</c:v>
                </c:pt>
                <c:pt idx="333">
                  <c:v>49.8</c:v>
                </c:pt>
                <c:pt idx="334">
                  <c:v>48.68</c:v>
                </c:pt>
                <c:pt idx="335">
                  <c:v>35.56</c:v>
                </c:pt>
                <c:pt idx="336">
                  <c:v>34.370000000000005</c:v>
                </c:pt>
                <c:pt idx="337">
                  <c:v>31.16</c:v>
                </c:pt>
                <c:pt idx="338">
                  <c:v>37.65</c:v>
                </c:pt>
                <c:pt idx="339">
                  <c:v>41.9</c:v>
                </c:pt>
                <c:pt idx="340">
                  <c:v>33.71</c:v>
                </c:pt>
                <c:pt idx="341">
                  <c:v>33.130000000000003</c:v>
                </c:pt>
                <c:pt idx="342">
                  <c:v>52.190000000000012</c:v>
                </c:pt>
                <c:pt idx="343">
                  <c:v>50.47</c:v>
                </c:pt>
                <c:pt idx="344">
                  <c:v>51.91</c:v>
                </c:pt>
                <c:pt idx="345">
                  <c:v>58.07</c:v>
                </c:pt>
                <c:pt idx="346">
                  <c:v>31.810000000000013</c:v>
                </c:pt>
                <c:pt idx="347">
                  <c:v>26.08</c:v>
                </c:pt>
                <c:pt idx="348">
                  <c:v>31.27</c:v>
                </c:pt>
                <c:pt idx="349">
                  <c:v>43.39</c:v>
                </c:pt>
                <c:pt idx="350">
                  <c:v>41.34</c:v>
                </c:pt>
                <c:pt idx="351">
                  <c:v>49.94</c:v>
                </c:pt>
                <c:pt idx="352">
                  <c:v>38.730000000000011</c:v>
                </c:pt>
                <c:pt idx="353">
                  <c:v>43.47</c:v>
                </c:pt>
                <c:pt idx="354">
                  <c:v>24.05</c:v>
                </c:pt>
                <c:pt idx="355">
                  <c:v>20.62</c:v>
                </c:pt>
                <c:pt idx="356">
                  <c:v>53.47</c:v>
                </c:pt>
                <c:pt idx="357">
                  <c:v>34.520000000000003</c:v>
                </c:pt>
                <c:pt idx="358">
                  <c:v>30.85</c:v>
                </c:pt>
                <c:pt idx="359">
                  <c:v>38.56</c:v>
                </c:pt>
                <c:pt idx="360">
                  <c:v>34.660000000000011</c:v>
                </c:pt>
                <c:pt idx="361">
                  <c:v>53.44</c:v>
                </c:pt>
                <c:pt idx="362">
                  <c:v>58.57</c:v>
                </c:pt>
                <c:pt idx="363">
                  <c:v>26.64</c:v>
                </c:pt>
                <c:pt idx="364">
                  <c:v>34.57</c:v>
                </c:pt>
              </c:numCache>
            </c:numRef>
          </c:val>
          <c:smooth val="0"/>
          <c:extLst>
            <c:ext xmlns:c16="http://schemas.microsoft.com/office/drawing/2014/chart" uri="{C3380CC4-5D6E-409C-BE32-E72D297353CC}">
              <c16:uniqueId val="{00000002-D534-4BA7-B9A3-A8B1BD0FCCCB}"/>
            </c:ext>
          </c:extLst>
        </c:ser>
        <c:ser>
          <c:idx val="3"/>
          <c:order val="3"/>
          <c:tx>
            <c:strRef>
              <c:f>Sheet1!$E$1</c:f>
              <c:strCache>
                <c:ptCount val="1"/>
                <c:pt idx="0">
                  <c:v>BR5</c:v>
                </c:pt>
              </c:strCache>
            </c:strRef>
          </c:tx>
          <c:spPr>
            <a:ln w="12700" cap="rnd">
              <a:solidFill>
                <a:schemeClr val="accent4"/>
              </a:solidFill>
              <a:round/>
            </a:ln>
            <a:effectLst/>
          </c:spPr>
          <c:marker>
            <c:symbol val="none"/>
          </c:marker>
          <c:cat>
            <c:strRef>
              <c:f>Sheet1!$A$2:$A$366</c:f>
              <c:strCache>
                <c:ptCount val="365"/>
                <c:pt idx="0">
                  <c:v>2017 01 01</c:v>
                </c:pt>
                <c:pt idx="1">
                  <c:v>2017 01 02</c:v>
                </c:pt>
                <c:pt idx="2">
                  <c:v>2017 01 03</c:v>
                </c:pt>
                <c:pt idx="3">
                  <c:v>2017 01 04</c:v>
                </c:pt>
                <c:pt idx="4">
                  <c:v>2017 01 05</c:v>
                </c:pt>
                <c:pt idx="5">
                  <c:v>2017 01 06</c:v>
                </c:pt>
                <c:pt idx="6">
                  <c:v>2017 01 07</c:v>
                </c:pt>
                <c:pt idx="7">
                  <c:v>2017 01 08</c:v>
                </c:pt>
                <c:pt idx="8">
                  <c:v>2017 01 09</c:v>
                </c:pt>
                <c:pt idx="9">
                  <c:v>2017 01 10</c:v>
                </c:pt>
                <c:pt idx="10">
                  <c:v>2017 01 11</c:v>
                </c:pt>
                <c:pt idx="11">
                  <c:v>2017 01 12</c:v>
                </c:pt>
                <c:pt idx="12">
                  <c:v>2017 01 13</c:v>
                </c:pt>
                <c:pt idx="13">
                  <c:v>2017 01 14</c:v>
                </c:pt>
                <c:pt idx="14">
                  <c:v>2017 01 15</c:v>
                </c:pt>
                <c:pt idx="15">
                  <c:v>2017 01 16</c:v>
                </c:pt>
                <c:pt idx="16">
                  <c:v>2017 01 17</c:v>
                </c:pt>
                <c:pt idx="17">
                  <c:v>2017 01 18</c:v>
                </c:pt>
                <c:pt idx="18">
                  <c:v>2017 01 19</c:v>
                </c:pt>
                <c:pt idx="19">
                  <c:v>2017 01 20</c:v>
                </c:pt>
                <c:pt idx="20">
                  <c:v>2017 01 21</c:v>
                </c:pt>
                <c:pt idx="21">
                  <c:v>2017 01 22</c:v>
                </c:pt>
                <c:pt idx="22">
                  <c:v>2017 01 23</c:v>
                </c:pt>
                <c:pt idx="23">
                  <c:v>2017 01 24</c:v>
                </c:pt>
                <c:pt idx="24">
                  <c:v>2017 01 25</c:v>
                </c:pt>
                <c:pt idx="25">
                  <c:v>2017 01 26</c:v>
                </c:pt>
                <c:pt idx="26">
                  <c:v>2017 01 27</c:v>
                </c:pt>
                <c:pt idx="27">
                  <c:v>2017 01 28</c:v>
                </c:pt>
                <c:pt idx="28">
                  <c:v>2017 01 29</c:v>
                </c:pt>
                <c:pt idx="29">
                  <c:v>2017 01 30</c:v>
                </c:pt>
                <c:pt idx="30">
                  <c:v>2017 01 31</c:v>
                </c:pt>
                <c:pt idx="31">
                  <c:v>2017 02 01</c:v>
                </c:pt>
                <c:pt idx="32">
                  <c:v>2017 02 02</c:v>
                </c:pt>
                <c:pt idx="33">
                  <c:v>2017 02 03</c:v>
                </c:pt>
                <c:pt idx="34">
                  <c:v>2017 02 04</c:v>
                </c:pt>
                <c:pt idx="35">
                  <c:v>2017 02 05</c:v>
                </c:pt>
                <c:pt idx="36">
                  <c:v>2017 02 06</c:v>
                </c:pt>
                <c:pt idx="37">
                  <c:v>2017 02 07</c:v>
                </c:pt>
                <c:pt idx="38">
                  <c:v>2017 02 08</c:v>
                </c:pt>
                <c:pt idx="39">
                  <c:v>2017 02 09</c:v>
                </c:pt>
                <c:pt idx="40">
                  <c:v>2017 02 10</c:v>
                </c:pt>
                <c:pt idx="41">
                  <c:v>2017 02 11</c:v>
                </c:pt>
                <c:pt idx="42">
                  <c:v>2017 02 12</c:v>
                </c:pt>
                <c:pt idx="43">
                  <c:v>2017 02 13</c:v>
                </c:pt>
                <c:pt idx="44">
                  <c:v>2017 02 14</c:v>
                </c:pt>
                <c:pt idx="45">
                  <c:v>2017 02 15</c:v>
                </c:pt>
                <c:pt idx="46">
                  <c:v>2017 02 16</c:v>
                </c:pt>
                <c:pt idx="47">
                  <c:v>2017 02 17</c:v>
                </c:pt>
                <c:pt idx="48">
                  <c:v>2017 02 18</c:v>
                </c:pt>
                <c:pt idx="49">
                  <c:v>2017 02 19</c:v>
                </c:pt>
                <c:pt idx="50">
                  <c:v>2017 02 20</c:v>
                </c:pt>
                <c:pt idx="51">
                  <c:v>2017 02 21</c:v>
                </c:pt>
                <c:pt idx="52">
                  <c:v>2017 02 22</c:v>
                </c:pt>
                <c:pt idx="53">
                  <c:v>2017 02 23</c:v>
                </c:pt>
                <c:pt idx="54">
                  <c:v>2017 02 24</c:v>
                </c:pt>
                <c:pt idx="55">
                  <c:v>2017 02 25</c:v>
                </c:pt>
                <c:pt idx="56">
                  <c:v>2017 02 26</c:v>
                </c:pt>
                <c:pt idx="57">
                  <c:v>2017 02 27</c:v>
                </c:pt>
                <c:pt idx="58">
                  <c:v>2017 02 28</c:v>
                </c:pt>
                <c:pt idx="59">
                  <c:v>2017 03 01</c:v>
                </c:pt>
                <c:pt idx="60">
                  <c:v>2017 03 02</c:v>
                </c:pt>
                <c:pt idx="61">
                  <c:v>2017 03 03</c:v>
                </c:pt>
                <c:pt idx="62">
                  <c:v>2017 03 04</c:v>
                </c:pt>
                <c:pt idx="63">
                  <c:v>2017 03 05</c:v>
                </c:pt>
                <c:pt idx="64">
                  <c:v>2017 03 06</c:v>
                </c:pt>
                <c:pt idx="65">
                  <c:v>2017 03 07</c:v>
                </c:pt>
                <c:pt idx="66">
                  <c:v>2017 03 08</c:v>
                </c:pt>
                <c:pt idx="67">
                  <c:v>2017 03 09</c:v>
                </c:pt>
                <c:pt idx="68">
                  <c:v>2017 03 10</c:v>
                </c:pt>
                <c:pt idx="69">
                  <c:v>2017 03 11</c:v>
                </c:pt>
                <c:pt idx="70">
                  <c:v>2017 03 12</c:v>
                </c:pt>
                <c:pt idx="71">
                  <c:v>2017 03 13</c:v>
                </c:pt>
                <c:pt idx="72">
                  <c:v>2017 03 14</c:v>
                </c:pt>
                <c:pt idx="73">
                  <c:v>2017 03 15</c:v>
                </c:pt>
                <c:pt idx="74">
                  <c:v>2017 03 16</c:v>
                </c:pt>
                <c:pt idx="75">
                  <c:v>2017 03 17</c:v>
                </c:pt>
                <c:pt idx="76">
                  <c:v>2017 03 18</c:v>
                </c:pt>
                <c:pt idx="77">
                  <c:v>2017 03 19</c:v>
                </c:pt>
                <c:pt idx="78">
                  <c:v>2017 03 20</c:v>
                </c:pt>
                <c:pt idx="79">
                  <c:v>2017 03 21</c:v>
                </c:pt>
                <c:pt idx="80">
                  <c:v>2017 03 22</c:v>
                </c:pt>
                <c:pt idx="81">
                  <c:v>2017 03 23</c:v>
                </c:pt>
                <c:pt idx="82">
                  <c:v>2017 03 24</c:v>
                </c:pt>
                <c:pt idx="83">
                  <c:v>2017 03 25</c:v>
                </c:pt>
                <c:pt idx="84">
                  <c:v>2017 03 26</c:v>
                </c:pt>
                <c:pt idx="85">
                  <c:v>2017 03 27</c:v>
                </c:pt>
                <c:pt idx="86">
                  <c:v>2017 03 28</c:v>
                </c:pt>
                <c:pt idx="87">
                  <c:v>2017 03 29</c:v>
                </c:pt>
                <c:pt idx="88">
                  <c:v>2017 03 30</c:v>
                </c:pt>
                <c:pt idx="89">
                  <c:v>2017 03 31</c:v>
                </c:pt>
                <c:pt idx="90">
                  <c:v>2017 04 01</c:v>
                </c:pt>
                <c:pt idx="91">
                  <c:v>2017 04 02</c:v>
                </c:pt>
                <c:pt idx="92">
                  <c:v>2017 04 03</c:v>
                </c:pt>
                <c:pt idx="93">
                  <c:v>2017 04 04</c:v>
                </c:pt>
                <c:pt idx="94">
                  <c:v>2017 04 05</c:v>
                </c:pt>
                <c:pt idx="95">
                  <c:v>2017 04 06</c:v>
                </c:pt>
                <c:pt idx="96">
                  <c:v>2017 04 07</c:v>
                </c:pt>
                <c:pt idx="97">
                  <c:v>2017 04 08</c:v>
                </c:pt>
                <c:pt idx="98">
                  <c:v>2017 04 09</c:v>
                </c:pt>
                <c:pt idx="99">
                  <c:v>2017 04 10</c:v>
                </c:pt>
                <c:pt idx="100">
                  <c:v>2017 04 11</c:v>
                </c:pt>
                <c:pt idx="101">
                  <c:v>2017 04 12</c:v>
                </c:pt>
                <c:pt idx="102">
                  <c:v>2017 04 13</c:v>
                </c:pt>
                <c:pt idx="103">
                  <c:v>2017 04 14</c:v>
                </c:pt>
                <c:pt idx="104">
                  <c:v>2017 04 15</c:v>
                </c:pt>
                <c:pt idx="105">
                  <c:v>2017 04 16</c:v>
                </c:pt>
                <c:pt idx="106">
                  <c:v>2017 04 17</c:v>
                </c:pt>
                <c:pt idx="107">
                  <c:v>2017 04 18</c:v>
                </c:pt>
                <c:pt idx="108">
                  <c:v>2017 04 19</c:v>
                </c:pt>
                <c:pt idx="109">
                  <c:v>2017 04 20</c:v>
                </c:pt>
                <c:pt idx="110">
                  <c:v>2017 04 21</c:v>
                </c:pt>
                <c:pt idx="111">
                  <c:v>2017 04 22</c:v>
                </c:pt>
                <c:pt idx="112">
                  <c:v>2017 04 23</c:v>
                </c:pt>
                <c:pt idx="113">
                  <c:v>2017 04 24</c:v>
                </c:pt>
                <c:pt idx="114">
                  <c:v>2017 04 25</c:v>
                </c:pt>
                <c:pt idx="115">
                  <c:v>2017 04 26</c:v>
                </c:pt>
                <c:pt idx="116">
                  <c:v>2017 04 27</c:v>
                </c:pt>
                <c:pt idx="117">
                  <c:v>2017 04 28</c:v>
                </c:pt>
                <c:pt idx="118">
                  <c:v>2017 04 29</c:v>
                </c:pt>
                <c:pt idx="119">
                  <c:v>2017 04 30</c:v>
                </c:pt>
                <c:pt idx="120">
                  <c:v>2017 05 01</c:v>
                </c:pt>
                <c:pt idx="121">
                  <c:v>2017 05 02</c:v>
                </c:pt>
                <c:pt idx="122">
                  <c:v>2017 05 03</c:v>
                </c:pt>
                <c:pt idx="123">
                  <c:v>2017 05 04</c:v>
                </c:pt>
                <c:pt idx="124">
                  <c:v>2017 05 05</c:v>
                </c:pt>
                <c:pt idx="125">
                  <c:v>2017 05 06</c:v>
                </c:pt>
                <c:pt idx="126">
                  <c:v>2017 05 07</c:v>
                </c:pt>
                <c:pt idx="127">
                  <c:v>2017 05 08</c:v>
                </c:pt>
                <c:pt idx="128">
                  <c:v>2017 05 09</c:v>
                </c:pt>
                <c:pt idx="129">
                  <c:v>2017 05 10</c:v>
                </c:pt>
                <c:pt idx="130">
                  <c:v>2017 05 11</c:v>
                </c:pt>
                <c:pt idx="131">
                  <c:v>2017 05 12</c:v>
                </c:pt>
                <c:pt idx="132">
                  <c:v>2017 05 13</c:v>
                </c:pt>
                <c:pt idx="133">
                  <c:v>2017 05 14</c:v>
                </c:pt>
                <c:pt idx="134">
                  <c:v>2017 05 15</c:v>
                </c:pt>
                <c:pt idx="135">
                  <c:v>2017 05 16</c:v>
                </c:pt>
                <c:pt idx="136">
                  <c:v>2017 05 17</c:v>
                </c:pt>
                <c:pt idx="137">
                  <c:v>2017 05 18</c:v>
                </c:pt>
                <c:pt idx="138">
                  <c:v>2017 05 19</c:v>
                </c:pt>
                <c:pt idx="139">
                  <c:v>2017 05 20</c:v>
                </c:pt>
                <c:pt idx="140">
                  <c:v>2017 05 21</c:v>
                </c:pt>
                <c:pt idx="141">
                  <c:v>2017 05 22</c:v>
                </c:pt>
                <c:pt idx="142">
                  <c:v>2017 05 23</c:v>
                </c:pt>
                <c:pt idx="143">
                  <c:v>2017 05 24</c:v>
                </c:pt>
                <c:pt idx="144">
                  <c:v>2017 05 25</c:v>
                </c:pt>
                <c:pt idx="145">
                  <c:v>2017 05 26</c:v>
                </c:pt>
                <c:pt idx="146">
                  <c:v>2017 05 27</c:v>
                </c:pt>
                <c:pt idx="147">
                  <c:v>2017 05 28</c:v>
                </c:pt>
                <c:pt idx="148">
                  <c:v>2017 05 29</c:v>
                </c:pt>
                <c:pt idx="149">
                  <c:v>2017 05 30</c:v>
                </c:pt>
                <c:pt idx="150">
                  <c:v>2017 05 31</c:v>
                </c:pt>
                <c:pt idx="151">
                  <c:v>2017 06 01</c:v>
                </c:pt>
                <c:pt idx="152">
                  <c:v>2017 06 02</c:v>
                </c:pt>
                <c:pt idx="153">
                  <c:v>2017 06 03</c:v>
                </c:pt>
                <c:pt idx="154">
                  <c:v>2017 06 04</c:v>
                </c:pt>
                <c:pt idx="155">
                  <c:v>2017 06 05</c:v>
                </c:pt>
                <c:pt idx="156">
                  <c:v>2017 06 06</c:v>
                </c:pt>
                <c:pt idx="157">
                  <c:v>2017 06 07</c:v>
                </c:pt>
                <c:pt idx="158">
                  <c:v>2017 06 08</c:v>
                </c:pt>
                <c:pt idx="159">
                  <c:v>2017 06 09</c:v>
                </c:pt>
                <c:pt idx="160">
                  <c:v>2017 06 10</c:v>
                </c:pt>
                <c:pt idx="161">
                  <c:v>2017 06 11</c:v>
                </c:pt>
                <c:pt idx="162">
                  <c:v>2017 06 12</c:v>
                </c:pt>
                <c:pt idx="163">
                  <c:v>2017 06 13</c:v>
                </c:pt>
                <c:pt idx="164">
                  <c:v>2017 06 14</c:v>
                </c:pt>
                <c:pt idx="165">
                  <c:v>2017 06 15</c:v>
                </c:pt>
                <c:pt idx="166">
                  <c:v>2017 06 16</c:v>
                </c:pt>
                <c:pt idx="167">
                  <c:v>2017 06 17</c:v>
                </c:pt>
                <c:pt idx="168">
                  <c:v>2017 06 18</c:v>
                </c:pt>
                <c:pt idx="169">
                  <c:v>2017 06 19</c:v>
                </c:pt>
                <c:pt idx="170">
                  <c:v>2017 06 20</c:v>
                </c:pt>
                <c:pt idx="171">
                  <c:v>2017 06 21</c:v>
                </c:pt>
                <c:pt idx="172">
                  <c:v>2017 06 22</c:v>
                </c:pt>
                <c:pt idx="173">
                  <c:v>2017 06 23</c:v>
                </c:pt>
                <c:pt idx="174">
                  <c:v>2017 06 24</c:v>
                </c:pt>
                <c:pt idx="175">
                  <c:v>2017 06 25</c:v>
                </c:pt>
                <c:pt idx="176">
                  <c:v>2017 06 26</c:v>
                </c:pt>
                <c:pt idx="177">
                  <c:v>2017 06 27</c:v>
                </c:pt>
                <c:pt idx="178">
                  <c:v>2017 06 28</c:v>
                </c:pt>
                <c:pt idx="179">
                  <c:v>2017 06 29</c:v>
                </c:pt>
                <c:pt idx="180">
                  <c:v>2017 06 30</c:v>
                </c:pt>
                <c:pt idx="181">
                  <c:v>2017 07 01</c:v>
                </c:pt>
                <c:pt idx="182">
                  <c:v>2017 07 02</c:v>
                </c:pt>
                <c:pt idx="183">
                  <c:v>2017 07 03</c:v>
                </c:pt>
                <c:pt idx="184">
                  <c:v>2017 07 04</c:v>
                </c:pt>
                <c:pt idx="185">
                  <c:v>2017 07 05</c:v>
                </c:pt>
                <c:pt idx="186">
                  <c:v>2017 07 06</c:v>
                </c:pt>
                <c:pt idx="187">
                  <c:v>2017 07 07</c:v>
                </c:pt>
                <c:pt idx="188">
                  <c:v>2017 07 08</c:v>
                </c:pt>
                <c:pt idx="189">
                  <c:v>2017 07 09</c:v>
                </c:pt>
                <c:pt idx="190">
                  <c:v>2017 07 10</c:v>
                </c:pt>
                <c:pt idx="191">
                  <c:v>2017 07 11</c:v>
                </c:pt>
                <c:pt idx="192">
                  <c:v>2017 07 12</c:v>
                </c:pt>
                <c:pt idx="193">
                  <c:v>2017 07 13</c:v>
                </c:pt>
                <c:pt idx="194">
                  <c:v>2017 07 14</c:v>
                </c:pt>
                <c:pt idx="195">
                  <c:v>2017 07 15</c:v>
                </c:pt>
                <c:pt idx="196">
                  <c:v>2017 07 16</c:v>
                </c:pt>
                <c:pt idx="197">
                  <c:v>2017 07 17</c:v>
                </c:pt>
                <c:pt idx="198">
                  <c:v>2017 07 18</c:v>
                </c:pt>
                <c:pt idx="199">
                  <c:v>2017 07 19</c:v>
                </c:pt>
                <c:pt idx="200">
                  <c:v>2017 07 20</c:v>
                </c:pt>
                <c:pt idx="201">
                  <c:v>2017 07 21</c:v>
                </c:pt>
                <c:pt idx="202">
                  <c:v>2017 07 22</c:v>
                </c:pt>
                <c:pt idx="203">
                  <c:v>2017 07 23</c:v>
                </c:pt>
                <c:pt idx="204">
                  <c:v>2017 07 24</c:v>
                </c:pt>
                <c:pt idx="205">
                  <c:v>2017 07 25</c:v>
                </c:pt>
                <c:pt idx="206">
                  <c:v>2017 07 26</c:v>
                </c:pt>
                <c:pt idx="207">
                  <c:v>2017 07 27</c:v>
                </c:pt>
                <c:pt idx="208">
                  <c:v>2017 07 28</c:v>
                </c:pt>
                <c:pt idx="209">
                  <c:v>2017 07 29</c:v>
                </c:pt>
                <c:pt idx="210">
                  <c:v>2017 07 30</c:v>
                </c:pt>
                <c:pt idx="211">
                  <c:v>2017 07 31</c:v>
                </c:pt>
                <c:pt idx="212">
                  <c:v>2017 08 01</c:v>
                </c:pt>
                <c:pt idx="213">
                  <c:v>2017 08 02</c:v>
                </c:pt>
                <c:pt idx="214">
                  <c:v>2017 08 03</c:v>
                </c:pt>
                <c:pt idx="215">
                  <c:v>2017 08 04</c:v>
                </c:pt>
                <c:pt idx="216">
                  <c:v>2017 08 05</c:v>
                </c:pt>
                <c:pt idx="217">
                  <c:v>2017 08 06</c:v>
                </c:pt>
                <c:pt idx="218">
                  <c:v>2017 08 07</c:v>
                </c:pt>
                <c:pt idx="219">
                  <c:v>2017 08 08</c:v>
                </c:pt>
                <c:pt idx="220">
                  <c:v>2017 08 09</c:v>
                </c:pt>
                <c:pt idx="221">
                  <c:v>2017 08 10</c:v>
                </c:pt>
                <c:pt idx="222">
                  <c:v>2017 08 11</c:v>
                </c:pt>
                <c:pt idx="223">
                  <c:v>2017 08 12</c:v>
                </c:pt>
                <c:pt idx="224">
                  <c:v>2017 08 13</c:v>
                </c:pt>
                <c:pt idx="225">
                  <c:v>2017 08 14</c:v>
                </c:pt>
                <c:pt idx="226">
                  <c:v>2017 08 15</c:v>
                </c:pt>
                <c:pt idx="227">
                  <c:v>2017 08 16</c:v>
                </c:pt>
                <c:pt idx="228">
                  <c:v>2017 08 17</c:v>
                </c:pt>
                <c:pt idx="229">
                  <c:v>2017 08 18</c:v>
                </c:pt>
                <c:pt idx="230">
                  <c:v>2017 08 19</c:v>
                </c:pt>
                <c:pt idx="231">
                  <c:v>2017 08 20</c:v>
                </c:pt>
                <c:pt idx="232">
                  <c:v>2017 08 21</c:v>
                </c:pt>
                <c:pt idx="233">
                  <c:v>2017 08 22</c:v>
                </c:pt>
                <c:pt idx="234">
                  <c:v>2017 08 23</c:v>
                </c:pt>
                <c:pt idx="235">
                  <c:v>2017 08 24</c:v>
                </c:pt>
                <c:pt idx="236">
                  <c:v>2017 08 25</c:v>
                </c:pt>
                <c:pt idx="237">
                  <c:v>2017 08 26</c:v>
                </c:pt>
                <c:pt idx="238">
                  <c:v>2017 08 27</c:v>
                </c:pt>
                <c:pt idx="239">
                  <c:v>2017 08 28</c:v>
                </c:pt>
                <c:pt idx="240">
                  <c:v>2017 08 29</c:v>
                </c:pt>
                <c:pt idx="241">
                  <c:v>2017 08 30</c:v>
                </c:pt>
                <c:pt idx="242">
                  <c:v>2017 08 31</c:v>
                </c:pt>
                <c:pt idx="243">
                  <c:v>2017 09 01</c:v>
                </c:pt>
                <c:pt idx="244">
                  <c:v>2017 09 02</c:v>
                </c:pt>
                <c:pt idx="245">
                  <c:v>2017 09 03</c:v>
                </c:pt>
                <c:pt idx="246">
                  <c:v>2017 09 04</c:v>
                </c:pt>
                <c:pt idx="247">
                  <c:v>2017 09 05</c:v>
                </c:pt>
                <c:pt idx="248">
                  <c:v>2017 09 06</c:v>
                </c:pt>
                <c:pt idx="249">
                  <c:v>2017 09 07</c:v>
                </c:pt>
                <c:pt idx="250">
                  <c:v>2017 09 08</c:v>
                </c:pt>
                <c:pt idx="251">
                  <c:v>2017 09 09</c:v>
                </c:pt>
                <c:pt idx="252">
                  <c:v>2017 09 10</c:v>
                </c:pt>
                <c:pt idx="253">
                  <c:v>2017 09 11</c:v>
                </c:pt>
                <c:pt idx="254">
                  <c:v>2017 09 12</c:v>
                </c:pt>
                <c:pt idx="255">
                  <c:v>2017 09 13</c:v>
                </c:pt>
                <c:pt idx="256">
                  <c:v>2017 09 14</c:v>
                </c:pt>
                <c:pt idx="257">
                  <c:v>2017 09 15</c:v>
                </c:pt>
                <c:pt idx="258">
                  <c:v>2017 09 16</c:v>
                </c:pt>
                <c:pt idx="259">
                  <c:v>2017 09 17</c:v>
                </c:pt>
                <c:pt idx="260">
                  <c:v>2017 09 18</c:v>
                </c:pt>
                <c:pt idx="261">
                  <c:v>2017 09 19</c:v>
                </c:pt>
                <c:pt idx="262">
                  <c:v>2017 09 20</c:v>
                </c:pt>
                <c:pt idx="263">
                  <c:v>2017 09 21</c:v>
                </c:pt>
                <c:pt idx="264">
                  <c:v>2017 09 22</c:v>
                </c:pt>
                <c:pt idx="265">
                  <c:v>2017 09 23</c:v>
                </c:pt>
                <c:pt idx="266">
                  <c:v>2017 09 24</c:v>
                </c:pt>
                <c:pt idx="267">
                  <c:v>2017 09 25</c:v>
                </c:pt>
                <c:pt idx="268">
                  <c:v>2017 09 26</c:v>
                </c:pt>
                <c:pt idx="269">
                  <c:v>2017 09 27</c:v>
                </c:pt>
                <c:pt idx="270">
                  <c:v>2017 09 28</c:v>
                </c:pt>
                <c:pt idx="271">
                  <c:v>2017 09 29</c:v>
                </c:pt>
                <c:pt idx="272">
                  <c:v>2017 09 30</c:v>
                </c:pt>
                <c:pt idx="273">
                  <c:v>2017 10 01</c:v>
                </c:pt>
                <c:pt idx="274">
                  <c:v>2017 10 02</c:v>
                </c:pt>
                <c:pt idx="275">
                  <c:v>2017 10 03</c:v>
                </c:pt>
                <c:pt idx="276">
                  <c:v>2017 10 04</c:v>
                </c:pt>
                <c:pt idx="277">
                  <c:v>2017 10 05</c:v>
                </c:pt>
                <c:pt idx="278">
                  <c:v>2017 10 06</c:v>
                </c:pt>
                <c:pt idx="279">
                  <c:v>2017 10 07</c:v>
                </c:pt>
                <c:pt idx="280">
                  <c:v>2017 10 08</c:v>
                </c:pt>
                <c:pt idx="281">
                  <c:v>2017 10 09</c:v>
                </c:pt>
                <c:pt idx="282">
                  <c:v>2017 10 10</c:v>
                </c:pt>
                <c:pt idx="283">
                  <c:v>2017 10 11</c:v>
                </c:pt>
                <c:pt idx="284">
                  <c:v>2017 10 12</c:v>
                </c:pt>
                <c:pt idx="285">
                  <c:v>2017 10 13</c:v>
                </c:pt>
                <c:pt idx="286">
                  <c:v>2017 10 14</c:v>
                </c:pt>
                <c:pt idx="287">
                  <c:v>2017 10 15</c:v>
                </c:pt>
                <c:pt idx="288">
                  <c:v>2017 10 16</c:v>
                </c:pt>
                <c:pt idx="289">
                  <c:v>2017 10 17</c:v>
                </c:pt>
                <c:pt idx="290">
                  <c:v>2017 10 18</c:v>
                </c:pt>
                <c:pt idx="291">
                  <c:v>2017 10 19</c:v>
                </c:pt>
                <c:pt idx="292">
                  <c:v>2017 10 20</c:v>
                </c:pt>
                <c:pt idx="293">
                  <c:v>2017 10 21</c:v>
                </c:pt>
                <c:pt idx="294">
                  <c:v>2017 10 22</c:v>
                </c:pt>
                <c:pt idx="295">
                  <c:v>2017 10 23</c:v>
                </c:pt>
                <c:pt idx="296">
                  <c:v>2017 10 24</c:v>
                </c:pt>
                <c:pt idx="297">
                  <c:v>2017 10 25</c:v>
                </c:pt>
                <c:pt idx="298">
                  <c:v>2017 10 26</c:v>
                </c:pt>
                <c:pt idx="299">
                  <c:v>2017 10 27</c:v>
                </c:pt>
                <c:pt idx="300">
                  <c:v>2017 10 28</c:v>
                </c:pt>
                <c:pt idx="301">
                  <c:v>2017 10 29</c:v>
                </c:pt>
                <c:pt idx="302">
                  <c:v>2017 10 30</c:v>
                </c:pt>
                <c:pt idx="303">
                  <c:v>2017 10 31</c:v>
                </c:pt>
                <c:pt idx="304">
                  <c:v>2017 11 01</c:v>
                </c:pt>
                <c:pt idx="305">
                  <c:v>2017 11 02</c:v>
                </c:pt>
                <c:pt idx="306">
                  <c:v>2017 11 03</c:v>
                </c:pt>
                <c:pt idx="307">
                  <c:v>2017 11 04</c:v>
                </c:pt>
                <c:pt idx="308">
                  <c:v>2017 11 05</c:v>
                </c:pt>
                <c:pt idx="309">
                  <c:v>2017 11 06</c:v>
                </c:pt>
                <c:pt idx="310">
                  <c:v>2017 11 07</c:v>
                </c:pt>
                <c:pt idx="311">
                  <c:v>2017 11 08</c:v>
                </c:pt>
                <c:pt idx="312">
                  <c:v>2017 11 09</c:v>
                </c:pt>
                <c:pt idx="313">
                  <c:v>2017 11 10</c:v>
                </c:pt>
                <c:pt idx="314">
                  <c:v>2017 11 11</c:v>
                </c:pt>
                <c:pt idx="315">
                  <c:v>2017 11 12</c:v>
                </c:pt>
                <c:pt idx="316">
                  <c:v>2017 11 13</c:v>
                </c:pt>
                <c:pt idx="317">
                  <c:v>2017 11 14</c:v>
                </c:pt>
                <c:pt idx="318">
                  <c:v>2017 11 15</c:v>
                </c:pt>
                <c:pt idx="319">
                  <c:v>2017 11 16</c:v>
                </c:pt>
                <c:pt idx="320">
                  <c:v>2017 11 17</c:v>
                </c:pt>
                <c:pt idx="321">
                  <c:v>2017 11 18</c:v>
                </c:pt>
                <c:pt idx="322">
                  <c:v>2017 11 19</c:v>
                </c:pt>
                <c:pt idx="323">
                  <c:v>2017 11 20</c:v>
                </c:pt>
                <c:pt idx="324">
                  <c:v>2017 11 21</c:v>
                </c:pt>
                <c:pt idx="325">
                  <c:v>2017 11 22</c:v>
                </c:pt>
                <c:pt idx="326">
                  <c:v>2017 11 23</c:v>
                </c:pt>
                <c:pt idx="327">
                  <c:v>2017 11 24</c:v>
                </c:pt>
                <c:pt idx="328">
                  <c:v>2017 11 25</c:v>
                </c:pt>
                <c:pt idx="329">
                  <c:v>2017 11 26</c:v>
                </c:pt>
                <c:pt idx="330">
                  <c:v>2017 11 27</c:v>
                </c:pt>
                <c:pt idx="331">
                  <c:v>2017 11 28</c:v>
                </c:pt>
                <c:pt idx="332">
                  <c:v>2017 11 29</c:v>
                </c:pt>
                <c:pt idx="333">
                  <c:v>2017 11 30</c:v>
                </c:pt>
                <c:pt idx="334">
                  <c:v>2017 12 01</c:v>
                </c:pt>
                <c:pt idx="335">
                  <c:v>2017 12 02</c:v>
                </c:pt>
                <c:pt idx="336">
                  <c:v>2017 12 03</c:v>
                </c:pt>
                <c:pt idx="337">
                  <c:v>2017 12 04</c:v>
                </c:pt>
                <c:pt idx="338">
                  <c:v>2017 12 05</c:v>
                </c:pt>
                <c:pt idx="339">
                  <c:v>2017 12 06</c:v>
                </c:pt>
                <c:pt idx="340">
                  <c:v>2017 12 07</c:v>
                </c:pt>
                <c:pt idx="341">
                  <c:v>2017 12 08</c:v>
                </c:pt>
                <c:pt idx="342">
                  <c:v>2017 12 09</c:v>
                </c:pt>
                <c:pt idx="343">
                  <c:v>2017 12 10</c:v>
                </c:pt>
                <c:pt idx="344">
                  <c:v>2017 12 11</c:v>
                </c:pt>
                <c:pt idx="345">
                  <c:v>2017 12 12</c:v>
                </c:pt>
                <c:pt idx="346">
                  <c:v>2017 12 13</c:v>
                </c:pt>
                <c:pt idx="347">
                  <c:v>2017 12 14</c:v>
                </c:pt>
                <c:pt idx="348">
                  <c:v>2017 12 15</c:v>
                </c:pt>
                <c:pt idx="349">
                  <c:v>2017 12 16</c:v>
                </c:pt>
                <c:pt idx="350">
                  <c:v>2017 12 17</c:v>
                </c:pt>
                <c:pt idx="351">
                  <c:v>2017 12 18</c:v>
                </c:pt>
                <c:pt idx="352">
                  <c:v>2017 12 19</c:v>
                </c:pt>
                <c:pt idx="353">
                  <c:v>2017 12 20</c:v>
                </c:pt>
                <c:pt idx="354">
                  <c:v>2017 12 21</c:v>
                </c:pt>
                <c:pt idx="355">
                  <c:v>2017 12 22</c:v>
                </c:pt>
                <c:pt idx="356">
                  <c:v>2017 12 23</c:v>
                </c:pt>
                <c:pt idx="357">
                  <c:v>2017 12 24</c:v>
                </c:pt>
                <c:pt idx="358">
                  <c:v>2017 12 25</c:v>
                </c:pt>
                <c:pt idx="359">
                  <c:v>2017 12 26</c:v>
                </c:pt>
                <c:pt idx="360">
                  <c:v>2017 12 27</c:v>
                </c:pt>
                <c:pt idx="361">
                  <c:v>2017 12 28</c:v>
                </c:pt>
                <c:pt idx="362">
                  <c:v>2017 12 29</c:v>
                </c:pt>
                <c:pt idx="363">
                  <c:v>2017 12 30</c:v>
                </c:pt>
                <c:pt idx="364">
                  <c:v>2017 12 31</c:v>
                </c:pt>
              </c:strCache>
            </c:strRef>
          </c:cat>
          <c:val>
            <c:numRef>
              <c:f>Sheet1!$E$2:$E$366</c:f>
              <c:numCache>
                <c:formatCode>General</c:formatCode>
                <c:ptCount val="365"/>
                <c:pt idx="0">
                  <c:v>45.67</c:v>
                </c:pt>
                <c:pt idx="1">
                  <c:v>60.38</c:v>
                </c:pt>
                <c:pt idx="2">
                  <c:v>52.35</c:v>
                </c:pt>
                <c:pt idx="3">
                  <c:v>56.05</c:v>
                </c:pt>
                <c:pt idx="4">
                  <c:v>38.950000000000003</c:v>
                </c:pt>
                <c:pt idx="5">
                  <c:v>54.83</c:v>
                </c:pt>
                <c:pt idx="6">
                  <c:v>60.83</c:v>
                </c:pt>
                <c:pt idx="7">
                  <c:v>76.989999999999995</c:v>
                </c:pt>
                <c:pt idx="8">
                  <c:v>71.38</c:v>
                </c:pt>
                <c:pt idx="9">
                  <c:v>71.31</c:v>
                </c:pt>
                <c:pt idx="10">
                  <c:v>82.92</c:v>
                </c:pt>
                <c:pt idx="11">
                  <c:v>96.88</c:v>
                </c:pt>
                <c:pt idx="12">
                  <c:v>103.86999999999999</c:v>
                </c:pt>
                <c:pt idx="13">
                  <c:v>100.05</c:v>
                </c:pt>
                <c:pt idx="14">
                  <c:v>74.83</c:v>
                </c:pt>
                <c:pt idx="15">
                  <c:v>60.93</c:v>
                </c:pt>
                <c:pt idx="16">
                  <c:v>74.2</c:v>
                </c:pt>
                <c:pt idx="17">
                  <c:v>78.25</c:v>
                </c:pt>
                <c:pt idx="18">
                  <c:v>72.34</c:v>
                </c:pt>
                <c:pt idx="19">
                  <c:v>89.79</c:v>
                </c:pt>
                <c:pt idx="20">
                  <c:v>82.86999999999999</c:v>
                </c:pt>
                <c:pt idx="21">
                  <c:v>81.58</c:v>
                </c:pt>
                <c:pt idx="22">
                  <c:v>73.040000000000006</c:v>
                </c:pt>
                <c:pt idx="23">
                  <c:v>76.36999999999999</c:v>
                </c:pt>
                <c:pt idx="24">
                  <c:v>79.239999999999995</c:v>
                </c:pt>
                <c:pt idx="25">
                  <c:v>84.89</c:v>
                </c:pt>
                <c:pt idx="26">
                  <c:v>77</c:v>
                </c:pt>
                <c:pt idx="27">
                  <c:v>63.92</c:v>
                </c:pt>
                <c:pt idx="28">
                  <c:v>69.679999999999978</c:v>
                </c:pt>
                <c:pt idx="29">
                  <c:v>76.05</c:v>
                </c:pt>
                <c:pt idx="30">
                  <c:v>89.3</c:v>
                </c:pt>
                <c:pt idx="31">
                  <c:v>106.14999999999999</c:v>
                </c:pt>
                <c:pt idx="32">
                  <c:v>110.38</c:v>
                </c:pt>
                <c:pt idx="33">
                  <c:v>103.21000000000002</c:v>
                </c:pt>
                <c:pt idx="34">
                  <c:v>105.02</c:v>
                </c:pt>
                <c:pt idx="35">
                  <c:v>82.36</c:v>
                </c:pt>
                <c:pt idx="36">
                  <c:v>43.59</c:v>
                </c:pt>
                <c:pt idx="37">
                  <c:v>52.690000000000012</c:v>
                </c:pt>
                <c:pt idx="38">
                  <c:v>65.08</c:v>
                </c:pt>
                <c:pt idx="39">
                  <c:v>76.010000000000005</c:v>
                </c:pt>
                <c:pt idx="40">
                  <c:v>92.7</c:v>
                </c:pt>
                <c:pt idx="41">
                  <c:v>90.78</c:v>
                </c:pt>
                <c:pt idx="42">
                  <c:v>78.36999999999999</c:v>
                </c:pt>
                <c:pt idx="43">
                  <c:v>87.86999999999999</c:v>
                </c:pt>
                <c:pt idx="44">
                  <c:v>98.460000000000022</c:v>
                </c:pt>
                <c:pt idx="45">
                  <c:v>88.149999999999991</c:v>
                </c:pt>
                <c:pt idx="46">
                  <c:v>104.66999999999999</c:v>
                </c:pt>
                <c:pt idx="47">
                  <c:v>94.55</c:v>
                </c:pt>
                <c:pt idx="48">
                  <c:v>96.5</c:v>
                </c:pt>
                <c:pt idx="49">
                  <c:v>88.64</c:v>
                </c:pt>
                <c:pt idx="50">
                  <c:v>83.51</c:v>
                </c:pt>
                <c:pt idx="51">
                  <c:v>78.36</c:v>
                </c:pt>
                <c:pt idx="52">
                  <c:v>87.82</c:v>
                </c:pt>
                <c:pt idx="53">
                  <c:v>80.08</c:v>
                </c:pt>
                <c:pt idx="54">
                  <c:v>98.42</c:v>
                </c:pt>
                <c:pt idx="55">
                  <c:v>77.900000000000006</c:v>
                </c:pt>
                <c:pt idx="56">
                  <c:v>83.14</c:v>
                </c:pt>
                <c:pt idx="57">
                  <c:v>80.58</c:v>
                </c:pt>
                <c:pt idx="58">
                  <c:v>78.38</c:v>
                </c:pt>
                <c:pt idx="59">
                  <c:v>77.679999999999978</c:v>
                </c:pt>
                <c:pt idx="60">
                  <c:v>76.81</c:v>
                </c:pt>
                <c:pt idx="61">
                  <c:v>80.75</c:v>
                </c:pt>
                <c:pt idx="62">
                  <c:v>99.4</c:v>
                </c:pt>
                <c:pt idx="63">
                  <c:v>95.679999999999978</c:v>
                </c:pt>
                <c:pt idx="64">
                  <c:v>81.440000000000026</c:v>
                </c:pt>
                <c:pt idx="65">
                  <c:v>95.210000000000022</c:v>
                </c:pt>
                <c:pt idx="66">
                  <c:v>93.669999999999987</c:v>
                </c:pt>
                <c:pt idx="67">
                  <c:v>75.56</c:v>
                </c:pt>
                <c:pt idx="68">
                  <c:v>60.21</c:v>
                </c:pt>
                <c:pt idx="69">
                  <c:v>70.290000000000006</c:v>
                </c:pt>
                <c:pt idx="70">
                  <c:v>64.8</c:v>
                </c:pt>
                <c:pt idx="71">
                  <c:v>71.16</c:v>
                </c:pt>
                <c:pt idx="72">
                  <c:v>79</c:v>
                </c:pt>
                <c:pt idx="73">
                  <c:v>60.67</c:v>
                </c:pt>
                <c:pt idx="74">
                  <c:v>79.760000000000005</c:v>
                </c:pt>
                <c:pt idx="75">
                  <c:v>73.47</c:v>
                </c:pt>
                <c:pt idx="76">
                  <c:v>79.39</c:v>
                </c:pt>
                <c:pt idx="77">
                  <c:v>92.33</c:v>
                </c:pt>
                <c:pt idx="78">
                  <c:v>90.38</c:v>
                </c:pt>
                <c:pt idx="79">
                  <c:v>95.460000000000022</c:v>
                </c:pt>
                <c:pt idx="80">
                  <c:v>105.39</c:v>
                </c:pt>
                <c:pt idx="81">
                  <c:v>112.64999999999999</c:v>
                </c:pt>
                <c:pt idx="82">
                  <c:v>92.07</c:v>
                </c:pt>
                <c:pt idx="83">
                  <c:v>77.28</c:v>
                </c:pt>
                <c:pt idx="84">
                  <c:v>82.66</c:v>
                </c:pt>
                <c:pt idx="85">
                  <c:v>92.69</c:v>
                </c:pt>
                <c:pt idx="86">
                  <c:v>96.11</c:v>
                </c:pt>
                <c:pt idx="87">
                  <c:v>62.31</c:v>
                </c:pt>
                <c:pt idx="88">
                  <c:v>100.05</c:v>
                </c:pt>
                <c:pt idx="89">
                  <c:v>108.32</c:v>
                </c:pt>
                <c:pt idx="90">
                  <c:v>114.85</c:v>
                </c:pt>
                <c:pt idx="91">
                  <c:v>108.14</c:v>
                </c:pt>
                <c:pt idx="92">
                  <c:v>110.4</c:v>
                </c:pt>
                <c:pt idx="93">
                  <c:v>95.210000000000022</c:v>
                </c:pt>
                <c:pt idx="94">
                  <c:v>96.3</c:v>
                </c:pt>
                <c:pt idx="95">
                  <c:v>97</c:v>
                </c:pt>
                <c:pt idx="96">
                  <c:v>81.960000000000022</c:v>
                </c:pt>
                <c:pt idx="97">
                  <c:v>99.14</c:v>
                </c:pt>
                <c:pt idx="98">
                  <c:v>92.179999999999978</c:v>
                </c:pt>
                <c:pt idx="99">
                  <c:v>96.149999999999991</c:v>
                </c:pt>
                <c:pt idx="100">
                  <c:v>109.14999999999999</c:v>
                </c:pt>
                <c:pt idx="101">
                  <c:v>98.36</c:v>
                </c:pt>
                <c:pt idx="102">
                  <c:v>105.23</c:v>
                </c:pt>
                <c:pt idx="103">
                  <c:v>88.77</c:v>
                </c:pt>
                <c:pt idx="104">
                  <c:v>101.26</c:v>
                </c:pt>
                <c:pt idx="105">
                  <c:v>92.649999999999991</c:v>
                </c:pt>
                <c:pt idx="106">
                  <c:v>82.95</c:v>
                </c:pt>
                <c:pt idx="107">
                  <c:v>88.36</c:v>
                </c:pt>
                <c:pt idx="108">
                  <c:v>97.39</c:v>
                </c:pt>
                <c:pt idx="109">
                  <c:v>96.84</c:v>
                </c:pt>
                <c:pt idx="110">
                  <c:v>101.21000000000002</c:v>
                </c:pt>
                <c:pt idx="111">
                  <c:v>99.05</c:v>
                </c:pt>
                <c:pt idx="112">
                  <c:v>97.48</c:v>
                </c:pt>
                <c:pt idx="113">
                  <c:v>100.17999999999998</c:v>
                </c:pt>
                <c:pt idx="114">
                  <c:v>112.98</c:v>
                </c:pt>
                <c:pt idx="115">
                  <c:v>97.97</c:v>
                </c:pt>
                <c:pt idx="116">
                  <c:v>108.07</c:v>
                </c:pt>
                <c:pt idx="117">
                  <c:v>94.38</c:v>
                </c:pt>
                <c:pt idx="118">
                  <c:v>105.76</c:v>
                </c:pt>
                <c:pt idx="119">
                  <c:v>85.13</c:v>
                </c:pt>
                <c:pt idx="120">
                  <c:v>73.25</c:v>
                </c:pt>
                <c:pt idx="121">
                  <c:v>100.39</c:v>
                </c:pt>
                <c:pt idx="122">
                  <c:v>96.81</c:v>
                </c:pt>
                <c:pt idx="123">
                  <c:v>93.42</c:v>
                </c:pt>
                <c:pt idx="124">
                  <c:v>110.53</c:v>
                </c:pt>
                <c:pt idx="125">
                  <c:v>90.19</c:v>
                </c:pt>
                <c:pt idx="126">
                  <c:v>90.960000000000022</c:v>
                </c:pt>
                <c:pt idx="127">
                  <c:v>81.92</c:v>
                </c:pt>
                <c:pt idx="128">
                  <c:v>62.7</c:v>
                </c:pt>
                <c:pt idx="129">
                  <c:v>76.28</c:v>
                </c:pt>
                <c:pt idx="130">
                  <c:v>93.08</c:v>
                </c:pt>
                <c:pt idx="131">
                  <c:v>81.849999999999994</c:v>
                </c:pt>
                <c:pt idx="132">
                  <c:v>68.36</c:v>
                </c:pt>
                <c:pt idx="133">
                  <c:v>65.709999999999994</c:v>
                </c:pt>
                <c:pt idx="134">
                  <c:v>101.55</c:v>
                </c:pt>
                <c:pt idx="135">
                  <c:v>91.26</c:v>
                </c:pt>
                <c:pt idx="136">
                  <c:v>92.27</c:v>
                </c:pt>
                <c:pt idx="137">
                  <c:v>100.36999999999999</c:v>
                </c:pt>
                <c:pt idx="138">
                  <c:v>105.36</c:v>
                </c:pt>
                <c:pt idx="139">
                  <c:v>103.16</c:v>
                </c:pt>
                <c:pt idx="140">
                  <c:v>95.75</c:v>
                </c:pt>
                <c:pt idx="141">
                  <c:v>80.410000000000025</c:v>
                </c:pt>
                <c:pt idx="142">
                  <c:v>96.6</c:v>
                </c:pt>
                <c:pt idx="143">
                  <c:v>92.86999999999999</c:v>
                </c:pt>
                <c:pt idx="144">
                  <c:v>91.1</c:v>
                </c:pt>
                <c:pt idx="145">
                  <c:v>84.960000000000022</c:v>
                </c:pt>
                <c:pt idx="146">
                  <c:v>79.930000000000007</c:v>
                </c:pt>
                <c:pt idx="147">
                  <c:v>79.59</c:v>
                </c:pt>
                <c:pt idx="148">
                  <c:v>102.36</c:v>
                </c:pt>
                <c:pt idx="149">
                  <c:v>90.29</c:v>
                </c:pt>
                <c:pt idx="150">
                  <c:v>83.79</c:v>
                </c:pt>
                <c:pt idx="151">
                  <c:v>95.63</c:v>
                </c:pt>
                <c:pt idx="152">
                  <c:v>98.2</c:v>
                </c:pt>
                <c:pt idx="153">
                  <c:v>100.78</c:v>
                </c:pt>
                <c:pt idx="154">
                  <c:v>98.02</c:v>
                </c:pt>
                <c:pt idx="155">
                  <c:v>98.76</c:v>
                </c:pt>
                <c:pt idx="156">
                  <c:v>98.710000000000022</c:v>
                </c:pt>
                <c:pt idx="157">
                  <c:v>91.53</c:v>
                </c:pt>
                <c:pt idx="158">
                  <c:v>81.84</c:v>
                </c:pt>
                <c:pt idx="159">
                  <c:v>59.55</c:v>
                </c:pt>
                <c:pt idx="160">
                  <c:v>98.29</c:v>
                </c:pt>
                <c:pt idx="161">
                  <c:v>84.16</c:v>
                </c:pt>
                <c:pt idx="162">
                  <c:v>89.940000000000026</c:v>
                </c:pt>
                <c:pt idx="163">
                  <c:v>82.02</c:v>
                </c:pt>
                <c:pt idx="164">
                  <c:v>85.58</c:v>
                </c:pt>
                <c:pt idx="165">
                  <c:v>80.02</c:v>
                </c:pt>
                <c:pt idx="166">
                  <c:v>87.22</c:v>
                </c:pt>
                <c:pt idx="167">
                  <c:v>77.14</c:v>
                </c:pt>
                <c:pt idx="168">
                  <c:v>72.56</c:v>
                </c:pt>
                <c:pt idx="169">
                  <c:v>89.63</c:v>
                </c:pt>
                <c:pt idx="170">
                  <c:v>69.489999999999995</c:v>
                </c:pt>
                <c:pt idx="171">
                  <c:v>81.410000000000025</c:v>
                </c:pt>
                <c:pt idx="172">
                  <c:v>92.81</c:v>
                </c:pt>
                <c:pt idx="173">
                  <c:v>84.98</c:v>
                </c:pt>
                <c:pt idx="174">
                  <c:v>96.36</c:v>
                </c:pt>
                <c:pt idx="175">
                  <c:v>95.42</c:v>
                </c:pt>
                <c:pt idx="176">
                  <c:v>95.93</c:v>
                </c:pt>
                <c:pt idx="177">
                  <c:v>86.61</c:v>
                </c:pt>
                <c:pt idx="178">
                  <c:v>108.13</c:v>
                </c:pt>
                <c:pt idx="179">
                  <c:v>92.1</c:v>
                </c:pt>
                <c:pt idx="180">
                  <c:v>94.39</c:v>
                </c:pt>
                <c:pt idx="181">
                  <c:v>104.64</c:v>
                </c:pt>
                <c:pt idx="182">
                  <c:v>85.34</c:v>
                </c:pt>
                <c:pt idx="183">
                  <c:v>68.52</c:v>
                </c:pt>
                <c:pt idx="184">
                  <c:v>70.95</c:v>
                </c:pt>
                <c:pt idx="185">
                  <c:v>82.32</c:v>
                </c:pt>
                <c:pt idx="186">
                  <c:v>80.53</c:v>
                </c:pt>
                <c:pt idx="187">
                  <c:v>79.03</c:v>
                </c:pt>
                <c:pt idx="188">
                  <c:v>92.669999999999987</c:v>
                </c:pt>
                <c:pt idx="189">
                  <c:v>92.7</c:v>
                </c:pt>
                <c:pt idx="190">
                  <c:v>91.93</c:v>
                </c:pt>
                <c:pt idx="191">
                  <c:v>94.35</c:v>
                </c:pt>
                <c:pt idx="192">
                  <c:v>82.9</c:v>
                </c:pt>
                <c:pt idx="193">
                  <c:v>90.11999999999999</c:v>
                </c:pt>
                <c:pt idx="194">
                  <c:v>72.83</c:v>
                </c:pt>
                <c:pt idx="195">
                  <c:v>74.040000000000006</c:v>
                </c:pt>
                <c:pt idx="196">
                  <c:v>60.620000000000012</c:v>
                </c:pt>
                <c:pt idx="197">
                  <c:v>83.02</c:v>
                </c:pt>
                <c:pt idx="198">
                  <c:v>90.48</c:v>
                </c:pt>
                <c:pt idx="199">
                  <c:v>103.48</c:v>
                </c:pt>
                <c:pt idx="200">
                  <c:v>105.49000000000002</c:v>
                </c:pt>
                <c:pt idx="201">
                  <c:v>104.6</c:v>
                </c:pt>
                <c:pt idx="202">
                  <c:v>92.56</c:v>
                </c:pt>
                <c:pt idx="203">
                  <c:v>106.52</c:v>
                </c:pt>
                <c:pt idx="204">
                  <c:v>97.93</c:v>
                </c:pt>
                <c:pt idx="205">
                  <c:v>110.75</c:v>
                </c:pt>
                <c:pt idx="206">
                  <c:v>103.29</c:v>
                </c:pt>
                <c:pt idx="207">
                  <c:v>99.679999999999978</c:v>
                </c:pt>
                <c:pt idx="208">
                  <c:v>72.040000000000006</c:v>
                </c:pt>
                <c:pt idx="209">
                  <c:v>78.86</c:v>
                </c:pt>
                <c:pt idx="210">
                  <c:v>90.11</c:v>
                </c:pt>
                <c:pt idx="211">
                  <c:v>96.35</c:v>
                </c:pt>
                <c:pt idx="212">
                  <c:v>100.27</c:v>
                </c:pt>
                <c:pt idx="213">
                  <c:v>102.77</c:v>
                </c:pt>
                <c:pt idx="214">
                  <c:v>109.07</c:v>
                </c:pt>
                <c:pt idx="215">
                  <c:v>102.4</c:v>
                </c:pt>
                <c:pt idx="216">
                  <c:v>97.84</c:v>
                </c:pt>
                <c:pt idx="217">
                  <c:v>87.97</c:v>
                </c:pt>
                <c:pt idx="218">
                  <c:v>86.73</c:v>
                </c:pt>
                <c:pt idx="219">
                  <c:v>68.08</c:v>
                </c:pt>
                <c:pt idx="220">
                  <c:v>91.490000000000023</c:v>
                </c:pt>
                <c:pt idx="221">
                  <c:v>106.76</c:v>
                </c:pt>
                <c:pt idx="222">
                  <c:v>87.240000000000023</c:v>
                </c:pt>
                <c:pt idx="223">
                  <c:v>84.32</c:v>
                </c:pt>
                <c:pt idx="224">
                  <c:v>99.54</c:v>
                </c:pt>
                <c:pt idx="225">
                  <c:v>88.740000000000023</c:v>
                </c:pt>
                <c:pt idx="226">
                  <c:v>78.239999999999995</c:v>
                </c:pt>
                <c:pt idx="227">
                  <c:v>98.98</c:v>
                </c:pt>
                <c:pt idx="228">
                  <c:v>92.93</c:v>
                </c:pt>
                <c:pt idx="229">
                  <c:v>81.459999999999994</c:v>
                </c:pt>
                <c:pt idx="230">
                  <c:v>92.53</c:v>
                </c:pt>
                <c:pt idx="231">
                  <c:v>88.92</c:v>
                </c:pt>
                <c:pt idx="232">
                  <c:v>73.75</c:v>
                </c:pt>
                <c:pt idx="233">
                  <c:v>79.930000000000007</c:v>
                </c:pt>
                <c:pt idx="234">
                  <c:v>76.33</c:v>
                </c:pt>
                <c:pt idx="235">
                  <c:v>91.52</c:v>
                </c:pt>
                <c:pt idx="236">
                  <c:v>106.3</c:v>
                </c:pt>
                <c:pt idx="237">
                  <c:v>111.29</c:v>
                </c:pt>
                <c:pt idx="238">
                  <c:v>100.92</c:v>
                </c:pt>
                <c:pt idx="239">
                  <c:v>94.05</c:v>
                </c:pt>
                <c:pt idx="240">
                  <c:v>75.910000000000025</c:v>
                </c:pt>
                <c:pt idx="241">
                  <c:v>70.59</c:v>
                </c:pt>
                <c:pt idx="242">
                  <c:v>69.73</c:v>
                </c:pt>
                <c:pt idx="243">
                  <c:v>96.45</c:v>
                </c:pt>
                <c:pt idx="244">
                  <c:v>108.06</c:v>
                </c:pt>
                <c:pt idx="245">
                  <c:v>107.36</c:v>
                </c:pt>
                <c:pt idx="246">
                  <c:v>81.25</c:v>
                </c:pt>
                <c:pt idx="247">
                  <c:v>67.69</c:v>
                </c:pt>
                <c:pt idx="248">
                  <c:v>92.31</c:v>
                </c:pt>
                <c:pt idx="249">
                  <c:v>100.39</c:v>
                </c:pt>
                <c:pt idx="250">
                  <c:v>82.01</c:v>
                </c:pt>
                <c:pt idx="251">
                  <c:v>106.94000000000005</c:v>
                </c:pt>
                <c:pt idx="252">
                  <c:v>87.08</c:v>
                </c:pt>
                <c:pt idx="253">
                  <c:v>93.92</c:v>
                </c:pt>
                <c:pt idx="254">
                  <c:v>95.19</c:v>
                </c:pt>
                <c:pt idx="255">
                  <c:v>91.45</c:v>
                </c:pt>
                <c:pt idx="256">
                  <c:v>95.86</c:v>
                </c:pt>
                <c:pt idx="257">
                  <c:v>98.66</c:v>
                </c:pt>
                <c:pt idx="258">
                  <c:v>98.16</c:v>
                </c:pt>
                <c:pt idx="259">
                  <c:v>93.77</c:v>
                </c:pt>
                <c:pt idx="260">
                  <c:v>92.26</c:v>
                </c:pt>
                <c:pt idx="261">
                  <c:v>92.26</c:v>
                </c:pt>
                <c:pt idx="262">
                  <c:v>84.960000000000022</c:v>
                </c:pt>
                <c:pt idx="263">
                  <c:v>73.260000000000005</c:v>
                </c:pt>
                <c:pt idx="264">
                  <c:v>66.28</c:v>
                </c:pt>
                <c:pt idx="265">
                  <c:v>73.649999999999991</c:v>
                </c:pt>
                <c:pt idx="266">
                  <c:v>80.47</c:v>
                </c:pt>
                <c:pt idx="267">
                  <c:v>87.06</c:v>
                </c:pt>
                <c:pt idx="268">
                  <c:v>77.31</c:v>
                </c:pt>
                <c:pt idx="269">
                  <c:v>77.239999999999995</c:v>
                </c:pt>
                <c:pt idx="270">
                  <c:v>67.27</c:v>
                </c:pt>
                <c:pt idx="271">
                  <c:v>69.149999999999991</c:v>
                </c:pt>
                <c:pt idx="272">
                  <c:v>79.510000000000005</c:v>
                </c:pt>
                <c:pt idx="273">
                  <c:v>74.209999999999994</c:v>
                </c:pt>
                <c:pt idx="274">
                  <c:v>72.22</c:v>
                </c:pt>
                <c:pt idx="275">
                  <c:v>82.42</c:v>
                </c:pt>
                <c:pt idx="276">
                  <c:v>80.599999999999994</c:v>
                </c:pt>
                <c:pt idx="277">
                  <c:v>83.11999999999999</c:v>
                </c:pt>
                <c:pt idx="278">
                  <c:v>73.08</c:v>
                </c:pt>
                <c:pt idx="279">
                  <c:v>55.120000000000012</c:v>
                </c:pt>
                <c:pt idx="280">
                  <c:v>59.91</c:v>
                </c:pt>
                <c:pt idx="281">
                  <c:v>60.95</c:v>
                </c:pt>
                <c:pt idx="282">
                  <c:v>69.459999999999994</c:v>
                </c:pt>
                <c:pt idx="283">
                  <c:v>81.760000000000005</c:v>
                </c:pt>
                <c:pt idx="284">
                  <c:v>77.39</c:v>
                </c:pt>
                <c:pt idx="285">
                  <c:v>73.45</c:v>
                </c:pt>
                <c:pt idx="286">
                  <c:v>69.410000000000025</c:v>
                </c:pt>
                <c:pt idx="287">
                  <c:v>56.75</c:v>
                </c:pt>
                <c:pt idx="288">
                  <c:v>66.83</c:v>
                </c:pt>
                <c:pt idx="289">
                  <c:v>79.22</c:v>
                </c:pt>
                <c:pt idx="290">
                  <c:v>89.92</c:v>
                </c:pt>
                <c:pt idx="291">
                  <c:v>74.069999999999993</c:v>
                </c:pt>
                <c:pt idx="292">
                  <c:v>83.23</c:v>
                </c:pt>
                <c:pt idx="293">
                  <c:v>67.649999999999991</c:v>
                </c:pt>
                <c:pt idx="294">
                  <c:v>67.760000000000005</c:v>
                </c:pt>
                <c:pt idx="295">
                  <c:v>59.3</c:v>
                </c:pt>
                <c:pt idx="296">
                  <c:v>75.290000000000006</c:v>
                </c:pt>
                <c:pt idx="297">
                  <c:v>50.660000000000011</c:v>
                </c:pt>
                <c:pt idx="298">
                  <c:v>41.63</c:v>
                </c:pt>
                <c:pt idx="299">
                  <c:v>#N/A</c:v>
                </c:pt>
                <c:pt idx="300">
                  <c:v>44.160000000000011</c:v>
                </c:pt>
                <c:pt idx="301">
                  <c:v>51.84</c:v>
                </c:pt>
                <c:pt idx="302">
                  <c:v>58.71</c:v>
                </c:pt>
                <c:pt idx="303">
                  <c:v>62.17</c:v>
                </c:pt>
                <c:pt idx="304">
                  <c:v>63.98</c:v>
                </c:pt>
                <c:pt idx="305">
                  <c:v>54.38</c:v>
                </c:pt>
                <c:pt idx="306">
                  <c:v>40.57</c:v>
                </c:pt>
                <c:pt idx="307">
                  <c:v>42.2</c:v>
                </c:pt>
                <c:pt idx="308">
                  <c:v>49.13</c:v>
                </c:pt>
                <c:pt idx="309">
                  <c:v>54.97</c:v>
                </c:pt>
                <c:pt idx="310">
                  <c:v>36.42</c:v>
                </c:pt>
                <c:pt idx="311">
                  <c:v>26.810000000000013</c:v>
                </c:pt>
                <c:pt idx="312">
                  <c:v>30.72</c:v>
                </c:pt>
                <c:pt idx="313">
                  <c:v>35.720000000000013</c:v>
                </c:pt>
                <c:pt idx="314">
                  <c:v>44.6</c:v>
                </c:pt>
                <c:pt idx="315">
                  <c:v>51.260000000000012</c:v>
                </c:pt>
                <c:pt idx="316">
                  <c:v>61.47</c:v>
                </c:pt>
                <c:pt idx="317">
                  <c:v>55.58</c:v>
                </c:pt>
                <c:pt idx="318">
                  <c:v>36.410000000000004</c:v>
                </c:pt>
                <c:pt idx="319">
                  <c:v>33.25</c:v>
                </c:pt>
                <c:pt idx="320">
                  <c:v>31.88</c:v>
                </c:pt>
                <c:pt idx="321">
                  <c:v>24.919999999999987</c:v>
                </c:pt>
                <c:pt idx="322">
                  <c:v>23.830000000000005</c:v>
                </c:pt>
                <c:pt idx="323">
                  <c:v>38.53</c:v>
                </c:pt>
                <c:pt idx="324">
                  <c:v>46.02</c:v>
                </c:pt>
                <c:pt idx="325">
                  <c:v>31.67</c:v>
                </c:pt>
                <c:pt idx="326">
                  <c:v>37.18</c:v>
                </c:pt>
                <c:pt idx="327">
                  <c:v>38.160000000000011</c:v>
                </c:pt>
                <c:pt idx="328">
                  <c:v>47.07</c:v>
                </c:pt>
                <c:pt idx="329">
                  <c:v>49.52</c:v>
                </c:pt>
                <c:pt idx="330">
                  <c:v>29.06</c:v>
                </c:pt>
                <c:pt idx="331">
                  <c:v>31.66</c:v>
                </c:pt>
                <c:pt idx="332">
                  <c:v>40.620000000000012</c:v>
                </c:pt>
                <c:pt idx="333">
                  <c:v>51.51</c:v>
                </c:pt>
                <c:pt idx="334">
                  <c:v>49.04</c:v>
                </c:pt>
                <c:pt idx="335">
                  <c:v>33.300000000000004</c:v>
                </c:pt>
                <c:pt idx="336">
                  <c:v>31.959999999999987</c:v>
                </c:pt>
                <c:pt idx="337">
                  <c:v>32.230000000000011</c:v>
                </c:pt>
                <c:pt idx="338">
                  <c:v>36.21</c:v>
                </c:pt>
                <c:pt idx="339">
                  <c:v>42.160000000000011</c:v>
                </c:pt>
                <c:pt idx="340">
                  <c:v>37.75</c:v>
                </c:pt>
                <c:pt idx="341">
                  <c:v>35.01</c:v>
                </c:pt>
                <c:pt idx="342">
                  <c:v>50.09</c:v>
                </c:pt>
                <c:pt idx="343">
                  <c:v>47.28</c:v>
                </c:pt>
                <c:pt idx="344">
                  <c:v>52.04</c:v>
                </c:pt>
                <c:pt idx="345">
                  <c:v>52.24</c:v>
                </c:pt>
                <c:pt idx="346">
                  <c:v>40.17</c:v>
                </c:pt>
                <c:pt idx="347">
                  <c:v>33.57</c:v>
                </c:pt>
                <c:pt idx="348">
                  <c:v>37.760000000000012</c:v>
                </c:pt>
                <c:pt idx="349">
                  <c:v>53.37</c:v>
                </c:pt>
                <c:pt idx="350">
                  <c:v>46.64</c:v>
                </c:pt>
                <c:pt idx="351">
                  <c:v>59.21</c:v>
                </c:pt>
                <c:pt idx="352">
                  <c:v>46.14</c:v>
                </c:pt>
                <c:pt idx="353">
                  <c:v>52.220000000000013</c:v>
                </c:pt>
                <c:pt idx="354">
                  <c:v>32.950000000000003</c:v>
                </c:pt>
                <c:pt idx="355">
                  <c:v>30.759999999999987</c:v>
                </c:pt>
                <c:pt idx="356">
                  <c:v>61.31</c:v>
                </c:pt>
                <c:pt idx="357">
                  <c:v>43.93</c:v>
                </c:pt>
                <c:pt idx="358">
                  <c:v>43.620000000000012</c:v>
                </c:pt>
                <c:pt idx="359">
                  <c:v>55.43</c:v>
                </c:pt>
                <c:pt idx="360">
                  <c:v>57.620000000000012</c:v>
                </c:pt>
                <c:pt idx="361">
                  <c:v>65.02</c:v>
                </c:pt>
                <c:pt idx="362">
                  <c:v>64.3</c:v>
                </c:pt>
                <c:pt idx="363">
                  <c:v>36.47</c:v>
                </c:pt>
                <c:pt idx="364">
                  <c:v>43.51</c:v>
                </c:pt>
              </c:numCache>
            </c:numRef>
          </c:val>
          <c:smooth val="0"/>
          <c:extLst>
            <c:ext xmlns:c16="http://schemas.microsoft.com/office/drawing/2014/chart" uri="{C3380CC4-5D6E-409C-BE32-E72D297353CC}">
              <c16:uniqueId val="{00000003-D534-4BA7-B9A3-A8B1BD0FCCCB}"/>
            </c:ext>
          </c:extLst>
        </c:ser>
        <c:ser>
          <c:idx val="4"/>
          <c:order val="4"/>
          <c:tx>
            <c:strRef>
              <c:f>Sheet1!$F$1</c:f>
              <c:strCache>
                <c:ptCount val="1"/>
                <c:pt idx="0">
                  <c:v>VT</c:v>
                </c:pt>
              </c:strCache>
            </c:strRef>
          </c:tx>
          <c:spPr>
            <a:ln w="19050" cap="rnd">
              <a:solidFill>
                <a:srgbClr val="FF0000"/>
              </a:solidFill>
              <a:round/>
            </a:ln>
            <a:effectLst/>
          </c:spPr>
          <c:marker>
            <c:symbol val="none"/>
          </c:marker>
          <c:cat>
            <c:strRef>
              <c:f>Sheet1!$A$2:$A$366</c:f>
              <c:strCache>
                <c:ptCount val="365"/>
                <c:pt idx="0">
                  <c:v>2017 01 01</c:v>
                </c:pt>
                <c:pt idx="1">
                  <c:v>2017 01 02</c:v>
                </c:pt>
                <c:pt idx="2">
                  <c:v>2017 01 03</c:v>
                </c:pt>
                <c:pt idx="3">
                  <c:v>2017 01 04</c:v>
                </c:pt>
                <c:pt idx="4">
                  <c:v>2017 01 05</c:v>
                </c:pt>
                <c:pt idx="5">
                  <c:v>2017 01 06</c:v>
                </c:pt>
                <c:pt idx="6">
                  <c:v>2017 01 07</c:v>
                </c:pt>
                <c:pt idx="7">
                  <c:v>2017 01 08</c:v>
                </c:pt>
                <c:pt idx="8">
                  <c:v>2017 01 09</c:v>
                </c:pt>
                <c:pt idx="9">
                  <c:v>2017 01 10</c:v>
                </c:pt>
                <c:pt idx="10">
                  <c:v>2017 01 11</c:v>
                </c:pt>
                <c:pt idx="11">
                  <c:v>2017 01 12</c:v>
                </c:pt>
                <c:pt idx="12">
                  <c:v>2017 01 13</c:v>
                </c:pt>
                <c:pt idx="13">
                  <c:v>2017 01 14</c:v>
                </c:pt>
                <c:pt idx="14">
                  <c:v>2017 01 15</c:v>
                </c:pt>
                <c:pt idx="15">
                  <c:v>2017 01 16</c:v>
                </c:pt>
                <c:pt idx="16">
                  <c:v>2017 01 17</c:v>
                </c:pt>
                <c:pt idx="17">
                  <c:v>2017 01 18</c:v>
                </c:pt>
                <c:pt idx="18">
                  <c:v>2017 01 19</c:v>
                </c:pt>
                <c:pt idx="19">
                  <c:v>2017 01 20</c:v>
                </c:pt>
                <c:pt idx="20">
                  <c:v>2017 01 21</c:v>
                </c:pt>
                <c:pt idx="21">
                  <c:v>2017 01 22</c:v>
                </c:pt>
                <c:pt idx="22">
                  <c:v>2017 01 23</c:v>
                </c:pt>
                <c:pt idx="23">
                  <c:v>2017 01 24</c:v>
                </c:pt>
                <c:pt idx="24">
                  <c:v>2017 01 25</c:v>
                </c:pt>
                <c:pt idx="25">
                  <c:v>2017 01 26</c:v>
                </c:pt>
                <c:pt idx="26">
                  <c:v>2017 01 27</c:v>
                </c:pt>
                <c:pt idx="27">
                  <c:v>2017 01 28</c:v>
                </c:pt>
                <c:pt idx="28">
                  <c:v>2017 01 29</c:v>
                </c:pt>
                <c:pt idx="29">
                  <c:v>2017 01 30</c:v>
                </c:pt>
                <c:pt idx="30">
                  <c:v>2017 01 31</c:v>
                </c:pt>
                <c:pt idx="31">
                  <c:v>2017 02 01</c:v>
                </c:pt>
                <c:pt idx="32">
                  <c:v>2017 02 02</c:v>
                </c:pt>
                <c:pt idx="33">
                  <c:v>2017 02 03</c:v>
                </c:pt>
                <c:pt idx="34">
                  <c:v>2017 02 04</c:v>
                </c:pt>
                <c:pt idx="35">
                  <c:v>2017 02 05</c:v>
                </c:pt>
                <c:pt idx="36">
                  <c:v>2017 02 06</c:v>
                </c:pt>
                <c:pt idx="37">
                  <c:v>2017 02 07</c:v>
                </c:pt>
                <c:pt idx="38">
                  <c:v>2017 02 08</c:v>
                </c:pt>
                <c:pt idx="39">
                  <c:v>2017 02 09</c:v>
                </c:pt>
                <c:pt idx="40">
                  <c:v>2017 02 10</c:v>
                </c:pt>
                <c:pt idx="41">
                  <c:v>2017 02 11</c:v>
                </c:pt>
                <c:pt idx="42">
                  <c:v>2017 02 12</c:v>
                </c:pt>
                <c:pt idx="43">
                  <c:v>2017 02 13</c:v>
                </c:pt>
                <c:pt idx="44">
                  <c:v>2017 02 14</c:v>
                </c:pt>
                <c:pt idx="45">
                  <c:v>2017 02 15</c:v>
                </c:pt>
                <c:pt idx="46">
                  <c:v>2017 02 16</c:v>
                </c:pt>
                <c:pt idx="47">
                  <c:v>2017 02 17</c:v>
                </c:pt>
                <c:pt idx="48">
                  <c:v>2017 02 18</c:v>
                </c:pt>
                <c:pt idx="49">
                  <c:v>2017 02 19</c:v>
                </c:pt>
                <c:pt idx="50">
                  <c:v>2017 02 20</c:v>
                </c:pt>
                <c:pt idx="51">
                  <c:v>2017 02 21</c:v>
                </c:pt>
                <c:pt idx="52">
                  <c:v>2017 02 22</c:v>
                </c:pt>
                <c:pt idx="53">
                  <c:v>2017 02 23</c:v>
                </c:pt>
                <c:pt idx="54">
                  <c:v>2017 02 24</c:v>
                </c:pt>
                <c:pt idx="55">
                  <c:v>2017 02 25</c:v>
                </c:pt>
                <c:pt idx="56">
                  <c:v>2017 02 26</c:v>
                </c:pt>
                <c:pt idx="57">
                  <c:v>2017 02 27</c:v>
                </c:pt>
                <c:pt idx="58">
                  <c:v>2017 02 28</c:v>
                </c:pt>
                <c:pt idx="59">
                  <c:v>2017 03 01</c:v>
                </c:pt>
                <c:pt idx="60">
                  <c:v>2017 03 02</c:v>
                </c:pt>
                <c:pt idx="61">
                  <c:v>2017 03 03</c:v>
                </c:pt>
                <c:pt idx="62">
                  <c:v>2017 03 04</c:v>
                </c:pt>
                <c:pt idx="63">
                  <c:v>2017 03 05</c:v>
                </c:pt>
                <c:pt idx="64">
                  <c:v>2017 03 06</c:v>
                </c:pt>
                <c:pt idx="65">
                  <c:v>2017 03 07</c:v>
                </c:pt>
                <c:pt idx="66">
                  <c:v>2017 03 08</c:v>
                </c:pt>
                <c:pt idx="67">
                  <c:v>2017 03 09</c:v>
                </c:pt>
                <c:pt idx="68">
                  <c:v>2017 03 10</c:v>
                </c:pt>
                <c:pt idx="69">
                  <c:v>2017 03 11</c:v>
                </c:pt>
                <c:pt idx="70">
                  <c:v>2017 03 12</c:v>
                </c:pt>
                <c:pt idx="71">
                  <c:v>2017 03 13</c:v>
                </c:pt>
                <c:pt idx="72">
                  <c:v>2017 03 14</c:v>
                </c:pt>
                <c:pt idx="73">
                  <c:v>2017 03 15</c:v>
                </c:pt>
                <c:pt idx="74">
                  <c:v>2017 03 16</c:v>
                </c:pt>
                <c:pt idx="75">
                  <c:v>2017 03 17</c:v>
                </c:pt>
                <c:pt idx="76">
                  <c:v>2017 03 18</c:v>
                </c:pt>
                <c:pt idx="77">
                  <c:v>2017 03 19</c:v>
                </c:pt>
                <c:pt idx="78">
                  <c:v>2017 03 20</c:v>
                </c:pt>
                <c:pt idx="79">
                  <c:v>2017 03 21</c:v>
                </c:pt>
                <c:pt idx="80">
                  <c:v>2017 03 22</c:v>
                </c:pt>
                <c:pt idx="81">
                  <c:v>2017 03 23</c:v>
                </c:pt>
                <c:pt idx="82">
                  <c:v>2017 03 24</c:v>
                </c:pt>
                <c:pt idx="83">
                  <c:v>2017 03 25</c:v>
                </c:pt>
                <c:pt idx="84">
                  <c:v>2017 03 26</c:v>
                </c:pt>
                <c:pt idx="85">
                  <c:v>2017 03 27</c:v>
                </c:pt>
                <c:pt idx="86">
                  <c:v>2017 03 28</c:v>
                </c:pt>
                <c:pt idx="87">
                  <c:v>2017 03 29</c:v>
                </c:pt>
                <c:pt idx="88">
                  <c:v>2017 03 30</c:v>
                </c:pt>
                <c:pt idx="89">
                  <c:v>2017 03 31</c:v>
                </c:pt>
                <c:pt idx="90">
                  <c:v>2017 04 01</c:v>
                </c:pt>
                <c:pt idx="91">
                  <c:v>2017 04 02</c:v>
                </c:pt>
                <c:pt idx="92">
                  <c:v>2017 04 03</c:v>
                </c:pt>
                <c:pt idx="93">
                  <c:v>2017 04 04</c:v>
                </c:pt>
                <c:pt idx="94">
                  <c:v>2017 04 05</c:v>
                </c:pt>
                <c:pt idx="95">
                  <c:v>2017 04 06</c:v>
                </c:pt>
                <c:pt idx="96">
                  <c:v>2017 04 07</c:v>
                </c:pt>
                <c:pt idx="97">
                  <c:v>2017 04 08</c:v>
                </c:pt>
                <c:pt idx="98">
                  <c:v>2017 04 09</c:v>
                </c:pt>
                <c:pt idx="99">
                  <c:v>2017 04 10</c:v>
                </c:pt>
                <c:pt idx="100">
                  <c:v>2017 04 11</c:v>
                </c:pt>
                <c:pt idx="101">
                  <c:v>2017 04 12</c:v>
                </c:pt>
                <c:pt idx="102">
                  <c:v>2017 04 13</c:v>
                </c:pt>
                <c:pt idx="103">
                  <c:v>2017 04 14</c:v>
                </c:pt>
                <c:pt idx="104">
                  <c:v>2017 04 15</c:v>
                </c:pt>
                <c:pt idx="105">
                  <c:v>2017 04 16</c:v>
                </c:pt>
                <c:pt idx="106">
                  <c:v>2017 04 17</c:v>
                </c:pt>
                <c:pt idx="107">
                  <c:v>2017 04 18</c:v>
                </c:pt>
                <c:pt idx="108">
                  <c:v>2017 04 19</c:v>
                </c:pt>
                <c:pt idx="109">
                  <c:v>2017 04 20</c:v>
                </c:pt>
                <c:pt idx="110">
                  <c:v>2017 04 21</c:v>
                </c:pt>
                <c:pt idx="111">
                  <c:v>2017 04 22</c:v>
                </c:pt>
                <c:pt idx="112">
                  <c:v>2017 04 23</c:v>
                </c:pt>
                <c:pt idx="113">
                  <c:v>2017 04 24</c:v>
                </c:pt>
                <c:pt idx="114">
                  <c:v>2017 04 25</c:v>
                </c:pt>
                <c:pt idx="115">
                  <c:v>2017 04 26</c:v>
                </c:pt>
                <c:pt idx="116">
                  <c:v>2017 04 27</c:v>
                </c:pt>
                <c:pt idx="117">
                  <c:v>2017 04 28</c:v>
                </c:pt>
                <c:pt idx="118">
                  <c:v>2017 04 29</c:v>
                </c:pt>
                <c:pt idx="119">
                  <c:v>2017 04 30</c:v>
                </c:pt>
                <c:pt idx="120">
                  <c:v>2017 05 01</c:v>
                </c:pt>
                <c:pt idx="121">
                  <c:v>2017 05 02</c:v>
                </c:pt>
                <c:pt idx="122">
                  <c:v>2017 05 03</c:v>
                </c:pt>
                <c:pt idx="123">
                  <c:v>2017 05 04</c:v>
                </c:pt>
                <c:pt idx="124">
                  <c:v>2017 05 05</c:v>
                </c:pt>
                <c:pt idx="125">
                  <c:v>2017 05 06</c:v>
                </c:pt>
                <c:pt idx="126">
                  <c:v>2017 05 07</c:v>
                </c:pt>
                <c:pt idx="127">
                  <c:v>2017 05 08</c:v>
                </c:pt>
                <c:pt idx="128">
                  <c:v>2017 05 09</c:v>
                </c:pt>
                <c:pt idx="129">
                  <c:v>2017 05 10</c:v>
                </c:pt>
                <c:pt idx="130">
                  <c:v>2017 05 11</c:v>
                </c:pt>
                <c:pt idx="131">
                  <c:v>2017 05 12</c:v>
                </c:pt>
                <c:pt idx="132">
                  <c:v>2017 05 13</c:v>
                </c:pt>
                <c:pt idx="133">
                  <c:v>2017 05 14</c:v>
                </c:pt>
                <c:pt idx="134">
                  <c:v>2017 05 15</c:v>
                </c:pt>
                <c:pt idx="135">
                  <c:v>2017 05 16</c:v>
                </c:pt>
                <c:pt idx="136">
                  <c:v>2017 05 17</c:v>
                </c:pt>
                <c:pt idx="137">
                  <c:v>2017 05 18</c:v>
                </c:pt>
                <c:pt idx="138">
                  <c:v>2017 05 19</c:v>
                </c:pt>
                <c:pt idx="139">
                  <c:v>2017 05 20</c:v>
                </c:pt>
                <c:pt idx="140">
                  <c:v>2017 05 21</c:v>
                </c:pt>
                <c:pt idx="141">
                  <c:v>2017 05 22</c:v>
                </c:pt>
                <c:pt idx="142">
                  <c:v>2017 05 23</c:v>
                </c:pt>
                <c:pt idx="143">
                  <c:v>2017 05 24</c:v>
                </c:pt>
                <c:pt idx="144">
                  <c:v>2017 05 25</c:v>
                </c:pt>
                <c:pt idx="145">
                  <c:v>2017 05 26</c:v>
                </c:pt>
                <c:pt idx="146">
                  <c:v>2017 05 27</c:v>
                </c:pt>
                <c:pt idx="147">
                  <c:v>2017 05 28</c:v>
                </c:pt>
                <c:pt idx="148">
                  <c:v>2017 05 29</c:v>
                </c:pt>
                <c:pt idx="149">
                  <c:v>2017 05 30</c:v>
                </c:pt>
                <c:pt idx="150">
                  <c:v>2017 05 31</c:v>
                </c:pt>
                <c:pt idx="151">
                  <c:v>2017 06 01</c:v>
                </c:pt>
                <c:pt idx="152">
                  <c:v>2017 06 02</c:v>
                </c:pt>
                <c:pt idx="153">
                  <c:v>2017 06 03</c:v>
                </c:pt>
                <c:pt idx="154">
                  <c:v>2017 06 04</c:v>
                </c:pt>
                <c:pt idx="155">
                  <c:v>2017 06 05</c:v>
                </c:pt>
                <c:pt idx="156">
                  <c:v>2017 06 06</c:v>
                </c:pt>
                <c:pt idx="157">
                  <c:v>2017 06 07</c:v>
                </c:pt>
                <c:pt idx="158">
                  <c:v>2017 06 08</c:v>
                </c:pt>
                <c:pt idx="159">
                  <c:v>2017 06 09</c:v>
                </c:pt>
                <c:pt idx="160">
                  <c:v>2017 06 10</c:v>
                </c:pt>
                <c:pt idx="161">
                  <c:v>2017 06 11</c:v>
                </c:pt>
                <c:pt idx="162">
                  <c:v>2017 06 12</c:v>
                </c:pt>
                <c:pt idx="163">
                  <c:v>2017 06 13</c:v>
                </c:pt>
                <c:pt idx="164">
                  <c:v>2017 06 14</c:v>
                </c:pt>
                <c:pt idx="165">
                  <c:v>2017 06 15</c:v>
                </c:pt>
                <c:pt idx="166">
                  <c:v>2017 06 16</c:v>
                </c:pt>
                <c:pt idx="167">
                  <c:v>2017 06 17</c:v>
                </c:pt>
                <c:pt idx="168">
                  <c:v>2017 06 18</c:v>
                </c:pt>
                <c:pt idx="169">
                  <c:v>2017 06 19</c:v>
                </c:pt>
                <c:pt idx="170">
                  <c:v>2017 06 20</c:v>
                </c:pt>
                <c:pt idx="171">
                  <c:v>2017 06 21</c:v>
                </c:pt>
                <c:pt idx="172">
                  <c:v>2017 06 22</c:v>
                </c:pt>
                <c:pt idx="173">
                  <c:v>2017 06 23</c:v>
                </c:pt>
                <c:pt idx="174">
                  <c:v>2017 06 24</c:v>
                </c:pt>
                <c:pt idx="175">
                  <c:v>2017 06 25</c:v>
                </c:pt>
                <c:pt idx="176">
                  <c:v>2017 06 26</c:v>
                </c:pt>
                <c:pt idx="177">
                  <c:v>2017 06 27</c:v>
                </c:pt>
                <c:pt idx="178">
                  <c:v>2017 06 28</c:v>
                </c:pt>
                <c:pt idx="179">
                  <c:v>2017 06 29</c:v>
                </c:pt>
                <c:pt idx="180">
                  <c:v>2017 06 30</c:v>
                </c:pt>
                <c:pt idx="181">
                  <c:v>2017 07 01</c:v>
                </c:pt>
                <c:pt idx="182">
                  <c:v>2017 07 02</c:v>
                </c:pt>
                <c:pt idx="183">
                  <c:v>2017 07 03</c:v>
                </c:pt>
                <c:pt idx="184">
                  <c:v>2017 07 04</c:v>
                </c:pt>
                <c:pt idx="185">
                  <c:v>2017 07 05</c:v>
                </c:pt>
                <c:pt idx="186">
                  <c:v>2017 07 06</c:v>
                </c:pt>
                <c:pt idx="187">
                  <c:v>2017 07 07</c:v>
                </c:pt>
                <c:pt idx="188">
                  <c:v>2017 07 08</c:v>
                </c:pt>
                <c:pt idx="189">
                  <c:v>2017 07 09</c:v>
                </c:pt>
                <c:pt idx="190">
                  <c:v>2017 07 10</c:v>
                </c:pt>
                <c:pt idx="191">
                  <c:v>2017 07 11</c:v>
                </c:pt>
                <c:pt idx="192">
                  <c:v>2017 07 12</c:v>
                </c:pt>
                <c:pt idx="193">
                  <c:v>2017 07 13</c:v>
                </c:pt>
                <c:pt idx="194">
                  <c:v>2017 07 14</c:v>
                </c:pt>
                <c:pt idx="195">
                  <c:v>2017 07 15</c:v>
                </c:pt>
                <c:pt idx="196">
                  <c:v>2017 07 16</c:v>
                </c:pt>
                <c:pt idx="197">
                  <c:v>2017 07 17</c:v>
                </c:pt>
                <c:pt idx="198">
                  <c:v>2017 07 18</c:v>
                </c:pt>
                <c:pt idx="199">
                  <c:v>2017 07 19</c:v>
                </c:pt>
                <c:pt idx="200">
                  <c:v>2017 07 20</c:v>
                </c:pt>
                <c:pt idx="201">
                  <c:v>2017 07 21</c:v>
                </c:pt>
                <c:pt idx="202">
                  <c:v>2017 07 22</c:v>
                </c:pt>
                <c:pt idx="203">
                  <c:v>2017 07 23</c:v>
                </c:pt>
                <c:pt idx="204">
                  <c:v>2017 07 24</c:v>
                </c:pt>
                <c:pt idx="205">
                  <c:v>2017 07 25</c:v>
                </c:pt>
                <c:pt idx="206">
                  <c:v>2017 07 26</c:v>
                </c:pt>
                <c:pt idx="207">
                  <c:v>2017 07 27</c:v>
                </c:pt>
                <c:pt idx="208">
                  <c:v>2017 07 28</c:v>
                </c:pt>
                <c:pt idx="209">
                  <c:v>2017 07 29</c:v>
                </c:pt>
                <c:pt idx="210">
                  <c:v>2017 07 30</c:v>
                </c:pt>
                <c:pt idx="211">
                  <c:v>2017 07 31</c:v>
                </c:pt>
                <c:pt idx="212">
                  <c:v>2017 08 01</c:v>
                </c:pt>
                <c:pt idx="213">
                  <c:v>2017 08 02</c:v>
                </c:pt>
                <c:pt idx="214">
                  <c:v>2017 08 03</c:v>
                </c:pt>
                <c:pt idx="215">
                  <c:v>2017 08 04</c:v>
                </c:pt>
                <c:pt idx="216">
                  <c:v>2017 08 05</c:v>
                </c:pt>
                <c:pt idx="217">
                  <c:v>2017 08 06</c:v>
                </c:pt>
                <c:pt idx="218">
                  <c:v>2017 08 07</c:v>
                </c:pt>
                <c:pt idx="219">
                  <c:v>2017 08 08</c:v>
                </c:pt>
                <c:pt idx="220">
                  <c:v>2017 08 09</c:v>
                </c:pt>
                <c:pt idx="221">
                  <c:v>2017 08 10</c:v>
                </c:pt>
                <c:pt idx="222">
                  <c:v>2017 08 11</c:v>
                </c:pt>
                <c:pt idx="223">
                  <c:v>2017 08 12</c:v>
                </c:pt>
                <c:pt idx="224">
                  <c:v>2017 08 13</c:v>
                </c:pt>
                <c:pt idx="225">
                  <c:v>2017 08 14</c:v>
                </c:pt>
                <c:pt idx="226">
                  <c:v>2017 08 15</c:v>
                </c:pt>
                <c:pt idx="227">
                  <c:v>2017 08 16</c:v>
                </c:pt>
                <c:pt idx="228">
                  <c:v>2017 08 17</c:v>
                </c:pt>
                <c:pt idx="229">
                  <c:v>2017 08 18</c:v>
                </c:pt>
                <c:pt idx="230">
                  <c:v>2017 08 19</c:v>
                </c:pt>
                <c:pt idx="231">
                  <c:v>2017 08 20</c:v>
                </c:pt>
                <c:pt idx="232">
                  <c:v>2017 08 21</c:v>
                </c:pt>
                <c:pt idx="233">
                  <c:v>2017 08 22</c:v>
                </c:pt>
                <c:pt idx="234">
                  <c:v>2017 08 23</c:v>
                </c:pt>
                <c:pt idx="235">
                  <c:v>2017 08 24</c:v>
                </c:pt>
                <c:pt idx="236">
                  <c:v>2017 08 25</c:v>
                </c:pt>
                <c:pt idx="237">
                  <c:v>2017 08 26</c:v>
                </c:pt>
                <c:pt idx="238">
                  <c:v>2017 08 27</c:v>
                </c:pt>
                <c:pt idx="239">
                  <c:v>2017 08 28</c:v>
                </c:pt>
                <c:pt idx="240">
                  <c:v>2017 08 29</c:v>
                </c:pt>
                <c:pt idx="241">
                  <c:v>2017 08 30</c:v>
                </c:pt>
                <c:pt idx="242">
                  <c:v>2017 08 31</c:v>
                </c:pt>
                <c:pt idx="243">
                  <c:v>2017 09 01</c:v>
                </c:pt>
                <c:pt idx="244">
                  <c:v>2017 09 02</c:v>
                </c:pt>
                <c:pt idx="245">
                  <c:v>2017 09 03</c:v>
                </c:pt>
                <c:pt idx="246">
                  <c:v>2017 09 04</c:v>
                </c:pt>
                <c:pt idx="247">
                  <c:v>2017 09 05</c:v>
                </c:pt>
                <c:pt idx="248">
                  <c:v>2017 09 06</c:v>
                </c:pt>
                <c:pt idx="249">
                  <c:v>2017 09 07</c:v>
                </c:pt>
                <c:pt idx="250">
                  <c:v>2017 09 08</c:v>
                </c:pt>
                <c:pt idx="251">
                  <c:v>2017 09 09</c:v>
                </c:pt>
                <c:pt idx="252">
                  <c:v>2017 09 10</c:v>
                </c:pt>
                <c:pt idx="253">
                  <c:v>2017 09 11</c:v>
                </c:pt>
                <c:pt idx="254">
                  <c:v>2017 09 12</c:v>
                </c:pt>
                <c:pt idx="255">
                  <c:v>2017 09 13</c:v>
                </c:pt>
                <c:pt idx="256">
                  <c:v>2017 09 14</c:v>
                </c:pt>
                <c:pt idx="257">
                  <c:v>2017 09 15</c:v>
                </c:pt>
                <c:pt idx="258">
                  <c:v>2017 09 16</c:v>
                </c:pt>
                <c:pt idx="259">
                  <c:v>2017 09 17</c:v>
                </c:pt>
                <c:pt idx="260">
                  <c:v>2017 09 18</c:v>
                </c:pt>
                <c:pt idx="261">
                  <c:v>2017 09 19</c:v>
                </c:pt>
                <c:pt idx="262">
                  <c:v>2017 09 20</c:v>
                </c:pt>
                <c:pt idx="263">
                  <c:v>2017 09 21</c:v>
                </c:pt>
                <c:pt idx="264">
                  <c:v>2017 09 22</c:v>
                </c:pt>
                <c:pt idx="265">
                  <c:v>2017 09 23</c:v>
                </c:pt>
                <c:pt idx="266">
                  <c:v>2017 09 24</c:v>
                </c:pt>
                <c:pt idx="267">
                  <c:v>2017 09 25</c:v>
                </c:pt>
                <c:pt idx="268">
                  <c:v>2017 09 26</c:v>
                </c:pt>
                <c:pt idx="269">
                  <c:v>2017 09 27</c:v>
                </c:pt>
                <c:pt idx="270">
                  <c:v>2017 09 28</c:v>
                </c:pt>
                <c:pt idx="271">
                  <c:v>2017 09 29</c:v>
                </c:pt>
                <c:pt idx="272">
                  <c:v>2017 09 30</c:v>
                </c:pt>
                <c:pt idx="273">
                  <c:v>2017 10 01</c:v>
                </c:pt>
                <c:pt idx="274">
                  <c:v>2017 10 02</c:v>
                </c:pt>
                <c:pt idx="275">
                  <c:v>2017 10 03</c:v>
                </c:pt>
                <c:pt idx="276">
                  <c:v>2017 10 04</c:v>
                </c:pt>
                <c:pt idx="277">
                  <c:v>2017 10 05</c:v>
                </c:pt>
                <c:pt idx="278">
                  <c:v>2017 10 06</c:v>
                </c:pt>
                <c:pt idx="279">
                  <c:v>2017 10 07</c:v>
                </c:pt>
                <c:pt idx="280">
                  <c:v>2017 10 08</c:v>
                </c:pt>
                <c:pt idx="281">
                  <c:v>2017 10 09</c:v>
                </c:pt>
                <c:pt idx="282">
                  <c:v>2017 10 10</c:v>
                </c:pt>
                <c:pt idx="283">
                  <c:v>2017 10 11</c:v>
                </c:pt>
                <c:pt idx="284">
                  <c:v>2017 10 12</c:v>
                </c:pt>
                <c:pt idx="285">
                  <c:v>2017 10 13</c:v>
                </c:pt>
                <c:pt idx="286">
                  <c:v>2017 10 14</c:v>
                </c:pt>
                <c:pt idx="287">
                  <c:v>2017 10 15</c:v>
                </c:pt>
                <c:pt idx="288">
                  <c:v>2017 10 16</c:v>
                </c:pt>
                <c:pt idx="289">
                  <c:v>2017 10 17</c:v>
                </c:pt>
                <c:pt idx="290">
                  <c:v>2017 10 18</c:v>
                </c:pt>
                <c:pt idx="291">
                  <c:v>2017 10 19</c:v>
                </c:pt>
                <c:pt idx="292">
                  <c:v>2017 10 20</c:v>
                </c:pt>
                <c:pt idx="293">
                  <c:v>2017 10 21</c:v>
                </c:pt>
                <c:pt idx="294">
                  <c:v>2017 10 22</c:v>
                </c:pt>
                <c:pt idx="295">
                  <c:v>2017 10 23</c:v>
                </c:pt>
                <c:pt idx="296">
                  <c:v>2017 10 24</c:v>
                </c:pt>
                <c:pt idx="297">
                  <c:v>2017 10 25</c:v>
                </c:pt>
                <c:pt idx="298">
                  <c:v>2017 10 26</c:v>
                </c:pt>
                <c:pt idx="299">
                  <c:v>2017 10 27</c:v>
                </c:pt>
                <c:pt idx="300">
                  <c:v>2017 10 28</c:v>
                </c:pt>
                <c:pt idx="301">
                  <c:v>2017 10 29</c:v>
                </c:pt>
                <c:pt idx="302">
                  <c:v>2017 10 30</c:v>
                </c:pt>
                <c:pt idx="303">
                  <c:v>2017 10 31</c:v>
                </c:pt>
                <c:pt idx="304">
                  <c:v>2017 11 01</c:v>
                </c:pt>
                <c:pt idx="305">
                  <c:v>2017 11 02</c:v>
                </c:pt>
                <c:pt idx="306">
                  <c:v>2017 11 03</c:v>
                </c:pt>
                <c:pt idx="307">
                  <c:v>2017 11 04</c:v>
                </c:pt>
                <c:pt idx="308">
                  <c:v>2017 11 05</c:v>
                </c:pt>
                <c:pt idx="309">
                  <c:v>2017 11 06</c:v>
                </c:pt>
                <c:pt idx="310">
                  <c:v>2017 11 07</c:v>
                </c:pt>
                <c:pt idx="311">
                  <c:v>2017 11 08</c:v>
                </c:pt>
                <c:pt idx="312">
                  <c:v>2017 11 09</c:v>
                </c:pt>
                <c:pt idx="313">
                  <c:v>2017 11 10</c:v>
                </c:pt>
                <c:pt idx="314">
                  <c:v>2017 11 11</c:v>
                </c:pt>
                <c:pt idx="315">
                  <c:v>2017 11 12</c:v>
                </c:pt>
                <c:pt idx="316">
                  <c:v>2017 11 13</c:v>
                </c:pt>
                <c:pt idx="317">
                  <c:v>2017 11 14</c:v>
                </c:pt>
                <c:pt idx="318">
                  <c:v>2017 11 15</c:v>
                </c:pt>
                <c:pt idx="319">
                  <c:v>2017 11 16</c:v>
                </c:pt>
                <c:pt idx="320">
                  <c:v>2017 11 17</c:v>
                </c:pt>
                <c:pt idx="321">
                  <c:v>2017 11 18</c:v>
                </c:pt>
                <c:pt idx="322">
                  <c:v>2017 11 19</c:v>
                </c:pt>
                <c:pt idx="323">
                  <c:v>2017 11 20</c:v>
                </c:pt>
                <c:pt idx="324">
                  <c:v>2017 11 21</c:v>
                </c:pt>
                <c:pt idx="325">
                  <c:v>2017 11 22</c:v>
                </c:pt>
                <c:pt idx="326">
                  <c:v>2017 11 23</c:v>
                </c:pt>
                <c:pt idx="327">
                  <c:v>2017 11 24</c:v>
                </c:pt>
                <c:pt idx="328">
                  <c:v>2017 11 25</c:v>
                </c:pt>
                <c:pt idx="329">
                  <c:v>2017 11 26</c:v>
                </c:pt>
                <c:pt idx="330">
                  <c:v>2017 11 27</c:v>
                </c:pt>
                <c:pt idx="331">
                  <c:v>2017 11 28</c:v>
                </c:pt>
                <c:pt idx="332">
                  <c:v>2017 11 29</c:v>
                </c:pt>
                <c:pt idx="333">
                  <c:v>2017 11 30</c:v>
                </c:pt>
                <c:pt idx="334">
                  <c:v>2017 12 01</c:v>
                </c:pt>
                <c:pt idx="335">
                  <c:v>2017 12 02</c:v>
                </c:pt>
                <c:pt idx="336">
                  <c:v>2017 12 03</c:v>
                </c:pt>
                <c:pt idx="337">
                  <c:v>2017 12 04</c:v>
                </c:pt>
                <c:pt idx="338">
                  <c:v>2017 12 05</c:v>
                </c:pt>
                <c:pt idx="339">
                  <c:v>2017 12 06</c:v>
                </c:pt>
                <c:pt idx="340">
                  <c:v>2017 12 07</c:v>
                </c:pt>
                <c:pt idx="341">
                  <c:v>2017 12 08</c:v>
                </c:pt>
                <c:pt idx="342">
                  <c:v>2017 12 09</c:v>
                </c:pt>
                <c:pt idx="343">
                  <c:v>2017 12 10</c:v>
                </c:pt>
                <c:pt idx="344">
                  <c:v>2017 12 11</c:v>
                </c:pt>
                <c:pt idx="345">
                  <c:v>2017 12 12</c:v>
                </c:pt>
                <c:pt idx="346">
                  <c:v>2017 12 13</c:v>
                </c:pt>
                <c:pt idx="347">
                  <c:v>2017 12 14</c:v>
                </c:pt>
                <c:pt idx="348">
                  <c:v>2017 12 15</c:v>
                </c:pt>
                <c:pt idx="349">
                  <c:v>2017 12 16</c:v>
                </c:pt>
                <c:pt idx="350">
                  <c:v>2017 12 17</c:v>
                </c:pt>
                <c:pt idx="351">
                  <c:v>2017 12 18</c:v>
                </c:pt>
                <c:pt idx="352">
                  <c:v>2017 12 19</c:v>
                </c:pt>
                <c:pt idx="353">
                  <c:v>2017 12 20</c:v>
                </c:pt>
                <c:pt idx="354">
                  <c:v>2017 12 21</c:v>
                </c:pt>
                <c:pt idx="355">
                  <c:v>2017 12 22</c:v>
                </c:pt>
                <c:pt idx="356">
                  <c:v>2017 12 23</c:v>
                </c:pt>
                <c:pt idx="357">
                  <c:v>2017 12 24</c:v>
                </c:pt>
                <c:pt idx="358">
                  <c:v>2017 12 25</c:v>
                </c:pt>
                <c:pt idx="359">
                  <c:v>2017 12 26</c:v>
                </c:pt>
                <c:pt idx="360">
                  <c:v>2017 12 27</c:v>
                </c:pt>
                <c:pt idx="361">
                  <c:v>2017 12 28</c:v>
                </c:pt>
                <c:pt idx="362">
                  <c:v>2017 12 29</c:v>
                </c:pt>
                <c:pt idx="363">
                  <c:v>2017 12 30</c:v>
                </c:pt>
                <c:pt idx="364">
                  <c:v>2017 12 31</c:v>
                </c:pt>
              </c:strCache>
            </c:strRef>
          </c:cat>
          <c:val>
            <c:numRef>
              <c:f>Sheet1!$F$2:$F$366</c:f>
              <c:numCache>
                <c:formatCode>General</c:formatCode>
                <c:ptCount val="365"/>
                <c:pt idx="0">
                  <c:v>120</c:v>
                </c:pt>
                <c:pt idx="1">
                  <c:v>120</c:v>
                </c:pt>
                <c:pt idx="2">
                  <c:v>120</c:v>
                </c:pt>
                <c:pt idx="3">
                  <c:v>120</c:v>
                </c:pt>
                <c:pt idx="4">
                  <c:v>120</c:v>
                </c:pt>
                <c:pt idx="5">
                  <c:v>120</c:v>
                </c:pt>
                <c:pt idx="6">
                  <c:v>120</c:v>
                </c:pt>
                <c:pt idx="7">
                  <c:v>120</c:v>
                </c:pt>
                <c:pt idx="8">
                  <c:v>120</c:v>
                </c:pt>
                <c:pt idx="9">
                  <c:v>120</c:v>
                </c:pt>
                <c:pt idx="10">
                  <c:v>120</c:v>
                </c:pt>
                <c:pt idx="11">
                  <c:v>120</c:v>
                </c:pt>
                <c:pt idx="12">
                  <c:v>120</c:v>
                </c:pt>
                <c:pt idx="13">
                  <c:v>120</c:v>
                </c:pt>
                <c:pt idx="14">
                  <c:v>120</c:v>
                </c:pt>
                <c:pt idx="15">
                  <c:v>120</c:v>
                </c:pt>
                <c:pt idx="16">
                  <c:v>120</c:v>
                </c:pt>
                <c:pt idx="17">
                  <c:v>120</c:v>
                </c:pt>
                <c:pt idx="18">
                  <c:v>120</c:v>
                </c:pt>
                <c:pt idx="19">
                  <c:v>120</c:v>
                </c:pt>
                <c:pt idx="20">
                  <c:v>120</c:v>
                </c:pt>
                <c:pt idx="21">
                  <c:v>120</c:v>
                </c:pt>
                <c:pt idx="22">
                  <c:v>120</c:v>
                </c:pt>
                <c:pt idx="23">
                  <c:v>120</c:v>
                </c:pt>
                <c:pt idx="24">
                  <c:v>120</c:v>
                </c:pt>
                <c:pt idx="25">
                  <c:v>120</c:v>
                </c:pt>
                <c:pt idx="26">
                  <c:v>120</c:v>
                </c:pt>
                <c:pt idx="27">
                  <c:v>120</c:v>
                </c:pt>
                <c:pt idx="28">
                  <c:v>120</c:v>
                </c:pt>
                <c:pt idx="29">
                  <c:v>120</c:v>
                </c:pt>
                <c:pt idx="30">
                  <c:v>120</c:v>
                </c:pt>
                <c:pt idx="31">
                  <c:v>120</c:v>
                </c:pt>
                <c:pt idx="32">
                  <c:v>120</c:v>
                </c:pt>
                <c:pt idx="33">
                  <c:v>120</c:v>
                </c:pt>
                <c:pt idx="34">
                  <c:v>120</c:v>
                </c:pt>
                <c:pt idx="35">
                  <c:v>120</c:v>
                </c:pt>
                <c:pt idx="36">
                  <c:v>120</c:v>
                </c:pt>
                <c:pt idx="37">
                  <c:v>120</c:v>
                </c:pt>
                <c:pt idx="38">
                  <c:v>120</c:v>
                </c:pt>
                <c:pt idx="39">
                  <c:v>120</c:v>
                </c:pt>
                <c:pt idx="40">
                  <c:v>120</c:v>
                </c:pt>
                <c:pt idx="41">
                  <c:v>120</c:v>
                </c:pt>
                <c:pt idx="42">
                  <c:v>120</c:v>
                </c:pt>
                <c:pt idx="43">
                  <c:v>120</c:v>
                </c:pt>
                <c:pt idx="44">
                  <c:v>120</c:v>
                </c:pt>
                <c:pt idx="45">
                  <c:v>120</c:v>
                </c:pt>
                <c:pt idx="46">
                  <c:v>120</c:v>
                </c:pt>
                <c:pt idx="47">
                  <c:v>120</c:v>
                </c:pt>
                <c:pt idx="48">
                  <c:v>120</c:v>
                </c:pt>
                <c:pt idx="49">
                  <c:v>120</c:v>
                </c:pt>
                <c:pt idx="50">
                  <c:v>120</c:v>
                </c:pt>
                <c:pt idx="51">
                  <c:v>120</c:v>
                </c:pt>
                <c:pt idx="52">
                  <c:v>120</c:v>
                </c:pt>
                <c:pt idx="53">
                  <c:v>120</c:v>
                </c:pt>
                <c:pt idx="54">
                  <c:v>120</c:v>
                </c:pt>
                <c:pt idx="55">
                  <c:v>120</c:v>
                </c:pt>
                <c:pt idx="56">
                  <c:v>120</c:v>
                </c:pt>
                <c:pt idx="57">
                  <c:v>120</c:v>
                </c:pt>
                <c:pt idx="58">
                  <c:v>120</c:v>
                </c:pt>
                <c:pt idx="59">
                  <c:v>120</c:v>
                </c:pt>
                <c:pt idx="60">
                  <c:v>120</c:v>
                </c:pt>
                <c:pt idx="61">
                  <c:v>120</c:v>
                </c:pt>
                <c:pt idx="62">
                  <c:v>120</c:v>
                </c:pt>
                <c:pt idx="63">
                  <c:v>120</c:v>
                </c:pt>
                <c:pt idx="64">
                  <c:v>120</c:v>
                </c:pt>
                <c:pt idx="65">
                  <c:v>120</c:v>
                </c:pt>
                <c:pt idx="66">
                  <c:v>120</c:v>
                </c:pt>
                <c:pt idx="67">
                  <c:v>120</c:v>
                </c:pt>
                <c:pt idx="68">
                  <c:v>120</c:v>
                </c:pt>
                <c:pt idx="69">
                  <c:v>120</c:v>
                </c:pt>
                <c:pt idx="70">
                  <c:v>120</c:v>
                </c:pt>
                <c:pt idx="71">
                  <c:v>120</c:v>
                </c:pt>
                <c:pt idx="72">
                  <c:v>120</c:v>
                </c:pt>
                <c:pt idx="73">
                  <c:v>120</c:v>
                </c:pt>
                <c:pt idx="74">
                  <c:v>120</c:v>
                </c:pt>
                <c:pt idx="75">
                  <c:v>120</c:v>
                </c:pt>
                <c:pt idx="76">
                  <c:v>120</c:v>
                </c:pt>
                <c:pt idx="77">
                  <c:v>120</c:v>
                </c:pt>
                <c:pt idx="78">
                  <c:v>120</c:v>
                </c:pt>
                <c:pt idx="79">
                  <c:v>120</c:v>
                </c:pt>
                <c:pt idx="80">
                  <c:v>120</c:v>
                </c:pt>
                <c:pt idx="81">
                  <c:v>120</c:v>
                </c:pt>
                <c:pt idx="82">
                  <c:v>120</c:v>
                </c:pt>
                <c:pt idx="83">
                  <c:v>120</c:v>
                </c:pt>
                <c:pt idx="84">
                  <c:v>120</c:v>
                </c:pt>
                <c:pt idx="85">
                  <c:v>120</c:v>
                </c:pt>
                <c:pt idx="86">
                  <c:v>120</c:v>
                </c:pt>
                <c:pt idx="87">
                  <c:v>120</c:v>
                </c:pt>
                <c:pt idx="88">
                  <c:v>120</c:v>
                </c:pt>
                <c:pt idx="89">
                  <c:v>120</c:v>
                </c:pt>
                <c:pt idx="90">
                  <c:v>120</c:v>
                </c:pt>
                <c:pt idx="91">
                  <c:v>120</c:v>
                </c:pt>
                <c:pt idx="92">
                  <c:v>120</c:v>
                </c:pt>
                <c:pt idx="93">
                  <c:v>120</c:v>
                </c:pt>
                <c:pt idx="94">
                  <c:v>120</c:v>
                </c:pt>
                <c:pt idx="95">
                  <c:v>120</c:v>
                </c:pt>
                <c:pt idx="96">
                  <c:v>120</c:v>
                </c:pt>
                <c:pt idx="97">
                  <c:v>120</c:v>
                </c:pt>
                <c:pt idx="98">
                  <c:v>120</c:v>
                </c:pt>
                <c:pt idx="99">
                  <c:v>120</c:v>
                </c:pt>
                <c:pt idx="100">
                  <c:v>120</c:v>
                </c:pt>
                <c:pt idx="101">
                  <c:v>120</c:v>
                </c:pt>
                <c:pt idx="102">
                  <c:v>120</c:v>
                </c:pt>
                <c:pt idx="103">
                  <c:v>120</c:v>
                </c:pt>
                <c:pt idx="104">
                  <c:v>120</c:v>
                </c:pt>
                <c:pt idx="105">
                  <c:v>120</c:v>
                </c:pt>
                <c:pt idx="106">
                  <c:v>120</c:v>
                </c:pt>
                <c:pt idx="107">
                  <c:v>120</c:v>
                </c:pt>
                <c:pt idx="108">
                  <c:v>120</c:v>
                </c:pt>
                <c:pt idx="109">
                  <c:v>120</c:v>
                </c:pt>
                <c:pt idx="110">
                  <c:v>120</c:v>
                </c:pt>
                <c:pt idx="111">
                  <c:v>120</c:v>
                </c:pt>
                <c:pt idx="112">
                  <c:v>120</c:v>
                </c:pt>
                <c:pt idx="113">
                  <c:v>120</c:v>
                </c:pt>
                <c:pt idx="114">
                  <c:v>120</c:v>
                </c:pt>
                <c:pt idx="115">
                  <c:v>120</c:v>
                </c:pt>
                <c:pt idx="116">
                  <c:v>120</c:v>
                </c:pt>
                <c:pt idx="117">
                  <c:v>120</c:v>
                </c:pt>
                <c:pt idx="118">
                  <c:v>120</c:v>
                </c:pt>
                <c:pt idx="119">
                  <c:v>120</c:v>
                </c:pt>
                <c:pt idx="120">
                  <c:v>120</c:v>
                </c:pt>
                <c:pt idx="121">
                  <c:v>120</c:v>
                </c:pt>
                <c:pt idx="122">
                  <c:v>120</c:v>
                </c:pt>
                <c:pt idx="123">
                  <c:v>120</c:v>
                </c:pt>
                <c:pt idx="124">
                  <c:v>120</c:v>
                </c:pt>
                <c:pt idx="125">
                  <c:v>120</c:v>
                </c:pt>
                <c:pt idx="126">
                  <c:v>120</c:v>
                </c:pt>
                <c:pt idx="127">
                  <c:v>120</c:v>
                </c:pt>
                <c:pt idx="128">
                  <c:v>120</c:v>
                </c:pt>
                <c:pt idx="129">
                  <c:v>120</c:v>
                </c:pt>
                <c:pt idx="130">
                  <c:v>120</c:v>
                </c:pt>
                <c:pt idx="131">
                  <c:v>120</c:v>
                </c:pt>
                <c:pt idx="132">
                  <c:v>120</c:v>
                </c:pt>
                <c:pt idx="133">
                  <c:v>120</c:v>
                </c:pt>
                <c:pt idx="134">
                  <c:v>120</c:v>
                </c:pt>
                <c:pt idx="135">
                  <c:v>120</c:v>
                </c:pt>
                <c:pt idx="136">
                  <c:v>120</c:v>
                </c:pt>
                <c:pt idx="137">
                  <c:v>120</c:v>
                </c:pt>
                <c:pt idx="138">
                  <c:v>120</c:v>
                </c:pt>
                <c:pt idx="139">
                  <c:v>120</c:v>
                </c:pt>
                <c:pt idx="140">
                  <c:v>120</c:v>
                </c:pt>
                <c:pt idx="141">
                  <c:v>120</c:v>
                </c:pt>
                <c:pt idx="142">
                  <c:v>120</c:v>
                </c:pt>
                <c:pt idx="143">
                  <c:v>120</c:v>
                </c:pt>
                <c:pt idx="144">
                  <c:v>120</c:v>
                </c:pt>
                <c:pt idx="145">
                  <c:v>120</c:v>
                </c:pt>
                <c:pt idx="146">
                  <c:v>120</c:v>
                </c:pt>
                <c:pt idx="147">
                  <c:v>120</c:v>
                </c:pt>
                <c:pt idx="148">
                  <c:v>120</c:v>
                </c:pt>
                <c:pt idx="149">
                  <c:v>120</c:v>
                </c:pt>
                <c:pt idx="150">
                  <c:v>120</c:v>
                </c:pt>
                <c:pt idx="151">
                  <c:v>120</c:v>
                </c:pt>
                <c:pt idx="152">
                  <c:v>120</c:v>
                </c:pt>
                <c:pt idx="153">
                  <c:v>120</c:v>
                </c:pt>
                <c:pt idx="154">
                  <c:v>120</c:v>
                </c:pt>
                <c:pt idx="155">
                  <c:v>120</c:v>
                </c:pt>
                <c:pt idx="156">
                  <c:v>120</c:v>
                </c:pt>
                <c:pt idx="157">
                  <c:v>120</c:v>
                </c:pt>
                <c:pt idx="158">
                  <c:v>120</c:v>
                </c:pt>
                <c:pt idx="159">
                  <c:v>120</c:v>
                </c:pt>
                <c:pt idx="160">
                  <c:v>120</c:v>
                </c:pt>
                <c:pt idx="161">
                  <c:v>120</c:v>
                </c:pt>
                <c:pt idx="162">
                  <c:v>120</c:v>
                </c:pt>
                <c:pt idx="163">
                  <c:v>120</c:v>
                </c:pt>
                <c:pt idx="164">
                  <c:v>120</c:v>
                </c:pt>
                <c:pt idx="165">
                  <c:v>120</c:v>
                </c:pt>
                <c:pt idx="166">
                  <c:v>120</c:v>
                </c:pt>
                <c:pt idx="167">
                  <c:v>120</c:v>
                </c:pt>
                <c:pt idx="168">
                  <c:v>120</c:v>
                </c:pt>
                <c:pt idx="169">
                  <c:v>120</c:v>
                </c:pt>
                <c:pt idx="170">
                  <c:v>120</c:v>
                </c:pt>
                <c:pt idx="171">
                  <c:v>120</c:v>
                </c:pt>
                <c:pt idx="172">
                  <c:v>120</c:v>
                </c:pt>
                <c:pt idx="173">
                  <c:v>120</c:v>
                </c:pt>
                <c:pt idx="174">
                  <c:v>120</c:v>
                </c:pt>
                <c:pt idx="175">
                  <c:v>120</c:v>
                </c:pt>
                <c:pt idx="176">
                  <c:v>120</c:v>
                </c:pt>
                <c:pt idx="177">
                  <c:v>120</c:v>
                </c:pt>
                <c:pt idx="178">
                  <c:v>120</c:v>
                </c:pt>
                <c:pt idx="179">
                  <c:v>120</c:v>
                </c:pt>
                <c:pt idx="180">
                  <c:v>120</c:v>
                </c:pt>
                <c:pt idx="181">
                  <c:v>120</c:v>
                </c:pt>
                <c:pt idx="182">
                  <c:v>120</c:v>
                </c:pt>
                <c:pt idx="183">
                  <c:v>120</c:v>
                </c:pt>
                <c:pt idx="184">
                  <c:v>120</c:v>
                </c:pt>
                <c:pt idx="185">
                  <c:v>120</c:v>
                </c:pt>
                <c:pt idx="186">
                  <c:v>120</c:v>
                </c:pt>
                <c:pt idx="187">
                  <c:v>120</c:v>
                </c:pt>
                <c:pt idx="188">
                  <c:v>120</c:v>
                </c:pt>
                <c:pt idx="189">
                  <c:v>120</c:v>
                </c:pt>
                <c:pt idx="190">
                  <c:v>120</c:v>
                </c:pt>
                <c:pt idx="191">
                  <c:v>120</c:v>
                </c:pt>
                <c:pt idx="192">
                  <c:v>120</c:v>
                </c:pt>
                <c:pt idx="193">
                  <c:v>120</c:v>
                </c:pt>
                <c:pt idx="194">
                  <c:v>120</c:v>
                </c:pt>
                <c:pt idx="195">
                  <c:v>120</c:v>
                </c:pt>
                <c:pt idx="196">
                  <c:v>120</c:v>
                </c:pt>
                <c:pt idx="197">
                  <c:v>120</c:v>
                </c:pt>
                <c:pt idx="198">
                  <c:v>120</c:v>
                </c:pt>
                <c:pt idx="199">
                  <c:v>120</c:v>
                </c:pt>
                <c:pt idx="200">
                  <c:v>120</c:v>
                </c:pt>
                <c:pt idx="201">
                  <c:v>120</c:v>
                </c:pt>
                <c:pt idx="202">
                  <c:v>120</c:v>
                </c:pt>
                <c:pt idx="203">
                  <c:v>120</c:v>
                </c:pt>
                <c:pt idx="204">
                  <c:v>120</c:v>
                </c:pt>
                <c:pt idx="205">
                  <c:v>120</c:v>
                </c:pt>
                <c:pt idx="206">
                  <c:v>120</c:v>
                </c:pt>
                <c:pt idx="207">
                  <c:v>120</c:v>
                </c:pt>
                <c:pt idx="208">
                  <c:v>120</c:v>
                </c:pt>
                <c:pt idx="209">
                  <c:v>120</c:v>
                </c:pt>
                <c:pt idx="210">
                  <c:v>120</c:v>
                </c:pt>
                <c:pt idx="211">
                  <c:v>120</c:v>
                </c:pt>
                <c:pt idx="212">
                  <c:v>120</c:v>
                </c:pt>
                <c:pt idx="213">
                  <c:v>120</c:v>
                </c:pt>
                <c:pt idx="214">
                  <c:v>120</c:v>
                </c:pt>
                <c:pt idx="215">
                  <c:v>120</c:v>
                </c:pt>
                <c:pt idx="216">
                  <c:v>120</c:v>
                </c:pt>
                <c:pt idx="217">
                  <c:v>120</c:v>
                </c:pt>
                <c:pt idx="218">
                  <c:v>120</c:v>
                </c:pt>
                <c:pt idx="219">
                  <c:v>120</c:v>
                </c:pt>
                <c:pt idx="220">
                  <c:v>120</c:v>
                </c:pt>
                <c:pt idx="221">
                  <c:v>120</c:v>
                </c:pt>
                <c:pt idx="222">
                  <c:v>120</c:v>
                </c:pt>
                <c:pt idx="223">
                  <c:v>120</c:v>
                </c:pt>
                <c:pt idx="224">
                  <c:v>120</c:v>
                </c:pt>
                <c:pt idx="225">
                  <c:v>120</c:v>
                </c:pt>
                <c:pt idx="226">
                  <c:v>120</c:v>
                </c:pt>
                <c:pt idx="227">
                  <c:v>120</c:v>
                </c:pt>
                <c:pt idx="228">
                  <c:v>120</c:v>
                </c:pt>
                <c:pt idx="229">
                  <c:v>120</c:v>
                </c:pt>
                <c:pt idx="230">
                  <c:v>120</c:v>
                </c:pt>
                <c:pt idx="231">
                  <c:v>120</c:v>
                </c:pt>
                <c:pt idx="232">
                  <c:v>120</c:v>
                </c:pt>
                <c:pt idx="233">
                  <c:v>120</c:v>
                </c:pt>
                <c:pt idx="234">
                  <c:v>120</c:v>
                </c:pt>
                <c:pt idx="235">
                  <c:v>120</c:v>
                </c:pt>
                <c:pt idx="236">
                  <c:v>120</c:v>
                </c:pt>
                <c:pt idx="237">
                  <c:v>120</c:v>
                </c:pt>
                <c:pt idx="238">
                  <c:v>120</c:v>
                </c:pt>
                <c:pt idx="239">
                  <c:v>120</c:v>
                </c:pt>
                <c:pt idx="240">
                  <c:v>120</c:v>
                </c:pt>
                <c:pt idx="241">
                  <c:v>120</c:v>
                </c:pt>
                <c:pt idx="242">
                  <c:v>120</c:v>
                </c:pt>
                <c:pt idx="243">
                  <c:v>120</c:v>
                </c:pt>
                <c:pt idx="244">
                  <c:v>120</c:v>
                </c:pt>
                <c:pt idx="245">
                  <c:v>120</c:v>
                </c:pt>
                <c:pt idx="246">
                  <c:v>120</c:v>
                </c:pt>
                <c:pt idx="247">
                  <c:v>120</c:v>
                </c:pt>
                <c:pt idx="248">
                  <c:v>120</c:v>
                </c:pt>
                <c:pt idx="249">
                  <c:v>120</c:v>
                </c:pt>
                <c:pt idx="250">
                  <c:v>120</c:v>
                </c:pt>
                <c:pt idx="251">
                  <c:v>120</c:v>
                </c:pt>
                <c:pt idx="252">
                  <c:v>120</c:v>
                </c:pt>
                <c:pt idx="253">
                  <c:v>120</c:v>
                </c:pt>
                <c:pt idx="254">
                  <c:v>120</c:v>
                </c:pt>
                <c:pt idx="255">
                  <c:v>120</c:v>
                </c:pt>
                <c:pt idx="256">
                  <c:v>120</c:v>
                </c:pt>
                <c:pt idx="257">
                  <c:v>120</c:v>
                </c:pt>
                <c:pt idx="258">
                  <c:v>120</c:v>
                </c:pt>
                <c:pt idx="259">
                  <c:v>120</c:v>
                </c:pt>
                <c:pt idx="260">
                  <c:v>120</c:v>
                </c:pt>
                <c:pt idx="261">
                  <c:v>120</c:v>
                </c:pt>
                <c:pt idx="262">
                  <c:v>120</c:v>
                </c:pt>
                <c:pt idx="263">
                  <c:v>120</c:v>
                </c:pt>
                <c:pt idx="264">
                  <c:v>120</c:v>
                </c:pt>
                <c:pt idx="265">
                  <c:v>120</c:v>
                </c:pt>
                <c:pt idx="266">
                  <c:v>120</c:v>
                </c:pt>
                <c:pt idx="267">
                  <c:v>120</c:v>
                </c:pt>
                <c:pt idx="268">
                  <c:v>120</c:v>
                </c:pt>
                <c:pt idx="269">
                  <c:v>120</c:v>
                </c:pt>
                <c:pt idx="270">
                  <c:v>120</c:v>
                </c:pt>
                <c:pt idx="271">
                  <c:v>120</c:v>
                </c:pt>
                <c:pt idx="272">
                  <c:v>120</c:v>
                </c:pt>
                <c:pt idx="273">
                  <c:v>120</c:v>
                </c:pt>
                <c:pt idx="274">
                  <c:v>120</c:v>
                </c:pt>
                <c:pt idx="275">
                  <c:v>120</c:v>
                </c:pt>
                <c:pt idx="276">
                  <c:v>120</c:v>
                </c:pt>
                <c:pt idx="277">
                  <c:v>120</c:v>
                </c:pt>
                <c:pt idx="278">
                  <c:v>120</c:v>
                </c:pt>
                <c:pt idx="279">
                  <c:v>120</c:v>
                </c:pt>
                <c:pt idx="280">
                  <c:v>120</c:v>
                </c:pt>
                <c:pt idx="281">
                  <c:v>120</c:v>
                </c:pt>
                <c:pt idx="282">
                  <c:v>120</c:v>
                </c:pt>
                <c:pt idx="283">
                  <c:v>120</c:v>
                </c:pt>
                <c:pt idx="284">
                  <c:v>120</c:v>
                </c:pt>
                <c:pt idx="285">
                  <c:v>120</c:v>
                </c:pt>
                <c:pt idx="286">
                  <c:v>120</c:v>
                </c:pt>
                <c:pt idx="287">
                  <c:v>120</c:v>
                </c:pt>
                <c:pt idx="288">
                  <c:v>120</c:v>
                </c:pt>
                <c:pt idx="289">
                  <c:v>120</c:v>
                </c:pt>
                <c:pt idx="290">
                  <c:v>120</c:v>
                </c:pt>
                <c:pt idx="291">
                  <c:v>120</c:v>
                </c:pt>
                <c:pt idx="292">
                  <c:v>120</c:v>
                </c:pt>
                <c:pt idx="293">
                  <c:v>120</c:v>
                </c:pt>
                <c:pt idx="294">
                  <c:v>120</c:v>
                </c:pt>
                <c:pt idx="295">
                  <c:v>120</c:v>
                </c:pt>
                <c:pt idx="296">
                  <c:v>120</c:v>
                </c:pt>
                <c:pt idx="297">
                  <c:v>120</c:v>
                </c:pt>
                <c:pt idx="298">
                  <c:v>120</c:v>
                </c:pt>
                <c:pt idx="299">
                  <c:v>120</c:v>
                </c:pt>
                <c:pt idx="300">
                  <c:v>120</c:v>
                </c:pt>
                <c:pt idx="301">
                  <c:v>120</c:v>
                </c:pt>
                <c:pt idx="302">
                  <c:v>120</c:v>
                </c:pt>
                <c:pt idx="303">
                  <c:v>120</c:v>
                </c:pt>
                <c:pt idx="304">
                  <c:v>120</c:v>
                </c:pt>
                <c:pt idx="305">
                  <c:v>120</c:v>
                </c:pt>
                <c:pt idx="306">
                  <c:v>120</c:v>
                </c:pt>
                <c:pt idx="307">
                  <c:v>120</c:v>
                </c:pt>
                <c:pt idx="308">
                  <c:v>120</c:v>
                </c:pt>
                <c:pt idx="309">
                  <c:v>120</c:v>
                </c:pt>
                <c:pt idx="310">
                  <c:v>120</c:v>
                </c:pt>
                <c:pt idx="311">
                  <c:v>120</c:v>
                </c:pt>
                <c:pt idx="312">
                  <c:v>120</c:v>
                </c:pt>
                <c:pt idx="313">
                  <c:v>120</c:v>
                </c:pt>
                <c:pt idx="314">
                  <c:v>120</c:v>
                </c:pt>
                <c:pt idx="315">
                  <c:v>120</c:v>
                </c:pt>
                <c:pt idx="316">
                  <c:v>120</c:v>
                </c:pt>
                <c:pt idx="317">
                  <c:v>120</c:v>
                </c:pt>
                <c:pt idx="318">
                  <c:v>120</c:v>
                </c:pt>
                <c:pt idx="319">
                  <c:v>120</c:v>
                </c:pt>
                <c:pt idx="320">
                  <c:v>120</c:v>
                </c:pt>
                <c:pt idx="321">
                  <c:v>120</c:v>
                </c:pt>
                <c:pt idx="322">
                  <c:v>120</c:v>
                </c:pt>
                <c:pt idx="323">
                  <c:v>120</c:v>
                </c:pt>
                <c:pt idx="324">
                  <c:v>120</c:v>
                </c:pt>
                <c:pt idx="325">
                  <c:v>120</c:v>
                </c:pt>
                <c:pt idx="326">
                  <c:v>120</c:v>
                </c:pt>
                <c:pt idx="327">
                  <c:v>120</c:v>
                </c:pt>
                <c:pt idx="328">
                  <c:v>120</c:v>
                </c:pt>
                <c:pt idx="329">
                  <c:v>120</c:v>
                </c:pt>
                <c:pt idx="330">
                  <c:v>120</c:v>
                </c:pt>
                <c:pt idx="331">
                  <c:v>120</c:v>
                </c:pt>
                <c:pt idx="332">
                  <c:v>120</c:v>
                </c:pt>
                <c:pt idx="333">
                  <c:v>120</c:v>
                </c:pt>
                <c:pt idx="334">
                  <c:v>120</c:v>
                </c:pt>
                <c:pt idx="335">
                  <c:v>120</c:v>
                </c:pt>
                <c:pt idx="336">
                  <c:v>120</c:v>
                </c:pt>
                <c:pt idx="337">
                  <c:v>120</c:v>
                </c:pt>
                <c:pt idx="338">
                  <c:v>120</c:v>
                </c:pt>
                <c:pt idx="339">
                  <c:v>120</c:v>
                </c:pt>
                <c:pt idx="340">
                  <c:v>120</c:v>
                </c:pt>
                <c:pt idx="341">
                  <c:v>120</c:v>
                </c:pt>
                <c:pt idx="342">
                  <c:v>120</c:v>
                </c:pt>
                <c:pt idx="343">
                  <c:v>120</c:v>
                </c:pt>
                <c:pt idx="344">
                  <c:v>120</c:v>
                </c:pt>
                <c:pt idx="345">
                  <c:v>120</c:v>
                </c:pt>
                <c:pt idx="346">
                  <c:v>120</c:v>
                </c:pt>
                <c:pt idx="347">
                  <c:v>120</c:v>
                </c:pt>
                <c:pt idx="348">
                  <c:v>120</c:v>
                </c:pt>
                <c:pt idx="349">
                  <c:v>120</c:v>
                </c:pt>
                <c:pt idx="350">
                  <c:v>120</c:v>
                </c:pt>
                <c:pt idx="351">
                  <c:v>120</c:v>
                </c:pt>
                <c:pt idx="352">
                  <c:v>120</c:v>
                </c:pt>
                <c:pt idx="353">
                  <c:v>120</c:v>
                </c:pt>
                <c:pt idx="354">
                  <c:v>120</c:v>
                </c:pt>
                <c:pt idx="355">
                  <c:v>120</c:v>
                </c:pt>
                <c:pt idx="356">
                  <c:v>120</c:v>
                </c:pt>
                <c:pt idx="357">
                  <c:v>120</c:v>
                </c:pt>
                <c:pt idx="358">
                  <c:v>120</c:v>
                </c:pt>
                <c:pt idx="359">
                  <c:v>120</c:v>
                </c:pt>
                <c:pt idx="360">
                  <c:v>120</c:v>
                </c:pt>
                <c:pt idx="361">
                  <c:v>120</c:v>
                </c:pt>
                <c:pt idx="362">
                  <c:v>120</c:v>
                </c:pt>
                <c:pt idx="363">
                  <c:v>120</c:v>
                </c:pt>
                <c:pt idx="364">
                  <c:v>120</c:v>
                </c:pt>
              </c:numCache>
            </c:numRef>
          </c:val>
          <c:smooth val="0"/>
          <c:extLst>
            <c:ext xmlns:c16="http://schemas.microsoft.com/office/drawing/2014/chart" uri="{C3380CC4-5D6E-409C-BE32-E72D297353CC}">
              <c16:uniqueId val="{00000004-D534-4BA7-B9A3-A8B1BD0FCCCB}"/>
            </c:ext>
          </c:extLst>
        </c:ser>
        <c:dLbls>
          <c:showLegendKey val="0"/>
          <c:showVal val="0"/>
          <c:showCatName val="0"/>
          <c:showSerName val="0"/>
          <c:showPercent val="0"/>
          <c:showBubbleSize val="0"/>
        </c:dLbls>
        <c:smooth val="0"/>
        <c:axId val="410378752"/>
        <c:axId val="413399808"/>
      </c:lineChart>
      <c:catAx>
        <c:axId val="410378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3399808"/>
        <c:crosses val="autoZero"/>
        <c:auto val="1"/>
        <c:lblAlgn val="ctr"/>
        <c:lblOffset val="100"/>
        <c:noMultiLvlLbl val="0"/>
      </c:catAx>
      <c:valAx>
        <c:axId val="4133998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1000" b="0" i="0" u="none" strike="noStrike" kern="1200" baseline="0">
                    <a:solidFill>
                      <a:schemeClr val="tx1">
                        <a:lumMod val="65000"/>
                        <a:lumOff val="35000"/>
                      </a:schemeClr>
                    </a:solidFill>
                    <a:latin typeface="Cambria" panose="02040503050406030204" pitchFamily="18" charset="0"/>
                    <a:ea typeface="+mn-ea"/>
                    <a:cs typeface="+mn-cs"/>
                  </a:defRPr>
                </a:pPr>
                <a:r>
                  <a:rPr lang="ro-RO"/>
                  <a:t>ug/mc</a:t>
                </a:r>
              </a:p>
            </c:rich>
          </c:tx>
          <c:layout>
            <c:manualLayout>
              <c:xMode val="edge"/>
              <c:yMode val="edge"/>
              <c:x val="1.0014173228346461E-2"/>
              <c:y val="0.341364484044758"/>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0378752"/>
        <c:crosses val="autoZero"/>
        <c:crossBetween val="between"/>
      </c:valAx>
      <c:spPr>
        <a:noFill/>
        <a:ln>
          <a:noFill/>
        </a:ln>
        <a:effectLst/>
      </c:spPr>
    </c:plotArea>
    <c:legend>
      <c:legendPos val="b"/>
      <c:layout>
        <c:manualLayout>
          <c:xMode val="edge"/>
          <c:yMode val="edge"/>
          <c:x val="0.10205651793525809"/>
          <c:y val="0.92580242436800664"/>
          <c:w val="0.51615918186632337"/>
          <c:h val="7.2522202640877179E-2"/>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NOx</c:v>
                </c:pt>
              </c:strCache>
            </c:strRef>
          </c:tx>
          <c:spPr>
            <a:solidFill>
              <a:schemeClr val="accent1"/>
            </a:solidFill>
            <a:ln>
              <a:noFill/>
            </a:ln>
            <a:effectLst/>
          </c:spPr>
          <c:invertIfNegative val="0"/>
          <c:cat>
            <c:numRef>
              <c:f>Sheet1!$A$2:$A$8</c:f>
              <c:numCache>
                <c:formatCode>General</c:formatCode>
                <c:ptCount val="7"/>
                <c:pt idx="0">
                  <c:v>2010</c:v>
                </c:pt>
                <c:pt idx="1">
                  <c:v>2011</c:v>
                </c:pt>
                <c:pt idx="2">
                  <c:v>2012</c:v>
                </c:pt>
                <c:pt idx="3">
                  <c:v>2013</c:v>
                </c:pt>
                <c:pt idx="4">
                  <c:v>2014</c:v>
                </c:pt>
                <c:pt idx="5">
                  <c:v>2015</c:v>
                </c:pt>
                <c:pt idx="6">
                  <c:v>2016</c:v>
                </c:pt>
              </c:numCache>
            </c:numRef>
          </c:cat>
          <c:val>
            <c:numRef>
              <c:f>Sheet1!$B$2:$B$8</c:f>
              <c:numCache>
                <c:formatCode>#,##0</c:formatCode>
                <c:ptCount val="7"/>
                <c:pt idx="0" formatCode="General">
                  <c:v>743</c:v>
                </c:pt>
                <c:pt idx="1">
                  <c:v>4354</c:v>
                </c:pt>
                <c:pt idx="2" formatCode="#,##0.00">
                  <c:v>2356.06</c:v>
                </c:pt>
                <c:pt idx="3" formatCode="#,##0.00">
                  <c:v>1291.29</c:v>
                </c:pt>
                <c:pt idx="4">
                  <c:v>1580</c:v>
                </c:pt>
                <c:pt idx="5" formatCode="General">
                  <c:v>1100</c:v>
                </c:pt>
                <c:pt idx="6" formatCode="General">
                  <c:v>1290</c:v>
                </c:pt>
              </c:numCache>
            </c:numRef>
          </c:val>
          <c:extLst>
            <c:ext xmlns:c16="http://schemas.microsoft.com/office/drawing/2014/chart" uri="{C3380CC4-5D6E-409C-BE32-E72D297353CC}">
              <c16:uniqueId val="{00000000-56B2-4E1A-B29B-81F376C477A9}"/>
            </c:ext>
          </c:extLst>
        </c:ser>
        <c:ser>
          <c:idx val="1"/>
          <c:order val="1"/>
          <c:tx>
            <c:strRef>
              <c:f>Sheet1!$C$1</c:f>
              <c:strCache>
                <c:ptCount val="1"/>
                <c:pt idx="0">
                  <c:v>NMCOV</c:v>
                </c:pt>
              </c:strCache>
            </c:strRef>
          </c:tx>
          <c:spPr>
            <a:solidFill>
              <a:schemeClr val="accent2"/>
            </a:solidFill>
            <a:ln>
              <a:noFill/>
            </a:ln>
            <a:effectLst/>
          </c:spPr>
          <c:invertIfNegative val="0"/>
          <c:cat>
            <c:numRef>
              <c:f>Sheet1!$A$2:$A$8</c:f>
              <c:numCache>
                <c:formatCode>General</c:formatCode>
                <c:ptCount val="7"/>
                <c:pt idx="0">
                  <c:v>2010</c:v>
                </c:pt>
                <c:pt idx="1">
                  <c:v>2011</c:v>
                </c:pt>
                <c:pt idx="2">
                  <c:v>2012</c:v>
                </c:pt>
                <c:pt idx="3">
                  <c:v>2013</c:v>
                </c:pt>
                <c:pt idx="4">
                  <c:v>2014</c:v>
                </c:pt>
                <c:pt idx="5">
                  <c:v>2015</c:v>
                </c:pt>
                <c:pt idx="6">
                  <c:v>2016</c:v>
                </c:pt>
              </c:numCache>
            </c:numRef>
          </c:cat>
          <c:val>
            <c:numRef>
              <c:f>Sheet1!$C$2:$C$8</c:f>
              <c:numCache>
                <c:formatCode>#,##0</c:formatCode>
                <c:ptCount val="7"/>
                <c:pt idx="0">
                  <c:v>1756</c:v>
                </c:pt>
                <c:pt idx="1">
                  <c:v>1388</c:v>
                </c:pt>
                <c:pt idx="2">
                  <c:v>3963</c:v>
                </c:pt>
                <c:pt idx="3">
                  <c:v>2140</c:v>
                </c:pt>
                <c:pt idx="4">
                  <c:v>1820</c:v>
                </c:pt>
                <c:pt idx="5" formatCode="General">
                  <c:v>2200</c:v>
                </c:pt>
                <c:pt idx="6" formatCode="General">
                  <c:v>2107</c:v>
                </c:pt>
              </c:numCache>
            </c:numRef>
          </c:val>
          <c:extLst>
            <c:ext xmlns:c16="http://schemas.microsoft.com/office/drawing/2014/chart" uri="{C3380CC4-5D6E-409C-BE32-E72D297353CC}">
              <c16:uniqueId val="{00000001-56B2-4E1A-B29B-81F376C477A9}"/>
            </c:ext>
          </c:extLst>
        </c:ser>
        <c:ser>
          <c:idx val="2"/>
          <c:order val="2"/>
          <c:tx>
            <c:strRef>
              <c:f>Sheet1!$D$1</c:f>
              <c:strCache>
                <c:ptCount val="1"/>
                <c:pt idx="0">
                  <c:v>CO</c:v>
                </c:pt>
              </c:strCache>
            </c:strRef>
          </c:tx>
          <c:spPr>
            <a:solidFill>
              <a:schemeClr val="accent3"/>
            </a:solidFill>
            <a:ln>
              <a:noFill/>
            </a:ln>
            <a:effectLst/>
          </c:spPr>
          <c:invertIfNegative val="0"/>
          <c:cat>
            <c:numRef>
              <c:f>Sheet1!$A$2:$A$8</c:f>
              <c:numCache>
                <c:formatCode>General</c:formatCode>
                <c:ptCount val="7"/>
                <c:pt idx="0">
                  <c:v>2010</c:v>
                </c:pt>
                <c:pt idx="1">
                  <c:v>2011</c:v>
                </c:pt>
                <c:pt idx="2">
                  <c:v>2012</c:v>
                </c:pt>
                <c:pt idx="3">
                  <c:v>2013</c:v>
                </c:pt>
                <c:pt idx="4">
                  <c:v>2014</c:v>
                </c:pt>
                <c:pt idx="5">
                  <c:v>2015</c:v>
                </c:pt>
                <c:pt idx="6">
                  <c:v>2016</c:v>
                </c:pt>
              </c:numCache>
            </c:numRef>
          </c:cat>
          <c:val>
            <c:numRef>
              <c:f>Sheet1!$D$2:$D$8</c:f>
              <c:numCache>
                <c:formatCode>#,##0</c:formatCode>
                <c:ptCount val="7"/>
                <c:pt idx="0">
                  <c:v>3310</c:v>
                </c:pt>
                <c:pt idx="1">
                  <c:v>9655</c:v>
                </c:pt>
                <c:pt idx="2">
                  <c:v>5364</c:v>
                </c:pt>
                <c:pt idx="3">
                  <c:v>2683</c:v>
                </c:pt>
                <c:pt idx="4">
                  <c:v>2730</c:v>
                </c:pt>
                <c:pt idx="5" formatCode="General">
                  <c:v>4100</c:v>
                </c:pt>
                <c:pt idx="6" formatCode="General">
                  <c:v>1885</c:v>
                </c:pt>
              </c:numCache>
            </c:numRef>
          </c:val>
          <c:extLst>
            <c:ext xmlns:c16="http://schemas.microsoft.com/office/drawing/2014/chart" uri="{C3380CC4-5D6E-409C-BE32-E72D297353CC}">
              <c16:uniqueId val="{00000002-56B2-4E1A-B29B-81F376C477A9}"/>
            </c:ext>
          </c:extLst>
        </c:ser>
        <c:dLbls>
          <c:showLegendKey val="0"/>
          <c:showVal val="0"/>
          <c:showCatName val="0"/>
          <c:showSerName val="0"/>
          <c:showPercent val="0"/>
          <c:showBubbleSize val="0"/>
        </c:dLbls>
        <c:gapWidth val="300"/>
        <c:axId val="415794176"/>
        <c:axId val="410559616"/>
      </c:barChart>
      <c:catAx>
        <c:axId val="415794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0559616"/>
        <c:crossesAt val="0"/>
        <c:auto val="1"/>
        <c:lblAlgn val="ctr"/>
        <c:lblOffset val="100"/>
        <c:noMultiLvlLbl val="0"/>
      </c:catAx>
      <c:valAx>
        <c:axId val="410559616"/>
        <c:scaling>
          <c:orientation val="minMax"/>
          <c:max val="1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1000" b="0" i="0" u="none" strike="noStrike" kern="1200" baseline="0">
                    <a:solidFill>
                      <a:schemeClr val="tx1">
                        <a:lumMod val="65000"/>
                        <a:lumOff val="35000"/>
                      </a:schemeClr>
                    </a:solidFill>
                    <a:latin typeface="Cambria" panose="02040503050406030204" pitchFamily="18" charset="0"/>
                    <a:ea typeface="+mn-ea"/>
                    <a:cs typeface="+mn-cs"/>
                  </a:defRPr>
                </a:pPr>
                <a:r>
                  <a:rPr lang="ro-RO"/>
                  <a:t>tone</a:t>
                </a:r>
              </a:p>
            </c:rich>
          </c:tx>
          <c:layout>
            <c:manualLayout>
              <c:xMode val="edge"/>
              <c:yMode val="edge"/>
              <c:x val="2.2187708009762608E-2"/>
              <c:y val="0.44103224910256694"/>
            </c:manualLayout>
          </c:layout>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579417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lang="en-US" sz="10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lang="en-US" sz="1200" b="0" i="0" u="none" strike="noStrike" kern="1200" spc="0" baseline="0">
              <a:solidFill>
                <a:schemeClr val="tx1">
                  <a:lumMod val="65000"/>
                  <a:lumOff val="35000"/>
                </a:schemeClr>
              </a:solidFill>
              <a:latin typeface="Cambria" panose="02040503050406030204" pitchFamily="18" charset="0"/>
              <a:ea typeface="+mn-ea"/>
              <a:cs typeface="+mn-cs"/>
            </a:defRPr>
          </a:pPr>
          <a:endParaRPr lang="en-US"/>
        </a:p>
      </c:txPr>
    </c:title>
    <c:autoTitleDeleted val="0"/>
    <c:plotArea>
      <c:layout/>
      <c:doughnutChart>
        <c:varyColors val="1"/>
        <c:ser>
          <c:idx val="0"/>
          <c:order val="0"/>
          <c:tx>
            <c:strRef>
              <c:f>Sheet1!$B$1</c:f>
              <c:strCache>
                <c:ptCount val="1"/>
                <c:pt idx="0">
                  <c:v>Stadiul de realizare al acţiunilor de mediu la nivel naţional</c:v>
                </c:pt>
              </c:strCache>
            </c:strRef>
          </c:tx>
          <c:spPr>
            <a:effectLst>
              <a:outerShdw blurRad="50800" dist="38100" dir="2700000" algn="tl" rotWithShape="0">
                <a:prstClr val="black">
                  <a:alpha val="40000"/>
                </a:prstClr>
              </a:outerShdw>
            </a:effectLst>
          </c:spPr>
          <c:dPt>
            <c:idx val="0"/>
            <c:bubble3D val="0"/>
            <c:spPr>
              <a:solidFill>
                <a:schemeClr val="accent1"/>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A0DF-452C-9885-AA40334AAC82}"/>
              </c:ext>
            </c:extLst>
          </c:dPt>
          <c:dPt>
            <c:idx val="1"/>
            <c:bubble3D val="0"/>
            <c:spPr>
              <a:solidFill>
                <a:schemeClr val="accent2"/>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A0DF-452C-9885-AA40334AAC82}"/>
              </c:ext>
            </c:extLst>
          </c:dPt>
          <c:dPt>
            <c:idx val="2"/>
            <c:bubble3D val="0"/>
            <c:spPr>
              <a:solidFill>
                <a:schemeClr val="accent3"/>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A0DF-452C-9885-AA40334AAC82}"/>
              </c:ext>
            </c:extLst>
          </c:dPt>
          <c:dPt>
            <c:idx val="3"/>
            <c:bubble3D val="0"/>
            <c:spPr>
              <a:solidFill>
                <a:schemeClr val="accent4"/>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7-A0DF-452C-9885-AA40334AAC82}"/>
              </c:ext>
            </c:extLst>
          </c:dPt>
          <c:dPt>
            <c:idx val="4"/>
            <c:bubble3D val="0"/>
            <c:spPr>
              <a:solidFill>
                <a:schemeClr val="accent5"/>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9-A0DF-452C-9885-AA40334AAC82}"/>
              </c:ext>
            </c:extLst>
          </c:dPt>
          <c:dPt>
            <c:idx val="5"/>
            <c:bubble3D val="0"/>
            <c:spPr>
              <a:solidFill>
                <a:schemeClr val="accent6"/>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B-A0DF-452C-9885-AA40334AAC82}"/>
              </c:ext>
            </c:extLst>
          </c:dPt>
          <c:dLbls>
            <c:dLbl>
              <c:idx val="0"/>
              <c:layout>
                <c:manualLayout>
                  <c:x val="0.11805555555555552"/>
                  <c:y val="-8.3333333333333343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0DF-452C-9885-AA40334AAC82}"/>
                </c:ext>
              </c:extLst>
            </c:dLbl>
            <c:dLbl>
              <c:idx val="1"/>
              <c:layout>
                <c:manualLayout>
                  <c:x val="0.12268518518518519"/>
                  <c:y val="0.1031746031746032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0DF-452C-9885-AA40334AAC82}"/>
                </c:ext>
              </c:extLst>
            </c:dLbl>
            <c:dLbl>
              <c:idx val="2"/>
              <c:layout>
                <c:manualLayout>
                  <c:x val="-0.18055555555555555"/>
                  <c:y val="8.3333333333333343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A0DF-452C-9885-AA40334AAC82}"/>
                </c:ext>
              </c:extLst>
            </c:dLbl>
            <c:dLbl>
              <c:idx val="3"/>
              <c:layout>
                <c:manualLayout>
                  <c:x val="-0.14120370370370369"/>
                  <c:y val="-3.9682539682540444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A0DF-452C-9885-AA40334AAC82}"/>
                </c:ext>
              </c:extLst>
            </c:dLbl>
            <c:dLbl>
              <c:idx val="4"/>
              <c:layout>
                <c:manualLayout>
                  <c:x val="-6.9444444444444503E-2"/>
                  <c:y val="-0.1190476190476191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A0DF-452C-9885-AA40334AAC82}"/>
                </c:ext>
              </c:extLst>
            </c:dLbl>
            <c:dLbl>
              <c:idx val="5"/>
              <c:layout>
                <c:manualLayout>
                  <c:x val="8.7962962962963062E-2"/>
                  <c:y val="-0.11507936507936498"/>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A0DF-452C-9885-AA40334AAC82}"/>
                </c:ext>
              </c:extLst>
            </c:dLbl>
            <c:spPr>
              <a:noFill/>
              <a:ln>
                <a:noFill/>
              </a:ln>
              <a:effectLst/>
            </c:spPr>
            <c:txPr>
              <a:bodyPr rot="0" spcFirstLastPara="1" vertOverflow="ellipsis" vert="horz" wrap="square" lIns="38100" tIns="19050" rIns="38100" bIns="19050" anchor="ctr" anchorCtr="1">
                <a:spAutoFit/>
              </a:bodyPr>
              <a:lstStyle/>
              <a:p>
                <a:pPr>
                  <a:defRPr lang="en-US" sz="11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Sheet1!$A$2:$A$7</c:f>
              <c:strCache>
                <c:ptCount val="6"/>
                <c:pt idx="0">
                  <c:v>Realizate</c:v>
                </c:pt>
                <c:pt idx="1">
                  <c:v>Realizate în avans</c:v>
                </c:pt>
                <c:pt idx="2">
                  <c:v>În curs de realizare</c:v>
                </c:pt>
                <c:pt idx="3">
                  <c:v>Nerealizate </c:v>
                </c:pt>
                <c:pt idx="4">
                  <c:v>Amânate</c:v>
                </c:pt>
                <c:pt idx="5">
                  <c:v>Anulate</c:v>
                </c:pt>
              </c:strCache>
            </c:strRef>
          </c:cat>
          <c:val>
            <c:numRef>
              <c:f>Sheet1!$B$2:$B$7</c:f>
              <c:numCache>
                <c:formatCode>General</c:formatCode>
                <c:ptCount val="6"/>
                <c:pt idx="0" formatCode="#.##0">
                  <c:v>4417</c:v>
                </c:pt>
                <c:pt idx="1">
                  <c:v>265</c:v>
                </c:pt>
                <c:pt idx="2">
                  <c:v>4088</c:v>
                </c:pt>
                <c:pt idx="3">
                  <c:v>3996</c:v>
                </c:pt>
                <c:pt idx="4">
                  <c:v>248</c:v>
                </c:pt>
                <c:pt idx="5">
                  <c:v>226</c:v>
                </c:pt>
              </c:numCache>
            </c:numRef>
          </c:val>
          <c:extLst>
            <c:ext xmlns:c16="http://schemas.microsoft.com/office/drawing/2014/chart" uri="{C3380CC4-5D6E-409C-BE32-E72D297353CC}">
              <c16:uniqueId val="{0000000C-A0DF-452C-9885-AA40334AAC82}"/>
            </c:ext>
          </c:extLst>
        </c:ser>
        <c:dLbls>
          <c:showLegendKey val="0"/>
          <c:showVal val="0"/>
          <c:showCatName val="1"/>
          <c:showSerName val="0"/>
          <c:showPercent val="0"/>
          <c:showBubbleSize val="0"/>
          <c:showLeaderLines val="1"/>
        </c:dLbls>
        <c:firstSliceAng val="0"/>
        <c:holeSize val="50"/>
      </c:doughnutChart>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Cambria" panose="02040503050406030204" pitchFamily="18" charset="0"/>
        </a:defRPr>
      </a:pPr>
      <a:endParaRPr lang="en-US"/>
    </a:p>
  </c:txPr>
  <c:externalData r:id="rId2">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lang="en-US"/>
            </a:pPr>
            <a:r>
              <a:rPr lang="en-US" sz="1000"/>
              <a:t>As</a:t>
            </a:r>
          </a:p>
        </c:rich>
      </c:tx>
      <c:layout>
        <c:manualLayout>
          <c:xMode val="edge"/>
          <c:yMode val="edge"/>
          <c:x val="0.61264367816092014"/>
          <c:y val="7.6867758450345811E-2"/>
        </c:manualLayout>
      </c:layout>
      <c:overlay val="0"/>
    </c:title>
    <c:autoTitleDeleted val="0"/>
    <c:plotArea>
      <c:layout>
        <c:manualLayout>
          <c:layoutTarget val="inner"/>
          <c:xMode val="edge"/>
          <c:yMode val="edge"/>
          <c:x val="0.26115304552448176"/>
          <c:y val="7.0888592438341932E-2"/>
          <c:w val="0.73884695447551885"/>
          <c:h val="0.70129548840178813"/>
        </c:manualLayout>
      </c:layout>
      <c:barChart>
        <c:barDir val="col"/>
        <c:grouping val="clustered"/>
        <c:varyColors val="0"/>
        <c:ser>
          <c:idx val="0"/>
          <c:order val="0"/>
          <c:tx>
            <c:strRef>
              <c:f>Sheet1!$B$1</c:f>
              <c:strCache>
                <c:ptCount val="1"/>
                <c:pt idx="0">
                  <c:v>Surse staționare</c:v>
                </c:pt>
              </c:strCache>
            </c:strRef>
          </c:tx>
          <c:spPr>
            <a:solidFill>
              <a:srgbClr val="4472C4"/>
            </a:solidFill>
            <a:ln w="25399">
              <a:noFill/>
            </a:ln>
          </c:spPr>
          <c:invertIfNegative val="0"/>
          <c:dLbls>
            <c:spPr>
              <a:noFill/>
              <a:ln>
                <a:noFill/>
              </a:ln>
              <a:effectLst/>
            </c:spPr>
            <c:txPr>
              <a:bodyPr wrap="square" lIns="38100" tIns="19050" rIns="38100" bIns="19050" anchor="ctr">
                <a:spAutoFit/>
              </a:bodyPr>
              <a:lstStyle/>
              <a:p>
                <a:pPr>
                  <a:defRPr lang="en-US" sz="8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Sheet1!$A$2:$A$3</c:f>
              <c:strCache>
                <c:ptCount val="2"/>
                <c:pt idx="0">
                  <c:v>Scenariul A</c:v>
                </c:pt>
                <c:pt idx="1">
                  <c:v>Scenariul B</c:v>
                </c:pt>
              </c:strCache>
            </c:strRef>
          </c:cat>
          <c:val>
            <c:numRef>
              <c:f>Sheet1!$B$2:$B$3</c:f>
              <c:numCache>
                <c:formatCode>General</c:formatCode>
                <c:ptCount val="2"/>
                <c:pt idx="1">
                  <c:v>2.000000000000002E-6</c:v>
                </c:pt>
              </c:numCache>
            </c:numRef>
          </c:val>
          <c:extLst>
            <c:ext xmlns:c16="http://schemas.microsoft.com/office/drawing/2014/chart" uri="{C3380CC4-5D6E-409C-BE32-E72D297353CC}">
              <c16:uniqueId val="{00000000-DA39-4126-A639-7B52FAFDF878}"/>
            </c:ext>
          </c:extLst>
        </c:ser>
        <c:ser>
          <c:idx val="1"/>
          <c:order val="1"/>
          <c:tx>
            <c:strRef>
              <c:f>Sheet1!$C$1</c:f>
              <c:strCache>
                <c:ptCount val="1"/>
                <c:pt idx="0">
                  <c:v>Surse mobile</c:v>
                </c:pt>
              </c:strCache>
            </c:strRef>
          </c:tx>
          <c:spPr>
            <a:solidFill>
              <a:srgbClr val="ED7D31"/>
            </a:solidFill>
            <a:ln w="25399">
              <a:noFill/>
            </a:ln>
          </c:spPr>
          <c:invertIfNegative val="0"/>
          <c:dLbls>
            <c:spPr>
              <a:noFill/>
              <a:ln>
                <a:noFill/>
              </a:ln>
              <a:effectLst/>
            </c:spPr>
            <c:txPr>
              <a:bodyPr wrap="square" lIns="38100" tIns="19050" rIns="38100" bIns="19050" anchor="ctr">
                <a:spAutoFit/>
              </a:bodyPr>
              <a:lstStyle/>
              <a:p>
                <a:pPr>
                  <a:defRPr lang="en-US" sz="8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Sheet1!$A$2:$A$3</c:f>
              <c:strCache>
                <c:ptCount val="2"/>
                <c:pt idx="0">
                  <c:v>Scenariul A</c:v>
                </c:pt>
                <c:pt idx="1">
                  <c:v>Scenariul B</c:v>
                </c:pt>
              </c:strCache>
            </c:strRef>
          </c:cat>
          <c:val>
            <c:numRef>
              <c:f>Sheet1!$C$2:$C$3</c:f>
              <c:numCache>
                <c:formatCode>General</c:formatCode>
                <c:ptCount val="2"/>
              </c:numCache>
            </c:numRef>
          </c:val>
          <c:extLst>
            <c:ext xmlns:c16="http://schemas.microsoft.com/office/drawing/2014/chart" uri="{C3380CC4-5D6E-409C-BE32-E72D297353CC}">
              <c16:uniqueId val="{00000001-DA39-4126-A639-7B52FAFDF878}"/>
            </c:ext>
          </c:extLst>
        </c:ser>
        <c:ser>
          <c:idx val="2"/>
          <c:order val="2"/>
          <c:tx>
            <c:strRef>
              <c:f>Sheet1!$D$1</c:f>
              <c:strCache>
                <c:ptCount val="1"/>
                <c:pt idx="0">
                  <c:v>Surse de suprafață</c:v>
                </c:pt>
              </c:strCache>
            </c:strRef>
          </c:tx>
          <c:spPr>
            <a:solidFill>
              <a:srgbClr val="A5A5A5"/>
            </a:solidFill>
            <a:ln w="25399">
              <a:noFill/>
            </a:ln>
          </c:spPr>
          <c:invertIfNegative val="0"/>
          <c:dLbls>
            <c:spPr>
              <a:noFill/>
              <a:ln>
                <a:noFill/>
              </a:ln>
              <a:effectLst/>
            </c:spPr>
            <c:txPr>
              <a:bodyPr wrap="square" lIns="38100" tIns="19050" rIns="38100" bIns="19050" anchor="ctr">
                <a:spAutoFit/>
              </a:bodyPr>
              <a:lstStyle/>
              <a:p>
                <a:pPr>
                  <a:defRPr lang="en-US" sz="8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Sheet1!$A$2:$A$3</c:f>
              <c:strCache>
                <c:ptCount val="2"/>
                <c:pt idx="0">
                  <c:v>Scenariul A</c:v>
                </c:pt>
                <c:pt idx="1">
                  <c:v>Scenariul B</c:v>
                </c:pt>
              </c:strCache>
            </c:strRef>
          </c:cat>
          <c:val>
            <c:numRef>
              <c:f>Sheet1!$D$2:$D$3</c:f>
              <c:numCache>
                <c:formatCode>General</c:formatCode>
                <c:ptCount val="2"/>
                <c:pt idx="0">
                  <c:v>1.2000000000000012E-5</c:v>
                </c:pt>
                <c:pt idx="1">
                  <c:v>1.2000000000000012E-5</c:v>
                </c:pt>
              </c:numCache>
            </c:numRef>
          </c:val>
          <c:extLst>
            <c:ext xmlns:c16="http://schemas.microsoft.com/office/drawing/2014/chart" uri="{C3380CC4-5D6E-409C-BE32-E72D297353CC}">
              <c16:uniqueId val="{00000002-DA39-4126-A639-7B52FAFDF878}"/>
            </c:ext>
          </c:extLst>
        </c:ser>
        <c:dLbls>
          <c:showLegendKey val="0"/>
          <c:showVal val="1"/>
          <c:showCatName val="0"/>
          <c:showSerName val="0"/>
          <c:showPercent val="0"/>
          <c:showBubbleSize val="0"/>
        </c:dLbls>
        <c:gapWidth val="219"/>
        <c:overlap val="-27"/>
        <c:axId val="329678848"/>
        <c:axId val="410563648"/>
      </c:barChart>
      <c:catAx>
        <c:axId val="329678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0563648"/>
        <c:crosses val="autoZero"/>
        <c:auto val="1"/>
        <c:lblAlgn val="ctr"/>
        <c:lblOffset val="100"/>
        <c:noMultiLvlLbl val="0"/>
      </c:catAx>
      <c:valAx>
        <c:axId val="410563648"/>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lang="en-US" sz="1000" b="0" i="0" u="none" strike="noStrike" baseline="0">
                    <a:solidFill>
                      <a:srgbClr val="333333"/>
                    </a:solidFill>
                    <a:latin typeface="Cambria"/>
                    <a:ea typeface="Cambria"/>
                    <a:cs typeface="Cambria"/>
                  </a:defRPr>
                </a:pPr>
                <a:r>
                  <a:rPr lang="en-US"/>
                  <a:t>t/an</a:t>
                </a:r>
              </a:p>
            </c:rich>
          </c:tx>
          <c:layout>
            <c:manualLayout>
              <c:xMode val="edge"/>
              <c:yMode val="edge"/>
              <c:x val="7.9094940718617123E-3"/>
              <c:y val="0.45671746354899556"/>
            </c:manualLayout>
          </c:layout>
          <c:overlay val="0"/>
          <c:spPr>
            <a:noFill/>
            <a:ln w="25399">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lang="en-US" sz="8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329678848"/>
        <c:crosses val="autoZero"/>
        <c:crossBetween val="between"/>
      </c:valAx>
      <c:spPr>
        <a:noFill/>
        <a:ln w="25399">
          <a:noFill/>
        </a:ln>
      </c:spPr>
    </c:plotArea>
    <c:legend>
      <c:legendPos val="b"/>
      <c:legendEntry>
        <c:idx val="1"/>
        <c:delete val="1"/>
      </c:legendEntry>
      <c:layout>
        <c:manualLayout>
          <c:xMode val="edge"/>
          <c:yMode val="edge"/>
          <c:x val="2.9401031767580792E-2"/>
          <c:y val="0.89325547988933807"/>
          <c:w val="0.96418644221196459"/>
          <c:h val="0.10674452011066195"/>
        </c:manualLayout>
      </c:layout>
      <c:overlay val="0"/>
      <c:spPr>
        <a:noFill/>
        <a:ln w="25399">
          <a:noFill/>
        </a:ln>
      </c:spPr>
      <c:txPr>
        <a:bodyPr rot="0" spcFirstLastPara="1" vertOverflow="ellipsis" vert="horz" wrap="square" anchor="ctr" anchorCtr="1"/>
        <a:lstStyle/>
        <a:p>
          <a:pPr>
            <a:defRPr lang="en-US" sz="8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lang="en-US"/>
            </a:pPr>
            <a:r>
              <a:rPr lang="en-US" sz="1000"/>
              <a:t>Cd</a:t>
            </a:r>
          </a:p>
        </c:rich>
      </c:tx>
      <c:layout>
        <c:manualLayout>
          <c:xMode val="edge"/>
          <c:yMode val="edge"/>
          <c:x val="0.62183908045977099"/>
          <c:y val="7.6867758450345811E-2"/>
        </c:manualLayout>
      </c:layout>
      <c:overlay val="0"/>
    </c:title>
    <c:autoTitleDeleted val="0"/>
    <c:plotArea>
      <c:layout>
        <c:manualLayout>
          <c:layoutTarget val="inner"/>
          <c:xMode val="edge"/>
          <c:yMode val="edge"/>
          <c:x val="0.24538293058195329"/>
          <c:y val="7.0888592438341932E-2"/>
          <c:w val="0.75461706941804685"/>
          <c:h val="0.70129548840178813"/>
        </c:manualLayout>
      </c:layout>
      <c:barChart>
        <c:barDir val="col"/>
        <c:grouping val="clustered"/>
        <c:varyColors val="0"/>
        <c:ser>
          <c:idx val="0"/>
          <c:order val="0"/>
          <c:tx>
            <c:strRef>
              <c:f>Sheet1!$B$1</c:f>
              <c:strCache>
                <c:ptCount val="1"/>
                <c:pt idx="0">
                  <c:v>Surse staționare</c:v>
                </c:pt>
              </c:strCache>
            </c:strRef>
          </c:tx>
          <c:spPr>
            <a:solidFill>
              <a:srgbClr val="4472C4"/>
            </a:solidFill>
            <a:ln w="25399">
              <a:noFill/>
            </a:ln>
          </c:spPr>
          <c:invertIfNegative val="0"/>
          <c:dLbls>
            <c:spPr>
              <a:noFill/>
              <a:ln>
                <a:noFill/>
              </a:ln>
              <a:effectLst/>
            </c:spPr>
            <c:txPr>
              <a:bodyPr wrap="square" lIns="38100" tIns="19050" rIns="38100" bIns="19050" anchor="ctr">
                <a:spAutoFit/>
              </a:bodyPr>
              <a:lstStyle/>
              <a:p>
                <a:pPr>
                  <a:defRPr lang="en-US" sz="8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Sheet1!$A$2:$A$3</c:f>
              <c:strCache>
                <c:ptCount val="2"/>
                <c:pt idx="0">
                  <c:v>Scenariul A</c:v>
                </c:pt>
                <c:pt idx="1">
                  <c:v>Scenariul B</c:v>
                </c:pt>
              </c:strCache>
            </c:strRef>
          </c:cat>
          <c:val>
            <c:numRef>
              <c:f>Sheet1!$B$2:$B$3</c:f>
              <c:numCache>
                <c:formatCode>General</c:formatCode>
                <c:ptCount val="2"/>
                <c:pt idx="1">
                  <c:v>1.0000000000000019E-6</c:v>
                </c:pt>
              </c:numCache>
            </c:numRef>
          </c:val>
          <c:extLst>
            <c:ext xmlns:c16="http://schemas.microsoft.com/office/drawing/2014/chart" uri="{C3380CC4-5D6E-409C-BE32-E72D297353CC}">
              <c16:uniqueId val="{00000000-9FBA-4BFE-8FD3-B693CB679A09}"/>
            </c:ext>
          </c:extLst>
        </c:ser>
        <c:ser>
          <c:idx val="1"/>
          <c:order val="1"/>
          <c:tx>
            <c:strRef>
              <c:f>Sheet1!$C$1</c:f>
              <c:strCache>
                <c:ptCount val="1"/>
                <c:pt idx="0">
                  <c:v>Surse mobile</c:v>
                </c:pt>
              </c:strCache>
            </c:strRef>
          </c:tx>
          <c:spPr>
            <a:solidFill>
              <a:srgbClr val="ED7D31"/>
            </a:solidFill>
            <a:ln w="25399">
              <a:noFill/>
            </a:ln>
          </c:spPr>
          <c:invertIfNegative val="0"/>
          <c:dLbls>
            <c:spPr>
              <a:noFill/>
              <a:ln>
                <a:noFill/>
              </a:ln>
              <a:effectLst/>
            </c:spPr>
            <c:txPr>
              <a:bodyPr wrap="square" lIns="38100" tIns="19050" rIns="38100" bIns="19050" anchor="ctr">
                <a:spAutoFit/>
              </a:bodyPr>
              <a:lstStyle/>
              <a:p>
                <a:pPr>
                  <a:defRPr lang="en-US" sz="8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Sheet1!$A$2:$A$3</c:f>
              <c:strCache>
                <c:ptCount val="2"/>
                <c:pt idx="0">
                  <c:v>Scenariul A</c:v>
                </c:pt>
                <c:pt idx="1">
                  <c:v>Scenariul B</c:v>
                </c:pt>
              </c:strCache>
            </c:strRef>
          </c:cat>
          <c:val>
            <c:numRef>
              <c:f>Sheet1!$C$2:$C$3</c:f>
              <c:numCache>
                <c:formatCode>0.000000</c:formatCode>
                <c:ptCount val="2"/>
                <c:pt idx="1">
                  <c:v>9.1530933402597516E-6</c:v>
                </c:pt>
              </c:numCache>
            </c:numRef>
          </c:val>
          <c:extLst>
            <c:ext xmlns:c16="http://schemas.microsoft.com/office/drawing/2014/chart" uri="{C3380CC4-5D6E-409C-BE32-E72D297353CC}">
              <c16:uniqueId val="{00000001-9FBA-4BFE-8FD3-B693CB679A09}"/>
            </c:ext>
          </c:extLst>
        </c:ser>
        <c:ser>
          <c:idx val="2"/>
          <c:order val="2"/>
          <c:tx>
            <c:strRef>
              <c:f>Sheet1!$D$1</c:f>
              <c:strCache>
                <c:ptCount val="1"/>
                <c:pt idx="0">
                  <c:v>Surse de suprafață</c:v>
                </c:pt>
              </c:strCache>
            </c:strRef>
          </c:tx>
          <c:spPr>
            <a:solidFill>
              <a:srgbClr val="A5A5A5"/>
            </a:solidFill>
            <a:ln w="25399">
              <a:noFill/>
            </a:ln>
          </c:spPr>
          <c:invertIfNegative val="0"/>
          <c:dLbls>
            <c:spPr>
              <a:noFill/>
              <a:ln>
                <a:noFill/>
              </a:ln>
              <a:effectLst/>
            </c:spPr>
            <c:txPr>
              <a:bodyPr wrap="square" lIns="38100" tIns="19050" rIns="38100" bIns="19050" anchor="ctr">
                <a:spAutoFit/>
              </a:bodyPr>
              <a:lstStyle/>
              <a:p>
                <a:pPr>
                  <a:defRPr lang="en-US" sz="8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Sheet1!$A$2:$A$3</c:f>
              <c:strCache>
                <c:ptCount val="2"/>
                <c:pt idx="0">
                  <c:v>Scenariul A</c:v>
                </c:pt>
                <c:pt idx="1">
                  <c:v>Scenariul B</c:v>
                </c:pt>
              </c:strCache>
            </c:strRef>
          </c:cat>
          <c:val>
            <c:numRef>
              <c:f>Sheet1!$D$2:$D$3</c:f>
              <c:numCache>
                <c:formatCode>General</c:formatCode>
                <c:ptCount val="2"/>
                <c:pt idx="0">
                  <c:v>1.2000000000000012E-5</c:v>
                </c:pt>
                <c:pt idx="1">
                  <c:v>1.2000000000000012E-5</c:v>
                </c:pt>
              </c:numCache>
            </c:numRef>
          </c:val>
          <c:extLst>
            <c:ext xmlns:c16="http://schemas.microsoft.com/office/drawing/2014/chart" uri="{C3380CC4-5D6E-409C-BE32-E72D297353CC}">
              <c16:uniqueId val="{00000002-9FBA-4BFE-8FD3-B693CB679A09}"/>
            </c:ext>
          </c:extLst>
        </c:ser>
        <c:dLbls>
          <c:showLegendKey val="0"/>
          <c:showVal val="1"/>
          <c:showCatName val="0"/>
          <c:showSerName val="0"/>
          <c:showPercent val="0"/>
          <c:showBubbleSize val="0"/>
        </c:dLbls>
        <c:gapWidth val="219"/>
        <c:overlap val="-27"/>
        <c:axId val="329681920"/>
        <c:axId val="410564800"/>
      </c:barChart>
      <c:catAx>
        <c:axId val="329681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0564800"/>
        <c:crosses val="autoZero"/>
        <c:auto val="1"/>
        <c:lblAlgn val="ctr"/>
        <c:lblOffset val="100"/>
        <c:noMultiLvlLbl val="0"/>
      </c:catAx>
      <c:valAx>
        <c:axId val="410564800"/>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lang="en-US" sz="1000" b="0" i="0" u="none" strike="noStrike" baseline="0">
                    <a:solidFill>
                      <a:srgbClr val="333333"/>
                    </a:solidFill>
                    <a:latin typeface="Cambria"/>
                    <a:ea typeface="Cambria"/>
                    <a:cs typeface="Cambria"/>
                  </a:defRPr>
                </a:pPr>
                <a:r>
                  <a:rPr lang="en-US"/>
                  <a:t>t/an</a:t>
                </a:r>
              </a:p>
            </c:rich>
          </c:tx>
          <c:layout>
            <c:manualLayout>
              <c:xMode val="edge"/>
              <c:yMode val="edge"/>
              <c:x val="1.7104995426060341E-2"/>
              <c:y val="0.45671721902929335"/>
            </c:manualLayout>
          </c:layout>
          <c:overlay val="0"/>
          <c:spPr>
            <a:noFill/>
            <a:ln w="25399">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lang="en-US" sz="8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329681920"/>
        <c:crosses val="autoZero"/>
        <c:crossBetween val="between"/>
      </c:valAx>
      <c:spPr>
        <a:noFill/>
        <a:ln w="25399">
          <a:noFill/>
        </a:ln>
      </c:spPr>
    </c:plotArea>
    <c:legend>
      <c:legendPos val="b"/>
      <c:layout>
        <c:manualLayout>
          <c:xMode val="edge"/>
          <c:yMode val="edge"/>
          <c:x val="2.9401031767580792E-2"/>
          <c:y val="0.89325547988933807"/>
          <c:w val="0.96418644221196459"/>
          <c:h val="0.10674452011066195"/>
        </c:manualLayout>
      </c:layout>
      <c:overlay val="0"/>
      <c:spPr>
        <a:noFill/>
        <a:ln w="25399">
          <a:noFill/>
        </a:ln>
      </c:spPr>
      <c:txPr>
        <a:bodyPr rot="0" spcFirstLastPara="1" vertOverflow="ellipsis" vert="horz" wrap="square" anchor="ctr" anchorCtr="1"/>
        <a:lstStyle/>
        <a:p>
          <a:pPr>
            <a:defRPr lang="en-US" sz="8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lang="en-US"/>
            </a:pPr>
            <a:r>
              <a:rPr lang="en-US" sz="1000"/>
              <a:t>C</a:t>
            </a:r>
            <a:r>
              <a:rPr lang="en-US" sz="800" baseline="0"/>
              <a:t>6</a:t>
            </a:r>
            <a:r>
              <a:rPr lang="en-US" sz="1000"/>
              <a:t>H</a:t>
            </a:r>
            <a:r>
              <a:rPr lang="en-US" sz="800"/>
              <a:t>6</a:t>
            </a:r>
          </a:p>
        </c:rich>
      </c:tx>
      <c:layout>
        <c:manualLayout>
          <c:xMode val="edge"/>
          <c:yMode val="edge"/>
          <c:x val="0.49310344827586228"/>
          <c:y val="7.6867758450345811E-2"/>
        </c:manualLayout>
      </c:layout>
      <c:overlay val="0"/>
    </c:title>
    <c:autoTitleDeleted val="0"/>
    <c:plotArea>
      <c:layout>
        <c:manualLayout>
          <c:layoutTarget val="inner"/>
          <c:xMode val="edge"/>
          <c:yMode val="edge"/>
          <c:x val="0.16292913385826788"/>
          <c:y val="7.0888592438341932E-2"/>
          <c:w val="0.81359145624038465"/>
          <c:h val="0.70129548840178813"/>
        </c:manualLayout>
      </c:layout>
      <c:barChart>
        <c:barDir val="col"/>
        <c:grouping val="clustered"/>
        <c:varyColors val="0"/>
        <c:ser>
          <c:idx val="0"/>
          <c:order val="0"/>
          <c:tx>
            <c:strRef>
              <c:f>Sheet1!$B$1</c:f>
              <c:strCache>
                <c:ptCount val="1"/>
                <c:pt idx="0">
                  <c:v>Surse staționare</c:v>
                </c:pt>
              </c:strCache>
            </c:strRef>
          </c:tx>
          <c:spPr>
            <a:solidFill>
              <a:srgbClr val="4472C4"/>
            </a:solidFill>
            <a:ln w="25399">
              <a:noFill/>
            </a:ln>
          </c:spPr>
          <c:invertIfNegative val="0"/>
          <c:dLbls>
            <c:spPr>
              <a:noFill/>
              <a:ln>
                <a:noFill/>
              </a:ln>
              <a:effectLst/>
            </c:spPr>
            <c:txPr>
              <a:bodyPr wrap="square" lIns="38100" tIns="19050" rIns="38100" bIns="19050" anchor="ctr">
                <a:spAutoFit/>
              </a:bodyPr>
              <a:lstStyle/>
              <a:p>
                <a:pPr>
                  <a:defRPr lang="en-US" sz="8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Sheet1!$A$2:$A$3</c:f>
              <c:strCache>
                <c:ptCount val="2"/>
                <c:pt idx="0">
                  <c:v>Scenariul A</c:v>
                </c:pt>
                <c:pt idx="1">
                  <c:v>Scenariul B</c:v>
                </c:pt>
              </c:strCache>
            </c:strRef>
          </c:cat>
          <c:val>
            <c:numRef>
              <c:f>Sheet1!$B$2:$B$3</c:f>
              <c:numCache>
                <c:formatCode>General</c:formatCode>
                <c:ptCount val="2"/>
              </c:numCache>
            </c:numRef>
          </c:val>
          <c:extLst>
            <c:ext xmlns:c16="http://schemas.microsoft.com/office/drawing/2014/chart" uri="{C3380CC4-5D6E-409C-BE32-E72D297353CC}">
              <c16:uniqueId val="{00000000-7028-4AC5-98E7-E3CE137FA504}"/>
            </c:ext>
          </c:extLst>
        </c:ser>
        <c:ser>
          <c:idx val="1"/>
          <c:order val="1"/>
          <c:tx>
            <c:strRef>
              <c:f>Sheet1!$C$1</c:f>
              <c:strCache>
                <c:ptCount val="1"/>
                <c:pt idx="0">
                  <c:v>Surse mobile</c:v>
                </c:pt>
              </c:strCache>
            </c:strRef>
          </c:tx>
          <c:spPr>
            <a:solidFill>
              <a:srgbClr val="ED7D31"/>
            </a:solidFill>
            <a:ln w="25399">
              <a:noFill/>
            </a:ln>
          </c:spPr>
          <c:invertIfNegative val="0"/>
          <c:dLbls>
            <c:spPr>
              <a:noFill/>
              <a:ln>
                <a:noFill/>
              </a:ln>
              <a:effectLst/>
            </c:spPr>
            <c:txPr>
              <a:bodyPr wrap="square" lIns="38100" tIns="19050" rIns="38100" bIns="19050" anchor="ctr">
                <a:spAutoFit/>
              </a:bodyPr>
              <a:lstStyle/>
              <a:p>
                <a:pPr>
                  <a:defRPr lang="en-US" sz="8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Sheet1!$A$2:$A$3</c:f>
              <c:strCache>
                <c:ptCount val="2"/>
                <c:pt idx="0">
                  <c:v>Scenariul A</c:v>
                </c:pt>
                <c:pt idx="1">
                  <c:v>Scenariul B</c:v>
                </c:pt>
              </c:strCache>
            </c:strRef>
          </c:cat>
          <c:val>
            <c:numRef>
              <c:f>Sheet1!$C$2:$C$3</c:f>
              <c:numCache>
                <c:formatCode>0.000</c:formatCode>
                <c:ptCount val="2"/>
                <c:pt idx="1">
                  <c:v>0.26800000000000002</c:v>
                </c:pt>
              </c:numCache>
            </c:numRef>
          </c:val>
          <c:extLst>
            <c:ext xmlns:c16="http://schemas.microsoft.com/office/drawing/2014/chart" uri="{C3380CC4-5D6E-409C-BE32-E72D297353CC}">
              <c16:uniqueId val="{00000001-7028-4AC5-98E7-E3CE137FA504}"/>
            </c:ext>
          </c:extLst>
        </c:ser>
        <c:ser>
          <c:idx val="2"/>
          <c:order val="2"/>
          <c:tx>
            <c:strRef>
              <c:f>Sheet1!$D$1</c:f>
              <c:strCache>
                <c:ptCount val="1"/>
                <c:pt idx="0">
                  <c:v>Surse de suprafață</c:v>
                </c:pt>
              </c:strCache>
            </c:strRef>
          </c:tx>
          <c:spPr>
            <a:solidFill>
              <a:srgbClr val="A5A5A5"/>
            </a:solidFill>
            <a:ln w="25399">
              <a:noFill/>
            </a:ln>
          </c:spPr>
          <c:invertIfNegative val="0"/>
          <c:dLbls>
            <c:spPr>
              <a:noFill/>
              <a:ln>
                <a:noFill/>
              </a:ln>
              <a:effectLst/>
            </c:spPr>
            <c:txPr>
              <a:bodyPr wrap="square" lIns="38100" tIns="19050" rIns="38100" bIns="19050" anchor="ctr">
                <a:spAutoFit/>
              </a:bodyPr>
              <a:lstStyle/>
              <a:p>
                <a:pPr>
                  <a:defRPr lang="en-US" sz="8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Sheet1!$A$2:$A$3</c:f>
              <c:strCache>
                <c:ptCount val="2"/>
                <c:pt idx="0">
                  <c:v>Scenariul A</c:v>
                </c:pt>
                <c:pt idx="1">
                  <c:v>Scenariul B</c:v>
                </c:pt>
              </c:strCache>
            </c:strRef>
          </c:cat>
          <c:val>
            <c:numRef>
              <c:f>Sheet1!$D$2:$D$3</c:f>
              <c:numCache>
                <c:formatCode>General</c:formatCode>
                <c:ptCount val="2"/>
              </c:numCache>
            </c:numRef>
          </c:val>
          <c:extLst>
            <c:ext xmlns:c16="http://schemas.microsoft.com/office/drawing/2014/chart" uri="{C3380CC4-5D6E-409C-BE32-E72D297353CC}">
              <c16:uniqueId val="{00000002-7028-4AC5-98E7-E3CE137FA504}"/>
            </c:ext>
          </c:extLst>
        </c:ser>
        <c:dLbls>
          <c:showLegendKey val="0"/>
          <c:showVal val="1"/>
          <c:showCatName val="0"/>
          <c:showSerName val="0"/>
          <c:showPercent val="0"/>
          <c:showBubbleSize val="0"/>
        </c:dLbls>
        <c:gapWidth val="219"/>
        <c:overlap val="-27"/>
        <c:axId val="329679360"/>
        <c:axId val="416030720"/>
      </c:barChart>
      <c:catAx>
        <c:axId val="329679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6030720"/>
        <c:crosses val="autoZero"/>
        <c:auto val="1"/>
        <c:lblAlgn val="ctr"/>
        <c:lblOffset val="100"/>
        <c:noMultiLvlLbl val="0"/>
      </c:catAx>
      <c:valAx>
        <c:axId val="416030720"/>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lang="en-US" sz="1000" b="0" i="0" u="none" strike="noStrike" baseline="0">
                    <a:solidFill>
                      <a:srgbClr val="333333"/>
                    </a:solidFill>
                    <a:latin typeface="Cambria"/>
                    <a:ea typeface="Cambria"/>
                    <a:cs typeface="Cambria"/>
                  </a:defRPr>
                </a:pPr>
                <a:r>
                  <a:rPr lang="en-US"/>
                  <a:t>t/an</a:t>
                </a:r>
              </a:p>
            </c:rich>
          </c:tx>
          <c:layout>
            <c:manualLayout>
              <c:xMode val="edge"/>
              <c:yMode val="edge"/>
              <c:x val="1.7104995426060341E-2"/>
              <c:y val="0.45671721902929335"/>
            </c:manualLayout>
          </c:layout>
          <c:overlay val="0"/>
          <c:spPr>
            <a:noFill/>
            <a:ln w="25399">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lang="en-US" sz="8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329679360"/>
        <c:crosses val="autoZero"/>
        <c:crossBetween val="between"/>
      </c:valAx>
      <c:spPr>
        <a:noFill/>
        <a:ln w="25399">
          <a:noFill/>
        </a:ln>
      </c:spPr>
    </c:plotArea>
    <c:legend>
      <c:legendPos val="b"/>
      <c:legendEntry>
        <c:idx val="0"/>
        <c:delete val="1"/>
      </c:legendEntry>
      <c:legendEntry>
        <c:idx val="2"/>
        <c:delete val="1"/>
      </c:legendEntry>
      <c:layout>
        <c:manualLayout>
          <c:xMode val="edge"/>
          <c:yMode val="edge"/>
          <c:x val="2.9401031767580792E-2"/>
          <c:y val="0.89325547988933807"/>
          <c:w val="0.96418644221196459"/>
          <c:h val="0.10674452011066195"/>
        </c:manualLayout>
      </c:layout>
      <c:overlay val="0"/>
      <c:spPr>
        <a:noFill/>
        <a:ln w="25399">
          <a:noFill/>
        </a:ln>
      </c:spPr>
      <c:txPr>
        <a:bodyPr rot="0" spcFirstLastPara="1" vertOverflow="ellipsis" vert="horz" wrap="square" anchor="ctr" anchorCtr="1"/>
        <a:lstStyle/>
        <a:p>
          <a:pPr>
            <a:defRPr lang="en-US" sz="8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lang="en-US"/>
            </a:pPr>
            <a:r>
              <a:rPr lang="en-US" sz="1000"/>
              <a:t>CO</a:t>
            </a:r>
          </a:p>
        </c:rich>
      </c:tx>
      <c:layout>
        <c:manualLayout>
          <c:xMode val="edge"/>
          <c:yMode val="edge"/>
          <c:x val="0.55747126436781613"/>
          <c:y val="7.6867758450345811E-2"/>
        </c:manualLayout>
      </c:layout>
      <c:overlay val="0"/>
    </c:title>
    <c:autoTitleDeleted val="0"/>
    <c:plotArea>
      <c:layout>
        <c:manualLayout>
          <c:layoutTarget val="inner"/>
          <c:xMode val="edge"/>
          <c:yMode val="edge"/>
          <c:x val="0.20890614535252081"/>
          <c:y val="7.0888592438341932E-2"/>
          <c:w val="0.76761444474613083"/>
          <c:h val="0.70129548840178813"/>
        </c:manualLayout>
      </c:layout>
      <c:barChart>
        <c:barDir val="col"/>
        <c:grouping val="clustered"/>
        <c:varyColors val="0"/>
        <c:ser>
          <c:idx val="0"/>
          <c:order val="0"/>
          <c:tx>
            <c:strRef>
              <c:f>Sheet1!$B$1</c:f>
              <c:strCache>
                <c:ptCount val="1"/>
                <c:pt idx="0">
                  <c:v>Surse staționare</c:v>
                </c:pt>
              </c:strCache>
            </c:strRef>
          </c:tx>
          <c:spPr>
            <a:solidFill>
              <a:srgbClr val="4472C4"/>
            </a:solidFill>
            <a:ln w="25399">
              <a:noFill/>
            </a:ln>
          </c:spPr>
          <c:invertIfNegative val="0"/>
          <c:dLbls>
            <c:spPr>
              <a:noFill/>
              <a:ln>
                <a:noFill/>
              </a:ln>
              <a:effectLst/>
            </c:spPr>
            <c:txPr>
              <a:bodyPr wrap="square" lIns="38100" tIns="19050" rIns="38100" bIns="19050" anchor="ctr">
                <a:spAutoFit/>
              </a:bodyPr>
              <a:lstStyle/>
              <a:p>
                <a:pPr>
                  <a:defRPr lang="en-US" sz="8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Sheet1!$A$2:$A$3</c:f>
              <c:strCache>
                <c:ptCount val="2"/>
                <c:pt idx="0">
                  <c:v>Scenariul A</c:v>
                </c:pt>
                <c:pt idx="1">
                  <c:v>Scenariul B</c:v>
                </c:pt>
              </c:strCache>
            </c:strRef>
          </c:cat>
          <c:val>
            <c:numRef>
              <c:f>Sheet1!$B$2:$B$3</c:f>
              <c:numCache>
                <c:formatCode>General</c:formatCode>
                <c:ptCount val="2"/>
                <c:pt idx="1">
                  <c:v>4.9850000000000003</c:v>
                </c:pt>
              </c:numCache>
            </c:numRef>
          </c:val>
          <c:extLst>
            <c:ext xmlns:c16="http://schemas.microsoft.com/office/drawing/2014/chart" uri="{C3380CC4-5D6E-409C-BE32-E72D297353CC}">
              <c16:uniqueId val="{00000000-9A44-4593-9C70-1BC3F61B6DA0}"/>
            </c:ext>
          </c:extLst>
        </c:ser>
        <c:ser>
          <c:idx val="1"/>
          <c:order val="1"/>
          <c:tx>
            <c:strRef>
              <c:f>Sheet1!$C$1</c:f>
              <c:strCache>
                <c:ptCount val="1"/>
                <c:pt idx="0">
                  <c:v>Surse mobile</c:v>
                </c:pt>
              </c:strCache>
            </c:strRef>
          </c:tx>
          <c:spPr>
            <a:solidFill>
              <a:srgbClr val="ED7D31"/>
            </a:solidFill>
            <a:ln w="25399">
              <a:noFill/>
            </a:ln>
          </c:spPr>
          <c:invertIfNegative val="0"/>
          <c:dLbls>
            <c:spPr>
              <a:noFill/>
              <a:ln>
                <a:noFill/>
              </a:ln>
              <a:effectLst/>
            </c:spPr>
            <c:txPr>
              <a:bodyPr wrap="square" lIns="38100" tIns="19050" rIns="38100" bIns="19050" anchor="ctr">
                <a:spAutoFit/>
              </a:bodyPr>
              <a:lstStyle/>
              <a:p>
                <a:pPr>
                  <a:defRPr lang="en-US" sz="8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Sheet1!$A$2:$A$3</c:f>
              <c:strCache>
                <c:ptCount val="2"/>
                <c:pt idx="0">
                  <c:v>Scenariul A</c:v>
                </c:pt>
                <c:pt idx="1">
                  <c:v>Scenariul B</c:v>
                </c:pt>
              </c:strCache>
            </c:strRef>
          </c:cat>
          <c:val>
            <c:numRef>
              <c:f>Sheet1!$C$2:$C$3</c:f>
              <c:numCache>
                <c:formatCode>General</c:formatCode>
                <c:ptCount val="2"/>
                <c:pt idx="1">
                  <c:v>42.064</c:v>
                </c:pt>
              </c:numCache>
            </c:numRef>
          </c:val>
          <c:extLst>
            <c:ext xmlns:c16="http://schemas.microsoft.com/office/drawing/2014/chart" uri="{C3380CC4-5D6E-409C-BE32-E72D297353CC}">
              <c16:uniqueId val="{00000001-9A44-4593-9C70-1BC3F61B6DA0}"/>
            </c:ext>
          </c:extLst>
        </c:ser>
        <c:ser>
          <c:idx val="2"/>
          <c:order val="2"/>
          <c:tx>
            <c:strRef>
              <c:f>Sheet1!$D$1</c:f>
              <c:strCache>
                <c:ptCount val="1"/>
                <c:pt idx="0">
                  <c:v>Surse de suprafață</c:v>
                </c:pt>
              </c:strCache>
            </c:strRef>
          </c:tx>
          <c:spPr>
            <a:solidFill>
              <a:srgbClr val="A5A5A5"/>
            </a:solidFill>
            <a:ln w="25399">
              <a:noFill/>
            </a:ln>
          </c:spPr>
          <c:invertIfNegative val="0"/>
          <c:dLbls>
            <c:spPr>
              <a:noFill/>
              <a:ln>
                <a:noFill/>
              </a:ln>
              <a:effectLst/>
            </c:spPr>
            <c:txPr>
              <a:bodyPr wrap="square" lIns="38100" tIns="19050" rIns="38100" bIns="19050" anchor="ctr">
                <a:spAutoFit/>
              </a:bodyPr>
              <a:lstStyle/>
              <a:p>
                <a:pPr>
                  <a:defRPr lang="en-US" sz="8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Sheet1!$A$2:$A$3</c:f>
              <c:strCache>
                <c:ptCount val="2"/>
                <c:pt idx="0">
                  <c:v>Scenariul A</c:v>
                </c:pt>
                <c:pt idx="1">
                  <c:v>Scenariul B</c:v>
                </c:pt>
              </c:strCache>
            </c:strRef>
          </c:cat>
          <c:val>
            <c:numRef>
              <c:f>Sheet1!$D$2:$D$3</c:f>
              <c:numCache>
                <c:formatCode>General</c:formatCode>
                <c:ptCount val="2"/>
                <c:pt idx="0">
                  <c:v>74.825000000000003</c:v>
                </c:pt>
                <c:pt idx="1">
                  <c:v>74.825000000000003</c:v>
                </c:pt>
              </c:numCache>
            </c:numRef>
          </c:val>
          <c:extLst>
            <c:ext xmlns:c16="http://schemas.microsoft.com/office/drawing/2014/chart" uri="{C3380CC4-5D6E-409C-BE32-E72D297353CC}">
              <c16:uniqueId val="{00000002-9A44-4593-9C70-1BC3F61B6DA0}"/>
            </c:ext>
          </c:extLst>
        </c:ser>
        <c:dLbls>
          <c:showLegendKey val="0"/>
          <c:showVal val="1"/>
          <c:showCatName val="0"/>
          <c:showSerName val="0"/>
          <c:showPercent val="0"/>
          <c:showBubbleSize val="0"/>
        </c:dLbls>
        <c:gapWidth val="219"/>
        <c:overlap val="-27"/>
        <c:axId val="329931264"/>
        <c:axId val="416032448"/>
      </c:barChart>
      <c:catAx>
        <c:axId val="329931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6032448"/>
        <c:crosses val="autoZero"/>
        <c:auto val="1"/>
        <c:lblAlgn val="ctr"/>
        <c:lblOffset val="100"/>
        <c:noMultiLvlLbl val="0"/>
      </c:catAx>
      <c:valAx>
        <c:axId val="416032448"/>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lang="en-US" sz="1000" b="0" i="0" u="none" strike="noStrike" baseline="0">
                    <a:solidFill>
                      <a:srgbClr val="333333"/>
                    </a:solidFill>
                    <a:latin typeface="Cambria"/>
                    <a:ea typeface="Cambria"/>
                    <a:cs typeface="Cambria"/>
                  </a:defRPr>
                </a:pPr>
                <a:r>
                  <a:rPr lang="en-US"/>
                  <a:t>t/an</a:t>
                </a:r>
              </a:p>
            </c:rich>
          </c:tx>
          <c:layout>
            <c:manualLayout>
              <c:xMode val="edge"/>
              <c:yMode val="edge"/>
              <c:x val="1.7104995426060341E-2"/>
              <c:y val="0.45671721902929335"/>
            </c:manualLayout>
          </c:layout>
          <c:overlay val="0"/>
          <c:spPr>
            <a:noFill/>
            <a:ln w="25399">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lang="en-US" sz="8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329931264"/>
        <c:crosses val="autoZero"/>
        <c:crossBetween val="between"/>
      </c:valAx>
      <c:spPr>
        <a:noFill/>
        <a:ln w="25399">
          <a:noFill/>
        </a:ln>
      </c:spPr>
    </c:plotArea>
    <c:legend>
      <c:legendPos val="b"/>
      <c:layout>
        <c:manualLayout>
          <c:xMode val="edge"/>
          <c:yMode val="edge"/>
          <c:x val="2.9401031767580792E-2"/>
          <c:y val="0.89325547988933807"/>
          <c:w val="0.96418644221196459"/>
          <c:h val="0.10674452011066195"/>
        </c:manualLayout>
      </c:layout>
      <c:overlay val="0"/>
      <c:spPr>
        <a:noFill/>
        <a:ln w="25399">
          <a:noFill/>
        </a:ln>
      </c:spPr>
      <c:txPr>
        <a:bodyPr rot="0" spcFirstLastPara="1" vertOverflow="ellipsis" vert="horz" wrap="square" anchor="ctr" anchorCtr="1"/>
        <a:lstStyle/>
        <a:p>
          <a:pPr>
            <a:defRPr lang="en-US" sz="8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lang="en-US"/>
            </a:pPr>
            <a:r>
              <a:rPr lang="en-US" sz="1000"/>
              <a:t>Ni</a:t>
            </a:r>
          </a:p>
        </c:rich>
      </c:tx>
      <c:layout>
        <c:manualLayout>
          <c:xMode val="edge"/>
          <c:yMode val="edge"/>
          <c:x val="0.49310344827586228"/>
          <c:y val="7.6867758450345811E-2"/>
        </c:manualLayout>
      </c:layout>
      <c:overlay val="0"/>
    </c:title>
    <c:autoTitleDeleted val="0"/>
    <c:plotArea>
      <c:layout>
        <c:manualLayout>
          <c:layoutTarget val="inner"/>
          <c:xMode val="edge"/>
          <c:yMode val="edge"/>
          <c:x val="0.22269924880079656"/>
          <c:y val="7.0888592438341932E-2"/>
          <c:w val="0.75382134129785505"/>
          <c:h val="0.70129548840178813"/>
        </c:manualLayout>
      </c:layout>
      <c:barChart>
        <c:barDir val="col"/>
        <c:grouping val="clustered"/>
        <c:varyColors val="0"/>
        <c:ser>
          <c:idx val="0"/>
          <c:order val="0"/>
          <c:tx>
            <c:strRef>
              <c:f>Sheet1!$B$1</c:f>
              <c:strCache>
                <c:ptCount val="1"/>
                <c:pt idx="0">
                  <c:v>Surse staționare</c:v>
                </c:pt>
              </c:strCache>
            </c:strRef>
          </c:tx>
          <c:spPr>
            <a:solidFill>
              <a:srgbClr val="4472C4"/>
            </a:solidFill>
            <a:ln w="25399">
              <a:noFill/>
            </a:ln>
          </c:spPr>
          <c:invertIfNegative val="0"/>
          <c:dLbls>
            <c:spPr>
              <a:noFill/>
              <a:ln>
                <a:noFill/>
              </a:ln>
              <a:effectLst/>
            </c:spPr>
            <c:txPr>
              <a:bodyPr wrap="square" lIns="38100" tIns="19050" rIns="38100" bIns="19050" anchor="ctr">
                <a:spAutoFit/>
              </a:bodyPr>
              <a:lstStyle/>
              <a:p>
                <a:pPr>
                  <a:defRPr lang="en-US" sz="8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Sheet1!$A$2:$A$3</c:f>
              <c:strCache>
                <c:ptCount val="2"/>
                <c:pt idx="0">
                  <c:v>Scenariul A</c:v>
                </c:pt>
                <c:pt idx="1">
                  <c:v>Scenariul B</c:v>
                </c:pt>
              </c:strCache>
            </c:strRef>
          </c:cat>
          <c:val>
            <c:numRef>
              <c:f>Sheet1!$B$2:$B$3</c:f>
              <c:numCache>
                <c:formatCode>0.000000</c:formatCode>
                <c:ptCount val="2"/>
                <c:pt idx="1">
                  <c:v>3.3199999999999999E-4</c:v>
                </c:pt>
              </c:numCache>
            </c:numRef>
          </c:val>
          <c:extLst>
            <c:ext xmlns:c16="http://schemas.microsoft.com/office/drawing/2014/chart" uri="{C3380CC4-5D6E-409C-BE32-E72D297353CC}">
              <c16:uniqueId val="{00000000-7D01-4A11-B97B-5082C4D417E0}"/>
            </c:ext>
          </c:extLst>
        </c:ser>
        <c:ser>
          <c:idx val="1"/>
          <c:order val="1"/>
          <c:tx>
            <c:strRef>
              <c:f>Sheet1!$C$1</c:f>
              <c:strCache>
                <c:ptCount val="1"/>
                <c:pt idx="0">
                  <c:v>Surse mobile</c:v>
                </c:pt>
              </c:strCache>
            </c:strRef>
          </c:tx>
          <c:spPr>
            <a:solidFill>
              <a:srgbClr val="ED7D31"/>
            </a:solidFill>
            <a:ln w="25399">
              <a:noFill/>
            </a:ln>
          </c:spPr>
          <c:invertIfNegative val="0"/>
          <c:dLbls>
            <c:spPr>
              <a:noFill/>
              <a:ln>
                <a:noFill/>
              </a:ln>
              <a:effectLst/>
            </c:spPr>
            <c:txPr>
              <a:bodyPr wrap="square" lIns="38100" tIns="19050" rIns="38100" bIns="19050" anchor="ctr">
                <a:spAutoFit/>
              </a:bodyPr>
              <a:lstStyle/>
              <a:p>
                <a:pPr>
                  <a:defRPr lang="en-US" sz="8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Sheet1!$A$2:$A$3</c:f>
              <c:strCache>
                <c:ptCount val="2"/>
                <c:pt idx="0">
                  <c:v>Scenariul A</c:v>
                </c:pt>
                <c:pt idx="1">
                  <c:v>Scenariul B</c:v>
                </c:pt>
              </c:strCache>
            </c:strRef>
          </c:cat>
          <c:val>
            <c:numRef>
              <c:f>Sheet1!$C$2:$C$3</c:f>
              <c:numCache>
                <c:formatCode>0.000000</c:formatCode>
                <c:ptCount val="2"/>
                <c:pt idx="1">
                  <c:v>2.8000000000000023E-5</c:v>
                </c:pt>
              </c:numCache>
            </c:numRef>
          </c:val>
          <c:extLst>
            <c:ext xmlns:c16="http://schemas.microsoft.com/office/drawing/2014/chart" uri="{C3380CC4-5D6E-409C-BE32-E72D297353CC}">
              <c16:uniqueId val="{00000001-7D01-4A11-B97B-5082C4D417E0}"/>
            </c:ext>
          </c:extLst>
        </c:ser>
        <c:ser>
          <c:idx val="2"/>
          <c:order val="2"/>
          <c:tx>
            <c:strRef>
              <c:f>Sheet1!$D$1</c:f>
              <c:strCache>
                <c:ptCount val="1"/>
                <c:pt idx="0">
                  <c:v>Surse de suprafață</c:v>
                </c:pt>
              </c:strCache>
            </c:strRef>
          </c:tx>
          <c:spPr>
            <a:solidFill>
              <a:srgbClr val="A5A5A5"/>
            </a:solidFill>
            <a:ln w="25399">
              <a:noFill/>
            </a:ln>
          </c:spPr>
          <c:invertIfNegative val="0"/>
          <c:dLbls>
            <c:spPr>
              <a:noFill/>
              <a:ln>
                <a:noFill/>
              </a:ln>
              <a:effectLst/>
            </c:spPr>
            <c:txPr>
              <a:bodyPr wrap="square" lIns="38100" tIns="19050" rIns="38100" bIns="19050" anchor="ctr">
                <a:spAutoFit/>
              </a:bodyPr>
              <a:lstStyle/>
              <a:p>
                <a:pPr>
                  <a:defRPr lang="en-US" sz="8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Sheet1!$A$2:$A$3</c:f>
              <c:strCache>
                <c:ptCount val="2"/>
                <c:pt idx="0">
                  <c:v>Scenariul A</c:v>
                </c:pt>
                <c:pt idx="1">
                  <c:v>Scenariul B</c:v>
                </c:pt>
              </c:strCache>
            </c:strRef>
          </c:cat>
          <c:val>
            <c:numRef>
              <c:f>Sheet1!$D$2:$D$3</c:f>
              <c:numCache>
                <c:formatCode>General</c:formatCode>
                <c:ptCount val="2"/>
                <c:pt idx="0">
                  <c:v>2.4900000000000014E-4</c:v>
                </c:pt>
                <c:pt idx="1">
                  <c:v>2.4900000000000014E-4</c:v>
                </c:pt>
              </c:numCache>
            </c:numRef>
          </c:val>
          <c:extLst>
            <c:ext xmlns:c16="http://schemas.microsoft.com/office/drawing/2014/chart" uri="{C3380CC4-5D6E-409C-BE32-E72D297353CC}">
              <c16:uniqueId val="{00000002-7D01-4A11-B97B-5082C4D417E0}"/>
            </c:ext>
          </c:extLst>
        </c:ser>
        <c:dLbls>
          <c:showLegendKey val="0"/>
          <c:showVal val="1"/>
          <c:showCatName val="0"/>
          <c:showSerName val="0"/>
          <c:showPercent val="0"/>
          <c:showBubbleSize val="0"/>
        </c:dLbls>
        <c:gapWidth val="219"/>
        <c:overlap val="-27"/>
        <c:axId val="329679872"/>
        <c:axId val="416034176"/>
      </c:barChart>
      <c:catAx>
        <c:axId val="329679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6034176"/>
        <c:crosses val="autoZero"/>
        <c:auto val="1"/>
        <c:lblAlgn val="ctr"/>
        <c:lblOffset val="100"/>
        <c:noMultiLvlLbl val="0"/>
      </c:catAx>
      <c:valAx>
        <c:axId val="416034176"/>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lang="en-US" sz="1000" b="0" i="0" u="none" strike="noStrike" baseline="0">
                    <a:solidFill>
                      <a:srgbClr val="333333"/>
                    </a:solidFill>
                    <a:latin typeface="Cambria"/>
                    <a:ea typeface="Cambria"/>
                    <a:cs typeface="Cambria"/>
                  </a:defRPr>
                </a:pPr>
                <a:r>
                  <a:rPr lang="en-US"/>
                  <a:t>t/an</a:t>
                </a:r>
              </a:p>
            </c:rich>
          </c:tx>
          <c:layout>
            <c:manualLayout>
              <c:xMode val="edge"/>
              <c:yMode val="edge"/>
              <c:x val="1.7104995426060341E-2"/>
              <c:y val="0.45671721902929335"/>
            </c:manualLayout>
          </c:layout>
          <c:overlay val="0"/>
          <c:spPr>
            <a:noFill/>
            <a:ln w="25399">
              <a:noFill/>
            </a:ln>
          </c:spPr>
        </c:title>
        <c:numFmt formatCode="0.000000" sourceLinked="1"/>
        <c:majorTickMark val="none"/>
        <c:minorTickMark val="none"/>
        <c:tickLblPos val="nextTo"/>
        <c:spPr>
          <a:ln w="6350">
            <a:noFill/>
          </a:ln>
        </c:spPr>
        <c:txPr>
          <a:bodyPr rot="-60000000" spcFirstLastPara="1" vertOverflow="ellipsis" vert="horz" wrap="square" anchor="ctr" anchorCtr="1"/>
          <a:lstStyle/>
          <a:p>
            <a:pPr>
              <a:defRPr lang="en-US" sz="8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329679872"/>
        <c:crosses val="autoZero"/>
        <c:crossBetween val="between"/>
      </c:valAx>
      <c:spPr>
        <a:noFill/>
        <a:ln w="25399">
          <a:noFill/>
        </a:ln>
      </c:spPr>
    </c:plotArea>
    <c:legend>
      <c:legendPos val="b"/>
      <c:layout>
        <c:manualLayout>
          <c:xMode val="edge"/>
          <c:yMode val="edge"/>
          <c:x val="2.9401031767580792E-2"/>
          <c:y val="0.89325547988933807"/>
          <c:w val="0.96418644221196459"/>
          <c:h val="0.10674452011066195"/>
        </c:manualLayout>
      </c:layout>
      <c:overlay val="0"/>
      <c:spPr>
        <a:noFill/>
        <a:ln w="25399">
          <a:noFill/>
        </a:ln>
      </c:spPr>
      <c:txPr>
        <a:bodyPr rot="0" spcFirstLastPara="1" vertOverflow="ellipsis" vert="horz" wrap="square" anchor="ctr" anchorCtr="1"/>
        <a:lstStyle/>
        <a:p>
          <a:pPr>
            <a:defRPr lang="en-US" sz="8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lang="en-US"/>
            </a:pPr>
            <a:r>
              <a:rPr lang="en-US" sz="1000"/>
              <a:t>NOx</a:t>
            </a:r>
          </a:p>
        </c:rich>
      </c:tx>
      <c:layout>
        <c:manualLayout>
          <c:xMode val="edge"/>
          <c:yMode val="edge"/>
          <c:x val="0.49310344827586228"/>
          <c:y val="7.6867758450345811E-2"/>
        </c:manualLayout>
      </c:layout>
      <c:overlay val="0"/>
    </c:title>
    <c:autoTitleDeleted val="0"/>
    <c:plotArea>
      <c:layout>
        <c:manualLayout>
          <c:layoutTarget val="inner"/>
          <c:xMode val="edge"/>
          <c:yMode val="edge"/>
          <c:x val="0.15373373155941733"/>
          <c:y val="7.0888592438341932E-2"/>
          <c:w val="0.82278685853923461"/>
          <c:h val="0.70129548840178813"/>
        </c:manualLayout>
      </c:layout>
      <c:barChart>
        <c:barDir val="col"/>
        <c:grouping val="clustered"/>
        <c:varyColors val="0"/>
        <c:ser>
          <c:idx val="0"/>
          <c:order val="0"/>
          <c:tx>
            <c:strRef>
              <c:f>Sheet1!$B$1</c:f>
              <c:strCache>
                <c:ptCount val="1"/>
                <c:pt idx="0">
                  <c:v>Surse staționare</c:v>
                </c:pt>
              </c:strCache>
            </c:strRef>
          </c:tx>
          <c:spPr>
            <a:solidFill>
              <a:srgbClr val="4472C4"/>
            </a:solidFill>
            <a:ln w="25399">
              <a:noFill/>
            </a:ln>
          </c:spPr>
          <c:invertIfNegative val="0"/>
          <c:dLbls>
            <c:spPr>
              <a:noFill/>
              <a:ln>
                <a:noFill/>
              </a:ln>
              <a:effectLst/>
            </c:spPr>
            <c:txPr>
              <a:bodyPr wrap="square" lIns="38100" tIns="19050" rIns="38100" bIns="19050" anchor="ctr">
                <a:spAutoFit/>
              </a:bodyPr>
              <a:lstStyle/>
              <a:p>
                <a:pPr>
                  <a:defRPr lang="en-US" sz="8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Sheet1!$A$2:$A$3</c:f>
              <c:strCache>
                <c:ptCount val="2"/>
                <c:pt idx="0">
                  <c:v>Scenariul A</c:v>
                </c:pt>
                <c:pt idx="1">
                  <c:v>Scenariul B</c:v>
                </c:pt>
              </c:strCache>
            </c:strRef>
          </c:cat>
          <c:val>
            <c:numRef>
              <c:f>Sheet1!$B$2:$B$3</c:f>
              <c:numCache>
                <c:formatCode>General</c:formatCode>
                <c:ptCount val="2"/>
                <c:pt idx="1">
                  <c:v>0.192</c:v>
                </c:pt>
              </c:numCache>
            </c:numRef>
          </c:val>
          <c:extLst>
            <c:ext xmlns:c16="http://schemas.microsoft.com/office/drawing/2014/chart" uri="{C3380CC4-5D6E-409C-BE32-E72D297353CC}">
              <c16:uniqueId val="{00000000-2B23-46D8-B667-9EF5C390832D}"/>
            </c:ext>
          </c:extLst>
        </c:ser>
        <c:ser>
          <c:idx val="1"/>
          <c:order val="1"/>
          <c:tx>
            <c:strRef>
              <c:f>Sheet1!$C$1</c:f>
              <c:strCache>
                <c:ptCount val="1"/>
                <c:pt idx="0">
                  <c:v>Surse mobile</c:v>
                </c:pt>
              </c:strCache>
            </c:strRef>
          </c:tx>
          <c:spPr>
            <a:solidFill>
              <a:srgbClr val="ED7D31"/>
            </a:solidFill>
            <a:ln w="25399">
              <a:noFill/>
            </a:ln>
          </c:spPr>
          <c:invertIfNegative val="0"/>
          <c:dLbls>
            <c:spPr>
              <a:noFill/>
              <a:ln>
                <a:noFill/>
              </a:ln>
              <a:effectLst/>
            </c:spPr>
            <c:txPr>
              <a:bodyPr wrap="square" lIns="38100" tIns="19050" rIns="38100" bIns="19050" anchor="ctr">
                <a:spAutoFit/>
              </a:bodyPr>
              <a:lstStyle/>
              <a:p>
                <a:pPr>
                  <a:defRPr lang="en-US" sz="8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Sheet1!$A$2:$A$3</c:f>
              <c:strCache>
                <c:ptCount val="2"/>
                <c:pt idx="0">
                  <c:v>Scenariul A</c:v>
                </c:pt>
                <c:pt idx="1">
                  <c:v>Scenariul B</c:v>
                </c:pt>
              </c:strCache>
            </c:strRef>
          </c:cat>
          <c:val>
            <c:numRef>
              <c:f>Sheet1!$C$2:$C$3</c:f>
              <c:numCache>
                <c:formatCode>General</c:formatCode>
                <c:ptCount val="2"/>
                <c:pt idx="1">
                  <c:v>6.8529999999999962</c:v>
                </c:pt>
              </c:numCache>
            </c:numRef>
          </c:val>
          <c:extLst>
            <c:ext xmlns:c16="http://schemas.microsoft.com/office/drawing/2014/chart" uri="{C3380CC4-5D6E-409C-BE32-E72D297353CC}">
              <c16:uniqueId val="{00000001-2B23-46D8-B667-9EF5C390832D}"/>
            </c:ext>
          </c:extLst>
        </c:ser>
        <c:ser>
          <c:idx val="2"/>
          <c:order val="2"/>
          <c:tx>
            <c:strRef>
              <c:f>Sheet1!$D$1</c:f>
              <c:strCache>
                <c:ptCount val="1"/>
                <c:pt idx="0">
                  <c:v>Surse de suprafață</c:v>
                </c:pt>
              </c:strCache>
            </c:strRef>
          </c:tx>
          <c:spPr>
            <a:solidFill>
              <a:srgbClr val="A5A5A5"/>
            </a:solidFill>
            <a:ln w="25399">
              <a:noFill/>
            </a:ln>
          </c:spPr>
          <c:invertIfNegative val="0"/>
          <c:dLbls>
            <c:spPr>
              <a:noFill/>
              <a:ln>
                <a:noFill/>
              </a:ln>
              <a:effectLst/>
            </c:spPr>
            <c:txPr>
              <a:bodyPr wrap="square" lIns="38100" tIns="19050" rIns="38100" bIns="19050" anchor="ctr">
                <a:spAutoFit/>
              </a:bodyPr>
              <a:lstStyle/>
              <a:p>
                <a:pPr>
                  <a:defRPr lang="en-US" sz="8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Sheet1!$A$2:$A$3</c:f>
              <c:strCache>
                <c:ptCount val="2"/>
                <c:pt idx="0">
                  <c:v>Scenariul A</c:v>
                </c:pt>
                <c:pt idx="1">
                  <c:v>Scenariul B</c:v>
                </c:pt>
              </c:strCache>
            </c:strRef>
          </c:cat>
          <c:val>
            <c:numRef>
              <c:f>Sheet1!$D$2:$D$3</c:f>
              <c:numCache>
                <c:formatCode>General</c:formatCode>
                <c:ptCount val="2"/>
                <c:pt idx="0" formatCode="0.000">
                  <c:v>0.63430055357282011</c:v>
                </c:pt>
                <c:pt idx="1">
                  <c:v>0.63700000000000045</c:v>
                </c:pt>
              </c:numCache>
            </c:numRef>
          </c:val>
          <c:extLst>
            <c:ext xmlns:c16="http://schemas.microsoft.com/office/drawing/2014/chart" uri="{C3380CC4-5D6E-409C-BE32-E72D297353CC}">
              <c16:uniqueId val="{00000002-2B23-46D8-B667-9EF5C390832D}"/>
            </c:ext>
          </c:extLst>
        </c:ser>
        <c:dLbls>
          <c:showLegendKey val="0"/>
          <c:showVal val="1"/>
          <c:showCatName val="0"/>
          <c:showSerName val="0"/>
          <c:showPercent val="0"/>
          <c:showBubbleSize val="0"/>
        </c:dLbls>
        <c:gapWidth val="219"/>
        <c:overlap val="-27"/>
        <c:axId val="415793152"/>
        <c:axId val="416035904"/>
      </c:barChart>
      <c:catAx>
        <c:axId val="415793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6035904"/>
        <c:crosses val="autoZero"/>
        <c:auto val="1"/>
        <c:lblAlgn val="ctr"/>
        <c:lblOffset val="100"/>
        <c:noMultiLvlLbl val="0"/>
      </c:catAx>
      <c:valAx>
        <c:axId val="416035904"/>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lang="en-US" sz="1000" b="0" i="0" u="none" strike="noStrike" baseline="0">
                    <a:solidFill>
                      <a:srgbClr val="333333"/>
                    </a:solidFill>
                    <a:latin typeface="Cambria"/>
                    <a:ea typeface="Cambria"/>
                    <a:cs typeface="Cambria"/>
                  </a:defRPr>
                </a:pPr>
                <a:r>
                  <a:rPr lang="en-US"/>
                  <a:t>t/an</a:t>
                </a:r>
              </a:p>
            </c:rich>
          </c:tx>
          <c:layout>
            <c:manualLayout>
              <c:xMode val="edge"/>
              <c:yMode val="edge"/>
              <c:x val="1.7104995426060341E-2"/>
              <c:y val="0.45671721902929335"/>
            </c:manualLayout>
          </c:layout>
          <c:overlay val="0"/>
          <c:spPr>
            <a:noFill/>
            <a:ln w="25399">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lang="en-US" sz="8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5793152"/>
        <c:crosses val="autoZero"/>
        <c:crossBetween val="between"/>
      </c:valAx>
      <c:spPr>
        <a:noFill/>
        <a:ln w="25399">
          <a:noFill/>
        </a:ln>
      </c:spPr>
    </c:plotArea>
    <c:legend>
      <c:legendPos val="b"/>
      <c:layout>
        <c:manualLayout>
          <c:xMode val="edge"/>
          <c:yMode val="edge"/>
          <c:x val="2.9401031767580792E-2"/>
          <c:y val="0.89325547988933807"/>
          <c:w val="0.96418644221196459"/>
          <c:h val="0.10674452011066195"/>
        </c:manualLayout>
      </c:layout>
      <c:overlay val="0"/>
      <c:spPr>
        <a:noFill/>
        <a:ln w="25399">
          <a:noFill/>
        </a:ln>
      </c:spPr>
      <c:txPr>
        <a:bodyPr rot="0" spcFirstLastPara="1" vertOverflow="ellipsis" vert="horz" wrap="square" anchor="ctr" anchorCtr="1"/>
        <a:lstStyle/>
        <a:p>
          <a:pPr>
            <a:defRPr lang="en-US" sz="8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71110265491906455"/>
          <c:y val="6.0240963855421749E-2"/>
        </c:manualLayout>
      </c:layout>
      <c:overlay val="0"/>
      <c:spPr>
        <a:noFill/>
        <a:ln>
          <a:noFill/>
        </a:ln>
        <a:effectLst/>
      </c:spPr>
      <c:txPr>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endParaRPr lang="en-US"/>
        </a:p>
      </c:txPr>
    </c:title>
    <c:autoTitleDeleted val="0"/>
    <c:plotArea>
      <c:layout>
        <c:manualLayout>
          <c:layoutTarget val="inner"/>
          <c:xMode val="edge"/>
          <c:yMode val="edge"/>
          <c:x val="8.2060318668344887E-2"/>
          <c:y val="7.4155295543951172E-2"/>
          <c:w val="0.5176551629931021"/>
          <c:h val="0.89876875330342765"/>
        </c:manualLayout>
      </c:layout>
      <c:doughnutChart>
        <c:varyColors val="1"/>
        <c:ser>
          <c:idx val="0"/>
          <c:order val="0"/>
          <c:tx>
            <c:strRef>
              <c:f>Sheet1!$B$1</c:f>
              <c:strCache>
                <c:ptCount val="1"/>
                <c:pt idx="0">
                  <c:v>As</c:v>
                </c:pt>
              </c:strCache>
            </c:strRef>
          </c:tx>
          <c:spPr>
            <a:ln>
              <a:noFill/>
            </a:ln>
            <a:effectLst>
              <a:outerShdw blurRad="50800" dist="38100" dir="2700000" algn="tl" rotWithShape="0">
                <a:prstClr val="black">
                  <a:alpha val="40000"/>
                </a:prstClr>
              </a:outerShdw>
            </a:effectLst>
          </c:spPr>
          <c:dPt>
            <c:idx val="0"/>
            <c:bubble3D val="0"/>
            <c:spPr>
              <a:solidFill>
                <a:schemeClr val="accent1"/>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7E1D-4A2D-B4D2-89C1C256B507}"/>
              </c:ext>
            </c:extLst>
          </c:dPt>
          <c:dPt>
            <c:idx val="1"/>
            <c:bubble3D val="0"/>
            <c:spPr>
              <a:solidFill>
                <a:schemeClr val="accent2"/>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7E1D-4A2D-B4D2-89C1C256B507}"/>
              </c:ext>
            </c:extLst>
          </c:dPt>
          <c:dPt>
            <c:idx val="2"/>
            <c:bubble3D val="0"/>
            <c:spPr>
              <a:solidFill>
                <a:schemeClr val="accent3"/>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7E1D-4A2D-B4D2-89C1C256B507}"/>
              </c:ext>
            </c:extLst>
          </c:dPt>
          <c:dLbls>
            <c:dLbl>
              <c:idx val="0"/>
              <c:numFmt formatCode="0.00%" sourceLinked="0"/>
              <c:spPr>
                <a:noFill/>
                <a:ln>
                  <a:noFill/>
                </a:ln>
                <a:effectLst/>
              </c:spPr>
              <c:txPr>
                <a:bodyPr rot="0" spcFirstLastPara="1" vertOverflow="ellipsis" vert="horz" wrap="square" anchor="ctr" anchorCtr="1"/>
                <a:lstStyle/>
                <a:p>
                  <a:pPr>
                    <a:defRPr lang="en-US" sz="11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01-7E1D-4A2D-B4D2-89C1C256B507}"/>
                </c:ext>
              </c:extLst>
            </c:dLbl>
            <c:dLbl>
              <c:idx val="1"/>
              <c:delete val="1"/>
              <c:extLst>
                <c:ext xmlns:c15="http://schemas.microsoft.com/office/drawing/2012/chart" uri="{CE6537A1-D6FC-4f65-9D91-7224C49458BB}"/>
                <c:ext xmlns:c16="http://schemas.microsoft.com/office/drawing/2014/chart" uri="{C3380CC4-5D6E-409C-BE32-E72D297353CC}">
                  <c16:uniqueId val="{00000003-7E1D-4A2D-B4D2-89C1C256B507}"/>
                </c:ext>
              </c:extLst>
            </c:dLbl>
            <c:dLbl>
              <c:idx val="2"/>
              <c:layout>
                <c:manualLayout>
                  <c:x val="0"/>
                  <c:y val="8.0192461908580679E-3"/>
                </c:manualLayout>
              </c:layout>
              <c:numFmt formatCode="0.00%" sourceLinked="0"/>
              <c:spPr>
                <a:noFill/>
                <a:ln>
                  <a:noFill/>
                </a:ln>
                <a:effectLst/>
              </c:spPr>
              <c:txPr>
                <a:bodyPr rot="0" spcFirstLastPara="1" vertOverflow="ellipsis" vert="horz" wrap="square" anchor="ctr" anchorCtr="1"/>
                <a:lstStyle/>
                <a:p>
                  <a:pPr>
                    <a:defRPr lang="en-US" sz="11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7E1D-4A2D-B4D2-89C1C256B507}"/>
                </c:ext>
              </c:extLst>
            </c:dLbl>
            <c:numFmt formatCode="#,000%" sourceLinked="0"/>
            <c:spPr>
              <a:noFill/>
              <a:ln>
                <a:noFill/>
              </a:ln>
              <a:effectLst/>
            </c:spPr>
            <c:txPr>
              <a:bodyPr rot="0" spcFirstLastPara="1" vertOverflow="ellipsis" vert="horz" wrap="square" anchor="ctr" anchorCtr="1"/>
              <a:lstStyle/>
              <a:p>
                <a:pPr>
                  <a:defRPr lang="en-US" sz="11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Surse staționare</c:v>
                </c:pt>
                <c:pt idx="1">
                  <c:v>Surse mobile</c:v>
                </c:pt>
                <c:pt idx="2">
                  <c:v>Surse de suprafață</c:v>
                </c:pt>
              </c:strCache>
            </c:strRef>
          </c:cat>
          <c:val>
            <c:numRef>
              <c:f>Sheet1!$B$2:$B$4</c:f>
              <c:numCache>
                <c:formatCode>General</c:formatCode>
                <c:ptCount val="3"/>
                <c:pt idx="0">
                  <c:v>4.7543000000000002E-2</c:v>
                </c:pt>
                <c:pt idx="1">
                  <c:v>0</c:v>
                </c:pt>
                <c:pt idx="2">
                  <c:v>1.1400000000000016E-4</c:v>
                </c:pt>
              </c:numCache>
            </c:numRef>
          </c:val>
          <c:extLst>
            <c:ext xmlns:c16="http://schemas.microsoft.com/office/drawing/2014/chart" uri="{C3380CC4-5D6E-409C-BE32-E72D297353CC}">
              <c16:uniqueId val="{00000006-7E1D-4A2D-B4D2-89C1C256B507}"/>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69065597283610991"/>
          <c:y val="0.26225690162223697"/>
          <c:w val="0.27960425021221796"/>
          <c:h val="0.69420358599753296"/>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lang="en-US"/>
            </a:pPr>
            <a:r>
              <a:rPr lang="en-US" sz="1000"/>
              <a:t>Pb</a:t>
            </a:r>
          </a:p>
        </c:rich>
      </c:tx>
      <c:layout>
        <c:manualLayout>
          <c:xMode val="edge"/>
          <c:yMode val="edge"/>
          <c:x val="0.58505747126436758"/>
          <c:y val="7.6867758450345811E-2"/>
        </c:manualLayout>
      </c:layout>
      <c:overlay val="0"/>
    </c:title>
    <c:autoTitleDeleted val="0"/>
    <c:plotArea>
      <c:layout>
        <c:manualLayout>
          <c:layoutTarget val="inner"/>
          <c:xMode val="edge"/>
          <c:yMode val="edge"/>
          <c:x val="0.23189465109964702"/>
          <c:y val="7.0888592438341932E-2"/>
          <c:w val="0.74462593899900542"/>
          <c:h val="0.70129548840178813"/>
        </c:manualLayout>
      </c:layout>
      <c:barChart>
        <c:barDir val="col"/>
        <c:grouping val="clustered"/>
        <c:varyColors val="0"/>
        <c:ser>
          <c:idx val="0"/>
          <c:order val="0"/>
          <c:tx>
            <c:strRef>
              <c:f>Sheet1!$B$1</c:f>
              <c:strCache>
                <c:ptCount val="1"/>
                <c:pt idx="0">
                  <c:v>Surse staționare</c:v>
                </c:pt>
              </c:strCache>
            </c:strRef>
          </c:tx>
          <c:spPr>
            <a:solidFill>
              <a:srgbClr val="4472C4"/>
            </a:solidFill>
            <a:ln w="25399">
              <a:noFill/>
            </a:ln>
          </c:spPr>
          <c:invertIfNegative val="0"/>
          <c:dLbls>
            <c:spPr>
              <a:noFill/>
              <a:ln>
                <a:noFill/>
              </a:ln>
              <a:effectLst/>
            </c:spPr>
            <c:txPr>
              <a:bodyPr wrap="square" lIns="38100" tIns="19050" rIns="38100" bIns="19050" anchor="ctr">
                <a:spAutoFit/>
              </a:bodyPr>
              <a:lstStyle/>
              <a:p>
                <a:pPr>
                  <a:defRPr lang="en-US" sz="8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Sheet1!$A$2:$A$3</c:f>
              <c:strCache>
                <c:ptCount val="2"/>
                <c:pt idx="0">
                  <c:v>Scenariul A</c:v>
                </c:pt>
                <c:pt idx="1">
                  <c:v>Scenariul B</c:v>
                </c:pt>
              </c:strCache>
            </c:strRef>
          </c:cat>
          <c:val>
            <c:numRef>
              <c:f>Sheet1!$B$2:$B$3</c:f>
              <c:numCache>
                <c:formatCode>General</c:formatCode>
                <c:ptCount val="2"/>
                <c:pt idx="1">
                  <c:v>1.7000000000000017E-5</c:v>
                </c:pt>
              </c:numCache>
            </c:numRef>
          </c:val>
          <c:extLst>
            <c:ext xmlns:c16="http://schemas.microsoft.com/office/drawing/2014/chart" uri="{C3380CC4-5D6E-409C-BE32-E72D297353CC}">
              <c16:uniqueId val="{00000000-E782-40FD-8550-2E7C5E9D1FD9}"/>
            </c:ext>
          </c:extLst>
        </c:ser>
        <c:ser>
          <c:idx val="1"/>
          <c:order val="1"/>
          <c:tx>
            <c:strRef>
              <c:f>Sheet1!$C$1</c:f>
              <c:strCache>
                <c:ptCount val="1"/>
                <c:pt idx="0">
                  <c:v>Surse mobile</c:v>
                </c:pt>
              </c:strCache>
            </c:strRef>
          </c:tx>
          <c:spPr>
            <a:solidFill>
              <a:srgbClr val="ED7D31"/>
            </a:solidFill>
            <a:ln w="25399">
              <a:noFill/>
            </a:ln>
          </c:spPr>
          <c:invertIfNegative val="0"/>
          <c:dLbls>
            <c:spPr>
              <a:noFill/>
              <a:ln>
                <a:noFill/>
              </a:ln>
              <a:effectLst/>
            </c:spPr>
            <c:txPr>
              <a:bodyPr wrap="square" lIns="38100" tIns="19050" rIns="38100" bIns="19050" anchor="ctr">
                <a:spAutoFit/>
              </a:bodyPr>
              <a:lstStyle/>
              <a:p>
                <a:pPr>
                  <a:defRPr lang="en-US" sz="8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Sheet1!$A$2:$A$3</c:f>
              <c:strCache>
                <c:ptCount val="2"/>
                <c:pt idx="0">
                  <c:v>Scenariul A</c:v>
                </c:pt>
                <c:pt idx="1">
                  <c:v>Scenariul B</c:v>
                </c:pt>
              </c:strCache>
            </c:strRef>
          </c:cat>
          <c:val>
            <c:numRef>
              <c:f>Sheet1!$C$2:$C$3</c:f>
              <c:numCache>
                <c:formatCode>General</c:formatCode>
                <c:ptCount val="2"/>
                <c:pt idx="1">
                  <c:v>3.830000000000002E-4</c:v>
                </c:pt>
              </c:numCache>
            </c:numRef>
          </c:val>
          <c:extLst>
            <c:ext xmlns:c16="http://schemas.microsoft.com/office/drawing/2014/chart" uri="{C3380CC4-5D6E-409C-BE32-E72D297353CC}">
              <c16:uniqueId val="{00000001-E782-40FD-8550-2E7C5E9D1FD9}"/>
            </c:ext>
          </c:extLst>
        </c:ser>
        <c:ser>
          <c:idx val="2"/>
          <c:order val="2"/>
          <c:tx>
            <c:strRef>
              <c:f>Sheet1!$D$1</c:f>
              <c:strCache>
                <c:ptCount val="1"/>
                <c:pt idx="0">
                  <c:v>Surse de suprafață</c:v>
                </c:pt>
              </c:strCache>
            </c:strRef>
          </c:tx>
          <c:spPr>
            <a:solidFill>
              <a:srgbClr val="A5A5A5"/>
            </a:solidFill>
            <a:ln w="25399">
              <a:noFill/>
            </a:ln>
          </c:spPr>
          <c:invertIfNegative val="0"/>
          <c:dLbls>
            <c:spPr>
              <a:noFill/>
              <a:ln>
                <a:noFill/>
              </a:ln>
              <a:effectLst/>
            </c:spPr>
            <c:txPr>
              <a:bodyPr wrap="square" lIns="38100" tIns="19050" rIns="38100" bIns="19050" anchor="ctr">
                <a:spAutoFit/>
              </a:bodyPr>
              <a:lstStyle/>
              <a:p>
                <a:pPr>
                  <a:defRPr lang="en-US" sz="8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Sheet1!$A$2:$A$3</c:f>
              <c:strCache>
                <c:ptCount val="2"/>
                <c:pt idx="0">
                  <c:v>Scenariul A</c:v>
                </c:pt>
                <c:pt idx="1">
                  <c:v>Scenariul B</c:v>
                </c:pt>
              </c:strCache>
            </c:strRef>
          </c:cat>
          <c:val>
            <c:numRef>
              <c:f>Sheet1!$D$2:$D$3</c:f>
              <c:numCache>
                <c:formatCode>General</c:formatCode>
                <c:ptCount val="2"/>
                <c:pt idx="0">
                  <c:v>4.9900000000000042E-4</c:v>
                </c:pt>
                <c:pt idx="1">
                  <c:v>4.9900000000000042E-4</c:v>
                </c:pt>
              </c:numCache>
            </c:numRef>
          </c:val>
          <c:extLst>
            <c:ext xmlns:c16="http://schemas.microsoft.com/office/drawing/2014/chart" uri="{C3380CC4-5D6E-409C-BE32-E72D297353CC}">
              <c16:uniqueId val="{00000002-E782-40FD-8550-2E7C5E9D1FD9}"/>
            </c:ext>
          </c:extLst>
        </c:ser>
        <c:dLbls>
          <c:showLegendKey val="0"/>
          <c:showVal val="1"/>
          <c:showCatName val="0"/>
          <c:showSerName val="0"/>
          <c:showPercent val="0"/>
          <c:showBubbleSize val="0"/>
        </c:dLbls>
        <c:gapWidth val="219"/>
        <c:overlap val="-27"/>
        <c:axId val="329680384"/>
        <c:axId val="416037632"/>
      </c:barChart>
      <c:catAx>
        <c:axId val="329680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6037632"/>
        <c:crosses val="autoZero"/>
        <c:auto val="1"/>
        <c:lblAlgn val="ctr"/>
        <c:lblOffset val="100"/>
        <c:noMultiLvlLbl val="0"/>
      </c:catAx>
      <c:valAx>
        <c:axId val="416037632"/>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lang="en-US" sz="1000" b="0" i="0" u="none" strike="noStrike" baseline="0">
                    <a:solidFill>
                      <a:srgbClr val="333333"/>
                    </a:solidFill>
                    <a:latin typeface="Cambria"/>
                    <a:ea typeface="Cambria"/>
                    <a:cs typeface="Cambria"/>
                  </a:defRPr>
                </a:pPr>
                <a:r>
                  <a:rPr lang="en-US"/>
                  <a:t>t/an</a:t>
                </a:r>
              </a:p>
            </c:rich>
          </c:tx>
          <c:layout>
            <c:manualLayout>
              <c:xMode val="edge"/>
              <c:yMode val="edge"/>
              <c:x val="1.7104995426060341E-2"/>
              <c:y val="0.45671721902929335"/>
            </c:manualLayout>
          </c:layout>
          <c:overlay val="0"/>
          <c:spPr>
            <a:noFill/>
            <a:ln w="25399">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lang="en-US" sz="8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329680384"/>
        <c:crosses val="autoZero"/>
        <c:crossBetween val="between"/>
      </c:valAx>
      <c:spPr>
        <a:noFill/>
        <a:ln w="25399">
          <a:noFill/>
        </a:ln>
      </c:spPr>
    </c:plotArea>
    <c:legend>
      <c:legendPos val="b"/>
      <c:layout>
        <c:manualLayout>
          <c:xMode val="edge"/>
          <c:yMode val="edge"/>
          <c:x val="2.9401031767580792E-2"/>
          <c:y val="0.89325547988933807"/>
          <c:w val="0.96418644221196459"/>
          <c:h val="0.10674452011066195"/>
        </c:manualLayout>
      </c:layout>
      <c:overlay val="0"/>
      <c:spPr>
        <a:noFill/>
        <a:ln w="25399">
          <a:noFill/>
        </a:ln>
      </c:spPr>
      <c:txPr>
        <a:bodyPr rot="0" spcFirstLastPara="1" vertOverflow="ellipsis" vert="horz" wrap="square" anchor="ctr" anchorCtr="1"/>
        <a:lstStyle/>
        <a:p>
          <a:pPr>
            <a:defRPr lang="en-US" sz="8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lang="en-US"/>
            </a:pPr>
            <a:r>
              <a:rPr lang="en-US" sz="1000"/>
              <a:t>PM</a:t>
            </a:r>
            <a:r>
              <a:rPr lang="en-US" sz="800"/>
              <a:t>10</a:t>
            </a:r>
          </a:p>
        </c:rich>
      </c:tx>
      <c:layout>
        <c:manualLayout>
          <c:xMode val="edge"/>
          <c:yMode val="edge"/>
          <c:x val="0.54827586206896561"/>
          <c:y val="8.4472321187988378E-2"/>
        </c:manualLayout>
      </c:layout>
      <c:overlay val="0"/>
    </c:title>
    <c:autoTitleDeleted val="0"/>
    <c:plotArea>
      <c:layout>
        <c:manualLayout>
          <c:layoutTarget val="inner"/>
          <c:xMode val="edge"/>
          <c:yMode val="edge"/>
          <c:x val="0.15373373155941733"/>
          <c:y val="7.0888592438341932E-2"/>
          <c:w val="0.82278685853923461"/>
          <c:h val="0.70129548840178813"/>
        </c:manualLayout>
      </c:layout>
      <c:barChart>
        <c:barDir val="col"/>
        <c:grouping val="clustered"/>
        <c:varyColors val="0"/>
        <c:ser>
          <c:idx val="0"/>
          <c:order val="0"/>
          <c:tx>
            <c:strRef>
              <c:f>Sheet1!$B$1</c:f>
              <c:strCache>
                <c:ptCount val="1"/>
                <c:pt idx="0">
                  <c:v>Surse staționare</c:v>
                </c:pt>
              </c:strCache>
            </c:strRef>
          </c:tx>
          <c:spPr>
            <a:solidFill>
              <a:srgbClr val="4472C4"/>
            </a:solidFill>
            <a:ln w="25399">
              <a:noFill/>
            </a:ln>
          </c:spPr>
          <c:invertIfNegative val="0"/>
          <c:dLbls>
            <c:spPr>
              <a:noFill/>
              <a:ln>
                <a:noFill/>
              </a:ln>
              <a:effectLst/>
            </c:spPr>
            <c:txPr>
              <a:bodyPr wrap="square" lIns="38100" tIns="19050" rIns="38100" bIns="19050" anchor="ctr">
                <a:spAutoFit/>
              </a:bodyPr>
              <a:lstStyle/>
              <a:p>
                <a:pPr>
                  <a:defRPr lang="en-US" sz="8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Sheet1!$A$2:$A$3</c:f>
              <c:strCache>
                <c:ptCount val="2"/>
                <c:pt idx="0">
                  <c:v>Scenariul A</c:v>
                </c:pt>
                <c:pt idx="1">
                  <c:v>Scenariul B</c:v>
                </c:pt>
              </c:strCache>
            </c:strRef>
          </c:cat>
          <c:val>
            <c:numRef>
              <c:f>Sheet1!$B$2:$B$3</c:f>
              <c:numCache>
                <c:formatCode>General</c:formatCode>
                <c:ptCount val="2"/>
                <c:pt idx="1">
                  <c:v>0.126</c:v>
                </c:pt>
              </c:numCache>
            </c:numRef>
          </c:val>
          <c:extLst>
            <c:ext xmlns:c16="http://schemas.microsoft.com/office/drawing/2014/chart" uri="{C3380CC4-5D6E-409C-BE32-E72D297353CC}">
              <c16:uniqueId val="{00000000-988F-4C44-BF9C-C48D1D62C26D}"/>
            </c:ext>
          </c:extLst>
        </c:ser>
        <c:ser>
          <c:idx val="1"/>
          <c:order val="1"/>
          <c:tx>
            <c:strRef>
              <c:f>Sheet1!$C$1</c:f>
              <c:strCache>
                <c:ptCount val="1"/>
                <c:pt idx="0">
                  <c:v>Surse mobile</c:v>
                </c:pt>
              </c:strCache>
            </c:strRef>
          </c:tx>
          <c:spPr>
            <a:solidFill>
              <a:srgbClr val="ED7D31"/>
            </a:solidFill>
            <a:ln w="25399">
              <a:noFill/>
            </a:ln>
          </c:spPr>
          <c:invertIfNegative val="0"/>
          <c:dLbls>
            <c:spPr>
              <a:noFill/>
              <a:ln>
                <a:noFill/>
              </a:ln>
              <a:effectLst/>
            </c:spPr>
            <c:txPr>
              <a:bodyPr wrap="square" lIns="38100" tIns="19050" rIns="38100" bIns="19050" anchor="ctr">
                <a:spAutoFit/>
              </a:bodyPr>
              <a:lstStyle/>
              <a:p>
                <a:pPr>
                  <a:defRPr lang="en-US" sz="8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Sheet1!$A$2:$A$3</c:f>
              <c:strCache>
                <c:ptCount val="2"/>
                <c:pt idx="0">
                  <c:v>Scenariul A</c:v>
                </c:pt>
                <c:pt idx="1">
                  <c:v>Scenariul B</c:v>
                </c:pt>
              </c:strCache>
            </c:strRef>
          </c:cat>
          <c:val>
            <c:numRef>
              <c:f>Sheet1!$C$2:$C$3</c:f>
              <c:numCache>
                <c:formatCode>General</c:formatCode>
                <c:ptCount val="2"/>
                <c:pt idx="1">
                  <c:v>0.71100000000000041</c:v>
                </c:pt>
              </c:numCache>
            </c:numRef>
          </c:val>
          <c:extLst>
            <c:ext xmlns:c16="http://schemas.microsoft.com/office/drawing/2014/chart" uri="{C3380CC4-5D6E-409C-BE32-E72D297353CC}">
              <c16:uniqueId val="{00000001-988F-4C44-BF9C-C48D1D62C26D}"/>
            </c:ext>
          </c:extLst>
        </c:ser>
        <c:ser>
          <c:idx val="2"/>
          <c:order val="2"/>
          <c:tx>
            <c:strRef>
              <c:f>Sheet1!$D$1</c:f>
              <c:strCache>
                <c:ptCount val="1"/>
                <c:pt idx="0">
                  <c:v>Surse de suprafață</c:v>
                </c:pt>
              </c:strCache>
            </c:strRef>
          </c:tx>
          <c:spPr>
            <a:solidFill>
              <a:srgbClr val="A5A5A5"/>
            </a:solidFill>
            <a:ln w="25399">
              <a:noFill/>
            </a:ln>
          </c:spPr>
          <c:invertIfNegative val="0"/>
          <c:dLbls>
            <c:spPr>
              <a:noFill/>
              <a:ln>
                <a:noFill/>
              </a:ln>
              <a:effectLst/>
            </c:spPr>
            <c:txPr>
              <a:bodyPr wrap="square" lIns="38100" tIns="19050" rIns="38100" bIns="19050" anchor="ctr">
                <a:spAutoFit/>
              </a:bodyPr>
              <a:lstStyle/>
              <a:p>
                <a:pPr>
                  <a:defRPr lang="en-US" sz="8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Sheet1!$A$2:$A$3</c:f>
              <c:strCache>
                <c:ptCount val="2"/>
                <c:pt idx="0">
                  <c:v>Scenariul A</c:v>
                </c:pt>
                <c:pt idx="1">
                  <c:v>Scenariul B</c:v>
                </c:pt>
              </c:strCache>
            </c:strRef>
          </c:cat>
          <c:val>
            <c:numRef>
              <c:f>Sheet1!$D$2:$D$3</c:f>
              <c:numCache>
                <c:formatCode>General</c:formatCode>
                <c:ptCount val="2"/>
                <c:pt idx="0" formatCode="0.000">
                  <c:v>12.344679936</c:v>
                </c:pt>
                <c:pt idx="1">
                  <c:v>12.360000000000007</c:v>
                </c:pt>
              </c:numCache>
            </c:numRef>
          </c:val>
          <c:extLst>
            <c:ext xmlns:c16="http://schemas.microsoft.com/office/drawing/2014/chart" uri="{C3380CC4-5D6E-409C-BE32-E72D297353CC}">
              <c16:uniqueId val="{00000002-988F-4C44-BF9C-C48D1D62C26D}"/>
            </c:ext>
          </c:extLst>
        </c:ser>
        <c:dLbls>
          <c:showLegendKey val="0"/>
          <c:showVal val="1"/>
          <c:showCatName val="0"/>
          <c:showSerName val="0"/>
          <c:showPercent val="0"/>
          <c:showBubbleSize val="0"/>
        </c:dLbls>
        <c:gapWidth val="219"/>
        <c:overlap val="-27"/>
        <c:axId val="415796224"/>
        <c:axId val="416809536"/>
      </c:barChart>
      <c:catAx>
        <c:axId val="415796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6809536"/>
        <c:crosses val="autoZero"/>
        <c:auto val="1"/>
        <c:lblAlgn val="ctr"/>
        <c:lblOffset val="100"/>
        <c:noMultiLvlLbl val="0"/>
      </c:catAx>
      <c:valAx>
        <c:axId val="416809536"/>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lang="en-US" sz="1000" b="0" i="0" u="none" strike="noStrike" baseline="0">
                    <a:solidFill>
                      <a:srgbClr val="333333"/>
                    </a:solidFill>
                    <a:latin typeface="Cambria"/>
                    <a:ea typeface="Cambria"/>
                    <a:cs typeface="Cambria"/>
                  </a:defRPr>
                </a:pPr>
                <a:r>
                  <a:rPr lang="en-US"/>
                  <a:t>t/an</a:t>
                </a:r>
              </a:p>
            </c:rich>
          </c:tx>
          <c:layout>
            <c:manualLayout>
              <c:xMode val="edge"/>
              <c:yMode val="edge"/>
              <c:x val="1.7104995426060341E-2"/>
              <c:y val="0.45671721902929335"/>
            </c:manualLayout>
          </c:layout>
          <c:overlay val="0"/>
          <c:spPr>
            <a:noFill/>
            <a:ln w="25399">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lang="en-US" sz="8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5796224"/>
        <c:crosses val="autoZero"/>
        <c:crossBetween val="between"/>
      </c:valAx>
      <c:spPr>
        <a:noFill/>
        <a:ln w="25399">
          <a:noFill/>
        </a:ln>
      </c:spPr>
    </c:plotArea>
    <c:legend>
      <c:legendPos val="b"/>
      <c:layout>
        <c:manualLayout>
          <c:xMode val="edge"/>
          <c:yMode val="edge"/>
          <c:x val="2.9401031767580792E-2"/>
          <c:y val="0.89325547988933807"/>
          <c:w val="0.96418644221196459"/>
          <c:h val="0.10674452011066195"/>
        </c:manualLayout>
      </c:layout>
      <c:overlay val="0"/>
      <c:spPr>
        <a:noFill/>
        <a:ln w="25399">
          <a:noFill/>
        </a:ln>
      </c:spPr>
      <c:txPr>
        <a:bodyPr rot="0" spcFirstLastPara="1" vertOverflow="ellipsis" vert="horz" wrap="square" anchor="ctr" anchorCtr="1"/>
        <a:lstStyle/>
        <a:p>
          <a:pPr>
            <a:defRPr lang="en-US" sz="8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lang="en-US"/>
            </a:pPr>
            <a:r>
              <a:rPr lang="en-US" sz="1000"/>
              <a:t>PM</a:t>
            </a:r>
            <a:r>
              <a:rPr lang="en-US" sz="800"/>
              <a:t>2,5</a:t>
            </a:r>
          </a:p>
        </c:rich>
      </c:tx>
      <c:layout>
        <c:manualLayout>
          <c:xMode val="edge"/>
          <c:yMode val="edge"/>
          <c:x val="0.55287356321839121"/>
          <c:y val="7.6867758450345811E-2"/>
        </c:manualLayout>
      </c:layout>
      <c:overlay val="0"/>
    </c:title>
    <c:autoTitleDeleted val="0"/>
    <c:plotArea>
      <c:layout>
        <c:manualLayout>
          <c:layoutTarget val="inner"/>
          <c:xMode val="edge"/>
          <c:yMode val="edge"/>
          <c:x val="0.21350384650194598"/>
          <c:y val="7.0888592438341932E-2"/>
          <c:w val="0.76301674359670568"/>
          <c:h val="0.70129548840178813"/>
        </c:manualLayout>
      </c:layout>
      <c:barChart>
        <c:barDir val="col"/>
        <c:grouping val="clustered"/>
        <c:varyColors val="0"/>
        <c:ser>
          <c:idx val="0"/>
          <c:order val="0"/>
          <c:tx>
            <c:strRef>
              <c:f>Sheet1!$B$1</c:f>
              <c:strCache>
                <c:ptCount val="1"/>
                <c:pt idx="0">
                  <c:v>Surse staționare</c:v>
                </c:pt>
              </c:strCache>
            </c:strRef>
          </c:tx>
          <c:spPr>
            <a:solidFill>
              <a:srgbClr val="4472C4"/>
            </a:solidFill>
            <a:ln w="25399">
              <a:noFill/>
            </a:ln>
          </c:spPr>
          <c:invertIfNegative val="0"/>
          <c:dLbls>
            <c:spPr>
              <a:noFill/>
              <a:ln>
                <a:noFill/>
              </a:ln>
              <a:effectLst/>
            </c:spPr>
            <c:txPr>
              <a:bodyPr wrap="square" lIns="38100" tIns="19050" rIns="38100" bIns="19050" anchor="ctr">
                <a:spAutoFit/>
              </a:bodyPr>
              <a:lstStyle/>
              <a:p>
                <a:pPr>
                  <a:defRPr lang="en-US" sz="8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Sheet1!$A$2:$A$3</c:f>
              <c:strCache>
                <c:ptCount val="2"/>
                <c:pt idx="0">
                  <c:v>Scenariul A</c:v>
                </c:pt>
                <c:pt idx="1">
                  <c:v>Scenariul B</c:v>
                </c:pt>
              </c:strCache>
            </c:strRef>
          </c:cat>
          <c:val>
            <c:numRef>
              <c:f>Sheet1!$B$2:$B$3</c:f>
              <c:numCache>
                <c:formatCode>General</c:formatCode>
                <c:ptCount val="2"/>
                <c:pt idx="1">
                  <c:v>0.126</c:v>
                </c:pt>
              </c:numCache>
            </c:numRef>
          </c:val>
          <c:extLst>
            <c:ext xmlns:c16="http://schemas.microsoft.com/office/drawing/2014/chart" uri="{C3380CC4-5D6E-409C-BE32-E72D297353CC}">
              <c16:uniqueId val="{00000000-7C98-414A-BCC8-E6B9A8474FFF}"/>
            </c:ext>
          </c:extLst>
        </c:ser>
        <c:ser>
          <c:idx val="1"/>
          <c:order val="1"/>
          <c:tx>
            <c:strRef>
              <c:f>Sheet1!$C$1</c:f>
              <c:strCache>
                <c:ptCount val="1"/>
                <c:pt idx="0">
                  <c:v>Surse mobile</c:v>
                </c:pt>
              </c:strCache>
            </c:strRef>
          </c:tx>
          <c:spPr>
            <a:solidFill>
              <a:srgbClr val="ED7D31"/>
            </a:solidFill>
            <a:ln w="25399">
              <a:noFill/>
            </a:ln>
          </c:spPr>
          <c:invertIfNegative val="0"/>
          <c:dLbls>
            <c:spPr>
              <a:noFill/>
              <a:ln>
                <a:noFill/>
              </a:ln>
              <a:effectLst/>
            </c:spPr>
            <c:txPr>
              <a:bodyPr wrap="square" lIns="38100" tIns="19050" rIns="38100" bIns="19050" anchor="ctr">
                <a:spAutoFit/>
              </a:bodyPr>
              <a:lstStyle/>
              <a:p>
                <a:pPr>
                  <a:defRPr lang="en-US" sz="8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Sheet1!$A$2:$A$3</c:f>
              <c:strCache>
                <c:ptCount val="2"/>
                <c:pt idx="0">
                  <c:v>Scenariul A</c:v>
                </c:pt>
                <c:pt idx="1">
                  <c:v>Scenariul B</c:v>
                </c:pt>
              </c:strCache>
            </c:strRef>
          </c:cat>
          <c:val>
            <c:numRef>
              <c:f>Sheet1!$C$2:$C$3</c:f>
              <c:numCache>
                <c:formatCode>General</c:formatCode>
                <c:ptCount val="2"/>
                <c:pt idx="1">
                  <c:v>0.59899999999999998</c:v>
                </c:pt>
              </c:numCache>
            </c:numRef>
          </c:val>
          <c:extLst>
            <c:ext xmlns:c16="http://schemas.microsoft.com/office/drawing/2014/chart" uri="{C3380CC4-5D6E-409C-BE32-E72D297353CC}">
              <c16:uniqueId val="{00000001-7C98-414A-BCC8-E6B9A8474FFF}"/>
            </c:ext>
          </c:extLst>
        </c:ser>
        <c:ser>
          <c:idx val="2"/>
          <c:order val="2"/>
          <c:tx>
            <c:strRef>
              <c:f>Sheet1!$D$1</c:f>
              <c:strCache>
                <c:ptCount val="1"/>
                <c:pt idx="0">
                  <c:v>Surse de suprafață</c:v>
                </c:pt>
              </c:strCache>
            </c:strRef>
          </c:tx>
          <c:spPr>
            <a:solidFill>
              <a:srgbClr val="A5A5A5"/>
            </a:solidFill>
            <a:ln w="25399">
              <a:noFill/>
            </a:ln>
          </c:spPr>
          <c:invertIfNegative val="0"/>
          <c:dLbls>
            <c:spPr>
              <a:noFill/>
              <a:ln>
                <a:noFill/>
              </a:ln>
              <a:effectLst/>
            </c:spPr>
            <c:txPr>
              <a:bodyPr wrap="square" lIns="38100" tIns="19050" rIns="38100" bIns="19050" anchor="ctr">
                <a:spAutoFit/>
              </a:bodyPr>
              <a:lstStyle/>
              <a:p>
                <a:pPr>
                  <a:defRPr lang="en-US" sz="8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Sheet1!$A$2:$A$3</c:f>
              <c:strCache>
                <c:ptCount val="2"/>
                <c:pt idx="0">
                  <c:v>Scenariul A</c:v>
                </c:pt>
                <c:pt idx="1">
                  <c:v>Scenariul B</c:v>
                </c:pt>
              </c:strCache>
            </c:strRef>
          </c:cat>
          <c:val>
            <c:numRef>
              <c:f>Sheet1!$D$2:$D$3</c:f>
              <c:numCache>
                <c:formatCode>General</c:formatCode>
                <c:ptCount val="2"/>
                <c:pt idx="0" formatCode="0.000">
                  <c:v>11.036</c:v>
                </c:pt>
                <c:pt idx="1">
                  <c:v>11.043000000000001</c:v>
                </c:pt>
              </c:numCache>
            </c:numRef>
          </c:val>
          <c:extLst>
            <c:ext xmlns:c16="http://schemas.microsoft.com/office/drawing/2014/chart" uri="{C3380CC4-5D6E-409C-BE32-E72D297353CC}">
              <c16:uniqueId val="{00000002-7C98-414A-BCC8-E6B9A8474FFF}"/>
            </c:ext>
          </c:extLst>
        </c:ser>
        <c:dLbls>
          <c:showLegendKey val="0"/>
          <c:showVal val="1"/>
          <c:showCatName val="0"/>
          <c:showSerName val="0"/>
          <c:showPercent val="0"/>
          <c:showBubbleSize val="0"/>
        </c:dLbls>
        <c:gapWidth val="219"/>
        <c:overlap val="-27"/>
        <c:axId val="329681408"/>
        <c:axId val="416811264"/>
      </c:barChart>
      <c:catAx>
        <c:axId val="329681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6811264"/>
        <c:crosses val="autoZero"/>
        <c:auto val="1"/>
        <c:lblAlgn val="ctr"/>
        <c:lblOffset val="100"/>
        <c:noMultiLvlLbl val="0"/>
      </c:catAx>
      <c:valAx>
        <c:axId val="416811264"/>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lang="en-US" sz="1000" b="0" i="0" u="none" strike="noStrike" baseline="0">
                    <a:solidFill>
                      <a:srgbClr val="333333"/>
                    </a:solidFill>
                    <a:latin typeface="Cambria"/>
                    <a:ea typeface="Cambria"/>
                    <a:cs typeface="Cambria"/>
                  </a:defRPr>
                </a:pPr>
                <a:r>
                  <a:rPr lang="en-US"/>
                  <a:t>t/an</a:t>
                </a:r>
              </a:p>
            </c:rich>
          </c:tx>
          <c:layout>
            <c:manualLayout>
              <c:xMode val="edge"/>
              <c:yMode val="edge"/>
              <c:x val="1.7104995426060341E-2"/>
              <c:y val="0.45671721902929335"/>
            </c:manualLayout>
          </c:layout>
          <c:overlay val="0"/>
          <c:spPr>
            <a:noFill/>
            <a:ln w="25399">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lang="en-US" sz="8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329681408"/>
        <c:crosses val="autoZero"/>
        <c:crossBetween val="between"/>
      </c:valAx>
      <c:spPr>
        <a:noFill/>
        <a:ln w="25399">
          <a:noFill/>
        </a:ln>
      </c:spPr>
    </c:plotArea>
    <c:legend>
      <c:legendPos val="b"/>
      <c:layout>
        <c:manualLayout>
          <c:xMode val="edge"/>
          <c:yMode val="edge"/>
          <c:x val="2.9401031767580792E-2"/>
          <c:y val="0.89325547988933807"/>
          <c:w val="0.96418644221196459"/>
          <c:h val="0.10674452011066195"/>
        </c:manualLayout>
      </c:layout>
      <c:overlay val="0"/>
      <c:spPr>
        <a:noFill/>
        <a:ln w="25399">
          <a:noFill/>
        </a:ln>
      </c:spPr>
      <c:txPr>
        <a:bodyPr rot="0" spcFirstLastPara="1" vertOverflow="ellipsis" vert="horz" wrap="square" anchor="ctr" anchorCtr="1"/>
        <a:lstStyle/>
        <a:p>
          <a:pPr>
            <a:defRPr lang="en-US" sz="8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lang="en-US"/>
            </a:pPr>
            <a:r>
              <a:rPr lang="en-US" sz="1000"/>
              <a:t>SOx</a:t>
            </a:r>
          </a:p>
        </c:rich>
      </c:tx>
      <c:layout>
        <c:manualLayout>
          <c:xMode val="edge"/>
          <c:yMode val="edge"/>
          <c:x val="0.56666666666666654"/>
          <c:y val="7.6867758450345811E-2"/>
        </c:manualLayout>
      </c:layout>
      <c:overlay val="0"/>
    </c:title>
    <c:autoTitleDeleted val="0"/>
    <c:plotArea>
      <c:layout>
        <c:manualLayout>
          <c:layoutTarget val="inner"/>
          <c:xMode val="edge"/>
          <c:yMode val="edge"/>
          <c:x val="0.18131993845596903"/>
          <c:y val="7.0888592438341932E-2"/>
          <c:w val="0.79520065164268261"/>
          <c:h val="0.70129548840178813"/>
        </c:manualLayout>
      </c:layout>
      <c:barChart>
        <c:barDir val="col"/>
        <c:grouping val="clustered"/>
        <c:varyColors val="0"/>
        <c:ser>
          <c:idx val="0"/>
          <c:order val="0"/>
          <c:tx>
            <c:strRef>
              <c:f>Sheet1!$B$1</c:f>
              <c:strCache>
                <c:ptCount val="1"/>
                <c:pt idx="0">
                  <c:v>Surse staționare</c:v>
                </c:pt>
              </c:strCache>
            </c:strRef>
          </c:tx>
          <c:spPr>
            <a:solidFill>
              <a:srgbClr val="4472C4"/>
            </a:solidFill>
            <a:ln w="25399">
              <a:noFill/>
            </a:ln>
          </c:spPr>
          <c:invertIfNegative val="0"/>
          <c:dLbls>
            <c:spPr>
              <a:noFill/>
              <a:ln>
                <a:noFill/>
              </a:ln>
              <a:effectLst/>
            </c:spPr>
            <c:txPr>
              <a:bodyPr wrap="square" lIns="38100" tIns="19050" rIns="38100" bIns="19050" anchor="ctr">
                <a:spAutoFit/>
              </a:bodyPr>
              <a:lstStyle/>
              <a:p>
                <a:pPr>
                  <a:defRPr lang="en-US" sz="8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Sheet1!$A$2:$A$3</c:f>
              <c:strCache>
                <c:ptCount val="2"/>
                <c:pt idx="0">
                  <c:v>Scenariul A</c:v>
                </c:pt>
                <c:pt idx="1">
                  <c:v>Scenariul B</c:v>
                </c:pt>
              </c:strCache>
            </c:strRef>
          </c:cat>
          <c:val>
            <c:numRef>
              <c:f>Sheet1!$B$2:$B$3</c:f>
              <c:numCache>
                <c:formatCode>General</c:formatCode>
                <c:ptCount val="2"/>
                <c:pt idx="1">
                  <c:v>3.3000000000000002E-2</c:v>
                </c:pt>
              </c:numCache>
            </c:numRef>
          </c:val>
          <c:extLst>
            <c:ext xmlns:c16="http://schemas.microsoft.com/office/drawing/2014/chart" uri="{C3380CC4-5D6E-409C-BE32-E72D297353CC}">
              <c16:uniqueId val="{00000000-22EE-4FE6-95E6-475117647E07}"/>
            </c:ext>
          </c:extLst>
        </c:ser>
        <c:ser>
          <c:idx val="1"/>
          <c:order val="1"/>
          <c:tx>
            <c:strRef>
              <c:f>Sheet1!$C$1</c:f>
              <c:strCache>
                <c:ptCount val="1"/>
                <c:pt idx="0">
                  <c:v>Surse mobile</c:v>
                </c:pt>
              </c:strCache>
            </c:strRef>
          </c:tx>
          <c:spPr>
            <a:solidFill>
              <a:srgbClr val="ED7D31"/>
            </a:solidFill>
            <a:ln w="25399">
              <a:noFill/>
            </a:ln>
          </c:spPr>
          <c:invertIfNegative val="0"/>
          <c:dLbls>
            <c:spPr>
              <a:noFill/>
              <a:ln>
                <a:noFill/>
              </a:ln>
              <a:effectLst/>
            </c:spPr>
            <c:txPr>
              <a:bodyPr wrap="square" lIns="38100" tIns="19050" rIns="38100" bIns="19050" anchor="ctr">
                <a:spAutoFit/>
              </a:bodyPr>
              <a:lstStyle/>
              <a:p>
                <a:pPr>
                  <a:defRPr lang="en-US" sz="8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Sheet1!$A$2:$A$3</c:f>
              <c:strCache>
                <c:ptCount val="2"/>
                <c:pt idx="0">
                  <c:v>Scenariul A</c:v>
                </c:pt>
                <c:pt idx="1">
                  <c:v>Scenariul B</c:v>
                </c:pt>
              </c:strCache>
            </c:strRef>
          </c:cat>
          <c:val>
            <c:numRef>
              <c:f>Sheet1!$C$2:$C$3</c:f>
              <c:numCache>
                <c:formatCode>General</c:formatCode>
                <c:ptCount val="2"/>
              </c:numCache>
            </c:numRef>
          </c:val>
          <c:extLst>
            <c:ext xmlns:c16="http://schemas.microsoft.com/office/drawing/2014/chart" uri="{C3380CC4-5D6E-409C-BE32-E72D297353CC}">
              <c16:uniqueId val="{00000001-22EE-4FE6-95E6-475117647E07}"/>
            </c:ext>
          </c:extLst>
        </c:ser>
        <c:ser>
          <c:idx val="2"/>
          <c:order val="2"/>
          <c:tx>
            <c:strRef>
              <c:f>Sheet1!$D$1</c:f>
              <c:strCache>
                <c:ptCount val="1"/>
                <c:pt idx="0">
                  <c:v>Surse de suprafață</c:v>
                </c:pt>
              </c:strCache>
            </c:strRef>
          </c:tx>
          <c:spPr>
            <a:solidFill>
              <a:srgbClr val="A5A5A5"/>
            </a:solidFill>
            <a:ln w="25399">
              <a:noFill/>
            </a:ln>
          </c:spPr>
          <c:invertIfNegative val="0"/>
          <c:dLbls>
            <c:spPr>
              <a:noFill/>
              <a:ln>
                <a:noFill/>
              </a:ln>
              <a:effectLst/>
            </c:spPr>
            <c:txPr>
              <a:bodyPr wrap="square" lIns="38100" tIns="19050" rIns="38100" bIns="19050" anchor="ctr">
                <a:spAutoFit/>
              </a:bodyPr>
              <a:lstStyle/>
              <a:p>
                <a:pPr>
                  <a:defRPr lang="en-US" sz="8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Sheet1!$A$2:$A$3</c:f>
              <c:strCache>
                <c:ptCount val="2"/>
                <c:pt idx="0">
                  <c:v>Scenariul A</c:v>
                </c:pt>
                <c:pt idx="1">
                  <c:v>Scenariul B</c:v>
                </c:pt>
              </c:strCache>
            </c:strRef>
          </c:cat>
          <c:val>
            <c:numRef>
              <c:f>Sheet1!$D$2:$D$3</c:f>
              <c:numCache>
                <c:formatCode>General</c:formatCode>
                <c:ptCount val="2"/>
                <c:pt idx="0">
                  <c:v>0.125</c:v>
                </c:pt>
                <c:pt idx="1">
                  <c:v>0.125</c:v>
                </c:pt>
              </c:numCache>
            </c:numRef>
          </c:val>
          <c:extLst>
            <c:ext xmlns:c16="http://schemas.microsoft.com/office/drawing/2014/chart" uri="{C3380CC4-5D6E-409C-BE32-E72D297353CC}">
              <c16:uniqueId val="{00000002-22EE-4FE6-95E6-475117647E07}"/>
            </c:ext>
          </c:extLst>
        </c:ser>
        <c:dLbls>
          <c:showLegendKey val="0"/>
          <c:showVal val="1"/>
          <c:showCatName val="0"/>
          <c:showSerName val="0"/>
          <c:showPercent val="0"/>
          <c:showBubbleSize val="0"/>
        </c:dLbls>
        <c:gapWidth val="219"/>
        <c:overlap val="-27"/>
        <c:axId val="416502784"/>
        <c:axId val="416812992"/>
      </c:barChart>
      <c:catAx>
        <c:axId val="416502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6812992"/>
        <c:crosses val="autoZero"/>
        <c:auto val="1"/>
        <c:lblAlgn val="ctr"/>
        <c:lblOffset val="100"/>
        <c:noMultiLvlLbl val="0"/>
      </c:catAx>
      <c:valAx>
        <c:axId val="416812992"/>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lang="en-US" sz="1000" b="0" i="0" u="none" strike="noStrike" baseline="0">
                    <a:solidFill>
                      <a:srgbClr val="333333"/>
                    </a:solidFill>
                    <a:latin typeface="Cambria"/>
                    <a:ea typeface="Cambria"/>
                    <a:cs typeface="Cambria"/>
                  </a:defRPr>
                </a:pPr>
                <a:r>
                  <a:rPr lang="en-US"/>
                  <a:t>t/an</a:t>
                </a:r>
              </a:p>
            </c:rich>
          </c:tx>
          <c:layout>
            <c:manualLayout>
              <c:xMode val="edge"/>
              <c:yMode val="edge"/>
              <c:x val="1.7104995426060341E-2"/>
              <c:y val="0.45671721902929335"/>
            </c:manualLayout>
          </c:layout>
          <c:overlay val="0"/>
          <c:spPr>
            <a:noFill/>
            <a:ln w="25399">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lang="en-US" sz="8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6502784"/>
        <c:crosses val="autoZero"/>
        <c:crossBetween val="between"/>
      </c:valAx>
      <c:spPr>
        <a:noFill/>
        <a:ln w="25399">
          <a:noFill/>
        </a:ln>
      </c:spPr>
    </c:plotArea>
    <c:legend>
      <c:legendPos val="b"/>
      <c:layout>
        <c:manualLayout>
          <c:xMode val="edge"/>
          <c:yMode val="edge"/>
          <c:x val="2.9401031767580792E-2"/>
          <c:y val="0.89325547988933807"/>
          <c:w val="0.96418644221196459"/>
          <c:h val="0.10674452011066195"/>
        </c:manualLayout>
      </c:layout>
      <c:overlay val="0"/>
      <c:spPr>
        <a:noFill/>
        <a:ln w="25399">
          <a:noFill/>
        </a:ln>
      </c:spPr>
      <c:txPr>
        <a:bodyPr rot="0" spcFirstLastPara="1" vertOverflow="ellipsis" vert="horz" wrap="square" anchor="ctr" anchorCtr="1"/>
        <a:lstStyle/>
        <a:p>
          <a:pPr>
            <a:defRPr lang="en-US" sz="8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lang="en-US"/>
            </a:pPr>
            <a:r>
              <a:rPr lang="en-US" sz="1000"/>
              <a:t>As</a:t>
            </a:r>
          </a:p>
        </c:rich>
      </c:tx>
      <c:layout>
        <c:manualLayout>
          <c:xMode val="edge"/>
          <c:yMode val="edge"/>
          <c:x val="0.49310344827586228"/>
          <c:y val="7.6867758450345811E-2"/>
        </c:manualLayout>
      </c:layout>
      <c:overlay val="0"/>
    </c:title>
    <c:autoTitleDeleted val="0"/>
    <c:plotArea>
      <c:layout>
        <c:manualLayout>
          <c:layoutTarget val="inner"/>
          <c:xMode val="edge"/>
          <c:yMode val="edge"/>
          <c:x val="0.16047750927685753"/>
          <c:y val="7.0888592438341932E-2"/>
          <c:w val="0.83539867861344985"/>
          <c:h val="0.65566839316188208"/>
        </c:manualLayout>
      </c:layout>
      <c:barChart>
        <c:barDir val="col"/>
        <c:grouping val="clustered"/>
        <c:varyColors val="0"/>
        <c:ser>
          <c:idx val="0"/>
          <c:order val="0"/>
          <c:tx>
            <c:strRef>
              <c:f>Sheet1!$B$1</c:f>
              <c:strCache>
                <c:ptCount val="1"/>
                <c:pt idx="0">
                  <c:v>BR1</c:v>
                </c:pt>
              </c:strCache>
            </c:strRef>
          </c:tx>
          <c:spPr>
            <a:solidFill>
              <a:srgbClr val="4472C4"/>
            </a:solidFill>
            <a:ln w="25399">
              <a:noFill/>
            </a:ln>
          </c:spPr>
          <c:invertIfNegative val="0"/>
          <c:cat>
            <c:strRef>
              <c:f>Sheet1!$A$2:$A$5</c:f>
              <c:strCache>
                <c:ptCount val="4"/>
                <c:pt idx="0">
                  <c:v>2013*</c:v>
                </c:pt>
                <c:pt idx="1">
                  <c:v>2017</c:v>
                </c:pt>
                <c:pt idx="2">
                  <c:v>Scenariul A</c:v>
                </c:pt>
                <c:pt idx="3">
                  <c:v>Scenariul B</c:v>
                </c:pt>
              </c:strCache>
            </c:strRef>
          </c:cat>
          <c:val>
            <c:numRef>
              <c:f>Sheet1!$B$2:$B$5</c:f>
              <c:numCache>
                <c:formatCode>General</c:formatCode>
                <c:ptCount val="4"/>
                <c:pt idx="0">
                  <c:v>0.70299999999999996</c:v>
                </c:pt>
                <c:pt idx="2" formatCode="0.000">
                  <c:v>0.68708413213978392</c:v>
                </c:pt>
                <c:pt idx="3" formatCode="0.000">
                  <c:v>0.6849014539242384</c:v>
                </c:pt>
              </c:numCache>
            </c:numRef>
          </c:val>
          <c:extLst>
            <c:ext xmlns:c16="http://schemas.microsoft.com/office/drawing/2014/chart" uri="{C3380CC4-5D6E-409C-BE32-E72D297353CC}">
              <c16:uniqueId val="{00000000-2EDA-467C-A25F-42094BABAF76}"/>
            </c:ext>
          </c:extLst>
        </c:ser>
        <c:ser>
          <c:idx val="1"/>
          <c:order val="1"/>
          <c:tx>
            <c:strRef>
              <c:f>Sheet1!$C$1</c:f>
              <c:strCache>
                <c:ptCount val="1"/>
                <c:pt idx="0">
                  <c:v>BR2</c:v>
                </c:pt>
              </c:strCache>
            </c:strRef>
          </c:tx>
          <c:spPr>
            <a:solidFill>
              <a:srgbClr val="ED7D31"/>
            </a:solidFill>
            <a:ln w="25399">
              <a:noFill/>
            </a:ln>
          </c:spPr>
          <c:invertIfNegative val="0"/>
          <c:cat>
            <c:strRef>
              <c:f>Sheet1!$A$2:$A$5</c:f>
              <c:strCache>
                <c:ptCount val="4"/>
                <c:pt idx="0">
                  <c:v>2013*</c:v>
                </c:pt>
                <c:pt idx="1">
                  <c:v>2017</c:v>
                </c:pt>
                <c:pt idx="2">
                  <c:v>Scenariul A</c:v>
                </c:pt>
                <c:pt idx="3">
                  <c:v>Scenariul B</c:v>
                </c:pt>
              </c:strCache>
            </c:strRef>
          </c:cat>
          <c:val>
            <c:numRef>
              <c:f>Sheet1!$C$2:$C$5</c:f>
              <c:numCache>
                <c:formatCode>General</c:formatCode>
                <c:ptCount val="4"/>
                <c:pt idx="0">
                  <c:v>0.69299999999999995</c:v>
                </c:pt>
                <c:pt idx="2" formatCode="0.000">
                  <c:v>0.67731053139810848</c:v>
                </c:pt>
                <c:pt idx="3" formatCode="0.000">
                  <c:v>0.67515890123683808</c:v>
                </c:pt>
              </c:numCache>
            </c:numRef>
          </c:val>
          <c:extLst>
            <c:ext xmlns:c16="http://schemas.microsoft.com/office/drawing/2014/chart" uri="{C3380CC4-5D6E-409C-BE32-E72D297353CC}">
              <c16:uniqueId val="{00000001-2EDA-467C-A25F-42094BABAF76}"/>
            </c:ext>
          </c:extLst>
        </c:ser>
        <c:ser>
          <c:idx val="2"/>
          <c:order val="2"/>
          <c:tx>
            <c:strRef>
              <c:f>Sheet1!$D$1</c:f>
              <c:strCache>
                <c:ptCount val="1"/>
                <c:pt idx="0">
                  <c:v>BR3</c:v>
                </c:pt>
              </c:strCache>
            </c:strRef>
          </c:tx>
          <c:spPr>
            <a:ln>
              <a:noFill/>
            </a:ln>
          </c:spPr>
          <c:invertIfNegative val="0"/>
          <c:cat>
            <c:strRef>
              <c:f>Sheet1!$A$2:$A$5</c:f>
              <c:strCache>
                <c:ptCount val="4"/>
                <c:pt idx="0">
                  <c:v>2013*</c:v>
                </c:pt>
                <c:pt idx="1">
                  <c:v>2017</c:v>
                </c:pt>
                <c:pt idx="2">
                  <c:v>Scenariul A</c:v>
                </c:pt>
                <c:pt idx="3">
                  <c:v>Scenariul B</c:v>
                </c:pt>
              </c:strCache>
            </c:strRef>
          </c:cat>
          <c:val>
            <c:numRef>
              <c:f>Sheet1!$D$2:$D$5</c:f>
              <c:numCache>
                <c:formatCode>General</c:formatCode>
                <c:ptCount val="4"/>
                <c:pt idx="0">
                  <c:v>0.81399999999999995</c:v>
                </c:pt>
                <c:pt idx="2" formatCode="0.000">
                  <c:v>0.79557110037238143</c:v>
                </c:pt>
                <c:pt idx="3" formatCode="0.000">
                  <c:v>0.79304378875438131</c:v>
                </c:pt>
              </c:numCache>
            </c:numRef>
          </c:val>
          <c:extLst>
            <c:ext xmlns:c16="http://schemas.microsoft.com/office/drawing/2014/chart" uri="{C3380CC4-5D6E-409C-BE32-E72D297353CC}">
              <c16:uniqueId val="{00000002-2EDA-467C-A25F-42094BABAF76}"/>
            </c:ext>
          </c:extLst>
        </c:ser>
        <c:ser>
          <c:idx val="3"/>
          <c:order val="3"/>
          <c:tx>
            <c:strRef>
              <c:f>Sheet1!$E$1</c:f>
              <c:strCache>
                <c:ptCount val="1"/>
                <c:pt idx="0">
                  <c:v>BR4</c:v>
                </c:pt>
              </c:strCache>
            </c:strRef>
          </c:tx>
          <c:invertIfNegative val="0"/>
          <c:cat>
            <c:strRef>
              <c:f>Sheet1!$A$2:$A$5</c:f>
              <c:strCache>
                <c:ptCount val="4"/>
                <c:pt idx="0">
                  <c:v>2013*</c:v>
                </c:pt>
                <c:pt idx="1">
                  <c:v>2017</c:v>
                </c:pt>
                <c:pt idx="2">
                  <c:v>Scenariul A</c:v>
                </c:pt>
                <c:pt idx="3">
                  <c:v>Scenariul B</c:v>
                </c:pt>
              </c:strCache>
            </c:strRef>
          </c:cat>
          <c:val>
            <c:numRef>
              <c:f>Sheet1!$E$2:$E$5</c:f>
              <c:numCache>
                <c:formatCode>General</c:formatCode>
                <c:ptCount val="4"/>
                <c:pt idx="0">
                  <c:v>0.70599999999999996</c:v>
                </c:pt>
                <c:pt idx="2" formatCode="0.000">
                  <c:v>0.69001621236228661</c:v>
                </c:pt>
                <c:pt idx="3" formatCode="0.000">
                  <c:v>0.68782421973045849</c:v>
                </c:pt>
              </c:numCache>
            </c:numRef>
          </c:val>
          <c:extLst>
            <c:ext xmlns:c16="http://schemas.microsoft.com/office/drawing/2014/chart" uri="{C3380CC4-5D6E-409C-BE32-E72D297353CC}">
              <c16:uniqueId val="{00000000-3B3D-4674-ABE5-3CA968350C1D}"/>
            </c:ext>
          </c:extLst>
        </c:ser>
        <c:ser>
          <c:idx val="4"/>
          <c:order val="4"/>
          <c:tx>
            <c:strRef>
              <c:f>Sheet1!$F$1</c:f>
              <c:strCache>
                <c:ptCount val="1"/>
                <c:pt idx="0">
                  <c:v>BR5</c:v>
                </c:pt>
              </c:strCache>
            </c:strRef>
          </c:tx>
          <c:invertIfNegative val="0"/>
          <c:cat>
            <c:strRef>
              <c:f>Sheet1!$A$2:$A$5</c:f>
              <c:strCache>
                <c:ptCount val="4"/>
                <c:pt idx="0">
                  <c:v>2013*</c:v>
                </c:pt>
                <c:pt idx="1">
                  <c:v>2017</c:v>
                </c:pt>
                <c:pt idx="2">
                  <c:v>Scenariul A</c:v>
                </c:pt>
                <c:pt idx="3">
                  <c:v>Scenariul B</c:v>
                </c:pt>
              </c:strCache>
            </c:strRef>
          </c:cat>
          <c:val>
            <c:numRef>
              <c:f>Sheet1!$F$2:$F$5</c:f>
              <c:numCache>
                <c:formatCode>General</c:formatCode>
                <c:ptCount val="4"/>
                <c:pt idx="0">
                  <c:v>0.81399999999999995</c:v>
                </c:pt>
                <c:pt idx="2" formatCode="0.000">
                  <c:v>0.79557110037238143</c:v>
                </c:pt>
                <c:pt idx="3" formatCode="0.000">
                  <c:v>0.79304378875438131</c:v>
                </c:pt>
              </c:numCache>
            </c:numRef>
          </c:val>
          <c:extLst>
            <c:ext xmlns:c16="http://schemas.microsoft.com/office/drawing/2014/chart" uri="{C3380CC4-5D6E-409C-BE32-E72D297353CC}">
              <c16:uniqueId val="{00000001-3B3D-4674-ABE5-3CA968350C1D}"/>
            </c:ext>
          </c:extLst>
        </c:ser>
        <c:dLbls>
          <c:showLegendKey val="0"/>
          <c:showVal val="0"/>
          <c:showCatName val="0"/>
          <c:showSerName val="0"/>
          <c:showPercent val="0"/>
          <c:showBubbleSize val="0"/>
        </c:dLbls>
        <c:gapWidth val="150"/>
        <c:axId val="417194496"/>
        <c:axId val="416814720"/>
      </c:barChart>
      <c:lineChart>
        <c:grouping val="standard"/>
        <c:varyColors val="0"/>
        <c:ser>
          <c:idx val="5"/>
          <c:order val="5"/>
          <c:tx>
            <c:strRef>
              <c:f>Sheet1!$G$1</c:f>
              <c:strCache>
                <c:ptCount val="1"/>
                <c:pt idx="0">
                  <c:v>VT</c:v>
                </c:pt>
              </c:strCache>
            </c:strRef>
          </c:tx>
          <c:spPr>
            <a:ln>
              <a:solidFill>
                <a:srgbClr val="FF0000"/>
              </a:solidFill>
            </a:ln>
          </c:spPr>
          <c:marker>
            <c:symbol val="none"/>
          </c:marker>
          <c:cat>
            <c:strRef>
              <c:f>Sheet1!$A$2:$A$5</c:f>
              <c:strCache>
                <c:ptCount val="4"/>
                <c:pt idx="0">
                  <c:v>2013*</c:v>
                </c:pt>
                <c:pt idx="1">
                  <c:v>2017</c:v>
                </c:pt>
                <c:pt idx="2">
                  <c:v>Scenariul A</c:v>
                </c:pt>
                <c:pt idx="3">
                  <c:v>Scenariul B</c:v>
                </c:pt>
              </c:strCache>
            </c:strRef>
          </c:cat>
          <c:val>
            <c:numRef>
              <c:f>Sheet1!$G$2:$G$5</c:f>
              <c:numCache>
                <c:formatCode>General</c:formatCode>
                <c:ptCount val="4"/>
                <c:pt idx="0">
                  <c:v>6</c:v>
                </c:pt>
                <c:pt idx="1">
                  <c:v>6</c:v>
                </c:pt>
                <c:pt idx="2">
                  <c:v>6</c:v>
                </c:pt>
                <c:pt idx="3">
                  <c:v>6</c:v>
                </c:pt>
              </c:numCache>
            </c:numRef>
          </c:val>
          <c:smooth val="0"/>
          <c:extLst>
            <c:ext xmlns:c16="http://schemas.microsoft.com/office/drawing/2014/chart" uri="{C3380CC4-5D6E-409C-BE32-E72D297353CC}">
              <c16:uniqueId val="{00000002-3B3D-4674-ABE5-3CA968350C1D}"/>
            </c:ext>
          </c:extLst>
        </c:ser>
        <c:dLbls>
          <c:showLegendKey val="0"/>
          <c:showVal val="0"/>
          <c:showCatName val="0"/>
          <c:showSerName val="0"/>
          <c:showPercent val="0"/>
          <c:showBubbleSize val="0"/>
        </c:dLbls>
        <c:marker val="1"/>
        <c:smooth val="0"/>
        <c:axId val="417194496"/>
        <c:axId val="416814720"/>
      </c:lineChart>
      <c:catAx>
        <c:axId val="417194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6814720"/>
        <c:crosses val="autoZero"/>
        <c:auto val="1"/>
        <c:lblAlgn val="ctr"/>
        <c:lblOffset val="100"/>
        <c:noMultiLvlLbl val="0"/>
      </c:catAx>
      <c:valAx>
        <c:axId val="416814720"/>
        <c:scaling>
          <c:orientation val="minMax"/>
          <c:max val="6"/>
        </c:scaling>
        <c:delete val="0"/>
        <c:axPos val="l"/>
        <c:majorGridlines>
          <c:spPr>
            <a:ln w="9525" cap="flat" cmpd="sng" algn="ctr">
              <a:solidFill>
                <a:schemeClr val="tx1">
                  <a:lumMod val="15000"/>
                  <a:lumOff val="85000"/>
                </a:schemeClr>
              </a:solidFill>
              <a:round/>
            </a:ln>
            <a:effectLst/>
          </c:spPr>
        </c:majorGridlines>
        <c:title>
          <c:tx>
            <c:rich>
              <a:bodyPr/>
              <a:lstStyle/>
              <a:p>
                <a:pPr>
                  <a:defRPr lang="en-US" sz="1000" b="0" i="0" u="none" strike="noStrike" baseline="0">
                    <a:solidFill>
                      <a:srgbClr val="333333"/>
                    </a:solidFill>
                    <a:latin typeface="Cambria"/>
                    <a:ea typeface="Cambria"/>
                    <a:cs typeface="Cambria"/>
                  </a:defRPr>
                </a:pPr>
                <a:r>
                  <a:rPr lang="en-US">
                    <a:latin typeface="Cambria" panose="02040503050406030204" pitchFamily="18" charset="0"/>
                    <a:ea typeface="Cambria" panose="02040503050406030204" pitchFamily="18" charset="0"/>
                  </a:rPr>
                  <a:t>ng</a:t>
                </a:r>
                <a:r>
                  <a:rPr lang="en-US"/>
                  <a:t>/m3</a:t>
                </a:r>
              </a:p>
            </c:rich>
          </c:tx>
          <c:layout>
            <c:manualLayout>
              <c:xMode val="edge"/>
              <c:yMode val="edge"/>
              <c:x val="1.2507195221287005E-2"/>
              <c:y val="0.25899883237028837"/>
            </c:manualLayout>
          </c:layout>
          <c:overlay val="0"/>
          <c:spPr>
            <a:noFill/>
            <a:ln w="25399">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lang="en-US" sz="8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7194496"/>
        <c:crosses val="autoZero"/>
        <c:crossBetween val="between"/>
      </c:valAx>
      <c:spPr>
        <a:noFill/>
        <a:ln w="25399">
          <a:noFill/>
        </a:ln>
      </c:spPr>
    </c:plotArea>
    <c:legend>
      <c:legendPos val="b"/>
      <c:layout>
        <c:manualLayout>
          <c:xMode val="edge"/>
          <c:yMode val="edge"/>
          <c:x val="2.020562946873021E-2"/>
          <c:y val="0.87044160354480504"/>
          <c:w val="0.96491954022988546"/>
          <c:h val="0.12955839645519607"/>
        </c:manualLayout>
      </c:layout>
      <c:overlay val="0"/>
      <c:spPr>
        <a:noFill/>
        <a:ln w="25399">
          <a:noFill/>
        </a:ln>
      </c:spPr>
      <c:txPr>
        <a:bodyPr rot="0" spcFirstLastPara="1" vertOverflow="ellipsis" vert="horz" wrap="square" anchor="ctr" anchorCtr="1"/>
        <a:lstStyle/>
        <a:p>
          <a:pPr>
            <a:defRPr lang="en-US" sz="6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lang="en-US"/>
            </a:pPr>
            <a:r>
              <a:rPr lang="en-US" sz="1000"/>
              <a:t>Cd</a:t>
            </a:r>
          </a:p>
        </c:rich>
      </c:tx>
      <c:layout>
        <c:manualLayout>
          <c:xMode val="edge"/>
          <c:yMode val="edge"/>
          <c:x val="0.49310344827586228"/>
          <c:y val="7.6867758450345811E-2"/>
        </c:manualLayout>
      </c:layout>
      <c:overlay val="0"/>
    </c:title>
    <c:autoTitleDeleted val="0"/>
    <c:plotArea>
      <c:layout>
        <c:manualLayout>
          <c:layoutTarget val="inner"/>
          <c:xMode val="edge"/>
          <c:yMode val="edge"/>
          <c:x val="0.16047750927685753"/>
          <c:y val="7.0888592438341932E-2"/>
          <c:w val="0.83539867861344985"/>
          <c:h val="0.67087751863716705"/>
        </c:manualLayout>
      </c:layout>
      <c:barChart>
        <c:barDir val="col"/>
        <c:grouping val="clustered"/>
        <c:varyColors val="0"/>
        <c:ser>
          <c:idx val="0"/>
          <c:order val="0"/>
          <c:tx>
            <c:strRef>
              <c:f>Sheet1!$B$1</c:f>
              <c:strCache>
                <c:ptCount val="1"/>
                <c:pt idx="0">
                  <c:v>BR1</c:v>
                </c:pt>
              </c:strCache>
            </c:strRef>
          </c:tx>
          <c:spPr>
            <a:solidFill>
              <a:srgbClr val="4472C4"/>
            </a:solidFill>
            <a:ln w="25399">
              <a:noFill/>
            </a:ln>
          </c:spPr>
          <c:invertIfNegative val="0"/>
          <c:cat>
            <c:strRef>
              <c:f>Sheet1!$A$2:$A$5</c:f>
              <c:strCache>
                <c:ptCount val="4"/>
                <c:pt idx="0">
                  <c:v>2013*</c:v>
                </c:pt>
                <c:pt idx="1">
                  <c:v>2017</c:v>
                </c:pt>
                <c:pt idx="2">
                  <c:v>Scenariul A</c:v>
                </c:pt>
                <c:pt idx="3">
                  <c:v>Scenariul B</c:v>
                </c:pt>
              </c:strCache>
            </c:strRef>
          </c:cat>
          <c:val>
            <c:numRef>
              <c:f>Sheet1!$B$2:$B$5</c:f>
              <c:numCache>
                <c:formatCode>General</c:formatCode>
                <c:ptCount val="4"/>
                <c:pt idx="0">
                  <c:v>0.25</c:v>
                </c:pt>
                <c:pt idx="2" formatCode="0.000">
                  <c:v>0.24793446231256347</c:v>
                </c:pt>
                <c:pt idx="3" formatCode="0.000">
                  <c:v>0.24622072999576944</c:v>
                </c:pt>
              </c:numCache>
            </c:numRef>
          </c:val>
          <c:extLst>
            <c:ext xmlns:c16="http://schemas.microsoft.com/office/drawing/2014/chart" uri="{C3380CC4-5D6E-409C-BE32-E72D297353CC}">
              <c16:uniqueId val="{00000000-A4EC-461D-A283-F5F665951829}"/>
            </c:ext>
          </c:extLst>
        </c:ser>
        <c:ser>
          <c:idx val="1"/>
          <c:order val="1"/>
          <c:tx>
            <c:strRef>
              <c:f>Sheet1!$C$1</c:f>
              <c:strCache>
                <c:ptCount val="1"/>
                <c:pt idx="0">
                  <c:v>BR2</c:v>
                </c:pt>
              </c:strCache>
            </c:strRef>
          </c:tx>
          <c:spPr>
            <a:solidFill>
              <a:srgbClr val="ED7D31"/>
            </a:solidFill>
            <a:ln w="25399">
              <a:noFill/>
            </a:ln>
          </c:spPr>
          <c:invertIfNegative val="0"/>
          <c:cat>
            <c:strRef>
              <c:f>Sheet1!$A$2:$A$5</c:f>
              <c:strCache>
                <c:ptCount val="4"/>
                <c:pt idx="0">
                  <c:v>2013*</c:v>
                </c:pt>
                <c:pt idx="1">
                  <c:v>2017</c:v>
                </c:pt>
                <c:pt idx="2">
                  <c:v>Scenariul A</c:v>
                </c:pt>
                <c:pt idx="3">
                  <c:v>Scenariul B</c:v>
                </c:pt>
              </c:strCache>
            </c:strRef>
          </c:cat>
          <c:val>
            <c:numRef>
              <c:f>Sheet1!$C$2:$C$5</c:f>
              <c:numCache>
                <c:formatCode>General</c:formatCode>
                <c:ptCount val="4"/>
                <c:pt idx="0">
                  <c:v>0.23799999999999999</c:v>
                </c:pt>
                <c:pt idx="2" formatCode="0.000">
                  <c:v>0.23603360812156041</c:v>
                </c:pt>
                <c:pt idx="3" formatCode="0.000">
                  <c:v>0.23440213495597251</c:v>
                </c:pt>
              </c:numCache>
            </c:numRef>
          </c:val>
          <c:extLst>
            <c:ext xmlns:c16="http://schemas.microsoft.com/office/drawing/2014/chart" uri="{C3380CC4-5D6E-409C-BE32-E72D297353CC}">
              <c16:uniqueId val="{00000001-A4EC-461D-A283-F5F665951829}"/>
            </c:ext>
          </c:extLst>
        </c:ser>
        <c:ser>
          <c:idx val="2"/>
          <c:order val="2"/>
          <c:tx>
            <c:strRef>
              <c:f>Sheet1!$D$1</c:f>
              <c:strCache>
                <c:ptCount val="1"/>
                <c:pt idx="0">
                  <c:v>BR3</c:v>
                </c:pt>
              </c:strCache>
            </c:strRef>
          </c:tx>
          <c:spPr>
            <a:ln>
              <a:noFill/>
            </a:ln>
          </c:spPr>
          <c:invertIfNegative val="0"/>
          <c:cat>
            <c:strRef>
              <c:f>Sheet1!$A$2:$A$5</c:f>
              <c:strCache>
                <c:ptCount val="4"/>
                <c:pt idx="0">
                  <c:v>2013*</c:v>
                </c:pt>
                <c:pt idx="1">
                  <c:v>2017</c:v>
                </c:pt>
                <c:pt idx="2">
                  <c:v>Scenariul A</c:v>
                </c:pt>
                <c:pt idx="3">
                  <c:v>Scenariul B</c:v>
                </c:pt>
              </c:strCache>
            </c:strRef>
          </c:cat>
          <c:val>
            <c:numRef>
              <c:f>Sheet1!$D$2:$D$5</c:f>
              <c:numCache>
                <c:formatCode>General</c:formatCode>
                <c:ptCount val="4"/>
                <c:pt idx="0">
                  <c:v>0.2</c:v>
                </c:pt>
                <c:pt idx="2" formatCode="0.000">
                  <c:v>0.19834756985005078</c:v>
                </c:pt>
                <c:pt idx="3" formatCode="0.000">
                  <c:v>0.19697658399661555</c:v>
                </c:pt>
              </c:numCache>
            </c:numRef>
          </c:val>
          <c:extLst>
            <c:ext xmlns:c16="http://schemas.microsoft.com/office/drawing/2014/chart" uri="{C3380CC4-5D6E-409C-BE32-E72D297353CC}">
              <c16:uniqueId val="{00000002-A4EC-461D-A283-F5F665951829}"/>
            </c:ext>
          </c:extLst>
        </c:ser>
        <c:ser>
          <c:idx val="3"/>
          <c:order val="3"/>
          <c:tx>
            <c:strRef>
              <c:f>Sheet1!$E$1</c:f>
              <c:strCache>
                <c:ptCount val="1"/>
                <c:pt idx="0">
                  <c:v>BR4</c:v>
                </c:pt>
              </c:strCache>
            </c:strRef>
          </c:tx>
          <c:invertIfNegative val="0"/>
          <c:cat>
            <c:strRef>
              <c:f>Sheet1!$A$2:$A$5</c:f>
              <c:strCache>
                <c:ptCount val="4"/>
                <c:pt idx="0">
                  <c:v>2013*</c:v>
                </c:pt>
                <c:pt idx="1">
                  <c:v>2017</c:v>
                </c:pt>
                <c:pt idx="2">
                  <c:v>Scenariul A</c:v>
                </c:pt>
                <c:pt idx="3">
                  <c:v>Scenariul B</c:v>
                </c:pt>
              </c:strCache>
            </c:strRef>
          </c:cat>
          <c:val>
            <c:numRef>
              <c:f>Sheet1!$E$2:$E$5</c:f>
              <c:numCache>
                <c:formatCode>General</c:formatCode>
                <c:ptCount val="4"/>
                <c:pt idx="0">
                  <c:v>0.254</c:v>
                </c:pt>
                <c:pt idx="2" formatCode="0.000">
                  <c:v>0.25190141370956448</c:v>
                </c:pt>
                <c:pt idx="3" formatCode="0.000">
                  <c:v>0.25016026167570177</c:v>
                </c:pt>
              </c:numCache>
            </c:numRef>
          </c:val>
          <c:extLst>
            <c:ext xmlns:c16="http://schemas.microsoft.com/office/drawing/2014/chart" uri="{C3380CC4-5D6E-409C-BE32-E72D297353CC}">
              <c16:uniqueId val="{00000000-3D8E-4DB9-A1D8-6293C49CF2AC}"/>
            </c:ext>
          </c:extLst>
        </c:ser>
        <c:ser>
          <c:idx val="4"/>
          <c:order val="4"/>
          <c:tx>
            <c:strRef>
              <c:f>Sheet1!$F$1</c:f>
              <c:strCache>
                <c:ptCount val="1"/>
                <c:pt idx="0">
                  <c:v>BR5</c:v>
                </c:pt>
              </c:strCache>
            </c:strRef>
          </c:tx>
          <c:invertIfNegative val="0"/>
          <c:cat>
            <c:strRef>
              <c:f>Sheet1!$A$2:$A$5</c:f>
              <c:strCache>
                <c:ptCount val="4"/>
                <c:pt idx="0">
                  <c:v>2013*</c:v>
                </c:pt>
                <c:pt idx="1">
                  <c:v>2017</c:v>
                </c:pt>
                <c:pt idx="2">
                  <c:v>Scenariul A</c:v>
                </c:pt>
                <c:pt idx="3">
                  <c:v>Scenariul B</c:v>
                </c:pt>
              </c:strCache>
            </c:strRef>
          </c:cat>
          <c:val>
            <c:numRef>
              <c:f>Sheet1!$F$2:$F$5</c:f>
              <c:numCache>
                <c:formatCode>General</c:formatCode>
                <c:ptCount val="4"/>
                <c:pt idx="0">
                  <c:v>0.19900000000000001</c:v>
                </c:pt>
                <c:pt idx="2" formatCode="0.000">
                  <c:v>0.19900000000000001</c:v>
                </c:pt>
                <c:pt idx="3" formatCode="0.000">
                  <c:v>0.1959917010766325</c:v>
                </c:pt>
              </c:numCache>
            </c:numRef>
          </c:val>
          <c:extLst>
            <c:ext xmlns:c16="http://schemas.microsoft.com/office/drawing/2014/chart" uri="{C3380CC4-5D6E-409C-BE32-E72D297353CC}">
              <c16:uniqueId val="{00000001-3D8E-4DB9-A1D8-6293C49CF2AC}"/>
            </c:ext>
          </c:extLst>
        </c:ser>
        <c:dLbls>
          <c:showLegendKey val="0"/>
          <c:showVal val="0"/>
          <c:showCatName val="0"/>
          <c:showSerName val="0"/>
          <c:showPercent val="0"/>
          <c:showBubbleSize val="0"/>
        </c:dLbls>
        <c:gapWidth val="150"/>
        <c:axId val="417195520"/>
        <c:axId val="416816448"/>
      </c:barChart>
      <c:lineChart>
        <c:grouping val="standard"/>
        <c:varyColors val="0"/>
        <c:ser>
          <c:idx val="5"/>
          <c:order val="5"/>
          <c:tx>
            <c:strRef>
              <c:f>Sheet1!$G$1</c:f>
              <c:strCache>
                <c:ptCount val="1"/>
                <c:pt idx="0">
                  <c:v>VT</c:v>
                </c:pt>
              </c:strCache>
            </c:strRef>
          </c:tx>
          <c:spPr>
            <a:ln>
              <a:solidFill>
                <a:srgbClr val="FF0000"/>
              </a:solidFill>
            </a:ln>
          </c:spPr>
          <c:marker>
            <c:symbol val="none"/>
          </c:marker>
          <c:cat>
            <c:strRef>
              <c:f>Sheet1!$A$2:$A$5</c:f>
              <c:strCache>
                <c:ptCount val="4"/>
                <c:pt idx="0">
                  <c:v>2013*</c:v>
                </c:pt>
                <c:pt idx="1">
                  <c:v>2017</c:v>
                </c:pt>
                <c:pt idx="2">
                  <c:v>Scenariul A</c:v>
                </c:pt>
                <c:pt idx="3">
                  <c:v>Scenariul B</c:v>
                </c:pt>
              </c:strCache>
            </c:strRef>
          </c:cat>
          <c:val>
            <c:numRef>
              <c:f>Sheet1!$G$2:$G$5</c:f>
              <c:numCache>
                <c:formatCode>General</c:formatCode>
                <c:ptCount val="4"/>
                <c:pt idx="0">
                  <c:v>5</c:v>
                </c:pt>
                <c:pt idx="1">
                  <c:v>5</c:v>
                </c:pt>
                <c:pt idx="2">
                  <c:v>5</c:v>
                </c:pt>
                <c:pt idx="3">
                  <c:v>5</c:v>
                </c:pt>
              </c:numCache>
            </c:numRef>
          </c:val>
          <c:smooth val="0"/>
          <c:extLst>
            <c:ext xmlns:c16="http://schemas.microsoft.com/office/drawing/2014/chart" uri="{C3380CC4-5D6E-409C-BE32-E72D297353CC}">
              <c16:uniqueId val="{00000002-3D8E-4DB9-A1D8-6293C49CF2AC}"/>
            </c:ext>
          </c:extLst>
        </c:ser>
        <c:dLbls>
          <c:showLegendKey val="0"/>
          <c:showVal val="0"/>
          <c:showCatName val="0"/>
          <c:showSerName val="0"/>
          <c:showPercent val="0"/>
          <c:showBubbleSize val="0"/>
        </c:dLbls>
        <c:marker val="1"/>
        <c:smooth val="0"/>
        <c:axId val="417195520"/>
        <c:axId val="416816448"/>
      </c:lineChart>
      <c:catAx>
        <c:axId val="417195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6816448"/>
        <c:crosses val="autoZero"/>
        <c:auto val="1"/>
        <c:lblAlgn val="ctr"/>
        <c:lblOffset val="100"/>
        <c:noMultiLvlLbl val="0"/>
      </c:catAx>
      <c:valAx>
        <c:axId val="416816448"/>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lang="en-US" sz="1000" b="0" i="0" u="none" strike="noStrike" baseline="0">
                    <a:solidFill>
                      <a:srgbClr val="333333"/>
                    </a:solidFill>
                    <a:latin typeface="Cambria"/>
                    <a:ea typeface="Cambria"/>
                    <a:cs typeface="Cambria"/>
                  </a:defRPr>
                </a:pPr>
                <a:r>
                  <a:rPr lang="en-US">
                    <a:latin typeface="Cambria" panose="02040503050406030204" pitchFamily="18" charset="0"/>
                    <a:ea typeface="Cambria" panose="02040503050406030204" pitchFamily="18" charset="0"/>
                  </a:rPr>
                  <a:t>ng</a:t>
                </a:r>
                <a:r>
                  <a:rPr lang="en-US"/>
                  <a:t>/m3</a:t>
                </a:r>
              </a:p>
            </c:rich>
          </c:tx>
          <c:layout>
            <c:manualLayout>
              <c:xMode val="edge"/>
              <c:yMode val="edge"/>
              <c:x val="1.2507195221287005E-2"/>
              <c:y val="0.25899883237028837"/>
            </c:manualLayout>
          </c:layout>
          <c:overlay val="0"/>
          <c:spPr>
            <a:noFill/>
            <a:ln w="25399">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lang="en-US" sz="8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7195520"/>
        <c:crosses val="autoZero"/>
        <c:crossBetween val="between"/>
      </c:valAx>
      <c:spPr>
        <a:noFill/>
        <a:ln w="25399">
          <a:noFill/>
        </a:ln>
      </c:spPr>
    </c:plotArea>
    <c:legend>
      <c:legendPos val="b"/>
      <c:layout>
        <c:manualLayout>
          <c:xMode val="edge"/>
          <c:yMode val="edge"/>
          <c:x val="2.4803330618155529E-2"/>
          <c:y val="0.8780461662824468"/>
          <c:w val="0.96328789935740788"/>
          <c:h val="0.12195383371755336"/>
        </c:manualLayout>
      </c:layout>
      <c:overlay val="0"/>
      <c:spPr>
        <a:noFill/>
        <a:ln w="25399">
          <a:noFill/>
        </a:ln>
      </c:spPr>
      <c:txPr>
        <a:bodyPr rot="0" spcFirstLastPara="1" vertOverflow="ellipsis" vert="horz" wrap="square" anchor="ctr" anchorCtr="1"/>
        <a:lstStyle/>
        <a:p>
          <a:pPr>
            <a:defRPr lang="en-US" sz="6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lang="en-US"/>
            </a:pPr>
            <a:r>
              <a:rPr lang="en-US" sz="1000"/>
              <a:t>C</a:t>
            </a:r>
            <a:r>
              <a:rPr lang="en-US" sz="800"/>
              <a:t>6</a:t>
            </a:r>
            <a:r>
              <a:rPr lang="en-US" sz="1000"/>
              <a:t>H</a:t>
            </a:r>
            <a:r>
              <a:rPr lang="en-US" sz="800"/>
              <a:t>6</a:t>
            </a:r>
          </a:p>
        </c:rich>
      </c:tx>
      <c:layout>
        <c:manualLayout>
          <c:xMode val="edge"/>
          <c:yMode val="edge"/>
          <c:x val="0.49310344827586228"/>
          <c:y val="7.6867758450345811E-2"/>
        </c:manualLayout>
      </c:layout>
      <c:overlay val="0"/>
    </c:title>
    <c:autoTitleDeleted val="0"/>
    <c:plotArea>
      <c:layout>
        <c:manualLayout>
          <c:layoutTarget val="inner"/>
          <c:xMode val="edge"/>
          <c:yMode val="edge"/>
          <c:x val="0.16047750927685753"/>
          <c:y val="7.0888592438341932E-2"/>
          <c:w val="0.83539867861344985"/>
          <c:h val="0.67087751863716705"/>
        </c:manualLayout>
      </c:layout>
      <c:barChart>
        <c:barDir val="col"/>
        <c:grouping val="clustered"/>
        <c:varyColors val="0"/>
        <c:ser>
          <c:idx val="0"/>
          <c:order val="0"/>
          <c:tx>
            <c:strRef>
              <c:f>Sheet1!$B$1</c:f>
              <c:strCache>
                <c:ptCount val="1"/>
                <c:pt idx="0">
                  <c:v>BR1</c:v>
                </c:pt>
              </c:strCache>
            </c:strRef>
          </c:tx>
          <c:spPr>
            <a:solidFill>
              <a:srgbClr val="4472C4"/>
            </a:solidFill>
            <a:ln w="25399">
              <a:noFill/>
            </a:ln>
          </c:spPr>
          <c:invertIfNegative val="0"/>
          <c:cat>
            <c:strRef>
              <c:f>Sheet1!$A$2:$A$5</c:f>
              <c:strCache>
                <c:ptCount val="4"/>
                <c:pt idx="0">
                  <c:v>2013*</c:v>
                </c:pt>
                <c:pt idx="1">
                  <c:v>2017</c:v>
                </c:pt>
                <c:pt idx="2">
                  <c:v>Scenariul A</c:v>
                </c:pt>
                <c:pt idx="3">
                  <c:v>Scenariul B</c:v>
                </c:pt>
              </c:strCache>
            </c:strRef>
          </c:cat>
          <c:val>
            <c:numRef>
              <c:f>Sheet1!$B$2:$B$5</c:f>
              <c:numCache>
                <c:formatCode>General</c:formatCode>
                <c:ptCount val="4"/>
                <c:pt idx="0">
                  <c:v>1.284</c:v>
                </c:pt>
                <c:pt idx="1">
                  <c:v>2.39</c:v>
                </c:pt>
                <c:pt idx="2" formatCode="0.000">
                  <c:v>1.284</c:v>
                </c:pt>
                <c:pt idx="3" formatCode="0.000">
                  <c:v>1.2624576074116767</c:v>
                </c:pt>
              </c:numCache>
            </c:numRef>
          </c:val>
          <c:extLst>
            <c:ext xmlns:c16="http://schemas.microsoft.com/office/drawing/2014/chart" uri="{C3380CC4-5D6E-409C-BE32-E72D297353CC}">
              <c16:uniqueId val="{00000000-F4C4-4262-9FB6-43C37118F8BA}"/>
            </c:ext>
          </c:extLst>
        </c:ser>
        <c:ser>
          <c:idx val="1"/>
          <c:order val="1"/>
          <c:tx>
            <c:strRef>
              <c:f>Sheet1!$C$1</c:f>
              <c:strCache>
                <c:ptCount val="1"/>
                <c:pt idx="0">
                  <c:v>BR2</c:v>
                </c:pt>
              </c:strCache>
            </c:strRef>
          </c:tx>
          <c:spPr>
            <a:solidFill>
              <a:srgbClr val="ED7D31"/>
            </a:solidFill>
            <a:ln w="25399">
              <a:noFill/>
            </a:ln>
          </c:spPr>
          <c:invertIfNegative val="0"/>
          <c:cat>
            <c:strRef>
              <c:f>Sheet1!$A$2:$A$5</c:f>
              <c:strCache>
                <c:ptCount val="4"/>
                <c:pt idx="0">
                  <c:v>2013*</c:v>
                </c:pt>
                <c:pt idx="1">
                  <c:v>2017</c:v>
                </c:pt>
                <c:pt idx="2">
                  <c:v>Scenariul A</c:v>
                </c:pt>
                <c:pt idx="3">
                  <c:v>Scenariul B</c:v>
                </c:pt>
              </c:strCache>
            </c:strRef>
          </c:cat>
          <c:val>
            <c:numRef>
              <c:f>Sheet1!$C$2:$C$5</c:f>
              <c:numCache>
                <c:formatCode>General</c:formatCode>
                <c:ptCount val="4"/>
                <c:pt idx="0">
                  <c:v>1.284</c:v>
                </c:pt>
                <c:pt idx="1">
                  <c:v>1.4</c:v>
                </c:pt>
                <c:pt idx="2" formatCode="0.000">
                  <c:v>1.284</c:v>
                </c:pt>
                <c:pt idx="3" formatCode="0.000">
                  <c:v>1.2624576074116767</c:v>
                </c:pt>
              </c:numCache>
            </c:numRef>
          </c:val>
          <c:extLst>
            <c:ext xmlns:c16="http://schemas.microsoft.com/office/drawing/2014/chart" uri="{C3380CC4-5D6E-409C-BE32-E72D297353CC}">
              <c16:uniqueId val="{00000001-F4C4-4262-9FB6-43C37118F8BA}"/>
            </c:ext>
          </c:extLst>
        </c:ser>
        <c:ser>
          <c:idx val="2"/>
          <c:order val="2"/>
          <c:tx>
            <c:strRef>
              <c:f>Sheet1!$D$1</c:f>
              <c:strCache>
                <c:ptCount val="1"/>
                <c:pt idx="0">
                  <c:v>BR3</c:v>
                </c:pt>
              </c:strCache>
            </c:strRef>
          </c:tx>
          <c:spPr>
            <a:ln>
              <a:noFill/>
            </a:ln>
          </c:spPr>
          <c:invertIfNegative val="0"/>
          <c:cat>
            <c:strRef>
              <c:f>Sheet1!$A$2:$A$5</c:f>
              <c:strCache>
                <c:ptCount val="4"/>
                <c:pt idx="0">
                  <c:v>2013*</c:v>
                </c:pt>
                <c:pt idx="1">
                  <c:v>2017</c:v>
                </c:pt>
                <c:pt idx="2">
                  <c:v>Scenariul A</c:v>
                </c:pt>
                <c:pt idx="3">
                  <c:v>Scenariul B</c:v>
                </c:pt>
              </c:strCache>
            </c:strRef>
          </c:cat>
          <c:val>
            <c:numRef>
              <c:f>Sheet1!$D$2:$D$5</c:f>
              <c:numCache>
                <c:formatCode>General</c:formatCode>
                <c:ptCount val="4"/>
                <c:pt idx="0">
                  <c:v>1.177</c:v>
                </c:pt>
                <c:pt idx="1">
                  <c:v>2.71</c:v>
                </c:pt>
                <c:pt idx="2" formatCode="0.000">
                  <c:v>1.177</c:v>
                </c:pt>
                <c:pt idx="3" formatCode="0.000">
                  <c:v>1.1572528067940371</c:v>
                </c:pt>
              </c:numCache>
            </c:numRef>
          </c:val>
          <c:extLst>
            <c:ext xmlns:c16="http://schemas.microsoft.com/office/drawing/2014/chart" uri="{C3380CC4-5D6E-409C-BE32-E72D297353CC}">
              <c16:uniqueId val="{00000002-F4C4-4262-9FB6-43C37118F8BA}"/>
            </c:ext>
          </c:extLst>
        </c:ser>
        <c:ser>
          <c:idx val="3"/>
          <c:order val="3"/>
          <c:tx>
            <c:strRef>
              <c:f>Sheet1!$E$1</c:f>
              <c:strCache>
                <c:ptCount val="1"/>
                <c:pt idx="0">
                  <c:v>BR4</c:v>
                </c:pt>
              </c:strCache>
            </c:strRef>
          </c:tx>
          <c:invertIfNegative val="0"/>
          <c:cat>
            <c:strRef>
              <c:f>Sheet1!$A$2:$A$5</c:f>
              <c:strCache>
                <c:ptCount val="4"/>
                <c:pt idx="0">
                  <c:v>2013*</c:v>
                </c:pt>
                <c:pt idx="1">
                  <c:v>2017</c:v>
                </c:pt>
                <c:pt idx="2">
                  <c:v>Scenariul A</c:v>
                </c:pt>
                <c:pt idx="3">
                  <c:v>Scenariul B</c:v>
                </c:pt>
              </c:strCache>
            </c:strRef>
          </c:cat>
          <c:val>
            <c:numRef>
              <c:f>Sheet1!$E$2:$E$5</c:f>
              <c:numCache>
                <c:formatCode>General</c:formatCode>
                <c:ptCount val="4"/>
                <c:pt idx="0">
                  <c:v>1.2270000000000001</c:v>
                </c:pt>
                <c:pt idx="2" formatCode="0.000">
                  <c:v>1.2270000000000001</c:v>
                </c:pt>
                <c:pt idx="3" formatCode="0.000">
                  <c:v>1.2064139285779809</c:v>
                </c:pt>
              </c:numCache>
            </c:numRef>
          </c:val>
          <c:extLst>
            <c:ext xmlns:c16="http://schemas.microsoft.com/office/drawing/2014/chart" uri="{C3380CC4-5D6E-409C-BE32-E72D297353CC}">
              <c16:uniqueId val="{00000000-E9AF-4554-A814-A181C73459BC}"/>
            </c:ext>
          </c:extLst>
        </c:ser>
        <c:ser>
          <c:idx val="4"/>
          <c:order val="4"/>
          <c:tx>
            <c:strRef>
              <c:f>Sheet1!$F$1</c:f>
              <c:strCache>
                <c:ptCount val="1"/>
                <c:pt idx="0">
                  <c:v>BR5</c:v>
                </c:pt>
              </c:strCache>
            </c:strRef>
          </c:tx>
          <c:invertIfNegative val="0"/>
          <c:cat>
            <c:strRef>
              <c:f>Sheet1!$A$2:$A$5</c:f>
              <c:strCache>
                <c:ptCount val="4"/>
                <c:pt idx="0">
                  <c:v>2013*</c:v>
                </c:pt>
                <c:pt idx="1">
                  <c:v>2017</c:v>
                </c:pt>
                <c:pt idx="2">
                  <c:v>Scenariul A</c:v>
                </c:pt>
                <c:pt idx="3">
                  <c:v>Scenariul B</c:v>
                </c:pt>
              </c:strCache>
            </c:strRef>
          </c:cat>
          <c:val>
            <c:numRef>
              <c:f>Sheet1!$F$2:$F$5</c:f>
              <c:numCache>
                <c:formatCode>General</c:formatCode>
                <c:ptCount val="4"/>
                <c:pt idx="0">
                  <c:v>1.173</c:v>
                </c:pt>
                <c:pt idx="1">
                  <c:v>1.91</c:v>
                </c:pt>
                <c:pt idx="2" formatCode="0.000">
                  <c:v>1.173</c:v>
                </c:pt>
                <c:pt idx="3" formatCode="0.000">
                  <c:v>1.1533199170513215</c:v>
                </c:pt>
              </c:numCache>
            </c:numRef>
          </c:val>
          <c:extLst>
            <c:ext xmlns:c16="http://schemas.microsoft.com/office/drawing/2014/chart" uri="{C3380CC4-5D6E-409C-BE32-E72D297353CC}">
              <c16:uniqueId val="{00000001-E9AF-4554-A814-A181C73459BC}"/>
            </c:ext>
          </c:extLst>
        </c:ser>
        <c:dLbls>
          <c:showLegendKey val="0"/>
          <c:showVal val="0"/>
          <c:showCatName val="0"/>
          <c:showSerName val="0"/>
          <c:showPercent val="0"/>
          <c:showBubbleSize val="0"/>
        </c:dLbls>
        <c:gapWidth val="150"/>
        <c:axId val="416003584"/>
        <c:axId val="417031296"/>
      </c:barChart>
      <c:lineChart>
        <c:grouping val="standard"/>
        <c:varyColors val="0"/>
        <c:ser>
          <c:idx val="5"/>
          <c:order val="5"/>
          <c:tx>
            <c:strRef>
              <c:f>Sheet1!$G$1</c:f>
              <c:strCache>
                <c:ptCount val="1"/>
                <c:pt idx="0">
                  <c:v>VL an</c:v>
                </c:pt>
              </c:strCache>
            </c:strRef>
          </c:tx>
          <c:spPr>
            <a:ln>
              <a:solidFill>
                <a:srgbClr val="FF0000"/>
              </a:solidFill>
            </a:ln>
          </c:spPr>
          <c:marker>
            <c:symbol val="none"/>
          </c:marker>
          <c:cat>
            <c:strRef>
              <c:f>Sheet1!$A$2:$A$5</c:f>
              <c:strCache>
                <c:ptCount val="4"/>
                <c:pt idx="0">
                  <c:v>2013*</c:v>
                </c:pt>
                <c:pt idx="1">
                  <c:v>2017</c:v>
                </c:pt>
                <c:pt idx="2">
                  <c:v>Scenariul A</c:v>
                </c:pt>
                <c:pt idx="3">
                  <c:v>Scenariul B</c:v>
                </c:pt>
              </c:strCache>
            </c:strRef>
          </c:cat>
          <c:val>
            <c:numRef>
              <c:f>Sheet1!$G$2:$G$5</c:f>
              <c:numCache>
                <c:formatCode>General</c:formatCode>
                <c:ptCount val="4"/>
                <c:pt idx="0">
                  <c:v>5</c:v>
                </c:pt>
                <c:pt idx="1">
                  <c:v>5</c:v>
                </c:pt>
                <c:pt idx="2">
                  <c:v>5</c:v>
                </c:pt>
                <c:pt idx="3">
                  <c:v>5</c:v>
                </c:pt>
              </c:numCache>
            </c:numRef>
          </c:val>
          <c:smooth val="0"/>
          <c:extLst>
            <c:ext xmlns:c16="http://schemas.microsoft.com/office/drawing/2014/chart" uri="{C3380CC4-5D6E-409C-BE32-E72D297353CC}">
              <c16:uniqueId val="{00000002-E9AF-4554-A814-A181C73459BC}"/>
            </c:ext>
          </c:extLst>
        </c:ser>
        <c:dLbls>
          <c:showLegendKey val="0"/>
          <c:showVal val="0"/>
          <c:showCatName val="0"/>
          <c:showSerName val="0"/>
          <c:showPercent val="0"/>
          <c:showBubbleSize val="0"/>
        </c:dLbls>
        <c:marker val="1"/>
        <c:smooth val="0"/>
        <c:axId val="416003584"/>
        <c:axId val="417031296"/>
      </c:lineChart>
      <c:catAx>
        <c:axId val="416003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7031296"/>
        <c:crosses val="autoZero"/>
        <c:auto val="1"/>
        <c:lblAlgn val="ctr"/>
        <c:lblOffset val="100"/>
        <c:noMultiLvlLbl val="0"/>
      </c:catAx>
      <c:valAx>
        <c:axId val="417031296"/>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lang="en-US" sz="1000" b="0" i="0" u="none" strike="noStrike" baseline="0">
                    <a:solidFill>
                      <a:srgbClr val="333333"/>
                    </a:solidFill>
                    <a:latin typeface="Cambria"/>
                    <a:ea typeface="Cambria"/>
                    <a:cs typeface="Cambria"/>
                  </a:defRPr>
                </a:pPr>
                <a:r>
                  <a:rPr lang="en-US">
                    <a:latin typeface="Cambria" panose="02040503050406030204" pitchFamily="18" charset="0"/>
                    <a:ea typeface="Cambria" panose="02040503050406030204" pitchFamily="18" charset="0"/>
                  </a:rPr>
                  <a:t>µg</a:t>
                </a:r>
                <a:r>
                  <a:rPr lang="en-US"/>
                  <a:t>/m3</a:t>
                </a:r>
              </a:p>
            </c:rich>
          </c:tx>
          <c:layout>
            <c:manualLayout>
              <c:xMode val="edge"/>
              <c:yMode val="edge"/>
              <c:x val="1.2507195221287005E-2"/>
              <c:y val="0.25899883237028837"/>
            </c:manualLayout>
          </c:layout>
          <c:overlay val="0"/>
          <c:spPr>
            <a:noFill/>
            <a:ln w="25399">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lang="en-US" sz="8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6003584"/>
        <c:crosses val="autoZero"/>
        <c:crossBetween val="between"/>
      </c:valAx>
      <c:spPr>
        <a:noFill/>
        <a:ln w="25399">
          <a:noFill/>
        </a:ln>
      </c:spPr>
    </c:plotArea>
    <c:legend>
      <c:legendPos val="b"/>
      <c:layout>
        <c:manualLayout>
          <c:xMode val="edge"/>
          <c:yMode val="edge"/>
          <c:x val="2.020562946873021E-2"/>
          <c:y val="0.8780461662824468"/>
          <c:w val="0.97979437053126983"/>
          <c:h val="0.12195383371755336"/>
        </c:manualLayout>
      </c:layout>
      <c:overlay val="0"/>
      <c:spPr>
        <a:noFill/>
        <a:ln w="25399">
          <a:noFill/>
        </a:ln>
      </c:spPr>
      <c:txPr>
        <a:bodyPr rot="0" spcFirstLastPara="1" vertOverflow="ellipsis" vert="horz" wrap="square" anchor="ctr" anchorCtr="1"/>
        <a:lstStyle/>
        <a:p>
          <a:pPr>
            <a:defRPr lang="en-US" sz="6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lang="en-US"/>
            </a:pPr>
            <a:r>
              <a:rPr lang="en-US" sz="1000"/>
              <a:t>Ni</a:t>
            </a:r>
          </a:p>
        </c:rich>
      </c:tx>
      <c:layout>
        <c:manualLayout>
          <c:xMode val="edge"/>
          <c:yMode val="edge"/>
          <c:x val="0.49310344827586228"/>
          <c:y val="7.6867758450345811E-2"/>
        </c:manualLayout>
      </c:layout>
      <c:overlay val="0"/>
    </c:title>
    <c:autoTitleDeleted val="0"/>
    <c:plotArea>
      <c:layout>
        <c:manualLayout>
          <c:layoutTarget val="inner"/>
          <c:xMode val="edge"/>
          <c:yMode val="edge"/>
          <c:x val="0.16047750927685753"/>
          <c:y val="7.0888592438341932E-2"/>
          <c:w val="0.83539867861344985"/>
          <c:h val="0.67087751863716705"/>
        </c:manualLayout>
      </c:layout>
      <c:barChart>
        <c:barDir val="col"/>
        <c:grouping val="clustered"/>
        <c:varyColors val="0"/>
        <c:ser>
          <c:idx val="0"/>
          <c:order val="0"/>
          <c:tx>
            <c:strRef>
              <c:f>Sheet1!$B$1</c:f>
              <c:strCache>
                <c:ptCount val="1"/>
                <c:pt idx="0">
                  <c:v>BR1</c:v>
                </c:pt>
              </c:strCache>
            </c:strRef>
          </c:tx>
          <c:spPr>
            <a:solidFill>
              <a:srgbClr val="4472C4"/>
            </a:solidFill>
            <a:ln w="25399">
              <a:noFill/>
            </a:ln>
          </c:spPr>
          <c:invertIfNegative val="0"/>
          <c:cat>
            <c:strRef>
              <c:f>Sheet1!$A$2:$A$5</c:f>
              <c:strCache>
                <c:ptCount val="4"/>
                <c:pt idx="0">
                  <c:v>2013*</c:v>
                </c:pt>
                <c:pt idx="1">
                  <c:v>2017</c:v>
                </c:pt>
                <c:pt idx="2">
                  <c:v>Scenariul A</c:v>
                </c:pt>
                <c:pt idx="3">
                  <c:v>Scenariul B</c:v>
                </c:pt>
              </c:strCache>
            </c:strRef>
          </c:cat>
          <c:val>
            <c:numRef>
              <c:f>Sheet1!$B$2:$B$5</c:f>
              <c:numCache>
                <c:formatCode>General</c:formatCode>
                <c:ptCount val="4"/>
                <c:pt idx="0">
                  <c:v>0.62</c:v>
                </c:pt>
                <c:pt idx="2" formatCode="0.000">
                  <c:v>0.61568974635892493</c:v>
                </c:pt>
                <c:pt idx="3" formatCode="0.000">
                  <c:v>0.60946024696434453</c:v>
                </c:pt>
              </c:numCache>
            </c:numRef>
          </c:val>
          <c:extLst>
            <c:ext xmlns:c16="http://schemas.microsoft.com/office/drawing/2014/chart" uri="{C3380CC4-5D6E-409C-BE32-E72D297353CC}">
              <c16:uniqueId val="{00000000-0C8B-45A4-9062-514FED5FB945}"/>
            </c:ext>
          </c:extLst>
        </c:ser>
        <c:ser>
          <c:idx val="1"/>
          <c:order val="1"/>
          <c:tx>
            <c:strRef>
              <c:f>Sheet1!$C$1</c:f>
              <c:strCache>
                <c:ptCount val="1"/>
                <c:pt idx="0">
                  <c:v>BR2</c:v>
                </c:pt>
              </c:strCache>
            </c:strRef>
          </c:tx>
          <c:spPr>
            <a:solidFill>
              <a:srgbClr val="ED7D31"/>
            </a:solidFill>
            <a:ln w="25399">
              <a:noFill/>
            </a:ln>
          </c:spPr>
          <c:invertIfNegative val="0"/>
          <c:cat>
            <c:strRef>
              <c:f>Sheet1!$A$2:$A$5</c:f>
              <c:strCache>
                <c:ptCount val="4"/>
                <c:pt idx="0">
                  <c:v>2013*</c:v>
                </c:pt>
                <c:pt idx="1">
                  <c:v>2017</c:v>
                </c:pt>
                <c:pt idx="2">
                  <c:v>Scenariul A</c:v>
                </c:pt>
                <c:pt idx="3">
                  <c:v>Scenariul B</c:v>
                </c:pt>
              </c:strCache>
            </c:strRef>
          </c:cat>
          <c:val>
            <c:numRef>
              <c:f>Sheet1!$C$2:$C$5</c:f>
              <c:numCache>
                <c:formatCode>General</c:formatCode>
                <c:ptCount val="4"/>
                <c:pt idx="0">
                  <c:v>0.58399999999999996</c:v>
                </c:pt>
                <c:pt idx="2" formatCode="0.000">
                  <c:v>0.57994001915098736</c:v>
                </c:pt>
                <c:pt idx="3" formatCode="0.000">
                  <c:v>0.57407223262447937</c:v>
                </c:pt>
              </c:numCache>
            </c:numRef>
          </c:val>
          <c:extLst>
            <c:ext xmlns:c16="http://schemas.microsoft.com/office/drawing/2014/chart" uri="{C3380CC4-5D6E-409C-BE32-E72D297353CC}">
              <c16:uniqueId val="{00000001-0C8B-45A4-9062-514FED5FB945}"/>
            </c:ext>
          </c:extLst>
        </c:ser>
        <c:ser>
          <c:idx val="2"/>
          <c:order val="2"/>
          <c:tx>
            <c:strRef>
              <c:f>Sheet1!$D$1</c:f>
              <c:strCache>
                <c:ptCount val="1"/>
                <c:pt idx="0">
                  <c:v>BR3</c:v>
                </c:pt>
              </c:strCache>
            </c:strRef>
          </c:tx>
          <c:spPr>
            <a:ln>
              <a:noFill/>
            </a:ln>
          </c:spPr>
          <c:invertIfNegative val="0"/>
          <c:cat>
            <c:strRef>
              <c:f>Sheet1!$A$2:$A$5</c:f>
              <c:strCache>
                <c:ptCount val="4"/>
                <c:pt idx="0">
                  <c:v>2013*</c:v>
                </c:pt>
                <c:pt idx="1">
                  <c:v>2017</c:v>
                </c:pt>
                <c:pt idx="2">
                  <c:v>Scenariul A</c:v>
                </c:pt>
                <c:pt idx="3">
                  <c:v>Scenariul B</c:v>
                </c:pt>
              </c:strCache>
            </c:strRef>
          </c:cat>
          <c:val>
            <c:numRef>
              <c:f>Sheet1!$D$2:$D$5</c:f>
              <c:numCache>
                <c:formatCode>General</c:formatCode>
                <c:ptCount val="4"/>
                <c:pt idx="0">
                  <c:v>0.76800000000000002</c:v>
                </c:pt>
                <c:pt idx="2" formatCode="0.000">
                  <c:v>0.76266084710266835</c:v>
                </c:pt>
                <c:pt idx="3" formatCode="0.000">
                  <c:v>0.75494430591712358</c:v>
                </c:pt>
              </c:numCache>
            </c:numRef>
          </c:val>
          <c:extLst>
            <c:ext xmlns:c16="http://schemas.microsoft.com/office/drawing/2014/chart" uri="{C3380CC4-5D6E-409C-BE32-E72D297353CC}">
              <c16:uniqueId val="{00000002-0C8B-45A4-9062-514FED5FB945}"/>
            </c:ext>
          </c:extLst>
        </c:ser>
        <c:ser>
          <c:idx val="3"/>
          <c:order val="3"/>
          <c:tx>
            <c:strRef>
              <c:f>Sheet1!$E$1</c:f>
              <c:strCache>
                <c:ptCount val="1"/>
                <c:pt idx="0">
                  <c:v>BR4</c:v>
                </c:pt>
              </c:strCache>
            </c:strRef>
          </c:tx>
          <c:invertIfNegative val="0"/>
          <c:cat>
            <c:strRef>
              <c:f>Sheet1!$A$2:$A$5</c:f>
              <c:strCache>
                <c:ptCount val="4"/>
                <c:pt idx="0">
                  <c:v>2013*</c:v>
                </c:pt>
                <c:pt idx="1">
                  <c:v>2017</c:v>
                </c:pt>
                <c:pt idx="2">
                  <c:v>Scenariul A</c:v>
                </c:pt>
                <c:pt idx="3">
                  <c:v>Scenariul B</c:v>
                </c:pt>
              </c:strCache>
            </c:strRef>
          </c:cat>
          <c:val>
            <c:numRef>
              <c:f>Sheet1!$E$2:$E$5</c:f>
              <c:numCache>
                <c:formatCode>General</c:formatCode>
                <c:ptCount val="4"/>
                <c:pt idx="0">
                  <c:v>0.67200000000000004</c:v>
                </c:pt>
                <c:pt idx="2" formatCode="0.000">
                  <c:v>0.66732824121483481</c:v>
                </c:pt>
                <c:pt idx="3" formatCode="0.000">
                  <c:v>0.66057626767748312</c:v>
                </c:pt>
              </c:numCache>
            </c:numRef>
          </c:val>
          <c:extLst>
            <c:ext xmlns:c16="http://schemas.microsoft.com/office/drawing/2014/chart" uri="{C3380CC4-5D6E-409C-BE32-E72D297353CC}">
              <c16:uniqueId val="{00000000-F87F-43DE-B69F-86D5E7A81FA3}"/>
            </c:ext>
          </c:extLst>
        </c:ser>
        <c:ser>
          <c:idx val="4"/>
          <c:order val="4"/>
          <c:tx>
            <c:strRef>
              <c:f>Sheet1!$F$1</c:f>
              <c:strCache>
                <c:ptCount val="1"/>
                <c:pt idx="0">
                  <c:v>BR5</c:v>
                </c:pt>
              </c:strCache>
            </c:strRef>
          </c:tx>
          <c:invertIfNegative val="0"/>
          <c:cat>
            <c:strRef>
              <c:f>Sheet1!$A$2:$A$5</c:f>
              <c:strCache>
                <c:ptCount val="4"/>
                <c:pt idx="0">
                  <c:v>2013*</c:v>
                </c:pt>
                <c:pt idx="1">
                  <c:v>2017</c:v>
                </c:pt>
                <c:pt idx="2">
                  <c:v>Scenariul A</c:v>
                </c:pt>
                <c:pt idx="3">
                  <c:v>Scenariul B</c:v>
                </c:pt>
              </c:strCache>
            </c:strRef>
          </c:cat>
          <c:val>
            <c:numRef>
              <c:f>Sheet1!$F$2:$F$5</c:f>
              <c:numCache>
                <c:formatCode>General</c:formatCode>
                <c:ptCount val="4"/>
                <c:pt idx="0">
                  <c:v>0.77100000000000002</c:v>
                </c:pt>
                <c:pt idx="2" formatCode="0.000">
                  <c:v>0.76563999103666314</c:v>
                </c:pt>
                <c:pt idx="3" formatCode="0.000">
                  <c:v>0.75789330711211234</c:v>
                </c:pt>
              </c:numCache>
            </c:numRef>
          </c:val>
          <c:extLst>
            <c:ext xmlns:c16="http://schemas.microsoft.com/office/drawing/2014/chart" uri="{C3380CC4-5D6E-409C-BE32-E72D297353CC}">
              <c16:uniqueId val="{00000001-F87F-43DE-B69F-86D5E7A81FA3}"/>
            </c:ext>
          </c:extLst>
        </c:ser>
        <c:dLbls>
          <c:showLegendKey val="0"/>
          <c:showVal val="0"/>
          <c:showCatName val="0"/>
          <c:showSerName val="0"/>
          <c:showPercent val="0"/>
          <c:showBubbleSize val="0"/>
        </c:dLbls>
        <c:gapWidth val="150"/>
        <c:axId val="413310464"/>
        <c:axId val="417033024"/>
      </c:barChart>
      <c:lineChart>
        <c:grouping val="standard"/>
        <c:varyColors val="0"/>
        <c:ser>
          <c:idx val="5"/>
          <c:order val="5"/>
          <c:tx>
            <c:strRef>
              <c:f>Sheet1!$G$1</c:f>
              <c:strCache>
                <c:ptCount val="1"/>
                <c:pt idx="0">
                  <c:v>VT</c:v>
                </c:pt>
              </c:strCache>
            </c:strRef>
          </c:tx>
          <c:spPr>
            <a:ln>
              <a:solidFill>
                <a:srgbClr val="FF0000"/>
              </a:solidFill>
            </a:ln>
          </c:spPr>
          <c:marker>
            <c:symbol val="none"/>
          </c:marker>
          <c:cat>
            <c:strRef>
              <c:f>Sheet1!$A$2:$A$5</c:f>
              <c:strCache>
                <c:ptCount val="4"/>
                <c:pt idx="0">
                  <c:v>2013*</c:v>
                </c:pt>
                <c:pt idx="1">
                  <c:v>2017</c:v>
                </c:pt>
                <c:pt idx="2">
                  <c:v>Scenariul A</c:v>
                </c:pt>
                <c:pt idx="3">
                  <c:v>Scenariul B</c:v>
                </c:pt>
              </c:strCache>
            </c:strRef>
          </c:cat>
          <c:val>
            <c:numRef>
              <c:f>Sheet1!$G$2:$G$5</c:f>
              <c:numCache>
                <c:formatCode>General</c:formatCode>
                <c:ptCount val="4"/>
                <c:pt idx="0">
                  <c:v>20</c:v>
                </c:pt>
                <c:pt idx="1">
                  <c:v>20</c:v>
                </c:pt>
                <c:pt idx="2">
                  <c:v>20</c:v>
                </c:pt>
                <c:pt idx="3">
                  <c:v>20</c:v>
                </c:pt>
              </c:numCache>
            </c:numRef>
          </c:val>
          <c:smooth val="0"/>
          <c:extLst>
            <c:ext xmlns:c16="http://schemas.microsoft.com/office/drawing/2014/chart" uri="{C3380CC4-5D6E-409C-BE32-E72D297353CC}">
              <c16:uniqueId val="{00000002-F87F-43DE-B69F-86D5E7A81FA3}"/>
            </c:ext>
          </c:extLst>
        </c:ser>
        <c:dLbls>
          <c:showLegendKey val="0"/>
          <c:showVal val="0"/>
          <c:showCatName val="0"/>
          <c:showSerName val="0"/>
          <c:showPercent val="0"/>
          <c:showBubbleSize val="0"/>
        </c:dLbls>
        <c:marker val="1"/>
        <c:smooth val="0"/>
        <c:axId val="413310464"/>
        <c:axId val="417033024"/>
      </c:lineChart>
      <c:catAx>
        <c:axId val="413310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7033024"/>
        <c:crosses val="autoZero"/>
        <c:auto val="1"/>
        <c:lblAlgn val="ctr"/>
        <c:lblOffset val="100"/>
        <c:noMultiLvlLbl val="0"/>
      </c:catAx>
      <c:valAx>
        <c:axId val="417033024"/>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lang="en-US" sz="1000" b="0" i="0" u="none" strike="noStrike" baseline="0">
                    <a:solidFill>
                      <a:srgbClr val="333333"/>
                    </a:solidFill>
                    <a:latin typeface="Cambria"/>
                    <a:ea typeface="Cambria"/>
                    <a:cs typeface="Cambria"/>
                  </a:defRPr>
                </a:pPr>
                <a:r>
                  <a:rPr lang="en-US">
                    <a:latin typeface="Cambria" panose="02040503050406030204" pitchFamily="18" charset="0"/>
                    <a:ea typeface="Cambria" panose="02040503050406030204" pitchFamily="18" charset="0"/>
                  </a:rPr>
                  <a:t>ng</a:t>
                </a:r>
                <a:r>
                  <a:rPr lang="en-US"/>
                  <a:t>/m3</a:t>
                </a:r>
              </a:p>
            </c:rich>
          </c:tx>
          <c:layout>
            <c:manualLayout>
              <c:xMode val="edge"/>
              <c:yMode val="edge"/>
              <c:x val="1.2507195221287005E-2"/>
              <c:y val="0.25899883237028837"/>
            </c:manualLayout>
          </c:layout>
          <c:overlay val="0"/>
          <c:spPr>
            <a:noFill/>
            <a:ln w="25399">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lang="en-US" sz="8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3310464"/>
        <c:crosses val="autoZero"/>
        <c:crossBetween val="between"/>
      </c:valAx>
      <c:spPr>
        <a:noFill/>
        <a:ln w="25399">
          <a:noFill/>
        </a:ln>
      </c:spPr>
    </c:plotArea>
    <c:legend>
      <c:legendPos val="b"/>
      <c:layout>
        <c:manualLayout>
          <c:xMode val="edge"/>
          <c:yMode val="edge"/>
          <c:x val="6.4125260204543491E-3"/>
          <c:y val="0.8780461662824468"/>
          <c:w val="0.9935874739795455"/>
          <c:h val="0.12195383371755336"/>
        </c:manualLayout>
      </c:layout>
      <c:overlay val="0"/>
      <c:spPr>
        <a:noFill/>
        <a:ln w="25399">
          <a:noFill/>
        </a:ln>
      </c:spPr>
      <c:txPr>
        <a:bodyPr rot="0" spcFirstLastPara="1" vertOverflow="ellipsis" vert="horz" wrap="square" anchor="ctr" anchorCtr="1"/>
        <a:lstStyle/>
        <a:p>
          <a:pPr>
            <a:defRPr lang="en-US" sz="6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lang="en-US"/>
            </a:pPr>
            <a:r>
              <a:rPr lang="en-US" sz="1000"/>
              <a:t>NO</a:t>
            </a:r>
            <a:r>
              <a:rPr lang="en-US" sz="800"/>
              <a:t>2</a:t>
            </a:r>
          </a:p>
        </c:rich>
      </c:tx>
      <c:layout>
        <c:manualLayout>
          <c:xMode val="edge"/>
          <c:yMode val="edge"/>
          <c:x val="0.49310344827586228"/>
          <c:y val="7.6867758450345811E-2"/>
        </c:manualLayout>
      </c:layout>
      <c:overlay val="0"/>
    </c:title>
    <c:autoTitleDeleted val="0"/>
    <c:plotArea>
      <c:layout>
        <c:manualLayout>
          <c:layoutTarget val="inner"/>
          <c:xMode val="edge"/>
          <c:yMode val="edge"/>
          <c:x val="0.16047750927685753"/>
          <c:y val="7.0888592438341932E-2"/>
          <c:w val="0.83539867861344985"/>
          <c:h val="0.67087751863716705"/>
        </c:manualLayout>
      </c:layout>
      <c:barChart>
        <c:barDir val="col"/>
        <c:grouping val="clustered"/>
        <c:varyColors val="0"/>
        <c:ser>
          <c:idx val="0"/>
          <c:order val="0"/>
          <c:tx>
            <c:strRef>
              <c:f>Sheet1!$B$1</c:f>
              <c:strCache>
                <c:ptCount val="1"/>
                <c:pt idx="0">
                  <c:v>BR1</c:v>
                </c:pt>
              </c:strCache>
            </c:strRef>
          </c:tx>
          <c:spPr>
            <a:solidFill>
              <a:srgbClr val="4472C4"/>
            </a:solidFill>
            <a:ln w="25399">
              <a:noFill/>
            </a:ln>
          </c:spPr>
          <c:invertIfNegative val="0"/>
          <c:cat>
            <c:strRef>
              <c:f>Sheet1!$A$2:$A$5</c:f>
              <c:strCache>
                <c:ptCount val="4"/>
                <c:pt idx="0">
                  <c:v>2013*</c:v>
                </c:pt>
                <c:pt idx="1">
                  <c:v>2017</c:v>
                </c:pt>
                <c:pt idx="2">
                  <c:v>Scenariul A</c:v>
                </c:pt>
                <c:pt idx="3">
                  <c:v>Scenariul B</c:v>
                </c:pt>
              </c:strCache>
            </c:strRef>
          </c:cat>
          <c:val>
            <c:numRef>
              <c:f>Sheet1!$B$2:$B$5</c:f>
              <c:numCache>
                <c:formatCode>General</c:formatCode>
                <c:ptCount val="4"/>
                <c:pt idx="0">
                  <c:v>9.484</c:v>
                </c:pt>
                <c:pt idx="1">
                  <c:v>26.26</c:v>
                </c:pt>
                <c:pt idx="2" formatCode="0.000">
                  <c:v>9.4709339237822849</c:v>
                </c:pt>
                <c:pt idx="3" formatCode="0.000">
                  <c:v>9.3257688066183029</c:v>
                </c:pt>
              </c:numCache>
            </c:numRef>
          </c:val>
          <c:extLst>
            <c:ext xmlns:c16="http://schemas.microsoft.com/office/drawing/2014/chart" uri="{C3380CC4-5D6E-409C-BE32-E72D297353CC}">
              <c16:uniqueId val="{00000000-9109-48F6-BEEA-803C3A25E9F4}"/>
            </c:ext>
          </c:extLst>
        </c:ser>
        <c:ser>
          <c:idx val="1"/>
          <c:order val="1"/>
          <c:tx>
            <c:strRef>
              <c:f>Sheet1!$C$1</c:f>
              <c:strCache>
                <c:ptCount val="1"/>
                <c:pt idx="0">
                  <c:v>BR2</c:v>
                </c:pt>
              </c:strCache>
            </c:strRef>
          </c:tx>
          <c:spPr>
            <a:solidFill>
              <a:srgbClr val="ED7D31"/>
            </a:solidFill>
            <a:ln w="25399">
              <a:noFill/>
            </a:ln>
          </c:spPr>
          <c:invertIfNegative val="0"/>
          <c:cat>
            <c:strRef>
              <c:f>Sheet1!$A$2:$A$5</c:f>
              <c:strCache>
                <c:ptCount val="4"/>
                <c:pt idx="0">
                  <c:v>2013*</c:v>
                </c:pt>
                <c:pt idx="1">
                  <c:v>2017</c:v>
                </c:pt>
                <c:pt idx="2">
                  <c:v>Scenariul A</c:v>
                </c:pt>
                <c:pt idx="3">
                  <c:v>Scenariul B</c:v>
                </c:pt>
              </c:strCache>
            </c:strRef>
          </c:cat>
          <c:val>
            <c:numRef>
              <c:f>Sheet1!$C$2:$C$5</c:f>
              <c:numCache>
                <c:formatCode>General</c:formatCode>
                <c:ptCount val="4"/>
                <c:pt idx="0">
                  <c:v>9.4809999999999999</c:v>
                </c:pt>
                <c:pt idx="1">
                  <c:v>17.18</c:v>
                </c:pt>
                <c:pt idx="2" formatCode="0.000">
                  <c:v>9.4679380568726117</c:v>
                </c:pt>
                <c:pt idx="3" formatCode="0.000">
                  <c:v>9.3228188586617602</c:v>
                </c:pt>
              </c:numCache>
            </c:numRef>
          </c:val>
          <c:extLst>
            <c:ext xmlns:c16="http://schemas.microsoft.com/office/drawing/2014/chart" uri="{C3380CC4-5D6E-409C-BE32-E72D297353CC}">
              <c16:uniqueId val="{00000001-9109-48F6-BEEA-803C3A25E9F4}"/>
            </c:ext>
          </c:extLst>
        </c:ser>
        <c:ser>
          <c:idx val="2"/>
          <c:order val="2"/>
          <c:tx>
            <c:strRef>
              <c:f>Sheet1!$D$1</c:f>
              <c:strCache>
                <c:ptCount val="1"/>
                <c:pt idx="0">
                  <c:v>BR3</c:v>
                </c:pt>
              </c:strCache>
            </c:strRef>
          </c:tx>
          <c:spPr>
            <a:ln>
              <a:noFill/>
            </a:ln>
          </c:spPr>
          <c:invertIfNegative val="0"/>
          <c:cat>
            <c:strRef>
              <c:f>Sheet1!$A$2:$A$5</c:f>
              <c:strCache>
                <c:ptCount val="4"/>
                <c:pt idx="0">
                  <c:v>2013*</c:v>
                </c:pt>
                <c:pt idx="1">
                  <c:v>2017</c:v>
                </c:pt>
                <c:pt idx="2">
                  <c:v>Scenariul A</c:v>
                </c:pt>
                <c:pt idx="3">
                  <c:v>Scenariul B</c:v>
                </c:pt>
              </c:strCache>
            </c:strRef>
          </c:cat>
          <c:val>
            <c:numRef>
              <c:f>Sheet1!$D$2:$D$5</c:f>
              <c:numCache>
                <c:formatCode>General</c:formatCode>
                <c:ptCount val="4"/>
                <c:pt idx="0">
                  <c:v>11.721</c:v>
                </c:pt>
                <c:pt idx="1">
                  <c:v>12.14</c:v>
                </c:pt>
                <c:pt idx="2" formatCode="0.000">
                  <c:v>11.704852016095758</c:v>
                </c:pt>
                <c:pt idx="3" formatCode="0.000">
                  <c:v>11.525446666213954</c:v>
                </c:pt>
              </c:numCache>
            </c:numRef>
          </c:val>
          <c:extLst>
            <c:ext xmlns:c16="http://schemas.microsoft.com/office/drawing/2014/chart" uri="{C3380CC4-5D6E-409C-BE32-E72D297353CC}">
              <c16:uniqueId val="{00000002-9109-48F6-BEEA-803C3A25E9F4}"/>
            </c:ext>
          </c:extLst>
        </c:ser>
        <c:ser>
          <c:idx val="3"/>
          <c:order val="3"/>
          <c:tx>
            <c:strRef>
              <c:f>Sheet1!$E$1</c:f>
              <c:strCache>
                <c:ptCount val="1"/>
                <c:pt idx="0">
                  <c:v>BR4</c:v>
                </c:pt>
              </c:strCache>
            </c:strRef>
          </c:tx>
          <c:invertIfNegative val="0"/>
          <c:cat>
            <c:strRef>
              <c:f>Sheet1!$A$2:$A$5</c:f>
              <c:strCache>
                <c:ptCount val="4"/>
                <c:pt idx="0">
                  <c:v>2013*</c:v>
                </c:pt>
                <c:pt idx="1">
                  <c:v>2017</c:v>
                </c:pt>
                <c:pt idx="2">
                  <c:v>Scenariul A</c:v>
                </c:pt>
                <c:pt idx="3">
                  <c:v>Scenariul B</c:v>
                </c:pt>
              </c:strCache>
            </c:strRef>
          </c:cat>
          <c:val>
            <c:numRef>
              <c:f>Sheet1!$E$2:$E$5</c:f>
              <c:numCache>
                <c:formatCode>General</c:formatCode>
                <c:ptCount val="4"/>
                <c:pt idx="0">
                  <c:v>9.83</c:v>
                </c:pt>
                <c:pt idx="1">
                  <c:v>11.06</c:v>
                </c:pt>
                <c:pt idx="2" formatCode="0.000">
                  <c:v>9.8164572406980035</c:v>
                </c:pt>
                <c:pt idx="3" formatCode="0.000">
                  <c:v>9.6659961376062764</c:v>
                </c:pt>
              </c:numCache>
            </c:numRef>
          </c:val>
          <c:extLst>
            <c:ext xmlns:c16="http://schemas.microsoft.com/office/drawing/2014/chart" uri="{C3380CC4-5D6E-409C-BE32-E72D297353CC}">
              <c16:uniqueId val="{00000000-759B-4754-B3D1-80200F5E078F}"/>
            </c:ext>
          </c:extLst>
        </c:ser>
        <c:ser>
          <c:idx val="4"/>
          <c:order val="4"/>
          <c:tx>
            <c:strRef>
              <c:f>Sheet1!$F$1</c:f>
              <c:strCache>
                <c:ptCount val="1"/>
                <c:pt idx="0">
                  <c:v>BR5</c:v>
                </c:pt>
              </c:strCache>
            </c:strRef>
          </c:tx>
          <c:invertIfNegative val="0"/>
          <c:cat>
            <c:strRef>
              <c:f>Sheet1!$A$2:$A$5</c:f>
              <c:strCache>
                <c:ptCount val="4"/>
                <c:pt idx="0">
                  <c:v>2013*</c:v>
                </c:pt>
                <c:pt idx="1">
                  <c:v>2017</c:v>
                </c:pt>
                <c:pt idx="2">
                  <c:v>Scenariul A</c:v>
                </c:pt>
                <c:pt idx="3">
                  <c:v>Scenariul B</c:v>
                </c:pt>
              </c:strCache>
            </c:strRef>
          </c:cat>
          <c:val>
            <c:numRef>
              <c:f>Sheet1!$F$2:$F$5</c:f>
              <c:numCache>
                <c:formatCode>General</c:formatCode>
                <c:ptCount val="4"/>
                <c:pt idx="0">
                  <c:v>11.686</c:v>
                </c:pt>
                <c:pt idx="1">
                  <c:v>10.75</c:v>
                </c:pt>
                <c:pt idx="2" formatCode="0.000">
                  <c:v>11.669900235482896</c:v>
                </c:pt>
                <c:pt idx="3" formatCode="0.000">
                  <c:v>11.491030606720951</c:v>
                </c:pt>
              </c:numCache>
            </c:numRef>
          </c:val>
          <c:extLst>
            <c:ext xmlns:c16="http://schemas.microsoft.com/office/drawing/2014/chart" uri="{C3380CC4-5D6E-409C-BE32-E72D297353CC}">
              <c16:uniqueId val="{00000001-759B-4754-B3D1-80200F5E078F}"/>
            </c:ext>
          </c:extLst>
        </c:ser>
        <c:dLbls>
          <c:showLegendKey val="0"/>
          <c:showVal val="0"/>
          <c:showCatName val="0"/>
          <c:showSerName val="0"/>
          <c:showPercent val="0"/>
          <c:showBubbleSize val="0"/>
        </c:dLbls>
        <c:gapWidth val="150"/>
        <c:axId val="416002048"/>
        <c:axId val="417034752"/>
      </c:barChart>
      <c:lineChart>
        <c:grouping val="standard"/>
        <c:varyColors val="0"/>
        <c:ser>
          <c:idx val="5"/>
          <c:order val="5"/>
          <c:tx>
            <c:strRef>
              <c:f>Sheet1!$G$1</c:f>
              <c:strCache>
                <c:ptCount val="1"/>
                <c:pt idx="0">
                  <c:v>VL an</c:v>
                </c:pt>
              </c:strCache>
            </c:strRef>
          </c:tx>
          <c:spPr>
            <a:ln>
              <a:solidFill>
                <a:srgbClr val="FF0000"/>
              </a:solidFill>
            </a:ln>
          </c:spPr>
          <c:marker>
            <c:symbol val="none"/>
          </c:marker>
          <c:cat>
            <c:strRef>
              <c:f>Sheet1!$A$2:$A$5</c:f>
              <c:strCache>
                <c:ptCount val="4"/>
                <c:pt idx="0">
                  <c:v>2013*</c:v>
                </c:pt>
                <c:pt idx="1">
                  <c:v>2017</c:v>
                </c:pt>
                <c:pt idx="2">
                  <c:v>Scenariul A</c:v>
                </c:pt>
                <c:pt idx="3">
                  <c:v>Scenariul B</c:v>
                </c:pt>
              </c:strCache>
            </c:strRef>
          </c:cat>
          <c:val>
            <c:numRef>
              <c:f>Sheet1!$G$2:$G$5</c:f>
              <c:numCache>
                <c:formatCode>General</c:formatCode>
                <c:ptCount val="4"/>
                <c:pt idx="0">
                  <c:v>40</c:v>
                </c:pt>
                <c:pt idx="1">
                  <c:v>40</c:v>
                </c:pt>
                <c:pt idx="2">
                  <c:v>40</c:v>
                </c:pt>
                <c:pt idx="3">
                  <c:v>40</c:v>
                </c:pt>
              </c:numCache>
            </c:numRef>
          </c:val>
          <c:smooth val="0"/>
          <c:extLst>
            <c:ext xmlns:c16="http://schemas.microsoft.com/office/drawing/2014/chart" uri="{C3380CC4-5D6E-409C-BE32-E72D297353CC}">
              <c16:uniqueId val="{00000002-759B-4754-B3D1-80200F5E078F}"/>
            </c:ext>
          </c:extLst>
        </c:ser>
        <c:dLbls>
          <c:showLegendKey val="0"/>
          <c:showVal val="0"/>
          <c:showCatName val="0"/>
          <c:showSerName val="0"/>
          <c:showPercent val="0"/>
          <c:showBubbleSize val="0"/>
        </c:dLbls>
        <c:marker val="1"/>
        <c:smooth val="0"/>
        <c:axId val="416002048"/>
        <c:axId val="417034752"/>
      </c:lineChart>
      <c:catAx>
        <c:axId val="416002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7034752"/>
        <c:crosses val="autoZero"/>
        <c:auto val="1"/>
        <c:lblAlgn val="ctr"/>
        <c:lblOffset val="100"/>
        <c:noMultiLvlLbl val="0"/>
      </c:catAx>
      <c:valAx>
        <c:axId val="417034752"/>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lang="en-US" sz="1000" b="0" i="0" u="none" strike="noStrike" baseline="0">
                    <a:solidFill>
                      <a:srgbClr val="333333"/>
                    </a:solidFill>
                    <a:latin typeface="Cambria"/>
                    <a:ea typeface="Cambria"/>
                    <a:cs typeface="Cambria"/>
                  </a:defRPr>
                </a:pPr>
                <a:r>
                  <a:rPr lang="en-US">
                    <a:latin typeface="Cambria" panose="02040503050406030204" pitchFamily="18" charset="0"/>
                    <a:ea typeface="Cambria" panose="02040503050406030204" pitchFamily="18" charset="0"/>
                  </a:rPr>
                  <a:t>µg</a:t>
                </a:r>
                <a:r>
                  <a:rPr lang="en-US"/>
                  <a:t>/m3</a:t>
                </a:r>
              </a:p>
            </c:rich>
          </c:tx>
          <c:layout>
            <c:manualLayout>
              <c:xMode val="edge"/>
              <c:yMode val="edge"/>
              <c:x val="1.2507195221287005E-2"/>
              <c:y val="0.25899883237028837"/>
            </c:manualLayout>
          </c:layout>
          <c:overlay val="0"/>
          <c:spPr>
            <a:noFill/>
            <a:ln w="25399">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lang="en-US" sz="8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6002048"/>
        <c:crosses val="autoZero"/>
        <c:crossBetween val="between"/>
      </c:valAx>
      <c:spPr>
        <a:noFill/>
        <a:ln w="25399">
          <a:noFill/>
        </a:ln>
      </c:spPr>
    </c:plotArea>
    <c:legend>
      <c:legendPos val="b"/>
      <c:layout>
        <c:manualLayout>
          <c:xMode val="edge"/>
          <c:yMode val="edge"/>
          <c:x val="6.4125260204543491E-3"/>
          <c:y val="0.8780461662824468"/>
          <c:w val="0.97717404289981036"/>
          <c:h val="0.12195383371755336"/>
        </c:manualLayout>
      </c:layout>
      <c:overlay val="0"/>
      <c:spPr>
        <a:noFill/>
        <a:ln w="25399">
          <a:noFill/>
        </a:ln>
      </c:spPr>
      <c:txPr>
        <a:bodyPr rot="0" spcFirstLastPara="1" vertOverflow="ellipsis" vert="horz" wrap="square" anchor="ctr" anchorCtr="1"/>
        <a:lstStyle/>
        <a:p>
          <a:pPr>
            <a:defRPr lang="en-US" sz="6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lang="en-US"/>
            </a:pPr>
            <a:r>
              <a:rPr lang="en-US" sz="1000"/>
              <a:t>NOx</a:t>
            </a:r>
          </a:p>
        </c:rich>
      </c:tx>
      <c:layout>
        <c:manualLayout>
          <c:xMode val="edge"/>
          <c:yMode val="edge"/>
          <c:x val="0.49310344827586228"/>
          <c:y val="7.6867758450345811E-2"/>
        </c:manualLayout>
      </c:layout>
      <c:overlay val="0"/>
    </c:title>
    <c:autoTitleDeleted val="0"/>
    <c:plotArea>
      <c:layout>
        <c:manualLayout>
          <c:layoutTarget val="inner"/>
          <c:xMode val="edge"/>
          <c:yMode val="edge"/>
          <c:x val="0.16047750927685753"/>
          <c:y val="7.0888592438341932E-2"/>
          <c:w val="0.83539867861344985"/>
          <c:h val="0.67087751863716705"/>
        </c:manualLayout>
      </c:layout>
      <c:barChart>
        <c:barDir val="col"/>
        <c:grouping val="clustered"/>
        <c:varyColors val="0"/>
        <c:ser>
          <c:idx val="0"/>
          <c:order val="0"/>
          <c:tx>
            <c:strRef>
              <c:f>Sheet1!$B$1</c:f>
              <c:strCache>
                <c:ptCount val="1"/>
                <c:pt idx="0">
                  <c:v>BR1</c:v>
                </c:pt>
              </c:strCache>
            </c:strRef>
          </c:tx>
          <c:spPr>
            <a:solidFill>
              <a:srgbClr val="4472C4"/>
            </a:solidFill>
            <a:ln w="25399">
              <a:noFill/>
            </a:ln>
          </c:spPr>
          <c:invertIfNegative val="0"/>
          <c:cat>
            <c:strRef>
              <c:f>Sheet1!$A$2:$A$5</c:f>
              <c:strCache>
                <c:ptCount val="4"/>
                <c:pt idx="0">
                  <c:v>2013*</c:v>
                </c:pt>
                <c:pt idx="1">
                  <c:v>2017</c:v>
                </c:pt>
                <c:pt idx="2">
                  <c:v>Scenariul A</c:v>
                </c:pt>
                <c:pt idx="3">
                  <c:v>Scenariul B</c:v>
                </c:pt>
              </c:strCache>
            </c:strRef>
          </c:cat>
          <c:val>
            <c:numRef>
              <c:f>Sheet1!$B$2:$B$5</c:f>
              <c:numCache>
                <c:formatCode>General</c:formatCode>
                <c:ptCount val="4"/>
                <c:pt idx="0">
                  <c:v>11.428000000000001</c:v>
                </c:pt>
                <c:pt idx="1">
                  <c:v>41.51</c:v>
                </c:pt>
                <c:pt idx="2" formatCode="0.000">
                  <c:v>11.412255681250945</c:v>
                </c:pt>
                <c:pt idx="3" formatCode="0.000">
                  <c:v>11.237335082458243</c:v>
                </c:pt>
              </c:numCache>
            </c:numRef>
          </c:val>
          <c:extLst>
            <c:ext xmlns:c16="http://schemas.microsoft.com/office/drawing/2014/chart" uri="{C3380CC4-5D6E-409C-BE32-E72D297353CC}">
              <c16:uniqueId val="{00000000-E0AD-45D7-8B99-A39D9CC11D20}"/>
            </c:ext>
          </c:extLst>
        </c:ser>
        <c:ser>
          <c:idx val="1"/>
          <c:order val="1"/>
          <c:tx>
            <c:strRef>
              <c:f>Sheet1!$C$1</c:f>
              <c:strCache>
                <c:ptCount val="1"/>
                <c:pt idx="0">
                  <c:v>BR2</c:v>
                </c:pt>
              </c:strCache>
            </c:strRef>
          </c:tx>
          <c:spPr>
            <a:solidFill>
              <a:srgbClr val="ED7D31"/>
            </a:solidFill>
            <a:ln w="25399">
              <a:noFill/>
            </a:ln>
          </c:spPr>
          <c:invertIfNegative val="0"/>
          <c:cat>
            <c:strRef>
              <c:f>Sheet1!$A$2:$A$5</c:f>
              <c:strCache>
                <c:ptCount val="4"/>
                <c:pt idx="0">
                  <c:v>2013*</c:v>
                </c:pt>
                <c:pt idx="1">
                  <c:v>2017</c:v>
                </c:pt>
                <c:pt idx="2">
                  <c:v>Scenariul A</c:v>
                </c:pt>
                <c:pt idx="3">
                  <c:v>Scenariul B</c:v>
                </c:pt>
              </c:strCache>
            </c:strRef>
          </c:cat>
          <c:val>
            <c:numRef>
              <c:f>Sheet1!$C$2:$C$5</c:f>
              <c:numCache>
                <c:formatCode>General</c:formatCode>
                <c:ptCount val="4"/>
                <c:pt idx="0">
                  <c:v>11.425000000000001</c:v>
                </c:pt>
                <c:pt idx="1">
                  <c:v>25.92</c:v>
                </c:pt>
                <c:pt idx="2" formatCode="0.000">
                  <c:v>11.40925981434127</c:v>
                </c:pt>
                <c:pt idx="3" formatCode="0.000">
                  <c:v>11.2343851345017</c:v>
                </c:pt>
              </c:numCache>
            </c:numRef>
          </c:val>
          <c:extLst>
            <c:ext xmlns:c16="http://schemas.microsoft.com/office/drawing/2014/chart" uri="{C3380CC4-5D6E-409C-BE32-E72D297353CC}">
              <c16:uniqueId val="{00000001-E0AD-45D7-8B99-A39D9CC11D20}"/>
            </c:ext>
          </c:extLst>
        </c:ser>
        <c:ser>
          <c:idx val="2"/>
          <c:order val="2"/>
          <c:tx>
            <c:strRef>
              <c:f>Sheet1!$D$1</c:f>
              <c:strCache>
                <c:ptCount val="1"/>
                <c:pt idx="0">
                  <c:v>BR3</c:v>
                </c:pt>
              </c:strCache>
            </c:strRef>
          </c:tx>
          <c:spPr>
            <a:ln>
              <a:noFill/>
            </a:ln>
          </c:spPr>
          <c:invertIfNegative val="0"/>
          <c:cat>
            <c:strRef>
              <c:f>Sheet1!$A$2:$A$5</c:f>
              <c:strCache>
                <c:ptCount val="4"/>
                <c:pt idx="0">
                  <c:v>2013*</c:v>
                </c:pt>
                <c:pt idx="1">
                  <c:v>2017</c:v>
                </c:pt>
                <c:pt idx="2">
                  <c:v>Scenariul A</c:v>
                </c:pt>
                <c:pt idx="3">
                  <c:v>Scenariul B</c:v>
                </c:pt>
              </c:strCache>
            </c:strRef>
          </c:cat>
          <c:val>
            <c:numRef>
              <c:f>Sheet1!$D$2:$D$5</c:f>
              <c:numCache>
                <c:formatCode>General</c:formatCode>
                <c:ptCount val="4"/>
                <c:pt idx="0">
                  <c:v>12.249000000000001</c:v>
                </c:pt>
                <c:pt idx="1">
                  <c:v>18.079999999999998</c:v>
                </c:pt>
                <c:pt idx="2" formatCode="0.000">
                  <c:v>12.232124592198357</c:v>
                </c:pt>
                <c:pt idx="3" formatCode="0.000">
                  <c:v>12.044637506565543</c:v>
                </c:pt>
              </c:numCache>
            </c:numRef>
          </c:val>
          <c:extLst>
            <c:ext xmlns:c16="http://schemas.microsoft.com/office/drawing/2014/chart" uri="{C3380CC4-5D6E-409C-BE32-E72D297353CC}">
              <c16:uniqueId val="{00000002-E0AD-45D7-8B99-A39D9CC11D20}"/>
            </c:ext>
          </c:extLst>
        </c:ser>
        <c:ser>
          <c:idx val="3"/>
          <c:order val="3"/>
          <c:tx>
            <c:strRef>
              <c:f>Sheet1!$E$1</c:f>
              <c:strCache>
                <c:ptCount val="1"/>
                <c:pt idx="0">
                  <c:v>BR4</c:v>
                </c:pt>
              </c:strCache>
            </c:strRef>
          </c:tx>
          <c:invertIfNegative val="0"/>
          <c:cat>
            <c:strRef>
              <c:f>Sheet1!$A$2:$A$5</c:f>
              <c:strCache>
                <c:ptCount val="4"/>
                <c:pt idx="0">
                  <c:v>2013*</c:v>
                </c:pt>
                <c:pt idx="1">
                  <c:v>2017</c:v>
                </c:pt>
                <c:pt idx="2">
                  <c:v>Scenariul A</c:v>
                </c:pt>
                <c:pt idx="3">
                  <c:v>Scenariul B</c:v>
                </c:pt>
              </c:strCache>
            </c:strRef>
          </c:cat>
          <c:val>
            <c:numRef>
              <c:f>Sheet1!$E$2:$E$5</c:f>
              <c:numCache>
                <c:formatCode>General</c:formatCode>
                <c:ptCount val="4"/>
                <c:pt idx="0">
                  <c:v>11.774000000000001</c:v>
                </c:pt>
                <c:pt idx="1">
                  <c:v>17.02</c:v>
                </c:pt>
                <c:pt idx="2" formatCode="0.000">
                  <c:v>11.757778998166664</c:v>
                </c:pt>
                <c:pt idx="3" formatCode="0.000">
                  <c:v>11.577562413446216</c:v>
                </c:pt>
              </c:numCache>
            </c:numRef>
          </c:val>
          <c:extLst>
            <c:ext xmlns:c16="http://schemas.microsoft.com/office/drawing/2014/chart" uri="{C3380CC4-5D6E-409C-BE32-E72D297353CC}">
              <c16:uniqueId val="{00000000-372A-4ED5-AC5A-4CA94F739ABA}"/>
            </c:ext>
          </c:extLst>
        </c:ser>
        <c:ser>
          <c:idx val="4"/>
          <c:order val="4"/>
          <c:tx>
            <c:strRef>
              <c:f>Sheet1!$F$1</c:f>
              <c:strCache>
                <c:ptCount val="1"/>
                <c:pt idx="0">
                  <c:v>BR5</c:v>
                </c:pt>
              </c:strCache>
            </c:strRef>
          </c:tx>
          <c:invertIfNegative val="0"/>
          <c:cat>
            <c:strRef>
              <c:f>Sheet1!$A$2:$A$5</c:f>
              <c:strCache>
                <c:ptCount val="4"/>
                <c:pt idx="0">
                  <c:v>2013*</c:v>
                </c:pt>
                <c:pt idx="1">
                  <c:v>2017</c:v>
                </c:pt>
                <c:pt idx="2">
                  <c:v>Scenariul A</c:v>
                </c:pt>
                <c:pt idx="3">
                  <c:v>Scenariul B</c:v>
                </c:pt>
              </c:strCache>
            </c:strRef>
          </c:cat>
          <c:val>
            <c:numRef>
              <c:f>Sheet1!$F$2:$F$5</c:f>
              <c:numCache>
                <c:formatCode>General</c:formatCode>
                <c:ptCount val="4"/>
                <c:pt idx="0">
                  <c:v>12.214</c:v>
                </c:pt>
                <c:pt idx="1">
                  <c:v>16.399999999999999</c:v>
                </c:pt>
                <c:pt idx="2" formatCode="0.000">
                  <c:v>12.197172811585496</c:v>
                </c:pt>
                <c:pt idx="3" formatCode="0.000">
                  <c:v>12.010221447072539</c:v>
                </c:pt>
              </c:numCache>
            </c:numRef>
          </c:val>
          <c:extLst>
            <c:ext xmlns:c16="http://schemas.microsoft.com/office/drawing/2014/chart" uri="{C3380CC4-5D6E-409C-BE32-E72D297353CC}">
              <c16:uniqueId val="{00000001-372A-4ED5-AC5A-4CA94F739ABA}"/>
            </c:ext>
          </c:extLst>
        </c:ser>
        <c:dLbls>
          <c:showLegendKey val="0"/>
          <c:showVal val="0"/>
          <c:showCatName val="0"/>
          <c:showSerName val="0"/>
          <c:showPercent val="0"/>
          <c:showBubbleSize val="0"/>
        </c:dLbls>
        <c:gapWidth val="150"/>
        <c:axId val="416003072"/>
        <c:axId val="417036480"/>
      </c:barChart>
      <c:lineChart>
        <c:grouping val="standard"/>
        <c:varyColors val="0"/>
        <c:ser>
          <c:idx val="5"/>
          <c:order val="5"/>
          <c:tx>
            <c:strRef>
              <c:f>Sheet1!$G$1</c:f>
              <c:strCache>
                <c:ptCount val="1"/>
                <c:pt idx="0">
                  <c:v>NC</c:v>
                </c:pt>
              </c:strCache>
            </c:strRef>
          </c:tx>
          <c:spPr>
            <a:ln>
              <a:solidFill>
                <a:srgbClr val="FF0000"/>
              </a:solidFill>
            </a:ln>
          </c:spPr>
          <c:marker>
            <c:symbol val="none"/>
          </c:marker>
          <c:cat>
            <c:strRef>
              <c:f>Sheet1!$A$2:$A$5</c:f>
              <c:strCache>
                <c:ptCount val="4"/>
                <c:pt idx="0">
                  <c:v>2013*</c:v>
                </c:pt>
                <c:pt idx="1">
                  <c:v>2017</c:v>
                </c:pt>
                <c:pt idx="2">
                  <c:v>Scenariul A</c:v>
                </c:pt>
                <c:pt idx="3">
                  <c:v>Scenariul B</c:v>
                </c:pt>
              </c:strCache>
            </c:strRef>
          </c:cat>
          <c:val>
            <c:numRef>
              <c:f>Sheet1!$G$2:$G$5</c:f>
              <c:numCache>
                <c:formatCode>General</c:formatCode>
                <c:ptCount val="4"/>
                <c:pt idx="0">
                  <c:v>30</c:v>
                </c:pt>
                <c:pt idx="1">
                  <c:v>30</c:v>
                </c:pt>
                <c:pt idx="2">
                  <c:v>30</c:v>
                </c:pt>
                <c:pt idx="3">
                  <c:v>30</c:v>
                </c:pt>
              </c:numCache>
            </c:numRef>
          </c:val>
          <c:smooth val="0"/>
          <c:extLst>
            <c:ext xmlns:c16="http://schemas.microsoft.com/office/drawing/2014/chart" uri="{C3380CC4-5D6E-409C-BE32-E72D297353CC}">
              <c16:uniqueId val="{00000002-372A-4ED5-AC5A-4CA94F739ABA}"/>
            </c:ext>
          </c:extLst>
        </c:ser>
        <c:dLbls>
          <c:showLegendKey val="0"/>
          <c:showVal val="0"/>
          <c:showCatName val="0"/>
          <c:showSerName val="0"/>
          <c:showPercent val="0"/>
          <c:showBubbleSize val="0"/>
        </c:dLbls>
        <c:marker val="1"/>
        <c:smooth val="0"/>
        <c:axId val="416003072"/>
        <c:axId val="417036480"/>
      </c:lineChart>
      <c:catAx>
        <c:axId val="416003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7036480"/>
        <c:crosses val="autoZero"/>
        <c:auto val="1"/>
        <c:lblAlgn val="ctr"/>
        <c:lblOffset val="100"/>
        <c:noMultiLvlLbl val="0"/>
      </c:catAx>
      <c:valAx>
        <c:axId val="417036480"/>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lang="en-US" sz="1000" b="0" i="0" u="none" strike="noStrike" baseline="0">
                    <a:solidFill>
                      <a:srgbClr val="333333"/>
                    </a:solidFill>
                    <a:latin typeface="Cambria"/>
                    <a:ea typeface="Cambria"/>
                    <a:cs typeface="Cambria"/>
                  </a:defRPr>
                </a:pPr>
                <a:r>
                  <a:rPr lang="en-US">
                    <a:latin typeface="Cambria" panose="02040503050406030204" pitchFamily="18" charset="0"/>
                    <a:ea typeface="Cambria" panose="02040503050406030204" pitchFamily="18" charset="0"/>
                  </a:rPr>
                  <a:t>µg</a:t>
                </a:r>
                <a:r>
                  <a:rPr lang="en-US"/>
                  <a:t>/m3</a:t>
                </a:r>
              </a:p>
            </c:rich>
          </c:tx>
          <c:layout>
            <c:manualLayout>
              <c:xMode val="edge"/>
              <c:yMode val="edge"/>
              <c:x val="1.2507195221287005E-2"/>
              <c:y val="0.25899883237028837"/>
            </c:manualLayout>
          </c:layout>
          <c:overlay val="0"/>
          <c:spPr>
            <a:noFill/>
            <a:ln w="25399">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lang="en-US" sz="8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6003072"/>
        <c:crosses val="autoZero"/>
        <c:crossBetween val="between"/>
      </c:valAx>
      <c:spPr>
        <a:noFill/>
        <a:ln w="25399">
          <a:noFill/>
        </a:ln>
      </c:spPr>
    </c:plotArea>
    <c:legend>
      <c:legendPos val="b"/>
      <c:layout>
        <c:manualLayout>
          <c:xMode val="edge"/>
          <c:yMode val="edge"/>
          <c:x val="1.5607928319304921E-2"/>
          <c:y val="0.8780461662824468"/>
          <c:w val="0.97871264367816135"/>
          <c:h val="0.12195383371755336"/>
        </c:manualLayout>
      </c:layout>
      <c:overlay val="0"/>
      <c:spPr>
        <a:noFill/>
        <a:ln w="25399">
          <a:noFill/>
        </a:ln>
      </c:spPr>
      <c:txPr>
        <a:bodyPr rot="0" spcFirstLastPara="1" vertOverflow="ellipsis" vert="horz" wrap="square" anchor="ctr" anchorCtr="1"/>
        <a:lstStyle/>
        <a:p>
          <a:pPr>
            <a:defRPr lang="en-US" sz="6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71110265491906455"/>
          <c:y val="6.0240963855421749E-2"/>
        </c:manualLayout>
      </c:layout>
      <c:overlay val="0"/>
      <c:spPr>
        <a:noFill/>
        <a:ln>
          <a:noFill/>
        </a:ln>
        <a:effectLst/>
      </c:spPr>
      <c:txPr>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endParaRPr lang="en-US"/>
        </a:p>
      </c:txPr>
    </c:title>
    <c:autoTitleDeleted val="0"/>
    <c:plotArea>
      <c:layout>
        <c:manualLayout>
          <c:layoutTarget val="inner"/>
          <c:xMode val="edge"/>
          <c:yMode val="edge"/>
          <c:x val="8.2060318668344887E-2"/>
          <c:y val="7.4155295543951172E-2"/>
          <c:w val="0.5176551629931021"/>
          <c:h val="0.89876875330342765"/>
        </c:manualLayout>
      </c:layout>
      <c:doughnutChart>
        <c:varyColors val="1"/>
        <c:ser>
          <c:idx val="0"/>
          <c:order val="0"/>
          <c:tx>
            <c:strRef>
              <c:f>Sheet1!$B$1</c:f>
              <c:strCache>
                <c:ptCount val="1"/>
                <c:pt idx="0">
                  <c:v>Cd</c:v>
                </c:pt>
              </c:strCache>
            </c:strRef>
          </c:tx>
          <c:spPr>
            <a:ln>
              <a:noFill/>
            </a:ln>
            <a:effectLst>
              <a:outerShdw blurRad="50800" dist="38100" dir="2700000" algn="tl" rotWithShape="0">
                <a:prstClr val="black">
                  <a:alpha val="40000"/>
                </a:prstClr>
              </a:outerShdw>
            </a:effectLst>
          </c:spPr>
          <c:dPt>
            <c:idx val="0"/>
            <c:bubble3D val="0"/>
            <c:spPr>
              <a:solidFill>
                <a:schemeClr val="accent1"/>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80CC-410B-9992-1A10C8254F90}"/>
              </c:ext>
            </c:extLst>
          </c:dPt>
          <c:dPt>
            <c:idx val="1"/>
            <c:bubble3D val="0"/>
            <c:spPr>
              <a:solidFill>
                <a:schemeClr val="accent2"/>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80CC-410B-9992-1A10C8254F90}"/>
              </c:ext>
            </c:extLst>
          </c:dPt>
          <c:dPt>
            <c:idx val="2"/>
            <c:bubble3D val="0"/>
            <c:spPr>
              <a:solidFill>
                <a:schemeClr val="accent3"/>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80CC-410B-9992-1A10C8254F90}"/>
              </c:ext>
            </c:extLst>
          </c:dPt>
          <c:dLbls>
            <c:dLbl>
              <c:idx val="2"/>
              <c:delete val="1"/>
              <c:extLst>
                <c:ext xmlns:c15="http://schemas.microsoft.com/office/drawing/2012/chart" uri="{CE6537A1-D6FC-4f65-9D91-7224C49458BB}"/>
                <c:ext xmlns:c16="http://schemas.microsoft.com/office/drawing/2014/chart" uri="{C3380CC4-5D6E-409C-BE32-E72D297353CC}">
                  <c16:uniqueId val="{00000005-80CC-410B-9992-1A10C8254F90}"/>
                </c:ext>
              </c:extLst>
            </c:dLbl>
            <c:spPr>
              <a:noFill/>
              <a:ln>
                <a:noFill/>
              </a:ln>
              <a:effectLst/>
            </c:spPr>
            <c:txPr>
              <a:bodyPr rot="0" spcFirstLastPara="1" vertOverflow="ellipsis" vert="horz" wrap="square" anchor="ctr" anchorCtr="1"/>
              <a:lstStyle/>
              <a:p>
                <a:pPr>
                  <a:defRPr lang="en-US" sz="11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Surse staționare</c:v>
                </c:pt>
                <c:pt idx="1">
                  <c:v>Surse mobile</c:v>
                </c:pt>
                <c:pt idx="2">
                  <c:v>Surse de suprafață</c:v>
                </c:pt>
              </c:strCache>
            </c:strRef>
          </c:cat>
          <c:val>
            <c:numRef>
              <c:f>Sheet1!$B$2:$B$4</c:f>
              <c:numCache>
                <c:formatCode>General</c:formatCode>
                <c:ptCount val="3"/>
                <c:pt idx="0">
                  <c:v>1.4400000000000011E-4</c:v>
                </c:pt>
                <c:pt idx="1">
                  <c:v>3.4150000000000001E-3</c:v>
                </c:pt>
                <c:pt idx="2">
                  <c:v>1.1000000000000015E-5</c:v>
                </c:pt>
              </c:numCache>
            </c:numRef>
          </c:val>
          <c:extLst>
            <c:ext xmlns:c16="http://schemas.microsoft.com/office/drawing/2014/chart" uri="{C3380CC4-5D6E-409C-BE32-E72D297353CC}">
              <c16:uniqueId val="{00000006-80CC-410B-9992-1A10C8254F90}"/>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69065597283610991"/>
          <c:y val="0.26225690162223697"/>
          <c:w val="0.27960425021221796"/>
          <c:h val="0.69420358599753296"/>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lang="en-US"/>
            </a:pPr>
            <a:r>
              <a:rPr lang="en-US" sz="1000"/>
              <a:t>Pb</a:t>
            </a:r>
          </a:p>
        </c:rich>
      </c:tx>
      <c:layout>
        <c:manualLayout>
          <c:xMode val="edge"/>
          <c:yMode val="edge"/>
          <c:x val="0.49310344827586228"/>
          <c:y val="7.6867758450345811E-2"/>
        </c:manualLayout>
      </c:layout>
      <c:overlay val="0"/>
    </c:title>
    <c:autoTitleDeleted val="0"/>
    <c:plotArea>
      <c:layout>
        <c:manualLayout>
          <c:layoutTarget val="inner"/>
          <c:xMode val="edge"/>
          <c:yMode val="edge"/>
          <c:x val="0.16047750927685753"/>
          <c:y val="7.0888592438341932E-2"/>
          <c:w val="0.83539867861344985"/>
          <c:h val="0.67087751863716705"/>
        </c:manualLayout>
      </c:layout>
      <c:barChart>
        <c:barDir val="col"/>
        <c:grouping val="clustered"/>
        <c:varyColors val="0"/>
        <c:ser>
          <c:idx val="0"/>
          <c:order val="0"/>
          <c:tx>
            <c:strRef>
              <c:f>Sheet1!$B$1</c:f>
              <c:strCache>
                <c:ptCount val="1"/>
                <c:pt idx="0">
                  <c:v>BR1</c:v>
                </c:pt>
              </c:strCache>
            </c:strRef>
          </c:tx>
          <c:spPr>
            <a:solidFill>
              <a:srgbClr val="4472C4"/>
            </a:solidFill>
            <a:ln w="25399">
              <a:noFill/>
            </a:ln>
          </c:spPr>
          <c:invertIfNegative val="0"/>
          <c:cat>
            <c:strRef>
              <c:f>Sheet1!$A$2:$A$5</c:f>
              <c:strCache>
                <c:ptCount val="4"/>
                <c:pt idx="0">
                  <c:v>2013*</c:v>
                </c:pt>
                <c:pt idx="1">
                  <c:v>2017</c:v>
                </c:pt>
                <c:pt idx="2">
                  <c:v>Scenariul A</c:v>
                </c:pt>
                <c:pt idx="3">
                  <c:v>Scenariul B</c:v>
                </c:pt>
              </c:strCache>
            </c:strRef>
          </c:cat>
          <c:val>
            <c:numRef>
              <c:f>Sheet1!$B$2:$B$5</c:f>
              <c:numCache>
                <c:formatCode>General</c:formatCode>
                <c:ptCount val="4"/>
                <c:pt idx="0">
                  <c:v>5.8869999999999999E-3</c:v>
                </c:pt>
                <c:pt idx="1">
                  <c:v>0</c:v>
                </c:pt>
                <c:pt idx="2" formatCode="0.000">
                  <c:v>5.8869999999999999E-3</c:v>
                </c:pt>
                <c:pt idx="3" formatCode="0.000">
                  <c:v>5.8095187064940244E-3</c:v>
                </c:pt>
              </c:numCache>
            </c:numRef>
          </c:val>
          <c:extLst>
            <c:ext xmlns:c16="http://schemas.microsoft.com/office/drawing/2014/chart" uri="{C3380CC4-5D6E-409C-BE32-E72D297353CC}">
              <c16:uniqueId val="{00000000-D854-4C56-A4CD-A04A80DA594A}"/>
            </c:ext>
          </c:extLst>
        </c:ser>
        <c:ser>
          <c:idx val="1"/>
          <c:order val="1"/>
          <c:tx>
            <c:strRef>
              <c:f>Sheet1!$C$1</c:f>
              <c:strCache>
                <c:ptCount val="1"/>
                <c:pt idx="0">
                  <c:v>BR2</c:v>
                </c:pt>
              </c:strCache>
            </c:strRef>
          </c:tx>
          <c:spPr>
            <a:solidFill>
              <a:srgbClr val="ED7D31"/>
            </a:solidFill>
            <a:ln w="25399">
              <a:noFill/>
            </a:ln>
          </c:spPr>
          <c:invertIfNegative val="0"/>
          <c:cat>
            <c:strRef>
              <c:f>Sheet1!$A$2:$A$5</c:f>
              <c:strCache>
                <c:ptCount val="4"/>
                <c:pt idx="0">
                  <c:v>2013*</c:v>
                </c:pt>
                <c:pt idx="1">
                  <c:v>2017</c:v>
                </c:pt>
                <c:pt idx="2">
                  <c:v>Scenariul A</c:v>
                </c:pt>
                <c:pt idx="3">
                  <c:v>Scenariul B</c:v>
                </c:pt>
              </c:strCache>
            </c:strRef>
          </c:cat>
          <c:val>
            <c:numRef>
              <c:f>Sheet1!$C$2:$C$5</c:f>
              <c:numCache>
                <c:formatCode>General</c:formatCode>
                <c:ptCount val="4"/>
                <c:pt idx="0">
                  <c:v>5.4029999999999998E-3</c:v>
                </c:pt>
                <c:pt idx="1">
                  <c:v>0</c:v>
                </c:pt>
                <c:pt idx="2" formatCode="0.000">
                  <c:v>5.4029999999999998E-3</c:v>
                </c:pt>
                <c:pt idx="3" formatCode="0.000">
                  <c:v>5.3318888349222372E-3</c:v>
                </c:pt>
              </c:numCache>
            </c:numRef>
          </c:val>
          <c:extLst>
            <c:ext xmlns:c16="http://schemas.microsoft.com/office/drawing/2014/chart" uri="{C3380CC4-5D6E-409C-BE32-E72D297353CC}">
              <c16:uniqueId val="{00000001-D854-4C56-A4CD-A04A80DA594A}"/>
            </c:ext>
          </c:extLst>
        </c:ser>
        <c:ser>
          <c:idx val="2"/>
          <c:order val="2"/>
          <c:tx>
            <c:strRef>
              <c:f>Sheet1!$D$1</c:f>
              <c:strCache>
                <c:ptCount val="1"/>
                <c:pt idx="0">
                  <c:v>BR3</c:v>
                </c:pt>
              </c:strCache>
            </c:strRef>
          </c:tx>
          <c:spPr>
            <a:ln>
              <a:noFill/>
            </a:ln>
          </c:spPr>
          <c:invertIfNegative val="0"/>
          <c:cat>
            <c:strRef>
              <c:f>Sheet1!$A$2:$A$5</c:f>
              <c:strCache>
                <c:ptCount val="4"/>
                <c:pt idx="0">
                  <c:v>2013*</c:v>
                </c:pt>
                <c:pt idx="1">
                  <c:v>2017</c:v>
                </c:pt>
                <c:pt idx="2">
                  <c:v>Scenariul A</c:v>
                </c:pt>
                <c:pt idx="3">
                  <c:v>Scenariul B</c:v>
                </c:pt>
              </c:strCache>
            </c:strRef>
          </c:cat>
          <c:val>
            <c:numRef>
              <c:f>Sheet1!$D$2:$D$5</c:f>
              <c:numCache>
                <c:formatCode>General</c:formatCode>
                <c:ptCount val="4"/>
                <c:pt idx="0">
                  <c:v>8.9709999999999998E-3</c:v>
                </c:pt>
                <c:pt idx="1">
                  <c:v>0</c:v>
                </c:pt>
                <c:pt idx="2" formatCode="0.000">
                  <c:v>8.9709999999999998E-3</c:v>
                </c:pt>
                <c:pt idx="3" formatCode="0.000">
                  <c:v>8.8529288798977236E-3</c:v>
                </c:pt>
              </c:numCache>
            </c:numRef>
          </c:val>
          <c:extLst>
            <c:ext xmlns:c16="http://schemas.microsoft.com/office/drawing/2014/chart" uri="{C3380CC4-5D6E-409C-BE32-E72D297353CC}">
              <c16:uniqueId val="{00000002-D854-4C56-A4CD-A04A80DA594A}"/>
            </c:ext>
          </c:extLst>
        </c:ser>
        <c:ser>
          <c:idx val="3"/>
          <c:order val="3"/>
          <c:tx>
            <c:strRef>
              <c:f>Sheet1!$E$1</c:f>
              <c:strCache>
                <c:ptCount val="1"/>
                <c:pt idx="0">
                  <c:v>BR4</c:v>
                </c:pt>
              </c:strCache>
            </c:strRef>
          </c:tx>
          <c:invertIfNegative val="0"/>
          <c:cat>
            <c:strRef>
              <c:f>Sheet1!$A$2:$A$5</c:f>
              <c:strCache>
                <c:ptCount val="4"/>
                <c:pt idx="0">
                  <c:v>2013*</c:v>
                </c:pt>
                <c:pt idx="1">
                  <c:v>2017</c:v>
                </c:pt>
                <c:pt idx="2">
                  <c:v>Scenariul A</c:v>
                </c:pt>
                <c:pt idx="3">
                  <c:v>Scenariul B</c:v>
                </c:pt>
              </c:strCache>
            </c:strRef>
          </c:cat>
          <c:val>
            <c:numRef>
              <c:f>Sheet1!$E$2:$E$5</c:f>
              <c:numCache>
                <c:formatCode>General</c:formatCode>
                <c:ptCount val="4"/>
                <c:pt idx="0">
                  <c:v>6.6050000000000006E-3</c:v>
                </c:pt>
                <c:pt idx="1">
                  <c:v>0</c:v>
                </c:pt>
                <c:pt idx="2" formatCode="0.000">
                  <c:v>6.6050000000000006E-3</c:v>
                </c:pt>
                <c:pt idx="3" formatCode="0.000">
                  <c:v>6.5180688052306843E-3</c:v>
                </c:pt>
              </c:numCache>
            </c:numRef>
          </c:val>
          <c:extLst>
            <c:ext xmlns:c16="http://schemas.microsoft.com/office/drawing/2014/chart" uri="{C3380CC4-5D6E-409C-BE32-E72D297353CC}">
              <c16:uniqueId val="{00000000-69A0-4936-BCD2-D5A3F9CA7192}"/>
            </c:ext>
          </c:extLst>
        </c:ser>
        <c:ser>
          <c:idx val="4"/>
          <c:order val="4"/>
          <c:tx>
            <c:strRef>
              <c:f>Sheet1!$F$1</c:f>
              <c:strCache>
                <c:ptCount val="1"/>
                <c:pt idx="0">
                  <c:v>BR5</c:v>
                </c:pt>
              </c:strCache>
            </c:strRef>
          </c:tx>
          <c:invertIfNegative val="0"/>
          <c:cat>
            <c:strRef>
              <c:f>Sheet1!$A$2:$A$5</c:f>
              <c:strCache>
                <c:ptCount val="4"/>
                <c:pt idx="0">
                  <c:v>2013*</c:v>
                </c:pt>
                <c:pt idx="1">
                  <c:v>2017</c:v>
                </c:pt>
                <c:pt idx="2">
                  <c:v>Scenariul A</c:v>
                </c:pt>
                <c:pt idx="3">
                  <c:v>Scenariul B</c:v>
                </c:pt>
              </c:strCache>
            </c:strRef>
          </c:cat>
          <c:val>
            <c:numRef>
              <c:f>Sheet1!$F$2:$F$5</c:f>
              <c:numCache>
                <c:formatCode>General</c:formatCode>
                <c:ptCount val="4"/>
                <c:pt idx="0">
                  <c:v>8.9689999999999995E-3</c:v>
                </c:pt>
                <c:pt idx="1">
                  <c:v>0</c:v>
                </c:pt>
                <c:pt idx="2" formatCode="0.000">
                  <c:v>8.9689999999999995E-3</c:v>
                </c:pt>
                <c:pt idx="3" formatCode="0.000">
                  <c:v>8.8509552027424675E-3</c:v>
                </c:pt>
              </c:numCache>
            </c:numRef>
          </c:val>
          <c:extLst>
            <c:ext xmlns:c16="http://schemas.microsoft.com/office/drawing/2014/chart" uri="{C3380CC4-5D6E-409C-BE32-E72D297353CC}">
              <c16:uniqueId val="{00000001-69A0-4936-BCD2-D5A3F9CA7192}"/>
            </c:ext>
          </c:extLst>
        </c:ser>
        <c:dLbls>
          <c:showLegendKey val="0"/>
          <c:showVal val="0"/>
          <c:showCatName val="0"/>
          <c:showSerName val="0"/>
          <c:showPercent val="0"/>
          <c:showBubbleSize val="0"/>
        </c:dLbls>
        <c:gapWidth val="150"/>
        <c:axId val="416004608"/>
        <c:axId val="417619968"/>
      </c:barChart>
      <c:lineChart>
        <c:grouping val="standard"/>
        <c:varyColors val="0"/>
        <c:ser>
          <c:idx val="5"/>
          <c:order val="5"/>
          <c:tx>
            <c:strRef>
              <c:f>Sheet1!$G$1</c:f>
              <c:strCache>
                <c:ptCount val="1"/>
                <c:pt idx="0">
                  <c:v>VL an</c:v>
                </c:pt>
              </c:strCache>
            </c:strRef>
          </c:tx>
          <c:spPr>
            <a:ln>
              <a:solidFill>
                <a:srgbClr val="FF0000"/>
              </a:solidFill>
            </a:ln>
          </c:spPr>
          <c:marker>
            <c:symbol val="none"/>
          </c:marker>
          <c:cat>
            <c:strRef>
              <c:f>Sheet1!$A$2:$A$5</c:f>
              <c:strCache>
                <c:ptCount val="4"/>
                <c:pt idx="0">
                  <c:v>2013*</c:v>
                </c:pt>
                <c:pt idx="1">
                  <c:v>2017</c:v>
                </c:pt>
                <c:pt idx="2">
                  <c:v>Scenariul A</c:v>
                </c:pt>
                <c:pt idx="3">
                  <c:v>Scenariul B</c:v>
                </c:pt>
              </c:strCache>
            </c:strRef>
          </c:cat>
          <c:val>
            <c:numRef>
              <c:f>Sheet1!$G$2:$G$5</c:f>
              <c:numCache>
                <c:formatCode>General</c:formatCode>
                <c:ptCount val="4"/>
                <c:pt idx="0">
                  <c:v>0.5</c:v>
                </c:pt>
                <c:pt idx="1">
                  <c:v>0.5</c:v>
                </c:pt>
                <c:pt idx="2">
                  <c:v>0.5</c:v>
                </c:pt>
                <c:pt idx="3">
                  <c:v>0.5</c:v>
                </c:pt>
              </c:numCache>
            </c:numRef>
          </c:val>
          <c:smooth val="0"/>
          <c:extLst>
            <c:ext xmlns:c16="http://schemas.microsoft.com/office/drawing/2014/chart" uri="{C3380CC4-5D6E-409C-BE32-E72D297353CC}">
              <c16:uniqueId val="{00000002-69A0-4936-BCD2-D5A3F9CA7192}"/>
            </c:ext>
          </c:extLst>
        </c:ser>
        <c:dLbls>
          <c:showLegendKey val="0"/>
          <c:showVal val="0"/>
          <c:showCatName val="0"/>
          <c:showSerName val="0"/>
          <c:showPercent val="0"/>
          <c:showBubbleSize val="0"/>
        </c:dLbls>
        <c:marker val="1"/>
        <c:smooth val="0"/>
        <c:axId val="416004608"/>
        <c:axId val="417619968"/>
      </c:lineChart>
      <c:catAx>
        <c:axId val="416004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7619968"/>
        <c:crosses val="autoZero"/>
        <c:auto val="1"/>
        <c:lblAlgn val="ctr"/>
        <c:lblOffset val="100"/>
        <c:noMultiLvlLbl val="0"/>
      </c:catAx>
      <c:valAx>
        <c:axId val="417619968"/>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lang="en-US" sz="1000" b="0" i="0" u="none" strike="noStrike" baseline="0">
                    <a:solidFill>
                      <a:srgbClr val="333333"/>
                    </a:solidFill>
                    <a:latin typeface="Cambria"/>
                    <a:ea typeface="Cambria"/>
                    <a:cs typeface="Cambria"/>
                  </a:defRPr>
                </a:pPr>
                <a:r>
                  <a:rPr lang="en-US">
                    <a:latin typeface="Cambria" panose="02040503050406030204" pitchFamily="18" charset="0"/>
                    <a:ea typeface="Cambria" panose="02040503050406030204" pitchFamily="18" charset="0"/>
                  </a:rPr>
                  <a:t>µg</a:t>
                </a:r>
                <a:r>
                  <a:rPr lang="en-US"/>
                  <a:t>/m3</a:t>
                </a:r>
              </a:p>
            </c:rich>
          </c:tx>
          <c:layout>
            <c:manualLayout>
              <c:xMode val="edge"/>
              <c:yMode val="edge"/>
              <c:x val="1.2507195221287005E-2"/>
              <c:y val="0.25899883237028837"/>
            </c:manualLayout>
          </c:layout>
          <c:overlay val="0"/>
          <c:spPr>
            <a:noFill/>
            <a:ln w="25399">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lang="en-US" sz="8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6004608"/>
        <c:crosses val="autoZero"/>
        <c:crossBetween val="between"/>
      </c:valAx>
      <c:spPr>
        <a:noFill/>
        <a:ln w="25399">
          <a:noFill/>
        </a:ln>
      </c:spPr>
    </c:plotArea>
    <c:legend>
      <c:legendPos val="b"/>
      <c:layout>
        <c:manualLayout>
          <c:xMode val="edge"/>
          <c:yMode val="edge"/>
          <c:x val="1.1010227169879627E-2"/>
          <c:y val="0.87044160354480504"/>
          <c:w val="0.98898977283012035"/>
          <c:h val="0.12195383371755336"/>
        </c:manualLayout>
      </c:layout>
      <c:overlay val="0"/>
      <c:spPr>
        <a:noFill/>
        <a:ln w="25399">
          <a:noFill/>
        </a:ln>
      </c:spPr>
      <c:txPr>
        <a:bodyPr rot="0" spcFirstLastPara="1" vertOverflow="ellipsis" vert="horz" wrap="square" anchor="ctr" anchorCtr="1"/>
        <a:lstStyle/>
        <a:p>
          <a:pPr>
            <a:defRPr lang="en-US" sz="6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lang="en-US"/>
            </a:pPr>
            <a:r>
              <a:rPr lang="en-US" sz="1000"/>
              <a:t>PM</a:t>
            </a:r>
            <a:r>
              <a:rPr lang="en-US" sz="800"/>
              <a:t>10</a:t>
            </a:r>
          </a:p>
        </c:rich>
      </c:tx>
      <c:layout>
        <c:manualLayout>
          <c:xMode val="edge"/>
          <c:yMode val="edge"/>
          <c:x val="0.49310344827586228"/>
          <c:y val="7.6867758450345811E-2"/>
        </c:manualLayout>
      </c:layout>
      <c:overlay val="0"/>
    </c:title>
    <c:autoTitleDeleted val="0"/>
    <c:plotArea>
      <c:layout>
        <c:manualLayout>
          <c:layoutTarget val="inner"/>
          <c:xMode val="edge"/>
          <c:yMode val="edge"/>
          <c:x val="0.16047750927685753"/>
          <c:y val="7.0888592438341932E-2"/>
          <c:w val="0.83539867861344985"/>
          <c:h val="0.67087751863716705"/>
        </c:manualLayout>
      </c:layout>
      <c:barChart>
        <c:barDir val="col"/>
        <c:grouping val="clustered"/>
        <c:varyColors val="0"/>
        <c:ser>
          <c:idx val="0"/>
          <c:order val="0"/>
          <c:tx>
            <c:strRef>
              <c:f>Sheet1!$B$1</c:f>
              <c:strCache>
                <c:ptCount val="1"/>
                <c:pt idx="0">
                  <c:v>BR1</c:v>
                </c:pt>
              </c:strCache>
            </c:strRef>
          </c:tx>
          <c:spPr>
            <a:solidFill>
              <a:srgbClr val="4472C4"/>
            </a:solidFill>
            <a:ln w="25399">
              <a:noFill/>
            </a:ln>
          </c:spPr>
          <c:invertIfNegative val="0"/>
          <c:cat>
            <c:strRef>
              <c:f>Sheet1!$A$2:$A$5</c:f>
              <c:strCache>
                <c:ptCount val="4"/>
                <c:pt idx="0">
                  <c:v>2013*</c:v>
                </c:pt>
                <c:pt idx="1">
                  <c:v>2017</c:v>
                </c:pt>
                <c:pt idx="2">
                  <c:v>Scenariul A</c:v>
                </c:pt>
                <c:pt idx="3">
                  <c:v>Scenariul B</c:v>
                </c:pt>
              </c:strCache>
            </c:strRef>
          </c:cat>
          <c:val>
            <c:numRef>
              <c:f>Sheet1!$B$2:$B$5</c:f>
              <c:numCache>
                <c:formatCode>General</c:formatCode>
                <c:ptCount val="4"/>
                <c:pt idx="0">
                  <c:v>21.387</c:v>
                </c:pt>
                <c:pt idx="1">
                  <c:v>22.98</c:v>
                </c:pt>
                <c:pt idx="2" formatCode="0.000">
                  <c:v>21.065185006090822</c:v>
                </c:pt>
                <c:pt idx="3" formatCode="0.000">
                  <c:v>21.042764552103836</c:v>
                </c:pt>
              </c:numCache>
            </c:numRef>
          </c:val>
          <c:extLst>
            <c:ext xmlns:c16="http://schemas.microsoft.com/office/drawing/2014/chart" uri="{C3380CC4-5D6E-409C-BE32-E72D297353CC}">
              <c16:uniqueId val="{00000000-289B-41EE-9770-C425E3434BA6}"/>
            </c:ext>
          </c:extLst>
        </c:ser>
        <c:ser>
          <c:idx val="1"/>
          <c:order val="1"/>
          <c:tx>
            <c:strRef>
              <c:f>Sheet1!$C$1</c:f>
              <c:strCache>
                <c:ptCount val="1"/>
                <c:pt idx="0">
                  <c:v>BR2</c:v>
                </c:pt>
              </c:strCache>
            </c:strRef>
          </c:tx>
          <c:spPr>
            <a:solidFill>
              <a:srgbClr val="ED7D31"/>
            </a:solidFill>
            <a:ln w="25399">
              <a:noFill/>
            </a:ln>
          </c:spPr>
          <c:invertIfNegative val="0"/>
          <c:cat>
            <c:strRef>
              <c:f>Sheet1!$A$2:$A$5</c:f>
              <c:strCache>
                <c:ptCount val="4"/>
                <c:pt idx="0">
                  <c:v>2013*</c:v>
                </c:pt>
                <c:pt idx="1">
                  <c:v>2017</c:v>
                </c:pt>
                <c:pt idx="2">
                  <c:v>Scenariul A</c:v>
                </c:pt>
                <c:pt idx="3">
                  <c:v>Scenariul B</c:v>
                </c:pt>
              </c:strCache>
            </c:strRef>
          </c:cat>
          <c:val>
            <c:numRef>
              <c:f>Sheet1!$C$2:$C$5</c:f>
              <c:numCache>
                <c:formatCode>General</c:formatCode>
                <c:ptCount val="4"/>
                <c:pt idx="0">
                  <c:v>20.684999999999999</c:v>
                </c:pt>
                <c:pt idx="2" formatCode="0.000">
                  <c:v>20.373748157805611</c:v>
                </c:pt>
                <c:pt idx="3" formatCode="0.000">
                  <c:v>20.352063625579458</c:v>
                </c:pt>
              </c:numCache>
            </c:numRef>
          </c:val>
          <c:extLst>
            <c:ext xmlns:c16="http://schemas.microsoft.com/office/drawing/2014/chart" uri="{C3380CC4-5D6E-409C-BE32-E72D297353CC}">
              <c16:uniqueId val="{00000001-289B-41EE-9770-C425E3434BA6}"/>
            </c:ext>
          </c:extLst>
        </c:ser>
        <c:ser>
          <c:idx val="2"/>
          <c:order val="2"/>
          <c:tx>
            <c:strRef>
              <c:f>Sheet1!$D$1</c:f>
              <c:strCache>
                <c:ptCount val="1"/>
                <c:pt idx="0">
                  <c:v>BR3</c:v>
                </c:pt>
              </c:strCache>
            </c:strRef>
          </c:tx>
          <c:spPr>
            <a:ln>
              <a:noFill/>
            </a:ln>
          </c:spPr>
          <c:invertIfNegative val="0"/>
          <c:cat>
            <c:strRef>
              <c:f>Sheet1!$A$2:$A$5</c:f>
              <c:strCache>
                <c:ptCount val="4"/>
                <c:pt idx="0">
                  <c:v>2013*</c:v>
                </c:pt>
                <c:pt idx="1">
                  <c:v>2017</c:v>
                </c:pt>
                <c:pt idx="2">
                  <c:v>Scenariul A</c:v>
                </c:pt>
                <c:pt idx="3">
                  <c:v>Scenariul B</c:v>
                </c:pt>
              </c:strCache>
            </c:strRef>
          </c:cat>
          <c:val>
            <c:numRef>
              <c:f>Sheet1!$D$2:$D$5</c:f>
              <c:numCache>
                <c:formatCode>General</c:formatCode>
                <c:ptCount val="4"/>
                <c:pt idx="0">
                  <c:v>22.163</c:v>
                </c:pt>
                <c:pt idx="1">
                  <c:v>24.58</c:v>
                </c:pt>
                <c:pt idx="2" formatCode="0.000">
                  <c:v>21.829508359750825</c:v>
                </c:pt>
                <c:pt idx="3" formatCode="0.000">
                  <c:v>21.80627440820486</c:v>
                </c:pt>
              </c:numCache>
            </c:numRef>
          </c:val>
          <c:extLst>
            <c:ext xmlns:c16="http://schemas.microsoft.com/office/drawing/2014/chart" uri="{C3380CC4-5D6E-409C-BE32-E72D297353CC}">
              <c16:uniqueId val="{00000002-289B-41EE-9770-C425E3434BA6}"/>
            </c:ext>
          </c:extLst>
        </c:ser>
        <c:ser>
          <c:idx val="3"/>
          <c:order val="3"/>
          <c:tx>
            <c:strRef>
              <c:f>Sheet1!$E$1</c:f>
              <c:strCache>
                <c:ptCount val="1"/>
                <c:pt idx="0">
                  <c:v>BR4</c:v>
                </c:pt>
              </c:strCache>
            </c:strRef>
          </c:tx>
          <c:invertIfNegative val="0"/>
          <c:cat>
            <c:strRef>
              <c:f>Sheet1!$A$2:$A$5</c:f>
              <c:strCache>
                <c:ptCount val="4"/>
                <c:pt idx="0">
                  <c:v>2013*</c:v>
                </c:pt>
                <c:pt idx="1">
                  <c:v>2017</c:v>
                </c:pt>
                <c:pt idx="2">
                  <c:v>Scenariul A</c:v>
                </c:pt>
                <c:pt idx="3">
                  <c:v>Scenariul B</c:v>
                </c:pt>
              </c:strCache>
            </c:strRef>
          </c:cat>
          <c:val>
            <c:numRef>
              <c:f>Sheet1!$E$2:$E$5</c:f>
              <c:numCache>
                <c:formatCode>General</c:formatCode>
                <c:ptCount val="4"/>
                <c:pt idx="0">
                  <c:v>21.170999999999999</c:v>
                </c:pt>
                <c:pt idx="2" formatCode="0.000">
                  <c:v>20.852435206618448</c:v>
                </c:pt>
                <c:pt idx="3" formatCode="0.000">
                  <c:v>20.830241190096334</c:v>
                </c:pt>
              </c:numCache>
            </c:numRef>
          </c:val>
          <c:extLst>
            <c:ext xmlns:c16="http://schemas.microsoft.com/office/drawing/2014/chart" uri="{C3380CC4-5D6E-409C-BE32-E72D297353CC}">
              <c16:uniqueId val="{00000000-5853-4CCE-8718-1158ED7B000E}"/>
            </c:ext>
          </c:extLst>
        </c:ser>
        <c:ser>
          <c:idx val="4"/>
          <c:order val="4"/>
          <c:tx>
            <c:strRef>
              <c:f>Sheet1!$F$1</c:f>
              <c:strCache>
                <c:ptCount val="1"/>
                <c:pt idx="0">
                  <c:v>BR5</c:v>
                </c:pt>
              </c:strCache>
            </c:strRef>
          </c:tx>
          <c:invertIfNegative val="0"/>
          <c:cat>
            <c:strRef>
              <c:f>Sheet1!$A$2:$A$5</c:f>
              <c:strCache>
                <c:ptCount val="4"/>
                <c:pt idx="0">
                  <c:v>2013*</c:v>
                </c:pt>
                <c:pt idx="1">
                  <c:v>2017</c:v>
                </c:pt>
                <c:pt idx="2">
                  <c:v>Scenariul A</c:v>
                </c:pt>
                <c:pt idx="3">
                  <c:v>Scenariul B</c:v>
                </c:pt>
              </c:strCache>
            </c:strRef>
          </c:cat>
          <c:val>
            <c:numRef>
              <c:f>Sheet1!$F$2:$F$5</c:f>
              <c:numCache>
                <c:formatCode>General</c:formatCode>
                <c:ptCount val="4"/>
                <c:pt idx="0">
                  <c:v>21.741</c:v>
                </c:pt>
                <c:pt idx="2" formatCode="0.000">
                  <c:v>21.413858288559432</c:v>
                </c:pt>
                <c:pt idx="3" formatCode="0.000">
                  <c:v>21.391066728727242</c:v>
                </c:pt>
              </c:numCache>
            </c:numRef>
          </c:val>
          <c:extLst>
            <c:ext xmlns:c16="http://schemas.microsoft.com/office/drawing/2014/chart" uri="{C3380CC4-5D6E-409C-BE32-E72D297353CC}">
              <c16:uniqueId val="{00000001-5853-4CCE-8718-1158ED7B000E}"/>
            </c:ext>
          </c:extLst>
        </c:ser>
        <c:dLbls>
          <c:showLegendKey val="0"/>
          <c:showVal val="0"/>
          <c:showCatName val="0"/>
          <c:showSerName val="0"/>
          <c:showPercent val="0"/>
          <c:showBubbleSize val="0"/>
        </c:dLbls>
        <c:gapWidth val="150"/>
        <c:axId val="416005632"/>
        <c:axId val="417621696"/>
      </c:barChart>
      <c:lineChart>
        <c:grouping val="standard"/>
        <c:varyColors val="0"/>
        <c:ser>
          <c:idx val="5"/>
          <c:order val="5"/>
          <c:tx>
            <c:strRef>
              <c:f>Sheet1!$G$1</c:f>
              <c:strCache>
                <c:ptCount val="1"/>
                <c:pt idx="0">
                  <c:v>VL an</c:v>
                </c:pt>
              </c:strCache>
            </c:strRef>
          </c:tx>
          <c:spPr>
            <a:ln>
              <a:solidFill>
                <a:srgbClr val="FF0000"/>
              </a:solidFill>
            </a:ln>
          </c:spPr>
          <c:marker>
            <c:symbol val="none"/>
          </c:marker>
          <c:cat>
            <c:strRef>
              <c:f>Sheet1!$A$2:$A$5</c:f>
              <c:strCache>
                <c:ptCount val="4"/>
                <c:pt idx="0">
                  <c:v>2013*</c:v>
                </c:pt>
                <c:pt idx="1">
                  <c:v>2017</c:v>
                </c:pt>
                <c:pt idx="2">
                  <c:v>Scenariul A</c:v>
                </c:pt>
                <c:pt idx="3">
                  <c:v>Scenariul B</c:v>
                </c:pt>
              </c:strCache>
            </c:strRef>
          </c:cat>
          <c:val>
            <c:numRef>
              <c:f>Sheet1!$G$2:$G$5</c:f>
              <c:numCache>
                <c:formatCode>General</c:formatCode>
                <c:ptCount val="4"/>
                <c:pt idx="0">
                  <c:v>40</c:v>
                </c:pt>
                <c:pt idx="1">
                  <c:v>40</c:v>
                </c:pt>
                <c:pt idx="2">
                  <c:v>40</c:v>
                </c:pt>
                <c:pt idx="3">
                  <c:v>40</c:v>
                </c:pt>
              </c:numCache>
            </c:numRef>
          </c:val>
          <c:smooth val="0"/>
          <c:extLst>
            <c:ext xmlns:c16="http://schemas.microsoft.com/office/drawing/2014/chart" uri="{C3380CC4-5D6E-409C-BE32-E72D297353CC}">
              <c16:uniqueId val="{00000002-5853-4CCE-8718-1158ED7B000E}"/>
            </c:ext>
          </c:extLst>
        </c:ser>
        <c:dLbls>
          <c:showLegendKey val="0"/>
          <c:showVal val="0"/>
          <c:showCatName val="0"/>
          <c:showSerName val="0"/>
          <c:showPercent val="0"/>
          <c:showBubbleSize val="0"/>
        </c:dLbls>
        <c:marker val="1"/>
        <c:smooth val="0"/>
        <c:axId val="416005632"/>
        <c:axId val="417621696"/>
      </c:lineChart>
      <c:catAx>
        <c:axId val="416005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7621696"/>
        <c:crosses val="autoZero"/>
        <c:auto val="1"/>
        <c:lblAlgn val="ctr"/>
        <c:lblOffset val="100"/>
        <c:noMultiLvlLbl val="0"/>
      </c:catAx>
      <c:valAx>
        <c:axId val="417621696"/>
        <c:scaling>
          <c:orientation val="minMax"/>
          <c:max val="40"/>
        </c:scaling>
        <c:delete val="0"/>
        <c:axPos val="l"/>
        <c:majorGridlines>
          <c:spPr>
            <a:ln w="9525" cap="flat" cmpd="sng" algn="ctr">
              <a:solidFill>
                <a:schemeClr val="tx1">
                  <a:lumMod val="15000"/>
                  <a:lumOff val="85000"/>
                </a:schemeClr>
              </a:solidFill>
              <a:round/>
            </a:ln>
            <a:effectLst/>
          </c:spPr>
        </c:majorGridlines>
        <c:title>
          <c:tx>
            <c:rich>
              <a:bodyPr/>
              <a:lstStyle/>
              <a:p>
                <a:pPr>
                  <a:defRPr lang="en-US" sz="1000" b="0" i="0" u="none" strike="noStrike" baseline="0">
                    <a:solidFill>
                      <a:srgbClr val="333333"/>
                    </a:solidFill>
                    <a:latin typeface="Cambria"/>
                    <a:ea typeface="Cambria"/>
                    <a:cs typeface="Cambria"/>
                  </a:defRPr>
                </a:pPr>
                <a:r>
                  <a:rPr lang="en-US">
                    <a:latin typeface="Cambria" panose="02040503050406030204" pitchFamily="18" charset="0"/>
                    <a:ea typeface="Cambria" panose="02040503050406030204" pitchFamily="18" charset="0"/>
                  </a:rPr>
                  <a:t>µg</a:t>
                </a:r>
                <a:r>
                  <a:rPr lang="en-US"/>
                  <a:t>/m3</a:t>
                </a:r>
              </a:p>
            </c:rich>
          </c:tx>
          <c:layout>
            <c:manualLayout>
              <c:xMode val="edge"/>
              <c:yMode val="edge"/>
              <c:x val="1.2507195221287005E-2"/>
              <c:y val="0.25899883237028837"/>
            </c:manualLayout>
          </c:layout>
          <c:overlay val="0"/>
          <c:spPr>
            <a:noFill/>
            <a:ln w="25399">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lang="en-US" sz="8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6005632"/>
        <c:crosses val="autoZero"/>
        <c:crossBetween val="between"/>
      </c:valAx>
      <c:spPr>
        <a:noFill/>
        <a:ln w="25399">
          <a:noFill/>
        </a:ln>
      </c:spPr>
    </c:plotArea>
    <c:legend>
      <c:legendPos val="b"/>
      <c:layout>
        <c:manualLayout>
          <c:xMode val="edge"/>
          <c:yMode val="edge"/>
          <c:x val="6.4125260204543439E-3"/>
          <c:y val="0.8780461662824468"/>
          <c:w val="0.9935874739795455"/>
          <c:h val="0.12195383371755336"/>
        </c:manualLayout>
      </c:layout>
      <c:overlay val="0"/>
      <c:spPr>
        <a:noFill/>
        <a:ln w="25399">
          <a:noFill/>
        </a:ln>
      </c:spPr>
      <c:txPr>
        <a:bodyPr rot="0" spcFirstLastPara="1" vertOverflow="ellipsis" vert="horz" wrap="square" anchor="ctr" anchorCtr="1"/>
        <a:lstStyle/>
        <a:p>
          <a:pPr>
            <a:defRPr lang="en-US" sz="6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lang="en-US"/>
            </a:pPr>
            <a:r>
              <a:rPr lang="en-US" sz="1000"/>
              <a:t>PM</a:t>
            </a:r>
            <a:r>
              <a:rPr lang="en-US" sz="800"/>
              <a:t>2,5</a:t>
            </a:r>
          </a:p>
        </c:rich>
      </c:tx>
      <c:layout>
        <c:manualLayout>
          <c:xMode val="edge"/>
          <c:yMode val="edge"/>
          <c:x val="0.49310344827586228"/>
          <c:y val="7.6867758450345811E-2"/>
        </c:manualLayout>
      </c:layout>
      <c:overlay val="0"/>
    </c:title>
    <c:autoTitleDeleted val="0"/>
    <c:plotArea>
      <c:layout>
        <c:manualLayout>
          <c:layoutTarget val="inner"/>
          <c:xMode val="edge"/>
          <c:yMode val="edge"/>
          <c:x val="0.16047750927685753"/>
          <c:y val="7.0888592438341932E-2"/>
          <c:w val="0.83539867861344985"/>
          <c:h val="0.67087751863716705"/>
        </c:manualLayout>
      </c:layout>
      <c:barChart>
        <c:barDir val="col"/>
        <c:grouping val="clustered"/>
        <c:varyColors val="0"/>
        <c:ser>
          <c:idx val="0"/>
          <c:order val="0"/>
          <c:tx>
            <c:strRef>
              <c:f>Sheet1!$B$1</c:f>
              <c:strCache>
                <c:ptCount val="1"/>
                <c:pt idx="0">
                  <c:v>BR1</c:v>
                </c:pt>
              </c:strCache>
            </c:strRef>
          </c:tx>
          <c:spPr>
            <a:solidFill>
              <a:srgbClr val="4472C4"/>
            </a:solidFill>
            <a:ln w="25399">
              <a:noFill/>
            </a:ln>
          </c:spPr>
          <c:invertIfNegative val="0"/>
          <c:cat>
            <c:strRef>
              <c:f>Sheet1!$A$2:$A$5</c:f>
              <c:strCache>
                <c:ptCount val="4"/>
                <c:pt idx="0">
                  <c:v>2013*</c:v>
                </c:pt>
                <c:pt idx="1">
                  <c:v>2017</c:v>
                </c:pt>
                <c:pt idx="2">
                  <c:v>Scenariul A</c:v>
                </c:pt>
                <c:pt idx="3">
                  <c:v>Scenariul B</c:v>
                </c:pt>
              </c:strCache>
            </c:strRef>
          </c:cat>
          <c:val>
            <c:numRef>
              <c:f>Sheet1!$B$2:$B$5</c:f>
              <c:numCache>
                <c:formatCode>General</c:formatCode>
                <c:ptCount val="4"/>
                <c:pt idx="0">
                  <c:v>16.521999999999998</c:v>
                </c:pt>
                <c:pt idx="2" formatCode="0.000">
                  <c:v>16.029043880215383</c:v>
                </c:pt>
                <c:pt idx="3" formatCode="0.000">
                  <c:v>15.996056561039168</c:v>
                </c:pt>
              </c:numCache>
            </c:numRef>
          </c:val>
          <c:extLst>
            <c:ext xmlns:c16="http://schemas.microsoft.com/office/drawing/2014/chart" uri="{C3380CC4-5D6E-409C-BE32-E72D297353CC}">
              <c16:uniqueId val="{00000000-F499-4D8A-B3FF-1D693946E1E4}"/>
            </c:ext>
          </c:extLst>
        </c:ser>
        <c:ser>
          <c:idx val="1"/>
          <c:order val="1"/>
          <c:tx>
            <c:strRef>
              <c:f>Sheet1!$C$1</c:f>
              <c:strCache>
                <c:ptCount val="1"/>
                <c:pt idx="0">
                  <c:v>BR2</c:v>
                </c:pt>
              </c:strCache>
            </c:strRef>
          </c:tx>
          <c:spPr>
            <a:solidFill>
              <a:srgbClr val="ED7D31"/>
            </a:solidFill>
            <a:ln w="25399">
              <a:noFill/>
            </a:ln>
          </c:spPr>
          <c:invertIfNegative val="0"/>
          <c:cat>
            <c:strRef>
              <c:f>Sheet1!$A$2:$A$5</c:f>
              <c:strCache>
                <c:ptCount val="4"/>
                <c:pt idx="0">
                  <c:v>2013*</c:v>
                </c:pt>
                <c:pt idx="1">
                  <c:v>2017</c:v>
                </c:pt>
                <c:pt idx="2">
                  <c:v>Scenariul A</c:v>
                </c:pt>
                <c:pt idx="3">
                  <c:v>Scenariul B</c:v>
                </c:pt>
              </c:strCache>
            </c:strRef>
          </c:cat>
          <c:val>
            <c:numRef>
              <c:f>Sheet1!$C$2:$C$5</c:f>
              <c:numCache>
                <c:formatCode>General</c:formatCode>
                <c:ptCount val="4"/>
                <c:pt idx="0">
                  <c:v>16.530999999999999</c:v>
                </c:pt>
                <c:pt idx="2" formatCode="0.000">
                  <c:v>16.037775353095299</c:v>
                </c:pt>
                <c:pt idx="3" formatCode="0.000">
                  <c:v>16.004770064794727</c:v>
                </c:pt>
              </c:numCache>
            </c:numRef>
          </c:val>
          <c:extLst>
            <c:ext xmlns:c16="http://schemas.microsoft.com/office/drawing/2014/chart" uri="{C3380CC4-5D6E-409C-BE32-E72D297353CC}">
              <c16:uniqueId val="{00000001-F499-4D8A-B3FF-1D693946E1E4}"/>
            </c:ext>
          </c:extLst>
        </c:ser>
        <c:ser>
          <c:idx val="2"/>
          <c:order val="2"/>
          <c:tx>
            <c:strRef>
              <c:f>Sheet1!$D$1</c:f>
              <c:strCache>
                <c:ptCount val="1"/>
                <c:pt idx="0">
                  <c:v>BR3</c:v>
                </c:pt>
              </c:strCache>
            </c:strRef>
          </c:tx>
          <c:spPr>
            <a:ln>
              <a:noFill/>
            </a:ln>
          </c:spPr>
          <c:invertIfNegative val="0"/>
          <c:cat>
            <c:strRef>
              <c:f>Sheet1!$A$2:$A$5</c:f>
              <c:strCache>
                <c:ptCount val="4"/>
                <c:pt idx="0">
                  <c:v>2013*</c:v>
                </c:pt>
                <c:pt idx="1">
                  <c:v>2017</c:v>
                </c:pt>
                <c:pt idx="2">
                  <c:v>Scenariul A</c:v>
                </c:pt>
                <c:pt idx="3">
                  <c:v>Scenariul B</c:v>
                </c:pt>
              </c:strCache>
            </c:strRef>
          </c:cat>
          <c:val>
            <c:numRef>
              <c:f>Sheet1!$D$2:$D$5</c:f>
              <c:numCache>
                <c:formatCode>General</c:formatCode>
                <c:ptCount val="4"/>
                <c:pt idx="0">
                  <c:v>17.542000000000002</c:v>
                </c:pt>
                <c:pt idx="2" formatCode="0.000">
                  <c:v>17.018610806605636</c:v>
                </c:pt>
                <c:pt idx="3" formatCode="0.000">
                  <c:v>16.983586986669238</c:v>
                </c:pt>
              </c:numCache>
            </c:numRef>
          </c:val>
          <c:extLst>
            <c:ext xmlns:c16="http://schemas.microsoft.com/office/drawing/2014/chart" uri="{C3380CC4-5D6E-409C-BE32-E72D297353CC}">
              <c16:uniqueId val="{00000002-F499-4D8A-B3FF-1D693946E1E4}"/>
            </c:ext>
          </c:extLst>
        </c:ser>
        <c:ser>
          <c:idx val="3"/>
          <c:order val="3"/>
          <c:tx>
            <c:strRef>
              <c:f>Sheet1!$E$1</c:f>
              <c:strCache>
                <c:ptCount val="1"/>
                <c:pt idx="0">
                  <c:v>BR4</c:v>
                </c:pt>
              </c:strCache>
            </c:strRef>
          </c:tx>
          <c:invertIfNegative val="0"/>
          <c:cat>
            <c:strRef>
              <c:f>Sheet1!$A$2:$A$5</c:f>
              <c:strCache>
                <c:ptCount val="4"/>
                <c:pt idx="0">
                  <c:v>2013*</c:v>
                </c:pt>
                <c:pt idx="1">
                  <c:v>2017</c:v>
                </c:pt>
                <c:pt idx="2">
                  <c:v>Scenariul A</c:v>
                </c:pt>
                <c:pt idx="3">
                  <c:v>Scenariul B</c:v>
                </c:pt>
              </c:strCache>
            </c:strRef>
          </c:cat>
          <c:val>
            <c:numRef>
              <c:f>Sheet1!$E$2:$E$5</c:f>
              <c:numCache>
                <c:formatCode>General</c:formatCode>
                <c:ptCount val="4"/>
                <c:pt idx="0">
                  <c:v>16.744</c:v>
                </c:pt>
                <c:pt idx="2" formatCode="0.000">
                  <c:v>16.244420211253264</c:v>
                </c:pt>
                <c:pt idx="3" formatCode="0.000">
                  <c:v>16.2109896536763</c:v>
                </c:pt>
              </c:numCache>
            </c:numRef>
          </c:val>
          <c:extLst>
            <c:ext xmlns:c16="http://schemas.microsoft.com/office/drawing/2014/chart" uri="{C3380CC4-5D6E-409C-BE32-E72D297353CC}">
              <c16:uniqueId val="{00000000-A404-4F2A-B951-E1F94A938C32}"/>
            </c:ext>
          </c:extLst>
        </c:ser>
        <c:ser>
          <c:idx val="4"/>
          <c:order val="4"/>
          <c:tx>
            <c:strRef>
              <c:f>Sheet1!$F$1</c:f>
              <c:strCache>
                <c:ptCount val="1"/>
                <c:pt idx="0">
                  <c:v>BR5</c:v>
                </c:pt>
              </c:strCache>
            </c:strRef>
          </c:tx>
          <c:invertIfNegative val="0"/>
          <c:cat>
            <c:strRef>
              <c:f>Sheet1!$A$2:$A$5</c:f>
              <c:strCache>
                <c:ptCount val="4"/>
                <c:pt idx="0">
                  <c:v>2013*</c:v>
                </c:pt>
                <c:pt idx="1">
                  <c:v>2017</c:v>
                </c:pt>
                <c:pt idx="2">
                  <c:v>Scenariul A</c:v>
                </c:pt>
                <c:pt idx="3">
                  <c:v>Scenariul B</c:v>
                </c:pt>
              </c:strCache>
            </c:strRef>
          </c:cat>
          <c:val>
            <c:numRef>
              <c:f>Sheet1!$F$2:$F$5</c:f>
              <c:numCache>
                <c:formatCode>General</c:formatCode>
                <c:ptCount val="4"/>
                <c:pt idx="0">
                  <c:v>17.498999999999999</c:v>
                </c:pt>
                <c:pt idx="2" formatCode="0.000">
                  <c:v>16.97689376951271</c:v>
                </c:pt>
                <c:pt idx="3" formatCode="0.000">
                  <c:v>16.94195580205934</c:v>
                </c:pt>
              </c:numCache>
            </c:numRef>
          </c:val>
          <c:extLst>
            <c:ext xmlns:c16="http://schemas.microsoft.com/office/drawing/2014/chart" uri="{C3380CC4-5D6E-409C-BE32-E72D297353CC}">
              <c16:uniqueId val="{00000001-A404-4F2A-B951-E1F94A938C32}"/>
            </c:ext>
          </c:extLst>
        </c:ser>
        <c:dLbls>
          <c:showLegendKey val="0"/>
          <c:showVal val="0"/>
          <c:showCatName val="0"/>
          <c:showSerName val="0"/>
          <c:showPercent val="0"/>
          <c:showBubbleSize val="0"/>
        </c:dLbls>
        <c:gapWidth val="150"/>
        <c:axId val="416503808"/>
        <c:axId val="417623424"/>
      </c:barChart>
      <c:lineChart>
        <c:grouping val="standard"/>
        <c:varyColors val="0"/>
        <c:ser>
          <c:idx val="5"/>
          <c:order val="5"/>
          <c:tx>
            <c:strRef>
              <c:f>Sheet1!$G$1</c:f>
              <c:strCache>
                <c:ptCount val="1"/>
                <c:pt idx="0">
                  <c:v>VL</c:v>
                </c:pt>
              </c:strCache>
            </c:strRef>
          </c:tx>
          <c:spPr>
            <a:ln>
              <a:solidFill>
                <a:srgbClr val="FF0000"/>
              </a:solidFill>
            </a:ln>
          </c:spPr>
          <c:marker>
            <c:symbol val="none"/>
          </c:marker>
          <c:cat>
            <c:strRef>
              <c:f>Sheet1!$A$2:$A$5</c:f>
              <c:strCache>
                <c:ptCount val="4"/>
                <c:pt idx="0">
                  <c:v>2013*</c:v>
                </c:pt>
                <c:pt idx="1">
                  <c:v>2017</c:v>
                </c:pt>
                <c:pt idx="2">
                  <c:v>Scenariul A</c:v>
                </c:pt>
                <c:pt idx="3">
                  <c:v>Scenariul B</c:v>
                </c:pt>
              </c:strCache>
            </c:strRef>
          </c:cat>
          <c:val>
            <c:numRef>
              <c:f>Sheet1!$G$2:$G$5</c:f>
              <c:numCache>
                <c:formatCode>General</c:formatCode>
                <c:ptCount val="4"/>
                <c:pt idx="0">
                  <c:v>25</c:v>
                </c:pt>
                <c:pt idx="1">
                  <c:v>25</c:v>
                </c:pt>
                <c:pt idx="2">
                  <c:v>25</c:v>
                </c:pt>
                <c:pt idx="3">
                  <c:v>25</c:v>
                </c:pt>
              </c:numCache>
            </c:numRef>
          </c:val>
          <c:smooth val="0"/>
          <c:extLst>
            <c:ext xmlns:c16="http://schemas.microsoft.com/office/drawing/2014/chart" uri="{C3380CC4-5D6E-409C-BE32-E72D297353CC}">
              <c16:uniqueId val="{00000002-A404-4F2A-B951-E1F94A938C32}"/>
            </c:ext>
          </c:extLst>
        </c:ser>
        <c:dLbls>
          <c:showLegendKey val="0"/>
          <c:showVal val="0"/>
          <c:showCatName val="0"/>
          <c:showSerName val="0"/>
          <c:showPercent val="0"/>
          <c:showBubbleSize val="0"/>
        </c:dLbls>
        <c:marker val="1"/>
        <c:smooth val="0"/>
        <c:axId val="416503808"/>
        <c:axId val="417623424"/>
      </c:lineChart>
      <c:catAx>
        <c:axId val="416503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7623424"/>
        <c:crosses val="autoZero"/>
        <c:auto val="1"/>
        <c:lblAlgn val="ctr"/>
        <c:lblOffset val="100"/>
        <c:noMultiLvlLbl val="0"/>
      </c:catAx>
      <c:valAx>
        <c:axId val="417623424"/>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lang="en-US" sz="1000" b="0" i="0" u="none" strike="noStrike" baseline="0">
                    <a:solidFill>
                      <a:srgbClr val="333333"/>
                    </a:solidFill>
                    <a:latin typeface="Cambria"/>
                    <a:ea typeface="Cambria"/>
                    <a:cs typeface="Cambria"/>
                  </a:defRPr>
                </a:pPr>
                <a:r>
                  <a:rPr lang="en-US">
                    <a:latin typeface="Cambria" panose="02040503050406030204" pitchFamily="18" charset="0"/>
                    <a:ea typeface="Cambria" panose="02040503050406030204" pitchFamily="18" charset="0"/>
                  </a:rPr>
                  <a:t>µg</a:t>
                </a:r>
                <a:r>
                  <a:rPr lang="en-US"/>
                  <a:t>/m3</a:t>
                </a:r>
              </a:p>
            </c:rich>
          </c:tx>
          <c:layout>
            <c:manualLayout>
              <c:xMode val="edge"/>
              <c:yMode val="edge"/>
              <c:x val="1.2507195221287005E-2"/>
              <c:y val="0.25899883237028837"/>
            </c:manualLayout>
          </c:layout>
          <c:overlay val="0"/>
          <c:spPr>
            <a:noFill/>
            <a:ln w="25399">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lang="en-US" sz="8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6503808"/>
        <c:crosses val="autoZero"/>
        <c:crossBetween val="between"/>
      </c:valAx>
      <c:spPr>
        <a:noFill/>
        <a:ln w="25399">
          <a:noFill/>
        </a:ln>
      </c:spPr>
    </c:plotArea>
    <c:legend>
      <c:legendPos val="b"/>
      <c:layout>
        <c:manualLayout>
          <c:xMode val="edge"/>
          <c:yMode val="edge"/>
          <c:x val="2.9401031767580792E-2"/>
          <c:y val="0.8780461662824468"/>
          <c:w val="0.9705989682324192"/>
          <c:h val="0.12195383371755336"/>
        </c:manualLayout>
      </c:layout>
      <c:overlay val="0"/>
      <c:spPr>
        <a:noFill/>
        <a:ln w="25399">
          <a:noFill/>
        </a:ln>
      </c:spPr>
      <c:txPr>
        <a:bodyPr rot="0" spcFirstLastPara="1" vertOverflow="ellipsis" vert="horz" wrap="square" anchor="ctr" anchorCtr="1"/>
        <a:lstStyle/>
        <a:p>
          <a:pPr>
            <a:defRPr lang="en-US" sz="6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lang="en-US"/>
            </a:pPr>
            <a:r>
              <a:rPr lang="en-US" sz="1000"/>
              <a:t>SO</a:t>
            </a:r>
            <a:r>
              <a:rPr lang="en-US" sz="800"/>
              <a:t>2</a:t>
            </a:r>
          </a:p>
        </c:rich>
      </c:tx>
      <c:layout>
        <c:manualLayout>
          <c:xMode val="edge"/>
          <c:yMode val="edge"/>
          <c:x val="0.49310344827586228"/>
          <c:y val="7.6867758450345811E-2"/>
        </c:manualLayout>
      </c:layout>
      <c:overlay val="0"/>
    </c:title>
    <c:autoTitleDeleted val="0"/>
    <c:plotArea>
      <c:layout>
        <c:manualLayout>
          <c:layoutTarget val="inner"/>
          <c:xMode val="edge"/>
          <c:yMode val="edge"/>
          <c:x val="0.16047750927685753"/>
          <c:y val="7.0888592438341932E-2"/>
          <c:w val="0.83539867861344985"/>
          <c:h val="0.67087751863716705"/>
        </c:manualLayout>
      </c:layout>
      <c:barChart>
        <c:barDir val="col"/>
        <c:grouping val="clustered"/>
        <c:varyColors val="0"/>
        <c:ser>
          <c:idx val="0"/>
          <c:order val="0"/>
          <c:tx>
            <c:strRef>
              <c:f>Sheet1!$B$1</c:f>
              <c:strCache>
                <c:ptCount val="1"/>
                <c:pt idx="0">
                  <c:v>BR1</c:v>
                </c:pt>
              </c:strCache>
            </c:strRef>
          </c:tx>
          <c:spPr>
            <a:solidFill>
              <a:srgbClr val="4472C4"/>
            </a:solidFill>
            <a:ln w="25399">
              <a:noFill/>
            </a:ln>
          </c:spPr>
          <c:invertIfNegative val="0"/>
          <c:cat>
            <c:strRef>
              <c:f>Sheet1!$A$2:$A$5</c:f>
              <c:strCache>
                <c:ptCount val="4"/>
                <c:pt idx="0">
                  <c:v>2013*</c:v>
                </c:pt>
                <c:pt idx="1">
                  <c:v>2017</c:v>
                </c:pt>
                <c:pt idx="2">
                  <c:v>Scenariul A</c:v>
                </c:pt>
                <c:pt idx="3">
                  <c:v>Scenariul B</c:v>
                </c:pt>
              </c:strCache>
            </c:strRef>
          </c:cat>
          <c:val>
            <c:numRef>
              <c:f>Sheet1!$B$2:$B$5</c:f>
              <c:numCache>
                <c:formatCode>General</c:formatCode>
                <c:ptCount val="4"/>
                <c:pt idx="0">
                  <c:v>3.1110000000000002</c:v>
                </c:pt>
                <c:pt idx="1">
                  <c:v>5.08</c:v>
                </c:pt>
                <c:pt idx="2" formatCode="0.000">
                  <c:v>3.0904696381866126</c:v>
                </c:pt>
                <c:pt idx="3" formatCode="0.000">
                  <c:v>3.0849649391002925</c:v>
                </c:pt>
              </c:numCache>
            </c:numRef>
          </c:val>
          <c:extLst>
            <c:ext xmlns:c16="http://schemas.microsoft.com/office/drawing/2014/chart" uri="{C3380CC4-5D6E-409C-BE32-E72D297353CC}">
              <c16:uniqueId val="{00000000-C8FE-44F8-B11B-7FB0B2DB6017}"/>
            </c:ext>
          </c:extLst>
        </c:ser>
        <c:ser>
          <c:idx val="1"/>
          <c:order val="1"/>
          <c:tx>
            <c:strRef>
              <c:f>Sheet1!$C$1</c:f>
              <c:strCache>
                <c:ptCount val="1"/>
                <c:pt idx="0">
                  <c:v>BR2</c:v>
                </c:pt>
              </c:strCache>
            </c:strRef>
          </c:tx>
          <c:spPr>
            <a:solidFill>
              <a:srgbClr val="ED7D31"/>
            </a:solidFill>
            <a:ln w="25399">
              <a:noFill/>
            </a:ln>
          </c:spPr>
          <c:invertIfNegative val="0"/>
          <c:cat>
            <c:strRef>
              <c:f>Sheet1!$A$2:$A$5</c:f>
              <c:strCache>
                <c:ptCount val="4"/>
                <c:pt idx="0">
                  <c:v>2013*</c:v>
                </c:pt>
                <c:pt idx="1">
                  <c:v>2017</c:v>
                </c:pt>
                <c:pt idx="2">
                  <c:v>Scenariul A</c:v>
                </c:pt>
                <c:pt idx="3">
                  <c:v>Scenariul B</c:v>
                </c:pt>
              </c:strCache>
            </c:strRef>
          </c:cat>
          <c:val>
            <c:numRef>
              <c:f>Sheet1!$C$2:$C$5</c:f>
              <c:numCache>
                <c:formatCode>General</c:formatCode>
                <c:ptCount val="4"/>
                <c:pt idx="0">
                  <c:v>3.089</c:v>
                </c:pt>
                <c:pt idx="1">
                  <c:v>4.41</c:v>
                </c:pt>
                <c:pt idx="2" formatCode="0.000">
                  <c:v>3.0686148223588705</c:v>
                </c:pt>
                <c:pt idx="3" formatCode="0.000">
                  <c:v>3.0631490507492134</c:v>
                </c:pt>
              </c:numCache>
            </c:numRef>
          </c:val>
          <c:extLst>
            <c:ext xmlns:c16="http://schemas.microsoft.com/office/drawing/2014/chart" uri="{C3380CC4-5D6E-409C-BE32-E72D297353CC}">
              <c16:uniqueId val="{00000001-C8FE-44F8-B11B-7FB0B2DB6017}"/>
            </c:ext>
          </c:extLst>
        </c:ser>
        <c:ser>
          <c:idx val="2"/>
          <c:order val="2"/>
          <c:tx>
            <c:strRef>
              <c:f>Sheet1!$D$1</c:f>
              <c:strCache>
                <c:ptCount val="1"/>
                <c:pt idx="0">
                  <c:v>BR3</c:v>
                </c:pt>
              </c:strCache>
            </c:strRef>
          </c:tx>
          <c:spPr>
            <a:ln>
              <a:noFill/>
            </a:ln>
          </c:spPr>
          <c:invertIfNegative val="0"/>
          <c:cat>
            <c:strRef>
              <c:f>Sheet1!$A$2:$A$5</c:f>
              <c:strCache>
                <c:ptCount val="4"/>
                <c:pt idx="0">
                  <c:v>2013*</c:v>
                </c:pt>
                <c:pt idx="1">
                  <c:v>2017</c:v>
                </c:pt>
                <c:pt idx="2">
                  <c:v>Scenariul A</c:v>
                </c:pt>
                <c:pt idx="3">
                  <c:v>Scenariul B</c:v>
                </c:pt>
              </c:strCache>
            </c:strRef>
          </c:cat>
          <c:val>
            <c:numRef>
              <c:f>Sheet1!$D$2:$D$5</c:f>
              <c:numCache>
                <c:formatCode>General</c:formatCode>
                <c:ptCount val="4"/>
                <c:pt idx="0" formatCode="0.000">
                  <c:v>3.68</c:v>
                </c:pt>
                <c:pt idx="1">
                  <c:v>5.27</c:v>
                </c:pt>
                <c:pt idx="2" formatCode="0.000">
                  <c:v>3.6557146475495772</c:v>
                </c:pt>
                <c:pt idx="3" formatCode="0.000">
                  <c:v>3.6492031423622877</c:v>
                </c:pt>
              </c:numCache>
            </c:numRef>
          </c:val>
          <c:extLst>
            <c:ext xmlns:c16="http://schemas.microsoft.com/office/drawing/2014/chart" uri="{C3380CC4-5D6E-409C-BE32-E72D297353CC}">
              <c16:uniqueId val="{00000002-C8FE-44F8-B11B-7FB0B2DB6017}"/>
            </c:ext>
          </c:extLst>
        </c:ser>
        <c:ser>
          <c:idx val="3"/>
          <c:order val="3"/>
          <c:tx>
            <c:strRef>
              <c:f>Sheet1!$E$1</c:f>
              <c:strCache>
                <c:ptCount val="1"/>
                <c:pt idx="0">
                  <c:v>BR4</c:v>
                </c:pt>
              </c:strCache>
            </c:strRef>
          </c:tx>
          <c:invertIfNegative val="0"/>
          <c:cat>
            <c:strRef>
              <c:f>Sheet1!$A$2:$A$5</c:f>
              <c:strCache>
                <c:ptCount val="4"/>
                <c:pt idx="0">
                  <c:v>2013*</c:v>
                </c:pt>
                <c:pt idx="1">
                  <c:v>2017</c:v>
                </c:pt>
                <c:pt idx="2">
                  <c:v>Scenariul A</c:v>
                </c:pt>
                <c:pt idx="3">
                  <c:v>Scenariul B</c:v>
                </c:pt>
              </c:strCache>
            </c:strRef>
          </c:cat>
          <c:val>
            <c:numRef>
              <c:f>Sheet1!$E$2:$E$5</c:f>
              <c:numCache>
                <c:formatCode>General</c:formatCode>
                <c:ptCount val="4"/>
                <c:pt idx="0">
                  <c:v>3.109</c:v>
                </c:pt>
                <c:pt idx="1">
                  <c:v>5.35</c:v>
                </c:pt>
                <c:pt idx="2" formatCode="0.000">
                  <c:v>3.0884828367477266</c:v>
                </c:pt>
                <c:pt idx="3" formatCode="0.000">
                  <c:v>3.0829816765229214</c:v>
                </c:pt>
              </c:numCache>
            </c:numRef>
          </c:val>
          <c:extLst>
            <c:ext xmlns:c16="http://schemas.microsoft.com/office/drawing/2014/chart" uri="{C3380CC4-5D6E-409C-BE32-E72D297353CC}">
              <c16:uniqueId val="{00000000-E975-48BD-97D6-1746801992F5}"/>
            </c:ext>
          </c:extLst>
        </c:ser>
        <c:ser>
          <c:idx val="4"/>
          <c:order val="4"/>
          <c:tx>
            <c:strRef>
              <c:f>Sheet1!$F$1</c:f>
              <c:strCache>
                <c:ptCount val="1"/>
                <c:pt idx="0">
                  <c:v>BR5</c:v>
                </c:pt>
              </c:strCache>
            </c:strRef>
          </c:tx>
          <c:invertIfNegative val="0"/>
          <c:cat>
            <c:strRef>
              <c:f>Sheet1!$A$2:$A$5</c:f>
              <c:strCache>
                <c:ptCount val="4"/>
                <c:pt idx="0">
                  <c:v>2013*</c:v>
                </c:pt>
                <c:pt idx="1">
                  <c:v>2017</c:v>
                </c:pt>
                <c:pt idx="2">
                  <c:v>Scenariul A</c:v>
                </c:pt>
                <c:pt idx="3">
                  <c:v>Scenariul B</c:v>
                </c:pt>
              </c:strCache>
            </c:strRef>
          </c:cat>
          <c:val>
            <c:numRef>
              <c:f>Sheet1!$F$2:$F$5</c:f>
              <c:numCache>
                <c:formatCode>General</c:formatCode>
                <c:ptCount val="4"/>
                <c:pt idx="0">
                  <c:v>3.681</c:v>
                </c:pt>
                <c:pt idx="1">
                  <c:v>4.59</c:v>
                </c:pt>
                <c:pt idx="2" formatCode="0.000">
                  <c:v>3.65670804826902</c:v>
                </c:pt>
                <c:pt idx="3" formatCode="0.000">
                  <c:v>3.650194773650973</c:v>
                </c:pt>
              </c:numCache>
            </c:numRef>
          </c:val>
          <c:extLst>
            <c:ext xmlns:c16="http://schemas.microsoft.com/office/drawing/2014/chart" uri="{C3380CC4-5D6E-409C-BE32-E72D297353CC}">
              <c16:uniqueId val="{00000001-E975-48BD-97D6-1746801992F5}"/>
            </c:ext>
          </c:extLst>
        </c:ser>
        <c:dLbls>
          <c:showLegendKey val="0"/>
          <c:showVal val="0"/>
          <c:showCatName val="0"/>
          <c:showSerName val="0"/>
          <c:showPercent val="0"/>
          <c:showBubbleSize val="0"/>
        </c:dLbls>
        <c:gapWidth val="150"/>
        <c:axId val="417195008"/>
        <c:axId val="417625152"/>
      </c:barChart>
      <c:lineChart>
        <c:grouping val="standard"/>
        <c:varyColors val="0"/>
        <c:ser>
          <c:idx val="5"/>
          <c:order val="5"/>
          <c:tx>
            <c:strRef>
              <c:f>Sheet1!$G$1</c:f>
              <c:strCache>
                <c:ptCount val="1"/>
                <c:pt idx="0">
                  <c:v>NC</c:v>
                </c:pt>
              </c:strCache>
            </c:strRef>
          </c:tx>
          <c:spPr>
            <a:ln>
              <a:solidFill>
                <a:srgbClr val="FF0000"/>
              </a:solidFill>
            </a:ln>
          </c:spPr>
          <c:marker>
            <c:symbol val="none"/>
          </c:marker>
          <c:cat>
            <c:strRef>
              <c:f>Sheet1!$A$2:$A$5</c:f>
              <c:strCache>
                <c:ptCount val="4"/>
                <c:pt idx="0">
                  <c:v>2013*</c:v>
                </c:pt>
                <c:pt idx="1">
                  <c:v>2017</c:v>
                </c:pt>
                <c:pt idx="2">
                  <c:v>Scenariul A</c:v>
                </c:pt>
                <c:pt idx="3">
                  <c:v>Scenariul B</c:v>
                </c:pt>
              </c:strCache>
            </c:strRef>
          </c:cat>
          <c:val>
            <c:numRef>
              <c:f>Sheet1!$G$2:$G$5</c:f>
              <c:numCache>
                <c:formatCode>General</c:formatCode>
                <c:ptCount val="4"/>
                <c:pt idx="0">
                  <c:v>20</c:v>
                </c:pt>
                <c:pt idx="1">
                  <c:v>20</c:v>
                </c:pt>
                <c:pt idx="2">
                  <c:v>20</c:v>
                </c:pt>
                <c:pt idx="3">
                  <c:v>20</c:v>
                </c:pt>
              </c:numCache>
            </c:numRef>
          </c:val>
          <c:smooth val="0"/>
          <c:extLst>
            <c:ext xmlns:c16="http://schemas.microsoft.com/office/drawing/2014/chart" uri="{C3380CC4-5D6E-409C-BE32-E72D297353CC}">
              <c16:uniqueId val="{00000002-E975-48BD-97D6-1746801992F5}"/>
            </c:ext>
          </c:extLst>
        </c:ser>
        <c:dLbls>
          <c:showLegendKey val="0"/>
          <c:showVal val="0"/>
          <c:showCatName val="0"/>
          <c:showSerName val="0"/>
          <c:showPercent val="0"/>
          <c:showBubbleSize val="0"/>
        </c:dLbls>
        <c:marker val="1"/>
        <c:smooth val="0"/>
        <c:axId val="417195008"/>
        <c:axId val="417625152"/>
      </c:lineChart>
      <c:catAx>
        <c:axId val="417195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7625152"/>
        <c:crosses val="autoZero"/>
        <c:auto val="1"/>
        <c:lblAlgn val="ctr"/>
        <c:lblOffset val="100"/>
        <c:noMultiLvlLbl val="0"/>
      </c:catAx>
      <c:valAx>
        <c:axId val="417625152"/>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lang="en-US" sz="1000" b="0" i="0" u="none" strike="noStrike" baseline="0">
                    <a:solidFill>
                      <a:srgbClr val="333333"/>
                    </a:solidFill>
                    <a:latin typeface="Cambria"/>
                    <a:ea typeface="Cambria"/>
                    <a:cs typeface="Cambria"/>
                  </a:defRPr>
                </a:pPr>
                <a:r>
                  <a:rPr lang="en-US">
                    <a:latin typeface="Cambria" panose="02040503050406030204" pitchFamily="18" charset="0"/>
                    <a:ea typeface="Cambria" panose="02040503050406030204" pitchFamily="18" charset="0"/>
                  </a:rPr>
                  <a:t>µg</a:t>
                </a:r>
                <a:r>
                  <a:rPr lang="en-US"/>
                  <a:t>/m3</a:t>
                </a:r>
              </a:p>
            </c:rich>
          </c:tx>
          <c:layout>
            <c:manualLayout>
              <c:xMode val="edge"/>
              <c:yMode val="edge"/>
              <c:x val="1.2507195221287005E-2"/>
              <c:y val="0.25899883237028837"/>
            </c:manualLayout>
          </c:layout>
          <c:overlay val="0"/>
          <c:spPr>
            <a:noFill/>
            <a:ln w="25399">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lang="en-US" sz="8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7195008"/>
        <c:crosses val="autoZero"/>
        <c:crossBetween val="between"/>
      </c:valAx>
      <c:spPr>
        <a:noFill/>
        <a:ln w="25399">
          <a:noFill/>
        </a:ln>
      </c:spPr>
    </c:plotArea>
    <c:legend>
      <c:legendPos val="b"/>
      <c:layout>
        <c:manualLayout>
          <c:xMode val="edge"/>
          <c:yMode val="edge"/>
          <c:x val="2.9401031767580792E-2"/>
          <c:y val="0.8780461662824468"/>
          <c:w val="0.94489709475970673"/>
          <c:h val="0.12195383371755336"/>
        </c:manualLayout>
      </c:layout>
      <c:overlay val="0"/>
      <c:spPr>
        <a:noFill/>
        <a:ln w="25399">
          <a:noFill/>
        </a:ln>
      </c:spPr>
      <c:txPr>
        <a:bodyPr rot="0" spcFirstLastPara="1" vertOverflow="ellipsis" vert="horz" wrap="square" anchor="ctr" anchorCtr="1"/>
        <a:lstStyle/>
        <a:p>
          <a:pPr>
            <a:defRPr lang="en-US" sz="6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lang="en-US"/>
            </a:pPr>
            <a:r>
              <a:rPr lang="en-US" sz="1000"/>
              <a:t>CO (8 ore)</a:t>
            </a:r>
            <a:endParaRPr lang="en-US" sz="800"/>
          </a:p>
        </c:rich>
      </c:tx>
      <c:layout>
        <c:manualLayout>
          <c:xMode val="edge"/>
          <c:yMode val="edge"/>
          <c:x val="0.4517241379310345"/>
          <c:y val="6.9263195712703271E-2"/>
        </c:manualLayout>
      </c:layout>
      <c:overlay val="0"/>
    </c:title>
    <c:autoTitleDeleted val="0"/>
    <c:plotArea>
      <c:layout>
        <c:manualLayout>
          <c:layoutTarget val="inner"/>
          <c:xMode val="edge"/>
          <c:yMode val="edge"/>
          <c:x val="0.16047750927685753"/>
          <c:y val="7.0888592438341932E-2"/>
          <c:w val="0.83539867861344985"/>
          <c:h val="0.67087751863716705"/>
        </c:manualLayout>
      </c:layout>
      <c:barChart>
        <c:barDir val="col"/>
        <c:grouping val="clustered"/>
        <c:varyColors val="0"/>
        <c:ser>
          <c:idx val="0"/>
          <c:order val="0"/>
          <c:tx>
            <c:strRef>
              <c:f>Sheet1!$B$1</c:f>
              <c:strCache>
                <c:ptCount val="1"/>
                <c:pt idx="0">
                  <c:v>BR1</c:v>
                </c:pt>
              </c:strCache>
            </c:strRef>
          </c:tx>
          <c:spPr>
            <a:solidFill>
              <a:srgbClr val="4472C4"/>
            </a:solidFill>
            <a:ln w="25399">
              <a:noFill/>
            </a:ln>
          </c:spPr>
          <c:invertIfNegative val="0"/>
          <c:cat>
            <c:strRef>
              <c:f>Sheet1!$A$2:$A$5</c:f>
              <c:strCache>
                <c:ptCount val="4"/>
                <c:pt idx="0">
                  <c:v>2013*</c:v>
                </c:pt>
                <c:pt idx="1">
                  <c:v>2017</c:v>
                </c:pt>
                <c:pt idx="2">
                  <c:v>Scenariul A</c:v>
                </c:pt>
                <c:pt idx="3">
                  <c:v>Scenariul B</c:v>
                </c:pt>
              </c:strCache>
            </c:strRef>
          </c:cat>
          <c:val>
            <c:numRef>
              <c:f>Sheet1!$B$2:$B$5</c:f>
              <c:numCache>
                <c:formatCode>General</c:formatCode>
                <c:ptCount val="4"/>
                <c:pt idx="0">
                  <c:v>0.33876299999999998</c:v>
                </c:pt>
                <c:pt idx="2" formatCode="0.000">
                  <c:v>0.33269976703702198</c:v>
                </c:pt>
                <c:pt idx="3" formatCode="0.000">
                  <c:v>0.32888724957485876</c:v>
                </c:pt>
              </c:numCache>
            </c:numRef>
          </c:val>
          <c:extLst>
            <c:ext xmlns:c16="http://schemas.microsoft.com/office/drawing/2014/chart" uri="{C3380CC4-5D6E-409C-BE32-E72D297353CC}">
              <c16:uniqueId val="{00000000-138E-4CD6-BA63-060DB45C24A6}"/>
            </c:ext>
          </c:extLst>
        </c:ser>
        <c:ser>
          <c:idx val="1"/>
          <c:order val="1"/>
          <c:tx>
            <c:strRef>
              <c:f>Sheet1!$C$1</c:f>
              <c:strCache>
                <c:ptCount val="1"/>
                <c:pt idx="0">
                  <c:v>BR2</c:v>
                </c:pt>
              </c:strCache>
            </c:strRef>
          </c:tx>
          <c:spPr>
            <a:solidFill>
              <a:srgbClr val="ED7D31"/>
            </a:solidFill>
            <a:ln w="25399">
              <a:noFill/>
            </a:ln>
          </c:spPr>
          <c:invertIfNegative val="0"/>
          <c:cat>
            <c:strRef>
              <c:f>Sheet1!$A$2:$A$5</c:f>
              <c:strCache>
                <c:ptCount val="4"/>
                <c:pt idx="0">
                  <c:v>2013*</c:v>
                </c:pt>
                <c:pt idx="1">
                  <c:v>2017</c:v>
                </c:pt>
                <c:pt idx="2">
                  <c:v>Scenariul A</c:v>
                </c:pt>
                <c:pt idx="3">
                  <c:v>Scenariul B</c:v>
                </c:pt>
              </c:strCache>
            </c:strRef>
          </c:cat>
          <c:val>
            <c:numRef>
              <c:f>Sheet1!$C$2:$C$5</c:f>
              <c:numCache>
                <c:formatCode>General</c:formatCode>
                <c:ptCount val="4"/>
                <c:pt idx="0">
                  <c:v>0.33793099999999998</c:v>
                </c:pt>
                <c:pt idx="2" formatCode="0.000">
                  <c:v>0.3318826583026715</c:v>
                </c:pt>
                <c:pt idx="3" formatCode="0.000">
                  <c:v>0.32807950436169708</c:v>
                </c:pt>
              </c:numCache>
            </c:numRef>
          </c:val>
          <c:extLst>
            <c:ext xmlns:c16="http://schemas.microsoft.com/office/drawing/2014/chart" uri="{C3380CC4-5D6E-409C-BE32-E72D297353CC}">
              <c16:uniqueId val="{00000001-138E-4CD6-BA63-060DB45C24A6}"/>
            </c:ext>
          </c:extLst>
        </c:ser>
        <c:ser>
          <c:idx val="2"/>
          <c:order val="2"/>
          <c:tx>
            <c:strRef>
              <c:f>Sheet1!$D$1</c:f>
              <c:strCache>
                <c:ptCount val="1"/>
                <c:pt idx="0">
                  <c:v>BR3</c:v>
                </c:pt>
              </c:strCache>
            </c:strRef>
          </c:tx>
          <c:spPr>
            <a:ln>
              <a:noFill/>
            </a:ln>
          </c:spPr>
          <c:invertIfNegative val="0"/>
          <c:cat>
            <c:strRef>
              <c:f>Sheet1!$A$2:$A$5</c:f>
              <c:strCache>
                <c:ptCount val="4"/>
                <c:pt idx="0">
                  <c:v>2013*</c:v>
                </c:pt>
                <c:pt idx="1">
                  <c:v>2017</c:v>
                </c:pt>
                <c:pt idx="2">
                  <c:v>Scenariul A</c:v>
                </c:pt>
                <c:pt idx="3">
                  <c:v>Scenariul B</c:v>
                </c:pt>
              </c:strCache>
            </c:strRef>
          </c:cat>
          <c:val>
            <c:numRef>
              <c:f>Sheet1!$D$2:$D$5</c:f>
              <c:numCache>
                <c:formatCode>General</c:formatCode>
                <c:ptCount val="4"/>
                <c:pt idx="0">
                  <c:v>0.65253899999999998</c:v>
                </c:pt>
                <c:pt idx="2" formatCode="0.000">
                  <c:v>0.6408597552937344</c:v>
                </c:pt>
                <c:pt idx="3" formatCode="0.000">
                  <c:v>0.63351592986934457</c:v>
                </c:pt>
              </c:numCache>
            </c:numRef>
          </c:val>
          <c:extLst>
            <c:ext xmlns:c16="http://schemas.microsoft.com/office/drawing/2014/chart" uri="{C3380CC4-5D6E-409C-BE32-E72D297353CC}">
              <c16:uniqueId val="{00000002-138E-4CD6-BA63-060DB45C24A6}"/>
            </c:ext>
          </c:extLst>
        </c:ser>
        <c:ser>
          <c:idx val="3"/>
          <c:order val="3"/>
          <c:tx>
            <c:strRef>
              <c:f>Sheet1!$E$1</c:f>
              <c:strCache>
                <c:ptCount val="1"/>
                <c:pt idx="0">
                  <c:v>BR4</c:v>
                </c:pt>
              </c:strCache>
            </c:strRef>
          </c:tx>
          <c:invertIfNegative val="0"/>
          <c:cat>
            <c:strRef>
              <c:f>Sheet1!$A$2:$A$5</c:f>
              <c:strCache>
                <c:ptCount val="4"/>
                <c:pt idx="0">
                  <c:v>2013*</c:v>
                </c:pt>
                <c:pt idx="1">
                  <c:v>2017</c:v>
                </c:pt>
                <c:pt idx="2">
                  <c:v>Scenariul A</c:v>
                </c:pt>
                <c:pt idx="3">
                  <c:v>Scenariul B</c:v>
                </c:pt>
              </c:strCache>
            </c:strRef>
          </c:cat>
          <c:val>
            <c:numRef>
              <c:f>Sheet1!$E$2:$E$5</c:f>
              <c:numCache>
                <c:formatCode>General</c:formatCode>
                <c:ptCount val="4"/>
                <c:pt idx="0">
                  <c:v>0.42790699999999998</c:v>
                </c:pt>
                <c:pt idx="2" formatCode="0.000">
                  <c:v>0.42024825383383374</c:v>
                </c:pt>
                <c:pt idx="3" formatCode="0.000">
                  <c:v>0.41543248909659286</c:v>
                </c:pt>
              </c:numCache>
            </c:numRef>
          </c:val>
          <c:extLst>
            <c:ext xmlns:c16="http://schemas.microsoft.com/office/drawing/2014/chart" uri="{C3380CC4-5D6E-409C-BE32-E72D297353CC}">
              <c16:uniqueId val="{00000003-138E-4CD6-BA63-060DB45C24A6}"/>
            </c:ext>
          </c:extLst>
        </c:ser>
        <c:ser>
          <c:idx val="4"/>
          <c:order val="4"/>
          <c:tx>
            <c:strRef>
              <c:f>Sheet1!$F$1</c:f>
              <c:strCache>
                <c:ptCount val="1"/>
                <c:pt idx="0">
                  <c:v>BR5</c:v>
                </c:pt>
              </c:strCache>
            </c:strRef>
          </c:tx>
          <c:invertIfNegative val="0"/>
          <c:cat>
            <c:strRef>
              <c:f>Sheet1!$A$2:$A$5</c:f>
              <c:strCache>
                <c:ptCount val="4"/>
                <c:pt idx="0">
                  <c:v>2013*</c:v>
                </c:pt>
                <c:pt idx="1">
                  <c:v>2017</c:v>
                </c:pt>
                <c:pt idx="2">
                  <c:v>Scenariul A</c:v>
                </c:pt>
                <c:pt idx="3">
                  <c:v>Scenariul B</c:v>
                </c:pt>
              </c:strCache>
            </c:strRef>
          </c:cat>
          <c:val>
            <c:numRef>
              <c:f>Sheet1!$F$2:$F$5</c:f>
              <c:numCache>
                <c:formatCode>General</c:formatCode>
                <c:ptCount val="4"/>
                <c:pt idx="0">
                  <c:v>0.65470600000000001</c:v>
                </c:pt>
                <c:pt idx="2" formatCode="0.000">
                  <c:v>0.64298796999005381</c:v>
                </c:pt>
                <c:pt idx="3" formatCode="0.000">
                  <c:v>0.63561975664449033</c:v>
                </c:pt>
              </c:numCache>
            </c:numRef>
          </c:val>
          <c:extLst>
            <c:ext xmlns:c16="http://schemas.microsoft.com/office/drawing/2014/chart" uri="{C3380CC4-5D6E-409C-BE32-E72D297353CC}">
              <c16:uniqueId val="{00000004-138E-4CD6-BA63-060DB45C24A6}"/>
            </c:ext>
          </c:extLst>
        </c:ser>
        <c:dLbls>
          <c:showLegendKey val="0"/>
          <c:showVal val="0"/>
          <c:showCatName val="0"/>
          <c:showSerName val="0"/>
          <c:showPercent val="0"/>
          <c:showBubbleSize val="0"/>
        </c:dLbls>
        <c:gapWidth val="150"/>
        <c:axId val="417196544"/>
        <c:axId val="417626880"/>
      </c:barChart>
      <c:lineChart>
        <c:grouping val="standard"/>
        <c:varyColors val="0"/>
        <c:ser>
          <c:idx val="5"/>
          <c:order val="5"/>
          <c:tx>
            <c:strRef>
              <c:f>Sheet1!$G$1</c:f>
              <c:strCache>
                <c:ptCount val="1"/>
                <c:pt idx="0">
                  <c:v>VL</c:v>
                </c:pt>
              </c:strCache>
            </c:strRef>
          </c:tx>
          <c:spPr>
            <a:ln>
              <a:solidFill>
                <a:srgbClr val="FF0000"/>
              </a:solidFill>
            </a:ln>
          </c:spPr>
          <c:marker>
            <c:symbol val="none"/>
          </c:marker>
          <c:cat>
            <c:strRef>
              <c:f>Sheet1!$A$2:$A$5</c:f>
              <c:strCache>
                <c:ptCount val="4"/>
                <c:pt idx="0">
                  <c:v>2013*</c:v>
                </c:pt>
                <c:pt idx="1">
                  <c:v>2017</c:v>
                </c:pt>
                <c:pt idx="2">
                  <c:v>Scenariul A</c:v>
                </c:pt>
                <c:pt idx="3">
                  <c:v>Scenariul B</c:v>
                </c:pt>
              </c:strCache>
            </c:strRef>
          </c:cat>
          <c:val>
            <c:numRef>
              <c:f>Sheet1!$G$2:$G$5</c:f>
              <c:numCache>
                <c:formatCode>General</c:formatCode>
                <c:ptCount val="4"/>
                <c:pt idx="0">
                  <c:v>10</c:v>
                </c:pt>
                <c:pt idx="1">
                  <c:v>10</c:v>
                </c:pt>
                <c:pt idx="2">
                  <c:v>10</c:v>
                </c:pt>
                <c:pt idx="3">
                  <c:v>10</c:v>
                </c:pt>
              </c:numCache>
            </c:numRef>
          </c:val>
          <c:smooth val="0"/>
          <c:extLst>
            <c:ext xmlns:c16="http://schemas.microsoft.com/office/drawing/2014/chart" uri="{C3380CC4-5D6E-409C-BE32-E72D297353CC}">
              <c16:uniqueId val="{00000005-138E-4CD6-BA63-060DB45C24A6}"/>
            </c:ext>
          </c:extLst>
        </c:ser>
        <c:dLbls>
          <c:showLegendKey val="0"/>
          <c:showVal val="0"/>
          <c:showCatName val="0"/>
          <c:showSerName val="0"/>
          <c:showPercent val="0"/>
          <c:showBubbleSize val="0"/>
        </c:dLbls>
        <c:marker val="1"/>
        <c:smooth val="0"/>
        <c:axId val="417196544"/>
        <c:axId val="417626880"/>
      </c:lineChart>
      <c:catAx>
        <c:axId val="417196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7626880"/>
        <c:crosses val="autoZero"/>
        <c:auto val="1"/>
        <c:lblAlgn val="ctr"/>
        <c:lblOffset val="100"/>
        <c:noMultiLvlLbl val="0"/>
      </c:catAx>
      <c:valAx>
        <c:axId val="417626880"/>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lang="en-US" sz="1000" b="0" i="0" u="none" strike="noStrike" baseline="0">
                    <a:solidFill>
                      <a:srgbClr val="333333"/>
                    </a:solidFill>
                    <a:latin typeface="Cambria"/>
                    <a:ea typeface="Cambria"/>
                    <a:cs typeface="Cambria"/>
                  </a:defRPr>
                </a:pPr>
                <a:r>
                  <a:rPr lang="en-US">
                    <a:latin typeface="Cambria" panose="02040503050406030204" pitchFamily="18" charset="0"/>
                    <a:ea typeface="Cambria" panose="02040503050406030204" pitchFamily="18" charset="0"/>
                  </a:rPr>
                  <a:t>µg</a:t>
                </a:r>
                <a:r>
                  <a:rPr lang="en-US"/>
                  <a:t>/m3</a:t>
                </a:r>
              </a:p>
            </c:rich>
          </c:tx>
          <c:layout>
            <c:manualLayout>
              <c:xMode val="edge"/>
              <c:yMode val="edge"/>
              <c:x val="1.2507195221287005E-2"/>
              <c:y val="0.25899883237028837"/>
            </c:manualLayout>
          </c:layout>
          <c:overlay val="0"/>
          <c:spPr>
            <a:noFill/>
            <a:ln w="25399">
              <a:noFill/>
            </a:ln>
          </c:spPr>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lang="en-US" sz="8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17196544"/>
        <c:crosses val="autoZero"/>
        <c:crossBetween val="between"/>
      </c:valAx>
      <c:spPr>
        <a:noFill/>
        <a:ln w="25399">
          <a:noFill/>
        </a:ln>
      </c:spPr>
    </c:plotArea>
    <c:legend>
      <c:legendPos val="b"/>
      <c:layout>
        <c:manualLayout>
          <c:xMode val="edge"/>
          <c:yMode val="edge"/>
          <c:x val="2.9401031767580792E-2"/>
          <c:y val="0.8780461662824468"/>
          <c:w val="0.94489709475970673"/>
          <c:h val="0.12195383371755336"/>
        </c:manualLayout>
      </c:layout>
      <c:overlay val="0"/>
      <c:spPr>
        <a:noFill/>
        <a:ln w="25399">
          <a:noFill/>
        </a:ln>
      </c:spPr>
      <c:txPr>
        <a:bodyPr rot="0" spcFirstLastPara="1" vertOverflow="ellipsis" vert="horz" wrap="square" anchor="ctr" anchorCtr="1"/>
        <a:lstStyle/>
        <a:p>
          <a:pPr>
            <a:defRPr lang="en-US" sz="6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71110265491906455"/>
          <c:y val="6.0240963855421749E-2"/>
        </c:manualLayout>
      </c:layout>
      <c:overlay val="0"/>
      <c:spPr>
        <a:noFill/>
        <a:ln>
          <a:noFill/>
        </a:ln>
        <a:effectLst/>
      </c:spPr>
      <c:txPr>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Cambria" panose="02040503050406030204" pitchFamily="18" charset="0"/>
              <a:ea typeface="+mn-ea"/>
              <a:cs typeface="+mn-cs"/>
            </a:defRPr>
          </a:pPr>
          <a:endParaRPr lang="en-US"/>
        </a:p>
      </c:txPr>
    </c:title>
    <c:autoTitleDeleted val="0"/>
    <c:plotArea>
      <c:layout>
        <c:manualLayout>
          <c:layoutTarget val="inner"/>
          <c:xMode val="edge"/>
          <c:yMode val="edge"/>
          <c:x val="8.2060318668344887E-2"/>
          <c:y val="7.4155295543951172E-2"/>
          <c:w val="0.5176551629931021"/>
          <c:h val="0.89876875330342765"/>
        </c:manualLayout>
      </c:layout>
      <c:doughnutChart>
        <c:varyColors val="1"/>
        <c:ser>
          <c:idx val="0"/>
          <c:order val="0"/>
          <c:tx>
            <c:strRef>
              <c:f>Sheet1!$B$1</c:f>
              <c:strCache>
                <c:ptCount val="1"/>
                <c:pt idx="0">
                  <c:v>Ni</c:v>
                </c:pt>
              </c:strCache>
            </c:strRef>
          </c:tx>
          <c:spPr>
            <a:ln>
              <a:noFill/>
            </a:ln>
            <a:effectLst>
              <a:outerShdw blurRad="50800" dist="38100" dir="2700000" algn="tl" rotWithShape="0">
                <a:prstClr val="black">
                  <a:alpha val="40000"/>
                </a:prstClr>
              </a:outerShdw>
            </a:effectLst>
          </c:spPr>
          <c:dPt>
            <c:idx val="0"/>
            <c:bubble3D val="0"/>
            <c:spPr>
              <a:solidFill>
                <a:schemeClr val="accent1"/>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4EAF-4CF0-9240-61EE9930E753}"/>
              </c:ext>
            </c:extLst>
          </c:dPt>
          <c:dPt>
            <c:idx val="1"/>
            <c:bubble3D val="0"/>
            <c:spPr>
              <a:solidFill>
                <a:schemeClr val="accent2"/>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4EAF-4CF0-9240-61EE9930E753}"/>
              </c:ext>
            </c:extLst>
          </c:dPt>
          <c:dPt>
            <c:idx val="2"/>
            <c:bubble3D val="0"/>
            <c:spPr>
              <a:solidFill>
                <a:schemeClr val="accent3"/>
              </a:solidFill>
              <a:ln w="19050">
                <a:no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5-4EAF-4CF0-9240-61EE9930E753}"/>
              </c:ext>
            </c:extLst>
          </c:dPt>
          <c:dLbls>
            <c:spPr>
              <a:noFill/>
              <a:ln>
                <a:noFill/>
              </a:ln>
              <a:effectLst/>
            </c:spPr>
            <c:txPr>
              <a:bodyPr rot="0" spcFirstLastPara="1" vertOverflow="ellipsis" vert="horz" wrap="square" anchor="ctr" anchorCtr="1"/>
              <a:lstStyle/>
              <a:p>
                <a:pPr>
                  <a:defRPr lang="en-US" sz="11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Surse staționare</c:v>
                </c:pt>
                <c:pt idx="1">
                  <c:v>Surse mobile</c:v>
                </c:pt>
                <c:pt idx="2">
                  <c:v>Surse de suprafață</c:v>
                </c:pt>
              </c:strCache>
            </c:strRef>
          </c:cat>
          <c:val>
            <c:numRef>
              <c:f>Sheet1!$B$2:$B$4</c:f>
              <c:numCache>
                <c:formatCode>General</c:formatCode>
                <c:ptCount val="3"/>
                <c:pt idx="0">
                  <c:v>3.2022000000000002E-2</c:v>
                </c:pt>
                <c:pt idx="1">
                  <c:v>2.4159E-2</c:v>
                </c:pt>
                <c:pt idx="2">
                  <c:v>9.8200000000000088E-4</c:v>
                </c:pt>
              </c:numCache>
            </c:numRef>
          </c:val>
          <c:extLst>
            <c:ext xmlns:c16="http://schemas.microsoft.com/office/drawing/2014/chart" uri="{C3380CC4-5D6E-409C-BE32-E72D297353CC}">
              <c16:uniqueId val="{00000006-4EAF-4CF0-9240-61EE9930E753}"/>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69065597283610991"/>
          <c:y val="0.26225690162223697"/>
          <c:w val="0.27960425021221796"/>
          <c:h val="0.69420358599753296"/>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D4DFD7-B7D0-4953-A028-EBA9F9B8FD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539</TotalTime>
  <Pages>192</Pages>
  <Words>46453</Words>
  <Characters>264784</Characters>
  <Application>Microsoft Office Word</Application>
  <DocSecurity>0</DocSecurity>
  <Lines>2206</Lines>
  <Paragraphs>621</Paragraphs>
  <ScaleCrop>false</ScaleCrop>
  <HeadingPairs>
    <vt:vector size="2" baseType="variant">
      <vt:variant>
        <vt:lpstr>Title</vt:lpstr>
      </vt:variant>
      <vt:variant>
        <vt:i4>1</vt:i4>
      </vt:variant>
    </vt:vector>
  </HeadingPairs>
  <TitlesOfParts>
    <vt:vector size="1" baseType="lpstr">
      <vt:lpstr>PLANUL DE MENȚINERE A CALITĂȚII AERULUI În JUDEȚUL BRĂILA</vt:lpstr>
    </vt:vector>
  </TitlesOfParts>
  <Company/>
  <LinksUpToDate>false</LinksUpToDate>
  <CharactersWithSpaces>310616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PLANUL DE MENȚINERE A CALITĂȚII AERULUI În JUDEȚUL BRĂILA</dc:title>
  <dc:creator>Eugen Bușilă</dc:creator>
  <cp:lastModifiedBy>magda</cp:lastModifiedBy>
  <cp:revision>54</cp:revision>
  <cp:lastPrinted>2018-10-24T11:53:00Z</cp:lastPrinted>
  <dcterms:created xsi:type="dcterms:W3CDTF">2018-10-05T10:18:00Z</dcterms:created>
  <dcterms:modified xsi:type="dcterms:W3CDTF">2018-10-26T06:02:00Z</dcterms:modified>
</cp:coreProperties>
</file>